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3721F" w14:textId="74C874A1" w:rsidR="007B3DC7" w:rsidRDefault="007B3DC7" w:rsidP="00AC2DE8">
      <w:pPr>
        <w:spacing w:after="0"/>
        <w:jc w:val="right"/>
        <w:rPr>
          <w:rFonts w:ascii="Arial" w:hAnsi="Arial" w:cs="Arial"/>
          <w:b/>
          <w:color w:val="000000" w:themeColor="text1"/>
          <w:sz w:val="16"/>
          <w:szCs w:val="16"/>
          <w:lang w:eastAsia="es-ES"/>
        </w:rPr>
      </w:pPr>
      <w:bookmarkStart w:id="0" w:name="_Hlk29890381"/>
      <w:r w:rsidRPr="00007A77">
        <w:rPr>
          <w:rFonts w:ascii="Arial" w:hAnsi="Arial" w:cs="Arial"/>
          <w:b/>
          <w:color w:val="000000" w:themeColor="text1"/>
          <w:sz w:val="16"/>
          <w:szCs w:val="16"/>
          <w:lang w:eastAsia="es-ES"/>
        </w:rPr>
        <w:t>CCE-DES-FM-17</w:t>
      </w:r>
    </w:p>
    <w:p w14:paraId="492F2D9D" w14:textId="77777777" w:rsidR="00AC2DE8" w:rsidRPr="00007A77" w:rsidRDefault="00AC2DE8" w:rsidP="00AC2DE8">
      <w:pPr>
        <w:spacing w:after="0"/>
        <w:jc w:val="right"/>
        <w:rPr>
          <w:rFonts w:ascii="Arial" w:hAnsi="Arial" w:cs="Arial"/>
          <w:b/>
          <w:color w:val="000000" w:themeColor="text1"/>
          <w:sz w:val="16"/>
          <w:szCs w:val="16"/>
          <w:lang w:eastAsia="es-ES"/>
        </w:rPr>
      </w:pPr>
    </w:p>
    <w:p w14:paraId="2EFF9DC0" w14:textId="77777777" w:rsidR="00B80922" w:rsidRPr="00E013AA" w:rsidRDefault="00B80922" w:rsidP="00AC2DE8">
      <w:pPr>
        <w:spacing w:after="0" w:line="240" w:lineRule="auto"/>
        <w:jc w:val="both"/>
        <w:rPr>
          <w:rFonts w:ascii="Arial" w:eastAsia="Calibri" w:hAnsi="Arial" w:cs="Arial"/>
          <w:b/>
          <w:sz w:val="20"/>
          <w:szCs w:val="20"/>
        </w:rPr>
      </w:pPr>
      <w:r>
        <w:rPr>
          <w:rFonts w:ascii="Arial" w:eastAsia="Calibri" w:hAnsi="Arial" w:cs="Arial"/>
          <w:b/>
        </w:rPr>
        <w:t>DOCUMENTOS</w:t>
      </w:r>
      <w:r w:rsidRPr="00E013AA">
        <w:rPr>
          <w:rFonts w:ascii="Arial" w:eastAsia="Calibri" w:hAnsi="Arial" w:cs="Arial"/>
          <w:b/>
        </w:rPr>
        <w:t xml:space="preserve"> TIPO – </w:t>
      </w:r>
      <w:r>
        <w:rPr>
          <w:rFonts w:ascii="Arial" w:eastAsia="Calibri" w:hAnsi="Arial" w:cs="Arial"/>
          <w:b/>
        </w:rPr>
        <w:t>Ámbito de aplicación – Matriz 1</w:t>
      </w:r>
      <w:r w:rsidRPr="00E013AA">
        <w:rPr>
          <w:rFonts w:ascii="Arial" w:eastAsia="Calibri" w:hAnsi="Arial" w:cs="Arial"/>
          <w:b/>
          <w:sz w:val="20"/>
          <w:szCs w:val="20"/>
        </w:rPr>
        <w:t xml:space="preserve"> </w:t>
      </w:r>
    </w:p>
    <w:p w14:paraId="1F53A392" w14:textId="77777777" w:rsidR="00B80922" w:rsidRPr="00E013AA" w:rsidRDefault="00B80922" w:rsidP="00AC2DE8">
      <w:pPr>
        <w:spacing w:after="0" w:line="240" w:lineRule="auto"/>
        <w:jc w:val="both"/>
        <w:rPr>
          <w:rFonts w:ascii="Arial" w:eastAsia="Calibri" w:hAnsi="Arial" w:cs="Arial"/>
          <w:b/>
          <w:sz w:val="20"/>
          <w:szCs w:val="20"/>
        </w:rPr>
      </w:pPr>
    </w:p>
    <w:p w14:paraId="4683C11F" w14:textId="161B3AAB" w:rsidR="0079585E" w:rsidRPr="0079585E" w:rsidRDefault="00B80922" w:rsidP="0079585E">
      <w:pPr>
        <w:spacing w:after="120" w:line="240" w:lineRule="auto"/>
        <w:jc w:val="both"/>
        <w:rPr>
          <w:rFonts w:ascii="Arial" w:hAnsi="Arial" w:cs="Arial"/>
          <w:sz w:val="20"/>
          <w:szCs w:val="20"/>
          <w:shd w:val="clear" w:color="auto" w:fill="FFFFFF"/>
        </w:rPr>
      </w:pPr>
      <w:r w:rsidRPr="0079585E">
        <w:rPr>
          <w:rFonts w:ascii="Arial" w:eastAsia="Calibri" w:hAnsi="Arial" w:cs="Arial"/>
          <w:sz w:val="20"/>
          <w:szCs w:val="20"/>
        </w:rPr>
        <w:t xml:space="preserve">[…] </w:t>
      </w:r>
      <w:r w:rsidR="0079585E" w:rsidRPr="0079585E">
        <w:rPr>
          <w:rFonts w:ascii="Arial" w:hAnsi="Arial" w:cs="Arial"/>
          <w:sz w:val="20"/>
          <w:szCs w:val="20"/>
          <w:shd w:val="clear" w:color="auto" w:fill="FFFFFF"/>
        </w:rPr>
        <w:t>el ámbito de aplicación de los Documentos Tipo de obra pública de infraestructura de transporte, en primer lugar, está determinado por la modalidad de selección procedente, ya que dependiendo de si el proceso de contratación es de licitación pública, selección abreviada de menor cuantía o mínima cuantía, deberán aplicarse los documentos tipo adoptados por las resoluciones Nos. 240 de 2020, 241 de 2020 o 094 de 2020, respectivamente.</w:t>
      </w:r>
    </w:p>
    <w:p w14:paraId="66B6E331" w14:textId="2DA65F74" w:rsidR="00B80922" w:rsidRPr="00AC2DE8" w:rsidRDefault="0079585E" w:rsidP="0079585E">
      <w:pPr>
        <w:spacing w:after="0" w:line="240" w:lineRule="auto"/>
        <w:jc w:val="both"/>
        <w:rPr>
          <w:rFonts w:ascii="Arial" w:eastAsia="Calibri" w:hAnsi="Arial" w:cs="Arial"/>
          <w:sz w:val="20"/>
          <w:szCs w:val="20"/>
        </w:rPr>
      </w:pPr>
      <w:r w:rsidRPr="0079585E">
        <w:rPr>
          <w:rFonts w:ascii="Arial" w:hAnsi="Arial" w:cs="Arial"/>
          <w:sz w:val="20"/>
          <w:szCs w:val="20"/>
          <w:shd w:val="clear" w:color="auto" w:fill="FFFFFF"/>
        </w:rPr>
        <w:t xml:space="preserve">En segundo lugar, para determinar si la entidad regida por el EGCAP está obligada a aplicar los documentos tipo para la respectiva contratación, habrá que determinar si el objeto a contratarse encuadra dentro de los tipos de obra y actividades establecidas dentro de la respectiva Matriz 1, documento que además estandariza los requisitos de experiencia exigibles para cada uno de los objetos contractuales que deben contratarse aplicando Documentos Tipo. En tal sentido, la entidad asociará el objeto contractual a uno de los tipos de obra de infraestructura de transporte relacionados en la Matriz 1, y establecerá si las actividades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 </w:t>
      </w:r>
    </w:p>
    <w:p w14:paraId="1136AFC3" w14:textId="77777777" w:rsidR="00B80922" w:rsidRDefault="00B80922" w:rsidP="0079585E">
      <w:pPr>
        <w:spacing w:after="0" w:line="240" w:lineRule="auto"/>
        <w:jc w:val="both"/>
        <w:rPr>
          <w:rFonts w:ascii="Arial" w:eastAsia="Calibri" w:hAnsi="Arial" w:cs="Arial"/>
          <w:b/>
        </w:rPr>
      </w:pPr>
    </w:p>
    <w:p w14:paraId="7A0180F6" w14:textId="118C416C" w:rsidR="00B80922" w:rsidRPr="00E013AA" w:rsidRDefault="00B80922" w:rsidP="0079585E">
      <w:pPr>
        <w:spacing w:after="0" w:line="240" w:lineRule="auto"/>
        <w:jc w:val="both"/>
        <w:rPr>
          <w:rFonts w:ascii="Arial" w:eastAsia="Calibri" w:hAnsi="Arial" w:cs="Arial"/>
          <w:b/>
        </w:rPr>
      </w:pPr>
      <w:r>
        <w:rPr>
          <w:rFonts w:ascii="Arial" w:eastAsia="Calibri" w:hAnsi="Arial" w:cs="Arial"/>
          <w:b/>
        </w:rPr>
        <w:t>DOCUMENTOS</w:t>
      </w:r>
      <w:r w:rsidRPr="00E013AA">
        <w:rPr>
          <w:rFonts w:ascii="Arial" w:eastAsia="Calibri" w:hAnsi="Arial" w:cs="Arial"/>
          <w:b/>
        </w:rPr>
        <w:t xml:space="preserve"> TIPO – </w:t>
      </w:r>
      <w:r>
        <w:rPr>
          <w:rFonts w:ascii="Arial" w:eastAsia="Calibri" w:hAnsi="Arial" w:cs="Arial"/>
          <w:b/>
        </w:rPr>
        <w:t xml:space="preserve">Demarcación – Señalización – </w:t>
      </w:r>
      <w:r w:rsidR="00D70F77">
        <w:rPr>
          <w:rFonts w:ascii="Arial" w:eastAsia="Calibri" w:hAnsi="Arial" w:cs="Arial"/>
          <w:b/>
        </w:rPr>
        <w:t>Semaforización</w:t>
      </w:r>
    </w:p>
    <w:p w14:paraId="26BD5541" w14:textId="77777777" w:rsidR="00B80922" w:rsidRDefault="00B80922" w:rsidP="0079585E">
      <w:pPr>
        <w:spacing w:after="0" w:line="240" w:lineRule="auto"/>
        <w:jc w:val="both"/>
        <w:rPr>
          <w:rFonts w:ascii="Arial" w:eastAsia="Calibri" w:hAnsi="Arial" w:cs="Arial"/>
          <w:sz w:val="20"/>
          <w:szCs w:val="20"/>
        </w:rPr>
      </w:pPr>
    </w:p>
    <w:p w14:paraId="4E14E5C8" w14:textId="77777777" w:rsidR="0079585E" w:rsidRPr="0079585E" w:rsidRDefault="0079585E" w:rsidP="0079585E">
      <w:pPr>
        <w:tabs>
          <w:tab w:val="left" w:pos="426"/>
        </w:tabs>
        <w:spacing w:line="240" w:lineRule="auto"/>
        <w:jc w:val="both"/>
        <w:rPr>
          <w:rFonts w:ascii="Arial" w:hAnsi="Arial" w:cs="Arial"/>
          <w:sz w:val="20"/>
          <w:szCs w:val="20"/>
          <w:shd w:val="clear" w:color="auto" w:fill="FFFFFF"/>
        </w:rPr>
      </w:pPr>
      <w:r w:rsidRPr="0079585E">
        <w:rPr>
          <w:rFonts w:ascii="Arial" w:hAnsi="Arial" w:cs="Arial"/>
          <w:sz w:val="20"/>
          <w:szCs w:val="20"/>
          <w:shd w:val="clear" w:color="auto" w:fill="FFFFFF"/>
        </w:rPr>
        <w:t>Por otro lado, sobre la obligatoriedad de aplicar documentos tipo para la contratación de actividades de semaforización se pronunció esta Agencia en el concepto C-597 del 14 de septiembre de 2020. En este concepto se indicó que, para la contratación de estas actividades –al ser conexas a la demarcación y señalización de vías, o de espacio público asociado a infraestructura de transporte– deben aplicarse los documentos tipo. Al respecto se consideró que:</w:t>
      </w:r>
    </w:p>
    <w:p w14:paraId="5AD179C6" w14:textId="01EFED1F" w:rsidR="0079585E" w:rsidRDefault="0079585E" w:rsidP="0079585E">
      <w:pPr>
        <w:tabs>
          <w:tab w:val="left" w:pos="426"/>
        </w:tabs>
        <w:spacing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p>
    <w:p w14:paraId="7F244457" w14:textId="7BC98963" w:rsidR="0079585E" w:rsidRPr="0079585E" w:rsidRDefault="0079585E" w:rsidP="0079585E">
      <w:pPr>
        <w:tabs>
          <w:tab w:val="left" w:pos="426"/>
        </w:tabs>
        <w:spacing w:line="240" w:lineRule="auto"/>
        <w:jc w:val="both"/>
        <w:rPr>
          <w:rFonts w:ascii="Arial" w:hAnsi="Arial" w:cs="Arial"/>
          <w:sz w:val="20"/>
          <w:szCs w:val="20"/>
          <w:shd w:val="clear" w:color="auto" w:fill="FFFFFF"/>
        </w:rPr>
      </w:pPr>
      <w:r w:rsidRPr="0079585E">
        <w:rPr>
          <w:rFonts w:ascii="Arial" w:hAnsi="Arial" w:cs="Arial"/>
          <w:sz w:val="20"/>
          <w:szCs w:val="20"/>
          <w:shd w:val="clear" w:color="auto" w:fill="FFFFFF"/>
        </w:rPr>
        <w:t xml:space="preserve">Al referirse a la </w:t>
      </w:r>
      <w:r w:rsidRPr="0079585E">
        <w:rPr>
          <w:rFonts w:ascii="Arial" w:hAnsi="Arial" w:cs="Arial"/>
          <w:i/>
          <w:iCs/>
          <w:sz w:val="20"/>
          <w:szCs w:val="20"/>
          <w:shd w:val="clear" w:color="auto" w:fill="FFFFFF"/>
        </w:rPr>
        <w:t>señalización</w:t>
      </w:r>
      <w:r w:rsidRPr="0079585E">
        <w:rPr>
          <w:rFonts w:ascii="Arial" w:hAnsi="Arial" w:cs="Arial"/>
          <w:sz w:val="20"/>
          <w:szCs w:val="20"/>
          <w:shd w:val="clear" w:color="auto" w:fill="FFFFFF"/>
        </w:rPr>
        <w:t xml:space="preserve"> o </w:t>
      </w:r>
      <w:r w:rsidRPr="0079585E">
        <w:rPr>
          <w:rFonts w:ascii="Arial" w:hAnsi="Arial" w:cs="Arial"/>
          <w:i/>
          <w:iCs/>
          <w:sz w:val="20"/>
          <w:szCs w:val="20"/>
          <w:shd w:val="clear" w:color="auto" w:fill="FFFFFF"/>
        </w:rPr>
        <w:t>demarcación</w:t>
      </w:r>
      <w:r w:rsidRPr="0079585E">
        <w:rPr>
          <w:rFonts w:ascii="Arial" w:hAnsi="Arial" w:cs="Arial"/>
          <w:sz w:val="20"/>
          <w:szCs w:val="20"/>
          <w:shd w:val="clear" w:color="auto" w:fill="FFFFFF"/>
        </w:rPr>
        <w:t xml:space="preserve"> de infraestructura de transporte y espacio público asociado a esta, las actividades de la Matriz 1 arriba señaladas comprenden la instalación de semáforos, por lo que, deben aplicarse los documentos tipo licitación pública –Versión 2–, selección abreviada de menor cuantía –Versión 1– y mínima cuantía. </w:t>
      </w:r>
    </w:p>
    <w:p w14:paraId="27AFD3D8" w14:textId="4FA2EEB8" w:rsidR="0079585E" w:rsidRPr="0079585E" w:rsidRDefault="0079585E" w:rsidP="0079585E">
      <w:pPr>
        <w:tabs>
          <w:tab w:val="left" w:pos="426"/>
        </w:tabs>
        <w:spacing w:after="0" w:line="240" w:lineRule="auto"/>
        <w:jc w:val="both"/>
        <w:rPr>
          <w:rFonts w:ascii="Arial" w:hAnsi="Arial" w:cs="Arial"/>
          <w:sz w:val="20"/>
          <w:szCs w:val="20"/>
          <w:shd w:val="clear" w:color="auto" w:fill="FFFFFF"/>
        </w:rPr>
      </w:pPr>
      <w:r w:rsidRPr="0079585E">
        <w:rPr>
          <w:rFonts w:ascii="Arial" w:hAnsi="Arial" w:cs="Arial"/>
          <w:sz w:val="20"/>
          <w:szCs w:val="20"/>
          <w:shd w:val="clear" w:color="auto" w:fill="FFFFFF"/>
        </w:rPr>
        <w:t xml:space="preserve">Así las cosas, resulta evidente que </w:t>
      </w:r>
      <w:r w:rsidRPr="0079585E">
        <w:rPr>
          <w:rFonts w:ascii="Arial" w:hAnsi="Arial" w:cs="Arial"/>
          <w:sz w:val="20"/>
          <w:szCs w:val="20"/>
        </w:rPr>
        <w:t>los d</w:t>
      </w:r>
      <w:r w:rsidRPr="0079585E">
        <w:rPr>
          <w:rFonts w:ascii="Arial" w:hAnsi="Arial" w:cs="Arial"/>
          <w:sz w:val="20"/>
          <w:szCs w:val="20"/>
          <w:shd w:val="clear" w:color="auto" w:fill="FFFFFF"/>
        </w:rPr>
        <w:t xml:space="preserve">ocumentos tipo de licitación pública </w:t>
      </w:r>
      <w:r w:rsidRPr="0079585E">
        <w:rPr>
          <w:rFonts w:ascii="Arial" w:hAnsi="Arial" w:cs="Arial"/>
          <w:sz w:val="20"/>
          <w:szCs w:val="20"/>
        </w:rPr>
        <w:t xml:space="preserve">−Versión 3− y </w:t>
      </w:r>
      <w:r w:rsidRPr="0079585E">
        <w:rPr>
          <w:rFonts w:ascii="Arial" w:hAnsi="Arial" w:cs="Arial"/>
          <w:sz w:val="20"/>
          <w:szCs w:val="20"/>
          <w:shd w:val="clear" w:color="auto" w:fill="FFFFFF"/>
        </w:rPr>
        <w:t xml:space="preserve">selección abreviada de menor cuantía –Versión 2–, en la matriz 1, al referirse a la </w:t>
      </w:r>
      <w:r w:rsidRPr="0079585E">
        <w:rPr>
          <w:rFonts w:ascii="Arial" w:hAnsi="Arial" w:cs="Arial"/>
          <w:i/>
          <w:iCs/>
          <w:sz w:val="20"/>
          <w:szCs w:val="20"/>
          <w:shd w:val="clear" w:color="auto" w:fill="FFFFFF"/>
        </w:rPr>
        <w:t>señalización</w:t>
      </w:r>
      <w:r w:rsidRPr="0079585E">
        <w:rPr>
          <w:rFonts w:ascii="Arial" w:hAnsi="Arial" w:cs="Arial"/>
          <w:sz w:val="20"/>
          <w:szCs w:val="20"/>
          <w:shd w:val="clear" w:color="auto" w:fill="FFFFFF"/>
        </w:rPr>
        <w:t xml:space="preserve"> o </w:t>
      </w:r>
      <w:r w:rsidRPr="0079585E">
        <w:rPr>
          <w:rFonts w:ascii="Arial" w:hAnsi="Arial" w:cs="Arial"/>
          <w:i/>
          <w:iCs/>
          <w:sz w:val="20"/>
          <w:szCs w:val="20"/>
          <w:shd w:val="clear" w:color="auto" w:fill="FFFFFF"/>
        </w:rPr>
        <w:t>demarcación</w:t>
      </w:r>
      <w:r w:rsidRPr="0079585E">
        <w:rPr>
          <w:rFonts w:ascii="Arial" w:hAnsi="Arial" w:cs="Arial"/>
          <w:sz w:val="20"/>
          <w:szCs w:val="20"/>
          <w:shd w:val="clear" w:color="auto" w:fill="FFFFFF"/>
        </w:rPr>
        <w:t xml:space="preserve"> de infraestructura de transporte y espacio público asociado señala de forma expresa las actividades de señalización y semaforización. Por lo tanto, es obligatoria la aplicación de los documentos tipo para las actividades señaladas. </w:t>
      </w:r>
    </w:p>
    <w:p w14:paraId="1F5EDF3C" w14:textId="77777777" w:rsidR="0079585E" w:rsidRDefault="0079585E" w:rsidP="0079585E">
      <w:pPr>
        <w:tabs>
          <w:tab w:val="left" w:pos="426"/>
        </w:tabs>
        <w:spacing w:after="0"/>
        <w:jc w:val="both"/>
        <w:rPr>
          <w:rFonts w:ascii="Arial" w:hAnsi="Arial" w:cs="Arial"/>
          <w:shd w:val="clear" w:color="auto" w:fill="FFFFFF"/>
        </w:rPr>
      </w:pPr>
    </w:p>
    <w:p w14:paraId="6D8CAA09" w14:textId="66481184" w:rsidR="00B80922" w:rsidRDefault="00B80922" w:rsidP="00D70F77">
      <w:pPr>
        <w:spacing w:after="0" w:line="240" w:lineRule="auto"/>
        <w:jc w:val="both"/>
        <w:rPr>
          <w:rFonts w:ascii="Arial" w:eastAsia="Calibri" w:hAnsi="Arial" w:cs="Arial"/>
          <w:sz w:val="20"/>
          <w:szCs w:val="20"/>
        </w:rPr>
      </w:pPr>
    </w:p>
    <w:p w14:paraId="75D4E3EB" w14:textId="0338AEF4" w:rsidR="00DE5B78" w:rsidRDefault="00DE5B78" w:rsidP="00D70F77">
      <w:pPr>
        <w:spacing w:after="0" w:line="240" w:lineRule="auto"/>
        <w:jc w:val="both"/>
        <w:rPr>
          <w:rFonts w:ascii="Arial" w:eastAsia="Calibri" w:hAnsi="Arial" w:cs="Arial"/>
          <w:sz w:val="20"/>
          <w:szCs w:val="20"/>
        </w:rPr>
      </w:pPr>
    </w:p>
    <w:p w14:paraId="309C6E6E" w14:textId="7C4536BE" w:rsidR="00DE5B78" w:rsidRDefault="00DE5B78" w:rsidP="00D70F77">
      <w:pPr>
        <w:spacing w:after="0" w:line="240" w:lineRule="auto"/>
        <w:jc w:val="both"/>
        <w:rPr>
          <w:rFonts w:ascii="Arial" w:eastAsia="Calibri" w:hAnsi="Arial" w:cs="Arial"/>
          <w:sz w:val="20"/>
          <w:szCs w:val="20"/>
        </w:rPr>
      </w:pPr>
    </w:p>
    <w:p w14:paraId="0652247E" w14:textId="184EA6DB" w:rsidR="00DE5B78" w:rsidRDefault="00DE5B78" w:rsidP="00D70F77">
      <w:pPr>
        <w:spacing w:after="0" w:line="240" w:lineRule="auto"/>
        <w:jc w:val="both"/>
        <w:rPr>
          <w:rFonts w:ascii="Arial" w:eastAsia="Calibri" w:hAnsi="Arial" w:cs="Arial"/>
          <w:sz w:val="20"/>
          <w:szCs w:val="20"/>
        </w:rPr>
      </w:pPr>
    </w:p>
    <w:p w14:paraId="1C63D210" w14:textId="3C7E73A0" w:rsidR="00DE5B78" w:rsidRDefault="00DE5B78" w:rsidP="00D70F77">
      <w:pPr>
        <w:spacing w:after="0" w:line="240" w:lineRule="auto"/>
        <w:jc w:val="both"/>
        <w:rPr>
          <w:rFonts w:ascii="Arial" w:eastAsia="Calibri" w:hAnsi="Arial" w:cs="Arial"/>
          <w:sz w:val="20"/>
          <w:szCs w:val="20"/>
        </w:rPr>
      </w:pPr>
    </w:p>
    <w:p w14:paraId="5A26835C" w14:textId="128A5025" w:rsidR="00DE5B78" w:rsidRDefault="00DE5B78" w:rsidP="00D70F77">
      <w:pPr>
        <w:spacing w:after="0" w:line="240" w:lineRule="auto"/>
        <w:jc w:val="both"/>
        <w:rPr>
          <w:rFonts w:ascii="Arial" w:eastAsia="Calibri" w:hAnsi="Arial" w:cs="Arial"/>
          <w:sz w:val="20"/>
          <w:szCs w:val="20"/>
        </w:rPr>
      </w:pPr>
    </w:p>
    <w:p w14:paraId="5F31483F" w14:textId="00AD8A8F" w:rsidR="00DE5B78" w:rsidRDefault="00DE5B78" w:rsidP="00D70F77">
      <w:pPr>
        <w:spacing w:after="0" w:line="240" w:lineRule="auto"/>
        <w:jc w:val="both"/>
        <w:rPr>
          <w:rFonts w:ascii="Arial" w:eastAsia="Calibri" w:hAnsi="Arial" w:cs="Arial"/>
          <w:sz w:val="20"/>
          <w:szCs w:val="20"/>
        </w:rPr>
      </w:pPr>
    </w:p>
    <w:p w14:paraId="1CA9321E" w14:textId="21F47C26" w:rsidR="00DE5B78" w:rsidRDefault="00DE5B78" w:rsidP="00D70F77">
      <w:pPr>
        <w:spacing w:after="0" w:line="240" w:lineRule="auto"/>
        <w:jc w:val="both"/>
        <w:rPr>
          <w:rFonts w:ascii="Arial" w:eastAsia="Calibri" w:hAnsi="Arial" w:cs="Arial"/>
          <w:sz w:val="20"/>
          <w:szCs w:val="20"/>
        </w:rPr>
      </w:pPr>
    </w:p>
    <w:p w14:paraId="3B4B7537" w14:textId="58DC920A" w:rsidR="00DE5B78" w:rsidRDefault="00DE5B78" w:rsidP="00D70F77">
      <w:pPr>
        <w:spacing w:after="0" w:line="240" w:lineRule="auto"/>
        <w:jc w:val="both"/>
        <w:rPr>
          <w:rFonts w:ascii="Arial" w:eastAsia="Calibri" w:hAnsi="Arial" w:cs="Arial"/>
          <w:sz w:val="20"/>
          <w:szCs w:val="20"/>
        </w:rPr>
      </w:pPr>
    </w:p>
    <w:p w14:paraId="1EADD098" w14:textId="6B31DBDC" w:rsidR="00DE5B78" w:rsidRDefault="00974E4F" w:rsidP="00BD466B">
      <w:pPr>
        <w:spacing w:after="0"/>
        <w:jc w:val="right"/>
        <w:rPr>
          <w:rFonts w:ascii="Arial" w:eastAsia="Calibri" w:hAnsi="Arial" w:cs="Arial"/>
          <w:color w:val="000000" w:themeColor="text1"/>
          <w:szCs w:val="20"/>
        </w:rPr>
      </w:pPr>
      <w:r>
        <w:rPr>
          <w:noProof/>
        </w:rPr>
        <w:lastRenderedPageBreak/>
        <w:drawing>
          <wp:inline distT="0" distB="0" distL="0" distR="0" wp14:anchorId="72CC7C42" wp14:editId="29C7DB33">
            <wp:extent cx="2305050" cy="619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5617" t="31627" r="12025" b="52915"/>
                    <a:stretch/>
                  </pic:blipFill>
                  <pic:spPr bwMode="auto">
                    <a:xfrm>
                      <a:off x="0" y="0"/>
                      <a:ext cx="2314143" cy="621567"/>
                    </a:xfrm>
                    <a:prstGeom prst="rect">
                      <a:avLst/>
                    </a:prstGeom>
                    <a:ln>
                      <a:noFill/>
                    </a:ln>
                    <a:extLst>
                      <a:ext uri="{53640926-AAD7-44D8-BBD7-CCE9431645EC}">
                        <a14:shadowObscured xmlns:a14="http://schemas.microsoft.com/office/drawing/2010/main"/>
                      </a:ext>
                    </a:extLst>
                  </pic:spPr>
                </pic:pic>
              </a:graphicData>
            </a:graphic>
          </wp:inline>
        </w:drawing>
      </w:r>
    </w:p>
    <w:p w14:paraId="0A2C62B4" w14:textId="77777777" w:rsidR="00811990" w:rsidRDefault="00811990" w:rsidP="007B3DC7">
      <w:pPr>
        <w:spacing w:after="0"/>
        <w:rPr>
          <w:rFonts w:ascii="Arial" w:eastAsia="Calibri" w:hAnsi="Arial" w:cs="Arial"/>
          <w:color w:val="000000" w:themeColor="text1"/>
          <w:szCs w:val="20"/>
        </w:rPr>
      </w:pPr>
    </w:p>
    <w:p w14:paraId="603AA3DF" w14:textId="191A3D49" w:rsidR="007B3DC7" w:rsidRPr="00007A77" w:rsidRDefault="007B3DC7" w:rsidP="007B3DC7">
      <w:pPr>
        <w:spacing w:after="0"/>
        <w:rPr>
          <w:rFonts w:ascii="Arial" w:eastAsia="Calibri" w:hAnsi="Arial" w:cs="Arial"/>
          <w:color w:val="000000" w:themeColor="text1"/>
          <w:szCs w:val="20"/>
        </w:rPr>
      </w:pPr>
      <w:r w:rsidRPr="00007A77">
        <w:rPr>
          <w:rFonts w:ascii="Arial" w:eastAsia="Calibri" w:hAnsi="Arial" w:cs="Arial"/>
          <w:color w:val="000000" w:themeColor="text1"/>
          <w:szCs w:val="20"/>
        </w:rPr>
        <w:t>Señor</w:t>
      </w:r>
      <w:r>
        <w:rPr>
          <w:rFonts w:ascii="Arial" w:eastAsia="Calibri" w:hAnsi="Arial" w:cs="Arial"/>
          <w:color w:val="000000" w:themeColor="text1"/>
          <w:szCs w:val="20"/>
        </w:rPr>
        <w:t>a</w:t>
      </w:r>
    </w:p>
    <w:p w14:paraId="44AD8B10" w14:textId="1C121217" w:rsidR="007B3DC7" w:rsidRPr="00384D6F" w:rsidRDefault="007B3DC7" w:rsidP="007B3DC7">
      <w:pPr>
        <w:spacing w:after="0"/>
        <w:rPr>
          <w:rFonts w:ascii="Arial" w:eastAsia="Calibri" w:hAnsi="Arial" w:cs="Arial"/>
          <w:b/>
          <w:bCs/>
          <w:color w:val="000000" w:themeColor="text1"/>
        </w:rPr>
      </w:pPr>
      <w:r w:rsidRPr="00384D6F">
        <w:rPr>
          <w:rFonts w:ascii="Arial" w:eastAsia="Calibri" w:hAnsi="Arial" w:cs="Arial"/>
          <w:b/>
          <w:bCs/>
          <w:color w:val="000000" w:themeColor="text1"/>
        </w:rPr>
        <w:t>Silvia Andrea Salazar S</w:t>
      </w:r>
      <w:r w:rsidR="00811990">
        <w:rPr>
          <w:rFonts w:ascii="Arial" w:eastAsia="Calibri" w:hAnsi="Arial" w:cs="Arial"/>
          <w:b/>
          <w:bCs/>
          <w:color w:val="000000" w:themeColor="text1"/>
        </w:rPr>
        <w:t>á</w:t>
      </w:r>
      <w:r w:rsidRPr="00384D6F">
        <w:rPr>
          <w:rFonts w:ascii="Arial" w:eastAsia="Calibri" w:hAnsi="Arial" w:cs="Arial"/>
          <w:b/>
          <w:bCs/>
          <w:color w:val="000000" w:themeColor="text1"/>
        </w:rPr>
        <w:t>nchez</w:t>
      </w:r>
    </w:p>
    <w:p w14:paraId="50BCB19D" w14:textId="2EA563BE" w:rsidR="007B3DC7" w:rsidRDefault="008D1A8A" w:rsidP="007B3DC7">
      <w:pPr>
        <w:spacing w:after="0"/>
        <w:rPr>
          <w:rFonts w:ascii="Arial" w:eastAsia="Calibri" w:hAnsi="Arial" w:cs="Arial"/>
          <w:color w:val="000000" w:themeColor="text1"/>
          <w:szCs w:val="20"/>
        </w:rPr>
      </w:pPr>
      <w:r>
        <w:rPr>
          <w:rFonts w:ascii="Arial" w:eastAsia="Calibri" w:hAnsi="Arial" w:cs="Arial"/>
          <w:color w:val="000000" w:themeColor="text1"/>
          <w:szCs w:val="20"/>
        </w:rPr>
        <w:t>Sogamoso, Boyacá</w:t>
      </w:r>
    </w:p>
    <w:p w14:paraId="19F041B3" w14:textId="3115230E" w:rsidR="00811990" w:rsidRDefault="00811990" w:rsidP="007B3DC7">
      <w:pPr>
        <w:spacing w:after="0"/>
        <w:rPr>
          <w:rFonts w:ascii="Arial" w:eastAsia="Calibri" w:hAnsi="Arial" w:cs="Arial"/>
          <w:color w:val="000000" w:themeColor="text1"/>
          <w:szCs w:val="20"/>
        </w:rPr>
      </w:pPr>
    </w:p>
    <w:p w14:paraId="12EE9E50" w14:textId="77777777" w:rsidR="00811990" w:rsidRPr="00007A77" w:rsidRDefault="00811990" w:rsidP="007B3DC7">
      <w:pPr>
        <w:spacing w:after="0"/>
        <w:rPr>
          <w:rFonts w:ascii="Arial" w:eastAsia="Calibri" w:hAnsi="Arial" w:cs="Arial"/>
          <w:color w:val="000000" w:themeColor="text1"/>
          <w:szCs w:val="20"/>
        </w:rPr>
      </w:pPr>
    </w:p>
    <w:p w14:paraId="20849006" w14:textId="7C4CD032" w:rsidR="007B3DC7" w:rsidRPr="005D307A" w:rsidRDefault="00811990" w:rsidP="0079585E">
      <w:pPr>
        <w:rPr>
          <w:rFonts w:ascii="Arial" w:eastAsia="Calibri" w:hAnsi="Arial" w:cs="Arial"/>
          <w:b/>
          <w:color w:val="000000" w:themeColor="text1"/>
        </w:rPr>
      </w:pPr>
      <w:r>
        <w:rPr>
          <w:rFonts w:ascii="Arial" w:eastAsia="Calibri" w:hAnsi="Arial" w:cs="Arial"/>
          <w:b/>
          <w:color w:val="000000" w:themeColor="text1"/>
        </w:rPr>
        <w:t xml:space="preserve">                                            </w:t>
      </w:r>
      <w:r w:rsidR="007B3DC7" w:rsidRPr="005D307A">
        <w:rPr>
          <w:rFonts w:ascii="Arial" w:eastAsia="Calibri" w:hAnsi="Arial" w:cs="Arial"/>
          <w:b/>
          <w:color w:val="000000" w:themeColor="text1"/>
        </w:rPr>
        <w:t xml:space="preserve">Concepto C </w:t>
      </w:r>
      <w:r w:rsidR="007B3DC7">
        <w:rPr>
          <w:rFonts w:ascii="Arial" w:eastAsia="Calibri" w:hAnsi="Arial" w:cs="Arial"/>
          <w:b/>
          <w:color w:val="000000" w:themeColor="text1"/>
        </w:rPr>
        <w:t>– 021 de 2021</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B3DC7" w:rsidRPr="00007A77" w14:paraId="651E0BE1" w14:textId="77777777" w:rsidTr="00831C6B">
        <w:tc>
          <w:tcPr>
            <w:tcW w:w="2689" w:type="dxa"/>
            <w:hideMark/>
          </w:tcPr>
          <w:p w14:paraId="1895E9A8" w14:textId="77777777" w:rsidR="007B3DC7" w:rsidRPr="00007A77" w:rsidRDefault="007B3DC7" w:rsidP="00831C6B">
            <w:pPr>
              <w:rPr>
                <w:rFonts w:ascii="Arial" w:eastAsia="Calibri" w:hAnsi="Arial" w:cs="Arial"/>
                <w:color w:val="000000" w:themeColor="text1"/>
              </w:rPr>
            </w:pPr>
            <w:r w:rsidRPr="00007A77">
              <w:rPr>
                <w:rFonts w:ascii="Arial" w:eastAsia="Calibri" w:hAnsi="Arial" w:cs="Arial"/>
                <w:b/>
                <w:color w:val="000000" w:themeColor="text1"/>
              </w:rPr>
              <w:t>Temas:</w:t>
            </w:r>
            <w:r w:rsidRPr="00007A77">
              <w:rPr>
                <w:rFonts w:ascii="Arial" w:eastAsia="Calibri" w:hAnsi="Arial" w:cs="Arial"/>
                <w:color w:val="000000" w:themeColor="text1"/>
              </w:rPr>
              <w:t xml:space="preserve">           </w:t>
            </w:r>
          </w:p>
          <w:p w14:paraId="4A31A3B4" w14:textId="77777777" w:rsidR="007B3DC7" w:rsidRPr="00007A77" w:rsidRDefault="007B3DC7" w:rsidP="00831C6B">
            <w:pPr>
              <w:rPr>
                <w:rFonts w:ascii="Arial" w:eastAsia="Calibri" w:hAnsi="Arial" w:cs="Arial"/>
                <w:color w:val="000000" w:themeColor="text1"/>
              </w:rPr>
            </w:pPr>
            <w:r w:rsidRPr="00007A77">
              <w:rPr>
                <w:rFonts w:ascii="Arial" w:eastAsia="Calibri" w:hAnsi="Arial" w:cs="Arial"/>
                <w:color w:val="000000" w:themeColor="text1"/>
              </w:rPr>
              <w:t xml:space="preserve">                           </w:t>
            </w:r>
          </w:p>
        </w:tc>
        <w:tc>
          <w:tcPr>
            <w:tcW w:w="6237" w:type="dxa"/>
            <w:hideMark/>
          </w:tcPr>
          <w:p w14:paraId="6D6209C7" w14:textId="514C6118" w:rsidR="007B3DC7" w:rsidRPr="00007A77" w:rsidRDefault="00B80922" w:rsidP="007D2A9C">
            <w:pPr>
              <w:spacing w:after="0"/>
              <w:jc w:val="both"/>
              <w:rPr>
                <w:rFonts w:ascii="Arial" w:eastAsia="Calibri" w:hAnsi="Arial" w:cs="Arial"/>
                <w:color w:val="000000" w:themeColor="text1"/>
              </w:rPr>
            </w:pPr>
            <w:r w:rsidRPr="00A51FBE">
              <w:rPr>
                <w:rFonts w:ascii="Arial" w:eastAsia="Calibri" w:hAnsi="Arial" w:cs="Arial"/>
              </w:rPr>
              <w:t>DOCUMENTOS TIPO – Ámbito de aplicación – Matriz 1</w:t>
            </w:r>
            <w:r>
              <w:rPr>
                <w:rFonts w:ascii="Arial" w:eastAsia="Calibri" w:hAnsi="Arial" w:cs="Arial"/>
              </w:rPr>
              <w:t xml:space="preserve"> / </w:t>
            </w:r>
            <w:r w:rsidRPr="00A51FBE">
              <w:rPr>
                <w:rFonts w:ascii="Arial" w:eastAsia="Calibri" w:hAnsi="Arial" w:cs="Arial"/>
              </w:rPr>
              <w:t>DOCUMENTOS TIPO – Demarcación – Señalización –</w:t>
            </w:r>
            <w:r w:rsidR="007D2A9C">
              <w:rPr>
                <w:rFonts w:ascii="Arial" w:eastAsia="Calibri" w:hAnsi="Arial" w:cs="Arial"/>
              </w:rPr>
              <w:t>Semaforización</w:t>
            </w:r>
          </w:p>
        </w:tc>
      </w:tr>
      <w:tr w:rsidR="007B3DC7" w:rsidRPr="00007A77" w14:paraId="249759A7" w14:textId="77777777" w:rsidTr="00831C6B">
        <w:tc>
          <w:tcPr>
            <w:tcW w:w="2689" w:type="dxa"/>
          </w:tcPr>
          <w:p w14:paraId="4CBAA8DB" w14:textId="77777777" w:rsidR="007B3DC7" w:rsidRPr="00007A77" w:rsidRDefault="007B3DC7" w:rsidP="00831C6B">
            <w:pPr>
              <w:spacing w:after="0"/>
              <w:rPr>
                <w:rFonts w:ascii="Arial" w:eastAsia="Calibri" w:hAnsi="Arial" w:cs="Arial"/>
                <w:b/>
                <w:color w:val="000000" w:themeColor="text1"/>
              </w:rPr>
            </w:pPr>
            <w:r w:rsidRPr="00007A77">
              <w:rPr>
                <w:rFonts w:ascii="Arial" w:eastAsia="Calibri" w:hAnsi="Arial" w:cs="Arial"/>
                <w:b/>
                <w:color w:val="000000" w:themeColor="text1"/>
              </w:rPr>
              <w:t>Radicación:</w:t>
            </w:r>
            <w:r w:rsidRPr="00007A77">
              <w:rPr>
                <w:rFonts w:ascii="Arial" w:eastAsia="Calibri" w:hAnsi="Arial" w:cs="Arial"/>
                <w:color w:val="000000" w:themeColor="text1"/>
              </w:rPr>
              <w:t xml:space="preserve">                              </w:t>
            </w:r>
          </w:p>
        </w:tc>
        <w:tc>
          <w:tcPr>
            <w:tcW w:w="6237" w:type="dxa"/>
          </w:tcPr>
          <w:p w14:paraId="2FECA58A" w14:textId="0CB8EA82" w:rsidR="007B3DC7" w:rsidRPr="00007A77" w:rsidRDefault="007B3DC7" w:rsidP="007D2A9C">
            <w:pPr>
              <w:spacing w:after="0"/>
              <w:jc w:val="both"/>
              <w:rPr>
                <w:rFonts w:ascii="Arial" w:eastAsia="Calibri" w:hAnsi="Arial" w:cs="Arial"/>
                <w:color w:val="000000" w:themeColor="text1"/>
              </w:rPr>
            </w:pPr>
            <w:r w:rsidRPr="00007A77">
              <w:rPr>
                <w:rFonts w:ascii="Arial" w:eastAsia="Calibri" w:hAnsi="Arial" w:cs="Arial"/>
                <w:color w:val="000000" w:themeColor="text1"/>
              </w:rPr>
              <w:t xml:space="preserve">Respuesta a la consulta # </w:t>
            </w:r>
            <w:r w:rsidR="00C26549" w:rsidRPr="00C26549">
              <w:rPr>
                <w:rFonts w:ascii="Arial" w:eastAsia="Calibri" w:hAnsi="Arial" w:cs="Arial"/>
                <w:color w:val="000000" w:themeColor="text1"/>
              </w:rPr>
              <w:t>P20210112000187</w:t>
            </w:r>
          </w:p>
        </w:tc>
      </w:tr>
    </w:tbl>
    <w:p w14:paraId="5D573030" w14:textId="673C2ED0" w:rsidR="007B3DC7" w:rsidRDefault="007B3DC7" w:rsidP="007B3DC7">
      <w:pPr>
        <w:spacing w:after="0"/>
        <w:jc w:val="both"/>
        <w:rPr>
          <w:rFonts w:ascii="Arial" w:eastAsia="Calibri" w:hAnsi="Arial" w:cs="Arial"/>
          <w:color w:val="000000" w:themeColor="text1"/>
        </w:rPr>
      </w:pPr>
    </w:p>
    <w:p w14:paraId="0ADCD3E8" w14:textId="77777777" w:rsidR="00811990" w:rsidRPr="00007A77" w:rsidRDefault="00811990" w:rsidP="007B3DC7">
      <w:pPr>
        <w:spacing w:after="0"/>
        <w:jc w:val="both"/>
        <w:rPr>
          <w:rFonts w:ascii="Arial" w:eastAsia="Calibri" w:hAnsi="Arial" w:cs="Arial"/>
          <w:color w:val="000000" w:themeColor="text1"/>
        </w:rPr>
      </w:pPr>
    </w:p>
    <w:p w14:paraId="74E07714" w14:textId="5EC6D1EE" w:rsidR="007B3DC7" w:rsidRPr="00007A77" w:rsidRDefault="007B3DC7" w:rsidP="007B3DC7">
      <w:pPr>
        <w:spacing w:after="0"/>
        <w:rPr>
          <w:rFonts w:ascii="Arial" w:eastAsia="Calibri" w:hAnsi="Arial" w:cs="Arial"/>
          <w:color w:val="000000" w:themeColor="text1"/>
        </w:rPr>
      </w:pPr>
      <w:r w:rsidRPr="00007A77">
        <w:rPr>
          <w:rFonts w:ascii="Arial" w:eastAsia="Calibri" w:hAnsi="Arial" w:cs="Arial"/>
          <w:color w:val="000000" w:themeColor="text1"/>
        </w:rPr>
        <w:t>Estimad</w:t>
      </w:r>
      <w:r w:rsidR="00811990">
        <w:rPr>
          <w:rFonts w:ascii="Arial" w:eastAsia="Calibri" w:hAnsi="Arial" w:cs="Arial"/>
          <w:color w:val="000000" w:themeColor="text1"/>
        </w:rPr>
        <w:t>a</w:t>
      </w:r>
      <w:r w:rsidRPr="00007A77">
        <w:rPr>
          <w:rFonts w:ascii="Arial" w:eastAsia="Calibri" w:hAnsi="Arial" w:cs="Arial"/>
          <w:color w:val="000000" w:themeColor="text1"/>
        </w:rPr>
        <w:t xml:space="preserve"> </w:t>
      </w:r>
      <w:r w:rsidRPr="00F12B7F">
        <w:rPr>
          <w:rFonts w:ascii="Arial" w:eastAsia="Calibri" w:hAnsi="Arial" w:cs="Arial"/>
          <w:color w:val="000000" w:themeColor="text1"/>
        </w:rPr>
        <w:t>señor</w:t>
      </w:r>
      <w:r>
        <w:rPr>
          <w:rFonts w:ascii="Arial" w:eastAsia="Calibri" w:hAnsi="Arial" w:cs="Arial"/>
          <w:color w:val="000000" w:themeColor="text1"/>
        </w:rPr>
        <w:t>a</w:t>
      </w:r>
      <w:r w:rsidRPr="00384D6F">
        <w:t xml:space="preserve"> </w:t>
      </w:r>
      <w:r>
        <w:rPr>
          <w:rFonts w:ascii="Arial" w:eastAsia="Calibri" w:hAnsi="Arial" w:cs="Arial"/>
          <w:color w:val="000000" w:themeColor="text1"/>
        </w:rPr>
        <w:t>S</w:t>
      </w:r>
      <w:r w:rsidRPr="00384D6F">
        <w:rPr>
          <w:rFonts w:ascii="Arial" w:eastAsia="Calibri" w:hAnsi="Arial" w:cs="Arial"/>
          <w:color w:val="000000" w:themeColor="text1"/>
        </w:rPr>
        <w:t xml:space="preserve">alazar </w:t>
      </w:r>
      <w:r w:rsidR="00811990">
        <w:rPr>
          <w:rFonts w:ascii="Arial" w:eastAsia="Calibri" w:hAnsi="Arial" w:cs="Arial"/>
          <w:color w:val="000000" w:themeColor="text1"/>
        </w:rPr>
        <w:t>S</w:t>
      </w:r>
      <w:r w:rsidR="00811990" w:rsidRPr="00384D6F">
        <w:rPr>
          <w:rFonts w:ascii="Arial" w:eastAsia="Calibri" w:hAnsi="Arial" w:cs="Arial"/>
          <w:color w:val="000000" w:themeColor="text1"/>
        </w:rPr>
        <w:t>ánchez</w:t>
      </w:r>
      <w:r w:rsidR="00811990">
        <w:rPr>
          <w:rFonts w:ascii="Arial" w:eastAsia="Calibri" w:hAnsi="Arial" w:cs="Arial"/>
          <w:color w:val="000000" w:themeColor="text1"/>
        </w:rPr>
        <w:t>:</w:t>
      </w:r>
    </w:p>
    <w:p w14:paraId="62452BB5" w14:textId="77777777" w:rsidR="007B3DC7" w:rsidRPr="00007A77" w:rsidRDefault="007B3DC7" w:rsidP="007B3DC7">
      <w:pPr>
        <w:spacing w:after="0"/>
        <w:rPr>
          <w:rFonts w:ascii="Arial" w:eastAsia="Calibri" w:hAnsi="Arial" w:cs="Arial"/>
          <w:color w:val="000000" w:themeColor="text1"/>
        </w:rPr>
      </w:pPr>
    </w:p>
    <w:p w14:paraId="12AA98E5" w14:textId="50A9094A" w:rsidR="007B3DC7" w:rsidRPr="00007A77" w:rsidRDefault="007B3DC7" w:rsidP="007B3DC7">
      <w:pPr>
        <w:spacing w:after="0"/>
        <w:ind w:right="51"/>
        <w:jc w:val="both"/>
        <w:rPr>
          <w:rFonts w:ascii="Arial" w:hAnsi="Arial" w:cs="Arial"/>
          <w:color w:val="000000" w:themeColor="text1"/>
        </w:rPr>
      </w:pPr>
      <w:r w:rsidRPr="00007A77">
        <w:rPr>
          <w:rFonts w:ascii="Arial" w:hAnsi="Arial" w:cs="Arial"/>
          <w:color w:val="000000" w:themeColor="text1"/>
        </w:rPr>
        <w:t xml:space="preserve">En ejercicio de la competencia otorgada por el numeral 8 del artículo 11 y el numeral 5 del artículo 3 del Decreto Ley 4170 de 2011, la Agencia Nacional de Contratación Pública </w:t>
      </w:r>
      <w:r w:rsidR="00811990">
        <w:rPr>
          <w:rFonts w:ascii="Arial" w:hAnsi="Arial" w:cs="Arial"/>
          <w:color w:val="000000" w:themeColor="text1"/>
        </w:rPr>
        <w:t xml:space="preserve">– </w:t>
      </w:r>
      <w:r w:rsidRPr="00007A77">
        <w:rPr>
          <w:rFonts w:ascii="Arial" w:hAnsi="Arial" w:cs="Arial"/>
          <w:color w:val="000000" w:themeColor="text1"/>
        </w:rPr>
        <w:t xml:space="preserve">Colombia Compra Eficiente responde su consulta del </w:t>
      </w:r>
      <w:r>
        <w:rPr>
          <w:rFonts w:ascii="Arial" w:hAnsi="Arial" w:cs="Arial"/>
          <w:color w:val="000000" w:themeColor="text1"/>
        </w:rPr>
        <w:t>11</w:t>
      </w:r>
      <w:r w:rsidRPr="00007A77">
        <w:rPr>
          <w:rFonts w:ascii="Arial" w:hAnsi="Arial" w:cs="Arial"/>
          <w:color w:val="000000" w:themeColor="text1"/>
        </w:rPr>
        <w:t xml:space="preserve"> de </w:t>
      </w:r>
      <w:r>
        <w:rPr>
          <w:rFonts w:ascii="Arial" w:hAnsi="Arial" w:cs="Arial"/>
          <w:color w:val="000000" w:themeColor="text1"/>
        </w:rPr>
        <w:t xml:space="preserve">enero </w:t>
      </w:r>
      <w:r w:rsidRPr="00007A77">
        <w:rPr>
          <w:rFonts w:ascii="Arial" w:hAnsi="Arial" w:cs="Arial"/>
          <w:color w:val="000000" w:themeColor="text1"/>
        </w:rPr>
        <w:t>del año 202</w:t>
      </w:r>
      <w:r>
        <w:rPr>
          <w:rFonts w:ascii="Arial" w:hAnsi="Arial" w:cs="Arial"/>
          <w:color w:val="000000" w:themeColor="text1"/>
        </w:rPr>
        <w:t>1</w:t>
      </w:r>
      <w:r w:rsidRPr="00007A77">
        <w:rPr>
          <w:rFonts w:ascii="Arial" w:hAnsi="Arial" w:cs="Arial"/>
          <w:color w:val="000000" w:themeColor="text1"/>
        </w:rPr>
        <w:t xml:space="preserve">. </w:t>
      </w:r>
    </w:p>
    <w:p w14:paraId="35B85060" w14:textId="77777777" w:rsidR="007B3DC7" w:rsidRPr="00007A77" w:rsidRDefault="007B3DC7" w:rsidP="007B3DC7">
      <w:pPr>
        <w:pStyle w:val="Prrafodelista"/>
        <w:tabs>
          <w:tab w:val="left" w:pos="284"/>
        </w:tabs>
        <w:ind w:left="0"/>
        <w:jc w:val="both"/>
        <w:rPr>
          <w:rFonts w:ascii="Arial" w:hAnsi="Arial" w:cs="Arial"/>
          <w:color w:val="000000" w:themeColor="text1"/>
          <w:sz w:val="22"/>
        </w:rPr>
      </w:pPr>
    </w:p>
    <w:p w14:paraId="7AF03BC7" w14:textId="5ADD0917" w:rsidR="007B3DC7" w:rsidRDefault="007B3DC7" w:rsidP="007B3DC7">
      <w:pPr>
        <w:pStyle w:val="Prrafodelista"/>
        <w:tabs>
          <w:tab w:val="left" w:pos="284"/>
        </w:tabs>
        <w:ind w:left="0"/>
        <w:jc w:val="both"/>
        <w:rPr>
          <w:rFonts w:ascii="Arial" w:eastAsia="Calibri" w:hAnsi="Arial" w:cs="Arial"/>
          <w:b/>
          <w:color w:val="000000" w:themeColor="text1"/>
          <w:sz w:val="22"/>
        </w:rPr>
      </w:pPr>
      <w:r w:rsidRPr="00007A77">
        <w:rPr>
          <w:rFonts w:ascii="Arial" w:eastAsia="Calibri" w:hAnsi="Arial" w:cs="Arial"/>
          <w:b/>
          <w:color w:val="000000" w:themeColor="text1"/>
          <w:sz w:val="22"/>
        </w:rPr>
        <w:t>1.</w:t>
      </w:r>
      <w:r w:rsidRPr="00007A77">
        <w:rPr>
          <w:rFonts w:ascii="Arial" w:eastAsia="Calibri" w:hAnsi="Arial" w:cs="Arial"/>
          <w:color w:val="000000" w:themeColor="text1"/>
          <w:sz w:val="22"/>
        </w:rPr>
        <w:t xml:space="preserve"> </w:t>
      </w:r>
      <w:r w:rsidRPr="00007A77">
        <w:rPr>
          <w:rFonts w:ascii="Arial" w:eastAsia="Calibri" w:hAnsi="Arial" w:cs="Arial"/>
          <w:b/>
          <w:color w:val="000000" w:themeColor="text1"/>
          <w:sz w:val="22"/>
        </w:rPr>
        <w:t xml:space="preserve">Problema planteado </w:t>
      </w:r>
    </w:p>
    <w:p w14:paraId="6D323761" w14:textId="77777777" w:rsidR="007B3DC7" w:rsidRPr="00007A77" w:rsidRDefault="007B3DC7" w:rsidP="007B3DC7">
      <w:pPr>
        <w:pStyle w:val="Prrafodelista"/>
        <w:tabs>
          <w:tab w:val="left" w:pos="284"/>
        </w:tabs>
        <w:ind w:left="0"/>
        <w:jc w:val="both"/>
        <w:rPr>
          <w:rFonts w:ascii="Arial" w:eastAsia="Calibri" w:hAnsi="Arial" w:cs="Arial"/>
          <w:b/>
          <w:color w:val="000000" w:themeColor="text1"/>
          <w:sz w:val="22"/>
        </w:rPr>
      </w:pPr>
    </w:p>
    <w:p w14:paraId="3A836845" w14:textId="77777777" w:rsidR="007B3DC7" w:rsidRDefault="007B3DC7" w:rsidP="007B3DC7">
      <w:pPr>
        <w:tabs>
          <w:tab w:val="left" w:pos="426"/>
        </w:tabs>
        <w:spacing w:after="0"/>
        <w:jc w:val="both"/>
        <w:rPr>
          <w:rFonts w:ascii="Arial" w:hAnsi="Arial" w:cs="Arial"/>
        </w:rPr>
      </w:pPr>
      <w:r>
        <w:rPr>
          <w:rFonts w:ascii="Arial" w:hAnsi="Arial" w:cs="Arial"/>
        </w:rPr>
        <w:t>Usted realiza la siguiente pregunta: «l</w:t>
      </w:r>
      <w:r w:rsidRPr="00384D6F">
        <w:rPr>
          <w:rFonts w:ascii="Arial" w:hAnsi="Arial" w:cs="Arial"/>
        </w:rPr>
        <w:t>os procesos por licitación</w:t>
      </w:r>
      <w:r>
        <w:rPr>
          <w:rFonts w:ascii="Arial" w:hAnsi="Arial" w:cs="Arial"/>
        </w:rPr>
        <w:t xml:space="preserve"> </w:t>
      </w:r>
      <w:proofErr w:type="spellStart"/>
      <w:r w:rsidRPr="00384D6F">
        <w:rPr>
          <w:rFonts w:ascii="Arial" w:hAnsi="Arial" w:cs="Arial"/>
        </w:rPr>
        <w:t>publica</w:t>
      </w:r>
      <w:proofErr w:type="spellEnd"/>
      <w:r>
        <w:rPr>
          <w:rFonts w:ascii="Arial" w:hAnsi="Arial" w:cs="Arial"/>
        </w:rPr>
        <w:t xml:space="preserve"> (sic)</w:t>
      </w:r>
      <w:r w:rsidRPr="00384D6F">
        <w:rPr>
          <w:rFonts w:ascii="Arial" w:hAnsi="Arial" w:cs="Arial"/>
        </w:rPr>
        <w:t xml:space="preserve">, para </w:t>
      </w:r>
      <w:proofErr w:type="spellStart"/>
      <w:r w:rsidRPr="00384D6F">
        <w:rPr>
          <w:rFonts w:ascii="Arial" w:hAnsi="Arial" w:cs="Arial"/>
        </w:rPr>
        <w:t>señalizacion</w:t>
      </w:r>
      <w:proofErr w:type="spellEnd"/>
      <w:r w:rsidRPr="00384D6F">
        <w:rPr>
          <w:rFonts w:ascii="Arial" w:hAnsi="Arial" w:cs="Arial"/>
        </w:rPr>
        <w:t xml:space="preserve"> </w:t>
      </w:r>
      <w:r>
        <w:rPr>
          <w:rFonts w:ascii="Arial" w:hAnsi="Arial" w:cs="Arial"/>
        </w:rPr>
        <w:t xml:space="preserve">(sic) </w:t>
      </w:r>
      <w:r w:rsidRPr="00384D6F">
        <w:rPr>
          <w:rFonts w:ascii="Arial" w:hAnsi="Arial" w:cs="Arial"/>
        </w:rPr>
        <w:t xml:space="preserve">y semaforización de </w:t>
      </w:r>
      <w:proofErr w:type="spellStart"/>
      <w:r w:rsidRPr="00384D6F">
        <w:rPr>
          <w:rFonts w:ascii="Arial" w:hAnsi="Arial" w:cs="Arial"/>
        </w:rPr>
        <w:t>vias</w:t>
      </w:r>
      <w:proofErr w:type="spellEnd"/>
      <w:r w:rsidRPr="00384D6F">
        <w:rPr>
          <w:rFonts w:ascii="Arial" w:hAnsi="Arial" w:cs="Arial"/>
        </w:rPr>
        <w:t xml:space="preserve"> </w:t>
      </w:r>
      <w:r>
        <w:rPr>
          <w:rFonts w:ascii="Arial" w:hAnsi="Arial" w:cs="Arial"/>
        </w:rPr>
        <w:t xml:space="preserve">(sic) </w:t>
      </w:r>
      <w:r w:rsidRPr="00384D6F">
        <w:rPr>
          <w:rFonts w:ascii="Arial" w:hAnsi="Arial" w:cs="Arial"/>
        </w:rPr>
        <w:t>urbanas están sujetos a pliegos tipo?</w:t>
      </w:r>
      <w:r>
        <w:rPr>
          <w:rFonts w:ascii="Arial" w:hAnsi="Arial" w:cs="Arial"/>
        </w:rPr>
        <w:t>»</w:t>
      </w:r>
    </w:p>
    <w:p w14:paraId="5E43E56C" w14:textId="77777777" w:rsidR="007B3DC7" w:rsidRPr="00007A77" w:rsidRDefault="007B3DC7" w:rsidP="007B3DC7">
      <w:pPr>
        <w:tabs>
          <w:tab w:val="left" w:pos="426"/>
        </w:tabs>
        <w:spacing w:after="0"/>
        <w:jc w:val="both"/>
        <w:rPr>
          <w:rFonts w:ascii="Arial" w:eastAsia="Calibri" w:hAnsi="Arial" w:cs="Arial"/>
          <w:color w:val="000000" w:themeColor="text1"/>
        </w:rPr>
      </w:pPr>
    </w:p>
    <w:p w14:paraId="6DC54F93" w14:textId="77777777" w:rsidR="007B3DC7" w:rsidRPr="00007A77" w:rsidRDefault="007B3DC7" w:rsidP="007B3DC7">
      <w:pPr>
        <w:tabs>
          <w:tab w:val="left" w:pos="426"/>
        </w:tabs>
        <w:spacing w:after="0"/>
        <w:jc w:val="both"/>
        <w:rPr>
          <w:rFonts w:ascii="Arial" w:eastAsia="Calibri" w:hAnsi="Arial" w:cs="Arial"/>
          <w:b/>
          <w:color w:val="000000" w:themeColor="text1"/>
        </w:rPr>
      </w:pPr>
      <w:r w:rsidRPr="00007A77">
        <w:rPr>
          <w:rFonts w:ascii="Arial" w:eastAsia="Calibri" w:hAnsi="Arial" w:cs="Arial"/>
          <w:b/>
          <w:color w:val="000000" w:themeColor="text1"/>
        </w:rPr>
        <w:t>2.</w:t>
      </w:r>
      <w:r w:rsidRPr="00007A77">
        <w:rPr>
          <w:rFonts w:ascii="Arial" w:eastAsia="Calibri" w:hAnsi="Arial" w:cs="Arial"/>
          <w:color w:val="000000" w:themeColor="text1"/>
        </w:rPr>
        <w:t xml:space="preserve"> </w:t>
      </w:r>
      <w:r w:rsidRPr="00007A77">
        <w:rPr>
          <w:rFonts w:ascii="Arial" w:eastAsia="Calibri" w:hAnsi="Arial" w:cs="Arial"/>
          <w:b/>
          <w:color w:val="000000" w:themeColor="text1"/>
        </w:rPr>
        <w:t>Consideraciones</w:t>
      </w:r>
    </w:p>
    <w:p w14:paraId="458AB775" w14:textId="77777777" w:rsidR="007B3DC7" w:rsidRDefault="007B3DC7" w:rsidP="007B3DC7">
      <w:pPr>
        <w:spacing w:after="0"/>
        <w:jc w:val="both"/>
        <w:rPr>
          <w:rFonts w:ascii="Arial" w:eastAsia="Calibri" w:hAnsi="Arial" w:cs="Arial"/>
          <w:color w:val="000000"/>
          <w:shd w:val="clear" w:color="auto" w:fill="FFFFFF"/>
          <w:lang w:val="es-MX"/>
        </w:rPr>
      </w:pPr>
      <w:bookmarkStart w:id="1" w:name="_Hlk56601180"/>
      <w:bookmarkStart w:id="2" w:name="_Hlk56601711"/>
    </w:p>
    <w:p w14:paraId="4D73FEF2" w14:textId="21794EE6" w:rsidR="007B3DC7" w:rsidRPr="00384D6F" w:rsidRDefault="007B3DC7" w:rsidP="00712EA2">
      <w:pPr>
        <w:spacing w:after="120"/>
        <w:jc w:val="both"/>
        <w:rPr>
          <w:rFonts w:ascii="Arial" w:eastAsia="Calibri" w:hAnsi="Arial" w:cs="Arial"/>
          <w:color w:val="000000"/>
          <w:lang w:val="es-MX"/>
        </w:rPr>
      </w:pPr>
      <w:r w:rsidRPr="00E013AA">
        <w:rPr>
          <w:rFonts w:ascii="Arial" w:eastAsia="Calibri" w:hAnsi="Arial" w:cs="Arial"/>
        </w:rPr>
        <w:t xml:space="preserve">La Agencia Nacional de Contratación Pública − Colombia Compra Eficiente </w:t>
      </w:r>
      <w:r w:rsidRPr="00E013AA">
        <w:rPr>
          <w:rFonts w:ascii="Arial" w:hAnsi="Arial" w:cs="Arial"/>
        </w:rPr>
        <w:t>estudió el ámbito de aplicación de los Documentos Tipo</w:t>
      </w:r>
      <w:r w:rsidRPr="00E013AA">
        <w:rPr>
          <w:rFonts w:ascii="Arial" w:eastAsia="Calibri" w:hAnsi="Arial" w:cs="Arial"/>
        </w:rPr>
        <w:t xml:space="preserve"> en los </w:t>
      </w:r>
      <w:r>
        <w:rPr>
          <w:rFonts w:ascii="Arial" w:eastAsia="Calibri" w:hAnsi="Arial" w:cs="Arial"/>
        </w:rPr>
        <w:t>C</w:t>
      </w:r>
      <w:r w:rsidRPr="00E013AA">
        <w:rPr>
          <w:rFonts w:ascii="Arial" w:eastAsia="Calibri" w:hAnsi="Arial" w:cs="Arial"/>
        </w:rPr>
        <w:t xml:space="preserve">onceptos </w:t>
      </w:r>
      <w:r w:rsidRPr="00E013AA">
        <w:rPr>
          <w:rFonts w:ascii="Arial" w:hAnsi="Arial" w:cs="Arial"/>
        </w:rPr>
        <w:t>C</w:t>
      </w:r>
      <w:r w:rsidR="008408EB">
        <w:rPr>
          <w:rFonts w:ascii="Arial" w:hAnsi="Arial" w:cs="Arial"/>
        </w:rPr>
        <w:t>−</w:t>
      </w:r>
      <w:r w:rsidRPr="00E013AA">
        <w:rPr>
          <w:rFonts w:ascii="Arial" w:hAnsi="Arial" w:cs="Arial"/>
        </w:rPr>
        <w:t>144 del 2 de marzo de 2020, C</w:t>
      </w:r>
      <w:r w:rsidR="008408EB">
        <w:rPr>
          <w:rFonts w:ascii="Arial" w:hAnsi="Arial" w:cs="Arial"/>
        </w:rPr>
        <w:t>−</w:t>
      </w:r>
      <w:r w:rsidRPr="00E013AA">
        <w:rPr>
          <w:rFonts w:ascii="Arial" w:hAnsi="Arial" w:cs="Arial"/>
        </w:rPr>
        <w:t>143 del 8 de marzo de 2020, C</w:t>
      </w:r>
      <w:r w:rsidR="008408EB">
        <w:rPr>
          <w:rFonts w:ascii="Arial" w:hAnsi="Arial" w:cs="Arial"/>
        </w:rPr>
        <w:t>−</w:t>
      </w:r>
      <w:r w:rsidRPr="00E013AA">
        <w:rPr>
          <w:rFonts w:ascii="Arial" w:hAnsi="Arial" w:cs="Arial"/>
        </w:rPr>
        <w:t>102 del 18 de marzo de 2020, C</w:t>
      </w:r>
      <w:r w:rsidR="008408EB">
        <w:rPr>
          <w:rFonts w:ascii="Arial" w:hAnsi="Arial" w:cs="Arial"/>
        </w:rPr>
        <w:t>−</w:t>
      </w:r>
      <w:r w:rsidRPr="00E013AA">
        <w:rPr>
          <w:rFonts w:ascii="Arial" w:hAnsi="Arial" w:cs="Arial"/>
        </w:rPr>
        <w:t>163 del 31 de marzo de 2020, C</w:t>
      </w:r>
      <w:r w:rsidR="008408EB">
        <w:rPr>
          <w:rFonts w:ascii="Arial" w:hAnsi="Arial" w:cs="Arial"/>
        </w:rPr>
        <w:t>−</w:t>
      </w:r>
      <w:r w:rsidRPr="00E013AA">
        <w:rPr>
          <w:rFonts w:ascii="Arial" w:hAnsi="Arial" w:cs="Arial"/>
        </w:rPr>
        <w:t>169 del 6 de abril de 2020, C</w:t>
      </w:r>
      <w:r w:rsidR="008408EB">
        <w:rPr>
          <w:rFonts w:ascii="Arial" w:hAnsi="Arial" w:cs="Arial"/>
        </w:rPr>
        <w:t>−</w:t>
      </w:r>
      <w:r w:rsidRPr="00E013AA">
        <w:rPr>
          <w:rFonts w:ascii="Arial" w:hAnsi="Arial" w:cs="Arial"/>
        </w:rPr>
        <w:t>188 del 13 de abril de 2020, C</w:t>
      </w:r>
      <w:r w:rsidR="008408EB">
        <w:rPr>
          <w:rFonts w:ascii="Arial" w:hAnsi="Arial" w:cs="Arial"/>
        </w:rPr>
        <w:t>−</w:t>
      </w:r>
      <w:r w:rsidRPr="00E013AA">
        <w:rPr>
          <w:rFonts w:ascii="Arial" w:hAnsi="Arial" w:cs="Arial"/>
        </w:rPr>
        <w:t>263 del 20 de mayo de 2020, C</w:t>
      </w:r>
      <w:r w:rsidR="008408EB">
        <w:rPr>
          <w:rFonts w:ascii="Arial" w:hAnsi="Arial" w:cs="Arial"/>
        </w:rPr>
        <w:t>−</w:t>
      </w:r>
      <w:r w:rsidRPr="00E013AA">
        <w:rPr>
          <w:rFonts w:ascii="Arial" w:hAnsi="Arial" w:cs="Arial"/>
        </w:rPr>
        <w:t>341 del 22 de mayo de 2020, C</w:t>
      </w:r>
      <w:r w:rsidR="008408EB">
        <w:rPr>
          <w:rFonts w:ascii="Arial" w:hAnsi="Arial" w:cs="Arial"/>
        </w:rPr>
        <w:t>−</w:t>
      </w:r>
      <w:r w:rsidRPr="00E013AA">
        <w:rPr>
          <w:rFonts w:ascii="Arial" w:hAnsi="Arial" w:cs="Arial"/>
        </w:rPr>
        <w:t>286 del 26 de mayo de 2020, C</w:t>
      </w:r>
      <w:r w:rsidR="008408EB">
        <w:rPr>
          <w:rFonts w:ascii="Arial" w:hAnsi="Arial" w:cs="Arial"/>
        </w:rPr>
        <w:t>−</w:t>
      </w:r>
      <w:r w:rsidRPr="00E013AA">
        <w:rPr>
          <w:rFonts w:ascii="Arial" w:hAnsi="Arial" w:cs="Arial"/>
        </w:rPr>
        <w:t>332 del 26 de mayo de 2020, C</w:t>
      </w:r>
      <w:r w:rsidR="008408EB">
        <w:rPr>
          <w:rFonts w:ascii="Arial" w:hAnsi="Arial" w:cs="Arial"/>
        </w:rPr>
        <w:t>−</w:t>
      </w:r>
      <w:r w:rsidRPr="00E013AA">
        <w:rPr>
          <w:rFonts w:ascii="Arial" w:hAnsi="Arial" w:cs="Arial"/>
        </w:rPr>
        <w:t>338 del 4 de junio de 2020, C</w:t>
      </w:r>
      <w:r w:rsidR="008408EB">
        <w:rPr>
          <w:rFonts w:ascii="Arial" w:hAnsi="Arial" w:cs="Arial"/>
        </w:rPr>
        <w:t>−</w:t>
      </w:r>
      <w:r w:rsidRPr="00E013AA">
        <w:rPr>
          <w:rFonts w:ascii="Arial" w:hAnsi="Arial" w:cs="Arial"/>
        </w:rPr>
        <w:t>342 del 9 de junio de 2020, C</w:t>
      </w:r>
      <w:r w:rsidR="008408EB">
        <w:rPr>
          <w:rFonts w:ascii="Arial" w:hAnsi="Arial" w:cs="Arial"/>
        </w:rPr>
        <w:t>−</w:t>
      </w:r>
      <w:r w:rsidRPr="00E013AA">
        <w:rPr>
          <w:rFonts w:ascii="Arial" w:hAnsi="Arial" w:cs="Arial"/>
        </w:rPr>
        <w:t>404 del 12 de junio de 2020, C</w:t>
      </w:r>
      <w:r w:rsidR="008408EB">
        <w:rPr>
          <w:rFonts w:ascii="Arial" w:hAnsi="Arial" w:cs="Arial"/>
        </w:rPr>
        <w:t>−</w:t>
      </w:r>
      <w:r w:rsidRPr="00E013AA">
        <w:rPr>
          <w:rFonts w:ascii="Arial" w:hAnsi="Arial" w:cs="Arial"/>
        </w:rPr>
        <w:t>351 del 16 de junio de 2020, C</w:t>
      </w:r>
      <w:r w:rsidR="008408EB">
        <w:rPr>
          <w:rFonts w:ascii="Arial" w:hAnsi="Arial" w:cs="Arial"/>
        </w:rPr>
        <w:t>−</w:t>
      </w:r>
      <w:r w:rsidRPr="00E013AA">
        <w:rPr>
          <w:rFonts w:ascii="Arial" w:hAnsi="Arial" w:cs="Arial"/>
        </w:rPr>
        <w:t>422 del 3 de junio de 2020, C</w:t>
      </w:r>
      <w:r w:rsidR="008408EB">
        <w:rPr>
          <w:rFonts w:ascii="Arial" w:hAnsi="Arial" w:cs="Arial"/>
        </w:rPr>
        <w:t>−</w:t>
      </w:r>
      <w:r w:rsidRPr="00E013AA">
        <w:rPr>
          <w:rFonts w:ascii="Arial" w:hAnsi="Arial" w:cs="Arial"/>
        </w:rPr>
        <w:t>405 del 6 de julio de 2020, C</w:t>
      </w:r>
      <w:r w:rsidR="008408EB">
        <w:rPr>
          <w:rFonts w:ascii="Arial" w:hAnsi="Arial" w:cs="Arial"/>
        </w:rPr>
        <w:t>−</w:t>
      </w:r>
      <w:r w:rsidRPr="00E013AA">
        <w:rPr>
          <w:rFonts w:ascii="Arial" w:hAnsi="Arial" w:cs="Arial"/>
        </w:rPr>
        <w:t>421 del 15 de julio de 2020, C</w:t>
      </w:r>
      <w:r w:rsidR="008408EB">
        <w:rPr>
          <w:rFonts w:ascii="Arial" w:hAnsi="Arial" w:cs="Arial"/>
        </w:rPr>
        <w:t>−</w:t>
      </w:r>
      <w:r w:rsidRPr="00E013AA">
        <w:rPr>
          <w:rFonts w:ascii="Arial" w:hAnsi="Arial" w:cs="Arial"/>
        </w:rPr>
        <w:t>429 del 24 de julio de 2020, C</w:t>
      </w:r>
      <w:r w:rsidR="008408EB">
        <w:rPr>
          <w:rFonts w:ascii="Arial" w:hAnsi="Arial" w:cs="Arial"/>
        </w:rPr>
        <w:t>−</w:t>
      </w:r>
      <w:r w:rsidRPr="00E013AA">
        <w:rPr>
          <w:rFonts w:ascii="Arial" w:hAnsi="Arial" w:cs="Arial"/>
        </w:rPr>
        <w:t>466 del 24 de julio de 2020, C</w:t>
      </w:r>
      <w:r w:rsidR="008408EB">
        <w:rPr>
          <w:rFonts w:ascii="Arial" w:hAnsi="Arial" w:cs="Arial"/>
        </w:rPr>
        <w:t>−</w:t>
      </w:r>
      <w:r w:rsidRPr="00E013AA">
        <w:rPr>
          <w:rFonts w:ascii="Arial" w:hAnsi="Arial" w:cs="Arial"/>
        </w:rPr>
        <w:t>502 del 29 de julio de 2020, C</w:t>
      </w:r>
      <w:r w:rsidR="008408EB">
        <w:rPr>
          <w:rFonts w:ascii="Arial" w:hAnsi="Arial" w:cs="Arial"/>
        </w:rPr>
        <w:t>−</w:t>
      </w:r>
      <w:r w:rsidRPr="00E013AA">
        <w:rPr>
          <w:rFonts w:ascii="Arial" w:hAnsi="Arial" w:cs="Arial"/>
        </w:rPr>
        <w:t>391 del 10 de agosto de 2020, C</w:t>
      </w:r>
      <w:r w:rsidR="008408EB">
        <w:rPr>
          <w:rFonts w:ascii="Arial" w:hAnsi="Arial" w:cs="Arial"/>
        </w:rPr>
        <w:t>−</w:t>
      </w:r>
      <w:r w:rsidRPr="00E013AA">
        <w:rPr>
          <w:rFonts w:ascii="Arial" w:hAnsi="Arial" w:cs="Arial"/>
        </w:rPr>
        <w:t>548 del 21 de agosto de 2020, C</w:t>
      </w:r>
      <w:r w:rsidR="008408EB">
        <w:rPr>
          <w:rFonts w:ascii="Arial" w:hAnsi="Arial" w:cs="Arial"/>
        </w:rPr>
        <w:t>−</w:t>
      </w:r>
      <w:r w:rsidRPr="00E013AA">
        <w:rPr>
          <w:rFonts w:ascii="Arial" w:hAnsi="Arial" w:cs="Arial"/>
        </w:rPr>
        <w:t>591 del 31 de agosto de 2020, C</w:t>
      </w:r>
      <w:r w:rsidR="008408EB">
        <w:rPr>
          <w:rFonts w:ascii="Arial" w:hAnsi="Arial" w:cs="Arial"/>
        </w:rPr>
        <w:t>−</w:t>
      </w:r>
      <w:r w:rsidRPr="00E013AA">
        <w:rPr>
          <w:rFonts w:ascii="Arial" w:hAnsi="Arial" w:cs="Arial"/>
        </w:rPr>
        <w:t>597 del 14 de septiembre de 2020, C</w:t>
      </w:r>
      <w:r w:rsidR="008408EB">
        <w:rPr>
          <w:rFonts w:ascii="Arial" w:hAnsi="Arial" w:cs="Arial"/>
        </w:rPr>
        <w:t>−</w:t>
      </w:r>
      <w:r w:rsidRPr="00E013AA">
        <w:rPr>
          <w:rFonts w:ascii="Arial" w:hAnsi="Arial" w:cs="Arial"/>
        </w:rPr>
        <w:t>615 del 2 de octubre de 2020, C</w:t>
      </w:r>
      <w:r w:rsidR="008408EB">
        <w:rPr>
          <w:rFonts w:ascii="Arial" w:hAnsi="Arial" w:cs="Arial"/>
        </w:rPr>
        <w:t>−</w:t>
      </w:r>
      <w:r w:rsidRPr="00E013AA">
        <w:rPr>
          <w:rFonts w:ascii="Arial" w:hAnsi="Arial" w:cs="Arial"/>
        </w:rPr>
        <w:t xml:space="preserve">622 del 2 de </w:t>
      </w:r>
      <w:r w:rsidRPr="00E013AA">
        <w:rPr>
          <w:rFonts w:ascii="Arial" w:hAnsi="Arial" w:cs="Arial"/>
        </w:rPr>
        <w:lastRenderedPageBreak/>
        <w:t>octubre de 2020, C</w:t>
      </w:r>
      <w:r w:rsidR="008408EB">
        <w:rPr>
          <w:rFonts w:ascii="Arial" w:hAnsi="Arial" w:cs="Arial"/>
        </w:rPr>
        <w:t>−</w:t>
      </w:r>
      <w:r w:rsidRPr="00E013AA">
        <w:rPr>
          <w:rFonts w:ascii="Arial" w:hAnsi="Arial" w:cs="Arial"/>
        </w:rPr>
        <w:t>640 del 2 de octubre de 2020, C</w:t>
      </w:r>
      <w:r w:rsidR="008408EB">
        <w:rPr>
          <w:rFonts w:ascii="Arial" w:hAnsi="Arial" w:cs="Arial"/>
        </w:rPr>
        <w:t>−</w:t>
      </w:r>
      <w:r w:rsidRPr="00E013AA">
        <w:rPr>
          <w:rFonts w:ascii="Arial" w:hAnsi="Arial" w:cs="Arial"/>
        </w:rPr>
        <w:t>645 del 6 de noviembre de 2020, C</w:t>
      </w:r>
      <w:r w:rsidR="008408EB">
        <w:rPr>
          <w:rFonts w:ascii="Arial" w:hAnsi="Arial" w:cs="Arial"/>
        </w:rPr>
        <w:t>−</w:t>
      </w:r>
      <w:r w:rsidRPr="00E013AA">
        <w:rPr>
          <w:rFonts w:ascii="Arial" w:hAnsi="Arial" w:cs="Arial"/>
        </w:rPr>
        <w:t>673 del 11 de noviembre de 2020, C</w:t>
      </w:r>
      <w:r w:rsidR="008408EB">
        <w:rPr>
          <w:rFonts w:ascii="Arial" w:hAnsi="Arial" w:cs="Arial"/>
        </w:rPr>
        <w:t>−</w:t>
      </w:r>
      <w:r w:rsidRPr="00E013AA">
        <w:rPr>
          <w:rFonts w:ascii="Arial" w:hAnsi="Arial" w:cs="Arial"/>
        </w:rPr>
        <w:t>692 del 27 de noviembre de 2020,</w:t>
      </w:r>
      <w:r>
        <w:rPr>
          <w:rFonts w:ascii="Arial" w:hAnsi="Arial" w:cs="Arial"/>
        </w:rPr>
        <w:t xml:space="preserve"> C</w:t>
      </w:r>
      <w:r w:rsidR="008408EB">
        <w:rPr>
          <w:rFonts w:ascii="Arial" w:hAnsi="Arial" w:cs="Arial"/>
        </w:rPr>
        <w:t>−</w:t>
      </w:r>
      <w:r>
        <w:rPr>
          <w:rFonts w:ascii="Arial" w:hAnsi="Arial" w:cs="Arial"/>
        </w:rPr>
        <w:t>778 del 18 de enero de 2021,</w:t>
      </w:r>
      <w:r w:rsidRPr="00E013AA">
        <w:rPr>
          <w:rFonts w:ascii="Arial" w:hAnsi="Arial" w:cs="Arial"/>
        </w:rPr>
        <w:t xml:space="preserve"> entre otros</w:t>
      </w:r>
      <w:r w:rsidRPr="00E013AA">
        <w:rPr>
          <w:rFonts w:ascii="Arial" w:eastAsia="Calibri" w:hAnsi="Arial" w:cs="Arial"/>
        </w:rPr>
        <w:t>. Algunos de los argumentos expuestos se reiteran a continuación.</w:t>
      </w:r>
    </w:p>
    <w:p w14:paraId="2D0FC3C0" w14:textId="77777777" w:rsidR="007B3DC7" w:rsidRDefault="007B3DC7" w:rsidP="00712EA2">
      <w:pPr>
        <w:spacing w:after="120"/>
        <w:ind w:firstLine="708"/>
        <w:jc w:val="both"/>
        <w:rPr>
          <w:rFonts w:ascii="Arial" w:hAnsi="Arial" w:cs="Arial"/>
        </w:rPr>
      </w:pPr>
      <w:r>
        <w:rPr>
          <w:rFonts w:ascii="Arial" w:hAnsi="Arial" w:cs="Arial"/>
        </w:rPr>
        <w:t>La redacción original del</w:t>
      </w:r>
      <w:r w:rsidRPr="00E013AA">
        <w:rPr>
          <w:rFonts w:ascii="Arial" w:hAnsi="Arial" w:cs="Arial"/>
        </w:rPr>
        <w:t xml:space="preserve"> artículo 4 de la Ley 1882 de 2018 establec</w:t>
      </w:r>
      <w:r>
        <w:rPr>
          <w:rFonts w:ascii="Arial" w:hAnsi="Arial" w:cs="Arial"/>
        </w:rPr>
        <w:t>ía</w:t>
      </w:r>
      <w:r w:rsidRPr="00E013AA">
        <w:rPr>
          <w:rFonts w:ascii="Arial" w:hAnsi="Arial" w:cs="Arial"/>
        </w:rPr>
        <w:t xml:space="preserve"> que al Gobierno Nacional le corresponde adoptar los «documentos tipo para los pliegos de condiciones de los procesos de selección de obras públicas» y que estos «</w:t>
      </w:r>
      <w:r w:rsidRPr="00E013AA">
        <w:rPr>
          <w:rFonts w:ascii="Arial" w:hAnsi="Arial" w:cs="Arial"/>
          <w:i/>
        </w:rPr>
        <w:t>deberán</w:t>
      </w:r>
      <w:r w:rsidRPr="00E013AA">
        <w:rPr>
          <w:rFonts w:ascii="Arial" w:hAnsi="Arial" w:cs="Arial"/>
        </w:rPr>
        <w:t xml:space="preserve"> ser utilizados por todas las entidades sometidas al Estatuto General de la Contratación de la Administración Pública</w:t>
      </w:r>
      <w:r>
        <w:rPr>
          <w:rFonts w:ascii="Arial" w:hAnsi="Arial" w:cs="Arial"/>
        </w:rPr>
        <w:t>–EGCAP–</w:t>
      </w:r>
      <w:r w:rsidRPr="00E013AA">
        <w:rPr>
          <w:rFonts w:ascii="Arial" w:hAnsi="Arial" w:cs="Arial"/>
        </w:rPr>
        <w:t xml:space="preserve"> en los procesos de selección que adelanten». </w:t>
      </w:r>
      <w:r>
        <w:rPr>
          <w:rFonts w:ascii="Arial" w:hAnsi="Arial" w:cs="Arial"/>
        </w:rPr>
        <w:t>F</w:t>
      </w:r>
      <w:r w:rsidRPr="00E013AA">
        <w:rPr>
          <w:rFonts w:ascii="Arial" w:hAnsi="Arial" w:cs="Arial"/>
        </w:rPr>
        <w:t>rente a su contenido,</w:t>
      </w:r>
      <w:r>
        <w:rPr>
          <w:rFonts w:ascii="Arial" w:hAnsi="Arial" w:cs="Arial"/>
        </w:rPr>
        <w:t xml:space="preserve"> disponía</w:t>
      </w:r>
      <w:r w:rsidRPr="00E013AA">
        <w:rPr>
          <w:rFonts w:ascii="Arial" w:hAnsi="Arial" w:cs="Arial"/>
        </w:rPr>
        <w:t xml:space="preserve"> que «[d]entro de los documentos tipo el Gobierno adoptará de manera general y con </w:t>
      </w:r>
      <w:r w:rsidRPr="00E013AA">
        <w:rPr>
          <w:rFonts w:ascii="Arial" w:hAnsi="Arial" w:cs="Arial"/>
          <w:i/>
        </w:rPr>
        <w:t>alcance obligatorio</w:t>
      </w:r>
      <w:r w:rsidRPr="00E013AA">
        <w:rPr>
          <w:rFonts w:ascii="Arial" w:hAnsi="Arial" w:cs="Arial"/>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Pr>
          <w:rStyle w:val="Refdenotaalpie"/>
          <w:rFonts w:ascii="Arial" w:hAnsi="Arial" w:cs="Arial"/>
        </w:rPr>
        <w:footnoteReference w:id="1"/>
      </w:r>
      <w:r w:rsidRPr="00E013AA">
        <w:rPr>
          <w:rFonts w:ascii="Arial" w:hAnsi="Arial" w:cs="Arial"/>
        </w:rPr>
        <w:t>.</w:t>
      </w:r>
    </w:p>
    <w:p w14:paraId="50D563EE" w14:textId="77777777" w:rsidR="007B3DC7" w:rsidRPr="00D20C0C" w:rsidRDefault="007B3DC7" w:rsidP="00712EA2">
      <w:pPr>
        <w:spacing w:after="120"/>
        <w:ind w:firstLine="708"/>
        <w:jc w:val="both"/>
        <w:rPr>
          <w:rFonts w:ascii="Arial" w:hAnsi="Arial" w:cs="Arial"/>
          <w:color w:val="0D0D0D" w:themeColor="text1" w:themeTint="F2"/>
        </w:rPr>
      </w:pPr>
      <w:r>
        <w:rPr>
          <w:rFonts w:ascii="Arial" w:hAnsi="Arial" w:cs="Arial"/>
          <w:color w:val="0D0D0D" w:themeColor="text1" w:themeTint="F2"/>
        </w:rPr>
        <w:t>Posteriormente</w:t>
      </w:r>
      <w:r w:rsidRPr="002D413A">
        <w:rPr>
          <w:rFonts w:ascii="Arial" w:hAnsi="Arial" w:cs="Arial"/>
          <w:color w:val="0D0D0D" w:themeColor="text1" w:themeTint="F2"/>
        </w:rPr>
        <w:t xml:space="preserve">, el 22 de julio de 2020, el Gobierno Nacional sancionó la Ley 2022, llamada la </w:t>
      </w:r>
      <w:r>
        <w:rPr>
          <w:rFonts w:ascii="Arial" w:hAnsi="Arial" w:cs="Arial"/>
          <w:color w:val="0D0D0D" w:themeColor="text1" w:themeTint="F2"/>
        </w:rPr>
        <w:t>«</w:t>
      </w:r>
      <w:r w:rsidRPr="002D413A">
        <w:rPr>
          <w:rFonts w:ascii="Arial" w:hAnsi="Arial" w:cs="Arial"/>
          <w:color w:val="0D0D0D" w:themeColor="text1" w:themeTint="F2"/>
        </w:rPr>
        <w:t>ley de pliegos tipo</w:t>
      </w:r>
      <w:r>
        <w:rPr>
          <w:rFonts w:ascii="Arial" w:hAnsi="Arial" w:cs="Arial"/>
          <w:color w:val="0D0D0D" w:themeColor="text1" w:themeTint="F2"/>
        </w:rPr>
        <w:t>»</w:t>
      </w:r>
      <w:r w:rsidRPr="002D413A">
        <w:rPr>
          <w:rFonts w:ascii="Arial" w:hAnsi="Arial" w:cs="Arial"/>
          <w:color w:val="0D0D0D" w:themeColor="text1" w:themeTint="F2"/>
        </w:rPr>
        <w:t xml:space="preserve">, que rige a partir de su publicación y cuyo artículo 1 modifica el artículo 4 de la Ley 1882 de 2018 </w:t>
      </w:r>
      <w:r>
        <w:rPr>
          <w:rFonts w:ascii="Arial" w:hAnsi="Arial" w:cs="Arial"/>
          <w:color w:val="0D0D0D" w:themeColor="text1" w:themeTint="F2"/>
        </w:rPr>
        <w:t>en relación con</w:t>
      </w:r>
      <w:r w:rsidRPr="002D413A">
        <w:rPr>
          <w:rFonts w:ascii="Arial" w:hAnsi="Arial" w:cs="Arial"/>
          <w:color w:val="0D0D0D" w:themeColor="text1" w:themeTint="F2"/>
        </w:rPr>
        <w:t xml:space="preserve">: i) </w:t>
      </w:r>
      <w:r>
        <w:rPr>
          <w:rFonts w:ascii="Arial" w:hAnsi="Arial" w:cs="Arial"/>
          <w:color w:val="0D0D0D" w:themeColor="text1" w:themeTint="F2"/>
        </w:rPr>
        <w:t xml:space="preserve">el </w:t>
      </w:r>
      <w:r w:rsidRPr="002D413A">
        <w:rPr>
          <w:rFonts w:ascii="Arial" w:hAnsi="Arial" w:cs="Arial"/>
          <w:color w:val="0D0D0D" w:themeColor="text1" w:themeTint="F2"/>
        </w:rPr>
        <w:t>sujeto encargado de la adopción de los documentos tipo, ya que antes se señalaba al Gobierno Nacional y ahora la entidad encargada</w:t>
      </w:r>
      <w:r>
        <w:rPr>
          <w:rFonts w:ascii="Arial" w:hAnsi="Arial" w:cs="Arial"/>
          <w:color w:val="0D0D0D" w:themeColor="text1" w:themeTint="F2"/>
        </w:rPr>
        <w:t xml:space="preserve"> directamente por la Ley</w:t>
      </w:r>
      <w:r w:rsidRPr="002D413A">
        <w:rPr>
          <w:rFonts w:ascii="Arial" w:hAnsi="Arial" w:cs="Arial"/>
          <w:color w:val="0D0D0D" w:themeColor="text1" w:themeTint="F2"/>
        </w:rPr>
        <w:t xml:space="preserve"> es la Agencia Nacional de Contratación Pública – Colombia Compra Eficiente o quien haga sus veces; </w:t>
      </w:r>
      <w:proofErr w:type="spellStart"/>
      <w:r w:rsidRPr="002D413A">
        <w:rPr>
          <w:rFonts w:ascii="Arial" w:hAnsi="Arial" w:cs="Arial"/>
          <w:color w:val="0D0D0D" w:themeColor="text1" w:themeTint="F2"/>
        </w:rPr>
        <w:t>ii</w:t>
      </w:r>
      <w:proofErr w:type="spellEnd"/>
      <w:r w:rsidRPr="002D413A">
        <w:rPr>
          <w:rFonts w:ascii="Arial" w:hAnsi="Arial" w:cs="Arial"/>
          <w:color w:val="0D0D0D" w:themeColor="text1" w:themeTint="F2"/>
        </w:rPr>
        <w:t>)</w:t>
      </w:r>
      <w:r>
        <w:rPr>
          <w:rFonts w:ascii="Arial" w:hAnsi="Arial" w:cs="Arial"/>
          <w:color w:val="0D0D0D" w:themeColor="text1" w:themeTint="F2"/>
        </w:rPr>
        <w:t xml:space="preserve"> la</w:t>
      </w:r>
      <w:r w:rsidRPr="002D413A">
        <w:rPr>
          <w:rFonts w:ascii="Arial" w:hAnsi="Arial" w:cs="Arial"/>
          <w:color w:val="0D0D0D" w:themeColor="text1" w:themeTint="F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rPr>
        <w:t>iii</w:t>
      </w:r>
      <w:proofErr w:type="spellEnd"/>
      <w:r w:rsidRPr="002D413A">
        <w:rPr>
          <w:rFonts w:ascii="Arial" w:hAnsi="Arial" w:cs="Arial"/>
          <w:color w:val="0D0D0D" w:themeColor="text1" w:themeTint="F2"/>
        </w:rPr>
        <w:t xml:space="preserve">) </w:t>
      </w:r>
      <w:r>
        <w:rPr>
          <w:rFonts w:ascii="Arial" w:hAnsi="Arial" w:cs="Arial"/>
          <w:color w:val="0D0D0D" w:themeColor="text1" w:themeTint="F2"/>
        </w:rPr>
        <w:t xml:space="preserve">la </w:t>
      </w:r>
      <w:r w:rsidRPr="002D413A">
        <w:rPr>
          <w:rFonts w:ascii="Arial" w:hAnsi="Arial" w:cs="Arial"/>
          <w:color w:val="0D0D0D" w:themeColor="text1" w:themeTint="F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rPr>
        <w:t>iv</w:t>
      </w:r>
      <w:proofErr w:type="spellEnd"/>
      <w:r w:rsidRPr="002D413A">
        <w:rPr>
          <w:rFonts w:ascii="Arial" w:hAnsi="Arial" w:cs="Arial"/>
          <w:color w:val="0D0D0D" w:themeColor="text1" w:themeTint="F2"/>
        </w:rPr>
        <w:t xml:space="preserve">) </w:t>
      </w:r>
      <w:r>
        <w:rPr>
          <w:rFonts w:ascii="Arial" w:hAnsi="Arial" w:cs="Arial"/>
          <w:color w:val="0D0D0D" w:themeColor="text1" w:themeTint="F2"/>
        </w:rPr>
        <w:t xml:space="preserve">la </w:t>
      </w:r>
      <w:r w:rsidRPr="002D413A">
        <w:rPr>
          <w:rFonts w:ascii="Arial" w:hAnsi="Arial" w:cs="Arial"/>
          <w:color w:val="0D0D0D" w:themeColor="text1" w:themeTint="F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Refdenotaalpie"/>
          <w:rFonts w:ascii="Arial" w:hAnsi="Arial" w:cs="Arial"/>
          <w:color w:val="0D0D0D" w:themeColor="text1" w:themeTint="F2"/>
        </w:rPr>
        <w:footnoteReference w:id="2"/>
      </w:r>
      <w:r w:rsidRPr="002D413A">
        <w:rPr>
          <w:rFonts w:ascii="Arial" w:hAnsi="Arial" w:cs="Arial"/>
          <w:color w:val="0D0D0D" w:themeColor="text1" w:themeTint="F2"/>
        </w:rPr>
        <w:t>.</w:t>
      </w:r>
      <w:r>
        <w:rPr>
          <w:rFonts w:ascii="Arial" w:hAnsi="Arial" w:cs="Arial"/>
          <w:color w:val="0D0D0D" w:themeColor="text1" w:themeTint="F2"/>
        </w:rPr>
        <w:t xml:space="preserve"> </w:t>
      </w:r>
    </w:p>
    <w:p w14:paraId="256790BB" w14:textId="77777777" w:rsidR="007B3DC7" w:rsidRPr="00E013AA" w:rsidRDefault="007B3DC7" w:rsidP="00712EA2">
      <w:pPr>
        <w:spacing w:after="120"/>
        <w:ind w:firstLine="708"/>
        <w:jc w:val="both"/>
        <w:rPr>
          <w:rFonts w:ascii="Arial" w:hAnsi="Arial" w:cs="Arial"/>
          <w:shd w:val="clear" w:color="auto" w:fill="FFFFFF"/>
        </w:rPr>
      </w:pPr>
      <w:r>
        <w:rPr>
          <w:rFonts w:ascii="Arial" w:hAnsi="Arial" w:cs="Arial"/>
        </w:rPr>
        <w:lastRenderedPageBreak/>
        <w:t>En todo caso</w:t>
      </w:r>
      <w:r w:rsidRPr="00E013AA">
        <w:rPr>
          <w:rFonts w:ascii="Arial" w:hAnsi="Arial" w:cs="Arial"/>
        </w:rPr>
        <w:t xml:space="preserve">, </w:t>
      </w:r>
      <w:r>
        <w:rPr>
          <w:rFonts w:ascii="Arial" w:hAnsi="Arial" w:cs="Arial"/>
        </w:rPr>
        <w:t>bajo la redacción inicial del</w:t>
      </w:r>
      <w:r w:rsidRPr="00E013AA">
        <w:rPr>
          <w:rFonts w:ascii="Arial" w:hAnsi="Arial" w:cs="Arial"/>
        </w:rPr>
        <w:t xml:space="preserve"> artículo 4 de la Ley 1882 de 2018</w:t>
      </w:r>
      <w:r>
        <w:rPr>
          <w:rFonts w:ascii="Arial" w:hAnsi="Arial" w:cs="Arial"/>
        </w:rPr>
        <w:t xml:space="preserve">, </w:t>
      </w:r>
      <w:r w:rsidRPr="00E013AA">
        <w:rPr>
          <w:rFonts w:ascii="Arial" w:hAnsi="Arial" w:cs="Arial"/>
        </w:rPr>
        <w:t>el Gobierno Nacional adop</w:t>
      </w:r>
      <w:r w:rsidRPr="00E013AA">
        <w:rPr>
          <w:rFonts w:ascii="Arial" w:hAnsi="Arial" w:cs="Arial"/>
          <w:shd w:val="clear" w:color="auto" w:fill="FFFFFF"/>
        </w:rPr>
        <w:t>tó los documentos tipo para los pliegos de condiciones de los procesos de selección de licitación de obra pública de infraestructura de transporte, mediante la expedición del Decreto 342 de 2018, el cual adiciona al Decreto 1082 de 2015. Posteriormente, mediante los Decretos 2096 de 2019 y 594 de 2020 se adoptaron los Documentos Tipo de infraestructura de transporte para las modalidades de selección abreviada de menor cuantía y mínima cuantía, respectivamente.</w:t>
      </w:r>
    </w:p>
    <w:p w14:paraId="112825A9" w14:textId="77777777" w:rsidR="007B3DC7" w:rsidRPr="00E013AA" w:rsidRDefault="007B3DC7" w:rsidP="00712EA2">
      <w:pPr>
        <w:spacing w:after="120"/>
        <w:ind w:firstLine="709"/>
        <w:jc w:val="both"/>
        <w:rPr>
          <w:rFonts w:ascii="Arial" w:hAnsi="Arial" w:cs="Arial"/>
          <w:shd w:val="clear" w:color="auto" w:fill="FFFFFF"/>
        </w:rPr>
      </w:pPr>
      <w:r w:rsidRPr="00E013AA">
        <w:rPr>
          <w:rFonts w:ascii="Arial" w:hAnsi="Arial" w:cs="Arial"/>
          <w:shd w:val="clear" w:color="auto" w:fill="FFFFFF"/>
        </w:rPr>
        <w:t xml:space="preserve">Los artículos 2.2.1.2.6.1.4, 2.2.1.2.6.2.3 y 2.2.1.2.6.3.4 del Decreto 1082 de 2015 establecen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4C39820F" w14:textId="77777777" w:rsidR="007B3DC7" w:rsidRPr="00E013AA" w:rsidRDefault="007B3DC7" w:rsidP="00712EA2">
      <w:pPr>
        <w:spacing w:after="120"/>
        <w:ind w:firstLine="709"/>
        <w:jc w:val="both"/>
        <w:rPr>
          <w:rFonts w:ascii="Arial" w:hAnsi="Arial" w:cs="Arial"/>
          <w:shd w:val="clear" w:color="auto" w:fill="FFFFFF"/>
        </w:rPr>
      </w:pPr>
      <w:r w:rsidRPr="00E013AA">
        <w:rPr>
          <w:rFonts w:ascii="Arial" w:hAnsi="Arial" w:cs="Arial"/>
          <w:shd w:val="clear" w:color="auto" w:fill="FFFFFF"/>
        </w:rPr>
        <w:t xml:space="preserve">Con el fin de establecer cuáles son los documentos tipo sujetos a esta disposición, los artículos 2.2.1.2.6.1.2, 2.2.1.2.6.2.2 y 2.2.1.2.6.3.2 del Decreto 1082 de 2015 establecen listados que determinan su alcance en cada una de las modalidades de selección referidas e incluye expresamente la «Matriz 1 – Experiencia» ─en adelante Matriz 1─. Por su parte, los artículos 2.2.1.2.6.1.3, 2.2.1.2.6.2.3 y 2.2.1.2.6.3.3 </w:t>
      </w:r>
      <w:r w:rsidRPr="00E013AA">
        <w:rPr>
          <w:rFonts w:ascii="Arial" w:hAnsi="Arial" w:cs="Arial"/>
          <w:i/>
          <w:iCs/>
          <w:shd w:val="clear" w:color="auto" w:fill="FFFFFF"/>
        </w:rPr>
        <w:t xml:space="preserve">ibidem </w:t>
      </w:r>
      <w:r w:rsidRPr="00E013AA">
        <w:rPr>
          <w:rFonts w:ascii="Arial" w:hAnsi="Arial" w:cs="Arial"/>
          <w:shd w:val="clear" w:color="auto" w:fill="FFFFFF"/>
        </w:rPr>
        <w:t xml:space="preserve">disponen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w:t>
      </w:r>
      <w:r w:rsidRPr="00E013AA">
        <w:rPr>
          <w:rFonts w:ascii="Arial" w:hAnsi="Arial" w:cs="Arial"/>
          <w:shd w:val="clear" w:color="auto" w:fill="FFFFFF"/>
        </w:rPr>
        <w:lastRenderedPageBreak/>
        <w:t xml:space="preserve">documentos y criterios de acreditación y verificación de experiencia, teniendo en cuenta la cuantía y el tipo de intervención.  </w:t>
      </w:r>
    </w:p>
    <w:p w14:paraId="553F6618" w14:textId="24591535" w:rsidR="007B3DC7" w:rsidRPr="00E013AA" w:rsidRDefault="007B3DC7" w:rsidP="00712EA2">
      <w:pPr>
        <w:spacing w:after="120"/>
        <w:ind w:firstLine="708"/>
        <w:jc w:val="both"/>
        <w:rPr>
          <w:rFonts w:ascii="Arial" w:hAnsi="Arial" w:cs="Arial"/>
          <w:shd w:val="clear" w:color="auto" w:fill="FFFFFF"/>
        </w:rPr>
      </w:pPr>
      <w:r w:rsidRPr="00E013AA">
        <w:rPr>
          <w:rFonts w:ascii="Arial" w:hAnsi="Arial" w:cs="Arial"/>
          <w:shd w:val="clear" w:color="auto" w:fill="FFFFFF"/>
        </w:rPr>
        <w:t xml:space="preserve">En cumplimiento de tales mandatos, esta Agencia expidió las Resoluciones No. 1798 de 2019, 045 de 2020 y 240 de 2020, </w:t>
      </w:r>
      <w:r>
        <w:rPr>
          <w:rFonts w:ascii="Arial" w:hAnsi="Arial" w:cs="Arial"/>
          <w:shd w:val="clear" w:color="auto" w:fill="FFFFFF"/>
        </w:rPr>
        <w:t>mediante</w:t>
      </w:r>
      <w:r w:rsidRPr="00E013AA">
        <w:rPr>
          <w:rFonts w:ascii="Arial" w:hAnsi="Arial" w:cs="Arial"/>
          <w:shd w:val="clear" w:color="auto" w:fill="FFFFFF"/>
        </w:rPr>
        <w:t xml:space="preserve"> l</w:t>
      </w:r>
      <w:r>
        <w:rPr>
          <w:rFonts w:ascii="Arial" w:hAnsi="Arial" w:cs="Arial"/>
          <w:shd w:val="clear" w:color="auto" w:fill="FFFFFF"/>
        </w:rPr>
        <w:t>a</w:t>
      </w:r>
      <w:r w:rsidRPr="00E013AA">
        <w:rPr>
          <w:rFonts w:ascii="Arial" w:hAnsi="Arial" w:cs="Arial"/>
          <w:shd w:val="clear" w:color="auto" w:fill="FFFFFF"/>
        </w:rPr>
        <w:t xml:space="preserve">s cuales se desarrollaron e implementaron las versiones 1, 2 y 3 de los documentos tipo de obra licitación de obra pública de infraestructura de transporte. Lo propio se hizo </w:t>
      </w:r>
      <w:r>
        <w:rPr>
          <w:rFonts w:ascii="Arial" w:hAnsi="Arial" w:cs="Arial"/>
          <w:shd w:val="clear" w:color="auto" w:fill="FFFFFF"/>
        </w:rPr>
        <w:t>por medio</w:t>
      </w:r>
      <w:r w:rsidRPr="00E013AA">
        <w:rPr>
          <w:rFonts w:ascii="Arial" w:hAnsi="Arial" w:cs="Arial"/>
          <w:shd w:val="clear" w:color="auto" w:fill="FFFFFF"/>
        </w:rPr>
        <w:t xml:space="preserve"> de las Resoluciones 044 de 2020</w:t>
      </w:r>
      <w:r>
        <w:rPr>
          <w:rFonts w:ascii="Arial" w:hAnsi="Arial" w:cs="Arial"/>
          <w:shd w:val="clear" w:color="auto" w:fill="FFFFFF"/>
        </w:rPr>
        <w:t xml:space="preserve"> y 241 de 2020 para las versiones 1 y 2 de los documentos tipo de los </w:t>
      </w:r>
      <w:r w:rsidRPr="00E013AA">
        <w:rPr>
          <w:rFonts w:ascii="Arial" w:hAnsi="Arial" w:cs="Arial"/>
          <w:shd w:val="clear" w:color="auto" w:fill="FFFFFF"/>
        </w:rPr>
        <w:t>procedimientos de selección abreviada de menor cuantía</w:t>
      </w:r>
      <w:r>
        <w:rPr>
          <w:rFonts w:ascii="Arial" w:hAnsi="Arial" w:cs="Arial"/>
          <w:shd w:val="clear" w:color="auto" w:fill="FFFFFF"/>
        </w:rPr>
        <w:t>, así como la Resolución</w:t>
      </w:r>
      <w:r w:rsidRPr="00E013AA">
        <w:rPr>
          <w:rFonts w:ascii="Arial" w:hAnsi="Arial" w:cs="Arial"/>
          <w:shd w:val="clear" w:color="auto" w:fill="FFFFFF"/>
        </w:rPr>
        <w:t xml:space="preserve"> </w:t>
      </w:r>
      <w:r w:rsidR="00DC2B50">
        <w:rPr>
          <w:rFonts w:ascii="Arial" w:hAnsi="Arial" w:cs="Arial"/>
          <w:shd w:val="clear" w:color="auto" w:fill="FFFFFF"/>
        </w:rPr>
        <w:t>0</w:t>
      </w:r>
      <w:r w:rsidRPr="00E013AA">
        <w:rPr>
          <w:rFonts w:ascii="Arial" w:hAnsi="Arial" w:cs="Arial"/>
          <w:shd w:val="clear" w:color="auto" w:fill="FFFFFF"/>
        </w:rPr>
        <w:t xml:space="preserve">94 de 2020 para los </w:t>
      </w:r>
      <w:r>
        <w:rPr>
          <w:rFonts w:ascii="Arial" w:hAnsi="Arial" w:cs="Arial"/>
          <w:shd w:val="clear" w:color="auto" w:fill="FFFFFF"/>
        </w:rPr>
        <w:t>procedimientos de</w:t>
      </w:r>
      <w:r w:rsidRPr="00E013AA">
        <w:rPr>
          <w:rFonts w:ascii="Arial" w:hAnsi="Arial" w:cs="Arial"/>
          <w:shd w:val="clear" w:color="auto" w:fill="FFFFFF"/>
        </w:rPr>
        <w:t xml:space="preserve"> mínima cuantía. </w:t>
      </w:r>
    </w:p>
    <w:p w14:paraId="7C3C8F17" w14:textId="2349BC00" w:rsidR="007B3DC7" w:rsidRPr="00E013AA" w:rsidRDefault="007B3DC7" w:rsidP="00712EA2">
      <w:pPr>
        <w:spacing w:after="120"/>
        <w:ind w:firstLine="708"/>
        <w:jc w:val="both"/>
        <w:rPr>
          <w:rFonts w:ascii="Arial" w:hAnsi="Arial" w:cs="Arial"/>
          <w:shd w:val="clear" w:color="auto" w:fill="FFFFFF"/>
        </w:rPr>
      </w:pPr>
      <w:r w:rsidRPr="00E013AA">
        <w:rPr>
          <w:rFonts w:ascii="Arial" w:hAnsi="Arial" w:cs="Arial"/>
          <w:shd w:val="clear" w:color="auto" w:fill="FFFFFF"/>
        </w:rPr>
        <w:t xml:space="preserve">Ahora bien, el ámbito de aplicación de los Documentos Tipo de obra pública de infraestructura de transporte, en primer lugar, está determinado por la modalidad de selección procedente, ya que dependiendo de si el proceso de contratación es de licitación pública, selección abreviada de menor cuantía o mínima cuantía, deberán aplicarse los documentos tipo adoptados por las resoluciones Nos. </w:t>
      </w:r>
      <w:r w:rsidR="00B80922">
        <w:rPr>
          <w:rFonts w:ascii="Arial" w:hAnsi="Arial" w:cs="Arial"/>
          <w:shd w:val="clear" w:color="auto" w:fill="FFFFFF"/>
        </w:rPr>
        <w:t>240</w:t>
      </w:r>
      <w:r w:rsidRPr="00E013AA">
        <w:rPr>
          <w:rFonts w:ascii="Arial" w:hAnsi="Arial" w:cs="Arial"/>
          <w:shd w:val="clear" w:color="auto" w:fill="FFFFFF"/>
        </w:rPr>
        <w:t xml:space="preserve"> de 2020</w:t>
      </w:r>
      <w:r w:rsidRPr="00E013AA">
        <w:rPr>
          <w:rStyle w:val="Refdenotaalpie"/>
          <w:rFonts w:ascii="Arial" w:hAnsi="Arial" w:cs="Arial"/>
          <w:shd w:val="clear" w:color="auto" w:fill="FFFFFF"/>
        </w:rPr>
        <w:footnoteReference w:id="3"/>
      </w:r>
      <w:r w:rsidRPr="00E013AA">
        <w:rPr>
          <w:rFonts w:ascii="Arial" w:hAnsi="Arial" w:cs="Arial"/>
          <w:shd w:val="clear" w:color="auto" w:fill="FFFFFF"/>
        </w:rPr>
        <w:t xml:space="preserve">, </w:t>
      </w:r>
      <w:r w:rsidR="00B80922">
        <w:rPr>
          <w:rFonts w:ascii="Arial" w:hAnsi="Arial" w:cs="Arial"/>
          <w:shd w:val="clear" w:color="auto" w:fill="FFFFFF"/>
        </w:rPr>
        <w:t>241</w:t>
      </w:r>
      <w:r w:rsidRPr="00E013AA">
        <w:rPr>
          <w:rFonts w:ascii="Arial" w:hAnsi="Arial" w:cs="Arial"/>
          <w:shd w:val="clear" w:color="auto" w:fill="FFFFFF"/>
        </w:rPr>
        <w:t xml:space="preserve"> de 2020</w:t>
      </w:r>
      <w:r>
        <w:rPr>
          <w:rStyle w:val="Refdenotaalpie"/>
          <w:rFonts w:ascii="Arial" w:hAnsi="Arial" w:cs="Arial"/>
          <w:shd w:val="clear" w:color="auto" w:fill="FFFFFF"/>
        </w:rPr>
        <w:footnoteReference w:id="4"/>
      </w:r>
      <w:r w:rsidRPr="00E013AA">
        <w:rPr>
          <w:rFonts w:ascii="Arial" w:hAnsi="Arial" w:cs="Arial"/>
          <w:shd w:val="clear" w:color="auto" w:fill="FFFFFF"/>
        </w:rPr>
        <w:t xml:space="preserve"> o </w:t>
      </w:r>
      <w:r w:rsidR="00712EA2">
        <w:rPr>
          <w:rFonts w:ascii="Arial" w:hAnsi="Arial" w:cs="Arial"/>
          <w:shd w:val="clear" w:color="auto" w:fill="FFFFFF"/>
        </w:rPr>
        <w:t>0</w:t>
      </w:r>
      <w:r w:rsidRPr="00E013AA">
        <w:rPr>
          <w:rFonts w:ascii="Arial" w:hAnsi="Arial" w:cs="Arial"/>
          <w:shd w:val="clear" w:color="auto" w:fill="FFFFFF"/>
        </w:rPr>
        <w:t>94 de 2020, respectivamente.</w:t>
      </w:r>
    </w:p>
    <w:p w14:paraId="3A4A6688" w14:textId="77777777" w:rsidR="007B3DC7" w:rsidRPr="00E013AA" w:rsidRDefault="007B3DC7" w:rsidP="00712EA2">
      <w:pPr>
        <w:spacing w:after="120"/>
        <w:ind w:firstLine="709"/>
        <w:jc w:val="both"/>
        <w:rPr>
          <w:rFonts w:ascii="Arial" w:hAnsi="Arial" w:cs="Arial"/>
          <w:shd w:val="clear" w:color="auto" w:fill="FFFFFF"/>
        </w:rPr>
      </w:pPr>
      <w:r w:rsidRPr="00E013AA">
        <w:rPr>
          <w:rFonts w:ascii="Arial" w:hAnsi="Arial" w:cs="Arial"/>
          <w:shd w:val="clear" w:color="auto" w:fill="FFFFFF"/>
        </w:rPr>
        <w:t>En segundo lugar, para determinar si la entidad regida por el EGCAP está obligada a aplicar los documentos tipo para la respectiva contratación, habrá que determinar si el objeto a contratarse encuadra dentro de los tipos de obra y actividades establecidas dentro de la respectiva Matriz 1, documento que además estandariza los requisitos de experiencia exigibles para cada uno de los objetos contractuales que deben contratarse aplicando Documentos Tipo. En tal sentido, la entidad asociar</w:t>
      </w:r>
      <w:r>
        <w:rPr>
          <w:rFonts w:ascii="Arial" w:hAnsi="Arial" w:cs="Arial"/>
          <w:shd w:val="clear" w:color="auto" w:fill="FFFFFF"/>
        </w:rPr>
        <w:t>á</w:t>
      </w:r>
      <w:r w:rsidRPr="00E013AA">
        <w:rPr>
          <w:rFonts w:ascii="Arial" w:hAnsi="Arial" w:cs="Arial"/>
          <w:shd w:val="clear" w:color="auto" w:fill="FFFFFF"/>
        </w:rPr>
        <w:t xml:space="preserve"> el objeto contractual a uno de los tipos de obra de infraestructura de transporte relacionados en la Matriz 1, y establecer</w:t>
      </w:r>
      <w:r>
        <w:rPr>
          <w:rFonts w:ascii="Arial" w:hAnsi="Arial" w:cs="Arial"/>
          <w:shd w:val="clear" w:color="auto" w:fill="FFFFFF"/>
        </w:rPr>
        <w:t>á</w:t>
      </w:r>
      <w:r w:rsidRPr="00E013AA">
        <w:rPr>
          <w:rFonts w:ascii="Arial" w:hAnsi="Arial" w:cs="Arial"/>
          <w:shd w:val="clear" w:color="auto" w:fill="FFFFFF"/>
        </w:rPr>
        <w:t xml:space="preserve"> si las actividades a desarrollar corresponden a alguna de las señaladas para el correspondiente tipo de infraestructura. De estar contemplada la actividad a contratar en la Matriz 1, deberán emplearse los documento</w:t>
      </w:r>
      <w:r>
        <w:rPr>
          <w:rFonts w:ascii="Arial" w:hAnsi="Arial" w:cs="Arial"/>
          <w:shd w:val="clear" w:color="auto" w:fill="FFFFFF"/>
        </w:rPr>
        <w:t>s</w:t>
      </w:r>
      <w:r w:rsidRPr="00E013AA">
        <w:rPr>
          <w:rFonts w:ascii="Arial" w:hAnsi="Arial" w:cs="Arial"/>
          <w:shd w:val="clear" w:color="auto" w:fill="FFFFFF"/>
        </w:rPr>
        <w:t xml:space="preserve"> tipo para el desarrollo del proceso de selección, y aplicarse los requisitos de experiencia establecidos para esta, de acuerdo con el rango en el que se encuentre la cuantía del proceso de contratación. </w:t>
      </w:r>
    </w:p>
    <w:p w14:paraId="4BF2CA06" w14:textId="067C1A0B" w:rsidR="00172F08" w:rsidRDefault="007B3DC7" w:rsidP="00712EA2">
      <w:pPr>
        <w:tabs>
          <w:tab w:val="left" w:pos="426"/>
        </w:tabs>
        <w:spacing w:after="120"/>
        <w:jc w:val="both"/>
        <w:rPr>
          <w:rFonts w:ascii="Arial" w:hAnsi="Arial" w:cs="Arial"/>
          <w:shd w:val="clear" w:color="auto" w:fill="FFFFFF"/>
        </w:rPr>
      </w:pPr>
      <w:r w:rsidRPr="00E013AA">
        <w:rPr>
          <w:rFonts w:cstheme="minorHAnsi"/>
          <w:shd w:val="clear" w:color="auto" w:fill="FFFFFF"/>
        </w:rPr>
        <w:tab/>
      </w:r>
      <w:r w:rsidR="005839DC">
        <w:rPr>
          <w:rFonts w:cstheme="minorHAnsi"/>
          <w:shd w:val="clear" w:color="auto" w:fill="FFFFFF"/>
        </w:rPr>
        <w:tab/>
      </w:r>
      <w:r w:rsidR="005839DC">
        <w:rPr>
          <w:rFonts w:ascii="Arial" w:hAnsi="Arial" w:cs="Arial"/>
          <w:shd w:val="clear" w:color="auto" w:fill="FFFFFF"/>
        </w:rPr>
        <w:t>En este sentido</w:t>
      </w:r>
      <w:r w:rsidR="005839DC" w:rsidRPr="005839DC">
        <w:rPr>
          <w:rFonts w:ascii="Arial" w:hAnsi="Arial" w:cs="Arial"/>
          <w:shd w:val="clear" w:color="auto" w:fill="FFFFFF"/>
        </w:rPr>
        <w:t>, p</w:t>
      </w:r>
      <w:r w:rsidR="00A6452E" w:rsidRPr="005839DC">
        <w:rPr>
          <w:rFonts w:ascii="Arial" w:hAnsi="Arial" w:cs="Arial"/>
          <w:shd w:val="clear" w:color="auto" w:fill="FFFFFF"/>
        </w:rPr>
        <w:t>ara responder</w:t>
      </w:r>
      <w:r w:rsidR="00A6452E" w:rsidRPr="00172F08">
        <w:rPr>
          <w:rFonts w:ascii="Arial" w:hAnsi="Arial" w:cs="Arial"/>
          <w:shd w:val="clear" w:color="auto" w:fill="FFFFFF"/>
        </w:rPr>
        <w:t xml:space="preserve"> su pregunta, esto es, si para procesos de </w:t>
      </w:r>
      <w:r w:rsidR="00A6452E" w:rsidRPr="00172F08">
        <w:rPr>
          <w:rFonts w:ascii="Arial" w:hAnsi="Arial" w:cs="Arial"/>
        </w:rPr>
        <w:t>licitación pública de señalización y semaforización de vías urbanas es necesario la utilización de los pliegos tipo, primero, es necesario analizar</w:t>
      </w:r>
      <w:r w:rsidR="005839DC">
        <w:rPr>
          <w:rFonts w:ascii="Arial" w:hAnsi="Arial" w:cs="Arial"/>
        </w:rPr>
        <w:t xml:space="preserve"> el interrogante</w:t>
      </w:r>
      <w:r w:rsidR="00A6452E" w:rsidRPr="00172F08">
        <w:rPr>
          <w:rFonts w:ascii="Arial" w:hAnsi="Arial" w:cs="Arial"/>
        </w:rPr>
        <w:t>, en virtud de los d</w:t>
      </w:r>
      <w:r w:rsidR="00A6452E" w:rsidRPr="00172F08">
        <w:rPr>
          <w:rFonts w:ascii="Arial" w:hAnsi="Arial" w:cs="Arial"/>
          <w:shd w:val="clear" w:color="auto" w:fill="FFFFFF"/>
        </w:rPr>
        <w:t xml:space="preserve">ocumentos tipo </w:t>
      </w:r>
      <w:r w:rsidR="00172F08">
        <w:rPr>
          <w:rFonts w:ascii="Arial" w:hAnsi="Arial" w:cs="Arial"/>
          <w:shd w:val="clear" w:color="auto" w:fill="FFFFFF"/>
        </w:rPr>
        <w:t xml:space="preserve">de </w:t>
      </w:r>
      <w:r w:rsidR="00A6452E" w:rsidRPr="00172F08">
        <w:rPr>
          <w:rFonts w:ascii="Arial" w:hAnsi="Arial" w:cs="Arial"/>
          <w:shd w:val="clear" w:color="auto" w:fill="FFFFFF"/>
        </w:rPr>
        <w:t xml:space="preserve">licitación pública –Versión 2–, aplicables para los procesos de selección cuyo aviso de convocatoria fue publicado desde el 10 de marzo de 2020, hasta el 31 de diciembre de 2020, </w:t>
      </w:r>
      <w:r w:rsidR="00172F08">
        <w:rPr>
          <w:rFonts w:ascii="Arial" w:hAnsi="Arial" w:cs="Arial"/>
          <w:shd w:val="clear" w:color="auto" w:fill="FFFFFF"/>
        </w:rPr>
        <w:t xml:space="preserve">y </w:t>
      </w:r>
      <w:r w:rsidR="00A6452E" w:rsidRPr="00172F08">
        <w:rPr>
          <w:rFonts w:ascii="Arial" w:hAnsi="Arial" w:cs="Arial"/>
          <w:shd w:val="clear" w:color="auto" w:fill="FFFFFF"/>
        </w:rPr>
        <w:t>en relación con l</w:t>
      </w:r>
      <w:r w:rsidR="005839DC">
        <w:rPr>
          <w:rFonts w:ascii="Arial" w:hAnsi="Arial" w:cs="Arial"/>
          <w:shd w:val="clear" w:color="auto" w:fill="FFFFFF"/>
        </w:rPr>
        <w:t>os documentos tipo de</w:t>
      </w:r>
      <w:r w:rsidR="00A6452E" w:rsidRPr="00172F08">
        <w:rPr>
          <w:rFonts w:ascii="Arial" w:hAnsi="Arial" w:cs="Arial"/>
          <w:shd w:val="clear" w:color="auto" w:fill="FFFFFF"/>
        </w:rPr>
        <w:t xml:space="preserve"> selección abreviada de menor cuantía –</w:t>
      </w:r>
      <w:r w:rsidR="00A6452E" w:rsidRPr="00172F08">
        <w:rPr>
          <w:rFonts w:ascii="Arial" w:hAnsi="Arial" w:cs="Arial"/>
          <w:shd w:val="clear" w:color="auto" w:fill="FFFFFF"/>
        </w:rPr>
        <w:lastRenderedPageBreak/>
        <w:t>Versión 1–</w:t>
      </w:r>
      <w:r w:rsidR="00A6452E" w:rsidRPr="00172F08">
        <w:rPr>
          <w:rFonts w:ascii="Arial" w:hAnsi="Arial" w:cs="Arial"/>
        </w:rPr>
        <w:t xml:space="preserve">, que se aplicó a los procesos de selección cuyo aviso de convocatoria fue </w:t>
      </w:r>
      <w:r w:rsidR="005839DC">
        <w:rPr>
          <w:rFonts w:ascii="Arial" w:hAnsi="Arial" w:cs="Arial"/>
        </w:rPr>
        <w:t xml:space="preserve">publicado a </w:t>
      </w:r>
      <w:r w:rsidR="00A6452E" w:rsidRPr="00172F08">
        <w:rPr>
          <w:rFonts w:ascii="Arial" w:hAnsi="Arial" w:cs="Arial"/>
        </w:rPr>
        <w:t>partir del 17 de febrero de 2020, hasta el 31 de diciembre de 2021</w:t>
      </w:r>
      <w:r w:rsidR="00172F08">
        <w:rPr>
          <w:rFonts w:ascii="Arial" w:hAnsi="Arial" w:cs="Arial"/>
        </w:rPr>
        <w:t>.</w:t>
      </w:r>
      <w:r w:rsidR="00CE053F">
        <w:rPr>
          <w:rFonts w:ascii="Arial" w:hAnsi="Arial" w:cs="Arial"/>
        </w:rPr>
        <w:t xml:space="preserve"> </w:t>
      </w:r>
      <w:r w:rsidR="005839DC">
        <w:rPr>
          <w:rFonts w:ascii="Arial" w:hAnsi="Arial" w:cs="Arial"/>
        </w:rPr>
        <w:t>Posteriormente</w:t>
      </w:r>
      <w:r w:rsidR="00172F08">
        <w:rPr>
          <w:rFonts w:ascii="Arial" w:hAnsi="Arial" w:cs="Arial"/>
        </w:rPr>
        <w:t>,</w:t>
      </w:r>
      <w:r w:rsidR="00A6452E" w:rsidRPr="00172F08">
        <w:rPr>
          <w:rFonts w:ascii="Arial" w:hAnsi="Arial" w:cs="Arial"/>
        </w:rPr>
        <w:t xml:space="preserve"> </w:t>
      </w:r>
      <w:r w:rsidR="005839DC">
        <w:rPr>
          <w:rFonts w:ascii="Arial" w:hAnsi="Arial" w:cs="Arial"/>
        </w:rPr>
        <w:t xml:space="preserve">y en consideración a </w:t>
      </w:r>
      <w:r w:rsidR="00A6452E" w:rsidRPr="00172F08">
        <w:rPr>
          <w:rFonts w:ascii="Arial" w:hAnsi="Arial" w:cs="Arial"/>
        </w:rPr>
        <w:t>que a partir del 1 de enero de 2020 la</w:t>
      </w:r>
      <w:r w:rsidR="00172F08">
        <w:rPr>
          <w:rFonts w:ascii="Arial" w:hAnsi="Arial" w:cs="Arial"/>
        </w:rPr>
        <w:t>s</w:t>
      </w:r>
      <w:r w:rsidR="00A6452E" w:rsidRPr="00172F08">
        <w:rPr>
          <w:rFonts w:ascii="Arial" w:hAnsi="Arial" w:cs="Arial"/>
        </w:rPr>
        <w:t xml:space="preserve"> </w:t>
      </w:r>
      <w:r w:rsidR="00172F08">
        <w:rPr>
          <w:rFonts w:ascii="Arial" w:hAnsi="Arial" w:cs="Arial"/>
        </w:rPr>
        <w:t xml:space="preserve">Resoluciones </w:t>
      </w:r>
      <w:r w:rsidR="00A6452E" w:rsidRPr="00172F08">
        <w:rPr>
          <w:rFonts w:ascii="Arial" w:hAnsi="Arial" w:cs="Arial"/>
        </w:rPr>
        <w:t>24</w:t>
      </w:r>
      <w:r w:rsidR="00172F08">
        <w:rPr>
          <w:rFonts w:ascii="Arial" w:hAnsi="Arial" w:cs="Arial"/>
        </w:rPr>
        <w:t>0 y 241</w:t>
      </w:r>
      <w:r w:rsidR="00A6452E" w:rsidRPr="00172F08">
        <w:rPr>
          <w:rFonts w:ascii="Arial" w:hAnsi="Arial" w:cs="Arial"/>
        </w:rPr>
        <w:t xml:space="preserve"> de 2020, </w:t>
      </w:r>
      <w:r w:rsidR="00172F08">
        <w:rPr>
          <w:rFonts w:ascii="Arial" w:hAnsi="Arial" w:cs="Arial"/>
        </w:rPr>
        <w:t>i</w:t>
      </w:r>
      <w:r w:rsidR="00172F08" w:rsidRPr="00172F08">
        <w:rPr>
          <w:rFonts w:ascii="Arial" w:hAnsi="Arial" w:cs="Arial"/>
        </w:rPr>
        <w:t>mplementa</w:t>
      </w:r>
      <w:r w:rsidR="00172F08">
        <w:rPr>
          <w:rFonts w:ascii="Arial" w:hAnsi="Arial" w:cs="Arial"/>
        </w:rPr>
        <w:t>ron</w:t>
      </w:r>
      <w:r w:rsidR="00172F08" w:rsidRPr="00172F08">
        <w:rPr>
          <w:rFonts w:ascii="Arial" w:hAnsi="Arial" w:cs="Arial"/>
        </w:rPr>
        <w:t xml:space="preserve"> la </w:t>
      </w:r>
      <w:r w:rsidR="00172F08">
        <w:rPr>
          <w:rFonts w:ascii="Arial" w:hAnsi="Arial" w:cs="Arial"/>
        </w:rPr>
        <w:t>−</w:t>
      </w:r>
      <w:r w:rsidR="00172F08" w:rsidRPr="00172F08">
        <w:rPr>
          <w:rFonts w:ascii="Arial" w:hAnsi="Arial" w:cs="Arial"/>
        </w:rPr>
        <w:t>Versión 3</w:t>
      </w:r>
      <w:r w:rsidR="00172F08">
        <w:rPr>
          <w:rFonts w:ascii="Arial" w:hAnsi="Arial" w:cs="Arial"/>
        </w:rPr>
        <w:t>−</w:t>
      </w:r>
      <w:r w:rsidR="00172F08" w:rsidRPr="00172F08">
        <w:rPr>
          <w:rFonts w:ascii="Arial" w:hAnsi="Arial" w:cs="Arial"/>
        </w:rPr>
        <w:t xml:space="preserve"> </w:t>
      </w:r>
      <w:r w:rsidR="00070B9D">
        <w:rPr>
          <w:rFonts w:ascii="Arial" w:hAnsi="Arial" w:cs="Arial"/>
        </w:rPr>
        <w:t xml:space="preserve">de los </w:t>
      </w:r>
      <w:r w:rsidR="00172F08" w:rsidRPr="00172F08">
        <w:rPr>
          <w:rFonts w:ascii="Arial" w:hAnsi="Arial" w:cs="Arial"/>
        </w:rPr>
        <w:t>d</w:t>
      </w:r>
      <w:r w:rsidR="00172F08" w:rsidRPr="00172F08">
        <w:rPr>
          <w:rFonts w:ascii="Arial" w:hAnsi="Arial" w:cs="Arial"/>
          <w:shd w:val="clear" w:color="auto" w:fill="FFFFFF"/>
        </w:rPr>
        <w:t xml:space="preserve">ocumentos tipo </w:t>
      </w:r>
      <w:r w:rsidR="00172F08">
        <w:rPr>
          <w:rFonts w:ascii="Arial" w:hAnsi="Arial" w:cs="Arial"/>
          <w:shd w:val="clear" w:color="auto" w:fill="FFFFFF"/>
        </w:rPr>
        <w:t xml:space="preserve">de </w:t>
      </w:r>
      <w:r w:rsidR="00172F08" w:rsidRPr="00172F08">
        <w:rPr>
          <w:rFonts w:ascii="Arial" w:hAnsi="Arial" w:cs="Arial"/>
          <w:shd w:val="clear" w:color="auto" w:fill="FFFFFF"/>
        </w:rPr>
        <w:t>licitación pública</w:t>
      </w:r>
      <w:r w:rsidR="00172F08" w:rsidRPr="00172F08">
        <w:rPr>
          <w:rFonts w:ascii="Arial" w:hAnsi="Arial" w:cs="Arial"/>
        </w:rPr>
        <w:t xml:space="preserve"> </w:t>
      </w:r>
      <w:r w:rsidR="00172F08">
        <w:rPr>
          <w:rFonts w:ascii="Arial" w:hAnsi="Arial" w:cs="Arial"/>
        </w:rPr>
        <w:t xml:space="preserve">y </w:t>
      </w:r>
      <w:r w:rsidRPr="00E013AA">
        <w:rPr>
          <w:rFonts w:ascii="Arial" w:hAnsi="Arial" w:cs="Arial"/>
          <w:shd w:val="clear" w:color="auto" w:fill="FFFFFF"/>
        </w:rPr>
        <w:t>–Versión 2–</w:t>
      </w:r>
      <w:r w:rsidR="00172F08">
        <w:rPr>
          <w:rFonts w:ascii="Arial" w:hAnsi="Arial" w:cs="Arial"/>
          <w:shd w:val="clear" w:color="auto" w:fill="FFFFFF"/>
        </w:rPr>
        <w:t xml:space="preserve"> de</w:t>
      </w:r>
      <w:r w:rsidRPr="00E013AA">
        <w:rPr>
          <w:rFonts w:ascii="Arial" w:hAnsi="Arial" w:cs="Arial"/>
          <w:shd w:val="clear" w:color="auto" w:fill="FFFFFF"/>
        </w:rPr>
        <w:t xml:space="preserve"> selección abreviada de menor cuantía</w:t>
      </w:r>
      <w:r w:rsidR="003C7BBF">
        <w:rPr>
          <w:rFonts w:ascii="Arial" w:hAnsi="Arial" w:cs="Arial"/>
          <w:shd w:val="clear" w:color="auto" w:fill="FFFFFF"/>
        </w:rPr>
        <w:t>,</w:t>
      </w:r>
      <w:r w:rsidR="00CE447E">
        <w:rPr>
          <w:rFonts w:ascii="Arial" w:hAnsi="Arial" w:cs="Arial"/>
          <w:shd w:val="clear" w:color="auto" w:fill="FFFFFF"/>
        </w:rPr>
        <w:t xml:space="preserve"> respectivamente, es necesario analizar </w:t>
      </w:r>
      <w:r w:rsidR="00257989">
        <w:rPr>
          <w:rFonts w:ascii="Arial" w:hAnsi="Arial" w:cs="Arial"/>
          <w:shd w:val="clear" w:color="auto" w:fill="FFFFFF"/>
        </w:rPr>
        <w:t xml:space="preserve">el interrogante por usted planteado, </w:t>
      </w:r>
      <w:r w:rsidR="00DE5B78">
        <w:rPr>
          <w:rFonts w:ascii="Arial" w:hAnsi="Arial" w:cs="Arial"/>
          <w:shd w:val="clear" w:color="auto" w:fill="FFFFFF"/>
        </w:rPr>
        <w:t>de acuerdo con</w:t>
      </w:r>
      <w:r w:rsidR="00CE447E">
        <w:rPr>
          <w:rFonts w:ascii="Arial" w:hAnsi="Arial" w:cs="Arial"/>
          <w:shd w:val="clear" w:color="auto" w:fill="FFFFFF"/>
        </w:rPr>
        <w:t xml:space="preserve"> estas nuevas versiones.</w:t>
      </w:r>
    </w:p>
    <w:p w14:paraId="2C105558" w14:textId="1338871B" w:rsidR="00172F08" w:rsidRPr="00E013AA" w:rsidRDefault="00CE447E" w:rsidP="00712EA2">
      <w:pPr>
        <w:tabs>
          <w:tab w:val="left" w:pos="426"/>
        </w:tabs>
        <w:spacing w:after="120"/>
        <w:jc w:val="both"/>
        <w:rPr>
          <w:rFonts w:ascii="Arial" w:hAnsi="Arial" w:cs="Arial"/>
          <w:shd w:val="clear" w:color="auto" w:fill="FFFFFF"/>
        </w:rPr>
      </w:pPr>
      <w:r>
        <w:rPr>
          <w:rFonts w:ascii="Arial" w:hAnsi="Arial" w:cs="Arial"/>
          <w:shd w:val="clear" w:color="auto" w:fill="FFFFFF"/>
        </w:rPr>
        <w:tab/>
      </w:r>
      <w:r>
        <w:rPr>
          <w:rFonts w:ascii="Arial" w:hAnsi="Arial" w:cs="Arial"/>
          <w:shd w:val="clear" w:color="auto" w:fill="FFFFFF"/>
        </w:rPr>
        <w:tab/>
      </w:r>
      <w:r w:rsidR="005839DC">
        <w:rPr>
          <w:rFonts w:ascii="Arial" w:hAnsi="Arial" w:cs="Arial"/>
          <w:shd w:val="clear" w:color="auto" w:fill="FFFFFF"/>
        </w:rPr>
        <w:t>Así las cosas, e</w:t>
      </w:r>
      <w:r w:rsidR="00172F08" w:rsidRPr="00E013AA">
        <w:rPr>
          <w:rFonts w:ascii="Arial" w:hAnsi="Arial" w:cs="Arial"/>
          <w:shd w:val="clear" w:color="auto" w:fill="FFFFFF"/>
        </w:rPr>
        <w:t xml:space="preserve">n lo referente a actividades asociadas a la </w:t>
      </w:r>
      <w:r w:rsidR="00172F08" w:rsidRPr="00E013AA">
        <w:rPr>
          <w:rFonts w:ascii="Arial" w:hAnsi="Arial" w:cs="Arial"/>
          <w:i/>
          <w:iCs/>
          <w:shd w:val="clear" w:color="auto" w:fill="FFFFFF"/>
        </w:rPr>
        <w:t xml:space="preserve">señalización </w:t>
      </w:r>
      <w:r w:rsidR="00172F08" w:rsidRPr="00E013AA">
        <w:rPr>
          <w:rFonts w:ascii="Arial" w:hAnsi="Arial" w:cs="Arial"/>
          <w:shd w:val="clear" w:color="auto" w:fill="FFFFFF"/>
        </w:rPr>
        <w:t>y</w:t>
      </w:r>
      <w:r w:rsidR="00172F08" w:rsidRPr="00E013AA">
        <w:rPr>
          <w:rFonts w:ascii="Arial" w:hAnsi="Arial" w:cs="Arial"/>
          <w:i/>
          <w:iCs/>
          <w:shd w:val="clear" w:color="auto" w:fill="FFFFFF"/>
        </w:rPr>
        <w:t xml:space="preserve"> demarcación, </w:t>
      </w:r>
      <w:r w:rsidR="00172F08" w:rsidRPr="00E013AA">
        <w:rPr>
          <w:rFonts w:ascii="Arial" w:hAnsi="Arial" w:cs="Arial"/>
          <w:shd w:val="clear" w:color="auto" w:fill="FFFFFF"/>
        </w:rPr>
        <w:t xml:space="preserve">la </w:t>
      </w:r>
      <w:r w:rsidR="00172F08">
        <w:rPr>
          <w:rFonts w:ascii="Arial" w:hAnsi="Arial" w:cs="Arial"/>
          <w:shd w:val="clear" w:color="auto" w:fill="FFFFFF"/>
        </w:rPr>
        <w:t>M</w:t>
      </w:r>
      <w:r w:rsidR="00172F08" w:rsidRPr="00E013AA">
        <w:rPr>
          <w:rFonts w:ascii="Arial" w:hAnsi="Arial" w:cs="Arial"/>
          <w:shd w:val="clear" w:color="auto" w:fill="FFFFFF"/>
        </w:rPr>
        <w:t>atri</w:t>
      </w:r>
      <w:r w:rsidR="00172F08">
        <w:rPr>
          <w:rFonts w:ascii="Arial" w:hAnsi="Arial" w:cs="Arial"/>
          <w:shd w:val="clear" w:color="auto" w:fill="FFFFFF"/>
        </w:rPr>
        <w:t>z</w:t>
      </w:r>
      <w:r w:rsidR="00172F08" w:rsidRPr="00E013AA">
        <w:rPr>
          <w:rFonts w:ascii="Arial" w:hAnsi="Arial" w:cs="Arial"/>
          <w:shd w:val="clear" w:color="auto" w:fill="FFFFFF"/>
        </w:rPr>
        <w:t xml:space="preserve"> 1 de los documentos tipo </w:t>
      </w:r>
      <w:r w:rsidR="005839DC">
        <w:rPr>
          <w:rFonts w:ascii="Arial" w:hAnsi="Arial" w:cs="Arial"/>
          <w:shd w:val="clear" w:color="auto" w:fill="FFFFFF"/>
        </w:rPr>
        <w:t xml:space="preserve">de </w:t>
      </w:r>
      <w:r w:rsidR="00172F08" w:rsidRPr="00E013AA">
        <w:rPr>
          <w:rFonts w:ascii="Arial" w:hAnsi="Arial" w:cs="Arial"/>
          <w:shd w:val="clear" w:color="auto" w:fill="FFFFFF"/>
        </w:rPr>
        <w:t>licitación pública –Versión 2–, selección abreviada de menor cuantía</w:t>
      </w:r>
      <w:r w:rsidR="00172F08">
        <w:rPr>
          <w:rFonts w:ascii="Arial" w:hAnsi="Arial" w:cs="Arial"/>
          <w:shd w:val="clear" w:color="auto" w:fill="FFFFFF"/>
        </w:rPr>
        <w:t xml:space="preserve"> –Versión 1–</w:t>
      </w:r>
      <w:r w:rsidR="00172F08" w:rsidRPr="00E013AA">
        <w:rPr>
          <w:rFonts w:ascii="Arial" w:hAnsi="Arial" w:cs="Arial"/>
          <w:shd w:val="clear" w:color="auto" w:fill="FFFFFF"/>
        </w:rPr>
        <w:t xml:space="preserve"> y mínima cuantía, coinciden en señalar </w:t>
      </w:r>
      <w:r w:rsidR="005839DC">
        <w:rPr>
          <w:rFonts w:ascii="Arial" w:hAnsi="Arial" w:cs="Arial"/>
          <w:shd w:val="clear" w:color="auto" w:fill="FFFFFF"/>
        </w:rPr>
        <w:t xml:space="preserve">que </w:t>
      </w:r>
      <w:r w:rsidR="00172F08" w:rsidRPr="00E013AA">
        <w:rPr>
          <w:rFonts w:ascii="Arial" w:hAnsi="Arial" w:cs="Arial"/>
          <w:shd w:val="clear" w:color="auto" w:fill="FFFFFF"/>
        </w:rPr>
        <w:t xml:space="preserve">para el tipo de obra «1. OBRAS EN VÍAS PRIMARIAS O SECUNDARIAS» </w:t>
      </w:r>
      <w:r w:rsidR="00172F08">
        <w:rPr>
          <w:rFonts w:ascii="Arial" w:hAnsi="Arial" w:cs="Arial"/>
          <w:shd w:val="clear" w:color="auto" w:fill="FFFFFF"/>
        </w:rPr>
        <w:t xml:space="preserve">es posible desarrollar </w:t>
      </w:r>
      <w:r w:rsidR="00172F08" w:rsidRPr="00E013AA">
        <w:rPr>
          <w:rFonts w:ascii="Arial" w:hAnsi="Arial" w:cs="Arial"/>
          <w:shd w:val="clear" w:color="auto" w:fill="FFFFFF"/>
        </w:rPr>
        <w:t>las</w:t>
      </w:r>
      <w:r w:rsidR="00172F08">
        <w:rPr>
          <w:rFonts w:ascii="Arial" w:hAnsi="Arial" w:cs="Arial"/>
          <w:shd w:val="clear" w:color="auto" w:fill="FFFFFF"/>
        </w:rPr>
        <w:t xml:space="preserve"> siguientes</w:t>
      </w:r>
      <w:r w:rsidR="00172F08" w:rsidRPr="00E013AA">
        <w:rPr>
          <w:rFonts w:ascii="Arial" w:hAnsi="Arial" w:cs="Arial"/>
          <w:shd w:val="clear" w:color="auto" w:fill="FFFFFF"/>
        </w:rPr>
        <w:t xml:space="preserve"> actividades</w:t>
      </w:r>
      <w:r w:rsidR="00172F08">
        <w:rPr>
          <w:rFonts w:ascii="Arial" w:hAnsi="Arial" w:cs="Arial"/>
          <w:shd w:val="clear" w:color="auto" w:fill="FFFFFF"/>
        </w:rPr>
        <w:t>:</w:t>
      </w:r>
      <w:r w:rsidR="00172F08" w:rsidRPr="00E013AA">
        <w:rPr>
          <w:rFonts w:ascii="Arial" w:hAnsi="Arial" w:cs="Arial"/>
          <w:shd w:val="clear" w:color="auto" w:fill="FFFFFF"/>
        </w:rPr>
        <w:t xml:space="preserve"> «1.4 PROYECTOS DE DEMARCACIÓN O SEÑALIZACIÓN DE INFRAESTRUCTURA DE TRANSPORTE» y «1.5 PROYECTOS DE DEMARCACIÓN O SEÑALIZACIÓN DE ESPACIO PÚBLICO ASOCIADO A LA INFRAESTRUCTURA DE TRANSPORTE». Asimismo, para el tipo de infraestructura </w:t>
      </w:r>
      <w:r w:rsidR="00172F08">
        <w:rPr>
          <w:rFonts w:ascii="Arial" w:hAnsi="Arial" w:cs="Arial"/>
          <w:shd w:val="clear" w:color="auto" w:fill="FFFFFF"/>
        </w:rPr>
        <w:t>relacionado con</w:t>
      </w:r>
      <w:r w:rsidR="00172F08" w:rsidRPr="00E013AA">
        <w:rPr>
          <w:rFonts w:ascii="Arial" w:hAnsi="Arial" w:cs="Arial"/>
          <w:shd w:val="clear" w:color="auto" w:fill="FFFFFF"/>
        </w:rPr>
        <w:t xml:space="preserve"> «6. OBRAS DE INFRAESTRUCTURA VIAL URBANA» se contemplan las actividades </w:t>
      </w:r>
      <w:r w:rsidR="00172F08">
        <w:rPr>
          <w:rFonts w:ascii="Arial" w:hAnsi="Arial" w:cs="Arial"/>
          <w:shd w:val="clear" w:color="auto" w:fill="FFFFFF"/>
        </w:rPr>
        <w:t>como</w:t>
      </w:r>
      <w:r w:rsidR="00172F08" w:rsidRPr="00E013AA">
        <w:rPr>
          <w:rFonts w:ascii="Arial" w:hAnsi="Arial" w:cs="Arial"/>
          <w:shd w:val="clear" w:color="auto" w:fill="FFFFFF"/>
        </w:rPr>
        <w:t xml:space="preserve"> «6.12 PROYECTOS DE DEMARCACIÓN O SEÑALIZACIÓN DE INFRAESTRUCTURA DE TRANSPORTE» y «6.13 PROYECTOS DE DEMARCACIÓN O SEÑALIZACIÓN DE ESPACIO PÚBLICO ASOCIADO A LA INFRAESTRUCTURA DE TRANSPORTE».</w:t>
      </w:r>
    </w:p>
    <w:p w14:paraId="6598FA4B" w14:textId="5AB8F5DC" w:rsidR="003E55D4" w:rsidRPr="00E013AA" w:rsidRDefault="003E55D4" w:rsidP="0079585E">
      <w:pPr>
        <w:tabs>
          <w:tab w:val="left" w:pos="426"/>
        </w:tabs>
        <w:spacing w:after="0"/>
        <w:jc w:val="both"/>
        <w:rPr>
          <w:rFonts w:ascii="Arial" w:hAnsi="Arial" w:cs="Arial"/>
          <w:shd w:val="clear" w:color="auto" w:fill="FFFFFF"/>
        </w:rPr>
      </w:pPr>
      <w:r>
        <w:rPr>
          <w:rFonts w:ascii="Arial" w:hAnsi="Arial" w:cs="Arial"/>
          <w:shd w:val="clear" w:color="auto" w:fill="FFFFFF"/>
        </w:rPr>
        <w:tab/>
      </w:r>
      <w:r>
        <w:rPr>
          <w:rFonts w:ascii="Arial" w:hAnsi="Arial" w:cs="Arial"/>
          <w:shd w:val="clear" w:color="auto" w:fill="FFFFFF"/>
        </w:rPr>
        <w:tab/>
      </w:r>
      <w:r w:rsidRPr="00E013AA">
        <w:rPr>
          <w:rFonts w:ascii="Arial" w:hAnsi="Arial" w:cs="Arial"/>
          <w:shd w:val="clear" w:color="auto" w:fill="FFFFFF"/>
        </w:rPr>
        <w:t>En lo referente al concepto de proyectos de semaforización o demarcación</w:t>
      </w:r>
      <w:r>
        <w:rPr>
          <w:rFonts w:ascii="Arial" w:hAnsi="Arial" w:cs="Arial"/>
          <w:shd w:val="clear" w:color="auto" w:fill="FFFFFF"/>
        </w:rPr>
        <w:t>,</w:t>
      </w:r>
      <w:r w:rsidRPr="00E013AA">
        <w:rPr>
          <w:rFonts w:ascii="Arial" w:hAnsi="Arial" w:cs="Arial"/>
          <w:shd w:val="clear" w:color="auto" w:fill="FFFFFF"/>
        </w:rPr>
        <w:t xml:space="preserve"> el «Anexo 3 – Glosario» no establece </w:t>
      </w:r>
      <w:r>
        <w:rPr>
          <w:rFonts w:ascii="Arial" w:hAnsi="Arial" w:cs="Arial"/>
          <w:shd w:val="clear" w:color="auto" w:fill="FFFFFF"/>
        </w:rPr>
        <w:t>el alcance específico del término.</w:t>
      </w:r>
      <w:r w:rsidRPr="00E013AA">
        <w:rPr>
          <w:rFonts w:ascii="Arial" w:hAnsi="Arial" w:cs="Arial"/>
          <w:shd w:val="clear" w:color="auto" w:fill="FFFFFF"/>
        </w:rPr>
        <w:t xml:space="preserve"> </w:t>
      </w:r>
      <w:r>
        <w:rPr>
          <w:rFonts w:ascii="Arial" w:hAnsi="Arial" w:cs="Arial"/>
          <w:shd w:val="clear" w:color="auto" w:fill="FFFFFF"/>
        </w:rPr>
        <w:t>S</w:t>
      </w:r>
      <w:r w:rsidRPr="00E013AA">
        <w:rPr>
          <w:rFonts w:ascii="Arial" w:hAnsi="Arial" w:cs="Arial"/>
          <w:shd w:val="clear" w:color="auto" w:fill="FFFFFF"/>
        </w:rPr>
        <w:t xml:space="preserve">in embargo, </w:t>
      </w:r>
      <w:r>
        <w:rPr>
          <w:rFonts w:ascii="Arial" w:hAnsi="Arial" w:cs="Arial"/>
          <w:shd w:val="clear" w:color="auto" w:fill="FFFFFF"/>
        </w:rPr>
        <w:t xml:space="preserve">define </w:t>
      </w:r>
      <w:r w:rsidRPr="00E013AA">
        <w:rPr>
          <w:rFonts w:ascii="Arial" w:hAnsi="Arial" w:cs="Arial"/>
          <w:shd w:val="clear" w:color="auto" w:fill="FFFFFF"/>
        </w:rPr>
        <w:t xml:space="preserve">los conceptos de </w:t>
      </w:r>
      <w:r w:rsidRPr="00E013AA">
        <w:rPr>
          <w:rFonts w:ascii="Arial" w:hAnsi="Arial" w:cs="Arial"/>
          <w:i/>
          <w:iCs/>
          <w:shd w:val="clear" w:color="auto" w:fill="FFFFFF"/>
        </w:rPr>
        <w:t xml:space="preserve">señalización </w:t>
      </w:r>
      <w:r w:rsidRPr="00E013AA">
        <w:rPr>
          <w:rFonts w:ascii="Arial" w:hAnsi="Arial" w:cs="Arial"/>
          <w:shd w:val="clear" w:color="auto" w:fill="FFFFFF"/>
        </w:rPr>
        <w:t xml:space="preserve">y </w:t>
      </w:r>
      <w:r w:rsidRPr="00E013AA">
        <w:rPr>
          <w:rFonts w:ascii="Arial" w:hAnsi="Arial" w:cs="Arial"/>
          <w:i/>
          <w:iCs/>
          <w:shd w:val="clear" w:color="auto" w:fill="FFFFFF"/>
        </w:rPr>
        <w:t>señalización vertical</w:t>
      </w:r>
      <w:r w:rsidRPr="00E013AA">
        <w:rPr>
          <w:rFonts w:ascii="Arial" w:hAnsi="Arial" w:cs="Arial"/>
          <w:shd w:val="clear" w:color="auto" w:fill="FFFFFF"/>
        </w:rPr>
        <w:t xml:space="preserve"> </w:t>
      </w:r>
      <w:r>
        <w:rPr>
          <w:rFonts w:ascii="Arial" w:hAnsi="Arial" w:cs="Arial"/>
          <w:shd w:val="clear" w:color="auto" w:fill="FFFFFF"/>
        </w:rPr>
        <w:t>de la siguiente manera</w:t>
      </w:r>
      <w:r w:rsidRPr="00E013AA">
        <w:rPr>
          <w:rFonts w:ascii="Arial" w:hAnsi="Arial" w:cs="Arial"/>
          <w:shd w:val="clear" w:color="auto" w:fill="FFFFFF"/>
        </w:rPr>
        <w:t>:</w:t>
      </w:r>
    </w:p>
    <w:p w14:paraId="7C12686C" w14:textId="77777777" w:rsidR="007B3DC7" w:rsidRDefault="007B3DC7" w:rsidP="00CE053F">
      <w:pPr>
        <w:tabs>
          <w:tab w:val="left" w:pos="426"/>
        </w:tabs>
        <w:spacing w:after="0"/>
        <w:ind w:left="709" w:right="709"/>
        <w:jc w:val="both"/>
        <w:rPr>
          <w:rFonts w:ascii="Arial" w:eastAsia="Times New Roman" w:hAnsi="Arial" w:cs="Arial"/>
          <w:sz w:val="21"/>
          <w:szCs w:val="21"/>
          <w:lang w:eastAsia="es-ES"/>
        </w:rPr>
      </w:pPr>
    </w:p>
    <w:p w14:paraId="5D78B13D" w14:textId="60C18B85" w:rsidR="007B3DC7" w:rsidRPr="00E013AA" w:rsidRDefault="007B3DC7" w:rsidP="00CE053F">
      <w:pPr>
        <w:tabs>
          <w:tab w:val="left" w:pos="426"/>
        </w:tabs>
        <w:spacing w:after="120"/>
        <w:ind w:left="709" w:right="709"/>
        <w:jc w:val="both"/>
        <w:rPr>
          <w:rFonts w:ascii="Arial" w:eastAsia="Times New Roman" w:hAnsi="Arial" w:cs="Arial"/>
          <w:sz w:val="21"/>
          <w:szCs w:val="21"/>
          <w:lang w:eastAsia="es-ES"/>
        </w:rPr>
      </w:pPr>
      <w:r w:rsidRPr="00E013AA">
        <w:rPr>
          <w:rFonts w:ascii="Arial" w:eastAsia="Times New Roman" w:hAnsi="Arial" w:cs="Arial"/>
          <w:sz w:val="21"/>
          <w:szCs w:val="21"/>
          <w:lang w:eastAsia="es-ES"/>
        </w:rPr>
        <w:t>2.89 Señalización: Conjunto de señales destinado a regular el tránsito. Dichas señales pueden ser señales verticales y señalización horizontal o demarcaciones.</w:t>
      </w:r>
    </w:p>
    <w:p w14:paraId="7A34642C" w14:textId="77777777" w:rsidR="007B3DC7" w:rsidRPr="00E013AA" w:rsidRDefault="007B3DC7" w:rsidP="0079585E">
      <w:pPr>
        <w:tabs>
          <w:tab w:val="left" w:pos="426"/>
        </w:tabs>
        <w:spacing w:after="0"/>
        <w:ind w:left="709" w:right="709"/>
        <w:jc w:val="both"/>
        <w:rPr>
          <w:rFonts w:ascii="Arial" w:eastAsia="Times New Roman" w:hAnsi="Arial" w:cs="Arial"/>
          <w:sz w:val="21"/>
          <w:szCs w:val="21"/>
          <w:lang w:eastAsia="es-ES"/>
        </w:rPr>
      </w:pPr>
      <w:r w:rsidRPr="00E013AA">
        <w:rPr>
          <w:rFonts w:ascii="Arial" w:eastAsia="Times New Roman" w:hAnsi="Arial" w:cs="Arial"/>
          <w:sz w:val="21"/>
          <w:szCs w:val="21"/>
          <w:lang w:eastAsia="es-ES"/>
        </w:rPr>
        <w:t xml:space="preserve">2.90 Señalización Vertical: Dispositivos físicos que indican la forma correcta como deben transitar los usuarios de las vías; se instalan para transmitir órdenes o instrucciones mediante palabras o símbolos.  </w:t>
      </w:r>
    </w:p>
    <w:p w14:paraId="46F3E538" w14:textId="77777777" w:rsidR="007B3DC7" w:rsidRPr="00E013AA" w:rsidRDefault="007B3DC7" w:rsidP="00CE053F">
      <w:pPr>
        <w:tabs>
          <w:tab w:val="left" w:pos="426"/>
        </w:tabs>
        <w:spacing w:after="0"/>
        <w:jc w:val="both"/>
        <w:rPr>
          <w:rFonts w:ascii="Arial" w:hAnsi="Arial" w:cs="Arial"/>
          <w:shd w:val="clear" w:color="auto" w:fill="FFFFFF"/>
        </w:rPr>
      </w:pPr>
      <w:r w:rsidRPr="00E013AA">
        <w:rPr>
          <w:rFonts w:ascii="Arial" w:hAnsi="Arial" w:cs="Arial"/>
          <w:shd w:val="clear" w:color="auto" w:fill="FFFFFF"/>
        </w:rPr>
        <w:tab/>
      </w:r>
      <w:r w:rsidRPr="00E013AA">
        <w:rPr>
          <w:rFonts w:ascii="Arial" w:hAnsi="Arial" w:cs="Arial"/>
          <w:shd w:val="clear" w:color="auto" w:fill="FFFFFF"/>
        </w:rPr>
        <w:tab/>
      </w:r>
    </w:p>
    <w:p w14:paraId="15AD6B4A" w14:textId="2DC35321" w:rsidR="007B3DC7" w:rsidRPr="00E013AA" w:rsidRDefault="007B3DC7" w:rsidP="00CE053F">
      <w:pPr>
        <w:tabs>
          <w:tab w:val="left" w:pos="426"/>
        </w:tabs>
        <w:spacing w:after="0"/>
        <w:jc w:val="both"/>
        <w:rPr>
          <w:rFonts w:ascii="Arial" w:hAnsi="Arial" w:cs="Arial"/>
          <w:shd w:val="clear" w:color="auto" w:fill="FFFFFF"/>
        </w:rPr>
      </w:pPr>
      <w:r w:rsidRPr="00E013AA">
        <w:rPr>
          <w:rFonts w:ascii="Arial" w:hAnsi="Arial" w:cs="Arial"/>
          <w:shd w:val="clear" w:color="auto" w:fill="FFFFFF"/>
        </w:rPr>
        <w:tab/>
      </w:r>
      <w:r w:rsidRPr="00E013AA">
        <w:rPr>
          <w:rFonts w:ascii="Arial" w:hAnsi="Arial" w:cs="Arial"/>
          <w:shd w:val="clear" w:color="auto" w:fill="FFFFFF"/>
        </w:rPr>
        <w:tab/>
        <w:t>De otra parte, en cuanto a</w:t>
      </w:r>
      <w:r>
        <w:rPr>
          <w:rFonts w:ascii="Arial" w:hAnsi="Arial" w:cs="Arial"/>
          <w:shd w:val="clear" w:color="auto" w:fill="FFFFFF"/>
        </w:rPr>
        <w:t>l</w:t>
      </w:r>
      <w:r w:rsidRPr="00E013AA">
        <w:rPr>
          <w:rFonts w:ascii="Arial" w:hAnsi="Arial" w:cs="Arial"/>
          <w:shd w:val="clear" w:color="auto" w:fill="FFFFFF"/>
        </w:rPr>
        <w:t xml:space="preserve"> concepto de </w:t>
      </w:r>
      <w:r w:rsidRPr="00E013AA">
        <w:rPr>
          <w:rFonts w:ascii="Arial" w:hAnsi="Arial" w:cs="Arial"/>
          <w:i/>
          <w:iCs/>
          <w:shd w:val="clear" w:color="auto" w:fill="FFFFFF"/>
        </w:rPr>
        <w:t>semáforo</w:t>
      </w:r>
      <w:r w:rsidRPr="00E013AA">
        <w:rPr>
          <w:rFonts w:ascii="Arial" w:hAnsi="Arial" w:cs="Arial"/>
          <w:shd w:val="clear" w:color="auto" w:fill="FFFFFF"/>
        </w:rPr>
        <w:t xml:space="preserve">, el </w:t>
      </w:r>
      <w:r>
        <w:rPr>
          <w:rFonts w:ascii="Arial" w:hAnsi="Arial" w:cs="Arial"/>
          <w:shd w:val="clear" w:color="auto" w:fill="FFFFFF"/>
        </w:rPr>
        <w:t>«</w:t>
      </w:r>
      <w:r w:rsidRPr="00E013AA">
        <w:rPr>
          <w:rFonts w:ascii="Arial" w:hAnsi="Arial" w:cs="Arial"/>
          <w:shd w:val="clear" w:color="auto" w:fill="FFFFFF"/>
        </w:rPr>
        <w:t>Glosario Manual de señalización vial</w:t>
      </w:r>
      <w:r>
        <w:rPr>
          <w:rFonts w:ascii="Arial" w:hAnsi="Arial" w:cs="Arial"/>
          <w:shd w:val="clear" w:color="auto" w:fill="FFFFFF"/>
        </w:rPr>
        <w:t>»</w:t>
      </w:r>
      <w:r w:rsidRPr="00E013AA">
        <w:rPr>
          <w:rFonts w:ascii="Arial" w:hAnsi="Arial" w:cs="Arial"/>
          <w:shd w:val="clear" w:color="auto" w:fill="FFFFFF"/>
        </w:rPr>
        <w:t xml:space="preserve"> del Instituto Nacional de Vías –Invias–</w:t>
      </w:r>
      <w:r>
        <w:rPr>
          <w:rFonts w:ascii="Arial" w:hAnsi="Arial" w:cs="Arial"/>
          <w:shd w:val="clear" w:color="auto" w:fill="FFFFFF"/>
        </w:rPr>
        <w:t xml:space="preserve"> lo define en estos términos</w:t>
      </w:r>
      <w:r w:rsidRPr="00E013AA">
        <w:rPr>
          <w:rFonts w:ascii="Arial" w:hAnsi="Arial" w:cs="Arial"/>
          <w:shd w:val="clear" w:color="auto" w:fill="FFFFFF"/>
        </w:rPr>
        <w:t xml:space="preserve">: </w:t>
      </w:r>
    </w:p>
    <w:p w14:paraId="38F9B679" w14:textId="77777777" w:rsidR="007B3DC7" w:rsidRPr="00E013AA" w:rsidRDefault="007B3DC7" w:rsidP="00CE053F">
      <w:pPr>
        <w:tabs>
          <w:tab w:val="left" w:pos="426"/>
        </w:tabs>
        <w:spacing w:after="0"/>
        <w:jc w:val="both"/>
        <w:rPr>
          <w:rFonts w:ascii="Arial" w:hAnsi="Arial" w:cs="Arial"/>
          <w:shd w:val="clear" w:color="auto" w:fill="FFFFFF"/>
        </w:rPr>
      </w:pPr>
    </w:p>
    <w:p w14:paraId="275C3DE2" w14:textId="77777777" w:rsidR="007B3DC7" w:rsidRPr="00E013AA" w:rsidRDefault="007B3DC7" w:rsidP="00CE053F">
      <w:pPr>
        <w:tabs>
          <w:tab w:val="left" w:pos="426"/>
        </w:tabs>
        <w:spacing w:after="0"/>
        <w:ind w:left="709" w:right="709"/>
        <w:jc w:val="both"/>
        <w:rPr>
          <w:rFonts w:ascii="Arial" w:hAnsi="Arial" w:cs="Arial"/>
          <w:sz w:val="21"/>
          <w:szCs w:val="21"/>
          <w:shd w:val="clear" w:color="auto" w:fill="FFFFFF"/>
        </w:rPr>
      </w:pPr>
      <w:r w:rsidRPr="00E013AA">
        <w:rPr>
          <w:rFonts w:ascii="Arial" w:hAnsi="Arial" w:cs="Arial"/>
          <w:sz w:val="21"/>
          <w:szCs w:val="21"/>
          <w:shd w:val="clear" w:color="auto" w:fill="FFFFFF"/>
        </w:rPr>
        <w:t xml:space="preserve">Semáforo. Son dispositivos que proporcionan indicaciones visuales para el control del tránsito de vehículos y peatones en intersecciones. Las indicaciones se hacen a través de luces con lentes de diferentes colores. El color verde corresponde a la indicación de "siga" y el color rojo a "pare", el color amarillo normalmente sirve de transición entre las fases de "siga" y "pare". Los lentes </w:t>
      </w:r>
      <w:r w:rsidRPr="00E013AA">
        <w:rPr>
          <w:rFonts w:ascii="Arial" w:hAnsi="Arial" w:cs="Arial"/>
          <w:sz w:val="21"/>
          <w:szCs w:val="21"/>
          <w:shd w:val="clear" w:color="auto" w:fill="FFFFFF"/>
        </w:rPr>
        <w:lastRenderedPageBreak/>
        <w:t xml:space="preserve">con luces de colores diferentes se ordenan verticalmente en una secuencia convencional y preestablecida de la siguiente manera: rojo, amarillo y verde </w:t>
      </w:r>
      <w:r w:rsidRPr="00E013AA">
        <w:rPr>
          <w:rStyle w:val="Refdenotaalpie"/>
          <w:rFonts w:ascii="Arial" w:hAnsi="Arial" w:cs="Arial"/>
          <w:sz w:val="21"/>
          <w:szCs w:val="21"/>
          <w:shd w:val="clear" w:color="auto" w:fill="FFFFFF"/>
        </w:rPr>
        <w:footnoteReference w:id="5"/>
      </w:r>
      <w:r w:rsidRPr="00E013AA">
        <w:rPr>
          <w:rFonts w:ascii="Arial" w:hAnsi="Arial" w:cs="Arial"/>
          <w:sz w:val="21"/>
          <w:szCs w:val="21"/>
          <w:shd w:val="clear" w:color="auto" w:fill="FFFFFF"/>
        </w:rPr>
        <w:t>.</w:t>
      </w:r>
    </w:p>
    <w:p w14:paraId="18BED076" w14:textId="77777777" w:rsidR="007B3DC7" w:rsidRPr="00E013AA" w:rsidRDefault="007B3DC7" w:rsidP="00CE053F">
      <w:pPr>
        <w:tabs>
          <w:tab w:val="left" w:pos="426"/>
        </w:tabs>
        <w:spacing w:after="0"/>
        <w:jc w:val="both"/>
        <w:rPr>
          <w:rFonts w:ascii="Arial" w:hAnsi="Arial" w:cs="Arial"/>
          <w:shd w:val="clear" w:color="auto" w:fill="FFFFFF"/>
        </w:rPr>
      </w:pPr>
      <w:r w:rsidRPr="00E013AA">
        <w:rPr>
          <w:rFonts w:ascii="Arial" w:hAnsi="Arial" w:cs="Arial"/>
          <w:shd w:val="clear" w:color="auto" w:fill="FFFFFF"/>
        </w:rPr>
        <w:tab/>
      </w:r>
      <w:r w:rsidRPr="00E013AA">
        <w:rPr>
          <w:rFonts w:ascii="Arial" w:hAnsi="Arial" w:cs="Arial"/>
          <w:shd w:val="clear" w:color="auto" w:fill="FFFFFF"/>
        </w:rPr>
        <w:tab/>
      </w:r>
    </w:p>
    <w:p w14:paraId="6B4FEBAC" w14:textId="088F4ECD" w:rsidR="007B3DC7" w:rsidRPr="00E013AA" w:rsidRDefault="007B3DC7" w:rsidP="00CE053F">
      <w:pPr>
        <w:tabs>
          <w:tab w:val="left" w:pos="426"/>
        </w:tabs>
        <w:spacing w:after="0"/>
        <w:jc w:val="both"/>
        <w:rPr>
          <w:rFonts w:ascii="Arial" w:hAnsi="Arial" w:cs="Arial"/>
          <w:shd w:val="clear" w:color="auto" w:fill="FFFFFF"/>
        </w:rPr>
      </w:pPr>
      <w:r w:rsidRPr="00E013AA">
        <w:rPr>
          <w:rFonts w:ascii="Arial" w:hAnsi="Arial" w:cs="Arial"/>
          <w:shd w:val="clear" w:color="auto" w:fill="FFFFFF"/>
        </w:rPr>
        <w:tab/>
      </w:r>
      <w:r w:rsidRPr="00E013AA">
        <w:rPr>
          <w:rFonts w:ascii="Arial" w:hAnsi="Arial" w:cs="Arial"/>
          <w:shd w:val="clear" w:color="auto" w:fill="FFFFFF"/>
        </w:rPr>
        <w:tab/>
        <w:t xml:space="preserve">Por otro lado, sobre la obligatoriedad de aplicar documentos tipo para la contratación de actividades de semaforización se pronunció esta Agencia en el concepto C-597 del 14 de septiembre de 2020. En </w:t>
      </w:r>
      <w:r>
        <w:rPr>
          <w:rFonts w:ascii="Arial" w:hAnsi="Arial" w:cs="Arial"/>
          <w:shd w:val="clear" w:color="auto" w:fill="FFFFFF"/>
        </w:rPr>
        <w:t>este</w:t>
      </w:r>
      <w:r w:rsidRPr="00E013AA">
        <w:rPr>
          <w:rFonts w:ascii="Arial" w:hAnsi="Arial" w:cs="Arial"/>
          <w:shd w:val="clear" w:color="auto" w:fill="FFFFFF"/>
        </w:rPr>
        <w:t xml:space="preserve"> concepto se indicó que, para la contratación de </w:t>
      </w:r>
      <w:r w:rsidR="004B7D74">
        <w:rPr>
          <w:rFonts w:ascii="Arial" w:hAnsi="Arial" w:cs="Arial"/>
          <w:shd w:val="clear" w:color="auto" w:fill="FFFFFF"/>
        </w:rPr>
        <w:t>estas</w:t>
      </w:r>
      <w:r w:rsidRPr="00E013AA">
        <w:rPr>
          <w:rFonts w:ascii="Arial" w:hAnsi="Arial" w:cs="Arial"/>
          <w:shd w:val="clear" w:color="auto" w:fill="FFFFFF"/>
        </w:rPr>
        <w:t xml:space="preserve"> actividades </w:t>
      </w:r>
      <w:r>
        <w:rPr>
          <w:rFonts w:ascii="Arial" w:hAnsi="Arial" w:cs="Arial"/>
          <w:shd w:val="clear" w:color="auto" w:fill="FFFFFF"/>
        </w:rPr>
        <w:t>–</w:t>
      </w:r>
      <w:r w:rsidRPr="00E013AA">
        <w:rPr>
          <w:rFonts w:ascii="Arial" w:hAnsi="Arial" w:cs="Arial"/>
          <w:shd w:val="clear" w:color="auto" w:fill="FFFFFF"/>
        </w:rPr>
        <w:t>al ser conexas a la demarcación y señalización de vías, o de espacio público asociado a infraestructura de transporte</w:t>
      </w:r>
      <w:r>
        <w:rPr>
          <w:rFonts w:ascii="Arial" w:hAnsi="Arial" w:cs="Arial"/>
          <w:shd w:val="clear" w:color="auto" w:fill="FFFFFF"/>
        </w:rPr>
        <w:t>–</w:t>
      </w:r>
      <w:r w:rsidRPr="00E013AA">
        <w:rPr>
          <w:rFonts w:ascii="Arial" w:hAnsi="Arial" w:cs="Arial"/>
          <w:shd w:val="clear" w:color="auto" w:fill="FFFFFF"/>
        </w:rPr>
        <w:t xml:space="preserve"> deben aplicarse los documentos tipo. Al respecto se </w:t>
      </w:r>
      <w:r>
        <w:rPr>
          <w:rFonts w:ascii="Arial" w:hAnsi="Arial" w:cs="Arial"/>
          <w:shd w:val="clear" w:color="auto" w:fill="FFFFFF"/>
        </w:rPr>
        <w:t>consideró que</w:t>
      </w:r>
      <w:r w:rsidRPr="00E013AA">
        <w:rPr>
          <w:rFonts w:ascii="Arial" w:hAnsi="Arial" w:cs="Arial"/>
          <w:shd w:val="clear" w:color="auto" w:fill="FFFFFF"/>
        </w:rPr>
        <w:t>:</w:t>
      </w:r>
    </w:p>
    <w:p w14:paraId="74111726" w14:textId="77777777" w:rsidR="007B3DC7" w:rsidRPr="00E013AA" w:rsidRDefault="007B3DC7" w:rsidP="00CE053F">
      <w:pPr>
        <w:tabs>
          <w:tab w:val="left" w:pos="426"/>
        </w:tabs>
        <w:spacing w:after="0"/>
        <w:jc w:val="both"/>
        <w:rPr>
          <w:rFonts w:ascii="Arial" w:hAnsi="Arial" w:cs="Arial"/>
          <w:shd w:val="clear" w:color="auto" w:fill="FFFFFF"/>
        </w:rPr>
      </w:pPr>
    </w:p>
    <w:p w14:paraId="4EB1FBC6" w14:textId="7CCEB8F4" w:rsidR="007B3DC7" w:rsidRDefault="007B3DC7" w:rsidP="0079585E">
      <w:pPr>
        <w:tabs>
          <w:tab w:val="left" w:pos="426"/>
        </w:tabs>
        <w:spacing w:after="0" w:line="240" w:lineRule="auto"/>
        <w:ind w:left="709" w:right="709"/>
        <w:jc w:val="both"/>
        <w:rPr>
          <w:rFonts w:ascii="Arial" w:hAnsi="Arial" w:cs="Arial"/>
          <w:sz w:val="21"/>
          <w:szCs w:val="21"/>
        </w:rPr>
      </w:pPr>
      <w:r w:rsidRPr="00E013AA">
        <w:rPr>
          <w:rFonts w:ascii="Arial" w:hAnsi="Arial" w:cs="Arial"/>
          <w:sz w:val="21"/>
          <w:szCs w:val="21"/>
          <w:shd w:val="clear" w:color="auto" w:fill="FFFFFF"/>
        </w:rPr>
        <w:t>[…]</w:t>
      </w:r>
      <w:r>
        <w:rPr>
          <w:rFonts w:ascii="Arial" w:hAnsi="Arial" w:cs="Arial"/>
          <w:sz w:val="21"/>
          <w:szCs w:val="21"/>
          <w:shd w:val="clear" w:color="auto" w:fill="FFFFFF"/>
        </w:rPr>
        <w:t xml:space="preserve"> </w:t>
      </w:r>
      <w:r w:rsidRPr="00E013AA">
        <w:rPr>
          <w:rFonts w:ascii="Arial" w:hAnsi="Arial" w:cs="Arial"/>
          <w:sz w:val="21"/>
          <w:szCs w:val="21"/>
        </w:rPr>
        <w:t xml:space="preserve">«si la obra a realizar es solo de semaforización» sí es obligatorio el uso de los Pliegos Tipo, claro está, siempre que el contrato se ejecute en el contexto de una obra de infraestructura de transporte o de espacio público asociado a infraestructuras de transporte. Tal afirmación se fundamenta, al menos, en dos consideraciones. Primero, en que, desde una perspectiva técnica, la semaforización es una actividad conexa a las labores de demarcación y señalización de la infraestructura de transporte como elementos que permiten organizar las interacciones de los diferentes actores de la movilidad y el tránsito como tal, sobre todo, en el contexto de la seguridad vial y las normas aplicables en dicha materia. Segundo, porque en el Anexo 3-Glosario de los Documentos Tipo, que delimita el alcance de las expresiones técnicas, la «señalización» es definida como el «Conjunto de señales destinado a regular el tránsito», las cuales, se agrega, pueden ser «[…] señales verticales y señalización horizontal o demarcaciones», de lo que se sigue que los semáforos son una forma de señalización vertical, teniendo como parámetro que el artículo 2 de la Ley 769 de 2002 lo define como «Dispositivo electromagnético o electrónico </w:t>
      </w:r>
      <w:r w:rsidRPr="00E013AA">
        <w:rPr>
          <w:rFonts w:ascii="Arial" w:hAnsi="Arial" w:cs="Arial"/>
          <w:i/>
          <w:sz w:val="21"/>
          <w:szCs w:val="21"/>
        </w:rPr>
        <w:t>para regular el tránsito</w:t>
      </w:r>
      <w:r w:rsidRPr="00E013AA">
        <w:rPr>
          <w:rFonts w:ascii="Arial" w:hAnsi="Arial" w:cs="Arial"/>
          <w:sz w:val="21"/>
          <w:szCs w:val="21"/>
        </w:rPr>
        <w:t xml:space="preserve"> </w:t>
      </w:r>
      <w:r w:rsidRPr="00E013AA">
        <w:rPr>
          <w:rFonts w:ascii="Arial" w:hAnsi="Arial" w:cs="Arial"/>
          <w:i/>
          <w:sz w:val="21"/>
          <w:szCs w:val="21"/>
        </w:rPr>
        <w:t>de vehículos, peatones</w:t>
      </w:r>
      <w:r w:rsidRPr="00E013AA">
        <w:rPr>
          <w:rFonts w:ascii="Arial" w:hAnsi="Arial" w:cs="Arial"/>
          <w:sz w:val="21"/>
          <w:szCs w:val="21"/>
        </w:rPr>
        <w:t xml:space="preserve"> mediante el uso de señales luminosas»</w:t>
      </w:r>
      <w:r>
        <w:rPr>
          <w:rFonts w:ascii="Arial" w:hAnsi="Arial" w:cs="Arial"/>
          <w:sz w:val="21"/>
          <w:szCs w:val="21"/>
        </w:rPr>
        <w:t xml:space="preserve"> […]</w:t>
      </w:r>
      <w:r w:rsidRPr="00E013AA">
        <w:rPr>
          <w:rStyle w:val="Refdenotaalpie"/>
          <w:rFonts w:ascii="Arial" w:hAnsi="Arial" w:cs="Arial"/>
          <w:sz w:val="21"/>
          <w:szCs w:val="21"/>
        </w:rPr>
        <w:footnoteReference w:id="6"/>
      </w:r>
      <w:r w:rsidR="004B7D74">
        <w:rPr>
          <w:rFonts w:ascii="Arial" w:hAnsi="Arial" w:cs="Arial"/>
          <w:sz w:val="21"/>
          <w:szCs w:val="21"/>
        </w:rPr>
        <w:t>.</w:t>
      </w:r>
    </w:p>
    <w:p w14:paraId="2CF140C8" w14:textId="77777777" w:rsidR="00CE053F" w:rsidRPr="00E013AA" w:rsidRDefault="00CE053F" w:rsidP="00CE053F">
      <w:pPr>
        <w:tabs>
          <w:tab w:val="left" w:pos="426"/>
        </w:tabs>
        <w:spacing w:after="0"/>
        <w:ind w:left="709" w:right="709"/>
        <w:jc w:val="both"/>
        <w:rPr>
          <w:rFonts w:ascii="Arial" w:hAnsi="Arial" w:cs="Arial"/>
          <w:sz w:val="21"/>
          <w:szCs w:val="21"/>
          <w:shd w:val="clear" w:color="auto" w:fill="FFFFFF"/>
        </w:rPr>
      </w:pPr>
    </w:p>
    <w:p w14:paraId="422D67E5" w14:textId="1A55D0A6" w:rsidR="007B3DC7" w:rsidRDefault="007B3DC7" w:rsidP="003E55D4">
      <w:pPr>
        <w:tabs>
          <w:tab w:val="left" w:pos="426"/>
        </w:tabs>
        <w:jc w:val="both"/>
        <w:rPr>
          <w:rFonts w:ascii="Arial" w:hAnsi="Arial" w:cs="Arial"/>
          <w:shd w:val="clear" w:color="auto" w:fill="FFFFFF"/>
        </w:rPr>
      </w:pPr>
      <w:r w:rsidRPr="00E013AA">
        <w:rPr>
          <w:rFonts w:ascii="Arial" w:hAnsi="Arial" w:cs="Arial"/>
          <w:shd w:val="clear" w:color="auto" w:fill="FFFFFF"/>
        </w:rPr>
        <w:tab/>
      </w:r>
      <w:r w:rsidRPr="00E013AA">
        <w:rPr>
          <w:rFonts w:ascii="Arial" w:hAnsi="Arial" w:cs="Arial"/>
          <w:shd w:val="clear" w:color="auto" w:fill="FFFFFF"/>
        </w:rPr>
        <w:tab/>
      </w:r>
      <w:r>
        <w:rPr>
          <w:rFonts w:ascii="Arial" w:hAnsi="Arial" w:cs="Arial"/>
          <w:shd w:val="clear" w:color="auto" w:fill="FFFFFF"/>
        </w:rPr>
        <w:t>A</w:t>
      </w:r>
      <w:r w:rsidRPr="00E013AA">
        <w:rPr>
          <w:rFonts w:ascii="Arial" w:hAnsi="Arial" w:cs="Arial"/>
          <w:shd w:val="clear" w:color="auto" w:fill="FFFFFF"/>
        </w:rPr>
        <w:t>l referi</w:t>
      </w:r>
      <w:r>
        <w:rPr>
          <w:rFonts w:ascii="Arial" w:hAnsi="Arial" w:cs="Arial"/>
          <w:shd w:val="clear" w:color="auto" w:fill="FFFFFF"/>
        </w:rPr>
        <w:t>r</w:t>
      </w:r>
      <w:r w:rsidRPr="00E013AA">
        <w:rPr>
          <w:rFonts w:ascii="Arial" w:hAnsi="Arial" w:cs="Arial"/>
          <w:shd w:val="clear" w:color="auto" w:fill="FFFFFF"/>
        </w:rPr>
        <w:t>s</w:t>
      </w:r>
      <w:r>
        <w:rPr>
          <w:rFonts w:ascii="Arial" w:hAnsi="Arial" w:cs="Arial"/>
          <w:shd w:val="clear" w:color="auto" w:fill="FFFFFF"/>
        </w:rPr>
        <w:t>e</w:t>
      </w:r>
      <w:r w:rsidRPr="00E013AA">
        <w:rPr>
          <w:rFonts w:ascii="Arial" w:hAnsi="Arial" w:cs="Arial"/>
          <w:shd w:val="clear" w:color="auto" w:fill="FFFFFF"/>
        </w:rPr>
        <w:t xml:space="preserve"> a la </w:t>
      </w:r>
      <w:r w:rsidRPr="00E013AA">
        <w:rPr>
          <w:rFonts w:ascii="Arial" w:hAnsi="Arial" w:cs="Arial"/>
          <w:i/>
          <w:iCs/>
          <w:shd w:val="clear" w:color="auto" w:fill="FFFFFF"/>
        </w:rPr>
        <w:t>señalización</w:t>
      </w:r>
      <w:r w:rsidRPr="00E013AA">
        <w:rPr>
          <w:rFonts w:ascii="Arial" w:hAnsi="Arial" w:cs="Arial"/>
          <w:shd w:val="clear" w:color="auto" w:fill="FFFFFF"/>
        </w:rPr>
        <w:t xml:space="preserve"> o </w:t>
      </w:r>
      <w:r w:rsidRPr="00E013AA">
        <w:rPr>
          <w:rFonts w:ascii="Arial" w:hAnsi="Arial" w:cs="Arial"/>
          <w:i/>
          <w:iCs/>
          <w:shd w:val="clear" w:color="auto" w:fill="FFFFFF"/>
        </w:rPr>
        <w:t>demarcación</w:t>
      </w:r>
      <w:r w:rsidRPr="00E013AA">
        <w:rPr>
          <w:rFonts w:ascii="Arial" w:hAnsi="Arial" w:cs="Arial"/>
          <w:shd w:val="clear" w:color="auto" w:fill="FFFFFF"/>
        </w:rPr>
        <w:t xml:space="preserve"> de infraestructura de transporte y espacio público asociado a esta, las actividades de </w:t>
      </w:r>
      <w:r>
        <w:rPr>
          <w:rFonts w:ascii="Arial" w:hAnsi="Arial" w:cs="Arial"/>
          <w:shd w:val="clear" w:color="auto" w:fill="FFFFFF"/>
        </w:rPr>
        <w:t>la Matriz</w:t>
      </w:r>
      <w:r w:rsidRPr="00E013AA">
        <w:rPr>
          <w:rFonts w:ascii="Arial" w:hAnsi="Arial" w:cs="Arial"/>
          <w:shd w:val="clear" w:color="auto" w:fill="FFFFFF"/>
        </w:rPr>
        <w:t xml:space="preserve"> 1 arriba señaladas comprenden la instalación de semáforos, por lo que, </w:t>
      </w:r>
      <w:r w:rsidR="003E55D4">
        <w:rPr>
          <w:rFonts w:ascii="Arial" w:hAnsi="Arial" w:cs="Arial"/>
          <w:shd w:val="clear" w:color="auto" w:fill="FFFFFF"/>
        </w:rPr>
        <w:t xml:space="preserve">deben aplicarse </w:t>
      </w:r>
      <w:r w:rsidR="003E55D4" w:rsidRPr="00E013AA">
        <w:rPr>
          <w:rFonts w:ascii="Arial" w:hAnsi="Arial" w:cs="Arial"/>
          <w:shd w:val="clear" w:color="auto" w:fill="FFFFFF"/>
        </w:rPr>
        <w:t>los documentos tipo licitación pública –Versión 2–, selección abreviada de menor cuantía</w:t>
      </w:r>
      <w:r w:rsidR="003E55D4">
        <w:rPr>
          <w:rFonts w:ascii="Arial" w:hAnsi="Arial" w:cs="Arial"/>
          <w:shd w:val="clear" w:color="auto" w:fill="FFFFFF"/>
        </w:rPr>
        <w:t xml:space="preserve"> –Versión 1–</w:t>
      </w:r>
      <w:r w:rsidR="003E55D4" w:rsidRPr="00E013AA">
        <w:rPr>
          <w:rFonts w:ascii="Arial" w:hAnsi="Arial" w:cs="Arial"/>
          <w:shd w:val="clear" w:color="auto" w:fill="FFFFFF"/>
        </w:rPr>
        <w:t xml:space="preserve"> y mínima cuantía</w:t>
      </w:r>
      <w:r w:rsidRPr="00E013AA">
        <w:rPr>
          <w:rFonts w:ascii="Arial" w:hAnsi="Arial" w:cs="Arial"/>
          <w:shd w:val="clear" w:color="auto" w:fill="FFFFFF"/>
        </w:rPr>
        <w:t xml:space="preserve">. </w:t>
      </w:r>
    </w:p>
    <w:p w14:paraId="0FC4FF99" w14:textId="4E1504E9" w:rsidR="0089283B" w:rsidRDefault="003E55D4" w:rsidP="00CE053F">
      <w:pPr>
        <w:tabs>
          <w:tab w:val="left" w:pos="426"/>
        </w:tabs>
        <w:spacing w:after="120"/>
        <w:jc w:val="both"/>
        <w:rPr>
          <w:rFonts w:ascii="Arial" w:hAnsi="Arial" w:cs="Arial"/>
          <w:shd w:val="clear" w:color="auto" w:fill="FFFFFF"/>
        </w:rPr>
      </w:pPr>
      <w:r>
        <w:rPr>
          <w:rFonts w:ascii="Arial" w:hAnsi="Arial" w:cs="Arial"/>
        </w:rPr>
        <w:tab/>
      </w:r>
      <w:r>
        <w:rPr>
          <w:rFonts w:ascii="Arial" w:hAnsi="Arial" w:cs="Arial"/>
        </w:rPr>
        <w:tab/>
        <w:t xml:space="preserve">Ahora bien, en virtud de los </w:t>
      </w:r>
      <w:r w:rsidRPr="00172F08">
        <w:rPr>
          <w:rFonts w:ascii="Arial" w:hAnsi="Arial" w:cs="Arial"/>
        </w:rPr>
        <w:t>d</w:t>
      </w:r>
      <w:r w:rsidRPr="00172F08">
        <w:rPr>
          <w:rFonts w:ascii="Arial" w:hAnsi="Arial" w:cs="Arial"/>
          <w:shd w:val="clear" w:color="auto" w:fill="FFFFFF"/>
        </w:rPr>
        <w:t xml:space="preserve">ocumentos tipo </w:t>
      </w:r>
      <w:r>
        <w:rPr>
          <w:rFonts w:ascii="Arial" w:hAnsi="Arial" w:cs="Arial"/>
          <w:shd w:val="clear" w:color="auto" w:fill="FFFFFF"/>
        </w:rPr>
        <w:t xml:space="preserve">de </w:t>
      </w:r>
      <w:r w:rsidRPr="00172F08">
        <w:rPr>
          <w:rFonts w:ascii="Arial" w:hAnsi="Arial" w:cs="Arial"/>
          <w:shd w:val="clear" w:color="auto" w:fill="FFFFFF"/>
        </w:rPr>
        <w:t>licitación pública</w:t>
      </w:r>
      <w:r>
        <w:rPr>
          <w:rFonts w:ascii="Arial" w:hAnsi="Arial" w:cs="Arial"/>
          <w:shd w:val="clear" w:color="auto" w:fill="FFFFFF"/>
        </w:rPr>
        <w:t xml:space="preserve"> </w:t>
      </w:r>
      <w:r>
        <w:rPr>
          <w:rFonts w:ascii="Arial" w:hAnsi="Arial" w:cs="Arial"/>
        </w:rPr>
        <w:t>−</w:t>
      </w:r>
      <w:r w:rsidRPr="00172F08">
        <w:rPr>
          <w:rFonts w:ascii="Arial" w:hAnsi="Arial" w:cs="Arial"/>
        </w:rPr>
        <w:t>Versión 3</w:t>
      </w:r>
      <w:r>
        <w:rPr>
          <w:rFonts w:ascii="Arial" w:hAnsi="Arial" w:cs="Arial"/>
        </w:rPr>
        <w:t>−</w:t>
      </w:r>
      <w:r w:rsidRPr="00172F08">
        <w:rPr>
          <w:rFonts w:ascii="Arial" w:hAnsi="Arial" w:cs="Arial"/>
        </w:rPr>
        <w:t xml:space="preserve"> </w:t>
      </w:r>
      <w:r>
        <w:rPr>
          <w:rFonts w:ascii="Arial" w:hAnsi="Arial" w:cs="Arial"/>
        </w:rPr>
        <w:t xml:space="preserve">y </w:t>
      </w:r>
      <w:r w:rsidRPr="00E013AA">
        <w:rPr>
          <w:rFonts w:ascii="Arial" w:hAnsi="Arial" w:cs="Arial"/>
          <w:shd w:val="clear" w:color="auto" w:fill="FFFFFF"/>
        </w:rPr>
        <w:t>selección abreviada de menor cuantía</w:t>
      </w:r>
      <w:r>
        <w:rPr>
          <w:rFonts w:ascii="Arial" w:hAnsi="Arial" w:cs="Arial"/>
          <w:shd w:val="clear" w:color="auto" w:fill="FFFFFF"/>
        </w:rPr>
        <w:t xml:space="preserve"> </w:t>
      </w:r>
      <w:r w:rsidRPr="00E013AA">
        <w:rPr>
          <w:rFonts w:ascii="Arial" w:hAnsi="Arial" w:cs="Arial"/>
          <w:shd w:val="clear" w:color="auto" w:fill="FFFFFF"/>
        </w:rPr>
        <w:t>–Versión 2–,</w:t>
      </w:r>
      <w:r>
        <w:rPr>
          <w:rFonts w:ascii="Arial" w:hAnsi="Arial" w:cs="Arial"/>
          <w:shd w:val="clear" w:color="auto" w:fill="FFFFFF"/>
        </w:rPr>
        <w:t xml:space="preserve"> </w:t>
      </w:r>
      <w:r w:rsidR="0089283B">
        <w:rPr>
          <w:rFonts w:ascii="Arial" w:hAnsi="Arial" w:cs="Arial"/>
          <w:shd w:val="clear" w:color="auto" w:fill="FFFFFF"/>
        </w:rPr>
        <w:t xml:space="preserve">en cuanto a las </w:t>
      </w:r>
      <w:r w:rsidR="0089283B" w:rsidRPr="00E013AA">
        <w:rPr>
          <w:rFonts w:ascii="Arial" w:hAnsi="Arial" w:cs="Arial"/>
          <w:shd w:val="clear" w:color="auto" w:fill="FFFFFF"/>
        </w:rPr>
        <w:t xml:space="preserve">actividades asociadas a la </w:t>
      </w:r>
      <w:r w:rsidR="0089283B" w:rsidRPr="00E013AA">
        <w:rPr>
          <w:rFonts w:ascii="Arial" w:hAnsi="Arial" w:cs="Arial"/>
          <w:i/>
          <w:iCs/>
          <w:shd w:val="clear" w:color="auto" w:fill="FFFFFF"/>
        </w:rPr>
        <w:t xml:space="preserve">señalización </w:t>
      </w:r>
      <w:r w:rsidR="0089283B" w:rsidRPr="00E013AA">
        <w:rPr>
          <w:rFonts w:ascii="Arial" w:hAnsi="Arial" w:cs="Arial"/>
          <w:shd w:val="clear" w:color="auto" w:fill="FFFFFF"/>
        </w:rPr>
        <w:t>y</w:t>
      </w:r>
      <w:r w:rsidR="0089283B" w:rsidRPr="00E013AA">
        <w:rPr>
          <w:rFonts w:ascii="Arial" w:hAnsi="Arial" w:cs="Arial"/>
          <w:i/>
          <w:iCs/>
          <w:shd w:val="clear" w:color="auto" w:fill="FFFFFF"/>
        </w:rPr>
        <w:t xml:space="preserve"> demarcación</w:t>
      </w:r>
      <w:r w:rsidR="0089283B">
        <w:rPr>
          <w:rFonts w:ascii="Arial" w:hAnsi="Arial" w:cs="Arial"/>
          <w:i/>
          <w:iCs/>
          <w:shd w:val="clear" w:color="auto" w:fill="FFFFFF"/>
        </w:rPr>
        <w:t xml:space="preserve">, </w:t>
      </w:r>
      <w:r w:rsidR="0089283B" w:rsidRPr="00E013AA">
        <w:rPr>
          <w:rFonts w:ascii="Arial" w:hAnsi="Arial" w:cs="Arial"/>
          <w:shd w:val="clear" w:color="auto" w:fill="FFFFFF"/>
        </w:rPr>
        <w:t xml:space="preserve">la </w:t>
      </w:r>
      <w:r w:rsidR="0089283B">
        <w:rPr>
          <w:rFonts w:ascii="Arial" w:hAnsi="Arial" w:cs="Arial"/>
          <w:shd w:val="clear" w:color="auto" w:fill="FFFFFF"/>
        </w:rPr>
        <w:t>M</w:t>
      </w:r>
      <w:r w:rsidR="0089283B" w:rsidRPr="00E013AA">
        <w:rPr>
          <w:rFonts w:ascii="Arial" w:hAnsi="Arial" w:cs="Arial"/>
          <w:shd w:val="clear" w:color="auto" w:fill="FFFFFF"/>
        </w:rPr>
        <w:t>atri</w:t>
      </w:r>
      <w:r w:rsidR="0089283B">
        <w:rPr>
          <w:rFonts w:ascii="Arial" w:hAnsi="Arial" w:cs="Arial"/>
          <w:shd w:val="clear" w:color="auto" w:fill="FFFFFF"/>
        </w:rPr>
        <w:t>z</w:t>
      </w:r>
      <w:r w:rsidR="0089283B" w:rsidRPr="00E013AA">
        <w:rPr>
          <w:rFonts w:ascii="Arial" w:hAnsi="Arial" w:cs="Arial"/>
          <w:shd w:val="clear" w:color="auto" w:fill="FFFFFF"/>
        </w:rPr>
        <w:t xml:space="preserve"> 1</w:t>
      </w:r>
      <w:r w:rsidR="0089283B">
        <w:rPr>
          <w:rFonts w:ascii="Arial" w:hAnsi="Arial" w:cs="Arial"/>
          <w:shd w:val="clear" w:color="auto" w:fill="FFFFFF"/>
        </w:rPr>
        <w:t xml:space="preserve"> de estos documentos, concurren en señalar que para el tipo de obra «1. </w:t>
      </w:r>
      <w:r w:rsidR="0089283B" w:rsidRPr="0089283B">
        <w:rPr>
          <w:rFonts w:ascii="Arial" w:hAnsi="Arial" w:cs="Arial"/>
          <w:shd w:val="clear" w:color="auto" w:fill="FFFFFF"/>
        </w:rPr>
        <w:t>OBRAS EN VÍAS PRIMARIAS O SECUNDARIAS</w:t>
      </w:r>
      <w:r w:rsidR="0089283B">
        <w:rPr>
          <w:rFonts w:ascii="Arial" w:hAnsi="Arial" w:cs="Arial"/>
          <w:shd w:val="clear" w:color="auto" w:fill="FFFFFF"/>
        </w:rPr>
        <w:t xml:space="preserve">» podrán desarrollarse las actividades: </w:t>
      </w:r>
      <w:r w:rsidR="0089283B" w:rsidRPr="00E013AA">
        <w:rPr>
          <w:rFonts w:ascii="Arial" w:hAnsi="Arial" w:cs="Arial"/>
          <w:shd w:val="clear" w:color="auto" w:fill="FFFFFF"/>
        </w:rPr>
        <w:t>«</w:t>
      </w:r>
      <w:r w:rsidR="0089283B" w:rsidRPr="0089283B">
        <w:rPr>
          <w:rFonts w:ascii="Arial" w:hAnsi="Arial" w:cs="Arial"/>
          <w:shd w:val="clear" w:color="auto" w:fill="FFFFFF"/>
        </w:rPr>
        <w:t xml:space="preserve">1.4 PROYECTOS DE DEMARCACIÓN O SEÑALIZACIÓN </w:t>
      </w:r>
      <w:r w:rsidR="0089283B" w:rsidRPr="0089283B">
        <w:rPr>
          <w:rFonts w:ascii="Arial" w:hAnsi="Arial" w:cs="Arial"/>
          <w:shd w:val="clear" w:color="auto" w:fill="FFFFFF"/>
        </w:rPr>
        <w:lastRenderedPageBreak/>
        <w:t>(HORIZONTAL O VERTICAL O SEMAFORIZACIÓN) DE INFRAESTRUCTURA DE TRANSPORTE</w:t>
      </w:r>
      <w:r w:rsidR="0089283B" w:rsidRPr="00E013AA">
        <w:rPr>
          <w:rFonts w:ascii="Arial" w:hAnsi="Arial" w:cs="Arial"/>
          <w:shd w:val="clear" w:color="auto" w:fill="FFFFFF"/>
        </w:rPr>
        <w:t>» y «</w:t>
      </w:r>
      <w:r w:rsidR="0089283B" w:rsidRPr="0089283B">
        <w:rPr>
          <w:rFonts w:ascii="Arial" w:hAnsi="Arial" w:cs="Arial"/>
          <w:shd w:val="clear" w:color="auto" w:fill="FFFFFF"/>
        </w:rPr>
        <w:t>1.5 PROYECTOS DE DEMARCACIÓN O SEÑALIZACIÓN (HORIZONTAL O VERTICAL O SEMAFORIZACIÓN) DE ESPACIO PÚBLICO ASOCIADO A LA INFRAESTRUCTURA DE TRANSPORTE</w:t>
      </w:r>
      <w:r w:rsidR="0089283B" w:rsidRPr="00E013AA">
        <w:rPr>
          <w:rFonts w:ascii="Arial" w:hAnsi="Arial" w:cs="Arial"/>
          <w:shd w:val="clear" w:color="auto" w:fill="FFFFFF"/>
        </w:rPr>
        <w:t xml:space="preserve">». Asimismo, para el tipo de infraestructura </w:t>
      </w:r>
      <w:r w:rsidR="0089283B">
        <w:rPr>
          <w:rFonts w:ascii="Arial" w:hAnsi="Arial" w:cs="Arial"/>
          <w:shd w:val="clear" w:color="auto" w:fill="FFFFFF"/>
        </w:rPr>
        <w:t>relacionado con</w:t>
      </w:r>
      <w:r w:rsidR="0089283B" w:rsidRPr="00E013AA">
        <w:rPr>
          <w:rFonts w:ascii="Arial" w:hAnsi="Arial" w:cs="Arial"/>
          <w:shd w:val="clear" w:color="auto" w:fill="FFFFFF"/>
        </w:rPr>
        <w:t xml:space="preserve"> «6. OBRAS DE INFRAESTRUCTURA VIAL URBANA» se contemplan las actividades </w:t>
      </w:r>
      <w:r w:rsidR="00CE053F">
        <w:rPr>
          <w:rFonts w:ascii="Arial" w:hAnsi="Arial" w:cs="Arial"/>
          <w:shd w:val="clear" w:color="auto" w:fill="FFFFFF"/>
        </w:rPr>
        <w:t xml:space="preserve">como </w:t>
      </w:r>
      <w:r w:rsidR="0089283B" w:rsidRPr="00E013AA">
        <w:rPr>
          <w:rFonts w:ascii="Arial" w:hAnsi="Arial" w:cs="Arial"/>
          <w:shd w:val="clear" w:color="auto" w:fill="FFFFFF"/>
        </w:rPr>
        <w:t>«</w:t>
      </w:r>
      <w:r w:rsidR="0089283B" w:rsidRPr="0089283B">
        <w:rPr>
          <w:rFonts w:ascii="Arial" w:hAnsi="Arial" w:cs="Arial"/>
          <w:shd w:val="clear" w:color="auto" w:fill="FFFFFF"/>
        </w:rPr>
        <w:t>6.12 PROYECTOS DE DEMARCACIÓN O SEÑALIZACIÓN (HORIZONTAL O VERTICAL O SEMAFORIZACIÓN) DE INFRAESTRUCTURA DE TRANSPORTE</w:t>
      </w:r>
      <w:r w:rsidR="0089283B" w:rsidRPr="00E013AA">
        <w:rPr>
          <w:rFonts w:ascii="Arial" w:hAnsi="Arial" w:cs="Arial"/>
          <w:shd w:val="clear" w:color="auto" w:fill="FFFFFF"/>
        </w:rPr>
        <w:t>» y «</w:t>
      </w:r>
      <w:r w:rsidR="0089283B" w:rsidRPr="0089283B">
        <w:rPr>
          <w:rFonts w:ascii="Arial" w:hAnsi="Arial" w:cs="Arial"/>
          <w:shd w:val="clear" w:color="auto" w:fill="FFFFFF"/>
        </w:rPr>
        <w:t>6.13 PROYECTOS DE DEMARCACIÓN O SEÑALIZACIÓN (HORIZONTAL O VERTICAL O SEMAFORIZACIÓN) DE ESPACIO PÚBLICO</w:t>
      </w:r>
      <w:r w:rsidR="0089283B" w:rsidRPr="00E013AA">
        <w:rPr>
          <w:rFonts w:ascii="Arial" w:hAnsi="Arial" w:cs="Arial"/>
          <w:shd w:val="clear" w:color="auto" w:fill="FFFFFF"/>
        </w:rPr>
        <w:t>».</w:t>
      </w:r>
    </w:p>
    <w:p w14:paraId="3040BC52" w14:textId="5C073A9A" w:rsidR="00362BCA" w:rsidRDefault="00B80922" w:rsidP="004C383B">
      <w:pPr>
        <w:tabs>
          <w:tab w:val="left" w:pos="426"/>
        </w:tabs>
        <w:spacing w:after="0"/>
        <w:jc w:val="both"/>
        <w:rPr>
          <w:rFonts w:ascii="Arial" w:hAnsi="Arial" w:cs="Arial"/>
          <w:shd w:val="clear" w:color="auto" w:fill="FFFFFF"/>
        </w:rPr>
      </w:pPr>
      <w:r>
        <w:rPr>
          <w:rFonts w:ascii="Arial" w:hAnsi="Arial" w:cs="Arial"/>
          <w:shd w:val="clear" w:color="auto" w:fill="FFFFFF"/>
        </w:rPr>
        <w:tab/>
      </w:r>
      <w:r w:rsidR="00362BCA">
        <w:rPr>
          <w:rFonts w:ascii="Arial" w:hAnsi="Arial" w:cs="Arial"/>
          <w:shd w:val="clear" w:color="auto" w:fill="FFFFFF"/>
        </w:rPr>
        <w:tab/>
      </w:r>
      <w:r>
        <w:rPr>
          <w:rFonts w:ascii="Arial" w:hAnsi="Arial" w:cs="Arial"/>
          <w:shd w:val="clear" w:color="auto" w:fill="FFFFFF"/>
        </w:rPr>
        <w:t xml:space="preserve">Así las cosas, resulta evidente que </w:t>
      </w:r>
      <w:r>
        <w:rPr>
          <w:rFonts w:ascii="Arial" w:hAnsi="Arial" w:cs="Arial"/>
        </w:rPr>
        <w:t xml:space="preserve">los </w:t>
      </w:r>
      <w:r w:rsidRPr="00172F08">
        <w:rPr>
          <w:rFonts w:ascii="Arial" w:hAnsi="Arial" w:cs="Arial"/>
        </w:rPr>
        <w:t>d</w:t>
      </w:r>
      <w:r w:rsidRPr="00172F08">
        <w:rPr>
          <w:rFonts w:ascii="Arial" w:hAnsi="Arial" w:cs="Arial"/>
          <w:shd w:val="clear" w:color="auto" w:fill="FFFFFF"/>
        </w:rPr>
        <w:t xml:space="preserve">ocumentos tipo </w:t>
      </w:r>
      <w:r>
        <w:rPr>
          <w:rFonts w:ascii="Arial" w:hAnsi="Arial" w:cs="Arial"/>
          <w:shd w:val="clear" w:color="auto" w:fill="FFFFFF"/>
        </w:rPr>
        <w:t xml:space="preserve">de </w:t>
      </w:r>
      <w:r w:rsidRPr="00172F08">
        <w:rPr>
          <w:rFonts w:ascii="Arial" w:hAnsi="Arial" w:cs="Arial"/>
          <w:shd w:val="clear" w:color="auto" w:fill="FFFFFF"/>
        </w:rPr>
        <w:t>licitación pública</w:t>
      </w:r>
      <w:r>
        <w:rPr>
          <w:rFonts w:ascii="Arial" w:hAnsi="Arial" w:cs="Arial"/>
          <w:shd w:val="clear" w:color="auto" w:fill="FFFFFF"/>
        </w:rPr>
        <w:t xml:space="preserve"> </w:t>
      </w:r>
      <w:r>
        <w:rPr>
          <w:rFonts w:ascii="Arial" w:hAnsi="Arial" w:cs="Arial"/>
        </w:rPr>
        <w:t>−</w:t>
      </w:r>
      <w:r w:rsidRPr="00172F08">
        <w:rPr>
          <w:rFonts w:ascii="Arial" w:hAnsi="Arial" w:cs="Arial"/>
        </w:rPr>
        <w:t>Versión 3</w:t>
      </w:r>
      <w:r>
        <w:rPr>
          <w:rFonts w:ascii="Arial" w:hAnsi="Arial" w:cs="Arial"/>
        </w:rPr>
        <w:t>−</w:t>
      </w:r>
      <w:r w:rsidRPr="00172F08">
        <w:rPr>
          <w:rFonts w:ascii="Arial" w:hAnsi="Arial" w:cs="Arial"/>
        </w:rPr>
        <w:t xml:space="preserve"> </w:t>
      </w:r>
      <w:r>
        <w:rPr>
          <w:rFonts w:ascii="Arial" w:hAnsi="Arial" w:cs="Arial"/>
        </w:rPr>
        <w:t xml:space="preserve">y </w:t>
      </w:r>
      <w:r w:rsidRPr="00E013AA">
        <w:rPr>
          <w:rFonts w:ascii="Arial" w:hAnsi="Arial" w:cs="Arial"/>
          <w:shd w:val="clear" w:color="auto" w:fill="FFFFFF"/>
        </w:rPr>
        <w:t>selección abreviada de menor cuantía</w:t>
      </w:r>
      <w:r>
        <w:rPr>
          <w:rFonts w:ascii="Arial" w:hAnsi="Arial" w:cs="Arial"/>
          <w:shd w:val="clear" w:color="auto" w:fill="FFFFFF"/>
        </w:rPr>
        <w:t xml:space="preserve"> </w:t>
      </w:r>
      <w:r w:rsidRPr="00E013AA">
        <w:rPr>
          <w:rFonts w:ascii="Arial" w:hAnsi="Arial" w:cs="Arial"/>
          <w:shd w:val="clear" w:color="auto" w:fill="FFFFFF"/>
        </w:rPr>
        <w:t>–Versión 2–,</w:t>
      </w:r>
      <w:r>
        <w:rPr>
          <w:rFonts w:ascii="Arial" w:hAnsi="Arial" w:cs="Arial"/>
          <w:shd w:val="clear" w:color="auto" w:fill="FFFFFF"/>
        </w:rPr>
        <w:t xml:space="preserve"> en la matriz 1, a</w:t>
      </w:r>
      <w:r w:rsidRPr="00E013AA">
        <w:rPr>
          <w:rFonts w:ascii="Arial" w:hAnsi="Arial" w:cs="Arial"/>
          <w:shd w:val="clear" w:color="auto" w:fill="FFFFFF"/>
        </w:rPr>
        <w:t>l referi</w:t>
      </w:r>
      <w:r>
        <w:rPr>
          <w:rFonts w:ascii="Arial" w:hAnsi="Arial" w:cs="Arial"/>
          <w:shd w:val="clear" w:color="auto" w:fill="FFFFFF"/>
        </w:rPr>
        <w:t>r</w:t>
      </w:r>
      <w:r w:rsidRPr="00E013AA">
        <w:rPr>
          <w:rFonts w:ascii="Arial" w:hAnsi="Arial" w:cs="Arial"/>
          <w:shd w:val="clear" w:color="auto" w:fill="FFFFFF"/>
        </w:rPr>
        <w:t>s</w:t>
      </w:r>
      <w:r>
        <w:rPr>
          <w:rFonts w:ascii="Arial" w:hAnsi="Arial" w:cs="Arial"/>
          <w:shd w:val="clear" w:color="auto" w:fill="FFFFFF"/>
        </w:rPr>
        <w:t>e</w:t>
      </w:r>
      <w:r w:rsidRPr="00E013AA">
        <w:rPr>
          <w:rFonts w:ascii="Arial" w:hAnsi="Arial" w:cs="Arial"/>
          <w:shd w:val="clear" w:color="auto" w:fill="FFFFFF"/>
        </w:rPr>
        <w:t xml:space="preserve"> a la </w:t>
      </w:r>
      <w:r w:rsidRPr="00E013AA">
        <w:rPr>
          <w:rFonts w:ascii="Arial" w:hAnsi="Arial" w:cs="Arial"/>
          <w:i/>
          <w:iCs/>
          <w:shd w:val="clear" w:color="auto" w:fill="FFFFFF"/>
        </w:rPr>
        <w:t>señalización</w:t>
      </w:r>
      <w:r w:rsidRPr="00E013AA">
        <w:rPr>
          <w:rFonts w:ascii="Arial" w:hAnsi="Arial" w:cs="Arial"/>
          <w:shd w:val="clear" w:color="auto" w:fill="FFFFFF"/>
        </w:rPr>
        <w:t xml:space="preserve"> o </w:t>
      </w:r>
      <w:r w:rsidRPr="00E013AA">
        <w:rPr>
          <w:rFonts w:ascii="Arial" w:hAnsi="Arial" w:cs="Arial"/>
          <w:i/>
          <w:iCs/>
          <w:shd w:val="clear" w:color="auto" w:fill="FFFFFF"/>
        </w:rPr>
        <w:t>demarcación</w:t>
      </w:r>
      <w:r w:rsidRPr="00E013AA">
        <w:rPr>
          <w:rFonts w:ascii="Arial" w:hAnsi="Arial" w:cs="Arial"/>
          <w:shd w:val="clear" w:color="auto" w:fill="FFFFFF"/>
        </w:rPr>
        <w:t xml:space="preserve"> de infraestructura de transporte y espacio público asociado </w:t>
      </w:r>
      <w:r>
        <w:rPr>
          <w:rFonts w:ascii="Arial" w:hAnsi="Arial" w:cs="Arial"/>
          <w:shd w:val="clear" w:color="auto" w:fill="FFFFFF"/>
        </w:rPr>
        <w:t>señala de forma expresa la</w:t>
      </w:r>
      <w:r w:rsidR="00362BCA">
        <w:rPr>
          <w:rFonts w:ascii="Arial" w:hAnsi="Arial" w:cs="Arial"/>
          <w:shd w:val="clear" w:color="auto" w:fill="FFFFFF"/>
        </w:rPr>
        <w:t>s</w:t>
      </w:r>
      <w:r>
        <w:rPr>
          <w:rFonts w:ascii="Arial" w:hAnsi="Arial" w:cs="Arial"/>
          <w:shd w:val="clear" w:color="auto" w:fill="FFFFFF"/>
        </w:rPr>
        <w:t xml:space="preserve"> actividades de señalización y semaforización</w:t>
      </w:r>
      <w:r w:rsidR="008C6D87">
        <w:rPr>
          <w:rFonts w:ascii="Arial" w:hAnsi="Arial" w:cs="Arial"/>
          <w:shd w:val="clear" w:color="auto" w:fill="FFFFFF"/>
        </w:rPr>
        <w:t>. P</w:t>
      </w:r>
      <w:r>
        <w:rPr>
          <w:rFonts w:ascii="Arial" w:hAnsi="Arial" w:cs="Arial"/>
          <w:shd w:val="clear" w:color="auto" w:fill="FFFFFF"/>
        </w:rPr>
        <w:t xml:space="preserve">or lo tanto, </w:t>
      </w:r>
      <w:r w:rsidR="008C6D87">
        <w:rPr>
          <w:rFonts w:ascii="Arial" w:hAnsi="Arial" w:cs="Arial"/>
          <w:shd w:val="clear" w:color="auto" w:fill="FFFFFF"/>
        </w:rPr>
        <w:t>es obligatoria la aplicación de los</w:t>
      </w:r>
      <w:r>
        <w:rPr>
          <w:rFonts w:ascii="Arial" w:hAnsi="Arial" w:cs="Arial"/>
          <w:shd w:val="clear" w:color="auto" w:fill="FFFFFF"/>
        </w:rPr>
        <w:t xml:space="preserve"> </w:t>
      </w:r>
      <w:r w:rsidRPr="00E013AA">
        <w:rPr>
          <w:rFonts w:ascii="Arial" w:hAnsi="Arial" w:cs="Arial"/>
          <w:shd w:val="clear" w:color="auto" w:fill="FFFFFF"/>
        </w:rPr>
        <w:t>documentos tipo</w:t>
      </w:r>
      <w:r w:rsidR="00970206">
        <w:rPr>
          <w:rFonts w:ascii="Arial" w:hAnsi="Arial" w:cs="Arial"/>
          <w:shd w:val="clear" w:color="auto" w:fill="FFFFFF"/>
        </w:rPr>
        <w:t xml:space="preserve"> para las actividades señaladas</w:t>
      </w:r>
      <w:r>
        <w:rPr>
          <w:rFonts w:ascii="Arial" w:hAnsi="Arial" w:cs="Arial"/>
          <w:shd w:val="clear" w:color="auto" w:fill="FFFFFF"/>
        </w:rPr>
        <w:t>.</w:t>
      </w:r>
      <w:r w:rsidR="00362BCA" w:rsidRPr="00362BCA">
        <w:rPr>
          <w:rFonts w:ascii="Arial" w:hAnsi="Arial" w:cs="Arial"/>
          <w:shd w:val="clear" w:color="auto" w:fill="FFFFFF"/>
        </w:rPr>
        <w:t xml:space="preserve"> </w:t>
      </w:r>
    </w:p>
    <w:p w14:paraId="72AE7DFC" w14:textId="77777777" w:rsidR="00362BCA" w:rsidRDefault="00362BCA" w:rsidP="004C383B">
      <w:pPr>
        <w:tabs>
          <w:tab w:val="left" w:pos="426"/>
        </w:tabs>
        <w:spacing w:after="0"/>
        <w:jc w:val="both"/>
        <w:rPr>
          <w:rFonts w:ascii="Arial" w:hAnsi="Arial" w:cs="Arial"/>
          <w:shd w:val="clear" w:color="auto" w:fill="FFFFFF"/>
        </w:rPr>
      </w:pPr>
    </w:p>
    <w:p w14:paraId="1C6061FD" w14:textId="77777777" w:rsidR="00B80922" w:rsidRPr="00E013AA" w:rsidRDefault="00B80922" w:rsidP="004C383B">
      <w:pPr>
        <w:pStyle w:val="Prrafodelista"/>
        <w:numPr>
          <w:ilvl w:val="0"/>
          <w:numId w:val="2"/>
        </w:numPr>
        <w:tabs>
          <w:tab w:val="left" w:pos="284"/>
        </w:tabs>
        <w:spacing w:line="276" w:lineRule="auto"/>
        <w:ind w:left="0" w:firstLine="0"/>
        <w:rPr>
          <w:rFonts w:ascii="Arial" w:hAnsi="Arial" w:cs="Arial"/>
          <w:b/>
          <w:bCs/>
          <w:sz w:val="22"/>
          <w:lang w:val="es-CO"/>
        </w:rPr>
      </w:pPr>
      <w:r w:rsidRPr="00E013AA">
        <w:rPr>
          <w:rFonts w:ascii="Arial" w:hAnsi="Arial" w:cs="Arial"/>
          <w:b/>
          <w:bCs/>
          <w:sz w:val="22"/>
          <w:lang w:val="es-CO"/>
        </w:rPr>
        <w:t xml:space="preserve">Respuesta </w:t>
      </w:r>
    </w:p>
    <w:p w14:paraId="389BEBEB" w14:textId="77777777" w:rsidR="00B80922" w:rsidRPr="00E013AA" w:rsidRDefault="00B80922" w:rsidP="004C383B">
      <w:pPr>
        <w:spacing w:after="0"/>
        <w:ind w:right="709"/>
        <w:jc w:val="both"/>
        <w:rPr>
          <w:rFonts w:ascii="Arial" w:hAnsi="Arial" w:cs="Arial"/>
          <w:sz w:val="21"/>
          <w:szCs w:val="21"/>
        </w:rPr>
      </w:pPr>
    </w:p>
    <w:p w14:paraId="09F77CE8" w14:textId="653AA7AA" w:rsidR="00B80922" w:rsidRPr="00B80922" w:rsidRDefault="00B80922" w:rsidP="0079585E">
      <w:pPr>
        <w:tabs>
          <w:tab w:val="left" w:pos="426"/>
        </w:tabs>
        <w:spacing w:after="0" w:line="240" w:lineRule="auto"/>
        <w:ind w:left="709" w:right="709"/>
        <w:jc w:val="both"/>
        <w:rPr>
          <w:rFonts w:ascii="Arial" w:hAnsi="Arial" w:cs="Arial"/>
          <w:sz w:val="21"/>
          <w:szCs w:val="21"/>
        </w:rPr>
      </w:pPr>
      <w:r w:rsidRPr="00B80922">
        <w:rPr>
          <w:rFonts w:ascii="Arial" w:hAnsi="Arial" w:cs="Arial"/>
          <w:sz w:val="21"/>
          <w:szCs w:val="21"/>
        </w:rPr>
        <w:t xml:space="preserve">«los procesos por licitación </w:t>
      </w:r>
      <w:proofErr w:type="spellStart"/>
      <w:r w:rsidRPr="00B80922">
        <w:rPr>
          <w:rFonts w:ascii="Arial" w:hAnsi="Arial" w:cs="Arial"/>
          <w:sz w:val="21"/>
          <w:szCs w:val="21"/>
        </w:rPr>
        <w:t>publica</w:t>
      </w:r>
      <w:proofErr w:type="spellEnd"/>
      <w:r w:rsidRPr="00B80922">
        <w:rPr>
          <w:rFonts w:ascii="Arial" w:hAnsi="Arial" w:cs="Arial"/>
          <w:sz w:val="21"/>
          <w:szCs w:val="21"/>
        </w:rPr>
        <w:t xml:space="preserve"> (sic), para </w:t>
      </w:r>
      <w:proofErr w:type="spellStart"/>
      <w:r w:rsidRPr="00B80922">
        <w:rPr>
          <w:rFonts w:ascii="Arial" w:hAnsi="Arial" w:cs="Arial"/>
          <w:sz w:val="21"/>
          <w:szCs w:val="21"/>
        </w:rPr>
        <w:t>señalizacion</w:t>
      </w:r>
      <w:proofErr w:type="spellEnd"/>
      <w:r w:rsidRPr="00B80922">
        <w:rPr>
          <w:rFonts w:ascii="Arial" w:hAnsi="Arial" w:cs="Arial"/>
          <w:sz w:val="21"/>
          <w:szCs w:val="21"/>
        </w:rPr>
        <w:t xml:space="preserve"> (sic) y semaforización de </w:t>
      </w:r>
      <w:proofErr w:type="spellStart"/>
      <w:r w:rsidRPr="00B80922">
        <w:rPr>
          <w:rFonts w:ascii="Arial" w:hAnsi="Arial" w:cs="Arial"/>
          <w:sz w:val="21"/>
          <w:szCs w:val="21"/>
        </w:rPr>
        <w:t>vias</w:t>
      </w:r>
      <w:proofErr w:type="spellEnd"/>
      <w:r w:rsidRPr="00B80922">
        <w:rPr>
          <w:rFonts w:ascii="Arial" w:hAnsi="Arial" w:cs="Arial"/>
          <w:sz w:val="21"/>
          <w:szCs w:val="21"/>
        </w:rPr>
        <w:t xml:space="preserve"> (sic) urbanas están sujetos a pliegos tipo?»</w:t>
      </w:r>
      <w:r w:rsidR="003B070B">
        <w:rPr>
          <w:rFonts w:ascii="Arial" w:hAnsi="Arial" w:cs="Arial"/>
          <w:sz w:val="21"/>
          <w:szCs w:val="21"/>
        </w:rPr>
        <w:t>.</w:t>
      </w:r>
    </w:p>
    <w:p w14:paraId="03A7E606" w14:textId="77777777" w:rsidR="00B80922" w:rsidRPr="00E013AA" w:rsidRDefault="00B80922" w:rsidP="00B80922">
      <w:pPr>
        <w:spacing w:after="0"/>
        <w:jc w:val="both"/>
        <w:rPr>
          <w:rFonts w:ascii="Arial" w:eastAsia="Calibri" w:hAnsi="Arial" w:cs="Arial"/>
        </w:rPr>
      </w:pPr>
    </w:p>
    <w:p w14:paraId="5B3026FB" w14:textId="176A37F6" w:rsidR="00B80922" w:rsidRPr="00E013AA" w:rsidRDefault="00B80922" w:rsidP="00CE053F">
      <w:pPr>
        <w:spacing w:after="120"/>
        <w:jc w:val="both"/>
        <w:rPr>
          <w:rFonts w:ascii="Arial" w:eastAsia="Calibri" w:hAnsi="Arial" w:cs="Arial"/>
        </w:rPr>
      </w:pPr>
      <w:r w:rsidRPr="00E013AA">
        <w:rPr>
          <w:rFonts w:ascii="Arial" w:eastAsia="Calibri" w:hAnsi="Arial" w:cs="Arial"/>
        </w:rPr>
        <w:t>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de infraestructura de transporte implementados por esta Agencia para la contratación de obras públicas dirigidas a intervenir dicha infraestructura. No obstante, para determinar si deben aplicarse los documentos tipo adoptados mediante las resoluciones</w:t>
      </w:r>
      <w:r w:rsidR="00CE053F">
        <w:rPr>
          <w:rFonts w:ascii="Arial" w:eastAsia="Calibri" w:hAnsi="Arial" w:cs="Arial"/>
        </w:rPr>
        <w:t xml:space="preserve"> </w:t>
      </w:r>
      <w:r w:rsidR="004C383B">
        <w:rPr>
          <w:rFonts w:ascii="Arial" w:hAnsi="Arial" w:cs="Arial"/>
          <w:shd w:val="clear" w:color="auto" w:fill="FFFFFF"/>
        </w:rPr>
        <w:t>240</w:t>
      </w:r>
      <w:r w:rsidR="004C383B" w:rsidRPr="00E013AA">
        <w:rPr>
          <w:rFonts w:ascii="Arial" w:hAnsi="Arial" w:cs="Arial"/>
          <w:shd w:val="clear" w:color="auto" w:fill="FFFFFF"/>
        </w:rPr>
        <w:t xml:space="preserve"> de 2020</w:t>
      </w:r>
      <w:r w:rsidR="004C383B" w:rsidRPr="00E013AA">
        <w:rPr>
          <w:rStyle w:val="Refdenotaalpie"/>
          <w:rFonts w:ascii="Arial" w:hAnsi="Arial" w:cs="Arial"/>
          <w:shd w:val="clear" w:color="auto" w:fill="FFFFFF"/>
        </w:rPr>
        <w:footnoteReference w:id="7"/>
      </w:r>
      <w:r w:rsidR="004C383B" w:rsidRPr="00E013AA">
        <w:rPr>
          <w:rFonts w:ascii="Arial" w:hAnsi="Arial" w:cs="Arial"/>
          <w:shd w:val="clear" w:color="auto" w:fill="FFFFFF"/>
        </w:rPr>
        <w:t xml:space="preserve">, </w:t>
      </w:r>
      <w:r w:rsidR="004C383B">
        <w:rPr>
          <w:rFonts w:ascii="Arial" w:hAnsi="Arial" w:cs="Arial"/>
          <w:shd w:val="clear" w:color="auto" w:fill="FFFFFF"/>
        </w:rPr>
        <w:t>241</w:t>
      </w:r>
      <w:r w:rsidR="004C383B" w:rsidRPr="00E013AA">
        <w:rPr>
          <w:rFonts w:ascii="Arial" w:hAnsi="Arial" w:cs="Arial"/>
          <w:shd w:val="clear" w:color="auto" w:fill="FFFFFF"/>
        </w:rPr>
        <w:t xml:space="preserve"> de 2020</w:t>
      </w:r>
      <w:r w:rsidR="004C383B">
        <w:rPr>
          <w:rStyle w:val="Refdenotaalpie"/>
          <w:rFonts w:ascii="Arial" w:hAnsi="Arial" w:cs="Arial"/>
          <w:shd w:val="clear" w:color="auto" w:fill="FFFFFF"/>
        </w:rPr>
        <w:footnoteReference w:id="8"/>
      </w:r>
      <w:r w:rsidR="004C383B" w:rsidRPr="00E013AA">
        <w:rPr>
          <w:rFonts w:ascii="Arial" w:hAnsi="Arial" w:cs="Arial"/>
          <w:shd w:val="clear" w:color="auto" w:fill="FFFFFF"/>
        </w:rPr>
        <w:t xml:space="preserve"> o </w:t>
      </w:r>
      <w:r w:rsidR="004C383B">
        <w:rPr>
          <w:rFonts w:ascii="Arial" w:hAnsi="Arial" w:cs="Arial"/>
          <w:shd w:val="clear" w:color="auto" w:fill="FFFFFF"/>
        </w:rPr>
        <w:t>5</w:t>
      </w:r>
      <w:r w:rsidR="004C383B" w:rsidRPr="00E013AA">
        <w:rPr>
          <w:rFonts w:ascii="Arial" w:hAnsi="Arial" w:cs="Arial"/>
          <w:shd w:val="clear" w:color="auto" w:fill="FFFFFF"/>
        </w:rPr>
        <w:t>94 de 2020</w:t>
      </w:r>
      <w:r w:rsidRPr="00E013AA">
        <w:rPr>
          <w:rFonts w:ascii="Arial" w:eastAsia="Calibri" w:hAnsi="Arial" w:cs="Arial"/>
        </w:rPr>
        <w:t xml:space="preserve">, las entidades deberán verificar que el objeto a contratar encuadre dentro de alguna de las actividades señaladas en </w:t>
      </w:r>
      <w:r>
        <w:rPr>
          <w:rFonts w:ascii="Arial" w:eastAsia="Calibri" w:hAnsi="Arial" w:cs="Arial"/>
        </w:rPr>
        <w:t>la Matriz 1</w:t>
      </w:r>
      <w:r w:rsidRPr="00E013AA">
        <w:rPr>
          <w:rFonts w:ascii="Arial" w:eastAsia="Calibri" w:hAnsi="Arial" w:cs="Arial"/>
        </w:rPr>
        <w:t xml:space="preserve">. De no estar incluidas, en principio no será obligatoria la aplicación de los documentos tipo. </w:t>
      </w:r>
    </w:p>
    <w:p w14:paraId="61544ADE" w14:textId="34917F28" w:rsidR="00B80922" w:rsidRDefault="00B80922" w:rsidP="00CE053F">
      <w:pPr>
        <w:spacing w:after="120"/>
        <w:jc w:val="both"/>
        <w:rPr>
          <w:rFonts w:ascii="Arial" w:hAnsi="Arial" w:cs="Arial"/>
          <w:shd w:val="clear" w:color="auto" w:fill="FFFFFF"/>
        </w:rPr>
      </w:pPr>
      <w:r w:rsidRPr="00E013AA">
        <w:rPr>
          <w:rFonts w:ascii="Arial" w:eastAsia="Calibri" w:hAnsi="Arial" w:cs="Arial"/>
        </w:rPr>
        <w:tab/>
        <w:t>Conforme a esto, revisad</w:t>
      </w:r>
      <w:r>
        <w:rPr>
          <w:rFonts w:ascii="Arial" w:eastAsia="Calibri" w:hAnsi="Arial" w:cs="Arial"/>
        </w:rPr>
        <w:t>a la Matriz</w:t>
      </w:r>
      <w:r w:rsidRPr="00E013AA">
        <w:rPr>
          <w:rFonts w:ascii="Arial" w:eastAsia="Calibri" w:hAnsi="Arial" w:cs="Arial"/>
        </w:rPr>
        <w:t xml:space="preserve"> 1 adoptada mediante las resoluciones </w:t>
      </w:r>
      <w:r>
        <w:rPr>
          <w:rFonts w:ascii="Arial" w:eastAsia="Calibri" w:hAnsi="Arial" w:cs="Arial"/>
        </w:rPr>
        <w:t>citadas</w:t>
      </w:r>
      <w:r w:rsidR="001D2772">
        <w:rPr>
          <w:rFonts w:ascii="Arial" w:eastAsia="Calibri" w:hAnsi="Arial" w:cs="Arial"/>
        </w:rPr>
        <w:t xml:space="preserve"> en el párrafo precedente</w:t>
      </w:r>
      <w:r w:rsidRPr="00E013AA">
        <w:rPr>
          <w:rFonts w:ascii="Arial" w:eastAsia="Calibri" w:hAnsi="Arial" w:cs="Arial"/>
        </w:rPr>
        <w:t xml:space="preserve">, se advierte que </w:t>
      </w:r>
      <w:r w:rsidR="004C383B">
        <w:rPr>
          <w:rFonts w:ascii="Arial" w:eastAsia="Calibri" w:hAnsi="Arial" w:cs="Arial"/>
        </w:rPr>
        <w:t xml:space="preserve">las actividades de </w:t>
      </w:r>
      <w:r w:rsidR="004C383B" w:rsidRPr="004C383B">
        <w:rPr>
          <w:rFonts w:ascii="Arial" w:eastAsia="Calibri" w:hAnsi="Arial" w:cs="Arial"/>
          <w:i/>
          <w:iCs/>
        </w:rPr>
        <w:t>señalización y semaforización</w:t>
      </w:r>
      <w:r w:rsidR="004C383B">
        <w:rPr>
          <w:rFonts w:ascii="Arial" w:eastAsia="Calibri" w:hAnsi="Arial" w:cs="Arial"/>
        </w:rPr>
        <w:t xml:space="preserve"> </w:t>
      </w:r>
      <w:r w:rsidRPr="00E013AA">
        <w:rPr>
          <w:rFonts w:ascii="Arial" w:eastAsia="Calibri" w:hAnsi="Arial" w:cs="Arial"/>
        </w:rPr>
        <w:t xml:space="preserve">se </w:t>
      </w:r>
      <w:r w:rsidR="004C383B">
        <w:rPr>
          <w:rFonts w:ascii="Arial" w:eastAsia="Calibri" w:hAnsi="Arial" w:cs="Arial"/>
        </w:rPr>
        <w:t xml:space="preserve">encuentran de forma expresa </w:t>
      </w:r>
      <w:r w:rsidRPr="00E013AA">
        <w:rPr>
          <w:rFonts w:ascii="Arial" w:eastAsia="Calibri" w:hAnsi="Arial" w:cs="Arial"/>
        </w:rPr>
        <w:t xml:space="preserve">en las actividades allí </w:t>
      </w:r>
      <w:r>
        <w:rPr>
          <w:rFonts w:ascii="Arial" w:eastAsia="Calibri" w:hAnsi="Arial" w:cs="Arial"/>
        </w:rPr>
        <w:t>descritas</w:t>
      </w:r>
      <w:r w:rsidR="001D2772">
        <w:rPr>
          <w:rFonts w:ascii="Arial" w:eastAsia="Calibri" w:hAnsi="Arial" w:cs="Arial"/>
        </w:rPr>
        <w:t>.</w:t>
      </w:r>
      <w:r w:rsidRPr="00E013AA">
        <w:rPr>
          <w:rFonts w:ascii="Arial" w:eastAsia="Calibri" w:hAnsi="Arial" w:cs="Arial"/>
        </w:rPr>
        <w:t xml:space="preserve"> </w:t>
      </w:r>
      <w:r w:rsidR="001D2772">
        <w:rPr>
          <w:rFonts w:ascii="Arial" w:hAnsi="Arial" w:cs="Arial"/>
          <w:color w:val="0D0D0D" w:themeColor="text1" w:themeTint="F2"/>
        </w:rPr>
        <w:t>P</w:t>
      </w:r>
      <w:r w:rsidR="004C383B">
        <w:rPr>
          <w:rFonts w:ascii="Arial" w:hAnsi="Arial" w:cs="Arial"/>
          <w:color w:val="0D0D0D" w:themeColor="text1" w:themeTint="F2"/>
        </w:rPr>
        <w:t>or otra parte</w:t>
      </w:r>
      <w:r w:rsidR="001D2772">
        <w:rPr>
          <w:rFonts w:ascii="Arial" w:hAnsi="Arial" w:cs="Arial"/>
          <w:color w:val="0D0D0D" w:themeColor="text1" w:themeTint="F2"/>
        </w:rPr>
        <w:t>,</w:t>
      </w:r>
      <w:r w:rsidR="004C383B">
        <w:rPr>
          <w:rFonts w:ascii="Arial" w:hAnsi="Arial" w:cs="Arial"/>
          <w:color w:val="0D0D0D" w:themeColor="text1" w:themeTint="F2"/>
        </w:rPr>
        <w:t xml:space="preserve"> en relación con la versión </w:t>
      </w:r>
      <w:r w:rsidR="004C383B" w:rsidRPr="00E013AA">
        <w:rPr>
          <w:rFonts w:ascii="Arial" w:hAnsi="Arial" w:cs="Arial"/>
          <w:shd w:val="clear" w:color="auto" w:fill="FFFFFF"/>
        </w:rPr>
        <w:t xml:space="preserve">documentos tipo </w:t>
      </w:r>
      <w:r w:rsidR="004C383B">
        <w:rPr>
          <w:rFonts w:ascii="Arial" w:hAnsi="Arial" w:cs="Arial"/>
          <w:shd w:val="clear" w:color="auto" w:fill="FFFFFF"/>
        </w:rPr>
        <w:t xml:space="preserve">de </w:t>
      </w:r>
      <w:r w:rsidR="004C383B" w:rsidRPr="00E013AA">
        <w:rPr>
          <w:rFonts w:ascii="Arial" w:hAnsi="Arial" w:cs="Arial"/>
          <w:shd w:val="clear" w:color="auto" w:fill="FFFFFF"/>
        </w:rPr>
        <w:t xml:space="preserve">licitación pública –Versión 2–, selección abreviada de </w:t>
      </w:r>
      <w:r w:rsidR="004C383B" w:rsidRPr="00E013AA">
        <w:rPr>
          <w:rFonts w:ascii="Arial" w:hAnsi="Arial" w:cs="Arial"/>
          <w:shd w:val="clear" w:color="auto" w:fill="FFFFFF"/>
        </w:rPr>
        <w:lastRenderedPageBreak/>
        <w:t>menor cuantía</w:t>
      </w:r>
      <w:r w:rsidR="004C383B">
        <w:rPr>
          <w:rFonts w:ascii="Arial" w:hAnsi="Arial" w:cs="Arial"/>
          <w:shd w:val="clear" w:color="auto" w:fill="FFFFFF"/>
        </w:rPr>
        <w:t xml:space="preserve"> –Versión 1–, </w:t>
      </w:r>
      <w:r w:rsidR="004C383B" w:rsidRPr="00E013AA">
        <w:rPr>
          <w:rFonts w:ascii="Arial" w:eastAsia="Calibri" w:hAnsi="Arial" w:cs="Arial"/>
        </w:rPr>
        <w:t>revisad</w:t>
      </w:r>
      <w:r w:rsidR="004C383B">
        <w:rPr>
          <w:rFonts w:ascii="Arial" w:eastAsia="Calibri" w:hAnsi="Arial" w:cs="Arial"/>
        </w:rPr>
        <w:t>a la Matriz</w:t>
      </w:r>
      <w:r w:rsidR="004C383B" w:rsidRPr="00E013AA">
        <w:rPr>
          <w:rFonts w:ascii="Arial" w:eastAsia="Calibri" w:hAnsi="Arial" w:cs="Arial"/>
        </w:rPr>
        <w:t xml:space="preserve"> 1 </w:t>
      </w:r>
      <w:r w:rsidR="004C383B">
        <w:rPr>
          <w:rFonts w:ascii="Arial" w:eastAsia="Calibri" w:hAnsi="Arial" w:cs="Arial"/>
        </w:rPr>
        <w:t xml:space="preserve">de estos documentos, se advierte que la </w:t>
      </w:r>
      <w:r w:rsidR="004C383B" w:rsidRPr="00AC2DE8">
        <w:rPr>
          <w:rFonts w:ascii="Arial" w:eastAsia="Calibri" w:hAnsi="Arial" w:cs="Arial"/>
          <w:i/>
          <w:iCs/>
        </w:rPr>
        <w:t>señalización</w:t>
      </w:r>
      <w:r w:rsidR="004C383B">
        <w:rPr>
          <w:rFonts w:ascii="Arial" w:eastAsia="Calibri" w:hAnsi="Arial" w:cs="Arial"/>
        </w:rPr>
        <w:t xml:space="preserve"> se encuentra de forma expresa, mientras que la actividad de </w:t>
      </w:r>
      <w:r w:rsidR="004C383B" w:rsidRPr="00AC2DE8">
        <w:rPr>
          <w:rFonts w:ascii="Arial" w:eastAsia="Calibri" w:hAnsi="Arial" w:cs="Arial"/>
          <w:i/>
          <w:iCs/>
        </w:rPr>
        <w:t>semaforización</w:t>
      </w:r>
      <w:r w:rsidR="004C383B" w:rsidRPr="00E013AA">
        <w:rPr>
          <w:rFonts w:ascii="Arial" w:eastAsia="Calibri" w:hAnsi="Arial" w:cs="Arial"/>
          <w:i/>
          <w:iCs/>
        </w:rPr>
        <w:t>,</w:t>
      </w:r>
      <w:r w:rsidR="004C383B" w:rsidRPr="00E013AA">
        <w:rPr>
          <w:rFonts w:ascii="Arial" w:eastAsia="Calibri" w:hAnsi="Arial" w:cs="Arial"/>
        </w:rPr>
        <w:t xml:space="preserve"> se subsumen en las actividades allí </w:t>
      </w:r>
      <w:r w:rsidR="004C383B">
        <w:rPr>
          <w:rFonts w:ascii="Arial" w:eastAsia="Calibri" w:hAnsi="Arial" w:cs="Arial"/>
        </w:rPr>
        <w:t>descritas</w:t>
      </w:r>
      <w:r w:rsidR="001D2772">
        <w:rPr>
          <w:rFonts w:ascii="Arial" w:eastAsia="Calibri" w:hAnsi="Arial" w:cs="Arial"/>
        </w:rPr>
        <w:t>.</w:t>
      </w:r>
      <w:r w:rsidR="00AC2DE8">
        <w:rPr>
          <w:rFonts w:ascii="Arial" w:eastAsia="Calibri" w:hAnsi="Arial" w:cs="Arial"/>
        </w:rPr>
        <w:t xml:space="preserve"> </w:t>
      </w:r>
      <w:r w:rsidR="001D2772">
        <w:rPr>
          <w:rFonts w:ascii="Arial" w:eastAsia="Calibri" w:hAnsi="Arial" w:cs="Arial"/>
        </w:rPr>
        <w:t>P</w:t>
      </w:r>
      <w:r w:rsidR="00AC2DE8">
        <w:rPr>
          <w:rFonts w:ascii="Arial" w:eastAsia="Calibri" w:hAnsi="Arial" w:cs="Arial"/>
        </w:rPr>
        <w:t xml:space="preserve">or </w:t>
      </w:r>
      <w:r w:rsidR="004C383B">
        <w:rPr>
          <w:rFonts w:ascii="Arial" w:hAnsi="Arial" w:cs="Arial"/>
          <w:color w:val="0D0D0D" w:themeColor="text1" w:themeTint="F2"/>
        </w:rPr>
        <w:t xml:space="preserve">lo tanto, será obligatorio el uso de los </w:t>
      </w:r>
      <w:r w:rsidR="001D2772">
        <w:rPr>
          <w:rFonts w:ascii="Arial" w:hAnsi="Arial" w:cs="Arial"/>
          <w:color w:val="0D0D0D" w:themeColor="text1" w:themeTint="F2"/>
        </w:rPr>
        <w:t>Documentos</w:t>
      </w:r>
      <w:r w:rsidR="004C383B">
        <w:rPr>
          <w:rFonts w:ascii="Arial" w:hAnsi="Arial" w:cs="Arial"/>
          <w:color w:val="0D0D0D" w:themeColor="text1" w:themeTint="F2"/>
        </w:rPr>
        <w:t xml:space="preserve"> Tipo según lo expuesto en </w:t>
      </w:r>
      <w:r w:rsidR="001D2772">
        <w:rPr>
          <w:rFonts w:ascii="Arial" w:hAnsi="Arial" w:cs="Arial"/>
          <w:color w:val="0D0D0D" w:themeColor="text1" w:themeTint="F2"/>
        </w:rPr>
        <w:t xml:space="preserve">el presente </w:t>
      </w:r>
      <w:r w:rsidR="007F6064">
        <w:rPr>
          <w:rFonts w:ascii="Arial" w:hAnsi="Arial" w:cs="Arial"/>
          <w:color w:val="0D0D0D" w:themeColor="text1" w:themeTint="F2"/>
        </w:rPr>
        <w:t>concepto</w:t>
      </w:r>
      <w:r w:rsidR="004C383B">
        <w:rPr>
          <w:rFonts w:ascii="Arial" w:hAnsi="Arial" w:cs="Arial"/>
          <w:color w:val="0D0D0D" w:themeColor="text1" w:themeTint="F2"/>
        </w:rPr>
        <w:t>.</w:t>
      </w:r>
    </w:p>
    <w:p w14:paraId="79C8FEC3" w14:textId="77777777" w:rsidR="00B80922" w:rsidRPr="00E013AA" w:rsidRDefault="00B80922" w:rsidP="0079585E">
      <w:pPr>
        <w:shd w:val="clear" w:color="auto" w:fill="FFFFFF"/>
        <w:spacing w:after="0"/>
        <w:jc w:val="both"/>
        <w:rPr>
          <w:rFonts w:ascii="Arial" w:eastAsia="Calibri" w:hAnsi="Arial" w:cs="Arial"/>
        </w:rPr>
      </w:pPr>
    </w:p>
    <w:p w14:paraId="2EE2700F" w14:textId="77777777" w:rsidR="00B80922" w:rsidRPr="00E013AA" w:rsidRDefault="00B80922" w:rsidP="00B80922">
      <w:pPr>
        <w:shd w:val="clear" w:color="auto" w:fill="FFFFFF"/>
        <w:spacing w:after="120"/>
        <w:jc w:val="both"/>
        <w:rPr>
          <w:rFonts w:ascii="Arial" w:hAnsi="Arial" w:cs="Arial"/>
          <w:lang w:val="es-ES_tradnl"/>
        </w:rPr>
      </w:pPr>
      <w:r w:rsidRPr="00E013AA">
        <w:rPr>
          <w:rFonts w:ascii="Arial" w:eastAsia="Calibri" w:hAnsi="Arial" w:cs="Arial"/>
        </w:rPr>
        <w:t>Este concepto tiene el alcance previsto en el artículo 28 del Código de Procedimiento Administrativo y de lo Contencioso Administrativo.</w:t>
      </w:r>
    </w:p>
    <w:p w14:paraId="7E06C558" w14:textId="171EB482" w:rsidR="00B80922" w:rsidRPr="00B80922" w:rsidRDefault="007204B9" w:rsidP="00B80922">
      <w:pPr>
        <w:spacing w:after="0"/>
        <w:jc w:val="center"/>
        <w:rPr>
          <w:sz w:val="24"/>
          <w:lang w:val="es-MX"/>
        </w:rPr>
      </w:pPr>
      <w:r>
        <w:rPr>
          <w:rFonts w:ascii="Arial" w:hAnsi="Arial" w:cs="Arial"/>
          <w:noProof/>
          <w:color w:val="000000" w:themeColor="text1"/>
          <w:sz w:val="18"/>
          <w:szCs w:val="20"/>
        </w:rPr>
        <w:drawing>
          <wp:inline distT="0" distB="0" distL="0" distR="0" wp14:anchorId="0FFF9FF8" wp14:editId="5CA89E2C">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64CDB747" w14:textId="77777777" w:rsidR="00B80922" w:rsidRPr="00AF3F32" w:rsidRDefault="00B80922" w:rsidP="00DE5B78">
      <w:pPr>
        <w:spacing w:after="0"/>
        <w:rPr>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80922" w:rsidRPr="00B80922" w14:paraId="28E4FB1E" w14:textId="77777777" w:rsidTr="00831C6B">
        <w:trPr>
          <w:trHeight w:val="315"/>
        </w:trPr>
        <w:tc>
          <w:tcPr>
            <w:tcW w:w="812" w:type="dxa"/>
            <w:vAlign w:val="center"/>
            <w:hideMark/>
          </w:tcPr>
          <w:p w14:paraId="42FD17CD" w14:textId="77777777" w:rsidR="00B80922" w:rsidRPr="00B80922" w:rsidRDefault="00B80922" w:rsidP="00B80922">
            <w:pPr>
              <w:spacing w:after="0"/>
              <w:rPr>
                <w:rFonts w:ascii="Arial" w:hAnsi="Arial" w:cs="Arial"/>
                <w:sz w:val="16"/>
                <w:szCs w:val="16"/>
                <w:lang w:val="es-ES_tradnl" w:eastAsia="es-ES"/>
              </w:rPr>
            </w:pPr>
            <w:r w:rsidRPr="00B80922">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286FABA" w14:textId="77777777" w:rsidR="00B80922" w:rsidRPr="00B80922" w:rsidRDefault="00B80922" w:rsidP="00B80922">
            <w:pPr>
              <w:spacing w:after="0"/>
              <w:rPr>
                <w:rFonts w:ascii="Arial" w:hAnsi="Arial" w:cs="Arial"/>
                <w:sz w:val="16"/>
                <w:szCs w:val="16"/>
                <w:lang w:val="es-ES_tradnl" w:eastAsia="es-ES"/>
              </w:rPr>
            </w:pPr>
            <w:r w:rsidRPr="00B80922">
              <w:rPr>
                <w:rFonts w:ascii="Arial" w:hAnsi="Arial" w:cs="Arial"/>
                <w:sz w:val="16"/>
                <w:szCs w:val="16"/>
                <w:lang w:val="es-ES_tradnl" w:eastAsia="es-ES"/>
              </w:rPr>
              <w:t>Carlos Mario Castrillón Endo</w:t>
            </w:r>
          </w:p>
          <w:p w14:paraId="0F4D7097" w14:textId="35021A7A" w:rsidR="008A7239" w:rsidRPr="00B80922" w:rsidRDefault="00B80922" w:rsidP="008A7239">
            <w:pPr>
              <w:spacing w:after="0"/>
              <w:rPr>
                <w:rFonts w:ascii="Arial" w:hAnsi="Arial" w:cs="Arial"/>
                <w:sz w:val="16"/>
                <w:szCs w:val="16"/>
                <w:lang w:val="es-ES_tradnl" w:eastAsia="es-ES"/>
              </w:rPr>
            </w:pPr>
            <w:r w:rsidRPr="00B80922">
              <w:rPr>
                <w:rFonts w:ascii="Arial" w:hAnsi="Arial" w:cs="Arial"/>
                <w:sz w:val="16"/>
                <w:szCs w:val="16"/>
                <w:lang w:val="es-ES_tradnl" w:eastAsia="es-ES"/>
              </w:rPr>
              <w:t>Contratista de la Subdirección de Gestión Contractual</w:t>
            </w:r>
          </w:p>
        </w:tc>
      </w:tr>
      <w:tr w:rsidR="00B80922" w:rsidRPr="00B80922" w14:paraId="1A6A9EE7" w14:textId="77777777" w:rsidTr="00831C6B">
        <w:trPr>
          <w:trHeight w:val="330"/>
        </w:trPr>
        <w:tc>
          <w:tcPr>
            <w:tcW w:w="812" w:type="dxa"/>
            <w:vAlign w:val="center"/>
            <w:hideMark/>
          </w:tcPr>
          <w:p w14:paraId="73828975" w14:textId="77777777" w:rsidR="00B80922" w:rsidRPr="00B80922" w:rsidRDefault="00B80922" w:rsidP="00B80922">
            <w:pPr>
              <w:spacing w:after="0"/>
              <w:rPr>
                <w:rFonts w:ascii="Arial" w:hAnsi="Arial" w:cs="Arial"/>
                <w:sz w:val="16"/>
                <w:szCs w:val="16"/>
                <w:lang w:val="es-ES_tradnl" w:eastAsia="es-ES"/>
              </w:rPr>
            </w:pPr>
            <w:r w:rsidRPr="00B80922">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8C9453" w14:textId="77777777" w:rsidR="006D048E" w:rsidRDefault="006D048E" w:rsidP="006D048E">
            <w:pPr>
              <w:spacing w:after="0" w:line="240" w:lineRule="auto"/>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14:paraId="126EB118" w14:textId="1B230D3F" w:rsidR="006D048E" w:rsidRDefault="006D048E" w:rsidP="006D048E">
            <w:pPr>
              <w:spacing w:after="0" w:line="240" w:lineRule="auto"/>
              <w:rPr>
                <w:rFonts w:ascii="Arial" w:hAnsi="Arial" w:cs="Arial"/>
                <w:sz w:val="16"/>
                <w:szCs w:val="16"/>
                <w:lang w:val="es-ES_tradnl" w:eastAsia="es-ES"/>
              </w:rPr>
            </w:pPr>
            <w:r>
              <w:rPr>
                <w:rFonts w:ascii="Arial" w:hAnsi="Arial" w:cs="Arial"/>
                <w:color w:val="000000" w:themeColor="text1"/>
                <w:sz w:val="16"/>
                <w:szCs w:val="16"/>
                <w:lang w:val="es-ES" w:eastAsia="es-ES"/>
              </w:rPr>
              <w:t>Gestor T1 – 15 Dirección General</w:t>
            </w:r>
          </w:p>
          <w:p w14:paraId="71E04C5B" w14:textId="31EAA953" w:rsidR="00B80922" w:rsidRPr="00B80922" w:rsidRDefault="00B80922" w:rsidP="0079585E">
            <w:pPr>
              <w:spacing w:after="0" w:line="240" w:lineRule="auto"/>
              <w:rPr>
                <w:rFonts w:ascii="Arial" w:hAnsi="Arial" w:cs="Arial"/>
                <w:sz w:val="16"/>
                <w:szCs w:val="16"/>
                <w:lang w:val="es-ES_tradnl" w:eastAsia="es-ES"/>
              </w:rPr>
            </w:pPr>
            <w:r w:rsidRPr="00B80922">
              <w:rPr>
                <w:rFonts w:ascii="Arial" w:hAnsi="Arial" w:cs="Arial"/>
                <w:sz w:val="16"/>
                <w:szCs w:val="16"/>
                <w:lang w:val="es-ES_tradnl" w:eastAsia="es-ES"/>
              </w:rPr>
              <w:t xml:space="preserve">Juan David Montoya Penagos </w:t>
            </w:r>
          </w:p>
          <w:p w14:paraId="44DE2CD4" w14:textId="7F49EA26" w:rsidR="008A7239" w:rsidRPr="00B80922" w:rsidRDefault="00B80922" w:rsidP="0079585E">
            <w:pPr>
              <w:spacing w:after="0" w:line="240" w:lineRule="auto"/>
              <w:rPr>
                <w:rFonts w:ascii="Arial" w:hAnsi="Arial" w:cs="Arial"/>
                <w:sz w:val="16"/>
                <w:szCs w:val="16"/>
                <w:lang w:val="es-ES_tradnl" w:eastAsia="es-ES"/>
              </w:rPr>
            </w:pPr>
            <w:r w:rsidRPr="00B80922">
              <w:rPr>
                <w:rFonts w:ascii="Arial" w:hAnsi="Arial" w:cs="Arial"/>
                <w:sz w:val="16"/>
                <w:szCs w:val="16"/>
                <w:lang w:val="es-ES_tradnl" w:eastAsia="es-ES"/>
              </w:rPr>
              <w:t>Gestor T1-15 de la Subdirección de Gestión Contractual</w:t>
            </w:r>
          </w:p>
        </w:tc>
      </w:tr>
      <w:tr w:rsidR="00B80922" w:rsidRPr="00B80922" w14:paraId="4C78466B" w14:textId="77777777" w:rsidTr="00831C6B">
        <w:trPr>
          <w:trHeight w:val="300"/>
        </w:trPr>
        <w:tc>
          <w:tcPr>
            <w:tcW w:w="812" w:type="dxa"/>
            <w:vAlign w:val="center"/>
            <w:hideMark/>
          </w:tcPr>
          <w:p w14:paraId="075ECE40" w14:textId="77777777" w:rsidR="00B80922" w:rsidRPr="00B80922" w:rsidRDefault="00B80922" w:rsidP="00B80922">
            <w:pPr>
              <w:spacing w:after="0"/>
              <w:rPr>
                <w:rFonts w:ascii="Arial" w:hAnsi="Arial" w:cs="Arial"/>
                <w:sz w:val="16"/>
                <w:szCs w:val="16"/>
                <w:lang w:val="es-ES_tradnl" w:eastAsia="es-ES"/>
              </w:rPr>
            </w:pPr>
            <w:r w:rsidRPr="00B80922">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1B27EB" w14:textId="77777777" w:rsidR="00B80922" w:rsidRPr="00B80922" w:rsidRDefault="00B80922" w:rsidP="00B80922">
            <w:pPr>
              <w:spacing w:after="0"/>
              <w:rPr>
                <w:rFonts w:ascii="Arial" w:hAnsi="Arial" w:cs="Arial"/>
                <w:sz w:val="16"/>
                <w:szCs w:val="16"/>
                <w:lang w:val="pt-BR" w:eastAsia="es-ES"/>
              </w:rPr>
            </w:pPr>
            <w:r w:rsidRPr="00B80922">
              <w:rPr>
                <w:rFonts w:ascii="Arial" w:hAnsi="Arial" w:cs="Arial"/>
                <w:sz w:val="16"/>
                <w:szCs w:val="16"/>
                <w:lang w:val="pt-BR" w:eastAsia="es-ES"/>
              </w:rPr>
              <w:t>Jorge Augusto Tirado Navarro</w:t>
            </w:r>
          </w:p>
          <w:p w14:paraId="3BD744D4" w14:textId="77777777" w:rsidR="00B80922" w:rsidRPr="00B80922" w:rsidRDefault="00B80922" w:rsidP="00B80922">
            <w:pPr>
              <w:spacing w:after="0"/>
              <w:rPr>
                <w:rFonts w:ascii="Arial" w:hAnsi="Arial" w:cs="Arial"/>
                <w:sz w:val="16"/>
                <w:szCs w:val="16"/>
                <w:lang w:val="pt-BR" w:eastAsia="es-ES"/>
              </w:rPr>
            </w:pPr>
            <w:proofErr w:type="spellStart"/>
            <w:r w:rsidRPr="00B80922">
              <w:rPr>
                <w:rFonts w:ascii="Arial" w:hAnsi="Arial" w:cs="Arial"/>
                <w:sz w:val="16"/>
                <w:szCs w:val="16"/>
                <w:lang w:val="pt-BR" w:eastAsia="es-ES"/>
              </w:rPr>
              <w:t>Subdirector</w:t>
            </w:r>
            <w:proofErr w:type="spellEnd"/>
            <w:r w:rsidRPr="00B80922">
              <w:rPr>
                <w:rFonts w:ascii="Arial" w:hAnsi="Arial" w:cs="Arial"/>
                <w:sz w:val="16"/>
                <w:szCs w:val="16"/>
                <w:lang w:val="pt-BR" w:eastAsia="es-ES"/>
              </w:rPr>
              <w:t xml:space="preserve"> de Gestión Contractual</w:t>
            </w:r>
          </w:p>
        </w:tc>
      </w:tr>
      <w:bookmarkEnd w:id="0"/>
      <w:bookmarkEnd w:id="1"/>
      <w:bookmarkEnd w:id="2"/>
    </w:tbl>
    <w:p w14:paraId="3D3242B3" w14:textId="77777777" w:rsidR="00B80922" w:rsidRPr="00B80922" w:rsidRDefault="00B80922" w:rsidP="00B80922">
      <w:pPr>
        <w:spacing w:after="0" w:line="240" w:lineRule="auto"/>
        <w:rPr>
          <w:rFonts w:ascii="Arial" w:hAnsi="Arial" w:cs="Arial"/>
          <w:sz w:val="24"/>
          <w:lang w:val="es-MX"/>
        </w:rPr>
      </w:pPr>
    </w:p>
    <w:sectPr w:rsidR="00B80922" w:rsidRPr="00B80922"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65BC7" w14:textId="77777777" w:rsidR="005C70B7" w:rsidRDefault="005C70B7" w:rsidP="007B3DC7">
      <w:pPr>
        <w:spacing w:after="0" w:line="240" w:lineRule="auto"/>
      </w:pPr>
      <w:r>
        <w:separator/>
      </w:r>
    </w:p>
  </w:endnote>
  <w:endnote w:type="continuationSeparator" w:id="0">
    <w:p w14:paraId="05E1AA78" w14:textId="77777777" w:rsidR="005C70B7" w:rsidRDefault="005C70B7" w:rsidP="007B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6EAE" w14:textId="77777777" w:rsidR="002C4875" w:rsidRDefault="00974E4F" w:rsidP="007B0854">
    <w:pPr>
      <w:pStyle w:val="Sinespaciado"/>
      <w:jc w:val="center"/>
      <w:rPr>
        <w:rFonts w:ascii="Arial" w:hAnsi="Arial" w:cs="Arial"/>
        <w:sz w:val="18"/>
        <w:szCs w:val="18"/>
      </w:rPr>
    </w:pPr>
  </w:p>
  <w:p w14:paraId="66D80344" w14:textId="77777777" w:rsidR="002C4875" w:rsidRPr="00384D6F" w:rsidRDefault="00DE5B78" w:rsidP="005A79FE">
    <w:pPr>
      <w:pStyle w:val="Piedepgina"/>
      <w:jc w:val="right"/>
      <w:rPr>
        <w:rFonts w:ascii="Arial" w:hAnsi="Arial" w:cs="Arial"/>
        <w:color w:val="7F7F7F"/>
        <w:sz w:val="16"/>
        <w:szCs w:val="16"/>
      </w:rPr>
    </w:pPr>
    <w:r w:rsidRPr="00384D6F">
      <w:rPr>
        <w:rFonts w:ascii="Arial" w:hAnsi="Arial" w:cs="Arial"/>
        <w:bCs/>
        <w:color w:val="7F7F7F"/>
        <w:sz w:val="16"/>
        <w:szCs w:val="16"/>
      </w:rPr>
      <w:t xml:space="preserve">Página </w:t>
    </w:r>
    <w:r w:rsidRPr="00384D6F">
      <w:rPr>
        <w:rFonts w:ascii="Arial" w:hAnsi="Arial" w:cs="Arial"/>
        <w:b/>
        <w:bCs/>
        <w:color w:val="7F7F7F"/>
        <w:sz w:val="16"/>
        <w:szCs w:val="16"/>
      </w:rPr>
      <w:fldChar w:fldCharType="begin"/>
    </w:r>
    <w:r w:rsidRPr="00384D6F">
      <w:rPr>
        <w:rFonts w:ascii="Arial" w:hAnsi="Arial" w:cs="Arial"/>
        <w:b/>
        <w:bCs/>
        <w:color w:val="7F7F7F"/>
        <w:sz w:val="16"/>
        <w:szCs w:val="16"/>
      </w:rPr>
      <w:instrText>PAGE  \* Arabic  \* MERGEFORMAT</w:instrText>
    </w:r>
    <w:r w:rsidRPr="00384D6F">
      <w:rPr>
        <w:rFonts w:ascii="Arial" w:hAnsi="Arial" w:cs="Arial"/>
        <w:b/>
        <w:bCs/>
        <w:color w:val="7F7F7F"/>
        <w:sz w:val="16"/>
        <w:szCs w:val="16"/>
      </w:rPr>
      <w:fldChar w:fldCharType="separate"/>
    </w:r>
    <w:r w:rsidRPr="00384D6F">
      <w:rPr>
        <w:rFonts w:ascii="Arial" w:hAnsi="Arial" w:cs="Arial"/>
        <w:b/>
        <w:bCs/>
        <w:noProof/>
        <w:color w:val="7F7F7F"/>
        <w:sz w:val="16"/>
        <w:szCs w:val="16"/>
      </w:rPr>
      <w:t>1</w:t>
    </w:r>
    <w:r w:rsidRPr="00384D6F">
      <w:rPr>
        <w:rFonts w:ascii="Arial" w:hAnsi="Arial" w:cs="Arial"/>
        <w:b/>
        <w:bCs/>
        <w:color w:val="7F7F7F"/>
        <w:sz w:val="16"/>
        <w:szCs w:val="16"/>
      </w:rPr>
      <w:fldChar w:fldCharType="end"/>
    </w:r>
    <w:r w:rsidRPr="00384D6F">
      <w:rPr>
        <w:rFonts w:ascii="Arial" w:hAnsi="Arial" w:cs="Arial"/>
        <w:color w:val="7F7F7F"/>
        <w:sz w:val="16"/>
        <w:szCs w:val="16"/>
      </w:rPr>
      <w:t xml:space="preserve"> de </w:t>
    </w:r>
    <w:r w:rsidRPr="00384D6F">
      <w:rPr>
        <w:rFonts w:ascii="Arial" w:hAnsi="Arial" w:cs="Arial"/>
        <w:b/>
        <w:bCs/>
        <w:color w:val="7F7F7F"/>
        <w:sz w:val="16"/>
        <w:szCs w:val="16"/>
      </w:rPr>
      <w:fldChar w:fldCharType="begin"/>
    </w:r>
    <w:r w:rsidRPr="00384D6F">
      <w:rPr>
        <w:rFonts w:ascii="Arial" w:hAnsi="Arial" w:cs="Arial"/>
        <w:b/>
        <w:bCs/>
        <w:color w:val="7F7F7F"/>
        <w:sz w:val="16"/>
        <w:szCs w:val="16"/>
      </w:rPr>
      <w:instrText>NUMPAGES  \* Arabic  \* MERGEFORMAT</w:instrText>
    </w:r>
    <w:r w:rsidRPr="00384D6F">
      <w:rPr>
        <w:rFonts w:ascii="Arial" w:hAnsi="Arial" w:cs="Arial"/>
        <w:b/>
        <w:bCs/>
        <w:color w:val="7F7F7F"/>
        <w:sz w:val="16"/>
        <w:szCs w:val="16"/>
      </w:rPr>
      <w:fldChar w:fldCharType="separate"/>
    </w:r>
    <w:r w:rsidRPr="00384D6F">
      <w:rPr>
        <w:rFonts w:ascii="Arial" w:hAnsi="Arial" w:cs="Arial"/>
        <w:b/>
        <w:bCs/>
        <w:noProof/>
        <w:color w:val="7F7F7F"/>
        <w:sz w:val="16"/>
        <w:szCs w:val="16"/>
      </w:rPr>
      <w:t>8</w:t>
    </w:r>
    <w:r w:rsidRPr="00384D6F">
      <w:rPr>
        <w:rFonts w:ascii="Arial" w:hAnsi="Arial" w:cs="Arial"/>
        <w:b/>
        <w:bCs/>
        <w:color w:val="7F7F7F"/>
        <w:sz w:val="16"/>
        <w:szCs w:val="16"/>
      </w:rPr>
      <w:fldChar w:fldCharType="end"/>
    </w:r>
  </w:p>
  <w:p w14:paraId="080243CA" w14:textId="77777777" w:rsidR="002C4875" w:rsidRDefault="00DE5B78" w:rsidP="007B0854">
    <w:pPr>
      <w:pStyle w:val="Piedepgina"/>
      <w:jc w:val="center"/>
      <w:rPr>
        <w:lang w:val="es-ES"/>
      </w:rPr>
    </w:pPr>
    <w:r>
      <w:rPr>
        <w:noProof/>
        <w:lang w:val="en-US"/>
      </w:rPr>
      <w:drawing>
        <wp:inline distT="0" distB="0" distL="0" distR="0" wp14:anchorId="2DFE86EF" wp14:editId="188B4569">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59EF4811" w14:textId="77777777" w:rsidR="002C4875" w:rsidRPr="007B0854" w:rsidRDefault="00974E4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7DCC0" w14:textId="77777777" w:rsidR="005C70B7" w:rsidRDefault="005C70B7" w:rsidP="007B3DC7">
      <w:pPr>
        <w:spacing w:after="0" w:line="240" w:lineRule="auto"/>
      </w:pPr>
      <w:r>
        <w:separator/>
      </w:r>
    </w:p>
  </w:footnote>
  <w:footnote w:type="continuationSeparator" w:id="0">
    <w:p w14:paraId="1393540B" w14:textId="77777777" w:rsidR="005C70B7" w:rsidRDefault="005C70B7" w:rsidP="007B3DC7">
      <w:pPr>
        <w:spacing w:after="0" w:line="240" w:lineRule="auto"/>
      </w:pPr>
      <w:r>
        <w:continuationSeparator/>
      </w:r>
    </w:p>
  </w:footnote>
  <w:footnote w:id="1">
    <w:p w14:paraId="76410F1A" w14:textId="77777777" w:rsidR="007B3DC7" w:rsidRPr="00AA42EE" w:rsidRDefault="007B3DC7" w:rsidP="007B3DC7">
      <w:pPr>
        <w:pStyle w:val="Textonotapie"/>
        <w:ind w:firstLine="708"/>
        <w:jc w:val="both"/>
        <w:rPr>
          <w:rFonts w:ascii="Arial" w:hAnsi="Arial" w:cs="Arial"/>
          <w:sz w:val="19"/>
          <w:szCs w:val="19"/>
        </w:rPr>
      </w:pPr>
      <w:r w:rsidRPr="00AA42EE">
        <w:rPr>
          <w:rStyle w:val="Refdenotaalpie"/>
          <w:rFonts w:ascii="Arial" w:hAnsi="Arial" w:cs="Arial"/>
          <w:sz w:val="19"/>
          <w:szCs w:val="19"/>
        </w:rPr>
        <w:footnoteRef/>
      </w:r>
      <w:r w:rsidRPr="00AA42EE">
        <w:rPr>
          <w:rFonts w:ascii="Arial" w:hAnsi="Arial" w:cs="Arial"/>
          <w:sz w:val="19"/>
          <w:szCs w:val="19"/>
        </w:rPr>
        <w:t xml:space="preserve"> </w:t>
      </w:r>
      <w:r>
        <w:rPr>
          <w:rFonts w:ascii="Arial" w:hAnsi="Arial" w:cs="Arial"/>
          <w:sz w:val="19"/>
          <w:szCs w:val="19"/>
        </w:rPr>
        <w:t xml:space="preserve">El artículo 4 de la Ley 1882 de 2020 adicionó el parágrafo 7 al artículo 2 de la Ley 1150 de 2007, el cual </w:t>
      </w:r>
      <w:r w:rsidRPr="00AA42EE">
        <w:rPr>
          <w:rFonts w:ascii="Arial" w:hAnsi="Arial" w:cs="Arial"/>
          <w:sz w:val="19"/>
          <w:szCs w:val="19"/>
        </w:rPr>
        <w:t>fue</w:t>
      </w:r>
      <w:r>
        <w:rPr>
          <w:rFonts w:ascii="Arial" w:hAnsi="Arial" w:cs="Arial"/>
          <w:sz w:val="19"/>
          <w:szCs w:val="19"/>
        </w:rPr>
        <w:t xml:space="preserve"> posteriormente</w:t>
      </w:r>
      <w:r w:rsidRPr="00AA42EE">
        <w:rPr>
          <w:rFonts w:ascii="Arial" w:hAnsi="Arial" w:cs="Arial"/>
          <w:sz w:val="19"/>
          <w:szCs w:val="19"/>
        </w:rPr>
        <w:t xml:space="preserve"> modificado por la Ley 2022 de 2020, a través de la cual se atribuyó directamente a la Agencia Nacional de Contratación Pública – Colombia Compra Eficiente la competencia para adoptar documentos tipo de aplicación obligatoria para las entidades regidas por el EGCAP.</w:t>
      </w:r>
    </w:p>
  </w:footnote>
  <w:footnote w:id="2">
    <w:p w14:paraId="38ED5BB8" w14:textId="77777777" w:rsidR="007B3DC7" w:rsidRPr="00270009" w:rsidRDefault="007B3DC7" w:rsidP="007B3DC7">
      <w:pPr>
        <w:pStyle w:val="Textonotapie"/>
        <w:ind w:firstLine="708"/>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4E484AE" w14:textId="77777777" w:rsidR="007B3DC7" w:rsidRPr="00270009" w:rsidRDefault="007B3DC7" w:rsidP="007B3DC7">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DC2AABA" w14:textId="77777777" w:rsidR="007B3DC7" w:rsidRPr="00270009" w:rsidRDefault="007B3DC7" w:rsidP="007B3DC7">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01C7F28" w14:textId="77777777" w:rsidR="007B3DC7" w:rsidRPr="00270009" w:rsidRDefault="007B3DC7" w:rsidP="007B3DC7">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046F65A" w14:textId="77777777" w:rsidR="007B3DC7" w:rsidRPr="00270009" w:rsidRDefault="007B3DC7" w:rsidP="007B3DC7">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5D65A5D9" w14:textId="645777E6" w:rsidR="007B3DC7" w:rsidRDefault="007B3DC7" w:rsidP="007B3DC7">
      <w:pPr>
        <w:pStyle w:val="Textonotapie"/>
        <w:ind w:firstLine="708"/>
        <w:jc w:val="both"/>
        <w:rPr>
          <w:rFonts w:ascii="Arial" w:hAnsi="Arial" w:cs="Arial"/>
          <w:sz w:val="19"/>
          <w:szCs w:val="19"/>
        </w:rPr>
      </w:pPr>
      <w:r w:rsidRPr="002417D1">
        <w:rPr>
          <w:rStyle w:val="Refdenotaalpie"/>
          <w:rFonts w:ascii="Arial" w:hAnsi="Arial" w:cs="Arial"/>
          <w:sz w:val="19"/>
          <w:szCs w:val="19"/>
        </w:rPr>
        <w:footnoteRef/>
      </w:r>
      <w:r w:rsidRPr="002417D1">
        <w:rPr>
          <w:rFonts w:ascii="Arial" w:hAnsi="Arial" w:cs="Arial"/>
          <w:sz w:val="19"/>
          <w:szCs w:val="19"/>
        </w:rPr>
        <w:t xml:space="preserve"> Esta resolución corresponde a la Versión </w:t>
      </w:r>
      <w:r w:rsidR="00B80922">
        <w:rPr>
          <w:rFonts w:ascii="Arial" w:hAnsi="Arial" w:cs="Arial"/>
          <w:sz w:val="19"/>
          <w:szCs w:val="19"/>
        </w:rPr>
        <w:t>3</w:t>
      </w:r>
      <w:r w:rsidRPr="002417D1">
        <w:rPr>
          <w:rFonts w:ascii="Arial" w:hAnsi="Arial" w:cs="Arial"/>
          <w:sz w:val="19"/>
          <w:szCs w:val="19"/>
        </w:rPr>
        <w:t xml:space="preserve"> de los Documentos Tipo de licitación de obra pública de infraestructura de transporte, la cual es aplicable a los procedimientos cuyo aviso de convocatoria se publique a partir del 1 de enero de 202</w:t>
      </w:r>
      <w:r>
        <w:rPr>
          <w:rFonts w:ascii="Arial" w:hAnsi="Arial" w:cs="Arial"/>
          <w:sz w:val="19"/>
          <w:szCs w:val="19"/>
        </w:rPr>
        <w:t>1</w:t>
      </w:r>
      <w:r w:rsidRPr="002417D1">
        <w:rPr>
          <w:rFonts w:ascii="Arial" w:hAnsi="Arial" w:cs="Arial"/>
          <w:sz w:val="19"/>
          <w:szCs w:val="19"/>
        </w:rPr>
        <w:t xml:space="preserve">. </w:t>
      </w:r>
    </w:p>
    <w:p w14:paraId="1F9856CB" w14:textId="77777777" w:rsidR="007B3DC7" w:rsidRPr="002417D1" w:rsidRDefault="007B3DC7" w:rsidP="007B3DC7">
      <w:pPr>
        <w:pStyle w:val="Textonotapie"/>
        <w:ind w:firstLine="708"/>
        <w:jc w:val="both"/>
        <w:rPr>
          <w:rFonts w:ascii="Arial" w:hAnsi="Arial" w:cs="Arial"/>
          <w:sz w:val="19"/>
          <w:szCs w:val="19"/>
        </w:rPr>
      </w:pPr>
      <w:r w:rsidRPr="002417D1">
        <w:rPr>
          <w:rFonts w:ascii="Arial" w:hAnsi="Arial" w:cs="Arial"/>
          <w:sz w:val="19"/>
          <w:szCs w:val="19"/>
        </w:rPr>
        <w:t xml:space="preserve"> </w:t>
      </w:r>
    </w:p>
  </w:footnote>
  <w:footnote w:id="4">
    <w:p w14:paraId="32465EDF" w14:textId="39215911" w:rsidR="007B3DC7" w:rsidRDefault="007B3DC7" w:rsidP="007B3DC7">
      <w:pPr>
        <w:pStyle w:val="Textonotapie"/>
        <w:ind w:firstLine="708"/>
        <w:jc w:val="both"/>
      </w:pPr>
      <w:r>
        <w:rPr>
          <w:rStyle w:val="Refdenotaalpie"/>
        </w:rPr>
        <w:footnoteRef/>
      </w:r>
      <w:r>
        <w:t xml:space="preserve"> </w:t>
      </w:r>
      <w:r w:rsidRPr="002417D1">
        <w:rPr>
          <w:rFonts w:ascii="Arial" w:hAnsi="Arial" w:cs="Arial"/>
          <w:sz w:val="19"/>
          <w:szCs w:val="19"/>
        </w:rPr>
        <w:t xml:space="preserve">Esta resolución corresponde a la Versión </w:t>
      </w:r>
      <w:r w:rsidR="00B80922">
        <w:rPr>
          <w:rFonts w:ascii="Arial" w:hAnsi="Arial" w:cs="Arial"/>
          <w:sz w:val="19"/>
          <w:szCs w:val="19"/>
        </w:rPr>
        <w:t>2</w:t>
      </w:r>
      <w:r w:rsidRPr="002417D1">
        <w:rPr>
          <w:rFonts w:ascii="Arial" w:hAnsi="Arial" w:cs="Arial"/>
          <w:sz w:val="19"/>
          <w:szCs w:val="19"/>
        </w:rPr>
        <w:t xml:space="preserve"> de los Documentos Tipo de licitación de </w:t>
      </w:r>
      <w:r>
        <w:rPr>
          <w:rFonts w:ascii="Arial" w:hAnsi="Arial" w:cs="Arial"/>
          <w:sz w:val="19"/>
          <w:szCs w:val="19"/>
        </w:rPr>
        <w:t xml:space="preserve">selección abreviada para obra pública </w:t>
      </w:r>
      <w:r w:rsidRPr="002417D1">
        <w:rPr>
          <w:rFonts w:ascii="Arial" w:hAnsi="Arial" w:cs="Arial"/>
          <w:sz w:val="19"/>
          <w:szCs w:val="19"/>
        </w:rPr>
        <w:t>de infraestructura de transporte, la cual es aplicable a los procedimientos cuyo aviso de convocatoria se publique a partir del 1 de enero de 202</w:t>
      </w:r>
      <w:r>
        <w:rPr>
          <w:rFonts w:ascii="Arial" w:hAnsi="Arial" w:cs="Arial"/>
          <w:sz w:val="19"/>
          <w:szCs w:val="19"/>
        </w:rPr>
        <w:t>1</w:t>
      </w:r>
      <w:r w:rsidRPr="002417D1">
        <w:rPr>
          <w:rFonts w:ascii="Arial" w:hAnsi="Arial" w:cs="Arial"/>
          <w:sz w:val="19"/>
          <w:szCs w:val="19"/>
        </w:rPr>
        <w:t xml:space="preserve">. </w:t>
      </w:r>
      <w:r>
        <w:t xml:space="preserve"> </w:t>
      </w:r>
    </w:p>
  </w:footnote>
  <w:footnote w:id="5">
    <w:p w14:paraId="50B26288" w14:textId="77777777" w:rsidR="007B3DC7" w:rsidRPr="002417D1" w:rsidRDefault="007B3DC7" w:rsidP="007B3DC7">
      <w:pPr>
        <w:pStyle w:val="Textonotapie"/>
        <w:ind w:firstLine="708"/>
        <w:jc w:val="both"/>
        <w:rPr>
          <w:rFonts w:ascii="Arial" w:hAnsi="Arial" w:cs="Arial"/>
          <w:sz w:val="19"/>
          <w:szCs w:val="19"/>
        </w:rPr>
      </w:pPr>
      <w:r w:rsidRPr="002417D1">
        <w:rPr>
          <w:rStyle w:val="Refdenotaalpie"/>
          <w:rFonts w:ascii="Arial" w:hAnsi="Arial" w:cs="Arial"/>
          <w:sz w:val="19"/>
          <w:szCs w:val="19"/>
        </w:rPr>
        <w:footnoteRef/>
      </w:r>
      <w:r w:rsidRPr="002417D1">
        <w:rPr>
          <w:rFonts w:ascii="Arial" w:hAnsi="Arial" w:cs="Arial"/>
          <w:sz w:val="19"/>
          <w:szCs w:val="19"/>
        </w:rPr>
        <w:t xml:space="preserve"> Instituto Nacional de Vías –Invias–. Glosario Manual de señalización vial. Recuperado en: </w:t>
      </w:r>
      <w:hyperlink r:id="rId1" w:history="1">
        <w:r w:rsidRPr="002417D1">
          <w:rPr>
            <w:rStyle w:val="Hipervnculo"/>
            <w:rFonts w:ascii="Arial" w:hAnsi="Arial" w:cs="Arial"/>
            <w:sz w:val="19"/>
            <w:szCs w:val="19"/>
          </w:rPr>
          <w:t>https://www.invias.gov.co/index.php/servicios-al-ciudadano/glosario/131-glosario-manual-senalizacion-vial</w:t>
        </w:r>
      </w:hyperlink>
    </w:p>
  </w:footnote>
  <w:footnote w:id="6">
    <w:p w14:paraId="667AED38" w14:textId="77777777" w:rsidR="007B3DC7" w:rsidRPr="002417D1" w:rsidRDefault="007B3DC7" w:rsidP="007B3DC7">
      <w:pPr>
        <w:pStyle w:val="Textonotapie"/>
        <w:ind w:firstLine="708"/>
        <w:jc w:val="both"/>
        <w:rPr>
          <w:rFonts w:ascii="Arial" w:hAnsi="Arial" w:cs="Arial"/>
          <w:sz w:val="19"/>
          <w:szCs w:val="19"/>
        </w:rPr>
      </w:pPr>
      <w:r w:rsidRPr="002417D1">
        <w:rPr>
          <w:rStyle w:val="Refdenotaalpie"/>
          <w:rFonts w:ascii="Arial" w:hAnsi="Arial" w:cs="Arial"/>
          <w:sz w:val="19"/>
          <w:szCs w:val="19"/>
        </w:rPr>
        <w:footnoteRef/>
      </w:r>
      <w:r w:rsidRPr="002417D1">
        <w:rPr>
          <w:rFonts w:ascii="Arial" w:hAnsi="Arial" w:cs="Arial"/>
          <w:sz w:val="19"/>
          <w:szCs w:val="19"/>
        </w:rPr>
        <w:t xml:space="preserve"> Agencia Nacional de Contratación Pública – Colombia Compra Eficiente. Concepto C-597 del 14 de septiembre de 2020. Radicado de entrada No. 4202013000007665. Radicado de salida No. 2202013000008787.</w:t>
      </w:r>
    </w:p>
  </w:footnote>
  <w:footnote w:id="7">
    <w:p w14:paraId="6D91EF51" w14:textId="77777777" w:rsidR="004C383B" w:rsidRDefault="004C383B" w:rsidP="004C383B">
      <w:pPr>
        <w:pStyle w:val="Textonotapie"/>
        <w:ind w:firstLine="708"/>
        <w:jc w:val="both"/>
        <w:rPr>
          <w:rFonts w:ascii="Arial" w:hAnsi="Arial" w:cs="Arial"/>
          <w:sz w:val="19"/>
          <w:szCs w:val="19"/>
        </w:rPr>
      </w:pPr>
      <w:r w:rsidRPr="002417D1">
        <w:rPr>
          <w:rStyle w:val="Refdenotaalpie"/>
          <w:rFonts w:ascii="Arial" w:hAnsi="Arial" w:cs="Arial"/>
          <w:sz w:val="19"/>
          <w:szCs w:val="19"/>
        </w:rPr>
        <w:footnoteRef/>
      </w:r>
      <w:r w:rsidRPr="002417D1">
        <w:rPr>
          <w:rFonts w:ascii="Arial" w:hAnsi="Arial" w:cs="Arial"/>
          <w:sz w:val="19"/>
          <w:szCs w:val="19"/>
        </w:rPr>
        <w:t xml:space="preserve"> Esta resolución corresponde a la Versión </w:t>
      </w:r>
      <w:r>
        <w:rPr>
          <w:rFonts w:ascii="Arial" w:hAnsi="Arial" w:cs="Arial"/>
          <w:sz w:val="19"/>
          <w:szCs w:val="19"/>
        </w:rPr>
        <w:t>3</w:t>
      </w:r>
      <w:r w:rsidRPr="002417D1">
        <w:rPr>
          <w:rFonts w:ascii="Arial" w:hAnsi="Arial" w:cs="Arial"/>
          <w:sz w:val="19"/>
          <w:szCs w:val="19"/>
        </w:rPr>
        <w:t xml:space="preserve"> de los Documentos Tipo de licitación de obra pública de infraestructura de transporte, la cual es aplicable a los procedimientos cuyo aviso de convocatoria se publique a partir del 1 de enero de 202</w:t>
      </w:r>
      <w:r>
        <w:rPr>
          <w:rFonts w:ascii="Arial" w:hAnsi="Arial" w:cs="Arial"/>
          <w:sz w:val="19"/>
          <w:szCs w:val="19"/>
        </w:rPr>
        <w:t>1</w:t>
      </w:r>
      <w:r w:rsidRPr="002417D1">
        <w:rPr>
          <w:rFonts w:ascii="Arial" w:hAnsi="Arial" w:cs="Arial"/>
          <w:sz w:val="19"/>
          <w:szCs w:val="19"/>
        </w:rPr>
        <w:t xml:space="preserve">. </w:t>
      </w:r>
    </w:p>
    <w:p w14:paraId="1296F62E" w14:textId="77777777" w:rsidR="004C383B" w:rsidRPr="002417D1" w:rsidRDefault="004C383B" w:rsidP="004C383B">
      <w:pPr>
        <w:pStyle w:val="Textonotapie"/>
        <w:ind w:firstLine="708"/>
        <w:jc w:val="both"/>
        <w:rPr>
          <w:rFonts w:ascii="Arial" w:hAnsi="Arial" w:cs="Arial"/>
          <w:sz w:val="19"/>
          <w:szCs w:val="19"/>
        </w:rPr>
      </w:pPr>
      <w:r w:rsidRPr="002417D1">
        <w:rPr>
          <w:rFonts w:ascii="Arial" w:hAnsi="Arial" w:cs="Arial"/>
          <w:sz w:val="19"/>
          <w:szCs w:val="19"/>
        </w:rPr>
        <w:t xml:space="preserve"> </w:t>
      </w:r>
    </w:p>
  </w:footnote>
  <w:footnote w:id="8">
    <w:p w14:paraId="446F1103" w14:textId="77777777" w:rsidR="004C383B" w:rsidRDefault="004C383B" w:rsidP="004C383B">
      <w:pPr>
        <w:pStyle w:val="Textonotapie"/>
        <w:ind w:firstLine="708"/>
        <w:jc w:val="both"/>
      </w:pPr>
      <w:r>
        <w:rPr>
          <w:rStyle w:val="Refdenotaalpie"/>
        </w:rPr>
        <w:footnoteRef/>
      </w:r>
      <w:r>
        <w:t xml:space="preserve"> </w:t>
      </w:r>
      <w:r w:rsidRPr="002417D1">
        <w:rPr>
          <w:rFonts w:ascii="Arial" w:hAnsi="Arial" w:cs="Arial"/>
          <w:sz w:val="19"/>
          <w:szCs w:val="19"/>
        </w:rPr>
        <w:t xml:space="preserve">Esta resolución corresponde a la Versión </w:t>
      </w:r>
      <w:r>
        <w:rPr>
          <w:rFonts w:ascii="Arial" w:hAnsi="Arial" w:cs="Arial"/>
          <w:sz w:val="19"/>
          <w:szCs w:val="19"/>
        </w:rPr>
        <w:t>2</w:t>
      </w:r>
      <w:r w:rsidRPr="002417D1">
        <w:rPr>
          <w:rFonts w:ascii="Arial" w:hAnsi="Arial" w:cs="Arial"/>
          <w:sz w:val="19"/>
          <w:szCs w:val="19"/>
        </w:rPr>
        <w:t xml:space="preserve"> de los Documentos Tipo de licitación de </w:t>
      </w:r>
      <w:r>
        <w:rPr>
          <w:rFonts w:ascii="Arial" w:hAnsi="Arial" w:cs="Arial"/>
          <w:sz w:val="19"/>
          <w:szCs w:val="19"/>
        </w:rPr>
        <w:t xml:space="preserve">selección abreviada para obra pública </w:t>
      </w:r>
      <w:r w:rsidRPr="002417D1">
        <w:rPr>
          <w:rFonts w:ascii="Arial" w:hAnsi="Arial" w:cs="Arial"/>
          <w:sz w:val="19"/>
          <w:szCs w:val="19"/>
        </w:rPr>
        <w:t>de infraestructura de transporte, la cual es aplicable a los procedimientos cuyo aviso de convocatoria se publique a partir del 1 de enero de 202</w:t>
      </w:r>
      <w:r>
        <w:rPr>
          <w:rFonts w:ascii="Arial" w:hAnsi="Arial" w:cs="Arial"/>
          <w:sz w:val="19"/>
          <w:szCs w:val="19"/>
        </w:rPr>
        <w:t>1</w:t>
      </w:r>
      <w:r w:rsidRPr="002417D1">
        <w:rPr>
          <w:rFonts w:ascii="Arial" w:hAnsi="Arial" w:cs="Arial"/>
          <w:sz w:val="19"/>
          <w:szCs w:val="19"/>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C41D" w14:textId="77777777" w:rsidR="002C4875" w:rsidRDefault="00974E4F">
    <w:pPr>
      <w:pStyle w:val="Encabezado"/>
    </w:pPr>
  </w:p>
  <w:p w14:paraId="48FB7177" w14:textId="77777777" w:rsidR="002C4875" w:rsidRDefault="00974E4F">
    <w:pPr>
      <w:pStyle w:val="Encabezado"/>
    </w:pPr>
  </w:p>
  <w:p w14:paraId="713CAF67" w14:textId="77777777" w:rsidR="002C4875" w:rsidRDefault="00DE5B78">
    <w:pPr>
      <w:pStyle w:val="Encabezado"/>
    </w:pPr>
    <w:r>
      <w:rPr>
        <w:noProof/>
        <w:lang w:val="en-US"/>
      </w:rPr>
      <w:drawing>
        <wp:anchor distT="0" distB="0" distL="114300" distR="114300" simplePos="0" relativeHeight="251659264" behindDoc="1" locked="0" layoutInCell="1" allowOverlap="1" wp14:anchorId="3538A7FB" wp14:editId="599115C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0220611" w14:textId="77777777" w:rsidR="002C4875" w:rsidRDefault="00974E4F">
    <w:pPr>
      <w:pStyle w:val="Encabezado"/>
    </w:pPr>
  </w:p>
  <w:p w14:paraId="744F998E" w14:textId="77777777" w:rsidR="002C4875" w:rsidRDefault="00974E4F">
    <w:pPr>
      <w:pStyle w:val="Encabezado"/>
    </w:pPr>
  </w:p>
  <w:p w14:paraId="2CC2E58E" w14:textId="77777777" w:rsidR="002C4875" w:rsidRDefault="00974E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6961"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C7"/>
    <w:rsid w:val="00002111"/>
    <w:rsid w:val="00070B9D"/>
    <w:rsid w:val="00172F08"/>
    <w:rsid w:val="001D2772"/>
    <w:rsid w:val="00257989"/>
    <w:rsid w:val="00263C6A"/>
    <w:rsid w:val="003255AD"/>
    <w:rsid w:val="00362BCA"/>
    <w:rsid w:val="003B070B"/>
    <w:rsid w:val="003C7BBF"/>
    <w:rsid w:val="003E55D4"/>
    <w:rsid w:val="00400168"/>
    <w:rsid w:val="00415E63"/>
    <w:rsid w:val="004B7D74"/>
    <w:rsid w:val="004C383B"/>
    <w:rsid w:val="004E602F"/>
    <w:rsid w:val="005839DC"/>
    <w:rsid w:val="005935EB"/>
    <w:rsid w:val="005C70B7"/>
    <w:rsid w:val="005D6F35"/>
    <w:rsid w:val="0066416F"/>
    <w:rsid w:val="006D048E"/>
    <w:rsid w:val="00712EA2"/>
    <w:rsid w:val="007204B9"/>
    <w:rsid w:val="0079585E"/>
    <w:rsid w:val="007B3DC7"/>
    <w:rsid w:val="007D2A9C"/>
    <w:rsid w:val="007F6064"/>
    <w:rsid w:val="00811990"/>
    <w:rsid w:val="0083334B"/>
    <w:rsid w:val="008408EB"/>
    <w:rsid w:val="0089283B"/>
    <w:rsid w:val="008A7239"/>
    <w:rsid w:val="008C6D87"/>
    <w:rsid w:val="008D1A8A"/>
    <w:rsid w:val="00970206"/>
    <w:rsid w:val="00974E4F"/>
    <w:rsid w:val="00A52D1F"/>
    <w:rsid w:val="00A6452E"/>
    <w:rsid w:val="00AC2DE8"/>
    <w:rsid w:val="00AF3F32"/>
    <w:rsid w:val="00B80922"/>
    <w:rsid w:val="00BD466B"/>
    <w:rsid w:val="00C26549"/>
    <w:rsid w:val="00CD3FA6"/>
    <w:rsid w:val="00CE053F"/>
    <w:rsid w:val="00CE447E"/>
    <w:rsid w:val="00D512D1"/>
    <w:rsid w:val="00D70F77"/>
    <w:rsid w:val="00DC2B50"/>
    <w:rsid w:val="00DE5B78"/>
    <w:rsid w:val="00E801E9"/>
    <w:rsid w:val="00F84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B2D6"/>
  <w15:chartTrackingRefBased/>
  <w15:docId w15:val="{07C6BFA4-35CF-4527-B04A-47E79F71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C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7B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3D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DC7"/>
  </w:style>
  <w:style w:type="paragraph" w:styleId="Piedepgina">
    <w:name w:val="footer"/>
    <w:basedOn w:val="Normal"/>
    <w:link w:val="PiedepginaCar"/>
    <w:uiPriority w:val="99"/>
    <w:unhideWhenUsed/>
    <w:rsid w:val="007B3DC7"/>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7B3DC7"/>
    <w:rPr>
      <w:sz w:val="24"/>
      <w:lang w:val="es-MX"/>
    </w:rPr>
  </w:style>
  <w:style w:type="paragraph" w:styleId="Sinespaciado">
    <w:name w:val="No Spacing"/>
    <w:uiPriority w:val="1"/>
    <w:qFormat/>
    <w:rsid w:val="007B3DC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3DC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3DC7"/>
    <w:pPr>
      <w:spacing w:after="0" w:line="240" w:lineRule="auto"/>
    </w:pPr>
    <w:rPr>
      <w:sz w:val="20"/>
      <w:szCs w:val="20"/>
      <w:lang w:val="es-MX"/>
    </w:rPr>
  </w:style>
  <w:style w:type="character" w:customStyle="1" w:styleId="TextonotapieCar1">
    <w:name w:val="Texto nota pie Car1"/>
    <w:basedOn w:val="Fuentedeprrafopredeter"/>
    <w:uiPriority w:val="99"/>
    <w:semiHidden/>
    <w:rsid w:val="007B3DC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3DC7"/>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B3DC7"/>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3DC7"/>
    <w:rPr>
      <w:sz w:val="24"/>
      <w:lang w:val="es-MX"/>
    </w:rPr>
  </w:style>
  <w:style w:type="paragraph" w:customStyle="1" w:styleId="Appelnotedebasde">
    <w:name w:val="Appel note de bas de..."/>
    <w:basedOn w:val="Normal"/>
    <w:link w:val="Refdenotaalpie"/>
    <w:uiPriority w:val="99"/>
    <w:rsid w:val="007B3DC7"/>
    <w:pPr>
      <w:spacing w:after="160" w:line="240" w:lineRule="exact"/>
    </w:pPr>
    <w:rPr>
      <w:vertAlign w:val="superscript"/>
    </w:rPr>
  </w:style>
  <w:style w:type="character" w:styleId="Hipervnculo">
    <w:name w:val="Hyperlink"/>
    <w:basedOn w:val="Fuentedeprrafopredeter"/>
    <w:uiPriority w:val="99"/>
    <w:unhideWhenUsed/>
    <w:rsid w:val="007B3DC7"/>
    <w:rPr>
      <w:color w:val="0563C1" w:themeColor="hyperlink"/>
      <w:u w:val="single"/>
    </w:rPr>
  </w:style>
  <w:style w:type="character" w:styleId="Refdecomentario">
    <w:name w:val="annotation reference"/>
    <w:basedOn w:val="Fuentedeprrafopredeter"/>
    <w:uiPriority w:val="99"/>
    <w:semiHidden/>
    <w:unhideWhenUsed/>
    <w:rsid w:val="00D512D1"/>
    <w:rPr>
      <w:sz w:val="16"/>
      <w:szCs w:val="16"/>
    </w:rPr>
  </w:style>
  <w:style w:type="paragraph" w:styleId="Textocomentario">
    <w:name w:val="annotation text"/>
    <w:basedOn w:val="Normal"/>
    <w:link w:val="TextocomentarioCar"/>
    <w:uiPriority w:val="99"/>
    <w:semiHidden/>
    <w:unhideWhenUsed/>
    <w:rsid w:val="00D512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2D1"/>
    <w:rPr>
      <w:sz w:val="20"/>
      <w:szCs w:val="20"/>
    </w:rPr>
  </w:style>
  <w:style w:type="paragraph" w:styleId="Asuntodelcomentario">
    <w:name w:val="annotation subject"/>
    <w:basedOn w:val="Textocomentario"/>
    <w:next w:val="Textocomentario"/>
    <w:link w:val="AsuntodelcomentarioCar"/>
    <w:uiPriority w:val="99"/>
    <w:semiHidden/>
    <w:unhideWhenUsed/>
    <w:rsid w:val="00D512D1"/>
    <w:rPr>
      <w:b/>
      <w:bCs/>
    </w:rPr>
  </w:style>
  <w:style w:type="character" w:customStyle="1" w:styleId="AsuntodelcomentarioCar">
    <w:name w:val="Asunto del comentario Car"/>
    <w:basedOn w:val="TextocomentarioCar"/>
    <w:link w:val="Asuntodelcomentario"/>
    <w:uiPriority w:val="99"/>
    <w:semiHidden/>
    <w:rsid w:val="00D512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nvias.gov.co/index.php/servicios-al-ciudadano/glosario/131-glosario-manual-senalizacion-v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8E827-170F-4765-B05D-83AED06B80C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2D4DA0B-56CF-4569-A41B-561059B4DFAF}">
  <ds:schemaRefs>
    <ds:schemaRef ds:uri="http://schemas.openxmlformats.org/officeDocument/2006/bibliography"/>
  </ds:schemaRefs>
</ds:datastoreItem>
</file>

<file path=customXml/itemProps3.xml><?xml version="1.0" encoding="utf-8"?>
<ds:datastoreItem xmlns:ds="http://schemas.openxmlformats.org/officeDocument/2006/customXml" ds:itemID="{419CB0E1-8F7A-4685-932A-2D0CA02C128F}">
  <ds:schemaRefs>
    <ds:schemaRef ds:uri="http://schemas.microsoft.com/sharepoint/v3/contenttype/forms"/>
  </ds:schemaRefs>
</ds:datastoreItem>
</file>

<file path=customXml/itemProps4.xml><?xml version="1.0" encoding="utf-8"?>
<ds:datastoreItem xmlns:ds="http://schemas.openxmlformats.org/officeDocument/2006/customXml" ds:itemID="{15724842-9683-46F8-AB7F-07BD85234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3108</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8</cp:revision>
  <dcterms:created xsi:type="dcterms:W3CDTF">2021-02-22T19:56:00Z</dcterms:created>
  <dcterms:modified xsi:type="dcterms:W3CDTF">2021-03-01T16:16:00Z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