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EED7" w14:textId="77777777" w:rsidR="00020C75" w:rsidRPr="000F6B47" w:rsidRDefault="00020C75" w:rsidP="00020C75">
      <w:pPr>
        <w:spacing w:line="276" w:lineRule="auto"/>
        <w:jc w:val="right"/>
        <w:rPr>
          <w:rFonts w:ascii="Arial" w:eastAsia="Calibri" w:hAnsi="Arial" w:cs="Arial"/>
          <w:b/>
          <w:sz w:val="22"/>
        </w:rPr>
      </w:pPr>
      <w:bookmarkStart w:id="0" w:name="_Hlk29890381"/>
      <w:r w:rsidRPr="000F6B47">
        <w:rPr>
          <w:rFonts w:ascii="Arial" w:eastAsia="Times New Roman" w:hAnsi="Arial" w:cs="Arial"/>
          <w:sz w:val="16"/>
          <w:szCs w:val="16"/>
          <w:lang w:eastAsia="es-ES"/>
        </w:rPr>
        <w:t>CCE-DES-FM-17</w:t>
      </w:r>
    </w:p>
    <w:p w14:paraId="7BFB65C6" w14:textId="77777777" w:rsidR="00020C75" w:rsidRPr="000F6B47" w:rsidRDefault="00020C75" w:rsidP="00020C75">
      <w:pPr>
        <w:jc w:val="both"/>
        <w:rPr>
          <w:rFonts w:ascii="Arial" w:eastAsia="Calibri" w:hAnsi="Arial" w:cs="Arial"/>
          <w:b/>
          <w:bCs/>
          <w:sz w:val="16"/>
          <w:szCs w:val="16"/>
          <w:highlight w:val="yellow"/>
        </w:rPr>
      </w:pPr>
    </w:p>
    <w:p w14:paraId="767C5B8E" w14:textId="5C236ED7" w:rsidR="00020C75" w:rsidRPr="000F6B47" w:rsidRDefault="00020C75" w:rsidP="000F6B47">
      <w:pPr>
        <w:jc w:val="both"/>
        <w:rPr>
          <w:rFonts w:ascii="Arial" w:eastAsia="Calibri" w:hAnsi="Arial" w:cs="Arial"/>
          <w:b/>
          <w:bCs/>
          <w:sz w:val="22"/>
        </w:rPr>
      </w:pPr>
      <w:r w:rsidRPr="000F6B47">
        <w:rPr>
          <w:rFonts w:ascii="Arial" w:eastAsia="Calibri" w:hAnsi="Arial" w:cs="Arial"/>
          <w:b/>
          <w:bCs/>
          <w:sz w:val="22"/>
        </w:rPr>
        <w:t xml:space="preserve">DOCUMENTOS TIPO – </w:t>
      </w:r>
      <w:r w:rsidR="007D47B7" w:rsidRPr="000F6B47">
        <w:rPr>
          <w:rFonts w:ascii="Arial" w:eastAsia="Calibri" w:hAnsi="Arial" w:cs="Arial"/>
          <w:b/>
          <w:bCs/>
          <w:sz w:val="22"/>
        </w:rPr>
        <w:t xml:space="preserve">Licitación de obra pública – </w:t>
      </w:r>
      <w:r w:rsidR="00A679F0">
        <w:rPr>
          <w:rFonts w:ascii="Arial" w:eastAsia="Calibri" w:hAnsi="Arial" w:cs="Arial"/>
          <w:b/>
          <w:bCs/>
          <w:sz w:val="22"/>
        </w:rPr>
        <w:t>Infraestructura de t</w:t>
      </w:r>
      <w:r w:rsidR="007D47B7" w:rsidRPr="000F6B47">
        <w:rPr>
          <w:rFonts w:ascii="Arial" w:eastAsia="Calibri" w:hAnsi="Arial" w:cs="Arial"/>
          <w:b/>
          <w:bCs/>
          <w:sz w:val="22"/>
        </w:rPr>
        <w:t xml:space="preserve">ransporte – Versión 2 – </w:t>
      </w:r>
      <w:r w:rsidR="006C7EF7" w:rsidRPr="000F6B47">
        <w:rPr>
          <w:rFonts w:ascii="Arial" w:eastAsia="Calibri" w:hAnsi="Arial" w:cs="Arial"/>
          <w:b/>
          <w:bCs/>
          <w:sz w:val="22"/>
        </w:rPr>
        <w:t xml:space="preserve">Audiencia de adjudicación – Actividades – Apertura de ofertas – </w:t>
      </w:r>
      <w:r w:rsidR="008163E2" w:rsidRPr="000F6B47">
        <w:rPr>
          <w:rFonts w:ascii="Arial" w:eastAsia="Calibri" w:hAnsi="Arial" w:cs="Arial"/>
          <w:b/>
          <w:bCs/>
          <w:sz w:val="22"/>
        </w:rPr>
        <w:t>Método de ponderación</w:t>
      </w:r>
    </w:p>
    <w:p w14:paraId="1BD155E4" w14:textId="77777777" w:rsidR="00020C75" w:rsidRPr="000F6B47" w:rsidRDefault="00020C75" w:rsidP="000F6B47">
      <w:pPr>
        <w:jc w:val="both"/>
        <w:rPr>
          <w:rFonts w:ascii="Arial" w:hAnsi="Arial" w:cs="Arial"/>
          <w:sz w:val="20"/>
          <w:szCs w:val="20"/>
          <w:highlight w:val="yellow"/>
        </w:rPr>
      </w:pPr>
    </w:p>
    <w:p w14:paraId="4720466B" w14:textId="35DA2C0C" w:rsidR="00903B75" w:rsidRPr="00903B75" w:rsidRDefault="00DC451A" w:rsidP="00903B75">
      <w:pPr>
        <w:jc w:val="both"/>
        <w:rPr>
          <w:rFonts w:ascii="Arial" w:eastAsia="Calibri" w:hAnsi="Arial" w:cs="Arial"/>
          <w:sz w:val="20"/>
          <w:szCs w:val="20"/>
        </w:rPr>
      </w:pPr>
      <w:r w:rsidRPr="00903B75">
        <w:rPr>
          <w:rFonts w:ascii="Arial" w:eastAsia="Calibri" w:hAnsi="Arial" w:cs="Arial"/>
          <w:sz w:val="20"/>
          <w:szCs w:val="20"/>
        </w:rPr>
        <w:t>[…]</w:t>
      </w:r>
      <w:r w:rsidR="00903B75">
        <w:rPr>
          <w:rFonts w:ascii="Arial" w:eastAsia="Calibri" w:hAnsi="Arial" w:cs="Arial"/>
          <w:sz w:val="20"/>
          <w:szCs w:val="20"/>
        </w:rPr>
        <w:t xml:space="preserve"> </w:t>
      </w:r>
      <w:r w:rsidR="00903B75" w:rsidRPr="00903B75">
        <w:rPr>
          <w:rFonts w:ascii="Arial" w:eastAsia="Calibri" w:hAnsi="Arial" w:cs="Arial"/>
          <w:sz w:val="20"/>
          <w:szCs w:val="20"/>
        </w:rPr>
        <w:t xml:space="preserve">la definición del método de ponderación aplicable a la oferta económica, que es la que se presenta en el sobre No. 2, ocurre en la audiencia de adjudicación que tiene dos actividades: i) respuesta a las observaciones del informe de evaluación y </w:t>
      </w:r>
      <w:proofErr w:type="spellStart"/>
      <w:r w:rsidR="00903B75" w:rsidRPr="00903B75">
        <w:rPr>
          <w:rFonts w:ascii="Arial" w:eastAsia="Calibri" w:hAnsi="Arial" w:cs="Arial"/>
          <w:sz w:val="20"/>
          <w:szCs w:val="20"/>
        </w:rPr>
        <w:t>ii</w:t>
      </w:r>
      <w:proofErr w:type="spellEnd"/>
      <w:r w:rsidR="00903B75" w:rsidRPr="00903B75">
        <w:rPr>
          <w:rFonts w:ascii="Arial" w:eastAsia="Calibri" w:hAnsi="Arial" w:cs="Arial"/>
          <w:sz w:val="20"/>
          <w:szCs w:val="20"/>
        </w:rPr>
        <w:t>) apertura de las ofertas económicas contenidas en los sobres No. 2. La entidad debe desarrollar esta última actividad en un mismo día, como lo indicó el documento base citado. De acuerdo con su consulta, se parte del supuesto de que una entidad se encuentra en la apertura de los sobres No. 2 y la Superintendencia Financiera de Colombia certifica la TRM del día siguiente, sin que la entidad haya finalizado la apertura de todos los sobres.</w:t>
      </w:r>
    </w:p>
    <w:p w14:paraId="48B408A4" w14:textId="77777777" w:rsidR="00903B75" w:rsidRDefault="00903B75" w:rsidP="000F6B47">
      <w:pPr>
        <w:pStyle w:val="Prrafodelista"/>
        <w:ind w:left="0"/>
        <w:jc w:val="both"/>
        <w:rPr>
          <w:rFonts w:ascii="Arial" w:eastAsia="Calibri" w:hAnsi="Arial" w:cs="Arial"/>
          <w:sz w:val="20"/>
          <w:szCs w:val="20"/>
        </w:rPr>
      </w:pPr>
    </w:p>
    <w:p w14:paraId="438AE769" w14:textId="0DD8940A" w:rsidR="00AE3D30" w:rsidRPr="000F6B47" w:rsidRDefault="00903B75" w:rsidP="000F6B47">
      <w:pPr>
        <w:pStyle w:val="Prrafodelista"/>
        <w:ind w:left="0"/>
        <w:jc w:val="both"/>
        <w:rPr>
          <w:rFonts w:ascii="Arial" w:eastAsia="Calibri" w:hAnsi="Arial" w:cs="Arial"/>
          <w:sz w:val="20"/>
          <w:szCs w:val="20"/>
        </w:rPr>
      </w:pPr>
      <w:r w:rsidRPr="00903B75">
        <w:rPr>
          <w:rFonts w:ascii="Arial" w:eastAsia="Calibri" w:hAnsi="Arial" w:cs="Arial"/>
          <w:sz w:val="20"/>
          <w:szCs w:val="20"/>
        </w:rPr>
        <w:t>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p w14:paraId="7ED20845" w14:textId="77777777" w:rsidR="00903B75" w:rsidRDefault="00903B75" w:rsidP="000F6B47">
      <w:pPr>
        <w:jc w:val="both"/>
        <w:rPr>
          <w:rFonts w:ascii="Arial" w:eastAsia="Calibri" w:hAnsi="Arial" w:cs="Arial"/>
          <w:b/>
          <w:bCs/>
          <w:sz w:val="22"/>
        </w:rPr>
      </w:pPr>
    </w:p>
    <w:p w14:paraId="7229A762" w14:textId="3DBC6095" w:rsidR="00020C75" w:rsidRPr="000F6B47" w:rsidRDefault="00020C75" w:rsidP="000F6B47">
      <w:pPr>
        <w:jc w:val="both"/>
        <w:rPr>
          <w:rFonts w:ascii="Arial" w:eastAsia="Calibri" w:hAnsi="Arial" w:cs="Arial"/>
          <w:b/>
          <w:bCs/>
          <w:sz w:val="20"/>
          <w:szCs w:val="20"/>
        </w:rPr>
      </w:pPr>
      <w:r w:rsidRPr="000F6B47">
        <w:rPr>
          <w:rFonts w:ascii="Arial" w:eastAsia="Calibri" w:hAnsi="Arial" w:cs="Arial"/>
          <w:b/>
          <w:bCs/>
          <w:sz w:val="22"/>
        </w:rPr>
        <w:t xml:space="preserve">DOCUMENTOS TIPO – Versión </w:t>
      </w:r>
      <w:r w:rsidR="003C35A0" w:rsidRPr="000F6B47">
        <w:rPr>
          <w:rFonts w:ascii="Arial" w:eastAsia="Calibri" w:hAnsi="Arial" w:cs="Arial"/>
          <w:b/>
          <w:bCs/>
          <w:sz w:val="22"/>
        </w:rPr>
        <w:t>3</w:t>
      </w:r>
      <w:r w:rsidRPr="000F6B47">
        <w:rPr>
          <w:rFonts w:ascii="Arial" w:eastAsia="Calibri" w:hAnsi="Arial" w:cs="Arial"/>
          <w:b/>
          <w:bCs/>
          <w:sz w:val="22"/>
        </w:rPr>
        <w:t xml:space="preserve"> – </w:t>
      </w:r>
      <w:r w:rsidR="003C35A0" w:rsidRPr="000F6B47">
        <w:rPr>
          <w:rFonts w:ascii="Arial" w:eastAsia="Calibri" w:hAnsi="Arial" w:cs="Arial"/>
          <w:b/>
          <w:bCs/>
          <w:sz w:val="22"/>
        </w:rPr>
        <w:t>Método de ponderación – Apertura de ofertas – Cambios – Hora límite</w:t>
      </w:r>
      <w:r w:rsidR="0C7EC745" w:rsidRPr="000F6B47">
        <w:rPr>
          <w:rFonts w:ascii="Arial" w:eastAsia="Arial" w:hAnsi="Arial" w:cs="Arial"/>
          <w:b/>
          <w:bCs/>
          <w:sz w:val="22"/>
        </w:rPr>
        <w:t xml:space="preserve"> </w:t>
      </w:r>
    </w:p>
    <w:p w14:paraId="58EAE4C1" w14:textId="541480E0" w:rsidR="43D55A87" w:rsidRPr="000F6B47" w:rsidRDefault="43D55A87" w:rsidP="000F6B47">
      <w:pPr>
        <w:jc w:val="both"/>
        <w:rPr>
          <w:rFonts w:ascii="Arial" w:eastAsia="Arial" w:hAnsi="Arial" w:cs="Arial"/>
          <w:b/>
          <w:bCs/>
          <w:sz w:val="22"/>
        </w:rPr>
      </w:pPr>
    </w:p>
    <w:p w14:paraId="3724629D" w14:textId="186FD9F3" w:rsidR="00903B75" w:rsidRDefault="00903B75" w:rsidP="00903B75">
      <w:pPr>
        <w:jc w:val="both"/>
        <w:rPr>
          <w:rFonts w:ascii="Arial" w:hAnsi="Arial" w:cs="Arial"/>
          <w:sz w:val="20"/>
          <w:szCs w:val="20"/>
        </w:rPr>
      </w:pPr>
      <w:r w:rsidRPr="00903B75">
        <w:rPr>
          <w:rFonts w:ascii="Arial" w:hAnsi="Arial" w:cs="Arial"/>
          <w:sz w:val="20"/>
          <w:szCs w:val="20"/>
        </w:rPr>
        <w:t xml:space="preserve">El documento base expedido por la Resolución No. 240 de 2020, esencialmente, conserva el mecanismo para la determinación del método de ponderación de la oferta económica con base en la TRM publicada por la Superfinanciera. En ese sentido, el numeral 4.1.4 conserva los métodos de Mediana con valor absoluto, Media geométrica, Media aritmética baja y Menor valor, los cuales deben aplicarse de manera aleatoria según los centavos de la TRM publicada por la </w:t>
      </w:r>
      <w:proofErr w:type="gramStart"/>
      <w:r w:rsidRPr="00903B75">
        <w:rPr>
          <w:rFonts w:ascii="Arial" w:hAnsi="Arial" w:cs="Arial"/>
          <w:sz w:val="20"/>
          <w:szCs w:val="20"/>
        </w:rPr>
        <w:t>Superfinanciera .</w:t>
      </w:r>
      <w:proofErr w:type="gramEnd"/>
      <w:r w:rsidRPr="00903B75">
        <w:rPr>
          <w:rFonts w:ascii="Arial" w:hAnsi="Arial" w:cs="Arial"/>
          <w:sz w:val="20"/>
          <w:szCs w:val="20"/>
        </w:rPr>
        <w:t xml:space="preserve"> No obstante, dicho documento base introduce variaciones respecto de ciertos aspectos. En primer lugar, la aplicación diferencial de la TRM en virtud del uso de SECOP I y SECOP II desaparece, en la medida que el numeral 4.1.4 establece que la determinación del método de ponderación de las propuestas se realizará «de acuerdo con la TRM que rija al día hábil siguiente», sin establecer ningún condicionamiento al respecto.</w:t>
      </w:r>
    </w:p>
    <w:p w14:paraId="160901F7" w14:textId="77777777" w:rsidR="00903B75" w:rsidRPr="00903B75" w:rsidRDefault="00903B75" w:rsidP="00903B75">
      <w:pPr>
        <w:jc w:val="both"/>
        <w:rPr>
          <w:rFonts w:ascii="Arial" w:hAnsi="Arial" w:cs="Arial"/>
          <w:sz w:val="20"/>
          <w:szCs w:val="20"/>
        </w:rPr>
      </w:pPr>
    </w:p>
    <w:p w14:paraId="09E7F8B4" w14:textId="77777777" w:rsidR="00903B75" w:rsidRPr="00903B75" w:rsidRDefault="00903B75" w:rsidP="00903B75">
      <w:pPr>
        <w:jc w:val="both"/>
        <w:rPr>
          <w:rFonts w:ascii="Arial" w:hAnsi="Arial" w:cs="Arial"/>
          <w:sz w:val="20"/>
          <w:szCs w:val="20"/>
        </w:rPr>
      </w:pPr>
      <w:r w:rsidRPr="00903B75">
        <w:rPr>
          <w:rFonts w:ascii="Arial" w:hAnsi="Arial" w:cs="Arial"/>
          <w:sz w:val="20"/>
          <w:szCs w:val="20"/>
        </w:rPr>
        <w:t xml:space="preserve">De otra parte, el numeral 4.1.4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w:t>
      </w:r>
      <w:proofErr w:type="gramStart"/>
      <w:r w:rsidRPr="00903B75">
        <w:rPr>
          <w:rFonts w:ascii="Arial" w:hAnsi="Arial" w:cs="Arial"/>
          <w:sz w:val="20"/>
          <w:szCs w:val="20"/>
        </w:rPr>
        <w:t>base .</w:t>
      </w:r>
      <w:proofErr w:type="gramEnd"/>
      <w:r w:rsidRPr="00903B75">
        <w:rPr>
          <w:rFonts w:ascii="Arial" w:hAnsi="Arial" w:cs="Arial"/>
          <w:sz w:val="20"/>
          <w:szCs w:val="20"/>
        </w:rPr>
        <w:t xml:space="preserve"> En particular, el 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 Superfinanciera entre las 4:00 pm y las 6:00 pm. </w:t>
      </w:r>
    </w:p>
    <w:p w14:paraId="43B99EF3" w14:textId="233CD8CD" w:rsidR="000B637E" w:rsidRPr="000F6B47" w:rsidRDefault="00903B75" w:rsidP="00903B75">
      <w:pPr>
        <w:jc w:val="both"/>
        <w:rPr>
          <w:rFonts w:ascii="Arial" w:hAnsi="Arial" w:cs="Arial"/>
          <w:sz w:val="20"/>
          <w:szCs w:val="20"/>
        </w:rPr>
      </w:pPr>
      <w:r w:rsidRPr="00903B75">
        <w:rPr>
          <w:rFonts w:ascii="Arial" w:hAnsi="Arial" w:cs="Arial"/>
          <w:sz w:val="20"/>
          <w:szCs w:val="20"/>
        </w:rPr>
        <w:t>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w:t>
      </w:r>
    </w:p>
    <w:p w14:paraId="471A35A5" w14:textId="77777777" w:rsidR="000F6B47" w:rsidRPr="000F6B47" w:rsidRDefault="000F6B47" w:rsidP="000F6B47">
      <w:pPr>
        <w:jc w:val="both"/>
        <w:rPr>
          <w:rFonts w:ascii="Arial" w:hAnsi="Arial" w:cs="Arial"/>
          <w:sz w:val="20"/>
          <w:szCs w:val="20"/>
        </w:rPr>
      </w:pPr>
    </w:p>
    <w:p w14:paraId="42211E40" w14:textId="489C7785" w:rsidR="00217440" w:rsidRPr="000F6B47" w:rsidRDefault="00217440" w:rsidP="000F6B47">
      <w:pPr>
        <w:jc w:val="both"/>
        <w:rPr>
          <w:rFonts w:ascii="Arial" w:hAnsi="Arial" w:cs="Arial"/>
          <w:b/>
          <w:bCs/>
          <w:sz w:val="22"/>
        </w:rPr>
      </w:pPr>
      <w:r w:rsidRPr="000F6B47">
        <w:rPr>
          <w:rFonts w:ascii="Arial" w:hAnsi="Arial" w:cs="Arial"/>
          <w:b/>
          <w:bCs/>
          <w:sz w:val="22"/>
        </w:rPr>
        <w:t>DOCUMENTOS TIPO – Obra pública – Requisitos habilitantes – Informe de evaluación</w:t>
      </w:r>
      <w:r w:rsidR="000F6B47" w:rsidRPr="000F6B47">
        <w:rPr>
          <w:rFonts w:ascii="Arial" w:hAnsi="Arial" w:cs="Arial"/>
          <w:b/>
          <w:bCs/>
          <w:sz w:val="22"/>
        </w:rPr>
        <w:t xml:space="preserve"> </w:t>
      </w:r>
    </w:p>
    <w:p w14:paraId="0AE63D57" w14:textId="5388C917" w:rsidR="000B637E" w:rsidRPr="000F6B47" w:rsidRDefault="000B637E" w:rsidP="000F6B47">
      <w:pPr>
        <w:jc w:val="both"/>
        <w:rPr>
          <w:rFonts w:ascii="Arial" w:hAnsi="Arial" w:cs="Arial"/>
          <w:sz w:val="20"/>
          <w:szCs w:val="20"/>
        </w:rPr>
      </w:pPr>
    </w:p>
    <w:p w14:paraId="552C23EF" w14:textId="14A30507" w:rsidR="000B637E" w:rsidRPr="000F6B47" w:rsidRDefault="00903B75" w:rsidP="00020C75">
      <w:pPr>
        <w:jc w:val="both"/>
        <w:rPr>
          <w:rFonts w:ascii="Arial" w:hAnsi="Arial" w:cs="Arial"/>
          <w:sz w:val="20"/>
          <w:szCs w:val="20"/>
        </w:rPr>
      </w:pPr>
      <w:r w:rsidRPr="00903B75">
        <w:rPr>
          <w:rFonts w:ascii="Arial" w:hAnsi="Arial" w:cs="Arial"/>
          <w:sz w:val="20"/>
          <w:szCs w:val="20"/>
        </w:rPr>
        <w:lastRenderedPageBreak/>
        <w:t>De conformidad con el parágrafo 3 del artículo 30 de la Ley 80 de 1993, adicionado por la Ley 1882 de 2018,  regulado por los numerales 2.5 y 2.6 de los Documento Base adoptados por la Resoluciones Nos. 045 y 240 de 2020 –Versiones 2 y 3–, en materia de licitaciones de obra pública de infraestructura de transporte, el adecuado desarrollo del procedimiento previsto en dichas normas implica que antes de abrir los sobres contentivos de las ofertas económicas, se hayan agotado todas las instancias de evaluación y formulación de observaciones relativas a los requisitos habilitantes. Conforme a esto, una vez abiertos los sobres económicos no es viable que se habiliten más proponentes. En todo caso, la apertura de todos los sobres económicos y la definición del método de ponderación deberán agotarse en un mismo día.</w:t>
      </w:r>
    </w:p>
    <w:p w14:paraId="4920F653" w14:textId="1096A60C" w:rsidR="000B637E" w:rsidRPr="000F6B47" w:rsidRDefault="000B637E" w:rsidP="00020C75">
      <w:pPr>
        <w:jc w:val="both"/>
        <w:rPr>
          <w:rFonts w:ascii="Arial" w:hAnsi="Arial" w:cs="Arial"/>
          <w:sz w:val="20"/>
          <w:szCs w:val="20"/>
        </w:rPr>
      </w:pPr>
    </w:p>
    <w:p w14:paraId="7E6CD04E" w14:textId="2F803826" w:rsidR="000B637E" w:rsidRPr="000F6B47" w:rsidRDefault="000B637E" w:rsidP="00020C75">
      <w:pPr>
        <w:jc w:val="both"/>
        <w:rPr>
          <w:rFonts w:ascii="Arial" w:hAnsi="Arial" w:cs="Arial"/>
          <w:sz w:val="20"/>
          <w:szCs w:val="20"/>
        </w:rPr>
      </w:pPr>
    </w:p>
    <w:p w14:paraId="64F6CE5D" w14:textId="6B57A757" w:rsidR="000B637E" w:rsidRPr="000F6B47" w:rsidRDefault="000B637E" w:rsidP="00020C75">
      <w:pPr>
        <w:jc w:val="both"/>
        <w:rPr>
          <w:rFonts w:ascii="Arial" w:hAnsi="Arial" w:cs="Arial"/>
          <w:sz w:val="20"/>
          <w:szCs w:val="20"/>
        </w:rPr>
      </w:pPr>
    </w:p>
    <w:p w14:paraId="1CBBA17B" w14:textId="652E9C4F" w:rsidR="000B637E" w:rsidRPr="000F6B47" w:rsidRDefault="000B637E" w:rsidP="00020C75">
      <w:pPr>
        <w:jc w:val="both"/>
        <w:rPr>
          <w:rFonts w:ascii="Arial" w:hAnsi="Arial" w:cs="Arial"/>
          <w:sz w:val="20"/>
          <w:szCs w:val="20"/>
        </w:rPr>
      </w:pPr>
    </w:p>
    <w:p w14:paraId="482F7E7B" w14:textId="61141138" w:rsidR="000B637E" w:rsidRPr="000F6B47" w:rsidRDefault="000B637E" w:rsidP="00020C75">
      <w:pPr>
        <w:jc w:val="both"/>
        <w:rPr>
          <w:rFonts w:ascii="Arial" w:hAnsi="Arial" w:cs="Arial"/>
          <w:sz w:val="20"/>
          <w:szCs w:val="20"/>
        </w:rPr>
      </w:pPr>
    </w:p>
    <w:p w14:paraId="59E577B2" w14:textId="532DC626" w:rsidR="000B637E" w:rsidRPr="000F6B47" w:rsidRDefault="000B637E" w:rsidP="00020C75">
      <w:pPr>
        <w:jc w:val="both"/>
        <w:rPr>
          <w:rFonts w:ascii="Arial" w:hAnsi="Arial" w:cs="Arial"/>
          <w:sz w:val="20"/>
          <w:szCs w:val="20"/>
        </w:rPr>
      </w:pPr>
    </w:p>
    <w:p w14:paraId="1E177B85" w14:textId="05EA5D62" w:rsidR="000B637E" w:rsidRPr="000F6B47" w:rsidRDefault="000B637E" w:rsidP="00020C75">
      <w:pPr>
        <w:jc w:val="both"/>
        <w:rPr>
          <w:rFonts w:ascii="Arial" w:hAnsi="Arial" w:cs="Arial"/>
          <w:sz w:val="20"/>
          <w:szCs w:val="20"/>
        </w:rPr>
      </w:pPr>
    </w:p>
    <w:p w14:paraId="0B0D37B2" w14:textId="151E58E5" w:rsidR="000B637E" w:rsidRPr="000F6B47" w:rsidRDefault="000B637E" w:rsidP="00020C75">
      <w:pPr>
        <w:jc w:val="both"/>
        <w:rPr>
          <w:rFonts w:ascii="Arial" w:hAnsi="Arial" w:cs="Arial"/>
          <w:sz w:val="20"/>
          <w:szCs w:val="20"/>
        </w:rPr>
      </w:pPr>
    </w:p>
    <w:p w14:paraId="484509A1" w14:textId="1B8F476C" w:rsidR="000B637E" w:rsidRPr="000F6B47" w:rsidRDefault="000B637E" w:rsidP="00020C75">
      <w:pPr>
        <w:jc w:val="both"/>
        <w:rPr>
          <w:rFonts w:ascii="Arial" w:hAnsi="Arial" w:cs="Arial"/>
          <w:sz w:val="20"/>
          <w:szCs w:val="20"/>
        </w:rPr>
      </w:pPr>
    </w:p>
    <w:p w14:paraId="62B3BD38" w14:textId="246EF605" w:rsidR="000B637E" w:rsidRPr="000F6B47" w:rsidRDefault="000B637E" w:rsidP="00020C75">
      <w:pPr>
        <w:jc w:val="both"/>
        <w:rPr>
          <w:rFonts w:ascii="Arial" w:hAnsi="Arial" w:cs="Arial"/>
          <w:sz w:val="20"/>
          <w:szCs w:val="20"/>
        </w:rPr>
      </w:pPr>
    </w:p>
    <w:p w14:paraId="4FE0EE24" w14:textId="031CAA22" w:rsidR="000B637E" w:rsidRPr="000F6B47" w:rsidRDefault="000B637E" w:rsidP="00020C75">
      <w:pPr>
        <w:jc w:val="both"/>
        <w:rPr>
          <w:rFonts w:ascii="Arial" w:hAnsi="Arial" w:cs="Arial"/>
          <w:sz w:val="20"/>
          <w:szCs w:val="20"/>
        </w:rPr>
      </w:pPr>
    </w:p>
    <w:p w14:paraId="7DB77FAA" w14:textId="03A98823" w:rsidR="000B637E" w:rsidRPr="000F6B47" w:rsidRDefault="000B637E" w:rsidP="00020C75">
      <w:pPr>
        <w:jc w:val="both"/>
        <w:rPr>
          <w:rFonts w:ascii="Arial" w:hAnsi="Arial" w:cs="Arial"/>
          <w:sz w:val="20"/>
          <w:szCs w:val="20"/>
        </w:rPr>
      </w:pPr>
    </w:p>
    <w:p w14:paraId="19D855FF" w14:textId="1B67E2B8" w:rsidR="000B637E" w:rsidRPr="000F6B47" w:rsidRDefault="000B637E" w:rsidP="00020C75">
      <w:pPr>
        <w:jc w:val="both"/>
        <w:rPr>
          <w:rFonts w:ascii="Arial" w:hAnsi="Arial" w:cs="Arial"/>
          <w:sz w:val="20"/>
          <w:szCs w:val="20"/>
        </w:rPr>
      </w:pPr>
    </w:p>
    <w:p w14:paraId="7B716077" w14:textId="478EBB34" w:rsidR="000B637E" w:rsidRPr="000F6B47" w:rsidRDefault="000B637E" w:rsidP="00020C75">
      <w:pPr>
        <w:jc w:val="both"/>
        <w:rPr>
          <w:rFonts w:ascii="Arial" w:hAnsi="Arial" w:cs="Arial"/>
          <w:sz w:val="20"/>
          <w:szCs w:val="20"/>
        </w:rPr>
      </w:pPr>
    </w:p>
    <w:p w14:paraId="49B08B0A" w14:textId="14D2CD9C" w:rsidR="000B637E" w:rsidRPr="000F6B47" w:rsidRDefault="000B637E" w:rsidP="00020C75">
      <w:pPr>
        <w:jc w:val="both"/>
        <w:rPr>
          <w:rFonts w:ascii="Arial" w:hAnsi="Arial" w:cs="Arial"/>
          <w:sz w:val="20"/>
          <w:szCs w:val="20"/>
        </w:rPr>
      </w:pPr>
    </w:p>
    <w:p w14:paraId="76269E61" w14:textId="4296DEBB" w:rsidR="000B637E" w:rsidRPr="000F6B47" w:rsidRDefault="000B637E" w:rsidP="00020C75">
      <w:pPr>
        <w:jc w:val="both"/>
        <w:rPr>
          <w:rFonts w:ascii="Arial" w:hAnsi="Arial" w:cs="Arial"/>
          <w:sz w:val="20"/>
          <w:szCs w:val="20"/>
        </w:rPr>
      </w:pPr>
    </w:p>
    <w:p w14:paraId="30EB9090" w14:textId="5815BBFA" w:rsidR="000B637E" w:rsidRPr="000F6B47" w:rsidRDefault="000B637E" w:rsidP="00020C75">
      <w:pPr>
        <w:jc w:val="both"/>
        <w:rPr>
          <w:rFonts w:ascii="Arial" w:hAnsi="Arial" w:cs="Arial"/>
          <w:sz w:val="20"/>
          <w:szCs w:val="20"/>
        </w:rPr>
      </w:pPr>
    </w:p>
    <w:p w14:paraId="54D95397" w14:textId="3068A5AB" w:rsidR="000B637E" w:rsidRPr="000F6B47" w:rsidRDefault="000B637E" w:rsidP="00020C75">
      <w:pPr>
        <w:jc w:val="both"/>
        <w:rPr>
          <w:rFonts w:ascii="Arial" w:hAnsi="Arial" w:cs="Arial"/>
          <w:sz w:val="20"/>
          <w:szCs w:val="20"/>
        </w:rPr>
      </w:pPr>
    </w:p>
    <w:p w14:paraId="39A8547B" w14:textId="09BDD7D7" w:rsidR="000B637E" w:rsidRPr="000F6B47" w:rsidRDefault="000B637E" w:rsidP="00020C75">
      <w:pPr>
        <w:jc w:val="both"/>
        <w:rPr>
          <w:rFonts w:ascii="Arial" w:hAnsi="Arial" w:cs="Arial"/>
          <w:sz w:val="20"/>
          <w:szCs w:val="20"/>
        </w:rPr>
      </w:pPr>
    </w:p>
    <w:p w14:paraId="530E0ED3" w14:textId="5D5B8593" w:rsidR="000B637E" w:rsidRPr="000F6B47" w:rsidRDefault="000B637E" w:rsidP="00020C75">
      <w:pPr>
        <w:jc w:val="both"/>
        <w:rPr>
          <w:rFonts w:ascii="Arial" w:hAnsi="Arial" w:cs="Arial"/>
          <w:sz w:val="20"/>
          <w:szCs w:val="20"/>
        </w:rPr>
      </w:pPr>
    </w:p>
    <w:p w14:paraId="1B2038D6" w14:textId="3E313AD1" w:rsidR="000B637E" w:rsidRPr="000F6B47" w:rsidRDefault="000B637E" w:rsidP="00020C75">
      <w:pPr>
        <w:jc w:val="both"/>
        <w:rPr>
          <w:rFonts w:ascii="Arial" w:hAnsi="Arial" w:cs="Arial"/>
          <w:sz w:val="20"/>
          <w:szCs w:val="20"/>
        </w:rPr>
      </w:pPr>
    </w:p>
    <w:p w14:paraId="01AA2BF0" w14:textId="786438A7" w:rsidR="000B637E" w:rsidRPr="000F6B47" w:rsidRDefault="000B637E" w:rsidP="00020C75">
      <w:pPr>
        <w:jc w:val="both"/>
        <w:rPr>
          <w:rFonts w:ascii="Arial" w:hAnsi="Arial" w:cs="Arial"/>
          <w:sz w:val="20"/>
          <w:szCs w:val="20"/>
        </w:rPr>
      </w:pPr>
    </w:p>
    <w:p w14:paraId="37DE4DCA" w14:textId="665B0BC8" w:rsidR="000B637E" w:rsidRPr="000F6B47" w:rsidRDefault="000B637E" w:rsidP="00020C75">
      <w:pPr>
        <w:jc w:val="both"/>
        <w:rPr>
          <w:rFonts w:ascii="Arial" w:hAnsi="Arial" w:cs="Arial"/>
          <w:sz w:val="20"/>
          <w:szCs w:val="20"/>
        </w:rPr>
      </w:pPr>
    </w:p>
    <w:p w14:paraId="4DDFE9D9" w14:textId="221AFCC8" w:rsidR="000B637E" w:rsidRPr="000F6B47" w:rsidRDefault="000B637E" w:rsidP="00020C75">
      <w:pPr>
        <w:jc w:val="both"/>
        <w:rPr>
          <w:rFonts w:ascii="Arial" w:hAnsi="Arial" w:cs="Arial"/>
          <w:sz w:val="20"/>
          <w:szCs w:val="20"/>
        </w:rPr>
      </w:pPr>
    </w:p>
    <w:p w14:paraId="00603B0F" w14:textId="06C65CFC" w:rsidR="000B637E" w:rsidRPr="000F6B47" w:rsidRDefault="000B637E" w:rsidP="00020C75">
      <w:pPr>
        <w:jc w:val="both"/>
        <w:rPr>
          <w:rFonts w:ascii="Arial" w:hAnsi="Arial" w:cs="Arial"/>
          <w:sz w:val="20"/>
          <w:szCs w:val="20"/>
        </w:rPr>
      </w:pPr>
    </w:p>
    <w:p w14:paraId="02E9DB4F" w14:textId="608F2A8C" w:rsidR="000B637E" w:rsidRPr="000F6B47" w:rsidRDefault="000B637E" w:rsidP="00020C75">
      <w:pPr>
        <w:jc w:val="both"/>
        <w:rPr>
          <w:rFonts w:ascii="Arial" w:hAnsi="Arial" w:cs="Arial"/>
          <w:sz w:val="20"/>
          <w:szCs w:val="20"/>
        </w:rPr>
      </w:pPr>
    </w:p>
    <w:p w14:paraId="6F602B08" w14:textId="575FCA9D" w:rsidR="000B637E" w:rsidRPr="000F6B47" w:rsidRDefault="000B637E" w:rsidP="00020C75">
      <w:pPr>
        <w:jc w:val="both"/>
        <w:rPr>
          <w:rFonts w:ascii="Arial" w:hAnsi="Arial" w:cs="Arial"/>
          <w:sz w:val="20"/>
          <w:szCs w:val="20"/>
        </w:rPr>
      </w:pPr>
    </w:p>
    <w:p w14:paraId="10ECDADB" w14:textId="1C716D08" w:rsidR="000B637E" w:rsidRPr="000F6B47" w:rsidRDefault="000B637E" w:rsidP="00020C75">
      <w:pPr>
        <w:jc w:val="both"/>
        <w:rPr>
          <w:rFonts w:ascii="Arial" w:hAnsi="Arial" w:cs="Arial"/>
          <w:sz w:val="20"/>
          <w:szCs w:val="20"/>
        </w:rPr>
      </w:pPr>
    </w:p>
    <w:p w14:paraId="46709AA8" w14:textId="602C5252" w:rsidR="000F6B47" w:rsidRPr="000F6B47" w:rsidRDefault="000F6B47" w:rsidP="00020C75">
      <w:pPr>
        <w:jc w:val="both"/>
        <w:rPr>
          <w:rFonts w:ascii="Arial" w:hAnsi="Arial" w:cs="Arial"/>
          <w:sz w:val="20"/>
          <w:szCs w:val="20"/>
        </w:rPr>
      </w:pPr>
    </w:p>
    <w:p w14:paraId="1F5EF606" w14:textId="75C3BE74" w:rsidR="000F6B47" w:rsidRPr="000F6B47" w:rsidRDefault="000F6B47" w:rsidP="00020C75">
      <w:pPr>
        <w:jc w:val="both"/>
        <w:rPr>
          <w:rFonts w:ascii="Arial" w:hAnsi="Arial" w:cs="Arial"/>
          <w:sz w:val="20"/>
          <w:szCs w:val="20"/>
        </w:rPr>
      </w:pPr>
    </w:p>
    <w:p w14:paraId="716E4F77" w14:textId="2FEB74A7" w:rsidR="000F6B47" w:rsidRPr="000F6B47" w:rsidRDefault="000F6B47" w:rsidP="00020C75">
      <w:pPr>
        <w:jc w:val="both"/>
        <w:rPr>
          <w:rFonts w:ascii="Arial" w:hAnsi="Arial" w:cs="Arial"/>
          <w:sz w:val="20"/>
          <w:szCs w:val="20"/>
        </w:rPr>
      </w:pPr>
    </w:p>
    <w:p w14:paraId="76E6FE36" w14:textId="16B34BC4" w:rsidR="000F6B47" w:rsidRPr="000F6B47" w:rsidRDefault="000F6B47" w:rsidP="00020C75">
      <w:pPr>
        <w:jc w:val="both"/>
        <w:rPr>
          <w:rFonts w:ascii="Arial" w:hAnsi="Arial" w:cs="Arial"/>
          <w:sz w:val="20"/>
          <w:szCs w:val="20"/>
        </w:rPr>
      </w:pPr>
    </w:p>
    <w:p w14:paraId="776E5246" w14:textId="5E5750D9" w:rsidR="000F6B47" w:rsidRPr="000F6B47" w:rsidRDefault="000F6B47" w:rsidP="00020C75">
      <w:pPr>
        <w:jc w:val="both"/>
        <w:rPr>
          <w:rFonts w:ascii="Arial" w:hAnsi="Arial" w:cs="Arial"/>
          <w:sz w:val="20"/>
          <w:szCs w:val="20"/>
        </w:rPr>
      </w:pPr>
    </w:p>
    <w:p w14:paraId="56C573C4" w14:textId="6FF7055C" w:rsidR="000F6B47" w:rsidRPr="000F6B47" w:rsidRDefault="000F6B47" w:rsidP="00020C75">
      <w:pPr>
        <w:jc w:val="both"/>
        <w:rPr>
          <w:rFonts w:ascii="Arial" w:hAnsi="Arial" w:cs="Arial"/>
          <w:sz w:val="20"/>
          <w:szCs w:val="20"/>
        </w:rPr>
      </w:pPr>
    </w:p>
    <w:p w14:paraId="72958E7C" w14:textId="6E8812D2" w:rsidR="000F6B47" w:rsidRPr="000F6B47" w:rsidRDefault="000F6B47" w:rsidP="00020C75">
      <w:pPr>
        <w:jc w:val="both"/>
        <w:rPr>
          <w:rFonts w:ascii="Arial" w:hAnsi="Arial" w:cs="Arial"/>
          <w:sz w:val="20"/>
          <w:szCs w:val="20"/>
        </w:rPr>
      </w:pPr>
    </w:p>
    <w:p w14:paraId="7546F227" w14:textId="77777777" w:rsidR="000F6B47" w:rsidRPr="000F6B47" w:rsidRDefault="000F6B47" w:rsidP="00020C75">
      <w:pPr>
        <w:jc w:val="both"/>
        <w:rPr>
          <w:rFonts w:ascii="Arial" w:hAnsi="Arial" w:cs="Arial"/>
          <w:sz w:val="20"/>
          <w:szCs w:val="20"/>
        </w:rPr>
      </w:pPr>
    </w:p>
    <w:p w14:paraId="08BD4BC4" w14:textId="61104ADC" w:rsidR="000B637E" w:rsidRPr="000F6B47" w:rsidRDefault="000B637E" w:rsidP="00020C75">
      <w:pPr>
        <w:jc w:val="both"/>
        <w:rPr>
          <w:rFonts w:ascii="Arial" w:hAnsi="Arial" w:cs="Arial"/>
          <w:sz w:val="20"/>
          <w:szCs w:val="20"/>
        </w:rPr>
      </w:pPr>
    </w:p>
    <w:p w14:paraId="4914BDA7" w14:textId="3BBC8071" w:rsidR="000B637E" w:rsidRPr="000F6B47" w:rsidRDefault="000B637E" w:rsidP="00020C75">
      <w:pPr>
        <w:jc w:val="both"/>
        <w:rPr>
          <w:rFonts w:ascii="Arial" w:hAnsi="Arial" w:cs="Arial"/>
          <w:sz w:val="20"/>
          <w:szCs w:val="20"/>
        </w:rPr>
      </w:pPr>
    </w:p>
    <w:p w14:paraId="3CE8F954" w14:textId="77777777" w:rsidR="00020C75" w:rsidRPr="000F6B47" w:rsidRDefault="00020C75" w:rsidP="00020C75">
      <w:pPr>
        <w:tabs>
          <w:tab w:val="left" w:pos="3374"/>
        </w:tabs>
        <w:rPr>
          <w:rFonts w:ascii="Arial" w:eastAsia="Calibri" w:hAnsi="Arial" w:cs="Arial"/>
          <w:sz w:val="22"/>
        </w:rPr>
      </w:pPr>
    </w:p>
    <w:p w14:paraId="480F2D8F" w14:textId="77777777" w:rsidR="00EA7163" w:rsidRDefault="00EA7163" w:rsidP="00020C75">
      <w:pPr>
        <w:tabs>
          <w:tab w:val="left" w:pos="3374"/>
        </w:tabs>
        <w:rPr>
          <w:rFonts w:ascii="Arial" w:eastAsia="Calibri" w:hAnsi="Arial" w:cs="Arial"/>
          <w:sz w:val="22"/>
        </w:rPr>
      </w:pPr>
    </w:p>
    <w:p w14:paraId="67636187" w14:textId="77777777" w:rsidR="00EA7163" w:rsidRDefault="00EA7163" w:rsidP="00020C75">
      <w:pPr>
        <w:tabs>
          <w:tab w:val="left" w:pos="3374"/>
        </w:tabs>
        <w:rPr>
          <w:rFonts w:ascii="Arial" w:eastAsia="Calibri" w:hAnsi="Arial" w:cs="Arial"/>
          <w:sz w:val="22"/>
        </w:rPr>
      </w:pPr>
    </w:p>
    <w:p w14:paraId="4DC5CF1F" w14:textId="77777777" w:rsidR="00EA7163" w:rsidRDefault="00EA7163" w:rsidP="00020C75">
      <w:pPr>
        <w:tabs>
          <w:tab w:val="left" w:pos="3374"/>
        </w:tabs>
        <w:rPr>
          <w:rFonts w:ascii="Arial" w:eastAsia="Calibri" w:hAnsi="Arial" w:cs="Arial"/>
          <w:sz w:val="22"/>
        </w:rPr>
      </w:pPr>
    </w:p>
    <w:p w14:paraId="14CCFC98" w14:textId="58526876" w:rsidR="00EA7163" w:rsidRDefault="00D54B44" w:rsidP="00020C75">
      <w:pPr>
        <w:tabs>
          <w:tab w:val="left" w:pos="3374"/>
        </w:tabs>
        <w:rPr>
          <w:rFonts w:ascii="Arial" w:eastAsia="Calibri" w:hAnsi="Arial" w:cs="Arial"/>
          <w:sz w:val="22"/>
        </w:rPr>
      </w:pPr>
      <w:r>
        <w:rPr>
          <w:rFonts w:ascii="Arial" w:eastAsia="Calibri" w:hAnsi="Arial" w:cs="Arial"/>
          <w:noProof/>
          <w:sz w:val="22"/>
        </w:rPr>
        <w:lastRenderedPageBreak/>
        <w:drawing>
          <wp:anchor distT="0" distB="0" distL="114300" distR="114300" simplePos="0" relativeHeight="251660288" behindDoc="0" locked="0" layoutInCell="1" allowOverlap="1" wp14:anchorId="1E7C4AAC" wp14:editId="298E00FB">
            <wp:simplePos x="0" y="0"/>
            <wp:positionH relativeFrom="column">
              <wp:posOffset>3644265</wp:posOffset>
            </wp:positionH>
            <wp:positionV relativeFrom="paragraph">
              <wp:posOffset>62230</wp:posOffset>
            </wp:positionV>
            <wp:extent cx="2335549" cy="6477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5549"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4FD34" w14:textId="21369BD2" w:rsidR="00EA7163" w:rsidRDefault="00EA7163" w:rsidP="00020C75">
      <w:pPr>
        <w:tabs>
          <w:tab w:val="left" w:pos="3374"/>
        </w:tabs>
        <w:rPr>
          <w:rFonts w:ascii="Arial" w:eastAsia="Calibri" w:hAnsi="Arial" w:cs="Arial"/>
          <w:sz w:val="22"/>
        </w:rPr>
      </w:pPr>
    </w:p>
    <w:p w14:paraId="050E14F4" w14:textId="680398B5" w:rsidR="00EA7163" w:rsidRDefault="00EA7163" w:rsidP="00020C75">
      <w:pPr>
        <w:tabs>
          <w:tab w:val="left" w:pos="3374"/>
        </w:tabs>
        <w:rPr>
          <w:rFonts w:ascii="Arial" w:eastAsia="Calibri" w:hAnsi="Arial" w:cs="Arial"/>
          <w:sz w:val="22"/>
        </w:rPr>
      </w:pPr>
    </w:p>
    <w:p w14:paraId="5EF89E97" w14:textId="7D035901" w:rsidR="00D54B44" w:rsidRDefault="00D54B44" w:rsidP="00020C75">
      <w:pPr>
        <w:tabs>
          <w:tab w:val="left" w:pos="3374"/>
        </w:tabs>
        <w:rPr>
          <w:rFonts w:ascii="Arial" w:eastAsia="Calibri" w:hAnsi="Arial" w:cs="Arial"/>
          <w:sz w:val="22"/>
        </w:rPr>
      </w:pPr>
    </w:p>
    <w:p w14:paraId="3DDDDD5C" w14:textId="42DB39FE" w:rsidR="00D54B44" w:rsidRDefault="00D54B44" w:rsidP="00020C75">
      <w:pPr>
        <w:tabs>
          <w:tab w:val="left" w:pos="3374"/>
        </w:tabs>
        <w:rPr>
          <w:rFonts w:ascii="Arial" w:eastAsia="Calibri" w:hAnsi="Arial" w:cs="Arial"/>
          <w:sz w:val="22"/>
        </w:rPr>
      </w:pPr>
      <w:r w:rsidRPr="00D54B44">
        <w:rPr>
          <w:rFonts w:ascii="Arial" w:eastAsia="Calibri" w:hAnsi="Arial" w:cs="Arial"/>
          <w:sz w:val="22"/>
        </w:rPr>
        <w:t xml:space="preserve">Bogotá, 08 </w:t>
      </w:r>
      <w:proofErr w:type="gramStart"/>
      <w:r w:rsidRPr="00D54B44">
        <w:rPr>
          <w:rFonts w:ascii="Arial" w:eastAsia="Calibri" w:hAnsi="Arial" w:cs="Arial"/>
          <w:sz w:val="22"/>
        </w:rPr>
        <w:t>Febrero</w:t>
      </w:r>
      <w:proofErr w:type="gramEnd"/>
      <w:r w:rsidRPr="00D54B44">
        <w:rPr>
          <w:rFonts w:ascii="Arial" w:eastAsia="Calibri" w:hAnsi="Arial" w:cs="Arial"/>
          <w:sz w:val="22"/>
        </w:rPr>
        <w:t xml:space="preserve"> 2021</w:t>
      </w:r>
    </w:p>
    <w:p w14:paraId="50B1F28B" w14:textId="02229DD8" w:rsidR="00020C75" w:rsidRPr="000F6B47" w:rsidRDefault="00020C75" w:rsidP="00020C75">
      <w:pPr>
        <w:tabs>
          <w:tab w:val="left" w:pos="3374"/>
        </w:tabs>
        <w:rPr>
          <w:rFonts w:ascii="Arial" w:eastAsia="Calibri" w:hAnsi="Arial" w:cs="Arial"/>
          <w:sz w:val="22"/>
        </w:rPr>
      </w:pPr>
      <w:r w:rsidRPr="000F6B47">
        <w:rPr>
          <w:rFonts w:ascii="Arial" w:eastAsia="Calibri" w:hAnsi="Arial" w:cs="Arial"/>
          <w:sz w:val="22"/>
        </w:rPr>
        <w:tab/>
      </w:r>
    </w:p>
    <w:p w14:paraId="55B28EF8" w14:textId="2AB75515" w:rsidR="00020C75" w:rsidRPr="000F6B47" w:rsidRDefault="00020C75" w:rsidP="00020C75">
      <w:pPr>
        <w:rPr>
          <w:rFonts w:ascii="Arial" w:eastAsia="Calibri" w:hAnsi="Arial" w:cs="Arial"/>
          <w:sz w:val="22"/>
        </w:rPr>
      </w:pPr>
      <w:bookmarkStart w:id="1" w:name="_Hlk63705756"/>
      <w:r w:rsidRPr="000F6B47">
        <w:rPr>
          <w:rFonts w:ascii="Arial" w:eastAsia="Calibri" w:hAnsi="Arial" w:cs="Arial"/>
          <w:sz w:val="22"/>
        </w:rPr>
        <w:t>Señor</w:t>
      </w:r>
      <w:r w:rsidR="0014026C" w:rsidRPr="000F6B47">
        <w:rPr>
          <w:rFonts w:ascii="Arial" w:eastAsia="Calibri" w:hAnsi="Arial" w:cs="Arial"/>
          <w:sz w:val="22"/>
        </w:rPr>
        <w:t>a</w:t>
      </w:r>
    </w:p>
    <w:p w14:paraId="3E239D15" w14:textId="4DB39929" w:rsidR="00020C75" w:rsidRPr="000F6B47" w:rsidRDefault="0014026C" w:rsidP="00020C75">
      <w:pPr>
        <w:rPr>
          <w:rFonts w:ascii="Arial" w:eastAsia="Calibri" w:hAnsi="Arial" w:cs="Arial"/>
          <w:b/>
          <w:sz w:val="22"/>
        </w:rPr>
      </w:pPr>
      <w:r w:rsidRPr="000F6B47">
        <w:rPr>
          <w:rFonts w:ascii="Arial" w:eastAsia="Calibri" w:hAnsi="Arial" w:cs="Arial"/>
          <w:b/>
          <w:sz w:val="22"/>
        </w:rPr>
        <w:t>Margarita Sierra</w:t>
      </w:r>
    </w:p>
    <w:p w14:paraId="774DF210" w14:textId="32AAA261" w:rsidR="00020C75" w:rsidRPr="000F6B47" w:rsidRDefault="00C22F02" w:rsidP="00020C75">
      <w:pPr>
        <w:rPr>
          <w:rFonts w:ascii="Arial" w:eastAsia="Calibri" w:hAnsi="Arial" w:cs="Arial"/>
          <w:sz w:val="22"/>
        </w:rPr>
      </w:pPr>
      <w:r w:rsidRPr="000F6B47">
        <w:rPr>
          <w:rFonts w:ascii="Arial" w:eastAsia="Calibri" w:hAnsi="Arial" w:cs="Arial"/>
          <w:sz w:val="22"/>
        </w:rPr>
        <w:t>Bogotá D.C.</w:t>
      </w:r>
    </w:p>
    <w:p w14:paraId="044C3BF0" w14:textId="77777777" w:rsidR="00020C75" w:rsidRPr="000F6B47" w:rsidRDefault="00020C75" w:rsidP="00020C75">
      <w:pPr>
        <w:rPr>
          <w:rFonts w:ascii="Arial" w:eastAsia="Calibri" w:hAnsi="Arial" w:cs="Arial"/>
          <w:sz w:val="22"/>
        </w:rPr>
      </w:pPr>
    </w:p>
    <w:p w14:paraId="7BA41DDB" w14:textId="77777777" w:rsidR="00020C75" w:rsidRPr="000F6B47" w:rsidRDefault="00020C75" w:rsidP="00020C75">
      <w:pPr>
        <w:rPr>
          <w:rFonts w:ascii="Arial" w:eastAsia="Calibri" w:hAnsi="Arial" w:cs="Arial"/>
          <w:sz w:val="22"/>
        </w:rPr>
      </w:pPr>
    </w:p>
    <w:p w14:paraId="621A5930" w14:textId="74762FD7" w:rsidR="00020C75" w:rsidRPr="000F6B47" w:rsidRDefault="00020C75" w:rsidP="00020C75">
      <w:pPr>
        <w:rPr>
          <w:rFonts w:ascii="Arial" w:eastAsia="Calibri" w:hAnsi="Arial" w:cs="Arial"/>
          <w:b/>
          <w:sz w:val="22"/>
        </w:rPr>
      </w:pPr>
      <w:r w:rsidRPr="000F6B47">
        <w:rPr>
          <w:rFonts w:ascii="Arial" w:eastAsia="Calibri" w:hAnsi="Arial" w:cs="Arial"/>
          <w:sz w:val="22"/>
        </w:rPr>
        <w:t xml:space="preserve">                                            </w:t>
      </w:r>
      <w:r w:rsidRPr="000F6B47">
        <w:rPr>
          <w:rFonts w:ascii="Arial" w:eastAsia="Calibri" w:hAnsi="Arial" w:cs="Arial"/>
          <w:b/>
          <w:sz w:val="22"/>
        </w:rPr>
        <w:t xml:space="preserve">Concepto C – </w:t>
      </w:r>
      <w:r w:rsidR="000B637E" w:rsidRPr="000F6B47">
        <w:rPr>
          <w:rFonts w:ascii="Arial" w:eastAsia="Calibri" w:hAnsi="Arial" w:cs="Arial"/>
          <w:b/>
          <w:sz w:val="22"/>
        </w:rPr>
        <w:t>810</w:t>
      </w:r>
      <w:r w:rsidRPr="000F6B47">
        <w:rPr>
          <w:rFonts w:ascii="Arial" w:eastAsia="Calibri" w:hAnsi="Arial" w:cs="Arial"/>
          <w:b/>
          <w:sz w:val="22"/>
        </w:rPr>
        <w:t xml:space="preserve"> de 2020</w:t>
      </w:r>
    </w:p>
    <w:p w14:paraId="27DC5F61" w14:textId="77777777" w:rsidR="00020C75" w:rsidRPr="000F6B47" w:rsidRDefault="00020C75" w:rsidP="00020C7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F6B47" w:rsidRPr="000F6B47" w14:paraId="5AD1613C" w14:textId="77777777" w:rsidTr="00903B75">
        <w:tc>
          <w:tcPr>
            <w:tcW w:w="2689" w:type="dxa"/>
            <w:hideMark/>
          </w:tcPr>
          <w:p w14:paraId="4C43D704" w14:textId="77777777" w:rsidR="00020C75" w:rsidRPr="000F6B47" w:rsidRDefault="00020C75" w:rsidP="00903B75">
            <w:pPr>
              <w:rPr>
                <w:rFonts w:ascii="Arial" w:eastAsia="Calibri" w:hAnsi="Arial" w:cs="Arial"/>
                <w:sz w:val="22"/>
              </w:rPr>
            </w:pPr>
            <w:r w:rsidRPr="000F6B47">
              <w:rPr>
                <w:rFonts w:ascii="Arial" w:eastAsia="Calibri" w:hAnsi="Arial" w:cs="Arial"/>
                <w:b/>
                <w:sz w:val="22"/>
              </w:rPr>
              <w:t>Temas:</w:t>
            </w:r>
            <w:r w:rsidRPr="000F6B47">
              <w:rPr>
                <w:rFonts w:ascii="Arial" w:eastAsia="Calibri" w:hAnsi="Arial" w:cs="Arial"/>
                <w:sz w:val="22"/>
              </w:rPr>
              <w:t xml:space="preserve">           </w:t>
            </w:r>
          </w:p>
          <w:p w14:paraId="619C98EE" w14:textId="77777777" w:rsidR="00020C75" w:rsidRPr="000F6B47" w:rsidRDefault="00020C75" w:rsidP="00903B75">
            <w:pPr>
              <w:rPr>
                <w:rFonts w:ascii="Arial" w:eastAsia="Calibri" w:hAnsi="Arial" w:cs="Arial"/>
                <w:sz w:val="22"/>
              </w:rPr>
            </w:pPr>
            <w:r w:rsidRPr="000F6B47">
              <w:rPr>
                <w:rFonts w:ascii="Arial" w:eastAsia="Calibri" w:hAnsi="Arial" w:cs="Arial"/>
                <w:sz w:val="22"/>
              </w:rPr>
              <w:t xml:space="preserve">                           </w:t>
            </w:r>
          </w:p>
        </w:tc>
        <w:tc>
          <w:tcPr>
            <w:tcW w:w="6237" w:type="dxa"/>
            <w:hideMark/>
          </w:tcPr>
          <w:p w14:paraId="4FA3D28E" w14:textId="5660071F" w:rsidR="00020C75" w:rsidRPr="000F6B47" w:rsidRDefault="000F6B47" w:rsidP="00903B75">
            <w:pPr>
              <w:spacing w:after="120"/>
              <w:jc w:val="both"/>
              <w:rPr>
                <w:rFonts w:ascii="Arial" w:eastAsia="Calibri" w:hAnsi="Arial" w:cs="Arial"/>
                <w:sz w:val="22"/>
                <w:highlight w:val="yellow"/>
              </w:rPr>
            </w:pPr>
            <w:r w:rsidRPr="000F6B47">
              <w:rPr>
                <w:rFonts w:ascii="Arial" w:eastAsia="Calibri" w:hAnsi="Arial" w:cs="Arial"/>
                <w:sz w:val="22"/>
              </w:rPr>
              <w:t xml:space="preserve">DOCUMENTOS TIPO – Licitación de obra pública – </w:t>
            </w:r>
            <w:r w:rsidR="00A679F0">
              <w:rPr>
                <w:rFonts w:ascii="Arial" w:eastAsia="Calibri" w:hAnsi="Arial" w:cs="Arial"/>
                <w:sz w:val="22"/>
              </w:rPr>
              <w:t>Infraestructura de t</w:t>
            </w:r>
            <w:r w:rsidRPr="000F6B47">
              <w:rPr>
                <w:rFonts w:ascii="Arial" w:eastAsia="Calibri" w:hAnsi="Arial" w:cs="Arial"/>
                <w:sz w:val="22"/>
              </w:rPr>
              <w:t>ransporte – Versión 2 – Audiencia de adjudicación – Actividades – Apertura de ofertas – Método de ponderación / DOCUMENTOS TIPO – Versión 3 – Método de ponderación – Apertura de ofertas – Cambios – Hora límite / DOCUMENTOS TIPO – Obra pública – Requisitos habilitantes – Informe de evaluación</w:t>
            </w:r>
          </w:p>
        </w:tc>
      </w:tr>
      <w:tr w:rsidR="000F6B47" w:rsidRPr="000F6B47" w14:paraId="1E7DE128" w14:textId="77777777" w:rsidTr="00903B75">
        <w:tc>
          <w:tcPr>
            <w:tcW w:w="2689" w:type="dxa"/>
            <w:hideMark/>
          </w:tcPr>
          <w:p w14:paraId="2D8C17DC" w14:textId="77777777" w:rsidR="00020C75" w:rsidRPr="000F6B47" w:rsidRDefault="00020C75" w:rsidP="00903B75">
            <w:pPr>
              <w:rPr>
                <w:rFonts w:ascii="Arial" w:eastAsia="Calibri" w:hAnsi="Arial" w:cs="Arial"/>
                <w:b/>
                <w:sz w:val="22"/>
              </w:rPr>
            </w:pPr>
            <w:r w:rsidRPr="000F6B47">
              <w:rPr>
                <w:rFonts w:ascii="Arial" w:eastAsia="Calibri" w:hAnsi="Arial" w:cs="Arial"/>
                <w:b/>
                <w:sz w:val="22"/>
              </w:rPr>
              <w:t>Radicación:</w:t>
            </w:r>
            <w:r w:rsidRPr="000F6B47">
              <w:rPr>
                <w:rFonts w:ascii="Arial" w:eastAsia="Calibri" w:hAnsi="Arial" w:cs="Arial"/>
                <w:sz w:val="22"/>
              </w:rPr>
              <w:t xml:space="preserve">                              </w:t>
            </w:r>
          </w:p>
        </w:tc>
        <w:tc>
          <w:tcPr>
            <w:tcW w:w="6237" w:type="dxa"/>
            <w:hideMark/>
          </w:tcPr>
          <w:p w14:paraId="727C1D53" w14:textId="258C23C6" w:rsidR="00020C75" w:rsidRPr="000F6B47" w:rsidRDefault="00020C75" w:rsidP="00903B75">
            <w:pPr>
              <w:jc w:val="both"/>
              <w:rPr>
                <w:rFonts w:ascii="Arial" w:eastAsia="Calibri" w:hAnsi="Arial" w:cs="Arial"/>
                <w:sz w:val="22"/>
              </w:rPr>
            </w:pPr>
            <w:r w:rsidRPr="000F6B47">
              <w:rPr>
                <w:rFonts w:ascii="Arial" w:eastAsia="Calibri" w:hAnsi="Arial" w:cs="Arial"/>
                <w:sz w:val="22"/>
              </w:rPr>
              <w:t xml:space="preserve">Respuesta a consulta # </w:t>
            </w:r>
            <w:r w:rsidR="00774193" w:rsidRPr="000F6B47">
              <w:rPr>
                <w:rFonts w:ascii="Arial" w:eastAsia="Calibri" w:hAnsi="Arial" w:cs="Arial"/>
                <w:sz w:val="22"/>
              </w:rPr>
              <w:t>P20201224000852</w:t>
            </w:r>
          </w:p>
        </w:tc>
      </w:tr>
    </w:tbl>
    <w:p w14:paraId="5E337380" w14:textId="77777777" w:rsidR="00020C75" w:rsidRPr="000F6B47" w:rsidRDefault="00020C75" w:rsidP="00020C75">
      <w:pPr>
        <w:jc w:val="both"/>
        <w:rPr>
          <w:rFonts w:ascii="Arial" w:eastAsia="Calibri" w:hAnsi="Arial" w:cs="Arial"/>
          <w:sz w:val="22"/>
        </w:rPr>
      </w:pPr>
    </w:p>
    <w:p w14:paraId="76E2E9A3" w14:textId="77777777" w:rsidR="00020C75" w:rsidRPr="000F6B47" w:rsidRDefault="00020C75" w:rsidP="00020C75">
      <w:pPr>
        <w:rPr>
          <w:rFonts w:ascii="Arial" w:eastAsia="Calibri" w:hAnsi="Arial" w:cs="Arial"/>
          <w:sz w:val="22"/>
        </w:rPr>
      </w:pPr>
    </w:p>
    <w:p w14:paraId="7A2A00E1" w14:textId="06223857" w:rsidR="00020C75" w:rsidRPr="000F6B47" w:rsidRDefault="00020C75" w:rsidP="00020C75">
      <w:pPr>
        <w:rPr>
          <w:rFonts w:ascii="Arial" w:eastAsia="Calibri" w:hAnsi="Arial" w:cs="Arial"/>
          <w:sz w:val="22"/>
        </w:rPr>
      </w:pPr>
      <w:r w:rsidRPr="000F6B47">
        <w:rPr>
          <w:rFonts w:ascii="Arial" w:eastAsia="Calibri" w:hAnsi="Arial" w:cs="Arial"/>
          <w:sz w:val="22"/>
        </w:rPr>
        <w:t>Estimad</w:t>
      </w:r>
      <w:r w:rsidR="00774193" w:rsidRPr="000F6B47">
        <w:rPr>
          <w:rFonts w:ascii="Arial" w:eastAsia="Calibri" w:hAnsi="Arial" w:cs="Arial"/>
          <w:sz w:val="22"/>
        </w:rPr>
        <w:t>a</w:t>
      </w:r>
      <w:r w:rsidRPr="000F6B47">
        <w:rPr>
          <w:rFonts w:ascii="Arial" w:eastAsia="Calibri" w:hAnsi="Arial" w:cs="Arial"/>
          <w:sz w:val="22"/>
        </w:rPr>
        <w:t xml:space="preserve"> señor</w:t>
      </w:r>
      <w:r w:rsidR="00774193" w:rsidRPr="000F6B47">
        <w:rPr>
          <w:rFonts w:ascii="Arial" w:eastAsia="Calibri" w:hAnsi="Arial" w:cs="Arial"/>
          <w:sz w:val="22"/>
        </w:rPr>
        <w:t>a</w:t>
      </w:r>
      <w:r w:rsidRPr="000F6B47">
        <w:rPr>
          <w:rFonts w:ascii="Arial" w:eastAsia="Calibri" w:hAnsi="Arial" w:cs="Arial"/>
          <w:sz w:val="22"/>
        </w:rPr>
        <w:t xml:space="preserve"> </w:t>
      </w:r>
      <w:r w:rsidR="00774193" w:rsidRPr="000F6B47">
        <w:rPr>
          <w:rFonts w:ascii="Arial" w:eastAsia="Calibri" w:hAnsi="Arial" w:cs="Arial"/>
          <w:sz w:val="22"/>
        </w:rPr>
        <w:t>Sierra</w:t>
      </w:r>
      <w:r w:rsidRPr="000F6B47">
        <w:rPr>
          <w:rFonts w:ascii="Arial" w:eastAsia="Calibri" w:hAnsi="Arial" w:cs="Arial"/>
          <w:sz w:val="22"/>
        </w:rPr>
        <w:t>,</w:t>
      </w:r>
    </w:p>
    <w:p w14:paraId="3870C2E2" w14:textId="77777777" w:rsidR="00020C75" w:rsidRPr="000F6B47" w:rsidRDefault="00020C75" w:rsidP="00020C75">
      <w:pPr>
        <w:rPr>
          <w:rFonts w:ascii="Arial" w:eastAsia="Calibri" w:hAnsi="Arial" w:cs="Arial"/>
          <w:sz w:val="22"/>
        </w:rPr>
      </w:pPr>
    </w:p>
    <w:p w14:paraId="58F1176A" w14:textId="5374F86A" w:rsidR="00020C75" w:rsidRPr="000F6B47" w:rsidRDefault="00020C75" w:rsidP="00020C75">
      <w:pPr>
        <w:spacing w:line="276" w:lineRule="auto"/>
        <w:ind w:right="49"/>
        <w:jc w:val="both"/>
        <w:rPr>
          <w:rFonts w:ascii="Arial" w:eastAsia="Calibri" w:hAnsi="Arial" w:cs="Arial"/>
          <w:sz w:val="22"/>
        </w:rPr>
      </w:pPr>
      <w:r w:rsidRPr="000F6B47">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su consulta del 2</w:t>
      </w:r>
      <w:r w:rsidR="00C7719B" w:rsidRPr="000F6B47">
        <w:rPr>
          <w:rFonts w:ascii="Arial" w:eastAsia="Calibri" w:hAnsi="Arial" w:cs="Arial"/>
          <w:sz w:val="22"/>
        </w:rPr>
        <w:t>4</w:t>
      </w:r>
      <w:r w:rsidRPr="000F6B47">
        <w:rPr>
          <w:rFonts w:ascii="Arial" w:eastAsia="Calibri" w:hAnsi="Arial" w:cs="Arial"/>
          <w:sz w:val="22"/>
        </w:rPr>
        <w:t xml:space="preserve"> de </w:t>
      </w:r>
      <w:r w:rsidR="00C7719B" w:rsidRPr="000F6B47">
        <w:rPr>
          <w:rFonts w:ascii="Arial" w:eastAsia="Calibri" w:hAnsi="Arial" w:cs="Arial"/>
          <w:sz w:val="22"/>
        </w:rPr>
        <w:t>diciembre</w:t>
      </w:r>
      <w:r w:rsidRPr="000F6B47">
        <w:rPr>
          <w:rFonts w:ascii="Arial" w:eastAsia="Calibri" w:hAnsi="Arial" w:cs="Arial"/>
          <w:sz w:val="22"/>
        </w:rPr>
        <w:t xml:space="preserve"> de</w:t>
      </w:r>
      <w:r w:rsidR="00C7719B" w:rsidRPr="000F6B47">
        <w:rPr>
          <w:rFonts w:ascii="Arial" w:eastAsia="Calibri" w:hAnsi="Arial" w:cs="Arial"/>
          <w:sz w:val="22"/>
        </w:rPr>
        <w:t xml:space="preserve"> </w:t>
      </w:r>
      <w:r w:rsidRPr="000F6B47">
        <w:rPr>
          <w:rFonts w:ascii="Arial" w:eastAsia="Calibri" w:hAnsi="Arial" w:cs="Arial"/>
          <w:sz w:val="22"/>
        </w:rPr>
        <w:t xml:space="preserve">2020. </w:t>
      </w:r>
    </w:p>
    <w:p w14:paraId="341C2A01" w14:textId="77777777" w:rsidR="00020C75" w:rsidRPr="000F6B47" w:rsidRDefault="00020C75" w:rsidP="00020C75">
      <w:pPr>
        <w:spacing w:line="276" w:lineRule="auto"/>
        <w:jc w:val="both"/>
        <w:rPr>
          <w:rFonts w:ascii="Arial" w:eastAsia="Calibri" w:hAnsi="Arial" w:cs="Arial"/>
          <w:sz w:val="22"/>
        </w:rPr>
      </w:pPr>
    </w:p>
    <w:p w14:paraId="68039587" w14:textId="77777777" w:rsidR="00020C75" w:rsidRPr="000F6B47" w:rsidRDefault="00020C75" w:rsidP="00020C75">
      <w:pPr>
        <w:pStyle w:val="Prrafodelista"/>
        <w:tabs>
          <w:tab w:val="left" w:pos="284"/>
        </w:tabs>
        <w:spacing w:line="276" w:lineRule="auto"/>
        <w:ind w:left="0"/>
        <w:jc w:val="both"/>
        <w:rPr>
          <w:rFonts w:ascii="Arial" w:eastAsia="Calibri" w:hAnsi="Arial" w:cs="Arial"/>
          <w:b/>
          <w:sz w:val="22"/>
        </w:rPr>
      </w:pPr>
      <w:r w:rsidRPr="000F6B47">
        <w:rPr>
          <w:rFonts w:ascii="Arial" w:eastAsia="Calibri" w:hAnsi="Arial" w:cs="Arial"/>
          <w:b/>
          <w:sz w:val="22"/>
        </w:rPr>
        <w:t>1. Problemas planteados</w:t>
      </w:r>
    </w:p>
    <w:p w14:paraId="6C8C3AD3" w14:textId="77777777" w:rsidR="00020C75" w:rsidRPr="000F6B47" w:rsidRDefault="00020C75" w:rsidP="00020C75">
      <w:pPr>
        <w:tabs>
          <w:tab w:val="left" w:pos="426"/>
        </w:tabs>
        <w:spacing w:line="276" w:lineRule="auto"/>
        <w:jc w:val="both"/>
        <w:rPr>
          <w:rFonts w:ascii="Arial" w:eastAsia="Calibri" w:hAnsi="Arial" w:cs="Arial"/>
          <w:b/>
          <w:sz w:val="22"/>
        </w:rPr>
      </w:pPr>
    </w:p>
    <w:p w14:paraId="6724717B" w14:textId="6A310A70" w:rsidR="0025734A" w:rsidRPr="000F6B47" w:rsidRDefault="00020C75" w:rsidP="00B23DCF">
      <w:pPr>
        <w:tabs>
          <w:tab w:val="left" w:pos="426"/>
        </w:tabs>
        <w:spacing w:line="276" w:lineRule="auto"/>
        <w:jc w:val="both"/>
        <w:rPr>
          <w:rFonts w:ascii="Arial" w:eastAsia="Calibri" w:hAnsi="Arial" w:cs="Arial"/>
          <w:sz w:val="22"/>
        </w:rPr>
      </w:pPr>
      <w:r w:rsidRPr="000F6B47">
        <w:rPr>
          <w:rFonts w:ascii="Arial" w:eastAsia="Calibri" w:hAnsi="Arial" w:cs="Arial"/>
          <w:sz w:val="22"/>
        </w:rPr>
        <w:t>Usted realiza las siguientes preguntas</w:t>
      </w:r>
      <w:r w:rsidR="00EA557B" w:rsidRPr="000F6B47">
        <w:rPr>
          <w:rFonts w:ascii="Arial" w:eastAsia="Calibri" w:hAnsi="Arial" w:cs="Arial"/>
          <w:sz w:val="22"/>
        </w:rPr>
        <w:t xml:space="preserve"> sobre los documentos tipo de licitación de obra pública de infraestructura de transporte</w:t>
      </w:r>
      <w:r w:rsidR="007713F3" w:rsidRPr="000F6B47">
        <w:rPr>
          <w:rFonts w:ascii="Arial" w:eastAsia="Calibri" w:hAnsi="Arial" w:cs="Arial"/>
          <w:sz w:val="22"/>
        </w:rPr>
        <w:t>,</w:t>
      </w:r>
      <w:r w:rsidR="00F63528" w:rsidRPr="000F6B47">
        <w:rPr>
          <w:rFonts w:ascii="Arial" w:eastAsia="Calibri" w:hAnsi="Arial" w:cs="Arial"/>
          <w:sz w:val="22"/>
        </w:rPr>
        <w:t xml:space="preserve"> particularmente</w:t>
      </w:r>
      <w:r w:rsidR="007713F3" w:rsidRPr="000F6B47">
        <w:rPr>
          <w:rFonts w:ascii="Arial" w:eastAsia="Calibri" w:hAnsi="Arial" w:cs="Arial"/>
          <w:sz w:val="22"/>
        </w:rPr>
        <w:t xml:space="preserve"> relacionadas con la</w:t>
      </w:r>
      <w:r w:rsidR="00212EB3" w:rsidRPr="000F6B47">
        <w:rPr>
          <w:rFonts w:ascii="Arial" w:eastAsia="Calibri" w:hAnsi="Arial" w:cs="Arial"/>
          <w:sz w:val="22"/>
        </w:rPr>
        <w:t xml:space="preserve"> determinación del </w:t>
      </w:r>
      <w:r w:rsidR="008F47C1" w:rsidRPr="000F6B47">
        <w:rPr>
          <w:rFonts w:ascii="Arial" w:eastAsia="Calibri" w:hAnsi="Arial" w:cs="Arial"/>
          <w:sz w:val="22"/>
        </w:rPr>
        <w:t>método de ponderación de la oferta económica</w:t>
      </w:r>
      <w:r w:rsidR="00A679F0">
        <w:rPr>
          <w:rFonts w:ascii="Arial" w:eastAsia="Calibri" w:hAnsi="Arial" w:cs="Arial"/>
          <w:sz w:val="22"/>
        </w:rPr>
        <w:t>,</w:t>
      </w:r>
      <w:r w:rsidR="008F47C1" w:rsidRPr="000F6B47">
        <w:rPr>
          <w:rFonts w:ascii="Arial" w:eastAsia="Calibri" w:hAnsi="Arial" w:cs="Arial"/>
          <w:sz w:val="22"/>
        </w:rPr>
        <w:t xml:space="preserve"> con base en la Tasa Representa</w:t>
      </w:r>
      <w:r w:rsidR="0025734A" w:rsidRPr="000F6B47">
        <w:rPr>
          <w:rFonts w:ascii="Arial" w:eastAsia="Calibri" w:hAnsi="Arial" w:cs="Arial"/>
          <w:sz w:val="22"/>
        </w:rPr>
        <w:t>tiva del Mercado en procesos adelantados en SECOP II</w:t>
      </w:r>
      <w:r w:rsidR="00F63528" w:rsidRPr="000F6B47">
        <w:rPr>
          <w:rFonts w:ascii="Arial" w:eastAsia="Calibri" w:hAnsi="Arial" w:cs="Arial"/>
          <w:sz w:val="22"/>
        </w:rPr>
        <w:t>:</w:t>
      </w:r>
    </w:p>
    <w:p w14:paraId="61F7779B" w14:textId="77777777" w:rsidR="00EA557B" w:rsidRPr="000F6B47" w:rsidRDefault="00EA557B" w:rsidP="00B23DCF">
      <w:pPr>
        <w:tabs>
          <w:tab w:val="left" w:pos="426"/>
        </w:tabs>
        <w:spacing w:line="276" w:lineRule="auto"/>
        <w:jc w:val="both"/>
        <w:rPr>
          <w:rFonts w:ascii="Arial" w:eastAsia="Calibri" w:hAnsi="Arial" w:cs="Arial"/>
          <w:sz w:val="22"/>
        </w:rPr>
      </w:pPr>
    </w:p>
    <w:p w14:paraId="19F8C3BF" w14:textId="04EAD54A" w:rsidR="00B23DCF" w:rsidRPr="000F6B47" w:rsidRDefault="00020C75" w:rsidP="00207FC0">
      <w:pPr>
        <w:tabs>
          <w:tab w:val="left" w:pos="426"/>
        </w:tabs>
        <w:ind w:left="709" w:right="709"/>
        <w:jc w:val="both"/>
        <w:rPr>
          <w:rFonts w:ascii="Arial" w:eastAsia="Calibri" w:hAnsi="Arial" w:cs="Arial"/>
          <w:sz w:val="21"/>
          <w:szCs w:val="21"/>
        </w:rPr>
      </w:pPr>
      <w:r w:rsidRPr="000F6B47">
        <w:rPr>
          <w:rFonts w:ascii="Arial" w:eastAsia="Calibri" w:hAnsi="Arial" w:cs="Arial"/>
          <w:sz w:val="21"/>
          <w:szCs w:val="21"/>
        </w:rPr>
        <w:t>«[...]</w:t>
      </w:r>
      <w:r w:rsidR="0025734A" w:rsidRPr="000F6B47">
        <w:rPr>
          <w:rFonts w:ascii="Arial" w:eastAsia="Calibri" w:hAnsi="Arial" w:cs="Arial"/>
          <w:sz w:val="21"/>
          <w:szCs w:val="21"/>
        </w:rPr>
        <w:t xml:space="preserve"> </w:t>
      </w:r>
      <w:r w:rsidR="00B23DCF" w:rsidRPr="000F6B47">
        <w:rPr>
          <w:rFonts w:ascii="Arial" w:eastAsia="Calibri" w:hAnsi="Arial" w:cs="Arial"/>
          <w:sz w:val="21"/>
          <w:szCs w:val="21"/>
        </w:rPr>
        <w:t>1.</w:t>
      </w:r>
      <w:r w:rsidR="00B23DCF" w:rsidRPr="000F6B47">
        <w:rPr>
          <w:rFonts w:ascii="Arial" w:eastAsia="Calibri" w:hAnsi="Arial" w:cs="Arial"/>
          <w:sz w:val="21"/>
          <w:szCs w:val="21"/>
        </w:rPr>
        <w:tab/>
        <w:t xml:space="preserve">Que sucede si una entidad realiza la apertura economice de los </w:t>
      </w:r>
      <w:proofErr w:type="gramStart"/>
      <w:r w:rsidR="00B23DCF" w:rsidRPr="000F6B47">
        <w:rPr>
          <w:rFonts w:ascii="Arial" w:eastAsia="Calibri" w:hAnsi="Arial" w:cs="Arial"/>
          <w:sz w:val="21"/>
          <w:szCs w:val="21"/>
        </w:rPr>
        <w:t>sobre económicos</w:t>
      </w:r>
      <w:proofErr w:type="gramEnd"/>
      <w:r w:rsidR="00B23DCF" w:rsidRPr="000F6B47">
        <w:rPr>
          <w:rFonts w:ascii="Arial" w:eastAsia="Calibri" w:hAnsi="Arial" w:cs="Arial"/>
          <w:sz w:val="21"/>
          <w:szCs w:val="21"/>
        </w:rPr>
        <w:t xml:space="preserve"> por poner un ejemplo el día 15 de enero y el día 16 de enero habilita otro proponente, y abre su oferta económica ese </w:t>
      </w:r>
      <w:proofErr w:type="spellStart"/>
      <w:r w:rsidR="00B23DCF" w:rsidRPr="000F6B47">
        <w:rPr>
          <w:rFonts w:ascii="Arial" w:eastAsia="Calibri" w:hAnsi="Arial" w:cs="Arial"/>
          <w:sz w:val="21"/>
          <w:szCs w:val="21"/>
        </w:rPr>
        <w:t>dia</w:t>
      </w:r>
      <w:proofErr w:type="spellEnd"/>
      <w:r w:rsidR="00B23DCF" w:rsidRPr="000F6B47">
        <w:rPr>
          <w:rFonts w:ascii="Arial" w:eastAsia="Calibri" w:hAnsi="Arial" w:cs="Arial"/>
          <w:sz w:val="21"/>
          <w:szCs w:val="21"/>
        </w:rPr>
        <w:t xml:space="preserve">. </w:t>
      </w:r>
      <w:proofErr w:type="gramStart"/>
      <w:r w:rsidR="00B23DCF" w:rsidRPr="000F6B47">
        <w:rPr>
          <w:rFonts w:ascii="Arial" w:eastAsia="Calibri" w:hAnsi="Arial" w:cs="Arial"/>
          <w:sz w:val="21"/>
          <w:szCs w:val="21"/>
        </w:rPr>
        <w:t xml:space="preserve">La TRM de </w:t>
      </w:r>
      <w:proofErr w:type="spellStart"/>
      <w:r w:rsidR="00B23DCF" w:rsidRPr="000F6B47">
        <w:rPr>
          <w:rFonts w:ascii="Arial" w:eastAsia="Calibri" w:hAnsi="Arial" w:cs="Arial"/>
          <w:sz w:val="21"/>
          <w:szCs w:val="21"/>
        </w:rPr>
        <w:t>cual</w:t>
      </w:r>
      <w:proofErr w:type="spellEnd"/>
      <w:r w:rsidR="00B23DCF" w:rsidRPr="000F6B47">
        <w:rPr>
          <w:rFonts w:ascii="Arial" w:eastAsia="Calibri" w:hAnsi="Arial" w:cs="Arial"/>
          <w:sz w:val="21"/>
          <w:szCs w:val="21"/>
        </w:rPr>
        <w:t xml:space="preserve"> de los dos días debería regir para la selección de formula?</w:t>
      </w:r>
      <w:proofErr w:type="gramEnd"/>
    </w:p>
    <w:p w14:paraId="40052D28" w14:textId="77777777" w:rsidR="0025734A" w:rsidRPr="000F6B47" w:rsidRDefault="0025734A" w:rsidP="00207FC0">
      <w:pPr>
        <w:tabs>
          <w:tab w:val="left" w:pos="426"/>
        </w:tabs>
        <w:ind w:left="709" w:right="709"/>
        <w:jc w:val="both"/>
        <w:rPr>
          <w:rFonts w:ascii="Arial" w:eastAsia="Calibri" w:hAnsi="Arial" w:cs="Arial"/>
          <w:sz w:val="21"/>
          <w:szCs w:val="21"/>
        </w:rPr>
      </w:pPr>
    </w:p>
    <w:p w14:paraId="5AB9A83D" w14:textId="26E56358" w:rsidR="00020C75" w:rsidRPr="000F6B47" w:rsidRDefault="00B23DCF" w:rsidP="00207FC0">
      <w:pPr>
        <w:tabs>
          <w:tab w:val="left" w:pos="426"/>
        </w:tabs>
        <w:ind w:left="709" w:right="709"/>
        <w:jc w:val="both"/>
        <w:rPr>
          <w:rFonts w:ascii="Arial" w:eastAsia="Calibri" w:hAnsi="Arial" w:cs="Arial"/>
          <w:sz w:val="21"/>
          <w:szCs w:val="21"/>
        </w:rPr>
      </w:pPr>
      <w:r w:rsidRPr="000F6B47">
        <w:rPr>
          <w:rFonts w:ascii="Arial" w:eastAsia="Calibri" w:hAnsi="Arial" w:cs="Arial"/>
          <w:sz w:val="21"/>
          <w:szCs w:val="21"/>
        </w:rPr>
        <w:t>2.</w:t>
      </w:r>
      <w:r w:rsidRPr="000F6B47">
        <w:rPr>
          <w:rFonts w:ascii="Arial" w:eastAsia="Calibri" w:hAnsi="Arial" w:cs="Arial"/>
          <w:sz w:val="21"/>
          <w:szCs w:val="21"/>
        </w:rPr>
        <w:tab/>
        <w:t xml:space="preserve">Que sucede si una entidad da apertura a las ofertas económicas por poner un ejemplo el día 15 de enero y en audiencia de adjudicación se van viendo los valores y de las ofertas, sin </w:t>
      </w:r>
      <w:proofErr w:type="gramStart"/>
      <w:r w:rsidRPr="000F6B47">
        <w:rPr>
          <w:rFonts w:ascii="Arial" w:eastAsia="Calibri" w:hAnsi="Arial" w:cs="Arial"/>
          <w:sz w:val="21"/>
          <w:szCs w:val="21"/>
        </w:rPr>
        <w:t>embargo</w:t>
      </w:r>
      <w:proofErr w:type="gramEnd"/>
      <w:r w:rsidRPr="000F6B47">
        <w:rPr>
          <w:rFonts w:ascii="Arial" w:eastAsia="Calibri" w:hAnsi="Arial" w:cs="Arial"/>
          <w:sz w:val="21"/>
          <w:szCs w:val="21"/>
        </w:rPr>
        <w:t xml:space="preserve"> las oferta no logran quedar </w:t>
      </w:r>
      <w:r w:rsidRPr="000F6B47">
        <w:rPr>
          <w:rFonts w:ascii="Arial" w:eastAsia="Calibri" w:hAnsi="Arial" w:cs="Arial"/>
          <w:sz w:val="21"/>
          <w:szCs w:val="21"/>
        </w:rPr>
        <w:lastRenderedPageBreak/>
        <w:t xml:space="preserve">publicadas ese mismo día si no hasta el día siguiente. Qué formula de selección de TRM deberían tener en </w:t>
      </w:r>
      <w:proofErr w:type="gramStart"/>
      <w:r w:rsidRPr="000F6B47">
        <w:rPr>
          <w:rFonts w:ascii="Arial" w:eastAsia="Calibri" w:hAnsi="Arial" w:cs="Arial"/>
          <w:sz w:val="21"/>
          <w:szCs w:val="21"/>
        </w:rPr>
        <w:t>cuenta?</w:t>
      </w:r>
      <w:r w:rsidR="00EA557B" w:rsidRPr="000F6B47">
        <w:rPr>
          <w:rFonts w:ascii="Arial" w:eastAsia="Calibri" w:hAnsi="Arial" w:cs="Arial"/>
          <w:sz w:val="21"/>
          <w:szCs w:val="21"/>
        </w:rPr>
        <w:t>[</w:t>
      </w:r>
      <w:proofErr w:type="gramEnd"/>
      <w:r w:rsidR="00EA557B" w:rsidRPr="000F6B47">
        <w:rPr>
          <w:rFonts w:ascii="Arial" w:eastAsia="Calibri" w:hAnsi="Arial" w:cs="Arial"/>
          <w:sz w:val="21"/>
          <w:szCs w:val="21"/>
        </w:rPr>
        <w:t>…]</w:t>
      </w:r>
      <w:r w:rsidRPr="000F6B47">
        <w:rPr>
          <w:rFonts w:ascii="Arial" w:eastAsia="Calibri" w:hAnsi="Arial" w:cs="Arial"/>
          <w:sz w:val="21"/>
          <w:szCs w:val="21"/>
        </w:rPr>
        <w:t>»</w:t>
      </w:r>
      <w:r w:rsidR="00EA557B" w:rsidRPr="000F6B47">
        <w:rPr>
          <w:rFonts w:ascii="Arial" w:eastAsia="Calibri" w:hAnsi="Arial" w:cs="Arial"/>
          <w:sz w:val="21"/>
          <w:szCs w:val="21"/>
        </w:rPr>
        <w:t>.</w:t>
      </w:r>
    </w:p>
    <w:p w14:paraId="40605951" w14:textId="77777777" w:rsidR="00EA7163" w:rsidRDefault="00EA7163" w:rsidP="00020C75">
      <w:pPr>
        <w:tabs>
          <w:tab w:val="left" w:pos="426"/>
        </w:tabs>
        <w:spacing w:line="276" w:lineRule="auto"/>
        <w:jc w:val="both"/>
        <w:rPr>
          <w:rFonts w:ascii="Arial" w:eastAsia="Calibri" w:hAnsi="Arial" w:cs="Arial"/>
          <w:b/>
          <w:sz w:val="22"/>
        </w:rPr>
      </w:pPr>
    </w:p>
    <w:p w14:paraId="59F58665" w14:textId="4CC86F3D" w:rsidR="00020C75" w:rsidRPr="000F6B47" w:rsidRDefault="00020C75" w:rsidP="00020C75">
      <w:pPr>
        <w:tabs>
          <w:tab w:val="left" w:pos="426"/>
        </w:tabs>
        <w:spacing w:line="276" w:lineRule="auto"/>
        <w:jc w:val="both"/>
        <w:rPr>
          <w:rFonts w:ascii="Arial" w:eastAsia="Calibri" w:hAnsi="Arial" w:cs="Arial"/>
          <w:b/>
          <w:sz w:val="22"/>
        </w:rPr>
      </w:pPr>
      <w:r w:rsidRPr="000F6B47">
        <w:rPr>
          <w:rFonts w:ascii="Arial" w:eastAsia="Calibri" w:hAnsi="Arial" w:cs="Arial"/>
          <w:b/>
          <w:sz w:val="22"/>
        </w:rPr>
        <w:t>2. Consideraciones</w:t>
      </w:r>
    </w:p>
    <w:p w14:paraId="59B2B02A" w14:textId="5263326C" w:rsidR="00AF39A7" w:rsidRPr="000F6B47" w:rsidRDefault="00AF39A7" w:rsidP="00020C75">
      <w:pPr>
        <w:tabs>
          <w:tab w:val="left" w:pos="426"/>
        </w:tabs>
        <w:spacing w:line="276" w:lineRule="auto"/>
        <w:jc w:val="both"/>
        <w:rPr>
          <w:rFonts w:ascii="Arial" w:eastAsia="Calibri" w:hAnsi="Arial" w:cs="Arial"/>
          <w:b/>
          <w:sz w:val="22"/>
        </w:rPr>
      </w:pPr>
    </w:p>
    <w:p w14:paraId="0B4D5DDB" w14:textId="17718A45" w:rsidR="00493140" w:rsidRPr="000F6B47" w:rsidRDefault="00020C75" w:rsidP="00020C75">
      <w:pPr>
        <w:spacing w:after="120" w:line="276" w:lineRule="auto"/>
        <w:jc w:val="both"/>
        <w:rPr>
          <w:rFonts w:ascii="Arial" w:eastAsia="Calibri" w:hAnsi="Arial" w:cs="Arial"/>
          <w:bCs/>
          <w:sz w:val="22"/>
        </w:rPr>
      </w:pPr>
      <w:r w:rsidRPr="000F6B47">
        <w:rPr>
          <w:rFonts w:ascii="Arial" w:eastAsia="Calibri" w:hAnsi="Arial" w:cs="Arial"/>
          <w:sz w:val="22"/>
        </w:rPr>
        <w:t xml:space="preserve">La Agencia </w:t>
      </w:r>
      <w:r w:rsidRPr="000F6B47">
        <w:rPr>
          <w:rFonts w:ascii="Arial" w:eastAsia="Calibri" w:hAnsi="Arial" w:cs="Arial"/>
          <w:bCs/>
          <w:sz w:val="22"/>
        </w:rPr>
        <w:t>Nacional de Contratación Pública - Colombia Compra Eficiente,</w:t>
      </w:r>
      <w:r w:rsidR="009E03EF" w:rsidRPr="000F6B47">
        <w:rPr>
          <w:rFonts w:ascii="Arial" w:eastAsia="Calibri" w:hAnsi="Arial" w:cs="Arial"/>
          <w:bCs/>
          <w:sz w:val="22"/>
        </w:rPr>
        <w:t xml:space="preserve"> en ejercicio de la función consultiva se ha pronunciado sobre el tema relativo a la ponderación de la oferta económica en procedimientos contractuales regidos por los documentos tipo de obra pública de infraestructura de transporte</w:t>
      </w:r>
      <w:r w:rsidR="00FA2158" w:rsidRPr="000F6B47">
        <w:t xml:space="preserve"> </w:t>
      </w:r>
      <w:r w:rsidRPr="000F6B47">
        <w:rPr>
          <w:rFonts w:ascii="Arial" w:eastAsia="Calibri" w:hAnsi="Arial" w:cs="Arial"/>
          <w:bCs/>
          <w:sz w:val="22"/>
        </w:rPr>
        <w:t>en el concepto con radicado No.</w:t>
      </w:r>
      <w:r w:rsidRPr="000F6B47">
        <w:t xml:space="preserve"> </w:t>
      </w:r>
      <w:r w:rsidRPr="000F6B47">
        <w:rPr>
          <w:rFonts w:ascii="Arial" w:eastAsia="Calibri" w:hAnsi="Arial" w:cs="Arial"/>
          <w:bCs/>
          <w:sz w:val="22"/>
        </w:rPr>
        <w:t xml:space="preserve">4202013000001564 del 18 de marzo de 2020, reiterado y desarrollado en </w:t>
      </w:r>
      <w:r w:rsidR="005675FE" w:rsidRPr="000F6B47">
        <w:rPr>
          <w:rFonts w:ascii="Arial" w:eastAsia="Calibri" w:hAnsi="Arial" w:cs="Arial"/>
          <w:bCs/>
          <w:sz w:val="22"/>
        </w:rPr>
        <w:t>los</w:t>
      </w:r>
      <w:r w:rsidRPr="000F6B47">
        <w:rPr>
          <w:rFonts w:ascii="Arial" w:eastAsia="Calibri" w:hAnsi="Arial" w:cs="Arial"/>
          <w:bCs/>
          <w:sz w:val="22"/>
        </w:rPr>
        <w:t xml:space="preserve"> concepto</w:t>
      </w:r>
      <w:r w:rsidR="00FA2158" w:rsidRPr="000F6B47">
        <w:rPr>
          <w:rFonts w:ascii="Arial" w:eastAsia="Calibri" w:hAnsi="Arial" w:cs="Arial"/>
          <w:bCs/>
          <w:sz w:val="22"/>
        </w:rPr>
        <w:t>s</w:t>
      </w:r>
      <w:r w:rsidRPr="000F6B47">
        <w:rPr>
          <w:rFonts w:ascii="Arial" w:eastAsia="Calibri" w:hAnsi="Arial" w:cs="Arial"/>
          <w:bCs/>
          <w:sz w:val="22"/>
        </w:rPr>
        <w:t xml:space="preserve"> C-193 del 6 de abril de 2020, </w:t>
      </w:r>
      <w:r w:rsidR="00535A9D" w:rsidRPr="000F6B47">
        <w:rPr>
          <w:rFonts w:ascii="Arial" w:eastAsia="Calibri" w:hAnsi="Arial" w:cs="Arial"/>
          <w:bCs/>
          <w:sz w:val="22"/>
        </w:rPr>
        <w:t>C-224</w:t>
      </w:r>
      <w:r w:rsidR="00CD1764" w:rsidRPr="000F6B47">
        <w:rPr>
          <w:rFonts w:ascii="Arial" w:eastAsia="Calibri" w:hAnsi="Arial" w:cs="Arial"/>
          <w:bCs/>
          <w:sz w:val="22"/>
        </w:rPr>
        <w:t xml:space="preserve"> del 21 de abril de 2020, </w:t>
      </w:r>
      <w:r w:rsidRPr="000F6B47">
        <w:rPr>
          <w:rFonts w:ascii="Arial" w:eastAsia="Calibri" w:hAnsi="Arial" w:cs="Arial"/>
          <w:bCs/>
          <w:sz w:val="22"/>
        </w:rPr>
        <w:t>C-279 del 18 de mayo de 2020</w:t>
      </w:r>
      <w:r w:rsidR="005675FE" w:rsidRPr="000F6B47">
        <w:rPr>
          <w:rFonts w:ascii="Arial" w:eastAsia="Calibri" w:hAnsi="Arial" w:cs="Arial"/>
          <w:bCs/>
          <w:sz w:val="22"/>
        </w:rPr>
        <w:t>,</w:t>
      </w:r>
      <w:r w:rsidR="00CD1764" w:rsidRPr="000F6B47">
        <w:rPr>
          <w:rFonts w:ascii="Arial" w:eastAsia="Calibri" w:hAnsi="Arial" w:cs="Arial"/>
          <w:bCs/>
          <w:sz w:val="22"/>
        </w:rPr>
        <w:t xml:space="preserve"> C-347 </w:t>
      </w:r>
      <w:r w:rsidR="0081355A" w:rsidRPr="000F6B47">
        <w:rPr>
          <w:rFonts w:ascii="Arial" w:eastAsia="Calibri" w:hAnsi="Arial" w:cs="Arial"/>
          <w:bCs/>
          <w:sz w:val="22"/>
        </w:rPr>
        <w:t>del 26 de mayo de 2020,</w:t>
      </w:r>
      <w:r w:rsidR="005675FE" w:rsidRPr="000F6B47">
        <w:rPr>
          <w:rFonts w:ascii="Arial" w:eastAsia="Calibri" w:hAnsi="Arial" w:cs="Arial"/>
          <w:bCs/>
          <w:sz w:val="22"/>
        </w:rPr>
        <w:t xml:space="preserve"> C</w:t>
      </w:r>
      <w:r w:rsidR="00347392" w:rsidRPr="000F6B47">
        <w:rPr>
          <w:rFonts w:ascii="Arial" w:eastAsia="Calibri" w:hAnsi="Arial" w:cs="Arial"/>
          <w:bCs/>
          <w:sz w:val="22"/>
        </w:rPr>
        <w:t>-412 del 17 de junio de 2020,</w:t>
      </w:r>
      <w:r w:rsidR="005675FE" w:rsidRPr="000F6B47">
        <w:rPr>
          <w:rFonts w:ascii="Arial" w:eastAsia="Calibri" w:hAnsi="Arial" w:cs="Arial"/>
          <w:bCs/>
          <w:sz w:val="22"/>
        </w:rPr>
        <w:t xml:space="preserve"> </w:t>
      </w:r>
      <w:r w:rsidRPr="000F6B47">
        <w:rPr>
          <w:rFonts w:ascii="Arial" w:eastAsia="Calibri" w:hAnsi="Arial" w:cs="Arial"/>
          <w:bCs/>
          <w:sz w:val="22"/>
        </w:rPr>
        <w:t>C-349 del 23 de junio de 2020,</w:t>
      </w:r>
      <w:r w:rsidR="00B03BC7" w:rsidRPr="000F6B47">
        <w:rPr>
          <w:rFonts w:ascii="Arial" w:eastAsia="Calibri" w:hAnsi="Arial" w:cs="Arial"/>
          <w:bCs/>
          <w:sz w:val="22"/>
        </w:rPr>
        <w:t xml:space="preserve"> C-423 del 23 de junio de 2020,</w:t>
      </w:r>
      <w:r w:rsidR="007879F2" w:rsidRPr="000F6B47">
        <w:rPr>
          <w:rFonts w:ascii="Arial" w:eastAsia="Calibri" w:hAnsi="Arial" w:cs="Arial"/>
          <w:bCs/>
          <w:sz w:val="22"/>
        </w:rPr>
        <w:t xml:space="preserve"> C-424 del 23 de junio de 2020,</w:t>
      </w:r>
      <w:r w:rsidR="00820B56" w:rsidRPr="000F6B47">
        <w:rPr>
          <w:rFonts w:ascii="Arial" w:eastAsia="Calibri" w:hAnsi="Arial" w:cs="Arial"/>
          <w:bCs/>
          <w:sz w:val="22"/>
        </w:rPr>
        <w:t xml:space="preserve"> C-472 del 14 de julio de 2020,</w:t>
      </w:r>
      <w:r w:rsidRPr="000F6B47">
        <w:rPr>
          <w:rFonts w:ascii="Arial" w:eastAsia="Calibri" w:hAnsi="Arial" w:cs="Arial"/>
          <w:bCs/>
          <w:sz w:val="22"/>
        </w:rPr>
        <w:t xml:space="preserve"> </w:t>
      </w:r>
      <w:r w:rsidR="00535A9D" w:rsidRPr="000F6B47">
        <w:rPr>
          <w:rFonts w:ascii="Arial" w:eastAsia="Calibri" w:hAnsi="Arial" w:cs="Arial"/>
          <w:bCs/>
          <w:sz w:val="22"/>
        </w:rPr>
        <w:t>C-386 del 24 de julio de 2020,</w:t>
      </w:r>
      <w:r w:rsidR="00D76930" w:rsidRPr="000F6B47">
        <w:rPr>
          <w:rFonts w:ascii="Arial" w:eastAsia="Calibri" w:hAnsi="Arial" w:cs="Arial"/>
          <w:bCs/>
          <w:sz w:val="22"/>
        </w:rPr>
        <w:t xml:space="preserve"> C-482 del 27 de julio de 2020, C-490</w:t>
      </w:r>
      <w:r w:rsidR="007530D9" w:rsidRPr="000F6B47">
        <w:rPr>
          <w:rFonts w:ascii="Arial" w:eastAsia="Calibri" w:hAnsi="Arial" w:cs="Arial"/>
          <w:bCs/>
          <w:sz w:val="22"/>
        </w:rPr>
        <w:t xml:space="preserve"> del 28 de julio de 2020,</w:t>
      </w:r>
      <w:r w:rsidR="00535A9D" w:rsidRPr="000F6B47">
        <w:rPr>
          <w:rFonts w:ascii="Arial" w:eastAsia="Calibri" w:hAnsi="Arial" w:cs="Arial"/>
          <w:bCs/>
          <w:sz w:val="22"/>
        </w:rPr>
        <w:t xml:space="preserve"> </w:t>
      </w:r>
      <w:r w:rsidR="00AB2666" w:rsidRPr="000F6B47">
        <w:rPr>
          <w:rFonts w:ascii="Arial" w:eastAsia="Calibri" w:hAnsi="Arial" w:cs="Arial"/>
          <w:bCs/>
          <w:sz w:val="22"/>
        </w:rPr>
        <w:t>C−382 del 30 de julio de 2020, C−385 del 30 de julio de 2020, C−431 del 09 de julio de 2020</w:t>
      </w:r>
      <w:r w:rsidR="00611954" w:rsidRPr="000F6B47">
        <w:rPr>
          <w:rFonts w:ascii="Arial" w:eastAsia="Calibri" w:hAnsi="Arial" w:cs="Arial"/>
          <w:bCs/>
          <w:sz w:val="22"/>
        </w:rPr>
        <w:t xml:space="preserve"> y</w:t>
      </w:r>
      <w:r w:rsidR="00AB2666" w:rsidRPr="000F6B47">
        <w:rPr>
          <w:rFonts w:ascii="Arial" w:eastAsia="Calibri" w:hAnsi="Arial" w:cs="Arial"/>
          <w:bCs/>
          <w:sz w:val="22"/>
        </w:rPr>
        <w:t xml:space="preserve"> C–679 del 23 </w:t>
      </w:r>
      <w:r w:rsidR="009D34B0" w:rsidRPr="000F6B47">
        <w:rPr>
          <w:rFonts w:ascii="Arial" w:eastAsia="Calibri" w:hAnsi="Arial" w:cs="Arial"/>
          <w:bCs/>
          <w:sz w:val="22"/>
        </w:rPr>
        <w:t xml:space="preserve">de noviembre de </w:t>
      </w:r>
      <w:r w:rsidR="00AB2666" w:rsidRPr="000F6B47">
        <w:rPr>
          <w:rFonts w:ascii="Arial" w:eastAsia="Calibri" w:hAnsi="Arial" w:cs="Arial"/>
          <w:bCs/>
          <w:sz w:val="22"/>
        </w:rPr>
        <w:t>2020</w:t>
      </w:r>
      <w:r w:rsidR="00611954" w:rsidRPr="000F6B47">
        <w:rPr>
          <w:rFonts w:ascii="Arial" w:eastAsia="Calibri" w:hAnsi="Arial" w:cs="Arial"/>
          <w:bCs/>
          <w:sz w:val="22"/>
        </w:rPr>
        <w:t>.</w:t>
      </w:r>
    </w:p>
    <w:p w14:paraId="79D247F6" w14:textId="24970BEC" w:rsidR="009C535A" w:rsidRPr="000F6B47" w:rsidRDefault="009C535A" w:rsidP="00020C75">
      <w:pPr>
        <w:spacing w:after="120" w:line="276" w:lineRule="auto"/>
        <w:jc w:val="both"/>
        <w:rPr>
          <w:rFonts w:ascii="Arial" w:eastAsia="Calibri" w:hAnsi="Arial" w:cs="Arial"/>
          <w:bCs/>
          <w:sz w:val="22"/>
        </w:rPr>
      </w:pPr>
      <w:r w:rsidRPr="000F6B47">
        <w:rPr>
          <w:rFonts w:ascii="Arial" w:eastAsia="Calibri" w:hAnsi="Arial" w:cs="Arial"/>
          <w:bCs/>
          <w:sz w:val="22"/>
        </w:rPr>
        <w:tab/>
        <w:t xml:space="preserve">Antes de proceder al estudio de la consulta debe realizarse </w:t>
      </w:r>
      <w:r w:rsidR="00A0781D" w:rsidRPr="000F6B47">
        <w:rPr>
          <w:rFonts w:ascii="Arial" w:eastAsia="Calibri" w:hAnsi="Arial" w:cs="Arial"/>
          <w:bCs/>
          <w:sz w:val="22"/>
        </w:rPr>
        <w:t xml:space="preserve">la siguiente precisión. La </w:t>
      </w:r>
      <w:r w:rsidR="008B3970" w:rsidRPr="000F6B47">
        <w:rPr>
          <w:rFonts w:ascii="Arial" w:eastAsia="Calibri" w:hAnsi="Arial" w:cs="Arial"/>
          <w:bCs/>
          <w:sz w:val="22"/>
        </w:rPr>
        <w:t xml:space="preserve">solicitud de consulta que se resuelve en el presente concepto fue </w:t>
      </w:r>
      <w:r w:rsidR="001864A3" w:rsidRPr="000F6B47">
        <w:rPr>
          <w:rFonts w:ascii="Arial" w:eastAsia="Calibri" w:hAnsi="Arial" w:cs="Arial"/>
          <w:bCs/>
          <w:sz w:val="22"/>
        </w:rPr>
        <w:t>radicada</w:t>
      </w:r>
      <w:r w:rsidR="008B3970" w:rsidRPr="000F6B47">
        <w:rPr>
          <w:rFonts w:ascii="Arial" w:eastAsia="Calibri" w:hAnsi="Arial" w:cs="Arial"/>
          <w:bCs/>
          <w:sz w:val="22"/>
        </w:rPr>
        <w:t xml:space="preserve"> el 24 de diciembre de 2020, lo que significa que </w:t>
      </w:r>
      <w:r w:rsidR="001864A3" w:rsidRPr="000F6B47">
        <w:rPr>
          <w:rFonts w:ascii="Arial" w:eastAsia="Calibri" w:hAnsi="Arial" w:cs="Arial"/>
          <w:bCs/>
          <w:sz w:val="22"/>
        </w:rPr>
        <w:t xml:space="preserve">fue presentada en vigencia de los documentos tipo de licitación de obra pública de infraestructura de transporte </w:t>
      </w:r>
      <w:r w:rsidR="006824FD" w:rsidRPr="000F6B47">
        <w:rPr>
          <w:rFonts w:ascii="Arial" w:eastAsia="Calibri" w:hAnsi="Arial" w:cs="Arial"/>
          <w:bCs/>
          <w:sz w:val="22"/>
        </w:rPr>
        <w:t>expedidos</w:t>
      </w:r>
      <w:r w:rsidR="00975848" w:rsidRPr="000F6B47">
        <w:rPr>
          <w:rFonts w:ascii="Arial" w:eastAsia="Calibri" w:hAnsi="Arial" w:cs="Arial"/>
          <w:bCs/>
          <w:sz w:val="22"/>
        </w:rPr>
        <w:t xml:space="preserve"> mediante la Resolución No. 045 de 2020, los cuales corresponden a la Versión 2. </w:t>
      </w:r>
      <w:r w:rsidR="004970C0" w:rsidRPr="000F6B47">
        <w:rPr>
          <w:rFonts w:ascii="Arial" w:eastAsia="Calibri" w:hAnsi="Arial" w:cs="Arial"/>
          <w:bCs/>
          <w:sz w:val="22"/>
        </w:rPr>
        <w:t xml:space="preserve">Sin embargo, el pasado 27 de noviembre esta Agencia expidió la Resolución No. 240 de 2020, la cual implementa la Versión 3 de </w:t>
      </w:r>
      <w:r w:rsidR="00BB6C51" w:rsidRPr="000F6B47">
        <w:rPr>
          <w:rFonts w:ascii="Arial" w:eastAsia="Calibri" w:hAnsi="Arial" w:cs="Arial"/>
          <w:bCs/>
          <w:sz w:val="22"/>
        </w:rPr>
        <w:t>los referidos documentos tipo</w:t>
      </w:r>
      <w:r w:rsidR="006D19CB" w:rsidRPr="000F6B47">
        <w:rPr>
          <w:rFonts w:ascii="Arial" w:eastAsia="Calibri" w:hAnsi="Arial" w:cs="Arial"/>
          <w:bCs/>
          <w:sz w:val="22"/>
        </w:rPr>
        <w:t>,</w:t>
      </w:r>
      <w:r w:rsidR="00BB6C51" w:rsidRPr="000F6B47">
        <w:rPr>
          <w:rFonts w:ascii="Arial" w:eastAsia="Calibri" w:hAnsi="Arial" w:cs="Arial"/>
          <w:bCs/>
          <w:sz w:val="22"/>
        </w:rPr>
        <w:t xml:space="preserve"> deroga</w:t>
      </w:r>
      <w:r w:rsidR="006D19CB" w:rsidRPr="000F6B47">
        <w:rPr>
          <w:rFonts w:ascii="Arial" w:eastAsia="Calibri" w:hAnsi="Arial" w:cs="Arial"/>
          <w:bCs/>
          <w:sz w:val="22"/>
        </w:rPr>
        <w:t>ndo</w:t>
      </w:r>
      <w:r w:rsidR="00BB6C51" w:rsidRPr="000F6B47">
        <w:rPr>
          <w:rFonts w:ascii="Arial" w:eastAsia="Calibri" w:hAnsi="Arial" w:cs="Arial"/>
          <w:bCs/>
          <w:sz w:val="22"/>
        </w:rPr>
        <w:t xml:space="preserve"> de la Resolución No. 045 de 2020</w:t>
      </w:r>
      <w:r w:rsidR="006D19CB" w:rsidRPr="000F6B47">
        <w:rPr>
          <w:rFonts w:ascii="Arial" w:eastAsia="Calibri" w:hAnsi="Arial" w:cs="Arial"/>
          <w:bCs/>
          <w:sz w:val="22"/>
        </w:rPr>
        <w:t xml:space="preserve">, disponiendo </w:t>
      </w:r>
      <w:r w:rsidR="006824FD" w:rsidRPr="000F6B47">
        <w:rPr>
          <w:rFonts w:ascii="Arial" w:eastAsia="Calibri" w:hAnsi="Arial" w:cs="Arial"/>
          <w:bCs/>
          <w:sz w:val="22"/>
        </w:rPr>
        <w:t xml:space="preserve">además </w:t>
      </w:r>
      <w:r w:rsidR="006D19CB" w:rsidRPr="000F6B47">
        <w:rPr>
          <w:rFonts w:ascii="Arial" w:eastAsia="Calibri" w:hAnsi="Arial" w:cs="Arial"/>
          <w:bCs/>
          <w:sz w:val="22"/>
        </w:rPr>
        <w:t>su aplicación</w:t>
      </w:r>
      <w:r w:rsidR="006824FD" w:rsidRPr="000F6B47">
        <w:rPr>
          <w:rFonts w:ascii="Arial" w:eastAsia="Calibri" w:hAnsi="Arial" w:cs="Arial"/>
          <w:bCs/>
          <w:sz w:val="22"/>
        </w:rPr>
        <w:t xml:space="preserve"> </w:t>
      </w:r>
      <w:r w:rsidR="00292023" w:rsidRPr="000F6B47">
        <w:rPr>
          <w:rFonts w:ascii="Arial" w:eastAsia="Calibri" w:hAnsi="Arial" w:cs="Arial"/>
          <w:bCs/>
          <w:sz w:val="22"/>
        </w:rPr>
        <w:t xml:space="preserve">obligatoria en las licitaciones cuyo aviso de convocatoria se </w:t>
      </w:r>
      <w:r w:rsidR="002525C6" w:rsidRPr="000F6B47">
        <w:rPr>
          <w:rFonts w:ascii="Arial" w:eastAsia="Calibri" w:hAnsi="Arial" w:cs="Arial"/>
          <w:bCs/>
          <w:sz w:val="22"/>
        </w:rPr>
        <w:t xml:space="preserve">publique a partir del 1 de enero de 2021. </w:t>
      </w:r>
    </w:p>
    <w:p w14:paraId="491B1E82" w14:textId="0C67CE39" w:rsidR="002525C6" w:rsidRPr="000F6B47" w:rsidRDefault="002525C6" w:rsidP="002744CC">
      <w:pPr>
        <w:spacing w:line="276" w:lineRule="auto"/>
        <w:jc w:val="both"/>
        <w:rPr>
          <w:rFonts w:ascii="Arial" w:eastAsia="Calibri" w:hAnsi="Arial" w:cs="Arial"/>
          <w:bCs/>
          <w:sz w:val="22"/>
        </w:rPr>
      </w:pPr>
      <w:r w:rsidRPr="000F6B47">
        <w:rPr>
          <w:rFonts w:ascii="Arial" w:eastAsia="Calibri" w:hAnsi="Arial" w:cs="Arial"/>
          <w:bCs/>
          <w:sz w:val="22"/>
        </w:rPr>
        <w:tab/>
        <w:t xml:space="preserve">En virtud de lo anterior, </w:t>
      </w:r>
      <w:r w:rsidR="00AD742A" w:rsidRPr="000F6B47">
        <w:rPr>
          <w:rFonts w:ascii="Arial" w:eastAsia="Calibri" w:hAnsi="Arial" w:cs="Arial"/>
          <w:bCs/>
          <w:sz w:val="22"/>
        </w:rPr>
        <w:t xml:space="preserve">y dado que la </w:t>
      </w:r>
      <w:r w:rsidR="00D70770" w:rsidRPr="000F6B47">
        <w:rPr>
          <w:rFonts w:ascii="Arial" w:eastAsia="Calibri" w:hAnsi="Arial" w:cs="Arial"/>
          <w:bCs/>
          <w:sz w:val="22"/>
        </w:rPr>
        <w:t xml:space="preserve">regulación </w:t>
      </w:r>
      <w:r w:rsidR="00AD742A" w:rsidRPr="000F6B47">
        <w:rPr>
          <w:rFonts w:ascii="Arial" w:eastAsia="Calibri" w:hAnsi="Arial" w:cs="Arial"/>
          <w:bCs/>
          <w:sz w:val="22"/>
        </w:rPr>
        <w:t>de</w:t>
      </w:r>
      <w:r w:rsidR="00D70770" w:rsidRPr="000F6B47">
        <w:rPr>
          <w:rFonts w:ascii="Arial" w:eastAsia="Calibri" w:hAnsi="Arial" w:cs="Arial"/>
          <w:bCs/>
          <w:sz w:val="22"/>
        </w:rPr>
        <w:t xml:space="preserve"> la forma </w:t>
      </w:r>
      <w:r w:rsidR="006824FD" w:rsidRPr="000F6B47">
        <w:rPr>
          <w:rFonts w:ascii="Arial" w:eastAsia="Calibri" w:hAnsi="Arial" w:cs="Arial"/>
          <w:bCs/>
          <w:sz w:val="22"/>
        </w:rPr>
        <w:t xml:space="preserve">en </w:t>
      </w:r>
      <w:r w:rsidR="00163392" w:rsidRPr="000F6B47">
        <w:rPr>
          <w:rFonts w:ascii="Arial" w:eastAsia="Calibri" w:hAnsi="Arial" w:cs="Arial"/>
          <w:bCs/>
          <w:sz w:val="22"/>
        </w:rPr>
        <w:t>la que se</w:t>
      </w:r>
      <w:r w:rsidR="00D70770" w:rsidRPr="000F6B47">
        <w:rPr>
          <w:rFonts w:ascii="Arial" w:eastAsia="Calibri" w:hAnsi="Arial" w:cs="Arial"/>
          <w:bCs/>
          <w:sz w:val="22"/>
        </w:rPr>
        <w:t xml:space="preserve"> </w:t>
      </w:r>
      <w:r w:rsidR="00163392" w:rsidRPr="000F6B47">
        <w:rPr>
          <w:rFonts w:ascii="Arial" w:eastAsia="Calibri" w:hAnsi="Arial" w:cs="Arial"/>
          <w:bCs/>
          <w:sz w:val="22"/>
        </w:rPr>
        <w:t xml:space="preserve">determina </w:t>
      </w:r>
      <w:r w:rsidR="00D70770" w:rsidRPr="000F6B47">
        <w:rPr>
          <w:rFonts w:ascii="Arial" w:eastAsia="Calibri" w:hAnsi="Arial" w:cs="Arial"/>
          <w:bCs/>
          <w:sz w:val="22"/>
        </w:rPr>
        <w:t xml:space="preserve">el </w:t>
      </w:r>
      <w:r w:rsidR="00AD742A" w:rsidRPr="000F6B47">
        <w:rPr>
          <w:rFonts w:ascii="Arial" w:eastAsia="Calibri" w:hAnsi="Arial" w:cs="Arial"/>
          <w:bCs/>
          <w:sz w:val="22"/>
        </w:rPr>
        <w:t xml:space="preserve">método de ponderación </w:t>
      </w:r>
      <w:r w:rsidR="001672F7" w:rsidRPr="000F6B47">
        <w:rPr>
          <w:rFonts w:ascii="Arial" w:eastAsia="Calibri" w:hAnsi="Arial" w:cs="Arial"/>
          <w:bCs/>
          <w:sz w:val="22"/>
        </w:rPr>
        <w:t>de la</w:t>
      </w:r>
      <w:r w:rsidR="00AD742A" w:rsidRPr="000F6B47">
        <w:rPr>
          <w:rFonts w:ascii="Arial" w:eastAsia="Calibri" w:hAnsi="Arial" w:cs="Arial"/>
          <w:bCs/>
          <w:sz w:val="22"/>
        </w:rPr>
        <w:t xml:space="preserve"> oferta</w:t>
      </w:r>
      <w:r w:rsidR="00625D5F" w:rsidRPr="000F6B47">
        <w:rPr>
          <w:rFonts w:ascii="Arial" w:eastAsia="Calibri" w:hAnsi="Arial" w:cs="Arial"/>
          <w:bCs/>
          <w:sz w:val="22"/>
        </w:rPr>
        <w:t xml:space="preserve"> económica</w:t>
      </w:r>
      <w:r w:rsidR="00AD742A" w:rsidRPr="000F6B47">
        <w:rPr>
          <w:rFonts w:ascii="Arial" w:eastAsia="Calibri" w:hAnsi="Arial" w:cs="Arial"/>
          <w:bCs/>
          <w:sz w:val="22"/>
        </w:rPr>
        <w:t xml:space="preserve"> </w:t>
      </w:r>
      <w:r w:rsidR="00163392" w:rsidRPr="000F6B47">
        <w:rPr>
          <w:rFonts w:ascii="Arial" w:eastAsia="Calibri" w:hAnsi="Arial" w:cs="Arial"/>
          <w:bCs/>
          <w:sz w:val="22"/>
        </w:rPr>
        <w:t>varía de una versión a la otra de los referidos documentos tipo</w:t>
      </w:r>
      <w:r w:rsidR="007B5ACE" w:rsidRPr="000F6B47">
        <w:rPr>
          <w:rFonts w:ascii="Arial" w:eastAsia="Calibri" w:hAnsi="Arial" w:cs="Arial"/>
          <w:bCs/>
          <w:sz w:val="22"/>
        </w:rPr>
        <w:t xml:space="preserve">, se hace necesario </w:t>
      </w:r>
      <w:r w:rsidR="00023CF4" w:rsidRPr="000F6B47">
        <w:rPr>
          <w:rFonts w:ascii="Arial" w:eastAsia="Calibri" w:hAnsi="Arial" w:cs="Arial"/>
          <w:bCs/>
          <w:sz w:val="22"/>
        </w:rPr>
        <w:t xml:space="preserve">abordar en el presente </w:t>
      </w:r>
      <w:r w:rsidR="00A27C16" w:rsidRPr="000F6B47">
        <w:rPr>
          <w:rFonts w:ascii="Arial" w:eastAsia="Calibri" w:hAnsi="Arial" w:cs="Arial"/>
          <w:bCs/>
          <w:sz w:val="22"/>
        </w:rPr>
        <w:t xml:space="preserve">concepto las particularidades </w:t>
      </w:r>
      <w:r w:rsidR="001D1225">
        <w:rPr>
          <w:rFonts w:ascii="Arial" w:eastAsia="Calibri" w:hAnsi="Arial" w:cs="Arial"/>
          <w:bCs/>
          <w:sz w:val="22"/>
        </w:rPr>
        <w:t xml:space="preserve">de </w:t>
      </w:r>
      <w:r w:rsidR="00A27C16" w:rsidRPr="000F6B47">
        <w:rPr>
          <w:rFonts w:ascii="Arial" w:eastAsia="Calibri" w:hAnsi="Arial" w:cs="Arial"/>
          <w:bCs/>
          <w:sz w:val="22"/>
        </w:rPr>
        <w:t xml:space="preserve">esta temática en </w:t>
      </w:r>
      <w:r w:rsidR="006824FD" w:rsidRPr="000F6B47">
        <w:rPr>
          <w:rFonts w:ascii="Arial" w:eastAsia="Calibri" w:hAnsi="Arial" w:cs="Arial"/>
          <w:bCs/>
          <w:sz w:val="22"/>
        </w:rPr>
        <w:t>ambas</w:t>
      </w:r>
      <w:r w:rsidR="00A27C16" w:rsidRPr="000F6B47">
        <w:rPr>
          <w:rFonts w:ascii="Arial" w:eastAsia="Calibri" w:hAnsi="Arial" w:cs="Arial"/>
          <w:bCs/>
          <w:sz w:val="22"/>
        </w:rPr>
        <w:t xml:space="preserve"> versione</w:t>
      </w:r>
      <w:r w:rsidR="006824FD" w:rsidRPr="000F6B47">
        <w:rPr>
          <w:rFonts w:ascii="Arial" w:eastAsia="Calibri" w:hAnsi="Arial" w:cs="Arial"/>
          <w:bCs/>
          <w:sz w:val="22"/>
        </w:rPr>
        <w:t>s</w:t>
      </w:r>
      <w:r w:rsidR="00C93A59" w:rsidRPr="000F6B47">
        <w:rPr>
          <w:rFonts w:ascii="Arial" w:eastAsia="Calibri" w:hAnsi="Arial" w:cs="Arial"/>
          <w:bCs/>
          <w:sz w:val="22"/>
        </w:rPr>
        <w:t>, máxime c</w:t>
      </w:r>
      <w:r w:rsidR="002D4DBA" w:rsidRPr="000F6B47">
        <w:rPr>
          <w:rFonts w:ascii="Arial" w:eastAsia="Calibri" w:hAnsi="Arial" w:cs="Arial"/>
          <w:bCs/>
          <w:sz w:val="22"/>
        </w:rPr>
        <w:t>onsiderando que el peticionario no indica a qu</w:t>
      </w:r>
      <w:r w:rsidR="001D1225">
        <w:rPr>
          <w:rFonts w:ascii="Arial" w:eastAsia="Calibri" w:hAnsi="Arial" w:cs="Arial"/>
          <w:bCs/>
          <w:sz w:val="22"/>
        </w:rPr>
        <w:t>é</w:t>
      </w:r>
      <w:r w:rsidR="002D4DBA" w:rsidRPr="000F6B47">
        <w:rPr>
          <w:rFonts w:ascii="Arial" w:eastAsia="Calibri" w:hAnsi="Arial" w:cs="Arial"/>
          <w:bCs/>
          <w:sz w:val="22"/>
        </w:rPr>
        <w:t xml:space="preserve"> versión se refieren sus interrogantes. </w:t>
      </w:r>
      <w:r w:rsidR="006824FD" w:rsidRPr="000F6B47">
        <w:rPr>
          <w:rFonts w:ascii="Arial" w:eastAsia="Calibri" w:hAnsi="Arial" w:cs="Arial"/>
          <w:bCs/>
          <w:sz w:val="22"/>
        </w:rPr>
        <w:t xml:space="preserve"> </w:t>
      </w:r>
      <w:r w:rsidR="00625D5F" w:rsidRPr="000F6B47">
        <w:rPr>
          <w:rFonts w:ascii="Arial" w:eastAsia="Calibri" w:hAnsi="Arial" w:cs="Arial"/>
          <w:bCs/>
          <w:sz w:val="22"/>
        </w:rPr>
        <w:t xml:space="preserve"> </w:t>
      </w:r>
    </w:p>
    <w:p w14:paraId="46964A4E" w14:textId="77777777" w:rsidR="002744CC" w:rsidRPr="000F6B47" w:rsidRDefault="002744CC" w:rsidP="002744CC">
      <w:pPr>
        <w:spacing w:line="276" w:lineRule="auto"/>
        <w:jc w:val="both"/>
        <w:rPr>
          <w:rFonts w:ascii="Arial" w:eastAsia="Calibri" w:hAnsi="Arial" w:cs="Arial"/>
          <w:bCs/>
          <w:sz w:val="22"/>
        </w:rPr>
      </w:pPr>
    </w:p>
    <w:p w14:paraId="1CB3E155" w14:textId="055F153C" w:rsidR="00493140" w:rsidRPr="000F6B47" w:rsidRDefault="002744CC" w:rsidP="00201B5E">
      <w:pPr>
        <w:spacing w:line="276" w:lineRule="auto"/>
        <w:jc w:val="both"/>
        <w:rPr>
          <w:rFonts w:ascii="Arial" w:eastAsia="Calibri" w:hAnsi="Arial" w:cs="Arial"/>
          <w:b/>
          <w:sz w:val="22"/>
        </w:rPr>
      </w:pPr>
      <w:r w:rsidRPr="000F6B47">
        <w:rPr>
          <w:rFonts w:ascii="Arial" w:eastAsia="Calibri" w:hAnsi="Arial" w:cs="Arial"/>
          <w:b/>
          <w:sz w:val="22"/>
        </w:rPr>
        <w:t xml:space="preserve">2.1. Ponderación de la oferta </w:t>
      </w:r>
      <w:r w:rsidR="00201B5E" w:rsidRPr="000F6B47">
        <w:rPr>
          <w:rFonts w:ascii="Arial" w:eastAsia="Calibri" w:hAnsi="Arial" w:cs="Arial"/>
          <w:b/>
          <w:sz w:val="22"/>
        </w:rPr>
        <w:t>económica</w:t>
      </w:r>
      <w:r w:rsidRPr="000F6B47">
        <w:rPr>
          <w:rFonts w:ascii="Arial" w:eastAsia="Calibri" w:hAnsi="Arial" w:cs="Arial"/>
          <w:b/>
          <w:sz w:val="22"/>
        </w:rPr>
        <w:t xml:space="preserve"> en l</w:t>
      </w:r>
      <w:r w:rsidR="00201B5E" w:rsidRPr="000F6B47">
        <w:rPr>
          <w:rFonts w:ascii="Arial" w:eastAsia="Calibri" w:hAnsi="Arial" w:cs="Arial"/>
          <w:b/>
          <w:sz w:val="22"/>
        </w:rPr>
        <w:t xml:space="preserve">os Documentos Tipo de licitación de obra pública de infraestructura de transporte </w:t>
      </w:r>
      <w:r w:rsidR="001D1225" w:rsidRPr="000F6B47">
        <w:rPr>
          <w:rFonts w:ascii="Arial" w:eastAsia="Calibri" w:hAnsi="Arial" w:cs="Arial"/>
          <w:b/>
          <w:sz w:val="22"/>
        </w:rPr>
        <w:t>– Versión 2</w:t>
      </w:r>
    </w:p>
    <w:p w14:paraId="25714791" w14:textId="00A14C4F" w:rsidR="002744CC" w:rsidRPr="000F6B47" w:rsidRDefault="002744CC" w:rsidP="00201B5E">
      <w:pPr>
        <w:spacing w:line="276" w:lineRule="auto"/>
        <w:jc w:val="both"/>
        <w:rPr>
          <w:rFonts w:ascii="Arial" w:eastAsia="Calibri" w:hAnsi="Arial" w:cs="Arial"/>
          <w:bCs/>
          <w:sz w:val="22"/>
        </w:rPr>
      </w:pPr>
    </w:p>
    <w:p w14:paraId="61377616" w14:textId="0B472D0F" w:rsidR="00020C75" w:rsidRPr="000F6B47" w:rsidRDefault="00020C75" w:rsidP="00020C75">
      <w:pPr>
        <w:spacing w:after="120" w:line="276" w:lineRule="auto"/>
        <w:jc w:val="both"/>
        <w:rPr>
          <w:rFonts w:ascii="Arial" w:eastAsia="Calibri" w:hAnsi="Arial" w:cs="Arial"/>
          <w:sz w:val="22"/>
        </w:rPr>
      </w:pPr>
      <w:r w:rsidRPr="000F6B47">
        <w:rPr>
          <w:rFonts w:ascii="Arial" w:eastAsia="Calibri" w:hAnsi="Arial" w:cs="Arial"/>
          <w:sz w:val="22"/>
        </w:rPr>
        <w:t xml:space="preserve">El numeral 4.1.4. del documento base </w:t>
      </w:r>
      <w:r w:rsidR="00201B5E" w:rsidRPr="000F6B47">
        <w:rPr>
          <w:rFonts w:ascii="Arial" w:eastAsia="Calibri" w:hAnsi="Arial" w:cs="Arial"/>
          <w:sz w:val="22"/>
        </w:rPr>
        <w:t xml:space="preserve">adoptado por la Resolución No. 045 de 2020 </w:t>
      </w:r>
      <w:r w:rsidRPr="000F6B47">
        <w:rPr>
          <w:rFonts w:ascii="Arial" w:eastAsia="Calibri" w:hAnsi="Arial" w:cs="Arial"/>
          <w:sz w:val="22"/>
        </w:rPr>
        <w:t xml:space="preserve">señala las alternativas para escoger el método de ponderación de la propuesta económica. Estas </w:t>
      </w:r>
      <w:r w:rsidRPr="000F6B47">
        <w:rPr>
          <w:rFonts w:ascii="Arial" w:eastAsia="Calibri" w:hAnsi="Arial" w:cs="Arial"/>
          <w:sz w:val="22"/>
        </w:rPr>
        <w:lastRenderedPageBreak/>
        <w:t xml:space="preserve">son las siguientes: i) mediana con valor absoluto, </w:t>
      </w:r>
      <w:proofErr w:type="spellStart"/>
      <w:r w:rsidRPr="000F6B47">
        <w:rPr>
          <w:rFonts w:ascii="Arial" w:eastAsia="Calibri" w:hAnsi="Arial" w:cs="Arial"/>
          <w:sz w:val="22"/>
        </w:rPr>
        <w:t>ii</w:t>
      </w:r>
      <w:proofErr w:type="spellEnd"/>
      <w:r w:rsidRPr="000F6B47">
        <w:rPr>
          <w:rFonts w:ascii="Arial" w:eastAsia="Calibri" w:hAnsi="Arial" w:cs="Arial"/>
          <w:sz w:val="22"/>
        </w:rPr>
        <w:t xml:space="preserve">) media geométrica, </w:t>
      </w:r>
      <w:proofErr w:type="spellStart"/>
      <w:r w:rsidRPr="000F6B47">
        <w:rPr>
          <w:rFonts w:ascii="Arial" w:eastAsia="Calibri" w:hAnsi="Arial" w:cs="Arial"/>
          <w:sz w:val="22"/>
        </w:rPr>
        <w:t>iii</w:t>
      </w:r>
      <w:proofErr w:type="spellEnd"/>
      <w:r w:rsidRPr="000F6B47">
        <w:rPr>
          <w:rFonts w:ascii="Arial" w:eastAsia="Calibri" w:hAnsi="Arial" w:cs="Arial"/>
          <w:sz w:val="22"/>
        </w:rPr>
        <w:t xml:space="preserve">) media aritmética baja y </w:t>
      </w:r>
      <w:proofErr w:type="spellStart"/>
      <w:r w:rsidRPr="000F6B47">
        <w:rPr>
          <w:rFonts w:ascii="Arial" w:eastAsia="Calibri" w:hAnsi="Arial" w:cs="Arial"/>
          <w:sz w:val="22"/>
        </w:rPr>
        <w:t>iv</w:t>
      </w:r>
      <w:proofErr w:type="spellEnd"/>
      <w:r w:rsidRPr="000F6B47">
        <w:rPr>
          <w:rFonts w:ascii="Arial" w:eastAsia="Calibri" w:hAnsi="Arial" w:cs="Arial"/>
          <w:sz w:val="22"/>
        </w:rPr>
        <w:t>) menor valor</w:t>
      </w:r>
      <w:r w:rsidRPr="000F6B47">
        <w:rPr>
          <w:rStyle w:val="Refdenotaalpie"/>
          <w:rFonts w:ascii="Arial" w:eastAsia="Calibri" w:hAnsi="Arial" w:cs="Arial"/>
          <w:sz w:val="22"/>
        </w:rPr>
        <w:footnoteReference w:id="1"/>
      </w:r>
      <w:r w:rsidRPr="000F6B47">
        <w:rPr>
          <w:rFonts w:ascii="Arial" w:eastAsia="Calibri" w:hAnsi="Arial" w:cs="Arial"/>
          <w:sz w:val="22"/>
        </w:rPr>
        <w:t>.</w:t>
      </w:r>
    </w:p>
    <w:p w14:paraId="27BA0C4C" w14:textId="34764E89" w:rsidR="00020C75" w:rsidRPr="000F6B47" w:rsidRDefault="00020C75" w:rsidP="00020C75">
      <w:pPr>
        <w:spacing w:line="276" w:lineRule="auto"/>
        <w:ind w:firstLine="708"/>
        <w:jc w:val="both"/>
        <w:rPr>
          <w:rFonts w:ascii="Arial" w:eastAsia="Calibri" w:hAnsi="Arial" w:cs="Arial"/>
          <w:sz w:val="22"/>
        </w:rPr>
      </w:pPr>
      <w:r w:rsidRPr="000F6B47">
        <w:rPr>
          <w:rFonts w:ascii="Arial" w:eastAsia="Calibri" w:hAnsi="Arial" w:cs="Arial"/>
          <w:sz w:val="22"/>
        </w:rPr>
        <w:t xml:space="preserve">La entidad </w:t>
      </w:r>
      <w:r w:rsidR="00201B5E" w:rsidRPr="000F6B47">
        <w:rPr>
          <w:rFonts w:ascii="Arial" w:eastAsia="Calibri" w:hAnsi="Arial" w:cs="Arial"/>
          <w:sz w:val="22"/>
        </w:rPr>
        <w:t xml:space="preserve">debe </w:t>
      </w:r>
      <w:r w:rsidRPr="000F6B47">
        <w:rPr>
          <w:rFonts w:ascii="Arial" w:eastAsia="Calibri" w:hAnsi="Arial" w:cs="Arial"/>
          <w:sz w:val="22"/>
        </w:rPr>
        <w:t>escoge</w:t>
      </w:r>
      <w:r w:rsidR="00201B5E" w:rsidRPr="000F6B47">
        <w:rPr>
          <w:rFonts w:ascii="Arial" w:eastAsia="Calibri" w:hAnsi="Arial" w:cs="Arial"/>
          <w:sz w:val="22"/>
        </w:rPr>
        <w:t>r</w:t>
      </w:r>
      <w:r w:rsidRPr="000F6B47">
        <w:rPr>
          <w:rFonts w:ascii="Arial" w:eastAsia="Calibri" w:hAnsi="Arial" w:cs="Arial"/>
          <w:sz w:val="22"/>
        </w:rPr>
        <w:t xml:space="preserve"> uno u otro método de ponderación de acuerdo con la Tasa de Cambio Representativa del Mercado –TRM– del día hábil siguiente al día en que efectivamente sea la apertura del segundo sobre que contiene las ofertas económicas. La entidad debe tener en cuenta los centavos de la TRM para definir el método de ponderación de acuerdo con los rangos del siguiente cuadro:</w:t>
      </w:r>
    </w:p>
    <w:p w14:paraId="2776776F" w14:textId="77777777" w:rsidR="00020C75" w:rsidRPr="000F6B47" w:rsidRDefault="00020C75" w:rsidP="00020C75">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F6B47" w:rsidRPr="000F6B47" w14:paraId="7E86E90F" w14:textId="77777777" w:rsidTr="00903B7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6D09D2B" w14:textId="77777777" w:rsidR="00020C75" w:rsidRPr="000F6B47" w:rsidRDefault="00020C75" w:rsidP="00903B75">
            <w:pPr>
              <w:spacing w:line="276" w:lineRule="auto"/>
              <w:jc w:val="center"/>
              <w:rPr>
                <w:rFonts w:eastAsia="Arial,Calibri" w:cs="Arial"/>
                <w:b/>
                <w:bCs/>
                <w:sz w:val="16"/>
                <w:szCs w:val="16"/>
                <w:lang w:val="es-CO"/>
              </w:rPr>
            </w:pPr>
            <w:r w:rsidRPr="000F6B47">
              <w:rPr>
                <w:rFonts w:cs="Arial"/>
                <w:b/>
                <w:bCs/>
                <w:sz w:val="16"/>
                <w:szCs w:val="16"/>
              </w:rPr>
              <w:t>Rango</w:t>
            </w:r>
            <w:r w:rsidRPr="000F6B47">
              <w:rPr>
                <w:rFonts w:eastAsia="Arial,Calibri" w:cs="Arial"/>
                <w:b/>
                <w:bCs/>
                <w:sz w:val="16"/>
                <w:szCs w:val="16"/>
              </w:rPr>
              <w:t xml:space="preserve"> </w:t>
            </w:r>
            <w:r w:rsidRPr="000F6B47">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C2A24CF" w14:textId="77777777" w:rsidR="00020C75" w:rsidRPr="000F6B47" w:rsidRDefault="00020C75" w:rsidP="00903B75">
            <w:pPr>
              <w:spacing w:line="276" w:lineRule="auto"/>
              <w:jc w:val="center"/>
              <w:rPr>
                <w:rFonts w:eastAsia="Arial,Calibri" w:cs="Arial"/>
                <w:b/>
                <w:bCs/>
                <w:sz w:val="16"/>
                <w:szCs w:val="16"/>
              </w:rPr>
            </w:pPr>
            <w:r w:rsidRPr="000F6B47">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7D2D6CA" w14:textId="77777777" w:rsidR="00020C75" w:rsidRPr="000F6B47" w:rsidRDefault="00020C75" w:rsidP="00903B75">
            <w:pPr>
              <w:spacing w:line="276" w:lineRule="auto"/>
              <w:jc w:val="center"/>
              <w:rPr>
                <w:rFonts w:eastAsia="Arial,Calibri" w:cs="Arial"/>
                <w:b/>
                <w:bCs/>
                <w:sz w:val="16"/>
                <w:szCs w:val="16"/>
              </w:rPr>
            </w:pPr>
            <w:r w:rsidRPr="000F6B47">
              <w:rPr>
                <w:rFonts w:cs="Arial"/>
                <w:b/>
                <w:bCs/>
                <w:sz w:val="16"/>
                <w:szCs w:val="16"/>
              </w:rPr>
              <w:t>Método</w:t>
            </w:r>
          </w:p>
        </w:tc>
      </w:tr>
      <w:tr w:rsidR="000F6B47" w:rsidRPr="000F6B47" w14:paraId="6255C5AF" w14:textId="77777777" w:rsidTr="00903B7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8A7D0F3"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907AE59" w14:textId="77777777" w:rsidR="00020C75" w:rsidRPr="000F6B47" w:rsidRDefault="00020C75" w:rsidP="00903B75">
            <w:pPr>
              <w:spacing w:line="276" w:lineRule="auto"/>
              <w:jc w:val="center"/>
              <w:rPr>
                <w:rFonts w:ascii="Arial" w:eastAsia="Arial,Times New Roman" w:hAnsi="Arial" w:cs="Arial"/>
                <w:sz w:val="16"/>
                <w:szCs w:val="16"/>
                <w:lang w:val="es-ES" w:eastAsia="es-CO"/>
              </w:rPr>
            </w:pPr>
            <w:r w:rsidRPr="000F6B47">
              <w:rPr>
                <w:rFonts w:ascii="Arial" w:hAnsi="Arial"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6B895C0" w14:textId="77777777" w:rsidR="00020C75" w:rsidRPr="000F6B47" w:rsidRDefault="00020C75" w:rsidP="00903B75">
            <w:pPr>
              <w:spacing w:line="276" w:lineRule="auto"/>
              <w:jc w:val="center"/>
              <w:rPr>
                <w:rFonts w:ascii="Arial" w:eastAsia="Arial,Times New Roman" w:hAnsi="Arial" w:cs="Arial"/>
                <w:sz w:val="16"/>
                <w:szCs w:val="16"/>
                <w:lang w:val="es-ES" w:eastAsia="es-CO"/>
              </w:rPr>
            </w:pPr>
            <w:r w:rsidRPr="000F6B47">
              <w:rPr>
                <w:rFonts w:ascii="Arial" w:hAnsi="Arial" w:cs="Arial"/>
                <w:sz w:val="16"/>
                <w:szCs w:val="16"/>
                <w:lang w:val="es-ES" w:eastAsia="es-CO"/>
              </w:rPr>
              <w:t>Mediana con valor absoluto</w:t>
            </w:r>
          </w:p>
        </w:tc>
      </w:tr>
      <w:tr w:rsidR="000F6B47" w:rsidRPr="000F6B47" w14:paraId="31EC8011" w14:textId="77777777" w:rsidTr="00903B75">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F8DA9BD"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8B55EFF" w14:textId="77777777" w:rsidR="00020C75" w:rsidRPr="000F6B47" w:rsidRDefault="00020C75" w:rsidP="00903B75">
            <w:pPr>
              <w:spacing w:line="276" w:lineRule="auto"/>
              <w:jc w:val="center"/>
              <w:rPr>
                <w:rFonts w:ascii="Arial" w:eastAsia="Arial,Times New Roman" w:hAnsi="Arial" w:cs="Arial"/>
                <w:sz w:val="16"/>
                <w:szCs w:val="16"/>
                <w:lang w:val="es-ES" w:eastAsia="es-CO"/>
              </w:rPr>
            </w:pPr>
            <w:r w:rsidRPr="000F6B47">
              <w:rPr>
                <w:rFonts w:ascii="Arial" w:eastAsia="Arial,Times New Roman" w:hAnsi="Arial"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10A4456" w14:textId="77777777" w:rsidR="00020C75" w:rsidRPr="000F6B47" w:rsidRDefault="00020C75" w:rsidP="00903B75">
            <w:pPr>
              <w:spacing w:line="276" w:lineRule="auto"/>
              <w:jc w:val="center"/>
              <w:rPr>
                <w:rFonts w:ascii="Arial" w:eastAsia="Arial,Times New Roman" w:hAnsi="Arial" w:cs="Arial"/>
                <w:sz w:val="16"/>
                <w:szCs w:val="16"/>
                <w:lang w:val="es-ES" w:eastAsia="es-CO"/>
              </w:rPr>
            </w:pPr>
            <w:r w:rsidRPr="000F6B47">
              <w:rPr>
                <w:rFonts w:ascii="Arial" w:hAnsi="Arial" w:cs="Arial"/>
                <w:sz w:val="16"/>
                <w:szCs w:val="16"/>
                <w:lang w:val="es-ES" w:eastAsia="es-CO"/>
              </w:rPr>
              <w:t>Media geométrica</w:t>
            </w:r>
          </w:p>
        </w:tc>
      </w:tr>
      <w:tr w:rsidR="000F6B47" w:rsidRPr="000F6B47" w14:paraId="59F0A5D8" w14:textId="77777777" w:rsidTr="00903B7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8F9EA82"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6A6715F"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A57EB74"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Media aritmética baja</w:t>
            </w:r>
          </w:p>
        </w:tc>
      </w:tr>
      <w:tr w:rsidR="000F6B47" w:rsidRPr="000F6B47" w14:paraId="0217DCC8" w14:textId="77777777" w:rsidTr="00903B7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00172E1B"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4508519"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hideMark/>
          </w:tcPr>
          <w:p w14:paraId="700EC7E7" w14:textId="77777777" w:rsidR="00020C75" w:rsidRPr="000F6B47" w:rsidRDefault="00020C75" w:rsidP="00903B75">
            <w:pPr>
              <w:spacing w:line="276" w:lineRule="auto"/>
              <w:jc w:val="center"/>
              <w:rPr>
                <w:rFonts w:ascii="Arial" w:hAnsi="Arial" w:cs="Arial"/>
                <w:sz w:val="16"/>
                <w:szCs w:val="16"/>
                <w:lang w:val="es-ES" w:eastAsia="es-CO"/>
              </w:rPr>
            </w:pPr>
            <w:r w:rsidRPr="000F6B47">
              <w:rPr>
                <w:rFonts w:ascii="Arial" w:hAnsi="Arial" w:cs="Arial"/>
                <w:sz w:val="16"/>
                <w:szCs w:val="16"/>
                <w:lang w:val="es-ES" w:eastAsia="es-CO"/>
              </w:rPr>
              <w:t>Menor valor</w:t>
            </w:r>
          </w:p>
        </w:tc>
      </w:tr>
    </w:tbl>
    <w:p w14:paraId="687D894B" w14:textId="77777777" w:rsidR="00020C75" w:rsidRPr="000F6B47" w:rsidRDefault="00020C75" w:rsidP="00020C75">
      <w:pPr>
        <w:spacing w:line="276" w:lineRule="auto"/>
        <w:jc w:val="both"/>
        <w:rPr>
          <w:rFonts w:ascii="Arial" w:eastAsia="Calibri" w:hAnsi="Arial" w:cs="Arial"/>
          <w:sz w:val="22"/>
        </w:rPr>
      </w:pPr>
    </w:p>
    <w:p w14:paraId="3308FBA2" w14:textId="3DB6BB5B" w:rsidR="00020C75" w:rsidRPr="000F6B47" w:rsidRDefault="00020C75" w:rsidP="00020C75">
      <w:pPr>
        <w:spacing w:after="120" w:line="276" w:lineRule="auto"/>
        <w:ind w:firstLine="709"/>
        <w:jc w:val="both"/>
        <w:rPr>
          <w:rFonts w:ascii="Arial" w:eastAsia="Times New Roman" w:hAnsi="Arial" w:cs="Arial"/>
          <w:sz w:val="22"/>
        </w:rPr>
      </w:pPr>
      <w:r w:rsidRPr="000F6B47">
        <w:rPr>
          <w:rFonts w:ascii="Arial" w:eastAsia="Calibri" w:hAnsi="Arial" w:cs="Arial"/>
          <w:sz w:val="22"/>
        </w:rPr>
        <w:t xml:space="preserve">Con lo anterior, se puede </w:t>
      </w:r>
      <w:r w:rsidR="00550C21" w:rsidRPr="000F6B47">
        <w:rPr>
          <w:rFonts w:ascii="Arial" w:eastAsia="Calibri" w:hAnsi="Arial" w:cs="Arial"/>
          <w:sz w:val="22"/>
        </w:rPr>
        <w:t>aseverar</w:t>
      </w:r>
      <w:r w:rsidRPr="000F6B47">
        <w:rPr>
          <w:rFonts w:ascii="Arial" w:eastAsia="Calibri" w:hAnsi="Arial" w:cs="Arial"/>
          <w:sz w:val="22"/>
        </w:rPr>
        <w:t xml:space="preserve"> que el </w:t>
      </w:r>
      <w:r w:rsidR="00550C21" w:rsidRPr="000F6B47">
        <w:rPr>
          <w:rFonts w:ascii="Arial" w:eastAsia="Calibri" w:hAnsi="Arial" w:cs="Arial"/>
          <w:sz w:val="22"/>
        </w:rPr>
        <w:t>mecanismo</w:t>
      </w:r>
      <w:r w:rsidRPr="000F6B47">
        <w:rPr>
          <w:rFonts w:ascii="Arial" w:eastAsia="Calibri" w:hAnsi="Arial" w:cs="Arial"/>
          <w:sz w:val="22"/>
        </w:rPr>
        <w:t xml:space="preserve"> aleatorio para seleccionar </w:t>
      </w:r>
      <w:r w:rsidR="00550C21" w:rsidRPr="000F6B47">
        <w:rPr>
          <w:rFonts w:ascii="Arial" w:eastAsia="Calibri" w:hAnsi="Arial" w:cs="Arial"/>
          <w:sz w:val="22"/>
        </w:rPr>
        <w:t>el m</w:t>
      </w:r>
      <w:r w:rsidR="001D1225">
        <w:rPr>
          <w:rFonts w:ascii="Arial" w:eastAsia="Calibri" w:hAnsi="Arial" w:cs="Arial"/>
          <w:sz w:val="22"/>
        </w:rPr>
        <w:t>é</w:t>
      </w:r>
      <w:r w:rsidR="00550C21" w:rsidRPr="000F6B47">
        <w:rPr>
          <w:rFonts w:ascii="Arial" w:eastAsia="Calibri" w:hAnsi="Arial" w:cs="Arial"/>
          <w:sz w:val="22"/>
        </w:rPr>
        <w:t>todo</w:t>
      </w:r>
      <w:r w:rsidRPr="000F6B47">
        <w:rPr>
          <w:rFonts w:ascii="Arial" w:eastAsia="Calibri" w:hAnsi="Arial" w:cs="Arial"/>
          <w:sz w:val="22"/>
        </w:rPr>
        <w:t xml:space="preserve"> de ponderación de la oferta económica desestimula los actos de corrupción, puesto que no es posible manipular la TRM para conocer con anticipación la fórmula aplicable y poder adjudicar al proponente que la entidad desee, ya que es certificada por la Superintendencia Financiera de Colombia. </w:t>
      </w:r>
      <w:r w:rsidR="001D1225">
        <w:rPr>
          <w:rFonts w:ascii="Arial" w:eastAsia="Times New Roman" w:hAnsi="Arial" w:cs="Arial"/>
          <w:sz w:val="22"/>
        </w:rPr>
        <w:t>En</w:t>
      </w:r>
      <w:r w:rsidR="001D1225" w:rsidRPr="000F6B47">
        <w:rPr>
          <w:rFonts w:ascii="Arial" w:eastAsia="Times New Roman" w:hAnsi="Arial" w:cs="Arial"/>
          <w:sz w:val="22"/>
        </w:rPr>
        <w:t xml:space="preserve"> </w:t>
      </w:r>
      <w:r w:rsidRPr="000F6B47">
        <w:rPr>
          <w:rFonts w:ascii="Arial" w:eastAsia="Times New Roman" w:hAnsi="Arial" w:cs="Arial"/>
          <w:sz w:val="22"/>
        </w:rPr>
        <w:t xml:space="preserve">relación </w:t>
      </w:r>
      <w:r w:rsidR="001D1225">
        <w:rPr>
          <w:rFonts w:ascii="Arial" w:eastAsia="Times New Roman" w:hAnsi="Arial" w:cs="Arial"/>
          <w:sz w:val="22"/>
        </w:rPr>
        <w:t>con</w:t>
      </w:r>
      <w:r w:rsidRPr="000F6B47">
        <w:rPr>
          <w:rFonts w:ascii="Arial" w:eastAsia="Times New Roman" w:hAnsi="Arial" w:cs="Arial"/>
          <w:sz w:val="22"/>
        </w:rPr>
        <w:t xml:space="preserve"> los métodos de ponderación aplicables al procedimiento de contratación, en cuanto a la apertura de los sobres No. 2, el documento base señala que «la Entidad debe agotar la apertura de los sobres económicos y la definición del método de ponderación en un mismo día. Igualmente, el método definido el día de la apertura del sobre económico seguirá rigiendo aun cuando la Entidad deba suspender la audiencia».</w:t>
      </w:r>
    </w:p>
    <w:p w14:paraId="7AAA4A38" w14:textId="1E0FB300" w:rsidR="00020C75" w:rsidRPr="000F6B47" w:rsidRDefault="00020C75" w:rsidP="00020C75">
      <w:pPr>
        <w:spacing w:after="120" w:line="276" w:lineRule="auto"/>
        <w:ind w:firstLine="709"/>
        <w:jc w:val="both"/>
        <w:rPr>
          <w:rFonts w:ascii="Arial" w:eastAsia="Calibri" w:hAnsi="Arial" w:cs="Arial"/>
          <w:sz w:val="22"/>
        </w:rPr>
      </w:pPr>
      <w:r w:rsidRPr="000F6B47">
        <w:rPr>
          <w:rFonts w:ascii="Arial" w:eastAsia="Times New Roman" w:hAnsi="Arial" w:cs="Arial"/>
          <w:sz w:val="22"/>
        </w:rPr>
        <w:t>En ese sentido, es necesario observar que la definición del método de ponderación aplicable a la oferta económica, que es la que se presenta en el sobre No. 2, ocurre en la audiencia de adjudicación que tiene dos actividades: i) respuesta a las observaciones del informe de evaluación y ii) apertura de las ofertas económicas contenidas en los sobres No. 2. La entidad debe desarrollar esta última actividad en un mismo día</w:t>
      </w:r>
      <w:r w:rsidR="001D1225">
        <w:rPr>
          <w:rFonts w:ascii="Arial" w:eastAsia="Times New Roman" w:hAnsi="Arial" w:cs="Arial"/>
          <w:sz w:val="22"/>
        </w:rPr>
        <w:t>,</w:t>
      </w:r>
      <w:r w:rsidRPr="000F6B47">
        <w:rPr>
          <w:rFonts w:ascii="Arial" w:eastAsia="Times New Roman" w:hAnsi="Arial" w:cs="Arial"/>
          <w:sz w:val="22"/>
        </w:rPr>
        <w:t xml:space="preserve"> como lo indicó el documento base citado</w:t>
      </w:r>
      <w:r w:rsidR="001D1225">
        <w:rPr>
          <w:rFonts w:ascii="Arial" w:eastAsia="Times New Roman" w:hAnsi="Arial" w:cs="Arial"/>
          <w:sz w:val="22"/>
        </w:rPr>
        <w:t>.</w:t>
      </w:r>
      <w:r w:rsidRPr="000F6B47">
        <w:rPr>
          <w:rFonts w:ascii="Arial" w:eastAsia="Times New Roman" w:hAnsi="Arial" w:cs="Arial"/>
          <w:sz w:val="22"/>
        </w:rPr>
        <w:t xml:space="preserve"> </w:t>
      </w:r>
      <w:r w:rsidR="001D1225">
        <w:rPr>
          <w:rFonts w:ascii="Arial" w:eastAsia="Times New Roman" w:hAnsi="Arial" w:cs="Arial"/>
          <w:sz w:val="22"/>
        </w:rPr>
        <w:t>D</w:t>
      </w:r>
      <w:r w:rsidRPr="000F6B47">
        <w:rPr>
          <w:rFonts w:ascii="Arial" w:eastAsia="Times New Roman" w:hAnsi="Arial" w:cs="Arial"/>
          <w:sz w:val="22"/>
        </w:rPr>
        <w:t>e acuerdo con su consulta</w:t>
      </w:r>
      <w:r w:rsidR="001D1225">
        <w:rPr>
          <w:rFonts w:ascii="Arial" w:eastAsia="Times New Roman" w:hAnsi="Arial" w:cs="Arial"/>
          <w:sz w:val="22"/>
        </w:rPr>
        <w:t xml:space="preserve">, se parte del supuesto de que una </w:t>
      </w:r>
      <w:r w:rsidRPr="000F6B47">
        <w:rPr>
          <w:rFonts w:ascii="Arial" w:eastAsia="Times New Roman" w:hAnsi="Arial" w:cs="Arial"/>
          <w:sz w:val="22"/>
        </w:rPr>
        <w:lastRenderedPageBreak/>
        <w:t xml:space="preserve">entidad se encuentra en la apertura de los sobres No. 2 y la </w:t>
      </w:r>
      <w:r w:rsidRPr="000F6B47">
        <w:rPr>
          <w:rFonts w:ascii="Arial" w:eastAsia="Calibri" w:hAnsi="Arial" w:cs="Arial"/>
          <w:sz w:val="22"/>
        </w:rPr>
        <w:t>Superintendencia Financiera de Colombia certifica la TRM del día siguiente, sin que la entidad haya finalizado la apertura de</w:t>
      </w:r>
      <w:r w:rsidR="001D1225">
        <w:rPr>
          <w:rFonts w:ascii="Arial" w:eastAsia="Calibri" w:hAnsi="Arial" w:cs="Arial"/>
          <w:sz w:val="22"/>
        </w:rPr>
        <w:t xml:space="preserve"> todos</w:t>
      </w:r>
      <w:r w:rsidRPr="000F6B47">
        <w:rPr>
          <w:rFonts w:ascii="Arial" w:eastAsia="Calibri" w:hAnsi="Arial" w:cs="Arial"/>
          <w:sz w:val="22"/>
        </w:rPr>
        <w:t xml:space="preserve"> los sobres.</w:t>
      </w:r>
    </w:p>
    <w:p w14:paraId="71EE3469" w14:textId="7815CB32" w:rsidR="00020C75" w:rsidRPr="000F6B47" w:rsidRDefault="00960971" w:rsidP="00020C75">
      <w:pPr>
        <w:spacing w:after="120" w:line="276" w:lineRule="auto"/>
        <w:ind w:firstLine="709"/>
        <w:jc w:val="both"/>
        <w:rPr>
          <w:rFonts w:ascii="Arial" w:eastAsia="Calibri" w:hAnsi="Arial" w:cs="Arial"/>
          <w:sz w:val="22"/>
        </w:rPr>
      </w:pPr>
      <w:bookmarkStart w:id="2" w:name="_Hlk37983941"/>
      <w:r w:rsidRPr="000F6B47">
        <w:rPr>
          <w:rFonts w:ascii="Arial" w:eastAsia="Calibri" w:hAnsi="Arial" w:cs="Arial"/>
          <w:sz w:val="22"/>
        </w:rPr>
        <w:t>Se</w:t>
      </w:r>
      <w:r w:rsidR="00020C75" w:rsidRPr="000F6B47">
        <w:rPr>
          <w:rFonts w:ascii="Arial" w:eastAsia="Calibri" w:hAnsi="Arial" w:cs="Arial"/>
          <w:sz w:val="22"/>
        </w:rPr>
        <w:t xml:space="preserv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bookmarkEnd w:id="2"/>
    <w:p w14:paraId="53E61333" w14:textId="77777777" w:rsidR="00020C75" w:rsidRPr="000F6B47" w:rsidRDefault="00020C75" w:rsidP="00020C75">
      <w:pPr>
        <w:spacing w:before="120" w:line="276" w:lineRule="auto"/>
        <w:ind w:firstLine="708"/>
        <w:jc w:val="both"/>
        <w:rPr>
          <w:rFonts w:ascii="Arial" w:hAnsi="Arial" w:cs="Arial"/>
          <w:sz w:val="22"/>
        </w:rPr>
      </w:pPr>
      <w:r w:rsidRPr="000F6B47">
        <w:rPr>
          <w:rFonts w:ascii="Arial" w:hAnsi="Arial" w:cs="Arial"/>
          <w:sz w:val="22"/>
        </w:rPr>
        <w:t>Además, para saber cuál es la TRM que se tiene en cuenta para determinar el método para la ponderación de la oferta económica, como se señaló, es necesario tener en cuenta lo dispuesto en los documentos tipo, para lo que resulta indispensable distinguir si el proceso de contratación estatal se tramita con la versión uno o dos del sistema electrónico de contratación pública −SECOP−.</w:t>
      </w:r>
    </w:p>
    <w:p w14:paraId="39183F5D" w14:textId="4B512CA3" w:rsidR="00020C75" w:rsidRPr="000F6B47" w:rsidRDefault="00020C75" w:rsidP="000B62D2">
      <w:pPr>
        <w:spacing w:before="120" w:after="120" w:line="276" w:lineRule="auto"/>
        <w:ind w:firstLine="709"/>
        <w:jc w:val="both"/>
        <w:rPr>
          <w:rFonts w:ascii="Arial" w:hAnsi="Arial" w:cs="Arial"/>
          <w:sz w:val="21"/>
          <w:szCs w:val="21"/>
        </w:rPr>
      </w:pPr>
      <w:r w:rsidRPr="000F6B47">
        <w:rPr>
          <w:rFonts w:ascii="Arial" w:hAnsi="Arial" w:cs="Arial"/>
          <w:sz w:val="22"/>
        </w:rPr>
        <w:t>Ahora bien, si la entidad contratante está obligada a llevar el procedimiento de contratación en la plataforma SECOP II, la TRM que se debe tener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utilizando el SECOP I, la TRM es la que rija el día hábil siguiente a aquel en el que abre el segundo sobre</w:t>
      </w:r>
      <w:r w:rsidR="000B62D2" w:rsidRPr="000F6B47">
        <w:rPr>
          <w:rStyle w:val="Refdenotaalpie"/>
          <w:rFonts w:ascii="Arial" w:hAnsi="Arial" w:cs="Arial"/>
          <w:sz w:val="22"/>
        </w:rPr>
        <w:footnoteReference w:id="2"/>
      </w:r>
      <w:r w:rsidRPr="000F6B47">
        <w:rPr>
          <w:rFonts w:ascii="Arial" w:hAnsi="Arial" w:cs="Arial"/>
          <w:sz w:val="22"/>
        </w:rPr>
        <w:t xml:space="preserve">. </w:t>
      </w:r>
    </w:p>
    <w:p w14:paraId="29B262C1" w14:textId="021A8307" w:rsidR="00020C75" w:rsidRPr="000F6B47" w:rsidRDefault="00020C75" w:rsidP="009A472B">
      <w:pPr>
        <w:spacing w:after="120" w:line="276" w:lineRule="auto"/>
        <w:ind w:firstLine="709"/>
        <w:jc w:val="both"/>
        <w:rPr>
          <w:rFonts w:ascii="Arial" w:hAnsi="Arial" w:cs="Arial"/>
          <w:sz w:val="22"/>
        </w:rPr>
      </w:pPr>
      <w:bookmarkStart w:id="3" w:name="_Hlk42786557"/>
      <w:r w:rsidRPr="000F6B47">
        <w:rPr>
          <w:rFonts w:ascii="Arial" w:hAnsi="Arial" w:cs="Arial"/>
          <w:sz w:val="22"/>
        </w:rPr>
        <w:lastRenderedPageBreak/>
        <w:t>La TRM aplicable</w:t>
      </w:r>
      <w:r w:rsidR="00C14720" w:rsidRPr="000F6B47">
        <w:rPr>
          <w:rFonts w:ascii="Arial" w:hAnsi="Arial" w:cs="Arial"/>
          <w:sz w:val="22"/>
        </w:rPr>
        <w:t xml:space="preserve"> se determina por</w:t>
      </w:r>
      <w:r w:rsidRPr="000F6B47">
        <w:rPr>
          <w:rFonts w:ascii="Arial" w:hAnsi="Arial" w:cs="Arial"/>
          <w:sz w:val="22"/>
        </w:rPr>
        <w:t xml:space="preserve"> la fecha de apertura del sobre que contiene la propuesta económica del oferente, no a la del día correspondiente a de la audiencia de adjudicación</w:t>
      </w:r>
      <w:bookmarkEnd w:id="3"/>
      <w:r w:rsidRPr="000F6B47">
        <w:rPr>
          <w:rFonts w:ascii="Arial" w:hAnsi="Arial" w:cs="Arial"/>
          <w:sz w:val="22"/>
        </w:rPr>
        <w:t>. Por ejemplo, puede suceder que esta audiencia inicie el</w:t>
      </w:r>
      <w:r w:rsidR="008A3519" w:rsidRPr="000F6B47">
        <w:rPr>
          <w:rFonts w:ascii="Arial" w:hAnsi="Arial" w:cs="Arial"/>
          <w:sz w:val="22"/>
        </w:rPr>
        <w:t xml:space="preserve"> 15</w:t>
      </w:r>
      <w:r w:rsidRPr="000F6B47">
        <w:rPr>
          <w:rFonts w:ascii="Arial" w:hAnsi="Arial" w:cs="Arial"/>
          <w:sz w:val="22"/>
        </w:rPr>
        <w:t xml:space="preserve"> de </w:t>
      </w:r>
      <w:r w:rsidR="00AC2998" w:rsidRPr="000F6B47">
        <w:rPr>
          <w:rFonts w:ascii="Arial" w:hAnsi="Arial" w:cs="Arial"/>
          <w:sz w:val="22"/>
        </w:rPr>
        <w:t xml:space="preserve">diciembre </w:t>
      </w:r>
      <w:r w:rsidRPr="000F6B47">
        <w:rPr>
          <w:rFonts w:ascii="Arial" w:hAnsi="Arial" w:cs="Arial"/>
          <w:sz w:val="22"/>
        </w:rPr>
        <w:t xml:space="preserve">de 2020, que ese mismo día se resuelvan las observaciones presentadas al informe de evaluación, pero que se suspenda para reanudarla al día siguiente, porque no se alcanzó a </w:t>
      </w:r>
      <w:r w:rsidR="001D1225">
        <w:rPr>
          <w:rFonts w:ascii="Arial" w:hAnsi="Arial" w:cs="Arial"/>
          <w:sz w:val="22"/>
        </w:rPr>
        <w:t>iniciar la apertura d</w:t>
      </w:r>
      <w:r w:rsidRPr="000F6B47">
        <w:rPr>
          <w:rFonts w:ascii="Arial" w:hAnsi="Arial" w:cs="Arial"/>
          <w:sz w:val="22"/>
        </w:rPr>
        <w:t xml:space="preserve">el segundo sobre. </w:t>
      </w:r>
    </w:p>
    <w:p w14:paraId="0A8F72F0" w14:textId="3C391DCE" w:rsidR="004C1109" w:rsidRPr="000F6B47" w:rsidRDefault="00020C75" w:rsidP="00DD5D51">
      <w:pPr>
        <w:spacing w:after="120" w:line="276" w:lineRule="auto"/>
        <w:ind w:firstLine="708"/>
        <w:jc w:val="both"/>
        <w:rPr>
          <w:rFonts w:ascii="Arial" w:hAnsi="Arial" w:cs="Arial"/>
          <w:sz w:val="22"/>
        </w:rPr>
      </w:pPr>
      <w:r w:rsidRPr="000F6B47">
        <w:rPr>
          <w:rFonts w:ascii="Arial" w:hAnsi="Arial" w:cs="Arial"/>
          <w:sz w:val="22"/>
        </w:rPr>
        <w:t xml:space="preserve">De acuerdo </w:t>
      </w:r>
      <w:r w:rsidR="00107D36" w:rsidRPr="000F6B47">
        <w:rPr>
          <w:rFonts w:ascii="Arial" w:hAnsi="Arial" w:cs="Arial"/>
          <w:sz w:val="22"/>
        </w:rPr>
        <w:t>con</w:t>
      </w:r>
      <w:r w:rsidRPr="000F6B47">
        <w:rPr>
          <w:rFonts w:ascii="Arial" w:hAnsi="Arial" w:cs="Arial"/>
          <w:sz w:val="22"/>
        </w:rPr>
        <w:t xml:space="preserve"> lo explicado en los párrafos precedentes, si el segundo sobre se abrió el 1</w:t>
      </w:r>
      <w:r w:rsidR="005209CB" w:rsidRPr="000F6B47">
        <w:rPr>
          <w:rFonts w:ascii="Arial" w:hAnsi="Arial" w:cs="Arial"/>
          <w:sz w:val="22"/>
        </w:rPr>
        <w:t>5</w:t>
      </w:r>
      <w:r w:rsidRPr="000F6B47">
        <w:rPr>
          <w:rFonts w:ascii="Arial" w:hAnsi="Arial" w:cs="Arial"/>
          <w:sz w:val="22"/>
        </w:rPr>
        <w:t xml:space="preserve"> de </w:t>
      </w:r>
      <w:r w:rsidR="00AC2998" w:rsidRPr="000F6B47">
        <w:rPr>
          <w:rFonts w:ascii="Arial" w:hAnsi="Arial" w:cs="Arial"/>
          <w:sz w:val="22"/>
        </w:rPr>
        <w:t>diciembre</w:t>
      </w:r>
      <w:r w:rsidR="005209CB" w:rsidRPr="000F6B47">
        <w:rPr>
          <w:rFonts w:ascii="Arial" w:hAnsi="Arial" w:cs="Arial"/>
          <w:sz w:val="22"/>
        </w:rPr>
        <w:t xml:space="preserve"> </w:t>
      </w:r>
      <w:r w:rsidRPr="000F6B47">
        <w:rPr>
          <w:rFonts w:ascii="Arial" w:hAnsi="Arial" w:cs="Arial"/>
          <w:sz w:val="22"/>
        </w:rPr>
        <w:t>de 2020, la TRM</w:t>
      </w:r>
      <w:r w:rsidR="004C1109" w:rsidRPr="000F6B47">
        <w:rPr>
          <w:rFonts w:ascii="Arial" w:hAnsi="Arial" w:cs="Arial"/>
          <w:sz w:val="22"/>
        </w:rPr>
        <w:t xml:space="preserve"> aplicable es la que </w:t>
      </w:r>
      <w:r w:rsidR="009A472B" w:rsidRPr="000F6B47">
        <w:rPr>
          <w:rFonts w:ascii="Arial" w:hAnsi="Arial" w:cs="Arial"/>
          <w:sz w:val="22"/>
        </w:rPr>
        <w:t>rija</w:t>
      </w:r>
      <w:r w:rsidR="004C1109" w:rsidRPr="000F6B47">
        <w:rPr>
          <w:rFonts w:ascii="Arial" w:hAnsi="Arial" w:cs="Arial"/>
          <w:sz w:val="22"/>
        </w:rPr>
        <w:t xml:space="preserve"> para esa</w:t>
      </w:r>
      <w:r w:rsidRPr="000F6B47">
        <w:rPr>
          <w:rFonts w:ascii="Arial" w:hAnsi="Arial" w:cs="Arial"/>
          <w:sz w:val="22"/>
        </w:rPr>
        <w:t xml:space="preserve"> misma fecha, si el proceso contractual se tramita por la plataforma SECOP II; pero si el proceso se tramita por el SECOP I, la TRM será la </w:t>
      </w:r>
      <w:r w:rsidR="004C1109" w:rsidRPr="000F6B47">
        <w:rPr>
          <w:rFonts w:ascii="Arial" w:hAnsi="Arial" w:cs="Arial"/>
          <w:sz w:val="22"/>
        </w:rPr>
        <w:t>que rija para</w:t>
      </w:r>
      <w:r w:rsidRPr="000F6B47">
        <w:rPr>
          <w:rFonts w:ascii="Arial" w:hAnsi="Arial" w:cs="Arial"/>
          <w:sz w:val="22"/>
        </w:rPr>
        <w:t xml:space="preserve"> </w:t>
      </w:r>
      <w:r w:rsidR="004C1109" w:rsidRPr="000F6B47">
        <w:rPr>
          <w:rFonts w:ascii="Arial" w:hAnsi="Arial" w:cs="Arial"/>
          <w:sz w:val="22"/>
        </w:rPr>
        <w:t xml:space="preserve">el </w:t>
      </w:r>
      <w:r w:rsidRPr="000F6B47">
        <w:rPr>
          <w:rFonts w:ascii="Arial" w:hAnsi="Arial" w:cs="Arial"/>
          <w:sz w:val="22"/>
        </w:rPr>
        <w:t>1</w:t>
      </w:r>
      <w:r w:rsidR="005209CB" w:rsidRPr="000F6B47">
        <w:rPr>
          <w:rFonts w:ascii="Arial" w:hAnsi="Arial" w:cs="Arial"/>
          <w:sz w:val="22"/>
        </w:rPr>
        <w:t>6</w:t>
      </w:r>
      <w:r w:rsidRPr="000F6B47">
        <w:rPr>
          <w:rFonts w:ascii="Arial" w:hAnsi="Arial" w:cs="Arial"/>
          <w:sz w:val="22"/>
        </w:rPr>
        <w:t xml:space="preserve"> de </w:t>
      </w:r>
      <w:r w:rsidR="004C1109" w:rsidRPr="000F6B47">
        <w:rPr>
          <w:rFonts w:ascii="Arial" w:hAnsi="Arial" w:cs="Arial"/>
          <w:sz w:val="22"/>
        </w:rPr>
        <w:t>diciembre</w:t>
      </w:r>
      <w:r w:rsidRPr="000F6B47">
        <w:rPr>
          <w:rFonts w:ascii="Arial" w:hAnsi="Arial" w:cs="Arial"/>
          <w:sz w:val="22"/>
        </w:rPr>
        <w:t xml:space="preserve"> de</w:t>
      </w:r>
      <w:r w:rsidR="004C1109" w:rsidRPr="000F6B47">
        <w:rPr>
          <w:rFonts w:ascii="Arial" w:hAnsi="Arial" w:cs="Arial"/>
          <w:sz w:val="22"/>
        </w:rPr>
        <w:t xml:space="preserve"> </w:t>
      </w:r>
      <w:r w:rsidRPr="000F6B47">
        <w:rPr>
          <w:rFonts w:ascii="Arial" w:hAnsi="Arial" w:cs="Arial"/>
          <w:sz w:val="22"/>
        </w:rPr>
        <w:t>2020, esto es, el día hábil siguiente</w:t>
      </w:r>
      <w:r w:rsidR="004C1109" w:rsidRPr="000F6B47">
        <w:rPr>
          <w:rFonts w:ascii="Arial" w:hAnsi="Arial" w:cs="Arial"/>
          <w:sz w:val="22"/>
        </w:rPr>
        <w:t xml:space="preserve"> a la apertura de las ofertas</w:t>
      </w:r>
      <w:r w:rsidRPr="000F6B47">
        <w:rPr>
          <w:rFonts w:ascii="Arial" w:hAnsi="Arial" w:cs="Arial"/>
          <w:sz w:val="22"/>
        </w:rPr>
        <w:t>.</w:t>
      </w:r>
    </w:p>
    <w:p w14:paraId="63D1E7CA" w14:textId="0716A39D" w:rsidR="00020C75" w:rsidRPr="000F6B47" w:rsidRDefault="00020C75" w:rsidP="00DD5D51">
      <w:pPr>
        <w:spacing w:after="120" w:line="276" w:lineRule="auto"/>
        <w:ind w:firstLine="708"/>
        <w:jc w:val="both"/>
        <w:rPr>
          <w:rFonts w:ascii="Arial" w:hAnsi="Arial" w:cs="Arial"/>
          <w:sz w:val="22"/>
        </w:rPr>
      </w:pPr>
      <w:r w:rsidRPr="000F6B47">
        <w:rPr>
          <w:rFonts w:ascii="Arial" w:hAnsi="Arial" w:cs="Arial"/>
          <w:sz w:val="22"/>
        </w:rPr>
        <w:t xml:space="preserve"> En relación con esta última hipótesis, el numeral 4.1.4 del pliego tipo dispone que la «[…] audiencia iniciada antes que se publique la TRM que rige al día hábil siguiente, podrá desarrollarse totalmente si ese mismo día se abre el sobre económico usando la TRM que publica la Superintendencia Financiera que rija al día hábil siguiente». En todo caso, como dispone el pliego tipo, la apertura del segundo sobre y la definición del método de ponderación de las ofertas económicas se realizan en un mismo día. </w:t>
      </w:r>
    </w:p>
    <w:p w14:paraId="13FA589E" w14:textId="6F6A941E" w:rsidR="00020C75" w:rsidRPr="000F6B47" w:rsidRDefault="00107D36" w:rsidP="00020C75">
      <w:pPr>
        <w:tabs>
          <w:tab w:val="left" w:pos="426"/>
        </w:tabs>
        <w:spacing w:line="276" w:lineRule="auto"/>
        <w:jc w:val="both"/>
        <w:rPr>
          <w:rFonts w:ascii="Arial" w:eastAsia="Calibri" w:hAnsi="Arial" w:cs="Arial"/>
          <w:b/>
          <w:sz w:val="22"/>
        </w:rPr>
      </w:pPr>
      <w:r w:rsidRPr="000F6B47">
        <w:rPr>
          <w:rFonts w:ascii="Arial" w:hAnsi="Arial" w:cs="Arial"/>
          <w:sz w:val="22"/>
        </w:rPr>
        <w:tab/>
      </w:r>
      <w:r w:rsidR="00DD5D51" w:rsidRPr="000F6B47">
        <w:rPr>
          <w:rFonts w:ascii="Arial" w:hAnsi="Arial" w:cs="Arial"/>
          <w:sz w:val="22"/>
        </w:rPr>
        <w:tab/>
      </w:r>
      <w:r w:rsidRPr="000F6B47">
        <w:rPr>
          <w:rFonts w:ascii="Arial" w:hAnsi="Arial" w:cs="Arial"/>
          <w:sz w:val="22"/>
        </w:rPr>
        <w:t>Conforme a lo anterior, los factores que determinan la TRM en función de la cual se establecerá el método de ponderación aplicable al proceso de contratación son, por un lado, el día de apertura de los sobres No. 2 y</w:t>
      </w:r>
      <w:r w:rsidR="001D1225">
        <w:rPr>
          <w:rFonts w:ascii="Arial" w:hAnsi="Arial" w:cs="Arial"/>
          <w:sz w:val="22"/>
        </w:rPr>
        <w:t>,</w:t>
      </w:r>
      <w:r w:rsidRPr="000F6B47">
        <w:rPr>
          <w:rFonts w:ascii="Arial" w:hAnsi="Arial" w:cs="Arial"/>
          <w:sz w:val="22"/>
        </w:rPr>
        <w:t xml:space="preserve"> por el otro, el hecho que el procedimiento se </w:t>
      </w:r>
      <w:r w:rsidR="001D1225">
        <w:rPr>
          <w:rFonts w:ascii="Arial" w:hAnsi="Arial" w:cs="Arial"/>
          <w:sz w:val="22"/>
        </w:rPr>
        <w:t>tramite</w:t>
      </w:r>
      <w:r w:rsidRPr="000F6B47">
        <w:rPr>
          <w:rFonts w:ascii="Arial" w:hAnsi="Arial" w:cs="Arial"/>
          <w:sz w:val="22"/>
        </w:rPr>
        <w:t xml:space="preserve"> en el SECOP I o se adelante a través del SECOP II. En ese sentido, la fecha de </w:t>
      </w:r>
      <w:r w:rsidRPr="00903B75">
        <w:rPr>
          <w:rFonts w:ascii="Arial" w:hAnsi="Arial" w:cs="Arial"/>
          <w:i/>
          <w:iCs/>
          <w:sz w:val="22"/>
        </w:rPr>
        <w:t>publicación</w:t>
      </w:r>
      <w:r w:rsidRPr="000F6B47">
        <w:rPr>
          <w:rFonts w:ascii="Arial" w:hAnsi="Arial" w:cs="Arial"/>
          <w:sz w:val="22"/>
        </w:rPr>
        <w:t xml:space="preserve"> de la oferta económica no es un hecho que incida en la definición del método de ponderación aplicable, máxime cuando tratándose de procesos cuya publicidad se surta a través del SECOP I, de conformidad con el artículo 2.2.1.1.1.7.1 del Decreto 1082 de 2015, la única oferta que debe publicarse es la del adjudicatario, para lo cual además dicho artículo contempla un plazo de tres días</w:t>
      </w:r>
      <w:r w:rsidR="005A6DB3" w:rsidRPr="000F6B47">
        <w:rPr>
          <w:rStyle w:val="Refdenotaalpie"/>
          <w:rFonts w:ascii="Arial" w:hAnsi="Arial" w:cs="Arial"/>
          <w:sz w:val="22"/>
        </w:rPr>
        <w:footnoteReference w:id="3"/>
      </w:r>
      <w:r w:rsidRPr="000F6B47">
        <w:rPr>
          <w:rFonts w:ascii="Arial" w:hAnsi="Arial" w:cs="Arial"/>
          <w:sz w:val="22"/>
        </w:rPr>
        <w:t>.</w:t>
      </w:r>
    </w:p>
    <w:p w14:paraId="4C720373" w14:textId="77777777" w:rsidR="00AC2998" w:rsidRPr="000F6B47" w:rsidRDefault="00AC2998" w:rsidP="00020C75">
      <w:pPr>
        <w:tabs>
          <w:tab w:val="left" w:pos="426"/>
        </w:tabs>
        <w:spacing w:line="276" w:lineRule="auto"/>
        <w:jc w:val="both"/>
        <w:rPr>
          <w:rFonts w:ascii="Arial" w:eastAsia="Calibri" w:hAnsi="Arial" w:cs="Arial"/>
          <w:b/>
          <w:sz w:val="22"/>
        </w:rPr>
      </w:pPr>
    </w:p>
    <w:p w14:paraId="062670B5" w14:textId="66C14040" w:rsidR="00020C75" w:rsidRPr="000F6B47" w:rsidRDefault="00020C75" w:rsidP="00020C75">
      <w:pPr>
        <w:spacing w:line="276" w:lineRule="auto"/>
        <w:jc w:val="both"/>
        <w:rPr>
          <w:rFonts w:ascii="Arial" w:eastAsia="Calibri" w:hAnsi="Arial" w:cs="Arial"/>
          <w:b/>
          <w:bCs/>
          <w:sz w:val="22"/>
        </w:rPr>
      </w:pPr>
      <w:r w:rsidRPr="000F6B47">
        <w:rPr>
          <w:rFonts w:ascii="Arial" w:eastAsia="Calibri" w:hAnsi="Arial" w:cs="Arial"/>
          <w:b/>
          <w:bCs/>
          <w:sz w:val="22"/>
        </w:rPr>
        <w:lastRenderedPageBreak/>
        <w:t xml:space="preserve">2.2. </w:t>
      </w:r>
      <w:r w:rsidR="00AC2998" w:rsidRPr="000F6B47">
        <w:rPr>
          <w:rFonts w:ascii="Arial" w:eastAsia="Calibri" w:hAnsi="Arial" w:cs="Arial"/>
          <w:b/>
          <w:sz w:val="22"/>
        </w:rPr>
        <w:t xml:space="preserve">Ponderación de la oferta económica en los Documentos </w:t>
      </w:r>
      <w:proofErr w:type="gramStart"/>
      <w:r w:rsidR="00AC2998" w:rsidRPr="000F6B47">
        <w:rPr>
          <w:rFonts w:ascii="Arial" w:eastAsia="Calibri" w:hAnsi="Arial" w:cs="Arial"/>
          <w:b/>
          <w:sz w:val="22"/>
        </w:rPr>
        <w:t>Tipo  de</w:t>
      </w:r>
      <w:proofErr w:type="gramEnd"/>
      <w:r w:rsidR="00AC2998" w:rsidRPr="000F6B47">
        <w:rPr>
          <w:rFonts w:ascii="Arial" w:eastAsia="Calibri" w:hAnsi="Arial" w:cs="Arial"/>
          <w:b/>
          <w:sz w:val="22"/>
        </w:rPr>
        <w:t xml:space="preserve"> licitación de obra pública de infraestructura de transporte</w:t>
      </w:r>
      <w:r w:rsidR="001D1225">
        <w:rPr>
          <w:rFonts w:ascii="Arial" w:eastAsia="Calibri" w:hAnsi="Arial" w:cs="Arial"/>
          <w:b/>
          <w:sz w:val="22"/>
        </w:rPr>
        <w:t xml:space="preserve"> </w:t>
      </w:r>
      <w:r w:rsidR="001D1225" w:rsidRPr="000F6B47">
        <w:rPr>
          <w:rFonts w:ascii="Arial" w:eastAsia="Calibri" w:hAnsi="Arial" w:cs="Arial"/>
          <w:b/>
          <w:sz w:val="22"/>
        </w:rPr>
        <w:t>– Versión 3</w:t>
      </w:r>
    </w:p>
    <w:p w14:paraId="0BBE71ED" w14:textId="7E12E02E" w:rsidR="00020C75" w:rsidRPr="000F6B47" w:rsidRDefault="00020C75" w:rsidP="00730ED5">
      <w:pPr>
        <w:jc w:val="both"/>
        <w:rPr>
          <w:rFonts w:ascii="Arial" w:eastAsia="Calibri" w:hAnsi="Arial" w:cs="Arial"/>
          <w:b/>
          <w:bCs/>
          <w:sz w:val="22"/>
        </w:rPr>
      </w:pPr>
    </w:p>
    <w:p w14:paraId="547571D8" w14:textId="456D5FCF" w:rsidR="00E35104" w:rsidRPr="000F6B47" w:rsidRDefault="00AC2998" w:rsidP="00E35104">
      <w:pPr>
        <w:spacing w:after="120" w:line="276" w:lineRule="auto"/>
        <w:jc w:val="both"/>
        <w:rPr>
          <w:rFonts w:ascii="Arial" w:eastAsia="Calibri" w:hAnsi="Arial" w:cs="Arial"/>
          <w:b/>
          <w:bCs/>
          <w:sz w:val="22"/>
        </w:rPr>
      </w:pPr>
      <w:r w:rsidRPr="000F6B47">
        <w:rPr>
          <w:rFonts w:ascii="Arial" w:eastAsia="Calibri" w:hAnsi="Arial" w:cs="Arial"/>
          <w:sz w:val="22"/>
        </w:rPr>
        <w:t>El documento base expedido por la Resolución No. 240 de 2020</w:t>
      </w:r>
      <w:r w:rsidR="006633E2" w:rsidRPr="000F6B47">
        <w:rPr>
          <w:rFonts w:ascii="Arial" w:eastAsia="Calibri" w:hAnsi="Arial" w:cs="Arial"/>
          <w:sz w:val="22"/>
        </w:rPr>
        <w:t xml:space="preserve">, esencialmente, conserva </w:t>
      </w:r>
      <w:r w:rsidR="0079748E" w:rsidRPr="000F6B47">
        <w:rPr>
          <w:rFonts w:ascii="Arial" w:eastAsia="Calibri" w:hAnsi="Arial" w:cs="Arial"/>
          <w:sz w:val="22"/>
        </w:rPr>
        <w:t xml:space="preserve">el mecanismo para la determinación del método de ponderación de la oferta económica </w:t>
      </w:r>
      <w:r w:rsidR="00576639" w:rsidRPr="000F6B47">
        <w:rPr>
          <w:rFonts w:ascii="Arial" w:eastAsia="Calibri" w:hAnsi="Arial" w:cs="Arial"/>
          <w:sz w:val="22"/>
        </w:rPr>
        <w:t xml:space="preserve">con base en la TRM publicada por </w:t>
      </w:r>
      <w:r w:rsidR="001D1225">
        <w:rPr>
          <w:rFonts w:ascii="Arial" w:eastAsia="Calibri" w:hAnsi="Arial" w:cs="Arial"/>
          <w:sz w:val="22"/>
        </w:rPr>
        <w:t xml:space="preserve">la </w:t>
      </w:r>
      <w:r w:rsidR="00576639" w:rsidRPr="000F6B47">
        <w:rPr>
          <w:rFonts w:ascii="Arial" w:eastAsia="Calibri" w:hAnsi="Arial" w:cs="Arial"/>
          <w:sz w:val="22"/>
        </w:rPr>
        <w:t>Superfinanciera.</w:t>
      </w:r>
      <w:r w:rsidR="004B0F7C" w:rsidRPr="000F6B47">
        <w:rPr>
          <w:rFonts w:ascii="Arial" w:eastAsia="Calibri" w:hAnsi="Arial" w:cs="Arial"/>
          <w:sz w:val="22"/>
        </w:rPr>
        <w:t xml:space="preserve"> En ese sentido, el numeral 4.1.4 conserva los métodos de Mediana con valor absoluto, Media geométrica, Media aritmética baja y Menor valor</w:t>
      </w:r>
      <w:r w:rsidR="00E35104" w:rsidRPr="000F6B47">
        <w:rPr>
          <w:rFonts w:ascii="Arial" w:eastAsia="Calibri" w:hAnsi="Arial" w:cs="Arial"/>
          <w:sz w:val="22"/>
        </w:rPr>
        <w:t>, los cuales deben aplicarse de manera</w:t>
      </w:r>
      <w:r w:rsidR="00A13FCB" w:rsidRPr="000F6B47">
        <w:rPr>
          <w:rFonts w:ascii="Arial" w:eastAsia="Calibri" w:hAnsi="Arial" w:cs="Arial"/>
          <w:sz w:val="22"/>
        </w:rPr>
        <w:t xml:space="preserve"> aleatoria</w:t>
      </w:r>
      <w:r w:rsidR="00DD12C6" w:rsidRPr="000F6B47">
        <w:rPr>
          <w:rFonts w:ascii="Arial" w:eastAsia="Calibri" w:hAnsi="Arial" w:cs="Arial"/>
          <w:sz w:val="22"/>
        </w:rPr>
        <w:t xml:space="preserve"> según los </w:t>
      </w:r>
      <w:r w:rsidR="00062FC4" w:rsidRPr="000F6B47">
        <w:rPr>
          <w:rFonts w:ascii="Arial" w:eastAsia="Calibri" w:hAnsi="Arial" w:cs="Arial"/>
          <w:sz w:val="22"/>
        </w:rPr>
        <w:t>centavos de la TRM publicada por la Superfinanciera</w:t>
      </w:r>
      <w:r w:rsidR="00062FC4" w:rsidRPr="000F6B47">
        <w:rPr>
          <w:rStyle w:val="Refdenotaalpie"/>
          <w:rFonts w:ascii="Arial" w:eastAsia="Calibri" w:hAnsi="Arial" w:cs="Arial"/>
          <w:sz w:val="22"/>
        </w:rPr>
        <w:footnoteReference w:id="4"/>
      </w:r>
      <w:r w:rsidR="00730ED5" w:rsidRPr="000F6B47">
        <w:rPr>
          <w:rFonts w:ascii="Arial" w:eastAsia="Calibri" w:hAnsi="Arial" w:cs="Arial"/>
          <w:sz w:val="22"/>
        </w:rPr>
        <w:t xml:space="preserve">. </w:t>
      </w:r>
      <w:r w:rsidR="007E32A3" w:rsidRPr="000F6B47">
        <w:rPr>
          <w:rFonts w:ascii="Arial" w:eastAsia="Calibri" w:hAnsi="Arial" w:cs="Arial"/>
          <w:sz w:val="22"/>
        </w:rPr>
        <w:t xml:space="preserve">No obstante, dicho documento base introduce </w:t>
      </w:r>
      <w:r w:rsidR="00192F4D" w:rsidRPr="000F6B47">
        <w:rPr>
          <w:rFonts w:ascii="Arial" w:eastAsia="Calibri" w:hAnsi="Arial" w:cs="Arial"/>
          <w:sz w:val="22"/>
        </w:rPr>
        <w:t xml:space="preserve">variaciones respecto de ciertos aspectos. </w:t>
      </w:r>
      <w:r w:rsidR="00192F4D" w:rsidRPr="000F6B47">
        <w:rPr>
          <w:rFonts w:ascii="Arial" w:eastAsia="Calibri" w:hAnsi="Arial" w:cs="Arial"/>
          <w:b/>
          <w:bCs/>
          <w:sz w:val="22"/>
        </w:rPr>
        <w:tab/>
      </w:r>
    </w:p>
    <w:p w14:paraId="776E3833" w14:textId="7A85D217" w:rsidR="00AC2998" w:rsidRPr="000F6B47" w:rsidRDefault="00192F4D" w:rsidP="00E35104">
      <w:pPr>
        <w:spacing w:after="120" w:line="276" w:lineRule="auto"/>
        <w:ind w:firstLine="708"/>
        <w:jc w:val="both"/>
        <w:rPr>
          <w:rFonts w:ascii="Arial" w:eastAsia="Calibri" w:hAnsi="Arial" w:cs="Arial"/>
          <w:sz w:val="22"/>
        </w:rPr>
      </w:pPr>
      <w:r w:rsidRPr="000F6B47">
        <w:rPr>
          <w:rFonts w:ascii="Arial" w:eastAsia="Calibri" w:hAnsi="Arial" w:cs="Arial"/>
          <w:sz w:val="22"/>
        </w:rPr>
        <w:t xml:space="preserve">En primer lugar, </w:t>
      </w:r>
      <w:r w:rsidR="00621252" w:rsidRPr="000F6B47">
        <w:rPr>
          <w:rFonts w:ascii="Arial" w:eastAsia="Calibri" w:hAnsi="Arial" w:cs="Arial"/>
          <w:sz w:val="22"/>
        </w:rPr>
        <w:t>la</w:t>
      </w:r>
      <w:r w:rsidR="00C44EE0" w:rsidRPr="000F6B47">
        <w:rPr>
          <w:rFonts w:ascii="Arial" w:eastAsia="Calibri" w:hAnsi="Arial" w:cs="Arial"/>
          <w:sz w:val="22"/>
        </w:rPr>
        <w:t xml:space="preserve"> aplicaci</w:t>
      </w:r>
      <w:r w:rsidR="006F5E34" w:rsidRPr="000F6B47">
        <w:rPr>
          <w:rFonts w:ascii="Arial" w:eastAsia="Calibri" w:hAnsi="Arial" w:cs="Arial"/>
          <w:sz w:val="22"/>
        </w:rPr>
        <w:t xml:space="preserve">ón </w:t>
      </w:r>
      <w:r w:rsidR="00AC12A5" w:rsidRPr="000F6B47">
        <w:rPr>
          <w:rFonts w:ascii="Arial" w:eastAsia="Calibri" w:hAnsi="Arial" w:cs="Arial"/>
          <w:sz w:val="22"/>
        </w:rPr>
        <w:t>diferencial de la TRM en virtud del uso de SECOP I y SECOP II</w:t>
      </w:r>
      <w:r w:rsidR="00810D38" w:rsidRPr="000F6B47">
        <w:rPr>
          <w:rFonts w:ascii="Arial" w:eastAsia="Calibri" w:hAnsi="Arial" w:cs="Arial"/>
          <w:sz w:val="22"/>
        </w:rPr>
        <w:t xml:space="preserve"> desaparece, en la medida que el numeral 4.1.4 </w:t>
      </w:r>
      <w:r w:rsidR="005D7BC4" w:rsidRPr="000F6B47">
        <w:rPr>
          <w:rFonts w:ascii="Arial" w:eastAsia="Calibri" w:hAnsi="Arial" w:cs="Arial"/>
          <w:sz w:val="22"/>
        </w:rPr>
        <w:t xml:space="preserve">establece que </w:t>
      </w:r>
      <w:r w:rsidR="00133D31" w:rsidRPr="000F6B47">
        <w:rPr>
          <w:rFonts w:ascii="Arial" w:eastAsia="Calibri" w:hAnsi="Arial" w:cs="Arial"/>
          <w:sz w:val="22"/>
        </w:rPr>
        <w:t>la determinación</w:t>
      </w:r>
      <w:r w:rsidR="005D7BC4" w:rsidRPr="000F6B47">
        <w:t xml:space="preserve"> </w:t>
      </w:r>
      <w:r w:rsidR="00133D31" w:rsidRPr="000F6B47">
        <w:t>d</w:t>
      </w:r>
      <w:r w:rsidR="005D7BC4" w:rsidRPr="000F6B47">
        <w:rPr>
          <w:rFonts w:ascii="Arial" w:eastAsia="Calibri" w:hAnsi="Arial" w:cs="Arial"/>
          <w:sz w:val="22"/>
        </w:rPr>
        <w:t xml:space="preserve">el método de ponderación de las propuestas </w:t>
      </w:r>
      <w:r w:rsidR="00133D31" w:rsidRPr="000F6B47">
        <w:rPr>
          <w:rFonts w:ascii="Arial" w:eastAsia="Calibri" w:hAnsi="Arial" w:cs="Arial"/>
          <w:sz w:val="22"/>
        </w:rPr>
        <w:t>se realizará «</w:t>
      </w:r>
      <w:r w:rsidR="005D7BC4" w:rsidRPr="000F6B47">
        <w:rPr>
          <w:rFonts w:ascii="Arial" w:eastAsia="Calibri" w:hAnsi="Arial" w:cs="Arial"/>
          <w:sz w:val="22"/>
        </w:rPr>
        <w:t>de acuerdo con la TRM que rija al día hábil siguiente</w:t>
      </w:r>
      <w:r w:rsidR="00133D31" w:rsidRPr="000F6B47">
        <w:rPr>
          <w:rFonts w:ascii="Arial" w:eastAsia="Calibri" w:hAnsi="Arial" w:cs="Arial"/>
          <w:sz w:val="22"/>
        </w:rPr>
        <w:t>», sin establecer ningún condicionamiento al respecto.</w:t>
      </w:r>
    </w:p>
    <w:p w14:paraId="7AD9C266" w14:textId="4AC82CB7" w:rsidR="00E540D9" w:rsidRPr="000F6B47" w:rsidRDefault="00E540D9" w:rsidP="00E35104">
      <w:pPr>
        <w:spacing w:after="120" w:line="276" w:lineRule="auto"/>
        <w:ind w:firstLine="708"/>
        <w:jc w:val="both"/>
        <w:rPr>
          <w:rFonts w:ascii="Arial" w:hAnsi="Arial" w:cs="Arial"/>
          <w:sz w:val="22"/>
        </w:rPr>
      </w:pPr>
      <w:r w:rsidRPr="000F6B47">
        <w:rPr>
          <w:rFonts w:ascii="Arial" w:eastAsia="Calibri" w:hAnsi="Arial" w:cs="Arial"/>
          <w:sz w:val="22"/>
        </w:rPr>
        <w:lastRenderedPageBreak/>
        <w:t xml:space="preserve">De otra parte, </w:t>
      </w:r>
      <w:r w:rsidR="00D019F7" w:rsidRPr="000F6B47">
        <w:rPr>
          <w:rFonts w:ascii="Arial" w:eastAsia="Calibri" w:hAnsi="Arial" w:cs="Arial"/>
          <w:sz w:val="22"/>
        </w:rPr>
        <w:t>el numeral 4.1.4 al regular el mecanismo de escogencia del método de ponderación</w:t>
      </w:r>
      <w:r w:rsidR="00770236" w:rsidRPr="000F6B47">
        <w:rPr>
          <w:rFonts w:ascii="Arial" w:eastAsia="Calibri" w:hAnsi="Arial" w:cs="Arial"/>
          <w:sz w:val="22"/>
        </w:rPr>
        <w:t xml:space="preserve">, reglamenta aspectos propios del desarrollo de la </w:t>
      </w:r>
      <w:r w:rsidR="00870ED5" w:rsidRPr="000F6B47">
        <w:rPr>
          <w:rFonts w:ascii="Arial" w:eastAsia="Calibri" w:hAnsi="Arial" w:cs="Arial"/>
          <w:sz w:val="22"/>
        </w:rPr>
        <w:t>apertura de los sobres contentivos de las ofertas económicas y del desarrollo de la audiencia de adjudicación</w:t>
      </w:r>
      <w:r w:rsidR="00FB7EA5" w:rsidRPr="000F6B47">
        <w:rPr>
          <w:rFonts w:ascii="Arial" w:eastAsia="Calibri" w:hAnsi="Arial" w:cs="Arial"/>
          <w:sz w:val="22"/>
        </w:rPr>
        <w:t xml:space="preserve">, </w:t>
      </w:r>
      <w:r w:rsidR="000E022D" w:rsidRPr="000F6B47">
        <w:rPr>
          <w:rFonts w:ascii="Arial" w:eastAsia="Calibri" w:hAnsi="Arial" w:cs="Arial"/>
          <w:sz w:val="22"/>
        </w:rPr>
        <w:t>no contemplados en los numerales 2.4</w:t>
      </w:r>
      <w:r w:rsidR="0002436F" w:rsidRPr="000F6B47">
        <w:rPr>
          <w:rFonts w:ascii="Arial" w:eastAsia="Calibri" w:hAnsi="Arial" w:cs="Arial"/>
          <w:sz w:val="22"/>
        </w:rPr>
        <w:t xml:space="preserve"> y 2.6 del referido documento base</w:t>
      </w:r>
      <w:r w:rsidR="00B95FD8" w:rsidRPr="000F6B47">
        <w:rPr>
          <w:rStyle w:val="Refdenotaalpie"/>
          <w:rFonts w:ascii="Arial" w:eastAsia="Calibri" w:hAnsi="Arial" w:cs="Arial"/>
          <w:sz w:val="22"/>
        </w:rPr>
        <w:footnoteReference w:id="5"/>
      </w:r>
      <w:r w:rsidR="00972961" w:rsidRPr="000F6B47">
        <w:rPr>
          <w:rFonts w:ascii="Arial" w:eastAsia="Calibri" w:hAnsi="Arial" w:cs="Arial"/>
          <w:sz w:val="22"/>
        </w:rPr>
        <w:t>.</w:t>
      </w:r>
      <w:r w:rsidR="00BA5D11" w:rsidRPr="000F6B47">
        <w:rPr>
          <w:rFonts w:ascii="Arial" w:eastAsia="Calibri" w:hAnsi="Arial" w:cs="Arial"/>
          <w:sz w:val="22"/>
        </w:rPr>
        <w:t xml:space="preserve"> E</w:t>
      </w:r>
      <w:r w:rsidR="00CA0CEC" w:rsidRPr="000F6B47">
        <w:rPr>
          <w:rFonts w:ascii="Arial" w:eastAsia="Calibri" w:hAnsi="Arial" w:cs="Arial"/>
          <w:sz w:val="22"/>
        </w:rPr>
        <w:t xml:space="preserve">n particular, </w:t>
      </w:r>
      <w:r w:rsidR="000E42B2" w:rsidRPr="000F6B47">
        <w:rPr>
          <w:rFonts w:ascii="Arial" w:eastAsia="Calibri" w:hAnsi="Arial" w:cs="Arial"/>
          <w:sz w:val="22"/>
        </w:rPr>
        <w:t>el numeral 4.1.4</w:t>
      </w:r>
      <w:r w:rsidR="005A45D1" w:rsidRPr="000F6B47">
        <w:rPr>
          <w:rFonts w:ascii="Arial" w:eastAsia="Calibri" w:hAnsi="Arial" w:cs="Arial"/>
          <w:sz w:val="22"/>
        </w:rPr>
        <w:t xml:space="preserve"> establece que «la entidad debe finalizar la apertura de los sobres económicos hasta antes de las 3:00 pm»</w:t>
      </w:r>
      <w:r w:rsidR="000B356E" w:rsidRPr="000F6B47">
        <w:rPr>
          <w:rFonts w:ascii="Arial" w:eastAsia="Calibri" w:hAnsi="Arial" w:cs="Arial"/>
          <w:sz w:val="22"/>
        </w:rPr>
        <w:t>, de tal manera que «</w:t>
      </w:r>
      <w:r w:rsidR="000B356E" w:rsidRPr="000F6B47">
        <w:rPr>
          <w:rFonts w:ascii="Arial" w:hAnsi="Arial" w:cs="Arial"/>
          <w:sz w:val="22"/>
        </w:rPr>
        <w:t xml:space="preserve">la entidad no podrá abrir los sobres económicos teniendo conocimiento de la TRM que regirá al día hábil siguiente», la cual suele ser publicada por la Superfinanciera </w:t>
      </w:r>
      <w:r w:rsidR="009072FF" w:rsidRPr="000F6B47">
        <w:rPr>
          <w:rFonts w:ascii="Arial" w:hAnsi="Arial" w:cs="Arial"/>
          <w:sz w:val="22"/>
        </w:rPr>
        <w:t xml:space="preserve">entre las 4:00 pm y las 6:00 pm. </w:t>
      </w:r>
    </w:p>
    <w:p w14:paraId="0588FF82" w14:textId="79DABA5D" w:rsidR="003B37B3" w:rsidRPr="000F6B47" w:rsidRDefault="00724825" w:rsidP="00E35104">
      <w:pPr>
        <w:spacing w:after="120" w:line="276" w:lineRule="auto"/>
        <w:ind w:firstLine="708"/>
        <w:jc w:val="both"/>
        <w:rPr>
          <w:rFonts w:ascii="Arial" w:hAnsi="Arial" w:cs="Arial"/>
          <w:sz w:val="22"/>
        </w:rPr>
      </w:pPr>
      <w:r w:rsidRPr="000F6B47">
        <w:rPr>
          <w:rFonts w:ascii="Arial" w:hAnsi="Arial" w:cs="Arial"/>
          <w:sz w:val="22"/>
        </w:rPr>
        <w:t>Lo anterior indica que</w:t>
      </w:r>
      <w:r w:rsidR="001732F4" w:rsidRPr="000F6B47">
        <w:rPr>
          <w:rFonts w:ascii="Arial" w:hAnsi="Arial" w:cs="Arial"/>
          <w:sz w:val="22"/>
        </w:rPr>
        <w:t>, en lo relativo a la apertura de los sobres content</w:t>
      </w:r>
      <w:r w:rsidR="00671634" w:rsidRPr="000F6B47">
        <w:rPr>
          <w:rFonts w:ascii="Arial" w:hAnsi="Arial" w:cs="Arial"/>
          <w:sz w:val="22"/>
        </w:rPr>
        <w:t xml:space="preserve">ivos de la oferta económica, la Versión 3 del </w:t>
      </w:r>
      <w:r w:rsidR="00CD7E66" w:rsidRPr="000F6B47">
        <w:rPr>
          <w:rFonts w:ascii="Arial" w:hAnsi="Arial" w:cs="Arial"/>
          <w:sz w:val="22"/>
        </w:rPr>
        <w:t xml:space="preserve">aludido </w:t>
      </w:r>
      <w:r w:rsidR="00671634" w:rsidRPr="000F6B47">
        <w:rPr>
          <w:rFonts w:ascii="Arial" w:hAnsi="Arial" w:cs="Arial"/>
          <w:sz w:val="22"/>
        </w:rPr>
        <w:t>documento base</w:t>
      </w:r>
      <w:r w:rsidR="00CD7E66" w:rsidRPr="000F6B47">
        <w:rPr>
          <w:rFonts w:ascii="Arial" w:hAnsi="Arial" w:cs="Arial"/>
          <w:sz w:val="22"/>
        </w:rPr>
        <w:t xml:space="preserve"> mantiene la obligación de iniciar</w:t>
      </w:r>
      <w:r w:rsidR="005442C6" w:rsidRPr="000F6B47">
        <w:rPr>
          <w:rFonts w:ascii="Arial" w:hAnsi="Arial" w:cs="Arial"/>
          <w:sz w:val="22"/>
        </w:rPr>
        <w:t xml:space="preserve"> y finalizar</w:t>
      </w:r>
      <w:r w:rsidR="00CD7E66" w:rsidRPr="000F6B47">
        <w:rPr>
          <w:rFonts w:ascii="Arial" w:hAnsi="Arial" w:cs="Arial"/>
          <w:sz w:val="22"/>
        </w:rPr>
        <w:t xml:space="preserve"> la apertura de los sobres</w:t>
      </w:r>
      <w:r w:rsidR="005442C6" w:rsidRPr="000F6B47">
        <w:rPr>
          <w:rFonts w:ascii="Arial" w:hAnsi="Arial" w:cs="Arial"/>
          <w:sz w:val="22"/>
        </w:rPr>
        <w:t xml:space="preserve"> en un mismo día, en el que también deberá definirse el método de ponderación, pero estableciendo además que ello deberá </w:t>
      </w:r>
      <w:r w:rsidR="00626171" w:rsidRPr="000F6B47">
        <w:rPr>
          <w:rFonts w:ascii="Arial" w:hAnsi="Arial" w:cs="Arial"/>
          <w:sz w:val="22"/>
        </w:rPr>
        <w:t xml:space="preserve">llevarse a cabo antes de las 3:00 pm del respectivo día. </w:t>
      </w:r>
    </w:p>
    <w:p w14:paraId="541B2DC3" w14:textId="66119650" w:rsidR="00D10995" w:rsidRPr="000F6B47" w:rsidRDefault="00C666EC" w:rsidP="00D10995">
      <w:pPr>
        <w:spacing w:after="120" w:line="276" w:lineRule="auto"/>
        <w:ind w:firstLine="708"/>
        <w:jc w:val="both"/>
        <w:rPr>
          <w:rFonts w:ascii="Arial" w:hAnsi="Arial" w:cs="Arial"/>
          <w:sz w:val="22"/>
        </w:rPr>
      </w:pPr>
      <w:r w:rsidRPr="000F6B47">
        <w:rPr>
          <w:rFonts w:ascii="Arial" w:hAnsi="Arial" w:cs="Arial"/>
          <w:sz w:val="22"/>
        </w:rPr>
        <w:lastRenderedPageBreak/>
        <w:t xml:space="preserve">En ese sentido, </w:t>
      </w:r>
      <w:r w:rsidR="00702472" w:rsidRPr="000F6B47">
        <w:rPr>
          <w:rFonts w:ascii="Arial" w:hAnsi="Arial" w:cs="Arial"/>
          <w:sz w:val="22"/>
        </w:rPr>
        <w:t xml:space="preserve">el numeral 4.1.4 establece </w:t>
      </w:r>
      <w:r w:rsidR="00461DDA" w:rsidRPr="000F6B47">
        <w:rPr>
          <w:rFonts w:ascii="Arial" w:hAnsi="Arial" w:cs="Arial"/>
          <w:sz w:val="22"/>
        </w:rPr>
        <w:t>que,</w:t>
      </w:r>
      <w:r w:rsidR="00702472" w:rsidRPr="000F6B47">
        <w:rPr>
          <w:rFonts w:ascii="Arial" w:hAnsi="Arial" w:cs="Arial"/>
          <w:sz w:val="22"/>
        </w:rPr>
        <w:t xml:space="preserve"> para poder cumplir con estos supuestos, atend</w:t>
      </w:r>
      <w:r w:rsidR="00664A9B" w:rsidRPr="000F6B47">
        <w:rPr>
          <w:rFonts w:ascii="Arial" w:hAnsi="Arial" w:cs="Arial"/>
          <w:sz w:val="22"/>
        </w:rPr>
        <w:t xml:space="preserve">iendo a las particularidades de cada proceso, la entidad podrá </w:t>
      </w:r>
      <w:r w:rsidR="00990B16" w:rsidRPr="000F6B47">
        <w:rPr>
          <w:rFonts w:ascii="Arial" w:hAnsi="Arial" w:cs="Arial"/>
          <w:sz w:val="22"/>
        </w:rPr>
        <w:t>suspender la audiencia y reiniciarla cuando estime conveniente, de tal manera que la apertura de las ofertas económicas y la determinación del método de ponderación</w:t>
      </w:r>
      <w:r w:rsidR="00557CC0" w:rsidRPr="000F6B47">
        <w:rPr>
          <w:rFonts w:ascii="Arial" w:hAnsi="Arial" w:cs="Arial"/>
          <w:sz w:val="22"/>
        </w:rPr>
        <w:t xml:space="preserve"> puedan ocurrir un mismo </w:t>
      </w:r>
      <w:proofErr w:type="gramStart"/>
      <w:r w:rsidR="00557CC0" w:rsidRPr="000F6B47">
        <w:rPr>
          <w:rFonts w:ascii="Arial" w:hAnsi="Arial" w:cs="Arial"/>
          <w:sz w:val="22"/>
        </w:rPr>
        <w:t xml:space="preserve">día </w:t>
      </w:r>
      <w:r w:rsidR="0070345F">
        <w:rPr>
          <w:rFonts w:ascii="Arial" w:hAnsi="Arial" w:cs="Arial"/>
          <w:sz w:val="22"/>
        </w:rPr>
        <w:t>,</w:t>
      </w:r>
      <w:proofErr w:type="gramEnd"/>
      <w:r w:rsidR="0070345F">
        <w:rPr>
          <w:rFonts w:ascii="Arial" w:hAnsi="Arial" w:cs="Arial"/>
          <w:sz w:val="22"/>
        </w:rPr>
        <w:t xml:space="preserve"> culminando la apertura antes de las 3:00 pm</w:t>
      </w:r>
      <w:r w:rsidR="00557CC0" w:rsidRPr="000F6B47">
        <w:rPr>
          <w:rFonts w:ascii="Arial" w:hAnsi="Arial" w:cs="Arial"/>
          <w:sz w:val="22"/>
        </w:rPr>
        <w:t xml:space="preserve">. </w:t>
      </w:r>
    </w:p>
    <w:p w14:paraId="1C756994" w14:textId="68AD14FF" w:rsidR="00D10995" w:rsidRPr="000F6B47" w:rsidRDefault="00D10995" w:rsidP="004A134C">
      <w:pPr>
        <w:spacing w:after="120" w:line="276" w:lineRule="auto"/>
        <w:ind w:firstLine="709"/>
        <w:jc w:val="both"/>
        <w:rPr>
          <w:rFonts w:ascii="Arial" w:hAnsi="Arial" w:cs="Arial"/>
          <w:sz w:val="22"/>
        </w:rPr>
      </w:pPr>
      <w:r w:rsidRPr="000F6B47">
        <w:rPr>
          <w:rFonts w:ascii="Arial" w:hAnsi="Arial" w:cs="Arial"/>
          <w:sz w:val="22"/>
        </w:rPr>
        <w:t xml:space="preserve">Estos cambios en el mecanismo para definir de forma aleatoria el método de ponderación de las ofertas </w:t>
      </w:r>
      <w:r w:rsidR="0093274F" w:rsidRPr="000F6B47">
        <w:rPr>
          <w:rFonts w:ascii="Arial" w:hAnsi="Arial" w:cs="Arial"/>
          <w:sz w:val="22"/>
        </w:rPr>
        <w:t xml:space="preserve">económicas, garantizan mayor transparencia en </w:t>
      </w:r>
      <w:r w:rsidR="003A54DF" w:rsidRPr="000F6B47">
        <w:rPr>
          <w:rFonts w:ascii="Arial" w:hAnsi="Arial" w:cs="Arial"/>
          <w:sz w:val="22"/>
        </w:rPr>
        <w:t>la ponderación</w:t>
      </w:r>
      <w:r w:rsidR="00592120" w:rsidRPr="000F6B47">
        <w:rPr>
          <w:rFonts w:ascii="Arial" w:hAnsi="Arial" w:cs="Arial"/>
          <w:sz w:val="22"/>
        </w:rPr>
        <w:t xml:space="preserve"> respecto de la regulación </w:t>
      </w:r>
      <w:r w:rsidR="00893FF9" w:rsidRPr="000F6B47">
        <w:rPr>
          <w:rFonts w:ascii="Arial" w:hAnsi="Arial" w:cs="Arial"/>
          <w:sz w:val="22"/>
        </w:rPr>
        <w:t>instaurada por la Versión 2 de los referidos documentos tipo. Esto en la medida en que</w:t>
      </w:r>
      <w:r w:rsidR="00C4278E" w:rsidRPr="000F6B47">
        <w:rPr>
          <w:rFonts w:ascii="Arial" w:hAnsi="Arial" w:cs="Arial"/>
          <w:sz w:val="22"/>
        </w:rPr>
        <w:t xml:space="preserve"> </w:t>
      </w:r>
      <w:r w:rsidR="00893FF9" w:rsidRPr="000F6B47">
        <w:rPr>
          <w:rFonts w:ascii="Arial" w:hAnsi="Arial" w:cs="Arial"/>
          <w:sz w:val="22"/>
        </w:rPr>
        <w:t>establecer una hora l</w:t>
      </w:r>
      <w:r w:rsidR="00E1452C">
        <w:rPr>
          <w:rFonts w:ascii="Arial" w:hAnsi="Arial" w:cs="Arial"/>
          <w:sz w:val="22"/>
        </w:rPr>
        <w:t>í</w:t>
      </w:r>
      <w:r w:rsidR="00893FF9" w:rsidRPr="000F6B47">
        <w:rPr>
          <w:rFonts w:ascii="Arial" w:hAnsi="Arial" w:cs="Arial"/>
          <w:sz w:val="22"/>
        </w:rPr>
        <w:t xml:space="preserve">mite para la </w:t>
      </w:r>
      <w:r w:rsidR="0003130E" w:rsidRPr="000F6B47">
        <w:rPr>
          <w:rFonts w:ascii="Arial" w:hAnsi="Arial" w:cs="Arial"/>
          <w:sz w:val="22"/>
        </w:rPr>
        <w:t>apertura</w:t>
      </w:r>
      <w:r w:rsidR="00893FF9" w:rsidRPr="000F6B47">
        <w:rPr>
          <w:rFonts w:ascii="Arial" w:hAnsi="Arial" w:cs="Arial"/>
          <w:sz w:val="22"/>
        </w:rPr>
        <w:t xml:space="preserve"> de</w:t>
      </w:r>
      <w:r w:rsidR="0003130E" w:rsidRPr="000F6B47">
        <w:rPr>
          <w:rFonts w:ascii="Arial" w:hAnsi="Arial" w:cs="Arial"/>
          <w:sz w:val="22"/>
        </w:rPr>
        <w:t xml:space="preserve"> las</w:t>
      </w:r>
      <w:r w:rsidR="00893FF9" w:rsidRPr="000F6B47">
        <w:rPr>
          <w:rFonts w:ascii="Arial" w:hAnsi="Arial" w:cs="Arial"/>
          <w:sz w:val="22"/>
        </w:rPr>
        <w:t xml:space="preserve"> ofertas </w:t>
      </w:r>
      <w:r w:rsidR="001F314C" w:rsidRPr="000F6B47">
        <w:rPr>
          <w:rFonts w:ascii="Arial" w:hAnsi="Arial" w:cs="Arial"/>
          <w:sz w:val="22"/>
        </w:rPr>
        <w:t>garantiza</w:t>
      </w:r>
      <w:r w:rsidR="00C4278E" w:rsidRPr="000F6B47">
        <w:rPr>
          <w:rFonts w:ascii="Arial" w:hAnsi="Arial" w:cs="Arial"/>
          <w:sz w:val="22"/>
        </w:rPr>
        <w:t xml:space="preserve"> que las entidades estatales </w:t>
      </w:r>
      <w:r w:rsidR="00103D53" w:rsidRPr="000F6B47">
        <w:rPr>
          <w:rFonts w:ascii="Arial" w:hAnsi="Arial" w:cs="Arial"/>
          <w:sz w:val="22"/>
        </w:rPr>
        <w:t>no puedan</w:t>
      </w:r>
      <w:r w:rsidR="001F314C" w:rsidRPr="000F6B47">
        <w:rPr>
          <w:rFonts w:ascii="Arial" w:hAnsi="Arial" w:cs="Arial"/>
          <w:sz w:val="22"/>
        </w:rPr>
        <w:t>,</w:t>
      </w:r>
      <w:r w:rsidR="00103D53" w:rsidRPr="000F6B47">
        <w:rPr>
          <w:rFonts w:ascii="Arial" w:hAnsi="Arial" w:cs="Arial"/>
          <w:sz w:val="22"/>
        </w:rPr>
        <w:t xml:space="preserve"> </w:t>
      </w:r>
      <w:r w:rsidR="0003130E" w:rsidRPr="000F6B47">
        <w:rPr>
          <w:rFonts w:ascii="Arial" w:hAnsi="Arial" w:cs="Arial"/>
          <w:sz w:val="22"/>
        </w:rPr>
        <w:t>antes o durante la apertura de las ofertas</w:t>
      </w:r>
      <w:r w:rsidR="001F314C" w:rsidRPr="000F6B47">
        <w:rPr>
          <w:rFonts w:ascii="Arial" w:hAnsi="Arial" w:cs="Arial"/>
          <w:sz w:val="22"/>
        </w:rPr>
        <w:t>, conocer</w:t>
      </w:r>
      <w:r w:rsidR="00557D69" w:rsidRPr="000F6B47">
        <w:rPr>
          <w:rFonts w:ascii="Arial" w:hAnsi="Arial" w:cs="Arial"/>
          <w:sz w:val="22"/>
        </w:rPr>
        <w:t xml:space="preserve"> la TRM que determinará el método de ponderación</w:t>
      </w:r>
      <w:r w:rsidR="00E1452C">
        <w:rPr>
          <w:rFonts w:ascii="Arial" w:hAnsi="Arial" w:cs="Arial"/>
          <w:sz w:val="22"/>
        </w:rPr>
        <w:t>,</w:t>
      </w:r>
      <w:r w:rsidR="001F314C" w:rsidRPr="000F6B47">
        <w:rPr>
          <w:rFonts w:ascii="Arial" w:hAnsi="Arial" w:cs="Arial"/>
          <w:sz w:val="22"/>
        </w:rPr>
        <w:t xml:space="preserve"> </w:t>
      </w:r>
      <w:r w:rsidR="0003130E" w:rsidRPr="000F6B47">
        <w:rPr>
          <w:rFonts w:ascii="Arial" w:hAnsi="Arial" w:cs="Arial"/>
          <w:sz w:val="22"/>
        </w:rPr>
        <w:t xml:space="preserve">comoquiera que </w:t>
      </w:r>
      <w:r w:rsidR="00DE0BC4" w:rsidRPr="000F6B47">
        <w:rPr>
          <w:rFonts w:ascii="Arial" w:hAnsi="Arial" w:cs="Arial"/>
          <w:sz w:val="22"/>
        </w:rPr>
        <w:t xml:space="preserve">esta </w:t>
      </w:r>
      <w:r w:rsidR="00E1452C">
        <w:rPr>
          <w:rFonts w:ascii="Arial" w:hAnsi="Arial" w:cs="Arial"/>
          <w:sz w:val="22"/>
        </w:rPr>
        <w:t>sería</w:t>
      </w:r>
      <w:r w:rsidR="00DE0BC4" w:rsidRPr="000F6B47">
        <w:rPr>
          <w:rFonts w:ascii="Arial" w:hAnsi="Arial" w:cs="Arial"/>
          <w:sz w:val="22"/>
        </w:rPr>
        <w:t xml:space="preserve"> publicada por la Superfinanciera </w:t>
      </w:r>
      <w:r w:rsidR="00E1452C">
        <w:rPr>
          <w:rFonts w:ascii="Arial" w:hAnsi="Arial" w:cs="Arial"/>
          <w:sz w:val="22"/>
        </w:rPr>
        <w:t>en un momento posterior a</w:t>
      </w:r>
      <w:r w:rsidR="00CD1AF2" w:rsidRPr="000F6B47">
        <w:rPr>
          <w:rFonts w:ascii="Arial" w:hAnsi="Arial" w:cs="Arial"/>
          <w:sz w:val="22"/>
        </w:rPr>
        <w:t xml:space="preserve"> la apertura de </w:t>
      </w:r>
      <w:r w:rsidR="00E1452C">
        <w:rPr>
          <w:rFonts w:ascii="Arial" w:hAnsi="Arial" w:cs="Arial"/>
          <w:sz w:val="22"/>
        </w:rPr>
        <w:t xml:space="preserve">todas </w:t>
      </w:r>
      <w:r w:rsidR="00CD1AF2" w:rsidRPr="000F6B47">
        <w:rPr>
          <w:rFonts w:ascii="Arial" w:hAnsi="Arial" w:cs="Arial"/>
          <w:sz w:val="22"/>
        </w:rPr>
        <w:t>las ofertas</w:t>
      </w:r>
      <w:r w:rsidR="00E1452C">
        <w:rPr>
          <w:rFonts w:ascii="Arial" w:hAnsi="Arial" w:cs="Arial"/>
          <w:sz w:val="22"/>
        </w:rPr>
        <w:t xml:space="preserve"> económicas</w:t>
      </w:r>
      <w:r w:rsidR="00CD1AF2" w:rsidRPr="000F6B47">
        <w:rPr>
          <w:rFonts w:ascii="Arial" w:hAnsi="Arial" w:cs="Arial"/>
          <w:sz w:val="22"/>
        </w:rPr>
        <w:t xml:space="preserve">. </w:t>
      </w:r>
    </w:p>
    <w:p w14:paraId="2AD060EE" w14:textId="530B72D2" w:rsidR="00831EDC" w:rsidRPr="000F6B47" w:rsidRDefault="00724825" w:rsidP="00C06B89">
      <w:pPr>
        <w:spacing w:line="276" w:lineRule="auto"/>
        <w:ind w:firstLine="709"/>
        <w:jc w:val="both"/>
        <w:rPr>
          <w:rFonts w:ascii="Arial" w:hAnsi="Arial" w:cs="Arial"/>
          <w:sz w:val="22"/>
        </w:rPr>
      </w:pPr>
      <w:r w:rsidRPr="000F6B47">
        <w:rPr>
          <w:rFonts w:ascii="Arial" w:hAnsi="Arial" w:cs="Arial"/>
          <w:sz w:val="22"/>
        </w:rPr>
        <w:t xml:space="preserve">De acuerdo con lo anterior, al igual que en la Versión 2 del documento tipo de licitación de obra pública de infraestructura de transporte, la </w:t>
      </w:r>
      <w:r w:rsidRPr="00903B75">
        <w:rPr>
          <w:rFonts w:ascii="Arial" w:hAnsi="Arial" w:cs="Arial"/>
          <w:i/>
          <w:iCs/>
          <w:sz w:val="22"/>
        </w:rPr>
        <w:t>publicación</w:t>
      </w:r>
      <w:r w:rsidRPr="000F6B47">
        <w:rPr>
          <w:rFonts w:ascii="Arial" w:hAnsi="Arial" w:cs="Arial"/>
          <w:sz w:val="22"/>
        </w:rPr>
        <w:t xml:space="preserve"> de la</w:t>
      </w:r>
      <w:r w:rsidR="0092338A" w:rsidRPr="000F6B47">
        <w:rPr>
          <w:rFonts w:ascii="Arial" w:hAnsi="Arial" w:cs="Arial"/>
          <w:sz w:val="22"/>
        </w:rPr>
        <w:t>s</w:t>
      </w:r>
      <w:r w:rsidRPr="000F6B47">
        <w:rPr>
          <w:rFonts w:ascii="Arial" w:hAnsi="Arial" w:cs="Arial"/>
          <w:sz w:val="22"/>
        </w:rPr>
        <w:t xml:space="preserve"> oferta</w:t>
      </w:r>
      <w:r w:rsidR="0092338A" w:rsidRPr="000F6B47">
        <w:rPr>
          <w:rFonts w:ascii="Arial" w:hAnsi="Arial" w:cs="Arial"/>
          <w:sz w:val="22"/>
        </w:rPr>
        <w:t>s</w:t>
      </w:r>
      <w:r w:rsidRPr="000F6B47">
        <w:rPr>
          <w:rFonts w:ascii="Arial" w:hAnsi="Arial" w:cs="Arial"/>
          <w:sz w:val="22"/>
        </w:rPr>
        <w:t xml:space="preserve"> </w:t>
      </w:r>
      <w:r w:rsidR="0092338A" w:rsidRPr="000F6B47">
        <w:rPr>
          <w:rFonts w:ascii="Arial" w:hAnsi="Arial" w:cs="Arial"/>
          <w:sz w:val="22"/>
        </w:rPr>
        <w:t>económicas no es un factor qu</w:t>
      </w:r>
      <w:r w:rsidR="00C06B89" w:rsidRPr="000F6B47">
        <w:rPr>
          <w:rFonts w:ascii="Arial" w:hAnsi="Arial" w:cs="Arial"/>
          <w:sz w:val="22"/>
        </w:rPr>
        <w:t>e incida en la determinación del método de ponderación de la oferta económica</w:t>
      </w:r>
      <w:r w:rsidR="00E1452C">
        <w:rPr>
          <w:rFonts w:ascii="Arial" w:hAnsi="Arial" w:cs="Arial"/>
          <w:sz w:val="22"/>
        </w:rPr>
        <w:t>; sino que esta determinación se realiza conforme a las reglas expuestas.</w:t>
      </w:r>
    </w:p>
    <w:p w14:paraId="6F4AD1A7" w14:textId="77777777" w:rsidR="00EA7163" w:rsidRPr="000F6B47" w:rsidRDefault="00EA7163" w:rsidP="002E4EF5">
      <w:pPr>
        <w:ind w:firstLine="709"/>
        <w:jc w:val="both"/>
        <w:rPr>
          <w:rFonts w:ascii="Arial" w:hAnsi="Arial" w:cs="Arial"/>
          <w:b/>
          <w:bCs/>
          <w:sz w:val="22"/>
        </w:rPr>
      </w:pPr>
    </w:p>
    <w:p w14:paraId="406EDBEB" w14:textId="5E2ACB91" w:rsidR="000A156A" w:rsidRPr="000F6B47" w:rsidRDefault="000A156A" w:rsidP="00796492">
      <w:pPr>
        <w:spacing w:line="276" w:lineRule="auto"/>
        <w:jc w:val="both"/>
        <w:rPr>
          <w:rFonts w:ascii="Arial" w:hAnsi="Arial" w:cs="Arial"/>
          <w:b/>
          <w:bCs/>
          <w:sz w:val="22"/>
        </w:rPr>
      </w:pPr>
      <w:r w:rsidRPr="000F6B47">
        <w:rPr>
          <w:rFonts w:ascii="Arial" w:hAnsi="Arial" w:cs="Arial"/>
          <w:b/>
          <w:bCs/>
          <w:sz w:val="22"/>
        </w:rPr>
        <w:t>2.</w:t>
      </w:r>
      <w:r w:rsidR="00831EDC" w:rsidRPr="000F6B47">
        <w:rPr>
          <w:rFonts w:ascii="Arial" w:hAnsi="Arial" w:cs="Arial"/>
          <w:b/>
          <w:bCs/>
          <w:sz w:val="22"/>
        </w:rPr>
        <w:t>3. Informe de evaluación de los requisitos habilitantes</w:t>
      </w:r>
    </w:p>
    <w:p w14:paraId="3508A397" w14:textId="77777777" w:rsidR="00796492" w:rsidRPr="000F6B47" w:rsidRDefault="00796492" w:rsidP="002E4EF5">
      <w:pPr>
        <w:jc w:val="both"/>
        <w:rPr>
          <w:rFonts w:ascii="Arial" w:hAnsi="Arial" w:cs="Arial"/>
          <w:sz w:val="22"/>
        </w:rPr>
      </w:pPr>
    </w:p>
    <w:p w14:paraId="303E01FE" w14:textId="77488AFA" w:rsidR="00252C05" w:rsidRPr="000F6B47" w:rsidRDefault="00CC5818" w:rsidP="000A156A">
      <w:pPr>
        <w:spacing w:after="120" w:line="276" w:lineRule="auto"/>
        <w:jc w:val="both"/>
        <w:rPr>
          <w:rFonts w:ascii="Arial" w:hAnsi="Arial" w:cs="Arial"/>
          <w:sz w:val="22"/>
        </w:rPr>
      </w:pPr>
      <w:r w:rsidRPr="000F6B47">
        <w:rPr>
          <w:rFonts w:ascii="Arial" w:hAnsi="Arial" w:cs="Arial"/>
          <w:sz w:val="22"/>
        </w:rPr>
        <w:t>Explicado lo anterior</w:t>
      </w:r>
      <w:r w:rsidR="00030B9C" w:rsidRPr="000F6B47">
        <w:rPr>
          <w:rFonts w:ascii="Arial" w:hAnsi="Arial" w:cs="Arial"/>
          <w:sz w:val="22"/>
        </w:rPr>
        <w:t xml:space="preserve">, </w:t>
      </w:r>
      <w:r w:rsidR="006C6777" w:rsidRPr="000F6B47">
        <w:rPr>
          <w:rFonts w:ascii="Arial" w:hAnsi="Arial" w:cs="Arial"/>
          <w:sz w:val="22"/>
        </w:rPr>
        <w:t>l</w:t>
      </w:r>
      <w:r w:rsidR="00030B9C" w:rsidRPr="000F6B47">
        <w:rPr>
          <w:rFonts w:ascii="Arial" w:hAnsi="Arial" w:cs="Arial"/>
          <w:sz w:val="22"/>
        </w:rPr>
        <w:t>a</w:t>
      </w:r>
      <w:r w:rsidR="00E001BB" w:rsidRPr="000F6B47">
        <w:rPr>
          <w:rFonts w:ascii="Arial" w:hAnsi="Arial" w:cs="Arial"/>
          <w:sz w:val="22"/>
        </w:rPr>
        <w:t xml:space="preserve"> hipótesis planteada en la consulta</w:t>
      </w:r>
      <w:r w:rsidR="006C6777" w:rsidRPr="000F6B47">
        <w:rPr>
          <w:rFonts w:ascii="Arial" w:hAnsi="Arial" w:cs="Arial"/>
          <w:sz w:val="22"/>
        </w:rPr>
        <w:t>, relativa a la</w:t>
      </w:r>
      <w:r w:rsidR="00030B9C" w:rsidRPr="000F6B47">
        <w:rPr>
          <w:rFonts w:ascii="Arial" w:hAnsi="Arial" w:cs="Arial"/>
          <w:sz w:val="22"/>
        </w:rPr>
        <w:t xml:space="preserve"> posibilidad de que con posterioridad a la apertura de l</w:t>
      </w:r>
      <w:r w:rsidR="00C2300C" w:rsidRPr="000F6B47">
        <w:rPr>
          <w:rFonts w:ascii="Arial" w:hAnsi="Arial" w:cs="Arial"/>
          <w:sz w:val="22"/>
        </w:rPr>
        <w:t>as ofertas económicas</w:t>
      </w:r>
      <w:r w:rsidR="00030B9C" w:rsidRPr="000F6B47">
        <w:rPr>
          <w:rFonts w:ascii="Arial" w:hAnsi="Arial" w:cs="Arial"/>
          <w:sz w:val="22"/>
        </w:rPr>
        <w:t xml:space="preserve"> de los proponentes en principio habilitados se habilite otro proponente, </w:t>
      </w:r>
      <w:r w:rsidR="007E4270" w:rsidRPr="000F6B47">
        <w:rPr>
          <w:rFonts w:ascii="Arial" w:hAnsi="Arial" w:cs="Arial"/>
          <w:sz w:val="22"/>
        </w:rPr>
        <w:t xml:space="preserve">amerita </w:t>
      </w:r>
      <w:r w:rsidR="00030B9C" w:rsidRPr="000F6B47">
        <w:rPr>
          <w:rFonts w:ascii="Arial" w:hAnsi="Arial" w:cs="Arial"/>
          <w:sz w:val="22"/>
        </w:rPr>
        <w:t>l</w:t>
      </w:r>
      <w:r w:rsidR="007E4270" w:rsidRPr="000F6B47">
        <w:rPr>
          <w:rFonts w:ascii="Arial" w:hAnsi="Arial" w:cs="Arial"/>
          <w:sz w:val="22"/>
        </w:rPr>
        <w:t>a</w:t>
      </w:r>
      <w:r w:rsidR="00252C05" w:rsidRPr="000F6B47">
        <w:rPr>
          <w:rFonts w:ascii="Arial" w:hAnsi="Arial" w:cs="Arial"/>
          <w:sz w:val="22"/>
        </w:rPr>
        <w:t>s</w:t>
      </w:r>
      <w:r w:rsidR="00030B9C" w:rsidRPr="000F6B47">
        <w:rPr>
          <w:rFonts w:ascii="Arial" w:hAnsi="Arial" w:cs="Arial"/>
          <w:sz w:val="22"/>
        </w:rPr>
        <w:t xml:space="preserve"> siguiente</w:t>
      </w:r>
      <w:r w:rsidR="00252C05" w:rsidRPr="000F6B47">
        <w:rPr>
          <w:rFonts w:ascii="Arial" w:hAnsi="Arial" w:cs="Arial"/>
          <w:sz w:val="22"/>
        </w:rPr>
        <w:t>s</w:t>
      </w:r>
      <w:r w:rsidR="007E4270" w:rsidRPr="000F6B47">
        <w:rPr>
          <w:rFonts w:ascii="Arial" w:hAnsi="Arial" w:cs="Arial"/>
          <w:sz w:val="22"/>
        </w:rPr>
        <w:t xml:space="preserve"> consideraci</w:t>
      </w:r>
      <w:r w:rsidR="00252C05" w:rsidRPr="000F6B47">
        <w:rPr>
          <w:rFonts w:ascii="Arial" w:hAnsi="Arial" w:cs="Arial"/>
          <w:sz w:val="22"/>
        </w:rPr>
        <w:t>ones</w:t>
      </w:r>
      <w:r w:rsidR="00030B9C" w:rsidRPr="000F6B47">
        <w:rPr>
          <w:rFonts w:ascii="Arial" w:hAnsi="Arial" w:cs="Arial"/>
          <w:sz w:val="22"/>
        </w:rPr>
        <w:t xml:space="preserve">. </w:t>
      </w:r>
    </w:p>
    <w:p w14:paraId="72A031E7" w14:textId="2B12D150" w:rsidR="00030B9C" w:rsidRPr="000F6B47" w:rsidRDefault="00030B9C" w:rsidP="00252C05">
      <w:pPr>
        <w:spacing w:after="120" w:line="276" w:lineRule="auto"/>
        <w:ind w:firstLine="708"/>
        <w:jc w:val="both"/>
        <w:rPr>
          <w:rFonts w:ascii="Arial" w:hAnsi="Arial" w:cs="Arial"/>
          <w:sz w:val="22"/>
        </w:rPr>
      </w:pPr>
      <w:r w:rsidRPr="000F6B47">
        <w:rPr>
          <w:rFonts w:ascii="Arial" w:hAnsi="Arial" w:cs="Arial"/>
          <w:sz w:val="22"/>
        </w:rPr>
        <w:t>De conformidad con el parágrafo 3 del artículo 30 de la Ley 80 de 1993, adicionado por la Ley 1882 de 2018</w:t>
      </w:r>
      <w:r w:rsidR="00A7382A" w:rsidRPr="000F6B47">
        <w:rPr>
          <w:rStyle w:val="Refdenotaalpie"/>
          <w:rFonts w:ascii="Arial" w:hAnsi="Arial" w:cs="Arial"/>
          <w:sz w:val="22"/>
        </w:rPr>
        <w:footnoteReference w:id="6"/>
      </w:r>
      <w:r w:rsidRPr="000F6B47">
        <w:rPr>
          <w:rFonts w:ascii="Arial" w:hAnsi="Arial" w:cs="Arial"/>
          <w:sz w:val="22"/>
        </w:rPr>
        <w:t xml:space="preserve">, y desarrollados por los numerales </w:t>
      </w:r>
      <w:r w:rsidR="0083451D" w:rsidRPr="000F6B47">
        <w:rPr>
          <w:rFonts w:ascii="Arial" w:hAnsi="Arial" w:cs="Arial"/>
          <w:sz w:val="22"/>
        </w:rPr>
        <w:t xml:space="preserve">2.4, </w:t>
      </w:r>
      <w:r w:rsidRPr="000F6B47">
        <w:rPr>
          <w:rFonts w:ascii="Arial" w:hAnsi="Arial" w:cs="Arial"/>
          <w:sz w:val="22"/>
        </w:rPr>
        <w:t>2.5</w:t>
      </w:r>
      <w:r w:rsidR="0083451D" w:rsidRPr="000F6B47">
        <w:rPr>
          <w:rFonts w:ascii="Arial" w:hAnsi="Arial" w:cs="Arial"/>
          <w:sz w:val="22"/>
        </w:rPr>
        <w:t xml:space="preserve"> y 2.6</w:t>
      </w:r>
      <w:r w:rsidRPr="000F6B47">
        <w:rPr>
          <w:rFonts w:ascii="Arial" w:hAnsi="Arial" w:cs="Arial"/>
          <w:sz w:val="22"/>
        </w:rPr>
        <w:t xml:space="preserve"> del Documento </w:t>
      </w:r>
      <w:r w:rsidRPr="000F6B47">
        <w:rPr>
          <w:rFonts w:ascii="Arial" w:hAnsi="Arial" w:cs="Arial"/>
          <w:sz w:val="22"/>
        </w:rPr>
        <w:lastRenderedPageBreak/>
        <w:t>Base de licitación de obra pública –Versi</w:t>
      </w:r>
      <w:r w:rsidR="00944EA7" w:rsidRPr="000F6B47">
        <w:rPr>
          <w:rFonts w:ascii="Arial" w:hAnsi="Arial" w:cs="Arial"/>
          <w:sz w:val="22"/>
        </w:rPr>
        <w:t>ones</w:t>
      </w:r>
      <w:r w:rsidRPr="000F6B47">
        <w:rPr>
          <w:rFonts w:ascii="Arial" w:hAnsi="Arial" w:cs="Arial"/>
          <w:sz w:val="22"/>
        </w:rPr>
        <w:t xml:space="preserve"> 2</w:t>
      </w:r>
      <w:r w:rsidR="00944EA7" w:rsidRPr="000F6B47">
        <w:rPr>
          <w:rFonts w:ascii="Arial" w:hAnsi="Arial" w:cs="Arial"/>
          <w:sz w:val="22"/>
        </w:rPr>
        <w:t xml:space="preserve"> y 3</w:t>
      </w:r>
      <w:r w:rsidRPr="000F6B47">
        <w:rPr>
          <w:rFonts w:ascii="Arial" w:hAnsi="Arial" w:cs="Arial"/>
          <w:sz w:val="22"/>
        </w:rPr>
        <w:t>–, las entidades estatales, antes de la celebración de la audiencia efectiva de adjudicación, deben publicar un informe de evaluación de los requisitos habilitantes, el cual debe permanecer publicado en el SECOP por un término de 5 días, durante el cual los proponentes podrán presentar observaciones y allegar los documentos necesarios para subsanar el cumplimiento de tales requerimientos</w:t>
      </w:r>
      <w:r w:rsidR="0083451D" w:rsidRPr="000F6B47">
        <w:rPr>
          <w:rStyle w:val="Refdenotaalpie"/>
          <w:rFonts w:ascii="Arial" w:hAnsi="Arial" w:cs="Arial"/>
          <w:sz w:val="22"/>
        </w:rPr>
        <w:footnoteReference w:id="7"/>
      </w:r>
      <w:r w:rsidRPr="000F6B47">
        <w:rPr>
          <w:rFonts w:ascii="Arial" w:hAnsi="Arial" w:cs="Arial"/>
          <w:sz w:val="22"/>
        </w:rPr>
        <w:t>.</w:t>
      </w:r>
    </w:p>
    <w:p w14:paraId="4520E837" w14:textId="7940C99D" w:rsidR="00107AF4" w:rsidRPr="000F6B47" w:rsidRDefault="00030B9C" w:rsidP="00030B9C">
      <w:pPr>
        <w:spacing w:after="120" w:line="276" w:lineRule="auto"/>
        <w:ind w:firstLine="708"/>
        <w:jc w:val="both"/>
        <w:rPr>
          <w:rFonts w:ascii="Arial" w:hAnsi="Arial" w:cs="Arial"/>
          <w:sz w:val="22"/>
        </w:rPr>
      </w:pPr>
      <w:r w:rsidRPr="000F6B47">
        <w:rPr>
          <w:rFonts w:ascii="Arial" w:hAnsi="Arial" w:cs="Arial"/>
          <w:sz w:val="22"/>
        </w:rPr>
        <w:t>Al cabo de dicho término las entidades deben responder las observaciones y a más tardar el día antes de la audiencia efectiva de adjudicación</w:t>
      </w:r>
      <w:r w:rsidR="00E1452C">
        <w:rPr>
          <w:rFonts w:ascii="Arial" w:hAnsi="Arial" w:cs="Arial"/>
          <w:sz w:val="22"/>
        </w:rPr>
        <w:t>,</w:t>
      </w:r>
      <w:r w:rsidRPr="000F6B47">
        <w:rPr>
          <w:rFonts w:ascii="Arial" w:hAnsi="Arial" w:cs="Arial"/>
          <w:sz w:val="22"/>
        </w:rPr>
        <w:t xml:space="preserve"> hasta las 11:59 </w:t>
      </w:r>
      <w:proofErr w:type="spellStart"/>
      <w:r w:rsidRPr="000F6B47">
        <w:rPr>
          <w:rFonts w:ascii="Arial" w:hAnsi="Arial" w:cs="Arial"/>
          <w:sz w:val="22"/>
        </w:rPr>
        <w:t>p.m</w:t>
      </w:r>
      <w:proofErr w:type="spellEnd"/>
      <w:r w:rsidRPr="000F6B47">
        <w:rPr>
          <w:rFonts w:ascii="Arial" w:hAnsi="Arial" w:cs="Arial"/>
          <w:sz w:val="22"/>
        </w:rPr>
        <w:t>, la entidad debe publicar el informe final de evaluación, en caso de que el inicial haya sufrido variaciones. Respecto de dicho informe, en el curso de la audiencia efectiva de adjudicación, la entidad deberá conceder el uso de la palabra para que los proponentes formulen observaciones, las cuales, en todo caso, deberán ser resueltas antes de proceder a la apertura de l</w:t>
      </w:r>
      <w:r w:rsidR="003344A2" w:rsidRPr="000F6B47">
        <w:rPr>
          <w:rFonts w:ascii="Arial" w:hAnsi="Arial" w:cs="Arial"/>
          <w:sz w:val="22"/>
        </w:rPr>
        <w:t xml:space="preserve">as ofertas económicas. </w:t>
      </w:r>
    </w:p>
    <w:p w14:paraId="5E3509A2" w14:textId="344BD47C" w:rsidR="00020C75" w:rsidRPr="000F6B47" w:rsidRDefault="009955F9" w:rsidP="009955F9">
      <w:pPr>
        <w:spacing w:line="276" w:lineRule="auto"/>
        <w:ind w:firstLine="708"/>
        <w:jc w:val="both"/>
        <w:rPr>
          <w:rFonts w:ascii="Arial" w:eastAsia="Calibri" w:hAnsi="Arial" w:cs="Arial"/>
          <w:sz w:val="22"/>
        </w:rPr>
      </w:pPr>
      <w:r w:rsidRPr="000F6B47">
        <w:rPr>
          <w:rFonts w:ascii="Arial" w:hAnsi="Arial" w:cs="Arial"/>
          <w:sz w:val="22"/>
        </w:rPr>
        <w:t xml:space="preserve">Lo anterior significa que </w:t>
      </w:r>
      <w:r w:rsidR="00030B9C" w:rsidRPr="000F6B47">
        <w:rPr>
          <w:rFonts w:ascii="Arial" w:hAnsi="Arial" w:cs="Arial"/>
          <w:sz w:val="22"/>
        </w:rPr>
        <w:t>el adecuado desarrollo del procedimiento descrito implica que antes de proceder a la apertura de los sobres económicos, ya se hayan agotado todas las oportunidades relacionadas con la evaluación de los requisitos habilitantes, por lo que no resultaría en principio posible que se habiliten más proponentes después de abrirse las ofertas económicas</w:t>
      </w:r>
      <w:r w:rsidR="00E1452C">
        <w:rPr>
          <w:rFonts w:ascii="Arial" w:eastAsia="Calibri" w:hAnsi="Arial" w:cs="Arial"/>
          <w:sz w:val="22"/>
        </w:rPr>
        <w:t xml:space="preserve">. Lo anterior, sin perjuicio de que con ocasión de la apertura de </w:t>
      </w:r>
      <w:r w:rsidR="00F96ED2">
        <w:rPr>
          <w:rFonts w:ascii="Arial" w:eastAsia="Calibri" w:hAnsi="Arial" w:cs="Arial"/>
          <w:sz w:val="22"/>
        </w:rPr>
        <w:t>las ofertas económicas</w:t>
      </w:r>
      <w:r w:rsidR="00E1452C">
        <w:rPr>
          <w:rFonts w:ascii="Arial" w:eastAsia="Calibri" w:hAnsi="Arial" w:cs="Arial"/>
          <w:sz w:val="22"/>
        </w:rPr>
        <w:t xml:space="preserve"> la entidad advierta que alguno de los proponentes incurrió en una </w:t>
      </w:r>
      <w:r w:rsidR="00E1452C">
        <w:rPr>
          <w:rFonts w:ascii="Arial" w:eastAsia="Calibri" w:hAnsi="Arial" w:cs="Arial"/>
          <w:sz w:val="22"/>
        </w:rPr>
        <w:lastRenderedPageBreak/>
        <w:t xml:space="preserve">causal de rechazo, por lo que podría excluir a tal proponente del </w:t>
      </w:r>
      <w:r w:rsidR="00F96ED2">
        <w:rPr>
          <w:rFonts w:ascii="Arial" w:eastAsia="Calibri" w:hAnsi="Arial" w:cs="Arial"/>
          <w:sz w:val="22"/>
        </w:rPr>
        <w:t>procedimiento</w:t>
      </w:r>
      <w:r w:rsidR="00E1452C">
        <w:rPr>
          <w:rFonts w:ascii="Arial" w:eastAsia="Calibri" w:hAnsi="Arial" w:cs="Arial"/>
          <w:sz w:val="22"/>
        </w:rPr>
        <w:t xml:space="preserve"> de selección, concediéndole la oportunidad de presentar observaciones frente a la decisión de rechazo. Sin embargo, aunque con ocasión de la apertura de las ofertas económicas se pueda </w:t>
      </w:r>
      <w:r w:rsidR="00F96ED2">
        <w:rPr>
          <w:rFonts w:ascii="Arial" w:eastAsia="Calibri" w:hAnsi="Arial" w:cs="Arial"/>
          <w:sz w:val="22"/>
        </w:rPr>
        <w:t>advertir</w:t>
      </w:r>
      <w:r w:rsidR="00E1452C">
        <w:rPr>
          <w:rFonts w:ascii="Arial" w:eastAsia="Calibri" w:hAnsi="Arial" w:cs="Arial"/>
          <w:sz w:val="22"/>
        </w:rPr>
        <w:t xml:space="preserve"> que algún proponente </w:t>
      </w:r>
      <w:r w:rsidR="00F96ED2">
        <w:rPr>
          <w:rFonts w:ascii="Arial" w:eastAsia="Calibri" w:hAnsi="Arial" w:cs="Arial"/>
          <w:sz w:val="22"/>
        </w:rPr>
        <w:t>amerite</w:t>
      </w:r>
      <w:r w:rsidR="00E1452C">
        <w:rPr>
          <w:rFonts w:ascii="Arial" w:eastAsia="Calibri" w:hAnsi="Arial" w:cs="Arial"/>
          <w:sz w:val="22"/>
        </w:rPr>
        <w:t xml:space="preserve"> ser rechazado, ello no implica que esta sea una instancia para </w:t>
      </w:r>
      <w:r w:rsidR="00F96ED2">
        <w:rPr>
          <w:rFonts w:ascii="Arial" w:eastAsia="Calibri" w:hAnsi="Arial" w:cs="Arial"/>
          <w:sz w:val="22"/>
        </w:rPr>
        <w:t>“habilitar”</w:t>
      </w:r>
      <w:r w:rsidR="00E1452C">
        <w:rPr>
          <w:rFonts w:ascii="Arial" w:eastAsia="Calibri" w:hAnsi="Arial" w:cs="Arial"/>
          <w:sz w:val="22"/>
        </w:rPr>
        <w:t xml:space="preserve"> nuevos proponentes.</w:t>
      </w:r>
    </w:p>
    <w:p w14:paraId="33BF847D" w14:textId="77777777" w:rsidR="00020C75" w:rsidRPr="000F6B47" w:rsidRDefault="00020C75" w:rsidP="00020C75">
      <w:pPr>
        <w:pStyle w:val="Prrafodelista"/>
        <w:tabs>
          <w:tab w:val="left" w:pos="284"/>
        </w:tabs>
        <w:spacing w:line="276" w:lineRule="auto"/>
        <w:ind w:left="0"/>
        <w:jc w:val="both"/>
        <w:rPr>
          <w:rFonts w:ascii="Arial" w:eastAsia="Calibri" w:hAnsi="Arial" w:cs="Arial"/>
          <w:sz w:val="22"/>
        </w:rPr>
      </w:pPr>
      <w:r w:rsidRPr="000F6B47">
        <w:rPr>
          <w:rFonts w:ascii="Arial" w:eastAsia="Calibri" w:hAnsi="Arial" w:cs="Arial"/>
          <w:bCs/>
          <w:sz w:val="22"/>
        </w:rPr>
        <w:tab/>
      </w:r>
      <w:r w:rsidRPr="000F6B47">
        <w:rPr>
          <w:rFonts w:ascii="Arial" w:eastAsia="Calibri" w:hAnsi="Arial" w:cs="Arial"/>
          <w:bCs/>
          <w:sz w:val="22"/>
        </w:rPr>
        <w:tab/>
      </w:r>
    </w:p>
    <w:p w14:paraId="554A73D2" w14:textId="77777777" w:rsidR="00020C75" w:rsidRPr="000F6B47" w:rsidRDefault="00020C75" w:rsidP="00020C75">
      <w:pPr>
        <w:pStyle w:val="Prrafodelista"/>
        <w:tabs>
          <w:tab w:val="left" w:pos="284"/>
        </w:tabs>
        <w:spacing w:line="276" w:lineRule="auto"/>
        <w:ind w:left="0"/>
        <w:jc w:val="both"/>
        <w:rPr>
          <w:rFonts w:ascii="Arial" w:eastAsia="Calibri" w:hAnsi="Arial" w:cs="Arial"/>
          <w:sz w:val="22"/>
        </w:rPr>
      </w:pPr>
      <w:r w:rsidRPr="000F6B47">
        <w:rPr>
          <w:rFonts w:ascii="Arial" w:eastAsia="Calibri" w:hAnsi="Arial" w:cs="Arial"/>
          <w:b/>
          <w:sz w:val="22"/>
        </w:rPr>
        <w:t>3. Respuestas</w:t>
      </w:r>
    </w:p>
    <w:p w14:paraId="244A12E9" w14:textId="77777777" w:rsidR="00020C75" w:rsidRPr="000F6B47" w:rsidRDefault="00020C75" w:rsidP="00740FD6">
      <w:pPr>
        <w:ind w:left="709" w:right="709"/>
        <w:jc w:val="both"/>
        <w:rPr>
          <w:rFonts w:ascii="Arial" w:eastAsia="Calibri" w:hAnsi="Arial" w:cs="Arial"/>
          <w:iCs/>
          <w:sz w:val="22"/>
        </w:rPr>
      </w:pPr>
    </w:p>
    <w:p w14:paraId="542596FB" w14:textId="77777777" w:rsidR="009955F9" w:rsidRPr="000F6B47" w:rsidRDefault="009955F9" w:rsidP="009955F9">
      <w:pPr>
        <w:tabs>
          <w:tab w:val="left" w:pos="426"/>
        </w:tabs>
        <w:ind w:left="709" w:right="709"/>
        <w:jc w:val="both"/>
        <w:rPr>
          <w:rFonts w:ascii="Arial" w:eastAsia="Calibri" w:hAnsi="Arial" w:cs="Arial"/>
          <w:sz w:val="21"/>
          <w:szCs w:val="21"/>
        </w:rPr>
      </w:pPr>
      <w:r w:rsidRPr="000F6B47">
        <w:rPr>
          <w:rFonts w:ascii="Arial" w:eastAsia="Calibri" w:hAnsi="Arial" w:cs="Arial"/>
          <w:sz w:val="21"/>
          <w:szCs w:val="21"/>
        </w:rPr>
        <w:t>«[...] 1.</w:t>
      </w:r>
      <w:r w:rsidRPr="000F6B47">
        <w:rPr>
          <w:rFonts w:ascii="Arial" w:eastAsia="Calibri" w:hAnsi="Arial" w:cs="Arial"/>
          <w:sz w:val="21"/>
          <w:szCs w:val="21"/>
        </w:rPr>
        <w:tab/>
        <w:t xml:space="preserve">Que sucede si una entidad realiza la apertura economice de los </w:t>
      </w:r>
      <w:proofErr w:type="gramStart"/>
      <w:r w:rsidRPr="000F6B47">
        <w:rPr>
          <w:rFonts w:ascii="Arial" w:eastAsia="Calibri" w:hAnsi="Arial" w:cs="Arial"/>
          <w:sz w:val="21"/>
          <w:szCs w:val="21"/>
        </w:rPr>
        <w:t>sobre económicos</w:t>
      </w:r>
      <w:proofErr w:type="gramEnd"/>
      <w:r w:rsidRPr="000F6B47">
        <w:rPr>
          <w:rFonts w:ascii="Arial" w:eastAsia="Calibri" w:hAnsi="Arial" w:cs="Arial"/>
          <w:sz w:val="21"/>
          <w:szCs w:val="21"/>
        </w:rPr>
        <w:t xml:space="preserve"> por poner un ejemplo el día 15 de enero y el día 16 de enero habilita otro proponente, y abre su oferta económica ese </w:t>
      </w:r>
      <w:proofErr w:type="spellStart"/>
      <w:r w:rsidRPr="000F6B47">
        <w:rPr>
          <w:rFonts w:ascii="Arial" w:eastAsia="Calibri" w:hAnsi="Arial" w:cs="Arial"/>
          <w:sz w:val="21"/>
          <w:szCs w:val="21"/>
        </w:rPr>
        <w:t>dia</w:t>
      </w:r>
      <w:proofErr w:type="spellEnd"/>
      <w:r w:rsidRPr="000F6B47">
        <w:rPr>
          <w:rFonts w:ascii="Arial" w:eastAsia="Calibri" w:hAnsi="Arial" w:cs="Arial"/>
          <w:sz w:val="21"/>
          <w:szCs w:val="21"/>
        </w:rPr>
        <w:t xml:space="preserve">. </w:t>
      </w:r>
      <w:proofErr w:type="gramStart"/>
      <w:r w:rsidRPr="000F6B47">
        <w:rPr>
          <w:rFonts w:ascii="Arial" w:eastAsia="Calibri" w:hAnsi="Arial" w:cs="Arial"/>
          <w:sz w:val="21"/>
          <w:szCs w:val="21"/>
        </w:rPr>
        <w:t xml:space="preserve">La TRM de </w:t>
      </w:r>
      <w:proofErr w:type="spellStart"/>
      <w:r w:rsidRPr="000F6B47">
        <w:rPr>
          <w:rFonts w:ascii="Arial" w:eastAsia="Calibri" w:hAnsi="Arial" w:cs="Arial"/>
          <w:sz w:val="21"/>
          <w:szCs w:val="21"/>
        </w:rPr>
        <w:t>cual</w:t>
      </w:r>
      <w:proofErr w:type="spellEnd"/>
      <w:r w:rsidRPr="000F6B47">
        <w:rPr>
          <w:rFonts w:ascii="Arial" w:eastAsia="Calibri" w:hAnsi="Arial" w:cs="Arial"/>
          <w:sz w:val="21"/>
          <w:szCs w:val="21"/>
        </w:rPr>
        <w:t xml:space="preserve"> de los dos días debería regir para la selección de formula?</w:t>
      </w:r>
      <w:proofErr w:type="gramEnd"/>
    </w:p>
    <w:p w14:paraId="411E0030" w14:textId="77777777" w:rsidR="009955F9" w:rsidRPr="000F6B47" w:rsidRDefault="009955F9" w:rsidP="009955F9">
      <w:pPr>
        <w:tabs>
          <w:tab w:val="left" w:pos="426"/>
        </w:tabs>
        <w:ind w:left="709" w:right="709"/>
        <w:jc w:val="both"/>
        <w:rPr>
          <w:rFonts w:ascii="Arial" w:eastAsia="Calibri" w:hAnsi="Arial" w:cs="Arial"/>
          <w:sz w:val="21"/>
          <w:szCs w:val="21"/>
        </w:rPr>
      </w:pPr>
    </w:p>
    <w:p w14:paraId="36FA0595" w14:textId="071ED08A" w:rsidR="009955F9" w:rsidRPr="000F6B47" w:rsidRDefault="009955F9" w:rsidP="009955F9">
      <w:pPr>
        <w:tabs>
          <w:tab w:val="left" w:pos="426"/>
        </w:tabs>
        <w:ind w:left="709" w:right="709"/>
        <w:jc w:val="both"/>
        <w:rPr>
          <w:rFonts w:ascii="Arial" w:eastAsia="Calibri" w:hAnsi="Arial" w:cs="Arial"/>
          <w:sz w:val="21"/>
          <w:szCs w:val="21"/>
        </w:rPr>
      </w:pPr>
      <w:r w:rsidRPr="000F6B47">
        <w:rPr>
          <w:rFonts w:ascii="Arial" w:eastAsia="Calibri" w:hAnsi="Arial" w:cs="Arial"/>
          <w:sz w:val="21"/>
          <w:szCs w:val="21"/>
        </w:rPr>
        <w:t>2.</w:t>
      </w:r>
      <w:r w:rsidRPr="000F6B47">
        <w:rPr>
          <w:rFonts w:ascii="Arial" w:eastAsia="Calibri" w:hAnsi="Arial" w:cs="Arial"/>
          <w:sz w:val="21"/>
          <w:szCs w:val="21"/>
        </w:rPr>
        <w:tab/>
        <w:t xml:space="preserve">Que sucede si una entidad da apertura a las ofertas económicas por poner un ejemplo el día 15 de enero y en audiencia de adjudicación se van viendo los valores y de las ofertas, sin </w:t>
      </w:r>
      <w:proofErr w:type="gramStart"/>
      <w:r w:rsidRPr="000F6B47">
        <w:rPr>
          <w:rFonts w:ascii="Arial" w:eastAsia="Calibri" w:hAnsi="Arial" w:cs="Arial"/>
          <w:sz w:val="21"/>
          <w:szCs w:val="21"/>
        </w:rPr>
        <w:t>embargo</w:t>
      </w:r>
      <w:proofErr w:type="gramEnd"/>
      <w:r w:rsidRPr="000F6B47">
        <w:rPr>
          <w:rFonts w:ascii="Arial" w:eastAsia="Calibri" w:hAnsi="Arial" w:cs="Arial"/>
          <w:sz w:val="21"/>
          <w:szCs w:val="21"/>
        </w:rPr>
        <w:t xml:space="preserve"> las oferta no logran quedar publicadas ese mismo día si no hasta el día siguiente. Qué formula de selección de TRM deberían tener en </w:t>
      </w:r>
      <w:proofErr w:type="gramStart"/>
      <w:r w:rsidRPr="000F6B47">
        <w:rPr>
          <w:rFonts w:ascii="Arial" w:eastAsia="Calibri" w:hAnsi="Arial" w:cs="Arial"/>
          <w:sz w:val="21"/>
          <w:szCs w:val="21"/>
        </w:rPr>
        <w:t>cuenta?[</w:t>
      </w:r>
      <w:proofErr w:type="gramEnd"/>
      <w:r w:rsidRPr="000F6B47">
        <w:rPr>
          <w:rFonts w:ascii="Arial" w:eastAsia="Calibri" w:hAnsi="Arial" w:cs="Arial"/>
          <w:sz w:val="21"/>
          <w:szCs w:val="21"/>
        </w:rPr>
        <w:t>…]»</w:t>
      </w:r>
    </w:p>
    <w:p w14:paraId="2C5A4FDC" w14:textId="77777777" w:rsidR="00020C75" w:rsidRPr="000F6B47" w:rsidRDefault="00020C75" w:rsidP="00020C75">
      <w:pPr>
        <w:spacing w:line="276" w:lineRule="auto"/>
        <w:ind w:left="708" w:right="709"/>
        <w:jc w:val="both"/>
        <w:rPr>
          <w:rFonts w:ascii="Arial" w:eastAsia="Calibri" w:hAnsi="Arial" w:cs="Arial"/>
          <w:sz w:val="21"/>
          <w:szCs w:val="21"/>
        </w:rPr>
      </w:pPr>
    </w:p>
    <w:p w14:paraId="15451B9A" w14:textId="0BC4CF51" w:rsidR="008F4828" w:rsidRPr="000F6B47" w:rsidRDefault="005731A1" w:rsidP="008F4828">
      <w:pPr>
        <w:spacing w:after="120" w:line="276" w:lineRule="auto"/>
        <w:jc w:val="both"/>
        <w:rPr>
          <w:rFonts w:ascii="Arial" w:eastAsia="Calibri" w:hAnsi="Arial" w:cs="Arial"/>
          <w:sz w:val="22"/>
        </w:rPr>
      </w:pPr>
      <w:r w:rsidRPr="000F6B47">
        <w:rPr>
          <w:rFonts w:ascii="Arial" w:eastAsia="Calibri" w:hAnsi="Arial" w:cs="Arial"/>
          <w:sz w:val="22"/>
        </w:rPr>
        <w:t>De conformidad con el parágrafo 3 del artículo 30 de la Ley 80 de 1993, adicionado por la Ley 1882 de 2018,  regulado por los numerales 2.5 y 2.6 de</w:t>
      </w:r>
      <w:r w:rsidR="00EA47C8" w:rsidRPr="000F6B47">
        <w:rPr>
          <w:rFonts w:ascii="Arial" w:eastAsia="Calibri" w:hAnsi="Arial" w:cs="Arial"/>
          <w:sz w:val="22"/>
        </w:rPr>
        <w:t xml:space="preserve"> </w:t>
      </w:r>
      <w:r w:rsidRPr="000F6B47">
        <w:rPr>
          <w:rFonts w:ascii="Arial" w:eastAsia="Calibri" w:hAnsi="Arial" w:cs="Arial"/>
          <w:sz w:val="22"/>
        </w:rPr>
        <w:t>l</w:t>
      </w:r>
      <w:r w:rsidR="00EA47C8" w:rsidRPr="000F6B47">
        <w:rPr>
          <w:rFonts w:ascii="Arial" w:eastAsia="Calibri" w:hAnsi="Arial" w:cs="Arial"/>
          <w:sz w:val="22"/>
        </w:rPr>
        <w:t>os</w:t>
      </w:r>
      <w:r w:rsidRPr="000F6B47">
        <w:rPr>
          <w:rFonts w:ascii="Arial" w:eastAsia="Calibri" w:hAnsi="Arial" w:cs="Arial"/>
          <w:sz w:val="22"/>
        </w:rPr>
        <w:t xml:space="preserve"> Documento Base adoptado</w:t>
      </w:r>
      <w:r w:rsidR="00EA47C8" w:rsidRPr="000F6B47">
        <w:rPr>
          <w:rFonts w:ascii="Arial" w:eastAsia="Calibri" w:hAnsi="Arial" w:cs="Arial"/>
          <w:sz w:val="22"/>
        </w:rPr>
        <w:t>s</w:t>
      </w:r>
      <w:r w:rsidRPr="000F6B47">
        <w:rPr>
          <w:rFonts w:ascii="Arial" w:eastAsia="Calibri" w:hAnsi="Arial" w:cs="Arial"/>
          <w:sz w:val="22"/>
        </w:rPr>
        <w:t xml:space="preserve"> por la Resoluci</w:t>
      </w:r>
      <w:r w:rsidR="00EA47C8" w:rsidRPr="000F6B47">
        <w:rPr>
          <w:rFonts w:ascii="Arial" w:eastAsia="Calibri" w:hAnsi="Arial" w:cs="Arial"/>
          <w:sz w:val="22"/>
        </w:rPr>
        <w:t>ones</w:t>
      </w:r>
      <w:r w:rsidRPr="000F6B47">
        <w:rPr>
          <w:rFonts w:ascii="Arial" w:eastAsia="Calibri" w:hAnsi="Arial" w:cs="Arial"/>
          <w:sz w:val="22"/>
        </w:rPr>
        <w:t xml:space="preserve"> No</w:t>
      </w:r>
      <w:r w:rsidR="00EA47C8" w:rsidRPr="000F6B47">
        <w:rPr>
          <w:rFonts w:ascii="Arial" w:eastAsia="Calibri" w:hAnsi="Arial" w:cs="Arial"/>
          <w:sz w:val="22"/>
        </w:rPr>
        <w:t>s</w:t>
      </w:r>
      <w:r w:rsidRPr="000F6B47">
        <w:rPr>
          <w:rFonts w:ascii="Arial" w:eastAsia="Calibri" w:hAnsi="Arial" w:cs="Arial"/>
          <w:sz w:val="22"/>
        </w:rPr>
        <w:t xml:space="preserve">. 045 </w:t>
      </w:r>
      <w:r w:rsidR="00EA47C8" w:rsidRPr="000F6B47">
        <w:rPr>
          <w:rFonts w:ascii="Arial" w:eastAsia="Calibri" w:hAnsi="Arial" w:cs="Arial"/>
          <w:sz w:val="22"/>
        </w:rPr>
        <w:t xml:space="preserve">y 240 </w:t>
      </w:r>
      <w:r w:rsidRPr="000F6B47">
        <w:rPr>
          <w:rFonts w:ascii="Arial" w:eastAsia="Calibri" w:hAnsi="Arial" w:cs="Arial"/>
          <w:sz w:val="22"/>
        </w:rPr>
        <w:t>de 2020</w:t>
      </w:r>
      <w:r w:rsidR="00AD3FA3">
        <w:rPr>
          <w:rFonts w:ascii="Arial" w:eastAsia="Calibri" w:hAnsi="Arial" w:cs="Arial"/>
          <w:sz w:val="22"/>
        </w:rPr>
        <w:t xml:space="preserve"> </w:t>
      </w:r>
      <w:r w:rsidR="00F55A4D" w:rsidRPr="000F6B47">
        <w:rPr>
          <w:rFonts w:ascii="Arial" w:eastAsia="Calibri" w:hAnsi="Arial" w:cs="Arial"/>
          <w:sz w:val="22"/>
        </w:rPr>
        <w:t>–Versiones 2 y 3–</w:t>
      </w:r>
      <w:r w:rsidRPr="000F6B47">
        <w:rPr>
          <w:rFonts w:ascii="Arial" w:eastAsia="Calibri" w:hAnsi="Arial" w:cs="Arial"/>
          <w:sz w:val="22"/>
        </w:rPr>
        <w:t>, en materia de licitaciones de obra pública de infraestructura de transporte, el adecuado desarrollo del procedimiento previsto en dichas normas implica que antes de abrir los sobres contentivos de las ofertas económicas, se hayan agotado todas las instancias de evaluación y formulación de observaciones relativas a los requisitos habilitantes. Conforme a esto, una vez abiertos los sobres económicos no es viable que se habiliten más proponentes. En todo caso, la apertura de todos lo</w:t>
      </w:r>
      <w:r w:rsidR="00764E62" w:rsidRPr="000F6B47">
        <w:rPr>
          <w:rFonts w:ascii="Arial" w:eastAsia="Calibri" w:hAnsi="Arial" w:cs="Arial"/>
          <w:sz w:val="22"/>
        </w:rPr>
        <w:t>s sobres</w:t>
      </w:r>
      <w:r w:rsidRPr="000F6B47">
        <w:rPr>
          <w:rFonts w:ascii="Arial" w:eastAsia="Calibri" w:hAnsi="Arial" w:cs="Arial"/>
          <w:sz w:val="22"/>
        </w:rPr>
        <w:t xml:space="preserve"> </w:t>
      </w:r>
      <w:r w:rsidR="00EA47C8" w:rsidRPr="000F6B47">
        <w:rPr>
          <w:rFonts w:ascii="Arial" w:eastAsia="Calibri" w:hAnsi="Arial" w:cs="Arial"/>
          <w:sz w:val="22"/>
        </w:rPr>
        <w:t>económicos</w:t>
      </w:r>
      <w:r w:rsidRPr="000F6B47">
        <w:rPr>
          <w:rFonts w:ascii="Arial" w:eastAsia="Calibri" w:hAnsi="Arial" w:cs="Arial"/>
          <w:sz w:val="22"/>
        </w:rPr>
        <w:t xml:space="preserve"> y la definición del método de ponderación deberán agotarse en un mismo día</w:t>
      </w:r>
      <w:r w:rsidR="00BC0B52" w:rsidRPr="000F6B47">
        <w:rPr>
          <w:rFonts w:ascii="Arial" w:eastAsia="Calibri" w:hAnsi="Arial" w:cs="Arial"/>
          <w:sz w:val="22"/>
        </w:rPr>
        <w:t>.</w:t>
      </w:r>
      <w:r w:rsidRPr="000F6B47">
        <w:rPr>
          <w:rFonts w:ascii="Arial" w:eastAsia="Calibri" w:hAnsi="Arial" w:cs="Arial"/>
          <w:sz w:val="22"/>
        </w:rPr>
        <w:t xml:space="preserve"> </w:t>
      </w:r>
    </w:p>
    <w:p w14:paraId="6B1C6ADF" w14:textId="7DDA5BA2" w:rsidR="009A5181" w:rsidRPr="000F6B47" w:rsidRDefault="00BC0B52" w:rsidP="008F4828">
      <w:pPr>
        <w:spacing w:after="120" w:line="276" w:lineRule="auto"/>
        <w:ind w:firstLine="708"/>
        <w:jc w:val="both"/>
        <w:rPr>
          <w:rFonts w:ascii="Arial" w:eastAsia="Calibri" w:hAnsi="Arial" w:cs="Arial"/>
          <w:sz w:val="22"/>
        </w:rPr>
      </w:pPr>
      <w:r w:rsidRPr="000F6B47">
        <w:rPr>
          <w:rFonts w:ascii="Arial" w:eastAsia="Calibri" w:hAnsi="Arial" w:cs="Arial"/>
          <w:sz w:val="22"/>
        </w:rPr>
        <w:t xml:space="preserve">Tratándose de </w:t>
      </w:r>
      <w:r w:rsidR="008F4828" w:rsidRPr="000F6B47">
        <w:rPr>
          <w:rFonts w:ascii="Arial" w:eastAsia="Calibri" w:hAnsi="Arial" w:cs="Arial"/>
          <w:sz w:val="22"/>
        </w:rPr>
        <w:t xml:space="preserve">procesos regidos </w:t>
      </w:r>
      <w:r w:rsidR="00D52BA2" w:rsidRPr="000F6B47">
        <w:rPr>
          <w:rFonts w:ascii="Arial" w:eastAsia="Calibri" w:hAnsi="Arial" w:cs="Arial"/>
          <w:sz w:val="22"/>
        </w:rPr>
        <w:t xml:space="preserve">por </w:t>
      </w:r>
      <w:r w:rsidR="00F55A4D" w:rsidRPr="000F6B47">
        <w:rPr>
          <w:rFonts w:ascii="Arial" w:eastAsia="Calibri" w:hAnsi="Arial" w:cs="Arial"/>
          <w:sz w:val="22"/>
        </w:rPr>
        <w:t xml:space="preserve">los «Documento Tipo – </w:t>
      </w:r>
      <w:r w:rsidRPr="000F6B47">
        <w:rPr>
          <w:rFonts w:ascii="Arial" w:eastAsia="Calibri" w:hAnsi="Arial" w:cs="Arial"/>
          <w:sz w:val="22"/>
        </w:rPr>
        <w:t>Versión 2</w:t>
      </w:r>
      <w:r w:rsidR="00F55A4D" w:rsidRPr="000F6B47">
        <w:rPr>
          <w:rFonts w:ascii="Arial" w:eastAsia="Calibri" w:hAnsi="Arial" w:cs="Arial"/>
          <w:sz w:val="22"/>
        </w:rPr>
        <w:t>»</w:t>
      </w:r>
      <w:r w:rsidRPr="000F6B47">
        <w:rPr>
          <w:rFonts w:ascii="Arial" w:eastAsia="Calibri" w:hAnsi="Arial" w:cs="Arial"/>
          <w:sz w:val="22"/>
        </w:rPr>
        <w:t xml:space="preserve"> de licitación de obra pública de infraestructura de transporte</w:t>
      </w:r>
      <w:r w:rsidR="008F4828" w:rsidRPr="000F6B47">
        <w:rPr>
          <w:rFonts w:ascii="Arial" w:eastAsia="Calibri" w:hAnsi="Arial" w:cs="Arial"/>
          <w:sz w:val="22"/>
        </w:rPr>
        <w:t>, s</w:t>
      </w:r>
      <w:r w:rsidR="005731A1" w:rsidRPr="000F6B47">
        <w:rPr>
          <w:rFonts w:ascii="Arial" w:eastAsia="Calibri" w:hAnsi="Arial" w:cs="Arial"/>
          <w:sz w:val="22"/>
        </w:rPr>
        <w:t xml:space="preserve">i el procedimiento es adelantado en medio físico con publicaciones posteriores en el SECOP I, la TRM aplicable será del día hábil siguiente a la apertura de las ofertas económicas. Por el contrario, si el procedimiento se desarrolla a través del SECOP II las TRM aplicable será la que rija para el día de la apertura de los sobres económicos. </w:t>
      </w:r>
    </w:p>
    <w:p w14:paraId="05518C2B" w14:textId="34611AE4" w:rsidR="009A5181" w:rsidRPr="000F6B47" w:rsidRDefault="009A5181" w:rsidP="008F4828">
      <w:pPr>
        <w:spacing w:after="120" w:line="276" w:lineRule="auto"/>
        <w:ind w:firstLine="708"/>
        <w:jc w:val="both"/>
        <w:rPr>
          <w:rFonts w:ascii="Arial" w:eastAsia="Calibri" w:hAnsi="Arial" w:cs="Arial"/>
          <w:sz w:val="22"/>
        </w:rPr>
      </w:pPr>
      <w:r w:rsidRPr="000F6B47">
        <w:rPr>
          <w:rFonts w:ascii="Arial" w:eastAsia="Calibri" w:hAnsi="Arial" w:cs="Arial"/>
          <w:sz w:val="22"/>
        </w:rPr>
        <w:t xml:space="preserve">De otra parte, en procesos adelantados con </w:t>
      </w:r>
      <w:r w:rsidR="00F55A4D" w:rsidRPr="000F6B47">
        <w:rPr>
          <w:rFonts w:ascii="Arial" w:eastAsia="Calibri" w:hAnsi="Arial" w:cs="Arial"/>
          <w:sz w:val="22"/>
        </w:rPr>
        <w:t>«Documentos Tipo -</w:t>
      </w:r>
      <w:r w:rsidRPr="000F6B47">
        <w:rPr>
          <w:rFonts w:ascii="Arial" w:eastAsia="Calibri" w:hAnsi="Arial" w:cs="Arial"/>
          <w:sz w:val="22"/>
        </w:rPr>
        <w:t xml:space="preserve"> Versión 3</w:t>
      </w:r>
      <w:r w:rsidR="00F55A4D" w:rsidRPr="000F6B47">
        <w:rPr>
          <w:rFonts w:ascii="Arial" w:eastAsia="Calibri" w:hAnsi="Arial" w:cs="Arial"/>
          <w:sz w:val="22"/>
        </w:rPr>
        <w:t>»</w:t>
      </w:r>
      <w:r w:rsidRPr="000F6B47">
        <w:rPr>
          <w:rFonts w:ascii="Arial" w:eastAsia="Calibri" w:hAnsi="Arial" w:cs="Arial"/>
          <w:sz w:val="22"/>
        </w:rPr>
        <w:t xml:space="preserve">, </w:t>
      </w:r>
      <w:r w:rsidR="00325FEE" w:rsidRPr="000F6B47">
        <w:rPr>
          <w:rFonts w:ascii="Arial" w:eastAsia="Calibri" w:hAnsi="Arial" w:cs="Arial"/>
          <w:sz w:val="22"/>
        </w:rPr>
        <w:t>la apertura de todos lo</w:t>
      </w:r>
      <w:r w:rsidR="00EB07E0" w:rsidRPr="000F6B47">
        <w:rPr>
          <w:rFonts w:ascii="Arial" w:eastAsia="Calibri" w:hAnsi="Arial" w:cs="Arial"/>
          <w:sz w:val="22"/>
        </w:rPr>
        <w:t xml:space="preserve">s sobres </w:t>
      </w:r>
      <w:r w:rsidR="00325FEE" w:rsidRPr="000F6B47">
        <w:rPr>
          <w:rFonts w:ascii="Arial" w:eastAsia="Calibri" w:hAnsi="Arial" w:cs="Arial"/>
          <w:sz w:val="22"/>
        </w:rPr>
        <w:t>económicos y la definición del método de ponderación deberán agotarse en un mismo día</w:t>
      </w:r>
      <w:r w:rsidR="006706B0" w:rsidRPr="000F6B47">
        <w:rPr>
          <w:rFonts w:ascii="Arial" w:eastAsia="Calibri" w:hAnsi="Arial" w:cs="Arial"/>
          <w:sz w:val="22"/>
        </w:rPr>
        <w:t xml:space="preserve"> antes de las 3:00 pm. En estos procesos, </w:t>
      </w:r>
      <w:r w:rsidRPr="000F6B47">
        <w:rPr>
          <w:rFonts w:ascii="Arial" w:eastAsia="Calibri" w:hAnsi="Arial" w:cs="Arial"/>
          <w:sz w:val="22"/>
        </w:rPr>
        <w:t>independientemente de que</w:t>
      </w:r>
      <w:r w:rsidR="00764E62" w:rsidRPr="000F6B47">
        <w:rPr>
          <w:rFonts w:ascii="Arial" w:eastAsia="Calibri" w:hAnsi="Arial" w:cs="Arial"/>
          <w:sz w:val="22"/>
        </w:rPr>
        <w:t xml:space="preserve"> se</w:t>
      </w:r>
      <w:r w:rsidRPr="000F6B47">
        <w:rPr>
          <w:rFonts w:ascii="Arial" w:eastAsia="Calibri" w:hAnsi="Arial" w:cs="Arial"/>
          <w:sz w:val="22"/>
        </w:rPr>
        <w:t xml:space="preserve"> </w:t>
      </w:r>
      <w:r w:rsidR="00264BB5" w:rsidRPr="000F6B47">
        <w:rPr>
          <w:rFonts w:ascii="Arial" w:eastAsia="Calibri" w:hAnsi="Arial" w:cs="Arial"/>
          <w:sz w:val="22"/>
        </w:rPr>
        <w:t>desarrolle</w:t>
      </w:r>
      <w:r w:rsidR="006706B0" w:rsidRPr="000F6B47">
        <w:rPr>
          <w:rFonts w:ascii="Arial" w:eastAsia="Calibri" w:hAnsi="Arial" w:cs="Arial"/>
          <w:sz w:val="22"/>
        </w:rPr>
        <w:t>n</w:t>
      </w:r>
      <w:r w:rsidRPr="000F6B47">
        <w:rPr>
          <w:rFonts w:ascii="Arial" w:eastAsia="Calibri" w:hAnsi="Arial" w:cs="Arial"/>
          <w:sz w:val="22"/>
        </w:rPr>
        <w:t xml:space="preserve"> usando</w:t>
      </w:r>
      <w:r w:rsidR="00264BB5" w:rsidRPr="000F6B47">
        <w:rPr>
          <w:rFonts w:ascii="Arial" w:eastAsia="Calibri" w:hAnsi="Arial" w:cs="Arial"/>
          <w:sz w:val="22"/>
        </w:rPr>
        <w:t xml:space="preserve"> el SECOP I o el SECOP II, la TRM</w:t>
      </w:r>
      <w:r w:rsidR="006706B0" w:rsidRPr="000F6B47">
        <w:rPr>
          <w:rFonts w:ascii="Arial" w:eastAsia="Calibri" w:hAnsi="Arial" w:cs="Arial"/>
          <w:sz w:val="22"/>
        </w:rPr>
        <w:t xml:space="preserve"> aplicable será la que rija para el día siguiente en el que se realizó la </w:t>
      </w:r>
      <w:r w:rsidR="00F55A4D" w:rsidRPr="000F6B47">
        <w:rPr>
          <w:rFonts w:ascii="Arial" w:eastAsia="Calibri" w:hAnsi="Arial" w:cs="Arial"/>
          <w:sz w:val="22"/>
        </w:rPr>
        <w:t xml:space="preserve">apertura de las ofertas </w:t>
      </w:r>
      <w:r w:rsidR="00EB07E0" w:rsidRPr="000F6B47">
        <w:rPr>
          <w:rFonts w:ascii="Arial" w:eastAsia="Calibri" w:hAnsi="Arial" w:cs="Arial"/>
          <w:sz w:val="22"/>
        </w:rPr>
        <w:t xml:space="preserve">económicas. </w:t>
      </w:r>
    </w:p>
    <w:p w14:paraId="1F97BACA" w14:textId="0249FD9C" w:rsidR="00020C75" w:rsidRPr="000F6B47" w:rsidRDefault="00B11AAA" w:rsidP="00C47643">
      <w:pPr>
        <w:spacing w:line="276" w:lineRule="auto"/>
        <w:ind w:firstLine="708"/>
        <w:jc w:val="both"/>
        <w:rPr>
          <w:rFonts w:ascii="Arial" w:eastAsia="Calibri" w:hAnsi="Arial" w:cs="Arial"/>
          <w:sz w:val="22"/>
        </w:rPr>
      </w:pPr>
      <w:r w:rsidRPr="000F6B47">
        <w:rPr>
          <w:rFonts w:ascii="Arial" w:eastAsia="Calibri" w:hAnsi="Arial" w:cs="Arial"/>
          <w:sz w:val="22"/>
        </w:rPr>
        <w:lastRenderedPageBreak/>
        <w:t xml:space="preserve">En ninguna de las referidas versiones de los documentos tipo </w:t>
      </w:r>
      <w:r w:rsidR="005731A1" w:rsidRPr="000F6B47">
        <w:rPr>
          <w:rFonts w:ascii="Arial" w:eastAsia="Calibri" w:hAnsi="Arial" w:cs="Arial"/>
          <w:sz w:val="22"/>
        </w:rPr>
        <w:t xml:space="preserve">la fecha de </w:t>
      </w:r>
      <w:r w:rsidR="005731A1" w:rsidRPr="00903B75">
        <w:rPr>
          <w:rFonts w:ascii="Arial" w:eastAsia="Calibri" w:hAnsi="Arial" w:cs="Arial"/>
          <w:i/>
          <w:iCs/>
          <w:sz w:val="22"/>
        </w:rPr>
        <w:t>publicación</w:t>
      </w:r>
      <w:r w:rsidR="005731A1" w:rsidRPr="000F6B47">
        <w:rPr>
          <w:rFonts w:ascii="Arial" w:eastAsia="Calibri" w:hAnsi="Arial" w:cs="Arial"/>
          <w:sz w:val="22"/>
        </w:rPr>
        <w:t xml:space="preserve"> de las ofertas </w:t>
      </w:r>
      <w:r w:rsidR="00FD292E" w:rsidRPr="000F6B47">
        <w:rPr>
          <w:rFonts w:ascii="Arial" w:eastAsia="Calibri" w:hAnsi="Arial" w:cs="Arial"/>
          <w:sz w:val="22"/>
        </w:rPr>
        <w:t>es considerad</w:t>
      </w:r>
      <w:r w:rsidR="00455252" w:rsidRPr="000F6B47">
        <w:rPr>
          <w:rFonts w:ascii="Arial" w:eastAsia="Calibri" w:hAnsi="Arial" w:cs="Arial"/>
          <w:sz w:val="22"/>
        </w:rPr>
        <w:t>a</w:t>
      </w:r>
      <w:r w:rsidR="005731A1" w:rsidRPr="000F6B47">
        <w:rPr>
          <w:rFonts w:ascii="Arial" w:eastAsia="Calibri" w:hAnsi="Arial" w:cs="Arial"/>
          <w:sz w:val="22"/>
        </w:rPr>
        <w:t xml:space="preserve"> un criterio </w:t>
      </w:r>
      <w:r w:rsidR="00FD292E" w:rsidRPr="000F6B47">
        <w:rPr>
          <w:rFonts w:ascii="Arial" w:eastAsia="Calibri" w:hAnsi="Arial" w:cs="Arial"/>
          <w:sz w:val="22"/>
        </w:rPr>
        <w:t>que incida en la</w:t>
      </w:r>
      <w:r w:rsidR="005731A1" w:rsidRPr="000F6B47">
        <w:rPr>
          <w:rFonts w:ascii="Arial" w:eastAsia="Calibri" w:hAnsi="Arial" w:cs="Arial"/>
          <w:sz w:val="22"/>
        </w:rPr>
        <w:t xml:space="preserve"> determina</w:t>
      </w:r>
      <w:r w:rsidR="00FD292E" w:rsidRPr="000F6B47">
        <w:rPr>
          <w:rFonts w:ascii="Arial" w:eastAsia="Calibri" w:hAnsi="Arial" w:cs="Arial"/>
          <w:sz w:val="22"/>
        </w:rPr>
        <w:t>ción</w:t>
      </w:r>
      <w:r w:rsidR="005731A1" w:rsidRPr="000F6B47">
        <w:rPr>
          <w:rFonts w:ascii="Arial" w:eastAsia="Calibri" w:hAnsi="Arial" w:cs="Arial"/>
          <w:sz w:val="22"/>
        </w:rPr>
        <w:t xml:space="preserve"> </w:t>
      </w:r>
      <w:r w:rsidR="00FD292E" w:rsidRPr="000F6B47">
        <w:rPr>
          <w:rFonts w:ascii="Arial" w:eastAsia="Calibri" w:hAnsi="Arial" w:cs="Arial"/>
          <w:sz w:val="22"/>
        </w:rPr>
        <w:t>d</w:t>
      </w:r>
      <w:r w:rsidR="005731A1" w:rsidRPr="000F6B47">
        <w:rPr>
          <w:rFonts w:ascii="Arial" w:eastAsia="Calibri" w:hAnsi="Arial" w:cs="Arial"/>
          <w:sz w:val="22"/>
        </w:rPr>
        <w:t>el método para su ponderación</w:t>
      </w:r>
      <w:r w:rsidR="00455252" w:rsidRPr="000F6B47">
        <w:rPr>
          <w:rFonts w:ascii="Arial" w:eastAsia="Calibri" w:hAnsi="Arial" w:cs="Arial"/>
          <w:sz w:val="22"/>
        </w:rPr>
        <w:t xml:space="preserve">. </w:t>
      </w:r>
    </w:p>
    <w:p w14:paraId="02315F08" w14:textId="77777777" w:rsidR="00C47643" w:rsidRPr="000F6B47" w:rsidRDefault="00C47643" w:rsidP="00020C75">
      <w:pPr>
        <w:spacing w:line="276" w:lineRule="auto"/>
        <w:jc w:val="both"/>
        <w:rPr>
          <w:rFonts w:ascii="Arial" w:eastAsia="Calibri" w:hAnsi="Arial" w:cs="Arial"/>
          <w:sz w:val="22"/>
        </w:rPr>
      </w:pPr>
    </w:p>
    <w:p w14:paraId="435285CE" w14:textId="77777777" w:rsidR="0009566E" w:rsidRPr="000F6B47" w:rsidRDefault="00020C75" w:rsidP="0009566E">
      <w:pPr>
        <w:spacing w:line="276" w:lineRule="auto"/>
        <w:jc w:val="both"/>
        <w:rPr>
          <w:rFonts w:ascii="Arial" w:eastAsia="Calibri" w:hAnsi="Arial" w:cs="Arial"/>
          <w:sz w:val="22"/>
        </w:rPr>
      </w:pPr>
      <w:r w:rsidRPr="000F6B47">
        <w:rPr>
          <w:rFonts w:ascii="Arial" w:eastAsia="Calibri" w:hAnsi="Arial" w:cs="Arial"/>
          <w:sz w:val="22"/>
        </w:rPr>
        <w:t>Este concepto tiene el alcance previsto en el artículo 28 del Código de Procedimiento Administrativo y de lo Contencioso Administrativo.</w:t>
      </w:r>
      <w:bookmarkEnd w:id="0"/>
    </w:p>
    <w:p w14:paraId="4FE4106B" w14:textId="141E2ED0" w:rsidR="0009566E" w:rsidRPr="000F6B47" w:rsidRDefault="0009566E" w:rsidP="0009566E">
      <w:pPr>
        <w:spacing w:line="276" w:lineRule="auto"/>
        <w:rPr>
          <w:rFonts w:ascii="Arial" w:hAnsi="Arial" w:cs="Arial"/>
          <w:lang w:eastAsia="es-CO"/>
        </w:rPr>
      </w:pPr>
      <w:bookmarkStart w:id="6" w:name="_Hlk50370367"/>
    </w:p>
    <w:bookmarkEnd w:id="6"/>
    <w:p w14:paraId="7B56B7E0" w14:textId="64F6A55F" w:rsidR="0009566E" w:rsidRPr="000F6B47" w:rsidRDefault="0038157D" w:rsidP="0009566E">
      <w:pPr>
        <w:spacing w:line="276" w:lineRule="auto"/>
        <w:rPr>
          <w:rFonts w:ascii="Arial" w:hAnsi="Arial" w:cs="Arial"/>
          <w:sz w:val="22"/>
          <w:szCs w:val="20"/>
        </w:rPr>
      </w:pPr>
      <w:r>
        <w:rPr>
          <w:noProof/>
        </w:rPr>
        <w:drawing>
          <wp:anchor distT="0" distB="0" distL="114300" distR="114300" simplePos="0" relativeHeight="251661312" behindDoc="0" locked="0" layoutInCell="1" allowOverlap="1" wp14:anchorId="1FB23AA1" wp14:editId="6533161C">
            <wp:simplePos x="0" y="0"/>
            <wp:positionH relativeFrom="page">
              <wp:align>center</wp:align>
            </wp:positionH>
            <wp:positionV relativeFrom="paragraph">
              <wp:posOffset>5715</wp:posOffset>
            </wp:positionV>
            <wp:extent cx="2514600" cy="1114425"/>
            <wp:effectExtent l="0" t="0" r="0" b="9525"/>
            <wp:wrapSquare wrapText="bothSides"/>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14:sizeRelH relativeFrom="page">
              <wp14:pctWidth>0</wp14:pctWidth>
            </wp14:sizeRelH>
            <wp14:sizeRelV relativeFrom="page">
              <wp14:pctHeight>0</wp14:pctHeight>
            </wp14:sizeRelV>
          </wp:anchor>
        </w:drawing>
      </w:r>
      <w:r w:rsidR="0009566E" w:rsidRPr="000F6B47">
        <w:rPr>
          <w:rFonts w:ascii="Arial" w:hAnsi="Arial" w:cs="Arial"/>
          <w:sz w:val="22"/>
          <w:szCs w:val="20"/>
          <w:lang w:eastAsia="es-CO"/>
        </w:rPr>
        <w:t>Atentamente,</w:t>
      </w:r>
    </w:p>
    <w:p w14:paraId="48D918DE" w14:textId="77777777" w:rsidR="0009566E" w:rsidRPr="000F6B47" w:rsidRDefault="0009566E" w:rsidP="0009566E">
      <w:pPr>
        <w:jc w:val="both"/>
        <w:rPr>
          <w:rFonts w:ascii="Arial" w:hAnsi="Arial" w:cs="Arial"/>
          <w:lang w:eastAsia="es-CO"/>
        </w:rPr>
      </w:pPr>
    </w:p>
    <w:p w14:paraId="4B9BC64D" w14:textId="77777777" w:rsidR="0009566E" w:rsidRPr="000F6B47" w:rsidRDefault="0009566E" w:rsidP="0009566E">
      <w:pPr>
        <w:spacing w:after="18"/>
        <w:jc w:val="center"/>
        <w:rPr>
          <w:rFonts w:ascii="Arial" w:hAnsi="Arial" w:cs="Arial"/>
          <w:lang w:eastAsia="es-CO"/>
        </w:rPr>
      </w:pPr>
    </w:p>
    <w:p w14:paraId="32136704" w14:textId="77777777" w:rsidR="0009566E" w:rsidRPr="000F6B47" w:rsidRDefault="0009566E" w:rsidP="0009566E">
      <w:pPr>
        <w:spacing w:after="18"/>
        <w:jc w:val="center"/>
        <w:rPr>
          <w:rFonts w:ascii="Arial" w:hAnsi="Arial" w:cs="Arial"/>
          <w:lang w:eastAsia="es-CO"/>
        </w:rPr>
      </w:pPr>
    </w:p>
    <w:p w14:paraId="2D63E5A3" w14:textId="77777777" w:rsidR="0009566E" w:rsidRPr="000F6B47" w:rsidRDefault="0009566E" w:rsidP="0009566E">
      <w:pPr>
        <w:spacing w:after="18"/>
        <w:jc w:val="center"/>
        <w:rPr>
          <w:rFonts w:ascii="Arial" w:hAnsi="Arial" w:cs="Arial"/>
          <w:lang w:eastAsia="es-CO"/>
        </w:rPr>
      </w:pPr>
    </w:p>
    <w:p w14:paraId="6C6D683E" w14:textId="77777777" w:rsidR="0009566E" w:rsidRPr="000F6B47" w:rsidRDefault="0009566E" w:rsidP="0009566E">
      <w:pPr>
        <w:spacing w:after="18"/>
        <w:jc w:val="center"/>
        <w:rPr>
          <w:rFonts w:ascii="Arial" w:hAnsi="Arial" w:cs="Arial"/>
          <w:lang w:eastAsia="es-CO"/>
        </w:rPr>
      </w:pPr>
    </w:p>
    <w:p w14:paraId="3C44FE0C" w14:textId="77777777" w:rsidR="0009566E" w:rsidRPr="000F6B47" w:rsidRDefault="0009566E" w:rsidP="0009566E">
      <w:pPr>
        <w:spacing w:after="18"/>
        <w:jc w:val="center"/>
        <w:rPr>
          <w:rFonts w:ascii="Arial" w:hAnsi="Arial" w:cs="Arial"/>
          <w:lang w:eastAsia="es-CO"/>
        </w:rPr>
      </w:pPr>
    </w:p>
    <w:p w14:paraId="5DC248F6" w14:textId="77777777" w:rsidR="0009566E" w:rsidRPr="000F6B47" w:rsidRDefault="0009566E" w:rsidP="0009566E">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0F6B47" w:rsidRPr="000F6B47" w14:paraId="36722030" w14:textId="77777777" w:rsidTr="00903B75">
        <w:trPr>
          <w:trHeight w:val="286"/>
        </w:trPr>
        <w:tc>
          <w:tcPr>
            <w:tcW w:w="886" w:type="dxa"/>
            <w:vAlign w:val="center"/>
            <w:hideMark/>
          </w:tcPr>
          <w:p w14:paraId="0175DB2A"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21658CE9"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Alejandro Sarmiento Cantillo</w:t>
            </w:r>
          </w:p>
          <w:p w14:paraId="4FDB9864"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Gestor T1-11 de la Subdirección de Gestión Contractual</w:t>
            </w:r>
          </w:p>
        </w:tc>
      </w:tr>
      <w:tr w:rsidR="000F6B47" w:rsidRPr="000F6B47" w14:paraId="527958F2" w14:textId="77777777" w:rsidTr="00903B75">
        <w:trPr>
          <w:trHeight w:val="299"/>
        </w:trPr>
        <w:tc>
          <w:tcPr>
            <w:tcW w:w="886" w:type="dxa"/>
            <w:vAlign w:val="center"/>
          </w:tcPr>
          <w:p w14:paraId="5349AA27"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4C117667"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Sebastián Ramírez Grisales</w:t>
            </w:r>
          </w:p>
          <w:p w14:paraId="54F83E42"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 xml:space="preserve">Gestor T1-15 de la Subdirección de Gestión Contractual  </w:t>
            </w:r>
          </w:p>
        </w:tc>
      </w:tr>
      <w:tr w:rsidR="000F6B47" w:rsidRPr="000F6B47" w14:paraId="076B0163" w14:textId="77777777" w:rsidTr="00903B75">
        <w:trPr>
          <w:trHeight w:val="272"/>
        </w:trPr>
        <w:tc>
          <w:tcPr>
            <w:tcW w:w="886" w:type="dxa"/>
            <w:vAlign w:val="center"/>
            <w:hideMark/>
          </w:tcPr>
          <w:p w14:paraId="14561621"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459BBE23"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Jorge Augusto Tirado Navarro</w:t>
            </w:r>
          </w:p>
          <w:p w14:paraId="02DA2FDE" w14:textId="77777777" w:rsidR="0009566E" w:rsidRPr="000F6B47" w:rsidRDefault="0009566E" w:rsidP="00903B75">
            <w:pPr>
              <w:rPr>
                <w:rFonts w:ascii="Arial" w:hAnsi="Arial" w:cs="Arial"/>
                <w:sz w:val="14"/>
                <w:szCs w:val="14"/>
                <w:lang w:eastAsia="es-ES"/>
              </w:rPr>
            </w:pPr>
            <w:r w:rsidRPr="000F6B47">
              <w:rPr>
                <w:rFonts w:ascii="Arial" w:hAnsi="Arial" w:cs="Arial"/>
                <w:sz w:val="14"/>
                <w:szCs w:val="14"/>
                <w:lang w:eastAsia="es-ES"/>
              </w:rPr>
              <w:t>Subdirector de Gestión Contractual</w:t>
            </w:r>
          </w:p>
        </w:tc>
      </w:tr>
    </w:tbl>
    <w:p w14:paraId="2F20ED1D" w14:textId="77777777" w:rsidR="0009566E" w:rsidRPr="000F6B47" w:rsidRDefault="0009566E" w:rsidP="0009566E">
      <w:pPr>
        <w:rPr>
          <w:rFonts w:ascii="Arial" w:hAnsi="Arial" w:cs="Arial"/>
          <w:lang w:eastAsia="es-ES"/>
        </w:rPr>
      </w:pPr>
    </w:p>
    <w:p w14:paraId="1D353A35" w14:textId="77777777" w:rsidR="0009566E" w:rsidRPr="000F6B47" w:rsidRDefault="0009566E" w:rsidP="0009566E">
      <w:pPr>
        <w:rPr>
          <w:rFonts w:ascii="Arial" w:hAnsi="Arial" w:cs="Arial"/>
          <w:lang w:eastAsia="es-ES"/>
        </w:rPr>
      </w:pPr>
    </w:p>
    <w:p w14:paraId="1E06D531" w14:textId="77777777" w:rsidR="0009566E" w:rsidRPr="000F6B47" w:rsidRDefault="0009566E" w:rsidP="0009566E">
      <w:pPr>
        <w:rPr>
          <w:rFonts w:ascii="Arial" w:hAnsi="Arial" w:cs="Arial"/>
          <w:lang w:eastAsia="es-ES"/>
        </w:rPr>
      </w:pPr>
    </w:p>
    <w:bookmarkEnd w:id="1"/>
    <w:p w14:paraId="7EBF297E" w14:textId="072D710A" w:rsidR="007B0854" w:rsidRPr="000F6B47" w:rsidRDefault="007B0854" w:rsidP="0009566E">
      <w:pPr>
        <w:spacing w:line="276" w:lineRule="auto"/>
        <w:jc w:val="both"/>
      </w:pPr>
    </w:p>
    <w:sectPr w:rsidR="007B0854" w:rsidRPr="000F6B47"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E5BB3" w14:textId="77777777" w:rsidR="00903B75" w:rsidRDefault="00903B75">
      <w:r>
        <w:separator/>
      </w:r>
    </w:p>
  </w:endnote>
  <w:endnote w:type="continuationSeparator" w:id="0">
    <w:p w14:paraId="705CD4B1" w14:textId="77777777" w:rsidR="00903B75" w:rsidRDefault="0090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Calibri">
    <w:altName w:val="Arial"/>
    <w:charset w:val="00"/>
    <w:family w:val="roman"/>
    <w:pitch w:val="default"/>
  </w:font>
  <w:font w:name="Arial,Times New Roman">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903B75" w:rsidRDefault="00903B75" w:rsidP="007B0854">
    <w:pPr>
      <w:pStyle w:val="Sinespaciado"/>
      <w:jc w:val="center"/>
      <w:rPr>
        <w:rFonts w:ascii="Arial" w:hAnsi="Arial" w:cs="Arial"/>
        <w:sz w:val="18"/>
        <w:szCs w:val="18"/>
      </w:rPr>
    </w:pPr>
  </w:p>
  <w:p w14:paraId="312C4A14" w14:textId="1CC17C36" w:rsidR="00903B75" w:rsidRPr="005A79FE" w:rsidRDefault="00903B75"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3B75" w:rsidRDefault="00903B75" w:rsidP="007B0854">
    <w:pPr>
      <w:pStyle w:val="Piedepgina"/>
      <w:jc w:val="center"/>
      <w:rPr>
        <w:lang w:val="es-ES"/>
      </w:rPr>
    </w:pPr>
    <w:r>
      <w:rPr>
        <w:noProof/>
      </w:rPr>
      <w:drawing>
        <wp:inline distT="0" distB="0" distL="0" distR="0" wp14:anchorId="608B196D" wp14:editId="6679D18E">
          <wp:extent cx="4241994" cy="595165"/>
          <wp:effectExtent l="0" t="0" r="6350" b="0"/>
          <wp:docPr id="15016702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903B75" w:rsidRPr="007B0854" w:rsidRDefault="00903B75"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9F75" w14:textId="77777777" w:rsidR="00903B75" w:rsidRDefault="00903B75">
      <w:r>
        <w:separator/>
      </w:r>
    </w:p>
  </w:footnote>
  <w:footnote w:type="continuationSeparator" w:id="0">
    <w:p w14:paraId="2E79B1FB" w14:textId="77777777" w:rsidR="00903B75" w:rsidRDefault="00903B75">
      <w:r>
        <w:continuationSeparator/>
      </w:r>
    </w:p>
  </w:footnote>
  <w:footnote w:id="1">
    <w:p w14:paraId="4B1278F5" w14:textId="77777777" w:rsidR="00903B75" w:rsidRPr="00EA7163" w:rsidRDefault="00903B75" w:rsidP="00740FD6">
      <w:pPr>
        <w:pStyle w:val="Textonotapie"/>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Documento Base o Pliego Tipo, numeral 4.1.4 «La Entidad seleccionará el método de ponderación de la propuesta económica de acuerdo con las siguientes alternativas:</w:t>
      </w:r>
    </w:p>
    <w:p w14:paraId="1EB71943" w14:textId="29F3FFBA" w:rsidR="00903B75" w:rsidRPr="00EA7163" w:rsidRDefault="00903B75" w:rsidP="00740FD6">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686"/>
        <w:gridCol w:w="2724"/>
      </w:tblGrid>
      <w:tr w:rsidR="00903B75" w:rsidRPr="00EA7163" w14:paraId="23B09DB8" w14:textId="77777777" w:rsidTr="00CF098E">
        <w:trPr>
          <w:trHeight w:val="20"/>
          <w:jc w:val="center"/>
        </w:trPr>
        <w:tc>
          <w:tcPr>
            <w:tcW w:w="1686"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150D30A" w14:textId="77777777" w:rsidR="00903B75" w:rsidRPr="0038157D" w:rsidRDefault="00903B75" w:rsidP="00740FD6">
            <w:pPr>
              <w:jc w:val="center"/>
              <w:rPr>
                <w:rFonts w:ascii="Arial" w:hAnsi="Arial" w:cs="Arial"/>
                <w:b/>
                <w:bCs/>
                <w:color w:val="F2F2F2" w:themeColor="background2"/>
                <w:sz w:val="16"/>
                <w:szCs w:val="16"/>
                <w:lang w:val="es-CO"/>
              </w:rPr>
            </w:pPr>
            <w:r w:rsidRPr="0038157D">
              <w:rPr>
                <w:rFonts w:ascii="Arial" w:hAnsi="Arial" w:cs="Arial"/>
                <w:b/>
                <w:bCs/>
                <w:color w:val="F2F2F2" w:themeColor="background2"/>
                <w:sz w:val="16"/>
                <w:szCs w:val="16"/>
              </w:rPr>
              <w:t>Concepto</w:t>
            </w:r>
          </w:p>
        </w:tc>
        <w:tc>
          <w:tcPr>
            <w:tcW w:w="272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4BD0D36" w14:textId="77777777" w:rsidR="00903B75" w:rsidRPr="0038157D" w:rsidRDefault="00903B75" w:rsidP="00740FD6">
            <w:pPr>
              <w:jc w:val="center"/>
              <w:rPr>
                <w:rFonts w:ascii="Arial" w:hAnsi="Arial" w:cs="Arial"/>
                <w:b/>
                <w:bCs/>
                <w:color w:val="F2F2F2" w:themeColor="background2"/>
                <w:sz w:val="16"/>
                <w:szCs w:val="16"/>
              </w:rPr>
            </w:pPr>
            <w:r w:rsidRPr="0038157D">
              <w:rPr>
                <w:rFonts w:ascii="Arial" w:hAnsi="Arial" w:cs="Arial"/>
                <w:b/>
                <w:bCs/>
                <w:color w:val="F2F2F2" w:themeColor="background2"/>
                <w:sz w:val="16"/>
                <w:szCs w:val="16"/>
              </w:rPr>
              <w:t>Método</w:t>
            </w:r>
          </w:p>
        </w:tc>
      </w:tr>
      <w:tr w:rsidR="00903B75" w:rsidRPr="00EA7163" w14:paraId="578DB56A" w14:textId="77777777" w:rsidTr="00CF098E">
        <w:trPr>
          <w:trHeight w:val="20"/>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14:paraId="499F7229"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1</w:t>
            </w:r>
          </w:p>
        </w:tc>
        <w:tc>
          <w:tcPr>
            <w:tcW w:w="2724" w:type="dxa"/>
            <w:tcBorders>
              <w:top w:val="single" w:sz="4" w:space="0" w:color="auto"/>
              <w:left w:val="single" w:sz="4" w:space="0" w:color="auto"/>
              <w:bottom w:val="single" w:sz="4" w:space="0" w:color="auto"/>
              <w:right w:val="double" w:sz="4" w:space="0" w:color="auto"/>
            </w:tcBorders>
            <w:vAlign w:val="center"/>
            <w:hideMark/>
          </w:tcPr>
          <w:p w14:paraId="04EB7254"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Mediana con valor absoluto</w:t>
            </w:r>
          </w:p>
        </w:tc>
      </w:tr>
      <w:tr w:rsidR="00903B75" w:rsidRPr="00EA7163" w14:paraId="4194236A" w14:textId="77777777" w:rsidTr="00CF098E">
        <w:trPr>
          <w:trHeight w:val="20"/>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14:paraId="7275867C"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2</w:t>
            </w:r>
          </w:p>
        </w:tc>
        <w:tc>
          <w:tcPr>
            <w:tcW w:w="2724" w:type="dxa"/>
            <w:tcBorders>
              <w:top w:val="single" w:sz="4" w:space="0" w:color="auto"/>
              <w:left w:val="single" w:sz="4" w:space="0" w:color="auto"/>
              <w:bottom w:val="single" w:sz="4" w:space="0" w:color="auto"/>
              <w:right w:val="double" w:sz="4" w:space="0" w:color="auto"/>
            </w:tcBorders>
            <w:vAlign w:val="center"/>
            <w:hideMark/>
          </w:tcPr>
          <w:p w14:paraId="21B5413A"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Media geométrica</w:t>
            </w:r>
          </w:p>
        </w:tc>
      </w:tr>
      <w:tr w:rsidR="00903B75" w:rsidRPr="00EA7163" w14:paraId="68683F0F" w14:textId="77777777" w:rsidTr="00CF098E">
        <w:trPr>
          <w:trHeight w:val="20"/>
          <w:jc w:val="center"/>
        </w:trPr>
        <w:tc>
          <w:tcPr>
            <w:tcW w:w="1686" w:type="dxa"/>
            <w:tcBorders>
              <w:top w:val="single" w:sz="4" w:space="0" w:color="auto"/>
              <w:left w:val="double" w:sz="4" w:space="0" w:color="auto"/>
              <w:bottom w:val="single" w:sz="4" w:space="0" w:color="auto"/>
              <w:right w:val="single" w:sz="4" w:space="0" w:color="auto"/>
            </w:tcBorders>
            <w:vAlign w:val="center"/>
            <w:hideMark/>
          </w:tcPr>
          <w:p w14:paraId="6B1F6F13"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3</w:t>
            </w:r>
          </w:p>
        </w:tc>
        <w:tc>
          <w:tcPr>
            <w:tcW w:w="2724" w:type="dxa"/>
            <w:tcBorders>
              <w:top w:val="single" w:sz="4" w:space="0" w:color="auto"/>
              <w:left w:val="single" w:sz="4" w:space="0" w:color="auto"/>
              <w:bottom w:val="single" w:sz="4" w:space="0" w:color="auto"/>
              <w:right w:val="double" w:sz="4" w:space="0" w:color="auto"/>
            </w:tcBorders>
            <w:vAlign w:val="center"/>
            <w:hideMark/>
          </w:tcPr>
          <w:p w14:paraId="2FF51660"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Media aritmética baja</w:t>
            </w:r>
          </w:p>
        </w:tc>
      </w:tr>
      <w:tr w:rsidR="00903B75" w:rsidRPr="00EA7163" w14:paraId="063484F1" w14:textId="77777777" w:rsidTr="00CF098E">
        <w:trPr>
          <w:trHeight w:val="20"/>
          <w:jc w:val="center"/>
        </w:trPr>
        <w:tc>
          <w:tcPr>
            <w:tcW w:w="1686" w:type="dxa"/>
            <w:tcBorders>
              <w:top w:val="single" w:sz="4" w:space="0" w:color="auto"/>
              <w:left w:val="double" w:sz="4" w:space="0" w:color="auto"/>
              <w:bottom w:val="double" w:sz="4" w:space="0" w:color="auto"/>
              <w:right w:val="single" w:sz="4" w:space="0" w:color="auto"/>
            </w:tcBorders>
            <w:vAlign w:val="center"/>
            <w:hideMark/>
          </w:tcPr>
          <w:p w14:paraId="024808A8"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4</w:t>
            </w:r>
          </w:p>
        </w:tc>
        <w:tc>
          <w:tcPr>
            <w:tcW w:w="2724" w:type="dxa"/>
            <w:tcBorders>
              <w:top w:val="single" w:sz="4" w:space="0" w:color="auto"/>
              <w:left w:val="single" w:sz="4" w:space="0" w:color="auto"/>
              <w:bottom w:val="double" w:sz="4" w:space="0" w:color="auto"/>
              <w:right w:val="double" w:sz="4" w:space="0" w:color="auto"/>
            </w:tcBorders>
            <w:vAlign w:val="center"/>
            <w:hideMark/>
          </w:tcPr>
          <w:p w14:paraId="2080BF38" w14:textId="77777777" w:rsidR="00903B75" w:rsidRPr="00EA7163" w:rsidRDefault="00903B75" w:rsidP="00740FD6">
            <w:pPr>
              <w:jc w:val="center"/>
              <w:rPr>
                <w:rFonts w:ascii="Arial" w:hAnsi="Arial" w:cs="Arial"/>
                <w:sz w:val="16"/>
                <w:szCs w:val="16"/>
                <w:lang w:val="es-ES"/>
              </w:rPr>
            </w:pPr>
            <w:r w:rsidRPr="00EA7163">
              <w:rPr>
                <w:rFonts w:ascii="Arial" w:hAnsi="Arial" w:cs="Arial"/>
                <w:sz w:val="16"/>
                <w:szCs w:val="16"/>
                <w:lang w:val="es-ES"/>
              </w:rPr>
              <w:t>Menor Valor</w:t>
            </w:r>
          </w:p>
        </w:tc>
      </w:tr>
    </w:tbl>
    <w:p w14:paraId="27DCC182" w14:textId="77777777" w:rsidR="00903B75" w:rsidRPr="00EA7163" w:rsidRDefault="00903B75" w:rsidP="00740FD6">
      <w:pPr>
        <w:pStyle w:val="Textonotapie"/>
        <w:jc w:val="both"/>
        <w:rPr>
          <w:rFonts w:ascii="Arial" w:hAnsi="Arial" w:cs="Arial"/>
          <w:sz w:val="19"/>
          <w:szCs w:val="19"/>
        </w:rPr>
      </w:pPr>
    </w:p>
    <w:p w14:paraId="5AF8554B" w14:textId="77777777" w:rsidR="00903B75" w:rsidRPr="00EA7163" w:rsidRDefault="00903B75" w:rsidP="00FD5C3D">
      <w:pPr>
        <w:pStyle w:val="Textonotapie"/>
        <w:ind w:firstLine="708"/>
        <w:jc w:val="both"/>
        <w:rPr>
          <w:rFonts w:ascii="Arial" w:hAnsi="Arial" w:cs="Arial"/>
          <w:sz w:val="19"/>
          <w:szCs w:val="19"/>
        </w:rPr>
      </w:pPr>
      <w:r w:rsidRPr="00EA7163">
        <w:rPr>
          <w:rFonts w:ascii="Arial" w:hAnsi="Arial" w:cs="Arial"/>
          <w:sz w:val="19"/>
          <w:szCs w:val="19"/>
        </w:rPr>
        <w:t xml:space="preserve"> »Para determinar el método de ponderación, la Entidad tomará los centavos de la Tasa de Cambio Representativa del Mercado (TRM), certificada por la Superintendencia Financiera de Colombia (en su sitio web: https://www.superfinanciera.gov.co/publicacion/60819)».</w:t>
      </w:r>
    </w:p>
    <w:p w14:paraId="03ECF983" w14:textId="77777777" w:rsidR="00903B75" w:rsidRPr="00EA7163" w:rsidRDefault="00903B75" w:rsidP="00740FD6">
      <w:pPr>
        <w:pStyle w:val="Textonotapie"/>
        <w:jc w:val="both"/>
        <w:rPr>
          <w:rFonts w:ascii="Arial" w:hAnsi="Arial" w:cs="Arial"/>
          <w:sz w:val="19"/>
          <w:szCs w:val="19"/>
        </w:rPr>
      </w:pPr>
    </w:p>
  </w:footnote>
  <w:footnote w:id="2">
    <w:p w14:paraId="6E84C74E" w14:textId="77777777" w:rsidR="00903B75" w:rsidRPr="00EA7163" w:rsidRDefault="00903B75" w:rsidP="000B62D2">
      <w:pPr>
        <w:pStyle w:val="Textonotapie"/>
        <w:ind w:firstLine="708"/>
        <w:rPr>
          <w:rFonts w:ascii="Arial" w:hAnsi="Arial" w:cs="Arial"/>
        </w:rPr>
      </w:pPr>
    </w:p>
    <w:p w14:paraId="4312E16F" w14:textId="0AEF1EE5" w:rsidR="00903B75" w:rsidRPr="00EA7163" w:rsidRDefault="00903B75" w:rsidP="000B62D2">
      <w:pPr>
        <w:pStyle w:val="Textonotapie"/>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En efecto, el numeral 4.1. 4 del Documento Base adoptado por la Resolución No. 045 de 2020 establece: </w:t>
      </w:r>
      <w:r w:rsidRPr="00903B75">
        <w:rPr>
          <w:rFonts w:ascii="Arial" w:hAnsi="Arial" w:cs="Arial"/>
          <w:sz w:val="19"/>
          <w:szCs w:val="19"/>
          <w:highlight w:val="lightGray"/>
        </w:rPr>
        <w:t>«[En caso de que el Proceso de Contratación se adelante a través del SECOP I deberá incluirse lo siguiente:]</w:t>
      </w:r>
    </w:p>
    <w:p w14:paraId="465F4228" w14:textId="0B865323" w:rsidR="00903B75" w:rsidRPr="00EA7163" w:rsidRDefault="00903B75" w:rsidP="000B62D2">
      <w:pPr>
        <w:pStyle w:val="Textonotapie"/>
        <w:ind w:firstLine="708"/>
        <w:jc w:val="both"/>
        <w:rPr>
          <w:rFonts w:ascii="Arial" w:hAnsi="Arial" w:cs="Arial"/>
          <w:sz w:val="19"/>
          <w:szCs w:val="19"/>
        </w:rPr>
      </w:pPr>
      <w:r w:rsidRPr="00EA7163">
        <w:rPr>
          <w:rFonts w:ascii="Arial" w:hAnsi="Arial" w:cs="Arial"/>
          <w:sz w:val="19"/>
          <w:szCs w:val="19"/>
        </w:rPr>
        <w:t>»[…]</w:t>
      </w:r>
    </w:p>
    <w:p w14:paraId="0D2413BC" w14:textId="17D2C2C2" w:rsidR="00903B75" w:rsidRPr="00EA7163" w:rsidRDefault="00903B75" w:rsidP="000B62D2">
      <w:pPr>
        <w:pStyle w:val="Textonotapie"/>
        <w:ind w:firstLine="708"/>
        <w:jc w:val="both"/>
        <w:rPr>
          <w:rFonts w:ascii="Arial" w:hAnsi="Arial" w:cs="Arial"/>
          <w:sz w:val="19"/>
          <w:szCs w:val="19"/>
        </w:rPr>
      </w:pPr>
      <w:r w:rsidRPr="00EA7163">
        <w:rPr>
          <w:rFonts w:ascii="Arial" w:hAnsi="Arial" w:cs="Arial"/>
          <w:sz w:val="19"/>
          <w:szCs w:val="19"/>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w:t>
      </w:r>
      <w:r w:rsidRPr="00903B75">
        <w:rPr>
          <w:rFonts w:ascii="Arial" w:hAnsi="Arial" w:cs="Arial"/>
          <w:sz w:val="19"/>
          <w:szCs w:val="19"/>
          <w:highlight w:val="lightGray"/>
        </w:rPr>
        <w:t>[Por ejemplo, si la Audiencia de Adjudicación se realiza el 10 de febrero de 2020 y ese mismo día se abre el segundo sobre, la TRM que se usará para determinar el método de evaluación será la del 11 de febrero de 2020, que se publica en la tarde del 10 de febrero de 2020.]</w:t>
      </w:r>
      <w:r w:rsidRPr="00EA7163">
        <w:rPr>
          <w:rFonts w:ascii="Arial" w:hAnsi="Arial" w:cs="Arial"/>
          <w:sz w:val="19"/>
          <w:szCs w:val="19"/>
        </w:rPr>
        <w:t xml:space="preserve"> </w:t>
      </w:r>
    </w:p>
    <w:p w14:paraId="29B6D445" w14:textId="06010F5E" w:rsidR="00903B75" w:rsidRPr="00EA7163" w:rsidRDefault="00903B75" w:rsidP="000B62D2">
      <w:pPr>
        <w:pStyle w:val="Textonotapie"/>
        <w:ind w:firstLine="708"/>
        <w:jc w:val="both"/>
        <w:rPr>
          <w:rFonts w:ascii="Arial" w:hAnsi="Arial" w:cs="Arial"/>
          <w:sz w:val="19"/>
          <w:szCs w:val="19"/>
        </w:rPr>
      </w:pPr>
      <w:r w:rsidRPr="00EA7163">
        <w:rPr>
          <w:rFonts w:ascii="Arial" w:hAnsi="Arial" w:cs="Arial"/>
          <w:sz w:val="19"/>
          <w:szCs w:val="19"/>
        </w:rPr>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461DCFE2" w14:textId="182B88FF" w:rsidR="00903B75" w:rsidRPr="00EA7163" w:rsidRDefault="00903B75" w:rsidP="000B62D2">
      <w:pPr>
        <w:pStyle w:val="Textonotapie"/>
        <w:ind w:firstLine="708"/>
        <w:jc w:val="both"/>
        <w:rPr>
          <w:rFonts w:ascii="Arial" w:hAnsi="Arial" w:cs="Arial"/>
          <w:sz w:val="19"/>
          <w:szCs w:val="19"/>
        </w:rPr>
      </w:pPr>
      <w:r w:rsidRPr="00EA7163">
        <w:rPr>
          <w:rFonts w:ascii="Arial" w:hAnsi="Arial" w:cs="Arial"/>
          <w:sz w:val="19"/>
          <w:szCs w:val="19"/>
        </w:rPr>
        <w:t>»</w:t>
      </w:r>
      <w:r w:rsidRPr="00903B75">
        <w:rPr>
          <w:rFonts w:ascii="Arial" w:hAnsi="Arial" w:cs="Arial"/>
          <w:sz w:val="19"/>
          <w:szCs w:val="19"/>
          <w:highlight w:val="lightGray"/>
        </w:rPr>
        <w:t>[En caso de que el Proceso de Contratación se adelante a través del SECOP II deberá incluirse lo siguiente:]</w:t>
      </w:r>
    </w:p>
    <w:p w14:paraId="00BCE2A1" w14:textId="59335269" w:rsidR="00903B75" w:rsidRPr="00EA7163" w:rsidRDefault="00903B75" w:rsidP="000B62D2">
      <w:pPr>
        <w:pStyle w:val="Textonotapie"/>
        <w:ind w:firstLine="708"/>
        <w:jc w:val="both"/>
        <w:rPr>
          <w:rFonts w:ascii="Arial" w:hAnsi="Arial" w:cs="Arial"/>
          <w:sz w:val="19"/>
          <w:szCs w:val="19"/>
        </w:rPr>
      </w:pPr>
      <w:r w:rsidRPr="00EA7163">
        <w:rPr>
          <w:rFonts w:ascii="Arial" w:hAnsi="Arial" w:cs="Arial"/>
          <w:sz w:val="19"/>
          <w:szCs w:val="19"/>
        </w:rPr>
        <w:t>»[…]</w:t>
      </w:r>
    </w:p>
    <w:p w14:paraId="042A3F3D" w14:textId="6DEC7C9B" w:rsidR="00903B75" w:rsidRDefault="00903B75" w:rsidP="000B62D2">
      <w:pPr>
        <w:pStyle w:val="Textonotapie"/>
        <w:ind w:firstLine="708"/>
        <w:jc w:val="both"/>
        <w:rPr>
          <w:rFonts w:ascii="Arial" w:hAnsi="Arial" w:cs="Arial"/>
        </w:rPr>
      </w:pPr>
      <w:r w:rsidRPr="00EA7163">
        <w:rPr>
          <w:rFonts w:ascii="Arial" w:hAnsi="Arial" w:cs="Arial"/>
          <w:sz w:val="19"/>
          <w:szCs w:val="19"/>
        </w:rPr>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w:t>
      </w:r>
      <w:r w:rsidRPr="00903B75">
        <w:rPr>
          <w:rFonts w:ascii="Arial" w:hAnsi="Arial" w:cs="Arial"/>
          <w:sz w:val="19"/>
          <w:szCs w:val="19"/>
          <w:highlight w:val="lightGray"/>
        </w:rPr>
        <w:t>[Por ejemplo, si la Audiencia de Adjudicación se realiza el 10 de febrero y ese mismo día se abre el segundo sobre, la TRM que se usará para determinar el método</w:t>
      </w:r>
      <w:r w:rsidRPr="00903B75">
        <w:rPr>
          <w:rFonts w:ascii="Arial" w:hAnsi="Arial" w:cs="Arial"/>
          <w:highlight w:val="lightGray"/>
        </w:rPr>
        <w:t xml:space="preserve"> de evaluación será la que rige el 10 de febrero, que se publica en la tarde del 9 de febrero]</w:t>
      </w:r>
      <w:r w:rsidRPr="00EA7163">
        <w:rPr>
          <w:rFonts w:ascii="Arial" w:hAnsi="Arial" w:cs="Arial"/>
        </w:rPr>
        <w:t>».</w:t>
      </w:r>
    </w:p>
    <w:p w14:paraId="247538CD" w14:textId="77777777" w:rsidR="00903B75" w:rsidRPr="00EA7163" w:rsidRDefault="00903B75" w:rsidP="000B62D2">
      <w:pPr>
        <w:pStyle w:val="Textonotapie"/>
        <w:ind w:firstLine="708"/>
        <w:jc w:val="both"/>
        <w:rPr>
          <w:rFonts w:ascii="Arial" w:hAnsi="Arial" w:cs="Arial"/>
        </w:rPr>
      </w:pPr>
    </w:p>
  </w:footnote>
  <w:footnote w:id="3">
    <w:p w14:paraId="38BB6709" w14:textId="77777777"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Decreto 1082 de 2015: «</w:t>
      </w:r>
      <w:r w:rsidRPr="00EA7163">
        <w:rPr>
          <w:rStyle w:val="Textoennegrita"/>
          <w:rFonts w:ascii="Arial" w:hAnsi="Arial" w:cs="Arial"/>
          <w:b w:val="0"/>
          <w:bCs w:val="0"/>
          <w:sz w:val="19"/>
          <w:szCs w:val="19"/>
        </w:rPr>
        <w:t>Artículo 2.2.1.1.1.7.1. </w:t>
      </w:r>
      <w:r w:rsidRPr="00EA7163">
        <w:rPr>
          <w:rStyle w:val="nfasis"/>
          <w:rFonts w:ascii="Arial" w:hAnsi="Arial" w:cs="Arial"/>
          <w:i w:val="0"/>
          <w:iCs w:val="0"/>
          <w:sz w:val="19"/>
          <w:szCs w:val="19"/>
        </w:rPr>
        <w:t>Publicidad en el Secop</w:t>
      </w:r>
      <w:r w:rsidRPr="00EA7163">
        <w:rPr>
          <w:rStyle w:val="nfasis"/>
          <w:rFonts w:ascii="Arial" w:hAnsi="Arial" w:cs="Arial"/>
          <w:b/>
          <w:bCs/>
          <w:sz w:val="19"/>
          <w:szCs w:val="19"/>
        </w:rPr>
        <w:t>. </w:t>
      </w:r>
      <w:r w:rsidRPr="00EA7163">
        <w:rPr>
          <w:rFonts w:ascii="Arial" w:hAnsi="Arial" w:cs="Arial"/>
          <w:sz w:val="19"/>
          <w:szCs w:val="19"/>
        </w:rPr>
        <w:t>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464B9443" w14:textId="0477665A" w:rsidR="00903B75" w:rsidRPr="00EA7163" w:rsidRDefault="00903B75" w:rsidP="00740FD6">
      <w:pPr>
        <w:pStyle w:val="NormalWeb"/>
        <w:spacing w:before="0" w:beforeAutospacing="0" w:after="0" w:afterAutospacing="0"/>
        <w:jc w:val="both"/>
        <w:rPr>
          <w:rFonts w:ascii="Arial" w:hAnsi="Arial" w:cs="Arial"/>
          <w:sz w:val="19"/>
          <w:szCs w:val="19"/>
        </w:rPr>
      </w:pPr>
      <w:r w:rsidRPr="00EA7163">
        <w:rPr>
          <w:rFonts w:ascii="Arial" w:hAnsi="Arial" w:cs="Arial"/>
          <w:sz w:val="19"/>
          <w:szCs w:val="19"/>
        </w:rPr>
        <w:t>  </w:t>
      </w:r>
      <w:r w:rsidRPr="00EA7163">
        <w:rPr>
          <w:rFonts w:ascii="Arial" w:hAnsi="Arial" w:cs="Arial"/>
          <w:sz w:val="19"/>
          <w:szCs w:val="19"/>
        </w:rPr>
        <w:tab/>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 </w:t>
      </w:r>
    </w:p>
    <w:p w14:paraId="2122E0DA" w14:textId="5C83B0B8" w:rsidR="00903B75" w:rsidRPr="00EA7163" w:rsidRDefault="00903B75" w:rsidP="00740FD6">
      <w:pPr>
        <w:pStyle w:val="Textonotapie"/>
        <w:rPr>
          <w:rFonts w:ascii="Arial" w:hAnsi="Arial" w:cs="Arial"/>
          <w:sz w:val="19"/>
          <w:szCs w:val="19"/>
        </w:rPr>
      </w:pPr>
    </w:p>
  </w:footnote>
  <w:footnote w:id="4">
    <w:p w14:paraId="3B287A48" w14:textId="2C84D7F7" w:rsidR="00903B75" w:rsidRPr="00EA7163" w:rsidRDefault="00903B75" w:rsidP="00740FD6">
      <w:pPr>
        <w:pStyle w:val="Textonotapie"/>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w:t>
      </w:r>
      <w:bookmarkStart w:id="4" w:name="_Hlk62047233"/>
      <w:r w:rsidRPr="00EA7163">
        <w:rPr>
          <w:rFonts w:ascii="Arial" w:hAnsi="Arial" w:cs="Arial"/>
          <w:sz w:val="19"/>
          <w:szCs w:val="19"/>
        </w:rPr>
        <w:t xml:space="preserve">Resolución No. 240 de 2020. Documento Base: « </w:t>
      </w:r>
      <w:bookmarkEnd w:id="4"/>
      <w:r w:rsidRPr="00EA7163">
        <w:rPr>
          <w:rFonts w:ascii="Arial" w:hAnsi="Arial" w:cs="Arial"/>
          <w:sz w:val="19"/>
          <w:szCs w:val="19"/>
        </w:rPr>
        <w:t>4.1.4.</w:t>
      </w:r>
      <w:r w:rsidRPr="00EA7163">
        <w:rPr>
          <w:rFonts w:ascii="Arial" w:hAnsi="Arial" w:cs="Arial"/>
          <w:sz w:val="19"/>
          <w:szCs w:val="19"/>
        </w:rPr>
        <w:tab/>
        <w:t>DETERMINACIÓN DEL MÉTODO PARA LA PONDERACIÓN DE LA PROPUESTA ECONÓMICA</w:t>
      </w:r>
    </w:p>
    <w:p w14:paraId="7F5DE289" w14:textId="19F09032"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w:t>
      </w:r>
    </w:p>
    <w:p w14:paraId="6130E5A6" w14:textId="71158129"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 xml:space="preserve">»Para determinar el método de ponderación, la entidad tomará los centavos de la Tasa de Cambio Representativa del Mercado (TRM), certificada por la Superintendencia Financiera de Colombia (en su sitio web: </w:t>
      </w:r>
      <w:hyperlink r:id="rId1" w:history="1">
        <w:r w:rsidRPr="00EA7163">
          <w:rPr>
            <w:rStyle w:val="Hipervnculo"/>
            <w:rFonts w:ascii="Arial" w:hAnsi="Arial" w:cs="Arial"/>
            <w:color w:val="auto"/>
            <w:sz w:val="19"/>
            <w:szCs w:val="19"/>
          </w:rPr>
          <w:t>https://www.superfinanciera.gov.co/publicacion/60819</w:t>
        </w:r>
      </w:hyperlink>
      <w:r w:rsidRPr="00EA7163">
        <w:rPr>
          <w:rFonts w:ascii="Arial" w:hAnsi="Arial" w:cs="Arial"/>
          <w:sz w:val="19"/>
          <w:szCs w:val="19"/>
        </w:rPr>
        <w:t>)</w:t>
      </w:r>
    </w:p>
    <w:p w14:paraId="39D7E22F" w14:textId="787F91D0"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»El día de la audiencia efectiva de adjudicación, la entidad iniciará respondiendo y resolviendo las observaciones presentadas al informe de evaluación, de conformidad con el numeral 2.6. Acto seguido, la entidad iniciará la apertura de los sobres de las ofertas económicas y definirá el método de ponderación de las propuestas de acuerdo con la TRM que rija al día hábil siguiente; sin embargo, la entidad debe finalizar la apertura de los sobres económicos hasta antes de las 3:00 pm. De conformidad con lo anterior, la entidad no podrá abrir los sobres económicos teniendo conocimiento de la TRM que regirá al día hábil siguiente. En este sentido, atendiendo a las circunstancias anteriores y las particularidades de cada caso, la entidad podrá optar por suspender la audiencia y reiniciarla cuando lo considere conveniente, de manera que inicie y  finalice la apertura de los sobres antes de las 3:00 pm del día respectivo. </w:t>
      </w:r>
    </w:p>
    <w:p w14:paraId="2A0CF6D3" w14:textId="5109DC49"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»En el evento que la entidad deba suspender la audiencia por cualquier motivo, se tendrá como método de ponderación el que rija el día hábil siguiente del día en que efectivamente realice la apertura del segundo sobre. </w:t>
      </w:r>
    </w:p>
    <w:p w14:paraId="4E65B6A5" w14:textId="0254C2F3"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»En cualquiera de los supuestos señalados, la entidad debe iniciar y agotar la apertura de los sobres económicos y la definición del método de ponderación en un mismo día hasta antes de las 3:00 pm. Igualmente, el método definido el día de la apertura del sobre económico seguirá rigiendo aun cuando la entidad deba suspender la audiencia. </w:t>
      </w:r>
    </w:p>
    <w:p w14:paraId="43D41EEE" w14:textId="7800B79D"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w:t>
      </w:r>
    </w:p>
    <w:p w14:paraId="1AE7E211" w14:textId="61DFFB2C"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899"/>
        <w:gridCol w:w="2503"/>
      </w:tblGrid>
      <w:tr w:rsidR="00903B75" w:rsidRPr="00EA7163" w14:paraId="2FEDF4BB" w14:textId="77777777" w:rsidTr="00C667FA">
        <w:trPr>
          <w:trHeight w:val="20"/>
          <w:tblHeader/>
          <w:jc w:val="center"/>
        </w:trPr>
        <w:tc>
          <w:tcPr>
            <w:tcW w:w="2137"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4CD86BB5" w14:textId="77777777" w:rsidR="00903B75" w:rsidRPr="0038157D" w:rsidRDefault="00903B75" w:rsidP="00740FD6">
            <w:pPr>
              <w:jc w:val="center"/>
              <w:rPr>
                <w:rFonts w:ascii="Arial" w:eastAsia="Arial,Calibri" w:hAnsi="Arial" w:cs="Arial"/>
                <w:b/>
                <w:bCs/>
                <w:sz w:val="18"/>
                <w:szCs w:val="18"/>
              </w:rPr>
            </w:pPr>
            <w:r w:rsidRPr="0038157D">
              <w:rPr>
                <w:rFonts w:ascii="Arial" w:hAnsi="Arial" w:cs="Arial"/>
                <w:b/>
                <w:bCs/>
                <w:sz w:val="18"/>
                <w:szCs w:val="18"/>
              </w:rPr>
              <w:t>Rango</w:t>
            </w:r>
            <w:r w:rsidRPr="0038157D">
              <w:rPr>
                <w:rFonts w:ascii="Arial" w:eastAsia="Arial,Calibri" w:hAnsi="Arial" w:cs="Arial"/>
                <w:b/>
                <w:bCs/>
                <w:sz w:val="18"/>
                <w:szCs w:val="18"/>
              </w:rPr>
              <w:t xml:space="preserve"> </w:t>
            </w:r>
            <w:r w:rsidRPr="0038157D">
              <w:rPr>
                <w:rFonts w:ascii="Arial" w:hAnsi="Arial" w:cs="Arial"/>
                <w:b/>
                <w:bCs/>
                <w:sz w:val="18"/>
                <w:szCs w:val="18"/>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25A8EE2D" w14:textId="77777777" w:rsidR="00903B75" w:rsidRPr="0038157D" w:rsidRDefault="00903B75" w:rsidP="00740FD6">
            <w:pPr>
              <w:jc w:val="center"/>
              <w:rPr>
                <w:rFonts w:ascii="Arial" w:eastAsia="Arial,Calibri" w:hAnsi="Arial" w:cs="Arial"/>
                <w:b/>
                <w:bCs/>
                <w:sz w:val="18"/>
                <w:szCs w:val="18"/>
              </w:rPr>
            </w:pPr>
            <w:r w:rsidRPr="0038157D">
              <w:rPr>
                <w:rFonts w:ascii="Arial" w:hAnsi="Arial" w:cs="Arial"/>
                <w:b/>
                <w:bCs/>
                <w:sz w:val="18"/>
                <w:szCs w:val="18"/>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5CC5EBA5" w14:textId="77777777" w:rsidR="00903B75" w:rsidRPr="0038157D" w:rsidRDefault="00903B75" w:rsidP="00740FD6">
            <w:pPr>
              <w:jc w:val="center"/>
              <w:rPr>
                <w:rFonts w:ascii="Arial" w:eastAsia="Arial,Calibri" w:hAnsi="Arial" w:cs="Arial"/>
                <w:b/>
                <w:bCs/>
                <w:sz w:val="18"/>
                <w:szCs w:val="18"/>
              </w:rPr>
            </w:pPr>
            <w:r w:rsidRPr="0038157D">
              <w:rPr>
                <w:rFonts w:ascii="Arial" w:hAnsi="Arial" w:cs="Arial"/>
                <w:b/>
                <w:bCs/>
                <w:sz w:val="18"/>
                <w:szCs w:val="18"/>
              </w:rPr>
              <w:t>Método</w:t>
            </w:r>
          </w:p>
        </w:tc>
      </w:tr>
      <w:tr w:rsidR="00903B75" w:rsidRPr="00EA7163" w14:paraId="279BDB93" w14:textId="77777777" w:rsidTr="00C667FA">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56D270F7"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62449510" w14:textId="77777777" w:rsidR="00903B75" w:rsidRPr="0038157D" w:rsidRDefault="00903B75" w:rsidP="00740FD6">
            <w:pPr>
              <w:jc w:val="center"/>
              <w:rPr>
                <w:rFonts w:ascii="Arial" w:eastAsia="Arial,Times New Roman" w:hAnsi="Arial" w:cs="Arial"/>
                <w:sz w:val="18"/>
                <w:szCs w:val="18"/>
                <w:lang w:val="es-ES" w:eastAsia="es-CO"/>
              </w:rPr>
            </w:pPr>
            <w:r w:rsidRPr="0038157D">
              <w:rPr>
                <w:rFonts w:ascii="Arial" w:hAnsi="Arial" w:cs="Arial"/>
                <w:sz w:val="18"/>
                <w:szCs w:val="18"/>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C175EC6" w14:textId="77777777" w:rsidR="00903B75" w:rsidRPr="0038157D" w:rsidRDefault="00903B75" w:rsidP="00740FD6">
            <w:pPr>
              <w:jc w:val="center"/>
              <w:rPr>
                <w:rFonts w:ascii="Arial" w:eastAsia="Arial,Times New Roman" w:hAnsi="Arial" w:cs="Arial"/>
                <w:sz w:val="18"/>
                <w:szCs w:val="18"/>
                <w:lang w:val="es-ES" w:eastAsia="es-CO"/>
              </w:rPr>
            </w:pPr>
            <w:r w:rsidRPr="0038157D">
              <w:rPr>
                <w:rFonts w:ascii="Arial" w:hAnsi="Arial" w:cs="Arial"/>
                <w:sz w:val="18"/>
                <w:szCs w:val="18"/>
                <w:lang w:val="es-ES" w:eastAsia="es-CO"/>
              </w:rPr>
              <w:t>Mediana con valor absoluto</w:t>
            </w:r>
          </w:p>
        </w:tc>
      </w:tr>
      <w:tr w:rsidR="00903B75" w:rsidRPr="00EA7163" w14:paraId="73CCDB26" w14:textId="77777777" w:rsidTr="00C667FA">
        <w:trPr>
          <w:trHeight w:val="41"/>
          <w:jc w:val="center"/>
        </w:trPr>
        <w:tc>
          <w:tcPr>
            <w:tcW w:w="2137" w:type="dxa"/>
            <w:tcBorders>
              <w:top w:val="single" w:sz="4" w:space="0" w:color="auto"/>
              <w:left w:val="double" w:sz="4" w:space="0" w:color="auto"/>
              <w:bottom w:val="single" w:sz="4" w:space="0" w:color="auto"/>
              <w:right w:val="single" w:sz="4" w:space="0" w:color="auto"/>
            </w:tcBorders>
            <w:vAlign w:val="center"/>
            <w:hideMark/>
          </w:tcPr>
          <w:p w14:paraId="214363CE"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3158A1AA" w14:textId="77777777" w:rsidR="00903B75" w:rsidRPr="0038157D" w:rsidRDefault="00903B75" w:rsidP="00740FD6">
            <w:pPr>
              <w:jc w:val="center"/>
              <w:rPr>
                <w:rFonts w:ascii="Arial" w:eastAsia="Arial,Times New Roman" w:hAnsi="Arial" w:cs="Arial"/>
                <w:sz w:val="18"/>
                <w:szCs w:val="18"/>
                <w:lang w:val="es-ES" w:eastAsia="es-CO"/>
              </w:rPr>
            </w:pPr>
            <w:r w:rsidRPr="0038157D">
              <w:rPr>
                <w:rFonts w:ascii="Arial" w:eastAsia="Arial,Times New Roman" w:hAnsi="Arial" w:cs="Arial"/>
                <w:sz w:val="18"/>
                <w:szCs w:val="18"/>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03EC9B4" w14:textId="77777777" w:rsidR="00903B75" w:rsidRPr="0038157D" w:rsidRDefault="00903B75" w:rsidP="00740FD6">
            <w:pPr>
              <w:jc w:val="center"/>
              <w:rPr>
                <w:rFonts w:ascii="Arial" w:eastAsia="Arial,Times New Roman" w:hAnsi="Arial" w:cs="Arial"/>
                <w:sz w:val="18"/>
                <w:szCs w:val="18"/>
                <w:lang w:val="es-ES" w:eastAsia="es-CO"/>
              </w:rPr>
            </w:pPr>
            <w:r w:rsidRPr="0038157D">
              <w:rPr>
                <w:rFonts w:ascii="Arial" w:hAnsi="Arial" w:cs="Arial"/>
                <w:sz w:val="18"/>
                <w:szCs w:val="18"/>
                <w:lang w:val="es-ES" w:eastAsia="es-CO"/>
              </w:rPr>
              <w:t>Media geométrica</w:t>
            </w:r>
          </w:p>
        </w:tc>
      </w:tr>
      <w:tr w:rsidR="00903B75" w:rsidRPr="00EA7163" w14:paraId="3337CD26" w14:textId="77777777" w:rsidTr="00C667FA">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tcPr>
          <w:p w14:paraId="15003C11"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450D0402"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1F5FA489"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Media aritmética baja</w:t>
            </w:r>
          </w:p>
        </w:tc>
      </w:tr>
      <w:tr w:rsidR="00903B75" w:rsidRPr="00EA7163" w14:paraId="1B122BAC" w14:textId="77777777" w:rsidTr="005624C3">
        <w:trPr>
          <w:trHeight w:val="20"/>
          <w:jc w:val="center"/>
        </w:trPr>
        <w:tc>
          <w:tcPr>
            <w:tcW w:w="2137" w:type="dxa"/>
            <w:tcBorders>
              <w:top w:val="single" w:sz="4" w:space="0" w:color="auto"/>
              <w:left w:val="double" w:sz="4" w:space="0" w:color="auto"/>
              <w:bottom w:val="single" w:sz="4" w:space="0" w:color="auto"/>
              <w:right w:val="single" w:sz="4" w:space="0" w:color="auto"/>
            </w:tcBorders>
            <w:vAlign w:val="center"/>
          </w:tcPr>
          <w:p w14:paraId="7EC5F92D"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De 0.75 a 0.99</w:t>
            </w:r>
          </w:p>
        </w:tc>
        <w:tc>
          <w:tcPr>
            <w:tcW w:w="899" w:type="dxa"/>
            <w:tcBorders>
              <w:top w:val="single" w:sz="4" w:space="0" w:color="auto"/>
              <w:left w:val="single" w:sz="4" w:space="0" w:color="auto"/>
              <w:bottom w:val="single" w:sz="4" w:space="0" w:color="auto"/>
              <w:right w:val="single" w:sz="4" w:space="0" w:color="auto"/>
            </w:tcBorders>
            <w:vAlign w:val="center"/>
          </w:tcPr>
          <w:p w14:paraId="0BF53367"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4</w:t>
            </w:r>
          </w:p>
        </w:tc>
        <w:tc>
          <w:tcPr>
            <w:tcW w:w="2503" w:type="dxa"/>
            <w:tcBorders>
              <w:top w:val="single" w:sz="4" w:space="0" w:color="auto"/>
              <w:left w:val="single" w:sz="4" w:space="0" w:color="auto"/>
              <w:bottom w:val="single" w:sz="4" w:space="0" w:color="auto"/>
              <w:right w:val="double" w:sz="4" w:space="0" w:color="auto"/>
            </w:tcBorders>
            <w:vAlign w:val="center"/>
          </w:tcPr>
          <w:p w14:paraId="58C1BA3A" w14:textId="77777777" w:rsidR="00903B75" w:rsidRPr="0038157D" w:rsidRDefault="00903B75" w:rsidP="00740FD6">
            <w:pPr>
              <w:jc w:val="center"/>
              <w:rPr>
                <w:rFonts w:ascii="Arial" w:hAnsi="Arial" w:cs="Arial"/>
                <w:sz w:val="18"/>
                <w:szCs w:val="18"/>
                <w:lang w:val="es-ES" w:eastAsia="es-CO"/>
              </w:rPr>
            </w:pPr>
            <w:r w:rsidRPr="0038157D">
              <w:rPr>
                <w:rFonts w:ascii="Arial" w:hAnsi="Arial" w:cs="Arial"/>
                <w:sz w:val="18"/>
                <w:szCs w:val="18"/>
                <w:lang w:val="es-ES" w:eastAsia="es-CO"/>
              </w:rPr>
              <w:t>Menor valor</w:t>
            </w:r>
          </w:p>
        </w:tc>
      </w:tr>
    </w:tbl>
    <w:p w14:paraId="57BA0BE8" w14:textId="24673A8D"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 xml:space="preserve">»Para determinar el método de ponderación, la entidad tomará los centavos de la Tasa de Cambio Representativa del Mercado (TRM), certificada por la Superintendencia Financiera de Colombia (en su sitio web: https://www.superfinanciera.gov.co/publicacion/60819)». </w:t>
      </w:r>
    </w:p>
  </w:footnote>
  <w:footnote w:id="5">
    <w:p w14:paraId="45DC5D0D" w14:textId="668B4D08" w:rsidR="00903B75" w:rsidRPr="00EA7163" w:rsidRDefault="00903B75" w:rsidP="00740FD6">
      <w:pPr>
        <w:pStyle w:val="Ttulo2"/>
        <w:numPr>
          <w:ilvl w:val="0"/>
          <w:numId w:val="0"/>
        </w:numPr>
        <w:spacing w:line="240" w:lineRule="auto"/>
        <w:ind w:left="357"/>
        <w:rPr>
          <w:rFonts w:cs="Arial"/>
          <w:b w:val="0"/>
          <w:bCs/>
          <w:color w:val="auto"/>
          <w:sz w:val="19"/>
          <w:szCs w:val="19"/>
        </w:rPr>
      </w:pPr>
      <w:r w:rsidRPr="00EA7163">
        <w:rPr>
          <w:rStyle w:val="Refdenotaalpie"/>
          <w:rFonts w:cs="Arial"/>
          <w:b w:val="0"/>
          <w:bCs/>
          <w:color w:val="auto"/>
          <w:sz w:val="19"/>
          <w:szCs w:val="19"/>
        </w:rPr>
        <w:footnoteRef/>
      </w:r>
      <w:r w:rsidRPr="00EA7163">
        <w:rPr>
          <w:rFonts w:cs="Arial"/>
          <w:b w:val="0"/>
          <w:bCs/>
          <w:color w:val="auto"/>
          <w:sz w:val="19"/>
          <w:szCs w:val="19"/>
        </w:rPr>
        <w:t xml:space="preserve"> </w:t>
      </w:r>
      <w:r w:rsidRPr="00EA7163">
        <w:rPr>
          <w:rFonts w:cs="Arial"/>
          <w:b w:val="0"/>
          <w:bCs/>
          <w:caps w:val="0"/>
          <w:color w:val="auto"/>
          <w:sz w:val="19"/>
          <w:szCs w:val="19"/>
        </w:rPr>
        <w:t xml:space="preserve">Resolución No. 240 de 2020. Documento Base: </w:t>
      </w:r>
      <w:r w:rsidRPr="00EA7163">
        <w:rPr>
          <w:rFonts w:cs="Arial"/>
          <w:b w:val="0"/>
          <w:bCs/>
          <w:color w:val="auto"/>
          <w:sz w:val="19"/>
          <w:szCs w:val="19"/>
        </w:rPr>
        <w:t xml:space="preserve">« 2.4. </w:t>
      </w:r>
      <w:bookmarkStart w:id="5" w:name="_Toc57727263"/>
      <w:r w:rsidRPr="00EA7163">
        <w:rPr>
          <w:rFonts w:cs="Arial"/>
          <w:b w:val="0"/>
          <w:bCs/>
          <w:caps w:val="0"/>
          <w:color w:val="auto"/>
          <w:sz w:val="19"/>
          <w:szCs w:val="19"/>
        </w:rPr>
        <w:t>CIERRE DEL PROCESO Y APERTURA DE OFERTAS</w:t>
      </w:r>
      <w:bookmarkEnd w:id="5"/>
    </w:p>
    <w:p w14:paraId="31EAA2FA" w14:textId="091710FD" w:rsidR="00903B75" w:rsidRPr="00EA7163" w:rsidRDefault="00903B75" w:rsidP="00740FD6">
      <w:pPr>
        <w:ind w:firstLine="708"/>
        <w:jc w:val="both"/>
        <w:rPr>
          <w:rFonts w:ascii="Arial" w:hAnsi="Arial" w:cs="Arial"/>
          <w:sz w:val="19"/>
          <w:szCs w:val="19"/>
        </w:rPr>
      </w:pPr>
      <w:r w:rsidRPr="00EA7163">
        <w:rPr>
          <w:rFonts w:ascii="Arial" w:hAnsi="Arial" w:cs="Arial"/>
          <w:sz w:val="19"/>
          <w:szCs w:val="19"/>
          <w:highlight w:val="lightGray"/>
        </w:rPr>
        <w:t>»[Incluir para los procesos de contratación adelantados por SECOP I]</w:t>
      </w:r>
    </w:p>
    <w:p w14:paraId="26DFAB07" w14:textId="09BD5726"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w:t>
      </w:r>
    </w:p>
    <w:p w14:paraId="6DB0FBA4" w14:textId="02D3790A"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»Un funcionario o contratista de la entidad verificará que el Sobre No. 2 de cada oferta esté sellado y requerirá a los asistentes a la diligencia de cierre para que firmen cada uno de ellos. Para generar confianza, al momento del cierre la entidad guardará en un sobre todos los sobres económicos, y éste lo firmarán quienes asistan al cierre, o los custodiará en una bolsa de seguridad, con el fin de que, al momento de su apertura en la audiencia efectiva de adjudicación se pueda verificar que los mismos no fueron alterados, cambiados o abiertos. La entidad custodiará en un lugar idóneo este sobre o la bolsa de seguridad para garantizar su seguridad. </w:t>
      </w:r>
    </w:p>
    <w:p w14:paraId="7C5F792F" w14:textId="77777777"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»En la apertura del Sobre No. 2, la entidad estatal permitirá tomar fotos a las ofertas económicas, si así lo solicita cualquier proponente </w:t>
      </w:r>
    </w:p>
    <w:p w14:paraId="54833E97" w14:textId="2F0B8F3B"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w:t>
      </w:r>
    </w:p>
    <w:p w14:paraId="69828BFE" w14:textId="685C9DE1"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»2.6.</w:t>
      </w:r>
      <w:r w:rsidRPr="00EA7163">
        <w:rPr>
          <w:rFonts w:ascii="Arial" w:hAnsi="Arial" w:cs="Arial"/>
          <w:sz w:val="19"/>
          <w:szCs w:val="19"/>
        </w:rPr>
        <w:tab/>
        <w:t>AUDIENCIA EFECTIVA DE ADJUDICACIÓN</w:t>
      </w:r>
    </w:p>
    <w:p w14:paraId="5B5B4EA4" w14:textId="4421A119"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»En la fecha establecida en el Anexo 2 – Cronograma, la entidad procederá a la instalación y desarrollo de la audiencia efectiva de adjudicación, sin perjuicio de la utilización de los medios virtuales que garanticen la participación y la interacción de los interesados con la entidad contratante.</w:t>
      </w:r>
    </w:p>
    <w:p w14:paraId="58E4D6AC" w14:textId="592E062F"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5E0C704E" w14:textId="55B02B90"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 xml:space="preserve">»Resueltas las observaciones frente al informe de evaluación, en caso de que haya lugar a ello, la entidad procederá a dar apertura al Sobre 2 de los proponentes habilitados y evaluará la oferta económica a través del mecanismo escogido mediante el método aleatorio que resulte aplicable de conformidad con lo establecido en el numeral 4.1. del presente pliego de condiciones. Posteriormente, se correrá traslado a los proponentes habilitados solo para la revisión del aspecto económico y se definirá el orden de elegibilidad. </w:t>
      </w:r>
    </w:p>
    <w:p w14:paraId="39B2A316" w14:textId="6E69093A" w:rsidR="00903B75" w:rsidRPr="00EA7163" w:rsidRDefault="00903B75" w:rsidP="00740FD6">
      <w:pPr>
        <w:ind w:firstLine="708"/>
        <w:jc w:val="both"/>
        <w:rPr>
          <w:rFonts w:ascii="Arial" w:hAnsi="Arial" w:cs="Arial"/>
          <w:sz w:val="19"/>
          <w:szCs w:val="19"/>
        </w:rPr>
      </w:pPr>
      <w:r w:rsidRPr="00EA7163">
        <w:rPr>
          <w:rFonts w:ascii="Arial" w:hAnsi="Arial" w:cs="Arial"/>
          <w:sz w:val="19"/>
          <w:szCs w:val="19"/>
        </w:rPr>
        <w:t>»El orden de elegibilidad se establecerá a través de la sumatoria de los puntajes obtenidos por las propuestas para cada uno de los criterios establecidos en el “CAPÍTULO IV” y ordenados de mayor a menor […]».</w:t>
      </w:r>
    </w:p>
    <w:p w14:paraId="2BF8DB59" w14:textId="6DF05562" w:rsidR="00903B75" w:rsidRPr="00EA7163" w:rsidRDefault="00903B75" w:rsidP="00740FD6">
      <w:pPr>
        <w:pStyle w:val="Textonotapie"/>
        <w:ind w:firstLine="708"/>
        <w:jc w:val="both"/>
        <w:rPr>
          <w:rFonts w:ascii="Arial" w:hAnsi="Arial" w:cs="Arial"/>
          <w:sz w:val="19"/>
          <w:szCs w:val="19"/>
        </w:rPr>
      </w:pPr>
    </w:p>
  </w:footnote>
  <w:footnote w:id="6">
    <w:p w14:paraId="5D1D69C3" w14:textId="17AE473E"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Ley 1882 de 2018: «</w:t>
      </w:r>
      <w:r w:rsidRPr="00EA7163">
        <w:rPr>
          <w:rStyle w:val="Textoennegrita"/>
          <w:rFonts w:ascii="Arial" w:hAnsi="Arial" w:cs="Arial"/>
          <w:b w:val="0"/>
          <w:bCs w:val="0"/>
          <w:sz w:val="19"/>
          <w:szCs w:val="19"/>
        </w:rPr>
        <w:t>Artículo 1°.</w:t>
      </w:r>
      <w:r w:rsidRPr="00EA7163">
        <w:rPr>
          <w:rFonts w:ascii="Arial" w:hAnsi="Arial" w:cs="Arial"/>
          <w:sz w:val="19"/>
          <w:szCs w:val="19"/>
        </w:rPr>
        <w:t> Adiciónense los parágrafos 2° y 3° del artículo 30 de la Ley 80 de 1993: </w:t>
      </w:r>
    </w:p>
    <w:p w14:paraId="4C6F3A87" w14:textId="60E4F3FB"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Fonts w:ascii="Arial" w:hAnsi="Arial" w:cs="Arial"/>
          <w:sz w:val="19"/>
          <w:szCs w:val="19"/>
        </w:rPr>
        <w:t>»[…]</w:t>
      </w:r>
    </w:p>
    <w:p w14:paraId="62251AF7" w14:textId="1BD8A855"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Style w:val="Textoennegrita"/>
          <w:rFonts w:ascii="Arial" w:hAnsi="Arial" w:cs="Arial"/>
          <w:b w:val="0"/>
          <w:bCs w:val="0"/>
          <w:sz w:val="19"/>
          <w:szCs w:val="19"/>
        </w:rPr>
        <w:t>»Parágrafo 2°</w:t>
      </w:r>
      <w:r w:rsidRPr="00EA7163">
        <w:rPr>
          <w:rStyle w:val="Textoennegrita"/>
          <w:rFonts w:ascii="Arial" w:hAnsi="Arial" w:cs="Arial"/>
          <w:sz w:val="19"/>
          <w:szCs w:val="19"/>
        </w:rPr>
        <w:t>. </w:t>
      </w:r>
      <w:r w:rsidRPr="00EA7163">
        <w:rPr>
          <w:rFonts w:ascii="Arial" w:hAnsi="Arial" w:cs="Arial"/>
          <w:sz w:val="19"/>
          <w:szCs w:val="19"/>
        </w:rPr>
        <w:t>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w:t>
      </w:r>
    </w:p>
    <w:p w14:paraId="44887256" w14:textId="77777777" w:rsidR="00903B75" w:rsidRPr="00EA7163" w:rsidRDefault="00903B75" w:rsidP="00740FD6">
      <w:pPr>
        <w:pStyle w:val="NormalWeb"/>
        <w:spacing w:before="0" w:beforeAutospacing="0" w:after="0" w:afterAutospacing="0"/>
        <w:jc w:val="both"/>
        <w:rPr>
          <w:rFonts w:ascii="Arial" w:hAnsi="Arial" w:cs="Arial"/>
          <w:sz w:val="19"/>
          <w:szCs w:val="19"/>
        </w:rPr>
      </w:pPr>
      <w:r w:rsidRPr="00EA7163">
        <w:rPr>
          <w:rFonts w:ascii="Arial" w:hAnsi="Arial" w:cs="Arial"/>
          <w:sz w:val="19"/>
          <w:szCs w:val="19"/>
        </w:rPr>
        <w:t>El segundo sobre deberá incluir únicamente la propuesta económica de conformidad con todos los requisitos exigidos en el pliego de condiciones. </w:t>
      </w:r>
    </w:p>
    <w:p w14:paraId="419729B4" w14:textId="61BE756E"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Style w:val="Textoennegrita"/>
          <w:rFonts w:ascii="Arial" w:hAnsi="Arial" w:cs="Arial"/>
          <w:b w:val="0"/>
          <w:bCs w:val="0"/>
          <w:sz w:val="19"/>
          <w:szCs w:val="19"/>
        </w:rPr>
        <w:t>»Parágrafo 3°</w:t>
      </w:r>
      <w:r w:rsidRPr="00EA7163">
        <w:rPr>
          <w:rStyle w:val="Textoennegrita"/>
          <w:rFonts w:ascii="Arial" w:hAnsi="Arial" w:cs="Arial"/>
          <w:sz w:val="19"/>
          <w:szCs w:val="19"/>
        </w:rPr>
        <w:t>. </w:t>
      </w:r>
      <w:r w:rsidRPr="00EA7163">
        <w:rPr>
          <w:rFonts w:ascii="Arial" w:hAnsi="Arial" w:cs="Arial"/>
          <w:sz w:val="19"/>
          <w:szCs w:val="19"/>
        </w:rPr>
        <w:t>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5F27BDC6" w14:textId="77777777" w:rsidR="00903B75" w:rsidRPr="00EA7163" w:rsidRDefault="00903B75" w:rsidP="00740FD6">
      <w:pPr>
        <w:pStyle w:val="NormalWeb"/>
        <w:spacing w:before="0" w:beforeAutospacing="0" w:after="0" w:afterAutospacing="0"/>
        <w:jc w:val="both"/>
        <w:rPr>
          <w:rFonts w:ascii="Arial" w:hAnsi="Arial" w:cs="Arial"/>
          <w:sz w:val="19"/>
          <w:szCs w:val="19"/>
        </w:rPr>
      </w:pPr>
      <w:r w:rsidRPr="00EA7163">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12A8378A" w14:textId="79671996" w:rsidR="00903B75" w:rsidRPr="00EA7163" w:rsidRDefault="00903B75" w:rsidP="00740FD6">
      <w:pPr>
        <w:pStyle w:val="NormalWeb"/>
        <w:spacing w:before="0" w:beforeAutospacing="0" w:after="0" w:afterAutospacing="0"/>
        <w:ind w:firstLine="708"/>
        <w:jc w:val="both"/>
        <w:rPr>
          <w:rFonts w:ascii="Arial" w:hAnsi="Arial" w:cs="Arial"/>
          <w:sz w:val="19"/>
          <w:szCs w:val="19"/>
        </w:rPr>
      </w:pPr>
      <w:r w:rsidRPr="00EA7163">
        <w:rPr>
          <w:rFonts w:ascii="Arial" w:hAnsi="Arial" w:cs="Arial"/>
          <w:sz w:val="19"/>
          <w:szCs w:val="19"/>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4027B6AC" w14:textId="5A675E1B" w:rsidR="00903B75" w:rsidRPr="00EA7163" w:rsidRDefault="00903B75" w:rsidP="00740FD6">
      <w:pPr>
        <w:pStyle w:val="Textonotapie"/>
        <w:rPr>
          <w:rFonts w:ascii="Arial" w:hAnsi="Arial" w:cs="Arial"/>
          <w:sz w:val="19"/>
          <w:szCs w:val="19"/>
        </w:rPr>
      </w:pPr>
    </w:p>
  </w:footnote>
  <w:footnote w:id="7">
    <w:p w14:paraId="1DD46AE8" w14:textId="52EBCB84" w:rsidR="00903B75" w:rsidRPr="00EA7163" w:rsidRDefault="00903B75" w:rsidP="00740FD6">
      <w:pPr>
        <w:pStyle w:val="Textonotapie"/>
        <w:ind w:firstLine="708"/>
        <w:jc w:val="both"/>
        <w:rPr>
          <w:rFonts w:ascii="Arial" w:hAnsi="Arial" w:cs="Arial"/>
          <w:sz w:val="19"/>
          <w:szCs w:val="19"/>
        </w:rPr>
      </w:pPr>
      <w:r w:rsidRPr="00EA7163">
        <w:rPr>
          <w:rStyle w:val="Refdenotaalpie"/>
          <w:rFonts w:ascii="Arial" w:hAnsi="Arial" w:cs="Arial"/>
          <w:sz w:val="19"/>
          <w:szCs w:val="19"/>
        </w:rPr>
        <w:footnoteRef/>
      </w:r>
      <w:r w:rsidRPr="00EA7163">
        <w:rPr>
          <w:rFonts w:ascii="Arial" w:hAnsi="Arial" w:cs="Arial"/>
          <w:sz w:val="19"/>
          <w:szCs w:val="19"/>
        </w:rPr>
        <w:t xml:space="preserve"> Tanto el documento base adoptado por la Resolución No. 045 de 2020, como el expedido con la Resolución No. 240 de 2020, disponen: «2.5. INFORME DE EVALUACIÓN DE ASPECTOS DISTINTOS A LA OFERTA ECONÓMICA</w:t>
      </w:r>
    </w:p>
    <w:p w14:paraId="79161879" w14:textId="3AEB7ACB"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 xml:space="preserve">»En la fecha establecida en el Anexo 2 - Cronograma, la entidad publicará el informe de evaluación de los documentos e información de los requisitos habilitantes y los documentos a los que se les asigne puntaje, diferentes a la oferta económica, contenidos en el Sobre 1. El informe permanecerá publicado en el SECOP y a disposición de los interesados durante cinco (5) días hábiles, término hasta el cual los proponentes podrán hacer las observaciones que consideren y entregar los documentos y la información solicitada por la entidad en los términos señalados en la sección 1.6, salvo que ya lo hubieren hecho en un momento anterior, de conformidad con el mismo numeral citado. </w:t>
      </w:r>
    </w:p>
    <w:p w14:paraId="5FB5E420" w14:textId="76D2908A"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 xml:space="preserve">»En virtud del principio de transparencia, las entidades motivarán de forma detallada y precisa el informe de evaluación explicando el rechazo de las ofertas y los documentos que se necesitan subsanar -en caso de que no se hayan subsanado durante la etapa de evaluación-. </w:t>
      </w:r>
    </w:p>
    <w:p w14:paraId="102B0F7C" w14:textId="24266DED" w:rsidR="00903B75" w:rsidRPr="00EA7163" w:rsidRDefault="00903B75" w:rsidP="00740FD6">
      <w:pPr>
        <w:pStyle w:val="Textonotapie"/>
        <w:ind w:firstLine="708"/>
        <w:jc w:val="both"/>
        <w:rPr>
          <w:rFonts w:ascii="Arial" w:hAnsi="Arial" w:cs="Arial"/>
          <w:sz w:val="19"/>
          <w:szCs w:val="19"/>
        </w:rPr>
      </w:pPr>
      <w:r w:rsidRPr="00EA7163">
        <w:rPr>
          <w:rFonts w:ascii="Arial" w:hAnsi="Arial" w:cs="Arial"/>
          <w:sz w:val="19"/>
          <w:szCs w:val="19"/>
        </w:rPr>
        <w:t>»Con posterioridad al vencimiento del plazo para presentar observaciones y a más tardar el día antes de la audiencia efectiva de adjudicación, hasta las 11:59 p.m. de acuerdo con lo señalado en el Anexo 2 – Cronograma, la entidad debe publicar el informe final de evaluación, en caso de que el inicial haya sufrido variaciones».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903B75" w:rsidRDefault="00903B75">
    <w:pPr>
      <w:pStyle w:val="Encabezado"/>
    </w:pPr>
  </w:p>
  <w:p w14:paraId="6A4C7F2C" w14:textId="7D093DBB" w:rsidR="00903B75" w:rsidRDefault="00903B75">
    <w:pPr>
      <w:pStyle w:val="Encabezado"/>
    </w:pPr>
  </w:p>
  <w:p w14:paraId="055F2E1F" w14:textId="0B935ADD" w:rsidR="00903B75" w:rsidRDefault="00903B75">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903B75" w:rsidRDefault="00903B75">
    <w:pPr>
      <w:pStyle w:val="Encabezado"/>
    </w:pPr>
  </w:p>
  <w:p w14:paraId="3D323BDB" w14:textId="04AF0DE6" w:rsidR="00903B75" w:rsidRDefault="00903B75">
    <w:pPr>
      <w:pStyle w:val="Encabezado"/>
    </w:pPr>
  </w:p>
  <w:p w14:paraId="6520770B" w14:textId="18EB07B5" w:rsidR="00903B75" w:rsidRDefault="00903B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740F"/>
    <w:rsid w:val="00020C75"/>
    <w:rsid w:val="00023CF4"/>
    <w:rsid w:val="0002436F"/>
    <w:rsid w:val="00030B9C"/>
    <w:rsid w:val="0003130E"/>
    <w:rsid w:val="00062FC4"/>
    <w:rsid w:val="000942EB"/>
    <w:rsid w:val="0009566E"/>
    <w:rsid w:val="000A156A"/>
    <w:rsid w:val="000B103F"/>
    <w:rsid w:val="000B356E"/>
    <w:rsid w:val="000B62D2"/>
    <w:rsid w:val="000B637E"/>
    <w:rsid w:val="000C1935"/>
    <w:rsid w:val="000E022D"/>
    <w:rsid w:val="000E42B2"/>
    <w:rsid w:val="000F14E8"/>
    <w:rsid w:val="000F6B47"/>
    <w:rsid w:val="000F6B76"/>
    <w:rsid w:val="00103915"/>
    <w:rsid w:val="00103D53"/>
    <w:rsid w:val="00107AF4"/>
    <w:rsid w:val="00107D36"/>
    <w:rsid w:val="00122B23"/>
    <w:rsid w:val="00126A53"/>
    <w:rsid w:val="00133D31"/>
    <w:rsid w:val="00137FFA"/>
    <w:rsid w:val="0014026C"/>
    <w:rsid w:val="00163392"/>
    <w:rsid w:val="001672F7"/>
    <w:rsid w:val="001732F4"/>
    <w:rsid w:val="00180AE6"/>
    <w:rsid w:val="001864A3"/>
    <w:rsid w:val="00192F4D"/>
    <w:rsid w:val="001D1225"/>
    <w:rsid w:val="001E6EFD"/>
    <w:rsid w:val="001F314C"/>
    <w:rsid w:val="002013B1"/>
    <w:rsid w:val="00201B5E"/>
    <w:rsid w:val="00207FC0"/>
    <w:rsid w:val="00212EB3"/>
    <w:rsid w:val="00217440"/>
    <w:rsid w:val="00234B84"/>
    <w:rsid w:val="002525C6"/>
    <w:rsid w:val="00252C05"/>
    <w:rsid w:val="0025734A"/>
    <w:rsid w:val="00264BB5"/>
    <w:rsid w:val="002658CB"/>
    <w:rsid w:val="002744CC"/>
    <w:rsid w:val="00274BC6"/>
    <w:rsid w:val="00282A6C"/>
    <w:rsid w:val="00292023"/>
    <w:rsid w:val="002C442E"/>
    <w:rsid w:val="002D4DBA"/>
    <w:rsid w:val="002E4EF5"/>
    <w:rsid w:val="003033BA"/>
    <w:rsid w:val="00325FEE"/>
    <w:rsid w:val="003344A2"/>
    <w:rsid w:val="0034680A"/>
    <w:rsid w:val="00347392"/>
    <w:rsid w:val="0035566C"/>
    <w:rsid w:val="0038157D"/>
    <w:rsid w:val="00386456"/>
    <w:rsid w:val="003A54DF"/>
    <w:rsid w:val="003A581E"/>
    <w:rsid w:val="003B37B3"/>
    <w:rsid w:val="003C35A0"/>
    <w:rsid w:val="00425A8C"/>
    <w:rsid w:val="004422D6"/>
    <w:rsid w:val="00455252"/>
    <w:rsid w:val="00461DDA"/>
    <w:rsid w:val="00473733"/>
    <w:rsid w:val="00493140"/>
    <w:rsid w:val="004970C0"/>
    <w:rsid w:val="004A134C"/>
    <w:rsid w:val="004A34D2"/>
    <w:rsid w:val="004A77EF"/>
    <w:rsid w:val="004B0F7C"/>
    <w:rsid w:val="004C1109"/>
    <w:rsid w:val="004E1CD3"/>
    <w:rsid w:val="0051074C"/>
    <w:rsid w:val="00513AF2"/>
    <w:rsid w:val="005209CB"/>
    <w:rsid w:val="00535A9D"/>
    <w:rsid w:val="0054413A"/>
    <w:rsid w:val="005442C6"/>
    <w:rsid w:val="00546B09"/>
    <w:rsid w:val="00550C21"/>
    <w:rsid w:val="005564CA"/>
    <w:rsid w:val="00557CC0"/>
    <w:rsid w:val="00557D69"/>
    <w:rsid w:val="005624C3"/>
    <w:rsid w:val="005675FE"/>
    <w:rsid w:val="005731A1"/>
    <w:rsid w:val="00576639"/>
    <w:rsid w:val="00592120"/>
    <w:rsid w:val="005A45D1"/>
    <w:rsid w:val="005A6DB3"/>
    <w:rsid w:val="005A79FE"/>
    <w:rsid w:val="005D7BC4"/>
    <w:rsid w:val="00611954"/>
    <w:rsid w:val="00621252"/>
    <w:rsid w:val="00625D5F"/>
    <w:rsid w:val="00626171"/>
    <w:rsid w:val="00655371"/>
    <w:rsid w:val="006633E2"/>
    <w:rsid w:val="00664A9B"/>
    <w:rsid w:val="006706B0"/>
    <w:rsid w:val="00671634"/>
    <w:rsid w:val="006824FD"/>
    <w:rsid w:val="00697665"/>
    <w:rsid w:val="006A7FD0"/>
    <w:rsid w:val="006C6777"/>
    <w:rsid w:val="006C7EF7"/>
    <w:rsid w:val="006D19CB"/>
    <w:rsid w:val="006D7687"/>
    <w:rsid w:val="006E0572"/>
    <w:rsid w:val="006E3BAB"/>
    <w:rsid w:val="006F5E34"/>
    <w:rsid w:val="00702472"/>
    <w:rsid w:val="0070345F"/>
    <w:rsid w:val="00705631"/>
    <w:rsid w:val="00724825"/>
    <w:rsid w:val="00730ED5"/>
    <w:rsid w:val="00740FD6"/>
    <w:rsid w:val="00742DD2"/>
    <w:rsid w:val="007530D9"/>
    <w:rsid w:val="0075647A"/>
    <w:rsid w:val="007609C6"/>
    <w:rsid w:val="007634AD"/>
    <w:rsid w:val="00764E62"/>
    <w:rsid w:val="00770236"/>
    <w:rsid w:val="007713F3"/>
    <w:rsid w:val="00774193"/>
    <w:rsid w:val="0078122E"/>
    <w:rsid w:val="007879F2"/>
    <w:rsid w:val="00796492"/>
    <w:rsid w:val="0079748E"/>
    <w:rsid w:val="007B0854"/>
    <w:rsid w:val="007B5ACE"/>
    <w:rsid w:val="007D47B7"/>
    <w:rsid w:val="007E32A3"/>
    <w:rsid w:val="007E4270"/>
    <w:rsid w:val="007E7C9E"/>
    <w:rsid w:val="007F72CB"/>
    <w:rsid w:val="00807B27"/>
    <w:rsid w:val="00810D38"/>
    <w:rsid w:val="0081355A"/>
    <w:rsid w:val="008163E2"/>
    <w:rsid w:val="00820B56"/>
    <w:rsid w:val="0083119B"/>
    <w:rsid w:val="00831EDC"/>
    <w:rsid w:val="0083451D"/>
    <w:rsid w:val="00836EAB"/>
    <w:rsid w:val="00841AA7"/>
    <w:rsid w:val="0085092D"/>
    <w:rsid w:val="00870ED5"/>
    <w:rsid w:val="00883BC3"/>
    <w:rsid w:val="00893FF9"/>
    <w:rsid w:val="008A3519"/>
    <w:rsid w:val="008B2332"/>
    <w:rsid w:val="008B3970"/>
    <w:rsid w:val="008C6F79"/>
    <w:rsid w:val="008D6B93"/>
    <w:rsid w:val="008E1C15"/>
    <w:rsid w:val="008F47C1"/>
    <w:rsid w:val="008F4828"/>
    <w:rsid w:val="00903B75"/>
    <w:rsid w:val="009047C5"/>
    <w:rsid w:val="009072FF"/>
    <w:rsid w:val="00912282"/>
    <w:rsid w:val="0092338A"/>
    <w:rsid w:val="0093274F"/>
    <w:rsid w:val="00934F2C"/>
    <w:rsid w:val="00944EA7"/>
    <w:rsid w:val="0095385A"/>
    <w:rsid w:val="00960971"/>
    <w:rsid w:val="00966A8D"/>
    <w:rsid w:val="00972961"/>
    <w:rsid w:val="00975848"/>
    <w:rsid w:val="00990B16"/>
    <w:rsid w:val="009955F9"/>
    <w:rsid w:val="009A472B"/>
    <w:rsid w:val="009A5181"/>
    <w:rsid w:val="009C535A"/>
    <w:rsid w:val="009D34B0"/>
    <w:rsid w:val="009E03EF"/>
    <w:rsid w:val="00A00235"/>
    <w:rsid w:val="00A016D5"/>
    <w:rsid w:val="00A0781D"/>
    <w:rsid w:val="00A13FCB"/>
    <w:rsid w:val="00A24560"/>
    <w:rsid w:val="00A27C16"/>
    <w:rsid w:val="00A34538"/>
    <w:rsid w:val="00A411BF"/>
    <w:rsid w:val="00A679F0"/>
    <w:rsid w:val="00A7382A"/>
    <w:rsid w:val="00AA442B"/>
    <w:rsid w:val="00AB2666"/>
    <w:rsid w:val="00AC12A5"/>
    <w:rsid w:val="00AC2998"/>
    <w:rsid w:val="00AD3FA3"/>
    <w:rsid w:val="00AD5814"/>
    <w:rsid w:val="00AD742A"/>
    <w:rsid w:val="00AE3D30"/>
    <w:rsid w:val="00AF39A7"/>
    <w:rsid w:val="00B03BC7"/>
    <w:rsid w:val="00B04220"/>
    <w:rsid w:val="00B11AAA"/>
    <w:rsid w:val="00B22E22"/>
    <w:rsid w:val="00B23DCF"/>
    <w:rsid w:val="00B51631"/>
    <w:rsid w:val="00B525CB"/>
    <w:rsid w:val="00B63CB2"/>
    <w:rsid w:val="00B90B62"/>
    <w:rsid w:val="00B95FD8"/>
    <w:rsid w:val="00BA125D"/>
    <w:rsid w:val="00BA5D11"/>
    <w:rsid w:val="00BB6C51"/>
    <w:rsid w:val="00BB79DB"/>
    <w:rsid w:val="00BC0B52"/>
    <w:rsid w:val="00BD78FE"/>
    <w:rsid w:val="00BE4B35"/>
    <w:rsid w:val="00C06B89"/>
    <w:rsid w:val="00C14720"/>
    <w:rsid w:val="00C22F02"/>
    <w:rsid w:val="00C2300C"/>
    <w:rsid w:val="00C4278E"/>
    <w:rsid w:val="00C44EE0"/>
    <w:rsid w:val="00C47643"/>
    <w:rsid w:val="00C666EC"/>
    <w:rsid w:val="00C667FA"/>
    <w:rsid w:val="00C7719B"/>
    <w:rsid w:val="00C82794"/>
    <w:rsid w:val="00C93A59"/>
    <w:rsid w:val="00CA0CEC"/>
    <w:rsid w:val="00CA287E"/>
    <w:rsid w:val="00CB274A"/>
    <w:rsid w:val="00CC00CD"/>
    <w:rsid w:val="00CC5818"/>
    <w:rsid w:val="00CD1764"/>
    <w:rsid w:val="00CD1AF2"/>
    <w:rsid w:val="00CD7E66"/>
    <w:rsid w:val="00CF098E"/>
    <w:rsid w:val="00D019F7"/>
    <w:rsid w:val="00D10995"/>
    <w:rsid w:val="00D16E39"/>
    <w:rsid w:val="00D52BA2"/>
    <w:rsid w:val="00D54B44"/>
    <w:rsid w:val="00D67B3F"/>
    <w:rsid w:val="00D70770"/>
    <w:rsid w:val="00D72E9D"/>
    <w:rsid w:val="00D76930"/>
    <w:rsid w:val="00D82CE5"/>
    <w:rsid w:val="00DA5AB1"/>
    <w:rsid w:val="00DC451A"/>
    <w:rsid w:val="00DC62E5"/>
    <w:rsid w:val="00DD12C6"/>
    <w:rsid w:val="00DD5D51"/>
    <w:rsid w:val="00DD735D"/>
    <w:rsid w:val="00DE0BC4"/>
    <w:rsid w:val="00DE3119"/>
    <w:rsid w:val="00DF236B"/>
    <w:rsid w:val="00DF629F"/>
    <w:rsid w:val="00E001BB"/>
    <w:rsid w:val="00E13AB8"/>
    <w:rsid w:val="00E1452C"/>
    <w:rsid w:val="00E33B62"/>
    <w:rsid w:val="00E35104"/>
    <w:rsid w:val="00E540D9"/>
    <w:rsid w:val="00E76C8A"/>
    <w:rsid w:val="00E873C5"/>
    <w:rsid w:val="00EA47C8"/>
    <w:rsid w:val="00EA523A"/>
    <w:rsid w:val="00EA557B"/>
    <w:rsid w:val="00EA7163"/>
    <w:rsid w:val="00EB07E0"/>
    <w:rsid w:val="00EB3537"/>
    <w:rsid w:val="00EC2EC4"/>
    <w:rsid w:val="00F55A4D"/>
    <w:rsid w:val="00F63528"/>
    <w:rsid w:val="00F84899"/>
    <w:rsid w:val="00F859F0"/>
    <w:rsid w:val="00F94AB1"/>
    <w:rsid w:val="00F96ED2"/>
    <w:rsid w:val="00FA2158"/>
    <w:rsid w:val="00FB2B2C"/>
    <w:rsid w:val="00FB7EA5"/>
    <w:rsid w:val="00FD292E"/>
    <w:rsid w:val="00FD5C3D"/>
    <w:rsid w:val="00FE141E"/>
    <w:rsid w:val="00FE7127"/>
    <w:rsid w:val="00FF6CCA"/>
    <w:rsid w:val="0C7EC745"/>
    <w:rsid w:val="43D55A87"/>
    <w:rsid w:val="5DEC19D0"/>
    <w:rsid w:val="6606A0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2">
    <w:name w:val="heading 2"/>
    <w:basedOn w:val="Normal"/>
    <w:next w:val="Normal"/>
    <w:link w:val="Ttulo2Car"/>
    <w:uiPriority w:val="9"/>
    <w:unhideWhenUsed/>
    <w:qFormat/>
    <w:rsid w:val="00E873C5"/>
    <w:pPr>
      <w:keepNext/>
      <w:keepLines/>
      <w:numPr>
        <w:ilvl w:val="1"/>
        <w:numId w:val="8"/>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E873C5"/>
    <w:pPr>
      <w:keepNext/>
      <w:keepLines/>
      <w:numPr>
        <w:ilvl w:val="2"/>
        <w:numId w:val="8"/>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126A5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873C5"/>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E873C5"/>
    <w:rPr>
      <w:rFonts w:ascii="Arial" w:eastAsiaTheme="majorEastAsia" w:hAnsi="Arial" w:cstheme="majorBidi"/>
      <w:b/>
      <w:caps/>
      <w:color w:val="000000" w:themeColor="text1"/>
      <w:sz w:val="20"/>
      <w:szCs w:val="24"/>
    </w:rPr>
  </w:style>
  <w:style w:type="character" w:styleId="Mencinsinresolver">
    <w:name w:val="Unresolved Mention"/>
    <w:basedOn w:val="Fuentedeprrafopredeter"/>
    <w:uiPriority w:val="99"/>
    <w:semiHidden/>
    <w:unhideWhenUsed/>
    <w:rsid w:val="00180AE6"/>
    <w:rPr>
      <w:color w:val="605E5C"/>
      <w:shd w:val="clear" w:color="auto" w:fill="E1DFDD"/>
    </w:rPr>
  </w:style>
  <w:style w:type="character" w:styleId="Textoennegrita">
    <w:name w:val="Strong"/>
    <w:basedOn w:val="Fuentedeprrafopredeter"/>
    <w:uiPriority w:val="22"/>
    <w:qFormat/>
    <w:rsid w:val="00A7382A"/>
    <w:rPr>
      <w:b/>
      <w:bCs/>
    </w:rPr>
  </w:style>
  <w:style w:type="character" w:styleId="nfasis">
    <w:name w:val="Emphasis"/>
    <w:basedOn w:val="Fuentedeprrafopredeter"/>
    <w:uiPriority w:val="20"/>
    <w:qFormat/>
    <w:rsid w:val="005A6DB3"/>
    <w:rPr>
      <w:i/>
      <w:iCs/>
    </w:rPr>
  </w:style>
  <w:style w:type="table" w:customStyle="1" w:styleId="Tablaconcuadrcula1">
    <w:name w:val="Tabla con cuadrícula1"/>
    <w:basedOn w:val="Tablanormal"/>
    <w:next w:val="Tablaconcuadrcula"/>
    <w:uiPriority w:val="59"/>
    <w:rsid w:val="0009566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948334">
      <w:bodyDiv w:val="1"/>
      <w:marLeft w:val="0"/>
      <w:marRight w:val="0"/>
      <w:marTop w:val="0"/>
      <w:marBottom w:val="0"/>
      <w:divBdr>
        <w:top w:val="none" w:sz="0" w:space="0" w:color="auto"/>
        <w:left w:val="none" w:sz="0" w:space="0" w:color="auto"/>
        <w:bottom w:val="none" w:sz="0" w:space="0" w:color="auto"/>
        <w:right w:val="none" w:sz="0" w:space="0" w:color="auto"/>
      </w:divBdr>
    </w:div>
    <w:div w:id="387219171">
      <w:bodyDiv w:val="1"/>
      <w:marLeft w:val="0"/>
      <w:marRight w:val="0"/>
      <w:marTop w:val="0"/>
      <w:marBottom w:val="0"/>
      <w:divBdr>
        <w:top w:val="none" w:sz="0" w:space="0" w:color="auto"/>
        <w:left w:val="none" w:sz="0" w:space="0" w:color="auto"/>
        <w:bottom w:val="none" w:sz="0" w:space="0" w:color="auto"/>
        <w:right w:val="none" w:sz="0" w:space="0" w:color="auto"/>
      </w:divBdr>
    </w:div>
    <w:div w:id="453522004">
      <w:bodyDiv w:val="1"/>
      <w:marLeft w:val="0"/>
      <w:marRight w:val="0"/>
      <w:marTop w:val="0"/>
      <w:marBottom w:val="0"/>
      <w:divBdr>
        <w:top w:val="none" w:sz="0" w:space="0" w:color="auto"/>
        <w:left w:val="none" w:sz="0" w:space="0" w:color="auto"/>
        <w:bottom w:val="none" w:sz="0" w:space="0" w:color="auto"/>
        <w:right w:val="none" w:sz="0" w:space="0" w:color="auto"/>
      </w:divBdr>
    </w:div>
    <w:div w:id="1071001577">
      <w:bodyDiv w:val="1"/>
      <w:marLeft w:val="0"/>
      <w:marRight w:val="0"/>
      <w:marTop w:val="0"/>
      <w:marBottom w:val="0"/>
      <w:divBdr>
        <w:top w:val="none" w:sz="0" w:space="0" w:color="auto"/>
        <w:left w:val="none" w:sz="0" w:space="0" w:color="auto"/>
        <w:bottom w:val="none" w:sz="0" w:space="0" w:color="auto"/>
        <w:right w:val="none" w:sz="0" w:space="0" w:color="auto"/>
      </w:divBdr>
    </w:div>
    <w:div w:id="11622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financiera.gov.co/publicacion/60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479C7586-DA4D-41D5-8203-CAD82E4E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3573</Words>
  <Characters>19655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3</cp:revision>
  <dcterms:created xsi:type="dcterms:W3CDTF">2021-02-09T13:18:00Z</dcterms:created>
  <dcterms:modified xsi:type="dcterms:W3CDTF">2021-02-09T13:19:00Z</dcterms:modified>
</cp:coreProperties>
</file>