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E20ED6" w:rsidP="008C487C" w:rsidRDefault="00E20ED6" w14:paraId="13EBEE08" w14:textId="77777777">
      <w:pPr>
        <w:jc w:val="right"/>
        <w:rPr>
          <w:rFonts w:ascii="Arial" w:hAnsi="Arial" w:cs="Arial"/>
          <w:b/>
          <w:color w:val="000000" w:themeColor="text1"/>
          <w:sz w:val="16"/>
          <w:szCs w:val="16"/>
          <w:lang w:val="es-CO" w:eastAsia="es-ES"/>
        </w:rPr>
      </w:pPr>
      <w:bookmarkStart w:name="_Hlk28946138" w:id="0"/>
      <w:bookmarkStart w:name="_Hlk29548183" w:id="1"/>
      <w:r>
        <w:rPr>
          <w:rFonts w:ascii="Arial" w:hAnsi="Arial" w:cs="Arial"/>
          <w:b/>
          <w:color w:val="000000" w:themeColor="text1"/>
          <w:sz w:val="16"/>
          <w:szCs w:val="16"/>
          <w:lang w:val="es-CO" w:eastAsia="es-ES"/>
        </w:rPr>
        <w:t xml:space="preserve"> </w:t>
      </w:r>
    </w:p>
    <w:p w:rsidR="008C487C" w:rsidP="008C487C" w:rsidRDefault="008C487C" w14:paraId="2A476418" w14:textId="0861020D">
      <w:pPr>
        <w:jc w:val="right"/>
        <w:rPr>
          <w:rFonts w:ascii="Arial" w:hAnsi="Arial" w:cs="Arial"/>
          <w:b/>
          <w:color w:val="000000" w:themeColor="text1"/>
          <w:sz w:val="16"/>
          <w:szCs w:val="16"/>
          <w:lang w:val="es-CO" w:eastAsia="es-ES"/>
        </w:rPr>
      </w:pPr>
      <w:r w:rsidRPr="00803D6A">
        <w:rPr>
          <w:rFonts w:ascii="Arial" w:hAnsi="Arial" w:cs="Arial"/>
          <w:b/>
          <w:color w:val="000000" w:themeColor="text1"/>
          <w:sz w:val="16"/>
          <w:szCs w:val="16"/>
          <w:lang w:val="es-CO" w:eastAsia="es-ES"/>
        </w:rPr>
        <w:tab/>
      </w:r>
      <w:r w:rsidRPr="00803D6A">
        <w:rPr>
          <w:rFonts w:ascii="Arial" w:hAnsi="Arial" w:cs="Arial"/>
          <w:b/>
          <w:color w:val="000000" w:themeColor="text1"/>
          <w:sz w:val="16"/>
          <w:szCs w:val="16"/>
          <w:lang w:val="es-CO" w:eastAsia="es-ES"/>
        </w:rPr>
        <w:t>CCE-DES-FM-17</w:t>
      </w:r>
    </w:p>
    <w:p w:rsidRPr="007B4DFC" w:rsidR="007B4DFC" w:rsidP="7DE4BB77" w:rsidRDefault="007B4DFC" w14:paraId="39BFD28B" w14:textId="77777777">
      <w:pPr>
        <w:jc w:val="both"/>
        <w:rPr>
          <w:rFonts w:ascii="Arial" w:hAnsi="Arial" w:eastAsia="Calibri" w:cs="Arial"/>
          <w:b/>
          <w:bCs/>
          <w:color w:val="000000" w:themeColor="text1"/>
          <w:sz w:val="16"/>
          <w:szCs w:val="16"/>
          <w:lang w:val="es-CO"/>
        </w:rPr>
      </w:pPr>
    </w:p>
    <w:p w:rsidRPr="00803D6A" w:rsidR="008C487C" w:rsidP="7DE4BB77" w:rsidRDefault="008C487C" w14:paraId="0FD7B567" w14:textId="5B5ACAFD">
      <w:pPr>
        <w:jc w:val="both"/>
        <w:rPr>
          <w:rFonts w:ascii="Arial" w:hAnsi="Arial" w:eastAsia="Calibri" w:cs="Arial"/>
          <w:b/>
          <w:bCs/>
          <w:color w:val="000000" w:themeColor="text1"/>
          <w:sz w:val="22"/>
          <w:lang w:val="es-CO"/>
        </w:rPr>
      </w:pPr>
      <w:r w:rsidRPr="7DE4BB77">
        <w:rPr>
          <w:rFonts w:ascii="Arial" w:hAnsi="Arial" w:eastAsia="Calibri" w:cs="Arial"/>
          <w:b/>
          <w:bCs/>
          <w:color w:val="000000" w:themeColor="text1"/>
          <w:sz w:val="22"/>
          <w:lang w:val="es-CO"/>
        </w:rPr>
        <w:t xml:space="preserve">MIPYME </w:t>
      </w:r>
      <w:r w:rsidRPr="7DE4BB77" w:rsidR="007672D5">
        <w:rPr>
          <w:rFonts w:ascii="Arial" w:hAnsi="Arial" w:eastAsia="Calibri" w:cs="Arial"/>
          <w:b/>
          <w:bCs/>
          <w:color w:val="000000" w:themeColor="text1"/>
          <w:sz w:val="22"/>
          <w:lang w:val="es-CO"/>
        </w:rPr>
        <w:t>–</w:t>
      </w:r>
      <w:r w:rsidRPr="7DE4BB77">
        <w:rPr>
          <w:rFonts w:ascii="Arial" w:hAnsi="Arial" w:eastAsia="Calibri" w:cs="Arial"/>
          <w:b/>
          <w:bCs/>
          <w:color w:val="000000" w:themeColor="text1"/>
          <w:sz w:val="22"/>
          <w:lang w:val="es-CO"/>
        </w:rPr>
        <w:t xml:space="preserve"> Noción </w:t>
      </w:r>
      <w:r w:rsidRPr="7DE4BB77" w:rsidR="33DD51EB">
        <w:rPr>
          <w:rFonts w:ascii="Arial" w:hAnsi="Arial" w:eastAsia="Calibri" w:cs="Arial"/>
          <w:b/>
          <w:bCs/>
          <w:color w:val="000000" w:themeColor="text1"/>
          <w:sz w:val="22"/>
          <w:lang w:val="es-CO"/>
        </w:rPr>
        <w:t>–</w:t>
      </w:r>
      <w:r w:rsidRPr="7DE4BB77">
        <w:rPr>
          <w:rFonts w:ascii="Arial" w:hAnsi="Arial" w:eastAsia="Calibri" w:cs="Arial"/>
          <w:b/>
          <w:bCs/>
          <w:color w:val="000000" w:themeColor="text1"/>
          <w:sz w:val="22"/>
          <w:lang w:val="es-CO"/>
        </w:rPr>
        <w:t xml:space="preserve"> </w:t>
      </w:r>
      <w:r w:rsidRPr="7DE4BB77" w:rsidR="16679C9D">
        <w:rPr>
          <w:rFonts w:ascii="Arial" w:hAnsi="Arial" w:eastAsia="Calibri" w:cs="Arial"/>
          <w:b/>
          <w:bCs/>
          <w:color w:val="000000" w:themeColor="text1"/>
          <w:sz w:val="22"/>
          <w:lang w:val="es-CO"/>
        </w:rPr>
        <w:t>A</w:t>
      </w:r>
      <w:r w:rsidRPr="7DE4BB77">
        <w:rPr>
          <w:rFonts w:ascii="Arial" w:hAnsi="Arial" w:eastAsia="Calibri" w:cs="Arial"/>
          <w:b/>
          <w:bCs/>
          <w:color w:val="000000" w:themeColor="text1"/>
          <w:sz w:val="22"/>
          <w:lang w:val="es-CO"/>
        </w:rPr>
        <w:t>lcance</w:t>
      </w:r>
      <w:r w:rsidRPr="7DE4BB77">
        <w:rPr>
          <w:rFonts w:ascii="Arial" w:hAnsi="Arial" w:eastAsia="Calibri" w:cs="Arial"/>
          <w:color w:val="000000" w:themeColor="text1"/>
          <w:sz w:val="22"/>
          <w:lang w:val="es-CO"/>
        </w:rPr>
        <w:t xml:space="preserve"> </w:t>
      </w:r>
    </w:p>
    <w:p w:rsidRPr="00803D6A" w:rsidR="008C487C" w:rsidP="008C487C" w:rsidRDefault="008C487C" w14:paraId="6156EB3C" w14:textId="77777777">
      <w:pPr>
        <w:jc w:val="both"/>
        <w:rPr>
          <w:rFonts w:ascii="Arial" w:hAnsi="Arial" w:eastAsia="Calibri" w:cs="Arial"/>
          <w:bCs/>
          <w:color w:val="000000" w:themeColor="text1"/>
          <w:sz w:val="21"/>
          <w:szCs w:val="21"/>
          <w:lang w:val="es-CO"/>
        </w:rPr>
      </w:pPr>
    </w:p>
    <w:p w:rsidR="005C7CC4" w:rsidP="00F31C1C" w:rsidRDefault="001F6346" w14:paraId="75F42692" w14:textId="171646E3">
      <w:pPr>
        <w:spacing w:after="120"/>
        <w:jc w:val="both"/>
        <w:rPr>
          <w:rFonts w:ascii="Arial" w:hAnsi="Arial" w:eastAsia="Calibri" w:cs="Arial"/>
          <w:bCs/>
          <w:color w:val="000000" w:themeColor="text1"/>
          <w:sz w:val="20"/>
          <w:szCs w:val="20"/>
          <w:lang w:val="es-CO"/>
        </w:rPr>
      </w:pPr>
      <w:r w:rsidRPr="00803D6A">
        <w:rPr>
          <w:rFonts w:ascii="Arial" w:hAnsi="Arial" w:eastAsia="Calibri" w:cs="Arial"/>
          <w:bCs/>
          <w:color w:val="000000" w:themeColor="text1"/>
          <w:sz w:val="20"/>
          <w:szCs w:val="20"/>
          <w:lang w:val="es-CO"/>
        </w:rPr>
        <w:t xml:space="preserve">[…] </w:t>
      </w:r>
      <w:r w:rsidRPr="00F31C1C" w:rsidR="00F31C1C">
        <w:rPr>
          <w:rFonts w:ascii="Arial" w:hAnsi="Arial" w:eastAsia="Calibri" w:cs="Arial"/>
          <w:bCs/>
          <w:color w:val="000000" w:themeColor="text1"/>
          <w:sz w:val="20"/>
          <w:szCs w:val="20"/>
          <w:lang w:val="es-CO"/>
        </w:rPr>
        <w:t>el artículo 2 de la Ley 905 de 2004, que modificó la Ley 590 de 2000, la Micro, Pequeña y Mediana Empresa ─Mipyme─ es una «unidad de explotación económica, realizada por personas natural[es] o jurídica[s], en actividades empresariales, agropecuarias, industriales, comerciales o de servicios, rural o urbana», siempre que cumplan las dos condiciones requeridas en el mismo artículo, relacionadas con el número de trabajadores que hacen parte de su planta de personal y sus activos totales.</w:t>
      </w:r>
    </w:p>
    <w:p w:rsidRPr="00803D6A" w:rsidR="004A32A4" w:rsidP="008C487C" w:rsidRDefault="004A32A4" w14:paraId="53FFD399" w14:textId="77777777">
      <w:pPr>
        <w:jc w:val="both"/>
        <w:rPr>
          <w:rFonts w:ascii="Arial" w:hAnsi="Arial" w:eastAsia="Calibri" w:cs="Arial"/>
          <w:b/>
          <w:color w:val="000000" w:themeColor="text1"/>
          <w:sz w:val="21"/>
          <w:szCs w:val="21"/>
          <w:lang w:val="es-CO"/>
        </w:rPr>
      </w:pPr>
    </w:p>
    <w:p w:rsidR="00D63D6B" w:rsidP="00664C10" w:rsidRDefault="00D63D6B" w14:paraId="6D09371C" w14:textId="73BA345D">
      <w:pPr>
        <w:jc w:val="both"/>
        <w:rPr>
          <w:rFonts w:ascii="Arial" w:hAnsi="Arial" w:eastAsia="Calibri" w:cs="Arial"/>
          <w:b/>
          <w:color w:val="000000" w:themeColor="text1"/>
          <w:sz w:val="22"/>
          <w:lang w:val="es-CO"/>
        </w:rPr>
      </w:pPr>
      <w:r w:rsidRPr="7DE4BB77">
        <w:rPr>
          <w:rFonts w:ascii="Arial" w:hAnsi="Arial" w:eastAsia="Calibri" w:cs="Arial"/>
          <w:b/>
          <w:bCs/>
          <w:color w:val="000000" w:themeColor="text1"/>
          <w:sz w:val="22"/>
          <w:lang w:val="es-CO"/>
        </w:rPr>
        <w:t xml:space="preserve">MIPYME – </w:t>
      </w:r>
      <w:r w:rsidR="00664C10">
        <w:rPr>
          <w:rFonts w:ascii="Arial" w:hAnsi="Arial" w:eastAsia="Calibri" w:cs="Arial"/>
          <w:b/>
          <w:bCs/>
          <w:color w:val="000000" w:themeColor="text1"/>
          <w:sz w:val="22"/>
          <w:lang w:val="es-CO"/>
        </w:rPr>
        <w:t xml:space="preserve">Requisitos </w:t>
      </w:r>
      <w:r w:rsidRPr="00803D6A" w:rsidR="00664C10">
        <w:rPr>
          <w:rFonts w:ascii="Arial" w:hAnsi="Arial" w:eastAsia="Calibri" w:cs="Arial"/>
          <w:b/>
          <w:color w:val="000000" w:themeColor="text1"/>
          <w:sz w:val="22"/>
          <w:lang w:val="es-CO"/>
        </w:rPr>
        <w:t>–</w:t>
      </w:r>
      <w:r w:rsidRPr="00D63D6B" w:rsidR="00664C10">
        <w:rPr>
          <w:rFonts w:ascii="Arial" w:hAnsi="Arial" w:eastAsia="Calibri" w:cs="Arial"/>
          <w:b/>
          <w:bCs/>
          <w:color w:val="000000" w:themeColor="text1"/>
          <w:sz w:val="22"/>
          <w:lang w:val="es-CO"/>
        </w:rPr>
        <w:t xml:space="preserve"> </w:t>
      </w:r>
      <w:r w:rsidR="00664C10">
        <w:rPr>
          <w:rFonts w:ascii="Arial" w:hAnsi="Arial" w:eastAsia="Calibri" w:cs="Arial"/>
          <w:b/>
          <w:bCs/>
          <w:color w:val="000000" w:themeColor="text1"/>
          <w:sz w:val="22"/>
          <w:lang w:val="es-CO"/>
        </w:rPr>
        <w:t xml:space="preserve">Participación </w:t>
      </w:r>
      <w:r w:rsidRPr="00803D6A" w:rsidR="00664C10">
        <w:rPr>
          <w:rFonts w:ascii="Arial" w:hAnsi="Arial" w:eastAsia="Calibri" w:cs="Arial"/>
          <w:b/>
          <w:color w:val="000000" w:themeColor="text1"/>
          <w:sz w:val="22"/>
          <w:lang w:val="es-CO"/>
        </w:rPr>
        <w:t>–</w:t>
      </w:r>
      <w:r w:rsidR="00664C10">
        <w:rPr>
          <w:rFonts w:ascii="Arial" w:hAnsi="Arial" w:eastAsia="Calibri" w:cs="Arial"/>
          <w:b/>
          <w:color w:val="000000" w:themeColor="text1"/>
          <w:sz w:val="22"/>
          <w:lang w:val="es-CO"/>
        </w:rPr>
        <w:t xml:space="preserve"> </w:t>
      </w:r>
      <w:r w:rsidR="00664C10">
        <w:rPr>
          <w:rFonts w:ascii="Arial" w:hAnsi="Arial" w:eastAsia="Calibri" w:cs="Arial"/>
          <w:b/>
          <w:bCs/>
          <w:color w:val="000000" w:themeColor="text1"/>
          <w:sz w:val="22"/>
          <w:lang w:val="es-CO"/>
        </w:rPr>
        <w:t xml:space="preserve">Existencia </w:t>
      </w:r>
      <w:r w:rsidRPr="00803D6A" w:rsidR="00664C10">
        <w:rPr>
          <w:rFonts w:ascii="Arial" w:hAnsi="Arial" w:eastAsia="Calibri" w:cs="Arial"/>
          <w:b/>
          <w:color w:val="000000" w:themeColor="text1"/>
          <w:sz w:val="22"/>
          <w:lang w:val="es-CO"/>
        </w:rPr>
        <w:t>–</w:t>
      </w:r>
      <w:r w:rsidR="00664C10">
        <w:rPr>
          <w:rFonts w:ascii="Arial" w:hAnsi="Arial" w:eastAsia="Calibri" w:cs="Arial"/>
          <w:b/>
          <w:color w:val="000000" w:themeColor="text1"/>
          <w:sz w:val="22"/>
          <w:lang w:val="es-CO"/>
        </w:rPr>
        <w:t xml:space="preserve"> Interpretación Lógica</w:t>
      </w:r>
    </w:p>
    <w:p w:rsidRPr="00803D6A" w:rsidR="00644F10" w:rsidP="00664C10" w:rsidRDefault="00644F10" w14:paraId="5A8336A4" w14:textId="77777777">
      <w:pPr>
        <w:jc w:val="both"/>
        <w:rPr>
          <w:rFonts w:ascii="Arial" w:hAnsi="Arial" w:eastAsia="Calibri" w:cs="Arial"/>
          <w:b/>
          <w:bCs/>
          <w:color w:val="000000" w:themeColor="text1"/>
          <w:sz w:val="22"/>
          <w:lang w:val="es-CO"/>
        </w:rPr>
      </w:pPr>
    </w:p>
    <w:p w:rsidRPr="00664C10" w:rsidR="00664C10" w:rsidP="00133BA4" w:rsidRDefault="00664C10" w14:paraId="403A7255" w14:textId="4977C3E1">
      <w:pPr>
        <w:spacing w:after="120"/>
        <w:jc w:val="both"/>
        <w:rPr>
          <w:rFonts w:ascii="Arial" w:hAnsi="Arial" w:eastAsia="Calibri" w:cs="Arial"/>
          <w:color w:val="000000" w:themeColor="text1"/>
          <w:sz w:val="20"/>
          <w:szCs w:val="20"/>
          <w:lang w:val="es-CO"/>
        </w:rPr>
      </w:pPr>
      <w:r w:rsidRPr="00664C10">
        <w:rPr>
          <w:rFonts w:ascii="Arial" w:hAnsi="Arial" w:eastAsia="Calibri" w:cs="Arial"/>
          <w:bCs/>
          <w:color w:val="000000" w:themeColor="text1"/>
          <w:sz w:val="20"/>
          <w:szCs w:val="20"/>
          <w:lang w:val="es-CO"/>
        </w:rPr>
        <w:t xml:space="preserve">[…] </w:t>
      </w:r>
      <w:r w:rsidRPr="00664C10">
        <w:rPr>
          <w:rFonts w:ascii="Arial" w:hAnsi="Arial" w:eastAsia="Calibri" w:cs="Arial"/>
          <w:color w:val="000000" w:themeColor="text1"/>
          <w:sz w:val="20"/>
          <w:szCs w:val="20"/>
          <w:lang w:val="es-CO"/>
        </w:rPr>
        <w:t xml:space="preserve">Este método resulta relevante para determinar el alcance del artículo 2.2.1.2.4.2.2 y determinar si las disposiciones contenidas en este se restringen a establecer las condiciones para que se pueda limitar la convocatoria de un proceso de selección a Mipymes o si adicionalmente, regula algún requisito para poder participar en este tipo de convocatoria. </w:t>
      </w:r>
    </w:p>
    <w:p w:rsidRPr="00664C10" w:rsidR="00664C10" w:rsidP="00664C10" w:rsidRDefault="00664C10" w14:paraId="6C7FCB7C" w14:textId="5A09DD9C">
      <w:pPr>
        <w:jc w:val="both"/>
        <w:rPr>
          <w:rFonts w:ascii="Arial" w:hAnsi="Arial" w:eastAsia="Calibri" w:cs="Arial"/>
          <w:bCs/>
          <w:color w:val="000000" w:themeColor="text1"/>
          <w:sz w:val="20"/>
          <w:szCs w:val="20"/>
          <w:lang w:val="es-CO"/>
        </w:rPr>
      </w:pPr>
      <w:r w:rsidRPr="00664C10">
        <w:rPr>
          <w:rFonts w:ascii="Arial" w:hAnsi="Arial" w:eastAsia="Calibri" w:cs="Arial"/>
          <w:bCs/>
          <w:color w:val="000000" w:themeColor="text1"/>
          <w:sz w:val="20"/>
          <w:szCs w:val="20"/>
          <w:lang w:val="es-CO"/>
        </w:rPr>
        <w:t>[…]</w:t>
      </w:r>
      <w:r w:rsidR="00644F10">
        <w:rPr>
          <w:rFonts w:ascii="Arial" w:hAnsi="Arial" w:eastAsia="Calibri" w:cs="Arial"/>
          <w:bCs/>
          <w:color w:val="000000" w:themeColor="text1"/>
          <w:sz w:val="20"/>
          <w:szCs w:val="20"/>
          <w:lang w:val="es-CO"/>
        </w:rPr>
        <w:t xml:space="preserve"> </w:t>
      </w:r>
      <w:r w:rsidRPr="00664C10">
        <w:rPr>
          <w:rFonts w:ascii="Arial" w:hAnsi="Arial" w:eastAsia="Calibri" w:cs="Arial"/>
          <w:bCs/>
          <w:color w:val="000000" w:themeColor="text1"/>
          <w:sz w:val="20"/>
          <w:szCs w:val="20"/>
          <w:lang w:val="es-CO"/>
        </w:rPr>
        <w:t xml:space="preserve">Por su lado, el requisito de acreditar un año de existencia, se diferencia de los expuestos, pues no se trata de una condición para poder limitar la convocatoria a Mipymes sino que se trata de un requisito imprescindible para poder participar en el proceso de contratación, en tanto este requisito lo que hace es limitar el tipo de sujeto que puede participar en este tipo de convocatorias. </w:t>
      </w:r>
    </w:p>
    <w:p w:rsidR="00D63D6B" w:rsidP="00D0763E" w:rsidRDefault="00D63D6B" w14:paraId="0CA33403" w14:textId="77777777">
      <w:pPr>
        <w:jc w:val="both"/>
        <w:rPr>
          <w:rFonts w:ascii="Arial" w:hAnsi="Arial" w:eastAsia="Calibri" w:cs="Arial"/>
          <w:bCs/>
          <w:color w:val="000000" w:themeColor="text1"/>
          <w:sz w:val="20"/>
          <w:szCs w:val="20"/>
          <w:lang w:val="es-CO"/>
        </w:rPr>
      </w:pPr>
    </w:p>
    <w:p w:rsidR="008C487C" w:rsidP="00D63D6B" w:rsidRDefault="00D0763E" w14:paraId="69C1EA73" w14:textId="32A84A08">
      <w:pPr>
        <w:jc w:val="both"/>
        <w:rPr>
          <w:rFonts w:ascii="Arial" w:hAnsi="Arial" w:eastAsia="Calibri" w:cs="Arial"/>
          <w:bCs/>
          <w:color w:val="000000" w:themeColor="text1"/>
          <w:sz w:val="20"/>
          <w:szCs w:val="20"/>
          <w:lang w:val="es-CO"/>
        </w:rPr>
      </w:pPr>
      <w:r w:rsidRPr="7DE4BB77">
        <w:rPr>
          <w:rFonts w:ascii="Arial" w:hAnsi="Arial" w:eastAsia="Calibri" w:cs="Arial"/>
          <w:b/>
          <w:bCs/>
          <w:color w:val="000000" w:themeColor="text1"/>
          <w:sz w:val="22"/>
          <w:lang w:val="es-CO"/>
        </w:rPr>
        <w:t>MIPYME</w:t>
      </w:r>
      <w:r w:rsidR="002841BF">
        <w:rPr>
          <w:rFonts w:ascii="Arial" w:hAnsi="Arial" w:eastAsia="Calibri" w:cs="Arial"/>
          <w:b/>
          <w:bCs/>
          <w:color w:val="000000" w:themeColor="text1"/>
          <w:sz w:val="22"/>
          <w:lang w:val="es-CO"/>
        </w:rPr>
        <w:t xml:space="preserve"> </w:t>
      </w:r>
      <w:r w:rsidRPr="7DE4BB77" w:rsidR="007672D5">
        <w:rPr>
          <w:rFonts w:ascii="Arial" w:hAnsi="Arial" w:eastAsia="Calibri" w:cs="Arial"/>
          <w:b/>
          <w:bCs/>
          <w:color w:val="000000" w:themeColor="text1"/>
          <w:sz w:val="22"/>
          <w:lang w:val="es-CO"/>
        </w:rPr>
        <w:t>–</w:t>
      </w:r>
      <w:r w:rsidR="00664C10">
        <w:rPr>
          <w:rFonts w:ascii="Arial" w:hAnsi="Arial" w:eastAsia="Calibri" w:cs="Arial"/>
          <w:b/>
          <w:bCs/>
          <w:color w:val="000000" w:themeColor="text1"/>
          <w:sz w:val="22"/>
          <w:lang w:val="es-CO"/>
        </w:rPr>
        <w:t xml:space="preserve"> Requisitos </w:t>
      </w:r>
      <w:r w:rsidRPr="00803D6A" w:rsidR="00664C10">
        <w:rPr>
          <w:rFonts w:ascii="Arial" w:hAnsi="Arial" w:eastAsia="Calibri" w:cs="Arial"/>
          <w:b/>
          <w:color w:val="000000" w:themeColor="text1"/>
          <w:sz w:val="22"/>
          <w:lang w:val="es-CO"/>
        </w:rPr>
        <w:t>–</w:t>
      </w:r>
      <w:r w:rsidR="00664C10">
        <w:rPr>
          <w:rFonts w:ascii="Arial" w:hAnsi="Arial" w:eastAsia="Calibri" w:cs="Arial"/>
          <w:b/>
          <w:color w:val="000000" w:themeColor="text1"/>
          <w:sz w:val="22"/>
          <w:lang w:val="es-CO"/>
        </w:rPr>
        <w:t xml:space="preserve"> </w:t>
      </w:r>
      <w:r w:rsidRPr="00D63D6B" w:rsidR="00D63D6B">
        <w:rPr>
          <w:rFonts w:ascii="Arial" w:hAnsi="Arial" w:eastAsia="Calibri" w:cs="Arial"/>
          <w:b/>
          <w:bCs/>
          <w:color w:val="000000" w:themeColor="text1"/>
          <w:sz w:val="22"/>
          <w:lang w:val="es-CO"/>
        </w:rPr>
        <w:t xml:space="preserve"> </w:t>
      </w:r>
      <w:r w:rsidR="00664C10">
        <w:rPr>
          <w:rFonts w:ascii="Arial" w:hAnsi="Arial" w:eastAsia="Calibri" w:cs="Arial"/>
          <w:b/>
          <w:bCs/>
          <w:color w:val="000000" w:themeColor="text1"/>
          <w:sz w:val="22"/>
          <w:lang w:val="es-CO"/>
        </w:rPr>
        <w:t xml:space="preserve">Participación </w:t>
      </w:r>
      <w:r w:rsidRPr="00803D6A" w:rsidR="00664C10">
        <w:rPr>
          <w:rFonts w:ascii="Arial" w:hAnsi="Arial" w:eastAsia="Calibri" w:cs="Arial"/>
          <w:b/>
          <w:color w:val="000000" w:themeColor="text1"/>
          <w:sz w:val="22"/>
          <w:lang w:val="es-CO"/>
        </w:rPr>
        <w:t>–</w:t>
      </w:r>
      <w:r w:rsidR="00664C10">
        <w:rPr>
          <w:rFonts w:ascii="Arial" w:hAnsi="Arial" w:eastAsia="Calibri" w:cs="Arial"/>
          <w:b/>
          <w:color w:val="000000" w:themeColor="text1"/>
          <w:sz w:val="22"/>
          <w:lang w:val="es-CO"/>
        </w:rPr>
        <w:t xml:space="preserve"> </w:t>
      </w:r>
      <w:r w:rsidR="00D63D6B">
        <w:rPr>
          <w:rFonts w:ascii="Arial" w:hAnsi="Arial" w:eastAsia="Calibri" w:cs="Arial"/>
          <w:b/>
          <w:bCs/>
          <w:color w:val="000000" w:themeColor="text1"/>
          <w:sz w:val="22"/>
          <w:lang w:val="es-CO"/>
        </w:rPr>
        <w:t xml:space="preserve">Existencia </w:t>
      </w:r>
      <w:r w:rsidRPr="00803D6A" w:rsidR="00D63D6B">
        <w:rPr>
          <w:rFonts w:ascii="Arial" w:hAnsi="Arial" w:eastAsia="Calibri" w:cs="Arial"/>
          <w:b/>
          <w:color w:val="000000" w:themeColor="text1"/>
          <w:sz w:val="22"/>
          <w:lang w:val="es-CO"/>
        </w:rPr>
        <w:t>–</w:t>
      </w:r>
      <w:r w:rsidR="00D63D6B">
        <w:rPr>
          <w:rFonts w:ascii="Arial" w:hAnsi="Arial" w:eastAsia="Calibri" w:cs="Arial"/>
          <w:b/>
          <w:color w:val="000000" w:themeColor="text1"/>
          <w:sz w:val="22"/>
          <w:lang w:val="es-CO"/>
        </w:rPr>
        <w:t xml:space="preserve"> </w:t>
      </w:r>
      <w:r w:rsidR="00D63D6B">
        <w:rPr>
          <w:rFonts w:ascii="Arial" w:hAnsi="Arial" w:eastAsia="Calibri" w:cs="Arial"/>
          <w:b/>
          <w:bCs/>
          <w:color w:val="000000" w:themeColor="text1"/>
          <w:sz w:val="22"/>
          <w:lang w:val="es-CO"/>
        </w:rPr>
        <w:t>Interpretación Sistemática</w:t>
      </w:r>
    </w:p>
    <w:p w:rsidR="00D63D6B" w:rsidP="00D63D6B" w:rsidRDefault="00D63D6B" w14:paraId="34CD995E" w14:textId="77777777">
      <w:pPr>
        <w:jc w:val="both"/>
        <w:rPr>
          <w:rFonts w:ascii="Arial" w:hAnsi="Arial" w:cs="Arial"/>
          <w:color w:val="000000" w:themeColor="text1"/>
          <w:sz w:val="20"/>
          <w:szCs w:val="20"/>
        </w:rPr>
      </w:pPr>
    </w:p>
    <w:p w:rsidR="004A32A4" w:rsidP="00D63D6B" w:rsidRDefault="00D63D6B" w14:paraId="29D3121E" w14:textId="57D1B9E5">
      <w:pPr>
        <w:jc w:val="both"/>
        <w:rPr>
          <w:rFonts w:ascii="Arial" w:hAnsi="Arial" w:cs="Arial"/>
          <w:color w:val="000000" w:themeColor="text1"/>
          <w:sz w:val="20"/>
          <w:szCs w:val="20"/>
          <w:lang w:val="es-CO"/>
        </w:rPr>
      </w:pPr>
      <w:r w:rsidRPr="005C7CC4">
        <w:rPr>
          <w:rFonts w:ascii="Arial" w:hAnsi="Arial" w:eastAsia="Calibri" w:cs="Arial"/>
          <w:bCs/>
          <w:color w:val="000000" w:themeColor="text1"/>
          <w:sz w:val="20"/>
          <w:szCs w:val="20"/>
          <w:lang w:val="es-CO"/>
        </w:rPr>
        <w:t>[…]</w:t>
      </w:r>
      <w:r>
        <w:rPr>
          <w:rFonts w:ascii="Arial" w:hAnsi="Arial" w:eastAsia="Calibri" w:cs="Arial"/>
          <w:bCs/>
          <w:color w:val="000000" w:themeColor="text1"/>
          <w:sz w:val="20"/>
          <w:szCs w:val="20"/>
          <w:lang w:val="es-CO"/>
        </w:rPr>
        <w:t xml:space="preserve"> </w:t>
      </w:r>
      <w:r w:rsidRPr="00644F10" w:rsidR="00644F10">
        <w:rPr>
          <w:rFonts w:ascii="Arial" w:hAnsi="Arial" w:eastAsia="Calibri" w:cs="Arial"/>
          <w:bCs/>
          <w:color w:val="000000" w:themeColor="text1"/>
          <w:sz w:val="20"/>
          <w:szCs w:val="20"/>
          <w:lang w:val="es-CO"/>
        </w:rPr>
        <w:t>Ahora bien, teniendo presente el método de interpretación sistemático, es posible concluir que la Mipyme interesada en participar en un proceso limitado a este tipo de empresas, deberá acreditar como mínimo un año de experiencia. Esto se realiza integrando las disposiciones de los artículos 2.2.1.2.4.2.2. y 2.2.1.2.4.2.4. del Decreto 1082 de 2015, con el parágrafo 2 del artículo del artículo 12 la Ley 1150 de 2007, tal como fue modificado por el artículo 32 de la Ley 1450 de 2011</w:t>
      </w:r>
      <w:r>
        <w:rPr>
          <w:rFonts w:ascii="Arial" w:hAnsi="Arial" w:cs="Arial"/>
          <w:color w:val="000000" w:themeColor="text1"/>
          <w:sz w:val="20"/>
          <w:szCs w:val="20"/>
          <w:lang w:val="es-CO"/>
        </w:rPr>
        <w:t>.</w:t>
      </w:r>
    </w:p>
    <w:p w:rsidR="00D63D6B" w:rsidP="00D63D6B" w:rsidRDefault="00D63D6B" w14:paraId="5C67EB14" w14:textId="77777777">
      <w:pPr>
        <w:jc w:val="both"/>
        <w:rPr>
          <w:rFonts w:ascii="Arial" w:hAnsi="Arial" w:cs="Arial"/>
          <w:b/>
          <w:bCs/>
          <w:color w:val="000000" w:themeColor="text1"/>
          <w:sz w:val="20"/>
          <w:szCs w:val="20"/>
        </w:rPr>
      </w:pPr>
    </w:p>
    <w:p w:rsidRPr="00D63D6B" w:rsidR="00D63D6B" w:rsidP="00D63D6B" w:rsidRDefault="00D63D6B" w14:paraId="1A311F04" w14:textId="5EEE660A">
      <w:pPr>
        <w:jc w:val="both"/>
        <w:rPr>
          <w:rFonts w:ascii="Arial" w:hAnsi="Arial" w:cs="Arial"/>
          <w:color w:val="000000" w:themeColor="text1"/>
          <w:sz w:val="20"/>
          <w:szCs w:val="20"/>
          <w:lang w:val="es-CO"/>
        </w:rPr>
      </w:pPr>
      <w:r w:rsidRPr="005C7CC4">
        <w:rPr>
          <w:rFonts w:ascii="Arial" w:hAnsi="Arial" w:eastAsia="Calibri" w:cs="Arial"/>
          <w:bCs/>
          <w:color w:val="000000" w:themeColor="text1"/>
          <w:sz w:val="20"/>
          <w:szCs w:val="20"/>
          <w:lang w:val="es-CO"/>
        </w:rPr>
        <w:t>[…]</w:t>
      </w:r>
      <w:r>
        <w:rPr>
          <w:rFonts w:ascii="Arial" w:hAnsi="Arial" w:eastAsia="Calibri" w:cs="Arial"/>
          <w:bCs/>
          <w:color w:val="000000" w:themeColor="text1"/>
          <w:sz w:val="20"/>
          <w:szCs w:val="20"/>
          <w:lang w:val="es-CO"/>
        </w:rPr>
        <w:t xml:space="preserve"> </w:t>
      </w:r>
      <w:r w:rsidRPr="00644F10" w:rsidR="00644F10">
        <w:rPr>
          <w:rFonts w:ascii="Arial" w:hAnsi="Arial" w:eastAsia="Calibri" w:cs="Arial"/>
          <w:bCs/>
          <w:color w:val="000000" w:themeColor="text1"/>
          <w:sz w:val="20"/>
          <w:szCs w:val="20"/>
          <w:lang w:val="es-CO"/>
        </w:rPr>
        <w:t>Tal como se evidencia del aparte citado y de su integración en la interpretación de los artículos 2.2.1.2.4.2.2. y 2.2.1.2.4.2.4., se entiende que la acreditación de existencia es un requisito de participación y no uno que corresponda a la solicitud de limitar el proceso de selección a la convocatoria a Mipymes, como erróneamente lo planteó el peticionario al establecer que el artículo 2.2.1.2.4.2.2. solamente regula lo atinente a la limitación del proceso. Además, al hacer uso de la interpretación sistemática, se concluye que este requisito se acredita con el certificado expedido por la cámara de comercio o por la autoridad que sea competente para acreditar dicha condición</w:t>
      </w:r>
      <w:r w:rsidRPr="00D63D6B">
        <w:rPr>
          <w:rFonts w:ascii="Arial" w:hAnsi="Arial" w:cs="Arial"/>
          <w:color w:val="000000" w:themeColor="text1"/>
          <w:sz w:val="20"/>
          <w:szCs w:val="20"/>
          <w:lang w:val="es-CO"/>
        </w:rPr>
        <w:t xml:space="preserve">. </w:t>
      </w:r>
    </w:p>
    <w:p w:rsidRPr="00D63D6B" w:rsidR="00D63D6B" w:rsidP="00D63D6B" w:rsidRDefault="00D63D6B" w14:paraId="56A877E8" w14:textId="77777777">
      <w:pPr>
        <w:jc w:val="both"/>
        <w:rPr>
          <w:rFonts w:ascii="Arial" w:hAnsi="Arial" w:cs="Arial"/>
          <w:b/>
          <w:bCs/>
          <w:color w:val="000000" w:themeColor="text1"/>
          <w:sz w:val="20"/>
          <w:szCs w:val="20"/>
          <w:lang w:val="es-CO"/>
        </w:rPr>
      </w:pPr>
    </w:p>
    <w:p w:rsidR="00D63D6B" w:rsidP="00D63D6B" w:rsidRDefault="00D63D6B" w14:paraId="4FB737CB" w14:textId="42E44EBF">
      <w:pPr>
        <w:jc w:val="both"/>
        <w:rPr>
          <w:rFonts w:ascii="Arial" w:hAnsi="Arial" w:cs="Arial"/>
          <w:color w:val="000000" w:themeColor="text1"/>
          <w:sz w:val="20"/>
          <w:szCs w:val="20"/>
          <w:lang w:val="es-CO"/>
        </w:rPr>
      </w:pPr>
    </w:p>
    <w:p w:rsidRPr="00AE3AE4" w:rsidR="007C1102" w:rsidP="007C1102" w:rsidRDefault="007C1102" w14:paraId="4CDC7050" w14:textId="77777777">
      <w:pPr>
        <w:rPr>
          <w:rFonts w:ascii="Arial" w:hAnsi="Arial" w:cs="Arial"/>
          <w:color w:val="000000" w:themeColor="text1"/>
          <w:sz w:val="22"/>
          <w:lang w:val="es-CO"/>
        </w:rPr>
      </w:pPr>
    </w:p>
    <w:p w:rsidR="00133BA4" w:rsidRDefault="00133BA4" w14:paraId="3713D980" w14:textId="77777777">
      <w:pPr>
        <w:spacing w:after="160" w:line="259" w:lineRule="auto"/>
        <w:rPr>
          <w:rFonts w:ascii="Arial" w:hAnsi="Arial" w:eastAsia="Calibri" w:cs="Arial"/>
          <w:sz w:val="22"/>
          <w:szCs w:val="20"/>
        </w:rPr>
      </w:pPr>
      <w:r>
        <w:rPr>
          <w:rFonts w:ascii="Arial" w:hAnsi="Arial" w:eastAsia="Calibri" w:cs="Arial"/>
          <w:sz w:val="22"/>
          <w:szCs w:val="20"/>
        </w:rPr>
        <w:br w:type="page"/>
      </w:r>
    </w:p>
    <w:p w:rsidR="003222DE" w:rsidP="003222DE" w:rsidRDefault="00351745" w14:paraId="0074BC40" w14:textId="1996CBAE">
      <w:pPr>
        <w:jc w:val="right"/>
        <w:rPr>
          <w:rFonts w:ascii="Arial" w:hAnsi="Arial" w:eastAsia="Calibri" w:cs="Arial"/>
          <w:sz w:val="22"/>
          <w:lang w:val="es-ES" w:eastAsia="en-GB"/>
        </w:rPr>
      </w:pPr>
      <w:r w:rsidRPr="00351745">
        <w:rPr>
          <w:rFonts w:ascii="Arial" w:hAnsi="Arial" w:eastAsia="Calibri" w:cs="Arial"/>
          <w:sz w:val="22"/>
          <w:lang w:val="es-ES" w:eastAsia="en-GB"/>
        </w:rPr>
        <w:lastRenderedPageBreak/>
        <w:t>Bogotá D.C., 04/01/2021 Hora 15:23:3s</w:t>
      </w:r>
    </w:p>
    <w:p w:rsidR="00351745" w:rsidP="003222DE" w:rsidRDefault="00351745" w14:paraId="49107EA5" w14:textId="18D74EC5">
      <w:pPr>
        <w:jc w:val="right"/>
        <w:rPr>
          <w:rFonts w:ascii="Arial" w:hAnsi="Arial" w:eastAsia="Calibri" w:cs="Arial"/>
          <w:sz w:val="22"/>
          <w:lang w:val="es-ES" w:eastAsia="en-GB"/>
        </w:rPr>
      </w:pPr>
    </w:p>
    <w:p w:rsidRPr="0029763B" w:rsidR="00351745" w:rsidP="00351745" w:rsidRDefault="00351745" w14:paraId="16F59258" w14:textId="1BE867BD">
      <w:pPr>
        <w:jc w:val="both"/>
        <w:rPr>
          <w:rFonts w:ascii="Arial" w:hAnsi="Arial" w:eastAsia="Calibri" w:cs="Arial"/>
          <w:sz w:val="22"/>
          <w:lang w:val="es-ES" w:eastAsia="en-GB"/>
        </w:rPr>
      </w:pPr>
      <w:r w:rsidRPr="00351745">
        <w:rPr>
          <w:rFonts w:ascii="Arial" w:hAnsi="Arial" w:eastAsia="Calibri" w:cs="Arial"/>
          <w:sz w:val="22"/>
          <w:lang w:val="es-ES" w:eastAsia="en-GB"/>
        </w:rPr>
        <w:t>N° Radicado: 2202113000000002</w:t>
      </w:r>
    </w:p>
    <w:p w:rsidR="008C487C" w:rsidP="008C487C" w:rsidRDefault="008C487C" w14:paraId="559C0A4B" w14:textId="65CB9C8C">
      <w:pPr>
        <w:rPr>
          <w:rFonts w:ascii="Arial" w:hAnsi="Arial" w:eastAsia="Calibri" w:cs="Arial"/>
          <w:color w:val="000000" w:themeColor="text1"/>
          <w:sz w:val="22"/>
          <w:lang w:val="es-CO"/>
        </w:rPr>
      </w:pPr>
    </w:p>
    <w:p w:rsidRPr="00803D6A" w:rsidR="008040FB" w:rsidP="008C487C" w:rsidRDefault="008040FB" w14:paraId="4F418CB0" w14:textId="77777777">
      <w:pPr>
        <w:rPr>
          <w:rFonts w:ascii="Arial" w:hAnsi="Arial" w:eastAsia="Calibri" w:cs="Arial"/>
          <w:color w:val="000000" w:themeColor="text1"/>
          <w:sz w:val="22"/>
          <w:lang w:val="es-CO"/>
        </w:rPr>
      </w:pPr>
    </w:p>
    <w:p w:rsidRPr="00803D6A" w:rsidR="008C487C" w:rsidP="008C487C" w:rsidRDefault="008C487C" w14:paraId="5E43CCF1" w14:textId="38D3C185">
      <w:pPr>
        <w:rPr>
          <w:rFonts w:ascii="Arial" w:hAnsi="Arial" w:eastAsia="Calibri" w:cs="Arial"/>
          <w:color w:val="000000" w:themeColor="text1"/>
          <w:sz w:val="22"/>
          <w:lang w:val="es-CO"/>
        </w:rPr>
      </w:pPr>
      <w:r w:rsidRPr="00803D6A">
        <w:rPr>
          <w:rFonts w:ascii="Arial" w:hAnsi="Arial" w:eastAsia="Calibri" w:cs="Arial"/>
          <w:color w:val="000000" w:themeColor="text1"/>
          <w:sz w:val="22"/>
          <w:lang w:val="es-CO"/>
        </w:rPr>
        <w:t>Señor</w:t>
      </w:r>
    </w:p>
    <w:p w:rsidRPr="00803D6A" w:rsidR="008C487C" w:rsidP="008C487C" w:rsidRDefault="0095728F" w14:paraId="6A1A1064" w14:textId="60B0FE07">
      <w:pPr>
        <w:rPr>
          <w:rFonts w:ascii="Arial" w:hAnsi="Arial" w:eastAsia="Calibri" w:cs="Arial"/>
          <w:b/>
          <w:color w:val="000000" w:themeColor="text1"/>
          <w:sz w:val="22"/>
          <w:lang w:val="es-CO"/>
        </w:rPr>
      </w:pPr>
      <w:r>
        <w:rPr>
          <w:rFonts w:ascii="Arial" w:hAnsi="Arial" w:eastAsia="Calibri" w:cs="Arial"/>
          <w:b/>
          <w:color w:val="000000" w:themeColor="text1"/>
          <w:sz w:val="22"/>
          <w:lang w:val="es-CO"/>
        </w:rPr>
        <w:t>Irney</w:t>
      </w:r>
      <w:r w:rsidR="003222DE">
        <w:rPr>
          <w:rFonts w:ascii="Arial" w:hAnsi="Arial" w:eastAsia="Calibri" w:cs="Arial"/>
          <w:b/>
          <w:color w:val="000000" w:themeColor="text1"/>
          <w:sz w:val="22"/>
          <w:lang w:val="es-CO"/>
        </w:rPr>
        <w:t xml:space="preserve"> </w:t>
      </w:r>
      <w:r>
        <w:rPr>
          <w:rFonts w:ascii="Arial" w:hAnsi="Arial" w:eastAsia="Calibri" w:cs="Arial"/>
          <w:b/>
          <w:color w:val="000000" w:themeColor="text1"/>
          <w:sz w:val="22"/>
          <w:lang w:val="es-CO"/>
        </w:rPr>
        <w:t>Cuellar</w:t>
      </w:r>
    </w:p>
    <w:p w:rsidRPr="00803D6A" w:rsidR="003D4D18" w:rsidP="008C487C" w:rsidRDefault="0095728F" w14:paraId="62C6C9B7" w14:textId="06A17396">
      <w:pPr>
        <w:rPr>
          <w:rFonts w:ascii="Arial" w:hAnsi="Arial" w:eastAsia="Calibri" w:cs="Arial"/>
          <w:color w:val="000000" w:themeColor="text1"/>
          <w:sz w:val="22"/>
          <w:lang w:val="es-CO"/>
        </w:rPr>
      </w:pPr>
      <w:r>
        <w:rPr>
          <w:rFonts w:ascii="Arial" w:hAnsi="Arial" w:eastAsia="Calibri" w:cs="Arial"/>
          <w:color w:val="000000" w:themeColor="text1"/>
          <w:sz w:val="22"/>
          <w:lang w:val="es-CO"/>
        </w:rPr>
        <w:t>Villavicencio</w:t>
      </w:r>
      <w:r w:rsidR="003222DE">
        <w:rPr>
          <w:rFonts w:ascii="Arial" w:hAnsi="Arial" w:eastAsia="Calibri" w:cs="Arial"/>
          <w:color w:val="000000" w:themeColor="text1"/>
          <w:sz w:val="22"/>
          <w:lang w:val="es-CO"/>
        </w:rPr>
        <w:t xml:space="preserve">, </w:t>
      </w:r>
      <w:r>
        <w:rPr>
          <w:rFonts w:ascii="Arial" w:hAnsi="Arial" w:eastAsia="Calibri" w:cs="Arial"/>
          <w:color w:val="000000" w:themeColor="text1"/>
          <w:sz w:val="22"/>
          <w:lang w:val="es-CO"/>
        </w:rPr>
        <w:t>Meta</w:t>
      </w:r>
    </w:p>
    <w:p w:rsidRPr="00803D6A" w:rsidR="00BD58A7" w:rsidP="008C487C" w:rsidRDefault="00BD58A7" w14:paraId="4726CDFA" w14:textId="36B8C517">
      <w:pPr>
        <w:rPr>
          <w:rFonts w:ascii="Arial" w:hAnsi="Arial" w:eastAsia="Calibri" w:cs="Arial"/>
          <w:color w:val="000000" w:themeColor="text1"/>
          <w:sz w:val="22"/>
          <w:lang w:val="es-CO"/>
        </w:rPr>
      </w:pPr>
    </w:p>
    <w:p w:rsidRPr="00803D6A" w:rsidR="00EA5A59" w:rsidP="008C487C" w:rsidRDefault="00EA5A59" w14:paraId="0F999DDA" w14:textId="77777777">
      <w:pPr>
        <w:rPr>
          <w:rFonts w:ascii="Arial" w:hAnsi="Arial" w:eastAsia="Calibri" w:cs="Arial"/>
          <w:color w:val="000000" w:themeColor="text1"/>
          <w:sz w:val="22"/>
          <w:lang w:val="es-CO"/>
        </w:rPr>
      </w:pPr>
    </w:p>
    <w:p w:rsidRPr="00803D6A" w:rsidR="008C487C" w:rsidP="008C487C" w:rsidRDefault="008C487C" w14:paraId="32C9B894" w14:textId="3F167093">
      <w:pPr>
        <w:ind w:firstLine="2694"/>
        <w:rPr>
          <w:rFonts w:ascii="Arial" w:hAnsi="Arial" w:eastAsia="Calibri" w:cs="Arial"/>
          <w:b/>
          <w:color w:val="000000" w:themeColor="text1"/>
          <w:sz w:val="22"/>
          <w:lang w:val="es-CO"/>
        </w:rPr>
      </w:pPr>
      <w:r w:rsidRPr="00803D6A">
        <w:rPr>
          <w:rFonts w:ascii="Arial" w:hAnsi="Arial" w:eastAsia="Calibri" w:cs="Arial"/>
          <w:b/>
          <w:color w:val="000000" w:themeColor="text1"/>
          <w:sz w:val="22"/>
          <w:lang w:val="es-CO"/>
        </w:rPr>
        <w:t xml:space="preserve">Concepto C </w:t>
      </w:r>
      <w:r w:rsidRPr="00803D6A" w:rsidR="004F1636">
        <w:rPr>
          <w:rFonts w:ascii="Arial" w:hAnsi="Arial" w:eastAsia="Calibri" w:cs="Arial"/>
          <w:b/>
          <w:color w:val="000000" w:themeColor="text1"/>
          <w:sz w:val="22"/>
          <w:lang w:val="es-CO"/>
        </w:rPr>
        <w:t xml:space="preserve">– </w:t>
      </w:r>
      <w:r w:rsidR="00771C3B">
        <w:rPr>
          <w:rFonts w:ascii="Arial" w:hAnsi="Arial" w:eastAsia="Calibri" w:cs="Arial"/>
          <w:b/>
          <w:color w:val="000000" w:themeColor="text1"/>
          <w:sz w:val="22"/>
          <w:lang w:val="es-CO"/>
        </w:rPr>
        <w:t>757</w:t>
      </w:r>
      <w:r w:rsidRPr="00803D6A">
        <w:rPr>
          <w:rFonts w:ascii="Arial" w:hAnsi="Arial" w:eastAsia="Calibri" w:cs="Arial"/>
          <w:b/>
          <w:color w:val="000000" w:themeColor="text1"/>
          <w:sz w:val="22"/>
          <w:lang w:val="es-CO"/>
        </w:rPr>
        <w:t xml:space="preserve"> de 2020</w:t>
      </w:r>
    </w:p>
    <w:p w:rsidRPr="00803D6A" w:rsidR="008C487C" w:rsidP="008C487C" w:rsidRDefault="008C487C" w14:paraId="7FBAE466" w14:textId="77777777">
      <w:pPr>
        <w:rPr>
          <w:rFonts w:ascii="Arial" w:hAnsi="Arial" w:eastAsia="Calibri" w:cs="Arial"/>
          <w:color w:val="000000" w:themeColor="text1"/>
          <w:sz w:val="22"/>
          <w:lang w:val="es-CO"/>
        </w:rPr>
      </w:pPr>
    </w:p>
    <w:tbl>
      <w:tblPr>
        <w:tblStyle w:val="Tablaconcuadrcula"/>
        <w:tblW w:w="892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2127"/>
        <w:gridCol w:w="6799"/>
      </w:tblGrid>
      <w:tr w:rsidRPr="00F10D30" w:rsidR="00B00AA2" w:rsidTr="00771C3B" w14:paraId="657EE4A3" w14:textId="77777777">
        <w:tc>
          <w:tcPr>
            <w:tcW w:w="2127" w:type="dxa"/>
            <w:hideMark/>
          </w:tcPr>
          <w:p w:rsidRPr="00803D6A" w:rsidR="008C487C" w:rsidP="00891858" w:rsidRDefault="008C487C" w14:paraId="3FD906B4" w14:textId="77777777">
            <w:pPr>
              <w:rPr>
                <w:rFonts w:ascii="Arial" w:hAnsi="Arial" w:eastAsia="Calibri" w:cs="Arial"/>
                <w:color w:val="000000" w:themeColor="text1"/>
                <w:sz w:val="22"/>
                <w:lang w:val="es-CO"/>
              </w:rPr>
            </w:pPr>
            <w:r w:rsidRPr="00803D6A">
              <w:rPr>
                <w:rFonts w:ascii="Arial" w:hAnsi="Arial" w:eastAsia="Calibri" w:cs="Arial"/>
                <w:b/>
                <w:color w:val="000000" w:themeColor="text1"/>
                <w:sz w:val="22"/>
                <w:lang w:val="es-CO"/>
              </w:rPr>
              <w:t>Temas:</w:t>
            </w:r>
            <w:r w:rsidRPr="00803D6A">
              <w:rPr>
                <w:rFonts w:ascii="Arial" w:hAnsi="Arial" w:eastAsia="Calibri" w:cs="Arial"/>
                <w:color w:val="000000" w:themeColor="text1"/>
                <w:sz w:val="22"/>
                <w:lang w:val="es-CO"/>
              </w:rPr>
              <w:t xml:space="preserve">           </w:t>
            </w:r>
          </w:p>
          <w:p w:rsidRPr="00803D6A" w:rsidR="008C487C" w:rsidP="00891858" w:rsidRDefault="008C487C" w14:paraId="03E305BB" w14:textId="77777777">
            <w:pPr>
              <w:rPr>
                <w:rFonts w:ascii="Arial" w:hAnsi="Arial" w:eastAsia="Calibri" w:cs="Arial"/>
                <w:color w:val="000000" w:themeColor="text1"/>
                <w:sz w:val="22"/>
                <w:lang w:val="es-CO"/>
              </w:rPr>
            </w:pPr>
            <w:r w:rsidRPr="00803D6A">
              <w:rPr>
                <w:rFonts w:ascii="Arial" w:hAnsi="Arial" w:eastAsia="Calibri" w:cs="Arial"/>
                <w:color w:val="000000" w:themeColor="text1"/>
                <w:sz w:val="22"/>
                <w:lang w:val="es-CO"/>
              </w:rPr>
              <w:t xml:space="preserve">                           </w:t>
            </w:r>
          </w:p>
        </w:tc>
        <w:tc>
          <w:tcPr>
            <w:tcW w:w="6799" w:type="dxa"/>
            <w:hideMark/>
          </w:tcPr>
          <w:p w:rsidRPr="00133BA4" w:rsidR="002841BF" w:rsidP="002841BF" w:rsidRDefault="00B70E26" w14:paraId="0C3E1D42" w14:textId="1ADB05F5">
            <w:pPr>
              <w:jc w:val="both"/>
              <w:rPr>
                <w:rFonts w:ascii="Arial" w:hAnsi="Arial" w:eastAsia="Calibri" w:cs="Arial"/>
                <w:color w:val="000000" w:themeColor="text1"/>
                <w:sz w:val="22"/>
                <w:lang w:val="es-CO"/>
              </w:rPr>
            </w:pPr>
            <w:r w:rsidRPr="00F10D30">
              <w:rPr>
                <w:rFonts w:ascii="Arial" w:hAnsi="Arial" w:eastAsia="Calibri" w:cs="Arial"/>
                <w:color w:val="000000" w:themeColor="text1"/>
                <w:sz w:val="22"/>
                <w:lang w:val="es-CO"/>
              </w:rPr>
              <w:t xml:space="preserve">MIPYME ― </w:t>
            </w:r>
            <w:r w:rsidRPr="00C73D42" w:rsidR="002841BF">
              <w:rPr>
                <w:rFonts w:ascii="Arial" w:hAnsi="Arial" w:eastAsia="Calibri" w:cs="Arial"/>
                <w:color w:val="000000" w:themeColor="text1"/>
                <w:sz w:val="22"/>
                <w:lang w:val="es-CO"/>
              </w:rPr>
              <w:t>Noción – Alcance/ EMPRESA – Formación – Código de Comercio/</w:t>
            </w:r>
            <w:r w:rsidRPr="00133BA4" w:rsidR="002841BF">
              <w:rPr>
                <w:rFonts w:ascii="Arial" w:hAnsi="Arial" w:eastAsia="Calibri" w:cs="Arial"/>
                <w:color w:val="000000" w:themeColor="text1"/>
                <w:sz w:val="22"/>
                <w:lang w:val="es-CO"/>
              </w:rPr>
              <w:t xml:space="preserve"> MIPYME – Requisitos – Participación – Existencia </w:t>
            </w:r>
            <w:r w:rsidRPr="00F10D30" w:rsidR="002841BF">
              <w:rPr>
                <w:rFonts w:ascii="Arial" w:hAnsi="Arial" w:eastAsia="Calibri" w:cs="Arial"/>
                <w:color w:val="000000" w:themeColor="text1"/>
                <w:sz w:val="22"/>
                <w:lang w:val="es-CO"/>
              </w:rPr>
              <w:t>– Interpretación</w:t>
            </w:r>
          </w:p>
          <w:p w:rsidRPr="00F10D30" w:rsidR="001F28E6" w:rsidP="00242E58" w:rsidRDefault="001F28E6" w14:paraId="375F7E59" w14:textId="45F52FF6">
            <w:pPr>
              <w:jc w:val="both"/>
              <w:rPr>
                <w:rFonts w:ascii="Arial" w:hAnsi="Arial" w:eastAsia="Calibri" w:cs="Arial"/>
                <w:color w:val="000000" w:themeColor="text1"/>
                <w:sz w:val="22"/>
                <w:lang w:val="es-CO"/>
              </w:rPr>
            </w:pPr>
          </w:p>
        </w:tc>
      </w:tr>
      <w:tr w:rsidRPr="00803D6A" w:rsidR="008C487C" w:rsidTr="00771C3B" w14:paraId="747D1B02" w14:textId="77777777">
        <w:tc>
          <w:tcPr>
            <w:tcW w:w="2127" w:type="dxa"/>
          </w:tcPr>
          <w:p w:rsidRPr="00803D6A" w:rsidR="008C487C" w:rsidP="00791377" w:rsidRDefault="008C487C" w14:paraId="501625EB" w14:textId="77777777">
            <w:pPr>
              <w:spacing w:before="60"/>
              <w:rPr>
                <w:rFonts w:ascii="Arial" w:hAnsi="Arial" w:eastAsia="Calibri" w:cs="Arial"/>
                <w:b/>
                <w:color w:val="000000" w:themeColor="text1"/>
                <w:sz w:val="22"/>
                <w:lang w:val="es-CO"/>
              </w:rPr>
            </w:pPr>
            <w:r w:rsidRPr="00803D6A">
              <w:rPr>
                <w:rFonts w:ascii="Arial" w:hAnsi="Arial" w:eastAsia="Calibri" w:cs="Arial"/>
                <w:b/>
                <w:color w:val="000000" w:themeColor="text1"/>
                <w:sz w:val="22"/>
                <w:lang w:val="es-CO"/>
              </w:rPr>
              <w:t>Radicación:</w:t>
            </w:r>
            <w:r w:rsidRPr="00803D6A">
              <w:rPr>
                <w:rFonts w:ascii="Arial" w:hAnsi="Arial" w:eastAsia="Calibri" w:cs="Arial"/>
                <w:color w:val="000000" w:themeColor="text1"/>
                <w:sz w:val="22"/>
                <w:lang w:val="es-CO"/>
              </w:rPr>
              <w:t xml:space="preserve">                              </w:t>
            </w:r>
          </w:p>
        </w:tc>
        <w:tc>
          <w:tcPr>
            <w:tcW w:w="6799" w:type="dxa"/>
          </w:tcPr>
          <w:p w:rsidRPr="008B1879" w:rsidR="008B1879" w:rsidP="008B1879" w:rsidRDefault="008C487C" w14:paraId="6E0AA9F5" w14:textId="77777777">
            <w:pPr>
              <w:rPr>
                <w:rFonts w:ascii="Arial" w:hAnsi="Arial" w:eastAsia="Calibri" w:cs="Arial"/>
                <w:color w:val="000000" w:themeColor="text1"/>
                <w:sz w:val="22"/>
                <w:lang w:val="es-CO"/>
              </w:rPr>
            </w:pPr>
            <w:r w:rsidRPr="002841BF">
              <w:rPr>
                <w:rFonts w:ascii="Arial" w:hAnsi="Arial" w:eastAsia="Calibri" w:cs="Arial"/>
                <w:color w:val="000000" w:themeColor="text1"/>
                <w:sz w:val="22"/>
                <w:lang w:val="es-CO"/>
              </w:rPr>
              <w:t xml:space="preserve">Respuesta a consulta </w:t>
            </w:r>
            <w:r w:rsidRPr="008B1879" w:rsidR="008B1879">
              <w:rPr>
                <w:rFonts w:ascii="Arial" w:hAnsi="Arial" w:eastAsia="Calibri" w:cs="Arial"/>
                <w:color w:val="000000" w:themeColor="text1"/>
                <w:sz w:val="22"/>
                <w:lang w:val="es-CO"/>
              </w:rPr>
              <w:t>4202013000010445</w:t>
            </w:r>
          </w:p>
          <w:p w:rsidRPr="008B1879" w:rsidR="008B1879" w:rsidP="008B1879" w:rsidRDefault="008B1879" w14:paraId="19573EE4" w14:textId="2A270F05">
            <w:pPr>
              <w:rPr>
                <w:rFonts w:ascii="Arial" w:hAnsi="Arial" w:eastAsia="Calibri" w:cs="Arial"/>
                <w:color w:val="000000" w:themeColor="text1"/>
                <w:sz w:val="22"/>
                <w:lang w:val="es-CO"/>
              </w:rPr>
            </w:pPr>
          </w:p>
          <w:p w:rsidRPr="00241F32" w:rsidR="00241F32" w:rsidP="00241F32" w:rsidRDefault="00241F32" w14:paraId="589C2482" w14:textId="431461D5">
            <w:pPr>
              <w:rPr>
                <w:rFonts w:ascii="Arial" w:hAnsi="Arial" w:eastAsia="Calibri" w:cs="Arial"/>
                <w:color w:val="000000" w:themeColor="text1"/>
                <w:sz w:val="22"/>
                <w:lang w:val="es-CO"/>
              </w:rPr>
            </w:pPr>
          </w:p>
          <w:p w:rsidRPr="00803D6A" w:rsidR="008C487C" w:rsidP="00791377" w:rsidRDefault="008C487C" w14:paraId="7CB98701" w14:textId="793184F0">
            <w:pPr>
              <w:spacing w:before="60"/>
              <w:jc w:val="both"/>
              <w:rPr>
                <w:rFonts w:ascii="Arial" w:hAnsi="Arial" w:eastAsia="Calibri" w:cs="Arial"/>
                <w:color w:val="000000" w:themeColor="text1"/>
                <w:sz w:val="22"/>
                <w:lang w:val="es-CO"/>
              </w:rPr>
            </w:pPr>
          </w:p>
        </w:tc>
      </w:tr>
    </w:tbl>
    <w:p w:rsidRPr="00803D6A" w:rsidR="00360504" w:rsidP="008C487C" w:rsidRDefault="00360504" w14:paraId="5949F270" w14:textId="77777777">
      <w:pPr>
        <w:jc w:val="both"/>
        <w:rPr>
          <w:rFonts w:ascii="Arial" w:hAnsi="Arial" w:eastAsia="Calibri" w:cs="Arial"/>
          <w:color w:val="000000" w:themeColor="text1"/>
          <w:sz w:val="22"/>
          <w:lang w:val="es-CO"/>
        </w:rPr>
      </w:pPr>
    </w:p>
    <w:p w:rsidRPr="00803D6A" w:rsidR="008C487C" w:rsidP="008C487C" w:rsidRDefault="008C487C" w14:paraId="0DB0E221" w14:textId="772378B7">
      <w:pPr>
        <w:rPr>
          <w:rFonts w:ascii="Arial" w:hAnsi="Arial" w:eastAsia="Calibri" w:cs="Arial"/>
          <w:color w:val="000000" w:themeColor="text1"/>
          <w:sz w:val="22"/>
          <w:lang w:val="es-CO"/>
        </w:rPr>
      </w:pPr>
      <w:r w:rsidRPr="00803D6A">
        <w:rPr>
          <w:rFonts w:ascii="Arial" w:hAnsi="Arial" w:eastAsia="Calibri" w:cs="Arial"/>
          <w:color w:val="000000" w:themeColor="text1"/>
          <w:sz w:val="22"/>
          <w:lang w:val="es-CO"/>
        </w:rPr>
        <w:t>Estimad</w:t>
      </w:r>
      <w:r w:rsidR="0095728F">
        <w:rPr>
          <w:rFonts w:ascii="Arial" w:hAnsi="Arial" w:eastAsia="Calibri" w:cs="Arial"/>
          <w:color w:val="000000" w:themeColor="text1"/>
          <w:sz w:val="22"/>
          <w:lang w:val="es-CO"/>
        </w:rPr>
        <w:t>o</w:t>
      </w:r>
      <w:r w:rsidRPr="00803D6A" w:rsidR="001F28E6">
        <w:rPr>
          <w:rFonts w:ascii="Arial" w:hAnsi="Arial" w:eastAsia="Calibri" w:cs="Arial"/>
          <w:color w:val="000000" w:themeColor="text1"/>
          <w:sz w:val="22"/>
          <w:lang w:val="es-CO"/>
        </w:rPr>
        <w:t xml:space="preserve"> </w:t>
      </w:r>
      <w:r w:rsidRPr="00803D6A">
        <w:rPr>
          <w:rFonts w:ascii="Arial" w:hAnsi="Arial" w:eastAsia="Calibri" w:cs="Arial"/>
          <w:color w:val="000000" w:themeColor="text1"/>
          <w:sz w:val="22"/>
          <w:lang w:val="es-CO"/>
        </w:rPr>
        <w:t>señor</w:t>
      </w:r>
      <w:r w:rsidRPr="00803D6A" w:rsidR="00B70E26">
        <w:rPr>
          <w:rFonts w:ascii="Arial" w:hAnsi="Arial" w:eastAsia="Calibri" w:cs="Arial"/>
          <w:color w:val="000000" w:themeColor="text1"/>
          <w:sz w:val="22"/>
          <w:lang w:val="es-CO"/>
        </w:rPr>
        <w:t xml:space="preserve"> </w:t>
      </w:r>
      <w:r w:rsidR="0095728F">
        <w:rPr>
          <w:rFonts w:ascii="Arial" w:hAnsi="Arial" w:eastAsia="Calibri" w:cs="Arial"/>
          <w:color w:val="000000" w:themeColor="text1"/>
          <w:sz w:val="22"/>
          <w:lang w:val="es-CO"/>
        </w:rPr>
        <w:t>Cuellar</w:t>
      </w:r>
      <w:r w:rsidRPr="00803D6A" w:rsidR="00B70E26">
        <w:rPr>
          <w:rFonts w:ascii="Arial" w:hAnsi="Arial" w:eastAsia="Calibri" w:cs="Arial"/>
          <w:color w:val="000000" w:themeColor="text1"/>
          <w:sz w:val="22"/>
          <w:lang w:val="es-CO"/>
        </w:rPr>
        <w:t>:</w:t>
      </w:r>
    </w:p>
    <w:p w:rsidRPr="00803D6A" w:rsidR="008C487C" w:rsidP="008C487C" w:rsidRDefault="008C487C" w14:paraId="55DFCD2D" w14:textId="77777777">
      <w:pPr>
        <w:rPr>
          <w:rFonts w:ascii="Arial" w:hAnsi="Arial" w:eastAsia="Calibri" w:cs="Arial"/>
          <w:color w:val="000000" w:themeColor="text1"/>
          <w:sz w:val="22"/>
          <w:lang w:val="es-CO"/>
        </w:rPr>
      </w:pPr>
    </w:p>
    <w:p w:rsidRPr="00803D6A" w:rsidR="00736C89" w:rsidP="00736C89" w:rsidRDefault="00736C89" w14:paraId="7B40E292" w14:textId="35EA746A">
      <w:pPr>
        <w:spacing w:line="276" w:lineRule="auto"/>
        <w:jc w:val="both"/>
        <w:rPr>
          <w:rFonts w:ascii="Arial" w:hAnsi="Arial" w:eastAsia="Calibri" w:cs="Arial"/>
          <w:color w:val="000000" w:themeColor="text1"/>
          <w:sz w:val="22"/>
          <w:lang w:val="es-CO"/>
        </w:rPr>
      </w:pPr>
      <w:r w:rsidRPr="00803D6A">
        <w:rPr>
          <w:rFonts w:ascii="Arial" w:hAnsi="Arial" w:eastAsia="Calibri" w:cs="Arial"/>
          <w:color w:val="000000" w:themeColor="text1"/>
          <w:sz w:val="22"/>
          <w:lang w:val="es-CO"/>
        </w:rPr>
        <w:t xml:space="preserve">En ejercicio de la competencia otorgada por los artículos 11, numeral 8º, y 3º, numeral 5º, del Decreto Ley 4170 de 2011, la Agencia Nacional de Contratación Pública―Colombia Compra Eficiente responde su consulta del </w:t>
      </w:r>
      <w:r w:rsidR="008512E9">
        <w:rPr>
          <w:rFonts w:ascii="Arial" w:hAnsi="Arial" w:eastAsia="Calibri" w:cs="Arial"/>
          <w:color w:val="000000" w:themeColor="text1"/>
          <w:sz w:val="22"/>
          <w:lang w:val="es-CO"/>
        </w:rPr>
        <w:t>1</w:t>
      </w:r>
      <w:r w:rsidR="003222DE">
        <w:rPr>
          <w:rFonts w:ascii="Arial" w:hAnsi="Arial" w:eastAsia="Calibri" w:cs="Arial"/>
          <w:color w:val="000000" w:themeColor="text1"/>
          <w:sz w:val="22"/>
          <w:lang w:val="es-CO"/>
        </w:rPr>
        <w:t>8</w:t>
      </w:r>
      <w:r w:rsidRPr="00803D6A" w:rsidR="001F28E6">
        <w:rPr>
          <w:rFonts w:ascii="Arial" w:hAnsi="Arial" w:eastAsia="Calibri" w:cs="Arial"/>
          <w:color w:val="000000" w:themeColor="text1"/>
          <w:sz w:val="22"/>
          <w:lang w:val="es-CO"/>
        </w:rPr>
        <w:t xml:space="preserve"> de </w:t>
      </w:r>
      <w:r w:rsidR="008512E9">
        <w:rPr>
          <w:rFonts w:ascii="Arial" w:hAnsi="Arial" w:eastAsia="Calibri" w:cs="Arial"/>
          <w:color w:val="000000" w:themeColor="text1"/>
          <w:sz w:val="22"/>
          <w:lang w:val="es-CO"/>
        </w:rPr>
        <w:t>noviem</w:t>
      </w:r>
      <w:r w:rsidR="003222DE">
        <w:rPr>
          <w:rFonts w:ascii="Arial" w:hAnsi="Arial" w:eastAsia="Calibri" w:cs="Arial"/>
          <w:color w:val="000000" w:themeColor="text1"/>
          <w:sz w:val="22"/>
          <w:lang w:val="es-CO"/>
        </w:rPr>
        <w:t>bre</w:t>
      </w:r>
      <w:r w:rsidRPr="00803D6A" w:rsidR="00803D6A">
        <w:rPr>
          <w:rFonts w:ascii="Arial" w:hAnsi="Arial" w:eastAsia="Calibri" w:cs="Arial"/>
          <w:color w:val="000000" w:themeColor="text1"/>
          <w:sz w:val="22"/>
          <w:lang w:val="es-CO"/>
        </w:rPr>
        <w:t xml:space="preserve"> de</w:t>
      </w:r>
      <w:r w:rsidRPr="00803D6A">
        <w:rPr>
          <w:rFonts w:ascii="Arial" w:hAnsi="Arial" w:eastAsia="Calibri" w:cs="Arial"/>
          <w:color w:val="000000" w:themeColor="text1"/>
          <w:sz w:val="22"/>
          <w:lang w:val="es-CO"/>
        </w:rPr>
        <w:t xml:space="preserve"> 2020. </w:t>
      </w:r>
    </w:p>
    <w:p w:rsidRPr="00803D6A" w:rsidR="008C487C" w:rsidP="008C487C" w:rsidRDefault="008C487C" w14:paraId="73FB6E4C" w14:textId="77777777">
      <w:pPr>
        <w:spacing w:line="276" w:lineRule="auto"/>
        <w:jc w:val="both"/>
        <w:rPr>
          <w:rFonts w:ascii="Arial" w:hAnsi="Arial" w:eastAsia="Calibri" w:cs="Arial"/>
          <w:color w:val="000000" w:themeColor="text1"/>
          <w:sz w:val="22"/>
          <w:lang w:val="es-CO"/>
        </w:rPr>
      </w:pPr>
    </w:p>
    <w:p w:rsidRPr="00803D6A" w:rsidR="008C487C" w:rsidP="008C487C" w:rsidRDefault="008C487C" w14:paraId="0FC34609" w14:textId="77777777">
      <w:pPr>
        <w:pStyle w:val="Prrafodelista"/>
        <w:numPr>
          <w:ilvl w:val="0"/>
          <w:numId w:val="1"/>
        </w:numPr>
        <w:tabs>
          <w:tab w:val="left" w:pos="284"/>
        </w:tabs>
        <w:spacing w:line="276" w:lineRule="auto"/>
        <w:ind w:left="0" w:firstLine="0"/>
        <w:jc w:val="both"/>
        <w:rPr>
          <w:rFonts w:ascii="Arial" w:hAnsi="Arial" w:eastAsia="Calibri" w:cs="Arial"/>
          <w:b/>
          <w:color w:val="000000" w:themeColor="text1"/>
          <w:sz w:val="22"/>
          <w:lang w:val="es-CO"/>
        </w:rPr>
      </w:pPr>
      <w:r w:rsidRPr="00803D6A">
        <w:rPr>
          <w:rFonts w:ascii="Arial" w:hAnsi="Arial" w:eastAsia="Calibri" w:cs="Arial"/>
          <w:b/>
          <w:color w:val="000000" w:themeColor="text1"/>
          <w:sz w:val="22"/>
          <w:lang w:val="es-CO"/>
        </w:rPr>
        <w:t xml:space="preserve">Problemas planteados </w:t>
      </w:r>
    </w:p>
    <w:p w:rsidRPr="00803D6A" w:rsidR="008C487C" w:rsidP="008C487C" w:rsidRDefault="008C487C" w14:paraId="51627473" w14:textId="77777777">
      <w:pPr>
        <w:tabs>
          <w:tab w:val="left" w:pos="426"/>
        </w:tabs>
        <w:spacing w:line="276" w:lineRule="auto"/>
        <w:jc w:val="both"/>
        <w:rPr>
          <w:rFonts w:ascii="Arial" w:hAnsi="Arial" w:eastAsia="Calibri" w:cs="Arial"/>
          <w:b/>
          <w:color w:val="000000" w:themeColor="text1"/>
          <w:sz w:val="22"/>
          <w:lang w:val="es-CO"/>
        </w:rPr>
      </w:pPr>
    </w:p>
    <w:p w:rsidR="00BC2649" w:rsidP="0095728F" w:rsidRDefault="008C487C" w14:paraId="5AF57268" w14:textId="77777777">
      <w:pPr>
        <w:spacing w:line="276" w:lineRule="auto"/>
        <w:jc w:val="both"/>
        <w:rPr>
          <w:rFonts w:ascii="Arial" w:hAnsi="Arial" w:eastAsia="Calibri" w:cs="Arial"/>
          <w:color w:val="000000" w:themeColor="text1"/>
          <w:sz w:val="22"/>
          <w:lang w:val="es-CO"/>
        </w:rPr>
      </w:pPr>
      <w:r w:rsidRPr="00803D6A">
        <w:rPr>
          <w:rFonts w:ascii="Arial" w:hAnsi="Arial" w:eastAsia="Calibri" w:cs="Arial"/>
          <w:color w:val="000000" w:themeColor="text1"/>
          <w:sz w:val="22"/>
          <w:lang w:val="es-CO"/>
        </w:rPr>
        <w:t xml:space="preserve">Usted </w:t>
      </w:r>
      <w:r w:rsidRPr="00803D6A" w:rsidR="001F28E6">
        <w:rPr>
          <w:rFonts w:ascii="Arial" w:hAnsi="Arial" w:eastAsia="Calibri" w:cs="Arial"/>
          <w:color w:val="000000" w:themeColor="text1"/>
          <w:sz w:val="22"/>
          <w:lang w:val="es-CO"/>
        </w:rPr>
        <w:t>realiza la siguiente pregunta</w:t>
      </w:r>
      <w:r w:rsidR="003222DE">
        <w:rPr>
          <w:rFonts w:ascii="Arial" w:hAnsi="Arial" w:eastAsia="Calibri" w:cs="Arial"/>
          <w:color w:val="000000" w:themeColor="text1"/>
          <w:sz w:val="22"/>
          <w:lang w:val="es-CO"/>
        </w:rPr>
        <w:t>:</w:t>
      </w:r>
      <w:r w:rsidRPr="00803D6A" w:rsidR="001F28E6">
        <w:rPr>
          <w:rFonts w:ascii="Arial" w:hAnsi="Arial" w:eastAsia="Calibri" w:cs="Arial"/>
          <w:color w:val="000000" w:themeColor="text1"/>
          <w:sz w:val="22"/>
          <w:lang w:val="es-CO"/>
        </w:rPr>
        <w:t xml:space="preserve"> </w:t>
      </w:r>
    </w:p>
    <w:p w:rsidR="00BC2649" w:rsidP="0095728F" w:rsidRDefault="00BC2649" w14:paraId="5D31FF25" w14:textId="77777777">
      <w:pPr>
        <w:spacing w:line="276" w:lineRule="auto"/>
        <w:jc w:val="both"/>
        <w:rPr>
          <w:rFonts w:ascii="Arial" w:hAnsi="Arial" w:eastAsia="Calibri" w:cs="Arial"/>
          <w:color w:val="000000" w:themeColor="text1"/>
          <w:sz w:val="22"/>
          <w:lang w:val="es-CO"/>
        </w:rPr>
      </w:pPr>
    </w:p>
    <w:p w:rsidRPr="00133BA4" w:rsidR="0095728F" w:rsidP="00133BA4" w:rsidRDefault="003222DE" w14:paraId="544134F6" w14:textId="1532E96F">
      <w:pPr>
        <w:ind w:left="709" w:right="709"/>
        <w:jc w:val="both"/>
        <w:rPr>
          <w:rFonts w:ascii="Arial" w:hAnsi="Arial" w:eastAsia="Calibri" w:cs="Arial"/>
          <w:color w:val="000000" w:themeColor="text1"/>
          <w:sz w:val="21"/>
          <w:szCs w:val="21"/>
          <w:lang w:val="es-CO"/>
        </w:rPr>
      </w:pPr>
      <w:r w:rsidRPr="00133BA4">
        <w:rPr>
          <w:rFonts w:ascii="Arial" w:hAnsi="Arial" w:eastAsia="Calibri" w:cs="Arial"/>
          <w:color w:val="000000" w:themeColor="text1"/>
          <w:sz w:val="21"/>
          <w:szCs w:val="21"/>
          <w:lang w:val="es-CO"/>
        </w:rPr>
        <w:t>«</w:t>
      </w:r>
      <w:r w:rsidRPr="00133BA4" w:rsidR="0095728F">
        <w:rPr>
          <w:rFonts w:ascii="Arial" w:hAnsi="Arial" w:eastAsia="Calibri" w:cs="Arial"/>
          <w:color w:val="000000" w:themeColor="text1"/>
          <w:sz w:val="21"/>
          <w:szCs w:val="21"/>
          <w:lang w:val="es-CO"/>
        </w:rPr>
        <w:t>Pese a que el artículo 2.2.1.2.4.2.4 es claro frente a los requisitos que se deben acreditar en los procesos limitados, queda la duda cuando se lee también el artículo 2.2.1.2.4.2.2 que regula la limitación de los procesos, por que</w:t>
      </w:r>
      <w:r w:rsidRPr="00133BA4" w:rsidR="005608B8">
        <w:rPr>
          <w:rFonts w:ascii="Arial" w:hAnsi="Arial" w:eastAsia="Calibri" w:cs="Arial"/>
          <w:color w:val="000000" w:themeColor="text1"/>
          <w:sz w:val="21"/>
          <w:szCs w:val="21"/>
          <w:lang w:val="es-CO"/>
        </w:rPr>
        <w:t xml:space="preserve"> (sic)</w:t>
      </w:r>
      <w:r w:rsidRPr="00133BA4" w:rsidR="0095728F">
        <w:rPr>
          <w:rFonts w:ascii="Arial" w:hAnsi="Arial" w:eastAsia="Calibri" w:cs="Arial"/>
          <w:color w:val="000000" w:themeColor="text1"/>
          <w:sz w:val="21"/>
          <w:szCs w:val="21"/>
          <w:lang w:val="es-CO"/>
        </w:rPr>
        <w:t xml:space="preserve"> exige antigüedad de un año, requisito que no se exige en el otro artículo. </w:t>
      </w:r>
    </w:p>
    <w:p w:rsidRPr="00133BA4" w:rsidR="0095728F" w:rsidP="00133BA4" w:rsidRDefault="0095728F" w14:paraId="7E56CB1F" w14:textId="77777777">
      <w:pPr>
        <w:ind w:left="709" w:right="709"/>
        <w:jc w:val="both"/>
        <w:rPr>
          <w:rFonts w:ascii="Arial" w:hAnsi="Arial" w:eastAsia="Calibri" w:cs="Arial"/>
          <w:color w:val="000000" w:themeColor="text1"/>
          <w:sz w:val="21"/>
          <w:szCs w:val="21"/>
          <w:lang w:val="es-CO"/>
        </w:rPr>
      </w:pPr>
    </w:p>
    <w:p w:rsidRPr="00133BA4" w:rsidR="001F28E6" w:rsidP="00133BA4" w:rsidRDefault="0095728F" w14:paraId="2F4D6D5A" w14:textId="26AC67FF">
      <w:pPr>
        <w:ind w:left="709" w:right="709"/>
        <w:jc w:val="both"/>
        <w:rPr>
          <w:rFonts w:ascii="Arial" w:hAnsi="Arial" w:eastAsia="Calibri" w:cs="Arial"/>
          <w:color w:val="000000" w:themeColor="text1"/>
          <w:sz w:val="21"/>
          <w:szCs w:val="21"/>
          <w:lang w:val="es-CO"/>
        </w:rPr>
      </w:pPr>
      <w:r w:rsidRPr="00133BA4">
        <w:rPr>
          <w:rFonts w:ascii="Arial" w:hAnsi="Arial" w:eastAsia="Calibri" w:cs="Arial"/>
          <w:color w:val="000000" w:themeColor="text1"/>
          <w:sz w:val="21"/>
          <w:szCs w:val="21"/>
          <w:lang w:val="es-CO"/>
        </w:rPr>
        <w:t xml:space="preserve">De esta manera, la consulta es frente a la aplicación de estas dos normas, por que </w:t>
      </w:r>
      <w:r w:rsidRPr="00133BA4" w:rsidR="005608B8">
        <w:rPr>
          <w:rFonts w:ascii="Arial" w:hAnsi="Arial" w:eastAsia="Calibri" w:cs="Arial"/>
          <w:color w:val="000000" w:themeColor="text1"/>
          <w:sz w:val="21"/>
          <w:szCs w:val="21"/>
          <w:lang w:val="es-CO"/>
        </w:rPr>
        <w:t xml:space="preserve">(sic) </w:t>
      </w:r>
      <w:r w:rsidRPr="00133BA4">
        <w:rPr>
          <w:rFonts w:ascii="Arial" w:hAnsi="Arial" w:eastAsia="Calibri" w:cs="Arial"/>
          <w:color w:val="000000" w:themeColor="text1"/>
          <w:sz w:val="21"/>
          <w:szCs w:val="21"/>
          <w:lang w:val="es-CO"/>
        </w:rPr>
        <w:t>entiendo yo que una cosa es la limitación del proceso y otra cosa son los requisitos para participar en un proceso limitado, el primero regulado por el artículo 2.2.1.2.4.2.2 y el último regulado por el 2.2.1.2.4.2.4.</w:t>
      </w:r>
      <w:r w:rsidRPr="00133BA4" w:rsidR="003222DE">
        <w:rPr>
          <w:rFonts w:ascii="Arial" w:hAnsi="Arial" w:eastAsia="Calibri" w:cs="Arial"/>
          <w:color w:val="000000" w:themeColor="text1"/>
          <w:sz w:val="21"/>
          <w:szCs w:val="21"/>
          <w:lang w:val="es-CO"/>
        </w:rPr>
        <w:t>».</w:t>
      </w:r>
      <w:r w:rsidRPr="00133BA4" w:rsidR="004423A9">
        <w:rPr>
          <w:rFonts w:ascii="Arial" w:hAnsi="Arial" w:eastAsia="Calibri" w:cs="Arial"/>
          <w:color w:val="000000" w:themeColor="text1"/>
          <w:sz w:val="21"/>
          <w:szCs w:val="21"/>
          <w:lang w:val="es-CO"/>
        </w:rPr>
        <w:t xml:space="preserve"> </w:t>
      </w:r>
      <w:r w:rsidRPr="00133BA4" w:rsidR="004A2086">
        <w:rPr>
          <w:rFonts w:ascii="Arial" w:hAnsi="Arial" w:eastAsia="Calibri" w:cs="Arial"/>
          <w:color w:val="000000" w:themeColor="text1"/>
          <w:sz w:val="21"/>
          <w:szCs w:val="21"/>
          <w:lang w:val="es-CO"/>
        </w:rPr>
        <w:t xml:space="preserve">                               </w:t>
      </w:r>
    </w:p>
    <w:p w:rsidRPr="00803D6A" w:rsidR="004423A9" w:rsidP="004423A9" w:rsidRDefault="004423A9" w14:paraId="6210BD41" w14:textId="77777777">
      <w:pPr>
        <w:jc w:val="both"/>
        <w:rPr>
          <w:rFonts w:ascii="Arial" w:hAnsi="Arial" w:eastAsia="Calibri" w:cs="Arial"/>
          <w:color w:val="000000" w:themeColor="text1"/>
          <w:sz w:val="22"/>
          <w:lang w:val="es-CO"/>
        </w:rPr>
      </w:pPr>
    </w:p>
    <w:p w:rsidR="008C487C" w:rsidP="005608B8" w:rsidRDefault="008C487C" w14:paraId="23B6B2A3" w14:textId="0E60138E">
      <w:pPr>
        <w:pStyle w:val="Prrafodelista"/>
        <w:numPr>
          <w:ilvl w:val="0"/>
          <w:numId w:val="1"/>
        </w:numPr>
        <w:tabs>
          <w:tab w:val="left" w:pos="426"/>
        </w:tabs>
        <w:spacing w:line="276" w:lineRule="auto"/>
        <w:rPr>
          <w:rFonts w:ascii="Arial" w:hAnsi="Arial" w:eastAsia="Calibri" w:cs="Arial"/>
          <w:b/>
          <w:color w:val="000000" w:themeColor="text1"/>
          <w:sz w:val="22"/>
          <w:lang w:val="es-CO"/>
        </w:rPr>
      </w:pPr>
      <w:r w:rsidRPr="005608B8">
        <w:rPr>
          <w:rFonts w:ascii="Arial" w:hAnsi="Arial" w:eastAsia="Calibri" w:cs="Arial"/>
          <w:b/>
          <w:color w:val="000000" w:themeColor="text1"/>
          <w:sz w:val="22"/>
          <w:lang w:val="es-CO"/>
        </w:rPr>
        <w:t>Consideraciones</w:t>
      </w:r>
    </w:p>
    <w:p w:rsidRPr="005608B8" w:rsidR="005608B8" w:rsidP="005608B8" w:rsidRDefault="005608B8" w14:paraId="16DADC25" w14:textId="77777777">
      <w:pPr>
        <w:tabs>
          <w:tab w:val="left" w:pos="426"/>
        </w:tabs>
        <w:spacing w:line="276" w:lineRule="auto"/>
        <w:rPr>
          <w:rFonts w:ascii="Arial" w:hAnsi="Arial" w:eastAsia="Calibri" w:cs="Arial"/>
          <w:b/>
          <w:color w:val="000000" w:themeColor="text1"/>
          <w:sz w:val="22"/>
          <w:lang w:val="es-CO"/>
        </w:rPr>
      </w:pPr>
    </w:p>
    <w:p w:rsidRPr="00803D6A" w:rsidR="008C487C" w:rsidP="00F7234C" w:rsidRDefault="008C487C" w14:paraId="32EFE7B0" w14:textId="5F74A129">
      <w:pPr>
        <w:spacing w:line="276" w:lineRule="auto"/>
        <w:jc w:val="both"/>
        <w:rPr>
          <w:rFonts w:ascii="Arial" w:hAnsi="Arial" w:eastAsia="Calibri" w:cs="Arial"/>
          <w:color w:val="000000" w:themeColor="text1"/>
          <w:sz w:val="22"/>
          <w:lang w:val="es-CO"/>
        </w:rPr>
      </w:pPr>
      <w:r w:rsidRPr="00803D6A">
        <w:rPr>
          <w:rFonts w:ascii="Arial" w:hAnsi="Arial" w:eastAsia="Calibri" w:cs="Arial"/>
          <w:color w:val="000000" w:themeColor="text1"/>
          <w:sz w:val="22"/>
          <w:lang w:val="es-CO"/>
        </w:rPr>
        <w:t xml:space="preserve">La Agencia Nacional de Contratación Pública―Colombia Compra Eficiente se ha pronunciado en diferentes </w:t>
      </w:r>
      <w:r w:rsidR="00557A51">
        <w:rPr>
          <w:rFonts w:ascii="Arial" w:hAnsi="Arial" w:eastAsia="Calibri" w:cs="Arial"/>
          <w:color w:val="000000" w:themeColor="text1"/>
          <w:sz w:val="22"/>
          <w:lang w:val="es-CO"/>
        </w:rPr>
        <w:t>ocasiones</w:t>
      </w:r>
      <w:r w:rsidRPr="00803D6A" w:rsidR="00557A51">
        <w:rPr>
          <w:rFonts w:ascii="Arial" w:hAnsi="Arial" w:eastAsia="Calibri" w:cs="Arial"/>
          <w:color w:val="000000" w:themeColor="text1"/>
          <w:sz w:val="22"/>
          <w:lang w:val="es-CO"/>
        </w:rPr>
        <w:t xml:space="preserve"> </w:t>
      </w:r>
      <w:r w:rsidRPr="00803D6A">
        <w:rPr>
          <w:rFonts w:ascii="Arial" w:hAnsi="Arial" w:eastAsia="Calibri" w:cs="Arial"/>
          <w:color w:val="000000" w:themeColor="text1"/>
          <w:sz w:val="22"/>
          <w:lang w:val="es-CO"/>
        </w:rPr>
        <w:t xml:space="preserve">sobre la posibilidad de limitar los procesos contractuales a Mipymes, en los conceptos del 5 y el 20 de agosto de 2019 </w:t>
      </w:r>
      <w:r w:rsidRPr="00803D6A" w:rsidR="00B5123E">
        <w:rPr>
          <w:rFonts w:ascii="Arial" w:hAnsi="Arial" w:eastAsia="Calibri" w:cs="Arial"/>
          <w:color w:val="000000" w:themeColor="text1"/>
          <w:sz w:val="22"/>
          <w:lang w:val="es-CO"/>
        </w:rPr>
        <w:t>–</w:t>
      </w:r>
      <w:r w:rsidRPr="00803D6A" w:rsidR="009F2261">
        <w:rPr>
          <w:rFonts w:ascii="Arial" w:hAnsi="Arial" w:eastAsia="Calibri" w:cs="Arial"/>
          <w:color w:val="000000" w:themeColor="text1"/>
          <w:sz w:val="22"/>
          <w:lang w:val="es-CO"/>
        </w:rPr>
        <w:t>r</w:t>
      </w:r>
      <w:r w:rsidRPr="00803D6A">
        <w:rPr>
          <w:rFonts w:ascii="Arial" w:hAnsi="Arial" w:eastAsia="Calibri" w:cs="Arial"/>
          <w:color w:val="000000" w:themeColor="text1"/>
          <w:sz w:val="22"/>
          <w:lang w:val="es-CO"/>
        </w:rPr>
        <w:t xml:space="preserve">adicados Nos. </w:t>
      </w:r>
      <w:r w:rsidRPr="00803D6A" w:rsidR="00BC5279">
        <w:rPr>
          <w:rFonts w:ascii="Arial" w:hAnsi="Arial" w:eastAsia="Calibri" w:cs="Arial"/>
          <w:color w:val="000000" w:themeColor="text1"/>
          <w:sz w:val="22"/>
          <w:lang w:val="es-CO"/>
        </w:rPr>
        <w:t xml:space="preserve">2201913000005596 </w:t>
      </w:r>
      <w:r w:rsidRPr="00803D6A">
        <w:rPr>
          <w:rFonts w:ascii="Arial" w:hAnsi="Arial" w:eastAsia="Calibri" w:cs="Arial"/>
          <w:color w:val="000000" w:themeColor="text1"/>
          <w:sz w:val="22"/>
          <w:lang w:val="es-CO"/>
        </w:rPr>
        <w:t xml:space="preserve">y </w:t>
      </w:r>
      <w:r w:rsidRPr="00803D6A" w:rsidR="004758FE">
        <w:rPr>
          <w:rFonts w:ascii="Arial" w:hAnsi="Arial" w:eastAsia="Calibri" w:cs="Arial"/>
          <w:color w:val="000000" w:themeColor="text1"/>
          <w:sz w:val="22"/>
          <w:lang w:val="es-CO"/>
        </w:rPr>
        <w:t>2201913000006007</w:t>
      </w:r>
      <w:r w:rsidRPr="00803D6A" w:rsidR="00B5123E">
        <w:rPr>
          <w:rFonts w:ascii="Arial" w:hAnsi="Arial" w:eastAsia="Calibri" w:cs="Arial"/>
          <w:color w:val="000000" w:themeColor="text1"/>
          <w:sz w:val="22"/>
          <w:lang w:val="es-CO"/>
        </w:rPr>
        <w:t>–</w:t>
      </w:r>
      <w:r w:rsidRPr="00803D6A">
        <w:rPr>
          <w:rFonts w:ascii="Arial" w:hAnsi="Arial" w:eastAsia="Calibri" w:cs="Arial"/>
          <w:color w:val="000000" w:themeColor="text1"/>
          <w:sz w:val="22"/>
          <w:lang w:val="es-CO"/>
        </w:rPr>
        <w:t xml:space="preserve"> y, recientemente en </w:t>
      </w:r>
      <w:r w:rsidRPr="00803D6A" w:rsidR="002F63BB">
        <w:rPr>
          <w:rFonts w:ascii="Arial" w:hAnsi="Arial" w:eastAsia="Calibri" w:cs="Arial"/>
          <w:color w:val="000000" w:themeColor="text1"/>
          <w:sz w:val="22"/>
          <w:lang w:val="es-CO"/>
        </w:rPr>
        <w:t xml:space="preserve">los </w:t>
      </w:r>
      <w:r w:rsidR="003D175E">
        <w:rPr>
          <w:rFonts w:ascii="Arial" w:hAnsi="Arial" w:eastAsia="Calibri" w:cs="Arial"/>
          <w:color w:val="000000" w:themeColor="text1"/>
          <w:sz w:val="22"/>
          <w:lang w:val="es-CO"/>
        </w:rPr>
        <w:t>C</w:t>
      </w:r>
      <w:r w:rsidRPr="00803D6A">
        <w:rPr>
          <w:rFonts w:ascii="Arial" w:hAnsi="Arial" w:eastAsia="Calibri" w:cs="Arial"/>
          <w:color w:val="000000" w:themeColor="text1"/>
          <w:sz w:val="22"/>
          <w:lang w:val="es-CO"/>
        </w:rPr>
        <w:t>oncepto</w:t>
      </w:r>
      <w:r w:rsidRPr="00803D6A" w:rsidR="002F63BB">
        <w:rPr>
          <w:rFonts w:ascii="Arial" w:hAnsi="Arial" w:eastAsia="Calibri" w:cs="Arial"/>
          <w:color w:val="000000" w:themeColor="text1"/>
          <w:sz w:val="22"/>
          <w:lang w:val="es-CO"/>
        </w:rPr>
        <w:t>s</w:t>
      </w:r>
      <w:r w:rsidRPr="00803D6A">
        <w:rPr>
          <w:rFonts w:ascii="Arial" w:hAnsi="Arial" w:eastAsia="Calibri" w:cs="Arial"/>
          <w:color w:val="000000" w:themeColor="text1"/>
          <w:sz w:val="22"/>
          <w:lang w:val="es-CO"/>
        </w:rPr>
        <w:t xml:space="preserve"> </w:t>
      </w:r>
      <w:r w:rsidRPr="00803D6A" w:rsidR="00F7234C">
        <w:rPr>
          <w:rFonts w:ascii="Arial" w:hAnsi="Arial" w:eastAsia="Calibri" w:cs="Arial"/>
          <w:color w:val="000000" w:themeColor="text1"/>
          <w:sz w:val="22"/>
          <w:lang w:val="es-CO"/>
        </w:rPr>
        <w:t>CU-021 de</w:t>
      </w:r>
      <w:r w:rsidR="00F7234C">
        <w:rPr>
          <w:rFonts w:ascii="Arial" w:hAnsi="Arial" w:eastAsia="Calibri" w:cs="Arial"/>
          <w:color w:val="000000" w:themeColor="text1"/>
          <w:sz w:val="22"/>
          <w:lang w:val="es-CO"/>
        </w:rPr>
        <w:t>l 21 de febrero de</w:t>
      </w:r>
      <w:r w:rsidRPr="00803D6A" w:rsidR="00F7234C">
        <w:rPr>
          <w:rFonts w:ascii="Arial" w:hAnsi="Arial" w:eastAsia="Calibri" w:cs="Arial"/>
          <w:color w:val="000000" w:themeColor="text1"/>
          <w:sz w:val="22"/>
          <w:lang w:val="es-CO"/>
        </w:rPr>
        <w:t xml:space="preserve"> 2020</w:t>
      </w:r>
      <w:r w:rsidR="00F7234C">
        <w:rPr>
          <w:rFonts w:ascii="Arial" w:hAnsi="Arial" w:eastAsia="Calibri" w:cs="Arial"/>
          <w:color w:val="000000" w:themeColor="text1"/>
          <w:sz w:val="22"/>
          <w:lang w:val="es-CO"/>
        </w:rPr>
        <w:t>,</w:t>
      </w:r>
      <w:r w:rsidRPr="00803D6A" w:rsidR="00F7234C">
        <w:rPr>
          <w:rFonts w:ascii="Arial" w:hAnsi="Arial" w:eastAsia="Calibri" w:cs="Arial"/>
          <w:color w:val="000000" w:themeColor="text1"/>
          <w:sz w:val="22"/>
          <w:lang w:val="es-CO"/>
        </w:rPr>
        <w:t xml:space="preserve"> </w:t>
      </w:r>
      <w:r w:rsidRPr="00803D6A" w:rsidR="00010D30">
        <w:rPr>
          <w:rFonts w:ascii="Arial" w:hAnsi="Arial" w:eastAsia="Calibri" w:cs="Arial"/>
          <w:color w:val="000000" w:themeColor="text1"/>
          <w:sz w:val="22"/>
          <w:lang w:val="es-CO"/>
        </w:rPr>
        <w:t>C-045</w:t>
      </w:r>
      <w:r w:rsidR="00CB646F">
        <w:rPr>
          <w:rFonts w:ascii="Arial" w:hAnsi="Arial" w:eastAsia="Calibri" w:cs="Arial"/>
          <w:color w:val="000000" w:themeColor="text1"/>
          <w:sz w:val="22"/>
          <w:lang w:val="es-CO"/>
        </w:rPr>
        <w:t xml:space="preserve"> del 17 de marzo de 2020</w:t>
      </w:r>
      <w:r w:rsidRPr="00803D6A" w:rsidR="00010D30">
        <w:rPr>
          <w:rFonts w:ascii="Arial" w:hAnsi="Arial" w:eastAsia="Calibri" w:cs="Arial"/>
          <w:color w:val="000000" w:themeColor="text1"/>
          <w:sz w:val="22"/>
          <w:lang w:val="es-CO"/>
        </w:rPr>
        <w:t xml:space="preserve">, </w:t>
      </w:r>
      <w:r w:rsidRPr="00803D6A" w:rsidR="0086741B">
        <w:rPr>
          <w:rFonts w:ascii="Arial" w:hAnsi="Arial" w:eastAsia="Calibri" w:cs="Arial"/>
          <w:color w:val="000000" w:themeColor="text1"/>
          <w:sz w:val="22"/>
          <w:lang w:val="es-CO"/>
        </w:rPr>
        <w:t>C-050</w:t>
      </w:r>
      <w:r w:rsidR="00CB646F">
        <w:rPr>
          <w:rFonts w:ascii="Arial" w:hAnsi="Arial" w:eastAsia="Calibri" w:cs="Arial"/>
          <w:color w:val="000000" w:themeColor="text1"/>
          <w:sz w:val="22"/>
          <w:lang w:val="es-CO"/>
        </w:rPr>
        <w:t xml:space="preserve"> y </w:t>
      </w:r>
      <w:r w:rsidRPr="00803D6A" w:rsidR="00803061">
        <w:rPr>
          <w:rFonts w:ascii="Arial" w:hAnsi="Arial" w:eastAsia="Calibri" w:cs="Arial"/>
          <w:color w:val="000000" w:themeColor="text1"/>
          <w:sz w:val="22"/>
          <w:lang w:val="es-CO"/>
        </w:rPr>
        <w:t>C-058</w:t>
      </w:r>
      <w:r w:rsidR="00CB646F">
        <w:rPr>
          <w:rFonts w:ascii="Arial" w:hAnsi="Arial" w:eastAsia="Calibri" w:cs="Arial"/>
          <w:color w:val="000000" w:themeColor="text1"/>
          <w:sz w:val="22"/>
          <w:lang w:val="es-CO"/>
        </w:rPr>
        <w:t xml:space="preserve"> del 25 de febrero de 2020</w:t>
      </w:r>
      <w:r w:rsidRPr="00803D6A" w:rsidR="00803061">
        <w:rPr>
          <w:rFonts w:ascii="Arial" w:hAnsi="Arial" w:eastAsia="Calibri" w:cs="Arial"/>
          <w:color w:val="000000" w:themeColor="text1"/>
          <w:sz w:val="22"/>
          <w:lang w:val="es-CO"/>
        </w:rPr>
        <w:t xml:space="preserve">, </w:t>
      </w:r>
      <w:r w:rsidRPr="00803D6A" w:rsidR="00BC6C4E">
        <w:rPr>
          <w:rFonts w:ascii="Arial" w:hAnsi="Arial" w:eastAsia="Calibri" w:cs="Arial"/>
          <w:color w:val="000000" w:themeColor="text1"/>
          <w:sz w:val="22"/>
          <w:lang w:val="es-CO"/>
        </w:rPr>
        <w:t>C-083</w:t>
      </w:r>
      <w:r w:rsidR="00F7234C">
        <w:rPr>
          <w:rFonts w:ascii="Arial" w:hAnsi="Arial" w:eastAsia="Calibri" w:cs="Arial"/>
          <w:color w:val="000000" w:themeColor="text1"/>
          <w:sz w:val="22"/>
          <w:lang w:val="es-CO"/>
        </w:rPr>
        <w:t xml:space="preserve"> del 11 de marzo de 2020, </w:t>
      </w:r>
      <w:r w:rsidRPr="00803D6A" w:rsidR="00632EA5">
        <w:rPr>
          <w:rFonts w:ascii="Arial" w:hAnsi="Arial" w:eastAsia="Calibri" w:cs="Arial"/>
          <w:color w:val="000000" w:themeColor="text1"/>
          <w:sz w:val="22"/>
          <w:lang w:val="es-CO"/>
        </w:rPr>
        <w:t>C-092</w:t>
      </w:r>
      <w:r w:rsidR="00F7234C">
        <w:rPr>
          <w:rFonts w:ascii="Arial" w:hAnsi="Arial" w:eastAsia="Calibri" w:cs="Arial"/>
          <w:color w:val="000000" w:themeColor="text1"/>
          <w:sz w:val="22"/>
          <w:lang w:val="es-CO"/>
        </w:rPr>
        <w:t xml:space="preserve"> del 4 de marzo de 2020, </w:t>
      </w:r>
      <w:r w:rsidRPr="00F7234C" w:rsidR="00F7234C">
        <w:rPr>
          <w:rFonts w:ascii="Arial" w:hAnsi="Arial" w:eastAsia="Calibri" w:cs="Arial"/>
          <w:color w:val="000000" w:themeColor="text1"/>
          <w:sz w:val="22"/>
          <w:lang w:val="es-CO"/>
        </w:rPr>
        <w:t>C-162</w:t>
      </w:r>
      <w:r w:rsidR="00F7234C">
        <w:rPr>
          <w:rFonts w:ascii="Arial" w:hAnsi="Arial" w:eastAsia="Calibri" w:cs="Arial"/>
          <w:color w:val="000000" w:themeColor="text1"/>
          <w:sz w:val="22"/>
          <w:lang w:val="es-CO"/>
        </w:rPr>
        <w:t xml:space="preserve"> del 16 de abril de 2020, </w:t>
      </w:r>
      <w:r w:rsidRPr="00F7234C" w:rsidR="00F7234C">
        <w:rPr>
          <w:rFonts w:ascii="Arial" w:hAnsi="Arial" w:eastAsia="Calibri" w:cs="Arial"/>
          <w:color w:val="000000" w:themeColor="text1"/>
          <w:sz w:val="22"/>
          <w:lang w:val="es-CO"/>
        </w:rPr>
        <w:t>C-214</w:t>
      </w:r>
      <w:r w:rsidR="00F7234C">
        <w:rPr>
          <w:rFonts w:ascii="Arial" w:hAnsi="Arial" w:eastAsia="Calibri" w:cs="Arial"/>
          <w:color w:val="000000" w:themeColor="text1"/>
          <w:sz w:val="22"/>
          <w:lang w:val="es-CO"/>
        </w:rPr>
        <w:t xml:space="preserve"> del 21 de abril de 2020, </w:t>
      </w:r>
      <w:r w:rsidRPr="00F7234C" w:rsidR="00F7234C">
        <w:rPr>
          <w:rFonts w:ascii="Arial" w:hAnsi="Arial" w:eastAsia="Calibri" w:cs="Arial"/>
          <w:color w:val="000000" w:themeColor="text1"/>
          <w:sz w:val="22"/>
          <w:lang w:val="es-CO"/>
        </w:rPr>
        <w:t>C-252</w:t>
      </w:r>
      <w:r w:rsidR="00F7234C">
        <w:rPr>
          <w:rFonts w:ascii="Arial" w:hAnsi="Arial" w:eastAsia="Calibri" w:cs="Arial"/>
          <w:color w:val="000000" w:themeColor="text1"/>
          <w:sz w:val="22"/>
          <w:lang w:val="es-CO"/>
        </w:rPr>
        <w:t xml:space="preserve"> del 26 de mayo de 2020, </w:t>
      </w:r>
      <w:r w:rsidRPr="00F7234C" w:rsidR="00F7234C">
        <w:rPr>
          <w:rFonts w:ascii="Arial" w:hAnsi="Arial" w:eastAsia="Calibri" w:cs="Arial"/>
          <w:color w:val="000000" w:themeColor="text1"/>
          <w:sz w:val="22"/>
          <w:lang w:val="es-CO"/>
        </w:rPr>
        <w:t>C-258</w:t>
      </w:r>
      <w:r w:rsidR="00F7234C">
        <w:rPr>
          <w:rFonts w:ascii="Arial" w:hAnsi="Arial" w:eastAsia="Calibri" w:cs="Arial"/>
          <w:color w:val="000000" w:themeColor="text1"/>
          <w:sz w:val="22"/>
          <w:lang w:val="es-CO"/>
        </w:rPr>
        <w:t xml:space="preserve"> del 17 de abril de 2020, </w:t>
      </w:r>
      <w:r w:rsidRPr="00F7234C" w:rsidR="00F7234C">
        <w:rPr>
          <w:rFonts w:ascii="Arial" w:hAnsi="Arial" w:eastAsia="Calibri" w:cs="Arial"/>
          <w:color w:val="000000" w:themeColor="text1"/>
          <w:sz w:val="22"/>
          <w:lang w:val="es-CO"/>
        </w:rPr>
        <w:t>C-364</w:t>
      </w:r>
      <w:r w:rsidR="00F7234C">
        <w:rPr>
          <w:rFonts w:ascii="Arial" w:hAnsi="Arial" w:eastAsia="Calibri" w:cs="Arial"/>
          <w:color w:val="000000" w:themeColor="text1"/>
          <w:sz w:val="22"/>
          <w:lang w:val="es-CO"/>
        </w:rPr>
        <w:t xml:space="preserve"> del 4 de junio de 2020, </w:t>
      </w:r>
      <w:r w:rsidRPr="00F7234C" w:rsidR="00F7234C">
        <w:rPr>
          <w:rFonts w:ascii="Arial" w:hAnsi="Arial" w:eastAsia="Calibri" w:cs="Arial"/>
          <w:color w:val="000000" w:themeColor="text1"/>
          <w:sz w:val="22"/>
          <w:lang w:val="es-CO"/>
        </w:rPr>
        <w:t>C-401</w:t>
      </w:r>
      <w:r w:rsidR="00F7234C">
        <w:rPr>
          <w:rFonts w:ascii="Arial" w:hAnsi="Arial" w:eastAsia="Calibri" w:cs="Arial"/>
          <w:color w:val="000000" w:themeColor="text1"/>
          <w:sz w:val="22"/>
          <w:lang w:val="es-CO"/>
        </w:rPr>
        <w:t xml:space="preserve"> del 12 de junio de 2020, </w:t>
      </w:r>
      <w:r w:rsidRPr="00F7234C" w:rsidR="00F7234C">
        <w:rPr>
          <w:rFonts w:ascii="Arial" w:hAnsi="Arial" w:eastAsia="Calibri" w:cs="Arial"/>
          <w:color w:val="000000" w:themeColor="text1"/>
          <w:sz w:val="22"/>
          <w:lang w:val="es-CO"/>
        </w:rPr>
        <w:t>C-413</w:t>
      </w:r>
      <w:r w:rsidR="00F7234C">
        <w:rPr>
          <w:rFonts w:ascii="Arial" w:hAnsi="Arial" w:eastAsia="Calibri" w:cs="Arial"/>
          <w:color w:val="000000" w:themeColor="text1"/>
          <w:sz w:val="22"/>
          <w:lang w:val="es-CO"/>
        </w:rPr>
        <w:t xml:space="preserve"> del 30 de junio de 2020, </w:t>
      </w:r>
      <w:r w:rsidRPr="00F7234C" w:rsidR="00F7234C">
        <w:rPr>
          <w:rFonts w:ascii="Arial" w:hAnsi="Arial" w:eastAsia="Calibri" w:cs="Arial"/>
          <w:color w:val="000000" w:themeColor="text1"/>
          <w:sz w:val="22"/>
          <w:lang w:val="es-CO"/>
        </w:rPr>
        <w:t>C-459</w:t>
      </w:r>
      <w:r w:rsidR="00F7234C">
        <w:rPr>
          <w:rFonts w:ascii="Arial" w:hAnsi="Arial" w:eastAsia="Calibri" w:cs="Arial"/>
          <w:color w:val="000000" w:themeColor="text1"/>
          <w:sz w:val="22"/>
          <w:lang w:val="es-CO"/>
        </w:rPr>
        <w:t xml:space="preserve"> del 28 de julio de 2020, </w:t>
      </w:r>
      <w:r w:rsidRPr="00F7234C" w:rsidR="00F7234C">
        <w:rPr>
          <w:rFonts w:ascii="Arial" w:hAnsi="Arial" w:eastAsia="Calibri" w:cs="Arial"/>
          <w:color w:val="000000" w:themeColor="text1"/>
          <w:sz w:val="22"/>
          <w:lang w:val="es-CO"/>
        </w:rPr>
        <w:t>C-492</w:t>
      </w:r>
      <w:r w:rsidR="00F7234C">
        <w:rPr>
          <w:rFonts w:ascii="Arial" w:hAnsi="Arial" w:eastAsia="Calibri" w:cs="Arial"/>
          <w:color w:val="000000" w:themeColor="text1"/>
          <w:sz w:val="22"/>
          <w:lang w:val="es-CO"/>
        </w:rPr>
        <w:t xml:space="preserve"> del 24 de julio de 2020, </w:t>
      </w:r>
      <w:r w:rsidRPr="00F7234C" w:rsidR="00F7234C">
        <w:rPr>
          <w:rFonts w:ascii="Arial" w:hAnsi="Arial" w:eastAsia="Calibri" w:cs="Arial"/>
          <w:color w:val="000000" w:themeColor="text1"/>
          <w:sz w:val="22"/>
          <w:lang w:val="es-CO"/>
        </w:rPr>
        <w:t>C-523</w:t>
      </w:r>
      <w:r w:rsidR="00F7234C">
        <w:rPr>
          <w:rFonts w:ascii="Arial" w:hAnsi="Arial" w:eastAsia="Calibri" w:cs="Arial"/>
          <w:color w:val="000000" w:themeColor="text1"/>
          <w:sz w:val="22"/>
          <w:lang w:val="es-CO"/>
        </w:rPr>
        <w:t xml:space="preserve"> del 18 de agosto de 2020, </w:t>
      </w:r>
      <w:r w:rsidRPr="00F7234C" w:rsidR="00F7234C">
        <w:rPr>
          <w:rFonts w:ascii="Arial" w:hAnsi="Arial" w:eastAsia="Calibri" w:cs="Arial"/>
          <w:color w:val="000000" w:themeColor="text1"/>
          <w:sz w:val="22"/>
          <w:lang w:val="es-CO"/>
        </w:rPr>
        <w:t>C-583</w:t>
      </w:r>
      <w:r w:rsidR="00F7234C">
        <w:rPr>
          <w:rFonts w:ascii="Arial" w:hAnsi="Arial" w:eastAsia="Calibri" w:cs="Arial"/>
          <w:color w:val="000000" w:themeColor="text1"/>
          <w:sz w:val="22"/>
          <w:lang w:val="es-CO"/>
        </w:rPr>
        <w:t xml:space="preserve"> del 20 de octubre de 2020, </w:t>
      </w:r>
      <w:r w:rsidRPr="00F7234C" w:rsidR="00F7234C">
        <w:rPr>
          <w:rFonts w:ascii="Arial" w:hAnsi="Arial" w:eastAsia="Calibri" w:cs="Arial"/>
          <w:color w:val="000000" w:themeColor="text1"/>
          <w:sz w:val="22"/>
          <w:lang w:val="es-CO"/>
        </w:rPr>
        <w:t>C-610</w:t>
      </w:r>
      <w:r w:rsidR="00F7234C">
        <w:rPr>
          <w:rFonts w:ascii="Arial" w:hAnsi="Arial" w:eastAsia="Calibri" w:cs="Arial"/>
          <w:color w:val="000000" w:themeColor="text1"/>
          <w:sz w:val="22"/>
          <w:lang w:val="es-CO"/>
        </w:rPr>
        <w:t xml:space="preserve"> del 14 de septiembre de 2020</w:t>
      </w:r>
      <w:r w:rsidR="005608B8">
        <w:rPr>
          <w:rFonts w:ascii="Arial" w:hAnsi="Arial" w:eastAsia="Calibri" w:cs="Arial"/>
          <w:color w:val="000000" w:themeColor="text1"/>
          <w:sz w:val="22"/>
          <w:lang w:val="es-CO"/>
        </w:rPr>
        <w:t xml:space="preserve">, </w:t>
      </w:r>
      <w:r w:rsidRPr="00F7234C" w:rsidR="00F7234C">
        <w:rPr>
          <w:rFonts w:ascii="Arial" w:hAnsi="Arial" w:eastAsia="Calibri" w:cs="Arial"/>
          <w:color w:val="000000" w:themeColor="text1"/>
          <w:sz w:val="22"/>
          <w:lang w:val="es-CO"/>
        </w:rPr>
        <w:t>C-651</w:t>
      </w:r>
      <w:r w:rsidR="00F7234C">
        <w:rPr>
          <w:rFonts w:ascii="Arial" w:hAnsi="Arial" w:eastAsia="Calibri" w:cs="Arial"/>
          <w:color w:val="000000" w:themeColor="text1"/>
          <w:sz w:val="22"/>
          <w:lang w:val="es-CO"/>
        </w:rPr>
        <w:t xml:space="preserve"> del 29 de octubre de 2020</w:t>
      </w:r>
      <w:r w:rsidR="005608B8">
        <w:rPr>
          <w:rFonts w:ascii="Arial" w:hAnsi="Arial" w:eastAsia="Calibri" w:cs="Arial"/>
          <w:color w:val="000000" w:themeColor="text1"/>
          <w:sz w:val="22"/>
          <w:lang w:val="es-CO"/>
        </w:rPr>
        <w:t xml:space="preserve"> y C-666 de</w:t>
      </w:r>
      <w:r w:rsidR="008512E9">
        <w:rPr>
          <w:rFonts w:ascii="Arial" w:hAnsi="Arial" w:eastAsia="Calibri" w:cs="Arial"/>
          <w:color w:val="000000" w:themeColor="text1"/>
          <w:sz w:val="22"/>
          <w:lang w:val="es-CO"/>
        </w:rPr>
        <w:t>l 13 de noviembre</w:t>
      </w:r>
      <w:r w:rsidR="005608B8">
        <w:rPr>
          <w:rFonts w:ascii="Arial" w:hAnsi="Arial" w:eastAsia="Calibri" w:cs="Arial"/>
          <w:color w:val="000000" w:themeColor="text1"/>
          <w:sz w:val="22"/>
          <w:lang w:val="es-CO"/>
        </w:rPr>
        <w:t xml:space="preserve"> 2020</w:t>
      </w:r>
      <w:r w:rsidRPr="00803D6A" w:rsidR="00B24E57">
        <w:rPr>
          <w:rFonts w:ascii="Arial" w:hAnsi="Arial" w:eastAsia="Calibri" w:cs="Arial"/>
          <w:color w:val="000000" w:themeColor="text1"/>
          <w:sz w:val="22"/>
          <w:lang w:val="es-CO"/>
        </w:rPr>
        <w:t xml:space="preserve">. </w:t>
      </w:r>
      <w:r w:rsidR="00475D4D">
        <w:rPr>
          <w:rFonts w:ascii="Arial" w:hAnsi="Arial" w:eastAsia="Calibri" w:cs="Arial"/>
          <w:color w:val="000000" w:themeColor="text1"/>
          <w:sz w:val="22"/>
          <w:lang w:val="es-CO"/>
        </w:rPr>
        <w:t>A continuación se reiteran</w:t>
      </w:r>
      <w:r w:rsidR="00736F78">
        <w:rPr>
          <w:rFonts w:ascii="Arial" w:hAnsi="Arial" w:eastAsia="Calibri" w:cs="Arial"/>
          <w:color w:val="000000" w:themeColor="text1"/>
          <w:sz w:val="22"/>
          <w:lang w:val="es-CO"/>
        </w:rPr>
        <w:t>,</w:t>
      </w:r>
      <w:r w:rsidR="00475D4D">
        <w:rPr>
          <w:rFonts w:ascii="Arial" w:hAnsi="Arial" w:eastAsia="Calibri" w:cs="Arial"/>
          <w:color w:val="000000" w:themeColor="text1"/>
          <w:sz w:val="22"/>
          <w:lang w:val="es-CO"/>
        </w:rPr>
        <w:t xml:space="preserve"> </w:t>
      </w:r>
      <w:r w:rsidR="00736F78">
        <w:rPr>
          <w:rFonts w:ascii="Arial" w:hAnsi="Arial" w:eastAsia="Calibri" w:cs="Arial"/>
          <w:color w:val="000000" w:themeColor="text1"/>
          <w:sz w:val="22"/>
          <w:lang w:val="es-CO"/>
        </w:rPr>
        <w:t>en lo pertinente, las</w:t>
      </w:r>
      <w:r w:rsidRPr="00803D6A" w:rsidR="00B24E57">
        <w:rPr>
          <w:rFonts w:ascii="Arial" w:hAnsi="Arial" w:eastAsia="Calibri" w:cs="Arial"/>
          <w:color w:val="000000" w:themeColor="text1"/>
          <w:sz w:val="22"/>
          <w:lang w:val="es-CO"/>
        </w:rPr>
        <w:t xml:space="preserve"> tesi</w:t>
      </w:r>
      <w:r w:rsidR="00535E7D">
        <w:rPr>
          <w:rFonts w:ascii="Arial" w:hAnsi="Arial" w:eastAsia="Calibri" w:cs="Arial"/>
          <w:color w:val="000000" w:themeColor="text1"/>
          <w:sz w:val="22"/>
          <w:lang w:val="es-CO"/>
        </w:rPr>
        <w:t>s</w:t>
      </w:r>
      <w:r w:rsidRPr="00803D6A" w:rsidR="00B24E57">
        <w:rPr>
          <w:rFonts w:ascii="Arial" w:hAnsi="Arial" w:eastAsia="Calibri" w:cs="Arial"/>
          <w:color w:val="000000" w:themeColor="text1"/>
          <w:sz w:val="22"/>
          <w:lang w:val="es-CO"/>
        </w:rPr>
        <w:t xml:space="preserve"> </w:t>
      </w:r>
      <w:r w:rsidR="00736F78">
        <w:rPr>
          <w:rFonts w:ascii="Arial" w:hAnsi="Arial" w:eastAsia="Calibri" w:cs="Arial"/>
          <w:color w:val="000000" w:themeColor="text1"/>
          <w:sz w:val="22"/>
          <w:lang w:val="es-CO"/>
        </w:rPr>
        <w:t>expuestas en los conceptos mencionados.</w:t>
      </w:r>
    </w:p>
    <w:p w:rsidRPr="00803D6A" w:rsidR="00DD0E98" w:rsidP="008C487C" w:rsidRDefault="00DD0E98" w14:paraId="55E3C9FF" w14:textId="1EC9104F">
      <w:pPr>
        <w:spacing w:line="276" w:lineRule="auto"/>
        <w:jc w:val="both"/>
        <w:rPr>
          <w:rFonts w:ascii="Arial" w:hAnsi="Arial" w:eastAsia="Calibri" w:cs="Arial"/>
          <w:color w:val="000000" w:themeColor="text1"/>
          <w:sz w:val="22"/>
          <w:lang w:val="es-CO"/>
        </w:rPr>
      </w:pPr>
    </w:p>
    <w:p w:rsidRPr="00803D6A" w:rsidR="00DD0E98" w:rsidP="008C487C" w:rsidRDefault="00DD0E98" w14:paraId="228363EB" w14:textId="030B335F">
      <w:pPr>
        <w:spacing w:line="276" w:lineRule="auto"/>
        <w:jc w:val="both"/>
        <w:rPr>
          <w:rFonts w:ascii="Arial" w:hAnsi="Arial" w:eastAsia="Calibri" w:cs="Arial"/>
          <w:b/>
          <w:bCs/>
          <w:color w:val="000000" w:themeColor="text1"/>
          <w:sz w:val="22"/>
          <w:lang w:val="es-CO"/>
        </w:rPr>
      </w:pPr>
      <w:r w:rsidRPr="00803D6A">
        <w:rPr>
          <w:rFonts w:ascii="Arial" w:hAnsi="Arial" w:eastAsia="Calibri" w:cs="Arial"/>
          <w:b/>
          <w:bCs/>
          <w:color w:val="000000" w:themeColor="text1"/>
          <w:sz w:val="22"/>
          <w:lang w:val="es-CO"/>
        </w:rPr>
        <w:t>2.1. Limitación de los procesos contractuales a Mipymes</w:t>
      </w:r>
    </w:p>
    <w:p w:rsidRPr="00803D6A" w:rsidR="008E4F25" w:rsidP="00AE3AE4" w:rsidRDefault="008E4F25" w14:paraId="2BCBAA44" w14:textId="77777777">
      <w:pPr>
        <w:spacing w:line="276" w:lineRule="auto"/>
        <w:jc w:val="both"/>
        <w:rPr>
          <w:rFonts w:ascii="Arial" w:hAnsi="Arial" w:eastAsia="Calibri" w:cs="Arial"/>
          <w:color w:val="000000" w:themeColor="text1"/>
          <w:sz w:val="22"/>
          <w:lang w:val="es-CO"/>
        </w:rPr>
      </w:pPr>
    </w:p>
    <w:p w:rsidRPr="00803D6A" w:rsidR="008C487C" w:rsidP="00692292" w:rsidRDefault="008C487C" w14:paraId="389827ED" w14:textId="185799B5">
      <w:pPr>
        <w:spacing w:line="276" w:lineRule="auto"/>
        <w:jc w:val="both"/>
        <w:rPr>
          <w:rFonts w:ascii="Arial" w:hAnsi="Arial" w:cs="Arial"/>
          <w:color w:val="000000" w:themeColor="text1"/>
          <w:sz w:val="22"/>
          <w:lang w:val="es-CO"/>
        </w:rPr>
      </w:pPr>
      <w:r w:rsidRPr="00803D6A">
        <w:rPr>
          <w:rFonts w:ascii="Arial" w:hAnsi="Arial" w:cs="Arial"/>
          <w:color w:val="000000" w:themeColor="text1"/>
          <w:sz w:val="22"/>
          <w:lang w:val="es-CO"/>
        </w:rPr>
        <w:t xml:space="preserve">Según el artículo 2 de </w:t>
      </w:r>
      <w:r w:rsidR="00144F90">
        <w:rPr>
          <w:rFonts w:ascii="Arial" w:hAnsi="Arial" w:cs="Arial"/>
          <w:color w:val="000000" w:themeColor="text1"/>
          <w:sz w:val="22"/>
          <w:lang w:val="es-CO"/>
        </w:rPr>
        <w:t>l</w:t>
      </w:r>
      <w:r w:rsidRPr="00803D6A">
        <w:rPr>
          <w:rFonts w:ascii="Arial" w:hAnsi="Arial" w:cs="Arial"/>
          <w:color w:val="000000" w:themeColor="text1"/>
          <w:sz w:val="22"/>
          <w:lang w:val="es-CO"/>
        </w:rPr>
        <w:t>a Ley 905 de 2004</w:t>
      </w:r>
      <w:r w:rsidRPr="00803D6A">
        <w:rPr>
          <w:rStyle w:val="Refdenotaalpie"/>
          <w:rFonts w:ascii="Arial" w:hAnsi="Arial" w:cs="Arial"/>
          <w:color w:val="000000" w:themeColor="text1"/>
          <w:sz w:val="22"/>
          <w:lang w:val="es-CO"/>
        </w:rPr>
        <w:footnoteReference w:id="1"/>
      </w:r>
      <w:r w:rsidRPr="00803D6A">
        <w:rPr>
          <w:rFonts w:ascii="Arial" w:hAnsi="Arial" w:cs="Arial"/>
          <w:color w:val="000000" w:themeColor="text1"/>
          <w:sz w:val="22"/>
          <w:lang w:val="es-CO"/>
        </w:rPr>
        <w:t>, que modificó la Ley 590 de 2000, la Micro, Pequeña y Mediana Empresa ─Mipyme─ es una «unidad de explotación económica, realizada por personas natural[es] o jurídica[s], en actividades empresariales, agropecuarias, industriales, comerciales o de servicios, rural o urbana», siempre que cumpla</w:t>
      </w:r>
      <w:r w:rsidR="00FD15DE">
        <w:rPr>
          <w:rFonts w:ascii="Arial" w:hAnsi="Arial" w:cs="Arial"/>
          <w:color w:val="000000" w:themeColor="text1"/>
          <w:sz w:val="22"/>
          <w:lang w:val="es-CO"/>
        </w:rPr>
        <w:t>n</w:t>
      </w:r>
      <w:r w:rsidRPr="00803D6A">
        <w:rPr>
          <w:rFonts w:ascii="Arial" w:hAnsi="Arial" w:cs="Arial"/>
          <w:color w:val="000000" w:themeColor="text1"/>
          <w:sz w:val="22"/>
          <w:lang w:val="es-CO"/>
        </w:rPr>
        <w:t xml:space="preserve"> las dos condiciones requeridas en el mismo artículo, relacionadas con el número de trabajadores que hacen parte de su planta de personal y sus activos totales. </w:t>
      </w:r>
    </w:p>
    <w:p w:rsidR="004A32A4" w:rsidP="00E72F13" w:rsidRDefault="00E72F13" w14:paraId="40097B00" w14:textId="77777777">
      <w:pPr>
        <w:spacing w:before="120" w:line="276" w:lineRule="auto"/>
        <w:ind w:firstLine="709"/>
        <w:jc w:val="both"/>
        <w:rPr>
          <w:rFonts w:ascii="Arial" w:hAnsi="Arial" w:eastAsia="Arial" w:cs="Arial"/>
          <w:color w:val="000000"/>
          <w:sz w:val="22"/>
        </w:rPr>
      </w:pPr>
      <w:r w:rsidRPr="00342184">
        <w:rPr>
          <w:rFonts w:ascii="Arial" w:hAnsi="Arial" w:eastAsia="Arial" w:cs="Arial"/>
          <w:color w:val="000000"/>
          <w:sz w:val="22"/>
        </w:rPr>
        <w:t xml:space="preserve">En ese sentido, </w:t>
      </w:r>
      <w:r>
        <w:rPr>
          <w:rFonts w:ascii="Arial" w:hAnsi="Arial" w:eastAsia="Arial" w:cs="Arial"/>
          <w:color w:val="000000"/>
          <w:sz w:val="22"/>
        </w:rPr>
        <w:t xml:space="preserve">el artículo </w:t>
      </w:r>
      <w:r w:rsidRPr="008B50CA">
        <w:rPr>
          <w:rFonts w:ascii="Arial" w:hAnsi="Arial" w:eastAsia="Arial" w:cs="Arial"/>
          <w:color w:val="000000"/>
          <w:sz w:val="22"/>
        </w:rPr>
        <w:t xml:space="preserve">2.2.1.13.2.2. </w:t>
      </w:r>
      <w:r>
        <w:rPr>
          <w:rFonts w:ascii="Arial" w:hAnsi="Arial" w:eastAsia="Arial" w:cs="Arial"/>
          <w:color w:val="000000"/>
          <w:sz w:val="22"/>
        </w:rPr>
        <w:t xml:space="preserve">del Decreto 1074 de 2015, adicionado por el Decreto 957 de 2019, </w:t>
      </w:r>
      <w:r w:rsidRPr="00342184">
        <w:rPr>
          <w:rFonts w:ascii="Arial" w:hAnsi="Arial" w:eastAsia="Arial" w:cs="Arial"/>
          <w:color w:val="000000"/>
          <w:sz w:val="22"/>
        </w:rPr>
        <w:t>dispone que: i) la mediana empresa</w:t>
      </w:r>
      <w:r>
        <w:rPr>
          <w:rFonts w:ascii="Arial" w:hAnsi="Arial" w:eastAsia="Arial" w:cs="Arial"/>
          <w:color w:val="000000"/>
          <w:sz w:val="22"/>
        </w:rPr>
        <w:t>, en el sector manufacturero,</w:t>
      </w:r>
      <w:r w:rsidRPr="00342184">
        <w:rPr>
          <w:rFonts w:ascii="Arial" w:hAnsi="Arial" w:eastAsia="Arial" w:cs="Arial"/>
          <w:color w:val="000000"/>
          <w:sz w:val="22"/>
        </w:rPr>
        <w:t xml:space="preserve"> es aquella que tiene</w:t>
      </w:r>
      <w:r>
        <w:rPr>
          <w:rFonts w:ascii="Arial" w:hAnsi="Arial" w:eastAsia="Arial" w:cs="Arial"/>
          <w:color w:val="000000"/>
          <w:sz w:val="22"/>
        </w:rPr>
        <w:t xml:space="preserve"> «</w:t>
      </w:r>
      <w:r w:rsidRPr="003241F3">
        <w:rPr>
          <w:rFonts w:ascii="Arial" w:hAnsi="Arial" w:eastAsia="Arial" w:cs="Arial"/>
          <w:color w:val="000000"/>
          <w:sz w:val="22"/>
        </w:rPr>
        <w:t>ingresos por actividades ordinarias anuales sean</w:t>
      </w:r>
      <w:r>
        <w:rPr>
          <w:rFonts w:ascii="Arial" w:hAnsi="Arial" w:eastAsia="Arial" w:cs="Arial"/>
          <w:color w:val="000000"/>
          <w:sz w:val="22"/>
        </w:rPr>
        <w:t xml:space="preserve"> </w:t>
      </w:r>
      <w:r w:rsidRPr="003241F3">
        <w:rPr>
          <w:rFonts w:ascii="Arial" w:hAnsi="Arial" w:eastAsia="Arial" w:cs="Arial"/>
          <w:color w:val="000000"/>
          <w:sz w:val="22"/>
        </w:rPr>
        <w:t>superiores a doscientos cuatro mil novecientos noventa y cinco Unidades Valor</w:t>
      </w:r>
      <w:r>
        <w:rPr>
          <w:rFonts w:ascii="Arial" w:hAnsi="Arial" w:eastAsia="Arial" w:cs="Arial"/>
          <w:color w:val="000000"/>
          <w:sz w:val="22"/>
        </w:rPr>
        <w:t>», en el sector servicios, la que sus «</w:t>
      </w:r>
      <w:r w:rsidRPr="003241F3">
        <w:rPr>
          <w:rFonts w:ascii="Arial" w:hAnsi="Arial" w:eastAsia="Arial" w:cs="Arial"/>
          <w:color w:val="000000"/>
          <w:sz w:val="22"/>
        </w:rPr>
        <w:t>ingresos por actividades ordinarias anuales sean</w:t>
      </w:r>
      <w:r>
        <w:rPr>
          <w:rFonts w:ascii="Arial" w:hAnsi="Arial" w:eastAsia="Arial" w:cs="Arial"/>
          <w:color w:val="000000"/>
          <w:sz w:val="22"/>
        </w:rPr>
        <w:t xml:space="preserve"> </w:t>
      </w:r>
      <w:r w:rsidRPr="003241F3">
        <w:rPr>
          <w:rFonts w:ascii="Arial" w:hAnsi="Arial" w:eastAsia="Arial" w:cs="Arial"/>
          <w:color w:val="000000"/>
          <w:sz w:val="22"/>
        </w:rPr>
        <w:t>superiores a ciento treinta y un mil novecientos cincuenta y un Unidades de Valor</w:t>
      </w:r>
      <w:r>
        <w:rPr>
          <w:rFonts w:ascii="Arial" w:hAnsi="Arial" w:eastAsia="Arial" w:cs="Arial"/>
          <w:color w:val="000000"/>
          <w:sz w:val="22"/>
        </w:rPr>
        <w:t xml:space="preserve"> </w:t>
      </w:r>
      <w:r w:rsidRPr="003241F3">
        <w:rPr>
          <w:rFonts w:ascii="Arial" w:hAnsi="Arial" w:eastAsia="Arial" w:cs="Arial"/>
          <w:color w:val="000000"/>
          <w:sz w:val="22"/>
        </w:rPr>
        <w:t>Tributario (131.951 UVT) e inferiores o iguales a cuatrocientos ochenta y mil treinta</w:t>
      </w:r>
      <w:r>
        <w:rPr>
          <w:rFonts w:ascii="Arial" w:hAnsi="Arial" w:eastAsia="Arial" w:cs="Arial"/>
          <w:color w:val="000000"/>
          <w:sz w:val="22"/>
        </w:rPr>
        <w:t xml:space="preserve"> </w:t>
      </w:r>
      <w:r w:rsidRPr="003241F3">
        <w:rPr>
          <w:rFonts w:ascii="Arial" w:hAnsi="Arial" w:eastAsia="Arial" w:cs="Arial"/>
          <w:color w:val="000000"/>
          <w:sz w:val="22"/>
        </w:rPr>
        <w:t>y cuatro Unidades Valor Tributario (483.034 UVT)</w:t>
      </w:r>
      <w:r>
        <w:rPr>
          <w:rFonts w:ascii="Arial" w:hAnsi="Arial" w:eastAsia="Arial" w:cs="Arial"/>
          <w:color w:val="000000"/>
          <w:sz w:val="22"/>
        </w:rPr>
        <w:t>», y en el sector comercio, la que sus «</w:t>
      </w:r>
      <w:r w:rsidRPr="003241F3">
        <w:rPr>
          <w:rFonts w:ascii="Arial" w:hAnsi="Arial" w:eastAsia="Arial" w:cs="Arial"/>
          <w:color w:val="000000"/>
          <w:sz w:val="22"/>
        </w:rPr>
        <w:t>ingresos por actividades ordinarias anuales sean</w:t>
      </w:r>
      <w:r>
        <w:rPr>
          <w:rFonts w:ascii="Arial" w:hAnsi="Arial" w:eastAsia="Arial" w:cs="Arial"/>
          <w:color w:val="000000"/>
          <w:sz w:val="22"/>
        </w:rPr>
        <w:t xml:space="preserve"> </w:t>
      </w:r>
      <w:r w:rsidRPr="003241F3">
        <w:rPr>
          <w:rFonts w:ascii="Arial" w:hAnsi="Arial" w:eastAsia="Arial" w:cs="Arial"/>
          <w:color w:val="000000"/>
          <w:sz w:val="22"/>
        </w:rPr>
        <w:t>superiores a cuatrocientos treinta y un mil ciento noventa y seis Unidades de Valor</w:t>
      </w:r>
      <w:r>
        <w:rPr>
          <w:rFonts w:ascii="Arial" w:hAnsi="Arial" w:eastAsia="Arial" w:cs="Arial"/>
          <w:color w:val="000000"/>
          <w:sz w:val="22"/>
        </w:rPr>
        <w:t xml:space="preserve"> </w:t>
      </w:r>
      <w:r w:rsidRPr="003241F3">
        <w:rPr>
          <w:rFonts w:ascii="Arial" w:hAnsi="Arial" w:eastAsia="Arial" w:cs="Arial"/>
          <w:color w:val="000000"/>
          <w:sz w:val="22"/>
        </w:rPr>
        <w:t>Tributario (431.196 UVT) e inferiores o iguales a dos millones ciento sesenta mil</w:t>
      </w:r>
      <w:r>
        <w:rPr>
          <w:rFonts w:ascii="Arial" w:hAnsi="Arial" w:eastAsia="Arial" w:cs="Arial"/>
          <w:color w:val="000000"/>
          <w:sz w:val="22"/>
        </w:rPr>
        <w:t xml:space="preserve"> </w:t>
      </w:r>
      <w:r w:rsidRPr="003241F3">
        <w:rPr>
          <w:rFonts w:ascii="Arial" w:hAnsi="Arial" w:eastAsia="Arial" w:cs="Arial"/>
          <w:color w:val="000000"/>
          <w:sz w:val="22"/>
        </w:rPr>
        <w:t>seiscientos noventa y dos Unidades de Valor Tributario (2'160.692 UVT)</w:t>
      </w:r>
      <w:r>
        <w:rPr>
          <w:rFonts w:ascii="Arial" w:hAnsi="Arial" w:eastAsia="Arial" w:cs="Arial"/>
          <w:color w:val="000000"/>
          <w:sz w:val="22"/>
        </w:rPr>
        <w:t>»</w:t>
      </w:r>
      <w:r w:rsidR="004A32A4">
        <w:rPr>
          <w:rFonts w:ascii="Arial" w:hAnsi="Arial" w:eastAsia="Arial" w:cs="Arial"/>
          <w:color w:val="000000"/>
          <w:sz w:val="22"/>
        </w:rPr>
        <w:t>.</w:t>
      </w:r>
    </w:p>
    <w:p w:rsidR="004A32A4" w:rsidP="00E72F13" w:rsidRDefault="004A32A4" w14:paraId="569E0645" w14:textId="73B0793C">
      <w:pPr>
        <w:spacing w:before="120" w:line="276" w:lineRule="auto"/>
        <w:ind w:firstLine="709"/>
        <w:jc w:val="both"/>
        <w:rPr>
          <w:rFonts w:ascii="Arial" w:hAnsi="Arial" w:eastAsia="Arial" w:cs="Arial"/>
          <w:color w:val="000000"/>
          <w:sz w:val="22"/>
        </w:rPr>
      </w:pPr>
      <w:r>
        <w:rPr>
          <w:rFonts w:ascii="Arial" w:hAnsi="Arial" w:eastAsia="Arial" w:cs="Arial"/>
          <w:color w:val="000000"/>
          <w:sz w:val="22"/>
        </w:rPr>
        <w:t>Por otra parte,</w:t>
      </w:r>
      <w:r w:rsidRPr="00342184" w:rsidR="00E72F13">
        <w:rPr>
          <w:rFonts w:ascii="Arial" w:hAnsi="Arial" w:eastAsia="Arial" w:cs="Arial"/>
          <w:color w:val="000000"/>
          <w:sz w:val="22"/>
        </w:rPr>
        <w:t xml:space="preserve"> ii) la pequeña empresa </w:t>
      </w:r>
      <w:r w:rsidR="00E72F13">
        <w:rPr>
          <w:rFonts w:ascii="Arial" w:hAnsi="Arial" w:eastAsia="Arial" w:cs="Arial"/>
          <w:color w:val="000000"/>
          <w:sz w:val="22"/>
        </w:rPr>
        <w:t>en el sector manufacturero,</w:t>
      </w:r>
      <w:r w:rsidRPr="00342184" w:rsidR="00E72F13">
        <w:rPr>
          <w:rFonts w:ascii="Arial" w:hAnsi="Arial" w:eastAsia="Arial" w:cs="Arial"/>
          <w:color w:val="000000"/>
          <w:sz w:val="22"/>
        </w:rPr>
        <w:t xml:space="preserve"> es aquella que tiene</w:t>
      </w:r>
      <w:r w:rsidR="00E72F13">
        <w:rPr>
          <w:rFonts w:ascii="Arial" w:hAnsi="Arial" w:eastAsia="Arial" w:cs="Arial"/>
          <w:color w:val="000000"/>
          <w:sz w:val="22"/>
        </w:rPr>
        <w:t xml:space="preserve"> «</w:t>
      </w:r>
      <w:r w:rsidRPr="003241F3" w:rsidR="00E72F13">
        <w:rPr>
          <w:rFonts w:ascii="Arial" w:hAnsi="Arial" w:eastAsia="Arial" w:cs="Arial"/>
          <w:color w:val="000000"/>
          <w:sz w:val="22"/>
        </w:rPr>
        <w:t>ingresos por actividades ordinarias anuales sean</w:t>
      </w:r>
      <w:r w:rsidR="00E72F13">
        <w:rPr>
          <w:rFonts w:ascii="Arial" w:hAnsi="Arial" w:eastAsia="Arial" w:cs="Arial"/>
          <w:color w:val="000000"/>
          <w:sz w:val="22"/>
        </w:rPr>
        <w:t xml:space="preserve"> </w:t>
      </w:r>
      <w:r w:rsidRPr="003241F3" w:rsidR="00E72F13">
        <w:rPr>
          <w:rFonts w:ascii="Arial" w:hAnsi="Arial" w:eastAsia="Arial" w:cs="Arial"/>
          <w:color w:val="000000"/>
          <w:sz w:val="22"/>
        </w:rPr>
        <w:t>superiores a veintitrés mil quinientos sesenta y Unidades de Valor Tributario (23.563</w:t>
      </w:r>
      <w:r w:rsidR="00E72F13">
        <w:rPr>
          <w:rFonts w:ascii="Arial" w:hAnsi="Arial" w:eastAsia="Arial" w:cs="Arial"/>
          <w:color w:val="000000"/>
          <w:sz w:val="22"/>
        </w:rPr>
        <w:t xml:space="preserve"> </w:t>
      </w:r>
      <w:r w:rsidRPr="003241F3" w:rsidR="00E72F13">
        <w:rPr>
          <w:rFonts w:ascii="Arial" w:hAnsi="Arial" w:eastAsia="Arial" w:cs="Arial"/>
          <w:color w:val="000000"/>
          <w:sz w:val="22"/>
        </w:rPr>
        <w:t>UVT) e inferiores o iguales a doscientos cuatro mil novecientos noventa y cinco Unidades</w:t>
      </w:r>
      <w:r w:rsidR="00E72F13">
        <w:rPr>
          <w:rFonts w:ascii="Arial" w:hAnsi="Arial" w:eastAsia="Arial" w:cs="Arial"/>
          <w:color w:val="000000"/>
          <w:sz w:val="22"/>
        </w:rPr>
        <w:t xml:space="preserve"> </w:t>
      </w:r>
      <w:r w:rsidRPr="003241F3" w:rsidR="00E72F13">
        <w:rPr>
          <w:rFonts w:ascii="Arial" w:hAnsi="Arial" w:eastAsia="Arial" w:cs="Arial"/>
          <w:color w:val="000000"/>
          <w:sz w:val="22"/>
        </w:rPr>
        <w:t>de Valor Tributario (204.995 UVT)</w:t>
      </w:r>
      <w:r w:rsidR="00E72F13">
        <w:rPr>
          <w:rFonts w:ascii="Arial" w:hAnsi="Arial" w:eastAsia="Arial" w:cs="Arial"/>
          <w:color w:val="000000"/>
          <w:sz w:val="22"/>
        </w:rPr>
        <w:t>», en el sector servicios, la que sus «</w:t>
      </w:r>
      <w:r w:rsidRPr="003241F3" w:rsidR="00E72F13">
        <w:rPr>
          <w:rFonts w:ascii="Arial" w:hAnsi="Arial" w:eastAsia="Arial" w:cs="Arial"/>
          <w:color w:val="000000"/>
          <w:sz w:val="22"/>
        </w:rPr>
        <w:t>ingresos por actividades ordinarias anuales sean</w:t>
      </w:r>
      <w:r w:rsidR="00E72F13">
        <w:rPr>
          <w:rFonts w:ascii="Arial" w:hAnsi="Arial" w:eastAsia="Arial" w:cs="Arial"/>
          <w:color w:val="000000"/>
          <w:sz w:val="22"/>
        </w:rPr>
        <w:t xml:space="preserve"> </w:t>
      </w:r>
      <w:r w:rsidRPr="003241F3" w:rsidR="00E72F13">
        <w:rPr>
          <w:rFonts w:ascii="Arial" w:hAnsi="Arial" w:eastAsia="Arial" w:cs="Arial"/>
          <w:color w:val="000000"/>
          <w:sz w:val="22"/>
        </w:rPr>
        <w:t>superiores a treinta</w:t>
      </w:r>
      <w:r w:rsidR="00D33C8B">
        <w:rPr>
          <w:rFonts w:ascii="Arial" w:hAnsi="Arial" w:eastAsia="Arial" w:cs="Arial"/>
          <w:color w:val="000000"/>
          <w:sz w:val="22"/>
        </w:rPr>
        <w:t xml:space="preserve"> y dos</w:t>
      </w:r>
      <w:r w:rsidRPr="003241F3" w:rsidR="00E72F13">
        <w:rPr>
          <w:rFonts w:ascii="Arial" w:hAnsi="Arial" w:eastAsia="Arial" w:cs="Arial"/>
          <w:color w:val="000000"/>
          <w:sz w:val="22"/>
        </w:rPr>
        <w:t xml:space="preserve"> mil novecientos ochenta y ocho Unidades Valor Tributario</w:t>
      </w:r>
      <w:r w:rsidR="00E72F13">
        <w:rPr>
          <w:rFonts w:ascii="Arial" w:hAnsi="Arial" w:eastAsia="Arial" w:cs="Arial"/>
          <w:color w:val="000000"/>
          <w:sz w:val="22"/>
        </w:rPr>
        <w:t xml:space="preserve"> </w:t>
      </w:r>
      <w:r w:rsidRPr="003241F3" w:rsidR="00E72F13">
        <w:rPr>
          <w:rFonts w:ascii="Arial" w:hAnsi="Arial" w:eastAsia="Arial" w:cs="Arial"/>
          <w:color w:val="000000"/>
          <w:sz w:val="22"/>
        </w:rPr>
        <w:t>(32.988 UVT) e inferiores o iguales a ciento treinta y un mil novecientos cincuenta y uno</w:t>
      </w:r>
      <w:r w:rsidR="00E72F13">
        <w:rPr>
          <w:rFonts w:ascii="Arial" w:hAnsi="Arial" w:eastAsia="Arial" w:cs="Arial"/>
          <w:color w:val="000000"/>
          <w:sz w:val="22"/>
        </w:rPr>
        <w:t xml:space="preserve"> </w:t>
      </w:r>
      <w:r w:rsidRPr="003241F3" w:rsidR="00E72F13">
        <w:rPr>
          <w:rFonts w:ascii="Arial" w:hAnsi="Arial" w:eastAsia="Arial" w:cs="Arial"/>
          <w:color w:val="000000"/>
          <w:sz w:val="22"/>
        </w:rPr>
        <w:t>Unidades Valor Tributario (131 1 UVT)</w:t>
      </w:r>
      <w:r w:rsidR="00E72F13">
        <w:rPr>
          <w:rFonts w:ascii="Arial" w:hAnsi="Arial" w:eastAsia="Arial" w:cs="Arial"/>
          <w:color w:val="000000"/>
          <w:sz w:val="22"/>
        </w:rPr>
        <w:t>», y en el sector comercio, la que sus «</w:t>
      </w:r>
      <w:r w:rsidRPr="003241F3" w:rsidR="00E72F13">
        <w:rPr>
          <w:rFonts w:ascii="Arial" w:hAnsi="Arial" w:eastAsia="Arial" w:cs="Arial"/>
          <w:color w:val="000000"/>
          <w:sz w:val="22"/>
        </w:rPr>
        <w:t>ingresos por actividades ordinarias an sean</w:t>
      </w:r>
      <w:r w:rsidR="00E72F13">
        <w:rPr>
          <w:rFonts w:ascii="Arial" w:hAnsi="Arial" w:eastAsia="Arial" w:cs="Arial"/>
          <w:color w:val="000000"/>
          <w:sz w:val="22"/>
        </w:rPr>
        <w:t xml:space="preserve"> </w:t>
      </w:r>
      <w:r w:rsidRPr="003241F3" w:rsidR="00E72F13">
        <w:rPr>
          <w:rFonts w:ascii="Arial" w:hAnsi="Arial" w:eastAsia="Arial" w:cs="Arial"/>
          <w:color w:val="000000"/>
          <w:sz w:val="22"/>
        </w:rPr>
        <w:t>superiores a y cuatro mil setecientos y nueve Unidades de Valor</w:t>
      </w:r>
      <w:r w:rsidR="00E72F13">
        <w:rPr>
          <w:rFonts w:ascii="Arial" w:hAnsi="Arial" w:eastAsia="Arial" w:cs="Arial"/>
          <w:color w:val="000000"/>
          <w:sz w:val="22"/>
        </w:rPr>
        <w:t xml:space="preserve"> </w:t>
      </w:r>
      <w:r w:rsidRPr="003241F3" w:rsidR="00E72F13">
        <w:rPr>
          <w:rFonts w:ascii="Arial" w:hAnsi="Arial" w:eastAsia="Arial" w:cs="Arial"/>
          <w:color w:val="000000"/>
          <w:sz w:val="22"/>
        </w:rPr>
        <w:t>Tributario (44.769 UVT) e inferiores o iguales a cuatrocientos y un mil ciento</w:t>
      </w:r>
      <w:r w:rsidR="00E72F13">
        <w:rPr>
          <w:rFonts w:ascii="Arial" w:hAnsi="Arial" w:eastAsia="Arial" w:cs="Arial"/>
          <w:color w:val="000000"/>
          <w:sz w:val="22"/>
        </w:rPr>
        <w:t xml:space="preserve"> </w:t>
      </w:r>
      <w:r w:rsidRPr="003241F3" w:rsidR="00E72F13">
        <w:rPr>
          <w:rFonts w:ascii="Arial" w:hAnsi="Arial" w:eastAsia="Arial" w:cs="Arial"/>
          <w:color w:val="000000"/>
          <w:sz w:val="22"/>
        </w:rPr>
        <w:t>noventa y seis Unidades de Valor Tributario (431.196 UVT)</w:t>
      </w:r>
      <w:r w:rsidR="00E72F13">
        <w:rPr>
          <w:rFonts w:ascii="Arial" w:hAnsi="Arial" w:eastAsia="Arial" w:cs="Arial"/>
          <w:color w:val="000000"/>
          <w:sz w:val="22"/>
        </w:rPr>
        <w:t>»</w:t>
      </w:r>
      <w:r>
        <w:rPr>
          <w:rFonts w:ascii="Arial" w:hAnsi="Arial" w:eastAsia="Arial" w:cs="Arial"/>
          <w:color w:val="000000"/>
          <w:sz w:val="22"/>
        </w:rPr>
        <w:t>.</w:t>
      </w:r>
    </w:p>
    <w:p w:rsidRPr="00342184" w:rsidR="00E72F13" w:rsidP="00E72F13" w:rsidRDefault="004A32A4" w14:paraId="0AC3CB9C" w14:textId="1BBED775">
      <w:pPr>
        <w:spacing w:before="120" w:line="276" w:lineRule="auto"/>
        <w:ind w:firstLine="709"/>
        <w:jc w:val="both"/>
        <w:rPr>
          <w:rFonts w:ascii="Arial" w:hAnsi="Arial" w:eastAsia="Arial" w:cs="Arial"/>
          <w:color w:val="000000"/>
          <w:sz w:val="22"/>
        </w:rPr>
      </w:pPr>
      <w:r>
        <w:rPr>
          <w:rFonts w:ascii="Arial" w:hAnsi="Arial" w:eastAsia="Arial" w:cs="Arial"/>
          <w:color w:val="000000"/>
          <w:sz w:val="22"/>
        </w:rPr>
        <w:t>Finalmente,</w:t>
      </w:r>
      <w:r w:rsidRPr="00342184" w:rsidR="00E72F13">
        <w:rPr>
          <w:rFonts w:ascii="Arial" w:hAnsi="Arial" w:eastAsia="Arial" w:cs="Arial"/>
          <w:color w:val="000000"/>
          <w:sz w:val="22"/>
        </w:rPr>
        <w:t xml:space="preserve"> iii) la microempresa </w:t>
      </w:r>
      <w:r w:rsidR="00E72F13">
        <w:rPr>
          <w:rFonts w:ascii="Arial" w:hAnsi="Arial" w:eastAsia="Arial" w:cs="Arial"/>
          <w:color w:val="000000"/>
          <w:sz w:val="22"/>
        </w:rPr>
        <w:t>en el sector manufacturero,</w:t>
      </w:r>
      <w:r w:rsidRPr="00342184" w:rsidR="00E72F13">
        <w:rPr>
          <w:rFonts w:ascii="Arial" w:hAnsi="Arial" w:eastAsia="Arial" w:cs="Arial"/>
          <w:color w:val="000000"/>
          <w:sz w:val="22"/>
        </w:rPr>
        <w:t xml:space="preserve"> es aquella que tiene</w:t>
      </w:r>
      <w:r w:rsidR="00E72F13">
        <w:rPr>
          <w:rFonts w:ascii="Arial" w:hAnsi="Arial" w:eastAsia="Arial" w:cs="Arial"/>
          <w:color w:val="000000"/>
          <w:sz w:val="22"/>
        </w:rPr>
        <w:t xml:space="preserve"> «</w:t>
      </w:r>
      <w:r w:rsidRPr="008B50CA" w:rsidR="00E72F13">
        <w:rPr>
          <w:rFonts w:ascii="Arial" w:hAnsi="Arial" w:eastAsia="Arial" w:cs="Arial"/>
          <w:color w:val="000000"/>
          <w:sz w:val="22"/>
        </w:rPr>
        <w:t>ingresos por actividades ordinarias sean</w:t>
      </w:r>
      <w:r w:rsidR="00E72F13">
        <w:rPr>
          <w:rFonts w:ascii="Arial" w:hAnsi="Arial" w:eastAsia="Arial" w:cs="Arial"/>
          <w:color w:val="000000"/>
          <w:sz w:val="22"/>
        </w:rPr>
        <w:t xml:space="preserve"> </w:t>
      </w:r>
      <w:r w:rsidRPr="008B50CA" w:rsidR="00E72F13">
        <w:rPr>
          <w:rFonts w:ascii="Arial" w:hAnsi="Arial" w:eastAsia="Arial" w:cs="Arial"/>
          <w:color w:val="000000"/>
          <w:sz w:val="22"/>
        </w:rPr>
        <w:t>inferiores o iguales a mil quinientos y tres Unidades Valor Tributario</w:t>
      </w:r>
      <w:r w:rsidR="00E72F13">
        <w:rPr>
          <w:rFonts w:ascii="Arial" w:hAnsi="Arial" w:eastAsia="Arial" w:cs="Arial"/>
          <w:color w:val="000000"/>
          <w:sz w:val="22"/>
        </w:rPr>
        <w:t xml:space="preserve"> </w:t>
      </w:r>
      <w:r w:rsidRPr="008B50CA" w:rsidR="00E72F13">
        <w:rPr>
          <w:rFonts w:ascii="Arial" w:hAnsi="Arial" w:eastAsia="Arial" w:cs="Arial"/>
          <w:color w:val="000000"/>
          <w:sz w:val="22"/>
        </w:rPr>
        <w:t>(23.563 UVT)</w:t>
      </w:r>
      <w:r w:rsidR="00E72F13">
        <w:rPr>
          <w:rFonts w:ascii="Arial" w:hAnsi="Arial" w:eastAsia="Arial" w:cs="Arial"/>
          <w:color w:val="000000"/>
          <w:sz w:val="22"/>
        </w:rPr>
        <w:t>», en el sector servicios, la que sus «</w:t>
      </w:r>
      <w:r w:rsidRPr="008B50CA" w:rsidR="00E72F13">
        <w:rPr>
          <w:rFonts w:ascii="Arial" w:hAnsi="Arial" w:eastAsia="Arial" w:cs="Arial"/>
          <w:color w:val="000000"/>
          <w:sz w:val="22"/>
        </w:rPr>
        <w:t>ingresos por actividades ordinarias anuales sean</w:t>
      </w:r>
      <w:r w:rsidR="00E72F13">
        <w:rPr>
          <w:rFonts w:ascii="Arial" w:hAnsi="Arial" w:eastAsia="Arial" w:cs="Arial"/>
          <w:color w:val="000000"/>
          <w:sz w:val="22"/>
        </w:rPr>
        <w:t xml:space="preserve"> </w:t>
      </w:r>
      <w:r w:rsidRPr="008B50CA" w:rsidR="00E72F13">
        <w:rPr>
          <w:rFonts w:ascii="Arial" w:hAnsi="Arial" w:eastAsia="Arial" w:cs="Arial"/>
          <w:color w:val="000000"/>
          <w:sz w:val="22"/>
        </w:rPr>
        <w:t>inferiores o iguales a treinta y dos mil novecientos ochenta y ocho de Valor</w:t>
      </w:r>
      <w:r w:rsidR="00E72F13">
        <w:rPr>
          <w:rFonts w:ascii="Arial" w:hAnsi="Arial" w:eastAsia="Arial" w:cs="Arial"/>
          <w:color w:val="000000"/>
          <w:sz w:val="22"/>
        </w:rPr>
        <w:t xml:space="preserve"> </w:t>
      </w:r>
      <w:r w:rsidRPr="008B50CA" w:rsidR="00E72F13">
        <w:rPr>
          <w:rFonts w:ascii="Arial" w:hAnsi="Arial" w:eastAsia="Arial" w:cs="Arial"/>
          <w:color w:val="000000"/>
          <w:sz w:val="22"/>
        </w:rPr>
        <w:t>Tributario (32.988 UVT)</w:t>
      </w:r>
      <w:r w:rsidR="00E72F13">
        <w:rPr>
          <w:rFonts w:ascii="Arial" w:hAnsi="Arial" w:eastAsia="Arial" w:cs="Arial"/>
          <w:color w:val="000000"/>
          <w:sz w:val="22"/>
        </w:rPr>
        <w:t xml:space="preserve">», y en el sector comercio, </w:t>
      </w:r>
      <w:r w:rsidR="00E457EC">
        <w:rPr>
          <w:rFonts w:ascii="Arial" w:hAnsi="Arial" w:eastAsia="Arial" w:cs="Arial"/>
          <w:color w:val="000000"/>
          <w:sz w:val="22"/>
        </w:rPr>
        <w:t>aquella cuyos</w:t>
      </w:r>
      <w:r w:rsidR="00E72F13">
        <w:rPr>
          <w:rFonts w:ascii="Arial" w:hAnsi="Arial" w:eastAsia="Arial" w:cs="Arial"/>
          <w:color w:val="000000"/>
          <w:sz w:val="22"/>
        </w:rPr>
        <w:t xml:space="preserve"> «</w:t>
      </w:r>
      <w:r w:rsidRPr="008B50CA" w:rsidR="00E72F13">
        <w:rPr>
          <w:rFonts w:ascii="Arial" w:hAnsi="Arial" w:eastAsia="Arial" w:cs="Arial"/>
          <w:color w:val="000000"/>
          <w:sz w:val="22"/>
        </w:rPr>
        <w:t>ingresos por actividades ordinarias anuales sean</w:t>
      </w:r>
      <w:r w:rsidR="00E72F13">
        <w:rPr>
          <w:rFonts w:ascii="Arial" w:hAnsi="Arial" w:eastAsia="Arial" w:cs="Arial"/>
          <w:color w:val="000000"/>
          <w:sz w:val="22"/>
        </w:rPr>
        <w:t xml:space="preserve"> </w:t>
      </w:r>
      <w:r w:rsidRPr="008B50CA" w:rsidR="00E72F13">
        <w:rPr>
          <w:rFonts w:ascii="Arial" w:hAnsi="Arial" w:eastAsia="Arial" w:cs="Arial"/>
          <w:color w:val="000000"/>
          <w:sz w:val="22"/>
        </w:rPr>
        <w:t>inferiores o a cuarenta y cuatro mil setecientos y nueve Unidades de</w:t>
      </w:r>
      <w:r w:rsidR="00E72F13">
        <w:rPr>
          <w:rFonts w:ascii="Arial" w:hAnsi="Arial" w:eastAsia="Arial" w:cs="Arial"/>
          <w:color w:val="000000"/>
          <w:sz w:val="22"/>
        </w:rPr>
        <w:t xml:space="preserve"> </w:t>
      </w:r>
      <w:r w:rsidRPr="008B50CA" w:rsidR="00E72F13">
        <w:rPr>
          <w:rFonts w:ascii="Arial" w:hAnsi="Arial" w:eastAsia="Arial" w:cs="Arial"/>
          <w:color w:val="000000"/>
          <w:sz w:val="22"/>
        </w:rPr>
        <w:t>Valor Tributario (44.769 UVT)</w:t>
      </w:r>
      <w:r w:rsidR="00E72F13">
        <w:rPr>
          <w:rFonts w:ascii="Arial" w:hAnsi="Arial" w:eastAsia="Arial" w:cs="Arial"/>
          <w:color w:val="000000"/>
          <w:sz w:val="22"/>
        </w:rPr>
        <w:t>»</w:t>
      </w:r>
      <w:r w:rsidRPr="00342184" w:rsidR="00E72F13">
        <w:rPr>
          <w:rFonts w:ascii="Arial" w:hAnsi="Arial" w:eastAsia="Arial" w:cs="Arial"/>
          <w:color w:val="000000"/>
          <w:sz w:val="22"/>
          <w:vertAlign w:val="superscript"/>
        </w:rPr>
        <w:footnoteReference w:id="2"/>
      </w:r>
      <w:r w:rsidRPr="00342184" w:rsidR="00E72F13">
        <w:rPr>
          <w:rFonts w:ascii="Arial" w:hAnsi="Arial" w:eastAsia="Arial" w:cs="Arial"/>
          <w:color w:val="000000"/>
          <w:sz w:val="22"/>
        </w:rPr>
        <w:t>.</w:t>
      </w:r>
    </w:p>
    <w:p w:rsidRPr="00803D6A" w:rsidR="008C487C" w:rsidRDefault="008C487C" w14:paraId="7C6B9400" w14:textId="5417DC8F">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Por otro lado, el numeral 4º del artículo 12 de la Ley 590 de 2000 estableció que las entidades públicas deben preferir, en condiciones de igual precio, calidad y capacidad de suministros, a las Mipymes nacionales en las adquisiciones necesarias para su funcionamiento</w:t>
      </w:r>
      <w:r w:rsidRPr="00803D6A">
        <w:rPr>
          <w:rStyle w:val="Refdenotaalpie"/>
          <w:rFonts w:ascii="Arial" w:hAnsi="Arial" w:cs="Arial"/>
          <w:color w:val="000000" w:themeColor="text1"/>
          <w:sz w:val="22"/>
          <w:lang w:val="es-CO"/>
        </w:rPr>
        <w:footnoteReference w:id="3"/>
      </w:r>
      <w:r w:rsidRPr="00803D6A">
        <w:rPr>
          <w:rFonts w:ascii="Arial" w:hAnsi="Arial" w:cs="Arial"/>
          <w:color w:val="000000" w:themeColor="text1"/>
          <w:sz w:val="22"/>
          <w:lang w:val="es-CO"/>
        </w:rPr>
        <w:t>.</w:t>
      </w:r>
      <w:r w:rsidR="00D26969">
        <w:rPr>
          <w:rFonts w:ascii="Arial" w:hAnsi="Arial" w:cs="Arial"/>
          <w:color w:val="000000" w:themeColor="text1"/>
          <w:sz w:val="22"/>
          <w:lang w:val="es-CO"/>
        </w:rPr>
        <w:t xml:space="preserve"> </w:t>
      </w:r>
      <w:r w:rsidRPr="00803D6A">
        <w:rPr>
          <w:rFonts w:ascii="Arial" w:hAnsi="Arial" w:cs="Arial"/>
          <w:color w:val="000000" w:themeColor="text1"/>
          <w:sz w:val="22"/>
          <w:lang w:val="es-CO"/>
        </w:rPr>
        <w:t xml:space="preserve">La normativa referida pretende fomentar las empresas que, por su tamaño o capacidad económica, no podrían competir en condiciones de igualdad con aquellas que cuentan con grandes </w:t>
      </w:r>
      <w:r w:rsidR="00231752">
        <w:rPr>
          <w:rFonts w:ascii="Arial" w:hAnsi="Arial" w:cs="Arial"/>
          <w:color w:val="000000" w:themeColor="text1"/>
          <w:sz w:val="22"/>
          <w:lang w:val="es-CO"/>
        </w:rPr>
        <w:t>ingresos por actividades ordinarias</w:t>
      </w:r>
      <w:r w:rsidRPr="00803D6A">
        <w:rPr>
          <w:rFonts w:ascii="Arial" w:hAnsi="Arial" w:cs="Arial"/>
          <w:color w:val="000000" w:themeColor="text1"/>
          <w:sz w:val="22"/>
          <w:lang w:val="es-CO"/>
        </w:rPr>
        <w:t xml:space="preserve">. De este modo, no solo estas pequeñas unidades de explotación económica se hacen visibles dentro del mercado de bienes y servicios requeridos por las entidades públicas, sino que se promueve de manera directa el crecimiento de las regiones en las que tiene cabida tal actividad económica. </w:t>
      </w:r>
    </w:p>
    <w:p w:rsidRPr="00803D6A" w:rsidR="008C487C" w:rsidP="008C487C" w:rsidRDefault="008C487C" w14:paraId="4619BBA9" w14:textId="266D6FA1">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Al respecto, el Consejo de Estado</w:t>
      </w:r>
      <w:r w:rsidRPr="00803D6A">
        <w:rPr>
          <w:rStyle w:val="Refdenotaalpie"/>
          <w:rFonts w:ascii="Arial" w:hAnsi="Arial" w:cs="Arial"/>
          <w:color w:val="000000" w:themeColor="text1"/>
          <w:sz w:val="22"/>
          <w:lang w:val="es-CO"/>
        </w:rPr>
        <w:footnoteReference w:id="4"/>
      </w:r>
      <w:r w:rsidR="004A32A4">
        <w:rPr>
          <w:rFonts w:ascii="Arial" w:hAnsi="Arial" w:cs="Arial"/>
          <w:color w:val="000000" w:themeColor="text1"/>
          <w:sz w:val="22"/>
          <w:lang w:val="es-CO"/>
        </w:rPr>
        <w:t xml:space="preserve"> </w:t>
      </w:r>
      <w:r w:rsidRPr="00803D6A">
        <w:rPr>
          <w:rFonts w:ascii="Arial" w:hAnsi="Arial" w:cs="Arial"/>
          <w:color w:val="000000" w:themeColor="text1"/>
          <w:sz w:val="22"/>
          <w:lang w:val="es-CO"/>
        </w:rPr>
        <w:t>destacó que las entidades públicas deben, por un lado, promocionar e incrementar, conforme con su presupuesto, la participación de las Mipymes como proveedoras de bienes y servicios que demanden y, por el otro, establecer procedimientos administrativos que les faciliten el cumplimiento de los requisitos y trámites relativos a pedidos, recepción de bienes o servicios, condiciones de pago y acceso a la información sobre sus programas de inversión y gasto.</w:t>
      </w:r>
    </w:p>
    <w:p w:rsidRPr="00803D6A" w:rsidR="008C487C" w:rsidP="008C487C" w:rsidRDefault="0018163D" w14:paraId="64411F61" w14:textId="0D4B6B98">
      <w:pPr>
        <w:spacing w:before="120" w:line="276" w:lineRule="auto"/>
        <w:ind w:firstLine="709"/>
        <w:jc w:val="both"/>
        <w:rPr>
          <w:rFonts w:ascii="Arial" w:hAnsi="Arial" w:cs="Arial"/>
          <w:color w:val="000000" w:themeColor="text1"/>
          <w:sz w:val="22"/>
          <w:lang w:val="es-CO"/>
        </w:rPr>
      </w:pPr>
      <w:r>
        <w:rPr>
          <w:rFonts w:ascii="Arial" w:hAnsi="Arial" w:cs="Arial"/>
          <w:color w:val="000000" w:themeColor="text1"/>
          <w:sz w:val="22"/>
          <w:lang w:val="es-CO"/>
        </w:rPr>
        <w:t>Además de</w:t>
      </w:r>
      <w:r w:rsidR="000D1FBF">
        <w:rPr>
          <w:rFonts w:ascii="Arial" w:hAnsi="Arial" w:cs="Arial"/>
          <w:color w:val="000000" w:themeColor="text1"/>
          <w:sz w:val="22"/>
          <w:lang w:val="es-CO"/>
        </w:rPr>
        <w:t xml:space="preserve"> lo</w:t>
      </w:r>
      <w:r w:rsidRPr="00803D6A" w:rsidR="008C487C">
        <w:rPr>
          <w:rFonts w:ascii="Arial" w:hAnsi="Arial" w:cs="Arial"/>
          <w:color w:val="000000" w:themeColor="text1"/>
          <w:sz w:val="22"/>
          <w:lang w:val="es-CO"/>
        </w:rPr>
        <w:t xml:space="preserve"> dispuest</w:t>
      </w:r>
      <w:r w:rsidR="000D1FBF">
        <w:rPr>
          <w:rFonts w:ascii="Arial" w:hAnsi="Arial" w:cs="Arial"/>
          <w:color w:val="000000" w:themeColor="text1"/>
          <w:sz w:val="22"/>
          <w:lang w:val="es-CO"/>
        </w:rPr>
        <w:t>o</w:t>
      </w:r>
      <w:r w:rsidRPr="00803D6A" w:rsidR="008C487C">
        <w:rPr>
          <w:rFonts w:ascii="Arial" w:hAnsi="Arial" w:cs="Arial"/>
          <w:color w:val="000000" w:themeColor="text1"/>
          <w:sz w:val="22"/>
          <w:lang w:val="es-CO"/>
        </w:rPr>
        <w:t xml:space="preserve"> en la Ley 590 de 2000 se encuentra el art</w:t>
      </w:r>
      <w:r w:rsidR="00D26969">
        <w:rPr>
          <w:rFonts w:ascii="Arial" w:hAnsi="Arial" w:cs="Arial"/>
          <w:color w:val="000000" w:themeColor="text1"/>
          <w:sz w:val="22"/>
          <w:lang w:val="es-CO"/>
        </w:rPr>
        <w:t>í</w:t>
      </w:r>
      <w:r w:rsidRPr="00803D6A" w:rsidR="008C487C">
        <w:rPr>
          <w:rFonts w:ascii="Arial" w:hAnsi="Arial" w:cs="Arial"/>
          <w:color w:val="000000" w:themeColor="text1"/>
          <w:sz w:val="22"/>
          <w:lang w:val="es-CO"/>
        </w:rPr>
        <w:t>culo 12 la Ley 1150 de 2007, modificado por el artículo 32 de la Ley 1450 de 2011, que estableció las convocatorias limitadas a Mipymes en contratación pública, en los siguientes términos:</w:t>
      </w:r>
    </w:p>
    <w:p w:rsidRPr="00803D6A" w:rsidR="008C487C" w:rsidP="008C487C" w:rsidRDefault="008C487C" w14:paraId="315DB60A" w14:textId="77777777">
      <w:pPr>
        <w:jc w:val="both"/>
        <w:rPr>
          <w:rFonts w:ascii="Arial" w:hAnsi="Arial" w:cs="Arial"/>
          <w:color w:val="000000" w:themeColor="text1"/>
          <w:sz w:val="22"/>
          <w:lang w:val="es-CO"/>
        </w:rPr>
      </w:pPr>
    </w:p>
    <w:p w:rsidRPr="00803D6A" w:rsidR="008C487C" w:rsidP="00AE3AE4" w:rsidRDefault="008C487C" w14:paraId="497AD14A" w14:textId="586CDA3B">
      <w:pPr>
        <w:spacing w:after="120"/>
        <w:ind w:left="709" w:right="709"/>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 xml:space="preserve">Artículo 12. Promoción del desarrollo en la contratación pública. De conformidad con lo dispuesto en los artículos 13, 333 y 334 de la Constitución Política, el Gobierno Nacional definirá las condiciones y los montos de acuerdo con los compromisos internacionales vigentes, para que en desarrollo de los procesos de selección, </w:t>
      </w:r>
      <w:r w:rsidRPr="00803D6A">
        <w:rPr>
          <w:rFonts w:ascii="Arial" w:hAnsi="Arial" w:cs="Arial"/>
          <w:i/>
          <w:iCs/>
          <w:color w:val="000000" w:themeColor="text1"/>
          <w:sz w:val="21"/>
          <w:szCs w:val="21"/>
          <w:lang w:val="es-CO"/>
        </w:rPr>
        <w:t>las entidades estatales adopten en beneficio de las Mipymes, convocatorias limitadas a estas en las que, previo a la Resolución de apertura del proceso respectivo, se haya manifestado el interés del número plural de Mipymes que haya sido determinado en el reglamento</w:t>
      </w:r>
      <w:r w:rsidRPr="00803D6A">
        <w:rPr>
          <w:rFonts w:ascii="Arial" w:hAnsi="Arial" w:cs="Arial"/>
          <w:color w:val="000000" w:themeColor="text1"/>
          <w:sz w:val="21"/>
          <w:szCs w:val="21"/>
          <w:lang w:val="es-CO"/>
        </w:rPr>
        <w:t>.</w:t>
      </w:r>
    </w:p>
    <w:p w:rsidRPr="00803D6A" w:rsidR="008C487C" w:rsidP="00AE3AE4" w:rsidRDefault="008C487C" w14:paraId="4BF3E25D" w14:textId="62FCEC30">
      <w:pPr>
        <w:spacing w:after="120"/>
        <w:ind w:left="709" w:right="709"/>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Asimismo, el reglamento podrá establecer condiciones preferenciales en favor de la oferta de bienes y servicios producidos por las Mipymes, respetando los montos y las condiciones contenidas en los compromisos internacionales vigentes.</w:t>
      </w:r>
    </w:p>
    <w:p w:rsidRPr="00803D6A" w:rsidR="008C487C" w:rsidP="00AE3AE4" w:rsidRDefault="008C487C" w14:paraId="3C290181" w14:textId="1BFDD6B7">
      <w:pPr>
        <w:spacing w:after="120"/>
        <w:ind w:left="709" w:right="709"/>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En todo caso, se deberá garantizar la satisfacción de las condiciones técnicas y económicas requeridas en la contratación y, realizarse la selección de acuerdo con las modalidades de selección a las que se refiere el Estatuto General de Contratación de la Administración Pública.</w:t>
      </w:r>
    </w:p>
    <w:p w:rsidRPr="00803D6A" w:rsidR="008C487C" w:rsidP="00AE3AE4" w:rsidRDefault="008C487C" w14:paraId="7D1CCFC0" w14:textId="7422E5D2">
      <w:pPr>
        <w:spacing w:after="120"/>
        <w:ind w:left="709" w:right="709"/>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De igual forma, en los pliegos de condiciones las entidades estatales, dispondrán, de mecanismos que fomenten en la ejecución de los contratos estatales la provisión de bienes y servicios por población en pobreza extrema, desplazados por la violencia, personas en proceso de reintegración y, sujetos de especial protección constitucional en las condiciones que señale el reglamento; siempre que se garanticen las condiciones de calidad y cumplimiento del objeto contractual.</w:t>
      </w:r>
    </w:p>
    <w:p w:rsidRPr="00803D6A" w:rsidR="008C487C" w:rsidP="00AE3AE4" w:rsidRDefault="008C487C" w14:paraId="1C69CD45" w14:textId="79D7A418">
      <w:pPr>
        <w:spacing w:after="120"/>
        <w:ind w:left="709" w:right="709"/>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PARÁGRAFO 1o. En los procesos de selección que se desarrollen con base en el primer inciso, las entidades podrán realizar las convocatorias limitadas que beneficien a las Mipymes del ámbito municipal o departamental correspondiente al de la ejecución del contrato.</w:t>
      </w:r>
    </w:p>
    <w:p w:rsidRPr="00803D6A" w:rsidR="008C487C" w:rsidP="00AE3AE4" w:rsidRDefault="008C487C" w14:paraId="414F64A7" w14:textId="60BF21D4">
      <w:pPr>
        <w:spacing w:after="120"/>
        <w:ind w:left="709" w:right="709"/>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PARÁGRAFO 2o. Sin perjuicio de lo dispuesto en los artículos 5 y 6 de la Ley 1150 de 2007, 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w:t>
      </w:r>
    </w:p>
    <w:p w:rsidRPr="00803D6A" w:rsidR="008C487C" w:rsidP="008C487C" w:rsidRDefault="008C487C" w14:paraId="1DD5363C" w14:textId="1DD7052E">
      <w:pPr>
        <w:ind w:left="709" w:right="709"/>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PARÁGRAFO 3o. En la ejecución de los contratos a que se refiere el presente artículo, las entidades y los contratistas, deberán observar lo dispuesto en los artículos 90 a 95 de la Ley 418 de 1997 y las normas que la modifiquen, adicionen o subroguen</w:t>
      </w:r>
      <w:r w:rsidRPr="00803D6A" w:rsidR="006818B6">
        <w:rPr>
          <w:rFonts w:ascii="Arial" w:hAnsi="Arial" w:cs="Arial"/>
          <w:color w:val="000000" w:themeColor="text1"/>
          <w:sz w:val="21"/>
          <w:szCs w:val="21"/>
          <w:lang w:val="es-CO"/>
        </w:rPr>
        <w:t xml:space="preserve"> (Cursivas fuera de texto)</w:t>
      </w:r>
      <w:r w:rsidRPr="00803D6A" w:rsidR="00F710C6">
        <w:rPr>
          <w:rFonts w:ascii="Arial" w:hAnsi="Arial" w:cs="Arial"/>
          <w:color w:val="000000" w:themeColor="text1"/>
          <w:sz w:val="21"/>
          <w:szCs w:val="21"/>
          <w:lang w:val="es-CO"/>
        </w:rPr>
        <w:t>.</w:t>
      </w:r>
    </w:p>
    <w:p w:rsidRPr="00803D6A" w:rsidR="008C487C" w:rsidP="008C487C" w:rsidRDefault="008C487C" w14:paraId="178E4DED" w14:textId="77777777">
      <w:pPr>
        <w:jc w:val="both"/>
        <w:rPr>
          <w:rFonts w:ascii="Arial" w:hAnsi="Arial" w:cs="Arial"/>
          <w:color w:val="000000" w:themeColor="text1"/>
          <w:sz w:val="22"/>
          <w:lang w:val="es-CO"/>
        </w:rPr>
      </w:pPr>
    </w:p>
    <w:p w:rsidRPr="00803D6A" w:rsidR="008C487C" w:rsidP="00882ABB" w:rsidRDefault="008C487C" w14:paraId="4950446E" w14:textId="77777777">
      <w:pPr>
        <w:spacing w:line="276" w:lineRule="auto"/>
        <w:ind w:firstLine="709"/>
        <w:jc w:val="both"/>
        <w:rPr>
          <w:rFonts w:ascii="Arial" w:hAnsi="Arial" w:eastAsia="Calibri" w:cs="Arial"/>
          <w:color w:val="000000" w:themeColor="text1"/>
          <w:sz w:val="22"/>
          <w:lang w:val="es-CO"/>
        </w:rPr>
      </w:pPr>
      <w:r w:rsidRPr="00803D6A">
        <w:rPr>
          <w:rFonts w:ascii="Arial" w:hAnsi="Arial" w:cs="Arial"/>
          <w:color w:val="000000" w:themeColor="text1"/>
          <w:sz w:val="22"/>
          <w:lang w:val="es-CO"/>
        </w:rPr>
        <w:t>L</w:t>
      </w:r>
      <w:r w:rsidRPr="00803D6A">
        <w:rPr>
          <w:rFonts w:ascii="Arial" w:hAnsi="Arial" w:eastAsia="Calibri" w:cs="Arial"/>
          <w:color w:val="000000" w:themeColor="text1"/>
          <w:sz w:val="22"/>
          <w:lang w:val="es-CO"/>
        </w:rPr>
        <w:t xml:space="preserve">a Corte Constitucional, en la sentencia C-862 de 2008, estudió la constitucionalidad del artículo 12 de la Ley 1150 de 2007 y señaló, entre otras cuestiones, que la intención del legislador fue implementar acciones afirmativas en la contratación de las micro, pequeñas y medianas empresas, con el fin de fomentar su desarrollo y la creación de empresa, así como la generación de empleos formales. </w:t>
      </w:r>
    </w:p>
    <w:p w:rsidRPr="00803D6A" w:rsidR="008C487C" w:rsidP="00716A74" w:rsidRDefault="00D26969" w14:paraId="690A234D" w14:textId="2F5F87B3">
      <w:pPr>
        <w:spacing w:before="120" w:line="276" w:lineRule="auto"/>
        <w:ind w:firstLine="709"/>
        <w:jc w:val="both"/>
        <w:rPr>
          <w:rFonts w:ascii="Arial" w:hAnsi="Arial" w:cs="Arial"/>
          <w:color w:val="000000" w:themeColor="text1"/>
          <w:sz w:val="22"/>
          <w:lang w:val="es-CO"/>
        </w:rPr>
      </w:pPr>
      <w:r>
        <w:rPr>
          <w:rFonts w:ascii="Arial" w:hAnsi="Arial" w:cs="Arial"/>
          <w:color w:val="000000" w:themeColor="text1"/>
          <w:sz w:val="22"/>
          <w:lang w:val="es-CO"/>
        </w:rPr>
        <w:t xml:space="preserve">Mediante </w:t>
      </w:r>
      <w:r w:rsidRPr="00803D6A" w:rsidR="008C487C">
        <w:rPr>
          <w:rFonts w:ascii="Arial" w:hAnsi="Arial" w:cs="Arial"/>
          <w:color w:val="000000" w:themeColor="text1"/>
          <w:sz w:val="22"/>
          <w:lang w:val="es-CO"/>
        </w:rPr>
        <w:t>el Decreto 1082 de 2015, el Gobierno Nacional reglamentó la norma transcrita, adoptando medidas para incentivar la contratación pública. Dentro de estas medidas se resaltan las «convocatorias limitadas a Mipymes»</w:t>
      </w:r>
      <w:r w:rsidR="005608B8">
        <w:rPr>
          <w:rFonts w:ascii="Arial" w:hAnsi="Arial" w:cs="Arial"/>
          <w:color w:val="000000" w:themeColor="text1"/>
          <w:sz w:val="22"/>
          <w:lang w:val="es-CO"/>
        </w:rPr>
        <w:t xml:space="preserve"> establecida en el </w:t>
      </w:r>
      <w:r w:rsidRPr="00803D6A" w:rsidR="008C487C">
        <w:rPr>
          <w:rFonts w:ascii="Arial" w:hAnsi="Arial" w:cs="Arial"/>
          <w:color w:val="000000" w:themeColor="text1"/>
          <w:sz w:val="22"/>
          <w:lang w:val="es-CO"/>
        </w:rPr>
        <w:t>artículo</w:t>
      </w:r>
      <w:r w:rsidR="005608B8">
        <w:rPr>
          <w:rFonts w:ascii="Arial" w:hAnsi="Arial" w:cs="Arial"/>
          <w:color w:val="000000" w:themeColor="text1"/>
          <w:sz w:val="22"/>
          <w:lang w:val="es-CO"/>
        </w:rPr>
        <w:t xml:space="preserve"> </w:t>
      </w:r>
      <w:r w:rsidRPr="00803D6A" w:rsidR="008C487C">
        <w:rPr>
          <w:rFonts w:ascii="Arial" w:hAnsi="Arial" w:cs="Arial"/>
          <w:color w:val="000000" w:themeColor="text1"/>
          <w:sz w:val="22"/>
          <w:lang w:val="es-CO"/>
        </w:rPr>
        <w:t>2.2.1.2.4.2.2.</w:t>
      </w:r>
      <w:r w:rsidR="00716A74">
        <w:rPr>
          <w:rFonts w:ascii="Arial" w:hAnsi="Arial" w:cs="Arial"/>
          <w:color w:val="000000" w:themeColor="text1"/>
          <w:sz w:val="22"/>
          <w:lang w:val="es-CO"/>
        </w:rPr>
        <w:t>, que es</w:t>
      </w:r>
      <w:r w:rsidR="00D83A89">
        <w:rPr>
          <w:rFonts w:ascii="Arial" w:hAnsi="Arial" w:cs="Arial"/>
          <w:color w:val="000000" w:themeColor="text1"/>
          <w:sz w:val="22"/>
          <w:lang w:val="es-CO"/>
        </w:rPr>
        <w:t>tablece</w:t>
      </w:r>
      <w:r w:rsidR="00716A74">
        <w:rPr>
          <w:rFonts w:ascii="Arial" w:hAnsi="Arial" w:cs="Arial"/>
          <w:color w:val="000000" w:themeColor="text1"/>
          <w:sz w:val="22"/>
          <w:lang w:val="es-CO"/>
        </w:rPr>
        <w:t xml:space="preserve"> l</w:t>
      </w:r>
      <w:r w:rsidR="00D83A89">
        <w:rPr>
          <w:rFonts w:ascii="Arial" w:hAnsi="Arial" w:cs="Arial"/>
          <w:color w:val="000000" w:themeColor="text1"/>
          <w:sz w:val="22"/>
          <w:lang w:val="es-CO"/>
        </w:rPr>
        <w:t>o</w:t>
      </w:r>
      <w:r w:rsidR="00716A74">
        <w:rPr>
          <w:rFonts w:ascii="Arial" w:hAnsi="Arial" w:cs="Arial"/>
          <w:color w:val="000000" w:themeColor="text1"/>
          <w:sz w:val="22"/>
          <w:lang w:val="es-CO"/>
        </w:rPr>
        <w:t xml:space="preserve"> siguiente:</w:t>
      </w:r>
      <w:r w:rsidRPr="00803D6A" w:rsidR="008C487C">
        <w:rPr>
          <w:rFonts w:ascii="Arial" w:hAnsi="Arial" w:cs="Arial"/>
          <w:color w:val="000000" w:themeColor="text1"/>
          <w:sz w:val="22"/>
          <w:lang w:val="es-CO"/>
        </w:rPr>
        <w:t xml:space="preserve"> </w:t>
      </w:r>
    </w:p>
    <w:p w:rsidRPr="00803D6A" w:rsidR="008C487C" w:rsidP="008C487C" w:rsidRDefault="008C487C" w14:paraId="44F91F88" w14:textId="77777777">
      <w:pPr>
        <w:ind w:left="709" w:right="760"/>
        <w:jc w:val="both"/>
        <w:rPr>
          <w:rFonts w:ascii="Arial" w:hAnsi="Arial" w:cs="Arial"/>
          <w:color w:val="000000" w:themeColor="text1"/>
          <w:sz w:val="21"/>
          <w:szCs w:val="21"/>
          <w:lang w:val="es-CO"/>
        </w:rPr>
      </w:pPr>
    </w:p>
    <w:p w:rsidRPr="00803D6A" w:rsidR="00784E5B" w:rsidP="00AE3AE4" w:rsidRDefault="008C487C" w14:paraId="310F0D65" w14:textId="4F7AB639">
      <w:pPr>
        <w:spacing w:after="120"/>
        <w:ind w:left="709" w:right="709"/>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La Entidad Estatal debe limitar a las Mipyme nacionales con mínimo un (1) año de existencia la convocatoria del Proceso de Contratación en la modalidad de licitación pública, selección abreviada y concurso de méritos cuando:</w:t>
      </w:r>
    </w:p>
    <w:p w:rsidR="006B1910" w:rsidP="00AE3AE4" w:rsidRDefault="006B1910" w14:paraId="1CCAEF9B" w14:textId="77777777">
      <w:pPr>
        <w:pStyle w:val="Prrafodelista"/>
        <w:spacing w:after="120"/>
        <w:ind w:left="709" w:right="709"/>
        <w:jc w:val="both"/>
        <w:rPr>
          <w:rFonts w:ascii="Arial" w:hAnsi="Arial" w:cs="Arial"/>
          <w:color w:val="000000" w:themeColor="text1"/>
          <w:sz w:val="21"/>
          <w:szCs w:val="21"/>
          <w:lang w:val="es-CO"/>
        </w:rPr>
      </w:pPr>
    </w:p>
    <w:p w:rsidRPr="00803D6A" w:rsidR="006B1910" w:rsidP="00AE3AE4" w:rsidRDefault="008C487C" w14:paraId="2BABC7BD" w14:textId="31AD8818">
      <w:pPr>
        <w:pStyle w:val="Prrafodelista"/>
        <w:spacing w:after="120"/>
        <w:ind w:left="709" w:right="709"/>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 xml:space="preserve">1. El valor del Proceso de Contratación es menor a ciento veinticinco mil dólares de los Estados Unidos de América (US$125.000), liquidados con la tasa de cambio que para el efecto determina cada dos años el Ministerio de Comercio, Industria y Turismo; </w:t>
      </w:r>
    </w:p>
    <w:p w:rsidRPr="006B1910" w:rsidR="008C487C" w:rsidP="00AE3AE4" w:rsidRDefault="008C487C" w14:paraId="0D11E2C3" w14:textId="77777777">
      <w:pPr>
        <w:pStyle w:val="Prrafodelista"/>
        <w:spacing w:after="120"/>
        <w:ind w:left="709" w:right="709"/>
        <w:jc w:val="both"/>
        <w:rPr>
          <w:lang w:val="es-CO"/>
        </w:rPr>
      </w:pPr>
    </w:p>
    <w:p w:rsidRPr="00803D6A" w:rsidR="008C487C" w:rsidP="00AE3AE4" w:rsidRDefault="008C487C" w14:paraId="0234FED4" w14:textId="77777777">
      <w:pPr>
        <w:pStyle w:val="Prrafodelista"/>
        <w:ind w:left="709" w:right="709"/>
        <w:jc w:val="both"/>
        <w:rPr>
          <w:rFonts w:ascii="Arial" w:hAnsi="Arial" w:cs="Arial"/>
          <w:color w:val="000000" w:themeColor="text1"/>
          <w:sz w:val="21"/>
          <w:szCs w:val="21"/>
          <w:lang w:val="es-CO"/>
        </w:rPr>
      </w:pPr>
      <w:r w:rsidRPr="00803D6A">
        <w:rPr>
          <w:rFonts w:ascii="Arial" w:hAnsi="Arial" w:cs="Arial"/>
          <w:color w:val="000000" w:themeColor="text1"/>
          <w:sz w:val="21"/>
          <w:szCs w:val="21"/>
          <w:lang w:val="es-CO"/>
        </w:rPr>
        <w:t>2. La Entidad Estatal ha recibido solicitudes de por lo menos tres (3) Mipyme nacionales para limitar la convocatoria a Mipyme nacionales. La Entidad Estatal debe recibir estas solicitudes por lo menos un (1) día hábil antes de la apertura del Proceso de Contratación.</w:t>
      </w:r>
    </w:p>
    <w:p w:rsidRPr="00803D6A" w:rsidR="008C487C" w:rsidP="008C487C" w:rsidRDefault="008C487C" w14:paraId="4620B008" w14:textId="77777777">
      <w:pPr>
        <w:jc w:val="both"/>
        <w:rPr>
          <w:rFonts w:ascii="Arial" w:hAnsi="Arial" w:cs="Arial"/>
          <w:color w:val="000000" w:themeColor="text1"/>
          <w:sz w:val="20"/>
          <w:szCs w:val="20"/>
          <w:lang w:val="es-CO"/>
        </w:rPr>
      </w:pPr>
    </w:p>
    <w:p w:rsidRPr="00803D6A" w:rsidR="00D95879" w:rsidP="008C487C" w:rsidRDefault="008C487C" w14:paraId="35AACE73" w14:textId="0D248050">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 xml:space="preserve">El artículo 2.2.1.2.4.2.2. del Decreto 1082 de 2015 establece los requisitos que se deben acreditar en las «convocatorias limitadas a Mipymes». La primera limitación </w:t>
      </w:r>
      <w:r w:rsidRPr="00803D6A" w:rsidR="009A5714">
        <w:rPr>
          <w:rFonts w:ascii="Arial" w:hAnsi="Arial" w:cs="Arial"/>
          <w:color w:val="000000" w:themeColor="text1"/>
          <w:sz w:val="22"/>
          <w:lang w:val="es-CO"/>
        </w:rPr>
        <w:t>se deriva d</w:t>
      </w:r>
      <w:r w:rsidRPr="00803D6A">
        <w:rPr>
          <w:rFonts w:ascii="Arial" w:hAnsi="Arial" w:cs="Arial"/>
          <w:color w:val="000000" w:themeColor="text1"/>
          <w:sz w:val="22"/>
          <w:lang w:val="es-CO"/>
        </w:rPr>
        <w:t>el inciso primero de la referida norma</w:t>
      </w:r>
      <w:r w:rsidRPr="00803D6A" w:rsidR="009A5714">
        <w:rPr>
          <w:rFonts w:ascii="Arial" w:hAnsi="Arial" w:cs="Arial"/>
          <w:color w:val="000000" w:themeColor="text1"/>
          <w:sz w:val="22"/>
          <w:lang w:val="es-CO"/>
        </w:rPr>
        <w:t>,</w:t>
      </w:r>
      <w:r w:rsidRPr="00803D6A">
        <w:rPr>
          <w:rFonts w:ascii="Arial" w:hAnsi="Arial" w:cs="Arial"/>
          <w:color w:val="000000" w:themeColor="text1"/>
          <w:sz w:val="22"/>
          <w:lang w:val="es-CO"/>
        </w:rPr>
        <w:t xml:space="preserve"> en cuanto a las modalidades de selección de contratistas, en el entendido</w:t>
      </w:r>
      <w:r w:rsidRPr="00803D6A" w:rsidR="006F39D0">
        <w:rPr>
          <w:rFonts w:ascii="Arial" w:hAnsi="Arial" w:cs="Arial"/>
          <w:color w:val="000000" w:themeColor="text1"/>
          <w:sz w:val="22"/>
          <w:lang w:val="es-CO"/>
        </w:rPr>
        <w:t xml:space="preserve"> </w:t>
      </w:r>
      <w:r w:rsidRPr="00803D6A" w:rsidR="00882ABB">
        <w:rPr>
          <w:rFonts w:ascii="Arial" w:hAnsi="Arial" w:cs="Arial"/>
          <w:color w:val="000000" w:themeColor="text1"/>
          <w:sz w:val="22"/>
          <w:lang w:val="es-CO"/>
        </w:rPr>
        <w:t xml:space="preserve">de </w:t>
      </w:r>
      <w:r w:rsidRPr="00803D6A">
        <w:rPr>
          <w:rFonts w:ascii="Arial" w:hAnsi="Arial" w:cs="Arial"/>
          <w:color w:val="000000" w:themeColor="text1"/>
          <w:sz w:val="22"/>
          <w:lang w:val="es-CO"/>
        </w:rPr>
        <w:t>que únicamente se puede limitar «la convocatoria del Proceso de Contratación en la modalidad de licitación pública, selección abreviada y concurso de méritos». Esto excluye</w:t>
      </w:r>
      <w:r w:rsidRPr="00803D6A" w:rsidR="00E137BB">
        <w:rPr>
          <w:rFonts w:ascii="Arial" w:hAnsi="Arial" w:cs="Arial"/>
          <w:color w:val="000000" w:themeColor="text1"/>
          <w:sz w:val="22"/>
          <w:lang w:val="es-CO"/>
        </w:rPr>
        <w:t>, pues,</w:t>
      </w:r>
      <w:r w:rsidRPr="00803D6A">
        <w:rPr>
          <w:rFonts w:ascii="Arial" w:hAnsi="Arial" w:cs="Arial"/>
          <w:color w:val="000000" w:themeColor="text1"/>
          <w:sz w:val="22"/>
          <w:lang w:val="es-CO"/>
        </w:rPr>
        <w:t xml:space="preserve"> la posibilidad de pedir la limitación de las convocatorias en los procesos de selección de </w:t>
      </w:r>
      <w:r w:rsidRPr="00803D6A">
        <w:rPr>
          <w:rFonts w:ascii="Arial" w:hAnsi="Arial" w:cs="Arial"/>
          <w:i/>
          <w:iCs/>
          <w:color w:val="000000" w:themeColor="text1"/>
          <w:sz w:val="22"/>
          <w:lang w:val="es-CO"/>
        </w:rPr>
        <w:t>mínima cuantía</w:t>
      </w:r>
      <w:r w:rsidRPr="00803D6A">
        <w:rPr>
          <w:rFonts w:ascii="Arial" w:hAnsi="Arial" w:cs="Arial"/>
          <w:color w:val="000000" w:themeColor="text1"/>
          <w:sz w:val="22"/>
          <w:lang w:val="es-CO"/>
        </w:rPr>
        <w:t xml:space="preserve"> y también en los de </w:t>
      </w:r>
      <w:r w:rsidRPr="00803D6A">
        <w:rPr>
          <w:rFonts w:ascii="Arial" w:hAnsi="Arial" w:cs="Arial"/>
          <w:i/>
          <w:iCs/>
          <w:color w:val="000000" w:themeColor="text1"/>
          <w:sz w:val="22"/>
          <w:lang w:val="es-CO"/>
        </w:rPr>
        <w:t>contratación directa</w:t>
      </w:r>
      <w:r w:rsidRPr="00803D6A">
        <w:rPr>
          <w:rFonts w:ascii="Arial" w:hAnsi="Arial" w:cs="Arial"/>
          <w:color w:val="000000" w:themeColor="text1"/>
          <w:sz w:val="22"/>
          <w:lang w:val="es-CO"/>
        </w:rPr>
        <w:t>.</w:t>
      </w:r>
      <w:r w:rsidRPr="00803D6A" w:rsidR="00A95100">
        <w:rPr>
          <w:rFonts w:ascii="Arial" w:hAnsi="Arial" w:cs="Arial"/>
          <w:color w:val="000000" w:themeColor="text1"/>
          <w:sz w:val="22"/>
          <w:lang w:val="es-CO"/>
        </w:rPr>
        <w:t xml:space="preserve"> </w:t>
      </w:r>
      <w:r w:rsidRPr="00803D6A" w:rsidR="003E14F9">
        <w:rPr>
          <w:rFonts w:ascii="Arial" w:hAnsi="Arial" w:cs="Arial"/>
          <w:color w:val="000000" w:themeColor="text1"/>
          <w:sz w:val="22"/>
          <w:lang w:val="es-CO"/>
        </w:rPr>
        <w:t>Para los efectos de</w:t>
      </w:r>
      <w:r w:rsidRPr="00803D6A" w:rsidR="00CF326B">
        <w:rPr>
          <w:rFonts w:ascii="Arial" w:hAnsi="Arial" w:cs="Arial"/>
          <w:color w:val="000000" w:themeColor="text1"/>
          <w:sz w:val="22"/>
          <w:lang w:val="es-CO"/>
        </w:rPr>
        <w:t xml:space="preserve"> la consulta </w:t>
      </w:r>
      <w:r w:rsidRPr="00803D6A" w:rsidR="00CF326B">
        <w:rPr>
          <w:rFonts w:ascii="Arial" w:hAnsi="Arial" w:cs="Arial"/>
          <w:i/>
          <w:iCs/>
          <w:color w:val="000000" w:themeColor="text1"/>
          <w:sz w:val="22"/>
          <w:lang w:val="es-CO"/>
        </w:rPr>
        <w:t xml:space="preserve">sub </w:t>
      </w:r>
      <w:r w:rsidRPr="00803D6A" w:rsidR="00CF326B">
        <w:rPr>
          <w:rFonts w:ascii="Arial" w:hAnsi="Arial" w:cs="Arial"/>
          <w:color w:val="000000" w:themeColor="text1"/>
          <w:sz w:val="22"/>
          <w:lang w:val="es-CO"/>
        </w:rPr>
        <w:t xml:space="preserve">examine, se debe </w:t>
      </w:r>
      <w:r w:rsidRPr="00803D6A" w:rsidR="00521BA7">
        <w:rPr>
          <w:rFonts w:ascii="Arial" w:hAnsi="Arial" w:cs="Arial"/>
          <w:color w:val="000000" w:themeColor="text1"/>
          <w:sz w:val="22"/>
          <w:lang w:val="es-CO"/>
        </w:rPr>
        <w:t xml:space="preserve">precisar que </w:t>
      </w:r>
      <w:r w:rsidRPr="00803D6A" w:rsidR="008E2FE3">
        <w:rPr>
          <w:rFonts w:ascii="Arial" w:hAnsi="Arial" w:cs="Arial"/>
          <w:color w:val="000000" w:themeColor="text1"/>
          <w:sz w:val="22"/>
          <w:lang w:val="es-CO"/>
        </w:rPr>
        <w:t>una de las causale</w:t>
      </w:r>
      <w:r w:rsidRPr="00803D6A" w:rsidR="000E6867">
        <w:rPr>
          <w:rFonts w:ascii="Arial" w:hAnsi="Arial" w:cs="Arial"/>
          <w:color w:val="000000" w:themeColor="text1"/>
          <w:sz w:val="22"/>
          <w:lang w:val="es-CO"/>
        </w:rPr>
        <w:t xml:space="preserve">s </w:t>
      </w:r>
      <w:r w:rsidRPr="00803D6A" w:rsidR="00E01D84">
        <w:rPr>
          <w:rFonts w:ascii="Arial" w:hAnsi="Arial" w:cs="Arial"/>
          <w:color w:val="000000" w:themeColor="text1"/>
          <w:sz w:val="22"/>
          <w:lang w:val="es-CO"/>
        </w:rPr>
        <w:t xml:space="preserve">de </w:t>
      </w:r>
      <w:r w:rsidRPr="00803D6A" w:rsidR="00E01D84">
        <w:rPr>
          <w:rFonts w:ascii="Arial" w:hAnsi="Arial" w:cs="Arial"/>
          <w:i/>
          <w:iCs/>
          <w:color w:val="000000" w:themeColor="text1"/>
          <w:sz w:val="22"/>
          <w:lang w:val="es-CO"/>
        </w:rPr>
        <w:t>selección abreviada</w:t>
      </w:r>
      <w:r w:rsidRPr="00803D6A" w:rsidR="00E01D84">
        <w:rPr>
          <w:rFonts w:ascii="Arial" w:hAnsi="Arial" w:cs="Arial"/>
          <w:color w:val="000000" w:themeColor="text1"/>
          <w:sz w:val="22"/>
          <w:lang w:val="es-CO"/>
        </w:rPr>
        <w:t xml:space="preserve"> es </w:t>
      </w:r>
      <w:r w:rsidRPr="00803D6A" w:rsidR="00062B0D">
        <w:rPr>
          <w:rFonts w:ascii="Arial" w:hAnsi="Arial" w:cs="Arial"/>
          <w:color w:val="000000" w:themeColor="text1"/>
          <w:sz w:val="22"/>
          <w:lang w:val="es-CO"/>
        </w:rPr>
        <w:t xml:space="preserve">la </w:t>
      </w:r>
      <w:r w:rsidRPr="00803D6A" w:rsidR="00062B0D">
        <w:rPr>
          <w:rFonts w:ascii="Arial" w:hAnsi="Arial" w:cs="Arial"/>
          <w:i/>
          <w:iCs/>
          <w:color w:val="000000" w:themeColor="text1"/>
          <w:sz w:val="22"/>
          <w:lang w:val="es-CO"/>
        </w:rPr>
        <w:t>contratación de menor cuantía</w:t>
      </w:r>
      <w:r w:rsidRPr="00803D6A" w:rsidR="00062B0D">
        <w:rPr>
          <w:rFonts w:ascii="Arial" w:hAnsi="Arial" w:cs="Arial"/>
          <w:color w:val="000000" w:themeColor="text1"/>
          <w:sz w:val="22"/>
          <w:lang w:val="es-CO"/>
        </w:rPr>
        <w:t xml:space="preserve">, </w:t>
      </w:r>
      <w:r w:rsidRPr="00803D6A" w:rsidR="00711157">
        <w:rPr>
          <w:rFonts w:ascii="Arial" w:hAnsi="Arial" w:cs="Arial"/>
          <w:color w:val="000000" w:themeColor="text1"/>
          <w:sz w:val="22"/>
          <w:lang w:val="es-CO"/>
        </w:rPr>
        <w:t xml:space="preserve">según lo que establece </w:t>
      </w:r>
      <w:r w:rsidRPr="00803D6A" w:rsidR="00062B0D">
        <w:rPr>
          <w:rFonts w:ascii="Arial" w:hAnsi="Arial" w:cs="Arial"/>
          <w:color w:val="000000" w:themeColor="text1"/>
          <w:sz w:val="22"/>
          <w:lang w:val="es-CO"/>
        </w:rPr>
        <w:t xml:space="preserve">el artículo </w:t>
      </w:r>
      <w:r w:rsidRPr="00803D6A" w:rsidR="00C52801">
        <w:rPr>
          <w:rFonts w:ascii="Arial" w:hAnsi="Arial" w:cs="Arial"/>
          <w:color w:val="000000" w:themeColor="text1"/>
          <w:sz w:val="22"/>
          <w:lang w:val="es-CO"/>
        </w:rPr>
        <w:t xml:space="preserve">2, numeral </w:t>
      </w:r>
      <w:r w:rsidRPr="00803D6A" w:rsidR="00A367A1">
        <w:rPr>
          <w:rFonts w:ascii="Arial" w:hAnsi="Arial" w:cs="Arial"/>
          <w:color w:val="000000" w:themeColor="text1"/>
          <w:sz w:val="22"/>
          <w:lang w:val="es-CO"/>
        </w:rPr>
        <w:t>2, literal b, de la Ley 1150 de 2007.</w:t>
      </w:r>
    </w:p>
    <w:p w:rsidRPr="00803D6A" w:rsidR="008C487C" w:rsidP="008C487C" w:rsidRDefault="008C487C" w14:paraId="2BA603A8" w14:textId="77B67D7D">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 xml:space="preserve">El numeral primero </w:t>
      </w:r>
      <w:r w:rsidR="00E16E9E">
        <w:rPr>
          <w:rFonts w:ascii="Arial" w:hAnsi="Arial" w:cs="Arial"/>
          <w:color w:val="000000" w:themeColor="text1"/>
          <w:sz w:val="22"/>
          <w:lang w:val="es-CO"/>
        </w:rPr>
        <w:t xml:space="preserve">del </w:t>
      </w:r>
      <w:r w:rsidRPr="00803D6A" w:rsidR="00E16E9E">
        <w:rPr>
          <w:rFonts w:ascii="Arial" w:hAnsi="Arial" w:cs="Arial"/>
          <w:color w:val="000000" w:themeColor="text1"/>
          <w:sz w:val="22"/>
          <w:lang w:val="es-CO"/>
        </w:rPr>
        <w:t xml:space="preserve">artículo 2.2.1.2.4.2.2. del Decreto 1082 de 2015 </w:t>
      </w:r>
      <w:r w:rsidRPr="00803D6A">
        <w:rPr>
          <w:rFonts w:ascii="Arial" w:hAnsi="Arial" w:cs="Arial"/>
          <w:color w:val="000000" w:themeColor="text1"/>
          <w:sz w:val="22"/>
          <w:lang w:val="es-CO"/>
        </w:rPr>
        <w:t>limita cuantitativamente los procesos contractuales en los que se puede hacer esa «convocatoria limitada a Mipymes», en la medida en que el valor del proceso de contratación tendrá que ser «menor a ciento veinticinco mil dólares de los Estados Unidos de América». Esta limitante, valga la pena aclarar, es establecida de acuerdo con la tasa que, para el efecto, determine cada dos años el Ministerio de Comercio, Industria y Turismo. Nótese que la norma no hace referencia a la tasa de cambio representativa del mercado ─TRM</w:t>
      </w:r>
      <w:r w:rsidRPr="00803D6A">
        <w:rPr>
          <w:rStyle w:val="Refdenotaalpie"/>
          <w:rFonts w:ascii="Arial" w:hAnsi="Arial" w:cs="Arial"/>
          <w:color w:val="000000" w:themeColor="text1"/>
          <w:sz w:val="22"/>
          <w:lang w:val="es-CO"/>
        </w:rPr>
        <w:footnoteReference w:id="5"/>
      </w:r>
      <w:r w:rsidRPr="00803D6A">
        <w:rPr>
          <w:rFonts w:ascii="Arial" w:hAnsi="Arial" w:cs="Arial"/>
          <w:color w:val="000000" w:themeColor="text1"/>
          <w:sz w:val="22"/>
          <w:lang w:val="es-CO"/>
        </w:rPr>
        <w:t>─, establecida diariamente por la Superintendencia Financiera de Colombia, según lo que establece el artículo 40 de la Resolución Externa No. 1 de 2018 y la Circular Reglamentaria Externa- DODM-146, ambas expedidas por el Banco de la República.</w:t>
      </w:r>
    </w:p>
    <w:p w:rsidRPr="00803D6A" w:rsidR="008C487C" w:rsidP="008C487C" w:rsidRDefault="008C487C" w14:paraId="1AE6FEDA" w14:textId="660C2762">
      <w:pPr>
        <w:spacing w:before="120" w:line="276" w:lineRule="auto"/>
        <w:ind w:firstLine="709"/>
        <w:jc w:val="both"/>
        <w:rPr>
          <w:rFonts w:ascii="Arial" w:hAnsi="Arial" w:cs="Arial"/>
          <w:color w:val="000000" w:themeColor="text1"/>
          <w:sz w:val="22"/>
          <w:lang w:val="es-CO"/>
        </w:rPr>
      </w:pPr>
      <w:r w:rsidRPr="00803D6A">
        <w:rPr>
          <w:rFonts w:ascii="Arial" w:hAnsi="Arial" w:cs="Arial"/>
          <w:color w:val="000000" w:themeColor="text1"/>
          <w:sz w:val="22"/>
          <w:lang w:val="es-CO"/>
        </w:rPr>
        <w:t>Para establecer dicha tasa, el Ministerio toma en cuenta como parámetros, por un lado, el promedio de la TRM</w:t>
      </w:r>
      <w:r w:rsidRPr="00803D6A">
        <w:rPr>
          <w:rStyle w:val="Refdenotaalpie"/>
          <w:rFonts w:ascii="Arial" w:hAnsi="Arial" w:cs="Arial"/>
          <w:color w:val="000000" w:themeColor="text1"/>
          <w:sz w:val="22"/>
          <w:lang w:val="es-CO"/>
        </w:rPr>
        <w:footnoteReference w:id="6"/>
      </w:r>
      <w:r w:rsidRPr="00803D6A">
        <w:rPr>
          <w:rFonts w:ascii="Arial" w:hAnsi="Arial" w:cs="Arial"/>
          <w:color w:val="000000" w:themeColor="text1"/>
          <w:sz w:val="22"/>
          <w:lang w:val="es-CO"/>
        </w:rPr>
        <w:t xml:space="preserve"> de los dos años anteriores al per</w:t>
      </w:r>
      <w:r w:rsidR="00842927">
        <w:rPr>
          <w:rFonts w:ascii="Arial" w:hAnsi="Arial" w:cs="Arial"/>
          <w:color w:val="000000" w:themeColor="text1"/>
          <w:sz w:val="22"/>
          <w:lang w:val="es-CO"/>
        </w:rPr>
        <w:t>í</w:t>
      </w:r>
      <w:r w:rsidRPr="00803D6A">
        <w:rPr>
          <w:rFonts w:ascii="Arial" w:hAnsi="Arial" w:cs="Arial"/>
          <w:color w:val="000000" w:themeColor="text1"/>
          <w:sz w:val="22"/>
          <w:lang w:val="es-CO"/>
        </w:rPr>
        <w:t>odo a calcular y, por el otro, los «veinticinco mil dólares de los Estados Unidos de América» a los que se refiere el numeral 1º del artículo 2.2.1.2.4.2.2. del Decreto 1082 de 2015. Así lo ha hecho para los per</w:t>
      </w:r>
      <w:r w:rsidR="0004238A">
        <w:rPr>
          <w:rFonts w:ascii="Arial" w:hAnsi="Arial" w:cs="Arial"/>
          <w:color w:val="000000" w:themeColor="text1"/>
          <w:sz w:val="22"/>
          <w:lang w:val="es-CO"/>
        </w:rPr>
        <w:t>í</w:t>
      </w:r>
      <w:r w:rsidRPr="00803D6A">
        <w:rPr>
          <w:rFonts w:ascii="Arial" w:hAnsi="Arial" w:cs="Arial"/>
          <w:color w:val="000000" w:themeColor="text1"/>
          <w:sz w:val="22"/>
          <w:lang w:val="es-CO"/>
        </w:rPr>
        <w:t>odos 2015</w:t>
      </w:r>
      <w:r w:rsidRPr="00803D6A">
        <w:rPr>
          <w:rStyle w:val="Refdenotaalpie"/>
          <w:rFonts w:ascii="Arial" w:hAnsi="Arial" w:cs="Arial"/>
          <w:color w:val="000000" w:themeColor="text1"/>
          <w:sz w:val="22"/>
          <w:lang w:val="es-CO"/>
        </w:rPr>
        <w:footnoteReference w:id="7"/>
      </w:r>
      <w:r w:rsidRPr="00803D6A">
        <w:rPr>
          <w:rFonts w:ascii="Arial" w:hAnsi="Arial" w:cs="Arial"/>
          <w:color w:val="000000" w:themeColor="text1"/>
          <w:sz w:val="22"/>
          <w:lang w:val="es-CO"/>
        </w:rPr>
        <w:t>-2017, 2018-2019 y 2020-2021 (vigente)</w:t>
      </w:r>
      <w:r w:rsidRPr="00803D6A">
        <w:rPr>
          <w:rStyle w:val="Refdenotaalpie"/>
          <w:rFonts w:ascii="Arial" w:hAnsi="Arial" w:cs="Arial"/>
          <w:color w:val="000000" w:themeColor="text1"/>
          <w:sz w:val="22"/>
          <w:lang w:val="es-CO"/>
        </w:rPr>
        <w:footnoteReference w:id="8"/>
      </w:r>
      <w:r w:rsidRPr="00803D6A">
        <w:rPr>
          <w:rFonts w:ascii="Arial" w:hAnsi="Arial" w:cs="Arial"/>
          <w:color w:val="000000" w:themeColor="text1"/>
          <w:sz w:val="22"/>
          <w:lang w:val="es-CO"/>
        </w:rPr>
        <w:t>. Esta entidad, por otro lado, en ejercicio de sus competencias legales y reglamentarias, está encargada de la publicación de la información en su portal Web: https://www.colombiacompra.gov.co/.</w:t>
      </w:r>
    </w:p>
    <w:p w:rsidR="002841BF" w:rsidP="002841BF" w:rsidRDefault="008C487C" w14:paraId="5C465513" w14:textId="219AC04F">
      <w:pPr>
        <w:spacing w:before="120" w:line="276" w:lineRule="auto"/>
        <w:ind w:firstLine="708"/>
        <w:jc w:val="both"/>
        <w:rPr>
          <w:rFonts w:ascii="Arial" w:hAnsi="Arial" w:cs="Arial"/>
          <w:color w:val="000000" w:themeColor="text1"/>
          <w:sz w:val="22"/>
          <w:lang w:val="es-CO"/>
        </w:rPr>
      </w:pPr>
      <w:r w:rsidRPr="00803D6A">
        <w:rPr>
          <w:rFonts w:ascii="Arial" w:hAnsi="Arial" w:cs="Arial"/>
          <w:color w:val="000000" w:themeColor="text1"/>
          <w:sz w:val="22"/>
          <w:lang w:val="es-CO"/>
        </w:rPr>
        <w:t>El numeral segundo</w:t>
      </w:r>
      <w:r w:rsidR="002A6FE3">
        <w:rPr>
          <w:rFonts w:ascii="Arial" w:hAnsi="Arial" w:cs="Arial"/>
          <w:color w:val="000000" w:themeColor="text1"/>
          <w:sz w:val="22"/>
          <w:lang w:val="es-CO"/>
        </w:rPr>
        <w:t xml:space="preserve"> del artículo analizado</w:t>
      </w:r>
      <w:r w:rsidRPr="00803D6A">
        <w:rPr>
          <w:rFonts w:ascii="Arial" w:hAnsi="Arial" w:cs="Arial"/>
          <w:color w:val="000000" w:themeColor="text1"/>
          <w:sz w:val="22"/>
          <w:lang w:val="es-CO"/>
        </w:rPr>
        <w:t xml:space="preserve"> establece dos exigencias: por un lado, que al menos tres (3) Mipymes nacionales presenten a la entidad la solicitud formal de limitar el proceso contractual; y por el otro, que hagan la solicitud por lo menos un día antes de la apertura del proceso de contratación. En relación con tales exigencias, Colombia Compra Eficiente ha precisado que «[s]i bien la normativa del sistema de compra p</w:t>
      </w:r>
      <w:r w:rsidR="00816ED3">
        <w:rPr>
          <w:rFonts w:ascii="Arial" w:hAnsi="Arial" w:cs="Arial"/>
          <w:color w:val="000000" w:themeColor="text1"/>
          <w:sz w:val="22"/>
          <w:lang w:val="es-CO"/>
        </w:rPr>
        <w:t>ú</w:t>
      </w:r>
      <w:r w:rsidRPr="00803D6A">
        <w:rPr>
          <w:rFonts w:ascii="Arial" w:hAnsi="Arial" w:cs="Arial"/>
          <w:color w:val="000000" w:themeColor="text1"/>
          <w:sz w:val="22"/>
          <w:lang w:val="es-CO"/>
        </w:rPr>
        <w:t>blica no establece como requisito acreditar la relación entre el objeto de la Mipyme y el objeto contrato, es imperativo que la entidad estatal verifique que quienes solicitan la limitación del proceso a Mipyme tienen un objeto social similar al objeto del contrato y, de ser así, la entidad deberá limitar el proceso de contratación a Mipymes»</w:t>
      </w:r>
      <w:r w:rsidRPr="00803D6A">
        <w:rPr>
          <w:rStyle w:val="Refdenotaalpie"/>
          <w:rFonts w:ascii="Arial" w:hAnsi="Arial" w:cs="Arial"/>
          <w:color w:val="000000" w:themeColor="text1"/>
          <w:sz w:val="22"/>
          <w:lang w:val="es-CO"/>
        </w:rPr>
        <w:footnoteReference w:id="9"/>
      </w:r>
      <w:r w:rsidRPr="00803D6A">
        <w:rPr>
          <w:rFonts w:ascii="Arial" w:hAnsi="Arial" w:cs="Arial"/>
          <w:color w:val="000000" w:themeColor="text1"/>
          <w:sz w:val="22"/>
          <w:lang w:val="es-CO"/>
        </w:rPr>
        <w:t>.</w:t>
      </w:r>
      <w:r w:rsidRPr="00803D6A">
        <w:rPr>
          <w:rFonts w:ascii="Arial" w:hAnsi="Arial" w:cs="Arial"/>
          <w:i/>
          <w:iCs/>
          <w:color w:val="000000" w:themeColor="text1"/>
          <w:sz w:val="22"/>
          <w:lang w:val="es-CO"/>
        </w:rPr>
        <w:t xml:space="preserve"> </w:t>
      </w:r>
      <w:r w:rsidRPr="00803D6A">
        <w:rPr>
          <w:rFonts w:ascii="Arial" w:hAnsi="Arial" w:cs="Arial"/>
          <w:color w:val="000000" w:themeColor="text1"/>
          <w:sz w:val="22"/>
          <w:lang w:val="es-CO"/>
        </w:rPr>
        <w:t>También ha dicho que la entidad estatal debe aceptar las ofertas de consorcios o uniones temporales formados exclusivamente por Mipyme y promesas de sociedad futura suscritas por Mipyme»</w:t>
      </w:r>
      <w:r w:rsidRPr="00803D6A">
        <w:rPr>
          <w:rStyle w:val="Refdenotaalpie"/>
          <w:rFonts w:ascii="Arial" w:hAnsi="Arial" w:cs="Arial"/>
          <w:color w:val="000000" w:themeColor="text1"/>
          <w:sz w:val="22"/>
          <w:lang w:val="es-CO"/>
        </w:rPr>
        <w:footnoteReference w:id="10"/>
      </w:r>
      <w:r w:rsidRPr="00803D6A">
        <w:rPr>
          <w:rFonts w:ascii="Arial" w:hAnsi="Arial" w:cs="Arial"/>
          <w:color w:val="000000" w:themeColor="text1"/>
          <w:sz w:val="22"/>
          <w:lang w:val="es-CO"/>
        </w:rPr>
        <w:t xml:space="preserve">. </w:t>
      </w:r>
    </w:p>
    <w:p w:rsidRPr="00803D6A" w:rsidR="002841BF" w:rsidP="00133BA4" w:rsidRDefault="002841BF" w14:paraId="07979520" w14:textId="77777777">
      <w:pPr>
        <w:spacing w:line="276" w:lineRule="auto"/>
        <w:ind w:firstLine="708"/>
        <w:jc w:val="both"/>
        <w:rPr>
          <w:rFonts w:ascii="Arial" w:hAnsi="Arial" w:cs="Arial"/>
          <w:color w:val="000000" w:themeColor="text1"/>
          <w:sz w:val="22"/>
          <w:lang w:val="es-CO"/>
        </w:rPr>
      </w:pPr>
    </w:p>
    <w:p w:rsidR="002841BF" w:rsidP="00133BA4" w:rsidRDefault="005608B8" w14:paraId="04E634BC" w14:textId="7EE59DCA">
      <w:pPr>
        <w:spacing w:line="276" w:lineRule="auto"/>
        <w:jc w:val="both"/>
        <w:rPr>
          <w:rFonts w:ascii="Arial" w:hAnsi="Arial" w:eastAsia="Calibri" w:cs="Arial"/>
          <w:b/>
          <w:bCs/>
          <w:color w:val="000000" w:themeColor="text1"/>
          <w:sz w:val="22"/>
          <w:lang w:val="es-CO"/>
        </w:rPr>
      </w:pPr>
      <w:r w:rsidRPr="005608B8">
        <w:rPr>
          <w:rFonts w:ascii="Arial" w:hAnsi="Arial" w:eastAsia="Calibri" w:cs="Arial"/>
          <w:b/>
          <w:bCs/>
          <w:color w:val="000000" w:themeColor="text1"/>
          <w:sz w:val="22"/>
          <w:lang w:val="es-CO"/>
        </w:rPr>
        <w:t>2.</w:t>
      </w:r>
      <w:r w:rsidR="00716A74">
        <w:rPr>
          <w:rFonts w:ascii="Arial" w:hAnsi="Arial" w:eastAsia="Calibri" w:cs="Arial"/>
          <w:b/>
          <w:bCs/>
          <w:color w:val="000000" w:themeColor="text1"/>
          <w:sz w:val="22"/>
          <w:lang w:val="es-CO"/>
        </w:rPr>
        <w:t>2</w:t>
      </w:r>
      <w:r w:rsidRPr="005608B8">
        <w:rPr>
          <w:rFonts w:ascii="Arial" w:hAnsi="Arial" w:eastAsia="Calibri" w:cs="Arial"/>
          <w:b/>
          <w:bCs/>
          <w:color w:val="000000" w:themeColor="text1"/>
          <w:sz w:val="22"/>
          <w:lang w:val="es-CO"/>
        </w:rPr>
        <w:t xml:space="preserve">. </w:t>
      </w:r>
      <w:r w:rsidR="008B1879">
        <w:rPr>
          <w:rFonts w:ascii="Arial" w:hAnsi="Arial" w:eastAsia="Calibri" w:cs="Arial"/>
          <w:b/>
          <w:bCs/>
          <w:color w:val="000000" w:themeColor="text1"/>
          <w:sz w:val="22"/>
          <w:lang w:val="es-CO"/>
        </w:rPr>
        <w:t>El</w:t>
      </w:r>
      <w:r>
        <w:rPr>
          <w:rFonts w:ascii="Arial" w:hAnsi="Arial" w:eastAsia="Calibri" w:cs="Arial"/>
          <w:b/>
          <w:bCs/>
          <w:color w:val="000000" w:themeColor="text1"/>
          <w:sz w:val="22"/>
          <w:lang w:val="es-CO"/>
        </w:rPr>
        <w:t xml:space="preserve"> </w:t>
      </w:r>
      <w:r w:rsidR="002841BF">
        <w:rPr>
          <w:rFonts w:ascii="Arial" w:hAnsi="Arial" w:eastAsia="Calibri" w:cs="Arial"/>
          <w:b/>
          <w:bCs/>
          <w:color w:val="000000" w:themeColor="text1"/>
          <w:sz w:val="22"/>
          <w:lang w:val="es-CO"/>
        </w:rPr>
        <w:t>requisito</w:t>
      </w:r>
      <w:r w:rsidR="00716A74">
        <w:rPr>
          <w:rFonts w:ascii="Arial" w:hAnsi="Arial" w:eastAsia="Calibri" w:cs="Arial"/>
          <w:b/>
          <w:bCs/>
          <w:color w:val="000000" w:themeColor="text1"/>
          <w:sz w:val="22"/>
          <w:lang w:val="es-CO"/>
        </w:rPr>
        <w:t xml:space="preserve"> de</w:t>
      </w:r>
      <w:r w:rsidR="008B1879">
        <w:rPr>
          <w:rFonts w:ascii="Arial" w:hAnsi="Arial" w:eastAsia="Calibri" w:cs="Arial"/>
          <w:b/>
          <w:bCs/>
          <w:color w:val="000000" w:themeColor="text1"/>
          <w:sz w:val="22"/>
          <w:lang w:val="es-CO"/>
        </w:rPr>
        <w:t xml:space="preserve"> acreditar por lo menos un año de existencia</w:t>
      </w:r>
      <w:r w:rsidR="00716A74">
        <w:rPr>
          <w:rFonts w:ascii="Arial" w:hAnsi="Arial" w:eastAsia="Calibri" w:cs="Arial"/>
          <w:b/>
          <w:bCs/>
          <w:color w:val="000000" w:themeColor="text1"/>
          <w:sz w:val="22"/>
          <w:lang w:val="es-CO"/>
        </w:rPr>
        <w:t xml:space="preserve"> </w:t>
      </w:r>
      <w:r w:rsidR="008B1879">
        <w:rPr>
          <w:rFonts w:ascii="Arial" w:hAnsi="Arial" w:eastAsia="Calibri" w:cs="Arial"/>
          <w:b/>
          <w:bCs/>
          <w:color w:val="000000" w:themeColor="text1"/>
          <w:sz w:val="22"/>
          <w:lang w:val="es-CO"/>
        </w:rPr>
        <w:t>para que</w:t>
      </w:r>
      <w:r w:rsidR="00716A74">
        <w:rPr>
          <w:rFonts w:ascii="Arial" w:hAnsi="Arial" w:eastAsia="Calibri" w:cs="Arial"/>
          <w:b/>
          <w:bCs/>
          <w:color w:val="000000" w:themeColor="text1"/>
          <w:sz w:val="22"/>
          <w:lang w:val="es-CO"/>
        </w:rPr>
        <w:t xml:space="preserve"> la Mipyme </w:t>
      </w:r>
      <w:r w:rsidR="008B1879">
        <w:rPr>
          <w:rFonts w:ascii="Arial" w:hAnsi="Arial" w:eastAsia="Calibri" w:cs="Arial"/>
          <w:b/>
          <w:bCs/>
          <w:color w:val="000000" w:themeColor="text1"/>
          <w:sz w:val="22"/>
          <w:lang w:val="es-CO"/>
        </w:rPr>
        <w:t>pueda participar en una convocatoria limitada</w:t>
      </w:r>
    </w:p>
    <w:p w:rsidR="002841BF" w:rsidP="00133BA4" w:rsidRDefault="002841BF" w14:paraId="13E8F002" w14:textId="77777777">
      <w:pPr>
        <w:spacing w:line="276" w:lineRule="auto"/>
        <w:jc w:val="both"/>
        <w:rPr>
          <w:rFonts w:ascii="Arial" w:hAnsi="Arial" w:eastAsia="Calibri" w:cs="Arial"/>
          <w:b/>
          <w:bCs/>
          <w:color w:val="000000" w:themeColor="text1"/>
          <w:sz w:val="22"/>
          <w:lang w:val="es-CO"/>
        </w:rPr>
      </w:pPr>
    </w:p>
    <w:p w:rsidR="00266105" w:rsidP="00133BA4" w:rsidRDefault="00716A74" w14:paraId="660BF568" w14:textId="3B81CC50">
      <w:pPr>
        <w:spacing w:line="276" w:lineRule="auto"/>
        <w:jc w:val="both"/>
        <w:rPr>
          <w:rFonts w:ascii="Arial" w:hAnsi="Arial" w:eastAsia="Calibri" w:cs="Arial"/>
          <w:color w:val="000000" w:themeColor="text1"/>
          <w:sz w:val="22"/>
          <w:lang w:val="es-CO"/>
        </w:rPr>
      </w:pPr>
      <w:r>
        <w:rPr>
          <w:rFonts w:ascii="Arial" w:hAnsi="Arial" w:eastAsia="Calibri" w:cs="Arial"/>
          <w:color w:val="000000" w:themeColor="text1"/>
          <w:sz w:val="22"/>
          <w:lang w:val="es-CO"/>
        </w:rPr>
        <w:t xml:space="preserve">Otro de los requisitos que establece el artículo </w:t>
      </w:r>
      <w:r w:rsidRPr="00716A74">
        <w:rPr>
          <w:rFonts w:ascii="Arial" w:hAnsi="Arial" w:eastAsia="Calibri" w:cs="Arial"/>
          <w:color w:val="000000" w:themeColor="text1"/>
          <w:sz w:val="22"/>
          <w:lang w:val="es-CO"/>
        </w:rPr>
        <w:t>2.2.1.2.4.2.2. del Decreto 1082 de 2015</w:t>
      </w:r>
      <w:r w:rsidR="00C07803">
        <w:rPr>
          <w:rFonts w:ascii="Arial" w:hAnsi="Arial" w:eastAsia="Calibri" w:cs="Arial"/>
          <w:color w:val="000000" w:themeColor="text1"/>
          <w:sz w:val="22"/>
          <w:lang w:val="es-CO"/>
        </w:rPr>
        <w:t xml:space="preserve">, consiste en que la Mipyme que pretenda participar en este tipo de convocatoria acredite por lo menos un año de existencia. </w:t>
      </w:r>
      <w:r w:rsidR="00672093">
        <w:rPr>
          <w:rFonts w:ascii="Arial" w:hAnsi="Arial" w:eastAsia="Calibri" w:cs="Arial"/>
          <w:color w:val="000000" w:themeColor="text1"/>
          <w:sz w:val="22"/>
          <w:lang w:val="es-CO"/>
        </w:rPr>
        <w:t>La consulta que se presenta</w:t>
      </w:r>
      <w:r w:rsidR="00184163">
        <w:rPr>
          <w:rFonts w:ascii="Arial" w:hAnsi="Arial" w:eastAsia="Calibri" w:cs="Arial"/>
          <w:color w:val="000000" w:themeColor="text1"/>
          <w:sz w:val="22"/>
          <w:lang w:val="es-CO"/>
        </w:rPr>
        <w:t xml:space="preserve"> indaga sobre</w:t>
      </w:r>
      <w:r w:rsidR="00266105">
        <w:rPr>
          <w:rFonts w:ascii="Arial" w:hAnsi="Arial" w:eastAsia="Calibri" w:cs="Arial"/>
          <w:color w:val="000000" w:themeColor="text1"/>
          <w:sz w:val="22"/>
          <w:lang w:val="es-CO"/>
        </w:rPr>
        <w:t xml:space="preserve"> el alcance de</w:t>
      </w:r>
      <w:r w:rsidR="00184163">
        <w:rPr>
          <w:rFonts w:ascii="Arial" w:hAnsi="Arial" w:eastAsia="Calibri" w:cs="Arial"/>
          <w:color w:val="000000" w:themeColor="text1"/>
          <w:sz w:val="22"/>
          <w:lang w:val="es-CO"/>
        </w:rPr>
        <w:t>l</w:t>
      </w:r>
      <w:r w:rsidR="00266105">
        <w:rPr>
          <w:rFonts w:ascii="Arial" w:hAnsi="Arial" w:eastAsia="Calibri" w:cs="Arial"/>
          <w:color w:val="000000" w:themeColor="text1"/>
          <w:sz w:val="22"/>
          <w:lang w:val="es-CO"/>
        </w:rPr>
        <w:t xml:space="preserve"> requisito </w:t>
      </w:r>
      <w:r w:rsidR="00184163">
        <w:rPr>
          <w:rFonts w:ascii="Arial" w:hAnsi="Arial" w:eastAsia="Calibri" w:cs="Arial"/>
          <w:color w:val="000000" w:themeColor="text1"/>
          <w:sz w:val="22"/>
          <w:lang w:val="es-CO"/>
        </w:rPr>
        <w:t>mencionado</w:t>
      </w:r>
      <w:r w:rsidR="00266105">
        <w:rPr>
          <w:rFonts w:ascii="Arial" w:hAnsi="Arial" w:eastAsia="Calibri" w:cs="Arial"/>
          <w:color w:val="000000" w:themeColor="text1"/>
          <w:sz w:val="22"/>
          <w:lang w:val="es-CO"/>
        </w:rPr>
        <w:t>, pues como bien menciona el peticionario, el artículo 2.2.1.2.4.2.4.</w:t>
      </w:r>
      <w:r w:rsidR="00FB2D4A">
        <w:rPr>
          <w:rFonts w:ascii="Arial" w:hAnsi="Arial" w:eastAsia="Calibri" w:cs="Arial"/>
          <w:color w:val="000000" w:themeColor="text1"/>
          <w:sz w:val="22"/>
          <w:lang w:val="es-CO"/>
        </w:rPr>
        <w:t>,</w:t>
      </w:r>
      <w:r w:rsidR="00FB2D4A">
        <w:rPr>
          <w:rStyle w:val="Refdenotaalpie"/>
          <w:rFonts w:ascii="Arial" w:hAnsi="Arial" w:eastAsia="Calibri" w:cs="Arial"/>
          <w:color w:val="000000" w:themeColor="text1"/>
          <w:sz w:val="22"/>
          <w:lang w:val="es-CO"/>
        </w:rPr>
        <w:footnoteReference w:id="11"/>
      </w:r>
      <w:r w:rsidR="00266105">
        <w:rPr>
          <w:rFonts w:ascii="Arial" w:hAnsi="Arial" w:eastAsia="Calibri" w:cs="Arial"/>
          <w:color w:val="000000" w:themeColor="text1"/>
          <w:sz w:val="22"/>
          <w:lang w:val="es-CO"/>
        </w:rPr>
        <w:t xml:space="preserve"> que en principio regula la acreditación de requisitos para participar en convocatorias limitadas, no menciona la acreditación de existencia como elemento para poder ser part</w:t>
      </w:r>
      <w:r w:rsidR="00D63D6B">
        <w:rPr>
          <w:rFonts w:ascii="Arial" w:hAnsi="Arial" w:eastAsia="Calibri" w:cs="Arial"/>
          <w:color w:val="000000" w:themeColor="text1"/>
          <w:sz w:val="22"/>
          <w:lang w:val="es-CO"/>
        </w:rPr>
        <w:t>í</w:t>
      </w:r>
      <w:r w:rsidR="00266105">
        <w:rPr>
          <w:rFonts w:ascii="Arial" w:hAnsi="Arial" w:eastAsia="Calibri" w:cs="Arial"/>
          <w:color w:val="000000" w:themeColor="text1"/>
          <w:sz w:val="22"/>
          <w:lang w:val="es-CO"/>
        </w:rPr>
        <w:t>cipe en el proceso de selección.</w:t>
      </w:r>
    </w:p>
    <w:p w:rsidR="00266105" w:rsidP="00D63D6B" w:rsidRDefault="00266105" w14:paraId="630832CC" w14:textId="780F6BA1">
      <w:pPr>
        <w:spacing w:before="120" w:line="276" w:lineRule="auto"/>
        <w:ind w:firstLine="708"/>
        <w:jc w:val="both"/>
        <w:rPr>
          <w:rFonts w:ascii="Arial" w:hAnsi="Arial" w:eastAsia="Calibri" w:cs="Arial"/>
          <w:color w:val="000000" w:themeColor="text1"/>
          <w:sz w:val="22"/>
          <w:lang w:val="es-CO"/>
        </w:rPr>
      </w:pPr>
      <w:r>
        <w:rPr>
          <w:rFonts w:ascii="Arial" w:hAnsi="Arial" w:eastAsia="Calibri" w:cs="Arial"/>
          <w:color w:val="000000" w:themeColor="text1"/>
          <w:sz w:val="22"/>
          <w:lang w:val="es-CO"/>
        </w:rPr>
        <w:t>De todos modos, esta entidad considera que la acreditación</w:t>
      </w:r>
      <w:r w:rsidR="00BF47E8">
        <w:rPr>
          <w:rFonts w:ascii="Arial" w:hAnsi="Arial" w:eastAsia="Calibri" w:cs="Arial"/>
          <w:color w:val="000000" w:themeColor="text1"/>
          <w:sz w:val="22"/>
          <w:lang w:val="es-CO"/>
        </w:rPr>
        <w:t xml:space="preserve"> de un año de existencia</w:t>
      </w:r>
      <w:r>
        <w:rPr>
          <w:rFonts w:ascii="Arial" w:hAnsi="Arial" w:eastAsia="Calibri" w:cs="Arial"/>
          <w:color w:val="000000" w:themeColor="text1"/>
          <w:sz w:val="22"/>
          <w:lang w:val="es-CO"/>
        </w:rPr>
        <w:t xml:space="preserve"> es un requisito inescindible para poder participar en la convocatoria limitada a Mipyme</w:t>
      </w:r>
      <w:r w:rsidR="00BF47E8">
        <w:rPr>
          <w:rFonts w:ascii="Arial" w:hAnsi="Arial" w:eastAsia="Calibri" w:cs="Arial"/>
          <w:color w:val="000000" w:themeColor="text1"/>
          <w:sz w:val="22"/>
          <w:lang w:val="es-CO"/>
        </w:rPr>
        <w:t xml:space="preserve"> y</w:t>
      </w:r>
      <w:r w:rsidR="00D63D6B">
        <w:rPr>
          <w:rFonts w:ascii="Arial" w:hAnsi="Arial" w:eastAsia="Calibri" w:cs="Arial"/>
          <w:color w:val="000000" w:themeColor="text1"/>
          <w:sz w:val="22"/>
          <w:lang w:val="es-CO"/>
        </w:rPr>
        <w:t xml:space="preserve"> </w:t>
      </w:r>
      <w:r w:rsidR="00BF47E8">
        <w:rPr>
          <w:rFonts w:ascii="Arial" w:hAnsi="Arial" w:eastAsia="Calibri" w:cs="Arial"/>
          <w:color w:val="000000" w:themeColor="text1"/>
          <w:sz w:val="22"/>
          <w:lang w:val="es-CO"/>
        </w:rPr>
        <w:t xml:space="preserve">como tal no corresponde a una condición para limitar </w:t>
      </w:r>
      <w:r w:rsidR="006841A3">
        <w:rPr>
          <w:rFonts w:ascii="Arial" w:hAnsi="Arial" w:eastAsia="Calibri" w:cs="Arial"/>
          <w:color w:val="000000" w:themeColor="text1"/>
          <w:sz w:val="22"/>
          <w:lang w:val="es-CO"/>
        </w:rPr>
        <w:t xml:space="preserve">este tipo de convocatorias. </w:t>
      </w:r>
    </w:p>
    <w:p w:rsidR="00716A74" w:rsidP="00572301" w:rsidRDefault="007F2DB3" w14:paraId="0B0AE725" w14:textId="77DC0A48">
      <w:pPr>
        <w:spacing w:before="120" w:line="276" w:lineRule="auto"/>
        <w:ind w:firstLine="709"/>
        <w:jc w:val="both"/>
        <w:rPr>
          <w:rFonts w:ascii="Arial" w:hAnsi="Arial" w:eastAsia="Calibri" w:cs="Arial"/>
          <w:color w:val="000000" w:themeColor="text1"/>
          <w:sz w:val="22"/>
          <w:lang w:val="es-CO"/>
        </w:rPr>
      </w:pPr>
      <w:r>
        <w:rPr>
          <w:rFonts w:ascii="Arial" w:hAnsi="Arial" w:eastAsia="Calibri" w:cs="Arial"/>
          <w:color w:val="000000" w:themeColor="text1"/>
          <w:sz w:val="22"/>
          <w:lang w:val="es-CO"/>
        </w:rPr>
        <w:t>La mencionada tesis se sustenta con base en los siguientes criterios: i) la interpretación lógica del artículo 2.2.1.2.4.2.2. del Decreto 1082 de 2015; ii) la interpretación sistemática de los artículos 2.2.1.2.4.2.2. y 2.2.1.2.4.2.4.</w:t>
      </w:r>
      <w:r w:rsidR="00D63D6B">
        <w:rPr>
          <w:rFonts w:ascii="Arial" w:hAnsi="Arial" w:eastAsia="Calibri" w:cs="Arial"/>
          <w:color w:val="000000" w:themeColor="text1"/>
          <w:sz w:val="22"/>
          <w:lang w:val="es-CO"/>
        </w:rPr>
        <w:t xml:space="preserve"> del Decreto 1082 de 2015, y el parágrafo 2 del artículo 12 de la Ley 1150 de 2007</w:t>
      </w:r>
      <w:r>
        <w:rPr>
          <w:rFonts w:ascii="Arial" w:hAnsi="Arial" w:eastAsia="Calibri" w:cs="Arial"/>
          <w:color w:val="000000" w:themeColor="text1"/>
          <w:sz w:val="22"/>
          <w:lang w:val="es-CO"/>
        </w:rPr>
        <w:t xml:space="preserve">; y iii) la aplicación del criterio de jerarquía normativa. </w:t>
      </w:r>
    </w:p>
    <w:p w:rsidR="007E3606" w:rsidP="00572301" w:rsidRDefault="007F2DB3" w14:paraId="4C5291C5" w14:textId="1E89B81B">
      <w:pPr>
        <w:spacing w:before="120" w:line="276" w:lineRule="auto"/>
        <w:ind w:firstLine="709"/>
        <w:jc w:val="both"/>
        <w:rPr>
          <w:rFonts w:ascii="Arial" w:hAnsi="Arial" w:eastAsia="Calibri" w:cs="Arial"/>
          <w:color w:val="000000" w:themeColor="text1"/>
          <w:sz w:val="22"/>
          <w:lang w:val="es-CO"/>
        </w:rPr>
      </w:pPr>
      <w:r>
        <w:rPr>
          <w:rFonts w:ascii="Arial" w:hAnsi="Arial" w:eastAsia="Calibri" w:cs="Arial"/>
          <w:color w:val="000000" w:themeColor="text1"/>
          <w:sz w:val="22"/>
          <w:lang w:val="es-CO"/>
        </w:rPr>
        <w:t xml:space="preserve">En primer lugar, es necesario recordar que el ordenamiento jurídico colombiano establece unas reglas para la interpretación de textos normativos, consagradas en los artículos </w:t>
      </w:r>
      <w:r w:rsidR="00E91499">
        <w:rPr>
          <w:rFonts w:ascii="Arial" w:hAnsi="Arial" w:eastAsia="Calibri" w:cs="Arial"/>
          <w:color w:val="000000" w:themeColor="text1"/>
          <w:sz w:val="22"/>
          <w:lang w:val="es-CO"/>
        </w:rPr>
        <w:t>25 a 32 del Código Civil. Asimismo, la</w:t>
      </w:r>
      <w:r w:rsidR="00A96BDF">
        <w:rPr>
          <w:rFonts w:ascii="Arial" w:hAnsi="Arial" w:eastAsia="Calibri" w:cs="Arial"/>
          <w:color w:val="000000" w:themeColor="text1"/>
          <w:sz w:val="22"/>
          <w:lang w:val="es-CO"/>
        </w:rPr>
        <w:t xml:space="preserve"> jurisprudencia nacional</w:t>
      </w:r>
      <w:r w:rsidR="00E91499">
        <w:rPr>
          <w:rFonts w:ascii="Arial" w:hAnsi="Arial" w:eastAsia="Calibri" w:cs="Arial"/>
          <w:color w:val="000000" w:themeColor="text1"/>
          <w:sz w:val="22"/>
          <w:lang w:val="es-CO"/>
        </w:rPr>
        <w:t xml:space="preserve"> ha desarrollado conceptualmente los métodos de interpretación refereridos en el Código Civil, complementado estas reglas con la doctrina de importantes autores como Savigny o Gény</w:t>
      </w:r>
      <w:r w:rsidR="00E91499">
        <w:rPr>
          <w:rStyle w:val="Refdenotaalpie"/>
          <w:rFonts w:ascii="Arial" w:hAnsi="Arial" w:eastAsia="Calibri" w:cs="Arial"/>
          <w:color w:val="000000" w:themeColor="text1"/>
          <w:sz w:val="22"/>
          <w:lang w:val="es-CO"/>
        </w:rPr>
        <w:footnoteReference w:id="12"/>
      </w:r>
      <w:r w:rsidR="00E91499">
        <w:rPr>
          <w:rFonts w:ascii="Arial" w:hAnsi="Arial" w:eastAsia="Calibri" w:cs="Arial"/>
          <w:color w:val="000000" w:themeColor="text1"/>
          <w:sz w:val="22"/>
          <w:lang w:val="es-CO"/>
        </w:rPr>
        <w:t xml:space="preserve">. Del desarrollo que se le ha dado a los métodos de interpretación, se puede hacer una clasificación de estas reglas en cuatro </w:t>
      </w:r>
      <w:r w:rsidR="001611D8">
        <w:rPr>
          <w:rFonts w:ascii="Arial" w:hAnsi="Arial" w:eastAsia="Calibri" w:cs="Arial"/>
          <w:color w:val="000000" w:themeColor="text1"/>
          <w:sz w:val="22"/>
          <w:lang w:val="es-CO"/>
        </w:rPr>
        <w:t>categorías</w:t>
      </w:r>
      <w:r w:rsidR="00E91499">
        <w:rPr>
          <w:rFonts w:ascii="Arial" w:hAnsi="Arial" w:eastAsia="Calibri" w:cs="Arial"/>
          <w:color w:val="000000" w:themeColor="text1"/>
          <w:sz w:val="22"/>
          <w:lang w:val="es-CO"/>
        </w:rPr>
        <w:t>:</w:t>
      </w:r>
      <w:r w:rsidR="001611D8">
        <w:rPr>
          <w:rFonts w:ascii="Arial" w:hAnsi="Arial" w:eastAsia="Calibri" w:cs="Arial"/>
          <w:color w:val="000000" w:themeColor="text1"/>
          <w:sz w:val="22"/>
          <w:lang w:val="es-CO"/>
        </w:rPr>
        <w:t xml:space="preserve"> la gramatical, la lógica, la histórica y la sistemática</w:t>
      </w:r>
      <w:r w:rsidR="001611D8">
        <w:rPr>
          <w:rStyle w:val="Refdenotaalpie"/>
          <w:rFonts w:ascii="Arial" w:hAnsi="Arial" w:eastAsia="Calibri" w:cs="Arial"/>
          <w:color w:val="000000" w:themeColor="text1"/>
          <w:sz w:val="22"/>
          <w:lang w:val="es-CO"/>
        </w:rPr>
        <w:footnoteReference w:id="13"/>
      </w:r>
      <w:r w:rsidR="001611D8">
        <w:rPr>
          <w:rFonts w:ascii="Arial" w:hAnsi="Arial" w:eastAsia="Calibri" w:cs="Arial"/>
          <w:color w:val="000000" w:themeColor="text1"/>
          <w:sz w:val="22"/>
          <w:lang w:val="es-CO"/>
        </w:rPr>
        <w:t xml:space="preserve">. </w:t>
      </w:r>
    </w:p>
    <w:p w:rsidRPr="004C674E" w:rsidR="007F2DB3" w:rsidP="00572301" w:rsidRDefault="001611D8" w14:paraId="2E894030" w14:textId="24689A22">
      <w:pPr>
        <w:spacing w:before="120" w:line="276" w:lineRule="auto"/>
        <w:ind w:firstLine="709"/>
        <w:jc w:val="both"/>
        <w:rPr>
          <w:rFonts w:ascii="Arial" w:hAnsi="Arial" w:eastAsia="Calibri" w:cs="Arial"/>
          <w:color w:val="000000" w:themeColor="text1"/>
          <w:sz w:val="22"/>
          <w:lang w:val="es-CO"/>
        </w:rPr>
      </w:pPr>
      <w:r w:rsidRPr="004C674E">
        <w:rPr>
          <w:rFonts w:ascii="Arial" w:hAnsi="Arial" w:eastAsia="Calibri" w:cs="Arial"/>
          <w:color w:val="000000" w:themeColor="text1"/>
          <w:sz w:val="22"/>
          <w:lang w:val="es-CO"/>
        </w:rPr>
        <w:t>Ahora bien, teniendo en cuenta las consideraciones de la consulta elevada, se dará prevalencia a la aplicación de los criterios de interpretación lógica y sistemática, pues tal como se infiere de la petición, de una interpretación eminentemente gramatical de los artículos 2.2.1.2.4.2.2 y 2.2.1.2.4.2.4</w:t>
      </w:r>
      <w:r w:rsidRPr="004C674E" w:rsidR="00D91FD1">
        <w:rPr>
          <w:rFonts w:ascii="Arial" w:hAnsi="Arial" w:eastAsia="Calibri" w:cs="Arial"/>
          <w:color w:val="000000" w:themeColor="text1"/>
          <w:sz w:val="22"/>
          <w:lang w:val="es-CO"/>
        </w:rPr>
        <w:t>., no es posible determinar si el requisito</w:t>
      </w:r>
      <w:r w:rsidRPr="004C674E" w:rsidR="007E3606">
        <w:rPr>
          <w:rFonts w:ascii="Arial" w:hAnsi="Arial" w:eastAsia="Calibri" w:cs="Arial"/>
          <w:color w:val="000000" w:themeColor="text1"/>
          <w:sz w:val="22"/>
          <w:lang w:val="es-CO"/>
        </w:rPr>
        <w:t xml:space="preserve"> de acreditar un año de ex</w:t>
      </w:r>
      <w:r w:rsidRPr="004C674E" w:rsidR="004C674E">
        <w:rPr>
          <w:rFonts w:ascii="Arial" w:hAnsi="Arial" w:eastAsia="Calibri" w:cs="Arial"/>
          <w:color w:val="000000" w:themeColor="text1"/>
          <w:sz w:val="22"/>
          <w:lang w:val="es-CO"/>
        </w:rPr>
        <w:t>istencia</w:t>
      </w:r>
      <w:r w:rsidRPr="004C674E" w:rsidR="007E3606">
        <w:rPr>
          <w:rFonts w:ascii="Arial" w:hAnsi="Arial" w:eastAsia="Calibri" w:cs="Arial"/>
          <w:color w:val="000000" w:themeColor="text1"/>
          <w:sz w:val="22"/>
          <w:lang w:val="es-CO"/>
        </w:rPr>
        <w:t xml:space="preserve"> es necesario</w:t>
      </w:r>
      <w:r w:rsidRPr="004C674E" w:rsidR="00D91FD1">
        <w:rPr>
          <w:rFonts w:ascii="Arial" w:hAnsi="Arial" w:eastAsia="Calibri" w:cs="Arial"/>
          <w:color w:val="000000" w:themeColor="text1"/>
          <w:sz w:val="22"/>
          <w:lang w:val="es-CO"/>
        </w:rPr>
        <w:t xml:space="preserve"> para participar en un proceso limitado a Mypimes</w:t>
      </w:r>
      <w:r w:rsidRPr="004C674E" w:rsidR="007E3606">
        <w:rPr>
          <w:rFonts w:ascii="Arial" w:hAnsi="Arial" w:eastAsia="Calibri" w:cs="Arial"/>
          <w:color w:val="000000" w:themeColor="text1"/>
          <w:sz w:val="22"/>
          <w:lang w:val="es-CO"/>
        </w:rPr>
        <w:t>. P</w:t>
      </w:r>
      <w:r w:rsidRPr="004C674E" w:rsidR="00D91FD1">
        <w:rPr>
          <w:rFonts w:ascii="Arial" w:hAnsi="Arial" w:eastAsia="Calibri" w:cs="Arial"/>
          <w:color w:val="000000" w:themeColor="text1"/>
          <w:sz w:val="22"/>
          <w:lang w:val="es-CO"/>
        </w:rPr>
        <w:t>or otro lado, el elemento histórico</w:t>
      </w:r>
      <w:r w:rsidRPr="004C674E" w:rsidR="00D91FD1">
        <w:rPr>
          <w:rStyle w:val="Refdenotaalpie"/>
          <w:rFonts w:ascii="Arial" w:hAnsi="Arial" w:eastAsia="Calibri" w:cs="Arial"/>
          <w:color w:val="000000" w:themeColor="text1"/>
          <w:sz w:val="22"/>
          <w:lang w:val="es-CO"/>
        </w:rPr>
        <w:footnoteReference w:id="14"/>
      </w:r>
      <w:r w:rsidRPr="004C674E" w:rsidR="00D91FD1">
        <w:rPr>
          <w:rFonts w:ascii="Arial" w:hAnsi="Arial" w:eastAsia="Calibri" w:cs="Arial"/>
          <w:color w:val="000000" w:themeColor="text1"/>
          <w:sz w:val="22"/>
          <w:lang w:val="es-CO"/>
        </w:rPr>
        <w:t xml:space="preserve"> no es aplicable, debido a que no se evidencian cambios que incidan en la interpretación de la norma desde el momento en que entr</w:t>
      </w:r>
      <w:r w:rsidR="006841A3">
        <w:rPr>
          <w:rFonts w:ascii="Arial" w:hAnsi="Arial" w:eastAsia="Calibri" w:cs="Arial"/>
          <w:color w:val="000000" w:themeColor="text1"/>
          <w:sz w:val="22"/>
          <w:lang w:val="es-CO"/>
        </w:rPr>
        <w:t>ó</w:t>
      </w:r>
      <w:r w:rsidRPr="004C674E" w:rsidR="00D91FD1">
        <w:rPr>
          <w:rFonts w:ascii="Arial" w:hAnsi="Arial" w:eastAsia="Calibri" w:cs="Arial"/>
          <w:color w:val="000000" w:themeColor="text1"/>
          <w:sz w:val="22"/>
          <w:lang w:val="es-CO"/>
        </w:rPr>
        <w:t xml:space="preserve"> en vigencia y su aplicación actual. </w:t>
      </w:r>
      <w:r w:rsidRPr="004C674E">
        <w:rPr>
          <w:rFonts w:ascii="Arial" w:hAnsi="Arial" w:eastAsia="Calibri" w:cs="Arial"/>
          <w:color w:val="000000" w:themeColor="text1"/>
          <w:sz w:val="22"/>
          <w:lang w:val="es-CO"/>
        </w:rPr>
        <w:t xml:space="preserve"> </w:t>
      </w:r>
    </w:p>
    <w:p w:rsidR="002841BF" w:rsidP="00133BA4" w:rsidRDefault="002841BF" w14:paraId="433ECEC2" w14:textId="77777777">
      <w:pPr>
        <w:spacing w:line="276" w:lineRule="auto"/>
        <w:jc w:val="both"/>
        <w:rPr>
          <w:rFonts w:ascii="Arial" w:hAnsi="Arial" w:eastAsia="Calibri" w:cs="Arial"/>
          <w:i/>
          <w:iCs/>
          <w:color w:val="000000" w:themeColor="text1"/>
          <w:sz w:val="22"/>
          <w:lang w:val="es-CO"/>
        </w:rPr>
      </w:pPr>
    </w:p>
    <w:p w:rsidRPr="00664C10" w:rsidR="00D91FD1" w:rsidP="00133BA4" w:rsidRDefault="00891858" w14:paraId="3E7B5052" w14:textId="57A07F41">
      <w:pPr>
        <w:spacing w:line="276" w:lineRule="auto"/>
        <w:jc w:val="both"/>
        <w:rPr>
          <w:rFonts w:ascii="Arial" w:hAnsi="Arial" w:eastAsia="Calibri" w:cs="Arial"/>
          <w:i/>
          <w:iCs/>
          <w:color w:val="000000" w:themeColor="text1"/>
          <w:sz w:val="22"/>
          <w:lang w:val="es-CO"/>
        </w:rPr>
      </w:pPr>
      <w:r w:rsidRPr="00664C10">
        <w:rPr>
          <w:rFonts w:ascii="Arial" w:hAnsi="Arial" w:eastAsia="Calibri" w:cs="Arial"/>
          <w:i/>
          <w:iCs/>
          <w:color w:val="000000" w:themeColor="text1"/>
          <w:sz w:val="22"/>
          <w:lang w:val="es-CO"/>
        </w:rPr>
        <w:t>i) Interpretación lógica.</w:t>
      </w:r>
    </w:p>
    <w:p w:rsidR="002841BF" w:rsidP="00133BA4" w:rsidRDefault="002841BF" w14:paraId="0ED2AE53" w14:textId="77777777">
      <w:pPr>
        <w:spacing w:line="276" w:lineRule="auto"/>
        <w:jc w:val="both"/>
        <w:rPr>
          <w:rFonts w:ascii="Arial" w:hAnsi="Arial" w:eastAsia="Calibri" w:cs="Arial"/>
          <w:color w:val="000000" w:themeColor="text1"/>
          <w:sz w:val="22"/>
          <w:lang w:val="es-CO"/>
        </w:rPr>
      </w:pPr>
    </w:p>
    <w:p w:rsidR="00891858" w:rsidP="00891858" w:rsidRDefault="00891858" w14:paraId="28AF2158" w14:textId="447D06A5">
      <w:pPr>
        <w:spacing w:before="120" w:line="276" w:lineRule="auto"/>
        <w:jc w:val="both"/>
        <w:rPr>
          <w:rFonts w:ascii="Arial" w:hAnsi="Arial" w:eastAsia="Calibri" w:cs="Arial"/>
          <w:color w:val="000000" w:themeColor="text1"/>
          <w:sz w:val="22"/>
          <w:lang w:val="es-CO"/>
        </w:rPr>
      </w:pPr>
      <w:r w:rsidRPr="00B71E17">
        <w:rPr>
          <w:rFonts w:ascii="Arial" w:hAnsi="Arial" w:eastAsia="Calibri" w:cs="Arial"/>
          <w:color w:val="000000" w:themeColor="text1"/>
          <w:sz w:val="22"/>
          <w:lang w:val="es-CO"/>
        </w:rPr>
        <w:t>La interpretación lógica consiste en «descomponer el pensamiento contenido en la ley</w:t>
      </w:r>
      <w:r w:rsidRPr="00B71E17" w:rsidR="00B71E17">
        <w:rPr>
          <w:rFonts w:ascii="Arial" w:hAnsi="Arial" w:eastAsia="Calibri" w:cs="Arial"/>
          <w:color w:val="000000" w:themeColor="text1"/>
          <w:sz w:val="22"/>
          <w:lang w:val="es-CO"/>
        </w:rPr>
        <w:t xml:space="preserve"> </w:t>
      </w:r>
      <w:r w:rsidRPr="00B71E17">
        <w:rPr>
          <w:rFonts w:ascii="Arial" w:hAnsi="Arial" w:eastAsia="Calibri" w:cs="Arial"/>
          <w:color w:val="000000" w:themeColor="text1"/>
          <w:sz w:val="22"/>
          <w:lang w:val="es-CO"/>
        </w:rPr>
        <w:t>y establece</w:t>
      </w:r>
      <w:r w:rsidRPr="00B71E17" w:rsidR="00B71E17">
        <w:rPr>
          <w:rFonts w:ascii="Arial" w:hAnsi="Arial" w:eastAsia="Calibri" w:cs="Arial"/>
          <w:color w:val="000000" w:themeColor="text1"/>
          <w:sz w:val="22"/>
          <w:lang w:val="es-CO"/>
        </w:rPr>
        <w:t>r</w:t>
      </w:r>
      <w:r w:rsidRPr="00B71E17">
        <w:rPr>
          <w:rFonts w:ascii="Arial" w:hAnsi="Arial" w:eastAsia="Calibri" w:cs="Arial"/>
          <w:color w:val="000000" w:themeColor="text1"/>
          <w:sz w:val="22"/>
          <w:lang w:val="es-CO"/>
        </w:rPr>
        <w:t xml:space="preserve"> las relaciones lógicas que se dan entre las diferentes partes de éstas»</w:t>
      </w:r>
      <w:r w:rsidRPr="00B71E17" w:rsidR="00B71E17">
        <w:rPr>
          <w:rStyle w:val="Refdenotaalpie"/>
          <w:rFonts w:ascii="Arial" w:hAnsi="Arial" w:eastAsia="Calibri" w:cs="Arial"/>
          <w:color w:val="000000" w:themeColor="text1"/>
          <w:sz w:val="22"/>
          <w:lang w:val="es-CO"/>
        </w:rPr>
        <w:footnoteReference w:id="15"/>
      </w:r>
      <w:r w:rsidRPr="00B71E17" w:rsidR="00B71E17">
        <w:rPr>
          <w:rFonts w:ascii="Arial" w:hAnsi="Arial" w:eastAsia="Calibri" w:cs="Arial"/>
          <w:color w:val="000000" w:themeColor="text1"/>
          <w:sz w:val="22"/>
          <w:lang w:val="es-CO"/>
        </w:rPr>
        <w:t xml:space="preserve">. Es decir que con base </w:t>
      </w:r>
      <w:r w:rsidR="00B71E17">
        <w:rPr>
          <w:rFonts w:ascii="Arial" w:hAnsi="Arial" w:eastAsia="Calibri" w:cs="Arial"/>
          <w:color w:val="000000" w:themeColor="text1"/>
          <w:sz w:val="22"/>
          <w:lang w:val="es-CO"/>
        </w:rPr>
        <w:t>en la lógica jur</w:t>
      </w:r>
      <w:r w:rsidR="006841A3">
        <w:rPr>
          <w:rFonts w:ascii="Arial" w:hAnsi="Arial" w:eastAsia="Calibri" w:cs="Arial"/>
          <w:color w:val="000000" w:themeColor="text1"/>
          <w:sz w:val="22"/>
          <w:lang w:val="es-CO"/>
        </w:rPr>
        <w:t>í</w:t>
      </w:r>
      <w:r w:rsidR="00B71E17">
        <w:rPr>
          <w:rFonts w:ascii="Arial" w:hAnsi="Arial" w:eastAsia="Calibri" w:cs="Arial"/>
          <w:color w:val="000000" w:themeColor="text1"/>
          <w:sz w:val="22"/>
          <w:lang w:val="es-CO"/>
        </w:rPr>
        <w:t xml:space="preserve">dica, se puede dar sentido a los contenidos normativos cuya lectura meramente gramatical no es suficiente. </w:t>
      </w:r>
    </w:p>
    <w:p w:rsidR="00B71E17" w:rsidP="00BF47E8" w:rsidRDefault="00B71E17" w14:paraId="524BAD47" w14:textId="27AB3314">
      <w:pPr>
        <w:spacing w:before="120" w:line="276" w:lineRule="auto"/>
        <w:ind w:firstLine="708"/>
        <w:jc w:val="both"/>
        <w:rPr>
          <w:rFonts w:ascii="Arial" w:hAnsi="Arial" w:eastAsia="Calibri" w:cs="Arial"/>
          <w:color w:val="000000" w:themeColor="text1"/>
          <w:sz w:val="22"/>
          <w:lang w:val="es-CO"/>
        </w:rPr>
      </w:pPr>
      <w:r>
        <w:rPr>
          <w:rFonts w:ascii="Arial" w:hAnsi="Arial" w:eastAsia="Calibri" w:cs="Arial"/>
          <w:color w:val="000000" w:themeColor="text1"/>
          <w:sz w:val="22"/>
          <w:lang w:val="es-CO"/>
        </w:rPr>
        <w:t xml:space="preserve">En la consulta que se estudia, este método resulta relevante para determinar el alcance del artículo </w:t>
      </w:r>
      <w:r w:rsidRPr="004C674E">
        <w:rPr>
          <w:rFonts w:ascii="Arial" w:hAnsi="Arial" w:eastAsia="Calibri" w:cs="Arial"/>
          <w:color w:val="000000" w:themeColor="text1"/>
          <w:sz w:val="22"/>
          <w:lang w:val="es-CO"/>
        </w:rPr>
        <w:t>2.2.1.2.4.2.2</w:t>
      </w:r>
      <w:r>
        <w:rPr>
          <w:rFonts w:ascii="Arial" w:hAnsi="Arial" w:eastAsia="Calibri" w:cs="Arial"/>
          <w:color w:val="000000" w:themeColor="text1"/>
          <w:sz w:val="22"/>
          <w:lang w:val="es-CO"/>
        </w:rPr>
        <w:t xml:space="preserve"> y determinar si las disposiciones contenidas en este se restringen a establecer las condiciones para que se pueda limitar la convocatoria de un proceso de selección a Mipymes o si adicionalmente, regula algún requisito para poder participar en este tipo de convocatoria. </w:t>
      </w:r>
    </w:p>
    <w:p w:rsidR="00B71E17" w:rsidP="00BF47E8" w:rsidRDefault="00266105" w14:paraId="6DD341D5" w14:textId="72BBBCDF">
      <w:pPr>
        <w:spacing w:before="120" w:line="276" w:lineRule="auto"/>
        <w:ind w:firstLine="708"/>
        <w:jc w:val="both"/>
        <w:rPr>
          <w:rFonts w:ascii="Arial" w:hAnsi="Arial" w:eastAsia="Calibri" w:cs="Arial"/>
          <w:color w:val="000000" w:themeColor="text1"/>
          <w:sz w:val="22"/>
          <w:lang w:val="es-CO"/>
        </w:rPr>
      </w:pPr>
      <w:r>
        <w:rPr>
          <w:rFonts w:ascii="Arial" w:hAnsi="Arial" w:eastAsia="Calibri" w:cs="Arial"/>
          <w:color w:val="000000" w:themeColor="text1"/>
          <w:sz w:val="22"/>
          <w:lang w:val="es-CO"/>
        </w:rPr>
        <w:t>Ahora bien, para realizar este análisis, es necesario establecer que la regulación presenta unas condiciones para que la entidad estatal limite el proceso de contratación a Mipymes nacionales</w:t>
      </w:r>
      <w:r w:rsidR="003E6199">
        <w:rPr>
          <w:rFonts w:ascii="Arial" w:hAnsi="Arial" w:eastAsia="Calibri" w:cs="Arial"/>
          <w:color w:val="000000" w:themeColor="text1"/>
          <w:sz w:val="22"/>
          <w:lang w:val="es-CO"/>
        </w:rPr>
        <w:t>,</w:t>
      </w:r>
      <w:r w:rsidR="00BF47E8">
        <w:rPr>
          <w:rFonts w:ascii="Arial" w:hAnsi="Arial" w:eastAsia="Calibri" w:cs="Arial"/>
          <w:color w:val="000000" w:themeColor="text1"/>
          <w:sz w:val="22"/>
          <w:lang w:val="es-CO"/>
        </w:rPr>
        <w:t xml:space="preserve"> que se </w:t>
      </w:r>
      <w:r>
        <w:rPr>
          <w:rFonts w:ascii="Arial" w:hAnsi="Arial" w:eastAsia="Calibri" w:cs="Arial"/>
          <w:color w:val="000000" w:themeColor="text1"/>
          <w:sz w:val="22"/>
          <w:lang w:val="es-CO"/>
        </w:rPr>
        <w:t xml:space="preserve">descomponen de la siguiente manera: </w:t>
      </w:r>
    </w:p>
    <w:p w:rsidR="00D63D6B" w:rsidP="00133BA4" w:rsidRDefault="00D63D6B" w14:paraId="1F6DBA70" w14:textId="77777777">
      <w:pPr>
        <w:spacing w:line="276" w:lineRule="auto"/>
        <w:jc w:val="both"/>
        <w:rPr>
          <w:rFonts w:ascii="Arial" w:hAnsi="Arial" w:eastAsia="Calibri" w:cs="Arial"/>
          <w:color w:val="000000" w:themeColor="text1"/>
          <w:sz w:val="22"/>
          <w:lang w:val="es-CO"/>
        </w:rPr>
      </w:pPr>
    </w:p>
    <w:p w:rsidR="00BF47E8" w:rsidP="00040001" w:rsidRDefault="00BF47E8" w14:paraId="3E00AC5F" w14:textId="4E8EF209">
      <w:pPr>
        <w:pStyle w:val="Prrafodelista"/>
        <w:numPr>
          <w:ilvl w:val="0"/>
          <w:numId w:val="3"/>
        </w:numPr>
        <w:spacing w:before="120" w:line="276" w:lineRule="auto"/>
        <w:jc w:val="both"/>
        <w:rPr>
          <w:rFonts w:ascii="Arial" w:hAnsi="Arial" w:eastAsia="Calibri" w:cs="Arial"/>
          <w:color w:val="000000" w:themeColor="text1"/>
          <w:sz w:val="22"/>
          <w:lang w:val="es-CO"/>
        </w:rPr>
      </w:pPr>
      <w:r>
        <w:rPr>
          <w:rFonts w:ascii="Arial" w:hAnsi="Arial" w:eastAsia="Calibri" w:cs="Arial"/>
          <w:color w:val="000000" w:themeColor="text1"/>
          <w:sz w:val="22"/>
          <w:lang w:val="es-CO"/>
        </w:rPr>
        <w:t xml:space="preserve">Que el </w:t>
      </w:r>
      <w:r w:rsidR="003E6199">
        <w:rPr>
          <w:rFonts w:ascii="Arial" w:hAnsi="Arial" w:eastAsia="Calibri" w:cs="Arial"/>
          <w:color w:val="000000" w:themeColor="text1"/>
          <w:sz w:val="22"/>
          <w:lang w:val="es-CO"/>
        </w:rPr>
        <w:t>p</w:t>
      </w:r>
      <w:r>
        <w:rPr>
          <w:rFonts w:ascii="Arial" w:hAnsi="Arial" w:eastAsia="Calibri" w:cs="Arial"/>
          <w:color w:val="000000" w:themeColor="text1"/>
          <w:sz w:val="22"/>
          <w:lang w:val="es-CO"/>
        </w:rPr>
        <w:t xml:space="preserve">roceso de </w:t>
      </w:r>
      <w:r w:rsidR="003E6199">
        <w:rPr>
          <w:rFonts w:ascii="Arial" w:hAnsi="Arial" w:eastAsia="Calibri" w:cs="Arial"/>
          <w:color w:val="000000" w:themeColor="text1"/>
          <w:sz w:val="22"/>
          <w:lang w:val="es-CO"/>
        </w:rPr>
        <w:t>c</w:t>
      </w:r>
      <w:r>
        <w:rPr>
          <w:rFonts w:ascii="Arial" w:hAnsi="Arial" w:eastAsia="Calibri" w:cs="Arial"/>
          <w:color w:val="000000" w:themeColor="text1"/>
          <w:sz w:val="22"/>
          <w:lang w:val="es-CO"/>
        </w:rPr>
        <w:t xml:space="preserve">ontratación sea de licitación pública, selección abreviada o </w:t>
      </w:r>
      <w:r w:rsidRPr="00BF47E8">
        <w:rPr>
          <w:rFonts w:ascii="Arial" w:hAnsi="Arial" w:eastAsia="Calibri" w:cs="Arial"/>
          <w:color w:val="000000" w:themeColor="text1"/>
          <w:sz w:val="22"/>
          <w:lang w:val="es-CO"/>
        </w:rPr>
        <w:t>concurso de méritos.</w:t>
      </w:r>
    </w:p>
    <w:p w:rsidRPr="00BF47E8" w:rsidR="00BF47E8" w:rsidRDefault="00BF47E8" w14:paraId="22B29A4F" w14:textId="77777777">
      <w:pPr>
        <w:pStyle w:val="Prrafodelista"/>
        <w:spacing w:before="120" w:line="276" w:lineRule="auto"/>
        <w:jc w:val="both"/>
        <w:rPr>
          <w:rFonts w:ascii="Arial" w:hAnsi="Arial" w:eastAsia="Calibri" w:cs="Arial"/>
          <w:color w:val="000000" w:themeColor="text1"/>
          <w:sz w:val="22"/>
          <w:lang w:val="es-CO"/>
        </w:rPr>
      </w:pPr>
    </w:p>
    <w:p w:rsidR="00BF47E8" w:rsidRDefault="00BF47E8" w14:paraId="556CD5C5" w14:textId="50162851">
      <w:pPr>
        <w:pStyle w:val="Prrafodelista"/>
        <w:numPr>
          <w:ilvl w:val="0"/>
          <w:numId w:val="3"/>
        </w:numPr>
        <w:spacing w:before="120" w:line="276" w:lineRule="auto"/>
        <w:jc w:val="both"/>
        <w:rPr>
          <w:rFonts w:ascii="Arial" w:hAnsi="Arial" w:eastAsia="Calibri" w:cs="Arial"/>
          <w:color w:val="000000" w:themeColor="text1"/>
          <w:sz w:val="22"/>
          <w:lang w:val="es-CO"/>
        </w:rPr>
      </w:pPr>
      <w:r w:rsidRPr="00BF47E8">
        <w:rPr>
          <w:rFonts w:ascii="Arial" w:hAnsi="Arial" w:eastAsia="Calibri" w:cs="Arial"/>
          <w:color w:val="000000" w:themeColor="text1"/>
          <w:sz w:val="22"/>
          <w:lang w:val="es-CO"/>
        </w:rPr>
        <w:t xml:space="preserve">Que el valor del </w:t>
      </w:r>
      <w:r w:rsidR="00040001">
        <w:rPr>
          <w:rFonts w:ascii="Arial" w:hAnsi="Arial" w:eastAsia="Calibri" w:cs="Arial"/>
          <w:color w:val="000000" w:themeColor="text1"/>
          <w:sz w:val="22"/>
          <w:lang w:val="es-CO"/>
        </w:rPr>
        <w:t>p</w:t>
      </w:r>
      <w:r w:rsidRPr="00BF47E8">
        <w:rPr>
          <w:rFonts w:ascii="Arial" w:hAnsi="Arial" w:eastAsia="Calibri" w:cs="Arial"/>
          <w:color w:val="000000" w:themeColor="text1"/>
          <w:sz w:val="22"/>
          <w:lang w:val="es-CO"/>
        </w:rPr>
        <w:t xml:space="preserve">roceso de </w:t>
      </w:r>
      <w:r w:rsidR="00040001">
        <w:rPr>
          <w:rFonts w:ascii="Arial" w:hAnsi="Arial" w:eastAsia="Calibri" w:cs="Arial"/>
          <w:color w:val="000000" w:themeColor="text1"/>
          <w:sz w:val="22"/>
          <w:lang w:val="es-CO"/>
        </w:rPr>
        <w:t>c</w:t>
      </w:r>
      <w:r w:rsidRPr="00BF47E8">
        <w:rPr>
          <w:rFonts w:ascii="Arial" w:hAnsi="Arial" w:eastAsia="Calibri" w:cs="Arial"/>
          <w:color w:val="000000" w:themeColor="text1"/>
          <w:sz w:val="22"/>
          <w:lang w:val="es-CO"/>
        </w:rPr>
        <w:t xml:space="preserve">ontratación sea menor a veinticinco mil dólares de los Estados Unidos de América (US$125.000). </w:t>
      </w:r>
    </w:p>
    <w:p w:rsidRPr="00BF47E8" w:rsidR="00BF47E8" w:rsidRDefault="00BF47E8" w14:paraId="4E391251" w14:textId="77777777">
      <w:pPr>
        <w:pStyle w:val="Prrafodelista"/>
        <w:spacing w:before="120" w:line="276" w:lineRule="auto"/>
        <w:jc w:val="both"/>
        <w:rPr>
          <w:rFonts w:ascii="Arial" w:hAnsi="Arial" w:eastAsia="Calibri" w:cs="Arial"/>
          <w:color w:val="000000" w:themeColor="text1"/>
          <w:sz w:val="22"/>
          <w:lang w:val="es-CO"/>
        </w:rPr>
      </w:pPr>
    </w:p>
    <w:p w:rsidRPr="00664C10" w:rsidR="00BF47E8" w:rsidP="00133BA4" w:rsidRDefault="00BF47E8" w14:paraId="57E090A2" w14:textId="3EF6A43F">
      <w:pPr>
        <w:pStyle w:val="Prrafodelista"/>
        <w:numPr>
          <w:ilvl w:val="0"/>
          <w:numId w:val="3"/>
        </w:numPr>
        <w:spacing w:line="276" w:lineRule="auto"/>
        <w:jc w:val="both"/>
        <w:rPr>
          <w:rFonts w:ascii="Times New Roman" w:hAnsi="Times New Roman" w:eastAsia="Times New Roman" w:cs="Times New Roman"/>
          <w:color w:val="000000" w:themeColor="text1"/>
          <w:sz w:val="22"/>
          <w:lang w:val="es-CO" w:eastAsia="es-ES_tradnl"/>
        </w:rPr>
      </w:pPr>
      <w:r>
        <w:rPr>
          <w:rFonts w:ascii="Arial" w:hAnsi="Arial" w:eastAsia="Times New Roman" w:cs="Arial"/>
          <w:color w:val="000000" w:themeColor="text1"/>
          <w:sz w:val="22"/>
          <w:shd w:val="clear" w:color="auto" w:fill="FFFFFF"/>
          <w:lang w:val="es-CO" w:eastAsia="es-ES_tradnl"/>
        </w:rPr>
        <w:t>O que l</w:t>
      </w:r>
      <w:r w:rsidRPr="00BF47E8">
        <w:rPr>
          <w:rFonts w:ascii="Arial" w:hAnsi="Arial" w:eastAsia="Times New Roman" w:cs="Arial"/>
          <w:color w:val="000000" w:themeColor="text1"/>
          <w:sz w:val="22"/>
          <w:shd w:val="clear" w:color="auto" w:fill="FFFFFF"/>
          <w:lang w:val="es-CO" w:eastAsia="es-ES_tradnl"/>
        </w:rPr>
        <w:t xml:space="preserve">a </w:t>
      </w:r>
      <w:r w:rsidR="00040001">
        <w:rPr>
          <w:rFonts w:ascii="Arial" w:hAnsi="Arial" w:eastAsia="Times New Roman" w:cs="Arial"/>
          <w:color w:val="000000" w:themeColor="text1"/>
          <w:sz w:val="22"/>
          <w:shd w:val="clear" w:color="auto" w:fill="FFFFFF"/>
          <w:lang w:val="es-CO" w:eastAsia="es-ES_tradnl"/>
        </w:rPr>
        <w:t>e</w:t>
      </w:r>
      <w:r w:rsidRPr="00BF47E8">
        <w:rPr>
          <w:rFonts w:ascii="Arial" w:hAnsi="Arial" w:eastAsia="Times New Roman" w:cs="Arial"/>
          <w:color w:val="000000" w:themeColor="text1"/>
          <w:sz w:val="22"/>
          <w:shd w:val="clear" w:color="auto" w:fill="FFFFFF"/>
          <w:lang w:val="es-CO" w:eastAsia="es-ES_tradnl"/>
        </w:rPr>
        <w:t xml:space="preserve">ntidad </w:t>
      </w:r>
      <w:r w:rsidR="00040001">
        <w:rPr>
          <w:rFonts w:ascii="Arial" w:hAnsi="Arial" w:eastAsia="Times New Roman" w:cs="Arial"/>
          <w:color w:val="000000" w:themeColor="text1"/>
          <w:sz w:val="22"/>
          <w:shd w:val="clear" w:color="auto" w:fill="FFFFFF"/>
          <w:lang w:val="es-CO" w:eastAsia="es-ES_tradnl"/>
        </w:rPr>
        <w:t>e</w:t>
      </w:r>
      <w:r w:rsidRPr="00BF47E8">
        <w:rPr>
          <w:rFonts w:ascii="Arial" w:hAnsi="Arial" w:eastAsia="Times New Roman" w:cs="Arial"/>
          <w:color w:val="000000" w:themeColor="text1"/>
          <w:sz w:val="22"/>
          <w:shd w:val="clear" w:color="auto" w:fill="FFFFFF"/>
          <w:lang w:val="es-CO" w:eastAsia="es-ES_tradnl"/>
        </w:rPr>
        <w:t>statal ha</w:t>
      </w:r>
      <w:r>
        <w:rPr>
          <w:rFonts w:ascii="Arial" w:hAnsi="Arial" w:eastAsia="Times New Roman" w:cs="Arial"/>
          <w:color w:val="000000" w:themeColor="text1"/>
          <w:sz w:val="22"/>
          <w:shd w:val="clear" w:color="auto" w:fill="FFFFFF"/>
          <w:lang w:val="es-CO" w:eastAsia="es-ES_tradnl"/>
        </w:rPr>
        <w:t>ya</w:t>
      </w:r>
      <w:r w:rsidRPr="00BF47E8">
        <w:rPr>
          <w:rFonts w:ascii="Arial" w:hAnsi="Arial" w:eastAsia="Times New Roman" w:cs="Arial"/>
          <w:color w:val="000000" w:themeColor="text1"/>
          <w:sz w:val="22"/>
          <w:shd w:val="clear" w:color="auto" w:fill="FFFFFF"/>
          <w:lang w:val="es-CO" w:eastAsia="es-ES_tradnl"/>
        </w:rPr>
        <w:t xml:space="preserve"> recibido solicitudes de por lo menos tres (3) Mipyme nacionales para limitar la convocatoria a Mipyme nacionales.</w:t>
      </w:r>
      <w:r>
        <w:rPr>
          <w:rFonts w:ascii="Arial" w:hAnsi="Arial" w:eastAsia="Times New Roman" w:cs="Arial"/>
          <w:color w:val="000000" w:themeColor="text1"/>
          <w:sz w:val="22"/>
          <w:shd w:val="clear" w:color="auto" w:fill="FFFFFF"/>
          <w:lang w:val="es-CO" w:eastAsia="es-ES_tradnl"/>
        </w:rPr>
        <w:t xml:space="preserve"> Siempre que las solicitudes hayan sido recibidas por lo menos un (1) día hábil antes de la apertura del proceso de contratación</w:t>
      </w:r>
      <w:r>
        <w:rPr>
          <w:rStyle w:val="Refdenotaalpie"/>
          <w:rFonts w:ascii="Arial" w:hAnsi="Arial" w:eastAsia="Times New Roman" w:cs="Arial"/>
          <w:color w:val="000000" w:themeColor="text1"/>
          <w:sz w:val="22"/>
          <w:shd w:val="clear" w:color="auto" w:fill="FFFFFF"/>
          <w:lang w:val="es-CO" w:eastAsia="es-ES_tradnl"/>
        </w:rPr>
        <w:footnoteReference w:id="16"/>
      </w:r>
      <w:r>
        <w:rPr>
          <w:rFonts w:ascii="Arial" w:hAnsi="Arial" w:eastAsia="Times New Roman" w:cs="Arial"/>
          <w:color w:val="000000" w:themeColor="text1"/>
          <w:sz w:val="22"/>
          <w:shd w:val="clear" w:color="auto" w:fill="FFFFFF"/>
          <w:lang w:val="es-CO" w:eastAsia="es-ES_tradnl"/>
        </w:rPr>
        <w:t>.</w:t>
      </w:r>
    </w:p>
    <w:p w:rsidRPr="00664C10" w:rsidR="00664C10" w:rsidP="00664C10" w:rsidRDefault="00664C10" w14:paraId="5D17219A" w14:textId="77777777">
      <w:pPr>
        <w:jc w:val="both"/>
        <w:rPr>
          <w:rFonts w:ascii="Times New Roman" w:hAnsi="Times New Roman" w:eastAsia="Times New Roman" w:cs="Times New Roman"/>
          <w:color w:val="000000" w:themeColor="text1"/>
          <w:sz w:val="22"/>
          <w:lang w:val="es-CO" w:eastAsia="es-ES_tradnl"/>
        </w:rPr>
      </w:pPr>
    </w:p>
    <w:p w:rsidR="00BF47E8" w:rsidP="00133BA4" w:rsidRDefault="00BF47E8" w14:paraId="4816CE26" w14:textId="30615D91">
      <w:pPr>
        <w:spacing w:line="276" w:lineRule="auto"/>
        <w:ind w:firstLine="709"/>
        <w:jc w:val="both"/>
        <w:rPr>
          <w:rFonts w:ascii="Arial" w:hAnsi="Arial" w:eastAsia="Calibri" w:cs="Arial"/>
          <w:color w:val="000000" w:themeColor="text1"/>
          <w:sz w:val="22"/>
          <w:lang w:val="es-CO"/>
        </w:rPr>
      </w:pPr>
      <w:r>
        <w:rPr>
          <w:rFonts w:ascii="Arial" w:hAnsi="Arial" w:eastAsia="Calibri" w:cs="Arial"/>
          <w:color w:val="000000" w:themeColor="text1"/>
          <w:sz w:val="22"/>
          <w:lang w:val="es-CO"/>
        </w:rPr>
        <w:t xml:space="preserve">Por su lado, el requisito de acreditar un año de existencia, se diferencia de los expuestos, pues no se trata de una condición para poder limitar la convocatoria a Mipymes sino que se trata de un requisito imprescindible para poder participar en el proceso de contratación, en tanto </w:t>
      </w:r>
      <w:r w:rsidR="00FB2D4A">
        <w:rPr>
          <w:rFonts w:ascii="Arial" w:hAnsi="Arial" w:eastAsia="Calibri" w:cs="Arial"/>
          <w:color w:val="000000" w:themeColor="text1"/>
          <w:sz w:val="22"/>
          <w:lang w:val="es-CO"/>
        </w:rPr>
        <w:t xml:space="preserve">este requisito lo que hace es limitar el tipo de sujeto que puede participar en este tipo de convocatorias. </w:t>
      </w:r>
    </w:p>
    <w:p w:rsidR="00FB2D4A" w:rsidP="00664C10" w:rsidRDefault="00FB2D4A" w14:paraId="5CB4EEE8" w14:textId="20A57D86">
      <w:pPr>
        <w:spacing w:before="120" w:line="276" w:lineRule="auto"/>
        <w:ind w:firstLine="709"/>
        <w:jc w:val="both"/>
        <w:rPr>
          <w:rFonts w:ascii="Arial" w:hAnsi="Arial" w:eastAsia="Calibri" w:cs="Arial"/>
          <w:color w:val="000000" w:themeColor="text1"/>
          <w:sz w:val="22"/>
          <w:lang w:val="es-CO"/>
        </w:rPr>
      </w:pPr>
      <w:r>
        <w:rPr>
          <w:rFonts w:ascii="Arial" w:hAnsi="Arial" w:eastAsia="Calibri" w:cs="Arial"/>
          <w:color w:val="000000" w:themeColor="text1"/>
          <w:sz w:val="22"/>
          <w:lang w:val="es-CO"/>
        </w:rPr>
        <w:t>De todos modos, una interpretación que se restrin</w:t>
      </w:r>
      <w:r w:rsidR="006841A3">
        <w:rPr>
          <w:rFonts w:ascii="Arial" w:hAnsi="Arial" w:eastAsia="Calibri" w:cs="Arial"/>
          <w:color w:val="000000" w:themeColor="text1"/>
          <w:sz w:val="22"/>
          <w:lang w:val="es-CO"/>
        </w:rPr>
        <w:t>j</w:t>
      </w:r>
      <w:r>
        <w:rPr>
          <w:rFonts w:ascii="Arial" w:hAnsi="Arial" w:eastAsia="Calibri" w:cs="Arial"/>
          <w:color w:val="000000" w:themeColor="text1"/>
          <w:sz w:val="22"/>
          <w:lang w:val="es-CO"/>
        </w:rPr>
        <w:t>a a un an</w:t>
      </w:r>
      <w:r w:rsidR="006841A3">
        <w:rPr>
          <w:rFonts w:ascii="Arial" w:hAnsi="Arial" w:eastAsia="Calibri" w:cs="Arial"/>
          <w:color w:val="000000" w:themeColor="text1"/>
          <w:sz w:val="22"/>
          <w:lang w:val="es-CO"/>
        </w:rPr>
        <w:t>á</w:t>
      </w:r>
      <w:r>
        <w:rPr>
          <w:rFonts w:ascii="Arial" w:hAnsi="Arial" w:eastAsia="Calibri" w:cs="Arial"/>
          <w:color w:val="000000" w:themeColor="text1"/>
          <w:sz w:val="22"/>
          <w:lang w:val="es-CO"/>
        </w:rPr>
        <w:t>lisis lógico de la disposición resulta ser insuficiente, pues no aclara c</w:t>
      </w:r>
      <w:r w:rsidR="00171BAE">
        <w:rPr>
          <w:rFonts w:ascii="Arial" w:hAnsi="Arial" w:eastAsia="Calibri" w:cs="Arial"/>
          <w:color w:val="000000" w:themeColor="text1"/>
          <w:sz w:val="22"/>
          <w:lang w:val="es-CO"/>
        </w:rPr>
        <w:t>ó</w:t>
      </w:r>
      <w:r>
        <w:rPr>
          <w:rFonts w:ascii="Arial" w:hAnsi="Arial" w:eastAsia="Calibri" w:cs="Arial"/>
          <w:color w:val="000000" w:themeColor="text1"/>
          <w:sz w:val="22"/>
          <w:lang w:val="es-CO"/>
        </w:rPr>
        <w:t>mo la M</w:t>
      </w:r>
      <w:r w:rsidR="006841A3">
        <w:rPr>
          <w:rFonts w:ascii="Arial" w:hAnsi="Arial" w:eastAsia="Calibri" w:cs="Arial"/>
          <w:color w:val="000000" w:themeColor="text1"/>
          <w:sz w:val="22"/>
          <w:lang w:val="es-CO"/>
        </w:rPr>
        <w:t>i</w:t>
      </w:r>
      <w:r>
        <w:rPr>
          <w:rFonts w:ascii="Arial" w:hAnsi="Arial" w:eastAsia="Calibri" w:cs="Arial"/>
          <w:color w:val="000000" w:themeColor="text1"/>
          <w:sz w:val="22"/>
          <w:lang w:val="es-CO"/>
        </w:rPr>
        <w:t>p</w:t>
      </w:r>
      <w:r w:rsidR="006841A3">
        <w:rPr>
          <w:rFonts w:ascii="Arial" w:hAnsi="Arial" w:eastAsia="Calibri" w:cs="Arial"/>
          <w:color w:val="000000" w:themeColor="text1"/>
          <w:sz w:val="22"/>
          <w:lang w:val="es-CO"/>
        </w:rPr>
        <w:t>y</w:t>
      </w:r>
      <w:r>
        <w:rPr>
          <w:rFonts w:ascii="Arial" w:hAnsi="Arial" w:eastAsia="Calibri" w:cs="Arial"/>
          <w:color w:val="000000" w:themeColor="text1"/>
          <w:sz w:val="22"/>
          <w:lang w:val="es-CO"/>
        </w:rPr>
        <w:t>me debe acreditar el año de existencia y queda la pregunta de por qu</w:t>
      </w:r>
      <w:r w:rsidR="006841A3">
        <w:rPr>
          <w:rFonts w:ascii="Arial" w:hAnsi="Arial" w:eastAsia="Calibri" w:cs="Arial"/>
          <w:color w:val="000000" w:themeColor="text1"/>
          <w:sz w:val="22"/>
          <w:lang w:val="es-CO"/>
        </w:rPr>
        <w:t xml:space="preserve">é </w:t>
      </w:r>
      <w:r>
        <w:rPr>
          <w:rFonts w:ascii="Arial" w:hAnsi="Arial" w:eastAsia="Calibri" w:cs="Arial"/>
          <w:color w:val="000000" w:themeColor="text1"/>
          <w:sz w:val="22"/>
          <w:lang w:val="es-CO"/>
        </w:rPr>
        <w:t xml:space="preserve">no se integró esta obligación en el artículo </w:t>
      </w:r>
      <w:r w:rsidRPr="00FB2D4A">
        <w:rPr>
          <w:rFonts w:ascii="Arial" w:hAnsi="Arial" w:eastAsia="Calibri" w:cs="Arial"/>
          <w:color w:val="000000" w:themeColor="text1"/>
          <w:sz w:val="22"/>
          <w:lang w:val="es-CO"/>
        </w:rPr>
        <w:t>2.2.1.2.4.2.4.</w:t>
      </w:r>
      <w:r>
        <w:rPr>
          <w:rFonts w:ascii="Arial" w:hAnsi="Arial" w:eastAsia="Calibri" w:cs="Arial"/>
          <w:color w:val="000000" w:themeColor="text1"/>
          <w:sz w:val="22"/>
          <w:lang w:val="es-CO"/>
        </w:rPr>
        <w:t xml:space="preserve"> del Decreto 1082 de 2015. Por lo tanto, se considera necesario aplicar el criterio interpretación sistemática para poder resolver los problemas que persisten a</w:t>
      </w:r>
      <w:r w:rsidR="00EF05E3">
        <w:rPr>
          <w:rFonts w:ascii="Arial" w:hAnsi="Arial" w:eastAsia="Calibri" w:cs="Arial"/>
          <w:color w:val="000000" w:themeColor="text1"/>
          <w:sz w:val="22"/>
          <w:lang w:val="es-CO"/>
        </w:rPr>
        <w:t>l</w:t>
      </w:r>
      <w:r>
        <w:rPr>
          <w:rFonts w:ascii="Arial" w:hAnsi="Arial" w:eastAsia="Calibri" w:cs="Arial"/>
          <w:color w:val="000000" w:themeColor="text1"/>
          <w:sz w:val="22"/>
          <w:lang w:val="es-CO"/>
        </w:rPr>
        <w:t xml:space="preserve"> limitar el an</w:t>
      </w:r>
      <w:r w:rsidR="006841A3">
        <w:rPr>
          <w:rFonts w:ascii="Arial" w:hAnsi="Arial" w:eastAsia="Calibri" w:cs="Arial"/>
          <w:color w:val="000000" w:themeColor="text1"/>
          <w:sz w:val="22"/>
          <w:lang w:val="es-CO"/>
        </w:rPr>
        <w:t>á</w:t>
      </w:r>
      <w:r>
        <w:rPr>
          <w:rFonts w:ascii="Arial" w:hAnsi="Arial" w:eastAsia="Calibri" w:cs="Arial"/>
          <w:color w:val="000000" w:themeColor="text1"/>
          <w:sz w:val="22"/>
          <w:lang w:val="es-CO"/>
        </w:rPr>
        <w:t xml:space="preserve">lisis normativo a una interpretación lógica. </w:t>
      </w:r>
    </w:p>
    <w:p w:rsidR="002841BF" w:rsidP="00133BA4" w:rsidRDefault="002841BF" w14:paraId="30533066" w14:textId="77777777">
      <w:pPr>
        <w:spacing w:line="276" w:lineRule="auto"/>
        <w:ind w:firstLine="709"/>
        <w:jc w:val="both"/>
        <w:rPr>
          <w:rFonts w:ascii="Arial" w:hAnsi="Arial" w:eastAsia="Calibri" w:cs="Arial"/>
          <w:color w:val="000000" w:themeColor="text1"/>
          <w:sz w:val="22"/>
          <w:lang w:val="es-CO"/>
        </w:rPr>
      </w:pPr>
    </w:p>
    <w:p w:rsidR="00664C10" w:rsidP="00133BA4" w:rsidRDefault="00D91FD1" w14:paraId="1219D682" w14:textId="0274960B">
      <w:pPr>
        <w:spacing w:line="276" w:lineRule="auto"/>
        <w:jc w:val="both"/>
        <w:rPr>
          <w:rFonts w:ascii="Arial" w:hAnsi="Arial" w:eastAsia="Calibri" w:cs="Arial"/>
          <w:i/>
          <w:iCs/>
          <w:color w:val="000000" w:themeColor="text1"/>
          <w:sz w:val="22"/>
          <w:lang w:val="es-CO"/>
        </w:rPr>
      </w:pPr>
      <w:r w:rsidRPr="00664C10">
        <w:rPr>
          <w:rFonts w:ascii="Arial" w:hAnsi="Arial" w:eastAsia="Calibri" w:cs="Arial"/>
          <w:i/>
          <w:iCs/>
          <w:color w:val="000000" w:themeColor="text1"/>
          <w:sz w:val="22"/>
          <w:lang w:val="es-CO"/>
        </w:rPr>
        <w:t>ii) Interpretación sistemática.</w:t>
      </w:r>
    </w:p>
    <w:p w:rsidRPr="00664C10" w:rsidR="002841BF" w:rsidP="00133BA4" w:rsidRDefault="002841BF" w14:paraId="4DACE76E" w14:textId="77777777">
      <w:pPr>
        <w:spacing w:line="276" w:lineRule="auto"/>
        <w:jc w:val="both"/>
        <w:rPr>
          <w:rFonts w:ascii="Arial" w:hAnsi="Arial" w:eastAsia="Calibri" w:cs="Arial"/>
          <w:i/>
          <w:iCs/>
          <w:color w:val="000000" w:themeColor="text1"/>
          <w:sz w:val="22"/>
          <w:lang w:val="es-CO"/>
        </w:rPr>
      </w:pPr>
    </w:p>
    <w:p w:rsidR="007E3606" w:rsidP="00133BA4" w:rsidRDefault="007E3606" w14:paraId="77A8C243" w14:textId="07CD4F48">
      <w:pPr>
        <w:spacing w:line="276" w:lineRule="auto"/>
        <w:jc w:val="both"/>
        <w:rPr>
          <w:rFonts w:ascii="Arial" w:hAnsi="Arial" w:cs="Arial"/>
          <w:sz w:val="22"/>
        </w:rPr>
      </w:pPr>
      <w:r>
        <w:rPr>
          <w:rFonts w:ascii="Arial" w:hAnsi="Arial" w:eastAsia="Calibri" w:cs="Arial"/>
          <w:color w:val="000000" w:themeColor="text1"/>
          <w:sz w:val="22"/>
          <w:lang w:val="es-CO"/>
        </w:rPr>
        <w:t>La interpretación sistemática es definida «</w:t>
      </w:r>
      <w:r w:rsidRPr="00AE7BB6">
        <w:rPr>
          <w:rFonts w:ascii="Arial" w:hAnsi="Arial" w:eastAsia="Calibri" w:cs="Arial"/>
          <w:color w:val="000000" w:themeColor="text1"/>
          <w:sz w:val="22"/>
          <w:lang w:val="es-CO"/>
        </w:rPr>
        <w:t>como aquel entendimiento de una norma que se deriva de la comparación del precepto con la norma o normas en las que se integra</w:t>
      </w:r>
      <w:r>
        <w:rPr>
          <w:rFonts w:ascii="Arial" w:hAnsi="Arial" w:eastAsia="Calibri" w:cs="Arial"/>
          <w:color w:val="000000" w:themeColor="text1"/>
          <w:sz w:val="22"/>
          <w:lang w:val="es-CO"/>
        </w:rPr>
        <w:t>»</w:t>
      </w:r>
      <w:r>
        <w:rPr>
          <w:rStyle w:val="Refdenotaalpie"/>
          <w:rFonts w:ascii="Arial" w:hAnsi="Arial" w:eastAsia="Calibri" w:cs="Arial"/>
          <w:color w:val="000000" w:themeColor="text1"/>
          <w:sz w:val="22"/>
          <w:lang w:val="es-CO"/>
        </w:rPr>
        <w:footnoteReference w:id="17"/>
      </w:r>
      <w:r>
        <w:rPr>
          <w:rFonts w:ascii="Arial" w:hAnsi="Arial" w:eastAsia="Calibri" w:cs="Arial"/>
          <w:color w:val="000000" w:themeColor="text1"/>
          <w:sz w:val="22"/>
          <w:lang w:val="es-CO"/>
        </w:rPr>
        <w:t xml:space="preserve">. </w:t>
      </w:r>
      <w:r w:rsidRPr="00CD2837" w:rsidR="00D91FD1">
        <w:rPr>
          <w:rFonts w:ascii="Arial" w:hAnsi="Arial" w:eastAsia="Calibri" w:cs="Arial"/>
          <w:color w:val="000000" w:themeColor="text1"/>
          <w:sz w:val="22"/>
          <w:lang w:val="es-CO"/>
        </w:rPr>
        <w:t xml:space="preserve">De acuerdo </w:t>
      </w:r>
      <w:r w:rsidR="00FC71D0">
        <w:rPr>
          <w:rFonts w:ascii="Arial" w:hAnsi="Arial" w:eastAsia="Calibri" w:cs="Arial"/>
          <w:color w:val="000000" w:themeColor="text1"/>
          <w:sz w:val="22"/>
          <w:lang w:val="es-CO"/>
        </w:rPr>
        <w:t>con el</w:t>
      </w:r>
      <w:r w:rsidRPr="00CD2837" w:rsidR="00D91FD1">
        <w:rPr>
          <w:rFonts w:ascii="Arial" w:hAnsi="Arial" w:eastAsia="Calibri" w:cs="Arial"/>
          <w:color w:val="000000" w:themeColor="text1"/>
          <w:sz w:val="22"/>
          <w:lang w:val="es-CO"/>
        </w:rPr>
        <w:t xml:space="preserve"> Consejo de Estado, la interpretación sist</w:t>
      </w:r>
      <w:r w:rsidR="006841A3">
        <w:rPr>
          <w:rFonts w:ascii="Arial" w:hAnsi="Arial" w:eastAsia="Calibri" w:cs="Arial"/>
          <w:color w:val="000000" w:themeColor="text1"/>
          <w:sz w:val="22"/>
          <w:lang w:val="es-CO"/>
        </w:rPr>
        <w:t>e</w:t>
      </w:r>
      <w:r w:rsidRPr="00CD2837" w:rsidR="00D91FD1">
        <w:rPr>
          <w:rFonts w:ascii="Arial" w:hAnsi="Arial" w:eastAsia="Calibri" w:cs="Arial"/>
          <w:color w:val="000000" w:themeColor="text1"/>
          <w:sz w:val="22"/>
          <w:lang w:val="es-CO"/>
        </w:rPr>
        <w:t>m</w:t>
      </w:r>
      <w:r w:rsidR="006841A3">
        <w:rPr>
          <w:rFonts w:ascii="Arial" w:hAnsi="Arial" w:eastAsia="Calibri" w:cs="Arial"/>
          <w:color w:val="000000" w:themeColor="text1"/>
          <w:sz w:val="22"/>
          <w:lang w:val="es-CO"/>
        </w:rPr>
        <w:t>á</w:t>
      </w:r>
      <w:r w:rsidRPr="00CD2837" w:rsidR="00D91FD1">
        <w:rPr>
          <w:rFonts w:ascii="Arial" w:hAnsi="Arial" w:eastAsia="Calibri" w:cs="Arial"/>
          <w:color w:val="000000" w:themeColor="text1"/>
          <w:sz w:val="22"/>
          <w:lang w:val="es-CO"/>
        </w:rPr>
        <w:t>tica pone de presente «</w:t>
      </w:r>
      <w:r w:rsidRPr="0070514C" w:rsidR="00D91FD1">
        <w:rPr>
          <w:rFonts w:ascii="Arial" w:hAnsi="Arial" w:cs="Arial"/>
          <w:sz w:val="22"/>
        </w:rPr>
        <w:t>la correlación entre las partes constitutivas de un discurso, como de cada manifestación del pensamiento, y su referencia común al todo del que hacen parte</w:t>
      </w:r>
      <w:r w:rsidRPr="00CD2837" w:rsidR="00D91FD1">
        <w:rPr>
          <w:rFonts w:ascii="Arial" w:hAnsi="Arial" w:cs="Arial"/>
          <w:sz w:val="22"/>
        </w:rPr>
        <w:t>»</w:t>
      </w:r>
      <w:r w:rsidR="00CD2837">
        <w:rPr>
          <w:rStyle w:val="Refdenotaalpie"/>
          <w:rFonts w:ascii="Arial" w:hAnsi="Arial" w:cs="Arial"/>
          <w:sz w:val="22"/>
        </w:rPr>
        <w:footnoteReference w:id="18"/>
      </w:r>
      <w:r w:rsidR="00CD2837">
        <w:rPr>
          <w:rFonts w:ascii="Arial" w:hAnsi="Arial" w:cs="Arial"/>
          <w:sz w:val="22"/>
        </w:rPr>
        <w:t xml:space="preserve">. </w:t>
      </w:r>
    </w:p>
    <w:p w:rsidR="00D91FD1" w:rsidP="00572301" w:rsidRDefault="00CD2837" w14:paraId="538D32FC" w14:textId="12A4F554">
      <w:pPr>
        <w:spacing w:before="120" w:line="276" w:lineRule="auto"/>
        <w:ind w:firstLine="709"/>
        <w:jc w:val="both"/>
        <w:rPr>
          <w:rFonts w:ascii="Arial" w:hAnsi="Arial" w:cs="Arial"/>
          <w:sz w:val="22"/>
        </w:rPr>
      </w:pPr>
      <w:r>
        <w:rPr>
          <w:rFonts w:ascii="Arial" w:hAnsi="Arial" w:cs="Arial"/>
          <w:sz w:val="22"/>
        </w:rPr>
        <w:t>Además, la Corte Constitucional</w:t>
      </w:r>
      <w:r w:rsidR="007E3606">
        <w:rPr>
          <w:rStyle w:val="Refdenotaalpie"/>
          <w:rFonts w:ascii="Arial" w:hAnsi="Arial" w:cs="Arial"/>
          <w:sz w:val="22"/>
        </w:rPr>
        <w:footnoteReference w:id="19"/>
      </w:r>
      <w:r>
        <w:rPr>
          <w:rFonts w:ascii="Arial" w:hAnsi="Arial" w:cs="Arial"/>
          <w:sz w:val="22"/>
        </w:rPr>
        <w:t xml:space="preserve"> ha establecido que la interpretación sistemática es útil cuando se presentan supuestas incongruencias al interior de un orden normativo </w:t>
      </w:r>
      <w:r w:rsidR="00850842">
        <w:rPr>
          <w:rFonts w:ascii="Arial" w:hAnsi="Arial" w:cs="Arial"/>
          <w:sz w:val="22"/>
        </w:rPr>
        <w:t>–</w:t>
      </w:r>
      <w:r>
        <w:rPr>
          <w:rFonts w:ascii="Arial" w:hAnsi="Arial" w:cs="Arial"/>
          <w:sz w:val="22"/>
        </w:rPr>
        <w:t>tal como lo pone de presente el peticionario</w:t>
      </w:r>
      <w:r w:rsidR="00850842">
        <w:rPr>
          <w:rFonts w:ascii="Arial" w:hAnsi="Arial" w:cs="Arial"/>
          <w:sz w:val="22"/>
        </w:rPr>
        <w:t>–,</w:t>
      </w:r>
      <w:r>
        <w:rPr>
          <w:rFonts w:ascii="Arial" w:hAnsi="Arial" w:cs="Arial"/>
          <w:sz w:val="22"/>
        </w:rPr>
        <w:t xml:space="preserve"> pues la integración que se realiza por medio de este método</w:t>
      </w:r>
      <w:r w:rsidR="007E3606">
        <w:rPr>
          <w:rFonts w:ascii="Arial" w:hAnsi="Arial" w:cs="Arial"/>
          <w:sz w:val="22"/>
        </w:rPr>
        <w:t xml:space="preserve"> permite completar el sentido de las disposiciones que dependen mutuamente para su debida aplicación.</w:t>
      </w:r>
      <w:r w:rsidR="007E3606">
        <w:rPr>
          <w:rFonts w:ascii="Arial" w:hAnsi="Arial" w:eastAsia="Calibri" w:cs="Arial"/>
          <w:color w:val="000000" w:themeColor="text1"/>
          <w:sz w:val="22"/>
          <w:lang w:val="es-CO"/>
        </w:rPr>
        <w:t xml:space="preserve"> </w:t>
      </w:r>
      <w:r>
        <w:rPr>
          <w:rFonts w:ascii="Arial" w:hAnsi="Arial" w:cs="Arial"/>
          <w:sz w:val="22"/>
        </w:rPr>
        <w:t>En otras palabras, la interpretación sistématica permite que</w:t>
      </w:r>
      <w:r w:rsidR="00723AB9">
        <w:rPr>
          <w:rFonts w:ascii="Arial" w:hAnsi="Arial" w:cs="Arial"/>
          <w:sz w:val="22"/>
        </w:rPr>
        <w:t xml:space="preserve"> por medio de la integración normativa,</w:t>
      </w:r>
      <w:r>
        <w:rPr>
          <w:rFonts w:ascii="Arial" w:hAnsi="Arial" w:cs="Arial"/>
          <w:sz w:val="22"/>
        </w:rPr>
        <w:t xml:space="preserve"> se comprenda el significado de un conjunto de normas, así como </w:t>
      </w:r>
      <w:r w:rsidR="007E3606">
        <w:rPr>
          <w:rFonts w:ascii="Arial" w:hAnsi="Arial" w:cs="Arial"/>
          <w:sz w:val="22"/>
        </w:rPr>
        <w:t>de una norma particular</w:t>
      </w:r>
      <w:r>
        <w:rPr>
          <w:rFonts w:ascii="Arial" w:hAnsi="Arial" w:cs="Arial"/>
          <w:sz w:val="22"/>
        </w:rPr>
        <w:t xml:space="preserve">. </w:t>
      </w:r>
    </w:p>
    <w:p w:rsidR="00723AB9" w:rsidP="00572301" w:rsidRDefault="00723AB9" w14:paraId="40EF54D3" w14:textId="5D6462E4">
      <w:pPr>
        <w:spacing w:before="120" w:line="276" w:lineRule="auto"/>
        <w:ind w:firstLine="709"/>
        <w:jc w:val="both"/>
        <w:rPr>
          <w:rFonts w:ascii="Arial" w:hAnsi="Arial" w:cs="Arial"/>
          <w:color w:val="000000" w:themeColor="text1"/>
          <w:sz w:val="22"/>
          <w:lang w:val="es-CO"/>
        </w:rPr>
      </w:pPr>
      <w:r>
        <w:rPr>
          <w:rFonts w:ascii="Arial" w:hAnsi="Arial" w:cs="Arial"/>
          <w:sz w:val="22"/>
        </w:rPr>
        <w:t xml:space="preserve">Ahora bien, teniendo presente el método de interpretación sistemático, es posible concluir que la Mipyme interesada en participar en un proceso limitado a este tipo de empresas, deberá acreditar como mínimo un año de experiencia. Esto se realiza integrando las </w:t>
      </w:r>
      <w:r w:rsidRPr="00EF2E91">
        <w:rPr>
          <w:rFonts w:ascii="Arial" w:hAnsi="Arial" w:cs="Arial"/>
          <w:color w:val="000000" w:themeColor="text1"/>
          <w:sz w:val="22"/>
        </w:rPr>
        <w:t xml:space="preserve">disposiciones de los artículos </w:t>
      </w:r>
      <w:r w:rsidRPr="00EF2E91">
        <w:rPr>
          <w:rFonts w:ascii="Arial" w:hAnsi="Arial" w:cs="Arial"/>
          <w:color w:val="000000" w:themeColor="text1"/>
          <w:sz w:val="22"/>
          <w:lang w:val="es-CO"/>
        </w:rPr>
        <w:t>2.2.1.2.4.2.2</w:t>
      </w:r>
      <w:r w:rsidR="00EF2E91">
        <w:rPr>
          <w:rFonts w:ascii="Arial" w:hAnsi="Arial" w:cs="Arial"/>
          <w:color w:val="000000" w:themeColor="text1"/>
          <w:sz w:val="22"/>
          <w:lang w:val="es-CO"/>
        </w:rPr>
        <w:t>.</w:t>
      </w:r>
      <w:r w:rsidRPr="00EF2E91">
        <w:rPr>
          <w:rFonts w:ascii="Arial" w:hAnsi="Arial" w:cs="Arial"/>
          <w:color w:val="000000" w:themeColor="text1"/>
          <w:sz w:val="22"/>
          <w:lang w:val="es-CO"/>
        </w:rPr>
        <w:t xml:space="preserve"> y 2.2.1.2.4.2.4.</w:t>
      </w:r>
      <w:r w:rsidR="00EF2E91">
        <w:rPr>
          <w:rFonts w:ascii="Arial" w:hAnsi="Arial" w:cs="Arial"/>
          <w:color w:val="000000" w:themeColor="text1"/>
          <w:sz w:val="22"/>
          <w:lang w:val="es-CO"/>
        </w:rPr>
        <w:t xml:space="preserve"> del Decreto 1082 de 2015</w:t>
      </w:r>
      <w:r w:rsidRPr="00EF2E91">
        <w:rPr>
          <w:rFonts w:ascii="Arial" w:hAnsi="Arial" w:cs="Arial"/>
          <w:color w:val="000000" w:themeColor="text1"/>
          <w:sz w:val="22"/>
          <w:lang w:val="es-CO"/>
        </w:rPr>
        <w:t>, con el parágrafo 2 del artículo del artículo 12 la Ley 1150 de 2007,</w:t>
      </w:r>
      <w:r w:rsidR="0088770C">
        <w:rPr>
          <w:rFonts w:ascii="Arial" w:hAnsi="Arial" w:cs="Arial"/>
          <w:color w:val="000000" w:themeColor="text1"/>
          <w:sz w:val="22"/>
          <w:lang w:val="es-CO"/>
        </w:rPr>
        <w:t xml:space="preserve"> tal como fue</w:t>
      </w:r>
      <w:r w:rsidRPr="00EF2E91">
        <w:rPr>
          <w:rFonts w:ascii="Arial" w:hAnsi="Arial" w:cs="Arial"/>
          <w:color w:val="000000" w:themeColor="text1"/>
          <w:sz w:val="22"/>
          <w:lang w:val="es-CO"/>
        </w:rPr>
        <w:t xml:space="preserve"> modificado por el artículo 32 de la Ley 1450 de 2011, el cual </w:t>
      </w:r>
      <w:r w:rsidR="002D5757">
        <w:rPr>
          <w:rFonts w:ascii="Arial" w:hAnsi="Arial" w:cs="Arial"/>
          <w:color w:val="000000" w:themeColor="text1"/>
          <w:sz w:val="22"/>
          <w:lang w:val="es-CO"/>
        </w:rPr>
        <w:t>establece</w:t>
      </w:r>
      <w:r w:rsidRPr="00EF2E91">
        <w:rPr>
          <w:rFonts w:ascii="Arial" w:hAnsi="Arial" w:cs="Arial"/>
          <w:color w:val="000000" w:themeColor="text1"/>
          <w:sz w:val="22"/>
          <w:lang w:val="es-CO"/>
        </w:rPr>
        <w:t xml:space="preserve"> la obligación de acreditar un año de experiencia en los siguientes términos: </w:t>
      </w:r>
    </w:p>
    <w:p w:rsidRPr="00EF2E91" w:rsidR="00EF2E91" w:rsidP="00133BA4" w:rsidRDefault="00EF2E91" w14:paraId="6A639C14" w14:textId="77777777">
      <w:pPr>
        <w:ind w:firstLine="709"/>
        <w:jc w:val="both"/>
        <w:rPr>
          <w:rFonts w:ascii="Arial" w:hAnsi="Arial" w:cs="Arial"/>
          <w:color w:val="000000" w:themeColor="text1"/>
          <w:sz w:val="22"/>
          <w:lang w:val="es-CO"/>
        </w:rPr>
      </w:pPr>
    </w:p>
    <w:p w:rsidRPr="00C82781" w:rsidR="00723AB9" w:rsidP="00133BA4" w:rsidRDefault="00723AB9" w14:paraId="04445185" w14:textId="6F32BAB0">
      <w:pPr>
        <w:ind w:left="709" w:right="709"/>
        <w:jc w:val="both"/>
        <w:rPr>
          <w:rFonts w:ascii="Arial" w:hAnsi="Arial" w:cs="Arial"/>
          <w:color w:val="000000" w:themeColor="text1"/>
          <w:sz w:val="21"/>
          <w:szCs w:val="21"/>
          <w:lang w:val="es-CO"/>
        </w:rPr>
      </w:pPr>
      <w:r w:rsidRPr="00C82781">
        <w:rPr>
          <w:rFonts w:ascii="Arial" w:hAnsi="Arial" w:cs="Arial"/>
          <w:color w:val="000000" w:themeColor="text1"/>
          <w:sz w:val="21"/>
          <w:szCs w:val="21"/>
          <w:lang w:val="es-CO"/>
        </w:rPr>
        <w:t xml:space="preserve">PARÁGRAFO 2o. Sin perjuicio de lo dispuesto en los artículos 5 y 6 de la Ley 1150 de 2007, </w:t>
      </w:r>
      <w:r w:rsidRPr="00133BA4">
        <w:rPr>
          <w:rFonts w:ascii="Arial" w:hAnsi="Arial" w:cs="Arial"/>
          <w:color w:val="000000" w:themeColor="text1"/>
          <w:sz w:val="21"/>
          <w:szCs w:val="21"/>
          <w:lang w:val="es-CO"/>
        </w:rPr>
        <w:t xml:space="preserve">para que las Mipymes puedan participar en las convocatorias a las que se refiere este artículo, deberán acreditar como mínimo un año de existencia, para lo cual deberán presentar el certificado expedido por la cámara de comercio o por la autoridad que sea competente para dicha acreditación. </w:t>
      </w:r>
    </w:p>
    <w:p w:rsidR="00803500" w:rsidP="00133BA4" w:rsidRDefault="00803500" w14:paraId="5DC0B01A" w14:textId="77777777">
      <w:pPr>
        <w:ind w:firstLine="709"/>
        <w:jc w:val="both"/>
        <w:rPr>
          <w:rFonts w:ascii="Arial" w:hAnsi="Arial" w:cs="Arial"/>
          <w:color w:val="000000" w:themeColor="text1"/>
          <w:sz w:val="22"/>
        </w:rPr>
      </w:pPr>
    </w:p>
    <w:p w:rsidR="00723AB9" w:rsidP="00133BA4" w:rsidRDefault="00EF2E91" w14:paraId="1CB87E1E" w14:textId="0830E76E">
      <w:pPr>
        <w:spacing w:line="276" w:lineRule="auto"/>
        <w:ind w:firstLine="709"/>
        <w:jc w:val="both"/>
        <w:rPr>
          <w:rFonts w:ascii="Arial" w:hAnsi="Arial" w:cs="Arial"/>
          <w:color w:val="000000" w:themeColor="text1"/>
          <w:sz w:val="22"/>
          <w:lang w:val="es-CO"/>
        </w:rPr>
      </w:pPr>
      <w:r w:rsidRPr="00EF2E91">
        <w:rPr>
          <w:rFonts w:ascii="Arial" w:hAnsi="Arial" w:cs="Arial"/>
          <w:color w:val="000000" w:themeColor="text1"/>
          <w:sz w:val="22"/>
        </w:rPr>
        <w:t>Tal como se evidencia del aparte citado y de su integración en la interpretación de los artículos</w:t>
      </w:r>
      <w:r>
        <w:rPr>
          <w:rFonts w:ascii="Arial" w:hAnsi="Arial" w:cs="Arial"/>
          <w:color w:val="000000" w:themeColor="text1"/>
          <w:sz w:val="22"/>
        </w:rPr>
        <w:t xml:space="preserve"> 2.</w:t>
      </w:r>
      <w:r w:rsidRPr="00EF2E91">
        <w:rPr>
          <w:rFonts w:ascii="Arial" w:hAnsi="Arial" w:cs="Arial"/>
          <w:color w:val="000000" w:themeColor="text1"/>
          <w:sz w:val="22"/>
          <w:lang w:val="es-CO"/>
        </w:rPr>
        <w:t>2.1.2.4.2.2</w:t>
      </w:r>
      <w:r>
        <w:rPr>
          <w:rFonts w:ascii="Arial" w:hAnsi="Arial" w:cs="Arial"/>
          <w:color w:val="000000" w:themeColor="text1"/>
          <w:sz w:val="22"/>
          <w:lang w:val="es-CO"/>
        </w:rPr>
        <w:t>.</w:t>
      </w:r>
      <w:r w:rsidRPr="00EF2E91">
        <w:rPr>
          <w:rFonts w:ascii="Arial" w:hAnsi="Arial" w:cs="Arial"/>
          <w:color w:val="000000" w:themeColor="text1"/>
          <w:sz w:val="22"/>
          <w:lang w:val="es-CO"/>
        </w:rPr>
        <w:t xml:space="preserve"> y 2.2.1.2.4.2.4</w:t>
      </w:r>
      <w:r>
        <w:rPr>
          <w:rFonts w:ascii="Arial" w:hAnsi="Arial" w:cs="Arial"/>
          <w:color w:val="000000" w:themeColor="text1"/>
          <w:sz w:val="22"/>
          <w:lang w:val="es-CO"/>
        </w:rPr>
        <w:t>.</w:t>
      </w:r>
      <w:r w:rsidR="00B24E3F">
        <w:rPr>
          <w:rFonts w:ascii="Arial" w:hAnsi="Arial" w:cs="Arial"/>
          <w:color w:val="000000" w:themeColor="text1"/>
          <w:sz w:val="22"/>
          <w:lang w:val="es-CO"/>
        </w:rPr>
        <w:t>,</w:t>
      </w:r>
      <w:r>
        <w:rPr>
          <w:rFonts w:ascii="Arial" w:hAnsi="Arial" w:cs="Arial"/>
          <w:color w:val="000000" w:themeColor="text1"/>
          <w:sz w:val="22"/>
          <w:lang w:val="es-CO"/>
        </w:rPr>
        <w:t xml:space="preserve"> se entiende que la acreditación de ex</w:t>
      </w:r>
      <w:r w:rsidR="004C674E">
        <w:rPr>
          <w:rFonts w:ascii="Arial" w:hAnsi="Arial" w:cs="Arial"/>
          <w:color w:val="000000" w:themeColor="text1"/>
          <w:sz w:val="22"/>
          <w:lang w:val="es-CO"/>
        </w:rPr>
        <w:t>istencia</w:t>
      </w:r>
      <w:r>
        <w:rPr>
          <w:rFonts w:ascii="Arial" w:hAnsi="Arial" w:cs="Arial"/>
          <w:color w:val="000000" w:themeColor="text1"/>
          <w:sz w:val="22"/>
          <w:lang w:val="es-CO"/>
        </w:rPr>
        <w:t xml:space="preserve"> es un requisito de participación y no uno que corresponda a la solicitud de limitar el proceso de selección a la convocatoria a Mipymes, como erróneamente lo planteó el peticionario al establecer que el artículo </w:t>
      </w:r>
      <w:r>
        <w:rPr>
          <w:rFonts w:ascii="Arial" w:hAnsi="Arial" w:cs="Arial"/>
          <w:color w:val="000000" w:themeColor="text1"/>
          <w:sz w:val="22"/>
        </w:rPr>
        <w:t>2.</w:t>
      </w:r>
      <w:r w:rsidRPr="00EF2E91">
        <w:rPr>
          <w:rFonts w:ascii="Arial" w:hAnsi="Arial" w:cs="Arial"/>
          <w:color w:val="000000" w:themeColor="text1"/>
          <w:sz w:val="22"/>
          <w:lang w:val="es-CO"/>
        </w:rPr>
        <w:t>2.1.2.4.2.2</w:t>
      </w:r>
      <w:r>
        <w:rPr>
          <w:rFonts w:ascii="Arial" w:hAnsi="Arial" w:cs="Arial"/>
          <w:color w:val="000000" w:themeColor="text1"/>
          <w:sz w:val="22"/>
          <w:lang w:val="es-CO"/>
        </w:rPr>
        <w:t>.</w:t>
      </w:r>
      <w:r w:rsidRPr="00EF2E91">
        <w:rPr>
          <w:rFonts w:ascii="Arial" w:hAnsi="Arial" w:cs="Arial"/>
          <w:color w:val="000000" w:themeColor="text1"/>
          <w:sz w:val="22"/>
          <w:lang w:val="es-CO"/>
        </w:rPr>
        <w:t xml:space="preserve"> </w:t>
      </w:r>
      <w:r>
        <w:rPr>
          <w:rFonts w:ascii="Arial" w:hAnsi="Arial" w:cs="Arial"/>
          <w:color w:val="000000" w:themeColor="text1"/>
          <w:sz w:val="22"/>
          <w:lang w:val="es-CO"/>
        </w:rPr>
        <w:t xml:space="preserve">solamente regula lo atinente a la limitación del proceso. Además, </w:t>
      </w:r>
      <w:r w:rsidR="00D63D6B">
        <w:rPr>
          <w:rFonts w:ascii="Arial" w:hAnsi="Arial" w:cs="Arial"/>
          <w:color w:val="000000" w:themeColor="text1"/>
          <w:sz w:val="22"/>
          <w:lang w:val="es-CO"/>
        </w:rPr>
        <w:t>al hacer uso</w:t>
      </w:r>
      <w:r w:rsidR="00B60BE3">
        <w:rPr>
          <w:rFonts w:ascii="Arial" w:hAnsi="Arial" w:cs="Arial"/>
          <w:color w:val="000000" w:themeColor="text1"/>
          <w:sz w:val="22"/>
          <w:lang w:val="es-CO"/>
        </w:rPr>
        <w:t xml:space="preserve"> de</w:t>
      </w:r>
      <w:r>
        <w:rPr>
          <w:rFonts w:ascii="Arial" w:hAnsi="Arial" w:cs="Arial"/>
          <w:color w:val="000000" w:themeColor="text1"/>
          <w:sz w:val="22"/>
          <w:lang w:val="es-CO"/>
        </w:rPr>
        <w:t xml:space="preserve"> la interpretación sist</w:t>
      </w:r>
      <w:r w:rsidR="004C674E">
        <w:rPr>
          <w:rFonts w:ascii="Arial" w:hAnsi="Arial" w:cs="Arial"/>
          <w:color w:val="000000" w:themeColor="text1"/>
          <w:sz w:val="22"/>
          <w:lang w:val="es-CO"/>
        </w:rPr>
        <w:t>e</w:t>
      </w:r>
      <w:r>
        <w:rPr>
          <w:rFonts w:ascii="Arial" w:hAnsi="Arial" w:cs="Arial"/>
          <w:color w:val="000000" w:themeColor="text1"/>
          <w:sz w:val="22"/>
          <w:lang w:val="es-CO"/>
        </w:rPr>
        <w:t>m</w:t>
      </w:r>
      <w:r w:rsidR="004C674E">
        <w:rPr>
          <w:rFonts w:ascii="Arial" w:hAnsi="Arial" w:cs="Arial"/>
          <w:color w:val="000000" w:themeColor="text1"/>
          <w:sz w:val="22"/>
          <w:lang w:val="es-CO"/>
        </w:rPr>
        <w:t>á</w:t>
      </w:r>
      <w:r>
        <w:rPr>
          <w:rFonts w:ascii="Arial" w:hAnsi="Arial" w:cs="Arial"/>
          <w:color w:val="000000" w:themeColor="text1"/>
          <w:sz w:val="22"/>
          <w:lang w:val="es-CO"/>
        </w:rPr>
        <w:t xml:space="preserve">tica, </w:t>
      </w:r>
      <w:r w:rsidR="00D63D6B">
        <w:rPr>
          <w:rFonts w:ascii="Arial" w:hAnsi="Arial" w:cs="Arial"/>
          <w:color w:val="000000" w:themeColor="text1"/>
          <w:sz w:val="22"/>
          <w:lang w:val="es-CO"/>
        </w:rPr>
        <w:t xml:space="preserve">se </w:t>
      </w:r>
      <w:r>
        <w:rPr>
          <w:rFonts w:ascii="Arial" w:hAnsi="Arial" w:cs="Arial"/>
          <w:color w:val="000000" w:themeColor="text1"/>
          <w:sz w:val="22"/>
          <w:lang w:val="es-CO"/>
        </w:rPr>
        <w:t>conclu</w:t>
      </w:r>
      <w:r w:rsidR="00D63D6B">
        <w:rPr>
          <w:rFonts w:ascii="Arial" w:hAnsi="Arial" w:cs="Arial"/>
          <w:color w:val="000000" w:themeColor="text1"/>
          <w:sz w:val="22"/>
          <w:lang w:val="es-CO"/>
        </w:rPr>
        <w:t>ye</w:t>
      </w:r>
      <w:r>
        <w:rPr>
          <w:rFonts w:ascii="Arial" w:hAnsi="Arial" w:cs="Arial"/>
          <w:color w:val="000000" w:themeColor="text1"/>
          <w:sz w:val="22"/>
          <w:lang w:val="es-CO"/>
        </w:rPr>
        <w:t xml:space="preserve"> que </w:t>
      </w:r>
      <w:r w:rsidR="004C674E">
        <w:rPr>
          <w:rFonts w:ascii="Arial" w:hAnsi="Arial" w:cs="Arial"/>
          <w:color w:val="000000" w:themeColor="text1"/>
          <w:sz w:val="22"/>
          <w:lang w:val="es-CO"/>
        </w:rPr>
        <w:t>este requisito se acredita con el certificado expedido por la cámara de comercio o por la autoridad que se</w:t>
      </w:r>
      <w:r w:rsidR="006841A3">
        <w:rPr>
          <w:rFonts w:ascii="Arial" w:hAnsi="Arial" w:cs="Arial"/>
          <w:color w:val="000000" w:themeColor="text1"/>
          <w:sz w:val="22"/>
          <w:lang w:val="es-CO"/>
        </w:rPr>
        <w:t xml:space="preserve">a </w:t>
      </w:r>
      <w:r w:rsidR="004C674E">
        <w:rPr>
          <w:rFonts w:ascii="Arial" w:hAnsi="Arial" w:cs="Arial"/>
          <w:color w:val="000000" w:themeColor="text1"/>
          <w:sz w:val="22"/>
          <w:lang w:val="es-CO"/>
        </w:rPr>
        <w:t xml:space="preserve">competente para acreditar dicha condición. </w:t>
      </w:r>
    </w:p>
    <w:p w:rsidR="00B24E3F" w:rsidP="00133BA4" w:rsidRDefault="00B24E3F" w14:paraId="5EE4E81E" w14:textId="77777777">
      <w:pPr>
        <w:spacing w:line="276" w:lineRule="auto"/>
        <w:ind w:firstLine="709"/>
        <w:jc w:val="both"/>
        <w:rPr>
          <w:rFonts w:ascii="Arial" w:hAnsi="Arial" w:cs="Arial"/>
          <w:color w:val="000000" w:themeColor="text1"/>
          <w:sz w:val="22"/>
          <w:lang w:val="es-CO"/>
        </w:rPr>
      </w:pPr>
    </w:p>
    <w:p w:rsidR="00716A74" w:rsidP="00133BA4" w:rsidRDefault="004C674E" w14:paraId="344319B0" w14:textId="7A6A2599">
      <w:pPr>
        <w:spacing w:line="276" w:lineRule="auto"/>
        <w:jc w:val="both"/>
        <w:rPr>
          <w:rFonts w:ascii="Arial" w:hAnsi="Arial" w:cs="Arial"/>
          <w:i/>
          <w:iCs/>
          <w:color w:val="000000" w:themeColor="text1"/>
          <w:sz w:val="22"/>
          <w:lang w:val="es-CO"/>
        </w:rPr>
      </w:pPr>
      <w:r w:rsidRPr="00664C10">
        <w:rPr>
          <w:rFonts w:ascii="Arial" w:hAnsi="Arial" w:cs="Arial"/>
          <w:i/>
          <w:iCs/>
          <w:color w:val="000000" w:themeColor="text1"/>
          <w:sz w:val="22"/>
          <w:lang w:val="es-CO"/>
        </w:rPr>
        <w:t>iii) Jerarquía normativa</w:t>
      </w:r>
    </w:p>
    <w:p w:rsidRPr="00664C10" w:rsidR="002841BF" w:rsidP="00133BA4" w:rsidRDefault="002841BF" w14:paraId="5B08F562" w14:textId="77777777">
      <w:pPr>
        <w:spacing w:line="276" w:lineRule="auto"/>
        <w:jc w:val="both"/>
        <w:rPr>
          <w:rFonts w:ascii="Arial" w:hAnsi="Arial" w:cs="Arial"/>
          <w:i/>
          <w:iCs/>
          <w:color w:val="000000" w:themeColor="text1"/>
          <w:sz w:val="22"/>
          <w:lang w:val="es-CO"/>
        </w:rPr>
      </w:pPr>
    </w:p>
    <w:p w:rsidR="004C674E" w:rsidP="00133BA4" w:rsidRDefault="004C674E" w14:paraId="2A46241D" w14:textId="572B133E">
      <w:pPr>
        <w:spacing w:line="276" w:lineRule="auto"/>
        <w:jc w:val="both"/>
        <w:rPr>
          <w:rFonts w:ascii="Arial" w:hAnsi="Arial" w:cs="Arial"/>
          <w:color w:val="000000" w:themeColor="text1"/>
          <w:sz w:val="22"/>
          <w:lang w:val="es-CO"/>
        </w:rPr>
      </w:pPr>
      <w:r>
        <w:rPr>
          <w:rFonts w:ascii="Arial" w:hAnsi="Arial" w:cs="Arial"/>
          <w:color w:val="000000" w:themeColor="text1"/>
          <w:sz w:val="22"/>
          <w:lang w:val="es-CO"/>
        </w:rPr>
        <w:t xml:space="preserve">Finalmente, es factible que se incurra en el yerro de considerar que las disposiciones contenidas en los artículos </w:t>
      </w:r>
      <w:r>
        <w:rPr>
          <w:rFonts w:ascii="Arial" w:hAnsi="Arial" w:cs="Arial"/>
          <w:color w:val="000000" w:themeColor="text1"/>
          <w:sz w:val="22"/>
        </w:rPr>
        <w:t>2.</w:t>
      </w:r>
      <w:r w:rsidRPr="00EF2E91">
        <w:rPr>
          <w:rFonts w:ascii="Arial" w:hAnsi="Arial" w:cs="Arial"/>
          <w:color w:val="000000" w:themeColor="text1"/>
          <w:sz w:val="22"/>
          <w:lang w:val="es-CO"/>
        </w:rPr>
        <w:t>2.1.2.4.2.2</w:t>
      </w:r>
      <w:r>
        <w:rPr>
          <w:rFonts w:ascii="Arial" w:hAnsi="Arial" w:cs="Arial"/>
          <w:color w:val="000000" w:themeColor="text1"/>
          <w:sz w:val="22"/>
          <w:lang w:val="es-CO"/>
        </w:rPr>
        <w:t>.</w:t>
      </w:r>
      <w:r w:rsidRPr="00EF2E91">
        <w:rPr>
          <w:rFonts w:ascii="Arial" w:hAnsi="Arial" w:cs="Arial"/>
          <w:color w:val="000000" w:themeColor="text1"/>
          <w:sz w:val="22"/>
          <w:lang w:val="es-CO"/>
        </w:rPr>
        <w:t xml:space="preserve"> y 2.2.1.2.4.2.4</w:t>
      </w:r>
      <w:r>
        <w:rPr>
          <w:rFonts w:ascii="Arial" w:hAnsi="Arial" w:cs="Arial"/>
          <w:color w:val="000000" w:themeColor="text1"/>
          <w:sz w:val="22"/>
          <w:lang w:val="es-CO"/>
        </w:rPr>
        <w:t xml:space="preserve">. del Decreto 1082 de 2015, modifican lo establecido en </w:t>
      </w:r>
      <w:r w:rsidRPr="00EF2E91">
        <w:rPr>
          <w:rFonts w:ascii="Arial" w:hAnsi="Arial" w:cs="Arial"/>
          <w:color w:val="000000" w:themeColor="text1"/>
          <w:sz w:val="22"/>
          <w:lang w:val="es-CO"/>
        </w:rPr>
        <w:t xml:space="preserve">el </w:t>
      </w:r>
      <w:r w:rsidR="00A71CA6">
        <w:rPr>
          <w:rFonts w:ascii="Arial" w:hAnsi="Arial" w:cs="Arial"/>
          <w:color w:val="000000" w:themeColor="text1"/>
          <w:sz w:val="22"/>
          <w:lang w:val="es-CO"/>
        </w:rPr>
        <w:t>p</w:t>
      </w:r>
      <w:r w:rsidRPr="00EF2E91">
        <w:rPr>
          <w:rFonts w:ascii="Arial" w:hAnsi="Arial" w:cs="Arial"/>
          <w:color w:val="000000" w:themeColor="text1"/>
          <w:sz w:val="22"/>
          <w:lang w:val="es-CO"/>
        </w:rPr>
        <w:t>arágrafo 2 del artículo del artículo 12 la Ley 1150 de 2007, modificado por el artículo 32 de la Ley 1450 de 201</w:t>
      </w:r>
      <w:r>
        <w:rPr>
          <w:rFonts w:ascii="Arial" w:hAnsi="Arial" w:cs="Arial"/>
          <w:color w:val="000000" w:themeColor="text1"/>
          <w:sz w:val="22"/>
          <w:lang w:val="es-CO"/>
        </w:rPr>
        <w:t>1, llevando a que la interpretación sistemática propuesta resulte inocua y no haya claridad</w:t>
      </w:r>
      <w:r w:rsidR="00A71CA6">
        <w:rPr>
          <w:rFonts w:ascii="Arial" w:hAnsi="Arial" w:cs="Arial"/>
          <w:color w:val="000000" w:themeColor="text1"/>
          <w:sz w:val="22"/>
          <w:lang w:val="es-CO"/>
        </w:rPr>
        <w:t xml:space="preserve"> acerca de</w:t>
      </w:r>
      <w:r>
        <w:rPr>
          <w:rFonts w:ascii="Arial" w:hAnsi="Arial" w:cs="Arial"/>
          <w:color w:val="000000" w:themeColor="text1"/>
          <w:sz w:val="22"/>
          <w:lang w:val="es-CO"/>
        </w:rPr>
        <w:t xml:space="preserve"> si el requisito de acreditar mínimo un año de existencia por parte de la Mipyme es o no un requisito </w:t>
      </w:r>
      <w:r>
        <w:rPr>
          <w:rFonts w:ascii="Arial" w:hAnsi="Arial" w:cs="Arial"/>
          <w:i/>
          <w:iCs/>
          <w:color w:val="000000" w:themeColor="text1"/>
          <w:sz w:val="22"/>
          <w:lang w:val="es-CO"/>
        </w:rPr>
        <w:t>s</w:t>
      </w:r>
      <w:r w:rsidRPr="004C674E">
        <w:rPr>
          <w:rFonts w:ascii="Arial" w:hAnsi="Arial" w:cs="Arial"/>
          <w:i/>
          <w:iCs/>
          <w:color w:val="000000" w:themeColor="text1"/>
          <w:sz w:val="22"/>
          <w:lang w:val="es-CO"/>
        </w:rPr>
        <w:t>ine qua non</w:t>
      </w:r>
      <w:r>
        <w:rPr>
          <w:rFonts w:ascii="Arial" w:hAnsi="Arial" w:cs="Arial"/>
          <w:color w:val="000000" w:themeColor="text1"/>
          <w:sz w:val="22"/>
          <w:lang w:val="es-CO"/>
        </w:rPr>
        <w:t xml:space="preserve"> para participar en una convocatoria limitada.</w:t>
      </w:r>
    </w:p>
    <w:p w:rsidR="00572301" w:rsidP="00572301" w:rsidRDefault="00176036" w14:paraId="72B05E79" w14:textId="29723AD7">
      <w:pPr>
        <w:spacing w:before="120" w:line="276" w:lineRule="auto"/>
        <w:ind w:firstLine="708"/>
        <w:jc w:val="both"/>
        <w:rPr>
          <w:rFonts w:ascii="Arial" w:hAnsi="Arial" w:cs="Arial"/>
          <w:color w:val="000000" w:themeColor="text1"/>
          <w:sz w:val="22"/>
          <w:lang w:val="es-CO"/>
        </w:rPr>
      </w:pPr>
      <w:r>
        <w:rPr>
          <w:rFonts w:ascii="Arial" w:hAnsi="Arial" w:cs="Arial"/>
          <w:color w:val="000000" w:themeColor="text1"/>
          <w:sz w:val="22"/>
          <w:lang w:val="es-CO"/>
        </w:rPr>
        <w:t>Pero, e</w:t>
      </w:r>
      <w:r w:rsidR="00572301">
        <w:rPr>
          <w:rFonts w:ascii="Arial" w:hAnsi="Arial" w:cs="Arial"/>
          <w:color w:val="000000" w:themeColor="text1"/>
          <w:sz w:val="22"/>
          <w:lang w:val="es-CO"/>
        </w:rPr>
        <w:t>n ninguna medida los artículos del Decreto 1082 de 2015 modifican lo dispuesto en la Ley 1150 de 2007</w:t>
      </w:r>
      <w:r>
        <w:rPr>
          <w:rFonts w:ascii="Arial" w:hAnsi="Arial" w:cs="Arial"/>
          <w:color w:val="000000" w:themeColor="text1"/>
          <w:sz w:val="22"/>
          <w:lang w:val="es-CO"/>
        </w:rPr>
        <w:t>.</w:t>
      </w:r>
      <w:r w:rsidR="00572301">
        <w:rPr>
          <w:rFonts w:ascii="Arial" w:hAnsi="Arial" w:cs="Arial"/>
          <w:color w:val="000000" w:themeColor="text1"/>
          <w:sz w:val="22"/>
          <w:lang w:val="es-CO"/>
        </w:rPr>
        <w:t xml:space="preserve"> </w:t>
      </w:r>
      <w:r w:rsidR="00DE6C0A">
        <w:rPr>
          <w:rFonts w:ascii="Arial" w:hAnsi="Arial" w:cs="Arial"/>
          <w:color w:val="000000" w:themeColor="text1"/>
          <w:sz w:val="22"/>
          <w:lang w:val="es-CO"/>
        </w:rPr>
        <w:t>Para determinarlo b</w:t>
      </w:r>
      <w:r w:rsidR="00572301">
        <w:rPr>
          <w:rFonts w:ascii="Arial" w:hAnsi="Arial" w:cs="Arial"/>
          <w:color w:val="000000" w:themeColor="text1"/>
          <w:sz w:val="22"/>
          <w:lang w:val="es-CO"/>
        </w:rPr>
        <w:t xml:space="preserve">asta con remitirse a la jerarquía normativa del ordenamiento jurídico colombiano. </w:t>
      </w:r>
      <w:r w:rsidR="00015237">
        <w:rPr>
          <w:rFonts w:ascii="Arial" w:hAnsi="Arial" w:cs="Arial"/>
          <w:color w:val="000000" w:themeColor="text1"/>
          <w:sz w:val="22"/>
          <w:lang w:val="es-CO"/>
        </w:rPr>
        <w:t xml:space="preserve">En </w:t>
      </w:r>
      <w:r w:rsidR="00DE6C0A">
        <w:rPr>
          <w:rFonts w:ascii="Arial" w:hAnsi="Arial" w:cs="Arial"/>
          <w:color w:val="000000" w:themeColor="text1"/>
          <w:sz w:val="22"/>
          <w:lang w:val="es-CO"/>
        </w:rPr>
        <w:t>relación con este punto</w:t>
      </w:r>
      <w:r w:rsidR="00572301">
        <w:rPr>
          <w:rFonts w:ascii="Arial" w:hAnsi="Arial" w:cs="Arial"/>
          <w:color w:val="000000" w:themeColor="text1"/>
          <w:sz w:val="22"/>
          <w:lang w:val="es-CO"/>
        </w:rPr>
        <w:t xml:space="preserve">, la jurisprudencia </w:t>
      </w:r>
      <w:r w:rsidR="00EB071E">
        <w:rPr>
          <w:rFonts w:ascii="Arial" w:hAnsi="Arial" w:cs="Arial"/>
          <w:color w:val="000000" w:themeColor="text1"/>
          <w:sz w:val="22"/>
          <w:lang w:val="es-CO"/>
        </w:rPr>
        <w:t>nacional</w:t>
      </w:r>
      <w:r w:rsidR="00572301">
        <w:rPr>
          <w:rFonts w:ascii="Arial" w:hAnsi="Arial" w:cs="Arial"/>
          <w:color w:val="000000" w:themeColor="text1"/>
          <w:sz w:val="22"/>
          <w:lang w:val="es-CO"/>
        </w:rPr>
        <w:t xml:space="preserve"> ha</w:t>
      </w:r>
      <w:r w:rsidR="008268B0">
        <w:rPr>
          <w:rFonts w:ascii="Arial" w:hAnsi="Arial" w:cs="Arial"/>
          <w:color w:val="000000" w:themeColor="text1"/>
          <w:sz w:val="22"/>
          <w:lang w:val="es-CO"/>
        </w:rPr>
        <w:t xml:space="preserve"> establecido</w:t>
      </w:r>
      <w:r w:rsidR="00572301">
        <w:rPr>
          <w:rFonts w:ascii="Arial" w:hAnsi="Arial" w:cs="Arial"/>
          <w:color w:val="000000" w:themeColor="text1"/>
          <w:sz w:val="22"/>
          <w:lang w:val="es-CO"/>
        </w:rPr>
        <w:t xml:space="preserve"> que las leyes expedidas p</w:t>
      </w:r>
      <w:r w:rsidR="00891858">
        <w:rPr>
          <w:rFonts w:ascii="Arial" w:hAnsi="Arial" w:cs="Arial"/>
          <w:color w:val="000000" w:themeColor="text1"/>
          <w:sz w:val="22"/>
          <w:lang w:val="es-CO"/>
        </w:rPr>
        <w:t>or</w:t>
      </w:r>
      <w:r w:rsidR="00572301">
        <w:rPr>
          <w:rFonts w:ascii="Arial" w:hAnsi="Arial" w:cs="Arial"/>
          <w:color w:val="000000" w:themeColor="text1"/>
          <w:sz w:val="22"/>
          <w:lang w:val="es-CO"/>
        </w:rPr>
        <w:t xml:space="preserve"> el Congreso dentro de la órbita de competencia que le asigna la Constitución, ocupan una posición prevalente en la escala normativa frente a los actos administrativos de contenido normativo que tienen por objeto dar aplicación y regular los contenidos previstos en la ley</w:t>
      </w:r>
      <w:r w:rsidR="008268B0">
        <w:rPr>
          <w:rStyle w:val="Refdenotaalpie"/>
          <w:rFonts w:ascii="Arial" w:hAnsi="Arial" w:cs="Arial"/>
          <w:color w:val="000000" w:themeColor="text1"/>
          <w:sz w:val="22"/>
          <w:lang w:val="es-CO"/>
        </w:rPr>
        <w:footnoteReference w:id="20"/>
      </w:r>
      <w:r w:rsidR="00572301">
        <w:rPr>
          <w:rFonts w:ascii="Arial" w:hAnsi="Arial" w:cs="Arial"/>
          <w:color w:val="000000" w:themeColor="text1"/>
          <w:sz w:val="22"/>
          <w:lang w:val="es-CO"/>
        </w:rPr>
        <w:t xml:space="preserve">. </w:t>
      </w:r>
    </w:p>
    <w:p w:rsidR="004C674E" w:rsidP="00891858" w:rsidRDefault="00572301" w14:paraId="4327DE59" w14:textId="2C017725">
      <w:pPr>
        <w:spacing w:before="120" w:line="276" w:lineRule="auto"/>
        <w:ind w:firstLine="709"/>
        <w:jc w:val="both"/>
        <w:rPr>
          <w:rFonts w:ascii="Arial" w:hAnsi="Arial" w:cs="Arial"/>
          <w:color w:val="000000" w:themeColor="text1"/>
          <w:sz w:val="22"/>
          <w:lang w:val="es-CO"/>
        </w:rPr>
      </w:pPr>
      <w:r>
        <w:rPr>
          <w:rFonts w:ascii="Arial" w:hAnsi="Arial" w:cs="Arial"/>
          <w:color w:val="000000" w:themeColor="text1"/>
          <w:sz w:val="22"/>
          <w:lang w:val="es-CO"/>
        </w:rPr>
        <w:t>Haciendo apli</w:t>
      </w:r>
      <w:r w:rsidR="006841A3">
        <w:rPr>
          <w:rFonts w:ascii="Arial" w:hAnsi="Arial" w:cs="Arial"/>
          <w:color w:val="000000" w:themeColor="text1"/>
          <w:sz w:val="22"/>
          <w:lang w:val="es-CO"/>
        </w:rPr>
        <w:t>c</w:t>
      </w:r>
      <w:r>
        <w:rPr>
          <w:rFonts w:ascii="Arial" w:hAnsi="Arial" w:cs="Arial"/>
          <w:color w:val="000000" w:themeColor="text1"/>
          <w:sz w:val="22"/>
          <w:lang w:val="es-CO"/>
        </w:rPr>
        <w:t>ación del orden jer</w:t>
      </w:r>
      <w:r w:rsidR="006841A3">
        <w:rPr>
          <w:rFonts w:ascii="Arial" w:hAnsi="Arial" w:cs="Arial"/>
          <w:color w:val="000000" w:themeColor="text1"/>
          <w:sz w:val="22"/>
          <w:lang w:val="es-CO"/>
        </w:rPr>
        <w:t>á</w:t>
      </w:r>
      <w:r>
        <w:rPr>
          <w:rFonts w:ascii="Arial" w:hAnsi="Arial" w:cs="Arial"/>
          <w:color w:val="000000" w:themeColor="text1"/>
          <w:sz w:val="22"/>
          <w:lang w:val="es-CO"/>
        </w:rPr>
        <w:t xml:space="preserve">rquico, es evidente que los artículos </w:t>
      </w:r>
      <w:r>
        <w:rPr>
          <w:rFonts w:ascii="Arial" w:hAnsi="Arial" w:cs="Arial"/>
          <w:color w:val="000000" w:themeColor="text1"/>
          <w:sz w:val="22"/>
        </w:rPr>
        <w:t>2.</w:t>
      </w:r>
      <w:r w:rsidRPr="00EF2E91">
        <w:rPr>
          <w:rFonts w:ascii="Arial" w:hAnsi="Arial" w:cs="Arial"/>
          <w:color w:val="000000" w:themeColor="text1"/>
          <w:sz w:val="22"/>
          <w:lang w:val="es-CO"/>
        </w:rPr>
        <w:t>2.1.2.4.2.2</w:t>
      </w:r>
      <w:r>
        <w:rPr>
          <w:rFonts w:ascii="Arial" w:hAnsi="Arial" w:cs="Arial"/>
          <w:color w:val="000000" w:themeColor="text1"/>
          <w:sz w:val="22"/>
          <w:lang w:val="es-CO"/>
        </w:rPr>
        <w:t>.</w:t>
      </w:r>
      <w:r w:rsidRPr="00EF2E91">
        <w:rPr>
          <w:rFonts w:ascii="Arial" w:hAnsi="Arial" w:cs="Arial"/>
          <w:color w:val="000000" w:themeColor="text1"/>
          <w:sz w:val="22"/>
          <w:lang w:val="es-CO"/>
        </w:rPr>
        <w:t xml:space="preserve"> y 2.2.1.2.4.2.4</w:t>
      </w:r>
      <w:r>
        <w:rPr>
          <w:rFonts w:ascii="Arial" w:hAnsi="Arial" w:cs="Arial"/>
          <w:color w:val="000000" w:themeColor="text1"/>
          <w:sz w:val="22"/>
          <w:lang w:val="es-CO"/>
        </w:rPr>
        <w:t>. del Decreto 1082 de 2015</w:t>
      </w:r>
      <w:r w:rsidR="00891858">
        <w:rPr>
          <w:rFonts w:ascii="Arial" w:hAnsi="Arial" w:cs="Arial"/>
          <w:color w:val="000000" w:themeColor="text1"/>
          <w:sz w:val="22"/>
          <w:lang w:val="es-CO"/>
        </w:rPr>
        <w:t xml:space="preserve"> </w:t>
      </w:r>
      <w:r w:rsidR="00A3111E">
        <w:rPr>
          <w:rFonts w:ascii="Arial" w:hAnsi="Arial" w:cs="Arial"/>
          <w:color w:val="000000" w:themeColor="text1"/>
          <w:sz w:val="22"/>
          <w:lang w:val="es-CO"/>
        </w:rPr>
        <w:t>–</w:t>
      </w:r>
      <w:r w:rsidR="00891858">
        <w:rPr>
          <w:rFonts w:ascii="Arial" w:hAnsi="Arial" w:cs="Arial"/>
          <w:color w:val="000000" w:themeColor="text1"/>
          <w:sz w:val="22"/>
          <w:lang w:val="es-CO"/>
        </w:rPr>
        <w:t>que es un decreto ordinario</w:t>
      </w:r>
      <w:r w:rsidR="00A3111E">
        <w:rPr>
          <w:rFonts w:ascii="Arial" w:hAnsi="Arial" w:cs="Arial"/>
          <w:color w:val="000000" w:themeColor="text1"/>
          <w:sz w:val="22"/>
          <w:lang w:val="es-CO"/>
        </w:rPr>
        <w:t>–</w:t>
      </w:r>
      <w:r>
        <w:rPr>
          <w:rFonts w:ascii="Arial" w:hAnsi="Arial" w:cs="Arial"/>
          <w:color w:val="000000" w:themeColor="text1"/>
          <w:sz w:val="22"/>
          <w:lang w:val="es-CO"/>
        </w:rPr>
        <w:t xml:space="preserve"> en ninguna medida modifican o derogan el contenido del p</w:t>
      </w:r>
      <w:r w:rsidRPr="00EF2E91">
        <w:rPr>
          <w:rFonts w:ascii="Arial" w:hAnsi="Arial" w:cs="Arial"/>
          <w:color w:val="000000" w:themeColor="text1"/>
          <w:sz w:val="22"/>
          <w:lang w:val="es-CO"/>
        </w:rPr>
        <w:t>arágrafo 2 del artículo</w:t>
      </w:r>
      <w:r w:rsidR="006841A3">
        <w:rPr>
          <w:rFonts w:ascii="Arial" w:hAnsi="Arial" w:cs="Arial"/>
          <w:color w:val="000000" w:themeColor="text1"/>
          <w:sz w:val="22"/>
          <w:lang w:val="es-CO"/>
        </w:rPr>
        <w:t xml:space="preserve"> </w:t>
      </w:r>
      <w:r w:rsidRPr="00EF2E91">
        <w:rPr>
          <w:rFonts w:ascii="Arial" w:hAnsi="Arial" w:cs="Arial"/>
          <w:color w:val="000000" w:themeColor="text1"/>
          <w:sz w:val="22"/>
          <w:lang w:val="es-CO"/>
        </w:rPr>
        <w:t>12 la Ley 1150 de 2007</w:t>
      </w:r>
      <w:r>
        <w:rPr>
          <w:rFonts w:ascii="Arial" w:hAnsi="Arial" w:cs="Arial"/>
          <w:color w:val="000000" w:themeColor="text1"/>
          <w:sz w:val="22"/>
          <w:lang w:val="es-CO"/>
        </w:rPr>
        <w:t xml:space="preserve">, pues </w:t>
      </w:r>
      <w:r w:rsidR="00A3111E">
        <w:rPr>
          <w:rFonts w:ascii="Arial" w:hAnsi="Arial" w:cs="Arial"/>
          <w:color w:val="000000" w:themeColor="text1"/>
          <w:sz w:val="22"/>
          <w:lang w:val="es-CO"/>
        </w:rPr>
        <w:t>solo</w:t>
      </w:r>
      <w:r>
        <w:rPr>
          <w:rFonts w:ascii="Arial" w:hAnsi="Arial" w:cs="Arial"/>
          <w:color w:val="000000" w:themeColor="text1"/>
          <w:sz w:val="22"/>
          <w:lang w:val="es-CO"/>
        </w:rPr>
        <w:t xml:space="preserve"> regula</w:t>
      </w:r>
      <w:r w:rsidR="00A3111E">
        <w:rPr>
          <w:rFonts w:ascii="Arial" w:hAnsi="Arial" w:cs="Arial"/>
          <w:color w:val="000000" w:themeColor="text1"/>
          <w:sz w:val="22"/>
          <w:lang w:val="es-CO"/>
        </w:rPr>
        <w:t>n</w:t>
      </w:r>
      <w:r>
        <w:rPr>
          <w:rFonts w:ascii="Arial" w:hAnsi="Arial" w:cs="Arial"/>
          <w:color w:val="000000" w:themeColor="text1"/>
          <w:sz w:val="22"/>
          <w:lang w:val="es-CO"/>
        </w:rPr>
        <w:t xml:space="preserve"> el proceso de limitación a Mipymes</w:t>
      </w:r>
      <w:r w:rsidR="00891858">
        <w:rPr>
          <w:rFonts w:ascii="Arial" w:hAnsi="Arial" w:cs="Arial"/>
          <w:color w:val="000000" w:themeColor="text1"/>
          <w:sz w:val="22"/>
          <w:lang w:val="es-CO"/>
        </w:rPr>
        <w:t xml:space="preserve"> previsto en el artículo mencionado. </w:t>
      </w:r>
    </w:p>
    <w:p w:rsidRPr="004C674E" w:rsidR="004C674E" w:rsidP="005608B8" w:rsidRDefault="004C674E" w14:paraId="24068F58" w14:textId="77777777">
      <w:pPr>
        <w:spacing w:before="120" w:line="276" w:lineRule="auto"/>
        <w:jc w:val="both"/>
        <w:rPr>
          <w:rFonts w:ascii="Arial" w:hAnsi="Arial" w:cs="Arial"/>
          <w:color w:val="000000" w:themeColor="text1"/>
          <w:sz w:val="22"/>
          <w:lang w:val="es-CO"/>
        </w:rPr>
      </w:pPr>
    </w:p>
    <w:p w:rsidRPr="00803D6A" w:rsidR="008C487C" w:rsidP="005608B8" w:rsidRDefault="008C487C" w14:paraId="4487ABBD" w14:textId="00D268F1">
      <w:pPr>
        <w:pStyle w:val="Prrafodelista"/>
        <w:numPr>
          <w:ilvl w:val="0"/>
          <w:numId w:val="1"/>
        </w:numPr>
        <w:tabs>
          <w:tab w:val="left" w:pos="284"/>
        </w:tabs>
        <w:spacing w:line="276" w:lineRule="auto"/>
        <w:rPr>
          <w:rFonts w:ascii="Arial" w:hAnsi="Arial" w:cs="Arial"/>
          <w:b/>
          <w:bCs/>
          <w:color w:val="000000" w:themeColor="text1"/>
          <w:sz w:val="22"/>
          <w:lang w:val="es-CO"/>
        </w:rPr>
      </w:pPr>
      <w:r w:rsidRPr="00803D6A">
        <w:rPr>
          <w:rFonts w:ascii="Arial" w:hAnsi="Arial" w:cs="Arial"/>
          <w:b/>
          <w:bCs/>
          <w:color w:val="000000" w:themeColor="text1"/>
          <w:sz w:val="22"/>
          <w:lang w:val="es-CO"/>
        </w:rPr>
        <w:t xml:space="preserve">Respuesta </w:t>
      </w:r>
    </w:p>
    <w:p w:rsidRPr="00803D6A" w:rsidR="00400868" w:rsidP="00400868" w:rsidRDefault="00400868" w14:paraId="23109150" w14:textId="5BDC550F">
      <w:pPr>
        <w:tabs>
          <w:tab w:val="left" w:pos="284"/>
        </w:tabs>
        <w:spacing w:line="276" w:lineRule="auto"/>
        <w:rPr>
          <w:rFonts w:ascii="Arial" w:hAnsi="Arial" w:cs="Arial"/>
          <w:b/>
          <w:bCs/>
          <w:color w:val="000000" w:themeColor="text1"/>
          <w:sz w:val="22"/>
          <w:lang w:val="es-CO"/>
        </w:rPr>
      </w:pPr>
    </w:p>
    <w:p w:rsidR="005608B8" w:rsidP="005608B8" w:rsidRDefault="000E0310" w14:paraId="085EC834" w14:textId="5A54021A">
      <w:pPr>
        <w:tabs>
          <w:tab w:val="left" w:pos="284"/>
        </w:tabs>
        <w:ind w:left="709" w:right="709"/>
        <w:jc w:val="both"/>
        <w:rPr>
          <w:rFonts w:ascii="Arial" w:hAnsi="Arial" w:eastAsia="Calibri" w:cs="Arial"/>
          <w:color w:val="000000" w:themeColor="text1"/>
          <w:sz w:val="21"/>
          <w:szCs w:val="21"/>
          <w:lang w:val="es-CO"/>
        </w:rPr>
      </w:pPr>
      <w:r w:rsidRPr="000E0310">
        <w:rPr>
          <w:rFonts w:ascii="Arial" w:hAnsi="Arial" w:eastAsia="Calibri" w:cs="Arial"/>
          <w:color w:val="000000" w:themeColor="text1"/>
          <w:sz w:val="21"/>
          <w:szCs w:val="21"/>
          <w:lang w:val="es-CO"/>
        </w:rPr>
        <w:t>«</w:t>
      </w:r>
      <w:r w:rsidRPr="005608B8" w:rsidR="005608B8">
        <w:rPr>
          <w:rFonts w:ascii="Arial" w:hAnsi="Arial" w:eastAsia="Calibri" w:cs="Arial"/>
          <w:color w:val="000000" w:themeColor="text1"/>
          <w:sz w:val="21"/>
          <w:szCs w:val="21"/>
          <w:lang w:val="es-CO"/>
        </w:rPr>
        <w:t>Pese a que el artículo 2.2.1.2.4.2.4 es claro frente a los requisitos que se deben acreditar en los procesos limitados, queda la duda cuando se lee también el artículo 2.2.1.2.4.2.2 que regula la limitación de los procesos, por que</w:t>
      </w:r>
      <w:r w:rsidR="005608B8">
        <w:rPr>
          <w:rFonts w:ascii="Arial" w:hAnsi="Arial" w:eastAsia="Calibri" w:cs="Arial"/>
          <w:color w:val="000000" w:themeColor="text1"/>
          <w:sz w:val="21"/>
          <w:szCs w:val="21"/>
          <w:lang w:val="es-CO"/>
        </w:rPr>
        <w:t xml:space="preserve"> (sic)</w:t>
      </w:r>
      <w:r w:rsidRPr="005608B8" w:rsidR="005608B8">
        <w:rPr>
          <w:rFonts w:ascii="Arial" w:hAnsi="Arial" w:eastAsia="Calibri" w:cs="Arial"/>
          <w:color w:val="000000" w:themeColor="text1"/>
          <w:sz w:val="21"/>
          <w:szCs w:val="21"/>
          <w:lang w:val="es-CO"/>
        </w:rPr>
        <w:t xml:space="preserve"> exige antigüedad de un año, requisito que no se exige en el otro artículo. </w:t>
      </w:r>
    </w:p>
    <w:p w:rsidRPr="005608B8" w:rsidR="005608B8" w:rsidP="005608B8" w:rsidRDefault="005608B8" w14:paraId="09AB4033" w14:textId="77777777">
      <w:pPr>
        <w:tabs>
          <w:tab w:val="left" w:pos="284"/>
        </w:tabs>
        <w:ind w:left="709" w:right="709"/>
        <w:jc w:val="both"/>
        <w:rPr>
          <w:rFonts w:ascii="Arial" w:hAnsi="Arial" w:eastAsia="Calibri" w:cs="Arial"/>
          <w:color w:val="000000" w:themeColor="text1"/>
          <w:sz w:val="21"/>
          <w:szCs w:val="21"/>
          <w:lang w:val="es-CO"/>
        </w:rPr>
      </w:pPr>
    </w:p>
    <w:p w:rsidRPr="005608B8" w:rsidR="00400868" w:rsidP="005608B8" w:rsidRDefault="005608B8" w14:paraId="2EB8035B" w14:textId="67D3872C">
      <w:pPr>
        <w:tabs>
          <w:tab w:val="left" w:pos="284"/>
        </w:tabs>
        <w:ind w:left="709" w:right="709"/>
        <w:jc w:val="both"/>
        <w:rPr>
          <w:rFonts w:ascii="Arial" w:hAnsi="Arial" w:eastAsia="Calibri" w:cs="Arial"/>
          <w:color w:val="000000" w:themeColor="text1"/>
          <w:sz w:val="21"/>
          <w:szCs w:val="21"/>
          <w:lang w:val="es-CO"/>
        </w:rPr>
      </w:pPr>
      <w:r w:rsidRPr="005608B8">
        <w:rPr>
          <w:rFonts w:ascii="Arial" w:hAnsi="Arial" w:eastAsia="Calibri" w:cs="Arial"/>
          <w:color w:val="000000" w:themeColor="text1"/>
          <w:sz w:val="21"/>
          <w:szCs w:val="21"/>
          <w:lang w:val="es-CO"/>
        </w:rPr>
        <w:t xml:space="preserve">De esta manera, la consulta es frente a la aplicación de estas dos normas, por que </w:t>
      </w:r>
      <w:r>
        <w:rPr>
          <w:rFonts w:ascii="Arial" w:hAnsi="Arial" w:eastAsia="Calibri" w:cs="Arial"/>
          <w:color w:val="000000" w:themeColor="text1"/>
          <w:sz w:val="21"/>
          <w:szCs w:val="21"/>
          <w:lang w:val="es-CO"/>
        </w:rPr>
        <w:t xml:space="preserve">(sic) </w:t>
      </w:r>
      <w:r w:rsidRPr="005608B8">
        <w:rPr>
          <w:rFonts w:ascii="Arial" w:hAnsi="Arial" w:eastAsia="Calibri" w:cs="Arial"/>
          <w:color w:val="000000" w:themeColor="text1"/>
          <w:sz w:val="21"/>
          <w:szCs w:val="21"/>
          <w:lang w:val="es-CO"/>
        </w:rPr>
        <w:t>entiendo yo que una cosa es la limitación del proceso y otra cosa son los requisitos para participar en un proceso limitado, el primero regulado por el artículo 2.2.1.2.4.2.2 y el último regulado por el 2.2.1.2.4.2.4</w:t>
      </w:r>
      <w:r w:rsidRPr="000E0310" w:rsidR="000E0310">
        <w:rPr>
          <w:rFonts w:ascii="Arial" w:hAnsi="Arial" w:eastAsia="Calibri" w:cs="Arial"/>
          <w:color w:val="000000" w:themeColor="text1"/>
          <w:sz w:val="21"/>
          <w:szCs w:val="21"/>
          <w:lang w:val="es-CO"/>
        </w:rPr>
        <w:t>»</w:t>
      </w:r>
      <w:r w:rsidR="009831E2">
        <w:rPr>
          <w:rFonts w:ascii="Arial" w:hAnsi="Arial" w:eastAsia="Calibri" w:cs="Arial"/>
          <w:color w:val="000000" w:themeColor="text1"/>
          <w:sz w:val="21"/>
          <w:szCs w:val="21"/>
          <w:lang w:val="es-CO"/>
        </w:rPr>
        <w:t>.</w:t>
      </w:r>
      <w:r w:rsidRPr="00803D6A" w:rsidR="00400868">
        <w:rPr>
          <w:rFonts w:ascii="Arial" w:hAnsi="Arial" w:eastAsia="Calibri" w:cs="Arial"/>
          <w:color w:val="000000" w:themeColor="text1"/>
          <w:sz w:val="21"/>
          <w:szCs w:val="21"/>
          <w:lang w:val="es-CO"/>
        </w:rPr>
        <w:t xml:space="preserve">                                                </w:t>
      </w:r>
    </w:p>
    <w:p w:rsidR="008043CA" w:rsidP="008043CA" w:rsidRDefault="008043CA" w14:paraId="30BBAF88" w14:textId="77777777">
      <w:pPr>
        <w:spacing w:line="276" w:lineRule="auto"/>
        <w:jc w:val="both"/>
        <w:rPr>
          <w:rFonts w:ascii="Arial" w:hAnsi="Arial" w:cs="Arial"/>
          <w:color w:val="000000" w:themeColor="text1"/>
          <w:sz w:val="22"/>
          <w:lang w:val="es-CO"/>
        </w:rPr>
      </w:pPr>
    </w:p>
    <w:p w:rsidR="00803500" w:rsidP="005608B8" w:rsidRDefault="00400868" w14:paraId="4616E8AA" w14:textId="19F1F3E5">
      <w:pPr>
        <w:spacing w:line="276" w:lineRule="auto"/>
        <w:jc w:val="both"/>
        <w:rPr>
          <w:rFonts w:ascii="Arial" w:hAnsi="Arial" w:cs="Arial"/>
          <w:color w:val="000000" w:themeColor="text1"/>
          <w:sz w:val="22"/>
          <w:lang w:val="es-CO"/>
        </w:rPr>
      </w:pPr>
      <w:r w:rsidRPr="00803D6A">
        <w:rPr>
          <w:rFonts w:ascii="Arial" w:hAnsi="Arial" w:cs="Arial"/>
          <w:color w:val="000000" w:themeColor="text1"/>
          <w:sz w:val="22"/>
          <w:lang w:val="es-CO"/>
        </w:rPr>
        <w:t>C</w:t>
      </w:r>
      <w:r w:rsidRPr="00803D6A" w:rsidR="00F47FCE">
        <w:rPr>
          <w:rFonts w:ascii="Arial" w:hAnsi="Arial" w:cs="Arial"/>
          <w:color w:val="000000" w:themeColor="text1"/>
          <w:sz w:val="22"/>
          <w:lang w:val="es-CO"/>
        </w:rPr>
        <w:t>on fundamento en las consideraciones expuestas en este documento</w:t>
      </w:r>
      <w:r w:rsidRPr="00803D6A" w:rsidR="000A1DBA">
        <w:rPr>
          <w:rFonts w:ascii="Arial" w:hAnsi="Arial" w:cs="Arial"/>
          <w:color w:val="000000" w:themeColor="text1"/>
          <w:sz w:val="22"/>
          <w:lang w:val="es-CO"/>
        </w:rPr>
        <w:t xml:space="preserve">, </w:t>
      </w:r>
      <w:r w:rsidRPr="00803D6A" w:rsidR="002239B4">
        <w:rPr>
          <w:rFonts w:ascii="Arial" w:hAnsi="Arial" w:cs="Arial"/>
          <w:color w:val="000000" w:themeColor="text1"/>
          <w:sz w:val="22"/>
          <w:lang w:val="es-CO"/>
        </w:rPr>
        <w:t xml:space="preserve">Colombia Compra </w:t>
      </w:r>
      <w:r w:rsidR="00866DC0">
        <w:rPr>
          <w:rFonts w:ascii="Arial" w:hAnsi="Arial" w:cs="Arial"/>
          <w:color w:val="000000" w:themeColor="text1"/>
          <w:sz w:val="22"/>
          <w:lang w:val="es-CO"/>
        </w:rPr>
        <w:t>E</w:t>
      </w:r>
      <w:r w:rsidRPr="00803D6A" w:rsidR="002239B4">
        <w:rPr>
          <w:rFonts w:ascii="Arial" w:hAnsi="Arial" w:cs="Arial"/>
          <w:color w:val="000000" w:themeColor="text1"/>
          <w:sz w:val="22"/>
          <w:lang w:val="es-CO"/>
        </w:rPr>
        <w:t xml:space="preserve">ficiente </w:t>
      </w:r>
      <w:r w:rsidR="00D2612A">
        <w:rPr>
          <w:rFonts w:ascii="Arial" w:hAnsi="Arial" w:cs="Arial"/>
          <w:color w:val="000000" w:themeColor="text1"/>
          <w:sz w:val="22"/>
          <w:lang w:val="es-CO"/>
        </w:rPr>
        <w:t xml:space="preserve">interpreta </w:t>
      </w:r>
      <w:r w:rsidR="005608B8">
        <w:rPr>
          <w:rFonts w:ascii="Arial" w:hAnsi="Arial" w:cs="Arial"/>
          <w:color w:val="000000" w:themeColor="text1"/>
          <w:sz w:val="22"/>
          <w:lang w:val="es-CO"/>
        </w:rPr>
        <w:t xml:space="preserve">que </w:t>
      </w:r>
      <w:r w:rsidR="00803500">
        <w:rPr>
          <w:rFonts w:ascii="Arial" w:hAnsi="Arial" w:cs="Arial"/>
          <w:color w:val="000000" w:themeColor="text1"/>
          <w:sz w:val="22"/>
          <w:lang w:val="es-CO"/>
        </w:rPr>
        <w:t>el requisito de acreditar por lo menos un año de experiencia en las convocatorias limitadas a Mipyme se trata de un requisito</w:t>
      </w:r>
      <w:r w:rsidR="006332A8">
        <w:rPr>
          <w:rFonts w:ascii="Arial" w:hAnsi="Arial" w:cs="Arial"/>
          <w:color w:val="000000" w:themeColor="text1"/>
          <w:sz w:val="22"/>
          <w:lang w:val="es-CO"/>
        </w:rPr>
        <w:t xml:space="preserve"> obligatorio</w:t>
      </w:r>
      <w:r w:rsidR="00803500">
        <w:rPr>
          <w:rFonts w:ascii="Arial" w:hAnsi="Arial" w:cs="Arial"/>
          <w:color w:val="000000" w:themeColor="text1"/>
          <w:sz w:val="22"/>
          <w:lang w:val="es-CO"/>
        </w:rPr>
        <w:t xml:space="preserve"> para poder participar en este tipo de convocatorias. </w:t>
      </w:r>
    </w:p>
    <w:p w:rsidRPr="00803D6A" w:rsidR="00803500" w:rsidP="00133BA4" w:rsidRDefault="00803500" w14:paraId="2FEB622C" w14:textId="59C9A81A">
      <w:pPr>
        <w:spacing w:before="120" w:line="276" w:lineRule="auto"/>
        <w:jc w:val="both"/>
        <w:rPr>
          <w:rFonts w:ascii="Arial" w:hAnsi="Arial" w:cs="Arial"/>
          <w:color w:val="000000" w:themeColor="text1"/>
          <w:sz w:val="22"/>
          <w:lang w:val="es-CO"/>
        </w:rPr>
      </w:pPr>
      <w:r>
        <w:rPr>
          <w:rFonts w:ascii="Arial" w:hAnsi="Arial" w:cs="Arial"/>
          <w:color w:val="000000" w:themeColor="text1"/>
          <w:sz w:val="22"/>
          <w:lang w:val="es-CO"/>
        </w:rPr>
        <w:tab/>
      </w:r>
      <w:r>
        <w:rPr>
          <w:rFonts w:ascii="Arial" w:hAnsi="Arial" w:cs="Arial"/>
          <w:color w:val="000000" w:themeColor="text1"/>
          <w:sz w:val="22"/>
          <w:lang w:val="es-CO"/>
        </w:rPr>
        <w:t xml:space="preserve">Además, para acreditar este requisito, se debe solicitar a la cámara de comercio o </w:t>
      </w:r>
      <w:r w:rsidR="00D2612A">
        <w:rPr>
          <w:rFonts w:ascii="Arial" w:hAnsi="Arial" w:cs="Arial"/>
          <w:color w:val="000000" w:themeColor="text1"/>
          <w:sz w:val="22"/>
          <w:lang w:val="es-CO"/>
        </w:rPr>
        <w:t xml:space="preserve">a la </w:t>
      </w:r>
      <w:r>
        <w:rPr>
          <w:rFonts w:ascii="Arial" w:hAnsi="Arial" w:cs="Arial"/>
          <w:color w:val="000000" w:themeColor="text1"/>
          <w:sz w:val="22"/>
          <w:lang w:val="es-CO"/>
        </w:rPr>
        <w:t xml:space="preserve">autoridad competente la expedición de un certificado que acredite que la Mipyme se constituyó como mínimo un año antes de la fecha en la que la Mipyme se presenta a la convocatoria realizada por la entidad estatal. </w:t>
      </w:r>
    </w:p>
    <w:p w:rsidRPr="00803D6A" w:rsidR="00886F29" w:rsidP="00E756AC" w:rsidRDefault="00886F29" w14:paraId="33F877D9" w14:textId="77777777">
      <w:pPr>
        <w:spacing w:line="276" w:lineRule="auto"/>
        <w:jc w:val="both"/>
        <w:rPr>
          <w:rFonts w:ascii="Arial" w:hAnsi="Arial" w:cs="Arial"/>
          <w:color w:val="000000" w:themeColor="text1"/>
          <w:sz w:val="22"/>
          <w:lang w:val="es-CO"/>
        </w:rPr>
      </w:pPr>
    </w:p>
    <w:p w:rsidRPr="00803D6A" w:rsidR="008C487C" w:rsidP="00F24C62" w:rsidRDefault="008C487C" w14:paraId="54A07425" w14:textId="3D13999A">
      <w:pPr>
        <w:spacing w:before="120" w:line="276" w:lineRule="auto"/>
        <w:jc w:val="both"/>
        <w:rPr>
          <w:rFonts w:ascii="Arial" w:hAnsi="Arial" w:eastAsia="Calibri" w:cs="Arial"/>
          <w:color w:val="000000" w:themeColor="text1"/>
          <w:sz w:val="22"/>
          <w:lang w:val="es-CO"/>
        </w:rPr>
      </w:pPr>
      <w:r w:rsidRPr="00803D6A">
        <w:rPr>
          <w:rFonts w:ascii="Arial" w:hAnsi="Arial" w:eastAsia="Calibri" w:cs="Arial"/>
          <w:color w:val="000000" w:themeColor="text1"/>
          <w:sz w:val="22"/>
          <w:lang w:val="es-CO"/>
        </w:rPr>
        <w:t>Este concepto tiene el alcance previsto en el artículo 28 del Código de Procedimiento Administrativo y de lo Contencioso Administrativo.</w:t>
      </w:r>
    </w:p>
    <w:p w:rsidR="002841BF" w:rsidP="00B46D66" w:rsidRDefault="002841BF" w14:paraId="7083C955" w14:textId="77777777">
      <w:pPr>
        <w:rPr>
          <w:rFonts w:ascii="Arial" w:hAnsi="Arial" w:cs="Arial"/>
          <w:sz w:val="22"/>
          <w:lang w:eastAsia="es-CO"/>
        </w:rPr>
      </w:pPr>
      <w:bookmarkStart w:name="_Hlk50986665" w:id="2"/>
      <w:bookmarkEnd w:id="0"/>
      <w:bookmarkEnd w:id="1"/>
    </w:p>
    <w:p w:rsidR="002841BF" w:rsidP="00B46D66" w:rsidRDefault="002841BF" w14:paraId="5C4D544B" w14:textId="77777777">
      <w:pPr>
        <w:rPr>
          <w:rFonts w:ascii="Arial" w:hAnsi="Arial" w:cs="Arial"/>
          <w:sz w:val="22"/>
          <w:lang w:eastAsia="es-CO"/>
        </w:rPr>
      </w:pPr>
    </w:p>
    <w:p w:rsidR="00B46D66" w:rsidP="00B46D66" w:rsidRDefault="00B46D66" w14:paraId="02AEAC3D" w14:textId="1DA7A1C2">
      <w:pPr>
        <w:rPr>
          <w:rFonts w:ascii="Arial" w:hAnsi="Arial" w:cs="Arial"/>
          <w:sz w:val="22"/>
          <w:lang w:val="es-CO" w:eastAsia="es-CO"/>
        </w:rPr>
      </w:pPr>
      <w:r>
        <w:rPr>
          <w:rFonts w:ascii="Arial" w:hAnsi="Arial" w:cs="Arial"/>
          <w:sz w:val="22"/>
          <w:lang w:eastAsia="es-CO"/>
        </w:rPr>
        <w:t>Atentamente,</w:t>
      </w:r>
    </w:p>
    <w:p w:rsidR="00B46D66" w:rsidP="00B46D66" w:rsidRDefault="00B46D66" w14:paraId="0212634D" w14:textId="77777777">
      <w:pPr>
        <w:rPr>
          <w:rFonts w:ascii="Arial" w:hAnsi="Arial" w:cs="Arial"/>
          <w:sz w:val="22"/>
          <w:lang w:val="en-GB" w:eastAsia="es-CO"/>
        </w:rPr>
      </w:pPr>
    </w:p>
    <w:p w:rsidR="00B46D66" w:rsidP="00B46D66" w:rsidRDefault="00C9021F" w14:paraId="16782ADD" w14:textId="0EFB72A9">
      <w:pPr>
        <w:jc w:val="center"/>
        <w:rPr>
          <w:rFonts w:ascii="Arial" w:hAnsi="Arial" w:cs="Arial"/>
          <w:sz w:val="18"/>
          <w:szCs w:val="20"/>
          <w:lang w:val="es-CO" w:eastAsia="es-CO"/>
        </w:rPr>
      </w:pPr>
      <w:r w:rsidR="00C9021F">
        <w:drawing>
          <wp:inline wp14:editId="3019DF5D" wp14:anchorId="5F6A766A">
            <wp:extent cx="2514600" cy="1114425"/>
            <wp:effectExtent l="0" t="0" r="0" b="9525"/>
            <wp:docPr id="1" name="Imagen 1" title=""/>
            <wp:cNvGraphicFramePr>
              <a:graphicFrameLocks/>
            </wp:cNvGraphicFramePr>
            <a:graphic>
              <a:graphicData uri="http://schemas.openxmlformats.org/drawingml/2006/picture">
                <pic:pic>
                  <pic:nvPicPr>
                    <pic:cNvPr id="0" name="Imagen 1"/>
                    <pic:cNvPicPr/>
                  </pic:nvPicPr>
                  <pic:blipFill>
                    <a:blip r:embed="Rdbfeb7f9da7a46e0">
                      <a:extLst>
                        <a:ext xmlns:a="http://schemas.openxmlformats.org/drawingml/2006/main" uri="{28A0092B-C50C-407E-A947-70E740481C1C}">
                          <a14:useLocalDpi val="0"/>
                        </a:ext>
                      </a:extLst>
                    </a:blip>
                    <a:stretch>
                      <a:fillRect/>
                    </a:stretch>
                  </pic:blipFill>
                  <pic:spPr>
                    <a:xfrm rot="0" flipH="0" flipV="0">
                      <a:off x="0" y="0"/>
                      <a:ext cx="2514600" cy="1114425"/>
                    </a:xfrm>
                    <a:prstGeom prst="rect">
                      <a:avLst/>
                    </a:prstGeom>
                  </pic:spPr>
                </pic:pic>
              </a:graphicData>
            </a:graphic>
          </wp:inline>
        </w:drawing>
      </w:r>
    </w:p>
    <w:p w:rsidR="00B46D66" w:rsidP="00B46D66" w:rsidRDefault="00B46D66" w14:paraId="1B111901" w14:textId="77777777">
      <w:pPr>
        <w:jc w:val="center"/>
        <w:rPr>
          <w:rFonts w:ascii="Arial" w:hAnsi="Arial" w:cs="Arial"/>
          <w:sz w:val="18"/>
          <w:szCs w:val="20"/>
          <w:lang w:eastAsia="es-CO"/>
        </w:rPr>
      </w:pPr>
    </w:p>
    <w:p w:rsidR="00B46D66" w:rsidP="00B46D66" w:rsidRDefault="00B46D66" w14:paraId="79F8FA78" w14:textId="77777777">
      <w:pPr>
        <w:jc w:val="center"/>
        <w:rPr>
          <w:rFonts w:ascii="Arial" w:hAnsi="Arial" w:cs="Arial"/>
          <w:sz w:val="18"/>
          <w:szCs w:val="20"/>
          <w:lang w:eastAsia="es-CO"/>
        </w:rPr>
      </w:pPr>
    </w:p>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12"/>
        <w:gridCol w:w="4413"/>
      </w:tblGrid>
      <w:tr w:rsidR="002841BF" w:rsidTr="00B85E00" w14:paraId="669F83D1" w14:textId="77777777">
        <w:trPr>
          <w:trHeight w:val="315"/>
        </w:trPr>
        <w:tc>
          <w:tcPr>
            <w:tcW w:w="812" w:type="dxa"/>
            <w:vAlign w:val="center"/>
            <w:hideMark/>
          </w:tcPr>
          <w:bookmarkEnd w:id="2"/>
          <w:p w:rsidR="002841BF" w:rsidP="00B85E00" w:rsidRDefault="002841BF" w14:paraId="1C3AE447" w14:textId="77777777">
            <w:pPr>
              <w:rPr>
                <w:rFonts w:ascii="Arial" w:hAnsi="Arial" w:cs="Arial"/>
                <w:sz w:val="16"/>
                <w:szCs w:val="16"/>
                <w:lang w:eastAsia="es-ES"/>
              </w:rPr>
            </w:pPr>
            <w:r>
              <w:rPr>
                <w:rFonts w:ascii="Arial" w:hAnsi="Arial" w:cs="Arial"/>
                <w:sz w:val="16"/>
                <w:szCs w:val="16"/>
                <w:lang w:eastAsia="es-ES"/>
              </w:rPr>
              <w:t>Elaboró:</w:t>
            </w:r>
          </w:p>
        </w:tc>
        <w:tc>
          <w:tcPr>
            <w:tcW w:w="4413" w:type="dxa"/>
            <w:tcBorders>
              <w:top w:val="nil"/>
              <w:left w:val="nil"/>
              <w:bottom w:val="dotted" w:color="7F7F7F" w:themeColor="text1" w:themeTint="80" w:sz="4" w:space="0"/>
              <w:right w:val="nil"/>
            </w:tcBorders>
            <w:vAlign w:val="center"/>
            <w:hideMark/>
          </w:tcPr>
          <w:p w:rsidR="002841BF" w:rsidP="00B85E00" w:rsidRDefault="002841BF" w14:paraId="1A543456" w14:textId="73640504">
            <w:pPr>
              <w:rPr>
                <w:rFonts w:ascii="Arial" w:hAnsi="Arial" w:cs="Arial"/>
                <w:sz w:val="16"/>
                <w:szCs w:val="16"/>
                <w:lang w:eastAsia="es-ES"/>
              </w:rPr>
            </w:pPr>
            <w:r>
              <w:rPr>
                <w:rFonts w:ascii="Arial" w:hAnsi="Arial" w:cs="Arial"/>
                <w:sz w:val="16"/>
                <w:szCs w:val="16"/>
                <w:lang w:eastAsia="es-ES"/>
              </w:rPr>
              <w:t>David Torres Rojas</w:t>
            </w:r>
          </w:p>
          <w:p w:rsidR="002841BF" w:rsidP="00B85E00" w:rsidRDefault="008512E9" w14:paraId="2B689817" w14:textId="1EAE55DE">
            <w:pPr>
              <w:rPr>
                <w:rFonts w:ascii="Arial" w:hAnsi="Arial" w:cs="Arial"/>
                <w:sz w:val="16"/>
                <w:szCs w:val="16"/>
                <w:lang w:eastAsia="es-ES"/>
              </w:rPr>
            </w:pPr>
            <w:r>
              <w:rPr>
                <w:rFonts w:ascii="Arial" w:hAnsi="Arial" w:cs="Arial"/>
                <w:sz w:val="16"/>
                <w:szCs w:val="16"/>
                <w:lang w:eastAsia="es-ES"/>
              </w:rPr>
              <w:t>Contratista</w:t>
            </w:r>
            <w:r w:rsidR="002841BF">
              <w:rPr>
                <w:rFonts w:ascii="Arial" w:hAnsi="Arial" w:cs="Arial"/>
                <w:sz w:val="16"/>
                <w:szCs w:val="16"/>
                <w:lang w:eastAsia="es-ES"/>
              </w:rPr>
              <w:t xml:space="preserve"> de la Subdirección de Gestión Contractual</w:t>
            </w:r>
          </w:p>
        </w:tc>
      </w:tr>
      <w:tr w:rsidR="002841BF" w:rsidTr="00B85E00" w14:paraId="44DB24AC" w14:textId="77777777">
        <w:trPr>
          <w:trHeight w:val="330"/>
        </w:trPr>
        <w:tc>
          <w:tcPr>
            <w:tcW w:w="812" w:type="dxa"/>
            <w:vAlign w:val="center"/>
            <w:hideMark/>
          </w:tcPr>
          <w:p w:rsidR="002841BF" w:rsidP="00B85E00" w:rsidRDefault="002841BF" w14:paraId="1090E47C" w14:textId="77777777">
            <w:pPr>
              <w:jc w:val="both"/>
              <w:rPr>
                <w:rFonts w:ascii="Arial" w:hAnsi="Arial" w:cs="Arial"/>
                <w:sz w:val="16"/>
                <w:szCs w:val="16"/>
                <w:lang w:eastAsia="es-ES"/>
              </w:rPr>
            </w:pPr>
            <w:r>
              <w:rPr>
                <w:rFonts w:ascii="Arial" w:hAnsi="Arial" w:cs="Arial"/>
                <w:sz w:val="16"/>
                <w:szCs w:val="16"/>
                <w:lang w:eastAsia="es-ES"/>
              </w:rPr>
              <w:t>Revisó: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002841BF" w:rsidP="00B85E00" w:rsidRDefault="00941B20" w14:paraId="39BAFB69" w14:textId="77777777">
            <w:pPr>
              <w:jc w:val="both"/>
              <w:rPr>
                <w:rFonts w:ascii="Arial" w:hAnsi="Arial" w:cs="Arial"/>
                <w:sz w:val="16"/>
                <w:szCs w:val="16"/>
                <w:lang w:eastAsia="es-ES"/>
              </w:rPr>
            </w:pPr>
            <w:r>
              <w:rPr>
                <w:rFonts w:ascii="Arial" w:hAnsi="Arial" w:cs="Arial"/>
                <w:sz w:val="16"/>
                <w:szCs w:val="16"/>
                <w:lang w:eastAsia="es-ES"/>
              </w:rPr>
              <w:t>Cristian Andrés Díaz Díez</w:t>
            </w:r>
          </w:p>
          <w:p w:rsidR="00941B20" w:rsidP="00B85E00" w:rsidRDefault="00941B20" w14:paraId="334A4F90" w14:textId="63E7F749">
            <w:pPr>
              <w:jc w:val="both"/>
              <w:rPr>
                <w:rFonts w:ascii="Arial" w:hAnsi="Arial" w:cs="Arial"/>
                <w:sz w:val="16"/>
                <w:szCs w:val="16"/>
                <w:lang w:eastAsia="es-ES"/>
              </w:rPr>
            </w:pPr>
            <w:r>
              <w:rPr>
                <w:rFonts w:ascii="Arial" w:hAnsi="Arial" w:cs="Arial"/>
                <w:sz w:val="16"/>
                <w:szCs w:val="16"/>
                <w:lang w:eastAsia="es-ES"/>
              </w:rPr>
              <w:t>Contratista de la Subdirección de Gestión Contractual</w:t>
            </w:r>
          </w:p>
        </w:tc>
      </w:tr>
      <w:tr w:rsidR="002841BF" w:rsidTr="00B85E00" w14:paraId="19789AF5" w14:textId="77777777">
        <w:trPr>
          <w:trHeight w:val="300"/>
        </w:trPr>
        <w:tc>
          <w:tcPr>
            <w:tcW w:w="812" w:type="dxa"/>
            <w:vAlign w:val="center"/>
            <w:hideMark/>
          </w:tcPr>
          <w:p w:rsidR="002841BF" w:rsidP="00B85E00" w:rsidRDefault="002841BF" w14:paraId="261AC0C3" w14:textId="77777777">
            <w:pPr>
              <w:jc w:val="both"/>
              <w:rPr>
                <w:rFonts w:ascii="Arial" w:hAnsi="Arial" w:cs="Arial"/>
                <w:sz w:val="16"/>
                <w:szCs w:val="16"/>
                <w:lang w:eastAsia="es-ES"/>
              </w:rPr>
            </w:pPr>
            <w:r>
              <w:rPr>
                <w:rFonts w:ascii="Arial" w:hAnsi="Arial" w:cs="Arial"/>
                <w:sz w:val="16"/>
                <w:szCs w:val="16"/>
                <w:lang w:eastAsia="es-ES"/>
              </w:rPr>
              <w:t>Aprobó:</w:t>
            </w:r>
          </w:p>
        </w:tc>
        <w:tc>
          <w:tcPr>
            <w:tcW w:w="4413" w:type="dxa"/>
            <w:tcBorders>
              <w:top w:val="dotted" w:color="7F7F7F" w:themeColor="text1" w:themeTint="80" w:sz="4" w:space="0"/>
              <w:left w:val="nil"/>
              <w:bottom w:val="dotted" w:color="7F7F7F" w:themeColor="text1" w:themeTint="80" w:sz="4" w:space="0"/>
              <w:right w:val="nil"/>
            </w:tcBorders>
            <w:vAlign w:val="center"/>
            <w:hideMark/>
          </w:tcPr>
          <w:p w:rsidR="002841BF" w:rsidP="00B85E00" w:rsidRDefault="002841BF" w14:paraId="6B61D05B" w14:textId="77777777">
            <w:pPr>
              <w:rPr>
                <w:rFonts w:ascii="Arial" w:hAnsi="Arial" w:cs="Arial"/>
                <w:sz w:val="16"/>
                <w:szCs w:val="16"/>
                <w:lang w:eastAsia="es-ES"/>
              </w:rPr>
            </w:pPr>
            <w:r>
              <w:rPr>
                <w:rFonts w:ascii="Arial" w:hAnsi="Arial" w:cs="Arial"/>
                <w:sz w:val="16"/>
                <w:szCs w:val="16"/>
                <w:lang w:eastAsia="es-ES"/>
              </w:rPr>
              <w:t>Jorge Augusto Tirado Navarro</w:t>
            </w:r>
          </w:p>
          <w:p w:rsidR="002841BF" w:rsidP="00B85E00" w:rsidRDefault="002841BF" w14:paraId="228312E5" w14:textId="77777777">
            <w:pPr>
              <w:jc w:val="both"/>
              <w:rPr>
                <w:rFonts w:ascii="Arial" w:hAnsi="Arial" w:cs="Arial"/>
                <w:sz w:val="16"/>
                <w:szCs w:val="16"/>
                <w:lang w:eastAsia="es-ES"/>
              </w:rPr>
            </w:pPr>
            <w:r>
              <w:rPr>
                <w:rFonts w:ascii="Arial" w:hAnsi="Arial" w:cs="Arial"/>
                <w:sz w:val="16"/>
                <w:szCs w:val="16"/>
                <w:lang w:eastAsia="es-ES"/>
              </w:rPr>
              <w:t>Subdirector de Gestión Contractual</w:t>
            </w:r>
          </w:p>
        </w:tc>
      </w:tr>
    </w:tbl>
    <w:p w:rsidRPr="00803D6A" w:rsidR="006C5955" w:rsidRDefault="006C5955" w14:paraId="085A31AB" w14:textId="77777777">
      <w:pPr>
        <w:rPr>
          <w:color w:val="000000" w:themeColor="text1"/>
          <w:lang w:val="es-CO"/>
        </w:rPr>
      </w:pPr>
    </w:p>
    <w:sectPr w:rsidRPr="00803D6A" w:rsidR="006C5955" w:rsidSect="00891858">
      <w:headerReference w:type="default" r:id="rId12"/>
      <w:footerReference w:type="default" r:id="rId13"/>
      <w:pgSz w:w="12240" w:h="15840" w:orient="portrait"/>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97D78" w:rsidP="008C487C" w:rsidRDefault="00997D78" w14:paraId="65B87A46" w14:textId="77777777">
      <w:r>
        <w:separator/>
      </w:r>
    </w:p>
  </w:endnote>
  <w:endnote w:type="continuationSeparator" w:id="0">
    <w:p w:rsidR="00997D78" w:rsidP="008C487C" w:rsidRDefault="00997D78" w14:paraId="002904F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91858" w:rsidP="00891858" w:rsidRDefault="00891858" w14:paraId="709352A1" w14:textId="77777777">
    <w:pPr>
      <w:pStyle w:val="Sinespaciado"/>
      <w:jc w:val="right"/>
      <w:rPr>
        <w:rFonts w:ascii="Arial" w:hAnsi="Arial" w:cs="Arial"/>
        <w:sz w:val="18"/>
        <w:szCs w:val="18"/>
      </w:rPr>
    </w:pPr>
  </w:p>
  <w:p w:rsidRPr="008217B7" w:rsidR="00891858" w:rsidP="00891858" w:rsidRDefault="00891858" w14:paraId="3D3EB348" w14:textId="6FCEB55B">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18</w:t>
    </w:r>
    <w:r w:rsidRPr="00084B97">
      <w:rPr>
        <w:rFonts w:ascii="Arial" w:hAnsi="Arial" w:cs="Arial"/>
        <w:b/>
        <w:bCs/>
        <w:color w:val="7F7F7F" w:themeColor="text1" w:themeTint="80"/>
        <w:sz w:val="16"/>
        <w:szCs w:val="16"/>
      </w:rPr>
      <w:fldChar w:fldCharType="end"/>
    </w:r>
  </w:p>
  <w:p w:rsidR="00891858" w:rsidP="00891858" w:rsidRDefault="00891858" w14:paraId="29709EEF" w14:textId="77777777">
    <w:pPr>
      <w:pStyle w:val="Piedepgina"/>
      <w:jc w:val="center"/>
      <w:rPr>
        <w:lang w:val="es-ES"/>
      </w:rPr>
    </w:pPr>
    <w:r w:rsidR="3019DF5D">
      <w:drawing>
        <wp:inline wp14:editId="65774483" wp14:anchorId="0323F87D">
          <wp:extent cx="3700130" cy="519139"/>
          <wp:effectExtent l="0" t="0" r="0" b="0"/>
          <wp:docPr id="937666974" name="Imagen 3" title=""/>
          <wp:cNvGraphicFramePr>
            <a:graphicFrameLocks noChangeAspect="1"/>
          </wp:cNvGraphicFramePr>
          <a:graphic>
            <a:graphicData uri="http://schemas.openxmlformats.org/drawingml/2006/picture">
              <pic:pic>
                <pic:nvPicPr>
                  <pic:cNvPr id="0" name="Imagen 3"/>
                  <pic:cNvPicPr/>
                </pic:nvPicPr>
                <pic:blipFill>
                  <a:blip r:embed="R1279c64a8ecd47d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700130" cy="519139"/>
                  </a:xfrm>
                  <a:prstGeom prst="rect">
                    <a:avLst/>
                  </a:prstGeom>
                </pic:spPr>
              </pic:pic>
            </a:graphicData>
          </a:graphic>
        </wp:inline>
      </w:drawing>
    </w:r>
  </w:p>
  <w:p w:rsidRPr="007B4DFC" w:rsidR="00891858" w:rsidP="00891858" w:rsidRDefault="00891858" w14:paraId="428179B1" w14:textId="77777777">
    <w:pPr>
      <w:pStyle w:val="Piedepgina"/>
      <w:jc w:val="center"/>
      <w:rPr>
        <w:szCs w:val="24"/>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97D78" w:rsidP="008C487C" w:rsidRDefault="00997D78" w14:paraId="4AAEFDC1" w14:textId="77777777">
      <w:r>
        <w:separator/>
      </w:r>
    </w:p>
  </w:footnote>
  <w:footnote w:type="continuationSeparator" w:id="0">
    <w:p w:rsidR="00997D78" w:rsidP="008C487C" w:rsidRDefault="00997D78" w14:paraId="46A97734" w14:textId="77777777">
      <w:r>
        <w:continuationSeparator/>
      </w:r>
    </w:p>
  </w:footnote>
  <w:footnote w:id="1">
    <w:p w:rsidRPr="00E00143" w:rsidR="00891858" w:rsidP="00133BA4" w:rsidRDefault="00891858" w14:paraId="2EE45163" w14:textId="77777777">
      <w:pPr>
        <w:pStyle w:val="Textonotapie"/>
        <w:ind w:firstLine="709"/>
        <w:jc w:val="both"/>
        <w:rPr>
          <w:rFonts w:ascii="Arial" w:hAnsi="Arial" w:cs="Arial"/>
          <w:color w:val="000000" w:themeColor="text1"/>
          <w:sz w:val="19"/>
          <w:szCs w:val="19"/>
        </w:rPr>
      </w:pPr>
      <w:r w:rsidRPr="00E00143">
        <w:rPr>
          <w:rStyle w:val="Refdenotaalpie"/>
          <w:rFonts w:ascii="Arial" w:hAnsi="Arial" w:cs="Arial"/>
          <w:color w:val="000000" w:themeColor="text1"/>
          <w:sz w:val="19"/>
          <w:szCs w:val="19"/>
        </w:rPr>
        <w:footnoteRef/>
      </w:r>
      <w:r w:rsidRPr="00E00143">
        <w:rPr>
          <w:rFonts w:ascii="Arial" w:hAnsi="Arial" w:cs="Arial"/>
          <w:color w:val="000000" w:themeColor="text1"/>
          <w:sz w:val="19"/>
          <w:szCs w:val="19"/>
        </w:rPr>
        <w:t xml:space="preserve"> «Artículo 2o. definiciones. Para todos los efectos, se entiende por micro incluidas las Famiempresas pequeña y mediana empresa, toda unidad de explotación económica, realizada por persona natural o jurídica, en actividades empresariales, agropecuarias, industriales, comerciales o de servicios, rural o urbana, que responda a dos (2) de los siguientes parámetros:</w:t>
      </w:r>
    </w:p>
    <w:p w:rsidRPr="00E00143" w:rsidR="00891858" w:rsidP="00133BA4" w:rsidRDefault="00891858" w14:paraId="08131D42" w14:textId="77777777">
      <w:pPr>
        <w:pStyle w:val="Textonotapie"/>
        <w:ind w:firstLine="709"/>
        <w:jc w:val="both"/>
        <w:rPr>
          <w:rFonts w:ascii="Arial" w:hAnsi="Arial" w:cs="Arial"/>
          <w:color w:val="000000" w:themeColor="text1"/>
          <w:sz w:val="19"/>
          <w:szCs w:val="19"/>
        </w:rPr>
      </w:pPr>
      <w:r w:rsidRPr="00E00143">
        <w:rPr>
          <w:rFonts w:ascii="Arial" w:hAnsi="Arial" w:cs="Arial"/>
          <w:color w:val="000000" w:themeColor="text1"/>
          <w:sz w:val="19"/>
          <w:szCs w:val="19"/>
        </w:rPr>
        <w:t xml:space="preserve">»1. Mediana empresa: // a) Planta de personal entre cincuenta y uno (51) y doscientos (200) trabajadores, o // b) Activos totales por valor entre 100.000 a 610.000 UVT.  </w:t>
      </w:r>
    </w:p>
    <w:p w:rsidRPr="00E00143" w:rsidR="00891858" w:rsidP="00133BA4" w:rsidRDefault="00891858" w14:paraId="60561BBB" w14:textId="77777777">
      <w:pPr>
        <w:pStyle w:val="Textonotapie"/>
        <w:ind w:firstLine="709"/>
        <w:jc w:val="both"/>
        <w:rPr>
          <w:rFonts w:ascii="Arial" w:hAnsi="Arial" w:cs="Arial"/>
          <w:color w:val="000000" w:themeColor="text1"/>
          <w:sz w:val="19"/>
          <w:szCs w:val="19"/>
        </w:rPr>
      </w:pPr>
      <w:r w:rsidRPr="00E00143">
        <w:rPr>
          <w:rFonts w:ascii="Arial" w:hAnsi="Arial" w:cs="Arial"/>
          <w:color w:val="000000" w:themeColor="text1"/>
          <w:sz w:val="19"/>
          <w:szCs w:val="19"/>
        </w:rPr>
        <w:t>» Pequeña empresa: // a) Planta de personal entre once (11) y cincuenta (50) trabajadores, o // b) Activos totales por valor entre quinientos uno (501) y menos de cinco mil (5.000) salarios mínimos mensuales legales vigentes o,</w:t>
      </w:r>
    </w:p>
    <w:p w:rsidRPr="00E00143" w:rsidR="00891858" w:rsidP="00133BA4" w:rsidRDefault="00891858" w14:paraId="6272BBF5" w14:textId="77777777">
      <w:pPr>
        <w:pStyle w:val="Textonotapie"/>
        <w:ind w:firstLine="709"/>
        <w:jc w:val="both"/>
        <w:rPr>
          <w:rFonts w:ascii="Arial" w:hAnsi="Arial" w:cs="Arial"/>
          <w:color w:val="000000" w:themeColor="text1"/>
          <w:sz w:val="19"/>
          <w:szCs w:val="19"/>
        </w:rPr>
      </w:pPr>
      <w:r w:rsidRPr="00E00143">
        <w:rPr>
          <w:rFonts w:ascii="Arial" w:hAnsi="Arial" w:cs="Arial"/>
          <w:color w:val="000000" w:themeColor="text1"/>
          <w:sz w:val="19"/>
          <w:szCs w:val="19"/>
        </w:rPr>
        <w:t>»3. Microempresa: // a) Planta de personal no superior a los diez (10) trabajadores o, // b) Activos totales excluida la vivienda por valor inferior a quinientos (500) salarios mínimos mensuales legales vigentes».</w:t>
      </w:r>
    </w:p>
  </w:footnote>
  <w:footnote w:id="2">
    <w:p w:rsidRPr="00E00143" w:rsidR="00891858" w:rsidP="00133BA4" w:rsidRDefault="00891858" w14:paraId="1466DB3E" w14:textId="77777777">
      <w:pPr>
        <w:pBdr>
          <w:top w:val="nil"/>
          <w:left w:val="nil"/>
          <w:bottom w:val="nil"/>
          <w:right w:val="nil"/>
          <w:between w:val="nil"/>
        </w:pBdr>
        <w:ind w:firstLine="709"/>
        <w:jc w:val="both"/>
        <w:rPr>
          <w:rFonts w:ascii="Arial" w:hAnsi="Arial" w:eastAsia="Arial" w:cs="Arial"/>
          <w:color w:val="000000"/>
          <w:sz w:val="19"/>
          <w:szCs w:val="19"/>
        </w:rPr>
      </w:pPr>
      <w:r w:rsidRPr="00E00143">
        <w:rPr>
          <w:rFonts w:ascii="Arial" w:hAnsi="Arial" w:cs="Arial"/>
          <w:sz w:val="19"/>
          <w:szCs w:val="19"/>
          <w:vertAlign w:val="superscript"/>
        </w:rPr>
        <w:footnoteRef/>
      </w:r>
      <w:r w:rsidRPr="00E00143">
        <w:rPr>
          <w:rFonts w:ascii="Arial" w:hAnsi="Arial" w:eastAsia="Arial" w:cs="Arial"/>
          <w:color w:val="000000"/>
          <w:sz w:val="19"/>
          <w:szCs w:val="19"/>
        </w:rPr>
        <w:t xml:space="preserve"> Artículo 2.2.1.13.2.2. del Decreto 1074 de 2015, adicionado por el Decreto 957 de 2019.</w:t>
      </w:r>
    </w:p>
    <w:p w:rsidRPr="00E00143" w:rsidR="00891858" w:rsidP="00133BA4" w:rsidRDefault="00891858" w14:paraId="48F59C82" w14:textId="77777777">
      <w:pPr>
        <w:pBdr>
          <w:top w:val="nil"/>
          <w:left w:val="nil"/>
          <w:bottom w:val="nil"/>
          <w:right w:val="nil"/>
          <w:between w:val="nil"/>
        </w:pBdr>
        <w:ind w:firstLine="709"/>
        <w:jc w:val="both"/>
        <w:rPr>
          <w:rFonts w:ascii="Arial" w:hAnsi="Arial" w:eastAsia="Arial" w:cs="Arial"/>
          <w:color w:val="000000"/>
          <w:sz w:val="19"/>
          <w:szCs w:val="19"/>
        </w:rPr>
      </w:pPr>
    </w:p>
  </w:footnote>
  <w:footnote w:id="3">
    <w:p w:rsidRPr="00E00143" w:rsidR="00891858" w:rsidP="00133BA4" w:rsidRDefault="00891858" w14:paraId="610AC117" w14:textId="77777777">
      <w:pPr>
        <w:pStyle w:val="Textonotapie"/>
        <w:ind w:firstLine="709"/>
        <w:jc w:val="both"/>
        <w:rPr>
          <w:rFonts w:ascii="Arial" w:hAnsi="Arial" w:cs="Arial"/>
          <w:color w:val="000000" w:themeColor="text1"/>
          <w:sz w:val="19"/>
          <w:szCs w:val="19"/>
        </w:rPr>
      </w:pPr>
      <w:r w:rsidRPr="00E00143">
        <w:rPr>
          <w:rStyle w:val="Refdenotaalpie"/>
          <w:rFonts w:ascii="Arial" w:hAnsi="Arial" w:cs="Arial"/>
          <w:color w:val="000000" w:themeColor="text1"/>
          <w:sz w:val="19"/>
          <w:szCs w:val="19"/>
        </w:rPr>
        <w:footnoteRef/>
      </w:r>
      <w:r w:rsidRPr="00E00143">
        <w:rPr>
          <w:rFonts w:ascii="Arial" w:hAnsi="Arial" w:cs="Arial"/>
          <w:color w:val="000000" w:themeColor="text1"/>
          <w:sz w:val="19"/>
          <w:szCs w:val="19"/>
        </w:rPr>
        <w:t xml:space="preserve"> «Artículo 12. Concurrencia de las Mipymes a los mercados de bienes y servicios que crea el funcionamiento del Estado. Con el fin de promover la concurrencia de las micro, pequeñas y medianas empresas a los mercados de bienes y servicios que crea el funcionamiento del Estado, las entidades indicadas en el artículo 2o de la Ley 80 de 1993 o de la ley que la modifique, consultando lo previsto en esa ley y en los convenios y acuerdos internacionales: […]</w:t>
      </w:r>
    </w:p>
    <w:p w:rsidRPr="00E00143" w:rsidR="00891858" w:rsidP="00133BA4" w:rsidRDefault="00891858" w14:paraId="7E9AB949" w14:textId="10299D1C">
      <w:pPr>
        <w:pStyle w:val="Textonotapie"/>
        <w:ind w:firstLine="709"/>
        <w:jc w:val="both"/>
        <w:rPr>
          <w:rFonts w:ascii="Arial" w:hAnsi="Arial" w:cs="Arial"/>
          <w:color w:val="000000" w:themeColor="text1"/>
          <w:sz w:val="19"/>
          <w:szCs w:val="19"/>
        </w:rPr>
      </w:pPr>
      <w:r w:rsidRPr="00E00143">
        <w:rPr>
          <w:rFonts w:ascii="Arial" w:hAnsi="Arial" w:cs="Arial"/>
          <w:color w:val="000000" w:themeColor="text1"/>
          <w:sz w:val="19"/>
          <w:szCs w:val="19"/>
        </w:rPr>
        <w:tab/>
      </w:r>
      <w:r w:rsidRPr="00E00143">
        <w:rPr>
          <w:rFonts w:ascii="Arial" w:hAnsi="Arial" w:cs="Arial"/>
          <w:color w:val="000000" w:themeColor="text1"/>
          <w:sz w:val="19"/>
          <w:szCs w:val="19"/>
        </w:rPr>
        <w:t>»4. Las entidades públicas del orden nacional, departamental y municipal preferirán en condiciones de igual precio, calidad y capacidad de suministros y servicio a las Mipymes nacionales».</w:t>
      </w:r>
    </w:p>
    <w:p w:rsidRPr="00A3111E" w:rsidR="006F6269" w:rsidP="00133BA4" w:rsidRDefault="006F6269" w14:paraId="277CF6BE" w14:textId="77777777">
      <w:pPr>
        <w:pStyle w:val="Textonotapie"/>
        <w:ind w:firstLine="709"/>
        <w:jc w:val="both"/>
        <w:rPr>
          <w:rFonts w:ascii="Arial" w:hAnsi="Arial" w:cs="Arial"/>
          <w:color w:val="000000" w:themeColor="text1"/>
          <w:sz w:val="19"/>
          <w:szCs w:val="19"/>
          <w:lang w:val="es-CO"/>
        </w:rPr>
      </w:pPr>
    </w:p>
  </w:footnote>
  <w:footnote w:id="4">
    <w:p w:rsidRPr="00E00143" w:rsidR="00891858" w:rsidP="00133BA4" w:rsidRDefault="00891858" w14:paraId="2A2BF4B7" w14:textId="0E11F99B">
      <w:pPr>
        <w:pStyle w:val="Textonotapie"/>
        <w:ind w:firstLine="709"/>
        <w:jc w:val="both"/>
        <w:rPr>
          <w:rFonts w:ascii="Arial" w:hAnsi="Arial" w:cs="Arial"/>
          <w:color w:val="000000" w:themeColor="text1"/>
          <w:sz w:val="19"/>
          <w:szCs w:val="19"/>
          <w:lang w:val="es-ES"/>
        </w:rPr>
      </w:pPr>
      <w:r w:rsidRPr="00A3111E">
        <w:rPr>
          <w:rStyle w:val="Refdenotaalpie"/>
          <w:rFonts w:ascii="Arial" w:hAnsi="Arial" w:cs="Arial"/>
          <w:color w:val="000000" w:themeColor="text1"/>
          <w:sz w:val="19"/>
          <w:szCs w:val="19"/>
        </w:rPr>
        <w:footnoteRef/>
      </w:r>
      <w:r w:rsidRPr="00A3111E">
        <w:rPr>
          <w:rFonts w:ascii="Arial" w:hAnsi="Arial" w:cs="Arial"/>
          <w:color w:val="000000" w:themeColor="text1"/>
          <w:sz w:val="19"/>
          <w:szCs w:val="19"/>
        </w:rPr>
        <w:t xml:space="preserve"> </w:t>
      </w:r>
      <w:r w:rsidRPr="00E00143">
        <w:rPr>
          <w:rFonts w:ascii="Arial" w:hAnsi="Arial" w:cs="Arial"/>
          <w:color w:val="000000" w:themeColor="text1"/>
          <w:sz w:val="19"/>
          <w:szCs w:val="19"/>
        </w:rPr>
        <w:t>Consejo de Estado. Sala de lo Contencioso Administrativo. Sección Tercera. Subsección C. Sentencia del 23 de mayo de 2012. Exp. 40.743. M.P. Enrique Gil Botero: Allí se dijo: «La ley establece mecanismos indispensables para permitir la creación y operación de las Mipymes en un escenario de competitividad. Así, se abordan los siguientes frentes: 1. El acceso a mercados y bienes y servicios; 2. El desarrollo tecnológico y talento humano; 3. El acceso a mercados financieros, y; 4. La creación de unidades empresariales (…) Para garantizar el acceso de las Mipymes a los mercados de bienes y servicios cuando éstos son creados por el funcionamiento del Estado y promover la concurrencia, las entidades estatales (definidas en el artículo 2 de la ley 80 de 1993) deben: 1. Desarrollar programas de aplicación de las normas sobre contratación administrativa y las concordantes de ciencia y tecnología en lo atinente a la preferencia de normas nacionales, desagregación tecnológica y componente nacional en la adquisición de bienes y servicios; 2. Promocionar e incrementar, conforme con su presupuesto, la participación de las Mipymes como proveedoras de bienes y servicios que demanden; 3. Establecer procedimientos administrativos que faciliten que las Mipymes cumplan con los requisitos y trámites relativos a pedidos, recepción de bienes o servicios, condiciones de pago y acceso a la información sobre sus programas de inversión y gasto, y; 4. Preferir en condiciones de igual precio, calidad y capacidad de suministro y servicios a las Mipymes nacionales».</w:t>
      </w:r>
    </w:p>
  </w:footnote>
  <w:footnote w:id="5">
    <w:p w:rsidRPr="00E00143" w:rsidR="00891858" w:rsidP="00133BA4" w:rsidRDefault="00891858" w14:paraId="7357C9DF" w14:textId="77777777">
      <w:pPr>
        <w:pStyle w:val="Textonotapie"/>
        <w:ind w:firstLine="709"/>
        <w:jc w:val="both"/>
        <w:rPr>
          <w:rFonts w:ascii="Arial" w:hAnsi="Arial" w:cs="Arial"/>
          <w:color w:val="000000" w:themeColor="text1"/>
          <w:sz w:val="19"/>
          <w:szCs w:val="19"/>
        </w:rPr>
      </w:pPr>
      <w:r w:rsidRPr="00E00143">
        <w:rPr>
          <w:rStyle w:val="Refdenotaalpie"/>
          <w:rFonts w:ascii="Arial" w:hAnsi="Arial" w:cs="Arial"/>
          <w:color w:val="000000" w:themeColor="text1"/>
          <w:sz w:val="19"/>
          <w:szCs w:val="19"/>
        </w:rPr>
        <w:footnoteRef/>
      </w:r>
      <w:r w:rsidRPr="00E00143">
        <w:rPr>
          <w:rFonts w:ascii="Arial" w:hAnsi="Arial" w:cs="Arial"/>
          <w:color w:val="000000" w:themeColor="text1"/>
          <w:sz w:val="19"/>
          <w:szCs w:val="19"/>
        </w:rPr>
        <w:t xml:space="preserve"> Es el promedio </w:t>
      </w:r>
      <w:r w:rsidRPr="00420A2F">
        <w:rPr>
          <w:rFonts w:ascii="Arial" w:hAnsi="Arial" w:cs="Arial"/>
          <w:color w:val="000000" w:themeColor="text1"/>
          <w:sz w:val="19"/>
          <w:szCs w:val="19"/>
        </w:rPr>
        <w:t>ponderado por monto de las operaciones de compra y venta de dólares de los Estados Unidos de América a cambio de moneda legal colombiana, pactadas para cumplimiento en ambas monedas el mismo día de su negociación, efectuadas por los Intermediarios del Merc</w:t>
      </w:r>
      <w:r w:rsidRPr="00A3111E">
        <w:rPr>
          <w:rFonts w:ascii="Arial" w:hAnsi="Arial" w:cs="Arial"/>
          <w:color w:val="000000" w:themeColor="text1"/>
          <w:sz w:val="19"/>
          <w:szCs w:val="19"/>
        </w:rPr>
        <w:t>ado Cambiario entre las 7:30 a.m. y la 1:00 p.m.</w:t>
      </w:r>
    </w:p>
    <w:p w:rsidRPr="00E00143" w:rsidR="00891858" w:rsidP="00133BA4" w:rsidRDefault="00891858" w14:paraId="09E87576" w14:textId="77777777">
      <w:pPr>
        <w:pStyle w:val="Textonotapie"/>
        <w:ind w:firstLine="709"/>
        <w:jc w:val="both"/>
        <w:rPr>
          <w:rFonts w:ascii="Arial" w:hAnsi="Arial" w:cs="Arial"/>
          <w:color w:val="000000" w:themeColor="text1"/>
          <w:sz w:val="19"/>
          <w:szCs w:val="19"/>
          <w:lang w:val="es-ES"/>
        </w:rPr>
      </w:pPr>
    </w:p>
  </w:footnote>
  <w:footnote w:id="6">
    <w:p w:rsidRPr="00420A2F" w:rsidR="00891858" w:rsidP="00133BA4" w:rsidRDefault="00891858" w14:paraId="2B7A1747" w14:textId="637D0DA1">
      <w:pPr>
        <w:pStyle w:val="Textonotapie"/>
        <w:ind w:firstLine="709"/>
        <w:jc w:val="both"/>
        <w:rPr>
          <w:rFonts w:ascii="Arial" w:hAnsi="Arial" w:cs="Arial"/>
          <w:color w:val="000000" w:themeColor="text1"/>
          <w:sz w:val="19"/>
          <w:szCs w:val="19"/>
          <w:lang w:val="es-ES"/>
        </w:rPr>
      </w:pPr>
      <w:r w:rsidRPr="00E00143">
        <w:rPr>
          <w:rStyle w:val="Refdenotaalpie"/>
          <w:rFonts w:ascii="Arial" w:hAnsi="Arial" w:cs="Arial"/>
          <w:color w:val="000000" w:themeColor="text1"/>
          <w:sz w:val="19"/>
          <w:szCs w:val="19"/>
        </w:rPr>
        <w:footnoteRef/>
      </w:r>
      <w:r w:rsidRPr="00E00143">
        <w:rPr>
          <w:rFonts w:ascii="Arial" w:hAnsi="Arial" w:cs="Arial"/>
          <w:color w:val="000000" w:themeColor="text1"/>
          <w:sz w:val="19"/>
          <w:szCs w:val="19"/>
        </w:rPr>
        <w:t xml:space="preserve"> La TRM diaria se puede consultar en </w:t>
      </w:r>
      <w:hyperlink w:history="1" r:id="rId1">
        <w:r w:rsidRPr="00420A2F">
          <w:rPr>
            <w:rStyle w:val="Hipervnculo"/>
            <w:rFonts w:ascii="Arial" w:hAnsi="Arial" w:cs="Arial"/>
            <w:color w:val="000000" w:themeColor="text1"/>
            <w:sz w:val="19"/>
            <w:szCs w:val="19"/>
          </w:rPr>
          <w:t>https://www.banrep.gov.co/es/estadisticas/trm</w:t>
        </w:r>
      </w:hyperlink>
      <w:r w:rsidRPr="00E00143">
        <w:rPr>
          <w:rFonts w:ascii="Arial" w:hAnsi="Arial" w:cs="Arial"/>
          <w:color w:val="000000" w:themeColor="text1"/>
          <w:sz w:val="19"/>
          <w:szCs w:val="19"/>
        </w:rPr>
        <w:t>.</w:t>
      </w:r>
    </w:p>
  </w:footnote>
  <w:footnote w:id="7">
    <w:p w:rsidRPr="00A3111E" w:rsidR="00891858" w:rsidP="00133BA4" w:rsidRDefault="00891858" w14:paraId="05DBBCC3" w14:textId="77777777">
      <w:pPr>
        <w:pStyle w:val="Textonotapie"/>
        <w:ind w:firstLine="709"/>
        <w:jc w:val="both"/>
        <w:rPr>
          <w:rFonts w:ascii="Arial" w:hAnsi="Arial" w:cs="Arial"/>
          <w:color w:val="000000" w:themeColor="text1"/>
          <w:sz w:val="19"/>
          <w:szCs w:val="19"/>
          <w:lang w:val="es-ES"/>
        </w:rPr>
      </w:pPr>
      <w:r w:rsidRPr="00E00143">
        <w:rPr>
          <w:rStyle w:val="Refdenotaalpie"/>
          <w:rFonts w:ascii="Arial" w:hAnsi="Arial" w:cs="Arial"/>
          <w:color w:val="000000" w:themeColor="text1"/>
          <w:sz w:val="19"/>
          <w:szCs w:val="19"/>
        </w:rPr>
        <w:footnoteRef/>
      </w:r>
      <w:r w:rsidRPr="00E00143">
        <w:rPr>
          <w:rFonts w:ascii="Arial" w:hAnsi="Arial" w:cs="Arial"/>
          <w:color w:val="000000" w:themeColor="text1"/>
          <w:sz w:val="19"/>
          <w:szCs w:val="19"/>
        </w:rPr>
        <w:t xml:space="preserve"> </w:t>
      </w:r>
      <w:r w:rsidRPr="00420A2F">
        <w:rPr>
          <w:rFonts w:ascii="Arial" w:hAnsi="Arial" w:cs="Arial"/>
          <w:color w:val="000000" w:themeColor="text1"/>
          <w:sz w:val="19"/>
          <w:szCs w:val="19"/>
          <w:lang w:val="es-ES"/>
        </w:rPr>
        <w:t>Fecha de expedición del Decreto 1082.</w:t>
      </w:r>
    </w:p>
    <w:p w:rsidRPr="00E00143" w:rsidR="00891858" w:rsidP="00133BA4" w:rsidRDefault="00891858" w14:paraId="59E540A2" w14:textId="77777777">
      <w:pPr>
        <w:pStyle w:val="Textonotapie"/>
        <w:ind w:firstLine="709"/>
        <w:jc w:val="both"/>
        <w:rPr>
          <w:rFonts w:ascii="Arial" w:hAnsi="Arial" w:cs="Arial"/>
          <w:color w:val="000000" w:themeColor="text1"/>
          <w:sz w:val="19"/>
          <w:szCs w:val="19"/>
          <w:lang w:val="es-ES"/>
        </w:rPr>
      </w:pPr>
    </w:p>
  </w:footnote>
  <w:footnote w:id="8">
    <w:p w:rsidRPr="00E00143" w:rsidR="00891858" w:rsidP="00133BA4" w:rsidRDefault="00891858" w14:paraId="4AED5EBE" w14:textId="77777777">
      <w:pPr>
        <w:pStyle w:val="Textonotapie"/>
        <w:ind w:firstLine="709"/>
        <w:jc w:val="both"/>
        <w:rPr>
          <w:rFonts w:ascii="Arial" w:hAnsi="Arial" w:cs="Arial"/>
          <w:color w:val="000000" w:themeColor="text1"/>
          <w:sz w:val="19"/>
          <w:szCs w:val="19"/>
        </w:rPr>
      </w:pPr>
      <w:r w:rsidRPr="00E00143">
        <w:rPr>
          <w:rStyle w:val="Refdenotaalpie"/>
          <w:rFonts w:ascii="Arial" w:hAnsi="Arial" w:cs="Arial"/>
          <w:color w:val="000000" w:themeColor="text1"/>
          <w:sz w:val="19"/>
          <w:szCs w:val="19"/>
        </w:rPr>
        <w:footnoteRef/>
      </w:r>
      <w:r w:rsidRPr="00E00143">
        <w:rPr>
          <w:rFonts w:ascii="Arial" w:hAnsi="Arial" w:cs="Arial"/>
          <w:color w:val="000000" w:themeColor="text1"/>
          <w:sz w:val="19"/>
          <w:szCs w:val="19"/>
        </w:rPr>
        <w:t xml:space="preserve"> </w:t>
      </w:r>
      <w:hyperlink w:history="1" r:id="rId2">
        <w:r w:rsidRPr="00420A2F">
          <w:rPr>
            <w:rStyle w:val="Hipervnculo"/>
            <w:rFonts w:ascii="Arial" w:hAnsi="Arial" w:cs="Arial"/>
            <w:color w:val="000000" w:themeColor="text1"/>
            <w:sz w:val="19"/>
            <w:szCs w:val="19"/>
          </w:rPr>
          <w:t>https://www.colombiacompra.gov.co/sites/cce_public/files/cce_documentos/umbrales_2020_-_2021.pdf</w:t>
        </w:r>
      </w:hyperlink>
    </w:p>
    <w:p w:rsidRPr="00420A2F" w:rsidR="00891858" w:rsidP="00133BA4" w:rsidRDefault="00891858" w14:paraId="0F587B57" w14:textId="77777777">
      <w:pPr>
        <w:pStyle w:val="Textonotapie"/>
        <w:ind w:firstLine="709"/>
        <w:jc w:val="both"/>
        <w:rPr>
          <w:rFonts w:ascii="Arial" w:hAnsi="Arial" w:cs="Arial"/>
          <w:color w:val="000000" w:themeColor="text1"/>
          <w:sz w:val="19"/>
          <w:szCs w:val="19"/>
          <w:lang w:val="es-ES"/>
        </w:rPr>
      </w:pPr>
    </w:p>
  </w:footnote>
  <w:footnote w:id="9">
    <w:p w:rsidRPr="00420A2F" w:rsidR="00891858" w:rsidP="00133BA4" w:rsidRDefault="00891858" w14:paraId="508063B0" w14:textId="77777777">
      <w:pPr>
        <w:pStyle w:val="Textonotapie"/>
        <w:ind w:firstLine="709"/>
        <w:jc w:val="both"/>
        <w:rPr>
          <w:rFonts w:ascii="Arial" w:hAnsi="Arial" w:cs="Arial"/>
          <w:color w:val="000000" w:themeColor="text1"/>
          <w:sz w:val="19"/>
          <w:szCs w:val="19"/>
        </w:rPr>
      </w:pPr>
      <w:r w:rsidRPr="00E00143">
        <w:rPr>
          <w:rStyle w:val="Refdenotaalpie"/>
          <w:rFonts w:ascii="Arial" w:hAnsi="Arial" w:cs="Arial"/>
          <w:color w:val="000000" w:themeColor="text1"/>
          <w:sz w:val="19"/>
          <w:szCs w:val="19"/>
        </w:rPr>
        <w:footnoteRef/>
      </w:r>
      <w:r w:rsidRPr="00E00143">
        <w:rPr>
          <w:rFonts w:ascii="Arial" w:hAnsi="Arial" w:cs="Arial"/>
          <w:color w:val="000000" w:themeColor="text1"/>
          <w:sz w:val="19"/>
          <w:szCs w:val="19"/>
        </w:rPr>
        <w:t xml:space="preserve"> Ibidem.</w:t>
      </w:r>
    </w:p>
    <w:p w:rsidRPr="00A3111E" w:rsidR="00891858" w:rsidP="00133BA4" w:rsidRDefault="00891858" w14:paraId="687D41C8" w14:textId="77777777">
      <w:pPr>
        <w:pStyle w:val="Textonotapie"/>
        <w:ind w:firstLine="709"/>
        <w:jc w:val="both"/>
        <w:rPr>
          <w:rFonts w:ascii="Arial" w:hAnsi="Arial" w:cs="Arial"/>
          <w:color w:val="000000" w:themeColor="text1"/>
          <w:sz w:val="19"/>
          <w:szCs w:val="19"/>
          <w:lang w:val="es-ES"/>
        </w:rPr>
      </w:pPr>
    </w:p>
  </w:footnote>
  <w:footnote w:id="10">
    <w:p w:rsidRPr="00165194" w:rsidR="00891858" w:rsidP="00133BA4" w:rsidRDefault="00891858" w14:paraId="2851969C" w14:textId="2022C2C1">
      <w:pPr>
        <w:pStyle w:val="Textonotapie"/>
        <w:ind w:firstLine="709"/>
        <w:jc w:val="both"/>
        <w:rPr>
          <w:rFonts w:ascii="Arial" w:hAnsi="Arial" w:cs="Arial"/>
          <w:color w:val="000000" w:themeColor="text1"/>
          <w:sz w:val="19"/>
          <w:szCs w:val="19"/>
        </w:rPr>
      </w:pPr>
      <w:r w:rsidRPr="00E00143">
        <w:rPr>
          <w:rStyle w:val="Refdenotaalpie"/>
          <w:rFonts w:ascii="Arial" w:hAnsi="Arial" w:cs="Arial"/>
          <w:color w:val="000000" w:themeColor="text1"/>
          <w:sz w:val="19"/>
          <w:szCs w:val="19"/>
        </w:rPr>
        <w:footnoteRef/>
      </w:r>
      <w:r w:rsidRPr="00E00143">
        <w:rPr>
          <w:rFonts w:ascii="Arial" w:hAnsi="Arial" w:cs="Arial"/>
          <w:color w:val="000000" w:themeColor="text1"/>
          <w:sz w:val="19"/>
          <w:szCs w:val="19"/>
        </w:rPr>
        <w:t xml:space="preserve"> Concepto emitido en el radicado 4201913000005674, dictado el 27 de septiembre de 2019.</w:t>
      </w:r>
    </w:p>
    <w:p w:rsidRPr="00420A2F" w:rsidR="00FB2D4A" w:rsidP="00133BA4" w:rsidRDefault="00FB2D4A" w14:paraId="70962833" w14:textId="77777777">
      <w:pPr>
        <w:pStyle w:val="Textonotapie"/>
        <w:ind w:firstLine="709"/>
        <w:jc w:val="both"/>
        <w:rPr>
          <w:rFonts w:ascii="Arial" w:hAnsi="Arial" w:cs="Arial"/>
          <w:color w:val="000000" w:themeColor="text1"/>
          <w:sz w:val="19"/>
          <w:szCs w:val="19"/>
          <w:lang w:val="es-ES"/>
        </w:rPr>
      </w:pPr>
    </w:p>
  </w:footnote>
  <w:footnote w:id="11">
    <w:p w:rsidRPr="00165194" w:rsidR="00FB2D4A" w:rsidP="00133BA4" w:rsidRDefault="00FB2D4A" w14:paraId="1CA1BEB4" w14:textId="754F1D10">
      <w:pPr>
        <w:pStyle w:val="Textonotapie"/>
        <w:ind w:firstLine="709"/>
        <w:jc w:val="both"/>
        <w:rPr>
          <w:rFonts w:ascii="Arial" w:hAnsi="Arial" w:cs="Arial"/>
          <w:sz w:val="19"/>
          <w:szCs w:val="19"/>
          <w:lang w:val="es-CO"/>
        </w:rPr>
      </w:pPr>
      <w:r w:rsidRPr="00E00143">
        <w:rPr>
          <w:rStyle w:val="Refdenotaalpie"/>
          <w:rFonts w:ascii="Arial" w:hAnsi="Arial" w:cs="Arial"/>
          <w:sz w:val="19"/>
          <w:szCs w:val="19"/>
        </w:rPr>
        <w:footnoteRef/>
      </w:r>
      <w:r w:rsidRPr="00E00143">
        <w:rPr>
          <w:rFonts w:ascii="Arial" w:hAnsi="Arial" w:cs="Arial"/>
          <w:sz w:val="19"/>
          <w:szCs w:val="19"/>
        </w:rPr>
        <w:t xml:space="preserve">  El artículo </w:t>
      </w:r>
      <w:r w:rsidRPr="00E00143">
        <w:rPr>
          <w:rFonts w:ascii="Arial" w:hAnsi="Arial" w:cs="Arial"/>
          <w:sz w:val="19"/>
          <w:szCs w:val="19"/>
          <w:lang w:val="es-CO"/>
        </w:rPr>
        <w:t xml:space="preserve">2.2.1.2.4.2.4. del </w:t>
      </w:r>
      <w:r w:rsidRPr="00165194" w:rsidR="00803500">
        <w:rPr>
          <w:rFonts w:ascii="Arial" w:hAnsi="Arial" w:cs="Arial"/>
          <w:sz w:val="19"/>
          <w:szCs w:val="19"/>
          <w:lang w:val="es-CO"/>
        </w:rPr>
        <w:t>D</w:t>
      </w:r>
      <w:r w:rsidRPr="00165194">
        <w:rPr>
          <w:rFonts w:ascii="Arial" w:hAnsi="Arial" w:cs="Arial"/>
          <w:sz w:val="19"/>
          <w:szCs w:val="19"/>
          <w:lang w:val="es-CO"/>
        </w:rPr>
        <w:t>ecreto 1082 de 2015, establece lo siguiente:</w:t>
      </w:r>
    </w:p>
    <w:p w:rsidRPr="00133BA4" w:rsidR="00803500" w:rsidP="00F31C1C" w:rsidRDefault="00803500" w14:paraId="713DC3E0" w14:textId="77777777">
      <w:pPr>
        <w:pStyle w:val="Textonotapie"/>
        <w:ind w:firstLine="709"/>
        <w:jc w:val="both"/>
        <w:rPr>
          <w:rFonts w:ascii="Arial" w:hAnsi="Arial" w:cs="Arial"/>
          <w:sz w:val="19"/>
          <w:szCs w:val="19"/>
          <w:lang w:val="es-CO"/>
        </w:rPr>
      </w:pPr>
    </w:p>
    <w:p w:rsidRPr="00420A2F" w:rsidR="00FB2D4A" w:rsidP="00F31C1C" w:rsidRDefault="00803500" w14:paraId="36580310" w14:textId="69906966">
      <w:pPr>
        <w:pStyle w:val="Textonotapie"/>
        <w:ind w:firstLine="709"/>
        <w:jc w:val="both"/>
        <w:rPr>
          <w:rFonts w:ascii="Arial" w:hAnsi="Arial" w:cs="Arial"/>
          <w:sz w:val="19"/>
          <w:szCs w:val="19"/>
          <w:lang w:val="es-CO"/>
        </w:rPr>
      </w:pPr>
      <w:r w:rsidRPr="00E00143">
        <w:rPr>
          <w:rFonts w:ascii="Arial" w:hAnsi="Arial" w:cs="Arial"/>
          <w:sz w:val="19"/>
          <w:szCs w:val="19"/>
          <w:lang w:val="es-CO"/>
        </w:rPr>
        <w:t>«</w:t>
      </w:r>
      <w:r w:rsidRPr="00133BA4" w:rsidR="00FB2D4A">
        <w:rPr>
          <w:rFonts w:ascii="Arial" w:hAnsi="Arial" w:cs="Arial"/>
          <w:sz w:val="19"/>
          <w:szCs w:val="19"/>
          <w:lang w:val="es-CO"/>
        </w:rPr>
        <w:t>Artículo 2.2.1.2.4.2.4. </w:t>
      </w:r>
      <w:r w:rsidRPr="00133BA4" w:rsidR="00FB2D4A">
        <w:rPr>
          <w:rFonts w:ascii="Arial" w:hAnsi="Arial" w:cs="Arial"/>
          <w:i/>
          <w:iCs/>
          <w:sz w:val="19"/>
          <w:szCs w:val="19"/>
          <w:lang w:val="es-CO"/>
        </w:rPr>
        <w:t>Acreditación de requisitos para participar en convocatorias limitadas.</w:t>
      </w:r>
      <w:r w:rsidRPr="00E00143" w:rsidR="00FB2D4A">
        <w:rPr>
          <w:rFonts w:ascii="Arial" w:hAnsi="Arial" w:cs="Arial"/>
          <w:i/>
          <w:iCs/>
          <w:sz w:val="19"/>
          <w:szCs w:val="19"/>
          <w:lang w:val="es-CO"/>
        </w:rPr>
        <w:t> </w:t>
      </w:r>
      <w:r w:rsidRPr="00E00143" w:rsidR="00FB2D4A">
        <w:rPr>
          <w:rFonts w:ascii="Arial" w:hAnsi="Arial" w:cs="Arial"/>
          <w:sz w:val="19"/>
          <w:szCs w:val="19"/>
          <w:lang w:val="es-CO"/>
        </w:rPr>
        <w:t>La Mipyme nacional debe acreditar su condición con un certificado expedido por el representante legal y el revisor fiscal, si está obligado a tenerlo, o el contador, en el cual conste que la Mipyme tiene el tamaño empresarial estab</w:t>
      </w:r>
      <w:r w:rsidRPr="00420A2F" w:rsidR="00FB2D4A">
        <w:rPr>
          <w:rFonts w:ascii="Arial" w:hAnsi="Arial" w:cs="Arial"/>
          <w:sz w:val="19"/>
          <w:szCs w:val="19"/>
          <w:lang w:val="es-CO"/>
        </w:rPr>
        <w:t>lecido de conformidad con la ley.</w:t>
      </w:r>
    </w:p>
    <w:p w:rsidRPr="00A3111E" w:rsidR="00FB2D4A" w:rsidP="00133BA4" w:rsidRDefault="00FB2D4A" w14:paraId="37DEC9CF" w14:textId="77777777">
      <w:pPr>
        <w:pStyle w:val="Textonotapie"/>
        <w:ind w:left="708" w:firstLine="709"/>
        <w:jc w:val="both"/>
        <w:rPr>
          <w:rFonts w:ascii="Arial" w:hAnsi="Arial" w:cs="Arial"/>
          <w:sz w:val="19"/>
          <w:szCs w:val="19"/>
          <w:lang w:val="es-CO"/>
        </w:rPr>
      </w:pPr>
    </w:p>
    <w:p w:rsidRPr="00E00143" w:rsidR="00FB2D4A" w:rsidP="00133BA4" w:rsidRDefault="00803500" w14:paraId="697A3C93" w14:textId="7CE4399D">
      <w:pPr>
        <w:pStyle w:val="Textonotapie"/>
        <w:ind w:firstLine="709"/>
        <w:jc w:val="both"/>
        <w:rPr>
          <w:rFonts w:ascii="Arial" w:hAnsi="Arial" w:cs="Arial"/>
          <w:sz w:val="19"/>
          <w:szCs w:val="19"/>
          <w:lang w:val="es-CO"/>
        </w:rPr>
      </w:pPr>
      <w:r w:rsidRPr="00E00143">
        <w:rPr>
          <w:rFonts w:ascii="Arial" w:hAnsi="Arial" w:cs="Arial"/>
          <w:sz w:val="19"/>
          <w:szCs w:val="19"/>
          <w:lang w:val="es-CO"/>
        </w:rPr>
        <w:t>»</w:t>
      </w:r>
      <w:r w:rsidRPr="00E00143" w:rsidR="00FB2D4A">
        <w:rPr>
          <w:rFonts w:ascii="Arial" w:hAnsi="Arial" w:cs="Arial"/>
          <w:sz w:val="19"/>
          <w:szCs w:val="19"/>
          <w:lang w:val="es-CO"/>
        </w:rPr>
        <w:t>En las convocatorias limitadas, la Entidad Estatal debe aceptar solamente las ofertas de Mipyme, consorcios o uniones temporales formados únicamente por Mipyme y promesas de sociedad futura suscritas por Mipyme</w:t>
      </w:r>
      <w:r w:rsidRPr="00E00143">
        <w:rPr>
          <w:rFonts w:ascii="Arial" w:hAnsi="Arial" w:cs="Arial"/>
          <w:sz w:val="19"/>
          <w:szCs w:val="19"/>
          <w:lang w:val="es-CO"/>
        </w:rPr>
        <w:t>»</w:t>
      </w:r>
      <w:r w:rsidRPr="00E00143" w:rsidR="00FB2D4A">
        <w:rPr>
          <w:rFonts w:ascii="Arial" w:hAnsi="Arial" w:cs="Arial"/>
          <w:sz w:val="19"/>
          <w:szCs w:val="19"/>
          <w:lang w:val="es-CO"/>
        </w:rPr>
        <w:t>.</w:t>
      </w:r>
    </w:p>
    <w:p w:rsidRPr="00E00143" w:rsidR="00FB2D4A" w:rsidP="00133BA4" w:rsidRDefault="00FB2D4A" w14:paraId="7DAAAE84" w14:textId="041DCEBE">
      <w:pPr>
        <w:pStyle w:val="Textonotapie"/>
        <w:ind w:firstLine="709"/>
        <w:jc w:val="both"/>
        <w:rPr>
          <w:lang w:val="es-ES"/>
        </w:rPr>
      </w:pPr>
    </w:p>
  </w:footnote>
  <w:footnote w:id="12">
    <w:p w:rsidRPr="00165194" w:rsidR="00891858" w:rsidP="00133BA4" w:rsidRDefault="00891858" w14:paraId="33591586" w14:textId="36579396">
      <w:pPr>
        <w:pStyle w:val="Textonotapie"/>
        <w:ind w:firstLine="709"/>
        <w:jc w:val="both"/>
        <w:rPr>
          <w:lang w:val="es-ES"/>
        </w:rPr>
      </w:pPr>
      <w:r w:rsidRPr="00E00143">
        <w:rPr>
          <w:rStyle w:val="Refdenotaalpie"/>
          <w:rFonts w:ascii="Arial" w:hAnsi="Arial" w:cs="Arial"/>
          <w:sz w:val="19"/>
          <w:szCs w:val="19"/>
        </w:rPr>
        <w:footnoteRef/>
      </w:r>
      <w:r w:rsidRPr="00E00143">
        <w:rPr>
          <w:rFonts w:ascii="Arial" w:hAnsi="Arial" w:cs="Arial"/>
          <w:sz w:val="19"/>
          <w:szCs w:val="19"/>
        </w:rPr>
        <w:t xml:space="preserve"> Corte Constitucional, Sentencia C-820 de 2006, M.P. Marco Gerardo Monroy Cabra.</w:t>
      </w:r>
    </w:p>
  </w:footnote>
  <w:footnote w:id="13">
    <w:p w:rsidRPr="00420A2F" w:rsidR="00803500" w:rsidP="00133BA4" w:rsidRDefault="00803500" w14:paraId="5F11BEB3" w14:textId="77777777">
      <w:pPr>
        <w:pStyle w:val="Textonotapie"/>
        <w:ind w:firstLine="709"/>
        <w:jc w:val="both"/>
      </w:pPr>
    </w:p>
    <w:p w:rsidRPr="00E00143" w:rsidR="00891858" w:rsidP="00133BA4" w:rsidRDefault="00891858" w14:paraId="0914EF1A" w14:textId="45EAE2F6">
      <w:pPr>
        <w:pStyle w:val="Textonotapie"/>
        <w:ind w:firstLine="709"/>
        <w:jc w:val="both"/>
        <w:rPr>
          <w:rFonts w:ascii="Arial" w:hAnsi="Arial" w:cs="Arial"/>
          <w:i/>
          <w:iCs/>
          <w:sz w:val="19"/>
          <w:szCs w:val="19"/>
          <w:lang w:val="es-CO"/>
        </w:rPr>
      </w:pPr>
      <w:r w:rsidRPr="00E00143">
        <w:rPr>
          <w:rStyle w:val="Refdenotaalpie"/>
          <w:rFonts w:ascii="Arial" w:hAnsi="Arial" w:cs="Arial"/>
          <w:sz w:val="19"/>
          <w:szCs w:val="19"/>
        </w:rPr>
        <w:footnoteRef/>
      </w:r>
      <w:r w:rsidRPr="00E00143">
        <w:rPr>
          <w:rFonts w:ascii="Arial" w:hAnsi="Arial" w:cs="Arial"/>
          <w:sz w:val="19"/>
          <w:szCs w:val="19"/>
        </w:rPr>
        <w:t xml:space="preserve"> Esta clasificación no es discrecional, pues se deriva de la teoría planteada por Savigny referida en</w:t>
      </w:r>
      <w:r w:rsidRPr="00420A2F">
        <w:rPr>
          <w:rFonts w:ascii="Arial" w:hAnsi="Arial" w:cs="Arial"/>
          <w:sz w:val="19"/>
          <w:szCs w:val="19"/>
        </w:rPr>
        <w:t xml:space="preserve">:  M. Laclau (2010) </w:t>
      </w:r>
      <w:r w:rsidRPr="003E6199">
        <w:rPr>
          <w:rFonts w:ascii="Arial" w:hAnsi="Arial" w:cs="Arial"/>
          <w:i/>
          <w:iCs/>
          <w:sz w:val="19"/>
          <w:szCs w:val="19"/>
          <w:lang w:val="es-CO"/>
        </w:rPr>
        <w:t xml:space="preserve">Interpretación del derecho e intuición en el pensamiento de Savigny. </w:t>
      </w:r>
      <w:r w:rsidRPr="003E6199">
        <w:rPr>
          <w:rFonts w:ascii="Arial" w:hAnsi="Arial" w:cs="Arial"/>
          <w:sz w:val="19"/>
          <w:szCs w:val="19"/>
          <w:lang w:val="es-CO"/>
        </w:rPr>
        <w:t>Anuario de Derechos Humanos. Nueva Época.</w:t>
      </w:r>
      <w:r w:rsidRPr="00E00143">
        <w:rPr>
          <w:rFonts w:ascii="Arial" w:hAnsi="Arial" w:cs="Arial"/>
          <w:i/>
          <w:iCs/>
          <w:sz w:val="19"/>
          <w:szCs w:val="19"/>
          <w:lang w:val="es-CO"/>
        </w:rPr>
        <w:t xml:space="preserve"> </w:t>
      </w:r>
    </w:p>
    <w:p w:rsidRPr="00E00143" w:rsidR="00803500" w:rsidP="00133BA4" w:rsidRDefault="00803500" w14:paraId="377BE07E" w14:textId="77777777">
      <w:pPr>
        <w:pStyle w:val="Textonotapie"/>
        <w:ind w:left="708" w:firstLine="709"/>
        <w:jc w:val="both"/>
        <w:rPr>
          <w:rFonts w:ascii="Arial" w:hAnsi="Arial" w:cs="Arial"/>
          <w:i/>
          <w:iCs/>
          <w:sz w:val="19"/>
          <w:szCs w:val="19"/>
          <w:lang w:val="es-CO"/>
        </w:rPr>
      </w:pPr>
    </w:p>
  </w:footnote>
  <w:footnote w:id="14">
    <w:p w:rsidRPr="00E00143" w:rsidR="00891858" w:rsidP="00133BA4" w:rsidRDefault="00891858" w14:paraId="61ACFFBF" w14:textId="280395C7">
      <w:pPr>
        <w:pStyle w:val="Textonotapie"/>
        <w:ind w:firstLine="709"/>
        <w:jc w:val="both"/>
        <w:rPr>
          <w:rFonts w:ascii="Arial" w:hAnsi="Arial" w:eastAsia="Times New Roman" w:cs="Arial"/>
          <w:color w:val="000000" w:themeColor="text1"/>
          <w:sz w:val="19"/>
          <w:szCs w:val="19"/>
          <w:shd w:val="clear" w:color="auto" w:fill="FFFFFF"/>
          <w:lang w:eastAsia="es-ES_tradnl"/>
        </w:rPr>
      </w:pPr>
      <w:r w:rsidRPr="00E00143">
        <w:rPr>
          <w:rStyle w:val="Refdenotaalpie"/>
          <w:rFonts w:ascii="Arial" w:hAnsi="Arial" w:cs="Arial"/>
          <w:color w:val="000000" w:themeColor="text1"/>
          <w:sz w:val="19"/>
          <w:szCs w:val="19"/>
        </w:rPr>
        <w:footnoteRef/>
      </w:r>
      <w:r w:rsidRPr="00E00143">
        <w:rPr>
          <w:rFonts w:ascii="Arial" w:hAnsi="Arial" w:cs="Arial"/>
          <w:color w:val="000000" w:themeColor="text1"/>
          <w:sz w:val="19"/>
          <w:szCs w:val="19"/>
        </w:rPr>
        <w:t xml:space="preserve"> </w:t>
      </w:r>
      <w:r w:rsidRPr="00165194">
        <w:rPr>
          <w:rFonts w:ascii="Arial" w:hAnsi="Arial" w:cs="Arial"/>
          <w:color w:val="000000" w:themeColor="text1"/>
          <w:sz w:val="19"/>
          <w:szCs w:val="19"/>
          <w:lang w:val="es-ES"/>
        </w:rPr>
        <w:t>El método histórico consiste en la interpretación de la norma teniendo en cuenta «</w:t>
      </w:r>
      <w:r w:rsidRPr="00165194">
        <w:rPr>
          <w:rFonts w:ascii="Arial" w:hAnsi="Arial" w:eastAsia="Times New Roman" w:cs="Arial"/>
          <w:color w:val="000000" w:themeColor="text1"/>
          <w:sz w:val="19"/>
          <w:szCs w:val="19"/>
          <w:shd w:val="clear" w:color="auto" w:fill="FFFFFF"/>
          <w:lang w:eastAsia="es-ES_tradnl"/>
        </w:rPr>
        <w:t xml:space="preserve">el momento </w:t>
      </w:r>
      <w:r w:rsidRPr="00420A2F">
        <w:rPr>
          <w:rFonts w:ascii="Arial" w:hAnsi="Arial" w:eastAsia="Times New Roman" w:cs="Arial"/>
          <w:color w:val="000000" w:themeColor="text1"/>
          <w:sz w:val="19"/>
          <w:szCs w:val="19"/>
          <w:shd w:val="clear" w:color="auto" w:fill="FFFFFF"/>
          <w:lang w:eastAsia="es-ES_tradnl"/>
        </w:rPr>
        <w:t>de expedición de la norma y los cambios presentados entre su vigencia y el momento de la aplicación» Corte Constit</w:t>
      </w:r>
      <w:r w:rsidRPr="00E00143" w:rsidR="006841A3">
        <w:rPr>
          <w:rFonts w:ascii="Arial" w:hAnsi="Arial" w:eastAsia="Times New Roman" w:cs="Arial"/>
          <w:color w:val="000000" w:themeColor="text1"/>
          <w:sz w:val="19"/>
          <w:szCs w:val="19"/>
          <w:shd w:val="clear" w:color="auto" w:fill="FFFFFF"/>
          <w:lang w:eastAsia="es-ES_tradnl"/>
        </w:rPr>
        <w:t>u</w:t>
      </w:r>
      <w:r w:rsidRPr="00E00143">
        <w:rPr>
          <w:rFonts w:ascii="Arial" w:hAnsi="Arial" w:eastAsia="Times New Roman" w:cs="Arial"/>
          <w:color w:val="000000" w:themeColor="text1"/>
          <w:sz w:val="19"/>
          <w:szCs w:val="19"/>
          <w:shd w:val="clear" w:color="auto" w:fill="FFFFFF"/>
          <w:lang w:eastAsia="es-ES_tradnl"/>
        </w:rPr>
        <w:t>cional, Sentencia C-820 de 2006, M.P. Marco Gerardo Monroy Cabra</w:t>
      </w:r>
    </w:p>
    <w:p w:rsidRPr="00E00143" w:rsidR="00803500" w:rsidP="00133BA4" w:rsidRDefault="00803500" w14:paraId="3F316A3E" w14:textId="77777777">
      <w:pPr>
        <w:pStyle w:val="Textonotapie"/>
        <w:ind w:left="708" w:firstLine="709"/>
        <w:jc w:val="both"/>
        <w:rPr>
          <w:rFonts w:ascii="Arial" w:hAnsi="Arial" w:cs="Arial"/>
          <w:sz w:val="19"/>
          <w:szCs w:val="19"/>
          <w:lang w:val="es-ES"/>
        </w:rPr>
      </w:pPr>
    </w:p>
  </w:footnote>
  <w:footnote w:id="15">
    <w:p w:rsidRPr="00420A2F" w:rsidR="00B71E17" w:rsidP="00133BA4" w:rsidRDefault="00B71E17" w14:paraId="249C4A8E" w14:textId="16FFCFB5">
      <w:pPr>
        <w:pStyle w:val="Textonotapie"/>
        <w:ind w:firstLine="709"/>
        <w:jc w:val="both"/>
        <w:rPr>
          <w:rFonts w:ascii="Arial" w:hAnsi="Arial" w:cs="Arial"/>
          <w:i/>
          <w:iCs/>
          <w:sz w:val="19"/>
          <w:szCs w:val="19"/>
          <w:lang w:val="es-CO"/>
        </w:rPr>
      </w:pPr>
      <w:r w:rsidRPr="00E00143">
        <w:rPr>
          <w:rStyle w:val="Refdenotaalpie"/>
          <w:rFonts w:ascii="Arial" w:hAnsi="Arial" w:cs="Arial"/>
          <w:sz w:val="19"/>
          <w:szCs w:val="19"/>
        </w:rPr>
        <w:footnoteRef/>
      </w:r>
      <w:r w:rsidRPr="00E00143">
        <w:rPr>
          <w:rFonts w:ascii="Arial" w:hAnsi="Arial" w:cs="Arial"/>
          <w:sz w:val="19"/>
          <w:szCs w:val="19"/>
        </w:rPr>
        <w:t xml:space="preserve"> </w:t>
      </w:r>
      <w:r w:rsidRPr="00165194">
        <w:rPr>
          <w:rFonts w:ascii="Arial" w:hAnsi="Arial" w:cs="Arial"/>
          <w:sz w:val="19"/>
          <w:szCs w:val="19"/>
          <w:lang w:val="es-ES"/>
        </w:rPr>
        <w:t xml:space="preserve">M. </w:t>
      </w:r>
      <w:r w:rsidRPr="00165194">
        <w:rPr>
          <w:rFonts w:ascii="Arial" w:hAnsi="Arial" w:cs="Arial"/>
          <w:sz w:val="19"/>
          <w:szCs w:val="19"/>
        </w:rPr>
        <w:t xml:space="preserve">Laclau (2010) </w:t>
      </w:r>
      <w:r w:rsidRPr="00165194">
        <w:rPr>
          <w:rFonts w:ascii="Arial" w:hAnsi="Arial" w:cs="Arial"/>
          <w:i/>
          <w:iCs/>
          <w:sz w:val="19"/>
          <w:szCs w:val="19"/>
          <w:lang w:val="es-CO"/>
        </w:rPr>
        <w:t xml:space="preserve">Interpretación del derecho e intuición en el pensamiento de Savigny. </w:t>
      </w:r>
      <w:r w:rsidRPr="00420A2F">
        <w:rPr>
          <w:rFonts w:ascii="Arial" w:hAnsi="Arial" w:cs="Arial"/>
          <w:sz w:val="19"/>
          <w:szCs w:val="19"/>
          <w:lang w:val="es-CO"/>
        </w:rPr>
        <w:t xml:space="preserve">Anuario de Derechos Humanos. Nueva Época. p. 237. </w:t>
      </w:r>
    </w:p>
    <w:p w:rsidRPr="00E00143" w:rsidR="00B71E17" w:rsidP="00133BA4" w:rsidRDefault="00B71E17" w14:paraId="78340C27" w14:textId="1AE4E3E2">
      <w:pPr>
        <w:pStyle w:val="Textonotapie"/>
        <w:ind w:firstLine="709"/>
        <w:jc w:val="both"/>
        <w:rPr>
          <w:rFonts w:ascii="Arial" w:hAnsi="Arial" w:cs="Arial"/>
          <w:sz w:val="19"/>
          <w:szCs w:val="19"/>
          <w:lang w:val="es-ES"/>
        </w:rPr>
      </w:pPr>
    </w:p>
  </w:footnote>
  <w:footnote w:id="16">
    <w:p w:rsidRPr="00420A2F" w:rsidR="00BF47E8" w:rsidP="00133BA4" w:rsidRDefault="00BF47E8" w14:paraId="4E50636F" w14:textId="581A543F">
      <w:pPr>
        <w:pStyle w:val="Textonotapie"/>
        <w:ind w:firstLine="709"/>
        <w:jc w:val="both"/>
        <w:rPr>
          <w:rFonts w:ascii="Arial" w:hAnsi="Arial" w:cs="Arial"/>
          <w:sz w:val="19"/>
          <w:szCs w:val="19"/>
        </w:rPr>
      </w:pPr>
      <w:r w:rsidRPr="00E00143">
        <w:rPr>
          <w:rStyle w:val="Refdenotaalpie"/>
          <w:rFonts w:ascii="Arial" w:hAnsi="Arial" w:cs="Arial"/>
          <w:sz w:val="19"/>
          <w:szCs w:val="19"/>
        </w:rPr>
        <w:footnoteRef/>
      </w:r>
      <w:r w:rsidRPr="00E00143">
        <w:rPr>
          <w:rFonts w:ascii="Arial" w:hAnsi="Arial" w:cs="Arial"/>
          <w:sz w:val="19"/>
          <w:szCs w:val="19"/>
        </w:rPr>
        <w:t xml:space="preserve"> Tener en </w:t>
      </w:r>
      <w:r w:rsidRPr="00420A2F">
        <w:rPr>
          <w:rFonts w:ascii="Arial" w:hAnsi="Arial" w:cs="Arial"/>
          <w:sz w:val="19"/>
          <w:szCs w:val="19"/>
        </w:rPr>
        <w:t>cuenta las consideraciones del numeral 2.1. del presente concepto.</w:t>
      </w:r>
    </w:p>
    <w:p w:rsidRPr="00420A2F" w:rsidR="00803500" w:rsidP="00133BA4" w:rsidRDefault="00803500" w14:paraId="051ED34D" w14:textId="77777777">
      <w:pPr>
        <w:pStyle w:val="Textonotapie"/>
        <w:ind w:firstLine="709"/>
        <w:jc w:val="both"/>
        <w:rPr>
          <w:lang w:val="es-ES"/>
        </w:rPr>
      </w:pPr>
    </w:p>
  </w:footnote>
  <w:footnote w:id="17">
    <w:p w:rsidRPr="003E6199" w:rsidR="00891858" w:rsidP="00133BA4" w:rsidRDefault="00891858" w14:paraId="1EC68051" w14:textId="2120EACF">
      <w:pPr>
        <w:pStyle w:val="Textonotapie"/>
        <w:ind w:firstLine="709"/>
        <w:jc w:val="both"/>
        <w:rPr>
          <w:rFonts w:ascii="Arial" w:hAnsi="Arial" w:cs="Arial"/>
          <w:sz w:val="19"/>
          <w:szCs w:val="19"/>
          <w:lang w:val="es-CO"/>
        </w:rPr>
      </w:pPr>
      <w:r w:rsidRPr="00E00143">
        <w:rPr>
          <w:rStyle w:val="Refdenotaalpie"/>
          <w:rFonts w:ascii="Arial" w:hAnsi="Arial" w:cs="Arial"/>
          <w:sz w:val="19"/>
          <w:szCs w:val="19"/>
        </w:rPr>
        <w:footnoteRef/>
      </w:r>
      <w:r w:rsidRPr="00E00143">
        <w:rPr>
          <w:rFonts w:ascii="Arial" w:hAnsi="Arial" w:cs="Arial"/>
          <w:sz w:val="19"/>
          <w:szCs w:val="19"/>
        </w:rPr>
        <w:t xml:space="preserve"> </w:t>
      </w:r>
      <w:r w:rsidRPr="00420A2F">
        <w:rPr>
          <w:rFonts w:ascii="Arial" w:hAnsi="Arial" w:cs="Arial"/>
          <w:sz w:val="19"/>
          <w:szCs w:val="19"/>
          <w:lang w:val="es-CO"/>
        </w:rPr>
        <w:t>Corte Constitucional, Sentencia C-461/11, M.P. Juan Carlos Henao Peréz</w:t>
      </w:r>
      <w:r w:rsidRPr="003E6199">
        <w:rPr>
          <w:rFonts w:ascii="Arial" w:hAnsi="Arial" w:cs="Arial"/>
          <w:sz w:val="19"/>
          <w:szCs w:val="19"/>
          <w:lang w:val="es-CO"/>
        </w:rPr>
        <w:t>.</w:t>
      </w:r>
    </w:p>
    <w:p w:rsidRPr="00E00143" w:rsidR="00803500" w:rsidP="00133BA4" w:rsidRDefault="00803500" w14:paraId="37D3EC3B" w14:textId="77777777">
      <w:pPr>
        <w:pStyle w:val="Textonotapie"/>
        <w:ind w:firstLine="709"/>
        <w:jc w:val="both"/>
        <w:rPr>
          <w:rFonts w:ascii="Arial" w:hAnsi="Arial" w:cs="Arial"/>
          <w:sz w:val="19"/>
          <w:szCs w:val="19"/>
          <w:lang w:val="es-CO"/>
        </w:rPr>
      </w:pPr>
    </w:p>
  </w:footnote>
  <w:footnote w:id="18">
    <w:p w:rsidRPr="00420A2F" w:rsidR="00803500" w:rsidP="00133BA4" w:rsidRDefault="00891858" w14:paraId="6E7511F0" w14:textId="77777777">
      <w:pPr>
        <w:pStyle w:val="Textonotapie"/>
        <w:ind w:firstLine="709"/>
        <w:jc w:val="both"/>
        <w:rPr>
          <w:rFonts w:ascii="Arial" w:hAnsi="Arial" w:cs="Arial"/>
          <w:sz w:val="19"/>
          <w:szCs w:val="19"/>
          <w:lang w:val="es-CO"/>
        </w:rPr>
      </w:pPr>
      <w:r w:rsidRPr="00E00143">
        <w:rPr>
          <w:rStyle w:val="Refdenotaalpie"/>
          <w:rFonts w:ascii="Arial" w:hAnsi="Arial" w:cs="Arial"/>
          <w:sz w:val="19"/>
          <w:szCs w:val="19"/>
        </w:rPr>
        <w:footnoteRef/>
      </w:r>
      <w:r w:rsidRPr="00E00143">
        <w:rPr>
          <w:rFonts w:ascii="Arial" w:hAnsi="Arial" w:cs="Arial"/>
          <w:sz w:val="19"/>
          <w:szCs w:val="19"/>
        </w:rPr>
        <w:t xml:space="preserve"> </w:t>
      </w:r>
      <w:r w:rsidRPr="00420A2F">
        <w:rPr>
          <w:rFonts w:ascii="Arial" w:hAnsi="Arial" w:cs="Arial"/>
          <w:sz w:val="19"/>
          <w:szCs w:val="19"/>
          <w:lang w:val="es-CO"/>
        </w:rPr>
        <w:t>Consejo de Estado, Sección Tercera, Sentencia del 29 de agosto de 2012, Rad. (21077) C.P.</w:t>
      </w:r>
    </w:p>
    <w:p w:rsidRPr="003E6199" w:rsidR="00891858" w:rsidP="00133BA4" w:rsidRDefault="00891858" w14:paraId="1E249F7A" w14:textId="1C3E0C57">
      <w:pPr>
        <w:pStyle w:val="Textonotapie"/>
        <w:ind w:firstLine="709"/>
        <w:jc w:val="both"/>
        <w:rPr>
          <w:rFonts w:ascii="Arial" w:hAnsi="Arial" w:cs="Arial"/>
          <w:sz w:val="19"/>
          <w:szCs w:val="19"/>
          <w:lang w:val="es-CO"/>
        </w:rPr>
      </w:pPr>
      <w:r w:rsidRPr="00420A2F">
        <w:rPr>
          <w:rFonts w:ascii="Arial" w:hAnsi="Arial" w:cs="Arial"/>
          <w:sz w:val="19"/>
          <w:szCs w:val="19"/>
          <w:lang w:val="es-CO"/>
        </w:rPr>
        <w:t xml:space="preserve">Danilo Rojas </w:t>
      </w:r>
      <w:r w:rsidRPr="003E6199">
        <w:rPr>
          <w:rFonts w:ascii="Arial" w:hAnsi="Arial" w:cs="Arial"/>
          <w:sz w:val="19"/>
          <w:szCs w:val="19"/>
          <w:lang w:val="es-CO"/>
        </w:rPr>
        <w:t>Betancourth</w:t>
      </w:r>
      <w:r w:rsidRPr="003E6199" w:rsidR="00803500">
        <w:rPr>
          <w:rFonts w:ascii="Arial" w:hAnsi="Arial" w:cs="Arial"/>
          <w:sz w:val="19"/>
          <w:szCs w:val="19"/>
          <w:lang w:val="es-CO"/>
        </w:rPr>
        <w:t>.</w:t>
      </w:r>
    </w:p>
    <w:p w:rsidRPr="00E00143" w:rsidR="00891858" w:rsidP="00133BA4" w:rsidRDefault="00891858" w14:paraId="76601C9E" w14:textId="7E06CD07">
      <w:pPr>
        <w:pStyle w:val="Textonotapie"/>
        <w:ind w:firstLine="709"/>
        <w:jc w:val="both"/>
        <w:rPr>
          <w:rFonts w:ascii="Arial" w:hAnsi="Arial" w:cs="Arial"/>
          <w:sz w:val="19"/>
          <w:szCs w:val="19"/>
          <w:lang w:val="es-ES"/>
        </w:rPr>
      </w:pPr>
    </w:p>
  </w:footnote>
  <w:footnote w:id="19">
    <w:p w:rsidRPr="00420A2F" w:rsidR="00891858" w:rsidP="00133BA4" w:rsidRDefault="00891858" w14:paraId="3C603370" w14:textId="11FF56C2">
      <w:pPr>
        <w:pStyle w:val="Textonotapie"/>
        <w:ind w:firstLine="709"/>
        <w:jc w:val="both"/>
        <w:rPr>
          <w:sz w:val="19"/>
          <w:szCs w:val="19"/>
          <w:lang w:val="es-ES"/>
        </w:rPr>
      </w:pPr>
      <w:r w:rsidRPr="00E00143">
        <w:rPr>
          <w:rStyle w:val="Refdenotaalpie"/>
          <w:rFonts w:ascii="Arial" w:hAnsi="Arial" w:cs="Arial"/>
          <w:sz w:val="19"/>
          <w:szCs w:val="19"/>
        </w:rPr>
        <w:footnoteRef/>
      </w:r>
      <w:r w:rsidRPr="00E00143">
        <w:rPr>
          <w:rFonts w:ascii="Arial" w:hAnsi="Arial" w:cs="Arial"/>
          <w:sz w:val="19"/>
          <w:szCs w:val="19"/>
        </w:rPr>
        <w:t xml:space="preserve"> Corte Constitucional, Sentencia C-569 de 2000, M.P. Carlos Gaviria Diaz.</w:t>
      </w:r>
      <w:r w:rsidRPr="00420A2F">
        <w:rPr>
          <w:sz w:val="19"/>
          <w:szCs w:val="19"/>
        </w:rPr>
        <w:t xml:space="preserve"> </w:t>
      </w:r>
    </w:p>
  </w:footnote>
  <w:footnote w:id="20">
    <w:p w:rsidRPr="00E00143" w:rsidR="008268B0" w:rsidP="00133BA4" w:rsidRDefault="008268B0" w14:paraId="0256D09A" w14:textId="06DCD3C8">
      <w:pPr>
        <w:pStyle w:val="Textonotapie"/>
        <w:ind w:firstLine="709"/>
        <w:jc w:val="both"/>
        <w:rPr>
          <w:rFonts w:ascii="Arial" w:hAnsi="Arial" w:cs="Arial"/>
          <w:sz w:val="19"/>
          <w:szCs w:val="19"/>
          <w:lang w:val="es-CO"/>
        </w:rPr>
      </w:pPr>
      <w:r w:rsidRPr="00420A2F">
        <w:rPr>
          <w:rStyle w:val="Refdenotaalpie"/>
          <w:rFonts w:ascii="Arial" w:hAnsi="Arial" w:cs="Arial"/>
          <w:sz w:val="19"/>
          <w:szCs w:val="19"/>
        </w:rPr>
        <w:footnoteRef/>
      </w:r>
      <w:r w:rsidRPr="00420A2F">
        <w:rPr>
          <w:rFonts w:ascii="Arial" w:hAnsi="Arial" w:cs="Arial"/>
          <w:sz w:val="19"/>
          <w:szCs w:val="19"/>
        </w:rPr>
        <w:t xml:space="preserve"> </w:t>
      </w:r>
      <w:r w:rsidRPr="004A23C0">
        <w:rPr>
          <w:rFonts w:ascii="Arial" w:hAnsi="Arial" w:cs="Arial"/>
          <w:sz w:val="19"/>
          <w:szCs w:val="19"/>
          <w:lang w:val="es-ES"/>
        </w:rPr>
        <w:t xml:space="preserve">Sobre el orden jerárquico del ordenamiento jurídico colombiano véanse las sentencias: </w:t>
      </w:r>
      <w:r w:rsidRPr="00C82781">
        <w:rPr>
          <w:rFonts w:ascii="Arial" w:hAnsi="Arial" w:cs="Arial"/>
          <w:sz w:val="19"/>
          <w:szCs w:val="19"/>
          <w:lang w:val="es-CO"/>
        </w:rPr>
        <w:t>Corte</w:t>
      </w:r>
      <w:r w:rsidR="000341DE">
        <w:rPr>
          <w:rFonts w:ascii="Arial" w:hAnsi="Arial" w:cs="Arial"/>
          <w:sz w:val="19"/>
          <w:szCs w:val="19"/>
          <w:lang w:val="es-CO"/>
        </w:rPr>
        <w:t xml:space="preserve"> </w:t>
      </w:r>
      <w:r w:rsidRPr="00E00143">
        <w:rPr>
          <w:rFonts w:ascii="Arial" w:hAnsi="Arial" w:cs="Arial"/>
          <w:sz w:val="19"/>
          <w:szCs w:val="19"/>
          <w:lang w:val="es-CO"/>
        </w:rPr>
        <w:t>Constitucional, Sentencia C-037 de 2000, M.P. Vladimiro Naranjo Mesa; Consejo de Estado, Sección Tercera, Sentencia del 14 de agosto de 2008, Rad. (16230), C.P. Mauricio Fajardo Gómez.</w:t>
      </w:r>
    </w:p>
    <w:p w:rsidRPr="00E00143" w:rsidR="008268B0" w:rsidP="00133BA4" w:rsidRDefault="008268B0" w14:paraId="578D52B3" w14:textId="77777777">
      <w:pPr>
        <w:pStyle w:val="Textonotapie"/>
        <w:ind w:firstLine="709"/>
        <w:jc w:val="both"/>
        <w:rPr>
          <w:rFonts w:ascii="Arial" w:hAnsi="Arial" w:cs="Arial"/>
          <w:sz w:val="19"/>
          <w:szCs w:val="19"/>
          <w:lang w:val="es-CO"/>
        </w:rPr>
      </w:pPr>
    </w:p>
    <w:p w:rsidRPr="00E00143" w:rsidR="008268B0" w:rsidP="00133BA4" w:rsidRDefault="008268B0" w14:paraId="63AA840E" w14:textId="77777777">
      <w:pPr>
        <w:pStyle w:val="Textonotapie"/>
        <w:ind w:firstLine="709"/>
        <w:jc w:val="both"/>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891858" w:rsidRDefault="00891858" w14:paraId="1BE98637" w14:textId="77777777">
    <w:pPr>
      <w:pStyle w:val="Encabezado"/>
    </w:pPr>
    <w:r>
      <w:rPr>
        <w:noProof/>
        <w:lang w:val="en-US"/>
      </w:rPr>
      <w:drawing>
        <wp:anchor distT="0" distB="0" distL="114300" distR="114300" simplePos="0" relativeHeight="251659264" behindDoc="1" locked="0" layoutInCell="1" allowOverlap="1" wp14:anchorId="683F734A" wp14:editId="6536D205">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3019DF5D">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06310"/>
    <w:multiLevelType w:val="multilevel"/>
    <w:tmpl w:val="FD4A8BFA"/>
    <w:lvl w:ilvl="0">
      <w:start w:val="1"/>
      <w:numFmt w:val="decimal"/>
      <w:lvlText w:val="%1."/>
      <w:lvlJc w:val="left"/>
      <w:pPr>
        <w:ind w:left="360" w:hanging="360"/>
      </w:pPr>
      <w:rPr>
        <w:b/>
        <w:color w:val="auto"/>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6AA1B77"/>
    <w:multiLevelType w:val="multilevel"/>
    <w:tmpl w:val="7F1CC020"/>
    <w:lvl w:ilvl="0" w:tplc="414EC74A">
      <w:start w:val="1"/>
      <w:numFmt w:val="decimal"/>
      <w:lvlText w:val="%1)"/>
      <w:lvlJc w:val="left"/>
      <w:pPr>
        <w:ind w:left="720" w:hanging="360"/>
      </w:pPr>
      <w:rPr>
        <w:rFonts w:hint="default" w:ascii="Arial" w:hAnsi="Arial" w:cs="Arial"/>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384E433F"/>
    <w:multiLevelType w:val="hybridMultilevel"/>
    <w:tmpl w:val="5D48311E"/>
    <w:lvl w:ilvl="0" w:tplc="92ECECC8">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7C"/>
    <w:rsid w:val="00010D30"/>
    <w:rsid w:val="00015237"/>
    <w:rsid w:val="0003091B"/>
    <w:rsid w:val="000333A2"/>
    <w:rsid w:val="000341DE"/>
    <w:rsid w:val="0003551D"/>
    <w:rsid w:val="00037F2D"/>
    <w:rsid w:val="00040001"/>
    <w:rsid w:val="00040D6E"/>
    <w:rsid w:val="0004238A"/>
    <w:rsid w:val="00042C0C"/>
    <w:rsid w:val="00044FF2"/>
    <w:rsid w:val="00061EE4"/>
    <w:rsid w:val="00062B0D"/>
    <w:rsid w:val="000815F0"/>
    <w:rsid w:val="000828A0"/>
    <w:rsid w:val="00086A16"/>
    <w:rsid w:val="0009255F"/>
    <w:rsid w:val="000940D2"/>
    <w:rsid w:val="00097CD6"/>
    <w:rsid w:val="000A1DBA"/>
    <w:rsid w:val="000A6338"/>
    <w:rsid w:val="000C0E39"/>
    <w:rsid w:val="000D088F"/>
    <w:rsid w:val="000D1FBF"/>
    <w:rsid w:val="000D536A"/>
    <w:rsid w:val="000E0310"/>
    <w:rsid w:val="000E13C9"/>
    <w:rsid w:val="000E6867"/>
    <w:rsid w:val="001013D1"/>
    <w:rsid w:val="00107607"/>
    <w:rsid w:val="00112597"/>
    <w:rsid w:val="001235FB"/>
    <w:rsid w:val="0013190B"/>
    <w:rsid w:val="001321AB"/>
    <w:rsid w:val="00133BA4"/>
    <w:rsid w:val="00136A6B"/>
    <w:rsid w:val="00140E57"/>
    <w:rsid w:val="00141601"/>
    <w:rsid w:val="00141C64"/>
    <w:rsid w:val="001430E5"/>
    <w:rsid w:val="0014462B"/>
    <w:rsid w:val="00144F90"/>
    <w:rsid w:val="001567C0"/>
    <w:rsid w:val="001611D8"/>
    <w:rsid w:val="00164E79"/>
    <w:rsid w:val="00165194"/>
    <w:rsid w:val="00171BAE"/>
    <w:rsid w:val="00176036"/>
    <w:rsid w:val="0017603D"/>
    <w:rsid w:val="0018163D"/>
    <w:rsid w:val="0018164F"/>
    <w:rsid w:val="00181A3E"/>
    <w:rsid w:val="001830F9"/>
    <w:rsid w:val="0018328B"/>
    <w:rsid w:val="00184163"/>
    <w:rsid w:val="00194C50"/>
    <w:rsid w:val="001C6430"/>
    <w:rsid w:val="001D38A8"/>
    <w:rsid w:val="001E5DBB"/>
    <w:rsid w:val="001F1051"/>
    <w:rsid w:val="001F28E6"/>
    <w:rsid w:val="001F34A8"/>
    <w:rsid w:val="001F3B5C"/>
    <w:rsid w:val="001F6346"/>
    <w:rsid w:val="002034AD"/>
    <w:rsid w:val="002239B4"/>
    <w:rsid w:val="00231752"/>
    <w:rsid w:val="0023611D"/>
    <w:rsid w:val="00241F32"/>
    <w:rsid w:val="00242E58"/>
    <w:rsid w:val="00260AB5"/>
    <w:rsid w:val="00265031"/>
    <w:rsid w:val="00266105"/>
    <w:rsid w:val="00266277"/>
    <w:rsid w:val="002841BF"/>
    <w:rsid w:val="00284C12"/>
    <w:rsid w:val="00286834"/>
    <w:rsid w:val="0029763B"/>
    <w:rsid w:val="002A6FE3"/>
    <w:rsid w:val="002A76AF"/>
    <w:rsid w:val="002B282F"/>
    <w:rsid w:val="002B35D7"/>
    <w:rsid w:val="002B4B30"/>
    <w:rsid w:val="002C3ACC"/>
    <w:rsid w:val="002D5757"/>
    <w:rsid w:val="002E393E"/>
    <w:rsid w:val="002E7BC2"/>
    <w:rsid w:val="002F63BB"/>
    <w:rsid w:val="00302F9F"/>
    <w:rsid w:val="00304386"/>
    <w:rsid w:val="003222DE"/>
    <w:rsid w:val="00326995"/>
    <w:rsid w:val="003401FE"/>
    <w:rsid w:val="00351745"/>
    <w:rsid w:val="00353541"/>
    <w:rsid w:val="00356FCF"/>
    <w:rsid w:val="003571E4"/>
    <w:rsid w:val="00360504"/>
    <w:rsid w:val="00390DCF"/>
    <w:rsid w:val="00391F16"/>
    <w:rsid w:val="00397CCB"/>
    <w:rsid w:val="003A2944"/>
    <w:rsid w:val="003B0DEF"/>
    <w:rsid w:val="003C2074"/>
    <w:rsid w:val="003C3ADB"/>
    <w:rsid w:val="003D11B5"/>
    <w:rsid w:val="003D134C"/>
    <w:rsid w:val="003D175E"/>
    <w:rsid w:val="003D4D18"/>
    <w:rsid w:val="003D69A5"/>
    <w:rsid w:val="003E14F9"/>
    <w:rsid w:val="003E6199"/>
    <w:rsid w:val="003F3119"/>
    <w:rsid w:val="003F3A0C"/>
    <w:rsid w:val="003F3AFA"/>
    <w:rsid w:val="00400868"/>
    <w:rsid w:val="004100D9"/>
    <w:rsid w:val="00420A2F"/>
    <w:rsid w:val="00427818"/>
    <w:rsid w:val="00430B5A"/>
    <w:rsid w:val="00432E73"/>
    <w:rsid w:val="0044207D"/>
    <w:rsid w:val="004423A9"/>
    <w:rsid w:val="00447FE5"/>
    <w:rsid w:val="0045479F"/>
    <w:rsid w:val="004617B8"/>
    <w:rsid w:val="00461D5B"/>
    <w:rsid w:val="004758FE"/>
    <w:rsid w:val="00475D4D"/>
    <w:rsid w:val="004763A4"/>
    <w:rsid w:val="004830C8"/>
    <w:rsid w:val="004837AB"/>
    <w:rsid w:val="00483A2F"/>
    <w:rsid w:val="004A2086"/>
    <w:rsid w:val="004A23C0"/>
    <w:rsid w:val="004A32A4"/>
    <w:rsid w:val="004A6EE1"/>
    <w:rsid w:val="004B1BEE"/>
    <w:rsid w:val="004B5149"/>
    <w:rsid w:val="004C203A"/>
    <w:rsid w:val="004C5A8A"/>
    <w:rsid w:val="004C674E"/>
    <w:rsid w:val="004C6E06"/>
    <w:rsid w:val="004E370E"/>
    <w:rsid w:val="004F0331"/>
    <w:rsid w:val="004F1636"/>
    <w:rsid w:val="004F4387"/>
    <w:rsid w:val="00510BF5"/>
    <w:rsid w:val="00521252"/>
    <w:rsid w:val="00521BA7"/>
    <w:rsid w:val="005252E2"/>
    <w:rsid w:val="005301CC"/>
    <w:rsid w:val="00535E7D"/>
    <w:rsid w:val="00543283"/>
    <w:rsid w:val="005511D5"/>
    <w:rsid w:val="00557A51"/>
    <w:rsid w:val="005608B8"/>
    <w:rsid w:val="00572301"/>
    <w:rsid w:val="005777C2"/>
    <w:rsid w:val="00585FB5"/>
    <w:rsid w:val="00591586"/>
    <w:rsid w:val="005B3880"/>
    <w:rsid w:val="005C240F"/>
    <w:rsid w:val="005C7CC4"/>
    <w:rsid w:val="005E7E6E"/>
    <w:rsid w:val="005F3171"/>
    <w:rsid w:val="005F5D19"/>
    <w:rsid w:val="005F6CBF"/>
    <w:rsid w:val="006135E6"/>
    <w:rsid w:val="00632EA5"/>
    <w:rsid w:val="006332A8"/>
    <w:rsid w:val="00644F10"/>
    <w:rsid w:val="0065701C"/>
    <w:rsid w:val="00664C10"/>
    <w:rsid w:val="00670142"/>
    <w:rsid w:val="00672093"/>
    <w:rsid w:val="006818B6"/>
    <w:rsid w:val="006824B8"/>
    <w:rsid w:val="006841A3"/>
    <w:rsid w:val="006903F8"/>
    <w:rsid w:val="00692292"/>
    <w:rsid w:val="00693BF8"/>
    <w:rsid w:val="006A7743"/>
    <w:rsid w:val="006B1910"/>
    <w:rsid w:val="006B6C6A"/>
    <w:rsid w:val="006C234F"/>
    <w:rsid w:val="006C5955"/>
    <w:rsid w:val="006D7A8D"/>
    <w:rsid w:val="006E2C27"/>
    <w:rsid w:val="006E34FC"/>
    <w:rsid w:val="006F233F"/>
    <w:rsid w:val="006F39D0"/>
    <w:rsid w:val="006F6269"/>
    <w:rsid w:val="006F7746"/>
    <w:rsid w:val="00710460"/>
    <w:rsid w:val="00711157"/>
    <w:rsid w:val="00716A74"/>
    <w:rsid w:val="0072397A"/>
    <w:rsid w:val="00723AB9"/>
    <w:rsid w:val="0072792D"/>
    <w:rsid w:val="00736C89"/>
    <w:rsid w:val="00736F78"/>
    <w:rsid w:val="00745744"/>
    <w:rsid w:val="0075032A"/>
    <w:rsid w:val="007672D5"/>
    <w:rsid w:val="00771C3B"/>
    <w:rsid w:val="00772497"/>
    <w:rsid w:val="007815FD"/>
    <w:rsid w:val="00784E5B"/>
    <w:rsid w:val="00791377"/>
    <w:rsid w:val="007B4DFC"/>
    <w:rsid w:val="007C1102"/>
    <w:rsid w:val="007C68FC"/>
    <w:rsid w:val="007D48ED"/>
    <w:rsid w:val="007D62C7"/>
    <w:rsid w:val="007E3606"/>
    <w:rsid w:val="007F2DB3"/>
    <w:rsid w:val="007F428D"/>
    <w:rsid w:val="007F7AC6"/>
    <w:rsid w:val="00803061"/>
    <w:rsid w:val="00803500"/>
    <w:rsid w:val="0080376F"/>
    <w:rsid w:val="00803D6A"/>
    <w:rsid w:val="008040FB"/>
    <w:rsid w:val="008043CA"/>
    <w:rsid w:val="00807EEE"/>
    <w:rsid w:val="0081218A"/>
    <w:rsid w:val="00812B60"/>
    <w:rsid w:val="00813893"/>
    <w:rsid w:val="00816ED3"/>
    <w:rsid w:val="0082266E"/>
    <w:rsid w:val="00824361"/>
    <w:rsid w:val="008268B0"/>
    <w:rsid w:val="008327EE"/>
    <w:rsid w:val="00842927"/>
    <w:rsid w:val="00842E74"/>
    <w:rsid w:val="00843BE5"/>
    <w:rsid w:val="00850842"/>
    <w:rsid w:val="008512E9"/>
    <w:rsid w:val="008532A7"/>
    <w:rsid w:val="00863DD9"/>
    <w:rsid w:val="00866446"/>
    <w:rsid w:val="00866DC0"/>
    <w:rsid w:val="0086741B"/>
    <w:rsid w:val="00882ABB"/>
    <w:rsid w:val="008843DA"/>
    <w:rsid w:val="00886F29"/>
    <w:rsid w:val="00887595"/>
    <w:rsid w:val="0088770C"/>
    <w:rsid w:val="00890AC0"/>
    <w:rsid w:val="00891858"/>
    <w:rsid w:val="008A0633"/>
    <w:rsid w:val="008A35B6"/>
    <w:rsid w:val="008A53F2"/>
    <w:rsid w:val="008B1879"/>
    <w:rsid w:val="008C24B6"/>
    <w:rsid w:val="008C26B7"/>
    <w:rsid w:val="008C487C"/>
    <w:rsid w:val="008C4C28"/>
    <w:rsid w:val="008C7118"/>
    <w:rsid w:val="008E0FCC"/>
    <w:rsid w:val="008E2FE3"/>
    <w:rsid w:val="008E4F25"/>
    <w:rsid w:val="008E5F34"/>
    <w:rsid w:val="008F2267"/>
    <w:rsid w:val="009231E0"/>
    <w:rsid w:val="00941B20"/>
    <w:rsid w:val="0094508D"/>
    <w:rsid w:val="00947403"/>
    <w:rsid w:val="00947D39"/>
    <w:rsid w:val="009506A7"/>
    <w:rsid w:val="00951464"/>
    <w:rsid w:val="00952603"/>
    <w:rsid w:val="0095728F"/>
    <w:rsid w:val="0096665A"/>
    <w:rsid w:val="00967230"/>
    <w:rsid w:val="00972C13"/>
    <w:rsid w:val="00973752"/>
    <w:rsid w:val="00980C42"/>
    <w:rsid w:val="009812D7"/>
    <w:rsid w:val="009831E2"/>
    <w:rsid w:val="009920CA"/>
    <w:rsid w:val="00997D78"/>
    <w:rsid w:val="009A5714"/>
    <w:rsid w:val="009A5DA7"/>
    <w:rsid w:val="009B1AEC"/>
    <w:rsid w:val="009B6CFE"/>
    <w:rsid w:val="009C4BC4"/>
    <w:rsid w:val="009D1D57"/>
    <w:rsid w:val="009E2544"/>
    <w:rsid w:val="009E2770"/>
    <w:rsid w:val="009F2261"/>
    <w:rsid w:val="009F3537"/>
    <w:rsid w:val="00A02472"/>
    <w:rsid w:val="00A25657"/>
    <w:rsid w:val="00A25BCC"/>
    <w:rsid w:val="00A3111E"/>
    <w:rsid w:val="00A329B6"/>
    <w:rsid w:val="00A367A1"/>
    <w:rsid w:val="00A42971"/>
    <w:rsid w:val="00A47E7B"/>
    <w:rsid w:val="00A510F6"/>
    <w:rsid w:val="00A6470C"/>
    <w:rsid w:val="00A71CA6"/>
    <w:rsid w:val="00A75568"/>
    <w:rsid w:val="00A83829"/>
    <w:rsid w:val="00A903C4"/>
    <w:rsid w:val="00A9256A"/>
    <w:rsid w:val="00A92AF6"/>
    <w:rsid w:val="00A95100"/>
    <w:rsid w:val="00A96160"/>
    <w:rsid w:val="00A96BDF"/>
    <w:rsid w:val="00AA615B"/>
    <w:rsid w:val="00AA7ABA"/>
    <w:rsid w:val="00AB1FB9"/>
    <w:rsid w:val="00AB6A57"/>
    <w:rsid w:val="00AC0C81"/>
    <w:rsid w:val="00AE3AE4"/>
    <w:rsid w:val="00AE668A"/>
    <w:rsid w:val="00AE6858"/>
    <w:rsid w:val="00AF05A8"/>
    <w:rsid w:val="00AF5C62"/>
    <w:rsid w:val="00AF624C"/>
    <w:rsid w:val="00AF7270"/>
    <w:rsid w:val="00B00AA2"/>
    <w:rsid w:val="00B07870"/>
    <w:rsid w:val="00B16773"/>
    <w:rsid w:val="00B17BC5"/>
    <w:rsid w:val="00B2158C"/>
    <w:rsid w:val="00B24E3F"/>
    <w:rsid w:val="00B24E57"/>
    <w:rsid w:val="00B27080"/>
    <w:rsid w:val="00B3420E"/>
    <w:rsid w:val="00B43557"/>
    <w:rsid w:val="00B46D66"/>
    <w:rsid w:val="00B5123E"/>
    <w:rsid w:val="00B522C4"/>
    <w:rsid w:val="00B52B0E"/>
    <w:rsid w:val="00B5337D"/>
    <w:rsid w:val="00B60BE3"/>
    <w:rsid w:val="00B65290"/>
    <w:rsid w:val="00B70E26"/>
    <w:rsid w:val="00B71E17"/>
    <w:rsid w:val="00B86B24"/>
    <w:rsid w:val="00B91A95"/>
    <w:rsid w:val="00B97D95"/>
    <w:rsid w:val="00BA7E78"/>
    <w:rsid w:val="00BB0EA7"/>
    <w:rsid w:val="00BB379B"/>
    <w:rsid w:val="00BB59F9"/>
    <w:rsid w:val="00BB7ADE"/>
    <w:rsid w:val="00BC15B8"/>
    <w:rsid w:val="00BC2649"/>
    <w:rsid w:val="00BC5279"/>
    <w:rsid w:val="00BC6C4E"/>
    <w:rsid w:val="00BD58A7"/>
    <w:rsid w:val="00BE2AD3"/>
    <w:rsid w:val="00BE36F7"/>
    <w:rsid w:val="00BE6B1A"/>
    <w:rsid w:val="00BF2443"/>
    <w:rsid w:val="00BF47E8"/>
    <w:rsid w:val="00C00A1C"/>
    <w:rsid w:val="00C07803"/>
    <w:rsid w:val="00C116A2"/>
    <w:rsid w:val="00C12201"/>
    <w:rsid w:val="00C1405A"/>
    <w:rsid w:val="00C20599"/>
    <w:rsid w:val="00C25C12"/>
    <w:rsid w:val="00C50B1B"/>
    <w:rsid w:val="00C52801"/>
    <w:rsid w:val="00C6210F"/>
    <w:rsid w:val="00C72F1E"/>
    <w:rsid w:val="00C73D42"/>
    <w:rsid w:val="00C745C6"/>
    <w:rsid w:val="00C82781"/>
    <w:rsid w:val="00C9021F"/>
    <w:rsid w:val="00C908AB"/>
    <w:rsid w:val="00C964DE"/>
    <w:rsid w:val="00CA5790"/>
    <w:rsid w:val="00CA634C"/>
    <w:rsid w:val="00CB2674"/>
    <w:rsid w:val="00CB646F"/>
    <w:rsid w:val="00CD2837"/>
    <w:rsid w:val="00CE013C"/>
    <w:rsid w:val="00CF326B"/>
    <w:rsid w:val="00D0763E"/>
    <w:rsid w:val="00D21AA9"/>
    <w:rsid w:val="00D24682"/>
    <w:rsid w:val="00D24F06"/>
    <w:rsid w:val="00D25AEF"/>
    <w:rsid w:val="00D2612A"/>
    <w:rsid w:val="00D26969"/>
    <w:rsid w:val="00D31384"/>
    <w:rsid w:val="00D33C8B"/>
    <w:rsid w:val="00D349EE"/>
    <w:rsid w:val="00D34D49"/>
    <w:rsid w:val="00D37F0C"/>
    <w:rsid w:val="00D56D47"/>
    <w:rsid w:val="00D63D6B"/>
    <w:rsid w:val="00D70FB4"/>
    <w:rsid w:val="00D815C1"/>
    <w:rsid w:val="00D83A89"/>
    <w:rsid w:val="00D85C85"/>
    <w:rsid w:val="00D91FD1"/>
    <w:rsid w:val="00D92F6C"/>
    <w:rsid w:val="00D95879"/>
    <w:rsid w:val="00D97A6B"/>
    <w:rsid w:val="00DA2FA3"/>
    <w:rsid w:val="00DB751D"/>
    <w:rsid w:val="00DC679E"/>
    <w:rsid w:val="00DD0E98"/>
    <w:rsid w:val="00DE1EF6"/>
    <w:rsid w:val="00DE64DE"/>
    <w:rsid w:val="00DE6C0A"/>
    <w:rsid w:val="00DE7AB4"/>
    <w:rsid w:val="00DF3260"/>
    <w:rsid w:val="00DF4D86"/>
    <w:rsid w:val="00E00143"/>
    <w:rsid w:val="00E01D84"/>
    <w:rsid w:val="00E137BB"/>
    <w:rsid w:val="00E16395"/>
    <w:rsid w:val="00E16E9E"/>
    <w:rsid w:val="00E20ED6"/>
    <w:rsid w:val="00E2175B"/>
    <w:rsid w:val="00E3199C"/>
    <w:rsid w:val="00E43407"/>
    <w:rsid w:val="00E457EC"/>
    <w:rsid w:val="00E63883"/>
    <w:rsid w:val="00E64988"/>
    <w:rsid w:val="00E64A38"/>
    <w:rsid w:val="00E71260"/>
    <w:rsid w:val="00E72F13"/>
    <w:rsid w:val="00E756AC"/>
    <w:rsid w:val="00E8381A"/>
    <w:rsid w:val="00E846E2"/>
    <w:rsid w:val="00E87596"/>
    <w:rsid w:val="00E875C5"/>
    <w:rsid w:val="00E87794"/>
    <w:rsid w:val="00E91499"/>
    <w:rsid w:val="00E96422"/>
    <w:rsid w:val="00EA5A59"/>
    <w:rsid w:val="00EB071E"/>
    <w:rsid w:val="00EB3D8F"/>
    <w:rsid w:val="00EF03DF"/>
    <w:rsid w:val="00EF05E3"/>
    <w:rsid w:val="00EF2CA6"/>
    <w:rsid w:val="00EF2E91"/>
    <w:rsid w:val="00F00AB8"/>
    <w:rsid w:val="00F10D30"/>
    <w:rsid w:val="00F10EA7"/>
    <w:rsid w:val="00F117B1"/>
    <w:rsid w:val="00F134F9"/>
    <w:rsid w:val="00F15D18"/>
    <w:rsid w:val="00F24C62"/>
    <w:rsid w:val="00F31C1C"/>
    <w:rsid w:val="00F34138"/>
    <w:rsid w:val="00F37151"/>
    <w:rsid w:val="00F43B73"/>
    <w:rsid w:val="00F47FCE"/>
    <w:rsid w:val="00F501D2"/>
    <w:rsid w:val="00F5266F"/>
    <w:rsid w:val="00F56447"/>
    <w:rsid w:val="00F64055"/>
    <w:rsid w:val="00F710C6"/>
    <w:rsid w:val="00F7234C"/>
    <w:rsid w:val="00F83457"/>
    <w:rsid w:val="00F84FFB"/>
    <w:rsid w:val="00FA5F70"/>
    <w:rsid w:val="00FB2D4A"/>
    <w:rsid w:val="00FC71D0"/>
    <w:rsid w:val="00FD15DE"/>
    <w:rsid w:val="00FF4325"/>
    <w:rsid w:val="00FF7792"/>
    <w:rsid w:val="10B19A5D"/>
    <w:rsid w:val="132EF847"/>
    <w:rsid w:val="16679C9D"/>
    <w:rsid w:val="17E6D48C"/>
    <w:rsid w:val="1A8CC92F"/>
    <w:rsid w:val="1ED3A5A5"/>
    <w:rsid w:val="3019DF5D"/>
    <w:rsid w:val="33DD51EB"/>
    <w:rsid w:val="3B5D1034"/>
    <w:rsid w:val="427B2D74"/>
    <w:rsid w:val="428B82DD"/>
    <w:rsid w:val="4FAAE9DD"/>
    <w:rsid w:val="5164229D"/>
    <w:rsid w:val="63F1FC9A"/>
    <w:rsid w:val="6925986E"/>
    <w:rsid w:val="6AB4D81C"/>
    <w:rsid w:val="73BB0A73"/>
    <w:rsid w:val="73F24C71"/>
    <w:rsid w:val="74BB4436"/>
    <w:rsid w:val="74D45754"/>
    <w:rsid w:val="785D7A4B"/>
    <w:rsid w:val="7DE4BB77"/>
    <w:rsid w:val="7F8702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0F1F1"/>
  <w15:chartTrackingRefBased/>
  <w15:docId w15:val="{BC932481-D884-4528-9B02-C5C5F77CC3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C487C"/>
    <w:pPr>
      <w:spacing w:after="0" w:line="240" w:lineRule="auto"/>
    </w:pPr>
    <w:rPr>
      <w:sz w:val="24"/>
      <w:lang w:val="es-MX"/>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Piedepgina">
    <w:name w:val="footer"/>
    <w:basedOn w:val="Normal"/>
    <w:link w:val="PiedepginaCar"/>
    <w:uiPriority w:val="99"/>
    <w:unhideWhenUsed/>
    <w:rsid w:val="008C487C"/>
    <w:pPr>
      <w:tabs>
        <w:tab w:val="center" w:pos="4419"/>
        <w:tab w:val="right" w:pos="8838"/>
      </w:tabs>
    </w:pPr>
  </w:style>
  <w:style w:type="character" w:styleId="PiedepginaCar" w:customStyle="1">
    <w:name w:val="Pie de página Car"/>
    <w:basedOn w:val="Fuentedeprrafopredeter"/>
    <w:link w:val="Piedepgina"/>
    <w:uiPriority w:val="99"/>
    <w:rsid w:val="008C487C"/>
    <w:rPr>
      <w:sz w:val="24"/>
      <w:lang w:val="es-MX"/>
    </w:rPr>
  </w:style>
  <w:style w:type="paragraph" w:styleId="Encabezado">
    <w:name w:val="header"/>
    <w:basedOn w:val="Normal"/>
    <w:link w:val="EncabezadoCar"/>
    <w:uiPriority w:val="99"/>
    <w:unhideWhenUsed/>
    <w:rsid w:val="008C487C"/>
    <w:pPr>
      <w:tabs>
        <w:tab w:val="center" w:pos="4252"/>
        <w:tab w:val="right" w:pos="8504"/>
      </w:tabs>
    </w:pPr>
  </w:style>
  <w:style w:type="character" w:styleId="EncabezadoCar" w:customStyle="1">
    <w:name w:val="Encabezado Car"/>
    <w:basedOn w:val="Fuentedeprrafopredeter"/>
    <w:link w:val="Encabezado"/>
    <w:uiPriority w:val="99"/>
    <w:rsid w:val="008C487C"/>
    <w:rPr>
      <w:sz w:val="24"/>
      <w:lang w:val="es-MX"/>
    </w:rPr>
  </w:style>
  <w:style w:type="table" w:styleId="Tablaconcuadrcula">
    <w:name w:val="Table Grid"/>
    <w:basedOn w:val="Tablanormal"/>
    <w:uiPriority w:val="39"/>
    <w:rsid w:val="008C487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
    <w:basedOn w:val="Normal"/>
    <w:link w:val="PrrafodelistaCar"/>
    <w:uiPriority w:val="34"/>
    <w:qFormat/>
    <w:rsid w:val="008C487C"/>
    <w:pPr>
      <w:ind w:left="720"/>
      <w:contextualSpacing/>
    </w:pPr>
  </w:style>
  <w:style w:type="paragraph" w:styleId="Sinespaciado">
    <w:name w:val="No Spacing"/>
    <w:uiPriority w:val="1"/>
    <w:qFormat/>
    <w:rsid w:val="008C487C"/>
    <w:pPr>
      <w:spacing w:after="0" w:line="240" w:lineRule="auto"/>
    </w:pPr>
    <w:rPr>
      <w:sz w:val="24"/>
      <w:lang w:val="es-MX"/>
    </w:rPr>
  </w:style>
  <w:style w:type="character" w:styleId="TextonotapieCar" w:customStyle="1">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locked/>
    <w:rsid w:val="008C487C"/>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
    <w:basedOn w:val="Normal"/>
    <w:link w:val="TextonotapieCar"/>
    <w:uiPriority w:val="99"/>
    <w:unhideWhenUsed/>
    <w:qFormat/>
    <w:rsid w:val="008C487C"/>
    <w:rPr>
      <w:sz w:val="20"/>
      <w:szCs w:val="20"/>
    </w:rPr>
  </w:style>
  <w:style w:type="character" w:styleId="TextonotapieCar1" w:customStyle="1">
    <w:name w:val="Texto nota pie Car1"/>
    <w:basedOn w:val="Fuentedeprrafopredeter"/>
    <w:uiPriority w:val="99"/>
    <w:semiHidden/>
    <w:rsid w:val="008C487C"/>
    <w:rPr>
      <w:sz w:val="20"/>
      <w:szCs w:val="20"/>
      <w:lang w:val="es-MX"/>
    </w:rPr>
  </w:style>
  <w:style w:type="character" w:styleId="PrrafodelistaCar" w:customStyle="1">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8C487C"/>
    <w:rPr>
      <w:sz w:val="24"/>
      <w:lang w:val="es-MX"/>
    </w:rPr>
  </w:style>
  <w:style w:type="character" w:styleId="Refdenotaalpie">
    <w:name w:val="footnote reference"/>
    <w:aliases w:val="Ref. de nota al pie 2,Ref,de nota al pie,FC,Appel note de bas de p,f,4_G,16 Point,Superscript 6 Point,Texto nota al pie,Pie de Página,Texto de nota al pi,Nota de pie,Texto de nota al p"/>
    <w:basedOn w:val="Fuentedeprrafopredeter"/>
    <w:uiPriority w:val="99"/>
    <w:unhideWhenUsed/>
    <w:qFormat/>
    <w:rsid w:val="008C487C"/>
    <w:rPr>
      <w:vertAlign w:val="superscript"/>
    </w:rPr>
  </w:style>
  <w:style w:type="character" w:styleId="Hipervnculo">
    <w:name w:val="Hyperlink"/>
    <w:basedOn w:val="Fuentedeprrafopredeter"/>
    <w:uiPriority w:val="99"/>
    <w:unhideWhenUsed/>
    <w:rsid w:val="008C487C"/>
    <w:rPr>
      <w:color w:val="0563C1" w:themeColor="hyperlink"/>
      <w:u w:val="single"/>
    </w:rPr>
  </w:style>
  <w:style w:type="paragraph" w:styleId="Textodeglobo">
    <w:name w:val="Balloon Text"/>
    <w:basedOn w:val="Normal"/>
    <w:link w:val="TextodegloboCar"/>
    <w:uiPriority w:val="99"/>
    <w:semiHidden/>
    <w:unhideWhenUsed/>
    <w:rsid w:val="00B65290"/>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B65290"/>
    <w:rPr>
      <w:rFonts w:ascii="Segoe UI" w:hAnsi="Segoe UI" w:cs="Segoe UI"/>
      <w:sz w:val="18"/>
      <w:szCs w:val="18"/>
      <w:lang w:val="es-MX"/>
    </w:rPr>
  </w:style>
  <w:style w:type="paragraph" w:styleId="Default" w:customStyle="1">
    <w:name w:val="Default"/>
    <w:rsid w:val="00430B5A"/>
    <w:pPr>
      <w:autoSpaceDE w:val="0"/>
      <w:autoSpaceDN w:val="0"/>
      <w:adjustRightInd w:val="0"/>
      <w:spacing w:after="0" w:line="240" w:lineRule="auto"/>
    </w:pPr>
    <w:rPr>
      <w:rFonts w:ascii="Arial" w:hAnsi="Arial" w:cs="Arial"/>
      <w:color w:val="000000"/>
      <w:sz w:val="24"/>
      <w:szCs w:val="24"/>
      <w:lang w:val="es-MX"/>
    </w:rPr>
  </w:style>
  <w:style w:type="character" w:styleId="Mencinsinresolver1" w:customStyle="1">
    <w:name w:val="Mención sin resolver1"/>
    <w:basedOn w:val="Fuentedeprrafopredeter"/>
    <w:uiPriority w:val="99"/>
    <w:semiHidden/>
    <w:unhideWhenUsed/>
    <w:rsid w:val="00BE2AD3"/>
    <w:rPr>
      <w:color w:val="605E5C"/>
      <w:shd w:val="clear" w:color="auto" w:fill="E1DFDD"/>
    </w:rPr>
  </w:style>
  <w:style w:type="character" w:styleId="Refdecomentario">
    <w:name w:val="annotation reference"/>
    <w:basedOn w:val="Fuentedeprrafopredeter"/>
    <w:uiPriority w:val="99"/>
    <w:semiHidden/>
    <w:unhideWhenUsed/>
    <w:rsid w:val="009C4BC4"/>
    <w:rPr>
      <w:sz w:val="16"/>
      <w:szCs w:val="16"/>
    </w:rPr>
  </w:style>
  <w:style w:type="paragraph" w:styleId="Textocomentario">
    <w:name w:val="annotation text"/>
    <w:basedOn w:val="Normal"/>
    <w:link w:val="TextocomentarioCar"/>
    <w:uiPriority w:val="99"/>
    <w:semiHidden/>
    <w:unhideWhenUsed/>
    <w:rsid w:val="009C4BC4"/>
    <w:rPr>
      <w:sz w:val="20"/>
      <w:szCs w:val="20"/>
    </w:rPr>
  </w:style>
  <w:style w:type="character" w:styleId="TextocomentarioCar" w:customStyle="1">
    <w:name w:val="Texto comentario Car"/>
    <w:basedOn w:val="Fuentedeprrafopredeter"/>
    <w:link w:val="Textocomentario"/>
    <w:uiPriority w:val="99"/>
    <w:semiHidden/>
    <w:rsid w:val="009C4BC4"/>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9C4BC4"/>
    <w:rPr>
      <w:b/>
      <w:bCs/>
    </w:rPr>
  </w:style>
  <w:style w:type="character" w:styleId="AsuntodelcomentarioCar" w:customStyle="1">
    <w:name w:val="Asunto del comentario Car"/>
    <w:basedOn w:val="TextocomentarioCar"/>
    <w:link w:val="Asuntodelcomentario"/>
    <w:uiPriority w:val="99"/>
    <w:semiHidden/>
    <w:rsid w:val="009C4BC4"/>
    <w:rPr>
      <w:b/>
      <w:bCs/>
      <w:sz w:val="20"/>
      <w:szCs w:val="20"/>
      <w:lang w:val="es-MX"/>
    </w:rPr>
  </w:style>
  <w:style w:type="paragraph" w:styleId="NormalWeb">
    <w:name w:val="Normal (Web)"/>
    <w:basedOn w:val="Normal"/>
    <w:uiPriority w:val="99"/>
    <w:semiHidden/>
    <w:unhideWhenUsed/>
    <w:rsid w:val="0095728F"/>
    <w:rPr>
      <w:rFonts w:ascii="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0136">
      <w:bodyDiv w:val="1"/>
      <w:marLeft w:val="0"/>
      <w:marRight w:val="0"/>
      <w:marTop w:val="0"/>
      <w:marBottom w:val="0"/>
      <w:divBdr>
        <w:top w:val="none" w:sz="0" w:space="0" w:color="auto"/>
        <w:left w:val="none" w:sz="0" w:space="0" w:color="auto"/>
        <w:bottom w:val="none" w:sz="0" w:space="0" w:color="auto"/>
        <w:right w:val="none" w:sz="0" w:space="0" w:color="auto"/>
      </w:divBdr>
    </w:div>
    <w:div w:id="186069705">
      <w:bodyDiv w:val="1"/>
      <w:marLeft w:val="0"/>
      <w:marRight w:val="0"/>
      <w:marTop w:val="0"/>
      <w:marBottom w:val="0"/>
      <w:divBdr>
        <w:top w:val="none" w:sz="0" w:space="0" w:color="auto"/>
        <w:left w:val="none" w:sz="0" w:space="0" w:color="auto"/>
        <w:bottom w:val="none" w:sz="0" w:space="0" w:color="auto"/>
        <w:right w:val="none" w:sz="0" w:space="0" w:color="auto"/>
      </w:divBdr>
      <w:divsChild>
        <w:div w:id="1781142009">
          <w:marLeft w:val="0"/>
          <w:marRight w:val="0"/>
          <w:marTop w:val="0"/>
          <w:marBottom w:val="0"/>
          <w:divBdr>
            <w:top w:val="none" w:sz="0" w:space="0" w:color="auto"/>
            <w:left w:val="none" w:sz="0" w:space="0" w:color="auto"/>
            <w:bottom w:val="none" w:sz="0" w:space="0" w:color="auto"/>
            <w:right w:val="none" w:sz="0" w:space="0" w:color="auto"/>
          </w:divBdr>
          <w:divsChild>
            <w:div w:id="895241117">
              <w:marLeft w:val="0"/>
              <w:marRight w:val="0"/>
              <w:marTop w:val="0"/>
              <w:marBottom w:val="0"/>
              <w:divBdr>
                <w:top w:val="none" w:sz="0" w:space="0" w:color="auto"/>
                <w:left w:val="none" w:sz="0" w:space="0" w:color="auto"/>
                <w:bottom w:val="none" w:sz="0" w:space="0" w:color="auto"/>
                <w:right w:val="none" w:sz="0" w:space="0" w:color="auto"/>
              </w:divBdr>
              <w:divsChild>
                <w:div w:id="32533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190990">
      <w:bodyDiv w:val="1"/>
      <w:marLeft w:val="0"/>
      <w:marRight w:val="0"/>
      <w:marTop w:val="0"/>
      <w:marBottom w:val="0"/>
      <w:divBdr>
        <w:top w:val="none" w:sz="0" w:space="0" w:color="auto"/>
        <w:left w:val="none" w:sz="0" w:space="0" w:color="auto"/>
        <w:bottom w:val="none" w:sz="0" w:space="0" w:color="auto"/>
        <w:right w:val="none" w:sz="0" w:space="0" w:color="auto"/>
      </w:divBdr>
    </w:div>
    <w:div w:id="326785616">
      <w:bodyDiv w:val="1"/>
      <w:marLeft w:val="0"/>
      <w:marRight w:val="0"/>
      <w:marTop w:val="0"/>
      <w:marBottom w:val="0"/>
      <w:divBdr>
        <w:top w:val="none" w:sz="0" w:space="0" w:color="auto"/>
        <w:left w:val="none" w:sz="0" w:space="0" w:color="auto"/>
        <w:bottom w:val="none" w:sz="0" w:space="0" w:color="auto"/>
        <w:right w:val="none" w:sz="0" w:space="0" w:color="auto"/>
      </w:divBdr>
    </w:div>
    <w:div w:id="351810919">
      <w:bodyDiv w:val="1"/>
      <w:marLeft w:val="0"/>
      <w:marRight w:val="0"/>
      <w:marTop w:val="0"/>
      <w:marBottom w:val="0"/>
      <w:divBdr>
        <w:top w:val="none" w:sz="0" w:space="0" w:color="auto"/>
        <w:left w:val="none" w:sz="0" w:space="0" w:color="auto"/>
        <w:bottom w:val="none" w:sz="0" w:space="0" w:color="auto"/>
        <w:right w:val="none" w:sz="0" w:space="0" w:color="auto"/>
      </w:divBdr>
    </w:div>
    <w:div w:id="760763965">
      <w:bodyDiv w:val="1"/>
      <w:marLeft w:val="0"/>
      <w:marRight w:val="0"/>
      <w:marTop w:val="0"/>
      <w:marBottom w:val="0"/>
      <w:divBdr>
        <w:top w:val="none" w:sz="0" w:space="0" w:color="auto"/>
        <w:left w:val="none" w:sz="0" w:space="0" w:color="auto"/>
        <w:bottom w:val="none" w:sz="0" w:space="0" w:color="auto"/>
        <w:right w:val="none" w:sz="0" w:space="0" w:color="auto"/>
      </w:divBdr>
      <w:divsChild>
        <w:div w:id="1404376630">
          <w:marLeft w:val="0"/>
          <w:marRight w:val="0"/>
          <w:marTop w:val="0"/>
          <w:marBottom w:val="0"/>
          <w:divBdr>
            <w:top w:val="none" w:sz="0" w:space="0" w:color="auto"/>
            <w:left w:val="none" w:sz="0" w:space="0" w:color="auto"/>
            <w:bottom w:val="none" w:sz="0" w:space="0" w:color="auto"/>
            <w:right w:val="none" w:sz="0" w:space="0" w:color="auto"/>
          </w:divBdr>
          <w:divsChild>
            <w:div w:id="619537380">
              <w:marLeft w:val="0"/>
              <w:marRight w:val="0"/>
              <w:marTop w:val="0"/>
              <w:marBottom w:val="0"/>
              <w:divBdr>
                <w:top w:val="none" w:sz="0" w:space="0" w:color="auto"/>
                <w:left w:val="none" w:sz="0" w:space="0" w:color="auto"/>
                <w:bottom w:val="none" w:sz="0" w:space="0" w:color="auto"/>
                <w:right w:val="none" w:sz="0" w:space="0" w:color="auto"/>
              </w:divBdr>
              <w:divsChild>
                <w:div w:id="19196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27151">
      <w:bodyDiv w:val="1"/>
      <w:marLeft w:val="0"/>
      <w:marRight w:val="0"/>
      <w:marTop w:val="0"/>
      <w:marBottom w:val="0"/>
      <w:divBdr>
        <w:top w:val="none" w:sz="0" w:space="0" w:color="auto"/>
        <w:left w:val="none" w:sz="0" w:space="0" w:color="auto"/>
        <w:bottom w:val="none" w:sz="0" w:space="0" w:color="auto"/>
        <w:right w:val="none" w:sz="0" w:space="0" w:color="auto"/>
      </w:divBdr>
    </w:div>
    <w:div w:id="856163551">
      <w:bodyDiv w:val="1"/>
      <w:marLeft w:val="0"/>
      <w:marRight w:val="0"/>
      <w:marTop w:val="0"/>
      <w:marBottom w:val="0"/>
      <w:divBdr>
        <w:top w:val="none" w:sz="0" w:space="0" w:color="auto"/>
        <w:left w:val="none" w:sz="0" w:space="0" w:color="auto"/>
        <w:bottom w:val="none" w:sz="0" w:space="0" w:color="auto"/>
        <w:right w:val="none" w:sz="0" w:space="0" w:color="auto"/>
      </w:divBdr>
    </w:div>
    <w:div w:id="935484181">
      <w:bodyDiv w:val="1"/>
      <w:marLeft w:val="0"/>
      <w:marRight w:val="0"/>
      <w:marTop w:val="0"/>
      <w:marBottom w:val="0"/>
      <w:divBdr>
        <w:top w:val="none" w:sz="0" w:space="0" w:color="auto"/>
        <w:left w:val="none" w:sz="0" w:space="0" w:color="auto"/>
        <w:bottom w:val="none" w:sz="0" w:space="0" w:color="auto"/>
        <w:right w:val="none" w:sz="0" w:space="0" w:color="auto"/>
      </w:divBdr>
    </w:div>
    <w:div w:id="938411564">
      <w:bodyDiv w:val="1"/>
      <w:marLeft w:val="0"/>
      <w:marRight w:val="0"/>
      <w:marTop w:val="0"/>
      <w:marBottom w:val="0"/>
      <w:divBdr>
        <w:top w:val="none" w:sz="0" w:space="0" w:color="auto"/>
        <w:left w:val="none" w:sz="0" w:space="0" w:color="auto"/>
        <w:bottom w:val="none" w:sz="0" w:space="0" w:color="auto"/>
        <w:right w:val="none" w:sz="0" w:space="0" w:color="auto"/>
      </w:divBdr>
    </w:div>
    <w:div w:id="940843350">
      <w:bodyDiv w:val="1"/>
      <w:marLeft w:val="0"/>
      <w:marRight w:val="0"/>
      <w:marTop w:val="0"/>
      <w:marBottom w:val="0"/>
      <w:divBdr>
        <w:top w:val="none" w:sz="0" w:space="0" w:color="auto"/>
        <w:left w:val="none" w:sz="0" w:space="0" w:color="auto"/>
        <w:bottom w:val="none" w:sz="0" w:space="0" w:color="auto"/>
        <w:right w:val="none" w:sz="0" w:space="0" w:color="auto"/>
      </w:divBdr>
    </w:div>
    <w:div w:id="1042244548">
      <w:bodyDiv w:val="1"/>
      <w:marLeft w:val="0"/>
      <w:marRight w:val="0"/>
      <w:marTop w:val="0"/>
      <w:marBottom w:val="0"/>
      <w:divBdr>
        <w:top w:val="none" w:sz="0" w:space="0" w:color="auto"/>
        <w:left w:val="none" w:sz="0" w:space="0" w:color="auto"/>
        <w:bottom w:val="none" w:sz="0" w:space="0" w:color="auto"/>
        <w:right w:val="none" w:sz="0" w:space="0" w:color="auto"/>
      </w:divBdr>
    </w:div>
    <w:div w:id="1113284607">
      <w:bodyDiv w:val="1"/>
      <w:marLeft w:val="0"/>
      <w:marRight w:val="0"/>
      <w:marTop w:val="0"/>
      <w:marBottom w:val="0"/>
      <w:divBdr>
        <w:top w:val="none" w:sz="0" w:space="0" w:color="auto"/>
        <w:left w:val="none" w:sz="0" w:space="0" w:color="auto"/>
        <w:bottom w:val="none" w:sz="0" w:space="0" w:color="auto"/>
        <w:right w:val="none" w:sz="0" w:space="0" w:color="auto"/>
      </w:divBdr>
    </w:div>
    <w:div w:id="1138650528">
      <w:bodyDiv w:val="1"/>
      <w:marLeft w:val="0"/>
      <w:marRight w:val="0"/>
      <w:marTop w:val="0"/>
      <w:marBottom w:val="0"/>
      <w:divBdr>
        <w:top w:val="none" w:sz="0" w:space="0" w:color="auto"/>
        <w:left w:val="none" w:sz="0" w:space="0" w:color="auto"/>
        <w:bottom w:val="none" w:sz="0" w:space="0" w:color="auto"/>
        <w:right w:val="none" w:sz="0" w:space="0" w:color="auto"/>
      </w:divBdr>
    </w:div>
    <w:div w:id="1325008976">
      <w:bodyDiv w:val="1"/>
      <w:marLeft w:val="0"/>
      <w:marRight w:val="0"/>
      <w:marTop w:val="0"/>
      <w:marBottom w:val="0"/>
      <w:divBdr>
        <w:top w:val="none" w:sz="0" w:space="0" w:color="auto"/>
        <w:left w:val="none" w:sz="0" w:space="0" w:color="auto"/>
        <w:bottom w:val="none" w:sz="0" w:space="0" w:color="auto"/>
        <w:right w:val="none" w:sz="0" w:space="0" w:color="auto"/>
      </w:divBdr>
    </w:div>
    <w:div w:id="1546941259">
      <w:bodyDiv w:val="1"/>
      <w:marLeft w:val="0"/>
      <w:marRight w:val="0"/>
      <w:marTop w:val="0"/>
      <w:marBottom w:val="0"/>
      <w:divBdr>
        <w:top w:val="none" w:sz="0" w:space="0" w:color="auto"/>
        <w:left w:val="none" w:sz="0" w:space="0" w:color="auto"/>
        <w:bottom w:val="none" w:sz="0" w:space="0" w:color="auto"/>
        <w:right w:val="none" w:sz="0" w:space="0" w:color="auto"/>
      </w:divBdr>
    </w:div>
    <w:div w:id="1565216013">
      <w:bodyDiv w:val="1"/>
      <w:marLeft w:val="0"/>
      <w:marRight w:val="0"/>
      <w:marTop w:val="0"/>
      <w:marBottom w:val="0"/>
      <w:divBdr>
        <w:top w:val="none" w:sz="0" w:space="0" w:color="auto"/>
        <w:left w:val="none" w:sz="0" w:space="0" w:color="auto"/>
        <w:bottom w:val="none" w:sz="0" w:space="0" w:color="auto"/>
        <w:right w:val="none" w:sz="0" w:space="0" w:color="auto"/>
      </w:divBdr>
      <w:divsChild>
        <w:div w:id="964889360">
          <w:marLeft w:val="0"/>
          <w:marRight w:val="0"/>
          <w:marTop w:val="0"/>
          <w:marBottom w:val="0"/>
          <w:divBdr>
            <w:top w:val="none" w:sz="0" w:space="0" w:color="auto"/>
            <w:left w:val="none" w:sz="0" w:space="0" w:color="auto"/>
            <w:bottom w:val="none" w:sz="0" w:space="0" w:color="auto"/>
            <w:right w:val="none" w:sz="0" w:space="0" w:color="auto"/>
          </w:divBdr>
          <w:divsChild>
            <w:div w:id="1206912375">
              <w:marLeft w:val="0"/>
              <w:marRight w:val="0"/>
              <w:marTop w:val="0"/>
              <w:marBottom w:val="0"/>
              <w:divBdr>
                <w:top w:val="none" w:sz="0" w:space="0" w:color="auto"/>
                <w:left w:val="none" w:sz="0" w:space="0" w:color="auto"/>
                <w:bottom w:val="none" w:sz="0" w:space="0" w:color="auto"/>
                <w:right w:val="none" w:sz="0" w:space="0" w:color="auto"/>
              </w:divBdr>
              <w:divsChild>
                <w:div w:id="96373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002878">
      <w:bodyDiv w:val="1"/>
      <w:marLeft w:val="0"/>
      <w:marRight w:val="0"/>
      <w:marTop w:val="0"/>
      <w:marBottom w:val="0"/>
      <w:divBdr>
        <w:top w:val="none" w:sz="0" w:space="0" w:color="auto"/>
        <w:left w:val="none" w:sz="0" w:space="0" w:color="auto"/>
        <w:bottom w:val="none" w:sz="0" w:space="0" w:color="auto"/>
        <w:right w:val="none" w:sz="0" w:space="0" w:color="auto"/>
      </w:divBdr>
    </w:div>
    <w:div w:id="1657345053">
      <w:bodyDiv w:val="1"/>
      <w:marLeft w:val="0"/>
      <w:marRight w:val="0"/>
      <w:marTop w:val="0"/>
      <w:marBottom w:val="0"/>
      <w:divBdr>
        <w:top w:val="none" w:sz="0" w:space="0" w:color="auto"/>
        <w:left w:val="none" w:sz="0" w:space="0" w:color="auto"/>
        <w:bottom w:val="none" w:sz="0" w:space="0" w:color="auto"/>
        <w:right w:val="none" w:sz="0" w:space="0" w:color="auto"/>
      </w:divBdr>
    </w:div>
    <w:div w:id="1770617040">
      <w:bodyDiv w:val="1"/>
      <w:marLeft w:val="0"/>
      <w:marRight w:val="0"/>
      <w:marTop w:val="0"/>
      <w:marBottom w:val="0"/>
      <w:divBdr>
        <w:top w:val="none" w:sz="0" w:space="0" w:color="auto"/>
        <w:left w:val="none" w:sz="0" w:space="0" w:color="auto"/>
        <w:bottom w:val="none" w:sz="0" w:space="0" w:color="auto"/>
        <w:right w:val="none" w:sz="0" w:space="0" w:color="auto"/>
      </w:divBdr>
    </w:div>
    <w:div w:id="1866096909">
      <w:bodyDiv w:val="1"/>
      <w:marLeft w:val="0"/>
      <w:marRight w:val="0"/>
      <w:marTop w:val="0"/>
      <w:marBottom w:val="0"/>
      <w:divBdr>
        <w:top w:val="none" w:sz="0" w:space="0" w:color="auto"/>
        <w:left w:val="none" w:sz="0" w:space="0" w:color="auto"/>
        <w:bottom w:val="none" w:sz="0" w:space="0" w:color="auto"/>
        <w:right w:val="none" w:sz="0" w:space="0" w:color="auto"/>
      </w:divBdr>
    </w:div>
    <w:div w:id="1886990557">
      <w:bodyDiv w:val="1"/>
      <w:marLeft w:val="0"/>
      <w:marRight w:val="0"/>
      <w:marTop w:val="0"/>
      <w:marBottom w:val="0"/>
      <w:divBdr>
        <w:top w:val="none" w:sz="0" w:space="0" w:color="auto"/>
        <w:left w:val="none" w:sz="0" w:space="0" w:color="auto"/>
        <w:bottom w:val="none" w:sz="0" w:space="0" w:color="auto"/>
        <w:right w:val="none" w:sz="0" w:space="0" w:color="auto"/>
      </w:divBdr>
    </w:div>
    <w:div w:id="1922982465">
      <w:bodyDiv w:val="1"/>
      <w:marLeft w:val="0"/>
      <w:marRight w:val="0"/>
      <w:marTop w:val="0"/>
      <w:marBottom w:val="0"/>
      <w:divBdr>
        <w:top w:val="none" w:sz="0" w:space="0" w:color="auto"/>
        <w:left w:val="none" w:sz="0" w:space="0" w:color="auto"/>
        <w:bottom w:val="none" w:sz="0" w:space="0" w:color="auto"/>
        <w:right w:val="none" w:sz="0" w:space="0" w:color="auto"/>
      </w:divBdr>
    </w:div>
    <w:div w:id="1937253691">
      <w:bodyDiv w:val="1"/>
      <w:marLeft w:val="0"/>
      <w:marRight w:val="0"/>
      <w:marTop w:val="0"/>
      <w:marBottom w:val="0"/>
      <w:divBdr>
        <w:top w:val="none" w:sz="0" w:space="0" w:color="auto"/>
        <w:left w:val="none" w:sz="0" w:space="0" w:color="auto"/>
        <w:bottom w:val="none" w:sz="0" w:space="0" w:color="auto"/>
        <w:right w:val="none" w:sz="0" w:space="0" w:color="auto"/>
      </w:divBdr>
    </w:div>
    <w:div w:id="1974948129">
      <w:bodyDiv w:val="1"/>
      <w:marLeft w:val="0"/>
      <w:marRight w:val="0"/>
      <w:marTop w:val="0"/>
      <w:marBottom w:val="0"/>
      <w:divBdr>
        <w:top w:val="none" w:sz="0" w:space="0" w:color="auto"/>
        <w:left w:val="none" w:sz="0" w:space="0" w:color="auto"/>
        <w:bottom w:val="none" w:sz="0" w:space="0" w:color="auto"/>
        <w:right w:val="none" w:sz="0" w:space="0" w:color="auto"/>
      </w:divBdr>
    </w:div>
    <w:div w:id="2011053848">
      <w:bodyDiv w:val="1"/>
      <w:marLeft w:val="0"/>
      <w:marRight w:val="0"/>
      <w:marTop w:val="0"/>
      <w:marBottom w:val="0"/>
      <w:divBdr>
        <w:top w:val="none" w:sz="0" w:space="0" w:color="auto"/>
        <w:left w:val="none" w:sz="0" w:space="0" w:color="auto"/>
        <w:bottom w:val="none" w:sz="0" w:space="0" w:color="auto"/>
        <w:right w:val="none" w:sz="0" w:space="0" w:color="auto"/>
      </w:divBdr>
      <w:divsChild>
        <w:div w:id="1416633015">
          <w:marLeft w:val="0"/>
          <w:marRight w:val="0"/>
          <w:marTop w:val="0"/>
          <w:marBottom w:val="0"/>
          <w:divBdr>
            <w:top w:val="none" w:sz="0" w:space="0" w:color="auto"/>
            <w:left w:val="none" w:sz="0" w:space="0" w:color="auto"/>
            <w:bottom w:val="none" w:sz="0" w:space="0" w:color="auto"/>
            <w:right w:val="none" w:sz="0" w:space="0" w:color="auto"/>
          </w:divBdr>
          <w:divsChild>
            <w:div w:id="952397363">
              <w:marLeft w:val="0"/>
              <w:marRight w:val="0"/>
              <w:marTop w:val="0"/>
              <w:marBottom w:val="0"/>
              <w:divBdr>
                <w:top w:val="none" w:sz="0" w:space="0" w:color="auto"/>
                <w:left w:val="none" w:sz="0" w:space="0" w:color="auto"/>
                <w:bottom w:val="none" w:sz="0" w:space="0" w:color="auto"/>
                <w:right w:val="none" w:sz="0" w:space="0" w:color="auto"/>
              </w:divBdr>
              <w:divsChild>
                <w:div w:id="40337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059629">
      <w:bodyDiv w:val="1"/>
      <w:marLeft w:val="0"/>
      <w:marRight w:val="0"/>
      <w:marTop w:val="0"/>
      <w:marBottom w:val="0"/>
      <w:divBdr>
        <w:top w:val="none" w:sz="0" w:space="0" w:color="auto"/>
        <w:left w:val="none" w:sz="0" w:space="0" w:color="auto"/>
        <w:bottom w:val="none" w:sz="0" w:space="0" w:color="auto"/>
        <w:right w:val="none" w:sz="0" w:space="0" w:color="auto"/>
      </w:divBdr>
    </w:div>
    <w:div w:id="2140226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4.png" Id="Rdbfeb7f9da7a46e0" /></Relationships>
</file>

<file path=word/_rels/footer1.xml.rels>&#65279;<?xml version="1.0" encoding="utf-8"?><Relationships xmlns="http://schemas.openxmlformats.org/package/2006/relationships"><Relationship Type="http://schemas.openxmlformats.org/officeDocument/2006/relationships/image" Target="/media/image5.png" Id="R1279c64a8ecd47d6" /></Relationships>
</file>

<file path=word/_rels/footnotes.xml.rels><?xml version="1.0" encoding="UTF-8" standalone="yes"?>
<Relationships xmlns="http://schemas.openxmlformats.org/package/2006/relationships"><Relationship Id="rId2" Type="http://schemas.openxmlformats.org/officeDocument/2006/relationships/hyperlink" Target="https://www.colombiacompra.gov.co/sites/cce_public/files/cce_documentos/umbrales_2020_-_2021.pdf" TargetMode="External"/><Relationship Id="rId1" Type="http://schemas.openxmlformats.org/officeDocument/2006/relationships/hyperlink" Target="https://www.banrep.gov.co/es/estadisticas/t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265E5532-C936-9D41-B3EB-58243A5FB32F}">
  <ds:schemaRefs>
    <ds:schemaRef ds:uri="http://schemas.openxmlformats.org/officeDocument/2006/bibliography"/>
  </ds:schemaRefs>
</ds:datastoreItem>
</file>

<file path=customXml/itemProps2.xml><?xml version="1.0" encoding="utf-8"?>
<ds:datastoreItem xmlns:ds="http://schemas.openxmlformats.org/officeDocument/2006/customXml" ds:itemID="{195285D6-A6C6-431A-919F-6756D510D298}"/>
</file>

<file path=customXml/itemProps3.xml><?xml version="1.0" encoding="utf-8"?>
<ds:datastoreItem xmlns:ds="http://schemas.openxmlformats.org/officeDocument/2006/customXml" ds:itemID="{997BBF3F-E837-4F88-BCB0-0E632895B878}">
  <ds:schemaRefs>
    <ds:schemaRef ds:uri="http://schemas.microsoft.com/sharepoint/v3/contenttype/forms"/>
  </ds:schemaRefs>
</ds:datastoreItem>
</file>

<file path=customXml/itemProps4.xml><?xml version="1.0" encoding="utf-8"?>
<ds:datastoreItem xmlns:ds="http://schemas.openxmlformats.org/officeDocument/2006/customXml" ds:itemID="{5C0A85C5-6DD7-49F7-8710-03CB77B71D21}">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Castellanos</dc:creator>
  <cp:keywords/>
  <dc:description/>
  <cp:lastModifiedBy>David Torres Rojas</cp:lastModifiedBy>
  <cp:revision>54</cp:revision>
  <cp:lastPrinted>2020-03-17T17:42:00Z</cp:lastPrinted>
  <dcterms:created xsi:type="dcterms:W3CDTF">2021-01-04T17:01:00Z</dcterms:created>
  <dcterms:modified xsi:type="dcterms:W3CDTF">2021-01-18T20:21:47Z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