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1437B" w:rsidR="00A551E2" w:rsidP="00A551E2" w:rsidRDefault="00A551E2" w14:paraId="5DDB12AF" w14:textId="77777777">
      <w:pPr>
        <w:jc w:val="right"/>
        <w:rPr>
          <w:rFonts w:ascii="Arial" w:hAnsi="Arial" w:cs="Arial"/>
          <w:b/>
          <w:color w:val="1A1A1A" w:themeColor="background1" w:themeShade="1A"/>
          <w:sz w:val="16"/>
          <w:szCs w:val="16"/>
          <w:lang w:eastAsia="es-ES"/>
        </w:rPr>
      </w:pPr>
      <w:bookmarkStart w:name="_Hlk34141372" w:id="0"/>
      <w:bookmarkStart w:name="_Hlk28946138" w:id="1"/>
      <w:bookmarkStart w:name="_Hlk29548183" w:id="2"/>
      <w:bookmarkStart w:name="_Hlk29890381" w:id="3"/>
      <w:bookmarkStart w:name="_Hlk63929993" w:id="4"/>
      <w:bookmarkEnd w:id="0"/>
      <w:r w:rsidRPr="0091437B">
        <w:rPr>
          <w:rFonts w:ascii="Arial" w:hAnsi="Arial" w:cs="Arial"/>
          <w:b/>
          <w:color w:val="1A1A1A" w:themeColor="background1" w:themeShade="1A"/>
          <w:sz w:val="16"/>
          <w:szCs w:val="16"/>
          <w:lang w:eastAsia="es-ES"/>
        </w:rPr>
        <w:t>CCE-DES-FM-17</w:t>
      </w:r>
    </w:p>
    <w:bookmarkEnd w:id="1"/>
    <w:bookmarkEnd w:id="2"/>
    <w:p w:rsidRPr="0091437B" w:rsidR="00A551E2" w:rsidP="00A551E2" w:rsidRDefault="00A551E2" w14:paraId="3868B996" w14:textId="77777777">
      <w:pPr>
        <w:jc w:val="both"/>
        <w:rPr>
          <w:rFonts w:ascii="Arial" w:hAnsi="Arial" w:eastAsia="Calibri" w:cs="Arial"/>
          <w:color w:val="1A1A1A" w:themeColor="background1" w:themeShade="1A"/>
          <w:sz w:val="20"/>
          <w:szCs w:val="20"/>
          <w:highlight w:val="yellow"/>
          <w:lang w:val="es-ES"/>
        </w:rPr>
      </w:pPr>
    </w:p>
    <w:p w:rsidRPr="0091437B" w:rsidR="00A551E2" w:rsidP="00A551E2" w:rsidRDefault="00441FC6" w14:paraId="24A48C8E" w14:textId="7AAEF7E6">
      <w:pPr>
        <w:spacing w:line="276" w:lineRule="auto"/>
        <w:jc w:val="both"/>
        <w:rPr>
          <w:rFonts w:ascii="Arial" w:hAnsi="Arial" w:eastAsia="Calibri" w:cs="Arial"/>
          <w:b/>
          <w:color w:val="1A1A1A" w:themeColor="background1" w:themeShade="1A"/>
          <w:sz w:val="22"/>
        </w:rPr>
      </w:pPr>
      <w:r>
        <w:rPr>
          <w:rFonts w:ascii="Arial" w:hAnsi="Arial" w:eastAsia="Calibri" w:cs="Arial"/>
          <w:b/>
          <w:color w:val="1A1A1A" w:themeColor="background1" w:themeShade="1A"/>
          <w:sz w:val="22"/>
        </w:rPr>
        <w:t>PRINCIPIO DE PUBLICIDAD</w:t>
      </w:r>
      <w:r w:rsidRPr="0091437B" w:rsidR="00A551E2">
        <w:rPr>
          <w:rFonts w:ascii="Arial" w:hAnsi="Arial" w:eastAsia="Calibri" w:cs="Arial"/>
          <w:b/>
          <w:color w:val="1A1A1A" w:themeColor="background1" w:themeShade="1A"/>
          <w:sz w:val="22"/>
        </w:rPr>
        <w:t xml:space="preserve"> – </w:t>
      </w:r>
      <w:r>
        <w:rPr>
          <w:rFonts w:ascii="Arial" w:hAnsi="Arial" w:eastAsia="Calibri" w:cs="Arial"/>
          <w:b/>
          <w:color w:val="1A1A1A" w:themeColor="background1" w:themeShade="1A"/>
          <w:sz w:val="22"/>
        </w:rPr>
        <w:t>Fundamento constitucional</w:t>
      </w:r>
      <w:r w:rsidRPr="0091437B" w:rsidR="00A551E2">
        <w:rPr>
          <w:rFonts w:ascii="Arial" w:hAnsi="Arial" w:eastAsia="Calibri" w:cs="Arial"/>
          <w:b/>
          <w:color w:val="1A1A1A" w:themeColor="background1" w:themeShade="1A"/>
          <w:sz w:val="22"/>
        </w:rPr>
        <w:t xml:space="preserve"> –</w:t>
      </w:r>
      <w:r>
        <w:rPr>
          <w:rFonts w:ascii="Arial" w:hAnsi="Arial" w:eastAsia="Calibri" w:cs="Arial"/>
          <w:b/>
          <w:color w:val="1A1A1A" w:themeColor="background1" w:themeShade="1A"/>
          <w:sz w:val="22"/>
        </w:rPr>
        <w:t xml:space="preserve"> Desarrollo legal</w:t>
      </w:r>
      <w:r w:rsidRPr="0091437B" w:rsidR="00A551E2">
        <w:rPr>
          <w:rFonts w:ascii="Arial" w:hAnsi="Arial" w:eastAsia="Calibri" w:cs="Arial"/>
          <w:b/>
          <w:color w:val="1A1A1A" w:themeColor="background1" w:themeShade="1A"/>
          <w:sz w:val="22"/>
        </w:rPr>
        <w:t xml:space="preserve"> </w:t>
      </w:r>
    </w:p>
    <w:p w:rsidRPr="0091437B" w:rsidR="00A551E2" w:rsidP="00A551E2" w:rsidRDefault="00A551E2" w14:paraId="57B0EDFD" w14:textId="77777777">
      <w:pPr>
        <w:spacing w:line="276" w:lineRule="auto"/>
        <w:jc w:val="both"/>
        <w:rPr>
          <w:rFonts w:ascii="Arial" w:hAnsi="Arial" w:cs="Arial"/>
          <w:color w:val="1A1A1A" w:themeColor="background1" w:themeShade="1A"/>
          <w:sz w:val="20"/>
          <w:szCs w:val="20"/>
        </w:rPr>
      </w:pPr>
    </w:p>
    <w:p w:rsidR="00020DAB" w:rsidP="00EF3959" w:rsidRDefault="00020DAB" w14:paraId="41EC75F8" w14:textId="6ED21B36">
      <w:pPr>
        <w:pStyle w:val="Prrafodelista"/>
        <w:ind w:left="0"/>
        <w:jc w:val="both"/>
        <w:rPr>
          <w:rFonts w:ascii="Arial" w:hAnsi="Arial" w:eastAsia="Calibri" w:cs="Arial"/>
          <w:color w:val="1A1A1A" w:themeColor="background1" w:themeShade="1A"/>
          <w:sz w:val="20"/>
          <w:szCs w:val="20"/>
        </w:rPr>
      </w:pPr>
      <w:r w:rsidRPr="00020DAB">
        <w:rPr>
          <w:rFonts w:ascii="Arial" w:hAnsi="Arial" w:eastAsia="Calibri" w:cs="Arial"/>
          <w:color w:val="1A1A1A" w:themeColor="background1" w:themeShade="1A"/>
          <w:sz w:val="20"/>
          <w:szCs w:val="20"/>
        </w:rPr>
        <w:t>El principio de publicidad se encuentra consagrado en el artículo 209 de la Constitución Política y es considerado uno de los principios constitucionales orientadores de la administración y la gestión pública. Impone a las autoridades el deber de dar a conocer sus actos, contratos y decisiones, de manera que puedan ser conocidos incluso por quienes no participan en su desarrollo y, eventualmente, ser objeto de control, con el fin de garantizar el debido proceso y los principios de la función pública.</w:t>
      </w:r>
    </w:p>
    <w:p w:rsidRPr="006F6AC3" w:rsidR="006F6AC3" w:rsidP="00EF3959" w:rsidRDefault="006F6AC3" w14:paraId="09AC7CBC" w14:textId="55991C9D">
      <w:pPr>
        <w:pStyle w:val="Prrafodelista"/>
        <w:ind w:left="0"/>
        <w:jc w:val="both"/>
        <w:rPr>
          <w:rFonts w:ascii="Arial" w:hAnsi="Arial" w:eastAsia="Calibri" w:cs="Arial"/>
          <w:color w:val="1A1A1A" w:themeColor="background1" w:themeShade="1A"/>
          <w:sz w:val="20"/>
          <w:szCs w:val="20"/>
        </w:rPr>
      </w:pPr>
      <w:r w:rsidRPr="006F6AC3">
        <w:rPr>
          <w:rFonts w:ascii="Arial" w:hAnsi="Arial" w:eastAsia="Calibri" w:cs="Arial"/>
          <w:color w:val="1A1A1A" w:themeColor="background1" w:themeShade="1A"/>
          <w:sz w:val="20"/>
          <w:szCs w:val="20"/>
        </w:rPr>
        <w:t>[…]</w:t>
      </w:r>
    </w:p>
    <w:p w:rsidR="00020DAB" w:rsidP="006F6AC3" w:rsidRDefault="00020DAB" w14:paraId="7180B345" w14:textId="30C8FBC8">
      <w:pPr>
        <w:pStyle w:val="Prrafodelista"/>
        <w:ind w:left="0"/>
        <w:jc w:val="both"/>
        <w:rPr>
          <w:rFonts w:ascii="Arial" w:hAnsi="Arial" w:eastAsia="Calibri" w:cs="Arial"/>
          <w:color w:val="1A1A1A" w:themeColor="background1" w:themeShade="1A"/>
          <w:sz w:val="20"/>
          <w:szCs w:val="20"/>
          <w:highlight w:val="yellow"/>
        </w:rPr>
      </w:pPr>
      <w:r w:rsidRPr="00020DAB">
        <w:rPr>
          <w:rFonts w:ascii="Arial" w:hAnsi="Arial" w:eastAsia="Calibri" w:cs="Arial"/>
          <w:color w:val="1A1A1A" w:themeColor="background1" w:themeShade="1A"/>
          <w:sz w:val="20"/>
          <w:szCs w:val="20"/>
        </w:rPr>
        <w:t xml:space="preserve">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 </w:t>
      </w:r>
    </w:p>
    <w:p w:rsidRPr="0091437B" w:rsidR="006F6AC3" w:rsidP="006F6AC3" w:rsidRDefault="006F6AC3" w14:paraId="0495E240" w14:textId="77777777">
      <w:pPr>
        <w:pStyle w:val="Prrafodelista"/>
        <w:ind w:left="0"/>
        <w:jc w:val="both"/>
        <w:rPr>
          <w:rFonts w:ascii="Arial" w:hAnsi="Arial" w:eastAsia="Calibri" w:cs="Arial"/>
          <w:color w:val="1A1A1A" w:themeColor="background1" w:themeShade="1A"/>
          <w:sz w:val="20"/>
          <w:szCs w:val="20"/>
          <w:highlight w:val="yellow"/>
        </w:rPr>
      </w:pPr>
    </w:p>
    <w:p w:rsidRPr="0091437B" w:rsidR="00A551E2" w:rsidP="00A551E2" w:rsidRDefault="008F5003" w14:paraId="280DCCF6" w14:textId="7CCD29E9">
      <w:pPr>
        <w:pStyle w:val="Prrafodelista"/>
        <w:spacing w:line="276" w:lineRule="auto"/>
        <w:ind w:left="0"/>
        <w:jc w:val="both"/>
        <w:rPr>
          <w:rFonts w:ascii="Arial" w:hAnsi="Arial" w:eastAsia="Calibri" w:cs="Arial"/>
          <w:b/>
          <w:color w:val="1A1A1A" w:themeColor="background1" w:themeShade="1A"/>
          <w:sz w:val="22"/>
          <w:szCs w:val="20"/>
        </w:rPr>
      </w:pPr>
      <w:r>
        <w:rPr>
          <w:rFonts w:ascii="Arial" w:hAnsi="Arial" w:eastAsia="Calibri" w:cs="Arial"/>
          <w:b/>
          <w:color w:val="1A1A1A" w:themeColor="background1" w:themeShade="1A"/>
          <w:sz w:val="22"/>
          <w:szCs w:val="20"/>
        </w:rPr>
        <w:t xml:space="preserve">PUBLICIDAD </w:t>
      </w:r>
      <w:r w:rsidRPr="0091437B" w:rsidR="00A551E2">
        <w:rPr>
          <w:rFonts w:ascii="Arial" w:hAnsi="Arial" w:eastAsia="Calibri" w:cs="Arial"/>
          <w:b/>
          <w:color w:val="1A1A1A" w:themeColor="background1" w:themeShade="1A"/>
          <w:sz w:val="22"/>
          <w:szCs w:val="20"/>
        </w:rPr>
        <w:t xml:space="preserve">SECOP </w:t>
      </w:r>
      <w:r w:rsidRPr="0091437B" w:rsidR="00A551E2">
        <w:rPr>
          <w:rFonts w:ascii="Arial" w:hAnsi="Arial" w:eastAsia="Calibri" w:cs="Arial"/>
          <w:b/>
          <w:color w:val="1A1A1A" w:themeColor="background1" w:themeShade="1A"/>
          <w:sz w:val="22"/>
          <w:szCs w:val="20"/>
        </w:rPr>
        <w:softHyphen/>
        <w:t xml:space="preserve">– </w:t>
      </w:r>
      <w:r w:rsidR="002F2D74">
        <w:rPr>
          <w:rFonts w:ascii="Arial" w:hAnsi="Arial" w:eastAsia="Calibri" w:cs="Arial"/>
          <w:b/>
          <w:color w:val="1A1A1A" w:themeColor="background1" w:themeShade="1A"/>
          <w:sz w:val="22"/>
          <w:szCs w:val="20"/>
        </w:rPr>
        <w:t>Obligatoriedad</w:t>
      </w:r>
      <w:r>
        <w:rPr>
          <w:rFonts w:ascii="Arial" w:hAnsi="Arial" w:eastAsia="Calibri" w:cs="Arial"/>
          <w:b/>
          <w:color w:val="1A1A1A" w:themeColor="background1" w:themeShade="1A"/>
          <w:sz w:val="22"/>
          <w:szCs w:val="20"/>
        </w:rPr>
        <w:t xml:space="preserve"> </w:t>
      </w:r>
      <w:r w:rsidRPr="0091437B">
        <w:rPr>
          <w:rFonts w:ascii="Arial" w:hAnsi="Arial" w:eastAsia="Calibri" w:cs="Arial"/>
          <w:b/>
          <w:color w:val="1A1A1A" w:themeColor="background1" w:themeShade="1A"/>
          <w:sz w:val="22"/>
          <w:szCs w:val="20"/>
        </w:rPr>
        <w:t>–</w:t>
      </w:r>
      <w:r>
        <w:rPr>
          <w:rFonts w:ascii="Arial" w:hAnsi="Arial" w:eastAsia="Calibri" w:cs="Arial"/>
          <w:b/>
          <w:color w:val="1A1A1A" w:themeColor="background1" w:themeShade="1A"/>
          <w:sz w:val="22"/>
          <w:szCs w:val="20"/>
        </w:rPr>
        <w:t xml:space="preserve"> Régimen especial</w:t>
      </w:r>
    </w:p>
    <w:p w:rsidRPr="0091437B" w:rsidR="00A551E2" w:rsidP="00A551E2" w:rsidRDefault="00A551E2" w14:paraId="347CC1AD" w14:textId="77777777">
      <w:pPr>
        <w:pStyle w:val="Prrafodelista"/>
        <w:spacing w:line="276" w:lineRule="auto"/>
        <w:ind w:left="0"/>
        <w:jc w:val="both"/>
        <w:rPr>
          <w:rFonts w:ascii="Arial" w:hAnsi="Arial" w:eastAsia="Calibri" w:cs="Arial"/>
          <w:color w:val="1A1A1A" w:themeColor="background1" w:themeShade="1A"/>
          <w:sz w:val="20"/>
          <w:szCs w:val="20"/>
        </w:rPr>
      </w:pPr>
    </w:p>
    <w:p w:rsidRPr="002F2D74" w:rsidR="002F2D74" w:rsidP="0062206A" w:rsidRDefault="002F2D74" w14:paraId="08983CBF" w14:textId="5A9C0852">
      <w:pPr>
        <w:spacing w:after="120"/>
        <w:jc w:val="both"/>
        <w:rPr>
          <w:rFonts w:ascii="Arial" w:hAnsi="Arial" w:eastAsia="Calibri" w:cs="Arial"/>
          <w:color w:val="1A1A1A" w:themeColor="background1" w:themeShade="1A"/>
          <w:sz w:val="20"/>
          <w:szCs w:val="20"/>
        </w:rPr>
      </w:pPr>
      <w:r>
        <w:rPr>
          <w:rFonts w:ascii="Arial" w:hAnsi="Arial" w:eastAsia="Calibri" w:cs="Arial"/>
          <w:color w:val="1A1A1A" w:themeColor="background1" w:themeShade="1A"/>
          <w:sz w:val="20"/>
          <w:szCs w:val="20"/>
        </w:rPr>
        <w:t xml:space="preserve">[…] </w:t>
      </w:r>
      <w:r w:rsidRPr="00160F56" w:rsidR="00160F56">
        <w:rPr>
          <w:rFonts w:ascii="Arial" w:hAnsi="Arial" w:eastAsia="Calibri" w:cs="Arial"/>
          <w:color w:val="1A1A1A" w:themeColor="background1" w:themeShade="1A"/>
          <w:sz w:val="20"/>
          <w:szCs w:val="20"/>
        </w:rPr>
        <w:t xml:space="preserve">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rsidR="00A551E2" w:rsidP="00D307CD" w:rsidRDefault="0040307B" w14:paraId="1D5233A0" w14:textId="33F05720">
      <w:pPr>
        <w:jc w:val="both"/>
        <w:rPr>
          <w:rFonts w:ascii="Arial" w:hAnsi="Arial" w:eastAsia="Calibri" w:cs="Arial"/>
          <w:color w:val="1A1A1A" w:themeColor="background1" w:themeShade="1A"/>
          <w:sz w:val="20"/>
          <w:szCs w:val="20"/>
        </w:rPr>
      </w:pPr>
      <w:r w:rsidRPr="0040307B">
        <w:rPr>
          <w:rFonts w:ascii="Arial" w:hAnsi="Arial" w:eastAsia="Calibri" w:cs="Arial"/>
          <w:color w:val="1A1A1A" w:themeColor="background1" w:themeShade="1A"/>
          <w:sz w:val="20"/>
          <w:szCs w:val="20"/>
        </w:rPr>
        <w:t>De igual forma, esta Agencia ha precisado que la ejecución de recursos públicos,</w:t>
      </w:r>
      <w:r>
        <w:rPr>
          <w:rFonts w:ascii="Arial" w:hAnsi="Arial" w:eastAsia="Calibri" w:cs="Arial"/>
          <w:color w:val="1A1A1A" w:themeColor="background1" w:themeShade="1A"/>
          <w:sz w:val="20"/>
          <w:szCs w:val="20"/>
        </w:rPr>
        <w:t xml:space="preserve"> </w:t>
      </w:r>
      <w:r w:rsidRPr="0040307B">
        <w:rPr>
          <w:rFonts w:ascii="Arial" w:hAnsi="Arial" w:eastAsia="Calibri" w:cs="Arial"/>
          <w:color w:val="1A1A1A" w:themeColor="background1" w:themeShade="1A"/>
          <w:sz w:val="20"/>
          <w:szCs w:val="20"/>
        </w:rPr>
        <w:t>conforme indica el literal c) del artículo 3 de la Ley 1150 de 2007, no es el único fundamento jurídico de la obligación de las entidades estatales de publicar en el SECOP, comoquiera que tal obligación también surge con ocasión de la calidad de sujeto obligado en el marco de la Ley 1712 de 2014</w:t>
      </w:r>
      <w:r>
        <w:rPr>
          <w:rFonts w:ascii="Arial" w:hAnsi="Arial" w:eastAsia="Calibri" w:cs="Arial"/>
          <w:color w:val="1A1A1A" w:themeColor="background1" w:themeShade="1A"/>
          <w:sz w:val="20"/>
          <w:szCs w:val="20"/>
        </w:rPr>
        <w:t xml:space="preserve"> </w:t>
      </w:r>
      <w:r w:rsidR="002F2D74">
        <w:rPr>
          <w:rFonts w:ascii="Arial" w:hAnsi="Arial" w:eastAsia="Calibri" w:cs="Arial"/>
          <w:color w:val="1A1A1A" w:themeColor="background1" w:themeShade="1A"/>
          <w:sz w:val="20"/>
          <w:szCs w:val="20"/>
        </w:rPr>
        <w:t>[…].</w:t>
      </w:r>
    </w:p>
    <w:p w:rsidRPr="0091437B" w:rsidR="002F2D74" w:rsidP="00D307CD" w:rsidRDefault="002F2D74" w14:paraId="264C0829" w14:textId="77777777">
      <w:pPr>
        <w:jc w:val="both"/>
        <w:rPr>
          <w:rFonts w:ascii="Arial" w:hAnsi="Arial" w:eastAsia="Calibri" w:cs="Arial"/>
          <w:color w:val="1A1A1A" w:themeColor="background1" w:themeShade="1A"/>
          <w:sz w:val="20"/>
          <w:szCs w:val="20"/>
        </w:rPr>
      </w:pPr>
    </w:p>
    <w:p w:rsidRPr="0091437B" w:rsidR="00A551E2" w:rsidP="00D307CD" w:rsidRDefault="00A551E2" w14:paraId="75934109" w14:textId="55A7AE30">
      <w:pPr>
        <w:pStyle w:val="Prrafodelista"/>
        <w:spacing w:line="276" w:lineRule="auto"/>
        <w:ind w:left="0"/>
        <w:jc w:val="both"/>
        <w:rPr>
          <w:rFonts w:ascii="Arial" w:hAnsi="Arial" w:eastAsia="Calibri" w:cs="Arial"/>
          <w:b/>
          <w:color w:val="1A1A1A" w:themeColor="background1" w:themeShade="1A"/>
          <w:sz w:val="22"/>
          <w:szCs w:val="20"/>
        </w:rPr>
      </w:pPr>
      <w:r w:rsidRPr="0091437B">
        <w:rPr>
          <w:rFonts w:ascii="Arial" w:hAnsi="Arial" w:eastAsia="Calibri" w:cs="Arial"/>
          <w:b/>
          <w:color w:val="1A1A1A" w:themeColor="background1" w:themeShade="1A"/>
          <w:sz w:val="22"/>
          <w:szCs w:val="20"/>
        </w:rPr>
        <w:t xml:space="preserve">SECOP – Publicidad </w:t>
      </w:r>
      <w:r w:rsidRPr="0091437B">
        <w:rPr>
          <w:rFonts w:ascii="Arial" w:hAnsi="Arial" w:eastAsia="Calibri" w:cs="Arial"/>
          <w:b/>
          <w:color w:val="1A1A1A" w:themeColor="background1" w:themeShade="1A"/>
          <w:sz w:val="22"/>
          <w:szCs w:val="20"/>
        </w:rPr>
        <w:softHyphen/>
        <w:t xml:space="preserve">– </w:t>
      </w:r>
      <w:r w:rsidR="002F2D74">
        <w:rPr>
          <w:rFonts w:ascii="Arial" w:hAnsi="Arial" w:eastAsia="Calibri" w:cs="Arial"/>
          <w:b/>
          <w:color w:val="1A1A1A" w:themeColor="background1" w:themeShade="1A"/>
          <w:sz w:val="22"/>
          <w:szCs w:val="20"/>
        </w:rPr>
        <w:t xml:space="preserve">Documentos </w:t>
      </w:r>
      <w:r w:rsidRPr="0091437B" w:rsidR="002F2D74">
        <w:rPr>
          <w:rFonts w:ascii="Arial" w:hAnsi="Arial" w:eastAsia="Calibri" w:cs="Arial"/>
          <w:b/>
          <w:color w:val="1A1A1A" w:themeColor="background1" w:themeShade="1A"/>
          <w:sz w:val="22"/>
          <w:szCs w:val="20"/>
        </w:rPr>
        <w:t>–</w:t>
      </w:r>
      <w:r w:rsidR="002F2D74">
        <w:rPr>
          <w:rFonts w:ascii="Arial" w:hAnsi="Arial" w:eastAsia="Calibri" w:cs="Arial"/>
          <w:b/>
          <w:color w:val="1A1A1A" w:themeColor="background1" w:themeShade="1A"/>
          <w:sz w:val="22"/>
          <w:szCs w:val="20"/>
        </w:rPr>
        <w:t xml:space="preserve"> Término</w:t>
      </w:r>
    </w:p>
    <w:p w:rsidRPr="0091437B" w:rsidR="00A551E2" w:rsidP="00A551E2" w:rsidRDefault="00A551E2" w14:paraId="2D32F427" w14:textId="77777777">
      <w:pPr>
        <w:jc w:val="both"/>
        <w:rPr>
          <w:rFonts w:ascii="Arial" w:hAnsi="Arial" w:eastAsia="Calibri" w:cs="Arial"/>
          <w:b/>
          <w:color w:val="1A1A1A" w:themeColor="background1" w:themeShade="1A"/>
          <w:sz w:val="20"/>
          <w:szCs w:val="20"/>
        </w:rPr>
      </w:pPr>
    </w:p>
    <w:p w:rsidR="001F7A1F" w:rsidP="00A551E2" w:rsidRDefault="001F7A1F" w14:paraId="31561E5D" w14:textId="55780A46">
      <w:pPr>
        <w:jc w:val="both"/>
        <w:rPr>
          <w:rFonts w:ascii="Arial" w:hAnsi="Arial" w:eastAsia="Calibri" w:cs="Arial"/>
          <w:color w:val="1A1A1A" w:themeColor="background1" w:themeShade="1A"/>
          <w:sz w:val="20"/>
          <w:szCs w:val="20"/>
        </w:rPr>
      </w:pPr>
      <w:r w:rsidRPr="001F7A1F">
        <w:rPr>
          <w:rFonts w:ascii="Arial" w:hAnsi="Arial" w:eastAsia="Calibri" w:cs="Arial"/>
          <w:color w:val="1A1A1A" w:themeColor="background1" w:themeShade="1A"/>
          <w:sz w:val="20"/>
          <w:szCs w:val="20"/>
        </w:rPr>
        <w:t>De conformidad con lo anterior, el Decreto 1081 de 2015 señala que los documentos que deben publicar las entidades estatales, entre estas las empresas de servicios públicos domiciliarios,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rsidR="002F2D74" w:rsidP="00A551E2" w:rsidRDefault="002F2D74" w14:paraId="48E1E84E" w14:textId="6D5CBA33">
      <w:pPr>
        <w:jc w:val="both"/>
        <w:rPr>
          <w:rFonts w:ascii="Arial" w:hAnsi="Arial" w:eastAsia="Calibri" w:cs="Arial"/>
          <w:color w:val="1A1A1A" w:themeColor="background1" w:themeShade="1A"/>
          <w:sz w:val="20"/>
          <w:szCs w:val="20"/>
        </w:rPr>
      </w:pPr>
      <w:r>
        <w:rPr>
          <w:rFonts w:ascii="Arial" w:hAnsi="Arial" w:eastAsia="Calibri" w:cs="Arial"/>
          <w:color w:val="1A1A1A" w:themeColor="background1" w:themeShade="1A"/>
          <w:sz w:val="20"/>
          <w:szCs w:val="20"/>
        </w:rPr>
        <w:t>[…]</w:t>
      </w:r>
    </w:p>
    <w:p w:rsidR="005E5F36" w:rsidP="00A551E2" w:rsidRDefault="005E5F36" w14:paraId="61512EAD" w14:textId="3EFBC89E">
      <w:pPr>
        <w:jc w:val="both"/>
        <w:rPr>
          <w:rFonts w:ascii="Arial" w:hAnsi="Arial" w:eastAsia="Calibri" w:cs="Arial"/>
          <w:color w:val="1A1A1A" w:themeColor="background1" w:themeShade="1A"/>
          <w:sz w:val="20"/>
          <w:szCs w:val="20"/>
        </w:rPr>
      </w:pPr>
      <w:r w:rsidRPr="005E5F36">
        <w:rPr>
          <w:rFonts w:ascii="Arial" w:hAnsi="Arial" w:eastAsia="Calibri" w:cs="Arial"/>
          <w:color w:val="1A1A1A" w:themeColor="background1" w:themeShade="1A"/>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rsidR="002F2D74" w:rsidP="00A551E2" w:rsidRDefault="002F2D74" w14:paraId="6C7237FE" w14:textId="65CDCF8C">
      <w:pPr>
        <w:jc w:val="both"/>
        <w:rPr>
          <w:rFonts w:ascii="Arial" w:hAnsi="Arial" w:eastAsia="Calibri" w:cs="Arial"/>
          <w:color w:val="1A1A1A" w:themeColor="background1" w:themeShade="1A"/>
          <w:sz w:val="20"/>
          <w:szCs w:val="20"/>
        </w:rPr>
      </w:pPr>
    </w:p>
    <w:p w:rsidR="008F5003" w:rsidP="00A551E2" w:rsidRDefault="008F5003" w14:paraId="23A00A19" w14:textId="43CCEC5C">
      <w:pPr>
        <w:jc w:val="both"/>
        <w:rPr>
          <w:rFonts w:ascii="Arial" w:hAnsi="Arial" w:eastAsia="Calibri" w:cs="Arial"/>
          <w:b/>
          <w:color w:val="1A1A1A" w:themeColor="background1" w:themeShade="1A"/>
          <w:sz w:val="22"/>
          <w:szCs w:val="20"/>
        </w:rPr>
      </w:pPr>
      <w:r w:rsidRPr="00914168">
        <w:rPr>
          <w:rFonts w:ascii="Arial" w:hAnsi="Arial" w:eastAsia="Calibri" w:cs="Arial"/>
          <w:b/>
          <w:bCs/>
          <w:color w:val="1A1A1A" w:themeColor="background1" w:themeShade="1A"/>
          <w:sz w:val="22"/>
        </w:rPr>
        <w:t>SECOP</w:t>
      </w:r>
      <w:r w:rsidRPr="00914168">
        <w:rPr>
          <w:rFonts w:ascii="Arial" w:hAnsi="Arial" w:eastAsia="Calibri" w:cs="Arial"/>
          <w:color w:val="1A1A1A" w:themeColor="background1" w:themeShade="1A"/>
          <w:sz w:val="22"/>
        </w:rPr>
        <w:t xml:space="preserve"> </w:t>
      </w:r>
      <w:r w:rsidRPr="0091437B">
        <w:rPr>
          <w:rFonts w:ascii="Arial" w:hAnsi="Arial" w:eastAsia="Calibri" w:cs="Arial"/>
          <w:b/>
          <w:color w:val="1A1A1A" w:themeColor="background1" w:themeShade="1A"/>
          <w:sz w:val="22"/>
          <w:szCs w:val="20"/>
        </w:rPr>
        <w:t>–</w:t>
      </w:r>
      <w:r>
        <w:rPr>
          <w:rFonts w:ascii="Arial" w:hAnsi="Arial" w:eastAsia="Calibri" w:cs="Arial"/>
          <w:b/>
          <w:color w:val="1A1A1A" w:themeColor="background1" w:themeShade="1A"/>
          <w:sz w:val="22"/>
          <w:szCs w:val="20"/>
        </w:rPr>
        <w:t xml:space="preserve"> Publicidad </w:t>
      </w:r>
      <w:r w:rsidRPr="0091437B">
        <w:rPr>
          <w:rFonts w:ascii="Arial" w:hAnsi="Arial" w:eastAsia="Calibri" w:cs="Arial"/>
          <w:b/>
          <w:color w:val="1A1A1A" w:themeColor="background1" w:themeShade="1A"/>
          <w:sz w:val="22"/>
          <w:szCs w:val="20"/>
        </w:rPr>
        <w:t>–</w:t>
      </w:r>
      <w:r w:rsidR="006A1FF2">
        <w:rPr>
          <w:rFonts w:ascii="Arial" w:hAnsi="Arial" w:eastAsia="Calibri" w:cs="Arial"/>
          <w:b/>
          <w:color w:val="1A1A1A" w:themeColor="background1" w:themeShade="1A"/>
          <w:sz w:val="22"/>
          <w:szCs w:val="20"/>
        </w:rPr>
        <w:t xml:space="preserve"> Transparencia </w:t>
      </w:r>
      <w:r w:rsidRPr="0091437B" w:rsidR="006A1FF2">
        <w:rPr>
          <w:rFonts w:ascii="Arial" w:hAnsi="Arial" w:eastAsia="Calibri" w:cs="Arial"/>
          <w:b/>
          <w:color w:val="1A1A1A" w:themeColor="background1" w:themeShade="1A"/>
          <w:sz w:val="22"/>
          <w:szCs w:val="20"/>
        </w:rPr>
        <w:t>–</w:t>
      </w:r>
      <w:r w:rsidR="006A1FF2">
        <w:rPr>
          <w:rFonts w:ascii="Arial" w:hAnsi="Arial" w:eastAsia="Calibri" w:cs="Arial"/>
          <w:b/>
          <w:color w:val="1A1A1A" w:themeColor="background1" w:themeShade="1A"/>
          <w:sz w:val="22"/>
          <w:szCs w:val="20"/>
        </w:rPr>
        <w:t xml:space="preserve"> Acceso a información pública</w:t>
      </w:r>
    </w:p>
    <w:p w:rsidR="008F5003" w:rsidP="00A551E2" w:rsidRDefault="008F5003" w14:paraId="6314D28D" w14:textId="30DE454A">
      <w:pPr>
        <w:jc w:val="both"/>
        <w:rPr>
          <w:rFonts w:ascii="Arial" w:hAnsi="Arial" w:eastAsia="Calibri" w:cs="Arial"/>
          <w:b/>
          <w:color w:val="1A1A1A" w:themeColor="background1" w:themeShade="1A"/>
          <w:sz w:val="22"/>
          <w:szCs w:val="20"/>
        </w:rPr>
      </w:pPr>
    </w:p>
    <w:p w:rsidRPr="008F5003" w:rsidR="006A1FF2" w:rsidP="0062206A" w:rsidRDefault="008F5003" w14:paraId="02D5167B" w14:textId="15BB20B4">
      <w:pPr>
        <w:spacing w:after="120"/>
        <w:jc w:val="both"/>
        <w:rPr>
          <w:rFonts w:ascii="Arial" w:hAnsi="Arial" w:eastAsia="Calibri" w:cs="Arial"/>
          <w:color w:val="1A1A1A" w:themeColor="background1" w:themeShade="1A"/>
          <w:sz w:val="20"/>
          <w:szCs w:val="20"/>
        </w:rPr>
      </w:pPr>
      <w:r>
        <w:rPr>
          <w:rFonts w:ascii="Arial" w:hAnsi="Arial" w:eastAsia="Calibri" w:cs="Arial"/>
          <w:color w:val="1A1A1A" w:themeColor="background1" w:themeShade="1A"/>
          <w:sz w:val="20"/>
          <w:szCs w:val="20"/>
        </w:rPr>
        <w:t xml:space="preserve">[…] </w:t>
      </w:r>
      <w:r w:rsidRPr="00145264" w:rsidR="00145264">
        <w:rPr>
          <w:rFonts w:ascii="Arial" w:hAnsi="Arial" w:eastAsia="Calibri" w:cs="Arial"/>
          <w:color w:val="1A1A1A" w:themeColor="background1" w:themeShade="1A"/>
          <w:sz w:val="20"/>
          <w:szCs w:val="20"/>
        </w:rPr>
        <w:t xml:space="preserve">el Decreto reglamentario 1081 de 2015 en su artículo 2.1.1.2.1.4 señaló que los sujetos obligados que de conformidad con el artículo 5 de la Ley 1712 de 2014 deben publicar una serie de información mínima en la página principal de su sitio web oficial, en una sección específica que debe </w:t>
      </w:r>
      <w:r w:rsidRPr="00145264" w:rsidR="00145264">
        <w:rPr>
          <w:rFonts w:ascii="Arial" w:hAnsi="Arial" w:eastAsia="Calibri" w:cs="Arial"/>
          <w:color w:val="1A1A1A" w:themeColor="background1" w:themeShade="1A"/>
          <w:sz w:val="20"/>
          <w:szCs w:val="20"/>
        </w:rPr>
        <w:lastRenderedPageBreak/>
        <w:t>estar identificada con el nombre de «Transparencia y acceso a información pública». Esta información debe contener, entre otras cosas, «[…] la información mínima requerida a publicar de que tratan los artículos 9, 10 y 11 de la Ley 1712 de 2014».</w:t>
      </w:r>
    </w:p>
    <w:p w:rsidR="008F5003" w:rsidP="00914168" w:rsidRDefault="008F5003" w14:paraId="5A14E818" w14:textId="1B11C9AD">
      <w:pPr>
        <w:jc w:val="both"/>
        <w:rPr>
          <w:rFonts w:ascii="Arial" w:hAnsi="Arial" w:eastAsia="Calibri" w:cs="Arial"/>
          <w:color w:val="1A1A1A" w:themeColor="background1" w:themeShade="1A"/>
          <w:sz w:val="20"/>
          <w:szCs w:val="20"/>
        </w:rPr>
      </w:pPr>
      <w:r>
        <w:rPr>
          <w:rFonts w:ascii="Arial" w:hAnsi="Arial" w:eastAsia="Calibri" w:cs="Arial"/>
          <w:color w:val="1A1A1A" w:themeColor="background1" w:themeShade="1A"/>
          <w:sz w:val="20"/>
          <w:szCs w:val="20"/>
        </w:rPr>
        <w:t xml:space="preserve">[…] </w:t>
      </w:r>
      <w:r w:rsidRPr="00914168" w:rsidR="00914168">
        <w:rPr>
          <w:rFonts w:ascii="Arial" w:hAnsi="Arial" w:eastAsia="Calibri" w:cs="Arial"/>
          <w:color w:val="1A1A1A" w:themeColor="background1" w:themeShade="1A"/>
          <w:sz w:val="20"/>
          <w:szCs w:val="20"/>
        </w:rPr>
        <w:t>esto no desvirtúa la obligación que tienen las entidades con régimen especial de publicar su actividad contractual en el SECOP, por el contrario, la complementa, en el sentido de que deben disponer en sus páginas web por lo menos de los enlaces que permitan acceder a la información que repose en el SECOP.</w:t>
      </w:r>
    </w:p>
    <w:p w:rsidRPr="0091437B" w:rsidR="008F5003" w:rsidP="00A551E2" w:rsidRDefault="008F5003" w14:paraId="7A83FBEA" w14:textId="77777777">
      <w:pPr>
        <w:jc w:val="both"/>
        <w:rPr>
          <w:rFonts w:ascii="Arial" w:hAnsi="Arial" w:eastAsia="Calibri" w:cs="Arial"/>
          <w:color w:val="1A1A1A" w:themeColor="background1" w:themeShade="1A"/>
          <w:sz w:val="20"/>
          <w:szCs w:val="20"/>
        </w:rPr>
      </w:pPr>
    </w:p>
    <w:p w:rsidRPr="0091437B" w:rsidR="00A551E2" w:rsidP="00914168" w:rsidRDefault="00A551E2" w14:paraId="1D66E4ED" w14:textId="0BE4CB8C">
      <w:pPr>
        <w:jc w:val="both"/>
        <w:rPr>
          <w:rFonts w:ascii="Arial" w:hAnsi="Arial" w:eastAsia="Calibri" w:cs="Arial"/>
          <w:b/>
          <w:bCs/>
          <w:color w:val="1A1A1A" w:themeColor="background1" w:themeShade="1A"/>
          <w:sz w:val="22"/>
          <w:lang w:val="es-CO"/>
        </w:rPr>
      </w:pPr>
      <w:r w:rsidRPr="0091437B">
        <w:rPr>
          <w:rFonts w:ascii="Arial" w:hAnsi="Arial" w:eastAsia="Calibri" w:cs="Arial"/>
          <w:b/>
          <w:bCs/>
          <w:color w:val="1A1A1A" w:themeColor="background1" w:themeShade="1A"/>
          <w:sz w:val="22"/>
          <w:lang w:val="es-CO"/>
        </w:rPr>
        <w:t>EMPRESAS DE SERVICIOS PÚBLICOS – Naturaleza jurídica especial</w:t>
      </w:r>
      <w:r w:rsidR="00441FC6">
        <w:rPr>
          <w:rFonts w:ascii="Arial" w:hAnsi="Arial" w:eastAsia="Calibri" w:cs="Arial"/>
          <w:b/>
          <w:bCs/>
          <w:color w:val="1A1A1A" w:themeColor="background1" w:themeShade="1A"/>
          <w:sz w:val="22"/>
          <w:lang w:val="es-CO"/>
        </w:rPr>
        <w:t xml:space="preserve"> </w:t>
      </w:r>
      <w:r w:rsidRPr="0091437B" w:rsidR="00441FC6">
        <w:rPr>
          <w:rFonts w:ascii="Arial" w:hAnsi="Arial" w:eastAsia="Calibri" w:cs="Arial"/>
          <w:b/>
          <w:bCs/>
          <w:color w:val="1A1A1A" w:themeColor="background1" w:themeShade="1A"/>
          <w:sz w:val="22"/>
          <w:lang w:val="es-CO"/>
        </w:rPr>
        <w:t>–</w:t>
      </w:r>
      <w:r w:rsidR="00441FC6">
        <w:rPr>
          <w:rFonts w:ascii="Arial" w:hAnsi="Arial" w:eastAsia="Calibri" w:cs="Arial"/>
          <w:b/>
          <w:bCs/>
          <w:color w:val="1A1A1A" w:themeColor="background1" w:themeShade="1A"/>
          <w:sz w:val="22"/>
          <w:lang w:val="es-CO"/>
        </w:rPr>
        <w:t xml:space="preserve"> Régimen contractual</w:t>
      </w:r>
    </w:p>
    <w:p w:rsidRPr="0091437B" w:rsidR="00A551E2" w:rsidP="00914168" w:rsidRDefault="00A551E2" w14:paraId="0F692547" w14:textId="77777777">
      <w:pPr>
        <w:jc w:val="both"/>
        <w:rPr>
          <w:rFonts w:ascii="Arial" w:hAnsi="Arial" w:eastAsia="Calibri" w:cs="Arial"/>
          <w:b/>
          <w:color w:val="1A1A1A" w:themeColor="background1" w:themeShade="1A"/>
          <w:sz w:val="20"/>
          <w:szCs w:val="20"/>
          <w:lang w:val="es-CO"/>
        </w:rPr>
      </w:pPr>
    </w:p>
    <w:p w:rsidRPr="00914168" w:rsidR="00914168" w:rsidP="00914168" w:rsidRDefault="00914168" w14:paraId="531E7EA4" w14:textId="24A76847">
      <w:pPr>
        <w:jc w:val="both"/>
        <w:rPr>
          <w:rFonts w:ascii="Arial" w:hAnsi="Arial" w:cs="Arial"/>
          <w:color w:val="1A1A1A" w:themeColor="background1" w:themeShade="1A"/>
          <w:sz w:val="20"/>
          <w:szCs w:val="20"/>
          <w:lang w:val="es-CO"/>
        </w:rPr>
      </w:pPr>
      <w:r w:rsidRPr="00914168">
        <w:rPr>
          <w:rFonts w:ascii="Arial" w:hAnsi="Arial" w:cs="Arial"/>
          <w:color w:val="1A1A1A" w:themeColor="background1" w:themeShade="1A"/>
          <w:sz w:val="20"/>
          <w:szCs w:val="20"/>
          <w:lang w:val="es-CO"/>
        </w:rPr>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rsidRPr="00914168" w:rsidR="00914168" w:rsidP="00914168" w:rsidRDefault="00914168" w14:paraId="4EF6F4BD" w14:textId="7A97224D">
      <w:pPr>
        <w:spacing w:before="120"/>
        <w:jc w:val="both"/>
        <w:rPr>
          <w:rFonts w:ascii="Arial" w:hAnsi="Arial" w:cs="Arial"/>
          <w:color w:val="1A1A1A" w:themeColor="background1" w:themeShade="1A"/>
          <w:sz w:val="20"/>
          <w:szCs w:val="20"/>
          <w:lang w:val="es-CO"/>
        </w:rPr>
      </w:pPr>
      <w:r w:rsidRPr="00914168">
        <w:rPr>
          <w:rFonts w:ascii="Arial" w:hAnsi="Arial" w:cs="Arial"/>
          <w:color w:val="1A1A1A" w:themeColor="background1" w:themeShade="1A"/>
          <w:sz w:val="20"/>
          <w:szCs w:val="20"/>
          <w:lang w:val="es-CO"/>
        </w:rPr>
        <w:t xml:space="preserve">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p>
    <w:p w:rsidR="00A551E2" w:rsidP="00914168" w:rsidRDefault="00914168" w14:paraId="3EDF0ACA" w14:textId="4ECC90B4">
      <w:pPr>
        <w:spacing w:before="120"/>
        <w:jc w:val="both"/>
        <w:rPr>
          <w:rFonts w:ascii="Arial" w:hAnsi="Arial" w:eastAsia="Calibri" w:cs="Arial"/>
          <w:b/>
          <w:color w:val="1A1A1A" w:themeColor="background1" w:themeShade="1A"/>
          <w:sz w:val="20"/>
          <w:szCs w:val="20"/>
          <w:lang w:val="es-CO"/>
        </w:rPr>
      </w:pPr>
      <w:r w:rsidRPr="00914168">
        <w:rPr>
          <w:rFonts w:ascii="Arial" w:hAnsi="Arial" w:cs="Arial"/>
          <w:color w:val="1A1A1A" w:themeColor="background1" w:themeShade="1A"/>
          <w:sz w:val="20"/>
          <w:szCs w:val="20"/>
          <w:lang w:val="es-CO"/>
        </w:rPr>
        <w:t>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 Sin embargo, como se explicará a continuación, eso no las exime del deber de publicar su actividad contractual, cuando ejecuten recursos públicos.</w:t>
      </w:r>
    </w:p>
    <w:p w:rsidR="009B1FDD" w:rsidP="00A551E2" w:rsidRDefault="009B1FDD" w14:paraId="0316E7FD" w14:textId="20CE84DE">
      <w:pPr>
        <w:jc w:val="both"/>
        <w:rPr>
          <w:rFonts w:ascii="Arial" w:hAnsi="Arial" w:eastAsia="Calibri" w:cs="Arial"/>
          <w:b/>
          <w:color w:val="1A1A1A" w:themeColor="background1" w:themeShade="1A"/>
          <w:sz w:val="20"/>
          <w:szCs w:val="20"/>
          <w:lang w:val="es-CO"/>
        </w:rPr>
      </w:pPr>
    </w:p>
    <w:p w:rsidR="009B1FDD" w:rsidP="00A551E2" w:rsidRDefault="009B1FDD" w14:paraId="2DCBF5B8" w14:textId="049E5FC0">
      <w:pPr>
        <w:jc w:val="both"/>
        <w:rPr>
          <w:rFonts w:ascii="Arial" w:hAnsi="Arial" w:eastAsia="Calibri" w:cs="Arial"/>
          <w:b/>
          <w:color w:val="1A1A1A" w:themeColor="background1" w:themeShade="1A"/>
          <w:sz w:val="20"/>
          <w:szCs w:val="20"/>
          <w:lang w:val="es-CO"/>
        </w:rPr>
      </w:pPr>
    </w:p>
    <w:p w:rsidR="009B1FDD" w:rsidP="00A551E2" w:rsidRDefault="009B1FDD" w14:paraId="4ACBFC4D" w14:textId="0E9AEE9E">
      <w:pPr>
        <w:jc w:val="both"/>
        <w:rPr>
          <w:rFonts w:ascii="Arial" w:hAnsi="Arial" w:eastAsia="Calibri" w:cs="Arial"/>
          <w:b/>
          <w:color w:val="1A1A1A" w:themeColor="background1" w:themeShade="1A"/>
          <w:sz w:val="20"/>
          <w:szCs w:val="20"/>
          <w:lang w:val="es-CO"/>
        </w:rPr>
      </w:pPr>
    </w:p>
    <w:p w:rsidR="009B1FDD" w:rsidP="00A551E2" w:rsidRDefault="009B1FDD" w14:paraId="68C0D24D" w14:textId="4850C8EF">
      <w:pPr>
        <w:jc w:val="both"/>
        <w:rPr>
          <w:rFonts w:ascii="Arial" w:hAnsi="Arial" w:eastAsia="Calibri" w:cs="Arial"/>
          <w:b/>
          <w:color w:val="1A1A1A" w:themeColor="background1" w:themeShade="1A"/>
          <w:sz w:val="20"/>
          <w:szCs w:val="20"/>
          <w:lang w:val="es-CO"/>
        </w:rPr>
      </w:pPr>
    </w:p>
    <w:p w:rsidR="009B1FDD" w:rsidP="00A551E2" w:rsidRDefault="009B1FDD" w14:paraId="5E39676B" w14:textId="5B41519B">
      <w:pPr>
        <w:jc w:val="both"/>
        <w:rPr>
          <w:rFonts w:ascii="Arial" w:hAnsi="Arial" w:eastAsia="Calibri" w:cs="Arial"/>
          <w:b/>
          <w:color w:val="1A1A1A" w:themeColor="background1" w:themeShade="1A"/>
          <w:sz w:val="20"/>
          <w:szCs w:val="20"/>
          <w:lang w:val="es-CO"/>
        </w:rPr>
      </w:pPr>
    </w:p>
    <w:p w:rsidR="009B1FDD" w:rsidP="00A551E2" w:rsidRDefault="009B1FDD" w14:paraId="73E48A10" w14:textId="21917117">
      <w:pPr>
        <w:jc w:val="both"/>
        <w:rPr>
          <w:rFonts w:ascii="Arial" w:hAnsi="Arial" w:eastAsia="Calibri" w:cs="Arial"/>
          <w:b/>
          <w:color w:val="1A1A1A" w:themeColor="background1" w:themeShade="1A"/>
          <w:sz w:val="20"/>
          <w:szCs w:val="20"/>
          <w:lang w:val="es-CO"/>
        </w:rPr>
      </w:pPr>
    </w:p>
    <w:p w:rsidR="009B1FDD" w:rsidP="00A551E2" w:rsidRDefault="009B1FDD" w14:paraId="63AC3AC6" w14:textId="61579957">
      <w:pPr>
        <w:jc w:val="both"/>
        <w:rPr>
          <w:rFonts w:ascii="Arial" w:hAnsi="Arial" w:eastAsia="Calibri" w:cs="Arial"/>
          <w:b/>
          <w:color w:val="1A1A1A" w:themeColor="background1" w:themeShade="1A"/>
          <w:sz w:val="20"/>
          <w:szCs w:val="20"/>
          <w:lang w:val="es-CO"/>
        </w:rPr>
      </w:pPr>
    </w:p>
    <w:p w:rsidR="009B1FDD" w:rsidP="00A551E2" w:rsidRDefault="009B1FDD" w14:paraId="78A28F85" w14:textId="0F68D742">
      <w:pPr>
        <w:jc w:val="both"/>
        <w:rPr>
          <w:rFonts w:ascii="Arial" w:hAnsi="Arial" w:eastAsia="Calibri" w:cs="Arial"/>
          <w:b/>
          <w:color w:val="1A1A1A" w:themeColor="background1" w:themeShade="1A"/>
          <w:sz w:val="20"/>
          <w:szCs w:val="20"/>
          <w:lang w:val="es-CO"/>
        </w:rPr>
      </w:pPr>
    </w:p>
    <w:p w:rsidR="009B1FDD" w:rsidP="00A551E2" w:rsidRDefault="009B1FDD" w14:paraId="4416AEDB" w14:textId="353EE405">
      <w:pPr>
        <w:jc w:val="both"/>
        <w:rPr>
          <w:rFonts w:ascii="Arial" w:hAnsi="Arial" w:eastAsia="Calibri" w:cs="Arial"/>
          <w:b/>
          <w:color w:val="1A1A1A" w:themeColor="background1" w:themeShade="1A"/>
          <w:sz w:val="20"/>
          <w:szCs w:val="20"/>
          <w:lang w:val="es-CO"/>
        </w:rPr>
      </w:pPr>
    </w:p>
    <w:p w:rsidR="009B1FDD" w:rsidP="00A551E2" w:rsidRDefault="009B1FDD" w14:paraId="48BE7333" w14:textId="4D564E22">
      <w:pPr>
        <w:jc w:val="both"/>
        <w:rPr>
          <w:rFonts w:ascii="Arial" w:hAnsi="Arial" w:eastAsia="Calibri" w:cs="Arial"/>
          <w:b/>
          <w:color w:val="1A1A1A" w:themeColor="background1" w:themeShade="1A"/>
          <w:sz w:val="20"/>
          <w:szCs w:val="20"/>
          <w:lang w:val="es-CO"/>
        </w:rPr>
      </w:pPr>
    </w:p>
    <w:p w:rsidR="009B1FDD" w:rsidP="00A551E2" w:rsidRDefault="009B1FDD" w14:paraId="030049B1" w14:textId="3D17CEE3">
      <w:pPr>
        <w:jc w:val="both"/>
        <w:rPr>
          <w:rFonts w:ascii="Arial" w:hAnsi="Arial" w:eastAsia="Calibri" w:cs="Arial"/>
          <w:b/>
          <w:color w:val="1A1A1A" w:themeColor="background1" w:themeShade="1A"/>
          <w:sz w:val="20"/>
          <w:szCs w:val="20"/>
          <w:lang w:val="es-CO"/>
        </w:rPr>
      </w:pPr>
    </w:p>
    <w:p w:rsidR="009B1FDD" w:rsidP="217FF318" w:rsidRDefault="009B1FDD" w14:paraId="5AD274B0" w14:noSpellErr="1" w14:textId="384EB05A">
      <w:pPr>
        <w:pStyle w:val="Normal"/>
        <w:jc w:val="both"/>
        <w:rPr>
          <w:rFonts w:ascii="Arial" w:hAnsi="Arial" w:eastAsia="Calibri" w:cs="Arial"/>
          <w:b w:val="1"/>
          <w:bCs w:val="1"/>
          <w:color w:val="1A1A1A" w:themeColor="background1" w:themeShade="1A"/>
          <w:sz w:val="24"/>
          <w:szCs w:val="24"/>
          <w:lang w:val="es-CO"/>
        </w:rPr>
      </w:pPr>
    </w:p>
    <w:p w:rsidR="217FF318" w:rsidP="217FF318" w:rsidRDefault="217FF318" w14:paraId="22B44F4C" w14:textId="673820A6">
      <w:pPr>
        <w:pStyle w:val="Normal"/>
        <w:jc w:val="both"/>
        <w:rPr>
          <w:rFonts w:ascii="Arial" w:hAnsi="Arial" w:eastAsia="Calibri" w:cs="Arial"/>
          <w:b w:val="1"/>
          <w:bCs w:val="1"/>
          <w:color w:val="1A1A1A"/>
          <w:sz w:val="24"/>
          <w:szCs w:val="24"/>
          <w:lang w:val="es-CO"/>
        </w:rPr>
      </w:pPr>
    </w:p>
    <w:p w:rsidR="217FF318" w:rsidP="217FF318" w:rsidRDefault="217FF318" w14:paraId="67AC43FC" w14:textId="4D0B589A">
      <w:pPr>
        <w:pStyle w:val="Normal"/>
        <w:jc w:val="both"/>
        <w:rPr>
          <w:rFonts w:ascii="Arial" w:hAnsi="Arial" w:eastAsia="Calibri" w:cs="Arial"/>
          <w:b w:val="1"/>
          <w:bCs w:val="1"/>
          <w:color w:val="1A1A1A"/>
          <w:sz w:val="24"/>
          <w:szCs w:val="24"/>
          <w:lang w:val="es-CO"/>
        </w:rPr>
      </w:pPr>
    </w:p>
    <w:p w:rsidR="217FF318" w:rsidP="217FF318" w:rsidRDefault="217FF318" w14:paraId="503CD76D" w14:textId="33684EE9">
      <w:pPr>
        <w:pStyle w:val="Normal"/>
        <w:jc w:val="both"/>
        <w:rPr>
          <w:rFonts w:ascii="Arial" w:hAnsi="Arial" w:eastAsia="Calibri" w:cs="Arial"/>
          <w:b w:val="1"/>
          <w:bCs w:val="1"/>
          <w:color w:val="1A1A1A"/>
          <w:sz w:val="24"/>
          <w:szCs w:val="24"/>
          <w:lang w:val="es-CO"/>
        </w:rPr>
      </w:pPr>
    </w:p>
    <w:p w:rsidR="009B1FDD" w:rsidP="00A551E2" w:rsidRDefault="009B1FDD" w14:paraId="08900CA3" w14:textId="194181CA">
      <w:pPr>
        <w:jc w:val="both"/>
        <w:rPr>
          <w:rFonts w:ascii="Arial" w:hAnsi="Arial" w:eastAsia="Calibri" w:cs="Arial"/>
          <w:b/>
          <w:color w:val="1A1A1A" w:themeColor="background1" w:themeShade="1A"/>
          <w:sz w:val="20"/>
          <w:szCs w:val="20"/>
          <w:lang w:val="es-CO"/>
        </w:rPr>
      </w:pPr>
    </w:p>
    <w:p w:rsidR="009B1FDD" w:rsidP="00A551E2" w:rsidRDefault="009B1FDD" w14:paraId="011CDB2F" w14:textId="4B114169">
      <w:pPr>
        <w:jc w:val="both"/>
        <w:rPr>
          <w:rFonts w:ascii="Arial" w:hAnsi="Arial" w:eastAsia="Calibri" w:cs="Arial"/>
          <w:b/>
          <w:color w:val="1A1A1A" w:themeColor="background1" w:themeShade="1A"/>
          <w:sz w:val="20"/>
          <w:szCs w:val="20"/>
          <w:lang w:val="es-CO"/>
        </w:rPr>
      </w:pPr>
    </w:p>
    <w:p w:rsidR="009B1FDD" w:rsidP="00A551E2" w:rsidRDefault="009B1FDD" w14:paraId="700740D8" w14:textId="614F92C1">
      <w:pPr>
        <w:jc w:val="both"/>
        <w:rPr>
          <w:rFonts w:ascii="Arial" w:hAnsi="Arial" w:eastAsia="Calibri" w:cs="Arial"/>
          <w:b/>
          <w:color w:val="1A1A1A" w:themeColor="background1" w:themeShade="1A"/>
          <w:sz w:val="20"/>
          <w:szCs w:val="20"/>
          <w:lang w:val="es-CO"/>
        </w:rPr>
      </w:pPr>
    </w:p>
    <w:p w:rsidRPr="0091437B" w:rsidR="009B1FDD" w:rsidP="00A551E2" w:rsidRDefault="009B1FDD" w14:paraId="44BDF2B8" w14:textId="77777777">
      <w:pPr>
        <w:jc w:val="both"/>
        <w:rPr>
          <w:rFonts w:ascii="Arial" w:hAnsi="Arial" w:eastAsia="Calibri" w:cs="Arial"/>
          <w:b/>
          <w:color w:val="1A1A1A" w:themeColor="background1" w:themeShade="1A"/>
          <w:sz w:val="20"/>
          <w:szCs w:val="20"/>
          <w:lang w:val="es-CO"/>
        </w:rPr>
      </w:pPr>
    </w:p>
    <w:p w:rsidR="00A551E2" w:rsidP="00A551E2" w:rsidRDefault="00A551E2" w14:paraId="3871F888" w14:textId="4F86E7D7">
      <w:pPr>
        <w:jc w:val="both"/>
        <w:rPr>
          <w:rFonts w:ascii="Arial" w:hAnsi="Arial" w:eastAsia="Calibri" w:cs="Arial"/>
          <w:b/>
          <w:color w:val="1A1A1A" w:themeColor="background1" w:themeShade="1A"/>
          <w:sz w:val="20"/>
          <w:szCs w:val="20"/>
          <w:lang w:val="es-CO"/>
        </w:rPr>
      </w:pPr>
    </w:p>
    <w:p w:rsidRPr="0091437B" w:rsidR="00441FC6" w:rsidP="217FF318" w:rsidRDefault="00441FC6" w14:paraId="2DEE13EC" w14:textId="2056E0B1">
      <w:pPr>
        <w:jc w:val="both"/>
        <w:rPr>
          <w:rFonts w:ascii="Arial" w:hAnsi="Arial" w:eastAsia="Calibri" w:cs="Arial"/>
          <w:b w:val="0"/>
          <w:bCs w:val="0"/>
          <w:color w:val="1A1A1A" w:themeColor="background1" w:themeShade="1A"/>
          <w:sz w:val="22"/>
          <w:szCs w:val="22"/>
        </w:rPr>
      </w:pPr>
      <w:r w:rsidRPr="217FF318" w:rsidR="4FCAC3C0">
        <w:rPr>
          <w:rFonts w:ascii="Arial" w:hAnsi="Arial" w:eastAsia="Calibri" w:cs="Arial"/>
          <w:b w:val="0"/>
          <w:bCs w:val="0"/>
          <w:color w:val="1A1A1A"/>
          <w:sz w:val="22"/>
          <w:szCs w:val="22"/>
        </w:rPr>
        <w:t xml:space="preserve">Bogotá D.C., 2 </w:t>
      </w:r>
      <w:proofErr w:type="gramStart"/>
      <w:r w:rsidRPr="217FF318" w:rsidR="4FCAC3C0">
        <w:rPr>
          <w:rFonts w:ascii="Arial" w:hAnsi="Arial" w:eastAsia="Calibri" w:cs="Arial"/>
          <w:b w:val="0"/>
          <w:bCs w:val="0"/>
          <w:color w:val="1A1A1A"/>
          <w:sz w:val="22"/>
          <w:szCs w:val="22"/>
        </w:rPr>
        <w:t>Marzo</w:t>
      </w:r>
      <w:proofErr w:type="gramEnd"/>
      <w:r w:rsidRPr="217FF318" w:rsidR="4FCAC3C0">
        <w:rPr>
          <w:rFonts w:ascii="Arial" w:hAnsi="Arial" w:eastAsia="Calibri" w:cs="Arial"/>
          <w:b w:val="0"/>
          <w:bCs w:val="0"/>
          <w:color w:val="1A1A1A"/>
          <w:sz w:val="22"/>
          <w:szCs w:val="22"/>
        </w:rPr>
        <w:t xml:space="preserve"> 2021</w:t>
      </w:r>
    </w:p>
    <w:p w:rsidRPr="0091437B" w:rsidR="00A551E2" w:rsidP="00A551E2" w:rsidRDefault="00A551E2" w14:paraId="07583AAC" w14:textId="77777777">
      <w:pPr>
        <w:jc w:val="both"/>
        <w:rPr>
          <w:rFonts w:ascii="Arial" w:hAnsi="Arial" w:eastAsia="Calibri" w:cs="Arial"/>
          <w:b/>
          <w:bCs/>
          <w:color w:val="1A1A1A" w:themeColor="background1" w:themeShade="1A"/>
          <w:sz w:val="22"/>
        </w:rPr>
      </w:pPr>
    </w:p>
    <w:p w:rsidR="00A551E2" w:rsidP="00A551E2" w:rsidRDefault="00A551E2" w14:paraId="5ECF93FA" w14:textId="46AB695B">
      <w:pPr>
        <w:rPr>
          <w:rFonts w:ascii="Arial" w:hAnsi="Arial" w:cs="Arial"/>
          <w:color w:val="1A1A1A" w:themeColor="background1" w:themeShade="1A"/>
          <w:sz w:val="22"/>
          <w:szCs w:val="20"/>
        </w:rPr>
      </w:pPr>
    </w:p>
    <w:p w:rsidRPr="0091437B" w:rsidR="00A551E2" w:rsidP="00A551E2" w:rsidRDefault="00A551E2" w14:paraId="53165153" w14:textId="77777777">
      <w:pPr>
        <w:rPr>
          <w:rFonts w:ascii="Arial" w:hAnsi="Arial" w:eastAsia="Calibri" w:cs="Arial"/>
          <w:color w:val="1A1A1A" w:themeColor="background1" w:themeShade="1A"/>
          <w:sz w:val="22"/>
        </w:rPr>
      </w:pPr>
    </w:p>
    <w:p w:rsidRPr="0091437B" w:rsidR="00A551E2" w:rsidP="00A551E2" w:rsidRDefault="00A551E2" w14:paraId="1A3AAD1A" w14:textId="77777777">
      <w:pPr>
        <w:rPr>
          <w:rFonts w:ascii="Arial" w:hAnsi="Arial" w:eastAsia="Calibri" w:cs="Arial"/>
          <w:color w:val="1A1A1A" w:themeColor="background1" w:themeShade="1A"/>
          <w:sz w:val="22"/>
        </w:rPr>
      </w:pPr>
    </w:p>
    <w:p w:rsidRPr="0091437B" w:rsidR="00A551E2" w:rsidP="00A551E2" w:rsidRDefault="00A551E2" w14:paraId="580F9104" w14:textId="77249467">
      <w:pPr>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Señor</w:t>
      </w:r>
    </w:p>
    <w:p w:rsidRPr="0091437B" w:rsidR="00A551E2" w:rsidP="00A551E2" w:rsidRDefault="00BF77EF" w14:paraId="683B26BC" w14:textId="1B0703AC">
      <w:pPr>
        <w:rPr>
          <w:rFonts w:ascii="Arial" w:hAnsi="Arial" w:eastAsia="Calibri" w:cs="Arial"/>
          <w:b/>
          <w:color w:val="1A1A1A" w:themeColor="background1" w:themeShade="1A"/>
          <w:sz w:val="22"/>
        </w:rPr>
      </w:pPr>
      <w:r>
        <w:rPr>
          <w:rFonts w:ascii="Arial" w:hAnsi="Arial" w:eastAsia="Calibri" w:cs="Arial"/>
          <w:b/>
          <w:color w:val="1A1A1A" w:themeColor="background1" w:themeShade="1A"/>
          <w:sz w:val="22"/>
        </w:rPr>
        <w:t>Luis Javier Osorio Tirado</w:t>
      </w:r>
    </w:p>
    <w:p w:rsidRPr="0091437B" w:rsidR="00A551E2" w:rsidP="00A551E2" w:rsidRDefault="00A551E2" w14:paraId="4049E3CC" w14:textId="77777777">
      <w:pPr>
        <w:rPr>
          <w:rFonts w:ascii="Arial" w:hAnsi="Arial" w:eastAsia="Calibri" w:cs="Arial"/>
          <w:color w:val="1A1A1A" w:themeColor="background1" w:themeShade="1A"/>
          <w:sz w:val="22"/>
        </w:rPr>
      </w:pPr>
      <w:r>
        <w:rPr>
          <w:rFonts w:ascii="Arial" w:hAnsi="Arial" w:eastAsia="Calibri" w:cs="Arial"/>
          <w:color w:val="1A1A1A" w:themeColor="background1" w:themeShade="1A"/>
          <w:sz w:val="22"/>
        </w:rPr>
        <w:t>Bogotá D.C.</w:t>
      </w:r>
    </w:p>
    <w:p w:rsidR="00A551E2" w:rsidP="00A551E2" w:rsidRDefault="00A551E2" w14:paraId="6DB4D95B" w14:textId="1E12C525">
      <w:pPr>
        <w:rPr>
          <w:rFonts w:ascii="Arial" w:hAnsi="Arial" w:eastAsia="Calibri" w:cs="Arial"/>
          <w:b/>
          <w:bCs/>
          <w:color w:val="1A1A1A" w:themeColor="background1" w:themeShade="1A"/>
          <w:sz w:val="22"/>
        </w:rPr>
      </w:pPr>
    </w:p>
    <w:p w:rsidRPr="0091437B" w:rsidR="00914168" w:rsidP="00A551E2" w:rsidRDefault="00914168" w14:paraId="5121F05C" w14:textId="77777777">
      <w:pPr>
        <w:rPr>
          <w:rFonts w:ascii="Arial" w:hAnsi="Arial" w:eastAsia="Calibri" w:cs="Arial"/>
          <w:b/>
          <w:bCs/>
          <w:color w:val="1A1A1A" w:themeColor="background1" w:themeShade="1A"/>
          <w:sz w:val="22"/>
        </w:rPr>
      </w:pPr>
    </w:p>
    <w:p w:rsidRPr="0091437B" w:rsidR="00A551E2" w:rsidP="00A551E2" w:rsidRDefault="00A551E2" w14:paraId="4E036681" w14:textId="77777777">
      <w:pPr>
        <w:rPr>
          <w:rFonts w:ascii="Arial" w:hAnsi="Arial" w:eastAsia="Calibri" w:cs="Arial"/>
          <w:b/>
          <w:bCs/>
          <w:color w:val="1A1A1A" w:themeColor="background1" w:themeShade="1A"/>
          <w:sz w:val="22"/>
        </w:rPr>
      </w:pPr>
    </w:p>
    <w:p w:rsidRPr="0091437B" w:rsidR="00A551E2" w:rsidP="00A551E2" w:rsidRDefault="00A551E2" w14:paraId="738032CF" w14:textId="7C536BE3">
      <w:pPr>
        <w:rPr>
          <w:rFonts w:ascii="Arial" w:hAnsi="Arial" w:eastAsia="Calibri" w:cs="Arial"/>
          <w:b/>
          <w:bCs/>
          <w:color w:val="1A1A1A" w:themeColor="background1" w:themeShade="1A"/>
          <w:sz w:val="22"/>
        </w:rPr>
      </w:pPr>
      <w:r w:rsidRPr="0091437B">
        <w:rPr>
          <w:rFonts w:ascii="Arial" w:hAnsi="Arial" w:eastAsia="Calibri" w:cs="Arial"/>
          <w:b/>
          <w:bCs/>
          <w:color w:val="1A1A1A" w:themeColor="background1" w:themeShade="1A"/>
          <w:sz w:val="22"/>
        </w:rPr>
        <w:t xml:space="preserve">                                            Concepto C ‒ </w:t>
      </w:r>
      <w:r w:rsidR="0057553E">
        <w:rPr>
          <w:rFonts w:ascii="Arial" w:hAnsi="Arial" w:eastAsia="Calibri" w:cs="Arial"/>
          <w:b/>
          <w:bCs/>
          <w:color w:val="1A1A1A" w:themeColor="background1" w:themeShade="1A"/>
          <w:sz w:val="22"/>
        </w:rPr>
        <w:t>032</w:t>
      </w:r>
      <w:r w:rsidRPr="0091437B">
        <w:rPr>
          <w:rFonts w:ascii="Arial" w:hAnsi="Arial" w:eastAsia="Calibri" w:cs="Arial"/>
          <w:b/>
          <w:bCs/>
          <w:color w:val="1A1A1A" w:themeColor="background1" w:themeShade="1A"/>
          <w:sz w:val="22"/>
        </w:rPr>
        <w:t xml:space="preserve"> de 202</w:t>
      </w:r>
      <w:r w:rsidR="0057553E">
        <w:rPr>
          <w:rFonts w:ascii="Arial" w:hAnsi="Arial" w:eastAsia="Calibri" w:cs="Arial"/>
          <w:b/>
          <w:bCs/>
          <w:color w:val="1A1A1A" w:themeColor="background1" w:themeShade="1A"/>
          <w:sz w:val="22"/>
        </w:rPr>
        <w:t>1</w:t>
      </w:r>
    </w:p>
    <w:p w:rsidRPr="0091437B" w:rsidR="00A551E2" w:rsidP="00A551E2" w:rsidRDefault="00A551E2" w14:paraId="182A2823" w14:textId="77777777">
      <w:pPr>
        <w:jc w:val="center"/>
        <w:rPr>
          <w:rFonts w:ascii="Arial" w:hAnsi="Arial" w:eastAsia="Calibri" w:cs="Arial"/>
          <w:b/>
          <w:bCs/>
          <w:color w:val="1A1A1A" w:themeColor="background1" w:themeShade="1A"/>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1437B" w:rsidR="00A551E2" w:rsidTr="00DA69D6" w14:paraId="469010BA" w14:textId="77777777">
        <w:tc>
          <w:tcPr>
            <w:tcW w:w="2689" w:type="dxa"/>
          </w:tcPr>
          <w:p w:rsidRPr="0091437B" w:rsidR="00A551E2" w:rsidP="00DA69D6" w:rsidRDefault="00A551E2" w14:paraId="245280C9" w14:textId="77777777">
            <w:pPr>
              <w:rPr>
                <w:rFonts w:ascii="Arial" w:hAnsi="Arial" w:eastAsia="Calibri" w:cs="Arial"/>
                <w:color w:val="1A1A1A" w:themeColor="background1" w:themeShade="1A"/>
                <w:sz w:val="22"/>
              </w:rPr>
            </w:pPr>
            <w:r w:rsidRPr="0091437B">
              <w:rPr>
                <w:rFonts w:ascii="Arial" w:hAnsi="Arial" w:eastAsia="Calibri" w:cs="Arial"/>
                <w:b/>
                <w:color w:val="1A1A1A" w:themeColor="background1" w:themeShade="1A"/>
                <w:sz w:val="22"/>
              </w:rPr>
              <w:t>Temas:</w:t>
            </w:r>
            <w:r w:rsidRPr="0091437B">
              <w:rPr>
                <w:rFonts w:ascii="Arial" w:hAnsi="Arial" w:eastAsia="Calibri" w:cs="Arial"/>
                <w:color w:val="1A1A1A" w:themeColor="background1" w:themeShade="1A"/>
                <w:sz w:val="22"/>
              </w:rPr>
              <w:t xml:space="preserve">                                      </w:t>
            </w:r>
          </w:p>
        </w:tc>
        <w:tc>
          <w:tcPr>
            <w:tcW w:w="6237" w:type="dxa"/>
            <w:hideMark/>
          </w:tcPr>
          <w:p w:rsidRPr="0091437B" w:rsidR="00A551E2" w:rsidP="00DA69D6" w:rsidRDefault="00984100" w14:paraId="0C237018" w14:textId="5DFD5D81">
            <w:pPr>
              <w:spacing w:after="120"/>
              <w:jc w:val="both"/>
              <w:rPr>
                <w:rFonts w:ascii="Arial" w:hAnsi="Arial" w:eastAsia="Calibri" w:cs="Arial"/>
                <w:color w:val="1A1A1A" w:themeColor="background1" w:themeShade="1A"/>
                <w:sz w:val="22"/>
                <w:highlight w:val="yellow"/>
              </w:rPr>
            </w:pPr>
            <w:r>
              <w:rPr>
                <w:rFonts w:ascii="Arial" w:hAnsi="Arial" w:eastAsia="Calibri" w:cs="Arial"/>
                <w:color w:val="1A1A1A" w:themeColor="background1" w:themeShade="1A"/>
                <w:sz w:val="22"/>
              </w:rPr>
              <w:t xml:space="preserve">PRINCIPIO DE PUBLICIDAD </w:t>
            </w:r>
            <w:r w:rsidRPr="0091437B" w:rsidR="00A551E2">
              <w:rPr>
                <w:rFonts w:ascii="Arial" w:hAnsi="Arial" w:eastAsia="Calibri" w:cs="Arial"/>
                <w:color w:val="1A1A1A" w:themeColor="background1" w:themeShade="1A"/>
                <w:sz w:val="22"/>
              </w:rPr>
              <w:t xml:space="preserve">– </w:t>
            </w:r>
            <w:r>
              <w:rPr>
                <w:rFonts w:ascii="Arial" w:hAnsi="Arial" w:eastAsia="Calibri" w:cs="Arial"/>
                <w:color w:val="1A1A1A" w:themeColor="background1" w:themeShade="1A"/>
                <w:sz w:val="22"/>
              </w:rPr>
              <w:t>Fundamento constitucional</w:t>
            </w:r>
            <w:r w:rsidRPr="0091437B" w:rsidR="00A551E2">
              <w:rPr>
                <w:rFonts w:ascii="Arial" w:hAnsi="Arial" w:eastAsia="Calibri" w:cs="Arial"/>
                <w:color w:val="1A1A1A" w:themeColor="background1" w:themeShade="1A"/>
                <w:sz w:val="22"/>
              </w:rPr>
              <w:t xml:space="preserve"> – </w:t>
            </w:r>
            <w:r>
              <w:rPr>
                <w:rFonts w:ascii="Arial" w:hAnsi="Arial" w:eastAsia="Calibri" w:cs="Arial"/>
                <w:color w:val="1A1A1A" w:themeColor="background1" w:themeShade="1A"/>
                <w:sz w:val="22"/>
              </w:rPr>
              <w:t>Desarrollo legal</w:t>
            </w:r>
            <w:r w:rsidRPr="0091437B" w:rsidR="00A551E2">
              <w:rPr>
                <w:rFonts w:ascii="Arial" w:hAnsi="Arial" w:eastAsia="Calibri" w:cs="Arial"/>
                <w:color w:val="1A1A1A" w:themeColor="background1" w:themeShade="1A"/>
                <w:sz w:val="22"/>
              </w:rPr>
              <w:t xml:space="preserve"> / </w:t>
            </w:r>
            <w:r>
              <w:rPr>
                <w:rFonts w:ascii="Arial" w:hAnsi="Arial" w:eastAsia="Calibri" w:cs="Arial"/>
                <w:color w:val="1A1A1A" w:themeColor="background1" w:themeShade="1A"/>
                <w:sz w:val="22"/>
              </w:rPr>
              <w:t xml:space="preserve">PUBLICIDAD </w:t>
            </w:r>
            <w:r w:rsidRPr="0091437B" w:rsidR="00A551E2">
              <w:rPr>
                <w:rFonts w:ascii="Arial" w:hAnsi="Arial" w:eastAsia="Calibri" w:cs="Arial"/>
                <w:color w:val="1A1A1A" w:themeColor="background1" w:themeShade="1A"/>
                <w:sz w:val="22"/>
              </w:rPr>
              <w:t xml:space="preserve">SECOP – </w:t>
            </w:r>
            <w:r>
              <w:rPr>
                <w:rFonts w:ascii="Arial" w:hAnsi="Arial" w:eastAsia="Calibri" w:cs="Arial"/>
                <w:color w:val="1A1A1A" w:themeColor="background1" w:themeShade="1A"/>
                <w:sz w:val="22"/>
              </w:rPr>
              <w:t>Obligatoriedad</w:t>
            </w:r>
            <w:r w:rsidRPr="0091437B" w:rsidR="00A551E2">
              <w:rPr>
                <w:rFonts w:ascii="Arial" w:hAnsi="Arial" w:eastAsia="Calibri" w:cs="Arial"/>
                <w:color w:val="1A1A1A" w:themeColor="background1" w:themeShade="1A"/>
                <w:sz w:val="22"/>
              </w:rPr>
              <w:t xml:space="preserve"> –</w:t>
            </w:r>
            <w:r>
              <w:rPr>
                <w:rFonts w:ascii="Arial" w:hAnsi="Arial" w:eastAsia="Calibri" w:cs="Arial"/>
                <w:color w:val="1A1A1A" w:themeColor="background1" w:themeShade="1A"/>
                <w:sz w:val="22"/>
              </w:rPr>
              <w:t xml:space="preserve"> Régimen especial</w:t>
            </w:r>
            <w:r w:rsidRPr="0091437B" w:rsidR="00A551E2">
              <w:rPr>
                <w:rFonts w:ascii="Arial" w:hAnsi="Arial" w:eastAsia="Calibri" w:cs="Arial"/>
                <w:color w:val="1A1A1A" w:themeColor="background1" w:themeShade="1A"/>
                <w:sz w:val="22"/>
              </w:rPr>
              <w:t xml:space="preserve"> / SECOP – Publicidad – </w:t>
            </w:r>
            <w:r>
              <w:rPr>
                <w:rFonts w:ascii="Arial" w:hAnsi="Arial" w:eastAsia="Calibri" w:cs="Arial"/>
                <w:color w:val="1A1A1A" w:themeColor="background1" w:themeShade="1A"/>
                <w:sz w:val="22"/>
              </w:rPr>
              <w:t xml:space="preserve">Transparencia </w:t>
            </w:r>
            <w:r w:rsidRPr="0091437B">
              <w:rPr>
                <w:rFonts w:ascii="Arial" w:hAnsi="Arial" w:eastAsia="Calibri" w:cs="Arial"/>
                <w:color w:val="1A1A1A" w:themeColor="background1" w:themeShade="1A"/>
                <w:sz w:val="22"/>
              </w:rPr>
              <w:t>–</w:t>
            </w:r>
            <w:r>
              <w:rPr>
                <w:rFonts w:ascii="Arial" w:hAnsi="Arial" w:eastAsia="Calibri" w:cs="Arial"/>
                <w:color w:val="1A1A1A" w:themeColor="background1" w:themeShade="1A"/>
                <w:sz w:val="22"/>
              </w:rPr>
              <w:t xml:space="preserve"> Acceso a información pública</w:t>
            </w:r>
            <w:r w:rsidRPr="0091437B" w:rsidR="00A551E2">
              <w:rPr>
                <w:rFonts w:ascii="Arial" w:hAnsi="Arial" w:eastAsia="Calibri" w:cs="Arial"/>
                <w:color w:val="1A1A1A" w:themeColor="background1" w:themeShade="1A"/>
                <w:sz w:val="22"/>
              </w:rPr>
              <w:t xml:space="preserve"> / EMPRESAS DE SERVICIOS PÚBLICOS – Naturaleza jurídica especial – Régimen contractual</w:t>
            </w:r>
          </w:p>
        </w:tc>
      </w:tr>
      <w:tr w:rsidRPr="0091437B" w:rsidR="00A551E2" w:rsidTr="00DA69D6" w14:paraId="70E81022" w14:textId="77777777">
        <w:tc>
          <w:tcPr>
            <w:tcW w:w="2689" w:type="dxa"/>
            <w:hideMark/>
          </w:tcPr>
          <w:p w:rsidRPr="0091437B" w:rsidR="00A551E2" w:rsidP="00DA69D6" w:rsidRDefault="00A551E2" w14:paraId="1FDE7867" w14:textId="77777777">
            <w:pPr>
              <w:rPr>
                <w:rFonts w:ascii="Arial" w:hAnsi="Arial" w:eastAsia="Calibri" w:cs="Arial"/>
                <w:b/>
                <w:color w:val="1A1A1A" w:themeColor="background1" w:themeShade="1A"/>
                <w:sz w:val="22"/>
              </w:rPr>
            </w:pPr>
            <w:r w:rsidRPr="0091437B">
              <w:rPr>
                <w:rFonts w:ascii="Arial" w:hAnsi="Arial" w:eastAsia="Calibri" w:cs="Arial"/>
                <w:b/>
                <w:color w:val="1A1A1A" w:themeColor="background1" w:themeShade="1A"/>
                <w:sz w:val="22"/>
              </w:rPr>
              <w:t>Radicación:</w:t>
            </w:r>
            <w:r w:rsidRPr="0091437B">
              <w:rPr>
                <w:rFonts w:ascii="Arial" w:hAnsi="Arial" w:eastAsia="Calibri" w:cs="Arial"/>
                <w:color w:val="1A1A1A" w:themeColor="background1" w:themeShade="1A"/>
                <w:sz w:val="22"/>
              </w:rPr>
              <w:t xml:space="preserve">                              </w:t>
            </w:r>
          </w:p>
        </w:tc>
        <w:tc>
          <w:tcPr>
            <w:tcW w:w="6237" w:type="dxa"/>
            <w:hideMark/>
          </w:tcPr>
          <w:p w:rsidRPr="0091437B" w:rsidR="00A551E2" w:rsidP="00DA69D6" w:rsidRDefault="00A551E2" w14:paraId="34BDD02D" w14:textId="03A4505E">
            <w:pPr>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 xml:space="preserve">Respuesta consulta # </w:t>
            </w:r>
            <w:r w:rsidR="004B2B2E">
              <w:rPr>
                <w:rFonts w:ascii="Arial" w:hAnsi="Arial" w:eastAsia="Calibri" w:cs="Arial"/>
                <w:color w:val="1A1A1A" w:themeColor="background1" w:themeShade="1A"/>
                <w:sz w:val="22"/>
              </w:rPr>
              <w:t>P20210122000493</w:t>
            </w:r>
          </w:p>
        </w:tc>
      </w:tr>
    </w:tbl>
    <w:p w:rsidRPr="0091437B" w:rsidR="00A551E2" w:rsidP="00A551E2" w:rsidRDefault="00A551E2" w14:paraId="11BFD4A0" w14:textId="77777777">
      <w:pPr>
        <w:jc w:val="both"/>
        <w:rPr>
          <w:rFonts w:ascii="Arial" w:hAnsi="Arial" w:eastAsia="Calibri" w:cs="Arial"/>
          <w:b/>
          <w:bCs/>
          <w:color w:val="1A1A1A" w:themeColor="background1" w:themeShade="1A"/>
          <w:sz w:val="22"/>
        </w:rPr>
      </w:pPr>
    </w:p>
    <w:p w:rsidRPr="0091437B" w:rsidR="00A551E2" w:rsidP="00A551E2" w:rsidRDefault="00A551E2" w14:paraId="074CC3BD" w14:textId="77777777">
      <w:pPr>
        <w:rPr>
          <w:rFonts w:ascii="Arial" w:hAnsi="Arial" w:eastAsia="Calibri" w:cs="Arial"/>
          <w:color w:val="1A1A1A" w:themeColor="background1" w:themeShade="1A"/>
          <w:sz w:val="22"/>
        </w:rPr>
      </w:pPr>
    </w:p>
    <w:p w:rsidRPr="0091437B" w:rsidR="00A551E2" w:rsidP="00A551E2" w:rsidRDefault="00A551E2" w14:paraId="26FDD352" w14:textId="5E48EF3B">
      <w:pPr>
        <w:spacing w:line="276" w:lineRule="auto"/>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Estimad</w:t>
      </w:r>
      <w:r w:rsidR="00BF77EF">
        <w:rPr>
          <w:rFonts w:ascii="Arial" w:hAnsi="Arial" w:eastAsia="Calibri" w:cs="Arial"/>
          <w:color w:val="1A1A1A" w:themeColor="background1" w:themeShade="1A"/>
          <w:sz w:val="22"/>
        </w:rPr>
        <w:t>o señor</w:t>
      </w:r>
      <w:r w:rsidRPr="0091437B">
        <w:rPr>
          <w:rFonts w:ascii="Arial" w:hAnsi="Arial" w:eastAsia="Calibri" w:cs="Arial"/>
          <w:color w:val="1A1A1A" w:themeColor="background1" w:themeShade="1A"/>
          <w:sz w:val="22"/>
        </w:rPr>
        <w:t xml:space="preserve"> O</w:t>
      </w:r>
      <w:r w:rsidR="00BF77EF">
        <w:rPr>
          <w:rFonts w:ascii="Arial" w:hAnsi="Arial" w:eastAsia="Calibri" w:cs="Arial"/>
          <w:color w:val="1A1A1A" w:themeColor="background1" w:themeShade="1A"/>
          <w:sz w:val="22"/>
        </w:rPr>
        <w:t>sorio</w:t>
      </w:r>
      <w:r w:rsidRPr="0091437B">
        <w:rPr>
          <w:rFonts w:ascii="Arial" w:hAnsi="Arial" w:eastAsia="Calibri" w:cs="Arial"/>
          <w:color w:val="1A1A1A" w:themeColor="background1" w:themeShade="1A"/>
          <w:sz w:val="22"/>
        </w:rPr>
        <w:t>:</w:t>
      </w:r>
    </w:p>
    <w:p w:rsidRPr="0091437B" w:rsidR="00A551E2" w:rsidP="00A551E2" w:rsidRDefault="00A551E2" w14:paraId="72A0CA53" w14:textId="77777777">
      <w:pPr>
        <w:spacing w:line="276" w:lineRule="auto"/>
        <w:jc w:val="both"/>
        <w:rPr>
          <w:rFonts w:ascii="Arial" w:hAnsi="Arial" w:eastAsia="Calibri" w:cs="Arial"/>
          <w:color w:val="1A1A1A" w:themeColor="background1" w:themeShade="1A"/>
          <w:sz w:val="22"/>
        </w:rPr>
      </w:pPr>
    </w:p>
    <w:p w:rsidRPr="0091437B" w:rsidR="00A551E2" w:rsidP="00A551E2" w:rsidRDefault="00A551E2" w14:paraId="1D7ED4AE" w14:textId="4B921728">
      <w:pPr>
        <w:spacing w:line="276" w:lineRule="auto"/>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 xml:space="preserve">En ejercicio de la competencia otorgada por el numeral 8 del artículo 11 y el numeral 5 del artículo 3 del Decreto Ley 4170 de 2011, la Agencia Nacional de Contratación Pública </w:t>
      </w:r>
      <w:r>
        <w:rPr>
          <w:rFonts w:ascii="Arial" w:hAnsi="Arial" w:eastAsia="Calibri" w:cs="Arial"/>
          <w:color w:val="1A1A1A" w:themeColor="background1" w:themeShade="1A"/>
          <w:sz w:val="22"/>
        </w:rPr>
        <w:t>–</w:t>
      </w:r>
      <w:r w:rsidRPr="0091437B">
        <w:rPr>
          <w:rFonts w:ascii="Arial" w:hAnsi="Arial" w:eastAsia="Calibri" w:cs="Arial"/>
          <w:color w:val="1A1A1A" w:themeColor="background1" w:themeShade="1A"/>
          <w:sz w:val="22"/>
        </w:rPr>
        <w:t xml:space="preserve"> Colombia Compra Eficiente responde su consulta </w:t>
      </w:r>
      <w:r>
        <w:rPr>
          <w:rFonts w:ascii="Arial" w:hAnsi="Arial" w:eastAsia="Calibri" w:cs="Arial"/>
          <w:color w:val="1A1A1A" w:themeColor="background1" w:themeShade="1A"/>
          <w:sz w:val="22"/>
        </w:rPr>
        <w:t xml:space="preserve">remitida </w:t>
      </w:r>
      <w:r w:rsidRPr="0091437B">
        <w:rPr>
          <w:rFonts w:ascii="Arial" w:hAnsi="Arial" w:eastAsia="Calibri" w:cs="Arial"/>
          <w:color w:val="1A1A1A" w:themeColor="background1" w:themeShade="1A"/>
          <w:sz w:val="22"/>
        </w:rPr>
        <w:t xml:space="preserve">el </w:t>
      </w:r>
      <w:r w:rsidR="00527523">
        <w:rPr>
          <w:rFonts w:ascii="Arial" w:hAnsi="Arial" w:eastAsia="Calibri" w:cs="Arial"/>
          <w:color w:val="1A1A1A" w:themeColor="background1" w:themeShade="1A"/>
          <w:sz w:val="22"/>
        </w:rPr>
        <w:t>21</w:t>
      </w:r>
      <w:r w:rsidRPr="0091437B">
        <w:rPr>
          <w:rFonts w:ascii="Arial" w:hAnsi="Arial" w:eastAsia="Calibri" w:cs="Arial"/>
          <w:color w:val="1A1A1A" w:themeColor="background1" w:themeShade="1A"/>
          <w:sz w:val="22"/>
        </w:rPr>
        <w:t xml:space="preserve"> de </w:t>
      </w:r>
      <w:r w:rsidR="00527523">
        <w:rPr>
          <w:rFonts w:ascii="Arial" w:hAnsi="Arial" w:eastAsia="Calibri" w:cs="Arial"/>
          <w:color w:val="1A1A1A" w:themeColor="background1" w:themeShade="1A"/>
          <w:sz w:val="22"/>
        </w:rPr>
        <w:t>enero</w:t>
      </w:r>
      <w:r w:rsidRPr="0091437B">
        <w:rPr>
          <w:rFonts w:ascii="Arial" w:hAnsi="Arial" w:eastAsia="Calibri" w:cs="Arial"/>
          <w:color w:val="1A1A1A" w:themeColor="background1" w:themeShade="1A"/>
          <w:sz w:val="22"/>
        </w:rPr>
        <w:t xml:space="preserve"> del 2020 por </w:t>
      </w:r>
      <w:r w:rsidR="00527523">
        <w:rPr>
          <w:rFonts w:ascii="Arial" w:hAnsi="Arial" w:eastAsia="Calibri" w:cs="Arial"/>
          <w:color w:val="1A1A1A" w:themeColor="background1" w:themeShade="1A"/>
          <w:sz w:val="22"/>
        </w:rPr>
        <w:t>el Departamento Administrativo de la Función Pública</w:t>
      </w:r>
      <w:r>
        <w:rPr>
          <w:rFonts w:ascii="Arial" w:hAnsi="Arial" w:eastAsia="Calibri" w:cs="Arial"/>
          <w:color w:val="1A1A1A" w:themeColor="background1" w:themeShade="1A"/>
          <w:sz w:val="22"/>
        </w:rPr>
        <w:t>,</w:t>
      </w:r>
      <w:r w:rsidRPr="0091437B">
        <w:rPr>
          <w:rFonts w:ascii="Arial" w:hAnsi="Arial" w:eastAsia="Calibri" w:cs="Arial"/>
          <w:color w:val="1A1A1A" w:themeColor="background1" w:themeShade="1A"/>
          <w:sz w:val="22"/>
        </w:rPr>
        <w:t xml:space="preserve"> mediante oficio No. 202</w:t>
      </w:r>
      <w:r w:rsidR="00527523">
        <w:rPr>
          <w:rFonts w:ascii="Arial" w:hAnsi="Arial" w:eastAsia="Calibri" w:cs="Arial"/>
          <w:color w:val="1A1A1A" w:themeColor="background1" w:themeShade="1A"/>
          <w:sz w:val="22"/>
        </w:rPr>
        <w:t>12040020591</w:t>
      </w:r>
      <w:r w:rsidRPr="0091437B">
        <w:rPr>
          <w:rFonts w:ascii="Arial" w:hAnsi="Arial" w:eastAsia="Calibri" w:cs="Arial"/>
          <w:color w:val="1A1A1A" w:themeColor="background1" w:themeShade="1A"/>
          <w:sz w:val="22"/>
        </w:rPr>
        <w:t>.</w:t>
      </w:r>
    </w:p>
    <w:p w:rsidRPr="0091437B" w:rsidR="00A551E2" w:rsidP="00A551E2" w:rsidRDefault="00A551E2" w14:paraId="25B1DAE0" w14:textId="77777777">
      <w:pPr>
        <w:spacing w:line="276" w:lineRule="auto"/>
        <w:jc w:val="both"/>
        <w:rPr>
          <w:rFonts w:ascii="Arial" w:hAnsi="Arial" w:eastAsia="Calibri" w:cs="Arial"/>
          <w:b/>
          <w:color w:val="1A1A1A" w:themeColor="background1" w:themeShade="1A"/>
          <w:sz w:val="22"/>
        </w:rPr>
      </w:pPr>
    </w:p>
    <w:p w:rsidRPr="0091437B" w:rsidR="00A551E2" w:rsidP="00A551E2" w:rsidRDefault="00A551E2" w14:paraId="332677AD" w14:textId="77777777">
      <w:pPr>
        <w:pStyle w:val="Prrafodelista"/>
        <w:tabs>
          <w:tab w:val="left" w:pos="0"/>
          <w:tab w:val="left" w:pos="142"/>
          <w:tab w:val="left" w:pos="284"/>
        </w:tabs>
        <w:spacing w:line="276" w:lineRule="auto"/>
        <w:ind w:left="0"/>
        <w:jc w:val="both"/>
        <w:rPr>
          <w:rFonts w:ascii="Arial" w:hAnsi="Arial" w:eastAsia="Calibri" w:cs="Arial"/>
          <w:b/>
          <w:color w:val="1A1A1A" w:themeColor="background1" w:themeShade="1A"/>
          <w:sz w:val="22"/>
        </w:rPr>
      </w:pPr>
      <w:r w:rsidRPr="0091437B">
        <w:rPr>
          <w:rFonts w:ascii="Arial" w:hAnsi="Arial" w:eastAsia="Calibri" w:cs="Arial"/>
          <w:b/>
          <w:color w:val="1A1A1A" w:themeColor="background1" w:themeShade="1A"/>
          <w:sz w:val="22"/>
        </w:rPr>
        <w:t>1. Problema planteado</w:t>
      </w:r>
    </w:p>
    <w:p w:rsidRPr="0091437B" w:rsidR="00A551E2" w:rsidP="00A551E2" w:rsidRDefault="00A551E2" w14:paraId="65C9F971" w14:textId="77777777">
      <w:pPr>
        <w:tabs>
          <w:tab w:val="left" w:pos="426"/>
        </w:tabs>
        <w:spacing w:line="276" w:lineRule="auto"/>
        <w:jc w:val="both"/>
        <w:rPr>
          <w:rFonts w:ascii="Arial" w:hAnsi="Arial" w:eastAsia="Calibri" w:cs="Arial"/>
          <w:b/>
          <w:color w:val="1A1A1A" w:themeColor="background1" w:themeShade="1A"/>
          <w:sz w:val="22"/>
        </w:rPr>
      </w:pPr>
    </w:p>
    <w:p w:rsidR="009B1FDD" w:rsidP="00985A93" w:rsidRDefault="009B1FDD" w14:paraId="57E6F05C" w14:textId="78561B0D">
      <w:pPr>
        <w:tabs>
          <w:tab w:val="left" w:pos="426"/>
        </w:tabs>
        <w:spacing w:after="120" w:line="276" w:lineRule="auto"/>
        <w:jc w:val="both"/>
        <w:rPr>
          <w:rFonts w:ascii="Arial" w:hAnsi="Arial" w:eastAsia="Calibri" w:cs="Arial"/>
          <w:color w:val="1A1A1A" w:themeColor="background1" w:themeShade="1A"/>
          <w:sz w:val="22"/>
        </w:rPr>
      </w:pPr>
      <w:bookmarkStart w:name="_Hlk45491920" w:id="5"/>
      <w:r>
        <w:rPr>
          <w:rFonts w:ascii="Arial" w:hAnsi="Arial" w:eastAsia="Calibri" w:cs="Arial"/>
          <w:color w:val="1A1A1A" w:themeColor="background1" w:themeShade="1A"/>
          <w:sz w:val="22"/>
        </w:rPr>
        <w:t>En su petición u</w:t>
      </w:r>
      <w:r w:rsidRPr="0091437B" w:rsidR="00A551E2">
        <w:rPr>
          <w:rFonts w:ascii="Arial" w:hAnsi="Arial" w:eastAsia="Calibri" w:cs="Arial"/>
          <w:color w:val="1A1A1A" w:themeColor="background1" w:themeShade="1A"/>
          <w:sz w:val="22"/>
        </w:rPr>
        <w:t>sted formuló la</w:t>
      </w:r>
      <w:r w:rsidR="00527523">
        <w:rPr>
          <w:rFonts w:ascii="Arial" w:hAnsi="Arial" w:eastAsia="Calibri" w:cs="Arial"/>
          <w:color w:val="1A1A1A" w:themeColor="background1" w:themeShade="1A"/>
          <w:sz w:val="22"/>
        </w:rPr>
        <w:t>s</w:t>
      </w:r>
      <w:r w:rsidRPr="0091437B" w:rsidR="00A551E2">
        <w:rPr>
          <w:rFonts w:ascii="Arial" w:hAnsi="Arial" w:eastAsia="Calibri" w:cs="Arial"/>
          <w:color w:val="1A1A1A" w:themeColor="background1" w:themeShade="1A"/>
          <w:sz w:val="22"/>
        </w:rPr>
        <w:t xml:space="preserve"> siguiente</w:t>
      </w:r>
      <w:r w:rsidR="00527523">
        <w:rPr>
          <w:rFonts w:ascii="Arial" w:hAnsi="Arial" w:eastAsia="Calibri" w:cs="Arial"/>
          <w:color w:val="1A1A1A" w:themeColor="background1" w:themeShade="1A"/>
          <w:sz w:val="22"/>
        </w:rPr>
        <w:t>s</w:t>
      </w:r>
      <w:r w:rsidRPr="0091437B" w:rsidR="00A551E2">
        <w:rPr>
          <w:rFonts w:ascii="Arial" w:hAnsi="Arial" w:eastAsia="Calibri" w:cs="Arial"/>
          <w:color w:val="1A1A1A" w:themeColor="background1" w:themeShade="1A"/>
          <w:sz w:val="22"/>
        </w:rPr>
        <w:t xml:space="preserve"> pregunta</w:t>
      </w:r>
      <w:r w:rsidR="00527523">
        <w:rPr>
          <w:rFonts w:ascii="Arial" w:hAnsi="Arial" w:eastAsia="Calibri" w:cs="Arial"/>
          <w:color w:val="1A1A1A" w:themeColor="background1" w:themeShade="1A"/>
          <w:sz w:val="22"/>
        </w:rPr>
        <w:t>s</w:t>
      </w:r>
      <w:r>
        <w:rPr>
          <w:rFonts w:ascii="Arial" w:hAnsi="Arial" w:eastAsia="Calibri" w:cs="Arial"/>
          <w:color w:val="1A1A1A" w:themeColor="background1" w:themeShade="1A"/>
          <w:sz w:val="22"/>
        </w:rPr>
        <w:t xml:space="preserve"> relativas a la publicidad de la gestión contractual de las empresas de servicios públicos</w:t>
      </w:r>
      <w:r w:rsidRPr="0091437B" w:rsidR="00A551E2">
        <w:rPr>
          <w:rFonts w:ascii="Arial" w:hAnsi="Arial" w:eastAsia="Calibri" w:cs="Arial"/>
          <w:color w:val="1A1A1A" w:themeColor="background1" w:themeShade="1A"/>
          <w:sz w:val="22"/>
        </w:rPr>
        <w:t xml:space="preserve">: </w:t>
      </w:r>
      <w:bookmarkEnd w:id="5"/>
    </w:p>
    <w:p w:rsidR="00586347" w:rsidP="00586347" w:rsidRDefault="00586347" w14:paraId="3778904A" w14:textId="77777777">
      <w:pPr>
        <w:tabs>
          <w:tab w:val="left" w:pos="426"/>
        </w:tabs>
        <w:spacing w:line="276" w:lineRule="auto"/>
        <w:ind w:left="709" w:right="709"/>
        <w:jc w:val="both"/>
        <w:rPr>
          <w:rFonts w:ascii="Arial" w:hAnsi="Arial" w:eastAsia="Calibri" w:cs="Arial"/>
          <w:color w:val="1A1A1A" w:themeColor="background1" w:themeShade="1A"/>
          <w:sz w:val="21"/>
          <w:szCs w:val="21"/>
          <w:lang w:val="es-CO"/>
        </w:rPr>
      </w:pPr>
      <w:bookmarkStart w:name="_Hlk63929660" w:id="6"/>
      <w:bookmarkStart w:name="_Hlk63929449" w:id="7"/>
      <w:bookmarkStart w:name="_Hlk63929517" w:id="8"/>
      <w:r w:rsidRPr="00241E12">
        <w:rPr>
          <w:rFonts w:ascii="Arial" w:hAnsi="Arial" w:eastAsia="Calibri" w:cs="Arial"/>
          <w:color w:val="1A1A1A" w:themeColor="background1" w:themeShade="1A"/>
          <w:sz w:val="21"/>
          <w:szCs w:val="21"/>
          <w:lang w:val="es-CO"/>
        </w:rPr>
        <w:t>«Si una empresa de servicios publicas domiciliarios dentro de su manual de contrataci</w:t>
      </w:r>
      <w:r>
        <w:rPr>
          <w:rFonts w:ascii="Arial" w:hAnsi="Arial" w:eastAsia="Calibri" w:cs="Arial"/>
          <w:color w:val="1A1A1A" w:themeColor="background1" w:themeShade="1A"/>
          <w:sz w:val="21"/>
          <w:szCs w:val="21"/>
          <w:lang w:val="es-CO"/>
        </w:rPr>
        <w:t>ó</w:t>
      </w:r>
      <w:r w:rsidRPr="00241E12">
        <w:rPr>
          <w:rFonts w:ascii="Arial" w:hAnsi="Arial" w:eastAsia="Calibri" w:cs="Arial"/>
          <w:color w:val="1A1A1A" w:themeColor="background1" w:themeShade="1A"/>
          <w:sz w:val="21"/>
          <w:szCs w:val="21"/>
          <w:lang w:val="es-CO"/>
        </w:rPr>
        <w:t>n tiene establecido que los procesos licitatorios se realizaran a través de la p</w:t>
      </w:r>
      <w:r>
        <w:rPr>
          <w:rFonts w:ascii="Arial" w:hAnsi="Arial" w:eastAsia="Calibri" w:cs="Arial"/>
          <w:color w:val="1A1A1A" w:themeColor="background1" w:themeShade="1A"/>
          <w:sz w:val="21"/>
          <w:szCs w:val="21"/>
          <w:lang w:val="es-CO"/>
        </w:rPr>
        <w:t>á</w:t>
      </w:r>
      <w:r w:rsidRPr="00241E12">
        <w:rPr>
          <w:rFonts w:ascii="Arial" w:hAnsi="Arial" w:eastAsia="Calibri" w:cs="Arial"/>
          <w:color w:val="1A1A1A" w:themeColor="background1" w:themeShade="1A"/>
          <w:sz w:val="21"/>
          <w:szCs w:val="21"/>
          <w:lang w:val="es-CO"/>
        </w:rPr>
        <w:t>gina web de la entidad, la misma no está obligada a adelantarlos a través  del secop? </w:t>
      </w:r>
    </w:p>
    <w:p w:rsidRPr="00241E12" w:rsidR="00586347" w:rsidP="00586347" w:rsidRDefault="00586347" w14:paraId="27443BDA" w14:textId="77777777">
      <w:pPr>
        <w:tabs>
          <w:tab w:val="left" w:pos="426"/>
        </w:tabs>
        <w:spacing w:line="276" w:lineRule="auto"/>
        <w:ind w:left="709" w:right="709"/>
        <w:jc w:val="both"/>
        <w:rPr>
          <w:rFonts w:ascii="Arial" w:hAnsi="Arial" w:eastAsia="Calibri" w:cs="Arial"/>
          <w:color w:val="1A1A1A" w:themeColor="background1" w:themeShade="1A"/>
          <w:sz w:val="21"/>
          <w:szCs w:val="21"/>
          <w:lang w:val="es-CO"/>
        </w:rPr>
      </w:pPr>
    </w:p>
    <w:p w:rsidRPr="00241E12" w:rsidR="00586347" w:rsidP="00586347" w:rsidRDefault="00586347" w14:paraId="7FB8F348" w14:textId="77777777">
      <w:pPr>
        <w:tabs>
          <w:tab w:val="left" w:pos="426"/>
        </w:tabs>
        <w:spacing w:line="276" w:lineRule="auto"/>
        <w:ind w:left="709" w:right="709"/>
        <w:jc w:val="both"/>
        <w:rPr>
          <w:rFonts w:ascii="Arial" w:hAnsi="Arial" w:eastAsia="Calibri" w:cs="Arial"/>
          <w:color w:val="1A1A1A" w:themeColor="background1" w:themeShade="1A"/>
          <w:sz w:val="21"/>
          <w:szCs w:val="21"/>
          <w:lang w:val="es-CO"/>
        </w:rPr>
      </w:pPr>
      <w:r w:rsidRPr="00241E12">
        <w:rPr>
          <w:rFonts w:ascii="Arial" w:hAnsi="Arial" w:eastAsia="Calibri" w:cs="Arial"/>
          <w:color w:val="1A1A1A" w:themeColor="background1" w:themeShade="1A"/>
          <w:sz w:val="21"/>
          <w:szCs w:val="21"/>
          <w:lang w:val="es-CO"/>
        </w:rPr>
        <w:lastRenderedPageBreak/>
        <w:t xml:space="preserve">Por </w:t>
      </w:r>
      <w:r w:rsidRPr="009B1FDD">
        <w:rPr>
          <w:rFonts w:ascii="Arial" w:hAnsi="Arial" w:eastAsia="Calibri" w:cs="Arial"/>
          <w:color w:val="1A1A1A" w:themeColor="background1" w:themeShade="1A"/>
          <w:sz w:val="21"/>
          <w:szCs w:val="21"/>
          <w:lang w:val="es-CO"/>
        </w:rPr>
        <w:t>ejemplo,</w:t>
      </w:r>
      <w:r w:rsidRPr="00241E12">
        <w:rPr>
          <w:rFonts w:ascii="Arial" w:hAnsi="Arial" w:eastAsia="Calibri" w:cs="Arial"/>
          <w:color w:val="1A1A1A" w:themeColor="background1" w:themeShade="1A"/>
          <w:sz w:val="21"/>
          <w:szCs w:val="21"/>
          <w:lang w:val="es-CO"/>
        </w:rPr>
        <w:t xml:space="preserve"> la empresa publica un proceso para la adquis</w:t>
      </w:r>
      <w:r>
        <w:rPr>
          <w:rFonts w:ascii="Arial" w:hAnsi="Arial" w:eastAsia="Calibri" w:cs="Arial"/>
          <w:color w:val="1A1A1A" w:themeColor="background1" w:themeShade="1A"/>
          <w:sz w:val="21"/>
          <w:szCs w:val="21"/>
          <w:lang w:val="es-CO"/>
        </w:rPr>
        <w:t>ic</w:t>
      </w:r>
      <w:r w:rsidRPr="00241E12">
        <w:rPr>
          <w:rFonts w:ascii="Arial" w:hAnsi="Arial" w:eastAsia="Calibri" w:cs="Arial"/>
          <w:color w:val="1A1A1A" w:themeColor="background1" w:themeShade="1A"/>
          <w:sz w:val="21"/>
          <w:szCs w:val="21"/>
          <w:lang w:val="es-CO"/>
        </w:rPr>
        <w:t>ión  de bienes en su página  web, después  una vez se ha adjudicado el proceso procede a publicar en la plataforma secop todos los archivos contractuales.</w:t>
      </w:r>
    </w:p>
    <w:p w:rsidR="00586347" w:rsidP="00586347" w:rsidRDefault="00586347" w14:paraId="755A103B" w14:textId="77777777">
      <w:pPr>
        <w:tabs>
          <w:tab w:val="left" w:pos="426"/>
        </w:tabs>
        <w:spacing w:line="276" w:lineRule="auto"/>
        <w:ind w:left="709" w:right="709"/>
        <w:jc w:val="both"/>
        <w:rPr>
          <w:rFonts w:ascii="Arial" w:hAnsi="Arial" w:eastAsia="Calibri" w:cs="Arial"/>
          <w:color w:val="1A1A1A" w:themeColor="background1" w:themeShade="1A"/>
          <w:sz w:val="21"/>
          <w:szCs w:val="21"/>
          <w:lang w:val="es-CO"/>
        </w:rPr>
      </w:pPr>
    </w:p>
    <w:p w:rsidRPr="00985A93" w:rsidR="00586347" w:rsidP="00586347" w:rsidRDefault="00586347" w14:paraId="1B2DAA09" w14:textId="77777777">
      <w:pPr>
        <w:tabs>
          <w:tab w:val="left" w:pos="426"/>
        </w:tabs>
        <w:spacing w:line="276" w:lineRule="auto"/>
        <w:ind w:left="709" w:right="709"/>
        <w:jc w:val="both"/>
        <w:rPr>
          <w:rFonts w:ascii="Arial" w:hAnsi="Arial" w:eastAsia="Calibri" w:cs="Arial"/>
          <w:color w:val="1A1A1A" w:themeColor="background1" w:themeShade="1A"/>
          <w:sz w:val="22"/>
          <w:lang w:val="es-CO"/>
        </w:rPr>
      </w:pPr>
      <w:r w:rsidRPr="00241E12">
        <w:rPr>
          <w:rFonts w:ascii="Arial" w:hAnsi="Arial" w:eastAsia="Calibri" w:cs="Arial"/>
          <w:color w:val="1A1A1A" w:themeColor="background1" w:themeShade="1A"/>
          <w:sz w:val="21"/>
          <w:szCs w:val="21"/>
          <w:lang w:val="es-CO"/>
        </w:rPr>
        <w:t>Es este hipotético caso viable, o la empresa esta  en la obligación  de adelantar el proceso a través  del Secop?»</w:t>
      </w:r>
      <w:r>
        <w:rPr>
          <w:rFonts w:ascii="Arial" w:hAnsi="Arial" w:eastAsia="Calibri" w:cs="Arial"/>
          <w:color w:val="1A1A1A" w:themeColor="background1" w:themeShade="1A"/>
          <w:sz w:val="21"/>
          <w:szCs w:val="21"/>
          <w:lang w:val="es-CO"/>
        </w:rPr>
        <w:t xml:space="preserve"> [sic]</w:t>
      </w:r>
      <w:r w:rsidRPr="00241E12">
        <w:rPr>
          <w:rFonts w:ascii="Arial" w:hAnsi="Arial" w:eastAsia="Calibri" w:cs="Arial"/>
          <w:color w:val="1A1A1A" w:themeColor="background1" w:themeShade="1A"/>
          <w:sz w:val="21"/>
          <w:szCs w:val="21"/>
          <w:lang w:val="es-CO"/>
        </w:rPr>
        <w:t>.</w:t>
      </w:r>
    </w:p>
    <w:bookmarkEnd w:id="6"/>
    <w:bookmarkEnd w:id="7"/>
    <w:bookmarkEnd w:id="8"/>
    <w:p w:rsidRPr="0091437B" w:rsidR="00A551E2" w:rsidP="00985A93" w:rsidRDefault="00A551E2" w14:paraId="34BD5017" w14:textId="77777777">
      <w:pPr>
        <w:tabs>
          <w:tab w:val="left" w:pos="426"/>
        </w:tabs>
        <w:jc w:val="both"/>
        <w:rPr>
          <w:rFonts w:ascii="Arial" w:hAnsi="Arial" w:eastAsia="Calibri" w:cs="Arial"/>
          <w:color w:val="1A1A1A" w:themeColor="background1" w:themeShade="1A"/>
          <w:sz w:val="22"/>
        </w:rPr>
      </w:pPr>
    </w:p>
    <w:p w:rsidRPr="0091437B" w:rsidR="00A551E2" w:rsidP="00985A93" w:rsidRDefault="00A551E2" w14:paraId="5DB64DBB" w14:textId="77777777">
      <w:pPr>
        <w:pStyle w:val="Prrafodelista"/>
        <w:tabs>
          <w:tab w:val="left" w:pos="0"/>
          <w:tab w:val="left" w:pos="284"/>
        </w:tabs>
        <w:ind w:left="0"/>
        <w:jc w:val="both"/>
        <w:rPr>
          <w:rFonts w:ascii="Arial" w:hAnsi="Arial" w:eastAsia="Calibri" w:cs="Arial"/>
          <w:b/>
          <w:color w:val="1A1A1A" w:themeColor="background1" w:themeShade="1A"/>
          <w:sz w:val="22"/>
        </w:rPr>
      </w:pPr>
      <w:r w:rsidRPr="0091437B">
        <w:rPr>
          <w:rFonts w:ascii="Arial" w:hAnsi="Arial" w:eastAsia="Calibri" w:cs="Arial"/>
          <w:b/>
          <w:color w:val="1A1A1A" w:themeColor="background1" w:themeShade="1A"/>
          <w:sz w:val="22"/>
        </w:rPr>
        <w:t>2. Consideraciones</w:t>
      </w:r>
    </w:p>
    <w:p w:rsidRPr="0091437B" w:rsidR="00A551E2" w:rsidP="00A551E2" w:rsidRDefault="00A551E2" w14:paraId="35D0F4CC" w14:textId="77777777">
      <w:pPr>
        <w:pStyle w:val="Prrafodelista"/>
        <w:tabs>
          <w:tab w:val="left" w:pos="0"/>
          <w:tab w:val="left" w:pos="284"/>
        </w:tabs>
        <w:ind w:left="0"/>
        <w:jc w:val="both"/>
        <w:rPr>
          <w:rFonts w:ascii="Arial" w:hAnsi="Arial" w:eastAsia="Calibri" w:cs="Arial"/>
          <w:b/>
          <w:color w:val="1A1A1A" w:themeColor="background1" w:themeShade="1A"/>
          <w:sz w:val="22"/>
        </w:rPr>
      </w:pPr>
    </w:p>
    <w:p w:rsidRPr="00D307CD" w:rsidR="00A551E2" w:rsidP="00A551E2" w:rsidRDefault="00A551E2" w14:paraId="2C4C053C" w14:textId="56D8BBD3">
      <w:pPr>
        <w:spacing w:line="276" w:lineRule="auto"/>
        <w:jc w:val="both"/>
        <w:rPr>
          <w:rFonts w:ascii="Arial" w:hAnsi="Arial" w:cs="Arial"/>
          <w:color w:val="1A1A1A" w:themeColor="background1" w:themeShade="1A"/>
          <w:sz w:val="22"/>
        </w:rPr>
      </w:pPr>
      <w:r w:rsidRPr="0091437B">
        <w:rPr>
          <w:rFonts w:ascii="Arial" w:hAnsi="Arial" w:eastAsia="Calibri" w:cs="Arial"/>
          <w:color w:val="1A1A1A" w:themeColor="background1" w:themeShade="1A"/>
          <w:sz w:val="22"/>
        </w:rPr>
        <w:t xml:space="preserve">Para desarrollar </w:t>
      </w:r>
      <w:r>
        <w:rPr>
          <w:rFonts w:ascii="Arial" w:hAnsi="Arial" w:eastAsia="Calibri" w:cs="Arial"/>
          <w:color w:val="1A1A1A" w:themeColor="background1" w:themeShade="1A"/>
          <w:sz w:val="22"/>
        </w:rPr>
        <w:t>el</w:t>
      </w:r>
      <w:r w:rsidRPr="0091437B">
        <w:rPr>
          <w:rFonts w:ascii="Arial" w:hAnsi="Arial" w:eastAsia="Calibri" w:cs="Arial"/>
          <w:color w:val="1A1A1A" w:themeColor="background1" w:themeShade="1A"/>
          <w:sz w:val="22"/>
        </w:rPr>
        <w:t xml:space="preserve"> problema planteado</w:t>
      </w:r>
      <w:r>
        <w:rPr>
          <w:rFonts w:ascii="Arial" w:hAnsi="Arial" w:eastAsia="Calibri" w:cs="Arial"/>
          <w:color w:val="1A1A1A" w:themeColor="background1" w:themeShade="1A"/>
          <w:sz w:val="22"/>
        </w:rPr>
        <w:t>,</w:t>
      </w:r>
      <w:r w:rsidRPr="0091437B">
        <w:rPr>
          <w:rFonts w:ascii="Arial" w:hAnsi="Arial" w:eastAsia="Calibri" w:cs="Arial"/>
          <w:color w:val="1A1A1A" w:themeColor="background1" w:themeShade="1A"/>
          <w:sz w:val="22"/>
        </w:rPr>
        <w:t xml:space="preserve"> se explicará</w:t>
      </w:r>
      <w:r>
        <w:rPr>
          <w:rFonts w:ascii="Arial" w:hAnsi="Arial" w:eastAsia="Calibri" w:cs="Arial"/>
          <w:color w:val="1A1A1A" w:themeColor="background1" w:themeShade="1A"/>
          <w:sz w:val="22"/>
        </w:rPr>
        <w:t xml:space="preserve"> </w:t>
      </w:r>
      <w:r w:rsidR="00FB0D7D">
        <w:rPr>
          <w:rFonts w:ascii="Arial" w:hAnsi="Arial" w:eastAsia="Calibri" w:cs="Arial"/>
          <w:color w:val="1A1A1A" w:themeColor="background1" w:themeShade="1A"/>
          <w:sz w:val="22"/>
        </w:rPr>
        <w:t>el deber de</w:t>
      </w:r>
      <w:r>
        <w:rPr>
          <w:rFonts w:ascii="Arial" w:hAnsi="Arial" w:eastAsia="Calibri" w:cs="Arial"/>
          <w:color w:val="1A1A1A" w:themeColor="background1" w:themeShade="1A"/>
          <w:sz w:val="22"/>
        </w:rPr>
        <w:t xml:space="preserve"> publicidad de la información contractual en el SECOP</w:t>
      </w:r>
      <w:r w:rsidRPr="0091437B">
        <w:rPr>
          <w:rFonts w:ascii="Arial" w:hAnsi="Arial" w:eastAsia="Calibri" w:cs="Arial"/>
          <w:color w:val="1A1A1A" w:themeColor="background1" w:themeShade="1A"/>
          <w:sz w:val="22"/>
        </w:rPr>
        <w:t xml:space="preserve">. </w:t>
      </w:r>
      <w:r w:rsidRPr="0091437B">
        <w:rPr>
          <w:rFonts w:ascii="Arial" w:hAnsi="Arial" w:eastAsia="Calibri" w:cs="Arial"/>
          <w:bCs/>
          <w:color w:val="1A1A1A" w:themeColor="background1" w:themeShade="1A"/>
          <w:sz w:val="22"/>
        </w:rPr>
        <w:t xml:space="preserve">La Agencia Nacional de Contratación Pública estudió este tema en la consulta No. </w:t>
      </w:r>
      <w:r w:rsidRPr="00E26D3C">
        <w:rPr>
          <w:rFonts w:ascii="Arial" w:hAnsi="Arial" w:eastAsia="Calibri" w:cs="Arial"/>
          <w:bCs/>
          <w:color w:val="1A1A1A" w:themeColor="background1" w:themeShade="1A"/>
          <w:sz w:val="22"/>
        </w:rPr>
        <w:t xml:space="preserve">4201913000005397 del 9 de agosto de 2019 y reiteró la posición en los siguientes conceptos: 4201912000006611 del 25 de septiembre de 2019, </w:t>
      </w:r>
      <w:r w:rsidRPr="00E26D3C" w:rsidR="00E26D3C">
        <w:rPr>
          <w:rFonts w:ascii="Arial" w:hAnsi="Arial" w:cs="Arial"/>
          <w:sz w:val="22"/>
          <w:lang w:val="es-CO"/>
        </w:rPr>
        <w:t>4201913000006847</w:t>
      </w:r>
      <w:r w:rsidRPr="00E26D3C">
        <w:rPr>
          <w:rFonts w:ascii="Arial" w:hAnsi="Arial" w:cs="Arial"/>
          <w:color w:val="1A1A1A" w:themeColor="background1" w:themeShade="1A"/>
          <w:sz w:val="22"/>
        </w:rPr>
        <w:t xml:space="preserve"> del 4 de octubre de 2019, </w:t>
      </w:r>
      <w:r w:rsidRPr="00E26D3C">
        <w:rPr>
          <w:rFonts w:ascii="Arial" w:hAnsi="Arial" w:eastAsia="Calibri" w:cs="Arial"/>
          <w:bCs/>
          <w:color w:val="1A1A1A" w:themeColor="background1" w:themeShade="1A"/>
          <w:sz w:val="22"/>
        </w:rPr>
        <w:t>4201912000007762 del 18 de noviembre de 2019</w:t>
      </w:r>
      <w:r w:rsidR="00FB0D7D">
        <w:rPr>
          <w:rFonts w:ascii="Arial" w:hAnsi="Arial" w:eastAsia="Calibri" w:cs="Arial"/>
          <w:bCs/>
          <w:color w:val="1A1A1A" w:themeColor="background1" w:themeShade="1A"/>
          <w:sz w:val="22"/>
        </w:rPr>
        <w:t xml:space="preserve"> y</w:t>
      </w:r>
      <w:r w:rsidRPr="00E26D3C">
        <w:rPr>
          <w:rFonts w:ascii="Arial" w:hAnsi="Arial" w:eastAsia="Calibri" w:cs="Arial"/>
          <w:bCs/>
          <w:color w:val="1A1A1A" w:themeColor="background1" w:themeShade="1A"/>
          <w:sz w:val="22"/>
        </w:rPr>
        <w:t xml:space="preserve"> 4201912000007828 del 13 de noviembre de 2019</w:t>
      </w:r>
      <w:r w:rsidR="00FB0D7D">
        <w:rPr>
          <w:rFonts w:ascii="Arial" w:hAnsi="Arial" w:eastAsia="Calibri" w:cs="Arial"/>
          <w:bCs/>
          <w:color w:val="1A1A1A" w:themeColor="background1" w:themeShade="1A"/>
          <w:sz w:val="22"/>
        </w:rPr>
        <w:t>. Las tesis expuestas en los anteriores conceptos fueron unificadas en el concepto</w:t>
      </w:r>
      <w:r w:rsidRPr="00E26D3C">
        <w:rPr>
          <w:rFonts w:ascii="Arial" w:hAnsi="Arial" w:eastAsia="Calibri" w:cs="Arial"/>
          <w:bCs/>
          <w:color w:val="1A1A1A" w:themeColor="background1" w:themeShade="1A"/>
          <w:sz w:val="22"/>
        </w:rPr>
        <w:t xml:space="preserve"> CU-003 del 15 de enero de 2020</w:t>
      </w:r>
      <w:r w:rsidR="00A30C9A">
        <w:rPr>
          <w:rFonts w:ascii="Arial" w:hAnsi="Arial" w:eastAsia="Calibri" w:cs="Arial"/>
          <w:bCs/>
          <w:color w:val="1A1A1A" w:themeColor="background1" w:themeShade="1A"/>
          <w:sz w:val="22"/>
        </w:rPr>
        <w:t xml:space="preserve">. </w:t>
      </w:r>
      <w:r w:rsidRPr="005C29B6" w:rsidR="005C29B6">
        <w:rPr>
          <w:rFonts w:ascii="Arial" w:hAnsi="Arial" w:cs="Arial"/>
          <w:color w:val="1A1A1A" w:themeColor="background1" w:themeShade="1A"/>
          <w:sz w:val="22"/>
        </w:rPr>
        <w:t>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agosto de 2020, C-574 del 27 de agosto de 2020</w:t>
      </w:r>
      <w:r w:rsidR="00A30C9A">
        <w:rPr>
          <w:rFonts w:ascii="Arial" w:hAnsi="Arial" w:cs="Arial"/>
          <w:color w:val="1A1A1A" w:themeColor="background1" w:themeShade="1A"/>
          <w:sz w:val="22"/>
        </w:rPr>
        <w:t xml:space="preserve">, </w:t>
      </w:r>
      <w:r w:rsidRPr="005C29B6" w:rsidR="005C29B6">
        <w:rPr>
          <w:rFonts w:ascii="Arial" w:hAnsi="Arial" w:cs="Arial"/>
          <w:color w:val="1A1A1A" w:themeColor="background1" w:themeShade="1A"/>
          <w:sz w:val="22"/>
        </w:rPr>
        <w:t>C-680 de 18 de noviembre de 2020</w:t>
      </w:r>
      <w:r w:rsidR="00A30C9A">
        <w:rPr>
          <w:rFonts w:ascii="Arial" w:hAnsi="Arial" w:cs="Arial"/>
          <w:color w:val="1A1A1A" w:themeColor="background1" w:themeShade="1A"/>
          <w:sz w:val="22"/>
        </w:rPr>
        <w:t xml:space="preserve"> y C-780 del 18 de enero de 2021. </w:t>
      </w:r>
      <w:r w:rsidRPr="00E26D3C">
        <w:rPr>
          <w:rFonts w:ascii="Arial" w:hAnsi="Arial" w:eastAsia="Calibri" w:cs="Arial"/>
          <w:color w:val="1A1A1A" w:themeColor="background1" w:themeShade="1A"/>
          <w:sz w:val="22"/>
        </w:rPr>
        <w:t>La tesis de estos conceptos se reitera a continuación:</w:t>
      </w:r>
      <w:r w:rsidRPr="0091437B">
        <w:rPr>
          <w:rFonts w:ascii="Arial" w:hAnsi="Arial" w:cs="Arial"/>
          <w:color w:val="1A1A1A" w:themeColor="background1" w:themeShade="1A"/>
          <w:sz w:val="22"/>
        </w:rPr>
        <w:t xml:space="preserve"> </w:t>
      </w:r>
    </w:p>
    <w:p w:rsidR="00A551E2" w:rsidP="00A551E2" w:rsidRDefault="00A551E2" w14:paraId="7B71A171" w14:textId="77777777">
      <w:pPr>
        <w:spacing w:line="276" w:lineRule="auto"/>
        <w:jc w:val="both"/>
        <w:rPr>
          <w:rFonts w:ascii="Arial" w:hAnsi="Arial" w:eastAsia="Calibri" w:cs="Arial"/>
          <w:color w:val="1A1A1A" w:themeColor="background1" w:themeShade="1A"/>
          <w:sz w:val="22"/>
        </w:rPr>
      </w:pPr>
    </w:p>
    <w:p w:rsidRPr="0091437B" w:rsidR="00A551E2" w:rsidP="00A551E2" w:rsidRDefault="00A551E2" w14:paraId="514B534D" w14:textId="77777777">
      <w:pPr>
        <w:spacing w:line="276" w:lineRule="auto"/>
        <w:jc w:val="both"/>
        <w:rPr>
          <w:rFonts w:ascii="Arial" w:hAnsi="Arial" w:cs="Arial"/>
          <w:b/>
          <w:color w:val="1A1A1A" w:themeColor="background1" w:themeShade="1A"/>
          <w:sz w:val="22"/>
          <w:lang w:val="es-CO"/>
        </w:rPr>
      </w:pPr>
      <w:r w:rsidRPr="0091437B">
        <w:rPr>
          <w:rFonts w:ascii="Arial" w:hAnsi="Arial" w:cs="Arial"/>
          <w:b/>
          <w:color w:val="1A1A1A" w:themeColor="background1" w:themeShade="1A"/>
          <w:sz w:val="22"/>
          <w:lang w:val="es-CO"/>
        </w:rPr>
        <w:t>2.</w:t>
      </w:r>
      <w:r>
        <w:rPr>
          <w:rFonts w:ascii="Arial" w:hAnsi="Arial" w:cs="Arial"/>
          <w:b/>
          <w:color w:val="1A1A1A" w:themeColor="background1" w:themeShade="1A"/>
          <w:sz w:val="22"/>
          <w:lang w:val="es-CO"/>
        </w:rPr>
        <w:t>1</w:t>
      </w:r>
      <w:r w:rsidRPr="0091437B">
        <w:rPr>
          <w:rFonts w:ascii="Arial" w:hAnsi="Arial" w:cs="Arial"/>
          <w:b/>
          <w:color w:val="1A1A1A" w:themeColor="background1" w:themeShade="1A"/>
          <w:sz w:val="22"/>
          <w:lang w:val="es-CO"/>
        </w:rPr>
        <w:t xml:space="preserve">. Empresas de servicios públicos domiciliarios </w:t>
      </w:r>
    </w:p>
    <w:p w:rsidRPr="0091437B" w:rsidR="00A551E2" w:rsidP="00A551E2" w:rsidRDefault="00A551E2" w14:paraId="51C79680" w14:textId="77777777">
      <w:pPr>
        <w:spacing w:line="276" w:lineRule="auto"/>
        <w:jc w:val="both"/>
        <w:rPr>
          <w:rFonts w:ascii="Arial" w:hAnsi="Arial" w:cs="Arial"/>
          <w:color w:val="1A1A1A" w:themeColor="background1" w:themeShade="1A"/>
          <w:sz w:val="22"/>
          <w:lang w:val="es-CO"/>
        </w:rPr>
      </w:pPr>
    </w:p>
    <w:p w:rsidR="00E56769" w:rsidP="0062206A" w:rsidRDefault="00632BD2" w14:paraId="4C9BBA9E" w14:textId="4CF4A1C9">
      <w:pPr>
        <w:spacing w:after="120" w:line="276" w:lineRule="auto"/>
        <w:jc w:val="both"/>
        <w:rPr>
          <w:rFonts w:ascii="Arial" w:hAnsi="Arial" w:cs="Arial"/>
          <w:color w:val="1A1A1A" w:themeColor="background1" w:themeShade="1A"/>
          <w:sz w:val="22"/>
          <w:lang w:val="es-CO"/>
        </w:rPr>
      </w:pPr>
      <w:r>
        <w:rPr>
          <w:rFonts w:ascii="Arial" w:hAnsi="Arial" w:cs="Arial"/>
          <w:color w:val="1A1A1A" w:themeColor="background1" w:themeShade="1A"/>
          <w:sz w:val="22"/>
          <w:lang w:val="es-CO"/>
        </w:rPr>
        <w:t xml:space="preserve">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w:t>
      </w:r>
      <w:r w:rsidRPr="00E56769" w:rsidR="00E56769">
        <w:rPr>
          <w:rFonts w:ascii="Arial" w:hAnsi="Arial" w:cs="Arial"/>
          <w:color w:val="1A1A1A" w:themeColor="background1" w:themeShade="1A"/>
          <w:sz w:val="22"/>
        </w:rPr>
        <w:t xml:space="preserve">En desarrollo de esta habilitación superior, el </w:t>
      </w:r>
      <w:r w:rsidR="00E56769">
        <w:rPr>
          <w:rFonts w:ascii="Arial" w:hAnsi="Arial" w:cs="Arial"/>
          <w:color w:val="1A1A1A" w:themeColor="background1" w:themeShade="1A"/>
          <w:sz w:val="22"/>
        </w:rPr>
        <w:t>Congreso de la República dispuso, en el artículo</w:t>
      </w:r>
      <w:r w:rsidRPr="00E56769" w:rsidR="00E56769">
        <w:rPr>
          <w:rFonts w:ascii="Arial" w:hAnsi="Arial" w:cs="Arial"/>
          <w:color w:val="1A1A1A" w:themeColor="background1" w:themeShade="1A"/>
          <w:sz w:val="22"/>
        </w:rPr>
        <w:t xml:space="preserve"> 15 de la Ley 142 de 1994</w:t>
      </w:r>
      <w:r w:rsidR="00E56769">
        <w:rPr>
          <w:rFonts w:ascii="Arial" w:hAnsi="Arial" w:cs="Arial"/>
          <w:color w:val="1A1A1A" w:themeColor="background1" w:themeShade="1A"/>
          <w:sz w:val="22"/>
        </w:rPr>
        <w:t xml:space="preserve">, </w:t>
      </w:r>
      <w:r w:rsidRPr="00E56769" w:rsidR="00E56769">
        <w:rPr>
          <w:rFonts w:ascii="Arial" w:hAnsi="Arial" w:cs="Arial"/>
          <w:color w:val="1A1A1A" w:themeColor="background1" w:themeShade="1A"/>
          <w:sz w:val="22"/>
        </w:rPr>
        <w:t xml:space="preserve">que pueden actuar como operadores de servicios públicos domiciliarios: i) «Las empresas de servicios públicos» –oficiales, mixtas y privadas–, ii) «Las personas naturales o jurídicas que produzcan para ellas mismas, o como consecuencia o complemento de su actividad </w:t>
      </w:r>
      <w:r w:rsidRPr="00E56769" w:rsidR="00E56769">
        <w:rPr>
          <w:rFonts w:ascii="Arial" w:hAnsi="Arial" w:cs="Arial"/>
          <w:color w:val="1A1A1A" w:themeColor="background1" w:themeShade="1A"/>
          <w:sz w:val="22"/>
        </w:rPr>
        <w:lastRenderedPageBreak/>
        <w:t>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rsidRPr="0091437B" w:rsidR="00A551E2" w:rsidP="00D307CD" w:rsidRDefault="00632BD2" w14:paraId="70E58B0F" w14:textId="5F048CD5">
      <w:pPr>
        <w:spacing w:line="276" w:lineRule="auto"/>
        <w:ind w:firstLine="709"/>
        <w:jc w:val="both"/>
        <w:rPr>
          <w:rFonts w:ascii="Arial" w:hAnsi="Arial" w:cs="Arial"/>
          <w:color w:val="1A1A1A" w:themeColor="background1" w:themeShade="1A"/>
          <w:sz w:val="22"/>
          <w:lang w:val="es-CO"/>
        </w:rPr>
      </w:pPr>
      <w:r>
        <w:rPr>
          <w:rFonts w:ascii="Arial" w:hAnsi="Arial" w:cs="Arial"/>
          <w:color w:val="1A1A1A" w:themeColor="background1" w:themeShade="1A"/>
          <w:sz w:val="22"/>
          <w:lang w:val="es-CO"/>
        </w:rPr>
        <w:t>Por su parte, e</w:t>
      </w:r>
      <w:r w:rsidRPr="0091437B" w:rsidR="00A551E2">
        <w:rPr>
          <w:rFonts w:ascii="Arial" w:hAnsi="Arial" w:cs="Arial"/>
          <w:color w:val="1A1A1A" w:themeColor="background1" w:themeShade="1A"/>
          <w:sz w:val="22"/>
          <w:lang w:val="es-CO"/>
        </w:rPr>
        <w:t xml:space="preserv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rsidRPr="0091437B" w:rsidR="00A551E2" w:rsidP="0062206A" w:rsidRDefault="00A551E2" w14:paraId="3114A122" w14:textId="77777777">
      <w:pPr>
        <w:jc w:val="both"/>
        <w:rPr>
          <w:rFonts w:ascii="Arial" w:hAnsi="Arial" w:cs="Arial"/>
          <w:color w:val="1A1A1A" w:themeColor="background1" w:themeShade="1A"/>
          <w:sz w:val="22"/>
          <w:lang w:val="es-CO"/>
        </w:rPr>
      </w:pPr>
    </w:p>
    <w:p w:rsidRPr="0091437B" w:rsidR="00A551E2" w:rsidP="0062206A" w:rsidRDefault="00A551E2" w14:paraId="7F76515E" w14:textId="77777777">
      <w:pPr>
        <w:pStyle w:val="NormalWeb"/>
        <w:spacing w:before="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14.5. Empresa de servicios públicos oficial. Es aquella en cuyo capital la Nación, las entidades territoriales, o las entidades descentralizadas de aquella o estas tienen el 100% de los aportes.</w:t>
      </w:r>
    </w:p>
    <w:p w:rsidRPr="0091437B" w:rsidR="00A551E2" w:rsidP="00A551E2" w:rsidRDefault="00A551E2" w14:paraId="791C6FF1" w14:textId="77777777">
      <w:pPr>
        <w:pStyle w:val="NormalWeb"/>
        <w:spacing w:before="120" w:beforeAutospacing="0" w:after="12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14.6. Empresa de servicios públicos mixta. Es aquella en cuyo capital la Nación, las entidades territoriales, o las entidades descentralizadas de aquella o éstas tienen aportes iguales o superiores al 50%. </w:t>
      </w:r>
    </w:p>
    <w:p w:rsidRPr="0091437B" w:rsidR="00A551E2" w:rsidP="00A551E2" w:rsidRDefault="00A551E2" w14:paraId="52FF66DD" w14:textId="77777777">
      <w:pPr>
        <w:pStyle w:val="NormalWeb"/>
        <w:spacing w:before="12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rsidRPr="0091437B" w:rsidR="00A551E2" w:rsidP="00A551E2" w:rsidRDefault="00A551E2" w14:paraId="2B19FEEF" w14:textId="77777777">
      <w:pPr>
        <w:pStyle w:val="NormalWeb"/>
        <w:spacing w:before="0" w:beforeAutospacing="0" w:after="0" w:afterAutospacing="0"/>
        <w:jc w:val="both"/>
        <w:rPr>
          <w:rFonts w:ascii="Arial" w:hAnsi="Arial" w:cs="Arial"/>
          <w:color w:val="1A1A1A" w:themeColor="background1" w:themeShade="1A"/>
          <w:sz w:val="22"/>
          <w:lang w:eastAsia="es-ES_tradnl"/>
        </w:rPr>
      </w:pPr>
    </w:p>
    <w:p w:rsidRPr="0091437B" w:rsidR="00A551E2" w:rsidP="00A551E2" w:rsidRDefault="00A551E2" w14:paraId="1F55D7B7" w14:textId="54F27D34">
      <w:pPr>
        <w:pStyle w:val="NormalWeb"/>
        <w:spacing w:before="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A su turno, el artículo 17 de la ley citada señala que «las empresas de servicios públicos son sociedades por acciones cuyo objeto es la prestación de los servicios públicos de que trata esta ley».</w:t>
      </w:r>
      <w:r w:rsidR="005205D7">
        <w:rPr>
          <w:rFonts w:ascii="Arial" w:hAnsi="Arial" w:cs="Arial"/>
          <w:color w:val="1A1A1A" w:themeColor="background1" w:themeShade="1A"/>
          <w:sz w:val="22"/>
          <w:lang w:eastAsia="es-ES_tradnl"/>
        </w:rPr>
        <w:t xml:space="preserve"> </w:t>
      </w:r>
    </w:p>
    <w:p w:rsidRPr="0091437B" w:rsidR="00A551E2" w:rsidP="00A551E2" w:rsidRDefault="00A551E2" w14:paraId="3B41467F" w14:textId="77777777">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El artículo 68 de esta ley, al listar las entidades descentralizadas del orden nacional, se refirió únicamente a las empresas oficiales de servicios públicos, esto es, aquellas en las que la participación del Estado es del 100%</w:t>
      </w:r>
      <w:r w:rsidRPr="0091437B">
        <w:rPr>
          <w:rStyle w:val="Refdenotaalpie"/>
          <w:rFonts w:ascii="Arial" w:hAnsi="Arial" w:cs="Arial"/>
          <w:color w:val="1A1A1A" w:themeColor="background1" w:themeShade="1A"/>
          <w:sz w:val="22"/>
          <w:lang w:eastAsia="es-ES_tradnl"/>
        </w:rPr>
        <w:footnoteReference w:id="1"/>
      </w:r>
      <w:r w:rsidRPr="0091437B">
        <w:rPr>
          <w:rFonts w:ascii="Arial" w:hAnsi="Arial" w:cs="Arial"/>
          <w:color w:val="1A1A1A" w:themeColor="background1" w:themeShade="1A"/>
          <w:sz w:val="22"/>
          <w:lang w:eastAsia="es-ES_tradnl"/>
        </w:rPr>
        <w:t xml:space="preserve">. </w:t>
      </w:r>
    </w:p>
    <w:p w:rsidRPr="0091437B" w:rsidR="00A551E2" w:rsidP="00A551E2" w:rsidRDefault="00A551E2" w14:paraId="523A46C2" w14:textId="51F719C4">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lastRenderedPageBreak/>
        <w:t>Lo anterior llevó a pensar que el legislador excluyó de la Rama Ejecutiva a las empresas de servicios públicos mixta</w:t>
      </w:r>
      <w:r w:rsidR="00584EAA">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–capital público superior al 50%– y las privadas –capital público inferior al 50%–. Sin embargo, la Corte Constitucional determinó que tanto las empresas de servicios públicos mixta</w:t>
      </w:r>
      <w:r w:rsidR="00584EAA">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rsidRPr="0091437B" w:rsidR="00A551E2" w:rsidP="00A551E2" w:rsidRDefault="00A551E2" w14:paraId="20B96B67" w14:textId="2E0225C8">
      <w:pPr>
        <w:pStyle w:val="NormalWeb"/>
        <w:spacing w:before="120" w:beforeAutospacing="0" w:after="120" w:afterAutospacing="0" w:line="276" w:lineRule="auto"/>
        <w:ind w:firstLine="709"/>
        <w:jc w:val="both"/>
        <w:rPr>
          <w:rFonts w:ascii="Arial" w:hAnsi="Arial" w:cs="Arial"/>
          <w:color w:val="1A1A1A" w:themeColor="background1" w:themeShade="1A"/>
          <w:sz w:val="21"/>
          <w:szCs w:val="21"/>
        </w:rPr>
      </w:pPr>
      <w:r w:rsidRPr="0091437B">
        <w:rPr>
          <w:rFonts w:ascii="Arial" w:hAnsi="Arial" w:cs="Arial"/>
          <w:color w:val="1A1A1A" w:themeColor="background1" w:themeShade="1A"/>
          <w:sz w:val="22"/>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91437B">
        <w:rPr>
          <w:rStyle w:val="Refdenotaalpie"/>
          <w:rFonts w:ascii="Arial" w:hAnsi="Arial" w:cs="Arial"/>
          <w:color w:val="1A1A1A" w:themeColor="background1" w:themeShade="1A"/>
          <w:sz w:val="22"/>
          <w:lang w:eastAsia="es-ES_tradnl"/>
        </w:rPr>
        <w:footnoteReference w:id="2"/>
      </w:r>
      <w:r w:rsidRPr="0091437B">
        <w:rPr>
          <w:rFonts w:ascii="Arial" w:hAnsi="Arial" w:cs="Arial"/>
          <w:color w:val="1A1A1A" w:themeColor="background1" w:themeShade="1A"/>
          <w:sz w:val="22"/>
          <w:lang w:eastAsia="es-ES_tradnl"/>
        </w:rPr>
        <w:t>.</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En esta providencia también aclar</w:t>
      </w:r>
      <w:r w:rsidR="00584EAA">
        <w:rPr>
          <w:rFonts w:ascii="Arial" w:hAnsi="Arial" w:cs="Arial"/>
          <w:color w:val="1A1A1A" w:themeColor="background1" w:themeShade="1A"/>
          <w:sz w:val="22"/>
          <w:lang w:eastAsia="es-ES_tradnl"/>
        </w:rPr>
        <w:t>ó</w:t>
      </w:r>
      <w:r w:rsidRPr="0091437B">
        <w:rPr>
          <w:rFonts w:ascii="Arial" w:hAnsi="Arial" w:cs="Arial"/>
          <w:color w:val="1A1A1A" w:themeColor="background1" w:themeShade="1A"/>
          <w:sz w:val="22"/>
          <w:lang w:eastAsia="es-ES_tradnl"/>
        </w:rPr>
        <w:t xml:space="preserve"> que las empresas prestadoras de servicios públicos, de carácter mixto o privado, no son empresas de economía mixta. La anterior conclusión fue fundamentada sobre la idea del carácter o naturaleza especial que la Constitución otorgó a las empresas de servicios públicos</w:t>
      </w:r>
      <w:r w:rsidRPr="0091437B">
        <w:rPr>
          <w:rStyle w:val="Refdenotaalpie"/>
          <w:rFonts w:ascii="Arial" w:hAnsi="Arial" w:cs="Arial"/>
          <w:color w:val="1A1A1A" w:themeColor="background1" w:themeShade="1A"/>
          <w:sz w:val="21"/>
          <w:szCs w:val="21"/>
        </w:rPr>
        <w:footnoteReference w:id="3"/>
      </w:r>
      <w:r w:rsidRPr="0091437B">
        <w:rPr>
          <w:rFonts w:ascii="Arial" w:hAnsi="Arial" w:cs="Arial"/>
          <w:color w:val="1A1A1A" w:themeColor="background1" w:themeShade="1A"/>
          <w:sz w:val="21"/>
          <w:szCs w:val="21"/>
        </w:rPr>
        <w:t>.</w:t>
      </w:r>
    </w:p>
    <w:p w:rsidR="005E5F36" w:rsidP="005E5F36" w:rsidRDefault="00A551E2" w14:paraId="3D0A0CDB" w14:textId="77777777">
      <w:pPr>
        <w:spacing w:after="120" w:line="276" w:lineRule="auto"/>
        <w:ind w:firstLine="708"/>
        <w:jc w:val="both"/>
        <w:rPr>
          <w:rFonts w:ascii="Arial" w:hAnsi="Arial" w:cs="Arial"/>
          <w:color w:val="1A1A1A" w:themeColor="background1" w:themeShade="1A"/>
          <w:sz w:val="22"/>
          <w:lang w:val="es-CO"/>
        </w:rPr>
      </w:pPr>
      <w:bookmarkStart w:name="_Hlk65589443" w:id="9"/>
      <w:r w:rsidRPr="0091437B">
        <w:rPr>
          <w:rFonts w:ascii="Arial" w:hAnsi="Arial" w:cs="Arial"/>
          <w:color w:val="1A1A1A" w:themeColor="background1" w:themeShade="1A"/>
          <w:sz w:val="22"/>
          <w:lang w:val="es-CO"/>
        </w:rPr>
        <w:t>Así las cosas, las empresas de servicios públicos tienen una naturaleza jurídica especial que viene dada directamente por el artículo 356 de la Constitución Política</w:t>
      </w:r>
      <w:r w:rsidR="008937B6">
        <w:rPr>
          <w:rFonts w:ascii="Arial" w:hAnsi="Arial" w:cs="Arial"/>
          <w:color w:val="1A1A1A" w:themeColor="background1" w:themeShade="1A"/>
          <w:sz w:val="22"/>
          <w:lang w:val="es-CO"/>
        </w:rPr>
        <w:t xml:space="preserve">, y </w:t>
      </w:r>
      <w:r w:rsidRPr="0091437B">
        <w:rPr>
          <w:rFonts w:ascii="Arial" w:hAnsi="Arial" w:cs="Arial"/>
          <w:color w:val="1A1A1A" w:themeColor="background1" w:themeShade="1A"/>
          <w:sz w:val="22"/>
          <w:lang w:val="es-CO"/>
        </w:rPr>
        <w:t xml:space="preserve">el hecho de que su composición accionaria </w:t>
      </w:r>
      <w:r w:rsidR="008937B6">
        <w:rPr>
          <w:rFonts w:ascii="Arial" w:hAnsi="Arial" w:cs="Arial"/>
          <w:color w:val="1A1A1A" w:themeColor="background1" w:themeShade="1A"/>
          <w:sz w:val="22"/>
          <w:lang w:val="es-CO"/>
        </w:rPr>
        <w:t xml:space="preserve">pueda </w:t>
      </w:r>
      <w:r w:rsidRPr="0091437B">
        <w:rPr>
          <w:rFonts w:ascii="Arial" w:hAnsi="Arial" w:cs="Arial"/>
          <w:color w:val="1A1A1A" w:themeColor="background1" w:themeShade="1A"/>
          <w:sz w:val="22"/>
          <w:lang w:val="es-CO"/>
        </w:rPr>
        <w:t>est</w:t>
      </w:r>
      <w:r w:rsidR="008937B6">
        <w:rPr>
          <w:rFonts w:ascii="Arial" w:hAnsi="Arial" w:cs="Arial"/>
          <w:color w:val="1A1A1A" w:themeColor="background1" w:themeShade="1A"/>
          <w:sz w:val="22"/>
          <w:lang w:val="es-CO"/>
        </w:rPr>
        <w:t>ar</w:t>
      </w:r>
      <w:r w:rsidRPr="0091437B">
        <w:rPr>
          <w:rFonts w:ascii="Arial" w:hAnsi="Arial" w:cs="Arial"/>
          <w:color w:val="1A1A1A" w:themeColor="background1" w:themeShade="1A"/>
          <w:sz w:val="22"/>
          <w:lang w:val="es-CO"/>
        </w:rPr>
        <w:t xml:space="preserve"> compartida por recursos públicos y privados no la</w:t>
      </w:r>
      <w:r w:rsidR="008937B6">
        <w:rPr>
          <w:rFonts w:ascii="Arial" w:hAnsi="Arial" w:cs="Arial"/>
          <w:color w:val="1A1A1A" w:themeColor="background1" w:themeShade="1A"/>
          <w:sz w:val="22"/>
          <w:lang w:val="es-CO"/>
        </w:rPr>
        <w:t>s</w:t>
      </w:r>
      <w:r w:rsidRPr="0091437B">
        <w:rPr>
          <w:rFonts w:ascii="Arial" w:hAnsi="Arial" w:cs="Arial"/>
          <w:color w:val="1A1A1A" w:themeColor="background1" w:themeShade="1A"/>
          <w:sz w:val="22"/>
          <w:lang w:val="es-CO"/>
        </w:rPr>
        <w:t xml:space="preserve"> convierte en sociedad</w:t>
      </w:r>
      <w:r w:rsidR="008937B6">
        <w:rPr>
          <w:rFonts w:ascii="Arial" w:hAnsi="Arial" w:cs="Arial"/>
          <w:color w:val="1A1A1A" w:themeColor="background1" w:themeShade="1A"/>
          <w:sz w:val="22"/>
          <w:lang w:val="es-CO"/>
        </w:rPr>
        <w:t xml:space="preserve">es </w:t>
      </w:r>
      <w:r w:rsidRPr="0091437B">
        <w:rPr>
          <w:rFonts w:ascii="Arial" w:hAnsi="Arial" w:cs="Arial"/>
          <w:color w:val="1A1A1A" w:themeColor="background1" w:themeShade="1A"/>
          <w:sz w:val="22"/>
          <w:lang w:val="es-CO"/>
        </w:rPr>
        <w:t xml:space="preserve">de economía mixta, pues las empresas </w:t>
      </w:r>
      <w:r w:rsidR="008937B6">
        <w:rPr>
          <w:rFonts w:ascii="Arial" w:hAnsi="Arial" w:cs="Arial"/>
          <w:color w:val="1A1A1A" w:themeColor="background1" w:themeShade="1A"/>
          <w:sz w:val="22"/>
          <w:lang w:val="es-CO"/>
        </w:rPr>
        <w:t xml:space="preserve">en cuestión </w:t>
      </w:r>
      <w:r w:rsidRPr="0091437B">
        <w:rPr>
          <w:rFonts w:ascii="Arial" w:hAnsi="Arial" w:cs="Arial"/>
          <w:color w:val="1A1A1A" w:themeColor="background1" w:themeShade="1A"/>
          <w:sz w:val="22"/>
          <w:lang w:val="es-CO"/>
        </w:rPr>
        <w:t xml:space="preserve">tienen su clasificación propia dependiendo de la composición de su capital accionario: empresas de servicios públicos oficiales, mixtas y privadas. Ahora, sin importar </w:t>
      </w:r>
      <w:r w:rsidRPr="0091437B">
        <w:rPr>
          <w:rFonts w:ascii="Arial" w:hAnsi="Arial" w:cs="Arial"/>
          <w:color w:val="1A1A1A" w:themeColor="background1" w:themeShade="1A"/>
          <w:sz w:val="22"/>
          <w:lang w:val="es-CO"/>
        </w:rPr>
        <w:lastRenderedPageBreak/>
        <w:t xml:space="preserve">su clasificación, todas hacen parte de la Rama Ejecutiva del sector descentralizado por servicios. </w:t>
      </w:r>
    </w:p>
    <w:p w:rsidR="005E5F36" w:rsidP="005E5F36" w:rsidRDefault="00547A09" w14:paraId="5B3D1970" w14:textId="77777777">
      <w:pPr>
        <w:spacing w:after="120" w:line="276" w:lineRule="auto"/>
        <w:ind w:firstLine="708"/>
        <w:jc w:val="both"/>
        <w:rPr>
          <w:rFonts w:ascii="Arial" w:hAnsi="Arial" w:cs="Arial"/>
          <w:color w:val="1A1A1A" w:themeColor="background1" w:themeShade="1A"/>
          <w:sz w:val="22"/>
          <w:lang w:val="es-CO"/>
        </w:rPr>
      </w:pPr>
      <w:r>
        <w:rPr>
          <w:rFonts w:ascii="Arial" w:hAnsi="Arial" w:cs="Arial"/>
          <w:color w:val="1A1A1A" w:themeColor="background1" w:themeShade="1A"/>
          <w:sz w:val="22"/>
          <w:lang w:val="es-CO"/>
        </w:rPr>
        <w:t>E</w:t>
      </w:r>
      <w:r w:rsidRPr="008B7C9D" w:rsidR="00A551E2">
        <w:rPr>
          <w:rFonts w:ascii="Arial" w:hAnsi="Arial" w:cs="Arial"/>
          <w:color w:val="1A1A1A" w:themeColor="background1" w:themeShade="1A"/>
          <w:sz w:val="22"/>
          <w:lang w:val="es-CO"/>
        </w:rPr>
        <w:t>n cuanto al régimen jurídico de contratación de las empresas de servicios públicos, el inciso primero del artículo 31 de la Ley 142 de 1994 señala que «</w:t>
      </w:r>
      <w:r w:rsidR="00350529">
        <w:rPr>
          <w:rFonts w:ascii="Arial" w:hAnsi="Arial" w:cs="Arial"/>
          <w:color w:val="1A1A1A" w:themeColor="background1" w:themeShade="1A"/>
          <w:sz w:val="22"/>
          <w:lang w:val="es-CO"/>
        </w:rPr>
        <w:t>[l]</w:t>
      </w:r>
      <w:r w:rsidRPr="008B7C9D" w:rsidR="00A551E2">
        <w:rPr>
          <w:rFonts w:ascii="Arial" w:hAnsi="Arial" w:cs="Arial"/>
          <w:color w:val="1A1A1A" w:themeColor="background1" w:themeShade="1A"/>
          <w:sz w:val="22"/>
          <w:lang w:val="es-CO"/>
        </w:rPr>
        <w:t xml:space="preserve">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p>
    <w:p w:rsidR="00A551E2" w:rsidP="005E5F36" w:rsidRDefault="00543C1A" w14:paraId="0D2F928C" w14:textId="32900C85">
      <w:pPr>
        <w:spacing w:after="120" w:line="276" w:lineRule="auto"/>
        <w:ind w:firstLine="708"/>
        <w:jc w:val="both"/>
        <w:rPr>
          <w:rFonts w:ascii="Arial" w:hAnsi="Arial" w:cs="Arial"/>
          <w:color w:val="1A1A1A" w:themeColor="background1" w:themeShade="1A"/>
          <w:sz w:val="22"/>
          <w:lang w:val="es-CO"/>
        </w:rPr>
      </w:pPr>
      <w:r>
        <w:rPr>
          <w:rFonts w:ascii="Arial" w:hAnsi="Arial" w:cs="Arial"/>
          <w:color w:val="1A1A1A" w:themeColor="background1" w:themeShade="1A"/>
          <w:sz w:val="22"/>
          <w:lang w:val="es-CO"/>
        </w:rPr>
        <w:t>De esta manera</w:t>
      </w:r>
      <w:r w:rsidRPr="008B7C9D" w:rsidR="00A551E2">
        <w:rPr>
          <w:rFonts w:ascii="Arial" w:hAnsi="Arial" w:cs="Arial"/>
          <w:color w:val="1A1A1A" w:themeColor="background1" w:themeShade="1A"/>
          <w:sz w:val="22"/>
          <w:lang w:val="es-CO"/>
        </w:rPr>
        <w:t>,</w:t>
      </w:r>
      <w:r w:rsidR="00A551E2">
        <w:rPr>
          <w:rFonts w:ascii="Arial" w:hAnsi="Arial" w:cs="Arial"/>
          <w:color w:val="1A1A1A" w:themeColor="background1" w:themeShade="1A"/>
          <w:sz w:val="22"/>
          <w:lang w:val="es-CO"/>
        </w:rPr>
        <w:t xml:space="preserve"> sin perjuicio de lo dispuesto en el artículo 13 de la Ley 1150 de 2007 sobre la aplicación de los principios de la función administrativa, la gestión fiscal, las inhabilidades e incompatibilidades,</w:t>
      </w:r>
      <w:r w:rsidRPr="008B7C9D" w:rsidR="00A551E2">
        <w:rPr>
          <w:rFonts w:ascii="Arial" w:hAnsi="Arial" w:cs="Arial"/>
          <w:color w:val="1A1A1A" w:themeColor="background1" w:themeShade="1A"/>
          <w:sz w:val="22"/>
          <w:lang w:val="es-CO"/>
        </w:rPr>
        <w:t xml:space="preserve"> el régimen jurídico aplicable a los contratos que celebren las empresas de servicios públicos, incluso para las oficiales y las mixtas, es el contenido en </w:t>
      </w:r>
      <w:r w:rsidR="00A551E2">
        <w:rPr>
          <w:rFonts w:ascii="Arial" w:hAnsi="Arial" w:cs="Arial"/>
          <w:color w:val="1A1A1A" w:themeColor="background1" w:themeShade="1A"/>
          <w:sz w:val="22"/>
          <w:lang w:val="es-CO"/>
        </w:rPr>
        <w:t>el derecho civil y comercial</w:t>
      </w:r>
      <w:r w:rsidRPr="008B7C9D" w:rsidR="00A551E2">
        <w:rPr>
          <w:rFonts w:ascii="Arial" w:hAnsi="Arial" w:cs="Arial"/>
          <w:color w:val="1A1A1A" w:themeColor="background1" w:themeShade="1A"/>
          <w:sz w:val="22"/>
          <w:lang w:val="es-CO"/>
        </w:rPr>
        <w:t xml:space="preserve">, esto es, </w:t>
      </w:r>
      <w:r w:rsidR="00A551E2">
        <w:rPr>
          <w:rFonts w:ascii="Arial" w:hAnsi="Arial" w:cs="Arial"/>
          <w:color w:val="1A1A1A" w:themeColor="background1" w:themeShade="1A"/>
          <w:sz w:val="22"/>
          <w:lang w:val="es-CO"/>
        </w:rPr>
        <w:t xml:space="preserve">por regla general </w:t>
      </w:r>
      <w:r w:rsidRPr="008B7C9D" w:rsidR="00A551E2">
        <w:rPr>
          <w:rFonts w:ascii="Arial" w:hAnsi="Arial" w:cs="Arial"/>
          <w:color w:val="1A1A1A" w:themeColor="background1" w:themeShade="1A"/>
          <w:sz w:val="22"/>
          <w:lang w:val="es-CO"/>
        </w:rPr>
        <w:t>no están sometidas a la Ley 80 de 1993</w:t>
      </w:r>
      <w:r w:rsidR="00A551E2">
        <w:rPr>
          <w:rStyle w:val="Refdenotaalpie"/>
          <w:rFonts w:ascii="Arial" w:hAnsi="Arial" w:cs="Arial"/>
          <w:color w:val="1A1A1A" w:themeColor="background1" w:themeShade="1A"/>
          <w:sz w:val="22"/>
          <w:lang w:val="es-CO"/>
        </w:rPr>
        <w:footnoteReference w:id="4"/>
      </w:r>
      <w:r w:rsidRPr="008B7C9D" w:rsidR="00A551E2">
        <w:rPr>
          <w:rFonts w:ascii="Arial" w:hAnsi="Arial" w:cs="Arial"/>
          <w:color w:val="1A1A1A" w:themeColor="background1" w:themeShade="1A"/>
          <w:sz w:val="22"/>
          <w:lang w:val="es-CO"/>
        </w:rPr>
        <w:t xml:space="preserve">. Sin embargo, como </w:t>
      </w:r>
      <w:r w:rsidR="00A551E2">
        <w:rPr>
          <w:rFonts w:ascii="Arial" w:hAnsi="Arial" w:cs="Arial"/>
          <w:color w:val="1A1A1A" w:themeColor="background1" w:themeShade="1A"/>
          <w:sz w:val="22"/>
          <w:lang w:val="es-CO"/>
        </w:rPr>
        <w:t>se explicará a continuación</w:t>
      </w:r>
      <w:r w:rsidRPr="008B7C9D" w:rsidR="00A551E2">
        <w:rPr>
          <w:rFonts w:ascii="Arial" w:hAnsi="Arial" w:cs="Arial"/>
          <w:color w:val="1A1A1A" w:themeColor="background1" w:themeShade="1A"/>
          <w:sz w:val="22"/>
          <w:lang w:val="es-CO"/>
        </w:rPr>
        <w:t>, eso no las exime del deber de publicar su actividad contractual, cuando ejecuten recursos públicos.</w:t>
      </w:r>
      <w:r w:rsidRPr="0091437B" w:rsidR="00A551E2">
        <w:rPr>
          <w:rFonts w:ascii="Arial" w:hAnsi="Arial" w:cs="Arial"/>
          <w:color w:val="1A1A1A" w:themeColor="background1" w:themeShade="1A"/>
          <w:sz w:val="22"/>
          <w:lang w:val="es-CO"/>
        </w:rPr>
        <w:t xml:space="preserve"> </w:t>
      </w:r>
    </w:p>
    <w:bookmarkEnd w:id="9"/>
    <w:p w:rsidRPr="0091437B" w:rsidR="00B34B18" w:rsidP="00D307CD" w:rsidRDefault="00B34B18" w14:paraId="31977321" w14:textId="77777777">
      <w:pPr>
        <w:spacing w:line="276" w:lineRule="auto"/>
        <w:ind w:firstLine="708"/>
        <w:jc w:val="both"/>
        <w:rPr>
          <w:rFonts w:ascii="Arial" w:hAnsi="Arial" w:cs="Arial"/>
          <w:color w:val="1A1A1A" w:themeColor="background1" w:themeShade="1A"/>
          <w:sz w:val="22"/>
          <w:lang w:val="es-CO"/>
        </w:rPr>
      </w:pPr>
    </w:p>
    <w:p w:rsidRPr="0091437B" w:rsidR="00A551E2" w:rsidP="00D307CD" w:rsidRDefault="00A551E2" w14:paraId="5CDD71F5" w14:textId="77777777">
      <w:pPr>
        <w:tabs>
          <w:tab w:val="left" w:pos="426"/>
        </w:tabs>
        <w:spacing w:line="276" w:lineRule="auto"/>
        <w:jc w:val="both"/>
        <w:rPr>
          <w:rFonts w:ascii="Arial" w:hAnsi="Arial" w:eastAsia="Calibri" w:cs="Arial"/>
          <w:b/>
          <w:color w:val="1A1A1A" w:themeColor="background1" w:themeShade="1A"/>
          <w:sz w:val="22"/>
        </w:rPr>
      </w:pPr>
      <w:r w:rsidRPr="0091437B">
        <w:rPr>
          <w:rFonts w:ascii="Arial" w:hAnsi="Arial" w:eastAsia="Calibri" w:cs="Arial"/>
          <w:b/>
          <w:color w:val="1A1A1A" w:themeColor="background1" w:themeShade="1A"/>
          <w:sz w:val="22"/>
        </w:rPr>
        <w:t>2.</w:t>
      </w:r>
      <w:r>
        <w:rPr>
          <w:rFonts w:ascii="Arial" w:hAnsi="Arial" w:eastAsia="Calibri" w:cs="Arial"/>
          <w:b/>
          <w:color w:val="1A1A1A" w:themeColor="background1" w:themeShade="1A"/>
          <w:sz w:val="22"/>
        </w:rPr>
        <w:t>2.</w:t>
      </w:r>
      <w:r w:rsidRPr="0091437B">
        <w:rPr>
          <w:rFonts w:ascii="Arial" w:hAnsi="Arial" w:eastAsia="Calibri" w:cs="Arial"/>
          <w:b/>
          <w:color w:val="1A1A1A" w:themeColor="background1" w:themeShade="1A"/>
          <w:sz w:val="22"/>
        </w:rPr>
        <w:t xml:space="preserve"> Publicidad de los contratos en el Sistema Electrónico de Contratación Pública –SECOP–</w:t>
      </w:r>
    </w:p>
    <w:p w:rsidRPr="0091437B" w:rsidR="00A551E2" w:rsidP="00A551E2" w:rsidRDefault="00A551E2" w14:paraId="3669A4BD" w14:textId="77777777">
      <w:pPr>
        <w:pStyle w:val="Prrafodelista"/>
        <w:spacing w:line="276" w:lineRule="auto"/>
        <w:ind w:left="0" w:firstLine="709"/>
        <w:jc w:val="both"/>
        <w:rPr>
          <w:rFonts w:ascii="Arial" w:hAnsi="Arial" w:eastAsia="Calibri" w:cs="Arial"/>
          <w:b/>
          <w:color w:val="1A1A1A" w:themeColor="background1" w:themeShade="1A"/>
          <w:sz w:val="22"/>
        </w:rPr>
      </w:pPr>
    </w:p>
    <w:p w:rsidR="001C1184" w:rsidP="0062206A" w:rsidRDefault="001C1184" w14:paraId="5C0B1897" w14:textId="499308F3">
      <w:pPr>
        <w:spacing w:after="120" w:line="276" w:lineRule="auto"/>
        <w:jc w:val="both"/>
        <w:rPr>
          <w:rFonts w:ascii="Arial" w:hAnsi="Arial" w:eastAsia="Calibri" w:cs="Arial"/>
          <w:color w:val="1A1A1A" w:themeColor="background1" w:themeShade="1A"/>
          <w:sz w:val="22"/>
        </w:rPr>
      </w:pPr>
      <w:r>
        <w:rPr>
          <w:rFonts w:ascii="Arial" w:hAnsi="Arial" w:eastAsia="Calibri" w:cs="Arial"/>
          <w:color w:val="1A1A1A" w:themeColor="background1" w:themeShade="1A"/>
          <w:sz w:val="22"/>
        </w:rPr>
        <w:t>El principio de publicidad se encuentra consagrado en el artículo 209 de la Constitución Política</w:t>
      </w:r>
      <w:r>
        <w:rPr>
          <w:rStyle w:val="Refdenotaalpie"/>
          <w:rFonts w:ascii="Arial" w:hAnsi="Arial" w:eastAsia="Calibri" w:cs="Arial"/>
          <w:color w:val="1A1A1A" w:themeColor="background1" w:themeShade="1A"/>
          <w:sz w:val="22"/>
        </w:rPr>
        <w:footnoteReference w:id="5"/>
      </w:r>
      <w:r w:rsidR="00904C17">
        <w:rPr>
          <w:rFonts w:ascii="Arial" w:hAnsi="Arial" w:eastAsia="Calibri" w:cs="Arial"/>
          <w:color w:val="1A1A1A" w:themeColor="background1" w:themeShade="1A"/>
          <w:sz w:val="22"/>
        </w:rPr>
        <w:t xml:space="preserve"> y es considerado uno de los principios </w:t>
      </w:r>
      <w:r w:rsidR="00C172C2">
        <w:rPr>
          <w:rFonts w:ascii="Arial" w:hAnsi="Arial" w:eastAsia="Calibri" w:cs="Arial"/>
          <w:color w:val="1A1A1A" w:themeColor="background1" w:themeShade="1A"/>
          <w:sz w:val="22"/>
        </w:rPr>
        <w:t>constitucionales orientadores de la administración y la gestión pública</w:t>
      </w:r>
      <w:r w:rsidR="00C172C2">
        <w:rPr>
          <w:rStyle w:val="Refdenotaalpie"/>
          <w:rFonts w:ascii="Arial" w:hAnsi="Arial" w:eastAsia="Calibri" w:cs="Arial"/>
          <w:color w:val="1A1A1A" w:themeColor="background1" w:themeShade="1A"/>
          <w:sz w:val="22"/>
        </w:rPr>
        <w:footnoteReference w:id="6"/>
      </w:r>
      <w:r w:rsidR="00B20A23">
        <w:rPr>
          <w:rFonts w:ascii="Arial" w:hAnsi="Arial" w:eastAsia="Calibri" w:cs="Arial"/>
          <w:color w:val="1A1A1A" w:themeColor="background1" w:themeShade="1A"/>
          <w:sz w:val="22"/>
        </w:rPr>
        <w:t>. I</w:t>
      </w:r>
      <w:r>
        <w:rPr>
          <w:rFonts w:ascii="Arial" w:hAnsi="Arial" w:eastAsia="Calibri" w:cs="Arial"/>
          <w:color w:val="1A1A1A" w:themeColor="background1" w:themeShade="1A"/>
          <w:sz w:val="22"/>
        </w:rPr>
        <w:t xml:space="preserve">mpone a las autoridades el deber de dar a conocer </w:t>
      </w:r>
      <w:r>
        <w:rPr>
          <w:rFonts w:ascii="Arial" w:hAnsi="Arial" w:eastAsia="Calibri" w:cs="Arial"/>
          <w:color w:val="1A1A1A" w:themeColor="background1" w:themeShade="1A"/>
          <w:sz w:val="22"/>
        </w:rPr>
        <w:lastRenderedPageBreak/>
        <w:t>su</w:t>
      </w:r>
      <w:r w:rsidR="00B20A23">
        <w:rPr>
          <w:rFonts w:ascii="Arial" w:hAnsi="Arial" w:eastAsia="Calibri" w:cs="Arial"/>
          <w:color w:val="1A1A1A" w:themeColor="background1" w:themeShade="1A"/>
          <w:sz w:val="22"/>
        </w:rPr>
        <w:t>s</w:t>
      </w:r>
      <w:r>
        <w:rPr>
          <w:rFonts w:ascii="Arial" w:hAnsi="Arial" w:eastAsia="Calibri" w:cs="Arial"/>
          <w:color w:val="1A1A1A" w:themeColor="background1" w:themeShade="1A"/>
          <w:sz w:val="22"/>
        </w:rPr>
        <w:t xml:space="preserve"> actos, contratos </w:t>
      </w:r>
      <w:r w:rsidR="00B20A23">
        <w:rPr>
          <w:rFonts w:ascii="Arial" w:hAnsi="Arial" w:eastAsia="Calibri" w:cs="Arial"/>
          <w:color w:val="1A1A1A" w:themeColor="background1" w:themeShade="1A"/>
          <w:sz w:val="22"/>
        </w:rPr>
        <w:t>y decisiones, de manera que puedan ser conocidos incluso por quienes no participan en su desarrollo y, eventualmente, ser objeto de control, con el fin de garantizar el debido proceso y los principios de la función pública</w:t>
      </w:r>
      <w:r w:rsidR="00655EB5">
        <w:rPr>
          <w:rFonts w:ascii="Arial" w:hAnsi="Arial" w:eastAsia="Calibri" w:cs="Arial"/>
          <w:color w:val="1A1A1A" w:themeColor="background1" w:themeShade="1A"/>
          <w:sz w:val="22"/>
        </w:rPr>
        <w:t>.</w:t>
      </w:r>
    </w:p>
    <w:p w:rsidR="00A551E2" w:rsidP="0062206A" w:rsidRDefault="00A551E2" w14:paraId="25C00169" w14:textId="095BF274">
      <w:pPr>
        <w:ind w:firstLine="709"/>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rsidRPr="0091437B" w:rsidR="0062206A" w:rsidP="0062206A" w:rsidRDefault="0062206A" w14:paraId="2770FB0C" w14:textId="77777777">
      <w:pPr>
        <w:ind w:firstLine="709"/>
        <w:jc w:val="both"/>
        <w:rPr>
          <w:rFonts w:ascii="Arial" w:hAnsi="Arial" w:eastAsia="Calibri" w:cs="Arial"/>
          <w:color w:val="1A1A1A" w:themeColor="background1" w:themeShade="1A"/>
          <w:sz w:val="22"/>
        </w:rPr>
      </w:pPr>
    </w:p>
    <w:p w:rsidRPr="0091437B" w:rsidR="00A551E2" w:rsidP="0062206A" w:rsidRDefault="00A551E2" w14:paraId="5202E379" w14:textId="77777777">
      <w:pPr>
        <w:tabs>
          <w:tab w:val="left" w:pos="3885"/>
        </w:tabs>
        <w:ind w:left="709"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91437B" w:rsidR="00A551E2" w:rsidP="00A551E2" w:rsidRDefault="00A551E2" w14:paraId="53DD79FD" w14:textId="77777777">
      <w:pPr>
        <w:tabs>
          <w:tab w:val="left" w:pos="3885"/>
        </w:tabs>
        <w:ind w:left="709" w:right="709"/>
        <w:jc w:val="both"/>
        <w:rPr>
          <w:rFonts w:ascii="Arial" w:hAnsi="Arial" w:cs="Arial"/>
          <w:color w:val="1A1A1A" w:themeColor="background1" w:themeShade="1A"/>
          <w:sz w:val="21"/>
          <w:szCs w:val="21"/>
          <w:lang w:val="es-ES"/>
        </w:rPr>
      </w:pPr>
    </w:p>
    <w:p w:rsidRPr="0091437B" w:rsidR="00A551E2" w:rsidP="00A551E2" w:rsidRDefault="00A551E2" w14:paraId="729DC15D" w14:textId="77777777">
      <w:pPr>
        <w:tabs>
          <w:tab w:val="left" w:pos="3885"/>
          <w:tab w:val="left" w:pos="8222"/>
        </w:tabs>
        <w:ind w:left="709" w:right="709"/>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91437B">
        <w:rPr>
          <w:rFonts w:ascii="Arial" w:hAnsi="Arial" w:cs="Arial"/>
          <w:color w:val="1A1A1A" w:themeColor="background1" w:themeShade="1A"/>
          <w:sz w:val="21"/>
          <w:szCs w:val="21"/>
          <w:lang w:val="es-ES"/>
        </w:rPr>
        <w:t>autoridades públicas</w:t>
      </w:r>
      <w:proofErr w:type="gramEnd"/>
      <w:r w:rsidRPr="0091437B">
        <w:rPr>
          <w:rFonts w:ascii="Arial" w:hAnsi="Arial" w:cs="Arial"/>
          <w:color w:val="1A1A1A" w:themeColor="background1" w:themeShade="1A"/>
          <w:sz w:val="21"/>
          <w:szCs w:val="21"/>
          <w:lang w:val="es-ES"/>
        </w:rPr>
        <w:t xml:space="preserve"> y, a través de ese conocimiento, a exigir que ellas se surtan conforme a la ley</w:t>
      </w:r>
      <w:r w:rsidRPr="0091437B">
        <w:rPr>
          <w:rStyle w:val="Refdenotaalpie"/>
          <w:rFonts w:ascii="Arial" w:hAnsi="Arial" w:eastAsia="Calibri" w:cs="Arial"/>
          <w:color w:val="1A1A1A" w:themeColor="background1" w:themeShade="1A"/>
          <w:sz w:val="21"/>
          <w:szCs w:val="21"/>
        </w:rPr>
        <w:footnoteReference w:id="7"/>
      </w:r>
      <w:r w:rsidRPr="0091437B">
        <w:rPr>
          <w:rFonts w:ascii="Arial" w:hAnsi="Arial" w:eastAsia="Calibri" w:cs="Arial"/>
          <w:color w:val="1A1A1A" w:themeColor="background1" w:themeShade="1A"/>
          <w:sz w:val="21"/>
          <w:szCs w:val="21"/>
        </w:rPr>
        <w:t>.</w:t>
      </w:r>
    </w:p>
    <w:p w:rsidRPr="0091437B" w:rsidR="00A551E2" w:rsidP="00A551E2" w:rsidRDefault="00A551E2" w14:paraId="2910008D" w14:textId="77777777">
      <w:pPr>
        <w:spacing w:line="276" w:lineRule="auto"/>
        <w:ind w:right="709"/>
        <w:jc w:val="both"/>
        <w:rPr>
          <w:rFonts w:ascii="Arial" w:hAnsi="Arial" w:eastAsia="Calibri" w:cs="Arial"/>
          <w:color w:val="1A1A1A" w:themeColor="background1" w:themeShade="1A"/>
          <w:sz w:val="22"/>
        </w:rPr>
      </w:pPr>
    </w:p>
    <w:p w:rsidRPr="0091437B" w:rsidR="00A551E2" w:rsidP="00A551E2" w:rsidRDefault="00A551E2" w14:paraId="65F1ED1F" w14:textId="0D5FE780">
      <w:pPr>
        <w:spacing w:after="120" w:line="276" w:lineRule="auto"/>
        <w:ind w:firstLine="709"/>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91437B">
        <w:rPr>
          <w:rStyle w:val="Refdenotaalpie"/>
          <w:rFonts w:ascii="Arial" w:hAnsi="Arial" w:eastAsia="Calibri" w:cs="Arial"/>
          <w:color w:val="1A1A1A" w:themeColor="background1" w:themeShade="1A"/>
          <w:sz w:val="22"/>
        </w:rPr>
        <w:footnoteReference w:id="8"/>
      </w:r>
      <w:r w:rsidRPr="0091437B">
        <w:rPr>
          <w:rFonts w:ascii="Arial" w:hAnsi="Arial" w:eastAsia="Calibri" w:cs="Arial"/>
          <w:color w:val="1A1A1A" w:themeColor="background1" w:themeShade="1A"/>
          <w:sz w:val="22"/>
        </w:rPr>
        <w:t xml:space="preserve">. </w:t>
      </w:r>
    </w:p>
    <w:p w:rsidRPr="0091437B" w:rsidR="00A551E2" w:rsidP="00A551E2" w:rsidRDefault="00A551E2" w14:paraId="0D22BE8B" w14:textId="404204B1">
      <w:pPr>
        <w:spacing w:after="120" w:line="276" w:lineRule="auto"/>
        <w:ind w:firstLine="709"/>
        <w:jc w:val="both"/>
        <w:rPr>
          <w:rFonts w:ascii="Arial" w:hAnsi="Arial" w:eastAsia="Calibri" w:cs="Arial"/>
          <w:color w:val="1A1A1A" w:themeColor="background1" w:themeShade="1A"/>
          <w:sz w:val="22"/>
        </w:rPr>
      </w:pPr>
      <w:r w:rsidRPr="0091437B">
        <w:rPr>
          <w:rFonts w:ascii="Arial" w:hAnsi="Arial" w:cs="Arial"/>
          <w:color w:val="1A1A1A" w:themeColor="background1" w:themeShade="1A"/>
          <w:sz w:val="22"/>
        </w:rPr>
        <w:t xml:space="preserve">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w:t>
      </w:r>
      <w:r w:rsidRPr="0091437B">
        <w:rPr>
          <w:rFonts w:ascii="Arial" w:hAnsi="Arial" w:cs="Arial"/>
          <w:color w:val="1A1A1A" w:themeColor="background1" w:themeShade="1A"/>
          <w:sz w:val="22"/>
        </w:rPr>
        <w:lastRenderedPageBreak/>
        <w:t>de máxima publicidad establece que «toda información en posesión, bajo control o custodia de un sujeto obligado es pública y no podrá ser reservada o limitada sino por disposición constitucional o legal»</w:t>
      </w:r>
      <w:r w:rsidRPr="0091437B">
        <w:rPr>
          <w:rStyle w:val="Refdenotaalpie"/>
          <w:rFonts w:ascii="Arial" w:hAnsi="Arial" w:cs="Arial"/>
          <w:color w:val="1A1A1A" w:themeColor="background1" w:themeShade="1A"/>
          <w:sz w:val="22"/>
        </w:rPr>
        <w:footnoteReference w:id="9"/>
      </w:r>
      <w:r w:rsidRPr="0091437B">
        <w:rPr>
          <w:rFonts w:ascii="Arial" w:hAnsi="Arial" w:cs="Arial"/>
          <w:color w:val="1A1A1A" w:themeColor="background1" w:themeShade="1A"/>
          <w:sz w:val="22"/>
        </w:rPr>
        <w:t xml:space="preserve">. El principio de transparencia en la información alude al deber de los sujetos de proporcionar y facilitar el acceso a la misma en los términos más amplios posibles, y a través de los medios y procedimientos que establezca la ley. </w:t>
      </w:r>
      <w:r w:rsidRPr="00D62CD5" w:rsidR="00D62CD5">
        <w:rPr>
          <w:rFonts w:ascii="Arial" w:hAnsi="Arial" w:cs="Arial"/>
          <w:color w:val="1A1A1A" w:themeColor="background1" w:themeShade="1A"/>
          <w:sz w:val="22"/>
        </w:rPr>
        <w:t>Y el principio de buena fe sugiere que todo sujeto obligado cumplirá con las obligaciones derivadas del derecho de acceso a la información pública con motivación honesta, leal y desprovista de dolo o culpa.</w:t>
      </w:r>
    </w:p>
    <w:p w:rsidRPr="0091437B" w:rsidR="00A551E2" w:rsidP="00A551E2" w:rsidRDefault="00A551E2" w14:paraId="08F48CC7" w14:textId="67617F4B">
      <w:pPr>
        <w:pStyle w:val="NormalWeb"/>
        <w:spacing w:before="0" w:beforeAutospacing="0" w:after="120" w:afterAutospacing="0" w:line="276" w:lineRule="auto"/>
        <w:ind w:firstLine="709"/>
        <w:jc w:val="both"/>
        <w:rPr>
          <w:rFonts w:ascii="Arial" w:hAnsi="Arial" w:cs="Arial" w:eastAsiaTheme="minorHAnsi"/>
          <w:color w:val="1A1A1A" w:themeColor="background1" w:themeShade="1A"/>
          <w:sz w:val="22"/>
          <w:szCs w:val="22"/>
          <w:lang w:val="es-MX" w:eastAsia="en-US"/>
        </w:rPr>
      </w:pPr>
      <w:r w:rsidRPr="0091437B">
        <w:rPr>
          <w:rFonts w:ascii="Arial" w:hAnsi="Arial" w:cs="Arial" w:eastAsiaTheme="minorHAnsi"/>
          <w:color w:val="1A1A1A" w:themeColor="background1" w:themeShade="1A"/>
          <w:sz w:val="22"/>
          <w:szCs w:val="22"/>
          <w:lang w:val="es-MX" w:eastAsia="en-US"/>
        </w:rPr>
        <w:t>La ley citada establece, en el literal e) del artículo 9, que los sujetos obligados, que son todas las entidades públicas</w:t>
      </w:r>
      <w:r w:rsidR="00D62CD5">
        <w:rPr>
          <w:rFonts w:ascii="Arial" w:hAnsi="Arial" w:cs="Arial" w:eastAsiaTheme="minorHAnsi"/>
          <w:color w:val="1A1A1A" w:themeColor="background1" w:themeShade="1A"/>
          <w:sz w:val="22"/>
          <w:szCs w:val="22"/>
          <w:lang w:val="es-MX" w:eastAsia="en-US"/>
        </w:rPr>
        <w:t xml:space="preserve"> e incluso personas jurídicas de derecho privado que presten servicios públicos</w:t>
      </w:r>
      <w:r w:rsidRPr="0091437B">
        <w:rPr>
          <w:rStyle w:val="Refdenotaalpie"/>
          <w:rFonts w:ascii="Arial" w:hAnsi="Arial" w:cs="Arial" w:eastAsiaTheme="minorHAnsi"/>
          <w:color w:val="1A1A1A" w:themeColor="background1" w:themeShade="1A"/>
          <w:sz w:val="22"/>
          <w:szCs w:val="22"/>
          <w:lang w:val="es-MX" w:eastAsia="en-US"/>
        </w:rPr>
        <w:footnoteReference w:id="10"/>
      </w:r>
      <w:r w:rsidRPr="0091437B">
        <w:rPr>
          <w:rFonts w:ascii="Arial" w:hAnsi="Arial" w:cs="Arial" w:eastAsiaTheme="minorHAnsi"/>
          <w:color w:val="1A1A1A" w:themeColor="background1" w:themeShade="1A"/>
          <w:sz w:val="22"/>
          <w:szCs w:val="22"/>
          <w:lang w:val="es-MX" w:eastAsia="en-US"/>
        </w:rPr>
        <w:t>, deben publicar la información relativa a su contratación. Esta obligación fue desarrollada por el Decreto Único Reglamentario 1081 de 2015</w:t>
      </w:r>
      <w:r w:rsidRPr="0091437B">
        <w:rPr>
          <w:rStyle w:val="Refdenotaalpie"/>
          <w:rFonts w:ascii="Arial" w:hAnsi="Arial" w:cs="Arial" w:eastAsiaTheme="minorHAnsi"/>
          <w:color w:val="1A1A1A" w:themeColor="background1" w:themeShade="1A"/>
          <w:sz w:val="22"/>
          <w:szCs w:val="22"/>
          <w:lang w:val="es-MX" w:eastAsia="en-US"/>
        </w:rPr>
        <w:footnoteReference w:id="11"/>
      </w:r>
      <w:r w:rsidRPr="0091437B">
        <w:rPr>
          <w:rFonts w:ascii="Arial" w:hAnsi="Arial" w:cs="Arial" w:eastAsiaTheme="minorHAnsi"/>
          <w:color w:val="1A1A1A" w:themeColor="background1" w:themeShade="1A"/>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91437B">
        <w:rPr>
          <w:rFonts w:ascii="Arial" w:hAnsi="Arial" w:cs="Arial" w:eastAsiaTheme="minorHAnsi"/>
          <w:color w:val="1A1A1A" w:themeColor="background1" w:themeShade="1A"/>
          <w:sz w:val="22"/>
          <w:szCs w:val="22"/>
          <w:lang w:val="es-MX" w:eastAsia="en-US"/>
        </w:rPr>
        <w:softHyphen/>
        <w:t xml:space="preserve"> </w:t>
      </w:r>
      <w:r w:rsidRPr="0091437B">
        <w:rPr>
          <w:rFonts w:ascii="Arial" w:hAnsi="Arial" w:cs="Arial" w:eastAsiaTheme="minorHAnsi"/>
          <w:color w:val="1A1A1A" w:themeColor="background1" w:themeShade="1A"/>
          <w:sz w:val="22"/>
          <w:szCs w:val="22"/>
          <w:lang w:val="es-MX" w:eastAsia="en-US"/>
        </w:rPr>
        <w:softHyphen/>
        <w:t>SECOP.</w:t>
      </w:r>
    </w:p>
    <w:p w:rsidRPr="0091437B" w:rsidR="00A551E2" w:rsidP="00A551E2" w:rsidRDefault="00A551E2" w14:paraId="28C95D33" w14:textId="043D0D11">
      <w:pPr>
        <w:spacing w:after="120" w:line="276" w:lineRule="auto"/>
        <w:ind w:firstLine="709"/>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2"/>
        </w:rPr>
        <w:t>As</w:t>
      </w:r>
      <w:r w:rsidR="00437D7B">
        <w:rPr>
          <w:rFonts w:ascii="Arial" w:hAnsi="Arial" w:cs="Arial"/>
          <w:color w:val="1A1A1A" w:themeColor="background1" w:themeShade="1A"/>
          <w:sz w:val="22"/>
        </w:rPr>
        <w:t xml:space="preserve">í </w:t>
      </w:r>
      <w:r w:rsidRPr="0091437B">
        <w:rPr>
          <w:rFonts w:ascii="Arial" w:hAnsi="Arial" w:cs="Arial"/>
          <w:color w:val="1A1A1A" w:themeColor="background1" w:themeShade="1A"/>
          <w:sz w:val="22"/>
        </w:rPr>
        <w:t xml:space="preserve">mismo, de </w:t>
      </w:r>
      <w:r w:rsidRPr="0091437B">
        <w:rPr>
          <w:rFonts w:ascii="Arial" w:hAnsi="Arial" w:cs="Arial"/>
          <w:color w:val="1A1A1A" w:themeColor="background1" w:themeShade="1A"/>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w:t>
      </w:r>
      <w:r w:rsidRPr="0091437B">
        <w:rPr>
          <w:rFonts w:ascii="Arial" w:hAnsi="Arial" w:cs="Arial"/>
          <w:color w:val="1A1A1A" w:themeColor="background1" w:themeShade="1A"/>
          <w:sz w:val="22"/>
          <w:lang w:val="es-ES"/>
        </w:rPr>
        <w:lastRenderedPageBreak/>
        <w:t xml:space="preserve">todos los datos de adjudicación y ejecución de contratos, incluidos concursos y licitaciones», y esta información también debe estar en el SECOP. </w:t>
      </w:r>
    </w:p>
    <w:p w:rsidRPr="0091437B" w:rsidR="00A551E2" w:rsidP="00A551E2" w:rsidRDefault="00A551E2" w14:paraId="50093C20" w14:textId="77777777">
      <w:pPr>
        <w:spacing w:after="120" w:line="276" w:lineRule="auto"/>
        <w:ind w:firstLine="709"/>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1437B">
        <w:rPr>
          <w:rStyle w:val="Refdenotaalpie"/>
          <w:rFonts w:ascii="Arial" w:hAnsi="Arial" w:eastAsia="Calibri" w:cs="Arial"/>
          <w:color w:val="1A1A1A" w:themeColor="background1" w:themeShade="1A"/>
          <w:sz w:val="22"/>
        </w:rPr>
        <w:footnoteReference w:id="12"/>
      </w:r>
      <w:r w:rsidRPr="0091437B">
        <w:rPr>
          <w:rFonts w:ascii="Arial" w:hAnsi="Arial" w:eastAsia="Calibri" w:cs="Arial"/>
          <w:color w:val="1A1A1A" w:themeColor="background1" w:themeShade="1A"/>
          <w:sz w:val="22"/>
        </w:rPr>
        <w:t>.</w:t>
      </w:r>
    </w:p>
    <w:p w:rsidRPr="0091437B" w:rsidR="00A551E2" w:rsidP="00A551E2" w:rsidRDefault="00A551E2" w14:paraId="0D548639" w14:textId="77777777">
      <w:pPr>
        <w:spacing w:after="120" w:line="276" w:lineRule="auto"/>
        <w:ind w:firstLine="709"/>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2"/>
          <w:lang w:val="es-ES"/>
        </w:rPr>
        <w:t>Para el año 2013, la Agencia Nacional de Contratación Pública ─ Colombia Compra Eficiente, mediante la mediante la Circular Externa No 1 del</w:t>
      </w:r>
      <w:r w:rsidRPr="0091437B">
        <w:rPr>
          <w:color w:val="1A1A1A" w:themeColor="background1" w:themeShade="1A"/>
          <w:sz w:val="22"/>
        </w:rPr>
        <w:t xml:space="preserve"> </w:t>
      </w:r>
      <w:r w:rsidRPr="0091437B">
        <w:rPr>
          <w:rFonts w:ascii="Arial" w:hAnsi="Arial" w:cs="Arial"/>
          <w:color w:val="1A1A1A" w:themeColor="background1" w:themeShade="1A"/>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91437B">
        <w:rPr>
          <w:rStyle w:val="Refdenotaalpie"/>
          <w:rFonts w:ascii="Arial" w:hAnsi="Arial" w:cs="Arial"/>
          <w:color w:val="1A1A1A" w:themeColor="background1" w:themeShade="1A"/>
          <w:sz w:val="22"/>
          <w:lang w:val="es-ES"/>
        </w:rPr>
        <w:footnoteReference w:id="13"/>
      </w:r>
      <w:r w:rsidRPr="0091437B">
        <w:rPr>
          <w:rFonts w:ascii="Arial" w:hAnsi="Arial" w:cs="Arial"/>
          <w:color w:val="1A1A1A" w:themeColor="background1" w:themeShade="1A"/>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rsidRPr="0091437B" w:rsidR="00A551E2" w:rsidP="00A551E2" w:rsidRDefault="00A551E2" w14:paraId="7EADF013" w14:textId="0FDC56D4">
      <w:pPr>
        <w:spacing w:line="276" w:lineRule="auto"/>
        <w:ind w:firstLine="709"/>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2"/>
          <w:lang w:val="es-ES"/>
        </w:rPr>
        <w:t>El debate sobre la obligatoriedad o no de publicar en el SECOP, para las entidades con régimen especial de contratación, ya fue definido, al menos de manera preliminar, por el Consejo de Estado</w:t>
      </w:r>
      <w:r w:rsidR="00437D7B">
        <w:rPr>
          <w:rFonts w:ascii="Arial" w:hAnsi="Arial" w:cs="Arial"/>
          <w:color w:val="1A1A1A" w:themeColor="background1" w:themeShade="1A"/>
          <w:sz w:val="22"/>
          <w:lang w:val="es-ES"/>
        </w:rPr>
        <w:t xml:space="preserve">. </w:t>
      </w:r>
      <w:r w:rsidRPr="00437D7B" w:rsidR="00437D7B">
        <w:rPr>
          <w:rFonts w:ascii="Arial" w:hAnsi="Arial" w:cs="Arial"/>
          <w:color w:val="1A1A1A" w:themeColor="background1" w:themeShade="1A"/>
          <w:sz w:val="22"/>
          <w:lang w:val="es-ES"/>
        </w:rPr>
        <w:t>La</w:t>
      </w:r>
      <w:r w:rsidR="00437D7B">
        <w:rPr>
          <w:rFonts w:ascii="Arial" w:hAnsi="Arial" w:cs="Arial"/>
          <w:color w:val="1A1A1A" w:themeColor="background1" w:themeShade="1A"/>
          <w:sz w:val="22"/>
          <w:lang w:val="es-ES"/>
        </w:rPr>
        <w:t xml:space="preserve"> Subsección C de la</w:t>
      </w:r>
      <w:r w:rsidRPr="00437D7B" w:rsidR="00437D7B">
        <w:rPr>
          <w:rFonts w:ascii="Arial" w:hAnsi="Arial" w:cs="Arial"/>
          <w:color w:val="1A1A1A" w:themeColor="background1" w:themeShade="1A"/>
          <w:sz w:val="22"/>
          <w:lang w:val="es-ES"/>
        </w:rPr>
        <w:t xml:space="preserve"> Sección Tercera, en el Auto del 14 de agosto de 2017, expresó que la obligación prevista en la Circular Externa No. 1 se ajusta a la normativa superior:</w:t>
      </w:r>
    </w:p>
    <w:p w:rsidRPr="0091437B" w:rsidR="00A551E2" w:rsidP="00A551E2" w:rsidRDefault="00A551E2" w14:paraId="71E01205" w14:textId="77777777">
      <w:pPr>
        <w:spacing w:line="276" w:lineRule="auto"/>
        <w:jc w:val="both"/>
        <w:rPr>
          <w:rFonts w:ascii="Arial" w:hAnsi="Arial" w:cs="Arial"/>
          <w:color w:val="1A1A1A" w:themeColor="background1" w:themeShade="1A"/>
          <w:sz w:val="22"/>
          <w:lang w:val="es-ES"/>
        </w:rPr>
      </w:pPr>
    </w:p>
    <w:p w:rsidRPr="0091437B" w:rsidR="00A551E2" w:rsidP="00A551E2" w:rsidRDefault="00A551E2" w14:paraId="3C20333E" w14:textId="77777777">
      <w:pPr>
        <w:tabs>
          <w:tab w:val="left" w:pos="3885"/>
        </w:tabs>
        <w:spacing w:after="120"/>
        <w:ind w:left="709"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rsidRPr="0091437B" w:rsidR="00A551E2" w:rsidP="00A551E2" w:rsidRDefault="00A551E2" w14:paraId="3A5A9AE1" w14:textId="77777777">
      <w:pPr>
        <w:tabs>
          <w:tab w:val="left" w:pos="3885"/>
        </w:tabs>
        <w:ind w:left="709"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91437B">
        <w:rPr>
          <w:rFonts w:ascii="Arial" w:hAnsi="Arial" w:cs="Arial"/>
          <w:color w:val="1A1A1A" w:themeColor="background1" w:themeShade="1A"/>
          <w:sz w:val="21"/>
          <w:szCs w:val="21"/>
          <w:lang w:val="es-ES"/>
        </w:rPr>
        <w:t>en razón de</w:t>
      </w:r>
      <w:proofErr w:type="gramEnd"/>
      <w:r w:rsidRPr="0091437B">
        <w:rPr>
          <w:rFonts w:ascii="Arial" w:hAnsi="Arial" w:cs="Arial"/>
          <w:color w:val="1A1A1A" w:themeColor="background1" w:themeShade="1A"/>
          <w:sz w:val="21"/>
          <w:szCs w:val="21"/>
          <w:lang w:val="es-ES"/>
        </w:rPr>
        <w:t xml:space="preserve"> qué están obligados? En razón al manejo de tales recursos </w:t>
      </w:r>
      <w:r w:rsidRPr="0091437B">
        <w:rPr>
          <w:rFonts w:ascii="Arial" w:hAnsi="Arial" w:cs="Arial"/>
          <w:color w:val="1A1A1A" w:themeColor="background1" w:themeShade="1A"/>
          <w:sz w:val="21"/>
          <w:szCs w:val="21"/>
          <w:lang w:val="es-ES"/>
        </w:rPr>
        <w:lastRenderedPageBreak/>
        <w:t>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rsidRPr="0091437B" w:rsidR="00A551E2" w:rsidP="00A551E2" w:rsidRDefault="00A551E2" w14:paraId="40F47CE9" w14:textId="77777777">
      <w:pPr>
        <w:tabs>
          <w:tab w:val="left" w:pos="3885"/>
        </w:tabs>
        <w:spacing w:after="120"/>
        <w:ind w:left="709"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w:t>
      </w:r>
    </w:p>
    <w:p w:rsidRPr="0091437B" w:rsidR="00A551E2" w:rsidP="00A551E2" w:rsidRDefault="00A551E2" w14:paraId="7E68C1F2" w14:textId="77777777">
      <w:pPr>
        <w:tabs>
          <w:tab w:val="left" w:pos="3885"/>
        </w:tabs>
        <w:ind w:left="709"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Pr>
          <w:rFonts w:ascii="Arial" w:hAnsi="Arial" w:cs="Arial"/>
          <w:color w:val="1A1A1A" w:themeColor="background1" w:themeShade="1A"/>
          <w:sz w:val="21"/>
          <w:szCs w:val="21"/>
          <w:lang w:val="es-ES"/>
        </w:rPr>
        <w:t>.</w:t>
      </w:r>
      <w:r w:rsidRPr="0091437B">
        <w:rPr>
          <w:rStyle w:val="Refdenotaalpie"/>
          <w:rFonts w:ascii="Arial" w:hAnsi="Arial" w:cs="Arial"/>
          <w:color w:val="1A1A1A" w:themeColor="background1" w:themeShade="1A"/>
          <w:sz w:val="21"/>
          <w:szCs w:val="21"/>
        </w:rPr>
        <w:footnoteReference w:id="14"/>
      </w:r>
      <w:r w:rsidRPr="0091437B">
        <w:rPr>
          <w:rStyle w:val="Refdenotaalpie"/>
          <w:rFonts w:ascii="Arial" w:hAnsi="Arial" w:cs="Arial"/>
          <w:color w:val="1A1A1A" w:themeColor="background1" w:themeShade="1A"/>
          <w:sz w:val="21"/>
          <w:szCs w:val="21"/>
        </w:rPr>
        <w:t>.</w:t>
      </w:r>
    </w:p>
    <w:p w:rsidRPr="0091437B" w:rsidR="00A551E2" w:rsidP="00A551E2" w:rsidRDefault="00A551E2" w14:paraId="13E54FD0" w14:textId="77777777">
      <w:pPr>
        <w:tabs>
          <w:tab w:val="left" w:pos="3885"/>
        </w:tabs>
        <w:spacing w:line="276" w:lineRule="auto"/>
        <w:ind w:left="709" w:right="709"/>
        <w:jc w:val="both"/>
        <w:rPr>
          <w:rFonts w:ascii="Arial" w:hAnsi="Arial" w:eastAsia="Calibri" w:cs="Arial"/>
          <w:color w:val="1A1A1A" w:themeColor="background1" w:themeShade="1A"/>
          <w:sz w:val="22"/>
        </w:rPr>
      </w:pPr>
    </w:p>
    <w:p w:rsidRPr="0091437B" w:rsidR="00A551E2" w:rsidP="00A551E2" w:rsidRDefault="00A551E2" w14:paraId="5F338B71" w14:textId="77777777">
      <w:pPr>
        <w:spacing w:line="276" w:lineRule="auto"/>
        <w:ind w:firstLine="708"/>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2"/>
          <w:lang w:val="es-ES"/>
        </w:rPr>
        <w:t>Adicionalmente, el deber de publica</w:t>
      </w:r>
      <w:r>
        <w:rPr>
          <w:rFonts w:ascii="Arial" w:hAnsi="Arial" w:cs="Arial"/>
          <w:color w:val="1A1A1A" w:themeColor="background1" w:themeShade="1A"/>
          <w:sz w:val="22"/>
          <w:lang w:val="es-ES"/>
        </w:rPr>
        <w:t>r</w:t>
      </w:r>
      <w:r w:rsidRPr="0091437B">
        <w:rPr>
          <w:rFonts w:ascii="Arial" w:hAnsi="Arial" w:cs="Arial"/>
          <w:color w:val="1A1A1A" w:themeColor="background1" w:themeShade="1A"/>
          <w:sz w:val="22"/>
          <w:lang w:val="es-ES"/>
        </w:rPr>
        <w:t xml:space="preserve">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rsidRPr="0091437B" w:rsidR="00A551E2" w:rsidP="00A551E2" w:rsidRDefault="00A551E2" w14:paraId="577966AF" w14:textId="77777777">
      <w:pPr>
        <w:ind w:left="1702" w:leftChars="709" w:right="709" w:firstLine="2"/>
        <w:jc w:val="both"/>
        <w:rPr>
          <w:rFonts w:ascii="Arial" w:hAnsi="Arial" w:cs="Arial"/>
          <w:color w:val="1A1A1A" w:themeColor="background1" w:themeShade="1A"/>
          <w:sz w:val="21"/>
          <w:szCs w:val="21"/>
          <w:lang w:val="es-ES"/>
        </w:rPr>
      </w:pPr>
    </w:p>
    <w:p w:rsidRPr="0091437B" w:rsidR="00A551E2" w:rsidP="00A551E2" w:rsidRDefault="00A551E2" w14:paraId="67653258" w14:textId="77777777">
      <w:pPr>
        <w:ind w:left="708" w:leftChars="295"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Pr="0091437B">
        <w:rPr>
          <w:rStyle w:val="Refdenotaalpie"/>
          <w:rFonts w:ascii="Arial" w:hAnsi="Arial" w:cs="Arial"/>
          <w:color w:val="1A1A1A" w:themeColor="background1" w:themeShade="1A"/>
          <w:sz w:val="21"/>
          <w:szCs w:val="21"/>
          <w:lang w:val="es-ES"/>
        </w:rPr>
        <w:footnoteReference w:id="15"/>
      </w:r>
      <w:r w:rsidRPr="0091437B">
        <w:rPr>
          <w:rFonts w:ascii="Arial" w:hAnsi="Arial" w:cs="Arial"/>
          <w:color w:val="1A1A1A" w:themeColor="background1" w:themeShade="1A"/>
          <w:sz w:val="21"/>
          <w:szCs w:val="21"/>
          <w:lang w:val="es-ES"/>
        </w:rPr>
        <w:t>.</w:t>
      </w:r>
    </w:p>
    <w:p w:rsidRPr="0091437B" w:rsidR="00A551E2" w:rsidP="00A551E2" w:rsidRDefault="00A551E2" w14:paraId="304953F4" w14:textId="77777777">
      <w:pPr>
        <w:spacing w:line="276" w:lineRule="auto"/>
        <w:ind w:left="1702" w:leftChars="709" w:right="709"/>
        <w:jc w:val="both"/>
        <w:rPr>
          <w:rFonts w:ascii="Arial" w:hAnsi="Arial" w:cs="Arial"/>
          <w:color w:val="1A1A1A" w:themeColor="background1" w:themeShade="1A"/>
          <w:sz w:val="21"/>
          <w:szCs w:val="21"/>
          <w:lang w:val="es-ES"/>
        </w:rPr>
      </w:pPr>
    </w:p>
    <w:p w:rsidR="00A551E2" w:rsidP="00E86D42" w:rsidRDefault="00A551E2" w14:paraId="48FE807F" w14:textId="0FE8420E">
      <w:pPr>
        <w:spacing w:after="120" w:line="276" w:lineRule="auto"/>
        <w:ind w:firstLine="708"/>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2"/>
          <w:lang w:val="es-ES"/>
        </w:rPr>
        <w:t>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w:t>
      </w:r>
      <w:r w:rsidR="00F909C4">
        <w:rPr>
          <w:rFonts w:ascii="Arial" w:hAnsi="Arial" w:cs="Arial"/>
          <w:color w:val="1A1A1A" w:themeColor="background1" w:themeShade="1A"/>
          <w:sz w:val="22"/>
          <w:lang w:val="es-ES"/>
        </w:rPr>
        <w:t xml:space="preserve"> de Colombia Compra Eficiente</w:t>
      </w:r>
      <w:r w:rsidRPr="0091437B">
        <w:rPr>
          <w:rFonts w:ascii="Arial" w:hAnsi="Arial" w:cs="Arial"/>
          <w:color w:val="1A1A1A" w:themeColor="background1" w:themeShade="1A"/>
          <w:sz w:val="22"/>
          <w:lang w:val="es-ES"/>
        </w:rPr>
        <w:t xml:space="preserve">: un pronunciamiento del Consejo de Estado. </w:t>
      </w:r>
    </w:p>
    <w:p w:rsidR="002F2D74" w:rsidP="0062206A" w:rsidRDefault="0062206A" w14:paraId="6272C0BB" w14:textId="6C0A08E3">
      <w:pPr>
        <w:spacing w:line="276" w:lineRule="auto"/>
        <w:ind w:firstLine="708"/>
        <w:jc w:val="both"/>
        <w:rPr>
          <w:rFonts w:ascii="Arial" w:hAnsi="Arial" w:cs="Arial"/>
          <w:color w:val="1A1A1A" w:themeColor="background1" w:themeShade="1A"/>
          <w:sz w:val="22"/>
          <w:lang w:val="es-ES"/>
        </w:rPr>
      </w:pPr>
      <w:r>
        <w:rPr>
          <w:rFonts w:ascii="Arial" w:hAnsi="Arial" w:cs="Arial"/>
          <w:sz w:val="22"/>
          <w:lang w:val="es-ES"/>
        </w:rPr>
        <w:lastRenderedPageBreak/>
        <w:t>De igual forma</w:t>
      </w:r>
      <w:r w:rsidRPr="00606E0A" w:rsidR="002F2D74">
        <w:rPr>
          <w:rFonts w:ascii="Arial" w:hAnsi="Arial" w:cs="Arial"/>
          <w:sz w:val="22"/>
          <w:lang w:val="es-ES"/>
        </w:rPr>
        <w:t>, esta Agencia ha precisado que la ejecución de recursos públicos, conforme indica el literal c) del artículo 3 de la Ley 1150 de 2007, no es el único fundamento jurídico de la obligación de las entidades estatales de publicar en el SECOP, comoquiera que tal obligación también surge con ocasión de la calidad de sujeto obligado en el marco de la Ley 1712 de 2014</w:t>
      </w:r>
      <w:r w:rsidR="002F2D74">
        <w:rPr>
          <w:rStyle w:val="Refdenotaalpie"/>
          <w:rFonts w:ascii="Arial" w:hAnsi="Arial" w:cs="Arial"/>
          <w:sz w:val="22"/>
          <w:lang w:val="es-ES"/>
        </w:rPr>
        <w:footnoteReference w:id="16"/>
      </w:r>
      <w:r w:rsidR="002F2D74">
        <w:rPr>
          <w:rFonts w:ascii="Arial" w:hAnsi="Arial" w:cs="Arial"/>
          <w:color w:val="1A1A1A" w:themeColor="background1" w:themeShade="1A"/>
          <w:sz w:val="22"/>
          <w:lang w:val="es-ES"/>
        </w:rPr>
        <w:t>, tal y como se desarrollará a continuación.</w:t>
      </w:r>
    </w:p>
    <w:p w:rsidRPr="0091437B" w:rsidR="0062206A" w:rsidP="0062206A" w:rsidRDefault="0062206A" w14:paraId="5803D42A" w14:textId="77777777">
      <w:pPr>
        <w:spacing w:line="276" w:lineRule="auto"/>
        <w:ind w:firstLine="708"/>
        <w:jc w:val="both"/>
        <w:rPr>
          <w:rFonts w:ascii="Arial" w:hAnsi="Arial" w:cs="Arial"/>
          <w:color w:val="1A1A1A" w:themeColor="background1" w:themeShade="1A"/>
          <w:sz w:val="22"/>
          <w:lang w:val="es-ES"/>
        </w:rPr>
      </w:pPr>
    </w:p>
    <w:p w:rsidRPr="0091437B" w:rsidR="00A551E2" w:rsidP="0062206A" w:rsidRDefault="00A551E2" w14:paraId="64D8CCFE" w14:textId="1A0B7739">
      <w:pPr>
        <w:tabs>
          <w:tab w:val="left" w:pos="284"/>
          <w:tab w:val="left" w:pos="426"/>
        </w:tabs>
        <w:spacing w:line="276" w:lineRule="auto"/>
        <w:jc w:val="both"/>
        <w:rPr>
          <w:rFonts w:ascii="Arial" w:hAnsi="Arial" w:cs="Arial"/>
          <w:b/>
          <w:color w:val="1A1A1A" w:themeColor="background1" w:themeShade="1A"/>
          <w:sz w:val="22"/>
          <w:lang w:val="es-ES"/>
        </w:rPr>
      </w:pPr>
      <w:r w:rsidRPr="0091437B">
        <w:rPr>
          <w:rFonts w:ascii="Arial" w:hAnsi="Arial" w:cs="Arial"/>
          <w:b/>
          <w:color w:val="1A1A1A" w:themeColor="background1" w:themeShade="1A"/>
          <w:sz w:val="22"/>
          <w:lang w:val="es-ES"/>
        </w:rPr>
        <w:t>2.</w:t>
      </w:r>
      <w:r>
        <w:rPr>
          <w:rFonts w:ascii="Arial" w:hAnsi="Arial" w:cs="Arial"/>
          <w:b/>
          <w:color w:val="1A1A1A" w:themeColor="background1" w:themeShade="1A"/>
          <w:sz w:val="22"/>
          <w:lang w:val="es-ES"/>
        </w:rPr>
        <w:t>3.</w:t>
      </w:r>
      <w:r w:rsidRPr="0091437B">
        <w:rPr>
          <w:rFonts w:ascii="Arial" w:hAnsi="Arial" w:cs="Arial"/>
          <w:b/>
          <w:color w:val="1A1A1A" w:themeColor="background1" w:themeShade="1A"/>
          <w:sz w:val="22"/>
          <w:lang w:val="es-ES"/>
        </w:rPr>
        <w:t xml:space="preserve"> </w:t>
      </w:r>
      <w:r w:rsidR="00DA69D6">
        <w:rPr>
          <w:rFonts w:ascii="Arial" w:hAnsi="Arial" w:cs="Arial"/>
          <w:b/>
          <w:color w:val="1A1A1A" w:themeColor="background1" w:themeShade="1A"/>
          <w:sz w:val="22"/>
          <w:lang w:val="es-ES"/>
        </w:rPr>
        <w:t>L</w:t>
      </w:r>
      <w:r w:rsidRPr="0091437B">
        <w:rPr>
          <w:rFonts w:ascii="Arial" w:hAnsi="Arial" w:cs="Arial"/>
          <w:b/>
          <w:color w:val="1A1A1A" w:themeColor="background1" w:themeShade="1A"/>
          <w:sz w:val="22"/>
          <w:lang w:val="es-ES"/>
        </w:rPr>
        <w:t xml:space="preserve">os documentos que </w:t>
      </w:r>
      <w:r w:rsidR="00DA69D6">
        <w:rPr>
          <w:rFonts w:ascii="Arial" w:hAnsi="Arial" w:cs="Arial"/>
          <w:b/>
          <w:color w:val="1A1A1A" w:themeColor="background1" w:themeShade="1A"/>
          <w:sz w:val="22"/>
          <w:lang w:val="es-ES"/>
        </w:rPr>
        <w:t xml:space="preserve">deben </w:t>
      </w:r>
      <w:r w:rsidRPr="0091437B">
        <w:rPr>
          <w:rFonts w:ascii="Arial" w:hAnsi="Arial" w:cs="Arial"/>
          <w:b/>
          <w:color w:val="1A1A1A" w:themeColor="background1" w:themeShade="1A"/>
          <w:sz w:val="22"/>
          <w:lang w:val="es-ES"/>
        </w:rPr>
        <w:t>publica</w:t>
      </w:r>
      <w:r w:rsidR="00DA69D6">
        <w:rPr>
          <w:rFonts w:ascii="Arial" w:hAnsi="Arial" w:cs="Arial"/>
          <w:b/>
          <w:color w:val="1A1A1A" w:themeColor="background1" w:themeShade="1A"/>
          <w:sz w:val="22"/>
          <w:lang w:val="es-ES"/>
        </w:rPr>
        <w:t>r</w:t>
      </w:r>
      <w:r w:rsidRPr="0091437B">
        <w:rPr>
          <w:rFonts w:ascii="Arial" w:hAnsi="Arial" w:cs="Arial"/>
          <w:b/>
          <w:color w:val="1A1A1A" w:themeColor="background1" w:themeShade="1A"/>
          <w:sz w:val="22"/>
          <w:lang w:val="es-ES"/>
        </w:rPr>
        <w:t xml:space="preserve"> en el SECOP las entidades de régimen especial </w:t>
      </w:r>
    </w:p>
    <w:p w:rsidRPr="0091437B" w:rsidR="00A551E2" w:rsidP="00A551E2" w:rsidRDefault="00A551E2" w14:paraId="6C3D0E81" w14:textId="77777777">
      <w:pPr>
        <w:pStyle w:val="Prrafodelista"/>
        <w:spacing w:line="276" w:lineRule="auto"/>
        <w:ind w:left="0"/>
        <w:jc w:val="both"/>
        <w:rPr>
          <w:rFonts w:ascii="Arial" w:hAnsi="Arial" w:cs="Arial"/>
          <w:b/>
          <w:color w:val="1A1A1A" w:themeColor="background1" w:themeShade="1A"/>
          <w:sz w:val="22"/>
          <w:lang w:val="es-ES"/>
        </w:rPr>
      </w:pPr>
    </w:p>
    <w:p w:rsidR="00A551E2" w:rsidP="00D307CD" w:rsidRDefault="00CB1A1B" w14:paraId="08AA39D3" w14:textId="336D55B7">
      <w:pPr>
        <w:spacing w:after="120" w:line="276" w:lineRule="auto"/>
        <w:jc w:val="both"/>
        <w:rPr>
          <w:rFonts w:ascii="Arial" w:hAnsi="Arial" w:eastAsia="Calibri" w:cs="Arial"/>
          <w:color w:val="1A1A1A" w:themeColor="background1" w:themeShade="1A"/>
          <w:sz w:val="22"/>
          <w:lang w:val="es-ES"/>
        </w:rPr>
      </w:pPr>
      <w:r>
        <w:rPr>
          <w:rFonts w:ascii="Arial" w:hAnsi="Arial" w:cs="Arial"/>
          <w:bCs/>
          <w:color w:val="1A1A1A" w:themeColor="background1" w:themeShade="1A"/>
          <w:sz w:val="22"/>
          <w:lang w:val="es-ES"/>
        </w:rPr>
        <w:t>De conformidad con lo expuesto en el numeral anterior, las entidades estatales independientemente de su régimen de contratación, de conformidad con el artículo 3, literal c) de la Ley 1150 de 2007, están obligadas a publicar en el SECOP su gestión contractual realizada con cargo a recursos públicos. Esto significa que entidades como las empresas prestadoras de servicios públicos domiciliarios están obligadas a publicar en el SECOP los documentos que desarrollan sus procesos de contratación.</w:t>
      </w:r>
      <w:r w:rsidR="00DE735D">
        <w:rPr>
          <w:rFonts w:ascii="Arial" w:hAnsi="Arial" w:eastAsia="Calibri" w:cs="Arial"/>
          <w:color w:val="1A1A1A" w:themeColor="background1" w:themeShade="1A"/>
          <w:sz w:val="22"/>
          <w:lang w:val="es-ES"/>
        </w:rPr>
        <w:t xml:space="preserve"> </w:t>
      </w:r>
      <w:r>
        <w:rPr>
          <w:rFonts w:ascii="Arial" w:hAnsi="Arial" w:eastAsia="Calibri" w:cs="Arial"/>
          <w:color w:val="1A1A1A" w:themeColor="background1" w:themeShade="1A"/>
          <w:sz w:val="22"/>
          <w:lang w:val="es-ES"/>
        </w:rPr>
        <w:t>En cuanto a los documentos que se deben publicar en el SECOP las entidades con régimen especial, est</w:t>
      </w:r>
      <w:r w:rsidR="00436DA4">
        <w:rPr>
          <w:rFonts w:ascii="Arial" w:hAnsi="Arial" w:eastAsia="Calibri" w:cs="Arial"/>
          <w:color w:val="1A1A1A" w:themeColor="background1" w:themeShade="1A"/>
          <w:sz w:val="22"/>
          <w:lang w:val="es-ES"/>
        </w:rPr>
        <w:t>a</w:t>
      </w:r>
      <w:r>
        <w:rPr>
          <w:rFonts w:ascii="Arial" w:hAnsi="Arial" w:eastAsia="Calibri" w:cs="Arial"/>
          <w:color w:val="1A1A1A" w:themeColor="background1" w:themeShade="1A"/>
          <w:sz w:val="22"/>
          <w:lang w:val="es-ES"/>
        </w:rPr>
        <w:t xml:space="preserve"> </w:t>
      </w:r>
      <w:r w:rsidR="00436DA4">
        <w:rPr>
          <w:rFonts w:ascii="Arial" w:hAnsi="Arial" w:eastAsia="Calibri" w:cs="Arial"/>
          <w:color w:val="1A1A1A" w:themeColor="background1" w:themeShade="1A"/>
          <w:sz w:val="22"/>
          <w:lang w:val="es-ES"/>
        </w:rPr>
        <w:t>Agencia,</w:t>
      </w:r>
      <w:r>
        <w:rPr>
          <w:rFonts w:ascii="Arial" w:hAnsi="Arial" w:eastAsia="Calibri" w:cs="Arial"/>
          <w:color w:val="1A1A1A" w:themeColor="background1" w:themeShade="1A"/>
          <w:sz w:val="22"/>
          <w:lang w:val="es-ES"/>
        </w:rPr>
        <w:t xml:space="preserve"> en ejercicio de su función consultiva</w:t>
      </w:r>
      <w:r w:rsidR="00436DA4">
        <w:rPr>
          <w:rFonts w:ascii="Arial" w:hAnsi="Arial" w:eastAsia="Calibri" w:cs="Arial"/>
          <w:color w:val="1A1A1A" w:themeColor="background1" w:themeShade="1A"/>
          <w:sz w:val="22"/>
          <w:lang w:val="es-ES"/>
        </w:rPr>
        <w:t>,</w:t>
      </w:r>
      <w:r>
        <w:rPr>
          <w:rFonts w:ascii="Arial" w:hAnsi="Arial" w:eastAsia="Calibri" w:cs="Arial"/>
          <w:color w:val="1A1A1A" w:themeColor="background1" w:themeShade="1A"/>
          <w:sz w:val="22"/>
          <w:lang w:val="es-ES"/>
        </w:rPr>
        <w:t xml:space="preserve"> ha sostenido distintas posturas las cuales fueron unificadas en el concepto CU-003</w:t>
      </w:r>
      <w:r w:rsidR="00DE735D">
        <w:rPr>
          <w:rFonts w:ascii="Arial" w:hAnsi="Arial" w:eastAsia="Calibri" w:cs="Arial"/>
          <w:color w:val="1A1A1A" w:themeColor="background1" w:themeShade="1A"/>
          <w:sz w:val="22"/>
          <w:lang w:val="es-ES"/>
        </w:rPr>
        <w:t xml:space="preserve"> del 15 de enero de 2020. Esta </w:t>
      </w:r>
      <w:r w:rsidR="00C26BFC">
        <w:rPr>
          <w:rFonts w:ascii="Arial" w:hAnsi="Arial" w:eastAsia="Calibri" w:cs="Arial"/>
          <w:color w:val="1A1A1A" w:themeColor="background1" w:themeShade="1A"/>
          <w:sz w:val="22"/>
          <w:lang w:val="es-ES"/>
        </w:rPr>
        <w:t>tesis</w:t>
      </w:r>
      <w:r w:rsidR="00DE735D">
        <w:rPr>
          <w:rFonts w:ascii="Arial" w:hAnsi="Arial" w:eastAsia="Calibri" w:cs="Arial"/>
          <w:color w:val="1A1A1A" w:themeColor="background1" w:themeShade="1A"/>
          <w:sz w:val="22"/>
          <w:lang w:val="es-ES"/>
        </w:rPr>
        <w:t xml:space="preserve"> se expone y se reitera a continuación</w:t>
      </w:r>
      <w:r w:rsidR="00DE735D">
        <w:rPr>
          <w:rStyle w:val="Refdenotaalpie"/>
          <w:rFonts w:ascii="Arial" w:hAnsi="Arial" w:eastAsia="Calibri" w:cs="Arial"/>
          <w:color w:val="1A1A1A" w:themeColor="background1" w:themeShade="1A"/>
          <w:sz w:val="22"/>
          <w:lang w:val="es-ES"/>
        </w:rPr>
        <w:footnoteReference w:id="17"/>
      </w:r>
      <w:r w:rsidR="00DE735D">
        <w:rPr>
          <w:rFonts w:ascii="Arial" w:hAnsi="Arial" w:eastAsia="Calibri" w:cs="Arial"/>
          <w:color w:val="1A1A1A" w:themeColor="background1" w:themeShade="1A"/>
          <w:sz w:val="22"/>
          <w:lang w:val="es-ES"/>
        </w:rPr>
        <w:t>.</w:t>
      </w:r>
    </w:p>
    <w:p w:rsidR="001C73AB" w:rsidP="001C73AB" w:rsidRDefault="00737F11" w14:paraId="23F11275" w14:textId="4BDE20A0">
      <w:pPr>
        <w:spacing w:before="120" w:line="276" w:lineRule="auto"/>
        <w:ind w:firstLine="709"/>
        <w:jc w:val="both"/>
        <w:rPr>
          <w:rFonts w:ascii="Arial" w:hAnsi="Arial" w:cs="Arial"/>
          <w:color w:val="1A1A1A" w:themeColor="background1" w:themeShade="1A"/>
          <w:sz w:val="22"/>
          <w:lang w:val="es-ES"/>
        </w:rPr>
      </w:pPr>
      <w:r>
        <w:rPr>
          <w:rFonts w:ascii="Arial" w:hAnsi="Arial" w:cs="Arial"/>
          <w:color w:val="1A1A1A" w:themeColor="background1" w:themeShade="1A"/>
          <w:sz w:val="22"/>
          <w:lang w:val="es-ES"/>
        </w:rPr>
        <w:lastRenderedPageBreak/>
        <w:t>Como ya se dijo,</w:t>
      </w:r>
      <w:r w:rsidR="00DE735D">
        <w:rPr>
          <w:rFonts w:ascii="Arial" w:hAnsi="Arial" w:cs="Arial"/>
          <w:color w:val="1A1A1A" w:themeColor="background1" w:themeShade="1A"/>
          <w:sz w:val="22"/>
          <w:lang w:val="es-ES"/>
        </w:rPr>
        <w:t xml:space="preserve"> además del artículo 3, literal c) de la Ley 1150 de 2007, el deber de las entidades estatales de publicar su gestión contractual en el SECOP se fundamenta en su calidad de sujetos obligados en el marco de la normativa de la transparencia y el acceso a la información pública</w:t>
      </w:r>
      <w:r w:rsidR="0051406C">
        <w:rPr>
          <w:rStyle w:val="Refdenotaalpie"/>
          <w:rFonts w:ascii="Arial" w:hAnsi="Arial" w:cs="Arial"/>
          <w:color w:val="1A1A1A" w:themeColor="background1" w:themeShade="1A"/>
          <w:sz w:val="22"/>
          <w:lang w:val="es-ES"/>
        </w:rPr>
        <w:footnoteReference w:id="18"/>
      </w:r>
      <w:r w:rsidR="00DE735D">
        <w:rPr>
          <w:rFonts w:ascii="Arial" w:hAnsi="Arial" w:cs="Arial"/>
          <w:color w:val="1A1A1A" w:themeColor="background1" w:themeShade="1A"/>
          <w:sz w:val="22"/>
          <w:lang w:val="es-ES"/>
        </w:rPr>
        <w:t xml:space="preserve">. </w:t>
      </w:r>
      <w:r w:rsidR="001C73AB">
        <w:rPr>
          <w:rFonts w:ascii="Arial" w:hAnsi="Arial" w:cs="Arial"/>
          <w:color w:val="1A1A1A" w:themeColor="background1" w:themeShade="1A"/>
          <w:sz w:val="22"/>
          <w:lang w:val="es-ES"/>
        </w:rPr>
        <w:t>En efecto</w:t>
      </w:r>
      <w:r w:rsidRPr="00F909C4" w:rsidR="001C73AB">
        <w:rPr>
          <w:rFonts w:ascii="Arial" w:hAnsi="Arial" w:cs="Arial"/>
          <w:color w:val="1A1A1A" w:themeColor="background1" w:themeShade="1A"/>
          <w:sz w:val="22"/>
          <w:lang w:val="es-ES"/>
        </w:rPr>
        <w:t xml:space="preserve">, la Ley 1712 de 2014, </w:t>
      </w:r>
      <w:r>
        <w:rPr>
          <w:rFonts w:ascii="Arial" w:hAnsi="Arial" w:cs="Arial"/>
          <w:color w:val="1A1A1A" w:themeColor="background1" w:themeShade="1A"/>
          <w:sz w:val="22"/>
          <w:lang w:val="es-ES"/>
        </w:rPr>
        <w:t>también conocida como</w:t>
      </w:r>
      <w:r w:rsidRPr="00F909C4" w:rsidR="001C73AB">
        <w:rPr>
          <w:rFonts w:ascii="Arial" w:hAnsi="Arial" w:cs="Arial"/>
          <w:color w:val="1A1A1A" w:themeColor="background1" w:themeShade="1A"/>
          <w:sz w:val="22"/>
          <w:lang w:val="es-ES"/>
        </w:rPr>
        <w:t xml:space="preserve"> </w:t>
      </w:r>
      <w:r w:rsidRPr="00D307CD" w:rsidR="001C73AB">
        <w:rPr>
          <w:rFonts w:ascii="Arial" w:hAnsi="Arial" w:cs="Arial"/>
          <w:i/>
          <w:iCs/>
          <w:color w:val="1A1A1A" w:themeColor="background1" w:themeShade="1A"/>
          <w:sz w:val="22"/>
          <w:lang w:val="es-ES"/>
        </w:rPr>
        <w:t>Ley de Transparencia y del Derecho de Acceso a la Información Pública</w:t>
      </w:r>
      <w:r w:rsidRPr="00F909C4" w:rsidR="001C73AB">
        <w:rPr>
          <w:rFonts w:ascii="Arial" w:hAnsi="Arial" w:cs="Arial"/>
          <w:color w:val="1A1A1A" w:themeColor="background1" w:themeShade="1A"/>
          <w:sz w:val="22"/>
          <w:lang w:val="es-ES"/>
        </w:rPr>
        <w:t xml:space="preserve">, señala en </w:t>
      </w:r>
      <w:r>
        <w:rPr>
          <w:rFonts w:ascii="Arial" w:hAnsi="Arial" w:cs="Arial"/>
          <w:color w:val="1A1A1A" w:themeColor="background1" w:themeShade="1A"/>
          <w:sz w:val="22"/>
          <w:lang w:val="es-ES"/>
        </w:rPr>
        <w:t>su</w:t>
      </w:r>
      <w:r w:rsidRPr="00F909C4" w:rsidR="001C73AB">
        <w:rPr>
          <w:rFonts w:ascii="Arial" w:hAnsi="Arial" w:cs="Arial"/>
          <w:color w:val="1A1A1A" w:themeColor="background1" w:themeShade="1A"/>
          <w:sz w:val="22"/>
          <w:lang w:val="es-ES"/>
        </w:rPr>
        <w:t xml:space="preserve"> artículo 11,</w:t>
      </w:r>
      <w:r>
        <w:rPr>
          <w:rFonts w:ascii="Arial" w:hAnsi="Arial" w:cs="Arial"/>
          <w:color w:val="1A1A1A" w:themeColor="background1" w:themeShade="1A"/>
          <w:sz w:val="22"/>
          <w:lang w:val="es-ES"/>
        </w:rPr>
        <w:t xml:space="preserve"> literal g),</w:t>
      </w:r>
      <w:r w:rsidRPr="00F909C4" w:rsidR="001C73AB">
        <w:rPr>
          <w:rFonts w:ascii="Arial" w:hAnsi="Arial" w:cs="Arial"/>
          <w:color w:val="1A1A1A" w:themeColor="background1" w:themeShade="1A"/>
          <w:sz w:val="22"/>
          <w:lang w:val="es-ES"/>
        </w:rPr>
        <w:t xml:space="preserve"> que todo sujeto obligado</w:t>
      </w:r>
      <w:r w:rsidR="00CE3FEF">
        <w:rPr>
          <w:rFonts w:ascii="Arial" w:hAnsi="Arial" w:cs="Arial"/>
          <w:color w:val="1A1A1A" w:themeColor="background1" w:themeShade="1A"/>
          <w:sz w:val="22"/>
          <w:lang w:val="es-ES"/>
        </w:rPr>
        <w:t xml:space="preserve"> </w:t>
      </w:r>
      <w:r w:rsidRPr="00F909C4" w:rsidR="001C73AB">
        <w:rPr>
          <w:rFonts w:ascii="Arial" w:hAnsi="Arial" w:cs="Arial"/>
          <w:color w:val="1A1A1A" w:themeColor="background1" w:themeShade="1A"/>
          <w:sz w:val="22"/>
          <w:lang w:val="es-ES"/>
        </w:rPr>
        <w:t>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p>
    <w:p w:rsidRPr="00EC1AC0" w:rsidR="001C73AB" w:rsidP="001C73AB" w:rsidRDefault="00DF420C" w14:paraId="725DE4D9" w14:textId="080C5282">
      <w:pPr>
        <w:pStyle w:val="NormalWeb"/>
        <w:spacing w:before="120" w:beforeAutospacing="0" w:after="0" w:afterAutospacing="0" w:line="276" w:lineRule="auto"/>
        <w:ind w:firstLine="709"/>
        <w:jc w:val="both"/>
        <w:rPr>
          <w:rFonts w:ascii="Arial" w:hAnsi="Arial" w:cs="Arial"/>
          <w:color w:val="000000"/>
          <w:sz w:val="22"/>
          <w:szCs w:val="22"/>
        </w:rPr>
      </w:pPr>
      <w:r w:rsidRPr="00DA69D6">
        <w:rPr>
          <w:rFonts w:ascii="Arial" w:hAnsi="Arial" w:cs="Arial"/>
          <w:color w:val="1A1A1A" w:themeColor="background1" w:themeShade="1A"/>
          <w:sz w:val="22"/>
          <w:szCs w:val="22"/>
          <w:lang w:val="es-ES"/>
        </w:rPr>
        <w:t>Luego</w:t>
      </w:r>
      <w:r w:rsidRPr="00DA69D6" w:rsidR="001C73AB">
        <w:rPr>
          <w:rFonts w:ascii="Arial" w:hAnsi="Arial" w:cs="Arial"/>
          <w:color w:val="1A1A1A" w:themeColor="background1" w:themeShade="1A"/>
          <w:sz w:val="22"/>
          <w:szCs w:val="22"/>
          <w:lang w:val="es-ES"/>
        </w:rPr>
        <w:t xml:space="preserve">, el Decreto reglamentario </w:t>
      </w:r>
      <w:r w:rsidRPr="00D307CD" w:rsidR="0051406C">
        <w:rPr>
          <w:rFonts w:ascii="Arial" w:hAnsi="Arial" w:cs="Arial"/>
          <w:color w:val="1A1A1A" w:themeColor="background1" w:themeShade="1A"/>
          <w:sz w:val="22"/>
          <w:szCs w:val="22"/>
          <w:lang w:val="es-ES"/>
        </w:rPr>
        <w:t xml:space="preserve">1081 </w:t>
      </w:r>
      <w:r w:rsidRPr="00D307CD" w:rsidR="001C73AB">
        <w:rPr>
          <w:rFonts w:ascii="Arial" w:hAnsi="Arial" w:cs="Arial"/>
          <w:color w:val="1A1A1A" w:themeColor="background1" w:themeShade="1A"/>
          <w:sz w:val="22"/>
          <w:szCs w:val="22"/>
          <w:lang w:val="es-ES"/>
        </w:rPr>
        <w:t xml:space="preserve">de 2015 </w:t>
      </w:r>
      <w:r w:rsidRPr="00DA69D6" w:rsidR="001C73AB">
        <w:rPr>
          <w:rFonts w:ascii="Arial" w:hAnsi="Arial" w:cs="Arial"/>
          <w:color w:val="1A1A1A" w:themeColor="background1" w:themeShade="1A"/>
          <w:sz w:val="22"/>
          <w:szCs w:val="22"/>
          <w:lang w:val="es-ES"/>
        </w:rPr>
        <w:t>en su artículo</w:t>
      </w:r>
      <w:r w:rsidRPr="00DA69D6" w:rsidR="00A52EF5">
        <w:rPr>
          <w:rFonts w:ascii="Arial" w:hAnsi="Arial" w:cs="Arial"/>
          <w:color w:val="1A1A1A" w:themeColor="background1" w:themeShade="1A"/>
          <w:sz w:val="22"/>
          <w:szCs w:val="22"/>
          <w:lang w:val="es-ES"/>
        </w:rPr>
        <w:t xml:space="preserve"> </w:t>
      </w:r>
      <w:r w:rsidRPr="00D307CD" w:rsidR="00A52EF5">
        <w:rPr>
          <w:rFonts w:ascii="Arial" w:hAnsi="Arial" w:cs="Arial"/>
          <w:sz w:val="22"/>
          <w:szCs w:val="22"/>
        </w:rPr>
        <w:t xml:space="preserve">2.1.1.2.1.4 </w:t>
      </w:r>
      <w:r w:rsidRPr="00D307CD" w:rsidR="001C73AB">
        <w:rPr>
          <w:rFonts w:ascii="Arial" w:hAnsi="Arial" w:cs="Arial"/>
          <w:color w:val="1A1A1A" w:themeColor="background1" w:themeShade="1A"/>
          <w:sz w:val="22"/>
          <w:szCs w:val="22"/>
          <w:lang w:val="es-ES"/>
        </w:rPr>
        <w:t>señal</w:t>
      </w:r>
      <w:r w:rsidRPr="00D307CD">
        <w:rPr>
          <w:rFonts w:ascii="Arial" w:hAnsi="Arial" w:cs="Arial"/>
          <w:color w:val="1A1A1A" w:themeColor="background1" w:themeShade="1A"/>
          <w:sz w:val="22"/>
          <w:szCs w:val="22"/>
          <w:lang w:val="es-ES"/>
        </w:rPr>
        <w:t>ó</w:t>
      </w:r>
      <w:r w:rsidRPr="00D307CD" w:rsidR="001C73AB">
        <w:rPr>
          <w:rFonts w:ascii="Arial" w:hAnsi="Arial" w:cs="Arial"/>
          <w:color w:val="1A1A1A" w:themeColor="background1" w:themeShade="1A"/>
          <w:sz w:val="22"/>
          <w:szCs w:val="22"/>
          <w:lang w:val="es-ES"/>
        </w:rPr>
        <w:t xml:space="preserve"> que los sujetos obligados</w:t>
      </w:r>
      <w:r w:rsidR="00DA69D6">
        <w:rPr>
          <w:rFonts w:ascii="Arial" w:hAnsi="Arial" w:cs="Arial"/>
          <w:color w:val="1A1A1A" w:themeColor="background1" w:themeShade="1A"/>
          <w:sz w:val="22"/>
          <w:szCs w:val="22"/>
          <w:lang w:val="es-ES"/>
        </w:rPr>
        <w:t xml:space="preserve"> que</w:t>
      </w:r>
      <w:r w:rsidRPr="00D307CD" w:rsidR="001C73AB">
        <w:rPr>
          <w:rFonts w:ascii="Arial" w:hAnsi="Arial" w:cs="Arial"/>
          <w:color w:val="1A1A1A" w:themeColor="background1" w:themeShade="1A"/>
          <w:sz w:val="22"/>
          <w:szCs w:val="22"/>
          <w:lang w:val="es-ES"/>
        </w:rPr>
        <w:t xml:space="preserve"> de conformidad con el artículo 5 de la Ley 1712 de 2014 deben </w:t>
      </w:r>
      <w:r w:rsidRPr="00D307CD" w:rsidR="001C73AB">
        <w:rPr>
          <w:rFonts w:ascii="Arial" w:hAnsi="Arial" w:cs="Arial"/>
          <w:color w:val="1A1A1A" w:themeColor="background1" w:themeShade="1A"/>
          <w:sz w:val="22"/>
          <w:szCs w:val="22"/>
          <w:lang w:val="es-ES"/>
        </w:rPr>
        <w:lastRenderedPageBreak/>
        <w:t>publicar una serie de información mínima en la página principal de su sitio web oficial, en una sección específica que debe estar identificada con el nombre de «</w:t>
      </w:r>
      <w:r w:rsidRPr="00DA69D6" w:rsidR="001C73AB">
        <w:rPr>
          <w:rFonts w:ascii="Arial" w:hAnsi="Arial" w:cs="Arial"/>
          <w:color w:val="1A1A1A" w:themeColor="background1" w:themeShade="1A"/>
          <w:sz w:val="22"/>
          <w:szCs w:val="22"/>
          <w:lang w:val="es-ES"/>
        </w:rPr>
        <w:t>Transparencia y acceso a información pública»</w:t>
      </w:r>
      <w:r w:rsidRPr="00DA69D6" w:rsidR="0051406C">
        <w:rPr>
          <w:rStyle w:val="Refdenotaalpie"/>
          <w:rFonts w:ascii="Arial" w:hAnsi="Arial" w:cs="Arial"/>
          <w:color w:val="1A1A1A" w:themeColor="background1" w:themeShade="1A"/>
          <w:sz w:val="22"/>
          <w:szCs w:val="22"/>
          <w:lang w:val="es-ES"/>
        </w:rPr>
        <w:footnoteReference w:id="19"/>
      </w:r>
      <w:r w:rsidRPr="00DA69D6" w:rsidR="001C73AB">
        <w:rPr>
          <w:rFonts w:ascii="Arial" w:hAnsi="Arial" w:cs="Arial"/>
          <w:color w:val="1A1A1A" w:themeColor="background1" w:themeShade="1A"/>
          <w:sz w:val="22"/>
          <w:szCs w:val="22"/>
          <w:lang w:val="es-ES"/>
        </w:rPr>
        <w:t>. Esta información debe contener, entre otras cosas, «</w:t>
      </w:r>
      <w:r w:rsidRPr="00DA69D6" w:rsidR="001C73AB">
        <w:rPr>
          <w:rFonts w:ascii="Arial" w:hAnsi="Arial" w:cs="Arial"/>
          <w:color w:val="000000"/>
          <w:sz w:val="22"/>
          <w:szCs w:val="22"/>
        </w:rPr>
        <w:t>[</w:t>
      </w:r>
      <w:r w:rsidR="00EC1AC0">
        <w:rPr>
          <w:rFonts w:ascii="Arial" w:hAnsi="Arial" w:cs="Arial"/>
          <w:color w:val="000000"/>
          <w:sz w:val="22"/>
          <w:szCs w:val="22"/>
        </w:rPr>
        <w:t>…</w:t>
      </w:r>
      <w:r w:rsidRPr="00DA69D6" w:rsidR="001C73AB">
        <w:rPr>
          <w:rFonts w:ascii="Arial" w:hAnsi="Arial" w:cs="Arial"/>
          <w:color w:val="000000"/>
          <w:sz w:val="22"/>
          <w:szCs w:val="22"/>
        </w:rPr>
        <w:t>]</w:t>
      </w:r>
      <w:r w:rsidR="00EC1AC0">
        <w:rPr>
          <w:rFonts w:ascii="Arial" w:hAnsi="Arial" w:cs="Arial"/>
          <w:color w:val="000000"/>
          <w:sz w:val="22"/>
          <w:szCs w:val="22"/>
        </w:rPr>
        <w:t xml:space="preserve"> l</w:t>
      </w:r>
      <w:r w:rsidRPr="00EC1AC0" w:rsidR="001C73AB">
        <w:rPr>
          <w:rFonts w:ascii="Arial" w:hAnsi="Arial" w:cs="Arial"/>
          <w:color w:val="000000"/>
          <w:sz w:val="22"/>
          <w:szCs w:val="22"/>
        </w:rPr>
        <w:t xml:space="preserve">a información mínima requerida a publicar de que tratan los artículos 9, 10 y 11 de la Ley 1712 de 2014». </w:t>
      </w:r>
    </w:p>
    <w:p w:rsidRPr="006D6084" w:rsidR="001C73AB" w:rsidP="001C73AB" w:rsidRDefault="001C73AB" w14:paraId="17214A93" w14:textId="19F4C622">
      <w:pPr>
        <w:pStyle w:val="NormalWeb"/>
        <w:spacing w:before="120" w:beforeAutospacing="0" w:after="0" w:afterAutospacing="0" w:line="276" w:lineRule="auto"/>
        <w:ind w:firstLine="709"/>
        <w:jc w:val="both"/>
        <w:rPr>
          <w:rFonts w:ascii="Arial" w:hAnsi="Arial" w:cs="Arial"/>
          <w:color w:val="000000"/>
          <w:sz w:val="22"/>
          <w:szCs w:val="22"/>
        </w:rPr>
      </w:pPr>
      <w:r w:rsidRPr="00E56375">
        <w:rPr>
          <w:rFonts w:ascii="Arial" w:hAnsi="Arial" w:cs="Arial"/>
          <w:color w:val="000000"/>
          <w:sz w:val="22"/>
          <w:szCs w:val="22"/>
        </w:rPr>
        <w:t xml:space="preserve">Es menester precisar que el citado artículo consagra, en su numeral primero, que cuando la información se encuentre publicada en otra sección del sitio web diferente a la página principal o en un sistema de información del Estado </w:t>
      </w:r>
      <w:r w:rsidRPr="00E56375">
        <w:rPr>
          <w:rFonts w:ascii="Arial" w:hAnsi="Arial" w:eastAsia="Calibri" w:cs="Arial"/>
          <w:b/>
          <w:color w:val="1A1A1A" w:themeColor="background1" w:themeShade="1A"/>
          <w:sz w:val="22"/>
        </w:rPr>
        <w:t>–</w:t>
      </w:r>
      <w:r w:rsidRPr="00E56375">
        <w:rPr>
          <w:rFonts w:ascii="Arial" w:hAnsi="Arial" w:cs="Arial"/>
          <w:color w:val="000000"/>
          <w:sz w:val="22"/>
          <w:szCs w:val="22"/>
        </w:rPr>
        <w:t>como el SECOP</w:t>
      </w:r>
      <w:r w:rsidRPr="00E56375">
        <w:rPr>
          <w:rFonts w:ascii="Arial" w:hAnsi="Arial" w:eastAsia="Calibri" w:cs="Arial"/>
          <w:b/>
          <w:color w:val="1A1A1A" w:themeColor="background1" w:themeShade="1A"/>
          <w:sz w:val="22"/>
        </w:rPr>
        <w:t>–</w:t>
      </w:r>
      <w:r w:rsidRPr="00E56375">
        <w:rPr>
          <w:rFonts w:ascii="Arial" w:hAnsi="Arial" w:cs="Arial"/>
          <w:color w:val="000000"/>
          <w:sz w:val="22"/>
          <w:szCs w:val="22"/>
        </w:rPr>
        <w:t>, los sujetos obligados deben identificar la información que reposa en estos y habilitar los enlaces para permitir el acceso a la misma. En consecuencia, esto no desvirtúa la obligación que tienen las entidades con régimen especial de publicar su actividad contractual en el SECOP, por el contrario, la complementa, en el sentido de que deben disponer en sus páginas web por lo menos de los enlaces que permitan acceder a la información que repos</w:t>
      </w:r>
      <w:r w:rsidR="00DF420C">
        <w:rPr>
          <w:rFonts w:ascii="Arial" w:hAnsi="Arial" w:cs="Arial"/>
          <w:color w:val="000000"/>
          <w:sz w:val="22"/>
          <w:szCs w:val="22"/>
        </w:rPr>
        <w:t>e</w:t>
      </w:r>
      <w:r w:rsidRPr="00E56375">
        <w:rPr>
          <w:rFonts w:ascii="Arial" w:hAnsi="Arial" w:cs="Arial"/>
          <w:color w:val="000000"/>
          <w:sz w:val="22"/>
          <w:szCs w:val="22"/>
        </w:rPr>
        <w:t xml:space="preserve"> en el SECOP.</w:t>
      </w:r>
      <w:r>
        <w:rPr>
          <w:rFonts w:ascii="Arial" w:hAnsi="Arial" w:cs="Arial"/>
          <w:color w:val="000000"/>
          <w:sz w:val="22"/>
          <w:szCs w:val="22"/>
        </w:rPr>
        <w:t xml:space="preserve"> </w:t>
      </w:r>
    </w:p>
    <w:p w:rsidRPr="0048045C" w:rsidR="001C73AB" w:rsidP="001C73AB" w:rsidRDefault="00EC1AC0" w14:paraId="7336B90C" w14:textId="07D694B7">
      <w:pPr>
        <w:spacing w:before="120" w:line="276" w:lineRule="auto"/>
        <w:ind w:firstLine="709"/>
        <w:jc w:val="both"/>
        <w:rPr>
          <w:rFonts w:ascii="Arial" w:hAnsi="Arial" w:cs="Arial"/>
          <w:color w:val="1A1A1A" w:themeColor="background1" w:themeShade="1A"/>
          <w:sz w:val="22"/>
          <w:lang w:val="es-ES"/>
        </w:rPr>
      </w:pPr>
      <w:r>
        <w:rPr>
          <w:rFonts w:ascii="Arial" w:hAnsi="Arial" w:cs="Arial"/>
          <w:color w:val="1A1A1A" w:themeColor="background1" w:themeShade="1A"/>
          <w:sz w:val="22"/>
          <w:lang w:val="es-ES"/>
        </w:rPr>
        <w:t>Dicho</w:t>
      </w:r>
      <w:r w:rsidRPr="00EC1AC0">
        <w:rPr>
          <w:rFonts w:ascii="Arial" w:hAnsi="Arial" w:cs="Arial"/>
          <w:color w:val="1A1A1A" w:themeColor="background1" w:themeShade="1A"/>
          <w:sz w:val="22"/>
          <w:lang w:val="es-ES"/>
        </w:rPr>
        <w:t xml:space="preserve"> </w:t>
      </w:r>
      <w:r>
        <w:rPr>
          <w:rFonts w:ascii="Arial" w:hAnsi="Arial" w:cs="Arial"/>
          <w:color w:val="1A1A1A" w:themeColor="background1" w:themeShade="1A"/>
          <w:sz w:val="22"/>
          <w:lang w:val="es-ES"/>
        </w:rPr>
        <w:t>d</w:t>
      </w:r>
      <w:r w:rsidRPr="00EC1AC0" w:rsidR="001C73AB">
        <w:rPr>
          <w:rFonts w:ascii="Arial" w:hAnsi="Arial" w:cs="Arial"/>
          <w:color w:val="1A1A1A" w:themeColor="background1" w:themeShade="1A"/>
          <w:sz w:val="22"/>
          <w:lang w:val="es-ES"/>
        </w:rPr>
        <w:t xml:space="preserve">ecreto también señala en su artículo </w:t>
      </w:r>
      <w:r w:rsidRPr="00D307CD" w:rsidR="00A52EF5">
        <w:rPr>
          <w:rFonts w:ascii="Arial" w:hAnsi="Arial" w:cs="Arial"/>
          <w:sz w:val="22"/>
        </w:rPr>
        <w:t>2.1.1.2.1.8</w:t>
      </w:r>
      <w:r w:rsidRPr="00EC1AC0" w:rsidR="001C73AB">
        <w:rPr>
          <w:rFonts w:ascii="Arial" w:hAnsi="Arial" w:cs="Arial"/>
          <w:color w:val="1A1A1A" w:themeColor="background1" w:themeShade="1A"/>
          <w:sz w:val="22"/>
          <w:lang w:val="es-ES"/>
        </w:rPr>
        <w:t>, de forma enunciativa, que se debe publicar la información relativa a la ejecución del contrato, como las aprobaciones, autorizaciones, requerimientos o informes del supervisor o interventor, que aprueben la ejecución del contrato</w:t>
      </w:r>
      <w:r w:rsidRPr="00EC1AC0" w:rsidR="001C73AB">
        <w:rPr>
          <w:rFonts w:ascii="Arial" w:hAnsi="Arial" w:cs="Arial"/>
          <w:color w:val="1A1A1A" w:themeColor="background1" w:themeShade="1A"/>
          <w:sz w:val="22"/>
          <w:vertAlign w:val="superscript"/>
          <w:lang w:val="es-ES"/>
        </w:rPr>
        <w:footnoteReference w:id="20"/>
      </w:r>
      <w:r w:rsidRPr="00EC1AC0" w:rsidR="001C73AB">
        <w:rPr>
          <w:rFonts w:ascii="Arial" w:hAnsi="Arial" w:cs="Arial"/>
          <w:color w:val="1A1A1A" w:themeColor="background1" w:themeShade="1A"/>
          <w:sz w:val="22"/>
          <w:lang w:val="es-ES"/>
        </w:rPr>
        <w:t xml:space="preserve">. Por su parte, el artículo </w:t>
      </w:r>
      <w:r w:rsidRPr="0048045C" w:rsidR="00A52EF5">
        <w:rPr>
          <w:rFonts w:ascii="Arial" w:hAnsi="Arial" w:cs="Arial"/>
          <w:color w:val="1A1A1A" w:themeColor="background1" w:themeShade="1A"/>
          <w:sz w:val="22"/>
          <w:lang w:val="es-ES"/>
        </w:rPr>
        <w:t>2.1.1.2.1.9</w:t>
      </w:r>
      <w:r w:rsidRPr="00EC1AC0" w:rsidR="001C73AB">
        <w:rPr>
          <w:rFonts w:ascii="Arial" w:hAnsi="Arial" w:cs="Arial"/>
          <w:color w:val="1A1A1A" w:themeColor="background1" w:themeShade="1A"/>
          <w:sz w:val="22"/>
          <w:lang w:val="es-ES"/>
        </w:rPr>
        <w:t xml:space="preserve"> señala que las entidades </w:t>
      </w:r>
      <w:r w:rsidRPr="00EC1AC0" w:rsidR="001C73AB">
        <w:rPr>
          <w:rFonts w:ascii="Arial" w:hAnsi="Arial" w:cs="Arial"/>
          <w:color w:val="1A1A1A" w:themeColor="background1" w:themeShade="1A"/>
          <w:sz w:val="22"/>
          <w:lang w:val="es-ES"/>
        </w:rPr>
        <w:lastRenderedPageBreak/>
        <w:t>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EC1AC0" w:rsidR="001C73AB">
        <w:rPr>
          <w:rFonts w:ascii="Arial" w:hAnsi="Arial" w:cs="Arial"/>
          <w:color w:val="1A1A1A" w:themeColor="background1" w:themeShade="1A"/>
          <w:sz w:val="22"/>
          <w:vertAlign w:val="superscript"/>
          <w:lang w:val="es-ES"/>
        </w:rPr>
        <w:footnoteReference w:id="21"/>
      </w:r>
      <w:r w:rsidRPr="00EC1AC0" w:rsidR="001C73AB">
        <w:rPr>
          <w:rFonts w:ascii="Arial" w:hAnsi="Arial" w:cs="Arial"/>
          <w:color w:val="1A1A1A" w:themeColor="background1" w:themeShade="1A"/>
          <w:sz w:val="22"/>
          <w:lang w:val="es-ES"/>
        </w:rPr>
        <w:t xml:space="preserve">. Finalmente, el artículo </w:t>
      </w:r>
      <w:r w:rsidRPr="00D307CD" w:rsidR="00A52EF5">
        <w:rPr>
          <w:rFonts w:ascii="Arial" w:hAnsi="Arial" w:cs="Arial"/>
          <w:sz w:val="22"/>
        </w:rPr>
        <w:t xml:space="preserve">2.1.1.2.1.10. </w:t>
      </w:r>
      <w:r w:rsidRPr="00EC1AC0" w:rsidR="001C73AB">
        <w:rPr>
          <w:rFonts w:ascii="Arial" w:hAnsi="Arial" w:cs="Arial"/>
          <w:color w:val="1A1A1A" w:themeColor="background1" w:themeShade="1A"/>
          <w:sz w:val="22"/>
          <w:lang w:val="es-ES"/>
        </w:rPr>
        <w:t xml:space="preserve"> establece la obligación que tienen las entidades de publicar en el SECOP el Plan Anual de Adquisiciones</w:t>
      </w:r>
      <w:r w:rsidRPr="00EC1AC0" w:rsidR="001C73AB">
        <w:rPr>
          <w:rFonts w:ascii="Arial" w:hAnsi="Arial" w:cs="Arial"/>
          <w:color w:val="1A1A1A" w:themeColor="background1" w:themeShade="1A"/>
          <w:sz w:val="22"/>
          <w:vertAlign w:val="superscript"/>
          <w:lang w:val="es-ES"/>
        </w:rPr>
        <w:footnoteReference w:id="22"/>
      </w:r>
      <w:r w:rsidRPr="00EC1AC0" w:rsidR="001C73AB">
        <w:rPr>
          <w:rFonts w:ascii="Arial" w:hAnsi="Arial" w:cs="Arial"/>
          <w:color w:val="1A1A1A" w:themeColor="background1" w:themeShade="1A"/>
          <w:sz w:val="22"/>
          <w:lang w:val="es-ES"/>
        </w:rPr>
        <w:t>.</w:t>
      </w:r>
    </w:p>
    <w:p w:rsidR="001C73AB" w:rsidP="001C73AB" w:rsidRDefault="001C73AB" w14:paraId="156604C9" w14:textId="4AFF065E">
      <w:pPr>
        <w:spacing w:before="120" w:line="276" w:lineRule="auto"/>
        <w:ind w:firstLine="709"/>
        <w:jc w:val="both"/>
        <w:rPr>
          <w:rFonts w:ascii="Arial" w:hAnsi="Arial" w:cs="Arial"/>
          <w:color w:val="1A1A1A" w:themeColor="background1" w:themeShade="1A"/>
          <w:sz w:val="22"/>
          <w:lang w:val="es-ES"/>
        </w:rPr>
      </w:pPr>
      <w:r w:rsidRPr="00F909C4">
        <w:rPr>
          <w:rFonts w:ascii="Arial" w:hAnsi="Arial" w:cs="Arial"/>
          <w:color w:val="1A1A1A" w:themeColor="background1" w:themeShade="1A"/>
          <w:sz w:val="22"/>
          <w:lang w:val="es-ES"/>
        </w:rPr>
        <w:t xml:space="preserve">De conformidad con lo anterior, el Decreto </w:t>
      </w:r>
      <w:r w:rsidRPr="00F909C4" w:rsidR="00A52EF5">
        <w:rPr>
          <w:rFonts w:ascii="Arial" w:hAnsi="Arial" w:cs="Arial"/>
          <w:color w:val="1A1A1A" w:themeColor="background1" w:themeShade="1A"/>
          <w:sz w:val="22"/>
          <w:lang w:val="es-ES"/>
        </w:rPr>
        <w:t>10</w:t>
      </w:r>
      <w:r w:rsidR="00A52EF5">
        <w:rPr>
          <w:rFonts w:ascii="Arial" w:hAnsi="Arial" w:cs="Arial"/>
          <w:color w:val="1A1A1A" w:themeColor="background1" w:themeShade="1A"/>
          <w:sz w:val="22"/>
          <w:lang w:val="es-ES"/>
        </w:rPr>
        <w:t>81</w:t>
      </w:r>
      <w:r w:rsidRPr="00F909C4" w:rsidR="00A52EF5">
        <w:rPr>
          <w:rFonts w:ascii="Arial" w:hAnsi="Arial" w:cs="Arial"/>
          <w:color w:val="1A1A1A" w:themeColor="background1" w:themeShade="1A"/>
          <w:sz w:val="22"/>
          <w:lang w:val="es-ES"/>
        </w:rPr>
        <w:t xml:space="preserve"> </w:t>
      </w:r>
      <w:r w:rsidRPr="00F909C4">
        <w:rPr>
          <w:rFonts w:ascii="Arial" w:hAnsi="Arial" w:cs="Arial"/>
          <w:color w:val="1A1A1A" w:themeColor="background1" w:themeShade="1A"/>
          <w:sz w:val="22"/>
          <w:lang w:val="es-ES"/>
        </w:rPr>
        <w:t>de 2015 señala que los documentos que deben publicar las entidades estatales, entre estas las empresas</w:t>
      </w:r>
      <w:r>
        <w:rPr>
          <w:rFonts w:ascii="Arial" w:hAnsi="Arial" w:cs="Arial"/>
          <w:color w:val="1A1A1A" w:themeColor="background1" w:themeShade="1A"/>
          <w:sz w:val="22"/>
          <w:lang w:val="es-ES"/>
        </w:rPr>
        <w:t xml:space="preserve"> de servicios públicos domiciliarios</w:t>
      </w:r>
      <w:r w:rsidRPr="00F909C4">
        <w:rPr>
          <w:rFonts w:ascii="Arial" w:hAnsi="Arial" w:cs="Arial"/>
          <w:color w:val="1A1A1A" w:themeColor="background1" w:themeShade="1A"/>
          <w:sz w:val="22"/>
          <w:lang w:val="es-ES"/>
        </w:rPr>
        <w:t>,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rsidR="001C73AB" w:rsidP="001C73AB" w:rsidRDefault="001C73AB" w14:paraId="05D25D94" w14:textId="77777777">
      <w:pPr>
        <w:spacing w:before="120" w:line="276" w:lineRule="auto"/>
        <w:ind w:firstLine="709"/>
        <w:jc w:val="both"/>
        <w:rPr>
          <w:rFonts w:ascii="Arial" w:hAnsi="Arial" w:cs="Arial"/>
          <w:color w:val="1A1A1A" w:themeColor="background1" w:themeShade="1A"/>
          <w:sz w:val="22"/>
          <w:lang w:val="es-ES"/>
        </w:rPr>
      </w:pPr>
      <w:r w:rsidRPr="00D64D16">
        <w:rPr>
          <w:rFonts w:ascii="Arial" w:hAnsi="Arial" w:cs="Arial"/>
          <w:color w:val="1A1A1A" w:themeColor="background1" w:themeShade="1A"/>
          <w:sz w:val="22"/>
        </w:rPr>
        <w:t>Frente al segundo grupo de documentos, debido a que, de conformidad con el artículo 31 de la Ley 142 de 1994, las entidades en cuestión no están sujetas a las disposiciones del Estatuto General de Contratación de la Administración Pública, cada una definirá en su manual el procedimiento para contratar sus bienes y servicios o para proveerlos a terceros. </w:t>
      </w:r>
    </w:p>
    <w:p w:rsidR="001C73AB" w:rsidP="001C73AB" w:rsidRDefault="001C73AB" w14:paraId="4188B11A" w14:textId="18214ABC">
      <w:pPr>
        <w:spacing w:before="120" w:line="276" w:lineRule="auto"/>
        <w:ind w:firstLine="709"/>
        <w:jc w:val="both"/>
        <w:rPr>
          <w:rFonts w:ascii="Arial" w:hAnsi="Arial" w:cs="Arial"/>
          <w:color w:val="1A1A1A" w:themeColor="background1" w:themeShade="1A"/>
          <w:sz w:val="22"/>
          <w:lang w:val="es-ES"/>
        </w:rPr>
      </w:pPr>
      <w:r w:rsidRPr="00F909C4">
        <w:rPr>
          <w:rFonts w:ascii="Arial" w:hAnsi="Arial" w:cs="Arial"/>
          <w:color w:val="1A1A1A" w:themeColor="background1" w:themeShade="1A"/>
          <w:sz w:val="22"/>
          <w:lang w:val="es-ES"/>
        </w:rPr>
        <w:lastRenderedPageBreak/>
        <w:t xml:space="preserve">En este sentido, la entidad lo hará ya sea por medio de un procedimiento público, mediante el cual se realice una convocatoria y una evaluación para seleccionar la oferta más favorable; o a través de una contratación directa, cuando no </w:t>
      </w:r>
      <w:r w:rsidR="00E56375">
        <w:rPr>
          <w:rFonts w:ascii="Arial" w:hAnsi="Arial" w:cs="Arial"/>
          <w:color w:val="1A1A1A" w:themeColor="background1" w:themeShade="1A"/>
          <w:sz w:val="22"/>
          <w:lang w:val="es-ES"/>
        </w:rPr>
        <w:t>sea</w:t>
      </w:r>
      <w:r w:rsidRPr="00F909C4">
        <w:rPr>
          <w:rFonts w:ascii="Arial" w:hAnsi="Arial" w:cs="Arial"/>
          <w:color w:val="1A1A1A" w:themeColor="background1" w:themeShade="1A"/>
          <w:sz w:val="22"/>
          <w:lang w:val="es-ES"/>
        </w:rPr>
        <w:t xml:space="preserve"> necesario realizar un proceso competitivo. En estos casos, el manual definirá las etapas y los documentos que forman parte del procedimiento</w:t>
      </w:r>
      <w:r w:rsidR="00E56375">
        <w:rPr>
          <w:rFonts w:ascii="Arial" w:hAnsi="Arial" w:cs="Arial"/>
          <w:color w:val="1A1A1A" w:themeColor="background1" w:themeShade="1A"/>
          <w:sz w:val="22"/>
          <w:lang w:val="es-ES"/>
        </w:rPr>
        <w:t xml:space="preserve"> </w:t>
      </w:r>
      <w:r w:rsidRPr="00F909C4">
        <w:rPr>
          <w:rFonts w:ascii="Arial" w:hAnsi="Arial" w:cs="Arial"/>
          <w:color w:val="1A1A1A" w:themeColor="background1" w:themeShade="1A"/>
          <w:sz w:val="22"/>
          <w:lang w:val="es-ES"/>
        </w:rPr>
        <w:t>que realicen</w:t>
      </w:r>
      <w:r>
        <w:rPr>
          <w:rFonts w:ascii="Arial" w:hAnsi="Arial" w:cs="Arial"/>
          <w:color w:val="1A1A1A" w:themeColor="background1" w:themeShade="1A"/>
          <w:sz w:val="22"/>
          <w:lang w:val="es-ES"/>
        </w:rPr>
        <w:t>,</w:t>
      </w:r>
      <w:r w:rsidRPr="00F909C4">
        <w:rPr>
          <w:rFonts w:ascii="Arial" w:hAnsi="Arial" w:cs="Arial"/>
          <w:color w:val="1A1A1A" w:themeColor="background1" w:themeShade="1A"/>
          <w:sz w:val="22"/>
          <w:lang w:val="es-ES"/>
        </w:rPr>
        <w:t xml:space="preserve"> y se publicarán en la plataforma del SECOP para cada procedimiento de contratación que se adelante, incluido el acto de adjudicación, por expresa disposición del literal g) del artículo 11 de la Ley 1712 de 2014.</w:t>
      </w:r>
    </w:p>
    <w:p w:rsidR="001C73AB" w:rsidP="001C73AB" w:rsidRDefault="00A551E2" w14:paraId="48806C03" w14:textId="064ED4C1">
      <w:pPr>
        <w:spacing w:before="120" w:line="276" w:lineRule="auto"/>
        <w:ind w:firstLine="709"/>
        <w:jc w:val="both"/>
        <w:rPr>
          <w:rFonts w:ascii="Arial" w:hAnsi="Arial" w:eastAsia="Calibri" w:cs="Arial"/>
          <w:color w:val="1A1A1A" w:themeColor="background1" w:themeShade="1A"/>
          <w:sz w:val="22"/>
          <w:lang w:val="es-ES"/>
        </w:rPr>
      </w:pPr>
      <w:r w:rsidRPr="0091437B">
        <w:rPr>
          <w:rFonts w:ascii="Arial" w:hAnsi="Arial" w:eastAsia="Calibri" w:cs="Arial"/>
          <w:color w:val="1A1A1A" w:themeColor="background1" w:themeShade="1A"/>
          <w:sz w:val="22"/>
        </w:rPr>
        <w:t xml:space="preserve">Por lo tanto, en estos casos aplica la Ley 1712 de 2014 y el Decreto </w:t>
      </w:r>
      <w:r w:rsidRPr="0091437B" w:rsidR="00A52EF5">
        <w:rPr>
          <w:rFonts w:ascii="Arial" w:hAnsi="Arial" w:eastAsia="Calibri" w:cs="Arial"/>
          <w:color w:val="1A1A1A" w:themeColor="background1" w:themeShade="1A"/>
          <w:sz w:val="22"/>
        </w:rPr>
        <w:t>10</w:t>
      </w:r>
      <w:r w:rsidR="00A52EF5">
        <w:rPr>
          <w:rFonts w:ascii="Arial" w:hAnsi="Arial" w:eastAsia="Calibri" w:cs="Arial"/>
          <w:color w:val="1A1A1A" w:themeColor="background1" w:themeShade="1A"/>
          <w:sz w:val="22"/>
        </w:rPr>
        <w:t>81</w:t>
      </w:r>
      <w:r w:rsidRPr="0091437B" w:rsidR="00A52EF5">
        <w:rPr>
          <w:rFonts w:ascii="Arial" w:hAnsi="Arial" w:eastAsia="Calibri" w:cs="Arial"/>
          <w:color w:val="1A1A1A" w:themeColor="background1" w:themeShade="1A"/>
          <w:sz w:val="22"/>
        </w:rPr>
        <w:t xml:space="preserve"> </w:t>
      </w:r>
      <w:r w:rsidRPr="0091437B">
        <w:rPr>
          <w:rFonts w:ascii="Arial" w:hAnsi="Arial" w:eastAsia="Calibri" w:cs="Arial"/>
          <w:color w:val="1A1A1A" w:themeColor="background1" w:themeShade="1A"/>
          <w:sz w:val="22"/>
        </w:rPr>
        <w:t xml:space="preserve">de 2015, no el Decreto 1082 de 2015, porque esta última norma rige a las entidades sometidas al Estatuto General de Contratación Pública, y por lo tanto no aplica a las </w:t>
      </w:r>
      <w:r>
        <w:rPr>
          <w:rFonts w:ascii="Arial" w:hAnsi="Arial" w:eastAsia="Calibri" w:cs="Arial"/>
          <w:color w:val="1A1A1A" w:themeColor="background1" w:themeShade="1A"/>
          <w:sz w:val="22"/>
        </w:rPr>
        <w:t>empresas de servicios públicos domiciliarios</w:t>
      </w:r>
      <w:r w:rsidRPr="0091437B">
        <w:rPr>
          <w:rFonts w:ascii="Arial" w:hAnsi="Arial" w:eastAsia="Calibri" w:cs="Arial"/>
          <w:color w:val="1A1A1A" w:themeColor="background1" w:themeShade="1A"/>
          <w:sz w:val="22"/>
        </w:rPr>
        <w:t xml:space="preserve"> que, por regla general, se rigen por el derecho privado. Por su parte, la Ley 1712 de 2014 y el Decreto 10</w:t>
      </w:r>
      <w:r w:rsidR="00A52EF5">
        <w:rPr>
          <w:rFonts w:ascii="Arial" w:hAnsi="Arial" w:eastAsia="Calibri" w:cs="Arial"/>
          <w:color w:val="1A1A1A" w:themeColor="background1" w:themeShade="1A"/>
          <w:sz w:val="22"/>
        </w:rPr>
        <w:t>81</w:t>
      </w:r>
      <w:r w:rsidRPr="0091437B">
        <w:rPr>
          <w:rFonts w:ascii="Arial" w:hAnsi="Arial" w:eastAsia="Calibri" w:cs="Arial"/>
          <w:color w:val="1A1A1A" w:themeColor="background1" w:themeShade="1A"/>
          <w:sz w:val="22"/>
        </w:rPr>
        <w:t xml:space="preserve"> de 2015 aplican a cualquier entidad pública, incluyendo</w:t>
      </w:r>
      <w:r w:rsidRPr="0091437B">
        <w:rPr>
          <w:rFonts w:ascii="Arial" w:hAnsi="Arial" w:cs="Arial"/>
          <w:color w:val="1A1A1A" w:themeColor="background1" w:themeShade="1A"/>
          <w:sz w:val="22"/>
        </w:rPr>
        <w:t xml:space="preserve"> </w:t>
      </w:r>
      <w:r w:rsidRPr="0091437B">
        <w:rPr>
          <w:rFonts w:ascii="Arial" w:hAnsi="Arial" w:eastAsia="Times New Roman" w:cs="Arial"/>
          <w:color w:val="1A1A1A" w:themeColor="background1" w:themeShade="1A"/>
          <w:sz w:val="22"/>
          <w:lang w:val="es-CO" w:eastAsia="es-CO"/>
        </w:rPr>
        <w:t xml:space="preserve">las pertenecientes a todas las ramas del poder público, en todos los niveles de la estructura estatal, central o descentralizada por servicios o </w:t>
      </w:r>
      <w:r w:rsidRPr="0091437B">
        <w:rPr>
          <w:rFonts w:ascii="Arial" w:hAnsi="Arial" w:eastAsia="Calibri" w:cs="Arial"/>
          <w:color w:val="1A1A1A" w:themeColor="background1" w:themeShade="1A"/>
          <w:sz w:val="22"/>
          <w:lang w:val="es-ES"/>
        </w:rPr>
        <w:t>territorialmente, en los órdenes nacional, departamental, municipal y distrital.</w:t>
      </w:r>
    </w:p>
    <w:p w:rsidR="003260DD" w:rsidP="001C73AB" w:rsidRDefault="003260DD" w14:paraId="44334A5D" w14:textId="061F7294">
      <w:pPr>
        <w:spacing w:before="120" w:line="276" w:lineRule="auto"/>
        <w:ind w:firstLine="709"/>
        <w:jc w:val="both"/>
        <w:rPr>
          <w:rFonts w:ascii="Arial" w:hAnsi="Arial" w:eastAsia="Calibri" w:cs="Arial"/>
          <w:color w:val="1A1A1A" w:themeColor="background1" w:themeShade="1A"/>
          <w:sz w:val="22"/>
        </w:rPr>
      </w:pPr>
      <w:r>
        <w:rPr>
          <w:rFonts w:ascii="Arial" w:hAnsi="Arial" w:eastAsia="Calibri" w:cs="Arial"/>
          <w:color w:val="1A1A1A" w:themeColor="background1" w:themeShade="1A"/>
          <w:sz w:val="22"/>
        </w:rPr>
        <w:t>En cuanto a la oportunidad o el término en el que se deben publicar los referidos documentos por parte de las entidades de régimen especial también han sido varias las posturas de esta Agencia, las cuales igualmente fueron unificadas en el concepto CU-003 del 15 de enero de 2020 que aquí se reitera</w:t>
      </w:r>
      <w:r>
        <w:rPr>
          <w:rStyle w:val="Refdenotaalpie"/>
          <w:rFonts w:ascii="Arial" w:hAnsi="Arial" w:eastAsia="Calibri" w:cs="Arial"/>
          <w:color w:val="1A1A1A" w:themeColor="background1" w:themeShade="1A"/>
          <w:sz w:val="22"/>
        </w:rPr>
        <w:footnoteReference w:id="23"/>
      </w:r>
      <w:r>
        <w:rPr>
          <w:rFonts w:ascii="Arial" w:hAnsi="Arial" w:eastAsia="Calibri" w:cs="Arial"/>
          <w:color w:val="1A1A1A" w:themeColor="background1" w:themeShade="1A"/>
          <w:sz w:val="22"/>
        </w:rPr>
        <w:t>. Sobre el particular se advierte que ni</w:t>
      </w:r>
      <w:r w:rsidRPr="0091437B" w:rsidR="00A551E2">
        <w:rPr>
          <w:rFonts w:ascii="Arial" w:hAnsi="Arial" w:eastAsia="Calibri" w:cs="Arial"/>
          <w:color w:val="1A1A1A" w:themeColor="background1" w:themeShade="1A"/>
          <w:sz w:val="22"/>
        </w:rPr>
        <w:t xml:space="preserve"> Ley 1712 de 2014 </w:t>
      </w:r>
      <w:r>
        <w:rPr>
          <w:rFonts w:ascii="Arial" w:hAnsi="Arial" w:eastAsia="Calibri" w:cs="Arial"/>
          <w:color w:val="1A1A1A" w:themeColor="background1" w:themeShade="1A"/>
          <w:sz w:val="22"/>
        </w:rPr>
        <w:t>ni</w:t>
      </w:r>
      <w:r w:rsidRPr="0091437B" w:rsidR="00A551E2">
        <w:rPr>
          <w:rFonts w:ascii="Arial" w:hAnsi="Arial" w:eastAsia="Calibri" w:cs="Arial"/>
          <w:color w:val="1A1A1A" w:themeColor="background1" w:themeShade="1A"/>
          <w:sz w:val="22"/>
        </w:rPr>
        <w:t xml:space="preserve"> el Decreto 10</w:t>
      </w:r>
      <w:r>
        <w:rPr>
          <w:rFonts w:ascii="Arial" w:hAnsi="Arial" w:eastAsia="Calibri" w:cs="Arial"/>
          <w:color w:val="1A1A1A" w:themeColor="background1" w:themeShade="1A"/>
          <w:sz w:val="22"/>
        </w:rPr>
        <w:t>81</w:t>
      </w:r>
      <w:r w:rsidRPr="0091437B" w:rsidR="00A551E2">
        <w:rPr>
          <w:rFonts w:ascii="Arial" w:hAnsi="Arial" w:eastAsia="Calibri" w:cs="Arial"/>
          <w:color w:val="1A1A1A" w:themeColor="background1" w:themeShade="1A"/>
          <w:sz w:val="22"/>
        </w:rPr>
        <w:t xml:space="preserve"> de 2015, normativas que indican los documentos que se deben publicar, señalan el momento para su divulgación, y en ese sentido</w:t>
      </w:r>
      <w:r w:rsidR="00260A6F">
        <w:rPr>
          <w:rFonts w:ascii="Arial" w:hAnsi="Arial" w:eastAsia="Calibri" w:cs="Arial"/>
          <w:color w:val="1A1A1A" w:themeColor="background1" w:themeShade="1A"/>
          <w:sz w:val="22"/>
        </w:rPr>
        <w:t xml:space="preserve">, </w:t>
      </w:r>
      <w:r w:rsidRPr="0091437B" w:rsidR="00A551E2">
        <w:rPr>
          <w:rFonts w:ascii="Arial" w:hAnsi="Arial" w:eastAsia="Calibri" w:cs="Arial"/>
          <w:color w:val="1A1A1A" w:themeColor="background1" w:themeShade="1A"/>
          <w:sz w:val="22"/>
        </w:rPr>
        <w:t xml:space="preserve">existe un vacío normativo. </w:t>
      </w:r>
    </w:p>
    <w:p w:rsidR="001C73AB" w:rsidP="001C73AB" w:rsidRDefault="00A551E2" w14:paraId="772AC1F6" w14:textId="7734D092">
      <w:pPr>
        <w:spacing w:before="120" w:line="276" w:lineRule="auto"/>
        <w:ind w:firstLine="709"/>
        <w:jc w:val="both"/>
        <w:rPr>
          <w:rFonts w:ascii="Arial" w:hAnsi="Arial" w:eastAsia="Calibri" w:cs="Arial"/>
          <w:color w:val="1A1A1A" w:themeColor="background1" w:themeShade="1A"/>
          <w:sz w:val="22"/>
          <w:lang w:val="es-ES"/>
        </w:rPr>
      </w:pPr>
      <w:r w:rsidRPr="0091437B">
        <w:rPr>
          <w:rFonts w:ascii="Arial" w:hAnsi="Arial" w:eastAsia="Calibri" w:cs="Arial"/>
          <w:color w:val="1A1A1A" w:themeColor="background1" w:themeShade="1A"/>
          <w:sz w:val="22"/>
        </w:rPr>
        <w:t xml:space="preserve">En los casos </w:t>
      </w:r>
      <w:r w:rsidR="00260A6F">
        <w:rPr>
          <w:rFonts w:ascii="Arial" w:hAnsi="Arial" w:eastAsia="Calibri" w:cs="Arial"/>
          <w:color w:val="1A1A1A" w:themeColor="background1" w:themeShade="1A"/>
          <w:sz w:val="22"/>
        </w:rPr>
        <w:t xml:space="preserve">en </w:t>
      </w:r>
      <w:r w:rsidRPr="0091437B">
        <w:rPr>
          <w:rFonts w:ascii="Arial" w:hAnsi="Arial" w:eastAsia="Calibri" w:cs="Arial"/>
          <w:color w:val="1A1A1A" w:themeColor="background1" w:themeShade="1A"/>
          <w:sz w:val="22"/>
        </w:rPr>
        <w:t>que no exista norma aplicable, la Corte Constitucional, en la sentencia C-083 de 1995, reconoc</w:t>
      </w:r>
      <w:r w:rsidR="003260DD">
        <w:rPr>
          <w:rFonts w:ascii="Arial" w:hAnsi="Arial" w:eastAsia="Calibri" w:cs="Arial"/>
          <w:color w:val="1A1A1A" w:themeColor="background1" w:themeShade="1A"/>
          <w:sz w:val="22"/>
        </w:rPr>
        <w:t>ió</w:t>
      </w:r>
      <w:r w:rsidRPr="0091437B">
        <w:rPr>
          <w:rFonts w:ascii="Arial" w:hAnsi="Arial" w:eastAsia="Calibri" w:cs="Arial"/>
          <w:color w:val="1A1A1A" w:themeColor="background1" w:themeShade="1A"/>
          <w:sz w:val="22"/>
        </w:rPr>
        <w:t xml:space="preserve">  la analogía como una fuente de derecho autónoma a </w:t>
      </w:r>
      <w:r w:rsidRPr="0091437B">
        <w:rPr>
          <w:rFonts w:ascii="Arial" w:hAnsi="Arial" w:eastAsia="Calibri" w:cs="Arial"/>
          <w:color w:val="1A1A1A" w:themeColor="background1" w:themeShade="1A"/>
          <w:sz w:val="22"/>
        </w:rPr>
        <w:lastRenderedPageBreak/>
        <w:t>la que se puede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91437B">
        <w:rPr>
          <w:rFonts w:ascii="Arial" w:hAnsi="Arial" w:eastAsia="Calibri" w:cs="Arial"/>
          <w:i/>
          <w:color w:val="1A1A1A" w:themeColor="background1" w:themeShade="1A"/>
          <w:sz w:val="22"/>
        </w:rPr>
        <w:t xml:space="preserve"> </w:t>
      </w:r>
      <w:r w:rsidRPr="0091437B">
        <w:rPr>
          <w:rFonts w:ascii="Arial" w:hAnsi="Arial" w:eastAsia="Calibri" w:cs="Arial"/>
          <w:color w:val="1A1A1A" w:themeColor="background1" w:themeShade="1A"/>
          <w:sz w:val="22"/>
        </w:rPr>
        <w:t>razón de ser de la norma»</w:t>
      </w:r>
      <w:r w:rsidRPr="0091437B">
        <w:rPr>
          <w:rStyle w:val="Refdenotaalpie"/>
          <w:rFonts w:ascii="Arial" w:hAnsi="Arial" w:eastAsia="Calibri" w:cs="Arial"/>
          <w:color w:val="1A1A1A" w:themeColor="background1" w:themeShade="1A"/>
          <w:sz w:val="22"/>
        </w:rPr>
        <w:footnoteReference w:id="24"/>
      </w:r>
      <w:r w:rsidRPr="0091437B">
        <w:rPr>
          <w:rFonts w:ascii="Arial" w:hAnsi="Arial" w:eastAsia="Calibri" w:cs="Arial"/>
          <w:color w:val="1A1A1A" w:themeColor="background1" w:themeShade="1A"/>
          <w:sz w:val="22"/>
        </w:rPr>
        <w:t xml:space="preserve">. </w:t>
      </w:r>
      <w:r w:rsidR="009377EF">
        <w:rPr>
          <w:rFonts w:ascii="Arial" w:hAnsi="Arial" w:eastAsia="Calibri" w:cs="Arial"/>
          <w:color w:val="1A1A1A" w:themeColor="background1" w:themeShade="1A"/>
          <w:sz w:val="22"/>
        </w:rPr>
        <w:t xml:space="preserve">De esta manera, </w:t>
      </w:r>
      <w:r w:rsidRPr="0091437B">
        <w:rPr>
          <w:rFonts w:ascii="Arial" w:hAnsi="Arial" w:eastAsia="Calibri" w:cs="Arial"/>
          <w:color w:val="1A1A1A" w:themeColor="background1" w:themeShade="1A"/>
          <w:sz w:val="22"/>
        </w:rPr>
        <w:t xml:space="preserve">el juez razona por analogía cuando aplica una ley frente una situación no contemplada explícitamente en ella, a partir del estudio de situaciones fácticas que fueron tratadas por el legislador y guardan similitud con el asunto </w:t>
      </w:r>
      <w:r w:rsidR="009377EF">
        <w:rPr>
          <w:rFonts w:ascii="Arial" w:hAnsi="Arial" w:eastAsia="Calibri" w:cs="Arial"/>
          <w:color w:val="1A1A1A" w:themeColor="background1" w:themeShade="1A"/>
          <w:sz w:val="22"/>
        </w:rPr>
        <w:t>en estudio</w:t>
      </w:r>
      <w:r w:rsidRPr="0091437B">
        <w:rPr>
          <w:rFonts w:ascii="Arial" w:hAnsi="Arial" w:eastAsia="Calibri" w:cs="Arial"/>
          <w:color w:val="1A1A1A" w:themeColor="background1" w:themeShade="1A"/>
          <w:sz w:val="22"/>
        </w:rPr>
        <w:t xml:space="preserve">. </w:t>
      </w:r>
    </w:p>
    <w:p w:rsidR="001C73AB" w:rsidP="001C73AB" w:rsidRDefault="00A551E2" w14:paraId="7006EEB1" w14:textId="68B0DA8B">
      <w:pPr>
        <w:spacing w:before="120" w:line="276" w:lineRule="auto"/>
        <w:ind w:firstLine="709"/>
        <w:jc w:val="both"/>
        <w:rPr>
          <w:rFonts w:ascii="Arial" w:hAnsi="Arial" w:eastAsia="Calibri" w:cs="Arial"/>
          <w:color w:val="1A1A1A" w:themeColor="background1" w:themeShade="1A"/>
          <w:sz w:val="22"/>
          <w:lang w:val="es-ES"/>
        </w:rPr>
      </w:pPr>
      <w:r w:rsidRPr="0091437B">
        <w:rPr>
          <w:rFonts w:ascii="Arial" w:hAnsi="Arial" w:eastAsia="Calibri" w:cs="Arial"/>
          <w:color w:val="1A1A1A" w:themeColor="background1" w:themeShade="1A"/>
          <w:sz w:val="22"/>
        </w:rPr>
        <w:t>El Decreto 1082 de 2015, en el artículo 2.2.1.1.1.7.1,</w:t>
      </w:r>
      <w:r w:rsidR="00260A6F">
        <w:rPr>
          <w:rFonts w:ascii="Arial" w:hAnsi="Arial" w:eastAsia="Calibri" w:cs="Arial"/>
          <w:color w:val="1A1A1A" w:themeColor="background1" w:themeShade="1A"/>
          <w:sz w:val="22"/>
        </w:rPr>
        <w:t xml:space="preserve"> </w:t>
      </w:r>
      <w:r w:rsidRPr="0091437B">
        <w:rPr>
          <w:rFonts w:ascii="Arial" w:hAnsi="Arial" w:eastAsia="Calibri" w:cs="Arial"/>
          <w:color w:val="1A1A1A" w:themeColor="background1" w:themeShade="1A"/>
          <w:sz w:val="22"/>
        </w:rPr>
        <w:t>normativa que regula la publicidad en el SECOP</w:t>
      </w:r>
      <w:r w:rsidR="006958B0">
        <w:rPr>
          <w:rFonts w:ascii="Arial" w:hAnsi="Arial" w:eastAsia="Calibri" w:cs="Arial"/>
          <w:color w:val="1A1A1A" w:themeColor="background1" w:themeShade="1A"/>
          <w:sz w:val="22"/>
        </w:rPr>
        <w:t xml:space="preserve"> para las entidades regidas por el Estatuto General de Contratación de la Administración Pública</w:t>
      </w:r>
      <w:r w:rsidRPr="0091437B">
        <w:rPr>
          <w:rFonts w:ascii="Arial" w:hAnsi="Arial" w:eastAsia="Calibri" w:cs="Arial"/>
          <w:color w:val="1A1A1A" w:themeColor="background1" w:themeShade="1A"/>
          <w:sz w:val="22"/>
        </w:rPr>
        <w:t xml:space="preserve">, establece que  </w:t>
      </w:r>
      <w:r w:rsidR="006958B0">
        <w:rPr>
          <w:rFonts w:ascii="Arial" w:hAnsi="Arial" w:eastAsia="Calibri" w:cs="Arial"/>
          <w:color w:val="1A1A1A" w:themeColor="background1" w:themeShade="1A"/>
          <w:sz w:val="22"/>
        </w:rPr>
        <w:t xml:space="preserve"> las mismas</w:t>
      </w:r>
      <w:r w:rsidRPr="0091437B">
        <w:rPr>
          <w:rFonts w:ascii="Arial" w:hAnsi="Arial" w:eastAsia="Calibri" w:cs="Arial"/>
          <w:color w:val="1A1A1A" w:themeColor="background1" w:themeShade="1A"/>
          <w:sz w:val="22"/>
        </w:rPr>
        <w:t xml:space="preserve">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91437B">
        <w:rPr>
          <w:rStyle w:val="Refdenotaalpie"/>
          <w:rFonts w:ascii="Arial" w:hAnsi="Arial" w:eastAsia="Calibri" w:cs="Arial"/>
          <w:color w:val="1A1A1A" w:themeColor="background1" w:themeShade="1A"/>
          <w:sz w:val="22"/>
        </w:rPr>
        <w:footnoteReference w:id="25"/>
      </w:r>
      <w:r w:rsidRPr="0091437B">
        <w:rPr>
          <w:rFonts w:ascii="Arial" w:hAnsi="Arial" w:eastAsia="Calibri" w:cs="Arial"/>
          <w:color w:val="1A1A1A" w:themeColor="background1" w:themeShade="1A"/>
          <w:sz w:val="22"/>
        </w:rPr>
        <w:t>. En este sentido, las entidades sometidas al régimen de contratación de Ley 80 de 1993 publica</w:t>
      </w:r>
      <w:r w:rsidR="00260A6F">
        <w:rPr>
          <w:rFonts w:ascii="Arial" w:hAnsi="Arial" w:eastAsia="Calibri" w:cs="Arial"/>
          <w:color w:val="1A1A1A" w:themeColor="background1" w:themeShade="1A"/>
          <w:sz w:val="22"/>
        </w:rPr>
        <w:t xml:space="preserve">n </w:t>
      </w:r>
      <w:r w:rsidRPr="0091437B">
        <w:rPr>
          <w:rFonts w:ascii="Arial" w:hAnsi="Arial" w:eastAsia="Calibri" w:cs="Arial"/>
          <w:color w:val="1A1A1A" w:themeColor="background1" w:themeShade="1A"/>
          <w:sz w:val="22"/>
        </w:rPr>
        <w:t xml:space="preserve">en el SECOP sus documentos dentro de los 3 días siguientes a su expedición. </w:t>
      </w:r>
    </w:p>
    <w:p w:rsidR="001C73AB" w:rsidP="001C73AB" w:rsidRDefault="00A551E2" w14:paraId="4E702E8E" w14:textId="00DB70A6">
      <w:pPr>
        <w:spacing w:before="120" w:line="276" w:lineRule="auto"/>
        <w:ind w:firstLine="709"/>
        <w:jc w:val="both"/>
        <w:rPr>
          <w:rFonts w:ascii="Arial" w:hAnsi="Arial" w:eastAsia="Calibri" w:cs="Arial"/>
          <w:color w:val="1A1A1A" w:themeColor="background1" w:themeShade="1A"/>
          <w:sz w:val="22"/>
          <w:lang w:val="es-ES"/>
        </w:rPr>
      </w:pPr>
      <w:r w:rsidRPr="0091437B">
        <w:rPr>
          <w:rFonts w:ascii="Arial" w:hAnsi="Arial" w:eastAsia="Calibri" w:cs="Arial"/>
          <w:color w:val="1A1A1A" w:themeColor="background1" w:themeShade="1A"/>
          <w:sz w:val="22"/>
        </w:rPr>
        <w:t xml:space="preserve">Si bien, </w:t>
      </w:r>
      <w:r w:rsidR="006958B0">
        <w:rPr>
          <w:rFonts w:ascii="Arial" w:hAnsi="Arial" w:eastAsia="Calibri" w:cs="Arial"/>
          <w:color w:val="1A1A1A" w:themeColor="background1" w:themeShade="1A"/>
          <w:sz w:val="22"/>
        </w:rPr>
        <w:t>en principio</w:t>
      </w:r>
      <w:r w:rsidRPr="0091437B">
        <w:rPr>
          <w:rFonts w:ascii="Arial" w:hAnsi="Arial" w:eastAsia="Calibri" w:cs="Arial"/>
          <w:color w:val="1A1A1A" w:themeColor="background1" w:themeShade="1A"/>
          <w:sz w:val="22"/>
        </w:rPr>
        <w:t xml:space="preserve">, el Decreto 1082 de 2015 no aplica a las empresas </w:t>
      </w:r>
      <w:r>
        <w:rPr>
          <w:rFonts w:ascii="Arial" w:hAnsi="Arial" w:eastAsia="Calibri" w:cs="Arial"/>
          <w:color w:val="1A1A1A" w:themeColor="background1" w:themeShade="1A"/>
          <w:sz w:val="22"/>
        </w:rPr>
        <w:t>de servicios públicos domiciliarios</w:t>
      </w:r>
      <w:r w:rsidRPr="0091437B">
        <w:rPr>
          <w:rFonts w:ascii="Arial" w:hAnsi="Arial" w:eastAsia="Calibri" w:cs="Arial"/>
          <w:color w:val="1A1A1A" w:themeColor="background1" w:themeShade="1A"/>
          <w:sz w:val="22"/>
        </w:rPr>
        <w:t xml:space="preserve"> porque su régimen de contratación es el derecho privado, </w:t>
      </w:r>
      <w:r w:rsidR="00260A6F">
        <w:rPr>
          <w:rFonts w:ascii="Arial" w:hAnsi="Arial" w:eastAsia="Calibri" w:cs="Arial"/>
          <w:color w:val="1A1A1A" w:themeColor="background1" w:themeShade="1A"/>
          <w:sz w:val="22"/>
        </w:rPr>
        <w:t xml:space="preserve">es </w:t>
      </w:r>
      <w:r w:rsidRPr="0091437B">
        <w:rPr>
          <w:rFonts w:ascii="Arial" w:hAnsi="Arial" w:eastAsia="Calibri" w:cs="Arial"/>
          <w:color w:val="1A1A1A" w:themeColor="background1" w:themeShade="1A"/>
          <w:sz w:val="22"/>
        </w:rPr>
        <w:t>posible aplicarle esta norma en virtud de la analogía. Lo anterior, debido a que esta norma guarda similitud con el asunto tratado</w:t>
      </w:r>
      <w:r w:rsidR="00260A6F">
        <w:rPr>
          <w:rFonts w:ascii="Arial" w:hAnsi="Arial" w:eastAsia="Calibri" w:cs="Arial"/>
          <w:color w:val="1A1A1A" w:themeColor="background1" w:themeShade="1A"/>
          <w:sz w:val="22"/>
        </w:rPr>
        <w:t xml:space="preserve">, </w:t>
      </w:r>
      <w:r w:rsidRPr="0091437B">
        <w:rPr>
          <w:rFonts w:ascii="Arial" w:hAnsi="Arial" w:eastAsia="Calibri" w:cs="Arial"/>
          <w:color w:val="1A1A1A" w:themeColor="background1" w:themeShade="1A"/>
          <w:sz w:val="22"/>
        </w:rPr>
        <w:t xml:space="preserve">ya que regula la publicidad de los documentos </w:t>
      </w:r>
      <w:r w:rsidR="008076F8">
        <w:rPr>
          <w:rFonts w:ascii="Arial" w:hAnsi="Arial" w:eastAsia="Calibri" w:cs="Arial"/>
          <w:color w:val="1A1A1A" w:themeColor="background1" w:themeShade="1A"/>
          <w:sz w:val="22"/>
        </w:rPr>
        <w:t>en el</w:t>
      </w:r>
      <w:r w:rsidRPr="0091437B">
        <w:rPr>
          <w:rFonts w:ascii="Arial" w:hAnsi="Arial" w:eastAsia="Calibri" w:cs="Arial"/>
          <w:color w:val="1A1A1A" w:themeColor="background1" w:themeShade="1A"/>
          <w:sz w:val="22"/>
        </w:rPr>
        <w:t xml:space="preserve"> SECOP</w:t>
      </w:r>
      <w:r w:rsidR="00260A6F">
        <w:rPr>
          <w:rFonts w:ascii="Arial" w:hAnsi="Arial" w:eastAsia="Calibri" w:cs="Arial"/>
          <w:color w:val="1A1A1A" w:themeColor="background1" w:themeShade="1A"/>
          <w:sz w:val="22"/>
        </w:rPr>
        <w:t>,</w:t>
      </w:r>
      <w:r w:rsidRPr="0091437B">
        <w:rPr>
          <w:rFonts w:ascii="Arial" w:hAnsi="Arial" w:eastAsia="Calibri" w:cs="Arial"/>
          <w:color w:val="1A1A1A" w:themeColor="background1" w:themeShade="1A"/>
          <w:sz w:val="22"/>
        </w:rPr>
        <w:t xml:space="preserve"> por </w:t>
      </w:r>
      <w:r w:rsidR="00260A6F">
        <w:rPr>
          <w:rFonts w:ascii="Arial" w:hAnsi="Arial" w:eastAsia="Calibri" w:cs="Arial"/>
          <w:color w:val="1A1A1A" w:themeColor="background1" w:themeShade="1A"/>
          <w:sz w:val="22"/>
        </w:rPr>
        <w:t>lo que</w:t>
      </w:r>
      <w:r w:rsidRPr="0091437B">
        <w:rPr>
          <w:rFonts w:ascii="Arial" w:hAnsi="Arial" w:eastAsia="Calibri" w:cs="Arial"/>
          <w:color w:val="1A1A1A" w:themeColor="background1" w:themeShade="1A"/>
          <w:sz w:val="22"/>
        </w:rPr>
        <w:t xml:space="preserve"> es viable aplicarle </w:t>
      </w:r>
      <w:r w:rsidR="00260A6F">
        <w:rPr>
          <w:rFonts w:ascii="Arial" w:hAnsi="Arial" w:eastAsia="Calibri" w:cs="Arial"/>
          <w:color w:val="1A1A1A" w:themeColor="background1" w:themeShade="1A"/>
          <w:sz w:val="22"/>
        </w:rPr>
        <w:t xml:space="preserve">su </w:t>
      </w:r>
      <w:r w:rsidRPr="0091437B">
        <w:rPr>
          <w:rFonts w:ascii="Arial" w:hAnsi="Arial" w:eastAsia="Calibri" w:cs="Arial"/>
          <w:color w:val="1A1A1A" w:themeColor="background1" w:themeShade="1A"/>
          <w:sz w:val="22"/>
        </w:rPr>
        <w:t>consecuencia jurídica</w:t>
      </w:r>
      <w:r w:rsidR="008076F8">
        <w:rPr>
          <w:rFonts w:ascii="Arial" w:hAnsi="Arial" w:eastAsia="Calibri" w:cs="Arial"/>
          <w:color w:val="1A1A1A" w:themeColor="background1" w:themeShade="1A"/>
          <w:sz w:val="22"/>
        </w:rPr>
        <w:t xml:space="preserve"> también</w:t>
      </w:r>
      <w:r w:rsidRPr="0091437B">
        <w:rPr>
          <w:rFonts w:ascii="Arial" w:hAnsi="Arial" w:eastAsia="Calibri" w:cs="Arial"/>
          <w:color w:val="1A1A1A" w:themeColor="background1" w:themeShade="1A"/>
          <w:sz w:val="22"/>
        </w:rPr>
        <w:t xml:space="preserve"> a las entidades de régimen especial</w:t>
      </w:r>
      <w:r w:rsidR="008076F8">
        <w:rPr>
          <w:rFonts w:ascii="Arial" w:hAnsi="Arial" w:eastAsia="Calibri" w:cs="Arial"/>
          <w:color w:val="1A1A1A" w:themeColor="background1" w:themeShade="1A"/>
          <w:sz w:val="22"/>
        </w:rPr>
        <w:t>, con el fin de evitar diferencias radicales entre ambos supuestos.</w:t>
      </w:r>
    </w:p>
    <w:p w:rsidR="001C73AB" w:rsidP="001C73AB" w:rsidRDefault="00A551E2" w14:paraId="4A5D2F16" w14:textId="225CB918">
      <w:pPr>
        <w:spacing w:before="120" w:line="276" w:lineRule="auto"/>
        <w:ind w:firstLine="709"/>
        <w:jc w:val="both"/>
        <w:rPr>
          <w:rFonts w:ascii="Arial" w:hAnsi="Arial" w:eastAsia="Calibri" w:cs="Arial"/>
          <w:color w:val="1A1A1A" w:themeColor="background1" w:themeShade="1A"/>
          <w:sz w:val="22"/>
          <w:lang w:val="es-ES"/>
        </w:rPr>
      </w:pPr>
      <w:r w:rsidRPr="0091437B">
        <w:rPr>
          <w:rFonts w:ascii="Arial" w:hAnsi="Arial" w:eastAsia="Calibri" w:cs="Arial"/>
          <w:color w:val="1A1A1A" w:themeColor="background1" w:themeShade="1A"/>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w:t>
      </w:r>
      <w:r w:rsidR="00260A6F">
        <w:rPr>
          <w:rFonts w:ascii="Arial" w:hAnsi="Arial" w:eastAsia="Calibri" w:cs="Arial"/>
          <w:color w:val="1A1A1A" w:themeColor="background1" w:themeShade="1A"/>
          <w:sz w:val="22"/>
        </w:rPr>
        <w:t xml:space="preserve">Se trata de un </w:t>
      </w:r>
      <w:r w:rsidR="004C5741">
        <w:rPr>
          <w:rFonts w:ascii="Arial" w:hAnsi="Arial" w:eastAsia="Calibri" w:cs="Arial"/>
          <w:color w:val="1A1A1A" w:themeColor="background1" w:themeShade="1A"/>
          <w:sz w:val="22"/>
        </w:rPr>
        <w:t>a</w:t>
      </w:r>
      <w:r w:rsidR="00260A6F">
        <w:rPr>
          <w:rFonts w:ascii="Arial" w:hAnsi="Arial" w:eastAsia="Calibri" w:cs="Arial"/>
          <w:color w:val="1A1A1A" w:themeColor="background1" w:themeShade="1A"/>
          <w:sz w:val="22"/>
        </w:rPr>
        <w:t xml:space="preserve">specto que, con el fin de garantizar la transparencia y la publicidad en la contratación, debe tener </w:t>
      </w:r>
      <w:r w:rsidR="004C5741">
        <w:rPr>
          <w:rFonts w:ascii="Arial" w:hAnsi="Arial" w:eastAsia="Calibri" w:cs="Arial"/>
          <w:color w:val="1A1A1A" w:themeColor="background1" w:themeShade="1A"/>
          <w:sz w:val="22"/>
        </w:rPr>
        <w:t>una regulación ajena a la voluntad de las entidades.</w:t>
      </w:r>
    </w:p>
    <w:p w:rsidR="001C73AB" w:rsidP="001C73AB" w:rsidRDefault="00A551E2" w14:paraId="54C891D3" w14:textId="3724BC05">
      <w:pPr>
        <w:spacing w:before="120" w:line="276" w:lineRule="auto"/>
        <w:ind w:firstLine="709"/>
        <w:jc w:val="both"/>
        <w:rPr>
          <w:rFonts w:ascii="Arial" w:hAnsi="Arial" w:eastAsia="Calibri" w:cs="Arial"/>
          <w:color w:val="1A1A1A" w:themeColor="background1" w:themeShade="1A"/>
          <w:sz w:val="22"/>
        </w:rPr>
      </w:pPr>
      <w:r w:rsidRPr="0091437B">
        <w:rPr>
          <w:rFonts w:ascii="Arial" w:hAnsi="Arial" w:eastAsia="Calibri" w:cs="Arial"/>
          <w:color w:val="1A1A1A" w:themeColor="background1" w:themeShade="1A"/>
          <w:sz w:val="22"/>
        </w:rPr>
        <w:lastRenderedPageBreak/>
        <w:t>Conforme a lo anterior, las entidades de régimen especial deben publicar sus documentos del proceso de contratación dentro de los tres (3) días siguientes a su expedición</w:t>
      </w:r>
      <w:r w:rsidR="008076F8">
        <w:rPr>
          <w:rFonts w:ascii="Arial" w:hAnsi="Arial" w:eastAsia="Calibri" w:cs="Arial"/>
          <w:color w:val="1A1A1A" w:themeColor="background1" w:themeShade="1A"/>
          <w:sz w:val="22"/>
        </w:rPr>
        <w:t xml:space="preserve">, </w:t>
      </w:r>
      <w:r w:rsidRPr="0091437B">
        <w:rPr>
          <w:rFonts w:ascii="Arial" w:hAnsi="Arial" w:eastAsia="Calibri" w:cs="Arial"/>
          <w:color w:val="1A1A1A" w:themeColor="background1" w:themeShade="1A"/>
          <w:sz w:val="22"/>
        </w:rPr>
        <w:t>porque a pesar de que en principio el artículo 2.2.1.1.1.7.1 del Decreto 1082 de 2015 no les aplica, sí es posible y necesario en virtud de la analogía.</w:t>
      </w:r>
    </w:p>
    <w:p w:rsidRPr="0091437B" w:rsidR="00A551E2" w:rsidP="00A551E2" w:rsidRDefault="00A551E2" w14:paraId="6F5F2D01" w14:textId="77777777">
      <w:pPr>
        <w:pStyle w:val="Prrafodelista"/>
        <w:spacing w:line="276" w:lineRule="auto"/>
        <w:ind w:left="0"/>
        <w:jc w:val="both"/>
        <w:rPr>
          <w:rFonts w:ascii="Arial" w:hAnsi="Arial" w:eastAsia="Calibri" w:cs="Arial"/>
          <w:color w:val="1A1A1A" w:themeColor="background1" w:themeShade="1A"/>
          <w:sz w:val="22"/>
        </w:rPr>
      </w:pPr>
    </w:p>
    <w:p w:rsidRPr="0091437B" w:rsidR="00A551E2" w:rsidP="00A551E2" w:rsidRDefault="00A551E2" w14:paraId="314E6D0F" w14:textId="77777777">
      <w:pPr>
        <w:tabs>
          <w:tab w:val="left" w:pos="0"/>
        </w:tabs>
        <w:spacing w:line="276" w:lineRule="auto"/>
        <w:jc w:val="both"/>
        <w:rPr>
          <w:rFonts w:ascii="Arial" w:hAnsi="Arial" w:eastAsia="Calibri" w:cs="Arial"/>
          <w:b/>
          <w:color w:val="1A1A1A" w:themeColor="background1" w:themeShade="1A"/>
          <w:sz w:val="22"/>
          <w:lang w:val="es-ES"/>
        </w:rPr>
      </w:pPr>
      <w:r w:rsidRPr="0091437B">
        <w:rPr>
          <w:rFonts w:ascii="Arial" w:hAnsi="Arial" w:eastAsia="Calibri" w:cs="Arial"/>
          <w:b/>
          <w:color w:val="1A1A1A" w:themeColor="background1" w:themeShade="1A"/>
          <w:sz w:val="22"/>
          <w:lang w:val="es-ES"/>
        </w:rPr>
        <w:t>3. Respuesta</w:t>
      </w:r>
    </w:p>
    <w:p w:rsidRPr="00586347" w:rsidR="00586347" w:rsidP="00D307CD" w:rsidRDefault="00586347" w14:paraId="02AF6B6F" w14:textId="7CD46323">
      <w:pPr>
        <w:tabs>
          <w:tab w:val="left" w:pos="426"/>
        </w:tabs>
        <w:ind w:left="709" w:right="709"/>
        <w:jc w:val="both"/>
        <w:rPr>
          <w:rFonts w:ascii="Arial" w:hAnsi="Arial" w:eastAsia="Calibri" w:cs="Arial"/>
          <w:color w:val="1A1A1A" w:themeColor="background1" w:themeShade="1A"/>
          <w:sz w:val="21"/>
          <w:szCs w:val="21"/>
        </w:rPr>
      </w:pPr>
    </w:p>
    <w:p w:rsidRPr="00586347" w:rsidR="00586347" w:rsidP="00D307CD" w:rsidRDefault="00586347" w14:paraId="1DD03DA1" w14:textId="77777777">
      <w:pPr>
        <w:tabs>
          <w:tab w:val="left" w:pos="426"/>
        </w:tabs>
        <w:ind w:left="709" w:right="709"/>
        <w:jc w:val="both"/>
        <w:rPr>
          <w:rFonts w:ascii="Arial" w:hAnsi="Arial" w:eastAsia="Calibri" w:cs="Arial"/>
          <w:color w:val="1A1A1A" w:themeColor="background1" w:themeShade="1A"/>
          <w:sz w:val="21"/>
          <w:szCs w:val="21"/>
        </w:rPr>
      </w:pPr>
      <w:r w:rsidRPr="00586347">
        <w:rPr>
          <w:rFonts w:ascii="Arial" w:hAnsi="Arial" w:eastAsia="Calibri" w:cs="Arial"/>
          <w:color w:val="1A1A1A" w:themeColor="background1" w:themeShade="1A"/>
          <w:sz w:val="21"/>
          <w:szCs w:val="21"/>
        </w:rPr>
        <w:t xml:space="preserve">«Si una empresa de servicios publicas domiciliarios dentro de su manual de contratación tiene establecido que los procesos licitatorios se realizaran a través de la página web de la entidad, la misma no está obligada a adelantarlos a través  del secop? </w:t>
      </w:r>
    </w:p>
    <w:p w:rsidRPr="00586347" w:rsidR="00586347" w:rsidP="00D307CD" w:rsidRDefault="00586347" w14:paraId="58D914F1" w14:textId="77777777">
      <w:pPr>
        <w:tabs>
          <w:tab w:val="left" w:pos="426"/>
        </w:tabs>
        <w:ind w:left="709" w:right="709"/>
        <w:jc w:val="both"/>
        <w:rPr>
          <w:rFonts w:ascii="Arial" w:hAnsi="Arial" w:eastAsia="Calibri" w:cs="Arial"/>
          <w:color w:val="1A1A1A" w:themeColor="background1" w:themeShade="1A"/>
          <w:sz w:val="21"/>
          <w:szCs w:val="21"/>
        </w:rPr>
      </w:pPr>
    </w:p>
    <w:p w:rsidRPr="00586347" w:rsidR="00586347" w:rsidP="00D307CD" w:rsidRDefault="00586347" w14:paraId="1B053805" w14:textId="77777777">
      <w:pPr>
        <w:tabs>
          <w:tab w:val="left" w:pos="426"/>
        </w:tabs>
        <w:ind w:left="709" w:right="709"/>
        <w:jc w:val="both"/>
        <w:rPr>
          <w:rFonts w:ascii="Arial" w:hAnsi="Arial" w:eastAsia="Calibri" w:cs="Arial"/>
          <w:color w:val="1A1A1A" w:themeColor="background1" w:themeShade="1A"/>
          <w:sz w:val="21"/>
          <w:szCs w:val="21"/>
        </w:rPr>
      </w:pPr>
      <w:r w:rsidRPr="00586347">
        <w:rPr>
          <w:rFonts w:ascii="Arial" w:hAnsi="Arial" w:eastAsia="Calibri" w:cs="Arial"/>
          <w:color w:val="1A1A1A" w:themeColor="background1" w:themeShade="1A"/>
          <w:sz w:val="21"/>
          <w:szCs w:val="21"/>
        </w:rPr>
        <w:t>Por ejemplo, la empresa publica un proceso para la adquisición  de bienes en su página  web, después  una vez se ha adjudicado el proceso procede a publicar en la plataforma secop todos los archivos contractuales.</w:t>
      </w:r>
    </w:p>
    <w:p w:rsidRPr="00586347" w:rsidR="00DA69D6" w:rsidP="00D307CD" w:rsidRDefault="00DA69D6" w14:paraId="6707F1D7" w14:textId="77777777">
      <w:pPr>
        <w:tabs>
          <w:tab w:val="left" w:pos="426"/>
        </w:tabs>
        <w:ind w:left="709" w:right="709"/>
        <w:jc w:val="both"/>
        <w:rPr>
          <w:rFonts w:ascii="Arial" w:hAnsi="Arial" w:eastAsia="Calibri" w:cs="Arial"/>
          <w:color w:val="1A1A1A" w:themeColor="background1" w:themeShade="1A"/>
          <w:sz w:val="21"/>
          <w:szCs w:val="21"/>
        </w:rPr>
      </w:pPr>
    </w:p>
    <w:p w:rsidR="0048045C" w:rsidP="00D307CD" w:rsidRDefault="00586347" w14:paraId="5979B175" w14:textId="1C112A25">
      <w:pPr>
        <w:tabs>
          <w:tab w:val="left" w:pos="426"/>
        </w:tabs>
        <w:ind w:left="709" w:right="709"/>
        <w:jc w:val="both"/>
        <w:rPr>
          <w:rFonts w:ascii="Arial" w:hAnsi="Arial" w:eastAsia="Calibri" w:cs="Arial"/>
          <w:color w:val="1A1A1A" w:themeColor="background1" w:themeShade="1A"/>
          <w:sz w:val="21"/>
          <w:szCs w:val="21"/>
        </w:rPr>
      </w:pPr>
      <w:r w:rsidRPr="00586347">
        <w:rPr>
          <w:rFonts w:ascii="Arial" w:hAnsi="Arial" w:eastAsia="Calibri" w:cs="Arial"/>
          <w:color w:val="1A1A1A" w:themeColor="background1" w:themeShade="1A"/>
          <w:sz w:val="21"/>
          <w:szCs w:val="21"/>
        </w:rPr>
        <w:t>Es este hipotético caso viable, o la empresa esta  en la obligación  de adelantar el proceso a través  del Secop?» [sic].</w:t>
      </w:r>
    </w:p>
    <w:p w:rsidRPr="0091437B" w:rsidR="003D3FB0" w:rsidP="00AB032A" w:rsidRDefault="003D3FB0" w14:paraId="4249E21C" w14:textId="77777777">
      <w:pPr>
        <w:tabs>
          <w:tab w:val="left" w:pos="426"/>
        </w:tabs>
        <w:ind w:left="709" w:right="709"/>
        <w:jc w:val="both"/>
        <w:rPr>
          <w:rFonts w:ascii="Arial" w:hAnsi="Arial" w:eastAsia="Calibri" w:cs="Arial"/>
          <w:color w:val="1A1A1A" w:themeColor="background1" w:themeShade="1A"/>
          <w:sz w:val="21"/>
          <w:szCs w:val="21"/>
        </w:rPr>
      </w:pPr>
    </w:p>
    <w:p w:rsidR="00AB032A" w:rsidP="00D307CD" w:rsidRDefault="000F41A4" w14:paraId="53AFE1B1" w14:textId="452FA1F8">
      <w:pPr>
        <w:spacing w:after="120" w:line="276" w:lineRule="auto"/>
        <w:jc w:val="both"/>
        <w:rPr>
          <w:rFonts w:ascii="Arial" w:hAnsi="Arial" w:cs="Arial"/>
          <w:color w:val="1A1A1A" w:themeColor="background1" w:themeShade="1A"/>
          <w:sz w:val="22"/>
        </w:rPr>
      </w:pPr>
      <w:r w:rsidRPr="000F41A4">
        <w:rPr>
          <w:rFonts w:ascii="Arial" w:hAnsi="Arial" w:cs="Arial"/>
          <w:color w:val="1A1A1A" w:themeColor="background1" w:themeShade="1A"/>
          <w:sz w:val="22"/>
        </w:rPr>
        <w:t>Por regla general, sin perjuicio de lo dispuesto en el artículo 13 de la Ley 1150 de 2007, el régimen jurídico aplicable a los contratos que celebren las empresas de servicios públicos domiciliarios es el del derecho privado, no el del Estatuto General de Contratación de la Administración Pública. Sin embargo, la obligatoriedad de publicar las actuaciones contractuales de las entidades</w:t>
      </w:r>
      <w:r w:rsidR="00586347">
        <w:rPr>
          <w:rFonts w:ascii="Arial" w:hAnsi="Arial" w:cs="Arial"/>
          <w:color w:val="1A1A1A" w:themeColor="background1" w:themeShade="1A"/>
          <w:sz w:val="22"/>
        </w:rPr>
        <w:t xml:space="preserve"> estatales, de conformidad con los artículos 3 de la Ley 1150 de 2007, 9 literal e) y 11 literal g) de la Ley 1712 de 2014,</w:t>
      </w:r>
      <w:r w:rsidRPr="000F41A4">
        <w:rPr>
          <w:rFonts w:ascii="Arial" w:hAnsi="Arial" w:cs="Arial"/>
          <w:color w:val="1A1A1A" w:themeColor="background1" w:themeShade="1A"/>
          <w:sz w:val="22"/>
        </w:rPr>
        <w:t xml:space="preserve"> no depende de su régimen de contratación, sino de la ejecución de recursos públicos, pues así lo determinó, provisionalmente, la Subsección C de la Sección Tercera del Consejo de Estado, en el auto del 14 de agosto de 2017. Este deber no atiende a las condiciones de las entidades excluidas del régimen de contratación estatal, sino al hecho de que la contratación implique la ejecución de recursos públicos.</w:t>
      </w:r>
    </w:p>
    <w:p w:rsidRPr="000F41A4" w:rsidR="000F41A4" w:rsidP="008076F8" w:rsidRDefault="00586347" w14:paraId="419434DD" w14:textId="50A9BB1A">
      <w:pPr>
        <w:spacing w:after="120" w:line="276" w:lineRule="auto"/>
        <w:ind w:firstLine="709"/>
        <w:jc w:val="both"/>
        <w:rPr>
          <w:rFonts w:ascii="Arial" w:hAnsi="Arial" w:cs="Arial"/>
          <w:color w:val="1A1A1A" w:themeColor="background1" w:themeShade="1A"/>
          <w:sz w:val="22"/>
        </w:rPr>
      </w:pPr>
      <w:r>
        <w:rPr>
          <w:rFonts w:ascii="Arial" w:hAnsi="Arial" w:cs="Arial"/>
          <w:color w:val="1A1A1A" w:themeColor="background1" w:themeShade="1A"/>
          <w:sz w:val="22"/>
        </w:rPr>
        <w:t>E</w:t>
      </w:r>
      <w:r w:rsidRPr="000F41A4" w:rsidR="000F41A4">
        <w:rPr>
          <w:rFonts w:ascii="Arial" w:hAnsi="Arial" w:cs="Arial"/>
          <w:color w:val="1A1A1A" w:themeColor="background1" w:themeShade="1A"/>
          <w:sz w:val="22"/>
        </w:rPr>
        <w:t>l Decreto 10</w:t>
      </w:r>
      <w:r>
        <w:rPr>
          <w:rFonts w:ascii="Arial" w:hAnsi="Arial" w:cs="Arial"/>
          <w:color w:val="1A1A1A" w:themeColor="background1" w:themeShade="1A"/>
          <w:sz w:val="22"/>
        </w:rPr>
        <w:t>81</w:t>
      </w:r>
      <w:r w:rsidRPr="000F41A4" w:rsidR="000F41A4">
        <w:rPr>
          <w:rFonts w:ascii="Arial" w:hAnsi="Arial" w:cs="Arial"/>
          <w:color w:val="1A1A1A" w:themeColor="background1" w:themeShade="1A"/>
          <w:sz w:val="22"/>
        </w:rPr>
        <w:t xml:space="preserve"> de 2015 señala que los documentos que deberán publicar las entidades estatales, entre estas las empresas </w:t>
      </w:r>
      <w:r w:rsidR="004A18AD">
        <w:rPr>
          <w:rFonts w:ascii="Arial" w:hAnsi="Arial" w:cs="Arial"/>
          <w:color w:val="1A1A1A" w:themeColor="background1" w:themeShade="1A"/>
          <w:sz w:val="22"/>
        </w:rPr>
        <w:t>de servicios públicos domiciliarios</w:t>
      </w:r>
      <w:r w:rsidRPr="000F41A4" w:rsidR="000F41A4">
        <w:rPr>
          <w:rFonts w:ascii="Arial" w:hAnsi="Arial" w:cs="Arial"/>
          <w:color w:val="1A1A1A" w:themeColor="background1" w:themeShade="1A"/>
          <w:sz w:val="22"/>
        </w:rPr>
        <w:t>, son: i) las autorizaciones, requerimientos, aprobaciones o informes del supervisor o del interventor, que prueben la ejecución del contrato</w:t>
      </w:r>
      <w:r w:rsidR="003D3FB0">
        <w:rPr>
          <w:rFonts w:ascii="Arial" w:hAnsi="Arial" w:cs="Arial"/>
          <w:color w:val="1A1A1A" w:themeColor="background1" w:themeShade="1A"/>
          <w:sz w:val="22"/>
        </w:rPr>
        <w:t>,</w:t>
      </w:r>
      <w:r w:rsidRPr="000F41A4" w:rsidR="000F41A4">
        <w:rPr>
          <w:rFonts w:ascii="Arial" w:hAnsi="Arial" w:cs="Arial"/>
          <w:color w:val="1A1A1A" w:themeColor="background1" w:themeShade="1A"/>
          <w:sz w:val="22"/>
        </w:rPr>
        <w:t xml:space="preserve"> ii) en relación con los procedimientos, lineamientos y políticas en materia de adquisición se deberán publicar los documentos previstos en el manual de contratación de la entidad y, finalmente, iii) el plan anual de adquisiciones.</w:t>
      </w:r>
    </w:p>
    <w:p w:rsidR="000F41A4" w:rsidP="008076F8" w:rsidRDefault="000F41A4" w14:paraId="716D8656" w14:textId="4ACA2E4F">
      <w:pPr>
        <w:spacing w:after="120" w:line="276" w:lineRule="auto"/>
        <w:ind w:firstLine="709"/>
        <w:jc w:val="both"/>
        <w:rPr>
          <w:rFonts w:ascii="Arial" w:hAnsi="Arial" w:cs="Arial"/>
          <w:color w:val="1A1A1A" w:themeColor="background1" w:themeShade="1A"/>
          <w:sz w:val="22"/>
        </w:rPr>
      </w:pPr>
      <w:r w:rsidRPr="000F41A4">
        <w:rPr>
          <w:rFonts w:ascii="Arial" w:hAnsi="Arial" w:cs="Arial"/>
          <w:color w:val="1A1A1A" w:themeColor="background1" w:themeShade="1A"/>
          <w:sz w:val="22"/>
        </w:rPr>
        <w:t xml:space="preserve">Frente al segundo grupo de documentos, debido a que estas </w:t>
      </w:r>
      <w:r w:rsidR="00441FC6">
        <w:rPr>
          <w:rFonts w:ascii="Arial" w:hAnsi="Arial" w:cs="Arial"/>
          <w:color w:val="1A1A1A" w:themeColor="background1" w:themeShade="1A"/>
          <w:sz w:val="22"/>
        </w:rPr>
        <w:t>empresas no están regidas por el Estatuto General de Contratación de la Administración Pública</w:t>
      </w:r>
      <w:r w:rsidR="004E2DF1">
        <w:rPr>
          <w:rFonts w:ascii="Arial" w:hAnsi="Arial" w:cs="Arial"/>
          <w:color w:val="1A1A1A" w:themeColor="background1" w:themeShade="1A"/>
          <w:sz w:val="22"/>
        </w:rPr>
        <w:t>,</w:t>
      </w:r>
      <w:r w:rsidRPr="000F41A4">
        <w:rPr>
          <w:rFonts w:ascii="Arial" w:hAnsi="Arial" w:cs="Arial"/>
          <w:color w:val="1A1A1A" w:themeColor="background1" w:themeShade="1A"/>
          <w:sz w:val="22"/>
        </w:rPr>
        <w:t xml:space="preserve"> cada una definirá en su manual de contratación el procedimiento para la contratación de sus bienes y servicios.</w:t>
      </w:r>
      <w:r w:rsidR="004E2DF1">
        <w:rPr>
          <w:rFonts w:ascii="Arial" w:hAnsi="Arial" w:cs="Arial"/>
          <w:color w:val="1A1A1A" w:themeColor="background1" w:themeShade="1A"/>
          <w:sz w:val="22"/>
        </w:rPr>
        <w:t xml:space="preserve"> </w:t>
      </w:r>
      <w:r w:rsidR="00E3408B">
        <w:rPr>
          <w:rFonts w:ascii="Arial" w:hAnsi="Arial" w:cs="Arial"/>
          <w:color w:val="1A1A1A" w:themeColor="background1" w:themeShade="1A"/>
          <w:sz w:val="22"/>
        </w:rPr>
        <w:t>Al expedir los respectivos manuales de contratación las entidades de régimen especial pueden disponer la publicidad de la contratación en su página web</w:t>
      </w:r>
      <w:r w:rsidR="004E2DF1">
        <w:rPr>
          <w:rFonts w:ascii="Arial" w:hAnsi="Arial" w:cs="Arial"/>
          <w:color w:val="1A1A1A" w:themeColor="background1" w:themeShade="1A"/>
          <w:sz w:val="22"/>
        </w:rPr>
        <w:t>,</w:t>
      </w:r>
      <w:r w:rsidR="00E3408B">
        <w:rPr>
          <w:rFonts w:ascii="Arial" w:hAnsi="Arial" w:cs="Arial"/>
          <w:color w:val="1A1A1A" w:themeColor="background1" w:themeShade="1A"/>
          <w:sz w:val="22"/>
        </w:rPr>
        <w:t xml:space="preserve"> en la que </w:t>
      </w:r>
      <w:r w:rsidR="00E3408B">
        <w:rPr>
          <w:rFonts w:ascii="Arial" w:hAnsi="Arial" w:cs="Arial"/>
          <w:color w:val="1A1A1A" w:themeColor="background1" w:themeShade="1A"/>
          <w:sz w:val="22"/>
        </w:rPr>
        <w:lastRenderedPageBreak/>
        <w:t xml:space="preserve">además deberán publicar la información mínima a la que se refiere el artículo </w:t>
      </w:r>
      <w:r w:rsidRPr="00241E12" w:rsidR="00E3408B">
        <w:rPr>
          <w:rFonts w:ascii="Arial" w:hAnsi="Arial" w:cs="Arial"/>
          <w:sz w:val="22"/>
        </w:rPr>
        <w:t>2.1.1.2.1.4</w:t>
      </w:r>
      <w:r w:rsidR="00E3408B">
        <w:rPr>
          <w:rFonts w:ascii="Arial" w:hAnsi="Arial" w:cs="Arial"/>
          <w:sz w:val="22"/>
        </w:rPr>
        <w:t xml:space="preserve"> del Decreto 1081 de 2015. Sin embargo, con tales publicaciones no se puede dar por agotado el deber de publicidad de la gestión contractual, comoquiera que los documentos arriba referidos deben ser publicados en el SECOP. </w:t>
      </w:r>
    </w:p>
    <w:p w:rsidR="00AB032A" w:rsidP="00D307CD" w:rsidRDefault="004A18AD" w14:paraId="64E7ECF1" w14:textId="54E10DC2">
      <w:pPr>
        <w:spacing w:line="276" w:lineRule="auto"/>
        <w:ind w:firstLine="709"/>
        <w:jc w:val="both"/>
        <w:rPr>
          <w:rFonts w:ascii="Arial" w:hAnsi="Arial" w:eastAsia="Calibri" w:cs="Arial"/>
          <w:color w:val="1A1A1A" w:themeColor="background1" w:themeShade="1A"/>
          <w:sz w:val="22"/>
        </w:rPr>
      </w:pPr>
      <w:r>
        <w:rPr>
          <w:rFonts w:ascii="Arial" w:hAnsi="Arial" w:cs="Arial"/>
          <w:color w:val="1A1A1A" w:themeColor="background1" w:themeShade="1A"/>
          <w:sz w:val="22"/>
        </w:rPr>
        <w:t xml:space="preserve">Por último, la </w:t>
      </w:r>
      <w:r w:rsidR="00DE442A">
        <w:rPr>
          <w:rFonts w:ascii="Arial" w:hAnsi="Arial" w:cs="Arial"/>
          <w:color w:val="1A1A1A" w:themeColor="background1" w:themeShade="1A"/>
          <w:sz w:val="22"/>
        </w:rPr>
        <w:t>obligación de publicar la actividad contractual no surge una vez se ha adjudicado el contrato, sino que debe cumplirse dentro</w:t>
      </w:r>
      <w:r>
        <w:rPr>
          <w:rFonts w:ascii="Arial" w:hAnsi="Arial" w:cs="Arial"/>
          <w:color w:val="1A1A1A" w:themeColor="background1" w:themeShade="1A"/>
          <w:sz w:val="22"/>
        </w:rPr>
        <w:t xml:space="preserve"> de los tres (3) días siguientes a la expedición de cada documento, de conformidad con el </w:t>
      </w:r>
      <w:r w:rsidRPr="0091437B">
        <w:rPr>
          <w:rFonts w:ascii="Arial" w:hAnsi="Arial" w:eastAsia="Calibri" w:cs="Arial"/>
          <w:color w:val="1A1A1A" w:themeColor="background1" w:themeShade="1A"/>
          <w:sz w:val="22"/>
        </w:rPr>
        <w:t>artículo 2.2.1.1.1.7.1 del Decreto 1082 de 2015</w:t>
      </w:r>
      <w:r>
        <w:rPr>
          <w:rFonts w:ascii="Arial" w:hAnsi="Arial" w:eastAsia="Calibri" w:cs="Arial"/>
          <w:color w:val="1A1A1A" w:themeColor="background1" w:themeShade="1A"/>
          <w:sz w:val="22"/>
        </w:rPr>
        <w:t>.</w:t>
      </w:r>
    </w:p>
    <w:p w:rsidRPr="00AB032A" w:rsidR="00374AD0" w:rsidP="00D307CD" w:rsidRDefault="00374AD0" w14:paraId="38C69D47" w14:textId="77777777">
      <w:pPr>
        <w:spacing w:line="276" w:lineRule="auto"/>
        <w:ind w:firstLine="709"/>
        <w:jc w:val="both"/>
        <w:rPr>
          <w:rFonts w:ascii="Arial" w:hAnsi="Arial" w:eastAsia="Calibri" w:cs="Arial"/>
          <w:color w:val="1A1A1A" w:themeColor="background1" w:themeShade="1A"/>
          <w:sz w:val="22"/>
        </w:rPr>
      </w:pPr>
    </w:p>
    <w:p w:rsidRPr="0091437B" w:rsidR="00A551E2" w:rsidP="00A551E2" w:rsidRDefault="00A551E2" w14:paraId="341E8B4B" w14:textId="77777777">
      <w:pPr>
        <w:spacing w:line="276" w:lineRule="auto"/>
        <w:jc w:val="both"/>
        <w:rPr>
          <w:rFonts w:ascii="Arial" w:hAnsi="Arial" w:cs="Arial"/>
          <w:color w:val="1A1A1A" w:themeColor="background1" w:themeShade="1A"/>
          <w:sz w:val="22"/>
        </w:rPr>
      </w:pPr>
      <w:r w:rsidRPr="0091437B">
        <w:rPr>
          <w:rFonts w:ascii="Arial" w:hAnsi="Arial" w:cs="Arial"/>
          <w:color w:val="1A1A1A" w:themeColor="background1" w:themeShade="1A"/>
          <w:sz w:val="22"/>
        </w:rPr>
        <w:t>Este concepto tiene el alcance previsto en el artículo 28 del Código de Procedimiento Administrativo y de lo Contencioso Administrativo, modificado por el artículo 1 de la Ley 1755 de 2015.</w:t>
      </w:r>
    </w:p>
    <w:p w:rsidRPr="0091437B" w:rsidR="00A551E2" w:rsidP="00A551E2" w:rsidRDefault="00A551E2" w14:paraId="12D29E8E" w14:textId="77777777">
      <w:pPr>
        <w:pStyle w:val="NormalWeb"/>
        <w:spacing w:before="0" w:beforeAutospacing="0" w:after="0" w:afterAutospacing="0" w:line="276" w:lineRule="auto"/>
        <w:jc w:val="both"/>
        <w:rPr>
          <w:rFonts w:ascii="Arial" w:hAnsi="Arial" w:cs="Arial"/>
          <w:color w:val="1A1A1A" w:themeColor="background1" w:themeShade="1A"/>
          <w:sz w:val="16"/>
          <w:szCs w:val="16"/>
          <w:lang w:val="es-MX"/>
        </w:rPr>
      </w:pPr>
    </w:p>
    <w:p w:rsidRPr="0091437B" w:rsidR="00A551E2" w:rsidP="00A551E2" w:rsidRDefault="00A551E2" w14:paraId="35196D0D" w14:textId="77777777">
      <w:pPr>
        <w:pStyle w:val="NormalWeb"/>
        <w:spacing w:before="0" w:beforeAutospacing="0" w:after="0" w:afterAutospacing="0" w:line="276" w:lineRule="auto"/>
        <w:jc w:val="both"/>
        <w:rPr>
          <w:rFonts w:ascii="Arial" w:hAnsi="Arial" w:cs="Arial"/>
          <w:color w:val="1A1A1A" w:themeColor="background1" w:themeShade="1A"/>
          <w:sz w:val="16"/>
          <w:szCs w:val="16"/>
          <w:lang w:val="es-MX"/>
        </w:rPr>
      </w:pPr>
    </w:p>
    <w:p w:rsidRPr="0091437B" w:rsidR="00A551E2" w:rsidP="00A551E2" w:rsidRDefault="00A551E2" w14:paraId="2B795FCB" w14:textId="77777777">
      <w:pPr>
        <w:pStyle w:val="NormalWeb"/>
        <w:spacing w:before="0" w:beforeAutospacing="0" w:after="0" w:afterAutospacing="0" w:line="276" w:lineRule="auto"/>
        <w:jc w:val="both"/>
        <w:rPr>
          <w:rFonts w:ascii="Arial" w:hAnsi="Arial" w:cs="Arial"/>
          <w:color w:val="1A1A1A" w:themeColor="background1" w:themeShade="1A"/>
          <w:sz w:val="22"/>
          <w:szCs w:val="22"/>
          <w:lang w:val="es-MX"/>
        </w:rPr>
      </w:pPr>
      <w:r w:rsidRPr="0091437B">
        <w:rPr>
          <w:rFonts w:ascii="Arial" w:hAnsi="Arial" w:cs="Arial"/>
          <w:color w:val="1A1A1A" w:themeColor="background1" w:themeShade="1A"/>
          <w:sz w:val="22"/>
          <w:szCs w:val="22"/>
          <w:lang w:val="es-MX"/>
        </w:rPr>
        <w:t>Atentamente,</w:t>
      </w:r>
    </w:p>
    <w:p w:rsidR="00A551E2" w:rsidP="00A551E2" w:rsidRDefault="00A551E2" w14:paraId="6A5CC0F1" w14:textId="11155FD0">
      <w:pPr>
        <w:jc w:val="center"/>
        <w:rPr>
          <w:rFonts w:ascii="Arial" w:hAnsi="Arial" w:eastAsia="Times New Roman" w:cs="Arial"/>
          <w:color w:val="1A1A1A" w:themeColor="background1" w:themeShade="1A"/>
          <w:sz w:val="18"/>
          <w:szCs w:val="20"/>
          <w:lang w:eastAsia="es-CO"/>
        </w:rPr>
      </w:pPr>
    </w:p>
    <w:p w:rsidRPr="0091437B" w:rsidR="00920969" w:rsidP="00A551E2" w:rsidRDefault="00920969" w14:paraId="7C0960FC" w14:textId="77777777">
      <w:pPr>
        <w:jc w:val="center"/>
        <w:rPr>
          <w:rFonts w:ascii="Arial" w:hAnsi="Arial" w:eastAsia="Times New Roman" w:cs="Arial"/>
          <w:color w:val="1A1A1A" w:themeColor="background1" w:themeShade="1A"/>
          <w:sz w:val="18"/>
          <w:szCs w:val="20"/>
          <w:lang w:eastAsia="es-CO"/>
        </w:rPr>
      </w:pPr>
    </w:p>
    <w:bookmarkEnd w:id="3"/>
    <w:p w:rsidRPr="00BD1184" w:rsidR="00BD1184" w:rsidP="00920969" w:rsidRDefault="00BD1184" w14:paraId="58D68220" w14:textId="6E7E2F02">
      <w:pPr>
        <w:jc w:val="center"/>
        <w:rPr>
          <w:rFonts w:ascii="Times New Roman" w:hAnsi="Times New Roman" w:eastAsia="Times New Roman" w:cs="Times New Roman"/>
          <w:szCs w:val="24"/>
          <w:lang w:val="es-CO" w:eastAsia="es-MX"/>
        </w:rPr>
      </w:pPr>
      <w:r w:rsidRPr="217FF318">
        <w:rPr>
          <w:rFonts w:ascii="Times New Roman" w:hAnsi="Times New Roman" w:eastAsia="Times New Roman" w:cs="Times New Roman"/>
          <w:lang w:val="es-CO" w:eastAsia="es-MX"/>
        </w:rPr>
        <w:fldChar w:fldCharType="begin"/>
      </w:r>
      <w:r w:rsidRPr="217FF318">
        <w:rPr>
          <w:rFonts w:ascii="Times New Roman" w:hAnsi="Times New Roman" w:eastAsia="Times New Roman" w:cs="Times New Roman"/>
          <w:lang w:val="es-CO" w:eastAsia="es-MX"/>
        </w:rPr>
        <w:instrText xml:space="preserve"> INCLUDEPICTURE "/var/folders/y0/0_l25nrd4cb0gwgl9frxjxfw0000gn/T/com.microsoft.Word/WebArchiveCopyPasteTempFiles/cD1n9TZdBOgAAAABJRU5ErkJggg==" \* MERGEFORMATINET </w:instrText>
      </w:r>
      <w:r w:rsidRPr="217FF318">
        <w:rPr>
          <w:rFonts w:ascii="Times New Roman" w:hAnsi="Times New Roman" w:eastAsia="Times New Roman" w:cs="Times New Roman"/>
          <w:lang w:val="es-CO" w:eastAsia="es-MX"/>
        </w:rPr>
        <w:fldChar w:fldCharType="separate"/>
      </w:r>
      <w:r w:rsidR="00BD1184">
        <w:drawing>
          <wp:inline wp14:editId="3748544E" wp14:anchorId="689FE30E">
            <wp:extent cx="2553729" cy="1129348"/>
            <wp:effectExtent l="0" t="0" r="0" b="1270"/>
            <wp:docPr id="1" name="Imagen 1" title=""/>
            <wp:cNvGraphicFramePr>
              <a:graphicFrameLocks noChangeAspect="1"/>
            </wp:cNvGraphicFramePr>
            <a:graphic>
              <a:graphicData uri="http://schemas.openxmlformats.org/drawingml/2006/picture">
                <pic:pic>
                  <pic:nvPicPr>
                    <pic:cNvPr id="0" name="Imagen 1"/>
                    <pic:cNvPicPr/>
                  </pic:nvPicPr>
                  <pic:blipFill>
                    <a:blip r:embed="R2f2b568a5076491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53729" cy="1129348"/>
                    </a:xfrm>
                    <a:prstGeom prst="rect">
                      <a:avLst/>
                    </a:prstGeom>
                  </pic:spPr>
                </pic:pic>
              </a:graphicData>
            </a:graphic>
          </wp:inline>
        </w:drawing>
      </w:r>
      <w:r w:rsidRPr="217FF318">
        <w:rPr>
          <w:rFonts w:ascii="Times New Roman" w:hAnsi="Times New Roman" w:eastAsia="Times New Roman" w:cs="Times New Roman"/>
          <w:lang w:val="es-CO" w:eastAsia="es-MX"/>
        </w:rPr>
        <w:fldChar w:fldCharType="end"/>
      </w:r>
    </w:p>
    <w:p w:rsidRPr="00606E0A" w:rsidR="00F6350E" w:rsidP="00920969" w:rsidRDefault="00F6350E" w14:paraId="43D776BA" w14:textId="77777777">
      <w:pPr>
        <w:rPr>
          <w:rFonts w:ascii="Arial" w:hAnsi="Arial" w:cs="Arial"/>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606E0A" w:rsidR="00F6350E" w:rsidTr="00DA69D6" w14:paraId="2D35C740" w14:textId="77777777">
        <w:trPr>
          <w:trHeight w:val="315"/>
        </w:trPr>
        <w:tc>
          <w:tcPr>
            <w:tcW w:w="1044" w:type="dxa"/>
            <w:vAlign w:val="center"/>
          </w:tcPr>
          <w:p w:rsidRPr="00606E0A" w:rsidR="00F6350E" w:rsidP="00DA69D6" w:rsidRDefault="00F6350E" w14:paraId="3BF29CCE" w14:textId="77777777">
            <w:pPr>
              <w:jc w:val="both"/>
              <w:rPr>
                <w:rFonts w:ascii="Arial" w:hAnsi="Arial" w:cs="Arial"/>
                <w:sz w:val="16"/>
                <w:szCs w:val="16"/>
                <w:lang w:val="es-ES_tradnl" w:eastAsia="es-ES"/>
              </w:rPr>
            </w:pPr>
            <w:r w:rsidRPr="00606E0A">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tcPr>
          <w:p w:rsidRPr="00606E0A" w:rsidR="00F6350E" w:rsidP="00DA69D6" w:rsidRDefault="00AC781B" w14:paraId="65765F81" w14:textId="2E260EA8">
            <w:pPr>
              <w:jc w:val="both"/>
              <w:rPr>
                <w:rFonts w:ascii="Arial" w:hAnsi="Arial" w:cs="Arial"/>
                <w:sz w:val="16"/>
                <w:szCs w:val="16"/>
                <w:lang w:val="es-ES_tradnl" w:eastAsia="es-ES"/>
              </w:rPr>
            </w:pPr>
            <w:r>
              <w:rPr>
                <w:rFonts w:ascii="Arial" w:hAnsi="Arial" w:cs="Arial"/>
                <w:sz w:val="16"/>
                <w:szCs w:val="16"/>
                <w:lang w:val="es-ES_tradnl" w:eastAsia="es-ES"/>
              </w:rPr>
              <w:t>Kevin Arlid Herrera Santa</w:t>
            </w:r>
          </w:p>
          <w:p w:rsidRPr="00606E0A" w:rsidR="00F6350E" w:rsidP="00DA69D6" w:rsidRDefault="00AC781B" w14:paraId="093ABB72" w14:textId="4D266DD0">
            <w:pPr>
              <w:jc w:val="both"/>
              <w:rPr>
                <w:rFonts w:ascii="Arial" w:hAnsi="Arial" w:cs="Arial"/>
                <w:sz w:val="16"/>
                <w:szCs w:val="16"/>
                <w:lang w:val="es-ES_tradnl" w:eastAsia="es-ES"/>
              </w:rPr>
            </w:pPr>
            <w:r>
              <w:rPr>
                <w:rFonts w:ascii="Arial" w:hAnsi="Arial" w:cs="Arial"/>
                <w:sz w:val="16"/>
                <w:szCs w:val="16"/>
                <w:lang w:val="es-ES_tradnl" w:eastAsia="es-ES"/>
              </w:rPr>
              <w:t>Analista T2-04</w:t>
            </w:r>
            <w:r w:rsidRPr="00606E0A" w:rsidR="00F6350E">
              <w:rPr>
                <w:rFonts w:ascii="Arial" w:hAnsi="Arial" w:cs="Arial"/>
                <w:sz w:val="16"/>
                <w:szCs w:val="16"/>
                <w:lang w:val="es-ES_tradnl" w:eastAsia="es-ES"/>
              </w:rPr>
              <w:t xml:space="preserve"> de la Subdirección de Gestión Contractual</w:t>
            </w:r>
          </w:p>
        </w:tc>
      </w:tr>
      <w:tr w:rsidRPr="00606E0A" w:rsidR="00F6350E" w:rsidTr="00DA69D6" w14:paraId="4378B97C" w14:textId="77777777">
        <w:trPr>
          <w:trHeight w:val="330"/>
        </w:trPr>
        <w:tc>
          <w:tcPr>
            <w:tcW w:w="1044" w:type="dxa"/>
            <w:vAlign w:val="center"/>
            <w:hideMark/>
          </w:tcPr>
          <w:p w:rsidRPr="00606E0A" w:rsidR="00F6350E" w:rsidP="00DA69D6" w:rsidRDefault="00F6350E" w14:paraId="0329BCFE" w14:textId="77777777">
            <w:pPr>
              <w:jc w:val="both"/>
              <w:rPr>
                <w:rFonts w:ascii="Arial" w:hAnsi="Arial" w:cs="Arial"/>
                <w:sz w:val="16"/>
                <w:szCs w:val="16"/>
                <w:lang w:val="es-ES_tradnl" w:eastAsia="es-ES"/>
              </w:rPr>
            </w:pPr>
            <w:r w:rsidRPr="00606E0A">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06E0A" w:rsidR="00AC781B" w:rsidP="00AC781B" w:rsidRDefault="00AC781B" w14:paraId="3BC10449" w14:textId="77777777">
            <w:pPr>
              <w:jc w:val="both"/>
              <w:rPr>
                <w:rFonts w:ascii="Arial" w:hAnsi="Arial" w:cs="Arial"/>
                <w:sz w:val="16"/>
                <w:szCs w:val="16"/>
                <w:lang w:val="es-ES_tradnl" w:eastAsia="es-ES"/>
              </w:rPr>
            </w:pPr>
            <w:r w:rsidRPr="00606E0A">
              <w:rPr>
                <w:rFonts w:ascii="Arial" w:hAnsi="Arial" w:cs="Arial"/>
                <w:sz w:val="16"/>
                <w:szCs w:val="16"/>
                <w:lang w:val="es-ES_tradnl" w:eastAsia="es-ES"/>
              </w:rPr>
              <w:t>Alejandro Sarmiento Cantillo</w:t>
            </w:r>
          </w:p>
          <w:p w:rsidRPr="00606E0A" w:rsidR="00F6350E" w:rsidP="00AC781B" w:rsidRDefault="00AC781B" w14:paraId="14EC2CA0" w14:textId="76CE410E">
            <w:pPr>
              <w:jc w:val="both"/>
              <w:rPr>
                <w:rFonts w:ascii="Arial" w:hAnsi="Arial" w:cs="Arial"/>
                <w:sz w:val="16"/>
                <w:szCs w:val="16"/>
                <w:lang w:val="es-ES_tradnl" w:eastAsia="es-ES"/>
              </w:rPr>
            </w:pPr>
            <w:r w:rsidRPr="00606E0A">
              <w:rPr>
                <w:rFonts w:ascii="Arial" w:hAnsi="Arial" w:cs="Arial"/>
                <w:sz w:val="16"/>
                <w:szCs w:val="16"/>
                <w:lang w:val="es-ES_tradnl" w:eastAsia="es-ES"/>
              </w:rPr>
              <w:t>Gestor T1-11 de la Subdirección de Gestión Contractual</w:t>
            </w:r>
          </w:p>
        </w:tc>
      </w:tr>
      <w:tr w:rsidRPr="00606E0A" w:rsidR="00F6350E" w:rsidTr="00DA69D6" w14:paraId="2F8615A7" w14:textId="77777777">
        <w:trPr>
          <w:trHeight w:val="300"/>
        </w:trPr>
        <w:tc>
          <w:tcPr>
            <w:tcW w:w="1044" w:type="dxa"/>
            <w:vAlign w:val="center"/>
            <w:hideMark/>
          </w:tcPr>
          <w:p w:rsidRPr="00606E0A" w:rsidR="00F6350E" w:rsidP="00DA69D6" w:rsidRDefault="00F6350E" w14:paraId="0970AF34" w14:textId="77777777">
            <w:pPr>
              <w:jc w:val="both"/>
              <w:rPr>
                <w:rFonts w:ascii="Arial" w:hAnsi="Arial" w:cs="Arial"/>
                <w:sz w:val="16"/>
                <w:szCs w:val="16"/>
                <w:lang w:val="es-ES_tradnl" w:eastAsia="es-ES"/>
              </w:rPr>
            </w:pPr>
            <w:r w:rsidRPr="00606E0A">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06E0A" w:rsidR="00F6350E" w:rsidP="00DA69D6" w:rsidRDefault="00F6350E" w14:paraId="42FE199C" w14:textId="77777777">
            <w:pPr>
              <w:jc w:val="both"/>
              <w:rPr>
                <w:rFonts w:ascii="Arial" w:hAnsi="Arial" w:cs="Arial"/>
                <w:sz w:val="16"/>
                <w:szCs w:val="16"/>
                <w:lang w:val="es-ES_tradnl" w:eastAsia="es-ES"/>
              </w:rPr>
            </w:pPr>
            <w:r w:rsidRPr="00606E0A">
              <w:rPr>
                <w:rFonts w:ascii="Arial" w:hAnsi="Arial" w:cs="Arial"/>
                <w:sz w:val="16"/>
                <w:szCs w:val="16"/>
                <w:lang w:val="es-ES_tradnl" w:eastAsia="es-ES"/>
              </w:rPr>
              <w:t>Jorge Augusto Tirado Navarro</w:t>
            </w:r>
          </w:p>
          <w:p w:rsidRPr="00606E0A" w:rsidR="00F6350E" w:rsidP="00DA69D6" w:rsidRDefault="00F6350E" w14:paraId="29294699" w14:textId="77777777">
            <w:pPr>
              <w:jc w:val="both"/>
              <w:rPr>
                <w:rFonts w:ascii="Arial" w:hAnsi="Arial" w:cs="Arial"/>
                <w:sz w:val="16"/>
                <w:szCs w:val="16"/>
                <w:lang w:val="es-ES_tradnl" w:eastAsia="es-ES"/>
              </w:rPr>
            </w:pPr>
            <w:r w:rsidRPr="00606E0A">
              <w:rPr>
                <w:rFonts w:ascii="Arial" w:hAnsi="Arial" w:cs="Arial"/>
                <w:sz w:val="16"/>
                <w:szCs w:val="16"/>
                <w:lang w:val="es-ES_tradnl" w:eastAsia="es-ES"/>
              </w:rPr>
              <w:t>Subdirector de Gestión Contractual</w:t>
            </w:r>
            <w:r>
              <w:rPr>
                <w:rFonts w:ascii="Arial" w:hAnsi="Arial" w:cs="Arial"/>
                <w:sz w:val="16"/>
                <w:szCs w:val="16"/>
                <w:lang w:val="es-ES_tradnl" w:eastAsia="es-ES"/>
              </w:rPr>
              <w:t xml:space="preserve"> ANCP – CCE</w:t>
            </w:r>
          </w:p>
        </w:tc>
      </w:tr>
      <w:bookmarkEnd w:id="4"/>
    </w:tbl>
    <w:p w:rsidR="00A551E2" w:rsidRDefault="00A551E2" w14:paraId="213CB9D8" w14:textId="77777777"/>
    <w:sectPr w:rsidR="00A551E2" w:rsidSect="00DA69D6">
      <w:headerReference w:type="default" r:id="rId8"/>
      <w:footerReference w:type="default" r:id="rId9"/>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6F21" w:rsidP="00A551E2" w:rsidRDefault="00AD6F21" w14:paraId="14BD7F44" w14:textId="77777777">
      <w:r>
        <w:separator/>
      </w:r>
    </w:p>
  </w:endnote>
  <w:endnote w:type="continuationSeparator" w:id="0">
    <w:p w:rsidR="00AD6F21" w:rsidP="00A551E2" w:rsidRDefault="00AD6F21" w14:paraId="4B0167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69D6" w:rsidP="00DA69D6" w:rsidRDefault="00DA69D6" w14:paraId="06E2DAE8" w14:textId="77777777">
    <w:pPr>
      <w:pStyle w:val="Sinespaciado"/>
      <w:jc w:val="center"/>
      <w:rPr>
        <w:rFonts w:ascii="Arial" w:hAnsi="Arial" w:cs="Arial"/>
        <w:sz w:val="18"/>
        <w:szCs w:val="18"/>
      </w:rPr>
    </w:pPr>
  </w:p>
  <w:p w:rsidRPr="005A79FE" w:rsidR="00DA69D6" w:rsidP="00DA69D6" w:rsidRDefault="00DA69D6" w14:paraId="47F4BDB0"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DA69D6" w:rsidP="00DA69D6" w:rsidRDefault="00DA69D6" w14:paraId="131DE6C0" w14:textId="77777777">
    <w:pPr>
      <w:pStyle w:val="Piedepgina"/>
      <w:jc w:val="center"/>
      <w:rPr>
        <w:lang w:val="es-ES"/>
      </w:rPr>
    </w:pPr>
    <w:r w:rsidR="217FF318">
      <w:drawing>
        <wp:inline wp14:editId="2673D97B" wp14:anchorId="068BB936">
          <wp:extent cx="4241994" cy="595165"/>
          <wp:effectExtent l="0" t="0" r="6350" b="0"/>
          <wp:docPr id="12" name="Imagen 12" title=""/>
          <wp:cNvGraphicFramePr>
            <a:graphicFrameLocks noChangeAspect="1"/>
          </wp:cNvGraphicFramePr>
          <a:graphic>
            <a:graphicData uri="http://schemas.openxmlformats.org/drawingml/2006/picture">
              <pic:pic>
                <pic:nvPicPr>
                  <pic:cNvPr id="0" name="Imagen 12"/>
                  <pic:cNvPicPr/>
                </pic:nvPicPr>
                <pic:blipFill>
                  <a:blip r:embed="R04c58d66599447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DA69D6" w:rsidP="00DA69D6" w:rsidRDefault="00DA69D6" w14:paraId="7D2A171B"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6F21" w:rsidP="00A551E2" w:rsidRDefault="00AD6F21" w14:paraId="0671D6CD" w14:textId="77777777">
      <w:r>
        <w:separator/>
      </w:r>
    </w:p>
  </w:footnote>
  <w:footnote w:type="continuationSeparator" w:id="0">
    <w:p w:rsidR="00AD6F21" w:rsidP="00A551E2" w:rsidRDefault="00AD6F21" w14:paraId="2FE1E4D5" w14:textId="77777777">
      <w:r>
        <w:continuationSeparator/>
      </w:r>
    </w:p>
  </w:footnote>
  <w:footnote w:id="1">
    <w:p w:rsidRPr="0062206A" w:rsidR="00DA69D6" w:rsidP="00A551E2" w:rsidRDefault="00DA69D6" w14:paraId="29F71319"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62206A">
        <w:rPr>
          <w:rFonts w:ascii="Arial" w:hAnsi="Arial" w:cs="Arial"/>
          <w:bCs/>
          <w:i/>
          <w:iCs/>
          <w:color w:val="000000" w:themeColor="text1"/>
          <w:sz w:val="19"/>
          <w:szCs w:val="19"/>
        </w:rPr>
        <w:t>las empresas oficiales de servicios públicos</w:t>
      </w:r>
      <w:r w:rsidRPr="0062206A">
        <w:rPr>
          <w:rFonts w:ascii="Arial" w:hAnsi="Arial" w:cs="Arial"/>
          <w:color w:val="000000" w:themeColor="text1"/>
          <w:sz w:val="19"/>
          <w:szCs w:val="19"/>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rsidRPr="0062206A" w:rsidR="00DA69D6" w:rsidP="00A551E2" w:rsidRDefault="00DA69D6" w14:paraId="06A48180" w14:textId="77777777">
      <w:pPr>
        <w:pStyle w:val="Textonotapie"/>
        <w:ind w:firstLine="708"/>
        <w:jc w:val="both"/>
        <w:rPr>
          <w:rFonts w:ascii="Arial" w:hAnsi="Arial" w:cs="Arial"/>
          <w:color w:val="000000" w:themeColor="text1"/>
          <w:sz w:val="19"/>
          <w:szCs w:val="19"/>
        </w:rPr>
      </w:pPr>
    </w:p>
  </w:footnote>
  <w:footnote w:id="2">
    <w:p w:rsidRPr="0062206A" w:rsidR="00DA69D6" w:rsidP="00A551E2" w:rsidRDefault="00DA69D6" w14:paraId="7008AFB0" w14:textId="2785C584">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rsidRPr="0062206A" w:rsidR="00DA69D6" w:rsidP="00A551E2" w:rsidRDefault="00DA69D6" w14:paraId="1848E8E1" w14:textId="77777777">
      <w:pPr>
        <w:pStyle w:val="Textonotapie"/>
        <w:ind w:firstLine="708"/>
        <w:jc w:val="both"/>
        <w:rPr>
          <w:rFonts w:ascii="Arial" w:hAnsi="Arial" w:cs="Arial"/>
          <w:color w:val="000000" w:themeColor="text1"/>
          <w:sz w:val="19"/>
          <w:szCs w:val="19"/>
          <w:lang w:val="es-ES"/>
        </w:rPr>
      </w:pPr>
    </w:p>
  </w:footnote>
  <w:footnote w:id="3">
    <w:p w:rsidR="00DA69D6" w:rsidP="00A551E2" w:rsidRDefault="00DA69D6" w14:paraId="401AAF9E" w14:textId="7F65C880">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i/>
          <w:color w:val="000000" w:themeColor="text1"/>
          <w:sz w:val="19"/>
          <w:szCs w:val="19"/>
        </w:rPr>
        <w:t xml:space="preserve"> </w:t>
      </w:r>
      <w:r w:rsidRPr="0062206A">
        <w:rPr>
          <w:rFonts w:ascii="Arial" w:hAnsi="Arial" w:cs="Arial"/>
          <w:i/>
          <w:iCs/>
          <w:color w:val="000000" w:themeColor="text1"/>
          <w:sz w:val="19"/>
          <w:szCs w:val="19"/>
        </w:rPr>
        <w:t>Ibídem.</w:t>
      </w:r>
      <w:r w:rsidRPr="0062206A">
        <w:rPr>
          <w:rFonts w:ascii="Arial" w:hAnsi="Arial" w:cs="Arial"/>
          <w:color w:val="000000" w:themeColor="text1"/>
          <w:sz w:val="19"/>
          <w:szCs w:val="19"/>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rsidRPr="0062206A" w:rsidR="00DA69D6" w:rsidP="00A551E2" w:rsidRDefault="00DA69D6" w14:paraId="7EC9CBD6" w14:textId="77777777">
      <w:pPr>
        <w:pStyle w:val="Textonotapie"/>
        <w:ind w:firstLine="708"/>
        <w:jc w:val="both"/>
        <w:rPr>
          <w:rFonts w:ascii="Arial" w:hAnsi="Arial" w:cs="Arial"/>
          <w:color w:val="000000" w:themeColor="text1"/>
          <w:sz w:val="19"/>
          <w:szCs w:val="19"/>
        </w:rPr>
      </w:pPr>
    </w:p>
  </w:footnote>
  <w:footnote w:id="4">
    <w:p w:rsidRPr="0062206A" w:rsidR="00DA69D6" w:rsidP="00A551E2" w:rsidRDefault="00DA69D6" w14:paraId="5AD01CDC" w14:textId="77777777">
      <w:pPr>
        <w:pStyle w:val="Textonotapie"/>
        <w:ind w:firstLine="708"/>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rsidRPr="0062206A" w:rsidR="00DA69D6" w:rsidP="00C172C2" w:rsidRDefault="00DA69D6" w14:paraId="7CF0034D" w14:textId="77777777">
      <w:pPr>
        <w:pStyle w:val="Textonotapie"/>
        <w:ind w:firstLine="708"/>
        <w:jc w:val="both"/>
        <w:rPr>
          <w:rFonts w:ascii="Arial" w:hAnsi="Arial" w:cs="Arial"/>
          <w:sz w:val="19"/>
          <w:szCs w:val="19"/>
          <w:lang w:val="es-ES"/>
        </w:rPr>
      </w:pPr>
    </w:p>
  </w:footnote>
  <w:footnote w:id="5">
    <w:p w:rsidRPr="0062206A" w:rsidR="00DA69D6" w:rsidP="00876CCB" w:rsidRDefault="00DA69D6" w14:paraId="7F8AF673" w14:textId="78803C70">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Constitución Política de Colombia: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Pr="0062206A" w:rsidR="00DA69D6" w:rsidP="00876CCB" w:rsidRDefault="00DA69D6" w14:paraId="395E59A1" w14:textId="45F42D4F">
      <w:pPr>
        <w:pStyle w:val="Textonotapie"/>
        <w:ind w:firstLine="709"/>
        <w:jc w:val="both"/>
        <w:rPr>
          <w:rFonts w:ascii="Arial" w:hAnsi="Arial" w:cs="Arial"/>
          <w:color w:val="000000" w:themeColor="text1"/>
          <w:sz w:val="19"/>
          <w:szCs w:val="19"/>
        </w:rPr>
      </w:pPr>
      <w:r w:rsidRPr="0062206A">
        <w:rPr>
          <w:rFonts w:ascii="Arial" w:hAnsi="Arial" w:cs="Arial"/>
          <w:color w:val="000000" w:themeColor="text1"/>
          <w:sz w:val="19"/>
          <w:szCs w:val="19"/>
        </w:rPr>
        <w:t>»Las autoridades administrativas deben coordinar sus actuaciones para el adecuado cumplimiento de los fines del Estado. La administración pública, en todos sus órdenes, tendrá un control interno que se ejercerá en los términos que señale la ley».</w:t>
      </w:r>
    </w:p>
    <w:p w:rsidRPr="0062206A" w:rsidR="00DA69D6" w:rsidP="00DB19E4" w:rsidRDefault="00DA69D6" w14:paraId="2B7D144B" w14:textId="77777777">
      <w:pPr>
        <w:pStyle w:val="Textonotapie"/>
        <w:ind w:firstLine="709"/>
        <w:rPr>
          <w:rFonts w:ascii="Arial" w:hAnsi="Arial" w:cs="Arial"/>
          <w:sz w:val="19"/>
          <w:szCs w:val="19"/>
        </w:rPr>
      </w:pPr>
    </w:p>
  </w:footnote>
  <w:footnote w:id="6">
    <w:p w:rsidRPr="0062206A" w:rsidR="00DA69D6" w:rsidP="00655EB5" w:rsidRDefault="00DA69D6" w14:paraId="4348E419" w14:textId="7AF4FBEA">
      <w:pPr>
        <w:pStyle w:val="Textonotapie"/>
        <w:ind w:firstLine="709"/>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Para la Corte Constitucional, de acuerdo con el artículo 209 superior, la publicidad es uno de los principios que orientan la administración y la gestión pública: «Como se aprecia, en este mandato superior, la Carta Política consagra varias máximas: (i) el servicio al interés general como objetivo fundamental de la administración pública; (ii) la igualdad, moralidad, eficacia, economía, celeridad, imparcialidad y publicidad, como principios orientadores de la administración pública […]». Corte Constitucional. Sentencia C-826 del 13 de noviembre de 2013. M.P. Luis Ernesto Vargas Silva.</w:t>
      </w:r>
    </w:p>
  </w:footnote>
  <w:footnote w:id="7">
    <w:p w:rsidRPr="0062206A" w:rsidR="00DA69D6" w:rsidP="00A551E2" w:rsidRDefault="00DA69D6" w14:paraId="1EBBA9F2" w14:textId="345BC9F6">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Corte Constitucional. Sentencia C- 341 del 4 de junio de 2014. M. P. Mauricio González Cuervo.</w:t>
      </w:r>
    </w:p>
    <w:p w:rsidRPr="0062206A" w:rsidR="00DA69D6" w:rsidP="00A551E2" w:rsidRDefault="00DA69D6" w14:paraId="20735DE4" w14:textId="77777777">
      <w:pPr>
        <w:pStyle w:val="Textonotapie"/>
        <w:ind w:firstLine="708"/>
        <w:jc w:val="both"/>
        <w:rPr>
          <w:rFonts w:ascii="Arial" w:hAnsi="Arial" w:cs="Arial"/>
          <w:color w:val="000000" w:themeColor="text1"/>
          <w:sz w:val="19"/>
          <w:szCs w:val="19"/>
        </w:rPr>
      </w:pPr>
    </w:p>
  </w:footnote>
  <w:footnote w:id="8">
    <w:p w:rsidRPr="0062206A" w:rsidR="00DA69D6" w:rsidP="00A551E2" w:rsidRDefault="00DA69D6" w14:paraId="04E5B76B"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62206A" w:rsidR="00DA69D6" w:rsidP="00A551E2" w:rsidRDefault="00DA69D6" w14:paraId="7BBA3133" w14:textId="7777777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»Lo anterior, sin perjuicio de las publicaciones previstas en el numeral 3 del artículo 30 de la Ley 80 de 1993.</w:t>
      </w:r>
    </w:p>
    <w:p w:rsidRPr="0062206A" w:rsidR="00DA69D6" w:rsidP="00A551E2" w:rsidRDefault="00DA69D6" w14:paraId="30FE6D9C" w14:textId="7777777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rsidRPr="0062206A" w:rsidR="00DA69D6" w:rsidP="00A551E2" w:rsidRDefault="00DA69D6" w14:paraId="2BBFCBB8" w14:textId="7777777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w:t>
      </w:r>
    </w:p>
    <w:p w:rsidRPr="0062206A" w:rsidR="00DA69D6" w:rsidP="00A551E2" w:rsidRDefault="00DA69D6" w14:paraId="77F727B5" w14:textId="7777777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footnote>
  <w:footnote w:id="9">
    <w:p w:rsidRPr="0062206A" w:rsidR="00DA69D6" w:rsidP="00A551E2" w:rsidRDefault="00DA69D6" w14:paraId="5FBB5119"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rsidRPr="0062206A" w:rsidR="00DA69D6" w:rsidP="00A551E2" w:rsidRDefault="00DA69D6" w14:paraId="30232026" w14:textId="77777777">
      <w:pPr>
        <w:pStyle w:val="Textonotapie"/>
        <w:ind w:firstLine="708"/>
        <w:jc w:val="both"/>
        <w:rPr>
          <w:rFonts w:ascii="Arial" w:hAnsi="Arial" w:cs="Arial"/>
          <w:color w:val="000000" w:themeColor="text1"/>
          <w:sz w:val="19"/>
          <w:szCs w:val="19"/>
          <w:lang w:val="es-CO"/>
        </w:rPr>
      </w:pPr>
    </w:p>
  </w:footnote>
  <w:footnote w:id="10">
    <w:p w:rsidRPr="0062206A" w:rsidR="00DA69D6" w:rsidP="00437D7B" w:rsidRDefault="00DA69D6" w14:paraId="4E951324"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rsidRPr="0062206A" w:rsidR="00DA69D6" w:rsidP="00437D7B" w:rsidRDefault="00DA69D6" w14:paraId="72F0D175" w14:textId="09A7127D">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62206A" w:rsidR="00DA69D6" w:rsidP="00437D7B" w:rsidRDefault="00DA69D6" w14:paraId="4473FC67" w14:textId="74010486">
      <w:pPr>
        <w:pStyle w:val="Textonotapie"/>
        <w:ind w:firstLine="708"/>
        <w:jc w:val="both"/>
        <w:rPr>
          <w:rFonts w:ascii="Arial" w:hAnsi="Arial" w:cs="Arial"/>
          <w:color w:val="000000" w:themeColor="text1"/>
          <w:sz w:val="19"/>
          <w:szCs w:val="19"/>
          <w:lang w:val="es-CO"/>
        </w:rPr>
      </w:pPr>
      <w:r w:rsidRPr="0062206A">
        <w:rPr>
          <w:rFonts w:ascii="Arial" w:hAnsi="Arial" w:cs="Arial"/>
          <w:color w:val="000000" w:themeColor="text1"/>
          <w:sz w:val="19"/>
          <w:szCs w:val="19"/>
        </w:rPr>
        <w:t>»</w:t>
      </w:r>
      <w:r w:rsidRPr="0062206A">
        <w:rPr>
          <w:rFonts w:ascii="Arial" w:hAnsi="Arial" w:eastAsia="Times New Roman" w:cs="Arial"/>
          <w:color w:val="4B4949"/>
          <w:sz w:val="19"/>
          <w:szCs w:val="19"/>
          <w:lang w:val="es-CO" w:eastAsia="es-CO"/>
        </w:rPr>
        <w:t xml:space="preserve"> </w:t>
      </w:r>
      <w:r w:rsidRPr="0062206A">
        <w:rPr>
          <w:rFonts w:ascii="Arial" w:hAnsi="Arial" w:cs="Arial"/>
          <w:color w:val="000000" w:themeColor="text1"/>
          <w:sz w:val="19"/>
          <w:szCs w:val="19"/>
          <w:lang w:val="es-CO"/>
        </w:rPr>
        <w:t>b) Los órganos, organismos y entidades estatales independientes o autónomos y de control.</w:t>
      </w:r>
    </w:p>
    <w:p w:rsidRPr="0062206A" w:rsidR="00DA69D6" w:rsidP="00437D7B" w:rsidRDefault="00DA69D6" w14:paraId="30A6E67E" w14:textId="5B04DA85">
      <w:pPr>
        <w:pStyle w:val="Textonotapie"/>
        <w:ind w:firstLine="708"/>
        <w:jc w:val="both"/>
        <w:rPr>
          <w:rFonts w:ascii="Arial" w:hAnsi="Arial" w:cs="Arial"/>
          <w:color w:val="000000" w:themeColor="text1"/>
          <w:sz w:val="19"/>
          <w:szCs w:val="19"/>
          <w:lang w:val="es-CO"/>
        </w:rPr>
      </w:pPr>
      <w:r w:rsidRPr="0062206A">
        <w:rPr>
          <w:rFonts w:ascii="Arial" w:hAnsi="Arial" w:cs="Arial"/>
          <w:color w:val="000000" w:themeColor="text1"/>
          <w:sz w:val="19"/>
          <w:szCs w:val="19"/>
          <w:lang w:val="es-CO"/>
        </w:rPr>
        <w:t>»c) Las personas naturales y jurídicas, públicas o privadas, que presten función pública, que presten servicios públicos respecto de la información directamente relacionada con la prestación del servicio público.</w:t>
      </w:r>
    </w:p>
    <w:p w:rsidRPr="0062206A" w:rsidR="00DA69D6" w:rsidP="00437D7B" w:rsidRDefault="00DA69D6" w14:paraId="0DE538E8" w14:textId="57F6A075">
      <w:pPr>
        <w:pStyle w:val="Textonotapie"/>
        <w:ind w:firstLine="708"/>
        <w:jc w:val="both"/>
        <w:rPr>
          <w:rFonts w:ascii="Arial" w:hAnsi="Arial" w:cs="Arial"/>
          <w:color w:val="000000" w:themeColor="text1"/>
          <w:sz w:val="19"/>
          <w:szCs w:val="19"/>
          <w:lang w:val="es-CO"/>
        </w:rPr>
      </w:pPr>
      <w:r w:rsidRPr="0062206A">
        <w:rPr>
          <w:rFonts w:ascii="Arial" w:hAnsi="Arial" w:cs="Arial"/>
          <w:color w:val="000000" w:themeColor="text1"/>
          <w:sz w:val="19"/>
          <w:szCs w:val="19"/>
          <w:lang w:val="es-CO"/>
        </w:rPr>
        <w:t>»d) Cualquier persona natural, jurídica o dependencia de persona jurídica que desempeñe función pública o de autoridad pública, respecto de la información directamente relacionada con el desempeño de su función».</w:t>
      </w:r>
    </w:p>
    <w:p w:rsidRPr="0062206A" w:rsidR="00DA69D6" w:rsidP="00A551E2" w:rsidRDefault="00DA69D6" w14:paraId="1756602E" w14:textId="77777777">
      <w:pPr>
        <w:pStyle w:val="Textonotapie"/>
        <w:jc w:val="both"/>
        <w:rPr>
          <w:rFonts w:ascii="Arial" w:hAnsi="Arial" w:cs="Arial"/>
          <w:color w:val="000000" w:themeColor="text1"/>
          <w:sz w:val="19"/>
          <w:szCs w:val="19"/>
          <w:lang w:val="es-CO"/>
        </w:rPr>
      </w:pPr>
    </w:p>
  </w:footnote>
  <w:footnote w:id="11">
    <w:p w:rsidRPr="0062206A" w:rsidR="00DA69D6" w:rsidP="00A551E2" w:rsidRDefault="00DA69D6" w14:paraId="67B48B84" w14:textId="12FCC3CC">
      <w:pPr>
        <w:pStyle w:val="Textonotapie"/>
        <w:ind w:firstLine="709"/>
        <w:jc w:val="both"/>
        <w:rPr>
          <w:rFonts w:ascii="Arial" w:hAnsi="Arial" w:cs="Arial"/>
          <w:color w:val="000000" w:themeColor="text1"/>
          <w:sz w:val="19"/>
          <w:szCs w:val="19"/>
        </w:rPr>
      </w:pPr>
      <w:r w:rsidRPr="0062206A">
        <w:rPr>
          <w:rFonts w:ascii="Arial" w:hAnsi="Arial" w:eastAsia="Times New Roman" w:cs="Arial"/>
          <w:color w:val="000000" w:themeColor="text1"/>
          <w:sz w:val="19"/>
          <w:szCs w:val="19"/>
          <w:vertAlign w:val="superscript"/>
          <w:lang w:val="es-ES" w:eastAsia="es-ES"/>
        </w:rPr>
        <w:footnoteRef/>
      </w:r>
      <w:r w:rsidRPr="0062206A">
        <w:rPr>
          <w:rFonts w:ascii="Arial" w:hAnsi="Arial" w:eastAsia="Times New Roman" w:cs="Arial"/>
          <w:color w:val="000000" w:themeColor="text1"/>
          <w:sz w:val="19"/>
          <w:szCs w:val="19"/>
          <w:vertAlign w:val="superscript"/>
          <w:lang w:val="es-ES" w:eastAsia="es-ES"/>
        </w:rPr>
        <w:t xml:space="preserve"> </w:t>
      </w:r>
      <w:r w:rsidRPr="0062206A">
        <w:rPr>
          <w:rFonts w:ascii="Arial" w:hAnsi="Arial" w:eastAsia="Times New Roman" w:cs="Arial"/>
          <w:color w:val="000000" w:themeColor="text1"/>
          <w:sz w:val="19"/>
          <w:szCs w:val="19"/>
          <w:lang w:val="es-ES" w:eastAsia="es-ES"/>
        </w:rPr>
        <w:t>«</w:t>
      </w:r>
      <w:r w:rsidRPr="0062206A">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62206A" w:rsidR="00DA69D6" w:rsidP="00A551E2" w:rsidRDefault="00DA69D6" w14:paraId="145939BF" w14:textId="1F6D049E">
      <w:pPr>
        <w:pStyle w:val="Textonotapie"/>
        <w:ind w:firstLine="709"/>
        <w:jc w:val="both"/>
        <w:rPr>
          <w:rFonts w:ascii="Arial" w:hAnsi="Arial" w:eastAsia="Times New Roman" w:cs="Arial"/>
          <w:color w:val="000000" w:themeColor="text1"/>
          <w:sz w:val="19"/>
          <w:szCs w:val="19"/>
          <w:lang w:val="es-ES" w:eastAsia="es-ES"/>
        </w:rPr>
      </w:pPr>
      <w:r w:rsidRPr="0062206A">
        <w:rPr>
          <w:rFonts w:ascii="Arial" w:hAnsi="Arial" w:cs="Arial"/>
          <w:color w:val="000000" w:themeColor="text1"/>
          <w:sz w:val="19"/>
          <w:szCs w:val="19"/>
        </w:rPr>
        <w:t>[…]</w:t>
      </w:r>
    </w:p>
    <w:p w:rsidRPr="0062206A" w:rsidR="00DA69D6" w:rsidP="00A551E2" w:rsidRDefault="00DA69D6" w14:paraId="3E09125A" w14:textId="5A553C72">
      <w:pPr>
        <w:pStyle w:val="Textonotapie"/>
        <w:ind w:firstLine="709"/>
        <w:jc w:val="both"/>
        <w:rPr>
          <w:rFonts w:ascii="Arial" w:hAnsi="Arial" w:eastAsia="Times New Roman" w:cs="Arial"/>
          <w:color w:val="000000" w:themeColor="text1"/>
          <w:sz w:val="19"/>
          <w:szCs w:val="19"/>
          <w:lang w:val="es-ES" w:eastAsia="es-ES"/>
        </w:rPr>
      </w:pPr>
      <w:r w:rsidRPr="0062206A">
        <w:rPr>
          <w:rFonts w:ascii="Arial" w:hAnsi="Arial" w:eastAsia="Times New Roman"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62206A" w:rsidR="00DA69D6" w:rsidP="00A551E2" w:rsidRDefault="00DA69D6" w14:paraId="7D11E8D9" w14:textId="77777777">
      <w:pPr>
        <w:pStyle w:val="Textonotapie"/>
        <w:ind w:firstLine="709"/>
        <w:jc w:val="both"/>
        <w:rPr>
          <w:rFonts w:ascii="Arial" w:hAnsi="Arial" w:eastAsia="Times New Roman" w:cs="Arial"/>
          <w:color w:val="000000" w:themeColor="text1"/>
          <w:sz w:val="19"/>
          <w:szCs w:val="19"/>
          <w:lang w:val="es-ES" w:eastAsia="es-ES"/>
        </w:rPr>
      </w:pPr>
    </w:p>
  </w:footnote>
  <w:footnote w:id="12">
    <w:p w:rsidRPr="0062206A" w:rsidR="00DA69D6" w:rsidP="00A551E2" w:rsidRDefault="00DA69D6" w14:paraId="331ECB16"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w:t>
      </w:r>
      <w:r w:rsidRPr="0062206A">
        <w:rPr>
          <w:rFonts w:ascii="Arial" w:hAnsi="Arial" w:eastAsia="Times New Roman" w:cs="Arial"/>
          <w:color w:val="000000" w:themeColor="text1"/>
          <w:sz w:val="19"/>
          <w:szCs w:val="19"/>
          <w:lang w:val="es-ES" w:eastAsia="es-ES"/>
        </w:rPr>
        <w:t xml:space="preserve">orte Constitucional. Sentencia C─274 de 9 de mayo de 2013. M.P. María Victoria Calle Correa. </w:t>
      </w:r>
    </w:p>
    <w:p w:rsidRPr="0062206A" w:rsidR="00DA69D6" w:rsidP="00A551E2" w:rsidRDefault="00DA69D6" w14:paraId="3F61E761" w14:textId="77777777">
      <w:pPr>
        <w:pStyle w:val="Textonotapie"/>
        <w:ind w:firstLine="708"/>
        <w:jc w:val="both"/>
        <w:rPr>
          <w:rFonts w:ascii="Arial" w:hAnsi="Arial" w:cs="Arial"/>
          <w:color w:val="000000" w:themeColor="text1"/>
          <w:sz w:val="19"/>
          <w:szCs w:val="19"/>
          <w:lang w:val="es-CO"/>
        </w:rPr>
      </w:pPr>
    </w:p>
  </w:footnote>
  <w:footnote w:id="13">
    <w:p w:rsidRPr="0062206A" w:rsidR="00DA69D6" w:rsidP="00A551E2" w:rsidRDefault="00DA69D6" w14:paraId="29F64CA8"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rsidRPr="0062206A" w:rsidR="00DA69D6" w:rsidP="00A551E2" w:rsidRDefault="00DA69D6" w14:paraId="68E78964" w14:textId="77777777">
      <w:pPr>
        <w:pStyle w:val="Textonotapie"/>
        <w:ind w:firstLine="708"/>
        <w:jc w:val="both"/>
        <w:rPr>
          <w:rFonts w:ascii="Arial" w:hAnsi="Arial" w:cs="Arial"/>
          <w:color w:val="000000" w:themeColor="text1"/>
          <w:sz w:val="19"/>
          <w:szCs w:val="19"/>
          <w:lang w:val="es-CO"/>
        </w:rPr>
      </w:pPr>
    </w:p>
  </w:footnote>
  <w:footnote w:id="14">
    <w:p w:rsidRPr="0062206A" w:rsidR="00DA69D6" w:rsidP="00A551E2" w:rsidRDefault="00DA69D6" w14:paraId="158EC2A8"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Consejo de Estado. Sección Tercera. Subsección C. Auto del 14 de agosto de 2017. Exp. 58.820. C.P. Jaime Orlando Santofimio Gamboa. </w:t>
      </w:r>
    </w:p>
    <w:p w:rsidRPr="0062206A" w:rsidR="00DA69D6" w:rsidP="00A551E2" w:rsidRDefault="00DA69D6" w14:paraId="20CE6E24" w14:textId="77777777">
      <w:pPr>
        <w:pStyle w:val="Textonotapie"/>
        <w:ind w:firstLine="708"/>
        <w:jc w:val="both"/>
        <w:rPr>
          <w:rFonts w:ascii="Arial" w:hAnsi="Arial" w:cs="Arial"/>
          <w:color w:val="000000" w:themeColor="text1"/>
          <w:sz w:val="19"/>
          <w:szCs w:val="19"/>
          <w:lang w:val="es-CO"/>
        </w:rPr>
      </w:pPr>
    </w:p>
  </w:footnote>
  <w:footnote w:id="15">
    <w:p w:rsidRPr="0062206A" w:rsidR="00DA69D6" w:rsidP="00A551E2" w:rsidRDefault="00DA69D6" w14:paraId="2A641D04" w14:textId="0B8F6C20">
      <w:pPr>
        <w:pStyle w:val="Textonotapie"/>
        <w:ind w:firstLine="708"/>
        <w:jc w:val="both"/>
        <w:rPr>
          <w:rFonts w:ascii="Arial" w:hAnsi="Arial" w:cs="Arial"/>
          <w:i/>
          <w:iCs/>
          <w:color w:val="000000" w:themeColor="text1"/>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w:t>
      </w:r>
      <w:r w:rsidRPr="0062206A">
        <w:rPr>
          <w:rFonts w:ascii="Arial" w:hAnsi="Arial" w:cs="Arial"/>
          <w:i/>
          <w:iCs/>
          <w:color w:val="000000" w:themeColor="text1"/>
          <w:sz w:val="19"/>
          <w:szCs w:val="19"/>
        </w:rPr>
        <w:t>Ibídem.</w:t>
      </w:r>
    </w:p>
    <w:p w:rsidRPr="0062206A" w:rsidR="00DA69D6" w:rsidP="00A551E2" w:rsidRDefault="00DA69D6" w14:paraId="1833C239" w14:textId="77777777">
      <w:pPr>
        <w:pStyle w:val="Textonotapie"/>
        <w:ind w:firstLine="708"/>
        <w:jc w:val="both"/>
        <w:rPr>
          <w:rFonts w:ascii="Arial" w:hAnsi="Arial" w:cs="Arial"/>
          <w:sz w:val="19"/>
          <w:szCs w:val="19"/>
        </w:rPr>
      </w:pPr>
    </w:p>
  </w:footnote>
  <w:footnote w:id="16">
    <w:p w:rsidRPr="0062206A" w:rsidR="00DA69D6" w:rsidP="002F2D74" w:rsidRDefault="00DA69D6" w14:paraId="7F853ED9" w14:textId="77777777">
      <w:pPr>
        <w:pStyle w:val="Textonotapie"/>
        <w:ind w:firstLine="708"/>
        <w:jc w:val="both"/>
        <w:rPr>
          <w:rFonts w:ascii="Arial" w:hAnsi="Arial" w:cs="Arial"/>
          <w:sz w:val="19"/>
          <w:szCs w:val="19"/>
          <w:lang w:val="es-CO"/>
        </w:rPr>
      </w:pPr>
      <w:r w:rsidRPr="0062206A">
        <w:rPr>
          <w:rStyle w:val="Refdenotaalpie"/>
          <w:rFonts w:ascii="Arial" w:hAnsi="Arial" w:cs="Arial"/>
          <w:sz w:val="19"/>
          <w:szCs w:val="19"/>
        </w:rPr>
        <w:footnoteRef/>
      </w:r>
      <w:r w:rsidRPr="0062206A">
        <w:rPr>
          <w:rFonts w:ascii="Arial" w:hAnsi="Arial" w:cs="Arial"/>
          <w:sz w:val="19"/>
          <w:szCs w:val="19"/>
        </w:rPr>
        <w:t xml:space="preserve"> </w:t>
      </w:r>
      <w:r w:rsidRPr="0062206A">
        <w:rPr>
          <w:rFonts w:ascii="Arial" w:hAnsi="Arial" w:cs="Arial"/>
          <w:sz w:val="19"/>
          <w:szCs w:val="19"/>
          <w:lang w:val="es-CO"/>
        </w:rPr>
        <w:t xml:space="preserve">Ley 1712 de 2014 </w:t>
      </w:r>
      <w:r w:rsidRPr="0062206A">
        <w:rPr>
          <w:rFonts w:ascii="Arial" w:hAnsi="Arial" w:cs="Arial"/>
          <w:sz w:val="19"/>
          <w:szCs w:val="19"/>
        </w:rPr>
        <w:t>«</w:t>
      </w:r>
      <w:r w:rsidRPr="0062206A">
        <w:rPr>
          <w:rFonts w:ascii="Arial" w:hAnsi="Arial" w:cs="Arial"/>
          <w:sz w:val="19"/>
          <w:szCs w:val="19"/>
          <w:lang w:val="es-CO"/>
        </w:rPr>
        <w:t xml:space="preserve">Artículo 5°. Ámbito de aplicación. Las disposiciones de esta ley serán aplicables a las siguientes personas en calidad de sujetos obligados:  </w:t>
      </w:r>
    </w:p>
    <w:p w:rsidRPr="0062206A" w:rsidR="00DA69D6" w:rsidP="002F2D74" w:rsidRDefault="00DA69D6" w14:paraId="35C903D8" w14:textId="77777777">
      <w:pPr>
        <w:pStyle w:val="Textonotapie"/>
        <w:ind w:firstLine="708"/>
        <w:jc w:val="both"/>
        <w:rPr>
          <w:rFonts w:ascii="Arial" w:hAnsi="Arial" w:cs="Arial"/>
          <w:sz w:val="19"/>
          <w:szCs w:val="19"/>
          <w:lang w:val="es-CO"/>
        </w:rPr>
      </w:pPr>
      <w:r w:rsidRPr="0062206A">
        <w:rPr>
          <w:rFonts w:ascii="Arial" w:hAnsi="Arial" w:cs="Arial"/>
          <w:sz w:val="19"/>
          <w:szCs w:val="19"/>
          <w:lang w:val="es-CO"/>
        </w:rPr>
        <w:t xml:space="preserve">»a) Toda entidad pública, incluyendo las pertenecientes a todas las Ramas del Poder Público, en todos los niveles de la estructura estatal, central o descentralizada por servicios o territorialmente, en los órdenes nacional, departamental, municipal y distrital.  </w:t>
      </w:r>
    </w:p>
    <w:p w:rsidRPr="0062206A" w:rsidR="00DA69D6" w:rsidP="002F2D74" w:rsidRDefault="00DA69D6" w14:paraId="7BA5366E" w14:textId="77777777">
      <w:pPr>
        <w:pStyle w:val="Textonotapie"/>
        <w:ind w:firstLine="708"/>
        <w:jc w:val="both"/>
        <w:rPr>
          <w:rFonts w:ascii="Arial" w:hAnsi="Arial" w:cs="Arial"/>
          <w:sz w:val="19"/>
          <w:szCs w:val="19"/>
          <w:lang w:val="es-CO"/>
        </w:rPr>
      </w:pPr>
      <w:r w:rsidRPr="0062206A">
        <w:rPr>
          <w:rFonts w:ascii="Arial" w:hAnsi="Arial" w:cs="Arial"/>
          <w:sz w:val="19"/>
          <w:szCs w:val="19"/>
          <w:lang w:val="es-CO"/>
        </w:rPr>
        <w:t xml:space="preserve">»b) Los órganos, organismos y entidades estatales independientes o autónomos y de control.  </w:t>
      </w:r>
    </w:p>
    <w:p w:rsidRPr="0062206A" w:rsidR="00DA69D6" w:rsidP="002F2D74" w:rsidRDefault="00DA69D6" w14:paraId="0C260650" w14:textId="77777777">
      <w:pPr>
        <w:pStyle w:val="Textonotapie"/>
        <w:ind w:firstLine="708"/>
        <w:jc w:val="both"/>
        <w:rPr>
          <w:rFonts w:ascii="Arial" w:hAnsi="Arial" w:cs="Arial"/>
          <w:sz w:val="19"/>
          <w:szCs w:val="19"/>
          <w:lang w:val="es-CO"/>
        </w:rPr>
      </w:pPr>
      <w:r w:rsidRPr="0062206A">
        <w:rPr>
          <w:rFonts w:ascii="Arial" w:hAnsi="Arial" w:cs="Arial"/>
          <w:sz w:val="19"/>
          <w:szCs w:val="19"/>
          <w:lang w:val="es-CO"/>
        </w:rPr>
        <w:t xml:space="preserve">»c) Las personas naturales y jurídicas, públicas o privadas, que presten función pública, que presten servicios públicos respecto de la información directamente relacionada con la prestación del servicio público.  </w:t>
      </w:r>
    </w:p>
    <w:p w:rsidRPr="0062206A" w:rsidR="00DA69D6" w:rsidP="00885019" w:rsidRDefault="00DA69D6" w14:paraId="08F1533C" w14:textId="036B1209">
      <w:pPr>
        <w:pStyle w:val="Textonotapie"/>
        <w:ind w:firstLine="708"/>
        <w:jc w:val="both"/>
        <w:rPr>
          <w:rFonts w:ascii="Arial" w:hAnsi="Arial" w:cs="Arial"/>
          <w:sz w:val="19"/>
          <w:szCs w:val="19"/>
          <w:lang w:val="es-CO"/>
        </w:rPr>
      </w:pPr>
      <w:r w:rsidRPr="0062206A">
        <w:rPr>
          <w:rFonts w:ascii="Arial" w:hAnsi="Arial" w:cs="Arial"/>
          <w:sz w:val="19"/>
          <w:szCs w:val="19"/>
          <w:lang w:val="es-CO"/>
        </w:rPr>
        <w:t xml:space="preserve">»d) Cualquier persona natural, jurídica o dependencia de persona jurídica que desempeñe función pública o de autoridad pública, respecto de la información directamente relacionada con el desempeño de su función». </w:t>
      </w:r>
    </w:p>
    <w:p w:rsidRPr="0062206A" w:rsidR="00DA69D6" w:rsidRDefault="00DA69D6" w14:paraId="0992394E" w14:textId="2D12C88A">
      <w:pPr>
        <w:pStyle w:val="Textonotapie"/>
        <w:rPr>
          <w:rFonts w:ascii="Arial" w:hAnsi="Arial" w:cs="Arial"/>
          <w:sz w:val="19"/>
          <w:szCs w:val="19"/>
          <w:lang w:val="es-CO"/>
        </w:rPr>
      </w:pPr>
    </w:p>
  </w:footnote>
  <w:footnote w:id="17">
    <w:p w:rsidRPr="00D307CD" w:rsidR="00DA69D6" w:rsidP="00D307CD" w:rsidRDefault="00DA69D6" w14:paraId="543BC354" w14:textId="7BF19B8D">
      <w:pPr>
        <w:ind w:firstLine="708"/>
        <w:jc w:val="both"/>
        <w:rPr>
          <w:rFonts w:ascii="Arial" w:hAnsi="Arial" w:cs="Arial"/>
          <w:color w:val="1A1A1A" w:themeColor="background1" w:themeShade="1A"/>
          <w:sz w:val="19"/>
          <w:szCs w:val="19"/>
          <w:lang w:val="es-ES"/>
        </w:rPr>
      </w:pPr>
      <w:r w:rsidRPr="00D307CD">
        <w:rPr>
          <w:rStyle w:val="Refdenotaalpie"/>
          <w:rFonts w:ascii="Arial" w:hAnsi="Arial" w:cs="Arial"/>
          <w:sz w:val="19"/>
          <w:szCs w:val="19"/>
        </w:rPr>
        <w:footnoteRef/>
      </w:r>
      <w:r w:rsidRPr="00D307CD">
        <w:rPr>
          <w:rFonts w:ascii="Arial" w:hAnsi="Arial" w:cs="Arial"/>
          <w:sz w:val="19"/>
          <w:szCs w:val="19"/>
        </w:rPr>
        <w:t xml:space="preserve"> Sobre tales posturas en el referido concepto unificado se expuso: «</w:t>
      </w:r>
      <w:r w:rsidRPr="00D307CD">
        <w:rPr>
          <w:rFonts w:ascii="Arial" w:hAnsi="Arial" w:cs="Arial"/>
          <w:bCs/>
          <w:color w:val="1A1A1A" w:themeColor="background1" w:themeShade="1A"/>
          <w:sz w:val="19"/>
          <w:szCs w:val="19"/>
          <w:lang w:val="es-ES"/>
        </w:rPr>
        <w:t xml:space="preserve">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w:t>
      </w:r>
      <w:r w:rsidRPr="00D307CD">
        <w:rPr>
          <w:rFonts w:ascii="Arial" w:hAnsi="Arial" w:cs="Arial"/>
          <w:color w:val="1A1A1A" w:themeColor="background1" w:themeShade="1A"/>
          <w:sz w:val="19"/>
          <w:szCs w:val="19"/>
          <w:lang w:val="es-ES"/>
        </w:rPr>
        <w:t>tuvo fundamento en el literal c) del artículo 3 de la Ley 1150 de 2007</w:t>
      </w:r>
      <w:r w:rsidRPr="00D307CD">
        <w:rPr>
          <w:rFonts w:ascii="Arial" w:hAnsi="Arial" w:cs="Arial"/>
          <w:color w:val="1A1A1A" w:themeColor="background1" w:themeShade="1A"/>
          <w:sz w:val="19"/>
          <w:szCs w:val="19"/>
          <w:vertAlign w:val="superscript"/>
        </w:rPr>
        <w:footnoteRef/>
      </w:r>
      <w:r w:rsidRPr="00D307CD">
        <w:rPr>
          <w:rFonts w:ascii="Arial" w:hAnsi="Arial" w:cs="Arial"/>
          <w:color w:val="1A1A1A" w:themeColor="background1" w:themeShade="1A"/>
          <w:sz w:val="19"/>
          <w:szCs w:val="19"/>
          <w:lang w:val="es-ES"/>
        </w:rPr>
        <w:t>.</w:t>
      </w:r>
    </w:p>
    <w:p w:rsidRPr="00D307CD" w:rsidR="00DA69D6" w:rsidP="00D307CD" w:rsidRDefault="00737F11" w14:paraId="13C14C27" w14:textId="75BBC8C3">
      <w:pPr>
        <w:ind w:firstLine="708"/>
        <w:jc w:val="both"/>
        <w:rPr>
          <w:rFonts w:ascii="Arial" w:hAnsi="Arial" w:eastAsia="Calibri" w:cs="Arial"/>
          <w:color w:val="1A1A1A" w:themeColor="background1" w:themeShade="1A"/>
          <w:sz w:val="19"/>
          <w:szCs w:val="19"/>
          <w:lang w:val="es-ES"/>
        </w:rPr>
      </w:pPr>
      <w:r>
        <w:rPr>
          <w:rFonts w:ascii="Arial" w:hAnsi="Arial" w:cs="Arial"/>
          <w:color w:val="1A1A1A" w:themeColor="background1" w:themeShade="1A"/>
          <w:sz w:val="19"/>
          <w:szCs w:val="19"/>
          <w:lang w:val="es-ES"/>
        </w:rPr>
        <w:t>»</w:t>
      </w:r>
      <w:r w:rsidRPr="00D307CD" w:rsidR="00DA69D6">
        <w:rPr>
          <w:rFonts w:ascii="Arial" w:hAnsi="Arial" w:cs="Arial"/>
          <w:color w:val="1A1A1A" w:themeColor="background1" w:themeShade="1A"/>
          <w:sz w:val="19"/>
          <w:szCs w:val="19"/>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D307CD" w:rsidR="00DA69D6">
        <w:rPr>
          <w:rFonts w:ascii="Arial" w:hAnsi="Arial" w:eastAsia="Calibri" w:cs="Arial"/>
          <w:color w:val="1A1A1A" w:themeColor="background1" w:themeShade="1A"/>
          <w:sz w:val="19"/>
          <w:szCs w:val="19"/>
          <w:lang w:val="es-ES"/>
        </w:rPr>
        <w:t xml:space="preserve">documentos del proceso que se debían publicar. </w:t>
      </w:r>
    </w:p>
    <w:p w:rsidRPr="00D307CD" w:rsidR="00DA69D6" w:rsidP="00D307CD" w:rsidRDefault="00DA69D6" w14:paraId="4DEDE47A" w14:textId="61EC27C7">
      <w:pPr>
        <w:pStyle w:val="Prrafodelista"/>
        <w:ind w:left="0" w:firstLine="709"/>
        <w:jc w:val="both"/>
        <w:rPr>
          <w:rFonts w:ascii="Arial" w:hAnsi="Arial" w:eastAsia="Calibri" w:cs="Arial"/>
          <w:color w:val="1A1A1A" w:themeColor="background1" w:themeShade="1A"/>
          <w:sz w:val="19"/>
          <w:szCs w:val="19"/>
          <w:lang w:val="es-ES"/>
        </w:rPr>
      </w:pPr>
      <w:r w:rsidRPr="00D307CD">
        <w:rPr>
          <w:rFonts w:ascii="Arial" w:hAnsi="Arial" w:eastAsia="Calibri" w:cs="Arial"/>
          <w:color w:val="1A1A1A" w:themeColor="background1" w:themeShade="1A"/>
          <w:sz w:val="19"/>
          <w:szCs w:val="19"/>
          <w:lang w:val="es-ES"/>
        </w:rPr>
        <w:t xml:space="preserve">»Posteriormente, en el año 2018, cambió el fundamento normativo que define los documentos que las entidades de régimen especial debían publicar en el SECOP. En el concepto con radicado No. 4201814000008329 del 8 de octubre de 2018 se explicó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 </w:t>
      </w:r>
      <w:r>
        <w:rPr>
          <w:rFonts w:ascii="Arial" w:hAnsi="Arial" w:eastAsia="Calibri" w:cs="Arial"/>
          <w:color w:val="1A1A1A" w:themeColor="background1" w:themeShade="1A"/>
          <w:sz w:val="19"/>
          <w:szCs w:val="19"/>
          <w:lang w:val="es-ES"/>
        </w:rPr>
        <w:t xml:space="preserve">Concepto CU-003 del 15 enero de 2020. Radicados de entrada No. </w:t>
      </w:r>
      <w:r w:rsidRPr="00DE735D">
        <w:rPr>
          <w:rFonts w:ascii="Arial" w:hAnsi="Arial" w:eastAsia="Calibri" w:cs="Arial"/>
          <w:color w:val="1A1A1A" w:themeColor="background1" w:themeShade="1A"/>
          <w:sz w:val="19"/>
          <w:szCs w:val="19"/>
          <w:lang w:val="es-ES"/>
        </w:rPr>
        <w:t>4201912000008073 y 20201200000029</w:t>
      </w:r>
      <w:r>
        <w:rPr>
          <w:rFonts w:ascii="Arial" w:hAnsi="Arial" w:eastAsia="Calibri" w:cs="Arial"/>
          <w:color w:val="1A1A1A" w:themeColor="background1" w:themeShade="1A"/>
          <w:sz w:val="19"/>
          <w:szCs w:val="19"/>
          <w:lang w:val="es-ES"/>
        </w:rPr>
        <w:t xml:space="preserve">. Radicado de salida No. </w:t>
      </w:r>
      <w:r w:rsidRPr="00DE735D">
        <w:rPr>
          <w:rFonts w:ascii="Arial" w:hAnsi="Arial" w:eastAsia="Calibri" w:cs="Arial"/>
          <w:color w:val="1A1A1A" w:themeColor="background1" w:themeShade="1A"/>
          <w:sz w:val="19"/>
          <w:szCs w:val="19"/>
          <w:lang w:val="es-ES"/>
        </w:rPr>
        <w:t>2202013000000164</w:t>
      </w:r>
      <w:r>
        <w:rPr>
          <w:rFonts w:ascii="Arial" w:hAnsi="Arial" w:eastAsia="Calibri" w:cs="Arial"/>
          <w:color w:val="1A1A1A" w:themeColor="background1" w:themeShade="1A"/>
          <w:sz w:val="19"/>
          <w:szCs w:val="19"/>
          <w:lang w:val="es-ES"/>
        </w:rPr>
        <w:t>.</w:t>
      </w:r>
    </w:p>
    <w:p w:rsidRPr="00D307CD" w:rsidR="00DA69D6" w:rsidP="00D307CD" w:rsidRDefault="00DA69D6" w14:paraId="2EC86EE6" w14:textId="1FC7C56F">
      <w:pPr>
        <w:pStyle w:val="Textonotapie"/>
        <w:ind w:firstLine="708"/>
        <w:rPr>
          <w:lang w:val="es-CO"/>
        </w:rPr>
      </w:pPr>
      <w:r>
        <w:t xml:space="preserve"> </w:t>
      </w:r>
    </w:p>
  </w:footnote>
  <w:footnote w:id="18">
    <w:p w:rsidRPr="0062206A" w:rsidR="00DA69D6" w:rsidP="0051406C" w:rsidRDefault="00DA69D6" w14:paraId="62792EC9" w14:textId="77777777">
      <w:pPr>
        <w:pStyle w:val="Textonotapie"/>
        <w:ind w:firstLine="708"/>
        <w:jc w:val="both"/>
        <w:rPr>
          <w:rFonts w:ascii="Arial" w:hAnsi="Arial" w:eastAsia="Calibri" w:cs="Arial"/>
          <w:sz w:val="19"/>
          <w:szCs w:val="19"/>
          <w:lang w:val="es-CO"/>
        </w:rPr>
      </w:pPr>
      <w:r w:rsidRPr="0062206A">
        <w:rPr>
          <w:rStyle w:val="Refdenotaalpie"/>
          <w:rFonts w:ascii="Arial" w:hAnsi="Arial" w:cs="Arial"/>
          <w:sz w:val="19"/>
          <w:szCs w:val="19"/>
        </w:rPr>
        <w:footnoteRef/>
      </w:r>
      <w:r w:rsidRPr="0062206A">
        <w:rPr>
          <w:rFonts w:ascii="Arial" w:hAnsi="Arial" w:cs="Arial"/>
          <w:sz w:val="19"/>
          <w:szCs w:val="19"/>
        </w:rPr>
        <w:t xml:space="preserve"> </w:t>
      </w:r>
      <w:r w:rsidRPr="0062206A">
        <w:rPr>
          <w:rFonts w:ascii="Arial" w:hAnsi="Arial" w:eastAsia="Calibri" w:cs="Arial"/>
          <w:sz w:val="19"/>
          <w:szCs w:val="19"/>
          <w:lang w:val="es-CO"/>
        </w:rPr>
        <w:t xml:space="preserve">Ley 1712 de 2014 </w:t>
      </w:r>
      <w:r w:rsidRPr="0062206A">
        <w:rPr>
          <w:rFonts w:ascii="Arial" w:hAnsi="Arial" w:eastAsia="Calibri" w:cs="Arial"/>
          <w:sz w:val="19"/>
          <w:szCs w:val="19"/>
        </w:rPr>
        <w:t>«</w:t>
      </w:r>
      <w:r w:rsidRPr="0062206A">
        <w:rPr>
          <w:rFonts w:ascii="Arial" w:hAnsi="Arial" w:eastAsia="Calibri" w:cs="Arial"/>
          <w:sz w:val="19"/>
          <w:szCs w:val="19"/>
          <w:lang w:val="es-CO"/>
        </w:rPr>
        <w:t xml:space="preserve">Artículo 5°. Ámbito de aplicación. Las disposiciones de esta ley serán aplicables a las siguientes personas en calidad de sujetos obligados:  </w:t>
      </w:r>
    </w:p>
    <w:p w:rsidRPr="0062206A" w:rsidR="00DA69D6" w:rsidP="0051406C" w:rsidRDefault="00DA69D6" w14:paraId="5E04BF6B"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»a) Toda entidad pública, incluyendo las pertenecientes a todas las Ramas del Poder Público, en todos los niveles de la estructura estatal, central o descentralizada por servicios o territorialmente, en los órdenes nacional, departamental, municipal y distrital.  </w:t>
      </w:r>
    </w:p>
    <w:p w:rsidRPr="0062206A" w:rsidR="00DA69D6" w:rsidP="0051406C" w:rsidRDefault="00DA69D6" w14:paraId="77304302"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»b) Los órganos, organismos y entidades estatales independientes o autónomos y de control.  </w:t>
      </w:r>
    </w:p>
    <w:p w:rsidRPr="0062206A" w:rsidR="00DA69D6" w:rsidP="0051406C" w:rsidRDefault="00DA69D6" w14:paraId="1187AD73"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»c) Las personas naturales y jurídicas, públicas o privadas, que presten función pública, que presten servicios públicos respecto de la información directamente relacionada con la prestación del servicio público.  </w:t>
      </w:r>
    </w:p>
    <w:p w:rsidRPr="0062206A" w:rsidR="00DA69D6" w:rsidP="0051406C" w:rsidRDefault="00DA69D6" w14:paraId="1D15C2DC"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»d) Cualquier persona natural, jurídica o dependencia de persona jurídica que desempeñe función pública o de autoridad pública, respecto de la información directamente relacionada con el desempeño de su función.  </w:t>
      </w:r>
    </w:p>
    <w:p w:rsidRPr="0062206A" w:rsidR="00DA69D6" w:rsidP="0051406C" w:rsidRDefault="00DA69D6" w14:paraId="66E14098"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»e) Las empresas públicas creadas por ley, las empresas del Estado y sociedades en que este tenga participación.  </w:t>
      </w:r>
    </w:p>
    <w:p w:rsidRPr="0062206A" w:rsidR="00DA69D6" w:rsidP="0051406C" w:rsidRDefault="00DA69D6" w14:paraId="6A77FCC7"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»f) Los partidos o movimientos políticos y los grupos significativos de ciudadanos.  </w:t>
      </w:r>
    </w:p>
    <w:p w:rsidRPr="0062206A" w:rsidR="00DA69D6" w:rsidP="0051406C" w:rsidRDefault="00DA69D6" w14:paraId="18295E46"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»g) Las entidades que administren instituciones parafiscales, fondos o recursos de naturaleza u origen público.  </w:t>
      </w:r>
    </w:p>
    <w:p w:rsidRPr="0062206A" w:rsidR="00DA69D6" w:rsidP="0051406C" w:rsidRDefault="00DA69D6" w14:paraId="06126033"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w:t>
      </w:r>
    </w:p>
    <w:p w:rsidRPr="0062206A" w:rsidR="00DA69D6" w:rsidP="0051406C" w:rsidRDefault="00DA69D6" w14:paraId="0A0143EC" w14:textId="77777777">
      <w:pPr>
        <w:ind w:firstLine="708"/>
        <w:jc w:val="both"/>
        <w:rPr>
          <w:rFonts w:ascii="Arial" w:hAnsi="Arial" w:eastAsia="Calibri" w:cs="Arial"/>
          <w:sz w:val="19"/>
          <w:szCs w:val="19"/>
          <w:lang w:val="es-CO"/>
        </w:rPr>
      </w:pPr>
      <w:r w:rsidRPr="0062206A">
        <w:rPr>
          <w:rFonts w:ascii="Arial" w:hAnsi="Arial" w:eastAsia="Calibri" w:cs="Arial"/>
          <w:sz w:val="19"/>
          <w:szCs w:val="19"/>
          <w:lang w:val="es-CO"/>
        </w:rPr>
        <w:t xml:space="preserve">»Parágrafo 1°. No serán sujetos obligados aquellas personas naturales o jurídicas de carácter privado que sean usuarios de información pública». </w:t>
      </w:r>
    </w:p>
    <w:p w:rsidRPr="0062206A" w:rsidR="00DA69D6" w:rsidP="0051406C" w:rsidRDefault="00DA69D6" w14:paraId="6D975B78" w14:textId="77777777">
      <w:pPr>
        <w:ind w:firstLine="708"/>
        <w:jc w:val="both"/>
        <w:rPr>
          <w:rFonts w:ascii="Arial" w:hAnsi="Arial" w:eastAsia="Calibri" w:cs="Arial"/>
          <w:sz w:val="19"/>
          <w:szCs w:val="19"/>
          <w:lang w:val="es-CO"/>
        </w:rPr>
      </w:pPr>
    </w:p>
  </w:footnote>
  <w:footnote w:id="19">
    <w:p w:rsidRPr="00D307CD" w:rsidR="00DA69D6" w:rsidP="00D307CD" w:rsidRDefault="00DA69D6" w14:paraId="4E03B74B" w14:textId="356DBEB4">
      <w:pPr>
        <w:pStyle w:val="Textonotapie"/>
        <w:ind w:firstLine="708"/>
        <w:jc w:val="both"/>
        <w:rPr>
          <w:rFonts w:ascii="Arial" w:hAnsi="Arial" w:cs="Arial"/>
          <w:sz w:val="19"/>
          <w:szCs w:val="19"/>
        </w:rPr>
      </w:pPr>
      <w:r w:rsidRPr="00D307CD">
        <w:rPr>
          <w:rStyle w:val="Refdenotaalpie"/>
          <w:rFonts w:ascii="Arial" w:hAnsi="Arial" w:cs="Arial"/>
          <w:sz w:val="19"/>
          <w:szCs w:val="19"/>
        </w:rPr>
        <w:footnoteRef/>
      </w:r>
      <w:r w:rsidRPr="00D307CD">
        <w:rPr>
          <w:rFonts w:ascii="Arial" w:hAnsi="Arial" w:cs="Arial"/>
          <w:sz w:val="19"/>
          <w:szCs w:val="19"/>
        </w:rPr>
        <w:t xml:space="preserve"> Decreto 1081 de 2015«Artículo 2.1.1.2.1.4. Publicación de información en sección particular del sitio web oficial. Los sujetos obligados, de conformidad con las condiciones establecidas en el artículo 5° de la Ley 1712 de 2014, deben publicar en la página principal de su sitio web oficial, en una sección particular identificada con el nombre de “Transparencia y acceso a información pública”, la siguiente información: </w:t>
      </w:r>
    </w:p>
    <w:p w:rsidRPr="00D307CD" w:rsidR="00DA69D6" w:rsidP="00D307CD" w:rsidRDefault="00DA69D6" w14:paraId="4BA8B4D0" w14:textId="0AD66487">
      <w:pPr>
        <w:pStyle w:val="Textonotapie"/>
        <w:ind w:firstLine="708"/>
        <w:jc w:val="both"/>
        <w:rPr>
          <w:rFonts w:ascii="Arial" w:hAnsi="Arial" w:cs="Arial"/>
          <w:sz w:val="19"/>
          <w:szCs w:val="19"/>
        </w:rPr>
      </w:pPr>
      <w:r w:rsidRPr="00D307CD">
        <w:rPr>
          <w:rFonts w:ascii="Arial" w:hAnsi="Arial" w:cs="Arial"/>
          <w:sz w:val="19"/>
          <w:szCs w:val="19"/>
        </w:rPr>
        <w:t xml:space="preserve">»(1) La información mínima requerida a publicar de que tratan los artículos 9°, 10 y 11 de la Ley 1712 de 2014. Cuando la información se encuentre publicada en otra sección del sitio web o en un sistema de información del Estado, los sujetos obligados deben identificar la información que reposa en estos y habilitar los enlaces para permitir el acceso a la misma. </w:t>
      </w:r>
    </w:p>
    <w:p w:rsidRPr="00D307CD" w:rsidR="00DA69D6" w:rsidP="00D307CD" w:rsidRDefault="00DA69D6" w14:paraId="7BC92F2E" w14:textId="09875EAE">
      <w:pPr>
        <w:pStyle w:val="Textonotapie"/>
        <w:ind w:firstLine="708"/>
        <w:jc w:val="both"/>
        <w:rPr>
          <w:rFonts w:ascii="Arial" w:hAnsi="Arial" w:cs="Arial"/>
          <w:sz w:val="19"/>
          <w:szCs w:val="19"/>
        </w:rPr>
      </w:pPr>
      <w:r w:rsidRPr="00D307CD">
        <w:rPr>
          <w:rFonts w:ascii="Arial" w:hAnsi="Arial" w:cs="Arial"/>
          <w:sz w:val="19"/>
          <w:szCs w:val="19"/>
        </w:rPr>
        <w:t xml:space="preserve">»(2) El Registro de Activos de Información. </w:t>
      </w:r>
    </w:p>
    <w:p w:rsidRPr="00D307CD" w:rsidR="00DA69D6" w:rsidP="00D307CD" w:rsidRDefault="00DA69D6" w14:paraId="79C5C6D8" w14:textId="24BF35E7">
      <w:pPr>
        <w:pStyle w:val="Textonotapie"/>
        <w:ind w:firstLine="708"/>
        <w:jc w:val="both"/>
        <w:rPr>
          <w:rFonts w:ascii="Arial" w:hAnsi="Arial" w:cs="Arial"/>
          <w:sz w:val="19"/>
          <w:szCs w:val="19"/>
        </w:rPr>
      </w:pPr>
      <w:r w:rsidRPr="00D307CD">
        <w:rPr>
          <w:rFonts w:ascii="Arial" w:hAnsi="Arial" w:cs="Arial"/>
          <w:sz w:val="19"/>
          <w:szCs w:val="19"/>
        </w:rPr>
        <w:t xml:space="preserve">»(3) El índice de Información Clasificada y Reservada. </w:t>
      </w:r>
    </w:p>
    <w:p w:rsidRPr="00D307CD" w:rsidR="00DA69D6" w:rsidP="00D307CD" w:rsidRDefault="00DA69D6" w14:paraId="7B4FE2DB" w14:textId="103BD048">
      <w:pPr>
        <w:pStyle w:val="Textonotapie"/>
        <w:ind w:firstLine="708"/>
        <w:jc w:val="both"/>
        <w:rPr>
          <w:rFonts w:ascii="Arial" w:hAnsi="Arial" w:cs="Arial"/>
          <w:sz w:val="19"/>
          <w:szCs w:val="19"/>
        </w:rPr>
      </w:pPr>
      <w:r w:rsidRPr="00D307CD">
        <w:rPr>
          <w:rFonts w:ascii="Arial" w:hAnsi="Arial" w:cs="Arial"/>
          <w:sz w:val="19"/>
          <w:szCs w:val="19"/>
        </w:rPr>
        <w:t xml:space="preserve">»(4) El Esquema de Publicación de Información. </w:t>
      </w:r>
    </w:p>
    <w:p w:rsidRPr="00D307CD" w:rsidR="00DA69D6" w:rsidP="00D307CD" w:rsidRDefault="00DA69D6" w14:paraId="1308FE63" w14:textId="4C96F37E">
      <w:pPr>
        <w:pStyle w:val="Textonotapie"/>
        <w:ind w:firstLine="708"/>
        <w:jc w:val="both"/>
        <w:rPr>
          <w:rFonts w:ascii="Arial" w:hAnsi="Arial" w:cs="Arial"/>
          <w:sz w:val="19"/>
          <w:szCs w:val="19"/>
        </w:rPr>
      </w:pPr>
      <w:r w:rsidRPr="00D307CD">
        <w:rPr>
          <w:rFonts w:ascii="Arial" w:hAnsi="Arial" w:cs="Arial"/>
          <w:sz w:val="19"/>
          <w:szCs w:val="19"/>
        </w:rPr>
        <w:t xml:space="preserve">»(5) El Programa de Gestión Documental. </w:t>
      </w:r>
    </w:p>
    <w:p w:rsidRPr="00D307CD" w:rsidR="00DA69D6" w:rsidP="00D307CD" w:rsidRDefault="00DA69D6" w14:paraId="21C5B540" w14:textId="63B0E035">
      <w:pPr>
        <w:pStyle w:val="Textonotapie"/>
        <w:ind w:firstLine="708"/>
        <w:jc w:val="both"/>
        <w:rPr>
          <w:rFonts w:ascii="Arial" w:hAnsi="Arial" w:cs="Arial"/>
          <w:sz w:val="19"/>
          <w:szCs w:val="19"/>
        </w:rPr>
      </w:pPr>
      <w:r w:rsidRPr="00D307CD">
        <w:rPr>
          <w:rFonts w:ascii="Arial" w:hAnsi="Arial" w:cs="Arial"/>
          <w:sz w:val="19"/>
          <w:szCs w:val="19"/>
        </w:rPr>
        <w:t xml:space="preserve">»(6) Las Tablas de Retención Documental. </w:t>
      </w:r>
    </w:p>
    <w:p w:rsidRPr="00D307CD" w:rsidR="00DA69D6" w:rsidP="00D307CD" w:rsidRDefault="00DA69D6" w14:paraId="0A969010" w14:textId="5059CEFF">
      <w:pPr>
        <w:pStyle w:val="Textonotapie"/>
        <w:ind w:firstLine="708"/>
        <w:jc w:val="both"/>
        <w:rPr>
          <w:rFonts w:ascii="Arial" w:hAnsi="Arial" w:cs="Arial"/>
          <w:sz w:val="19"/>
          <w:szCs w:val="19"/>
        </w:rPr>
      </w:pPr>
      <w:r w:rsidRPr="00D307CD">
        <w:rPr>
          <w:rFonts w:ascii="Arial" w:hAnsi="Arial" w:cs="Arial"/>
          <w:sz w:val="19"/>
          <w:szCs w:val="19"/>
        </w:rPr>
        <w:t xml:space="preserve">»(7) El informe de solicitudes de acceso a la información señalado en el artículo 2.1.1.6.2 del presente Título. </w:t>
      </w:r>
    </w:p>
    <w:p w:rsidRPr="00D307CD" w:rsidR="00DA69D6" w:rsidP="00D307CD" w:rsidRDefault="00DA69D6" w14:paraId="7A02C698" w14:textId="3B27A4F2">
      <w:pPr>
        <w:pStyle w:val="Textonotapie"/>
        <w:ind w:firstLine="708"/>
        <w:jc w:val="both"/>
        <w:rPr>
          <w:rFonts w:ascii="Arial" w:hAnsi="Arial" w:cs="Arial"/>
          <w:sz w:val="19"/>
          <w:szCs w:val="19"/>
        </w:rPr>
      </w:pPr>
      <w:r w:rsidRPr="00D307CD">
        <w:rPr>
          <w:rFonts w:ascii="Arial" w:hAnsi="Arial" w:cs="Arial"/>
          <w:sz w:val="19"/>
          <w:szCs w:val="19"/>
        </w:rPr>
        <w:t xml:space="preserve">»(8) Los costos de reproducción de la información pública, con su respectiva motivación. </w:t>
      </w:r>
    </w:p>
    <w:p w:rsidRPr="00D307CD" w:rsidR="00DA69D6" w:rsidP="00D307CD" w:rsidRDefault="00DA69D6" w14:paraId="5CADFE90" w14:textId="2C61CED8">
      <w:pPr>
        <w:pStyle w:val="Textonotapie"/>
        <w:ind w:firstLine="708"/>
        <w:jc w:val="both"/>
        <w:rPr>
          <w:rFonts w:ascii="Arial" w:hAnsi="Arial" w:cs="Arial"/>
          <w:sz w:val="19"/>
          <w:szCs w:val="19"/>
        </w:rPr>
      </w:pPr>
      <w:r w:rsidRPr="00D307CD">
        <w:rPr>
          <w:rFonts w:ascii="Arial" w:hAnsi="Arial" w:cs="Arial"/>
          <w:sz w:val="19"/>
          <w:szCs w:val="19"/>
        </w:rPr>
        <w:t xml:space="preserve">»Parágrafo 1°. Entiéndase por Tabla de Retención Documental la lista de series documentales con sus correspondientes tipos de documentos, a los cuales se les asigna el tiempo de permanencia en cada etapa del ciclo vital de los documentos. </w:t>
      </w:r>
    </w:p>
    <w:p w:rsidR="00DA69D6" w:rsidP="00D307CD" w:rsidRDefault="00DA69D6" w14:paraId="0D5C0135" w14:textId="5ECF7468">
      <w:pPr>
        <w:pStyle w:val="Textonotapie"/>
        <w:ind w:firstLine="708"/>
        <w:jc w:val="both"/>
        <w:rPr>
          <w:rFonts w:ascii="Arial" w:hAnsi="Arial" w:cs="Arial"/>
          <w:sz w:val="19"/>
          <w:szCs w:val="19"/>
        </w:rPr>
      </w:pPr>
      <w:r w:rsidRPr="00D307CD">
        <w:rPr>
          <w:rFonts w:ascii="Arial" w:hAnsi="Arial" w:cs="Arial"/>
          <w:sz w:val="19"/>
          <w:szCs w:val="19"/>
        </w:rPr>
        <w:t>»Parágrafo 2°. Para efectos del cumplimiento de la Ley 1712 de 2014 y del presente decreto, los términos ventanilla electrónica, sitio web oficial y medio electrónico institucional se entenderán como equivalentes».</w:t>
      </w:r>
    </w:p>
    <w:p w:rsidRPr="00D307CD" w:rsidR="001E361B" w:rsidP="00D307CD" w:rsidRDefault="001E361B" w14:paraId="57B1AA8C" w14:textId="77777777">
      <w:pPr>
        <w:pStyle w:val="Textonotapie"/>
        <w:ind w:firstLine="708"/>
        <w:jc w:val="both"/>
        <w:rPr>
          <w:lang w:val="es-CO"/>
        </w:rPr>
      </w:pPr>
    </w:p>
  </w:footnote>
  <w:footnote w:id="20">
    <w:p w:rsidR="00DA69D6" w:rsidP="009377EF" w:rsidRDefault="00DA69D6" w14:paraId="6F12BDC2" w14:textId="55E8A4DC">
      <w:pPr>
        <w:ind w:firstLine="709"/>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w:t>
      </w:r>
      <w:r w:rsidRPr="00A52EF5">
        <w:rPr>
          <w:rFonts w:ascii="Arial" w:hAnsi="Arial" w:cs="Arial"/>
          <w:sz w:val="19"/>
          <w:szCs w:val="19"/>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Pr>
          <w:rFonts w:ascii="Arial" w:hAnsi="Arial" w:cs="Arial"/>
          <w:sz w:val="19"/>
          <w:szCs w:val="19"/>
        </w:rPr>
        <w:t>»</w:t>
      </w:r>
      <w:r w:rsidRPr="00A52EF5">
        <w:rPr>
          <w:rFonts w:ascii="Arial" w:hAnsi="Arial" w:cs="Arial"/>
          <w:sz w:val="19"/>
          <w:szCs w:val="19"/>
        </w:rPr>
        <w:t xml:space="preserve">. </w:t>
      </w:r>
    </w:p>
    <w:p w:rsidRPr="0062206A" w:rsidR="001E361B" w:rsidP="009377EF" w:rsidRDefault="001E361B" w14:paraId="59096A41" w14:textId="77777777">
      <w:pPr>
        <w:ind w:firstLine="709"/>
        <w:jc w:val="both"/>
        <w:rPr>
          <w:rFonts w:ascii="Arial" w:hAnsi="Arial" w:cs="Arial"/>
          <w:sz w:val="19"/>
          <w:szCs w:val="19"/>
        </w:rPr>
      </w:pPr>
    </w:p>
  </w:footnote>
  <w:footnote w:id="21">
    <w:p w:rsidR="00DA69D6" w:rsidP="009377EF" w:rsidRDefault="00DA69D6" w14:paraId="172C502E" w14:textId="6A9CB084">
      <w:pPr>
        <w:ind w:firstLine="707"/>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«Artículo </w:t>
      </w:r>
      <w:r w:rsidRPr="00A52EF5">
        <w:rPr>
          <w:rFonts w:ascii="Arial" w:hAnsi="Arial" w:cs="Arial"/>
          <w:sz w:val="19"/>
          <w:szCs w:val="19"/>
        </w:rPr>
        <w:t>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r w:rsidRPr="0062206A">
        <w:rPr>
          <w:rFonts w:ascii="Arial" w:hAnsi="Arial" w:cs="Arial"/>
          <w:sz w:val="19"/>
          <w:szCs w:val="19"/>
        </w:rPr>
        <w:t>».</w:t>
      </w:r>
    </w:p>
    <w:p w:rsidRPr="0062206A" w:rsidR="00DA69D6" w:rsidP="009377EF" w:rsidRDefault="00DA69D6" w14:paraId="357C7857" w14:textId="77777777">
      <w:pPr>
        <w:ind w:firstLine="707"/>
        <w:jc w:val="both"/>
        <w:rPr>
          <w:rFonts w:ascii="Arial" w:hAnsi="Arial" w:cs="Arial"/>
          <w:sz w:val="19"/>
          <w:szCs w:val="19"/>
        </w:rPr>
      </w:pPr>
    </w:p>
  </w:footnote>
  <w:footnote w:id="22">
    <w:p w:rsidRPr="00A52EF5" w:rsidR="00DA69D6" w:rsidP="00A52EF5" w:rsidRDefault="00DA69D6" w14:paraId="778555E3" w14:textId="6F05F67D">
      <w:pPr>
        <w:ind w:firstLine="707"/>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«Artículo </w:t>
      </w:r>
      <w:r w:rsidRPr="00A52EF5">
        <w:rPr>
          <w:rFonts w:ascii="Arial" w:hAnsi="Arial" w:cs="Arial"/>
          <w:sz w:val="19"/>
          <w:szCs w:val="19"/>
        </w:rPr>
        <w:t xml:space="preserve">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rsidRPr="00A52EF5" w:rsidR="00DA69D6" w:rsidP="00A52EF5" w:rsidRDefault="00DA69D6" w14:paraId="69876F18" w14:textId="661D2E95">
      <w:pPr>
        <w:ind w:firstLine="707"/>
        <w:jc w:val="both"/>
        <w:rPr>
          <w:rFonts w:ascii="Arial" w:hAnsi="Arial" w:cs="Arial"/>
          <w:sz w:val="19"/>
          <w:szCs w:val="19"/>
        </w:rPr>
      </w:pPr>
      <w:r>
        <w:rPr>
          <w:rFonts w:ascii="Arial" w:hAnsi="Arial" w:cs="Arial"/>
          <w:sz w:val="19"/>
          <w:szCs w:val="19"/>
        </w:rPr>
        <w:t>»</w:t>
      </w:r>
      <w:r w:rsidRPr="00A52EF5">
        <w:rPr>
          <w:rFonts w:ascii="Arial" w:hAnsi="Arial" w:cs="Arial"/>
          <w:sz w:val="19"/>
          <w:szCs w:val="19"/>
        </w:rPr>
        <w:t xml:space="preserve">Los sujetos obligados que no contratan con cargo a recursos públicos no están obligados a publicar su Plan Anual de Adquisiciones. </w:t>
      </w:r>
    </w:p>
    <w:p w:rsidRPr="00A52EF5" w:rsidR="00DA69D6" w:rsidP="00A52EF5" w:rsidRDefault="00DA69D6" w14:paraId="1608CA91" w14:textId="3CB4DDEC">
      <w:pPr>
        <w:ind w:firstLine="707"/>
        <w:jc w:val="both"/>
        <w:rPr>
          <w:rFonts w:ascii="Arial" w:hAnsi="Arial" w:cs="Arial"/>
          <w:sz w:val="19"/>
          <w:szCs w:val="19"/>
        </w:rPr>
      </w:pPr>
      <w:r>
        <w:rPr>
          <w:rFonts w:ascii="Arial" w:hAnsi="Arial" w:cs="Arial"/>
          <w:sz w:val="19"/>
          <w:szCs w:val="19"/>
        </w:rPr>
        <w:t>»</w:t>
      </w:r>
      <w:r w:rsidRPr="00A52EF5">
        <w:rPr>
          <w:rFonts w:ascii="Arial" w:hAnsi="Arial" w:cs="Arial"/>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rsidRPr="0062206A" w:rsidR="00DA69D6" w:rsidP="00A52EF5" w:rsidRDefault="00DA69D6" w14:paraId="1A0CB959" w14:textId="5536C0BD">
      <w:pPr>
        <w:ind w:firstLine="707"/>
        <w:jc w:val="both"/>
        <w:rPr>
          <w:rFonts w:ascii="Arial" w:hAnsi="Arial" w:cs="Arial"/>
          <w:sz w:val="19"/>
          <w:szCs w:val="19"/>
        </w:rPr>
      </w:pPr>
      <w:r>
        <w:rPr>
          <w:rFonts w:ascii="Arial" w:hAnsi="Arial" w:cs="Arial"/>
          <w:sz w:val="19"/>
          <w:szCs w:val="19"/>
        </w:rPr>
        <w:t>»</w:t>
      </w:r>
      <w:r w:rsidRPr="00A52EF5">
        <w:rPr>
          <w:rFonts w:ascii="Arial" w:hAnsi="Arial" w:cs="Arial"/>
          <w:sz w:val="19"/>
          <w:szCs w:val="19"/>
        </w:rPr>
        <w:t>Se entenderá como definición de Plan Anual de Adquisiciones respecto a todos los sujetos obligados que contratan con recursos públicos, la prevista en el artículo 3° del Decreto 1510 de 2013, o el que lo modifique, sustituya o adicione</w:t>
      </w:r>
      <w:r>
        <w:rPr>
          <w:rFonts w:ascii="Arial" w:hAnsi="Arial" w:cs="Arial"/>
          <w:sz w:val="19"/>
          <w:szCs w:val="19"/>
        </w:rPr>
        <w:t>»</w:t>
      </w:r>
      <w:r w:rsidRPr="00A52EF5">
        <w:rPr>
          <w:rFonts w:ascii="Arial" w:hAnsi="Arial" w:cs="Arial"/>
          <w:sz w:val="19"/>
          <w:szCs w:val="19"/>
        </w:rPr>
        <w:t>.</w:t>
      </w:r>
    </w:p>
    <w:p w:rsidRPr="0062206A" w:rsidR="00DA69D6" w:rsidP="001C73AB" w:rsidRDefault="00DA69D6" w14:paraId="083B5521" w14:textId="77777777">
      <w:pPr>
        <w:pStyle w:val="Textonotapie"/>
        <w:rPr>
          <w:rFonts w:ascii="Arial" w:hAnsi="Arial" w:cs="Arial"/>
          <w:sz w:val="19"/>
          <w:szCs w:val="19"/>
        </w:rPr>
      </w:pPr>
    </w:p>
  </w:footnote>
  <w:footnote w:id="23">
    <w:p w:rsidRPr="00D307CD" w:rsidR="00DA69D6" w:rsidP="00D307CD" w:rsidRDefault="00DA69D6" w14:paraId="18C9FBB8" w14:textId="462C750D">
      <w:pPr>
        <w:pStyle w:val="Prrafodelista"/>
        <w:ind w:left="0" w:firstLine="709"/>
        <w:jc w:val="both"/>
        <w:rPr>
          <w:rFonts w:ascii="Arial" w:hAnsi="Arial" w:eastAsia="Calibri" w:cs="Arial"/>
          <w:color w:val="000000" w:themeColor="text1"/>
          <w:sz w:val="19"/>
          <w:szCs w:val="19"/>
        </w:rPr>
      </w:pPr>
      <w:r w:rsidRPr="00D307CD">
        <w:rPr>
          <w:rStyle w:val="Refdenotaalpie"/>
          <w:rFonts w:ascii="Arial" w:hAnsi="Arial" w:cs="Arial"/>
          <w:sz w:val="19"/>
          <w:szCs w:val="19"/>
        </w:rPr>
        <w:footnoteRef/>
      </w:r>
      <w:r w:rsidRPr="00D307CD">
        <w:rPr>
          <w:rFonts w:ascii="Arial" w:hAnsi="Arial" w:cs="Arial"/>
          <w:sz w:val="19"/>
          <w:szCs w:val="19"/>
        </w:rPr>
        <w:t xml:space="preserve">  Al respecto esta Agencia expuso: «</w:t>
      </w:r>
      <w:r w:rsidRPr="00D307CD">
        <w:rPr>
          <w:rFonts w:ascii="Arial" w:hAnsi="Arial" w:eastAsia="Calibri" w:cs="Arial"/>
          <w:color w:val="000000" w:themeColor="text1"/>
          <w:sz w:val="19"/>
          <w:szCs w:val="19"/>
        </w:rPr>
        <w:t>En el año 2017, en la consulta con radicado No. 4201713000005390 se prevé que: el plazo para publicar por parte de las entidades de régimen especial es el que se fije en el manual de contratación de la entidad». Por su parte, en el año 2018, con la expedición de la Circular Externa Única, se cambió la postura y se indica: «las entidades que aun utilizan el SECOP I están obligadas a publicar los documentos del proceso dentro de los tres (3) días siguientes a su expedición</w:t>
      </w:r>
      <w:r w:rsidRPr="00D307CD">
        <w:rPr>
          <w:rStyle w:val="Refdenotaalpie"/>
          <w:rFonts w:ascii="Arial" w:hAnsi="Arial" w:eastAsia="Calibri" w:cs="Arial"/>
          <w:color w:val="000000" w:themeColor="text1"/>
          <w:sz w:val="19"/>
          <w:szCs w:val="19"/>
        </w:rPr>
        <w:footnoteRef/>
      </w:r>
      <w:r w:rsidRPr="00D307CD">
        <w:rPr>
          <w:rFonts w:ascii="Arial" w:hAnsi="Arial" w:eastAsia="Calibri" w:cs="Arial"/>
          <w:color w:val="000000" w:themeColor="text1"/>
          <w:sz w:val="19"/>
          <w:szCs w:val="19"/>
        </w:rPr>
        <w:t xml:space="preserve"> […]». De lo regulado en la Circular Externa Única se infiere que se otorga un tratamiento igualitario a las entidades, independientemente de su régimen de contratación, por lo tanto, aplica el artículo 2.2.1.1.1.7.1. del Decreto 1082 de 2015. 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w:t>
      </w:r>
      <w:r>
        <w:rPr>
          <w:rFonts w:ascii="Arial" w:hAnsi="Arial" w:eastAsia="Calibri" w:cs="Arial"/>
          <w:color w:val="000000" w:themeColor="text1"/>
          <w:sz w:val="19"/>
          <w:szCs w:val="19"/>
        </w:rPr>
        <w:t xml:space="preserve"> </w:t>
      </w:r>
      <w:r w:rsidRPr="003260DD">
        <w:rPr>
          <w:rFonts w:ascii="Arial" w:hAnsi="Arial" w:eastAsia="Calibri" w:cs="Arial"/>
          <w:color w:val="000000" w:themeColor="text1"/>
          <w:sz w:val="19"/>
          <w:szCs w:val="19"/>
        </w:rPr>
        <w:t>Concepto CU-003 del 15 enero de 2020. Radicados de entrada No. 4201912000008073 y 20201200000029. Radicado de salida No. 2202013000000164.</w:t>
      </w:r>
    </w:p>
    <w:p w:rsidRPr="00D307CD" w:rsidR="00DA69D6" w:rsidP="00D307CD" w:rsidRDefault="00DA69D6" w14:paraId="0362953E" w14:textId="17CA77A5">
      <w:pPr>
        <w:pStyle w:val="Textonotapie"/>
        <w:ind w:firstLine="708"/>
        <w:rPr>
          <w:lang w:val="es-CO"/>
        </w:rPr>
      </w:pPr>
    </w:p>
  </w:footnote>
  <w:footnote w:id="24">
    <w:p w:rsidRPr="0062206A" w:rsidR="00DA69D6" w:rsidP="00A551E2" w:rsidRDefault="00DA69D6" w14:paraId="63E6ED39"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Corte Constitucional. Sentencia C- 083 del 1 de marzo de 1995. M.P. Carlos Gaviria Díaz</w:t>
      </w:r>
    </w:p>
    <w:p w:rsidRPr="0062206A" w:rsidR="00DA69D6" w:rsidP="00A551E2" w:rsidRDefault="00DA69D6" w14:paraId="2D2791A1" w14:textId="77777777">
      <w:pPr>
        <w:pStyle w:val="Textonotapie"/>
        <w:ind w:firstLine="708"/>
        <w:jc w:val="both"/>
        <w:rPr>
          <w:rFonts w:ascii="Arial" w:hAnsi="Arial" w:cs="Arial"/>
          <w:color w:val="000000" w:themeColor="text1"/>
          <w:sz w:val="19"/>
          <w:szCs w:val="19"/>
        </w:rPr>
      </w:pPr>
    </w:p>
  </w:footnote>
  <w:footnote w:id="25">
    <w:p w:rsidRPr="0062206A" w:rsidR="00DA69D6" w:rsidP="00A551E2" w:rsidRDefault="00DA69D6" w14:paraId="620A92DF" w14:textId="7777777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62206A" w:rsidR="00DA69D6" w:rsidP="00A551E2" w:rsidRDefault="00DA69D6" w14:paraId="4AB1567E" w14:textId="7777777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69D6" w:rsidRDefault="00DA69D6" w14:paraId="105005AE" w14:textId="77777777">
    <w:pPr>
      <w:pStyle w:val="Encabezado"/>
    </w:pPr>
  </w:p>
  <w:p w:rsidR="00DA69D6" w:rsidRDefault="00DA69D6" w14:paraId="68F698E2" w14:textId="77777777">
    <w:pPr>
      <w:pStyle w:val="Encabezado"/>
    </w:pPr>
  </w:p>
  <w:p w:rsidR="00DA69D6" w:rsidRDefault="00DA69D6" w14:paraId="57540A8A" w14:textId="77777777">
    <w:pPr>
      <w:pStyle w:val="Encabezado"/>
    </w:pPr>
    <w:r>
      <w:rPr>
        <w:noProof/>
        <w:lang w:val="en-US"/>
      </w:rPr>
      <w:drawing>
        <wp:anchor distT="0" distB="0" distL="114300" distR="114300" simplePos="0" relativeHeight="251659264" behindDoc="1" locked="0" layoutInCell="1" allowOverlap="1" wp14:anchorId="7BBFBC61" wp14:editId="05AADA77">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69D6" w:rsidRDefault="00DA69D6" w14:paraId="4E253450" w14:textId="77777777">
    <w:pPr>
      <w:pStyle w:val="Encabezado"/>
    </w:pPr>
  </w:p>
  <w:p w:rsidR="00DA69D6" w:rsidRDefault="00DA69D6" w14:paraId="0454B549" w14:textId="77777777">
    <w:pPr>
      <w:pStyle w:val="Encabezado"/>
    </w:pPr>
  </w:p>
  <w:p w:rsidR="00DA69D6" w:rsidRDefault="00DA69D6" w14:paraId="40BB6B4A" w14:textId="4B3B1D1B">
    <w:pPr>
      <w:pStyle w:val="Encabezado"/>
    </w:pPr>
  </w:p>
  <w:p w:rsidR="00645AD9" w:rsidRDefault="00645AD9" w14:paraId="35D86C7A" w14:textId="777777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E2"/>
    <w:rsid w:val="00020DAB"/>
    <w:rsid w:val="000219B9"/>
    <w:rsid w:val="00050323"/>
    <w:rsid w:val="000F12FF"/>
    <w:rsid w:val="000F41A4"/>
    <w:rsid w:val="00112A60"/>
    <w:rsid w:val="0013078D"/>
    <w:rsid w:val="00145264"/>
    <w:rsid w:val="00160F56"/>
    <w:rsid w:val="001A74E3"/>
    <w:rsid w:val="001B0BFE"/>
    <w:rsid w:val="001C1184"/>
    <w:rsid w:val="001C73AB"/>
    <w:rsid w:val="001E361B"/>
    <w:rsid w:val="001F7A1F"/>
    <w:rsid w:val="00204DEF"/>
    <w:rsid w:val="00216932"/>
    <w:rsid w:val="00260A6F"/>
    <w:rsid w:val="002F2D74"/>
    <w:rsid w:val="003260DD"/>
    <w:rsid w:val="00350529"/>
    <w:rsid w:val="00374AD0"/>
    <w:rsid w:val="00397D96"/>
    <w:rsid w:val="003D3FB0"/>
    <w:rsid w:val="0040307B"/>
    <w:rsid w:val="004138C1"/>
    <w:rsid w:val="00436DA4"/>
    <w:rsid w:val="00437D7B"/>
    <w:rsid w:val="00441FC6"/>
    <w:rsid w:val="0046673E"/>
    <w:rsid w:val="004671A0"/>
    <w:rsid w:val="004713BD"/>
    <w:rsid w:val="0048045C"/>
    <w:rsid w:val="004A18AD"/>
    <w:rsid w:val="004A3651"/>
    <w:rsid w:val="004B1B98"/>
    <w:rsid w:val="004B2B2E"/>
    <w:rsid w:val="004C5741"/>
    <w:rsid w:val="004E2DF1"/>
    <w:rsid w:val="004F780B"/>
    <w:rsid w:val="0051406C"/>
    <w:rsid w:val="005205D7"/>
    <w:rsid w:val="00527523"/>
    <w:rsid w:val="00542233"/>
    <w:rsid w:val="00543C1A"/>
    <w:rsid w:val="00547A09"/>
    <w:rsid w:val="0057553E"/>
    <w:rsid w:val="005827EB"/>
    <w:rsid w:val="00584EAA"/>
    <w:rsid w:val="00586347"/>
    <w:rsid w:val="005C29B6"/>
    <w:rsid w:val="005E5F36"/>
    <w:rsid w:val="0062206A"/>
    <w:rsid w:val="00632BD2"/>
    <w:rsid w:val="00640EAC"/>
    <w:rsid w:val="00645AD9"/>
    <w:rsid w:val="00655EB5"/>
    <w:rsid w:val="00656B20"/>
    <w:rsid w:val="00690A1E"/>
    <w:rsid w:val="006958B0"/>
    <w:rsid w:val="006A05D4"/>
    <w:rsid w:val="006A1FF2"/>
    <w:rsid w:val="006A6A13"/>
    <w:rsid w:val="006D6084"/>
    <w:rsid w:val="006E544F"/>
    <w:rsid w:val="006F6AC3"/>
    <w:rsid w:val="007138E4"/>
    <w:rsid w:val="00735AC5"/>
    <w:rsid w:val="00737F11"/>
    <w:rsid w:val="007405A1"/>
    <w:rsid w:val="008076F8"/>
    <w:rsid w:val="00812936"/>
    <w:rsid w:val="00834237"/>
    <w:rsid w:val="008425CE"/>
    <w:rsid w:val="008436BF"/>
    <w:rsid w:val="0086256B"/>
    <w:rsid w:val="00876CCB"/>
    <w:rsid w:val="00885019"/>
    <w:rsid w:val="008937B6"/>
    <w:rsid w:val="008A365E"/>
    <w:rsid w:val="008F5003"/>
    <w:rsid w:val="00904C17"/>
    <w:rsid w:val="00914168"/>
    <w:rsid w:val="00920969"/>
    <w:rsid w:val="00923EE8"/>
    <w:rsid w:val="00933BE7"/>
    <w:rsid w:val="009377EF"/>
    <w:rsid w:val="00984100"/>
    <w:rsid w:val="00985A93"/>
    <w:rsid w:val="009B1FDD"/>
    <w:rsid w:val="00A30C9A"/>
    <w:rsid w:val="00A52EF5"/>
    <w:rsid w:val="00A551E2"/>
    <w:rsid w:val="00A758E2"/>
    <w:rsid w:val="00A91E55"/>
    <w:rsid w:val="00AA710D"/>
    <w:rsid w:val="00AB032A"/>
    <w:rsid w:val="00AC781B"/>
    <w:rsid w:val="00AD4500"/>
    <w:rsid w:val="00AD6F21"/>
    <w:rsid w:val="00AF644E"/>
    <w:rsid w:val="00B20A23"/>
    <w:rsid w:val="00B30591"/>
    <w:rsid w:val="00B32216"/>
    <w:rsid w:val="00B34B18"/>
    <w:rsid w:val="00BC10C3"/>
    <w:rsid w:val="00BD1184"/>
    <w:rsid w:val="00BE7F46"/>
    <w:rsid w:val="00BF4561"/>
    <w:rsid w:val="00BF77EF"/>
    <w:rsid w:val="00C172C2"/>
    <w:rsid w:val="00C26BFC"/>
    <w:rsid w:val="00CB1A1B"/>
    <w:rsid w:val="00CC184E"/>
    <w:rsid w:val="00CE3FEF"/>
    <w:rsid w:val="00D07530"/>
    <w:rsid w:val="00D307CD"/>
    <w:rsid w:val="00D3599A"/>
    <w:rsid w:val="00D41A92"/>
    <w:rsid w:val="00D62CD5"/>
    <w:rsid w:val="00D64D16"/>
    <w:rsid w:val="00DA69D6"/>
    <w:rsid w:val="00DB19E4"/>
    <w:rsid w:val="00DE442A"/>
    <w:rsid w:val="00DE735D"/>
    <w:rsid w:val="00DF420C"/>
    <w:rsid w:val="00E1495E"/>
    <w:rsid w:val="00E26D3C"/>
    <w:rsid w:val="00E3408B"/>
    <w:rsid w:val="00E56375"/>
    <w:rsid w:val="00E56769"/>
    <w:rsid w:val="00E77064"/>
    <w:rsid w:val="00E86D42"/>
    <w:rsid w:val="00EC1AC0"/>
    <w:rsid w:val="00EC3E71"/>
    <w:rsid w:val="00EE611C"/>
    <w:rsid w:val="00EF3959"/>
    <w:rsid w:val="00F6350E"/>
    <w:rsid w:val="00F909C4"/>
    <w:rsid w:val="00FB0D7D"/>
    <w:rsid w:val="0E0ABFB5"/>
    <w:rsid w:val="18C4E63F"/>
    <w:rsid w:val="217FF318"/>
    <w:rsid w:val="4FCAC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C2DE"/>
  <w15:chartTrackingRefBased/>
  <w15:docId w15:val="{A12CF73E-3BF1-423F-B1BA-E7938252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51E2"/>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551E2"/>
    <w:pPr>
      <w:tabs>
        <w:tab w:val="center" w:pos="4419"/>
        <w:tab w:val="right" w:pos="8838"/>
      </w:tabs>
    </w:pPr>
  </w:style>
  <w:style w:type="character" w:styleId="PiedepginaCar" w:customStyle="1">
    <w:name w:val="Pie de página Car"/>
    <w:basedOn w:val="Fuentedeprrafopredeter"/>
    <w:link w:val="Piedepgina"/>
    <w:uiPriority w:val="99"/>
    <w:rsid w:val="00A551E2"/>
    <w:rPr>
      <w:sz w:val="24"/>
      <w:lang w:val="es-MX"/>
    </w:rPr>
  </w:style>
  <w:style w:type="paragraph" w:styleId="Encabezado">
    <w:name w:val="header"/>
    <w:basedOn w:val="Normal"/>
    <w:link w:val="EncabezadoCar"/>
    <w:uiPriority w:val="99"/>
    <w:unhideWhenUsed/>
    <w:rsid w:val="00A551E2"/>
    <w:pPr>
      <w:tabs>
        <w:tab w:val="center" w:pos="4252"/>
        <w:tab w:val="right" w:pos="8504"/>
      </w:tabs>
    </w:pPr>
  </w:style>
  <w:style w:type="character" w:styleId="EncabezadoCar" w:customStyle="1">
    <w:name w:val="Encabezado Car"/>
    <w:basedOn w:val="Fuentedeprrafopredeter"/>
    <w:link w:val="Encabezado"/>
    <w:uiPriority w:val="99"/>
    <w:rsid w:val="00A551E2"/>
    <w:rPr>
      <w:sz w:val="24"/>
      <w:lang w:val="es-MX"/>
    </w:rPr>
  </w:style>
  <w:style w:type="table" w:styleId="Tablaconcuadrcula">
    <w:name w:val="Table Grid"/>
    <w:basedOn w:val="Tablanormal"/>
    <w:uiPriority w:val="59"/>
    <w:rsid w:val="00A551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551E2"/>
    <w:pPr>
      <w:ind w:left="720"/>
      <w:contextualSpacing/>
    </w:pPr>
  </w:style>
  <w:style w:type="paragraph" w:styleId="NormalWeb">
    <w:name w:val="Normal (Web)"/>
    <w:basedOn w:val="Normal"/>
    <w:link w:val="NormalWebCar"/>
    <w:uiPriority w:val="99"/>
    <w:unhideWhenUsed/>
    <w:rsid w:val="00A551E2"/>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A551E2"/>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551E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551E2"/>
    <w:rPr>
      <w:sz w:val="20"/>
      <w:szCs w:val="20"/>
    </w:rPr>
  </w:style>
  <w:style w:type="character" w:styleId="TextonotapieCar1" w:customStyle="1">
    <w:name w:val="Texto nota pie Car1"/>
    <w:basedOn w:val="Fuentedeprrafopredeter"/>
    <w:uiPriority w:val="99"/>
    <w:semiHidden/>
    <w:rsid w:val="00A551E2"/>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551E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A551E2"/>
    <w:rPr>
      <w:vertAlign w:val="superscript"/>
    </w:rPr>
  </w:style>
  <w:style w:type="character" w:styleId="NormalWebCar" w:customStyle="1">
    <w:name w:val="Normal (Web) Car"/>
    <w:link w:val="NormalWeb"/>
    <w:uiPriority w:val="99"/>
    <w:rsid w:val="00A551E2"/>
    <w:rPr>
      <w:rFonts w:ascii="Times New Roman" w:hAnsi="Times New Roman" w:eastAsia="Times New Roman" w:cs="Times New Roman"/>
      <w:sz w:val="24"/>
      <w:szCs w:val="24"/>
      <w:lang w:eastAsia="es-CO"/>
    </w:rPr>
  </w:style>
  <w:style w:type="paragraph" w:styleId="Textocomentario">
    <w:name w:val="annotation text"/>
    <w:basedOn w:val="Normal"/>
    <w:link w:val="TextocomentarioCar"/>
    <w:uiPriority w:val="99"/>
    <w:semiHidden/>
    <w:unhideWhenUsed/>
    <w:rsid w:val="001C1184"/>
    <w:rPr>
      <w:sz w:val="20"/>
      <w:szCs w:val="20"/>
    </w:rPr>
  </w:style>
  <w:style w:type="character" w:styleId="TextocomentarioCar" w:customStyle="1">
    <w:name w:val="Texto comentario Car"/>
    <w:basedOn w:val="Fuentedeprrafopredeter"/>
    <w:link w:val="Textocomentario"/>
    <w:uiPriority w:val="99"/>
    <w:semiHidden/>
    <w:rsid w:val="001C1184"/>
    <w:rPr>
      <w:sz w:val="20"/>
      <w:szCs w:val="20"/>
      <w:lang w:val="es-MX"/>
    </w:rPr>
  </w:style>
  <w:style w:type="paragraph" w:styleId="Textoindependiente">
    <w:name w:val="Body Text"/>
    <w:basedOn w:val="Normal"/>
    <w:link w:val="TextoindependienteCar"/>
    <w:uiPriority w:val="99"/>
    <w:semiHidden/>
    <w:unhideWhenUsed/>
    <w:rsid w:val="00F909C4"/>
    <w:pPr>
      <w:spacing w:after="120"/>
    </w:pPr>
  </w:style>
  <w:style w:type="character" w:styleId="TextoindependienteCar" w:customStyle="1">
    <w:name w:val="Texto independiente Car"/>
    <w:basedOn w:val="Fuentedeprrafopredeter"/>
    <w:link w:val="Textoindependiente"/>
    <w:uiPriority w:val="99"/>
    <w:semiHidden/>
    <w:rsid w:val="00F909C4"/>
    <w:rPr>
      <w:sz w:val="24"/>
      <w:lang w:val="es-MX"/>
    </w:rPr>
  </w:style>
  <w:style w:type="character" w:styleId="Hipervnculo">
    <w:name w:val="Hyperlink"/>
    <w:basedOn w:val="Fuentedeprrafopredeter"/>
    <w:uiPriority w:val="99"/>
    <w:unhideWhenUsed/>
    <w:rsid w:val="00640EAC"/>
    <w:rPr>
      <w:color w:val="0563C1" w:themeColor="hyperlink"/>
      <w:u w:val="single"/>
    </w:rPr>
  </w:style>
  <w:style w:type="character" w:styleId="Mencinsinresolver">
    <w:name w:val="Unresolved Mention"/>
    <w:basedOn w:val="Fuentedeprrafopredeter"/>
    <w:uiPriority w:val="99"/>
    <w:semiHidden/>
    <w:unhideWhenUsed/>
    <w:rsid w:val="00640EAC"/>
    <w:rPr>
      <w:color w:val="605E5C"/>
      <w:shd w:val="clear" w:color="auto" w:fill="E1DFDD"/>
    </w:rPr>
  </w:style>
  <w:style w:type="character" w:styleId="Refdecomentario">
    <w:name w:val="annotation reference"/>
    <w:basedOn w:val="Fuentedeprrafopredeter"/>
    <w:uiPriority w:val="99"/>
    <w:semiHidden/>
    <w:unhideWhenUsed/>
    <w:rsid w:val="00735AC5"/>
    <w:rPr>
      <w:sz w:val="16"/>
      <w:szCs w:val="16"/>
    </w:rPr>
  </w:style>
  <w:style w:type="paragraph" w:styleId="Asuntodelcomentario">
    <w:name w:val="annotation subject"/>
    <w:basedOn w:val="Textocomentario"/>
    <w:next w:val="Textocomentario"/>
    <w:link w:val="AsuntodelcomentarioCar"/>
    <w:uiPriority w:val="99"/>
    <w:semiHidden/>
    <w:unhideWhenUsed/>
    <w:rsid w:val="00735AC5"/>
    <w:rPr>
      <w:b/>
      <w:bCs/>
    </w:rPr>
  </w:style>
  <w:style w:type="character" w:styleId="AsuntodelcomentarioCar" w:customStyle="1">
    <w:name w:val="Asunto del comentario Car"/>
    <w:basedOn w:val="TextocomentarioCar"/>
    <w:link w:val="Asuntodelcomentario"/>
    <w:uiPriority w:val="99"/>
    <w:semiHidden/>
    <w:rsid w:val="00735AC5"/>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042">
      <w:bodyDiv w:val="1"/>
      <w:marLeft w:val="0"/>
      <w:marRight w:val="0"/>
      <w:marTop w:val="0"/>
      <w:marBottom w:val="0"/>
      <w:divBdr>
        <w:top w:val="none" w:sz="0" w:space="0" w:color="auto"/>
        <w:left w:val="none" w:sz="0" w:space="0" w:color="auto"/>
        <w:bottom w:val="none" w:sz="0" w:space="0" w:color="auto"/>
        <w:right w:val="none" w:sz="0" w:space="0" w:color="auto"/>
      </w:divBdr>
    </w:div>
    <w:div w:id="236406719">
      <w:bodyDiv w:val="1"/>
      <w:marLeft w:val="0"/>
      <w:marRight w:val="0"/>
      <w:marTop w:val="0"/>
      <w:marBottom w:val="0"/>
      <w:divBdr>
        <w:top w:val="none" w:sz="0" w:space="0" w:color="auto"/>
        <w:left w:val="none" w:sz="0" w:space="0" w:color="auto"/>
        <w:bottom w:val="none" w:sz="0" w:space="0" w:color="auto"/>
        <w:right w:val="none" w:sz="0" w:space="0" w:color="auto"/>
      </w:divBdr>
    </w:div>
    <w:div w:id="562328735">
      <w:bodyDiv w:val="1"/>
      <w:marLeft w:val="0"/>
      <w:marRight w:val="0"/>
      <w:marTop w:val="0"/>
      <w:marBottom w:val="0"/>
      <w:divBdr>
        <w:top w:val="none" w:sz="0" w:space="0" w:color="auto"/>
        <w:left w:val="none" w:sz="0" w:space="0" w:color="auto"/>
        <w:bottom w:val="none" w:sz="0" w:space="0" w:color="auto"/>
        <w:right w:val="none" w:sz="0" w:space="0" w:color="auto"/>
      </w:divBdr>
    </w:div>
    <w:div w:id="645355923">
      <w:bodyDiv w:val="1"/>
      <w:marLeft w:val="0"/>
      <w:marRight w:val="0"/>
      <w:marTop w:val="0"/>
      <w:marBottom w:val="0"/>
      <w:divBdr>
        <w:top w:val="none" w:sz="0" w:space="0" w:color="auto"/>
        <w:left w:val="none" w:sz="0" w:space="0" w:color="auto"/>
        <w:bottom w:val="none" w:sz="0" w:space="0" w:color="auto"/>
        <w:right w:val="none" w:sz="0" w:space="0" w:color="auto"/>
      </w:divBdr>
    </w:div>
    <w:div w:id="784470389">
      <w:bodyDiv w:val="1"/>
      <w:marLeft w:val="0"/>
      <w:marRight w:val="0"/>
      <w:marTop w:val="0"/>
      <w:marBottom w:val="0"/>
      <w:divBdr>
        <w:top w:val="none" w:sz="0" w:space="0" w:color="auto"/>
        <w:left w:val="none" w:sz="0" w:space="0" w:color="auto"/>
        <w:bottom w:val="none" w:sz="0" w:space="0" w:color="auto"/>
        <w:right w:val="none" w:sz="0" w:space="0" w:color="auto"/>
      </w:divBdr>
    </w:div>
    <w:div w:id="1084034795">
      <w:bodyDiv w:val="1"/>
      <w:marLeft w:val="0"/>
      <w:marRight w:val="0"/>
      <w:marTop w:val="0"/>
      <w:marBottom w:val="0"/>
      <w:divBdr>
        <w:top w:val="none" w:sz="0" w:space="0" w:color="auto"/>
        <w:left w:val="none" w:sz="0" w:space="0" w:color="auto"/>
        <w:bottom w:val="none" w:sz="0" w:space="0" w:color="auto"/>
        <w:right w:val="none" w:sz="0" w:space="0" w:color="auto"/>
      </w:divBdr>
    </w:div>
    <w:div w:id="1198784702">
      <w:bodyDiv w:val="1"/>
      <w:marLeft w:val="0"/>
      <w:marRight w:val="0"/>
      <w:marTop w:val="0"/>
      <w:marBottom w:val="0"/>
      <w:divBdr>
        <w:top w:val="none" w:sz="0" w:space="0" w:color="auto"/>
        <w:left w:val="none" w:sz="0" w:space="0" w:color="auto"/>
        <w:bottom w:val="none" w:sz="0" w:space="0" w:color="auto"/>
        <w:right w:val="none" w:sz="0" w:space="0" w:color="auto"/>
      </w:divBdr>
    </w:div>
    <w:div w:id="1396971409">
      <w:bodyDiv w:val="1"/>
      <w:marLeft w:val="0"/>
      <w:marRight w:val="0"/>
      <w:marTop w:val="0"/>
      <w:marBottom w:val="0"/>
      <w:divBdr>
        <w:top w:val="none" w:sz="0" w:space="0" w:color="auto"/>
        <w:left w:val="none" w:sz="0" w:space="0" w:color="auto"/>
        <w:bottom w:val="none" w:sz="0" w:space="0" w:color="auto"/>
        <w:right w:val="none" w:sz="0" w:space="0" w:color="auto"/>
      </w:divBdr>
    </w:div>
    <w:div w:id="1708480978">
      <w:bodyDiv w:val="1"/>
      <w:marLeft w:val="0"/>
      <w:marRight w:val="0"/>
      <w:marTop w:val="0"/>
      <w:marBottom w:val="0"/>
      <w:divBdr>
        <w:top w:val="none" w:sz="0" w:space="0" w:color="auto"/>
        <w:left w:val="none" w:sz="0" w:space="0" w:color="auto"/>
        <w:bottom w:val="none" w:sz="0" w:space="0" w:color="auto"/>
        <w:right w:val="none" w:sz="0" w:space="0" w:color="auto"/>
      </w:divBdr>
    </w:div>
    <w:div w:id="20311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image" Target="/media/image4.png" Id="R2f2b568a50764912" /></Relationships>
</file>

<file path=word/_rels/footer1.xml.rels>&#65279;<?xml version="1.0" encoding="utf-8"?><Relationships xmlns="http://schemas.openxmlformats.org/package/2006/relationships"><Relationship Type="http://schemas.openxmlformats.org/officeDocument/2006/relationships/image" Target="/media/image5.png" Id="R04c58d665994473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659276A-CA50-4EB3-B25C-DD7D775DDE7D}">
  <ds:schemaRefs>
    <ds:schemaRef ds:uri="http://schemas.openxmlformats.org/officeDocument/2006/bibliography"/>
  </ds:schemaRefs>
</ds:datastoreItem>
</file>

<file path=customXml/itemProps2.xml><?xml version="1.0" encoding="utf-8"?>
<ds:datastoreItem xmlns:ds="http://schemas.openxmlformats.org/officeDocument/2006/customXml" ds:itemID="{79F93170-ED43-4464-9CE9-301F5BE79692}"/>
</file>

<file path=customXml/itemProps3.xml><?xml version="1.0" encoding="utf-8"?>
<ds:datastoreItem xmlns:ds="http://schemas.openxmlformats.org/officeDocument/2006/customXml" ds:itemID="{2A23B41F-0CB8-46C2-8032-06C497CC2FEA}"/>
</file>

<file path=customXml/itemProps4.xml><?xml version="1.0" encoding="utf-8"?>
<ds:datastoreItem xmlns:ds="http://schemas.openxmlformats.org/officeDocument/2006/customXml" ds:itemID="{931F100B-11FD-46E5-8BBF-7A5382E18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Arlid Herrera Santa</dc:creator>
  <keywords/>
  <dc:description/>
  <lastModifiedBy>Kevin Arlid Herrera Santa</lastModifiedBy>
  <revision>23</revision>
  <dcterms:created xsi:type="dcterms:W3CDTF">2021-03-02T19:28:00.0000000Z</dcterms:created>
  <dcterms:modified xsi:type="dcterms:W3CDTF">2021-03-16T16:03:29.3136654Z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