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1258D" w14:textId="5F36A0DA" w:rsidR="00021167" w:rsidRPr="00021167" w:rsidRDefault="00BE1E33" w:rsidP="00021167">
      <w:pPr>
        <w:jc w:val="right"/>
        <w:rPr>
          <w:rFonts w:ascii="Arial" w:hAnsi="Arial" w:cs="Arial"/>
          <w:bCs/>
          <w:color w:val="000000" w:themeColor="text1"/>
          <w:sz w:val="16"/>
          <w:szCs w:val="16"/>
          <w:lang w:eastAsia="es-ES"/>
        </w:rPr>
      </w:pPr>
      <w:bookmarkStart w:id="0" w:name="_Hlk28946138"/>
      <w:bookmarkStart w:id="1" w:name="_Hlk29548183"/>
      <w:r w:rsidRPr="006C15D5">
        <w:rPr>
          <w:rFonts w:ascii="Arial" w:hAnsi="Arial" w:cs="Arial"/>
          <w:b/>
          <w:color w:val="000000" w:themeColor="text1"/>
          <w:sz w:val="16"/>
          <w:szCs w:val="16"/>
          <w:lang w:eastAsia="es-ES"/>
        </w:rPr>
        <w:tab/>
      </w:r>
      <w:r w:rsidRPr="006C15D5">
        <w:rPr>
          <w:rFonts w:ascii="Arial" w:hAnsi="Arial" w:cs="Arial"/>
          <w:bCs/>
          <w:color w:val="000000" w:themeColor="text1"/>
          <w:sz w:val="16"/>
          <w:szCs w:val="16"/>
          <w:lang w:eastAsia="es-ES"/>
        </w:rPr>
        <w:t>CCE-DES-FM-17</w:t>
      </w:r>
    </w:p>
    <w:p w14:paraId="1A8ECCE4" w14:textId="77777777" w:rsidR="008B3491" w:rsidRDefault="008B3491" w:rsidP="00BE1E33">
      <w:pPr>
        <w:jc w:val="both"/>
        <w:rPr>
          <w:rFonts w:ascii="Arial" w:eastAsia="Calibri" w:hAnsi="Arial" w:cs="Arial"/>
          <w:b/>
          <w:sz w:val="22"/>
        </w:rPr>
      </w:pPr>
    </w:p>
    <w:p w14:paraId="0AA687FC" w14:textId="306967E2" w:rsidR="008B3491" w:rsidRDefault="005308D7" w:rsidP="00BE1E33">
      <w:pPr>
        <w:jc w:val="both"/>
        <w:rPr>
          <w:rFonts w:ascii="Arial" w:eastAsia="Calibri" w:hAnsi="Arial" w:cs="Arial"/>
          <w:b/>
          <w:sz w:val="22"/>
        </w:rPr>
      </w:pPr>
      <w:r>
        <w:rPr>
          <w:rFonts w:ascii="Arial" w:eastAsia="Calibri" w:hAnsi="Arial" w:cs="Arial"/>
          <w:b/>
          <w:sz w:val="22"/>
        </w:rPr>
        <w:t>DOCUMENTO</w:t>
      </w:r>
      <w:r w:rsidR="00333AE0" w:rsidRPr="001D24BE">
        <w:rPr>
          <w:rFonts w:ascii="Arial" w:eastAsia="Calibri" w:hAnsi="Arial" w:cs="Arial"/>
          <w:b/>
          <w:sz w:val="22"/>
        </w:rPr>
        <w:t xml:space="preserve"> TIPO – </w:t>
      </w:r>
      <w:r w:rsidR="003D2637">
        <w:rPr>
          <w:rFonts w:ascii="Arial" w:eastAsia="Calibri" w:hAnsi="Arial" w:cs="Arial"/>
          <w:b/>
          <w:sz w:val="22"/>
        </w:rPr>
        <w:t>Fundamento</w:t>
      </w:r>
      <w:r w:rsidR="000F46BC">
        <w:rPr>
          <w:rFonts w:ascii="Arial" w:eastAsia="Calibri" w:hAnsi="Arial" w:cs="Arial"/>
          <w:b/>
          <w:sz w:val="22"/>
        </w:rPr>
        <w:t>s</w:t>
      </w:r>
      <w:r w:rsidR="003D2637">
        <w:rPr>
          <w:rFonts w:ascii="Arial" w:eastAsia="Calibri" w:hAnsi="Arial" w:cs="Arial"/>
          <w:b/>
          <w:sz w:val="22"/>
        </w:rPr>
        <w:t xml:space="preserve"> jurídico</w:t>
      </w:r>
      <w:r w:rsidR="000F46BC">
        <w:rPr>
          <w:rFonts w:ascii="Arial" w:eastAsia="Calibri" w:hAnsi="Arial" w:cs="Arial"/>
          <w:b/>
          <w:sz w:val="22"/>
        </w:rPr>
        <w:t>s</w:t>
      </w:r>
      <w:r w:rsidR="003D2637">
        <w:rPr>
          <w:rFonts w:ascii="Arial" w:eastAsia="Calibri" w:hAnsi="Arial" w:cs="Arial"/>
          <w:b/>
          <w:sz w:val="22"/>
        </w:rPr>
        <w:t xml:space="preserve"> para su expedición</w:t>
      </w:r>
    </w:p>
    <w:p w14:paraId="17106928" w14:textId="6B9ED7D4" w:rsidR="00333AE0" w:rsidRDefault="00333AE0" w:rsidP="00BE1E33">
      <w:pPr>
        <w:jc w:val="both"/>
        <w:rPr>
          <w:rFonts w:ascii="Arial" w:eastAsia="Calibri" w:hAnsi="Arial" w:cs="Arial"/>
          <w:b/>
          <w:sz w:val="22"/>
        </w:rPr>
      </w:pPr>
    </w:p>
    <w:p w14:paraId="527ED308" w14:textId="74DED1EE" w:rsidR="00333AE0" w:rsidRDefault="009E16CD" w:rsidP="00BE1E33">
      <w:pPr>
        <w:jc w:val="both"/>
        <w:rPr>
          <w:rFonts w:ascii="Arial" w:eastAsia="Calibri" w:hAnsi="Arial" w:cs="Arial"/>
          <w:bCs/>
          <w:sz w:val="20"/>
          <w:szCs w:val="20"/>
          <w:lang w:val="es-ES_tradnl"/>
        </w:rPr>
      </w:pPr>
      <w:r w:rsidRPr="009E16CD">
        <w:rPr>
          <w:rFonts w:ascii="Arial" w:eastAsia="Calibri" w:hAnsi="Arial" w:cs="Arial"/>
          <w:bCs/>
          <w:sz w:val="20"/>
          <w:szCs w:val="20"/>
          <w:lang w:val="es-ES_tradnl"/>
        </w:rPr>
        <w:t xml:space="preserve">El Gobierno Nacional mediante el artículo 2.2.1.2.6.1.3 del Decreto 1082 de 2015, adicionado por el Decreto 342 de 2019, facultó a la Agencia Nacional de Contratación Pública – Colombia Compra Eficiente, para que en coordinación con el Departamento Nacional de Planeación –DNP– y el Ministerio de Transporte, desarrollara e implementara los Documentos Tipo. </w:t>
      </w:r>
    </w:p>
    <w:p w14:paraId="50C88D3E" w14:textId="77777777" w:rsidR="009E16CD" w:rsidRDefault="009E16CD" w:rsidP="00BE1E33">
      <w:pPr>
        <w:jc w:val="both"/>
        <w:rPr>
          <w:rFonts w:ascii="Arial" w:eastAsia="Calibri" w:hAnsi="Arial" w:cs="Arial"/>
          <w:b/>
          <w:sz w:val="22"/>
        </w:rPr>
      </w:pPr>
    </w:p>
    <w:p w14:paraId="33BD1F25" w14:textId="13D32F3F" w:rsidR="00BE1E33" w:rsidRPr="006C15D5" w:rsidRDefault="005308D7" w:rsidP="00BE1E33">
      <w:pPr>
        <w:jc w:val="both"/>
        <w:rPr>
          <w:rFonts w:ascii="Arial" w:eastAsia="Calibri" w:hAnsi="Arial" w:cs="Arial"/>
          <w:b/>
          <w:color w:val="000000" w:themeColor="text1"/>
          <w:sz w:val="22"/>
        </w:rPr>
      </w:pPr>
      <w:r>
        <w:rPr>
          <w:rFonts w:ascii="Arial" w:eastAsia="Calibri" w:hAnsi="Arial" w:cs="Arial"/>
          <w:b/>
          <w:color w:val="000000" w:themeColor="text1"/>
          <w:sz w:val="22"/>
        </w:rPr>
        <w:t>DOCUMENTO</w:t>
      </w:r>
      <w:r w:rsidR="00EF5EBF">
        <w:rPr>
          <w:rFonts w:ascii="Arial" w:eastAsia="Calibri" w:hAnsi="Arial" w:cs="Arial"/>
          <w:b/>
          <w:color w:val="000000" w:themeColor="text1"/>
          <w:sz w:val="22"/>
        </w:rPr>
        <w:t xml:space="preserve"> TIPO – Inalterabilidad – Vinculatoriedad - </w:t>
      </w:r>
      <w:r w:rsidR="000C3A1A">
        <w:rPr>
          <w:rFonts w:ascii="Arial" w:eastAsia="Calibri" w:hAnsi="Arial" w:cs="Arial"/>
          <w:b/>
          <w:color w:val="000000" w:themeColor="text1"/>
          <w:sz w:val="22"/>
        </w:rPr>
        <w:t>Licitación pública</w:t>
      </w:r>
    </w:p>
    <w:p w14:paraId="79609206" w14:textId="77777777" w:rsidR="00BE1E33" w:rsidRPr="006C15D5" w:rsidRDefault="00BE1E33" w:rsidP="00BE1E33">
      <w:pPr>
        <w:jc w:val="both"/>
        <w:rPr>
          <w:rFonts w:ascii="Arial" w:eastAsia="Calibri" w:hAnsi="Arial" w:cs="Arial"/>
          <w:color w:val="000000" w:themeColor="text1"/>
          <w:sz w:val="20"/>
          <w:szCs w:val="20"/>
        </w:rPr>
      </w:pPr>
    </w:p>
    <w:p w14:paraId="08CEEA3E" w14:textId="27EFC69C" w:rsidR="00BE1E33" w:rsidRPr="006C15D5" w:rsidRDefault="00460884" w:rsidP="00BE1E33">
      <w:pPr>
        <w:jc w:val="both"/>
        <w:rPr>
          <w:rFonts w:ascii="Arial" w:eastAsia="Calibri" w:hAnsi="Arial" w:cs="Arial"/>
          <w:bCs/>
          <w:color w:val="000000" w:themeColor="text1"/>
          <w:sz w:val="20"/>
          <w:szCs w:val="20"/>
        </w:rPr>
      </w:pPr>
      <w:r w:rsidRPr="00460884">
        <w:rPr>
          <w:rFonts w:ascii="Arial" w:eastAsia="Calibri" w:hAnsi="Arial" w:cs="Arial"/>
          <w:bCs/>
          <w:color w:val="000000" w:themeColor="text1"/>
          <w:sz w:val="20"/>
          <w:szCs w:val="20"/>
        </w:rPr>
        <w:t>El artículo 2.2.1.2.6.1.4 del Decreto 1082 de 2015 establece la inalterabilidad de los documentos tipo para la modalidad de licitación pública,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que sean establecidas en los documentos que adopte el Gobierno Nacional, en ejercicio del mandato establecido en el artículo 1 de la Ley 2022 de 2020, como se dijo en el numeral anterior, son de obligatorio cumplimiento para las entidades sometidas al Estatuto General de Contratación de la Administración pública que adelanten procesos que deban regirse por su contenido y no pueden variarse los requisitos que en ellos sean fijados</w:t>
      </w:r>
      <w:r w:rsidR="00BE1E33" w:rsidRPr="006C15D5">
        <w:rPr>
          <w:rFonts w:ascii="Arial" w:eastAsia="Calibri" w:hAnsi="Arial" w:cs="Arial"/>
          <w:bCs/>
          <w:color w:val="000000" w:themeColor="text1"/>
          <w:sz w:val="20"/>
          <w:szCs w:val="20"/>
        </w:rPr>
        <w:t>.</w:t>
      </w:r>
    </w:p>
    <w:p w14:paraId="2DF58E40" w14:textId="1D353CB5" w:rsidR="00BE1E33" w:rsidRDefault="00BE1E33" w:rsidP="00BE1E33">
      <w:pPr>
        <w:jc w:val="both"/>
        <w:rPr>
          <w:rFonts w:ascii="Arial" w:eastAsia="Calibri" w:hAnsi="Arial" w:cs="Arial"/>
          <w:b/>
          <w:color w:val="000000" w:themeColor="text1"/>
          <w:sz w:val="20"/>
          <w:szCs w:val="20"/>
        </w:rPr>
      </w:pPr>
    </w:p>
    <w:p w14:paraId="1E66A29B" w14:textId="4A4816B2" w:rsidR="002854DA" w:rsidRDefault="005308D7" w:rsidP="00BE1E33">
      <w:pPr>
        <w:jc w:val="both"/>
        <w:rPr>
          <w:rFonts w:ascii="Arial" w:eastAsia="Calibri" w:hAnsi="Arial" w:cs="Arial"/>
          <w:b/>
          <w:sz w:val="22"/>
        </w:rPr>
      </w:pPr>
      <w:r>
        <w:rPr>
          <w:rFonts w:ascii="Arial" w:eastAsia="Calibri" w:hAnsi="Arial" w:cs="Arial"/>
          <w:b/>
          <w:sz w:val="22"/>
        </w:rPr>
        <w:t>DOCUMENTO</w:t>
      </w:r>
      <w:bookmarkStart w:id="2" w:name="_GoBack"/>
      <w:bookmarkEnd w:id="2"/>
      <w:r w:rsidR="004E41A8" w:rsidRPr="001D24BE">
        <w:rPr>
          <w:rFonts w:ascii="Arial" w:eastAsia="Calibri" w:hAnsi="Arial" w:cs="Arial"/>
          <w:b/>
          <w:sz w:val="22"/>
        </w:rPr>
        <w:t xml:space="preserve"> TIPO – Inalterabilidad – Información en corchetes y resaltado gris</w:t>
      </w:r>
    </w:p>
    <w:p w14:paraId="24558CD4" w14:textId="01086E6C" w:rsidR="004E41A8" w:rsidRDefault="004E41A8" w:rsidP="00BE1E33">
      <w:pPr>
        <w:jc w:val="both"/>
        <w:rPr>
          <w:rFonts w:ascii="Arial" w:eastAsia="Calibri" w:hAnsi="Arial" w:cs="Arial"/>
          <w:b/>
          <w:sz w:val="22"/>
        </w:rPr>
      </w:pPr>
    </w:p>
    <w:p w14:paraId="3B80CAB3" w14:textId="67FADD73" w:rsidR="004E41A8" w:rsidRPr="004E41A8" w:rsidRDefault="004E41A8" w:rsidP="00BE1E33">
      <w:pPr>
        <w:jc w:val="both"/>
        <w:rPr>
          <w:rFonts w:ascii="Arial" w:eastAsia="Calibri" w:hAnsi="Arial" w:cs="Arial"/>
          <w:color w:val="000000" w:themeColor="text1"/>
          <w:sz w:val="20"/>
          <w:szCs w:val="20"/>
        </w:rPr>
      </w:pPr>
      <w:r w:rsidRPr="004E41A8">
        <w:rPr>
          <w:rFonts w:ascii="Arial" w:eastAsia="Calibri" w:hAnsi="Arial" w:cs="Arial"/>
          <w:bCs/>
          <w:sz w:val="20"/>
          <w:szCs w:val="20"/>
        </w:rPr>
        <w:t>Este principio de inalterabilidad también es aplicable a los formatos y anexos implementados junto con el «Documento Base», los cuales deben ser usados para desarrollar el procedimiento de contratación y que los proponentes acrediten los diferentes requisitos establecidos para participar en él. Estos, al igual que el «Documento Base», contienen apartes entre corchetes y resaltados en gris, los cuales deben ser diligenciados por la entidad, al igual que otros aspectos relativos a información que debe ser completada por los oferentes al hacer uso del formato.</w:t>
      </w:r>
    </w:p>
    <w:p w14:paraId="04112049" w14:textId="77777777" w:rsidR="00BE1E33" w:rsidRPr="006C15D5" w:rsidRDefault="00BE1E33" w:rsidP="00BE1E33">
      <w:pPr>
        <w:jc w:val="both"/>
        <w:rPr>
          <w:rFonts w:ascii="Arial" w:eastAsia="Calibri" w:hAnsi="Arial" w:cs="Arial"/>
          <w:color w:val="000000" w:themeColor="text1"/>
          <w:sz w:val="20"/>
          <w:szCs w:val="20"/>
        </w:rPr>
      </w:pPr>
    </w:p>
    <w:p w14:paraId="2010468C" w14:textId="0F9EAC29" w:rsidR="00BE1E33" w:rsidRDefault="00BE1E33" w:rsidP="00BE1E33">
      <w:pPr>
        <w:jc w:val="both"/>
        <w:rPr>
          <w:rFonts w:ascii="Arial" w:eastAsia="Calibri" w:hAnsi="Arial" w:cs="Arial"/>
          <w:bCs/>
          <w:color w:val="000000" w:themeColor="text1"/>
          <w:sz w:val="20"/>
          <w:szCs w:val="20"/>
        </w:rPr>
      </w:pPr>
    </w:p>
    <w:p w14:paraId="03BD9312" w14:textId="2906FA6F" w:rsidR="00106B2E" w:rsidRDefault="00106B2E" w:rsidP="00BE1E33">
      <w:pPr>
        <w:jc w:val="both"/>
        <w:rPr>
          <w:rFonts w:ascii="Arial" w:eastAsia="Calibri" w:hAnsi="Arial" w:cs="Arial"/>
          <w:bCs/>
          <w:color w:val="000000" w:themeColor="text1"/>
          <w:sz w:val="20"/>
          <w:szCs w:val="20"/>
        </w:rPr>
      </w:pPr>
    </w:p>
    <w:p w14:paraId="0BC24FBE" w14:textId="3879D037" w:rsidR="00CC1768" w:rsidRDefault="00CC1768" w:rsidP="00BE1E33">
      <w:pPr>
        <w:jc w:val="both"/>
        <w:rPr>
          <w:rFonts w:ascii="Arial" w:eastAsia="Calibri" w:hAnsi="Arial" w:cs="Arial"/>
          <w:bCs/>
          <w:color w:val="000000" w:themeColor="text1"/>
          <w:sz w:val="20"/>
          <w:szCs w:val="20"/>
        </w:rPr>
      </w:pPr>
    </w:p>
    <w:p w14:paraId="34359D8E" w14:textId="07EA26AF" w:rsidR="00CC1768" w:rsidRDefault="00CC1768" w:rsidP="00BE1E33">
      <w:pPr>
        <w:jc w:val="both"/>
        <w:rPr>
          <w:rFonts w:ascii="Arial" w:eastAsia="Calibri" w:hAnsi="Arial" w:cs="Arial"/>
          <w:bCs/>
          <w:color w:val="000000" w:themeColor="text1"/>
          <w:sz w:val="20"/>
          <w:szCs w:val="20"/>
        </w:rPr>
      </w:pPr>
    </w:p>
    <w:p w14:paraId="3CDAAFBC" w14:textId="2C94A6ED" w:rsidR="00CC1768" w:rsidRDefault="00CC1768" w:rsidP="00BE1E33">
      <w:pPr>
        <w:jc w:val="both"/>
        <w:rPr>
          <w:rFonts w:ascii="Arial" w:eastAsia="Calibri" w:hAnsi="Arial" w:cs="Arial"/>
          <w:bCs/>
          <w:color w:val="000000" w:themeColor="text1"/>
          <w:sz w:val="20"/>
          <w:szCs w:val="20"/>
        </w:rPr>
      </w:pPr>
    </w:p>
    <w:p w14:paraId="5DD48D97" w14:textId="3E48BC3D" w:rsidR="00CC1768" w:rsidRDefault="00CC1768" w:rsidP="00BE1E33">
      <w:pPr>
        <w:jc w:val="both"/>
        <w:rPr>
          <w:rFonts w:ascii="Arial" w:eastAsia="Calibri" w:hAnsi="Arial" w:cs="Arial"/>
          <w:bCs/>
          <w:color w:val="000000" w:themeColor="text1"/>
          <w:sz w:val="20"/>
          <w:szCs w:val="20"/>
        </w:rPr>
      </w:pPr>
    </w:p>
    <w:p w14:paraId="076A3699" w14:textId="10BD352C" w:rsidR="00CC1768" w:rsidRDefault="00CC1768" w:rsidP="00BE1E33">
      <w:pPr>
        <w:jc w:val="both"/>
        <w:rPr>
          <w:rFonts w:ascii="Arial" w:eastAsia="Calibri" w:hAnsi="Arial" w:cs="Arial"/>
          <w:bCs/>
          <w:color w:val="000000" w:themeColor="text1"/>
          <w:sz w:val="20"/>
          <w:szCs w:val="20"/>
        </w:rPr>
      </w:pPr>
    </w:p>
    <w:p w14:paraId="45AD8531" w14:textId="2CDB8916" w:rsidR="00CC1768" w:rsidRDefault="00CC1768" w:rsidP="00BE1E33">
      <w:pPr>
        <w:jc w:val="both"/>
        <w:rPr>
          <w:rFonts w:ascii="Arial" w:eastAsia="Calibri" w:hAnsi="Arial" w:cs="Arial"/>
          <w:bCs/>
          <w:color w:val="000000" w:themeColor="text1"/>
          <w:sz w:val="20"/>
          <w:szCs w:val="20"/>
        </w:rPr>
      </w:pPr>
    </w:p>
    <w:p w14:paraId="7D26D420" w14:textId="55A4C63C" w:rsidR="00CC1768" w:rsidRDefault="00CC1768" w:rsidP="00BE1E33">
      <w:pPr>
        <w:jc w:val="both"/>
        <w:rPr>
          <w:rFonts w:ascii="Arial" w:eastAsia="Calibri" w:hAnsi="Arial" w:cs="Arial"/>
          <w:bCs/>
          <w:color w:val="000000" w:themeColor="text1"/>
          <w:sz w:val="20"/>
          <w:szCs w:val="20"/>
        </w:rPr>
      </w:pPr>
    </w:p>
    <w:p w14:paraId="2D55DA51" w14:textId="51A52C31" w:rsidR="00CC1768" w:rsidRDefault="00CC1768" w:rsidP="00BE1E33">
      <w:pPr>
        <w:jc w:val="both"/>
        <w:rPr>
          <w:rFonts w:ascii="Arial" w:eastAsia="Calibri" w:hAnsi="Arial" w:cs="Arial"/>
          <w:bCs/>
          <w:color w:val="000000" w:themeColor="text1"/>
          <w:sz w:val="20"/>
          <w:szCs w:val="20"/>
        </w:rPr>
      </w:pPr>
    </w:p>
    <w:p w14:paraId="489D3AAD" w14:textId="52E0E7BF" w:rsidR="00CC1768" w:rsidRDefault="00CC1768" w:rsidP="00BE1E33">
      <w:pPr>
        <w:jc w:val="both"/>
        <w:rPr>
          <w:rFonts w:ascii="Arial" w:eastAsia="Calibri" w:hAnsi="Arial" w:cs="Arial"/>
          <w:bCs/>
          <w:color w:val="000000" w:themeColor="text1"/>
          <w:sz w:val="20"/>
          <w:szCs w:val="20"/>
        </w:rPr>
      </w:pPr>
    </w:p>
    <w:p w14:paraId="19276F9E" w14:textId="18F1C316" w:rsidR="00CC1768" w:rsidRDefault="00CC1768" w:rsidP="00BE1E33">
      <w:pPr>
        <w:jc w:val="both"/>
        <w:rPr>
          <w:rFonts w:ascii="Arial" w:eastAsia="Calibri" w:hAnsi="Arial" w:cs="Arial"/>
          <w:bCs/>
          <w:color w:val="000000" w:themeColor="text1"/>
          <w:sz w:val="20"/>
          <w:szCs w:val="20"/>
        </w:rPr>
      </w:pPr>
    </w:p>
    <w:p w14:paraId="0DD5EFCC" w14:textId="635D1F8D" w:rsidR="00CC1768" w:rsidRDefault="00CC1768" w:rsidP="00BE1E33">
      <w:pPr>
        <w:jc w:val="both"/>
        <w:rPr>
          <w:rFonts w:ascii="Arial" w:eastAsia="Calibri" w:hAnsi="Arial" w:cs="Arial"/>
          <w:bCs/>
          <w:color w:val="000000" w:themeColor="text1"/>
          <w:sz w:val="20"/>
          <w:szCs w:val="20"/>
        </w:rPr>
      </w:pPr>
    </w:p>
    <w:p w14:paraId="06905824" w14:textId="6A92107A" w:rsidR="00CC1768" w:rsidRDefault="00CC1768" w:rsidP="00BE1E33">
      <w:pPr>
        <w:jc w:val="both"/>
        <w:rPr>
          <w:rFonts w:ascii="Arial" w:eastAsia="Calibri" w:hAnsi="Arial" w:cs="Arial"/>
          <w:bCs/>
          <w:color w:val="000000" w:themeColor="text1"/>
          <w:sz w:val="20"/>
          <w:szCs w:val="20"/>
        </w:rPr>
      </w:pPr>
    </w:p>
    <w:p w14:paraId="008F0964" w14:textId="0A67F87B" w:rsidR="00CC1768" w:rsidRDefault="00CC1768" w:rsidP="00BE1E33">
      <w:pPr>
        <w:jc w:val="both"/>
        <w:rPr>
          <w:rFonts w:ascii="Arial" w:eastAsia="Calibri" w:hAnsi="Arial" w:cs="Arial"/>
          <w:bCs/>
          <w:color w:val="000000" w:themeColor="text1"/>
          <w:sz w:val="20"/>
          <w:szCs w:val="20"/>
        </w:rPr>
      </w:pPr>
    </w:p>
    <w:p w14:paraId="51B42E2C" w14:textId="085C28C4" w:rsidR="00CC1768" w:rsidRDefault="00CC1768" w:rsidP="00BE1E33">
      <w:pPr>
        <w:jc w:val="both"/>
        <w:rPr>
          <w:rFonts w:ascii="Arial" w:eastAsia="Calibri" w:hAnsi="Arial" w:cs="Arial"/>
          <w:bCs/>
          <w:color w:val="000000" w:themeColor="text1"/>
          <w:sz w:val="20"/>
          <w:szCs w:val="20"/>
        </w:rPr>
      </w:pPr>
    </w:p>
    <w:p w14:paraId="529489AB" w14:textId="2772543E" w:rsidR="00CC1768" w:rsidRDefault="00CC1768" w:rsidP="00BE1E33">
      <w:pPr>
        <w:jc w:val="both"/>
        <w:rPr>
          <w:rFonts w:ascii="Arial" w:eastAsia="Calibri" w:hAnsi="Arial" w:cs="Arial"/>
          <w:bCs/>
          <w:color w:val="000000" w:themeColor="text1"/>
          <w:sz w:val="20"/>
          <w:szCs w:val="20"/>
        </w:rPr>
      </w:pPr>
    </w:p>
    <w:p w14:paraId="6816904F" w14:textId="44AB12F8" w:rsidR="00CC1768" w:rsidRDefault="00CC1768" w:rsidP="00BE1E33">
      <w:pPr>
        <w:jc w:val="both"/>
        <w:rPr>
          <w:rFonts w:ascii="Arial" w:eastAsia="Calibri" w:hAnsi="Arial" w:cs="Arial"/>
          <w:bCs/>
          <w:color w:val="000000" w:themeColor="text1"/>
          <w:sz w:val="20"/>
          <w:szCs w:val="20"/>
        </w:rPr>
      </w:pPr>
    </w:p>
    <w:p w14:paraId="61C3D98D" w14:textId="77777777" w:rsidR="00021167" w:rsidRPr="006C15D5" w:rsidRDefault="00021167" w:rsidP="00BE1E33">
      <w:pPr>
        <w:jc w:val="both"/>
        <w:rPr>
          <w:rFonts w:ascii="Arial" w:eastAsia="Calibri" w:hAnsi="Arial" w:cs="Arial"/>
          <w:bCs/>
          <w:color w:val="000000" w:themeColor="text1"/>
          <w:sz w:val="20"/>
          <w:szCs w:val="20"/>
        </w:rPr>
      </w:pPr>
    </w:p>
    <w:p w14:paraId="2ECECAF1" w14:textId="77777777" w:rsidR="00C56B01" w:rsidRDefault="00C56B01" w:rsidP="00BE1E33">
      <w:pPr>
        <w:rPr>
          <w:rFonts w:ascii="Arial" w:hAnsi="Arial" w:cs="Arial"/>
          <w:color w:val="000000" w:themeColor="text1"/>
          <w:sz w:val="22"/>
        </w:rPr>
      </w:pPr>
    </w:p>
    <w:p w14:paraId="5E8A6B7A" w14:textId="77777777" w:rsidR="00C56B01" w:rsidRDefault="00C56B01" w:rsidP="00BE1E33">
      <w:pPr>
        <w:rPr>
          <w:rFonts w:ascii="Arial" w:hAnsi="Arial" w:cs="Arial"/>
          <w:color w:val="000000" w:themeColor="text1"/>
          <w:sz w:val="22"/>
        </w:rPr>
      </w:pPr>
    </w:p>
    <w:p w14:paraId="482966A8" w14:textId="77777777" w:rsidR="00106B2E" w:rsidRDefault="00106B2E" w:rsidP="77FA05B7">
      <w:pPr>
        <w:jc w:val="right"/>
        <w:rPr>
          <w:rFonts w:ascii="Arial" w:hAnsi="Arial" w:cs="Arial"/>
          <w:b/>
          <w:bCs/>
          <w:color w:val="000000" w:themeColor="text1"/>
          <w:sz w:val="22"/>
        </w:rPr>
      </w:pPr>
    </w:p>
    <w:p w14:paraId="77D8991C" w14:textId="00E5D440" w:rsidR="77FA05B7" w:rsidRDefault="77FA05B7" w:rsidP="77FA05B7">
      <w:pPr>
        <w:jc w:val="right"/>
        <w:rPr>
          <w:rFonts w:ascii="Arial" w:hAnsi="Arial" w:cs="Arial"/>
          <w:b/>
          <w:bCs/>
          <w:color w:val="000000" w:themeColor="text1"/>
          <w:szCs w:val="24"/>
        </w:rPr>
      </w:pPr>
    </w:p>
    <w:p w14:paraId="71259E48" w14:textId="5AA9BDD5" w:rsidR="480FE7C9" w:rsidRDefault="480FE7C9" w:rsidP="77FA05B7">
      <w:pPr>
        <w:jc w:val="right"/>
        <w:rPr>
          <w:rFonts w:ascii="Arial" w:hAnsi="Arial" w:cs="Arial"/>
          <w:b/>
          <w:bCs/>
          <w:color w:val="000000" w:themeColor="text1"/>
          <w:szCs w:val="24"/>
        </w:rPr>
      </w:pPr>
      <w:r>
        <w:rPr>
          <w:noProof/>
          <w:lang w:val="es-ES" w:eastAsia="es-ES"/>
        </w:rPr>
        <w:drawing>
          <wp:inline distT="0" distB="0" distL="0" distR="0" wp14:anchorId="6C1DB307" wp14:editId="198CFBE0">
            <wp:extent cx="2576348" cy="712952"/>
            <wp:effectExtent l="0" t="0" r="0" b="0"/>
            <wp:docPr id="1686536874" name="Imagen 1686536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76348" cy="712952"/>
                    </a:xfrm>
                    <a:prstGeom prst="rect">
                      <a:avLst/>
                    </a:prstGeom>
                  </pic:spPr>
                </pic:pic>
              </a:graphicData>
            </a:graphic>
          </wp:inline>
        </w:drawing>
      </w:r>
    </w:p>
    <w:p w14:paraId="2232FBDF" w14:textId="5851351B" w:rsidR="480FE7C9" w:rsidRDefault="480FE7C9" w:rsidP="77FA05B7">
      <w:pPr>
        <w:rPr>
          <w:rFonts w:ascii="Arial" w:hAnsi="Arial" w:cs="Arial"/>
          <w:b/>
          <w:bCs/>
          <w:color w:val="000000" w:themeColor="text1"/>
          <w:sz w:val="22"/>
        </w:rPr>
      </w:pPr>
      <w:r w:rsidRPr="77FA05B7">
        <w:rPr>
          <w:rFonts w:ascii="Arial" w:hAnsi="Arial" w:cs="Arial"/>
          <w:color w:val="000000" w:themeColor="text1"/>
          <w:sz w:val="22"/>
        </w:rPr>
        <w:t xml:space="preserve">Bogotá D.C., </w:t>
      </w:r>
      <w:r w:rsidRPr="77FA05B7">
        <w:rPr>
          <w:rFonts w:ascii="Arial" w:hAnsi="Arial" w:cs="Arial"/>
          <w:b/>
          <w:bCs/>
          <w:color w:val="000000" w:themeColor="text1"/>
          <w:sz w:val="22"/>
        </w:rPr>
        <w:t>08 Marzo 2021</w:t>
      </w:r>
    </w:p>
    <w:p w14:paraId="6A8629A3" w14:textId="7D833184" w:rsidR="77FA05B7" w:rsidRDefault="77FA05B7" w:rsidP="77FA05B7">
      <w:pPr>
        <w:jc w:val="right"/>
        <w:rPr>
          <w:rFonts w:ascii="Arial" w:hAnsi="Arial" w:cs="Arial"/>
          <w:b/>
          <w:bCs/>
          <w:color w:val="000000" w:themeColor="text1"/>
          <w:szCs w:val="24"/>
        </w:rPr>
      </w:pPr>
    </w:p>
    <w:p w14:paraId="1AED6E7A" w14:textId="2EF83011" w:rsidR="00BE1E33" w:rsidRPr="006C15D5" w:rsidRDefault="00BE1E33" w:rsidP="00BE1E33">
      <w:pPr>
        <w:jc w:val="right"/>
        <w:rPr>
          <w:rFonts w:ascii="Arial" w:hAnsi="Arial" w:cs="Arial"/>
          <w:b/>
          <w:color w:val="000000" w:themeColor="text1"/>
          <w:sz w:val="22"/>
        </w:rPr>
      </w:pPr>
      <w:r w:rsidRPr="006C15D5">
        <w:rPr>
          <w:rFonts w:ascii="Arial" w:hAnsi="Arial" w:cs="Arial"/>
          <w:b/>
          <w:color w:val="000000" w:themeColor="text1"/>
          <w:sz w:val="22"/>
        </w:rPr>
        <w:t xml:space="preserve">N° Radicado: </w:t>
      </w:r>
      <w:r w:rsidR="007661A3" w:rsidRPr="007661A3">
        <w:rPr>
          <w:rFonts w:ascii="Arial" w:hAnsi="Arial" w:cs="Arial"/>
          <w:b/>
          <w:color w:val="000000" w:themeColor="text1"/>
          <w:sz w:val="22"/>
        </w:rPr>
        <w:t>RS20210308001716</w:t>
      </w:r>
    </w:p>
    <w:p w14:paraId="4ED669B5" w14:textId="77540834" w:rsidR="00BE1E33" w:rsidRDefault="00BE1E33" w:rsidP="00BE1E33">
      <w:pPr>
        <w:rPr>
          <w:rFonts w:ascii="Arial" w:eastAsia="Calibri" w:hAnsi="Arial" w:cs="Arial"/>
          <w:color w:val="000000" w:themeColor="text1"/>
          <w:sz w:val="22"/>
        </w:rPr>
      </w:pPr>
    </w:p>
    <w:p w14:paraId="12A234ED" w14:textId="77777777" w:rsidR="00BE1E33" w:rsidRPr="006C15D5" w:rsidRDefault="00BE1E33" w:rsidP="00BE1E33">
      <w:pPr>
        <w:rPr>
          <w:rFonts w:ascii="Arial" w:eastAsia="Calibri" w:hAnsi="Arial" w:cs="Arial"/>
          <w:color w:val="000000" w:themeColor="text1"/>
          <w:sz w:val="22"/>
        </w:rPr>
      </w:pPr>
    </w:p>
    <w:p w14:paraId="73D51859" w14:textId="6278C649"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Señor</w:t>
      </w:r>
    </w:p>
    <w:p w14:paraId="51140DA2" w14:textId="5727E533" w:rsidR="00BE1E33" w:rsidRPr="006C15D5" w:rsidRDefault="002854DA" w:rsidP="00BE1E33">
      <w:pPr>
        <w:rPr>
          <w:rFonts w:ascii="Arial" w:eastAsia="Calibri" w:hAnsi="Arial" w:cs="Arial"/>
          <w:b/>
          <w:color w:val="000000" w:themeColor="text1"/>
          <w:sz w:val="22"/>
        </w:rPr>
      </w:pPr>
      <w:r>
        <w:rPr>
          <w:rFonts w:ascii="Arial" w:eastAsia="Calibri" w:hAnsi="Arial" w:cs="Arial"/>
          <w:b/>
          <w:color w:val="000000" w:themeColor="text1"/>
          <w:sz w:val="22"/>
        </w:rPr>
        <w:t xml:space="preserve">Luis Alexis Correa Salazar </w:t>
      </w:r>
    </w:p>
    <w:p w14:paraId="095BF112" w14:textId="5FA0C43D" w:rsidR="00BE1E33" w:rsidRPr="006C15D5" w:rsidRDefault="002854DA" w:rsidP="00BE1E33">
      <w:pPr>
        <w:rPr>
          <w:rFonts w:ascii="Arial" w:eastAsia="Calibri" w:hAnsi="Arial" w:cs="Arial"/>
          <w:color w:val="000000" w:themeColor="text1"/>
          <w:sz w:val="22"/>
        </w:rPr>
      </w:pPr>
      <w:r>
        <w:rPr>
          <w:rFonts w:ascii="Arial" w:eastAsia="Calibri" w:hAnsi="Arial" w:cs="Arial"/>
          <w:color w:val="000000" w:themeColor="text1"/>
          <w:sz w:val="22"/>
        </w:rPr>
        <w:t>Piedecuesta</w:t>
      </w:r>
      <w:r w:rsidR="00BE1E33" w:rsidRPr="006C15D5">
        <w:rPr>
          <w:rFonts w:ascii="Arial" w:eastAsia="Calibri" w:hAnsi="Arial" w:cs="Arial"/>
          <w:color w:val="000000" w:themeColor="text1"/>
          <w:sz w:val="22"/>
        </w:rPr>
        <w:t xml:space="preserve">, </w:t>
      </w:r>
      <w:r>
        <w:rPr>
          <w:rFonts w:ascii="Arial" w:eastAsia="Calibri" w:hAnsi="Arial" w:cs="Arial"/>
          <w:color w:val="000000" w:themeColor="text1"/>
          <w:sz w:val="22"/>
        </w:rPr>
        <w:t>Santander</w:t>
      </w:r>
    </w:p>
    <w:p w14:paraId="04EF8353" w14:textId="77777777" w:rsidR="00BE1E33" w:rsidRPr="006C15D5" w:rsidRDefault="00BE1E33" w:rsidP="00BE1E33">
      <w:pPr>
        <w:rPr>
          <w:rFonts w:ascii="Arial" w:eastAsia="Calibri" w:hAnsi="Arial" w:cs="Arial"/>
          <w:color w:val="000000" w:themeColor="text1"/>
          <w:sz w:val="22"/>
        </w:rPr>
      </w:pPr>
    </w:p>
    <w:p w14:paraId="738DBA53" w14:textId="77777777" w:rsidR="00BE1E33" w:rsidRPr="006C15D5" w:rsidRDefault="00BE1E33" w:rsidP="00BE1E33">
      <w:pPr>
        <w:rPr>
          <w:rFonts w:ascii="Arial" w:eastAsia="Calibri" w:hAnsi="Arial" w:cs="Arial"/>
          <w:color w:val="000000" w:themeColor="text1"/>
          <w:sz w:val="22"/>
        </w:rPr>
      </w:pPr>
    </w:p>
    <w:p w14:paraId="5CEA4ADF" w14:textId="21C34393" w:rsidR="00BE1E33" w:rsidRPr="006C15D5" w:rsidRDefault="00BE1E33" w:rsidP="00BE1E33">
      <w:pPr>
        <w:ind w:firstLine="2694"/>
        <w:rPr>
          <w:rFonts w:ascii="Arial" w:eastAsia="Calibri" w:hAnsi="Arial" w:cs="Arial"/>
          <w:b/>
          <w:color w:val="000000" w:themeColor="text1"/>
          <w:sz w:val="22"/>
        </w:rPr>
      </w:pPr>
      <w:r w:rsidRPr="006C15D5">
        <w:rPr>
          <w:rFonts w:ascii="Arial" w:eastAsia="Calibri" w:hAnsi="Arial" w:cs="Arial"/>
          <w:b/>
          <w:color w:val="000000" w:themeColor="text1"/>
          <w:sz w:val="22"/>
        </w:rPr>
        <w:t xml:space="preserve">Concepto C </w:t>
      </w:r>
      <w:r w:rsidR="00490DBF">
        <w:rPr>
          <w:rFonts w:ascii="Arial" w:eastAsia="Calibri" w:hAnsi="Arial" w:cs="Arial"/>
          <w:b/>
          <w:color w:val="000000" w:themeColor="text1"/>
          <w:sz w:val="22"/>
        </w:rPr>
        <w:t>–</w:t>
      </w:r>
      <w:r w:rsidRPr="006C15D5">
        <w:rPr>
          <w:rFonts w:ascii="Arial" w:eastAsia="Calibri" w:hAnsi="Arial" w:cs="Arial"/>
          <w:b/>
          <w:color w:val="000000" w:themeColor="text1"/>
          <w:sz w:val="22"/>
        </w:rPr>
        <w:t xml:space="preserve"> </w:t>
      </w:r>
      <w:r w:rsidR="002854DA">
        <w:rPr>
          <w:rFonts w:ascii="Arial" w:eastAsia="Calibri" w:hAnsi="Arial" w:cs="Arial"/>
          <w:b/>
          <w:color w:val="000000" w:themeColor="text1"/>
          <w:sz w:val="22"/>
        </w:rPr>
        <w:t>064</w:t>
      </w:r>
      <w:r w:rsidRPr="006C15D5">
        <w:rPr>
          <w:rFonts w:ascii="Arial" w:eastAsia="Calibri" w:hAnsi="Arial" w:cs="Arial"/>
          <w:b/>
          <w:color w:val="000000" w:themeColor="text1"/>
          <w:sz w:val="22"/>
        </w:rPr>
        <w:t xml:space="preserve"> de 202</w:t>
      </w:r>
      <w:r w:rsidR="002854DA">
        <w:rPr>
          <w:rFonts w:ascii="Arial" w:eastAsia="Calibri" w:hAnsi="Arial" w:cs="Arial"/>
          <w:b/>
          <w:color w:val="000000" w:themeColor="text1"/>
          <w:sz w:val="22"/>
        </w:rPr>
        <w:t>1</w:t>
      </w:r>
    </w:p>
    <w:p w14:paraId="234727AD" w14:textId="77777777" w:rsidR="00BE1E33" w:rsidRPr="006C15D5" w:rsidRDefault="00BE1E33" w:rsidP="00BE1E33">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F6D32" w:rsidRPr="003F6D32" w14:paraId="2553E4F3" w14:textId="77777777" w:rsidTr="0072181C">
        <w:tc>
          <w:tcPr>
            <w:tcW w:w="2689" w:type="dxa"/>
            <w:hideMark/>
          </w:tcPr>
          <w:p w14:paraId="7BC9E971" w14:textId="77777777" w:rsidR="00BE1E33" w:rsidRPr="006C15D5" w:rsidRDefault="00BE1E33" w:rsidP="0072181C">
            <w:pPr>
              <w:rPr>
                <w:rFonts w:ascii="Arial" w:eastAsia="Calibri" w:hAnsi="Arial" w:cs="Arial"/>
                <w:color w:val="000000" w:themeColor="text1"/>
                <w:sz w:val="22"/>
              </w:rPr>
            </w:pPr>
            <w:r w:rsidRPr="006C15D5">
              <w:rPr>
                <w:rFonts w:ascii="Arial" w:eastAsia="Calibri" w:hAnsi="Arial" w:cs="Arial"/>
                <w:b/>
                <w:color w:val="000000" w:themeColor="text1"/>
                <w:sz w:val="22"/>
              </w:rPr>
              <w:t>Temas:</w:t>
            </w:r>
            <w:r w:rsidRPr="006C15D5">
              <w:rPr>
                <w:rFonts w:ascii="Arial" w:eastAsia="Calibri" w:hAnsi="Arial" w:cs="Arial"/>
                <w:color w:val="000000" w:themeColor="text1"/>
                <w:sz w:val="22"/>
              </w:rPr>
              <w:t xml:space="preserve">           </w:t>
            </w:r>
          </w:p>
          <w:p w14:paraId="0C0D8CD7" w14:textId="77777777" w:rsidR="00BE1E33" w:rsidRPr="006C15D5" w:rsidRDefault="00BE1E33" w:rsidP="0072181C">
            <w:pPr>
              <w:rPr>
                <w:rFonts w:ascii="Arial" w:eastAsia="Calibri" w:hAnsi="Arial" w:cs="Arial"/>
                <w:color w:val="000000" w:themeColor="text1"/>
                <w:sz w:val="22"/>
              </w:rPr>
            </w:pPr>
            <w:r w:rsidRPr="006C15D5">
              <w:rPr>
                <w:rFonts w:ascii="Arial" w:eastAsia="Calibri" w:hAnsi="Arial" w:cs="Arial"/>
                <w:color w:val="000000" w:themeColor="text1"/>
                <w:sz w:val="22"/>
              </w:rPr>
              <w:t xml:space="preserve">                           </w:t>
            </w:r>
          </w:p>
        </w:tc>
        <w:tc>
          <w:tcPr>
            <w:tcW w:w="6237" w:type="dxa"/>
            <w:hideMark/>
          </w:tcPr>
          <w:p w14:paraId="02678651" w14:textId="6B6E7251" w:rsidR="00BE1E33" w:rsidRDefault="004F4D55">
            <w:pPr>
              <w:jc w:val="both"/>
              <w:rPr>
                <w:rFonts w:ascii="Arial" w:eastAsia="Calibri" w:hAnsi="Arial" w:cs="Arial"/>
                <w:color w:val="000000" w:themeColor="text1"/>
                <w:sz w:val="22"/>
              </w:rPr>
            </w:pPr>
            <w:r w:rsidRPr="004F4D55">
              <w:rPr>
                <w:rFonts w:ascii="Arial" w:eastAsia="Calibri" w:hAnsi="Arial" w:cs="Arial"/>
                <w:color w:val="000000" w:themeColor="text1"/>
                <w:sz w:val="22"/>
              </w:rPr>
              <w:t>DOCUMENTOS TIPO – Fundamentos jurídicos para su expedición</w:t>
            </w:r>
            <w:r w:rsidR="00C6324A">
              <w:rPr>
                <w:rFonts w:ascii="Arial" w:eastAsia="Calibri" w:hAnsi="Arial" w:cs="Arial"/>
                <w:color w:val="000000" w:themeColor="text1"/>
                <w:sz w:val="22"/>
              </w:rPr>
              <w:t xml:space="preserve"> </w:t>
            </w:r>
            <w:r>
              <w:rPr>
                <w:rFonts w:ascii="Arial" w:eastAsia="Calibri" w:hAnsi="Arial" w:cs="Arial"/>
                <w:color w:val="000000" w:themeColor="text1"/>
                <w:sz w:val="22"/>
              </w:rPr>
              <w:t>/</w:t>
            </w:r>
            <w:r>
              <w:t xml:space="preserve"> </w:t>
            </w:r>
            <w:r w:rsidRPr="004F4D55">
              <w:rPr>
                <w:rFonts w:ascii="Arial" w:eastAsia="Calibri" w:hAnsi="Arial" w:cs="Arial"/>
                <w:color w:val="000000" w:themeColor="text1"/>
                <w:sz w:val="22"/>
              </w:rPr>
              <w:t>INALTERABILIDAD – Documentos tipo – Licitación pública</w:t>
            </w:r>
            <w:r>
              <w:rPr>
                <w:rFonts w:ascii="Arial" w:eastAsia="Calibri" w:hAnsi="Arial" w:cs="Arial"/>
                <w:color w:val="000000" w:themeColor="text1"/>
                <w:sz w:val="22"/>
              </w:rPr>
              <w:t xml:space="preserve"> </w:t>
            </w:r>
            <w:r w:rsidR="00BE1E33" w:rsidRPr="006C15D5">
              <w:rPr>
                <w:rFonts w:ascii="Arial" w:eastAsia="Calibri" w:hAnsi="Arial" w:cs="Arial"/>
                <w:color w:val="000000" w:themeColor="text1"/>
                <w:sz w:val="22"/>
              </w:rPr>
              <w:t xml:space="preserve">/ </w:t>
            </w:r>
            <w:r w:rsidR="00021167" w:rsidRPr="00021167">
              <w:rPr>
                <w:rFonts w:ascii="Arial" w:eastAsia="Calibri" w:hAnsi="Arial" w:cs="Arial"/>
                <w:color w:val="000000" w:themeColor="text1"/>
                <w:sz w:val="22"/>
              </w:rPr>
              <w:t>DOCUMENTOS TIPO – Inalterabilidad – Información en corchetes y resaltado gris</w:t>
            </w:r>
          </w:p>
          <w:p w14:paraId="0F35FDBD" w14:textId="58988460" w:rsidR="00106B2E" w:rsidRPr="006C15D5" w:rsidRDefault="00106B2E">
            <w:pPr>
              <w:jc w:val="both"/>
              <w:rPr>
                <w:rFonts w:ascii="Arial" w:eastAsia="Calibri" w:hAnsi="Arial" w:cs="Arial"/>
                <w:color w:val="000000" w:themeColor="text1"/>
                <w:sz w:val="22"/>
              </w:rPr>
            </w:pPr>
          </w:p>
        </w:tc>
      </w:tr>
      <w:tr w:rsidR="003F6D32" w:rsidRPr="003F6D32" w14:paraId="20F2A3B6" w14:textId="77777777" w:rsidTr="0072181C">
        <w:tc>
          <w:tcPr>
            <w:tcW w:w="2689" w:type="dxa"/>
          </w:tcPr>
          <w:p w14:paraId="1E82F4FA" w14:textId="77777777" w:rsidR="00BE1E33" w:rsidRPr="006C15D5" w:rsidRDefault="00BE1E33" w:rsidP="0072181C">
            <w:pPr>
              <w:spacing w:before="120"/>
              <w:rPr>
                <w:rFonts w:ascii="Arial" w:eastAsia="Calibri" w:hAnsi="Arial" w:cs="Arial"/>
                <w:b/>
                <w:color w:val="000000" w:themeColor="text1"/>
                <w:sz w:val="22"/>
              </w:rPr>
            </w:pPr>
            <w:r w:rsidRPr="006C15D5">
              <w:rPr>
                <w:rFonts w:ascii="Arial" w:eastAsia="Calibri" w:hAnsi="Arial" w:cs="Arial"/>
                <w:b/>
                <w:color w:val="000000" w:themeColor="text1"/>
                <w:sz w:val="22"/>
              </w:rPr>
              <w:t>Radicación:</w:t>
            </w:r>
            <w:r w:rsidRPr="006C15D5">
              <w:rPr>
                <w:rFonts w:ascii="Arial" w:eastAsia="Calibri" w:hAnsi="Arial" w:cs="Arial"/>
                <w:color w:val="000000" w:themeColor="text1"/>
                <w:sz w:val="22"/>
              </w:rPr>
              <w:t xml:space="preserve">                              </w:t>
            </w:r>
          </w:p>
        </w:tc>
        <w:tc>
          <w:tcPr>
            <w:tcW w:w="6237" w:type="dxa"/>
          </w:tcPr>
          <w:p w14:paraId="20FCE53A" w14:textId="265F4146" w:rsidR="00BE1E33" w:rsidRPr="006C15D5" w:rsidRDefault="00BE1E33" w:rsidP="0072181C">
            <w:pPr>
              <w:spacing w:before="120"/>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Respuesta a consulta </w:t>
            </w:r>
            <w:r w:rsidR="002854DA" w:rsidRPr="002854DA">
              <w:rPr>
                <w:rFonts w:ascii="Arial" w:eastAsia="Calibri" w:hAnsi="Arial" w:cs="Arial"/>
                <w:color w:val="000000" w:themeColor="text1"/>
                <w:sz w:val="22"/>
              </w:rPr>
              <w:t>P20210131000744</w:t>
            </w:r>
            <w:r w:rsidRPr="006C15D5">
              <w:rPr>
                <w:rFonts w:ascii="Arial" w:eastAsia="Calibri" w:hAnsi="Arial" w:cs="Arial"/>
                <w:color w:val="000000" w:themeColor="text1"/>
                <w:sz w:val="22"/>
              </w:rPr>
              <w:t xml:space="preserve"> </w:t>
            </w:r>
          </w:p>
        </w:tc>
      </w:tr>
    </w:tbl>
    <w:p w14:paraId="177F3517" w14:textId="77777777" w:rsidR="00BE1E33" w:rsidRPr="006C15D5" w:rsidRDefault="00BE1E33" w:rsidP="00BE1E33">
      <w:pPr>
        <w:spacing w:before="120"/>
        <w:jc w:val="both"/>
        <w:rPr>
          <w:rFonts w:ascii="Arial" w:eastAsia="Calibri" w:hAnsi="Arial" w:cs="Arial"/>
          <w:color w:val="000000" w:themeColor="text1"/>
          <w:sz w:val="22"/>
        </w:rPr>
      </w:pPr>
    </w:p>
    <w:p w14:paraId="06248123" w14:textId="77777777" w:rsidR="00BE1E33" w:rsidRPr="006C15D5" w:rsidRDefault="00BE1E33" w:rsidP="00BE1E33">
      <w:pPr>
        <w:jc w:val="both"/>
        <w:rPr>
          <w:rFonts w:ascii="Arial" w:eastAsia="Calibri" w:hAnsi="Arial" w:cs="Arial"/>
          <w:color w:val="000000" w:themeColor="text1"/>
          <w:sz w:val="22"/>
        </w:rPr>
      </w:pPr>
    </w:p>
    <w:p w14:paraId="417ABDA8" w14:textId="18D3D4BD"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Estimad</w:t>
      </w:r>
      <w:r w:rsidR="002854DA">
        <w:rPr>
          <w:rFonts w:ascii="Arial" w:eastAsia="Calibri" w:hAnsi="Arial" w:cs="Arial"/>
          <w:color w:val="000000" w:themeColor="text1"/>
          <w:sz w:val="22"/>
        </w:rPr>
        <w:t>o</w:t>
      </w:r>
      <w:r w:rsidRPr="006C15D5">
        <w:rPr>
          <w:rFonts w:ascii="Arial" w:eastAsia="Calibri" w:hAnsi="Arial" w:cs="Arial"/>
          <w:color w:val="000000" w:themeColor="text1"/>
          <w:sz w:val="22"/>
        </w:rPr>
        <w:t xml:space="preserve"> señor </w:t>
      </w:r>
      <w:r w:rsidR="002854DA">
        <w:rPr>
          <w:rFonts w:ascii="Arial" w:eastAsia="Calibri" w:hAnsi="Arial" w:cs="Arial"/>
          <w:color w:val="000000" w:themeColor="text1"/>
          <w:sz w:val="22"/>
        </w:rPr>
        <w:t>Correa</w:t>
      </w:r>
      <w:r w:rsidRPr="006C15D5">
        <w:rPr>
          <w:rFonts w:ascii="Arial" w:eastAsia="Calibri" w:hAnsi="Arial" w:cs="Arial"/>
          <w:color w:val="000000" w:themeColor="text1"/>
          <w:sz w:val="22"/>
        </w:rPr>
        <w:t>:</w:t>
      </w:r>
    </w:p>
    <w:p w14:paraId="1CCABABD" w14:textId="77777777" w:rsidR="00BE1E33" w:rsidRPr="006C15D5" w:rsidRDefault="00BE1E33" w:rsidP="00BE1E33">
      <w:pPr>
        <w:rPr>
          <w:rFonts w:ascii="Arial" w:eastAsia="Calibri" w:hAnsi="Arial" w:cs="Arial"/>
          <w:color w:val="000000" w:themeColor="text1"/>
          <w:sz w:val="22"/>
        </w:rPr>
      </w:pPr>
    </w:p>
    <w:p w14:paraId="286A9CEF" w14:textId="24BA905F" w:rsidR="00BE1E33" w:rsidRPr="006C15D5" w:rsidRDefault="00BE1E33" w:rsidP="00BE1E33">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sidR="002854DA">
        <w:rPr>
          <w:rFonts w:ascii="Arial" w:eastAsia="Calibri" w:hAnsi="Arial" w:cs="Arial"/>
          <w:color w:val="000000" w:themeColor="text1"/>
          <w:sz w:val="22"/>
        </w:rPr>
        <w:t>31</w:t>
      </w:r>
      <w:r w:rsidRPr="006C15D5">
        <w:rPr>
          <w:rFonts w:ascii="Arial" w:eastAsia="Calibri" w:hAnsi="Arial" w:cs="Arial"/>
          <w:color w:val="000000" w:themeColor="text1"/>
          <w:sz w:val="22"/>
        </w:rPr>
        <w:t xml:space="preserve"> de </w:t>
      </w:r>
      <w:r w:rsidR="002854DA">
        <w:rPr>
          <w:rFonts w:ascii="Arial" w:eastAsia="Calibri" w:hAnsi="Arial" w:cs="Arial"/>
          <w:color w:val="000000" w:themeColor="text1"/>
          <w:sz w:val="22"/>
        </w:rPr>
        <w:t>enero</w:t>
      </w:r>
      <w:r w:rsidRPr="006C15D5">
        <w:rPr>
          <w:rFonts w:ascii="Arial" w:eastAsia="Calibri" w:hAnsi="Arial" w:cs="Arial"/>
          <w:color w:val="000000" w:themeColor="text1"/>
          <w:sz w:val="22"/>
        </w:rPr>
        <w:t xml:space="preserve"> de 202</w:t>
      </w:r>
      <w:r w:rsidR="002854DA">
        <w:rPr>
          <w:rFonts w:ascii="Arial" w:eastAsia="Calibri" w:hAnsi="Arial" w:cs="Arial"/>
          <w:color w:val="000000" w:themeColor="text1"/>
          <w:sz w:val="22"/>
        </w:rPr>
        <w:t>1</w:t>
      </w:r>
      <w:r w:rsidRPr="006C15D5">
        <w:rPr>
          <w:rFonts w:ascii="Arial" w:eastAsia="Calibri" w:hAnsi="Arial" w:cs="Arial"/>
          <w:color w:val="000000" w:themeColor="text1"/>
          <w:sz w:val="22"/>
        </w:rPr>
        <w:t xml:space="preserve">. </w:t>
      </w:r>
    </w:p>
    <w:p w14:paraId="1757FF4B" w14:textId="77777777" w:rsidR="00D21D97" w:rsidRPr="006C15D5" w:rsidRDefault="00D21D97" w:rsidP="00BE1E33">
      <w:pPr>
        <w:spacing w:line="276" w:lineRule="auto"/>
        <w:jc w:val="both"/>
        <w:rPr>
          <w:rFonts w:ascii="Arial" w:eastAsia="Calibri" w:hAnsi="Arial" w:cs="Arial"/>
          <w:color w:val="000000" w:themeColor="text1"/>
          <w:sz w:val="22"/>
        </w:rPr>
      </w:pPr>
    </w:p>
    <w:p w14:paraId="430A9943" w14:textId="02389260" w:rsidR="00BE1E33" w:rsidRDefault="00BE1E33" w:rsidP="00B3463D">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 xml:space="preserve">Problemas planteados </w:t>
      </w:r>
    </w:p>
    <w:p w14:paraId="4F5429A4" w14:textId="77777777" w:rsidR="00B3463D" w:rsidRPr="00B3463D" w:rsidRDefault="00B3463D" w:rsidP="00B3463D">
      <w:pPr>
        <w:pStyle w:val="Prrafodelista"/>
        <w:tabs>
          <w:tab w:val="left" w:pos="284"/>
        </w:tabs>
        <w:spacing w:line="276" w:lineRule="auto"/>
        <w:ind w:left="0"/>
        <w:jc w:val="both"/>
        <w:rPr>
          <w:rFonts w:ascii="Arial" w:eastAsia="Calibri" w:hAnsi="Arial" w:cs="Arial"/>
          <w:b/>
          <w:color w:val="000000" w:themeColor="text1"/>
          <w:sz w:val="22"/>
        </w:rPr>
      </w:pPr>
    </w:p>
    <w:p w14:paraId="741F3B6B" w14:textId="405C60C1" w:rsidR="00BE1E33" w:rsidRPr="006C15D5" w:rsidRDefault="00BE1E33" w:rsidP="009E4A43">
      <w:pPr>
        <w:tabs>
          <w:tab w:val="left" w:pos="426"/>
        </w:tabs>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Usted </w:t>
      </w:r>
      <w:r w:rsidR="00F548AA">
        <w:rPr>
          <w:rFonts w:ascii="Arial" w:eastAsia="Calibri" w:hAnsi="Arial" w:cs="Arial"/>
          <w:color w:val="000000" w:themeColor="text1"/>
          <w:sz w:val="22"/>
        </w:rPr>
        <w:t xml:space="preserve">realiza </w:t>
      </w:r>
      <w:r w:rsidRPr="006C15D5">
        <w:rPr>
          <w:rFonts w:ascii="Arial" w:eastAsia="Calibri" w:hAnsi="Arial" w:cs="Arial"/>
          <w:color w:val="000000" w:themeColor="text1"/>
          <w:sz w:val="22"/>
        </w:rPr>
        <w:t>la siguiente</w:t>
      </w:r>
      <w:r w:rsidR="009E4A43" w:rsidRPr="006C15D5">
        <w:rPr>
          <w:rFonts w:ascii="Arial" w:eastAsia="Calibri" w:hAnsi="Arial" w:cs="Arial"/>
          <w:color w:val="000000" w:themeColor="text1"/>
          <w:sz w:val="22"/>
        </w:rPr>
        <w:t xml:space="preserve"> </w:t>
      </w:r>
      <w:r w:rsidRPr="006C15D5">
        <w:rPr>
          <w:rFonts w:ascii="Arial" w:eastAsia="Calibri" w:hAnsi="Arial" w:cs="Arial"/>
          <w:color w:val="000000" w:themeColor="text1"/>
          <w:sz w:val="22"/>
        </w:rPr>
        <w:t>pregunta: «</w:t>
      </w:r>
      <w:r w:rsidRPr="00C56B01">
        <w:rPr>
          <w:rFonts w:ascii="Arial" w:eastAsia="Calibri" w:hAnsi="Arial" w:cs="Arial"/>
          <w:color w:val="000000" w:themeColor="text1"/>
          <w:sz w:val="22"/>
        </w:rPr>
        <w:t>¿</w:t>
      </w:r>
      <w:r w:rsidR="002854DA" w:rsidRPr="00346E84">
        <w:rPr>
          <w:rFonts w:ascii="Arial" w:hAnsi="Arial" w:cs="Arial"/>
          <w:sz w:val="22"/>
        </w:rPr>
        <w:t>EL PLIEGO TIPO VERSION 3 PUEDE SER MODIFICADO POR ALGUNA ENTIDAD</w:t>
      </w:r>
      <w:r w:rsidRPr="006C15D5">
        <w:rPr>
          <w:rFonts w:ascii="Arial" w:eastAsia="Calibri" w:hAnsi="Arial" w:cs="Arial"/>
          <w:color w:val="000000" w:themeColor="text1"/>
          <w:sz w:val="22"/>
        </w:rPr>
        <w:t xml:space="preserve">?». </w:t>
      </w:r>
    </w:p>
    <w:p w14:paraId="0BACDF34" w14:textId="77777777" w:rsidR="00D21D97" w:rsidRPr="006C15D5" w:rsidRDefault="00D21D97" w:rsidP="00BE1E33">
      <w:pPr>
        <w:tabs>
          <w:tab w:val="left" w:pos="709"/>
        </w:tabs>
        <w:spacing w:before="120" w:line="276" w:lineRule="auto"/>
        <w:jc w:val="both"/>
        <w:rPr>
          <w:rFonts w:ascii="Arial" w:eastAsia="Calibri" w:hAnsi="Arial" w:cs="Arial"/>
          <w:color w:val="000000" w:themeColor="text1"/>
          <w:sz w:val="22"/>
        </w:rPr>
      </w:pPr>
    </w:p>
    <w:p w14:paraId="7D0E5676" w14:textId="019D1658" w:rsidR="00D21D97" w:rsidRPr="00BE0B21" w:rsidRDefault="00BE1E33" w:rsidP="00BE0B21">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6C15D5">
        <w:rPr>
          <w:rFonts w:ascii="Arial" w:eastAsia="Calibri" w:hAnsi="Arial" w:cs="Arial"/>
          <w:b/>
          <w:color w:val="000000" w:themeColor="text1"/>
          <w:sz w:val="22"/>
        </w:rPr>
        <w:t>Consideraciones</w:t>
      </w:r>
    </w:p>
    <w:p w14:paraId="3B074F53" w14:textId="6024E1AC" w:rsidR="00D21D97" w:rsidRDefault="002854DA" w:rsidP="00346E84">
      <w:pPr>
        <w:spacing w:before="120" w:line="276" w:lineRule="auto"/>
        <w:jc w:val="both"/>
        <w:rPr>
          <w:rFonts w:ascii="Arial" w:eastAsia="Calibri" w:hAnsi="Arial" w:cs="Arial"/>
          <w:sz w:val="22"/>
        </w:rPr>
      </w:pPr>
      <w:r w:rsidRPr="00CA5C6B">
        <w:rPr>
          <w:rFonts w:ascii="Arial" w:hAnsi="Arial" w:cs="Arial"/>
          <w:sz w:val="22"/>
        </w:rPr>
        <w:t xml:space="preserve">La Agencia Nacional de Contratación Pública ― Colombia Compra Eficiente </w:t>
      </w:r>
      <w:r w:rsidRPr="00CA5C6B">
        <w:rPr>
          <w:rFonts w:ascii="Arial" w:eastAsia="Calibri" w:hAnsi="Arial" w:cs="Arial"/>
          <w:sz w:val="22"/>
        </w:rPr>
        <w:t>e</w:t>
      </w:r>
      <w:r w:rsidRPr="00CA5C6B">
        <w:rPr>
          <w:rFonts w:ascii="Arial" w:hAnsi="Arial" w:cs="Arial"/>
          <w:sz w:val="22"/>
        </w:rPr>
        <w:t>n los conceptos C–144 de</w:t>
      </w:r>
      <w:r w:rsidR="00B3463D">
        <w:rPr>
          <w:rFonts w:ascii="Arial" w:hAnsi="Arial" w:cs="Arial"/>
          <w:sz w:val="22"/>
        </w:rPr>
        <w:t>l</w:t>
      </w:r>
      <w:r w:rsidRPr="00CA5C6B">
        <w:rPr>
          <w:rFonts w:ascii="Arial" w:hAnsi="Arial" w:cs="Arial"/>
          <w:sz w:val="22"/>
        </w:rPr>
        <w:t xml:space="preserve"> 2 de marzo de 2020, C-174 del 16 de marzo de 2020,  C-129 del 24 </w:t>
      </w:r>
      <w:r w:rsidRPr="00CA5C6B">
        <w:rPr>
          <w:rFonts w:ascii="Arial" w:hAnsi="Arial" w:cs="Arial"/>
          <w:sz w:val="22"/>
        </w:rPr>
        <w:lastRenderedPageBreak/>
        <w:t xml:space="preserve">de marzo de 2020, C-193 del 6 de abril de 2020, C–189 del 8 de abril de 2020, C-009 del 27 de abril de 2020, C-289 del 26 de mayo de 2020, C-332 del 26 de mayo de 2020, C-354 del 4 de junio de 2020, C-384 del 4 de junio de 2020, C-387 del 23 de junio de 2020, C-328 del 30 de junio de 2020, C-379 del 30 de junio de 2020, C-397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y C-775 de 2020 del 11 de diciembre de 2020 explicó el principio de inalterabilidad de los documentos tipo y sus excepciones. </w:t>
      </w:r>
      <w:r w:rsidRPr="00CA5C6B">
        <w:rPr>
          <w:rFonts w:ascii="Arial" w:eastAsia="Calibri" w:hAnsi="Arial" w:cs="Arial"/>
          <w:sz w:val="22"/>
        </w:rPr>
        <w:t>Las tesis desarrolladas se expondrán a continuación</w:t>
      </w:r>
      <w:r w:rsidR="00D21D97">
        <w:rPr>
          <w:rFonts w:ascii="Arial" w:eastAsia="Calibri" w:hAnsi="Arial" w:cs="Arial"/>
          <w:sz w:val="22"/>
        </w:rPr>
        <w:t>:</w:t>
      </w:r>
    </w:p>
    <w:p w14:paraId="01F27DB2" w14:textId="77777777" w:rsidR="00BE0B21" w:rsidRPr="00CA5C6B" w:rsidRDefault="00BE0B21" w:rsidP="00346E84">
      <w:pPr>
        <w:spacing w:line="276" w:lineRule="auto"/>
        <w:jc w:val="both"/>
        <w:rPr>
          <w:rFonts w:ascii="Arial" w:eastAsia="Calibri" w:hAnsi="Arial" w:cs="Arial"/>
          <w:sz w:val="22"/>
        </w:rPr>
      </w:pPr>
    </w:p>
    <w:p w14:paraId="28EC6155" w14:textId="4F5DB17F" w:rsidR="00D21D97" w:rsidRDefault="0043040E" w:rsidP="00C56B01">
      <w:pPr>
        <w:spacing w:line="276" w:lineRule="auto"/>
        <w:jc w:val="both"/>
        <w:rPr>
          <w:rFonts w:ascii="Arial" w:eastAsia="Calibri" w:hAnsi="Arial" w:cs="Arial"/>
          <w:b/>
          <w:bCs/>
          <w:sz w:val="22"/>
        </w:rPr>
      </w:pPr>
      <w:r w:rsidRPr="00CA5C6B">
        <w:rPr>
          <w:rFonts w:ascii="Arial" w:eastAsia="Calibri" w:hAnsi="Arial" w:cs="Arial"/>
          <w:b/>
          <w:bCs/>
          <w:sz w:val="22"/>
        </w:rPr>
        <w:t xml:space="preserve">2.1. Fundamentos jurídicos para la expedición de los documentos tipo </w:t>
      </w:r>
    </w:p>
    <w:p w14:paraId="586F33FF" w14:textId="77777777" w:rsidR="00C56B01" w:rsidRPr="00CA5C6B" w:rsidRDefault="00C56B01" w:rsidP="00346E84">
      <w:pPr>
        <w:spacing w:line="276" w:lineRule="auto"/>
        <w:jc w:val="both"/>
        <w:rPr>
          <w:rFonts w:ascii="Arial" w:eastAsia="Calibri" w:hAnsi="Arial" w:cs="Arial"/>
          <w:b/>
          <w:bCs/>
          <w:sz w:val="22"/>
        </w:rPr>
      </w:pPr>
    </w:p>
    <w:p w14:paraId="6A367DB4" w14:textId="47814E36" w:rsidR="00C25DB6" w:rsidRPr="0043040E" w:rsidRDefault="0043040E" w:rsidP="00346E84">
      <w:pPr>
        <w:shd w:val="clear" w:color="auto" w:fill="FFFFFF"/>
        <w:spacing w:line="276" w:lineRule="auto"/>
        <w:jc w:val="both"/>
        <w:rPr>
          <w:rFonts w:ascii="Arial" w:eastAsia="Times New Roman" w:hAnsi="Arial" w:cs="Arial"/>
          <w:color w:val="0D0D0D"/>
          <w:sz w:val="22"/>
          <w:bdr w:val="none" w:sz="0" w:space="0" w:color="auto" w:frame="1"/>
          <w:lang w:val="es-CO" w:eastAsia="es-CO"/>
        </w:rPr>
      </w:pPr>
      <w:r w:rsidRPr="0043040E">
        <w:rPr>
          <w:rFonts w:ascii="Arial" w:eastAsia="Times New Roman" w:hAnsi="Arial" w:cs="Arial"/>
          <w:color w:val="0D0D0D"/>
          <w:sz w:val="22"/>
          <w:bdr w:val="none" w:sz="0" w:space="0" w:color="auto" w:frame="1"/>
          <w:lang w:val="es-CO" w:eastAsia="es-CO"/>
        </w:rPr>
        <w:t>Los llamados pliegos tipo aparecieron en nuestro ordenamiento jurídico en el 2007, cuando el legislador facultó al Gobierno Nacional para adoptarlos en la compra o suministro de bienes de características técnicas uniformes</w:t>
      </w:r>
      <w:r w:rsidRPr="00CA5C6B">
        <w:rPr>
          <w:rStyle w:val="Refdenotaalpie"/>
          <w:rFonts w:ascii="Arial" w:eastAsia="Times New Roman" w:hAnsi="Arial" w:cs="Arial"/>
          <w:color w:val="0D0D0D"/>
          <w:sz w:val="22"/>
          <w:bdr w:val="none" w:sz="0" w:space="0" w:color="auto" w:frame="1"/>
          <w:lang w:val="es-CO" w:eastAsia="es-CO"/>
        </w:rPr>
        <w:footnoteReference w:id="1"/>
      </w:r>
      <w:r w:rsidRPr="0043040E">
        <w:rPr>
          <w:rFonts w:ascii="Arial" w:eastAsia="Times New Roman" w:hAnsi="Arial" w:cs="Arial"/>
          <w:color w:val="0D0D0D"/>
          <w:sz w:val="22"/>
          <w:bdr w:val="none" w:sz="0" w:space="0" w:color="auto" w:frame="1"/>
          <w:lang w:val="es-CO" w:eastAsia="es-CO"/>
        </w:rPr>
        <w:t>.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Pr="00CA5C6B">
        <w:rPr>
          <w:rStyle w:val="Refdenotaalpie"/>
          <w:rFonts w:ascii="Arial" w:eastAsia="Times New Roman" w:hAnsi="Arial" w:cs="Arial"/>
          <w:color w:val="0D0D0D"/>
          <w:sz w:val="22"/>
          <w:bdr w:val="none" w:sz="0" w:space="0" w:color="auto" w:frame="1"/>
          <w:lang w:val="es-CO" w:eastAsia="es-CO"/>
        </w:rPr>
        <w:footnoteReference w:id="2"/>
      </w:r>
      <w:r w:rsidRPr="0043040E">
        <w:rPr>
          <w:rFonts w:ascii="Arial" w:eastAsia="Times New Roman" w:hAnsi="Arial" w:cs="Arial"/>
          <w:color w:val="0D0D0D"/>
          <w:sz w:val="22"/>
          <w:bdr w:val="none" w:sz="0" w:space="0" w:color="auto" w:frame="1"/>
          <w:lang w:val="es-CO" w:eastAsia="es-CO"/>
        </w:rPr>
        <w:t>. </w:t>
      </w:r>
    </w:p>
    <w:p w14:paraId="3AF5BAF0" w14:textId="0D872743" w:rsidR="0054595A" w:rsidRPr="0043040E" w:rsidRDefault="0043040E" w:rsidP="00346E84">
      <w:pPr>
        <w:shd w:val="clear" w:color="auto" w:fill="FFFFFF"/>
        <w:spacing w:before="120" w:line="276" w:lineRule="auto"/>
        <w:ind w:firstLine="708"/>
        <w:jc w:val="both"/>
        <w:rPr>
          <w:rFonts w:ascii="Arial" w:eastAsia="Times New Roman" w:hAnsi="Arial" w:cs="Arial"/>
          <w:color w:val="0D0D0D"/>
          <w:sz w:val="22"/>
          <w:bdr w:val="none" w:sz="0" w:space="0" w:color="auto" w:frame="1"/>
          <w:lang w:val="es-CO" w:eastAsia="es-CO"/>
        </w:rPr>
      </w:pPr>
      <w:r w:rsidRPr="0043040E">
        <w:rPr>
          <w:rFonts w:ascii="Arial" w:eastAsia="Times New Roman" w:hAnsi="Arial" w:cs="Arial"/>
          <w:color w:val="0D0D0D"/>
          <w:sz w:val="22"/>
          <w:bdr w:val="none" w:sz="0" w:space="0" w:color="auto" w:frame="1"/>
          <w:lang w:val="es-CO" w:eastAsia="es-CO"/>
        </w:rPr>
        <w:t>La intención era agilizar y dar mayor transparencia a los procedimientos de selección, así como evitar el direccionamiento, razón por la cual –conforme a lo explicado en la exposición de motivos– «[…]</w:t>
      </w:r>
      <w:r w:rsidR="0054595A" w:rsidRPr="00CA5C6B">
        <w:rPr>
          <w:rFonts w:ascii="Arial" w:eastAsia="Times New Roman" w:hAnsi="Arial" w:cs="Arial"/>
          <w:color w:val="0D0D0D"/>
          <w:sz w:val="22"/>
          <w:bdr w:val="none" w:sz="0" w:space="0" w:color="auto" w:frame="1"/>
          <w:lang w:val="es-CO" w:eastAsia="es-CO"/>
        </w:rPr>
        <w:t xml:space="preserve"> </w:t>
      </w:r>
      <w:r w:rsidRPr="0043040E">
        <w:rPr>
          <w:rFonts w:ascii="Arial" w:eastAsia="Times New Roman" w:hAnsi="Arial" w:cs="Arial"/>
          <w:color w:val="0D0D0D"/>
          <w:sz w:val="22"/>
          <w:bdr w:val="none" w:sz="0" w:space="0" w:color="auto" w:frame="1"/>
          <w:lang w:val="es-CO" w:eastAsia="es-CO"/>
        </w:rPr>
        <w:t xml:space="preserve">se asigna al Gobierno Nacional la facultad de estandarizar los pliegos de condiciones y términos de referencia de los contratos, medida </w:t>
      </w:r>
      <w:r w:rsidRPr="0043040E">
        <w:rPr>
          <w:rFonts w:ascii="Arial" w:eastAsia="Times New Roman" w:hAnsi="Arial" w:cs="Arial"/>
          <w:color w:val="0D0D0D"/>
          <w:sz w:val="22"/>
          <w:bdr w:val="none" w:sz="0" w:space="0" w:color="auto" w:frame="1"/>
          <w:lang w:val="es-CO" w:eastAsia="es-CO"/>
        </w:rPr>
        <w:lastRenderedPageBreak/>
        <w:t>que redundará en la agilidad y claridad de los procedimientos»</w:t>
      </w:r>
      <w:r w:rsidRPr="00CA5C6B">
        <w:rPr>
          <w:rStyle w:val="Refdenotaalpie"/>
          <w:rFonts w:ascii="Arial" w:eastAsia="Times New Roman" w:hAnsi="Arial" w:cs="Arial"/>
          <w:color w:val="0D0D0D"/>
          <w:sz w:val="22"/>
          <w:bdr w:val="none" w:sz="0" w:space="0" w:color="auto" w:frame="1"/>
          <w:lang w:val="es-CO" w:eastAsia="es-CO"/>
        </w:rPr>
        <w:footnoteReference w:id="3"/>
      </w:r>
      <w:r w:rsidRPr="0043040E">
        <w:rPr>
          <w:rFonts w:ascii="Arial" w:eastAsia="Times New Roman" w:hAnsi="Arial" w:cs="Arial"/>
          <w:color w:val="0D0D0D"/>
          <w:sz w:val="22"/>
          <w:bdr w:val="none" w:sz="0" w:space="0" w:color="auto" w:frame="1"/>
          <w:lang w:val="es-CO" w:eastAsia="es-CO"/>
        </w:rPr>
        <w:t>. Sin embargo, en el texto aprobado, los pliegos tipo se limitaron a la adquisición o suministro de bienes de características técnicas uniformes</w:t>
      </w:r>
      <w:r w:rsidRPr="00CA5C6B">
        <w:rPr>
          <w:rStyle w:val="Refdenotaalpie"/>
          <w:rFonts w:ascii="Arial" w:eastAsia="Times New Roman" w:hAnsi="Arial" w:cs="Arial"/>
          <w:color w:val="0D0D0D"/>
          <w:sz w:val="22"/>
          <w:bdr w:val="none" w:sz="0" w:space="0" w:color="auto" w:frame="1"/>
          <w:lang w:val="es-CO" w:eastAsia="es-CO"/>
        </w:rPr>
        <w:footnoteReference w:id="4"/>
      </w:r>
      <w:r w:rsidRPr="0043040E">
        <w:rPr>
          <w:rFonts w:ascii="Arial" w:eastAsia="Times New Roman" w:hAnsi="Arial" w:cs="Arial"/>
          <w:color w:val="0D0D0D"/>
          <w:sz w:val="22"/>
          <w:bdr w:val="none" w:sz="0" w:space="0" w:color="auto" w:frame="1"/>
          <w:lang w:val="es-CO" w:eastAsia="es-CO"/>
        </w:rPr>
        <w:t>. </w:t>
      </w:r>
    </w:p>
    <w:p w14:paraId="61709548" w14:textId="4DA3F030" w:rsidR="0043040E" w:rsidRDefault="0043040E" w:rsidP="00C25DB6">
      <w:pPr>
        <w:shd w:val="clear" w:color="auto" w:fill="FFFFFF"/>
        <w:spacing w:before="120" w:line="276" w:lineRule="auto"/>
        <w:ind w:firstLine="709"/>
        <w:jc w:val="both"/>
        <w:rPr>
          <w:rFonts w:ascii="Arial" w:eastAsia="Times New Roman" w:hAnsi="Arial" w:cs="Arial"/>
          <w:color w:val="0D0D0D"/>
          <w:sz w:val="22"/>
          <w:bdr w:val="none" w:sz="0" w:space="0" w:color="auto" w:frame="1"/>
          <w:lang w:val="es-CO" w:eastAsia="es-CO"/>
        </w:rPr>
      </w:pPr>
      <w:r w:rsidRPr="0043040E">
        <w:rPr>
          <w:rFonts w:ascii="Arial" w:eastAsia="Times New Roman" w:hAnsi="Arial" w:cs="Arial"/>
          <w:color w:val="0D0D0D"/>
          <w:sz w:val="22"/>
          <w:bdr w:val="none" w:sz="0" w:space="0" w:color="auto" w:frame="1"/>
          <w:lang w:val="es-CO" w:eastAsia="es-CO"/>
        </w:rPr>
        <w:t>Posteriormente, el artículo 2, parágrafo 7º, de la Ley 1150 de 2007, adicionado por el artículo 4 de la Ley 1882 de 2018, establece la obligatoriedad de la adopción de documentos tipo para algunos contratos, en los siguientes términos: </w:t>
      </w:r>
    </w:p>
    <w:p w14:paraId="25424552" w14:textId="77777777" w:rsidR="006C5528" w:rsidRPr="0043040E" w:rsidRDefault="006C5528" w:rsidP="00346E84">
      <w:pPr>
        <w:shd w:val="clear" w:color="auto" w:fill="FFFFFF"/>
        <w:spacing w:line="276" w:lineRule="auto"/>
        <w:ind w:firstLine="709"/>
        <w:jc w:val="both"/>
        <w:rPr>
          <w:rFonts w:ascii="Arial" w:eastAsia="Times New Roman" w:hAnsi="Arial" w:cs="Arial"/>
          <w:color w:val="000000"/>
          <w:sz w:val="22"/>
          <w:lang w:val="es-CO" w:eastAsia="es-CO"/>
        </w:rPr>
      </w:pPr>
    </w:p>
    <w:p w14:paraId="443264D4" w14:textId="7668A446" w:rsidR="0043040E" w:rsidRDefault="0043040E" w:rsidP="006C5528">
      <w:pPr>
        <w:shd w:val="clear" w:color="auto" w:fill="FFFFFF"/>
        <w:ind w:left="709" w:right="709"/>
        <w:jc w:val="both"/>
        <w:rPr>
          <w:rFonts w:ascii="Arial" w:eastAsia="Times New Roman" w:hAnsi="Arial" w:cs="Arial"/>
          <w:color w:val="0D0D0D"/>
          <w:sz w:val="21"/>
          <w:szCs w:val="21"/>
          <w:bdr w:val="none" w:sz="0" w:space="0" w:color="auto" w:frame="1"/>
          <w:lang w:val="es-CO" w:eastAsia="es-CO"/>
        </w:rPr>
      </w:pPr>
      <w:r w:rsidRPr="0043040E">
        <w:rPr>
          <w:rFonts w:ascii="Arial" w:eastAsia="Times New Roman" w:hAnsi="Arial" w:cs="Arial"/>
          <w:color w:val="0D0D0D"/>
          <w:sz w:val="21"/>
          <w:szCs w:val="21"/>
          <w:bdr w:val="none" w:sz="0" w:space="0" w:color="auto" w:frame="1"/>
          <w:lang w:val="es-CO" w:eastAsia="es-CO"/>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43040E">
        <w:rPr>
          <w:rFonts w:ascii="Arial" w:eastAsia="Times New Roman" w:hAnsi="Arial" w:cs="Arial"/>
          <w:i/>
          <w:iCs/>
          <w:color w:val="0D0D0D"/>
          <w:sz w:val="21"/>
          <w:szCs w:val="21"/>
          <w:bdr w:val="none" w:sz="0" w:space="0" w:color="auto" w:frame="1"/>
          <w:lang w:val="es-CO"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Pr="0043040E">
        <w:rPr>
          <w:rFonts w:ascii="Arial" w:eastAsia="Times New Roman" w:hAnsi="Arial" w:cs="Arial"/>
          <w:color w:val="0D0D0D"/>
          <w:sz w:val="21"/>
          <w:szCs w:val="21"/>
          <w:bdr w:val="none" w:sz="0" w:space="0" w:color="auto" w:frame="1"/>
          <w:lang w:val="es-CO" w:eastAsia="es-CO"/>
        </w:rPr>
        <w:t> […] </w:t>
      </w:r>
      <w:r w:rsidRPr="0043040E">
        <w:rPr>
          <w:rFonts w:ascii="Arial" w:eastAsia="Times New Roman" w:hAnsi="Arial" w:cs="Arial"/>
          <w:i/>
          <w:iCs/>
          <w:color w:val="0D0D0D"/>
          <w:sz w:val="21"/>
          <w:szCs w:val="21"/>
          <w:bdr w:val="none" w:sz="0" w:space="0" w:color="auto" w:frame="1"/>
          <w:lang w:val="es-CO" w:eastAsia="es-CO"/>
        </w:rPr>
        <w:t>teniendo en cuenta la naturaleza y cuantía de los contratos</w:t>
      </w:r>
      <w:r w:rsidRPr="0043040E">
        <w:rPr>
          <w:rFonts w:ascii="Arial" w:eastAsia="Times New Roman" w:hAnsi="Arial" w:cs="Arial"/>
          <w:color w:val="0D0D0D"/>
          <w:sz w:val="21"/>
          <w:szCs w:val="21"/>
          <w:bdr w:val="none" w:sz="0" w:space="0" w:color="auto" w:frame="1"/>
          <w:lang w:val="es-CO" w:eastAsia="es-CO"/>
        </w:rPr>
        <w:t> […]. (Énfasis fuera de texto) </w:t>
      </w:r>
    </w:p>
    <w:p w14:paraId="2772FDED" w14:textId="77777777" w:rsidR="006C5528" w:rsidRPr="00346E84" w:rsidRDefault="006C5528" w:rsidP="00346E84">
      <w:pPr>
        <w:shd w:val="clear" w:color="auto" w:fill="FFFFFF"/>
        <w:spacing w:line="276" w:lineRule="auto"/>
        <w:ind w:left="709" w:right="709"/>
        <w:jc w:val="both"/>
        <w:rPr>
          <w:rFonts w:ascii="Arial" w:eastAsia="Times New Roman" w:hAnsi="Arial" w:cs="Arial"/>
          <w:color w:val="000000"/>
          <w:sz w:val="22"/>
          <w:lang w:val="es-CO" w:eastAsia="es-CO"/>
        </w:rPr>
      </w:pPr>
    </w:p>
    <w:p w14:paraId="4FA35313" w14:textId="62B2FB8B" w:rsidR="006C5CD7" w:rsidRPr="0043040E" w:rsidRDefault="0043040E" w:rsidP="00346E84">
      <w:pPr>
        <w:shd w:val="clear" w:color="auto" w:fill="FFFFFF"/>
        <w:spacing w:line="276" w:lineRule="auto"/>
        <w:ind w:firstLine="708"/>
        <w:jc w:val="both"/>
        <w:rPr>
          <w:rFonts w:ascii="Arial" w:eastAsia="Times New Roman" w:hAnsi="Arial" w:cs="Arial"/>
          <w:color w:val="0D0D0D"/>
          <w:sz w:val="22"/>
          <w:bdr w:val="none" w:sz="0" w:space="0" w:color="auto" w:frame="1"/>
          <w:lang w:val="es-CO" w:eastAsia="es-CO"/>
        </w:rPr>
      </w:pPr>
      <w:r w:rsidRPr="0043040E">
        <w:rPr>
          <w:rFonts w:ascii="Arial" w:eastAsia="Times New Roman" w:hAnsi="Arial" w:cs="Arial"/>
          <w:color w:val="0D0D0D"/>
          <w:sz w:val="22"/>
          <w:bdr w:val="none" w:sz="0" w:space="0" w:color="auto" w:frame="1"/>
          <w:lang w:val="es-CO" w:eastAsia="es-CO"/>
        </w:rPr>
        <w:t>Sin embargo, el 22 de julio de 2020, el Gobierno Nacional sancionó la Ley 2022, llamada la «ley de pliegos tipo»,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iv)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CA5C6B">
        <w:rPr>
          <w:rStyle w:val="Refdenotaalpie"/>
          <w:rFonts w:ascii="Arial" w:eastAsia="Times New Roman" w:hAnsi="Arial" w:cs="Arial"/>
          <w:color w:val="0D0D0D"/>
          <w:sz w:val="22"/>
          <w:bdr w:val="none" w:sz="0" w:space="0" w:color="auto" w:frame="1"/>
          <w:lang w:val="es-CO" w:eastAsia="es-CO"/>
        </w:rPr>
        <w:footnoteReference w:id="5"/>
      </w:r>
      <w:r w:rsidRPr="0043040E">
        <w:rPr>
          <w:rFonts w:ascii="Arial" w:eastAsia="Times New Roman" w:hAnsi="Arial" w:cs="Arial"/>
          <w:color w:val="0D0D0D"/>
          <w:sz w:val="22"/>
          <w:bdr w:val="none" w:sz="0" w:space="0" w:color="auto" w:frame="1"/>
          <w:lang w:val="es-CO" w:eastAsia="es-CO"/>
        </w:rPr>
        <w:t>.  </w:t>
      </w:r>
    </w:p>
    <w:p w14:paraId="06F53498" w14:textId="57BF5880" w:rsidR="0054595A" w:rsidRPr="0043040E" w:rsidRDefault="0043040E" w:rsidP="00C25DB6">
      <w:pPr>
        <w:shd w:val="clear" w:color="auto" w:fill="FFFFFF"/>
        <w:spacing w:before="120" w:line="276" w:lineRule="auto"/>
        <w:ind w:firstLine="703"/>
        <w:jc w:val="both"/>
        <w:rPr>
          <w:rFonts w:ascii="Arial" w:eastAsia="Times New Roman" w:hAnsi="Arial" w:cs="Arial"/>
          <w:color w:val="0D0D0D"/>
          <w:sz w:val="22"/>
          <w:bdr w:val="none" w:sz="0" w:space="0" w:color="auto" w:frame="1"/>
          <w:lang w:val="es-CO" w:eastAsia="es-CO"/>
        </w:rPr>
      </w:pPr>
      <w:r w:rsidRPr="0043040E">
        <w:rPr>
          <w:rFonts w:ascii="Arial" w:eastAsia="Times New Roman" w:hAnsi="Arial" w:cs="Arial"/>
          <w:color w:val="0D0D0D"/>
          <w:sz w:val="22"/>
          <w:bdr w:val="none" w:sz="0" w:space="0" w:color="auto" w:frame="1"/>
          <w:lang w:val="es-CO" w:eastAsia="es-CO"/>
        </w:rPr>
        <w:lastRenderedPageBreak/>
        <w:t>Sin perjuicio de lo anterior, la exposición de motivos del proyecto que se convirtió en la Ley 1882 de 2018 se refirió a la necesidad de utilizar documentos tipo, pues reducen el tiempo de los procesos de contratación y contribuyen al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administración pública más eficiente y moderna. </w:t>
      </w:r>
    </w:p>
    <w:p w14:paraId="03D75270" w14:textId="7A1376BE" w:rsidR="0054595A" w:rsidRPr="0043040E" w:rsidRDefault="0043040E" w:rsidP="00C25DB6">
      <w:pPr>
        <w:shd w:val="clear" w:color="auto" w:fill="FFFFFF"/>
        <w:spacing w:before="120" w:line="276" w:lineRule="auto"/>
        <w:ind w:firstLine="705"/>
        <w:jc w:val="both"/>
        <w:rPr>
          <w:rFonts w:ascii="Arial" w:eastAsia="Times New Roman" w:hAnsi="Arial" w:cs="Arial"/>
          <w:color w:val="0D0D0D"/>
          <w:sz w:val="22"/>
          <w:bdr w:val="none" w:sz="0" w:space="0" w:color="auto" w:frame="1"/>
          <w:lang w:val="es-CO" w:eastAsia="es-CO"/>
        </w:rPr>
      </w:pPr>
      <w:r w:rsidRPr="0043040E">
        <w:rPr>
          <w:rFonts w:ascii="Arial" w:eastAsia="Times New Roman" w:hAnsi="Arial" w:cs="Arial"/>
          <w:color w:val="0D0D0D"/>
          <w:sz w:val="22"/>
          <w:bdr w:val="none" w:sz="0" w:space="0" w:color="auto" w:frame="1"/>
          <w:lang w:val="es-CO" w:eastAsia="es-CO"/>
        </w:rPr>
        <w:t>En ejercicio de la competencia conferida por el citado parágrafo, el Gobierno Nacional expidió el Decreto 342 de 2019, por medio del que se adoptaron los documentos tipo para licitaciones públicas para selección de contratistas de obra de infraestructura de transporte. En esta medida, el reglamento adicionó la Sección 6 y la Subsección 1 al Capítulo 2 del Título 1 de la Parte 2 del Libro 2 del Decreto 1082 de 2015, Decreto Único Reglamentario del Sector Administrativo de Planeación Nacional.  </w:t>
      </w:r>
    </w:p>
    <w:p w14:paraId="7D0CFEF9" w14:textId="155507A8" w:rsidR="0054595A" w:rsidRPr="0043040E" w:rsidRDefault="0043040E" w:rsidP="00C25DB6">
      <w:pPr>
        <w:shd w:val="clear" w:color="auto" w:fill="FFFFFF"/>
        <w:spacing w:before="120" w:line="276" w:lineRule="auto"/>
        <w:ind w:firstLine="705"/>
        <w:jc w:val="both"/>
        <w:rPr>
          <w:rFonts w:ascii="Arial" w:eastAsia="Times New Roman" w:hAnsi="Arial" w:cs="Arial"/>
          <w:color w:val="0D0D0D"/>
          <w:sz w:val="22"/>
          <w:bdr w:val="none" w:sz="0" w:space="0" w:color="auto" w:frame="1"/>
          <w:lang w:val="es-CO" w:eastAsia="es-CO"/>
        </w:rPr>
      </w:pPr>
      <w:r w:rsidRPr="0043040E">
        <w:rPr>
          <w:rFonts w:ascii="Arial" w:eastAsia="Times New Roman" w:hAnsi="Arial" w:cs="Arial"/>
          <w:color w:val="0D0D0D"/>
          <w:sz w:val="22"/>
          <w:bdr w:val="none" w:sz="0" w:space="0" w:color="auto" w:frame="1"/>
          <w:lang w:val="es-CO" w:eastAsia="es-CO"/>
        </w:rPr>
        <w:t>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 Además, el artículo 2.2.1.2.6.1.2 del Decreto –referido al alcance de los documentos tipo–dispone que «contienen parámetros obligatorios para las entidades estatales sometidas al Estatuto General de la Contratación Pública que adelanten procesos de selección de licitación de obra pública de infraestructura de transporte».  </w:t>
      </w:r>
    </w:p>
    <w:p w14:paraId="751CA9E2" w14:textId="7AB538E8" w:rsidR="0054595A" w:rsidRPr="0043040E" w:rsidRDefault="0043040E" w:rsidP="00C25DB6">
      <w:pPr>
        <w:shd w:val="clear" w:color="auto" w:fill="FFFFFF"/>
        <w:spacing w:before="120" w:line="276" w:lineRule="auto"/>
        <w:ind w:firstLine="705"/>
        <w:jc w:val="both"/>
        <w:rPr>
          <w:rFonts w:ascii="Arial" w:eastAsia="Times New Roman" w:hAnsi="Arial" w:cs="Arial"/>
          <w:color w:val="0D0D0D"/>
          <w:sz w:val="22"/>
          <w:bdr w:val="none" w:sz="0" w:space="0" w:color="auto" w:frame="1"/>
          <w:lang w:val="es-CO" w:eastAsia="es-CO"/>
        </w:rPr>
      </w:pPr>
      <w:r w:rsidRPr="0043040E">
        <w:rPr>
          <w:rFonts w:ascii="Arial" w:eastAsia="Times New Roman" w:hAnsi="Arial" w:cs="Arial"/>
          <w:color w:val="0D0D0D"/>
          <w:sz w:val="22"/>
          <w:bdr w:val="none" w:sz="0" w:space="0" w:color="auto" w:frame="1"/>
          <w:lang w:val="es-CO" w:eastAsia="es-CO"/>
        </w:rPr>
        <w:lastRenderedPageBreak/>
        <w:t>El Gobierno Nacional mediante el artículo 2.2.1.2.6.1.3 del Decreto 1082 de 2015, adicionado por el Decreto 342 de 2019, facultó a la Agencia Nacional de Contratación Pública – Colombia Compra Eficiente, para que en coordinación con el Departamento Nacional de Planeación –DNP– y el Ministerio de Transporte, desarrollara e implementara los Documentos Tipo. Esto tuvo lugar con la expedición de la Resolución No. 1798 del 1º de abril de 2019 que implementó la Versión 1 de los documentos tipo para procesos de licitación de obra pública de infraestructura de transporte. </w:t>
      </w:r>
    </w:p>
    <w:p w14:paraId="213C7166" w14:textId="22DF7695" w:rsidR="0054595A" w:rsidRPr="0043040E" w:rsidRDefault="0043040E" w:rsidP="00C25DB6">
      <w:pPr>
        <w:shd w:val="clear" w:color="auto" w:fill="FFFFFF"/>
        <w:spacing w:before="120" w:line="276" w:lineRule="auto"/>
        <w:jc w:val="both"/>
        <w:rPr>
          <w:rFonts w:ascii="Arial" w:eastAsia="Times New Roman" w:hAnsi="Arial" w:cs="Arial"/>
          <w:color w:val="0D0D0D"/>
          <w:sz w:val="22"/>
          <w:bdr w:val="none" w:sz="0" w:space="0" w:color="auto" w:frame="1"/>
          <w:lang w:val="es-CO" w:eastAsia="es-CO"/>
        </w:rPr>
      </w:pPr>
      <w:r w:rsidRPr="0043040E">
        <w:rPr>
          <w:rFonts w:ascii="Arial" w:eastAsia="Times New Roman" w:hAnsi="Arial" w:cs="Arial"/>
          <w:color w:val="0D0D0D"/>
          <w:sz w:val="22"/>
          <w:bdr w:val="none" w:sz="0" w:space="0" w:color="auto" w:frame="1"/>
          <w:lang w:val="es-CO" w:eastAsia="es-CO"/>
        </w:rPr>
        <w:t>            La Agencia Nacional de Contratación Pública – Colombia Compra Eficiente luego de identificar, junto con el Departamento Nacional de Planeación y el Ministerio de Transporte, la necesidad de actualizar los documentos tipo para los procesos de licitación pública en orden de fortalecerlos y adaptarlos a la realidad de la contratación del país, implementó la versión 2. De esta manera expidió la Resolución No. 045 del 14 de febrero de 2020, «Por la cual se actualizan los Documentos Tipo para los procesos de selección de licitación de obra pública de infraestructura de transporte y se deroga la Resolución 1798 de 2019».  </w:t>
      </w:r>
    </w:p>
    <w:p w14:paraId="24AEFFE5" w14:textId="712D8787" w:rsidR="0054595A" w:rsidRPr="0043040E" w:rsidRDefault="0043040E" w:rsidP="00C25DB6">
      <w:pPr>
        <w:shd w:val="clear" w:color="auto" w:fill="FFFFFF"/>
        <w:spacing w:before="120" w:line="276" w:lineRule="auto"/>
        <w:ind w:firstLine="708"/>
        <w:jc w:val="both"/>
        <w:rPr>
          <w:rFonts w:ascii="Arial" w:eastAsia="Times New Roman" w:hAnsi="Arial" w:cs="Arial"/>
          <w:color w:val="0D0D0D"/>
          <w:sz w:val="22"/>
          <w:bdr w:val="none" w:sz="0" w:space="0" w:color="auto" w:frame="1"/>
          <w:lang w:val="es-CO" w:eastAsia="es-CO"/>
        </w:rPr>
      </w:pPr>
      <w:r w:rsidRPr="0043040E">
        <w:rPr>
          <w:rFonts w:ascii="Arial" w:eastAsia="Times New Roman" w:hAnsi="Arial" w:cs="Arial"/>
          <w:color w:val="0D0D0D"/>
          <w:sz w:val="22"/>
          <w:bdr w:val="none" w:sz="0" w:space="0" w:color="auto" w:frame="1"/>
          <w:lang w:val="es-CO" w:eastAsia="es-CO"/>
        </w:rPr>
        <w:t>El Gobierno Nacional ejerció nuevamente la competencia prevista en el citado artículo 4 de la Ley 1882 de 2018, expidiendo el Decreto 2096 de 2019. A través de él se autorizaron los documentos tipo para procesos de contratación de obra pública de infraestructura de transporte adelantados en la modalidad de selección abreviada de menor cuantía. Este reglamento adicionó la Subsección 2 a la Sección 6 del Capítulo 2 del Título 1 de la parte 2 del Libro 2 del Decreto 1082 de 2015. </w:t>
      </w:r>
    </w:p>
    <w:p w14:paraId="3BA9412D" w14:textId="347B16FC" w:rsidR="0054595A" w:rsidRPr="0043040E" w:rsidRDefault="0043040E" w:rsidP="00C25DB6">
      <w:pPr>
        <w:shd w:val="clear" w:color="auto" w:fill="FFFFFF"/>
        <w:spacing w:before="120" w:line="276" w:lineRule="auto"/>
        <w:jc w:val="both"/>
        <w:rPr>
          <w:rFonts w:ascii="Arial" w:eastAsia="Times New Roman" w:hAnsi="Arial" w:cs="Arial"/>
          <w:color w:val="0D0D0D"/>
          <w:sz w:val="22"/>
          <w:bdr w:val="none" w:sz="0" w:space="0" w:color="auto" w:frame="1"/>
          <w:lang w:val="es-CO" w:eastAsia="es-CO"/>
        </w:rPr>
      </w:pPr>
      <w:r w:rsidRPr="0043040E">
        <w:rPr>
          <w:rFonts w:ascii="Arial" w:eastAsia="Times New Roman" w:hAnsi="Arial" w:cs="Arial"/>
          <w:color w:val="0D0D0D"/>
          <w:sz w:val="22"/>
          <w:bdr w:val="none" w:sz="0" w:space="0" w:color="auto" w:frame="1"/>
          <w:lang w:val="es-CO" w:eastAsia="es-CO"/>
        </w:rPr>
        <w:t>            El artículo 2.2.1.2.6.2.2 del Decreto 1082 de 2015 contiene el listado de los documentos tipo aplicables a los procesos de selección abreviada de menor cuantía para la contratación de obra pública de infraestructura de transporte. Además, el 2.2.1.2.6.2.3 </w:t>
      </w:r>
      <w:r w:rsidRPr="0043040E">
        <w:rPr>
          <w:rFonts w:ascii="Arial" w:eastAsia="Times New Roman" w:hAnsi="Arial" w:cs="Arial"/>
          <w:i/>
          <w:iCs/>
          <w:color w:val="0D0D0D"/>
          <w:sz w:val="22"/>
          <w:bdr w:val="none" w:sz="0" w:space="0" w:color="auto" w:frame="1"/>
          <w:lang w:val="es-CO" w:eastAsia="es-CO"/>
        </w:rPr>
        <w:t>ibidem</w:t>
      </w:r>
      <w:r w:rsidRPr="0043040E">
        <w:rPr>
          <w:rFonts w:ascii="Arial" w:eastAsia="Times New Roman" w:hAnsi="Arial" w:cs="Arial"/>
          <w:color w:val="0D0D0D"/>
          <w:sz w:val="22"/>
          <w:bdr w:val="none" w:sz="0" w:space="0" w:color="auto" w:frame="1"/>
          <w:lang w:val="es-CO" w:eastAsia="es-CO"/>
        </w:rPr>
        <w:t> facultó a la Agencia Nacional de Contratación Pública – Colombia Compra Eficiente, para que en coordinación con el Departamento Nacional de Planeación –DNP– y el Ministerio de Transporte, desarrollara e implementara los documentos tipo. La entidad ejerció esta competencia mediante la expedición de la Resolución No. 044 del 14 de febrero de 2020 que implementó los documentos tipo para esta modalidad de selección. </w:t>
      </w:r>
    </w:p>
    <w:p w14:paraId="59ADCCE2" w14:textId="503FA3C8" w:rsidR="00991BE6" w:rsidRPr="0043040E" w:rsidRDefault="0043040E" w:rsidP="00C25DB6">
      <w:pPr>
        <w:shd w:val="clear" w:color="auto" w:fill="FFFFFF"/>
        <w:spacing w:before="120" w:line="276" w:lineRule="auto"/>
        <w:ind w:firstLine="708"/>
        <w:jc w:val="both"/>
        <w:rPr>
          <w:rFonts w:ascii="Arial" w:eastAsia="Times New Roman" w:hAnsi="Arial" w:cs="Arial"/>
          <w:color w:val="0D0D0D"/>
          <w:sz w:val="22"/>
          <w:bdr w:val="none" w:sz="0" w:space="0" w:color="auto" w:frame="1"/>
          <w:lang w:val="es-CO" w:eastAsia="es-CO"/>
        </w:rPr>
      </w:pPr>
      <w:r w:rsidRPr="0043040E">
        <w:rPr>
          <w:rFonts w:ascii="Arial" w:eastAsia="Times New Roman" w:hAnsi="Arial" w:cs="Arial"/>
          <w:color w:val="0D0D0D"/>
          <w:sz w:val="22"/>
          <w:bdr w:val="none" w:sz="0" w:space="0" w:color="auto" w:frame="1"/>
          <w:lang w:val="es-CO" w:eastAsia="es-CO"/>
        </w:rPr>
        <w:t>Finalmente, el Gobierno Nacional ejerció la competencia prevista en el citado artículo 4 de la Ley 1882 de 2018, expidiendo el Decreto 594 de 2020, el cual adoptó los documentos tipo para procesos de contratación de obra pública de infraestructura de transporte adelantados en la modalidad de mínima cuantía. Este reglamento adicionó la Subsección 3 a la Sección 6 del Capítulo 2 del Título 1 de la parte 2 del Libro 2 del Decreto 1082 de 2015. </w:t>
      </w:r>
    </w:p>
    <w:p w14:paraId="661929FE" w14:textId="70F05D7E" w:rsidR="00CA5C6B" w:rsidRPr="0043040E" w:rsidRDefault="0043040E" w:rsidP="00C25DB6">
      <w:pPr>
        <w:shd w:val="clear" w:color="auto" w:fill="FFFFFF"/>
        <w:spacing w:before="120" w:line="276" w:lineRule="auto"/>
        <w:ind w:firstLine="708"/>
        <w:jc w:val="both"/>
        <w:rPr>
          <w:rFonts w:ascii="Arial" w:eastAsia="Times New Roman" w:hAnsi="Arial" w:cs="Arial"/>
          <w:color w:val="0D0D0D"/>
          <w:sz w:val="22"/>
          <w:bdr w:val="none" w:sz="0" w:space="0" w:color="auto" w:frame="1"/>
          <w:lang w:val="es-CO" w:eastAsia="es-CO"/>
        </w:rPr>
      </w:pPr>
      <w:r w:rsidRPr="0043040E">
        <w:rPr>
          <w:rFonts w:ascii="Arial" w:eastAsia="Times New Roman" w:hAnsi="Arial" w:cs="Arial"/>
          <w:color w:val="0D0D0D"/>
          <w:sz w:val="22"/>
          <w:bdr w:val="none" w:sz="0" w:space="0" w:color="auto" w:frame="1"/>
          <w:lang w:val="es-CO" w:eastAsia="es-CO"/>
        </w:rPr>
        <w:t xml:space="preserve">El artículo 2.2.1.2.6.3.2 del Decreto 1082 de 2015 contiene el listado de los documentos tipo aplicables a los procesos de mínima cuantía para la contratación de obra </w:t>
      </w:r>
      <w:r w:rsidRPr="0043040E">
        <w:rPr>
          <w:rFonts w:ascii="Arial" w:eastAsia="Times New Roman" w:hAnsi="Arial" w:cs="Arial"/>
          <w:color w:val="0D0D0D"/>
          <w:sz w:val="22"/>
          <w:bdr w:val="none" w:sz="0" w:space="0" w:color="auto" w:frame="1"/>
          <w:lang w:val="es-CO" w:eastAsia="es-CO"/>
        </w:rPr>
        <w:lastRenderedPageBreak/>
        <w:t>pública de infraestructura de transporte, mientras que el 2.2.1.2.6.3.3 facultó a la Agencia Nacional de Contratación Pública – Colombia Compra Eficiente, para que en coordinación con el Departamento Nacional de Planeación –DNP– y el Ministerio de Transporte, desarrollara e implementara los documentos tipo. Esta competencia fue ejercida mediante la expedición de la Resolución No. 094 del 21 de mayo de 2020 que implementó los documentos tipo para esta modalidad de selección. </w:t>
      </w:r>
    </w:p>
    <w:p w14:paraId="0409E032" w14:textId="2A17E102" w:rsidR="0043040E" w:rsidRDefault="0043040E" w:rsidP="00D21D97">
      <w:pPr>
        <w:shd w:val="clear" w:color="auto" w:fill="FFFFFF"/>
        <w:spacing w:before="120" w:line="276" w:lineRule="auto"/>
        <w:ind w:firstLine="708"/>
        <w:jc w:val="both"/>
        <w:rPr>
          <w:rFonts w:ascii="Arial" w:eastAsia="Times New Roman" w:hAnsi="Arial" w:cs="Arial"/>
          <w:color w:val="000000"/>
          <w:sz w:val="22"/>
          <w:lang w:val="es-CO" w:eastAsia="es-CO"/>
        </w:rPr>
      </w:pPr>
      <w:r w:rsidRPr="0043040E">
        <w:rPr>
          <w:rFonts w:ascii="Arial" w:eastAsia="Times New Roman" w:hAnsi="Arial" w:cs="Arial"/>
          <w:color w:val="0D0D0D"/>
          <w:sz w:val="22"/>
          <w:bdr w:val="none" w:sz="0" w:space="0" w:color="auto" w:frame="1"/>
          <w:lang w:val="es-CO" w:eastAsia="es-CO"/>
        </w:rPr>
        <w:t>Ahora bien, esta Agencia consciente de la afectación económica que causaron las medidas adoptadas para contener la pandemia COVID – 19 en el país, decide actualizar los documentos tipo para los procesos de licitación de obra pública y selección abreviada de menor cuantía de infraestructura de transporte y, en consecuencia, adopta medidas en apoyo a la industria nacional. Por tanto, Colombia Compra Eficiente expide las Resoluciones No. 240 y 241 del 27 de noviembre 2020 a través de las cuales se adoptan los documentos tipo de licitación de obra pública – versión 3 y de selección abreviada de menor cuantía – versión 2 de infraestructura de transporte, lo cuales son obligatorios a partir del 1º de enero de 2021.  </w:t>
      </w:r>
    </w:p>
    <w:p w14:paraId="3EAEBEEA" w14:textId="77777777" w:rsidR="00D21D97" w:rsidRPr="0043040E" w:rsidRDefault="00D21D97" w:rsidP="00CA5C6B">
      <w:pPr>
        <w:shd w:val="clear" w:color="auto" w:fill="FFFFFF"/>
        <w:spacing w:line="276" w:lineRule="auto"/>
        <w:textAlignment w:val="baseline"/>
        <w:rPr>
          <w:rFonts w:ascii="Arial" w:eastAsia="Times New Roman" w:hAnsi="Arial" w:cs="Arial"/>
          <w:color w:val="000000"/>
          <w:sz w:val="22"/>
          <w:lang w:val="es-CO" w:eastAsia="es-CO"/>
        </w:rPr>
      </w:pPr>
    </w:p>
    <w:p w14:paraId="27596D5E" w14:textId="53B89C56" w:rsidR="00F476B4" w:rsidRDefault="001B5813" w:rsidP="00346E84">
      <w:pPr>
        <w:shd w:val="clear" w:color="auto" w:fill="FFFFFF"/>
        <w:spacing w:line="276" w:lineRule="auto"/>
        <w:jc w:val="both"/>
        <w:textAlignment w:val="baseline"/>
        <w:rPr>
          <w:rFonts w:ascii="Arial" w:eastAsia="Times New Roman" w:hAnsi="Arial" w:cs="Arial"/>
          <w:b/>
          <w:bCs/>
          <w:color w:val="000000"/>
          <w:sz w:val="22"/>
          <w:lang w:val="es-CO" w:eastAsia="es-CO"/>
        </w:rPr>
      </w:pPr>
      <w:r w:rsidRPr="00CA5C6B">
        <w:rPr>
          <w:rFonts w:ascii="Arial" w:eastAsia="Times New Roman" w:hAnsi="Arial" w:cs="Arial"/>
          <w:b/>
          <w:bCs/>
          <w:color w:val="000000"/>
          <w:sz w:val="22"/>
          <w:lang w:val="es-CO" w:eastAsia="es-CO"/>
        </w:rPr>
        <w:t xml:space="preserve">2.2. Inalterabilidad de los </w:t>
      </w:r>
      <w:r w:rsidR="00C56B01">
        <w:rPr>
          <w:rFonts w:ascii="Arial" w:eastAsia="Times New Roman" w:hAnsi="Arial" w:cs="Arial"/>
          <w:b/>
          <w:bCs/>
          <w:color w:val="000000"/>
          <w:sz w:val="22"/>
          <w:lang w:val="es-CO" w:eastAsia="es-CO"/>
        </w:rPr>
        <w:t>«D</w:t>
      </w:r>
      <w:r w:rsidRPr="00CA5C6B">
        <w:rPr>
          <w:rFonts w:ascii="Arial" w:eastAsia="Times New Roman" w:hAnsi="Arial" w:cs="Arial"/>
          <w:b/>
          <w:bCs/>
          <w:color w:val="000000"/>
          <w:sz w:val="22"/>
          <w:lang w:val="es-CO" w:eastAsia="es-CO"/>
        </w:rPr>
        <w:t xml:space="preserve">ocumentos </w:t>
      </w:r>
      <w:r w:rsidR="00C56B01">
        <w:rPr>
          <w:rFonts w:ascii="Arial" w:eastAsia="Times New Roman" w:hAnsi="Arial" w:cs="Arial"/>
          <w:b/>
          <w:bCs/>
          <w:color w:val="000000"/>
          <w:sz w:val="22"/>
          <w:lang w:val="es-CO" w:eastAsia="es-CO"/>
        </w:rPr>
        <w:t>T</w:t>
      </w:r>
      <w:r w:rsidRPr="00CA5C6B">
        <w:rPr>
          <w:rFonts w:ascii="Arial" w:eastAsia="Times New Roman" w:hAnsi="Arial" w:cs="Arial"/>
          <w:b/>
          <w:bCs/>
          <w:color w:val="000000"/>
          <w:sz w:val="22"/>
          <w:lang w:val="es-CO" w:eastAsia="es-CO"/>
        </w:rPr>
        <w:t>ipo</w:t>
      </w:r>
      <w:r w:rsidR="00C56B01">
        <w:rPr>
          <w:rFonts w:ascii="Arial" w:eastAsia="Times New Roman" w:hAnsi="Arial" w:cs="Arial"/>
          <w:b/>
          <w:bCs/>
          <w:color w:val="000000"/>
          <w:sz w:val="22"/>
          <w:lang w:val="es-CO" w:eastAsia="es-CO"/>
        </w:rPr>
        <w:t xml:space="preserve"> – Versión 3» de licitación para obra pública de infraestructura de transporte</w:t>
      </w:r>
      <w:r w:rsidRPr="00CA5C6B">
        <w:rPr>
          <w:rFonts w:ascii="Arial" w:eastAsia="Times New Roman" w:hAnsi="Arial" w:cs="Arial"/>
          <w:b/>
          <w:bCs/>
          <w:color w:val="000000"/>
          <w:sz w:val="22"/>
          <w:lang w:val="es-CO" w:eastAsia="es-CO"/>
        </w:rPr>
        <w:t xml:space="preserve"> y sus excepciones </w:t>
      </w:r>
    </w:p>
    <w:p w14:paraId="5B032040" w14:textId="77777777" w:rsidR="00CC1768" w:rsidRDefault="00CC1768" w:rsidP="00F476B4">
      <w:pPr>
        <w:shd w:val="clear" w:color="auto" w:fill="FFFFFF"/>
        <w:spacing w:line="276" w:lineRule="auto"/>
        <w:textAlignment w:val="baseline"/>
        <w:rPr>
          <w:rFonts w:ascii="Arial" w:eastAsia="Times New Roman" w:hAnsi="Arial" w:cs="Arial"/>
          <w:b/>
          <w:bCs/>
          <w:color w:val="000000"/>
          <w:sz w:val="22"/>
          <w:lang w:val="es-CO" w:eastAsia="es-CO"/>
        </w:rPr>
      </w:pPr>
    </w:p>
    <w:p w14:paraId="0D85B141" w14:textId="494709E0" w:rsidR="00306FA7" w:rsidRPr="00F476B4" w:rsidRDefault="00C048C9" w:rsidP="00A47C7C">
      <w:pPr>
        <w:shd w:val="clear" w:color="auto" w:fill="FFFFFF"/>
        <w:spacing w:line="276" w:lineRule="auto"/>
        <w:jc w:val="both"/>
        <w:textAlignment w:val="baseline"/>
        <w:rPr>
          <w:rFonts w:ascii="Arial" w:eastAsia="Times New Roman" w:hAnsi="Arial" w:cs="Arial"/>
          <w:b/>
          <w:bCs/>
          <w:color w:val="000000"/>
          <w:sz w:val="22"/>
          <w:lang w:val="es-CO" w:eastAsia="es-CO"/>
        </w:rPr>
      </w:pPr>
      <w:r>
        <w:rPr>
          <w:rFonts w:ascii="Arial" w:eastAsia="Calibri" w:hAnsi="Arial" w:cs="Arial"/>
          <w:bCs/>
          <w:sz w:val="22"/>
          <w:lang w:val="es-ES_tradnl"/>
        </w:rPr>
        <w:t>El</w:t>
      </w:r>
      <w:r w:rsidRPr="00CA5C6B">
        <w:rPr>
          <w:rFonts w:ascii="Arial" w:eastAsia="Calibri" w:hAnsi="Arial" w:cs="Arial"/>
          <w:bCs/>
          <w:sz w:val="22"/>
          <w:lang w:val="es-ES_tradnl"/>
        </w:rPr>
        <w:t xml:space="preserve"> artículo 2.2.1.2.6.1.4</w:t>
      </w:r>
      <w:r>
        <w:rPr>
          <w:rFonts w:ascii="Arial" w:eastAsia="Calibri" w:hAnsi="Arial" w:cs="Arial"/>
          <w:bCs/>
          <w:sz w:val="22"/>
          <w:lang w:val="es-ES_tradnl"/>
        </w:rPr>
        <w:t xml:space="preserve"> de</w:t>
      </w:r>
      <w:r w:rsidR="00515B68">
        <w:rPr>
          <w:rFonts w:ascii="Arial" w:eastAsia="Calibri" w:hAnsi="Arial" w:cs="Arial"/>
          <w:bCs/>
          <w:sz w:val="22"/>
          <w:lang w:val="es-ES_tradnl"/>
        </w:rPr>
        <w:t xml:space="preserve">l Decreto 1082 de 2015 </w:t>
      </w:r>
      <w:r w:rsidR="002672B1">
        <w:rPr>
          <w:rFonts w:ascii="Arial" w:eastAsia="Calibri" w:hAnsi="Arial" w:cs="Arial"/>
          <w:bCs/>
          <w:sz w:val="22"/>
          <w:lang w:val="es-ES_tradnl"/>
        </w:rPr>
        <w:t>establece</w:t>
      </w:r>
      <w:r w:rsidR="00306FA7" w:rsidRPr="00CA5C6B">
        <w:rPr>
          <w:rFonts w:ascii="Arial" w:eastAsia="Calibri" w:hAnsi="Arial" w:cs="Arial"/>
          <w:bCs/>
          <w:sz w:val="22"/>
          <w:lang w:val="es-ES_tradnl"/>
        </w:rPr>
        <w:t xml:space="preserve"> la inalterabilidad de los documentos tipo para la modalidad de licitación pública, que consiste en que las entidades estatales no pueden incluir o modificar en los documentos del proceso las condiciones habilitantes, los factores técnicos y económicos de escogencia y los sistemas de ponderación distintos a los señalados en los documentos tipo</w:t>
      </w:r>
      <w:r w:rsidRPr="00CA5C6B">
        <w:rPr>
          <w:rStyle w:val="Refdenotaalpie"/>
          <w:rFonts w:ascii="Arial" w:eastAsia="Calibri" w:hAnsi="Arial" w:cs="Arial"/>
          <w:bCs/>
          <w:sz w:val="22"/>
          <w:lang w:val="es-ES_tradnl"/>
        </w:rPr>
        <w:footnoteReference w:id="6"/>
      </w:r>
      <w:r w:rsidR="00306FA7" w:rsidRPr="00CA5C6B">
        <w:rPr>
          <w:rFonts w:ascii="Arial" w:eastAsia="Calibri" w:hAnsi="Arial" w:cs="Arial"/>
          <w:bCs/>
          <w:sz w:val="22"/>
          <w:lang w:val="es-ES_tradnl"/>
        </w:rPr>
        <w:t>. En consecuencia</w:t>
      </w:r>
      <w:bookmarkStart w:id="3" w:name="_Hlk64290904"/>
      <w:r w:rsidR="00306FA7" w:rsidRPr="00CA5C6B">
        <w:rPr>
          <w:rFonts w:ascii="Arial" w:eastAsia="Calibri" w:hAnsi="Arial" w:cs="Arial"/>
          <w:bCs/>
          <w:sz w:val="22"/>
          <w:lang w:val="es-ES_tradnl"/>
        </w:rPr>
        <w:t xml:space="preserve">, las condiciones que sean establecidas en los documentos que adopte el Gobierno Nacional, en ejercicio del mandato establecido en el artículo </w:t>
      </w:r>
      <w:r w:rsidR="006C5CD7" w:rsidRPr="00CA5C6B">
        <w:rPr>
          <w:rFonts w:ascii="Arial" w:eastAsia="Calibri" w:hAnsi="Arial" w:cs="Arial"/>
          <w:bCs/>
          <w:sz w:val="22"/>
          <w:lang w:val="es-ES_tradnl"/>
        </w:rPr>
        <w:t>1</w:t>
      </w:r>
      <w:r w:rsidR="00306FA7" w:rsidRPr="00CA5C6B">
        <w:rPr>
          <w:rFonts w:ascii="Arial" w:eastAsia="Calibri" w:hAnsi="Arial" w:cs="Arial"/>
          <w:bCs/>
          <w:sz w:val="22"/>
          <w:lang w:val="es-ES_tradnl"/>
        </w:rPr>
        <w:t xml:space="preserve"> de la Ley </w:t>
      </w:r>
      <w:r w:rsidR="006C5CD7" w:rsidRPr="00CA5C6B">
        <w:rPr>
          <w:rFonts w:ascii="Arial" w:eastAsia="Calibri" w:hAnsi="Arial" w:cs="Arial"/>
          <w:bCs/>
          <w:sz w:val="22"/>
          <w:lang w:val="es-ES_tradnl"/>
        </w:rPr>
        <w:t>2022</w:t>
      </w:r>
      <w:r w:rsidR="00306FA7" w:rsidRPr="00CA5C6B">
        <w:rPr>
          <w:rFonts w:ascii="Arial" w:eastAsia="Calibri" w:hAnsi="Arial" w:cs="Arial"/>
          <w:bCs/>
          <w:sz w:val="22"/>
          <w:lang w:val="es-ES_tradnl"/>
        </w:rPr>
        <w:t xml:space="preserve"> de 20</w:t>
      </w:r>
      <w:r w:rsidR="006C5CD7" w:rsidRPr="00CA5C6B">
        <w:rPr>
          <w:rFonts w:ascii="Arial" w:eastAsia="Calibri" w:hAnsi="Arial" w:cs="Arial"/>
          <w:bCs/>
          <w:sz w:val="22"/>
          <w:lang w:val="es-ES_tradnl"/>
        </w:rPr>
        <w:t>20</w:t>
      </w:r>
      <w:r w:rsidR="00306FA7" w:rsidRPr="00CA5C6B">
        <w:rPr>
          <w:rFonts w:ascii="Arial" w:eastAsia="Calibri" w:hAnsi="Arial" w:cs="Arial"/>
          <w:bCs/>
          <w:sz w:val="22"/>
          <w:lang w:val="es-ES_tradnl"/>
        </w:rPr>
        <w:t>, como se dijo en el numeral anterior, son de obligatorio cumplimiento para las entidades sometidas al Estatuto General de Contratación de la Administración pública que adelanten procesos que deban regirse por su contenido y no pueden variarse los requisitos que en ellos sean fijados.</w:t>
      </w:r>
      <w:bookmarkEnd w:id="3"/>
      <w:r w:rsidR="00306FA7" w:rsidRPr="00CA5C6B">
        <w:rPr>
          <w:rFonts w:ascii="Arial" w:eastAsia="Calibri" w:hAnsi="Arial" w:cs="Arial"/>
          <w:bCs/>
          <w:sz w:val="22"/>
          <w:lang w:val="es-ES_tradnl"/>
        </w:rPr>
        <w:t xml:space="preserve"> </w:t>
      </w:r>
    </w:p>
    <w:p w14:paraId="5CEDB22D" w14:textId="558AC624" w:rsidR="00306FA7" w:rsidRPr="00CA5C6B" w:rsidRDefault="00306FA7" w:rsidP="00CA5C6B">
      <w:pPr>
        <w:spacing w:before="120" w:line="276" w:lineRule="auto"/>
        <w:ind w:firstLine="709"/>
        <w:jc w:val="both"/>
        <w:rPr>
          <w:rFonts w:ascii="Arial" w:eastAsia="Calibri" w:hAnsi="Arial" w:cs="Arial"/>
          <w:bCs/>
          <w:sz w:val="22"/>
          <w:lang w:val="es-ES_tradnl"/>
        </w:rPr>
      </w:pPr>
      <w:r w:rsidRPr="00CA5C6B">
        <w:rPr>
          <w:rFonts w:ascii="Arial" w:eastAsia="Calibri" w:hAnsi="Arial" w:cs="Arial"/>
          <w:bCs/>
          <w:sz w:val="22"/>
          <w:lang w:val="es-ES_tradnl"/>
        </w:rPr>
        <w:t xml:space="preserve">Esta prohibición la ratifica el artículo </w:t>
      </w:r>
      <w:r w:rsidR="00C9666D" w:rsidRPr="00CA5C6B">
        <w:rPr>
          <w:rFonts w:ascii="Arial" w:eastAsia="Calibri" w:hAnsi="Arial" w:cs="Arial"/>
          <w:bCs/>
          <w:sz w:val="22"/>
          <w:lang w:val="es-ES_tradnl"/>
        </w:rPr>
        <w:t>3</w:t>
      </w:r>
      <w:r w:rsidRPr="00CA5C6B">
        <w:rPr>
          <w:rFonts w:ascii="Arial" w:eastAsia="Calibri" w:hAnsi="Arial" w:cs="Arial"/>
          <w:bCs/>
          <w:sz w:val="22"/>
          <w:lang w:val="es-ES_tradnl"/>
        </w:rPr>
        <w:t xml:space="preserve"> de la </w:t>
      </w:r>
      <w:r w:rsidR="00C048C9">
        <w:rPr>
          <w:rFonts w:ascii="Arial" w:eastAsia="Calibri" w:hAnsi="Arial" w:cs="Arial"/>
          <w:bCs/>
          <w:sz w:val="22"/>
          <w:lang w:val="es-ES_tradnl"/>
        </w:rPr>
        <w:t>R</w:t>
      </w:r>
      <w:r w:rsidRPr="00CA5C6B">
        <w:rPr>
          <w:rFonts w:ascii="Arial" w:eastAsia="Calibri" w:hAnsi="Arial" w:cs="Arial"/>
          <w:bCs/>
          <w:sz w:val="22"/>
          <w:lang w:val="es-ES_tradnl"/>
        </w:rPr>
        <w:t>esoluci</w:t>
      </w:r>
      <w:r w:rsidR="00C048C9">
        <w:rPr>
          <w:rFonts w:ascii="Arial" w:eastAsia="Calibri" w:hAnsi="Arial" w:cs="Arial"/>
          <w:bCs/>
          <w:sz w:val="22"/>
          <w:lang w:val="es-ES_tradnl"/>
        </w:rPr>
        <w:t>ón</w:t>
      </w:r>
      <w:r w:rsidRPr="00CA5C6B">
        <w:rPr>
          <w:rFonts w:ascii="Arial" w:eastAsia="Calibri" w:hAnsi="Arial" w:cs="Arial"/>
          <w:bCs/>
          <w:sz w:val="22"/>
          <w:lang w:val="es-ES_tradnl"/>
        </w:rPr>
        <w:t xml:space="preserve"> No.</w:t>
      </w:r>
      <w:r w:rsidR="00A45FE8" w:rsidRPr="00CA5C6B">
        <w:rPr>
          <w:rFonts w:ascii="Arial" w:eastAsia="Calibri" w:hAnsi="Arial" w:cs="Arial"/>
          <w:bCs/>
          <w:sz w:val="22"/>
          <w:lang w:val="es-ES_tradnl"/>
        </w:rPr>
        <w:t xml:space="preserve"> 240 </w:t>
      </w:r>
      <w:r w:rsidRPr="00CA5C6B">
        <w:rPr>
          <w:rFonts w:ascii="Arial" w:eastAsia="Calibri" w:hAnsi="Arial" w:cs="Arial"/>
          <w:bCs/>
          <w:sz w:val="22"/>
          <w:lang w:val="es-ES_tradnl"/>
        </w:rPr>
        <w:t xml:space="preserve">de 2020, por medio de las que se </w:t>
      </w:r>
      <w:r w:rsidR="00C048C9">
        <w:rPr>
          <w:rFonts w:ascii="Arial" w:eastAsia="Calibri" w:hAnsi="Arial" w:cs="Arial"/>
          <w:bCs/>
          <w:sz w:val="22"/>
          <w:lang w:val="es-ES_tradnl"/>
        </w:rPr>
        <w:t>implementan</w:t>
      </w:r>
      <w:r w:rsidR="00C048C9" w:rsidRPr="00CA5C6B">
        <w:rPr>
          <w:rFonts w:ascii="Arial" w:eastAsia="Calibri" w:hAnsi="Arial" w:cs="Arial"/>
          <w:bCs/>
          <w:sz w:val="22"/>
          <w:lang w:val="es-ES_tradnl"/>
        </w:rPr>
        <w:t xml:space="preserve"> </w:t>
      </w:r>
      <w:r w:rsidRPr="00CA5C6B">
        <w:rPr>
          <w:rFonts w:ascii="Arial" w:eastAsia="Calibri" w:hAnsi="Arial" w:cs="Arial"/>
          <w:bCs/>
          <w:sz w:val="22"/>
          <w:lang w:val="es-ES_tradnl"/>
        </w:rPr>
        <w:t xml:space="preserve">los documentos tipo para </w:t>
      </w:r>
      <w:r w:rsidR="00C048C9">
        <w:rPr>
          <w:rFonts w:ascii="Arial" w:eastAsia="Calibri" w:hAnsi="Arial" w:cs="Arial"/>
          <w:bCs/>
          <w:sz w:val="22"/>
          <w:lang w:val="es-ES_tradnl"/>
        </w:rPr>
        <w:t>esta</w:t>
      </w:r>
      <w:r w:rsidRPr="00CA5C6B">
        <w:rPr>
          <w:rFonts w:ascii="Arial" w:eastAsia="Calibri" w:hAnsi="Arial" w:cs="Arial"/>
          <w:bCs/>
          <w:sz w:val="22"/>
          <w:lang w:val="es-ES_tradnl"/>
        </w:rPr>
        <w:t xml:space="preserve"> modalidad de selección, al disponer la inalterabilidad de los documentos tipo en los siguientes términos: «</w:t>
      </w:r>
      <w:r w:rsidR="00C9666D" w:rsidRPr="00CA5C6B">
        <w:rPr>
          <w:rFonts w:ascii="Arial" w:eastAsia="Calibri" w:hAnsi="Arial" w:cs="Arial"/>
          <w:bCs/>
          <w:sz w:val="22"/>
          <w:lang w:val="es-ES_tradnl"/>
        </w:rPr>
        <w:t xml:space="preserve">Las entidades estatales contratantes no podrán incluir o modificar dentro de los documentos </w:t>
      </w:r>
      <w:r w:rsidR="00C9666D" w:rsidRPr="00CA5C6B">
        <w:rPr>
          <w:rFonts w:ascii="Arial" w:eastAsia="Calibri" w:hAnsi="Arial" w:cs="Arial"/>
          <w:bCs/>
          <w:sz w:val="22"/>
          <w:lang w:val="es-ES_tradnl"/>
        </w:rPr>
        <w:lastRenderedPageBreak/>
        <w:t>del proceso de selección las condiciones habilitantes, los factores técnicos y económicos de escogencia y los sistemas de ponderación que han sido definidos y señalados en los Documentos Tipo</w:t>
      </w:r>
      <w:r w:rsidRPr="00CA5C6B">
        <w:rPr>
          <w:rFonts w:ascii="Arial" w:eastAsia="Calibri" w:hAnsi="Arial" w:cs="Arial"/>
          <w:bCs/>
          <w:sz w:val="22"/>
          <w:lang w:val="es-ES_tradnl"/>
        </w:rPr>
        <w:t xml:space="preserve">». </w:t>
      </w:r>
    </w:p>
    <w:p w14:paraId="25D93E98" w14:textId="77777777" w:rsidR="00306FA7" w:rsidRPr="00CA5C6B" w:rsidRDefault="00306FA7" w:rsidP="00CA5C6B">
      <w:pPr>
        <w:spacing w:before="120" w:line="276" w:lineRule="auto"/>
        <w:ind w:firstLine="708"/>
        <w:jc w:val="both"/>
        <w:rPr>
          <w:rFonts w:ascii="Arial" w:eastAsia="Calibri" w:hAnsi="Arial" w:cs="Arial"/>
          <w:bCs/>
          <w:sz w:val="22"/>
          <w:lang w:val="es-ES_tradnl"/>
        </w:rPr>
      </w:pPr>
      <w:r w:rsidRPr="00CA5C6B">
        <w:rPr>
          <w:rFonts w:ascii="Arial" w:eastAsia="Calibri" w:hAnsi="Arial" w:cs="Arial"/>
          <w:bCs/>
          <w:sz w:val="22"/>
          <w:lang w:val="es-ES_tradnl"/>
        </w:rPr>
        <w:t xml:space="preserve">Además, las entidades estatales deben garantizar el </w:t>
      </w:r>
      <w:r w:rsidRPr="00CA5C6B">
        <w:rPr>
          <w:rFonts w:ascii="Arial" w:eastAsia="Calibri" w:hAnsi="Arial" w:cs="Arial"/>
          <w:bCs/>
          <w:i/>
          <w:iCs/>
          <w:sz w:val="22"/>
          <w:lang w:val="es-ES_tradnl"/>
        </w:rPr>
        <w:t>principio de economía</w:t>
      </w:r>
      <w:r w:rsidRPr="00CA5C6B">
        <w:rPr>
          <w:rFonts w:ascii="Arial" w:eastAsia="Calibri" w:hAnsi="Arial" w:cs="Arial"/>
          <w:bCs/>
          <w:sz w:val="22"/>
          <w:lang w:val="es-ES_tradnl"/>
        </w:rPr>
        <w:t>, del cual se desprende que no pueden exigir documentos o requisitos más allá de los que permitan la Constitución, la ley y los reglamentos. Este postulado ha encontrado eco no solo en la contratación estatal</w:t>
      </w:r>
      <w:r w:rsidRPr="00CA5C6B">
        <w:rPr>
          <w:rStyle w:val="Refdenotaalpie"/>
          <w:rFonts w:ascii="Arial" w:eastAsia="Calibri" w:hAnsi="Arial" w:cs="Arial"/>
          <w:bCs/>
          <w:sz w:val="22"/>
          <w:lang w:val="es-ES_tradnl"/>
        </w:rPr>
        <w:footnoteReference w:id="7"/>
      </w:r>
      <w:r w:rsidRPr="00CA5C6B">
        <w:rPr>
          <w:rFonts w:ascii="Arial" w:eastAsia="Calibri" w:hAnsi="Arial" w:cs="Arial"/>
          <w:bCs/>
          <w:sz w:val="22"/>
          <w:lang w:val="es-ES_tradnl"/>
        </w:rPr>
        <w:t xml:space="preserve"> sino además en la normativa antitrámites</w:t>
      </w:r>
      <w:r w:rsidRPr="00CA5C6B">
        <w:rPr>
          <w:rStyle w:val="Refdenotaalpie"/>
          <w:rFonts w:ascii="Arial" w:eastAsia="Calibri" w:hAnsi="Arial" w:cs="Arial"/>
          <w:bCs/>
          <w:sz w:val="22"/>
          <w:lang w:val="es-ES_tradnl"/>
        </w:rPr>
        <w:footnoteReference w:id="8"/>
      </w:r>
      <w:r w:rsidRPr="00CA5C6B">
        <w:rPr>
          <w:rFonts w:ascii="Arial" w:eastAsia="Calibri" w:hAnsi="Arial" w:cs="Arial"/>
          <w:bCs/>
          <w:sz w:val="22"/>
          <w:lang w:val="es-ES_tradnl"/>
        </w:rPr>
        <w:t>; pues se inscribe dentro de la tendencia de simplificación y racionalización de los procedimientos administrativos. De ahí que cuando las autoridades solicitan la entrega de documentación innecesaria, menoscaban el principio de economía.</w:t>
      </w:r>
    </w:p>
    <w:p w14:paraId="1A430352" w14:textId="19C386EC" w:rsidR="00306FA7" w:rsidRDefault="00306FA7" w:rsidP="00CA5C6B">
      <w:pPr>
        <w:spacing w:before="120" w:line="276" w:lineRule="auto"/>
        <w:ind w:firstLine="709"/>
        <w:jc w:val="both"/>
        <w:rPr>
          <w:rFonts w:ascii="Arial" w:eastAsia="Calibri" w:hAnsi="Arial" w:cs="Arial"/>
          <w:sz w:val="22"/>
        </w:rPr>
      </w:pPr>
      <w:r w:rsidRPr="00CA5C6B">
        <w:rPr>
          <w:rFonts w:ascii="Arial" w:eastAsia="Calibri" w:hAnsi="Arial" w:cs="Arial"/>
          <w:sz w:val="22"/>
        </w:rPr>
        <w:t xml:space="preserve">Por su parte, la parte introductoria de los documentos tipo </w:t>
      </w:r>
      <w:r w:rsidR="00C048C9">
        <w:rPr>
          <w:rFonts w:ascii="Arial" w:eastAsia="Calibri" w:hAnsi="Arial" w:cs="Arial"/>
          <w:sz w:val="22"/>
        </w:rPr>
        <w:t>dispone</w:t>
      </w:r>
      <w:r w:rsidRPr="00CA5C6B">
        <w:rPr>
          <w:rFonts w:ascii="Arial" w:eastAsia="Calibri" w:hAnsi="Arial" w:cs="Arial"/>
          <w:sz w:val="22"/>
        </w:rPr>
        <w:t xml:space="preserve"> que los aspectos incluidos en corchetes y resaltado gris</w:t>
      </w:r>
      <w:r w:rsidR="00BD57F2">
        <w:rPr>
          <w:rFonts w:ascii="Arial" w:eastAsia="Calibri" w:hAnsi="Arial" w:cs="Arial"/>
          <w:sz w:val="22"/>
        </w:rPr>
        <w:t xml:space="preserve"> </w:t>
      </w:r>
      <w:r w:rsidR="00C56B01">
        <w:rPr>
          <w:rFonts w:ascii="Arial" w:eastAsia="Calibri" w:hAnsi="Arial" w:cs="Arial"/>
          <w:sz w:val="22"/>
        </w:rPr>
        <w:t>–</w:t>
      </w:r>
      <w:r w:rsidR="00BD57F2" w:rsidRPr="00BD57F2">
        <w:rPr>
          <w:rFonts w:ascii="Arial" w:eastAsia="Calibri" w:hAnsi="Arial" w:cs="Arial"/>
          <w:sz w:val="22"/>
          <w:highlight w:val="lightGray"/>
        </w:rPr>
        <w:t>[texto de ejemplo]</w:t>
      </w:r>
      <w:r w:rsidR="00C56B01">
        <w:rPr>
          <w:rFonts w:ascii="Arial" w:eastAsia="Calibri" w:hAnsi="Arial" w:cs="Arial"/>
          <w:sz w:val="22"/>
        </w:rPr>
        <w:t>–</w:t>
      </w:r>
      <w:r w:rsidRPr="00CA5C6B">
        <w:rPr>
          <w:rFonts w:ascii="Arial" w:eastAsia="Calibri" w:hAnsi="Arial" w:cs="Arial"/>
          <w:sz w:val="22"/>
        </w:rPr>
        <w:t xml:space="preserve"> deben ser diligenciados por la entidad.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que precise el Pliego. </w:t>
      </w:r>
    </w:p>
    <w:p w14:paraId="1B29DD75" w14:textId="117F21B2" w:rsidR="005F293F" w:rsidRPr="005F293F" w:rsidRDefault="005F293F" w:rsidP="005F293F">
      <w:pPr>
        <w:spacing w:before="120" w:line="276" w:lineRule="auto"/>
        <w:ind w:firstLine="709"/>
        <w:jc w:val="both"/>
        <w:rPr>
          <w:rFonts w:ascii="Arial" w:eastAsia="Calibri" w:hAnsi="Arial" w:cs="Arial"/>
          <w:bCs/>
          <w:sz w:val="22"/>
        </w:rPr>
      </w:pPr>
      <w:r>
        <w:rPr>
          <w:rFonts w:ascii="Arial" w:eastAsia="Calibri" w:hAnsi="Arial" w:cs="Arial"/>
          <w:bCs/>
          <w:sz w:val="22"/>
        </w:rPr>
        <w:t xml:space="preserve">Es de precisar que, </w:t>
      </w:r>
      <w:r w:rsidRPr="00BE6266">
        <w:rPr>
          <w:rFonts w:ascii="Arial" w:eastAsia="Calibri" w:hAnsi="Arial" w:cs="Arial"/>
          <w:bCs/>
          <w:sz w:val="22"/>
        </w:rPr>
        <w:t xml:space="preserve">la entidad durante la etapa de planeación como resultado del estudio del sector y del análisis de riesgo, debe establecer las condiciones necesarias para garantizar la ejecución del contrato, teniendo en cuenta la necesidad que pretende satisfacer, el objeto, alcance, especificaciones técnicas, forma de pago y demás aspectos inherentes al proyecto. De allí que estas condiciones, al ser fijadas por parte de la entidad, pueden implicar modificaciones a los </w:t>
      </w:r>
      <w:r w:rsidR="00C56B01" w:rsidRPr="00BE6266">
        <w:rPr>
          <w:rFonts w:ascii="Arial" w:eastAsia="Calibri" w:hAnsi="Arial" w:cs="Arial"/>
          <w:bCs/>
          <w:sz w:val="22"/>
        </w:rPr>
        <w:t>documentos tipo</w:t>
      </w:r>
      <w:r w:rsidRPr="00BE6266">
        <w:rPr>
          <w:rFonts w:ascii="Arial" w:eastAsia="Calibri" w:hAnsi="Arial" w:cs="Arial"/>
          <w:bCs/>
          <w:sz w:val="22"/>
        </w:rPr>
        <w:t>, las cuales deben ser adecuadas, proporcionales y consecuentes con su contenido, respetando el principio de inalterabilidad.</w:t>
      </w:r>
    </w:p>
    <w:p w14:paraId="17E319D0" w14:textId="45F010A5" w:rsidR="00306FA7" w:rsidRPr="00CA5C6B" w:rsidRDefault="00306FA7" w:rsidP="009136E2">
      <w:pPr>
        <w:spacing w:before="120" w:line="276" w:lineRule="auto"/>
        <w:ind w:firstLine="709"/>
        <w:jc w:val="both"/>
        <w:rPr>
          <w:rFonts w:ascii="Arial" w:eastAsia="Calibri" w:hAnsi="Arial" w:cs="Arial"/>
          <w:sz w:val="22"/>
        </w:rPr>
      </w:pPr>
      <w:r w:rsidRPr="00CA5C6B">
        <w:rPr>
          <w:rFonts w:ascii="Arial" w:eastAsia="Calibri" w:hAnsi="Arial" w:cs="Arial"/>
          <w:sz w:val="22"/>
        </w:rPr>
        <w:lastRenderedPageBreak/>
        <w:t>Asimismo, el artículo 2.2.1.2.6.1.5 del Decreto 1082 de 2015</w:t>
      </w:r>
      <w:r w:rsidRPr="00CA5C6B">
        <w:rPr>
          <w:rStyle w:val="Refdenotaalpie"/>
          <w:rFonts w:ascii="Arial" w:hAnsi="Arial" w:cs="Arial"/>
          <w:sz w:val="22"/>
        </w:rPr>
        <w:footnoteReference w:id="9"/>
      </w:r>
      <w:r w:rsidRPr="00CA5C6B">
        <w:rPr>
          <w:rFonts w:ascii="Arial" w:eastAsia="Calibri" w:hAnsi="Arial" w:cs="Arial"/>
          <w:sz w:val="22"/>
        </w:rPr>
        <w:t xml:space="preserve"> prevé los eventos en los que el objeto contractual incluye bienes o servicios adicionales a la obra pública de infraestructura de transporte. En este caso, la entidad estatal puede complementar experiencia adicional para evaluar la idoneidad respecto de los bienes o servicios ajenos a la obra pública, no obstante, se deberán seguir los siguientes parámetros: i) demostrar en los estudios previos que ha verificado las condiciones de mercado para la adquisición de los bienes o servicios adicionales al componente de obra pública, </w:t>
      </w:r>
      <w:r w:rsidR="00F2200B" w:rsidRPr="00F2200B">
        <w:rPr>
          <w:rFonts w:ascii="Arial" w:eastAsia="Calibri" w:hAnsi="Arial" w:cs="Arial"/>
          <w:sz w:val="22"/>
        </w:rPr>
        <w:t>de tal manera que la experiencia adicional que se exija para tales bienes o servicios procure la pluralidad de oferentes, y no limite la concurrencia de proponentes al proceso de contratación</w:t>
      </w:r>
      <w:r w:rsidRPr="00CA5C6B">
        <w:rPr>
          <w:rFonts w:ascii="Arial" w:eastAsia="Calibri" w:hAnsi="Arial" w:cs="Arial"/>
          <w:sz w:val="22"/>
        </w:rPr>
        <w:t xml:space="preserve">, ii) conservar los requisitos exigidos en los Documentos Tipo, iii) abstenerse de pedir experiencia exclusiva con entidades estatales, experiencia previa en un territorio específico, limitada en el tiempo o que incluya volúmenes o cantidades de obra específica, iv) clasificar la experiencia requerida solo hasta el tercer nivel del Clasificador de Bienes y Servicios e incluir exclusivamente los códigos que estén relacionados directamente con el objeto a contratar. </w:t>
      </w:r>
    </w:p>
    <w:p w14:paraId="7FD41350" w14:textId="2FC7F5DF" w:rsidR="00BE6266" w:rsidRPr="00CA5C6B" w:rsidRDefault="00306FA7" w:rsidP="00BE6266">
      <w:pPr>
        <w:spacing w:before="120" w:line="276" w:lineRule="auto"/>
        <w:ind w:firstLine="709"/>
        <w:jc w:val="both"/>
        <w:rPr>
          <w:rFonts w:ascii="Arial" w:eastAsia="Calibri" w:hAnsi="Arial" w:cs="Arial"/>
          <w:bCs/>
          <w:sz w:val="22"/>
        </w:rPr>
      </w:pPr>
      <w:r w:rsidRPr="00CA5C6B">
        <w:rPr>
          <w:rFonts w:ascii="Arial" w:eastAsia="Calibri" w:hAnsi="Arial" w:cs="Arial"/>
          <w:bCs/>
          <w:sz w:val="22"/>
        </w:rPr>
        <w:t>En suma, la regla general frente la aplicación del «Documento Base» es su inalterabilidad, y no se podrán incluir o modificar en los documentos del proceso las condiciones habilitantes, los factores técnicos y económicos de escogencia y los sistemas de ponderación distintos a los señalados en los documentos tipo</w:t>
      </w:r>
      <w:r w:rsidR="00C56B01">
        <w:rPr>
          <w:rFonts w:ascii="Arial" w:eastAsia="Calibri" w:hAnsi="Arial" w:cs="Arial"/>
          <w:bCs/>
          <w:sz w:val="22"/>
        </w:rPr>
        <w:t>. Lo anterior, salvo que</w:t>
      </w:r>
      <w:r w:rsidRPr="00CA5C6B">
        <w:rPr>
          <w:rFonts w:ascii="Arial" w:eastAsia="Calibri" w:hAnsi="Arial" w:cs="Arial"/>
          <w:bCs/>
          <w:sz w:val="22"/>
        </w:rPr>
        <w:t xml:space="preserve"> el objeto contractual incluy</w:t>
      </w:r>
      <w:r w:rsidR="00C56B01">
        <w:rPr>
          <w:rFonts w:ascii="Arial" w:eastAsia="Calibri" w:hAnsi="Arial" w:cs="Arial"/>
          <w:bCs/>
          <w:sz w:val="22"/>
        </w:rPr>
        <w:t>a</w:t>
      </w:r>
      <w:r w:rsidRPr="00CA5C6B">
        <w:rPr>
          <w:rFonts w:ascii="Arial" w:eastAsia="Calibri" w:hAnsi="Arial" w:cs="Arial"/>
          <w:bCs/>
          <w:sz w:val="22"/>
        </w:rPr>
        <w:t xml:space="preserve"> bienes o servicios ajenos a la obra pública de infraestructura de transporte, caso en el que se podrá incluir experiencia adicional</w:t>
      </w:r>
      <w:r w:rsidR="00595429">
        <w:rPr>
          <w:rFonts w:ascii="Arial" w:eastAsia="Calibri" w:hAnsi="Arial" w:cs="Arial"/>
          <w:bCs/>
          <w:sz w:val="22"/>
        </w:rPr>
        <w:t xml:space="preserve"> de manera excepcional</w:t>
      </w:r>
      <w:r w:rsidRPr="00CA5C6B">
        <w:rPr>
          <w:rFonts w:ascii="Arial" w:eastAsia="Calibri" w:hAnsi="Arial" w:cs="Arial"/>
          <w:bCs/>
          <w:sz w:val="22"/>
        </w:rPr>
        <w:t xml:space="preserve">; y, además, cuando el pliego tipo de forma expresa lo </w:t>
      </w:r>
      <w:r w:rsidR="00C56B01">
        <w:rPr>
          <w:rFonts w:ascii="Arial" w:eastAsia="Calibri" w:hAnsi="Arial" w:cs="Arial"/>
          <w:bCs/>
          <w:sz w:val="22"/>
        </w:rPr>
        <w:t>permita</w:t>
      </w:r>
      <w:r w:rsidRPr="00CA5C6B">
        <w:rPr>
          <w:rFonts w:ascii="Arial" w:eastAsia="Calibri" w:hAnsi="Arial" w:cs="Arial"/>
          <w:bCs/>
          <w:sz w:val="22"/>
        </w:rPr>
        <w:t>, es decir, en los aspectos incluidos en corchetes y resaltados en gris.</w:t>
      </w:r>
      <w:r w:rsidR="00BE6266">
        <w:rPr>
          <w:rFonts w:ascii="Arial" w:eastAsia="Calibri" w:hAnsi="Arial" w:cs="Arial"/>
          <w:bCs/>
          <w:sz w:val="22"/>
        </w:rPr>
        <w:t xml:space="preserve"> </w:t>
      </w:r>
    </w:p>
    <w:p w14:paraId="102C462D" w14:textId="77777777" w:rsidR="00306FA7" w:rsidRPr="00CA5C6B" w:rsidRDefault="00306FA7" w:rsidP="00CA5C6B">
      <w:pPr>
        <w:spacing w:before="120" w:line="276" w:lineRule="auto"/>
        <w:ind w:firstLine="709"/>
        <w:jc w:val="both"/>
        <w:rPr>
          <w:rFonts w:ascii="Arial" w:eastAsia="Calibri" w:hAnsi="Arial" w:cs="Arial"/>
          <w:bCs/>
          <w:sz w:val="22"/>
        </w:rPr>
      </w:pPr>
      <w:r w:rsidRPr="00CA5C6B">
        <w:rPr>
          <w:rFonts w:ascii="Arial" w:eastAsia="Calibri" w:hAnsi="Arial" w:cs="Arial"/>
          <w:bCs/>
          <w:sz w:val="22"/>
        </w:rPr>
        <w:t xml:space="preserve">Este principio de inalterabilidad también es aplicable a los formatos y anexos implementados junto con el «Documento Base», los cuales deben ser usados para </w:t>
      </w:r>
      <w:r w:rsidRPr="00CA5C6B">
        <w:rPr>
          <w:rFonts w:ascii="Arial" w:eastAsia="Calibri" w:hAnsi="Arial" w:cs="Arial"/>
          <w:bCs/>
          <w:sz w:val="22"/>
        </w:rPr>
        <w:lastRenderedPageBreak/>
        <w:t xml:space="preserve">desarrollar el procedimiento de contratación y que los proponentes acrediten los diferentes requisitos establecidos para participar en él. Estos, al igual que el «Documento Base», contienen apartes entre corchetes y resaltados en gris, los cuales deben ser diligenciados por la entidad, al igual que otros aspectos relativos a información que debe ser completada por los oferentes al hacer uso del formato. </w:t>
      </w:r>
    </w:p>
    <w:p w14:paraId="709412A7" w14:textId="4414DA7C" w:rsidR="00457AD6" w:rsidRDefault="00306FA7" w:rsidP="007327B2">
      <w:pPr>
        <w:spacing w:before="120" w:line="276" w:lineRule="auto"/>
        <w:ind w:firstLine="709"/>
        <w:jc w:val="both"/>
        <w:rPr>
          <w:rFonts w:ascii="Arial" w:hAnsi="Arial" w:cs="Arial"/>
          <w:sz w:val="22"/>
        </w:rPr>
      </w:pPr>
      <w:r w:rsidRPr="00CA5C6B">
        <w:rPr>
          <w:rFonts w:ascii="Arial" w:hAnsi="Arial" w:cs="Arial"/>
          <w:sz w:val="22"/>
        </w:rPr>
        <w:t>Con todo, el principio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en últimas, el deber que le asiste es el de tener en cuenta y aplicar los aspectos sustanciales de los documentos tipo, sin distingo de la formalidad de la que se sirva para ello los actores de la contratación pública</w:t>
      </w:r>
      <w:r w:rsidRPr="002D66D2">
        <w:rPr>
          <w:rFonts w:ascii="Arial" w:hAnsi="Arial" w:cs="Arial"/>
          <w:sz w:val="22"/>
        </w:rPr>
        <w:t xml:space="preserve">. </w:t>
      </w:r>
    </w:p>
    <w:p w14:paraId="08B6CFA0" w14:textId="7EA07405" w:rsidR="007327B2" w:rsidRPr="00B41612" w:rsidRDefault="007327B2" w:rsidP="007327B2">
      <w:pPr>
        <w:spacing w:before="120" w:line="276" w:lineRule="auto"/>
        <w:ind w:firstLine="709"/>
        <w:jc w:val="both"/>
        <w:rPr>
          <w:rFonts w:ascii="Arial" w:hAnsi="Arial" w:cs="Arial"/>
          <w:sz w:val="22"/>
          <w:lang w:val="es-CO"/>
        </w:rPr>
      </w:pPr>
      <w:r w:rsidRPr="00B41612">
        <w:rPr>
          <w:rFonts w:ascii="Arial" w:hAnsi="Arial" w:cs="Arial"/>
          <w:sz w:val="22"/>
        </w:rPr>
        <w:t xml:space="preserve">En relación con el principio constitucional </w:t>
      </w:r>
      <w:r w:rsidRPr="00B41612">
        <w:rPr>
          <w:rFonts w:ascii="Arial" w:hAnsi="Arial" w:cs="Arial"/>
          <w:i/>
          <w:iCs/>
          <w:sz w:val="22"/>
        </w:rPr>
        <w:t>sub examine</w:t>
      </w:r>
      <w:r w:rsidRPr="00B41612">
        <w:rPr>
          <w:rFonts w:ascii="Arial" w:hAnsi="Arial" w:cs="Arial"/>
          <w:sz w:val="22"/>
          <w:lang w:val="es-CO"/>
        </w:rPr>
        <w:t xml:space="preserve">, la Corte Constitucional </w:t>
      </w:r>
      <w:r w:rsidR="00C048C9">
        <w:rPr>
          <w:rFonts w:ascii="Arial" w:hAnsi="Arial" w:cs="Arial"/>
          <w:sz w:val="22"/>
          <w:lang w:val="es-CO"/>
        </w:rPr>
        <w:t>explica</w:t>
      </w:r>
      <w:r w:rsidRPr="00B41612">
        <w:rPr>
          <w:rFonts w:ascii="Arial" w:hAnsi="Arial" w:cs="Arial"/>
          <w:sz w:val="22"/>
          <w:lang w:val="es-CO"/>
        </w:rPr>
        <w:t xml:space="preserve"> que «[…] por disposición del artículo 228 Superior, las formas no deben convertirse en un obstáculo para la efectividad del derecho sustancial, sino que deben propender por su realización. Es decir, que las normas procesales son un medio para lograr la efectividad de los derechos subjetivos y no fines en sí mismas»</w:t>
      </w:r>
      <w:r w:rsidRPr="00B41612">
        <w:rPr>
          <w:rStyle w:val="Refdenotaalpie"/>
          <w:rFonts w:ascii="Arial" w:hAnsi="Arial" w:cs="Arial"/>
          <w:sz w:val="22"/>
          <w:lang w:val="es-CO"/>
        </w:rPr>
        <w:footnoteReference w:id="10"/>
      </w:r>
      <w:r w:rsidRPr="00B41612">
        <w:rPr>
          <w:rFonts w:ascii="Arial" w:hAnsi="Arial" w:cs="Arial"/>
          <w:sz w:val="22"/>
          <w:lang w:val="es-CO"/>
        </w:rPr>
        <w:t xml:space="preserve">. </w:t>
      </w:r>
    </w:p>
    <w:p w14:paraId="1351CBF0" w14:textId="7407A5E4" w:rsidR="00D21D97" w:rsidRPr="007327B2" w:rsidRDefault="007327B2" w:rsidP="007327B2">
      <w:pPr>
        <w:spacing w:before="120" w:line="276" w:lineRule="auto"/>
        <w:ind w:firstLine="709"/>
        <w:jc w:val="both"/>
        <w:rPr>
          <w:rFonts w:ascii="Arial" w:hAnsi="Arial" w:cs="Arial"/>
          <w:sz w:val="22"/>
        </w:rPr>
      </w:pPr>
      <w:r>
        <w:rPr>
          <w:rFonts w:ascii="Arial" w:hAnsi="Arial" w:cs="Arial"/>
          <w:sz w:val="22"/>
        </w:rPr>
        <w:t>De acuerdo con lo anterior, e</w:t>
      </w:r>
      <w:r w:rsidRPr="00B41612">
        <w:rPr>
          <w:rFonts w:ascii="Arial" w:hAnsi="Arial" w:cs="Arial"/>
          <w:sz w:val="22"/>
        </w:rPr>
        <w:t>l carácter inalterable de los Documentos Tipo no puede</w:t>
      </w:r>
      <w:r>
        <w:rPr>
          <w:rFonts w:ascii="Arial" w:hAnsi="Arial" w:cs="Arial"/>
          <w:sz w:val="22"/>
        </w:rPr>
        <w:t xml:space="preserve"> </w:t>
      </w:r>
      <w:r w:rsidRPr="00B41612">
        <w:rPr>
          <w:rFonts w:ascii="Arial" w:hAnsi="Arial" w:cs="Arial"/>
          <w:sz w:val="22"/>
        </w:rPr>
        <w:t xml:space="preserve">hacerse extensivo a los aspectos </w:t>
      </w:r>
      <w:r>
        <w:rPr>
          <w:rFonts w:ascii="Arial" w:hAnsi="Arial" w:cs="Arial"/>
          <w:sz w:val="22"/>
        </w:rPr>
        <w:t>simplemente formales</w:t>
      </w:r>
      <w:r w:rsidRPr="00B41612">
        <w:rPr>
          <w:rFonts w:ascii="Arial" w:hAnsi="Arial" w:cs="Arial"/>
          <w:sz w:val="22"/>
        </w:rPr>
        <w:t xml:space="preserve"> de tales documentos, esto es, el tamaño y tipo de letra, las márgenes o las expresiones que pretenden hacer más comprensible el documento, como es el caso de aquellas que informan que una expresión larga será referida con otra similar pero más corta. </w:t>
      </w:r>
      <w:r>
        <w:rPr>
          <w:rFonts w:ascii="Arial" w:hAnsi="Arial" w:cs="Arial"/>
          <w:sz w:val="22"/>
        </w:rPr>
        <w:t>Lo anterior teniendo en cuenta que</w:t>
      </w:r>
      <w:r w:rsidRPr="00B41612">
        <w:rPr>
          <w:rFonts w:ascii="Arial" w:hAnsi="Arial" w:cs="Arial"/>
          <w:sz w:val="22"/>
        </w:rPr>
        <w:t xml:space="preserve"> estos aspectos en nada afectan la aplicación y alcance de los </w:t>
      </w:r>
      <w:r w:rsidR="00C56B01" w:rsidRPr="00B41612">
        <w:rPr>
          <w:rFonts w:ascii="Arial" w:hAnsi="Arial" w:cs="Arial"/>
          <w:sz w:val="22"/>
        </w:rPr>
        <w:t>documentos tipo</w:t>
      </w:r>
      <w:r>
        <w:rPr>
          <w:rFonts w:ascii="Arial" w:hAnsi="Arial" w:cs="Arial"/>
          <w:sz w:val="22"/>
        </w:rPr>
        <w:t xml:space="preserve">, esto es, </w:t>
      </w:r>
      <w:r w:rsidRPr="00B41612">
        <w:rPr>
          <w:rFonts w:ascii="Arial" w:hAnsi="Arial" w:cs="Arial"/>
          <w:sz w:val="22"/>
        </w:rPr>
        <w:t>no afectan su contenido esencial y, mucho menos, las obligaciones, deberes y derechos que se derivan para las partes contratantes.</w:t>
      </w:r>
    </w:p>
    <w:p w14:paraId="613F503C" w14:textId="77777777" w:rsidR="00D21D97" w:rsidRPr="00991BE6" w:rsidRDefault="00D21D97" w:rsidP="00991BE6">
      <w:pPr>
        <w:spacing w:line="276" w:lineRule="auto"/>
        <w:ind w:right="709"/>
        <w:jc w:val="both"/>
        <w:rPr>
          <w:rFonts w:ascii="Arial" w:hAnsi="Arial" w:cs="Arial"/>
          <w:color w:val="000000" w:themeColor="text1"/>
          <w:sz w:val="22"/>
          <w:lang w:val="es-CO"/>
        </w:rPr>
      </w:pPr>
    </w:p>
    <w:p w14:paraId="4DAE4437" w14:textId="77777777" w:rsidR="00BE1E33" w:rsidRPr="00991BE6" w:rsidRDefault="00BE1E33" w:rsidP="00991BE6">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991BE6">
        <w:rPr>
          <w:rFonts w:ascii="Arial" w:hAnsi="Arial" w:cs="Arial"/>
          <w:b/>
          <w:bCs/>
          <w:color w:val="000000" w:themeColor="text1"/>
          <w:sz w:val="22"/>
          <w:lang w:val="es-CO"/>
        </w:rPr>
        <w:t xml:space="preserve">Respuesta </w:t>
      </w:r>
    </w:p>
    <w:p w14:paraId="60574FD4" w14:textId="77777777" w:rsidR="00D21D97" w:rsidRPr="00991BE6" w:rsidRDefault="00D21D97" w:rsidP="00991BE6">
      <w:pPr>
        <w:spacing w:line="276" w:lineRule="auto"/>
        <w:ind w:right="709"/>
        <w:jc w:val="both"/>
        <w:rPr>
          <w:rFonts w:ascii="Arial" w:hAnsi="Arial" w:cs="Arial"/>
          <w:color w:val="000000" w:themeColor="text1"/>
          <w:sz w:val="22"/>
          <w:lang w:val="es-CO"/>
        </w:rPr>
      </w:pPr>
    </w:p>
    <w:p w14:paraId="5C2D6EF8" w14:textId="38A5CCF0" w:rsidR="00BE1E33" w:rsidRPr="00991BE6" w:rsidRDefault="0043040E" w:rsidP="00991BE6">
      <w:pPr>
        <w:spacing w:line="276" w:lineRule="auto"/>
        <w:ind w:left="709" w:right="709"/>
        <w:jc w:val="both"/>
        <w:rPr>
          <w:rFonts w:ascii="Arial" w:eastAsia="Calibri" w:hAnsi="Arial" w:cs="Arial"/>
          <w:color w:val="000000" w:themeColor="text1"/>
          <w:sz w:val="21"/>
          <w:szCs w:val="21"/>
        </w:rPr>
      </w:pPr>
      <w:r w:rsidRPr="00991BE6">
        <w:rPr>
          <w:rFonts w:ascii="Arial" w:eastAsia="Calibri" w:hAnsi="Arial" w:cs="Arial"/>
          <w:color w:val="000000" w:themeColor="text1"/>
          <w:sz w:val="21"/>
          <w:szCs w:val="21"/>
        </w:rPr>
        <w:t>«¿</w:t>
      </w:r>
      <w:r w:rsidRPr="00991BE6">
        <w:rPr>
          <w:rFonts w:ascii="Arial" w:hAnsi="Arial" w:cs="Arial"/>
          <w:sz w:val="21"/>
          <w:szCs w:val="21"/>
        </w:rPr>
        <w:t>EL PLIEGO TIPO VERSION 3 PUEDE SER MODIFICADO POR ALGUNA ENTIDAD</w:t>
      </w:r>
      <w:r w:rsidRPr="00991BE6">
        <w:rPr>
          <w:rFonts w:ascii="Arial" w:eastAsia="Calibri" w:hAnsi="Arial" w:cs="Arial"/>
          <w:color w:val="000000" w:themeColor="text1"/>
          <w:sz w:val="21"/>
          <w:szCs w:val="21"/>
        </w:rPr>
        <w:t xml:space="preserve">?» </w:t>
      </w:r>
    </w:p>
    <w:p w14:paraId="2B1BAA16" w14:textId="0F42A093" w:rsidR="00982E99" w:rsidRPr="00991BE6" w:rsidRDefault="00982E99" w:rsidP="00991BE6">
      <w:pPr>
        <w:spacing w:line="276" w:lineRule="auto"/>
        <w:jc w:val="both"/>
        <w:rPr>
          <w:rFonts w:ascii="Arial" w:eastAsia="Calibri" w:hAnsi="Arial" w:cs="Arial"/>
          <w:color w:val="000000" w:themeColor="text1"/>
          <w:sz w:val="22"/>
        </w:rPr>
      </w:pPr>
    </w:p>
    <w:p w14:paraId="2C449F7A" w14:textId="06487BA9" w:rsidR="00D17075" w:rsidRPr="00991BE6" w:rsidRDefault="00D17075" w:rsidP="00991BE6">
      <w:pPr>
        <w:spacing w:after="120" w:line="276" w:lineRule="auto"/>
        <w:jc w:val="both"/>
        <w:rPr>
          <w:rFonts w:ascii="Arial" w:hAnsi="Arial" w:cs="Arial"/>
          <w:sz w:val="22"/>
        </w:rPr>
      </w:pPr>
      <w:r w:rsidRPr="00991BE6">
        <w:rPr>
          <w:rFonts w:ascii="Arial" w:hAnsi="Arial" w:cs="Arial"/>
          <w:sz w:val="22"/>
        </w:rPr>
        <w:t xml:space="preserve">Los documentos tipo, dentro de los que se encuentran los formatos, formularios, matrices y anexos, en virtud del principio de inalterabilidad establecido en </w:t>
      </w:r>
      <w:r w:rsidR="00C048C9">
        <w:rPr>
          <w:rFonts w:ascii="Arial" w:hAnsi="Arial" w:cs="Arial"/>
          <w:sz w:val="22"/>
        </w:rPr>
        <w:t>e</w:t>
      </w:r>
      <w:r w:rsidRPr="00991BE6">
        <w:rPr>
          <w:rFonts w:ascii="Arial" w:hAnsi="Arial" w:cs="Arial"/>
          <w:sz w:val="22"/>
        </w:rPr>
        <w:t>l artículo 2.2.1.2.6.1.4, del Decreto 1082 de 2015, desarrollado en el artículo 3 de las Resoluci</w:t>
      </w:r>
      <w:r w:rsidR="00C048C9">
        <w:rPr>
          <w:rFonts w:ascii="Arial" w:hAnsi="Arial" w:cs="Arial"/>
          <w:sz w:val="22"/>
        </w:rPr>
        <w:t>ó</w:t>
      </w:r>
      <w:r w:rsidRPr="00991BE6">
        <w:rPr>
          <w:rFonts w:ascii="Arial" w:hAnsi="Arial" w:cs="Arial"/>
          <w:sz w:val="22"/>
        </w:rPr>
        <w:t xml:space="preserve">n No. 240 de </w:t>
      </w:r>
      <w:r w:rsidRPr="00991BE6">
        <w:rPr>
          <w:rFonts w:ascii="Arial" w:hAnsi="Arial" w:cs="Arial"/>
          <w:sz w:val="22"/>
        </w:rPr>
        <w:lastRenderedPageBreak/>
        <w:t>2020, no pueden ser alterados por la entidad pública y, menos, por los oferentes, salvo en los apartados incluidos entre corchetes y resaltados en gris. Estos documentos, de conformidad con el parágrafo 7° del artículo 2 de la Ley 1150 de 2007, son de obligatoria aplicación para entidades estatales sometidas al Estatuto General de Contratación de la Administración Pública, para adelantar procesos de contratación de obra pública para infraestructura de transporte en la modalidad de licitación pública.</w:t>
      </w:r>
    </w:p>
    <w:p w14:paraId="315D744B" w14:textId="7530BC6D" w:rsidR="00BE1E33" w:rsidRPr="00991BE6" w:rsidRDefault="00D17075" w:rsidP="00991BE6">
      <w:pPr>
        <w:spacing w:line="276" w:lineRule="auto"/>
        <w:ind w:firstLine="708"/>
        <w:jc w:val="both"/>
        <w:rPr>
          <w:rFonts w:ascii="Arial" w:hAnsi="Arial" w:cs="Arial"/>
          <w:sz w:val="22"/>
        </w:rPr>
      </w:pPr>
      <w:r w:rsidRPr="00991BE6">
        <w:rPr>
          <w:rFonts w:ascii="Arial" w:hAnsi="Arial" w:cs="Arial"/>
          <w:sz w:val="22"/>
        </w:rPr>
        <w:t>Sin embargo, conforme al principio constitucional de prevalencia del derecho sustancial, la inalterabilidad de los documentos tipo no se extiende a los aspectos formales, esto es, al tamaño y tipo de letra, las márgenes o cualquier otro asunto relacionado con la forma del documento, así como tampoco a las expresiones que pretenden hacerlo más comprensible, siempre que  no afecten el contenido esencial de los documentos tipo y mucho menos, las obligaciones, deberes y derechos que se derivan para las partes contratantes.</w:t>
      </w:r>
    </w:p>
    <w:p w14:paraId="69B988FF" w14:textId="77777777" w:rsidR="00991BE6" w:rsidRPr="00991BE6" w:rsidRDefault="00991BE6" w:rsidP="00991BE6">
      <w:pPr>
        <w:spacing w:line="276" w:lineRule="auto"/>
        <w:ind w:firstLine="708"/>
        <w:jc w:val="both"/>
        <w:rPr>
          <w:rFonts w:ascii="Arial" w:hAnsi="Arial" w:cs="Arial"/>
          <w:sz w:val="22"/>
        </w:rPr>
      </w:pPr>
    </w:p>
    <w:p w14:paraId="66CE4DD8" w14:textId="77777777" w:rsidR="00BE1E33" w:rsidRPr="00991BE6" w:rsidRDefault="00BE1E33" w:rsidP="00991BE6">
      <w:pPr>
        <w:spacing w:before="120" w:line="276" w:lineRule="auto"/>
        <w:jc w:val="both"/>
        <w:rPr>
          <w:rFonts w:ascii="Arial" w:eastAsia="Calibri" w:hAnsi="Arial" w:cs="Arial"/>
          <w:color w:val="000000" w:themeColor="text1"/>
          <w:sz w:val="22"/>
        </w:rPr>
      </w:pPr>
      <w:r w:rsidRPr="00991BE6">
        <w:rPr>
          <w:rFonts w:ascii="Arial" w:eastAsia="Calibri" w:hAnsi="Arial" w:cs="Arial"/>
          <w:color w:val="000000" w:themeColor="text1"/>
          <w:sz w:val="22"/>
        </w:rPr>
        <w:t>Este concepto tiene el alcance previsto en el artículo 28 del Código de Procedimiento Administrativo y de lo Contencioso Administrativo.</w:t>
      </w:r>
    </w:p>
    <w:p w14:paraId="138D33A2" w14:textId="77777777" w:rsidR="00BE1E33" w:rsidRPr="006C15D5" w:rsidRDefault="00BE1E33" w:rsidP="00BE1E33">
      <w:pPr>
        <w:ind w:firstLine="709"/>
        <w:jc w:val="both"/>
        <w:rPr>
          <w:rFonts w:ascii="Arial" w:eastAsia="Calibri" w:hAnsi="Arial" w:cs="Arial"/>
          <w:color w:val="000000" w:themeColor="text1"/>
          <w:sz w:val="22"/>
        </w:rPr>
      </w:pPr>
    </w:p>
    <w:p w14:paraId="2B02915D" w14:textId="77777777" w:rsidR="00BE1E33" w:rsidRPr="006C15D5" w:rsidRDefault="00BE1E33" w:rsidP="00BE1E33">
      <w:pPr>
        <w:jc w:val="both"/>
        <w:rPr>
          <w:rFonts w:ascii="Arial" w:eastAsia="Times New Roman" w:hAnsi="Arial" w:cs="Arial"/>
          <w:color w:val="000000" w:themeColor="text1"/>
          <w:sz w:val="22"/>
          <w:lang w:eastAsia="es-CO"/>
        </w:rPr>
      </w:pPr>
      <w:r w:rsidRPr="006C15D5">
        <w:rPr>
          <w:rFonts w:ascii="Arial" w:eastAsia="Times New Roman" w:hAnsi="Arial" w:cs="Arial"/>
          <w:color w:val="000000" w:themeColor="text1"/>
          <w:sz w:val="22"/>
          <w:lang w:eastAsia="es-CO"/>
        </w:rPr>
        <w:t>Atentamente,</w:t>
      </w:r>
    </w:p>
    <w:bookmarkEnd w:id="0"/>
    <w:bookmarkEnd w:id="1"/>
    <w:p w14:paraId="1C8F6984" w14:textId="62541591" w:rsidR="00BE1E33" w:rsidRDefault="00BE1E33" w:rsidP="00BE1E33">
      <w:pPr>
        <w:jc w:val="center"/>
        <w:rPr>
          <w:rFonts w:ascii="Arial" w:eastAsia="Times New Roman" w:hAnsi="Arial" w:cs="Arial"/>
          <w:color w:val="000000" w:themeColor="text1"/>
          <w:sz w:val="18"/>
          <w:szCs w:val="20"/>
          <w:lang w:eastAsia="es-CO"/>
        </w:rPr>
      </w:pPr>
    </w:p>
    <w:p w14:paraId="724B0300" w14:textId="0775A33C" w:rsidR="00730CDB" w:rsidRPr="006C15D5" w:rsidRDefault="007661A3" w:rsidP="00BE1E33">
      <w:pPr>
        <w:jc w:val="center"/>
        <w:rPr>
          <w:rFonts w:ascii="Arial" w:eastAsia="Times New Roman" w:hAnsi="Arial" w:cs="Arial"/>
          <w:color w:val="000000" w:themeColor="text1"/>
          <w:sz w:val="18"/>
          <w:szCs w:val="20"/>
          <w:lang w:eastAsia="es-CO"/>
        </w:rPr>
      </w:pPr>
      <w:r>
        <w:rPr>
          <w:noProof/>
          <w:lang w:val="es-ES" w:eastAsia="es-ES"/>
        </w:rPr>
        <w:drawing>
          <wp:inline distT="0" distB="0" distL="0" distR="0" wp14:anchorId="4703E0DB" wp14:editId="79457874">
            <wp:extent cx="2342661" cy="103822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3">
                      <a:extLst>
                        <a:ext uri="{28A0092B-C50C-407E-A947-70E740481C1C}">
                          <a14:useLocalDpi xmlns:a14="http://schemas.microsoft.com/office/drawing/2010/main" val="0"/>
                        </a:ext>
                      </a:extLst>
                    </a:blip>
                    <a:stretch>
                      <a:fillRect/>
                    </a:stretch>
                  </pic:blipFill>
                  <pic:spPr>
                    <a:xfrm>
                      <a:off x="0" y="0"/>
                      <a:ext cx="2342661" cy="1038225"/>
                    </a:xfrm>
                    <a:prstGeom prst="rect">
                      <a:avLst/>
                    </a:prstGeom>
                  </pic:spPr>
                </pic:pic>
              </a:graphicData>
            </a:graphic>
          </wp:inline>
        </w:drawing>
      </w:r>
    </w:p>
    <w:p w14:paraId="08D7951B" w14:textId="5DE4153B" w:rsidR="00DA15BB" w:rsidRPr="00DA15BB" w:rsidRDefault="00DA15BB" w:rsidP="00DA15BB">
      <w:pPr>
        <w:rPr>
          <w:rFonts w:ascii="Arial" w:hAnsi="Arial" w:cs="Arial"/>
          <w:color w:val="000000" w:themeColor="text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A15BB" w:rsidRPr="003F6D32" w14:paraId="28613E1D" w14:textId="77777777" w:rsidTr="0072181C">
        <w:trPr>
          <w:trHeight w:val="315"/>
        </w:trPr>
        <w:tc>
          <w:tcPr>
            <w:tcW w:w="812" w:type="dxa"/>
            <w:vAlign w:val="center"/>
            <w:hideMark/>
          </w:tcPr>
          <w:p w14:paraId="517FD7D1" w14:textId="77777777" w:rsidR="00DA15BB" w:rsidRPr="006C15D5" w:rsidRDefault="00DA15BB" w:rsidP="0072181C">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08750CE" w14:textId="615D83EA" w:rsidR="00DA15BB" w:rsidRPr="006C15D5" w:rsidRDefault="0043040E" w:rsidP="0072181C">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 xml:space="preserve">Laura Alejandra Materón García </w:t>
            </w:r>
          </w:p>
          <w:p w14:paraId="5233CD8B" w14:textId="6F60415B" w:rsidR="00DA15BB" w:rsidRPr="006C15D5" w:rsidRDefault="0043040E" w:rsidP="0072181C">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Analista</w:t>
            </w:r>
            <w:r w:rsidR="00DA15BB" w:rsidRPr="00CD169B">
              <w:rPr>
                <w:rFonts w:ascii="Arial" w:eastAsia="Times New Roman" w:hAnsi="Arial" w:cs="Arial"/>
                <w:color w:val="000000" w:themeColor="text1"/>
                <w:sz w:val="16"/>
                <w:szCs w:val="16"/>
                <w:lang w:eastAsia="es-ES"/>
              </w:rPr>
              <w:t xml:space="preserve"> T</w:t>
            </w:r>
            <w:r>
              <w:rPr>
                <w:rFonts w:ascii="Arial" w:eastAsia="Times New Roman" w:hAnsi="Arial" w:cs="Arial"/>
                <w:color w:val="000000" w:themeColor="text1"/>
                <w:sz w:val="16"/>
                <w:szCs w:val="16"/>
                <w:lang w:eastAsia="es-ES"/>
              </w:rPr>
              <w:t>2</w:t>
            </w:r>
            <w:r w:rsidR="00DA15BB" w:rsidRPr="00CD169B">
              <w:rPr>
                <w:rFonts w:ascii="Arial" w:eastAsia="Times New Roman" w:hAnsi="Arial" w:cs="Arial"/>
                <w:color w:val="000000" w:themeColor="text1"/>
                <w:sz w:val="16"/>
                <w:szCs w:val="16"/>
                <w:lang w:eastAsia="es-ES"/>
              </w:rPr>
              <w:t>-</w:t>
            </w:r>
            <w:r>
              <w:rPr>
                <w:rFonts w:ascii="Arial" w:eastAsia="Times New Roman" w:hAnsi="Arial" w:cs="Arial"/>
                <w:color w:val="000000" w:themeColor="text1"/>
                <w:sz w:val="16"/>
                <w:szCs w:val="16"/>
                <w:lang w:eastAsia="es-ES"/>
              </w:rPr>
              <w:t>01</w:t>
            </w:r>
            <w:r w:rsidR="00DA15BB" w:rsidRPr="00CD169B">
              <w:rPr>
                <w:rFonts w:ascii="Arial" w:eastAsia="Times New Roman" w:hAnsi="Arial" w:cs="Arial"/>
                <w:color w:val="000000" w:themeColor="text1"/>
                <w:sz w:val="16"/>
                <w:szCs w:val="16"/>
                <w:lang w:eastAsia="es-ES"/>
              </w:rPr>
              <w:t xml:space="preserve"> de la Subdirección de Gestión Contractual</w:t>
            </w:r>
          </w:p>
        </w:tc>
      </w:tr>
      <w:tr w:rsidR="00DA15BB" w:rsidRPr="003F6D32" w14:paraId="3338C616" w14:textId="77777777" w:rsidTr="0072181C">
        <w:trPr>
          <w:trHeight w:val="330"/>
        </w:trPr>
        <w:tc>
          <w:tcPr>
            <w:tcW w:w="812" w:type="dxa"/>
            <w:vAlign w:val="center"/>
            <w:hideMark/>
          </w:tcPr>
          <w:p w14:paraId="3598B89A" w14:textId="77777777" w:rsidR="00DA15BB" w:rsidRPr="006C15D5" w:rsidRDefault="00DA15BB" w:rsidP="0072181C">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EEEAC29" w14:textId="2B98C681" w:rsidR="00DA15BB" w:rsidRPr="00CD169B" w:rsidRDefault="0043040E" w:rsidP="0072181C">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Juan David Montoya Penagos</w:t>
            </w:r>
          </w:p>
          <w:p w14:paraId="654F6DEB" w14:textId="77777777" w:rsidR="00DA15BB" w:rsidRPr="006C15D5" w:rsidRDefault="00DA15BB" w:rsidP="0072181C">
            <w:pPr>
              <w:rPr>
                <w:rFonts w:ascii="Arial" w:eastAsia="Times New Roman" w:hAnsi="Arial" w:cs="Arial"/>
                <w:color w:val="000000" w:themeColor="text1"/>
                <w:sz w:val="16"/>
                <w:szCs w:val="16"/>
                <w:lang w:eastAsia="es-ES"/>
              </w:rPr>
            </w:pPr>
            <w:r w:rsidRPr="00CD169B">
              <w:rPr>
                <w:rFonts w:ascii="Arial" w:eastAsia="Times New Roman" w:hAnsi="Arial" w:cs="Arial"/>
                <w:color w:val="000000" w:themeColor="text1"/>
                <w:sz w:val="16"/>
                <w:szCs w:val="16"/>
                <w:lang w:eastAsia="es-ES"/>
              </w:rPr>
              <w:t>Gestor T1-15 de la Subdirección de Gestión Contractual</w:t>
            </w:r>
          </w:p>
        </w:tc>
      </w:tr>
      <w:tr w:rsidR="00DA15BB" w:rsidRPr="003F6D32" w14:paraId="518BF40D" w14:textId="77777777" w:rsidTr="0072181C">
        <w:trPr>
          <w:trHeight w:val="300"/>
        </w:trPr>
        <w:tc>
          <w:tcPr>
            <w:tcW w:w="812" w:type="dxa"/>
            <w:vAlign w:val="center"/>
            <w:hideMark/>
          </w:tcPr>
          <w:p w14:paraId="2413FB2F" w14:textId="77777777" w:rsidR="00DA15BB" w:rsidRPr="006C15D5" w:rsidRDefault="00DA15BB" w:rsidP="0072181C">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D97EE9A" w14:textId="77777777" w:rsidR="00DA15BB" w:rsidRPr="00CD169B" w:rsidRDefault="00DA15BB" w:rsidP="0072181C">
            <w:pPr>
              <w:rPr>
                <w:rFonts w:ascii="Arial" w:eastAsia="Times New Roman" w:hAnsi="Arial" w:cs="Arial"/>
                <w:color w:val="000000" w:themeColor="text1"/>
                <w:sz w:val="16"/>
                <w:szCs w:val="16"/>
                <w:lang w:eastAsia="es-ES"/>
              </w:rPr>
            </w:pPr>
            <w:r w:rsidRPr="00CD169B">
              <w:rPr>
                <w:rFonts w:ascii="Arial" w:eastAsia="Times New Roman" w:hAnsi="Arial" w:cs="Arial"/>
                <w:color w:val="000000" w:themeColor="text1"/>
                <w:sz w:val="16"/>
                <w:szCs w:val="16"/>
                <w:lang w:eastAsia="es-ES"/>
              </w:rPr>
              <w:t>Jorge Augusto Tirado Navarro</w:t>
            </w:r>
          </w:p>
          <w:p w14:paraId="38A94A16" w14:textId="77777777" w:rsidR="00DA15BB" w:rsidRPr="006C15D5" w:rsidRDefault="00DA15BB" w:rsidP="0072181C">
            <w:pPr>
              <w:rPr>
                <w:rFonts w:ascii="Arial" w:eastAsia="Times New Roman" w:hAnsi="Arial" w:cs="Arial"/>
                <w:color w:val="000000" w:themeColor="text1"/>
                <w:sz w:val="16"/>
                <w:szCs w:val="16"/>
                <w:lang w:eastAsia="es-ES"/>
              </w:rPr>
            </w:pPr>
            <w:r w:rsidRPr="00CD169B">
              <w:rPr>
                <w:rFonts w:ascii="Arial" w:eastAsia="Times New Roman" w:hAnsi="Arial" w:cs="Arial"/>
                <w:color w:val="000000" w:themeColor="text1"/>
                <w:sz w:val="16"/>
                <w:szCs w:val="16"/>
                <w:lang w:eastAsia="es-ES"/>
              </w:rPr>
              <w:t>Subdirector de Gestión Contractual ANCP – CCE</w:t>
            </w:r>
          </w:p>
        </w:tc>
      </w:tr>
    </w:tbl>
    <w:p w14:paraId="085A31AB" w14:textId="77777777" w:rsidR="006C5955" w:rsidRPr="006C15D5" w:rsidRDefault="006C5955" w:rsidP="00BE1E33">
      <w:pPr>
        <w:rPr>
          <w:color w:val="000000" w:themeColor="text1"/>
        </w:rPr>
      </w:pPr>
    </w:p>
    <w:sectPr w:rsidR="006C5955" w:rsidRPr="006C15D5" w:rsidSect="0072181C">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80DE79" w14:textId="77777777" w:rsidR="0072181C" w:rsidRDefault="0072181C" w:rsidP="008C487C">
      <w:r>
        <w:separator/>
      </w:r>
    </w:p>
  </w:endnote>
  <w:endnote w:type="continuationSeparator" w:id="0">
    <w:p w14:paraId="5457AC04" w14:textId="77777777" w:rsidR="0072181C" w:rsidRDefault="0072181C"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7B59A" w14:textId="3A65DB1A" w:rsidR="0072181C" w:rsidRDefault="0072181C" w:rsidP="0072181C">
    <w:pPr>
      <w:pStyle w:val="Sinespaciado"/>
      <w:jc w:val="right"/>
      <w:rPr>
        <w:rFonts w:ascii="Arial" w:hAnsi="Arial" w:cs="Arial"/>
        <w:sz w:val="18"/>
        <w:szCs w:val="18"/>
      </w:rPr>
    </w:pPr>
  </w:p>
  <w:p w14:paraId="709352A1" w14:textId="77777777" w:rsidR="0072181C" w:rsidRDefault="0072181C" w:rsidP="0072181C">
    <w:pPr>
      <w:pStyle w:val="Sinespaciado"/>
      <w:jc w:val="right"/>
      <w:rPr>
        <w:rFonts w:ascii="Arial" w:hAnsi="Arial" w:cs="Arial"/>
        <w:sz w:val="18"/>
        <w:szCs w:val="18"/>
      </w:rPr>
    </w:pPr>
  </w:p>
  <w:p w14:paraId="3D3EB348" w14:textId="77777777" w:rsidR="0072181C" w:rsidRPr="008217B7" w:rsidRDefault="0072181C" w:rsidP="0072181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308D7">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308D7">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p>
  <w:p w14:paraId="29709EEF" w14:textId="77777777" w:rsidR="0072181C" w:rsidRDefault="0072181C" w:rsidP="0072181C">
    <w:pPr>
      <w:pStyle w:val="Piedepgina"/>
      <w:jc w:val="center"/>
      <w:rPr>
        <w:lang w:val="es-ES"/>
      </w:rPr>
    </w:pPr>
    <w:r>
      <w:rPr>
        <w:noProof/>
        <w:lang w:val="es-ES" w:eastAsia="es-ES"/>
      </w:rPr>
      <w:drawing>
        <wp:inline distT="0" distB="0" distL="0" distR="0" wp14:anchorId="0323F87D" wp14:editId="0207DD46">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08DFF21" w14:textId="77777777" w:rsidR="0072181C" w:rsidRPr="00E756AC" w:rsidRDefault="0072181C" w:rsidP="0072181C">
    <w:pPr>
      <w:pStyle w:val="Piedepgina"/>
      <w:jc w:val="center"/>
      <w:rPr>
        <w:sz w:val="18"/>
        <w:szCs w:val="18"/>
        <w:lang w:val="es-ES"/>
      </w:rPr>
    </w:pPr>
  </w:p>
  <w:p w14:paraId="428179B1" w14:textId="77777777" w:rsidR="0072181C" w:rsidRPr="00E756AC" w:rsidRDefault="0072181C" w:rsidP="0072181C">
    <w:pPr>
      <w:pStyle w:val="Piedepgina"/>
      <w:jc w:val="center"/>
      <w:rPr>
        <w:sz w:val="18"/>
        <w:szCs w:val="18"/>
        <w:lang w:val="es-E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3826F" w14:textId="77777777" w:rsidR="0072181C" w:rsidRDefault="0072181C" w:rsidP="008C487C">
      <w:r>
        <w:separator/>
      </w:r>
    </w:p>
  </w:footnote>
  <w:footnote w:type="continuationSeparator" w:id="0">
    <w:p w14:paraId="1825B859" w14:textId="77777777" w:rsidR="0072181C" w:rsidRDefault="0072181C" w:rsidP="008C487C">
      <w:r>
        <w:continuationSeparator/>
      </w:r>
    </w:p>
  </w:footnote>
  <w:footnote w:id="1">
    <w:p w14:paraId="3FEAA5E7" w14:textId="6882C48A" w:rsidR="0072181C" w:rsidRDefault="0072181C" w:rsidP="00F87C23">
      <w:pPr>
        <w:pStyle w:val="Textonotapie"/>
        <w:ind w:firstLine="709"/>
        <w:jc w:val="both"/>
        <w:rPr>
          <w:rFonts w:ascii="Arial" w:eastAsia="Times New Roman" w:hAnsi="Arial" w:cs="Arial"/>
          <w:color w:val="000000"/>
          <w:sz w:val="19"/>
          <w:szCs w:val="19"/>
          <w:bdr w:val="none" w:sz="0" w:space="0" w:color="auto" w:frame="1"/>
          <w:lang w:eastAsia="es-CO"/>
        </w:rPr>
      </w:pPr>
      <w:r>
        <w:rPr>
          <w:rStyle w:val="Refdenotaalpie"/>
        </w:rPr>
        <w:footnoteRef/>
      </w:r>
      <w:r>
        <w:t xml:space="preserve"> </w:t>
      </w:r>
      <w:r w:rsidRPr="0043040E">
        <w:rPr>
          <w:rFonts w:ascii="Arial" w:eastAsia="Times New Roman" w:hAnsi="Arial" w:cs="Arial"/>
          <w:color w:val="000000"/>
          <w:sz w:val="19"/>
          <w:szCs w:val="19"/>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7BBAC855" w14:textId="77777777" w:rsidR="0072181C" w:rsidRDefault="0072181C" w:rsidP="0043040E">
      <w:pPr>
        <w:pStyle w:val="Textonotapie"/>
        <w:ind w:firstLine="709"/>
      </w:pPr>
    </w:p>
  </w:footnote>
  <w:footnote w:id="2">
    <w:p w14:paraId="78EDA7FC" w14:textId="025A7CDA" w:rsidR="0072181C" w:rsidRDefault="0072181C" w:rsidP="0043040E">
      <w:pPr>
        <w:pStyle w:val="Textonotapie"/>
        <w:ind w:firstLine="709"/>
        <w:rPr>
          <w:rFonts w:ascii="Arial" w:eastAsia="Times New Roman" w:hAnsi="Arial" w:cs="Arial"/>
          <w:color w:val="000000"/>
          <w:sz w:val="19"/>
          <w:szCs w:val="19"/>
          <w:bdr w:val="none" w:sz="0" w:space="0" w:color="auto" w:frame="1"/>
          <w:lang w:eastAsia="es-CO"/>
        </w:rPr>
      </w:pPr>
      <w:r>
        <w:rPr>
          <w:rStyle w:val="Refdenotaalpie"/>
        </w:rPr>
        <w:footnoteRef/>
      </w:r>
      <w:r>
        <w:t xml:space="preserve"> </w:t>
      </w:r>
      <w:r w:rsidRPr="0043040E">
        <w:rPr>
          <w:rFonts w:ascii="Arial" w:eastAsia="Times New Roman" w:hAnsi="Arial" w:cs="Arial"/>
          <w:color w:val="000000"/>
          <w:sz w:val="19"/>
          <w:szCs w:val="19"/>
          <w:bdr w:val="none" w:sz="0" w:space="0" w:color="auto" w:frame="1"/>
          <w:lang w:eastAsia="es-CO"/>
        </w:rPr>
        <w:t>Diario Oficial. Gaceta del Congreso 458 de 2005.  </w:t>
      </w:r>
    </w:p>
    <w:p w14:paraId="64745683" w14:textId="77777777" w:rsidR="0072181C" w:rsidRDefault="0072181C" w:rsidP="0043040E">
      <w:pPr>
        <w:pStyle w:val="Textonotapie"/>
        <w:ind w:firstLine="709"/>
      </w:pPr>
    </w:p>
  </w:footnote>
  <w:footnote w:id="3">
    <w:p w14:paraId="0C92C827" w14:textId="47A45BCA" w:rsidR="0072181C" w:rsidRDefault="0072181C" w:rsidP="0043040E">
      <w:pPr>
        <w:pStyle w:val="Textonotapie"/>
        <w:ind w:firstLine="709"/>
      </w:pPr>
      <w:r>
        <w:rPr>
          <w:rStyle w:val="Refdenotaalpie"/>
        </w:rPr>
        <w:footnoteRef/>
      </w:r>
      <w:r>
        <w:t xml:space="preserve"> </w:t>
      </w:r>
      <w:r w:rsidRPr="0043040E">
        <w:rPr>
          <w:rFonts w:ascii="Arial" w:hAnsi="Arial" w:cs="Arial"/>
          <w:sz w:val="19"/>
          <w:szCs w:val="19"/>
        </w:rPr>
        <w:t>Ibídem.</w:t>
      </w:r>
      <w:r w:rsidRPr="0043040E">
        <w:t xml:space="preserve">  </w:t>
      </w:r>
    </w:p>
    <w:p w14:paraId="0762386A" w14:textId="77777777" w:rsidR="0072181C" w:rsidRDefault="0072181C" w:rsidP="0043040E">
      <w:pPr>
        <w:pStyle w:val="Textonotapie"/>
        <w:ind w:firstLine="709"/>
      </w:pPr>
    </w:p>
  </w:footnote>
  <w:footnote w:id="4">
    <w:p w14:paraId="39A5A47F" w14:textId="5E1B00CA" w:rsidR="0072181C" w:rsidRDefault="0072181C" w:rsidP="0043040E">
      <w:pPr>
        <w:shd w:val="clear" w:color="auto" w:fill="FFFFFF"/>
        <w:ind w:firstLine="709"/>
        <w:jc w:val="both"/>
        <w:textAlignment w:val="baseline"/>
        <w:rPr>
          <w:rFonts w:ascii="Arial" w:eastAsia="Times New Roman" w:hAnsi="Arial" w:cs="Arial"/>
          <w:color w:val="000000"/>
          <w:sz w:val="19"/>
          <w:szCs w:val="19"/>
          <w:bdr w:val="none" w:sz="0" w:space="0" w:color="auto" w:frame="1"/>
          <w:lang w:val="es-CO" w:eastAsia="es-CO"/>
        </w:rPr>
      </w:pPr>
      <w:r>
        <w:rPr>
          <w:rStyle w:val="Refdenotaalpie"/>
        </w:rPr>
        <w:footnoteRef/>
      </w:r>
      <w:r>
        <w:t xml:space="preserve"> </w:t>
      </w:r>
      <w:r w:rsidRPr="0043040E">
        <w:rPr>
          <w:rFonts w:ascii="Arial" w:eastAsia="Times New Roman" w:hAnsi="Arial" w:cs="Arial"/>
          <w:color w:val="000000"/>
          <w:sz w:val="19"/>
          <w:szCs w:val="19"/>
          <w:bdr w:val="none" w:sz="0" w:space="0" w:color="auto" w:frame="1"/>
          <w:lang w:val="es-CO" w:eastAsia="es-CO"/>
        </w:rPr>
        <w:t>Diario Oficial. Gaceta del Congreso 416 de 2007, Informe de Conciliación Senado. </w:t>
      </w:r>
    </w:p>
    <w:p w14:paraId="4CFA2DC2" w14:textId="77777777" w:rsidR="0072181C" w:rsidRPr="0043040E" w:rsidRDefault="0072181C" w:rsidP="0043040E">
      <w:pPr>
        <w:shd w:val="clear" w:color="auto" w:fill="FFFFFF"/>
        <w:ind w:firstLine="709"/>
        <w:jc w:val="both"/>
        <w:textAlignment w:val="baseline"/>
        <w:rPr>
          <w:rFonts w:ascii="Calibri" w:eastAsia="Times New Roman" w:hAnsi="Calibri" w:cs="Calibri"/>
          <w:color w:val="000000"/>
          <w:sz w:val="20"/>
          <w:szCs w:val="20"/>
          <w:lang w:val="es-CO" w:eastAsia="es-CO"/>
        </w:rPr>
      </w:pPr>
    </w:p>
  </w:footnote>
  <w:footnote w:id="5">
    <w:p w14:paraId="7FC31CAD" w14:textId="77777777" w:rsidR="0072181C" w:rsidRPr="0043040E" w:rsidRDefault="0072181C" w:rsidP="0043040E">
      <w:pPr>
        <w:shd w:val="clear" w:color="auto" w:fill="FFFFFF"/>
        <w:ind w:firstLine="709"/>
        <w:jc w:val="both"/>
        <w:textAlignment w:val="baseline"/>
        <w:rPr>
          <w:rFonts w:ascii="Calibri" w:eastAsia="Times New Roman" w:hAnsi="Calibri" w:cs="Calibri"/>
          <w:color w:val="000000"/>
          <w:sz w:val="20"/>
          <w:szCs w:val="20"/>
          <w:lang w:val="es-CO" w:eastAsia="es-CO"/>
        </w:rPr>
      </w:pPr>
      <w:r>
        <w:rPr>
          <w:rStyle w:val="Refdenotaalpie"/>
        </w:rPr>
        <w:footnoteRef/>
      </w:r>
      <w:r>
        <w:t xml:space="preserve"> </w:t>
      </w:r>
      <w:r w:rsidRPr="0043040E">
        <w:rPr>
          <w:rFonts w:ascii="Arial" w:eastAsia="Times New Roman" w:hAnsi="Arial" w:cs="Arial"/>
          <w:color w:val="000000"/>
          <w:sz w:val="19"/>
          <w:szCs w:val="19"/>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7B3006D7" w14:textId="77777777" w:rsidR="0072181C" w:rsidRPr="0043040E" w:rsidRDefault="0072181C" w:rsidP="0043040E">
      <w:pPr>
        <w:shd w:val="clear" w:color="auto" w:fill="FFFFFF"/>
        <w:ind w:firstLine="709"/>
        <w:jc w:val="both"/>
        <w:textAlignment w:val="baseline"/>
        <w:rPr>
          <w:rFonts w:ascii="Calibri" w:eastAsia="Times New Roman" w:hAnsi="Calibri" w:cs="Calibri"/>
          <w:color w:val="000000"/>
          <w:sz w:val="20"/>
          <w:szCs w:val="20"/>
          <w:lang w:val="es-CO" w:eastAsia="es-CO"/>
        </w:rPr>
      </w:pPr>
      <w:r w:rsidRPr="0043040E">
        <w:rPr>
          <w:rFonts w:ascii="Arial" w:eastAsia="Times New Roman" w:hAnsi="Arial" w:cs="Arial"/>
          <w:color w:val="000000"/>
          <w:sz w:val="19"/>
          <w:szCs w:val="19"/>
          <w:bdr w:val="none" w:sz="0" w:space="0" w:color="auto" w:frame="1"/>
          <w:lang w:eastAsia="es-CO"/>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7C8358D1" w14:textId="77777777" w:rsidR="0072181C" w:rsidRPr="0043040E" w:rsidRDefault="0072181C" w:rsidP="0043040E">
      <w:pPr>
        <w:shd w:val="clear" w:color="auto" w:fill="FFFFFF"/>
        <w:ind w:firstLine="709"/>
        <w:jc w:val="both"/>
        <w:textAlignment w:val="baseline"/>
        <w:rPr>
          <w:rFonts w:ascii="Calibri" w:eastAsia="Times New Roman" w:hAnsi="Calibri" w:cs="Calibri"/>
          <w:color w:val="000000"/>
          <w:sz w:val="20"/>
          <w:szCs w:val="20"/>
          <w:lang w:val="es-CO" w:eastAsia="es-CO"/>
        </w:rPr>
      </w:pPr>
      <w:r w:rsidRPr="0043040E">
        <w:rPr>
          <w:rFonts w:ascii="Arial" w:eastAsia="Times New Roman" w:hAnsi="Arial" w:cs="Arial"/>
          <w:color w:val="000000"/>
          <w:sz w:val="19"/>
          <w:szCs w:val="19"/>
          <w:bdr w:val="none" w:sz="0" w:space="0" w:color="auto" w:frame="1"/>
          <w:lang w:eastAsia="es-CO"/>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55F34DB9" w14:textId="77777777" w:rsidR="0072181C" w:rsidRPr="0043040E" w:rsidRDefault="0072181C" w:rsidP="0043040E">
      <w:pPr>
        <w:shd w:val="clear" w:color="auto" w:fill="FFFFFF"/>
        <w:ind w:firstLine="709"/>
        <w:jc w:val="both"/>
        <w:textAlignment w:val="baseline"/>
        <w:rPr>
          <w:rFonts w:ascii="Calibri" w:eastAsia="Times New Roman" w:hAnsi="Calibri" w:cs="Calibri"/>
          <w:color w:val="000000"/>
          <w:sz w:val="20"/>
          <w:szCs w:val="20"/>
          <w:lang w:val="es-CO" w:eastAsia="es-CO"/>
        </w:rPr>
      </w:pPr>
      <w:r w:rsidRPr="0043040E">
        <w:rPr>
          <w:rFonts w:ascii="Arial" w:eastAsia="Times New Roman" w:hAnsi="Arial" w:cs="Arial"/>
          <w:color w:val="000000"/>
          <w:sz w:val="19"/>
          <w:szCs w:val="19"/>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71F99F86" w14:textId="77777777" w:rsidR="0072181C" w:rsidRPr="0043040E" w:rsidRDefault="0072181C" w:rsidP="0043040E">
      <w:pPr>
        <w:shd w:val="clear" w:color="auto" w:fill="FFFFFF"/>
        <w:ind w:firstLine="708"/>
        <w:jc w:val="both"/>
        <w:textAlignment w:val="baseline"/>
        <w:rPr>
          <w:rFonts w:ascii="Calibri" w:eastAsia="Times New Roman" w:hAnsi="Calibri" w:cs="Calibri"/>
          <w:color w:val="000000"/>
          <w:sz w:val="20"/>
          <w:szCs w:val="20"/>
          <w:lang w:val="es-CO" w:eastAsia="es-CO"/>
        </w:rPr>
      </w:pPr>
      <w:r w:rsidRPr="0043040E">
        <w:rPr>
          <w:rFonts w:ascii="Arial" w:eastAsia="Times New Roman" w:hAnsi="Arial" w:cs="Arial"/>
          <w:color w:val="000000"/>
          <w:sz w:val="19"/>
          <w:szCs w:val="19"/>
          <w:bdr w:val="none" w:sz="0" w:space="0" w:color="auto" w:frame="1"/>
          <w:lang w:eastAsia="es-CO"/>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14:paraId="299CEC06" w14:textId="1069D869" w:rsidR="0072181C" w:rsidRDefault="0072181C">
      <w:pPr>
        <w:pStyle w:val="Textonotapie"/>
      </w:pPr>
    </w:p>
  </w:footnote>
  <w:footnote w:id="6">
    <w:p w14:paraId="7EA8131B" w14:textId="77777777" w:rsidR="0072181C" w:rsidRPr="0045370A" w:rsidRDefault="0072181C" w:rsidP="00C048C9">
      <w:pPr>
        <w:pStyle w:val="Textonotapie"/>
        <w:ind w:firstLine="708"/>
        <w:jc w:val="both"/>
        <w:rPr>
          <w:rFonts w:ascii="Arial" w:hAnsi="Arial" w:cs="Arial"/>
          <w:sz w:val="19"/>
          <w:szCs w:val="19"/>
        </w:rPr>
      </w:pPr>
      <w:r>
        <w:rPr>
          <w:rStyle w:val="Refdenotaalpie"/>
        </w:rPr>
        <w:footnoteRef/>
      </w:r>
      <w:r>
        <w:t xml:space="preserve"> </w:t>
      </w:r>
      <w:r w:rsidRPr="0045370A">
        <w:rPr>
          <w:rFonts w:ascii="Arial" w:hAnsi="Arial" w:cs="Arial"/>
          <w:sz w:val="19"/>
          <w:szCs w:val="19"/>
        </w:rPr>
        <w:t>Decreto 342 de 2019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p w14:paraId="10F1FF9A" w14:textId="77777777" w:rsidR="0072181C" w:rsidRPr="0045370A" w:rsidRDefault="0072181C" w:rsidP="00C048C9">
      <w:pPr>
        <w:pStyle w:val="Textonotapie"/>
        <w:ind w:firstLine="708"/>
        <w:rPr>
          <w:rFonts w:ascii="Arial" w:hAnsi="Arial" w:cs="Arial"/>
          <w:sz w:val="19"/>
          <w:szCs w:val="19"/>
          <w:lang w:val="es-CO"/>
        </w:rPr>
      </w:pPr>
      <w:r w:rsidRPr="0045370A">
        <w:rPr>
          <w:rFonts w:ascii="Arial" w:hAnsi="Arial" w:cs="Arial"/>
          <w:sz w:val="19"/>
          <w:szCs w:val="19"/>
        </w:rPr>
        <w:t xml:space="preserve"> </w:t>
      </w:r>
    </w:p>
  </w:footnote>
  <w:footnote w:id="7">
    <w:p w14:paraId="24A72D8C" w14:textId="77777777" w:rsidR="0072181C" w:rsidRPr="00133C4A" w:rsidRDefault="0072181C" w:rsidP="00306FA7">
      <w:pPr>
        <w:pStyle w:val="Textonotapie"/>
        <w:ind w:firstLine="709"/>
        <w:jc w:val="both"/>
        <w:rPr>
          <w:rFonts w:ascii="Arial" w:hAnsi="Arial" w:cs="Arial"/>
          <w:color w:val="000000" w:themeColor="text1"/>
          <w:sz w:val="19"/>
          <w:szCs w:val="19"/>
        </w:rPr>
      </w:pPr>
      <w:r w:rsidRPr="00133C4A">
        <w:rPr>
          <w:rStyle w:val="Refdenotaalpie"/>
          <w:rFonts w:ascii="Arial" w:hAnsi="Arial" w:cs="Arial"/>
          <w:color w:val="000000" w:themeColor="text1"/>
          <w:sz w:val="19"/>
          <w:szCs w:val="19"/>
        </w:rPr>
        <w:footnoteRef/>
      </w:r>
      <w:r w:rsidRPr="00133C4A">
        <w:rPr>
          <w:rFonts w:ascii="Arial" w:hAnsi="Arial" w:cs="Arial"/>
          <w:color w:val="000000" w:themeColor="text1"/>
          <w:sz w:val="19"/>
          <w:szCs w:val="19"/>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3C8B27A1" w14:textId="77777777" w:rsidR="0072181C" w:rsidRPr="00133C4A" w:rsidRDefault="0072181C" w:rsidP="00306FA7">
      <w:pPr>
        <w:pStyle w:val="Textonotapie"/>
        <w:ind w:firstLine="709"/>
        <w:jc w:val="both"/>
        <w:rPr>
          <w:rFonts w:ascii="Arial" w:hAnsi="Arial" w:cs="Arial"/>
          <w:color w:val="000000" w:themeColor="text1"/>
          <w:sz w:val="19"/>
          <w:szCs w:val="19"/>
        </w:rPr>
      </w:pPr>
    </w:p>
  </w:footnote>
  <w:footnote w:id="8">
    <w:p w14:paraId="417C282D" w14:textId="77777777" w:rsidR="0072181C" w:rsidRDefault="0072181C" w:rsidP="00306FA7">
      <w:pPr>
        <w:ind w:firstLine="709"/>
        <w:jc w:val="both"/>
        <w:rPr>
          <w:rFonts w:ascii="Arial" w:hAnsi="Arial" w:cs="Arial"/>
          <w:color w:val="000000" w:themeColor="text1"/>
          <w:sz w:val="19"/>
          <w:szCs w:val="19"/>
          <w:lang w:val="es-ES"/>
        </w:rPr>
      </w:pPr>
      <w:r w:rsidRPr="00133C4A">
        <w:rPr>
          <w:rStyle w:val="Refdenotaalpie"/>
          <w:rFonts w:ascii="Arial" w:hAnsi="Arial" w:cs="Arial"/>
          <w:color w:val="000000" w:themeColor="text1"/>
          <w:sz w:val="19"/>
          <w:szCs w:val="19"/>
        </w:rPr>
        <w:footnoteRef/>
      </w:r>
      <w:r w:rsidRPr="00133C4A">
        <w:rPr>
          <w:rFonts w:ascii="Arial" w:hAnsi="Arial" w:cs="Arial"/>
          <w:color w:val="000000" w:themeColor="text1"/>
          <w:sz w:val="19"/>
          <w:szCs w:val="19"/>
        </w:rPr>
        <w:t xml:space="preserve"> </w:t>
      </w:r>
      <w:r w:rsidRPr="00133C4A">
        <w:rPr>
          <w:rFonts w:ascii="Arial" w:hAnsi="Arial" w:cs="Arial"/>
          <w:color w:val="000000" w:themeColor="text1"/>
          <w:sz w:val="19"/>
          <w:szCs w:val="19"/>
          <w:lang w:val="es-ES"/>
        </w:rPr>
        <w:t>En efecto, el artículo 5 del Decreto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14:paraId="531E1446" w14:textId="77777777" w:rsidR="0072181C" w:rsidRPr="00133C4A" w:rsidRDefault="0072181C" w:rsidP="00306FA7">
      <w:pPr>
        <w:ind w:firstLine="709"/>
        <w:jc w:val="both"/>
        <w:rPr>
          <w:rFonts w:ascii="Arial" w:hAnsi="Arial" w:cs="Arial"/>
          <w:color w:val="000000" w:themeColor="text1"/>
          <w:sz w:val="19"/>
          <w:szCs w:val="19"/>
          <w:lang w:val="es-ES"/>
        </w:rPr>
      </w:pPr>
    </w:p>
  </w:footnote>
  <w:footnote w:id="9">
    <w:p w14:paraId="43FC97AC" w14:textId="77777777" w:rsidR="0072181C" w:rsidRDefault="0072181C" w:rsidP="00306FA7">
      <w:pPr>
        <w:pStyle w:val="Textonotapie"/>
        <w:ind w:firstLine="708"/>
        <w:jc w:val="both"/>
        <w:rPr>
          <w:rFonts w:ascii="Arial" w:hAnsi="Arial" w:cs="Arial"/>
          <w:sz w:val="19"/>
          <w:szCs w:val="19"/>
        </w:rPr>
      </w:pPr>
      <w:r w:rsidRPr="000F2B47">
        <w:rPr>
          <w:rStyle w:val="Refdenotaalpie"/>
          <w:rFonts w:ascii="Arial" w:hAnsi="Arial" w:cs="Arial"/>
          <w:sz w:val="19"/>
          <w:szCs w:val="19"/>
        </w:rPr>
        <w:footnoteRef/>
      </w:r>
      <w:r w:rsidRPr="000F2B47">
        <w:rPr>
          <w:rFonts w:ascii="Arial" w:hAnsi="Arial" w:cs="Arial"/>
          <w:sz w:val="19"/>
          <w:szCs w:val="19"/>
        </w:rPr>
        <w:t xml:space="preserve"> Este artículo también es aplicable a los procedimientos de selección abreviada de menor cuantía, adelantados con documentos tipo, de conformidad con el artículo 2.2.1.2.6.2.3 del Decreto 1082 de 2015.</w:t>
      </w:r>
      <w:r>
        <w:rPr>
          <w:rFonts w:ascii="Arial" w:hAnsi="Arial" w:cs="Arial"/>
          <w:sz w:val="19"/>
          <w:szCs w:val="19"/>
        </w:rPr>
        <w:t xml:space="preserve"> </w:t>
      </w:r>
      <w:r w:rsidRPr="000F2B47">
        <w:rPr>
          <w:rFonts w:ascii="Arial" w:hAnsi="Arial" w:cs="Arial"/>
          <w:sz w:val="19"/>
          <w:szCs w:val="19"/>
        </w:rPr>
        <w:t>Para los procesos con documentos tipo, adelantado en modalidad de mínima cuantía, el Decreto 594 de 2020, al adicionar el Decreto 594 de 2020 introdujo una regla especial para regular esta situación, la cual dispone</w:t>
      </w:r>
      <w:r>
        <w:rPr>
          <w:rFonts w:ascii="Arial" w:hAnsi="Arial" w:cs="Arial"/>
          <w:sz w:val="19"/>
          <w:szCs w:val="19"/>
          <w:lang w:val="es-CO"/>
        </w:rPr>
        <w:t>:</w:t>
      </w:r>
      <w:r w:rsidRPr="000F2B47">
        <w:rPr>
          <w:rFonts w:ascii="Arial" w:hAnsi="Arial" w:cs="Arial"/>
          <w:sz w:val="19"/>
          <w:szCs w:val="19"/>
        </w:rPr>
        <w:t xml:space="preserve"> </w:t>
      </w:r>
    </w:p>
    <w:p w14:paraId="4C537DF2" w14:textId="77777777" w:rsidR="0072181C" w:rsidRPr="000F2B47" w:rsidRDefault="0072181C" w:rsidP="00306FA7">
      <w:pPr>
        <w:pStyle w:val="Textonotapie"/>
        <w:ind w:firstLine="708"/>
        <w:jc w:val="both"/>
        <w:rPr>
          <w:rFonts w:ascii="Arial" w:hAnsi="Arial" w:cs="Arial"/>
          <w:sz w:val="19"/>
          <w:szCs w:val="19"/>
        </w:rPr>
      </w:pPr>
      <w:r w:rsidRPr="000F2B47">
        <w:rPr>
          <w:rFonts w:ascii="Arial" w:hAnsi="Arial" w:cs="Arial"/>
          <w:sz w:val="19"/>
          <w:szCs w:val="19"/>
        </w:rPr>
        <w:t xml:space="preserve">«2.2.1.2.6.3.5. Bienes o servicios adicionales a la obra pública.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  </w:t>
      </w:r>
    </w:p>
    <w:p w14:paraId="3A138C4C" w14:textId="77777777" w:rsidR="0072181C" w:rsidRPr="000F2B47" w:rsidRDefault="0072181C" w:rsidP="00306FA7">
      <w:pPr>
        <w:pStyle w:val="Textonotapie"/>
        <w:ind w:firstLine="708"/>
        <w:jc w:val="both"/>
        <w:rPr>
          <w:rFonts w:ascii="Arial" w:hAnsi="Arial" w:cs="Arial"/>
          <w:sz w:val="19"/>
          <w:szCs w:val="19"/>
        </w:rPr>
      </w:pPr>
      <w:r w:rsidRPr="000F2B47">
        <w:rPr>
          <w:rFonts w:ascii="Arial" w:hAnsi="Arial" w:cs="Arial"/>
          <w:sz w:val="19"/>
          <w:szCs w:val="19"/>
        </w:rPr>
        <w:t xml:space="preserve">»1.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 </w:t>
      </w:r>
    </w:p>
    <w:p w14:paraId="1AFA2238" w14:textId="77777777" w:rsidR="0072181C" w:rsidRPr="000F2B47" w:rsidRDefault="0072181C" w:rsidP="00306FA7">
      <w:pPr>
        <w:pStyle w:val="Textonotapie"/>
        <w:ind w:firstLine="708"/>
        <w:jc w:val="both"/>
        <w:rPr>
          <w:rFonts w:ascii="Arial" w:hAnsi="Arial" w:cs="Arial"/>
          <w:sz w:val="19"/>
          <w:szCs w:val="19"/>
        </w:rPr>
      </w:pPr>
      <w:r w:rsidRPr="000F2B47">
        <w:rPr>
          <w:rFonts w:ascii="Arial" w:hAnsi="Arial" w:cs="Arial"/>
          <w:sz w:val="19"/>
          <w:szCs w:val="19"/>
        </w:rPr>
        <w:t xml:space="preserve">»2. Conservar los requisitos exigidos en los Documentos Tipo.  </w:t>
      </w:r>
    </w:p>
    <w:p w14:paraId="08FF7352" w14:textId="77777777" w:rsidR="0072181C" w:rsidRPr="00D5103D" w:rsidRDefault="0072181C" w:rsidP="00306FA7">
      <w:pPr>
        <w:pStyle w:val="Textonotapie"/>
        <w:ind w:firstLine="708"/>
        <w:jc w:val="both"/>
        <w:rPr>
          <w:lang w:val="es-CO"/>
        </w:rPr>
      </w:pPr>
      <w:r w:rsidRPr="000F2B47">
        <w:rPr>
          <w:rFonts w:ascii="Arial" w:hAnsi="Arial" w:cs="Arial"/>
          <w:sz w:val="19"/>
          <w:szCs w:val="19"/>
        </w:rPr>
        <w:t>»3. Abstenerse de pedir experiencia exclusiva con entidades estatales, experiencia previa en un territorio específico, limitada en el tiempo o que incluya volúmenes o cantidades de obra específica».</w:t>
      </w:r>
      <w:r>
        <w:t xml:space="preserve">  </w:t>
      </w:r>
    </w:p>
  </w:footnote>
  <w:footnote w:id="10">
    <w:p w14:paraId="58A2BE04" w14:textId="77777777" w:rsidR="0072181C" w:rsidRPr="00133C4A" w:rsidRDefault="0072181C" w:rsidP="007327B2">
      <w:pPr>
        <w:ind w:firstLine="708"/>
        <w:jc w:val="both"/>
        <w:rPr>
          <w:rFonts w:ascii="Arial" w:hAnsi="Arial" w:cs="Arial"/>
          <w:color w:val="000000" w:themeColor="text1"/>
          <w:sz w:val="19"/>
          <w:szCs w:val="19"/>
        </w:rPr>
      </w:pPr>
      <w:r w:rsidRPr="00133C4A">
        <w:rPr>
          <w:rStyle w:val="Refdenotaalpie"/>
          <w:rFonts w:ascii="Arial" w:hAnsi="Arial" w:cs="Arial"/>
          <w:color w:val="000000" w:themeColor="text1"/>
          <w:sz w:val="19"/>
          <w:szCs w:val="19"/>
        </w:rPr>
        <w:footnoteRef/>
      </w:r>
      <w:r w:rsidRPr="00133C4A">
        <w:rPr>
          <w:rFonts w:ascii="Arial" w:hAnsi="Arial" w:cs="Arial"/>
          <w:color w:val="000000" w:themeColor="text1"/>
          <w:sz w:val="19"/>
          <w:szCs w:val="19"/>
        </w:rPr>
        <w:t xml:space="preserve"> Cita tomada de la providencia del 20 de febrero de 2020, dictada por el Consejo de Estado</w:t>
      </w:r>
      <w:r>
        <w:rPr>
          <w:rFonts w:ascii="Arial" w:hAnsi="Arial" w:cs="Arial"/>
          <w:color w:val="000000" w:themeColor="text1"/>
          <w:sz w:val="19"/>
          <w:szCs w:val="19"/>
        </w:rPr>
        <w:t>.</w:t>
      </w:r>
      <w:r w:rsidRPr="00133C4A">
        <w:rPr>
          <w:rFonts w:ascii="Arial" w:hAnsi="Arial" w:cs="Arial"/>
          <w:color w:val="000000" w:themeColor="text1"/>
          <w:sz w:val="19"/>
          <w:szCs w:val="19"/>
        </w:rPr>
        <w:t xml:space="preserve"> Sección Tercera</w:t>
      </w:r>
      <w:r>
        <w:rPr>
          <w:rFonts w:ascii="Arial" w:hAnsi="Arial" w:cs="Arial"/>
          <w:color w:val="000000" w:themeColor="text1"/>
          <w:sz w:val="19"/>
          <w:szCs w:val="19"/>
        </w:rPr>
        <w:t>.</w:t>
      </w:r>
      <w:r w:rsidRPr="00133C4A">
        <w:rPr>
          <w:rFonts w:ascii="Arial" w:hAnsi="Arial" w:cs="Arial"/>
          <w:color w:val="000000" w:themeColor="text1"/>
          <w:sz w:val="19"/>
          <w:szCs w:val="19"/>
        </w:rPr>
        <w:t xml:space="preserve"> Subsección A, dentro del expediente 47001-23-33-000-2018-00035-01</w:t>
      </w:r>
      <w:r>
        <w:rPr>
          <w:rFonts w:ascii="Arial" w:hAnsi="Arial" w:cs="Arial"/>
          <w:color w:val="000000" w:themeColor="text1"/>
          <w:sz w:val="19"/>
          <w:szCs w:val="19"/>
        </w:rPr>
        <w:t xml:space="preserve"> </w:t>
      </w:r>
      <w:r w:rsidRPr="00133C4A">
        <w:rPr>
          <w:rFonts w:ascii="Arial" w:hAnsi="Arial" w:cs="Arial"/>
          <w:color w:val="000000" w:themeColor="text1"/>
          <w:sz w:val="19"/>
          <w:szCs w:val="19"/>
        </w:rPr>
        <w:t>(63</w:t>
      </w:r>
      <w:r>
        <w:rPr>
          <w:rFonts w:ascii="Arial" w:hAnsi="Arial" w:cs="Arial"/>
          <w:color w:val="000000" w:themeColor="text1"/>
          <w:sz w:val="19"/>
          <w:szCs w:val="19"/>
        </w:rPr>
        <w:t>.</w:t>
      </w:r>
      <w:r w:rsidRPr="00133C4A">
        <w:rPr>
          <w:rFonts w:ascii="Arial" w:hAnsi="Arial" w:cs="Arial"/>
          <w:color w:val="000000" w:themeColor="text1"/>
          <w:sz w:val="19"/>
          <w:szCs w:val="19"/>
        </w:rPr>
        <w:t>854), cuya ponente fue Marta Nubia Velásquez Rico.</w:t>
      </w:r>
    </w:p>
    <w:p w14:paraId="76609277" w14:textId="77777777" w:rsidR="0072181C" w:rsidRPr="00133C4A" w:rsidRDefault="0072181C" w:rsidP="007327B2">
      <w:pPr>
        <w:pStyle w:val="Textonotapie"/>
        <w:ind w:firstLine="708"/>
        <w:jc w:val="both"/>
        <w:rPr>
          <w:rFonts w:ascii="Arial" w:hAnsi="Arial" w:cs="Arial"/>
          <w:color w:val="000000" w:themeColor="text1"/>
          <w:sz w:val="19"/>
          <w:szCs w:val="19"/>
        </w:rPr>
      </w:pPr>
      <w:r w:rsidRPr="00133C4A">
        <w:rPr>
          <w:rFonts w:ascii="Arial" w:hAnsi="Arial" w:cs="Arial"/>
          <w:color w:val="000000" w:themeColor="text1"/>
          <w:sz w:val="19"/>
          <w:szCs w:val="19"/>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98637" w14:textId="77777777" w:rsidR="0072181C" w:rsidRDefault="0072181C">
    <w:pPr>
      <w:pStyle w:val="Encabezado"/>
    </w:pPr>
    <w:r>
      <w:rPr>
        <w:noProof/>
        <w:lang w:val="es-ES" w:eastAsia="es-E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6310"/>
    <w:multiLevelType w:val="multilevel"/>
    <w:tmpl w:val="B2D4E210"/>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87C"/>
    <w:rsid w:val="00001BE0"/>
    <w:rsid w:val="00004917"/>
    <w:rsid w:val="00010D30"/>
    <w:rsid w:val="00021167"/>
    <w:rsid w:val="0003091B"/>
    <w:rsid w:val="000333A2"/>
    <w:rsid w:val="00040C88"/>
    <w:rsid w:val="00040D6E"/>
    <w:rsid w:val="00042C0C"/>
    <w:rsid w:val="00044FF2"/>
    <w:rsid w:val="00061EE4"/>
    <w:rsid w:val="00062B0D"/>
    <w:rsid w:val="0006519B"/>
    <w:rsid w:val="00086A16"/>
    <w:rsid w:val="00097CD6"/>
    <w:rsid w:val="000A1DBA"/>
    <w:rsid w:val="000A6338"/>
    <w:rsid w:val="000C0E39"/>
    <w:rsid w:val="000C1650"/>
    <w:rsid w:val="000C3A1A"/>
    <w:rsid w:val="000D088F"/>
    <w:rsid w:val="000D2502"/>
    <w:rsid w:val="000E4A3C"/>
    <w:rsid w:val="000E6867"/>
    <w:rsid w:val="000F46BC"/>
    <w:rsid w:val="00102748"/>
    <w:rsid w:val="001056C0"/>
    <w:rsid w:val="00106B2E"/>
    <w:rsid w:val="00107607"/>
    <w:rsid w:val="00112597"/>
    <w:rsid w:val="001321AB"/>
    <w:rsid w:val="00140E57"/>
    <w:rsid w:val="00141C64"/>
    <w:rsid w:val="0014462B"/>
    <w:rsid w:val="00164E79"/>
    <w:rsid w:val="0017603D"/>
    <w:rsid w:val="00181A3E"/>
    <w:rsid w:val="001918B4"/>
    <w:rsid w:val="00194C50"/>
    <w:rsid w:val="001B2E5D"/>
    <w:rsid w:val="001B5813"/>
    <w:rsid w:val="001E5DBB"/>
    <w:rsid w:val="001F1051"/>
    <w:rsid w:val="001F34A8"/>
    <w:rsid w:val="002034AD"/>
    <w:rsid w:val="002239B4"/>
    <w:rsid w:val="0023180C"/>
    <w:rsid w:val="00234C6C"/>
    <w:rsid w:val="00252C54"/>
    <w:rsid w:val="00265031"/>
    <w:rsid w:val="00266277"/>
    <w:rsid w:val="002672B1"/>
    <w:rsid w:val="00284C12"/>
    <w:rsid w:val="002854DA"/>
    <w:rsid w:val="00286834"/>
    <w:rsid w:val="002B282F"/>
    <w:rsid w:val="002B4B30"/>
    <w:rsid w:val="002D66D2"/>
    <w:rsid w:val="002E7BC2"/>
    <w:rsid w:val="002F63BB"/>
    <w:rsid w:val="002F6C10"/>
    <w:rsid w:val="002F701E"/>
    <w:rsid w:val="00302F9F"/>
    <w:rsid w:val="00304386"/>
    <w:rsid w:val="00306FA7"/>
    <w:rsid w:val="00333AE0"/>
    <w:rsid w:val="003401FE"/>
    <w:rsid w:val="00340A7A"/>
    <w:rsid w:val="00346E84"/>
    <w:rsid w:val="00376F4F"/>
    <w:rsid w:val="00390DCF"/>
    <w:rsid w:val="003A2944"/>
    <w:rsid w:val="003B0DEF"/>
    <w:rsid w:val="003C2074"/>
    <w:rsid w:val="003C3ADB"/>
    <w:rsid w:val="003D11B5"/>
    <w:rsid w:val="003D134C"/>
    <w:rsid w:val="003D2637"/>
    <w:rsid w:val="003D69A5"/>
    <w:rsid w:val="003E14F9"/>
    <w:rsid w:val="003F00F7"/>
    <w:rsid w:val="003F3119"/>
    <w:rsid w:val="003F6D32"/>
    <w:rsid w:val="00407FB7"/>
    <w:rsid w:val="00427B56"/>
    <w:rsid w:val="0043040E"/>
    <w:rsid w:val="00430B5A"/>
    <w:rsid w:val="0044207D"/>
    <w:rsid w:val="00447FE5"/>
    <w:rsid w:val="00457AD6"/>
    <w:rsid w:val="00460884"/>
    <w:rsid w:val="004617B8"/>
    <w:rsid w:val="0046504E"/>
    <w:rsid w:val="004758FE"/>
    <w:rsid w:val="004830C8"/>
    <w:rsid w:val="004837AB"/>
    <w:rsid w:val="00483A2F"/>
    <w:rsid w:val="00490DBF"/>
    <w:rsid w:val="004A6EE1"/>
    <w:rsid w:val="004B1BEE"/>
    <w:rsid w:val="004B2AB8"/>
    <w:rsid w:val="004D770C"/>
    <w:rsid w:val="004E370E"/>
    <w:rsid w:val="004E41A8"/>
    <w:rsid w:val="004F4387"/>
    <w:rsid w:val="004F4D55"/>
    <w:rsid w:val="00510BF5"/>
    <w:rsid w:val="00515B68"/>
    <w:rsid w:val="00521BA7"/>
    <w:rsid w:val="00524768"/>
    <w:rsid w:val="005252E2"/>
    <w:rsid w:val="005308D7"/>
    <w:rsid w:val="0054595A"/>
    <w:rsid w:val="005511D5"/>
    <w:rsid w:val="00572E1A"/>
    <w:rsid w:val="00575DC6"/>
    <w:rsid w:val="00585FB5"/>
    <w:rsid w:val="00591586"/>
    <w:rsid w:val="00591946"/>
    <w:rsid w:val="00595429"/>
    <w:rsid w:val="005D60AC"/>
    <w:rsid w:val="005F293F"/>
    <w:rsid w:val="005F5C82"/>
    <w:rsid w:val="005F5D19"/>
    <w:rsid w:val="005F6CBF"/>
    <w:rsid w:val="006135E6"/>
    <w:rsid w:val="00632EA5"/>
    <w:rsid w:val="0065701C"/>
    <w:rsid w:val="00662792"/>
    <w:rsid w:val="006818B6"/>
    <w:rsid w:val="006824B8"/>
    <w:rsid w:val="006A7743"/>
    <w:rsid w:val="006B6C6A"/>
    <w:rsid w:val="006C15D5"/>
    <w:rsid w:val="006C234F"/>
    <w:rsid w:val="006C3D0C"/>
    <w:rsid w:val="006C5528"/>
    <w:rsid w:val="006C5955"/>
    <w:rsid w:val="006C5CD7"/>
    <w:rsid w:val="006D519D"/>
    <w:rsid w:val="006F39D0"/>
    <w:rsid w:val="006F7746"/>
    <w:rsid w:val="00711157"/>
    <w:rsid w:val="00715B7E"/>
    <w:rsid w:val="0072181C"/>
    <w:rsid w:val="00730CDB"/>
    <w:rsid w:val="007327B2"/>
    <w:rsid w:val="00736C89"/>
    <w:rsid w:val="00745744"/>
    <w:rsid w:val="0075032A"/>
    <w:rsid w:val="007661A3"/>
    <w:rsid w:val="00770D7D"/>
    <w:rsid w:val="00772497"/>
    <w:rsid w:val="00791377"/>
    <w:rsid w:val="007D62C7"/>
    <w:rsid w:val="007F7AC6"/>
    <w:rsid w:val="00801B14"/>
    <w:rsid w:val="00803061"/>
    <w:rsid w:val="00807EEE"/>
    <w:rsid w:val="008135F4"/>
    <w:rsid w:val="00813893"/>
    <w:rsid w:val="0082266E"/>
    <w:rsid w:val="008234E2"/>
    <w:rsid w:val="00824361"/>
    <w:rsid w:val="008327EE"/>
    <w:rsid w:val="00842E74"/>
    <w:rsid w:val="00843BE5"/>
    <w:rsid w:val="00856B64"/>
    <w:rsid w:val="00863DD9"/>
    <w:rsid w:val="00866446"/>
    <w:rsid w:val="0086741B"/>
    <w:rsid w:val="00886F29"/>
    <w:rsid w:val="00897DAB"/>
    <w:rsid w:val="008A0633"/>
    <w:rsid w:val="008A3386"/>
    <w:rsid w:val="008A53F2"/>
    <w:rsid w:val="008A5468"/>
    <w:rsid w:val="008B09B1"/>
    <w:rsid w:val="008B3491"/>
    <w:rsid w:val="008C24B6"/>
    <w:rsid w:val="008C487C"/>
    <w:rsid w:val="008C4C28"/>
    <w:rsid w:val="008E0FCC"/>
    <w:rsid w:val="008E2FE3"/>
    <w:rsid w:val="008E5F34"/>
    <w:rsid w:val="008E7D3F"/>
    <w:rsid w:val="008F2267"/>
    <w:rsid w:val="008F3EE2"/>
    <w:rsid w:val="009136E2"/>
    <w:rsid w:val="009231E0"/>
    <w:rsid w:val="009246A2"/>
    <w:rsid w:val="0094508D"/>
    <w:rsid w:val="009506A7"/>
    <w:rsid w:val="00967230"/>
    <w:rsid w:val="00972C13"/>
    <w:rsid w:val="009812D7"/>
    <w:rsid w:val="00982E99"/>
    <w:rsid w:val="00991BE6"/>
    <w:rsid w:val="009A5714"/>
    <w:rsid w:val="009A5DA7"/>
    <w:rsid w:val="009B1945"/>
    <w:rsid w:val="009B1AEC"/>
    <w:rsid w:val="009C00E4"/>
    <w:rsid w:val="009D1D57"/>
    <w:rsid w:val="009E16CD"/>
    <w:rsid w:val="009E2544"/>
    <w:rsid w:val="009E2770"/>
    <w:rsid w:val="009E4A43"/>
    <w:rsid w:val="009F2261"/>
    <w:rsid w:val="009F3537"/>
    <w:rsid w:val="009F7493"/>
    <w:rsid w:val="00A25657"/>
    <w:rsid w:val="00A329B6"/>
    <w:rsid w:val="00A367A1"/>
    <w:rsid w:val="00A415D2"/>
    <w:rsid w:val="00A45FE8"/>
    <w:rsid w:val="00A460BA"/>
    <w:rsid w:val="00A47C7C"/>
    <w:rsid w:val="00A510F6"/>
    <w:rsid w:val="00A651C9"/>
    <w:rsid w:val="00A80739"/>
    <w:rsid w:val="00A83829"/>
    <w:rsid w:val="00A95100"/>
    <w:rsid w:val="00AA2A39"/>
    <w:rsid w:val="00AA615B"/>
    <w:rsid w:val="00AB0DED"/>
    <w:rsid w:val="00AC0C81"/>
    <w:rsid w:val="00AD7725"/>
    <w:rsid w:val="00AE55A8"/>
    <w:rsid w:val="00AE668A"/>
    <w:rsid w:val="00AE6858"/>
    <w:rsid w:val="00AF5C62"/>
    <w:rsid w:val="00AF7270"/>
    <w:rsid w:val="00B17BC5"/>
    <w:rsid w:val="00B2158C"/>
    <w:rsid w:val="00B24E57"/>
    <w:rsid w:val="00B30D96"/>
    <w:rsid w:val="00B3463D"/>
    <w:rsid w:val="00B5123E"/>
    <w:rsid w:val="00B522C4"/>
    <w:rsid w:val="00B52B0E"/>
    <w:rsid w:val="00B5337D"/>
    <w:rsid w:val="00B65290"/>
    <w:rsid w:val="00B70E26"/>
    <w:rsid w:val="00B97D95"/>
    <w:rsid w:val="00BA7E78"/>
    <w:rsid w:val="00BB0833"/>
    <w:rsid w:val="00BB0EA7"/>
    <w:rsid w:val="00BB59F9"/>
    <w:rsid w:val="00BC15B8"/>
    <w:rsid w:val="00BC5279"/>
    <w:rsid w:val="00BC6C4E"/>
    <w:rsid w:val="00BD57F2"/>
    <w:rsid w:val="00BD58A7"/>
    <w:rsid w:val="00BE0B21"/>
    <w:rsid w:val="00BE1E33"/>
    <w:rsid w:val="00BE2AD3"/>
    <w:rsid w:val="00BE36F7"/>
    <w:rsid w:val="00BE6266"/>
    <w:rsid w:val="00BF2443"/>
    <w:rsid w:val="00C048C9"/>
    <w:rsid w:val="00C12201"/>
    <w:rsid w:val="00C1405A"/>
    <w:rsid w:val="00C25DB6"/>
    <w:rsid w:val="00C37F41"/>
    <w:rsid w:val="00C4526C"/>
    <w:rsid w:val="00C47B56"/>
    <w:rsid w:val="00C50B1B"/>
    <w:rsid w:val="00C52801"/>
    <w:rsid w:val="00C56B01"/>
    <w:rsid w:val="00C6210F"/>
    <w:rsid w:val="00C6324A"/>
    <w:rsid w:val="00C745C6"/>
    <w:rsid w:val="00C964DE"/>
    <w:rsid w:val="00C9666D"/>
    <w:rsid w:val="00CA5790"/>
    <w:rsid w:val="00CA5C6B"/>
    <w:rsid w:val="00CA634C"/>
    <w:rsid w:val="00CC1768"/>
    <w:rsid w:val="00CC59DC"/>
    <w:rsid w:val="00CD607D"/>
    <w:rsid w:val="00CF326B"/>
    <w:rsid w:val="00D0763E"/>
    <w:rsid w:val="00D12644"/>
    <w:rsid w:val="00D17075"/>
    <w:rsid w:val="00D21D97"/>
    <w:rsid w:val="00D24682"/>
    <w:rsid w:val="00D24F06"/>
    <w:rsid w:val="00D25AEF"/>
    <w:rsid w:val="00D349EE"/>
    <w:rsid w:val="00D56D47"/>
    <w:rsid w:val="00D655FB"/>
    <w:rsid w:val="00D70FB4"/>
    <w:rsid w:val="00D74A1C"/>
    <w:rsid w:val="00D815C1"/>
    <w:rsid w:val="00D85C85"/>
    <w:rsid w:val="00D92F6C"/>
    <w:rsid w:val="00D95879"/>
    <w:rsid w:val="00D97A6B"/>
    <w:rsid w:val="00DA15BB"/>
    <w:rsid w:val="00DA2FA3"/>
    <w:rsid w:val="00DA7875"/>
    <w:rsid w:val="00DB751D"/>
    <w:rsid w:val="00DC5570"/>
    <w:rsid w:val="00DC679E"/>
    <w:rsid w:val="00DD0B54"/>
    <w:rsid w:val="00DD0E98"/>
    <w:rsid w:val="00DE64DE"/>
    <w:rsid w:val="00DE7AB4"/>
    <w:rsid w:val="00DF4D86"/>
    <w:rsid w:val="00E01D84"/>
    <w:rsid w:val="00E137BB"/>
    <w:rsid w:val="00E3199C"/>
    <w:rsid w:val="00E64988"/>
    <w:rsid w:val="00E64A38"/>
    <w:rsid w:val="00E756AC"/>
    <w:rsid w:val="00E8381A"/>
    <w:rsid w:val="00E87596"/>
    <w:rsid w:val="00E87794"/>
    <w:rsid w:val="00E96422"/>
    <w:rsid w:val="00EA5A59"/>
    <w:rsid w:val="00EB3D8F"/>
    <w:rsid w:val="00ED0FE3"/>
    <w:rsid w:val="00EF2CA6"/>
    <w:rsid w:val="00EF5EBF"/>
    <w:rsid w:val="00F117B1"/>
    <w:rsid w:val="00F134F9"/>
    <w:rsid w:val="00F2200B"/>
    <w:rsid w:val="00F24C62"/>
    <w:rsid w:val="00F34138"/>
    <w:rsid w:val="00F476B4"/>
    <w:rsid w:val="00F47FCE"/>
    <w:rsid w:val="00F501D2"/>
    <w:rsid w:val="00F5266F"/>
    <w:rsid w:val="00F548AA"/>
    <w:rsid w:val="00F56447"/>
    <w:rsid w:val="00F64055"/>
    <w:rsid w:val="00F710C6"/>
    <w:rsid w:val="00F87C23"/>
    <w:rsid w:val="00F9481A"/>
    <w:rsid w:val="00FC755D"/>
    <w:rsid w:val="00FE36F2"/>
    <w:rsid w:val="480FE7C9"/>
    <w:rsid w:val="6FAB2BD3"/>
    <w:rsid w:val="77FA05B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950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UnresolvedMention">
    <w:name w:val="Unresolved Mention"/>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UnresolvedMention">
    <w:name w:val="Unresolved Mention"/>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43551">
      <w:bodyDiv w:val="1"/>
      <w:marLeft w:val="0"/>
      <w:marRight w:val="0"/>
      <w:marTop w:val="0"/>
      <w:marBottom w:val="0"/>
      <w:divBdr>
        <w:top w:val="none" w:sz="0" w:space="0" w:color="auto"/>
        <w:left w:val="none" w:sz="0" w:space="0" w:color="auto"/>
        <w:bottom w:val="none" w:sz="0" w:space="0" w:color="auto"/>
        <w:right w:val="none" w:sz="0" w:space="0" w:color="auto"/>
      </w:divBdr>
      <w:divsChild>
        <w:div w:id="126515376">
          <w:marLeft w:val="0"/>
          <w:marRight w:val="0"/>
          <w:marTop w:val="0"/>
          <w:marBottom w:val="0"/>
          <w:divBdr>
            <w:top w:val="none" w:sz="0" w:space="0" w:color="auto"/>
            <w:left w:val="none" w:sz="0" w:space="0" w:color="auto"/>
            <w:bottom w:val="none" w:sz="0" w:space="0" w:color="auto"/>
            <w:right w:val="none" w:sz="0" w:space="0" w:color="auto"/>
          </w:divBdr>
          <w:divsChild>
            <w:div w:id="923761920">
              <w:marLeft w:val="0"/>
              <w:marRight w:val="0"/>
              <w:marTop w:val="0"/>
              <w:marBottom w:val="0"/>
              <w:divBdr>
                <w:top w:val="none" w:sz="0" w:space="0" w:color="auto"/>
                <w:left w:val="none" w:sz="0" w:space="0" w:color="auto"/>
                <w:bottom w:val="none" w:sz="0" w:space="0" w:color="auto"/>
                <w:right w:val="none" w:sz="0" w:space="0" w:color="auto"/>
              </w:divBdr>
            </w:div>
            <w:div w:id="338239656">
              <w:marLeft w:val="0"/>
              <w:marRight w:val="0"/>
              <w:marTop w:val="0"/>
              <w:marBottom w:val="0"/>
              <w:divBdr>
                <w:top w:val="none" w:sz="0" w:space="0" w:color="auto"/>
                <w:left w:val="none" w:sz="0" w:space="0" w:color="auto"/>
                <w:bottom w:val="none" w:sz="0" w:space="0" w:color="auto"/>
                <w:right w:val="none" w:sz="0" w:space="0" w:color="auto"/>
              </w:divBdr>
            </w:div>
            <w:div w:id="1467354370">
              <w:marLeft w:val="0"/>
              <w:marRight w:val="0"/>
              <w:marTop w:val="0"/>
              <w:marBottom w:val="0"/>
              <w:divBdr>
                <w:top w:val="none" w:sz="0" w:space="0" w:color="auto"/>
                <w:left w:val="none" w:sz="0" w:space="0" w:color="auto"/>
                <w:bottom w:val="none" w:sz="0" w:space="0" w:color="auto"/>
                <w:right w:val="none" w:sz="0" w:space="0" w:color="auto"/>
              </w:divBdr>
            </w:div>
            <w:div w:id="95755447">
              <w:marLeft w:val="0"/>
              <w:marRight w:val="0"/>
              <w:marTop w:val="0"/>
              <w:marBottom w:val="0"/>
              <w:divBdr>
                <w:top w:val="none" w:sz="0" w:space="0" w:color="auto"/>
                <w:left w:val="none" w:sz="0" w:space="0" w:color="auto"/>
                <w:bottom w:val="none" w:sz="0" w:space="0" w:color="auto"/>
                <w:right w:val="none" w:sz="0" w:space="0" w:color="auto"/>
              </w:divBdr>
            </w:div>
            <w:div w:id="9447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439124">
      <w:bodyDiv w:val="1"/>
      <w:marLeft w:val="0"/>
      <w:marRight w:val="0"/>
      <w:marTop w:val="0"/>
      <w:marBottom w:val="0"/>
      <w:divBdr>
        <w:top w:val="none" w:sz="0" w:space="0" w:color="auto"/>
        <w:left w:val="none" w:sz="0" w:space="0" w:color="auto"/>
        <w:bottom w:val="none" w:sz="0" w:space="0" w:color="auto"/>
        <w:right w:val="none" w:sz="0" w:space="0" w:color="auto"/>
      </w:divBdr>
      <w:divsChild>
        <w:div w:id="180171989">
          <w:marLeft w:val="0"/>
          <w:marRight w:val="0"/>
          <w:marTop w:val="0"/>
          <w:marBottom w:val="0"/>
          <w:divBdr>
            <w:top w:val="none" w:sz="0" w:space="0" w:color="auto"/>
            <w:left w:val="none" w:sz="0" w:space="0" w:color="auto"/>
            <w:bottom w:val="none" w:sz="0" w:space="0" w:color="auto"/>
            <w:right w:val="none" w:sz="0" w:space="0" w:color="auto"/>
          </w:divBdr>
          <w:divsChild>
            <w:div w:id="1568372750">
              <w:marLeft w:val="0"/>
              <w:marRight w:val="0"/>
              <w:marTop w:val="0"/>
              <w:marBottom w:val="0"/>
              <w:divBdr>
                <w:top w:val="none" w:sz="0" w:space="0" w:color="auto"/>
                <w:left w:val="none" w:sz="0" w:space="0" w:color="auto"/>
                <w:bottom w:val="none" w:sz="0" w:space="0" w:color="auto"/>
                <w:right w:val="none" w:sz="0" w:space="0" w:color="auto"/>
              </w:divBdr>
            </w:div>
            <w:div w:id="1524054915">
              <w:marLeft w:val="0"/>
              <w:marRight w:val="0"/>
              <w:marTop w:val="0"/>
              <w:marBottom w:val="0"/>
              <w:divBdr>
                <w:top w:val="none" w:sz="0" w:space="0" w:color="auto"/>
                <w:left w:val="none" w:sz="0" w:space="0" w:color="auto"/>
                <w:bottom w:val="none" w:sz="0" w:space="0" w:color="auto"/>
                <w:right w:val="none" w:sz="0" w:space="0" w:color="auto"/>
              </w:divBdr>
            </w:div>
            <w:div w:id="906693614">
              <w:marLeft w:val="0"/>
              <w:marRight w:val="0"/>
              <w:marTop w:val="0"/>
              <w:marBottom w:val="0"/>
              <w:divBdr>
                <w:top w:val="none" w:sz="0" w:space="0" w:color="auto"/>
                <w:left w:val="none" w:sz="0" w:space="0" w:color="auto"/>
                <w:bottom w:val="none" w:sz="0" w:space="0" w:color="auto"/>
                <w:right w:val="none" w:sz="0" w:space="0" w:color="auto"/>
              </w:divBdr>
            </w:div>
            <w:div w:id="597980463">
              <w:marLeft w:val="0"/>
              <w:marRight w:val="0"/>
              <w:marTop w:val="0"/>
              <w:marBottom w:val="0"/>
              <w:divBdr>
                <w:top w:val="none" w:sz="0" w:space="0" w:color="auto"/>
                <w:left w:val="none" w:sz="0" w:space="0" w:color="auto"/>
                <w:bottom w:val="none" w:sz="0" w:space="0" w:color="auto"/>
                <w:right w:val="none" w:sz="0" w:space="0" w:color="auto"/>
              </w:divBdr>
            </w:div>
            <w:div w:id="116385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4.xml><?xml version="1.0" encoding="utf-8"?>
<ds:datastoreItem xmlns:ds="http://schemas.openxmlformats.org/officeDocument/2006/customXml" ds:itemID="{811842A4-152B-4746-8870-746B367B2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3594</Words>
  <Characters>19772</Characters>
  <Application>Microsoft Macintosh Word</Application>
  <DocSecurity>0</DocSecurity>
  <Lines>164</Lines>
  <Paragraphs>46</Paragraphs>
  <ScaleCrop>false</ScaleCrop>
  <Company/>
  <LinksUpToDate>false</LinksUpToDate>
  <CharactersWithSpaces>23320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Claudia Carrillo</cp:lastModifiedBy>
  <cp:revision>5</cp:revision>
  <cp:lastPrinted>2020-03-17T17:42:00Z</cp:lastPrinted>
  <dcterms:created xsi:type="dcterms:W3CDTF">2021-03-19T21:18:00Z</dcterms:created>
  <dcterms:modified xsi:type="dcterms:W3CDTF">2021-03-19T21:55:00Z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