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B1E9" w14:textId="77777777" w:rsidR="00D916A3" w:rsidRPr="004B27AF" w:rsidRDefault="00D916A3" w:rsidP="00D916A3">
      <w:pPr>
        <w:jc w:val="right"/>
        <w:rPr>
          <w:rFonts w:ascii="Arial" w:hAnsi="Arial" w:cs="Arial"/>
          <w:b/>
          <w:color w:val="000000" w:themeColor="text1"/>
          <w:sz w:val="16"/>
          <w:szCs w:val="16"/>
          <w:lang w:eastAsia="es-ES"/>
        </w:rPr>
      </w:pPr>
      <w:r w:rsidRPr="004B27AF">
        <w:rPr>
          <w:rFonts w:ascii="Arial" w:hAnsi="Arial" w:cs="Arial"/>
          <w:b/>
          <w:color w:val="000000" w:themeColor="text1"/>
          <w:sz w:val="16"/>
          <w:szCs w:val="16"/>
          <w:lang w:eastAsia="es-ES"/>
        </w:rPr>
        <w:t>CCE-DES-FM-17</w:t>
      </w:r>
    </w:p>
    <w:p w14:paraId="6357E965" w14:textId="77777777" w:rsidR="00D916A3" w:rsidRDefault="00D916A3" w:rsidP="00D916A3">
      <w:pPr>
        <w:spacing w:line="276" w:lineRule="auto"/>
        <w:jc w:val="both"/>
        <w:rPr>
          <w:rFonts w:ascii="Arial" w:eastAsia="Calibri" w:hAnsi="Arial" w:cs="Arial"/>
          <w:b/>
          <w:bCs/>
          <w:sz w:val="22"/>
          <w:szCs w:val="22"/>
        </w:rPr>
      </w:pPr>
    </w:p>
    <w:p w14:paraId="3EA1B8E9" w14:textId="77777777" w:rsidR="00D916A3" w:rsidRDefault="00D916A3" w:rsidP="00D916A3">
      <w:pPr>
        <w:spacing w:line="276" w:lineRule="auto"/>
        <w:jc w:val="both"/>
        <w:rPr>
          <w:rFonts w:ascii="Arial" w:eastAsia="Calibri" w:hAnsi="Arial" w:cs="Arial"/>
          <w:b/>
          <w:bCs/>
          <w:sz w:val="22"/>
          <w:szCs w:val="22"/>
        </w:rPr>
      </w:pPr>
      <w:r>
        <w:rPr>
          <w:rFonts w:ascii="Arial" w:eastAsia="Calibri" w:hAnsi="Arial" w:cs="Arial"/>
          <w:b/>
          <w:bCs/>
          <w:sz w:val="22"/>
          <w:szCs w:val="22"/>
        </w:rPr>
        <w:t xml:space="preserve">RÉGIMEN DE INHABILIDADES – Definición – Limitación a capacidad </w:t>
      </w:r>
    </w:p>
    <w:p w14:paraId="5D3F87BA" w14:textId="77777777" w:rsidR="00D916A3" w:rsidRDefault="00D916A3" w:rsidP="00D916A3">
      <w:pPr>
        <w:spacing w:line="276" w:lineRule="auto"/>
        <w:jc w:val="both"/>
        <w:rPr>
          <w:rFonts w:ascii="Arial" w:eastAsia="Calibri" w:hAnsi="Arial" w:cs="Arial"/>
          <w:b/>
          <w:bCs/>
          <w:sz w:val="22"/>
          <w:szCs w:val="22"/>
        </w:rPr>
      </w:pPr>
    </w:p>
    <w:p w14:paraId="6946D68A" w14:textId="77777777" w:rsidR="00D916A3" w:rsidRPr="00262753" w:rsidRDefault="00D916A3" w:rsidP="00D916A3">
      <w:pPr>
        <w:autoSpaceDE w:val="0"/>
        <w:autoSpaceDN w:val="0"/>
        <w:adjustRightInd w:val="0"/>
        <w:jc w:val="both"/>
        <w:rPr>
          <w:rFonts w:ascii="Arial" w:eastAsiaTheme="minorHAnsi" w:hAnsi="Arial" w:cs="Arial"/>
          <w:sz w:val="20"/>
          <w:szCs w:val="20"/>
          <w:lang w:val="es-MX" w:eastAsia="en-US"/>
        </w:rPr>
      </w:pPr>
      <w:r w:rsidRPr="00262753">
        <w:rPr>
          <w:rFonts w:ascii="Arial" w:eastAsiaTheme="minorHAnsi" w:hAnsi="Arial" w:cs="Arial"/>
          <w:sz w:val="20"/>
          <w:szCs w:val="20"/>
          <w:lang w:val="es-MX" w:eastAsia="en-US"/>
        </w:rPr>
        <w:t>Las inhabilidades e incompatibilidades son circunstancias establecidas por la Constitución Política o por la ley que impiden que personas naturales o jurídicas sean elegidas o designadas en un cargo público o celebren contratos con el Estado. Su objetivo no es otro que garantizar la idoneidad, imparcialidad, probidad, transparencia y moralidad de la función pública, garantizando el interés general.   </w:t>
      </w:r>
    </w:p>
    <w:p w14:paraId="5DA16285" w14:textId="77777777" w:rsidR="00D916A3" w:rsidRDefault="00D916A3" w:rsidP="00D916A3">
      <w:pPr>
        <w:spacing w:line="276" w:lineRule="auto"/>
        <w:jc w:val="both"/>
        <w:rPr>
          <w:rFonts w:ascii="Arial" w:eastAsia="Calibri" w:hAnsi="Arial" w:cs="Arial"/>
          <w:sz w:val="22"/>
          <w:szCs w:val="22"/>
        </w:rPr>
      </w:pPr>
    </w:p>
    <w:p w14:paraId="134D61DC" w14:textId="77777777" w:rsidR="00D916A3" w:rsidRPr="00926D19" w:rsidRDefault="00D916A3" w:rsidP="00D916A3">
      <w:pPr>
        <w:jc w:val="both"/>
        <w:rPr>
          <w:rFonts w:ascii="Arial" w:eastAsia="Calibri" w:hAnsi="Arial" w:cs="Arial"/>
          <w:b/>
          <w:bCs/>
          <w:sz w:val="22"/>
          <w:lang w:val="es-ES"/>
        </w:rPr>
      </w:pPr>
      <w:r w:rsidRPr="00926D19">
        <w:rPr>
          <w:rFonts w:ascii="Arial" w:eastAsia="Calibri" w:hAnsi="Arial" w:cs="Arial"/>
          <w:b/>
          <w:bCs/>
          <w:sz w:val="22"/>
          <w:lang w:val="es-ES"/>
        </w:rPr>
        <w:t>INHABILIDADES – Taxatividad – Principio de legalidad – Interpretación restrictiva</w:t>
      </w:r>
    </w:p>
    <w:p w14:paraId="1AAFEAB9" w14:textId="77777777" w:rsidR="00D916A3" w:rsidRPr="00926D19" w:rsidRDefault="00D916A3" w:rsidP="00D916A3">
      <w:pPr>
        <w:jc w:val="both"/>
        <w:rPr>
          <w:rFonts w:ascii="Arial" w:eastAsia="Calibri" w:hAnsi="Arial" w:cs="Arial"/>
          <w:sz w:val="20"/>
          <w:szCs w:val="20"/>
          <w:lang w:val="es-ES"/>
        </w:rPr>
      </w:pPr>
    </w:p>
    <w:p w14:paraId="69CC7EB7" w14:textId="77777777" w:rsidR="00D916A3" w:rsidRPr="00262753" w:rsidRDefault="00D916A3" w:rsidP="00D916A3">
      <w:pPr>
        <w:spacing w:before="120" w:after="120"/>
        <w:jc w:val="both"/>
        <w:rPr>
          <w:rFonts w:ascii="Arial" w:eastAsia="Calibri" w:hAnsi="Arial" w:cs="Arial"/>
          <w:sz w:val="20"/>
          <w:szCs w:val="20"/>
          <w:lang w:val="es-ES"/>
        </w:rPr>
      </w:pPr>
      <w:r w:rsidRPr="00262753">
        <w:rPr>
          <w:rFonts w:ascii="Arial" w:eastAsia="Calibri" w:hAnsi="Arial" w:cs="Arial"/>
          <w:sz w:val="20"/>
          <w:szCs w:val="20"/>
          <w:lang w:val="es-ES"/>
        </w:rPr>
        <w:t>[…] Ahora bien, las inhabilidades e incompatibilidades al ser restricciones o límites especiales a la capacidad para presentar ofertas y celebrar contratos estatales, sólo pueden tipificars</w:t>
      </w:r>
      <w:r w:rsidRPr="007056C6">
        <w:rPr>
          <w:rFonts w:ascii="Arial" w:eastAsia="Calibri" w:hAnsi="Arial" w:cs="Arial"/>
          <w:sz w:val="20"/>
          <w:szCs w:val="20"/>
          <w:lang w:val="es-ES"/>
        </w:rPr>
        <w:t>e en la ley, es decir, deben satisfacer el principio de legalidad, y su interpretación debe ser restrictiva</w:t>
      </w:r>
      <w:r w:rsidRPr="00262753">
        <w:rPr>
          <w:rFonts w:ascii="Arial" w:eastAsia="Calibri" w:hAnsi="Arial" w:cs="Arial"/>
          <w:sz w:val="20"/>
          <w:szCs w:val="20"/>
          <w:lang w:val="es-ES"/>
        </w:rPr>
        <w:t xml:space="preserve">. En efecto,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Esta ha sido la postura de la jurisprudencia, tanto de la Corte Constitucional como de la Sección Tercera del Consejo de Estado. </w:t>
      </w:r>
    </w:p>
    <w:p w14:paraId="65262592" w14:textId="77777777" w:rsidR="00D916A3" w:rsidRDefault="00D916A3" w:rsidP="00D916A3">
      <w:pPr>
        <w:jc w:val="both"/>
        <w:rPr>
          <w:rFonts w:ascii="Arial" w:eastAsia="Calibri" w:hAnsi="Arial" w:cs="Arial"/>
          <w:sz w:val="20"/>
          <w:szCs w:val="20"/>
          <w:lang w:val="es-ES"/>
        </w:rPr>
      </w:pPr>
    </w:p>
    <w:p w14:paraId="037C2BE2" w14:textId="77777777" w:rsidR="00D916A3" w:rsidRPr="004B27AF" w:rsidRDefault="00D916A3" w:rsidP="00D916A3">
      <w:pPr>
        <w:jc w:val="both"/>
        <w:rPr>
          <w:rFonts w:ascii="Arial" w:eastAsia="Calibri" w:hAnsi="Arial" w:cs="Arial"/>
          <w:b/>
          <w:bCs/>
          <w:sz w:val="22"/>
          <w:szCs w:val="22"/>
          <w:lang w:val="es-ES"/>
        </w:rPr>
      </w:pPr>
      <w:r>
        <w:rPr>
          <w:rFonts w:ascii="Arial" w:eastAsia="Calibri" w:hAnsi="Arial" w:cs="Arial"/>
          <w:b/>
          <w:bCs/>
          <w:sz w:val="22"/>
          <w:szCs w:val="22"/>
          <w:lang w:val="es-ES"/>
        </w:rPr>
        <w:t xml:space="preserve">INHABILIDADES – Clasificación </w:t>
      </w:r>
    </w:p>
    <w:p w14:paraId="4DAC2869" w14:textId="77777777" w:rsidR="00D916A3" w:rsidRPr="00926D19" w:rsidRDefault="00D916A3" w:rsidP="00D916A3">
      <w:pPr>
        <w:jc w:val="both"/>
        <w:rPr>
          <w:rFonts w:ascii="Arial" w:eastAsia="Calibri" w:hAnsi="Arial" w:cs="Arial"/>
          <w:sz w:val="20"/>
          <w:szCs w:val="20"/>
          <w:lang w:val="es-ES"/>
        </w:rPr>
      </w:pPr>
    </w:p>
    <w:p w14:paraId="60971D88" w14:textId="77777777" w:rsidR="00D916A3" w:rsidRPr="004B27AF" w:rsidRDefault="00D916A3" w:rsidP="00D916A3">
      <w:pPr>
        <w:jc w:val="both"/>
        <w:rPr>
          <w:rFonts w:ascii="Arial" w:hAnsi="Arial" w:cs="Arial"/>
          <w:sz w:val="20"/>
          <w:szCs w:val="20"/>
          <w:lang w:val="es-ES"/>
        </w:rPr>
      </w:pPr>
      <w:r w:rsidRPr="004B27AF">
        <w:rPr>
          <w:rFonts w:ascii="Arial" w:hAnsi="Arial" w:cs="Arial"/>
          <w:sz w:val="20"/>
          <w:szCs w:val="20"/>
          <w:lang w:val="es-ES"/>
        </w:rPr>
        <w:t xml:space="preserve">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 </w:t>
      </w:r>
    </w:p>
    <w:p w14:paraId="2054DEFF" w14:textId="77777777" w:rsidR="00D916A3" w:rsidRDefault="00D916A3" w:rsidP="00D916A3">
      <w:pPr>
        <w:spacing w:line="276" w:lineRule="auto"/>
        <w:jc w:val="both"/>
        <w:rPr>
          <w:rFonts w:ascii="Arial" w:hAnsi="Arial" w:cs="Arial"/>
          <w:sz w:val="21"/>
          <w:szCs w:val="21"/>
          <w:lang w:val="es-ES"/>
        </w:rPr>
      </w:pPr>
    </w:p>
    <w:p w14:paraId="72FBA863" w14:textId="77777777" w:rsidR="00D916A3" w:rsidRDefault="00D916A3" w:rsidP="00D916A3">
      <w:pPr>
        <w:spacing w:line="276" w:lineRule="auto"/>
        <w:jc w:val="both"/>
        <w:rPr>
          <w:rFonts w:ascii="Arial" w:eastAsia="Calibri" w:hAnsi="Arial" w:cs="Arial"/>
          <w:b/>
          <w:bCs/>
          <w:sz w:val="22"/>
          <w:szCs w:val="22"/>
        </w:rPr>
      </w:pPr>
      <w:r>
        <w:rPr>
          <w:rFonts w:ascii="Arial" w:eastAsia="Calibri" w:hAnsi="Arial" w:cs="Arial"/>
          <w:b/>
          <w:bCs/>
          <w:sz w:val="22"/>
          <w:szCs w:val="22"/>
        </w:rPr>
        <w:t xml:space="preserve">CONTRATACIÓN DE OBRA PÚBLICA – estudios y diseños </w:t>
      </w:r>
    </w:p>
    <w:p w14:paraId="3B77D04E" w14:textId="77777777" w:rsidR="00D916A3" w:rsidRDefault="00D916A3" w:rsidP="00D916A3">
      <w:pPr>
        <w:spacing w:line="276" w:lineRule="auto"/>
        <w:jc w:val="both"/>
        <w:rPr>
          <w:rFonts w:ascii="Arial" w:eastAsia="Calibri" w:hAnsi="Arial" w:cs="Arial"/>
          <w:b/>
          <w:bCs/>
          <w:sz w:val="22"/>
          <w:szCs w:val="22"/>
        </w:rPr>
      </w:pPr>
    </w:p>
    <w:p w14:paraId="7E7F215D" w14:textId="77777777" w:rsidR="00D916A3" w:rsidRPr="00262753" w:rsidRDefault="00D916A3" w:rsidP="00D916A3">
      <w:pPr>
        <w:autoSpaceDE w:val="0"/>
        <w:autoSpaceDN w:val="0"/>
        <w:adjustRightInd w:val="0"/>
        <w:jc w:val="both"/>
        <w:rPr>
          <w:rFonts w:ascii="Arial" w:eastAsiaTheme="minorHAnsi" w:hAnsi="Arial" w:cs="Arial"/>
          <w:sz w:val="20"/>
          <w:szCs w:val="20"/>
          <w:lang w:val="es-MX" w:eastAsia="en-US"/>
        </w:rPr>
      </w:pPr>
      <w:r w:rsidRPr="00262753">
        <w:rPr>
          <w:rFonts w:ascii="Arial" w:eastAsia="Calibri" w:hAnsi="Arial" w:cs="Arial"/>
          <w:sz w:val="20"/>
          <w:szCs w:val="20"/>
          <w:lang w:val="es-ES"/>
        </w:rPr>
        <w:t>[…]</w:t>
      </w:r>
      <w:r>
        <w:rPr>
          <w:rFonts w:ascii="Arial" w:eastAsia="Calibri" w:hAnsi="Arial" w:cs="Arial"/>
          <w:sz w:val="20"/>
          <w:szCs w:val="20"/>
          <w:lang w:val="es-ES"/>
        </w:rPr>
        <w:t xml:space="preserve"> </w:t>
      </w:r>
      <w:r w:rsidRPr="00262753">
        <w:rPr>
          <w:rFonts w:ascii="Arial" w:hAnsi="Arial" w:cs="Arial"/>
          <w:bCs/>
          <w:color w:val="000000" w:themeColor="text1"/>
          <w:sz w:val="20"/>
          <w:szCs w:val="20"/>
          <w:lang w:val="es-ES_tradnl"/>
        </w:rPr>
        <w:t>en los términos del numeral 12 del artículo 25 de la Ley 80 de 1993, modificado por el artículo 87 de la Ley 1474 de 2011. De esta manera, la falta o insuficiencia de estos estudios atenta contra el principio de planeación y puede generar responsabilidad, tanto para la entidad como para los servidores públicos a cargo del procedimiento, de conformidad con el numeral 3 del artículo 26 de la Ley 80 de 1993</w:t>
      </w:r>
      <w:r>
        <w:rPr>
          <w:rFonts w:ascii="Arial" w:hAnsi="Arial" w:cs="Arial"/>
          <w:bCs/>
          <w:color w:val="000000" w:themeColor="text1"/>
          <w:sz w:val="20"/>
          <w:szCs w:val="20"/>
          <w:lang w:val="es-ES_tradnl"/>
        </w:rPr>
        <w:t xml:space="preserve">. </w:t>
      </w:r>
    </w:p>
    <w:p w14:paraId="6E2FF59A" w14:textId="77777777" w:rsidR="00D916A3" w:rsidRDefault="00D916A3" w:rsidP="00D916A3">
      <w:pPr>
        <w:autoSpaceDE w:val="0"/>
        <w:autoSpaceDN w:val="0"/>
        <w:adjustRightInd w:val="0"/>
        <w:jc w:val="both"/>
        <w:rPr>
          <w:rFonts w:ascii="Arial" w:eastAsiaTheme="minorHAnsi" w:hAnsi="Arial" w:cs="Arial"/>
          <w:sz w:val="21"/>
          <w:szCs w:val="21"/>
          <w:lang w:val="es-MX" w:eastAsia="en-US"/>
        </w:rPr>
      </w:pPr>
    </w:p>
    <w:p w14:paraId="40EE08DC" w14:textId="77777777" w:rsidR="00D916A3" w:rsidRDefault="00D916A3" w:rsidP="00D916A3">
      <w:pPr>
        <w:rPr>
          <w:rFonts w:ascii="Arial" w:eastAsiaTheme="minorHAnsi" w:hAnsi="Arial" w:cs="Arial"/>
          <w:sz w:val="20"/>
          <w:szCs w:val="20"/>
          <w:lang w:val="es-MX" w:eastAsia="en-US"/>
        </w:rPr>
      </w:pPr>
      <w:r>
        <w:rPr>
          <w:rFonts w:ascii="Arial" w:eastAsiaTheme="minorHAnsi" w:hAnsi="Arial" w:cs="Arial"/>
          <w:sz w:val="20"/>
          <w:szCs w:val="20"/>
          <w:lang w:val="es-MX" w:eastAsia="en-US"/>
        </w:rPr>
        <w:br w:type="page"/>
      </w:r>
    </w:p>
    <w:p w14:paraId="06D6B9C4" w14:textId="77777777" w:rsidR="00D916A3" w:rsidRPr="004B27AF" w:rsidRDefault="00D916A3" w:rsidP="00D916A3">
      <w:pPr>
        <w:tabs>
          <w:tab w:val="left" w:pos="426"/>
        </w:tabs>
        <w:spacing w:line="276" w:lineRule="auto"/>
        <w:jc w:val="both"/>
        <w:rPr>
          <w:rFonts w:ascii="Arial" w:hAnsi="Arial" w:cs="Arial"/>
          <w:bCs/>
          <w:color w:val="000000" w:themeColor="text1"/>
          <w:sz w:val="21"/>
          <w:szCs w:val="21"/>
          <w:lang w:val="es-ES_tradnl"/>
        </w:rPr>
      </w:pPr>
    </w:p>
    <w:p w14:paraId="76A13F82" w14:textId="77777777" w:rsidR="00D916A3" w:rsidRPr="005C768E" w:rsidRDefault="00D916A3" w:rsidP="00D916A3">
      <w:pPr>
        <w:jc w:val="right"/>
      </w:pPr>
      <w:r w:rsidRPr="005C768E">
        <w:fldChar w:fldCharType="begin"/>
      </w:r>
      <w:r w:rsidRPr="005C768E">
        <w:instrText xml:space="preserve"> INCLUDEPICTURE "/var/folders/tb/0fmk9b510f57pz5rwhv8lnpw0000gp/T/com.microsoft.Word/WebArchiveCopyPasteTempFiles/page1image10568720" \* MERGEFORMATINET </w:instrText>
      </w:r>
      <w:r w:rsidRPr="005C768E">
        <w:fldChar w:fldCharType="separate"/>
      </w:r>
      <w:r w:rsidRPr="005C768E">
        <w:rPr>
          <w:noProof/>
        </w:rPr>
        <w:drawing>
          <wp:inline distT="0" distB="0" distL="0" distR="0" wp14:anchorId="11EAEB31" wp14:editId="7C4D68ED">
            <wp:extent cx="2407285" cy="605155"/>
            <wp:effectExtent l="0" t="0" r="5715" b="4445"/>
            <wp:docPr id="1" name="Imagen 1" descr="page1image1056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5687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285" cy="605155"/>
                    </a:xfrm>
                    <a:prstGeom prst="rect">
                      <a:avLst/>
                    </a:prstGeom>
                    <a:noFill/>
                    <a:ln>
                      <a:noFill/>
                    </a:ln>
                  </pic:spPr>
                </pic:pic>
              </a:graphicData>
            </a:graphic>
          </wp:inline>
        </w:drawing>
      </w:r>
      <w:r w:rsidRPr="005C768E">
        <w:fldChar w:fldCharType="end"/>
      </w:r>
    </w:p>
    <w:p w14:paraId="230E5DFB" w14:textId="77777777" w:rsidR="00D916A3" w:rsidRPr="006C15D5" w:rsidRDefault="00D916A3" w:rsidP="00D916A3">
      <w:pPr>
        <w:rPr>
          <w:rFonts w:ascii="Arial" w:hAnsi="Arial" w:cs="Arial"/>
          <w:b/>
          <w:color w:val="000000" w:themeColor="text1"/>
          <w:sz w:val="22"/>
        </w:rPr>
      </w:pPr>
    </w:p>
    <w:p w14:paraId="7938347B" w14:textId="77777777" w:rsidR="00D916A3" w:rsidRPr="006C15D5" w:rsidRDefault="00D916A3" w:rsidP="00D916A3">
      <w:pPr>
        <w:rPr>
          <w:rFonts w:ascii="Arial" w:eastAsia="Calibri" w:hAnsi="Arial" w:cs="Arial"/>
          <w:color w:val="000000" w:themeColor="text1"/>
          <w:sz w:val="22"/>
        </w:rPr>
      </w:pPr>
      <w:r w:rsidRPr="006C15D5">
        <w:rPr>
          <w:rFonts w:ascii="Arial" w:eastAsia="Calibri" w:hAnsi="Arial" w:cs="Arial"/>
          <w:color w:val="000000" w:themeColor="text1"/>
          <w:sz w:val="22"/>
        </w:rPr>
        <w:t>Señor</w:t>
      </w:r>
      <w:r>
        <w:rPr>
          <w:rFonts w:ascii="Arial" w:eastAsia="Calibri" w:hAnsi="Arial" w:cs="Arial"/>
          <w:color w:val="000000" w:themeColor="text1"/>
          <w:sz w:val="22"/>
        </w:rPr>
        <w:t>es</w:t>
      </w:r>
    </w:p>
    <w:p w14:paraId="7C424BC4" w14:textId="77777777" w:rsidR="00D916A3" w:rsidRPr="006C15D5" w:rsidRDefault="00D916A3" w:rsidP="00D916A3">
      <w:pPr>
        <w:rPr>
          <w:rFonts w:ascii="Arial" w:eastAsia="Calibri" w:hAnsi="Arial" w:cs="Arial"/>
          <w:color w:val="000000" w:themeColor="text1"/>
          <w:sz w:val="22"/>
        </w:rPr>
      </w:pPr>
      <w:r>
        <w:rPr>
          <w:rFonts w:ascii="Arial" w:eastAsia="Calibri" w:hAnsi="Arial" w:cs="Arial"/>
          <w:bCs/>
          <w:color w:val="000000" w:themeColor="text1"/>
          <w:sz w:val="22"/>
        </w:rPr>
        <w:t xml:space="preserve">Bogotá, D.C. </w:t>
      </w:r>
    </w:p>
    <w:p w14:paraId="16618C6D" w14:textId="77777777" w:rsidR="00D916A3" w:rsidRDefault="00D916A3" w:rsidP="00D916A3">
      <w:pPr>
        <w:rPr>
          <w:rFonts w:ascii="Arial" w:eastAsia="Calibri" w:hAnsi="Arial" w:cs="Arial"/>
          <w:color w:val="000000" w:themeColor="text1"/>
          <w:sz w:val="22"/>
        </w:rPr>
      </w:pPr>
    </w:p>
    <w:p w14:paraId="3754EC91" w14:textId="77777777" w:rsidR="00D916A3" w:rsidRPr="006C15D5" w:rsidRDefault="00D916A3" w:rsidP="00D916A3">
      <w:pPr>
        <w:rPr>
          <w:rFonts w:ascii="Arial" w:eastAsia="Calibri" w:hAnsi="Arial" w:cs="Arial"/>
          <w:color w:val="000000" w:themeColor="text1"/>
          <w:sz w:val="22"/>
        </w:rPr>
      </w:pPr>
    </w:p>
    <w:p w14:paraId="50044EA4" w14:textId="77777777" w:rsidR="00D916A3" w:rsidRPr="006C15D5" w:rsidRDefault="00D916A3" w:rsidP="00D916A3">
      <w:pPr>
        <w:ind w:firstLine="2552"/>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047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5049CCDC" w14:textId="77777777" w:rsidR="00D916A3" w:rsidRPr="006C15D5" w:rsidRDefault="00D916A3" w:rsidP="00D916A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916A3" w:rsidRPr="00E96F75" w14:paraId="7D3D2103" w14:textId="77777777" w:rsidTr="000D046A">
        <w:tc>
          <w:tcPr>
            <w:tcW w:w="2552" w:type="dxa"/>
            <w:hideMark/>
          </w:tcPr>
          <w:p w14:paraId="3A44E140" w14:textId="77777777" w:rsidR="00D916A3" w:rsidRPr="006C15D5" w:rsidRDefault="00D916A3" w:rsidP="000D046A">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7F82191B" w14:textId="77777777" w:rsidR="00D916A3" w:rsidRPr="006C15D5" w:rsidRDefault="00D916A3" w:rsidP="000D046A">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3D0A1E3D" w14:textId="77777777" w:rsidR="00D916A3" w:rsidRPr="007056C6" w:rsidRDefault="00D916A3" w:rsidP="000D046A">
            <w:pPr>
              <w:jc w:val="both"/>
              <w:rPr>
                <w:rFonts w:ascii="Arial" w:eastAsia="Calibri" w:hAnsi="Arial" w:cs="Arial"/>
                <w:color w:val="000000" w:themeColor="text1"/>
              </w:rPr>
            </w:pPr>
            <w:r w:rsidRPr="00322B68">
              <w:rPr>
                <w:rFonts w:ascii="Arial" w:eastAsia="Calibri" w:hAnsi="Arial" w:cs="Arial"/>
              </w:rPr>
              <w:t xml:space="preserve">RÉGIMEN DE INHABILIDADES – Definición – Limitación a capacidad / </w:t>
            </w:r>
            <w:r w:rsidRPr="00322B68">
              <w:rPr>
                <w:rFonts w:ascii="Arial" w:eastAsia="Calibri" w:hAnsi="Arial" w:cs="Arial"/>
                <w:lang w:val="es-ES"/>
              </w:rPr>
              <w:t xml:space="preserve">INHABILIDADES – Taxatividad – Principio de legalidad – Interpretación restrictiva / INHABILIDADES – Clasificación / </w:t>
            </w:r>
            <w:r w:rsidRPr="00322B68">
              <w:rPr>
                <w:rFonts w:ascii="Arial" w:eastAsia="Calibri" w:hAnsi="Arial" w:cs="Arial"/>
              </w:rPr>
              <w:t>CONTRATACIÓN DE OBRA PÚBLICA– estudios y diseños</w:t>
            </w:r>
          </w:p>
          <w:p w14:paraId="4836E6B2" w14:textId="77777777" w:rsidR="00D916A3" w:rsidRPr="00E96F75" w:rsidRDefault="00D916A3" w:rsidP="000D046A">
            <w:pPr>
              <w:spacing w:line="276" w:lineRule="auto"/>
              <w:jc w:val="both"/>
              <w:rPr>
                <w:rFonts w:ascii="Arial" w:eastAsia="Calibri" w:hAnsi="Arial" w:cs="Arial"/>
                <w:bCs/>
                <w:color w:val="000000" w:themeColor="text1"/>
                <w:lang w:val="es-ES_tradnl"/>
              </w:rPr>
            </w:pPr>
          </w:p>
        </w:tc>
      </w:tr>
      <w:tr w:rsidR="00D916A3" w:rsidRPr="00E96F75" w14:paraId="19819BDB" w14:textId="77777777" w:rsidTr="000D046A">
        <w:tc>
          <w:tcPr>
            <w:tcW w:w="2552" w:type="dxa"/>
          </w:tcPr>
          <w:p w14:paraId="2D2874F0" w14:textId="77777777" w:rsidR="00D916A3" w:rsidRPr="006C15D5" w:rsidRDefault="00D916A3" w:rsidP="000D046A">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041AF6FB" w14:textId="77777777" w:rsidR="00D916A3" w:rsidRPr="00E96F75" w:rsidRDefault="00D916A3" w:rsidP="000D046A">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P2021012</w:t>
            </w:r>
            <w:r>
              <w:rPr>
                <w:rFonts w:ascii="Arial" w:eastAsia="Calibri" w:hAnsi="Arial" w:cs="Arial"/>
                <w:bCs/>
                <w:color w:val="000000" w:themeColor="text1"/>
              </w:rPr>
              <w:t>5</w:t>
            </w:r>
            <w:r w:rsidRPr="00E96F75">
              <w:rPr>
                <w:rFonts w:ascii="Arial" w:eastAsia="Calibri" w:hAnsi="Arial" w:cs="Arial"/>
                <w:bCs/>
                <w:color w:val="000000" w:themeColor="text1"/>
              </w:rPr>
              <w:t>000</w:t>
            </w:r>
            <w:r>
              <w:rPr>
                <w:rFonts w:ascii="Arial" w:eastAsia="Calibri" w:hAnsi="Arial" w:cs="Arial"/>
                <w:bCs/>
                <w:color w:val="000000" w:themeColor="text1"/>
              </w:rPr>
              <w:t>544</w:t>
            </w:r>
          </w:p>
        </w:tc>
      </w:tr>
      <w:tr w:rsidR="00D916A3" w:rsidRPr="003F6D32" w14:paraId="4BA20A02" w14:textId="77777777" w:rsidTr="000D046A">
        <w:trPr>
          <w:trHeight w:val="80"/>
        </w:trPr>
        <w:tc>
          <w:tcPr>
            <w:tcW w:w="2552" w:type="dxa"/>
          </w:tcPr>
          <w:p w14:paraId="1C44DB88" w14:textId="77777777" w:rsidR="00D916A3" w:rsidRPr="006C15D5" w:rsidRDefault="00D916A3" w:rsidP="000D046A">
            <w:pPr>
              <w:spacing w:before="120"/>
              <w:rPr>
                <w:rFonts w:ascii="Arial" w:eastAsia="Calibri" w:hAnsi="Arial" w:cs="Arial"/>
                <w:b/>
                <w:color w:val="000000" w:themeColor="text1"/>
              </w:rPr>
            </w:pPr>
          </w:p>
        </w:tc>
        <w:tc>
          <w:tcPr>
            <w:tcW w:w="6374" w:type="dxa"/>
          </w:tcPr>
          <w:p w14:paraId="18A6A203" w14:textId="77777777" w:rsidR="00D916A3" w:rsidRPr="006C15D5" w:rsidRDefault="00D916A3" w:rsidP="000D046A">
            <w:pPr>
              <w:spacing w:before="120"/>
              <w:jc w:val="both"/>
              <w:rPr>
                <w:rFonts w:ascii="Arial" w:eastAsia="Calibri" w:hAnsi="Arial" w:cs="Arial"/>
                <w:color w:val="000000" w:themeColor="text1"/>
              </w:rPr>
            </w:pPr>
          </w:p>
        </w:tc>
      </w:tr>
    </w:tbl>
    <w:p w14:paraId="2266BC0E" w14:textId="77777777" w:rsidR="00D916A3" w:rsidRPr="006C15D5" w:rsidRDefault="00D916A3" w:rsidP="00D916A3">
      <w:pPr>
        <w:jc w:val="both"/>
        <w:rPr>
          <w:rFonts w:ascii="Arial" w:eastAsia="Calibri" w:hAnsi="Arial" w:cs="Arial"/>
          <w:color w:val="000000" w:themeColor="text1"/>
          <w:sz w:val="22"/>
        </w:rPr>
      </w:pPr>
    </w:p>
    <w:p w14:paraId="5A4929F2" w14:textId="77777777" w:rsidR="00D916A3" w:rsidRPr="006C15D5" w:rsidRDefault="00D916A3" w:rsidP="00D916A3">
      <w:pPr>
        <w:rPr>
          <w:rFonts w:ascii="Arial" w:eastAsia="Calibri" w:hAnsi="Arial" w:cs="Arial"/>
          <w:color w:val="000000" w:themeColor="text1"/>
          <w:sz w:val="22"/>
        </w:rPr>
      </w:pPr>
      <w:r w:rsidRPr="006C15D5">
        <w:rPr>
          <w:rFonts w:ascii="Arial" w:eastAsia="Calibri" w:hAnsi="Arial" w:cs="Arial"/>
          <w:color w:val="000000" w:themeColor="text1"/>
          <w:sz w:val="22"/>
        </w:rPr>
        <w:t>Estima</w:t>
      </w:r>
      <w:r>
        <w:rPr>
          <w:rFonts w:ascii="Arial" w:eastAsia="Calibri" w:hAnsi="Arial" w:cs="Arial"/>
          <w:color w:val="000000" w:themeColor="text1"/>
          <w:sz w:val="22"/>
        </w:rPr>
        <w:t>dos señores</w:t>
      </w:r>
      <w:r w:rsidRPr="006C15D5">
        <w:rPr>
          <w:rFonts w:ascii="Arial" w:eastAsia="Calibri" w:hAnsi="Arial" w:cs="Arial"/>
          <w:color w:val="000000" w:themeColor="text1"/>
          <w:sz w:val="22"/>
        </w:rPr>
        <w:t>:</w:t>
      </w:r>
    </w:p>
    <w:p w14:paraId="43DAFFFB" w14:textId="77777777" w:rsidR="00D916A3" w:rsidRPr="006C15D5" w:rsidRDefault="00D916A3" w:rsidP="00D916A3">
      <w:pPr>
        <w:rPr>
          <w:rFonts w:ascii="Arial" w:eastAsia="Calibri" w:hAnsi="Arial" w:cs="Arial"/>
          <w:color w:val="000000" w:themeColor="text1"/>
          <w:sz w:val="22"/>
        </w:rPr>
      </w:pPr>
    </w:p>
    <w:p w14:paraId="439B1C92" w14:textId="77777777" w:rsidR="00D916A3" w:rsidRPr="006C15D5" w:rsidRDefault="00D916A3" w:rsidP="00D916A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25 de enero de 2021. </w:t>
      </w:r>
    </w:p>
    <w:p w14:paraId="30A3E575" w14:textId="77777777" w:rsidR="00D916A3" w:rsidRPr="006C15D5" w:rsidRDefault="00D916A3" w:rsidP="00D916A3">
      <w:pPr>
        <w:spacing w:line="276" w:lineRule="auto"/>
        <w:jc w:val="both"/>
        <w:rPr>
          <w:rFonts w:ascii="Arial" w:eastAsia="Calibri" w:hAnsi="Arial" w:cs="Arial"/>
          <w:color w:val="000000" w:themeColor="text1"/>
          <w:sz w:val="22"/>
        </w:rPr>
      </w:pPr>
    </w:p>
    <w:p w14:paraId="1AA679DF" w14:textId="77777777" w:rsidR="00D916A3" w:rsidRPr="00F61ACC" w:rsidRDefault="00D916A3" w:rsidP="00D916A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7F9E149C" w14:textId="77777777" w:rsidR="00D916A3" w:rsidRDefault="00D916A3" w:rsidP="00D916A3">
      <w:pPr>
        <w:autoSpaceDE w:val="0"/>
        <w:autoSpaceDN w:val="0"/>
        <w:adjustRightInd w:val="0"/>
        <w:spacing w:line="276" w:lineRule="auto"/>
        <w:jc w:val="both"/>
        <w:rPr>
          <w:rFonts w:ascii="Arial" w:eastAsia="Calibri" w:hAnsi="Arial" w:cs="Arial"/>
          <w:color w:val="000000" w:themeColor="text1"/>
          <w:sz w:val="22"/>
        </w:rPr>
      </w:pPr>
    </w:p>
    <w:p w14:paraId="6E899224" w14:textId="77777777" w:rsidR="00D916A3" w:rsidRPr="00B81C07" w:rsidRDefault="00D916A3" w:rsidP="00D916A3">
      <w:pPr>
        <w:autoSpaceDE w:val="0"/>
        <w:autoSpaceDN w:val="0"/>
        <w:adjustRightInd w:val="0"/>
        <w:spacing w:line="276" w:lineRule="auto"/>
        <w:jc w:val="both"/>
        <w:rPr>
          <w:rFonts w:ascii="Arial" w:eastAsia="Calibri" w:hAnsi="Arial" w:cs="Arial"/>
          <w:color w:val="000000" w:themeColor="text1"/>
          <w:sz w:val="22"/>
          <w:szCs w:val="22"/>
          <w:lang w:val="es-ES"/>
        </w:rPr>
      </w:pPr>
      <w:r w:rsidRPr="00C56D20">
        <w:rPr>
          <w:rFonts w:ascii="Arial" w:eastAsia="Calibri" w:hAnsi="Arial" w:cs="Arial"/>
          <w:color w:val="000000" w:themeColor="text1"/>
          <w:sz w:val="22"/>
        </w:rPr>
        <w:t>Usted realiza la</w:t>
      </w:r>
      <w:r>
        <w:rPr>
          <w:rFonts w:ascii="Arial" w:eastAsia="Calibri" w:hAnsi="Arial" w:cs="Arial"/>
          <w:color w:val="000000" w:themeColor="text1"/>
          <w:sz w:val="22"/>
        </w:rPr>
        <w:t>s</w:t>
      </w:r>
      <w:r w:rsidRPr="00C56D20">
        <w:rPr>
          <w:rFonts w:ascii="Arial" w:eastAsia="Calibri" w:hAnsi="Arial" w:cs="Arial"/>
          <w:color w:val="000000" w:themeColor="text1"/>
          <w:sz w:val="22"/>
        </w:rPr>
        <w:t xml:space="preserve"> siguiente</w:t>
      </w:r>
      <w:r>
        <w:rPr>
          <w:rFonts w:ascii="Arial" w:eastAsia="Calibri" w:hAnsi="Arial" w:cs="Arial"/>
          <w:color w:val="000000" w:themeColor="text1"/>
          <w:sz w:val="22"/>
        </w:rPr>
        <w:t>s</w:t>
      </w:r>
      <w:r w:rsidRPr="00C56D20">
        <w:rPr>
          <w:rFonts w:ascii="Arial" w:eastAsia="Calibri" w:hAnsi="Arial" w:cs="Arial"/>
          <w:color w:val="000000" w:themeColor="text1"/>
          <w:sz w:val="22"/>
        </w:rPr>
        <w:t xml:space="preserve"> pregun</w:t>
      </w:r>
      <w:r w:rsidRPr="005852AA">
        <w:rPr>
          <w:rFonts w:ascii="Arial" w:eastAsia="Calibri" w:hAnsi="Arial" w:cs="Arial"/>
          <w:color w:val="000000" w:themeColor="text1"/>
          <w:sz w:val="22"/>
          <w:szCs w:val="22"/>
        </w:rPr>
        <w:t>ta</w:t>
      </w:r>
      <w:r>
        <w:rPr>
          <w:rFonts w:ascii="Arial" w:eastAsia="Calibri" w:hAnsi="Arial" w:cs="Arial"/>
          <w:color w:val="000000" w:themeColor="text1"/>
          <w:sz w:val="22"/>
          <w:szCs w:val="22"/>
        </w:rPr>
        <w:t>s</w:t>
      </w:r>
      <w:r w:rsidRPr="005852AA">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i</w:t>
      </w:r>
      <w:r w:rsidRPr="00064944">
        <w:rPr>
          <w:rFonts w:ascii="Arial" w:eastAsia="Calibri" w:hAnsi="Arial" w:cs="Arial"/>
          <w:color w:val="000000" w:themeColor="text1"/>
          <w:sz w:val="22"/>
          <w:szCs w:val="22"/>
        </w:rPr>
        <w:t xml:space="preserve">) </w:t>
      </w:r>
      <w:r w:rsidRPr="00064944">
        <w:rPr>
          <w:rFonts w:ascii="Arial" w:eastAsia="Calibri" w:hAnsi="Arial" w:cs="Arial"/>
          <w:color w:val="000000" w:themeColor="text1"/>
          <w:sz w:val="22"/>
          <w:szCs w:val="22"/>
          <w:lang w:val="es-ES"/>
        </w:rPr>
        <w:t>«</w:t>
      </w:r>
      <w:r w:rsidRPr="00064944">
        <w:rPr>
          <w:rFonts w:ascii="Arial" w:hAnsi="Arial" w:cs="Arial"/>
          <w:color w:val="000000" w:themeColor="text1"/>
          <w:sz w:val="22"/>
          <w:szCs w:val="22"/>
          <w:lang w:val="es-ES"/>
        </w:rPr>
        <w:t>¿</w:t>
      </w:r>
      <w:r w:rsidRPr="00B81C07">
        <w:rPr>
          <w:rFonts w:ascii="Arial" w:eastAsiaTheme="minorHAnsi" w:hAnsi="Arial" w:cs="Arial"/>
          <w:sz w:val="22"/>
          <w:szCs w:val="22"/>
          <w:lang w:val="es-MX" w:eastAsia="en-US"/>
        </w:rPr>
        <w:t>Quién haya diseñado un proyecto, se encuentra incurso en inhabilidad para contratar e implementar los planos diseñados por este?</w:t>
      </w:r>
      <w:r w:rsidRPr="00064944">
        <w:rPr>
          <w:rFonts w:ascii="Arial" w:eastAsia="Calibri" w:hAnsi="Arial" w:cs="Arial"/>
          <w:color w:val="000000" w:themeColor="text1"/>
          <w:sz w:val="22"/>
          <w:szCs w:val="22"/>
          <w:lang w:val="es-ES"/>
        </w:rPr>
        <w:t>»</w:t>
      </w:r>
      <w:r>
        <w:rPr>
          <w:rFonts w:ascii="Arial" w:eastAsia="Calibri" w:hAnsi="Arial" w:cs="Arial"/>
          <w:color w:val="000000" w:themeColor="text1"/>
          <w:sz w:val="22"/>
          <w:szCs w:val="22"/>
          <w:lang w:val="es-ES"/>
        </w:rPr>
        <w:t xml:space="preserve">. Y </w:t>
      </w:r>
      <w:r w:rsidRPr="00064944">
        <w:rPr>
          <w:rFonts w:ascii="Arial" w:eastAsia="Calibri" w:hAnsi="Arial" w:cs="Arial"/>
          <w:color w:val="000000" w:themeColor="text1"/>
          <w:sz w:val="22"/>
          <w:szCs w:val="22"/>
          <w:lang w:val="es-ES"/>
        </w:rPr>
        <w:t>ii) «</w:t>
      </w:r>
      <w:r w:rsidRPr="00B81C07">
        <w:rPr>
          <w:rFonts w:ascii="Arial" w:eastAsiaTheme="minorHAnsi" w:hAnsi="Arial" w:cs="Arial"/>
          <w:sz w:val="22"/>
          <w:szCs w:val="22"/>
          <w:lang w:val="es-MX" w:eastAsia="en-US"/>
        </w:rPr>
        <w:t>¿En caso de ser contratista de obra de una Entidad ¿El contratista puede ser adjudicatario de un contrato de Estudios y Diseños (Consultoría) con la misma Entidad? O ¿figura (sic) alguna Inhabilidad Sobreviniente</w:t>
      </w:r>
      <w:r w:rsidRPr="00064944">
        <w:rPr>
          <w:rFonts w:ascii="Arial" w:hAnsi="Arial" w:cs="Arial"/>
          <w:color w:val="000000" w:themeColor="text1"/>
          <w:sz w:val="22"/>
          <w:szCs w:val="22"/>
          <w:lang w:val="es-ES"/>
        </w:rPr>
        <w:t>?</w:t>
      </w:r>
      <w:r w:rsidRPr="00064944">
        <w:rPr>
          <w:rFonts w:ascii="Arial" w:eastAsia="Calibri" w:hAnsi="Arial" w:cs="Arial"/>
          <w:color w:val="000000" w:themeColor="text1"/>
          <w:sz w:val="22"/>
          <w:szCs w:val="22"/>
          <w:lang w:val="es-ES"/>
        </w:rPr>
        <w:t>».</w:t>
      </w:r>
    </w:p>
    <w:p w14:paraId="2EB85774" w14:textId="77777777" w:rsidR="00D916A3" w:rsidRPr="00064944" w:rsidRDefault="00D916A3" w:rsidP="00D916A3">
      <w:pPr>
        <w:pStyle w:val="xxmsonospacing"/>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70FFD807" w14:textId="77777777" w:rsidR="00D916A3" w:rsidRDefault="00D916A3" w:rsidP="00D916A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20F6B0C" w14:textId="77777777" w:rsidR="00D916A3" w:rsidRDefault="00D916A3" w:rsidP="00D916A3">
      <w:pPr>
        <w:tabs>
          <w:tab w:val="left" w:pos="426"/>
        </w:tabs>
        <w:spacing w:line="276" w:lineRule="auto"/>
        <w:jc w:val="both"/>
        <w:rPr>
          <w:rFonts w:ascii="Arial" w:eastAsia="Calibri" w:hAnsi="Arial" w:cs="Arial"/>
          <w:b/>
          <w:color w:val="000000" w:themeColor="text1"/>
          <w:sz w:val="22"/>
        </w:rPr>
      </w:pPr>
    </w:p>
    <w:p w14:paraId="448A716B" w14:textId="77777777" w:rsidR="00D916A3" w:rsidRPr="0040093D" w:rsidRDefault="00D916A3" w:rsidP="00D916A3">
      <w:pPr>
        <w:tabs>
          <w:tab w:val="left" w:pos="426"/>
        </w:tabs>
        <w:spacing w:after="120" w:line="276" w:lineRule="auto"/>
        <w:jc w:val="both"/>
        <w:rPr>
          <w:rFonts w:ascii="Arial" w:hAnsi="Arial" w:cs="Arial"/>
          <w:color w:val="000000" w:themeColor="text1"/>
          <w:sz w:val="22"/>
          <w:lang w:val="es-ES_tradnl"/>
        </w:rPr>
      </w:pPr>
      <w:r w:rsidRPr="00410AF1">
        <w:rPr>
          <w:rFonts w:ascii="Arial" w:eastAsia="Calibri" w:hAnsi="Arial" w:cs="Arial"/>
          <w:bCs/>
          <w:color w:val="000000" w:themeColor="text1"/>
          <w:sz w:val="22"/>
        </w:rPr>
        <w:t>Para responder a sus interrogantes se estudiarán los siguientes t</w:t>
      </w:r>
      <w:r>
        <w:rPr>
          <w:rFonts w:ascii="Arial" w:eastAsia="Calibri" w:hAnsi="Arial" w:cs="Arial"/>
          <w:bCs/>
          <w:color w:val="000000" w:themeColor="text1"/>
          <w:sz w:val="22"/>
        </w:rPr>
        <w:t>emas</w:t>
      </w:r>
      <w:r w:rsidRPr="00410AF1">
        <w:rPr>
          <w:rFonts w:ascii="Arial" w:eastAsia="Calibri" w:hAnsi="Arial" w:cs="Arial"/>
          <w:bCs/>
          <w:color w:val="000000" w:themeColor="text1"/>
          <w:sz w:val="22"/>
        </w:rPr>
        <w:t xml:space="preserve">: i) </w:t>
      </w:r>
      <w:r>
        <w:rPr>
          <w:rFonts w:ascii="Arial" w:eastAsia="Calibri" w:hAnsi="Arial" w:cs="Arial"/>
          <w:bCs/>
          <w:color w:val="000000" w:themeColor="text1"/>
          <w:sz w:val="22"/>
        </w:rPr>
        <w:t>el régimen</w:t>
      </w:r>
      <w:r>
        <w:rPr>
          <w:rFonts w:ascii="Arial" w:hAnsi="Arial" w:cs="Arial"/>
          <w:bCs/>
          <w:sz w:val="22"/>
          <w:lang w:val="es-ES_tradnl"/>
        </w:rPr>
        <w:t xml:space="preserve"> de inhabilidades e incompatibilidades para contratar con el Estado</w:t>
      </w:r>
      <w:r>
        <w:rPr>
          <w:rFonts w:ascii="Arial" w:eastAsia="Calibri" w:hAnsi="Arial" w:cs="Arial"/>
          <w:bCs/>
          <w:color w:val="000000" w:themeColor="text1"/>
          <w:sz w:val="22"/>
        </w:rPr>
        <w:t>,</w:t>
      </w:r>
      <w:r w:rsidRPr="00410AF1">
        <w:rPr>
          <w:rFonts w:ascii="Arial" w:eastAsia="Calibri" w:hAnsi="Arial" w:cs="Arial"/>
          <w:bCs/>
          <w:color w:val="000000" w:themeColor="text1"/>
          <w:sz w:val="22"/>
        </w:rPr>
        <w:t xml:space="preserve"> ii) </w:t>
      </w:r>
      <w:r>
        <w:rPr>
          <w:rFonts w:ascii="Arial" w:eastAsia="Calibri" w:hAnsi="Arial" w:cs="Arial"/>
          <w:bCs/>
          <w:color w:val="000000" w:themeColor="text1"/>
          <w:sz w:val="22"/>
        </w:rPr>
        <w:t xml:space="preserve">los estudios y diseños para la construcción de una obra pública y iii) la posibilidad de que el contratista que elaboró los diseños y estudios de obra participe en el proceso contractual de escogencia del contratista que ejecutará la obra y/o que este último realice los estudios y diseños. </w:t>
      </w:r>
    </w:p>
    <w:p w14:paraId="0E2DE958" w14:textId="77777777" w:rsidR="00D916A3" w:rsidRDefault="00D916A3" w:rsidP="00D916A3">
      <w:pPr>
        <w:tabs>
          <w:tab w:val="left" w:pos="426"/>
          <w:tab w:val="left" w:pos="851"/>
        </w:tabs>
        <w:spacing w:after="120" w:line="276" w:lineRule="auto"/>
        <w:ind w:firstLine="709"/>
        <w:jc w:val="both"/>
        <w:rPr>
          <w:rFonts w:ascii="Arial" w:eastAsia="Calibri" w:hAnsi="Arial" w:cs="Arial"/>
          <w:sz w:val="22"/>
          <w:lang w:val="es-ES"/>
        </w:rPr>
      </w:pPr>
      <w:bookmarkStart w:id="0" w:name="_Hlk38448224"/>
      <w:r w:rsidRPr="00A23E33">
        <w:rPr>
          <w:rFonts w:ascii="Arial" w:hAnsi="Arial" w:cs="Arial"/>
          <w:sz w:val="22"/>
          <w:lang w:val="es-ES_tradnl"/>
        </w:rPr>
        <w:lastRenderedPageBreak/>
        <w:t>La Agencia Nacional de Contratación Pública – Colombia Compra Eficiente</w:t>
      </w:r>
      <w:r>
        <w:rPr>
          <w:rFonts w:ascii="Arial" w:hAnsi="Arial" w:cs="Arial"/>
          <w:sz w:val="22"/>
          <w:lang w:val="es-ES_tradnl"/>
        </w:rPr>
        <w:t>,</w:t>
      </w:r>
      <w:r w:rsidRPr="00A23E33">
        <w:rPr>
          <w:rFonts w:ascii="Arial" w:hAnsi="Arial" w:cs="Arial"/>
          <w:sz w:val="22"/>
          <w:lang w:val="es-ES"/>
        </w:rPr>
        <w:t xml:space="preserve"> </w:t>
      </w:r>
      <w:r w:rsidRPr="00A23E33">
        <w:rPr>
          <w:rFonts w:ascii="Arial" w:eastAsia="Calibri" w:hAnsi="Arial" w:cs="Arial"/>
          <w:sz w:val="22"/>
          <w:lang w:val="es-ES"/>
        </w:rPr>
        <w:t>en los Conceptos con radicado número 4201912000003592 del 28 de agosto de 2019</w:t>
      </w:r>
      <w:r w:rsidRPr="001B30CA">
        <w:rPr>
          <w:rFonts w:ascii="Arial" w:eastAsia="Calibri" w:hAnsi="Arial" w:cs="Arial"/>
          <w:sz w:val="22"/>
          <w:lang w:val="es-ES"/>
        </w:rPr>
        <w:t>, 4201913000005649 del 17 septiembre de 2019, 4201912000006692 del 12 de noviembre de 2019, 4201913000006917 del 21 de noviembre de 2019, C ─ 001 del 23 de abril de 2020, C ─ 007 del 4 de mayo de 2020, C ─ 011 del 27 de abril de 2020, C ─ 085 del 4 de marzo de 2020, C ─ 090 del 24 de febrero de 2020, C ─ 157 de 2020 del 16 de marzo de 2020, C ─ 239 de 2020 del 16 de abril de 2020, C ─ 246 de 2020 del 3 de abril de 2020, C – 273 de 2020 del 21 de mayo de 2020, C – 402 del 26 de junio de 2020,</w:t>
      </w:r>
      <w:r>
        <w:rPr>
          <w:rFonts w:ascii="Arial" w:eastAsia="Calibri" w:hAnsi="Arial" w:cs="Arial"/>
          <w:sz w:val="22"/>
          <w:lang w:val="es-ES"/>
        </w:rPr>
        <w:t xml:space="preserve"> C – 580 del 21 de septiembre de 2020, C – 585, C – 592 del 14 de septiembre de 2020 y C-792 de 21 de enero de 2021, </w:t>
      </w:r>
      <w:r w:rsidRPr="001B30CA">
        <w:rPr>
          <w:rFonts w:ascii="Arial" w:eastAsia="Calibri" w:hAnsi="Arial" w:cs="Arial"/>
          <w:sz w:val="22"/>
          <w:lang w:val="es-ES"/>
        </w:rPr>
        <w:t xml:space="preserve">estudió la naturaleza jurídica del régimen de inhabilidades e incompatibilidades para contratar con el Estado, como límite a la capacidad contractual, así como los criterios de </w:t>
      </w:r>
      <w:r>
        <w:rPr>
          <w:rFonts w:ascii="Arial" w:eastAsia="Calibri" w:hAnsi="Arial" w:cs="Arial"/>
          <w:sz w:val="22"/>
          <w:lang w:val="es-ES"/>
        </w:rPr>
        <w:t xml:space="preserve">su </w:t>
      </w:r>
      <w:r w:rsidRPr="001B30CA">
        <w:rPr>
          <w:rFonts w:ascii="Arial" w:eastAsia="Calibri" w:hAnsi="Arial" w:cs="Arial"/>
          <w:sz w:val="22"/>
          <w:lang w:val="es-ES"/>
        </w:rPr>
        <w:t>interpretación</w:t>
      </w:r>
      <w:r>
        <w:rPr>
          <w:rFonts w:ascii="Arial" w:eastAsia="Calibri" w:hAnsi="Arial" w:cs="Arial"/>
          <w:sz w:val="22"/>
          <w:lang w:val="es-ES"/>
        </w:rPr>
        <w:t xml:space="preserve">. </w:t>
      </w:r>
      <w:r w:rsidRPr="001B30CA">
        <w:rPr>
          <w:rFonts w:ascii="Arial" w:eastAsia="Calibri" w:hAnsi="Arial" w:cs="Arial"/>
          <w:sz w:val="22"/>
          <w:lang w:val="es-ES"/>
        </w:rPr>
        <w:t>La</w:t>
      </w:r>
      <w:r>
        <w:rPr>
          <w:rFonts w:ascii="Arial" w:eastAsia="Calibri" w:hAnsi="Arial" w:cs="Arial"/>
          <w:sz w:val="22"/>
          <w:lang w:val="es-ES"/>
        </w:rPr>
        <w:t>s</w:t>
      </w:r>
      <w:r w:rsidRPr="001B30CA">
        <w:rPr>
          <w:rFonts w:ascii="Arial" w:eastAsia="Calibri" w:hAnsi="Arial" w:cs="Arial"/>
          <w:sz w:val="22"/>
          <w:lang w:val="es-ES"/>
        </w:rPr>
        <w:t xml:space="preserve"> tesis desarrollada</w:t>
      </w:r>
      <w:r>
        <w:rPr>
          <w:rFonts w:ascii="Arial" w:eastAsia="Calibri" w:hAnsi="Arial" w:cs="Arial"/>
          <w:sz w:val="22"/>
          <w:lang w:val="es-ES"/>
        </w:rPr>
        <w:t>s</w:t>
      </w:r>
      <w:r w:rsidRPr="001B30CA">
        <w:rPr>
          <w:rFonts w:ascii="Arial" w:eastAsia="Calibri" w:hAnsi="Arial" w:cs="Arial"/>
          <w:sz w:val="22"/>
          <w:lang w:val="es-ES"/>
        </w:rPr>
        <w:t xml:space="preserve"> en estos conceptos se </w:t>
      </w:r>
      <w:r>
        <w:rPr>
          <w:rFonts w:ascii="Arial" w:eastAsia="Calibri" w:hAnsi="Arial" w:cs="Arial"/>
          <w:sz w:val="22"/>
          <w:lang w:val="es-ES"/>
        </w:rPr>
        <w:t xml:space="preserve">reiteran </w:t>
      </w:r>
      <w:r w:rsidRPr="001B30CA">
        <w:rPr>
          <w:rFonts w:ascii="Arial" w:eastAsia="Calibri" w:hAnsi="Arial" w:cs="Arial"/>
          <w:sz w:val="22"/>
          <w:lang w:val="es-ES"/>
        </w:rPr>
        <w:t>a continuación</w:t>
      </w:r>
      <w:bookmarkEnd w:id="0"/>
      <w:r>
        <w:rPr>
          <w:rFonts w:ascii="Arial" w:eastAsia="Calibri" w:hAnsi="Arial" w:cs="Arial"/>
          <w:sz w:val="22"/>
          <w:lang w:val="es-ES"/>
        </w:rPr>
        <w:t xml:space="preserve">. </w:t>
      </w:r>
    </w:p>
    <w:p w14:paraId="125D95C9" w14:textId="77777777" w:rsidR="00D916A3" w:rsidRPr="00892CDC" w:rsidRDefault="00D916A3" w:rsidP="00D916A3">
      <w:pPr>
        <w:tabs>
          <w:tab w:val="left" w:pos="426"/>
          <w:tab w:val="left" w:pos="851"/>
        </w:tabs>
        <w:spacing w:line="276" w:lineRule="auto"/>
        <w:ind w:firstLine="709"/>
        <w:jc w:val="both"/>
        <w:rPr>
          <w:rFonts w:ascii="Arial" w:hAnsi="Arial" w:cs="Arial"/>
          <w:sz w:val="22"/>
          <w:lang w:val="es-ES"/>
        </w:rPr>
      </w:pPr>
    </w:p>
    <w:p w14:paraId="2B47F811" w14:textId="77777777" w:rsidR="00D916A3" w:rsidRPr="00BC42A3" w:rsidRDefault="00D916A3" w:rsidP="00D916A3">
      <w:pPr>
        <w:spacing w:line="276" w:lineRule="auto"/>
        <w:jc w:val="both"/>
        <w:rPr>
          <w:rFonts w:ascii="Arial" w:hAnsi="Arial" w:cs="Arial"/>
          <w:b/>
          <w:sz w:val="22"/>
          <w:lang w:val="es-ES_tradnl"/>
        </w:rPr>
      </w:pPr>
      <w:r w:rsidRPr="00866D6C">
        <w:rPr>
          <w:rFonts w:ascii="Arial" w:hAnsi="Arial" w:cs="Arial"/>
          <w:b/>
          <w:bCs/>
          <w:sz w:val="22"/>
        </w:rPr>
        <w:t>2.1.</w:t>
      </w:r>
      <w:r>
        <w:rPr>
          <w:rFonts w:ascii="Arial" w:hAnsi="Arial" w:cs="Arial"/>
          <w:b/>
          <w:sz w:val="22"/>
          <w:lang w:val="es-ES_tradnl"/>
        </w:rPr>
        <w:t xml:space="preserve"> Régimen de inhabilidades e incompatibilidades para contratar con el Estado</w:t>
      </w:r>
    </w:p>
    <w:p w14:paraId="030478EC" w14:textId="77777777" w:rsidR="00D916A3" w:rsidRDefault="00D916A3" w:rsidP="00D916A3">
      <w:pPr>
        <w:autoSpaceDE w:val="0"/>
        <w:autoSpaceDN w:val="0"/>
        <w:adjustRightInd w:val="0"/>
        <w:spacing w:line="276" w:lineRule="auto"/>
        <w:jc w:val="both"/>
        <w:rPr>
          <w:rFonts w:ascii="Arial" w:eastAsia="Calibri" w:hAnsi="Arial" w:cs="Arial"/>
          <w:b/>
          <w:color w:val="000000" w:themeColor="text1"/>
          <w:sz w:val="22"/>
        </w:rPr>
      </w:pPr>
    </w:p>
    <w:p w14:paraId="5D9FB9EB" w14:textId="77777777" w:rsidR="00D916A3" w:rsidRPr="00B81C07" w:rsidRDefault="00D916A3" w:rsidP="00D916A3">
      <w:pPr>
        <w:autoSpaceDE w:val="0"/>
        <w:autoSpaceDN w:val="0"/>
        <w:adjustRightInd w:val="0"/>
        <w:spacing w:line="276" w:lineRule="auto"/>
        <w:jc w:val="both"/>
        <w:rPr>
          <w:rFonts w:ascii="Arial" w:eastAsiaTheme="minorHAnsi" w:hAnsi="Arial" w:cs="Arial"/>
          <w:sz w:val="22"/>
          <w:szCs w:val="22"/>
          <w:lang w:val="es-MX" w:eastAsia="en-US"/>
        </w:rPr>
      </w:pPr>
      <w:r w:rsidRPr="00B81C07">
        <w:rPr>
          <w:rFonts w:ascii="Arial" w:eastAsiaTheme="minorHAnsi" w:hAnsi="Arial" w:cs="Arial"/>
          <w:sz w:val="22"/>
          <w:szCs w:val="22"/>
          <w:lang w:val="es-MX" w:eastAsia="en-US"/>
        </w:rPr>
        <w:t>Las inhabilidades e incompatibilidades son circunstancias establecidas por la Constitución</w:t>
      </w:r>
      <w:r>
        <w:rPr>
          <w:rFonts w:ascii="Arial" w:eastAsiaTheme="minorHAnsi" w:hAnsi="Arial" w:cs="Arial"/>
          <w:sz w:val="22"/>
          <w:szCs w:val="22"/>
          <w:lang w:val="es-MX" w:eastAsia="en-US"/>
        </w:rPr>
        <w:t xml:space="preserve"> Política</w:t>
      </w:r>
      <w:r w:rsidRPr="00B81C07">
        <w:rPr>
          <w:rFonts w:ascii="Arial" w:eastAsiaTheme="minorHAnsi" w:hAnsi="Arial" w:cs="Arial"/>
          <w:sz w:val="22"/>
          <w:szCs w:val="22"/>
          <w:lang w:val="es-MX" w:eastAsia="en-US"/>
        </w:rPr>
        <w:t xml:space="preserve"> o</w:t>
      </w:r>
      <w:r>
        <w:rPr>
          <w:rFonts w:ascii="Arial" w:eastAsiaTheme="minorHAnsi" w:hAnsi="Arial" w:cs="Arial"/>
          <w:sz w:val="22"/>
          <w:szCs w:val="22"/>
          <w:lang w:val="es-MX" w:eastAsia="en-US"/>
        </w:rPr>
        <w:t xml:space="preserve"> por</w:t>
      </w:r>
      <w:r w:rsidRPr="00B81C07">
        <w:rPr>
          <w:rFonts w:ascii="Arial" w:eastAsiaTheme="minorHAnsi" w:hAnsi="Arial" w:cs="Arial"/>
          <w:sz w:val="22"/>
          <w:szCs w:val="22"/>
          <w:lang w:val="es-MX" w:eastAsia="en-US"/>
        </w:rPr>
        <w:t xml:space="preserve"> la ley que impiden que personas naturales o jurídicas sean elegidas o designadas en un cargo público o celebren contratos con el Estado. Su objetivo no es otro que garantizar la idoneidad, imparcialidad, probidad, transparencia y moralidad de la función pública, garantizando el interés general.   </w:t>
      </w:r>
    </w:p>
    <w:p w14:paraId="53AC5173" w14:textId="77777777" w:rsidR="00D916A3" w:rsidRPr="001B30CA" w:rsidRDefault="00D916A3" w:rsidP="00D916A3">
      <w:pPr>
        <w:pStyle w:val="Sinespaciado"/>
        <w:spacing w:before="120" w:after="120" w:line="276" w:lineRule="auto"/>
        <w:ind w:firstLine="708"/>
        <w:jc w:val="both"/>
        <w:rPr>
          <w:rFonts w:ascii="Arial" w:hAnsi="Arial" w:cs="Arial"/>
          <w:sz w:val="22"/>
          <w:lang w:val="es-ES"/>
        </w:rPr>
      </w:pPr>
      <w:r>
        <w:rPr>
          <w:rFonts w:ascii="Arial" w:hAnsi="Arial" w:cs="Arial"/>
          <w:sz w:val="22"/>
          <w:lang w:val="es-ES"/>
        </w:rPr>
        <w:t>De este modo, e</w:t>
      </w:r>
      <w:r w:rsidRPr="001B30CA">
        <w:rPr>
          <w:rFonts w:ascii="Arial" w:hAnsi="Arial" w:cs="Arial"/>
          <w:sz w:val="22"/>
          <w:lang w:val="es-ES"/>
        </w:rPr>
        <w:t xml:space="preserve">l régimen de inhabilidades para contratar con el Estado </w:t>
      </w:r>
      <w:r>
        <w:rPr>
          <w:rFonts w:ascii="Arial" w:hAnsi="Arial" w:cs="Arial"/>
          <w:sz w:val="22"/>
          <w:lang w:val="es-ES"/>
        </w:rPr>
        <w:t xml:space="preserve">es el </w:t>
      </w:r>
      <w:r w:rsidRPr="001B30CA">
        <w:rPr>
          <w:rFonts w:ascii="Arial" w:hAnsi="Arial" w:cs="Arial"/>
          <w:sz w:val="22"/>
          <w:lang w:val="es-ES"/>
        </w:rPr>
        <w:t xml:space="preserve">conjunto de restricciones establecidas por el constituyente o por el legislador que afectan directamente la capacidad de las personas para establecer relaciones contractuales con el Estado, </w:t>
      </w:r>
      <w:r>
        <w:rPr>
          <w:rFonts w:ascii="Arial" w:hAnsi="Arial" w:cs="Arial"/>
          <w:sz w:val="22"/>
          <w:lang w:val="es-ES"/>
        </w:rPr>
        <w:t xml:space="preserve">las cuales pueden derivarse </w:t>
      </w:r>
      <w:r w:rsidRPr="001B30CA">
        <w:rPr>
          <w:rFonts w:ascii="Arial" w:hAnsi="Arial" w:cs="Arial"/>
          <w:sz w:val="22"/>
          <w:lang w:val="es-ES"/>
        </w:rPr>
        <w:t>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1B30CA">
        <w:rPr>
          <w:rFonts w:ascii="Arial" w:hAnsi="Arial" w:cs="Arial"/>
          <w:sz w:val="22"/>
          <w:vertAlign w:val="superscript"/>
          <w:lang w:val="es-ES"/>
        </w:rPr>
        <w:footnoteReference w:id="1"/>
      </w:r>
      <w:r w:rsidRPr="001B30CA">
        <w:rPr>
          <w:rFonts w:ascii="Arial" w:hAnsi="Arial" w:cs="Arial"/>
          <w:sz w:val="22"/>
          <w:lang w:val="es-ES"/>
        </w:rPr>
        <w:t xml:space="preserve">. </w:t>
      </w:r>
    </w:p>
    <w:p w14:paraId="14BD9AE5" w14:textId="77777777" w:rsidR="00D916A3" w:rsidRPr="001B30CA" w:rsidRDefault="00D916A3" w:rsidP="00D916A3">
      <w:pPr>
        <w:pStyle w:val="Sinespaciado"/>
        <w:spacing w:before="120" w:line="276" w:lineRule="auto"/>
        <w:ind w:firstLine="709"/>
        <w:jc w:val="both"/>
        <w:rPr>
          <w:rFonts w:ascii="Arial" w:hAnsi="Arial" w:cs="Arial"/>
          <w:sz w:val="22"/>
          <w:lang w:val="es-ES"/>
        </w:rPr>
      </w:pPr>
      <w:r w:rsidRPr="001B30CA">
        <w:rPr>
          <w:rFonts w:ascii="Arial" w:hAnsi="Arial" w:cs="Arial"/>
          <w:sz w:val="22"/>
          <w:lang w:val="es-ES"/>
        </w:rPr>
        <w:t xml:space="preserve">Las limitaciones que afectan la capacidad jurídica para contratar desarrollan los principios de la función administrativa consagrados en el artículo 209 de la Constitución Política, con especial énfasis </w:t>
      </w:r>
      <w:r>
        <w:rPr>
          <w:rFonts w:ascii="Arial" w:hAnsi="Arial" w:cs="Arial"/>
          <w:sz w:val="22"/>
          <w:lang w:val="es-ES"/>
        </w:rPr>
        <w:t xml:space="preserve">en </w:t>
      </w:r>
      <w:r w:rsidRPr="001B30CA">
        <w:rPr>
          <w:rFonts w:ascii="Arial" w:hAnsi="Arial" w:cs="Arial"/>
          <w:sz w:val="22"/>
          <w:lang w:val="es-ES"/>
        </w:rPr>
        <w:t xml:space="preserve">la moralidad administrativa. Así lo ha entendido el Consejo de Estado, quien se ha pronunciado al respecto en los siguientes términos: </w:t>
      </w:r>
    </w:p>
    <w:p w14:paraId="48EC0F2B" w14:textId="77777777" w:rsidR="00D916A3" w:rsidRPr="001B30CA" w:rsidRDefault="00D916A3" w:rsidP="00D916A3">
      <w:pPr>
        <w:pStyle w:val="Sinespaciado"/>
        <w:spacing w:line="276" w:lineRule="auto"/>
        <w:jc w:val="both"/>
        <w:rPr>
          <w:rFonts w:ascii="Arial" w:hAnsi="Arial" w:cs="Arial"/>
          <w:sz w:val="22"/>
          <w:lang w:val="es-ES"/>
        </w:rPr>
      </w:pPr>
    </w:p>
    <w:p w14:paraId="230EC581" w14:textId="77777777" w:rsidR="00D916A3" w:rsidRPr="00B41FE7" w:rsidRDefault="00D916A3" w:rsidP="00D916A3">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B41FE7">
        <w:rPr>
          <w:rFonts w:ascii="Arial" w:hAnsi="Arial" w:cs="Arial"/>
          <w:sz w:val="21"/>
          <w:szCs w:val="21"/>
          <w:lang w:val="es-ES"/>
        </w:rPr>
        <w:lastRenderedPageBreak/>
        <w:t>«</w:t>
      </w:r>
      <w:r w:rsidRPr="00B41FE7">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8BBBA63" w14:textId="77777777" w:rsidR="00D916A3" w:rsidRPr="001B30CA" w:rsidRDefault="00D916A3" w:rsidP="00D916A3">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B41FE7">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B41FE7">
        <w:rPr>
          <w:rStyle w:val="Refdenotaalpie"/>
          <w:rFonts w:ascii="Arial" w:eastAsiaTheme="minorHAnsi" w:hAnsi="Arial" w:cs="Arial"/>
          <w:sz w:val="21"/>
          <w:szCs w:val="21"/>
          <w:lang w:val="es-ES" w:eastAsia="en-US"/>
        </w:rPr>
        <w:footnoteReference w:id="2"/>
      </w:r>
      <w:r w:rsidRPr="00B41FE7">
        <w:rPr>
          <w:rFonts w:ascii="Arial" w:eastAsiaTheme="minorHAnsi" w:hAnsi="Arial" w:cs="Arial"/>
          <w:sz w:val="21"/>
          <w:szCs w:val="21"/>
          <w:lang w:val="es-ES" w:eastAsia="en-US"/>
        </w:rPr>
        <w:t>.</w:t>
      </w:r>
      <w:r w:rsidRPr="00B41FE7">
        <w:rPr>
          <w:rFonts w:ascii="Arial" w:hAnsi="Arial" w:cs="Arial"/>
          <w:sz w:val="21"/>
          <w:szCs w:val="21"/>
          <w:lang w:val="es-ES"/>
        </w:rPr>
        <w:t>»</w:t>
      </w:r>
      <w:r w:rsidRPr="001B30CA">
        <w:rPr>
          <w:rFonts w:ascii="Arial" w:eastAsiaTheme="minorHAnsi" w:hAnsi="Arial" w:cs="Arial"/>
          <w:sz w:val="21"/>
          <w:szCs w:val="21"/>
          <w:lang w:val="es-ES" w:eastAsia="en-US"/>
        </w:rPr>
        <w:t xml:space="preserve"> </w:t>
      </w:r>
    </w:p>
    <w:p w14:paraId="24EA173F" w14:textId="77777777" w:rsidR="00D916A3" w:rsidRPr="001B30CA" w:rsidRDefault="00D916A3" w:rsidP="00D916A3">
      <w:pPr>
        <w:pStyle w:val="Sinespaciado"/>
        <w:spacing w:line="276" w:lineRule="auto"/>
        <w:jc w:val="both"/>
        <w:rPr>
          <w:rFonts w:ascii="Arial" w:hAnsi="Arial" w:cs="Arial"/>
          <w:sz w:val="22"/>
          <w:lang w:val="es-ES"/>
        </w:rPr>
      </w:pPr>
    </w:p>
    <w:p w14:paraId="438A96F7" w14:textId="77777777" w:rsidR="00D916A3" w:rsidRPr="001B30CA" w:rsidRDefault="00D916A3" w:rsidP="00D916A3">
      <w:pPr>
        <w:spacing w:after="120" w:line="276" w:lineRule="auto"/>
        <w:ind w:firstLine="709"/>
        <w:jc w:val="both"/>
        <w:rPr>
          <w:rFonts w:ascii="Arial" w:hAnsi="Arial" w:cs="Arial"/>
          <w:sz w:val="22"/>
          <w:shd w:val="clear" w:color="auto" w:fill="FFFFFF"/>
          <w:lang w:val="es-ES" w:eastAsia="es-ES_tradnl"/>
        </w:rPr>
      </w:pPr>
      <w:r>
        <w:rPr>
          <w:rFonts w:ascii="Arial" w:hAnsi="Arial" w:cs="Arial"/>
          <w:sz w:val="22"/>
          <w:lang w:val="es-ES"/>
        </w:rPr>
        <w:t>De la jurisprudencia citada se desprende</w:t>
      </w:r>
      <w:r w:rsidRPr="001B30CA">
        <w:rPr>
          <w:rFonts w:ascii="Arial" w:hAnsi="Arial" w:cs="Arial"/>
          <w:sz w:val="22"/>
          <w:lang w:val="es-ES"/>
        </w:rPr>
        <w:t xml:space="preserve">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w:t>
      </w:r>
      <w:r>
        <w:rPr>
          <w:rFonts w:ascii="Arial" w:hAnsi="Arial" w:cs="Arial"/>
          <w:sz w:val="22"/>
          <w:lang w:val="es-ES"/>
        </w:rPr>
        <w:t>protección</w:t>
      </w:r>
      <w:r w:rsidRPr="001B30CA">
        <w:rPr>
          <w:rFonts w:ascii="Arial" w:hAnsi="Arial" w:cs="Arial"/>
          <w:sz w:val="22"/>
          <w:lang w:val="es-ES"/>
        </w:rPr>
        <w:t xml:space="preserve"> del interés general y que su lectura e interpretación es taxativa y restrictiva</w:t>
      </w:r>
      <w:r w:rsidRPr="001B30CA">
        <w:rPr>
          <w:rStyle w:val="Refdenotaalpie"/>
          <w:rFonts w:ascii="Arial" w:hAnsi="Arial" w:cs="Arial"/>
          <w:sz w:val="21"/>
          <w:szCs w:val="21"/>
          <w:lang w:val="es-ES"/>
        </w:rPr>
        <w:footnoteReference w:id="3"/>
      </w:r>
      <w:r w:rsidRPr="001B30CA">
        <w:rPr>
          <w:lang w:val="es-ES"/>
        </w:rPr>
        <w:t>.</w:t>
      </w:r>
      <w:r>
        <w:rPr>
          <w:rFonts w:ascii="Arial" w:hAnsi="Arial" w:cs="Arial"/>
          <w:sz w:val="22"/>
          <w:lang w:val="es-ES"/>
        </w:rPr>
        <w:t xml:space="preserve"> </w:t>
      </w:r>
      <w:r w:rsidRPr="001B30CA">
        <w:rPr>
          <w:rFonts w:ascii="Arial" w:hAnsi="Arial" w:cs="Arial"/>
          <w:sz w:val="22"/>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r w:rsidRPr="001B30CA">
        <w:rPr>
          <w:rStyle w:val="Refdenotaalpie"/>
          <w:rFonts w:ascii="Arial" w:hAnsi="Arial" w:cs="Arial"/>
          <w:sz w:val="21"/>
          <w:szCs w:val="21"/>
          <w:lang w:val="es-ES"/>
        </w:rPr>
        <w:footnoteReference w:id="4"/>
      </w:r>
      <w:r w:rsidRPr="001B30CA">
        <w:rPr>
          <w:rFonts w:ascii="Arial" w:hAnsi="Arial" w:cs="Arial"/>
          <w:sz w:val="21"/>
          <w:szCs w:val="21"/>
          <w:lang w:val="es-ES"/>
        </w:rPr>
        <w:t>.</w:t>
      </w:r>
    </w:p>
    <w:p w14:paraId="36CE5BB8" w14:textId="77777777" w:rsidR="00D916A3" w:rsidRPr="001B30CA" w:rsidRDefault="00D916A3" w:rsidP="00D916A3">
      <w:pPr>
        <w:spacing w:after="120" w:line="276" w:lineRule="auto"/>
        <w:ind w:firstLine="709"/>
        <w:jc w:val="both"/>
        <w:rPr>
          <w:rFonts w:ascii="Arial" w:hAnsi="Arial" w:cs="Arial"/>
          <w:sz w:val="22"/>
          <w:lang w:val="es-ES"/>
        </w:rPr>
      </w:pPr>
      <w:r w:rsidRPr="001B30CA">
        <w:rPr>
          <w:rFonts w:ascii="Arial" w:hAnsi="Arial" w:cs="Arial"/>
          <w:sz w:val="22"/>
          <w:lang w:val="es-ES"/>
        </w:rPr>
        <w:t xml:space="preserve">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w:t>
      </w:r>
      <w:r w:rsidRPr="001B30CA">
        <w:rPr>
          <w:rFonts w:ascii="Arial" w:hAnsi="Arial" w:cs="Arial"/>
          <w:sz w:val="22"/>
          <w:lang w:val="es-ES"/>
        </w:rPr>
        <w:lastRenderedPageBreak/>
        <w:t>investidura. En el segundo grupo están aquellas que no devienen de un proceso sancionatorio, sino de condiciones propias de la persona y garantizan la moralidad, la imparcialidad, la eficacia y la transparencia</w:t>
      </w:r>
      <w:r w:rsidRPr="001B30CA">
        <w:rPr>
          <w:rStyle w:val="Refdenotaalpie"/>
          <w:rFonts w:ascii="Arial" w:hAnsi="Arial" w:cs="Arial"/>
          <w:sz w:val="22"/>
          <w:lang w:val="es-ES"/>
        </w:rPr>
        <w:footnoteReference w:id="5"/>
      </w:r>
      <w:r w:rsidRPr="001B30CA">
        <w:rPr>
          <w:rFonts w:ascii="Arial" w:hAnsi="Arial" w:cs="Arial"/>
          <w:sz w:val="22"/>
          <w:lang w:val="es-ES"/>
        </w:rPr>
        <w:t xml:space="preserve">. </w:t>
      </w:r>
    </w:p>
    <w:p w14:paraId="25A18174" w14:textId="77777777" w:rsidR="00D916A3" w:rsidRPr="001B30CA" w:rsidRDefault="00D916A3" w:rsidP="00D916A3">
      <w:pPr>
        <w:spacing w:before="120" w:after="120" w:line="276" w:lineRule="auto"/>
        <w:ind w:firstLine="708"/>
        <w:jc w:val="both"/>
        <w:rPr>
          <w:rFonts w:ascii="Arial" w:hAnsi="Arial" w:cs="Arial"/>
          <w:sz w:val="22"/>
          <w:lang w:val="es-ES"/>
        </w:rPr>
      </w:pPr>
      <w:r w:rsidRPr="001B30CA">
        <w:rPr>
          <w:rFonts w:ascii="Arial" w:hAnsi="Arial" w:cs="Arial"/>
          <w:sz w:val="22"/>
          <w:lang w:val="es-ES"/>
        </w:rPr>
        <w:t>A manera de ejemplo, en materia contractual, los literales c), d) y j) del numeral 1 del artículo 8 de la Ley 80 de 1993</w:t>
      </w:r>
      <w:r w:rsidRPr="001B30CA">
        <w:rPr>
          <w:rFonts w:ascii="Arial" w:hAnsi="Arial" w:cs="Arial"/>
          <w:sz w:val="22"/>
          <w:vertAlign w:val="superscript"/>
          <w:lang w:val="es-ES"/>
        </w:rPr>
        <w:footnoteReference w:id="6"/>
      </w:r>
      <w:r w:rsidRPr="001B30CA">
        <w:rPr>
          <w:rFonts w:ascii="Arial" w:hAnsi="Arial" w:cs="Arial"/>
          <w:sz w:val="22"/>
          <w:lang w:val="es-ES"/>
        </w:rPr>
        <w:t xml:space="preserve"> establecen inhabilidades-sanción, porque la prohibición </w:t>
      </w:r>
      <w:r w:rsidRPr="001B30CA">
        <w:rPr>
          <w:rFonts w:ascii="Arial" w:hAnsi="Arial" w:cs="Arial"/>
          <w:sz w:val="22"/>
          <w:lang w:val="es-ES"/>
        </w:rPr>
        <w:lastRenderedPageBreak/>
        <w:t>para contratar con el Estado en esos eventos es una consecuencia de una declaratoria de responsabilidad que surge luego de un proceso sancionatorio –administrativo, disciplinario o penal–</w:t>
      </w:r>
      <w:r>
        <w:rPr>
          <w:rFonts w:ascii="Arial" w:hAnsi="Arial" w:cs="Arial"/>
          <w:sz w:val="22"/>
          <w:lang w:val="es-ES"/>
        </w:rPr>
        <w:t>. Por su parte,</w:t>
      </w:r>
      <w:r w:rsidRPr="001B30CA">
        <w:rPr>
          <w:rFonts w:ascii="Arial" w:hAnsi="Arial" w:cs="Arial"/>
          <w:sz w:val="22"/>
          <w:lang w:val="es-ES"/>
        </w:rPr>
        <w:t xml:space="preserve"> las inhabilidades de los literales f), g) y h) del </w:t>
      </w:r>
      <w:r>
        <w:rPr>
          <w:rFonts w:ascii="Arial" w:hAnsi="Arial" w:cs="Arial"/>
          <w:sz w:val="22"/>
          <w:lang w:val="es-ES"/>
        </w:rPr>
        <w:t>numeral</w:t>
      </w:r>
      <w:r w:rsidRPr="001B30CA">
        <w:rPr>
          <w:rFonts w:ascii="Arial" w:hAnsi="Arial" w:cs="Arial"/>
          <w:sz w:val="22"/>
          <w:lang w:val="es-ES"/>
        </w:rPr>
        <w:t xml:space="preserve">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3FF0104A" w14:textId="77777777" w:rsidR="00D916A3" w:rsidRDefault="00D916A3" w:rsidP="00D916A3">
      <w:pPr>
        <w:spacing w:before="120" w:line="276" w:lineRule="auto"/>
        <w:ind w:firstLine="709"/>
        <w:jc w:val="both"/>
        <w:rPr>
          <w:rFonts w:ascii="Arial" w:hAnsi="Arial" w:cs="Arial"/>
          <w:sz w:val="22"/>
          <w:lang w:val="es-ES"/>
        </w:rPr>
      </w:pPr>
      <w:bookmarkStart w:id="1" w:name="_Hlk40976328"/>
      <w:r w:rsidRPr="001B30CA">
        <w:rPr>
          <w:rFonts w:ascii="Arial" w:hAnsi="Arial" w:cs="Arial"/>
          <w:sz w:val="22"/>
          <w:lang w:val="es-ES"/>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w:t>
      </w:r>
      <w:r>
        <w:rPr>
          <w:rFonts w:ascii="Arial" w:hAnsi="Arial" w:cs="Arial"/>
          <w:sz w:val="22"/>
          <w:lang w:val="es-ES"/>
        </w:rPr>
        <w:t>que recae sobre la persona natural o jurídica que presentó propuesta</w:t>
      </w:r>
      <w:r w:rsidRPr="001B30CA">
        <w:rPr>
          <w:rFonts w:ascii="Arial" w:hAnsi="Arial" w:cs="Arial"/>
          <w:sz w:val="22"/>
          <w:lang w:val="es-ES"/>
        </w:rPr>
        <w:t>.</w:t>
      </w:r>
    </w:p>
    <w:p w14:paraId="77ADB5DB" w14:textId="77777777" w:rsidR="00D916A3" w:rsidRPr="001B30CA" w:rsidRDefault="00D916A3" w:rsidP="00D916A3">
      <w:pPr>
        <w:spacing w:before="120" w:line="276" w:lineRule="auto"/>
        <w:ind w:firstLine="709"/>
        <w:jc w:val="both"/>
        <w:rPr>
          <w:rFonts w:ascii="Arial" w:hAnsi="Arial" w:cs="Arial"/>
          <w:sz w:val="22"/>
          <w:lang w:val="es-ES"/>
        </w:rPr>
      </w:pPr>
      <w:r w:rsidRPr="001B30CA">
        <w:rPr>
          <w:rFonts w:ascii="Arial" w:hAnsi="Arial" w:cs="Arial"/>
          <w:sz w:val="22"/>
          <w:lang w:val="es-ES"/>
        </w:rPr>
        <w:t xml:space="preserve"> </w:t>
      </w:r>
    </w:p>
    <w:bookmarkEnd w:id="1"/>
    <w:p w14:paraId="5E267DA1" w14:textId="77777777" w:rsidR="00D916A3" w:rsidRDefault="00D916A3" w:rsidP="00D916A3">
      <w:pPr>
        <w:spacing w:line="276" w:lineRule="auto"/>
        <w:jc w:val="both"/>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lastRenderedPageBreak/>
        <w:t>2.2. Régimen de inhabilidades e incompatibilidades en la contratación estatal: un límite a la capacidad contractual. Interpretación restrictiva como criterio hermenéutico</w:t>
      </w:r>
    </w:p>
    <w:p w14:paraId="05AE790F" w14:textId="77777777" w:rsidR="00D916A3" w:rsidRDefault="00D916A3" w:rsidP="00D916A3">
      <w:pPr>
        <w:spacing w:line="276" w:lineRule="auto"/>
        <w:jc w:val="both"/>
        <w:rPr>
          <w:rFonts w:ascii="Arial" w:eastAsia="Calibri" w:hAnsi="Arial" w:cs="Arial"/>
          <w:sz w:val="22"/>
          <w:lang w:val="es-ES"/>
        </w:rPr>
      </w:pPr>
    </w:p>
    <w:p w14:paraId="1166F9B0" w14:textId="77777777" w:rsidR="00D916A3" w:rsidRPr="001B30CA" w:rsidRDefault="00D916A3" w:rsidP="00D916A3">
      <w:pPr>
        <w:spacing w:line="276" w:lineRule="auto"/>
        <w:jc w:val="both"/>
        <w:rPr>
          <w:rFonts w:ascii="Arial" w:eastAsia="Calibri" w:hAnsi="Arial" w:cs="Arial"/>
          <w:sz w:val="22"/>
          <w:lang w:val="es-ES"/>
        </w:rPr>
      </w:pPr>
      <w:r>
        <w:rPr>
          <w:rFonts w:ascii="Arial" w:eastAsia="Calibri" w:hAnsi="Arial" w:cs="Arial"/>
          <w:sz w:val="22"/>
          <w:lang w:val="es-ES"/>
        </w:rPr>
        <w:t>E</w:t>
      </w:r>
      <w:r w:rsidRPr="001B30CA">
        <w:rPr>
          <w:rFonts w:ascii="Arial" w:eastAsia="Calibri" w:hAnsi="Arial" w:cs="Arial"/>
          <w:sz w:val="22"/>
          <w:lang w:val="es-ES"/>
        </w:rPr>
        <w:t xml:space="preserve">l régimen de inhabilidades e incompatibilidades en la contratación </w:t>
      </w:r>
      <w:r>
        <w:rPr>
          <w:rFonts w:ascii="Arial" w:eastAsia="Calibri" w:hAnsi="Arial" w:cs="Arial"/>
          <w:sz w:val="22"/>
          <w:lang w:val="es-ES"/>
        </w:rPr>
        <w:t xml:space="preserve">estatal </w:t>
      </w:r>
      <w:r w:rsidRPr="001B30CA">
        <w:rPr>
          <w:rFonts w:ascii="Arial" w:eastAsia="Calibri" w:hAnsi="Arial" w:cs="Arial"/>
          <w:sz w:val="22"/>
          <w:lang w:val="es-ES"/>
        </w:rPr>
        <w:t>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3685821F" w14:textId="77777777" w:rsidR="00D916A3" w:rsidRPr="001B30CA" w:rsidRDefault="00D916A3" w:rsidP="00D916A3">
      <w:pPr>
        <w:spacing w:before="120" w:after="120" w:line="276" w:lineRule="auto"/>
        <w:ind w:firstLine="709"/>
        <w:jc w:val="both"/>
        <w:rPr>
          <w:rFonts w:ascii="Arial" w:eastAsia="Calibri" w:hAnsi="Arial" w:cs="Arial"/>
          <w:sz w:val="22"/>
          <w:lang w:val="es-ES"/>
        </w:rPr>
      </w:pPr>
      <w:r w:rsidRPr="001B30CA">
        <w:rPr>
          <w:rFonts w:ascii="Arial" w:eastAsia="Calibri" w:hAnsi="Arial" w:cs="Arial"/>
          <w:sz w:val="22"/>
          <w:lang w:val="es-ES"/>
        </w:rPr>
        <w:t>Ahora bien, las inhabilidades e incompatibilidades al ser restricciones o límites especiales a la capacidad para presentar ofertas y celebrar contratos estatales, s</w:t>
      </w:r>
      <w:r>
        <w:rPr>
          <w:rFonts w:ascii="Arial" w:eastAsia="Calibri" w:hAnsi="Arial" w:cs="Arial"/>
          <w:sz w:val="22"/>
          <w:lang w:val="es-ES"/>
        </w:rPr>
        <w:t>ó</w:t>
      </w:r>
      <w:r w:rsidRPr="001B30CA">
        <w:rPr>
          <w:rFonts w:ascii="Arial" w:eastAsia="Calibri" w:hAnsi="Arial" w:cs="Arial"/>
          <w:sz w:val="22"/>
          <w:lang w:val="es-ES"/>
        </w:rPr>
        <w:t>lo pueden tipificarse en la ley</w:t>
      </w:r>
      <w:r>
        <w:rPr>
          <w:rFonts w:ascii="Arial" w:eastAsia="Calibri" w:hAnsi="Arial" w:cs="Arial"/>
          <w:sz w:val="22"/>
          <w:lang w:val="es-ES"/>
        </w:rPr>
        <w:t>, es decir</w:t>
      </w:r>
      <w:r w:rsidRPr="001B30CA">
        <w:rPr>
          <w:rFonts w:ascii="Arial" w:eastAsia="Calibri" w:hAnsi="Arial" w:cs="Arial"/>
          <w:sz w:val="22"/>
          <w:lang w:val="es-ES"/>
        </w:rPr>
        <w:t>, deben satisfacer el principio de legalidad</w:t>
      </w:r>
      <w:r>
        <w:rPr>
          <w:rFonts w:ascii="Arial" w:eastAsia="Calibri" w:hAnsi="Arial" w:cs="Arial"/>
          <w:sz w:val="22"/>
          <w:lang w:val="es-ES"/>
        </w:rPr>
        <w:t>, y</w:t>
      </w:r>
      <w:r w:rsidRPr="001B30CA">
        <w:rPr>
          <w:rFonts w:ascii="Arial" w:eastAsia="Calibri" w:hAnsi="Arial" w:cs="Arial"/>
          <w:sz w:val="22"/>
          <w:lang w:val="es-ES"/>
        </w:rPr>
        <w:t xml:space="preserve"> su interpretación debe ser </w:t>
      </w:r>
      <w:r w:rsidRPr="001B30CA">
        <w:rPr>
          <w:rFonts w:ascii="Arial" w:eastAsia="Calibri" w:hAnsi="Arial" w:cs="Arial"/>
          <w:i/>
          <w:iCs/>
          <w:sz w:val="22"/>
          <w:lang w:val="es-ES"/>
        </w:rPr>
        <w:t>restrictiva</w:t>
      </w:r>
      <w:r w:rsidRPr="001B30CA">
        <w:rPr>
          <w:rFonts w:ascii="Arial" w:eastAsia="Calibri" w:hAnsi="Arial" w:cs="Arial"/>
          <w:sz w:val="22"/>
          <w:vertAlign w:val="superscript"/>
          <w:lang w:val="es-ES"/>
        </w:rPr>
        <w:footnoteReference w:id="7"/>
      </w:r>
      <w:r>
        <w:rPr>
          <w:rFonts w:ascii="Arial" w:eastAsia="Calibri" w:hAnsi="Arial" w:cs="Arial"/>
          <w:sz w:val="22"/>
          <w:lang w:val="es-ES"/>
        </w:rPr>
        <w:t>. En efecto,</w:t>
      </w:r>
      <w:r w:rsidRPr="001B30CA">
        <w:rPr>
          <w:rFonts w:ascii="Arial" w:eastAsia="Calibri" w:hAnsi="Arial" w:cs="Arial"/>
          <w:sz w:val="22"/>
          <w:lang w:val="es-ES"/>
        </w:rPr>
        <w:t xml:space="preserve">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w:t>
      </w:r>
      <w:r>
        <w:rPr>
          <w:rFonts w:ascii="Arial" w:eastAsia="Calibri" w:hAnsi="Arial" w:cs="Arial"/>
          <w:sz w:val="22"/>
          <w:lang w:val="es-ES"/>
        </w:rPr>
        <w:t>Esta</w:t>
      </w:r>
      <w:r w:rsidRPr="001B30CA">
        <w:rPr>
          <w:rFonts w:ascii="Arial" w:eastAsia="Calibri" w:hAnsi="Arial" w:cs="Arial"/>
          <w:sz w:val="22"/>
          <w:lang w:val="es-ES"/>
        </w:rPr>
        <w:t xml:space="preserve"> ha sido la postura de la jurisprudencia, tanto de la Corte Constitucional como de la Sección Tercera del Consejo de Estado. </w:t>
      </w:r>
    </w:p>
    <w:p w14:paraId="3ADDA70B" w14:textId="77777777" w:rsidR="00D916A3" w:rsidRPr="001B30CA" w:rsidRDefault="00D916A3" w:rsidP="00D916A3">
      <w:pPr>
        <w:spacing w:line="276" w:lineRule="auto"/>
        <w:ind w:firstLine="709"/>
        <w:jc w:val="both"/>
        <w:rPr>
          <w:rFonts w:ascii="Arial" w:eastAsia="Calibri" w:hAnsi="Arial" w:cs="Arial"/>
          <w:sz w:val="22"/>
          <w:lang w:val="es-ES"/>
        </w:rPr>
      </w:pPr>
      <w:r w:rsidRPr="001B30CA">
        <w:rPr>
          <w:rFonts w:ascii="Arial" w:eastAsia="Calibri" w:hAnsi="Arial" w:cs="Arial"/>
          <w:sz w:val="22"/>
          <w:lang w:val="es-E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1B30CA">
        <w:rPr>
          <w:rFonts w:ascii="Arial" w:eastAsia="Calibri" w:hAnsi="Arial" w:cs="Arial"/>
          <w:sz w:val="22"/>
          <w:vertAlign w:val="superscript"/>
          <w:lang w:val="es-ES"/>
        </w:rPr>
        <w:footnoteReference w:id="8"/>
      </w:r>
      <w:r w:rsidRPr="001B30CA">
        <w:rPr>
          <w:rFonts w:ascii="Arial" w:eastAsia="Calibri" w:hAnsi="Arial" w:cs="Arial"/>
          <w:sz w:val="22"/>
          <w:lang w:val="es-ES"/>
        </w:rPr>
        <w:t xml:space="preserve">.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w:t>
      </w:r>
      <w:r w:rsidRPr="001B30CA">
        <w:rPr>
          <w:rFonts w:ascii="Arial" w:eastAsia="Calibri" w:hAnsi="Arial" w:cs="Arial"/>
          <w:sz w:val="22"/>
          <w:lang w:val="es-ES"/>
        </w:rPr>
        <w:lastRenderedPageBreak/>
        <w:t>“Los particulares sólo son responsables ante las autoridades por infringir la Constitución y las leyes” lo que se traduce en que pueden hacer todo aquello que no les esté expresamente prohibido»</w:t>
      </w:r>
      <w:r w:rsidRPr="001B30CA">
        <w:rPr>
          <w:rFonts w:ascii="Arial" w:eastAsia="Calibri" w:hAnsi="Arial" w:cs="Arial"/>
          <w:sz w:val="22"/>
          <w:vertAlign w:val="superscript"/>
          <w:lang w:val="es-ES"/>
        </w:rPr>
        <w:footnoteReference w:id="9"/>
      </w:r>
      <w:r w:rsidRPr="001B30CA">
        <w:rPr>
          <w:rFonts w:ascii="Arial" w:eastAsia="Calibri" w:hAnsi="Arial" w:cs="Arial"/>
          <w:sz w:val="22"/>
          <w:lang w:val="es-ES"/>
        </w:rPr>
        <w:t>. En tal sentido, la Sección Tercera ha señalado que:</w:t>
      </w:r>
    </w:p>
    <w:p w14:paraId="645E2B48" w14:textId="77777777" w:rsidR="00D916A3" w:rsidRPr="001B30CA" w:rsidRDefault="00D916A3" w:rsidP="00D916A3">
      <w:pPr>
        <w:spacing w:line="276" w:lineRule="auto"/>
        <w:ind w:firstLine="709"/>
        <w:jc w:val="both"/>
        <w:rPr>
          <w:rFonts w:ascii="Arial" w:eastAsia="Calibri" w:hAnsi="Arial" w:cs="Arial"/>
          <w:sz w:val="22"/>
          <w:lang w:val="es-ES"/>
        </w:rPr>
      </w:pPr>
    </w:p>
    <w:p w14:paraId="0BAF64A4" w14:textId="77777777" w:rsidR="00D916A3" w:rsidRPr="003059B3" w:rsidRDefault="00D916A3" w:rsidP="00D916A3">
      <w:pPr>
        <w:ind w:left="709" w:right="709"/>
        <w:jc w:val="both"/>
        <w:rPr>
          <w:rFonts w:ascii="Arial" w:hAnsi="Arial" w:cs="Arial"/>
          <w:sz w:val="21"/>
          <w:szCs w:val="21"/>
          <w:lang w:val="es-ES"/>
        </w:rPr>
      </w:pPr>
      <w:r w:rsidRPr="003059B3">
        <w:rPr>
          <w:rFonts w:ascii="Arial" w:eastAsia="Calibri" w:hAnsi="Arial" w:cs="Arial"/>
          <w:sz w:val="21"/>
          <w:szCs w:val="21"/>
          <w:lang w:val="es-ES"/>
        </w:rPr>
        <w:t>«</w:t>
      </w:r>
      <w:r w:rsidRPr="003059B3">
        <w:rPr>
          <w:rFonts w:ascii="Arial" w:hAnsi="Arial" w:cs="Arial"/>
          <w:sz w:val="21"/>
          <w:szCs w:val="21"/>
          <w:lang w:val="es-E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059B3">
        <w:rPr>
          <w:rFonts w:ascii="Arial" w:hAnsi="Arial" w:cs="Arial"/>
          <w:sz w:val="21"/>
          <w:szCs w:val="21"/>
          <w:vertAlign w:val="superscript"/>
          <w:lang w:val="es-ES"/>
        </w:rPr>
        <w:footnoteReference w:id="10"/>
      </w:r>
      <w:r w:rsidRPr="003059B3">
        <w:rPr>
          <w:rFonts w:ascii="Arial" w:hAnsi="Arial" w:cs="Arial"/>
          <w:sz w:val="21"/>
          <w:szCs w:val="21"/>
          <w:lang w:val="es-ES"/>
        </w:rPr>
        <w:t>.</w:t>
      </w:r>
      <w:r w:rsidRPr="003059B3">
        <w:rPr>
          <w:rFonts w:ascii="Arial" w:eastAsia="Calibri" w:hAnsi="Arial" w:cs="Arial"/>
          <w:sz w:val="21"/>
          <w:szCs w:val="21"/>
          <w:lang w:val="es-ES"/>
        </w:rPr>
        <w:t>»</w:t>
      </w:r>
    </w:p>
    <w:p w14:paraId="62B4A83D" w14:textId="77777777" w:rsidR="00D916A3" w:rsidRPr="001B30CA" w:rsidRDefault="00D916A3" w:rsidP="00D916A3">
      <w:pPr>
        <w:ind w:left="709" w:right="709"/>
        <w:jc w:val="both"/>
        <w:rPr>
          <w:rFonts w:ascii="Arial" w:eastAsia="Calibri" w:hAnsi="Arial" w:cs="Arial"/>
          <w:sz w:val="22"/>
          <w:lang w:val="es-ES"/>
        </w:rPr>
      </w:pPr>
    </w:p>
    <w:p w14:paraId="47A722FF" w14:textId="77777777" w:rsidR="00D916A3" w:rsidRPr="001B30CA" w:rsidRDefault="00D916A3" w:rsidP="00D916A3">
      <w:pPr>
        <w:ind w:firstLine="709"/>
        <w:jc w:val="both"/>
        <w:rPr>
          <w:rFonts w:ascii="Arial" w:eastAsia="Calibri" w:hAnsi="Arial" w:cs="Arial"/>
          <w:sz w:val="22"/>
          <w:lang w:val="es-ES"/>
        </w:rPr>
      </w:pPr>
      <w:r w:rsidRPr="001B30CA">
        <w:rPr>
          <w:rFonts w:ascii="Arial" w:eastAsia="Calibri" w:hAnsi="Arial" w:cs="Arial"/>
          <w:sz w:val="22"/>
          <w:lang w:val="es-ES"/>
        </w:rPr>
        <w:t xml:space="preserve">También ha </w:t>
      </w:r>
      <w:r>
        <w:rPr>
          <w:rFonts w:ascii="Arial" w:eastAsia="Calibri" w:hAnsi="Arial" w:cs="Arial"/>
          <w:sz w:val="22"/>
          <w:lang w:val="es-ES"/>
        </w:rPr>
        <w:t>sostenido</w:t>
      </w:r>
      <w:r w:rsidRPr="001B30CA">
        <w:rPr>
          <w:rFonts w:ascii="Arial" w:eastAsia="Calibri" w:hAnsi="Arial" w:cs="Arial"/>
          <w:sz w:val="22"/>
          <w:lang w:val="es-ES"/>
        </w:rPr>
        <w:t xml:space="preserve"> que:</w:t>
      </w:r>
    </w:p>
    <w:p w14:paraId="71F66D9F" w14:textId="77777777" w:rsidR="00D916A3" w:rsidRPr="001B30CA" w:rsidRDefault="00D916A3" w:rsidP="00D916A3">
      <w:pPr>
        <w:ind w:firstLine="709"/>
        <w:jc w:val="both"/>
        <w:rPr>
          <w:rFonts w:ascii="Arial" w:eastAsia="Calibri" w:hAnsi="Arial" w:cs="Arial"/>
          <w:sz w:val="22"/>
          <w:lang w:val="es-ES"/>
        </w:rPr>
      </w:pPr>
    </w:p>
    <w:p w14:paraId="15D85690" w14:textId="77777777" w:rsidR="00D916A3" w:rsidRPr="003059B3" w:rsidRDefault="00D916A3" w:rsidP="00D916A3">
      <w:pPr>
        <w:ind w:left="709" w:right="709"/>
        <w:jc w:val="both"/>
        <w:rPr>
          <w:rFonts w:ascii="Arial" w:hAnsi="Arial" w:cs="Arial"/>
          <w:sz w:val="21"/>
          <w:szCs w:val="21"/>
          <w:lang w:val="es-ES"/>
        </w:rPr>
      </w:pPr>
      <w:r w:rsidRPr="003059B3">
        <w:rPr>
          <w:rFonts w:ascii="Arial" w:eastAsia="Calibri" w:hAnsi="Arial" w:cs="Arial"/>
          <w:sz w:val="21"/>
          <w:szCs w:val="21"/>
          <w:lang w:val="es-ES"/>
        </w:rPr>
        <w:t>«</w:t>
      </w:r>
      <w:r w:rsidRPr="003059B3">
        <w:rPr>
          <w:rFonts w:ascii="Arial" w:hAnsi="Arial" w:cs="Arial"/>
          <w:sz w:val="21"/>
          <w:szCs w:val="21"/>
          <w:lang w:val="es-ES"/>
        </w:rPr>
        <w:t xml:space="preserve">[…] la aplicación de estos preceptos exige una interpretación restrictiva, dado que según el principio hermenéutico </w:t>
      </w:r>
      <w:r w:rsidRPr="003059B3">
        <w:rPr>
          <w:rFonts w:ascii="Arial" w:hAnsi="Arial" w:cs="Arial"/>
          <w:i/>
          <w:iCs/>
          <w:sz w:val="21"/>
          <w:szCs w:val="21"/>
          <w:lang w:val="es-ES"/>
        </w:rPr>
        <w:t>pro libertate</w:t>
      </w:r>
      <w:r w:rsidRPr="003059B3">
        <w:rPr>
          <w:rFonts w:ascii="Arial" w:hAnsi="Arial"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3059B3">
        <w:rPr>
          <w:rFonts w:ascii="Arial" w:hAnsi="Arial" w:cs="Arial"/>
          <w:sz w:val="21"/>
          <w:szCs w:val="21"/>
          <w:vertAlign w:val="superscript"/>
          <w:lang w:val="es-ES"/>
        </w:rPr>
        <w:footnoteReference w:id="11"/>
      </w:r>
      <w:r w:rsidRPr="003059B3">
        <w:rPr>
          <w:rFonts w:ascii="Arial" w:hAnsi="Arial" w:cs="Arial"/>
          <w:sz w:val="21"/>
          <w:szCs w:val="21"/>
          <w:lang w:val="es-ES"/>
        </w:rPr>
        <w:t>.</w:t>
      </w:r>
      <w:r w:rsidRPr="003059B3">
        <w:rPr>
          <w:rFonts w:ascii="Arial" w:eastAsia="Calibri" w:hAnsi="Arial" w:cs="Arial"/>
          <w:sz w:val="21"/>
          <w:szCs w:val="21"/>
          <w:lang w:val="es-ES"/>
        </w:rPr>
        <w:t>»</w:t>
      </w:r>
    </w:p>
    <w:p w14:paraId="277D9813" w14:textId="77777777" w:rsidR="00D916A3" w:rsidRPr="001B30CA" w:rsidRDefault="00D916A3" w:rsidP="00D916A3">
      <w:pPr>
        <w:spacing w:line="276" w:lineRule="auto"/>
        <w:ind w:left="709" w:right="709"/>
        <w:jc w:val="both"/>
        <w:rPr>
          <w:rFonts w:ascii="Arial" w:eastAsia="Calibri" w:hAnsi="Arial" w:cs="Arial"/>
          <w:sz w:val="22"/>
          <w:lang w:val="es-ES"/>
        </w:rPr>
      </w:pPr>
    </w:p>
    <w:p w14:paraId="183FC880" w14:textId="77777777" w:rsidR="00D916A3" w:rsidRPr="001B30CA" w:rsidRDefault="00D916A3" w:rsidP="00D916A3">
      <w:pPr>
        <w:spacing w:line="276" w:lineRule="auto"/>
        <w:ind w:firstLine="708"/>
        <w:jc w:val="both"/>
        <w:rPr>
          <w:rFonts w:ascii="Arial" w:eastAsia="Calibri" w:hAnsi="Arial" w:cs="Arial"/>
          <w:sz w:val="22"/>
          <w:lang w:val="es-ES"/>
        </w:rPr>
      </w:pPr>
      <w:r w:rsidRPr="001B30CA">
        <w:rPr>
          <w:rFonts w:ascii="Arial" w:eastAsia="Calibri" w:hAnsi="Arial" w:cs="Arial"/>
          <w:sz w:val="22"/>
          <w:lang w:val="es-ES"/>
        </w:rPr>
        <w:t xml:space="preserve">Como se aprecia, el principio </w:t>
      </w:r>
      <w:r w:rsidRPr="001B30CA">
        <w:rPr>
          <w:rFonts w:ascii="Arial" w:eastAsia="Calibri" w:hAnsi="Arial" w:cs="Arial"/>
          <w:i/>
          <w:iCs/>
          <w:sz w:val="22"/>
          <w:lang w:val="es-ES"/>
        </w:rPr>
        <w:t>pro libertate</w:t>
      </w:r>
      <w:r w:rsidRPr="001B30CA">
        <w:rPr>
          <w:rFonts w:ascii="Arial" w:eastAsia="Calibri" w:hAnsi="Arial" w:cs="Arial"/>
          <w:sz w:val="22"/>
          <w:lang w:val="es-ES"/>
        </w:rPr>
        <w:t xml:space="preserve"> dirige la interpretación de las disposiciones que consagran restricciones de derechos, como sucede con las causales de inhabilidad e incompatibilidad en la contratación estatal.</w:t>
      </w:r>
      <w:r>
        <w:rPr>
          <w:rFonts w:ascii="Arial" w:eastAsia="Calibri" w:hAnsi="Arial" w:cs="Arial"/>
          <w:sz w:val="22"/>
          <w:lang w:val="es-ES"/>
        </w:rPr>
        <w:t xml:space="preserve"> E</w:t>
      </w:r>
      <w:r w:rsidRPr="00A54F80">
        <w:rPr>
          <w:rFonts w:ascii="Arial" w:eastAsia="Calibri" w:hAnsi="Arial" w:cs="Arial"/>
          <w:sz w:val="22"/>
          <w:lang w:val="es-ES"/>
        </w:rPr>
        <w:t>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w:t>
      </w:r>
      <w:r>
        <w:rPr>
          <w:rFonts w:ascii="Arial" w:eastAsia="Calibri" w:hAnsi="Arial" w:cs="Arial"/>
          <w:sz w:val="22"/>
          <w:lang w:val="es-ES"/>
        </w:rPr>
        <w:t>.</w:t>
      </w:r>
    </w:p>
    <w:p w14:paraId="61FBA7CC" w14:textId="77777777" w:rsidR="00D916A3" w:rsidRPr="00064944" w:rsidRDefault="00D916A3" w:rsidP="00D916A3">
      <w:pPr>
        <w:spacing w:line="276" w:lineRule="auto"/>
        <w:jc w:val="both"/>
        <w:rPr>
          <w:rFonts w:ascii="Arial" w:eastAsia="Calibri" w:hAnsi="Arial" w:cs="Arial"/>
          <w:b/>
          <w:sz w:val="22"/>
          <w:szCs w:val="22"/>
        </w:rPr>
      </w:pPr>
    </w:p>
    <w:p w14:paraId="0E611A06" w14:textId="77777777" w:rsidR="00D916A3" w:rsidRPr="00B81C07" w:rsidRDefault="00D916A3" w:rsidP="00D916A3">
      <w:pPr>
        <w:tabs>
          <w:tab w:val="left" w:pos="426"/>
        </w:tabs>
        <w:spacing w:line="276" w:lineRule="auto"/>
        <w:jc w:val="both"/>
        <w:rPr>
          <w:rFonts w:ascii="Arial" w:eastAsiaTheme="minorHAnsi" w:hAnsi="Arial" w:cs="Arial"/>
          <w:b/>
          <w:bCs/>
          <w:sz w:val="22"/>
          <w:szCs w:val="22"/>
          <w:lang w:val="es-MX" w:eastAsia="en-US"/>
        </w:rPr>
      </w:pPr>
      <w:r w:rsidRPr="00064944">
        <w:rPr>
          <w:rFonts w:ascii="Arial" w:eastAsia="Calibri" w:hAnsi="Arial" w:cs="Arial"/>
          <w:b/>
          <w:color w:val="000000" w:themeColor="text1"/>
          <w:sz w:val="22"/>
          <w:szCs w:val="22"/>
        </w:rPr>
        <w:t xml:space="preserve">2.3. </w:t>
      </w:r>
      <w:r w:rsidRPr="00474E3B">
        <w:rPr>
          <w:rFonts w:ascii="Arial" w:eastAsia="Calibri" w:hAnsi="Arial" w:cs="Arial"/>
          <w:b/>
          <w:color w:val="000000" w:themeColor="text1"/>
          <w:sz w:val="22"/>
          <w:szCs w:val="22"/>
        </w:rPr>
        <w:t xml:space="preserve">Posibilidad de que contratista que elaboró los estudios y diseños participe como oferente en la </w:t>
      </w:r>
      <w:r>
        <w:rPr>
          <w:rFonts w:ascii="Arial" w:eastAsia="Calibri" w:hAnsi="Arial" w:cs="Arial"/>
          <w:b/>
          <w:color w:val="000000" w:themeColor="text1"/>
          <w:sz w:val="22"/>
          <w:szCs w:val="22"/>
        </w:rPr>
        <w:t>ejecución</w:t>
      </w:r>
      <w:r w:rsidRPr="00474E3B">
        <w:rPr>
          <w:rFonts w:ascii="Arial" w:eastAsia="Calibri" w:hAnsi="Arial" w:cs="Arial"/>
          <w:b/>
          <w:color w:val="000000" w:themeColor="text1"/>
          <w:sz w:val="22"/>
          <w:szCs w:val="22"/>
        </w:rPr>
        <w:t xml:space="preserve"> de la obra</w:t>
      </w:r>
      <w:r>
        <w:rPr>
          <w:rStyle w:val="normaltextrun"/>
          <w:rFonts w:ascii="Arial" w:hAnsi="Arial" w:cs="Arial"/>
          <w:b/>
          <w:bCs/>
          <w:color w:val="000000"/>
          <w:sz w:val="22"/>
          <w:szCs w:val="22"/>
          <w:shd w:val="clear" w:color="auto" w:fill="FFFFFF"/>
        </w:rPr>
        <w:t>: interpretación restrictiva del régimen de inhabilidades e incompatibilidades</w:t>
      </w:r>
      <w:r w:rsidRPr="00B81C07">
        <w:rPr>
          <w:rFonts w:ascii="Arial" w:eastAsiaTheme="minorHAnsi" w:hAnsi="Arial" w:cs="Arial"/>
          <w:b/>
          <w:bCs/>
          <w:sz w:val="22"/>
          <w:szCs w:val="22"/>
          <w:lang w:val="es-MX" w:eastAsia="en-US"/>
        </w:rPr>
        <w:t>  </w:t>
      </w:r>
    </w:p>
    <w:p w14:paraId="3E3014A6" w14:textId="77777777" w:rsidR="00D916A3" w:rsidRPr="00B81C07" w:rsidRDefault="00D916A3" w:rsidP="00D916A3">
      <w:pPr>
        <w:tabs>
          <w:tab w:val="left" w:pos="426"/>
        </w:tabs>
        <w:spacing w:line="276" w:lineRule="auto"/>
        <w:jc w:val="both"/>
        <w:rPr>
          <w:rFonts w:ascii="Arial" w:eastAsiaTheme="minorHAnsi" w:hAnsi="Arial" w:cs="Arial"/>
          <w:b/>
          <w:bCs/>
          <w:sz w:val="22"/>
          <w:szCs w:val="22"/>
          <w:lang w:val="es-MX" w:eastAsia="en-US"/>
        </w:rPr>
      </w:pPr>
    </w:p>
    <w:p w14:paraId="5594EE2F" w14:textId="77777777" w:rsidR="00D916A3" w:rsidRDefault="00D916A3" w:rsidP="00D916A3">
      <w:pPr>
        <w:spacing w:after="120" w:line="276" w:lineRule="auto"/>
        <w:jc w:val="both"/>
        <w:rPr>
          <w:rFonts w:ascii="Arial" w:hAnsi="Arial" w:cs="Arial"/>
          <w:bCs/>
          <w:color w:val="000000" w:themeColor="text1"/>
          <w:sz w:val="22"/>
          <w:lang w:val="es-ES_tradnl"/>
        </w:rPr>
      </w:pPr>
      <w:r>
        <w:rPr>
          <w:rFonts w:ascii="Arial" w:hAnsi="Arial" w:cs="Arial"/>
          <w:bCs/>
          <w:color w:val="000000" w:themeColor="text1"/>
          <w:sz w:val="22"/>
          <w:lang w:val="es-ES_tradnl"/>
        </w:rPr>
        <w:lastRenderedPageBreak/>
        <w:t>Previo a la apertura de un procedimiento de licitación pública para la contratación de una obra, la entidad estatal debe contar con «los estudios y diseños que permitan establecer la viabilidad del proyecto y su impacto social, económico y ambiental», en los términos del numeral 12 del artículo 25 de la Ley 80 de 1993, modificado por el artículo 87 de la Ley 1474 de 2011. De esta manera, la falta o insuficiencia de estos estudios atenta contra el principio de planeación y puede generar responsabilidad, tanto para la entidad como para los servidores públicos a cargo del procedimiento, de conformidad con el numeral 3 del artículo 26 de la Ley 80 de 1993</w:t>
      </w:r>
      <w:r>
        <w:rPr>
          <w:rStyle w:val="Refdenotaalpie"/>
          <w:rFonts w:ascii="Arial" w:hAnsi="Arial" w:cs="Arial"/>
          <w:bCs/>
          <w:color w:val="000000" w:themeColor="text1"/>
          <w:sz w:val="22"/>
          <w:lang w:val="es-ES_tradnl"/>
        </w:rPr>
        <w:footnoteReference w:id="12"/>
      </w:r>
      <w:r>
        <w:rPr>
          <w:rFonts w:ascii="Arial" w:hAnsi="Arial" w:cs="Arial"/>
          <w:bCs/>
          <w:color w:val="000000" w:themeColor="text1"/>
          <w:sz w:val="22"/>
          <w:lang w:val="es-ES_tradnl"/>
        </w:rPr>
        <w:t>.</w:t>
      </w:r>
    </w:p>
    <w:p w14:paraId="4D825EA9"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Los estudios y diseños de la obra pueden elaborarse de manera previa, mediante la celebración de un contrato de consultoría</w:t>
      </w:r>
      <w:r>
        <w:rPr>
          <w:rStyle w:val="Refdenotaalpie"/>
          <w:rFonts w:ascii="Arial" w:hAnsi="Arial" w:cs="Arial"/>
          <w:bCs/>
          <w:color w:val="000000" w:themeColor="text1"/>
          <w:sz w:val="22"/>
          <w:lang w:val="es-ES_tradnl"/>
        </w:rPr>
        <w:footnoteReference w:id="13"/>
      </w:r>
      <w:r>
        <w:rPr>
          <w:rFonts w:ascii="Arial" w:hAnsi="Arial" w:cs="Arial"/>
          <w:bCs/>
          <w:color w:val="000000" w:themeColor="text1"/>
          <w:sz w:val="22"/>
          <w:lang w:val="es-ES_tradnl"/>
        </w:rPr>
        <w:t>, que es un contrato independiente al de obra y cuyo objeto puede ser el encargo de la realización de los referidos estudios a un tercero, para que los haga de manera idónea y autónoma. De otra parte, los estudios y diseños de la obra pueden contratarse conjuntamente con la construcción de la obra.</w:t>
      </w:r>
    </w:p>
    <w:p w14:paraId="1D764E37"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Sin perjuicio de lo anterior, en atención al objeto de la consulta que origina el presente concepto, cabe preguntarse si una persona que fue contratada para realizar los estudios y diseños puede, a su vez, ser oferente en el proceso de selección para ejecutar la obra o si, por el contrario, dicha circunstancia le impediría ser oferente en dicho proceso.</w:t>
      </w:r>
    </w:p>
    <w:p w14:paraId="5EA35F22"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Revisadas las causales de inhabilidad e incompatibilidad previstas en el artículo 8 de la Ley 80 de 1993, dicho supuesto no constituye una limitante de la capacidad legal para celebrar el contrato de obra con la entidad estatal encargada del proyecto. En principio, dado que dichas causales son taxativas y de interpretación restrictiva, el supuesto mencionado no genera inhabilidad o incompatibilidad para contratar con el Estado.</w:t>
      </w:r>
    </w:p>
    <w:p w14:paraId="3C857C4F"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Esta circunstancia solo está prohibida en los contratos interadministrativos, ya que la Ley 1150 de 2007, en el artículo 2, numeral 4º, literal c), en el cuarto inciso, establece: «En aquellos casos en que la entidad estatal ejecutora deba subcontratar algunas de las actividades derivadas del contrato principal, no podrá ni ella ni el subcontratista, contratar </w:t>
      </w:r>
      <w:r>
        <w:rPr>
          <w:rFonts w:ascii="Arial" w:hAnsi="Arial" w:cs="Arial"/>
          <w:bCs/>
          <w:color w:val="000000" w:themeColor="text1"/>
          <w:sz w:val="22"/>
          <w:lang w:val="es-ES_tradnl"/>
        </w:rPr>
        <w:lastRenderedPageBreak/>
        <w:t>o vincular a las personas naturales o jurídicas que hayan participado en la elaboración de los estudios, diseños y proyectos que tengan relación directa con el objeto del contrato principal». Pero esta prohibición no puede extenderse a los otros casos de celebración de contratos de obra, porque, como se anotó, las causales de inhabilidad e incompatibilidad no admiten una interpretación amplia o teleológica.</w:t>
      </w:r>
    </w:p>
    <w:p w14:paraId="67FEBE2F"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Ni siquiera una prohibición de tal naturaleza puede incluirse en el pliego de condiciones, para evitar que se presente el contratista que elaboró los estudios y diseños, pues las inhabilidades e incompatibilidades solo pueden crearlas el legislador formal, es decir, se rigen por el principio de tipicidad estricta. Además, el pliego de condiciones es un acto administrativo general –ni siquiera un reglamento– y, por lo tanto, no puede abrogarse la regulación de situaciones que gozan de reserva de ley, como el establecimiento de causales de inhabilidad o de incompatibilidad para participar en el correspondiente procedimiento de selección.</w:t>
      </w:r>
    </w:p>
    <w:p w14:paraId="32D308F6"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De otro lado, si bien la Ley 842 de 2003 –«Por la cual se modifica la reglamentación del ejercicio de la ingeniería, de sus profesiones afines y de sus profesiones auxiliares, se adopta el Código de Ética Profesional y se dictan otras disposiciones»– establece un conjunto de prohibiciones para los profesionales de la ingeniería, algunas de las cuales se aplican en los procedimientos de selección de los contratistas del Estado, se trata de prohibiciones dirigidas a los </w:t>
      </w:r>
      <w:r>
        <w:rPr>
          <w:rFonts w:ascii="Arial" w:hAnsi="Arial" w:cs="Arial"/>
          <w:bCs/>
          <w:i/>
          <w:iCs/>
          <w:color w:val="000000" w:themeColor="text1"/>
          <w:sz w:val="22"/>
          <w:lang w:val="es-ES_tradnl"/>
        </w:rPr>
        <w:t>profesionales</w:t>
      </w:r>
      <w:r>
        <w:rPr>
          <w:rFonts w:ascii="Arial" w:hAnsi="Arial" w:cs="Arial"/>
          <w:bCs/>
          <w:color w:val="000000" w:themeColor="text1"/>
          <w:sz w:val="22"/>
          <w:lang w:val="es-ES_tradnl"/>
        </w:rPr>
        <w:t xml:space="preserve">, no necesariamente a los </w:t>
      </w:r>
      <w:r>
        <w:rPr>
          <w:rFonts w:ascii="Arial" w:hAnsi="Arial" w:cs="Arial"/>
          <w:bCs/>
          <w:i/>
          <w:iCs/>
          <w:color w:val="000000" w:themeColor="text1"/>
          <w:sz w:val="22"/>
          <w:lang w:val="es-ES_tradnl"/>
        </w:rPr>
        <w:t>proponentes</w:t>
      </w:r>
      <w:r>
        <w:rPr>
          <w:rFonts w:ascii="Arial" w:hAnsi="Arial" w:cs="Arial"/>
          <w:bCs/>
          <w:color w:val="000000" w:themeColor="text1"/>
          <w:sz w:val="22"/>
          <w:lang w:val="es-ES_tradnl"/>
        </w:rPr>
        <w:t xml:space="preserve">. Así se infiere del artículo 30 de la mencionada Ley, que prevé lo siguiente: «Los ingenieros, sus profesionales afines y sus profesionales auxiliares, para todos los efectos del Código de Ética Profesional y su Régimen Disciplinario contemplados en esta ley, se denominarán "Los profesionales"».  </w:t>
      </w:r>
    </w:p>
    <w:p w14:paraId="650B90D1"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En tal sentido, conviene referirse, de manera especial, a la prohibición prevista en el literal a) del artículo 44 de dicha Ley, según la cual: «Los </w:t>
      </w:r>
      <w:r>
        <w:rPr>
          <w:rFonts w:ascii="Arial" w:hAnsi="Arial" w:cs="Arial"/>
          <w:bCs/>
          <w:i/>
          <w:iCs/>
          <w:color w:val="000000" w:themeColor="text1"/>
          <w:sz w:val="22"/>
          <w:lang w:val="es-ES_tradnl"/>
        </w:rPr>
        <w:t>profesionales</w:t>
      </w:r>
      <w:r>
        <w:rPr>
          <w:rFonts w:ascii="Arial" w:hAnsi="Arial" w:cs="Arial"/>
          <w:bCs/>
          <w:color w:val="000000" w:themeColor="text1"/>
          <w:sz w:val="22"/>
          <w:lang w:val="es-ES_tradnl"/>
        </w:rPr>
        <w:t xml:space="preserve"> que hayan actuado como asesores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 (cursiva fuera de texto).</w:t>
      </w:r>
    </w:p>
    <w:p w14:paraId="07BF9EC3"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Como se observa, esta norma prohíbe que el profesional que ha actuado como </w:t>
      </w:r>
      <w:r>
        <w:rPr>
          <w:rFonts w:ascii="Arial" w:hAnsi="Arial" w:cs="Arial"/>
          <w:bCs/>
          <w:i/>
          <w:iCs/>
          <w:color w:val="000000" w:themeColor="text1"/>
          <w:sz w:val="22"/>
          <w:lang w:val="es-ES_tradnl"/>
        </w:rPr>
        <w:t>asesor</w:t>
      </w:r>
      <w:r>
        <w:rPr>
          <w:rFonts w:ascii="Arial" w:hAnsi="Arial" w:cs="Arial"/>
          <w:bCs/>
          <w:color w:val="000000" w:themeColor="text1"/>
          <w:sz w:val="22"/>
          <w:lang w:val="es-ES_tradnl"/>
        </w:rPr>
        <w:t xml:space="preserve"> de quien está interesado en contratar un servicio participe en las actividades que serán contratadas, salvo que así lo permitan las condiciones de la convocatoria. </w:t>
      </w:r>
    </w:p>
    <w:p w14:paraId="5D3A437A" w14:textId="77777777" w:rsidR="00D916A3" w:rsidRDefault="00D916A3" w:rsidP="00D916A3">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La palabra </w:t>
      </w:r>
      <w:r>
        <w:rPr>
          <w:rFonts w:ascii="Arial" w:hAnsi="Arial" w:cs="Arial"/>
          <w:bCs/>
          <w:i/>
          <w:iCs/>
          <w:color w:val="000000" w:themeColor="text1"/>
          <w:sz w:val="22"/>
          <w:lang w:val="es-ES_tradnl"/>
        </w:rPr>
        <w:t>asesor</w:t>
      </w:r>
      <w:r>
        <w:rPr>
          <w:rFonts w:ascii="Arial" w:hAnsi="Arial" w:cs="Arial"/>
          <w:bCs/>
          <w:color w:val="000000" w:themeColor="text1"/>
          <w:sz w:val="22"/>
          <w:lang w:val="es-ES_tradnl"/>
        </w:rPr>
        <w:t xml:space="preserve"> en el artículo 44 de la Ley 842 de 2003 debe interpretarse restrictivamente y en armonía con el artículo 32, numeral 2º de la Ley 80 de 1993, que define el objeto de los contratos de consultoría, </w:t>
      </w:r>
      <w:r>
        <w:rPr>
          <w:rStyle w:val="normaltextrun"/>
          <w:rFonts w:ascii="Arial" w:hAnsi="Arial" w:cs="Arial"/>
          <w:color w:val="000000"/>
          <w:sz w:val="22"/>
          <w:szCs w:val="22"/>
          <w:shd w:val="clear" w:color="auto" w:fill="FFFFFF"/>
        </w:rPr>
        <w:t>disponiendo que la </w:t>
      </w:r>
      <w:r>
        <w:rPr>
          <w:rStyle w:val="normaltextrun"/>
          <w:rFonts w:ascii="Arial" w:hAnsi="Arial" w:cs="Arial"/>
          <w:i/>
          <w:iCs/>
          <w:color w:val="000000"/>
          <w:sz w:val="22"/>
          <w:szCs w:val="22"/>
          <w:shd w:val="clear" w:color="auto" w:fill="FFFFFF"/>
        </w:rPr>
        <w:t>asesoría</w:t>
      </w:r>
      <w:r>
        <w:rPr>
          <w:rStyle w:val="normaltextrun"/>
          <w:rFonts w:ascii="Arial" w:hAnsi="Arial" w:cs="Arial"/>
          <w:color w:val="000000"/>
          <w:sz w:val="22"/>
          <w:szCs w:val="22"/>
          <w:shd w:val="clear" w:color="auto" w:fill="FFFFFF"/>
        </w:rPr>
        <w:t xml:space="preserve"> es una </w:t>
      </w:r>
      <w:r>
        <w:rPr>
          <w:rStyle w:val="normaltextrun"/>
          <w:rFonts w:ascii="Arial" w:hAnsi="Arial" w:cs="Arial"/>
          <w:color w:val="000000"/>
          <w:sz w:val="22"/>
          <w:szCs w:val="22"/>
          <w:shd w:val="clear" w:color="auto" w:fill="FFFFFF"/>
        </w:rPr>
        <w:lastRenderedPageBreak/>
        <w:t>actividad diferente a la </w:t>
      </w:r>
      <w:r>
        <w:rPr>
          <w:rStyle w:val="normaltextrun"/>
          <w:rFonts w:ascii="Arial" w:hAnsi="Arial" w:cs="Arial"/>
          <w:i/>
          <w:iCs/>
          <w:color w:val="000000"/>
          <w:sz w:val="22"/>
          <w:szCs w:val="22"/>
          <w:shd w:val="clear" w:color="auto" w:fill="FFFFFF"/>
        </w:rPr>
        <w:t>elaboración de los estudios y diseños</w:t>
      </w:r>
      <w:r>
        <w:rPr>
          <w:rStyle w:val="Refdenotaalpie"/>
          <w:rFonts w:ascii="Arial" w:hAnsi="Arial" w:cs="Arial"/>
          <w:bCs/>
          <w:color w:val="000000" w:themeColor="text1"/>
          <w:sz w:val="22"/>
          <w:lang w:val="es-ES_tradnl"/>
        </w:rPr>
        <w:footnoteReference w:id="14"/>
      </w:r>
      <w:r>
        <w:rPr>
          <w:rFonts w:ascii="Arial" w:hAnsi="Arial" w:cs="Arial"/>
          <w:bCs/>
          <w:color w:val="000000" w:themeColor="text1"/>
          <w:sz w:val="22"/>
          <w:lang w:val="es-ES_tradnl"/>
        </w:rPr>
        <w:t xml:space="preserve">. En consecuencia, no todo el que celebra un contrato de consultoría con una entidad estatal lo hace para asesorarla, ya que, normativamente, el objeto de esta tipología contractual incluye actividades diversas, como los estudios y diseños, los estudios para la ejecución de proyectos de inversión, los estudios de diagnóstico, la interventoría, la gerencia de obra o de proyectos y </w:t>
      </w:r>
      <w:r>
        <w:rPr>
          <w:rFonts w:ascii="Arial" w:hAnsi="Arial" w:cs="Arial"/>
          <w:bCs/>
          <w:i/>
          <w:iCs/>
          <w:color w:val="000000" w:themeColor="text1"/>
          <w:sz w:val="22"/>
          <w:lang w:val="es-ES_tradnl"/>
        </w:rPr>
        <w:t>la asesoría</w:t>
      </w:r>
      <w:r>
        <w:rPr>
          <w:rFonts w:ascii="Arial" w:hAnsi="Arial" w:cs="Arial"/>
          <w:bCs/>
          <w:color w:val="000000" w:themeColor="text1"/>
          <w:sz w:val="22"/>
          <w:lang w:val="es-ES_tradnl"/>
        </w:rPr>
        <w:t>, entre otras.</w:t>
      </w:r>
    </w:p>
    <w:p w14:paraId="1F3B98B5" w14:textId="77777777" w:rsidR="00D916A3" w:rsidRDefault="00D916A3" w:rsidP="00D916A3">
      <w:pPr>
        <w:tabs>
          <w:tab w:val="left" w:pos="426"/>
        </w:tabs>
        <w:spacing w:after="120" w:line="276" w:lineRule="auto"/>
        <w:jc w:val="both"/>
        <w:rPr>
          <w:rFonts w:ascii="Arial" w:hAnsi="Arial" w:cs="Arial"/>
          <w:bCs/>
          <w:color w:val="000000" w:themeColor="text1"/>
          <w:sz w:val="22"/>
          <w:lang w:val="es-ES_tradnl"/>
        </w:rPr>
      </w:pPr>
      <w:r>
        <w:rPr>
          <w:rFonts w:ascii="Arial" w:hAnsi="Arial" w:cs="Arial"/>
          <w:bCs/>
          <w:color w:val="000000" w:themeColor="text1"/>
          <w:sz w:val="22"/>
          <w:lang w:val="es-ES_tradnl"/>
        </w:rPr>
        <w:tab/>
      </w:r>
      <w:r>
        <w:rPr>
          <w:rFonts w:ascii="Arial" w:hAnsi="Arial" w:cs="Arial"/>
          <w:bCs/>
          <w:color w:val="000000" w:themeColor="text1"/>
          <w:sz w:val="22"/>
          <w:lang w:val="es-ES_tradnl"/>
        </w:rPr>
        <w:tab/>
        <w:t xml:space="preserve">Partiendo de esta precisión conceptual y guiados por el criterio de interpretación restrictiva que gobierna tanto las inhabilidades e incompatibilidades como, en general, las prohibiciones, debe indicarse que cuando el artículo 44 de la mencionada Ley 842 establece que «Los </w:t>
      </w:r>
      <w:r>
        <w:rPr>
          <w:rFonts w:ascii="Arial" w:hAnsi="Arial" w:cs="Arial"/>
          <w:bCs/>
          <w:i/>
          <w:iCs/>
          <w:color w:val="000000" w:themeColor="text1"/>
          <w:sz w:val="22"/>
          <w:lang w:val="es-ES_tradnl"/>
        </w:rPr>
        <w:t>profesionales</w:t>
      </w:r>
      <w:r>
        <w:rPr>
          <w:rFonts w:ascii="Arial" w:hAnsi="Arial" w:cs="Arial"/>
          <w:bCs/>
          <w:color w:val="000000" w:themeColor="text1"/>
          <w:sz w:val="22"/>
          <w:lang w:val="es-ES_tradnl"/>
        </w:rPr>
        <w:t xml:space="preserve"> que hayan actuado como </w:t>
      </w:r>
      <w:r>
        <w:rPr>
          <w:rFonts w:ascii="Arial" w:hAnsi="Arial" w:cs="Arial"/>
          <w:bCs/>
          <w:i/>
          <w:iCs/>
          <w:color w:val="000000" w:themeColor="text1"/>
          <w:sz w:val="22"/>
          <w:lang w:val="es-ES_tradnl"/>
        </w:rPr>
        <w:t>asesores</w:t>
      </w:r>
      <w:r>
        <w:rPr>
          <w:rFonts w:ascii="Arial" w:hAnsi="Arial" w:cs="Arial"/>
          <w:bCs/>
          <w:color w:val="000000" w:themeColor="text1"/>
          <w:sz w:val="22"/>
          <w:lang w:val="es-ES_tradnl"/>
        </w:rPr>
        <w:t xml:space="preserve">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 (cursiva fuera de texto). En esta medida lo que prohíbe es que los profesionales que asesoraron a la entidad contratante en el correspondiente procedimiento de selección participen luego en la ejecución de las labores que motivaron la realización de la convocatoria. Por ejemplo, que quien actuó como asesor en un concurso de méritos de arquitectura, trabaje posteriormente en la elaboración del diseño arquitectónico</w:t>
      </w:r>
      <w:r>
        <w:rPr>
          <w:rStyle w:val="Refdenotaalpie"/>
          <w:rFonts w:ascii="Arial" w:hAnsi="Arial" w:cs="Arial"/>
          <w:bCs/>
          <w:color w:val="000000" w:themeColor="text1"/>
          <w:sz w:val="22"/>
          <w:lang w:val="es-ES_tradnl"/>
        </w:rPr>
        <w:footnoteReference w:id="15"/>
      </w:r>
      <w:r>
        <w:rPr>
          <w:rFonts w:ascii="Arial" w:hAnsi="Arial" w:cs="Arial"/>
          <w:bCs/>
          <w:color w:val="000000" w:themeColor="text1"/>
          <w:sz w:val="22"/>
          <w:lang w:val="es-ES_tradnl"/>
        </w:rPr>
        <w:t xml:space="preserve">. Pero la norma no proscribe que quien elaboró los estudios y diseños se presente al proceso de selección cuyo objeto es la construcción de la obra, </w:t>
      </w:r>
      <w:r w:rsidRPr="002215F7">
        <w:rPr>
          <w:rFonts w:ascii="Arial" w:hAnsi="Arial" w:cs="Arial"/>
          <w:bCs/>
          <w:color w:val="000000" w:themeColor="text1"/>
          <w:sz w:val="22"/>
        </w:rPr>
        <w:t>pues en este caso el diseñador no actúa como </w:t>
      </w:r>
      <w:r w:rsidRPr="002215F7">
        <w:rPr>
          <w:rFonts w:ascii="Arial" w:hAnsi="Arial" w:cs="Arial"/>
          <w:bCs/>
          <w:i/>
          <w:iCs/>
          <w:color w:val="000000" w:themeColor="text1"/>
          <w:sz w:val="22"/>
        </w:rPr>
        <w:t>asesor</w:t>
      </w:r>
      <w:r>
        <w:rPr>
          <w:rFonts w:ascii="Arial" w:hAnsi="Arial" w:cs="Arial"/>
          <w:bCs/>
          <w:color w:val="000000" w:themeColor="text1"/>
          <w:sz w:val="22"/>
          <w:lang w:val="es-ES_tradnl"/>
        </w:rPr>
        <w:t>.</w:t>
      </w:r>
    </w:p>
    <w:p w14:paraId="4C5E151F" w14:textId="77777777" w:rsidR="00D916A3" w:rsidRDefault="00D916A3" w:rsidP="00D916A3">
      <w:pPr>
        <w:tabs>
          <w:tab w:val="left" w:pos="426"/>
        </w:tabs>
        <w:spacing w:line="276" w:lineRule="auto"/>
        <w:jc w:val="both"/>
        <w:rPr>
          <w:rFonts w:ascii="Arial" w:hAnsi="Arial" w:cs="Arial"/>
          <w:bCs/>
          <w:color w:val="000000" w:themeColor="text1"/>
          <w:sz w:val="22"/>
          <w:lang w:val="es-ES_tradnl"/>
        </w:rPr>
      </w:pPr>
      <w:r>
        <w:rPr>
          <w:rFonts w:ascii="Arial" w:hAnsi="Arial" w:cs="Arial"/>
          <w:bCs/>
          <w:color w:val="000000" w:themeColor="text1"/>
          <w:sz w:val="22"/>
          <w:lang w:val="es-ES_tradnl"/>
        </w:rPr>
        <w:tab/>
      </w:r>
      <w:r>
        <w:rPr>
          <w:rFonts w:ascii="Arial" w:hAnsi="Arial" w:cs="Arial"/>
          <w:bCs/>
          <w:color w:val="000000" w:themeColor="text1"/>
          <w:sz w:val="22"/>
          <w:lang w:val="es-ES_tradnl"/>
        </w:rPr>
        <w:tab/>
        <w:t xml:space="preserve">Igualmente, también es posible que quien ejecute obras públicas también participe en la ejecución de contratos de estudios y diseños con la misma entidad pública. Lo anterior, debido a que –en las condiciones dispuestas por el artículo 5 de la Ley 1474 de 2011– solo se configura la inhabilidad para quien suscriba contratos de interventoría después de </w:t>
      </w:r>
      <w:r>
        <w:rPr>
          <w:rFonts w:ascii="Arial" w:hAnsi="Arial" w:cs="Arial"/>
          <w:bCs/>
          <w:color w:val="000000" w:themeColor="text1"/>
          <w:sz w:val="22"/>
          <w:lang w:val="es-ES_tradnl"/>
        </w:rPr>
        <w:lastRenderedPageBreak/>
        <w:t>celebrar previamente uno de obra</w:t>
      </w:r>
      <w:r>
        <w:rPr>
          <w:rStyle w:val="Refdenotaalpie"/>
          <w:rFonts w:ascii="Arial" w:hAnsi="Arial" w:cs="Arial"/>
          <w:bCs/>
          <w:color w:val="000000" w:themeColor="text1"/>
          <w:sz w:val="22"/>
          <w:lang w:val="es-ES_tradnl"/>
        </w:rPr>
        <w:footnoteReference w:id="16"/>
      </w:r>
      <w:r>
        <w:rPr>
          <w:rFonts w:ascii="Arial" w:hAnsi="Arial" w:cs="Arial"/>
          <w:bCs/>
          <w:color w:val="000000" w:themeColor="text1"/>
          <w:sz w:val="22"/>
          <w:lang w:val="es-ES_tradnl"/>
        </w:rPr>
        <w:t>. Dado que tanto el interventor como el consultor de estudios y diseños ejecutan un objeto y unas actividades completamente diferentes, la inhabilidad prevista para el primero no se extiende al segundo</w:t>
      </w:r>
      <w:r>
        <w:rPr>
          <w:rStyle w:val="Refdenotaalpie"/>
          <w:rFonts w:ascii="Arial" w:hAnsi="Arial" w:cs="Arial"/>
          <w:bCs/>
          <w:color w:val="000000" w:themeColor="text1"/>
          <w:sz w:val="22"/>
          <w:lang w:val="es-ES_tradnl"/>
        </w:rPr>
        <w:footnoteReference w:id="17"/>
      </w:r>
      <w:r>
        <w:rPr>
          <w:rFonts w:ascii="Arial" w:hAnsi="Arial" w:cs="Arial"/>
          <w:bCs/>
          <w:color w:val="000000" w:themeColor="text1"/>
          <w:sz w:val="22"/>
          <w:lang w:val="es-ES_tradnl"/>
        </w:rPr>
        <w:t xml:space="preserve">.       </w:t>
      </w:r>
    </w:p>
    <w:p w14:paraId="505D1709" w14:textId="77777777" w:rsidR="00D916A3" w:rsidRDefault="00D916A3" w:rsidP="00D916A3">
      <w:pPr>
        <w:tabs>
          <w:tab w:val="left" w:pos="426"/>
        </w:tabs>
        <w:spacing w:line="276" w:lineRule="auto"/>
        <w:jc w:val="both"/>
        <w:rPr>
          <w:rFonts w:ascii="Arial" w:eastAsia="Calibri" w:hAnsi="Arial" w:cs="Arial"/>
          <w:bCs/>
          <w:color w:val="000000" w:themeColor="text1"/>
          <w:sz w:val="22"/>
          <w:szCs w:val="22"/>
        </w:rPr>
      </w:pPr>
      <w:r>
        <w:rPr>
          <w:rFonts w:ascii="Arial" w:hAnsi="Arial" w:cs="Arial"/>
          <w:bCs/>
          <w:color w:val="000000" w:themeColor="text1"/>
          <w:sz w:val="22"/>
          <w:lang w:val="es-ES_tradnl"/>
        </w:rPr>
        <w:t xml:space="preserve"> </w:t>
      </w:r>
      <w:r w:rsidRPr="00B81C07">
        <w:rPr>
          <w:rFonts w:ascii="Arial" w:eastAsiaTheme="minorHAnsi" w:hAnsi="Arial" w:cs="Arial"/>
          <w:sz w:val="22"/>
          <w:szCs w:val="22"/>
          <w:lang w:val="es-MX" w:eastAsia="en-US"/>
        </w:rPr>
        <w:t> </w:t>
      </w:r>
    </w:p>
    <w:p w14:paraId="1E4986C5" w14:textId="77777777" w:rsidR="00D916A3" w:rsidRPr="00064944" w:rsidRDefault="00D916A3" w:rsidP="00D916A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64944">
        <w:rPr>
          <w:rFonts w:ascii="Arial" w:hAnsi="Arial" w:cs="Arial"/>
          <w:b/>
          <w:bCs/>
          <w:color w:val="000000" w:themeColor="text1"/>
          <w:sz w:val="22"/>
          <w:lang w:val="es-CO"/>
        </w:rPr>
        <w:t>Respuesta</w:t>
      </w:r>
    </w:p>
    <w:p w14:paraId="05C3E686" w14:textId="77777777" w:rsidR="00D916A3" w:rsidRPr="00064944" w:rsidRDefault="00D916A3" w:rsidP="00D916A3">
      <w:pPr>
        <w:pStyle w:val="Prrafodelista"/>
        <w:tabs>
          <w:tab w:val="left" w:pos="284"/>
        </w:tabs>
        <w:spacing w:line="276" w:lineRule="auto"/>
        <w:ind w:left="0"/>
        <w:rPr>
          <w:rFonts w:ascii="Arial" w:hAnsi="Arial" w:cs="Arial"/>
          <w:b/>
          <w:bCs/>
          <w:color w:val="000000" w:themeColor="text1"/>
          <w:sz w:val="22"/>
          <w:lang w:val="es-CO"/>
        </w:rPr>
      </w:pPr>
      <w:r w:rsidRPr="00064944">
        <w:rPr>
          <w:rFonts w:ascii="Arial" w:hAnsi="Arial" w:cs="Arial"/>
          <w:b/>
          <w:bCs/>
          <w:color w:val="000000" w:themeColor="text1"/>
          <w:sz w:val="22"/>
          <w:lang w:val="es-CO"/>
        </w:rPr>
        <w:t xml:space="preserve"> </w:t>
      </w:r>
    </w:p>
    <w:p w14:paraId="476F4393" w14:textId="77777777" w:rsidR="00D916A3" w:rsidRDefault="00D916A3" w:rsidP="00D916A3">
      <w:pPr>
        <w:spacing w:after="120"/>
        <w:ind w:left="709" w:right="709"/>
        <w:jc w:val="both"/>
        <w:rPr>
          <w:rFonts w:ascii="Arial" w:eastAsia="Calibri" w:hAnsi="Arial" w:cs="Arial"/>
          <w:color w:val="000000" w:themeColor="text1"/>
          <w:sz w:val="21"/>
          <w:szCs w:val="21"/>
          <w:lang w:val="es-ES"/>
        </w:rPr>
      </w:pPr>
      <w:r w:rsidRPr="00C11FB5">
        <w:rPr>
          <w:rFonts w:ascii="Arial" w:eastAsia="Calibri" w:hAnsi="Arial" w:cs="Arial"/>
          <w:color w:val="000000" w:themeColor="text1"/>
          <w:sz w:val="21"/>
          <w:szCs w:val="21"/>
        </w:rPr>
        <w:t xml:space="preserve">i) </w:t>
      </w:r>
      <w:r w:rsidRPr="00C11FB5">
        <w:rPr>
          <w:rFonts w:ascii="Arial" w:eastAsia="Calibri" w:hAnsi="Arial" w:cs="Arial"/>
          <w:color w:val="000000" w:themeColor="text1"/>
          <w:sz w:val="21"/>
          <w:szCs w:val="21"/>
          <w:lang w:val="es-ES"/>
        </w:rPr>
        <w:t>«</w:t>
      </w:r>
      <w:r w:rsidRPr="00C11FB5">
        <w:rPr>
          <w:rFonts w:ascii="Arial" w:hAnsi="Arial" w:cs="Arial"/>
          <w:color w:val="000000" w:themeColor="text1"/>
          <w:sz w:val="21"/>
          <w:szCs w:val="21"/>
          <w:lang w:val="es-ES"/>
        </w:rPr>
        <w:t>¿</w:t>
      </w:r>
      <w:r w:rsidRPr="00C11FB5">
        <w:rPr>
          <w:rFonts w:ascii="Arial" w:eastAsiaTheme="minorHAnsi" w:hAnsi="Arial" w:cs="Arial"/>
          <w:sz w:val="21"/>
          <w:szCs w:val="21"/>
          <w:lang w:val="es-MX" w:eastAsia="en-US"/>
        </w:rPr>
        <w:t>Quién haya diseñado un proyecto, se encuentra incurso en inhabilidad para contratar e implementar los planos diseñados por este?</w:t>
      </w:r>
      <w:r w:rsidRPr="00C11FB5">
        <w:rPr>
          <w:rFonts w:ascii="Arial" w:eastAsia="Calibri" w:hAnsi="Arial" w:cs="Arial"/>
          <w:color w:val="000000" w:themeColor="text1"/>
          <w:sz w:val="21"/>
          <w:szCs w:val="21"/>
          <w:lang w:val="es-ES"/>
        </w:rPr>
        <w:t xml:space="preserve">». </w:t>
      </w:r>
    </w:p>
    <w:p w14:paraId="12802E47" w14:textId="77777777" w:rsidR="00D916A3" w:rsidRPr="00C11FB5" w:rsidRDefault="00D916A3" w:rsidP="00D916A3">
      <w:pPr>
        <w:ind w:left="709" w:right="709"/>
        <w:jc w:val="both"/>
        <w:rPr>
          <w:rFonts w:ascii="Arial" w:eastAsia="Calibri" w:hAnsi="Arial" w:cs="Arial"/>
          <w:color w:val="000000" w:themeColor="text1"/>
          <w:sz w:val="21"/>
          <w:szCs w:val="21"/>
          <w:lang w:val="es-ES"/>
        </w:rPr>
      </w:pPr>
      <w:r w:rsidRPr="00C11FB5">
        <w:rPr>
          <w:rFonts w:ascii="Arial" w:eastAsia="Calibri" w:hAnsi="Arial" w:cs="Arial"/>
          <w:color w:val="000000" w:themeColor="text1"/>
          <w:sz w:val="21"/>
          <w:szCs w:val="21"/>
          <w:lang w:val="es-ES"/>
        </w:rPr>
        <w:t>ii) «</w:t>
      </w:r>
      <w:r w:rsidRPr="00C11FB5">
        <w:rPr>
          <w:rFonts w:ascii="Arial" w:eastAsiaTheme="minorHAnsi" w:hAnsi="Arial" w:cs="Arial"/>
          <w:sz w:val="21"/>
          <w:szCs w:val="21"/>
          <w:lang w:val="es-MX" w:eastAsia="en-US"/>
        </w:rPr>
        <w:t>¿En caso de ser contratista de obra de una Entidad ¿El contratista puede ser adjudicatario de un contrato de Estudios y Diseños (Consultoría) con la misma Entidad? O ¿figura (sic) alguna Inhabilidad Sobreviniente</w:t>
      </w:r>
      <w:r w:rsidRPr="00C11FB5">
        <w:rPr>
          <w:rFonts w:ascii="Arial" w:hAnsi="Arial" w:cs="Arial"/>
          <w:color w:val="000000" w:themeColor="text1"/>
          <w:sz w:val="21"/>
          <w:szCs w:val="21"/>
          <w:lang w:val="es-ES"/>
        </w:rPr>
        <w:t>?</w:t>
      </w:r>
      <w:r w:rsidRPr="00C11FB5">
        <w:rPr>
          <w:rFonts w:ascii="Arial" w:eastAsia="Calibri" w:hAnsi="Arial" w:cs="Arial"/>
          <w:color w:val="000000" w:themeColor="text1"/>
          <w:sz w:val="21"/>
          <w:szCs w:val="21"/>
          <w:lang w:val="es-ES"/>
        </w:rPr>
        <w:t>».</w:t>
      </w:r>
    </w:p>
    <w:p w14:paraId="5A7C2565" w14:textId="77777777" w:rsidR="00D916A3" w:rsidRPr="00B81C07" w:rsidRDefault="00D916A3" w:rsidP="00D916A3">
      <w:pPr>
        <w:spacing w:line="276" w:lineRule="auto"/>
        <w:ind w:left="709" w:right="709"/>
        <w:jc w:val="both"/>
        <w:rPr>
          <w:rFonts w:ascii="Arial" w:eastAsia="Calibri" w:hAnsi="Arial" w:cs="Arial"/>
          <w:sz w:val="22"/>
          <w:szCs w:val="22"/>
          <w:lang w:val="es-ES"/>
        </w:rPr>
      </w:pPr>
    </w:p>
    <w:p w14:paraId="67B37818" w14:textId="77777777" w:rsidR="00D916A3" w:rsidRDefault="00D916A3" w:rsidP="00D916A3">
      <w:pPr>
        <w:autoSpaceDE w:val="0"/>
        <w:autoSpaceDN w:val="0"/>
        <w:adjustRightInd w:val="0"/>
        <w:spacing w:after="120" w:line="276" w:lineRule="auto"/>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De acuerdo con lo explicado anteriormente</w:t>
      </w:r>
      <w:r w:rsidRPr="00B81C07">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u</w:t>
      </w:r>
      <w:r w:rsidRPr="00F33CD0">
        <w:rPr>
          <w:rFonts w:ascii="Arial" w:eastAsiaTheme="minorHAnsi" w:hAnsi="Arial" w:cs="Arial"/>
          <w:sz w:val="22"/>
          <w:szCs w:val="22"/>
          <w:lang w:val="es-MX" w:eastAsia="en-US"/>
        </w:rPr>
        <w:t xml:space="preserve">na persona que fue contratada para la </w:t>
      </w:r>
      <w:r>
        <w:rPr>
          <w:rFonts w:ascii="Arial" w:eastAsiaTheme="minorHAnsi" w:hAnsi="Arial" w:cs="Arial"/>
          <w:sz w:val="22"/>
          <w:szCs w:val="22"/>
          <w:lang w:val="es-MX" w:eastAsia="en-US"/>
        </w:rPr>
        <w:t>elaboración</w:t>
      </w:r>
      <w:r w:rsidRPr="00F33CD0">
        <w:rPr>
          <w:rFonts w:ascii="Arial" w:eastAsiaTheme="minorHAnsi" w:hAnsi="Arial" w:cs="Arial"/>
          <w:sz w:val="22"/>
          <w:szCs w:val="22"/>
          <w:lang w:val="es-MX" w:eastAsia="en-US"/>
        </w:rPr>
        <w:t xml:space="preserve"> de los estudios y diseños previos de una obra no está inhabilitada ni en situación de incompatibilidad para participar en </w:t>
      </w:r>
      <w:r>
        <w:rPr>
          <w:rFonts w:ascii="Arial" w:eastAsiaTheme="minorHAnsi" w:hAnsi="Arial" w:cs="Arial"/>
          <w:sz w:val="22"/>
          <w:szCs w:val="22"/>
          <w:lang w:val="es-MX" w:eastAsia="en-US"/>
        </w:rPr>
        <w:t>la</w:t>
      </w:r>
      <w:r w:rsidRPr="00F33CD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selección</w:t>
      </w:r>
      <w:r w:rsidRPr="00F33CD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de</w:t>
      </w:r>
      <w:r w:rsidRPr="00F33CD0">
        <w:rPr>
          <w:rFonts w:ascii="Arial" w:eastAsiaTheme="minorHAnsi" w:hAnsi="Arial" w:cs="Arial"/>
          <w:sz w:val="22"/>
          <w:szCs w:val="22"/>
          <w:lang w:val="es-MX" w:eastAsia="en-US"/>
        </w:rPr>
        <w:t xml:space="preserve">l contratista que se encargará de </w:t>
      </w:r>
      <w:r>
        <w:rPr>
          <w:rFonts w:ascii="Arial" w:eastAsiaTheme="minorHAnsi" w:hAnsi="Arial" w:cs="Arial"/>
          <w:sz w:val="22"/>
          <w:szCs w:val="22"/>
          <w:lang w:val="es-MX" w:eastAsia="en-US"/>
        </w:rPr>
        <w:t>ejecutarla</w:t>
      </w:r>
      <w:r w:rsidRPr="00F33CD0">
        <w:rPr>
          <w:rFonts w:ascii="Arial" w:eastAsiaTheme="minorHAnsi" w:hAnsi="Arial" w:cs="Arial"/>
          <w:sz w:val="22"/>
          <w:szCs w:val="22"/>
          <w:lang w:val="es-MX" w:eastAsia="en-US"/>
        </w:rPr>
        <w:t>. Lo anterior, como consecuencia de la interpretación restrictiva que debe guiar el régimen de inhabilidades e incompatibilidades, teniendo en cuenta que estas disposiciones que regulan la materia no hacen referencia a ese supuesto de hecho</w:t>
      </w:r>
      <w:r w:rsidRPr="00B81C07">
        <w:rPr>
          <w:rFonts w:ascii="Arial" w:eastAsiaTheme="minorHAnsi" w:hAnsi="Arial" w:cs="Arial"/>
          <w:sz w:val="22"/>
          <w:szCs w:val="22"/>
          <w:lang w:val="es-MX" w:eastAsia="en-US"/>
        </w:rPr>
        <w:t>.</w:t>
      </w:r>
    </w:p>
    <w:p w14:paraId="6B1319D7" w14:textId="77777777" w:rsidR="00D916A3" w:rsidRDefault="00D916A3" w:rsidP="00D916A3">
      <w:pPr>
        <w:autoSpaceDE w:val="0"/>
        <w:autoSpaceDN w:val="0"/>
        <w:adjustRightInd w:val="0"/>
        <w:spacing w:line="276" w:lineRule="auto"/>
        <w:ind w:firstLine="708"/>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Igualmente, es posible que quien ejecute obras públicas también participe en la ejecución de contratos de estudios y diseños con la misma entidad pública. Lo anterior, debido a que –en las condiciones dispuestas por el artículo 5 de la Ley 1474 de 2011– solo se configura la inhabilidad para quien suscriba contratos de interventoría después de </w:t>
      </w:r>
      <w:r>
        <w:rPr>
          <w:rFonts w:ascii="Arial" w:hAnsi="Arial" w:cs="Arial"/>
          <w:bCs/>
          <w:color w:val="000000" w:themeColor="text1"/>
          <w:sz w:val="22"/>
          <w:lang w:val="es-ES_tradnl"/>
        </w:rPr>
        <w:lastRenderedPageBreak/>
        <w:t>celebrar previamente uno de obra. Dado que tanto el interventor como el consultor de estudios y diseños ejecutan un objeto y unas actividades completamente diferentes, la inhabilidad prevista para el primero no se extiende al segundo.</w:t>
      </w:r>
    </w:p>
    <w:p w14:paraId="56D3473D" w14:textId="77777777" w:rsidR="00D916A3" w:rsidRPr="00064944" w:rsidRDefault="00D916A3" w:rsidP="00D916A3">
      <w:pPr>
        <w:autoSpaceDE w:val="0"/>
        <w:autoSpaceDN w:val="0"/>
        <w:adjustRightInd w:val="0"/>
        <w:spacing w:after="120" w:line="276" w:lineRule="auto"/>
        <w:ind w:firstLine="709"/>
        <w:jc w:val="both"/>
        <w:rPr>
          <w:rFonts w:ascii="Arial" w:hAnsi="Arial" w:cs="Arial"/>
          <w:color w:val="000000"/>
          <w:sz w:val="22"/>
          <w:szCs w:val="22"/>
        </w:rPr>
      </w:pPr>
    </w:p>
    <w:p w14:paraId="0260CC00" w14:textId="77777777" w:rsidR="00D916A3" w:rsidRPr="006C15D5" w:rsidRDefault="00D916A3" w:rsidP="00D916A3">
      <w:pPr>
        <w:spacing w:line="276" w:lineRule="auto"/>
        <w:jc w:val="both"/>
        <w:rPr>
          <w:rFonts w:ascii="Arial" w:eastAsia="Calibri" w:hAnsi="Arial" w:cs="Arial"/>
          <w:color w:val="000000" w:themeColor="text1"/>
          <w:sz w:val="22"/>
        </w:rPr>
      </w:pPr>
      <w:r w:rsidRPr="006A443A">
        <w:rPr>
          <w:rFonts w:ascii="Arial" w:eastAsia="Calibri" w:hAnsi="Arial" w:cs="Arial"/>
          <w:color w:val="000000" w:themeColor="text1"/>
          <w:sz w:val="22"/>
          <w:szCs w:val="22"/>
        </w:rPr>
        <w:t>Este concepto tiene el alcance previsto en el artículo 28 del Cód</w:t>
      </w:r>
      <w:r w:rsidRPr="006C15D5">
        <w:rPr>
          <w:rFonts w:ascii="Arial" w:eastAsia="Calibri" w:hAnsi="Arial" w:cs="Arial"/>
          <w:color w:val="000000" w:themeColor="text1"/>
          <w:sz w:val="22"/>
        </w:rPr>
        <w:t>igo de Procedimiento Administrativo y de lo Contencioso Administrativo.</w:t>
      </w:r>
    </w:p>
    <w:p w14:paraId="567ED17F" w14:textId="77777777" w:rsidR="00D916A3" w:rsidRPr="006C15D5" w:rsidRDefault="00D916A3" w:rsidP="00D916A3">
      <w:pPr>
        <w:ind w:firstLine="709"/>
        <w:jc w:val="both"/>
        <w:rPr>
          <w:rFonts w:ascii="Arial" w:eastAsia="Calibri" w:hAnsi="Arial" w:cs="Arial"/>
          <w:color w:val="000000" w:themeColor="text1"/>
          <w:sz w:val="22"/>
        </w:rPr>
      </w:pPr>
    </w:p>
    <w:p w14:paraId="5A37E980" w14:textId="77777777" w:rsidR="00D916A3" w:rsidRDefault="00D916A3" w:rsidP="00D916A3">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2E05C7B7" w14:textId="77777777" w:rsidR="00D916A3" w:rsidRDefault="00D916A3" w:rsidP="00D916A3">
      <w:pPr>
        <w:jc w:val="center"/>
        <w:rPr>
          <w:rFonts w:ascii="Arial" w:hAnsi="Arial" w:cs="Arial"/>
          <w:color w:val="000000" w:themeColor="text1"/>
          <w:sz w:val="22"/>
          <w:lang w:eastAsia="es-CO"/>
        </w:rPr>
      </w:pPr>
      <w:r w:rsidRPr="00FC4438">
        <w:rPr>
          <w:noProof/>
        </w:rPr>
        <w:drawing>
          <wp:inline distT="0" distB="0" distL="0" distR="0" wp14:anchorId="40BF39CB" wp14:editId="0318F798">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114425"/>
                    </a:xfrm>
                    <a:prstGeom prst="rect">
                      <a:avLst/>
                    </a:prstGeom>
                  </pic:spPr>
                </pic:pic>
              </a:graphicData>
            </a:graphic>
          </wp:inline>
        </w:drawing>
      </w:r>
    </w:p>
    <w:p w14:paraId="2ECB86C2" w14:textId="77777777" w:rsidR="00D916A3" w:rsidRDefault="00D916A3" w:rsidP="00D916A3">
      <w:pPr>
        <w:jc w:val="center"/>
        <w:rPr>
          <w:rFonts w:ascii="Arial" w:hAnsi="Arial" w:cs="Arial"/>
          <w:color w:val="000000" w:themeColor="text1"/>
          <w:sz w:val="18"/>
          <w:szCs w:val="20"/>
          <w:lang w:eastAsia="es-CO"/>
        </w:rPr>
      </w:pPr>
    </w:p>
    <w:p w14:paraId="50FD7AB2" w14:textId="77777777" w:rsidR="00D916A3" w:rsidRPr="006C15D5" w:rsidRDefault="00D916A3" w:rsidP="00D916A3">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916A3" w:rsidRPr="003F6D32" w14:paraId="65F2DC1C" w14:textId="77777777" w:rsidTr="000D046A">
        <w:trPr>
          <w:trHeight w:val="315"/>
        </w:trPr>
        <w:tc>
          <w:tcPr>
            <w:tcW w:w="812" w:type="dxa"/>
            <w:vAlign w:val="center"/>
            <w:hideMark/>
          </w:tcPr>
          <w:p w14:paraId="2758DDAD" w14:textId="77777777" w:rsidR="00D916A3" w:rsidRPr="006C15D5" w:rsidRDefault="00D916A3" w:rsidP="000D046A">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73CF59D" w14:textId="77777777" w:rsidR="00D916A3" w:rsidRPr="006C15D5" w:rsidRDefault="00D916A3" w:rsidP="000D046A">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18A7519E" w14:textId="77777777" w:rsidR="00D916A3" w:rsidRPr="006C15D5" w:rsidRDefault="00D916A3" w:rsidP="000D046A">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D916A3" w:rsidRPr="003F6D32" w14:paraId="23C35AD5" w14:textId="77777777" w:rsidTr="000D046A">
        <w:trPr>
          <w:trHeight w:val="330"/>
        </w:trPr>
        <w:tc>
          <w:tcPr>
            <w:tcW w:w="812" w:type="dxa"/>
            <w:vAlign w:val="center"/>
            <w:hideMark/>
          </w:tcPr>
          <w:p w14:paraId="30F3037A" w14:textId="77777777" w:rsidR="00D916A3" w:rsidRPr="006C15D5" w:rsidRDefault="00D916A3" w:rsidP="000D046A">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D928F9" w14:textId="77777777" w:rsidR="00D916A3" w:rsidRDefault="00D916A3" w:rsidP="000D046A">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2705C781" w14:textId="77777777" w:rsidR="00D916A3" w:rsidRPr="006C15D5" w:rsidRDefault="00D916A3" w:rsidP="000D046A">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D916A3" w:rsidRPr="003F6D32" w14:paraId="3E877AA0" w14:textId="77777777" w:rsidTr="000D046A">
        <w:trPr>
          <w:trHeight w:val="300"/>
        </w:trPr>
        <w:tc>
          <w:tcPr>
            <w:tcW w:w="812" w:type="dxa"/>
            <w:vAlign w:val="center"/>
            <w:hideMark/>
          </w:tcPr>
          <w:p w14:paraId="18807559" w14:textId="77777777" w:rsidR="00D916A3" w:rsidRPr="006C15D5" w:rsidRDefault="00D916A3" w:rsidP="000D046A">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229440" w14:textId="77777777" w:rsidR="00D916A3" w:rsidRDefault="00D916A3" w:rsidP="000D046A">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309E2894" w14:textId="77777777" w:rsidR="00D916A3" w:rsidRPr="006C15D5" w:rsidRDefault="00D916A3" w:rsidP="000D046A">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6E782330" w14:textId="77777777" w:rsidR="00D916A3" w:rsidRDefault="00D916A3" w:rsidP="00D916A3"/>
    <w:p w14:paraId="183DA914" w14:textId="77777777" w:rsidR="00D916A3" w:rsidRDefault="00D916A3"/>
    <w:sectPr w:rsidR="00D916A3"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CE4E3" w14:textId="77777777" w:rsidR="00AE6618" w:rsidRDefault="00AE6618" w:rsidP="00D916A3">
      <w:r>
        <w:separator/>
      </w:r>
    </w:p>
  </w:endnote>
  <w:endnote w:type="continuationSeparator" w:id="0">
    <w:p w14:paraId="126A97B9" w14:textId="77777777" w:rsidR="00AE6618" w:rsidRDefault="00AE6618" w:rsidP="00D9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84F3" w14:textId="77777777" w:rsidR="008217B7" w:rsidRDefault="00AE6618" w:rsidP="00322937">
    <w:pPr>
      <w:pStyle w:val="Sinespaciado"/>
      <w:jc w:val="right"/>
      <w:rPr>
        <w:rFonts w:ascii="Arial" w:hAnsi="Arial" w:cs="Arial"/>
        <w:sz w:val="18"/>
        <w:szCs w:val="18"/>
      </w:rPr>
    </w:pPr>
  </w:p>
  <w:p w14:paraId="2C9A307A" w14:textId="77777777" w:rsidR="00F501D2" w:rsidRDefault="00AE6618" w:rsidP="00322937">
    <w:pPr>
      <w:pStyle w:val="Sinespaciado"/>
      <w:jc w:val="right"/>
      <w:rPr>
        <w:rFonts w:ascii="Arial" w:hAnsi="Arial" w:cs="Arial"/>
        <w:sz w:val="18"/>
        <w:szCs w:val="18"/>
      </w:rPr>
    </w:pPr>
  </w:p>
  <w:p w14:paraId="324275C3" w14:textId="77777777" w:rsidR="00FE42ED" w:rsidRPr="008217B7" w:rsidRDefault="00AE661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3AAC9195" w14:textId="77777777" w:rsidR="009047C5" w:rsidRDefault="00AE6618" w:rsidP="00322937">
    <w:pPr>
      <w:pStyle w:val="Piedepgina"/>
      <w:jc w:val="center"/>
      <w:rPr>
        <w:lang w:val="es-ES"/>
      </w:rPr>
    </w:pPr>
    <w:r>
      <w:rPr>
        <w:noProof/>
      </w:rPr>
      <w:drawing>
        <wp:inline distT="0" distB="0" distL="0" distR="0" wp14:anchorId="09CBCFEB" wp14:editId="6AF412D5">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959CF82" w14:textId="77777777" w:rsidR="00322937" w:rsidRPr="00E756AC" w:rsidRDefault="00AE6618" w:rsidP="007B0854">
    <w:pPr>
      <w:pStyle w:val="Piedepgina"/>
      <w:jc w:val="center"/>
      <w:rPr>
        <w:sz w:val="18"/>
        <w:szCs w:val="18"/>
        <w:lang w:val="es-ES"/>
      </w:rPr>
    </w:pPr>
  </w:p>
  <w:p w14:paraId="557A618D" w14:textId="77777777" w:rsidR="004A34D2" w:rsidRPr="00E756AC" w:rsidRDefault="00AE6618"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C716C" w14:textId="77777777" w:rsidR="00AE6618" w:rsidRDefault="00AE6618" w:rsidP="00D916A3">
      <w:r>
        <w:separator/>
      </w:r>
    </w:p>
  </w:footnote>
  <w:footnote w:type="continuationSeparator" w:id="0">
    <w:p w14:paraId="18983DE6" w14:textId="77777777" w:rsidR="00AE6618" w:rsidRDefault="00AE6618" w:rsidP="00D916A3">
      <w:r>
        <w:continuationSeparator/>
      </w:r>
    </w:p>
  </w:footnote>
  <w:footnote w:id="1">
    <w:p w14:paraId="6FDF2356" w14:textId="77777777" w:rsidR="00D916A3" w:rsidRPr="00AB29F3" w:rsidRDefault="00D916A3" w:rsidP="00D916A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CORTE CONSTITUCIONAL. Sentencia C-1016 de 2012. M.P. Jorge Iván Palacio. </w:t>
      </w:r>
    </w:p>
    <w:p w14:paraId="5E5B7F06" w14:textId="77777777" w:rsidR="00D916A3" w:rsidRPr="00AB29F3" w:rsidRDefault="00D916A3" w:rsidP="00D916A3">
      <w:pPr>
        <w:pStyle w:val="Textonotapie"/>
        <w:ind w:firstLine="709"/>
        <w:jc w:val="both"/>
        <w:rPr>
          <w:rFonts w:ascii="Arial" w:hAnsi="Arial" w:cs="Arial"/>
          <w:sz w:val="19"/>
          <w:szCs w:val="19"/>
        </w:rPr>
      </w:pPr>
    </w:p>
  </w:footnote>
  <w:footnote w:id="2">
    <w:p w14:paraId="7724DF6B" w14:textId="77777777" w:rsidR="00D916A3" w:rsidRDefault="00D916A3" w:rsidP="00D916A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CONSEJO DE ESTADO. Sección Tercera. Subsección A. Sentencia del 13 de noviembre de 2013. Rad. 25.646. C.P. Mauricio Fajardo Gómez.  </w:t>
      </w:r>
    </w:p>
    <w:p w14:paraId="5C9C0EB2" w14:textId="77777777" w:rsidR="00D916A3" w:rsidRPr="00AB29F3" w:rsidRDefault="00D916A3" w:rsidP="00D916A3">
      <w:pPr>
        <w:pStyle w:val="Textonotapie"/>
        <w:ind w:firstLine="709"/>
        <w:jc w:val="both"/>
        <w:rPr>
          <w:rFonts w:ascii="Arial" w:hAnsi="Arial" w:cs="Arial"/>
          <w:sz w:val="19"/>
          <w:szCs w:val="19"/>
        </w:rPr>
      </w:pPr>
    </w:p>
  </w:footnote>
  <w:footnote w:id="3">
    <w:p w14:paraId="69ECA232" w14:textId="77777777" w:rsidR="00D916A3" w:rsidRPr="00AB29F3" w:rsidRDefault="00D916A3" w:rsidP="00D916A3">
      <w:pPr>
        <w:pStyle w:val="Textonotapie"/>
        <w:ind w:firstLine="709"/>
        <w:jc w:val="both"/>
        <w:rPr>
          <w:rFonts w:ascii="Arial" w:hAnsi="Arial" w:cs="Arial"/>
          <w:sz w:val="19"/>
          <w:szCs w:val="19"/>
        </w:rPr>
      </w:pPr>
      <w:r w:rsidRPr="00AB29F3">
        <w:rPr>
          <w:rFonts w:ascii="Arial" w:hAnsi="Arial" w:cs="Arial"/>
          <w:sz w:val="19"/>
          <w:szCs w:val="19"/>
          <w:vertAlign w:val="superscript"/>
        </w:rPr>
        <w:footnoteRef/>
      </w:r>
      <w:r w:rsidRPr="00AB29F3">
        <w:rPr>
          <w:rFonts w:ascii="Arial" w:hAnsi="Arial" w:cs="Arial"/>
          <w:sz w:val="19"/>
          <w:szCs w:val="19"/>
        </w:rPr>
        <w:t xml:space="preserve"> CORTE CONSTITUCIONAL. Sentencia C-415 de 1994. M.P. Eduardo Cifuentes Muñoz. </w:t>
      </w:r>
    </w:p>
    <w:p w14:paraId="361748B5" w14:textId="77777777" w:rsidR="00D916A3" w:rsidRPr="00AB29F3" w:rsidRDefault="00D916A3" w:rsidP="00D916A3">
      <w:pPr>
        <w:pStyle w:val="Textonotapie"/>
        <w:ind w:firstLine="709"/>
        <w:jc w:val="both"/>
        <w:rPr>
          <w:rFonts w:ascii="Arial" w:hAnsi="Arial" w:cs="Arial"/>
          <w:sz w:val="19"/>
          <w:szCs w:val="19"/>
        </w:rPr>
      </w:pPr>
    </w:p>
  </w:footnote>
  <w:footnote w:id="4">
    <w:p w14:paraId="364D1ADA" w14:textId="77777777" w:rsidR="00D916A3" w:rsidRDefault="00D916A3" w:rsidP="00D916A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D43B86">
        <w:rPr>
          <w:rFonts w:ascii="Arial" w:hAnsi="Arial" w:cs="Arial"/>
          <w:i/>
          <w:iCs/>
          <w:sz w:val="19"/>
          <w:szCs w:val="19"/>
        </w:rPr>
        <w:t>Ibídem</w:t>
      </w:r>
      <w:r w:rsidRPr="00AB29F3">
        <w:rPr>
          <w:rFonts w:ascii="Arial" w:hAnsi="Arial" w:cs="Arial"/>
          <w:sz w:val="19"/>
          <w:szCs w:val="19"/>
        </w:rPr>
        <w:t xml:space="preserve">. </w:t>
      </w:r>
    </w:p>
    <w:p w14:paraId="470BE188" w14:textId="77777777" w:rsidR="00D916A3" w:rsidRPr="00AB29F3" w:rsidRDefault="00D916A3" w:rsidP="00D916A3">
      <w:pPr>
        <w:pStyle w:val="Textonotapie"/>
        <w:ind w:firstLine="709"/>
        <w:jc w:val="both"/>
        <w:rPr>
          <w:rFonts w:ascii="Arial" w:hAnsi="Arial" w:cs="Arial"/>
          <w:sz w:val="19"/>
          <w:szCs w:val="19"/>
        </w:rPr>
      </w:pPr>
    </w:p>
  </w:footnote>
  <w:footnote w:id="5">
    <w:p w14:paraId="2DD7EB0F" w14:textId="77777777" w:rsidR="00D916A3" w:rsidRPr="00AB29F3" w:rsidRDefault="00D916A3" w:rsidP="00D916A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CORTE CONSTITUCIONAL. Sentencia C-780 de 2001. M.P. Jaime Córdoba Triviño. </w:t>
      </w:r>
    </w:p>
  </w:footnote>
  <w:footnote w:id="6">
    <w:p w14:paraId="4F617152"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AB29F3">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68452C94"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»a) Las personas que se hallen inhabilitadas para contratar por la Constitución y las leyes. </w:t>
      </w:r>
    </w:p>
    <w:p w14:paraId="40CC2925"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»b) Quienes participaron en las licitaciones o concursos o celebraron los contratos de que trata el literal anterior estando inhabilitados. </w:t>
      </w:r>
    </w:p>
    <w:p w14:paraId="7353422F"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»c) Quienes dieron lugar a la declaratoria de caducidad. </w:t>
      </w:r>
    </w:p>
    <w:p w14:paraId="5C1F0BCB"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»d) Quienes en sentencia judicial hayan sido condenados a la pena accesoria de interdicción de derechos y funciones públicas y quienes hayan sido sancionados disciplinariamente con destitución. </w:t>
      </w:r>
    </w:p>
    <w:p w14:paraId="2E145B5D"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»e) Quienes sin justa causa se abstengan de suscribir el contrato estatal adjudicado. </w:t>
      </w:r>
    </w:p>
    <w:p w14:paraId="5E01D8D9"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»f) Los servidores públicos. </w:t>
      </w:r>
    </w:p>
    <w:p w14:paraId="07E8E36A"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0C69002D"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33386756"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»i) Los socios de sociedades de personas a las cuales se haya declarado la caducidad, así como las sociedades de personas de las que aquellos formen parte con posterioridad a dicha declaratoria. </w:t>
      </w:r>
    </w:p>
    <w:p w14:paraId="15E10F6F"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7619C9D9"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56617055"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AB29F3">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AB29F3">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AB29F3">
        <w:rPr>
          <w:rFonts w:ascii="Arial" w:eastAsiaTheme="minorHAnsi" w:hAnsi="Arial" w:cs="Arial"/>
          <w:sz w:val="19"/>
          <w:szCs w:val="19"/>
          <w:lang w:val="es-ES" w:eastAsia="en-US"/>
        </w:rPr>
        <w:softHyphen/>
        <w:t>nería jurídica en los términos de ley, o cuyos representantes legales, ad</w:t>
      </w:r>
      <w:r w:rsidRPr="00AB29F3">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AB29F3">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731F594C"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w:t>
      </w:r>
    </w:p>
    <w:p w14:paraId="14B1B272"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»2o. Tampoco podrán participar en licitaciones o concursos ni celebrar contratos estatales con la entidad respectiva: </w:t>
      </w:r>
    </w:p>
    <w:p w14:paraId="00178062"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20A4CF39"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6DAE8A35"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5BF90C30"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7C556DDE"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7464D515"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p>
    <w:p w14:paraId="5B4F7526" w14:textId="77777777" w:rsidR="00D916A3" w:rsidRPr="00AB29F3" w:rsidRDefault="00D916A3" w:rsidP="00D916A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 xml:space="preserve">[…]». </w:t>
      </w:r>
    </w:p>
  </w:footnote>
  <w:footnote w:id="7">
    <w:p w14:paraId="124E09A6" w14:textId="77777777" w:rsidR="00D916A3" w:rsidRPr="00AB29F3" w:rsidRDefault="00D916A3" w:rsidP="00D916A3">
      <w:pPr>
        <w:pStyle w:val="Textonotapie"/>
        <w:ind w:firstLine="709"/>
        <w:jc w:val="both"/>
        <w:rPr>
          <w:rFonts w:ascii="Arial" w:hAnsi="Arial" w:cs="Arial"/>
          <w:sz w:val="19"/>
          <w:szCs w:val="19"/>
          <w:lang w:val="es-ES"/>
        </w:rPr>
      </w:pPr>
      <w:r w:rsidRPr="00AB29F3">
        <w:rPr>
          <w:rStyle w:val="Refdenotaalpie"/>
          <w:rFonts w:ascii="Arial" w:hAnsi="Arial" w:cs="Arial"/>
          <w:sz w:val="19"/>
          <w:szCs w:val="19"/>
        </w:rPr>
        <w:footnoteRef/>
      </w:r>
      <w:r w:rsidRPr="00AB29F3">
        <w:rPr>
          <w:rFonts w:ascii="Arial" w:hAnsi="Arial" w:cs="Arial"/>
          <w:sz w:val="19"/>
          <w:szCs w:val="19"/>
        </w:rPr>
        <w:t xml:space="preserve"> DÁVILA VINUEZA, Luis Guillermo. </w:t>
      </w:r>
      <w:r w:rsidRPr="00AB29F3">
        <w:rPr>
          <w:rFonts w:ascii="Arial" w:hAnsi="Arial" w:cs="Arial"/>
          <w:sz w:val="19"/>
          <w:szCs w:val="19"/>
          <w:lang w:val="es-ES"/>
        </w:rPr>
        <w:t xml:space="preserve">Régimen Jurídico De La Contratación Estatal. Recuperado de https://xperta.legis.co, Capítulo VI Inhabilidades e Incompatibilidades, Sección 2 Interpretación Restrictiva. </w:t>
      </w:r>
    </w:p>
    <w:p w14:paraId="56D4ECC9" w14:textId="77777777" w:rsidR="00D916A3" w:rsidRPr="00AB29F3" w:rsidRDefault="00D916A3" w:rsidP="00D916A3">
      <w:pPr>
        <w:pStyle w:val="Textonotapie"/>
        <w:ind w:firstLine="709"/>
        <w:jc w:val="both"/>
        <w:rPr>
          <w:rFonts w:ascii="Arial" w:hAnsi="Arial" w:cs="Arial"/>
          <w:sz w:val="19"/>
          <w:szCs w:val="19"/>
          <w:lang w:val="es-ES"/>
        </w:rPr>
      </w:pPr>
    </w:p>
  </w:footnote>
  <w:footnote w:id="8">
    <w:p w14:paraId="418CBFCC" w14:textId="77777777" w:rsidR="00D916A3" w:rsidRPr="00AB29F3" w:rsidRDefault="00D916A3" w:rsidP="00D916A3">
      <w:pPr>
        <w:pStyle w:val="Textonotapie"/>
        <w:ind w:firstLine="709"/>
        <w:jc w:val="both"/>
        <w:rPr>
          <w:rFonts w:ascii="Arial" w:hAnsi="Arial" w:cs="Arial"/>
          <w:sz w:val="19"/>
          <w:szCs w:val="19"/>
          <w:lang w:val="es-ES"/>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AB29F3">
        <w:rPr>
          <w:rFonts w:ascii="Arial" w:hAnsi="Arial" w:cs="Arial"/>
          <w:sz w:val="19"/>
          <w:szCs w:val="19"/>
          <w:lang w:val="es-ES"/>
        </w:rPr>
        <w:t xml:space="preserve">CORTE CONSTITUCIONAL. Sentencia T-1039 de 2006. </w:t>
      </w:r>
      <w:r w:rsidRPr="00322B68">
        <w:rPr>
          <w:rFonts w:ascii="Arial" w:hAnsi="Arial" w:cs="Arial"/>
          <w:sz w:val="19"/>
          <w:szCs w:val="19"/>
          <w:lang w:val="it-IT"/>
        </w:rPr>
        <w:t xml:space="preserve">M.P. Humberto Sierra Porto. </w:t>
      </w:r>
      <w:r w:rsidRPr="00AB29F3">
        <w:rPr>
          <w:rFonts w:ascii="Arial" w:hAnsi="Arial" w:cs="Arial"/>
          <w:sz w:val="19"/>
          <w:szCs w:val="19"/>
          <w:lang w:val="es-ES"/>
        </w:rPr>
        <w:t xml:space="preserve">La Corte Constitucional ha mantenido este criterio en las sentencias: C-903 de 2008. M.P. Jaime Araujo Rentería; C-101 de 2018. M.P. Gloria Stella Ortiz Delgado; entre otras. </w:t>
      </w:r>
    </w:p>
    <w:p w14:paraId="4FA6DAB6" w14:textId="77777777" w:rsidR="00D916A3" w:rsidRPr="00AB29F3" w:rsidRDefault="00D916A3" w:rsidP="00D916A3">
      <w:pPr>
        <w:pStyle w:val="Textonotapie"/>
        <w:ind w:firstLine="709"/>
        <w:jc w:val="both"/>
        <w:rPr>
          <w:rFonts w:ascii="Arial" w:hAnsi="Arial" w:cs="Arial"/>
          <w:sz w:val="19"/>
          <w:szCs w:val="19"/>
          <w:lang w:val="es-ES"/>
        </w:rPr>
      </w:pPr>
    </w:p>
  </w:footnote>
  <w:footnote w:id="9">
    <w:p w14:paraId="4F215DA5" w14:textId="77777777" w:rsidR="00D916A3" w:rsidRPr="00AB29F3" w:rsidRDefault="00D916A3" w:rsidP="00D916A3">
      <w:pPr>
        <w:pStyle w:val="Textonotapie"/>
        <w:ind w:firstLine="709"/>
        <w:jc w:val="both"/>
        <w:rPr>
          <w:rFonts w:ascii="Arial" w:hAnsi="Arial" w:cs="Arial"/>
          <w:sz w:val="19"/>
          <w:szCs w:val="19"/>
          <w:lang w:val="es-ES"/>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AB29F3">
        <w:rPr>
          <w:rFonts w:ascii="Arial" w:hAnsi="Arial" w:cs="Arial"/>
          <w:sz w:val="19"/>
          <w:szCs w:val="19"/>
          <w:lang w:val="es-ES"/>
        </w:rPr>
        <w:t>CONSEJO DE ESTADO. Sala de Consulta y Servicio Civil. Concepto del 30 de abril de 2015. Exp. 2251. Consejero Ponente: Álvaro Namén Vargas.</w:t>
      </w:r>
    </w:p>
    <w:p w14:paraId="4E126180" w14:textId="77777777" w:rsidR="00D916A3" w:rsidRPr="00AB29F3" w:rsidRDefault="00D916A3" w:rsidP="00D916A3">
      <w:pPr>
        <w:pStyle w:val="Textonotapie"/>
        <w:ind w:firstLine="709"/>
        <w:jc w:val="both"/>
        <w:rPr>
          <w:rFonts w:ascii="Arial" w:hAnsi="Arial" w:cs="Arial"/>
          <w:sz w:val="19"/>
          <w:szCs w:val="19"/>
          <w:lang w:val="es-ES"/>
        </w:rPr>
      </w:pPr>
    </w:p>
  </w:footnote>
  <w:footnote w:id="10">
    <w:p w14:paraId="32334E2F" w14:textId="77777777" w:rsidR="00D916A3" w:rsidRPr="00AB29F3" w:rsidRDefault="00D916A3" w:rsidP="00D916A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CONSEJO DE ESTADO. Sección Tercera. Subsección A. Sentencia del 24 de junio de 2015. Rad. 40.635. Consejero Ponente: Hernán Andrade Rincón (E).</w:t>
      </w:r>
    </w:p>
    <w:p w14:paraId="754B1D04" w14:textId="77777777" w:rsidR="00D916A3" w:rsidRPr="00AB29F3" w:rsidRDefault="00D916A3" w:rsidP="00D916A3">
      <w:pPr>
        <w:pStyle w:val="Textonotapie"/>
        <w:ind w:firstLine="709"/>
        <w:jc w:val="both"/>
        <w:rPr>
          <w:rFonts w:ascii="Arial" w:hAnsi="Arial" w:cs="Arial"/>
          <w:sz w:val="19"/>
          <w:szCs w:val="19"/>
        </w:rPr>
      </w:pPr>
    </w:p>
  </w:footnote>
  <w:footnote w:id="11">
    <w:p w14:paraId="5DA50847" w14:textId="77777777" w:rsidR="00D916A3" w:rsidRPr="00AB29F3" w:rsidRDefault="00D916A3" w:rsidP="00D916A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CONSEJO DE ESTADO. Sección Tercera. Subsección C. Sentencia del 22 de mayo de 2013. Rad. 24.057. Consejera Ponente: Olga Melida Valle De De La Hoz.</w:t>
      </w:r>
    </w:p>
    <w:p w14:paraId="1F3B864E" w14:textId="77777777" w:rsidR="00D916A3" w:rsidRPr="00AB29F3" w:rsidRDefault="00D916A3" w:rsidP="00D916A3">
      <w:pPr>
        <w:pStyle w:val="Textonotapie"/>
        <w:ind w:firstLine="709"/>
        <w:jc w:val="both"/>
        <w:rPr>
          <w:rFonts w:ascii="Arial" w:hAnsi="Arial" w:cs="Arial"/>
          <w:sz w:val="19"/>
          <w:szCs w:val="19"/>
        </w:rPr>
      </w:pPr>
    </w:p>
  </w:footnote>
  <w:footnote w:id="12">
    <w:p w14:paraId="499C1123" w14:textId="77777777" w:rsidR="00D916A3" w:rsidRPr="00AB29F3" w:rsidRDefault="00D916A3" w:rsidP="00D916A3">
      <w:pPr>
        <w:pStyle w:val="Textonotapie"/>
        <w:ind w:firstLine="709"/>
        <w:jc w:val="both"/>
        <w:rPr>
          <w:rFonts w:ascii="Arial" w:hAnsi="Arial" w:cs="Arial"/>
          <w:color w:val="000000" w:themeColor="text1"/>
          <w:sz w:val="19"/>
          <w:szCs w:val="19"/>
          <w:lang w:val="es-ES"/>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w:t>
      </w:r>
      <w:r w:rsidRPr="00AB29F3">
        <w:rPr>
          <w:rFonts w:ascii="Arial" w:hAnsi="Arial" w:cs="Arial"/>
          <w:color w:val="000000" w:themeColor="text1"/>
          <w:sz w:val="19"/>
          <w:szCs w:val="19"/>
          <w:lang w:val="es-ES"/>
        </w:rPr>
        <w:t>«Las entidades y los servidores públicos, responderán cuando hubieren abierto licitaciones sin haber elaborado previamente los correspondientes pliegos de condiciones, diseños, estudios, planos y evaluaciones que fueren necesarios, o cuando los pliegos de condiciones hayan sido elaborados en forma incompleta, ambigua o confusa que conduzcan a interpretaciones o decisiones de carácter subjetivo por parte de aquellos».</w:t>
      </w:r>
    </w:p>
    <w:p w14:paraId="034A4B67" w14:textId="77777777" w:rsidR="00D916A3" w:rsidRPr="00AB29F3" w:rsidRDefault="00D916A3" w:rsidP="00D916A3">
      <w:pPr>
        <w:pStyle w:val="Textonotapie"/>
        <w:ind w:firstLine="709"/>
        <w:jc w:val="both"/>
        <w:rPr>
          <w:rFonts w:ascii="Arial" w:hAnsi="Arial" w:cs="Arial"/>
          <w:color w:val="000000" w:themeColor="text1"/>
          <w:sz w:val="19"/>
          <w:szCs w:val="19"/>
          <w:lang w:val="es-ES"/>
        </w:rPr>
      </w:pPr>
    </w:p>
  </w:footnote>
  <w:footnote w:id="13">
    <w:p w14:paraId="543B602B" w14:textId="77777777" w:rsidR="00D916A3" w:rsidRPr="00AB29F3" w:rsidRDefault="00D916A3" w:rsidP="00D916A3">
      <w:pPr>
        <w:pStyle w:val="Textonotapie"/>
        <w:ind w:firstLine="709"/>
        <w:jc w:val="both"/>
        <w:rPr>
          <w:rFonts w:ascii="Arial" w:hAnsi="Arial" w:cs="Arial"/>
          <w:color w:val="000000" w:themeColor="text1"/>
          <w:sz w:val="19"/>
          <w:szCs w:val="19"/>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Este tipo contractual se define en el artículo 32, numeral 2º de la Ley 80 de 1993 de la siguiente manera: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4E542D8" w14:textId="77777777" w:rsidR="00D916A3" w:rsidRPr="00AB29F3" w:rsidRDefault="00D916A3" w:rsidP="00D916A3">
      <w:pPr>
        <w:pStyle w:val="Textonotapie"/>
        <w:ind w:firstLine="709"/>
        <w:jc w:val="both"/>
        <w:rPr>
          <w:rFonts w:ascii="Arial" w:hAnsi="Arial" w:cs="Arial"/>
          <w:color w:val="000000" w:themeColor="text1"/>
          <w:sz w:val="19"/>
          <w:szCs w:val="19"/>
        </w:rPr>
      </w:pPr>
      <w:r w:rsidRPr="00AB29F3">
        <w:rPr>
          <w:rFonts w:ascii="Arial" w:hAnsi="Arial" w:cs="Arial"/>
          <w:color w:val="000000" w:themeColor="text1"/>
          <w:sz w:val="19"/>
          <w:szCs w:val="19"/>
        </w:rPr>
        <w:t xml:space="preserve">»Son también contratos de consultoría los que tienen por objeto la interventoría, asesoría, gerencia de obra o de proyectos, dirección, programación y la ejecución de diseños, planos, anteproyectos y proyectos». </w:t>
      </w:r>
    </w:p>
    <w:p w14:paraId="6A420E31" w14:textId="77777777" w:rsidR="00D916A3" w:rsidRPr="00AB29F3" w:rsidRDefault="00D916A3" w:rsidP="00D916A3">
      <w:pPr>
        <w:pStyle w:val="Textonotapie"/>
        <w:ind w:firstLine="709"/>
        <w:jc w:val="both"/>
        <w:rPr>
          <w:rFonts w:ascii="Arial" w:hAnsi="Arial" w:cs="Arial"/>
          <w:color w:val="000000" w:themeColor="text1"/>
          <w:sz w:val="19"/>
          <w:szCs w:val="19"/>
        </w:rPr>
      </w:pPr>
    </w:p>
  </w:footnote>
  <w:footnote w:id="14">
    <w:p w14:paraId="032750B6" w14:textId="77777777" w:rsidR="00D916A3" w:rsidRPr="00AB29F3" w:rsidRDefault="00D916A3" w:rsidP="00D916A3">
      <w:pPr>
        <w:pStyle w:val="Textonotapie"/>
        <w:ind w:firstLine="709"/>
        <w:jc w:val="both"/>
        <w:rPr>
          <w:rFonts w:ascii="Arial" w:hAnsi="Arial" w:cs="Arial"/>
          <w:color w:val="000000" w:themeColor="text1"/>
          <w:sz w:val="19"/>
          <w:szCs w:val="19"/>
          <w:lang w:val="es-ES"/>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w:t>
      </w:r>
      <w:r w:rsidRPr="00AB29F3">
        <w:rPr>
          <w:rFonts w:ascii="Arial" w:hAnsi="Arial" w:cs="Arial"/>
          <w:color w:val="000000" w:themeColor="text1"/>
          <w:sz w:val="19"/>
          <w:szCs w:val="19"/>
          <w:lang w:val="es-ES"/>
        </w:rPr>
        <w:t>Dicho numeral establece: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650009B" w14:textId="77777777" w:rsidR="00D916A3" w:rsidRPr="00AB29F3" w:rsidRDefault="00D916A3" w:rsidP="00D916A3">
      <w:pPr>
        <w:pStyle w:val="Textonotapie"/>
        <w:ind w:firstLine="709"/>
        <w:jc w:val="both"/>
        <w:rPr>
          <w:rFonts w:ascii="Arial" w:hAnsi="Arial" w:cs="Arial"/>
          <w:color w:val="000000" w:themeColor="text1"/>
          <w:sz w:val="19"/>
          <w:szCs w:val="19"/>
          <w:lang w:val="es-ES"/>
        </w:rPr>
      </w:pPr>
      <w:r w:rsidRPr="00AB29F3">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1633ED6A" w14:textId="77777777" w:rsidR="00D916A3" w:rsidRDefault="00D916A3" w:rsidP="00D916A3">
      <w:pPr>
        <w:pStyle w:val="Textonotapie"/>
        <w:ind w:firstLine="709"/>
        <w:jc w:val="both"/>
        <w:rPr>
          <w:rFonts w:ascii="Arial" w:hAnsi="Arial" w:cs="Arial"/>
          <w:color w:val="000000" w:themeColor="text1"/>
          <w:sz w:val="19"/>
          <w:szCs w:val="19"/>
          <w:lang w:val="es-ES"/>
        </w:rPr>
      </w:pPr>
      <w:r w:rsidRPr="00AB29F3">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14:paraId="6127C157" w14:textId="77777777" w:rsidR="00D916A3" w:rsidRPr="00AB29F3" w:rsidRDefault="00D916A3" w:rsidP="00D916A3">
      <w:pPr>
        <w:pStyle w:val="Textonotapie"/>
        <w:ind w:firstLine="709"/>
        <w:jc w:val="both"/>
        <w:rPr>
          <w:rFonts w:ascii="Arial" w:hAnsi="Arial" w:cs="Arial"/>
          <w:color w:val="000000" w:themeColor="text1"/>
          <w:sz w:val="19"/>
          <w:szCs w:val="19"/>
          <w:lang w:val="es-CO"/>
        </w:rPr>
      </w:pPr>
    </w:p>
  </w:footnote>
  <w:footnote w:id="15">
    <w:p w14:paraId="4D310B89" w14:textId="77777777" w:rsidR="00D916A3" w:rsidRPr="00AB29F3" w:rsidRDefault="00D916A3" w:rsidP="00D916A3">
      <w:pPr>
        <w:ind w:firstLine="709"/>
        <w:jc w:val="both"/>
        <w:rPr>
          <w:rFonts w:ascii="Arial" w:hAnsi="Arial" w:cs="Arial"/>
          <w:color w:val="000000" w:themeColor="text1"/>
          <w:sz w:val="19"/>
          <w:szCs w:val="19"/>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El artículo 2.2.1.2.1.3.9., numeral 2º, del Decreto 1082 de 2015 establece que el organismo asesor en el concurso de arquitectura «Es el ente idóneo en la materia de arquitectura que organiza y diseña los aspectos técnicos del concurso de arquitectura y, actúa como coordinador entre la Entidad Estatal promotora y el jurado calificador, y entre éstos con los proponentes».</w:t>
      </w:r>
    </w:p>
    <w:p w14:paraId="6D9453F1" w14:textId="77777777" w:rsidR="00D916A3" w:rsidRPr="00AB29F3" w:rsidRDefault="00D916A3" w:rsidP="00D916A3">
      <w:pPr>
        <w:pStyle w:val="Textonotapie"/>
        <w:ind w:firstLine="709"/>
        <w:jc w:val="both"/>
        <w:rPr>
          <w:rFonts w:ascii="Arial" w:hAnsi="Arial" w:cs="Arial"/>
          <w:color w:val="000000" w:themeColor="text1"/>
          <w:sz w:val="19"/>
          <w:szCs w:val="19"/>
          <w:lang w:val="es-CO"/>
        </w:rPr>
      </w:pPr>
    </w:p>
  </w:footnote>
  <w:footnote w:id="16">
    <w:p w14:paraId="6E654833" w14:textId="77777777" w:rsidR="00D916A3" w:rsidRDefault="00D916A3" w:rsidP="00D916A3">
      <w:pPr>
        <w:pStyle w:val="Textonotapie"/>
        <w:ind w:firstLine="708"/>
        <w:jc w:val="both"/>
        <w:rPr>
          <w:rFonts w:ascii="Arial" w:hAnsi="Arial" w:cs="Arial"/>
          <w:sz w:val="19"/>
          <w:szCs w:val="19"/>
        </w:rPr>
      </w:pPr>
      <w:r w:rsidRPr="00262753">
        <w:rPr>
          <w:rStyle w:val="Refdenotaalpie"/>
          <w:rFonts w:ascii="Arial" w:hAnsi="Arial" w:cs="Arial"/>
          <w:sz w:val="19"/>
          <w:szCs w:val="19"/>
        </w:rPr>
        <w:footnoteRef/>
      </w:r>
      <w:r w:rsidRPr="00262753">
        <w:rPr>
          <w:rFonts w:ascii="Arial" w:hAnsi="Arial" w:cs="Arial"/>
          <w:sz w:val="19"/>
          <w:szCs w:val="19"/>
        </w:rPr>
        <w:t xml:space="preserve"> </w:t>
      </w:r>
      <w:r>
        <w:rPr>
          <w:rFonts w:ascii="Arial" w:hAnsi="Arial" w:cs="Arial"/>
          <w:sz w:val="19"/>
          <w:szCs w:val="19"/>
        </w:rPr>
        <w:t>La norma dispone que «</w:t>
      </w:r>
      <w:r w:rsidRPr="001577BF">
        <w:rPr>
          <w:rFonts w:ascii="Arial" w:hAnsi="Arial" w:cs="Arial"/>
          <w:sz w:val="19"/>
          <w:szCs w:val="19"/>
        </w:rPr>
        <w:t>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w:t>
      </w:r>
      <w:r>
        <w:rPr>
          <w:rFonts w:ascii="Arial" w:hAnsi="Arial" w:cs="Arial"/>
          <w:sz w:val="19"/>
          <w:szCs w:val="19"/>
        </w:rPr>
        <w:t>»</w:t>
      </w:r>
      <w:r w:rsidRPr="001577BF">
        <w:rPr>
          <w:rFonts w:ascii="Arial" w:hAnsi="Arial" w:cs="Arial"/>
          <w:sz w:val="19"/>
          <w:szCs w:val="19"/>
        </w:rPr>
        <w:t>.</w:t>
      </w:r>
    </w:p>
    <w:p w14:paraId="3E8FABE9" w14:textId="77777777" w:rsidR="00D916A3" w:rsidRPr="00262753" w:rsidRDefault="00D916A3" w:rsidP="00D916A3">
      <w:pPr>
        <w:pStyle w:val="Textonotapie"/>
        <w:ind w:firstLine="708"/>
        <w:jc w:val="both"/>
        <w:rPr>
          <w:rFonts w:ascii="Arial" w:hAnsi="Arial" w:cs="Arial"/>
          <w:sz w:val="19"/>
          <w:szCs w:val="19"/>
          <w:lang w:val="es-ES"/>
        </w:rPr>
      </w:pPr>
    </w:p>
  </w:footnote>
  <w:footnote w:id="17">
    <w:p w14:paraId="28C2EC54" w14:textId="77777777" w:rsidR="00D916A3" w:rsidRPr="007056C6" w:rsidRDefault="00D916A3" w:rsidP="00D916A3">
      <w:pPr>
        <w:pStyle w:val="Textonotapie"/>
        <w:ind w:firstLine="708"/>
        <w:jc w:val="both"/>
        <w:rPr>
          <w:rFonts w:ascii="Arial" w:hAnsi="Arial" w:cs="Arial"/>
          <w:sz w:val="19"/>
          <w:szCs w:val="19"/>
          <w:lang w:val="es-ES"/>
        </w:rPr>
      </w:pPr>
      <w:r w:rsidRPr="00262753">
        <w:rPr>
          <w:rStyle w:val="Refdenotaalpie"/>
          <w:rFonts w:ascii="Arial" w:hAnsi="Arial" w:cs="Arial"/>
          <w:sz w:val="19"/>
          <w:szCs w:val="19"/>
        </w:rPr>
        <w:footnoteRef/>
      </w:r>
      <w:r w:rsidRPr="00262753">
        <w:rPr>
          <w:rFonts w:ascii="Arial" w:hAnsi="Arial" w:cs="Arial"/>
          <w:sz w:val="19"/>
          <w:szCs w:val="19"/>
        </w:rPr>
        <w:t xml:space="preserve"> </w:t>
      </w:r>
      <w:r w:rsidRPr="001577BF">
        <w:rPr>
          <w:rFonts w:ascii="Arial" w:hAnsi="Arial" w:cs="Arial"/>
          <w:sz w:val="19"/>
          <w:szCs w:val="19"/>
        </w:rPr>
        <w:t>Para estos efectos, es necesario tener en cuenta que –conforme a lo explicado en la Sentencia C-618 de 2012– el artículo 5 de la Ley 1474 de 2011 busca preservar la independencia y objetividad del interventor.</w:t>
      </w:r>
      <w:r>
        <w:rPr>
          <w:rFonts w:ascii="Arial" w:hAnsi="Arial" w:cs="Arial"/>
          <w:sz w:val="19"/>
          <w:szCs w:val="19"/>
        </w:rPr>
        <w:t xml:space="preserve"> En efecto, «[…] </w:t>
      </w:r>
      <w:r w:rsidRPr="001577BF">
        <w:rPr>
          <w:rFonts w:ascii="Arial" w:hAnsi="Arial" w:cs="Arial"/>
          <w:sz w:val="19"/>
          <w:szCs w:val="19"/>
          <w:lang w:val="es-CO"/>
        </w:rPr>
        <w:t>un interventor que ejerza su labor de vigilancia seguimiento y control sobre uno cualquiera de los contratos que, de acuerdo con la norma examinada, genera el impedimento cuestionado bien podría direccionar sus compromisos contractuales bajo un enfoque específico indeseable u omitir ciertos requerimientos de sus deberes o exigirlos con mediana intensidad o adoptar un cierto modo de proceder en la asunción de decisiones propias de su labor revisora, en aras de consolidar un determinado entendimiento sobre los puntos controvertidos del contrato sometido a su vigilancia y nada obstaría que esas posiciones o maneras de actuar estuviesen determinadas o fuesen el resultado del interés directo o indirecto de dicho interventor de que las mismas reglas o pautas se apliquen a otro contrato de la misma u otra naturaleza en los que éste, sus familiares o sus socios tenga celebrado con la misma entidad. Si bien semejante interferencia o cruce de intereses pudiera ser el resultado de una suposición extrema, en la práctica tal situación bien podría darse y, de entrada, la misma deberá tenerse como inaceptable en la medida en que resulta gravemente atentatoria de todos los principios que orienta la función administrativa y, en particular, el interés público y el patrimonio del Estado</w:t>
      </w:r>
      <w:r>
        <w:rPr>
          <w:rFonts w:ascii="Arial" w:hAnsi="Arial" w:cs="Arial"/>
          <w:sz w:val="19"/>
          <w:szCs w:val="19"/>
          <w:lang w:val="es-CO"/>
        </w:rPr>
        <w:t xml:space="preserve">» (Cfr. Corte Constitucional. Sentencia </w:t>
      </w:r>
      <w:r w:rsidRPr="001577BF">
        <w:rPr>
          <w:rFonts w:ascii="Arial" w:hAnsi="Arial" w:cs="Arial"/>
          <w:sz w:val="19"/>
          <w:szCs w:val="19"/>
        </w:rPr>
        <w:t>C-618 de 2012</w:t>
      </w:r>
      <w:r>
        <w:rPr>
          <w:rFonts w:ascii="Arial" w:hAnsi="Arial" w:cs="Arial"/>
          <w:sz w:val="19"/>
          <w:szCs w:val="19"/>
        </w:rPr>
        <w:t xml:space="preserve">. M.P. </w:t>
      </w:r>
      <w:r w:rsidRPr="00553BDB">
        <w:rPr>
          <w:rFonts w:ascii="Arial" w:hAnsi="Arial" w:cs="Arial"/>
          <w:sz w:val="19"/>
          <w:szCs w:val="19"/>
        </w:rPr>
        <w:t>Gabriel Eduardo Mendoza Martelo</w:t>
      </w:r>
      <w:r>
        <w:rPr>
          <w:rFonts w:ascii="Arial" w:hAnsi="Arial" w:cs="Arial"/>
          <w:sz w:val="19"/>
          <w:szCs w:val="19"/>
        </w:rPr>
        <w:t>).</w:t>
      </w:r>
      <w:r>
        <w:rPr>
          <w:rFonts w:ascii="Arial" w:hAnsi="Arial" w:cs="Arial"/>
          <w:sz w:val="19"/>
          <w:szCs w:val="19"/>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0E75" w14:textId="77777777" w:rsidR="007B0854" w:rsidRDefault="00AE6618">
    <w:pPr>
      <w:pStyle w:val="Encabezado"/>
    </w:pPr>
    <w:r>
      <w:rPr>
        <w:noProof/>
        <w:lang w:val="es-CO" w:eastAsia="es-CO"/>
      </w:rPr>
      <w:drawing>
        <wp:anchor distT="0" distB="0" distL="114300" distR="114300" simplePos="0" relativeHeight="251659264" behindDoc="1" locked="0" layoutInCell="1" allowOverlap="1" wp14:anchorId="59CC536B" wp14:editId="0EA923B7">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A3"/>
    <w:rsid w:val="00AE6618"/>
    <w:rsid w:val="00D916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C602433"/>
  <w15:chartTrackingRefBased/>
  <w15:docId w15:val="{6D89CD98-3808-774F-B66C-FA3C4A10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A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16A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916A3"/>
    <w:rPr>
      <w:szCs w:val="22"/>
      <w:lang w:val="es-MX"/>
    </w:rPr>
  </w:style>
  <w:style w:type="paragraph" w:styleId="Encabezado">
    <w:name w:val="header"/>
    <w:basedOn w:val="Normal"/>
    <w:link w:val="EncabezadoCar"/>
    <w:uiPriority w:val="99"/>
    <w:unhideWhenUsed/>
    <w:rsid w:val="00D916A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916A3"/>
    <w:rPr>
      <w:szCs w:val="22"/>
      <w:lang w:val="es-MX"/>
    </w:rPr>
  </w:style>
  <w:style w:type="table" w:styleId="Tablaconcuadrcula">
    <w:name w:val="Table Grid"/>
    <w:basedOn w:val="Tablanormal"/>
    <w:uiPriority w:val="39"/>
    <w:rsid w:val="00D916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916A3"/>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916A3"/>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916A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916A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916A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916A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916A3"/>
    <w:rPr>
      <w:vertAlign w:val="superscript"/>
    </w:rPr>
  </w:style>
  <w:style w:type="paragraph" w:styleId="NormalWeb">
    <w:name w:val="Normal (Web)"/>
    <w:basedOn w:val="Normal"/>
    <w:link w:val="NormalWebCar"/>
    <w:uiPriority w:val="99"/>
    <w:unhideWhenUsed/>
    <w:rsid w:val="00D916A3"/>
    <w:pPr>
      <w:spacing w:before="100" w:beforeAutospacing="1" w:after="100" w:afterAutospacing="1"/>
    </w:pPr>
  </w:style>
  <w:style w:type="paragraph" w:customStyle="1" w:styleId="xxmsonospacing">
    <w:name w:val="x_xmsonospacing"/>
    <w:basedOn w:val="Normal"/>
    <w:rsid w:val="00D916A3"/>
    <w:pPr>
      <w:spacing w:before="100" w:beforeAutospacing="1" w:after="100" w:afterAutospacing="1"/>
    </w:pPr>
  </w:style>
  <w:style w:type="paragraph" w:customStyle="1" w:styleId="Appelnotedebasde">
    <w:name w:val="Appel note de bas de..."/>
    <w:basedOn w:val="Normal"/>
    <w:link w:val="Refdenotaalpie"/>
    <w:uiPriority w:val="99"/>
    <w:rsid w:val="00D916A3"/>
    <w:pPr>
      <w:spacing w:after="160" w:line="240" w:lineRule="exact"/>
    </w:pPr>
    <w:rPr>
      <w:rFonts w:asciiTheme="minorHAnsi" w:eastAsiaTheme="minorHAnsi" w:hAnsiTheme="minorHAnsi" w:cstheme="minorBidi"/>
      <w:vertAlign w:val="superscript"/>
      <w:lang w:eastAsia="en-US"/>
    </w:rPr>
  </w:style>
  <w:style w:type="character" w:customStyle="1" w:styleId="normaltextrun">
    <w:name w:val="normaltextrun"/>
    <w:basedOn w:val="Fuentedeprrafopredeter"/>
    <w:rsid w:val="00D916A3"/>
  </w:style>
  <w:style w:type="character" w:customStyle="1" w:styleId="NormalWebCar">
    <w:name w:val="Normal (Web) Car"/>
    <w:link w:val="NormalWeb"/>
    <w:uiPriority w:val="99"/>
    <w:rsid w:val="00D916A3"/>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49B14E0-3BA9-47B4-95D0-05F499EA4A8F}"/>
</file>

<file path=customXml/itemProps2.xml><?xml version="1.0" encoding="utf-8"?>
<ds:datastoreItem xmlns:ds="http://schemas.openxmlformats.org/officeDocument/2006/customXml" ds:itemID="{373061F8-5E92-4D1E-B978-8E1552FC4FC7}"/>
</file>

<file path=customXml/itemProps3.xml><?xml version="1.0" encoding="utf-8"?>
<ds:datastoreItem xmlns:ds="http://schemas.openxmlformats.org/officeDocument/2006/customXml" ds:itemID="{F83CC1D2-D162-495B-AA79-552FA23196EF}"/>
</file>

<file path=docProps/app.xml><?xml version="1.0" encoding="utf-8"?>
<Properties xmlns="http://schemas.openxmlformats.org/officeDocument/2006/extended-properties" xmlns:vt="http://schemas.openxmlformats.org/officeDocument/2006/docPropsVTypes">
  <Template>Normal.dotm</Template>
  <TotalTime>0</TotalTime>
  <Pages>13</Pages>
  <Words>3858</Words>
  <Characters>21225</Characters>
  <Application>Microsoft Office Word</Application>
  <DocSecurity>0</DocSecurity>
  <Lines>176</Lines>
  <Paragraphs>50</Paragraphs>
  <ScaleCrop>false</ScaleCrop>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2021-03-17T15:04:00Z</dcterms:created>
  <dcterms:modified xsi:type="dcterms:W3CDTF">2021-03-17T15:04:00Z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