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C036D" w:rsidR="00DD5B04" w:rsidP="00AA7A60" w:rsidRDefault="00B55C69" w14:paraId="40EA575F" w14:textId="28E910D2">
      <w:pPr>
        <w:jc w:val="right"/>
        <w:rPr>
          <w:rFonts w:ascii="Arial" w:hAnsi="Arial" w:eastAsia="Calibri" w:cs="Arial"/>
          <w:b/>
          <w:color w:val="000000" w:themeColor="text1"/>
          <w:sz w:val="20"/>
          <w:szCs w:val="20"/>
          <w:lang w:val="es-ES_tradnl"/>
        </w:rPr>
      </w:pPr>
      <w:bookmarkStart w:name="_Hlk28946138" w:id="0"/>
      <w:bookmarkStart w:name="_Hlk29548183" w:id="1"/>
      <w:r w:rsidRPr="008C036D">
        <w:rPr>
          <w:rFonts w:ascii="Arial" w:hAnsi="Arial" w:cs="Arial"/>
          <w:b/>
          <w:color w:val="000000" w:themeColor="text1"/>
          <w:sz w:val="16"/>
          <w:szCs w:val="16"/>
          <w:lang w:val="es-ES_tradnl" w:eastAsia="es-ES"/>
        </w:rPr>
        <w:t>CCE-DES-FM-17</w:t>
      </w:r>
    </w:p>
    <w:bookmarkEnd w:id="0"/>
    <w:bookmarkEnd w:id="1"/>
    <w:p w:rsidR="00F623E5" w:rsidP="00E55C0B" w:rsidRDefault="00F623E5" w14:paraId="72A00493" w14:textId="77777777">
      <w:pPr>
        <w:jc w:val="both"/>
        <w:rPr>
          <w:rFonts w:ascii="Arial" w:hAnsi="Arial" w:cs="Arial" w:eastAsiaTheme="minorHAnsi"/>
          <w:b/>
          <w:color w:val="000000" w:themeColor="text1"/>
          <w:sz w:val="22"/>
          <w:szCs w:val="22"/>
          <w:lang w:val="es-MX" w:eastAsia="es-ES"/>
        </w:rPr>
      </w:pPr>
    </w:p>
    <w:p w:rsidRPr="00E55C0B" w:rsidR="00E55C0B" w:rsidP="00E55C0B" w:rsidRDefault="00E55C0B" w14:paraId="13FAC566" w14:textId="6702D486">
      <w:pPr>
        <w:jc w:val="both"/>
        <w:rPr>
          <w:rFonts w:ascii="Arial" w:hAnsi="Arial" w:cs="Arial" w:eastAsiaTheme="minorHAnsi"/>
          <w:b/>
          <w:color w:val="000000" w:themeColor="text1"/>
          <w:sz w:val="22"/>
          <w:szCs w:val="22"/>
          <w:lang w:val="es-MX" w:eastAsia="es-ES"/>
        </w:rPr>
      </w:pPr>
      <w:r w:rsidRPr="00E55C0B">
        <w:rPr>
          <w:rFonts w:ascii="Arial" w:hAnsi="Arial" w:cs="Arial" w:eastAsiaTheme="minorHAnsi"/>
          <w:b/>
          <w:color w:val="000000" w:themeColor="text1"/>
          <w:sz w:val="22"/>
          <w:szCs w:val="22"/>
          <w:lang w:val="es-MX" w:eastAsia="es-ES"/>
        </w:rPr>
        <w:t>LIBRETA MILITAR – Exigibilidad</w:t>
      </w:r>
    </w:p>
    <w:p w:rsidR="00B2411E" w:rsidP="00E55C0B" w:rsidRDefault="00B2411E" w14:paraId="7D988D9C" w14:textId="77777777">
      <w:pPr>
        <w:jc w:val="both"/>
        <w:rPr>
          <w:rFonts w:ascii="Arial" w:hAnsi="Arial" w:cs="Arial" w:eastAsiaTheme="minorHAnsi"/>
          <w:color w:val="000000" w:themeColor="text1"/>
          <w:sz w:val="20"/>
          <w:szCs w:val="20"/>
          <w:lang w:val="es-MX" w:eastAsia="en-US"/>
        </w:rPr>
      </w:pPr>
    </w:p>
    <w:p w:rsidR="00E122F6" w:rsidP="00E55C0B" w:rsidRDefault="00B2411E" w14:paraId="04B473D2" w14:textId="0E8E3946">
      <w:pPr>
        <w:jc w:val="both"/>
        <w:rPr>
          <w:rFonts w:ascii="Arial" w:hAnsi="Arial" w:cs="Arial" w:eastAsiaTheme="minorHAnsi"/>
          <w:color w:val="000000" w:themeColor="text1"/>
          <w:sz w:val="20"/>
          <w:szCs w:val="20"/>
          <w:lang w:val="es-MX" w:eastAsia="en-US"/>
        </w:rPr>
      </w:pPr>
      <w:r>
        <w:rPr>
          <w:rFonts w:ascii="Arial" w:hAnsi="Arial" w:cs="Arial" w:eastAsiaTheme="minorHAnsi"/>
          <w:color w:val="000000" w:themeColor="text1"/>
          <w:sz w:val="20"/>
          <w:szCs w:val="20"/>
          <w:lang w:val="es-MX" w:eastAsia="en-US"/>
        </w:rPr>
        <w:t>E</w:t>
      </w:r>
      <w:r w:rsidRPr="00B2411E">
        <w:rPr>
          <w:rFonts w:ascii="Arial" w:hAnsi="Arial" w:cs="Arial" w:eastAsiaTheme="minorHAnsi"/>
          <w:color w:val="000000" w:themeColor="text1"/>
          <w:sz w:val="20"/>
          <w:szCs w:val="20"/>
          <w:lang w:val="es-MX" w:eastAsia="en-US"/>
        </w:rPr>
        <w:t xml:space="preserve">l inciso segundo </w:t>
      </w:r>
      <w:r>
        <w:rPr>
          <w:rFonts w:ascii="Arial" w:hAnsi="Arial" w:cs="Arial" w:eastAsiaTheme="minorHAnsi"/>
          <w:color w:val="000000" w:themeColor="text1"/>
          <w:sz w:val="20"/>
          <w:szCs w:val="20"/>
          <w:lang w:val="es-MX" w:eastAsia="en-US"/>
        </w:rPr>
        <w:t>del artículo 42 de la Ley 1861 de 2017</w:t>
      </w:r>
      <w:r w:rsidRPr="00B2411E">
        <w:rPr>
          <w:rFonts w:ascii="Arial" w:hAnsi="Arial" w:cs="Arial" w:eastAsiaTheme="minorHAnsi"/>
          <w:color w:val="000000" w:themeColor="text1"/>
          <w:sz w:val="20"/>
          <w:szCs w:val="20"/>
          <w:lang w:val="es-MX" w:eastAsia="en-US"/>
        </w:rPr>
        <w:t xml:space="preserve"> estableció la prohibición de exigir la libreta militar para ingresar a un empleo, y de igual forma, permitió el acceso temporal a un empleo a quienes no hayan definido su situación militar, pero hayan sido declaradas no aptas, exentas o hayan superado la edad máxima de incorporación a filas</w:t>
      </w:r>
      <w:r>
        <w:rPr>
          <w:rFonts w:ascii="Arial" w:hAnsi="Arial" w:cs="Arial" w:eastAsiaTheme="minorHAnsi"/>
          <w:color w:val="000000" w:themeColor="text1"/>
          <w:sz w:val="20"/>
          <w:szCs w:val="20"/>
          <w:lang w:val="es-MX" w:eastAsia="en-US"/>
        </w:rPr>
        <w:t>.</w:t>
      </w:r>
    </w:p>
    <w:p w:rsidRPr="00E55C0B" w:rsidR="00E55C0B" w:rsidP="00E55C0B" w:rsidRDefault="00E55C0B" w14:paraId="31F02873" w14:textId="77777777">
      <w:pPr>
        <w:jc w:val="both"/>
        <w:rPr>
          <w:rFonts w:ascii="Arial" w:hAnsi="Arial" w:cs="Arial" w:eastAsiaTheme="minorHAnsi"/>
          <w:color w:val="000000" w:themeColor="text1"/>
          <w:sz w:val="20"/>
          <w:szCs w:val="20"/>
          <w:lang w:val="es-MX" w:eastAsia="en-US"/>
        </w:rPr>
      </w:pPr>
    </w:p>
    <w:p w:rsidRPr="00E55C0B" w:rsidR="00E55C0B" w:rsidP="00E55C0B" w:rsidRDefault="00E55C0B" w14:paraId="654CA482" w14:textId="42F509DD">
      <w:pPr>
        <w:jc w:val="both"/>
        <w:rPr>
          <w:rFonts w:ascii="Arial" w:hAnsi="Arial" w:cs="Arial" w:eastAsiaTheme="minorHAnsi"/>
          <w:b/>
          <w:bCs/>
          <w:color w:val="000000" w:themeColor="text1"/>
          <w:sz w:val="22"/>
          <w:szCs w:val="22"/>
          <w:lang w:val="es-MX" w:eastAsia="es-ES"/>
        </w:rPr>
      </w:pPr>
      <w:r w:rsidRPr="00E55C0B">
        <w:rPr>
          <w:rFonts w:ascii="Arial" w:hAnsi="Arial" w:cs="Arial" w:eastAsiaTheme="minorHAnsi"/>
          <w:b/>
          <w:bCs/>
          <w:color w:val="000000" w:themeColor="text1"/>
          <w:sz w:val="22"/>
          <w:szCs w:val="22"/>
          <w:lang w:val="es-MX" w:eastAsia="es-ES"/>
        </w:rPr>
        <w:t>LIBRETA MILITAR – Excepciones</w:t>
      </w:r>
    </w:p>
    <w:p w:rsidRPr="00E55C0B" w:rsidR="00E55C0B" w:rsidP="00E55C0B" w:rsidRDefault="00E55C0B" w14:paraId="484FFC2C" w14:textId="77777777">
      <w:pPr>
        <w:jc w:val="both"/>
        <w:rPr>
          <w:rFonts w:ascii="Arial" w:hAnsi="Arial" w:cs="Arial" w:eastAsiaTheme="minorHAnsi"/>
          <w:color w:val="000000" w:themeColor="text1"/>
          <w:sz w:val="20"/>
          <w:szCs w:val="20"/>
          <w:lang w:val="es-MX" w:eastAsia="en-US"/>
        </w:rPr>
      </w:pPr>
    </w:p>
    <w:p w:rsidR="002415B8" w:rsidP="00B2411E" w:rsidRDefault="00B2411E" w14:paraId="2AD1B276" w14:textId="44A99D35">
      <w:pPr>
        <w:jc w:val="both"/>
        <w:rPr>
          <w:rFonts w:ascii="Arial" w:hAnsi="Arial" w:cs="Arial" w:eastAsiaTheme="minorHAnsi"/>
          <w:color w:val="000000" w:themeColor="text1"/>
          <w:sz w:val="20"/>
          <w:szCs w:val="20"/>
          <w:lang w:val="es-MX" w:eastAsia="en-US"/>
        </w:rPr>
      </w:pPr>
      <w:r>
        <w:rPr>
          <w:rFonts w:ascii="Arial" w:hAnsi="Arial" w:cs="Arial" w:eastAsiaTheme="minorHAnsi"/>
          <w:color w:val="000000" w:themeColor="text1"/>
          <w:sz w:val="20"/>
          <w:szCs w:val="20"/>
          <w:lang w:val="es-MX" w:eastAsia="en-US"/>
        </w:rPr>
        <w:t>A</w:t>
      </w:r>
      <w:r w:rsidRPr="00B2411E">
        <w:rPr>
          <w:rFonts w:ascii="Arial" w:hAnsi="Arial" w:cs="Arial" w:eastAsiaTheme="minorHAnsi"/>
          <w:color w:val="000000" w:themeColor="text1"/>
          <w:sz w:val="20"/>
          <w:szCs w:val="20"/>
          <w:lang w:val="es-MX" w:eastAsia="en-US"/>
        </w:rPr>
        <w:t>demás de las personas señaladas en el inciso 2 del artículo 42 de la Ley 1861 de 2017, las personas aptas pero exoneradas de pagar la cuota de compensación militar también pueden acceder al beneficio previsto en el mismo inciso</w:t>
      </w:r>
      <w:r>
        <w:rPr>
          <w:rFonts w:ascii="Arial" w:hAnsi="Arial" w:cs="Arial" w:eastAsiaTheme="minorHAnsi"/>
          <w:color w:val="000000" w:themeColor="text1"/>
          <w:sz w:val="20"/>
          <w:szCs w:val="20"/>
          <w:lang w:val="es-MX" w:eastAsia="en-US"/>
        </w:rPr>
        <w:t>.</w:t>
      </w:r>
    </w:p>
    <w:p w:rsidRPr="00B2411E" w:rsidR="00B2411E" w:rsidP="00B2411E" w:rsidRDefault="00B2411E" w14:paraId="5422587D" w14:textId="77777777">
      <w:pPr>
        <w:jc w:val="both"/>
        <w:rPr>
          <w:rFonts w:ascii="Arial" w:hAnsi="Arial" w:cs="Arial" w:eastAsiaTheme="minorHAnsi"/>
          <w:color w:val="000000" w:themeColor="text1"/>
          <w:sz w:val="20"/>
          <w:szCs w:val="20"/>
          <w:lang w:val="es-MX" w:eastAsia="en-US"/>
        </w:rPr>
      </w:pPr>
    </w:p>
    <w:p w:rsidRPr="00E122F6" w:rsidR="00E122F6" w:rsidP="008C036D" w:rsidRDefault="00E122F6" w14:paraId="4B14D66A" w14:textId="5C2B73CD">
      <w:pPr>
        <w:tabs>
          <w:tab w:val="left" w:pos="1073"/>
        </w:tabs>
        <w:spacing w:line="276" w:lineRule="auto"/>
        <w:jc w:val="both"/>
        <w:rPr>
          <w:rFonts w:ascii="Arial" w:hAnsi="Arial" w:cs="Arial"/>
          <w:b/>
          <w:noProof/>
          <w:color w:val="000000" w:themeColor="text1"/>
          <w:sz w:val="22"/>
          <w:lang w:val="es-ES_tradnl"/>
        </w:rPr>
      </w:pPr>
      <w:r w:rsidRPr="00E122F6">
        <w:rPr>
          <w:rFonts w:ascii="Arial" w:hAnsi="Arial" w:cs="Arial"/>
          <w:b/>
          <w:noProof/>
          <w:color w:val="000000" w:themeColor="text1"/>
          <w:sz w:val="22"/>
          <w:lang w:val="es-ES_tradnl"/>
        </w:rPr>
        <w:t>DEFINICIÓN DE LA SITUACI</w:t>
      </w:r>
      <w:r>
        <w:rPr>
          <w:rFonts w:ascii="Arial" w:hAnsi="Arial" w:cs="Arial"/>
          <w:b/>
          <w:noProof/>
          <w:color w:val="000000" w:themeColor="text1"/>
          <w:sz w:val="22"/>
          <w:lang w:val="es-ES_tradnl"/>
        </w:rPr>
        <w:t xml:space="preserve">ÓN MILITAR </w:t>
      </w:r>
      <w:r w:rsidRPr="00E122F6">
        <w:rPr>
          <w:rFonts w:ascii="Arial" w:hAnsi="Arial" w:cs="Arial"/>
          <w:b/>
          <w:noProof/>
          <w:color w:val="000000" w:themeColor="text1"/>
          <w:sz w:val="22"/>
          <w:lang w:val="es-ES_tradnl"/>
        </w:rPr>
        <w:t xml:space="preserve"> </w:t>
      </w:r>
      <w:r w:rsidRPr="00E55C0B">
        <w:rPr>
          <w:rFonts w:ascii="Arial" w:hAnsi="Arial" w:cs="Arial" w:eastAsiaTheme="minorHAnsi"/>
          <w:b/>
          <w:bCs/>
          <w:color w:val="000000" w:themeColor="text1"/>
          <w:sz w:val="22"/>
          <w:szCs w:val="22"/>
          <w:lang w:val="es-MX" w:eastAsia="es-ES"/>
        </w:rPr>
        <w:t xml:space="preserve">– </w:t>
      </w:r>
      <w:r w:rsidRPr="00E122F6">
        <w:rPr>
          <w:rFonts w:ascii="Arial" w:hAnsi="Arial" w:cs="Arial"/>
          <w:b/>
          <w:noProof/>
          <w:color w:val="000000" w:themeColor="text1"/>
          <w:sz w:val="22"/>
          <w:lang w:val="es-ES_tradnl"/>
        </w:rPr>
        <w:t>PLAZOS</w:t>
      </w:r>
      <w:r>
        <w:rPr>
          <w:rFonts w:ascii="Arial" w:hAnsi="Arial" w:cs="Arial"/>
          <w:b/>
          <w:noProof/>
          <w:color w:val="000000" w:themeColor="text1"/>
          <w:sz w:val="22"/>
          <w:lang w:val="es-ES_tradnl"/>
        </w:rPr>
        <w:t xml:space="preserve"> </w:t>
      </w:r>
      <w:r w:rsidRPr="00E55C0B">
        <w:rPr>
          <w:rFonts w:ascii="Arial" w:hAnsi="Arial" w:cs="Arial" w:eastAsiaTheme="minorHAnsi"/>
          <w:b/>
          <w:bCs/>
          <w:color w:val="000000" w:themeColor="text1"/>
          <w:sz w:val="22"/>
          <w:szCs w:val="22"/>
          <w:lang w:val="es-MX" w:eastAsia="es-ES"/>
        </w:rPr>
        <w:t>–</w:t>
      </w:r>
      <w:r>
        <w:rPr>
          <w:rFonts w:ascii="Arial" w:hAnsi="Arial" w:cs="Arial" w:eastAsiaTheme="minorHAnsi"/>
          <w:b/>
          <w:bCs/>
          <w:color w:val="000000" w:themeColor="text1"/>
          <w:sz w:val="22"/>
          <w:szCs w:val="22"/>
          <w:lang w:val="es-MX" w:eastAsia="es-ES"/>
        </w:rPr>
        <w:t xml:space="preserve"> VERIFICACIÓN</w:t>
      </w:r>
    </w:p>
    <w:p w:rsidR="00E122F6" w:rsidP="008C036D" w:rsidRDefault="00E122F6" w14:paraId="1DD4FED3" w14:textId="77777777">
      <w:pPr>
        <w:tabs>
          <w:tab w:val="left" w:pos="1073"/>
        </w:tabs>
        <w:spacing w:line="276" w:lineRule="auto"/>
        <w:jc w:val="both"/>
        <w:rPr>
          <w:rFonts w:ascii="Arial" w:hAnsi="Arial" w:cs="Arial"/>
          <w:noProof/>
          <w:color w:val="000000" w:themeColor="text1"/>
          <w:sz w:val="22"/>
          <w:lang w:val="es-ES_tradnl"/>
        </w:rPr>
      </w:pPr>
    </w:p>
    <w:p w:rsidR="00E122F6" w:rsidP="00E122F6" w:rsidRDefault="00E122F6" w14:paraId="043CBAD4" w14:textId="6413D9F0">
      <w:pPr>
        <w:jc w:val="both"/>
        <w:rPr>
          <w:rFonts w:ascii="Arial" w:hAnsi="Arial" w:cs="Arial" w:eastAsiaTheme="minorHAnsi"/>
          <w:color w:val="000000" w:themeColor="text1"/>
          <w:sz w:val="20"/>
          <w:szCs w:val="20"/>
          <w:lang w:val="es-MX" w:eastAsia="en-US"/>
        </w:rPr>
      </w:pPr>
      <w:r w:rsidRPr="00E55C0B">
        <w:rPr>
          <w:rFonts w:ascii="Arial" w:hAnsi="Arial" w:cs="Arial" w:eastAsiaTheme="minorHAnsi"/>
          <w:color w:val="000000" w:themeColor="text1"/>
          <w:sz w:val="20"/>
          <w:szCs w:val="20"/>
          <w:lang w:val="es-MX" w:eastAsia="en-US"/>
        </w:rPr>
        <w:t>[…],</w:t>
      </w:r>
      <w:r>
        <w:rPr>
          <w:rFonts w:ascii="Arial" w:hAnsi="Arial" w:cs="Arial" w:eastAsiaTheme="minorHAnsi"/>
          <w:color w:val="000000" w:themeColor="text1"/>
          <w:sz w:val="20"/>
          <w:szCs w:val="20"/>
          <w:lang w:val="es-MX" w:eastAsia="en-US"/>
        </w:rPr>
        <w:t xml:space="preserve"> l</w:t>
      </w:r>
      <w:r w:rsidRPr="00E122F6">
        <w:rPr>
          <w:rFonts w:ascii="Arial" w:hAnsi="Arial" w:cs="Arial" w:eastAsiaTheme="minorHAnsi"/>
          <w:color w:val="000000" w:themeColor="text1"/>
          <w:sz w:val="20"/>
          <w:szCs w:val="20"/>
          <w:lang w:val="es-MX" w:eastAsia="en-US"/>
        </w:rPr>
        <w:t>a</w:t>
      </w:r>
      <w:r>
        <w:rPr>
          <w:rFonts w:ascii="Arial" w:hAnsi="Arial" w:cs="Arial" w:eastAsiaTheme="minorHAnsi"/>
          <w:color w:val="000000" w:themeColor="text1"/>
          <w:sz w:val="20"/>
          <w:szCs w:val="20"/>
          <w:lang w:val="es-MX" w:eastAsia="en-US"/>
        </w:rPr>
        <w:t>s</w:t>
      </w:r>
      <w:r w:rsidRPr="00E122F6">
        <w:rPr>
          <w:rFonts w:ascii="Arial" w:hAnsi="Arial" w:cs="Arial" w:eastAsiaTheme="minorHAnsi"/>
          <w:color w:val="000000" w:themeColor="text1"/>
          <w:sz w:val="20"/>
          <w:szCs w:val="20"/>
          <w:lang w:val="es-MX" w:eastAsia="en-US"/>
        </w:rPr>
        <w:t xml:space="preserve"> personas que no hayan definido su situación militar pero que hayan sido declaradas no aptas, exentas, hayan superado la edad máxima de incorporación a filas y aptas pero exoneradas de pagar la cuota de compensación militar, podrán acceder a un empleo sin haber definido su situación militar. Para tales efectos, el inciso segundo del artículo 42 de la Ley 1861 de 2017 otorgó un plazo de 18 meses para definirla, contados a partir de la vinculación laboral, exceptuando la contabilización de este término en los casos en que las demoras no le sean imputables al trabajador. </w:t>
      </w:r>
    </w:p>
    <w:p w:rsidR="00E122F6" w:rsidP="00E122F6" w:rsidRDefault="00E122F6" w14:paraId="103785E7" w14:textId="77777777">
      <w:pPr>
        <w:jc w:val="both"/>
        <w:rPr>
          <w:rFonts w:ascii="Arial" w:hAnsi="Arial" w:cs="Arial" w:eastAsiaTheme="minorHAnsi"/>
          <w:color w:val="000000" w:themeColor="text1"/>
          <w:sz w:val="20"/>
          <w:szCs w:val="20"/>
          <w:lang w:val="es-MX" w:eastAsia="en-US"/>
        </w:rPr>
      </w:pPr>
    </w:p>
    <w:p w:rsidRPr="00E122F6" w:rsidR="00E122F6" w:rsidP="00E122F6" w:rsidRDefault="00E122F6" w14:paraId="3D189AD4" w14:textId="11F0FE42">
      <w:pPr>
        <w:jc w:val="both"/>
        <w:rPr>
          <w:rFonts w:ascii="Arial" w:hAnsi="Arial" w:cs="Arial" w:eastAsiaTheme="minorHAnsi"/>
          <w:color w:val="000000" w:themeColor="text1"/>
          <w:sz w:val="20"/>
          <w:szCs w:val="20"/>
          <w:lang w:val="es-MX" w:eastAsia="en-US"/>
        </w:rPr>
      </w:pPr>
      <w:r w:rsidRPr="00E55C0B">
        <w:rPr>
          <w:rFonts w:ascii="Arial" w:hAnsi="Arial" w:cs="Arial" w:eastAsiaTheme="minorHAnsi"/>
          <w:color w:val="000000" w:themeColor="text1"/>
          <w:sz w:val="20"/>
          <w:szCs w:val="20"/>
          <w:lang w:val="es-MX" w:eastAsia="en-US"/>
        </w:rPr>
        <w:t>[…],</w:t>
      </w:r>
      <w:r w:rsidR="00B2411E">
        <w:rPr>
          <w:rFonts w:ascii="Arial" w:hAnsi="Arial" w:cs="Arial" w:eastAsiaTheme="minorHAnsi"/>
          <w:color w:val="000000" w:themeColor="text1"/>
          <w:sz w:val="20"/>
          <w:szCs w:val="20"/>
          <w:lang w:val="es-MX" w:eastAsia="en-US"/>
        </w:rPr>
        <w:t xml:space="preserve"> </w:t>
      </w:r>
      <w:r w:rsidRPr="00B2411E" w:rsidR="00B2411E">
        <w:rPr>
          <w:rFonts w:ascii="Arial" w:hAnsi="Arial" w:cs="Arial" w:eastAsiaTheme="minorHAnsi"/>
          <w:color w:val="000000" w:themeColor="text1"/>
          <w:sz w:val="20"/>
          <w:szCs w:val="20"/>
          <w:lang w:eastAsia="en-US"/>
        </w:rPr>
        <w:t>si bien el plazo de 18 meses debe contabilizarse a partir de la fecha de su vinculación laboral, para ingresar al empleo previamente deberá presentar la certificación provisional en línea que acredite que la situación militar se encuentra en trámite. Para ello, le corresponderá a cada entidad verificar la validez y vigencia de los certificados expedidos, con el fin de revisar que se encuentren dentro del plazo límite establecido.</w:t>
      </w:r>
    </w:p>
    <w:p w:rsidR="00E122F6" w:rsidP="008C036D" w:rsidRDefault="00E122F6" w14:paraId="2355544F" w14:textId="77777777">
      <w:pPr>
        <w:tabs>
          <w:tab w:val="left" w:pos="1073"/>
        </w:tabs>
        <w:spacing w:line="276" w:lineRule="auto"/>
        <w:jc w:val="both"/>
        <w:rPr>
          <w:rFonts w:ascii="Arial" w:hAnsi="Arial" w:cs="Arial"/>
          <w:noProof/>
          <w:color w:val="000000" w:themeColor="text1"/>
          <w:sz w:val="22"/>
          <w:lang w:val="es-ES_tradnl"/>
        </w:rPr>
      </w:pPr>
    </w:p>
    <w:p w:rsidRPr="006470BB" w:rsidR="00E122F6" w:rsidP="006470BB" w:rsidRDefault="006470BB" w14:paraId="689CB503" w14:textId="3977F980">
      <w:pPr>
        <w:tabs>
          <w:tab w:val="left" w:pos="1073"/>
        </w:tabs>
        <w:spacing w:line="276" w:lineRule="auto"/>
        <w:jc w:val="both"/>
        <w:rPr>
          <w:rFonts w:ascii="Arial" w:hAnsi="Arial" w:cs="Arial" w:eastAsiaTheme="minorHAnsi"/>
          <w:b/>
          <w:color w:val="000000" w:themeColor="text1"/>
          <w:sz w:val="20"/>
          <w:szCs w:val="20"/>
          <w:lang w:val="es-MX" w:eastAsia="en-US"/>
        </w:rPr>
      </w:pPr>
      <w:r w:rsidRPr="006470BB">
        <w:rPr>
          <w:rFonts w:ascii="Arial" w:hAnsi="Arial" w:cs="Arial"/>
          <w:b/>
          <w:noProof/>
          <w:color w:val="000000" w:themeColor="text1"/>
          <w:sz w:val="22"/>
          <w:lang w:val="es-ES_tradnl"/>
        </w:rPr>
        <w:t>SITUACIÓN MILITAR</w:t>
      </w:r>
      <w:r>
        <w:rPr>
          <w:rFonts w:ascii="Arial" w:hAnsi="Arial" w:cs="Arial"/>
          <w:b/>
          <w:noProof/>
          <w:color w:val="000000" w:themeColor="text1"/>
          <w:sz w:val="22"/>
          <w:lang w:val="es-ES_tradnl"/>
        </w:rPr>
        <w:t xml:space="preserve"> </w:t>
      </w:r>
      <w:r w:rsidRPr="006470BB">
        <w:rPr>
          <w:rFonts w:ascii="Arial" w:hAnsi="Arial" w:cs="Arial"/>
          <w:b/>
          <w:noProof/>
          <w:color w:val="000000" w:themeColor="text1"/>
          <w:sz w:val="22"/>
          <w:lang w:val="es-ES_tradnl"/>
        </w:rPr>
        <w:t>–</w:t>
      </w:r>
      <w:r>
        <w:rPr>
          <w:rFonts w:ascii="Arial" w:hAnsi="Arial" w:cs="Arial"/>
          <w:b/>
          <w:noProof/>
          <w:color w:val="000000" w:themeColor="text1"/>
          <w:sz w:val="22"/>
          <w:lang w:val="es-ES_tradnl"/>
        </w:rPr>
        <w:t xml:space="preserve"> </w:t>
      </w:r>
      <w:r w:rsidRPr="006470BB">
        <w:rPr>
          <w:rFonts w:ascii="Arial" w:hAnsi="Arial" w:cs="Arial"/>
          <w:b/>
          <w:noProof/>
          <w:color w:val="000000" w:themeColor="text1"/>
          <w:sz w:val="22"/>
          <w:lang w:val="es-ES_tradnl"/>
        </w:rPr>
        <w:t xml:space="preserve">CONTRATOS DE PRESTACIÓN DE SERVICIOS </w:t>
      </w:r>
    </w:p>
    <w:p w:rsidR="00E122F6" w:rsidP="00E122F6" w:rsidRDefault="00E122F6" w14:paraId="5ED91259" w14:textId="77777777">
      <w:pPr>
        <w:jc w:val="both"/>
        <w:rPr>
          <w:rFonts w:ascii="Arial" w:hAnsi="Arial" w:cs="Arial" w:eastAsiaTheme="minorHAnsi"/>
          <w:color w:val="000000" w:themeColor="text1"/>
          <w:sz w:val="20"/>
          <w:szCs w:val="20"/>
          <w:lang w:val="es-MX" w:eastAsia="en-US"/>
        </w:rPr>
      </w:pPr>
    </w:p>
    <w:p w:rsidR="00F623E5" w:rsidP="00E122F6" w:rsidRDefault="006470BB" w14:paraId="2DB8591F" w14:textId="14BF5A54">
      <w:pPr>
        <w:jc w:val="both"/>
        <w:rPr>
          <w:rFonts w:ascii="Arial" w:hAnsi="Arial" w:cs="Arial" w:eastAsiaTheme="minorHAnsi"/>
          <w:color w:val="000000" w:themeColor="text1"/>
          <w:sz w:val="20"/>
          <w:szCs w:val="20"/>
          <w:lang w:val="es-MX" w:eastAsia="en-US"/>
        </w:rPr>
      </w:pPr>
      <w:r w:rsidRPr="00E55C0B">
        <w:rPr>
          <w:rFonts w:ascii="Arial" w:hAnsi="Arial" w:cs="Arial" w:eastAsiaTheme="minorHAnsi"/>
          <w:color w:val="000000" w:themeColor="text1"/>
          <w:sz w:val="20"/>
          <w:szCs w:val="20"/>
          <w:lang w:val="es-MX" w:eastAsia="en-US"/>
        </w:rPr>
        <w:t>[…],</w:t>
      </w:r>
      <w:r w:rsidRPr="00B2411E" w:rsidR="00B2411E">
        <w:rPr>
          <w:rFonts w:ascii="Arial" w:hAnsi="Arial" w:cs="Arial" w:eastAsiaTheme="minorHAnsi"/>
          <w:color w:val="000000" w:themeColor="text1"/>
          <w:sz w:val="22"/>
          <w:szCs w:val="22"/>
          <w:lang w:val="es-MX" w:eastAsia="en-US"/>
        </w:rPr>
        <w:t xml:space="preserve"> </w:t>
      </w:r>
      <w:r w:rsidRPr="00B2411E" w:rsidR="00B2411E">
        <w:rPr>
          <w:rFonts w:ascii="Arial" w:hAnsi="Arial" w:cs="Arial" w:eastAsiaTheme="minorHAnsi"/>
          <w:color w:val="000000" w:themeColor="text1"/>
          <w:sz w:val="20"/>
          <w:szCs w:val="20"/>
          <w:lang w:val="es-MX" w:eastAsia="en-US"/>
        </w:rPr>
        <w:t>el plazo de 18 meses para definir la situación militar, fijado en el artículo 42 de la Ley 1861 de 2017, solo aplica a las personas declaradas no aptas, exentas, que hayan superado la edad máxima de incorporación a filas y las personas aptas pero exoneradas de pagar la cuota de compensación militar, pues solo estas personas podrán acceder a un empleo, sin haber definido su situación militar. En consecuencia, esta disposición no es aplicable a la vinculación de personas distintas de las mencionadas, ni tampoco a la celebración de contratos de prestación de servicios con una persona natural, por no tratarse de una relación laboral</w:t>
      </w:r>
      <w:r w:rsidR="005C496F">
        <w:rPr>
          <w:rFonts w:ascii="Arial" w:hAnsi="Arial" w:cs="Arial" w:eastAsiaTheme="minorHAnsi"/>
          <w:color w:val="000000" w:themeColor="text1"/>
          <w:sz w:val="20"/>
          <w:szCs w:val="20"/>
          <w:lang w:val="es-MX" w:eastAsia="en-US"/>
        </w:rPr>
        <w:t>.</w:t>
      </w:r>
    </w:p>
    <w:p w:rsidR="00F623E5" w:rsidRDefault="00F623E5" w14:paraId="4650D9F8" w14:textId="77777777">
      <w:pPr>
        <w:spacing w:after="200" w:line="276" w:lineRule="auto"/>
        <w:rPr>
          <w:rFonts w:ascii="Arial" w:hAnsi="Arial" w:cs="Arial" w:eastAsiaTheme="minorHAnsi"/>
          <w:color w:val="000000" w:themeColor="text1"/>
          <w:sz w:val="20"/>
          <w:szCs w:val="20"/>
          <w:lang w:val="es-MX" w:eastAsia="en-US"/>
        </w:rPr>
      </w:pPr>
      <w:r>
        <w:rPr>
          <w:rFonts w:ascii="Arial" w:hAnsi="Arial" w:cs="Arial" w:eastAsiaTheme="minorHAnsi"/>
          <w:color w:val="000000" w:themeColor="text1"/>
          <w:sz w:val="20"/>
          <w:szCs w:val="20"/>
          <w:lang w:val="es-MX" w:eastAsia="en-US"/>
        </w:rPr>
        <w:br w:type="page"/>
      </w:r>
    </w:p>
    <w:p w:rsidR="002415B8" w:rsidP="008C036D" w:rsidRDefault="002415B8" w14:paraId="363CAC71" w14:textId="77777777">
      <w:pPr>
        <w:spacing w:line="276" w:lineRule="auto"/>
        <w:jc w:val="both"/>
        <w:rPr>
          <w:rFonts w:ascii="Arial" w:hAnsi="Arial" w:cs="Arial"/>
          <w:noProof/>
          <w:color w:val="000000" w:themeColor="text1"/>
          <w:sz w:val="22"/>
          <w:lang w:val="es-ES_tradnl"/>
        </w:rPr>
      </w:pPr>
    </w:p>
    <w:p w:rsidRPr="00C118DB" w:rsidR="00B95C30" w:rsidP="00C118DB" w:rsidRDefault="00B95C30" w14:paraId="7DD48F49" w14:textId="1BFF2ADF">
      <w:pPr>
        <w:spacing w:line="276" w:lineRule="auto"/>
        <w:jc w:val="both"/>
        <w:rPr>
          <w:rFonts w:ascii="Arial" w:hAnsi="Arial" w:eastAsia="Calibri" w:cs="Arial"/>
          <w:noProof/>
          <w:color w:val="000000" w:themeColor="text1"/>
          <w:sz w:val="20"/>
          <w:lang w:val="pt-BR"/>
        </w:rPr>
      </w:pPr>
      <w:r w:rsidRPr="00C118DB">
        <w:rPr>
          <w:rFonts w:ascii="Arial" w:hAnsi="Arial" w:cs="Arial"/>
          <w:noProof/>
          <w:color w:val="000000" w:themeColor="text1"/>
          <w:sz w:val="22"/>
          <w:lang w:val="pt-BR"/>
        </w:rPr>
        <w:t>Bogotá D.C.,</w:t>
      </w:r>
      <w:r w:rsidRPr="00044CB2" w:rsidR="00044CB2">
        <w:rPr>
          <w:rFonts w:ascii="Arial" w:hAnsi="Arial" w:cs="Arial"/>
          <w:b/>
          <w:color w:val="000000" w:themeColor="text1"/>
          <w:sz w:val="22"/>
        </w:rPr>
        <w:t xml:space="preserve"> </w:t>
      </w:r>
      <w:r w:rsidR="009816F6">
        <w:rPr>
          <w:rFonts w:ascii="Arial" w:hAnsi="Arial" w:cs="Arial"/>
          <w:b/>
          <w:color w:val="000000" w:themeColor="text1"/>
          <w:sz w:val="22"/>
        </w:rPr>
        <w:t>23/03/2021 19:32:51</w:t>
      </w:r>
    </w:p>
    <w:p w:rsidR="00B95C30" w:rsidP="00B95C30" w:rsidRDefault="00B95C30" w14:paraId="6A8A869B" w14:textId="77777777">
      <w:pPr>
        <w:jc w:val="both"/>
        <w:rPr>
          <w:rFonts w:ascii="Arial" w:hAnsi="Arial" w:cs="Arial"/>
          <w:b/>
          <w:noProof/>
          <w:color w:val="000000" w:themeColor="text1"/>
          <w:sz w:val="22"/>
          <w:szCs w:val="22"/>
          <w:lang w:val="pt-BR"/>
        </w:rPr>
      </w:pPr>
    </w:p>
    <w:p w:rsidR="009816F6" w:rsidP="009816F6" w:rsidRDefault="009816F6" w14:paraId="48806309" w14:textId="7DCAD60E">
      <w:pPr>
        <w:jc w:val="right"/>
        <w:rPr>
          <w:rFonts w:ascii="Arial" w:hAnsi="Arial" w:cs="Arial"/>
          <w:b/>
          <w:noProof/>
          <w:color w:val="000000" w:themeColor="text1"/>
          <w:sz w:val="22"/>
          <w:szCs w:val="22"/>
          <w:lang w:val="pt-BR"/>
        </w:rPr>
      </w:pPr>
      <w:r>
        <w:rPr>
          <w:noProof/>
          <w:lang w:eastAsia="es-CO"/>
        </w:rPr>
        <w:drawing>
          <wp:inline distT="0" distB="0" distL="0" distR="0" wp14:anchorId="315003E4" wp14:editId="52C458D8">
            <wp:extent cx="2266950" cy="676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1949" t="32603" r="17515" b="56832"/>
                    <a:stretch/>
                  </pic:blipFill>
                  <pic:spPr bwMode="auto">
                    <a:xfrm>
                      <a:off x="0" y="0"/>
                      <a:ext cx="2266950" cy="676275"/>
                    </a:xfrm>
                    <a:prstGeom prst="rect">
                      <a:avLst/>
                    </a:prstGeom>
                    <a:ln>
                      <a:noFill/>
                    </a:ln>
                    <a:extLst>
                      <a:ext uri="{53640926-AAD7-44D8-BBD7-CCE9431645EC}">
                        <a14:shadowObscured xmlns:a14="http://schemas.microsoft.com/office/drawing/2010/main"/>
                      </a:ext>
                    </a:extLst>
                  </pic:spPr>
                </pic:pic>
              </a:graphicData>
            </a:graphic>
          </wp:inline>
        </w:drawing>
      </w:r>
    </w:p>
    <w:p w:rsidRPr="00C118DB" w:rsidR="009816F6" w:rsidP="00B95C30" w:rsidRDefault="009816F6" w14:paraId="00641AE7" w14:textId="77777777">
      <w:pPr>
        <w:jc w:val="both"/>
        <w:rPr>
          <w:rFonts w:ascii="Arial" w:hAnsi="Arial" w:cs="Arial"/>
          <w:b/>
          <w:color w:val="000000" w:themeColor="text1"/>
          <w:sz w:val="22"/>
          <w:lang w:val="pt-BR"/>
        </w:rPr>
      </w:pPr>
    </w:p>
    <w:p w:rsidR="00B95C30" w:rsidP="00B95C30" w:rsidRDefault="00B95C30" w14:paraId="3DCD58CE" w14:textId="033B651F">
      <w:pPr>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Señor</w:t>
      </w:r>
      <w:r w:rsidR="00044CB2">
        <w:rPr>
          <w:rFonts w:ascii="Arial" w:hAnsi="Arial" w:eastAsia="Calibri" w:cs="Arial"/>
          <w:color w:val="000000" w:themeColor="text1"/>
          <w:sz w:val="22"/>
          <w:lang w:val="es-ES_tradnl"/>
        </w:rPr>
        <w:t>a</w:t>
      </w:r>
    </w:p>
    <w:p w:rsidRPr="008C6CEB" w:rsidR="00044CB2" w:rsidP="00B95C30" w:rsidRDefault="00044CB2" w14:paraId="18A30698" w14:textId="5D251845">
      <w:pPr>
        <w:jc w:val="both"/>
        <w:rPr>
          <w:rFonts w:ascii="Arial" w:hAnsi="Arial" w:eastAsia="Calibri" w:cs="Arial"/>
          <w:b/>
          <w:color w:val="000000" w:themeColor="text1"/>
          <w:sz w:val="22"/>
          <w:lang w:val="es-ES_tradnl"/>
        </w:rPr>
      </w:pPr>
      <w:r w:rsidRPr="008C6CEB">
        <w:rPr>
          <w:rFonts w:ascii="Arial" w:hAnsi="Arial" w:eastAsia="Calibri" w:cs="Arial"/>
          <w:b/>
          <w:color w:val="000000" w:themeColor="text1"/>
          <w:sz w:val="22"/>
          <w:lang w:val="es-ES_tradnl"/>
        </w:rPr>
        <w:t>Yuli Neira Rojas</w:t>
      </w:r>
    </w:p>
    <w:p w:rsidRPr="00E23980" w:rsidR="00B95C30" w:rsidP="00B95C30" w:rsidRDefault="008C6CEB" w14:paraId="09D4AEA8" w14:textId="5DDACD5E">
      <w:pPr>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 xml:space="preserve">Arauca, Arauca </w:t>
      </w:r>
    </w:p>
    <w:p w:rsidRPr="00E23980" w:rsidR="00B95C30" w:rsidP="00B95C30" w:rsidRDefault="00B95C30" w14:paraId="3F3D1203" w14:textId="77777777">
      <w:pPr>
        <w:jc w:val="both"/>
        <w:rPr>
          <w:rFonts w:ascii="Arial" w:hAnsi="Arial" w:eastAsia="Calibri" w:cs="Arial"/>
          <w:color w:val="000000" w:themeColor="text1"/>
          <w:sz w:val="22"/>
          <w:lang w:val="es-ES_tradnl"/>
        </w:rPr>
      </w:pPr>
    </w:p>
    <w:p w:rsidRPr="00E23980" w:rsidR="00B95C30" w:rsidP="00B95C30" w:rsidRDefault="00B95C30" w14:paraId="24E8D2A9" w14:textId="77777777">
      <w:pPr>
        <w:jc w:val="both"/>
        <w:rPr>
          <w:rFonts w:ascii="Arial" w:hAnsi="Arial" w:eastAsia="Calibri" w:cs="Arial"/>
          <w:color w:val="000000" w:themeColor="text1"/>
          <w:sz w:val="22"/>
          <w:lang w:val="es-ES_tradnl"/>
        </w:rPr>
      </w:pPr>
    </w:p>
    <w:p w:rsidRPr="00E23980" w:rsidR="00B95C30" w:rsidP="00B43559" w:rsidRDefault="00F623E5" w14:paraId="12E66182" w14:textId="330C24D3">
      <w:pPr>
        <w:rPr>
          <w:rFonts w:ascii="Arial" w:hAnsi="Arial" w:eastAsia="Calibri" w:cs="Arial"/>
          <w:b/>
          <w:bCs/>
          <w:color w:val="000000" w:themeColor="text1"/>
          <w:sz w:val="22"/>
          <w:lang w:val="es-ES_tradnl"/>
        </w:rPr>
      </w:pPr>
      <w:r>
        <w:rPr>
          <w:rFonts w:ascii="Arial" w:hAnsi="Arial" w:eastAsia="Calibri" w:cs="Arial"/>
          <w:b/>
          <w:bCs/>
          <w:color w:val="000000" w:themeColor="text1"/>
          <w:sz w:val="22"/>
          <w:lang w:val="es-ES_tradnl"/>
        </w:rPr>
        <w:t xml:space="preserve">                                            </w:t>
      </w:r>
      <w:r w:rsidR="00044CB2">
        <w:rPr>
          <w:rFonts w:ascii="Arial" w:hAnsi="Arial" w:eastAsia="Calibri" w:cs="Arial"/>
          <w:b/>
          <w:bCs/>
          <w:color w:val="000000" w:themeColor="text1"/>
          <w:sz w:val="22"/>
          <w:lang w:val="es-ES_tradnl"/>
        </w:rPr>
        <w:t>Concepto C ‒ 089</w:t>
      </w:r>
      <w:r w:rsidR="009A3BC7">
        <w:rPr>
          <w:rFonts w:ascii="Arial" w:hAnsi="Arial" w:eastAsia="Calibri" w:cs="Arial"/>
          <w:b/>
          <w:bCs/>
          <w:color w:val="000000" w:themeColor="text1"/>
          <w:sz w:val="22"/>
          <w:lang w:val="es-ES_tradnl"/>
        </w:rPr>
        <w:t xml:space="preserve"> de 2021</w:t>
      </w:r>
    </w:p>
    <w:p w:rsidRPr="00E23980"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23980" w:rsidR="00B95C30" w:rsidTr="00AC48B7" w14:paraId="19DFC051" w14:textId="77777777">
        <w:tc>
          <w:tcPr>
            <w:tcW w:w="2689" w:type="dxa"/>
          </w:tcPr>
          <w:p w:rsidRPr="00E23980" w:rsidR="00B95C30" w:rsidP="00AC48B7" w:rsidRDefault="00B95C30" w14:paraId="6BC0D1AC" w14:textId="77777777">
            <w:pPr>
              <w:jc w:val="both"/>
              <w:rPr>
                <w:rFonts w:ascii="Arial" w:hAnsi="Arial" w:eastAsia="Calibri" w:cs="Arial"/>
                <w:color w:val="000000" w:themeColor="text1"/>
                <w:sz w:val="22"/>
                <w:lang w:val="es-ES_tradnl"/>
              </w:rPr>
            </w:pPr>
            <w:r w:rsidRPr="00E23980">
              <w:rPr>
                <w:rFonts w:ascii="Arial" w:hAnsi="Arial" w:eastAsia="Calibri" w:cs="Arial"/>
                <w:b/>
                <w:color w:val="000000" w:themeColor="text1"/>
                <w:sz w:val="22"/>
                <w:lang w:val="es-ES_tradnl"/>
              </w:rPr>
              <w:t>Temas:</w:t>
            </w:r>
            <w:r w:rsidRPr="00E23980">
              <w:rPr>
                <w:rFonts w:ascii="Arial" w:hAnsi="Arial" w:eastAsia="Calibri" w:cs="Arial"/>
                <w:color w:val="000000" w:themeColor="text1"/>
                <w:sz w:val="22"/>
                <w:lang w:val="es-ES_tradnl"/>
              </w:rPr>
              <w:t xml:space="preserve">                                      </w:t>
            </w:r>
          </w:p>
        </w:tc>
        <w:tc>
          <w:tcPr>
            <w:tcW w:w="6237" w:type="dxa"/>
          </w:tcPr>
          <w:p w:rsidRPr="006470BB" w:rsidR="00B95C30" w:rsidP="006470BB" w:rsidRDefault="006470BB" w14:paraId="5F389CAF" w14:textId="3227C30E">
            <w:pPr>
              <w:tabs>
                <w:tab w:val="left" w:pos="1073"/>
              </w:tabs>
              <w:spacing w:line="276" w:lineRule="auto"/>
              <w:jc w:val="both"/>
              <w:rPr>
                <w:rFonts w:ascii="Arial" w:hAnsi="Arial" w:cs="Arial" w:eastAsiaTheme="minorHAnsi"/>
                <w:color w:val="000000" w:themeColor="text1"/>
                <w:sz w:val="20"/>
                <w:szCs w:val="20"/>
                <w:lang w:val="es-MX" w:eastAsia="en-US"/>
              </w:rPr>
            </w:pPr>
            <w:r w:rsidRPr="00E55C0B">
              <w:rPr>
                <w:rFonts w:ascii="Arial" w:hAnsi="Arial" w:cs="Arial" w:eastAsiaTheme="minorHAnsi"/>
                <w:color w:val="000000" w:themeColor="text1"/>
                <w:sz w:val="22"/>
                <w:szCs w:val="22"/>
                <w:lang w:val="es-MX" w:eastAsia="es-ES"/>
              </w:rPr>
              <w:t>LIBRETA MILITAR – Exigibilidad</w:t>
            </w:r>
            <w:r w:rsidRPr="006470BB">
              <w:rPr>
                <w:rFonts w:ascii="Arial" w:hAnsi="Arial" w:cs="Arial" w:eastAsiaTheme="minorHAnsi"/>
                <w:color w:val="000000" w:themeColor="text1"/>
                <w:sz w:val="22"/>
                <w:szCs w:val="22"/>
                <w:lang w:val="es-MX" w:eastAsia="es-ES"/>
              </w:rPr>
              <w:t xml:space="preserve"> </w:t>
            </w:r>
            <w:r w:rsidRPr="006470BB" w:rsidR="002415B8">
              <w:rPr>
                <w:rFonts w:ascii="Arial" w:hAnsi="Arial" w:eastAsia="Calibri" w:cs="Arial"/>
                <w:bCs/>
                <w:sz w:val="22"/>
                <w:lang w:val="es-ES_tradnl"/>
              </w:rPr>
              <w:t xml:space="preserve">/ </w:t>
            </w:r>
            <w:r w:rsidRPr="00E55C0B">
              <w:rPr>
                <w:rFonts w:ascii="Arial" w:hAnsi="Arial" w:cs="Arial" w:eastAsiaTheme="minorHAnsi"/>
                <w:bCs/>
                <w:color w:val="000000" w:themeColor="text1"/>
                <w:sz w:val="22"/>
                <w:szCs w:val="22"/>
                <w:lang w:val="es-MX" w:eastAsia="es-ES"/>
              </w:rPr>
              <w:t>LIBRETA MILITAR – Excepciones</w:t>
            </w:r>
            <w:r w:rsidRPr="006470BB">
              <w:rPr>
                <w:rFonts w:ascii="Arial" w:hAnsi="Arial" w:cs="Arial" w:eastAsiaTheme="minorHAnsi"/>
                <w:bCs/>
                <w:color w:val="000000" w:themeColor="text1"/>
                <w:sz w:val="22"/>
                <w:szCs w:val="22"/>
                <w:lang w:val="es-MX" w:eastAsia="es-ES"/>
              </w:rPr>
              <w:t xml:space="preserve"> </w:t>
            </w:r>
            <w:r w:rsidRPr="006470BB" w:rsidR="002415B8">
              <w:rPr>
                <w:rFonts w:ascii="Arial" w:hAnsi="Arial" w:eastAsia="Calibri" w:cs="Arial"/>
                <w:bCs/>
                <w:sz w:val="22"/>
                <w:lang w:val="es-ES_tradnl"/>
              </w:rPr>
              <w:t xml:space="preserve">/ </w:t>
            </w:r>
            <w:r w:rsidRPr="006470BB">
              <w:rPr>
                <w:rFonts w:ascii="Arial" w:hAnsi="Arial" w:cs="Arial"/>
                <w:noProof/>
                <w:color w:val="000000" w:themeColor="text1"/>
                <w:sz w:val="22"/>
                <w:lang w:val="es-ES_tradnl"/>
              </w:rPr>
              <w:t xml:space="preserve">DEFINICIÓN DE LA SITUACIÓN MILITAR  </w:t>
            </w:r>
            <w:r w:rsidRPr="00E55C0B">
              <w:rPr>
                <w:rFonts w:ascii="Arial" w:hAnsi="Arial" w:cs="Arial" w:eastAsiaTheme="minorHAnsi"/>
                <w:bCs/>
                <w:color w:val="000000" w:themeColor="text1"/>
                <w:sz w:val="22"/>
                <w:szCs w:val="22"/>
                <w:lang w:val="es-MX" w:eastAsia="es-ES"/>
              </w:rPr>
              <w:t xml:space="preserve">– </w:t>
            </w:r>
            <w:r w:rsidRPr="006470BB">
              <w:rPr>
                <w:rFonts w:ascii="Arial" w:hAnsi="Arial" w:cs="Arial"/>
                <w:noProof/>
                <w:color w:val="000000" w:themeColor="text1"/>
                <w:sz w:val="22"/>
                <w:lang w:val="es-ES_tradnl"/>
              </w:rPr>
              <w:t xml:space="preserve">Plazos </w:t>
            </w:r>
            <w:r w:rsidRPr="006470BB">
              <w:rPr>
                <w:rFonts w:ascii="Arial" w:hAnsi="Arial" w:cs="Arial" w:eastAsiaTheme="minorHAnsi"/>
                <w:bCs/>
                <w:color w:val="000000" w:themeColor="text1"/>
                <w:sz w:val="22"/>
                <w:szCs w:val="22"/>
                <w:lang w:val="es-MX" w:eastAsia="es-ES"/>
              </w:rPr>
              <w:t xml:space="preserve">– Verificación  </w:t>
            </w:r>
            <w:r w:rsidRPr="006470BB">
              <w:rPr>
                <w:rFonts w:ascii="Arial" w:hAnsi="Arial" w:eastAsia="Calibri" w:cs="Arial"/>
                <w:bCs/>
                <w:sz w:val="22"/>
                <w:lang w:val="es-ES_tradnl"/>
              </w:rPr>
              <w:t>/</w:t>
            </w:r>
            <w:r w:rsidRPr="006470BB">
              <w:rPr>
                <w:rFonts w:ascii="Arial" w:hAnsi="Arial" w:cs="Arial"/>
                <w:noProof/>
                <w:color w:val="000000" w:themeColor="text1"/>
                <w:sz w:val="22"/>
                <w:lang w:val="es-ES_tradnl"/>
              </w:rPr>
              <w:t xml:space="preserve"> SITUACIÓN MILITAR – CONTRATOS DE PRESTACIÓN DE SERVICIOS </w:t>
            </w:r>
          </w:p>
        </w:tc>
      </w:tr>
      <w:tr w:rsidRPr="00E23980" w:rsidR="00B95C30" w:rsidTr="00AC48B7" w14:paraId="27CD52AB" w14:textId="77777777">
        <w:tc>
          <w:tcPr>
            <w:tcW w:w="2689" w:type="dxa"/>
          </w:tcPr>
          <w:p w:rsidRPr="00E23980" w:rsidR="00B95C30" w:rsidP="00AC48B7" w:rsidRDefault="001068EB" w14:paraId="37E195A1" w14:textId="41F0D25F">
            <w:pPr>
              <w:spacing w:before="120"/>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 xml:space="preserve"> </w:t>
            </w:r>
            <w:r w:rsidRPr="00E23980" w:rsidR="00B95C30">
              <w:rPr>
                <w:rFonts w:ascii="Arial" w:hAnsi="Arial" w:eastAsia="Calibri" w:cs="Arial"/>
                <w:b/>
                <w:color w:val="000000" w:themeColor="text1"/>
                <w:sz w:val="22"/>
                <w:lang w:val="es-ES_tradnl"/>
              </w:rPr>
              <w:t>Radicación:</w:t>
            </w:r>
            <w:r w:rsidRPr="00E23980" w:rsidR="00B95C30">
              <w:rPr>
                <w:rFonts w:ascii="Arial" w:hAnsi="Arial" w:eastAsia="Calibri" w:cs="Arial"/>
                <w:color w:val="000000" w:themeColor="text1"/>
                <w:sz w:val="22"/>
                <w:lang w:val="es-ES_tradnl"/>
              </w:rPr>
              <w:t xml:space="preserve">                              </w:t>
            </w:r>
          </w:p>
        </w:tc>
        <w:tc>
          <w:tcPr>
            <w:tcW w:w="6237" w:type="dxa"/>
          </w:tcPr>
          <w:p w:rsidRPr="00E23980" w:rsidR="00B95C30" w:rsidP="00AC48B7" w:rsidRDefault="00B95C30" w14:paraId="09088B1B" w14:textId="3C796E69">
            <w:pPr>
              <w:spacing w:before="120"/>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 xml:space="preserve">Respuesta a consulta # </w:t>
            </w:r>
            <w:r w:rsidR="00D05122">
              <w:rPr>
                <w:rFonts w:ascii="Arial" w:hAnsi="Arial" w:eastAsia="Calibri" w:cs="Arial"/>
                <w:color w:val="000000" w:themeColor="text1"/>
                <w:sz w:val="22"/>
                <w:lang w:val="es-ES_tradnl"/>
              </w:rPr>
              <w:t>P</w:t>
            </w:r>
            <w:r w:rsidR="00044CB2">
              <w:rPr>
                <w:rFonts w:ascii="Arial" w:hAnsi="Arial" w:eastAsia="Calibri" w:cs="Arial"/>
                <w:color w:val="000000" w:themeColor="text1"/>
                <w:sz w:val="22"/>
                <w:lang w:val="es-ES_tradnl"/>
              </w:rPr>
              <w:t>2021208000993</w:t>
            </w:r>
          </w:p>
        </w:tc>
      </w:tr>
    </w:tbl>
    <w:p w:rsidR="00044CB2" w:rsidP="003C3339" w:rsidRDefault="00044CB2" w14:paraId="6DBFCB26" w14:textId="13A45812">
      <w:pPr>
        <w:jc w:val="both"/>
        <w:rPr>
          <w:rFonts w:ascii="Arial" w:hAnsi="Arial" w:eastAsia="Calibri" w:cs="Arial"/>
          <w:color w:val="000000" w:themeColor="text1"/>
          <w:sz w:val="22"/>
          <w:lang w:val="es-ES_tradnl"/>
        </w:rPr>
      </w:pPr>
    </w:p>
    <w:p w:rsidRPr="00F83A73" w:rsidR="009A3BC7" w:rsidP="009A3BC7" w:rsidRDefault="009A3BC7" w14:paraId="3F3CB55D" w14:textId="77777777">
      <w:pPr>
        <w:jc w:val="both"/>
        <w:rPr>
          <w:rFonts w:ascii="Arial" w:hAnsi="Arial" w:eastAsia="Calibri" w:cs="Arial"/>
          <w:color w:val="000000"/>
          <w:sz w:val="22"/>
          <w:lang w:val="es-ES_tradnl"/>
        </w:rPr>
      </w:pPr>
      <w:r w:rsidRPr="00F83A73">
        <w:rPr>
          <w:rFonts w:ascii="Arial" w:hAnsi="Arial" w:eastAsia="Calibri" w:cs="Arial"/>
          <w:color w:val="000000"/>
          <w:sz w:val="22"/>
          <w:lang w:val="es-ES_tradnl"/>
        </w:rPr>
        <w:t>Estimada señora Neira:</w:t>
      </w:r>
    </w:p>
    <w:p w:rsidRPr="00F83A73" w:rsidR="009A3BC7" w:rsidP="009A3BC7" w:rsidRDefault="009A3BC7" w14:paraId="170696C4" w14:textId="77777777">
      <w:pPr>
        <w:jc w:val="both"/>
        <w:rPr>
          <w:rFonts w:ascii="Arial" w:hAnsi="Arial" w:eastAsia="Calibri" w:cs="Arial"/>
          <w:color w:val="000000"/>
          <w:sz w:val="22"/>
          <w:lang w:val="es-ES_tradnl"/>
        </w:rPr>
      </w:pPr>
    </w:p>
    <w:p w:rsidRPr="00F83A73" w:rsidR="009A3BC7" w:rsidP="009A3BC7" w:rsidRDefault="009A3BC7" w14:paraId="72D298D8" w14:textId="77777777">
      <w:pPr>
        <w:jc w:val="both"/>
        <w:rPr>
          <w:rFonts w:ascii="Arial" w:hAnsi="Arial" w:eastAsia="Calibri" w:cs="Arial"/>
          <w:color w:val="000000"/>
          <w:sz w:val="22"/>
          <w:lang w:val="es-ES_tradnl"/>
        </w:rPr>
      </w:pPr>
      <w:r w:rsidRPr="00F83A73">
        <w:rPr>
          <w:rFonts w:ascii="Arial" w:hAnsi="Arial" w:eastAsia="Calibri" w:cs="Arial"/>
          <w:color w:val="000000"/>
          <w:sz w:val="22"/>
          <w:lang w:val="es-ES_tradnl"/>
        </w:rPr>
        <w:t xml:space="preserve">En ejercicio de la competencia otorgada por el numeral 8 del artículo 11 y el numeral 5 del artículo 3 del Decreto Ley 4170 de 2011, la Agencia Nacional de Contratación Pública – Colombia Compra Eficiente, a través de la Subdirección de Gestión Contractual, responde su consulta del 8 de febrero del 2021. </w:t>
      </w:r>
    </w:p>
    <w:p w:rsidRPr="00F83A73" w:rsidR="009A3BC7" w:rsidP="009A3BC7" w:rsidRDefault="009A3BC7" w14:paraId="143E86CA" w14:textId="77777777">
      <w:pPr>
        <w:jc w:val="both"/>
        <w:rPr>
          <w:rFonts w:ascii="Arial" w:hAnsi="Arial" w:eastAsia="Calibri" w:cs="Arial"/>
          <w:b/>
          <w:color w:val="000000"/>
          <w:sz w:val="22"/>
          <w:lang w:val="es-ES_tradnl"/>
        </w:rPr>
      </w:pPr>
    </w:p>
    <w:p w:rsidRPr="00F83A73" w:rsidR="009A3BC7" w:rsidP="7C043C28" w:rsidRDefault="009A3BC7" w14:paraId="3DC5B1A6" w14:textId="13A35410">
      <w:pPr>
        <w:pStyle w:val="Prrafodelista"/>
        <w:numPr>
          <w:ilvl w:val="0"/>
          <w:numId w:val="31"/>
        </w:numPr>
        <w:tabs>
          <w:tab w:val="left" w:leader="none" w:pos="142"/>
          <w:tab w:val="left" w:leader="none" w:pos="284"/>
        </w:tabs>
        <w:ind/>
        <w:contextualSpacing/>
        <w:jc w:val="both"/>
        <w:rPr>
          <w:rFonts w:ascii="Arial" w:hAnsi="Arial" w:eastAsia="Arial" w:cs="Arial" w:asciiTheme="minorAscii" w:hAnsiTheme="minorAscii" w:eastAsiaTheme="minorAscii" w:cstheme="minorAscii"/>
          <w:b w:val="1"/>
          <w:bCs w:val="1"/>
          <w:color w:val="000000"/>
          <w:sz w:val="22"/>
          <w:szCs w:val="22"/>
          <w:lang w:val="es-ES"/>
        </w:rPr>
      </w:pPr>
      <w:r w:rsidRPr="7C043C28" w:rsidR="009A3BC7">
        <w:rPr>
          <w:rFonts w:ascii="Arial" w:hAnsi="Arial" w:eastAsia="Calibri" w:cs="Arial"/>
          <w:b w:val="1"/>
          <w:bCs w:val="1"/>
          <w:color w:val="000000" w:themeColor="text1" w:themeTint="FF" w:themeShade="FF"/>
          <w:sz w:val="22"/>
          <w:szCs w:val="22"/>
          <w:lang w:val="es-ES"/>
        </w:rPr>
        <w:t xml:space="preserve">Problema planteado </w:t>
      </w:r>
    </w:p>
    <w:p w:rsidRPr="00F83A73" w:rsidR="009A3BC7" w:rsidP="009A3BC7" w:rsidRDefault="009A3BC7" w14:paraId="643D04F8" w14:textId="77777777">
      <w:pPr>
        <w:tabs>
          <w:tab w:val="left" w:pos="426"/>
        </w:tabs>
        <w:jc w:val="both"/>
        <w:rPr>
          <w:rFonts w:ascii="Arial" w:hAnsi="Arial" w:eastAsia="Calibri" w:cs="Arial"/>
          <w:b/>
          <w:color w:val="000000"/>
          <w:sz w:val="22"/>
          <w:lang w:val="es-ES_tradnl"/>
        </w:rPr>
      </w:pPr>
    </w:p>
    <w:p w:rsidRPr="00F83A73" w:rsidR="009A3BC7" w:rsidP="009A3BC7" w:rsidRDefault="009A3BC7" w14:paraId="13F48BDE" w14:textId="77777777">
      <w:pPr>
        <w:jc w:val="both"/>
        <w:rPr>
          <w:rFonts w:ascii="Arial" w:hAnsi="Arial" w:cs="Arial"/>
          <w:color w:val="000000"/>
          <w:sz w:val="21"/>
          <w:szCs w:val="21"/>
          <w:lang w:val="es-ES_tradnl"/>
        </w:rPr>
      </w:pPr>
      <w:r w:rsidRPr="7C043C28" w:rsidR="009A3BC7">
        <w:rPr>
          <w:rFonts w:ascii="Arial" w:hAnsi="Arial" w:cs="Arial"/>
          <w:color w:val="000000" w:themeColor="text1" w:themeTint="FF" w:themeShade="FF"/>
          <w:sz w:val="22"/>
          <w:szCs w:val="22"/>
          <w:lang w:val="es-ES"/>
        </w:rPr>
        <w:t xml:space="preserve">Usted formula la siguiente pregunta, relacionada con el artículo 42 de la Ley 1861 de 2017: «Los 18 meses se deben contabilizar a partir del primer empleo que reporta en el SIGEP o sin importar esto se debe atender el plazo de la certificación que expide la Entidad de reclutamiento?». Agrega como fundamento de la solicitud que </w:t>
      </w:r>
      <w:r w:rsidRPr="7C043C28" w:rsidR="009A3BC7">
        <w:rPr>
          <w:rFonts w:ascii="Arial" w:hAnsi="Arial" w:cs="Arial"/>
          <w:color w:val="000000" w:themeColor="text1" w:themeTint="FF" w:themeShade="FF"/>
          <w:sz w:val="21"/>
          <w:szCs w:val="21"/>
          <w:lang w:val="es-ES"/>
        </w:rPr>
        <w:t>«</w:t>
      </w:r>
      <w:r w:rsidRPr="7C043C28" w:rsidR="009A3BC7">
        <w:rPr>
          <w:rFonts w:ascii="Arial" w:hAnsi="Arial" w:cs="Arial"/>
          <w:color w:val="000000" w:themeColor="text1" w:themeTint="FF" w:themeShade="FF"/>
          <w:sz w:val="22"/>
          <w:szCs w:val="22"/>
          <w:lang w:val="es-ES"/>
        </w:rPr>
        <w:t>en la práctica el alcance de dicha norma no es claro, pues en los eventos en que la persona ha laborado con anterioridad en otras entidades y pasan los 18 meses y aún no define su situación militar, que debe hacer la Entidad, como debe aplicar este beneficio, pues esta situación permitiría que la persona con el simple hecho de cambiar de entidad reviviera ese término por 18 meses más</w:t>
      </w:r>
      <w:r w:rsidRPr="7C043C28" w:rsidR="009A3BC7">
        <w:rPr>
          <w:rFonts w:ascii="Arial" w:hAnsi="Arial" w:cs="Arial"/>
          <w:color w:val="000000" w:themeColor="text1" w:themeTint="FF" w:themeShade="FF"/>
          <w:sz w:val="21"/>
          <w:szCs w:val="21"/>
          <w:lang w:val="es-ES"/>
        </w:rPr>
        <w:t>».</w:t>
      </w:r>
    </w:p>
    <w:p w:rsidRPr="00F83A73" w:rsidR="009A3BC7" w:rsidP="7C043C28" w:rsidRDefault="009A3BC7" w14:paraId="0DF1411A" w14:textId="08220FB8">
      <w:pPr>
        <w:pStyle w:val="Normal"/>
        <w:ind/>
        <w:contextualSpacing/>
        <w:jc w:val="both"/>
        <w:rPr>
          <w:rFonts w:ascii="Arial" w:hAnsi="Arial" w:eastAsia="Calibri" w:cs="Arial"/>
          <w:b w:val="1"/>
          <w:bCs w:val="1"/>
          <w:color w:val="000000"/>
          <w:sz w:val="22"/>
          <w:szCs w:val="22"/>
          <w:lang w:val="es-ES"/>
        </w:rPr>
      </w:pPr>
    </w:p>
    <w:p w:rsidRPr="00F83A73" w:rsidR="009A3BC7" w:rsidP="7C043C28" w:rsidRDefault="009A3BC7" w14:paraId="38CD3171" w14:textId="1A5E733C">
      <w:pPr>
        <w:pStyle w:val="Prrafodelista"/>
        <w:numPr>
          <w:ilvl w:val="0"/>
          <w:numId w:val="31"/>
        </w:numPr>
        <w:bidi w:val="0"/>
        <w:spacing w:before="0" w:beforeAutospacing="off" w:after="0" w:afterAutospacing="off" w:line="240" w:lineRule="auto"/>
        <w:ind w:right="0"/>
        <w:jc w:val="both"/>
        <w:rPr>
          <w:rFonts w:ascii="Arial" w:hAnsi="Arial" w:eastAsia="Arial" w:cs="Arial" w:asciiTheme="minorAscii" w:hAnsiTheme="minorAscii" w:eastAsiaTheme="minorAscii" w:cstheme="minorAscii"/>
          <w:b w:val="1"/>
          <w:bCs w:val="1"/>
          <w:color w:val="000000" w:themeColor="text1" w:themeTint="FF" w:themeShade="FF"/>
          <w:sz w:val="22"/>
          <w:szCs w:val="22"/>
          <w:lang w:val="es-ES"/>
        </w:rPr>
      </w:pPr>
      <w:r w:rsidRPr="7C043C28" w:rsidR="009A3BC7">
        <w:rPr>
          <w:rFonts w:ascii="Arial" w:hAnsi="Arial" w:eastAsia="Calibri" w:cs="Arial"/>
          <w:b w:val="1"/>
          <w:bCs w:val="1"/>
          <w:color w:val="000000" w:themeColor="text1" w:themeTint="FF" w:themeShade="FF"/>
          <w:sz w:val="22"/>
          <w:szCs w:val="22"/>
          <w:lang w:val="es-ES"/>
        </w:rPr>
        <w:t>Consideraciones</w:t>
      </w:r>
    </w:p>
    <w:p w:rsidRPr="00F83A73" w:rsidR="009A3BC7" w:rsidP="009A3BC7" w:rsidRDefault="009A3BC7" w14:paraId="32EEA135" w14:textId="77777777">
      <w:pPr>
        <w:jc w:val="both"/>
        <w:rPr>
          <w:rFonts w:ascii="Arial" w:hAnsi="Arial" w:eastAsia="Calibri" w:cs="Arial"/>
          <w:color w:val="000000"/>
          <w:szCs w:val="20"/>
          <w:lang w:val="es-ES_tradnl"/>
        </w:rPr>
      </w:pPr>
    </w:p>
    <w:p w:rsidRPr="00F83A73" w:rsidR="009A3BC7" w:rsidP="009A3BC7" w:rsidRDefault="009A3BC7" w14:paraId="07AB29FA" w14:textId="77777777">
      <w:pPr>
        <w:tabs>
          <w:tab w:val="left" w:pos="0"/>
        </w:tabs>
        <w:spacing w:before="120"/>
        <w:jc w:val="both"/>
        <w:rPr>
          <w:rFonts w:ascii="Arial" w:hAnsi="Arial" w:eastAsia="Calibri" w:cs="Arial"/>
          <w:bCs/>
          <w:color w:val="000000"/>
          <w:sz w:val="22"/>
          <w:lang w:val="es-ES_tradnl"/>
        </w:rPr>
      </w:pPr>
      <w:r w:rsidRPr="00F83A73">
        <w:rPr>
          <w:rFonts w:ascii="Arial" w:hAnsi="Arial" w:eastAsia="Calibri" w:cs="Arial"/>
          <w:bCs/>
          <w:color w:val="000000"/>
          <w:sz w:val="22"/>
          <w:lang w:val="es-ES_tradnl"/>
        </w:rPr>
        <w:t xml:space="preserve">Para resolver el interrogante planteado, se analizarán los siguientes temas: i) alcance del artículo 42 de la Ley 1861 de 2017, ii) población cubierta por el beneficio establecido en el </w:t>
      </w:r>
      <w:r w:rsidRPr="00F83A73">
        <w:rPr>
          <w:rFonts w:ascii="Arial" w:hAnsi="Arial" w:eastAsia="Calibri" w:cs="Arial"/>
          <w:bCs/>
          <w:color w:val="000000"/>
          <w:sz w:val="22"/>
          <w:lang w:val="es-ES_tradnl"/>
        </w:rPr>
        <w:lastRenderedPageBreak/>
        <w:t xml:space="preserve">inciso 2 del artículo 42 de la Ley 1861 de 2017 y iii) contabilización del plazo de 18 meses para definir la situación militar. </w:t>
      </w:r>
    </w:p>
    <w:p w:rsidRPr="00F83A73" w:rsidR="009A3BC7" w:rsidP="009A3BC7" w:rsidRDefault="009A3BC7" w14:paraId="4C760661" w14:textId="77777777">
      <w:pPr>
        <w:tabs>
          <w:tab w:val="left" w:pos="0"/>
        </w:tabs>
        <w:spacing w:before="120"/>
        <w:ind w:firstLine="709"/>
        <w:jc w:val="both"/>
        <w:rPr>
          <w:rFonts w:ascii="Arial" w:hAnsi="Arial" w:eastAsia="Calibri" w:cs="Arial"/>
          <w:bCs/>
          <w:color w:val="000000"/>
          <w:sz w:val="22"/>
          <w:lang w:val="es-ES_tradnl"/>
        </w:rPr>
      </w:pPr>
      <w:r w:rsidRPr="00F83A73">
        <w:rPr>
          <w:rFonts w:ascii="Arial" w:hAnsi="Arial" w:eastAsia="Calibri" w:cs="Arial"/>
          <w:bCs/>
          <w:color w:val="000000"/>
          <w:sz w:val="22"/>
          <w:lang w:val="es-ES_tradnl"/>
        </w:rPr>
        <w:t xml:space="preserve">La Agencia Nacional de Contratación Pública – Colombia Compra Eficiente se ha pronunciado sobre el artículo 42 de la Ley 1861 de 2017 en los conceptos con radicados Nos. </w:t>
      </w:r>
      <w:r w:rsidRPr="00F83A73">
        <w:rPr>
          <w:rFonts w:ascii="Arial" w:hAnsi="Arial" w:eastAsia="Calibri" w:cs="Arial"/>
          <w:bCs/>
          <w:color w:val="000000"/>
          <w:sz w:val="22"/>
        </w:rPr>
        <w:t xml:space="preserve">4201912000006434 del 31 de octubre de 2019, 4201912000007914 y 4201912000007922 del 26 de diciembre del 2019 y en los conceptos </w:t>
      </w:r>
      <w:r w:rsidRPr="00F83A73">
        <w:rPr>
          <w:rFonts w:ascii="Arial" w:hAnsi="Arial" w:eastAsia="Calibri" w:cs="Arial"/>
          <w:bCs/>
          <w:color w:val="000000"/>
          <w:sz w:val="22"/>
          <w:lang w:val="es-ES_tradnl"/>
        </w:rPr>
        <w:t xml:space="preserve">C-068 del 28 de febrero de 2020 y C-620 del 22 de septiembre de 2020. La tesis desarrollada se reitera a continuación y se complementa en lo pertinente. </w:t>
      </w:r>
    </w:p>
    <w:p w:rsidRPr="00F83A73" w:rsidR="009A3BC7" w:rsidP="009A3BC7" w:rsidRDefault="009A3BC7" w14:paraId="66DF97AB" w14:textId="77777777">
      <w:pPr>
        <w:tabs>
          <w:tab w:val="left" w:pos="0"/>
        </w:tabs>
        <w:ind w:firstLine="709"/>
        <w:jc w:val="both"/>
        <w:rPr>
          <w:rFonts w:ascii="Arial" w:hAnsi="Arial" w:eastAsia="Calibri" w:cs="Arial"/>
          <w:bCs/>
          <w:color w:val="000000"/>
          <w:sz w:val="22"/>
          <w:lang w:val="es-ES_tradnl"/>
        </w:rPr>
      </w:pPr>
    </w:p>
    <w:p w:rsidRPr="00F83A73" w:rsidR="009A3BC7" w:rsidP="009A3BC7" w:rsidRDefault="009A3BC7" w14:paraId="2ACA728F" w14:textId="77777777">
      <w:pPr>
        <w:tabs>
          <w:tab w:val="left" w:pos="0"/>
        </w:tabs>
        <w:jc w:val="both"/>
        <w:rPr>
          <w:rFonts w:ascii="Arial" w:hAnsi="Arial" w:cs="Arial"/>
          <w:b/>
          <w:color w:val="000000"/>
          <w:sz w:val="22"/>
          <w:lang w:val="es-ES_tradnl"/>
        </w:rPr>
      </w:pPr>
      <w:r w:rsidRPr="00F83A73">
        <w:rPr>
          <w:rFonts w:ascii="Arial" w:hAnsi="Arial" w:eastAsia="Calibri" w:cs="Arial"/>
          <w:b/>
          <w:bCs/>
          <w:color w:val="000000"/>
          <w:sz w:val="22"/>
          <w:lang w:val="pt-BR" w:eastAsia="en-GB"/>
        </w:rPr>
        <w:t xml:space="preserve">2.1. </w:t>
      </w:r>
      <w:r w:rsidRPr="00F83A73">
        <w:rPr>
          <w:rFonts w:ascii="Arial" w:hAnsi="Arial" w:eastAsia="Calibri" w:cs="Arial"/>
          <w:b/>
          <w:color w:val="000000"/>
          <w:sz w:val="22"/>
          <w:lang w:val="es-ES_tradnl" w:eastAsia="en-GB"/>
        </w:rPr>
        <w:t xml:space="preserve">Alcance del artículo 42 de la Ley </w:t>
      </w:r>
      <w:r w:rsidRPr="00F83A73">
        <w:rPr>
          <w:rFonts w:ascii="Arial" w:hAnsi="Arial" w:cs="Arial"/>
          <w:b/>
          <w:color w:val="000000"/>
          <w:sz w:val="22"/>
          <w:lang w:val="es-ES_tradnl"/>
        </w:rPr>
        <w:t>1861 de 2017</w:t>
      </w:r>
    </w:p>
    <w:p w:rsidRPr="00F83A73" w:rsidR="009A3BC7" w:rsidP="009A3BC7" w:rsidRDefault="009A3BC7" w14:paraId="33999FF5" w14:textId="77777777">
      <w:pPr>
        <w:tabs>
          <w:tab w:val="left" w:pos="0"/>
        </w:tabs>
        <w:jc w:val="both"/>
        <w:rPr>
          <w:rFonts w:ascii="Arial" w:hAnsi="Arial" w:eastAsia="Calibri" w:cs="Arial"/>
          <w:b/>
          <w:color w:val="000000"/>
          <w:sz w:val="22"/>
          <w:lang w:val="es-ES_tradnl"/>
        </w:rPr>
      </w:pPr>
    </w:p>
    <w:p w:rsidRPr="00F83A73" w:rsidR="009A3BC7" w:rsidP="009A3BC7" w:rsidRDefault="009A3BC7" w14:paraId="279A42D6" w14:textId="77777777">
      <w:pPr>
        <w:tabs>
          <w:tab w:val="left" w:pos="0"/>
        </w:tabs>
        <w:spacing w:before="120"/>
        <w:jc w:val="both"/>
        <w:rPr>
          <w:rFonts w:ascii="Arial" w:hAnsi="Arial" w:eastAsia="Calibri" w:cs="Arial"/>
          <w:bCs/>
          <w:color w:val="000000"/>
          <w:sz w:val="22"/>
          <w:lang w:val="es-ES_tradnl"/>
        </w:rPr>
      </w:pPr>
      <w:r w:rsidRPr="00F83A73">
        <w:rPr>
          <w:rFonts w:ascii="Arial" w:hAnsi="Arial" w:eastAsia="Calibri" w:cs="Arial"/>
          <w:bCs/>
          <w:color w:val="000000"/>
          <w:sz w:val="22"/>
          <w:lang w:val="es-ES_tradnl"/>
        </w:rPr>
        <w:t>La Ley 1861 de 2017 reglamenta el servicio de reclutamiento, control de reservas y la movilización. Para tales efectos, el artículo primero define al servicio militar obligatorio como un deber constitucional de todos los colombianos, que nace desde el momento en que cumplen su mayoría de edad, con la finalidad de contribuir y alcanzar los fines del Estado encomendados a la fuerza pública</w:t>
      </w:r>
      <w:r w:rsidRPr="00F83A73">
        <w:rPr>
          <w:rFonts w:ascii="Arial" w:hAnsi="Arial" w:eastAsia="Calibri" w:cs="Arial"/>
          <w:bCs/>
          <w:color w:val="000000"/>
          <w:sz w:val="22"/>
          <w:vertAlign w:val="superscript"/>
          <w:lang w:val="es-ES_tradnl"/>
        </w:rPr>
        <w:footnoteReference w:id="2"/>
      </w:r>
      <w:r w:rsidRPr="00F83A73">
        <w:rPr>
          <w:rFonts w:ascii="Arial" w:hAnsi="Arial" w:eastAsia="Calibri" w:cs="Arial"/>
          <w:bCs/>
          <w:color w:val="000000"/>
          <w:sz w:val="22"/>
          <w:lang w:val="es-ES_tradnl"/>
        </w:rPr>
        <w:t>.</w:t>
      </w:r>
    </w:p>
    <w:p w:rsidRPr="00F83A73" w:rsidR="009A3BC7" w:rsidP="009A3BC7" w:rsidRDefault="009A3BC7" w14:paraId="6402D47F" w14:textId="77777777">
      <w:pPr>
        <w:tabs>
          <w:tab w:val="left" w:pos="0"/>
        </w:tabs>
        <w:spacing w:before="120"/>
        <w:ind w:firstLine="709"/>
        <w:jc w:val="both"/>
        <w:rPr>
          <w:rFonts w:ascii="Arial" w:hAnsi="Arial" w:eastAsia="Calibri" w:cs="Arial"/>
          <w:color w:val="000000"/>
          <w:sz w:val="22"/>
          <w:lang w:val="es-ES_tradnl" w:eastAsia="en-GB"/>
        </w:rPr>
      </w:pPr>
      <w:r w:rsidRPr="00F83A73">
        <w:rPr>
          <w:rFonts w:ascii="Arial" w:hAnsi="Arial" w:eastAsia="Calibri" w:cs="Arial"/>
          <w:color w:val="000000"/>
          <w:sz w:val="22"/>
          <w:lang w:val="es-ES_tradnl" w:eastAsia="en-GB"/>
        </w:rPr>
        <w:t xml:space="preserve">En este contexto, el artículo 11 </w:t>
      </w:r>
      <w:r w:rsidRPr="00F83A73">
        <w:rPr>
          <w:rFonts w:ascii="Arial" w:hAnsi="Arial" w:eastAsia="Calibri" w:cs="Arial"/>
          <w:i/>
          <w:color w:val="000000"/>
          <w:sz w:val="22"/>
          <w:lang w:val="es-ES_tradnl" w:eastAsia="en-GB"/>
        </w:rPr>
        <w:t>ibídem</w:t>
      </w:r>
      <w:r w:rsidRPr="00F83A73">
        <w:rPr>
          <w:rFonts w:ascii="Arial" w:hAnsi="Arial" w:eastAsia="Calibri" w:cs="Arial"/>
          <w:color w:val="000000"/>
          <w:sz w:val="22"/>
          <w:lang w:val="es-ES_tradnl" w:eastAsia="en-GB"/>
        </w:rPr>
        <w:t xml:space="preserve"> dispone la obligación, para todo varón colombiano, de definir su situación militar desde el día en que sea mayor de edad hasta la fecha en que cumpla la edad de 50 años. Este proceso de definición de situación militar se encuentra regulado en el Capítulo II del Título II, e inicia con la inscripción ante la autoridad </w:t>
      </w:r>
      <w:r w:rsidRPr="00F83A73">
        <w:rPr>
          <w:rFonts w:ascii="Arial" w:hAnsi="Arial" w:eastAsia="Calibri" w:cs="Arial"/>
          <w:color w:val="000000"/>
          <w:sz w:val="22"/>
          <w:lang w:eastAsia="en-GB"/>
        </w:rPr>
        <w:t xml:space="preserve">de reclutamiento y movilización, en el cual el ciudadano podrá obtener un certificado en línea que acredite el inicio del proceso.  </w:t>
      </w:r>
    </w:p>
    <w:p w:rsidRPr="00F83A73" w:rsidR="009A3BC7" w:rsidP="009A3BC7" w:rsidRDefault="009A3BC7" w14:paraId="5B9EF449" w14:textId="77777777">
      <w:pPr>
        <w:spacing w:before="120"/>
        <w:ind w:firstLine="708"/>
        <w:jc w:val="both"/>
        <w:rPr>
          <w:rFonts w:ascii="Arial" w:hAnsi="Arial" w:eastAsia="Calibri" w:cs="Arial"/>
          <w:color w:val="000000"/>
          <w:sz w:val="22"/>
          <w:lang w:val="es-MX"/>
        </w:rPr>
      </w:pPr>
      <w:r w:rsidRPr="00F83A73">
        <w:rPr>
          <w:rFonts w:ascii="Arial" w:hAnsi="Arial" w:eastAsia="Calibri" w:cs="Arial"/>
          <w:color w:val="000000"/>
          <w:sz w:val="22"/>
          <w:lang w:eastAsia="en-GB"/>
        </w:rPr>
        <w:t>Además, esta ley determina las reglas para la acreditación de la situación militar en el trabajo. Así, el artículo 42 dispone en su primer inciso que la situación militar se deberá acreditar en tres eventos: i) para ejercer cargos públicos, ii) trabajar en el sector privado y iii) celebrar contratos de prestación de servicios como persona natural con cualquier entidad de derecho público.</w:t>
      </w:r>
      <w:r w:rsidRPr="00F83A73">
        <w:rPr>
          <w:rFonts w:ascii="Arial" w:hAnsi="Arial" w:eastAsia="Calibri" w:cs="Arial"/>
          <w:color w:val="000000"/>
          <w:sz w:val="22"/>
          <w:lang w:val="es-MX"/>
        </w:rPr>
        <w:t xml:space="preserve"> La presente consulta se limitó al tercer evento, teniendo en cuenta que su pregunta se circunscribe a la</w:t>
      </w:r>
      <w:r w:rsidRPr="00F83A73">
        <w:rPr>
          <w:rFonts w:ascii="Arial" w:hAnsi="Arial" w:cs="Arial"/>
          <w:color w:val="000000"/>
          <w:sz w:val="22"/>
        </w:rPr>
        <w:t xml:space="preserve"> contratación por entidades públicas</w:t>
      </w:r>
      <w:r w:rsidRPr="00F83A73">
        <w:rPr>
          <w:rFonts w:ascii="Arial" w:hAnsi="Arial" w:eastAsia="Calibri" w:cs="Arial"/>
          <w:color w:val="000000"/>
          <w:sz w:val="22"/>
          <w:lang w:val="es-MX"/>
        </w:rPr>
        <w:t xml:space="preserve">, por lo cual el análisis se referirá a ese particular. </w:t>
      </w:r>
    </w:p>
    <w:p w:rsidRPr="00F83A73" w:rsidR="009A3BC7" w:rsidP="009A3BC7" w:rsidRDefault="009A3BC7" w14:paraId="7C0E80CA" w14:textId="77777777">
      <w:pPr>
        <w:tabs>
          <w:tab w:val="left" w:pos="0"/>
        </w:tabs>
        <w:spacing w:before="120"/>
        <w:ind w:firstLine="709"/>
        <w:jc w:val="both"/>
        <w:rPr>
          <w:rFonts w:ascii="Arial" w:hAnsi="Arial" w:eastAsia="Calibri" w:cs="Arial"/>
          <w:color w:val="000000"/>
          <w:sz w:val="22"/>
          <w:lang w:eastAsia="en-GB"/>
        </w:rPr>
      </w:pPr>
      <w:r w:rsidRPr="00F83A73">
        <w:rPr>
          <w:rFonts w:ascii="Arial" w:hAnsi="Arial" w:eastAsia="Calibri" w:cs="Arial"/>
          <w:color w:val="000000"/>
          <w:sz w:val="22"/>
          <w:lang w:eastAsia="en-GB"/>
        </w:rPr>
        <w:t>De esta manera, para la celebración de contratos de prestación de servicios con persona natural, resulta obligatorio que se acredite la situación militar mediante tarjeta de reservista militar o el certificado digital, de que tratan los artículos 35</w:t>
      </w:r>
      <w:r w:rsidRPr="00F83A73">
        <w:rPr>
          <w:rFonts w:ascii="Arial" w:hAnsi="Arial" w:eastAsia="Calibri" w:cs="Arial"/>
          <w:color w:val="000000"/>
          <w:sz w:val="22"/>
          <w:vertAlign w:val="superscript"/>
          <w:lang w:eastAsia="en-GB"/>
        </w:rPr>
        <w:footnoteReference w:id="3"/>
      </w:r>
      <w:r w:rsidRPr="00F83A73">
        <w:rPr>
          <w:rFonts w:ascii="Arial" w:hAnsi="Arial" w:eastAsia="Calibri" w:cs="Arial"/>
          <w:color w:val="000000"/>
          <w:sz w:val="22"/>
          <w:lang w:eastAsia="en-GB"/>
        </w:rPr>
        <w:t xml:space="preserve"> y 40</w:t>
      </w:r>
      <w:r w:rsidRPr="00F83A73">
        <w:rPr>
          <w:rFonts w:ascii="Arial" w:hAnsi="Arial" w:eastAsia="Calibri" w:cs="Arial"/>
          <w:color w:val="000000"/>
          <w:sz w:val="22"/>
          <w:vertAlign w:val="superscript"/>
          <w:lang w:eastAsia="en-GB"/>
        </w:rPr>
        <w:footnoteReference w:id="4"/>
      </w:r>
      <w:r w:rsidRPr="00F83A73">
        <w:rPr>
          <w:rFonts w:ascii="Arial" w:hAnsi="Arial" w:eastAsia="Calibri" w:cs="Arial"/>
          <w:color w:val="000000"/>
          <w:sz w:val="22"/>
          <w:lang w:eastAsia="en-GB"/>
        </w:rPr>
        <w:t xml:space="preserve"> de la Ley </w:t>
      </w:r>
      <w:r>
        <w:rPr>
          <w:rFonts w:ascii="Arial" w:hAnsi="Arial" w:eastAsia="Calibri" w:cs="Arial"/>
          <w:color w:val="000000"/>
          <w:sz w:val="22"/>
          <w:lang w:eastAsia="en-GB"/>
        </w:rPr>
        <w:t xml:space="preserve">1861 </w:t>
      </w:r>
      <w:r>
        <w:rPr>
          <w:rFonts w:ascii="Arial" w:hAnsi="Arial" w:eastAsia="Calibri" w:cs="Arial"/>
          <w:color w:val="000000"/>
          <w:sz w:val="22"/>
          <w:lang w:eastAsia="en-GB"/>
        </w:rPr>
        <w:lastRenderedPageBreak/>
        <w:t xml:space="preserve">de 2017. </w:t>
      </w:r>
      <w:r w:rsidRPr="00F83A73">
        <w:rPr>
          <w:rFonts w:ascii="Arial" w:hAnsi="Arial" w:eastAsia="Calibri" w:cs="Arial"/>
          <w:color w:val="000000"/>
          <w:sz w:val="22"/>
          <w:lang w:eastAsia="en-GB"/>
        </w:rPr>
        <w:t xml:space="preserve">En relación con este punto, la </w:t>
      </w:r>
      <w:r w:rsidRPr="00F83A73">
        <w:rPr>
          <w:rFonts w:ascii="Arial" w:hAnsi="Arial" w:cs="Arial"/>
          <w:color w:val="000000"/>
          <w:sz w:val="22"/>
        </w:rPr>
        <w:t>Circular Externa Única de Colombia Compra Eficiente señaló el deber de las entidades públicas de verificar que la situación militar del futuro contratista se encuentre definida para efectos de la celebración del contrato de prestación de servicios, mediante los documentos señalados</w:t>
      </w:r>
      <w:r w:rsidRPr="00F83A73">
        <w:rPr>
          <w:rFonts w:ascii="Arial" w:hAnsi="Arial" w:eastAsia="Calibri" w:cs="Arial"/>
          <w:color w:val="000000"/>
          <w:sz w:val="22"/>
          <w:vertAlign w:val="superscript"/>
          <w:lang w:eastAsia="en-GB"/>
        </w:rPr>
        <w:footnoteReference w:id="5"/>
      </w:r>
      <w:r>
        <w:rPr>
          <w:rFonts w:ascii="Arial" w:hAnsi="Arial" w:cs="Arial"/>
          <w:color w:val="000000"/>
          <w:sz w:val="22"/>
        </w:rPr>
        <w:t>.</w:t>
      </w:r>
    </w:p>
    <w:p w:rsidRPr="00F83A73" w:rsidR="009A3BC7" w:rsidP="009A3BC7" w:rsidRDefault="009A3BC7" w14:paraId="536FB147" w14:textId="77777777">
      <w:pPr>
        <w:spacing w:before="120"/>
        <w:ind w:firstLine="708"/>
        <w:jc w:val="both"/>
        <w:rPr>
          <w:rFonts w:ascii="Arial" w:hAnsi="Arial" w:eastAsia="Calibri" w:cs="Arial"/>
          <w:color w:val="000000"/>
          <w:sz w:val="22"/>
          <w:lang w:val="es-MX"/>
        </w:rPr>
      </w:pPr>
      <w:r w:rsidRPr="00F83A73">
        <w:rPr>
          <w:rFonts w:ascii="Arial" w:hAnsi="Arial" w:eastAsia="Calibri" w:cs="Arial"/>
          <w:color w:val="000000"/>
          <w:sz w:val="22"/>
          <w:lang w:val="es-MX"/>
        </w:rPr>
        <w:t xml:space="preserve">Podría colegirse entonces que el artículo 42 de la Ley 1861 de 2017 consagra una prohibición general y absoluta para acceder al trabajo mientras no se tenga definida la situación militar. No obstante, el inciso segundo de este precepto estableció la prohibición de exigir la libreta militar para ingresar a un empleo, y de igual forma, permitió el acceso temporal a un empleo a quienes no hayan definido su situación militar, pero hayan sido declaradas no aptas, exentas o hayan superado la edad máxima de incorporación a filas. Para la definición de la situación militar estableció un plazo máximo de 18 meses. La norma señaló: </w:t>
      </w:r>
    </w:p>
    <w:p w:rsidRPr="00F83A73" w:rsidR="009A3BC7" w:rsidP="009A3BC7" w:rsidRDefault="009A3BC7" w14:paraId="7EF0E035" w14:textId="77777777">
      <w:pPr>
        <w:jc w:val="both"/>
        <w:rPr>
          <w:rFonts w:ascii="Arial" w:hAnsi="Arial" w:eastAsia="Calibri" w:cs="Arial"/>
          <w:color w:val="000000"/>
          <w:sz w:val="22"/>
          <w:lang w:val="es-MX"/>
        </w:rPr>
      </w:pPr>
    </w:p>
    <w:p w:rsidRPr="00F83A73" w:rsidR="009A3BC7" w:rsidP="009A3BC7" w:rsidRDefault="009A3BC7" w14:paraId="79D65546" w14:textId="77777777">
      <w:pPr>
        <w:ind w:left="709" w:right="709"/>
        <w:jc w:val="both"/>
        <w:rPr>
          <w:rFonts w:ascii="Arial" w:hAnsi="Arial" w:eastAsia="Calibri" w:cs="Arial"/>
          <w:color w:val="000000"/>
          <w:sz w:val="21"/>
          <w:szCs w:val="21"/>
          <w:lang w:val="es-MX"/>
        </w:rPr>
      </w:pPr>
      <w:r w:rsidRPr="00F83A73">
        <w:rPr>
          <w:rFonts w:ascii="Arial" w:hAnsi="Arial" w:eastAsia="Calibri" w:cs="Arial"/>
          <w:color w:val="000000"/>
          <w:sz w:val="21"/>
          <w:szCs w:val="21"/>
          <w:lang w:val="es-MX"/>
        </w:rPr>
        <w:t>[…] 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w:t>
      </w:r>
    </w:p>
    <w:p w:rsidRPr="00F83A73" w:rsidR="009A3BC7" w:rsidP="009A3BC7" w:rsidRDefault="009A3BC7" w14:paraId="2E9260BB" w14:textId="77777777">
      <w:pPr>
        <w:ind w:left="709" w:right="709"/>
        <w:jc w:val="both"/>
        <w:rPr>
          <w:rFonts w:ascii="Arial" w:hAnsi="Arial" w:eastAsia="Calibri" w:cs="Arial"/>
          <w:color w:val="000000"/>
          <w:sz w:val="21"/>
          <w:szCs w:val="21"/>
          <w:lang w:val="es-MX"/>
        </w:rPr>
      </w:pPr>
    </w:p>
    <w:p w:rsidR="009A3BC7" w:rsidP="009A3BC7" w:rsidRDefault="009A3BC7" w14:paraId="4095BAFA" w14:textId="77777777">
      <w:pPr>
        <w:spacing w:before="120"/>
        <w:ind w:firstLine="709"/>
        <w:jc w:val="both"/>
        <w:rPr>
          <w:rFonts w:ascii="Arial" w:hAnsi="Arial" w:eastAsia="Calibri" w:cs="Arial"/>
          <w:color w:val="000000"/>
          <w:sz w:val="22"/>
          <w:lang w:val="es-MX"/>
        </w:rPr>
      </w:pPr>
      <w:r w:rsidRPr="00F83A73">
        <w:rPr>
          <w:rFonts w:ascii="Arial" w:hAnsi="Arial" w:eastAsia="Calibri" w:cs="Arial"/>
          <w:color w:val="000000"/>
          <w:sz w:val="22"/>
          <w:lang w:val="es-MX"/>
        </w:rPr>
        <w:t xml:space="preserve">Conforme con lo anterior, la regla general es que todos los ciudadanos deben acreditar su situación militar para acceder a un trabajo; sin embargo, la norma permite que algunas personas puedan acceder temporalmente mientras definen su situación militar.  A este respecto, la Corte Constitucional, al estudiar la constitucionalidad de la norma referida –inciso 2 del artículo 42 de la Ley 1861 de 2017– condicionó la </w:t>
      </w:r>
      <w:proofErr w:type="spellStart"/>
      <w:r w:rsidRPr="00F83A73">
        <w:rPr>
          <w:rFonts w:ascii="Arial" w:hAnsi="Arial" w:eastAsia="Calibri" w:cs="Arial"/>
          <w:color w:val="000000"/>
          <w:sz w:val="22"/>
          <w:lang w:val="es-MX"/>
        </w:rPr>
        <w:t>exequibilidad</w:t>
      </w:r>
      <w:proofErr w:type="spellEnd"/>
      <w:r w:rsidRPr="00F83A73">
        <w:rPr>
          <w:rFonts w:ascii="Arial" w:hAnsi="Arial" w:eastAsia="Calibri" w:cs="Arial"/>
          <w:color w:val="000000"/>
          <w:sz w:val="22"/>
          <w:lang w:val="es-MX"/>
        </w:rPr>
        <w:t xml:space="preserve"> de la misma, en el entendido de que el beneficio de acceder temporalmente a un empleo, mientras se define la situación militar, aplicaba no solo para los 3 eventos señalados en la norma –no aptos, exentos de prestar el servicio militar y quienes hayan superado la edad máxima de incorporación a filas– sino también a las personas aptas pero exoneradas de pagar la cuota de compensación militar, razón por la cual la Corte hizo extensible este beneficio al cuarto grupo de sujetos mencionado. En consideración a lo anterior, declaró la </w:t>
      </w:r>
      <w:proofErr w:type="spellStart"/>
      <w:r w:rsidRPr="00F83A73">
        <w:rPr>
          <w:rFonts w:ascii="Arial" w:hAnsi="Arial" w:eastAsia="Calibri" w:cs="Arial"/>
          <w:color w:val="000000"/>
          <w:sz w:val="22"/>
          <w:lang w:val="es-MX"/>
        </w:rPr>
        <w:t>exequibilidad</w:t>
      </w:r>
      <w:proofErr w:type="spellEnd"/>
      <w:r w:rsidRPr="00F83A73">
        <w:rPr>
          <w:rFonts w:ascii="Arial" w:hAnsi="Arial" w:eastAsia="Calibri" w:cs="Arial"/>
          <w:color w:val="000000"/>
          <w:sz w:val="22"/>
          <w:lang w:val="es-MX"/>
        </w:rPr>
        <w:t xml:space="preserve"> condicionada del aparte demandado, pero en el entendido de que además de los 3 supuestos consagrados en la norma el beneficio se extiende a un cuarto grupo de personas: las aptas pero exoneradas del pago de compensación militar</w:t>
      </w:r>
      <w:r w:rsidRPr="00F83A73">
        <w:rPr>
          <w:rFonts w:ascii="Arial" w:hAnsi="Arial" w:eastAsia="Calibri" w:cs="Arial"/>
          <w:color w:val="000000"/>
          <w:sz w:val="21"/>
          <w:szCs w:val="21"/>
          <w:vertAlign w:val="superscript"/>
          <w:lang w:val="es-MX"/>
        </w:rPr>
        <w:footnoteReference w:id="6"/>
      </w:r>
      <w:r w:rsidRPr="00F83A73">
        <w:rPr>
          <w:rFonts w:ascii="Arial" w:hAnsi="Arial" w:eastAsia="Calibri" w:cs="Arial"/>
          <w:color w:val="000000"/>
          <w:sz w:val="22"/>
          <w:lang w:val="es-MX"/>
        </w:rPr>
        <w:t xml:space="preserve">. </w:t>
      </w:r>
    </w:p>
    <w:p w:rsidRPr="00E25E7C" w:rsidR="009A3BC7" w:rsidP="009A3BC7" w:rsidRDefault="009A3BC7" w14:paraId="4B32E8E1" w14:textId="77777777">
      <w:pPr>
        <w:spacing w:before="120"/>
        <w:ind w:firstLine="709"/>
        <w:jc w:val="both"/>
        <w:rPr>
          <w:rFonts w:ascii="Arial" w:hAnsi="Arial" w:eastAsia="Calibri" w:cs="Arial"/>
          <w:color w:val="000000"/>
          <w:sz w:val="22"/>
          <w:lang w:val="es-MX"/>
        </w:rPr>
      </w:pPr>
    </w:p>
    <w:p w:rsidRPr="00F83A73" w:rsidR="009A3BC7" w:rsidP="009A3BC7" w:rsidRDefault="009A3BC7" w14:paraId="7B1CD454" w14:textId="77777777">
      <w:pPr>
        <w:jc w:val="both"/>
        <w:rPr>
          <w:rFonts w:ascii="Arial" w:hAnsi="Arial" w:eastAsia="Calibri" w:cs="Arial"/>
          <w:b/>
          <w:color w:val="000000"/>
          <w:sz w:val="22"/>
          <w:lang w:val="es-MX"/>
        </w:rPr>
      </w:pPr>
      <w:r w:rsidRPr="00F83A73">
        <w:rPr>
          <w:rFonts w:ascii="Arial" w:hAnsi="Arial" w:eastAsia="Calibri" w:cs="Arial"/>
          <w:b/>
          <w:color w:val="000000"/>
          <w:sz w:val="22"/>
          <w:lang w:val="es-MX"/>
        </w:rPr>
        <w:t>2.2. Población cubierta por el beneficio establecido en el inciso 2 del artículo 42 de la Ley 1861 de 2017</w:t>
      </w:r>
    </w:p>
    <w:p w:rsidRPr="00F83A73" w:rsidR="009A3BC7" w:rsidP="009A3BC7" w:rsidRDefault="009A3BC7" w14:paraId="1C0A9D7E" w14:textId="77777777">
      <w:pPr>
        <w:jc w:val="both"/>
        <w:rPr>
          <w:rFonts w:ascii="Arial" w:hAnsi="Arial" w:eastAsia="Calibri" w:cs="Arial"/>
          <w:b/>
          <w:color w:val="000000"/>
          <w:sz w:val="22"/>
          <w:lang w:val="es-MX"/>
        </w:rPr>
      </w:pPr>
    </w:p>
    <w:p w:rsidRPr="00F83A73" w:rsidR="009A3BC7" w:rsidP="009A3BC7" w:rsidRDefault="009A3BC7" w14:paraId="5E48B1BB" w14:textId="77777777">
      <w:pPr>
        <w:spacing w:before="120"/>
        <w:jc w:val="both"/>
        <w:rPr>
          <w:rFonts w:ascii="Arial" w:hAnsi="Arial" w:eastAsia="Calibri" w:cs="Arial"/>
          <w:color w:val="000000"/>
          <w:sz w:val="22"/>
          <w:lang w:val="es-MX"/>
        </w:rPr>
      </w:pPr>
      <w:r w:rsidRPr="00F83A73">
        <w:rPr>
          <w:rFonts w:ascii="Arial" w:hAnsi="Arial" w:eastAsia="Calibri" w:cs="Arial"/>
          <w:color w:val="000000"/>
          <w:sz w:val="22"/>
          <w:lang w:val="es-MX"/>
        </w:rPr>
        <w:t xml:space="preserve">Es bueno relievar que la Sentencia de la Corte señaló, entonces, que las personas no aptas, las exentas, las que hayan superado la edad máxima de incorporación a filas y las aptas pero exoneradas del pago de compensación militar, pueden acceder temporalmente a un empleo mientras definen su situación militar, razón por la cual resulta pertinente determinar la conformación de cada grupo. </w:t>
      </w:r>
    </w:p>
    <w:p w:rsidRPr="00F83A73" w:rsidR="009A3BC7" w:rsidP="009A3BC7" w:rsidRDefault="009A3BC7" w14:paraId="25D72D4D" w14:textId="77777777">
      <w:pPr>
        <w:spacing w:before="120" w:after="120"/>
        <w:ind w:firstLine="709"/>
        <w:jc w:val="both"/>
        <w:rPr>
          <w:rFonts w:ascii="Arial" w:hAnsi="Arial" w:eastAsia="Calibri" w:cs="Arial"/>
          <w:color w:val="000000"/>
          <w:sz w:val="22"/>
          <w:lang w:val="es-MX"/>
        </w:rPr>
      </w:pPr>
      <w:r w:rsidRPr="00F83A73">
        <w:rPr>
          <w:rFonts w:ascii="Arial" w:hAnsi="Arial" w:eastAsia="Calibri" w:cs="Arial"/>
          <w:color w:val="000000"/>
          <w:sz w:val="22"/>
          <w:lang w:val="es-MX"/>
        </w:rPr>
        <w:t>En relación con el primero –esto es, respecto a las personas no aptas–, de lo establecido en el artículo 18 de la ley se desprende que son aquellos inscritos que no tienen las condiciones psicofísicas adecuadas, que le impiden desarrollar eficientemente la actividad militar.</w:t>
      </w:r>
    </w:p>
    <w:p w:rsidRPr="00F83A73" w:rsidR="009A3BC7" w:rsidP="009A3BC7" w:rsidRDefault="009A3BC7" w14:paraId="4AF198B2" w14:textId="77777777">
      <w:pPr>
        <w:spacing w:after="120"/>
        <w:ind w:firstLine="709"/>
        <w:jc w:val="both"/>
        <w:rPr>
          <w:rFonts w:ascii="Arial" w:hAnsi="Arial" w:eastAsia="Calibri" w:cs="Arial"/>
          <w:color w:val="000000"/>
          <w:sz w:val="22"/>
          <w:lang w:val="es-MX"/>
        </w:rPr>
      </w:pPr>
      <w:r w:rsidRPr="00F83A73">
        <w:rPr>
          <w:rFonts w:ascii="Arial" w:hAnsi="Arial" w:eastAsia="Calibri" w:cs="Arial"/>
          <w:color w:val="000000"/>
          <w:sz w:val="22"/>
          <w:lang w:val="es-MX"/>
        </w:rPr>
        <w:t>En segundo lugar, la Corte Constitucional señaló que las personas exentas eran aquellas que por cualquier razón hubieran sido declaradas libres de prestar el servicio militar. Esta definición fue incluida en la sentencia citada, al concluir que uno de los cargos estaba relacionado con que las personas aptas no seleccionadas que estuviesen impedidas para acceder al beneficio laboral previsto en el inciso 2 del artículo 42. En la decisión judicial en comento, la Corte precisó que el cargo carecía de certeza, porque en dicha disposición no existía una definición de la palabra «exentos», lo que, de conformidad con los artículos 28 a 30 del Código Civil, debía entenderse en su sentido natural</w:t>
      </w:r>
      <w:r w:rsidRPr="00F83A73">
        <w:rPr>
          <w:rFonts w:ascii="Arial" w:hAnsi="Arial" w:eastAsia="Calibri" w:cs="Arial"/>
          <w:color w:val="000000"/>
          <w:sz w:val="21"/>
          <w:szCs w:val="21"/>
          <w:lang w:val="es-MX"/>
        </w:rPr>
        <w:t>.</w:t>
      </w:r>
      <w:r w:rsidRPr="00F83A73">
        <w:rPr>
          <w:rFonts w:ascii="Arial" w:hAnsi="Arial" w:eastAsia="Calibri" w:cs="Arial"/>
          <w:color w:val="000000"/>
          <w:sz w:val="22"/>
          <w:lang w:val="es-MX"/>
        </w:rPr>
        <w:t xml:space="preserve"> De lo anterior se desprende que la Corte concluyó que «exentos» son todas las personas que fueron </w:t>
      </w:r>
      <w:r w:rsidRPr="00F83A73">
        <w:rPr>
          <w:rFonts w:ascii="Castellar" w:hAnsi="Castellar" w:eastAsia="Calibri" w:cs="Arial"/>
          <w:color w:val="000000"/>
          <w:sz w:val="22"/>
          <w:lang w:val="es-MX"/>
        </w:rPr>
        <w:t>«</w:t>
      </w:r>
      <w:r w:rsidRPr="00F83A73">
        <w:rPr>
          <w:rFonts w:ascii="Arial" w:hAnsi="Arial" w:eastAsia="Calibri" w:cs="Arial"/>
          <w:color w:val="000000"/>
          <w:sz w:val="22"/>
          <w:lang w:val="es-MX"/>
        </w:rPr>
        <w:t xml:space="preserve">liberadas» por cualquier causa, del deber de prestar el servicio militar obligatorio. En este sentido, se incluyen incluso a los aptos no seleccionados. </w:t>
      </w:r>
    </w:p>
    <w:p w:rsidR="009A3BC7" w:rsidP="009A3BC7" w:rsidRDefault="009A3BC7" w14:paraId="317BC792" w14:textId="77777777">
      <w:pPr>
        <w:ind w:firstLine="708"/>
        <w:jc w:val="both"/>
        <w:rPr>
          <w:rFonts w:ascii="Arial" w:hAnsi="Arial" w:eastAsia="Calibri" w:cs="Arial"/>
          <w:color w:val="000000"/>
          <w:sz w:val="22"/>
          <w:lang w:val="es-MX"/>
        </w:rPr>
      </w:pPr>
      <w:r w:rsidRPr="00F83A73">
        <w:rPr>
          <w:rFonts w:ascii="Arial" w:hAnsi="Arial" w:eastAsia="Calibri" w:cs="Arial"/>
          <w:color w:val="000000"/>
          <w:sz w:val="22"/>
          <w:lang w:val="es-MX"/>
        </w:rPr>
        <w:t xml:space="preserve">En tercer lugar, conforme con lo dispuesto en el parágrafo del artículo 23 de la Ley 1861 de 2017, la edad máxima de incorporación a filas es 24 años, por lo cual en este grupo se incluyen los colombianos declarados aptos desde que cumplen la mayoría de edad y hasta faltando un día para cumplir 24 años. </w:t>
      </w:r>
    </w:p>
    <w:p w:rsidRPr="0032294F" w:rsidR="009A3BC7" w:rsidP="009A3BC7" w:rsidRDefault="009A3BC7" w14:paraId="74A3FCE2" w14:textId="77777777">
      <w:pPr>
        <w:spacing w:before="120"/>
        <w:ind w:firstLine="708"/>
        <w:jc w:val="both"/>
        <w:rPr>
          <w:rFonts w:ascii="Arial" w:hAnsi="Arial" w:eastAsia="Calibri" w:cs="Arial"/>
          <w:color w:val="000000"/>
          <w:sz w:val="22"/>
          <w:lang w:val="es-MX"/>
        </w:rPr>
      </w:pPr>
      <w:r w:rsidRPr="00F83A73">
        <w:rPr>
          <w:rFonts w:ascii="Arial" w:hAnsi="Arial" w:eastAsia="Calibri" w:cs="Arial"/>
          <w:color w:val="000000"/>
          <w:sz w:val="22"/>
          <w:lang w:val="es-MX"/>
        </w:rPr>
        <w:t>Finalmente, en relación con las personas aptas pero exoneradas de pagar la cuota de compensación familiar, la Corte señaló que la medida de restringirle el acceso al trabajo a este grupo poblacional era desproporcionada y no era conducente para el cumplimiento del fin perseguido por la norma</w:t>
      </w:r>
      <w:r w:rsidRPr="00F83A73">
        <w:rPr>
          <w:rFonts w:ascii="Arial" w:hAnsi="Arial" w:eastAsia="Calibri" w:cs="Arial"/>
          <w:color w:val="000000"/>
          <w:sz w:val="22"/>
          <w:vertAlign w:val="superscript"/>
          <w:lang w:val="es-MX"/>
        </w:rPr>
        <w:footnoteReference w:id="7"/>
      </w:r>
      <w:r>
        <w:rPr>
          <w:rFonts w:ascii="Arial" w:hAnsi="Arial" w:eastAsia="Calibri" w:cs="Arial"/>
          <w:color w:val="000000"/>
          <w:sz w:val="22"/>
          <w:lang w:val="es-MX"/>
        </w:rPr>
        <w:t xml:space="preserve">. </w:t>
      </w:r>
      <w:r w:rsidRPr="00F83A73">
        <w:rPr>
          <w:rFonts w:ascii="Arial" w:hAnsi="Arial" w:eastAsia="Calibri" w:cs="Arial"/>
          <w:color w:val="000000"/>
          <w:sz w:val="22"/>
          <w:lang w:val="es-MX"/>
        </w:rPr>
        <w:t xml:space="preserve">En conclusión, además de las personas señaladas en el </w:t>
      </w:r>
      <w:r w:rsidRPr="00F83A73">
        <w:rPr>
          <w:rFonts w:ascii="Arial" w:hAnsi="Arial" w:eastAsia="Calibri" w:cs="Arial"/>
          <w:color w:val="000000"/>
          <w:sz w:val="22"/>
          <w:lang w:val="es-MX"/>
        </w:rPr>
        <w:lastRenderedPageBreak/>
        <w:t>inciso 2 del artículo 42 de la Ley 1861 de 2017, las personas aptas pero exoneradas de pagar la cuota de compensación militar también pueden acceder al beneficio previsto en el mismo inciso</w:t>
      </w:r>
      <w:r w:rsidRPr="00F83A73">
        <w:rPr>
          <w:rFonts w:ascii="Arial" w:hAnsi="Arial" w:eastAsia="Calibri" w:cs="Arial"/>
          <w:color w:val="000000"/>
          <w:sz w:val="22"/>
          <w:vertAlign w:val="superscript"/>
          <w:lang w:val="es-MX"/>
        </w:rPr>
        <w:footnoteReference w:id="8"/>
      </w:r>
      <w:r w:rsidRPr="00F83A73">
        <w:rPr>
          <w:rFonts w:ascii="Arial" w:hAnsi="Arial" w:eastAsia="Calibri" w:cs="Arial"/>
          <w:color w:val="000000"/>
          <w:sz w:val="21"/>
          <w:szCs w:val="21"/>
          <w:lang w:val="es-MX"/>
        </w:rPr>
        <w:t>.</w:t>
      </w:r>
    </w:p>
    <w:p w:rsidRPr="00F83A73" w:rsidR="009A3BC7" w:rsidP="009A3BC7" w:rsidRDefault="009A3BC7" w14:paraId="522969EE" w14:textId="77777777">
      <w:pPr>
        <w:tabs>
          <w:tab w:val="left" w:pos="0"/>
        </w:tabs>
        <w:jc w:val="both"/>
        <w:rPr>
          <w:rFonts w:ascii="Arial" w:hAnsi="Arial" w:cs="Arial"/>
          <w:color w:val="000000"/>
          <w:sz w:val="22"/>
        </w:rPr>
      </w:pPr>
    </w:p>
    <w:p w:rsidRPr="00F83A73" w:rsidR="009A3BC7" w:rsidP="009A3BC7" w:rsidRDefault="009A3BC7" w14:paraId="19D1A4CF" w14:textId="77777777">
      <w:pPr>
        <w:tabs>
          <w:tab w:val="left" w:pos="0"/>
        </w:tabs>
        <w:jc w:val="both"/>
        <w:rPr>
          <w:rFonts w:ascii="Arial" w:hAnsi="Arial" w:cs="Arial"/>
          <w:b/>
          <w:color w:val="000000"/>
          <w:sz w:val="22"/>
        </w:rPr>
      </w:pPr>
      <w:r w:rsidRPr="00F83A73">
        <w:rPr>
          <w:rFonts w:ascii="Arial" w:hAnsi="Arial" w:cs="Arial"/>
          <w:b/>
          <w:color w:val="000000"/>
          <w:sz w:val="22"/>
        </w:rPr>
        <w:t>2.3. Contabilización del plazo de 18 de meses establecido en el inciso 2 del artículo 42 de la Ley 1861 de 2017</w:t>
      </w:r>
    </w:p>
    <w:p w:rsidRPr="00F83A73" w:rsidR="009A3BC7" w:rsidP="009A3BC7" w:rsidRDefault="009A3BC7" w14:paraId="1AAC4868" w14:textId="77777777">
      <w:pPr>
        <w:tabs>
          <w:tab w:val="left" w:pos="0"/>
        </w:tabs>
        <w:jc w:val="both"/>
        <w:rPr>
          <w:rFonts w:ascii="Arial" w:hAnsi="Arial" w:eastAsia="Calibri" w:cs="Arial"/>
          <w:color w:val="000000"/>
          <w:sz w:val="22"/>
          <w:lang w:val="es-ES_tradnl" w:eastAsia="en-GB"/>
        </w:rPr>
      </w:pPr>
    </w:p>
    <w:p w:rsidRPr="00F83A73" w:rsidR="009A3BC7" w:rsidP="009A3BC7" w:rsidRDefault="009A3BC7" w14:paraId="5E6281E4" w14:textId="77777777">
      <w:pPr>
        <w:tabs>
          <w:tab w:val="left" w:pos="0"/>
        </w:tabs>
        <w:spacing w:before="120"/>
        <w:jc w:val="both"/>
        <w:rPr>
          <w:rFonts w:ascii="Arial" w:hAnsi="Arial" w:cs="Arial"/>
          <w:color w:val="000000"/>
          <w:sz w:val="22"/>
        </w:rPr>
      </w:pPr>
      <w:r w:rsidRPr="00F83A73">
        <w:rPr>
          <w:rFonts w:ascii="Arial" w:hAnsi="Arial" w:eastAsia="Calibri" w:cs="Arial"/>
          <w:color w:val="000000"/>
          <w:sz w:val="22"/>
          <w:lang w:val="es-ES_tradnl" w:eastAsia="en-GB"/>
        </w:rPr>
        <w:t>De conformidad con lo expuesto, las personas que no hayan definido su situación militar pero que hayan sido declaradas</w:t>
      </w:r>
      <w:r w:rsidRPr="00F83A73">
        <w:rPr>
          <w:rFonts w:ascii="Arial" w:hAnsi="Arial" w:cs="Arial"/>
          <w:color w:val="000000"/>
          <w:sz w:val="22"/>
        </w:rPr>
        <w:t xml:space="preserve"> no aptas, exentas, hayan superado la edad máxima de incorporación a filas y aptas pero exoneradas de pagar la cuota de compensación militar, podrán acceder a un empleo sin definir su situación militar. Para tales efectos,</w:t>
      </w:r>
      <w:r w:rsidRPr="00F83A73">
        <w:rPr>
          <w:rFonts w:ascii="Arial" w:hAnsi="Arial" w:eastAsia="Calibri" w:cs="Arial"/>
          <w:color w:val="000000"/>
          <w:sz w:val="22"/>
          <w:lang w:val="es-ES_tradnl" w:eastAsia="en-GB"/>
        </w:rPr>
        <w:t xml:space="preserve"> el inciso segundo del artículo 42 de la Ley 1861 de 2017</w:t>
      </w:r>
      <w:r w:rsidRPr="00F83A73">
        <w:rPr>
          <w:rFonts w:ascii="Arial" w:hAnsi="Arial" w:cs="Arial"/>
          <w:color w:val="000000"/>
          <w:sz w:val="22"/>
        </w:rPr>
        <w:t xml:space="preserve"> otorgó un plazo de 18 meses para definirla, contados a partir de la vinculación laboral, exceptuando la contabilización de este término en los casos en que las demoras no le sean imputables al trabajador. </w:t>
      </w:r>
    </w:p>
    <w:p w:rsidRPr="00F83A73" w:rsidR="009A3BC7" w:rsidP="009A3BC7" w:rsidRDefault="009A3BC7" w14:paraId="041DE5F1" w14:textId="77777777">
      <w:pPr>
        <w:tabs>
          <w:tab w:val="left" w:pos="0"/>
        </w:tabs>
        <w:spacing w:before="120"/>
        <w:ind w:firstLine="709"/>
        <w:jc w:val="both"/>
        <w:rPr>
          <w:rFonts w:ascii="Arial" w:hAnsi="Arial" w:cs="Arial"/>
          <w:color w:val="000000"/>
          <w:sz w:val="22"/>
        </w:rPr>
      </w:pPr>
      <w:r w:rsidRPr="00F83A73">
        <w:rPr>
          <w:rFonts w:ascii="Arial" w:hAnsi="Arial" w:cs="Arial"/>
          <w:color w:val="000000"/>
          <w:sz w:val="22"/>
        </w:rPr>
        <w:t>De conformidad con el inciso tercero de esta disposición, quienes accedan a este beneficio deberán gestionar –ante las autoridades de reclutamiento– un certificado provisional en línea que acredite el trámite de la definición de la situación militar por única vez, el cual será válido por el término de 18 meses. Por su parte, el parágrafo 1 del artículo citado, indica que las personas señaladas que cuentan con una vinculación laboral vigente y no hayan definido su situación militar, deberán hacerlo en los siguientes 18 meses contados desde la vigencia de la Ley 1861 de 2017</w:t>
      </w:r>
      <w:r w:rsidRPr="00F83A73">
        <w:rPr>
          <w:rFonts w:ascii="Arial" w:hAnsi="Arial" w:cs="Arial"/>
          <w:color w:val="000000"/>
          <w:sz w:val="22"/>
          <w:vertAlign w:val="superscript"/>
        </w:rPr>
        <w:footnoteReference w:id="9"/>
      </w:r>
      <w:r w:rsidRPr="00F83A73">
        <w:rPr>
          <w:rFonts w:ascii="Arial" w:hAnsi="Arial" w:cs="Arial"/>
          <w:color w:val="000000"/>
          <w:sz w:val="22"/>
        </w:rPr>
        <w:t xml:space="preserve">. </w:t>
      </w:r>
    </w:p>
    <w:p w:rsidRPr="00F83A73" w:rsidR="009A3BC7" w:rsidP="009A3BC7" w:rsidRDefault="009A3BC7" w14:paraId="0A0B076D" w14:textId="77777777">
      <w:pPr>
        <w:tabs>
          <w:tab w:val="left" w:pos="0"/>
        </w:tabs>
        <w:spacing w:before="120"/>
        <w:ind w:firstLine="709"/>
        <w:jc w:val="both"/>
        <w:rPr>
          <w:rFonts w:ascii="Arial" w:hAnsi="Arial" w:cs="Arial"/>
          <w:color w:val="000000"/>
          <w:sz w:val="22"/>
        </w:rPr>
      </w:pPr>
      <w:r w:rsidRPr="00F83A73">
        <w:rPr>
          <w:rFonts w:ascii="Arial" w:hAnsi="Arial" w:cs="Arial"/>
          <w:color w:val="000000"/>
          <w:sz w:val="22"/>
        </w:rPr>
        <w:t xml:space="preserve">De lo anterior se desprende que el plazo de 18 meses es el término máximo con que cuenta el ciudadano para definir su situación militar. Ello es así por cuanto el propósito es permitir temporalmente el acceso al trabajo a un grupo de personas determinadas, pero con la condición de que inicien el trámite correspondiente para que su situación militar se defina en el término previsto en la ley. Al respecto, la Corte Constitucional señaló: </w:t>
      </w:r>
    </w:p>
    <w:p w:rsidRPr="00F83A73" w:rsidR="009A3BC7" w:rsidP="009A3BC7" w:rsidRDefault="009A3BC7" w14:paraId="64288EE7" w14:textId="77777777">
      <w:pPr>
        <w:tabs>
          <w:tab w:val="left" w:pos="0"/>
        </w:tabs>
        <w:ind w:firstLine="709"/>
        <w:jc w:val="both"/>
        <w:rPr>
          <w:rFonts w:ascii="Arial" w:hAnsi="Arial" w:cs="Arial"/>
          <w:color w:val="000000"/>
          <w:sz w:val="22"/>
        </w:rPr>
      </w:pPr>
    </w:p>
    <w:p w:rsidRPr="00F83A73" w:rsidR="009A3BC7" w:rsidP="009A3BC7" w:rsidRDefault="009A3BC7" w14:paraId="02FF1780" w14:textId="77777777">
      <w:pPr>
        <w:spacing w:after="240"/>
        <w:ind w:left="709" w:right="709"/>
        <w:jc w:val="both"/>
        <w:rPr>
          <w:rFonts w:ascii="Arial" w:hAnsi="Arial" w:eastAsia="Calibri" w:cs="Arial"/>
          <w:color w:val="000000"/>
          <w:sz w:val="21"/>
          <w:szCs w:val="21"/>
          <w:lang w:val="es-MX"/>
        </w:rPr>
      </w:pPr>
      <w:r w:rsidRPr="00F83A73">
        <w:rPr>
          <w:rFonts w:ascii="Arial" w:hAnsi="Arial" w:eastAsia="Calibri" w:cs="Arial"/>
          <w:color w:val="000000"/>
          <w:sz w:val="21"/>
          <w:szCs w:val="21"/>
          <w:lang w:val="es-MX"/>
        </w:rPr>
        <w:t xml:space="preserve">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w:t>
      </w:r>
      <w:r w:rsidRPr="00F83A73">
        <w:rPr>
          <w:rFonts w:ascii="Arial" w:hAnsi="Arial" w:eastAsia="Calibri" w:cs="Arial"/>
          <w:color w:val="000000"/>
          <w:sz w:val="21"/>
          <w:szCs w:val="21"/>
          <w:lang w:val="es-MX"/>
        </w:rPr>
        <w:lastRenderedPageBreak/>
        <w:t>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declaradas no aptas o exentas para prestar el servicio militar, así como las que hubieren superado la edad máxima de incorporación a filas, puedan acceder temporalmente a un trabajo mientras culminan con el referido trámite. De no existir la norma acusada, ni siquiera tales grupos (los 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 estudio.</w:t>
      </w:r>
    </w:p>
    <w:p w:rsidRPr="00F83A73" w:rsidR="009A3BC7" w:rsidP="009A3BC7" w:rsidRDefault="009A3BC7" w14:paraId="0F354C57" w14:textId="77777777">
      <w:pPr>
        <w:tabs>
          <w:tab w:val="left" w:pos="0"/>
        </w:tabs>
        <w:spacing w:before="120"/>
        <w:ind w:firstLine="709"/>
        <w:jc w:val="both"/>
        <w:rPr>
          <w:rFonts w:ascii="Arial" w:hAnsi="Arial" w:cs="Arial"/>
          <w:color w:val="000000"/>
          <w:sz w:val="22"/>
        </w:rPr>
      </w:pPr>
      <w:r w:rsidRPr="00F83A73">
        <w:rPr>
          <w:rFonts w:ascii="Arial" w:hAnsi="Arial" w:cs="Arial"/>
          <w:color w:val="000000"/>
          <w:sz w:val="22"/>
        </w:rPr>
        <w:t xml:space="preserve">De la jurisprudencia citada  es claro que los 18 meses de que trata el inciso segundo del artículo 42 es un plazo límite, pues esta norma otorga un beneficio </w:t>
      </w:r>
      <w:r w:rsidRPr="009A3BC7">
        <w:rPr>
          <w:rFonts w:ascii="Arial" w:hAnsi="Arial" w:cs="Arial"/>
          <w:color w:val="000000"/>
          <w:sz w:val="22"/>
        </w:rPr>
        <w:t>«</w:t>
      </w:r>
      <w:r w:rsidRPr="00F83A73">
        <w:rPr>
          <w:rFonts w:ascii="Arial" w:hAnsi="Arial" w:cs="Arial"/>
          <w:color w:val="000000"/>
          <w:sz w:val="22"/>
        </w:rPr>
        <w:t>temporal</w:t>
      </w:r>
      <w:r w:rsidRPr="009A3BC7">
        <w:rPr>
          <w:rFonts w:ascii="Arial" w:hAnsi="Arial" w:cs="Arial"/>
          <w:color w:val="000000"/>
          <w:sz w:val="22"/>
        </w:rPr>
        <w:t>»</w:t>
      </w:r>
      <w:r w:rsidRPr="00F83A73">
        <w:rPr>
          <w:rFonts w:ascii="Arial" w:hAnsi="Arial" w:cs="Arial"/>
          <w:color w:val="000000"/>
          <w:sz w:val="22"/>
        </w:rPr>
        <w:t xml:space="preserve"> a un grupo de personas determinadas. Sin embargo, no los exonera de definir su situación militar, así como tampoco de mantener el beneficio de manera indefinida en el tiempo, por cada empleo al cual se ingrese. En otras palabras, el beneficio en mención no puede interpretarse de tal forma que el ciudadano perpetúe su situación, so pretexto de que para acceder al empleo no es necesario definir la situación militar. </w:t>
      </w:r>
    </w:p>
    <w:p w:rsidRPr="00F83A73" w:rsidR="009A3BC7" w:rsidP="009A3BC7" w:rsidRDefault="009A3BC7" w14:paraId="0ABE59FC" w14:textId="77777777">
      <w:pPr>
        <w:tabs>
          <w:tab w:val="left" w:pos="0"/>
        </w:tabs>
        <w:spacing w:before="120"/>
        <w:ind w:firstLine="709"/>
        <w:jc w:val="both"/>
        <w:rPr>
          <w:rFonts w:ascii="Arial" w:hAnsi="Arial" w:cs="Arial"/>
          <w:color w:val="000000"/>
          <w:sz w:val="22"/>
        </w:rPr>
      </w:pPr>
      <w:r w:rsidRPr="00F83A73">
        <w:rPr>
          <w:rFonts w:ascii="Arial" w:hAnsi="Arial" w:cs="Arial"/>
          <w:color w:val="000000"/>
          <w:sz w:val="22"/>
        </w:rPr>
        <w:t xml:space="preserve">En este orden de ideas, surge el siguiente interrogante, ¿a partir de qué momento se debe contabilizar los 18 meses para definir la situación militar? Al respecto, el inciso segundo del artículo 42 de la Ley 1861 de 2017 establece que a partir de la fecha de su vinculación laboral estas personas tendrán un lapso de dieciocho (18) meses para definir su situación militar. </w:t>
      </w:r>
    </w:p>
    <w:p w:rsidRPr="00F83A73" w:rsidR="009A3BC7" w:rsidP="009A3BC7" w:rsidRDefault="009A3BC7" w14:paraId="438EE1C0" w14:textId="77777777">
      <w:pPr>
        <w:tabs>
          <w:tab w:val="left" w:pos="0"/>
        </w:tabs>
        <w:spacing w:before="120"/>
        <w:ind w:firstLine="709"/>
        <w:jc w:val="both"/>
        <w:rPr>
          <w:rFonts w:ascii="Arial" w:hAnsi="Arial" w:cs="Arial"/>
          <w:color w:val="000000"/>
          <w:sz w:val="22"/>
        </w:rPr>
      </w:pPr>
      <w:r w:rsidRPr="00F83A73">
        <w:rPr>
          <w:rFonts w:ascii="Arial" w:hAnsi="Arial" w:cs="Arial"/>
          <w:color w:val="000000"/>
          <w:sz w:val="22"/>
        </w:rPr>
        <w:t xml:space="preserve">Sin embargo, el inciso tercero de la disposición señalada, impone el deber a aquellas personas que accedan a los beneficios previstos, de tramitar ante las autoridades de reclutamiento una certificación provisional en línea que </w:t>
      </w:r>
      <w:r w:rsidRPr="00F83A73">
        <w:rPr>
          <w:rFonts w:ascii="Arial" w:hAnsi="Arial" w:cs="Arial"/>
          <w:color w:val="000000"/>
          <w:sz w:val="19"/>
          <w:szCs w:val="19"/>
          <w:lang w:val="es-ES"/>
        </w:rPr>
        <w:t>«</w:t>
      </w:r>
      <w:r w:rsidRPr="00F83A73">
        <w:rPr>
          <w:rFonts w:ascii="Arial" w:hAnsi="Arial" w:cs="Arial"/>
          <w:color w:val="000000"/>
          <w:sz w:val="22"/>
        </w:rPr>
        <w:t>acredite</w:t>
      </w:r>
      <w:r w:rsidRPr="00F83A73">
        <w:rPr>
          <w:rFonts w:ascii="Arial" w:hAnsi="Arial" w:cs="Arial"/>
          <w:color w:val="000000"/>
          <w:sz w:val="19"/>
          <w:szCs w:val="19"/>
          <w:lang w:val="es-ES"/>
        </w:rPr>
        <w:t>»</w:t>
      </w:r>
      <w:r w:rsidRPr="00F83A73">
        <w:rPr>
          <w:rFonts w:ascii="Arial" w:hAnsi="Arial" w:cs="Arial"/>
          <w:color w:val="000000"/>
          <w:sz w:val="22"/>
        </w:rPr>
        <w:t xml:space="preserve"> el trámite de la definición de la situación militar. Esta certificación debe ser verificada por las entidades públicas y privadas para efectos de ejercer cargos públicos y trabajar en el sector privado, puesto que es la forma en que se acredita que la situación militar se encuentra en trámite. </w:t>
      </w:r>
    </w:p>
    <w:p w:rsidRPr="00F83A73" w:rsidR="009A3BC7" w:rsidP="009A3BC7" w:rsidRDefault="009A3BC7" w14:paraId="5B776E58" w14:textId="77777777">
      <w:pPr>
        <w:tabs>
          <w:tab w:val="left" w:pos="0"/>
        </w:tabs>
        <w:spacing w:before="120"/>
        <w:ind w:firstLine="709"/>
        <w:jc w:val="both"/>
        <w:rPr>
          <w:rFonts w:ascii="Arial" w:hAnsi="Arial" w:cs="Arial"/>
          <w:color w:val="000000"/>
          <w:sz w:val="22"/>
        </w:rPr>
      </w:pPr>
      <w:r w:rsidRPr="00F83A73">
        <w:rPr>
          <w:rFonts w:ascii="Arial" w:hAnsi="Arial" w:cs="Arial"/>
          <w:color w:val="000000"/>
          <w:sz w:val="22"/>
        </w:rPr>
        <w:t xml:space="preserve">En efecto, cuando el inciso primero del artículo 42 de la Ley 1861 de 2017 establece que la situación militar se deberá </w:t>
      </w:r>
      <w:r w:rsidRPr="00F83A73">
        <w:rPr>
          <w:rFonts w:ascii="Arial" w:hAnsi="Arial" w:cs="Arial"/>
          <w:color w:val="000000"/>
          <w:sz w:val="19"/>
          <w:szCs w:val="19"/>
          <w:lang w:val="es-ES"/>
        </w:rPr>
        <w:t>«</w:t>
      </w:r>
      <w:r w:rsidRPr="00F83A73">
        <w:rPr>
          <w:rFonts w:ascii="Arial" w:hAnsi="Arial" w:cs="Arial"/>
          <w:color w:val="000000"/>
          <w:sz w:val="22"/>
        </w:rPr>
        <w:t>acreditar</w:t>
      </w:r>
      <w:r w:rsidRPr="00F83A73">
        <w:rPr>
          <w:rFonts w:ascii="Arial" w:hAnsi="Arial" w:cs="Arial"/>
          <w:color w:val="000000"/>
          <w:sz w:val="19"/>
          <w:szCs w:val="19"/>
          <w:lang w:val="es-ES"/>
        </w:rPr>
        <w:t>»</w:t>
      </w:r>
      <w:r w:rsidRPr="00F83A73">
        <w:rPr>
          <w:rFonts w:ascii="Arial" w:hAnsi="Arial" w:cs="Arial"/>
          <w:color w:val="000000"/>
          <w:sz w:val="22"/>
        </w:rPr>
        <w:t xml:space="preserve"> para ejercer cargos públicos y trabajar en el sector privado, significa que el grupo de personas beneficiadas con lo dispuesto en el inciso segundo, deberá presentar la certificación provisional en línea, la cual acreditará que su situación militar se encuentra en trámite. Este certificado se expide por única vez y será válido por el termino de 18 meses, es decir, el plazo máximo para resolver su situación militar. </w:t>
      </w:r>
    </w:p>
    <w:p w:rsidRPr="00F83A73" w:rsidR="009A3BC7" w:rsidP="009A3BC7" w:rsidRDefault="009A3BC7" w14:paraId="0FD11FE1" w14:textId="77777777">
      <w:pPr>
        <w:tabs>
          <w:tab w:val="left" w:pos="0"/>
        </w:tabs>
        <w:spacing w:before="120"/>
        <w:ind w:firstLine="709"/>
        <w:jc w:val="both"/>
        <w:rPr>
          <w:rFonts w:ascii="Arial" w:hAnsi="Arial" w:cs="Arial"/>
          <w:color w:val="000000"/>
          <w:sz w:val="22"/>
        </w:rPr>
      </w:pPr>
      <w:r w:rsidRPr="00F83A73">
        <w:rPr>
          <w:rFonts w:ascii="Arial" w:hAnsi="Arial" w:cs="Arial"/>
          <w:color w:val="000000"/>
          <w:sz w:val="22"/>
        </w:rPr>
        <w:t xml:space="preserve">En consecuencia, si bien el plazo de 18 meses debe contabilizarse a partir de la fecha de su vinculación laboral, para ingresar al empleo previamente deberá presentar la certificación provisional en línea que acredite que la situación militar se encuentra en trámite. Para ello, le corresponderá a cada entidad verificar la validez y vigencia de los certificados expedidos, con el fin de revisar que se encuentren dentro del plazo límite establecido. </w:t>
      </w:r>
    </w:p>
    <w:p w:rsidRPr="00F83A73" w:rsidR="009A3BC7" w:rsidP="005C496F" w:rsidRDefault="009A3BC7" w14:paraId="64C0C285" w14:textId="77777777">
      <w:pPr>
        <w:spacing w:before="120"/>
        <w:ind w:firstLine="709"/>
        <w:jc w:val="both"/>
        <w:rPr>
          <w:rFonts w:ascii="Arial" w:hAnsi="Arial" w:eastAsia="Calibri" w:cs="Arial"/>
          <w:color w:val="000000"/>
          <w:sz w:val="22"/>
          <w:lang w:val="es-MX"/>
        </w:rPr>
      </w:pPr>
      <w:r w:rsidRPr="00F83A73">
        <w:rPr>
          <w:rFonts w:ascii="Arial" w:hAnsi="Arial" w:cs="Arial"/>
          <w:color w:val="000000"/>
          <w:sz w:val="22"/>
        </w:rPr>
        <w:lastRenderedPageBreak/>
        <w:t xml:space="preserve">Ahora bien, es preciso señalar que </w:t>
      </w:r>
      <w:r w:rsidRPr="00F83A73">
        <w:rPr>
          <w:rFonts w:ascii="Arial" w:hAnsi="Arial" w:eastAsia="Calibri" w:cs="Arial"/>
          <w:color w:val="000000"/>
          <w:sz w:val="22"/>
          <w:lang w:val="es-MX"/>
        </w:rPr>
        <w:t xml:space="preserve">el plazo de 18 meses para definir la situación militar, fijado en el artículo 42 de la Ley 1861 de 2017, solo aplica a las personas declaradas no aptas, exentas, que hayan superado la edad máxima de incorporación a filas y las personas aptas pero exoneradas de pagar la cuota de compensación militar, pues solo estas personas podrán acceder a un empleo, sin haber definido su situación militar. En consecuencia, esta disposición no es aplicable a la vinculación de personas distintas de las mencionadas, ni tampoco a la celebración de contratos de prestación de servicios con una persona natural, por no tratarse de una relación laboral. </w:t>
      </w:r>
    </w:p>
    <w:p w:rsidRPr="00ED3520" w:rsidR="009A3BC7" w:rsidP="005C496F" w:rsidRDefault="009A3BC7" w14:paraId="51F3429B" w14:textId="77777777">
      <w:pPr>
        <w:spacing w:before="120"/>
        <w:ind w:firstLine="709"/>
        <w:jc w:val="both"/>
        <w:rPr>
          <w:rFonts w:ascii="Arial" w:hAnsi="Arial" w:cs="Arial"/>
          <w:color w:val="000000"/>
          <w:sz w:val="21"/>
          <w:szCs w:val="21"/>
        </w:rPr>
      </w:pPr>
      <w:r w:rsidRPr="00F83A73">
        <w:rPr>
          <w:rFonts w:ascii="Arial" w:hAnsi="Arial" w:cs="Arial"/>
          <w:color w:val="000000"/>
          <w:sz w:val="22"/>
        </w:rPr>
        <w:t>En relación con este último punto, la Circular Externa Única de Colombia Compra Eficiente</w:t>
      </w:r>
      <w:r w:rsidRPr="00F83A73">
        <w:rPr>
          <w:rFonts w:ascii="Arial" w:hAnsi="Arial" w:cs="Arial"/>
          <w:color w:val="000000"/>
          <w:sz w:val="22"/>
          <w:vertAlign w:val="superscript"/>
        </w:rPr>
        <w:footnoteReference w:id="10"/>
      </w:r>
      <w:r w:rsidRPr="00F83A73">
        <w:rPr>
          <w:rFonts w:ascii="Arial" w:hAnsi="Arial" w:cs="Arial"/>
          <w:color w:val="000000"/>
          <w:sz w:val="22"/>
        </w:rPr>
        <w:t xml:space="preserve"> señaló que las entidades, al celebrar contratos de prestación de servicios con personas naturales, deben verificar que la situación militar del contratista se encuentre definida, con la tarjeta de reservista o el certificado digital.</w:t>
      </w:r>
      <w:r>
        <w:rPr>
          <w:rFonts w:ascii="Arial" w:hAnsi="Arial" w:cs="Arial"/>
          <w:color w:val="000000"/>
          <w:sz w:val="21"/>
          <w:szCs w:val="21"/>
        </w:rPr>
        <w:t xml:space="preserve"> </w:t>
      </w:r>
      <w:r w:rsidRPr="00F83A73">
        <w:rPr>
          <w:rFonts w:ascii="Arial" w:hAnsi="Arial" w:cs="Arial"/>
          <w:color w:val="000000"/>
          <w:sz w:val="22"/>
        </w:rPr>
        <w:t xml:space="preserve">Asimismo, dicha Circular aclaró que para esta clase de contratación no aplica el beneficio dispuesto en el artículo 42 de la Ley 1861 de 2017, porque esta modalidad no es de carácter laboral como lo condiciona la norma para su procedencia, al disponer que la prerrogativa de acceso temporal al empleo, mientras se define la situación militar, </w:t>
      </w:r>
      <w:r w:rsidRPr="00F83A73">
        <w:rPr>
          <w:rFonts w:ascii="Castellar" w:hAnsi="Castellar" w:cs="Arial"/>
          <w:color w:val="000000"/>
          <w:sz w:val="22"/>
        </w:rPr>
        <w:t>«</w:t>
      </w:r>
      <w:r w:rsidRPr="00F83A73">
        <w:rPr>
          <w:rFonts w:ascii="Arial" w:hAnsi="Arial" w:cs="Arial"/>
          <w:color w:val="000000"/>
          <w:sz w:val="22"/>
        </w:rPr>
        <w:t xml:space="preserve">no es aplicable a la vinculación de personas distintas de las mencionadas» </w:t>
      </w:r>
      <w:r w:rsidRPr="00F83A73">
        <w:rPr>
          <w:rFonts w:ascii="Arial" w:hAnsi="Arial" w:eastAsia="Calibri" w:cs="Arial"/>
          <w:color w:val="000000"/>
          <w:sz w:val="22"/>
        </w:rPr>
        <w:t>–</w:t>
      </w:r>
      <w:r w:rsidRPr="00F83A73">
        <w:rPr>
          <w:rFonts w:ascii="Arial" w:hAnsi="Arial" w:cs="Arial"/>
          <w:color w:val="000000"/>
          <w:sz w:val="22"/>
        </w:rPr>
        <w:t>personas declaradas no aptas, exentas o que hayan superado la edad máxima de incorporación a filas</w:t>
      </w:r>
      <w:r w:rsidRPr="00F83A73">
        <w:rPr>
          <w:rFonts w:ascii="Arial" w:hAnsi="Arial" w:eastAsia="Calibri" w:cs="Arial"/>
          <w:color w:val="000000"/>
          <w:sz w:val="22"/>
        </w:rPr>
        <w:t xml:space="preserve">– </w:t>
      </w:r>
      <w:r w:rsidRPr="00F83A73">
        <w:rPr>
          <w:rFonts w:ascii="Castellar" w:hAnsi="Castellar" w:cs="Arial"/>
          <w:color w:val="000000"/>
          <w:sz w:val="22"/>
        </w:rPr>
        <w:t>«</w:t>
      </w:r>
      <w:r w:rsidRPr="00F83A73">
        <w:rPr>
          <w:rFonts w:ascii="Arial" w:hAnsi="Arial" w:cs="Arial"/>
          <w:color w:val="000000"/>
          <w:sz w:val="22"/>
        </w:rPr>
        <w:t>ni tampoco a la celebración de contratos de prestación de servicios con una persona natural»</w:t>
      </w:r>
      <w:r w:rsidRPr="00F83A73">
        <w:rPr>
          <w:rFonts w:ascii="Arial" w:hAnsi="Arial" w:cs="Arial"/>
          <w:color w:val="000000"/>
          <w:sz w:val="21"/>
          <w:szCs w:val="21"/>
          <w:vertAlign w:val="superscript"/>
        </w:rPr>
        <w:footnoteReference w:id="11"/>
      </w:r>
      <w:r w:rsidRPr="00F83A73">
        <w:rPr>
          <w:rFonts w:ascii="Arial" w:hAnsi="Arial" w:cs="Arial"/>
          <w:color w:val="000000"/>
          <w:sz w:val="21"/>
          <w:szCs w:val="21"/>
        </w:rPr>
        <w:t xml:space="preserve">. </w:t>
      </w:r>
      <w:r w:rsidRPr="00F83A73">
        <w:rPr>
          <w:rFonts w:ascii="Arial" w:hAnsi="Arial" w:cs="Arial"/>
          <w:color w:val="000000"/>
          <w:sz w:val="22"/>
        </w:rPr>
        <w:t xml:space="preserve">Vale aclarar que la Circular no incorporó el evento incluido por la sentencia interpretativa de la Corte Constitucional, pues la decisión judicial se expidió con posterioridad. </w:t>
      </w:r>
    </w:p>
    <w:p w:rsidRPr="00F83A73" w:rsidR="009A3BC7" w:rsidP="009A3BC7" w:rsidRDefault="009A3BC7" w14:paraId="7C4F096C" w14:textId="77777777">
      <w:pPr>
        <w:tabs>
          <w:tab w:val="left" w:pos="0"/>
        </w:tabs>
        <w:spacing w:before="120"/>
        <w:jc w:val="both"/>
        <w:rPr>
          <w:rFonts w:ascii="Arial" w:hAnsi="Arial" w:eastAsia="Calibri" w:cs="Arial"/>
          <w:color w:val="000000"/>
          <w:sz w:val="22"/>
          <w:lang w:val="es-ES_tradnl" w:eastAsia="en-GB"/>
        </w:rPr>
      </w:pPr>
    </w:p>
    <w:p w:rsidRPr="00F83A73" w:rsidR="009A3BC7" w:rsidP="009A3BC7" w:rsidRDefault="009A3BC7" w14:paraId="7F29819F" w14:textId="77777777">
      <w:pPr>
        <w:tabs>
          <w:tab w:val="left" w:pos="0"/>
        </w:tabs>
        <w:jc w:val="both"/>
        <w:rPr>
          <w:rFonts w:ascii="Arial" w:hAnsi="Arial" w:eastAsia="Calibri" w:cs="Arial"/>
          <w:b/>
          <w:color w:val="000000"/>
          <w:sz w:val="22"/>
          <w:lang w:val="es-ES_tradnl"/>
        </w:rPr>
      </w:pPr>
      <w:r w:rsidRPr="00F83A73">
        <w:rPr>
          <w:rFonts w:ascii="Arial" w:hAnsi="Arial" w:eastAsia="Calibri" w:cs="Arial"/>
          <w:b/>
          <w:color w:val="000000"/>
          <w:sz w:val="22"/>
          <w:lang w:val="es-ES_tradnl"/>
        </w:rPr>
        <w:t>3. Respuesta</w:t>
      </w:r>
    </w:p>
    <w:p w:rsidRPr="00F83A73" w:rsidR="009A3BC7" w:rsidP="009A3BC7" w:rsidRDefault="009A3BC7" w14:paraId="765EA7AC" w14:textId="77777777">
      <w:pPr>
        <w:tabs>
          <w:tab w:val="left" w:pos="0"/>
        </w:tabs>
        <w:jc w:val="both"/>
        <w:rPr>
          <w:rFonts w:ascii="Arial" w:hAnsi="Arial" w:eastAsia="Calibri" w:cs="Arial"/>
          <w:color w:val="000000"/>
          <w:sz w:val="22"/>
          <w:lang w:val="es-ES_tradnl"/>
        </w:rPr>
      </w:pPr>
    </w:p>
    <w:p w:rsidRPr="00F83A73" w:rsidR="009A3BC7" w:rsidP="009A3BC7" w:rsidRDefault="009A3BC7" w14:paraId="28535584" w14:textId="77777777">
      <w:pPr>
        <w:ind w:left="709" w:right="709"/>
        <w:jc w:val="both"/>
        <w:rPr>
          <w:rFonts w:ascii="Arial" w:hAnsi="Arial" w:cs="Arial"/>
          <w:color w:val="000000"/>
          <w:sz w:val="21"/>
          <w:szCs w:val="21"/>
          <w:lang w:val="es-ES_tradnl"/>
        </w:rPr>
      </w:pPr>
      <w:proofErr w:type="gramStart"/>
      <w:r w:rsidRPr="00F83A73">
        <w:rPr>
          <w:rFonts w:ascii="Arial" w:hAnsi="Arial" w:cs="Arial"/>
          <w:color w:val="000000"/>
          <w:sz w:val="21"/>
          <w:szCs w:val="21"/>
          <w:lang w:val="es-ES_tradnl"/>
        </w:rPr>
        <w:t>Los 18 meses se deben contabilizar a partir del primer empleo que reporta en el SIGEP o sin importar esto se debe atender el plazo de la certificación que expide la Entidad de reclutamiento?</w:t>
      </w:r>
      <w:proofErr w:type="gramEnd"/>
    </w:p>
    <w:p w:rsidRPr="00F83A73" w:rsidR="009A3BC7" w:rsidP="009A3BC7" w:rsidRDefault="009A3BC7" w14:paraId="20046F50" w14:textId="77777777">
      <w:pPr>
        <w:ind w:left="709" w:right="709"/>
        <w:jc w:val="both"/>
        <w:rPr>
          <w:rFonts w:ascii="Arial" w:hAnsi="Arial" w:cs="Arial"/>
          <w:color w:val="000000"/>
          <w:sz w:val="21"/>
          <w:szCs w:val="21"/>
          <w:lang w:val="es-ES_tradnl"/>
        </w:rPr>
      </w:pPr>
    </w:p>
    <w:p w:rsidRPr="00F83A73" w:rsidR="009A3BC7" w:rsidP="009A3BC7" w:rsidRDefault="009A3BC7" w14:paraId="652F190A" w14:textId="77777777">
      <w:pPr>
        <w:spacing w:before="120"/>
        <w:jc w:val="both"/>
        <w:rPr>
          <w:rFonts w:ascii="Arial" w:hAnsi="Arial" w:cs="Arial"/>
          <w:color w:val="000000"/>
          <w:sz w:val="22"/>
        </w:rPr>
      </w:pPr>
      <w:r w:rsidRPr="00F83A73">
        <w:rPr>
          <w:rFonts w:ascii="Arial" w:hAnsi="Arial" w:cs="Arial"/>
          <w:color w:val="000000"/>
          <w:sz w:val="22"/>
          <w:lang w:val="es-ES_tradnl"/>
        </w:rPr>
        <w:t xml:space="preserve">Las </w:t>
      </w:r>
      <w:r w:rsidRPr="00F83A73">
        <w:rPr>
          <w:rFonts w:ascii="Arial" w:hAnsi="Arial" w:cs="Arial"/>
          <w:color w:val="000000"/>
          <w:sz w:val="22"/>
        </w:rPr>
        <w:t xml:space="preserve">personas declaradas no aptas, exentas, que hayan superado la edad máxima de incorporación a filas y las personas aptas pero exoneradas de pagar la cuota de compensación, podrán acceder a un empleo sin haber definido su situación militar, pero tendrán un plazo máximo de 18 meses para hacerlo. </w:t>
      </w:r>
    </w:p>
    <w:p w:rsidRPr="00F83A73" w:rsidR="009A3BC7" w:rsidP="009A3BC7" w:rsidRDefault="009A3BC7" w14:paraId="5AE091B0" w14:textId="77777777">
      <w:pPr>
        <w:spacing w:before="120"/>
        <w:ind w:firstLine="709"/>
        <w:jc w:val="both"/>
        <w:rPr>
          <w:rFonts w:ascii="Arial" w:hAnsi="Arial" w:cs="Arial"/>
          <w:color w:val="000000"/>
          <w:sz w:val="22"/>
        </w:rPr>
      </w:pPr>
      <w:r w:rsidRPr="00F83A73">
        <w:rPr>
          <w:rFonts w:ascii="Arial" w:hAnsi="Arial" w:cs="Arial"/>
          <w:color w:val="000000"/>
          <w:sz w:val="22"/>
        </w:rPr>
        <w:t xml:space="preserve">Dado que el inciso tercero del artículo 42 de la Ley 1861 de 2017 establece que quienes accedan a este beneficio deberán gestionar, ante las autoridades de reclutamiento, un certificado provisional en línea que acredite el trámite de la definición de la situación militar por única vez, el termino de 18 meses deberá contarse a partir de la expedición de este certificado. </w:t>
      </w:r>
    </w:p>
    <w:p w:rsidRPr="00F83A73" w:rsidR="009A3BC7" w:rsidP="009A3BC7" w:rsidRDefault="009A3BC7" w14:paraId="7441ECD8" w14:textId="77777777">
      <w:pPr>
        <w:spacing w:before="120"/>
        <w:ind w:firstLine="709"/>
        <w:jc w:val="both"/>
        <w:rPr>
          <w:rFonts w:ascii="Arial" w:hAnsi="Arial" w:cs="Arial"/>
          <w:color w:val="000000"/>
          <w:sz w:val="22"/>
        </w:rPr>
      </w:pPr>
      <w:r w:rsidRPr="00F83A73">
        <w:rPr>
          <w:rFonts w:ascii="Arial" w:hAnsi="Arial" w:cs="Arial"/>
          <w:color w:val="000000"/>
          <w:sz w:val="22"/>
        </w:rPr>
        <w:lastRenderedPageBreak/>
        <w:t xml:space="preserve">Lo anterior, teniendo en cuenta que, conforme al inciso primero de la disposición señalada, la situación militar se deberá acreditar para ejercer cargos públicos y trabajar en el sector privado. Por lo tanto, en los casos en los que se acceda al beneficio señalado, dicho certificado debe presentarse, por cuanto es el documento que acredita que la situación militar se encuentra en trámite. Para tales efectos, la entidad respectiva deberá verificar la validez y vigencia del certificado provisional. </w:t>
      </w:r>
    </w:p>
    <w:p w:rsidRPr="00F83A73" w:rsidR="009A3BC7" w:rsidP="009A3BC7" w:rsidRDefault="009A3BC7" w14:paraId="2028077E" w14:textId="77777777">
      <w:pPr>
        <w:spacing w:before="120"/>
        <w:ind w:firstLine="708"/>
        <w:jc w:val="both"/>
        <w:rPr>
          <w:rFonts w:ascii="Arial" w:hAnsi="Arial" w:eastAsia="Calibri" w:cs="Arial"/>
          <w:color w:val="000000"/>
          <w:sz w:val="22"/>
          <w:lang w:eastAsia="en-GB"/>
        </w:rPr>
      </w:pPr>
      <w:r w:rsidRPr="00F83A73">
        <w:rPr>
          <w:rFonts w:ascii="Arial" w:hAnsi="Arial" w:eastAsia="Calibri" w:cs="Arial"/>
          <w:color w:val="000000"/>
          <w:sz w:val="22"/>
          <w:lang w:val="es-MX"/>
        </w:rPr>
        <w:t xml:space="preserve">Ahora bien, es preciso indicar que el plazo fijado en el artículo 42 de la Ley 1861 de 2017, no aplica para la celebración de contratos de prestación de servicios con persona natural, por no tratarse de una relación laboral. De esta manera, para celebrar un contrato de prestación de servicios con una entidad estatal, el futuro contratista deberá definir previamente su situación militar. La entidad estatal, por su parte, debe verificar que la situación militar del contratista varón se encuentre resuelta, a través de </w:t>
      </w:r>
      <w:r w:rsidRPr="00F83A73">
        <w:rPr>
          <w:rFonts w:ascii="Arial" w:hAnsi="Arial" w:eastAsia="Calibri" w:cs="Arial"/>
          <w:color w:val="000000"/>
          <w:sz w:val="22"/>
          <w:lang w:eastAsia="en-GB"/>
        </w:rPr>
        <w:t xml:space="preserve">la tarjeta de reservista militar o el certificado digital, de que de que tratan los artículos 35 y 40 de la Ley 1861 de 2017. </w:t>
      </w:r>
    </w:p>
    <w:p w:rsidRPr="00F83A73" w:rsidR="009A3BC7" w:rsidP="009A3BC7" w:rsidRDefault="009A3BC7" w14:paraId="3AB42B57" w14:textId="77777777">
      <w:pPr>
        <w:spacing w:before="120"/>
        <w:ind w:firstLine="708"/>
        <w:jc w:val="both"/>
        <w:rPr>
          <w:rFonts w:ascii="Arial" w:hAnsi="Arial" w:eastAsia="Calibri" w:cs="Arial"/>
          <w:color w:val="000000"/>
          <w:sz w:val="22"/>
          <w:lang w:val="es-MX"/>
        </w:rPr>
      </w:pPr>
    </w:p>
    <w:p w:rsidRPr="00F83A73" w:rsidR="009A3BC7" w:rsidP="009A3BC7" w:rsidRDefault="009A3BC7" w14:paraId="2CEF75C8" w14:textId="77777777">
      <w:pPr>
        <w:jc w:val="both"/>
        <w:rPr>
          <w:rFonts w:ascii="Arial" w:hAnsi="Arial" w:cs="Arial"/>
          <w:color w:val="000000"/>
          <w:sz w:val="22"/>
          <w:lang w:val="es-ES_tradnl"/>
        </w:rPr>
      </w:pPr>
      <w:r w:rsidRPr="00F83A73">
        <w:rPr>
          <w:rFonts w:ascii="Arial" w:hAnsi="Arial" w:cs="Arial"/>
          <w:color w:val="000000"/>
          <w:sz w:val="22"/>
          <w:lang w:val="es-ES_tradnl"/>
        </w:rPr>
        <w:t>Este concepto tiene el alcance previsto en el artículo 28 del Código de Procedimiento Administrativo y de lo Contencioso Administrativo.</w:t>
      </w:r>
    </w:p>
    <w:p w:rsidRPr="00F83A73" w:rsidR="009A3BC7" w:rsidP="009A3BC7" w:rsidRDefault="009A3BC7" w14:paraId="798656F0" w14:textId="77777777">
      <w:pPr>
        <w:jc w:val="both"/>
        <w:rPr>
          <w:rFonts w:ascii="Arial" w:hAnsi="Arial" w:cs="Arial"/>
          <w:color w:val="000000"/>
          <w:sz w:val="22"/>
          <w:lang w:val="es-ES_tradnl" w:eastAsia="es-CO"/>
        </w:rPr>
      </w:pPr>
    </w:p>
    <w:p w:rsidRPr="00F83A73" w:rsidR="009A3BC7" w:rsidP="009A3BC7" w:rsidRDefault="009A3BC7" w14:paraId="31C23ADC" w14:textId="77777777">
      <w:pPr>
        <w:jc w:val="both"/>
        <w:rPr>
          <w:rFonts w:ascii="Arial" w:hAnsi="Arial" w:cs="Arial"/>
          <w:color w:val="000000"/>
          <w:sz w:val="22"/>
          <w:lang w:val="es-ES_tradnl" w:eastAsia="es-CO"/>
        </w:rPr>
      </w:pPr>
      <w:r w:rsidRPr="00F83A73">
        <w:rPr>
          <w:rFonts w:ascii="Arial" w:hAnsi="Arial" w:cs="Arial"/>
          <w:color w:val="000000"/>
          <w:sz w:val="22"/>
          <w:lang w:val="es-ES_tradnl" w:eastAsia="es-CO"/>
        </w:rPr>
        <w:t>Atentamente,</w:t>
      </w:r>
    </w:p>
    <w:p w:rsidR="009A3BC7" w:rsidP="009A3BC7" w:rsidRDefault="00B4587F" w14:paraId="0358E590" w14:textId="4A890096">
      <w:pPr>
        <w:jc w:val="center"/>
        <w:rPr>
          <w:rFonts w:ascii="Arial" w:hAnsi="Arial" w:cs="Arial"/>
          <w:color w:val="000000"/>
          <w:sz w:val="22"/>
          <w:lang w:val="es-ES_tradnl" w:eastAsia="es-CO"/>
        </w:rPr>
      </w:pPr>
      <w:r w:rsidR="00B4587F">
        <w:drawing>
          <wp:inline wp14:editId="29B06D53" wp14:anchorId="04E8559C">
            <wp:extent cx="2514600" cy="1017270"/>
            <wp:effectExtent l="0" t="0" r="0" b="0"/>
            <wp:docPr id="4" name="Imagen 4" title=""/>
            <wp:cNvGraphicFramePr>
              <a:graphicFrameLocks noChangeAspect="1"/>
            </wp:cNvGraphicFramePr>
            <a:graphic>
              <a:graphicData uri="http://schemas.openxmlformats.org/drawingml/2006/picture">
                <pic:pic>
                  <pic:nvPicPr>
                    <pic:cNvPr id="0" name="Imagen 4"/>
                    <pic:cNvPicPr/>
                  </pic:nvPicPr>
                  <pic:blipFill>
                    <a:blip r:embed="Ra6122f97b2ab4af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14600" cy="1017270"/>
                    </a:xfrm>
                    <a:prstGeom prst="rect">
                      <a:avLst/>
                    </a:prstGeom>
                  </pic:spPr>
                </pic:pic>
              </a:graphicData>
            </a:graphic>
          </wp:inline>
        </w:drawing>
      </w:r>
    </w:p>
    <w:p w:rsidRPr="00B002AC" w:rsidR="00B4587F" w:rsidP="009A3BC7" w:rsidRDefault="00B4587F" w14:paraId="6BA73ECD" w14:textId="77777777">
      <w:pPr>
        <w:jc w:val="center"/>
        <w:rPr>
          <w:rFonts w:ascii="Arial" w:hAnsi="Arial" w:cs="Arial"/>
          <w:color w:val="000000"/>
          <w:sz w:val="22"/>
          <w:lang w:val="es-ES_tradnl" w:eastAsia="es-CO"/>
        </w:rPr>
      </w:pPr>
    </w:p>
    <w:p w:rsidRPr="00F83A73" w:rsidR="009A3BC7" w:rsidP="009A3BC7" w:rsidRDefault="009A3BC7" w14:paraId="046B7E69" w14:textId="77777777">
      <w:pPr>
        <w:jc w:val="center"/>
        <w:rPr>
          <w:rFonts w:ascii="Arial" w:hAnsi="Arial" w:cs="Arial"/>
          <w:color w:val="000000"/>
          <w:sz w:val="18"/>
          <w:szCs w:val="20"/>
          <w:lang w:val="es-ES_tradnl" w:eastAsia="es-CO"/>
        </w:rPr>
      </w:pP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F83A73" w:rsidR="009A3BC7" w:rsidTr="00450D58" w14:paraId="590A4A49" w14:textId="77777777">
        <w:trPr>
          <w:trHeight w:val="315"/>
        </w:trPr>
        <w:tc>
          <w:tcPr>
            <w:tcW w:w="812" w:type="dxa"/>
            <w:vAlign w:val="center"/>
            <w:hideMark/>
          </w:tcPr>
          <w:p w:rsidRPr="00B53899" w:rsidR="009A3BC7" w:rsidP="00450D58" w:rsidRDefault="009A3BC7" w14:paraId="2ADD455B" w14:textId="77777777">
            <w:pPr>
              <w:rPr>
                <w:rFonts w:ascii="Arial" w:hAnsi="Arial" w:cs="Arial"/>
                <w:color w:val="000000"/>
                <w:sz w:val="14"/>
                <w:szCs w:val="14"/>
                <w:lang w:val="es-ES_tradnl" w:eastAsia="es-ES"/>
              </w:rPr>
            </w:pPr>
            <w:r w:rsidRPr="00B53899">
              <w:rPr>
                <w:rFonts w:ascii="Arial" w:hAnsi="Arial" w:cs="Arial"/>
                <w:color w:val="000000"/>
                <w:sz w:val="14"/>
                <w:szCs w:val="14"/>
                <w:lang w:val="es-ES_tradnl" w:eastAsia="es-ES"/>
              </w:rPr>
              <w:t>Elaboró:</w:t>
            </w:r>
          </w:p>
        </w:tc>
        <w:tc>
          <w:tcPr>
            <w:tcW w:w="4413" w:type="dxa"/>
            <w:tcBorders>
              <w:top w:val="nil"/>
              <w:left w:val="nil"/>
              <w:bottom w:val="dotted" w:color="7F7F7F" w:sz="4" w:space="0"/>
              <w:right w:val="nil"/>
            </w:tcBorders>
            <w:vAlign w:val="center"/>
            <w:hideMark/>
          </w:tcPr>
          <w:p w:rsidRPr="00B53899" w:rsidR="009A3BC7" w:rsidP="00450D58" w:rsidRDefault="009A3BC7" w14:paraId="05BA8B47" w14:textId="77777777">
            <w:pPr>
              <w:rPr>
                <w:rFonts w:ascii="Arial" w:hAnsi="Arial" w:cs="Arial"/>
                <w:color w:val="000000"/>
                <w:sz w:val="14"/>
                <w:szCs w:val="14"/>
                <w:lang w:val="es-ES_tradnl" w:eastAsia="es-ES"/>
              </w:rPr>
            </w:pPr>
            <w:r w:rsidRPr="00B53899">
              <w:rPr>
                <w:rFonts w:ascii="Arial" w:hAnsi="Arial" w:cs="Arial"/>
                <w:color w:val="000000"/>
                <w:sz w:val="14"/>
                <w:szCs w:val="14"/>
                <w:lang w:val="es-ES_tradnl" w:eastAsia="es-ES"/>
              </w:rPr>
              <w:t>Tatiana Baquero Iguarán</w:t>
            </w:r>
          </w:p>
          <w:p w:rsidRPr="00B53899" w:rsidR="009A3BC7" w:rsidP="00450D58" w:rsidRDefault="009A3BC7" w14:paraId="607DE6C0" w14:textId="77777777">
            <w:pPr>
              <w:rPr>
                <w:rFonts w:ascii="Arial" w:hAnsi="Arial" w:cs="Arial"/>
                <w:color w:val="000000"/>
                <w:sz w:val="14"/>
                <w:szCs w:val="14"/>
                <w:lang w:val="es-ES_tradnl" w:eastAsia="es-ES"/>
              </w:rPr>
            </w:pPr>
            <w:r w:rsidRPr="00B53899">
              <w:rPr>
                <w:rFonts w:ascii="Arial" w:hAnsi="Arial" w:cs="Arial"/>
                <w:color w:val="000000"/>
                <w:sz w:val="14"/>
                <w:szCs w:val="14"/>
                <w:lang w:val="es-ES_tradnl" w:eastAsia="es-ES"/>
              </w:rPr>
              <w:t>Contratista de la Subdirección de Gestión Contractual</w:t>
            </w:r>
          </w:p>
        </w:tc>
      </w:tr>
      <w:tr w:rsidRPr="00F83A73" w:rsidR="009A3BC7" w:rsidTr="00450D58" w14:paraId="7AFD7E4C" w14:textId="77777777">
        <w:trPr>
          <w:trHeight w:val="330"/>
        </w:trPr>
        <w:tc>
          <w:tcPr>
            <w:tcW w:w="812" w:type="dxa"/>
            <w:vAlign w:val="center"/>
            <w:hideMark/>
          </w:tcPr>
          <w:p w:rsidRPr="00B53899" w:rsidR="009A3BC7" w:rsidP="00450D58" w:rsidRDefault="009A3BC7" w14:paraId="7AD0B9FE" w14:textId="77777777">
            <w:pPr>
              <w:rPr>
                <w:rFonts w:ascii="Arial" w:hAnsi="Arial" w:cs="Arial"/>
                <w:color w:val="000000"/>
                <w:sz w:val="14"/>
                <w:szCs w:val="14"/>
                <w:lang w:val="es-ES_tradnl" w:eastAsia="es-ES"/>
              </w:rPr>
            </w:pPr>
            <w:r w:rsidRPr="00B53899">
              <w:rPr>
                <w:rFonts w:ascii="Arial" w:hAnsi="Arial" w:cs="Arial"/>
                <w:color w:val="000000"/>
                <w:sz w:val="14"/>
                <w:szCs w:val="14"/>
                <w:lang w:val="es-ES_tradnl" w:eastAsia="es-ES"/>
              </w:rPr>
              <w:t>Revisó:</w:t>
            </w:r>
          </w:p>
        </w:tc>
        <w:tc>
          <w:tcPr>
            <w:tcW w:w="4413" w:type="dxa"/>
            <w:tcBorders>
              <w:top w:val="dotted" w:color="7F7F7F" w:sz="4" w:space="0"/>
              <w:left w:val="nil"/>
              <w:bottom w:val="dotted" w:color="7F7F7F" w:sz="4" w:space="0"/>
              <w:right w:val="nil"/>
            </w:tcBorders>
            <w:vAlign w:val="center"/>
            <w:hideMark/>
          </w:tcPr>
          <w:p w:rsidRPr="00B53899" w:rsidR="009A3BC7" w:rsidP="00450D58" w:rsidRDefault="009A3BC7" w14:paraId="347C3F8F" w14:textId="77777777">
            <w:pPr>
              <w:rPr>
                <w:rFonts w:ascii="Arial" w:hAnsi="Arial" w:cs="Arial"/>
                <w:color w:val="000000"/>
                <w:sz w:val="14"/>
                <w:szCs w:val="14"/>
                <w:lang w:eastAsia="es-ES"/>
              </w:rPr>
            </w:pPr>
            <w:r w:rsidRPr="00B53899">
              <w:rPr>
                <w:rFonts w:ascii="Arial" w:hAnsi="Arial" w:cs="Arial"/>
                <w:color w:val="000000"/>
                <w:sz w:val="14"/>
                <w:szCs w:val="14"/>
                <w:lang w:eastAsia="es-ES"/>
              </w:rPr>
              <w:t>Juan David Montoya Penagos</w:t>
            </w:r>
          </w:p>
          <w:p w:rsidRPr="00B53899" w:rsidR="009A3BC7" w:rsidP="00450D58" w:rsidRDefault="009A3BC7" w14:paraId="1D9F1536" w14:textId="77777777">
            <w:pPr>
              <w:rPr>
                <w:rFonts w:ascii="Arial" w:hAnsi="Arial" w:cs="Arial"/>
                <w:color w:val="000000"/>
                <w:sz w:val="14"/>
                <w:szCs w:val="14"/>
                <w:lang w:val="es-ES_tradnl" w:eastAsia="es-ES"/>
              </w:rPr>
            </w:pPr>
            <w:r w:rsidRPr="00B53899">
              <w:rPr>
                <w:rFonts w:ascii="Arial" w:hAnsi="Arial" w:cs="Arial"/>
                <w:color w:val="000000"/>
                <w:sz w:val="14"/>
                <w:szCs w:val="14"/>
                <w:shd w:val="clear" w:color="auto" w:fill="FFFFFF"/>
              </w:rPr>
              <w:t>Gestor T1-15 de la </w:t>
            </w:r>
            <w:r w:rsidRPr="00B53899">
              <w:rPr>
                <w:rFonts w:ascii="Arial" w:hAnsi="Arial" w:cs="Arial"/>
                <w:color w:val="000000"/>
                <w:sz w:val="14"/>
                <w:szCs w:val="14"/>
                <w:lang w:eastAsia="es-ES"/>
              </w:rPr>
              <w:t>Subdirección de Gestión Contractual</w:t>
            </w:r>
          </w:p>
        </w:tc>
      </w:tr>
      <w:tr w:rsidRPr="00F83A73" w:rsidR="009A3BC7" w:rsidTr="00450D58" w14:paraId="07AA0EDA" w14:textId="77777777">
        <w:trPr>
          <w:trHeight w:val="300"/>
        </w:trPr>
        <w:tc>
          <w:tcPr>
            <w:tcW w:w="812" w:type="dxa"/>
            <w:vAlign w:val="center"/>
            <w:hideMark/>
          </w:tcPr>
          <w:p w:rsidRPr="00B53899" w:rsidR="009A3BC7" w:rsidP="00450D58" w:rsidRDefault="009A3BC7" w14:paraId="69E326F6" w14:textId="77777777">
            <w:pPr>
              <w:rPr>
                <w:rFonts w:ascii="Arial" w:hAnsi="Arial" w:cs="Arial"/>
                <w:color w:val="000000"/>
                <w:sz w:val="14"/>
                <w:szCs w:val="14"/>
                <w:lang w:val="es-ES_tradnl" w:eastAsia="es-ES"/>
              </w:rPr>
            </w:pPr>
            <w:r w:rsidRPr="00B53899">
              <w:rPr>
                <w:rFonts w:ascii="Arial" w:hAnsi="Arial" w:cs="Arial"/>
                <w:color w:val="000000"/>
                <w:sz w:val="14"/>
                <w:szCs w:val="14"/>
                <w:lang w:val="es-ES_tradnl" w:eastAsia="es-ES"/>
              </w:rPr>
              <w:t>Aprobó:</w:t>
            </w:r>
          </w:p>
        </w:tc>
        <w:tc>
          <w:tcPr>
            <w:tcW w:w="4413" w:type="dxa"/>
            <w:tcBorders>
              <w:top w:val="dotted" w:color="7F7F7F" w:sz="4" w:space="0"/>
              <w:left w:val="nil"/>
              <w:bottom w:val="dotted" w:color="7F7F7F" w:sz="4" w:space="0"/>
              <w:right w:val="nil"/>
            </w:tcBorders>
            <w:vAlign w:val="center"/>
            <w:hideMark/>
          </w:tcPr>
          <w:p w:rsidRPr="00B53899" w:rsidR="009A3BC7" w:rsidP="00450D58" w:rsidRDefault="009A3BC7" w14:paraId="4A5AA739" w14:textId="77777777">
            <w:pPr>
              <w:rPr>
                <w:rFonts w:ascii="Arial" w:hAnsi="Arial" w:cs="Arial"/>
                <w:color w:val="000000"/>
                <w:sz w:val="14"/>
                <w:szCs w:val="14"/>
                <w:lang w:val="es-ES_tradnl" w:eastAsia="es-ES"/>
              </w:rPr>
            </w:pPr>
            <w:r w:rsidRPr="00B53899">
              <w:rPr>
                <w:rFonts w:ascii="Arial" w:hAnsi="Arial" w:cs="Arial"/>
                <w:color w:val="000000"/>
                <w:sz w:val="14"/>
                <w:szCs w:val="14"/>
                <w:lang w:val="es-ES_tradnl" w:eastAsia="es-ES"/>
              </w:rPr>
              <w:t>Jorge Augusto Tirado Navarro</w:t>
            </w:r>
          </w:p>
          <w:p w:rsidRPr="00B53899" w:rsidR="009A3BC7" w:rsidP="00450D58" w:rsidRDefault="009A3BC7" w14:paraId="12CE1937" w14:textId="77777777">
            <w:pPr>
              <w:rPr>
                <w:rFonts w:ascii="Arial" w:hAnsi="Arial" w:cs="Arial"/>
                <w:color w:val="000000"/>
                <w:sz w:val="14"/>
                <w:szCs w:val="14"/>
                <w:lang w:val="es-ES_tradnl" w:eastAsia="es-ES"/>
              </w:rPr>
            </w:pPr>
            <w:r w:rsidRPr="00B53899">
              <w:rPr>
                <w:rFonts w:ascii="Arial" w:hAnsi="Arial" w:cs="Arial"/>
                <w:color w:val="000000"/>
                <w:sz w:val="14"/>
                <w:szCs w:val="14"/>
                <w:lang w:val="es-ES_tradnl" w:eastAsia="es-ES"/>
              </w:rPr>
              <w:t>Subdirector de Gestión Contractual</w:t>
            </w:r>
            <w:r w:rsidRPr="00B53899">
              <w:rPr>
                <w:rFonts w:ascii="Arial" w:hAnsi="Arial" w:cs="Arial"/>
                <w:color w:val="000000"/>
                <w:sz w:val="14"/>
                <w:szCs w:val="14"/>
                <w:lang w:eastAsia="es-ES"/>
              </w:rPr>
              <w:t xml:space="preserve"> ANCP – CCE</w:t>
            </w:r>
          </w:p>
        </w:tc>
      </w:tr>
    </w:tbl>
    <w:p w:rsidRPr="00D96304" w:rsidR="009A3BC7" w:rsidP="009A3BC7" w:rsidRDefault="009A3BC7" w14:paraId="220879B2" w14:textId="77777777">
      <w:pPr>
        <w:jc w:val="both"/>
        <w:rPr>
          <w:rFonts w:cs="Arial"/>
          <w:color w:val="4E4D4D"/>
          <w:sz w:val="14"/>
          <w:szCs w:val="16"/>
          <w:lang w:eastAsia="es-ES"/>
        </w:rPr>
      </w:pPr>
    </w:p>
    <w:p w:rsidR="009A3BC7" w:rsidP="009A3BC7" w:rsidRDefault="009A3BC7" w14:paraId="3A31537E" w14:textId="77777777"/>
    <w:p w:rsidR="009A3BC7" w:rsidP="009A3BC7" w:rsidRDefault="009A3BC7" w14:paraId="115CDA99" w14:textId="77777777"/>
    <w:p w:rsidR="009A3BC7" w:rsidP="009A3BC7" w:rsidRDefault="009A3BC7" w14:paraId="323AE08C" w14:textId="77777777"/>
    <w:p w:rsidR="009A3BC7" w:rsidP="009A3BC7" w:rsidRDefault="009A3BC7" w14:paraId="17C520D8" w14:textId="77777777"/>
    <w:p w:rsidR="009A3BC7" w:rsidP="003C3339" w:rsidRDefault="009A3BC7" w14:paraId="26C3A1CD" w14:textId="77777777">
      <w:pPr>
        <w:jc w:val="both"/>
        <w:rPr>
          <w:rFonts w:ascii="Arial" w:hAnsi="Arial" w:eastAsia="Calibri" w:cs="Arial"/>
          <w:color w:val="000000" w:themeColor="text1"/>
          <w:sz w:val="22"/>
          <w:lang w:val="es-ES_tradnl"/>
        </w:rPr>
      </w:pPr>
    </w:p>
    <w:sectPr w:rsidR="009A3BC7"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5A99" w:rsidRDefault="009D5A99" w14:paraId="1695212B" w14:textId="77777777">
      <w:r>
        <w:separator/>
      </w:r>
    </w:p>
  </w:endnote>
  <w:endnote w:type="continuationSeparator" w:id="0">
    <w:p w:rsidR="009D5A99" w:rsidRDefault="009D5A99" w14:paraId="3B1F5474" w14:textId="77777777">
      <w:r>
        <w:continuationSeparator/>
      </w:r>
    </w:p>
  </w:endnote>
  <w:endnote w:type="continuationNotice" w:id="1">
    <w:p w:rsidR="009D5A99" w:rsidRDefault="009D5A99" w14:paraId="2AD1CE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8217B7" w:rsidR="00AC48B7" w:rsidP="00FE42ED" w:rsidRDefault="00AC48B7"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4587F">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4587F">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rsidR="00AC48B7" w:rsidP="00322937" w:rsidRDefault="00AC48B7" w14:paraId="48FC6A04" w14:textId="5FD1A7C9">
    <w:pPr>
      <w:pStyle w:val="Piedepgina"/>
      <w:jc w:val="center"/>
      <w:rPr>
        <w:lang w:val="es-ES"/>
      </w:rPr>
    </w:pPr>
    <w:r w:rsidR="7C043C28">
      <w:drawing>
        <wp:inline wp14:editId="3F15D83F" wp14:anchorId="608B196D">
          <wp:extent cx="3700130" cy="519139"/>
          <wp:effectExtent l="0" t="0" r="0" b="0"/>
          <wp:docPr id="11" name="Imagen 11" title=""/>
          <wp:cNvGraphicFramePr>
            <a:graphicFrameLocks noChangeAspect="1"/>
          </wp:cNvGraphicFramePr>
          <a:graphic>
            <a:graphicData uri="http://schemas.openxmlformats.org/drawingml/2006/picture">
              <pic:pic>
                <pic:nvPicPr>
                  <pic:cNvPr id="0" name="Imagen 11"/>
                  <pic:cNvPicPr/>
                </pic:nvPicPr>
                <pic:blipFill>
                  <a:blip r:embed="Rc6a8922d59d9404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AC48B7" w:rsidP="007B0854" w:rsidRDefault="00AC48B7" w14:paraId="5D0E988C" w14:textId="77777777">
    <w:pPr>
      <w:pStyle w:val="Piedepgina"/>
      <w:jc w:val="center"/>
      <w:rPr>
        <w:lang w:val="es-ES"/>
      </w:rPr>
    </w:pPr>
  </w:p>
  <w:p w:rsidRPr="007B0854" w:rsidR="00AC48B7" w:rsidP="007B0854" w:rsidRDefault="00AC48B7"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5A99" w:rsidRDefault="009D5A99" w14:paraId="67C3B88A" w14:textId="77777777">
      <w:r>
        <w:separator/>
      </w:r>
    </w:p>
  </w:footnote>
  <w:footnote w:type="continuationSeparator" w:id="0">
    <w:p w:rsidR="009D5A99" w:rsidRDefault="009D5A99" w14:paraId="329CA639" w14:textId="77777777">
      <w:r>
        <w:continuationSeparator/>
      </w:r>
    </w:p>
  </w:footnote>
  <w:footnote w:type="continuationNotice" w:id="1">
    <w:p w:rsidR="009D5A99" w:rsidRDefault="009D5A99" w14:paraId="585A83EC" w14:textId="77777777"/>
  </w:footnote>
  <w:footnote w:id="2">
    <w:p w:rsidRPr="00390E15" w:rsidR="009A3BC7" w:rsidP="009A3BC7" w:rsidRDefault="009A3BC7" w14:paraId="47BD155D" w14:textId="77777777">
      <w:pPr>
        <w:pStyle w:val="Car1"/>
        <w:ind w:firstLine="709"/>
        <w:jc w:val="both"/>
        <w:rPr>
          <w:rFonts w:ascii="Arial" w:hAnsi="Arial" w:cs="Arial"/>
          <w:sz w:val="18"/>
          <w:szCs w:val="18"/>
        </w:rPr>
      </w:pPr>
      <w:r w:rsidRPr="0091414B">
        <w:rPr>
          <w:rStyle w:val="Refdenotaalpie"/>
          <w:rFonts w:ascii="Arial" w:hAnsi="Arial" w:cs="Arial"/>
          <w:sz w:val="19"/>
          <w:szCs w:val="19"/>
        </w:rPr>
        <w:footnoteRef/>
      </w:r>
      <w:r w:rsidRPr="0091414B">
        <w:rPr>
          <w:rFonts w:ascii="Arial" w:hAnsi="Arial" w:cs="Arial"/>
          <w:sz w:val="19"/>
          <w:szCs w:val="19"/>
        </w:rPr>
        <w:t xml:space="preserve"> </w:t>
      </w:r>
      <w:r w:rsidRPr="00390E15">
        <w:rPr>
          <w:rFonts w:ascii="Arial" w:hAnsi="Arial" w:cs="Arial"/>
          <w:color w:val="000000"/>
          <w:sz w:val="18"/>
          <w:szCs w:val="18"/>
          <w:lang w:val="es-ES"/>
        </w:rPr>
        <w:t>«</w:t>
      </w:r>
      <w:r w:rsidRPr="00390E15">
        <w:rPr>
          <w:rFonts w:ascii="Arial" w:hAnsi="Arial" w:cs="Arial"/>
          <w:sz w:val="18"/>
          <w:szCs w:val="18"/>
        </w:rPr>
        <w:t>ARTÍCULO 4o. SERVICIO MILITAR OBLIGATORIO. El servicio militar obligatorio es un deber constitucional dirigido a todos los colombianos de servir a la patria, que nace al momento de cumplir su mayoría edad para contribuir y alcanzar los fines del Estado encomendados a la Fuerza Pública.</w:t>
      </w:r>
    </w:p>
    <w:p w:rsidRPr="00390E15" w:rsidR="009A3BC7" w:rsidP="009A3BC7" w:rsidRDefault="009A3BC7" w14:paraId="3BE97484" w14:textId="77777777">
      <w:pPr>
        <w:pStyle w:val="Car1"/>
        <w:ind w:firstLine="709"/>
        <w:jc w:val="both"/>
        <w:rPr>
          <w:sz w:val="18"/>
          <w:szCs w:val="18"/>
          <w:lang w:val="es-CO"/>
        </w:rPr>
      </w:pPr>
      <w:r w:rsidRPr="00390E15">
        <w:rPr>
          <w:rFonts w:ascii="Arial" w:hAnsi="Arial" w:cs="Arial"/>
          <w:color w:val="000000"/>
          <w:sz w:val="18"/>
          <w:szCs w:val="18"/>
          <w:lang w:val="es-ES"/>
        </w:rPr>
        <w:t>»</w:t>
      </w:r>
      <w:r w:rsidRPr="00390E15">
        <w:rPr>
          <w:rFonts w:ascii="Arial" w:hAnsi="Arial" w:cs="Arial"/>
          <w:sz w:val="18"/>
          <w:szCs w:val="18"/>
        </w:rPr>
        <w:t>Todos los colombianos están obligados a tomar las armas cuando las necesidades públicas lo exijan, para defender la Independencia nacional, y las instituciones públicas con los beneficios y exclusiones que establece la presente ley, salvo para quienes ejerzan el derecho fundamental a la objeción de conciencia.</w:t>
      </w:r>
      <w:r w:rsidRPr="00390E15">
        <w:rPr>
          <w:rFonts w:ascii="Arial" w:hAnsi="Arial" w:cs="Arial"/>
          <w:color w:val="000000"/>
          <w:sz w:val="18"/>
          <w:szCs w:val="18"/>
          <w:lang w:val="es-ES"/>
        </w:rPr>
        <w:t>»</w:t>
      </w:r>
    </w:p>
  </w:footnote>
  <w:footnote w:id="3">
    <w:p w:rsidRPr="00390E15" w:rsidR="009A3BC7" w:rsidP="009A3BC7" w:rsidRDefault="009A3BC7" w14:paraId="0627BCBB" w14:textId="77777777">
      <w:pPr>
        <w:pStyle w:val="Car1"/>
        <w:ind w:firstLine="709"/>
        <w:jc w:val="both"/>
        <w:rPr>
          <w:rFonts w:ascii="Arial" w:hAnsi="Arial" w:cs="Arial"/>
          <w:color w:val="000000"/>
          <w:sz w:val="18"/>
          <w:szCs w:val="18"/>
          <w:lang w:val="es-ES"/>
        </w:rPr>
      </w:pPr>
      <w:r w:rsidRPr="00390E15">
        <w:rPr>
          <w:rStyle w:val="Refdenotaalpie"/>
          <w:sz w:val="18"/>
          <w:szCs w:val="18"/>
        </w:rPr>
        <w:footnoteRef/>
      </w:r>
      <w:r w:rsidRPr="00390E15">
        <w:rPr>
          <w:sz w:val="18"/>
          <w:szCs w:val="18"/>
        </w:rPr>
        <w:t xml:space="preserve"> </w:t>
      </w:r>
      <w:r w:rsidRPr="00390E15">
        <w:rPr>
          <w:rFonts w:ascii="Arial" w:hAnsi="Arial" w:cs="Arial"/>
          <w:color w:val="000000"/>
          <w:sz w:val="18"/>
          <w:szCs w:val="18"/>
          <w:lang w:val="es-ES"/>
        </w:rPr>
        <w:t>«</w:t>
      </w:r>
      <w:r w:rsidRPr="00390E15">
        <w:rPr>
          <w:rFonts w:ascii="Arial" w:hAnsi="Arial" w:cs="Arial"/>
          <w:sz w:val="18"/>
          <w:szCs w:val="18"/>
          <w:lang w:val="es-ES"/>
        </w:rPr>
        <w:t>ARTÍCULO 35. TARJETA DE RESERVISTA MILITAR O POLICIAL. Es el documento con el cual se comprueba que el ciudadano definió su situación militar</w:t>
      </w:r>
      <w:r w:rsidRPr="00390E15">
        <w:rPr>
          <w:rFonts w:ascii="Arial" w:hAnsi="Arial" w:cs="Arial"/>
          <w:color w:val="000000"/>
          <w:sz w:val="18"/>
          <w:szCs w:val="18"/>
          <w:lang w:val="es-ES"/>
        </w:rPr>
        <w:t>».</w:t>
      </w:r>
    </w:p>
  </w:footnote>
  <w:footnote w:id="4">
    <w:p w:rsidRPr="00390E15" w:rsidR="009A3BC7" w:rsidP="009A3BC7" w:rsidRDefault="009A3BC7" w14:paraId="3D7FFE11" w14:textId="77777777">
      <w:pPr>
        <w:pStyle w:val="Car1"/>
        <w:ind w:firstLine="709"/>
        <w:jc w:val="both"/>
        <w:rPr>
          <w:rFonts w:ascii="Arial" w:hAnsi="Arial" w:cs="Arial"/>
          <w:color w:val="000000"/>
          <w:sz w:val="18"/>
          <w:szCs w:val="18"/>
          <w:lang w:val="es-ES"/>
        </w:rPr>
      </w:pPr>
      <w:r w:rsidRPr="00390E15">
        <w:rPr>
          <w:rStyle w:val="Refdenotaalpie"/>
          <w:sz w:val="18"/>
          <w:szCs w:val="18"/>
        </w:rPr>
        <w:footnoteRef/>
      </w:r>
      <w:r w:rsidRPr="00390E15">
        <w:rPr>
          <w:sz w:val="18"/>
          <w:szCs w:val="18"/>
        </w:rPr>
        <w:t xml:space="preserve"> </w:t>
      </w:r>
      <w:r w:rsidRPr="00390E15">
        <w:rPr>
          <w:rFonts w:ascii="Arial" w:hAnsi="Arial" w:cs="Arial"/>
          <w:color w:val="000000"/>
          <w:sz w:val="18"/>
          <w:szCs w:val="18"/>
          <w:lang w:val="es-ES"/>
        </w:rPr>
        <w:t>«ARTÍCULO 40. DOCUMENTO PÚBLICO. Las tarjetas de reservista se clasificarán como material reservado adquiriendo el carácter de documento público, una vez hayan sido expedidas legalmente por la respectiva Dirección de Reclutamiento.</w:t>
      </w:r>
    </w:p>
    <w:p w:rsidRPr="00390E15" w:rsidR="009A3BC7" w:rsidP="009A3BC7" w:rsidRDefault="009A3BC7" w14:paraId="7242AB7D" w14:textId="77777777">
      <w:pPr>
        <w:pStyle w:val="Car1"/>
        <w:ind w:firstLine="709"/>
        <w:jc w:val="both"/>
        <w:rPr>
          <w:rFonts w:ascii="Arial" w:hAnsi="Arial" w:cs="Arial"/>
          <w:color w:val="000000"/>
          <w:sz w:val="18"/>
          <w:szCs w:val="18"/>
          <w:lang w:val="es-ES"/>
        </w:rPr>
      </w:pPr>
      <w:r w:rsidRPr="00390E15">
        <w:rPr>
          <w:rFonts w:ascii="Arial" w:hAnsi="Arial" w:cs="Arial"/>
          <w:color w:val="000000"/>
          <w:sz w:val="18"/>
          <w:szCs w:val="18"/>
          <w:lang w:val="es-ES"/>
        </w:rPr>
        <w:t>»PARÁGRAFO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 »</w:t>
      </w:r>
    </w:p>
  </w:footnote>
  <w:footnote w:id="5">
    <w:p w:rsidRPr="0091414B" w:rsidR="009A3BC7" w:rsidP="009A3BC7" w:rsidRDefault="009A3BC7" w14:paraId="02B9C809" w14:textId="77777777">
      <w:pPr>
        <w:pStyle w:val="Car1"/>
        <w:ind w:firstLine="709"/>
        <w:jc w:val="both"/>
        <w:rPr>
          <w:sz w:val="19"/>
          <w:szCs w:val="19"/>
          <w:lang w:val="es-CO"/>
        </w:rPr>
      </w:pPr>
      <w:r w:rsidRPr="00515261">
        <w:rPr>
          <w:rStyle w:val="Refdenotaalpie"/>
          <w:sz w:val="18"/>
          <w:szCs w:val="18"/>
        </w:rPr>
        <w:footnoteRef/>
      </w:r>
      <w:r w:rsidRPr="00515261">
        <w:rPr>
          <w:sz w:val="18"/>
          <w:szCs w:val="18"/>
        </w:rPr>
        <w:t xml:space="preserve"> </w:t>
      </w:r>
      <w:r w:rsidRPr="00515261">
        <w:rPr>
          <w:rFonts w:ascii="Arial" w:hAnsi="Arial" w:cs="Arial"/>
          <w:color w:val="000000"/>
          <w:sz w:val="18"/>
          <w:szCs w:val="18"/>
          <w:lang w:val="es-ES"/>
        </w:rPr>
        <w:t>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w:t>
      </w:r>
    </w:p>
  </w:footnote>
  <w:footnote w:id="6">
    <w:p w:rsidRPr="00515261" w:rsidR="009A3BC7" w:rsidP="009A3BC7" w:rsidRDefault="009A3BC7" w14:paraId="2C3BAADB" w14:textId="77777777">
      <w:pPr>
        <w:pStyle w:val="Car1"/>
        <w:ind w:firstLine="708"/>
        <w:jc w:val="both"/>
        <w:rPr>
          <w:rFonts w:ascii="Arial" w:hAnsi="Arial" w:cs="Arial"/>
          <w:sz w:val="18"/>
          <w:szCs w:val="18"/>
        </w:rPr>
      </w:pPr>
      <w:r w:rsidRPr="0091414B">
        <w:rPr>
          <w:rStyle w:val="Refdenotaalpie"/>
          <w:rFonts w:ascii="Arial" w:hAnsi="Arial" w:cs="Arial"/>
          <w:sz w:val="19"/>
          <w:szCs w:val="19"/>
        </w:rPr>
        <w:footnoteRef/>
      </w:r>
      <w:r w:rsidRPr="0091414B">
        <w:rPr>
          <w:rFonts w:ascii="Arial" w:hAnsi="Arial" w:cs="Arial"/>
          <w:sz w:val="19"/>
          <w:szCs w:val="19"/>
        </w:rPr>
        <w:t xml:space="preserve"> </w:t>
      </w:r>
      <w:r w:rsidRPr="00515261">
        <w:rPr>
          <w:rFonts w:ascii="Arial" w:hAnsi="Arial" w:cs="Arial"/>
          <w:sz w:val="18"/>
          <w:szCs w:val="18"/>
        </w:rPr>
        <w:t>Sobre la prohibición de acceso al trabajo a las personas aptas pero exoneradas de pagar la cuota de compensación militar, la Corte Constitucional explicó lo siguiente:</w:t>
      </w:r>
    </w:p>
    <w:p w:rsidRPr="00CA06F5" w:rsidR="009A3BC7" w:rsidP="009A3BC7" w:rsidRDefault="009A3BC7" w14:paraId="08166623" w14:textId="77777777">
      <w:pPr>
        <w:pStyle w:val="Car1"/>
        <w:ind w:firstLine="708"/>
        <w:jc w:val="both"/>
        <w:rPr>
          <w:rFonts w:ascii="Arial" w:hAnsi="Arial" w:cs="Arial"/>
          <w:sz w:val="18"/>
          <w:szCs w:val="18"/>
        </w:rPr>
      </w:pPr>
      <w:r w:rsidRPr="00CA06F5">
        <w:rPr>
          <w:rFonts w:ascii="Arial" w:hAnsi="Arial" w:cs="Arial"/>
          <w:sz w:val="18"/>
          <w:szCs w:val="18"/>
        </w:rPr>
        <w:t>«[…] para la Sala, la prohibición de acceso al trabajo, de manera temporal, para este grupo de individuos tampoco resulta proporcional en sentido estricto, ya que los beneficios que se pueden obtener en cumplimiento de la finalidad son bajos y, en cambio, el sacrificio impuesto al derecho al trabajo y a las posibilidades de movilidad social de estas personas es intenso».</w:t>
      </w:r>
    </w:p>
    <w:p w:rsidRPr="0091414B" w:rsidR="009A3BC7" w:rsidP="009A3BC7" w:rsidRDefault="009A3BC7" w14:paraId="5E58F746" w14:textId="77777777">
      <w:pPr>
        <w:pStyle w:val="Car1"/>
        <w:ind w:firstLine="708"/>
        <w:jc w:val="both"/>
        <w:rPr>
          <w:rFonts w:ascii="Arial" w:hAnsi="Arial" w:cs="Arial"/>
          <w:color w:val="000000"/>
          <w:sz w:val="16"/>
          <w:szCs w:val="16"/>
          <w:lang w:val="es-CO"/>
        </w:rPr>
      </w:pPr>
      <w:r w:rsidRPr="00CA06F5">
        <w:rPr>
          <w:rFonts w:ascii="Arial" w:hAnsi="Arial" w:cs="Arial"/>
          <w:sz w:val="18"/>
          <w:szCs w:val="18"/>
        </w:rPr>
        <w:t xml:space="preserve">»[…] Por tanto, el Legislador incurrió en un tratamiento igualitario injustificado, en un contexto en el que existían dos grupos diferenciables en un aspecto relevante para la norma y, en consecuencia, debió otorgar un tratamiento más benigno a aquellos sujetos a los que les resultaba más gravosa la limitación más fuerte del acceso al trabajo […]» (Cfr. </w:t>
      </w:r>
      <w:r w:rsidRPr="00CA06F5">
        <w:rPr>
          <w:rFonts w:ascii="Arial" w:hAnsi="Arial" w:cs="Arial"/>
          <w:color w:val="000000"/>
          <w:sz w:val="18"/>
          <w:szCs w:val="18"/>
          <w:lang w:val="es-CO"/>
        </w:rPr>
        <w:t>Corte Constitucional. Sentencia C-277 del 19 de junio de 2019. M.P. Carlos Bernal Pulido).</w:t>
      </w:r>
    </w:p>
  </w:footnote>
  <w:footnote w:id="7">
    <w:p w:rsidRPr="0091414B" w:rsidR="009A3BC7" w:rsidP="009A3BC7" w:rsidRDefault="009A3BC7" w14:paraId="161318DE" w14:textId="77777777">
      <w:pPr>
        <w:pStyle w:val="Car1"/>
        <w:ind w:firstLine="708"/>
        <w:jc w:val="both"/>
        <w:rPr>
          <w:rFonts w:ascii="Arial" w:hAnsi="Arial" w:cs="Arial"/>
          <w:sz w:val="16"/>
          <w:szCs w:val="16"/>
        </w:rPr>
      </w:pPr>
      <w:r w:rsidRPr="0091414B">
        <w:rPr>
          <w:rStyle w:val="Refdenotaalpie"/>
          <w:rFonts w:ascii="Arial" w:hAnsi="Arial" w:cs="Arial"/>
          <w:sz w:val="16"/>
          <w:szCs w:val="16"/>
        </w:rPr>
        <w:footnoteRef/>
      </w:r>
      <w:r w:rsidRPr="0091414B">
        <w:rPr>
          <w:rFonts w:ascii="Arial" w:hAnsi="Arial" w:cs="Arial"/>
          <w:sz w:val="16"/>
          <w:szCs w:val="16"/>
        </w:rPr>
        <w:t xml:space="preserve"> Particularmente, la Corte consideró que «[…], en abstracto, restringir el acceso al trabajo cumplía con una finalidad constitucionalmente importante, como era la de conminar a las personas para que cumplieran con su deber de definir su situación militar, en forma pronta. No obstante, respecto de las personas que comprendía el grupo de los aptos pero exonerados del pago de la cuota de compensación militar, esa medida no resultaba efectiva para cumplir dicho fin. En relación con este, al tratarse de un grupo especialmente vulnerable y usualmente alejado del mercado laboral formal, tal limitación no lograba un apremio relevante. En cambio, el constreñimiento sí restringía altamente las condiciones de vida y de movilidad social de tales personas. A diferencia de tal tratamiento, permitir el acceso al mundo laboral, al menos de forma transitoria, mientras definían su situación militar, era una medida más conducente para lograr la finalidad buscada, ya que la continuidad en el campo laboral requería de la definición de la situación militar y, por ende, generaba un incentivo para que concurrieran ante la autoridad competente con el fin de cumplir con el referido deber».</w:t>
      </w:r>
    </w:p>
  </w:footnote>
  <w:footnote w:id="8">
    <w:p w:rsidRPr="0091414B" w:rsidR="009A3BC7" w:rsidP="009A3BC7" w:rsidRDefault="009A3BC7" w14:paraId="75ADA75B" w14:textId="77777777">
      <w:pPr>
        <w:pStyle w:val="Car1"/>
        <w:ind w:firstLine="709"/>
        <w:jc w:val="both"/>
        <w:rPr>
          <w:rFonts w:ascii="Arial" w:hAnsi="Arial" w:cs="Arial"/>
          <w:sz w:val="16"/>
          <w:szCs w:val="16"/>
        </w:rPr>
      </w:pPr>
      <w:r w:rsidRPr="0091414B">
        <w:rPr>
          <w:rStyle w:val="Refdenotaalpie"/>
          <w:rFonts w:ascii="Arial" w:hAnsi="Arial" w:cs="Arial"/>
          <w:sz w:val="16"/>
          <w:szCs w:val="16"/>
        </w:rPr>
        <w:footnoteRef/>
      </w:r>
      <w:r w:rsidRPr="0091414B">
        <w:rPr>
          <w:rFonts w:ascii="Arial" w:hAnsi="Arial" w:cs="Arial"/>
          <w:sz w:val="16"/>
          <w:szCs w:val="16"/>
        </w:rPr>
        <w:t xml:space="preserve"> A continuación se enuncian las personas que conforme al parágrafo del artículo 26 de la Ley 1861 de 2017 están exoneradas de pagar cuota de compensación militar: a) Personas en situación de discapacidad física, psíquica y neurosensoriales con afecciones permanentes graves e incapacitantes no susceptibles de recuperación; b) Los indígenas que acrediten su integridad cultural, social y económica a través de certificación por el Ministerio del Interior; c) Las víctimas inscritas en el Registro Único de Víctimas; d) Los ciudadanos desmovilizados, previa acreditación de la Agencia Colombiana para la Reintegración;  e) Los soldados desacuartelados con ocasión al resultado de la evaluación de aptitud psicofísica final; f) El personal clasificado en niveles 1, 2 o 3 del SISBEN, o puntajes equivalentes a dichos niveles, conforme a lo indicado por el DNP; g) Quienes al cumplir los 18 años estuvieren en condición de adoptabilidad encontrándose bajo el cuidado y protección del ICBF; h) Los ciudadanos en condición de extrema pobreza previa acreditación del programa dirigido por la Agencia Nacional para la Superación de la Pobreza Extrema ANSPE-RED UNIDOS, o de la entidad que el Gobierno nacional determine para el manejo de esta población; i) Los ciudadanos que se encuentren en condición de habitabilidad de calle, previo censo y certificación por parte del respectivo ente territorial.</w:t>
      </w:r>
    </w:p>
  </w:footnote>
  <w:footnote w:id="9">
    <w:p w:rsidRPr="0091414B" w:rsidR="009A3BC7" w:rsidP="009A3BC7" w:rsidRDefault="009A3BC7" w14:paraId="21FA3C6E" w14:textId="77777777">
      <w:pPr>
        <w:pStyle w:val="Car1"/>
        <w:ind w:firstLine="709"/>
        <w:jc w:val="both"/>
        <w:rPr>
          <w:sz w:val="16"/>
          <w:szCs w:val="16"/>
          <w:lang w:val="es-CO"/>
        </w:rPr>
      </w:pPr>
      <w:r w:rsidRPr="0091414B">
        <w:rPr>
          <w:rStyle w:val="Refdenotaalpie"/>
          <w:sz w:val="16"/>
          <w:szCs w:val="16"/>
        </w:rPr>
        <w:footnoteRef/>
      </w:r>
      <w:r w:rsidRPr="0091414B">
        <w:rPr>
          <w:rFonts w:ascii="Arial" w:hAnsi="Arial" w:cs="Arial"/>
          <w:color w:val="000000"/>
          <w:sz w:val="16"/>
          <w:szCs w:val="16"/>
          <w:lang w:val="es-ES"/>
        </w:rPr>
        <w:t>«</w:t>
      </w:r>
      <w:r w:rsidRPr="0091414B">
        <w:rPr>
          <w:rFonts w:ascii="Arial" w:hAnsi="Arial" w:cs="Arial"/>
          <w:color w:val="000000"/>
          <w:sz w:val="16"/>
          <w:szCs w:val="16"/>
          <w:lang w:val="es-CO"/>
        </w:rPr>
        <w:t>PARÁGRAFO 1o. &lt;Aparte subrayado CONDICIONALMENTE exequible&gt;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r w:rsidRPr="0091414B">
        <w:rPr>
          <w:rFonts w:ascii="Arial" w:hAnsi="Arial" w:cs="Arial"/>
          <w:color w:val="000000"/>
          <w:sz w:val="16"/>
          <w:szCs w:val="16"/>
          <w:lang w:val="es-ES"/>
        </w:rPr>
        <w:t xml:space="preserve"> »</w:t>
      </w:r>
    </w:p>
  </w:footnote>
  <w:footnote w:id="10">
    <w:p w:rsidRPr="00D4149C" w:rsidR="009A3BC7" w:rsidP="009A3BC7" w:rsidRDefault="009A3BC7" w14:paraId="17ED10DE" w14:textId="77777777">
      <w:pPr>
        <w:pStyle w:val="Car1"/>
        <w:ind w:firstLine="709"/>
        <w:jc w:val="both"/>
        <w:rPr>
          <w:rFonts w:ascii="Arial" w:hAnsi="Arial" w:cs="Arial"/>
          <w:color w:val="000000"/>
          <w:sz w:val="16"/>
          <w:szCs w:val="16"/>
          <w:lang w:val="es-CO"/>
        </w:rPr>
      </w:pPr>
      <w:r w:rsidRPr="00D4149C">
        <w:rPr>
          <w:rStyle w:val="Refdenotaalpie"/>
          <w:rFonts w:ascii="Arial" w:hAnsi="Arial" w:cs="Arial"/>
          <w:color w:val="000000"/>
          <w:sz w:val="16"/>
          <w:szCs w:val="16"/>
        </w:rPr>
        <w:footnoteRef/>
      </w:r>
      <w:r w:rsidRPr="00D4149C">
        <w:rPr>
          <w:rFonts w:ascii="Arial" w:hAnsi="Arial" w:cs="Arial"/>
          <w:color w:val="000000"/>
          <w:sz w:val="16"/>
          <w:szCs w:val="16"/>
        </w:rPr>
        <w:t xml:space="preserve"> Al respecto, la Circular Externa Única dispone que «Las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No están obligados a cumplir con esta acreditación las personas naturales mayores de 50 años».</w:t>
      </w:r>
    </w:p>
  </w:footnote>
  <w:footnote w:id="11">
    <w:p w:rsidRPr="0091414B" w:rsidR="009A3BC7" w:rsidP="009A3BC7" w:rsidRDefault="009A3BC7" w14:paraId="7CACE45E" w14:textId="77777777">
      <w:pPr>
        <w:pStyle w:val="Car1"/>
        <w:ind w:firstLine="708"/>
        <w:jc w:val="both"/>
        <w:rPr>
          <w:rFonts w:ascii="Arial" w:hAnsi="Arial" w:cs="Arial"/>
          <w:i/>
          <w:sz w:val="19"/>
          <w:szCs w:val="19"/>
          <w:lang w:val="es-CO"/>
        </w:rPr>
      </w:pPr>
      <w:r w:rsidRPr="00D4149C">
        <w:rPr>
          <w:rStyle w:val="Refdenotaalpie"/>
          <w:rFonts w:ascii="Arial" w:hAnsi="Arial" w:cs="Arial"/>
          <w:color w:val="000000"/>
          <w:sz w:val="16"/>
          <w:szCs w:val="16"/>
        </w:rPr>
        <w:footnoteRef/>
      </w:r>
      <w:r w:rsidRPr="00D4149C">
        <w:rPr>
          <w:rFonts w:ascii="Arial" w:hAnsi="Arial" w:cs="Arial"/>
          <w:color w:val="000000"/>
          <w:sz w:val="16"/>
          <w:szCs w:val="16"/>
        </w:rPr>
        <w:t xml:space="preserve"> </w:t>
      </w:r>
      <w:r w:rsidRPr="00D4149C">
        <w:rPr>
          <w:rFonts w:ascii="Castellar" w:hAnsi="Castellar" w:cs="Arial"/>
          <w:color w:val="000000"/>
          <w:sz w:val="16"/>
          <w:szCs w:val="16"/>
        </w:rPr>
        <w:t>«</w:t>
      </w:r>
      <w:r w:rsidRPr="00D4149C">
        <w:rPr>
          <w:rFonts w:ascii="Arial" w:hAnsi="Arial" w:cs="Arial"/>
          <w:color w:val="000000"/>
          <w:sz w:val="16"/>
          <w:szCs w:val="16"/>
          <w:lang w:val="es-CO"/>
        </w:rPr>
        <w:t xml:space="preserve">El plazo de dieciocho meses para definir la situación militar, contados a partir de la fecha de vinculación laboral, sólo es aplicable a las personas declaradas no aptas, exentas o que hayan superado la edad máxima de incorporación a filas, pues sólo estas personas podrán acceder a un empleo sin haber definido su situación militar. En consecuencia, esta disposición no es aplicable a la vinculación de personas distintas de las mencionadas, ni tampoco a la celebración de contratos de prestación de servicios con una persona </w:t>
      </w:r>
      <w:r w:rsidRPr="00D4149C">
        <w:rPr>
          <w:rFonts w:ascii="Arial" w:hAnsi="Arial" w:cs="Arial"/>
          <w:sz w:val="16"/>
          <w:szCs w:val="16"/>
          <w:lang w:val="es-CO"/>
        </w:rPr>
        <w:t>natural».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C48B7" w:rsidRDefault="00AC48B7" w14:paraId="6520770B" w14:textId="1A2BB94C">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6917747"/>
    <w:multiLevelType w:val="hybridMultilevel"/>
    <w:tmpl w:val="55029E86"/>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1"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31">
    <w:abstractNumId w:val="29"/>
  </w:num>
  <w:num w:numId="30">
    <w:abstractNumId w:val="28"/>
  </w:num>
  <w:num w:numId="29">
    <w:abstractNumId w:val="27"/>
  </w:num>
  <w:num w:numId="28">
    <w:abstractNumId w:val="26"/>
  </w:num>
  <w:num w:numId="27">
    <w:abstractNumId w:val="25"/>
  </w:num>
  <w:num w:numId="26">
    <w:abstractNumId w:val="24"/>
  </w:num>
  <w:num w:numId="25">
    <w:abstractNumId w:val="23"/>
  </w:num>
  <w:num w:numId="1">
    <w:abstractNumId w:val="10"/>
  </w:num>
  <w:num w:numId="2">
    <w:abstractNumId w:val="8"/>
  </w:num>
  <w:num w:numId="3">
    <w:abstractNumId w:val="13"/>
  </w:num>
  <w:num w:numId="4">
    <w:abstractNumId w:val="16"/>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num>
  <w:num w:numId="19">
    <w:abstractNumId w:val="3"/>
  </w:num>
  <w:num w:numId="20">
    <w:abstractNumId w:val="21"/>
  </w:num>
  <w:num w:numId="21">
    <w:abstractNumId w:val="15"/>
  </w:num>
  <w:num w:numId="22">
    <w:abstractNumId w:val="6"/>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lang="es-ES" w:vendorID="64" w:dllVersion="0" w:nlCheck="1" w:checkStyle="0" w:appName="MSWord"/>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D3"/>
    <w:rsid w:val="0000600A"/>
    <w:rsid w:val="00006081"/>
    <w:rsid w:val="000075EA"/>
    <w:rsid w:val="00007750"/>
    <w:rsid w:val="000077FD"/>
    <w:rsid w:val="00007E37"/>
    <w:rsid w:val="00010C40"/>
    <w:rsid w:val="000112B4"/>
    <w:rsid w:val="00011DCC"/>
    <w:rsid w:val="00012532"/>
    <w:rsid w:val="00012B9E"/>
    <w:rsid w:val="00012FBA"/>
    <w:rsid w:val="00013C6B"/>
    <w:rsid w:val="00013EB3"/>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896"/>
    <w:rsid w:val="000263F0"/>
    <w:rsid w:val="00026407"/>
    <w:rsid w:val="00026608"/>
    <w:rsid w:val="00027787"/>
    <w:rsid w:val="000278D2"/>
    <w:rsid w:val="000315E1"/>
    <w:rsid w:val="0003236E"/>
    <w:rsid w:val="0003339A"/>
    <w:rsid w:val="000341F2"/>
    <w:rsid w:val="000351F2"/>
    <w:rsid w:val="00036E03"/>
    <w:rsid w:val="000406DB"/>
    <w:rsid w:val="0004094D"/>
    <w:rsid w:val="00041029"/>
    <w:rsid w:val="0004149B"/>
    <w:rsid w:val="00042961"/>
    <w:rsid w:val="00042C25"/>
    <w:rsid w:val="00042D03"/>
    <w:rsid w:val="00042F94"/>
    <w:rsid w:val="00043086"/>
    <w:rsid w:val="000430A0"/>
    <w:rsid w:val="00043D3B"/>
    <w:rsid w:val="0004418C"/>
    <w:rsid w:val="00044204"/>
    <w:rsid w:val="000449D4"/>
    <w:rsid w:val="00044CB2"/>
    <w:rsid w:val="00046717"/>
    <w:rsid w:val="00046A63"/>
    <w:rsid w:val="00046C09"/>
    <w:rsid w:val="0004716A"/>
    <w:rsid w:val="00047385"/>
    <w:rsid w:val="000473E8"/>
    <w:rsid w:val="000504DE"/>
    <w:rsid w:val="00051074"/>
    <w:rsid w:val="00052B79"/>
    <w:rsid w:val="00052EA0"/>
    <w:rsid w:val="000536E3"/>
    <w:rsid w:val="0005474D"/>
    <w:rsid w:val="00055431"/>
    <w:rsid w:val="00055CB9"/>
    <w:rsid w:val="00056F66"/>
    <w:rsid w:val="0005702F"/>
    <w:rsid w:val="00061D06"/>
    <w:rsid w:val="00062CDD"/>
    <w:rsid w:val="000640AF"/>
    <w:rsid w:val="00064940"/>
    <w:rsid w:val="00064CAE"/>
    <w:rsid w:val="00064DB7"/>
    <w:rsid w:val="00064FA7"/>
    <w:rsid w:val="00065195"/>
    <w:rsid w:val="00065900"/>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3F6"/>
    <w:rsid w:val="00095B70"/>
    <w:rsid w:val="0009617E"/>
    <w:rsid w:val="000979CF"/>
    <w:rsid w:val="000A03C8"/>
    <w:rsid w:val="000A05F2"/>
    <w:rsid w:val="000A06C4"/>
    <w:rsid w:val="000A0861"/>
    <w:rsid w:val="000A0ED1"/>
    <w:rsid w:val="000A12A0"/>
    <w:rsid w:val="000A12DB"/>
    <w:rsid w:val="000A17C8"/>
    <w:rsid w:val="000A20D7"/>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5781"/>
    <w:rsid w:val="000C0185"/>
    <w:rsid w:val="000C0F81"/>
    <w:rsid w:val="000C128D"/>
    <w:rsid w:val="000C17A3"/>
    <w:rsid w:val="000C1D4B"/>
    <w:rsid w:val="000C3260"/>
    <w:rsid w:val="000C3B77"/>
    <w:rsid w:val="000C4F49"/>
    <w:rsid w:val="000C5861"/>
    <w:rsid w:val="000C639D"/>
    <w:rsid w:val="000C6C31"/>
    <w:rsid w:val="000C6DBC"/>
    <w:rsid w:val="000C6F79"/>
    <w:rsid w:val="000C7476"/>
    <w:rsid w:val="000C7711"/>
    <w:rsid w:val="000C7AA2"/>
    <w:rsid w:val="000D0462"/>
    <w:rsid w:val="000D053D"/>
    <w:rsid w:val="000D0ED2"/>
    <w:rsid w:val="000D1B50"/>
    <w:rsid w:val="000D1CEB"/>
    <w:rsid w:val="000D2563"/>
    <w:rsid w:val="000D25BF"/>
    <w:rsid w:val="000D3FDC"/>
    <w:rsid w:val="000D40F1"/>
    <w:rsid w:val="000D4E38"/>
    <w:rsid w:val="000D50DB"/>
    <w:rsid w:val="000D6288"/>
    <w:rsid w:val="000D7541"/>
    <w:rsid w:val="000D75E1"/>
    <w:rsid w:val="000E22CF"/>
    <w:rsid w:val="000E2977"/>
    <w:rsid w:val="000E30AC"/>
    <w:rsid w:val="000E3B46"/>
    <w:rsid w:val="000E3E11"/>
    <w:rsid w:val="000E4596"/>
    <w:rsid w:val="000E5768"/>
    <w:rsid w:val="000E5843"/>
    <w:rsid w:val="000E6139"/>
    <w:rsid w:val="000E6BE1"/>
    <w:rsid w:val="000E7329"/>
    <w:rsid w:val="000E7E0B"/>
    <w:rsid w:val="000F078A"/>
    <w:rsid w:val="000F122D"/>
    <w:rsid w:val="000F1450"/>
    <w:rsid w:val="000F14E8"/>
    <w:rsid w:val="000F1BBD"/>
    <w:rsid w:val="000F3138"/>
    <w:rsid w:val="000F4403"/>
    <w:rsid w:val="000F4E17"/>
    <w:rsid w:val="000F6578"/>
    <w:rsid w:val="000F7E8F"/>
    <w:rsid w:val="000F7FBB"/>
    <w:rsid w:val="001000FB"/>
    <w:rsid w:val="00102605"/>
    <w:rsid w:val="00102686"/>
    <w:rsid w:val="00102745"/>
    <w:rsid w:val="00103915"/>
    <w:rsid w:val="00103EA0"/>
    <w:rsid w:val="00104F1C"/>
    <w:rsid w:val="001051E5"/>
    <w:rsid w:val="00105A74"/>
    <w:rsid w:val="00105ACB"/>
    <w:rsid w:val="00105AEF"/>
    <w:rsid w:val="00106259"/>
    <w:rsid w:val="001068EB"/>
    <w:rsid w:val="001078CE"/>
    <w:rsid w:val="00110F61"/>
    <w:rsid w:val="001111BD"/>
    <w:rsid w:val="0011165A"/>
    <w:rsid w:val="00111B2B"/>
    <w:rsid w:val="00111D90"/>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695C"/>
    <w:rsid w:val="00136BF7"/>
    <w:rsid w:val="001378B9"/>
    <w:rsid w:val="00137FFA"/>
    <w:rsid w:val="00140109"/>
    <w:rsid w:val="0014029B"/>
    <w:rsid w:val="00140A4F"/>
    <w:rsid w:val="001413AB"/>
    <w:rsid w:val="001418D4"/>
    <w:rsid w:val="00144335"/>
    <w:rsid w:val="0014502F"/>
    <w:rsid w:val="00145282"/>
    <w:rsid w:val="001453B0"/>
    <w:rsid w:val="001454D9"/>
    <w:rsid w:val="00145D8E"/>
    <w:rsid w:val="00146083"/>
    <w:rsid w:val="001462F7"/>
    <w:rsid w:val="00150005"/>
    <w:rsid w:val="00151B99"/>
    <w:rsid w:val="001521B2"/>
    <w:rsid w:val="00152EDD"/>
    <w:rsid w:val="00153104"/>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C70"/>
    <w:rsid w:val="00175E49"/>
    <w:rsid w:val="001805C1"/>
    <w:rsid w:val="00180A2E"/>
    <w:rsid w:val="001813AF"/>
    <w:rsid w:val="001829CD"/>
    <w:rsid w:val="00182F01"/>
    <w:rsid w:val="00184F27"/>
    <w:rsid w:val="0018519B"/>
    <w:rsid w:val="00185AFE"/>
    <w:rsid w:val="00185E78"/>
    <w:rsid w:val="00187177"/>
    <w:rsid w:val="00187ABD"/>
    <w:rsid w:val="001904E3"/>
    <w:rsid w:val="0019087A"/>
    <w:rsid w:val="00191C5A"/>
    <w:rsid w:val="00191CEB"/>
    <w:rsid w:val="00191E63"/>
    <w:rsid w:val="00192D68"/>
    <w:rsid w:val="0019388B"/>
    <w:rsid w:val="00193B9A"/>
    <w:rsid w:val="001946AE"/>
    <w:rsid w:val="001946D5"/>
    <w:rsid w:val="00194E8C"/>
    <w:rsid w:val="001958B5"/>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6FB"/>
    <w:rsid w:val="001C33C1"/>
    <w:rsid w:val="001C3E30"/>
    <w:rsid w:val="001C3E5C"/>
    <w:rsid w:val="001C5072"/>
    <w:rsid w:val="001C5B2A"/>
    <w:rsid w:val="001C600B"/>
    <w:rsid w:val="001C6898"/>
    <w:rsid w:val="001C6DD8"/>
    <w:rsid w:val="001C7C7B"/>
    <w:rsid w:val="001D068D"/>
    <w:rsid w:val="001D12D1"/>
    <w:rsid w:val="001D15DF"/>
    <w:rsid w:val="001D30F3"/>
    <w:rsid w:val="001D31A0"/>
    <w:rsid w:val="001D338E"/>
    <w:rsid w:val="001D56E9"/>
    <w:rsid w:val="001D796A"/>
    <w:rsid w:val="001D7A84"/>
    <w:rsid w:val="001D7C79"/>
    <w:rsid w:val="001E1CC4"/>
    <w:rsid w:val="001E1D38"/>
    <w:rsid w:val="001E4258"/>
    <w:rsid w:val="001E5D6A"/>
    <w:rsid w:val="001E70FB"/>
    <w:rsid w:val="001E780A"/>
    <w:rsid w:val="001F0FA0"/>
    <w:rsid w:val="001F1349"/>
    <w:rsid w:val="001F1863"/>
    <w:rsid w:val="001F2356"/>
    <w:rsid w:val="001F2A68"/>
    <w:rsid w:val="001F4773"/>
    <w:rsid w:val="001F5008"/>
    <w:rsid w:val="001F56AA"/>
    <w:rsid w:val="001F58AA"/>
    <w:rsid w:val="001F5EF6"/>
    <w:rsid w:val="001F657F"/>
    <w:rsid w:val="001F6FB6"/>
    <w:rsid w:val="001F7978"/>
    <w:rsid w:val="001F7A0E"/>
    <w:rsid w:val="0020022E"/>
    <w:rsid w:val="0020054E"/>
    <w:rsid w:val="00201F1E"/>
    <w:rsid w:val="0020299B"/>
    <w:rsid w:val="00202E44"/>
    <w:rsid w:val="002037AA"/>
    <w:rsid w:val="00203F1F"/>
    <w:rsid w:val="00203FE3"/>
    <w:rsid w:val="002042D8"/>
    <w:rsid w:val="00204515"/>
    <w:rsid w:val="00204BF5"/>
    <w:rsid w:val="00204E6B"/>
    <w:rsid w:val="002058D4"/>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50C5"/>
    <w:rsid w:val="00236016"/>
    <w:rsid w:val="00237065"/>
    <w:rsid w:val="00237589"/>
    <w:rsid w:val="0023758D"/>
    <w:rsid w:val="002375A7"/>
    <w:rsid w:val="0024019A"/>
    <w:rsid w:val="0024131D"/>
    <w:rsid w:val="002415B8"/>
    <w:rsid w:val="00241618"/>
    <w:rsid w:val="00242D62"/>
    <w:rsid w:val="002431D7"/>
    <w:rsid w:val="00244058"/>
    <w:rsid w:val="00245718"/>
    <w:rsid w:val="00245E07"/>
    <w:rsid w:val="00246D45"/>
    <w:rsid w:val="00247712"/>
    <w:rsid w:val="00250EC6"/>
    <w:rsid w:val="00251866"/>
    <w:rsid w:val="00251A9F"/>
    <w:rsid w:val="00252492"/>
    <w:rsid w:val="00252B35"/>
    <w:rsid w:val="0025316D"/>
    <w:rsid w:val="00253A02"/>
    <w:rsid w:val="00253B81"/>
    <w:rsid w:val="002554DE"/>
    <w:rsid w:val="00255E11"/>
    <w:rsid w:val="00256835"/>
    <w:rsid w:val="002569F0"/>
    <w:rsid w:val="00256ECF"/>
    <w:rsid w:val="00257730"/>
    <w:rsid w:val="00257999"/>
    <w:rsid w:val="002604AA"/>
    <w:rsid w:val="0026129B"/>
    <w:rsid w:val="00261560"/>
    <w:rsid w:val="00261617"/>
    <w:rsid w:val="00261715"/>
    <w:rsid w:val="00261CF9"/>
    <w:rsid w:val="00261EC0"/>
    <w:rsid w:val="0026231B"/>
    <w:rsid w:val="00263101"/>
    <w:rsid w:val="00263201"/>
    <w:rsid w:val="00263A37"/>
    <w:rsid w:val="002653A6"/>
    <w:rsid w:val="002661F1"/>
    <w:rsid w:val="002711A4"/>
    <w:rsid w:val="00271F13"/>
    <w:rsid w:val="00274DB5"/>
    <w:rsid w:val="00275BB1"/>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899"/>
    <w:rsid w:val="00291784"/>
    <w:rsid w:val="002929BB"/>
    <w:rsid w:val="00292AAA"/>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0A1C"/>
    <w:rsid w:val="002B1342"/>
    <w:rsid w:val="002B27C8"/>
    <w:rsid w:val="002B2A7F"/>
    <w:rsid w:val="002B330B"/>
    <w:rsid w:val="002B39BE"/>
    <w:rsid w:val="002B438C"/>
    <w:rsid w:val="002B48DB"/>
    <w:rsid w:val="002B4B34"/>
    <w:rsid w:val="002B541A"/>
    <w:rsid w:val="002B6407"/>
    <w:rsid w:val="002B6416"/>
    <w:rsid w:val="002B6459"/>
    <w:rsid w:val="002B73B0"/>
    <w:rsid w:val="002C24B4"/>
    <w:rsid w:val="002C2B3A"/>
    <w:rsid w:val="002C2B87"/>
    <w:rsid w:val="002C3CF4"/>
    <w:rsid w:val="002C3EF2"/>
    <w:rsid w:val="002C441A"/>
    <w:rsid w:val="002C4A73"/>
    <w:rsid w:val="002C4B84"/>
    <w:rsid w:val="002C4C0C"/>
    <w:rsid w:val="002C5016"/>
    <w:rsid w:val="002C5C2F"/>
    <w:rsid w:val="002C5D0F"/>
    <w:rsid w:val="002C60B9"/>
    <w:rsid w:val="002C6F77"/>
    <w:rsid w:val="002C704D"/>
    <w:rsid w:val="002D0845"/>
    <w:rsid w:val="002D0933"/>
    <w:rsid w:val="002D19BB"/>
    <w:rsid w:val="002D1A9B"/>
    <w:rsid w:val="002D2001"/>
    <w:rsid w:val="002D22C5"/>
    <w:rsid w:val="002D302A"/>
    <w:rsid w:val="002D36C6"/>
    <w:rsid w:val="002D37C1"/>
    <w:rsid w:val="002D444B"/>
    <w:rsid w:val="002D4A45"/>
    <w:rsid w:val="002D4B42"/>
    <w:rsid w:val="002D5A1B"/>
    <w:rsid w:val="002D65BC"/>
    <w:rsid w:val="002D6D7E"/>
    <w:rsid w:val="002E055C"/>
    <w:rsid w:val="002E1050"/>
    <w:rsid w:val="002E18E5"/>
    <w:rsid w:val="002E1953"/>
    <w:rsid w:val="002E2D7D"/>
    <w:rsid w:val="002E3D76"/>
    <w:rsid w:val="002E40A1"/>
    <w:rsid w:val="002E48EC"/>
    <w:rsid w:val="002E4B44"/>
    <w:rsid w:val="002E4ECB"/>
    <w:rsid w:val="002E4F23"/>
    <w:rsid w:val="002E7847"/>
    <w:rsid w:val="002F0073"/>
    <w:rsid w:val="002F08EC"/>
    <w:rsid w:val="002F240B"/>
    <w:rsid w:val="002F2F50"/>
    <w:rsid w:val="002F3601"/>
    <w:rsid w:val="002F45F6"/>
    <w:rsid w:val="002F692F"/>
    <w:rsid w:val="002F7B66"/>
    <w:rsid w:val="00300CB4"/>
    <w:rsid w:val="00300E24"/>
    <w:rsid w:val="003033BA"/>
    <w:rsid w:val="003043A3"/>
    <w:rsid w:val="00304BD4"/>
    <w:rsid w:val="0030500A"/>
    <w:rsid w:val="003052EB"/>
    <w:rsid w:val="00305FCB"/>
    <w:rsid w:val="003063C3"/>
    <w:rsid w:val="00306B44"/>
    <w:rsid w:val="00307C44"/>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7D3"/>
    <w:rsid w:val="00322937"/>
    <w:rsid w:val="00323881"/>
    <w:rsid w:val="00323B73"/>
    <w:rsid w:val="00325D98"/>
    <w:rsid w:val="0032682A"/>
    <w:rsid w:val="00327A5C"/>
    <w:rsid w:val="0033092C"/>
    <w:rsid w:val="0033122A"/>
    <w:rsid w:val="003315AC"/>
    <w:rsid w:val="00331932"/>
    <w:rsid w:val="00333A88"/>
    <w:rsid w:val="00334C46"/>
    <w:rsid w:val="00335B15"/>
    <w:rsid w:val="00335B21"/>
    <w:rsid w:val="00335D3F"/>
    <w:rsid w:val="00336104"/>
    <w:rsid w:val="00336729"/>
    <w:rsid w:val="0033726D"/>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33F4"/>
    <w:rsid w:val="003536F6"/>
    <w:rsid w:val="00353DD5"/>
    <w:rsid w:val="00354E31"/>
    <w:rsid w:val="00355131"/>
    <w:rsid w:val="00361A59"/>
    <w:rsid w:val="00363348"/>
    <w:rsid w:val="00363857"/>
    <w:rsid w:val="00363D59"/>
    <w:rsid w:val="003640F7"/>
    <w:rsid w:val="00365D3A"/>
    <w:rsid w:val="003664FF"/>
    <w:rsid w:val="00366BD2"/>
    <w:rsid w:val="003670B8"/>
    <w:rsid w:val="003704A3"/>
    <w:rsid w:val="003706F2"/>
    <w:rsid w:val="0037124F"/>
    <w:rsid w:val="00373827"/>
    <w:rsid w:val="0037401C"/>
    <w:rsid w:val="00374773"/>
    <w:rsid w:val="0037507B"/>
    <w:rsid w:val="00375C7C"/>
    <w:rsid w:val="00377027"/>
    <w:rsid w:val="00377135"/>
    <w:rsid w:val="00380272"/>
    <w:rsid w:val="00380498"/>
    <w:rsid w:val="003805DB"/>
    <w:rsid w:val="0038152A"/>
    <w:rsid w:val="00382BAD"/>
    <w:rsid w:val="00384DF1"/>
    <w:rsid w:val="00384FF3"/>
    <w:rsid w:val="00386456"/>
    <w:rsid w:val="003865A9"/>
    <w:rsid w:val="00390F32"/>
    <w:rsid w:val="0039135E"/>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C3B"/>
    <w:rsid w:val="003B1E57"/>
    <w:rsid w:val="003B2EF3"/>
    <w:rsid w:val="003B534F"/>
    <w:rsid w:val="003B5391"/>
    <w:rsid w:val="003B65D7"/>
    <w:rsid w:val="003B65E0"/>
    <w:rsid w:val="003B6BD4"/>
    <w:rsid w:val="003B6F4D"/>
    <w:rsid w:val="003B6FE7"/>
    <w:rsid w:val="003C032F"/>
    <w:rsid w:val="003C0D1F"/>
    <w:rsid w:val="003C116A"/>
    <w:rsid w:val="003C1AF4"/>
    <w:rsid w:val="003C1CB8"/>
    <w:rsid w:val="003C2550"/>
    <w:rsid w:val="003C287F"/>
    <w:rsid w:val="003C3339"/>
    <w:rsid w:val="003C375A"/>
    <w:rsid w:val="003C4D9F"/>
    <w:rsid w:val="003C61AB"/>
    <w:rsid w:val="003C622C"/>
    <w:rsid w:val="003C73C7"/>
    <w:rsid w:val="003D050B"/>
    <w:rsid w:val="003D0B98"/>
    <w:rsid w:val="003D0C3C"/>
    <w:rsid w:val="003D0DE5"/>
    <w:rsid w:val="003D1351"/>
    <w:rsid w:val="003D21C1"/>
    <w:rsid w:val="003D3B15"/>
    <w:rsid w:val="003D3B2E"/>
    <w:rsid w:val="003D484D"/>
    <w:rsid w:val="003D49CB"/>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266"/>
    <w:rsid w:val="003E78DA"/>
    <w:rsid w:val="003E7A8B"/>
    <w:rsid w:val="003F0F7F"/>
    <w:rsid w:val="003F300D"/>
    <w:rsid w:val="003F391F"/>
    <w:rsid w:val="003F4599"/>
    <w:rsid w:val="003F45E1"/>
    <w:rsid w:val="003F4F6C"/>
    <w:rsid w:val="003F559E"/>
    <w:rsid w:val="003F6181"/>
    <w:rsid w:val="003F7343"/>
    <w:rsid w:val="00400002"/>
    <w:rsid w:val="00400054"/>
    <w:rsid w:val="00400BA9"/>
    <w:rsid w:val="004016A3"/>
    <w:rsid w:val="00401B31"/>
    <w:rsid w:val="0040202B"/>
    <w:rsid w:val="00402DE1"/>
    <w:rsid w:val="00402EEB"/>
    <w:rsid w:val="004037C2"/>
    <w:rsid w:val="00404041"/>
    <w:rsid w:val="00404B43"/>
    <w:rsid w:val="00404C61"/>
    <w:rsid w:val="00405487"/>
    <w:rsid w:val="0040602B"/>
    <w:rsid w:val="00407121"/>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D9A"/>
    <w:rsid w:val="00415194"/>
    <w:rsid w:val="00415816"/>
    <w:rsid w:val="00415B88"/>
    <w:rsid w:val="00415D32"/>
    <w:rsid w:val="004160A2"/>
    <w:rsid w:val="00416C61"/>
    <w:rsid w:val="004170D7"/>
    <w:rsid w:val="004177A6"/>
    <w:rsid w:val="00417EFD"/>
    <w:rsid w:val="004200EE"/>
    <w:rsid w:val="004209D2"/>
    <w:rsid w:val="00420D6E"/>
    <w:rsid w:val="00421BD2"/>
    <w:rsid w:val="00421E00"/>
    <w:rsid w:val="00421FCB"/>
    <w:rsid w:val="00422DCA"/>
    <w:rsid w:val="00423F9F"/>
    <w:rsid w:val="00425C43"/>
    <w:rsid w:val="00426C69"/>
    <w:rsid w:val="004273FA"/>
    <w:rsid w:val="0042795B"/>
    <w:rsid w:val="00430186"/>
    <w:rsid w:val="0043269A"/>
    <w:rsid w:val="004333C2"/>
    <w:rsid w:val="00434787"/>
    <w:rsid w:val="00434C13"/>
    <w:rsid w:val="00436323"/>
    <w:rsid w:val="0043683F"/>
    <w:rsid w:val="00436F40"/>
    <w:rsid w:val="004370FA"/>
    <w:rsid w:val="00440096"/>
    <w:rsid w:val="004403DD"/>
    <w:rsid w:val="00440DB0"/>
    <w:rsid w:val="00440FAD"/>
    <w:rsid w:val="00441291"/>
    <w:rsid w:val="004420AB"/>
    <w:rsid w:val="004422D6"/>
    <w:rsid w:val="004427AC"/>
    <w:rsid w:val="00442D4D"/>
    <w:rsid w:val="0044374D"/>
    <w:rsid w:val="00443B55"/>
    <w:rsid w:val="00443D27"/>
    <w:rsid w:val="00446037"/>
    <w:rsid w:val="0044642F"/>
    <w:rsid w:val="0044772C"/>
    <w:rsid w:val="00450846"/>
    <w:rsid w:val="00451A52"/>
    <w:rsid w:val="0045271D"/>
    <w:rsid w:val="00452755"/>
    <w:rsid w:val="00452803"/>
    <w:rsid w:val="004529C6"/>
    <w:rsid w:val="00452EAD"/>
    <w:rsid w:val="004533D1"/>
    <w:rsid w:val="004534D1"/>
    <w:rsid w:val="00454548"/>
    <w:rsid w:val="00454717"/>
    <w:rsid w:val="00455047"/>
    <w:rsid w:val="00455354"/>
    <w:rsid w:val="0045558D"/>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6616"/>
    <w:rsid w:val="00466A0C"/>
    <w:rsid w:val="00470A6A"/>
    <w:rsid w:val="00470D92"/>
    <w:rsid w:val="00471DF7"/>
    <w:rsid w:val="004734CF"/>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4F40"/>
    <w:rsid w:val="00484F7E"/>
    <w:rsid w:val="0048540C"/>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E3F"/>
    <w:rsid w:val="004A054C"/>
    <w:rsid w:val="004A08D1"/>
    <w:rsid w:val="004A16C1"/>
    <w:rsid w:val="004A1CE2"/>
    <w:rsid w:val="004A34D2"/>
    <w:rsid w:val="004A4301"/>
    <w:rsid w:val="004A58EE"/>
    <w:rsid w:val="004A59B7"/>
    <w:rsid w:val="004A623B"/>
    <w:rsid w:val="004A6A04"/>
    <w:rsid w:val="004A6A52"/>
    <w:rsid w:val="004B0F0B"/>
    <w:rsid w:val="004B2197"/>
    <w:rsid w:val="004B298A"/>
    <w:rsid w:val="004B4F7E"/>
    <w:rsid w:val="004B578D"/>
    <w:rsid w:val="004B5BE7"/>
    <w:rsid w:val="004B5E2D"/>
    <w:rsid w:val="004B6C07"/>
    <w:rsid w:val="004B74D3"/>
    <w:rsid w:val="004B788E"/>
    <w:rsid w:val="004B7E5D"/>
    <w:rsid w:val="004C22F7"/>
    <w:rsid w:val="004C2B27"/>
    <w:rsid w:val="004C3929"/>
    <w:rsid w:val="004C5212"/>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736"/>
    <w:rsid w:val="004E5B36"/>
    <w:rsid w:val="004E6045"/>
    <w:rsid w:val="004E6F43"/>
    <w:rsid w:val="004E7200"/>
    <w:rsid w:val="004F0960"/>
    <w:rsid w:val="004F0A5C"/>
    <w:rsid w:val="004F163F"/>
    <w:rsid w:val="004F18A0"/>
    <w:rsid w:val="004F1A08"/>
    <w:rsid w:val="004F2B64"/>
    <w:rsid w:val="004F3764"/>
    <w:rsid w:val="004F3EEF"/>
    <w:rsid w:val="004F5930"/>
    <w:rsid w:val="004F5970"/>
    <w:rsid w:val="004F5F0C"/>
    <w:rsid w:val="004F6121"/>
    <w:rsid w:val="004F6161"/>
    <w:rsid w:val="004F66BC"/>
    <w:rsid w:val="004F6C26"/>
    <w:rsid w:val="004F7AC9"/>
    <w:rsid w:val="0050062F"/>
    <w:rsid w:val="005012E2"/>
    <w:rsid w:val="0050160F"/>
    <w:rsid w:val="0050284E"/>
    <w:rsid w:val="00505DCB"/>
    <w:rsid w:val="005075CA"/>
    <w:rsid w:val="0051074C"/>
    <w:rsid w:val="00510DE9"/>
    <w:rsid w:val="005111E2"/>
    <w:rsid w:val="00511231"/>
    <w:rsid w:val="00512C4F"/>
    <w:rsid w:val="00513042"/>
    <w:rsid w:val="0051334F"/>
    <w:rsid w:val="00513399"/>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2CCC"/>
    <w:rsid w:val="00523903"/>
    <w:rsid w:val="005239B6"/>
    <w:rsid w:val="00523C45"/>
    <w:rsid w:val="00524165"/>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644"/>
    <w:rsid w:val="005369E6"/>
    <w:rsid w:val="005371AC"/>
    <w:rsid w:val="00537672"/>
    <w:rsid w:val="0053772F"/>
    <w:rsid w:val="00537B77"/>
    <w:rsid w:val="00540C4C"/>
    <w:rsid w:val="00541571"/>
    <w:rsid w:val="0054275A"/>
    <w:rsid w:val="005428B8"/>
    <w:rsid w:val="00542BD7"/>
    <w:rsid w:val="00543084"/>
    <w:rsid w:val="0054413A"/>
    <w:rsid w:val="00544288"/>
    <w:rsid w:val="005446BB"/>
    <w:rsid w:val="00545E30"/>
    <w:rsid w:val="00545EA3"/>
    <w:rsid w:val="00546C9B"/>
    <w:rsid w:val="00547BF6"/>
    <w:rsid w:val="00551098"/>
    <w:rsid w:val="00551598"/>
    <w:rsid w:val="0055162B"/>
    <w:rsid w:val="00551BFF"/>
    <w:rsid w:val="00551D68"/>
    <w:rsid w:val="00552B3E"/>
    <w:rsid w:val="005551AA"/>
    <w:rsid w:val="005564CA"/>
    <w:rsid w:val="005568EA"/>
    <w:rsid w:val="00557140"/>
    <w:rsid w:val="00560C87"/>
    <w:rsid w:val="00560F51"/>
    <w:rsid w:val="00561249"/>
    <w:rsid w:val="0056182B"/>
    <w:rsid w:val="00561AF3"/>
    <w:rsid w:val="00561E0B"/>
    <w:rsid w:val="00562141"/>
    <w:rsid w:val="00562D86"/>
    <w:rsid w:val="00564704"/>
    <w:rsid w:val="00564712"/>
    <w:rsid w:val="005657A8"/>
    <w:rsid w:val="00565952"/>
    <w:rsid w:val="00566866"/>
    <w:rsid w:val="005670A5"/>
    <w:rsid w:val="00567723"/>
    <w:rsid w:val="00567AB8"/>
    <w:rsid w:val="00570A26"/>
    <w:rsid w:val="0057221F"/>
    <w:rsid w:val="00572539"/>
    <w:rsid w:val="0057337D"/>
    <w:rsid w:val="00573504"/>
    <w:rsid w:val="00574708"/>
    <w:rsid w:val="00574D81"/>
    <w:rsid w:val="005756AA"/>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3C4"/>
    <w:rsid w:val="00593F75"/>
    <w:rsid w:val="005940A0"/>
    <w:rsid w:val="0059429A"/>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2011"/>
    <w:rsid w:val="005C3EA3"/>
    <w:rsid w:val="005C496F"/>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91B"/>
    <w:rsid w:val="005D7CF2"/>
    <w:rsid w:val="005D7F92"/>
    <w:rsid w:val="005E0D7B"/>
    <w:rsid w:val="005E1595"/>
    <w:rsid w:val="005E1F1D"/>
    <w:rsid w:val="005E273D"/>
    <w:rsid w:val="005E3278"/>
    <w:rsid w:val="005E363B"/>
    <w:rsid w:val="005E784B"/>
    <w:rsid w:val="005F305B"/>
    <w:rsid w:val="005F3361"/>
    <w:rsid w:val="005F3B47"/>
    <w:rsid w:val="005F4481"/>
    <w:rsid w:val="005F49AF"/>
    <w:rsid w:val="005F4A58"/>
    <w:rsid w:val="005F54DF"/>
    <w:rsid w:val="005F5888"/>
    <w:rsid w:val="005F5984"/>
    <w:rsid w:val="005F6CE2"/>
    <w:rsid w:val="005F72E9"/>
    <w:rsid w:val="005F780B"/>
    <w:rsid w:val="00600473"/>
    <w:rsid w:val="006013C9"/>
    <w:rsid w:val="00602B45"/>
    <w:rsid w:val="00603499"/>
    <w:rsid w:val="006035F5"/>
    <w:rsid w:val="00603CC2"/>
    <w:rsid w:val="006047D1"/>
    <w:rsid w:val="00604A55"/>
    <w:rsid w:val="006053D2"/>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8D1"/>
    <w:rsid w:val="00620719"/>
    <w:rsid w:val="006212C9"/>
    <w:rsid w:val="00621D0C"/>
    <w:rsid w:val="00622470"/>
    <w:rsid w:val="00622725"/>
    <w:rsid w:val="006231AA"/>
    <w:rsid w:val="00623482"/>
    <w:rsid w:val="00623AC2"/>
    <w:rsid w:val="006266D7"/>
    <w:rsid w:val="00626D42"/>
    <w:rsid w:val="00626EE3"/>
    <w:rsid w:val="006274AD"/>
    <w:rsid w:val="00627532"/>
    <w:rsid w:val="006302AA"/>
    <w:rsid w:val="006310C3"/>
    <w:rsid w:val="0063161E"/>
    <w:rsid w:val="00631BB5"/>
    <w:rsid w:val="00631DD0"/>
    <w:rsid w:val="00633DBF"/>
    <w:rsid w:val="00634122"/>
    <w:rsid w:val="00635E32"/>
    <w:rsid w:val="006365DE"/>
    <w:rsid w:val="00636BE4"/>
    <w:rsid w:val="00637802"/>
    <w:rsid w:val="00637836"/>
    <w:rsid w:val="00637C26"/>
    <w:rsid w:val="00637F44"/>
    <w:rsid w:val="00641078"/>
    <w:rsid w:val="00641242"/>
    <w:rsid w:val="00642A32"/>
    <w:rsid w:val="006433D5"/>
    <w:rsid w:val="00643DA6"/>
    <w:rsid w:val="00645C19"/>
    <w:rsid w:val="00646B20"/>
    <w:rsid w:val="00646D0F"/>
    <w:rsid w:val="006470BB"/>
    <w:rsid w:val="00647A36"/>
    <w:rsid w:val="00647DCC"/>
    <w:rsid w:val="00647EFA"/>
    <w:rsid w:val="00647F14"/>
    <w:rsid w:val="00650027"/>
    <w:rsid w:val="00651B9C"/>
    <w:rsid w:val="00651C47"/>
    <w:rsid w:val="006523F2"/>
    <w:rsid w:val="00652E70"/>
    <w:rsid w:val="0065339A"/>
    <w:rsid w:val="00653469"/>
    <w:rsid w:val="00654A38"/>
    <w:rsid w:val="00655301"/>
    <w:rsid w:val="00655371"/>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C89"/>
    <w:rsid w:val="006832B8"/>
    <w:rsid w:val="006837B2"/>
    <w:rsid w:val="00683800"/>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FFA"/>
    <w:rsid w:val="00693772"/>
    <w:rsid w:val="00693793"/>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F9"/>
    <w:rsid w:val="006A6C9F"/>
    <w:rsid w:val="006A7CB5"/>
    <w:rsid w:val="006A7FD0"/>
    <w:rsid w:val="006B025C"/>
    <w:rsid w:val="006B22B8"/>
    <w:rsid w:val="006B2534"/>
    <w:rsid w:val="006B2CB2"/>
    <w:rsid w:val="006B347D"/>
    <w:rsid w:val="006B3BD0"/>
    <w:rsid w:val="006B3E19"/>
    <w:rsid w:val="006B4488"/>
    <w:rsid w:val="006B67AC"/>
    <w:rsid w:val="006B786A"/>
    <w:rsid w:val="006B7E4E"/>
    <w:rsid w:val="006C003A"/>
    <w:rsid w:val="006C2454"/>
    <w:rsid w:val="006C2551"/>
    <w:rsid w:val="006C37CA"/>
    <w:rsid w:val="006C40D2"/>
    <w:rsid w:val="006C5B15"/>
    <w:rsid w:val="006C5D32"/>
    <w:rsid w:val="006C5DCB"/>
    <w:rsid w:val="006C70C4"/>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A12"/>
    <w:rsid w:val="006D712D"/>
    <w:rsid w:val="006D7687"/>
    <w:rsid w:val="006D7D1F"/>
    <w:rsid w:val="006D7D8A"/>
    <w:rsid w:val="006E0572"/>
    <w:rsid w:val="006E05D8"/>
    <w:rsid w:val="006E08EE"/>
    <w:rsid w:val="006E155A"/>
    <w:rsid w:val="006E39D1"/>
    <w:rsid w:val="006E437F"/>
    <w:rsid w:val="006E4D5B"/>
    <w:rsid w:val="006E602F"/>
    <w:rsid w:val="006E6720"/>
    <w:rsid w:val="006E7275"/>
    <w:rsid w:val="006E77B8"/>
    <w:rsid w:val="006F15CC"/>
    <w:rsid w:val="006F4147"/>
    <w:rsid w:val="006F4315"/>
    <w:rsid w:val="006F4CB0"/>
    <w:rsid w:val="006F4F78"/>
    <w:rsid w:val="006F547E"/>
    <w:rsid w:val="006F5CCF"/>
    <w:rsid w:val="006F7036"/>
    <w:rsid w:val="0070138A"/>
    <w:rsid w:val="0070157E"/>
    <w:rsid w:val="007027B6"/>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9AB"/>
    <w:rsid w:val="00712B63"/>
    <w:rsid w:val="00713526"/>
    <w:rsid w:val="00713FC5"/>
    <w:rsid w:val="00715BBF"/>
    <w:rsid w:val="00715C29"/>
    <w:rsid w:val="00715CBD"/>
    <w:rsid w:val="00715EAA"/>
    <w:rsid w:val="00716CAD"/>
    <w:rsid w:val="00716F18"/>
    <w:rsid w:val="00717363"/>
    <w:rsid w:val="00717786"/>
    <w:rsid w:val="00717ACB"/>
    <w:rsid w:val="00721BFF"/>
    <w:rsid w:val="007236C4"/>
    <w:rsid w:val="00724635"/>
    <w:rsid w:val="00724E22"/>
    <w:rsid w:val="0072554B"/>
    <w:rsid w:val="00725AFD"/>
    <w:rsid w:val="00726603"/>
    <w:rsid w:val="00727DDC"/>
    <w:rsid w:val="00730CD6"/>
    <w:rsid w:val="00730F74"/>
    <w:rsid w:val="0073114B"/>
    <w:rsid w:val="00734952"/>
    <w:rsid w:val="00734990"/>
    <w:rsid w:val="00734FF5"/>
    <w:rsid w:val="00735B78"/>
    <w:rsid w:val="00735DA7"/>
    <w:rsid w:val="007368B4"/>
    <w:rsid w:val="007378E0"/>
    <w:rsid w:val="00740529"/>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E04"/>
    <w:rsid w:val="00746E08"/>
    <w:rsid w:val="00746E3D"/>
    <w:rsid w:val="007473B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6DE5"/>
    <w:rsid w:val="007573E1"/>
    <w:rsid w:val="0075749E"/>
    <w:rsid w:val="00757B2D"/>
    <w:rsid w:val="00757BAD"/>
    <w:rsid w:val="00757D62"/>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D90"/>
    <w:rsid w:val="00787F5E"/>
    <w:rsid w:val="00790164"/>
    <w:rsid w:val="00790A24"/>
    <w:rsid w:val="00790A37"/>
    <w:rsid w:val="00790A60"/>
    <w:rsid w:val="0079146D"/>
    <w:rsid w:val="00791C32"/>
    <w:rsid w:val="00791FF0"/>
    <w:rsid w:val="007923D0"/>
    <w:rsid w:val="0079302C"/>
    <w:rsid w:val="007930D3"/>
    <w:rsid w:val="0079381F"/>
    <w:rsid w:val="00793B2E"/>
    <w:rsid w:val="007948F5"/>
    <w:rsid w:val="00795647"/>
    <w:rsid w:val="007963F6"/>
    <w:rsid w:val="00796E80"/>
    <w:rsid w:val="007979AD"/>
    <w:rsid w:val="00797A9C"/>
    <w:rsid w:val="007A0EAB"/>
    <w:rsid w:val="007A2341"/>
    <w:rsid w:val="007A38A1"/>
    <w:rsid w:val="007A3967"/>
    <w:rsid w:val="007A3BBE"/>
    <w:rsid w:val="007A4766"/>
    <w:rsid w:val="007A5947"/>
    <w:rsid w:val="007B0313"/>
    <w:rsid w:val="007B0854"/>
    <w:rsid w:val="007B0E48"/>
    <w:rsid w:val="007B1D1B"/>
    <w:rsid w:val="007B303E"/>
    <w:rsid w:val="007B32C0"/>
    <w:rsid w:val="007B32F7"/>
    <w:rsid w:val="007B3659"/>
    <w:rsid w:val="007B4558"/>
    <w:rsid w:val="007B4632"/>
    <w:rsid w:val="007B46A2"/>
    <w:rsid w:val="007B4828"/>
    <w:rsid w:val="007B4B2D"/>
    <w:rsid w:val="007B4D4A"/>
    <w:rsid w:val="007B5428"/>
    <w:rsid w:val="007B6C64"/>
    <w:rsid w:val="007B6EC8"/>
    <w:rsid w:val="007B6F81"/>
    <w:rsid w:val="007B7EA2"/>
    <w:rsid w:val="007C097D"/>
    <w:rsid w:val="007C1672"/>
    <w:rsid w:val="007C312A"/>
    <w:rsid w:val="007C3570"/>
    <w:rsid w:val="007C3F3B"/>
    <w:rsid w:val="007C4241"/>
    <w:rsid w:val="007C55FF"/>
    <w:rsid w:val="007C6339"/>
    <w:rsid w:val="007C7C43"/>
    <w:rsid w:val="007C7F0D"/>
    <w:rsid w:val="007D1134"/>
    <w:rsid w:val="007D23F7"/>
    <w:rsid w:val="007D2566"/>
    <w:rsid w:val="007D2C18"/>
    <w:rsid w:val="007D2D74"/>
    <w:rsid w:val="007D3693"/>
    <w:rsid w:val="007D3C6D"/>
    <w:rsid w:val="007D481A"/>
    <w:rsid w:val="007D5648"/>
    <w:rsid w:val="007D58C5"/>
    <w:rsid w:val="007D5DE8"/>
    <w:rsid w:val="007D7CFC"/>
    <w:rsid w:val="007E0812"/>
    <w:rsid w:val="007E099B"/>
    <w:rsid w:val="007E18DF"/>
    <w:rsid w:val="007E2C36"/>
    <w:rsid w:val="007E350D"/>
    <w:rsid w:val="007E5C4A"/>
    <w:rsid w:val="007E64D4"/>
    <w:rsid w:val="007E66E9"/>
    <w:rsid w:val="007E69F2"/>
    <w:rsid w:val="007E7432"/>
    <w:rsid w:val="007E74BF"/>
    <w:rsid w:val="007F14D3"/>
    <w:rsid w:val="007F1D9D"/>
    <w:rsid w:val="007F1E28"/>
    <w:rsid w:val="007F1F63"/>
    <w:rsid w:val="007F22A0"/>
    <w:rsid w:val="007F24B7"/>
    <w:rsid w:val="007F2F90"/>
    <w:rsid w:val="007F3320"/>
    <w:rsid w:val="007F3AC1"/>
    <w:rsid w:val="007F4976"/>
    <w:rsid w:val="007F5A56"/>
    <w:rsid w:val="007F616E"/>
    <w:rsid w:val="007F6B46"/>
    <w:rsid w:val="007F72CB"/>
    <w:rsid w:val="007F736A"/>
    <w:rsid w:val="007F7635"/>
    <w:rsid w:val="007F785F"/>
    <w:rsid w:val="007F7AF6"/>
    <w:rsid w:val="007F7E36"/>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C35"/>
    <w:rsid w:val="00807F69"/>
    <w:rsid w:val="008100F7"/>
    <w:rsid w:val="00810206"/>
    <w:rsid w:val="00811898"/>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5B43"/>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23EC"/>
    <w:rsid w:val="00843615"/>
    <w:rsid w:val="00843698"/>
    <w:rsid w:val="00843A4B"/>
    <w:rsid w:val="00843B57"/>
    <w:rsid w:val="00843B60"/>
    <w:rsid w:val="00843D33"/>
    <w:rsid w:val="00844D4F"/>
    <w:rsid w:val="00845AE3"/>
    <w:rsid w:val="00845BC4"/>
    <w:rsid w:val="008466A0"/>
    <w:rsid w:val="00847535"/>
    <w:rsid w:val="00847B6D"/>
    <w:rsid w:val="0085092D"/>
    <w:rsid w:val="00850D82"/>
    <w:rsid w:val="00850F6C"/>
    <w:rsid w:val="00850F79"/>
    <w:rsid w:val="0085100B"/>
    <w:rsid w:val="0085304C"/>
    <w:rsid w:val="008548CA"/>
    <w:rsid w:val="00856C06"/>
    <w:rsid w:val="0085790B"/>
    <w:rsid w:val="00857C95"/>
    <w:rsid w:val="00857E78"/>
    <w:rsid w:val="00860AEF"/>
    <w:rsid w:val="0086122C"/>
    <w:rsid w:val="00861310"/>
    <w:rsid w:val="00861F53"/>
    <w:rsid w:val="0086289E"/>
    <w:rsid w:val="0086394E"/>
    <w:rsid w:val="00863F8A"/>
    <w:rsid w:val="00863FE3"/>
    <w:rsid w:val="00864241"/>
    <w:rsid w:val="0086468A"/>
    <w:rsid w:val="008650BE"/>
    <w:rsid w:val="0086633B"/>
    <w:rsid w:val="00866495"/>
    <w:rsid w:val="00866931"/>
    <w:rsid w:val="00867512"/>
    <w:rsid w:val="0087033C"/>
    <w:rsid w:val="008715ED"/>
    <w:rsid w:val="008717D8"/>
    <w:rsid w:val="00871E3C"/>
    <w:rsid w:val="00872F97"/>
    <w:rsid w:val="00874607"/>
    <w:rsid w:val="00874915"/>
    <w:rsid w:val="00874B89"/>
    <w:rsid w:val="00875403"/>
    <w:rsid w:val="00875434"/>
    <w:rsid w:val="00876215"/>
    <w:rsid w:val="0087646C"/>
    <w:rsid w:val="00876815"/>
    <w:rsid w:val="00877932"/>
    <w:rsid w:val="00877F52"/>
    <w:rsid w:val="008808C7"/>
    <w:rsid w:val="0088106B"/>
    <w:rsid w:val="0088107D"/>
    <w:rsid w:val="00881E64"/>
    <w:rsid w:val="00882E39"/>
    <w:rsid w:val="008850EB"/>
    <w:rsid w:val="00886DF2"/>
    <w:rsid w:val="00886FB9"/>
    <w:rsid w:val="00887080"/>
    <w:rsid w:val="00887C79"/>
    <w:rsid w:val="0089107B"/>
    <w:rsid w:val="008913CC"/>
    <w:rsid w:val="008914AE"/>
    <w:rsid w:val="008919CF"/>
    <w:rsid w:val="00891F84"/>
    <w:rsid w:val="008928EC"/>
    <w:rsid w:val="00892E5D"/>
    <w:rsid w:val="008935CF"/>
    <w:rsid w:val="00894436"/>
    <w:rsid w:val="00894BB1"/>
    <w:rsid w:val="008951D0"/>
    <w:rsid w:val="0089582D"/>
    <w:rsid w:val="008959C6"/>
    <w:rsid w:val="0089606D"/>
    <w:rsid w:val="00896129"/>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B0862"/>
    <w:rsid w:val="008B088C"/>
    <w:rsid w:val="008B0CCC"/>
    <w:rsid w:val="008B1BF5"/>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62D4"/>
    <w:rsid w:val="008C6B89"/>
    <w:rsid w:val="008C6CEB"/>
    <w:rsid w:val="008D18AA"/>
    <w:rsid w:val="008D1A2A"/>
    <w:rsid w:val="008D35D9"/>
    <w:rsid w:val="008D3B85"/>
    <w:rsid w:val="008D462D"/>
    <w:rsid w:val="008D66CA"/>
    <w:rsid w:val="008D69B1"/>
    <w:rsid w:val="008D7338"/>
    <w:rsid w:val="008E0012"/>
    <w:rsid w:val="008E0DF7"/>
    <w:rsid w:val="008E0FAD"/>
    <w:rsid w:val="008E1347"/>
    <w:rsid w:val="008E16E0"/>
    <w:rsid w:val="008E1C15"/>
    <w:rsid w:val="008E1C9A"/>
    <w:rsid w:val="008E28BD"/>
    <w:rsid w:val="008E38B4"/>
    <w:rsid w:val="008E3BA4"/>
    <w:rsid w:val="008E44AB"/>
    <w:rsid w:val="008E5179"/>
    <w:rsid w:val="008E6598"/>
    <w:rsid w:val="008E7214"/>
    <w:rsid w:val="008E7884"/>
    <w:rsid w:val="008E7D6E"/>
    <w:rsid w:val="008F1056"/>
    <w:rsid w:val="008F2E8D"/>
    <w:rsid w:val="008F387B"/>
    <w:rsid w:val="008F3DD9"/>
    <w:rsid w:val="008F4814"/>
    <w:rsid w:val="008F4DA6"/>
    <w:rsid w:val="008F538E"/>
    <w:rsid w:val="008F5A20"/>
    <w:rsid w:val="008F5ABA"/>
    <w:rsid w:val="008F7905"/>
    <w:rsid w:val="008F7989"/>
    <w:rsid w:val="009028E8"/>
    <w:rsid w:val="00902E5C"/>
    <w:rsid w:val="009046E5"/>
    <w:rsid w:val="009047C5"/>
    <w:rsid w:val="00910683"/>
    <w:rsid w:val="00910E00"/>
    <w:rsid w:val="009116CE"/>
    <w:rsid w:val="00911714"/>
    <w:rsid w:val="009136D4"/>
    <w:rsid w:val="00914B9A"/>
    <w:rsid w:val="00914C3F"/>
    <w:rsid w:val="00914E47"/>
    <w:rsid w:val="00914F33"/>
    <w:rsid w:val="00915FCE"/>
    <w:rsid w:val="009168A7"/>
    <w:rsid w:val="00916AFE"/>
    <w:rsid w:val="00916FC8"/>
    <w:rsid w:val="009170D3"/>
    <w:rsid w:val="0091759C"/>
    <w:rsid w:val="00920026"/>
    <w:rsid w:val="009203E2"/>
    <w:rsid w:val="00921304"/>
    <w:rsid w:val="00921805"/>
    <w:rsid w:val="00923396"/>
    <w:rsid w:val="00923F56"/>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7401"/>
    <w:rsid w:val="009376FB"/>
    <w:rsid w:val="00937D6B"/>
    <w:rsid w:val="00940477"/>
    <w:rsid w:val="00940876"/>
    <w:rsid w:val="00940A53"/>
    <w:rsid w:val="00940F3C"/>
    <w:rsid w:val="009410E0"/>
    <w:rsid w:val="00943FBA"/>
    <w:rsid w:val="009444B4"/>
    <w:rsid w:val="00944644"/>
    <w:rsid w:val="00946A24"/>
    <w:rsid w:val="009470D4"/>
    <w:rsid w:val="00947337"/>
    <w:rsid w:val="009512FA"/>
    <w:rsid w:val="00951CA5"/>
    <w:rsid w:val="00951E57"/>
    <w:rsid w:val="00953018"/>
    <w:rsid w:val="009533E2"/>
    <w:rsid w:val="00953554"/>
    <w:rsid w:val="0095385A"/>
    <w:rsid w:val="0095780A"/>
    <w:rsid w:val="009579E4"/>
    <w:rsid w:val="00957AA4"/>
    <w:rsid w:val="00957ACB"/>
    <w:rsid w:val="00957F27"/>
    <w:rsid w:val="00960BDB"/>
    <w:rsid w:val="0096147D"/>
    <w:rsid w:val="00961E5F"/>
    <w:rsid w:val="009625C6"/>
    <w:rsid w:val="009629B5"/>
    <w:rsid w:val="00962A50"/>
    <w:rsid w:val="00964138"/>
    <w:rsid w:val="00964B3F"/>
    <w:rsid w:val="00964C98"/>
    <w:rsid w:val="00966AA7"/>
    <w:rsid w:val="00971441"/>
    <w:rsid w:val="009715D4"/>
    <w:rsid w:val="0097494E"/>
    <w:rsid w:val="00974B58"/>
    <w:rsid w:val="009761ED"/>
    <w:rsid w:val="0098022F"/>
    <w:rsid w:val="009810DE"/>
    <w:rsid w:val="009816F6"/>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B78"/>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BC7"/>
    <w:rsid w:val="009A3CFB"/>
    <w:rsid w:val="009A3D47"/>
    <w:rsid w:val="009A4D63"/>
    <w:rsid w:val="009A5356"/>
    <w:rsid w:val="009A5468"/>
    <w:rsid w:val="009A5D99"/>
    <w:rsid w:val="009A608C"/>
    <w:rsid w:val="009A6FDF"/>
    <w:rsid w:val="009A76D6"/>
    <w:rsid w:val="009B1BA9"/>
    <w:rsid w:val="009B2E29"/>
    <w:rsid w:val="009B3163"/>
    <w:rsid w:val="009B422F"/>
    <w:rsid w:val="009B46BC"/>
    <w:rsid w:val="009B4D1A"/>
    <w:rsid w:val="009B558B"/>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A14"/>
    <w:rsid w:val="009D1E2A"/>
    <w:rsid w:val="009D1FA0"/>
    <w:rsid w:val="009D2BDF"/>
    <w:rsid w:val="009D3736"/>
    <w:rsid w:val="009D4529"/>
    <w:rsid w:val="009D5A99"/>
    <w:rsid w:val="009D604F"/>
    <w:rsid w:val="009D61BB"/>
    <w:rsid w:val="009D6410"/>
    <w:rsid w:val="009D65FF"/>
    <w:rsid w:val="009D68BB"/>
    <w:rsid w:val="009D70C2"/>
    <w:rsid w:val="009D7ADB"/>
    <w:rsid w:val="009D7B33"/>
    <w:rsid w:val="009E0703"/>
    <w:rsid w:val="009E16DA"/>
    <w:rsid w:val="009E1CD4"/>
    <w:rsid w:val="009E2391"/>
    <w:rsid w:val="009E476A"/>
    <w:rsid w:val="009E4E05"/>
    <w:rsid w:val="009E56FF"/>
    <w:rsid w:val="009E5CB1"/>
    <w:rsid w:val="009E5E56"/>
    <w:rsid w:val="009E61EA"/>
    <w:rsid w:val="009E6990"/>
    <w:rsid w:val="009E6FEE"/>
    <w:rsid w:val="009F060F"/>
    <w:rsid w:val="009F0781"/>
    <w:rsid w:val="009F0850"/>
    <w:rsid w:val="009F1BDF"/>
    <w:rsid w:val="009F1EAE"/>
    <w:rsid w:val="009F369D"/>
    <w:rsid w:val="009F36FE"/>
    <w:rsid w:val="009F4F25"/>
    <w:rsid w:val="009F578F"/>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E0"/>
    <w:rsid w:val="00A06E4A"/>
    <w:rsid w:val="00A078FB"/>
    <w:rsid w:val="00A1036D"/>
    <w:rsid w:val="00A1069F"/>
    <w:rsid w:val="00A10ACA"/>
    <w:rsid w:val="00A10D08"/>
    <w:rsid w:val="00A12355"/>
    <w:rsid w:val="00A127D2"/>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7FB6"/>
    <w:rsid w:val="00A30121"/>
    <w:rsid w:val="00A30368"/>
    <w:rsid w:val="00A3043A"/>
    <w:rsid w:val="00A30E02"/>
    <w:rsid w:val="00A30F39"/>
    <w:rsid w:val="00A30F6A"/>
    <w:rsid w:val="00A31C3E"/>
    <w:rsid w:val="00A32F50"/>
    <w:rsid w:val="00A34538"/>
    <w:rsid w:val="00A34677"/>
    <w:rsid w:val="00A3540F"/>
    <w:rsid w:val="00A35630"/>
    <w:rsid w:val="00A35914"/>
    <w:rsid w:val="00A36189"/>
    <w:rsid w:val="00A37E73"/>
    <w:rsid w:val="00A37FB6"/>
    <w:rsid w:val="00A40B76"/>
    <w:rsid w:val="00A4104A"/>
    <w:rsid w:val="00A41081"/>
    <w:rsid w:val="00A411CA"/>
    <w:rsid w:val="00A42096"/>
    <w:rsid w:val="00A426F3"/>
    <w:rsid w:val="00A42FDF"/>
    <w:rsid w:val="00A430A9"/>
    <w:rsid w:val="00A431FE"/>
    <w:rsid w:val="00A439E5"/>
    <w:rsid w:val="00A4497A"/>
    <w:rsid w:val="00A44BE8"/>
    <w:rsid w:val="00A44C96"/>
    <w:rsid w:val="00A44F54"/>
    <w:rsid w:val="00A45F9B"/>
    <w:rsid w:val="00A46574"/>
    <w:rsid w:val="00A500B1"/>
    <w:rsid w:val="00A52EE5"/>
    <w:rsid w:val="00A53037"/>
    <w:rsid w:val="00A532B9"/>
    <w:rsid w:val="00A5351D"/>
    <w:rsid w:val="00A53E79"/>
    <w:rsid w:val="00A54031"/>
    <w:rsid w:val="00A5426D"/>
    <w:rsid w:val="00A54FC2"/>
    <w:rsid w:val="00A55122"/>
    <w:rsid w:val="00A56DE7"/>
    <w:rsid w:val="00A56EDA"/>
    <w:rsid w:val="00A57EB2"/>
    <w:rsid w:val="00A6009E"/>
    <w:rsid w:val="00A60B1F"/>
    <w:rsid w:val="00A61C60"/>
    <w:rsid w:val="00A62589"/>
    <w:rsid w:val="00A62C3A"/>
    <w:rsid w:val="00A63812"/>
    <w:rsid w:val="00A63DF7"/>
    <w:rsid w:val="00A668BA"/>
    <w:rsid w:val="00A66FA7"/>
    <w:rsid w:val="00A67E16"/>
    <w:rsid w:val="00A703CC"/>
    <w:rsid w:val="00A70C5C"/>
    <w:rsid w:val="00A714C9"/>
    <w:rsid w:val="00A71EA7"/>
    <w:rsid w:val="00A730AD"/>
    <w:rsid w:val="00A73855"/>
    <w:rsid w:val="00A73D64"/>
    <w:rsid w:val="00A74216"/>
    <w:rsid w:val="00A744B4"/>
    <w:rsid w:val="00A751E3"/>
    <w:rsid w:val="00A75504"/>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6E0B"/>
    <w:rsid w:val="00A90F12"/>
    <w:rsid w:val="00A93101"/>
    <w:rsid w:val="00A94293"/>
    <w:rsid w:val="00A9496E"/>
    <w:rsid w:val="00A949F0"/>
    <w:rsid w:val="00A94BDE"/>
    <w:rsid w:val="00A94FCA"/>
    <w:rsid w:val="00A95E4C"/>
    <w:rsid w:val="00A96C60"/>
    <w:rsid w:val="00A9740B"/>
    <w:rsid w:val="00A9766C"/>
    <w:rsid w:val="00A977F8"/>
    <w:rsid w:val="00A97C93"/>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724B"/>
    <w:rsid w:val="00AB726C"/>
    <w:rsid w:val="00AB72B4"/>
    <w:rsid w:val="00AC02AA"/>
    <w:rsid w:val="00AC0537"/>
    <w:rsid w:val="00AC0A84"/>
    <w:rsid w:val="00AC2A0B"/>
    <w:rsid w:val="00AC2BEE"/>
    <w:rsid w:val="00AC2E53"/>
    <w:rsid w:val="00AC484F"/>
    <w:rsid w:val="00AC48B7"/>
    <w:rsid w:val="00AC4B20"/>
    <w:rsid w:val="00AC56F2"/>
    <w:rsid w:val="00AC71C3"/>
    <w:rsid w:val="00AD1EFA"/>
    <w:rsid w:val="00AD2072"/>
    <w:rsid w:val="00AD2DBD"/>
    <w:rsid w:val="00AD2FBF"/>
    <w:rsid w:val="00AD455D"/>
    <w:rsid w:val="00AD463C"/>
    <w:rsid w:val="00AD4F60"/>
    <w:rsid w:val="00AD5044"/>
    <w:rsid w:val="00AD5114"/>
    <w:rsid w:val="00AD6236"/>
    <w:rsid w:val="00AD7619"/>
    <w:rsid w:val="00AD7770"/>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0CDF"/>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128"/>
    <w:rsid w:val="00B12735"/>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20209"/>
    <w:rsid w:val="00B203C9"/>
    <w:rsid w:val="00B2088D"/>
    <w:rsid w:val="00B208FF"/>
    <w:rsid w:val="00B2198C"/>
    <w:rsid w:val="00B22E22"/>
    <w:rsid w:val="00B22F5F"/>
    <w:rsid w:val="00B23813"/>
    <w:rsid w:val="00B23FD9"/>
    <w:rsid w:val="00B2411E"/>
    <w:rsid w:val="00B24591"/>
    <w:rsid w:val="00B245D5"/>
    <w:rsid w:val="00B24C36"/>
    <w:rsid w:val="00B24F94"/>
    <w:rsid w:val="00B25126"/>
    <w:rsid w:val="00B25A52"/>
    <w:rsid w:val="00B25FC3"/>
    <w:rsid w:val="00B27875"/>
    <w:rsid w:val="00B3008D"/>
    <w:rsid w:val="00B30E11"/>
    <w:rsid w:val="00B30EEB"/>
    <w:rsid w:val="00B31423"/>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1D39"/>
    <w:rsid w:val="00B422C0"/>
    <w:rsid w:val="00B426CA"/>
    <w:rsid w:val="00B426E1"/>
    <w:rsid w:val="00B43559"/>
    <w:rsid w:val="00B4387A"/>
    <w:rsid w:val="00B44260"/>
    <w:rsid w:val="00B44746"/>
    <w:rsid w:val="00B44854"/>
    <w:rsid w:val="00B4587F"/>
    <w:rsid w:val="00B458D0"/>
    <w:rsid w:val="00B4792C"/>
    <w:rsid w:val="00B50CAE"/>
    <w:rsid w:val="00B512AD"/>
    <w:rsid w:val="00B5196C"/>
    <w:rsid w:val="00B52314"/>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02"/>
    <w:rsid w:val="00B63872"/>
    <w:rsid w:val="00B63CB2"/>
    <w:rsid w:val="00B64246"/>
    <w:rsid w:val="00B64EDB"/>
    <w:rsid w:val="00B65938"/>
    <w:rsid w:val="00B65C8A"/>
    <w:rsid w:val="00B65CE2"/>
    <w:rsid w:val="00B660AD"/>
    <w:rsid w:val="00B66109"/>
    <w:rsid w:val="00B66349"/>
    <w:rsid w:val="00B67630"/>
    <w:rsid w:val="00B67FBF"/>
    <w:rsid w:val="00B72110"/>
    <w:rsid w:val="00B72B91"/>
    <w:rsid w:val="00B72F45"/>
    <w:rsid w:val="00B73019"/>
    <w:rsid w:val="00B7315F"/>
    <w:rsid w:val="00B7323A"/>
    <w:rsid w:val="00B7353B"/>
    <w:rsid w:val="00B737FB"/>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E53"/>
    <w:rsid w:val="00B90A49"/>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1BB0"/>
    <w:rsid w:val="00BC2898"/>
    <w:rsid w:val="00BC2928"/>
    <w:rsid w:val="00BC2BB1"/>
    <w:rsid w:val="00BC34A3"/>
    <w:rsid w:val="00BC3FF9"/>
    <w:rsid w:val="00BC4834"/>
    <w:rsid w:val="00BC4A97"/>
    <w:rsid w:val="00BC5A25"/>
    <w:rsid w:val="00BC5FDD"/>
    <w:rsid w:val="00BC68B4"/>
    <w:rsid w:val="00BC701C"/>
    <w:rsid w:val="00BD0140"/>
    <w:rsid w:val="00BD02CC"/>
    <w:rsid w:val="00BD2063"/>
    <w:rsid w:val="00BD33D9"/>
    <w:rsid w:val="00BD38C5"/>
    <w:rsid w:val="00BD3DEA"/>
    <w:rsid w:val="00BD3E97"/>
    <w:rsid w:val="00BD40E4"/>
    <w:rsid w:val="00BD52FE"/>
    <w:rsid w:val="00BD62CF"/>
    <w:rsid w:val="00BD67B2"/>
    <w:rsid w:val="00BD78FE"/>
    <w:rsid w:val="00BE0149"/>
    <w:rsid w:val="00BE0767"/>
    <w:rsid w:val="00BE12D7"/>
    <w:rsid w:val="00BE1372"/>
    <w:rsid w:val="00BE1775"/>
    <w:rsid w:val="00BE18DA"/>
    <w:rsid w:val="00BE26C0"/>
    <w:rsid w:val="00BE3442"/>
    <w:rsid w:val="00BE47B2"/>
    <w:rsid w:val="00BE48C7"/>
    <w:rsid w:val="00BE4F66"/>
    <w:rsid w:val="00BE5238"/>
    <w:rsid w:val="00BE6074"/>
    <w:rsid w:val="00BE7257"/>
    <w:rsid w:val="00BF020D"/>
    <w:rsid w:val="00BF1DD2"/>
    <w:rsid w:val="00BF23A3"/>
    <w:rsid w:val="00BF2A7E"/>
    <w:rsid w:val="00BF3331"/>
    <w:rsid w:val="00BF3A45"/>
    <w:rsid w:val="00BF436F"/>
    <w:rsid w:val="00BF5C05"/>
    <w:rsid w:val="00BF6FC6"/>
    <w:rsid w:val="00BF7C52"/>
    <w:rsid w:val="00BF7F99"/>
    <w:rsid w:val="00C00713"/>
    <w:rsid w:val="00C009A0"/>
    <w:rsid w:val="00C0163F"/>
    <w:rsid w:val="00C01F74"/>
    <w:rsid w:val="00C02558"/>
    <w:rsid w:val="00C0285F"/>
    <w:rsid w:val="00C02F35"/>
    <w:rsid w:val="00C03305"/>
    <w:rsid w:val="00C03515"/>
    <w:rsid w:val="00C03738"/>
    <w:rsid w:val="00C037A6"/>
    <w:rsid w:val="00C03ED0"/>
    <w:rsid w:val="00C043F5"/>
    <w:rsid w:val="00C044E3"/>
    <w:rsid w:val="00C04BDB"/>
    <w:rsid w:val="00C052C6"/>
    <w:rsid w:val="00C05A61"/>
    <w:rsid w:val="00C06CCF"/>
    <w:rsid w:val="00C1159D"/>
    <w:rsid w:val="00C118DB"/>
    <w:rsid w:val="00C1233E"/>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7DD"/>
    <w:rsid w:val="00C238F4"/>
    <w:rsid w:val="00C23A99"/>
    <w:rsid w:val="00C24309"/>
    <w:rsid w:val="00C245EE"/>
    <w:rsid w:val="00C24AE1"/>
    <w:rsid w:val="00C24B8D"/>
    <w:rsid w:val="00C24BD7"/>
    <w:rsid w:val="00C25813"/>
    <w:rsid w:val="00C27143"/>
    <w:rsid w:val="00C27490"/>
    <w:rsid w:val="00C27D37"/>
    <w:rsid w:val="00C309E8"/>
    <w:rsid w:val="00C32017"/>
    <w:rsid w:val="00C325CD"/>
    <w:rsid w:val="00C3322E"/>
    <w:rsid w:val="00C337F5"/>
    <w:rsid w:val="00C33B90"/>
    <w:rsid w:val="00C34B5F"/>
    <w:rsid w:val="00C358D4"/>
    <w:rsid w:val="00C36785"/>
    <w:rsid w:val="00C3711C"/>
    <w:rsid w:val="00C37256"/>
    <w:rsid w:val="00C37A7B"/>
    <w:rsid w:val="00C37FFE"/>
    <w:rsid w:val="00C401F6"/>
    <w:rsid w:val="00C40B50"/>
    <w:rsid w:val="00C419E3"/>
    <w:rsid w:val="00C419F4"/>
    <w:rsid w:val="00C41E6A"/>
    <w:rsid w:val="00C42247"/>
    <w:rsid w:val="00C439BE"/>
    <w:rsid w:val="00C4539B"/>
    <w:rsid w:val="00C45466"/>
    <w:rsid w:val="00C455C1"/>
    <w:rsid w:val="00C4581D"/>
    <w:rsid w:val="00C462F7"/>
    <w:rsid w:val="00C47472"/>
    <w:rsid w:val="00C500F0"/>
    <w:rsid w:val="00C504A7"/>
    <w:rsid w:val="00C506C9"/>
    <w:rsid w:val="00C50A16"/>
    <w:rsid w:val="00C51BD5"/>
    <w:rsid w:val="00C51C9A"/>
    <w:rsid w:val="00C52C68"/>
    <w:rsid w:val="00C52D98"/>
    <w:rsid w:val="00C53D24"/>
    <w:rsid w:val="00C54640"/>
    <w:rsid w:val="00C547A6"/>
    <w:rsid w:val="00C54A3A"/>
    <w:rsid w:val="00C55C32"/>
    <w:rsid w:val="00C56A67"/>
    <w:rsid w:val="00C56CC2"/>
    <w:rsid w:val="00C57498"/>
    <w:rsid w:val="00C5763C"/>
    <w:rsid w:val="00C5780C"/>
    <w:rsid w:val="00C5796B"/>
    <w:rsid w:val="00C619A1"/>
    <w:rsid w:val="00C62370"/>
    <w:rsid w:val="00C62BBB"/>
    <w:rsid w:val="00C6305F"/>
    <w:rsid w:val="00C6325B"/>
    <w:rsid w:val="00C63E99"/>
    <w:rsid w:val="00C649B8"/>
    <w:rsid w:val="00C64A64"/>
    <w:rsid w:val="00C65151"/>
    <w:rsid w:val="00C657F4"/>
    <w:rsid w:val="00C66119"/>
    <w:rsid w:val="00C66292"/>
    <w:rsid w:val="00C672A3"/>
    <w:rsid w:val="00C672F1"/>
    <w:rsid w:val="00C67304"/>
    <w:rsid w:val="00C673D0"/>
    <w:rsid w:val="00C6742E"/>
    <w:rsid w:val="00C70012"/>
    <w:rsid w:val="00C71E2A"/>
    <w:rsid w:val="00C733BA"/>
    <w:rsid w:val="00C760DC"/>
    <w:rsid w:val="00C8082B"/>
    <w:rsid w:val="00C81A88"/>
    <w:rsid w:val="00C81D46"/>
    <w:rsid w:val="00C82298"/>
    <w:rsid w:val="00C833B4"/>
    <w:rsid w:val="00C84284"/>
    <w:rsid w:val="00C84E33"/>
    <w:rsid w:val="00C85FFC"/>
    <w:rsid w:val="00C861FC"/>
    <w:rsid w:val="00C86C87"/>
    <w:rsid w:val="00C9005E"/>
    <w:rsid w:val="00C90111"/>
    <w:rsid w:val="00C90CA9"/>
    <w:rsid w:val="00C915F2"/>
    <w:rsid w:val="00C917B1"/>
    <w:rsid w:val="00C9193C"/>
    <w:rsid w:val="00C91B77"/>
    <w:rsid w:val="00C920E2"/>
    <w:rsid w:val="00C93765"/>
    <w:rsid w:val="00C93877"/>
    <w:rsid w:val="00C93D8C"/>
    <w:rsid w:val="00C946CC"/>
    <w:rsid w:val="00C959BD"/>
    <w:rsid w:val="00C95B4E"/>
    <w:rsid w:val="00C95F44"/>
    <w:rsid w:val="00C96D1B"/>
    <w:rsid w:val="00C97106"/>
    <w:rsid w:val="00CA0031"/>
    <w:rsid w:val="00CA0413"/>
    <w:rsid w:val="00CA043A"/>
    <w:rsid w:val="00CA1691"/>
    <w:rsid w:val="00CA41E7"/>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93E"/>
    <w:rsid w:val="00CC00CD"/>
    <w:rsid w:val="00CC0579"/>
    <w:rsid w:val="00CC0AF3"/>
    <w:rsid w:val="00CC0BC6"/>
    <w:rsid w:val="00CC0E68"/>
    <w:rsid w:val="00CC21AC"/>
    <w:rsid w:val="00CC2514"/>
    <w:rsid w:val="00CC2F69"/>
    <w:rsid w:val="00CC315F"/>
    <w:rsid w:val="00CC3D38"/>
    <w:rsid w:val="00CC40C3"/>
    <w:rsid w:val="00CC441D"/>
    <w:rsid w:val="00CC4E5D"/>
    <w:rsid w:val="00CC50AE"/>
    <w:rsid w:val="00CC61B7"/>
    <w:rsid w:val="00CC61CA"/>
    <w:rsid w:val="00CC69EC"/>
    <w:rsid w:val="00CC71D3"/>
    <w:rsid w:val="00CC743D"/>
    <w:rsid w:val="00CC76AF"/>
    <w:rsid w:val="00CD050A"/>
    <w:rsid w:val="00CD205D"/>
    <w:rsid w:val="00CD2A22"/>
    <w:rsid w:val="00CD2B50"/>
    <w:rsid w:val="00CD4506"/>
    <w:rsid w:val="00CD520B"/>
    <w:rsid w:val="00CD592E"/>
    <w:rsid w:val="00CD5982"/>
    <w:rsid w:val="00CD5A1A"/>
    <w:rsid w:val="00CD7EFA"/>
    <w:rsid w:val="00CE020E"/>
    <w:rsid w:val="00CE0566"/>
    <w:rsid w:val="00CE1CD4"/>
    <w:rsid w:val="00CE2761"/>
    <w:rsid w:val="00CE314E"/>
    <w:rsid w:val="00CE3D5C"/>
    <w:rsid w:val="00CE3E14"/>
    <w:rsid w:val="00CE44C7"/>
    <w:rsid w:val="00CE53CC"/>
    <w:rsid w:val="00CE62B5"/>
    <w:rsid w:val="00CE65A7"/>
    <w:rsid w:val="00CE68FE"/>
    <w:rsid w:val="00CE69CC"/>
    <w:rsid w:val="00CE6EC4"/>
    <w:rsid w:val="00CE7F26"/>
    <w:rsid w:val="00CF0230"/>
    <w:rsid w:val="00CF1226"/>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22"/>
    <w:rsid w:val="00D058E9"/>
    <w:rsid w:val="00D0612A"/>
    <w:rsid w:val="00D1060D"/>
    <w:rsid w:val="00D10E7C"/>
    <w:rsid w:val="00D11182"/>
    <w:rsid w:val="00D1137B"/>
    <w:rsid w:val="00D11807"/>
    <w:rsid w:val="00D11DB3"/>
    <w:rsid w:val="00D12D82"/>
    <w:rsid w:val="00D1306E"/>
    <w:rsid w:val="00D134CD"/>
    <w:rsid w:val="00D14492"/>
    <w:rsid w:val="00D14B5F"/>
    <w:rsid w:val="00D14E13"/>
    <w:rsid w:val="00D14F23"/>
    <w:rsid w:val="00D16740"/>
    <w:rsid w:val="00D16A8B"/>
    <w:rsid w:val="00D16E39"/>
    <w:rsid w:val="00D17951"/>
    <w:rsid w:val="00D17AD8"/>
    <w:rsid w:val="00D2104A"/>
    <w:rsid w:val="00D21BB5"/>
    <w:rsid w:val="00D21FFC"/>
    <w:rsid w:val="00D223B6"/>
    <w:rsid w:val="00D223E8"/>
    <w:rsid w:val="00D22DC8"/>
    <w:rsid w:val="00D2522A"/>
    <w:rsid w:val="00D2531C"/>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09B"/>
    <w:rsid w:val="00D357F3"/>
    <w:rsid w:val="00D35C0E"/>
    <w:rsid w:val="00D373A8"/>
    <w:rsid w:val="00D379A5"/>
    <w:rsid w:val="00D401BE"/>
    <w:rsid w:val="00D4043A"/>
    <w:rsid w:val="00D40DB0"/>
    <w:rsid w:val="00D41858"/>
    <w:rsid w:val="00D422DB"/>
    <w:rsid w:val="00D42AC2"/>
    <w:rsid w:val="00D42BFE"/>
    <w:rsid w:val="00D4498E"/>
    <w:rsid w:val="00D44D29"/>
    <w:rsid w:val="00D4515F"/>
    <w:rsid w:val="00D451E8"/>
    <w:rsid w:val="00D466C9"/>
    <w:rsid w:val="00D47275"/>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7BC7"/>
    <w:rsid w:val="00D701F1"/>
    <w:rsid w:val="00D705D3"/>
    <w:rsid w:val="00D70E00"/>
    <w:rsid w:val="00D715AC"/>
    <w:rsid w:val="00D71851"/>
    <w:rsid w:val="00D718CF"/>
    <w:rsid w:val="00D728F5"/>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6C2F"/>
    <w:rsid w:val="00D8711B"/>
    <w:rsid w:val="00D87384"/>
    <w:rsid w:val="00D90683"/>
    <w:rsid w:val="00D915C8"/>
    <w:rsid w:val="00D9310B"/>
    <w:rsid w:val="00D93726"/>
    <w:rsid w:val="00D93F3E"/>
    <w:rsid w:val="00D9405B"/>
    <w:rsid w:val="00D94942"/>
    <w:rsid w:val="00D95145"/>
    <w:rsid w:val="00D967CB"/>
    <w:rsid w:val="00D96EE0"/>
    <w:rsid w:val="00D97BD1"/>
    <w:rsid w:val="00DA06B8"/>
    <w:rsid w:val="00DA0BB3"/>
    <w:rsid w:val="00DA18EE"/>
    <w:rsid w:val="00DA286D"/>
    <w:rsid w:val="00DA2969"/>
    <w:rsid w:val="00DA29B7"/>
    <w:rsid w:val="00DA41C6"/>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E46"/>
    <w:rsid w:val="00DB6F28"/>
    <w:rsid w:val="00DB7117"/>
    <w:rsid w:val="00DB7760"/>
    <w:rsid w:val="00DB7DD4"/>
    <w:rsid w:val="00DB7EE2"/>
    <w:rsid w:val="00DC00B4"/>
    <w:rsid w:val="00DC0954"/>
    <w:rsid w:val="00DC15BA"/>
    <w:rsid w:val="00DC18CD"/>
    <w:rsid w:val="00DC1A68"/>
    <w:rsid w:val="00DC30B8"/>
    <w:rsid w:val="00DC478F"/>
    <w:rsid w:val="00DC62E5"/>
    <w:rsid w:val="00DC6F33"/>
    <w:rsid w:val="00DC7349"/>
    <w:rsid w:val="00DD14D8"/>
    <w:rsid w:val="00DD1599"/>
    <w:rsid w:val="00DD1B03"/>
    <w:rsid w:val="00DD2A62"/>
    <w:rsid w:val="00DD2F2F"/>
    <w:rsid w:val="00DD2F7A"/>
    <w:rsid w:val="00DD3885"/>
    <w:rsid w:val="00DD5808"/>
    <w:rsid w:val="00DD5946"/>
    <w:rsid w:val="00DD5B04"/>
    <w:rsid w:val="00DD5DAE"/>
    <w:rsid w:val="00DD5EC6"/>
    <w:rsid w:val="00DD605F"/>
    <w:rsid w:val="00DD72A0"/>
    <w:rsid w:val="00DD735D"/>
    <w:rsid w:val="00DE0159"/>
    <w:rsid w:val="00DE064A"/>
    <w:rsid w:val="00DE082D"/>
    <w:rsid w:val="00DE1410"/>
    <w:rsid w:val="00DE3119"/>
    <w:rsid w:val="00DE3FF0"/>
    <w:rsid w:val="00DE4105"/>
    <w:rsid w:val="00DE5189"/>
    <w:rsid w:val="00DE7108"/>
    <w:rsid w:val="00DE78D1"/>
    <w:rsid w:val="00DF0263"/>
    <w:rsid w:val="00DF0EB4"/>
    <w:rsid w:val="00DF1E36"/>
    <w:rsid w:val="00DF236B"/>
    <w:rsid w:val="00DF2A91"/>
    <w:rsid w:val="00DF3889"/>
    <w:rsid w:val="00DF3CC9"/>
    <w:rsid w:val="00DF4451"/>
    <w:rsid w:val="00DF49FF"/>
    <w:rsid w:val="00DF4FFB"/>
    <w:rsid w:val="00DF5236"/>
    <w:rsid w:val="00DF5349"/>
    <w:rsid w:val="00DF651F"/>
    <w:rsid w:val="00DF6E10"/>
    <w:rsid w:val="00DF6F43"/>
    <w:rsid w:val="00DF752F"/>
    <w:rsid w:val="00DF76A2"/>
    <w:rsid w:val="00DF775C"/>
    <w:rsid w:val="00E00B7A"/>
    <w:rsid w:val="00E02186"/>
    <w:rsid w:val="00E026BB"/>
    <w:rsid w:val="00E027C5"/>
    <w:rsid w:val="00E03124"/>
    <w:rsid w:val="00E03951"/>
    <w:rsid w:val="00E03DB8"/>
    <w:rsid w:val="00E05E70"/>
    <w:rsid w:val="00E064BC"/>
    <w:rsid w:val="00E07225"/>
    <w:rsid w:val="00E109DD"/>
    <w:rsid w:val="00E11229"/>
    <w:rsid w:val="00E114CA"/>
    <w:rsid w:val="00E122F6"/>
    <w:rsid w:val="00E1397F"/>
    <w:rsid w:val="00E13AB8"/>
    <w:rsid w:val="00E1482E"/>
    <w:rsid w:val="00E1638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3044A"/>
    <w:rsid w:val="00E31A4A"/>
    <w:rsid w:val="00E3344A"/>
    <w:rsid w:val="00E33B29"/>
    <w:rsid w:val="00E33B62"/>
    <w:rsid w:val="00E3403D"/>
    <w:rsid w:val="00E34D03"/>
    <w:rsid w:val="00E34E6C"/>
    <w:rsid w:val="00E353E2"/>
    <w:rsid w:val="00E35B47"/>
    <w:rsid w:val="00E36345"/>
    <w:rsid w:val="00E36C86"/>
    <w:rsid w:val="00E36CEB"/>
    <w:rsid w:val="00E37A28"/>
    <w:rsid w:val="00E40430"/>
    <w:rsid w:val="00E40690"/>
    <w:rsid w:val="00E40AEB"/>
    <w:rsid w:val="00E4143A"/>
    <w:rsid w:val="00E424C8"/>
    <w:rsid w:val="00E4251D"/>
    <w:rsid w:val="00E43D00"/>
    <w:rsid w:val="00E445E4"/>
    <w:rsid w:val="00E457CB"/>
    <w:rsid w:val="00E457DD"/>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C0B"/>
    <w:rsid w:val="00E55FF1"/>
    <w:rsid w:val="00E56090"/>
    <w:rsid w:val="00E565B9"/>
    <w:rsid w:val="00E5733B"/>
    <w:rsid w:val="00E5756C"/>
    <w:rsid w:val="00E601BE"/>
    <w:rsid w:val="00E60B5F"/>
    <w:rsid w:val="00E613AE"/>
    <w:rsid w:val="00E61429"/>
    <w:rsid w:val="00E61ABB"/>
    <w:rsid w:val="00E61FD7"/>
    <w:rsid w:val="00E623E6"/>
    <w:rsid w:val="00E62D42"/>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71C"/>
    <w:rsid w:val="00E7498A"/>
    <w:rsid w:val="00E75068"/>
    <w:rsid w:val="00E7514E"/>
    <w:rsid w:val="00E77AF5"/>
    <w:rsid w:val="00E81F37"/>
    <w:rsid w:val="00E823F9"/>
    <w:rsid w:val="00E82C1F"/>
    <w:rsid w:val="00E83671"/>
    <w:rsid w:val="00E84A71"/>
    <w:rsid w:val="00E85D5D"/>
    <w:rsid w:val="00E86556"/>
    <w:rsid w:val="00E86D35"/>
    <w:rsid w:val="00E86DC2"/>
    <w:rsid w:val="00E86E32"/>
    <w:rsid w:val="00E8732E"/>
    <w:rsid w:val="00E9011F"/>
    <w:rsid w:val="00E906EB"/>
    <w:rsid w:val="00E9241E"/>
    <w:rsid w:val="00E92460"/>
    <w:rsid w:val="00E92E62"/>
    <w:rsid w:val="00E93804"/>
    <w:rsid w:val="00E95434"/>
    <w:rsid w:val="00E96467"/>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63EF"/>
    <w:rsid w:val="00EA6750"/>
    <w:rsid w:val="00EB0A89"/>
    <w:rsid w:val="00EB1573"/>
    <w:rsid w:val="00EB1910"/>
    <w:rsid w:val="00EB2E97"/>
    <w:rsid w:val="00EB3416"/>
    <w:rsid w:val="00EB4AE1"/>
    <w:rsid w:val="00EB52F4"/>
    <w:rsid w:val="00EB5694"/>
    <w:rsid w:val="00EB5779"/>
    <w:rsid w:val="00EB67F1"/>
    <w:rsid w:val="00EB72CD"/>
    <w:rsid w:val="00EB749A"/>
    <w:rsid w:val="00EB76B6"/>
    <w:rsid w:val="00EB7D8A"/>
    <w:rsid w:val="00EC05E2"/>
    <w:rsid w:val="00EC0B29"/>
    <w:rsid w:val="00EC0E84"/>
    <w:rsid w:val="00EC16E2"/>
    <w:rsid w:val="00EC1CE7"/>
    <w:rsid w:val="00EC26F1"/>
    <w:rsid w:val="00EC3C94"/>
    <w:rsid w:val="00EC44DF"/>
    <w:rsid w:val="00EC4FB9"/>
    <w:rsid w:val="00EC51F7"/>
    <w:rsid w:val="00EC5393"/>
    <w:rsid w:val="00EC5741"/>
    <w:rsid w:val="00EC5DA3"/>
    <w:rsid w:val="00EC6014"/>
    <w:rsid w:val="00EC6B3E"/>
    <w:rsid w:val="00EC73DE"/>
    <w:rsid w:val="00EC7637"/>
    <w:rsid w:val="00EC7CF2"/>
    <w:rsid w:val="00ED046C"/>
    <w:rsid w:val="00ED053A"/>
    <w:rsid w:val="00ED1F03"/>
    <w:rsid w:val="00ED2D27"/>
    <w:rsid w:val="00ED3347"/>
    <w:rsid w:val="00ED3954"/>
    <w:rsid w:val="00ED43A2"/>
    <w:rsid w:val="00ED4967"/>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68"/>
    <w:rsid w:val="00EE366D"/>
    <w:rsid w:val="00EE5454"/>
    <w:rsid w:val="00EE58B8"/>
    <w:rsid w:val="00EE59B5"/>
    <w:rsid w:val="00EE5FB7"/>
    <w:rsid w:val="00EE61C5"/>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1E67"/>
    <w:rsid w:val="00F02744"/>
    <w:rsid w:val="00F02BFD"/>
    <w:rsid w:val="00F02D25"/>
    <w:rsid w:val="00F0435D"/>
    <w:rsid w:val="00F0449E"/>
    <w:rsid w:val="00F04580"/>
    <w:rsid w:val="00F04ECA"/>
    <w:rsid w:val="00F05A13"/>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13A0"/>
    <w:rsid w:val="00F21A51"/>
    <w:rsid w:val="00F21D54"/>
    <w:rsid w:val="00F21EF4"/>
    <w:rsid w:val="00F23113"/>
    <w:rsid w:val="00F23255"/>
    <w:rsid w:val="00F23393"/>
    <w:rsid w:val="00F23759"/>
    <w:rsid w:val="00F23E7A"/>
    <w:rsid w:val="00F24644"/>
    <w:rsid w:val="00F26F33"/>
    <w:rsid w:val="00F300A8"/>
    <w:rsid w:val="00F30400"/>
    <w:rsid w:val="00F3079E"/>
    <w:rsid w:val="00F32559"/>
    <w:rsid w:val="00F3399B"/>
    <w:rsid w:val="00F34147"/>
    <w:rsid w:val="00F346ED"/>
    <w:rsid w:val="00F34945"/>
    <w:rsid w:val="00F34E1E"/>
    <w:rsid w:val="00F3570C"/>
    <w:rsid w:val="00F368FF"/>
    <w:rsid w:val="00F37068"/>
    <w:rsid w:val="00F370FA"/>
    <w:rsid w:val="00F37F3F"/>
    <w:rsid w:val="00F40992"/>
    <w:rsid w:val="00F41596"/>
    <w:rsid w:val="00F41D8B"/>
    <w:rsid w:val="00F42121"/>
    <w:rsid w:val="00F424B3"/>
    <w:rsid w:val="00F428B1"/>
    <w:rsid w:val="00F428B4"/>
    <w:rsid w:val="00F4345D"/>
    <w:rsid w:val="00F4387B"/>
    <w:rsid w:val="00F45B91"/>
    <w:rsid w:val="00F46639"/>
    <w:rsid w:val="00F46692"/>
    <w:rsid w:val="00F479EC"/>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23E5"/>
    <w:rsid w:val="00F624A7"/>
    <w:rsid w:val="00F62AB6"/>
    <w:rsid w:val="00F65A3C"/>
    <w:rsid w:val="00F66282"/>
    <w:rsid w:val="00F67D8B"/>
    <w:rsid w:val="00F70961"/>
    <w:rsid w:val="00F70A8F"/>
    <w:rsid w:val="00F71397"/>
    <w:rsid w:val="00F72389"/>
    <w:rsid w:val="00F72516"/>
    <w:rsid w:val="00F72F64"/>
    <w:rsid w:val="00F72FB4"/>
    <w:rsid w:val="00F735E5"/>
    <w:rsid w:val="00F73E80"/>
    <w:rsid w:val="00F7469C"/>
    <w:rsid w:val="00F7492E"/>
    <w:rsid w:val="00F74945"/>
    <w:rsid w:val="00F749A3"/>
    <w:rsid w:val="00F74A04"/>
    <w:rsid w:val="00F74AE8"/>
    <w:rsid w:val="00F76C11"/>
    <w:rsid w:val="00F77021"/>
    <w:rsid w:val="00F77E61"/>
    <w:rsid w:val="00F815AC"/>
    <w:rsid w:val="00F83B33"/>
    <w:rsid w:val="00F83CAE"/>
    <w:rsid w:val="00F840BF"/>
    <w:rsid w:val="00F8427A"/>
    <w:rsid w:val="00F843DF"/>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89C"/>
    <w:rsid w:val="00F93DBC"/>
    <w:rsid w:val="00F93E41"/>
    <w:rsid w:val="00F94644"/>
    <w:rsid w:val="00F9537B"/>
    <w:rsid w:val="00F963FC"/>
    <w:rsid w:val="00FA015F"/>
    <w:rsid w:val="00FA0FAC"/>
    <w:rsid w:val="00FA1DA2"/>
    <w:rsid w:val="00FA3414"/>
    <w:rsid w:val="00FA347A"/>
    <w:rsid w:val="00FA3CDE"/>
    <w:rsid w:val="00FA42B6"/>
    <w:rsid w:val="00FA49B7"/>
    <w:rsid w:val="00FA5043"/>
    <w:rsid w:val="00FA6F8B"/>
    <w:rsid w:val="00FA7A30"/>
    <w:rsid w:val="00FB033F"/>
    <w:rsid w:val="00FB11E8"/>
    <w:rsid w:val="00FB12E3"/>
    <w:rsid w:val="00FB1570"/>
    <w:rsid w:val="00FB193B"/>
    <w:rsid w:val="00FB1CCD"/>
    <w:rsid w:val="00FB1FBC"/>
    <w:rsid w:val="00FB27B7"/>
    <w:rsid w:val="00FB35E3"/>
    <w:rsid w:val="00FB583C"/>
    <w:rsid w:val="00FB630E"/>
    <w:rsid w:val="00FB6738"/>
    <w:rsid w:val="00FB691B"/>
    <w:rsid w:val="00FB731C"/>
    <w:rsid w:val="00FC05A0"/>
    <w:rsid w:val="00FC0811"/>
    <w:rsid w:val="00FC1196"/>
    <w:rsid w:val="00FC15EB"/>
    <w:rsid w:val="00FC18DC"/>
    <w:rsid w:val="00FC2AC4"/>
    <w:rsid w:val="00FC2F73"/>
    <w:rsid w:val="00FC3380"/>
    <w:rsid w:val="00FC3A9B"/>
    <w:rsid w:val="00FC3AE1"/>
    <w:rsid w:val="00FC3DFC"/>
    <w:rsid w:val="00FC3EF4"/>
    <w:rsid w:val="00FC431B"/>
    <w:rsid w:val="00FC434C"/>
    <w:rsid w:val="00FC4FDF"/>
    <w:rsid w:val="00FC585C"/>
    <w:rsid w:val="00FC5CF4"/>
    <w:rsid w:val="00FC6A39"/>
    <w:rsid w:val="00FC79AB"/>
    <w:rsid w:val="00FC7BE7"/>
    <w:rsid w:val="00FC7DAC"/>
    <w:rsid w:val="00FD04AE"/>
    <w:rsid w:val="00FD1890"/>
    <w:rsid w:val="00FD1994"/>
    <w:rsid w:val="00FD3508"/>
    <w:rsid w:val="00FD393C"/>
    <w:rsid w:val="00FD43BB"/>
    <w:rsid w:val="00FD4AF3"/>
    <w:rsid w:val="00FD798D"/>
    <w:rsid w:val="00FD7FB9"/>
    <w:rsid w:val="00FE141E"/>
    <w:rsid w:val="00FE144E"/>
    <w:rsid w:val="00FE1768"/>
    <w:rsid w:val="00FE24F4"/>
    <w:rsid w:val="00FE2560"/>
    <w:rsid w:val="00FE35D0"/>
    <w:rsid w:val="00FE41AC"/>
    <w:rsid w:val="00FE42ED"/>
    <w:rsid w:val="00FE55A7"/>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6095"/>
    <w:rsid w:val="00FF62FE"/>
    <w:rsid w:val="00FF6553"/>
    <w:rsid w:val="00FF7A39"/>
    <w:rsid w:val="13AB2C35"/>
    <w:rsid w:val="15B591B8"/>
    <w:rsid w:val="26F6049B"/>
    <w:rsid w:val="308E9830"/>
    <w:rsid w:val="3D53F2DB"/>
    <w:rsid w:val="5318225E"/>
    <w:rsid w:val="5510E31B"/>
    <w:rsid w:val="7C043C2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3" w:customStyle="1">
    <w:name w:val="Mención sin resolver3"/>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966AA7"/>
  </w:style>
  <w:style w:type="character" w:styleId="superscript" w:customStyle="1">
    <w:name w:val="superscript"/>
    <w:basedOn w:val="Fuentedeprrafopredeter"/>
    <w:rsid w:val="006523F2"/>
  </w:style>
  <w:style w:type="paragraph" w:styleId="Car1" w:customStyle="1">
    <w:name w:val="Car1"/>
    <w:basedOn w:val="Normal"/>
    <w:next w:val="Textonotapie"/>
    <w:uiPriority w:val="99"/>
    <w:unhideWhenUsed/>
    <w:qFormat/>
    <w:rsid w:val="009A3BC7"/>
    <w:rPr>
      <w:rFonts w:asciiTheme="minorHAnsi" w:hAnsiTheme="minorHAnsi" w:eastAsiaTheme="minorHAnsi" w:cstheme="minorBid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6908513">
      <w:bodyDiv w:val="1"/>
      <w:marLeft w:val="0"/>
      <w:marRight w:val="0"/>
      <w:marTop w:val="0"/>
      <w:marBottom w:val="0"/>
      <w:divBdr>
        <w:top w:val="none" w:sz="0" w:space="0" w:color="auto"/>
        <w:left w:val="none" w:sz="0" w:space="0" w:color="auto"/>
        <w:bottom w:val="none" w:sz="0" w:space="0" w:color="auto"/>
        <w:right w:val="none" w:sz="0" w:space="0" w:color="auto"/>
      </w:divBdr>
      <w:divsChild>
        <w:div w:id="542525066">
          <w:marLeft w:val="0"/>
          <w:marRight w:val="0"/>
          <w:marTop w:val="0"/>
          <w:marBottom w:val="0"/>
          <w:divBdr>
            <w:top w:val="none" w:sz="0" w:space="0" w:color="auto"/>
            <w:left w:val="none" w:sz="0" w:space="0" w:color="auto"/>
            <w:bottom w:val="none" w:sz="0" w:space="0" w:color="auto"/>
            <w:right w:val="none" w:sz="0" w:space="0" w:color="auto"/>
          </w:divBdr>
        </w:div>
        <w:div w:id="981614986">
          <w:marLeft w:val="0"/>
          <w:marRight w:val="0"/>
          <w:marTop w:val="0"/>
          <w:marBottom w:val="0"/>
          <w:divBdr>
            <w:top w:val="none" w:sz="0" w:space="0" w:color="auto"/>
            <w:left w:val="none" w:sz="0" w:space="0" w:color="auto"/>
            <w:bottom w:val="none" w:sz="0" w:space="0" w:color="auto"/>
            <w:right w:val="none" w:sz="0" w:space="0" w:color="auto"/>
          </w:divBdr>
        </w:div>
        <w:div w:id="1652715326">
          <w:marLeft w:val="0"/>
          <w:marRight w:val="0"/>
          <w:marTop w:val="0"/>
          <w:marBottom w:val="0"/>
          <w:divBdr>
            <w:top w:val="none" w:sz="0" w:space="0" w:color="auto"/>
            <w:left w:val="none" w:sz="0" w:space="0" w:color="auto"/>
            <w:bottom w:val="none" w:sz="0" w:space="0" w:color="auto"/>
            <w:right w:val="none" w:sz="0" w:space="0" w:color="auto"/>
          </w:divBdr>
        </w:div>
        <w:div w:id="911547665">
          <w:marLeft w:val="0"/>
          <w:marRight w:val="0"/>
          <w:marTop w:val="0"/>
          <w:marBottom w:val="0"/>
          <w:divBdr>
            <w:top w:val="none" w:sz="0" w:space="0" w:color="auto"/>
            <w:left w:val="none" w:sz="0" w:space="0" w:color="auto"/>
            <w:bottom w:val="none" w:sz="0" w:space="0" w:color="auto"/>
            <w:right w:val="none" w:sz="0" w:space="0" w:color="auto"/>
          </w:divBdr>
        </w:div>
        <w:div w:id="373888109">
          <w:marLeft w:val="0"/>
          <w:marRight w:val="0"/>
          <w:marTop w:val="0"/>
          <w:marBottom w:val="0"/>
          <w:divBdr>
            <w:top w:val="none" w:sz="0" w:space="0" w:color="auto"/>
            <w:left w:val="none" w:sz="0" w:space="0" w:color="auto"/>
            <w:bottom w:val="none" w:sz="0" w:space="0" w:color="auto"/>
            <w:right w:val="none" w:sz="0" w:space="0" w:color="auto"/>
          </w:divBdr>
        </w:div>
        <w:div w:id="454979945">
          <w:marLeft w:val="0"/>
          <w:marRight w:val="0"/>
          <w:marTop w:val="0"/>
          <w:marBottom w:val="0"/>
          <w:divBdr>
            <w:top w:val="none" w:sz="0" w:space="0" w:color="auto"/>
            <w:left w:val="none" w:sz="0" w:space="0" w:color="auto"/>
            <w:bottom w:val="none" w:sz="0" w:space="0" w:color="auto"/>
            <w:right w:val="none" w:sz="0" w:space="0" w:color="auto"/>
          </w:divBdr>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4481">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330080">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7.png" Id="Ra6122f97b2ab4af4" /></Relationships>
</file>

<file path=word/_rels/footer1.xml.rels>&#65279;<?xml version="1.0" encoding="utf-8"?><Relationships xmlns="http://schemas.openxmlformats.org/package/2006/relationships"><Relationship Type="http://schemas.openxmlformats.org/officeDocument/2006/relationships/image" Target="/media/image8.png" Id="Rc6a8922d59d9404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3178348-BC29-4156-AE84-5D8902D3569A}">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Tatiana Baquero Iguaran</lastModifiedBy>
  <revision>7</revision>
  <lastPrinted>2020-01-30T15:05:00.0000000Z</lastPrinted>
  <dcterms:created xsi:type="dcterms:W3CDTF">2021-03-24T01:05:00.0000000Z</dcterms:created>
  <dcterms:modified xsi:type="dcterms:W3CDTF">2021-03-25T15:08:26.3679620Z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