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9F05AC"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3038BC">
        <w:rPr>
          <w:rFonts w:ascii="Arial" w:hAnsi="Arial" w:cs="Arial"/>
          <w:b/>
          <w:color w:val="000000" w:themeColor="text1"/>
          <w:sz w:val="20"/>
          <w:szCs w:val="20"/>
          <w:lang w:val="es-ES" w:eastAsia="es-ES"/>
        </w:rPr>
        <w:tab/>
      </w:r>
      <w:r w:rsidRPr="009F05AC">
        <w:rPr>
          <w:rFonts w:ascii="Arial" w:hAnsi="Arial" w:cs="Arial"/>
          <w:bCs/>
          <w:color w:val="000000" w:themeColor="text1"/>
          <w:sz w:val="20"/>
          <w:szCs w:val="20"/>
          <w:lang w:val="es-ES" w:eastAsia="es-ES"/>
        </w:rPr>
        <w:t>CCE-DES-FM-17</w:t>
      </w:r>
    </w:p>
    <w:p w14:paraId="31E38158" w14:textId="6F4F3A4A" w:rsidR="001659D1" w:rsidRPr="009F05AC" w:rsidRDefault="001639F7" w:rsidP="00E928A5">
      <w:pPr>
        <w:jc w:val="both"/>
        <w:rPr>
          <w:rFonts w:ascii="Arial" w:eastAsia="Calibri" w:hAnsi="Arial" w:cs="Arial"/>
          <w:b/>
          <w:color w:val="000000" w:themeColor="text1"/>
          <w:sz w:val="22"/>
          <w:lang w:val="es-ES_tradnl"/>
        </w:rPr>
      </w:pPr>
      <w:r w:rsidRPr="009F05AC">
        <w:rPr>
          <w:rFonts w:ascii="Arial" w:eastAsia="Calibri" w:hAnsi="Arial" w:cs="Arial"/>
          <w:b/>
          <w:color w:val="000000" w:themeColor="text1"/>
          <w:sz w:val="22"/>
          <w:lang w:val="es-ES_tradnl"/>
        </w:rPr>
        <w:t>ADMINISTRACIÓN PÚBLICA – Estructura – Aspectos Generales – Descentralización y desconcentración</w:t>
      </w:r>
    </w:p>
    <w:p w14:paraId="4D7C189A" w14:textId="77777777" w:rsidR="001639F7" w:rsidRPr="009F05AC" w:rsidRDefault="001639F7" w:rsidP="00E928A5">
      <w:pPr>
        <w:jc w:val="both"/>
        <w:rPr>
          <w:rFonts w:ascii="Arial" w:hAnsi="Arial" w:cs="Arial"/>
          <w:b/>
          <w:bCs/>
          <w:color w:val="000000" w:themeColor="text1"/>
          <w:sz w:val="22"/>
          <w:lang w:val="es-ES"/>
        </w:rPr>
      </w:pPr>
    </w:p>
    <w:p w14:paraId="04C345D7" w14:textId="19B670D9" w:rsidR="009F52EF" w:rsidRDefault="001639F7" w:rsidP="00BE1984">
      <w:pPr>
        <w:jc w:val="both"/>
        <w:rPr>
          <w:rFonts w:ascii="Arial" w:hAnsi="Arial" w:cs="Arial"/>
          <w:bCs/>
          <w:color w:val="000000" w:themeColor="text1"/>
          <w:sz w:val="20"/>
          <w:szCs w:val="20"/>
          <w:lang w:val="es-ES"/>
        </w:rPr>
      </w:pPr>
      <w:r w:rsidRPr="009F05AC">
        <w:rPr>
          <w:rFonts w:ascii="Arial" w:hAnsi="Arial" w:cs="Arial"/>
          <w:bCs/>
          <w:color w:val="000000" w:themeColor="text1"/>
          <w:sz w:val="20"/>
          <w:szCs w:val="20"/>
          <w:lang w:val="es-ES"/>
        </w:rPr>
        <w:t xml:space="preserve">Las figuras </w:t>
      </w:r>
      <w:r w:rsidR="00BE1984" w:rsidRPr="00BE1984">
        <w:rPr>
          <w:rFonts w:ascii="Arial" w:hAnsi="Arial" w:cs="Arial"/>
          <w:bCs/>
          <w:color w:val="000000" w:themeColor="text1"/>
          <w:sz w:val="20"/>
          <w:szCs w:val="20"/>
          <w:lang w:val="es-ES"/>
        </w:rPr>
        <w:t>contempladas por el artículo 209 constitucional, estas</w:t>
      </w:r>
      <w:r w:rsidR="00BE1984">
        <w:rPr>
          <w:rFonts w:ascii="Arial" w:hAnsi="Arial" w:cs="Arial"/>
          <w:bCs/>
          <w:color w:val="000000" w:themeColor="text1"/>
          <w:sz w:val="20"/>
          <w:szCs w:val="20"/>
          <w:lang w:val="es-ES"/>
        </w:rPr>
        <w:t xml:space="preserve"> </w:t>
      </w:r>
      <w:r w:rsidR="00BE1984" w:rsidRPr="00BE1984">
        <w:rPr>
          <w:rFonts w:ascii="Arial" w:hAnsi="Arial" w:cs="Arial"/>
          <w:bCs/>
          <w:color w:val="000000" w:themeColor="text1"/>
          <w:sz w:val="20"/>
          <w:szCs w:val="20"/>
          <w:lang w:val="es-ES"/>
        </w:rPr>
        <w:t>implican la transferencia de la competencia administrativa desde diferentes perspectivas.</w:t>
      </w:r>
      <w:r w:rsidR="00BE1984">
        <w:rPr>
          <w:rFonts w:ascii="Arial" w:hAnsi="Arial" w:cs="Arial"/>
          <w:bCs/>
          <w:color w:val="000000" w:themeColor="text1"/>
          <w:sz w:val="20"/>
          <w:szCs w:val="20"/>
          <w:lang w:val="es-ES"/>
        </w:rPr>
        <w:t xml:space="preserve"> </w:t>
      </w:r>
      <w:r w:rsidR="00BE1984" w:rsidRPr="00BE1984">
        <w:rPr>
          <w:rFonts w:ascii="Arial" w:hAnsi="Arial" w:cs="Arial"/>
          <w:bCs/>
          <w:color w:val="000000" w:themeColor="text1"/>
          <w:sz w:val="20"/>
          <w:szCs w:val="20"/>
          <w:lang w:val="es-ES"/>
        </w:rPr>
        <w:t>Al respecto, entre otras normas, la Ley 489 de 1998 reguló el ejercicio de la función</w:t>
      </w:r>
      <w:r w:rsidR="00BE1984">
        <w:rPr>
          <w:rFonts w:ascii="Arial" w:hAnsi="Arial" w:cs="Arial"/>
          <w:bCs/>
          <w:color w:val="000000" w:themeColor="text1"/>
          <w:sz w:val="20"/>
          <w:szCs w:val="20"/>
          <w:lang w:val="es-ES"/>
        </w:rPr>
        <w:t xml:space="preserve"> </w:t>
      </w:r>
      <w:r w:rsidR="00BE1984" w:rsidRPr="00BE1984">
        <w:rPr>
          <w:rFonts w:ascii="Arial" w:hAnsi="Arial" w:cs="Arial"/>
          <w:bCs/>
          <w:color w:val="000000" w:themeColor="text1"/>
          <w:sz w:val="20"/>
          <w:szCs w:val="20"/>
          <w:lang w:val="es-ES"/>
        </w:rPr>
        <w:t>administrativa, determinando y estructurando los principios y reglas básicas de su</w:t>
      </w:r>
      <w:r w:rsidR="008C0356">
        <w:rPr>
          <w:rFonts w:ascii="Arial" w:hAnsi="Arial" w:cs="Arial"/>
          <w:bCs/>
          <w:color w:val="000000" w:themeColor="text1"/>
          <w:sz w:val="20"/>
          <w:szCs w:val="20"/>
          <w:lang w:val="es-ES"/>
        </w:rPr>
        <w:t xml:space="preserve"> organización. </w:t>
      </w:r>
    </w:p>
    <w:p w14:paraId="0713F2A7" w14:textId="77777777" w:rsidR="000D1801" w:rsidRDefault="000D1801" w:rsidP="00BE1984">
      <w:pPr>
        <w:jc w:val="both"/>
        <w:rPr>
          <w:rFonts w:ascii="Arial" w:hAnsi="Arial" w:cs="Arial"/>
          <w:bCs/>
          <w:color w:val="000000" w:themeColor="text1"/>
          <w:sz w:val="20"/>
          <w:szCs w:val="20"/>
          <w:lang w:val="es-ES"/>
        </w:rPr>
      </w:pPr>
    </w:p>
    <w:p w14:paraId="5DA4DD55" w14:textId="125E9FCC" w:rsidR="00F77DA0" w:rsidRPr="009F05AC" w:rsidRDefault="00F77DA0" w:rsidP="004721EB">
      <w:pPr>
        <w:jc w:val="both"/>
        <w:rPr>
          <w:rFonts w:ascii="Arial" w:hAnsi="Arial" w:cs="Arial"/>
          <w:bCs/>
          <w:color w:val="000000" w:themeColor="text1"/>
          <w:sz w:val="20"/>
          <w:szCs w:val="20"/>
          <w:lang w:val="es-ES"/>
        </w:rPr>
      </w:pPr>
      <w:r>
        <w:rPr>
          <w:rFonts w:ascii="Arial" w:hAnsi="Arial" w:cs="Arial"/>
          <w:bCs/>
          <w:color w:val="000000" w:themeColor="text1"/>
          <w:sz w:val="20"/>
          <w:szCs w:val="20"/>
          <w:lang w:val="es-ES"/>
        </w:rPr>
        <w:t>A</w:t>
      </w:r>
      <w:r w:rsidRPr="00F77DA0">
        <w:rPr>
          <w:rFonts w:ascii="Arial" w:hAnsi="Arial" w:cs="Arial"/>
          <w:bCs/>
          <w:color w:val="000000" w:themeColor="text1"/>
          <w:sz w:val="20"/>
          <w:szCs w:val="20"/>
          <w:lang w:val="es-ES"/>
        </w:rPr>
        <w:t xml:space="preserve"> través de la descentralización , el nivel central del poder público transfiere</w:t>
      </w:r>
      <w:r>
        <w:rPr>
          <w:rFonts w:ascii="Arial" w:hAnsi="Arial" w:cs="Arial"/>
          <w:bCs/>
          <w:color w:val="000000" w:themeColor="text1"/>
          <w:sz w:val="20"/>
          <w:szCs w:val="20"/>
          <w:lang w:val="es-ES"/>
        </w:rPr>
        <w:t xml:space="preserve"> </w:t>
      </w:r>
      <w:r w:rsidRPr="00F77DA0">
        <w:rPr>
          <w:rFonts w:ascii="Arial" w:hAnsi="Arial" w:cs="Arial"/>
          <w:bCs/>
          <w:color w:val="000000" w:themeColor="text1"/>
          <w:sz w:val="20"/>
          <w:szCs w:val="20"/>
          <w:lang w:val="es-ES"/>
        </w:rPr>
        <w:t>competencias y autonomía para actuar a las entidades autorizadas legislativamente</w:t>
      </w:r>
      <w:r>
        <w:rPr>
          <w:rFonts w:ascii="Arial" w:hAnsi="Arial" w:cs="Arial"/>
          <w:bCs/>
          <w:color w:val="000000" w:themeColor="text1"/>
          <w:sz w:val="20"/>
          <w:szCs w:val="20"/>
          <w:lang w:val="es-ES"/>
        </w:rPr>
        <w:t xml:space="preserve"> </w:t>
      </w:r>
      <w:r w:rsidRPr="00F77DA0">
        <w:rPr>
          <w:rFonts w:ascii="Arial" w:hAnsi="Arial" w:cs="Arial"/>
          <w:bCs/>
          <w:color w:val="000000" w:themeColor="text1"/>
          <w:sz w:val="20"/>
          <w:szCs w:val="20"/>
          <w:lang w:val="es-ES"/>
        </w:rPr>
        <w:t>para tal fin, conservando sobre ellas un control de tutela derivado del principio de</w:t>
      </w:r>
      <w:r>
        <w:rPr>
          <w:rFonts w:ascii="Arial" w:hAnsi="Arial" w:cs="Arial"/>
          <w:bCs/>
          <w:color w:val="000000" w:themeColor="text1"/>
          <w:sz w:val="20"/>
          <w:szCs w:val="20"/>
          <w:lang w:val="es-ES"/>
        </w:rPr>
        <w:t xml:space="preserve"> </w:t>
      </w:r>
      <w:r w:rsidRPr="00F77DA0">
        <w:rPr>
          <w:rFonts w:ascii="Arial" w:hAnsi="Arial" w:cs="Arial"/>
          <w:bCs/>
          <w:color w:val="000000" w:themeColor="text1"/>
          <w:sz w:val="20"/>
          <w:szCs w:val="20"/>
          <w:lang w:val="es-ES"/>
        </w:rPr>
        <w:t>coordinación que rige la función administrativa</w:t>
      </w:r>
      <w:r w:rsidR="004721EB">
        <w:rPr>
          <w:rFonts w:ascii="Arial" w:hAnsi="Arial" w:cs="Arial"/>
          <w:bCs/>
          <w:color w:val="000000" w:themeColor="text1"/>
          <w:sz w:val="20"/>
          <w:szCs w:val="20"/>
          <w:lang w:val="es-ES"/>
        </w:rPr>
        <w:t xml:space="preserve"> […] </w:t>
      </w:r>
      <w:r w:rsidR="004721EB" w:rsidRPr="004721EB">
        <w:rPr>
          <w:rFonts w:ascii="Arial" w:hAnsi="Arial" w:cs="Arial"/>
          <w:bCs/>
          <w:color w:val="000000" w:themeColor="text1"/>
          <w:sz w:val="20"/>
          <w:szCs w:val="20"/>
          <w:lang w:val="es-ES"/>
        </w:rPr>
        <w:t>A su vez, las diferentes entidades del</w:t>
      </w:r>
      <w:r w:rsidR="004721EB">
        <w:rPr>
          <w:rFonts w:ascii="Arial" w:hAnsi="Arial" w:cs="Arial"/>
          <w:bCs/>
          <w:color w:val="000000" w:themeColor="text1"/>
          <w:sz w:val="20"/>
          <w:szCs w:val="20"/>
          <w:lang w:val="es-ES"/>
        </w:rPr>
        <w:t xml:space="preserve"> </w:t>
      </w:r>
      <w:r w:rsidR="004721EB" w:rsidRPr="004721EB">
        <w:rPr>
          <w:rFonts w:ascii="Arial" w:hAnsi="Arial" w:cs="Arial"/>
          <w:bCs/>
          <w:color w:val="000000" w:themeColor="text1"/>
          <w:sz w:val="20"/>
          <w:szCs w:val="20"/>
          <w:lang w:val="es-ES"/>
        </w:rPr>
        <w:t>orden central o descentralizado podrán desconcentrar o delegar sus funciones, sin que</w:t>
      </w:r>
      <w:r w:rsidR="004721EB">
        <w:rPr>
          <w:rFonts w:ascii="Arial" w:hAnsi="Arial" w:cs="Arial"/>
          <w:bCs/>
          <w:color w:val="000000" w:themeColor="text1"/>
          <w:sz w:val="20"/>
          <w:szCs w:val="20"/>
          <w:lang w:val="es-ES"/>
        </w:rPr>
        <w:t xml:space="preserve"> </w:t>
      </w:r>
      <w:r w:rsidR="004721EB" w:rsidRPr="004721EB">
        <w:rPr>
          <w:rFonts w:ascii="Arial" w:hAnsi="Arial" w:cs="Arial"/>
          <w:bCs/>
          <w:color w:val="000000" w:themeColor="text1"/>
          <w:sz w:val="20"/>
          <w:szCs w:val="20"/>
          <w:lang w:val="es-ES"/>
        </w:rPr>
        <w:t>esto implique la transferencia de su autonomía o la creación de personas jurídicas</w:t>
      </w:r>
      <w:r w:rsidR="004721EB">
        <w:rPr>
          <w:rFonts w:ascii="Arial" w:hAnsi="Arial" w:cs="Arial"/>
          <w:bCs/>
          <w:color w:val="000000" w:themeColor="text1"/>
          <w:sz w:val="20"/>
          <w:szCs w:val="20"/>
          <w:lang w:val="es-ES"/>
        </w:rPr>
        <w:t xml:space="preserve"> </w:t>
      </w:r>
      <w:r w:rsidR="004721EB" w:rsidRPr="004721EB">
        <w:rPr>
          <w:rFonts w:ascii="Arial" w:hAnsi="Arial" w:cs="Arial"/>
          <w:bCs/>
          <w:color w:val="000000" w:themeColor="text1"/>
          <w:sz w:val="20"/>
          <w:szCs w:val="20"/>
          <w:lang w:val="es-ES"/>
        </w:rPr>
        <w:t>independientes.</w:t>
      </w:r>
    </w:p>
    <w:p w14:paraId="7159C26D" w14:textId="77777777" w:rsidR="00287834" w:rsidRPr="009F05AC" w:rsidRDefault="00287834" w:rsidP="00E928A5">
      <w:pPr>
        <w:jc w:val="both"/>
        <w:rPr>
          <w:rFonts w:ascii="Arial" w:hAnsi="Arial" w:cs="Arial"/>
          <w:b/>
          <w:bCs/>
          <w:color w:val="000000" w:themeColor="text1"/>
          <w:sz w:val="22"/>
          <w:lang w:val="es-ES"/>
        </w:rPr>
      </w:pPr>
    </w:p>
    <w:p w14:paraId="3C619618" w14:textId="213E3EE7" w:rsidR="009F52EF" w:rsidRPr="009F05AC" w:rsidRDefault="009B193D" w:rsidP="009F52EF">
      <w:pPr>
        <w:jc w:val="both"/>
        <w:rPr>
          <w:rFonts w:ascii="Arial" w:eastAsia="Calibri" w:hAnsi="Arial" w:cs="Arial"/>
          <w:b/>
          <w:bCs/>
          <w:color w:val="000000" w:themeColor="text1"/>
          <w:sz w:val="22"/>
          <w:lang w:val="es-ES_tradnl"/>
        </w:rPr>
      </w:pPr>
      <w:r w:rsidRPr="009F05AC">
        <w:rPr>
          <w:rFonts w:ascii="Arial" w:eastAsia="Calibri" w:hAnsi="Arial" w:cs="Arial"/>
          <w:b/>
          <w:color w:val="000000" w:themeColor="text1"/>
          <w:sz w:val="22"/>
          <w:lang w:val="es-ES_tradnl"/>
        </w:rPr>
        <w:t xml:space="preserve">CONTRATACIÓN ESTATAL – Capacidad jurídica – Fundamento general – </w:t>
      </w:r>
      <w:r w:rsidR="000D5B2C">
        <w:rPr>
          <w:rFonts w:ascii="Arial" w:eastAsia="Calibri" w:hAnsi="Arial" w:cs="Arial"/>
          <w:b/>
          <w:color w:val="000000" w:themeColor="text1"/>
          <w:sz w:val="22"/>
          <w:lang w:val="es-ES_tradnl"/>
        </w:rPr>
        <w:t>R</w:t>
      </w:r>
      <w:r w:rsidRPr="009F05AC">
        <w:rPr>
          <w:rFonts w:ascii="Arial" w:eastAsia="Calibri" w:hAnsi="Arial" w:cs="Arial"/>
          <w:b/>
          <w:color w:val="000000" w:themeColor="text1"/>
          <w:sz w:val="22"/>
          <w:lang w:val="es-ES_tradnl"/>
        </w:rPr>
        <w:t>égimen de inhabilidades e incompatibilidades</w:t>
      </w:r>
    </w:p>
    <w:p w14:paraId="71DA91E3" w14:textId="77777777" w:rsidR="009F52EF" w:rsidRPr="009F05AC" w:rsidRDefault="009F52EF" w:rsidP="009F52EF">
      <w:pPr>
        <w:jc w:val="both"/>
        <w:rPr>
          <w:rFonts w:ascii="Arial" w:eastAsia="Calibri" w:hAnsi="Arial" w:cs="Arial"/>
          <w:b/>
          <w:bCs/>
          <w:color w:val="000000" w:themeColor="text1"/>
          <w:sz w:val="22"/>
          <w:lang w:val="es-ES_tradnl"/>
        </w:rPr>
      </w:pPr>
    </w:p>
    <w:p w14:paraId="544B100B" w14:textId="66F31CD7" w:rsidR="009B193D" w:rsidRPr="009F05AC" w:rsidRDefault="009B193D" w:rsidP="00954AEC">
      <w:pPr>
        <w:jc w:val="both"/>
        <w:rPr>
          <w:rFonts w:ascii="Arial" w:hAnsi="Arial" w:cs="Arial"/>
          <w:bCs/>
          <w:color w:val="000000" w:themeColor="text1"/>
          <w:sz w:val="20"/>
          <w:szCs w:val="20"/>
          <w:lang w:val="es-ES"/>
        </w:rPr>
      </w:pPr>
      <w:r w:rsidRPr="009F05AC">
        <w:rPr>
          <w:rFonts w:ascii="Arial" w:hAnsi="Arial" w:cs="Arial"/>
          <w:bCs/>
          <w:color w:val="000000" w:themeColor="text1"/>
          <w:sz w:val="20"/>
          <w:szCs w:val="20"/>
          <w:lang w:val="es-ES"/>
        </w:rPr>
        <w:t xml:space="preserve">El </w:t>
      </w:r>
      <w:r w:rsidR="00734B6B" w:rsidRPr="00734B6B">
        <w:rPr>
          <w:rFonts w:ascii="Arial" w:hAnsi="Arial" w:cs="Arial"/>
          <w:bCs/>
          <w:color w:val="000000" w:themeColor="text1"/>
          <w:sz w:val="20"/>
          <w:szCs w:val="20"/>
          <w:lang w:val="es-ES"/>
        </w:rPr>
        <w:t>artículo 6 de la Ley 80 de 1993 establece que las personas</w:t>
      </w:r>
      <w:r w:rsidR="00734B6B">
        <w:rPr>
          <w:rFonts w:ascii="Arial" w:hAnsi="Arial" w:cs="Arial"/>
          <w:bCs/>
          <w:color w:val="000000" w:themeColor="text1"/>
          <w:sz w:val="20"/>
          <w:szCs w:val="20"/>
          <w:lang w:val="es-ES"/>
        </w:rPr>
        <w:t xml:space="preserve"> </w:t>
      </w:r>
      <w:r w:rsidR="00734B6B" w:rsidRPr="00734B6B">
        <w:rPr>
          <w:rFonts w:ascii="Arial" w:hAnsi="Arial" w:cs="Arial"/>
          <w:bCs/>
          <w:color w:val="000000" w:themeColor="text1"/>
          <w:sz w:val="20"/>
          <w:szCs w:val="20"/>
          <w:lang w:val="es-ES"/>
        </w:rPr>
        <w:t>legalmente capaces, nacionales y extranjeras, y las estructuras plurales – consorcios y</w:t>
      </w:r>
      <w:r w:rsidR="00734B6B">
        <w:rPr>
          <w:rFonts w:ascii="Arial" w:hAnsi="Arial" w:cs="Arial"/>
          <w:bCs/>
          <w:color w:val="000000" w:themeColor="text1"/>
          <w:sz w:val="20"/>
          <w:szCs w:val="20"/>
          <w:lang w:val="es-ES"/>
        </w:rPr>
        <w:t xml:space="preserve"> </w:t>
      </w:r>
      <w:r w:rsidR="00734B6B" w:rsidRPr="00734B6B">
        <w:rPr>
          <w:rFonts w:ascii="Arial" w:hAnsi="Arial" w:cs="Arial"/>
          <w:bCs/>
          <w:color w:val="000000" w:themeColor="text1"/>
          <w:sz w:val="20"/>
          <w:szCs w:val="20"/>
          <w:lang w:val="es-ES"/>
        </w:rPr>
        <w:t>uniones temporales – podrán celebrar contratos con las entidades estatales del orden</w:t>
      </w:r>
      <w:r w:rsidR="00734B6B">
        <w:rPr>
          <w:rFonts w:ascii="Arial" w:hAnsi="Arial" w:cs="Arial"/>
          <w:bCs/>
          <w:color w:val="000000" w:themeColor="text1"/>
          <w:sz w:val="20"/>
          <w:szCs w:val="20"/>
          <w:lang w:val="es-ES"/>
        </w:rPr>
        <w:t xml:space="preserve"> </w:t>
      </w:r>
      <w:r w:rsidR="00734B6B" w:rsidRPr="00734B6B">
        <w:rPr>
          <w:rFonts w:ascii="Arial" w:hAnsi="Arial" w:cs="Arial"/>
          <w:bCs/>
          <w:color w:val="000000" w:themeColor="text1"/>
          <w:sz w:val="20"/>
          <w:szCs w:val="20"/>
          <w:lang w:val="es-ES"/>
        </w:rPr>
        <w:t>nacional o regional de diferente naturaleza</w:t>
      </w:r>
      <w:r w:rsidRPr="009F05A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 xml:space="preserve">De esta manera, </w:t>
      </w:r>
      <w:r w:rsidR="00954AEC">
        <w:rPr>
          <w:rFonts w:ascii="Arial" w:hAnsi="Arial" w:cs="Arial"/>
          <w:bCs/>
          <w:color w:val="000000" w:themeColor="text1"/>
          <w:sz w:val="20"/>
          <w:szCs w:val="20"/>
          <w:lang w:val="es-ES"/>
        </w:rPr>
        <w:t>p</w:t>
      </w:r>
      <w:r w:rsidR="00954AEC" w:rsidRPr="00954AEC">
        <w:rPr>
          <w:rFonts w:ascii="Arial" w:hAnsi="Arial" w:cs="Arial"/>
          <w:bCs/>
          <w:color w:val="000000" w:themeColor="text1"/>
          <w:sz w:val="20"/>
          <w:szCs w:val="20"/>
          <w:lang w:val="es-ES"/>
        </w:rPr>
        <w:t>uede observarse que,</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como ocurre en el régimen privado, los contratos celebrados en el marco de una</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actividad estatal requieren que los extremos de la relación sean de naturaleza pública</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o privada, y que estén dotados de capacidad jurídica para contraer obligaciones</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mediante la suscripción de contratos. No obstante, dentro del espectro de la contratación</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estatal, además de la capacidad de goce y la capacidad de ejercicio, se requiere integrar</w:t>
      </w:r>
      <w:r w:rsidR="00954AEC">
        <w:rPr>
          <w:rFonts w:ascii="Arial" w:hAnsi="Arial" w:cs="Arial"/>
          <w:bCs/>
          <w:color w:val="000000" w:themeColor="text1"/>
          <w:sz w:val="20"/>
          <w:szCs w:val="20"/>
          <w:lang w:val="es-ES"/>
        </w:rPr>
        <w:t xml:space="preserve"> </w:t>
      </w:r>
      <w:r w:rsidR="00954AEC" w:rsidRPr="00954AEC">
        <w:rPr>
          <w:rFonts w:ascii="Arial" w:hAnsi="Arial" w:cs="Arial"/>
          <w:bCs/>
          <w:color w:val="000000" w:themeColor="text1"/>
          <w:sz w:val="20"/>
          <w:szCs w:val="20"/>
          <w:lang w:val="es-ES"/>
        </w:rPr>
        <w:t>a la capacidad jurídica para contratar el régimen de inhabilidades e incompatibilidades</w:t>
      </w:r>
      <w:r w:rsidR="00954AEC">
        <w:rPr>
          <w:rFonts w:ascii="Arial" w:hAnsi="Arial" w:cs="Arial"/>
          <w:bCs/>
          <w:color w:val="000000" w:themeColor="text1"/>
          <w:sz w:val="20"/>
          <w:szCs w:val="20"/>
          <w:lang w:val="es-ES"/>
        </w:rPr>
        <w:t>.</w:t>
      </w:r>
    </w:p>
    <w:p w14:paraId="5EB35FCB" w14:textId="65283632" w:rsidR="009B193D" w:rsidRDefault="009B193D" w:rsidP="009B193D">
      <w:pPr>
        <w:jc w:val="both"/>
        <w:rPr>
          <w:rFonts w:ascii="Arial" w:hAnsi="Arial" w:cs="Arial"/>
          <w:bCs/>
          <w:color w:val="000000" w:themeColor="text1"/>
          <w:sz w:val="20"/>
          <w:szCs w:val="20"/>
          <w:lang w:val="es-ES"/>
        </w:rPr>
      </w:pPr>
    </w:p>
    <w:p w14:paraId="52B3F7BA" w14:textId="0D7D72C8" w:rsidR="00B432B3" w:rsidRDefault="00B432B3" w:rsidP="009B193D">
      <w:pPr>
        <w:jc w:val="both"/>
        <w:rPr>
          <w:rFonts w:ascii="Arial" w:eastAsia="Calibri" w:hAnsi="Arial" w:cs="Arial"/>
          <w:b/>
          <w:color w:val="000000" w:themeColor="text1"/>
          <w:sz w:val="22"/>
          <w:lang w:val="es-ES_tradnl"/>
        </w:rPr>
      </w:pPr>
      <w:r w:rsidRPr="009F05AC">
        <w:rPr>
          <w:rFonts w:ascii="Arial" w:eastAsia="Calibri" w:hAnsi="Arial" w:cs="Arial"/>
          <w:b/>
          <w:color w:val="000000" w:themeColor="text1"/>
          <w:sz w:val="22"/>
          <w:lang w:val="es-ES_tradnl"/>
        </w:rPr>
        <w:t>CONTRATACIÓN ESTATAL – Capacidad jurídica</w:t>
      </w:r>
      <w:r>
        <w:rPr>
          <w:rFonts w:ascii="Arial" w:eastAsia="Calibri" w:hAnsi="Arial" w:cs="Arial"/>
          <w:b/>
          <w:color w:val="000000" w:themeColor="text1"/>
          <w:sz w:val="22"/>
          <w:lang w:val="es-ES_tradnl"/>
        </w:rPr>
        <w:t xml:space="preserve"> </w:t>
      </w:r>
      <w:r w:rsidRPr="009F05AC">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R</w:t>
      </w:r>
      <w:r w:rsidRPr="009F05AC">
        <w:rPr>
          <w:rFonts w:ascii="Arial" w:eastAsia="Calibri" w:hAnsi="Arial" w:cs="Arial"/>
          <w:b/>
          <w:color w:val="000000" w:themeColor="text1"/>
          <w:sz w:val="22"/>
          <w:lang w:val="es-ES_tradnl"/>
        </w:rPr>
        <w:t>égimen de inhabilidades e incompatibilidades</w:t>
      </w:r>
    </w:p>
    <w:p w14:paraId="26900649" w14:textId="77777777" w:rsidR="00B432B3" w:rsidRPr="009F05AC" w:rsidRDefault="00B432B3" w:rsidP="009B193D">
      <w:pPr>
        <w:jc w:val="both"/>
        <w:rPr>
          <w:rFonts w:ascii="Arial" w:hAnsi="Arial" w:cs="Arial"/>
          <w:bCs/>
          <w:color w:val="000000" w:themeColor="text1"/>
          <w:sz w:val="20"/>
          <w:szCs w:val="20"/>
          <w:lang w:val="es-ES"/>
        </w:rPr>
      </w:pPr>
    </w:p>
    <w:p w14:paraId="691BB20A" w14:textId="2BAB6B1B" w:rsidR="009F52EF" w:rsidRDefault="0020438A" w:rsidP="0020438A">
      <w:pPr>
        <w:jc w:val="both"/>
        <w:rPr>
          <w:rFonts w:ascii="Arial" w:hAnsi="Arial" w:cs="Arial"/>
          <w:bCs/>
          <w:color w:val="000000" w:themeColor="text1"/>
          <w:sz w:val="20"/>
          <w:szCs w:val="20"/>
          <w:lang w:val="es-ES"/>
        </w:rPr>
      </w:pPr>
      <w:r w:rsidRPr="0020438A">
        <w:rPr>
          <w:rFonts w:ascii="Arial" w:hAnsi="Arial" w:cs="Arial"/>
          <w:bCs/>
          <w:color w:val="000000" w:themeColor="text1"/>
          <w:sz w:val="20"/>
          <w:szCs w:val="20"/>
          <w:lang w:val="es-ES"/>
        </w:rPr>
        <w:t>El régimen de inhabilidades para contratar con el Estado es un conjunto de</w:t>
      </w:r>
      <w:r>
        <w:rPr>
          <w:rFonts w:ascii="Arial" w:hAnsi="Arial" w:cs="Arial"/>
          <w:bCs/>
          <w:color w:val="000000" w:themeColor="text1"/>
          <w:sz w:val="20"/>
          <w:szCs w:val="20"/>
          <w:lang w:val="es-ES"/>
        </w:rPr>
        <w:t xml:space="preserve"> </w:t>
      </w:r>
      <w:r w:rsidRPr="0020438A">
        <w:rPr>
          <w:rFonts w:ascii="Arial" w:hAnsi="Arial" w:cs="Arial"/>
          <w:bCs/>
          <w:color w:val="000000" w:themeColor="text1"/>
          <w:sz w:val="20"/>
          <w:szCs w:val="20"/>
          <w:lang w:val="es-ES"/>
        </w:rPr>
        <w:t>restricciones establecidas por el constituyente o por el legislador que afectan</w:t>
      </w:r>
      <w:r>
        <w:rPr>
          <w:rFonts w:ascii="Arial" w:hAnsi="Arial" w:cs="Arial"/>
          <w:bCs/>
          <w:color w:val="000000" w:themeColor="text1"/>
          <w:sz w:val="20"/>
          <w:szCs w:val="20"/>
          <w:lang w:val="es-ES"/>
        </w:rPr>
        <w:t xml:space="preserve"> </w:t>
      </w:r>
      <w:r w:rsidRPr="0020438A">
        <w:rPr>
          <w:rFonts w:ascii="Arial" w:hAnsi="Arial" w:cs="Arial"/>
          <w:bCs/>
          <w:color w:val="000000" w:themeColor="text1"/>
          <w:sz w:val="20"/>
          <w:szCs w:val="20"/>
          <w:lang w:val="es-ES"/>
        </w:rPr>
        <w:t>directamente la capacidad de las personas para establecer relaciones contractuales con</w:t>
      </w:r>
      <w:r>
        <w:rPr>
          <w:rFonts w:ascii="Arial" w:hAnsi="Arial" w:cs="Arial"/>
          <w:bCs/>
          <w:color w:val="000000" w:themeColor="text1"/>
          <w:sz w:val="20"/>
          <w:szCs w:val="20"/>
          <w:lang w:val="es-ES"/>
        </w:rPr>
        <w:t xml:space="preserve"> </w:t>
      </w:r>
      <w:r w:rsidRPr="0020438A">
        <w:rPr>
          <w:rFonts w:ascii="Arial" w:hAnsi="Arial" w:cs="Arial"/>
          <w:bCs/>
          <w:color w:val="000000" w:themeColor="text1"/>
          <w:sz w:val="20"/>
          <w:szCs w:val="20"/>
          <w:lang w:val="es-ES"/>
        </w:rPr>
        <w:t>el Estado, que pueden resultar de condenas, sanciones o situaciones previamente</w:t>
      </w:r>
      <w:r>
        <w:rPr>
          <w:rFonts w:ascii="Arial" w:hAnsi="Arial" w:cs="Arial"/>
          <w:bCs/>
          <w:color w:val="000000" w:themeColor="text1"/>
          <w:sz w:val="20"/>
          <w:szCs w:val="20"/>
          <w:lang w:val="es-ES"/>
        </w:rPr>
        <w:t xml:space="preserve"> </w:t>
      </w:r>
      <w:r w:rsidRPr="0020438A">
        <w:rPr>
          <w:rFonts w:ascii="Arial" w:hAnsi="Arial" w:cs="Arial"/>
          <w:bCs/>
          <w:color w:val="000000" w:themeColor="text1"/>
          <w:sz w:val="20"/>
          <w:szCs w:val="20"/>
          <w:lang w:val="es-ES"/>
        </w:rPr>
        <w:t>establecidas por el ordenamiento jurídico</w:t>
      </w:r>
      <w:r w:rsidR="009F52EF" w:rsidRPr="009F05AC">
        <w:rPr>
          <w:rFonts w:ascii="Arial" w:hAnsi="Arial" w:cs="Arial"/>
          <w:bCs/>
          <w:color w:val="000000" w:themeColor="text1"/>
          <w:sz w:val="20"/>
          <w:szCs w:val="20"/>
          <w:lang w:val="es-ES"/>
        </w:rPr>
        <w:t>.</w:t>
      </w:r>
    </w:p>
    <w:p w14:paraId="4553C4C0" w14:textId="77777777" w:rsidR="007A7361" w:rsidRDefault="007A7361" w:rsidP="007A7361">
      <w:pPr>
        <w:jc w:val="both"/>
        <w:rPr>
          <w:rFonts w:ascii="Arial" w:hAnsi="Arial" w:cs="Arial"/>
          <w:bCs/>
          <w:color w:val="000000" w:themeColor="text1"/>
          <w:sz w:val="20"/>
          <w:szCs w:val="20"/>
          <w:lang w:val="es-ES"/>
        </w:rPr>
      </w:pPr>
    </w:p>
    <w:p w14:paraId="6A38A314" w14:textId="160F0A5A" w:rsidR="007A7361" w:rsidRPr="009F05AC" w:rsidRDefault="007A7361" w:rsidP="007A7361">
      <w:pPr>
        <w:jc w:val="both"/>
        <w:rPr>
          <w:rFonts w:ascii="Arial" w:hAnsi="Arial" w:cs="Arial"/>
          <w:bCs/>
          <w:color w:val="000000" w:themeColor="text1"/>
          <w:sz w:val="20"/>
          <w:szCs w:val="20"/>
          <w:lang w:val="es-ES"/>
        </w:rPr>
      </w:pPr>
      <w:r w:rsidRPr="007A7361">
        <w:rPr>
          <w:rFonts w:ascii="Arial" w:hAnsi="Arial" w:cs="Arial"/>
          <w:bCs/>
          <w:color w:val="000000" w:themeColor="text1"/>
          <w:sz w:val="20"/>
          <w:szCs w:val="20"/>
          <w:lang w:val="es-ES"/>
        </w:rPr>
        <w:t>Se puede afirmar que las inhabilidades son medios que garantizan la</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transparencia y eficiencia en la actividad contractual del Estado, imponiendo</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restricciones en la personalidad jurídica, la igualdad, la libre empresa y, particularmente,</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en el derecho a participar en procesos de selección y celebrar contratos con el Estado</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La Corte Constitucional ha reconocido que estas limitaciones deben estar justificadas en</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la salvaguarda del interés general y que su lectura e interpretación es taxativa y</w:t>
      </w:r>
      <w:r>
        <w:rPr>
          <w:rFonts w:ascii="Arial" w:hAnsi="Arial" w:cs="Arial"/>
          <w:bCs/>
          <w:color w:val="000000" w:themeColor="text1"/>
          <w:sz w:val="20"/>
          <w:szCs w:val="20"/>
          <w:lang w:val="es-ES"/>
        </w:rPr>
        <w:t xml:space="preserve"> </w:t>
      </w:r>
      <w:r w:rsidRPr="007A7361">
        <w:rPr>
          <w:rFonts w:ascii="Arial" w:hAnsi="Arial" w:cs="Arial"/>
          <w:bCs/>
          <w:color w:val="000000" w:themeColor="text1"/>
          <w:sz w:val="20"/>
          <w:szCs w:val="20"/>
          <w:lang w:val="es-ES"/>
        </w:rPr>
        <w:t>restrictiva</w:t>
      </w:r>
      <w:r>
        <w:rPr>
          <w:rFonts w:ascii="Arial" w:hAnsi="Arial" w:cs="Arial"/>
          <w:bCs/>
          <w:color w:val="000000" w:themeColor="text1"/>
          <w:sz w:val="20"/>
          <w:szCs w:val="20"/>
          <w:lang w:val="es-ES"/>
        </w:rPr>
        <w:t>.</w:t>
      </w:r>
    </w:p>
    <w:p w14:paraId="2AD94D97" w14:textId="77777777" w:rsidR="009F52EF" w:rsidRPr="009F05AC" w:rsidRDefault="009F52EF" w:rsidP="00E928A5">
      <w:pPr>
        <w:jc w:val="both"/>
        <w:rPr>
          <w:rFonts w:ascii="Arial" w:hAnsi="Arial" w:cs="Arial"/>
          <w:b/>
          <w:bCs/>
          <w:color w:val="000000" w:themeColor="text1"/>
          <w:sz w:val="22"/>
          <w:lang w:val="es-ES"/>
        </w:rPr>
      </w:pPr>
    </w:p>
    <w:p w14:paraId="06C7DCEE" w14:textId="6BFFD6A4" w:rsidR="009F52EF" w:rsidRPr="009F05AC" w:rsidRDefault="009B193D" w:rsidP="00E928A5">
      <w:pPr>
        <w:jc w:val="both"/>
        <w:rPr>
          <w:rFonts w:ascii="Arial" w:eastAsia="Calibri" w:hAnsi="Arial" w:cs="Arial"/>
          <w:b/>
          <w:bCs/>
          <w:color w:val="000000" w:themeColor="text1"/>
          <w:sz w:val="22"/>
          <w:lang w:val="es-ES_tradnl"/>
        </w:rPr>
      </w:pPr>
      <w:r w:rsidRPr="009F05AC">
        <w:rPr>
          <w:rFonts w:ascii="Arial" w:eastAsia="Calibri" w:hAnsi="Arial" w:cs="Arial"/>
          <w:b/>
          <w:bCs/>
          <w:color w:val="000000" w:themeColor="text1"/>
          <w:sz w:val="22"/>
          <w:lang w:val="es-ES_tradnl"/>
        </w:rPr>
        <w:t xml:space="preserve">LEY 1474 DE 2011 – Artículo quinto – </w:t>
      </w:r>
      <w:r w:rsidR="000D5B2C">
        <w:rPr>
          <w:rFonts w:ascii="Arial" w:eastAsia="Calibri" w:hAnsi="Arial" w:cs="Arial"/>
          <w:b/>
          <w:bCs/>
          <w:color w:val="000000" w:themeColor="text1"/>
          <w:sz w:val="22"/>
          <w:lang w:val="es-ES_tradnl"/>
        </w:rPr>
        <w:t>I</w:t>
      </w:r>
      <w:r w:rsidRPr="009F05AC">
        <w:rPr>
          <w:rFonts w:ascii="Arial" w:eastAsia="Calibri" w:hAnsi="Arial" w:cs="Arial"/>
          <w:b/>
          <w:bCs/>
          <w:color w:val="000000" w:themeColor="text1"/>
          <w:sz w:val="22"/>
          <w:lang w:val="es-ES_tradnl"/>
        </w:rPr>
        <w:t>nhabilidad para contratar - Naturaleza</w:t>
      </w:r>
    </w:p>
    <w:p w14:paraId="4A147A3F" w14:textId="77777777" w:rsidR="009F52EF" w:rsidRPr="009F05AC" w:rsidRDefault="009F52EF" w:rsidP="00E928A5">
      <w:pPr>
        <w:jc w:val="both"/>
        <w:rPr>
          <w:rFonts w:ascii="Arial" w:eastAsia="Calibri" w:hAnsi="Arial" w:cs="Arial"/>
          <w:b/>
          <w:bCs/>
          <w:color w:val="000000" w:themeColor="text1"/>
          <w:sz w:val="22"/>
          <w:lang w:val="es-ES_tradnl"/>
        </w:rPr>
      </w:pPr>
    </w:p>
    <w:p w14:paraId="207DE517" w14:textId="0CBD427D" w:rsidR="00153F8E" w:rsidRPr="009F05AC" w:rsidRDefault="001E045A" w:rsidP="001E045A">
      <w:pPr>
        <w:tabs>
          <w:tab w:val="left" w:pos="709"/>
        </w:tabs>
        <w:jc w:val="both"/>
        <w:rPr>
          <w:rFonts w:ascii="Arial" w:hAnsi="Arial" w:cs="Arial"/>
          <w:color w:val="000000" w:themeColor="text1"/>
          <w:sz w:val="20"/>
          <w:szCs w:val="20"/>
          <w:lang w:val="es-ES_tradnl"/>
        </w:rPr>
      </w:pPr>
      <w:r w:rsidRPr="001E045A">
        <w:rPr>
          <w:rFonts w:ascii="Arial" w:hAnsi="Arial" w:cs="Arial"/>
          <w:color w:val="000000" w:themeColor="text1"/>
          <w:sz w:val="20"/>
          <w:szCs w:val="20"/>
          <w:lang w:val="es-ES_tradnl"/>
        </w:rPr>
        <w:t>inhabilidad establecida en el artículo 5 de la Ley</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1474 de 2011, en torno a la que se consulta, debe ser interpretada conforme al principio</w:t>
      </w:r>
      <w:r>
        <w:rPr>
          <w:rFonts w:ascii="Arial" w:hAnsi="Arial" w:cs="Arial"/>
          <w:color w:val="000000" w:themeColor="text1"/>
          <w:sz w:val="20"/>
          <w:szCs w:val="20"/>
          <w:lang w:val="es-ES_tradnl"/>
        </w:rPr>
        <w:t xml:space="preserve"> </w:t>
      </w:r>
      <w:r w:rsidRPr="001E045A">
        <w:rPr>
          <w:rFonts w:ascii="Arial" w:hAnsi="Arial" w:cs="Arial"/>
          <w:i/>
          <w:iCs/>
          <w:color w:val="000000" w:themeColor="text1"/>
          <w:sz w:val="20"/>
          <w:szCs w:val="20"/>
          <w:lang w:val="es-ES_tradnl"/>
        </w:rPr>
        <w:t xml:space="preserve">pro </w:t>
      </w:r>
      <w:proofErr w:type="spellStart"/>
      <w:r w:rsidRPr="001E045A">
        <w:rPr>
          <w:rFonts w:ascii="Arial" w:hAnsi="Arial" w:cs="Arial"/>
          <w:i/>
          <w:iCs/>
          <w:color w:val="000000" w:themeColor="text1"/>
          <w:sz w:val="20"/>
          <w:szCs w:val="20"/>
          <w:lang w:val="es-ES_tradnl"/>
        </w:rPr>
        <w:t>libertate</w:t>
      </w:r>
      <w:proofErr w:type="spellEnd"/>
      <w:r w:rsidRPr="001E045A">
        <w:rPr>
          <w:rFonts w:ascii="Arial" w:hAnsi="Arial" w:cs="Arial"/>
          <w:color w:val="000000" w:themeColor="text1"/>
          <w:sz w:val="20"/>
          <w:szCs w:val="20"/>
          <w:lang w:val="es-ES_tradnl"/>
        </w:rPr>
        <w:t>, lo que supone una interpretación restrictiva de su contenido. Dicho artículo</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 xml:space="preserve">consagra una inhabilidad que impide celebrar contratos de interventoría a </w:t>
      </w:r>
      <w:r w:rsidRPr="001E045A">
        <w:rPr>
          <w:rFonts w:ascii="Arial" w:hAnsi="Arial" w:cs="Arial"/>
          <w:color w:val="000000" w:themeColor="text1"/>
          <w:sz w:val="20"/>
          <w:szCs w:val="20"/>
          <w:lang w:val="es-ES_tradnl"/>
        </w:rPr>
        <w:lastRenderedPageBreak/>
        <w:t>quienes hayan</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celebrado con la «</w:t>
      </w:r>
      <w:r w:rsidRPr="001E045A">
        <w:rPr>
          <w:rFonts w:ascii="Arial" w:hAnsi="Arial" w:cs="Arial"/>
          <w:i/>
          <w:iCs/>
          <w:color w:val="000000" w:themeColor="text1"/>
          <w:sz w:val="20"/>
          <w:szCs w:val="20"/>
          <w:lang w:val="es-ES_tradnl"/>
        </w:rPr>
        <w:t>misma entidad</w:t>
      </w:r>
      <w:r w:rsidRPr="001E045A">
        <w:rPr>
          <w:rFonts w:ascii="Arial" w:hAnsi="Arial" w:cs="Arial"/>
          <w:color w:val="000000" w:themeColor="text1"/>
          <w:sz w:val="20"/>
          <w:szCs w:val="20"/>
          <w:lang w:val="es-ES_tradnl"/>
        </w:rPr>
        <w:t>» contratos de obra pública, de concesión, suministro</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de medicamentos y de alimentos, prohibición que se extiende al cónyuge, compañero</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o compañera permanente, pariente hasta el segundo grado de consanguinidad,</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segundo de afinidad y/o primero civil o sus socios en sociedades distintas de las</w:t>
      </w:r>
      <w:r>
        <w:rPr>
          <w:rFonts w:ascii="Arial" w:hAnsi="Arial" w:cs="Arial"/>
          <w:color w:val="000000" w:themeColor="text1"/>
          <w:sz w:val="20"/>
          <w:szCs w:val="20"/>
          <w:lang w:val="es-ES_tradnl"/>
        </w:rPr>
        <w:t xml:space="preserve"> </w:t>
      </w:r>
      <w:r w:rsidRPr="001E045A">
        <w:rPr>
          <w:rFonts w:ascii="Arial" w:hAnsi="Arial" w:cs="Arial"/>
          <w:color w:val="000000" w:themeColor="text1"/>
          <w:sz w:val="20"/>
          <w:szCs w:val="20"/>
          <w:lang w:val="es-ES_tradnl"/>
        </w:rPr>
        <w:t>anónimas abiertas</w:t>
      </w:r>
      <w:r w:rsidR="00153F8E" w:rsidRPr="009F05AC">
        <w:rPr>
          <w:rFonts w:ascii="Arial" w:hAnsi="Arial" w:cs="Arial"/>
          <w:color w:val="000000" w:themeColor="text1"/>
          <w:sz w:val="20"/>
          <w:szCs w:val="20"/>
          <w:lang w:val="es-ES_tradnl"/>
        </w:rPr>
        <w:t>.</w:t>
      </w:r>
    </w:p>
    <w:p w14:paraId="18CA61D9" w14:textId="77777777" w:rsidR="00153F8E" w:rsidRPr="009F05AC" w:rsidRDefault="00153F8E" w:rsidP="00153F8E">
      <w:pPr>
        <w:tabs>
          <w:tab w:val="left" w:pos="709"/>
        </w:tabs>
        <w:jc w:val="both"/>
        <w:rPr>
          <w:rFonts w:ascii="Arial" w:hAnsi="Arial" w:cs="Arial"/>
          <w:color w:val="000000" w:themeColor="text1"/>
          <w:sz w:val="20"/>
          <w:szCs w:val="20"/>
          <w:lang w:val="es-ES_tradnl"/>
        </w:rPr>
      </w:pPr>
    </w:p>
    <w:p w14:paraId="6A9E76E1" w14:textId="3F525FA6" w:rsidR="00153F8E" w:rsidRPr="009F05AC" w:rsidRDefault="009B193D" w:rsidP="00E928A5">
      <w:pPr>
        <w:jc w:val="both"/>
        <w:rPr>
          <w:rFonts w:ascii="Arial" w:eastAsia="Calibri" w:hAnsi="Arial" w:cs="Arial"/>
          <w:b/>
          <w:color w:val="000000" w:themeColor="text1"/>
          <w:sz w:val="22"/>
          <w:lang w:val="es-ES_tradnl"/>
        </w:rPr>
      </w:pPr>
      <w:r w:rsidRPr="009F05AC">
        <w:rPr>
          <w:rFonts w:ascii="Arial" w:eastAsia="Calibri" w:hAnsi="Arial" w:cs="Arial"/>
          <w:b/>
          <w:color w:val="000000" w:themeColor="text1"/>
          <w:sz w:val="22"/>
          <w:lang w:val="es-ES_tradnl"/>
        </w:rPr>
        <w:t xml:space="preserve">LEY 1474 DE 2011 – Artículo quinto – </w:t>
      </w:r>
      <w:r w:rsidR="000D5B2C">
        <w:rPr>
          <w:rFonts w:ascii="Arial" w:eastAsia="Calibri" w:hAnsi="Arial" w:cs="Arial"/>
          <w:b/>
          <w:color w:val="000000" w:themeColor="text1"/>
          <w:sz w:val="22"/>
          <w:lang w:val="es-ES_tradnl"/>
        </w:rPr>
        <w:t>I</w:t>
      </w:r>
      <w:r w:rsidRPr="009F05AC">
        <w:rPr>
          <w:rFonts w:ascii="Arial" w:eastAsia="Calibri" w:hAnsi="Arial" w:cs="Arial"/>
          <w:b/>
          <w:color w:val="000000" w:themeColor="text1"/>
          <w:sz w:val="22"/>
          <w:lang w:val="es-ES_tradnl"/>
        </w:rPr>
        <w:t xml:space="preserve">nhabilidad para contratar – </w:t>
      </w:r>
      <w:r w:rsidR="004A4B63">
        <w:rPr>
          <w:rFonts w:ascii="Arial" w:eastAsia="Calibri" w:hAnsi="Arial" w:cs="Arial"/>
          <w:b/>
          <w:color w:val="000000" w:themeColor="text1"/>
          <w:sz w:val="22"/>
          <w:lang w:val="es-ES_tradnl"/>
        </w:rPr>
        <w:t>Interpretación restrictiva</w:t>
      </w:r>
    </w:p>
    <w:p w14:paraId="2B38E2FA" w14:textId="77777777" w:rsidR="009B193D" w:rsidRPr="009F05AC" w:rsidRDefault="009B193D" w:rsidP="00E928A5">
      <w:pPr>
        <w:jc w:val="both"/>
        <w:rPr>
          <w:rFonts w:ascii="Arial" w:eastAsia="Calibri" w:hAnsi="Arial" w:cs="Arial"/>
          <w:b/>
          <w:bCs/>
          <w:color w:val="000000" w:themeColor="text1"/>
          <w:sz w:val="22"/>
          <w:lang w:val="es-ES_tradnl"/>
        </w:rPr>
      </w:pPr>
    </w:p>
    <w:p w14:paraId="32ED175B" w14:textId="268912D9" w:rsidR="004716C9" w:rsidRDefault="00C70B5F" w:rsidP="004A4B63">
      <w:pPr>
        <w:tabs>
          <w:tab w:val="left" w:pos="709"/>
        </w:tabs>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E</w:t>
      </w:r>
      <w:r w:rsidR="00C832C6" w:rsidRPr="00C832C6">
        <w:rPr>
          <w:rFonts w:ascii="Arial" w:hAnsi="Arial" w:cs="Arial"/>
          <w:color w:val="000000" w:themeColor="text1"/>
          <w:sz w:val="20"/>
          <w:szCs w:val="20"/>
          <w:lang w:val="es-ES_tradnl"/>
        </w:rPr>
        <w:t xml:space="preserve">l </w:t>
      </w:r>
      <w:r w:rsidR="004A4B63" w:rsidRPr="004A4B63">
        <w:rPr>
          <w:rFonts w:ascii="Arial" w:hAnsi="Arial" w:cs="Arial"/>
          <w:color w:val="000000" w:themeColor="text1"/>
          <w:sz w:val="20"/>
          <w:szCs w:val="20"/>
          <w:lang w:val="es-ES_tradnl"/>
        </w:rPr>
        <w:t>alcance de la expresión «</w:t>
      </w:r>
      <w:r w:rsidR="004A4B63" w:rsidRPr="00B6255A">
        <w:rPr>
          <w:rFonts w:ascii="Arial" w:hAnsi="Arial" w:cs="Arial"/>
          <w:i/>
          <w:iCs/>
          <w:color w:val="000000" w:themeColor="text1"/>
          <w:sz w:val="20"/>
          <w:szCs w:val="20"/>
          <w:lang w:val="es-ES_tradnl"/>
        </w:rPr>
        <w:t>misma entidad</w:t>
      </w:r>
      <w:r w:rsidR="004A4B63" w:rsidRPr="004A4B63">
        <w:rPr>
          <w:rFonts w:ascii="Arial" w:hAnsi="Arial" w:cs="Arial"/>
          <w:color w:val="000000" w:themeColor="text1"/>
          <w:sz w:val="20"/>
          <w:szCs w:val="20"/>
          <w:lang w:val="es-ES_tradnl"/>
        </w:rPr>
        <w:t>», en torno</w:t>
      </w:r>
      <w:r w:rsidR="004A4B63">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al que indaga el peticionario, está necesariamente determinado por su significado más</w:t>
      </w:r>
      <w:r w:rsidR="004A4B63">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restrictivo. De acuerdo con esto, al aludir a la «</w:t>
      </w:r>
      <w:r w:rsidR="004A4B63" w:rsidRPr="00B6255A">
        <w:rPr>
          <w:rFonts w:ascii="Arial" w:hAnsi="Arial" w:cs="Arial"/>
          <w:i/>
          <w:iCs/>
          <w:color w:val="000000" w:themeColor="text1"/>
          <w:sz w:val="20"/>
          <w:szCs w:val="20"/>
          <w:lang w:val="es-ES_tradnl"/>
        </w:rPr>
        <w:t>misma entidad</w:t>
      </w:r>
      <w:r w:rsidR="004A4B63" w:rsidRPr="004A4B63">
        <w:rPr>
          <w:rFonts w:ascii="Arial" w:hAnsi="Arial" w:cs="Arial"/>
          <w:color w:val="000000" w:themeColor="text1"/>
          <w:sz w:val="20"/>
          <w:szCs w:val="20"/>
          <w:lang w:val="es-ES_tradnl"/>
        </w:rPr>
        <w:t>», el artículo está</w:t>
      </w:r>
      <w:r w:rsidR="00B6255A">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refriéndose a una entidad – de las establecidas en el artículo 2 de la Ley 80 de 1993 – con</w:t>
      </w:r>
      <w:r w:rsidR="00B6255A">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la que se celebró alguno de los contratos mencionados en el artículo. En ese sentido,</w:t>
      </w:r>
      <w:r w:rsidR="00B6255A">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el artículo alude a un mismo ámbito de autonomía administrativa y capacidad jurídica</w:t>
      </w:r>
      <w:r w:rsidR="00B6255A">
        <w:rPr>
          <w:rFonts w:ascii="Arial" w:hAnsi="Arial" w:cs="Arial"/>
          <w:color w:val="000000" w:themeColor="text1"/>
          <w:sz w:val="20"/>
          <w:szCs w:val="20"/>
          <w:lang w:val="es-ES_tradnl"/>
        </w:rPr>
        <w:t xml:space="preserve"> </w:t>
      </w:r>
      <w:r w:rsidR="004A4B63" w:rsidRPr="004A4B63">
        <w:rPr>
          <w:rFonts w:ascii="Arial" w:hAnsi="Arial" w:cs="Arial"/>
          <w:color w:val="000000" w:themeColor="text1"/>
          <w:sz w:val="20"/>
          <w:szCs w:val="20"/>
          <w:lang w:val="es-ES_tradnl"/>
        </w:rPr>
        <w:t>conforme al cual celebra el contrato que inhabilita al contratista</w:t>
      </w:r>
      <w:r w:rsidR="00C832C6" w:rsidRPr="00C832C6">
        <w:rPr>
          <w:rFonts w:ascii="Arial" w:hAnsi="Arial" w:cs="Arial"/>
          <w:color w:val="000000" w:themeColor="text1"/>
          <w:sz w:val="20"/>
          <w:szCs w:val="20"/>
          <w:lang w:val="es-ES_tradnl"/>
        </w:rPr>
        <w:t xml:space="preserve">. </w:t>
      </w:r>
    </w:p>
    <w:p w14:paraId="6486DFC7" w14:textId="77777777" w:rsidR="00B6255A" w:rsidRDefault="00B6255A" w:rsidP="00B6255A">
      <w:pPr>
        <w:spacing w:after="160" w:line="259" w:lineRule="auto"/>
        <w:rPr>
          <w:rFonts w:ascii="Arial" w:hAnsi="Arial" w:cs="Arial"/>
          <w:color w:val="000000" w:themeColor="text1"/>
          <w:sz w:val="22"/>
          <w:lang w:val="es-ES"/>
        </w:rPr>
      </w:pPr>
    </w:p>
    <w:p w14:paraId="359623FE" w14:textId="77777777" w:rsidR="00B6255A" w:rsidRDefault="00B6255A">
      <w:pPr>
        <w:spacing w:after="160" w:line="259" w:lineRule="auto"/>
        <w:rPr>
          <w:rFonts w:ascii="Arial" w:hAnsi="Arial" w:cs="Arial"/>
          <w:color w:val="000000" w:themeColor="text1"/>
          <w:sz w:val="22"/>
          <w:lang w:val="es-ES"/>
        </w:rPr>
      </w:pPr>
      <w:r>
        <w:rPr>
          <w:rFonts w:ascii="Arial" w:hAnsi="Arial" w:cs="Arial"/>
          <w:color w:val="000000" w:themeColor="text1"/>
          <w:sz w:val="22"/>
          <w:lang w:val="es-ES"/>
        </w:rPr>
        <w:br w:type="page"/>
      </w:r>
    </w:p>
    <w:p w14:paraId="58135FB7" w14:textId="2543D02D" w:rsidR="00F0070F" w:rsidRDefault="004716C9" w:rsidP="00B6255A">
      <w:pPr>
        <w:spacing w:after="160" w:line="259" w:lineRule="auto"/>
        <w:jc w:val="right"/>
        <w:rPr>
          <w:rFonts w:ascii="Arial" w:hAnsi="Arial" w:cs="Arial"/>
          <w:color w:val="000000" w:themeColor="text1"/>
          <w:sz w:val="22"/>
          <w:lang w:val="es-ES"/>
        </w:rPr>
      </w:pPr>
      <w:r w:rsidRPr="004716C9">
        <w:rPr>
          <w:rFonts w:ascii="Arial" w:hAnsi="Arial" w:cs="Arial"/>
          <w:noProof/>
          <w:color w:val="000000" w:themeColor="text1"/>
          <w:sz w:val="22"/>
          <w:lang w:val="es-ES"/>
        </w:rPr>
        <w:lastRenderedPageBreak/>
        <w:drawing>
          <wp:inline distT="0" distB="0" distL="0" distR="0" wp14:anchorId="058416F5" wp14:editId="37717884">
            <wp:extent cx="2753109" cy="9145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3109" cy="914528"/>
                    </a:xfrm>
                    <a:prstGeom prst="rect">
                      <a:avLst/>
                    </a:prstGeom>
                  </pic:spPr>
                </pic:pic>
              </a:graphicData>
            </a:graphic>
          </wp:inline>
        </w:drawing>
      </w:r>
    </w:p>
    <w:p w14:paraId="21A3E90D" w14:textId="77777777" w:rsidR="004716C9" w:rsidRDefault="004716C9" w:rsidP="004716C9">
      <w:pPr>
        <w:tabs>
          <w:tab w:val="left" w:pos="709"/>
        </w:tabs>
        <w:jc w:val="right"/>
        <w:rPr>
          <w:rFonts w:ascii="Arial" w:hAnsi="Arial" w:cs="Arial"/>
          <w:color w:val="000000" w:themeColor="text1"/>
          <w:sz w:val="22"/>
          <w:lang w:val="es-ES"/>
        </w:rPr>
      </w:pPr>
    </w:p>
    <w:p w14:paraId="73425EA8" w14:textId="1516420B" w:rsidR="0020594A" w:rsidRDefault="0020594A" w:rsidP="0068262D">
      <w:pPr>
        <w:tabs>
          <w:tab w:val="left" w:pos="709"/>
        </w:tabs>
        <w:jc w:val="both"/>
        <w:rPr>
          <w:rFonts w:ascii="Arial" w:hAnsi="Arial" w:cs="Arial"/>
          <w:color w:val="000000" w:themeColor="text1"/>
          <w:sz w:val="22"/>
          <w:lang w:val="es-ES"/>
        </w:rPr>
      </w:pPr>
    </w:p>
    <w:p w14:paraId="11F05A85" w14:textId="7B484D99" w:rsidR="004716C9" w:rsidRPr="009F05AC" w:rsidRDefault="004716C9" w:rsidP="004716C9">
      <w:pPr>
        <w:tabs>
          <w:tab w:val="left" w:pos="709"/>
        </w:tabs>
        <w:jc w:val="right"/>
        <w:rPr>
          <w:rFonts w:ascii="Arial" w:hAnsi="Arial" w:cs="Arial"/>
          <w:color w:val="000000" w:themeColor="text1"/>
          <w:sz w:val="22"/>
          <w:lang w:val="es-ES"/>
        </w:rPr>
      </w:pPr>
      <w:r>
        <w:rPr>
          <w:rFonts w:ascii="Arial-BoldMT" w:hAnsi="Arial-BoldMT" w:cs="Arial-BoldMT"/>
          <w:b/>
          <w:bCs/>
          <w:color w:val="595959"/>
          <w:sz w:val="18"/>
          <w:szCs w:val="18"/>
          <w:lang w:val="es-CO"/>
        </w:rPr>
        <w:t>CCE-DES-FM-17</w:t>
      </w:r>
    </w:p>
    <w:p w14:paraId="6CEB1DD6" w14:textId="77777777" w:rsidR="004716C9" w:rsidRDefault="004716C9" w:rsidP="004716C9">
      <w:pPr>
        <w:outlineLvl w:val="0"/>
        <w:rPr>
          <w:rFonts w:ascii="ArialMT" w:hAnsi="ArialMT" w:cs="ArialMT"/>
          <w:color w:val="4E4D4D"/>
          <w:sz w:val="22"/>
          <w:lang w:val="es-CO"/>
        </w:rPr>
      </w:pPr>
    </w:p>
    <w:p w14:paraId="4AFE88A4" w14:textId="3406334F" w:rsidR="00735D1C" w:rsidRPr="000C3D09" w:rsidRDefault="004716C9" w:rsidP="004716C9">
      <w:pPr>
        <w:jc w:val="both"/>
        <w:outlineLvl w:val="0"/>
        <w:rPr>
          <w:rFonts w:ascii="Arial" w:hAnsi="Arial" w:cs="Arial"/>
          <w:b/>
          <w:bCs/>
          <w:color w:val="000000" w:themeColor="text1"/>
          <w:sz w:val="22"/>
          <w:lang w:val="es-ES"/>
        </w:rPr>
      </w:pPr>
      <w:r>
        <w:rPr>
          <w:rFonts w:ascii="ArialMT" w:hAnsi="ArialMT" w:cs="ArialMT"/>
          <w:color w:val="4E4D4D"/>
          <w:sz w:val="22"/>
          <w:lang w:val="es-CO"/>
        </w:rPr>
        <w:t>Bogotá, 24 Marzo 2021</w:t>
      </w:r>
    </w:p>
    <w:p w14:paraId="21CCD891" w14:textId="12E4872B" w:rsidR="00735D1C" w:rsidRDefault="00735D1C" w:rsidP="004716C9">
      <w:pPr>
        <w:jc w:val="both"/>
        <w:outlineLvl w:val="0"/>
        <w:rPr>
          <w:rFonts w:ascii="Arial" w:hAnsi="Arial" w:cs="Arial"/>
          <w:b/>
          <w:color w:val="000000" w:themeColor="text1"/>
          <w:sz w:val="22"/>
          <w:lang w:val="es-ES"/>
        </w:rPr>
      </w:pPr>
    </w:p>
    <w:p w14:paraId="642229CD" w14:textId="77777777" w:rsidR="004716C9" w:rsidRPr="000C3D09" w:rsidRDefault="004716C9" w:rsidP="004716C9">
      <w:pPr>
        <w:jc w:val="both"/>
        <w:outlineLvl w:val="0"/>
        <w:rPr>
          <w:rFonts w:ascii="Arial" w:hAnsi="Arial" w:cs="Arial"/>
          <w:b/>
          <w:color w:val="000000" w:themeColor="text1"/>
          <w:sz w:val="22"/>
          <w:lang w:val="es-ES"/>
        </w:rPr>
      </w:pPr>
    </w:p>
    <w:p w14:paraId="11A6E11A" w14:textId="5175771A" w:rsidR="008026C6" w:rsidRPr="000C3D09" w:rsidRDefault="004A303C" w:rsidP="004716C9">
      <w:pPr>
        <w:jc w:val="both"/>
        <w:outlineLvl w:val="0"/>
        <w:rPr>
          <w:rFonts w:ascii="Arial" w:eastAsia="Calibri" w:hAnsi="Arial" w:cs="Arial"/>
          <w:color w:val="000000" w:themeColor="text1"/>
          <w:sz w:val="22"/>
          <w:lang w:val="es-ES"/>
        </w:rPr>
      </w:pPr>
      <w:r w:rsidRPr="000C3D09">
        <w:rPr>
          <w:rFonts w:ascii="Arial" w:eastAsia="Calibri" w:hAnsi="Arial" w:cs="Arial"/>
          <w:color w:val="000000" w:themeColor="text1"/>
          <w:sz w:val="22"/>
          <w:lang w:val="es-ES"/>
        </w:rPr>
        <w:t>Señor</w:t>
      </w:r>
    </w:p>
    <w:p w14:paraId="460B3732" w14:textId="221EECCA" w:rsidR="00096901" w:rsidRPr="00351583" w:rsidRDefault="006C1640" w:rsidP="004716C9">
      <w:pPr>
        <w:jc w:val="both"/>
        <w:outlineLvl w:val="0"/>
        <w:rPr>
          <w:rFonts w:ascii="Arial" w:eastAsia="Calibri" w:hAnsi="Arial" w:cs="Arial"/>
          <w:b/>
          <w:bCs/>
          <w:color w:val="000000" w:themeColor="text1"/>
          <w:sz w:val="22"/>
          <w:lang w:val="es-ES"/>
        </w:rPr>
      </w:pPr>
      <w:r w:rsidRPr="00332BE4">
        <w:rPr>
          <w:rFonts w:ascii="Arial" w:hAnsi="Arial" w:cs="Arial"/>
          <w:b/>
          <w:bCs/>
          <w:sz w:val="22"/>
          <w:lang w:val="es-CO"/>
        </w:rPr>
        <w:t>Carlos Gustavo Yara Quintero</w:t>
      </w:r>
    </w:p>
    <w:p w14:paraId="5F194906" w14:textId="522E53F0" w:rsidR="00096901" w:rsidRPr="00332BE4" w:rsidRDefault="006C1640" w:rsidP="004716C9">
      <w:pPr>
        <w:jc w:val="both"/>
        <w:rPr>
          <w:rFonts w:ascii="Arial" w:eastAsia="Calibri" w:hAnsi="Arial" w:cs="Arial"/>
          <w:color w:val="000000" w:themeColor="text1"/>
          <w:sz w:val="22"/>
          <w:lang w:val="es-ES"/>
        </w:rPr>
      </w:pPr>
      <w:r w:rsidRPr="000C3D09">
        <w:rPr>
          <w:rFonts w:ascii="Arial" w:eastAsia="Calibri" w:hAnsi="Arial" w:cs="Arial"/>
          <w:color w:val="000000" w:themeColor="text1"/>
          <w:sz w:val="22"/>
          <w:lang w:val="es-ES"/>
        </w:rPr>
        <w:t>Natagaima, Tolima</w:t>
      </w:r>
    </w:p>
    <w:p w14:paraId="537C2E2E" w14:textId="77777777" w:rsidR="004A303C" w:rsidRPr="009F05AC" w:rsidRDefault="004A303C" w:rsidP="004716C9">
      <w:pPr>
        <w:jc w:val="both"/>
        <w:rPr>
          <w:rFonts w:ascii="Arial" w:eastAsia="Calibri" w:hAnsi="Arial" w:cs="Arial"/>
          <w:color w:val="000000" w:themeColor="text1"/>
          <w:sz w:val="20"/>
          <w:szCs w:val="20"/>
          <w:lang w:val="es-ES"/>
        </w:rPr>
      </w:pPr>
    </w:p>
    <w:p w14:paraId="5E047539" w14:textId="38CA53D4" w:rsidR="004A303C" w:rsidRPr="009F05AC" w:rsidRDefault="004A303C" w:rsidP="004716C9">
      <w:pPr>
        <w:ind w:firstLine="2694"/>
        <w:jc w:val="both"/>
        <w:outlineLvl w:val="0"/>
        <w:rPr>
          <w:rFonts w:ascii="Arial" w:eastAsia="Calibri" w:hAnsi="Arial" w:cs="Arial"/>
          <w:b/>
          <w:color w:val="000000" w:themeColor="text1"/>
          <w:sz w:val="22"/>
          <w:lang w:val="es-ES"/>
        </w:rPr>
      </w:pPr>
      <w:r w:rsidRPr="009F05AC">
        <w:rPr>
          <w:rFonts w:ascii="Arial" w:eastAsia="Calibri" w:hAnsi="Arial" w:cs="Arial"/>
          <w:b/>
          <w:color w:val="000000" w:themeColor="text1"/>
          <w:sz w:val="22"/>
          <w:lang w:val="es-ES"/>
        </w:rPr>
        <w:t xml:space="preserve">Concepto C – </w:t>
      </w:r>
      <w:r w:rsidR="006C1640" w:rsidRPr="009F05AC">
        <w:rPr>
          <w:rFonts w:ascii="Arial" w:eastAsia="Calibri" w:hAnsi="Arial" w:cs="Arial"/>
          <w:b/>
          <w:color w:val="000000" w:themeColor="text1"/>
          <w:sz w:val="22"/>
          <w:lang w:val="es-ES"/>
        </w:rPr>
        <w:t>095</w:t>
      </w:r>
      <w:r w:rsidR="00096901" w:rsidRPr="009F05AC">
        <w:rPr>
          <w:rFonts w:ascii="Arial" w:eastAsia="Calibri" w:hAnsi="Arial" w:cs="Arial"/>
          <w:b/>
          <w:color w:val="000000" w:themeColor="text1"/>
          <w:sz w:val="22"/>
          <w:lang w:val="es-ES"/>
        </w:rPr>
        <w:t xml:space="preserve"> de 2021</w:t>
      </w:r>
    </w:p>
    <w:p w14:paraId="6C11F5BA" w14:textId="77777777" w:rsidR="004A303C" w:rsidRPr="009F05AC"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9F05AC" w14:paraId="1A0E95A2" w14:textId="77777777" w:rsidTr="00A52EA7">
        <w:tc>
          <w:tcPr>
            <w:tcW w:w="2689" w:type="dxa"/>
            <w:hideMark/>
          </w:tcPr>
          <w:p w14:paraId="080CE19A" w14:textId="77777777" w:rsidR="004A303C" w:rsidRPr="009F05AC" w:rsidRDefault="004A303C" w:rsidP="00E928A5">
            <w:pPr>
              <w:rPr>
                <w:rFonts w:ascii="Arial" w:eastAsia="Calibri" w:hAnsi="Arial" w:cs="Arial"/>
                <w:color w:val="000000" w:themeColor="text1"/>
                <w:sz w:val="22"/>
                <w:lang w:val="es-ES"/>
              </w:rPr>
            </w:pPr>
            <w:r w:rsidRPr="009F05AC">
              <w:rPr>
                <w:rFonts w:ascii="Arial" w:eastAsia="Calibri" w:hAnsi="Arial" w:cs="Arial"/>
                <w:b/>
                <w:color w:val="000000" w:themeColor="text1"/>
                <w:sz w:val="22"/>
                <w:lang w:val="es-ES"/>
              </w:rPr>
              <w:t>Temas:</w:t>
            </w:r>
            <w:r w:rsidRPr="009F05AC">
              <w:rPr>
                <w:rFonts w:ascii="Arial" w:eastAsia="Calibri" w:hAnsi="Arial" w:cs="Arial"/>
                <w:color w:val="000000" w:themeColor="text1"/>
                <w:sz w:val="22"/>
                <w:lang w:val="es-ES"/>
              </w:rPr>
              <w:t xml:space="preserve">           </w:t>
            </w:r>
          </w:p>
          <w:p w14:paraId="71377C53" w14:textId="77777777" w:rsidR="004A303C" w:rsidRPr="009F05AC" w:rsidRDefault="004A303C" w:rsidP="00E928A5">
            <w:pPr>
              <w:rPr>
                <w:rFonts w:ascii="Arial" w:eastAsia="Calibri" w:hAnsi="Arial" w:cs="Arial"/>
                <w:color w:val="000000" w:themeColor="text1"/>
                <w:sz w:val="22"/>
                <w:lang w:val="es-ES"/>
              </w:rPr>
            </w:pPr>
            <w:r w:rsidRPr="009F05AC">
              <w:rPr>
                <w:rFonts w:ascii="Arial" w:eastAsia="Calibri" w:hAnsi="Arial" w:cs="Arial"/>
                <w:color w:val="000000" w:themeColor="text1"/>
                <w:sz w:val="22"/>
                <w:lang w:val="es-ES"/>
              </w:rPr>
              <w:t xml:space="preserve">                           </w:t>
            </w:r>
          </w:p>
        </w:tc>
        <w:tc>
          <w:tcPr>
            <w:tcW w:w="6237" w:type="dxa"/>
            <w:hideMark/>
          </w:tcPr>
          <w:p w14:paraId="78A982DF" w14:textId="628F1BF6" w:rsidR="004A303C" w:rsidRPr="009F05AC" w:rsidRDefault="002A4474" w:rsidP="001125C2">
            <w:pPr>
              <w:jc w:val="both"/>
              <w:rPr>
                <w:rFonts w:ascii="Arial" w:eastAsia="Calibri" w:hAnsi="Arial" w:cs="Arial"/>
                <w:b/>
                <w:bCs/>
                <w:color w:val="000000" w:themeColor="text1"/>
                <w:sz w:val="22"/>
                <w:lang w:val="es-ES_tradnl"/>
              </w:rPr>
            </w:pPr>
            <w:r w:rsidRPr="002A4474">
              <w:rPr>
                <w:rFonts w:ascii="Arial" w:eastAsia="Calibri" w:hAnsi="Arial" w:cs="Arial"/>
                <w:color w:val="000000" w:themeColor="text1"/>
                <w:sz w:val="22"/>
                <w:lang w:val="es-ES_tradnl"/>
              </w:rPr>
              <w:t>ADMINISTRACIÓN PÚBLICA – Estructura – Aspectos Generales – Descentralización y desconcentración</w:t>
            </w:r>
            <w:r w:rsidR="009B193D" w:rsidRPr="009F05AC">
              <w:rPr>
                <w:rFonts w:ascii="Arial" w:eastAsia="Calibri" w:hAnsi="Arial" w:cs="Arial"/>
                <w:color w:val="000000" w:themeColor="text1"/>
                <w:sz w:val="22"/>
                <w:lang w:val="es-ES_tradnl"/>
              </w:rPr>
              <w:t xml:space="preserve"> / </w:t>
            </w:r>
            <w:r w:rsidR="00582383" w:rsidRPr="00582383">
              <w:rPr>
                <w:rFonts w:ascii="Arial" w:eastAsia="Calibri" w:hAnsi="Arial" w:cs="Arial"/>
                <w:color w:val="000000" w:themeColor="text1"/>
                <w:sz w:val="22"/>
                <w:lang w:val="es-ES_tradnl"/>
              </w:rPr>
              <w:t>CONTRATACIÓN ESTATAL – Capacidad jurídica – Fundamento general – Régimen de inhabilidades e incompatibilidades</w:t>
            </w:r>
            <w:r w:rsidR="009B193D" w:rsidRPr="009F05AC">
              <w:rPr>
                <w:rFonts w:ascii="Arial" w:eastAsia="Calibri" w:hAnsi="Arial" w:cs="Arial"/>
                <w:color w:val="000000" w:themeColor="text1"/>
                <w:sz w:val="22"/>
                <w:lang w:val="es-ES_tradnl"/>
              </w:rPr>
              <w:t xml:space="preserve"> / LEY 1474 DE 2011 – Artículo quinto – inhabilidad para contratar – Naturaleza / LEY 1474 DE 2011 – Artículo quinto – inhabilidad para contratar – Requisitos.</w:t>
            </w:r>
          </w:p>
        </w:tc>
      </w:tr>
      <w:tr w:rsidR="000079A6" w:rsidRPr="009F05AC" w14:paraId="4A23AD64" w14:textId="77777777" w:rsidTr="00212317">
        <w:trPr>
          <w:trHeight w:val="215"/>
        </w:trPr>
        <w:tc>
          <w:tcPr>
            <w:tcW w:w="2689" w:type="dxa"/>
          </w:tcPr>
          <w:p w14:paraId="3C8F1BA1" w14:textId="77777777" w:rsidR="004A303C" w:rsidRPr="009F05AC" w:rsidRDefault="004A303C" w:rsidP="00E928A5">
            <w:pPr>
              <w:spacing w:before="120"/>
              <w:rPr>
                <w:rFonts w:ascii="Arial" w:eastAsia="Calibri" w:hAnsi="Arial" w:cs="Arial"/>
                <w:b/>
                <w:color w:val="000000" w:themeColor="text1"/>
                <w:sz w:val="22"/>
                <w:lang w:val="es-ES"/>
              </w:rPr>
            </w:pPr>
            <w:r w:rsidRPr="009F05AC">
              <w:rPr>
                <w:rFonts w:ascii="Arial" w:eastAsia="Calibri" w:hAnsi="Arial" w:cs="Arial"/>
                <w:b/>
                <w:color w:val="000000" w:themeColor="text1"/>
                <w:sz w:val="22"/>
                <w:lang w:val="es-ES"/>
              </w:rPr>
              <w:t>Radicación:</w:t>
            </w:r>
            <w:r w:rsidRPr="009F05AC">
              <w:rPr>
                <w:rFonts w:ascii="Arial" w:eastAsia="Calibri" w:hAnsi="Arial" w:cs="Arial"/>
                <w:color w:val="000000" w:themeColor="text1"/>
                <w:sz w:val="22"/>
                <w:lang w:val="es-ES"/>
              </w:rPr>
              <w:t xml:space="preserve">                              </w:t>
            </w:r>
          </w:p>
        </w:tc>
        <w:tc>
          <w:tcPr>
            <w:tcW w:w="6237" w:type="dxa"/>
          </w:tcPr>
          <w:p w14:paraId="5923B6AB" w14:textId="3419EBCC" w:rsidR="004A303C" w:rsidRPr="009F05AC" w:rsidRDefault="004A303C" w:rsidP="00096901">
            <w:pPr>
              <w:spacing w:before="120"/>
              <w:jc w:val="both"/>
              <w:rPr>
                <w:rFonts w:ascii="Arial" w:eastAsia="Calibri" w:hAnsi="Arial" w:cs="Arial"/>
                <w:color w:val="000000" w:themeColor="text1"/>
                <w:sz w:val="22"/>
                <w:lang w:val="es-ES"/>
              </w:rPr>
            </w:pPr>
            <w:r w:rsidRPr="009F05AC">
              <w:rPr>
                <w:rFonts w:ascii="Arial" w:eastAsia="Calibri" w:hAnsi="Arial" w:cs="Arial"/>
                <w:color w:val="000000" w:themeColor="text1"/>
                <w:sz w:val="22"/>
                <w:lang w:val="es-ES"/>
              </w:rPr>
              <w:t>Respuesta a consulta</w:t>
            </w:r>
            <w:r w:rsidR="009413FD" w:rsidRPr="009F05AC">
              <w:rPr>
                <w:rFonts w:ascii="Arial" w:eastAsia="Calibri" w:hAnsi="Arial" w:cs="Arial"/>
                <w:color w:val="000000" w:themeColor="text1"/>
                <w:sz w:val="22"/>
                <w:lang w:val="es-ES"/>
              </w:rPr>
              <w:t xml:space="preserve"> </w:t>
            </w:r>
            <w:r w:rsidR="009B193D" w:rsidRPr="009F05AC">
              <w:rPr>
                <w:rFonts w:ascii="Arial" w:eastAsia="Calibri" w:hAnsi="Arial" w:cs="Arial"/>
                <w:color w:val="000000" w:themeColor="text1"/>
                <w:sz w:val="22"/>
                <w:lang w:val="es-ES"/>
              </w:rPr>
              <w:t>P20210209001066</w:t>
            </w:r>
          </w:p>
        </w:tc>
      </w:tr>
    </w:tbl>
    <w:p w14:paraId="2B7B4722" w14:textId="5C44ED66" w:rsidR="00D41D56" w:rsidRPr="009F05AC" w:rsidRDefault="00D41D56" w:rsidP="006C23E1">
      <w:pPr>
        <w:spacing w:line="276" w:lineRule="auto"/>
        <w:rPr>
          <w:rFonts w:ascii="Arial" w:eastAsia="Calibri" w:hAnsi="Arial" w:cs="Arial"/>
          <w:color w:val="000000" w:themeColor="text1"/>
          <w:sz w:val="22"/>
          <w:lang w:val="es-ES"/>
        </w:rPr>
      </w:pPr>
    </w:p>
    <w:p w14:paraId="5B5442B6" w14:textId="77777777" w:rsidR="004302E9" w:rsidRPr="009F05AC" w:rsidRDefault="004302E9" w:rsidP="006C23E1">
      <w:pPr>
        <w:spacing w:line="276" w:lineRule="auto"/>
        <w:rPr>
          <w:rFonts w:ascii="Arial" w:eastAsia="Calibri" w:hAnsi="Arial" w:cs="Arial"/>
          <w:color w:val="000000" w:themeColor="text1"/>
          <w:sz w:val="22"/>
          <w:lang w:val="es-ES"/>
        </w:rPr>
      </w:pPr>
    </w:p>
    <w:p w14:paraId="5A323A09" w14:textId="4DA1AE99" w:rsidR="00BE151C" w:rsidRPr="009F05AC" w:rsidRDefault="00096901" w:rsidP="004302E9">
      <w:pPr>
        <w:spacing w:line="276" w:lineRule="auto"/>
        <w:rPr>
          <w:rFonts w:ascii="Arial" w:eastAsia="Calibri" w:hAnsi="Arial" w:cs="Arial"/>
          <w:color w:val="000000" w:themeColor="text1"/>
          <w:sz w:val="22"/>
          <w:lang w:val="es-ES"/>
        </w:rPr>
      </w:pPr>
      <w:r w:rsidRPr="009F05AC">
        <w:rPr>
          <w:rFonts w:ascii="Arial" w:eastAsia="Calibri" w:hAnsi="Arial" w:cs="Arial"/>
          <w:color w:val="000000" w:themeColor="text1"/>
          <w:sz w:val="22"/>
          <w:lang w:val="es-ES"/>
        </w:rPr>
        <w:t>Estimad</w:t>
      </w:r>
      <w:r w:rsidR="00A104F8" w:rsidRPr="009F05AC">
        <w:rPr>
          <w:rFonts w:ascii="Arial" w:eastAsia="Calibri" w:hAnsi="Arial" w:cs="Arial"/>
          <w:color w:val="000000" w:themeColor="text1"/>
          <w:sz w:val="22"/>
          <w:lang w:val="es-ES"/>
        </w:rPr>
        <w:t>o señor Yara</w:t>
      </w:r>
      <w:r w:rsidR="004A303C" w:rsidRPr="009F05AC">
        <w:rPr>
          <w:rFonts w:ascii="Arial" w:eastAsia="Calibri" w:hAnsi="Arial" w:cs="Arial"/>
          <w:color w:val="000000" w:themeColor="text1"/>
          <w:sz w:val="22"/>
          <w:lang w:val="es-ES"/>
        </w:rPr>
        <w:t>:</w:t>
      </w:r>
    </w:p>
    <w:p w14:paraId="5D535C7E" w14:textId="77777777" w:rsidR="004302E9" w:rsidRPr="009F05AC" w:rsidRDefault="004302E9" w:rsidP="004302E9">
      <w:pPr>
        <w:spacing w:line="276" w:lineRule="auto"/>
        <w:rPr>
          <w:rFonts w:ascii="Arial" w:eastAsia="Calibri" w:hAnsi="Arial" w:cs="Arial"/>
          <w:color w:val="000000" w:themeColor="text1"/>
          <w:sz w:val="22"/>
          <w:lang w:val="es-ES"/>
        </w:rPr>
      </w:pPr>
    </w:p>
    <w:p w14:paraId="687A4976" w14:textId="0DE4DB26" w:rsidR="00365097" w:rsidRPr="009F05AC" w:rsidRDefault="004A303C" w:rsidP="00BE151C">
      <w:pPr>
        <w:spacing w:line="276" w:lineRule="auto"/>
        <w:jc w:val="both"/>
        <w:rPr>
          <w:rFonts w:ascii="Arial" w:eastAsia="Calibri" w:hAnsi="Arial" w:cs="Arial"/>
          <w:color w:val="000000" w:themeColor="text1"/>
          <w:sz w:val="22"/>
          <w:lang w:val="es-ES"/>
        </w:rPr>
      </w:pPr>
      <w:r w:rsidRPr="009F05AC">
        <w:rPr>
          <w:rFonts w:ascii="Arial" w:eastAsia="Calibri" w:hAnsi="Arial" w:cs="Arial"/>
          <w:color w:val="000000" w:themeColor="text1"/>
          <w:sz w:val="22"/>
          <w:lang w:val="es-ES"/>
        </w:rPr>
        <w:t>En ejercicio de la competencia otorgada p</w:t>
      </w:r>
      <w:r w:rsidR="004213D4" w:rsidRPr="009F05AC">
        <w:rPr>
          <w:rFonts w:ascii="Arial" w:eastAsia="Calibri" w:hAnsi="Arial" w:cs="Arial"/>
          <w:color w:val="000000" w:themeColor="text1"/>
          <w:sz w:val="22"/>
          <w:lang w:val="es-ES"/>
        </w:rPr>
        <w:t xml:space="preserve">or </w:t>
      </w:r>
      <w:r w:rsidR="00622C6E" w:rsidRPr="009F05AC">
        <w:rPr>
          <w:rFonts w:ascii="Arial" w:eastAsia="Calibri" w:hAnsi="Arial" w:cs="Arial"/>
          <w:color w:val="000000" w:themeColor="text1"/>
          <w:sz w:val="22"/>
          <w:lang w:val="es-ES"/>
        </w:rPr>
        <w:t>el numeral 8 del artículo 11 y el numeral 5 del artículo</w:t>
      </w:r>
      <w:r w:rsidR="00096901" w:rsidRPr="009F05AC">
        <w:rPr>
          <w:rFonts w:ascii="Arial" w:eastAsia="Calibri" w:hAnsi="Arial" w:cs="Arial"/>
          <w:color w:val="000000" w:themeColor="text1"/>
          <w:sz w:val="22"/>
          <w:lang w:val="es-ES"/>
        </w:rPr>
        <w:t xml:space="preserve"> 3</w:t>
      </w:r>
      <w:r w:rsidR="00622C6E" w:rsidRPr="009F05AC">
        <w:rPr>
          <w:rFonts w:ascii="Arial" w:eastAsia="Calibri" w:hAnsi="Arial" w:cs="Arial"/>
          <w:color w:val="000000" w:themeColor="text1"/>
          <w:sz w:val="22"/>
          <w:lang w:val="es-ES"/>
        </w:rPr>
        <w:t xml:space="preserve"> </w:t>
      </w:r>
      <w:r w:rsidRPr="009F05AC">
        <w:rPr>
          <w:rFonts w:ascii="Arial" w:eastAsia="Calibri" w:hAnsi="Arial" w:cs="Arial"/>
          <w:color w:val="000000" w:themeColor="text1"/>
          <w:sz w:val="22"/>
          <w:lang w:val="es-ES"/>
        </w:rPr>
        <w:t xml:space="preserve">del Decreto Ley 4170 de 2011, la Agencia Nacional de Contratación Pública − Colombia Compra Eficiente responde su consulta del </w:t>
      </w:r>
      <w:r w:rsidR="007164FE" w:rsidRPr="009F05AC">
        <w:rPr>
          <w:rFonts w:ascii="Arial" w:eastAsia="Calibri" w:hAnsi="Arial" w:cs="Arial"/>
          <w:color w:val="000000" w:themeColor="text1"/>
          <w:sz w:val="22"/>
          <w:lang w:val="es-ES"/>
        </w:rPr>
        <w:t xml:space="preserve">2 </w:t>
      </w:r>
      <w:r w:rsidRPr="009F05AC">
        <w:rPr>
          <w:rFonts w:ascii="Arial" w:eastAsia="Calibri" w:hAnsi="Arial" w:cs="Arial"/>
          <w:color w:val="000000" w:themeColor="text1"/>
          <w:sz w:val="22"/>
          <w:lang w:val="es-ES"/>
        </w:rPr>
        <w:t xml:space="preserve">de </w:t>
      </w:r>
      <w:r w:rsidR="007164FE" w:rsidRPr="009F05AC">
        <w:rPr>
          <w:rFonts w:ascii="Arial" w:eastAsia="Calibri" w:hAnsi="Arial" w:cs="Arial"/>
          <w:color w:val="000000" w:themeColor="text1"/>
          <w:sz w:val="22"/>
          <w:lang w:val="es-ES"/>
        </w:rPr>
        <w:t>febrero</w:t>
      </w:r>
      <w:r w:rsidRPr="009F05AC">
        <w:rPr>
          <w:rFonts w:ascii="Arial" w:eastAsia="Calibri" w:hAnsi="Arial" w:cs="Arial"/>
          <w:color w:val="000000" w:themeColor="text1"/>
          <w:sz w:val="22"/>
          <w:lang w:val="es-ES"/>
        </w:rPr>
        <w:t xml:space="preserve"> de 202</w:t>
      </w:r>
      <w:r w:rsidR="00B5626A" w:rsidRPr="009F05AC">
        <w:rPr>
          <w:rFonts w:ascii="Arial" w:eastAsia="Calibri" w:hAnsi="Arial" w:cs="Arial"/>
          <w:color w:val="000000" w:themeColor="text1"/>
          <w:sz w:val="22"/>
          <w:lang w:val="es-ES"/>
        </w:rPr>
        <w:t>1</w:t>
      </w:r>
      <w:r w:rsidR="00861ADD" w:rsidRPr="009F05AC">
        <w:rPr>
          <w:rFonts w:ascii="Arial" w:eastAsia="Calibri" w:hAnsi="Arial" w:cs="Arial"/>
          <w:color w:val="000000" w:themeColor="text1"/>
          <w:sz w:val="22"/>
          <w:lang w:val="es-ES"/>
        </w:rPr>
        <w:t xml:space="preserve">. </w:t>
      </w:r>
    </w:p>
    <w:p w14:paraId="207ACBC2" w14:textId="77777777" w:rsidR="00BE151C" w:rsidRPr="009F05AC"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9F05A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9F05AC">
        <w:rPr>
          <w:rFonts w:ascii="Arial" w:eastAsia="Calibri" w:hAnsi="Arial" w:cs="Arial"/>
          <w:b/>
          <w:color w:val="000000" w:themeColor="text1"/>
          <w:sz w:val="22"/>
          <w:lang w:val="es-ES"/>
        </w:rPr>
        <w:t xml:space="preserve">1. </w:t>
      </w:r>
      <w:r w:rsidR="004A303C" w:rsidRPr="009F05AC">
        <w:rPr>
          <w:rFonts w:ascii="Arial" w:eastAsia="Calibri" w:hAnsi="Arial" w:cs="Arial"/>
          <w:b/>
          <w:color w:val="000000" w:themeColor="text1"/>
          <w:sz w:val="22"/>
          <w:lang w:val="es-ES"/>
        </w:rPr>
        <w:t xml:space="preserve">Problemas planteados </w:t>
      </w:r>
    </w:p>
    <w:p w14:paraId="21E78DDF" w14:textId="77777777" w:rsidR="00BE151C" w:rsidRPr="009F05AC"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383635BC" w14:textId="2A28CEAF" w:rsidR="00F85810" w:rsidRPr="009F05AC" w:rsidRDefault="00C653FC"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9F05AC">
        <w:rPr>
          <w:rFonts w:ascii="Arial" w:eastAsia="Calibri" w:hAnsi="Arial" w:cs="Arial"/>
          <w:color w:val="000000" w:themeColor="text1"/>
          <w:sz w:val="22"/>
          <w:szCs w:val="22"/>
          <w:lang w:val="es-ES"/>
        </w:rPr>
        <w:t xml:space="preserve">Usted formula la siguiente </w:t>
      </w:r>
      <w:r w:rsidR="009B1AC4">
        <w:rPr>
          <w:rFonts w:ascii="Arial" w:eastAsia="Calibri" w:hAnsi="Arial" w:cs="Arial"/>
          <w:color w:val="000000" w:themeColor="text1"/>
          <w:sz w:val="22"/>
          <w:szCs w:val="22"/>
          <w:lang w:val="es-ES"/>
        </w:rPr>
        <w:t>consulta</w:t>
      </w:r>
      <w:r w:rsidR="009B1AC4" w:rsidRPr="009F05AC">
        <w:rPr>
          <w:rFonts w:ascii="Arial" w:eastAsia="Calibri" w:hAnsi="Arial" w:cs="Arial"/>
          <w:color w:val="000000" w:themeColor="text1"/>
          <w:sz w:val="22"/>
          <w:szCs w:val="22"/>
          <w:lang w:val="es-ES"/>
        </w:rPr>
        <w:t xml:space="preserve"> </w:t>
      </w:r>
      <w:r w:rsidR="007164FE" w:rsidRPr="009F05AC">
        <w:rPr>
          <w:rFonts w:ascii="Arial" w:eastAsia="Calibri" w:hAnsi="Arial" w:cs="Arial"/>
          <w:color w:val="000000" w:themeColor="text1"/>
          <w:sz w:val="22"/>
          <w:szCs w:val="22"/>
          <w:lang w:val="es-ES"/>
        </w:rPr>
        <w:t xml:space="preserve">en relación con </w:t>
      </w:r>
      <w:r w:rsidR="00BB6108" w:rsidRPr="009F05AC">
        <w:rPr>
          <w:rFonts w:ascii="Arial" w:eastAsia="Calibri" w:hAnsi="Arial" w:cs="Arial"/>
          <w:color w:val="000000" w:themeColor="text1"/>
          <w:sz w:val="22"/>
          <w:szCs w:val="22"/>
          <w:lang w:val="es-ES"/>
        </w:rPr>
        <w:t xml:space="preserve">la </w:t>
      </w:r>
      <w:r w:rsidR="00DD68D0" w:rsidRPr="009F05AC">
        <w:rPr>
          <w:rFonts w:ascii="Arial" w:eastAsia="Calibri" w:hAnsi="Arial" w:cs="Arial"/>
          <w:color w:val="000000" w:themeColor="text1"/>
          <w:sz w:val="22"/>
          <w:szCs w:val="22"/>
          <w:lang w:val="es-ES"/>
        </w:rPr>
        <w:t xml:space="preserve">inhabilidad consignada en el artículo </w:t>
      </w:r>
      <w:r w:rsidR="009B1AC4">
        <w:rPr>
          <w:rFonts w:ascii="Arial" w:eastAsia="Calibri" w:hAnsi="Arial" w:cs="Arial"/>
          <w:color w:val="000000" w:themeColor="text1"/>
          <w:sz w:val="22"/>
          <w:szCs w:val="22"/>
          <w:lang w:val="es-ES"/>
        </w:rPr>
        <w:t>5</w:t>
      </w:r>
      <w:r w:rsidR="009B1AC4" w:rsidRPr="009F05AC">
        <w:rPr>
          <w:rFonts w:ascii="Arial" w:eastAsia="Calibri" w:hAnsi="Arial" w:cs="Arial"/>
          <w:color w:val="000000" w:themeColor="text1"/>
          <w:sz w:val="22"/>
          <w:szCs w:val="22"/>
          <w:lang w:val="es-ES"/>
        </w:rPr>
        <w:t xml:space="preserve"> </w:t>
      </w:r>
      <w:r w:rsidR="00DD68D0" w:rsidRPr="009F05AC">
        <w:rPr>
          <w:rFonts w:ascii="Arial" w:eastAsia="Calibri" w:hAnsi="Arial" w:cs="Arial"/>
          <w:color w:val="000000" w:themeColor="text1"/>
          <w:sz w:val="22"/>
          <w:szCs w:val="22"/>
          <w:lang w:val="es-ES"/>
        </w:rPr>
        <w:t>de la Ley 1474 de 2011</w:t>
      </w:r>
      <w:r w:rsidR="007164FE" w:rsidRPr="009F05AC">
        <w:rPr>
          <w:rFonts w:ascii="Arial" w:eastAsia="Calibri" w:hAnsi="Arial" w:cs="Arial"/>
          <w:color w:val="000000" w:themeColor="text1"/>
          <w:sz w:val="22"/>
          <w:szCs w:val="22"/>
          <w:lang w:val="es-ES"/>
        </w:rPr>
        <w:t xml:space="preserve">: </w:t>
      </w:r>
    </w:p>
    <w:p w14:paraId="0672E7EB" w14:textId="1F98B683" w:rsidR="007164FE" w:rsidRPr="009F05AC" w:rsidRDefault="00DD68D0" w:rsidP="00BB6108">
      <w:pPr>
        <w:pStyle w:val="NormalWeb"/>
        <w:shd w:val="clear" w:color="auto" w:fill="FFFFFF"/>
        <w:spacing w:before="120" w:beforeAutospacing="0" w:after="0" w:afterAutospacing="0"/>
        <w:ind w:left="709" w:right="709"/>
        <w:jc w:val="both"/>
        <w:rPr>
          <w:rFonts w:ascii="Arial" w:eastAsia="Calibri" w:hAnsi="Arial" w:cs="Arial"/>
          <w:color w:val="000000" w:themeColor="text1"/>
          <w:sz w:val="21"/>
          <w:szCs w:val="21"/>
          <w:lang w:val="es-ES"/>
        </w:rPr>
      </w:pPr>
      <w:bookmarkStart w:id="2" w:name="_Hlk64545847"/>
      <w:r w:rsidRPr="009F05AC">
        <w:rPr>
          <w:rFonts w:ascii="Arial" w:eastAsia="Calibri" w:hAnsi="Arial" w:cs="Arial"/>
          <w:color w:val="000000" w:themeColor="text1"/>
          <w:sz w:val="21"/>
          <w:szCs w:val="21"/>
          <w:lang w:val="es-ES"/>
        </w:rPr>
        <w:t>«</w:t>
      </w:r>
      <w:r w:rsidR="009B1AC4">
        <w:rPr>
          <w:rFonts w:ascii="Arial" w:eastAsia="Calibri" w:hAnsi="Arial" w:cs="Arial"/>
          <w:color w:val="000000" w:themeColor="text1"/>
          <w:sz w:val="21"/>
          <w:szCs w:val="21"/>
          <w:lang w:val="es-ES"/>
        </w:rPr>
        <w:t xml:space="preserve">[…] </w:t>
      </w:r>
      <w:r w:rsidRPr="009F05AC">
        <w:rPr>
          <w:rFonts w:ascii="Arial" w:eastAsia="Calibri" w:hAnsi="Arial" w:cs="Arial"/>
          <w:color w:val="000000" w:themeColor="text1"/>
          <w:sz w:val="21"/>
          <w:szCs w:val="21"/>
          <w:lang w:val="es-ES"/>
        </w:rPr>
        <w:t xml:space="preserve">cuando se habla de la inhabilidad consignada en el artículo 5 de la Ley 1474 de 2011 ¿cuál sería el alcance de la expresión “misma entidad” dado que en una misma jurisdicción confluyen entidades como alcaldía, </w:t>
      </w:r>
      <w:proofErr w:type="gramStart"/>
      <w:r w:rsidRPr="009F05AC">
        <w:rPr>
          <w:rFonts w:ascii="Arial" w:eastAsia="Calibri" w:hAnsi="Arial" w:cs="Arial"/>
          <w:color w:val="000000" w:themeColor="text1"/>
          <w:sz w:val="21"/>
          <w:szCs w:val="21"/>
          <w:lang w:val="es-ES"/>
        </w:rPr>
        <w:t>la empresas</w:t>
      </w:r>
      <w:proofErr w:type="gramEnd"/>
      <w:r w:rsidRPr="009F05AC">
        <w:rPr>
          <w:rFonts w:ascii="Arial" w:eastAsia="Calibri" w:hAnsi="Arial" w:cs="Arial"/>
          <w:color w:val="000000" w:themeColor="text1"/>
          <w:sz w:val="21"/>
          <w:szCs w:val="21"/>
          <w:lang w:val="es-ES"/>
        </w:rPr>
        <w:t xml:space="preserve"> (sic) de servicios públicos y empresa social del estado </w:t>
      </w:r>
      <w:proofErr w:type="spellStart"/>
      <w:r w:rsidRPr="009F05AC">
        <w:rPr>
          <w:rFonts w:ascii="Arial" w:eastAsia="Calibri" w:hAnsi="Arial" w:cs="Arial"/>
          <w:color w:val="000000" w:themeColor="text1"/>
          <w:sz w:val="21"/>
          <w:szCs w:val="21"/>
          <w:lang w:val="es-ES"/>
        </w:rPr>
        <w:t>E.S.E</w:t>
      </w:r>
      <w:proofErr w:type="spellEnd"/>
      <w:r w:rsidRPr="009F05AC">
        <w:rPr>
          <w:rFonts w:ascii="Arial" w:eastAsia="Calibri" w:hAnsi="Arial" w:cs="Arial"/>
          <w:color w:val="000000" w:themeColor="text1"/>
          <w:sz w:val="21"/>
          <w:szCs w:val="21"/>
          <w:lang w:val="es-ES"/>
        </w:rPr>
        <w:t xml:space="preserve">., en tal sentido se </w:t>
      </w:r>
      <w:r w:rsidRPr="009F05AC">
        <w:rPr>
          <w:rFonts w:ascii="Arial" w:eastAsia="Calibri" w:hAnsi="Arial" w:cs="Arial"/>
          <w:color w:val="000000" w:themeColor="text1"/>
          <w:sz w:val="21"/>
          <w:szCs w:val="21"/>
          <w:lang w:val="es-ES"/>
        </w:rPr>
        <w:lastRenderedPageBreak/>
        <w:t>hablaría de todas estas entidades de una misma jurisdicción como un todo es decir todas serían una misma entidad? ¿O por el contrario dichas entidades son totalmente distintas y no habría inconveniente al celebrar contratos de obra con una de esas entidades y uno de interventoría con otra de estas entidades de manera simultánea?</w:t>
      </w:r>
      <w:r w:rsidR="007164FE" w:rsidRPr="009F05AC">
        <w:rPr>
          <w:rFonts w:ascii="Arial" w:eastAsia="Calibri" w:hAnsi="Arial" w:cs="Arial"/>
          <w:color w:val="000000" w:themeColor="text1"/>
          <w:sz w:val="21"/>
          <w:szCs w:val="21"/>
          <w:lang w:val="es-ES"/>
        </w:rPr>
        <w:t>»</w:t>
      </w:r>
      <w:bookmarkEnd w:id="2"/>
      <w:r w:rsidR="003355C9" w:rsidRPr="009F05AC">
        <w:rPr>
          <w:rFonts w:ascii="Arial" w:eastAsia="Calibri" w:hAnsi="Arial" w:cs="Arial"/>
          <w:color w:val="000000" w:themeColor="text1"/>
          <w:sz w:val="21"/>
          <w:szCs w:val="21"/>
          <w:lang w:val="es-ES"/>
        </w:rPr>
        <w:t>.</w:t>
      </w:r>
    </w:p>
    <w:p w14:paraId="134AEF39" w14:textId="409E7550" w:rsidR="00EE0087" w:rsidRDefault="00EE0087"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1A0760F8" w14:textId="77777777" w:rsidR="009B1AC4" w:rsidRPr="009F05AC" w:rsidRDefault="009B1AC4"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9F05A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9F05AC">
        <w:rPr>
          <w:rFonts w:ascii="Arial" w:eastAsia="Calibri" w:hAnsi="Arial" w:cs="Arial"/>
          <w:b/>
          <w:color w:val="000000" w:themeColor="text1"/>
          <w:sz w:val="22"/>
          <w:lang w:val="es-ES"/>
        </w:rPr>
        <w:t xml:space="preserve">2. </w:t>
      </w:r>
      <w:r w:rsidR="007D0174" w:rsidRPr="009F05AC">
        <w:rPr>
          <w:rFonts w:ascii="Arial" w:eastAsia="Calibri" w:hAnsi="Arial" w:cs="Arial"/>
          <w:b/>
          <w:color w:val="000000" w:themeColor="text1"/>
          <w:sz w:val="22"/>
          <w:lang w:val="es-ES"/>
        </w:rPr>
        <w:t>Consideraciones</w:t>
      </w:r>
      <w:r w:rsidR="00E02237" w:rsidRPr="009F05AC">
        <w:rPr>
          <w:rFonts w:ascii="Arial" w:eastAsia="Calibri" w:hAnsi="Arial" w:cs="Arial"/>
          <w:b/>
          <w:color w:val="000000" w:themeColor="text1"/>
          <w:sz w:val="22"/>
          <w:lang w:val="es-ES"/>
        </w:rPr>
        <w:t xml:space="preserve"> </w:t>
      </w:r>
    </w:p>
    <w:p w14:paraId="0106C99C" w14:textId="77777777" w:rsidR="00E02237" w:rsidRPr="009F05AC" w:rsidRDefault="00E02237" w:rsidP="00332BE4">
      <w:pPr>
        <w:pStyle w:val="Prrafodelista"/>
        <w:tabs>
          <w:tab w:val="left" w:pos="284"/>
        </w:tabs>
        <w:ind w:left="0"/>
        <w:jc w:val="both"/>
        <w:rPr>
          <w:rFonts w:ascii="Arial" w:eastAsia="Calibri" w:hAnsi="Arial" w:cs="Arial"/>
          <w:b/>
          <w:color w:val="000000" w:themeColor="text1"/>
          <w:sz w:val="22"/>
          <w:lang w:val="es-ES"/>
        </w:rPr>
      </w:pPr>
    </w:p>
    <w:p w14:paraId="1EA006D4" w14:textId="08037FE4" w:rsidR="00365097" w:rsidRPr="009F05AC" w:rsidRDefault="009B0096" w:rsidP="00332BE4">
      <w:pPr>
        <w:spacing w:before="120" w:line="276" w:lineRule="auto"/>
        <w:jc w:val="both"/>
        <w:rPr>
          <w:rFonts w:ascii="Arial" w:eastAsia="Calibri" w:hAnsi="Arial" w:cs="Arial"/>
          <w:color w:val="000000" w:themeColor="text1"/>
          <w:sz w:val="22"/>
          <w:lang w:val="es-ES"/>
        </w:rPr>
      </w:pPr>
      <w:r w:rsidRPr="009F05AC">
        <w:rPr>
          <w:rFonts w:ascii="Arial" w:eastAsia="Times New Roman" w:hAnsi="Arial" w:cs="Arial"/>
          <w:color w:val="000000" w:themeColor="text1"/>
          <w:sz w:val="22"/>
          <w:lang w:val="es-ES" w:eastAsia="es-ES_tradnl"/>
        </w:rPr>
        <w:t>L</w:t>
      </w:r>
      <w:r w:rsidR="00393A8A" w:rsidRPr="009F05AC">
        <w:rPr>
          <w:rFonts w:ascii="Arial" w:eastAsia="Times New Roman" w:hAnsi="Arial" w:cs="Arial"/>
          <w:color w:val="000000" w:themeColor="text1"/>
          <w:sz w:val="22"/>
          <w:lang w:val="es-ES" w:eastAsia="es-ES_tradnl"/>
        </w:rPr>
        <w:t>a Agencia Nacional de Contratación Pública – Colombia Compra Eficiente</w:t>
      </w:r>
      <w:r w:rsidRPr="009F05AC">
        <w:rPr>
          <w:rFonts w:ascii="Arial" w:eastAsia="Calibri" w:hAnsi="Arial" w:cs="Arial"/>
          <w:sz w:val="22"/>
          <w:lang w:val="es-ES"/>
        </w:rPr>
        <w:t xml:space="preserve"> se ha referido </w:t>
      </w:r>
      <w:r w:rsidR="00E47D4C" w:rsidRPr="009F05AC">
        <w:rPr>
          <w:rFonts w:ascii="Arial" w:eastAsia="Calibri" w:hAnsi="Arial" w:cs="Arial"/>
          <w:sz w:val="22"/>
          <w:lang w:val="es-ES"/>
        </w:rPr>
        <w:t>al alcance y ámbito de aplicación</w:t>
      </w:r>
      <w:r w:rsidR="00FC2249" w:rsidRPr="009F05AC">
        <w:rPr>
          <w:rFonts w:ascii="Arial" w:eastAsia="Calibri" w:hAnsi="Arial" w:cs="Arial"/>
          <w:sz w:val="22"/>
          <w:lang w:val="es-ES"/>
        </w:rPr>
        <w:t xml:space="preserve"> del artículo </w:t>
      </w:r>
      <w:r w:rsidR="009B1AC4">
        <w:rPr>
          <w:rFonts w:ascii="Arial" w:eastAsia="Calibri" w:hAnsi="Arial" w:cs="Arial"/>
          <w:sz w:val="22"/>
          <w:lang w:val="es-ES"/>
        </w:rPr>
        <w:t>5</w:t>
      </w:r>
      <w:r w:rsidR="00FC2249" w:rsidRPr="009F05AC">
        <w:rPr>
          <w:rFonts w:ascii="Arial" w:eastAsia="Calibri" w:hAnsi="Arial" w:cs="Arial"/>
          <w:sz w:val="22"/>
          <w:lang w:val="es-ES"/>
        </w:rPr>
        <w:t xml:space="preserve"> de la Ley 1474 de 2011</w:t>
      </w:r>
      <w:r w:rsidR="00E47D4C" w:rsidRPr="009F05AC">
        <w:rPr>
          <w:rFonts w:ascii="Arial" w:eastAsia="Calibri" w:hAnsi="Arial" w:cs="Arial"/>
          <w:sz w:val="22"/>
          <w:lang w:val="es-ES"/>
        </w:rPr>
        <w:t xml:space="preserve">, entre otros, </w:t>
      </w:r>
      <w:r w:rsidR="00E47D4C" w:rsidRPr="009F05AC">
        <w:rPr>
          <w:rFonts w:ascii="Arial" w:eastAsia="Calibri" w:hAnsi="Arial" w:cs="Arial"/>
          <w:color w:val="000000" w:themeColor="text1"/>
          <w:sz w:val="22"/>
          <w:lang w:val="es-ES"/>
        </w:rPr>
        <w:t xml:space="preserve">mediante los conceptos </w:t>
      </w:r>
      <w:r w:rsidR="00FC2249" w:rsidRPr="009F05AC">
        <w:rPr>
          <w:rFonts w:ascii="Arial" w:eastAsia="Calibri" w:hAnsi="Arial" w:cs="Arial"/>
          <w:color w:val="000000" w:themeColor="text1"/>
          <w:sz w:val="22"/>
          <w:lang w:val="es-ES"/>
        </w:rPr>
        <w:t>4201912000006288 del 7 de noviembre de 2019, C</w:t>
      </w:r>
      <w:r w:rsidR="004B28F7" w:rsidRPr="009F05AC">
        <w:rPr>
          <w:rFonts w:ascii="Arial" w:eastAsia="Calibri" w:hAnsi="Arial" w:cs="Arial"/>
          <w:color w:val="000000" w:themeColor="text1"/>
          <w:sz w:val="22"/>
          <w:lang w:val="es-ES"/>
        </w:rPr>
        <w:t xml:space="preserve"> – 090 del 24 de febrero de 2020, C – 1</w:t>
      </w:r>
      <w:r w:rsidR="00FC2249" w:rsidRPr="009F05AC">
        <w:rPr>
          <w:rFonts w:ascii="Arial" w:eastAsia="Calibri" w:hAnsi="Arial" w:cs="Arial"/>
          <w:color w:val="000000" w:themeColor="text1"/>
          <w:sz w:val="22"/>
          <w:lang w:val="es-ES"/>
        </w:rPr>
        <w:t>25 del 3 de marzo de 2020</w:t>
      </w:r>
      <w:r w:rsidR="004B28F7" w:rsidRPr="009F05AC">
        <w:rPr>
          <w:rFonts w:ascii="Arial" w:eastAsia="Calibri" w:hAnsi="Arial" w:cs="Arial"/>
          <w:color w:val="000000" w:themeColor="text1"/>
          <w:sz w:val="22"/>
          <w:lang w:val="es-ES"/>
        </w:rPr>
        <w:t xml:space="preserve"> y </w:t>
      </w:r>
      <w:r w:rsidR="00FC2249" w:rsidRPr="009F05AC">
        <w:rPr>
          <w:rFonts w:ascii="Arial" w:eastAsia="Calibri" w:hAnsi="Arial" w:cs="Arial"/>
          <w:color w:val="000000" w:themeColor="text1"/>
          <w:sz w:val="22"/>
          <w:lang w:val="es-ES"/>
        </w:rPr>
        <w:t>C – 386 del 24 de julio de 2020</w:t>
      </w:r>
      <w:r w:rsidR="004B28F7" w:rsidRPr="009F05AC">
        <w:rPr>
          <w:rFonts w:ascii="Arial" w:eastAsia="Calibri" w:hAnsi="Arial" w:cs="Arial"/>
          <w:color w:val="000000" w:themeColor="text1"/>
          <w:sz w:val="22"/>
          <w:lang w:val="es-ES"/>
        </w:rPr>
        <w:t>.</w:t>
      </w:r>
      <w:r w:rsidR="00FC2249" w:rsidRPr="009F05AC">
        <w:rPr>
          <w:rFonts w:ascii="Arial" w:eastAsia="Calibri" w:hAnsi="Arial" w:cs="Arial"/>
          <w:color w:val="000000" w:themeColor="text1"/>
          <w:sz w:val="22"/>
          <w:lang w:val="es-ES"/>
        </w:rPr>
        <w:t xml:space="preserve"> </w:t>
      </w:r>
      <w:r w:rsidR="00B5626A" w:rsidRPr="009F05AC">
        <w:rPr>
          <w:rFonts w:ascii="Arial" w:eastAsia="Calibri" w:hAnsi="Arial" w:cs="Arial"/>
          <w:color w:val="000000" w:themeColor="text1"/>
          <w:sz w:val="22"/>
          <w:lang w:val="es-ES_tradnl"/>
        </w:rPr>
        <w:t xml:space="preserve">La tesis desarrollada </w:t>
      </w:r>
      <w:r w:rsidR="002F3738">
        <w:rPr>
          <w:rFonts w:ascii="Arial" w:eastAsia="Calibri" w:hAnsi="Arial" w:cs="Arial"/>
          <w:color w:val="000000" w:themeColor="text1"/>
          <w:sz w:val="22"/>
          <w:lang w:val="es-ES_tradnl"/>
        </w:rPr>
        <w:t>en estos conceptos</w:t>
      </w:r>
      <w:r w:rsidR="00B5626A" w:rsidRPr="009F05AC">
        <w:rPr>
          <w:rFonts w:ascii="Arial" w:eastAsia="Calibri" w:hAnsi="Arial" w:cs="Arial"/>
          <w:color w:val="000000" w:themeColor="text1"/>
          <w:sz w:val="22"/>
          <w:lang w:val="es-ES_tradnl"/>
        </w:rPr>
        <w:t xml:space="preserve"> </w:t>
      </w:r>
      <w:r w:rsidR="002F3738">
        <w:rPr>
          <w:rFonts w:ascii="Arial" w:eastAsia="Calibri" w:hAnsi="Arial" w:cs="Arial"/>
          <w:color w:val="000000" w:themeColor="text1"/>
          <w:sz w:val="22"/>
          <w:lang w:val="es-ES_tradnl"/>
        </w:rPr>
        <w:t xml:space="preserve">se reitera </w:t>
      </w:r>
      <w:r w:rsidR="00B5626A" w:rsidRPr="009F05AC">
        <w:rPr>
          <w:rFonts w:ascii="Arial" w:eastAsia="Calibri" w:hAnsi="Arial" w:cs="Arial"/>
          <w:color w:val="000000" w:themeColor="text1"/>
          <w:sz w:val="22"/>
          <w:lang w:val="es-ES_tradnl"/>
        </w:rPr>
        <w:t>a continuación</w:t>
      </w:r>
      <w:r w:rsidR="002F3738">
        <w:rPr>
          <w:rFonts w:ascii="Arial" w:eastAsia="Calibri" w:hAnsi="Arial" w:cs="Arial"/>
          <w:color w:val="000000" w:themeColor="text1"/>
          <w:sz w:val="22"/>
          <w:lang w:val="es-ES_tradnl"/>
        </w:rPr>
        <w:t>.</w:t>
      </w:r>
    </w:p>
    <w:p w14:paraId="62BDFF52" w14:textId="34AFA79B" w:rsidR="00365097" w:rsidRPr="009F05AC" w:rsidRDefault="00365097" w:rsidP="00BE151C">
      <w:pPr>
        <w:tabs>
          <w:tab w:val="left" w:pos="426"/>
        </w:tabs>
        <w:spacing w:line="276" w:lineRule="auto"/>
        <w:ind w:firstLine="425"/>
        <w:jc w:val="both"/>
        <w:rPr>
          <w:rFonts w:ascii="Arial" w:eastAsia="Calibri" w:hAnsi="Arial" w:cs="Arial"/>
          <w:color w:val="000000"/>
          <w:sz w:val="22"/>
          <w:lang w:val="es-ES_tradnl" w:eastAsia="en-GB"/>
        </w:rPr>
      </w:pPr>
    </w:p>
    <w:p w14:paraId="0088FE52" w14:textId="76198DB7" w:rsidR="004302E9" w:rsidRPr="009F05AC" w:rsidRDefault="008D5223" w:rsidP="00CF2E88">
      <w:pPr>
        <w:tabs>
          <w:tab w:val="left" w:pos="426"/>
        </w:tabs>
        <w:spacing w:line="276" w:lineRule="auto"/>
        <w:jc w:val="both"/>
        <w:rPr>
          <w:rFonts w:ascii="Arial" w:eastAsia="Times New Roman" w:hAnsi="Arial" w:cs="Arial"/>
          <w:b/>
          <w:color w:val="000000" w:themeColor="text1"/>
          <w:sz w:val="22"/>
          <w:lang w:val="es-ES" w:eastAsia="es-ES_tradnl"/>
        </w:rPr>
      </w:pPr>
      <w:r w:rsidRPr="009F05AC">
        <w:rPr>
          <w:rFonts w:ascii="Arial" w:eastAsia="Calibri" w:hAnsi="Arial" w:cs="Arial"/>
          <w:b/>
          <w:color w:val="000000"/>
          <w:sz w:val="22"/>
          <w:lang w:val="es-ES" w:eastAsia="en-GB"/>
        </w:rPr>
        <w:t>2</w:t>
      </w:r>
      <w:r w:rsidRPr="009F05AC">
        <w:rPr>
          <w:rFonts w:ascii="Arial" w:eastAsia="Calibri" w:hAnsi="Arial" w:cs="Arial"/>
          <w:b/>
          <w:color w:val="000000"/>
          <w:sz w:val="22"/>
          <w:lang w:val="es-ES_tradnl" w:eastAsia="en-GB"/>
        </w:rPr>
        <w:t xml:space="preserve">.1. </w:t>
      </w:r>
      <w:r w:rsidR="00F40307" w:rsidRPr="009F05AC">
        <w:rPr>
          <w:rFonts w:ascii="Arial" w:eastAsia="Calibri" w:hAnsi="Arial" w:cs="Arial"/>
          <w:b/>
          <w:color w:val="000000"/>
          <w:sz w:val="22"/>
          <w:lang w:val="es-ES_tradnl" w:eastAsia="en-GB"/>
        </w:rPr>
        <w:t xml:space="preserve">Aspectos generales de la estructura </w:t>
      </w:r>
      <w:r w:rsidR="001639F7" w:rsidRPr="009F05AC">
        <w:rPr>
          <w:rFonts w:ascii="Arial" w:eastAsia="Calibri" w:hAnsi="Arial" w:cs="Arial"/>
          <w:b/>
          <w:color w:val="000000"/>
          <w:sz w:val="22"/>
          <w:lang w:val="es-ES_tradnl" w:eastAsia="en-GB"/>
        </w:rPr>
        <w:t>de la administración pública</w:t>
      </w:r>
      <w:r w:rsidR="00F40307" w:rsidRPr="009F05AC">
        <w:rPr>
          <w:rFonts w:ascii="Arial" w:eastAsia="Calibri" w:hAnsi="Arial" w:cs="Arial"/>
          <w:b/>
          <w:color w:val="000000"/>
          <w:sz w:val="22"/>
          <w:lang w:val="es-ES_tradnl" w:eastAsia="en-GB"/>
        </w:rPr>
        <w:t xml:space="preserve"> en materia de descentralización</w:t>
      </w:r>
      <w:r w:rsidR="004C0845">
        <w:rPr>
          <w:rFonts w:ascii="Arial" w:eastAsia="Calibri" w:hAnsi="Arial" w:cs="Arial"/>
          <w:b/>
          <w:color w:val="000000"/>
          <w:sz w:val="22"/>
          <w:lang w:val="es-ES_tradnl" w:eastAsia="en-GB"/>
        </w:rPr>
        <w:t xml:space="preserve"> </w:t>
      </w:r>
      <w:r w:rsidR="00F40307" w:rsidRPr="009F05AC">
        <w:rPr>
          <w:rFonts w:ascii="Arial" w:eastAsia="Calibri" w:hAnsi="Arial" w:cs="Arial"/>
          <w:b/>
          <w:color w:val="000000"/>
          <w:sz w:val="22"/>
          <w:lang w:val="es-ES_tradnl" w:eastAsia="en-GB"/>
        </w:rPr>
        <w:t xml:space="preserve">de funciones </w:t>
      </w:r>
      <w:r w:rsidR="004C0845">
        <w:rPr>
          <w:rFonts w:ascii="Arial" w:eastAsia="Calibri" w:hAnsi="Arial" w:cs="Arial"/>
          <w:b/>
          <w:color w:val="000000"/>
          <w:sz w:val="22"/>
          <w:lang w:val="es-ES_tradnl" w:eastAsia="en-GB"/>
        </w:rPr>
        <w:t>y capacidad para contratar</w:t>
      </w:r>
    </w:p>
    <w:p w14:paraId="304ACD59" w14:textId="77777777" w:rsidR="00F6477A" w:rsidRPr="009F05AC" w:rsidRDefault="00F6477A" w:rsidP="00F6477A">
      <w:pPr>
        <w:tabs>
          <w:tab w:val="left" w:pos="426"/>
        </w:tabs>
        <w:spacing w:line="276" w:lineRule="auto"/>
        <w:jc w:val="both"/>
        <w:rPr>
          <w:rFonts w:ascii="Arial" w:eastAsia="Times New Roman" w:hAnsi="Arial" w:cs="Arial"/>
          <w:color w:val="000000" w:themeColor="text1"/>
          <w:sz w:val="22"/>
          <w:lang w:val="es-ES" w:eastAsia="es-ES_tradnl"/>
        </w:rPr>
      </w:pPr>
    </w:p>
    <w:p w14:paraId="57362560" w14:textId="3884F381" w:rsidR="006E226D" w:rsidRDefault="006E226D" w:rsidP="00E5766C">
      <w:pPr>
        <w:spacing w:after="120"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La existencia de</w:t>
      </w:r>
      <w:r w:rsidR="004A0FB4">
        <w:rPr>
          <w:rFonts w:ascii="Arial" w:eastAsia="Times New Roman" w:hAnsi="Arial" w:cs="Arial"/>
          <w:color w:val="000000" w:themeColor="text1"/>
          <w:sz w:val="22"/>
          <w:lang w:val="es-ES" w:eastAsia="es-ES_tradnl"/>
        </w:rPr>
        <w:t xml:space="preserve"> un amplio </w:t>
      </w:r>
      <w:r w:rsidR="00922F05">
        <w:rPr>
          <w:rFonts w:ascii="Arial" w:eastAsia="Times New Roman" w:hAnsi="Arial" w:cs="Arial"/>
          <w:color w:val="000000" w:themeColor="text1"/>
          <w:sz w:val="22"/>
          <w:lang w:val="es-ES" w:eastAsia="es-ES_tradnl"/>
        </w:rPr>
        <w:t>catálogo</w:t>
      </w:r>
      <w:r w:rsidR="004A0FB4">
        <w:rPr>
          <w:rFonts w:ascii="Arial" w:eastAsia="Times New Roman" w:hAnsi="Arial" w:cs="Arial"/>
          <w:color w:val="000000" w:themeColor="text1"/>
          <w:sz w:val="22"/>
          <w:lang w:val="es-ES" w:eastAsia="es-ES_tradnl"/>
        </w:rPr>
        <w:t xml:space="preserve"> de fines del Estado</w:t>
      </w:r>
      <w:r w:rsidR="00E72853">
        <w:rPr>
          <w:rFonts w:ascii="Arial" w:eastAsia="Times New Roman" w:hAnsi="Arial" w:cs="Arial"/>
          <w:color w:val="000000" w:themeColor="text1"/>
          <w:sz w:val="22"/>
          <w:lang w:val="es-ES" w:eastAsia="es-ES_tradnl"/>
        </w:rPr>
        <w:t xml:space="preserve"> de raigambre constitucional</w:t>
      </w:r>
      <w:r w:rsidR="00B14866">
        <w:rPr>
          <w:rStyle w:val="Refdenotaalpie"/>
          <w:rFonts w:ascii="Arial" w:eastAsia="Times New Roman" w:hAnsi="Arial" w:cs="Arial"/>
          <w:color w:val="000000" w:themeColor="text1"/>
          <w:sz w:val="22"/>
          <w:lang w:val="es-ES" w:eastAsia="es-ES_tradnl"/>
        </w:rPr>
        <w:footnoteReference w:id="1"/>
      </w:r>
      <w:r w:rsidR="007334E8">
        <w:rPr>
          <w:rFonts w:ascii="Arial" w:eastAsia="Times New Roman" w:hAnsi="Arial" w:cs="Arial"/>
          <w:color w:val="000000" w:themeColor="text1"/>
          <w:sz w:val="22"/>
          <w:lang w:val="es-ES" w:eastAsia="es-ES_tradnl"/>
        </w:rPr>
        <w:t>,</w:t>
      </w:r>
      <w:r w:rsidR="00E72853">
        <w:rPr>
          <w:rFonts w:ascii="Arial" w:eastAsia="Times New Roman" w:hAnsi="Arial" w:cs="Arial"/>
          <w:color w:val="000000" w:themeColor="text1"/>
          <w:sz w:val="22"/>
          <w:lang w:val="es-ES" w:eastAsia="es-ES_tradnl"/>
        </w:rPr>
        <w:t xml:space="preserve"> y amplio desarrollo legislativo,</w:t>
      </w:r>
      <w:r w:rsidR="007334E8">
        <w:rPr>
          <w:rFonts w:ascii="Arial" w:eastAsia="Times New Roman" w:hAnsi="Arial" w:cs="Arial"/>
          <w:color w:val="000000" w:themeColor="text1"/>
          <w:sz w:val="22"/>
          <w:lang w:val="es-ES" w:eastAsia="es-ES_tradnl"/>
        </w:rPr>
        <w:t xml:space="preserve"> en el marco de</w:t>
      </w:r>
      <w:r w:rsidR="00E72853">
        <w:rPr>
          <w:rFonts w:ascii="Arial" w:eastAsia="Times New Roman" w:hAnsi="Arial" w:cs="Arial"/>
          <w:color w:val="000000" w:themeColor="text1"/>
          <w:sz w:val="22"/>
          <w:lang w:val="es-ES" w:eastAsia="es-ES_tradnl"/>
        </w:rPr>
        <w:t xml:space="preserve"> un</w:t>
      </w:r>
      <w:r w:rsidR="007334E8">
        <w:rPr>
          <w:rFonts w:ascii="Arial" w:eastAsia="Times New Roman" w:hAnsi="Arial" w:cs="Arial"/>
          <w:color w:val="000000" w:themeColor="text1"/>
          <w:sz w:val="22"/>
          <w:lang w:val="es-ES" w:eastAsia="es-ES_tradnl"/>
        </w:rPr>
        <w:t xml:space="preserve"> Estado Social de Derecho, implica la existencia de </w:t>
      </w:r>
      <w:r w:rsidR="00E72853">
        <w:rPr>
          <w:rFonts w:ascii="Arial" w:eastAsia="Times New Roman" w:hAnsi="Arial" w:cs="Arial"/>
          <w:color w:val="000000" w:themeColor="text1"/>
          <w:sz w:val="22"/>
          <w:lang w:val="es-ES" w:eastAsia="es-ES_tradnl"/>
        </w:rPr>
        <w:t>un sinn</w:t>
      </w:r>
      <w:r w:rsidR="00922F05">
        <w:rPr>
          <w:rFonts w:ascii="Arial" w:eastAsia="Times New Roman" w:hAnsi="Arial" w:cs="Arial"/>
          <w:color w:val="000000" w:themeColor="text1"/>
          <w:sz w:val="22"/>
          <w:lang w:val="es-ES" w:eastAsia="es-ES_tradnl"/>
        </w:rPr>
        <w:t>ú</w:t>
      </w:r>
      <w:r w:rsidR="00E72853">
        <w:rPr>
          <w:rFonts w:ascii="Arial" w:eastAsia="Times New Roman" w:hAnsi="Arial" w:cs="Arial"/>
          <w:color w:val="000000" w:themeColor="text1"/>
          <w:sz w:val="22"/>
          <w:lang w:val="es-ES" w:eastAsia="es-ES_tradnl"/>
        </w:rPr>
        <w:t xml:space="preserve">mero de instituciones que funcionen para el cumplimiento de </w:t>
      </w:r>
      <w:r w:rsidR="00922F05">
        <w:rPr>
          <w:rFonts w:ascii="Arial" w:eastAsia="Times New Roman" w:hAnsi="Arial" w:cs="Arial"/>
          <w:color w:val="000000" w:themeColor="text1"/>
          <w:sz w:val="22"/>
          <w:lang w:val="es-ES" w:eastAsia="es-ES_tradnl"/>
        </w:rPr>
        <w:t>tales fines</w:t>
      </w:r>
      <w:r w:rsidR="00E72853">
        <w:rPr>
          <w:rFonts w:ascii="Arial" w:eastAsia="Times New Roman" w:hAnsi="Arial" w:cs="Arial"/>
          <w:color w:val="000000" w:themeColor="text1"/>
          <w:sz w:val="22"/>
          <w:lang w:val="es-ES" w:eastAsia="es-ES_tradnl"/>
        </w:rPr>
        <w:t>.</w:t>
      </w:r>
      <w:r w:rsidR="00345CC9">
        <w:rPr>
          <w:rFonts w:ascii="Arial" w:eastAsia="Times New Roman" w:hAnsi="Arial" w:cs="Arial"/>
          <w:color w:val="000000" w:themeColor="text1"/>
          <w:sz w:val="22"/>
          <w:lang w:val="es-ES" w:eastAsia="es-ES_tradnl"/>
        </w:rPr>
        <w:t xml:space="preserve"> En ese sentido, la </w:t>
      </w:r>
      <w:r w:rsidR="004C0845">
        <w:rPr>
          <w:rFonts w:ascii="Arial" w:eastAsia="Times New Roman" w:hAnsi="Arial" w:cs="Arial"/>
          <w:color w:val="000000" w:themeColor="text1"/>
          <w:sz w:val="22"/>
          <w:lang w:val="es-ES" w:eastAsia="es-ES_tradnl"/>
        </w:rPr>
        <w:t>Administración Pública</w:t>
      </w:r>
      <w:r w:rsidR="00F1489B">
        <w:rPr>
          <w:rFonts w:ascii="Arial" w:eastAsia="Times New Roman" w:hAnsi="Arial" w:cs="Arial"/>
          <w:color w:val="000000" w:themeColor="text1"/>
          <w:sz w:val="22"/>
          <w:lang w:val="es-ES" w:eastAsia="es-ES_tradnl"/>
        </w:rPr>
        <w:t>,</w:t>
      </w:r>
      <w:r w:rsidR="00345CC9">
        <w:rPr>
          <w:rFonts w:ascii="Arial" w:eastAsia="Times New Roman" w:hAnsi="Arial" w:cs="Arial"/>
          <w:color w:val="000000" w:themeColor="text1"/>
          <w:sz w:val="22"/>
          <w:lang w:val="es-ES" w:eastAsia="es-ES_tradnl"/>
        </w:rPr>
        <w:t xml:space="preserve"> como titular principal del ejercicio de la función administrativa</w:t>
      </w:r>
      <w:r w:rsidR="00A51E79">
        <w:rPr>
          <w:rFonts w:ascii="Arial" w:eastAsia="Times New Roman" w:hAnsi="Arial" w:cs="Arial"/>
          <w:color w:val="000000" w:themeColor="text1"/>
          <w:sz w:val="22"/>
          <w:lang w:val="es-ES" w:eastAsia="es-ES_tradnl"/>
        </w:rPr>
        <w:t xml:space="preserve">, está conformada por </w:t>
      </w:r>
      <w:r w:rsidR="00D83E30">
        <w:rPr>
          <w:rFonts w:ascii="Arial" w:eastAsia="Times New Roman" w:hAnsi="Arial" w:cs="Arial"/>
          <w:color w:val="000000" w:themeColor="text1"/>
          <w:sz w:val="22"/>
          <w:lang w:val="es-ES" w:eastAsia="es-ES_tradnl"/>
        </w:rPr>
        <w:t>distintos tipo</w:t>
      </w:r>
      <w:r w:rsidR="005E4DB0">
        <w:rPr>
          <w:rFonts w:ascii="Arial" w:eastAsia="Times New Roman" w:hAnsi="Arial" w:cs="Arial"/>
          <w:color w:val="000000" w:themeColor="text1"/>
          <w:sz w:val="22"/>
          <w:lang w:val="es-ES" w:eastAsia="es-ES_tradnl"/>
        </w:rPr>
        <w:t>s</w:t>
      </w:r>
      <w:r w:rsidR="00D83E30">
        <w:rPr>
          <w:rFonts w:ascii="Arial" w:eastAsia="Times New Roman" w:hAnsi="Arial" w:cs="Arial"/>
          <w:color w:val="000000" w:themeColor="text1"/>
          <w:sz w:val="22"/>
          <w:lang w:val="es-ES" w:eastAsia="es-ES_tradnl"/>
        </w:rPr>
        <w:t xml:space="preserve"> de entidades que se dedican a la </w:t>
      </w:r>
      <w:r w:rsidR="00922F05">
        <w:rPr>
          <w:rFonts w:ascii="Arial" w:eastAsia="Times New Roman" w:hAnsi="Arial" w:cs="Arial"/>
          <w:color w:val="000000" w:themeColor="text1"/>
          <w:sz w:val="22"/>
          <w:lang w:val="es-ES" w:eastAsia="es-ES_tradnl"/>
        </w:rPr>
        <w:t>consecu</w:t>
      </w:r>
      <w:r w:rsidR="00D83E30">
        <w:rPr>
          <w:rFonts w:ascii="Arial" w:eastAsia="Times New Roman" w:hAnsi="Arial" w:cs="Arial"/>
          <w:color w:val="000000" w:themeColor="text1"/>
          <w:sz w:val="22"/>
          <w:lang w:val="es-ES" w:eastAsia="es-ES_tradnl"/>
        </w:rPr>
        <w:t xml:space="preserve">ción de </w:t>
      </w:r>
      <w:r w:rsidR="002D2E26">
        <w:rPr>
          <w:rFonts w:ascii="Arial" w:eastAsia="Times New Roman" w:hAnsi="Arial" w:cs="Arial"/>
          <w:color w:val="000000" w:themeColor="text1"/>
          <w:sz w:val="22"/>
          <w:lang w:val="es-ES" w:eastAsia="es-ES_tradnl"/>
        </w:rPr>
        <w:t xml:space="preserve">dichos fines mediante el cumplimiento de las funciones que la ley les asigna. </w:t>
      </w:r>
      <w:r w:rsidR="00D83E30">
        <w:rPr>
          <w:rFonts w:ascii="Arial" w:eastAsia="Times New Roman" w:hAnsi="Arial" w:cs="Arial"/>
          <w:color w:val="000000" w:themeColor="text1"/>
          <w:sz w:val="22"/>
          <w:lang w:val="es-ES" w:eastAsia="es-ES_tradnl"/>
        </w:rPr>
        <w:t xml:space="preserve"> </w:t>
      </w:r>
    </w:p>
    <w:p w14:paraId="24F6AF63" w14:textId="5F7E7A32" w:rsidR="00603869" w:rsidRPr="009F05AC" w:rsidRDefault="004966BA" w:rsidP="00332BE4">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E</w:t>
      </w:r>
      <w:r w:rsidR="00DD503B" w:rsidRPr="009F05AC">
        <w:rPr>
          <w:rFonts w:ascii="Arial" w:eastAsia="Times New Roman" w:hAnsi="Arial" w:cs="Arial"/>
          <w:color w:val="000000" w:themeColor="text1"/>
          <w:sz w:val="22"/>
          <w:lang w:val="es-ES" w:eastAsia="es-ES_tradnl"/>
        </w:rPr>
        <w:t>l</w:t>
      </w:r>
      <w:r w:rsidR="00603869" w:rsidRPr="009F05AC">
        <w:rPr>
          <w:rFonts w:ascii="Arial" w:eastAsia="Times New Roman" w:hAnsi="Arial" w:cs="Arial"/>
          <w:color w:val="000000" w:themeColor="text1"/>
          <w:sz w:val="22"/>
          <w:lang w:val="es-ES" w:eastAsia="es-ES_tradnl"/>
        </w:rPr>
        <w:t xml:space="preserve"> capítulo quinto del título sexto de la Constitución Política </w:t>
      </w:r>
      <w:r w:rsidR="0081420D" w:rsidRPr="009F05AC">
        <w:rPr>
          <w:rFonts w:ascii="Arial" w:eastAsia="Times New Roman" w:hAnsi="Arial" w:cs="Arial"/>
          <w:color w:val="000000" w:themeColor="text1"/>
          <w:sz w:val="22"/>
          <w:lang w:val="es-ES" w:eastAsia="es-ES_tradnl"/>
        </w:rPr>
        <w:t>contiene</w:t>
      </w:r>
      <w:r w:rsidR="00603869" w:rsidRPr="009F05AC">
        <w:rPr>
          <w:rFonts w:ascii="Arial" w:eastAsia="Times New Roman" w:hAnsi="Arial" w:cs="Arial"/>
          <w:color w:val="000000" w:themeColor="text1"/>
          <w:sz w:val="22"/>
          <w:lang w:val="es-ES" w:eastAsia="es-ES_tradnl"/>
        </w:rPr>
        <w:t xml:space="preserve"> las normas superiores relacionadas con la función administrativa</w:t>
      </w:r>
      <w:r w:rsidR="005C3444" w:rsidRPr="009F05AC">
        <w:rPr>
          <w:rFonts w:ascii="Arial" w:eastAsia="Times New Roman" w:hAnsi="Arial" w:cs="Arial"/>
          <w:color w:val="000000" w:themeColor="text1"/>
          <w:sz w:val="22"/>
          <w:lang w:val="es-ES" w:eastAsia="es-ES_tradnl"/>
        </w:rPr>
        <w:t>. Allí se dispone, entre otras cosas,</w:t>
      </w:r>
      <w:r w:rsidR="00603869" w:rsidRPr="009F05AC">
        <w:rPr>
          <w:rFonts w:ascii="Arial" w:eastAsia="Times New Roman" w:hAnsi="Arial" w:cs="Arial"/>
          <w:color w:val="000000" w:themeColor="text1"/>
          <w:sz w:val="22"/>
          <w:lang w:val="es-ES" w:eastAsia="es-ES_tradnl"/>
        </w:rPr>
        <w:t xml:space="preserve"> que </w:t>
      </w:r>
      <w:r w:rsidR="005C3444" w:rsidRPr="009F05AC">
        <w:rPr>
          <w:rFonts w:ascii="Arial" w:eastAsia="Times New Roman" w:hAnsi="Arial" w:cs="Arial"/>
          <w:color w:val="000000" w:themeColor="text1"/>
          <w:sz w:val="22"/>
          <w:lang w:val="es-ES" w:eastAsia="es-ES_tradnl"/>
        </w:rPr>
        <w:t>la función administrativa</w:t>
      </w:r>
      <w:r w:rsidR="00603869" w:rsidRPr="009F05AC">
        <w:rPr>
          <w:rFonts w:ascii="Arial" w:eastAsia="Times New Roman" w:hAnsi="Arial" w:cs="Arial"/>
          <w:color w:val="000000" w:themeColor="text1"/>
          <w:sz w:val="22"/>
          <w:lang w:val="es-ES" w:eastAsia="es-ES_tradnl"/>
        </w:rPr>
        <w:t xml:space="preserve"> será ejercida y desarrollada mediante las figuras de descentralización, delegación y desconcentración de funciones</w:t>
      </w:r>
      <w:r w:rsidR="00603869" w:rsidRPr="009F05AC">
        <w:rPr>
          <w:rStyle w:val="Refdenotaalpie"/>
          <w:rFonts w:ascii="Arial" w:eastAsia="Times New Roman" w:hAnsi="Arial" w:cs="Arial"/>
          <w:color w:val="000000" w:themeColor="text1"/>
          <w:sz w:val="22"/>
          <w:lang w:val="es-ES" w:eastAsia="es-ES_tradnl"/>
        </w:rPr>
        <w:footnoteReference w:id="2"/>
      </w:r>
      <w:r w:rsidR="00603869" w:rsidRPr="009F05AC">
        <w:rPr>
          <w:rFonts w:ascii="Arial" w:eastAsia="Times New Roman" w:hAnsi="Arial" w:cs="Arial"/>
          <w:color w:val="000000" w:themeColor="text1"/>
          <w:sz w:val="22"/>
          <w:lang w:val="es-ES" w:eastAsia="es-ES_tradnl"/>
        </w:rPr>
        <w:t xml:space="preserve">. </w:t>
      </w:r>
      <w:r w:rsidR="007567EA" w:rsidRPr="009F05AC">
        <w:rPr>
          <w:rFonts w:ascii="Arial" w:eastAsia="Times New Roman" w:hAnsi="Arial" w:cs="Arial"/>
          <w:color w:val="000000" w:themeColor="text1"/>
          <w:sz w:val="22"/>
          <w:lang w:val="es-ES" w:eastAsia="es-ES_tradnl"/>
        </w:rPr>
        <w:t xml:space="preserve">La referida norma sirve </w:t>
      </w:r>
      <w:r w:rsidR="007567EA" w:rsidRPr="009F05AC">
        <w:rPr>
          <w:rFonts w:ascii="Arial" w:eastAsia="Times New Roman" w:hAnsi="Arial" w:cs="Arial"/>
          <w:color w:val="000000" w:themeColor="text1"/>
          <w:sz w:val="22"/>
          <w:lang w:val="es-ES" w:eastAsia="es-ES_tradnl"/>
        </w:rPr>
        <w:lastRenderedPageBreak/>
        <w:t xml:space="preserve">como base para el desarrollo legislativo y reglamentario relacionado con </w:t>
      </w:r>
      <w:r w:rsidR="0081420D" w:rsidRPr="009F05AC">
        <w:rPr>
          <w:rFonts w:ascii="Arial" w:eastAsia="Times New Roman" w:hAnsi="Arial" w:cs="Arial"/>
          <w:color w:val="000000" w:themeColor="text1"/>
          <w:sz w:val="22"/>
          <w:lang w:val="es-ES" w:eastAsia="es-ES_tradnl"/>
        </w:rPr>
        <w:t>la</w:t>
      </w:r>
      <w:r w:rsidR="007567EA" w:rsidRPr="009F05AC">
        <w:rPr>
          <w:rFonts w:ascii="Arial" w:eastAsia="Times New Roman" w:hAnsi="Arial" w:cs="Arial"/>
          <w:color w:val="000000" w:themeColor="text1"/>
          <w:sz w:val="22"/>
          <w:lang w:val="es-ES" w:eastAsia="es-ES_tradnl"/>
        </w:rPr>
        <w:t xml:space="preserve"> organización de la administración pública</w:t>
      </w:r>
      <w:r w:rsidR="0081420D" w:rsidRPr="009F05AC">
        <w:rPr>
          <w:rFonts w:ascii="Arial" w:eastAsia="Times New Roman" w:hAnsi="Arial" w:cs="Arial"/>
          <w:color w:val="000000" w:themeColor="text1"/>
          <w:sz w:val="22"/>
          <w:lang w:val="es-ES" w:eastAsia="es-ES_tradnl"/>
        </w:rPr>
        <w:t>,</w:t>
      </w:r>
      <w:r w:rsidR="007567EA" w:rsidRPr="009F05AC">
        <w:rPr>
          <w:rFonts w:ascii="Arial" w:eastAsia="Times New Roman" w:hAnsi="Arial" w:cs="Arial"/>
          <w:color w:val="000000" w:themeColor="text1"/>
          <w:sz w:val="22"/>
          <w:lang w:val="es-ES" w:eastAsia="es-ES_tradnl"/>
        </w:rPr>
        <w:t xml:space="preserve"> </w:t>
      </w:r>
      <w:r w:rsidR="0081420D" w:rsidRPr="009F05AC">
        <w:rPr>
          <w:rFonts w:ascii="Arial" w:eastAsia="Times New Roman" w:hAnsi="Arial" w:cs="Arial"/>
          <w:color w:val="000000" w:themeColor="text1"/>
          <w:sz w:val="22"/>
          <w:lang w:val="es-ES" w:eastAsia="es-ES_tradnl"/>
        </w:rPr>
        <w:t>cuya función principal radica en</w:t>
      </w:r>
      <w:r w:rsidR="007567EA" w:rsidRPr="009F05AC">
        <w:rPr>
          <w:rFonts w:ascii="Arial" w:eastAsia="Times New Roman" w:hAnsi="Arial" w:cs="Arial"/>
          <w:color w:val="000000" w:themeColor="text1"/>
          <w:sz w:val="22"/>
          <w:lang w:val="es-ES" w:eastAsia="es-ES_tradnl"/>
        </w:rPr>
        <w:t xml:space="preserve"> </w:t>
      </w:r>
      <w:r w:rsidR="0081420D" w:rsidRPr="009F05AC">
        <w:rPr>
          <w:rFonts w:ascii="Arial" w:eastAsia="Times New Roman" w:hAnsi="Arial" w:cs="Arial"/>
          <w:color w:val="000000" w:themeColor="text1"/>
          <w:sz w:val="22"/>
          <w:lang w:val="es-ES" w:eastAsia="es-ES_tradnl"/>
        </w:rPr>
        <w:t xml:space="preserve">contribuir con el cumplimiento de </w:t>
      </w:r>
      <w:r w:rsidR="007567EA" w:rsidRPr="009F05AC">
        <w:rPr>
          <w:rFonts w:ascii="Arial" w:eastAsia="Times New Roman" w:hAnsi="Arial" w:cs="Arial"/>
          <w:color w:val="000000" w:themeColor="text1"/>
          <w:sz w:val="22"/>
          <w:lang w:val="es-ES" w:eastAsia="es-ES_tradnl"/>
        </w:rPr>
        <w:t xml:space="preserve">las finalidades constitucionalmente </w:t>
      </w:r>
      <w:r w:rsidR="003517E3">
        <w:rPr>
          <w:rFonts w:ascii="Arial" w:eastAsia="Times New Roman" w:hAnsi="Arial" w:cs="Arial"/>
          <w:color w:val="000000" w:themeColor="text1"/>
          <w:sz w:val="22"/>
          <w:lang w:val="es-ES" w:eastAsia="es-ES_tradnl"/>
        </w:rPr>
        <w:t>asignadas</w:t>
      </w:r>
      <w:r w:rsidR="007567EA" w:rsidRPr="009F05AC">
        <w:rPr>
          <w:rFonts w:ascii="Arial" w:eastAsia="Times New Roman" w:hAnsi="Arial" w:cs="Arial"/>
          <w:color w:val="000000" w:themeColor="text1"/>
          <w:sz w:val="22"/>
          <w:lang w:val="es-ES" w:eastAsia="es-ES_tradnl"/>
        </w:rPr>
        <w:t xml:space="preserve"> a las entidades</w:t>
      </w:r>
      <w:r w:rsidR="0081420D" w:rsidRPr="009F05AC">
        <w:rPr>
          <w:rFonts w:ascii="Arial" w:eastAsia="Times New Roman" w:hAnsi="Arial" w:cs="Arial"/>
          <w:color w:val="000000" w:themeColor="text1"/>
          <w:sz w:val="22"/>
          <w:lang w:val="es-ES" w:eastAsia="es-ES_tradnl"/>
        </w:rPr>
        <w:t xml:space="preserve"> estatales</w:t>
      </w:r>
      <w:r w:rsidR="007567EA" w:rsidRPr="009F05AC">
        <w:rPr>
          <w:rFonts w:ascii="Arial" w:eastAsia="Times New Roman" w:hAnsi="Arial" w:cs="Arial"/>
          <w:color w:val="000000" w:themeColor="text1"/>
          <w:sz w:val="22"/>
          <w:lang w:val="es-ES" w:eastAsia="es-ES_tradnl"/>
        </w:rPr>
        <w:t xml:space="preserve"> de diferente orden y naturaleza.</w:t>
      </w:r>
    </w:p>
    <w:p w14:paraId="593CBFB5" w14:textId="7B54A84C" w:rsidR="007567EA" w:rsidRPr="009F05AC" w:rsidRDefault="007567EA" w:rsidP="00332BE4">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 xml:space="preserve">En cuanto </w:t>
      </w:r>
      <w:r w:rsidR="00DF5975" w:rsidRPr="009F05AC">
        <w:rPr>
          <w:rFonts w:ascii="Arial" w:eastAsia="Times New Roman" w:hAnsi="Arial" w:cs="Arial"/>
          <w:color w:val="000000" w:themeColor="text1"/>
          <w:sz w:val="22"/>
          <w:lang w:val="es-ES" w:eastAsia="es-ES_tradnl"/>
        </w:rPr>
        <w:t>a las figuras contempladas por el artículo 209 constitucional, estas implican la transferencia de la competencia administrativa desde diferentes perspectivas</w:t>
      </w:r>
      <w:r w:rsidR="0081420D" w:rsidRPr="009F05AC">
        <w:rPr>
          <w:rFonts w:ascii="Arial" w:eastAsia="Times New Roman" w:hAnsi="Arial" w:cs="Arial"/>
          <w:color w:val="000000" w:themeColor="text1"/>
          <w:sz w:val="22"/>
          <w:lang w:val="es-ES" w:eastAsia="es-ES_tradnl"/>
        </w:rPr>
        <w:t xml:space="preserve">. Al respecto, </w:t>
      </w:r>
      <w:r w:rsidR="00430145" w:rsidRPr="009F05AC">
        <w:rPr>
          <w:rFonts w:ascii="Arial" w:eastAsia="Times New Roman" w:hAnsi="Arial" w:cs="Arial"/>
          <w:color w:val="000000" w:themeColor="text1"/>
          <w:sz w:val="22"/>
          <w:lang w:val="es-ES" w:eastAsia="es-ES_tradnl"/>
        </w:rPr>
        <w:t>entre otras</w:t>
      </w:r>
      <w:r w:rsidR="0081420D" w:rsidRPr="009F05AC">
        <w:rPr>
          <w:rFonts w:ascii="Arial" w:eastAsia="Times New Roman" w:hAnsi="Arial" w:cs="Arial"/>
          <w:color w:val="000000" w:themeColor="text1"/>
          <w:sz w:val="22"/>
          <w:lang w:val="es-ES" w:eastAsia="es-ES_tradnl"/>
        </w:rPr>
        <w:t xml:space="preserve"> normas</w:t>
      </w:r>
      <w:r w:rsidR="00430145" w:rsidRPr="009F05AC">
        <w:rPr>
          <w:rFonts w:ascii="Arial" w:eastAsia="Times New Roman" w:hAnsi="Arial" w:cs="Arial"/>
          <w:color w:val="000000" w:themeColor="text1"/>
          <w:sz w:val="22"/>
          <w:lang w:val="es-ES" w:eastAsia="es-ES_tradnl"/>
        </w:rPr>
        <w:t>, la Ley 489 de 1998 reguló el ejercicio de la función administrativa, determinando y estructurando los principios y reglas básicas de su organización</w:t>
      </w:r>
      <w:r w:rsidR="00430145" w:rsidRPr="009F05AC">
        <w:rPr>
          <w:rStyle w:val="Refdenotaalpie"/>
          <w:rFonts w:ascii="Arial" w:eastAsia="Times New Roman" w:hAnsi="Arial" w:cs="Arial"/>
          <w:color w:val="000000" w:themeColor="text1"/>
          <w:sz w:val="22"/>
          <w:lang w:val="es-ES" w:eastAsia="es-ES_tradnl"/>
        </w:rPr>
        <w:footnoteReference w:id="3"/>
      </w:r>
      <w:r w:rsidR="00430145" w:rsidRPr="009F05AC">
        <w:rPr>
          <w:rFonts w:ascii="Arial" w:eastAsia="Times New Roman" w:hAnsi="Arial" w:cs="Arial"/>
          <w:color w:val="000000" w:themeColor="text1"/>
          <w:sz w:val="22"/>
          <w:lang w:val="es-ES" w:eastAsia="es-ES_tradnl"/>
        </w:rPr>
        <w:t xml:space="preserve">. En </w:t>
      </w:r>
      <w:proofErr w:type="gramStart"/>
      <w:r w:rsidR="000B415E" w:rsidRPr="009F05AC">
        <w:rPr>
          <w:rFonts w:ascii="Arial" w:eastAsia="Times New Roman" w:hAnsi="Arial" w:cs="Arial"/>
          <w:color w:val="000000" w:themeColor="text1"/>
          <w:sz w:val="22"/>
          <w:lang w:val="es-ES" w:eastAsia="es-ES_tradnl"/>
        </w:rPr>
        <w:t>efecto</w:t>
      </w:r>
      <w:r w:rsidR="00430145" w:rsidRPr="009F05AC">
        <w:rPr>
          <w:rFonts w:ascii="Arial" w:eastAsia="Times New Roman" w:hAnsi="Arial" w:cs="Arial"/>
          <w:color w:val="000000" w:themeColor="text1"/>
          <w:sz w:val="22"/>
          <w:lang w:val="es-ES" w:eastAsia="es-ES_tradnl"/>
        </w:rPr>
        <w:t>,</w:t>
      </w:r>
      <w:r w:rsidR="00E5766C">
        <w:rPr>
          <w:rFonts w:ascii="Arial" w:eastAsia="Times New Roman" w:hAnsi="Arial" w:cs="Arial"/>
          <w:color w:val="000000" w:themeColor="text1"/>
          <w:sz w:val="22"/>
          <w:lang w:val="es-ES" w:eastAsia="es-ES_tradnl"/>
        </w:rPr>
        <w:t xml:space="preserve"> </w:t>
      </w:r>
      <w:r w:rsidR="00430145" w:rsidRPr="009F05AC">
        <w:rPr>
          <w:rFonts w:ascii="Arial" w:eastAsia="Times New Roman" w:hAnsi="Arial" w:cs="Arial"/>
          <w:color w:val="000000" w:themeColor="text1"/>
          <w:sz w:val="22"/>
          <w:lang w:val="es-ES" w:eastAsia="es-ES_tradnl"/>
        </w:rPr>
        <w:t xml:space="preserve"> los</w:t>
      </w:r>
      <w:proofErr w:type="gramEnd"/>
      <w:r w:rsidR="00430145" w:rsidRPr="009F05AC">
        <w:rPr>
          <w:rFonts w:ascii="Arial" w:eastAsia="Times New Roman" w:hAnsi="Arial" w:cs="Arial"/>
          <w:color w:val="000000" w:themeColor="text1"/>
          <w:sz w:val="22"/>
          <w:lang w:val="es-ES" w:eastAsia="es-ES_tradnl"/>
        </w:rPr>
        <w:t xml:space="preserve"> artículos </w:t>
      </w:r>
      <w:r w:rsidR="00772D6C">
        <w:rPr>
          <w:rFonts w:ascii="Arial" w:eastAsia="Times New Roman" w:hAnsi="Arial" w:cs="Arial"/>
          <w:color w:val="000000" w:themeColor="text1"/>
          <w:sz w:val="22"/>
          <w:lang w:val="es-ES" w:eastAsia="es-ES_tradnl"/>
        </w:rPr>
        <w:t>7</w:t>
      </w:r>
      <w:r w:rsidR="00772D6C" w:rsidRPr="009F05AC">
        <w:rPr>
          <w:rFonts w:ascii="Arial" w:eastAsia="Times New Roman" w:hAnsi="Arial" w:cs="Arial"/>
          <w:color w:val="000000" w:themeColor="text1"/>
          <w:sz w:val="22"/>
          <w:lang w:val="es-ES" w:eastAsia="es-ES_tradnl"/>
        </w:rPr>
        <w:t xml:space="preserve"> </w:t>
      </w:r>
      <w:r w:rsidR="00430145" w:rsidRPr="009F05AC">
        <w:rPr>
          <w:rFonts w:ascii="Arial" w:eastAsia="Times New Roman" w:hAnsi="Arial" w:cs="Arial"/>
          <w:color w:val="000000" w:themeColor="text1"/>
          <w:sz w:val="22"/>
          <w:lang w:val="es-ES" w:eastAsia="es-ES_tradnl"/>
        </w:rPr>
        <w:t xml:space="preserve">y </w:t>
      </w:r>
      <w:r w:rsidR="00772D6C">
        <w:rPr>
          <w:rFonts w:ascii="Arial" w:eastAsia="Times New Roman" w:hAnsi="Arial" w:cs="Arial"/>
          <w:color w:val="000000" w:themeColor="text1"/>
          <w:sz w:val="22"/>
          <w:lang w:val="es-ES" w:eastAsia="es-ES_tradnl"/>
        </w:rPr>
        <w:t>8</w:t>
      </w:r>
      <w:r w:rsidR="00E5766C">
        <w:rPr>
          <w:rFonts w:ascii="Arial" w:eastAsia="Times New Roman" w:hAnsi="Arial" w:cs="Arial"/>
          <w:color w:val="000000" w:themeColor="text1"/>
          <w:sz w:val="22"/>
          <w:lang w:val="es-ES" w:eastAsia="es-ES_tradnl"/>
        </w:rPr>
        <w:t xml:space="preserve"> de</w:t>
      </w:r>
      <w:r w:rsidR="00430145" w:rsidRPr="009F05AC">
        <w:rPr>
          <w:rFonts w:ascii="Arial" w:eastAsia="Times New Roman" w:hAnsi="Arial" w:cs="Arial"/>
          <w:color w:val="000000" w:themeColor="text1"/>
          <w:sz w:val="22"/>
          <w:lang w:val="es-ES" w:eastAsia="es-ES_tradnl"/>
        </w:rPr>
        <w:t xml:space="preserve"> la Ley 489 de 1998 determin</w:t>
      </w:r>
      <w:r w:rsidR="00E5766C">
        <w:rPr>
          <w:rFonts w:ascii="Arial" w:eastAsia="Times New Roman" w:hAnsi="Arial" w:cs="Arial"/>
          <w:color w:val="000000" w:themeColor="text1"/>
          <w:sz w:val="22"/>
          <w:lang w:val="es-ES" w:eastAsia="es-ES_tradnl"/>
        </w:rPr>
        <w:t>an</w:t>
      </w:r>
      <w:r w:rsidR="00430145" w:rsidRPr="009F05AC">
        <w:rPr>
          <w:rFonts w:ascii="Arial" w:eastAsia="Times New Roman" w:hAnsi="Arial" w:cs="Arial"/>
          <w:color w:val="000000" w:themeColor="text1"/>
          <w:sz w:val="22"/>
          <w:lang w:val="es-ES" w:eastAsia="es-ES_tradnl"/>
        </w:rPr>
        <w:t xml:space="preserve"> el alcance de la descentralización y la desconcentración administrativa para efectos de las entidades adscritas a la rama ejecutiva del poder público</w:t>
      </w:r>
      <w:r w:rsidR="00E5766C">
        <w:rPr>
          <w:rFonts w:ascii="Arial" w:eastAsia="Times New Roman" w:hAnsi="Arial" w:cs="Arial"/>
          <w:color w:val="000000" w:themeColor="text1"/>
          <w:sz w:val="22"/>
          <w:lang w:val="es-ES" w:eastAsia="es-ES_tradnl"/>
        </w:rPr>
        <w:t>.</w:t>
      </w:r>
    </w:p>
    <w:p w14:paraId="3639EA8D" w14:textId="5EE22899" w:rsidR="000B415E" w:rsidRPr="00332BE4" w:rsidRDefault="0022247C" w:rsidP="00332BE4">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En relación con la descentralización administrativa, el artículo 7 de la Ley 489 de 1998 contempló que,</w:t>
      </w:r>
      <w:r w:rsidR="00430145" w:rsidRPr="009F05AC">
        <w:rPr>
          <w:rFonts w:ascii="Arial" w:eastAsia="Times New Roman" w:hAnsi="Arial" w:cs="Arial"/>
          <w:color w:val="000000" w:themeColor="text1"/>
          <w:sz w:val="22"/>
          <w:lang w:val="es-ES" w:eastAsia="es-ES_tradnl"/>
        </w:rPr>
        <w:t xml:space="preserve"> </w:t>
      </w:r>
      <w:r w:rsidR="007C063C" w:rsidRPr="009F05AC">
        <w:rPr>
          <w:rFonts w:ascii="Arial" w:eastAsia="Times New Roman" w:hAnsi="Arial" w:cs="Arial"/>
          <w:color w:val="000000" w:themeColor="text1"/>
          <w:sz w:val="22"/>
          <w:lang w:val="es-ES" w:eastAsia="es-ES_tradnl"/>
        </w:rPr>
        <w:t>en desarrollo de los principios constitucionales y legales pertinentes</w:t>
      </w:r>
      <w:r w:rsidR="000B415E" w:rsidRPr="009F05AC">
        <w:rPr>
          <w:rFonts w:ascii="Arial" w:eastAsia="Times New Roman" w:hAnsi="Arial" w:cs="Arial"/>
          <w:color w:val="000000" w:themeColor="text1"/>
          <w:sz w:val="22"/>
          <w:lang w:val="es-ES" w:eastAsia="es-ES_tradnl"/>
        </w:rPr>
        <w:t>,</w:t>
      </w:r>
      <w:r w:rsidRPr="009F05AC">
        <w:rPr>
          <w:rFonts w:ascii="Arial" w:eastAsia="Times New Roman" w:hAnsi="Arial" w:cs="Arial"/>
          <w:color w:val="000000" w:themeColor="text1"/>
          <w:sz w:val="22"/>
          <w:lang w:val="es-ES" w:eastAsia="es-ES_tradnl"/>
        </w:rPr>
        <w:t xml:space="preserve"> el </w:t>
      </w:r>
      <w:r w:rsidR="000B415E" w:rsidRPr="009F05AC">
        <w:rPr>
          <w:rFonts w:ascii="Arial" w:eastAsia="Times New Roman" w:hAnsi="Arial" w:cs="Arial"/>
          <w:color w:val="000000" w:themeColor="text1"/>
          <w:sz w:val="22"/>
          <w:lang w:val="es-ES" w:eastAsia="es-ES_tradnl"/>
        </w:rPr>
        <w:t>Gobierno Nacional</w:t>
      </w:r>
      <w:r w:rsidRPr="009F05AC">
        <w:rPr>
          <w:rFonts w:ascii="Arial" w:eastAsia="Times New Roman" w:hAnsi="Arial" w:cs="Arial"/>
          <w:color w:val="000000" w:themeColor="text1"/>
          <w:sz w:val="22"/>
          <w:lang w:val="es-ES" w:eastAsia="es-ES_tradnl"/>
        </w:rPr>
        <w:t xml:space="preserve"> procurará </w:t>
      </w:r>
      <w:r w:rsidR="00E5766C">
        <w:rPr>
          <w:rFonts w:ascii="Arial" w:eastAsia="Times New Roman" w:hAnsi="Arial" w:cs="Arial"/>
          <w:color w:val="000000" w:themeColor="text1"/>
          <w:sz w:val="22"/>
          <w:lang w:val="es-ES" w:eastAsia="es-ES_tradnl"/>
        </w:rPr>
        <w:t>:</w:t>
      </w:r>
      <w:r w:rsidR="00A77FBC" w:rsidRPr="00332BE4">
        <w:rPr>
          <w:rFonts w:ascii="Arial" w:eastAsia="Times New Roman" w:hAnsi="Arial" w:cs="Arial"/>
          <w:color w:val="000000" w:themeColor="text1"/>
          <w:sz w:val="22"/>
          <w:lang w:val="es-ES" w:eastAsia="es-ES_tradnl"/>
        </w:rPr>
        <w:t>«[…</w:t>
      </w:r>
      <w:r w:rsidR="00A77FBC">
        <w:rPr>
          <w:rFonts w:ascii="Arial" w:eastAsia="Times New Roman" w:hAnsi="Arial" w:cs="Arial"/>
          <w:color w:val="000000" w:themeColor="text1"/>
          <w:sz w:val="22"/>
          <w:lang w:val="es-ES" w:eastAsia="es-ES_tradnl"/>
        </w:rPr>
        <w:t xml:space="preserve">] </w:t>
      </w:r>
      <w:r w:rsidR="007C063C" w:rsidRPr="00332BE4">
        <w:rPr>
          <w:rFonts w:ascii="Arial" w:eastAsia="Times New Roman" w:hAnsi="Arial" w:cs="Arial"/>
          <w:color w:val="000000" w:themeColor="text1"/>
          <w:sz w:val="22"/>
          <w:lang w:val="es-ES" w:eastAsia="es-ES_tradnl"/>
        </w:rPr>
        <w:t>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w:t>
      </w:r>
      <w:r w:rsidR="002F5EA2">
        <w:rPr>
          <w:rFonts w:ascii="Arial" w:eastAsia="Times New Roman" w:hAnsi="Arial" w:cs="Arial"/>
          <w:color w:val="000000" w:themeColor="text1"/>
          <w:sz w:val="22"/>
          <w:lang w:val="es-ES" w:eastAsia="es-ES_tradnl"/>
        </w:rPr>
        <w:t>»</w:t>
      </w:r>
      <w:r w:rsidR="007C063C" w:rsidRPr="00332BE4">
        <w:rPr>
          <w:rFonts w:ascii="Arial" w:eastAsia="Times New Roman" w:hAnsi="Arial" w:cs="Arial"/>
          <w:color w:val="000000" w:themeColor="text1"/>
          <w:sz w:val="22"/>
          <w:lang w:val="es-ES" w:eastAsia="es-ES_tradnl"/>
        </w:rPr>
        <w:t xml:space="preserve">. </w:t>
      </w:r>
    </w:p>
    <w:p w14:paraId="6CB7E884" w14:textId="3EA85B89" w:rsidR="007567EA" w:rsidRPr="009F05AC" w:rsidRDefault="007C063C" w:rsidP="00332BE4">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Lo anterior, en los términos desarrollados por la Corte Constitucional, implica que</w:t>
      </w:r>
      <w:r w:rsidR="000B415E" w:rsidRPr="009F05AC">
        <w:rPr>
          <w:rFonts w:ascii="Arial" w:eastAsia="Times New Roman" w:hAnsi="Arial" w:cs="Arial"/>
          <w:color w:val="000000" w:themeColor="text1"/>
          <w:sz w:val="22"/>
          <w:lang w:val="es-ES" w:eastAsia="es-ES_tradnl"/>
        </w:rPr>
        <w:t xml:space="preserve">, </w:t>
      </w:r>
      <w:r w:rsidRPr="009F05AC">
        <w:rPr>
          <w:rFonts w:ascii="Arial" w:eastAsia="Times New Roman" w:hAnsi="Arial" w:cs="Arial"/>
          <w:color w:val="000000" w:themeColor="text1"/>
          <w:sz w:val="22"/>
          <w:lang w:val="es-ES" w:eastAsia="es-ES_tradnl"/>
        </w:rPr>
        <w:t xml:space="preserve">a través de la </w:t>
      </w:r>
      <w:r w:rsidRPr="00332BE4">
        <w:rPr>
          <w:rFonts w:ascii="Arial" w:eastAsia="Times New Roman" w:hAnsi="Arial" w:cs="Arial"/>
          <w:i/>
          <w:iCs/>
          <w:color w:val="000000" w:themeColor="text1"/>
          <w:sz w:val="22"/>
          <w:lang w:val="es-ES" w:eastAsia="es-ES_tradnl"/>
        </w:rPr>
        <w:t>descentralización</w:t>
      </w:r>
      <w:r w:rsidRPr="009F05AC">
        <w:rPr>
          <w:rFonts w:ascii="Arial" w:eastAsia="Times New Roman" w:hAnsi="Arial" w:cs="Arial"/>
          <w:color w:val="000000" w:themeColor="text1"/>
          <w:sz w:val="22"/>
          <w:lang w:val="es-ES" w:eastAsia="es-ES_tradnl"/>
        </w:rPr>
        <w:t>, el nivel central del poder público transfiere competencias y autonomía para actuar a las entidades autorizadas legislativamente</w:t>
      </w:r>
      <w:r w:rsidRPr="009F05AC">
        <w:rPr>
          <w:rStyle w:val="Refdenotaalpie"/>
          <w:rFonts w:ascii="Arial" w:eastAsia="Times New Roman" w:hAnsi="Arial" w:cs="Arial"/>
          <w:color w:val="000000" w:themeColor="text1"/>
          <w:sz w:val="22"/>
          <w:lang w:val="es-ES" w:eastAsia="es-ES_tradnl"/>
        </w:rPr>
        <w:footnoteReference w:id="4"/>
      </w:r>
      <w:r w:rsidRPr="009F05AC">
        <w:rPr>
          <w:rFonts w:ascii="Arial" w:eastAsia="Times New Roman" w:hAnsi="Arial" w:cs="Arial"/>
          <w:color w:val="000000" w:themeColor="text1"/>
          <w:sz w:val="22"/>
          <w:lang w:val="es-ES" w:eastAsia="es-ES_tradnl"/>
        </w:rPr>
        <w:t xml:space="preserve"> para tal fin, conservando sobre ellas un control de tutela derivado del principio de coordinación que rige la función administrativa</w:t>
      </w:r>
      <w:r w:rsidR="001639F7" w:rsidRPr="009F05AC">
        <w:rPr>
          <w:rFonts w:ascii="Arial" w:eastAsia="Times New Roman" w:hAnsi="Arial" w:cs="Arial"/>
          <w:color w:val="000000" w:themeColor="text1"/>
          <w:sz w:val="22"/>
          <w:lang w:val="es-ES" w:eastAsia="es-ES_tradnl"/>
        </w:rPr>
        <w:t>.</w:t>
      </w:r>
      <w:r w:rsidRPr="009F05AC">
        <w:rPr>
          <w:rStyle w:val="Refdenotaalpie"/>
          <w:rFonts w:ascii="Arial" w:eastAsia="Times New Roman" w:hAnsi="Arial" w:cs="Arial"/>
          <w:color w:val="000000" w:themeColor="text1"/>
          <w:sz w:val="22"/>
          <w:lang w:val="es-ES" w:eastAsia="es-ES_tradnl"/>
        </w:rPr>
        <w:footnoteReference w:id="5"/>
      </w:r>
    </w:p>
    <w:p w14:paraId="1450CD2F" w14:textId="1B94AD2D" w:rsidR="00A104F8" w:rsidRDefault="00A104F8" w:rsidP="00332BE4">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De acuerdo con los presupuestos examinados</w:t>
      </w:r>
      <w:r w:rsidR="00271BFE" w:rsidRPr="009F05AC">
        <w:rPr>
          <w:rFonts w:ascii="Arial" w:eastAsia="Times New Roman" w:hAnsi="Arial" w:cs="Arial"/>
          <w:color w:val="000000" w:themeColor="text1"/>
          <w:sz w:val="22"/>
          <w:lang w:val="es-ES" w:eastAsia="es-ES_tradnl"/>
        </w:rPr>
        <w:t xml:space="preserve"> y </w:t>
      </w:r>
      <w:r w:rsidRPr="009F05AC">
        <w:rPr>
          <w:rFonts w:ascii="Arial" w:eastAsia="Times New Roman" w:hAnsi="Arial" w:cs="Arial"/>
          <w:color w:val="000000" w:themeColor="text1"/>
          <w:sz w:val="22"/>
          <w:lang w:val="es-ES" w:eastAsia="es-ES_tradnl"/>
        </w:rPr>
        <w:t xml:space="preserve">en consonancia con </w:t>
      </w:r>
      <w:r w:rsidR="008A278D" w:rsidRPr="009F05AC">
        <w:rPr>
          <w:rFonts w:ascii="Arial" w:eastAsia="Times New Roman" w:hAnsi="Arial" w:cs="Arial"/>
          <w:color w:val="000000" w:themeColor="text1"/>
          <w:sz w:val="22"/>
          <w:lang w:val="es-ES" w:eastAsia="es-ES_tradnl"/>
        </w:rPr>
        <w:t xml:space="preserve">lo dispuesto en el artículo 68 de la Ley 489 de 1998, </w:t>
      </w:r>
      <w:r w:rsidR="00EA3E62" w:rsidRPr="009F05AC">
        <w:rPr>
          <w:rFonts w:ascii="Arial" w:eastAsia="Times New Roman" w:hAnsi="Arial" w:cs="Arial"/>
          <w:color w:val="000000" w:themeColor="text1"/>
          <w:sz w:val="22"/>
          <w:lang w:val="es-ES" w:eastAsia="es-ES_tradnl"/>
        </w:rPr>
        <w:t xml:space="preserve">las entidades </w:t>
      </w:r>
      <w:r w:rsidR="003517E3">
        <w:rPr>
          <w:rFonts w:ascii="Arial" w:eastAsia="Times New Roman" w:hAnsi="Arial" w:cs="Arial"/>
          <w:color w:val="000000" w:themeColor="text1"/>
          <w:sz w:val="22"/>
          <w:lang w:val="es-ES" w:eastAsia="es-ES_tradnl"/>
        </w:rPr>
        <w:t xml:space="preserve">del nivel </w:t>
      </w:r>
      <w:r w:rsidR="00EA3E62" w:rsidRPr="009F05AC">
        <w:rPr>
          <w:rFonts w:ascii="Arial" w:eastAsia="Times New Roman" w:hAnsi="Arial" w:cs="Arial"/>
          <w:color w:val="000000" w:themeColor="text1"/>
          <w:sz w:val="22"/>
          <w:lang w:val="es-ES" w:eastAsia="es-ES_tradnl"/>
        </w:rPr>
        <w:t>central podrán descentralizar sus funciones en los términos previstos por la Constitución y la ley</w:t>
      </w:r>
      <w:r w:rsidR="0022247C" w:rsidRPr="009F05AC">
        <w:rPr>
          <w:rFonts w:ascii="Arial" w:eastAsia="Times New Roman" w:hAnsi="Arial" w:cs="Arial"/>
          <w:color w:val="000000" w:themeColor="text1"/>
          <w:sz w:val="22"/>
          <w:lang w:val="es-ES" w:eastAsia="es-ES_tradnl"/>
        </w:rPr>
        <w:t>. Así, se</w:t>
      </w:r>
      <w:r w:rsidR="00EA3E62" w:rsidRPr="009F05AC">
        <w:rPr>
          <w:rFonts w:ascii="Arial" w:eastAsia="Times New Roman" w:hAnsi="Arial" w:cs="Arial"/>
          <w:color w:val="000000" w:themeColor="text1"/>
          <w:sz w:val="22"/>
          <w:lang w:val="es-ES" w:eastAsia="es-ES_tradnl"/>
        </w:rPr>
        <w:t xml:space="preserve"> genera</w:t>
      </w:r>
      <w:r w:rsidR="0022247C" w:rsidRPr="009F05AC">
        <w:rPr>
          <w:rFonts w:ascii="Arial" w:eastAsia="Times New Roman" w:hAnsi="Arial" w:cs="Arial"/>
          <w:color w:val="000000" w:themeColor="text1"/>
          <w:sz w:val="22"/>
          <w:lang w:val="es-ES" w:eastAsia="es-ES_tradnl"/>
        </w:rPr>
        <w:t>rán</w:t>
      </w:r>
      <w:r w:rsidR="00EA3E62" w:rsidRPr="009F05AC">
        <w:rPr>
          <w:rFonts w:ascii="Arial" w:eastAsia="Times New Roman" w:hAnsi="Arial" w:cs="Arial"/>
          <w:color w:val="000000" w:themeColor="text1"/>
          <w:sz w:val="22"/>
          <w:lang w:val="es-ES" w:eastAsia="es-ES_tradnl"/>
        </w:rPr>
        <w:t xml:space="preserve"> entidades autónomas e independientes, dotadas de personería jurídica y capacidad para contraer derechos y obligaciones. A su vez, las diferentes entidades del orden central o descentralizado podrán desconcentrar </w:t>
      </w:r>
      <w:r w:rsidR="0022247C" w:rsidRPr="009F05AC">
        <w:rPr>
          <w:rFonts w:ascii="Arial" w:eastAsia="Times New Roman" w:hAnsi="Arial" w:cs="Arial"/>
          <w:color w:val="000000" w:themeColor="text1"/>
          <w:sz w:val="22"/>
          <w:lang w:val="es-ES" w:eastAsia="es-ES_tradnl"/>
        </w:rPr>
        <w:t xml:space="preserve">o delegar </w:t>
      </w:r>
      <w:r w:rsidR="00EA3E62" w:rsidRPr="009F05AC">
        <w:rPr>
          <w:rFonts w:ascii="Arial" w:eastAsia="Times New Roman" w:hAnsi="Arial" w:cs="Arial"/>
          <w:color w:val="000000" w:themeColor="text1"/>
          <w:sz w:val="22"/>
          <w:lang w:val="es-ES" w:eastAsia="es-ES_tradnl"/>
        </w:rPr>
        <w:t>sus funciones</w:t>
      </w:r>
      <w:r w:rsidR="0022247C" w:rsidRPr="009F05AC">
        <w:rPr>
          <w:rFonts w:ascii="Arial" w:eastAsia="Times New Roman" w:hAnsi="Arial" w:cs="Arial"/>
          <w:color w:val="000000" w:themeColor="text1"/>
          <w:sz w:val="22"/>
          <w:lang w:val="es-ES" w:eastAsia="es-ES_tradnl"/>
        </w:rPr>
        <w:t>,</w:t>
      </w:r>
      <w:r w:rsidR="00EA3E62" w:rsidRPr="009F05AC">
        <w:rPr>
          <w:rFonts w:ascii="Arial" w:eastAsia="Times New Roman" w:hAnsi="Arial" w:cs="Arial"/>
          <w:color w:val="000000" w:themeColor="text1"/>
          <w:sz w:val="22"/>
          <w:lang w:val="es-ES" w:eastAsia="es-ES_tradnl"/>
        </w:rPr>
        <w:t xml:space="preserve"> sin que esto implique la transferencia de su autonomía o la creación de personas jurídicas independientes.  </w:t>
      </w:r>
    </w:p>
    <w:p w14:paraId="352C26A4" w14:textId="42050A84" w:rsidR="002A165E" w:rsidRPr="009F05AC" w:rsidRDefault="004A0D11" w:rsidP="00332BE4">
      <w:pPr>
        <w:spacing w:after="120" w:line="276" w:lineRule="auto"/>
        <w:ind w:firstLine="567"/>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lastRenderedPageBreak/>
        <w:t>Ahora bien, la</w:t>
      </w:r>
      <w:r w:rsidR="002A165E" w:rsidRPr="009F05AC">
        <w:rPr>
          <w:rFonts w:ascii="Arial" w:eastAsia="Times New Roman" w:hAnsi="Arial" w:cs="Arial"/>
          <w:color w:val="000000" w:themeColor="text1"/>
          <w:sz w:val="22"/>
          <w:lang w:val="es-ES" w:eastAsia="es-ES_tradnl"/>
        </w:rPr>
        <w:t xml:space="preserve"> Ley 80 de 1993, por la cual se expidió el Estatuto General de Contratación de la Administración Pública</w:t>
      </w:r>
      <w:r>
        <w:rPr>
          <w:rFonts w:ascii="Arial" w:eastAsia="Times New Roman" w:hAnsi="Arial" w:cs="Arial"/>
          <w:color w:val="000000" w:themeColor="text1"/>
          <w:sz w:val="22"/>
          <w:lang w:val="es-ES" w:eastAsia="es-ES_tradnl"/>
        </w:rPr>
        <w:t>–</w:t>
      </w:r>
      <w:r w:rsidR="002A165E" w:rsidRPr="009F05AC">
        <w:rPr>
          <w:rFonts w:ascii="Arial" w:eastAsia="Times New Roman" w:hAnsi="Arial" w:cs="Arial"/>
          <w:color w:val="000000" w:themeColor="text1"/>
          <w:sz w:val="22"/>
          <w:lang w:val="es-ES" w:eastAsia="es-ES_tradnl"/>
        </w:rPr>
        <w:t xml:space="preserve"> en adelante </w:t>
      </w:r>
      <w:proofErr w:type="spellStart"/>
      <w:r w:rsidR="002A165E" w:rsidRPr="009F05AC">
        <w:rPr>
          <w:rFonts w:ascii="Arial" w:eastAsia="Times New Roman" w:hAnsi="Arial" w:cs="Arial"/>
          <w:color w:val="000000" w:themeColor="text1"/>
          <w:sz w:val="22"/>
          <w:lang w:val="es-ES" w:eastAsia="es-ES_tradnl"/>
        </w:rPr>
        <w:t>EGCAP</w:t>
      </w:r>
      <w:proofErr w:type="spellEnd"/>
      <w:r>
        <w:rPr>
          <w:rFonts w:ascii="Arial" w:eastAsia="Times New Roman" w:hAnsi="Arial" w:cs="Arial"/>
          <w:color w:val="000000" w:themeColor="text1"/>
          <w:sz w:val="22"/>
          <w:lang w:val="es-ES" w:eastAsia="es-ES_tradnl"/>
        </w:rPr>
        <w:t>–</w:t>
      </w:r>
      <w:r w:rsidR="002A165E" w:rsidRPr="009F05AC">
        <w:rPr>
          <w:rFonts w:ascii="Arial" w:eastAsia="Times New Roman" w:hAnsi="Arial" w:cs="Arial"/>
          <w:color w:val="000000" w:themeColor="text1"/>
          <w:sz w:val="22"/>
          <w:lang w:val="es-ES" w:eastAsia="es-ES_tradnl"/>
        </w:rPr>
        <w:t xml:space="preserve"> planteó como objetivo de este régimen el cumplimiento de los fines estatales, la continua y eficiente prestación de los servicios públicos y la efectividad de los derechos e intereses de los administrados</w:t>
      </w:r>
      <w:r w:rsidR="00D7536A">
        <w:rPr>
          <w:rStyle w:val="Refdenotaalpie"/>
          <w:rFonts w:ascii="Arial" w:eastAsia="Times New Roman" w:hAnsi="Arial" w:cs="Arial"/>
          <w:color w:val="000000" w:themeColor="text1"/>
          <w:sz w:val="22"/>
          <w:lang w:val="es-ES" w:eastAsia="es-ES_tradnl"/>
        </w:rPr>
        <w:footnoteReference w:id="6"/>
      </w:r>
      <w:r w:rsidR="002A165E" w:rsidRPr="009F05AC">
        <w:rPr>
          <w:rFonts w:ascii="Arial" w:eastAsia="Times New Roman" w:hAnsi="Arial" w:cs="Arial"/>
          <w:color w:val="000000" w:themeColor="text1"/>
          <w:sz w:val="22"/>
          <w:lang w:val="es-ES" w:eastAsia="es-ES_tradnl"/>
        </w:rPr>
        <w:t xml:space="preserve">. Así mismo, </w:t>
      </w:r>
      <w:r w:rsidR="00315E8A">
        <w:rPr>
          <w:rFonts w:ascii="Arial" w:eastAsia="Times New Roman" w:hAnsi="Arial" w:cs="Arial"/>
          <w:color w:val="000000" w:themeColor="text1"/>
          <w:sz w:val="22"/>
          <w:lang w:val="es-ES" w:eastAsia="es-ES_tradnl"/>
        </w:rPr>
        <w:t>en su artí</w:t>
      </w:r>
      <w:r w:rsidR="00B37FDD">
        <w:rPr>
          <w:rFonts w:ascii="Arial" w:eastAsia="Times New Roman" w:hAnsi="Arial" w:cs="Arial"/>
          <w:color w:val="000000" w:themeColor="text1"/>
          <w:sz w:val="22"/>
          <w:lang w:val="es-ES" w:eastAsia="es-ES_tradnl"/>
        </w:rPr>
        <w:t xml:space="preserve">culo 2, </w:t>
      </w:r>
      <w:r w:rsidR="002A165E" w:rsidRPr="009F05AC">
        <w:rPr>
          <w:rFonts w:ascii="Arial" w:eastAsia="Times New Roman" w:hAnsi="Arial" w:cs="Arial"/>
          <w:color w:val="000000" w:themeColor="text1"/>
          <w:sz w:val="22"/>
          <w:lang w:val="es-ES" w:eastAsia="es-ES_tradnl"/>
        </w:rPr>
        <w:t>determinó aquello que debía entenderse como entidad estatal</w:t>
      </w:r>
      <w:r w:rsidR="002A165E" w:rsidRPr="009F05AC">
        <w:rPr>
          <w:rStyle w:val="Refdenotaalpie"/>
          <w:rFonts w:ascii="Arial" w:eastAsia="Times New Roman" w:hAnsi="Arial" w:cs="Arial"/>
          <w:color w:val="000000" w:themeColor="text1"/>
          <w:sz w:val="22"/>
          <w:lang w:val="es-ES" w:eastAsia="es-ES_tradnl"/>
        </w:rPr>
        <w:footnoteReference w:id="7"/>
      </w:r>
      <w:r w:rsidR="002A165E" w:rsidRPr="009F05AC">
        <w:rPr>
          <w:rFonts w:ascii="Arial" w:eastAsia="Times New Roman" w:hAnsi="Arial" w:cs="Arial"/>
          <w:color w:val="000000" w:themeColor="text1"/>
          <w:sz w:val="22"/>
          <w:lang w:val="es-ES" w:eastAsia="es-ES_tradnl"/>
        </w:rPr>
        <w:t>, agrupando una serie de entidades que, en general y de conformidad con las definiciones alcanzadas por la Ley 48</w:t>
      </w:r>
      <w:r w:rsidR="009D7663">
        <w:rPr>
          <w:rFonts w:ascii="Arial" w:eastAsia="Times New Roman" w:hAnsi="Arial" w:cs="Arial"/>
          <w:color w:val="000000" w:themeColor="text1"/>
          <w:sz w:val="22"/>
          <w:lang w:val="es-ES" w:eastAsia="es-ES_tradnl"/>
        </w:rPr>
        <w:t>9</w:t>
      </w:r>
      <w:r w:rsidR="002A165E" w:rsidRPr="009F05AC">
        <w:rPr>
          <w:rFonts w:ascii="Arial" w:eastAsia="Times New Roman" w:hAnsi="Arial" w:cs="Arial"/>
          <w:color w:val="000000" w:themeColor="text1"/>
          <w:sz w:val="22"/>
          <w:lang w:val="es-ES" w:eastAsia="es-ES_tradnl"/>
        </w:rPr>
        <w:t xml:space="preserve"> de 1998, </w:t>
      </w:r>
      <w:r w:rsidR="001527C8">
        <w:rPr>
          <w:rFonts w:ascii="Arial" w:eastAsia="Times New Roman" w:hAnsi="Arial" w:cs="Arial"/>
          <w:color w:val="000000" w:themeColor="text1"/>
          <w:sz w:val="22"/>
          <w:lang w:val="es-ES" w:eastAsia="es-ES_tradnl"/>
        </w:rPr>
        <w:t xml:space="preserve">son creadas y actúan </w:t>
      </w:r>
      <w:r w:rsidR="002A165E" w:rsidRPr="009F05AC">
        <w:rPr>
          <w:rFonts w:ascii="Arial" w:eastAsia="Times New Roman" w:hAnsi="Arial" w:cs="Arial"/>
          <w:color w:val="000000" w:themeColor="text1"/>
          <w:sz w:val="22"/>
          <w:lang w:val="es-ES" w:eastAsia="es-ES_tradnl"/>
        </w:rPr>
        <w:t>e</w:t>
      </w:r>
      <w:r w:rsidR="002076B6">
        <w:rPr>
          <w:rFonts w:ascii="Arial" w:eastAsia="Times New Roman" w:hAnsi="Arial" w:cs="Arial"/>
          <w:color w:val="000000" w:themeColor="text1"/>
          <w:sz w:val="22"/>
          <w:lang w:val="es-ES" w:eastAsia="es-ES_tradnl"/>
        </w:rPr>
        <w:t>n</w:t>
      </w:r>
      <w:r w:rsidR="002A165E" w:rsidRPr="009F05AC">
        <w:rPr>
          <w:rFonts w:ascii="Arial" w:eastAsia="Times New Roman" w:hAnsi="Arial" w:cs="Arial"/>
          <w:color w:val="000000" w:themeColor="text1"/>
          <w:sz w:val="22"/>
          <w:lang w:val="es-ES" w:eastAsia="es-ES_tradnl"/>
        </w:rPr>
        <w:t xml:space="preserve"> </w:t>
      </w:r>
      <w:r w:rsidR="001527C8">
        <w:rPr>
          <w:rFonts w:ascii="Arial" w:eastAsia="Times New Roman" w:hAnsi="Arial" w:cs="Arial"/>
          <w:color w:val="000000" w:themeColor="text1"/>
          <w:sz w:val="22"/>
          <w:lang w:val="es-ES" w:eastAsia="es-ES_tradnl"/>
        </w:rPr>
        <w:t xml:space="preserve">función de </w:t>
      </w:r>
      <w:r w:rsidR="002A165E" w:rsidRPr="009F05AC">
        <w:rPr>
          <w:rFonts w:ascii="Arial" w:eastAsia="Times New Roman" w:hAnsi="Arial" w:cs="Arial"/>
          <w:color w:val="000000" w:themeColor="text1"/>
          <w:sz w:val="22"/>
          <w:lang w:val="es-ES" w:eastAsia="es-ES_tradnl"/>
        </w:rPr>
        <w:t>la figura de</w:t>
      </w:r>
      <w:r w:rsidR="001527C8">
        <w:rPr>
          <w:rFonts w:ascii="Arial" w:eastAsia="Times New Roman" w:hAnsi="Arial" w:cs="Arial"/>
          <w:color w:val="000000" w:themeColor="text1"/>
          <w:sz w:val="22"/>
          <w:lang w:val="es-ES" w:eastAsia="es-ES_tradnl"/>
        </w:rPr>
        <w:t xml:space="preserve"> la</w:t>
      </w:r>
      <w:r w:rsidR="002A165E" w:rsidRPr="009F05AC">
        <w:rPr>
          <w:rFonts w:ascii="Arial" w:eastAsia="Times New Roman" w:hAnsi="Arial" w:cs="Arial"/>
          <w:color w:val="000000" w:themeColor="text1"/>
          <w:sz w:val="22"/>
          <w:lang w:val="es-ES" w:eastAsia="es-ES_tradnl"/>
        </w:rPr>
        <w:t xml:space="preserve"> descentralización</w:t>
      </w:r>
      <w:r w:rsidR="002076B6">
        <w:rPr>
          <w:rFonts w:ascii="Arial" w:eastAsia="Times New Roman" w:hAnsi="Arial" w:cs="Arial"/>
          <w:color w:val="000000" w:themeColor="text1"/>
          <w:sz w:val="22"/>
          <w:lang w:val="es-ES" w:eastAsia="es-ES_tradnl"/>
        </w:rPr>
        <w:t>, gozando de</w:t>
      </w:r>
      <w:r w:rsidR="002A165E" w:rsidRPr="009F05AC">
        <w:rPr>
          <w:rFonts w:ascii="Arial" w:eastAsia="Times New Roman" w:hAnsi="Arial" w:cs="Arial"/>
          <w:color w:val="000000" w:themeColor="text1"/>
          <w:sz w:val="22"/>
          <w:lang w:val="es-ES" w:eastAsia="es-ES_tradnl"/>
        </w:rPr>
        <w:t xml:space="preserve"> autonomía administrativa y jurídica en el ejercicio de sus funciones.</w:t>
      </w:r>
      <w:r w:rsidR="00B37FDD">
        <w:rPr>
          <w:rFonts w:ascii="Arial" w:eastAsia="Times New Roman" w:hAnsi="Arial" w:cs="Arial"/>
          <w:color w:val="000000" w:themeColor="text1"/>
          <w:sz w:val="22"/>
          <w:lang w:val="es-ES" w:eastAsia="es-ES_tradnl"/>
        </w:rPr>
        <w:t xml:space="preserve"> Tales entidades, en principio, en virtud de su inclusión en el artículo 2 de la Ley 80 de 1993, tiene capacidad para celebrar contratos </w:t>
      </w:r>
      <w:r w:rsidR="00363D6F">
        <w:rPr>
          <w:rFonts w:ascii="Arial" w:eastAsia="Times New Roman" w:hAnsi="Arial" w:cs="Arial"/>
          <w:color w:val="000000" w:themeColor="text1"/>
          <w:sz w:val="22"/>
          <w:lang w:val="es-ES" w:eastAsia="es-ES_tradnl"/>
        </w:rPr>
        <w:t xml:space="preserve">estatales, en los términos en que se lo permitan sus normas de creación o disposiciones estatutarias. </w:t>
      </w:r>
    </w:p>
    <w:p w14:paraId="354E040E" w14:textId="5671315C" w:rsidR="002A165E" w:rsidRDefault="002A165E" w:rsidP="00363D6F">
      <w:pPr>
        <w:spacing w:after="120" w:line="276" w:lineRule="auto"/>
        <w:ind w:firstLine="567"/>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 xml:space="preserve">Por otra parte, el artículo </w:t>
      </w:r>
      <w:r w:rsidR="00ED39B0">
        <w:rPr>
          <w:rFonts w:ascii="Arial" w:eastAsia="Times New Roman" w:hAnsi="Arial" w:cs="Arial"/>
          <w:color w:val="000000" w:themeColor="text1"/>
          <w:sz w:val="22"/>
          <w:lang w:val="es-ES" w:eastAsia="es-ES_tradnl"/>
        </w:rPr>
        <w:t>6</w:t>
      </w:r>
      <w:r w:rsidRPr="009F05AC">
        <w:rPr>
          <w:rFonts w:ascii="Arial" w:eastAsia="Times New Roman" w:hAnsi="Arial" w:cs="Arial"/>
          <w:color w:val="000000" w:themeColor="text1"/>
          <w:sz w:val="22"/>
          <w:lang w:val="es-ES" w:eastAsia="es-ES_tradnl"/>
        </w:rPr>
        <w:t xml:space="preserve"> de</w:t>
      </w:r>
      <w:r w:rsidR="00ED39B0">
        <w:rPr>
          <w:rFonts w:ascii="Arial" w:eastAsia="Times New Roman" w:hAnsi="Arial" w:cs="Arial"/>
          <w:color w:val="000000" w:themeColor="text1"/>
          <w:sz w:val="22"/>
          <w:lang w:val="es-ES" w:eastAsia="es-ES_tradnl"/>
        </w:rPr>
        <w:t xml:space="preserve"> </w:t>
      </w:r>
      <w:r w:rsidRPr="009F05AC">
        <w:rPr>
          <w:rFonts w:ascii="Arial" w:eastAsia="Times New Roman" w:hAnsi="Arial" w:cs="Arial"/>
          <w:color w:val="000000" w:themeColor="text1"/>
          <w:sz w:val="22"/>
          <w:lang w:val="es-ES" w:eastAsia="es-ES_tradnl"/>
        </w:rPr>
        <w:t>l</w:t>
      </w:r>
      <w:r w:rsidR="00ED39B0">
        <w:rPr>
          <w:rFonts w:ascii="Arial" w:eastAsia="Times New Roman" w:hAnsi="Arial" w:cs="Arial"/>
          <w:color w:val="000000" w:themeColor="text1"/>
          <w:sz w:val="22"/>
          <w:lang w:val="es-ES" w:eastAsia="es-ES_tradnl"/>
        </w:rPr>
        <w:t>a</w:t>
      </w:r>
      <w:r w:rsidRPr="009F05AC">
        <w:rPr>
          <w:rFonts w:ascii="Arial" w:eastAsia="Times New Roman" w:hAnsi="Arial" w:cs="Arial"/>
          <w:color w:val="000000" w:themeColor="text1"/>
          <w:sz w:val="22"/>
          <w:lang w:val="es-ES" w:eastAsia="es-ES_tradnl"/>
        </w:rPr>
        <w:t xml:space="preserve"> </w:t>
      </w:r>
      <w:r w:rsidR="00ED39B0">
        <w:rPr>
          <w:rFonts w:ascii="Arial" w:eastAsia="Times New Roman" w:hAnsi="Arial" w:cs="Arial"/>
          <w:color w:val="000000" w:themeColor="text1"/>
          <w:sz w:val="22"/>
          <w:lang w:val="es-ES" w:eastAsia="es-ES_tradnl"/>
        </w:rPr>
        <w:t>Ley 80 de 1993</w:t>
      </w:r>
      <w:r w:rsidRPr="009F05AC">
        <w:rPr>
          <w:rFonts w:ascii="Arial" w:eastAsia="Times New Roman" w:hAnsi="Arial" w:cs="Arial"/>
          <w:color w:val="000000" w:themeColor="text1"/>
          <w:sz w:val="22"/>
          <w:lang w:val="es-ES" w:eastAsia="es-ES_tradnl"/>
        </w:rPr>
        <w:t xml:space="preserve"> </w:t>
      </w:r>
      <w:r w:rsidR="00B824ED">
        <w:rPr>
          <w:rFonts w:ascii="Arial" w:eastAsia="Times New Roman" w:hAnsi="Arial" w:cs="Arial"/>
          <w:color w:val="000000" w:themeColor="text1"/>
          <w:sz w:val="22"/>
          <w:lang w:val="es-ES" w:eastAsia="es-ES_tradnl"/>
        </w:rPr>
        <w:t xml:space="preserve">establece que </w:t>
      </w:r>
      <w:r w:rsidRPr="009F05AC">
        <w:rPr>
          <w:rFonts w:ascii="Arial" w:eastAsia="Times New Roman" w:hAnsi="Arial" w:cs="Arial"/>
          <w:color w:val="000000" w:themeColor="text1"/>
          <w:sz w:val="22"/>
          <w:lang w:val="es-ES" w:eastAsia="es-ES_tradnl"/>
        </w:rPr>
        <w:t>las personas legalmente capaces, nacionales y extranjeras, y las estructuras plurales – consorcios y uniones temporales</w:t>
      </w:r>
      <w:r w:rsidR="00B824ED">
        <w:rPr>
          <w:rFonts w:ascii="Arial" w:eastAsia="Times New Roman" w:hAnsi="Arial" w:cs="Arial"/>
          <w:color w:val="000000" w:themeColor="text1"/>
          <w:sz w:val="22"/>
          <w:lang w:val="es-ES" w:eastAsia="es-ES_tradnl"/>
        </w:rPr>
        <w:t>–</w:t>
      </w:r>
      <w:r w:rsidRPr="009F05AC">
        <w:rPr>
          <w:rFonts w:ascii="Arial" w:eastAsia="Times New Roman" w:hAnsi="Arial" w:cs="Arial"/>
          <w:color w:val="000000" w:themeColor="text1"/>
          <w:sz w:val="22"/>
          <w:lang w:val="es-ES" w:eastAsia="es-ES_tradnl"/>
        </w:rPr>
        <w:t xml:space="preserve"> podrán celebrar contratos con las entidades estatales del orden nacional o regional de diferente naturaleza</w:t>
      </w:r>
      <w:r w:rsidR="00363D6F">
        <w:rPr>
          <w:rStyle w:val="Refdenotaalpie"/>
          <w:rFonts w:ascii="Arial" w:eastAsia="Times New Roman" w:hAnsi="Arial" w:cs="Arial"/>
          <w:color w:val="000000" w:themeColor="text1"/>
          <w:sz w:val="22"/>
          <w:lang w:val="es-ES" w:eastAsia="es-ES_tradnl"/>
        </w:rPr>
        <w:footnoteReference w:id="8"/>
      </w:r>
      <w:r w:rsidRPr="009F05AC">
        <w:rPr>
          <w:rFonts w:ascii="Arial" w:eastAsia="Times New Roman" w:hAnsi="Arial" w:cs="Arial"/>
          <w:color w:val="000000" w:themeColor="text1"/>
          <w:sz w:val="22"/>
          <w:lang w:val="es-ES" w:eastAsia="es-ES_tradnl"/>
        </w:rPr>
        <w:t>.</w:t>
      </w:r>
      <w:r w:rsidR="00B824ED">
        <w:rPr>
          <w:rFonts w:ascii="Arial" w:eastAsia="Times New Roman" w:hAnsi="Arial" w:cs="Arial"/>
          <w:color w:val="000000" w:themeColor="text1"/>
          <w:sz w:val="22"/>
          <w:lang w:val="es-ES" w:eastAsia="es-ES_tradnl"/>
        </w:rPr>
        <w:t xml:space="preserve"> </w:t>
      </w:r>
      <w:r w:rsidRPr="009F05AC">
        <w:rPr>
          <w:rFonts w:ascii="Arial" w:eastAsia="Times New Roman" w:hAnsi="Arial" w:cs="Arial"/>
          <w:color w:val="000000" w:themeColor="text1"/>
          <w:sz w:val="22"/>
          <w:lang w:val="es-ES" w:eastAsia="es-ES_tradnl"/>
        </w:rPr>
        <w:t xml:space="preserve">De esta manera, puede observarse que, como </w:t>
      </w:r>
      <w:r w:rsidRPr="009F05AC">
        <w:rPr>
          <w:rFonts w:ascii="Arial" w:eastAsia="Times New Roman" w:hAnsi="Arial" w:cs="Arial"/>
          <w:color w:val="000000" w:themeColor="text1"/>
          <w:sz w:val="22"/>
          <w:lang w:val="es-ES" w:eastAsia="es-ES_tradnl"/>
        </w:rPr>
        <w:lastRenderedPageBreak/>
        <w:t>ocurre en el régimen privado</w:t>
      </w:r>
      <w:r w:rsidR="00740CA5">
        <w:rPr>
          <w:rFonts w:ascii="Arial" w:eastAsia="Times New Roman" w:hAnsi="Arial" w:cs="Arial"/>
          <w:color w:val="000000" w:themeColor="text1"/>
          <w:sz w:val="22"/>
          <w:lang w:val="es-ES" w:eastAsia="es-ES_tradnl"/>
        </w:rPr>
        <w:t xml:space="preserve">, </w:t>
      </w:r>
      <w:r w:rsidRPr="009F05AC">
        <w:rPr>
          <w:rFonts w:ascii="Arial" w:eastAsia="Times New Roman" w:hAnsi="Arial" w:cs="Arial"/>
          <w:color w:val="000000" w:themeColor="text1"/>
          <w:sz w:val="22"/>
          <w:lang w:val="es-ES" w:eastAsia="es-ES_tradnl"/>
        </w:rPr>
        <w:t xml:space="preserve">los contratos celebrados en el marco de una actividad estatal requieren que los extremos de la </w:t>
      </w:r>
      <w:r w:rsidR="00F1489B" w:rsidRPr="009F05AC">
        <w:rPr>
          <w:rFonts w:ascii="Arial" w:eastAsia="Times New Roman" w:hAnsi="Arial" w:cs="Arial"/>
          <w:color w:val="000000" w:themeColor="text1"/>
          <w:sz w:val="22"/>
          <w:lang w:val="es-ES" w:eastAsia="es-ES_tradnl"/>
        </w:rPr>
        <w:t>relación</w:t>
      </w:r>
      <w:r w:rsidRPr="009F05AC">
        <w:rPr>
          <w:rFonts w:ascii="Arial" w:eastAsia="Times New Roman" w:hAnsi="Arial" w:cs="Arial"/>
          <w:color w:val="000000" w:themeColor="text1"/>
          <w:sz w:val="22"/>
          <w:lang w:val="es-ES" w:eastAsia="es-ES_tradnl"/>
        </w:rPr>
        <w:t xml:space="preserve"> sean de naturaleza pública o privada,</w:t>
      </w:r>
      <w:r w:rsidR="002076B6">
        <w:rPr>
          <w:rFonts w:ascii="Arial" w:eastAsia="Times New Roman" w:hAnsi="Arial" w:cs="Arial"/>
          <w:color w:val="000000" w:themeColor="text1"/>
          <w:sz w:val="22"/>
          <w:lang w:val="es-ES" w:eastAsia="es-ES_tradnl"/>
        </w:rPr>
        <w:t xml:space="preserve"> y que</w:t>
      </w:r>
      <w:r w:rsidRPr="009F05AC">
        <w:rPr>
          <w:rFonts w:ascii="Arial" w:eastAsia="Times New Roman" w:hAnsi="Arial" w:cs="Arial"/>
          <w:color w:val="000000" w:themeColor="text1"/>
          <w:sz w:val="22"/>
          <w:lang w:val="es-ES" w:eastAsia="es-ES_tradnl"/>
        </w:rPr>
        <w:t xml:space="preserve"> estén dotados de capacidad jurídica para </w:t>
      </w:r>
      <w:r w:rsidR="00CA3F2D">
        <w:rPr>
          <w:rFonts w:ascii="Arial" w:eastAsia="Times New Roman" w:hAnsi="Arial" w:cs="Arial"/>
          <w:color w:val="000000" w:themeColor="text1"/>
          <w:sz w:val="22"/>
          <w:lang w:val="es-ES" w:eastAsia="es-ES_tradnl"/>
        </w:rPr>
        <w:t xml:space="preserve">contraer obligaciones </w:t>
      </w:r>
      <w:r w:rsidR="00C10EF3">
        <w:rPr>
          <w:rFonts w:ascii="Arial" w:eastAsia="Times New Roman" w:hAnsi="Arial" w:cs="Arial"/>
          <w:color w:val="000000" w:themeColor="text1"/>
          <w:sz w:val="22"/>
          <w:lang w:val="es-ES" w:eastAsia="es-ES_tradnl"/>
        </w:rPr>
        <w:t xml:space="preserve">mediante la suscripción de contratos. </w:t>
      </w:r>
      <w:r w:rsidRPr="009F05AC">
        <w:rPr>
          <w:rFonts w:ascii="Arial" w:eastAsia="Times New Roman" w:hAnsi="Arial" w:cs="Arial"/>
          <w:color w:val="000000" w:themeColor="text1"/>
          <w:sz w:val="22"/>
          <w:lang w:val="es-ES" w:eastAsia="es-ES_tradnl"/>
        </w:rPr>
        <w:t>No obstante, dentro del espectro de la contratación estatal, además de la capacidad de goce y la capacidad de ejercicio, se requiere integrar a la capacidad jurídica para contratar el régimen de inhabilidades e incompatibilidades</w:t>
      </w:r>
      <w:r w:rsidR="00363D6F">
        <w:rPr>
          <w:rFonts w:ascii="Arial" w:eastAsia="Times New Roman" w:hAnsi="Arial" w:cs="Arial"/>
          <w:color w:val="000000" w:themeColor="text1"/>
          <w:sz w:val="22"/>
          <w:lang w:val="es-ES" w:eastAsia="es-ES_tradnl"/>
        </w:rPr>
        <w:t>, tema que se analiza a continuación.</w:t>
      </w:r>
    </w:p>
    <w:p w14:paraId="057BA06F" w14:textId="679AE528" w:rsidR="00273DB6" w:rsidRPr="009F05AC" w:rsidRDefault="00273DB6">
      <w:pPr>
        <w:spacing w:line="276" w:lineRule="auto"/>
        <w:ind w:firstLine="567"/>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 xml:space="preserve">De acuerdo con lo anterior, </w:t>
      </w:r>
      <w:r w:rsidR="006E226D">
        <w:rPr>
          <w:rFonts w:ascii="Arial" w:eastAsia="Times New Roman" w:hAnsi="Arial" w:cs="Arial"/>
          <w:color w:val="000000" w:themeColor="text1"/>
          <w:sz w:val="22"/>
          <w:lang w:val="es-ES" w:eastAsia="es-ES_tradnl"/>
        </w:rPr>
        <w:t>la actividad</w:t>
      </w:r>
      <w:r w:rsidR="009A588B">
        <w:rPr>
          <w:rFonts w:ascii="Arial" w:eastAsia="Times New Roman" w:hAnsi="Arial" w:cs="Arial"/>
          <w:color w:val="000000" w:themeColor="text1"/>
          <w:sz w:val="22"/>
          <w:lang w:val="es-ES" w:eastAsia="es-ES_tradnl"/>
        </w:rPr>
        <w:t xml:space="preserve"> contractual</w:t>
      </w:r>
      <w:r w:rsidR="007131FC">
        <w:rPr>
          <w:rFonts w:ascii="Arial" w:eastAsia="Times New Roman" w:hAnsi="Arial" w:cs="Arial"/>
          <w:color w:val="000000" w:themeColor="text1"/>
          <w:sz w:val="22"/>
          <w:lang w:val="es-ES" w:eastAsia="es-ES_tradnl"/>
        </w:rPr>
        <w:t xml:space="preserve"> del Estado está al servicio de los</w:t>
      </w:r>
      <w:r w:rsidR="009A588B">
        <w:rPr>
          <w:rFonts w:ascii="Arial" w:eastAsia="Times New Roman" w:hAnsi="Arial" w:cs="Arial"/>
          <w:color w:val="000000" w:themeColor="text1"/>
          <w:sz w:val="22"/>
          <w:lang w:val="es-ES" w:eastAsia="es-ES_tradnl"/>
        </w:rPr>
        <w:t xml:space="preserve"> </w:t>
      </w:r>
      <w:r w:rsidR="007131FC" w:rsidRPr="009F05AC">
        <w:rPr>
          <w:rFonts w:ascii="Arial" w:eastAsia="Times New Roman" w:hAnsi="Arial" w:cs="Arial"/>
          <w:color w:val="000000" w:themeColor="text1"/>
          <w:sz w:val="22"/>
          <w:lang w:val="es-ES" w:eastAsia="es-ES_tradnl"/>
        </w:rPr>
        <w:t xml:space="preserve">fines estatales, la continua y eficiente prestación de los servicios públicos y la efectividad de los derechos e intereses de los </w:t>
      </w:r>
      <w:r w:rsidR="00370F96">
        <w:rPr>
          <w:rFonts w:ascii="Arial" w:eastAsia="Times New Roman" w:hAnsi="Arial" w:cs="Arial"/>
          <w:color w:val="000000" w:themeColor="text1"/>
          <w:sz w:val="22"/>
          <w:lang w:val="es-ES" w:eastAsia="es-ES_tradnl"/>
        </w:rPr>
        <w:t xml:space="preserve">ciudadanos. Para el cumplimiento de dichos fines, el ordenamiento </w:t>
      </w:r>
      <w:r w:rsidR="00B00787">
        <w:rPr>
          <w:rFonts w:ascii="Arial" w:eastAsia="Times New Roman" w:hAnsi="Arial" w:cs="Arial"/>
          <w:color w:val="000000" w:themeColor="text1"/>
          <w:sz w:val="22"/>
          <w:lang w:val="es-ES" w:eastAsia="es-ES_tradnl"/>
        </w:rPr>
        <w:t>jurídico</w:t>
      </w:r>
      <w:r w:rsidR="00463A11">
        <w:rPr>
          <w:rFonts w:ascii="Arial" w:eastAsia="Times New Roman" w:hAnsi="Arial" w:cs="Arial"/>
          <w:color w:val="000000" w:themeColor="text1"/>
          <w:sz w:val="22"/>
          <w:lang w:val="es-ES" w:eastAsia="es-ES_tradnl"/>
        </w:rPr>
        <w:t xml:space="preserve">, </w:t>
      </w:r>
      <w:r w:rsidR="00370F96">
        <w:rPr>
          <w:rFonts w:ascii="Arial" w:eastAsia="Times New Roman" w:hAnsi="Arial" w:cs="Arial"/>
          <w:color w:val="000000" w:themeColor="text1"/>
          <w:sz w:val="22"/>
          <w:lang w:val="es-ES" w:eastAsia="es-ES_tradnl"/>
        </w:rPr>
        <w:t>les ha asignado funciones</w:t>
      </w:r>
      <w:r w:rsidR="00494123">
        <w:rPr>
          <w:rFonts w:ascii="Arial" w:eastAsia="Times New Roman" w:hAnsi="Arial" w:cs="Arial"/>
          <w:color w:val="000000" w:themeColor="text1"/>
          <w:sz w:val="22"/>
          <w:lang w:val="es-ES" w:eastAsia="es-ES_tradnl"/>
        </w:rPr>
        <w:t xml:space="preserve"> administrativas</w:t>
      </w:r>
      <w:r w:rsidR="00370F96">
        <w:rPr>
          <w:rFonts w:ascii="Arial" w:eastAsia="Times New Roman" w:hAnsi="Arial" w:cs="Arial"/>
          <w:color w:val="000000" w:themeColor="text1"/>
          <w:sz w:val="22"/>
          <w:lang w:val="es-ES" w:eastAsia="es-ES_tradnl"/>
        </w:rPr>
        <w:t xml:space="preserve"> </w:t>
      </w:r>
      <w:r w:rsidR="00463A11">
        <w:rPr>
          <w:rFonts w:ascii="Arial" w:eastAsia="Times New Roman" w:hAnsi="Arial" w:cs="Arial"/>
          <w:color w:val="000000" w:themeColor="text1"/>
          <w:sz w:val="22"/>
          <w:lang w:val="es-ES" w:eastAsia="es-ES_tradnl"/>
        </w:rPr>
        <w:t>y capacidad para contratar a diferentes tipos de entidades estatales</w:t>
      </w:r>
      <w:r w:rsidR="00AD56F4">
        <w:rPr>
          <w:rFonts w:ascii="Arial" w:eastAsia="Times New Roman" w:hAnsi="Arial" w:cs="Arial"/>
          <w:color w:val="000000" w:themeColor="text1"/>
          <w:sz w:val="22"/>
          <w:lang w:val="es-ES" w:eastAsia="es-ES_tradnl"/>
        </w:rPr>
        <w:t xml:space="preserve">, </w:t>
      </w:r>
      <w:r w:rsidR="002076B6">
        <w:rPr>
          <w:rFonts w:ascii="Arial" w:eastAsia="Times New Roman" w:hAnsi="Arial" w:cs="Arial"/>
          <w:color w:val="000000" w:themeColor="text1"/>
          <w:sz w:val="22"/>
          <w:lang w:val="es-ES" w:eastAsia="es-ES_tradnl"/>
        </w:rPr>
        <w:t xml:space="preserve">las cuales </w:t>
      </w:r>
      <w:r w:rsidR="00AD56F4">
        <w:rPr>
          <w:rFonts w:ascii="Arial" w:eastAsia="Times New Roman" w:hAnsi="Arial" w:cs="Arial"/>
          <w:color w:val="000000" w:themeColor="text1"/>
          <w:sz w:val="22"/>
          <w:lang w:val="es-ES" w:eastAsia="es-ES_tradnl"/>
        </w:rPr>
        <w:t xml:space="preserve">ejercen </w:t>
      </w:r>
      <w:r w:rsidR="002076B6">
        <w:rPr>
          <w:rFonts w:ascii="Arial" w:eastAsia="Times New Roman" w:hAnsi="Arial" w:cs="Arial"/>
          <w:color w:val="000000" w:themeColor="text1"/>
          <w:sz w:val="22"/>
          <w:lang w:val="es-ES" w:eastAsia="es-ES_tradnl"/>
        </w:rPr>
        <w:t>tales competencias</w:t>
      </w:r>
      <w:r w:rsidR="00AD56F4">
        <w:rPr>
          <w:rFonts w:ascii="Arial" w:eastAsia="Times New Roman" w:hAnsi="Arial" w:cs="Arial"/>
          <w:color w:val="000000" w:themeColor="text1"/>
          <w:sz w:val="22"/>
          <w:lang w:val="es-ES" w:eastAsia="es-ES_tradnl"/>
        </w:rPr>
        <w:t xml:space="preserve"> de acuerdo con el ámbito de autonomía</w:t>
      </w:r>
      <w:r w:rsidR="00F1489B">
        <w:rPr>
          <w:rFonts w:ascii="Arial" w:eastAsia="Times New Roman" w:hAnsi="Arial" w:cs="Arial"/>
          <w:color w:val="000000" w:themeColor="text1"/>
          <w:sz w:val="22"/>
          <w:lang w:val="es-ES" w:eastAsia="es-ES_tradnl"/>
        </w:rPr>
        <w:t xml:space="preserve"> y limitaciones establecidas por la ley. </w:t>
      </w:r>
      <w:r w:rsidR="00AD56F4">
        <w:rPr>
          <w:rFonts w:ascii="Arial" w:eastAsia="Times New Roman" w:hAnsi="Arial" w:cs="Arial"/>
          <w:color w:val="000000" w:themeColor="text1"/>
          <w:sz w:val="22"/>
          <w:lang w:val="es-ES" w:eastAsia="es-ES_tradnl"/>
        </w:rPr>
        <w:t xml:space="preserve"> </w:t>
      </w:r>
      <w:r w:rsidR="00463A11">
        <w:rPr>
          <w:rFonts w:ascii="Arial" w:eastAsia="Times New Roman" w:hAnsi="Arial" w:cs="Arial"/>
          <w:color w:val="000000" w:themeColor="text1"/>
          <w:sz w:val="22"/>
          <w:lang w:val="es-ES" w:eastAsia="es-ES_tradnl"/>
        </w:rPr>
        <w:t xml:space="preserve"> </w:t>
      </w:r>
    </w:p>
    <w:p w14:paraId="3731ACB8" w14:textId="77777777" w:rsidR="00F40307" w:rsidRPr="009F05AC" w:rsidRDefault="00F40307" w:rsidP="00F40307">
      <w:pPr>
        <w:tabs>
          <w:tab w:val="left" w:pos="426"/>
        </w:tabs>
        <w:spacing w:line="276" w:lineRule="auto"/>
        <w:jc w:val="both"/>
        <w:rPr>
          <w:rFonts w:ascii="Arial" w:eastAsia="Calibri" w:hAnsi="Arial" w:cs="Arial"/>
          <w:b/>
          <w:color w:val="000000"/>
          <w:sz w:val="22"/>
          <w:lang w:val="es-ES_tradnl" w:eastAsia="en-GB"/>
        </w:rPr>
      </w:pPr>
    </w:p>
    <w:p w14:paraId="1D3612F9" w14:textId="2617B5D8" w:rsidR="00A431F3" w:rsidRPr="0066730D" w:rsidRDefault="00F40307" w:rsidP="00A431F3">
      <w:pPr>
        <w:spacing w:line="276" w:lineRule="auto"/>
        <w:jc w:val="both"/>
        <w:rPr>
          <w:rFonts w:ascii="Arial" w:hAnsi="Arial" w:cs="Arial"/>
          <w:b/>
          <w:sz w:val="22"/>
        </w:rPr>
      </w:pPr>
      <w:r w:rsidRPr="009F05AC">
        <w:rPr>
          <w:rFonts w:ascii="Arial" w:eastAsia="Calibri" w:hAnsi="Arial" w:cs="Arial"/>
          <w:b/>
          <w:color w:val="000000"/>
          <w:sz w:val="22"/>
          <w:lang w:val="es-ES_tradnl" w:eastAsia="en-GB"/>
        </w:rPr>
        <w:t xml:space="preserve">2.2. </w:t>
      </w:r>
      <w:r w:rsidR="00A431F3" w:rsidRPr="0066730D">
        <w:rPr>
          <w:rFonts w:ascii="Arial" w:hAnsi="Arial" w:cs="Arial"/>
          <w:b/>
          <w:sz w:val="22"/>
        </w:rPr>
        <w:t xml:space="preserve">Régimen de inhabilidades e incompatibilidades para contratar con el Estado, la interpretación de sus disposiciones y la labor de interventoría </w:t>
      </w:r>
    </w:p>
    <w:p w14:paraId="4F3E2CCA" w14:textId="77777777" w:rsidR="00BF7349" w:rsidRDefault="00BF7349" w:rsidP="00BF7349">
      <w:pPr>
        <w:pStyle w:val="Sinespaciado"/>
        <w:spacing w:line="276" w:lineRule="auto"/>
        <w:jc w:val="both"/>
        <w:rPr>
          <w:rFonts w:ascii="Arial" w:hAnsi="Arial" w:cs="Arial"/>
          <w:sz w:val="22"/>
        </w:rPr>
      </w:pPr>
    </w:p>
    <w:p w14:paraId="60C1C43A" w14:textId="697882C8" w:rsidR="00A431F3" w:rsidRPr="0066730D" w:rsidRDefault="00A431F3" w:rsidP="00332BE4">
      <w:pPr>
        <w:pStyle w:val="Sinespaciado"/>
        <w:spacing w:line="276" w:lineRule="auto"/>
        <w:jc w:val="both"/>
        <w:rPr>
          <w:rFonts w:ascii="Arial" w:hAnsi="Arial" w:cs="Arial"/>
          <w:sz w:val="22"/>
        </w:rPr>
      </w:pPr>
      <w:r w:rsidRPr="0066730D">
        <w:rPr>
          <w:rFonts w:ascii="Arial" w:hAnsi="Arial"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B46D57B" w14:textId="065024F7" w:rsidR="00A431F3" w:rsidRPr="0066730D" w:rsidRDefault="00A431F3" w:rsidP="00332BE4">
      <w:pPr>
        <w:pStyle w:val="Sinespaciado"/>
        <w:spacing w:before="120" w:after="120" w:line="276" w:lineRule="auto"/>
        <w:ind w:firstLine="708"/>
        <w:jc w:val="both"/>
        <w:rPr>
          <w:rFonts w:ascii="Arial" w:hAnsi="Arial" w:cs="Arial"/>
          <w:sz w:val="21"/>
          <w:szCs w:val="21"/>
          <w:lang w:val="es-ES"/>
        </w:rPr>
      </w:pPr>
      <w:r w:rsidRPr="0066730D">
        <w:rPr>
          <w:rFonts w:ascii="Arial" w:hAnsi="Arial" w:cs="Arial"/>
          <w:sz w:val="22"/>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6730D">
        <w:rPr>
          <w:rFonts w:ascii="Arial" w:hAnsi="Arial" w:cs="Arial"/>
          <w:sz w:val="22"/>
          <w:vertAlign w:val="superscript"/>
        </w:rPr>
        <w:footnoteReference w:id="9"/>
      </w:r>
      <w:r w:rsidRPr="0066730D">
        <w:rPr>
          <w:rFonts w:ascii="Arial" w:hAnsi="Arial" w:cs="Arial"/>
          <w:sz w:val="22"/>
        </w:rPr>
        <w:t xml:space="preserve">. </w:t>
      </w:r>
      <w:r w:rsidR="00520C52">
        <w:rPr>
          <w:rFonts w:ascii="Arial" w:hAnsi="Arial" w:cs="Arial"/>
          <w:sz w:val="22"/>
        </w:rPr>
        <w:t xml:space="preserve"> </w:t>
      </w:r>
      <w:r w:rsidRPr="0066730D">
        <w:rPr>
          <w:rFonts w:ascii="Arial" w:hAnsi="Arial" w:cs="Arial"/>
          <w:sz w:val="22"/>
        </w:rPr>
        <w:t>Las limitaciones que afectan la capacidad jurídica para contratar desarrollan los principios de la función administrativa consagrados en el artículo 209 de la Constitución Política, con especial énfasis la moralidad administrativa.</w:t>
      </w:r>
      <w:r w:rsidR="00520C52">
        <w:rPr>
          <w:rStyle w:val="Refdenotaalpie"/>
          <w:rFonts w:ascii="Arial" w:hAnsi="Arial" w:cs="Arial"/>
          <w:sz w:val="22"/>
        </w:rPr>
        <w:footnoteReference w:id="10"/>
      </w:r>
      <w:r w:rsidRPr="0066730D">
        <w:rPr>
          <w:rFonts w:ascii="Arial" w:hAnsi="Arial" w:cs="Arial"/>
          <w:sz w:val="21"/>
          <w:szCs w:val="21"/>
          <w:lang w:val="es-ES"/>
        </w:rPr>
        <w:t xml:space="preserve">. </w:t>
      </w:r>
    </w:p>
    <w:p w14:paraId="7CB5B835" w14:textId="77777777" w:rsidR="00A431F3" w:rsidRPr="0066730D" w:rsidRDefault="00A431F3" w:rsidP="00A431F3">
      <w:pPr>
        <w:pStyle w:val="Sinespaciado"/>
        <w:spacing w:line="276" w:lineRule="auto"/>
        <w:ind w:firstLine="708"/>
        <w:jc w:val="both"/>
        <w:rPr>
          <w:rFonts w:ascii="Arial" w:hAnsi="Arial" w:cs="Arial"/>
          <w:sz w:val="22"/>
        </w:rPr>
      </w:pPr>
      <w:r w:rsidRPr="0066730D">
        <w:rPr>
          <w:rFonts w:ascii="Arial" w:hAnsi="Arial" w:cs="Arial"/>
          <w:sz w:val="22"/>
        </w:rPr>
        <w:lastRenderedPageBreak/>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268CCE7" w14:textId="77777777" w:rsidR="00A431F3" w:rsidRPr="0066730D" w:rsidRDefault="00A431F3" w:rsidP="00A431F3">
      <w:pPr>
        <w:rPr>
          <w:rFonts w:ascii="Arial" w:eastAsia="Times New Roman" w:hAnsi="Arial" w:cs="Arial"/>
          <w:sz w:val="22"/>
          <w:shd w:val="clear" w:color="auto" w:fill="FFFFFF"/>
          <w:lang w:val="es-CO" w:eastAsia="es-ES_tradnl"/>
        </w:rPr>
      </w:pPr>
    </w:p>
    <w:p w14:paraId="6989994D" w14:textId="77777777" w:rsidR="00A431F3" w:rsidRPr="0066730D" w:rsidRDefault="00A431F3" w:rsidP="00A431F3">
      <w:pPr>
        <w:spacing w:after="120"/>
        <w:ind w:left="709" w:right="709"/>
        <w:jc w:val="both"/>
        <w:rPr>
          <w:rFonts w:ascii="Arial" w:hAnsi="Arial" w:cs="Arial"/>
          <w:sz w:val="21"/>
          <w:szCs w:val="21"/>
        </w:rPr>
      </w:pPr>
      <w:r w:rsidRPr="0066730D">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66730D">
        <w:rPr>
          <w:rFonts w:ascii="Arial" w:hAnsi="Arial" w:cs="Arial"/>
          <w:sz w:val="21"/>
          <w:szCs w:val="21"/>
        </w:rPr>
        <w:t>incompatibilidades,</w:t>
      </w:r>
      <w:proofErr w:type="gramEnd"/>
      <w:r w:rsidRPr="0066730D">
        <w:rPr>
          <w:rFonts w:ascii="Arial" w:hAnsi="Arial" w:cs="Arial"/>
          <w:sz w:val="21"/>
          <w:szCs w:val="21"/>
        </w:rPr>
        <w:t xml:space="preserve"> se erige en causal de nulidad del contrato celebrado en esas condiciones (ley 80 de 1993, art. 44).</w:t>
      </w:r>
    </w:p>
    <w:p w14:paraId="5ECB0194" w14:textId="77777777" w:rsidR="00A431F3" w:rsidRPr="0066730D" w:rsidRDefault="00A431F3" w:rsidP="00A431F3">
      <w:pPr>
        <w:ind w:left="709" w:right="709"/>
        <w:jc w:val="both"/>
        <w:rPr>
          <w:rFonts w:ascii="Arial" w:hAnsi="Arial" w:cs="Arial"/>
          <w:sz w:val="21"/>
          <w:szCs w:val="21"/>
        </w:rPr>
      </w:pPr>
      <w:r w:rsidRPr="0066730D">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66730D">
        <w:rPr>
          <w:rStyle w:val="Refdenotaalpie"/>
          <w:rFonts w:ascii="Arial" w:hAnsi="Arial" w:cs="Arial"/>
          <w:sz w:val="21"/>
          <w:szCs w:val="21"/>
        </w:rPr>
        <w:footnoteReference w:id="11"/>
      </w:r>
      <w:r w:rsidRPr="0066730D">
        <w:rPr>
          <w:rFonts w:ascii="Arial" w:hAnsi="Arial" w:cs="Arial"/>
          <w:sz w:val="21"/>
          <w:szCs w:val="21"/>
        </w:rPr>
        <w:t>.</w:t>
      </w:r>
    </w:p>
    <w:p w14:paraId="2D08661B" w14:textId="77777777" w:rsidR="00A431F3" w:rsidRPr="0066730D" w:rsidRDefault="00A431F3" w:rsidP="00A431F3">
      <w:pPr>
        <w:spacing w:line="276" w:lineRule="auto"/>
        <w:ind w:left="709" w:right="709"/>
        <w:rPr>
          <w:rFonts w:ascii="Arial" w:eastAsia="Times New Roman" w:hAnsi="Arial" w:cs="Arial"/>
          <w:sz w:val="22"/>
          <w:shd w:val="clear" w:color="auto" w:fill="FFFFFF"/>
          <w:lang w:val="es-CO" w:eastAsia="es-ES_tradnl"/>
        </w:rPr>
      </w:pPr>
    </w:p>
    <w:p w14:paraId="3641DD65" w14:textId="3AF6C39D" w:rsidR="00A431F3" w:rsidRPr="0066730D" w:rsidRDefault="00A431F3" w:rsidP="00A431F3">
      <w:pPr>
        <w:spacing w:line="276" w:lineRule="auto"/>
        <w:ind w:firstLine="708"/>
        <w:jc w:val="both"/>
        <w:rPr>
          <w:rFonts w:ascii="Arial" w:hAnsi="Arial" w:cs="Arial"/>
          <w:sz w:val="22"/>
        </w:rPr>
      </w:pPr>
      <w:r w:rsidRPr="0066730D">
        <w:rPr>
          <w:rFonts w:ascii="Arial" w:hAnsi="Arial" w:cs="Arial"/>
          <w:sz w:val="22"/>
        </w:rPr>
        <w:t xml:space="preserve">Además, la Corte Constitucional ha explicado que el legislador tiene la competencia para determinar qué hechos o situaciones generan inhabilidad para contratar, pues este régimen es un aspecto propio del Estatuto General de Contratación de la Administración </w:t>
      </w:r>
      <w:r w:rsidRPr="0066730D">
        <w:rPr>
          <w:rFonts w:ascii="Arial" w:hAnsi="Arial" w:cs="Arial"/>
          <w:sz w:val="22"/>
        </w:rPr>
        <w:lastRenderedPageBreak/>
        <w:t>Pública, cuya expedición compete al Congreso de la República de conformidad con el artículo 150 de la Constitución Política, y que en esta materia rige el principio de legalidad</w:t>
      </w:r>
      <w:r w:rsidR="002076B6">
        <w:rPr>
          <w:rFonts w:ascii="Arial" w:hAnsi="Arial" w:cs="Arial"/>
          <w:sz w:val="22"/>
        </w:rPr>
        <w:t>, en los siguientes términos</w:t>
      </w:r>
      <w:r w:rsidRPr="0066730D">
        <w:rPr>
          <w:rFonts w:ascii="Arial" w:hAnsi="Arial" w:cs="Arial"/>
          <w:sz w:val="22"/>
        </w:rPr>
        <w:t>:</w:t>
      </w:r>
    </w:p>
    <w:p w14:paraId="17D73F64" w14:textId="77777777" w:rsidR="00A431F3" w:rsidRPr="0066730D" w:rsidRDefault="00A431F3" w:rsidP="00A431F3">
      <w:pPr>
        <w:pStyle w:val="Sinespaciado"/>
        <w:tabs>
          <w:tab w:val="left" w:pos="1532"/>
        </w:tabs>
        <w:spacing w:line="276" w:lineRule="auto"/>
        <w:jc w:val="both"/>
        <w:rPr>
          <w:rFonts w:ascii="Arial" w:hAnsi="Arial" w:cs="Arial"/>
          <w:sz w:val="22"/>
        </w:rPr>
      </w:pPr>
    </w:p>
    <w:p w14:paraId="37A78EAF" w14:textId="77777777" w:rsidR="00A431F3" w:rsidRPr="0066730D" w:rsidRDefault="00A431F3" w:rsidP="00A431F3">
      <w:pPr>
        <w:spacing w:after="120"/>
        <w:ind w:left="709" w:right="709"/>
        <w:jc w:val="both"/>
        <w:rPr>
          <w:rFonts w:ascii="Arial" w:hAnsi="Arial" w:cs="Arial"/>
          <w:sz w:val="21"/>
          <w:szCs w:val="21"/>
        </w:rPr>
      </w:pPr>
      <w:r w:rsidRPr="0066730D">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66730D">
        <w:rPr>
          <w:rFonts w:ascii="Arial" w:hAnsi="Arial" w:cs="Arial"/>
          <w:sz w:val="21"/>
          <w:szCs w:val="21"/>
        </w:rPr>
        <w:t>libertate</w:t>
      </w:r>
      <w:proofErr w:type="spellEnd"/>
      <w:r w:rsidRPr="0066730D">
        <w:rPr>
          <w:rFonts w:ascii="Arial" w:hAnsi="Arial" w:cs="Arial"/>
          <w:sz w:val="21"/>
          <w:szCs w:val="21"/>
        </w:rPr>
        <w:t xml:space="preserve">, sino el de legalidad, el que ordena que la función pública debe someterse estrictamente a lo que disponga la Constitución y la ley (CP art. 6). </w:t>
      </w:r>
    </w:p>
    <w:p w14:paraId="3219A19F" w14:textId="77777777" w:rsidR="00A431F3" w:rsidRPr="0066730D" w:rsidRDefault="00A431F3" w:rsidP="00A431F3">
      <w:pPr>
        <w:spacing w:after="120"/>
        <w:ind w:left="709" w:right="709"/>
        <w:jc w:val="both"/>
        <w:rPr>
          <w:rFonts w:ascii="Arial" w:hAnsi="Arial" w:cs="Arial"/>
          <w:sz w:val="21"/>
          <w:szCs w:val="21"/>
        </w:rPr>
      </w:pPr>
      <w:r w:rsidRPr="0066730D">
        <w:rPr>
          <w:rFonts w:ascii="Arial" w:hAnsi="Arial" w:cs="Arial"/>
          <w:sz w:val="21"/>
          <w:szCs w:val="21"/>
        </w:rPr>
        <w:t xml:space="preserve">[…] </w:t>
      </w:r>
    </w:p>
    <w:p w14:paraId="1C5A26A2" w14:textId="32FC2211" w:rsidR="00A431F3" w:rsidRPr="0066730D" w:rsidRDefault="00A431F3" w:rsidP="00A431F3">
      <w:pPr>
        <w:ind w:left="709" w:right="709"/>
        <w:jc w:val="both"/>
        <w:rPr>
          <w:rFonts w:ascii="Arial" w:hAnsi="Arial" w:cs="Arial"/>
          <w:sz w:val="21"/>
          <w:szCs w:val="21"/>
        </w:rPr>
      </w:pPr>
      <w:r w:rsidRPr="0066730D">
        <w:rPr>
          <w:rFonts w:ascii="Arial" w:hAnsi="Arial" w:cs="Arial"/>
          <w:sz w:val="21"/>
          <w:szCs w:val="21"/>
        </w:rPr>
        <w:t xml:space="preserve">Se comprende con facilidad que el régimen de inhabilidades e </w:t>
      </w:r>
      <w:r w:rsidR="00CF5C45" w:rsidRPr="0066730D">
        <w:rPr>
          <w:rFonts w:ascii="Arial" w:hAnsi="Arial" w:cs="Arial"/>
          <w:sz w:val="21"/>
          <w:szCs w:val="21"/>
        </w:rPr>
        <w:t>incompatibilidades</w:t>
      </w:r>
      <w:r w:rsidRPr="0066730D">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Pr="0066730D">
        <w:rPr>
          <w:rStyle w:val="Refdenotaalpie"/>
          <w:rFonts w:ascii="Arial" w:hAnsi="Arial" w:cs="Arial"/>
          <w:sz w:val="21"/>
          <w:szCs w:val="21"/>
        </w:rPr>
        <w:footnoteReference w:id="12"/>
      </w:r>
      <w:r w:rsidRPr="0066730D">
        <w:rPr>
          <w:rFonts w:ascii="Arial" w:hAnsi="Arial" w:cs="Arial"/>
          <w:sz w:val="21"/>
          <w:szCs w:val="21"/>
        </w:rPr>
        <w:t>.</w:t>
      </w:r>
    </w:p>
    <w:p w14:paraId="4988CE79" w14:textId="77777777" w:rsidR="00A431F3" w:rsidRPr="0066730D" w:rsidRDefault="00A431F3" w:rsidP="00A431F3">
      <w:pPr>
        <w:ind w:left="709" w:right="709"/>
        <w:rPr>
          <w:rFonts w:ascii="Arial" w:eastAsia="Times New Roman" w:hAnsi="Arial" w:cs="Arial"/>
          <w:sz w:val="22"/>
          <w:shd w:val="clear" w:color="auto" w:fill="FFFFFF"/>
          <w:lang w:val="es-CO" w:eastAsia="es-ES_tradnl"/>
        </w:rPr>
      </w:pPr>
    </w:p>
    <w:p w14:paraId="2065C596" w14:textId="77777777" w:rsidR="00A431F3" w:rsidRPr="0066730D" w:rsidRDefault="00A431F3" w:rsidP="00A431F3">
      <w:pPr>
        <w:spacing w:after="120" w:line="276" w:lineRule="auto"/>
        <w:ind w:firstLine="708"/>
        <w:jc w:val="both"/>
        <w:rPr>
          <w:rFonts w:ascii="Arial" w:hAnsi="Arial" w:cs="Arial"/>
          <w:sz w:val="22"/>
        </w:rPr>
      </w:pPr>
      <w:r w:rsidRPr="0066730D">
        <w:rPr>
          <w:rFonts w:ascii="Arial" w:hAnsi="Arial" w:cs="Arial"/>
          <w:sz w:val="22"/>
        </w:rPr>
        <w:t xml:space="preserve">Conviene también distinguir las fuentes de las inhabilidades, las cuales han sido clasificadas en dos (2) grupos: i) inhabilidades-sanción y </w:t>
      </w:r>
      <w:proofErr w:type="spellStart"/>
      <w:r w:rsidRPr="0066730D">
        <w:rPr>
          <w:rFonts w:ascii="Arial" w:hAnsi="Arial" w:cs="Arial"/>
          <w:sz w:val="22"/>
        </w:rPr>
        <w:t>ii</w:t>
      </w:r>
      <w:proofErr w:type="spellEnd"/>
      <w:r w:rsidRPr="0066730D">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6730D">
        <w:rPr>
          <w:rStyle w:val="Refdenotaalpie"/>
          <w:rFonts w:ascii="Arial" w:hAnsi="Arial" w:cs="Arial"/>
          <w:sz w:val="22"/>
        </w:rPr>
        <w:footnoteReference w:id="13"/>
      </w:r>
      <w:r w:rsidRPr="0066730D">
        <w:rPr>
          <w:rFonts w:ascii="Arial" w:hAnsi="Arial" w:cs="Arial"/>
          <w:sz w:val="22"/>
        </w:rPr>
        <w:t xml:space="preserve">. </w:t>
      </w:r>
    </w:p>
    <w:p w14:paraId="7B59C5DC" w14:textId="77777777" w:rsidR="00A431F3" w:rsidRPr="0066730D" w:rsidRDefault="00A431F3" w:rsidP="00A431F3">
      <w:pPr>
        <w:spacing w:before="120" w:after="120" w:line="276" w:lineRule="auto"/>
        <w:ind w:firstLine="708"/>
        <w:jc w:val="both"/>
        <w:rPr>
          <w:rFonts w:ascii="Arial" w:hAnsi="Arial" w:cs="Arial"/>
          <w:sz w:val="22"/>
        </w:rPr>
      </w:pPr>
      <w:r w:rsidRPr="0066730D">
        <w:rPr>
          <w:rFonts w:ascii="Arial" w:hAnsi="Arial" w:cs="Arial"/>
          <w:sz w:val="22"/>
        </w:rPr>
        <w:t>A manera de ejemplo, en materia contractual, los literales c), d) y j) del numeral 1 del artículo 8 de la Ley 80 de 1993</w:t>
      </w:r>
      <w:r w:rsidRPr="0066730D">
        <w:rPr>
          <w:rFonts w:ascii="Arial" w:hAnsi="Arial" w:cs="Arial"/>
          <w:sz w:val="22"/>
          <w:vertAlign w:val="superscript"/>
        </w:rPr>
        <w:footnoteReference w:id="14"/>
      </w:r>
      <w:r w:rsidRPr="0066730D">
        <w:rPr>
          <w:rFonts w:ascii="Arial" w:hAnsi="Arial" w:cs="Arial"/>
          <w:sz w:val="22"/>
        </w:rPr>
        <w:t xml:space="preserve"> establecen inhabilidades-sanción, porque la prohibición </w:t>
      </w:r>
      <w:r w:rsidRPr="0066730D">
        <w:rPr>
          <w:rFonts w:ascii="Arial" w:hAnsi="Arial" w:cs="Arial"/>
          <w:sz w:val="22"/>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3E0875DE" w14:textId="77777777" w:rsidR="00A431F3" w:rsidRPr="0066730D" w:rsidRDefault="00A431F3" w:rsidP="00A431F3">
      <w:pPr>
        <w:spacing w:before="120" w:after="120" w:line="276" w:lineRule="auto"/>
        <w:ind w:firstLine="709"/>
        <w:jc w:val="both"/>
        <w:rPr>
          <w:rFonts w:ascii="Arial" w:hAnsi="Arial" w:cs="Arial"/>
          <w:sz w:val="22"/>
        </w:rPr>
      </w:pPr>
      <w:bookmarkStart w:id="3" w:name="_Hlk40976328"/>
      <w:r w:rsidRPr="0066730D">
        <w:rPr>
          <w:rFonts w:ascii="Arial" w:hAnsi="Arial" w:cs="Arial"/>
          <w:sz w:val="22"/>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bookmarkEnd w:id="3"/>
    <w:p w14:paraId="659EA3AE" w14:textId="77777777" w:rsidR="00A431F3" w:rsidRPr="0066730D" w:rsidRDefault="00A431F3" w:rsidP="00A431F3">
      <w:pPr>
        <w:spacing w:line="276" w:lineRule="auto"/>
        <w:ind w:firstLine="708"/>
        <w:jc w:val="both"/>
        <w:rPr>
          <w:rFonts w:ascii="Arial" w:eastAsia="Calibri" w:hAnsi="Arial" w:cs="Arial"/>
          <w:sz w:val="22"/>
          <w:lang w:val="es-ES_tradnl"/>
        </w:rPr>
      </w:pPr>
      <w:r w:rsidRPr="0066730D">
        <w:rPr>
          <w:rFonts w:ascii="Arial" w:eastAsia="Calibri" w:hAnsi="Arial" w:cs="Arial"/>
          <w:sz w:val="22"/>
          <w:lang w:val="es-ES_tradnl"/>
        </w:rPr>
        <w:t>Ahora bien, 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1FA48D8" w14:textId="77777777" w:rsidR="00A431F3" w:rsidRPr="0066730D" w:rsidRDefault="00A431F3" w:rsidP="00A431F3">
      <w:pPr>
        <w:spacing w:before="120" w:after="120" w:line="276" w:lineRule="auto"/>
        <w:ind w:firstLine="709"/>
        <w:jc w:val="both"/>
        <w:rPr>
          <w:rFonts w:ascii="Arial" w:eastAsia="Calibri" w:hAnsi="Arial" w:cs="Arial"/>
          <w:sz w:val="22"/>
          <w:lang w:val="es-ES_tradnl"/>
        </w:rPr>
      </w:pPr>
      <w:r w:rsidRPr="0066730D">
        <w:rPr>
          <w:rFonts w:ascii="Arial" w:eastAsia="Calibri" w:hAnsi="Arial" w:cs="Arial"/>
          <w:sz w:val="22"/>
          <w:lang w:val="es-ES_tradnl"/>
        </w:rPr>
        <w:t xml:space="preserve">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66730D">
        <w:rPr>
          <w:rFonts w:ascii="Arial" w:eastAsia="Calibri" w:hAnsi="Arial" w:cs="Arial"/>
          <w:i/>
          <w:iCs/>
          <w:sz w:val="22"/>
          <w:lang w:val="es-ES_tradnl"/>
        </w:rPr>
        <w:lastRenderedPageBreak/>
        <w:t>restrictiva</w:t>
      </w:r>
      <w:r w:rsidRPr="0066730D">
        <w:rPr>
          <w:rFonts w:ascii="Arial" w:eastAsia="Calibri" w:hAnsi="Arial" w:cs="Arial"/>
          <w:sz w:val="22"/>
          <w:vertAlign w:val="superscript"/>
          <w:lang w:val="es-ES_tradnl"/>
        </w:rPr>
        <w:footnoteReference w:id="15"/>
      </w:r>
      <w:r w:rsidRPr="0066730D">
        <w:rPr>
          <w:rFonts w:ascii="Arial" w:eastAsia="Calibri" w:hAnsi="Arial" w:cs="Arial"/>
          <w:sz w:val="22"/>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49C938E5" w14:textId="77777777" w:rsidR="00A431F3" w:rsidRPr="0066730D" w:rsidRDefault="00A431F3" w:rsidP="00A431F3">
      <w:pPr>
        <w:spacing w:line="276" w:lineRule="auto"/>
        <w:ind w:firstLine="709"/>
        <w:jc w:val="both"/>
        <w:rPr>
          <w:rFonts w:ascii="Arial" w:eastAsia="Calibri" w:hAnsi="Arial" w:cs="Arial"/>
          <w:sz w:val="22"/>
          <w:lang w:val="es-ES_tradnl"/>
        </w:rPr>
      </w:pPr>
      <w:r w:rsidRPr="0066730D">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6730D">
        <w:rPr>
          <w:rFonts w:ascii="Arial" w:eastAsia="Calibri" w:hAnsi="Arial" w:cs="Arial"/>
          <w:sz w:val="22"/>
          <w:vertAlign w:val="superscript"/>
          <w:lang w:val="es-ES_tradnl"/>
        </w:rPr>
        <w:footnoteReference w:id="16"/>
      </w:r>
      <w:r w:rsidRPr="0066730D">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6730D">
        <w:rPr>
          <w:rFonts w:ascii="Arial" w:eastAsia="Calibri" w:hAnsi="Arial" w:cs="Arial"/>
          <w:sz w:val="22"/>
          <w:vertAlign w:val="superscript"/>
          <w:lang w:val="es-ES_tradnl"/>
        </w:rPr>
        <w:footnoteReference w:id="17"/>
      </w:r>
      <w:r w:rsidRPr="0066730D">
        <w:rPr>
          <w:rFonts w:ascii="Arial" w:eastAsia="Calibri" w:hAnsi="Arial" w:cs="Arial"/>
          <w:sz w:val="22"/>
          <w:lang w:val="es-ES_tradnl"/>
        </w:rPr>
        <w:t>. En tal sentido, la Sección Tercera ha señalado que:</w:t>
      </w:r>
    </w:p>
    <w:p w14:paraId="47988C65" w14:textId="77777777" w:rsidR="00A431F3" w:rsidRPr="0066730D" w:rsidRDefault="00A431F3" w:rsidP="00A431F3">
      <w:pPr>
        <w:spacing w:line="276" w:lineRule="auto"/>
        <w:ind w:firstLine="709"/>
        <w:jc w:val="both"/>
        <w:rPr>
          <w:rFonts w:ascii="Arial" w:eastAsia="Calibri" w:hAnsi="Arial" w:cs="Arial"/>
          <w:sz w:val="22"/>
          <w:lang w:val="es-ES_tradnl"/>
        </w:rPr>
      </w:pPr>
    </w:p>
    <w:p w14:paraId="424EEB6A" w14:textId="77777777" w:rsidR="00A431F3" w:rsidRPr="0066730D" w:rsidRDefault="00A431F3" w:rsidP="00A431F3">
      <w:pPr>
        <w:ind w:left="709" w:right="709"/>
        <w:jc w:val="both"/>
        <w:rPr>
          <w:rFonts w:ascii="Arial" w:hAnsi="Arial" w:cs="Arial"/>
          <w:sz w:val="21"/>
          <w:szCs w:val="21"/>
          <w:lang w:val="es-ES_tradnl"/>
        </w:rPr>
      </w:pPr>
      <w:r w:rsidRPr="0066730D">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66730D">
        <w:rPr>
          <w:rFonts w:ascii="Arial" w:hAnsi="Arial" w:cs="Arial"/>
          <w:sz w:val="21"/>
          <w:szCs w:val="21"/>
          <w:vertAlign w:val="superscript"/>
          <w:lang w:val="es-ES_tradnl"/>
        </w:rPr>
        <w:footnoteReference w:id="18"/>
      </w:r>
      <w:r w:rsidRPr="0066730D">
        <w:rPr>
          <w:rFonts w:ascii="Arial" w:hAnsi="Arial" w:cs="Arial"/>
          <w:sz w:val="21"/>
          <w:szCs w:val="21"/>
          <w:lang w:val="es-ES_tradnl"/>
        </w:rPr>
        <w:t>.</w:t>
      </w:r>
    </w:p>
    <w:p w14:paraId="68AA0A7C" w14:textId="77777777" w:rsidR="00A431F3" w:rsidRPr="0066730D" w:rsidRDefault="00A431F3" w:rsidP="00A431F3">
      <w:pPr>
        <w:ind w:left="709" w:right="709"/>
        <w:jc w:val="both"/>
        <w:rPr>
          <w:rFonts w:ascii="Arial" w:eastAsia="Calibri" w:hAnsi="Arial" w:cs="Arial"/>
          <w:sz w:val="22"/>
          <w:lang w:val="es-ES_tradnl"/>
        </w:rPr>
      </w:pPr>
    </w:p>
    <w:p w14:paraId="5E61341A" w14:textId="77777777" w:rsidR="00A431F3" w:rsidRPr="0066730D" w:rsidRDefault="00A431F3" w:rsidP="00A431F3">
      <w:pPr>
        <w:ind w:firstLine="709"/>
        <w:jc w:val="both"/>
        <w:rPr>
          <w:rFonts w:ascii="Arial" w:eastAsia="Calibri" w:hAnsi="Arial" w:cs="Arial"/>
          <w:sz w:val="22"/>
          <w:lang w:val="es-ES_tradnl"/>
        </w:rPr>
      </w:pPr>
      <w:r w:rsidRPr="0066730D">
        <w:rPr>
          <w:rFonts w:ascii="Arial" w:eastAsia="Calibri" w:hAnsi="Arial" w:cs="Arial"/>
          <w:sz w:val="22"/>
          <w:lang w:val="es-ES_tradnl"/>
        </w:rPr>
        <w:t>También ha dicho que:</w:t>
      </w:r>
    </w:p>
    <w:p w14:paraId="5218A95A" w14:textId="77777777" w:rsidR="00A431F3" w:rsidRPr="0066730D" w:rsidRDefault="00A431F3" w:rsidP="00A431F3">
      <w:pPr>
        <w:ind w:firstLine="709"/>
        <w:jc w:val="both"/>
        <w:rPr>
          <w:rFonts w:ascii="Arial" w:eastAsia="Calibri" w:hAnsi="Arial" w:cs="Arial"/>
          <w:sz w:val="22"/>
          <w:lang w:val="es-ES_tradnl"/>
        </w:rPr>
      </w:pPr>
    </w:p>
    <w:p w14:paraId="1725CEB8" w14:textId="77777777" w:rsidR="00A431F3" w:rsidRPr="0066730D" w:rsidRDefault="00A431F3" w:rsidP="00A431F3">
      <w:pPr>
        <w:ind w:left="709" w:right="709"/>
        <w:jc w:val="both"/>
        <w:rPr>
          <w:rFonts w:ascii="Arial" w:hAnsi="Arial" w:cs="Arial"/>
          <w:sz w:val="21"/>
          <w:szCs w:val="21"/>
          <w:lang w:val="es-ES_tradnl"/>
        </w:rPr>
      </w:pPr>
      <w:r w:rsidRPr="0066730D">
        <w:rPr>
          <w:rFonts w:ascii="Arial" w:hAnsi="Arial" w:cs="Arial"/>
          <w:sz w:val="21"/>
          <w:szCs w:val="21"/>
          <w:lang w:val="es-ES_tradnl"/>
        </w:rPr>
        <w:t xml:space="preserve">[…] la aplicación de estos preceptos exige una interpretación restrictiva, dado que según el principio hermenéutico </w:t>
      </w:r>
      <w:r w:rsidRPr="0066730D">
        <w:rPr>
          <w:rFonts w:ascii="Arial" w:hAnsi="Arial" w:cs="Arial"/>
          <w:i/>
          <w:iCs/>
          <w:sz w:val="21"/>
          <w:szCs w:val="21"/>
          <w:lang w:val="es-ES_tradnl"/>
        </w:rPr>
        <w:t xml:space="preserve">pro </w:t>
      </w:r>
      <w:proofErr w:type="spellStart"/>
      <w:r w:rsidRPr="0066730D">
        <w:rPr>
          <w:rFonts w:ascii="Arial" w:hAnsi="Arial" w:cs="Arial"/>
          <w:i/>
          <w:iCs/>
          <w:sz w:val="21"/>
          <w:szCs w:val="21"/>
          <w:lang w:val="es-ES_tradnl"/>
        </w:rPr>
        <w:t>libertate</w:t>
      </w:r>
      <w:proofErr w:type="spellEnd"/>
      <w:r w:rsidRPr="0066730D">
        <w:rPr>
          <w:rFonts w:ascii="Arial" w:hAnsi="Arial" w:cs="Arial"/>
          <w:sz w:val="21"/>
          <w:szCs w:val="21"/>
          <w:lang w:val="es-ES_tradnl"/>
        </w:rPr>
        <w:t xml:space="preserve">, entre varias interpretaciones </w:t>
      </w:r>
      <w:r w:rsidRPr="0066730D">
        <w:rPr>
          <w:rFonts w:ascii="Arial" w:hAnsi="Arial" w:cs="Arial"/>
          <w:sz w:val="21"/>
          <w:szCs w:val="21"/>
          <w:lang w:val="es-ES_tradnl"/>
        </w:rPr>
        <w:lastRenderedPageBreak/>
        <w:t>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66730D">
        <w:rPr>
          <w:rFonts w:ascii="Arial" w:hAnsi="Arial" w:cs="Arial"/>
          <w:sz w:val="21"/>
          <w:szCs w:val="21"/>
          <w:vertAlign w:val="superscript"/>
          <w:lang w:val="es-ES_tradnl"/>
        </w:rPr>
        <w:footnoteReference w:id="19"/>
      </w:r>
      <w:r w:rsidRPr="0066730D">
        <w:rPr>
          <w:rFonts w:ascii="Arial" w:hAnsi="Arial" w:cs="Arial"/>
          <w:sz w:val="21"/>
          <w:szCs w:val="21"/>
          <w:lang w:val="es-ES_tradnl"/>
        </w:rPr>
        <w:t>.</w:t>
      </w:r>
    </w:p>
    <w:p w14:paraId="20782756" w14:textId="77777777" w:rsidR="00A431F3" w:rsidRPr="0066730D" w:rsidRDefault="00A431F3" w:rsidP="00A431F3">
      <w:pPr>
        <w:ind w:left="709" w:right="709"/>
        <w:jc w:val="both"/>
        <w:rPr>
          <w:rFonts w:ascii="Arial" w:eastAsia="Calibri" w:hAnsi="Arial" w:cs="Arial"/>
          <w:sz w:val="22"/>
          <w:lang w:val="es-ES_tradnl"/>
        </w:rPr>
      </w:pPr>
    </w:p>
    <w:p w14:paraId="3C89D473" w14:textId="08C50EF8" w:rsidR="00A431F3" w:rsidRDefault="00A431F3" w:rsidP="00A431F3">
      <w:pPr>
        <w:spacing w:after="120" w:line="276" w:lineRule="auto"/>
        <w:ind w:firstLine="708"/>
        <w:jc w:val="both"/>
        <w:rPr>
          <w:rFonts w:ascii="Arial" w:eastAsia="Calibri" w:hAnsi="Arial" w:cs="Arial"/>
          <w:sz w:val="22"/>
          <w:lang w:val="es-ES_tradnl"/>
        </w:rPr>
      </w:pPr>
      <w:r w:rsidRPr="0066730D">
        <w:rPr>
          <w:rFonts w:ascii="Arial" w:eastAsia="Calibri" w:hAnsi="Arial" w:cs="Arial"/>
          <w:sz w:val="22"/>
          <w:lang w:val="es-ES_tradnl"/>
        </w:rPr>
        <w:t xml:space="preserve">Como se aprecia, el principio </w:t>
      </w:r>
      <w:r w:rsidRPr="0066730D">
        <w:rPr>
          <w:rFonts w:ascii="Arial" w:eastAsia="Calibri" w:hAnsi="Arial" w:cs="Arial"/>
          <w:i/>
          <w:iCs/>
          <w:sz w:val="22"/>
          <w:lang w:val="es-ES_tradnl"/>
        </w:rPr>
        <w:t xml:space="preserve">pro </w:t>
      </w:r>
      <w:proofErr w:type="spellStart"/>
      <w:r w:rsidRPr="0066730D">
        <w:rPr>
          <w:rFonts w:ascii="Arial" w:eastAsia="Calibri" w:hAnsi="Arial" w:cs="Arial"/>
          <w:i/>
          <w:iCs/>
          <w:sz w:val="22"/>
          <w:lang w:val="es-ES_tradnl"/>
        </w:rPr>
        <w:t>libertate</w:t>
      </w:r>
      <w:proofErr w:type="spellEnd"/>
      <w:r w:rsidRPr="0066730D">
        <w:rPr>
          <w:rFonts w:ascii="Arial" w:eastAsia="Calibri" w:hAnsi="Arial" w:cs="Arial"/>
          <w:sz w:val="22"/>
          <w:lang w:val="es-ES_tradnl"/>
        </w:rPr>
        <w:t xml:space="preserve"> dirige la interpretación de las disposiciones que consagran restricciones de derechos, como sucede con las causales de inhabilidad e incompatibilidad en la contratación estatal.</w:t>
      </w:r>
    </w:p>
    <w:p w14:paraId="630DE702" w14:textId="72C42522" w:rsidR="00A431F3" w:rsidRPr="008416CA" w:rsidRDefault="00286C57" w:rsidP="00332BE4">
      <w:pPr>
        <w:spacing w:after="120" w:line="276" w:lineRule="auto"/>
        <w:ind w:firstLine="708"/>
        <w:jc w:val="both"/>
      </w:pPr>
      <w:r>
        <w:rPr>
          <w:rFonts w:ascii="Arial" w:eastAsia="Calibri" w:hAnsi="Arial" w:cs="Arial"/>
          <w:sz w:val="22"/>
          <w:lang w:val="es-ES_tradnl"/>
        </w:rPr>
        <w:t xml:space="preserve">De acuerdo </w:t>
      </w:r>
      <w:r w:rsidR="00170431">
        <w:rPr>
          <w:rFonts w:ascii="Arial" w:eastAsia="Calibri" w:hAnsi="Arial" w:cs="Arial"/>
          <w:sz w:val="22"/>
          <w:lang w:val="es-ES_tradnl"/>
        </w:rPr>
        <w:t>con</w:t>
      </w:r>
      <w:r>
        <w:rPr>
          <w:rFonts w:ascii="Arial" w:eastAsia="Calibri" w:hAnsi="Arial" w:cs="Arial"/>
          <w:sz w:val="22"/>
          <w:lang w:val="es-ES_tradnl"/>
        </w:rPr>
        <w:t xml:space="preserve"> lo anterior, </w:t>
      </w:r>
      <w:r w:rsidR="00BC4779">
        <w:rPr>
          <w:rFonts w:ascii="Arial" w:eastAsia="Calibri" w:hAnsi="Arial" w:cs="Arial"/>
          <w:sz w:val="22"/>
          <w:lang w:val="es-ES_tradnl"/>
        </w:rPr>
        <w:t xml:space="preserve">la inhabilidad establecida en el artículo 5 de la Ley 1474 de </w:t>
      </w:r>
      <w:r w:rsidR="00915F5C">
        <w:rPr>
          <w:rFonts w:ascii="Arial" w:eastAsia="Calibri" w:hAnsi="Arial" w:cs="Arial"/>
          <w:sz w:val="22"/>
          <w:lang w:val="es-ES_tradnl"/>
        </w:rPr>
        <w:t xml:space="preserve">2011, </w:t>
      </w:r>
      <w:r w:rsidR="00A4356B">
        <w:rPr>
          <w:rFonts w:ascii="Arial" w:eastAsia="Calibri" w:hAnsi="Arial" w:cs="Arial"/>
          <w:sz w:val="22"/>
          <w:lang w:val="es-ES_tradnl"/>
        </w:rPr>
        <w:t xml:space="preserve">en torno a la que se consulta, </w:t>
      </w:r>
      <w:r w:rsidR="00915F5C">
        <w:rPr>
          <w:rFonts w:ascii="Arial" w:eastAsia="Calibri" w:hAnsi="Arial" w:cs="Arial"/>
          <w:sz w:val="22"/>
          <w:lang w:val="es-ES_tradnl"/>
        </w:rPr>
        <w:t xml:space="preserve">debe ser interpretada conforme al principio </w:t>
      </w:r>
      <w:r w:rsidR="00915F5C" w:rsidRPr="00332BE4">
        <w:rPr>
          <w:rFonts w:ascii="Arial" w:eastAsia="Calibri" w:hAnsi="Arial" w:cs="Arial"/>
          <w:i/>
          <w:iCs/>
          <w:sz w:val="22"/>
          <w:lang w:val="es-ES_tradnl"/>
        </w:rPr>
        <w:t xml:space="preserve">pro </w:t>
      </w:r>
      <w:proofErr w:type="spellStart"/>
      <w:r w:rsidR="00915F5C" w:rsidRPr="00332BE4">
        <w:rPr>
          <w:rFonts w:ascii="Arial" w:eastAsia="Calibri" w:hAnsi="Arial" w:cs="Arial"/>
          <w:i/>
          <w:iCs/>
          <w:sz w:val="22"/>
          <w:lang w:val="es-ES_tradnl"/>
        </w:rPr>
        <w:t>li</w:t>
      </w:r>
      <w:r w:rsidR="00A4356B" w:rsidRPr="00332BE4">
        <w:rPr>
          <w:rFonts w:ascii="Arial" w:eastAsia="Calibri" w:hAnsi="Arial" w:cs="Arial"/>
          <w:i/>
          <w:iCs/>
          <w:sz w:val="22"/>
          <w:lang w:val="es-ES_tradnl"/>
        </w:rPr>
        <w:t>bertate</w:t>
      </w:r>
      <w:proofErr w:type="spellEnd"/>
      <w:r w:rsidR="00A4356B">
        <w:rPr>
          <w:rFonts w:ascii="Arial" w:eastAsia="Calibri" w:hAnsi="Arial" w:cs="Arial"/>
          <w:i/>
          <w:iCs/>
          <w:sz w:val="22"/>
          <w:lang w:val="es-ES_tradnl"/>
        </w:rPr>
        <w:t xml:space="preserve">, </w:t>
      </w:r>
      <w:r w:rsidR="00A4356B">
        <w:rPr>
          <w:rFonts w:ascii="Arial" w:eastAsia="Calibri" w:hAnsi="Arial" w:cs="Arial"/>
          <w:sz w:val="22"/>
          <w:lang w:val="es-ES_tradnl"/>
        </w:rPr>
        <w:t xml:space="preserve">lo que supone una interpretación </w:t>
      </w:r>
      <w:r w:rsidR="00B137B2">
        <w:rPr>
          <w:rFonts w:ascii="Arial" w:eastAsia="Calibri" w:hAnsi="Arial" w:cs="Arial"/>
          <w:sz w:val="22"/>
          <w:lang w:val="es-ES_tradnl"/>
        </w:rPr>
        <w:t xml:space="preserve">restrictiva de su contenido. </w:t>
      </w:r>
      <w:r w:rsidR="009D3982" w:rsidRPr="009D3982">
        <w:rPr>
          <w:rFonts w:ascii="Arial" w:eastAsia="Calibri" w:hAnsi="Arial" w:cs="Arial"/>
          <w:sz w:val="22"/>
          <w:lang w:val="es-ES_tradnl"/>
        </w:rPr>
        <w:t xml:space="preserve">Dicho artículo consagra una inhabilidad que </w:t>
      </w:r>
      <w:r w:rsidR="00A431F3" w:rsidRPr="00332BE4">
        <w:rPr>
          <w:rFonts w:ascii="Arial" w:hAnsi="Arial" w:cs="Arial"/>
          <w:sz w:val="22"/>
        </w:rPr>
        <w:t xml:space="preserve">impide celebrar contratos de interventoría a quienes hayan celebrado con la </w:t>
      </w:r>
      <w:r w:rsidR="00EA004F">
        <w:rPr>
          <w:rFonts w:ascii="Arial" w:hAnsi="Arial" w:cs="Arial"/>
          <w:sz w:val="22"/>
        </w:rPr>
        <w:t>«</w:t>
      </w:r>
      <w:r w:rsidR="00A431F3" w:rsidRPr="00332BE4">
        <w:rPr>
          <w:rFonts w:ascii="Arial" w:hAnsi="Arial" w:cs="Arial"/>
          <w:i/>
          <w:iCs/>
          <w:sz w:val="22"/>
        </w:rPr>
        <w:t>misma entidad</w:t>
      </w:r>
      <w:r w:rsidR="00170431">
        <w:rPr>
          <w:rFonts w:ascii="Arial" w:hAnsi="Arial" w:cs="Arial"/>
          <w:i/>
          <w:iCs/>
          <w:sz w:val="22"/>
        </w:rPr>
        <w:t>»</w:t>
      </w:r>
      <w:r w:rsidR="00A431F3" w:rsidRPr="00332BE4">
        <w:rPr>
          <w:rFonts w:ascii="Arial" w:hAnsi="Arial" w:cs="Arial"/>
          <w:sz w:val="22"/>
        </w:rPr>
        <w:t xml:space="preserve"> contratos de obra pública, de concesión, suministro de medicamentos y de alimentos, prohibición que se extiende al cónyuge, compañero o compañera permanente, pariente hasta el segundo grado de consanguinidad, segundo de afinidad y/o primero civil o sus socios en sociedades distintas de las anónimas</w:t>
      </w:r>
      <w:r w:rsidR="00A431F3" w:rsidRPr="00332BE4">
        <w:rPr>
          <w:rFonts w:ascii="Arial" w:hAnsi="Arial" w:cs="Arial"/>
          <w:spacing w:val="-12"/>
          <w:sz w:val="22"/>
        </w:rPr>
        <w:t xml:space="preserve"> </w:t>
      </w:r>
      <w:r w:rsidR="00A431F3" w:rsidRPr="00332BE4">
        <w:rPr>
          <w:rFonts w:ascii="Arial" w:hAnsi="Arial" w:cs="Arial"/>
          <w:sz w:val="22"/>
        </w:rPr>
        <w:t>abiertas</w:t>
      </w:r>
      <w:r w:rsidR="00A431F3" w:rsidRPr="00332BE4">
        <w:rPr>
          <w:rStyle w:val="Refdenotaalpie"/>
          <w:rFonts w:ascii="Arial" w:hAnsi="Arial" w:cs="Arial"/>
          <w:sz w:val="22"/>
        </w:rPr>
        <w:footnoteReference w:id="20"/>
      </w:r>
      <w:r w:rsidR="00A431F3" w:rsidRPr="00332BE4">
        <w:rPr>
          <w:rFonts w:ascii="Arial" w:hAnsi="Arial" w:cs="Arial"/>
          <w:sz w:val="22"/>
        </w:rPr>
        <w:t>.</w:t>
      </w:r>
    </w:p>
    <w:p w14:paraId="0B7C7FC6" w14:textId="7DCAF627" w:rsidR="00316E40" w:rsidRDefault="0092610E" w:rsidP="00332BE4">
      <w:pPr>
        <w:tabs>
          <w:tab w:val="left" w:pos="426"/>
        </w:tabs>
        <w:spacing w:after="120" w:line="276" w:lineRule="auto"/>
        <w:jc w:val="both"/>
        <w:rPr>
          <w:rFonts w:ascii="Arial" w:eastAsia="Calibri" w:hAnsi="Arial" w:cs="Arial"/>
          <w:bCs/>
          <w:color w:val="000000"/>
          <w:sz w:val="22"/>
          <w:lang w:val="es-ES_tradnl" w:eastAsia="en-GB"/>
        </w:rPr>
      </w:pPr>
      <w:r>
        <w:rPr>
          <w:rFonts w:ascii="Arial" w:eastAsia="Calibri" w:hAnsi="Arial" w:cs="Arial"/>
          <w:b/>
          <w:color w:val="000000"/>
          <w:sz w:val="22"/>
          <w:lang w:val="es-ES_tradnl" w:eastAsia="en-GB"/>
        </w:rPr>
        <w:tab/>
      </w:r>
      <w:r>
        <w:rPr>
          <w:rFonts w:ascii="Arial" w:eastAsia="Calibri" w:hAnsi="Arial" w:cs="Arial"/>
          <w:bCs/>
          <w:color w:val="000000"/>
          <w:sz w:val="22"/>
          <w:lang w:val="es-ES_tradnl" w:eastAsia="en-GB"/>
        </w:rPr>
        <w:tab/>
        <w:t xml:space="preserve">En ese sentido, </w:t>
      </w:r>
      <w:r w:rsidR="00915ECD">
        <w:rPr>
          <w:rFonts w:ascii="Arial" w:eastAsia="Calibri" w:hAnsi="Arial" w:cs="Arial"/>
          <w:bCs/>
          <w:color w:val="000000"/>
          <w:sz w:val="22"/>
          <w:lang w:val="es-ES_tradnl" w:eastAsia="en-GB"/>
        </w:rPr>
        <w:t>el</w:t>
      </w:r>
      <w:r>
        <w:rPr>
          <w:rFonts w:ascii="Arial" w:eastAsia="Calibri" w:hAnsi="Arial" w:cs="Arial"/>
          <w:bCs/>
          <w:color w:val="000000"/>
          <w:sz w:val="22"/>
          <w:lang w:val="es-ES_tradnl" w:eastAsia="en-GB"/>
        </w:rPr>
        <w:t xml:space="preserve"> </w:t>
      </w:r>
      <w:r w:rsidR="00915ECD">
        <w:rPr>
          <w:rFonts w:ascii="Arial" w:eastAsia="Calibri" w:hAnsi="Arial" w:cs="Arial"/>
          <w:bCs/>
          <w:color w:val="000000"/>
          <w:sz w:val="22"/>
          <w:lang w:val="es-ES_tradnl" w:eastAsia="en-GB"/>
        </w:rPr>
        <w:t>alcance de</w:t>
      </w:r>
      <w:r>
        <w:rPr>
          <w:rFonts w:ascii="Arial" w:eastAsia="Calibri" w:hAnsi="Arial" w:cs="Arial"/>
          <w:bCs/>
          <w:color w:val="000000"/>
          <w:sz w:val="22"/>
          <w:lang w:val="es-ES_tradnl" w:eastAsia="en-GB"/>
        </w:rPr>
        <w:t xml:space="preserve"> la expresión </w:t>
      </w:r>
      <w:r w:rsidR="00EA004F">
        <w:rPr>
          <w:rFonts w:ascii="Arial" w:eastAsia="Calibri" w:hAnsi="Arial" w:cs="Arial"/>
          <w:bCs/>
          <w:color w:val="000000"/>
          <w:sz w:val="22"/>
          <w:lang w:val="es-ES_tradnl" w:eastAsia="en-GB"/>
        </w:rPr>
        <w:t>«</w:t>
      </w:r>
      <w:r w:rsidRPr="00332BE4">
        <w:rPr>
          <w:rFonts w:ascii="Arial" w:eastAsia="Calibri" w:hAnsi="Arial" w:cs="Arial"/>
          <w:bCs/>
          <w:i/>
          <w:iCs/>
          <w:color w:val="000000"/>
          <w:sz w:val="22"/>
          <w:lang w:val="es-ES_tradnl" w:eastAsia="en-GB"/>
        </w:rPr>
        <w:t>misma entidad</w:t>
      </w:r>
      <w:r w:rsidR="00EA004F">
        <w:rPr>
          <w:rFonts w:ascii="Arial" w:eastAsia="Calibri" w:hAnsi="Arial" w:cs="Arial"/>
          <w:bCs/>
          <w:i/>
          <w:iCs/>
          <w:color w:val="000000"/>
          <w:sz w:val="22"/>
          <w:lang w:val="es-ES_tradnl" w:eastAsia="en-GB"/>
        </w:rPr>
        <w:t>»</w:t>
      </w:r>
      <w:r w:rsidR="00915ECD">
        <w:rPr>
          <w:rFonts w:ascii="Arial" w:eastAsia="Calibri" w:hAnsi="Arial" w:cs="Arial"/>
          <w:b/>
          <w:color w:val="000000"/>
          <w:sz w:val="22"/>
          <w:lang w:val="es-ES_tradnl" w:eastAsia="en-GB"/>
        </w:rPr>
        <w:t xml:space="preserve"> </w:t>
      </w:r>
      <w:r w:rsidR="00915ECD">
        <w:rPr>
          <w:rFonts w:ascii="Arial" w:eastAsia="Calibri" w:hAnsi="Arial" w:cs="Arial"/>
          <w:bCs/>
          <w:color w:val="000000"/>
          <w:sz w:val="22"/>
          <w:lang w:val="es-ES_tradnl" w:eastAsia="en-GB"/>
        </w:rPr>
        <w:t>de</w:t>
      </w:r>
      <w:r w:rsidR="002D6A76">
        <w:rPr>
          <w:rFonts w:ascii="Arial" w:eastAsia="Calibri" w:hAnsi="Arial" w:cs="Arial"/>
          <w:bCs/>
          <w:color w:val="000000"/>
          <w:sz w:val="22"/>
          <w:lang w:val="es-ES_tradnl" w:eastAsia="en-GB"/>
        </w:rPr>
        <w:t xml:space="preserve">be acotarse de acuerdo con un parámetro restrictivo. </w:t>
      </w:r>
      <w:r w:rsidR="00677620">
        <w:rPr>
          <w:rFonts w:ascii="Arial" w:eastAsia="Calibri" w:hAnsi="Arial" w:cs="Arial"/>
          <w:bCs/>
          <w:color w:val="000000"/>
          <w:sz w:val="22"/>
          <w:lang w:val="es-ES_tradnl" w:eastAsia="en-GB"/>
        </w:rPr>
        <w:t>Para</w:t>
      </w:r>
      <w:r w:rsidR="00A60C0E">
        <w:rPr>
          <w:rFonts w:ascii="Arial" w:eastAsia="Calibri" w:hAnsi="Arial" w:cs="Arial"/>
          <w:bCs/>
          <w:color w:val="000000"/>
          <w:sz w:val="22"/>
          <w:lang w:val="es-ES_tradnl" w:eastAsia="en-GB"/>
        </w:rPr>
        <w:t xml:space="preserve"> tales efectos,</w:t>
      </w:r>
      <w:r w:rsidR="00E030ED">
        <w:rPr>
          <w:rFonts w:ascii="Arial" w:eastAsia="Calibri" w:hAnsi="Arial" w:cs="Arial"/>
          <w:bCs/>
          <w:color w:val="000000"/>
          <w:sz w:val="22"/>
          <w:lang w:val="es-ES_tradnl" w:eastAsia="en-GB"/>
        </w:rPr>
        <w:t xml:space="preserve"> es necesario</w:t>
      </w:r>
      <w:r w:rsidR="00A60C0E">
        <w:rPr>
          <w:rFonts w:ascii="Arial" w:eastAsia="Calibri" w:hAnsi="Arial" w:cs="Arial"/>
          <w:bCs/>
          <w:color w:val="000000"/>
          <w:sz w:val="22"/>
          <w:lang w:val="es-ES_tradnl" w:eastAsia="en-GB"/>
        </w:rPr>
        <w:t xml:space="preserve"> </w:t>
      </w:r>
      <w:r w:rsidR="00E030ED">
        <w:rPr>
          <w:rFonts w:ascii="Arial" w:eastAsia="Calibri" w:hAnsi="Arial" w:cs="Arial"/>
          <w:bCs/>
          <w:color w:val="000000"/>
          <w:sz w:val="22"/>
          <w:lang w:val="es-ES_tradnl" w:eastAsia="en-GB"/>
        </w:rPr>
        <w:t>precisar que</w:t>
      </w:r>
      <w:r w:rsidR="00896003">
        <w:rPr>
          <w:rFonts w:ascii="Arial" w:eastAsia="Calibri" w:hAnsi="Arial" w:cs="Arial"/>
          <w:bCs/>
          <w:color w:val="000000"/>
          <w:sz w:val="22"/>
          <w:lang w:val="es-ES_tradnl" w:eastAsia="en-GB"/>
        </w:rPr>
        <w:t>,</w:t>
      </w:r>
      <w:r w:rsidR="00E030ED">
        <w:rPr>
          <w:rFonts w:ascii="Arial" w:eastAsia="Calibri" w:hAnsi="Arial" w:cs="Arial"/>
          <w:bCs/>
          <w:color w:val="000000"/>
          <w:sz w:val="22"/>
          <w:lang w:val="es-ES_tradnl" w:eastAsia="en-GB"/>
        </w:rPr>
        <w:t xml:space="preserve"> antes de aludir</w:t>
      </w:r>
      <w:r w:rsidR="00695A53">
        <w:rPr>
          <w:rFonts w:ascii="Arial" w:eastAsia="Calibri" w:hAnsi="Arial" w:cs="Arial"/>
          <w:bCs/>
          <w:color w:val="000000"/>
          <w:sz w:val="22"/>
          <w:lang w:val="es-ES_tradnl" w:eastAsia="en-GB"/>
        </w:rPr>
        <w:t xml:space="preserve"> </w:t>
      </w:r>
      <w:r w:rsidR="00E030ED">
        <w:rPr>
          <w:rFonts w:ascii="Arial" w:eastAsia="Calibri" w:hAnsi="Arial" w:cs="Arial"/>
          <w:bCs/>
          <w:color w:val="000000"/>
          <w:sz w:val="22"/>
          <w:lang w:val="es-ES_tradnl" w:eastAsia="en-GB"/>
        </w:rPr>
        <w:t xml:space="preserve">a </w:t>
      </w:r>
      <w:r w:rsidR="00695A53">
        <w:rPr>
          <w:rFonts w:ascii="Arial" w:eastAsia="Calibri" w:hAnsi="Arial" w:cs="Arial"/>
          <w:bCs/>
          <w:color w:val="000000"/>
          <w:sz w:val="22"/>
          <w:lang w:val="es-ES_tradnl" w:eastAsia="en-GB"/>
        </w:rPr>
        <w:t xml:space="preserve">una </w:t>
      </w:r>
      <w:r w:rsidR="00896003">
        <w:rPr>
          <w:rFonts w:ascii="Arial" w:eastAsia="Calibri" w:hAnsi="Arial" w:cs="Arial"/>
          <w:bCs/>
          <w:color w:val="000000"/>
          <w:sz w:val="22"/>
          <w:lang w:val="es-ES_tradnl" w:eastAsia="en-GB"/>
        </w:rPr>
        <w:t>«</w:t>
      </w:r>
      <w:r w:rsidR="00695A53" w:rsidRPr="00332BE4">
        <w:rPr>
          <w:rFonts w:ascii="Arial" w:eastAsia="Calibri" w:hAnsi="Arial" w:cs="Arial"/>
          <w:bCs/>
          <w:i/>
          <w:iCs/>
          <w:color w:val="000000"/>
          <w:sz w:val="22"/>
          <w:lang w:val="es-ES_tradnl" w:eastAsia="en-GB"/>
        </w:rPr>
        <w:t>misma entidad</w:t>
      </w:r>
      <w:r w:rsidR="00896003">
        <w:rPr>
          <w:rFonts w:ascii="Arial" w:eastAsia="Calibri" w:hAnsi="Arial" w:cs="Arial"/>
          <w:bCs/>
          <w:i/>
          <w:iCs/>
          <w:color w:val="000000"/>
          <w:sz w:val="22"/>
          <w:lang w:val="es-ES_tradnl" w:eastAsia="en-GB"/>
        </w:rPr>
        <w:t>»</w:t>
      </w:r>
      <w:r w:rsidR="00A42CBF">
        <w:rPr>
          <w:rFonts w:ascii="Arial" w:eastAsia="Calibri" w:hAnsi="Arial" w:cs="Arial"/>
          <w:bCs/>
          <w:color w:val="000000"/>
          <w:sz w:val="22"/>
          <w:lang w:val="es-ES_tradnl" w:eastAsia="en-GB"/>
        </w:rPr>
        <w:t xml:space="preserve">, </w:t>
      </w:r>
      <w:r w:rsidR="00E030ED">
        <w:rPr>
          <w:rFonts w:ascii="Arial" w:eastAsia="Calibri" w:hAnsi="Arial" w:cs="Arial"/>
          <w:bCs/>
          <w:color w:val="000000"/>
          <w:sz w:val="22"/>
          <w:lang w:val="es-ES_tradnl" w:eastAsia="en-GB"/>
        </w:rPr>
        <w:t xml:space="preserve">el artículo 5 </w:t>
      </w:r>
      <w:proofErr w:type="spellStart"/>
      <w:r w:rsidR="00E030ED" w:rsidRPr="00332BE4">
        <w:rPr>
          <w:rFonts w:ascii="Arial" w:eastAsia="Calibri" w:hAnsi="Arial" w:cs="Arial"/>
          <w:bCs/>
          <w:i/>
          <w:iCs/>
          <w:color w:val="000000"/>
          <w:sz w:val="22"/>
          <w:lang w:val="es-ES_tradnl" w:eastAsia="en-GB"/>
        </w:rPr>
        <w:t>Ibídem</w:t>
      </w:r>
      <w:proofErr w:type="spellEnd"/>
      <w:r w:rsidR="00695A53">
        <w:rPr>
          <w:rFonts w:ascii="Arial" w:eastAsia="Calibri" w:hAnsi="Arial" w:cs="Arial"/>
          <w:bCs/>
          <w:color w:val="000000"/>
          <w:sz w:val="22"/>
          <w:lang w:val="es-ES_tradnl" w:eastAsia="en-GB"/>
        </w:rPr>
        <w:t xml:space="preserve"> </w:t>
      </w:r>
      <w:r w:rsidR="00316E40">
        <w:rPr>
          <w:rFonts w:ascii="Arial" w:eastAsia="Calibri" w:hAnsi="Arial" w:cs="Arial"/>
          <w:bCs/>
          <w:color w:val="000000"/>
          <w:sz w:val="22"/>
          <w:lang w:val="es-ES_tradnl" w:eastAsia="en-GB"/>
        </w:rPr>
        <w:t xml:space="preserve">contiene otras expresiones que condicionan el contenido de esta. </w:t>
      </w:r>
    </w:p>
    <w:p w14:paraId="2C0BA05F" w14:textId="3E0F2820" w:rsidR="00D1393C" w:rsidRPr="00332BE4" w:rsidRDefault="00316E40" w:rsidP="00332BE4">
      <w:pPr>
        <w:tabs>
          <w:tab w:val="left" w:pos="426"/>
        </w:tabs>
        <w:spacing w:after="120" w:line="276" w:lineRule="auto"/>
        <w:jc w:val="both"/>
        <w:rPr>
          <w:rFonts w:ascii="Arial" w:eastAsia="Calibri" w:hAnsi="Arial" w:cs="Arial"/>
          <w:bCs/>
          <w:color w:val="000000"/>
          <w:sz w:val="22"/>
          <w:lang w:val="es-ES_tradnl" w:eastAsia="en-GB"/>
        </w:rPr>
      </w:pPr>
      <w:r>
        <w:rPr>
          <w:rFonts w:ascii="Arial" w:eastAsia="Calibri" w:hAnsi="Arial" w:cs="Arial"/>
          <w:bCs/>
          <w:color w:val="000000"/>
          <w:sz w:val="22"/>
          <w:lang w:val="es-ES_tradnl" w:eastAsia="en-GB"/>
        </w:rPr>
        <w:tab/>
      </w:r>
      <w:r w:rsidR="001D42AD" w:rsidRPr="00332BE4">
        <w:rPr>
          <w:rFonts w:ascii="Arial" w:eastAsia="Calibri" w:hAnsi="Arial" w:cs="Arial"/>
          <w:bCs/>
          <w:color w:val="000000"/>
          <w:sz w:val="22"/>
          <w:lang w:val="es-ES_tradnl" w:eastAsia="en-GB"/>
        </w:rPr>
        <w:tab/>
      </w:r>
      <w:r w:rsidR="00D1393C" w:rsidRPr="00332BE4">
        <w:rPr>
          <w:rFonts w:ascii="Arial" w:eastAsia="Calibri" w:hAnsi="Arial" w:cs="Arial"/>
          <w:bCs/>
          <w:color w:val="000000"/>
          <w:sz w:val="22"/>
          <w:lang w:val="es-ES_tradnl" w:eastAsia="en-GB"/>
        </w:rPr>
        <w:t xml:space="preserve">i) </w:t>
      </w:r>
      <w:r w:rsidRPr="00332BE4">
        <w:rPr>
          <w:rFonts w:ascii="Arial" w:eastAsia="Calibri" w:hAnsi="Arial" w:cs="Arial"/>
          <w:bCs/>
          <w:color w:val="000000"/>
          <w:sz w:val="22"/>
          <w:lang w:val="es-ES_tradnl" w:eastAsia="en-GB"/>
        </w:rPr>
        <w:t xml:space="preserve">Por un lado, </w:t>
      </w:r>
      <w:r w:rsidR="00751410" w:rsidRPr="00332BE4">
        <w:rPr>
          <w:rFonts w:ascii="Arial" w:eastAsia="Calibri" w:hAnsi="Arial" w:cs="Arial"/>
          <w:bCs/>
          <w:color w:val="000000"/>
          <w:sz w:val="22"/>
          <w:lang w:val="es-ES_tradnl" w:eastAsia="en-GB"/>
        </w:rPr>
        <w:t xml:space="preserve">la primera parte del supuesto de hecho de la norma prescribe «[…] Quien haya celebrado un contrato estatal de obra pública, de concesión, suministro de medicamentos y de alimentos o su cónyuge, compañero o compañera permanente, pariente hasta el segundo grado de </w:t>
      </w:r>
      <w:r w:rsidR="007E7850" w:rsidRPr="00351583">
        <w:rPr>
          <w:rFonts w:ascii="Arial" w:eastAsia="Calibri" w:hAnsi="Arial" w:cs="Arial"/>
          <w:bCs/>
          <w:color w:val="000000"/>
          <w:sz w:val="22"/>
          <w:lang w:val="es-ES_tradnl" w:eastAsia="en-GB"/>
        </w:rPr>
        <w:t>consanguinidad</w:t>
      </w:r>
      <w:r w:rsidR="00751410" w:rsidRPr="00332BE4">
        <w:rPr>
          <w:rFonts w:ascii="Arial" w:eastAsia="Calibri" w:hAnsi="Arial" w:cs="Arial"/>
          <w:bCs/>
          <w:color w:val="000000"/>
          <w:sz w:val="22"/>
          <w:lang w:val="es-ES_tradnl" w:eastAsia="en-GB"/>
        </w:rPr>
        <w:t>, segundo de afinidad y/o primero civil o sus socios en sociedades distintas de las anónimas abiertas […]»</w:t>
      </w:r>
      <w:r w:rsidR="00D1393C">
        <w:rPr>
          <w:rFonts w:ascii="Arial" w:eastAsia="Calibri" w:hAnsi="Arial" w:cs="Arial"/>
          <w:bCs/>
          <w:color w:val="000000"/>
          <w:sz w:val="22"/>
          <w:lang w:val="es-ES_tradnl" w:eastAsia="en-GB"/>
        </w:rPr>
        <w:t>. De acuerdo con esto, la consecuencia de esta inhabilidad se aplica con quienes h</w:t>
      </w:r>
      <w:r w:rsidR="00130FF6">
        <w:rPr>
          <w:rFonts w:ascii="Arial" w:eastAsia="Calibri" w:hAnsi="Arial" w:cs="Arial"/>
          <w:bCs/>
          <w:color w:val="000000"/>
          <w:sz w:val="22"/>
          <w:lang w:val="es-ES_tradnl" w:eastAsia="en-GB"/>
        </w:rPr>
        <w:t>a</w:t>
      </w:r>
      <w:r w:rsidR="00D1393C">
        <w:rPr>
          <w:rFonts w:ascii="Arial" w:eastAsia="Calibri" w:hAnsi="Arial" w:cs="Arial"/>
          <w:bCs/>
          <w:color w:val="000000"/>
          <w:sz w:val="22"/>
          <w:lang w:val="es-ES_tradnl" w:eastAsia="en-GB"/>
        </w:rPr>
        <w:t>yan celebrad</w:t>
      </w:r>
      <w:r w:rsidR="00130FF6">
        <w:rPr>
          <w:rFonts w:ascii="Arial" w:eastAsia="Calibri" w:hAnsi="Arial" w:cs="Arial"/>
          <w:bCs/>
          <w:color w:val="000000"/>
          <w:sz w:val="22"/>
          <w:lang w:val="es-ES_tradnl" w:eastAsia="en-GB"/>
        </w:rPr>
        <w:t>o est</w:t>
      </w:r>
      <w:r w:rsidR="00590C7B">
        <w:rPr>
          <w:rFonts w:ascii="Arial" w:eastAsia="Calibri" w:hAnsi="Arial" w:cs="Arial"/>
          <w:bCs/>
          <w:color w:val="000000"/>
          <w:sz w:val="22"/>
          <w:lang w:val="es-ES_tradnl" w:eastAsia="en-GB"/>
        </w:rPr>
        <w:t>os</w:t>
      </w:r>
      <w:r w:rsidR="00130FF6">
        <w:rPr>
          <w:rFonts w:ascii="Arial" w:eastAsia="Calibri" w:hAnsi="Arial" w:cs="Arial"/>
          <w:bCs/>
          <w:color w:val="000000"/>
          <w:sz w:val="22"/>
          <w:lang w:val="es-ES_tradnl" w:eastAsia="en-GB"/>
        </w:rPr>
        <w:t xml:space="preserve"> tipo</w:t>
      </w:r>
      <w:r w:rsidR="00590C7B">
        <w:rPr>
          <w:rFonts w:ascii="Arial" w:eastAsia="Calibri" w:hAnsi="Arial" w:cs="Arial"/>
          <w:bCs/>
          <w:color w:val="000000"/>
          <w:sz w:val="22"/>
          <w:lang w:val="es-ES_tradnl" w:eastAsia="en-GB"/>
        </w:rPr>
        <w:t>s</w:t>
      </w:r>
      <w:r w:rsidR="00130FF6">
        <w:rPr>
          <w:rFonts w:ascii="Arial" w:eastAsia="Calibri" w:hAnsi="Arial" w:cs="Arial"/>
          <w:bCs/>
          <w:color w:val="000000"/>
          <w:sz w:val="22"/>
          <w:lang w:val="es-ES_tradnl" w:eastAsia="en-GB"/>
        </w:rPr>
        <w:t xml:space="preserve"> de contratos,</w:t>
      </w:r>
      <w:r w:rsidR="00590C7B">
        <w:rPr>
          <w:rFonts w:ascii="Arial" w:eastAsia="Calibri" w:hAnsi="Arial" w:cs="Arial"/>
          <w:bCs/>
          <w:color w:val="000000"/>
          <w:sz w:val="22"/>
          <w:lang w:val="es-ES_tradnl" w:eastAsia="en-GB"/>
        </w:rPr>
        <w:t xml:space="preserve"> a</w:t>
      </w:r>
      <w:r w:rsidR="00130FF6">
        <w:rPr>
          <w:rFonts w:ascii="Arial" w:eastAsia="Calibri" w:hAnsi="Arial" w:cs="Arial"/>
          <w:bCs/>
          <w:color w:val="000000"/>
          <w:sz w:val="22"/>
          <w:lang w:val="es-ES_tradnl" w:eastAsia="en-GB"/>
        </w:rPr>
        <w:t xml:space="preserve"> sus </w:t>
      </w:r>
      <w:r w:rsidR="00291F25">
        <w:rPr>
          <w:rFonts w:ascii="Arial" w:eastAsia="Calibri" w:hAnsi="Arial" w:cs="Arial"/>
          <w:bCs/>
          <w:color w:val="000000"/>
          <w:sz w:val="22"/>
          <w:lang w:val="es-ES_tradnl" w:eastAsia="en-GB"/>
        </w:rPr>
        <w:t xml:space="preserve">cónyuges, </w:t>
      </w:r>
      <w:r w:rsidR="00590C7B">
        <w:rPr>
          <w:rFonts w:ascii="Arial" w:eastAsia="Calibri" w:hAnsi="Arial" w:cs="Arial"/>
          <w:bCs/>
          <w:color w:val="000000"/>
          <w:sz w:val="22"/>
          <w:lang w:val="es-ES_tradnl" w:eastAsia="en-GB"/>
        </w:rPr>
        <w:t xml:space="preserve">a sus </w:t>
      </w:r>
      <w:r w:rsidR="00291F25">
        <w:rPr>
          <w:rFonts w:ascii="Arial" w:eastAsia="Calibri" w:hAnsi="Arial" w:cs="Arial"/>
          <w:bCs/>
          <w:color w:val="000000"/>
          <w:sz w:val="22"/>
          <w:lang w:val="es-ES_tradnl" w:eastAsia="en-GB"/>
        </w:rPr>
        <w:t xml:space="preserve">compañeros permanentes y </w:t>
      </w:r>
      <w:r w:rsidR="00130FF6">
        <w:rPr>
          <w:rFonts w:ascii="Arial" w:eastAsia="Calibri" w:hAnsi="Arial" w:cs="Arial"/>
          <w:bCs/>
          <w:color w:val="000000"/>
          <w:sz w:val="22"/>
          <w:lang w:val="es-ES_tradnl" w:eastAsia="en-GB"/>
        </w:rPr>
        <w:t xml:space="preserve">parientes </w:t>
      </w:r>
      <w:r w:rsidR="00291F25">
        <w:rPr>
          <w:rFonts w:ascii="Arial" w:eastAsia="Calibri" w:hAnsi="Arial" w:cs="Arial"/>
          <w:bCs/>
          <w:color w:val="000000"/>
          <w:sz w:val="22"/>
          <w:lang w:val="es-ES_tradnl" w:eastAsia="en-GB"/>
        </w:rPr>
        <w:t xml:space="preserve">en los grados referidos, </w:t>
      </w:r>
      <w:r w:rsidR="00213194">
        <w:rPr>
          <w:rFonts w:ascii="Arial" w:eastAsia="Calibri" w:hAnsi="Arial" w:cs="Arial"/>
          <w:bCs/>
          <w:color w:val="000000"/>
          <w:sz w:val="22"/>
          <w:lang w:val="es-ES_tradnl" w:eastAsia="en-GB"/>
        </w:rPr>
        <w:t xml:space="preserve">así </w:t>
      </w:r>
      <w:r w:rsidR="00291F25">
        <w:rPr>
          <w:rFonts w:ascii="Arial" w:eastAsia="Calibri" w:hAnsi="Arial" w:cs="Arial"/>
          <w:bCs/>
          <w:color w:val="000000"/>
          <w:sz w:val="22"/>
          <w:lang w:val="es-ES_tradnl" w:eastAsia="en-GB"/>
        </w:rPr>
        <w:t xml:space="preserve">como </w:t>
      </w:r>
      <w:r w:rsidR="00590C7B">
        <w:rPr>
          <w:rFonts w:ascii="Arial" w:eastAsia="Calibri" w:hAnsi="Arial" w:cs="Arial"/>
          <w:bCs/>
          <w:color w:val="000000"/>
          <w:sz w:val="22"/>
          <w:lang w:val="es-ES_tradnl" w:eastAsia="en-GB"/>
        </w:rPr>
        <w:t>sus socios en sociedad distintas de las anónimas abiertas;</w:t>
      </w:r>
    </w:p>
    <w:p w14:paraId="3E761D4A" w14:textId="4E7AE721" w:rsidR="006D1052" w:rsidRDefault="00D92FEB" w:rsidP="00332BE4">
      <w:pPr>
        <w:tabs>
          <w:tab w:val="left" w:pos="426"/>
        </w:tabs>
        <w:spacing w:after="120" w:line="276" w:lineRule="auto"/>
        <w:jc w:val="both"/>
        <w:rPr>
          <w:rFonts w:ascii="Arial" w:hAnsi="Arial" w:cs="Arial"/>
          <w:sz w:val="22"/>
        </w:rPr>
      </w:pPr>
      <w:r w:rsidRPr="00351583">
        <w:rPr>
          <w:rFonts w:ascii="Arial" w:eastAsia="Calibri" w:hAnsi="Arial" w:cs="Arial"/>
          <w:b/>
          <w:color w:val="000000"/>
          <w:sz w:val="22"/>
          <w:lang w:val="es-ES_tradnl" w:eastAsia="en-GB"/>
        </w:rPr>
        <w:lastRenderedPageBreak/>
        <w:tab/>
      </w:r>
      <w:r w:rsidR="008B3781">
        <w:rPr>
          <w:rFonts w:ascii="Arial" w:eastAsia="Calibri" w:hAnsi="Arial" w:cs="Arial"/>
          <w:b/>
          <w:color w:val="000000"/>
          <w:sz w:val="22"/>
          <w:lang w:val="es-ES_tradnl" w:eastAsia="en-GB"/>
        </w:rPr>
        <w:tab/>
      </w:r>
      <w:proofErr w:type="spellStart"/>
      <w:r w:rsidRPr="00332BE4">
        <w:rPr>
          <w:rFonts w:ascii="Arial" w:eastAsia="Calibri" w:hAnsi="Arial" w:cs="Arial"/>
          <w:bCs/>
          <w:color w:val="000000"/>
          <w:sz w:val="22"/>
          <w:lang w:val="es-ES_tradnl" w:eastAsia="en-GB"/>
        </w:rPr>
        <w:t>ii</w:t>
      </w:r>
      <w:proofErr w:type="spellEnd"/>
      <w:r w:rsidRPr="00332BE4">
        <w:rPr>
          <w:rFonts w:ascii="Arial" w:eastAsia="Calibri" w:hAnsi="Arial" w:cs="Arial"/>
          <w:bCs/>
          <w:color w:val="000000"/>
          <w:sz w:val="22"/>
          <w:lang w:val="es-ES_tradnl" w:eastAsia="en-GB"/>
        </w:rPr>
        <w:t>)</w:t>
      </w:r>
      <w:r w:rsidR="006D1052" w:rsidRPr="00351583">
        <w:rPr>
          <w:rFonts w:ascii="Arial" w:eastAsia="Calibri" w:hAnsi="Arial" w:cs="Arial"/>
          <w:b/>
          <w:color w:val="000000"/>
          <w:sz w:val="22"/>
          <w:lang w:val="es-ES_tradnl" w:eastAsia="en-GB"/>
        </w:rPr>
        <w:t xml:space="preserve"> </w:t>
      </w:r>
      <w:r w:rsidR="006D1052" w:rsidRPr="00332BE4">
        <w:rPr>
          <w:rFonts w:ascii="Arial" w:eastAsia="Calibri" w:hAnsi="Arial" w:cs="Arial"/>
          <w:bCs/>
          <w:color w:val="000000"/>
          <w:sz w:val="22"/>
          <w:lang w:val="es-ES_tradnl" w:eastAsia="en-GB"/>
        </w:rPr>
        <w:t xml:space="preserve">En </w:t>
      </w:r>
      <w:r w:rsidR="000F07EC" w:rsidRPr="00332BE4">
        <w:rPr>
          <w:rFonts w:ascii="Arial" w:eastAsia="Calibri" w:hAnsi="Arial" w:cs="Arial"/>
          <w:bCs/>
          <w:color w:val="000000"/>
          <w:sz w:val="22"/>
          <w:lang w:val="es-ES_tradnl" w:eastAsia="en-GB"/>
        </w:rPr>
        <w:t>segundo lugar, a continuación de la</w:t>
      </w:r>
      <w:r w:rsidR="00701856" w:rsidRPr="00351583">
        <w:rPr>
          <w:rFonts w:ascii="Arial" w:eastAsia="Calibri" w:hAnsi="Arial" w:cs="Arial"/>
          <w:bCs/>
          <w:color w:val="000000"/>
          <w:sz w:val="22"/>
          <w:lang w:val="es-ES_tradnl" w:eastAsia="en-GB"/>
        </w:rPr>
        <w:t xml:space="preserve"> anterior expresión</w:t>
      </w:r>
      <w:r w:rsidR="00685807" w:rsidRPr="00351583">
        <w:rPr>
          <w:rFonts w:ascii="Arial" w:eastAsia="Calibri" w:hAnsi="Arial" w:cs="Arial"/>
          <w:bCs/>
          <w:color w:val="000000"/>
          <w:sz w:val="22"/>
          <w:lang w:val="es-ES_tradnl" w:eastAsia="en-GB"/>
        </w:rPr>
        <w:t>, el</w:t>
      </w:r>
      <w:r w:rsidR="00685807" w:rsidRPr="007E7850">
        <w:rPr>
          <w:rFonts w:ascii="Arial" w:eastAsia="Calibri" w:hAnsi="Arial" w:cs="Arial"/>
          <w:bCs/>
          <w:color w:val="000000"/>
          <w:sz w:val="22"/>
          <w:lang w:val="es-ES_tradnl" w:eastAsia="en-GB"/>
        </w:rPr>
        <w:t xml:space="preserve"> artículo introduce el siguiente condicionante </w:t>
      </w:r>
      <w:r w:rsidR="006D1052" w:rsidRPr="00332BE4">
        <w:rPr>
          <w:rFonts w:ascii="Arial" w:eastAsia="Calibri" w:hAnsi="Arial" w:cs="Arial"/>
          <w:bCs/>
          <w:color w:val="000000"/>
          <w:sz w:val="22"/>
          <w:lang w:val="es-ES_tradnl" w:eastAsia="en-GB"/>
        </w:rPr>
        <w:t>«[…]</w:t>
      </w:r>
      <w:r w:rsidR="006D1052" w:rsidRPr="00351583">
        <w:rPr>
          <w:rFonts w:ascii="Arial" w:eastAsia="Calibri" w:hAnsi="Arial" w:cs="Arial"/>
          <w:b/>
          <w:color w:val="000000"/>
          <w:sz w:val="22"/>
          <w:lang w:val="es-ES_tradnl" w:eastAsia="en-GB"/>
        </w:rPr>
        <w:t xml:space="preserve"> </w:t>
      </w:r>
      <w:r w:rsidR="006D1052" w:rsidRPr="00332BE4">
        <w:rPr>
          <w:rFonts w:ascii="Arial" w:hAnsi="Arial" w:cs="Arial"/>
          <w:sz w:val="22"/>
        </w:rPr>
        <w:t>con las entidades a que se refiere el artículo 2° de la Ley 80 de 1993»</w:t>
      </w:r>
      <w:r w:rsidR="007E7850">
        <w:rPr>
          <w:rFonts w:ascii="Arial" w:hAnsi="Arial" w:cs="Arial"/>
          <w:sz w:val="22"/>
        </w:rPr>
        <w:t>. Esto implica</w:t>
      </w:r>
      <w:r w:rsidR="005E47C7">
        <w:rPr>
          <w:rFonts w:ascii="Arial" w:hAnsi="Arial" w:cs="Arial"/>
          <w:sz w:val="22"/>
        </w:rPr>
        <w:t xml:space="preserve"> que</w:t>
      </w:r>
      <w:r w:rsidR="007E7850">
        <w:rPr>
          <w:rFonts w:ascii="Arial" w:hAnsi="Arial" w:cs="Arial"/>
          <w:sz w:val="22"/>
        </w:rPr>
        <w:t xml:space="preserve"> </w:t>
      </w:r>
      <w:r w:rsidR="003113D5">
        <w:rPr>
          <w:rFonts w:ascii="Arial" w:hAnsi="Arial" w:cs="Arial"/>
          <w:sz w:val="22"/>
        </w:rPr>
        <w:t>la inhabilidad opera cuando el contrato fue celebrado con</w:t>
      </w:r>
      <w:r w:rsidR="005E47C7">
        <w:rPr>
          <w:rFonts w:ascii="Arial" w:hAnsi="Arial" w:cs="Arial"/>
          <w:sz w:val="22"/>
        </w:rPr>
        <w:t xml:space="preserve"> alguna de las entidades cobijadas por</w:t>
      </w:r>
      <w:r w:rsidR="00915350">
        <w:rPr>
          <w:rFonts w:ascii="Arial" w:hAnsi="Arial" w:cs="Arial"/>
          <w:sz w:val="22"/>
        </w:rPr>
        <w:t xml:space="preserve"> la definición de en</w:t>
      </w:r>
      <w:r w:rsidR="00D435FE">
        <w:rPr>
          <w:rFonts w:ascii="Arial" w:hAnsi="Arial" w:cs="Arial"/>
          <w:sz w:val="22"/>
        </w:rPr>
        <w:t>tidad estatal del artículo 2 de la Ley 80 de 1993; y</w:t>
      </w:r>
    </w:p>
    <w:p w14:paraId="1DF4A4E8" w14:textId="6E5233D2" w:rsidR="00D435FE" w:rsidRDefault="00D435FE" w:rsidP="00B344F4">
      <w:pPr>
        <w:tabs>
          <w:tab w:val="left" w:pos="426"/>
        </w:tabs>
        <w:spacing w:after="120" w:line="276" w:lineRule="auto"/>
        <w:jc w:val="both"/>
        <w:rPr>
          <w:rFonts w:ascii="Arial" w:hAnsi="Arial" w:cs="Arial"/>
          <w:sz w:val="22"/>
        </w:rPr>
      </w:pPr>
      <w:r>
        <w:rPr>
          <w:rFonts w:ascii="Arial" w:hAnsi="Arial" w:cs="Arial"/>
          <w:sz w:val="22"/>
        </w:rPr>
        <w:tab/>
      </w:r>
      <w:r w:rsidR="008B3781">
        <w:rPr>
          <w:rFonts w:ascii="Arial" w:hAnsi="Arial" w:cs="Arial"/>
          <w:sz w:val="22"/>
        </w:rPr>
        <w:tab/>
      </w:r>
      <w:proofErr w:type="spellStart"/>
      <w:r>
        <w:rPr>
          <w:rFonts w:ascii="Arial" w:hAnsi="Arial" w:cs="Arial"/>
          <w:sz w:val="22"/>
        </w:rPr>
        <w:t>iii</w:t>
      </w:r>
      <w:proofErr w:type="spellEnd"/>
      <w:r>
        <w:rPr>
          <w:rFonts w:ascii="Arial" w:hAnsi="Arial" w:cs="Arial"/>
          <w:sz w:val="22"/>
        </w:rPr>
        <w:t xml:space="preserve">) Por último, </w:t>
      </w:r>
      <w:r w:rsidR="00663D86">
        <w:rPr>
          <w:rFonts w:ascii="Arial" w:hAnsi="Arial" w:cs="Arial"/>
          <w:sz w:val="22"/>
        </w:rPr>
        <w:t>es pertinente aludir a la parte final del artículo que reza: «[…]</w:t>
      </w:r>
      <w:r w:rsidR="00663D86" w:rsidRPr="00663D86">
        <w:rPr>
          <w:rFonts w:ascii="Arial" w:hAnsi="Arial" w:cs="Arial"/>
          <w:sz w:val="22"/>
        </w:rPr>
        <w:t xml:space="preserve"> durante el plazo de ejecución y hasta la liquidación </w:t>
      </w:r>
      <w:proofErr w:type="gramStart"/>
      <w:r w:rsidR="00663D86" w:rsidRPr="00663D86">
        <w:rPr>
          <w:rFonts w:ascii="Arial" w:hAnsi="Arial" w:cs="Arial"/>
          <w:sz w:val="22"/>
        </w:rPr>
        <w:t>del mismo</w:t>
      </w:r>
      <w:proofErr w:type="gramEnd"/>
      <w:r w:rsidR="00663D86" w:rsidRPr="00663D86">
        <w:rPr>
          <w:rFonts w:ascii="Arial" w:hAnsi="Arial" w:cs="Arial"/>
          <w:sz w:val="22"/>
        </w:rPr>
        <w:t>, no podrán celebrar contratos de interventoría con la misma entidad</w:t>
      </w:r>
      <w:r w:rsidR="00663D86">
        <w:rPr>
          <w:rFonts w:ascii="Arial" w:hAnsi="Arial" w:cs="Arial"/>
          <w:sz w:val="22"/>
        </w:rPr>
        <w:t>»</w:t>
      </w:r>
      <w:r w:rsidR="00663D86" w:rsidRPr="00663D86">
        <w:rPr>
          <w:rFonts w:ascii="Arial" w:hAnsi="Arial" w:cs="Arial"/>
          <w:sz w:val="22"/>
        </w:rPr>
        <w:t>.</w:t>
      </w:r>
      <w:r w:rsidR="00663D86">
        <w:rPr>
          <w:rFonts w:ascii="Arial" w:hAnsi="Arial" w:cs="Arial"/>
          <w:sz w:val="22"/>
        </w:rPr>
        <w:t xml:space="preserve"> Como se advierte, este apartado define la consecuencia jurídica al supuesto de hecho analizado, definiendo además un ámbito temporal</w:t>
      </w:r>
      <w:r w:rsidR="006A3DEB">
        <w:rPr>
          <w:rFonts w:ascii="Arial" w:hAnsi="Arial" w:cs="Arial"/>
          <w:sz w:val="22"/>
        </w:rPr>
        <w:t>, el cual transcurre entre plazo de ejecución y liquidación del contrato</w:t>
      </w:r>
      <w:r w:rsidR="00E31243">
        <w:rPr>
          <w:rFonts w:ascii="Arial" w:hAnsi="Arial" w:cs="Arial"/>
          <w:sz w:val="22"/>
        </w:rPr>
        <w:t xml:space="preserve"> en virtud de cuya celebración se inhabilita el contratista para celebrar un contrato de intervento</w:t>
      </w:r>
      <w:r w:rsidR="00B344F4">
        <w:rPr>
          <w:rFonts w:ascii="Arial" w:hAnsi="Arial" w:cs="Arial"/>
          <w:sz w:val="22"/>
        </w:rPr>
        <w:t xml:space="preserve">ría con la </w:t>
      </w:r>
      <w:r w:rsidR="00AB1A00">
        <w:rPr>
          <w:rFonts w:ascii="Arial" w:hAnsi="Arial" w:cs="Arial"/>
          <w:sz w:val="22"/>
        </w:rPr>
        <w:t>«</w:t>
      </w:r>
      <w:r w:rsidR="00B344F4" w:rsidRPr="00332BE4">
        <w:rPr>
          <w:rFonts w:ascii="Arial" w:hAnsi="Arial" w:cs="Arial"/>
          <w:i/>
          <w:iCs/>
          <w:sz w:val="22"/>
        </w:rPr>
        <w:t>misma entidad</w:t>
      </w:r>
      <w:r w:rsidR="00AB1A00">
        <w:rPr>
          <w:rFonts w:ascii="Arial" w:hAnsi="Arial" w:cs="Arial"/>
          <w:i/>
          <w:iCs/>
          <w:sz w:val="22"/>
        </w:rPr>
        <w:t>»</w:t>
      </w:r>
      <w:r w:rsidR="00AB1A00">
        <w:rPr>
          <w:rFonts w:ascii="Arial" w:hAnsi="Arial" w:cs="Arial"/>
          <w:sz w:val="22"/>
        </w:rPr>
        <w:t>.</w:t>
      </w:r>
    </w:p>
    <w:p w14:paraId="09095750" w14:textId="2B50135B" w:rsidR="00D435FE" w:rsidRDefault="00B344F4" w:rsidP="00332BE4">
      <w:pPr>
        <w:tabs>
          <w:tab w:val="left" w:pos="426"/>
        </w:tabs>
        <w:spacing w:after="120" w:line="276" w:lineRule="auto"/>
        <w:jc w:val="both"/>
        <w:rPr>
          <w:rFonts w:ascii="Arial" w:hAnsi="Arial" w:cs="Arial"/>
          <w:sz w:val="22"/>
        </w:rPr>
      </w:pPr>
      <w:r>
        <w:rPr>
          <w:rFonts w:ascii="Arial" w:hAnsi="Arial" w:cs="Arial"/>
          <w:sz w:val="22"/>
        </w:rPr>
        <w:tab/>
      </w:r>
      <w:r>
        <w:rPr>
          <w:rFonts w:ascii="Arial" w:hAnsi="Arial" w:cs="Arial"/>
          <w:sz w:val="22"/>
        </w:rPr>
        <w:tab/>
        <w:t xml:space="preserve">Teniendo esto presente, el </w:t>
      </w:r>
      <w:r w:rsidR="00C40F02">
        <w:rPr>
          <w:rFonts w:ascii="Arial" w:hAnsi="Arial" w:cs="Arial"/>
          <w:sz w:val="22"/>
        </w:rPr>
        <w:t xml:space="preserve">alcance de la expresión </w:t>
      </w:r>
      <w:r w:rsidR="00AB1A00">
        <w:rPr>
          <w:rFonts w:ascii="Arial" w:hAnsi="Arial" w:cs="Arial"/>
          <w:sz w:val="22"/>
        </w:rPr>
        <w:t>«</w:t>
      </w:r>
      <w:r w:rsidR="00C40F02" w:rsidRPr="00332BE4">
        <w:rPr>
          <w:rFonts w:ascii="Arial" w:hAnsi="Arial" w:cs="Arial"/>
          <w:i/>
          <w:iCs/>
          <w:sz w:val="22"/>
        </w:rPr>
        <w:t>misma entidad</w:t>
      </w:r>
      <w:r w:rsidR="00AB1A00">
        <w:rPr>
          <w:rFonts w:ascii="Arial" w:hAnsi="Arial" w:cs="Arial"/>
          <w:i/>
          <w:iCs/>
          <w:sz w:val="22"/>
        </w:rPr>
        <w:t>»</w:t>
      </w:r>
      <w:r w:rsidR="00C40F02">
        <w:rPr>
          <w:rFonts w:ascii="Arial" w:hAnsi="Arial" w:cs="Arial"/>
          <w:i/>
          <w:iCs/>
          <w:sz w:val="22"/>
        </w:rPr>
        <w:t>,</w:t>
      </w:r>
      <w:r w:rsidR="00C40F02">
        <w:rPr>
          <w:rFonts w:ascii="Arial" w:hAnsi="Arial" w:cs="Arial"/>
          <w:sz w:val="22"/>
        </w:rPr>
        <w:t xml:space="preserve"> en torno al que indaga el peticionario, está necesariamen</w:t>
      </w:r>
      <w:r w:rsidR="00480832">
        <w:rPr>
          <w:rFonts w:ascii="Arial" w:hAnsi="Arial" w:cs="Arial"/>
          <w:sz w:val="22"/>
        </w:rPr>
        <w:t>te determinado por su significado más restrictivo</w:t>
      </w:r>
      <w:r w:rsidR="00CC4EBA">
        <w:rPr>
          <w:rFonts w:ascii="Arial" w:hAnsi="Arial" w:cs="Arial"/>
          <w:sz w:val="22"/>
        </w:rPr>
        <w:t xml:space="preserve">. </w:t>
      </w:r>
      <w:r w:rsidR="00F95335">
        <w:rPr>
          <w:rFonts w:ascii="Arial" w:hAnsi="Arial" w:cs="Arial"/>
          <w:sz w:val="22"/>
        </w:rPr>
        <w:t xml:space="preserve">De acuerdo con esto, al aludir a la </w:t>
      </w:r>
      <w:r w:rsidR="00AB1A00">
        <w:rPr>
          <w:rFonts w:ascii="Arial" w:hAnsi="Arial" w:cs="Arial"/>
          <w:sz w:val="22"/>
        </w:rPr>
        <w:t>«</w:t>
      </w:r>
      <w:r w:rsidR="00F95335" w:rsidRPr="00332BE4">
        <w:rPr>
          <w:rFonts w:ascii="Arial" w:hAnsi="Arial" w:cs="Arial"/>
          <w:i/>
          <w:iCs/>
          <w:sz w:val="22"/>
        </w:rPr>
        <w:t>misma entidad</w:t>
      </w:r>
      <w:r w:rsidR="00A06A08">
        <w:rPr>
          <w:rFonts w:ascii="Arial" w:hAnsi="Arial" w:cs="Arial"/>
          <w:i/>
          <w:iCs/>
          <w:sz w:val="22"/>
        </w:rPr>
        <w:t>»</w:t>
      </w:r>
      <w:r w:rsidR="00F95335">
        <w:rPr>
          <w:rFonts w:ascii="Arial" w:hAnsi="Arial" w:cs="Arial"/>
          <w:sz w:val="22"/>
        </w:rPr>
        <w:t xml:space="preserve">, el artículo está refriéndose a </w:t>
      </w:r>
      <w:r w:rsidR="00A06A08">
        <w:rPr>
          <w:rFonts w:ascii="Arial" w:hAnsi="Arial" w:cs="Arial"/>
          <w:sz w:val="22"/>
        </w:rPr>
        <w:t>una</w:t>
      </w:r>
      <w:r w:rsidR="00F95335">
        <w:rPr>
          <w:rFonts w:ascii="Arial" w:hAnsi="Arial" w:cs="Arial"/>
          <w:sz w:val="22"/>
        </w:rPr>
        <w:t xml:space="preserve"> entidad–</w:t>
      </w:r>
      <w:r w:rsidR="004A1187">
        <w:rPr>
          <w:rFonts w:ascii="Arial" w:hAnsi="Arial" w:cs="Arial"/>
          <w:sz w:val="22"/>
        </w:rPr>
        <w:t>de las establecidas en el artículo 2 de la Ley 80 de 1993–</w:t>
      </w:r>
      <w:r w:rsidR="00F95335">
        <w:rPr>
          <w:rFonts w:ascii="Arial" w:hAnsi="Arial" w:cs="Arial"/>
          <w:sz w:val="22"/>
        </w:rPr>
        <w:t xml:space="preserve"> con la que se celebró alguno de los contratos </w:t>
      </w:r>
      <w:r w:rsidR="004A1187">
        <w:rPr>
          <w:rFonts w:ascii="Arial" w:hAnsi="Arial" w:cs="Arial"/>
          <w:sz w:val="22"/>
        </w:rPr>
        <w:t>mencionados en el artículo</w:t>
      </w:r>
      <w:r w:rsidR="00096060">
        <w:rPr>
          <w:rFonts w:ascii="Arial" w:hAnsi="Arial" w:cs="Arial"/>
          <w:sz w:val="22"/>
        </w:rPr>
        <w:t xml:space="preserve">. En ese sentido, el artículo alude a un mismo ámbito de autonomía administrativa y capacidad </w:t>
      </w:r>
      <w:r w:rsidR="0081498E">
        <w:rPr>
          <w:rFonts w:ascii="Arial" w:hAnsi="Arial" w:cs="Arial"/>
          <w:sz w:val="22"/>
        </w:rPr>
        <w:t>jurídica conforme al cual celebra el contrato</w:t>
      </w:r>
      <w:r w:rsidR="0016243E">
        <w:rPr>
          <w:rFonts w:ascii="Arial" w:hAnsi="Arial" w:cs="Arial"/>
          <w:sz w:val="22"/>
        </w:rPr>
        <w:t xml:space="preserve"> </w:t>
      </w:r>
      <w:r w:rsidR="004E70E1">
        <w:rPr>
          <w:rFonts w:ascii="Arial" w:hAnsi="Arial" w:cs="Arial"/>
          <w:sz w:val="22"/>
        </w:rPr>
        <w:t xml:space="preserve">que inhabilita al contratista. </w:t>
      </w:r>
    </w:p>
    <w:p w14:paraId="3C15D177" w14:textId="6D0F3020" w:rsidR="00A742A3" w:rsidRDefault="004E70E1" w:rsidP="00332BE4">
      <w:pPr>
        <w:tabs>
          <w:tab w:val="left" w:pos="426"/>
        </w:tabs>
        <w:spacing w:after="120" w:line="276" w:lineRule="auto"/>
        <w:jc w:val="both"/>
        <w:rPr>
          <w:rFonts w:ascii="Arial" w:hAnsi="Arial" w:cs="Arial"/>
          <w:sz w:val="22"/>
        </w:rPr>
      </w:pPr>
      <w:r>
        <w:rPr>
          <w:rFonts w:ascii="Arial" w:hAnsi="Arial" w:cs="Arial"/>
          <w:sz w:val="22"/>
        </w:rPr>
        <w:tab/>
      </w:r>
      <w:r>
        <w:rPr>
          <w:rFonts w:ascii="Arial" w:hAnsi="Arial" w:cs="Arial"/>
          <w:sz w:val="22"/>
        </w:rPr>
        <w:tab/>
        <w:t>Esto</w:t>
      </w:r>
      <w:r w:rsidR="008F4AC4">
        <w:rPr>
          <w:rFonts w:ascii="Arial" w:hAnsi="Arial" w:cs="Arial"/>
          <w:sz w:val="22"/>
        </w:rPr>
        <w:t xml:space="preserve"> implica que, sin perjuicio de que varias entidades estatales</w:t>
      </w:r>
      <w:r w:rsidR="000B382A">
        <w:rPr>
          <w:rFonts w:ascii="Arial" w:hAnsi="Arial" w:cs="Arial"/>
          <w:sz w:val="22"/>
        </w:rPr>
        <w:t>,</w:t>
      </w:r>
      <w:r w:rsidR="008F4AC4">
        <w:rPr>
          <w:rFonts w:ascii="Arial" w:hAnsi="Arial" w:cs="Arial"/>
          <w:sz w:val="22"/>
        </w:rPr>
        <w:t xml:space="preserve"> coincidan en un mismo ámbito de competencia territorial</w:t>
      </w:r>
      <w:r w:rsidR="00636139">
        <w:rPr>
          <w:rFonts w:ascii="Arial" w:hAnsi="Arial" w:cs="Arial"/>
          <w:sz w:val="22"/>
        </w:rPr>
        <w:t xml:space="preserve">, el hecho de que se celebre un contrato de obra con </w:t>
      </w:r>
      <w:r w:rsidR="008F6AEE">
        <w:rPr>
          <w:rFonts w:ascii="Arial" w:hAnsi="Arial" w:cs="Arial"/>
          <w:sz w:val="22"/>
        </w:rPr>
        <w:t>una</w:t>
      </w:r>
      <w:r w:rsidR="00C46088">
        <w:rPr>
          <w:rFonts w:ascii="Arial" w:hAnsi="Arial" w:cs="Arial"/>
          <w:sz w:val="22"/>
        </w:rPr>
        <w:t xml:space="preserve"> </w:t>
      </w:r>
      <w:r w:rsidR="008F6AEE">
        <w:rPr>
          <w:rFonts w:ascii="Arial" w:hAnsi="Arial" w:cs="Arial"/>
          <w:sz w:val="22"/>
        </w:rPr>
        <w:t xml:space="preserve">entidad </w:t>
      </w:r>
      <w:r w:rsidR="00C46088">
        <w:rPr>
          <w:rFonts w:ascii="Arial" w:hAnsi="Arial" w:cs="Arial"/>
          <w:sz w:val="22"/>
        </w:rPr>
        <w:t>no significa que se inhabilite al contratista para celebrar un contrato de</w:t>
      </w:r>
      <w:r w:rsidR="000B382A">
        <w:rPr>
          <w:rFonts w:ascii="Arial" w:hAnsi="Arial" w:cs="Arial"/>
          <w:sz w:val="22"/>
        </w:rPr>
        <w:t xml:space="preserve"> interventoría con otra </w:t>
      </w:r>
      <w:r w:rsidR="004F6805">
        <w:rPr>
          <w:rFonts w:ascii="Arial" w:hAnsi="Arial" w:cs="Arial"/>
          <w:sz w:val="22"/>
        </w:rPr>
        <w:t xml:space="preserve">entidad </w:t>
      </w:r>
      <w:r w:rsidR="000B382A">
        <w:rPr>
          <w:rFonts w:ascii="Arial" w:hAnsi="Arial" w:cs="Arial"/>
          <w:sz w:val="22"/>
        </w:rPr>
        <w:t>que tenga competencia dentro del mismo territorio.</w:t>
      </w:r>
      <w:r w:rsidR="008B7D24">
        <w:rPr>
          <w:rFonts w:ascii="Arial" w:hAnsi="Arial" w:cs="Arial"/>
          <w:sz w:val="22"/>
        </w:rPr>
        <w:t xml:space="preserve"> </w:t>
      </w:r>
      <w:r w:rsidR="004F6805">
        <w:rPr>
          <w:rFonts w:ascii="Arial" w:hAnsi="Arial" w:cs="Arial"/>
          <w:sz w:val="22"/>
        </w:rPr>
        <w:t>L</w:t>
      </w:r>
      <w:r w:rsidR="001711C6">
        <w:rPr>
          <w:rFonts w:ascii="Arial" w:hAnsi="Arial" w:cs="Arial"/>
          <w:sz w:val="22"/>
        </w:rPr>
        <w:t xml:space="preserve">o </w:t>
      </w:r>
      <w:r w:rsidR="004F6805">
        <w:rPr>
          <w:rFonts w:ascii="Arial" w:hAnsi="Arial" w:cs="Arial"/>
          <w:sz w:val="22"/>
        </w:rPr>
        <w:t xml:space="preserve">anterior </w:t>
      </w:r>
      <w:r w:rsidR="001711C6">
        <w:rPr>
          <w:rFonts w:ascii="Arial" w:hAnsi="Arial" w:cs="Arial"/>
          <w:sz w:val="22"/>
        </w:rPr>
        <w:t xml:space="preserve">significa que, por ejemplo, </w:t>
      </w:r>
      <w:r w:rsidR="008F6AEE">
        <w:rPr>
          <w:rFonts w:ascii="Arial" w:hAnsi="Arial" w:cs="Arial"/>
          <w:sz w:val="22"/>
        </w:rPr>
        <w:t xml:space="preserve">si </w:t>
      </w:r>
      <w:r w:rsidR="001711C6">
        <w:rPr>
          <w:rFonts w:ascii="Arial" w:hAnsi="Arial" w:cs="Arial"/>
          <w:sz w:val="22"/>
        </w:rPr>
        <w:t>una persona suscrib</w:t>
      </w:r>
      <w:r w:rsidR="008F6AEE">
        <w:rPr>
          <w:rFonts w:ascii="Arial" w:hAnsi="Arial" w:cs="Arial"/>
          <w:sz w:val="22"/>
        </w:rPr>
        <w:t>e</w:t>
      </w:r>
      <w:r w:rsidR="001711C6">
        <w:rPr>
          <w:rFonts w:ascii="Arial" w:hAnsi="Arial" w:cs="Arial"/>
          <w:sz w:val="22"/>
        </w:rPr>
        <w:t xml:space="preserve"> un contrato </w:t>
      </w:r>
      <w:r w:rsidR="004916AC">
        <w:rPr>
          <w:rFonts w:ascii="Arial" w:hAnsi="Arial" w:cs="Arial"/>
          <w:sz w:val="22"/>
        </w:rPr>
        <w:t xml:space="preserve">de obra con un </w:t>
      </w:r>
      <w:r w:rsidR="00A742A3">
        <w:rPr>
          <w:rFonts w:ascii="Arial" w:hAnsi="Arial" w:cs="Arial"/>
          <w:sz w:val="22"/>
        </w:rPr>
        <w:t>municipio</w:t>
      </w:r>
      <w:r w:rsidR="008F6AEE">
        <w:rPr>
          <w:rFonts w:ascii="Arial" w:hAnsi="Arial" w:cs="Arial"/>
          <w:sz w:val="22"/>
        </w:rPr>
        <w:t>, este hecho</w:t>
      </w:r>
      <w:r w:rsidR="004F6805">
        <w:rPr>
          <w:rFonts w:ascii="Arial" w:hAnsi="Arial" w:cs="Arial"/>
          <w:sz w:val="22"/>
        </w:rPr>
        <w:t xml:space="preserve"> </w:t>
      </w:r>
      <w:r w:rsidR="004F6805" w:rsidRPr="00332BE4">
        <w:rPr>
          <w:rFonts w:ascii="Arial" w:hAnsi="Arial" w:cs="Arial"/>
          <w:i/>
          <w:iCs/>
          <w:sz w:val="22"/>
        </w:rPr>
        <w:t>per se</w:t>
      </w:r>
      <w:r w:rsidR="00890BBE">
        <w:rPr>
          <w:rFonts w:ascii="Arial" w:hAnsi="Arial" w:cs="Arial"/>
          <w:sz w:val="22"/>
        </w:rPr>
        <w:t>,</w:t>
      </w:r>
      <w:r w:rsidR="004916AC">
        <w:rPr>
          <w:rFonts w:ascii="Arial" w:hAnsi="Arial" w:cs="Arial"/>
          <w:sz w:val="22"/>
        </w:rPr>
        <w:t xml:space="preserve"> </w:t>
      </w:r>
      <w:r w:rsidR="00E22D81">
        <w:rPr>
          <w:rFonts w:ascii="Arial" w:hAnsi="Arial" w:cs="Arial"/>
          <w:sz w:val="22"/>
        </w:rPr>
        <w:t>no</w:t>
      </w:r>
      <w:r w:rsidR="00890BBE">
        <w:rPr>
          <w:rFonts w:ascii="Arial" w:hAnsi="Arial" w:cs="Arial"/>
          <w:sz w:val="22"/>
        </w:rPr>
        <w:t xml:space="preserve"> lo</w:t>
      </w:r>
      <w:r w:rsidR="00E22D81">
        <w:rPr>
          <w:rFonts w:ascii="Arial" w:hAnsi="Arial" w:cs="Arial"/>
          <w:sz w:val="22"/>
        </w:rPr>
        <w:t xml:space="preserve"> inhabilita para suscribir un contrato de interventoría con la empresa </w:t>
      </w:r>
      <w:r w:rsidR="008B03DE">
        <w:rPr>
          <w:rFonts w:ascii="Arial" w:hAnsi="Arial" w:cs="Arial"/>
          <w:sz w:val="22"/>
        </w:rPr>
        <w:t xml:space="preserve">social del Estado designada para prestar servicios de salud dentro de dicho municipio, comoquiera que tales entidades </w:t>
      </w:r>
      <w:r w:rsidR="007879F2">
        <w:rPr>
          <w:rFonts w:ascii="Arial" w:hAnsi="Arial" w:cs="Arial"/>
          <w:sz w:val="22"/>
        </w:rPr>
        <w:t xml:space="preserve">son </w:t>
      </w:r>
      <w:r w:rsidR="00EE139B">
        <w:rPr>
          <w:rFonts w:ascii="Arial" w:hAnsi="Arial" w:cs="Arial"/>
          <w:sz w:val="22"/>
        </w:rPr>
        <w:t xml:space="preserve">autónomas administrativamente y tienen capacidad </w:t>
      </w:r>
      <w:r w:rsidR="00A742A3">
        <w:rPr>
          <w:rFonts w:ascii="Arial" w:hAnsi="Arial" w:cs="Arial"/>
          <w:sz w:val="22"/>
        </w:rPr>
        <w:t>jurídica, por lo que no pueden ser entendidas como una misma entidad.</w:t>
      </w:r>
    </w:p>
    <w:p w14:paraId="5ECBC6F0" w14:textId="27AAFC6B" w:rsidR="00A742A3" w:rsidRDefault="00A742A3" w:rsidP="00351583">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r>
      <w:r w:rsidR="00A75AEC">
        <w:rPr>
          <w:rFonts w:ascii="Arial" w:hAnsi="Arial" w:cs="Arial"/>
          <w:sz w:val="22"/>
        </w:rPr>
        <w:t>Un análisis</w:t>
      </w:r>
      <w:r w:rsidR="00943000">
        <w:rPr>
          <w:rFonts w:ascii="Arial" w:hAnsi="Arial" w:cs="Arial"/>
          <w:sz w:val="22"/>
        </w:rPr>
        <w:t xml:space="preserve"> </w:t>
      </w:r>
      <w:r w:rsidR="00A75AEC">
        <w:rPr>
          <w:rFonts w:ascii="Arial" w:hAnsi="Arial" w:cs="Arial"/>
          <w:sz w:val="22"/>
        </w:rPr>
        <w:t xml:space="preserve">distinto merece una situación en la que, por ejemplo, la </w:t>
      </w:r>
      <w:r w:rsidR="004F6805">
        <w:rPr>
          <w:rFonts w:ascii="Arial" w:hAnsi="Arial" w:cs="Arial"/>
          <w:sz w:val="22"/>
        </w:rPr>
        <w:t>s</w:t>
      </w:r>
      <w:r w:rsidR="00A75AEC">
        <w:rPr>
          <w:rFonts w:ascii="Arial" w:hAnsi="Arial" w:cs="Arial"/>
          <w:sz w:val="22"/>
        </w:rPr>
        <w:t xml:space="preserve">ecretaría de </w:t>
      </w:r>
      <w:r w:rsidR="004F6805">
        <w:rPr>
          <w:rFonts w:ascii="Arial" w:hAnsi="Arial" w:cs="Arial"/>
          <w:sz w:val="22"/>
        </w:rPr>
        <w:t>p</w:t>
      </w:r>
      <w:r w:rsidR="00A75AEC">
        <w:rPr>
          <w:rFonts w:ascii="Arial" w:hAnsi="Arial" w:cs="Arial"/>
          <w:sz w:val="22"/>
        </w:rPr>
        <w:t xml:space="preserve">laneación de un municipio </w:t>
      </w:r>
      <w:r w:rsidR="005C4350">
        <w:rPr>
          <w:rFonts w:ascii="Arial" w:hAnsi="Arial" w:cs="Arial"/>
          <w:sz w:val="22"/>
        </w:rPr>
        <w:t xml:space="preserve">celebre con una persona un contrato </w:t>
      </w:r>
      <w:r w:rsidR="00943000">
        <w:rPr>
          <w:rFonts w:ascii="Arial" w:hAnsi="Arial" w:cs="Arial"/>
          <w:sz w:val="22"/>
        </w:rPr>
        <w:t xml:space="preserve">de concesión, y luego desde la </w:t>
      </w:r>
      <w:r w:rsidR="004F6805">
        <w:rPr>
          <w:rFonts w:ascii="Arial" w:hAnsi="Arial" w:cs="Arial"/>
          <w:sz w:val="22"/>
        </w:rPr>
        <w:t>s</w:t>
      </w:r>
      <w:r w:rsidR="00943000">
        <w:rPr>
          <w:rFonts w:ascii="Arial" w:hAnsi="Arial" w:cs="Arial"/>
          <w:sz w:val="22"/>
        </w:rPr>
        <w:t xml:space="preserve">ecretaría de </w:t>
      </w:r>
      <w:r w:rsidR="004F6805">
        <w:rPr>
          <w:rFonts w:ascii="Arial" w:hAnsi="Arial" w:cs="Arial"/>
          <w:sz w:val="22"/>
        </w:rPr>
        <w:t>d</w:t>
      </w:r>
      <w:r w:rsidR="00943000">
        <w:rPr>
          <w:rFonts w:ascii="Arial" w:hAnsi="Arial" w:cs="Arial"/>
          <w:sz w:val="22"/>
        </w:rPr>
        <w:t>esarrollo Social se pretenda celebr</w:t>
      </w:r>
      <w:r w:rsidR="00AA4A77">
        <w:rPr>
          <w:rFonts w:ascii="Arial" w:hAnsi="Arial" w:cs="Arial"/>
          <w:sz w:val="22"/>
        </w:rPr>
        <w:t xml:space="preserve">ar un contrato de interventoría con el mismo sujeto. En este evento, el </w:t>
      </w:r>
      <w:r w:rsidR="007540D0">
        <w:rPr>
          <w:rFonts w:ascii="Arial" w:hAnsi="Arial" w:cs="Arial"/>
          <w:sz w:val="22"/>
        </w:rPr>
        <w:t>contratista, en virtud de la aplicación del artículo 5 de la Ley 1474 de 2011, esta</w:t>
      </w:r>
      <w:r w:rsidR="00054A6F">
        <w:rPr>
          <w:rFonts w:ascii="Arial" w:hAnsi="Arial" w:cs="Arial"/>
          <w:sz w:val="22"/>
        </w:rPr>
        <w:t>ría inhabilitado para celebrar el segundo contrato ya que tales secretar</w:t>
      </w:r>
      <w:r w:rsidR="00397716">
        <w:rPr>
          <w:rFonts w:ascii="Arial" w:hAnsi="Arial" w:cs="Arial"/>
          <w:sz w:val="22"/>
        </w:rPr>
        <w:t>ías de despacho no gozan de autonomía administrativa</w:t>
      </w:r>
      <w:r w:rsidR="004B3A62">
        <w:rPr>
          <w:rFonts w:ascii="Arial" w:hAnsi="Arial" w:cs="Arial"/>
          <w:sz w:val="22"/>
        </w:rPr>
        <w:t>, ni capacidad para celebrar contratos</w:t>
      </w:r>
      <w:r w:rsidR="00A949A0">
        <w:rPr>
          <w:rFonts w:ascii="Arial" w:hAnsi="Arial" w:cs="Arial"/>
          <w:sz w:val="22"/>
        </w:rPr>
        <w:t xml:space="preserve">, ya que hacen parte de una misma entidad: el municipio. </w:t>
      </w:r>
    </w:p>
    <w:p w14:paraId="6DF8E5F2" w14:textId="348672A7" w:rsidR="00617F82" w:rsidRPr="009F05AC" w:rsidRDefault="000B382A" w:rsidP="00332BE4">
      <w:pPr>
        <w:tabs>
          <w:tab w:val="left" w:pos="426"/>
        </w:tabs>
        <w:spacing w:line="276" w:lineRule="auto"/>
        <w:jc w:val="both"/>
        <w:rPr>
          <w:rFonts w:ascii="Arial" w:eastAsia="Times New Roman" w:hAnsi="Arial" w:cs="Arial"/>
          <w:color w:val="000000" w:themeColor="text1"/>
          <w:sz w:val="22"/>
          <w:lang w:val="es-ES" w:eastAsia="es-ES_tradnl"/>
        </w:rPr>
      </w:pPr>
      <w:r>
        <w:rPr>
          <w:rFonts w:ascii="Arial" w:hAnsi="Arial" w:cs="Arial"/>
          <w:sz w:val="22"/>
        </w:rPr>
        <w:t xml:space="preserve"> </w:t>
      </w:r>
    </w:p>
    <w:p w14:paraId="125A2578" w14:textId="584AB1BC" w:rsidR="00B9522C" w:rsidRPr="009F05AC" w:rsidRDefault="00B9522C" w:rsidP="00B9522C">
      <w:pPr>
        <w:shd w:val="clear" w:color="auto" w:fill="FFFFFF"/>
        <w:tabs>
          <w:tab w:val="left" w:pos="426"/>
        </w:tabs>
        <w:spacing w:line="276" w:lineRule="auto"/>
        <w:ind w:right="709"/>
        <w:jc w:val="both"/>
        <w:rPr>
          <w:rFonts w:ascii="ArialMT" w:eastAsia="Times New Roman" w:hAnsi="ArialMT" w:cs="Times New Roman"/>
          <w:b/>
          <w:color w:val="000000" w:themeColor="text1"/>
          <w:sz w:val="22"/>
          <w:lang w:eastAsia="es-ES_tradnl"/>
        </w:rPr>
      </w:pPr>
      <w:r w:rsidRPr="009F05AC">
        <w:rPr>
          <w:rFonts w:ascii="ArialMT" w:eastAsia="Times New Roman" w:hAnsi="ArialMT" w:cs="Times New Roman"/>
          <w:b/>
          <w:color w:val="000000" w:themeColor="text1"/>
          <w:sz w:val="22"/>
          <w:lang w:eastAsia="es-ES_tradnl"/>
        </w:rPr>
        <w:t>3. Respuesta</w:t>
      </w:r>
    </w:p>
    <w:p w14:paraId="365306D3" w14:textId="77777777" w:rsidR="00A23D48" w:rsidRDefault="00A23D48" w:rsidP="00332BE4">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p>
    <w:p w14:paraId="719B147A" w14:textId="656D89F9" w:rsidR="00A23D48" w:rsidRPr="009F05AC" w:rsidRDefault="00A23D48" w:rsidP="00332BE4">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9F05AC">
        <w:rPr>
          <w:rFonts w:ascii="Arial" w:eastAsia="Calibri" w:hAnsi="Arial" w:cs="Arial"/>
          <w:color w:val="000000" w:themeColor="text1"/>
          <w:sz w:val="21"/>
          <w:szCs w:val="21"/>
          <w:lang w:val="es-ES"/>
        </w:rPr>
        <w:lastRenderedPageBreak/>
        <w:t>«</w:t>
      </w:r>
      <w:r>
        <w:rPr>
          <w:rFonts w:ascii="Arial" w:eastAsia="Calibri" w:hAnsi="Arial" w:cs="Arial"/>
          <w:color w:val="000000" w:themeColor="text1"/>
          <w:sz w:val="21"/>
          <w:szCs w:val="21"/>
          <w:lang w:val="es-ES"/>
        </w:rPr>
        <w:t xml:space="preserve">[…] </w:t>
      </w:r>
      <w:r w:rsidRPr="009F05AC">
        <w:rPr>
          <w:rFonts w:ascii="Arial" w:eastAsia="Calibri" w:hAnsi="Arial" w:cs="Arial"/>
          <w:color w:val="000000" w:themeColor="text1"/>
          <w:sz w:val="21"/>
          <w:szCs w:val="21"/>
          <w:lang w:val="es-ES"/>
        </w:rPr>
        <w:t xml:space="preserve">cuando se habla de la inhabilidad consignada en el artículo 5 de la Ley 1474 de 2011 ¿cuál sería el alcance de la expresión “misma entidad” dado que en una misma jurisdicción confluyen entidades como alcaldía, </w:t>
      </w:r>
      <w:proofErr w:type="gramStart"/>
      <w:r w:rsidRPr="009F05AC">
        <w:rPr>
          <w:rFonts w:ascii="Arial" w:eastAsia="Calibri" w:hAnsi="Arial" w:cs="Arial"/>
          <w:color w:val="000000" w:themeColor="text1"/>
          <w:sz w:val="21"/>
          <w:szCs w:val="21"/>
          <w:lang w:val="es-ES"/>
        </w:rPr>
        <w:t>la empresas</w:t>
      </w:r>
      <w:proofErr w:type="gramEnd"/>
      <w:r w:rsidRPr="009F05AC">
        <w:rPr>
          <w:rFonts w:ascii="Arial" w:eastAsia="Calibri" w:hAnsi="Arial" w:cs="Arial"/>
          <w:color w:val="000000" w:themeColor="text1"/>
          <w:sz w:val="21"/>
          <w:szCs w:val="21"/>
          <w:lang w:val="es-ES"/>
        </w:rPr>
        <w:t xml:space="preserve"> (sic) de servicios públicos y empresa social del estado </w:t>
      </w:r>
      <w:proofErr w:type="spellStart"/>
      <w:r w:rsidRPr="009F05AC">
        <w:rPr>
          <w:rFonts w:ascii="Arial" w:eastAsia="Calibri" w:hAnsi="Arial" w:cs="Arial"/>
          <w:color w:val="000000" w:themeColor="text1"/>
          <w:sz w:val="21"/>
          <w:szCs w:val="21"/>
          <w:lang w:val="es-ES"/>
        </w:rPr>
        <w:t>E.S.E</w:t>
      </w:r>
      <w:proofErr w:type="spellEnd"/>
      <w:r w:rsidRPr="009F05AC">
        <w:rPr>
          <w:rFonts w:ascii="Arial" w:eastAsia="Calibri" w:hAnsi="Arial" w:cs="Arial"/>
          <w:color w:val="000000" w:themeColor="text1"/>
          <w:sz w:val="21"/>
          <w:szCs w:val="21"/>
          <w:lang w:val="es-ES"/>
        </w:rPr>
        <w:t>., en tal sentido se hablaría de todas estas entidades de una misma jurisdicción como un todo es decir todas serían una misma entidad? ¿O por el contrario dichas entidades son totalmente distintas y no habría inconveniente al celebrar contratos de obra con una de esas entidades y uno de interventoría con otra de estas entidades de manera simultánea?».</w:t>
      </w:r>
    </w:p>
    <w:p w14:paraId="470C3951" w14:textId="77777777" w:rsidR="00FA1247" w:rsidRDefault="00FA1247" w:rsidP="00FA1247">
      <w:pPr>
        <w:pStyle w:val="NormalWeb"/>
        <w:shd w:val="clear" w:color="auto" w:fill="FFFFFF"/>
        <w:spacing w:before="0" w:beforeAutospacing="0" w:after="0" w:afterAutospacing="0"/>
        <w:jc w:val="both"/>
        <w:rPr>
          <w:rFonts w:ascii="Arial" w:eastAsia="Calibri" w:hAnsi="Arial" w:cs="Arial"/>
          <w:color w:val="000000" w:themeColor="text1"/>
          <w:sz w:val="22"/>
          <w:szCs w:val="22"/>
          <w:lang w:val="es-ES"/>
        </w:rPr>
      </w:pPr>
    </w:p>
    <w:p w14:paraId="210A841F" w14:textId="3B5F8550" w:rsidR="00FA1247" w:rsidRDefault="00FA1247" w:rsidP="00332BE4">
      <w:pPr>
        <w:pStyle w:val="NormalWeb"/>
        <w:shd w:val="clear" w:color="auto" w:fill="FFFFFF"/>
        <w:spacing w:before="0" w:beforeAutospacing="0" w:after="120" w:afterAutospacing="0" w:line="276" w:lineRule="auto"/>
        <w:jc w:val="both"/>
        <w:rPr>
          <w:rFonts w:ascii="Arial" w:eastAsia="Calibri" w:hAnsi="Arial" w:cs="Arial"/>
          <w:color w:val="000000" w:themeColor="text1"/>
          <w:sz w:val="21"/>
          <w:szCs w:val="21"/>
          <w:lang w:val="es-ES" w:eastAsia="en-US"/>
        </w:rPr>
      </w:pPr>
      <w:r w:rsidRPr="00FA1247">
        <w:rPr>
          <w:rFonts w:ascii="Arial" w:eastAsia="Calibri" w:hAnsi="Arial" w:cs="Arial"/>
          <w:color w:val="000000" w:themeColor="text1"/>
          <w:sz w:val="22"/>
          <w:lang w:val="es-ES"/>
        </w:rPr>
        <w:t xml:space="preserve">De conformidad con lo expuesto, las disposiciones del régimen de inhabilidades e incompatibilidades deben ser interpretadas conforme al principio </w:t>
      </w:r>
      <w:r w:rsidRPr="00332BE4">
        <w:rPr>
          <w:rFonts w:ascii="Arial" w:eastAsia="Calibri" w:hAnsi="Arial" w:cs="Arial"/>
          <w:i/>
          <w:iCs/>
          <w:color w:val="000000" w:themeColor="text1"/>
          <w:sz w:val="22"/>
          <w:lang w:val="es-ES"/>
        </w:rPr>
        <w:t xml:space="preserve">pro </w:t>
      </w:r>
      <w:proofErr w:type="spellStart"/>
      <w:r w:rsidRPr="00332BE4">
        <w:rPr>
          <w:rFonts w:ascii="Arial" w:eastAsia="Calibri" w:hAnsi="Arial" w:cs="Arial"/>
          <w:i/>
          <w:iCs/>
          <w:color w:val="000000" w:themeColor="text1"/>
          <w:sz w:val="22"/>
          <w:lang w:val="es-ES"/>
        </w:rPr>
        <w:t>libertate</w:t>
      </w:r>
      <w:proofErr w:type="spellEnd"/>
      <w:r w:rsidRPr="00FA1247">
        <w:rPr>
          <w:rFonts w:ascii="Arial" w:eastAsia="Calibri" w:hAnsi="Arial" w:cs="Arial"/>
          <w:i/>
          <w:iCs/>
          <w:color w:val="000000" w:themeColor="text1"/>
          <w:sz w:val="22"/>
          <w:lang w:val="es-ES"/>
        </w:rPr>
        <w:t xml:space="preserve">, </w:t>
      </w:r>
      <w:r w:rsidRPr="00FA1247">
        <w:rPr>
          <w:rFonts w:ascii="Arial" w:eastAsia="Calibri" w:hAnsi="Arial" w:cs="Arial"/>
          <w:color w:val="000000" w:themeColor="text1"/>
          <w:sz w:val="22"/>
          <w:lang w:val="es-ES"/>
        </w:rPr>
        <w:t xml:space="preserve">lo que significa que su contenido </w:t>
      </w:r>
      <w:r w:rsidR="007E447D">
        <w:rPr>
          <w:rFonts w:ascii="Arial" w:eastAsia="Calibri" w:hAnsi="Arial" w:cs="Arial"/>
          <w:color w:val="000000" w:themeColor="text1"/>
          <w:sz w:val="22"/>
          <w:lang w:val="es-ES"/>
        </w:rPr>
        <w:t xml:space="preserve">se interpreta de forma restrictiva. En </w:t>
      </w:r>
      <w:r w:rsidR="004F6805">
        <w:rPr>
          <w:rFonts w:ascii="Arial" w:eastAsia="Calibri" w:hAnsi="Arial" w:cs="Arial"/>
          <w:color w:val="000000" w:themeColor="text1"/>
          <w:sz w:val="22"/>
          <w:lang w:val="es-ES"/>
        </w:rPr>
        <w:t xml:space="preserve">este </w:t>
      </w:r>
      <w:r w:rsidR="007E447D">
        <w:rPr>
          <w:rFonts w:ascii="Arial" w:eastAsia="Calibri" w:hAnsi="Arial" w:cs="Arial"/>
          <w:color w:val="000000" w:themeColor="text1"/>
          <w:sz w:val="22"/>
          <w:lang w:val="es-ES"/>
        </w:rPr>
        <w:t xml:space="preserve">sentido, respecto de este tipo de disposiciones no proceden interpretaciones extensivas o finalistas. </w:t>
      </w:r>
    </w:p>
    <w:p w14:paraId="37CAF756" w14:textId="3BE9BF33" w:rsidR="00FA1247" w:rsidRPr="00332BE4" w:rsidRDefault="008E0E48" w:rsidP="00332BE4">
      <w:pPr>
        <w:pStyle w:val="NormalWeb"/>
        <w:shd w:val="clear" w:color="auto" w:fill="FFFFFF"/>
        <w:spacing w:before="0" w:beforeAutospacing="0" w:after="120" w:afterAutospacing="0" w:line="276" w:lineRule="auto"/>
        <w:ind w:firstLine="567"/>
        <w:jc w:val="both"/>
        <w:rPr>
          <w:rFonts w:ascii="Arial" w:eastAsia="Calibri" w:hAnsi="Arial" w:cs="Arial"/>
          <w:color w:val="000000" w:themeColor="text1"/>
          <w:sz w:val="22"/>
          <w:szCs w:val="22"/>
          <w:lang w:val="es-ES"/>
        </w:rPr>
      </w:pPr>
      <w:r w:rsidRPr="00332BE4">
        <w:rPr>
          <w:rFonts w:ascii="Arial" w:eastAsia="Calibri" w:hAnsi="Arial" w:cs="Arial"/>
          <w:color w:val="000000" w:themeColor="text1"/>
          <w:sz w:val="22"/>
          <w:szCs w:val="22"/>
          <w:lang w:val="es-ES"/>
        </w:rPr>
        <w:t xml:space="preserve">En ese sentido, la expresión </w:t>
      </w:r>
      <w:r w:rsidR="00C87E8A" w:rsidRPr="00AD68AA">
        <w:rPr>
          <w:rFonts w:ascii="Arial" w:eastAsia="Calibri" w:hAnsi="Arial" w:cs="Arial"/>
          <w:i/>
          <w:iCs/>
          <w:color w:val="000000" w:themeColor="text1"/>
          <w:sz w:val="22"/>
          <w:lang w:val="es-ES"/>
        </w:rPr>
        <w:t>«</w:t>
      </w:r>
      <w:r w:rsidR="00C87E8A" w:rsidRPr="00AD68AA">
        <w:rPr>
          <w:rFonts w:ascii="Arial" w:eastAsia="Calibri" w:hAnsi="Arial" w:cs="Arial"/>
          <w:i/>
          <w:iCs/>
          <w:color w:val="000000" w:themeColor="text1"/>
          <w:sz w:val="22"/>
          <w:lang w:val="es-ES_tradnl"/>
        </w:rPr>
        <w:t>misma entidad</w:t>
      </w:r>
      <w:r w:rsidR="00C87E8A">
        <w:rPr>
          <w:rFonts w:ascii="Arial" w:eastAsia="Calibri" w:hAnsi="Arial" w:cs="Arial"/>
          <w:i/>
          <w:iCs/>
          <w:color w:val="000000" w:themeColor="text1"/>
          <w:sz w:val="22"/>
          <w:lang w:val="es-ES_tradnl"/>
        </w:rPr>
        <w:t>»</w:t>
      </w:r>
      <w:r w:rsidR="00C87E8A">
        <w:rPr>
          <w:rFonts w:ascii="Arial" w:eastAsia="Calibri" w:hAnsi="Arial" w:cs="Arial"/>
          <w:color w:val="000000" w:themeColor="text1"/>
          <w:sz w:val="22"/>
          <w:szCs w:val="22"/>
          <w:lang w:val="es-ES"/>
        </w:rPr>
        <w:t xml:space="preserve">, </w:t>
      </w:r>
      <w:r w:rsidR="007D0816" w:rsidRPr="00332BE4">
        <w:rPr>
          <w:rFonts w:ascii="Arial" w:eastAsia="Calibri" w:hAnsi="Arial" w:cs="Arial"/>
          <w:color w:val="000000" w:themeColor="text1"/>
          <w:sz w:val="22"/>
          <w:szCs w:val="22"/>
          <w:lang w:val="es-ES"/>
        </w:rPr>
        <w:t>contenida en el artículo 5 de la Ley 1474 de 2011, debe ser entendida conforme a su significado más restringido</w:t>
      </w:r>
      <w:r w:rsidR="009F6A0F" w:rsidRPr="00332BE4">
        <w:rPr>
          <w:rFonts w:ascii="Arial" w:eastAsia="Calibri" w:hAnsi="Arial" w:cs="Arial"/>
          <w:color w:val="000000" w:themeColor="text1"/>
          <w:sz w:val="22"/>
          <w:szCs w:val="22"/>
          <w:lang w:val="es-ES"/>
        </w:rPr>
        <w:t>, el cual, según las consideraciones expuestas, se refiere a un mismo ámbito de autonomía administrativa y capacidad para celebrar contratos.</w:t>
      </w:r>
      <w:r w:rsidR="00D634F2">
        <w:rPr>
          <w:rFonts w:ascii="Arial" w:eastAsia="Calibri" w:hAnsi="Arial" w:cs="Arial"/>
          <w:color w:val="000000" w:themeColor="text1"/>
          <w:sz w:val="22"/>
          <w:szCs w:val="22"/>
          <w:lang w:val="es-ES"/>
        </w:rPr>
        <w:t xml:space="preserve"> </w:t>
      </w:r>
    </w:p>
    <w:p w14:paraId="2C115D79" w14:textId="0EB548AC" w:rsidR="00D675CA" w:rsidRPr="009F05AC" w:rsidRDefault="00D675CA" w:rsidP="00332BE4">
      <w:pPr>
        <w:spacing w:line="276" w:lineRule="auto"/>
        <w:ind w:firstLine="709"/>
        <w:jc w:val="both"/>
        <w:rPr>
          <w:rFonts w:ascii="Arial" w:eastAsia="Calibri" w:hAnsi="Arial" w:cs="Arial"/>
          <w:color w:val="000000" w:themeColor="text1"/>
          <w:sz w:val="22"/>
          <w:lang w:val="es-ES_tradnl"/>
        </w:rPr>
      </w:pPr>
      <w:r w:rsidRPr="009F05AC">
        <w:rPr>
          <w:rFonts w:ascii="Arial" w:eastAsia="Calibri" w:hAnsi="Arial" w:cs="Arial"/>
          <w:color w:val="000000" w:themeColor="text1"/>
          <w:sz w:val="22"/>
          <w:lang w:val="es-ES_tradnl"/>
        </w:rPr>
        <w:t xml:space="preserve">De acuerdo con lo anterior, la expresión </w:t>
      </w:r>
      <w:r w:rsidRPr="00332BE4">
        <w:rPr>
          <w:rFonts w:ascii="Arial" w:eastAsia="Calibri" w:hAnsi="Arial" w:cs="Arial"/>
          <w:i/>
          <w:iCs/>
          <w:color w:val="000000" w:themeColor="text1"/>
          <w:sz w:val="22"/>
          <w:lang w:val="es-ES"/>
        </w:rPr>
        <w:t>«</w:t>
      </w:r>
      <w:r w:rsidRPr="00332BE4">
        <w:rPr>
          <w:rFonts w:ascii="Arial" w:eastAsia="Calibri" w:hAnsi="Arial" w:cs="Arial"/>
          <w:i/>
          <w:iCs/>
          <w:color w:val="000000" w:themeColor="text1"/>
          <w:sz w:val="22"/>
          <w:lang w:val="es-ES_tradnl"/>
        </w:rPr>
        <w:t>misma entidad</w:t>
      </w:r>
      <w:r w:rsidRPr="009F05AC">
        <w:rPr>
          <w:rFonts w:ascii="Arial" w:eastAsia="Calibri" w:hAnsi="Arial" w:cs="Arial"/>
          <w:color w:val="000000" w:themeColor="text1"/>
          <w:sz w:val="22"/>
          <w:lang w:val="es-ES"/>
        </w:rPr>
        <w:t>»</w:t>
      </w:r>
      <w:r w:rsidRPr="009F05AC">
        <w:rPr>
          <w:rFonts w:ascii="Arial" w:eastAsia="Calibri" w:hAnsi="Arial" w:cs="Arial"/>
          <w:color w:val="000000" w:themeColor="text1"/>
          <w:sz w:val="22"/>
          <w:lang w:val="es-ES_tradnl"/>
        </w:rPr>
        <w:t xml:space="preserve"> no debe ser interpretada en términos de </w:t>
      </w:r>
      <w:proofErr w:type="gramStart"/>
      <w:r w:rsidRPr="009F05AC">
        <w:rPr>
          <w:rFonts w:ascii="Arial" w:eastAsia="Calibri" w:hAnsi="Arial" w:cs="Arial"/>
          <w:color w:val="000000" w:themeColor="text1"/>
          <w:sz w:val="22"/>
          <w:lang w:val="es-ES_tradnl"/>
        </w:rPr>
        <w:t>una mism</w:t>
      </w:r>
      <w:r w:rsidR="001C61FC">
        <w:rPr>
          <w:rFonts w:ascii="Arial" w:eastAsia="Calibri" w:hAnsi="Arial" w:cs="Arial"/>
          <w:color w:val="000000" w:themeColor="text1"/>
          <w:sz w:val="22"/>
          <w:lang w:val="es-ES_tradnl"/>
        </w:rPr>
        <w:t>o ámbito territorial</w:t>
      </w:r>
      <w:proofErr w:type="gramEnd"/>
      <w:r w:rsidR="001C61FC">
        <w:rPr>
          <w:rFonts w:ascii="Arial" w:eastAsia="Calibri" w:hAnsi="Arial" w:cs="Arial"/>
          <w:color w:val="000000" w:themeColor="text1"/>
          <w:sz w:val="22"/>
          <w:lang w:val="es-ES_tradnl"/>
        </w:rPr>
        <w:t xml:space="preserve"> de competencia</w:t>
      </w:r>
      <w:r w:rsidRPr="009F05AC">
        <w:rPr>
          <w:rFonts w:ascii="Arial" w:eastAsia="Calibri" w:hAnsi="Arial" w:cs="Arial"/>
          <w:color w:val="000000" w:themeColor="text1"/>
          <w:sz w:val="22"/>
          <w:lang w:val="es-ES_tradnl"/>
        </w:rPr>
        <w:t>, pues</w:t>
      </w:r>
      <w:r w:rsidR="00191D12" w:rsidRPr="009F05AC">
        <w:rPr>
          <w:rFonts w:ascii="Arial" w:eastAsia="Calibri" w:hAnsi="Arial" w:cs="Arial"/>
          <w:color w:val="000000" w:themeColor="text1"/>
          <w:sz w:val="22"/>
          <w:lang w:val="es-ES_tradnl"/>
        </w:rPr>
        <w:t xml:space="preserve">, para los efectos </w:t>
      </w:r>
      <w:r w:rsidR="007D3F1D" w:rsidRPr="009F05AC">
        <w:rPr>
          <w:rFonts w:ascii="Arial" w:eastAsia="Calibri" w:hAnsi="Arial" w:cs="Arial"/>
          <w:color w:val="000000" w:themeColor="text1"/>
          <w:sz w:val="22"/>
          <w:lang w:val="es-ES_tradnl"/>
        </w:rPr>
        <w:t>de</w:t>
      </w:r>
      <w:r w:rsidR="007D3F1D">
        <w:rPr>
          <w:rFonts w:ascii="Arial" w:eastAsia="Calibri" w:hAnsi="Arial" w:cs="Arial"/>
          <w:color w:val="000000" w:themeColor="text1"/>
          <w:sz w:val="22"/>
          <w:lang w:val="es-ES_tradnl"/>
        </w:rPr>
        <w:t xml:space="preserve">l </w:t>
      </w:r>
      <w:r w:rsidR="007D3F1D" w:rsidRPr="009F05AC">
        <w:rPr>
          <w:rFonts w:ascii="Arial" w:eastAsia="Calibri" w:hAnsi="Arial" w:cs="Arial"/>
          <w:color w:val="000000" w:themeColor="text1"/>
          <w:sz w:val="22"/>
          <w:lang w:val="es-ES_tradnl"/>
        </w:rPr>
        <w:t>artículo</w:t>
      </w:r>
      <w:r w:rsidR="00F41A20">
        <w:rPr>
          <w:rFonts w:ascii="Arial" w:eastAsia="Calibri" w:hAnsi="Arial" w:cs="Arial"/>
          <w:color w:val="000000" w:themeColor="text1"/>
          <w:sz w:val="22"/>
          <w:lang w:val="es-ES_tradnl"/>
        </w:rPr>
        <w:t xml:space="preserve"> 5 de la Ley 1474 de 2011</w:t>
      </w:r>
      <w:r w:rsidR="00191D12" w:rsidRPr="009F05AC">
        <w:rPr>
          <w:rFonts w:ascii="Arial" w:eastAsia="Calibri" w:hAnsi="Arial" w:cs="Arial"/>
          <w:color w:val="000000" w:themeColor="text1"/>
          <w:sz w:val="22"/>
          <w:lang w:val="es-ES_tradnl"/>
        </w:rPr>
        <w:t xml:space="preserve">, </w:t>
      </w:r>
      <w:r w:rsidR="00C82856">
        <w:rPr>
          <w:rFonts w:ascii="Arial" w:eastAsia="Calibri" w:hAnsi="Arial" w:cs="Arial"/>
          <w:color w:val="000000" w:themeColor="text1"/>
          <w:sz w:val="22"/>
          <w:lang w:val="es-ES_tradnl"/>
        </w:rPr>
        <w:t>el hecho de que dos o más entidades tenga</w:t>
      </w:r>
      <w:r w:rsidR="004F6805">
        <w:rPr>
          <w:rFonts w:ascii="Arial" w:eastAsia="Calibri" w:hAnsi="Arial" w:cs="Arial"/>
          <w:color w:val="000000" w:themeColor="text1"/>
          <w:sz w:val="22"/>
          <w:lang w:val="es-ES_tradnl"/>
        </w:rPr>
        <w:t>n</w:t>
      </w:r>
      <w:r w:rsidR="00C82856">
        <w:rPr>
          <w:rFonts w:ascii="Arial" w:eastAsia="Calibri" w:hAnsi="Arial" w:cs="Arial"/>
          <w:color w:val="000000" w:themeColor="text1"/>
          <w:sz w:val="22"/>
          <w:lang w:val="es-ES_tradnl"/>
        </w:rPr>
        <w:t xml:space="preserve"> competencias con igual limitación espacial</w:t>
      </w:r>
      <w:r w:rsidR="002202F8">
        <w:rPr>
          <w:rFonts w:ascii="Arial" w:eastAsia="Calibri" w:hAnsi="Arial" w:cs="Arial"/>
          <w:color w:val="000000" w:themeColor="text1"/>
          <w:sz w:val="22"/>
          <w:lang w:val="es-ES_tradnl"/>
        </w:rPr>
        <w:t xml:space="preserve"> no significan que constituyan una </w:t>
      </w:r>
      <w:r w:rsidR="00F75A53">
        <w:rPr>
          <w:rFonts w:ascii="Arial" w:eastAsia="Calibri" w:hAnsi="Arial" w:cs="Arial"/>
          <w:color w:val="000000" w:themeColor="text1"/>
          <w:sz w:val="22"/>
          <w:lang w:val="es-ES_tradnl"/>
        </w:rPr>
        <w:t>«</w:t>
      </w:r>
      <w:r w:rsidR="002202F8" w:rsidRPr="00332BE4">
        <w:rPr>
          <w:rFonts w:ascii="Arial" w:eastAsia="Calibri" w:hAnsi="Arial" w:cs="Arial"/>
          <w:i/>
          <w:iCs/>
          <w:color w:val="000000" w:themeColor="text1"/>
          <w:sz w:val="22"/>
          <w:lang w:val="es-ES_tradnl"/>
        </w:rPr>
        <w:t>misma entidad</w:t>
      </w:r>
      <w:r w:rsidR="0054431A">
        <w:rPr>
          <w:rFonts w:ascii="Arial" w:eastAsia="Calibri" w:hAnsi="Arial" w:cs="Arial"/>
          <w:i/>
          <w:iCs/>
          <w:color w:val="000000" w:themeColor="text1"/>
          <w:sz w:val="22"/>
          <w:lang w:val="es-ES_tradnl"/>
        </w:rPr>
        <w:t>»</w:t>
      </w:r>
      <w:r w:rsidR="00CF6DDD">
        <w:rPr>
          <w:rFonts w:ascii="Arial" w:eastAsia="Calibri" w:hAnsi="Arial" w:cs="Arial"/>
          <w:color w:val="000000" w:themeColor="text1"/>
          <w:sz w:val="22"/>
          <w:lang w:val="es-ES_tradnl"/>
        </w:rPr>
        <w:t>,</w:t>
      </w:r>
      <w:r w:rsidR="00FE3F02">
        <w:rPr>
          <w:rFonts w:ascii="Arial" w:eastAsia="Calibri" w:hAnsi="Arial" w:cs="Arial"/>
          <w:color w:val="000000" w:themeColor="text1"/>
          <w:sz w:val="22"/>
          <w:lang w:val="es-ES_tradnl"/>
        </w:rPr>
        <w:t xml:space="preserve"> al</w:t>
      </w:r>
      <w:r w:rsidR="00F41A20">
        <w:rPr>
          <w:rFonts w:ascii="Arial" w:eastAsia="Calibri" w:hAnsi="Arial" w:cs="Arial"/>
          <w:color w:val="000000" w:themeColor="text1"/>
          <w:sz w:val="22"/>
          <w:lang w:val="es-ES_tradnl"/>
        </w:rPr>
        <w:t xml:space="preserve"> tener cada una</w:t>
      </w:r>
      <w:r w:rsidR="00FE3F02">
        <w:rPr>
          <w:rFonts w:ascii="Arial" w:eastAsia="Calibri" w:hAnsi="Arial" w:cs="Arial"/>
          <w:color w:val="000000" w:themeColor="text1"/>
          <w:sz w:val="22"/>
          <w:lang w:val="es-ES_tradnl"/>
        </w:rPr>
        <w:t xml:space="preserve"> autonomía </w:t>
      </w:r>
      <w:r w:rsidR="00F41A20">
        <w:rPr>
          <w:rFonts w:ascii="Arial" w:eastAsia="Calibri" w:hAnsi="Arial" w:cs="Arial"/>
          <w:color w:val="000000" w:themeColor="text1"/>
          <w:sz w:val="22"/>
          <w:lang w:val="es-ES_tradnl"/>
        </w:rPr>
        <w:t>administrativa</w:t>
      </w:r>
      <w:r w:rsidR="00CF6DDD">
        <w:rPr>
          <w:rFonts w:ascii="Arial" w:eastAsia="Calibri" w:hAnsi="Arial" w:cs="Arial"/>
          <w:color w:val="000000" w:themeColor="text1"/>
          <w:sz w:val="22"/>
          <w:lang w:val="es-ES_tradnl"/>
        </w:rPr>
        <w:t xml:space="preserve"> independiente.</w:t>
      </w:r>
      <w:r w:rsidR="00F41A20">
        <w:rPr>
          <w:rFonts w:ascii="Arial" w:eastAsia="Calibri" w:hAnsi="Arial" w:cs="Arial"/>
          <w:color w:val="000000" w:themeColor="text1"/>
          <w:sz w:val="22"/>
          <w:lang w:val="es-ES_tradnl"/>
        </w:rPr>
        <w:t xml:space="preserve"> </w:t>
      </w:r>
      <w:r w:rsidR="002E1BCA">
        <w:rPr>
          <w:rFonts w:ascii="Arial" w:eastAsia="Calibri" w:hAnsi="Arial" w:cs="Arial"/>
          <w:color w:val="000000" w:themeColor="text1"/>
          <w:sz w:val="22"/>
          <w:lang w:val="es-ES_tradnl"/>
        </w:rPr>
        <w:t>En ese sentido, para determinar si dos</w:t>
      </w:r>
      <w:r w:rsidR="00D754FD">
        <w:rPr>
          <w:rFonts w:ascii="Arial" w:eastAsia="Calibri" w:hAnsi="Arial" w:cs="Arial"/>
          <w:color w:val="000000" w:themeColor="text1"/>
          <w:sz w:val="22"/>
          <w:lang w:val="es-ES_tradnl"/>
        </w:rPr>
        <w:t xml:space="preserve"> entes hacen parte de una </w:t>
      </w:r>
      <w:r w:rsidR="00170431">
        <w:rPr>
          <w:rFonts w:ascii="Arial" w:eastAsia="Calibri" w:hAnsi="Arial" w:cs="Arial"/>
          <w:color w:val="000000" w:themeColor="text1"/>
          <w:sz w:val="22"/>
          <w:lang w:val="es-ES_tradnl"/>
        </w:rPr>
        <w:t>«</w:t>
      </w:r>
      <w:r w:rsidR="00D754FD" w:rsidRPr="00332BE4">
        <w:rPr>
          <w:rFonts w:ascii="Arial" w:eastAsia="Calibri" w:hAnsi="Arial" w:cs="Arial"/>
          <w:i/>
          <w:iCs/>
          <w:color w:val="000000" w:themeColor="text1"/>
          <w:sz w:val="22"/>
          <w:lang w:val="es-ES_tradnl"/>
        </w:rPr>
        <w:t>misma entidad</w:t>
      </w:r>
      <w:r w:rsidR="00170431">
        <w:rPr>
          <w:rFonts w:ascii="Arial" w:eastAsia="Calibri" w:hAnsi="Arial" w:cs="Arial"/>
          <w:i/>
          <w:iCs/>
          <w:color w:val="000000" w:themeColor="text1"/>
          <w:sz w:val="22"/>
          <w:lang w:val="es-ES_tradnl"/>
        </w:rPr>
        <w:t>»</w:t>
      </w:r>
      <w:r w:rsidR="00D754FD">
        <w:rPr>
          <w:rFonts w:ascii="Arial" w:eastAsia="Calibri" w:hAnsi="Arial" w:cs="Arial"/>
          <w:i/>
          <w:iCs/>
          <w:color w:val="000000" w:themeColor="text1"/>
          <w:sz w:val="22"/>
          <w:lang w:val="es-ES_tradnl"/>
        </w:rPr>
        <w:t xml:space="preserve"> </w:t>
      </w:r>
      <w:r w:rsidR="00D754FD">
        <w:rPr>
          <w:rFonts w:ascii="Arial" w:eastAsia="Calibri" w:hAnsi="Arial" w:cs="Arial"/>
          <w:color w:val="000000" w:themeColor="text1"/>
          <w:sz w:val="22"/>
          <w:lang w:val="es-ES_tradnl"/>
        </w:rPr>
        <w:t>se debe determinar si estos</w:t>
      </w:r>
      <w:r w:rsidR="00DA5920">
        <w:rPr>
          <w:rFonts w:ascii="Arial" w:eastAsia="Calibri" w:hAnsi="Arial" w:cs="Arial"/>
          <w:color w:val="000000" w:themeColor="text1"/>
          <w:sz w:val="22"/>
          <w:lang w:val="es-ES_tradnl"/>
        </w:rPr>
        <w:t xml:space="preserve">, independientemente de su ámbito territorial de </w:t>
      </w:r>
      <w:r w:rsidR="00B61C0D">
        <w:rPr>
          <w:rFonts w:ascii="Arial" w:eastAsia="Calibri" w:hAnsi="Arial" w:cs="Arial"/>
          <w:color w:val="000000" w:themeColor="text1"/>
          <w:sz w:val="22"/>
          <w:lang w:val="es-ES_tradnl"/>
        </w:rPr>
        <w:t>competencia, tienen autonomía administrativa y capacidad jurídica independiente</w:t>
      </w:r>
      <w:r w:rsidR="006205BD">
        <w:rPr>
          <w:rFonts w:ascii="Arial" w:eastAsia="Calibri" w:hAnsi="Arial" w:cs="Arial"/>
          <w:color w:val="000000" w:themeColor="text1"/>
          <w:sz w:val="22"/>
          <w:lang w:val="es-ES_tradnl"/>
        </w:rPr>
        <w:t xml:space="preserve"> </w:t>
      </w:r>
      <w:r w:rsidR="004F6805">
        <w:rPr>
          <w:rFonts w:ascii="Arial" w:eastAsia="Calibri" w:hAnsi="Arial" w:cs="Arial"/>
          <w:color w:val="000000" w:themeColor="text1"/>
          <w:sz w:val="22"/>
          <w:lang w:val="es-ES_tradnl"/>
        </w:rPr>
        <w:t xml:space="preserve">para la </w:t>
      </w:r>
      <w:r w:rsidR="006205BD">
        <w:rPr>
          <w:rFonts w:ascii="Arial" w:eastAsia="Calibri" w:hAnsi="Arial" w:cs="Arial"/>
          <w:color w:val="000000" w:themeColor="text1"/>
          <w:sz w:val="22"/>
          <w:lang w:val="es-ES_tradnl"/>
        </w:rPr>
        <w:t>celebra</w:t>
      </w:r>
      <w:r w:rsidR="004F6805">
        <w:rPr>
          <w:rFonts w:ascii="Arial" w:eastAsia="Calibri" w:hAnsi="Arial" w:cs="Arial"/>
          <w:color w:val="000000" w:themeColor="text1"/>
          <w:sz w:val="22"/>
          <w:lang w:val="es-ES_tradnl"/>
        </w:rPr>
        <w:t>ción de</w:t>
      </w:r>
      <w:r w:rsidR="006205BD">
        <w:rPr>
          <w:rFonts w:ascii="Arial" w:eastAsia="Calibri" w:hAnsi="Arial" w:cs="Arial"/>
          <w:color w:val="000000" w:themeColor="text1"/>
          <w:sz w:val="22"/>
          <w:lang w:val="es-ES_tradnl"/>
        </w:rPr>
        <w:t xml:space="preserve"> contratos</w:t>
      </w:r>
      <w:r w:rsidR="004F6805">
        <w:rPr>
          <w:rFonts w:ascii="Arial" w:eastAsia="Calibri" w:hAnsi="Arial" w:cs="Arial"/>
          <w:color w:val="000000" w:themeColor="text1"/>
          <w:sz w:val="22"/>
          <w:lang w:val="es-ES_tradnl"/>
        </w:rPr>
        <w:t xml:space="preserve"> estatales</w:t>
      </w:r>
      <w:r w:rsidR="004D0D2E">
        <w:rPr>
          <w:rFonts w:ascii="Arial" w:eastAsia="Calibri" w:hAnsi="Arial" w:cs="Arial"/>
          <w:color w:val="000000" w:themeColor="text1"/>
          <w:sz w:val="22"/>
          <w:lang w:val="es-ES_tradnl"/>
        </w:rPr>
        <w:t>, pues si gozan de tal autonomía e independencia en materia contractual habría que concluir que se trata de entidades diferentes, sin que pueda aplicar la inhabilidad contenida en el artículo 5 de la Ley 1474 de 2011</w:t>
      </w:r>
      <w:r w:rsidR="006205BD">
        <w:rPr>
          <w:rFonts w:ascii="Arial" w:eastAsia="Calibri" w:hAnsi="Arial" w:cs="Arial"/>
          <w:color w:val="000000" w:themeColor="text1"/>
          <w:sz w:val="22"/>
          <w:lang w:val="es-ES_tradnl"/>
        </w:rPr>
        <w:t>.</w:t>
      </w:r>
    </w:p>
    <w:p w14:paraId="44512CFD" w14:textId="77777777" w:rsidR="00A23D48" w:rsidRDefault="00A23D48" w:rsidP="00332BE4">
      <w:pPr>
        <w:pStyle w:val="Sinespaciado"/>
        <w:spacing w:line="276" w:lineRule="auto"/>
        <w:jc w:val="both"/>
        <w:rPr>
          <w:rFonts w:ascii="Arial" w:eastAsia="Times New Roman" w:hAnsi="Arial" w:cs="Arial"/>
          <w:color w:val="000000" w:themeColor="text1"/>
          <w:sz w:val="22"/>
          <w:lang w:val="es-ES" w:eastAsia="es-ES_tradnl"/>
        </w:rPr>
      </w:pPr>
    </w:p>
    <w:p w14:paraId="09C6999B" w14:textId="6A61D6FB" w:rsidR="00863245" w:rsidRDefault="004A303C" w:rsidP="00332BE4">
      <w:pPr>
        <w:pStyle w:val="Sinespaciado"/>
        <w:spacing w:line="276" w:lineRule="auto"/>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46813B64" w14:textId="77777777" w:rsidR="006205BD" w:rsidRPr="009F05AC" w:rsidRDefault="006205BD" w:rsidP="00332BE4">
      <w:pPr>
        <w:pStyle w:val="Sinespaciado"/>
        <w:spacing w:before="120" w:after="120" w:line="276" w:lineRule="auto"/>
        <w:jc w:val="both"/>
        <w:rPr>
          <w:lang w:val="es-ES_tradnl"/>
        </w:rPr>
      </w:pPr>
    </w:p>
    <w:p w14:paraId="55EF1794" w14:textId="77777777" w:rsidR="004A303C" w:rsidRPr="009F05AC"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9F05AC">
        <w:rPr>
          <w:rFonts w:ascii="Arial" w:eastAsia="Times New Roman" w:hAnsi="Arial" w:cs="Arial"/>
          <w:color w:val="000000" w:themeColor="text1"/>
          <w:sz w:val="22"/>
          <w:lang w:val="es-ES" w:eastAsia="es-ES_tradnl"/>
        </w:rPr>
        <w:t>Atentamente,</w:t>
      </w:r>
    </w:p>
    <w:bookmarkEnd w:id="0"/>
    <w:bookmarkEnd w:id="1"/>
    <w:p w14:paraId="504FE10F" w14:textId="77777777" w:rsidR="00CA3507" w:rsidRPr="009F05AC" w:rsidRDefault="00CA3507" w:rsidP="00365097">
      <w:pPr>
        <w:spacing w:before="120" w:line="276" w:lineRule="auto"/>
        <w:jc w:val="center"/>
        <w:rPr>
          <w:rFonts w:ascii="Arial" w:eastAsia="Times New Roman" w:hAnsi="Arial" w:cs="Arial"/>
          <w:color w:val="000000" w:themeColor="text1"/>
          <w:sz w:val="18"/>
          <w:szCs w:val="20"/>
          <w:lang w:val="es-ES" w:eastAsia="es-CO"/>
        </w:rPr>
      </w:pPr>
    </w:p>
    <w:p w14:paraId="4EC0D092" w14:textId="3D5599DF" w:rsidR="00AE2F9D" w:rsidRPr="009F05AC" w:rsidRDefault="00A36D24" w:rsidP="00365097">
      <w:pPr>
        <w:spacing w:before="120" w:line="276" w:lineRule="auto"/>
        <w:jc w:val="center"/>
        <w:rPr>
          <w:rFonts w:ascii="Arial" w:eastAsia="Times New Roman" w:hAnsi="Arial" w:cs="Arial"/>
          <w:color w:val="000000" w:themeColor="text1"/>
          <w:sz w:val="18"/>
          <w:szCs w:val="20"/>
          <w:lang w:val="es-ES" w:eastAsia="es-CO"/>
        </w:rPr>
      </w:pPr>
      <w:r>
        <w:rPr>
          <w:rFonts w:ascii="Arial" w:eastAsia="Times New Roman" w:hAnsi="Arial" w:cs="Arial"/>
          <w:noProof/>
          <w:color w:val="000000" w:themeColor="text1"/>
          <w:sz w:val="18"/>
          <w:szCs w:val="20"/>
          <w:lang w:val="es-ES" w:eastAsia="es-CO"/>
        </w:rPr>
        <w:lastRenderedPageBreak/>
        <w:drawing>
          <wp:inline distT="0" distB="0" distL="0" distR="0" wp14:anchorId="17FCC4F3" wp14:editId="4729B0CC">
            <wp:extent cx="2942857" cy="1304762"/>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942857" cy="1304762"/>
                    </a:xfrm>
                    <a:prstGeom prst="rect">
                      <a:avLst/>
                    </a:prstGeom>
                  </pic:spPr>
                </pic:pic>
              </a:graphicData>
            </a:graphic>
          </wp:inline>
        </w:drawing>
      </w:r>
    </w:p>
    <w:p w14:paraId="0D6748A8" w14:textId="77777777" w:rsidR="006F7835" w:rsidRPr="009F05AC"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9F05AC" w14:paraId="3845EF28" w14:textId="77777777" w:rsidTr="00C4215E">
        <w:trPr>
          <w:trHeight w:val="315"/>
        </w:trPr>
        <w:tc>
          <w:tcPr>
            <w:tcW w:w="812" w:type="dxa"/>
            <w:vAlign w:val="center"/>
            <w:hideMark/>
          </w:tcPr>
          <w:p w14:paraId="46573DA4" w14:textId="77777777" w:rsidR="004A303C" w:rsidRPr="009F05AC" w:rsidRDefault="004A303C"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9F05AC" w:rsidRDefault="004A303C"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Guillermo Escolar Flórez</w:t>
            </w:r>
          </w:p>
          <w:p w14:paraId="2D2324C2" w14:textId="6439F39A" w:rsidR="00186E11" w:rsidRPr="009F05AC" w:rsidRDefault="00186E11"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Contratista de la Subdirección de Gestión Contractual</w:t>
            </w:r>
          </w:p>
        </w:tc>
      </w:tr>
      <w:tr w:rsidR="000079A6" w:rsidRPr="009F05AC" w14:paraId="185A8054" w14:textId="77777777" w:rsidTr="00C4215E">
        <w:trPr>
          <w:trHeight w:val="330"/>
        </w:trPr>
        <w:tc>
          <w:tcPr>
            <w:tcW w:w="812" w:type="dxa"/>
            <w:vAlign w:val="center"/>
            <w:hideMark/>
          </w:tcPr>
          <w:p w14:paraId="6DF4B2B6" w14:textId="77777777" w:rsidR="004A303C" w:rsidRPr="009F05AC" w:rsidRDefault="004A303C"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00C515F5" w:rsidR="004A303C" w:rsidRPr="009F05AC" w:rsidRDefault="00062B22"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Alejandro Sarmiento</w:t>
            </w:r>
            <w:r w:rsidR="003355C9" w:rsidRPr="009F05AC">
              <w:rPr>
                <w:rFonts w:ascii="Arial" w:eastAsia="Times New Roman" w:hAnsi="Arial" w:cs="Arial"/>
                <w:color w:val="000000" w:themeColor="text1"/>
                <w:sz w:val="16"/>
                <w:szCs w:val="16"/>
                <w:lang w:val="es-ES" w:eastAsia="es-ES"/>
              </w:rPr>
              <w:t xml:space="preserve"> Cantillo</w:t>
            </w:r>
          </w:p>
          <w:p w14:paraId="3B49C6C0" w14:textId="436DC6BE" w:rsidR="00186E11" w:rsidRPr="009F05AC" w:rsidRDefault="00A23D48" w:rsidP="00C4215E">
            <w:pPr>
              <w:rPr>
                <w:rFonts w:ascii="Arial" w:eastAsia="Times New Roman" w:hAnsi="Arial" w:cs="Arial"/>
                <w:color w:val="000000" w:themeColor="text1"/>
                <w:sz w:val="16"/>
                <w:szCs w:val="16"/>
                <w:lang w:val="es-ES" w:eastAsia="es-ES"/>
              </w:rPr>
            </w:pPr>
            <w:r>
              <w:rPr>
                <w:rFonts w:ascii="Arial" w:eastAsia="Times New Roman" w:hAnsi="Arial" w:cs="Arial"/>
                <w:sz w:val="16"/>
                <w:szCs w:val="16"/>
                <w:lang w:eastAsia="es-ES"/>
              </w:rPr>
              <w:t>Gestor T1-11</w:t>
            </w:r>
            <w:r w:rsidRPr="009F05AC">
              <w:rPr>
                <w:rFonts w:ascii="Arial" w:eastAsia="Times New Roman" w:hAnsi="Arial" w:cs="Arial"/>
                <w:sz w:val="16"/>
                <w:szCs w:val="16"/>
                <w:lang w:eastAsia="es-ES"/>
              </w:rPr>
              <w:t xml:space="preserve"> </w:t>
            </w:r>
            <w:r w:rsidR="003355C9" w:rsidRPr="009F05AC">
              <w:rPr>
                <w:rFonts w:ascii="Arial" w:eastAsia="Times New Roman" w:hAnsi="Arial" w:cs="Arial"/>
                <w:sz w:val="16"/>
                <w:szCs w:val="16"/>
                <w:lang w:eastAsia="es-ES"/>
              </w:rPr>
              <w:t>de la 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9F05AC" w:rsidRDefault="004A303C"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9F05AC" w:rsidRDefault="00A443F2"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Jorge Augusto Tirado Navarro</w:t>
            </w:r>
          </w:p>
          <w:p w14:paraId="0E4183AA" w14:textId="4BA88713" w:rsidR="004A303C" w:rsidRPr="003038BC" w:rsidRDefault="004A303C" w:rsidP="00C4215E">
            <w:pPr>
              <w:rPr>
                <w:rFonts w:ascii="Arial" w:eastAsia="Times New Roman" w:hAnsi="Arial" w:cs="Arial"/>
                <w:color w:val="000000" w:themeColor="text1"/>
                <w:sz w:val="16"/>
                <w:szCs w:val="16"/>
                <w:lang w:val="es-ES" w:eastAsia="es-ES"/>
              </w:rPr>
            </w:pPr>
            <w:r w:rsidRPr="009F05AC">
              <w:rPr>
                <w:rFonts w:ascii="Arial" w:eastAsia="Times New Roman" w:hAnsi="Arial" w:cs="Arial"/>
                <w:color w:val="000000" w:themeColor="text1"/>
                <w:sz w:val="16"/>
                <w:szCs w:val="16"/>
                <w:lang w:val="es-ES" w:eastAsia="es-ES"/>
              </w:rPr>
              <w:t>Subdirector de Gestión Contractual</w:t>
            </w:r>
            <w:r w:rsidR="00843AB7" w:rsidRPr="009F05AC">
              <w:rPr>
                <w:rFonts w:ascii="Arial" w:eastAsia="Times New Roman" w:hAnsi="Arial" w:cs="Arial"/>
                <w:color w:val="000000" w:themeColor="text1"/>
                <w:sz w:val="16"/>
                <w:szCs w:val="16"/>
                <w:lang w:val="es-ES" w:eastAsia="es-ES"/>
              </w:rPr>
              <w:t xml:space="preserve"> </w:t>
            </w:r>
            <w:r w:rsidR="00843AB7" w:rsidRPr="009F05AC">
              <w:rPr>
                <w:rFonts w:ascii="Arial" w:eastAsia="Times New Roman" w:hAnsi="Arial" w:cs="Arial"/>
                <w:color w:val="000000" w:themeColor="text1"/>
                <w:sz w:val="16"/>
                <w:szCs w:val="16"/>
                <w:lang w:eastAsia="es-ES"/>
              </w:rPr>
              <w:t>ANCP – CCE</w:t>
            </w:r>
          </w:p>
        </w:tc>
      </w:tr>
    </w:tbl>
    <w:p w14:paraId="1B0D48EA" w14:textId="77777777" w:rsidR="00BD6605" w:rsidRPr="003038BC" w:rsidRDefault="00BD6605">
      <w:pPr>
        <w:rPr>
          <w:rFonts w:ascii="Arial" w:hAnsi="Arial" w:cs="Arial"/>
          <w:color w:val="000000" w:themeColor="text1"/>
          <w:lang w:val="es-ES"/>
        </w:rPr>
      </w:pPr>
    </w:p>
    <w:sectPr w:rsidR="00BD6605" w:rsidRPr="003038BC" w:rsidSect="00C4215E">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0C11" w14:textId="77777777" w:rsidR="00120405" w:rsidRDefault="00120405" w:rsidP="004A303C">
      <w:r>
        <w:separator/>
      </w:r>
    </w:p>
  </w:endnote>
  <w:endnote w:type="continuationSeparator" w:id="0">
    <w:p w14:paraId="1C94E33F" w14:textId="77777777" w:rsidR="00120405" w:rsidRDefault="00120405"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Arial"/>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D675CA" w:rsidRDefault="00D675CA" w:rsidP="00C4215E">
    <w:pPr>
      <w:pStyle w:val="Sinespaciado"/>
      <w:jc w:val="right"/>
      <w:rPr>
        <w:rFonts w:ascii="Arial" w:hAnsi="Arial" w:cs="Arial"/>
        <w:sz w:val="18"/>
        <w:szCs w:val="18"/>
      </w:rPr>
    </w:pPr>
  </w:p>
  <w:p w14:paraId="2A927604" w14:textId="77777777" w:rsidR="00D675CA" w:rsidRDefault="00D675CA" w:rsidP="00C4215E">
    <w:pPr>
      <w:pStyle w:val="Sinespaciado"/>
      <w:jc w:val="right"/>
      <w:rPr>
        <w:rFonts w:ascii="Arial" w:hAnsi="Arial" w:cs="Arial"/>
        <w:sz w:val="18"/>
        <w:szCs w:val="18"/>
      </w:rPr>
    </w:pPr>
  </w:p>
  <w:p w14:paraId="4FC63438" w14:textId="77777777" w:rsidR="00D675CA" w:rsidRPr="008217B7" w:rsidRDefault="00D675CA"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D675CA" w:rsidRDefault="00D675CA"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D675CA" w:rsidRPr="00E756AC" w:rsidRDefault="00D675CA" w:rsidP="00C4215E">
    <w:pPr>
      <w:pStyle w:val="Piedepgina"/>
      <w:jc w:val="center"/>
      <w:rPr>
        <w:sz w:val="18"/>
        <w:szCs w:val="18"/>
        <w:lang w:val="es-ES"/>
      </w:rPr>
    </w:pPr>
  </w:p>
  <w:p w14:paraId="59B6DB65" w14:textId="77777777" w:rsidR="00D675CA" w:rsidRPr="00E756AC" w:rsidRDefault="00D675CA"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6BF78" w14:textId="77777777" w:rsidR="00120405" w:rsidRDefault="00120405" w:rsidP="004A303C">
      <w:r>
        <w:separator/>
      </w:r>
    </w:p>
  </w:footnote>
  <w:footnote w:type="continuationSeparator" w:id="0">
    <w:p w14:paraId="07F90447" w14:textId="77777777" w:rsidR="00120405" w:rsidRDefault="00120405" w:rsidP="004A303C">
      <w:r>
        <w:continuationSeparator/>
      </w:r>
    </w:p>
  </w:footnote>
  <w:footnote w:id="1">
    <w:p w14:paraId="2812970D" w14:textId="5F215C24" w:rsidR="00B14866" w:rsidRPr="00332BE4" w:rsidRDefault="00B14866" w:rsidP="00332BE4">
      <w:pPr>
        <w:pStyle w:val="Textonotapie"/>
        <w:ind w:firstLine="567"/>
        <w:jc w:val="both"/>
        <w:rPr>
          <w:rFonts w:ascii="Arial" w:hAnsi="Arial" w:cs="Arial"/>
          <w:sz w:val="19"/>
          <w:szCs w:val="19"/>
        </w:rPr>
      </w:pPr>
      <w:r w:rsidRPr="00332BE4">
        <w:rPr>
          <w:rStyle w:val="Refdenotaalpie"/>
          <w:rFonts w:ascii="Arial" w:hAnsi="Arial" w:cs="Arial"/>
          <w:sz w:val="19"/>
          <w:szCs w:val="19"/>
        </w:rPr>
        <w:footnoteRef/>
      </w:r>
      <w:r w:rsidRPr="00332BE4">
        <w:rPr>
          <w:rFonts w:ascii="Arial" w:hAnsi="Arial" w:cs="Arial"/>
          <w:sz w:val="19"/>
          <w:szCs w:val="19"/>
        </w:rPr>
        <w:t xml:space="preserve"> Constitución Política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200A5512" w14:textId="77777777" w:rsidR="00B14866" w:rsidRPr="00332BE4" w:rsidRDefault="00B14866" w:rsidP="00332BE4">
      <w:pPr>
        <w:pStyle w:val="Textonotapie"/>
        <w:ind w:firstLine="567"/>
        <w:jc w:val="both"/>
        <w:rPr>
          <w:rFonts w:ascii="Arial" w:hAnsi="Arial" w:cs="Arial"/>
          <w:sz w:val="19"/>
          <w:szCs w:val="19"/>
        </w:rPr>
      </w:pPr>
      <w:proofErr w:type="gramStart"/>
      <w:r w:rsidRPr="00332BE4">
        <w:rPr>
          <w:rFonts w:ascii="Arial" w:hAnsi="Arial" w:cs="Arial"/>
          <w:sz w:val="19"/>
          <w:szCs w:val="19"/>
        </w:rPr>
        <w:t>»Las</w:t>
      </w:r>
      <w:proofErr w:type="gramEnd"/>
      <w:r w:rsidRPr="00332BE4">
        <w:rPr>
          <w:rFonts w:ascii="Arial" w:hAnsi="Arial" w:cs="Arial"/>
          <w:sz w:val="19"/>
          <w:szCs w:val="19"/>
        </w:rPr>
        <w:t xml:space="preserve">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057F950" w14:textId="423C580A" w:rsidR="00B14866" w:rsidRPr="00332BE4" w:rsidRDefault="00B14866" w:rsidP="00332BE4">
      <w:pPr>
        <w:pStyle w:val="Textonotapie"/>
        <w:ind w:firstLine="567"/>
        <w:rPr>
          <w:lang w:val="es-CO"/>
        </w:rPr>
      </w:pPr>
      <w:r>
        <w:t xml:space="preserve">  </w:t>
      </w:r>
    </w:p>
  </w:footnote>
  <w:footnote w:id="2">
    <w:p w14:paraId="1542FACC" w14:textId="6D6A98DB" w:rsidR="00D675CA" w:rsidRPr="008B696D" w:rsidRDefault="00D675CA" w:rsidP="008B696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Constitución Política,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0C47F233" w14:textId="1E3F00F5" w:rsidR="00D675CA" w:rsidRDefault="00772D6C" w:rsidP="008B696D">
      <w:pPr>
        <w:pStyle w:val="Textonotapie"/>
        <w:ind w:firstLine="567"/>
        <w:jc w:val="both"/>
        <w:rPr>
          <w:rFonts w:ascii="Arial" w:hAnsi="Arial" w:cs="Arial"/>
          <w:sz w:val="19"/>
          <w:szCs w:val="19"/>
          <w:lang w:val="es-ES"/>
        </w:rPr>
      </w:pPr>
      <w:proofErr w:type="gramStart"/>
      <w:r>
        <w:rPr>
          <w:rFonts w:ascii="Arial" w:hAnsi="Arial" w:cs="Arial"/>
          <w:sz w:val="19"/>
          <w:szCs w:val="19"/>
          <w:lang w:val="es-ES"/>
        </w:rPr>
        <w:t>»</w:t>
      </w:r>
      <w:r w:rsidR="00D675CA" w:rsidRPr="008B696D">
        <w:rPr>
          <w:rFonts w:ascii="Arial" w:hAnsi="Arial" w:cs="Arial"/>
          <w:sz w:val="19"/>
          <w:szCs w:val="19"/>
          <w:lang w:val="es-ES"/>
        </w:rPr>
        <w:t>Las</w:t>
      </w:r>
      <w:proofErr w:type="gramEnd"/>
      <w:r w:rsidR="00D675CA" w:rsidRPr="008B696D">
        <w:rPr>
          <w:rFonts w:ascii="Arial" w:hAnsi="Arial" w:cs="Arial"/>
          <w:sz w:val="19"/>
          <w:szCs w:val="19"/>
          <w:lang w:val="es-ES"/>
        </w:rPr>
        <w:t xml:space="preserve"> autoridades administrativas deben coordinar sus actuaciones para el adecuado cumplimiento de los fines del Estado. La administración pública, en todos sus órdenes, tendrá un control interno que se ejercerá en los términos que señale la ley».</w:t>
      </w:r>
    </w:p>
    <w:p w14:paraId="579585E8" w14:textId="77777777" w:rsidR="00772D6C" w:rsidRPr="008B696D" w:rsidRDefault="00772D6C" w:rsidP="008B696D">
      <w:pPr>
        <w:pStyle w:val="Textonotapie"/>
        <w:ind w:firstLine="567"/>
        <w:jc w:val="both"/>
        <w:rPr>
          <w:rFonts w:ascii="Arial" w:hAnsi="Arial" w:cs="Arial"/>
          <w:sz w:val="19"/>
          <w:szCs w:val="19"/>
          <w:lang w:val="es-ES"/>
        </w:rPr>
      </w:pPr>
    </w:p>
  </w:footnote>
  <w:footnote w:id="3">
    <w:p w14:paraId="3C44B24F" w14:textId="656E4EF2" w:rsidR="00D675CA" w:rsidRPr="008B696D" w:rsidRDefault="00D675CA" w:rsidP="008B696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Ley 48</w:t>
      </w:r>
      <w:r w:rsidR="00772D6C">
        <w:rPr>
          <w:rFonts w:ascii="Arial" w:hAnsi="Arial" w:cs="Arial"/>
          <w:sz w:val="19"/>
          <w:szCs w:val="19"/>
          <w:lang w:val="es-ES"/>
        </w:rPr>
        <w:t>9</w:t>
      </w:r>
      <w:r w:rsidRPr="008B696D">
        <w:rPr>
          <w:rFonts w:ascii="Arial" w:hAnsi="Arial" w:cs="Arial"/>
          <w:sz w:val="19"/>
          <w:szCs w:val="19"/>
          <w:lang w:val="es-ES"/>
        </w:rPr>
        <w:t xml:space="preserve"> de 1998, Artículo 1. </w:t>
      </w:r>
    </w:p>
  </w:footnote>
  <w:footnote w:id="4">
    <w:p w14:paraId="2B73AFFB" w14:textId="56C2BCDB" w:rsidR="00D675CA" w:rsidRPr="008B696D" w:rsidRDefault="00D675CA" w:rsidP="008B696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Constitución Política, Artículo 210. </w:t>
      </w:r>
    </w:p>
  </w:footnote>
  <w:footnote w:id="5">
    <w:p w14:paraId="74FD85BB" w14:textId="77777777" w:rsidR="002F5EA2" w:rsidRDefault="002F5EA2" w:rsidP="008B696D">
      <w:pPr>
        <w:pStyle w:val="Textonotapie"/>
        <w:ind w:firstLine="567"/>
        <w:jc w:val="both"/>
        <w:rPr>
          <w:rFonts w:ascii="Arial" w:hAnsi="Arial" w:cs="Arial"/>
          <w:sz w:val="19"/>
          <w:szCs w:val="19"/>
        </w:rPr>
      </w:pPr>
    </w:p>
    <w:p w14:paraId="55B81B12" w14:textId="11C606BF" w:rsidR="00D675CA" w:rsidRPr="008B696D" w:rsidRDefault="00D675CA" w:rsidP="008B696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Corte Constitucional, sentencia C – 727 del 2000, Magistrado Ponente Dr. Vladimiro Naranjo Mesa. </w:t>
      </w:r>
    </w:p>
  </w:footnote>
  <w:footnote w:id="6">
    <w:p w14:paraId="7EF960F8" w14:textId="044C503E" w:rsidR="00D7536A" w:rsidRPr="00332BE4" w:rsidRDefault="00D7536A" w:rsidP="00332BE4">
      <w:pPr>
        <w:pStyle w:val="Textonotapie"/>
        <w:ind w:firstLine="567"/>
        <w:jc w:val="both"/>
        <w:rPr>
          <w:rFonts w:ascii="Arial" w:hAnsi="Arial" w:cs="Arial"/>
          <w:sz w:val="19"/>
          <w:szCs w:val="19"/>
        </w:rPr>
      </w:pPr>
      <w:r>
        <w:rPr>
          <w:rStyle w:val="Refdenotaalpie"/>
        </w:rPr>
        <w:footnoteRef/>
      </w:r>
      <w:r>
        <w:t xml:space="preserve"> </w:t>
      </w:r>
      <w:r w:rsidRPr="00332BE4">
        <w:rPr>
          <w:rFonts w:ascii="Arial" w:hAnsi="Arial" w:cs="Arial"/>
          <w:sz w:val="19"/>
          <w:szCs w:val="19"/>
        </w:rPr>
        <w:t xml:space="preserve">Ley 80 de 1993: «Artículo 3o. </w:t>
      </w:r>
      <w:r w:rsidR="001539AA" w:rsidRPr="00332BE4">
        <w:rPr>
          <w:rFonts w:ascii="Arial" w:hAnsi="Arial" w:cs="Arial"/>
          <w:sz w:val="19"/>
          <w:szCs w:val="19"/>
        </w:rPr>
        <w:t>De los fines de la contratación estatal</w:t>
      </w:r>
      <w:r w:rsidRPr="00332BE4">
        <w:rPr>
          <w:rFonts w:ascii="Arial" w:hAnsi="Arial" w:cs="Arial"/>
          <w:sz w:val="19"/>
          <w:szCs w:val="19"/>
        </w:rPr>
        <w:t xml:space="preserve">. Los servidores públicos tendrán en consideración que al celebrar contratos y con la ejecución de </w:t>
      </w:r>
      <w:proofErr w:type="gramStart"/>
      <w:r w:rsidRPr="00332BE4">
        <w:rPr>
          <w:rFonts w:ascii="Arial" w:hAnsi="Arial" w:cs="Arial"/>
          <w:sz w:val="19"/>
          <w:szCs w:val="19"/>
        </w:rPr>
        <w:t>los mismos</w:t>
      </w:r>
      <w:proofErr w:type="gramEnd"/>
      <w:r w:rsidRPr="00332BE4">
        <w:rPr>
          <w:rFonts w:ascii="Arial" w:hAnsi="Arial" w:cs="Arial"/>
          <w:sz w:val="19"/>
          <w:szCs w:val="19"/>
        </w:rPr>
        <w:t xml:space="preserve">, las entidades buscan el cumplimiento de los fines estatales, la continua y eficiente prestación de los servicios públicos y la efectividad de los derechos e intereses de los administrados que colaboran con ellas en la consecución de dichos fines. </w:t>
      </w:r>
    </w:p>
    <w:p w14:paraId="0A3DA8E4" w14:textId="458C345E" w:rsidR="00D7536A" w:rsidRPr="00332BE4" w:rsidRDefault="001539AA" w:rsidP="00332BE4">
      <w:pPr>
        <w:pStyle w:val="Textonotapie"/>
        <w:ind w:firstLine="567"/>
        <w:jc w:val="both"/>
        <w:rPr>
          <w:lang w:val="es-CO"/>
        </w:rPr>
      </w:pPr>
      <w:proofErr w:type="gramStart"/>
      <w:r w:rsidRPr="00332BE4">
        <w:rPr>
          <w:rFonts w:ascii="Arial" w:hAnsi="Arial" w:cs="Arial"/>
          <w:sz w:val="19"/>
          <w:szCs w:val="19"/>
        </w:rPr>
        <w:t>»</w:t>
      </w:r>
      <w:r w:rsidR="00D7536A" w:rsidRPr="00332BE4">
        <w:rPr>
          <w:rFonts w:ascii="Arial" w:hAnsi="Arial" w:cs="Arial"/>
          <w:sz w:val="19"/>
          <w:szCs w:val="19"/>
        </w:rPr>
        <w:t>Los</w:t>
      </w:r>
      <w:proofErr w:type="gramEnd"/>
      <w:r w:rsidR="00D7536A" w:rsidRPr="00332BE4">
        <w:rPr>
          <w:rFonts w:ascii="Arial" w:hAnsi="Arial" w:cs="Arial"/>
          <w:sz w:val="19"/>
          <w:szCs w:val="19"/>
        </w:rPr>
        <w:t xml:space="preserve"> particulares, por su parte, tendrán en cuenta al celebrar y ejecutar contratos con las entidades estatales que, colaboran con ellas en el logro de sus fines y cumplen una función social que, como tal, implica obligaciones</w:t>
      </w:r>
      <w:r w:rsidRPr="00332BE4">
        <w:rPr>
          <w:rFonts w:ascii="Arial" w:hAnsi="Arial" w:cs="Arial"/>
          <w:sz w:val="19"/>
          <w:szCs w:val="19"/>
        </w:rPr>
        <w:t>»</w:t>
      </w:r>
      <w:r w:rsidR="00D7536A" w:rsidRPr="00332BE4">
        <w:rPr>
          <w:rFonts w:ascii="Arial" w:hAnsi="Arial" w:cs="Arial"/>
          <w:sz w:val="19"/>
          <w:szCs w:val="19"/>
        </w:rPr>
        <w:t>.</w:t>
      </w:r>
    </w:p>
  </w:footnote>
  <w:footnote w:id="7">
    <w:p w14:paraId="081FE513" w14:textId="77777777" w:rsidR="001539AA" w:rsidRDefault="001539AA" w:rsidP="002A165E">
      <w:pPr>
        <w:pStyle w:val="Textonotapie"/>
        <w:ind w:firstLine="567"/>
        <w:jc w:val="both"/>
        <w:rPr>
          <w:rFonts w:ascii="Arial" w:hAnsi="Arial" w:cs="Arial"/>
          <w:sz w:val="19"/>
          <w:szCs w:val="19"/>
        </w:rPr>
      </w:pPr>
    </w:p>
    <w:p w14:paraId="0CFE6761" w14:textId="6A498AFE" w:rsidR="002A165E" w:rsidRPr="008B696D" w:rsidRDefault="002A165E" w:rsidP="002A165E">
      <w:pPr>
        <w:pStyle w:val="Textonotapie"/>
        <w:ind w:firstLine="567"/>
        <w:jc w:val="both"/>
        <w:rPr>
          <w:rFonts w:ascii="Arial" w:eastAsia="Times New Roman" w:hAnsi="Arial" w:cs="Arial"/>
          <w:color w:val="000000" w:themeColor="text1"/>
          <w:sz w:val="19"/>
          <w:szCs w:val="19"/>
          <w:lang w:val="es-ES" w:eastAsia="es-ES_tradnl"/>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Ley 80 de 1993, </w:t>
      </w:r>
      <w:r w:rsidRPr="008B696D">
        <w:rPr>
          <w:rFonts w:ascii="Arial" w:eastAsia="Times New Roman" w:hAnsi="Arial" w:cs="Arial"/>
          <w:color w:val="000000" w:themeColor="text1"/>
          <w:sz w:val="19"/>
          <w:szCs w:val="19"/>
          <w:lang w:val="es-ES" w:eastAsia="es-ES_tradnl"/>
        </w:rPr>
        <w:t>«</w:t>
      </w:r>
      <w:r w:rsidR="00C54B2C">
        <w:rPr>
          <w:rFonts w:ascii="Arial" w:eastAsia="Times New Roman" w:hAnsi="Arial" w:cs="Arial"/>
          <w:color w:val="000000" w:themeColor="text1"/>
          <w:sz w:val="19"/>
          <w:szCs w:val="19"/>
          <w:lang w:val="es-ES" w:eastAsia="es-ES_tradnl"/>
        </w:rPr>
        <w:t>Artículo. 2</w:t>
      </w:r>
      <w:r w:rsidR="009A588B">
        <w:rPr>
          <w:rFonts w:ascii="Arial" w:eastAsia="Times New Roman" w:hAnsi="Arial" w:cs="Arial"/>
          <w:color w:val="000000" w:themeColor="text1"/>
          <w:sz w:val="19"/>
          <w:szCs w:val="19"/>
          <w:lang w:val="es-ES" w:eastAsia="es-ES_tradnl"/>
        </w:rPr>
        <w:t xml:space="preserve">º. </w:t>
      </w:r>
      <w:r w:rsidRPr="008B696D">
        <w:rPr>
          <w:rFonts w:ascii="Arial" w:eastAsia="Times New Roman" w:hAnsi="Arial" w:cs="Arial"/>
          <w:color w:val="000000" w:themeColor="text1"/>
          <w:sz w:val="19"/>
          <w:szCs w:val="19"/>
          <w:lang w:val="es-ES" w:eastAsia="es-ES_tradnl"/>
        </w:rPr>
        <w:t xml:space="preserve">De la definición de entidades, servidores y servicios públicos. Para los solos efectos de esta ley: </w:t>
      </w:r>
    </w:p>
    <w:p w14:paraId="16D0A2FF" w14:textId="77777777" w:rsidR="002A165E" w:rsidRPr="008B696D" w:rsidRDefault="002A165E" w:rsidP="002A165E">
      <w:pPr>
        <w:pStyle w:val="Textonotapie"/>
        <w:ind w:firstLine="567"/>
        <w:jc w:val="both"/>
        <w:rPr>
          <w:rFonts w:ascii="Arial" w:hAnsi="Arial" w:cs="Arial"/>
          <w:sz w:val="19"/>
          <w:szCs w:val="19"/>
          <w:lang w:val="es-ES"/>
        </w:rPr>
      </w:pPr>
      <w:r w:rsidRPr="008B696D">
        <w:rPr>
          <w:rFonts w:ascii="Arial" w:hAnsi="Arial" w:cs="Arial"/>
          <w:sz w:val="19"/>
          <w:szCs w:val="19"/>
          <w:lang w:val="es-ES"/>
        </w:rPr>
        <w:t>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D09D14C" w14:textId="77777777" w:rsidR="002A165E" w:rsidRPr="008B696D" w:rsidRDefault="002A165E" w:rsidP="002A165E">
      <w:pPr>
        <w:pStyle w:val="Textonotapie"/>
        <w:ind w:firstLine="567"/>
        <w:jc w:val="both"/>
        <w:rPr>
          <w:rFonts w:ascii="Arial" w:hAnsi="Arial" w:cs="Arial"/>
          <w:sz w:val="19"/>
          <w:szCs w:val="19"/>
          <w:lang w:val="es-ES"/>
        </w:rPr>
      </w:pPr>
      <w:r w:rsidRPr="008B696D">
        <w:rPr>
          <w:rFonts w:ascii="Arial" w:hAnsi="Arial" w:cs="Arial"/>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lang w:val="es-ES"/>
        </w:rPr>
        <w:t xml:space="preserve"> </w:t>
      </w:r>
      <w:r w:rsidRPr="008B696D">
        <w:rPr>
          <w:rFonts w:ascii="Arial" w:hAnsi="Arial" w:cs="Arial"/>
          <w:sz w:val="19"/>
          <w:szCs w:val="19"/>
          <w:lang w:val="es-ES"/>
        </w:rPr>
        <w:t>[…]».</w:t>
      </w:r>
    </w:p>
  </w:footnote>
  <w:footnote w:id="8">
    <w:p w14:paraId="5640EF81" w14:textId="77777777" w:rsidR="00363D6F" w:rsidRDefault="00363D6F">
      <w:pPr>
        <w:pStyle w:val="Textonotapie"/>
      </w:pPr>
    </w:p>
    <w:p w14:paraId="03A5E4CD" w14:textId="2BFE563B" w:rsidR="00363D6F" w:rsidRPr="00332BE4" w:rsidRDefault="00363D6F" w:rsidP="00332BE4">
      <w:pPr>
        <w:pStyle w:val="NormalWeb"/>
        <w:spacing w:before="0" w:beforeAutospacing="0" w:after="0" w:afterAutospacing="0"/>
        <w:ind w:firstLine="567"/>
        <w:jc w:val="both"/>
        <w:rPr>
          <w:rFonts w:ascii="Arial" w:hAnsi="Arial" w:cs="Arial"/>
          <w:color w:val="000000"/>
          <w:sz w:val="19"/>
          <w:szCs w:val="19"/>
          <w:lang w:val="es-CO" w:eastAsia="es-CO"/>
        </w:rPr>
      </w:pPr>
      <w:r w:rsidRPr="00332BE4">
        <w:rPr>
          <w:rStyle w:val="Refdenotaalpie"/>
          <w:rFonts w:ascii="Arial" w:hAnsi="Arial" w:cs="Arial"/>
          <w:sz w:val="19"/>
          <w:szCs w:val="19"/>
        </w:rPr>
        <w:footnoteRef/>
      </w:r>
      <w:r w:rsidRPr="00332BE4">
        <w:rPr>
          <w:rFonts w:ascii="Arial" w:hAnsi="Arial" w:cs="Arial"/>
          <w:sz w:val="19"/>
          <w:szCs w:val="19"/>
        </w:rPr>
        <w:t xml:space="preserve"> Ley 80 de 1993: «</w:t>
      </w:r>
      <w:r w:rsidRPr="00332BE4">
        <w:rPr>
          <w:rFonts w:ascii="Arial" w:hAnsi="Arial" w:cs="Arial"/>
          <w:color w:val="000000"/>
          <w:sz w:val="19"/>
          <w:szCs w:val="19"/>
          <w:lang w:val="es-CO" w:eastAsia="es-CO"/>
        </w:rPr>
        <w:t>Artículo 6o. de la capacidad para contratar. Pueden celebrar contratos con las entidades estatales las personas consideradas legalmente capaces en las disposiciones vigentes. También podrán celebrar contratos con las entidades estatales, los consorcios y uniones temporales. </w:t>
      </w:r>
    </w:p>
    <w:p w14:paraId="60168BCF" w14:textId="68821512" w:rsidR="00363D6F" w:rsidRPr="00332BE4" w:rsidRDefault="00363D6F" w:rsidP="00332BE4">
      <w:pPr>
        <w:jc w:val="both"/>
        <w:rPr>
          <w:rFonts w:ascii="Arial" w:eastAsia="Times New Roman" w:hAnsi="Arial" w:cs="Arial"/>
          <w:color w:val="000000"/>
          <w:sz w:val="19"/>
          <w:szCs w:val="19"/>
          <w:lang w:val="es-CO" w:eastAsia="es-CO"/>
        </w:rPr>
      </w:pPr>
      <w:r w:rsidRPr="00332BE4">
        <w:rPr>
          <w:rFonts w:ascii="Arial" w:eastAsia="Times New Roman" w:hAnsi="Arial" w:cs="Arial"/>
          <w:color w:val="000000"/>
          <w:sz w:val="19"/>
          <w:szCs w:val="19"/>
          <w:lang w:val="es-CO" w:eastAsia="es-CO"/>
        </w:rPr>
        <w:t>  </w:t>
      </w:r>
      <w:r w:rsidRPr="00332BE4">
        <w:rPr>
          <w:rFonts w:ascii="Arial" w:eastAsia="Times New Roman" w:hAnsi="Arial" w:cs="Arial"/>
          <w:color w:val="000000"/>
          <w:sz w:val="19"/>
          <w:szCs w:val="19"/>
          <w:lang w:val="es-CO" w:eastAsia="es-CO"/>
        </w:rPr>
        <w:tab/>
      </w:r>
      <w:proofErr w:type="gramStart"/>
      <w:r w:rsidRPr="00332BE4">
        <w:rPr>
          <w:rFonts w:ascii="Arial" w:eastAsia="Times New Roman" w:hAnsi="Arial" w:cs="Arial"/>
          <w:color w:val="000000"/>
          <w:sz w:val="19"/>
          <w:szCs w:val="19"/>
          <w:lang w:val="es-CO" w:eastAsia="es-CO"/>
        </w:rPr>
        <w:t>»Las</w:t>
      </w:r>
      <w:proofErr w:type="gramEnd"/>
      <w:r w:rsidRPr="00332BE4">
        <w:rPr>
          <w:rFonts w:ascii="Arial" w:eastAsia="Times New Roman" w:hAnsi="Arial" w:cs="Arial"/>
          <w:color w:val="000000"/>
          <w:sz w:val="19"/>
          <w:szCs w:val="19"/>
          <w:lang w:val="es-CO" w:eastAsia="es-CO"/>
        </w:rPr>
        <w:t xml:space="preserve"> personas jurídicas nacionales y extranjeras deberán acreditar que su duración no será inferior a la del plazo del contrato y un año más». </w:t>
      </w:r>
    </w:p>
    <w:p w14:paraId="7B6562E6" w14:textId="5BFE617C" w:rsidR="00363D6F" w:rsidRPr="00332BE4" w:rsidRDefault="00363D6F" w:rsidP="00332BE4">
      <w:pPr>
        <w:pStyle w:val="Textonotapie"/>
        <w:ind w:firstLine="567"/>
        <w:rPr>
          <w:lang w:val="es-CO"/>
        </w:rPr>
      </w:pPr>
      <w:r>
        <w:t xml:space="preserve"> </w:t>
      </w:r>
    </w:p>
  </w:footnote>
  <w:footnote w:id="9">
    <w:p w14:paraId="25FA067F" w14:textId="77777777" w:rsidR="00A431F3" w:rsidRPr="004519BF" w:rsidRDefault="00A431F3" w:rsidP="00A431F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C-1016 de 2012. M.P. Jorge Iván Palacio. </w:t>
      </w:r>
    </w:p>
    <w:p w14:paraId="03D7EE90" w14:textId="77777777" w:rsidR="00A431F3" w:rsidRPr="004519BF" w:rsidRDefault="00A431F3" w:rsidP="00A431F3">
      <w:pPr>
        <w:pStyle w:val="Textonotapie"/>
        <w:ind w:firstLine="709"/>
        <w:jc w:val="both"/>
        <w:rPr>
          <w:rFonts w:ascii="Arial" w:hAnsi="Arial" w:cs="Arial"/>
          <w:sz w:val="19"/>
          <w:szCs w:val="19"/>
        </w:rPr>
      </w:pPr>
    </w:p>
  </w:footnote>
  <w:footnote w:id="10">
    <w:p w14:paraId="3369AB46" w14:textId="77777777" w:rsidR="00520C52" w:rsidRPr="00332BE4" w:rsidRDefault="00520C52" w:rsidP="00332BE4">
      <w:pPr>
        <w:pStyle w:val="Sinespaciado"/>
        <w:ind w:firstLine="708"/>
        <w:jc w:val="both"/>
        <w:rPr>
          <w:rFonts w:ascii="Arial" w:hAnsi="Arial" w:cs="Arial"/>
          <w:sz w:val="19"/>
          <w:szCs w:val="19"/>
          <w:lang w:val="es-ES"/>
        </w:rPr>
      </w:pPr>
      <w:r w:rsidRPr="00332BE4">
        <w:rPr>
          <w:rStyle w:val="Refdenotaalpie"/>
          <w:rFonts w:ascii="Arial" w:hAnsi="Arial" w:cs="Arial"/>
          <w:sz w:val="19"/>
          <w:szCs w:val="19"/>
        </w:rPr>
        <w:footnoteRef/>
      </w:r>
      <w:r w:rsidRPr="00332BE4">
        <w:rPr>
          <w:rFonts w:ascii="Arial" w:hAnsi="Arial" w:cs="Arial"/>
          <w:sz w:val="19"/>
          <w:szCs w:val="19"/>
        </w:rPr>
        <w:t xml:space="preserve"> Así lo ha entendido el Consejo de Estado, quien se ha pronunciado al respecto en los siguientes términos: «</w:t>
      </w:r>
      <w:r w:rsidRPr="00332BE4">
        <w:rPr>
          <w:rFonts w:ascii="Arial" w:hAnsi="Arial" w:cs="Arial"/>
          <w:sz w:val="19"/>
          <w:szCs w:val="19"/>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2B3BCCDC" w14:textId="4DBAB87A" w:rsidR="00520C52" w:rsidRDefault="00520C52" w:rsidP="0054431A">
      <w:pPr>
        <w:pStyle w:val="Textonotapie"/>
        <w:ind w:firstLine="709"/>
        <w:jc w:val="both"/>
        <w:rPr>
          <w:rFonts w:ascii="Arial" w:hAnsi="Arial" w:cs="Arial"/>
          <w:sz w:val="19"/>
          <w:szCs w:val="19"/>
        </w:rPr>
      </w:pPr>
      <w:r w:rsidRPr="00332BE4">
        <w:rPr>
          <w:rFonts w:ascii="Arial" w:hAnsi="Arial" w:cs="Arial"/>
          <w:sz w:val="19"/>
          <w:szCs w:val="19"/>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Arial" w:hAnsi="Arial" w:cs="Arial"/>
          <w:sz w:val="19"/>
          <w:szCs w:val="19"/>
          <w:lang w:val="es-ES"/>
        </w:rPr>
        <w:t>.</w:t>
      </w:r>
      <w:r w:rsidRPr="00332BE4">
        <w:rPr>
          <w:rFonts w:ascii="Arial" w:hAnsi="Arial" w:cs="Arial"/>
          <w:sz w:val="19"/>
          <w:szCs w:val="19"/>
        </w:rPr>
        <w:t xml:space="preserve"> </w:t>
      </w:r>
      <w:r w:rsidRPr="00351583">
        <w:rPr>
          <w:rFonts w:ascii="Arial" w:hAnsi="Arial" w:cs="Arial"/>
          <w:sz w:val="19"/>
          <w:szCs w:val="19"/>
        </w:rPr>
        <w:t xml:space="preserve">CONSEJO DE ESTADO. Sección Tercera. Subsección A. Sentencia del 13 de noviembre de 2013. Rad. 25.646. C.P. Mauricio Fajardo Gómez.  </w:t>
      </w:r>
    </w:p>
    <w:p w14:paraId="0F43ED0D" w14:textId="77777777" w:rsidR="0054431A" w:rsidRPr="00332BE4" w:rsidRDefault="0054431A" w:rsidP="00332BE4">
      <w:pPr>
        <w:pStyle w:val="Textonotapie"/>
        <w:ind w:firstLine="709"/>
        <w:jc w:val="both"/>
        <w:rPr>
          <w:lang w:val="es-CO"/>
        </w:rPr>
      </w:pPr>
    </w:p>
  </w:footnote>
  <w:footnote w:id="11">
    <w:p w14:paraId="59FB210C" w14:textId="77777777" w:rsidR="00A431F3" w:rsidRPr="004519BF" w:rsidRDefault="00A431F3" w:rsidP="00A431F3">
      <w:pPr>
        <w:pStyle w:val="Textonotapie"/>
        <w:ind w:firstLine="709"/>
        <w:jc w:val="both"/>
        <w:rPr>
          <w:rFonts w:ascii="Arial" w:hAnsi="Arial" w:cs="Arial"/>
          <w:sz w:val="19"/>
          <w:szCs w:val="19"/>
        </w:rPr>
      </w:pPr>
      <w:r w:rsidRPr="004519BF">
        <w:rPr>
          <w:rFonts w:ascii="Arial" w:hAnsi="Arial" w:cs="Arial"/>
          <w:sz w:val="19"/>
          <w:szCs w:val="19"/>
          <w:vertAlign w:val="superscript"/>
        </w:rPr>
        <w:footnoteRef/>
      </w:r>
      <w:r w:rsidRPr="004519BF">
        <w:rPr>
          <w:rFonts w:ascii="Arial" w:hAnsi="Arial" w:cs="Arial"/>
          <w:sz w:val="19"/>
          <w:szCs w:val="19"/>
        </w:rPr>
        <w:t xml:space="preserve"> CORTE CONSTITUCIONAL. Sentencia C-415 de 1994. M.P. Eduardo Cifuentes Muñoz. </w:t>
      </w:r>
    </w:p>
    <w:p w14:paraId="122FB93B" w14:textId="77777777" w:rsidR="00A431F3" w:rsidRPr="004519BF" w:rsidRDefault="00A431F3" w:rsidP="00A431F3">
      <w:pPr>
        <w:pStyle w:val="Textonotapie"/>
        <w:ind w:firstLine="709"/>
        <w:jc w:val="both"/>
        <w:rPr>
          <w:rFonts w:ascii="Arial" w:hAnsi="Arial" w:cs="Arial"/>
          <w:sz w:val="19"/>
          <w:szCs w:val="19"/>
        </w:rPr>
      </w:pPr>
    </w:p>
  </w:footnote>
  <w:footnote w:id="12">
    <w:p w14:paraId="2FA2F2C6" w14:textId="1CA8CF92" w:rsidR="00A431F3" w:rsidRPr="004519BF" w:rsidRDefault="00A431F3" w:rsidP="00332BE4">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Ibídem. </w:t>
      </w:r>
    </w:p>
  </w:footnote>
  <w:footnote w:id="13">
    <w:p w14:paraId="19485F36" w14:textId="77777777" w:rsidR="00A431F3" w:rsidRDefault="00A431F3" w:rsidP="00A431F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C-780 de 2001. M.P. Jaime Córdoba Triviño. </w:t>
      </w:r>
    </w:p>
    <w:p w14:paraId="087966D3" w14:textId="77777777" w:rsidR="00A431F3" w:rsidRPr="004519BF" w:rsidRDefault="00A431F3" w:rsidP="00A431F3">
      <w:pPr>
        <w:pStyle w:val="Textonotapie"/>
        <w:ind w:firstLine="709"/>
        <w:jc w:val="both"/>
        <w:rPr>
          <w:rFonts w:ascii="Arial" w:hAnsi="Arial" w:cs="Arial"/>
          <w:sz w:val="19"/>
          <w:szCs w:val="19"/>
        </w:rPr>
      </w:pPr>
    </w:p>
  </w:footnote>
  <w:footnote w:id="14">
    <w:p w14:paraId="346A55B7"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E6715A2"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»a</w:t>
      </w:r>
      <w:proofErr w:type="gramEnd"/>
      <w:r w:rsidRPr="004519BF">
        <w:rPr>
          <w:rFonts w:ascii="Arial" w:eastAsiaTheme="minorHAnsi" w:hAnsi="Arial" w:cs="Arial"/>
          <w:sz w:val="19"/>
          <w:szCs w:val="19"/>
          <w:lang w:val="es-ES" w:eastAsia="en-US"/>
        </w:rPr>
        <w:t>) Las personas que se hallen inhabilitadas para contratar por la Constitución y las leyes. </w:t>
      </w:r>
    </w:p>
    <w:p w14:paraId="03B5E4FC"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»b</w:t>
      </w:r>
      <w:proofErr w:type="gramEnd"/>
      <w:r w:rsidRPr="004519BF">
        <w:rPr>
          <w:rFonts w:ascii="Arial" w:eastAsiaTheme="minorHAnsi" w:hAnsi="Arial" w:cs="Arial"/>
          <w:sz w:val="19"/>
          <w:szCs w:val="19"/>
          <w:lang w:val="es-ES" w:eastAsia="en-US"/>
        </w:rPr>
        <w:t>) Quienes participaron en las licitaciones o concursos o celebraron los contratos de que trata el literal anterior estando inhabilitados. </w:t>
      </w:r>
    </w:p>
    <w:p w14:paraId="741E5835"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»c) Quienes dieron lugar a la declaratoria de caducidad. </w:t>
      </w:r>
    </w:p>
    <w:p w14:paraId="4B2AE017"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»d</w:t>
      </w:r>
      <w:proofErr w:type="gramEnd"/>
      <w:r w:rsidRPr="004519BF">
        <w:rPr>
          <w:rFonts w:ascii="Arial" w:eastAsiaTheme="minorHAnsi" w:hAnsi="Arial" w:cs="Arial"/>
          <w:sz w:val="19"/>
          <w:szCs w:val="19"/>
          <w:lang w:val="es-ES" w:eastAsia="en-US"/>
        </w:rPr>
        <w:t>) Quienes en sentencia judicial hayan sido condenados a la pena accesoria de interdicción de derechos y funciones públicas y quienes hayan sido sancionados disciplinariamente con destitución. </w:t>
      </w:r>
    </w:p>
    <w:p w14:paraId="46E3AF7E"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»e</w:t>
      </w:r>
      <w:proofErr w:type="gramEnd"/>
      <w:r w:rsidRPr="004519BF">
        <w:rPr>
          <w:rFonts w:ascii="Arial" w:eastAsiaTheme="minorHAnsi" w:hAnsi="Arial" w:cs="Arial"/>
          <w:sz w:val="19"/>
          <w:szCs w:val="19"/>
          <w:lang w:val="es-ES" w:eastAsia="en-US"/>
        </w:rPr>
        <w:t>) Quienes sin justa causa se abstengan de suscribir el contrato estatal adjudicado. </w:t>
      </w:r>
    </w:p>
    <w:p w14:paraId="27D04626"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»f</w:t>
      </w:r>
      <w:proofErr w:type="gramEnd"/>
      <w:r w:rsidRPr="004519BF">
        <w:rPr>
          <w:rFonts w:ascii="Arial" w:eastAsiaTheme="minorHAnsi" w:hAnsi="Arial" w:cs="Arial"/>
          <w:sz w:val="19"/>
          <w:szCs w:val="19"/>
          <w:lang w:val="es-ES" w:eastAsia="en-US"/>
        </w:rPr>
        <w:t>) Los servidores públicos. </w:t>
      </w:r>
    </w:p>
    <w:p w14:paraId="7C1FDD51"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»g</w:t>
      </w:r>
      <w:proofErr w:type="gramEnd"/>
      <w:r w:rsidRPr="004519BF">
        <w:rPr>
          <w:rFonts w:ascii="Arial" w:eastAsiaTheme="minorHAnsi" w:hAnsi="Arial" w:cs="Arial"/>
          <w:sz w:val="19"/>
          <w:szCs w:val="19"/>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 </w:t>
      </w:r>
    </w:p>
    <w:p w14:paraId="6D7A717F"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0D6105C2"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»i</w:t>
      </w:r>
      <w:proofErr w:type="gramEnd"/>
      <w:r w:rsidRPr="004519BF">
        <w:rPr>
          <w:rFonts w:ascii="Arial" w:eastAsiaTheme="minorHAnsi" w:hAnsi="Arial" w:cs="Arial"/>
          <w:sz w:val="19"/>
          <w:szCs w:val="19"/>
          <w:lang w:val="es-ES" w:eastAsia="en-US"/>
        </w:rPr>
        <w:t>) Los socios de sociedades de personas a las cuales se haya declarado la caducidad, así como las sociedades de personas de las que aquellos formen parte con posterioridad a dicha declaratoria. </w:t>
      </w:r>
    </w:p>
    <w:p w14:paraId="5E269740"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9855FCC"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CB8DE03"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»Esta</w:t>
      </w:r>
      <w:proofErr w:type="gramEnd"/>
      <w:r w:rsidRPr="004519BF">
        <w:rPr>
          <w:rFonts w:ascii="Arial" w:eastAsiaTheme="minorHAnsi" w:hAnsi="Arial" w:cs="Arial"/>
          <w:sz w:val="19"/>
          <w:szCs w:val="19"/>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4519BF">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4519BF">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4519BF">
        <w:rPr>
          <w:rFonts w:ascii="Arial" w:eastAsiaTheme="minorHAnsi" w:hAnsi="Arial" w:cs="Arial"/>
          <w:sz w:val="19"/>
          <w:szCs w:val="19"/>
          <w:lang w:val="es-ES" w:eastAsia="en-US"/>
        </w:rPr>
        <w:softHyphen/>
        <w:t>nería jurídica en los términos de ley, o cuyos representantes legales, ad</w:t>
      </w:r>
      <w:r w:rsidRPr="004519BF">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4519BF">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3B2A0F2D"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w:t>
      </w:r>
    </w:p>
    <w:p w14:paraId="57951560"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4519BF">
        <w:rPr>
          <w:rFonts w:ascii="Arial" w:eastAsiaTheme="minorHAnsi" w:hAnsi="Arial" w:cs="Arial"/>
          <w:sz w:val="19"/>
          <w:szCs w:val="19"/>
          <w:lang w:val="es-ES" w:eastAsia="en-US"/>
        </w:rPr>
        <w:t>»2o.</w:t>
      </w:r>
      <w:proofErr w:type="gramEnd"/>
      <w:r w:rsidRPr="004519BF">
        <w:rPr>
          <w:rFonts w:ascii="Arial" w:eastAsiaTheme="minorHAnsi" w:hAnsi="Arial" w:cs="Arial"/>
          <w:sz w:val="19"/>
          <w:szCs w:val="19"/>
          <w:lang w:val="es-ES" w:eastAsia="en-US"/>
        </w:rPr>
        <w:t xml:space="preserve"> Tampoco podrán participar en licitaciones o concursos ni celebrar contratos estatales con la entidad respectiva: </w:t>
      </w:r>
    </w:p>
    <w:p w14:paraId="0D61F086"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»a</w:t>
      </w:r>
      <w:proofErr w:type="gramEnd"/>
      <w:r w:rsidRPr="004519BF">
        <w:rPr>
          <w:rFonts w:ascii="Arial" w:eastAsiaTheme="minorHAnsi" w:hAnsi="Arial" w:cs="Arial"/>
          <w:sz w:val="19"/>
          <w:szCs w:val="19"/>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015506B2"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»b</w:t>
      </w:r>
      <w:proofErr w:type="gramEnd"/>
      <w:r w:rsidRPr="004519BF">
        <w:rPr>
          <w:rFonts w:ascii="Arial" w:eastAsiaTheme="minorHAnsi" w:hAnsi="Arial" w:cs="Arial"/>
          <w:sz w:val="19"/>
          <w:szCs w:val="19"/>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35EE8F1D"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»c) El cónyuge, compañero o compañera permanente del servidor público en los niveles directivo, asesor, ejecutivo, o de un miembro de la junta o consejo directivo, o de quien ejerza funciones de control interno o de control fiscal. </w:t>
      </w:r>
    </w:p>
    <w:p w14:paraId="1BF52B13"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2782272F"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proofErr w:type="gramStart"/>
      <w:r w:rsidRPr="004519BF">
        <w:rPr>
          <w:rFonts w:ascii="Arial" w:eastAsiaTheme="minorHAnsi" w:hAnsi="Arial" w:cs="Arial"/>
          <w:sz w:val="19"/>
          <w:szCs w:val="19"/>
          <w:lang w:val="es-ES" w:eastAsia="en-US"/>
        </w:rPr>
        <w:t>»e</w:t>
      </w:r>
      <w:proofErr w:type="gramEnd"/>
      <w:r w:rsidRPr="004519BF">
        <w:rPr>
          <w:rFonts w:ascii="Arial" w:eastAsiaTheme="minorHAnsi" w:hAnsi="Arial" w:cs="Arial"/>
          <w:sz w:val="19"/>
          <w:szCs w:val="19"/>
          <w:lang w:val="es-ES" w:eastAsia="en-US"/>
        </w:rPr>
        <w:t>) Los miembros de las juntas o consejos directivos. Esta incompatibilidad sólo se predica respecto de la entidad a la cual prestan sus servicios y de las del sector administrativo al que la misma esté adscrita o vinculada. </w:t>
      </w:r>
    </w:p>
    <w:p w14:paraId="47260127" w14:textId="77777777" w:rsidR="00A431F3"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4519BF">
        <w:rPr>
          <w:rFonts w:ascii="Arial" w:eastAsiaTheme="minorHAnsi" w:hAnsi="Arial" w:cs="Arial"/>
          <w:sz w:val="19"/>
          <w:szCs w:val="19"/>
          <w:lang w:val="es-ES" w:eastAsia="en-US"/>
        </w:rPr>
        <w:t>»f</w:t>
      </w:r>
      <w:proofErr w:type="gramEnd"/>
      <w:r w:rsidRPr="004519BF">
        <w:rPr>
          <w:rFonts w:ascii="Arial" w:eastAsiaTheme="minorHAnsi" w:hAnsi="Arial" w:cs="Arial"/>
          <w:sz w:val="19"/>
          <w:szCs w:val="19"/>
          <w:lang w:val="es-ES" w:eastAsia="en-US"/>
        </w:rPr>
        <w:t xml:space="preserve">)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4519BF">
        <w:rPr>
          <w:rFonts w:ascii="Arial" w:eastAsiaTheme="minorHAnsi" w:hAnsi="Arial" w:cs="Arial"/>
          <w:sz w:val="19"/>
          <w:szCs w:val="19"/>
          <w:lang w:val="es-ES" w:eastAsia="en-US"/>
        </w:rPr>
        <w:t>ex empleado</w:t>
      </w:r>
      <w:proofErr w:type="gramEnd"/>
      <w:r w:rsidRPr="004519BF">
        <w:rPr>
          <w:rFonts w:ascii="Arial" w:eastAsiaTheme="minorHAnsi" w:hAnsi="Arial" w:cs="Arial"/>
          <w:sz w:val="19"/>
          <w:szCs w:val="19"/>
          <w:lang w:val="es-ES" w:eastAsia="en-US"/>
        </w:rPr>
        <w:t xml:space="preserve"> público». </w:t>
      </w:r>
    </w:p>
    <w:p w14:paraId="18070F29" w14:textId="77777777" w:rsidR="00A431F3" w:rsidRPr="004519BF" w:rsidRDefault="00A431F3" w:rsidP="00A431F3">
      <w:pPr>
        <w:pStyle w:val="NormalWeb"/>
        <w:spacing w:before="0" w:beforeAutospacing="0" w:after="0" w:afterAutospacing="0"/>
        <w:ind w:firstLine="709"/>
        <w:jc w:val="both"/>
        <w:rPr>
          <w:rFonts w:ascii="Arial" w:eastAsiaTheme="minorHAnsi" w:hAnsi="Arial" w:cs="Arial"/>
          <w:sz w:val="19"/>
          <w:szCs w:val="19"/>
          <w:lang w:val="es-ES" w:eastAsia="en-US"/>
        </w:rPr>
      </w:pPr>
    </w:p>
  </w:footnote>
  <w:footnote w:id="15">
    <w:p w14:paraId="61DD5123" w14:textId="77777777" w:rsidR="00A431F3" w:rsidRDefault="00A431F3" w:rsidP="00A431F3">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DÁVILA VINUEZA, Luis Guillermo. </w:t>
      </w:r>
      <w:r w:rsidRPr="004519BF">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p w14:paraId="027EA33B" w14:textId="77777777" w:rsidR="00A431F3" w:rsidRPr="004519BF" w:rsidRDefault="00A431F3" w:rsidP="00A431F3">
      <w:pPr>
        <w:pStyle w:val="Textonotapie"/>
        <w:ind w:firstLine="709"/>
        <w:jc w:val="both"/>
        <w:rPr>
          <w:rFonts w:ascii="Arial" w:hAnsi="Arial" w:cs="Arial"/>
          <w:sz w:val="19"/>
          <w:szCs w:val="19"/>
          <w:lang w:val="es-ES"/>
        </w:rPr>
      </w:pPr>
    </w:p>
  </w:footnote>
  <w:footnote w:id="16">
    <w:p w14:paraId="4F48B70B" w14:textId="77777777" w:rsidR="00A431F3" w:rsidRDefault="00A431F3" w:rsidP="00A431F3">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33A30C12" w14:textId="77777777" w:rsidR="00A431F3" w:rsidRPr="004519BF" w:rsidRDefault="00A431F3" w:rsidP="00A431F3">
      <w:pPr>
        <w:pStyle w:val="Textonotapie"/>
        <w:ind w:firstLine="709"/>
        <w:jc w:val="both"/>
        <w:rPr>
          <w:rFonts w:ascii="Arial" w:hAnsi="Arial" w:cs="Arial"/>
          <w:sz w:val="19"/>
          <w:szCs w:val="19"/>
          <w:lang w:val="es-ES"/>
        </w:rPr>
      </w:pPr>
    </w:p>
  </w:footnote>
  <w:footnote w:id="17">
    <w:p w14:paraId="1112EEAD" w14:textId="77777777" w:rsidR="00A431F3" w:rsidRDefault="00A431F3" w:rsidP="00A431F3">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CONSEJO DE ESTADO. Sala de Consulta y Servicio Civil. Concepto del 30 de abril de 2015. </w:t>
      </w:r>
      <w:proofErr w:type="spellStart"/>
      <w:r w:rsidRPr="004519BF">
        <w:rPr>
          <w:rFonts w:ascii="Arial" w:hAnsi="Arial" w:cs="Arial"/>
          <w:sz w:val="19"/>
          <w:szCs w:val="19"/>
          <w:lang w:val="es-ES"/>
        </w:rPr>
        <w:t>Exp</w:t>
      </w:r>
      <w:proofErr w:type="spellEnd"/>
      <w:r w:rsidRPr="004519BF">
        <w:rPr>
          <w:rFonts w:ascii="Arial" w:hAnsi="Arial" w:cs="Arial"/>
          <w:sz w:val="19"/>
          <w:szCs w:val="19"/>
          <w:lang w:val="es-ES"/>
        </w:rPr>
        <w:t xml:space="preserve">. 2251. Consejero Ponente: Álvaro </w:t>
      </w:r>
      <w:proofErr w:type="spellStart"/>
      <w:r w:rsidRPr="004519BF">
        <w:rPr>
          <w:rFonts w:ascii="Arial" w:hAnsi="Arial" w:cs="Arial"/>
          <w:sz w:val="19"/>
          <w:szCs w:val="19"/>
          <w:lang w:val="es-ES"/>
        </w:rPr>
        <w:t>Namén</w:t>
      </w:r>
      <w:proofErr w:type="spellEnd"/>
      <w:r w:rsidRPr="004519BF">
        <w:rPr>
          <w:rFonts w:ascii="Arial" w:hAnsi="Arial" w:cs="Arial"/>
          <w:sz w:val="19"/>
          <w:szCs w:val="19"/>
          <w:lang w:val="es-ES"/>
        </w:rPr>
        <w:t xml:space="preserve"> Vargas.</w:t>
      </w:r>
    </w:p>
    <w:p w14:paraId="1E5B180D" w14:textId="77777777" w:rsidR="00A431F3" w:rsidRPr="004519BF" w:rsidRDefault="00A431F3" w:rsidP="00A431F3">
      <w:pPr>
        <w:pStyle w:val="Textonotapie"/>
        <w:ind w:firstLine="709"/>
        <w:jc w:val="both"/>
        <w:rPr>
          <w:rFonts w:ascii="Arial" w:hAnsi="Arial" w:cs="Arial"/>
          <w:sz w:val="19"/>
          <w:szCs w:val="19"/>
          <w:lang w:val="es-ES"/>
        </w:rPr>
      </w:pPr>
    </w:p>
  </w:footnote>
  <w:footnote w:id="18">
    <w:p w14:paraId="27B65CDA" w14:textId="77777777" w:rsidR="00A431F3" w:rsidRDefault="00A431F3" w:rsidP="00A431F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A. Sentencia del 24 de junio de 2015. Rad. 40.635. Consejero Ponente: Hernán Andrade Rincón (E).</w:t>
      </w:r>
    </w:p>
    <w:p w14:paraId="1A14DE88" w14:textId="77777777" w:rsidR="00A431F3" w:rsidRPr="004519BF" w:rsidRDefault="00A431F3" w:rsidP="00A431F3">
      <w:pPr>
        <w:pStyle w:val="Textonotapie"/>
        <w:ind w:firstLine="709"/>
        <w:jc w:val="both"/>
        <w:rPr>
          <w:rFonts w:ascii="Arial" w:hAnsi="Arial" w:cs="Arial"/>
          <w:sz w:val="19"/>
          <w:szCs w:val="19"/>
        </w:rPr>
      </w:pPr>
    </w:p>
  </w:footnote>
  <w:footnote w:id="19">
    <w:p w14:paraId="2DA9B7E3" w14:textId="714217C6" w:rsidR="00A431F3" w:rsidRDefault="00A431F3" w:rsidP="00A431F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C. Sentencia del 22 de mayo de 2013. Rad. 24.057. Consejera Ponente: Olga </w:t>
      </w:r>
      <w:proofErr w:type="spellStart"/>
      <w:r w:rsidRPr="004519BF">
        <w:rPr>
          <w:rFonts w:ascii="Arial" w:hAnsi="Arial" w:cs="Arial"/>
          <w:sz w:val="19"/>
          <w:szCs w:val="19"/>
        </w:rPr>
        <w:t>Melida</w:t>
      </w:r>
      <w:proofErr w:type="spellEnd"/>
      <w:r w:rsidRPr="004519BF">
        <w:rPr>
          <w:rFonts w:ascii="Arial" w:hAnsi="Arial" w:cs="Arial"/>
          <w:sz w:val="19"/>
          <w:szCs w:val="19"/>
        </w:rPr>
        <w:t xml:space="preserve"> Valle De </w:t>
      </w:r>
      <w:proofErr w:type="spellStart"/>
      <w:r w:rsidRPr="004519BF">
        <w:rPr>
          <w:rFonts w:ascii="Arial" w:hAnsi="Arial" w:cs="Arial"/>
          <w:sz w:val="19"/>
          <w:szCs w:val="19"/>
        </w:rPr>
        <w:t>De</w:t>
      </w:r>
      <w:proofErr w:type="spellEnd"/>
      <w:r w:rsidRPr="004519BF">
        <w:rPr>
          <w:rFonts w:ascii="Arial" w:hAnsi="Arial" w:cs="Arial"/>
          <w:sz w:val="19"/>
          <w:szCs w:val="19"/>
        </w:rPr>
        <w:t xml:space="preserve"> La Hoz.</w:t>
      </w:r>
    </w:p>
    <w:p w14:paraId="0F96EB1D" w14:textId="77777777" w:rsidR="0026663E" w:rsidRPr="004519BF" w:rsidRDefault="0026663E" w:rsidP="00A431F3">
      <w:pPr>
        <w:pStyle w:val="Textonotapie"/>
        <w:ind w:firstLine="709"/>
        <w:jc w:val="both"/>
        <w:rPr>
          <w:rFonts w:ascii="Arial" w:hAnsi="Arial" w:cs="Arial"/>
          <w:sz w:val="19"/>
          <w:szCs w:val="19"/>
        </w:rPr>
      </w:pPr>
    </w:p>
  </w:footnote>
  <w:footnote w:id="20">
    <w:p w14:paraId="1CAE96B2" w14:textId="77777777" w:rsidR="00A431F3" w:rsidRPr="002C4B31" w:rsidRDefault="00A431F3" w:rsidP="00A431F3">
      <w:pPr>
        <w:ind w:firstLine="708"/>
        <w:jc w:val="both"/>
        <w:rPr>
          <w:rFonts w:ascii="Arial" w:hAnsi="Arial" w:cs="Arial"/>
          <w:sz w:val="19"/>
          <w:szCs w:val="19"/>
        </w:rPr>
      </w:pPr>
      <w:r w:rsidRPr="002C4B31">
        <w:rPr>
          <w:rStyle w:val="Refdenotaalpie"/>
          <w:rFonts w:ascii="Arial" w:hAnsi="Arial" w:cs="Arial"/>
          <w:sz w:val="19"/>
          <w:szCs w:val="19"/>
        </w:rPr>
        <w:footnoteRef/>
      </w:r>
      <w:r w:rsidRPr="002C4B31">
        <w:rPr>
          <w:rFonts w:ascii="Arial" w:hAnsi="Arial" w:cs="Arial"/>
          <w:sz w:val="19"/>
          <w:szCs w:val="19"/>
        </w:rPr>
        <w:t xml:space="preserve">  Ley 1474 de 2011 «Artículo 5°. Quien haya celebrado un contrato estatal de obra pública, de concesión, suministro de medicamentos y de alimentos o su cónyuge, compañero o compañera permanente, pariente hasta el segundo grado de </w:t>
      </w:r>
      <w:proofErr w:type="spellStart"/>
      <w:r w:rsidRPr="002C4B31">
        <w:rPr>
          <w:rFonts w:ascii="Arial" w:hAnsi="Arial" w:cs="Arial"/>
          <w:sz w:val="19"/>
          <w:szCs w:val="19"/>
        </w:rPr>
        <w:t>consaguinidad</w:t>
      </w:r>
      <w:proofErr w:type="spellEnd"/>
      <w:r w:rsidRPr="002C4B31">
        <w:rPr>
          <w:rFonts w:ascii="Arial" w:hAnsi="Arial" w:cs="Arial"/>
          <w:sz w:val="19"/>
          <w:szCs w:val="19"/>
        </w:rPr>
        <w:t xml:space="preserve">,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p w14:paraId="70D7E9E7" w14:textId="77777777" w:rsidR="00A431F3" w:rsidRPr="002C4B31" w:rsidRDefault="00A431F3" w:rsidP="00A431F3">
      <w:pPr>
        <w:pStyle w:val="Textonotapie"/>
        <w:ind w:firstLine="708"/>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D675CA" w:rsidRDefault="00D675CA">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1190"/>
    <w:rsid w:val="00013ECF"/>
    <w:rsid w:val="0001466D"/>
    <w:rsid w:val="0001620B"/>
    <w:rsid w:val="000176DE"/>
    <w:rsid w:val="000204FC"/>
    <w:rsid w:val="000234B2"/>
    <w:rsid w:val="00023EF1"/>
    <w:rsid w:val="00024FFB"/>
    <w:rsid w:val="0002529B"/>
    <w:rsid w:val="0002684A"/>
    <w:rsid w:val="00026B88"/>
    <w:rsid w:val="00027330"/>
    <w:rsid w:val="00032C44"/>
    <w:rsid w:val="00034102"/>
    <w:rsid w:val="00034222"/>
    <w:rsid w:val="000402A2"/>
    <w:rsid w:val="00043E70"/>
    <w:rsid w:val="000458A1"/>
    <w:rsid w:val="00045B9D"/>
    <w:rsid w:val="0004614C"/>
    <w:rsid w:val="0004642B"/>
    <w:rsid w:val="0005188E"/>
    <w:rsid w:val="0005190E"/>
    <w:rsid w:val="000544AE"/>
    <w:rsid w:val="00054A6F"/>
    <w:rsid w:val="00055022"/>
    <w:rsid w:val="00060CEB"/>
    <w:rsid w:val="00062738"/>
    <w:rsid w:val="00062B22"/>
    <w:rsid w:val="00062F28"/>
    <w:rsid w:val="00063AC1"/>
    <w:rsid w:val="00070135"/>
    <w:rsid w:val="000778DE"/>
    <w:rsid w:val="000813CC"/>
    <w:rsid w:val="00081913"/>
    <w:rsid w:val="00082027"/>
    <w:rsid w:val="000869D7"/>
    <w:rsid w:val="00087EDA"/>
    <w:rsid w:val="000919DA"/>
    <w:rsid w:val="00096060"/>
    <w:rsid w:val="00096901"/>
    <w:rsid w:val="000A0AEC"/>
    <w:rsid w:val="000A0CA8"/>
    <w:rsid w:val="000A6E67"/>
    <w:rsid w:val="000B382A"/>
    <w:rsid w:val="000B415E"/>
    <w:rsid w:val="000B660E"/>
    <w:rsid w:val="000B7FDC"/>
    <w:rsid w:val="000C064C"/>
    <w:rsid w:val="000C0A21"/>
    <w:rsid w:val="000C3D09"/>
    <w:rsid w:val="000C4362"/>
    <w:rsid w:val="000C770E"/>
    <w:rsid w:val="000D071C"/>
    <w:rsid w:val="000D0CA4"/>
    <w:rsid w:val="000D1801"/>
    <w:rsid w:val="000D5B2C"/>
    <w:rsid w:val="000D6E4B"/>
    <w:rsid w:val="000E4F2A"/>
    <w:rsid w:val="000E5E0B"/>
    <w:rsid w:val="000F07EC"/>
    <w:rsid w:val="000F16CF"/>
    <w:rsid w:val="000F61D3"/>
    <w:rsid w:val="00103FB0"/>
    <w:rsid w:val="00105A27"/>
    <w:rsid w:val="001062AF"/>
    <w:rsid w:val="00111454"/>
    <w:rsid w:val="00111971"/>
    <w:rsid w:val="001125C2"/>
    <w:rsid w:val="0011698D"/>
    <w:rsid w:val="00120405"/>
    <w:rsid w:val="001230BC"/>
    <w:rsid w:val="00123F48"/>
    <w:rsid w:val="00127307"/>
    <w:rsid w:val="0012781C"/>
    <w:rsid w:val="00130FF6"/>
    <w:rsid w:val="00142009"/>
    <w:rsid w:val="00142E79"/>
    <w:rsid w:val="00146B60"/>
    <w:rsid w:val="00146F8C"/>
    <w:rsid w:val="001507AE"/>
    <w:rsid w:val="001527C8"/>
    <w:rsid w:val="00152D59"/>
    <w:rsid w:val="00153435"/>
    <w:rsid w:val="001539AA"/>
    <w:rsid w:val="001539C9"/>
    <w:rsid w:val="00153F8E"/>
    <w:rsid w:val="00154880"/>
    <w:rsid w:val="001571B3"/>
    <w:rsid w:val="0016243E"/>
    <w:rsid w:val="00162EC2"/>
    <w:rsid w:val="001639F7"/>
    <w:rsid w:val="00163A8B"/>
    <w:rsid w:val="001659D1"/>
    <w:rsid w:val="00167479"/>
    <w:rsid w:val="00170431"/>
    <w:rsid w:val="00170558"/>
    <w:rsid w:val="001708CF"/>
    <w:rsid w:val="001711C6"/>
    <w:rsid w:val="00186301"/>
    <w:rsid w:val="00186E11"/>
    <w:rsid w:val="0019117C"/>
    <w:rsid w:val="00191A25"/>
    <w:rsid w:val="00191D12"/>
    <w:rsid w:val="0019228D"/>
    <w:rsid w:val="00195226"/>
    <w:rsid w:val="00196BD7"/>
    <w:rsid w:val="001A21C0"/>
    <w:rsid w:val="001A6B3E"/>
    <w:rsid w:val="001A7E08"/>
    <w:rsid w:val="001B4AAC"/>
    <w:rsid w:val="001B5526"/>
    <w:rsid w:val="001C0105"/>
    <w:rsid w:val="001C209E"/>
    <w:rsid w:val="001C359E"/>
    <w:rsid w:val="001C3DC2"/>
    <w:rsid w:val="001C60D3"/>
    <w:rsid w:val="001C61FC"/>
    <w:rsid w:val="001D2743"/>
    <w:rsid w:val="001D42AD"/>
    <w:rsid w:val="001D6DB5"/>
    <w:rsid w:val="001D71EC"/>
    <w:rsid w:val="001E045A"/>
    <w:rsid w:val="001E5852"/>
    <w:rsid w:val="001F0BFE"/>
    <w:rsid w:val="001F2F64"/>
    <w:rsid w:val="00201EBD"/>
    <w:rsid w:val="0020438A"/>
    <w:rsid w:val="0020594A"/>
    <w:rsid w:val="002076B6"/>
    <w:rsid w:val="00207F73"/>
    <w:rsid w:val="00212317"/>
    <w:rsid w:val="0021284F"/>
    <w:rsid w:val="00213194"/>
    <w:rsid w:val="002202F8"/>
    <w:rsid w:val="00220422"/>
    <w:rsid w:val="0022247C"/>
    <w:rsid w:val="00223524"/>
    <w:rsid w:val="002236A3"/>
    <w:rsid w:val="00226878"/>
    <w:rsid w:val="0022772A"/>
    <w:rsid w:val="0023044E"/>
    <w:rsid w:val="00230A7E"/>
    <w:rsid w:val="002326D5"/>
    <w:rsid w:val="0023287A"/>
    <w:rsid w:val="002354D5"/>
    <w:rsid w:val="00236F30"/>
    <w:rsid w:val="00237EAB"/>
    <w:rsid w:val="00241F51"/>
    <w:rsid w:val="002465B4"/>
    <w:rsid w:val="00246CBC"/>
    <w:rsid w:val="00247959"/>
    <w:rsid w:val="002535D3"/>
    <w:rsid w:val="00256B18"/>
    <w:rsid w:val="00263510"/>
    <w:rsid w:val="00265B63"/>
    <w:rsid w:val="00265EF2"/>
    <w:rsid w:val="0026663E"/>
    <w:rsid w:val="00271BFE"/>
    <w:rsid w:val="00273DB6"/>
    <w:rsid w:val="00274556"/>
    <w:rsid w:val="002754CC"/>
    <w:rsid w:val="002818EA"/>
    <w:rsid w:val="00281F95"/>
    <w:rsid w:val="00286C57"/>
    <w:rsid w:val="002875EE"/>
    <w:rsid w:val="0028780F"/>
    <w:rsid w:val="00287834"/>
    <w:rsid w:val="0029198D"/>
    <w:rsid w:val="00291F25"/>
    <w:rsid w:val="00291F2F"/>
    <w:rsid w:val="00293F1F"/>
    <w:rsid w:val="002953C8"/>
    <w:rsid w:val="00296D50"/>
    <w:rsid w:val="002A165E"/>
    <w:rsid w:val="002A2BDD"/>
    <w:rsid w:val="002A2F5B"/>
    <w:rsid w:val="002A4474"/>
    <w:rsid w:val="002A4CED"/>
    <w:rsid w:val="002B1C05"/>
    <w:rsid w:val="002B1CB3"/>
    <w:rsid w:val="002B4D31"/>
    <w:rsid w:val="002B66D7"/>
    <w:rsid w:val="002C0C44"/>
    <w:rsid w:val="002C554A"/>
    <w:rsid w:val="002C593D"/>
    <w:rsid w:val="002C62F1"/>
    <w:rsid w:val="002D2918"/>
    <w:rsid w:val="002D2E26"/>
    <w:rsid w:val="002D6A76"/>
    <w:rsid w:val="002D7F72"/>
    <w:rsid w:val="002E06AA"/>
    <w:rsid w:val="002E1529"/>
    <w:rsid w:val="002E1BCA"/>
    <w:rsid w:val="002E284A"/>
    <w:rsid w:val="002E3086"/>
    <w:rsid w:val="002E73C8"/>
    <w:rsid w:val="002F17A4"/>
    <w:rsid w:val="002F2DFB"/>
    <w:rsid w:val="002F3738"/>
    <w:rsid w:val="002F3F6A"/>
    <w:rsid w:val="002F4CCC"/>
    <w:rsid w:val="002F5EA2"/>
    <w:rsid w:val="002F6093"/>
    <w:rsid w:val="0030206E"/>
    <w:rsid w:val="003038BC"/>
    <w:rsid w:val="00310242"/>
    <w:rsid w:val="003102D3"/>
    <w:rsid w:val="003113D5"/>
    <w:rsid w:val="003123C8"/>
    <w:rsid w:val="0031266F"/>
    <w:rsid w:val="00313F62"/>
    <w:rsid w:val="00315E8A"/>
    <w:rsid w:val="00316E40"/>
    <w:rsid w:val="0031793E"/>
    <w:rsid w:val="00320A6F"/>
    <w:rsid w:val="00324CB6"/>
    <w:rsid w:val="003253FD"/>
    <w:rsid w:val="003273B8"/>
    <w:rsid w:val="00327EF4"/>
    <w:rsid w:val="00332BE4"/>
    <w:rsid w:val="00334D76"/>
    <w:rsid w:val="0033514B"/>
    <w:rsid w:val="003355C9"/>
    <w:rsid w:val="003371D6"/>
    <w:rsid w:val="00341AA9"/>
    <w:rsid w:val="00341C82"/>
    <w:rsid w:val="00344DD9"/>
    <w:rsid w:val="00345C69"/>
    <w:rsid w:val="00345CC9"/>
    <w:rsid w:val="0035026D"/>
    <w:rsid w:val="00351583"/>
    <w:rsid w:val="003517A0"/>
    <w:rsid w:val="003517E3"/>
    <w:rsid w:val="00355294"/>
    <w:rsid w:val="003601E4"/>
    <w:rsid w:val="00361F71"/>
    <w:rsid w:val="00363A41"/>
    <w:rsid w:val="00363D6F"/>
    <w:rsid w:val="003641B4"/>
    <w:rsid w:val="003643A9"/>
    <w:rsid w:val="00365097"/>
    <w:rsid w:val="00365A59"/>
    <w:rsid w:val="00366668"/>
    <w:rsid w:val="00366846"/>
    <w:rsid w:val="00370F96"/>
    <w:rsid w:val="00374378"/>
    <w:rsid w:val="00374A17"/>
    <w:rsid w:val="0037511A"/>
    <w:rsid w:val="0037569C"/>
    <w:rsid w:val="00375CD3"/>
    <w:rsid w:val="00376CF7"/>
    <w:rsid w:val="00380E9B"/>
    <w:rsid w:val="003820E3"/>
    <w:rsid w:val="003828A9"/>
    <w:rsid w:val="00383A02"/>
    <w:rsid w:val="0038489A"/>
    <w:rsid w:val="00393A8A"/>
    <w:rsid w:val="00395DCF"/>
    <w:rsid w:val="00397716"/>
    <w:rsid w:val="00397C31"/>
    <w:rsid w:val="003A0755"/>
    <w:rsid w:val="003A0B9C"/>
    <w:rsid w:val="003A161F"/>
    <w:rsid w:val="003A16E4"/>
    <w:rsid w:val="003A7D4E"/>
    <w:rsid w:val="003B02D6"/>
    <w:rsid w:val="003B06C3"/>
    <w:rsid w:val="003B23C8"/>
    <w:rsid w:val="003B425E"/>
    <w:rsid w:val="003B5D12"/>
    <w:rsid w:val="003C3676"/>
    <w:rsid w:val="003C6DE9"/>
    <w:rsid w:val="003C7AE5"/>
    <w:rsid w:val="003D1F97"/>
    <w:rsid w:val="003D63A4"/>
    <w:rsid w:val="003E6812"/>
    <w:rsid w:val="003F45DC"/>
    <w:rsid w:val="003F75F3"/>
    <w:rsid w:val="0040004C"/>
    <w:rsid w:val="004016FF"/>
    <w:rsid w:val="00404138"/>
    <w:rsid w:val="00405C93"/>
    <w:rsid w:val="0040674B"/>
    <w:rsid w:val="004079FF"/>
    <w:rsid w:val="004117DD"/>
    <w:rsid w:val="004124C1"/>
    <w:rsid w:val="004128C5"/>
    <w:rsid w:val="004151E9"/>
    <w:rsid w:val="00420A9F"/>
    <w:rsid w:val="004213D4"/>
    <w:rsid w:val="00424422"/>
    <w:rsid w:val="00425D7D"/>
    <w:rsid w:val="00426F03"/>
    <w:rsid w:val="00430023"/>
    <w:rsid w:val="00430145"/>
    <w:rsid w:val="004302E9"/>
    <w:rsid w:val="00430582"/>
    <w:rsid w:val="004315F6"/>
    <w:rsid w:val="004324D9"/>
    <w:rsid w:val="004327E3"/>
    <w:rsid w:val="00435A56"/>
    <w:rsid w:val="00435D91"/>
    <w:rsid w:val="004407B9"/>
    <w:rsid w:val="00441E75"/>
    <w:rsid w:val="004437EA"/>
    <w:rsid w:val="004462F2"/>
    <w:rsid w:val="00452E2A"/>
    <w:rsid w:val="004545AE"/>
    <w:rsid w:val="00457ADD"/>
    <w:rsid w:val="0046174F"/>
    <w:rsid w:val="00463A11"/>
    <w:rsid w:val="00463FFA"/>
    <w:rsid w:val="00464EB4"/>
    <w:rsid w:val="0046502B"/>
    <w:rsid w:val="0046528B"/>
    <w:rsid w:val="00466859"/>
    <w:rsid w:val="00467C65"/>
    <w:rsid w:val="004716C9"/>
    <w:rsid w:val="00471790"/>
    <w:rsid w:val="004721EB"/>
    <w:rsid w:val="004725FC"/>
    <w:rsid w:val="0047405B"/>
    <w:rsid w:val="00474352"/>
    <w:rsid w:val="00475C68"/>
    <w:rsid w:val="00480273"/>
    <w:rsid w:val="004802D0"/>
    <w:rsid w:val="00480832"/>
    <w:rsid w:val="00482E69"/>
    <w:rsid w:val="00483B49"/>
    <w:rsid w:val="00483CDB"/>
    <w:rsid w:val="004843C2"/>
    <w:rsid w:val="00485D48"/>
    <w:rsid w:val="00485F62"/>
    <w:rsid w:val="004916AC"/>
    <w:rsid w:val="00494123"/>
    <w:rsid w:val="004958D7"/>
    <w:rsid w:val="004966BA"/>
    <w:rsid w:val="00497DA1"/>
    <w:rsid w:val="004A0D11"/>
    <w:rsid w:val="004A0FB4"/>
    <w:rsid w:val="004A1187"/>
    <w:rsid w:val="004A303C"/>
    <w:rsid w:val="004A3487"/>
    <w:rsid w:val="004A4B63"/>
    <w:rsid w:val="004A7437"/>
    <w:rsid w:val="004A743C"/>
    <w:rsid w:val="004B0CAB"/>
    <w:rsid w:val="004B23E5"/>
    <w:rsid w:val="004B28F7"/>
    <w:rsid w:val="004B3A62"/>
    <w:rsid w:val="004C0845"/>
    <w:rsid w:val="004C17CF"/>
    <w:rsid w:val="004C59D3"/>
    <w:rsid w:val="004C6330"/>
    <w:rsid w:val="004D0D2E"/>
    <w:rsid w:val="004D2D3A"/>
    <w:rsid w:val="004D51F9"/>
    <w:rsid w:val="004D525E"/>
    <w:rsid w:val="004D69C3"/>
    <w:rsid w:val="004E3619"/>
    <w:rsid w:val="004E3DA3"/>
    <w:rsid w:val="004E70E1"/>
    <w:rsid w:val="004E7E51"/>
    <w:rsid w:val="004F07AE"/>
    <w:rsid w:val="004F208F"/>
    <w:rsid w:val="004F424C"/>
    <w:rsid w:val="004F6805"/>
    <w:rsid w:val="004F75E7"/>
    <w:rsid w:val="0050179D"/>
    <w:rsid w:val="00502096"/>
    <w:rsid w:val="0050497B"/>
    <w:rsid w:val="005052D5"/>
    <w:rsid w:val="00510272"/>
    <w:rsid w:val="00511BEC"/>
    <w:rsid w:val="0051270E"/>
    <w:rsid w:val="0051286F"/>
    <w:rsid w:val="0051547E"/>
    <w:rsid w:val="005167CE"/>
    <w:rsid w:val="005202C0"/>
    <w:rsid w:val="00520C52"/>
    <w:rsid w:val="00523EB9"/>
    <w:rsid w:val="00526823"/>
    <w:rsid w:val="00526DDA"/>
    <w:rsid w:val="00527FF3"/>
    <w:rsid w:val="00531082"/>
    <w:rsid w:val="00543C0D"/>
    <w:rsid w:val="0054431A"/>
    <w:rsid w:val="00544C78"/>
    <w:rsid w:val="0054655E"/>
    <w:rsid w:val="00547CB3"/>
    <w:rsid w:val="00551ADC"/>
    <w:rsid w:val="00552D49"/>
    <w:rsid w:val="00556F2A"/>
    <w:rsid w:val="00561A25"/>
    <w:rsid w:val="00575719"/>
    <w:rsid w:val="00577D87"/>
    <w:rsid w:val="00580F88"/>
    <w:rsid w:val="00582383"/>
    <w:rsid w:val="00590C7B"/>
    <w:rsid w:val="00595BCC"/>
    <w:rsid w:val="00596A92"/>
    <w:rsid w:val="00596C81"/>
    <w:rsid w:val="0059714E"/>
    <w:rsid w:val="005A0C03"/>
    <w:rsid w:val="005A2552"/>
    <w:rsid w:val="005B03D8"/>
    <w:rsid w:val="005B2A24"/>
    <w:rsid w:val="005B4264"/>
    <w:rsid w:val="005C3444"/>
    <w:rsid w:val="005C3A2D"/>
    <w:rsid w:val="005C4350"/>
    <w:rsid w:val="005C46A2"/>
    <w:rsid w:val="005C50B5"/>
    <w:rsid w:val="005D10FE"/>
    <w:rsid w:val="005D17E8"/>
    <w:rsid w:val="005D7684"/>
    <w:rsid w:val="005E0F0A"/>
    <w:rsid w:val="005E0FC6"/>
    <w:rsid w:val="005E47C7"/>
    <w:rsid w:val="005E4DB0"/>
    <w:rsid w:val="005E574C"/>
    <w:rsid w:val="005E5D92"/>
    <w:rsid w:val="005E6CDC"/>
    <w:rsid w:val="005F0DF6"/>
    <w:rsid w:val="005F0E52"/>
    <w:rsid w:val="005F2D19"/>
    <w:rsid w:val="00603869"/>
    <w:rsid w:val="0060615E"/>
    <w:rsid w:val="00606ABB"/>
    <w:rsid w:val="00606D2B"/>
    <w:rsid w:val="0060708B"/>
    <w:rsid w:val="006107D4"/>
    <w:rsid w:val="0061316D"/>
    <w:rsid w:val="0061417E"/>
    <w:rsid w:val="00614289"/>
    <w:rsid w:val="0061503C"/>
    <w:rsid w:val="006158F4"/>
    <w:rsid w:val="00617785"/>
    <w:rsid w:val="00617F82"/>
    <w:rsid w:val="006205BD"/>
    <w:rsid w:val="00620E83"/>
    <w:rsid w:val="00621E2B"/>
    <w:rsid w:val="006220FB"/>
    <w:rsid w:val="00622C2E"/>
    <w:rsid w:val="00622C6E"/>
    <w:rsid w:val="00625B22"/>
    <w:rsid w:val="00626F3F"/>
    <w:rsid w:val="00631789"/>
    <w:rsid w:val="00633255"/>
    <w:rsid w:val="0063433B"/>
    <w:rsid w:val="00636139"/>
    <w:rsid w:val="0064247D"/>
    <w:rsid w:val="00642562"/>
    <w:rsid w:val="00650642"/>
    <w:rsid w:val="00651586"/>
    <w:rsid w:val="00660ED0"/>
    <w:rsid w:val="0066116F"/>
    <w:rsid w:val="006627DA"/>
    <w:rsid w:val="00663D13"/>
    <w:rsid w:val="00663D86"/>
    <w:rsid w:val="0067128E"/>
    <w:rsid w:val="00671A2C"/>
    <w:rsid w:val="00672207"/>
    <w:rsid w:val="00674877"/>
    <w:rsid w:val="006761A9"/>
    <w:rsid w:val="00677620"/>
    <w:rsid w:val="00677B2E"/>
    <w:rsid w:val="0068058B"/>
    <w:rsid w:val="00681396"/>
    <w:rsid w:val="006815EF"/>
    <w:rsid w:val="0068262D"/>
    <w:rsid w:val="006839C6"/>
    <w:rsid w:val="00685449"/>
    <w:rsid w:val="00685807"/>
    <w:rsid w:val="00686486"/>
    <w:rsid w:val="0069241C"/>
    <w:rsid w:val="00695A53"/>
    <w:rsid w:val="00697C3A"/>
    <w:rsid w:val="006A2D6F"/>
    <w:rsid w:val="006A3DEB"/>
    <w:rsid w:val="006A72E5"/>
    <w:rsid w:val="006B0E3A"/>
    <w:rsid w:val="006B6332"/>
    <w:rsid w:val="006B67BF"/>
    <w:rsid w:val="006C04D5"/>
    <w:rsid w:val="006C1640"/>
    <w:rsid w:val="006C1B13"/>
    <w:rsid w:val="006C23E1"/>
    <w:rsid w:val="006C2807"/>
    <w:rsid w:val="006D016E"/>
    <w:rsid w:val="006D0CE2"/>
    <w:rsid w:val="006D1052"/>
    <w:rsid w:val="006D695A"/>
    <w:rsid w:val="006E188A"/>
    <w:rsid w:val="006E226D"/>
    <w:rsid w:val="006E2AF0"/>
    <w:rsid w:val="006E47E1"/>
    <w:rsid w:val="006E51A5"/>
    <w:rsid w:val="006E7476"/>
    <w:rsid w:val="006E74A0"/>
    <w:rsid w:val="006F3800"/>
    <w:rsid w:val="006F71A2"/>
    <w:rsid w:val="006F771D"/>
    <w:rsid w:val="006F7835"/>
    <w:rsid w:val="007007C0"/>
    <w:rsid w:val="0070099C"/>
    <w:rsid w:val="00701856"/>
    <w:rsid w:val="0070780B"/>
    <w:rsid w:val="00710E95"/>
    <w:rsid w:val="007128B4"/>
    <w:rsid w:val="007131FC"/>
    <w:rsid w:val="007158FC"/>
    <w:rsid w:val="007164FE"/>
    <w:rsid w:val="007241E4"/>
    <w:rsid w:val="00726648"/>
    <w:rsid w:val="0073221D"/>
    <w:rsid w:val="007334E8"/>
    <w:rsid w:val="00733807"/>
    <w:rsid w:val="0073455E"/>
    <w:rsid w:val="00734B6B"/>
    <w:rsid w:val="00735D1C"/>
    <w:rsid w:val="0073659A"/>
    <w:rsid w:val="00740CA5"/>
    <w:rsid w:val="0074286A"/>
    <w:rsid w:val="00743A7B"/>
    <w:rsid w:val="0075059B"/>
    <w:rsid w:val="00751410"/>
    <w:rsid w:val="00751950"/>
    <w:rsid w:val="00754068"/>
    <w:rsid w:val="007540D0"/>
    <w:rsid w:val="007567EA"/>
    <w:rsid w:val="007569AA"/>
    <w:rsid w:val="00760276"/>
    <w:rsid w:val="007622E0"/>
    <w:rsid w:val="00763221"/>
    <w:rsid w:val="00763570"/>
    <w:rsid w:val="00763FC3"/>
    <w:rsid w:val="007664DF"/>
    <w:rsid w:val="007667CB"/>
    <w:rsid w:val="00767090"/>
    <w:rsid w:val="00772D6C"/>
    <w:rsid w:val="00773B80"/>
    <w:rsid w:val="00774AB5"/>
    <w:rsid w:val="00775872"/>
    <w:rsid w:val="0078012C"/>
    <w:rsid w:val="0078185D"/>
    <w:rsid w:val="00781C22"/>
    <w:rsid w:val="007879F2"/>
    <w:rsid w:val="0079160C"/>
    <w:rsid w:val="00792620"/>
    <w:rsid w:val="00794589"/>
    <w:rsid w:val="00795AE7"/>
    <w:rsid w:val="007A30A3"/>
    <w:rsid w:val="007A40EC"/>
    <w:rsid w:val="007A705E"/>
    <w:rsid w:val="007A7284"/>
    <w:rsid w:val="007A7361"/>
    <w:rsid w:val="007A77BD"/>
    <w:rsid w:val="007B0DE5"/>
    <w:rsid w:val="007B31AB"/>
    <w:rsid w:val="007B4A00"/>
    <w:rsid w:val="007B4A37"/>
    <w:rsid w:val="007C063C"/>
    <w:rsid w:val="007C3126"/>
    <w:rsid w:val="007C5740"/>
    <w:rsid w:val="007C6368"/>
    <w:rsid w:val="007D0174"/>
    <w:rsid w:val="007D0816"/>
    <w:rsid w:val="007D1D86"/>
    <w:rsid w:val="007D30FF"/>
    <w:rsid w:val="007D3F1D"/>
    <w:rsid w:val="007E16B1"/>
    <w:rsid w:val="007E30D2"/>
    <w:rsid w:val="007E447D"/>
    <w:rsid w:val="007E6480"/>
    <w:rsid w:val="007E7707"/>
    <w:rsid w:val="007E7850"/>
    <w:rsid w:val="007F4042"/>
    <w:rsid w:val="007F5920"/>
    <w:rsid w:val="008026C6"/>
    <w:rsid w:val="008058A8"/>
    <w:rsid w:val="00807411"/>
    <w:rsid w:val="0081420D"/>
    <w:rsid w:val="00814493"/>
    <w:rsid w:val="0081498E"/>
    <w:rsid w:val="008157A0"/>
    <w:rsid w:val="00816C02"/>
    <w:rsid w:val="00823662"/>
    <w:rsid w:val="00823737"/>
    <w:rsid w:val="00824C33"/>
    <w:rsid w:val="00824E6B"/>
    <w:rsid w:val="00824F6A"/>
    <w:rsid w:val="00825150"/>
    <w:rsid w:val="00825746"/>
    <w:rsid w:val="00826C45"/>
    <w:rsid w:val="00827FB6"/>
    <w:rsid w:val="00837734"/>
    <w:rsid w:val="008379C2"/>
    <w:rsid w:val="00837D0A"/>
    <w:rsid w:val="008416B5"/>
    <w:rsid w:val="00841841"/>
    <w:rsid w:val="0084278C"/>
    <w:rsid w:val="0084312D"/>
    <w:rsid w:val="00843AB7"/>
    <w:rsid w:val="00844558"/>
    <w:rsid w:val="00846C28"/>
    <w:rsid w:val="0086037B"/>
    <w:rsid w:val="00861ADD"/>
    <w:rsid w:val="00863245"/>
    <w:rsid w:val="00864F51"/>
    <w:rsid w:val="00871150"/>
    <w:rsid w:val="008724A0"/>
    <w:rsid w:val="00877AF6"/>
    <w:rsid w:val="0088150A"/>
    <w:rsid w:val="00883122"/>
    <w:rsid w:val="00885AD9"/>
    <w:rsid w:val="00887030"/>
    <w:rsid w:val="00887417"/>
    <w:rsid w:val="00890BBE"/>
    <w:rsid w:val="00891FA3"/>
    <w:rsid w:val="008925AC"/>
    <w:rsid w:val="0089592C"/>
    <w:rsid w:val="00896003"/>
    <w:rsid w:val="008A0193"/>
    <w:rsid w:val="008A278D"/>
    <w:rsid w:val="008A310E"/>
    <w:rsid w:val="008A6C04"/>
    <w:rsid w:val="008B03DE"/>
    <w:rsid w:val="008B2F83"/>
    <w:rsid w:val="008B3781"/>
    <w:rsid w:val="008B4095"/>
    <w:rsid w:val="008B696D"/>
    <w:rsid w:val="008B7D24"/>
    <w:rsid w:val="008C0356"/>
    <w:rsid w:val="008C1186"/>
    <w:rsid w:val="008D3570"/>
    <w:rsid w:val="008D4731"/>
    <w:rsid w:val="008D5223"/>
    <w:rsid w:val="008E0E48"/>
    <w:rsid w:val="008E312F"/>
    <w:rsid w:val="008F0B23"/>
    <w:rsid w:val="008F1902"/>
    <w:rsid w:val="008F24E7"/>
    <w:rsid w:val="008F3CF4"/>
    <w:rsid w:val="008F4AC4"/>
    <w:rsid w:val="008F6AEE"/>
    <w:rsid w:val="00903B2A"/>
    <w:rsid w:val="009044F3"/>
    <w:rsid w:val="00905991"/>
    <w:rsid w:val="00905BED"/>
    <w:rsid w:val="009060C8"/>
    <w:rsid w:val="00913AD3"/>
    <w:rsid w:val="00915350"/>
    <w:rsid w:val="00915ECD"/>
    <w:rsid w:val="00915F5C"/>
    <w:rsid w:val="00922D22"/>
    <w:rsid w:val="00922F05"/>
    <w:rsid w:val="009234F7"/>
    <w:rsid w:val="0092573E"/>
    <w:rsid w:val="0092610E"/>
    <w:rsid w:val="00926468"/>
    <w:rsid w:val="009266FF"/>
    <w:rsid w:val="00930C5D"/>
    <w:rsid w:val="009413FD"/>
    <w:rsid w:val="00941EA5"/>
    <w:rsid w:val="00943000"/>
    <w:rsid w:val="00946659"/>
    <w:rsid w:val="00947412"/>
    <w:rsid w:val="0095113E"/>
    <w:rsid w:val="00954AEC"/>
    <w:rsid w:val="0095753A"/>
    <w:rsid w:val="00960C4B"/>
    <w:rsid w:val="009649CA"/>
    <w:rsid w:val="009654FF"/>
    <w:rsid w:val="00976023"/>
    <w:rsid w:val="009775B0"/>
    <w:rsid w:val="00982685"/>
    <w:rsid w:val="009831C6"/>
    <w:rsid w:val="00983F80"/>
    <w:rsid w:val="00984A9E"/>
    <w:rsid w:val="00985C4E"/>
    <w:rsid w:val="009867C3"/>
    <w:rsid w:val="00987CA8"/>
    <w:rsid w:val="00990887"/>
    <w:rsid w:val="009916EF"/>
    <w:rsid w:val="009920A5"/>
    <w:rsid w:val="00992771"/>
    <w:rsid w:val="00996310"/>
    <w:rsid w:val="0099758F"/>
    <w:rsid w:val="00997C49"/>
    <w:rsid w:val="009A0112"/>
    <w:rsid w:val="009A21B5"/>
    <w:rsid w:val="009A2DA3"/>
    <w:rsid w:val="009A466F"/>
    <w:rsid w:val="009A588B"/>
    <w:rsid w:val="009B0096"/>
    <w:rsid w:val="009B193D"/>
    <w:rsid w:val="009B1AC4"/>
    <w:rsid w:val="009B317D"/>
    <w:rsid w:val="009B4306"/>
    <w:rsid w:val="009B64EA"/>
    <w:rsid w:val="009C13FB"/>
    <w:rsid w:val="009C495F"/>
    <w:rsid w:val="009C538B"/>
    <w:rsid w:val="009C54DD"/>
    <w:rsid w:val="009C7094"/>
    <w:rsid w:val="009D013E"/>
    <w:rsid w:val="009D10E5"/>
    <w:rsid w:val="009D1479"/>
    <w:rsid w:val="009D147B"/>
    <w:rsid w:val="009D1642"/>
    <w:rsid w:val="009D3982"/>
    <w:rsid w:val="009D3AA9"/>
    <w:rsid w:val="009D3E8F"/>
    <w:rsid w:val="009D47FC"/>
    <w:rsid w:val="009D633F"/>
    <w:rsid w:val="009D7663"/>
    <w:rsid w:val="009E04DD"/>
    <w:rsid w:val="009E1A0F"/>
    <w:rsid w:val="009E29B9"/>
    <w:rsid w:val="009E2DA7"/>
    <w:rsid w:val="009F05AC"/>
    <w:rsid w:val="009F2969"/>
    <w:rsid w:val="009F52EF"/>
    <w:rsid w:val="009F69D6"/>
    <w:rsid w:val="009F6A0F"/>
    <w:rsid w:val="00A009D1"/>
    <w:rsid w:val="00A01E99"/>
    <w:rsid w:val="00A059F1"/>
    <w:rsid w:val="00A05A7F"/>
    <w:rsid w:val="00A069EF"/>
    <w:rsid w:val="00A06A08"/>
    <w:rsid w:val="00A104F8"/>
    <w:rsid w:val="00A10BCE"/>
    <w:rsid w:val="00A14317"/>
    <w:rsid w:val="00A14F4A"/>
    <w:rsid w:val="00A21D1A"/>
    <w:rsid w:val="00A23D48"/>
    <w:rsid w:val="00A23E19"/>
    <w:rsid w:val="00A25613"/>
    <w:rsid w:val="00A2588C"/>
    <w:rsid w:val="00A27343"/>
    <w:rsid w:val="00A36D24"/>
    <w:rsid w:val="00A36E31"/>
    <w:rsid w:val="00A40BBA"/>
    <w:rsid w:val="00A40F07"/>
    <w:rsid w:val="00A416F9"/>
    <w:rsid w:val="00A41E01"/>
    <w:rsid w:val="00A42CBF"/>
    <w:rsid w:val="00A431F3"/>
    <w:rsid w:val="00A4356B"/>
    <w:rsid w:val="00A4435D"/>
    <w:rsid w:val="00A443F2"/>
    <w:rsid w:val="00A51E79"/>
    <w:rsid w:val="00A5231A"/>
    <w:rsid w:val="00A52EA7"/>
    <w:rsid w:val="00A60C0E"/>
    <w:rsid w:val="00A611A3"/>
    <w:rsid w:val="00A6238E"/>
    <w:rsid w:val="00A62B1B"/>
    <w:rsid w:val="00A641A6"/>
    <w:rsid w:val="00A67075"/>
    <w:rsid w:val="00A671C8"/>
    <w:rsid w:val="00A742A3"/>
    <w:rsid w:val="00A75AEC"/>
    <w:rsid w:val="00A77FBC"/>
    <w:rsid w:val="00A81CAD"/>
    <w:rsid w:val="00A81F4E"/>
    <w:rsid w:val="00A842AA"/>
    <w:rsid w:val="00A8590D"/>
    <w:rsid w:val="00A86E4A"/>
    <w:rsid w:val="00A907C5"/>
    <w:rsid w:val="00A93C16"/>
    <w:rsid w:val="00A949A0"/>
    <w:rsid w:val="00A94EDC"/>
    <w:rsid w:val="00A959FC"/>
    <w:rsid w:val="00A97DD8"/>
    <w:rsid w:val="00AA1D4E"/>
    <w:rsid w:val="00AA3352"/>
    <w:rsid w:val="00AA3847"/>
    <w:rsid w:val="00AA4A77"/>
    <w:rsid w:val="00AA5BBF"/>
    <w:rsid w:val="00AA6CEE"/>
    <w:rsid w:val="00AA74EA"/>
    <w:rsid w:val="00AB06D1"/>
    <w:rsid w:val="00AB1A00"/>
    <w:rsid w:val="00AB3133"/>
    <w:rsid w:val="00AB6AB5"/>
    <w:rsid w:val="00AB756D"/>
    <w:rsid w:val="00AC293B"/>
    <w:rsid w:val="00AD1BEA"/>
    <w:rsid w:val="00AD24C3"/>
    <w:rsid w:val="00AD3702"/>
    <w:rsid w:val="00AD56F4"/>
    <w:rsid w:val="00AD730B"/>
    <w:rsid w:val="00AE0165"/>
    <w:rsid w:val="00AE2F9D"/>
    <w:rsid w:val="00AE31E2"/>
    <w:rsid w:val="00AE3748"/>
    <w:rsid w:val="00AE37DD"/>
    <w:rsid w:val="00AE558F"/>
    <w:rsid w:val="00AE7089"/>
    <w:rsid w:val="00AE7421"/>
    <w:rsid w:val="00AF1CBB"/>
    <w:rsid w:val="00AF75F2"/>
    <w:rsid w:val="00B00787"/>
    <w:rsid w:val="00B00B5F"/>
    <w:rsid w:val="00B02272"/>
    <w:rsid w:val="00B026B3"/>
    <w:rsid w:val="00B04292"/>
    <w:rsid w:val="00B0552B"/>
    <w:rsid w:val="00B06BF3"/>
    <w:rsid w:val="00B07AE6"/>
    <w:rsid w:val="00B10282"/>
    <w:rsid w:val="00B137B2"/>
    <w:rsid w:val="00B1410A"/>
    <w:rsid w:val="00B14575"/>
    <w:rsid w:val="00B146B4"/>
    <w:rsid w:val="00B14866"/>
    <w:rsid w:val="00B20B62"/>
    <w:rsid w:val="00B257D5"/>
    <w:rsid w:val="00B31F81"/>
    <w:rsid w:val="00B32C40"/>
    <w:rsid w:val="00B344F4"/>
    <w:rsid w:val="00B37F25"/>
    <w:rsid w:val="00B37FDD"/>
    <w:rsid w:val="00B40677"/>
    <w:rsid w:val="00B41AD4"/>
    <w:rsid w:val="00B42055"/>
    <w:rsid w:val="00B432B3"/>
    <w:rsid w:val="00B46482"/>
    <w:rsid w:val="00B46E5E"/>
    <w:rsid w:val="00B51A8E"/>
    <w:rsid w:val="00B52FD3"/>
    <w:rsid w:val="00B536D9"/>
    <w:rsid w:val="00B537DD"/>
    <w:rsid w:val="00B53B16"/>
    <w:rsid w:val="00B55023"/>
    <w:rsid w:val="00B5626A"/>
    <w:rsid w:val="00B60F82"/>
    <w:rsid w:val="00B61C0D"/>
    <w:rsid w:val="00B6255A"/>
    <w:rsid w:val="00B70D11"/>
    <w:rsid w:val="00B7158B"/>
    <w:rsid w:val="00B71BB4"/>
    <w:rsid w:val="00B72592"/>
    <w:rsid w:val="00B74E4A"/>
    <w:rsid w:val="00B81517"/>
    <w:rsid w:val="00B81A5D"/>
    <w:rsid w:val="00B824ED"/>
    <w:rsid w:val="00B85EB4"/>
    <w:rsid w:val="00B9068A"/>
    <w:rsid w:val="00B91E68"/>
    <w:rsid w:val="00B922AB"/>
    <w:rsid w:val="00B93636"/>
    <w:rsid w:val="00B93BC9"/>
    <w:rsid w:val="00B942CA"/>
    <w:rsid w:val="00B9522C"/>
    <w:rsid w:val="00B9530B"/>
    <w:rsid w:val="00BB5F7C"/>
    <w:rsid w:val="00BB6108"/>
    <w:rsid w:val="00BB6E86"/>
    <w:rsid w:val="00BC369F"/>
    <w:rsid w:val="00BC4779"/>
    <w:rsid w:val="00BC5201"/>
    <w:rsid w:val="00BC5F83"/>
    <w:rsid w:val="00BC6235"/>
    <w:rsid w:val="00BC6955"/>
    <w:rsid w:val="00BD6605"/>
    <w:rsid w:val="00BE0997"/>
    <w:rsid w:val="00BE151C"/>
    <w:rsid w:val="00BE1984"/>
    <w:rsid w:val="00BE2FBE"/>
    <w:rsid w:val="00BF2CE2"/>
    <w:rsid w:val="00BF3F44"/>
    <w:rsid w:val="00BF7349"/>
    <w:rsid w:val="00C02E74"/>
    <w:rsid w:val="00C038AE"/>
    <w:rsid w:val="00C04461"/>
    <w:rsid w:val="00C10EF3"/>
    <w:rsid w:val="00C111A7"/>
    <w:rsid w:val="00C136F3"/>
    <w:rsid w:val="00C13CF7"/>
    <w:rsid w:val="00C1629E"/>
    <w:rsid w:val="00C171BD"/>
    <w:rsid w:val="00C20ECD"/>
    <w:rsid w:val="00C23CAF"/>
    <w:rsid w:val="00C3136E"/>
    <w:rsid w:val="00C40F02"/>
    <w:rsid w:val="00C4215E"/>
    <w:rsid w:val="00C421CB"/>
    <w:rsid w:val="00C426CA"/>
    <w:rsid w:val="00C44F4D"/>
    <w:rsid w:val="00C44FCD"/>
    <w:rsid w:val="00C45A9D"/>
    <w:rsid w:val="00C46088"/>
    <w:rsid w:val="00C47A29"/>
    <w:rsid w:val="00C503E4"/>
    <w:rsid w:val="00C50FA2"/>
    <w:rsid w:val="00C54924"/>
    <w:rsid w:val="00C54B2C"/>
    <w:rsid w:val="00C61C64"/>
    <w:rsid w:val="00C653FC"/>
    <w:rsid w:val="00C70B5F"/>
    <w:rsid w:val="00C71673"/>
    <w:rsid w:val="00C74E89"/>
    <w:rsid w:val="00C76A02"/>
    <w:rsid w:val="00C77658"/>
    <w:rsid w:val="00C8069B"/>
    <w:rsid w:val="00C8250C"/>
    <w:rsid w:val="00C82856"/>
    <w:rsid w:val="00C832C6"/>
    <w:rsid w:val="00C840DC"/>
    <w:rsid w:val="00C861BA"/>
    <w:rsid w:val="00C87E8A"/>
    <w:rsid w:val="00C94594"/>
    <w:rsid w:val="00C966B6"/>
    <w:rsid w:val="00CA3507"/>
    <w:rsid w:val="00CA3F2D"/>
    <w:rsid w:val="00CA6993"/>
    <w:rsid w:val="00CB0B13"/>
    <w:rsid w:val="00CB2499"/>
    <w:rsid w:val="00CB258A"/>
    <w:rsid w:val="00CC1CAB"/>
    <w:rsid w:val="00CC3A1E"/>
    <w:rsid w:val="00CC46F2"/>
    <w:rsid w:val="00CC4EBA"/>
    <w:rsid w:val="00CC7133"/>
    <w:rsid w:val="00CD4EC8"/>
    <w:rsid w:val="00CD5D2C"/>
    <w:rsid w:val="00CD73F8"/>
    <w:rsid w:val="00CE20DF"/>
    <w:rsid w:val="00CE2500"/>
    <w:rsid w:val="00CE7739"/>
    <w:rsid w:val="00CF0038"/>
    <w:rsid w:val="00CF2D89"/>
    <w:rsid w:val="00CF2E88"/>
    <w:rsid w:val="00CF3222"/>
    <w:rsid w:val="00CF5C45"/>
    <w:rsid w:val="00CF6DDD"/>
    <w:rsid w:val="00D001F1"/>
    <w:rsid w:val="00D016BB"/>
    <w:rsid w:val="00D0172E"/>
    <w:rsid w:val="00D04544"/>
    <w:rsid w:val="00D064CE"/>
    <w:rsid w:val="00D11B0A"/>
    <w:rsid w:val="00D134A9"/>
    <w:rsid w:val="00D1359C"/>
    <w:rsid w:val="00D1393C"/>
    <w:rsid w:val="00D14744"/>
    <w:rsid w:val="00D16B8D"/>
    <w:rsid w:val="00D176E6"/>
    <w:rsid w:val="00D2594A"/>
    <w:rsid w:val="00D26A9F"/>
    <w:rsid w:val="00D307AE"/>
    <w:rsid w:val="00D31BD6"/>
    <w:rsid w:val="00D32AF7"/>
    <w:rsid w:val="00D3667E"/>
    <w:rsid w:val="00D368E6"/>
    <w:rsid w:val="00D377ED"/>
    <w:rsid w:val="00D40FC9"/>
    <w:rsid w:val="00D41D56"/>
    <w:rsid w:val="00D42111"/>
    <w:rsid w:val="00D435FE"/>
    <w:rsid w:val="00D43A34"/>
    <w:rsid w:val="00D47158"/>
    <w:rsid w:val="00D47AF9"/>
    <w:rsid w:val="00D50B5C"/>
    <w:rsid w:val="00D50FEA"/>
    <w:rsid w:val="00D5104E"/>
    <w:rsid w:val="00D56B7A"/>
    <w:rsid w:val="00D62C42"/>
    <w:rsid w:val="00D634F2"/>
    <w:rsid w:val="00D6377E"/>
    <w:rsid w:val="00D675CA"/>
    <w:rsid w:val="00D6779F"/>
    <w:rsid w:val="00D70C2C"/>
    <w:rsid w:val="00D70D45"/>
    <w:rsid w:val="00D7536A"/>
    <w:rsid w:val="00D754FD"/>
    <w:rsid w:val="00D763B4"/>
    <w:rsid w:val="00D805C0"/>
    <w:rsid w:val="00D83083"/>
    <w:rsid w:val="00D83E30"/>
    <w:rsid w:val="00D84939"/>
    <w:rsid w:val="00D874F0"/>
    <w:rsid w:val="00D87968"/>
    <w:rsid w:val="00D9022C"/>
    <w:rsid w:val="00D92FB4"/>
    <w:rsid w:val="00D92FEB"/>
    <w:rsid w:val="00D937E1"/>
    <w:rsid w:val="00D94B4B"/>
    <w:rsid w:val="00D94D34"/>
    <w:rsid w:val="00D955C4"/>
    <w:rsid w:val="00DA37E4"/>
    <w:rsid w:val="00DA5920"/>
    <w:rsid w:val="00DB17F3"/>
    <w:rsid w:val="00DB2999"/>
    <w:rsid w:val="00DB471A"/>
    <w:rsid w:val="00DB76B6"/>
    <w:rsid w:val="00DC1C6A"/>
    <w:rsid w:val="00DC29BD"/>
    <w:rsid w:val="00DC5660"/>
    <w:rsid w:val="00DC7F16"/>
    <w:rsid w:val="00DC7FEF"/>
    <w:rsid w:val="00DD4471"/>
    <w:rsid w:val="00DD503B"/>
    <w:rsid w:val="00DD68D0"/>
    <w:rsid w:val="00DE2BEE"/>
    <w:rsid w:val="00DE4FBC"/>
    <w:rsid w:val="00DF3944"/>
    <w:rsid w:val="00DF3A78"/>
    <w:rsid w:val="00DF5975"/>
    <w:rsid w:val="00E02237"/>
    <w:rsid w:val="00E030ED"/>
    <w:rsid w:val="00E033A4"/>
    <w:rsid w:val="00E03471"/>
    <w:rsid w:val="00E1080F"/>
    <w:rsid w:val="00E154AF"/>
    <w:rsid w:val="00E204CA"/>
    <w:rsid w:val="00E210E5"/>
    <w:rsid w:val="00E22D81"/>
    <w:rsid w:val="00E2360F"/>
    <w:rsid w:val="00E30329"/>
    <w:rsid w:val="00E31169"/>
    <w:rsid w:val="00E31243"/>
    <w:rsid w:val="00E3635E"/>
    <w:rsid w:val="00E41492"/>
    <w:rsid w:val="00E42650"/>
    <w:rsid w:val="00E45586"/>
    <w:rsid w:val="00E456B4"/>
    <w:rsid w:val="00E460E5"/>
    <w:rsid w:val="00E46A6C"/>
    <w:rsid w:val="00E47D4C"/>
    <w:rsid w:val="00E549C6"/>
    <w:rsid w:val="00E5766C"/>
    <w:rsid w:val="00E62A7E"/>
    <w:rsid w:val="00E658B7"/>
    <w:rsid w:val="00E71958"/>
    <w:rsid w:val="00E72853"/>
    <w:rsid w:val="00E7425B"/>
    <w:rsid w:val="00E76894"/>
    <w:rsid w:val="00E80336"/>
    <w:rsid w:val="00E8651C"/>
    <w:rsid w:val="00E871C8"/>
    <w:rsid w:val="00E928A5"/>
    <w:rsid w:val="00EA004F"/>
    <w:rsid w:val="00EA04B8"/>
    <w:rsid w:val="00EA0EFF"/>
    <w:rsid w:val="00EA1551"/>
    <w:rsid w:val="00EA2791"/>
    <w:rsid w:val="00EA347E"/>
    <w:rsid w:val="00EA3DB5"/>
    <w:rsid w:val="00EA3E62"/>
    <w:rsid w:val="00EA6591"/>
    <w:rsid w:val="00EA6B0D"/>
    <w:rsid w:val="00EA71F5"/>
    <w:rsid w:val="00EA7969"/>
    <w:rsid w:val="00EA7BD8"/>
    <w:rsid w:val="00EB6CFC"/>
    <w:rsid w:val="00EC050E"/>
    <w:rsid w:val="00EC2012"/>
    <w:rsid w:val="00EC443D"/>
    <w:rsid w:val="00ED19C5"/>
    <w:rsid w:val="00ED1B4C"/>
    <w:rsid w:val="00ED34D6"/>
    <w:rsid w:val="00ED39B0"/>
    <w:rsid w:val="00ED4A75"/>
    <w:rsid w:val="00EE0087"/>
    <w:rsid w:val="00EE139B"/>
    <w:rsid w:val="00EE13E5"/>
    <w:rsid w:val="00EE2D49"/>
    <w:rsid w:val="00EE3F13"/>
    <w:rsid w:val="00EE4474"/>
    <w:rsid w:val="00EF3E26"/>
    <w:rsid w:val="00EF5452"/>
    <w:rsid w:val="00F0070F"/>
    <w:rsid w:val="00F05631"/>
    <w:rsid w:val="00F05A3A"/>
    <w:rsid w:val="00F06D61"/>
    <w:rsid w:val="00F108FF"/>
    <w:rsid w:val="00F12E2C"/>
    <w:rsid w:val="00F1489B"/>
    <w:rsid w:val="00F216C3"/>
    <w:rsid w:val="00F223B9"/>
    <w:rsid w:val="00F3049F"/>
    <w:rsid w:val="00F33DCF"/>
    <w:rsid w:val="00F35E41"/>
    <w:rsid w:val="00F375E4"/>
    <w:rsid w:val="00F37FE3"/>
    <w:rsid w:val="00F40307"/>
    <w:rsid w:val="00F41313"/>
    <w:rsid w:val="00F41618"/>
    <w:rsid w:val="00F419AA"/>
    <w:rsid w:val="00F41A20"/>
    <w:rsid w:val="00F428AC"/>
    <w:rsid w:val="00F43280"/>
    <w:rsid w:val="00F43897"/>
    <w:rsid w:val="00F46DCD"/>
    <w:rsid w:val="00F51CC3"/>
    <w:rsid w:val="00F52A9A"/>
    <w:rsid w:val="00F62E11"/>
    <w:rsid w:val="00F6477A"/>
    <w:rsid w:val="00F649A2"/>
    <w:rsid w:val="00F65227"/>
    <w:rsid w:val="00F658E6"/>
    <w:rsid w:val="00F6650A"/>
    <w:rsid w:val="00F672A9"/>
    <w:rsid w:val="00F70E17"/>
    <w:rsid w:val="00F71C8A"/>
    <w:rsid w:val="00F749A2"/>
    <w:rsid w:val="00F75A53"/>
    <w:rsid w:val="00F775E1"/>
    <w:rsid w:val="00F77DA0"/>
    <w:rsid w:val="00F82033"/>
    <w:rsid w:val="00F85810"/>
    <w:rsid w:val="00F86CFF"/>
    <w:rsid w:val="00F9226F"/>
    <w:rsid w:val="00F94EA2"/>
    <w:rsid w:val="00F95335"/>
    <w:rsid w:val="00F962AF"/>
    <w:rsid w:val="00F96ED9"/>
    <w:rsid w:val="00FA02FB"/>
    <w:rsid w:val="00FA1247"/>
    <w:rsid w:val="00FA17B1"/>
    <w:rsid w:val="00FA19BE"/>
    <w:rsid w:val="00FA220E"/>
    <w:rsid w:val="00FA2604"/>
    <w:rsid w:val="00FA26B9"/>
    <w:rsid w:val="00FA2AD7"/>
    <w:rsid w:val="00FA5281"/>
    <w:rsid w:val="00FB633E"/>
    <w:rsid w:val="00FC2249"/>
    <w:rsid w:val="00FC2FE2"/>
    <w:rsid w:val="00FC4D0C"/>
    <w:rsid w:val="00FC6015"/>
    <w:rsid w:val="00FD6A7D"/>
    <w:rsid w:val="00FE10F7"/>
    <w:rsid w:val="00FE21BB"/>
    <w:rsid w:val="00FE3573"/>
    <w:rsid w:val="00FE3F02"/>
    <w:rsid w:val="00FE4F25"/>
    <w:rsid w:val="00FE6802"/>
    <w:rsid w:val="00FE7687"/>
    <w:rsid w:val="00FF04D2"/>
    <w:rsid w:val="00FF222F"/>
    <w:rsid w:val="00FF3E8F"/>
    <w:rsid w:val="00FF4428"/>
    <w:rsid w:val="00FF4D94"/>
    <w:rsid w:val="00FF5A98"/>
    <w:rsid w:val="00FF6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aliases w:val="No Indent"/>
    <w:link w:val="SinespaciadoCar"/>
    <w:uiPriority w:val="3"/>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Textoennegrita">
    <w:name w:val="Strong"/>
    <w:basedOn w:val="Fuentedeprrafopredeter"/>
    <w:uiPriority w:val="22"/>
    <w:qFormat/>
    <w:rsid w:val="009C54DD"/>
    <w:rPr>
      <w:b/>
      <w:bCs/>
    </w:rPr>
  </w:style>
  <w:style w:type="character" w:customStyle="1" w:styleId="SinespaciadoCar">
    <w:name w:val="Sin espaciado Car"/>
    <w:aliases w:val="No Indent Car"/>
    <w:link w:val="Sinespaciado"/>
    <w:uiPriority w:val="3"/>
    <w:rsid w:val="00A431F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8936">
      <w:bodyDiv w:val="1"/>
      <w:marLeft w:val="0"/>
      <w:marRight w:val="0"/>
      <w:marTop w:val="0"/>
      <w:marBottom w:val="0"/>
      <w:divBdr>
        <w:top w:val="none" w:sz="0" w:space="0" w:color="auto"/>
        <w:left w:val="none" w:sz="0" w:space="0" w:color="auto"/>
        <w:bottom w:val="none" w:sz="0" w:space="0" w:color="auto"/>
        <w:right w:val="none" w:sz="0" w:space="0" w:color="auto"/>
      </w:divBdr>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6448">
      <w:bodyDiv w:val="1"/>
      <w:marLeft w:val="0"/>
      <w:marRight w:val="0"/>
      <w:marTop w:val="0"/>
      <w:marBottom w:val="0"/>
      <w:divBdr>
        <w:top w:val="none" w:sz="0" w:space="0" w:color="auto"/>
        <w:left w:val="none" w:sz="0" w:space="0" w:color="auto"/>
        <w:bottom w:val="none" w:sz="0" w:space="0" w:color="auto"/>
        <w:right w:val="none" w:sz="0" w:space="0" w:color="auto"/>
      </w:divBdr>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979652436">
      <w:bodyDiv w:val="1"/>
      <w:marLeft w:val="0"/>
      <w:marRight w:val="0"/>
      <w:marTop w:val="0"/>
      <w:marBottom w:val="0"/>
      <w:divBdr>
        <w:top w:val="none" w:sz="0" w:space="0" w:color="auto"/>
        <w:left w:val="none" w:sz="0" w:space="0" w:color="auto"/>
        <w:bottom w:val="none" w:sz="0" w:space="0" w:color="auto"/>
        <w:right w:val="none" w:sz="0" w:space="0" w:color="auto"/>
      </w:divBdr>
    </w:div>
    <w:div w:id="1001006717">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75127501">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10471494">
      <w:bodyDiv w:val="1"/>
      <w:marLeft w:val="0"/>
      <w:marRight w:val="0"/>
      <w:marTop w:val="0"/>
      <w:marBottom w:val="0"/>
      <w:divBdr>
        <w:top w:val="none" w:sz="0" w:space="0" w:color="auto"/>
        <w:left w:val="none" w:sz="0" w:space="0" w:color="auto"/>
        <w:bottom w:val="none" w:sz="0" w:space="0" w:color="auto"/>
        <w:right w:val="none" w:sz="0" w:space="0" w:color="auto"/>
      </w:divBdr>
    </w:div>
    <w:div w:id="1122458620">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369">
      <w:bodyDiv w:val="1"/>
      <w:marLeft w:val="0"/>
      <w:marRight w:val="0"/>
      <w:marTop w:val="0"/>
      <w:marBottom w:val="0"/>
      <w:divBdr>
        <w:top w:val="none" w:sz="0" w:space="0" w:color="auto"/>
        <w:left w:val="none" w:sz="0" w:space="0" w:color="auto"/>
        <w:bottom w:val="none" w:sz="0" w:space="0" w:color="auto"/>
        <w:right w:val="none" w:sz="0" w:space="0" w:color="auto"/>
      </w:divBdr>
    </w:div>
    <w:div w:id="1305619280">
      <w:bodyDiv w:val="1"/>
      <w:marLeft w:val="0"/>
      <w:marRight w:val="0"/>
      <w:marTop w:val="0"/>
      <w:marBottom w:val="0"/>
      <w:divBdr>
        <w:top w:val="none" w:sz="0" w:space="0" w:color="auto"/>
        <w:left w:val="none" w:sz="0" w:space="0" w:color="auto"/>
        <w:bottom w:val="none" w:sz="0" w:space="0" w:color="auto"/>
        <w:right w:val="none" w:sz="0" w:space="0" w:color="auto"/>
      </w:divBdr>
    </w:div>
    <w:div w:id="1327785231">
      <w:bodyDiv w:val="1"/>
      <w:marLeft w:val="0"/>
      <w:marRight w:val="0"/>
      <w:marTop w:val="0"/>
      <w:marBottom w:val="0"/>
      <w:divBdr>
        <w:top w:val="none" w:sz="0" w:space="0" w:color="auto"/>
        <w:left w:val="none" w:sz="0" w:space="0" w:color="auto"/>
        <w:bottom w:val="none" w:sz="0" w:space="0" w:color="auto"/>
        <w:right w:val="none" w:sz="0" w:space="0" w:color="auto"/>
      </w:divBdr>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2667457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8479">
      <w:bodyDiv w:val="1"/>
      <w:marLeft w:val="0"/>
      <w:marRight w:val="0"/>
      <w:marTop w:val="0"/>
      <w:marBottom w:val="0"/>
      <w:divBdr>
        <w:top w:val="none" w:sz="0" w:space="0" w:color="auto"/>
        <w:left w:val="none" w:sz="0" w:space="0" w:color="auto"/>
        <w:bottom w:val="none" w:sz="0" w:space="0" w:color="auto"/>
        <w:right w:val="none" w:sz="0" w:space="0" w:color="auto"/>
      </w:divBdr>
    </w:div>
    <w:div w:id="1739279814">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2441061">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295B90-FAC2-E24E-8B04-CA04F8D9B5F7}">
  <ds:schemaRefs>
    <ds:schemaRef ds:uri="http://schemas.openxmlformats.org/officeDocument/2006/bibliography"/>
  </ds:schemaRefs>
</ds:datastoreItem>
</file>

<file path=customXml/itemProps2.xml><?xml version="1.0" encoding="utf-8"?>
<ds:datastoreItem xmlns:ds="http://schemas.openxmlformats.org/officeDocument/2006/customXml" ds:itemID="{B6338C68-F6D2-48FB-814B-1CAE866B6903}"/>
</file>

<file path=customXml/itemProps3.xml><?xml version="1.0" encoding="utf-8"?>
<ds:datastoreItem xmlns:ds="http://schemas.openxmlformats.org/officeDocument/2006/customXml" ds:itemID="{719408CA-FF5C-425E-8D44-C3F4CBA736BD}"/>
</file>

<file path=customXml/itemProps4.xml><?xml version="1.0" encoding="utf-8"?>
<ds:datastoreItem xmlns:ds="http://schemas.openxmlformats.org/officeDocument/2006/customXml" ds:itemID="{6530EFA3-653A-4E40-848C-CDB80F0EC60C}"/>
</file>

<file path=docProps/app.xml><?xml version="1.0" encoding="utf-8"?>
<Properties xmlns="http://schemas.openxmlformats.org/officeDocument/2006/extended-properties" xmlns:vt="http://schemas.openxmlformats.org/officeDocument/2006/docPropsVTypes">
  <Template>Normal</Template>
  <TotalTime>98</TotalTime>
  <Pages>16</Pages>
  <Words>4609</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29</cp:revision>
  <cp:lastPrinted>2020-10-23T22:20:00Z</cp:lastPrinted>
  <dcterms:created xsi:type="dcterms:W3CDTF">2021-03-24T20:40:00Z</dcterms:created>
  <dcterms:modified xsi:type="dcterms:W3CDTF">2021-03-26T21:16:00Z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