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6BF79" w14:textId="77777777" w:rsidR="00C00E78" w:rsidRPr="002A16FE" w:rsidRDefault="00C00E78" w:rsidP="00C00E78">
      <w:pPr>
        <w:jc w:val="right"/>
        <w:rPr>
          <w:rFonts w:ascii="Arial" w:hAnsi="Arial" w:cs="Arial"/>
          <w:bCs/>
          <w:sz w:val="16"/>
          <w:szCs w:val="16"/>
          <w:lang w:eastAsia="es-ES"/>
        </w:rPr>
      </w:pPr>
      <w:bookmarkStart w:id="0" w:name="_Hlk28946138"/>
      <w:bookmarkStart w:id="1" w:name="_Hlk29548183"/>
      <w:bookmarkStart w:id="2" w:name="_Hlk29890381"/>
      <w:r w:rsidRPr="002A16FE">
        <w:rPr>
          <w:rFonts w:ascii="Arial" w:hAnsi="Arial" w:cs="Arial"/>
          <w:b/>
          <w:sz w:val="16"/>
          <w:szCs w:val="16"/>
          <w:lang w:eastAsia="es-ES"/>
        </w:rPr>
        <w:tab/>
      </w:r>
      <w:r w:rsidRPr="002A16FE">
        <w:rPr>
          <w:rFonts w:ascii="Arial" w:hAnsi="Arial" w:cs="Arial"/>
          <w:bCs/>
          <w:sz w:val="16"/>
          <w:szCs w:val="16"/>
          <w:lang w:eastAsia="es-ES"/>
        </w:rPr>
        <w:t>CCE-DES-FM-17</w:t>
      </w:r>
    </w:p>
    <w:p w14:paraId="69C909E7" w14:textId="77777777" w:rsidR="00C00E78" w:rsidRPr="002A16FE" w:rsidRDefault="00C00E78" w:rsidP="00C00E78">
      <w:pPr>
        <w:jc w:val="both"/>
        <w:rPr>
          <w:rFonts w:ascii="Arial" w:eastAsia="Calibri" w:hAnsi="Arial" w:cs="Arial"/>
          <w:b/>
          <w:bCs/>
          <w:sz w:val="22"/>
        </w:rPr>
      </w:pPr>
    </w:p>
    <w:p w14:paraId="6FEC8A7A" w14:textId="401A88F2" w:rsidR="00C00E78" w:rsidRPr="002A16FE" w:rsidRDefault="00C00E78" w:rsidP="00C00E78">
      <w:pPr>
        <w:jc w:val="both"/>
        <w:rPr>
          <w:rFonts w:ascii="Arial" w:eastAsia="Calibri" w:hAnsi="Arial" w:cs="Arial"/>
          <w:b/>
          <w:bCs/>
          <w:sz w:val="22"/>
        </w:rPr>
      </w:pPr>
      <w:r w:rsidRPr="002A16FE">
        <w:rPr>
          <w:rFonts w:ascii="Arial" w:eastAsia="Calibri" w:hAnsi="Arial" w:cs="Arial"/>
          <w:b/>
          <w:bCs/>
          <w:sz w:val="22"/>
        </w:rPr>
        <w:t>CLÁUSULAS EXCEPCIONALES – Noción –</w:t>
      </w:r>
      <w:r w:rsidR="00C87D96">
        <w:rPr>
          <w:rFonts w:ascii="Arial" w:eastAsia="Calibri" w:hAnsi="Arial" w:cs="Arial"/>
          <w:b/>
          <w:bCs/>
          <w:sz w:val="22"/>
        </w:rPr>
        <w:t xml:space="preserve"> </w:t>
      </w:r>
      <w:r w:rsidR="0064300E">
        <w:rPr>
          <w:rFonts w:ascii="Arial" w:eastAsia="Calibri" w:hAnsi="Arial" w:cs="Arial"/>
          <w:b/>
          <w:bCs/>
          <w:sz w:val="22"/>
        </w:rPr>
        <w:t>Procedencia</w:t>
      </w:r>
    </w:p>
    <w:p w14:paraId="60895E88" w14:textId="77777777" w:rsidR="00C00E78" w:rsidRPr="002A16FE" w:rsidRDefault="00C00E78" w:rsidP="00C00E78">
      <w:pPr>
        <w:jc w:val="both"/>
        <w:rPr>
          <w:rFonts w:ascii="Arial" w:eastAsia="Calibri" w:hAnsi="Arial" w:cs="Arial"/>
          <w:b/>
          <w:bCs/>
          <w:sz w:val="22"/>
        </w:rPr>
      </w:pPr>
    </w:p>
    <w:p w14:paraId="4158CF73" w14:textId="15837819" w:rsidR="00C00E78" w:rsidRDefault="0064300E" w:rsidP="0064300E">
      <w:pPr>
        <w:jc w:val="both"/>
        <w:rPr>
          <w:rFonts w:ascii="Arial" w:eastAsia="Calibri" w:hAnsi="Arial" w:cs="Arial"/>
          <w:sz w:val="20"/>
          <w:szCs w:val="20"/>
        </w:rPr>
      </w:pPr>
      <w:r>
        <w:rPr>
          <w:rFonts w:ascii="Arial" w:eastAsia="Calibri" w:hAnsi="Arial" w:cs="Arial"/>
          <w:sz w:val="20"/>
          <w:szCs w:val="20"/>
        </w:rPr>
        <w:t xml:space="preserve">[…] </w:t>
      </w:r>
      <w:r w:rsidRPr="0064300E">
        <w:rPr>
          <w:rFonts w:ascii="Arial" w:eastAsia="Calibri" w:hAnsi="Arial" w:cs="Arial"/>
          <w:sz w:val="20"/>
          <w:szCs w:val="20"/>
        </w:rPr>
        <w:t>las cláusulas excepcionales del artículo 14 de la Ley 80 de 1993, son denominadas por la jurisprudencia del Consejo de Estado y por la doctrina como estipulaciones de obligatoria inclusión en los contratos de concesión o explotación de bienes del Estado, obra, prestación de servicios públicos y aquellos que tengan por objeto el ejercicio de una actividad que constituya monopolio estatal. En estas tipologías contractuales, sin importar si se incorporaron o no dentro del contrato, se entienden incluidas por el ministerio de la ley.</w:t>
      </w:r>
      <w:r>
        <w:rPr>
          <w:rFonts w:ascii="Arial" w:eastAsia="Calibri" w:hAnsi="Arial" w:cs="Arial"/>
          <w:sz w:val="20"/>
          <w:szCs w:val="20"/>
        </w:rPr>
        <w:t xml:space="preserve"> </w:t>
      </w:r>
      <w:r w:rsidRPr="0064300E">
        <w:rPr>
          <w:rFonts w:ascii="Arial" w:eastAsia="Calibri" w:hAnsi="Arial" w:cs="Arial"/>
          <w:sz w:val="20"/>
          <w:szCs w:val="20"/>
        </w:rPr>
        <w:t>En relación con estas cláusulas, al analizarse el régimen sancionatorio contractual, procede destacar la potestad excepcional de caducidad, pues es la sanción más severa que existe en la contratación estatal. Particularmente,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por otros medios, señalados en el artículo 18 de la Ley 80 de 1993</w:t>
      </w:r>
      <w:r>
        <w:rPr>
          <w:rFonts w:ascii="Arial" w:eastAsia="Calibri" w:hAnsi="Arial" w:cs="Arial"/>
          <w:sz w:val="20"/>
          <w:szCs w:val="20"/>
        </w:rPr>
        <w:t>.</w:t>
      </w:r>
    </w:p>
    <w:p w14:paraId="2C7D9F48" w14:textId="77777777" w:rsidR="0064300E" w:rsidRPr="002A16FE" w:rsidRDefault="0064300E" w:rsidP="0064300E">
      <w:pPr>
        <w:jc w:val="both"/>
        <w:rPr>
          <w:rFonts w:ascii="Arial" w:eastAsia="Calibri" w:hAnsi="Arial" w:cs="Arial"/>
          <w:sz w:val="20"/>
          <w:szCs w:val="20"/>
        </w:rPr>
      </w:pPr>
    </w:p>
    <w:p w14:paraId="071B49AB" w14:textId="39A4FA27" w:rsidR="00C00E78" w:rsidRPr="002A16FE" w:rsidRDefault="00C00E78" w:rsidP="00C00E78">
      <w:pPr>
        <w:jc w:val="both"/>
        <w:rPr>
          <w:rFonts w:ascii="Arial" w:eastAsia="Calibri" w:hAnsi="Arial" w:cs="Arial"/>
          <w:b/>
          <w:bCs/>
          <w:sz w:val="22"/>
        </w:rPr>
      </w:pPr>
      <w:r w:rsidRPr="002A16FE">
        <w:rPr>
          <w:rFonts w:ascii="Arial" w:eastAsia="Calibri" w:hAnsi="Arial" w:cs="Arial"/>
          <w:b/>
          <w:bCs/>
          <w:sz w:val="22"/>
        </w:rPr>
        <w:t xml:space="preserve">CLÁUSULAS EXCEPCIONALES – </w:t>
      </w:r>
      <w:r w:rsidR="00C87D96">
        <w:rPr>
          <w:rFonts w:ascii="Arial" w:eastAsia="Calibri" w:hAnsi="Arial" w:cs="Arial"/>
          <w:b/>
          <w:bCs/>
          <w:sz w:val="22"/>
        </w:rPr>
        <w:t>Aplicación – Consecuencias</w:t>
      </w:r>
    </w:p>
    <w:p w14:paraId="3CE5E543" w14:textId="77777777" w:rsidR="00C00E78" w:rsidRPr="002A16FE" w:rsidRDefault="00C00E78" w:rsidP="00C00E78">
      <w:pPr>
        <w:jc w:val="both"/>
        <w:rPr>
          <w:rFonts w:ascii="Arial" w:eastAsia="Calibri" w:hAnsi="Arial" w:cs="Arial"/>
          <w:sz w:val="20"/>
          <w:szCs w:val="20"/>
        </w:rPr>
      </w:pPr>
    </w:p>
    <w:p w14:paraId="345D42A6" w14:textId="091D7207" w:rsidR="00816BCE" w:rsidRDefault="0064300E" w:rsidP="0064300E">
      <w:pPr>
        <w:jc w:val="both"/>
        <w:rPr>
          <w:rFonts w:ascii="Arial" w:eastAsia="Calibri" w:hAnsi="Arial" w:cs="Arial"/>
          <w:sz w:val="20"/>
          <w:szCs w:val="20"/>
        </w:rPr>
      </w:pPr>
      <w:r>
        <w:rPr>
          <w:rFonts w:ascii="Arial" w:eastAsia="Calibri" w:hAnsi="Arial" w:cs="Arial"/>
          <w:sz w:val="20"/>
          <w:szCs w:val="20"/>
        </w:rPr>
        <w:t xml:space="preserve"> </w:t>
      </w:r>
      <w:r w:rsidRPr="0064300E">
        <w:rPr>
          <w:rFonts w:ascii="Arial" w:eastAsia="Calibri" w:hAnsi="Arial" w:cs="Arial"/>
          <w:sz w:val="20"/>
          <w:szCs w:val="20"/>
        </w:rPr>
        <w:t>Las consecuencias jurídicas que se generan con la caducidad son: i) terminación del contrato, ii) iniciación del trámite de liquidación, iii) inhabilidad sobreviniente por cinco años, iv) efectividad de la garantía única de cumplimiento, y v) reporte al SECOP, Procuraduría General de la Nación y a la Cámara de Comercio donde el contratista esté inscrito con el propósito de incluir la anotación en el Registro Único de Proponentes.</w:t>
      </w:r>
    </w:p>
    <w:p w14:paraId="49AC3170" w14:textId="77777777" w:rsidR="00C87D96" w:rsidRPr="002A16FE" w:rsidRDefault="00C87D96" w:rsidP="0064300E">
      <w:pPr>
        <w:jc w:val="both"/>
        <w:rPr>
          <w:rFonts w:ascii="Arial" w:eastAsia="Calibri" w:hAnsi="Arial" w:cs="Arial"/>
          <w:sz w:val="20"/>
          <w:szCs w:val="20"/>
        </w:rPr>
      </w:pPr>
    </w:p>
    <w:p w14:paraId="44983529" w14:textId="5E1F8DC4" w:rsidR="00816BCE" w:rsidRPr="002A16FE" w:rsidRDefault="00816BCE" w:rsidP="00C00E78">
      <w:pPr>
        <w:jc w:val="both"/>
        <w:rPr>
          <w:rFonts w:ascii="Arial" w:eastAsia="Calibri" w:hAnsi="Arial" w:cs="Arial"/>
          <w:b/>
          <w:bCs/>
          <w:sz w:val="22"/>
        </w:rPr>
      </w:pPr>
      <w:r w:rsidRPr="002A16FE">
        <w:rPr>
          <w:rFonts w:ascii="Arial" w:eastAsia="Calibri" w:hAnsi="Arial" w:cs="Arial"/>
          <w:b/>
          <w:bCs/>
          <w:sz w:val="22"/>
        </w:rPr>
        <w:t xml:space="preserve">CADUCIDAD DEL CONTRATO – Colaboración con grupos armados – Ley 418 de 1997  </w:t>
      </w:r>
    </w:p>
    <w:p w14:paraId="0DDD791D" w14:textId="047C0B6E" w:rsidR="00816BCE" w:rsidRPr="002A16FE" w:rsidRDefault="00816BCE" w:rsidP="00C00E78">
      <w:pPr>
        <w:jc w:val="both"/>
        <w:rPr>
          <w:rFonts w:ascii="Arial" w:eastAsia="Calibri" w:hAnsi="Arial" w:cs="Arial"/>
          <w:sz w:val="20"/>
          <w:szCs w:val="20"/>
        </w:rPr>
      </w:pPr>
    </w:p>
    <w:p w14:paraId="5C57E5F1" w14:textId="1DC1A410" w:rsidR="00C87D96" w:rsidRPr="00C87D96" w:rsidRDefault="00816BCE" w:rsidP="00C87D96">
      <w:pPr>
        <w:jc w:val="both"/>
        <w:rPr>
          <w:rFonts w:ascii="Arial" w:eastAsia="Calibri" w:hAnsi="Arial" w:cs="Arial"/>
          <w:sz w:val="20"/>
          <w:szCs w:val="20"/>
        </w:rPr>
      </w:pPr>
      <w:r w:rsidRPr="002A16FE">
        <w:rPr>
          <w:rFonts w:ascii="Arial" w:eastAsia="Calibri" w:hAnsi="Arial" w:cs="Arial"/>
          <w:sz w:val="20"/>
          <w:szCs w:val="20"/>
        </w:rPr>
        <w:t xml:space="preserve">[…] </w:t>
      </w:r>
      <w:r w:rsidR="00C87D96" w:rsidRPr="00C87D96">
        <w:rPr>
          <w:rFonts w:ascii="Arial" w:eastAsia="Calibri" w:hAnsi="Arial" w:cs="Arial"/>
          <w:sz w:val="20"/>
          <w:szCs w:val="20"/>
        </w:rPr>
        <w:t xml:space="preserve">la Ley 418 de 1997, al margen de lo regulado por el artículo 18 de la Ley 80 de 1993, establece el deber de declarar la caducidad de contratos estatales cuando el contratista o el subcontratista incurre en unas circunstancias particulares relacionadas con la actividad de grupos armados organizados al margen de la ley. Esto indica que debe distinguirse entre caducidad regulada por la Ley 80 de 1993 y la de la Ley 418 de 1997.  En ese sentido, las facultades derivadas de esta última son potestades que están concebidas para situaciones diferentes la contempladas por el artículo 18 de la Ley 80 de 1993, las cuales no necesariamente están asociadas a hechos que impliquen un incumplimiento por parte del contratista que afecte de manera grave la ejecución. Por el contrario, guardan conexión con algunas conductas relacionadas con actividades de grupos armados al margen de la ley respecto del contrato, que el legislador ha decidido sancionar con la caducidad del contrato. </w:t>
      </w:r>
    </w:p>
    <w:p w14:paraId="09BC742D" w14:textId="77777777" w:rsidR="00C87D96" w:rsidRDefault="00C87D96" w:rsidP="00C87D96">
      <w:pPr>
        <w:jc w:val="both"/>
        <w:rPr>
          <w:rFonts w:ascii="Arial" w:eastAsia="Calibri" w:hAnsi="Arial" w:cs="Arial"/>
          <w:sz w:val="20"/>
          <w:szCs w:val="20"/>
        </w:rPr>
      </w:pPr>
    </w:p>
    <w:p w14:paraId="74C135CC" w14:textId="6D1DFE46" w:rsidR="002A16FE" w:rsidRPr="002A16FE" w:rsidRDefault="002A16FE" w:rsidP="00C00E78">
      <w:pPr>
        <w:jc w:val="both"/>
        <w:rPr>
          <w:rFonts w:ascii="Arial" w:eastAsia="Calibri" w:hAnsi="Arial" w:cs="Arial"/>
          <w:b/>
          <w:bCs/>
          <w:sz w:val="22"/>
        </w:rPr>
      </w:pPr>
      <w:r w:rsidRPr="002A16FE">
        <w:rPr>
          <w:rFonts w:ascii="Arial" w:eastAsia="Calibri" w:hAnsi="Arial" w:cs="Arial"/>
          <w:b/>
          <w:bCs/>
          <w:sz w:val="22"/>
        </w:rPr>
        <w:t>CADUCIDAD DEL CONTRATO – Entidades – Régimen especial – Ley 80 de 1993 – Ley 418 de 1997</w:t>
      </w:r>
      <w:r w:rsidR="00C87D96">
        <w:rPr>
          <w:rFonts w:ascii="Arial" w:eastAsia="Calibri" w:hAnsi="Arial" w:cs="Arial"/>
          <w:b/>
          <w:bCs/>
          <w:sz w:val="22"/>
        </w:rPr>
        <w:t xml:space="preserve"> – Régimen de contratación</w:t>
      </w:r>
    </w:p>
    <w:p w14:paraId="2DAB0E29" w14:textId="164AF5CB" w:rsidR="002A16FE" w:rsidRPr="002A16FE" w:rsidRDefault="002A16FE" w:rsidP="00C00E78">
      <w:pPr>
        <w:jc w:val="both"/>
        <w:rPr>
          <w:rFonts w:ascii="Arial" w:eastAsia="Calibri" w:hAnsi="Arial" w:cs="Arial"/>
          <w:sz w:val="20"/>
          <w:szCs w:val="20"/>
        </w:rPr>
      </w:pPr>
    </w:p>
    <w:p w14:paraId="471E4BEB" w14:textId="77777777" w:rsidR="00C87D96" w:rsidRPr="00C87D96" w:rsidRDefault="00C87D96" w:rsidP="00C87D96">
      <w:pPr>
        <w:pStyle w:val="Prrafodelista"/>
        <w:tabs>
          <w:tab w:val="left" w:pos="284"/>
        </w:tabs>
        <w:spacing w:after="120"/>
        <w:ind w:left="0"/>
        <w:contextualSpacing w:val="0"/>
        <w:jc w:val="both"/>
        <w:rPr>
          <w:rFonts w:ascii="Arial" w:hAnsi="Arial" w:cs="Arial"/>
          <w:sz w:val="20"/>
          <w:szCs w:val="20"/>
          <w:lang w:val="es-CO"/>
        </w:rPr>
      </w:pPr>
      <w:r w:rsidRPr="00C87D96">
        <w:rPr>
          <w:rFonts w:ascii="Arial" w:hAnsi="Arial" w:cs="Arial"/>
          <w:sz w:val="20"/>
          <w:szCs w:val="20"/>
          <w:lang w:val="es-CO"/>
        </w:rPr>
        <w:t>En los contratos regidos por el derecho privado, respecto a los cuales no exista alguna norma específica que autorice la aplicación de las cláusulas excepcionales a las que se refiere el artículo 14 de la Ley 80 de 1993, como ocurre en algunos contratos celebrados por las empresas de servicios públicos domiciliarios y las empresas sociales del Estado, no es posible incluir este tipo de cláusulas.</w:t>
      </w:r>
    </w:p>
    <w:p w14:paraId="46758215" w14:textId="64EE61C1" w:rsidR="00C87D96" w:rsidRPr="00C87D96" w:rsidRDefault="00C87D96" w:rsidP="00C87D96">
      <w:pPr>
        <w:pStyle w:val="NormalWeb"/>
        <w:spacing w:before="0" w:beforeAutospacing="0" w:after="120" w:afterAutospacing="0"/>
        <w:jc w:val="both"/>
        <w:rPr>
          <w:rFonts w:ascii="Arial" w:hAnsi="Arial" w:cs="Arial"/>
          <w:sz w:val="20"/>
          <w:szCs w:val="20"/>
        </w:rPr>
      </w:pPr>
      <w:r w:rsidRPr="00C87D96">
        <w:rPr>
          <w:rFonts w:ascii="Arial" w:hAnsi="Arial" w:cs="Arial"/>
          <w:sz w:val="20"/>
          <w:szCs w:val="20"/>
        </w:rPr>
        <w:t xml:space="preserve">Sin perjuicio de lo anterior, de conformidad con los artículos 90 a 95 de la Ley 418 de 1997, todas las entidades públicas tienen la facultad de declarar la caducidad de los  contratos que celebren cuando el contratista en la ejecución del contrato colabore con grupos armados al margen de la ley mediante conductas como: a) ceder injustificadamente ante las amenazas proferidas por dichos </w:t>
      </w:r>
      <w:r w:rsidRPr="00C87D96">
        <w:rPr>
          <w:rFonts w:ascii="Arial" w:hAnsi="Arial" w:cs="Arial"/>
          <w:sz w:val="20"/>
          <w:szCs w:val="20"/>
        </w:rPr>
        <w:lastRenderedPageBreak/>
        <w:t>grupos; b) recibir, suministrar, administrar, intervenir, financiar, transferir, guardar, transportar, almacenar o conservar dineros o bienes provenientes de o con destino a tales grupos o colaborar y prestar ayuda a los mismos; c) construir, ceder, arrendar, poner a disposición, facilitar o transferir a cualquier título, bienes para ser destinados a la ocultación de personas o al depósito o almacenamiento de pertenencias de dichos grupos; d) paralizar, suspender o disminuir notoriamente el cumplimiento de sus obligaciones contractuales por atender instrucciones de dichos grupos; y e) incumplir el deber de denunciar hechos punibles, cuya comisión sea imputable a dichos grupos, conocidos con ocasión del contrato.  Dicha facultad para declarar la caducidad con sustento en la Ley 418 de 1997 podrá ejercerse respecto de cualquier contrato en el que una entidad pública actúe como contratante, y no solo en aquellos que sean producto de convocatorias limitadas a mipymes. Estas normas se extienden al régimen de las entidades exceptuadas en virtud del parágrafo tercero del artículo 34 de la Ley de Emprendimiento.</w:t>
      </w:r>
    </w:p>
    <w:p w14:paraId="250C44DC" w14:textId="77777777" w:rsidR="00C87D96" w:rsidRPr="002A16FE" w:rsidRDefault="00C87D96" w:rsidP="00C87D96">
      <w:pPr>
        <w:pStyle w:val="Prrafodelista"/>
        <w:tabs>
          <w:tab w:val="left" w:pos="284"/>
        </w:tabs>
        <w:spacing w:line="276" w:lineRule="auto"/>
        <w:ind w:left="0"/>
        <w:jc w:val="both"/>
        <w:rPr>
          <w:sz w:val="21"/>
          <w:szCs w:val="21"/>
        </w:rPr>
      </w:pPr>
      <w:r w:rsidRPr="002A16FE">
        <w:rPr>
          <w:rFonts w:ascii="Arial" w:hAnsi="Arial" w:cs="Arial"/>
          <w:sz w:val="22"/>
          <w:lang w:val="es-CO"/>
        </w:rPr>
        <w:tab/>
      </w:r>
      <w:r w:rsidRPr="002A16FE">
        <w:rPr>
          <w:rFonts w:ascii="Arial" w:hAnsi="Arial" w:cs="Arial"/>
          <w:sz w:val="22"/>
          <w:lang w:val="es-CO"/>
        </w:rPr>
        <w:tab/>
      </w:r>
    </w:p>
    <w:p w14:paraId="6AECAE3A" w14:textId="14E4DD3C" w:rsidR="002A16FE" w:rsidRPr="002A16FE" w:rsidRDefault="002A16FE" w:rsidP="00C00E78">
      <w:pPr>
        <w:jc w:val="both"/>
        <w:rPr>
          <w:rFonts w:ascii="Arial" w:hAnsi="Arial" w:cs="Arial"/>
          <w:sz w:val="22"/>
          <w:lang w:val="es-ES"/>
        </w:rPr>
      </w:pPr>
    </w:p>
    <w:p w14:paraId="2B080B82" w14:textId="77777777" w:rsidR="002A16FE" w:rsidRPr="002A16FE" w:rsidRDefault="002A16FE" w:rsidP="00C00E78">
      <w:pPr>
        <w:jc w:val="both"/>
        <w:rPr>
          <w:rFonts w:ascii="Arial" w:hAnsi="Arial" w:cs="Arial"/>
          <w:sz w:val="22"/>
          <w:lang w:val="es-ES"/>
        </w:rPr>
      </w:pPr>
    </w:p>
    <w:p w14:paraId="36320752" w14:textId="277D9994" w:rsidR="00C00E78" w:rsidRDefault="00C00E78" w:rsidP="00C00E78">
      <w:pPr>
        <w:jc w:val="right"/>
        <w:rPr>
          <w:rFonts w:ascii="Arial" w:hAnsi="Arial" w:cs="Arial"/>
          <w:b/>
          <w:sz w:val="22"/>
          <w:lang w:val="es-ES"/>
        </w:rPr>
      </w:pPr>
    </w:p>
    <w:p w14:paraId="18798288" w14:textId="089164FD" w:rsidR="00106F0D" w:rsidRDefault="00106F0D" w:rsidP="00C00E78">
      <w:pPr>
        <w:jc w:val="right"/>
        <w:rPr>
          <w:rFonts w:ascii="Arial" w:hAnsi="Arial" w:cs="Arial"/>
          <w:b/>
          <w:sz w:val="22"/>
          <w:lang w:val="es-ES"/>
        </w:rPr>
      </w:pPr>
    </w:p>
    <w:p w14:paraId="4CDBFF9F" w14:textId="2EEA5C11" w:rsidR="00106F0D" w:rsidRDefault="00106F0D" w:rsidP="00C00E78">
      <w:pPr>
        <w:jc w:val="right"/>
        <w:rPr>
          <w:rFonts w:ascii="Arial" w:hAnsi="Arial" w:cs="Arial"/>
          <w:b/>
          <w:sz w:val="22"/>
          <w:lang w:val="es-ES"/>
        </w:rPr>
      </w:pPr>
    </w:p>
    <w:p w14:paraId="6FDAC1D4" w14:textId="364AD10F" w:rsidR="00106F0D" w:rsidRDefault="00106F0D" w:rsidP="00C00E78">
      <w:pPr>
        <w:jc w:val="right"/>
        <w:rPr>
          <w:rFonts w:ascii="Arial" w:hAnsi="Arial" w:cs="Arial"/>
          <w:b/>
          <w:sz w:val="22"/>
          <w:lang w:val="es-ES"/>
        </w:rPr>
      </w:pPr>
    </w:p>
    <w:p w14:paraId="6F430DC7" w14:textId="7A74899E" w:rsidR="00106F0D" w:rsidRDefault="00106F0D" w:rsidP="00C00E78">
      <w:pPr>
        <w:jc w:val="right"/>
        <w:rPr>
          <w:rFonts w:ascii="Arial" w:hAnsi="Arial" w:cs="Arial"/>
          <w:b/>
          <w:sz w:val="22"/>
          <w:lang w:val="es-ES"/>
        </w:rPr>
      </w:pPr>
    </w:p>
    <w:p w14:paraId="63D07C31" w14:textId="50393F23" w:rsidR="00106F0D" w:rsidRDefault="00106F0D" w:rsidP="00C00E78">
      <w:pPr>
        <w:jc w:val="right"/>
        <w:rPr>
          <w:rFonts w:ascii="Arial" w:hAnsi="Arial" w:cs="Arial"/>
          <w:b/>
          <w:sz w:val="22"/>
          <w:lang w:val="es-ES"/>
        </w:rPr>
      </w:pPr>
    </w:p>
    <w:p w14:paraId="3F380BAA" w14:textId="64244C73" w:rsidR="00106F0D" w:rsidRDefault="00106F0D" w:rsidP="00C00E78">
      <w:pPr>
        <w:jc w:val="right"/>
        <w:rPr>
          <w:rFonts w:ascii="Arial" w:hAnsi="Arial" w:cs="Arial"/>
          <w:b/>
          <w:sz w:val="22"/>
          <w:lang w:val="es-ES"/>
        </w:rPr>
      </w:pPr>
    </w:p>
    <w:p w14:paraId="5F95D3DB" w14:textId="11ED70F9" w:rsidR="00106F0D" w:rsidRDefault="00106F0D" w:rsidP="00C00E78">
      <w:pPr>
        <w:jc w:val="right"/>
        <w:rPr>
          <w:rFonts w:ascii="Arial" w:hAnsi="Arial" w:cs="Arial"/>
          <w:b/>
          <w:sz w:val="22"/>
          <w:lang w:val="es-ES"/>
        </w:rPr>
      </w:pPr>
    </w:p>
    <w:p w14:paraId="5D13AFF6" w14:textId="57525059" w:rsidR="00106F0D" w:rsidRDefault="00106F0D" w:rsidP="00C00E78">
      <w:pPr>
        <w:jc w:val="right"/>
        <w:rPr>
          <w:rFonts w:ascii="Arial" w:hAnsi="Arial" w:cs="Arial"/>
          <w:b/>
          <w:sz w:val="22"/>
          <w:lang w:val="es-ES"/>
        </w:rPr>
      </w:pPr>
    </w:p>
    <w:p w14:paraId="0BE15A53" w14:textId="5F52DC85" w:rsidR="00106F0D" w:rsidRDefault="00106F0D" w:rsidP="00C00E78">
      <w:pPr>
        <w:jc w:val="right"/>
        <w:rPr>
          <w:rFonts w:ascii="Arial" w:hAnsi="Arial" w:cs="Arial"/>
          <w:b/>
          <w:sz w:val="22"/>
          <w:lang w:val="es-ES"/>
        </w:rPr>
      </w:pPr>
    </w:p>
    <w:p w14:paraId="08E2C744" w14:textId="7F033339" w:rsidR="00106F0D" w:rsidRDefault="00106F0D" w:rsidP="00C00E78">
      <w:pPr>
        <w:jc w:val="right"/>
        <w:rPr>
          <w:rFonts w:ascii="Arial" w:hAnsi="Arial" w:cs="Arial"/>
          <w:b/>
          <w:sz w:val="22"/>
          <w:lang w:val="es-ES"/>
        </w:rPr>
      </w:pPr>
    </w:p>
    <w:p w14:paraId="38D10266" w14:textId="4555E416" w:rsidR="00106F0D" w:rsidRDefault="00106F0D" w:rsidP="00C00E78">
      <w:pPr>
        <w:jc w:val="right"/>
        <w:rPr>
          <w:rFonts w:ascii="Arial" w:hAnsi="Arial" w:cs="Arial"/>
          <w:b/>
          <w:sz w:val="22"/>
          <w:lang w:val="es-ES"/>
        </w:rPr>
      </w:pPr>
    </w:p>
    <w:p w14:paraId="0B1C0274" w14:textId="4C96C32E" w:rsidR="00106F0D" w:rsidRDefault="00106F0D" w:rsidP="00C00E78">
      <w:pPr>
        <w:jc w:val="right"/>
        <w:rPr>
          <w:rFonts w:ascii="Arial" w:hAnsi="Arial" w:cs="Arial"/>
          <w:b/>
          <w:sz w:val="22"/>
          <w:lang w:val="es-ES"/>
        </w:rPr>
      </w:pPr>
    </w:p>
    <w:p w14:paraId="4ECA878A" w14:textId="4ABE8C14" w:rsidR="00106F0D" w:rsidRDefault="00106F0D" w:rsidP="00C00E78">
      <w:pPr>
        <w:jc w:val="right"/>
        <w:rPr>
          <w:rFonts w:ascii="Arial" w:hAnsi="Arial" w:cs="Arial"/>
          <w:b/>
          <w:sz w:val="22"/>
          <w:lang w:val="es-ES"/>
        </w:rPr>
      </w:pPr>
    </w:p>
    <w:p w14:paraId="0B10B808" w14:textId="1B70B970" w:rsidR="00106F0D" w:rsidRDefault="00106F0D" w:rsidP="00C00E78">
      <w:pPr>
        <w:jc w:val="right"/>
        <w:rPr>
          <w:rFonts w:ascii="Arial" w:hAnsi="Arial" w:cs="Arial"/>
          <w:b/>
          <w:sz w:val="22"/>
          <w:lang w:val="es-ES"/>
        </w:rPr>
      </w:pPr>
    </w:p>
    <w:p w14:paraId="4E86CFCF" w14:textId="24DF150A" w:rsidR="00106F0D" w:rsidRDefault="00106F0D" w:rsidP="00C00E78">
      <w:pPr>
        <w:jc w:val="right"/>
        <w:rPr>
          <w:rFonts w:ascii="Arial" w:hAnsi="Arial" w:cs="Arial"/>
          <w:b/>
          <w:sz w:val="22"/>
          <w:lang w:val="es-ES"/>
        </w:rPr>
      </w:pPr>
    </w:p>
    <w:p w14:paraId="1D36D622" w14:textId="5BC1A45A" w:rsidR="00106F0D" w:rsidRDefault="00106F0D" w:rsidP="00C00E78">
      <w:pPr>
        <w:jc w:val="right"/>
        <w:rPr>
          <w:rFonts w:ascii="Arial" w:hAnsi="Arial" w:cs="Arial"/>
          <w:b/>
          <w:sz w:val="22"/>
          <w:lang w:val="es-ES"/>
        </w:rPr>
      </w:pPr>
    </w:p>
    <w:p w14:paraId="2ECAEDE8" w14:textId="3A15B59F" w:rsidR="00106F0D" w:rsidRDefault="00106F0D" w:rsidP="00C00E78">
      <w:pPr>
        <w:jc w:val="right"/>
        <w:rPr>
          <w:rFonts w:ascii="Arial" w:hAnsi="Arial" w:cs="Arial"/>
          <w:b/>
          <w:sz w:val="22"/>
          <w:lang w:val="es-ES"/>
        </w:rPr>
      </w:pPr>
    </w:p>
    <w:p w14:paraId="6DE57485" w14:textId="16B3F167" w:rsidR="00106F0D" w:rsidRDefault="00106F0D" w:rsidP="00C00E78">
      <w:pPr>
        <w:jc w:val="right"/>
        <w:rPr>
          <w:rFonts w:ascii="Arial" w:hAnsi="Arial" w:cs="Arial"/>
          <w:b/>
          <w:sz w:val="22"/>
          <w:lang w:val="es-ES"/>
        </w:rPr>
      </w:pPr>
    </w:p>
    <w:p w14:paraId="1040C33A" w14:textId="1F8E5480" w:rsidR="00106F0D" w:rsidRDefault="00106F0D" w:rsidP="00C00E78">
      <w:pPr>
        <w:jc w:val="right"/>
        <w:rPr>
          <w:rFonts w:ascii="Arial" w:hAnsi="Arial" w:cs="Arial"/>
          <w:b/>
          <w:sz w:val="22"/>
          <w:lang w:val="es-ES"/>
        </w:rPr>
      </w:pPr>
    </w:p>
    <w:p w14:paraId="324C7078" w14:textId="39836763" w:rsidR="00106F0D" w:rsidRDefault="00106F0D" w:rsidP="00C00E78">
      <w:pPr>
        <w:jc w:val="right"/>
        <w:rPr>
          <w:rFonts w:ascii="Arial" w:hAnsi="Arial" w:cs="Arial"/>
          <w:b/>
          <w:sz w:val="22"/>
          <w:lang w:val="es-ES"/>
        </w:rPr>
      </w:pPr>
    </w:p>
    <w:p w14:paraId="012218DC" w14:textId="142065E0" w:rsidR="00106F0D" w:rsidRDefault="00106F0D" w:rsidP="00C00E78">
      <w:pPr>
        <w:jc w:val="right"/>
        <w:rPr>
          <w:rFonts w:ascii="Arial" w:hAnsi="Arial" w:cs="Arial"/>
          <w:b/>
          <w:sz w:val="22"/>
          <w:lang w:val="es-ES"/>
        </w:rPr>
      </w:pPr>
    </w:p>
    <w:p w14:paraId="39F0ED76" w14:textId="6AD297DA" w:rsidR="00106F0D" w:rsidRDefault="00106F0D" w:rsidP="00C00E78">
      <w:pPr>
        <w:jc w:val="right"/>
        <w:rPr>
          <w:rFonts w:ascii="Arial" w:hAnsi="Arial" w:cs="Arial"/>
          <w:b/>
          <w:sz w:val="22"/>
          <w:lang w:val="es-ES"/>
        </w:rPr>
      </w:pPr>
    </w:p>
    <w:p w14:paraId="2C186F65" w14:textId="4076506E" w:rsidR="00106F0D" w:rsidRDefault="00106F0D" w:rsidP="00C00E78">
      <w:pPr>
        <w:jc w:val="right"/>
        <w:rPr>
          <w:rFonts w:ascii="Arial" w:hAnsi="Arial" w:cs="Arial"/>
          <w:b/>
          <w:sz w:val="22"/>
          <w:lang w:val="es-ES"/>
        </w:rPr>
      </w:pPr>
    </w:p>
    <w:p w14:paraId="15F86487" w14:textId="75355D57" w:rsidR="00106F0D" w:rsidRDefault="00106F0D" w:rsidP="00C00E78">
      <w:pPr>
        <w:jc w:val="right"/>
        <w:rPr>
          <w:rFonts w:ascii="Arial" w:hAnsi="Arial" w:cs="Arial"/>
          <w:b/>
          <w:sz w:val="22"/>
          <w:lang w:val="es-ES"/>
        </w:rPr>
      </w:pPr>
    </w:p>
    <w:p w14:paraId="1B4ACBB1" w14:textId="1F750D29" w:rsidR="00106F0D" w:rsidRDefault="00106F0D" w:rsidP="00C00E78">
      <w:pPr>
        <w:jc w:val="right"/>
        <w:rPr>
          <w:rFonts w:ascii="Arial" w:hAnsi="Arial" w:cs="Arial"/>
          <w:b/>
          <w:sz w:val="22"/>
          <w:lang w:val="es-ES"/>
        </w:rPr>
      </w:pPr>
    </w:p>
    <w:p w14:paraId="43174102" w14:textId="144322A5" w:rsidR="00554F85" w:rsidRDefault="00554F85" w:rsidP="00554F85">
      <w:pPr>
        <w:rPr>
          <w:rFonts w:ascii="Arial" w:hAnsi="Arial" w:cs="Arial"/>
          <w:sz w:val="22"/>
          <w:szCs w:val="20"/>
        </w:rPr>
      </w:pPr>
    </w:p>
    <w:p w14:paraId="6E94E131" w14:textId="608FF90E" w:rsidR="00C87D96" w:rsidRDefault="00C87D96" w:rsidP="00554F85">
      <w:pPr>
        <w:rPr>
          <w:rFonts w:ascii="Arial" w:hAnsi="Arial" w:cs="Arial"/>
          <w:sz w:val="22"/>
          <w:szCs w:val="20"/>
        </w:rPr>
      </w:pPr>
    </w:p>
    <w:p w14:paraId="0E52696D" w14:textId="0AA33E30" w:rsidR="00C87D96" w:rsidRDefault="00C87D96" w:rsidP="00554F85">
      <w:pPr>
        <w:rPr>
          <w:rFonts w:ascii="Arial" w:hAnsi="Arial" w:cs="Arial"/>
          <w:sz w:val="22"/>
          <w:szCs w:val="20"/>
        </w:rPr>
      </w:pPr>
    </w:p>
    <w:p w14:paraId="339564C5" w14:textId="0547AF4A" w:rsidR="00C87D96" w:rsidRDefault="00C87D96" w:rsidP="00554F85">
      <w:pPr>
        <w:rPr>
          <w:rFonts w:ascii="Arial" w:hAnsi="Arial" w:cs="Arial"/>
          <w:sz w:val="22"/>
          <w:szCs w:val="20"/>
        </w:rPr>
      </w:pPr>
    </w:p>
    <w:p w14:paraId="2A1C5591" w14:textId="1C0B718C" w:rsidR="00C87D96" w:rsidRDefault="00C87D96" w:rsidP="00554F85">
      <w:pPr>
        <w:rPr>
          <w:rFonts w:ascii="Arial" w:hAnsi="Arial" w:cs="Arial"/>
          <w:sz w:val="22"/>
          <w:szCs w:val="20"/>
        </w:rPr>
      </w:pPr>
    </w:p>
    <w:p w14:paraId="7E0FC17A" w14:textId="77777777" w:rsidR="00C87D96" w:rsidRDefault="00C87D96" w:rsidP="00554F85">
      <w:pPr>
        <w:rPr>
          <w:rFonts w:ascii="Arial" w:hAnsi="Arial" w:cs="Arial"/>
          <w:sz w:val="22"/>
          <w:szCs w:val="20"/>
        </w:rPr>
      </w:pPr>
    </w:p>
    <w:p w14:paraId="688698C9" w14:textId="1271E248" w:rsidR="00106F0D" w:rsidRDefault="00281C15" w:rsidP="00C00E78">
      <w:pPr>
        <w:jc w:val="right"/>
        <w:rPr>
          <w:rFonts w:ascii="Arial" w:hAnsi="Arial" w:cs="Arial"/>
          <w:b/>
          <w:sz w:val="22"/>
          <w:lang w:val="es-ES"/>
        </w:rPr>
      </w:pPr>
      <w:r>
        <w:rPr>
          <w:rFonts w:ascii="Arial" w:hAnsi="Arial" w:cs="Arial"/>
          <w:b/>
          <w:sz w:val="22"/>
          <w:lang w:val="es-ES"/>
        </w:rPr>
        <w:lastRenderedPageBreak/>
        <w:t xml:space="preserve">Radicado No. </w:t>
      </w:r>
      <w:r w:rsidR="00521B45" w:rsidRPr="00521B45">
        <w:rPr>
          <w:rFonts w:ascii="Arial" w:hAnsi="Arial" w:cs="Arial"/>
          <w:b/>
          <w:sz w:val="22"/>
          <w:lang w:val="es-ES"/>
        </w:rPr>
        <w:t>RS20210225001443</w:t>
      </w:r>
    </w:p>
    <w:p w14:paraId="629237AD" w14:textId="07A2099B" w:rsidR="00C00E78" w:rsidRDefault="00281C15" w:rsidP="0064300E">
      <w:pPr>
        <w:rPr>
          <w:rFonts w:ascii="Arial" w:eastAsia="Calibri" w:hAnsi="Arial" w:cs="Arial"/>
          <w:sz w:val="22"/>
        </w:rPr>
      </w:pPr>
      <w:r w:rsidRPr="00281C15">
        <w:rPr>
          <w:rFonts w:ascii="Arial" w:eastAsia="Calibri" w:hAnsi="Arial" w:cs="Arial"/>
          <w:sz w:val="22"/>
        </w:rPr>
        <w:t>Bogotá, 25 Febrero 2021</w:t>
      </w:r>
    </w:p>
    <w:p w14:paraId="3E816592" w14:textId="3D7E594F" w:rsidR="0064300E" w:rsidRDefault="0064300E" w:rsidP="0064300E">
      <w:pPr>
        <w:rPr>
          <w:rFonts w:ascii="Arial" w:eastAsia="Calibri" w:hAnsi="Arial" w:cs="Arial"/>
          <w:sz w:val="22"/>
        </w:rPr>
      </w:pPr>
    </w:p>
    <w:p w14:paraId="33350C6F" w14:textId="152AC4E9" w:rsidR="00C87D96" w:rsidRDefault="00C87D96" w:rsidP="0064300E">
      <w:pPr>
        <w:rPr>
          <w:rFonts w:ascii="Arial" w:eastAsia="Calibri" w:hAnsi="Arial" w:cs="Arial"/>
          <w:sz w:val="22"/>
        </w:rPr>
      </w:pPr>
    </w:p>
    <w:p w14:paraId="24D0D62B" w14:textId="77777777" w:rsidR="00C87D96" w:rsidRPr="002A16FE" w:rsidRDefault="00C87D96" w:rsidP="0064300E">
      <w:pPr>
        <w:rPr>
          <w:rFonts w:ascii="Arial" w:eastAsia="Calibri" w:hAnsi="Arial" w:cs="Arial"/>
          <w:sz w:val="22"/>
        </w:rPr>
      </w:pPr>
    </w:p>
    <w:p w14:paraId="1E6EE368" w14:textId="6964C395" w:rsidR="00C00E78" w:rsidRPr="002A16FE" w:rsidRDefault="00C00E78" w:rsidP="00C00E78">
      <w:pPr>
        <w:rPr>
          <w:rFonts w:ascii="Arial" w:eastAsia="Calibri" w:hAnsi="Arial" w:cs="Arial"/>
          <w:sz w:val="22"/>
        </w:rPr>
      </w:pPr>
      <w:r w:rsidRPr="002A16FE">
        <w:rPr>
          <w:rFonts w:ascii="Arial" w:eastAsia="Calibri" w:hAnsi="Arial" w:cs="Arial"/>
          <w:sz w:val="22"/>
        </w:rPr>
        <w:t>Señor</w:t>
      </w:r>
      <w:r w:rsidR="006C4617" w:rsidRPr="002A16FE">
        <w:rPr>
          <w:rFonts w:ascii="Arial" w:eastAsia="Calibri" w:hAnsi="Arial" w:cs="Arial"/>
          <w:sz w:val="22"/>
        </w:rPr>
        <w:t>a</w:t>
      </w:r>
    </w:p>
    <w:p w14:paraId="1F16D46A" w14:textId="37739D42" w:rsidR="00C00E78" w:rsidRPr="002A16FE" w:rsidRDefault="006C4617" w:rsidP="00417276">
      <w:pPr>
        <w:tabs>
          <w:tab w:val="center" w:pos="4394"/>
        </w:tabs>
        <w:rPr>
          <w:rFonts w:ascii="Arial" w:eastAsia="Calibri" w:hAnsi="Arial" w:cs="Arial"/>
          <w:b/>
          <w:sz w:val="22"/>
        </w:rPr>
      </w:pPr>
      <w:r w:rsidRPr="002A16FE">
        <w:rPr>
          <w:rFonts w:ascii="Arial" w:eastAsia="Calibri" w:hAnsi="Arial" w:cs="Arial"/>
          <w:b/>
          <w:sz w:val="22"/>
        </w:rPr>
        <w:t xml:space="preserve">Ginessanayib Ditta </w:t>
      </w:r>
      <w:bookmarkStart w:id="3" w:name="_Hlk64554477"/>
      <w:r w:rsidRPr="002A16FE">
        <w:rPr>
          <w:rFonts w:ascii="Arial" w:eastAsia="Calibri" w:hAnsi="Arial" w:cs="Arial"/>
          <w:b/>
          <w:sz w:val="22"/>
        </w:rPr>
        <w:t>Quiroz</w:t>
      </w:r>
      <w:bookmarkEnd w:id="3"/>
      <w:r w:rsidRPr="002A16FE">
        <w:rPr>
          <w:rFonts w:ascii="Arial" w:eastAsia="Calibri" w:hAnsi="Arial" w:cs="Arial"/>
          <w:b/>
          <w:sz w:val="22"/>
        </w:rPr>
        <w:tab/>
      </w:r>
    </w:p>
    <w:p w14:paraId="49DFB2DC" w14:textId="4A7273E7" w:rsidR="00C00E78" w:rsidRPr="002A16FE" w:rsidRDefault="00554F85" w:rsidP="00C00E78">
      <w:pPr>
        <w:rPr>
          <w:rFonts w:ascii="Arial" w:eastAsia="Calibri" w:hAnsi="Arial" w:cs="Arial"/>
          <w:sz w:val="22"/>
        </w:rPr>
      </w:pPr>
      <w:r>
        <w:rPr>
          <w:rFonts w:ascii="Arial" w:eastAsia="Calibri" w:hAnsi="Arial" w:cs="Arial"/>
          <w:sz w:val="22"/>
        </w:rPr>
        <w:t>Barranquilla, Atlántico</w:t>
      </w:r>
    </w:p>
    <w:p w14:paraId="23716FF3" w14:textId="7AB4F9F2" w:rsidR="00554F85" w:rsidRDefault="00554F85" w:rsidP="00C00E78">
      <w:pPr>
        <w:rPr>
          <w:rFonts w:ascii="Arial" w:eastAsia="Calibri" w:hAnsi="Arial" w:cs="Arial"/>
          <w:sz w:val="22"/>
        </w:rPr>
      </w:pPr>
    </w:p>
    <w:p w14:paraId="0BE5C050" w14:textId="77777777" w:rsidR="00C87D96" w:rsidRPr="002A16FE" w:rsidRDefault="00C87D96" w:rsidP="00C00E78">
      <w:pPr>
        <w:rPr>
          <w:rFonts w:ascii="Arial" w:eastAsia="Calibri" w:hAnsi="Arial" w:cs="Arial"/>
          <w:sz w:val="22"/>
        </w:rPr>
      </w:pPr>
    </w:p>
    <w:p w14:paraId="3D68D36F" w14:textId="05C600E0" w:rsidR="00C00E78" w:rsidRPr="002A16FE" w:rsidRDefault="00C00E78" w:rsidP="00C00E78">
      <w:pPr>
        <w:ind w:firstLine="2694"/>
        <w:rPr>
          <w:rFonts w:ascii="Arial" w:eastAsia="Calibri" w:hAnsi="Arial" w:cs="Arial"/>
          <w:b/>
          <w:sz w:val="22"/>
        </w:rPr>
      </w:pPr>
      <w:r w:rsidRPr="002A16FE">
        <w:rPr>
          <w:rFonts w:ascii="Arial" w:eastAsia="Calibri" w:hAnsi="Arial" w:cs="Arial"/>
          <w:b/>
          <w:sz w:val="22"/>
        </w:rPr>
        <w:t xml:space="preserve">Concepto C – </w:t>
      </w:r>
      <w:r w:rsidR="007924F4" w:rsidRPr="002A16FE">
        <w:rPr>
          <w:rFonts w:ascii="Arial" w:eastAsia="Calibri" w:hAnsi="Arial" w:cs="Arial"/>
          <w:b/>
          <w:sz w:val="22"/>
        </w:rPr>
        <w:t>025</w:t>
      </w:r>
      <w:r w:rsidRPr="002A16FE">
        <w:rPr>
          <w:rFonts w:ascii="Arial" w:eastAsia="Calibri" w:hAnsi="Arial" w:cs="Arial"/>
          <w:b/>
          <w:sz w:val="22"/>
        </w:rPr>
        <w:t xml:space="preserve"> de 202</w:t>
      </w:r>
      <w:r w:rsidR="006C4617" w:rsidRPr="002A16FE">
        <w:rPr>
          <w:rFonts w:ascii="Arial" w:eastAsia="Calibri" w:hAnsi="Arial" w:cs="Arial"/>
          <w:b/>
          <w:sz w:val="22"/>
        </w:rPr>
        <w:t>1</w:t>
      </w:r>
    </w:p>
    <w:p w14:paraId="798420D6" w14:textId="080F793C" w:rsidR="00C00E78" w:rsidRDefault="00C00E78" w:rsidP="00C00E78">
      <w:pPr>
        <w:rPr>
          <w:rFonts w:ascii="Arial" w:eastAsia="Calibri" w:hAnsi="Arial" w:cs="Arial"/>
          <w:sz w:val="22"/>
        </w:rPr>
      </w:pPr>
    </w:p>
    <w:p w14:paraId="54AAA0CD" w14:textId="30E7C68B" w:rsidR="00C87D96" w:rsidRDefault="00C87D96" w:rsidP="00C00E78">
      <w:pPr>
        <w:rPr>
          <w:rFonts w:ascii="Arial" w:eastAsia="Calibri" w:hAnsi="Arial" w:cs="Arial"/>
          <w:sz w:val="22"/>
        </w:rPr>
      </w:pPr>
    </w:p>
    <w:p w14:paraId="46B895D1" w14:textId="77777777" w:rsidR="00C87D96" w:rsidRPr="002A16FE" w:rsidRDefault="00C87D96" w:rsidP="00C00E78">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A16FE" w:rsidRPr="002A16FE" w14:paraId="35F99F74" w14:textId="77777777" w:rsidTr="00C00E78">
        <w:tc>
          <w:tcPr>
            <w:tcW w:w="2689" w:type="dxa"/>
            <w:hideMark/>
          </w:tcPr>
          <w:p w14:paraId="5CECB7F0" w14:textId="77777777" w:rsidR="00C00E78" w:rsidRPr="002A16FE" w:rsidRDefault="00C00E78">
            <w:pPr>
              <w:rPr>
                <w:rFonts w:ascii="Arial" w:eastAsia="Calibri" w:hAnsi="Arial" w:cs="Arial"/>
                <w:sz w:val="22"/>
              </w:rPr>
            </w:pPr>
            <w:r w:rsidRPr="002A16FE">
              <w:rPr>
                <w:rFonts w:ascii="Arial" w:eastAsia="Calibri" w:hAnsi="Arial" w:cs="Arial"/>
                <w:b/>
                <w:sz w:val="22"/>
              </w:rPr>
              <w:t>Temas:</w:t>
            </w:r>
            <w:r w:rsidRPr="002A16FE">
              <w:rPr>
                <w:rFonts w:ascii="Arial" w:eastAsia="Calibri" w:hAnsi="Arial" w:cs="Arial"/>
                <w:sz w:val="22"/>
              </w:rPr>
              <w:t xml:space="preserve">      </w:t>
            </w:r>
          </w:p>
          <w:p w14:paraId="00595852" w14:textId="77777777" w:rsidR="00C00E78" w:rsidRPr="002A16FE" w:rsidRDefault="00C00E78">
            <w:pPr>
              <w:rPr>
                <w:rFonts w:ascii="Arial" w:eastAsia="Calibri" w:hAnsi="Arial" w:cs="Arial"/>
                <w:sz w:val="22"/>
              </w:rPr>
            </w:pPr>
            <w:r w:rsidRPr="002A16FE">
              <w:rPr>
                <w:rFonts w:ascii="Arial" w:eastAsia="Calibri" w:hAnsi="Arial" w:cs="Arial"/>
                <w:sz w:val="22"/>
              </w:rPr>
              <w:t xml:space="preserve">              </w:t>
            </w:r>
          </w:p>
        </w:tc>
        <w:tc>
          <w:tcPr>
            <w:tcW w:w="6237" w:type="dxa"/>
          </w:tcPr>
          <w:p w14:paraId="0A673F72" w14:textId="66BDA3D5" w:rsidR="00C00E78" w:rsidRPr="002A16FE" w:rsidRDefault="00C87D96">
            <w:pPr>
              <w:jc w:val="both"/>
              <w:rPr>
                <w:rFonts w:ascii="Arial" w:eastAsia="Calibri" w:hAnsi="Arial" w:cs="Arial"/>
                <w:b/>
                <w:sz w:val="22"/>
              </w:rPr>
            </w:pPr>
            <w:r w:rsidRPr="00C87D96">
              <w:rPr>
                <w:rFonts w:ascii="Arial" w:eastAsia="Calibri" w:hAnsi="Arial" w:cs="Arial"/>
                <w:bCs/>
                <w:sz w:val="22"/>
              </w:rPr>
              <w:t>CLÁUSULAS EXCEPCIONALES – Noción – Procedencia</w:t>
            </w:r>
            <w:r>
              <w:rPr>
                <w:rFonts w:ascii="Arial" w:eastAsia="Calibri" w:hAnsi="Arial" w:cs="Arial"/>
                <w:bCs/>
                <w:sz w:val="22"/>
              </w:rPr>
              <w:t xml:space="preserve"> / </w:t>
            </w:r>
            <w:r w:rsidRPr="00C87D96">
              <w:rPr>
                <w:rFonts w:ascii="Arial" w:eastAsia="Calibri" w:hAnsi="Arial" w:cs="Arial"/>
                <w:bCs/>
                <w:sz w:val="22"/>
              </w:rPr>
              <w:t>CLÁUSULAS EXCEPCIONALES – Aplicación – Consecuencias</w:t>
            </w:r>
            <w:r>
              <w:rPr>
                <w:rFonts w:ascii="Arial" w:eastAsia="Calibri" w:hAnsi="Arial" w:cs="Arial"/>
                <w:bCs/>
                <w:sz w:val="22"/>
              </w:rPr>
              <w:t xml:space="preserve"> / </w:t>
            </w:r>
            <w:r w:rsidRPr="00C87D96">
              <w:rPr>
                <w:rFonts w:ascii="Arial" w:eastAsia="Calibri" w:hAnsi="Arial" w:cs="Arial"/>
                <w:bCs/>
                <w:sz w:val="22"/>
              </w:rPr>
              <w:t xml:space="preserve">CADUCIDAD DEL CONTRATO – Colaboración con grupos armados – Ley 418 de 1997  </w:t>
            </w:r>
            <w:r>
              <w:rPr>
                <w:rFonts w:ascii="Arial" w:eastAsia="Calibri" w:hAnsi="Arial" w:cs="Arial"/>
                <w:bCs/>
                <w:sz w:val="22"/>
              </w:rPr>
              <w:t xml:space="preserve">/ </w:t>
            </w:r>
            <w:r w:rsidRPr="00C87D96">
              <w:rPr>
                <w:rFonts w:ascii="Arial" w:eastAsia="Calibri" w:hAnsi="Arial" w:cs="Arial"/>
                <w:bCs/>
                <w:sz w:val="22"/>
              </w:rPr>
              <w:t>CADUCIDAD DEL CONTRATO – Entidades – Régimen especial – Ley 80 de 1993 – Ley 418 de 1997 – Régimen de contratación</w:t>
            </w:r>
          </w:p>
        </w:tc>
      </w:tr>
      <w:tr w:rsidR="002A16FE" w:rsidRPr="002A16FE" w14:paraId="2BC7B565" w14:textId="77777777" w:rsidTr="00C00E78">
        <w:tc>
          <w:tcPr>
            <w:tcW w:w="2689" w:type="dxa"/>
            <w:hideMark/>
          </w:tcPr>
          <w:p w14:paraId="4466F0F8" w14:textId="77777777" w:rsidR="00C00E78" w:rsidRPr="002A16FE" w:rsidRDefault="00C00E78">
            <w:pPr>
              <w:spacing w:before="120"/>
              <w:rPr>
                <w:rFonts w:ascii="Arial" w:eastAsia="Calibri" w:hAnsi="Arial" w:cs="Arial"/>
                <w:b/>
                <w:sz w:val="22"/>
              </w:rPr>
            </w:pPr>
            <w:r w:rsidRPr="002A16FE">
              <w:rPr>
                <w:rFonts w:ascii="Arial" w:eastAsia="Calibri" w:hAnsi="Arial" w:cs="Arial"/>
                <w:b/>
                <w:sz w:val="22"/>
              </w:rPr>
              <w:t>Radicación:</w:t>
            </w:r>
            <w:r w:rsidRPr="002A16FE">
              <w:rPr>
                <w:rFonts w:ascii="Arial" w:eastAsia="Calibri" w:hAnsi="Arial" w:cs="Arial"/>
                <w:sz w:val="22"/>
              </w:rPr>
              <w:t xml:space="preserve">               </w:t>
            </w:r>
          </w:p>
        </w:tc>
        <w:tc>
          <w:tcPr>
            <w:tcW w:w="6237" w:type="dxa"/>
            <w:hideMark/>
          </w:tcPr>
          <w:p w14:paraId="3C372D0A" w14:textId="3D50BD2F" w:rsidR="00C00E78" w:rsidRPr="002A16FE" w:rsidRDefault="00C00E78">
            <w:pPr>
              <w:spacing w:before="120"/>
              <w:jc w:val="both"/>
              <w:rPr>
                <w:rFonts w:ascii="Arial" w:eastAsia="Calibri" w:hAnsi="Arial" w:cs="Arial"/>
                <w:sz w:val="22"/>
              </w:rPr>
            </w:pPr>
            <w:r w:rsidRPr="002A16FE">
              <w:rPr>
                <w:rFonts w:ascii="Arial" w:eastAsia="Calibri" w:hAnsi="Arial" w:cs="Arial"/>
                <w:sz w:val="22"/>
              </w:rPr>
              <w:t xml:space="preserve">Respuesta a consulta </w:t>
            </w:r>
            <w:r w:rsidR="006C4617" w:rsidRPr="002A16FE">
              <w:rPr>
                <w:rFonts w:ascii="Arial" w:eastAsia="Calibri" w:hAnsi="Arial" w:cs="Arial"/>
                <w:sz w:val="22"/>
              </w:rPr>
              <w:t>P20210118000339</w:t>
            </w:r>
          </w:p>
        </w:tc>
      </w:tr>
    </w:tbl>
    <w:p w14:paraId="2EB37B59" w14:textId="77777777" w:rsidR="00554F85" w:rsidRDefault="00554F85" w:rsidP="00C00E78">
      <w:pPr>
        <w:rPr>
          <w:rFonts w:ascii="Arial" w:eastAsia="Calibri" w:hAnsi="Arial" w:cs="Arial"/>
          <w:sz w:val="22"/>
        </w:rPr>
      </w:pPr>
    </w:p>
    <w:p w14:paraId="48FB6673" w14:textId="32584C2B" w:rsidR="00554F85" w:rsidRDefault="00554F85" w:rsidP="00C00E78">
      <w:pPr>
        <w:rPr>
          <w:rFonts w:ascii="Arial" w:eastAsia="Calibri" w:hAnsi="Arial" w:cs="Arial"/>
          <w:sz w:val="22"/>
        </w:rPr>
      </w:pPr>
    </w:p>
    <w:p w14:paraId="006ECDEA" w14:textId="77777777" w:rsidR="00C87D96" w:rsidRDefault="00C87D96" w:rsidP="00C00E78">
      <w:pPr>
        <w:rPr>
          <w:rFonts w:ascii="Arial" w:eastAsia="Calibri" w:hAnsi="Arial" w:cs="Arial"/>
          <w:sz w:val="22"/>
        </w:rPr>
      </w:pPr>
    </w:p>
    <w:p w14:paraId="1D4C81F4" w14:textId="26E5D1E3" w:rsidR="00C00E78" w:rsidRPr="002A16FE" w:rsidRDefault="00C00E78" w:rsidP="00C00E78">
      <w:pPr>
        <w:rPr>
          <w:rFonts w:ascii="Arial" w:eastAsia="Calibri" w:hAnsi="Arial" w:cs="Arial"/>
          <w:sz w:val="22"/>
        </w:rPr>
      </w:pPr>
      <w:r w:rsidRPr="002A16FE">
        <w:rPr>
          <w:rFonts w:ascii="Arial" w:eastAsia="Calibri" w:hAnsi="Arial" w:cs="Arial"/>
          <w:sz w:val="22"/>
        </w:rPr>
        <w:t>Estimad</w:t>
      </w:r>
      <w:r w:rsidR="007924F4" w:rsidRPr="002A16FE">
        <w:rPr>
          <w:rFonts w:ascii="Arial" w:eastAsia="Calibri" w:hAnsi="Arial" w:cs="Arial"/>
          <w:sz w:val="22"/>
        </w:rPr>
        <w:t>a</w:t>
      </w:r>
      <w:r w:rsidRPr="002A16FE">
        <w:rPr>
          <w:rFonts w:ascii="Arial" w:eastAsia="Calibri" w:hAnsi="Arial" w:cs="Arial"/>
          <w:sz w:val="22"/>
        </w:rPr>
        <w:t xml:space="preserve"> señor</w:t>
      </w:r>
      <w:r w:rsidR="007924F4" w:rsidRPr="002A16FE">
        <w:rPr>
          <w:rFonts w:ascii="Arial" w:eastAsia="Calibri" w:hAnsi="Arial" w:cs="Arial"/>
          <w:sz w:val="22"/>
        </w:rPr>
        <w:t>a</w:t>
      </w:r>
      <w:r w:rsidRPr="002A16FE">
        <w:rPr>
          <w:rFonts w:ascii="Arial" w:eastAsia="Calibri" w:hAnsi="Arial" w:cs="Arial"/>
          <w:sz w:val="22"/>
        </w:rPr>
        <w:t xml:space="preserve"> </w:t>
      </w:r>
      <w:r w:rsidR="007924F4" w:rsidRPr="002A16FE">
        <w:rPr>
          <w:rFonts w:ascii="Arial" w:eastAsia="Calibri" w:hAnsi="Arial" w:cs="Arial"/>
          <w:sz w:val="22"/>
        </w:rPr>
        <w:t>Ditta</w:t>
      </w:r>
      <w:r w:rsidR="00554F85">
        <w:rPr>
          <w:rFonts w:ascii="Arial" w:eastAsia="Calibri" w:hAnsi="Arial" w:cs="Arial"/>
          <w:sz w:val="22"/>
        </w:rPr>
        <w:t xml:space="preserve"> </w:t>
      </w:r>
      <w:r w:rsidR="00554F85" w:rsidRPr="00554F85">
        <w:rPr>
          <w:rFonts w:ascii="Arial" w:eastAsia="Calibri" w:hAnsi="Arial" w:cs="Arial"/>
          <w:sz w:val="22"/>
        </w:rPr>
        <w:t>Quiroz</w:t>
      </w:r>
      <w:r w:rsidRPr="002A16FE">
        <w:rPr>
          <w:rFonts w:ascii="Arial" w:eastAsia="Calibri" w:hAnsi="Arial" w:cs="Arial"/>
          <w:sz w:val="22"/>
        </w:rPr>
        <w:t>:</w:t>
      </w:r>
    </w:p>
    <w:p w14:paraId="1B221C53" w14:textId="35DE37A4" w:rsidR="00C00E78" w:rsidRDefault="00C00E78" w:rsidP="00C00E78">
      <w:pPr>
        <w:rPr>
          <w:rFonts w:ascii="Arial" w:eastAsia="Calibri" w:hAnsi="Arial" w:cs="Arial"/>
          <w:sz w:val="22"/>
        </w:rPr>
      </w:pPr>
    </w:p>
    <w:p w14:paraId="290959CF" w14:textId="77777777" w:rsidR="00C87D96" w:rsidRPr="002A16FE" w:rsidRDefault="00C87D96" w:rsidP="00C00E78">
      <w:pPr>
        <w:rPr>
          <w:rFonts w:ascii="Arial" w:eastAsia="Calibri" w:hAnsi="Arial" w:cs="Arial"/>
          <w:sz w:val="22"/>
        </w:rPr>
      </w:pPr>
    </w:p>
    <w:p w14:paraId="06A555DA" w14:textId="0929244D" w:rsidR="00C00E78" w:rsidRPr="002A16FE" w:rsidRDefault="00C00E78" w:rsidP="00C00E78">
      <w:pPr>
        <w:spacing w:line="276" w:lineRule="auto"/>
        <w:jc w:val="both"/>
        <w:rPr>
          <w:rFonts w:ascii="Arial" w:eastAsia="Calibri" w:hAnsi="Arial" w:cs="Arial"/>
          <w:sz w:val="22"/>
        </w:rPr>
      </w:pPr>
      <w:r w:rsidRPr="002A16FE">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7924F4" w:rsidRPr="002A16FE">
        <w:rPr>
          <w:rFonts w:ascii="Arial" w:eastAsia="Calibri" w:hAnsi="Arial" w:cs="Arial"/>
          <w:sz w:val="22"/>
        </w:rPr>
        <w:t>18</w:t>
      </w:r>
      <w:r w:rsidRPr="002A16FE">
        <w:rPr>
          <w:rFonts w:ascii="Arial" w:eastAsia="Calibri" w:hAnsi="Arial" w:cs="Arial"/>
          <w:sz w:val="22"/>
        </w:rPr>
        <w:t xml:space="preserve"> de </w:t>
      </w:r>
      <w:r w:rsidR="007924F4" w:rsidRPr="002A16FE">
        <w:rPr>
          <w:rFonts w:ascii="Arial" w:eastAsia="Calibri" w:hAnsi="Arial" w:cs="Arial"/>
          <w:sz w:val="22"/>
        </w:rPr>
        <w:t>enero</w:t>
      </w:r>
      <w:r w:rsidRPr="002A16FE">
        <w:rPr>
          <w:rFonts w:ascii="Arial" w:eastAsia="Calibri" w:hAnsi="Arial" w:cs="Arial"/>
          <w:sz w:val="22"/>
        </w:rPr>
        <w:t xml:space="preserve"> de 202</w:t>
      </w:r>
      <w:r w:rsidR="007924F4" w:rsidRPr="002A16FE">
        <w:rPr>
          <w:rFonts w:ascii="Arial" w:eastAsia="Calibri" w:hAnsi="Arial" w:cs="Arial"/>
          <w:sz w:val="22"/>
        </w:rPr>
        <w:t>1</w:t>
      </w:r>
      <w:r w:rsidRPr="002A16FE">
        <w:rPr>
          <w:rFonts w:ascii="Arial" w:eastAsia="Calibri" w:hAnsi="Arial" w:cs="Arial"/>
          <w:sz w:val="22"/>
        </w:rPr>
        <w:t xml:space="preserve">. </w:t>
      </w:r>
    </w:p>
    <w:p w14:paraId="2E5ADEB0" w14:textId="77777777" w:rsidR="002A16FE" w:rsidRPr="002A16FE" w:rsidRDefault="002A16FE" w:rsidP="00C00E78">
      <w:pPr>
        <w:spacing w:line="276" w:lineRule="auto"/>
        <w:jc w:val="both"/>
        <w:rPr>
          <w:rFonts w:ascii="Arial" w:eastAsia="Calibri" w:hAnsi="Arial" w:cs="Arial"/>
          <w:sz w:val="22"/>
        </w:rPr>
      </w:pPr>
    </w:p>
    <w:p w14:paraId="685D4435" w14:textId="77777777" w:rsidR="00C00E78" w:rsidRPr="002A16FE" w:rsidRDefault="00C00E78" w:rsidP="00C00E78">
      <w:pPr>
        <w:pStyle w:val="Prrafodelista"/>
        <w:numPr>
          <w:ilvl w:val="0"/>
          <w:numId w:val="6"/>
        </w:numPr>
        <w:tabs>
          <w:tab w:val="left" w:pos="284"/>
        </w:tabs>
        <w:spacing w:line="276" w:lineRule="auto"/>
        <w:ind w:left="0" w:firstLine="0"/>
        <w:jc w:val="both"/>
        <w:rPr>
          <w:rFonts w:ascii="Arial" w:eastAsia="Calibri" w:hAnsi="Arial" w:cs="Arial"/>
          <w:b/>
          <w:sz w:val="22"/>
        </w:rPr>
      </w:pPr>
      <w:r w:rsidRPr="002A16FE">
        <w:rPr>
          <w:rFonts w:ascii="Arial" w:eastAsia="Calibri" w:hAnsi="Arial" w:cs="Arial"/>
          <w:b/>
          <w:sz w:val="22"/>
        </w:rPr>
        <w:t xml:space="preserve">Problemas planteados </w:t>
      </w:r>
    </w:p>
    <w:p w14:paraId="5D0E9293" w14:textId="77777777" w:rsidR="00C00E78" w:rsidRPr="002A16FE" w:rsidRDefault="00C00E78" w:rsidP="00C00E78">
      <w:pPr>
        <w:tabs>
          <w:tab w:val="left" w:pos="426"/>
        </w:tabs>
        <w:spacing w:line="276" w:lineRule="auto"/>
        <w:jc w:val="both"/>
        <w:rPr>
          <w:rFonts w:ascii="Arial" w:eastAsia="Calibri" w:hAnsi="Arial" w:cs="Arial"/>
          <w:b/>
          <w:sz w:val="22"/>
        </w:rPr>
      </w:pPr>
    </w:p>
    <w:p w14:paraId="395C2BCB" w14:textId="5AFC8299" w:rsidR="007924F4" w:rsidRPr="002A16FE" w:rsidRDefault="00C00E78" w:rsidP="007924F4">
      <w:pPr>
        <w:pStyle w:val="Default"/>
        <w:spacing w:line="276" w:lineRule="auto"/>
        <w:jc w:val="both"/>
        <w:rPr>
          <w:color w:val="auto"/>
          <w:sz w:val="22"/>
          <w:lang w:val="es-ES_tradnl"/>
        </w:rPr>
      </w:pPr>
      <w:r w:rsidRPr="002A16FE">
        <w:rPr>
          <w:color w:val="auto"/>
          <w:sz w:val="22"/>
          <w:lang w:val="es-ES_tradnl"/>
        </w:rPr>
        <w:t>Usted formula las siguientes preguntas</w:t>
      </w:r>
      <w:r w:rsidR="007924F4" w:rsidRPr="002A16FE">
        <w:rPr>
          <w:color w:val="auto"/>
          <w:sz w:val="22"/>
          <w:lang w:val="es-ES_tradnl"/>
        </w:rPr>
        <w:t>, estando la primera y segunda preguntas relacionadas con el parágrafo primero del artículo 34 de la Ley 2069 de 2020, en el que se dispone la aplicación de los artículos 90 a 95 de la Ley 418 de 1997:</w:t>
      </w:r>
      <w:r w:rsidRPr="002A16FE">
        <w:rPr>
          <w:color w:val="auto"/>
          <w:sz w:val="22"/>
          <w:lang w:val="es-ES_tradnl"/>
        </w:rPr>
        <w:t xml:space="preserve"> </w:t>
      </w:r>
    </w:p>
    <w:p w14:paraId="0CCC477C" w14:textId="77777777" w:rsidR="007924F4" w:rsidRPr="002A16FE" w:rsidRDefault="007924F4" w:rsidP="007924F4">
      <w:pPr>
        <w:pStyle w:val="Default"/>
        <w:rPr>
          <w:color w:val="auto"/>
          <w:sz w:val="22"/>
          <w:lang w:val="es-ES_tradnl"/>
        </w:rPr>
      </w:pPr>
    </w:p>
    <w:p w14:paraId="60E6FDD5" w14:textId="479041BE" w:rsidR="007924F4" w:rsidRPr="002A16FE" w:rsidRDefault="007924F4" w:rsidP="0064300E">
      <w:pPr>
        <w:pStyle w:val="Default"/>
        <w:spacing w:after="120"/>
        <w:ind w:left="709" w:right="709"/>
        <w:jc w:val="both"/>
        <w:rPr>
          <w:color w:val="auto"/>
          <w:sz w:val="21"/>
          <w:szCs w:val="21"/>
        </w:rPr>
      </w:pPr>
      <w:r w:rsidRPr="002A16FE">
        <w:rPr>
          <w:color w:val="auto"/>
          <w:sz w:val="21"/>
          <w:szCs w:val="21"/>
          <w:lang w:val="es-ES_tradnl"/>
        </w:rPr>
        <w:t xml:space="preserve">1. […] </w:t>
      </w:r>
      <w:r w:rsidRPr="002A16FE">
        <w:rPr>
          <w:color w:val="auto"/>
          <w:sz w:val="21"/>
          <w:szCs w:val="21"/>
        </w:rPr>
        <w:t xml:space="preserve"> ¿significa que las entidades estatales de régimen especial, que por regla general no tienen potestades excepcionales, podrán incluirlas en los procesos de selección cuando se limiten las convocatorias a Mipymes? </w:t>
      </w:r>
    </w:p>
    <w:p w14:paraId="04C73D76" w14:textId="0436F017" w:rsidR="007924F4" w:rsidRPr="002A16FE" w:rsidRDefault="007924F4" w:rsidP="0064300E">
      <w:pPr>
        <w:pStyle w:val="Default"/>
        <w:spacing w:after="120"/>
        <w:ind w:left="709" w:right="709"/>
        <w:jc w:val="both"/>
        <w:rPr>
          <w:color w:val="auto"/>
          <w:sz w:val="21"/>
          <w:szCs w:val="21"/>
        </w:rPr>
      </w:pPr>
      <w:r w:rsidRPr="002A16FE">
        <w:rPr>
          <w:color w:val="auto"/>
          <w:sz w:val="21"/>
          <w:szCs w:val="21"/>
        </w:rPr>
        <w:t xml:space="preserve">2. ¿En qué otros casos, las entidades estatales con régimen especial pueden incluir potestades excepcionales? </w:t>
      </w:r>
    </w:p>
    <w:p w14:paraId="1319EBC5" w14:textId="4AA56292" w:rsidR="00C00E78" w:rsidRPr="002A16FE" w:rsidRDefault="007924F4" w:rsidP="007924F4">
      <w:pPr>
        <w:pStyle w:val="Default"/>
        <w:ind w:left="709" w:right="709"/>
        <w:jc w:val="both"/>
        <w:rPr>
          <w:color w:val="auto"/>
          <w:sz w:val="21"/>
          <w:szCs w:val="21"/>
          <w:lang w:val="es-ES_tradnl"/>
        </w:rPr>
      </w:pPr>
      <w:r w:rsidRPr="002A16FE">
        <w:rPr>
          <w:color w:val="auto"/>
          <w:sz w:val="21"/>
          <w:szCs w:val="21"/>
        </w:rPr>
        <w:t xml:space="preserve">3. Las entidades estatales con régimen especial que deseen suscribir un contrato de fiducia ¿Cuál de los procesos de selección establecidos en la Ley </w:t>
      </w:r>
      <w:r w:rsidRPr="002A16FE">
        <w:rPr>
          <w:color w:val="auto"/>
          <w:sz w:val="21"/>
          <w:szCs w:val="21"/>
        </w:rPr>
        <w:lastRenderedPageBreak/>
        <w:t>1150 de 2007 deben utilizar? o ¿Deben adelantarlo conforme al proceso de selección establecido en su reglamento interno?</w:t>
      </w:r>
      <w:r w:rsidRPr="002A16FE">
        <w:rPr>
          <w:color w:val="auto"/>
          <w:sz w:val="21"/>
          <w:szCs w:val="21"/>
          <w:lang w:val="es-ES_tradnl"/>
        </w:rPr>
        <w:t>.</w:t>
      </w:r>
      <w:r w:rsidR="00C00E78" w:rsidRPr="002A16FE">
        <w:rPr>
          <w:color w:val="auto"/>
          <w:sz w:val="21"/>
          <w:szCs w:val="21"/>
          <w:lang w:val="es-ES_tradnl"/>
        </w:rPr>
        <w:t xml:space="preserve"> </w:t>
      </w:r>
    </w:p>
    <w:p w14:paraId="0D65BBF4" w14:textId="77777777" w:rsidR="0064300E" w:rsidRPr="002A16FE" w:rsidRDefault="0064300E" w:rsidP="00C00E78">
      <w:pPr>
        <w:tabs>
          <w:tab w:val="left" w:pos="709"/>
        </w:tabs>
        <w:spacing w:line="276" w:lineRule="auto"/>
        <w:jc w:val="both"/>
        <w:rPr>
          <w:rFonts w:ascii="Arial" w:eastAsia="Calibri" w:hAnsi="Arial" w:cs="Arial"/>
          <w:sz w:val="22"/>
        </w:rPr>
      </w:pPr>
    </w:p>
    <w:p w14:paraId="3509EBCA" w14:textId="09D8662E" w:rsidR="00C00E78" w:rsidRPr="002A16FE" w:rsidRDefault="00C00E78" w:rsidP="00C00E78">
      <w:pPr>
        <w:pStyle w:val="Prrafodelista"/>
        <w:numPr>
          <w:ilvl w:val="0"/>
          <w:numId w:val="6"/>
        </w:numPr>
        <w:tabs>
          <w:tab w:val="left" w:pos="426"/>
        </w:tabs>
        <w:spacing w:line="276" w:lineRule="auto"/>
        <w:ind w:left="284" w:hanging="284"/>
        <w:jc w:val="both"/>
        <w:rPr>
          <w:rFonts w:ascii="Arial" w:eastAsia="Calibri" w:hAnsi="Arial" w:cs="Arial"/>
          <w:b/>
          <w:sz w:val="22"/>
        </w:rPr>
      </w:pPr>
      <w:r w:rsidRPr="002A16FE">
        <w:rPr>
          <w:rFonts w:ascii="Arial" w:eastAsia="Calibri" w:hAnsi="Arial" w:cs="Arial"/>
          <w:b/>
          <w:sz w:val="22"/>
        </w:rPr>
        <w:t>Consideraciones</w:t>
      </w:r>
    </w:p>
    <w:p w14:paraId="4DD4A61C" w14:textId="4338C9D5" w:rsidR="001140F8" w:rsidRPr="002A16FE" w:rsidRDefault="001140F8" w:rsidP="001140F8">
      <w:pPr>
        <w:tabs>
          <w:tab w:val="left" w:pos="426"/>
        </w:tabs>
        <w:spacing w:line="276" w:lineRule="auto"/>
        <w:jc w:val="both"/>
        <w:rPr>
          <w:rFonts w:ascii="Arial" w:eastAsia="Calibri" w:hAnsi="Arial" w:cs="Arial"/>
          <w:b/>
          <w:sz w:val="22"/>
        </w:rPr>
      </w:pPr>
    </w:p>
    <w:p w14:paraId="4673D710" w14:textId="63290508" w:rsidR="00B660DB" w:rsidRPr="002A16FE" w:rsidRDefault="00B660DB" w:rsidP="0098401D">
      <w:pPr>
        <w:tabs>
          <w:tab w:val="left" w:pos="426"/>
        </w:tabs>
        <w:spacing w:after="120" w:line="276" w:lineRule="auto"/>
        <w:jc w:val="both"/>
        <w:rPr>
          <w:rFonts w:ascii="Arial" w:hAnsi="Arial" w:cs="Arial"/>
          <w:sz w:val="22"/>
          <w:lang w:val="es-ES_tradnl"/>
        </w:rPr>
      </w:pPr>
      <w:r w:rsidRPr="002A16FE">
        <w:rPr>
          <w:rFonts w:ascii="Arial" w:eastAsia="Calibri" w:hAnsi="Arial" w:cs="Arial"/>
          <w:bCs/>
          <w:sz w:val="22"/>
        </w:rPr>
        <w:t xml:space="preserve">Antes de proceder al estudio de la consulta, es necesario mencionar que la respuesta </w:t>
      </w:r>
      <w:r w:rsidR="00507327" w:rsidRPr="002A16FE">
        <w:rPr>
          <w:rFonts w:ascii="Arial" w:eastAsia="Calibri" w:hAnsi="Arial" w:cs="Arial"/>
          <w:bCs/>
          <w:sz w:val="22"/>
        </w:rPr>
        <w:t xml:space="preserve">a la </w:t>
      </w:r>
      <w:r w:rsidRPr="002A16FE">
        <w:rPr>
          <w:rFonts w:ascii="Arial" w:eastAsia="Calibri" w:hAnsi="Arial" w:cs="Arial"/>
          <w:bCs/>
          <w:sz w:val="22"/>
        </w:rPr>
        <w:t>tercera</w:t>
      </w:r>
      <w:r w:rsidRPr="002A16FE">
        <w:rPr>
          <w:rFonts w:ascii="Arial" w:hAnsi="Arial" w:cs="Arial"/>
          <w:sz w:val="22"/>
          <w:lang w:val="es-ES_tradnl"/>
        </w:rPr>
        <w:t xml:space="preserve"> pregunta planteada por la peticionaria se </w:t>
      </w:r>
      <w:r w:rsidR="004F70B1" w:rsidRPr="002A16FE">
        <w:rPr>
          <w:rFonts w:ascii="Arial" w:hAnsi="Arial" w:cs="Arial"/>
          <w:sz w:val="22"/>
          <w:lang w:val="es-ES_tradnl"/>
        </w:rPr>
        <w:t xml:space="preserve">encuentra por fuera del ámbito de la función consultiva de esta entidad. </w:t>
      </w:r>
      <w:r w:rsidR="007F56CF" w:rsidRPr="002A16FE">
        <w:rPr>
          <w:rFonts w:ascii="Arial" w:hAnsi="Arial" w:cs="Arial"/>
          <w:sz w:val="22"/>
          <w:lang w:val="es-ES_tradnl"/>
        </w:rPr>
        <w:t xml:space="preserve">Esto </w:t>
      </w:r>
      <w:r w:rsidR="006E435F">
        <w:rPr>
          <w:rFonts w:ascii="Arial" w:hAnsi="Arial" w:cs="Arial"/>
          <w:sz w:val="22"/>
          <w:lang w:val="es-ES_tradnl"/>
        </w:rPr>
        <w:t>dado</w:t>
      </w:r>
      <w:r w:rsidR="006E435F" w:rsidRPr="002A16FE">
        <w:rPr>
          <w:rFonts w:ascii="Arial" w:hAnsi="Arial" w:cs="Arial"/>
          <w:sz w:val="22"/>
          <w:lang w:val="es-ES_tradnl"/>
        </w:rPr>
        <w:t xml:space="preserve"> </w:t>
      </w:r>
      <w:r w:rsidR="007F56CF" w:rsidRPr="002A16FE">
        <w:rPr>
          <w:rFonts w:ascii="Arial" w:hAnsi="Arial" w:cs="Arial"/>
          <w:sz w:val="22"/>
          <w:lang w:val="es-ES_tradnl"/>
        </w:rPr>
        <w:t>que</w:t>
      </w:r>
      <w:r w:rsidRPr="002A16FE">
        <w:rPr>
          <w:rFonts w:ascii="Arial" w:hAnsi="Arial" w:cs="Arial"/>
          <w:sz w:val="22"/>
          <w:lang w:val="es-ES_tradnl"/>
        </w:rPr>
        <w:t xml:space="preserve"> </w:t>
      </w:r>
      <w:r w:rsidR="007F56CF" w:rsidRPr="002A16FE">
        <w:rPr>
          <w:rFonts w:ascii="Arial" w:hAnsi="Arial" w:cs="Arial"/>
          <w:sz w:val="22"/>
          <w:lang w:val="es-ES_tradnl"/>
        </w:rPr>
        <w:t xml:space="preserve">la </w:t>
      </w:r>
      <w:r w:rsidRPr="002A16FE">
        <w:rPr>
          <w:rFonts w:ascii="Arial" w:hAnsi="Arial" w:cs="Arial"/>
          <w:sz w:val="22"/>
          <w:lang w:val="es-ES_tradnl"/>
        </w:rPr>
        <w:t>Agencia Nacional de Contratación Pública – Colombia Compra Eficiente</w:t>
      </w:r>
      <w:r w:rsidR="006E435F">
        <w:rPr>
          <w:rFonts w:ascii="Arial" w:hAnsi="Arial" w:cs="Arial"/>
          <w:sz w:val="22"/>
          <w:lang w:val="es-ES_tradnl"/>
        </w:rPr>
        <w:t>,</w:t>
      </w:r>
      <w:r w:rsidRPr="002A16FE">
        <w:rPr>
          <w:rFonts w:ascii="Arial" w:hAnsi="Arial" w:cs="Arial"/>
          <w:sz w:val="22"/>
          <w:lang w:val="es-ES_tradnl"/>
        </w:rPr>
        <w:t xml:space="preserve"> </w:t>
      </w:r>
      <w:r w:rsidR="00507327" w:rsidRPr="002A16FE">
        <w:rPr>
          <w:rFonts w:ascii="Arial" w:hAnsi="Arial" w:cs="Arial"/>
          <w:sz w:val="22"/>
          <w:lang w:val="es-ES_tradnl"/>
        </w:rPr>
        <w:t xml:space="preserve">de conformidad </w:t>
      </w:r>
      <w:r w:rsidR="007F56CF" w:rsidRPr="002A16FE">
        <w:rPr>
          <w:rFonts w:ascii="Arial" w:hAnsi="Arial" w:cs="Arial"/>
          <w:sz w:val="22"/>
          <w:lang w:val="es-ES_tradnl"/>
        </w:rPr>
        <w:t xml:space="preserve">con </w:t>
      </w:r>
      <w:r w:rsidR="00507327" w:rsidRPr="002A16FE">
        <w:rPr>
          <w:rFonts w:ascii="Arial" w:hAnsi="Arial" w:cs="Arial"/>
          <w:sz w:val="22"/>
          <w:lang w:val="es-ES_tradnl"/>
        </w:rPr>
        <w:t xml:space="preserve">los artículos </w:t>
      </w:r>
      <w:r w:rsidR="006E435F">
        <w:rPr>
          <w:rFonts w:ascii="Arial" w:eastAsia="Calibri" w:hAnsi="Arial" w:cs="Arial"/>
          <w:sz w:val="22"/>
        </w:rPr>
        <w:t>3.5</w:t>
      </w:r>
      <w:r w:rsidR="00507327" w:rsidRPr="002A16FE">
        <w:rPr>
          <w:rFonts w:ascii="Arial" w:eastAsia="Calibri" w:hAnsi="Arial" w:cs="Arial"/>
          <w:sz w:val="22"/>
        </w:rPr>
        <w:t xml:space="preserve"> y 11</w:t>
      </w:r>
      <w:r w:rsidR="006E435F">
        <w:rPr>
          <w:rFonts w:ascii="Arial" w:eastAsia="Calibri" w:hAnsi="Arial" w:cs="Arial"/>
          <w:sz w:val="22"/>
        </w:rPr>
        <w:t>.8</w:t>
      </w:r>
      <w:r w:rsidR="00507327" w:rsidRPr="002A16FE">
        <w:rPr>
          <w:rFonts w:ascii="Arial" w:eastAsia="Calibri" w:hAnsi="Arial" w:cs="Arial"/>
          <w:sz w:val="22"/>
        </w:rPr>
        <w:t xml:space="preserve"> </w:t>
      </w:r>
      <w:r w:rsidR="007F56CF" w:rsidRPr="002A16FE">
        <w:rPr>
          <w:rFonts w:ascii="Arial" w:eastAsia="Calibri" w:hAnsi="Arial" w:cs="Arial"/>
          <w:sz w:val="22"/>
        </w:rPr>
        <w:t>d</w:t>
      </w:r>
      <w:r w:rsidRPr="002A16FE">
        <w:rPr>
          <w:rFonts w:ascii="Arial" w:hAnsi="Arial" w:cs="Arial"/>
          <w:sz w:val="22"/>
          <w:lang w:val="es-ES_tradnl"/>
        </w:rPr>
        <w:t xml:space="preserve">el Decreto 4170 de 2011, </w:t>
      </w:r>
      <w:r w:rsidR="006E435F">
        <w:rPr>
          <w:rFonts w:ascii="Arial" w:hAnsi="Arial" w:cs="Arial"/>
          <w:sz w:val="22"/>
          <w:lang w:val="es-ES_tradnl"/>
        </w:rPr>
        <w:t xml:space="preserve">solo </w:t>
      </w:r>
      <w:r w:rsidR="007F56CF" w:rsidRPr="002A16FE">
        <w:rPr>
          <w:rFonts w:ascii="Arial" w:hAnsi="Arial" w:cs="Arial"/>
          <w:sz w:val="22"/>
          <w:lang w:val="es-ES_tradnl"/>
        </w:rPr>
        <w:t>tiene</w:t>
      </w:r>
      <w:r w:rsidRPr="002A16FE">
        <w:rPr>
          <w:rFonts w:ascii="Arial" w:eastAsia="Calibri" w:hAnsi="Arial" w:cs="Arial"/>
          <w:sz w:val="22"/>
        </w:rPr>
        <w:t xml:space="preserve"> </w:t>
      </w:r>
      <w:r w:rsidR="007F56CF" w:rsidRPr="002A16FE">
        <w:rPr>
          <w:rFonts w:ascii="Arial" w:eastAsia="Calibri" w:hAnsi="Arial" w:cs="Arial"/>
          <w:sz w:val="22"/>
        </w:rPr>
        <w:t xml:space="preserve">competencia </w:t>
      </w:r>
      <w:r w:rsidRPr="002A16FE">
        <w:rPr>
          <w:rFonts w:ascii="Arial" w:eastAsia="Calibri" w:hAnsi="Arial" w:cs="Arial"/>
          <w:sz w:val="22"/>
        </w:rPr>
        <w:t>para absolver consultas sobre la aplicación de normas de carácter general en materia de compras y contratación pública</w:t>
      </w:r>
      <w:r w:rsidR="009B52AA">
        <w:rPr>
          <w:rFonts w:ascii="Arial" w:eastAsia="Calibri" w:hAnsi="Arial" w:cs="Arial"/>
          <w:sz w:val="22"/>
        </w:rPr>
        <w:t>. Es decir,</w:t>
      </w:r>
      <w:r w:rsidRPr="002A16FE">
        <w:rPr>
          <w:rFonts w:ascii="Arial" w:eastAsia="Calibri" w:hAnsi="Arial" w:cs="Arial"/>
          <w:sz w:val="22"/>
        </w:rPr>
        <w:t xml:space="preserve"> esta </w:t>
      </w:r>
      <w:r w:rsidRPr="002A16FE">
        <w:rPr>
          <w:rFonts w:ascii="Arial" w:hAnsi="Arial" w:cs="Arial"/>
          <w:sz w:val="22"/>
          <w:lang w:val="es-ES_tradnl"/>
        </w:rPr>
        <w:t xml:space="preserve">Agencia no tiene la competencia para </w:t>
      </w:r>
      <w:r w:rsidR="007F56CF" w:rsidRPr="002A16FE">
        <w:rPr>
          <w:rFonts w:ascii="Arial" w:hAnsi="Arial" w:cs="Arial"/>
          <w:sz w:val="22"/>
          <w:lang w:val="es-ES_tradnl"/>
        </w:rPr>
        <w:t xml:space="preserve">pronunciarse sobre situaciones </w:t>
      </w:r>
      <w:r w:rsidR="003E4FFF" w:rsidRPr="002A16FE">
        <w:rPr>
          <w:rFonts w:ascii="Arial" w:hAnsi="Arial" w:cs="Arial"/>
          <w:sz w:val="22"/>
          <w:lang w:val="es-ES_tradnl"/>
        </w:rPr>
        <w:t>específicas, resolver casos concreto</w:t>
      </w:r>
      <w:r w:rsidR="0098401D" w:rsidRPr="002A16FE">
        <w:rPr>
          <w:rFonts w:ascii="Arial" w:hAnsi="Arial" w:cs="Arial"/>
          <w:sz w:val="22"/>
          <w:lang w:val="es-ES_tradnl"/>
        </w:rPr>
        <w:t>s</w:t>
      </w:r>
      <w:r w:rsidR="003E4FFF" w:rsidRPr="002A16FE">
        <w:rPr>
          <w:rFonts w:ascii="Arial" w:hAnsi="Arial" w:cs="Arial"/>
          <w:sz w:val="22"/>
          <w:lang w:val="es-ES_tradnl"/>
        </w:rPr>
        <w:t xml:space="preserve"> o brindar asesorías </w:t>
      </w:r>
      <w:r w:rsidR="009B52AA">
        <w:rPr>
          <w:rFonts w:ascii="Arial" w:hAnsi="Arial" w:cs="Arial"/>
          <w:sz w:val="22"/>
          <w:lang w:val="es-ES_tradnl"/>
        </w:rPr>
        <w:t>particulares</w:t>
      </w:r>
      <w:r w:rsidR="009B52AA" w:rsidRPr="002A16FE">
        <w:rPr>
          <w:rFonts w:ascii="Arial" w:hAnsi="Arial" w:cs="Arial"/>
          <w:sz w:val="22"/>
          <w:lang w:val="es-ES_tradnl"/>
        </w:rPr>
        <w:t xml:space="preserve"> </w:t>
      </w:r>
      <w:r w:rsidR="003E4FFF" w:rsidRPr="002A16FE">
        <w:rPr>
          <w:rFonts w:ascii="Arial" w:hAnsi="Arial" w:cs="Arial"/>
          <w:sz w:val="22"/>
          <w:lang w:val="es-ES_tradnl"/>
        </w:rPr>
        <w:t>en materia</w:t>
      </w:r>
      <w:r w:rsidR="0098401D" w:rsidRPr="002A16FE">
        <w:rPr>
          <w:rFonts w:ascii="Arial" w:hAnsi="Arial" w:cs="Arial"/>
          <w:sz w:val="22"/>
          <w:lang w:val="es-ES_tradnl"/>
        </w:rPr>
        <w:t xml:space="preserve"> de contratación.</w:t>
      </w:r>
      <w:r w:rsidR="003E4FFF" w:rsidRPr="002A16FE">
        <w:rPr>
          <w:rFonts w:ascii="Arial" w:hAnsi="Arial" w:cs="Arial"/>
          <w:sz w:val="22"/>
          <w:lang w:val="es-ES_tradnl"/>
        </w:rPr>
        <w:t xml:space="preserve"> </w:t>
      </w:r>
    </w:p>
    <w:p w14:paraId="3A0DE07E" w14:textId="29790450" w:rsidR="0098401D" w:rsidRDefault="0098401D" w:rsidP="0064300E">
      <w:pPr>
        <w:tabs>
          <w:tab w:val="left" w:pos="426"/>
        </w:tabs>
        <w:spacing w:after="120" w:line="276" w:lineRule="auto"/>
        <w:jc w:val="both"/>
        <w:rPr>
          <w:rFonts w:ascii="Arial" w:hAnsi="Arial" w:cs="Arial"/>
          <w:sz w:val="22"/>
          <w:lang w:val="es-ES_tradnl"/>
        </w:rPr>
      </w:pPr>
      <w:r w:rsidRPr="002A16FE">
        <w:rPr>
          <w:rFonts w:ascii="Arial" w:hAnsi="Arial" w:cs="Arial"/>
          <w:sz w:val="22"/>
          <w:lang w:val="es-ES_tradnl"/>
        </w:rPr>
        <w:tab/>
      </w:r>
      <w:r w:rsidR="009B52AA">
        <w:rPr>
          <w:rFonts w:ascii="Arial" w:hAnsi="Arial" w:cs="Arial"/>
          <w:sz w:val="22"/>
          <w:lang w:val="es-ES_tradnl"/>
        </w:rPr>
        <w:tab/>
        <w:t>Explicado</w:t>
      </w:r>
      <w:r w:rsidR="009B52AA" w:rsidRPr="002A16FE">
        <w:rPr>
          <w:rFonts w:ascii="Arial" w:hAnsi="Arial" w:cs="Arial"/>
          <w:sz w:val="22"/>
          <w:lang w:val="es-ES_tradnl"/>
        </w:rPr>
        <w:t xml:space="preserve"> </w:t>
      </w:r>
      <w:r w:rsidRPr="002A16FE">
        <w:rPr>
          <w:rFonts w:ascii="Arial" w:hAnsi="Arial" w:cs="Arial"/>
          <w:sz w:val="22"/>
          <w:lang w:val="es-ES_tradnl"/>
        </w:rPr>
        <w:t xml:space="preserve">lo anterior, </w:t>
      </w:r>
      <w:r w:rsidR="006A55E7" w:rsidRPr="002A16FE">
        <w:rPr>
          <w:rFonts w:ascii="Arial" w:hAnsi="Arial" w:cs="Arial"/>
          <w:sz w:val="22"/>
          <w:lang w:val="es-ES_tradnl"/>
        </w:rPr>
        <w:t xml:space="preserve">para absolver </w:t>
      </w:r>
      <w:r w:rsidR="009B52AA">
        <w:rPr>
          <w:rFonts w:ascii="Arial" w:hAnsi="Arial" w:cs="Arial"/>
          <w:sz w:val="22"/>
          <w:lang w:val="es-ES_tradnl"/>
        </w:rPr>
        <w:t>las demás</w:t>
      </w:r>
      <w:r w:rsidR="006A55E7" w:rsidRPr="002A16FE">
        <w:rPr>
          <w:rFonts w:ascii="Arial" w:hAnsi="Arial" w:cs="Arial"/>
          <w:sz w:val="22"/>
          <w:lang w:val="es-ES_tradnl"/>
        </w:rPr>
        <w:t xml:space="preserve"> </w:t>
      </w:r>
      <w:r w:rsidR="00F42F69" w:rsidRPr="002A16FE">
        <w:rPr>
          <w:rFonts w:ascii="Arial" w:hAnsi="Arial" w:cs="Arial"/>
          <w:sz w:val="22"/>
          <w:lang w:val="es-ES_tradnl"/>
        </w:rPr>
        <w:t xml:space="preserve">preguntas planteadas por la peticionaria, se </w:t>
      </w:r>
      <w:r w:rsidR="009B52AA">
        <w:rPr>
          <w:rFonts w:ascii="Arial" w:hAnsi="Arial" w:cs="Arial"/>
          <w:sz w:val="22"/>
          <w:lang w:val="es-ES_tradnl"/>
        </w:rPr>
        <w:t>realizarán</w:t>
      </w:r>
      <w:r w:rsidR="001A2567" w:rsidRPr="002A16FE">
        <w:rPr>
          <w:rFonts w:ascii="Arial" w:hAnsi="Arial" w:cs="Arial"/>
          <w:sz w:val="22"/>
          <w:lang w:val="es-ES_tradnl"/>
        </w:rPr>
        <w:t xml:space="preserve"> algunas consideraciones sobre</w:t>
      </w:r>
      <w:r w:rsidR="009B52AA">
        <w:rPr>
          <w:rFonts w:ascii="Arial" w:hAnsi="Arial" w:cs="Arial"/>
          <w:sz w:val="22"/>
          <w:lang w:val="es-ES_tradnl"/>
        </w:rPr>
        <w:t xml:space="preserve"> los siguientes temas</w:t>
      </w:r>
      <w:r w:rsidR="001A2567" w:rsidRPr="002A16FE">
        <w:rPr>
          <w:rFonts w:ascii="Arial" w:hAnsi="Arial" w:cs="Arial"/>
          <w:sz w:val="22"/>
          <w:lang w:val="es-ES_tradnl"/>
        </w:rPr>
        <w:t>: i) las potestades unilaterales de las entidades estatales en el marco del Estatuto General de Contratación de la Administración Pública</w:t>
      </w:r>
      <w:r w:rsidR="00C763B9" w:rsidRPr="002A16FE">
        <w:rPr>
          <w:rFonts w:ascii="Arial" w:hAnsi="Arial" w:cs="Arial"/>
          <w:sz w:val="22"/>
          <w:lang w:val="es-ES_tradnl"/>
        </w:rPr>
        <w:t xml:space="preserve">; y ii) </w:t>
      </w:r>
      <w:r w:rsidR="009B52AA">
        <w:rPr>
          <w:rFonts w:ascii="Arial" w:hAnsi="Arial" w:cs="Arial"/>
          <w:sz w:val="22"/>
          <w:lang w:val="es-ES_tradnl"/>
        </w:rPr>
        <w:t>e</w:t>
      </w:r>
      <w:r w:rsidR="00C763B9" w:rsidRPr="002A16FE">
        <w:rPr>
          <w:rFonts w:ascii="Arial" w:hAnsi="Arial" w:cs="Arial"/>
          <w:sz w:val="22"/>
          <w:lang w:val="es-ES_tradnl"/>
        </w:rPr>
        <w:t>l régimen de caducidad del contrato por colaboración con grupos armados al margen de la ley.</w:t>
      </w:r>
    </w:p>
    <w:p w14:paraId="18D0F36F" w14:textId="31E07537" w:rsidR="009B52AA" w:rsidRPr="002A16FE" w:rsidRDefault="009B52AA" w:rsidP="0064300E">
      <w:pPr>
        <w:spacing w:line="276" w:lineRule="auto"/>
        <w:ind w:firstLine="708"/>
        <w:jc w:val="both"/>
        <w:rPr>
          <w:rFonts w:ascii="Arial" w:eastAsia="Calibri" w:hAnsi="Arial" w:cs="Arial"/>
          <w:b/>
          <w:bCs/>
          <w:sz w:val="22"/>
        </w:rPr>
      </w:pPr>
      <w:r w:rsidRPr="002A16FE">
        <w:rPr>
          <w:rFonts w:ascii="Arial" w:eastAsia="Calibri" w:hAnsi="Arial" w:cs="Arial"/>
          <w:sz w:val="22"/>
        </w:rPr>
        <w:t xml:space="preserve">Esta </w:t>
      </w:r>
      <w:r w:rsidR="00F3366D">
        <w:rPr>
          <w:rFonts w:ascii="Arial" w:eastAsia="Calibri" w:hAnsi="Arial" w:cs="Arial"/>
          <w:sz w:val="22"/>
        </w:rPr>
        <w:t>Agencia</w:t>
      </w:r>
      <w:r w:rsidRPr="002A16FE">
        <w:rPr>
          <w:rFonts w:ascii="Arial" w:eastAsia="Calibri" w:hAnsi="Arial" w:cs="Arial"/>
          <w:sz w:val="22"/>
        </w:rPr>
        <w:t xml:space="preserve"> expidió los conceptos </w:t>
      </w:r>
      <w:r w:rsidRPr="002A16FE">
        <w:rPr>
          <w:rFonts w:ascii="Arial" w:eastAsia="Calibri" w:hAnsi="Arial" w:cs="Arial"/>
          <w:bCs/>
          <w:sz w:val="22"/>
        </w:rPr>
        <w:t>C-219 del 29 de abril de 2020,</w:t>
      </w:r>
      <w:r w:rsidRPr="002A16FE">
        <w:rPr>
          <w:rFonts w:ascii="Arial" w:eastAsia="Calibri" w:hAnsi="Arial" w:cs="Arial"/>
          <w:sz w:val="22"/>
        </w:rPr>
        <w:t xml:space="preserve"> C–251 del 27 de mayo de 2020, C–280 del 6 de julio de 2020, C-516 del 11 de agosto de 2020 y C-607 de 13 de octubre de 2020, en donde se estudió </w:t>
      </w:r>
      <w:r w:rsidRPr="002A16FE">
        <w:rPr>
          <w:rFonts w:ascii="Arial" w:eastAsia="Calibri" w:hAnsi="Arial" w:cs="Arial"/>
          <w:bCs/>
          <w:sz w:val="22"/>
        </w:rPr>
        <w:t>el régimen sancionatorio en materia contractual como herramienta para la dirección general del negocio y la realización de las actividades propias de vigilancia y control. La tesis propuesta se reitera y amplía a continuación.</w:t>
      </w:r>
    </w:p>
    <w:p w14:paraId="58A7753B" w14:textId="77777777" w:rsidR="00C00E78" w:rsidRPr="002A16FE" w:rsidRDefault="00C00E78" w:rsidP="00C00E78">
      <w:pPr>
        <w:spacing w:line="276" w:lineRule="auto"/>
        <w:jc w:val="both"/>
        <w:rPr>
          <w:rFonts w:ascii="Arial" w:eastAsia="Calibri" w:hAnsi="Arial" w:cs="Arial"/>
          <w:sz w:val="22"/>
        </w:rPr>
      </w:pPr>
    </w:p>
    <w:p w14:paraId="051655F5" w14:textId="23560B30" w:rsidR="00C00E78" w:rsidRPr="002A16FE" w:rsidRDefault="00C00E78" w:rsidP="00C00E78">
      <w:pPr>
        <w:spacing w:line="276" w:lineRule="auto"/>
        <w:jc w:val="both"/>
        <w:rPr>
          <w:rFonts w:ascii="Arial" w:eastAsia="Calibri" w:hAnsi="Arial" w:cs="Arial"/>
          <w:b/>
          <w:bCs/>
          <w:sz w:val="22"/>
        </w:rPr>
      </w:pPr>
      <w:r w:rsidRPr="002A16FE">
        <w:rPr>
          <w:rFonts w:ascii="Arial" w:eastAsia="Calibri" w:hAnsi="Arial" w:cs="Arial"/>
          <w:b/>
          <w:bCs/>
          <w:sz w:val="22"/>
        </w:rPr>
        <w:t xml:space="preserve">2.1. </w:t>
      </w:r>
      <w:bookmarkStart w:id="4" w:name="_Hlk41479721"/>
      <w:r w:rsidR="00C763B9" w:rsidRPr="002A16FE">
        <w:rPr>
          <w:rFonts w:ascii="Arial" w:eastAsia="Calibri" w:hAnsi="Arial" w:cs="Arial"/>
          <w:b/>
          <w:bCs/>
          <w:sz w:val="22"/>
        </w:rPr>
        <w:t xml:space="preserve">Las potestades </w:t>
      </w:r>
      <w:r w:rsidR="00A858D4" w:rsidRPr="002A16FE">
        <w:rPr>
          <w:rFonts w:ascii="Arial" w:eastAsia="Calibri" w:hAnsi="Arial" w:cs="Arial"/>
          <w:b/>
          <w:bCs/>
          <w:sz w:val="22"/>
        </w:rPr>
        <w:t>excepcionales</w:t>
      </w:r>
      <w:r w:rsidR="00C763B9" w:rsidRPr="002A16FE">
        <w:rPr>
          <w:rFonts w:ascii="Arial" w:eastAsia="Calibri" w:hAnsi="Arial" w:cs="Arial"/>
          <w:b/>
          <w:bCs/>
          <w:sz w:val="22"/>
        </w:rPr>
        <w:t xml:space="preserve"> de las entidades estatales en el marco del Estatuto General de Contratación de la Administración Pública</w:t>
      </w:r>
    </w:p>
    <w:bookmarkEnd w:id="4"/>
    <w:p w14:paraId="44EC4F00" w14:textId="77777777" w:rsidR="00C00E78" w:rsidRPr="002A16FE" w:rsidRDefault="00C00E78" w:rsidP="00C00E78">
      <w:pPr>
        <w:spacing w:line="276" w:lineRule="auto"/>
        <w:jc w:val="both"/>
        <w:rPr>
          <w:rFonts w:ascii="Arial" w:eastAsia="Calibri" w:hAnsi="Arial" w:cs="Arial"/>
          <w:b/>
          <w:bCs/>
          <w:sz w:val="22"/>
        </w:rPr>
      </w:pPr>
    </w:p>
    <w:p w14:paraId="78A3ADCF" w14:textId="550B4EEB" w:rsidR="00B82A4F" w:rsidRPr="002A16FE" w:rsidRDefault="00B82A4F" w:rsidP="0064300E">
      <w:pPr>
        <w:spacing w:line="276" w:lineRule="auto"/>
        <w:jc w:val="both"/>
        <w:rPr>
          <w:rFonts w:ascii="Arial" w:hAnsi="Arial" w:cs="Arial"/>
          <w:iCs/>
          <w:sz w:val="22"/>
        </w:rPr>
      </w:pPr>
      <w:r w:rsidRPr="002A16FE">
        <w:rPr>
          <w:rFonts w:ascii="Arial" w:hAnsi="Arial" w:cs="Arial"/>
          <w:iCs/>
          <w:sz w:val="22"/>
        </w:rPr>
        <w:t>Durante la ejecución de los contratos, las entidades estatales generalmente cuentan con distintas potestades exorbitantes o excepcionales con las cuales ejercen la dirección general del contrato y realizan las actividades propias de vigilancia y control</w:t>
      </w:r>
      <w:r w:rsidR="009B52AA">
        <w:rPr>
          <w:rFonts w:ascii="Arial" w:hAnsi="Arial" w:cs="Arial"/>
          <w:iCs/>
          <w:sz w:val="22"/>
        </w:rPr>
        <w:t>.</w:t>
      </w:r>
      <w:r w:rsidRPr="002A16FE">
        <w:rPr>
          <w:rFonts w:ascii="Arial" w:hAnsi="Arial" w:cs="Arial"/>
          <w:iCs/>
          <w:sz w:val="22"/>
        </w:rPr>
        <w:t xml:space="preserve"> </w:t>
      </w:r>
      <w:r w:rsidR="009B52AA">
        <w:rPr>
          <w:rFonts w:ascii="Arial" w:hAnsi="Arial" w:cs="Arial"/>
          <w:iCs/>
          <w:sz w:val="22"/>
        </w:rPr>
        <w:t>E</w:t>
      </w:r>
      <w:r w:rsidRPr="002A16FE">
        <w:rPr>
          <w:rFonts w:ascii="Arial" w:hAnsi="Arial" w:cs="Arial"/>
          <w:iCs/>
          <w:sz w:val="22"/>
        </w:rPr>
        <w:t xml:space="preserve">ntre otras </w:t>
      </w:r>
      <w:r w:rsidR="009B52AA">
        <w:rPr>
          <w:rFonts w:ascii="Arial" w:hAnsi="Arial" w:cs="Arial"/>
          <w:iCs/>
          <w:sz w:val="22"/>
        </w:rPr>
        <w:t>se encuentran</w:t>
      </w:r>
      <w:r w:rsidRPr="002A16FE">
        <w:rPr>
          <w:rFonts w:ascii="Arial" w:hAnsi="Arial" w:cs="Arial"/>
          <w:iCs/>
          <w:sz w:val="22"/>
        </w:rPr>
        <w:t xml:space="preserve">: i) las cláusulas excepcionales del artículo 14 de la Ley 80 de 1993, </w:t>
      </w:r>
      <w:r w:rsidR="009B52AA">
        <w:rPr>
          <w:rFonts w:ascii="Arial" w:hAnsi="Arial" w:cs="Arial"/>
          <w:iCs/>
          <w:sz w:val="22"/>
        </w:rPr>
        <w:t>como</w:t>
      </w:r>
      <w:r w:rsidRPr="002A16FE">
        <w:rPr>
          <w:rFonts w:ascii="Arial" w:hAnsi="Arial" w:cs="Arial"/>
          <w:iCs/>
          <w:sz w:val="22"/>
        </w:rPr>
        <w:t xml:space="preserve"> la terminación unilateral, la interpretación unilateral, la modificación unilateral, la caducidad y la reversión</w:t>
      </w:r>
      <w:r w:rsidR="009B52AA">
        <w:rPr>
          <w:rFonts w:ascii="Arial" w:hAnsi="Arial" w:cs="Arial"/>
          <w:iCs/>
          <w:sz w:val="22"/>
        </w:rPr>
        <w:t>,</w:t>
      </w:r>
      <w:r w:rsidRPr="002A16FE">
        <w:rPr>
          <w:rFonts w:ascii="Arial" w:hAnsi="Arial" w:cs="Arial"/>
          <w:iCs/>
          <w:sz w:val="22"/>
        </w:rPr>
        <w:t xml:space="preserve"> desarrolla</w:t>
      </w:r>
      <w:r w:rsidR="009B52AA">
        <w:rPr>
          <w:rFonts w:ascii="Arial" w:hAnsi="Arial" w:cs="Arial"/>
          <w:iCs/>
          <w:sz w:val="22"/>
        </w:rPr>
        <w:t>das</w:t>
      </w:r>
      <w:r w:rsidRPr="002A16FE">
        <w:rPr>
          <w:rFonts w:ascii="Arial" w:hAnsi="Arial" w:cs="Arial"/>
          <w:iCs/>
          <w:sz w:val="22"/>
        </w:rPr>
        <w:t xml:space="preserve"> en los artículos 15 a 19 </w:t>
      </w:r>
      <w:r w:rsidRPr="002A16FE">
        <w:rPr>
          <w:rFonts w:ascii="Arial" w:hAnsi="Arial" w:cs="Arial"/>
          <w:i/>
          <w:sz w:val="22"/>
        </w:rPr>
        <w:t>ibidem</w:t>
      </w:r>
      <w:r w:rsidRPr="002A16FE">
        <w:rPr>
          <w:rFonts w:ascii="Arial" w:hAnsi="Arial" w:cs="Arial"/>
          <w:iCs/>
          <w:sz w:val="22"/>
        </w:rPr>
        <w:t xml:space="preserve">; ii) </w:t>
      </w:r>
      <w:r w:rsidR="00CA64EA">
        <w:rPr>
          <w:rFonts w:ascii="Arial" w:hAnsi="Arial" w:cs="Arial"/>
          <w:iCs/>
          <w:sz w:val="22"/>
        </w:rPr>
        <w:t xml:space="preserve">las previstas en los artículos 11 y </w:t>
      </w:r>
      <w:r w:rsidR="00A34D06">
        <w:rPr>
          <w:rFonts w:ascii="Arial" w:hAnsi="Arial" w:cs="Arial"/>
          <w:iCs/>
          <w:sz w:val="22"/>
        </w:rPr>
        <w:t>7</w:t>
      </w:r>
      <w:r w:rsidR="00CA64EA">
        <w:rPr>
          <w:rFonts w:ascii="Arial" w:hAnsi="Arial" w:cs="Arial"/>
          <w:iCs/>
          <w:sz w:val="22"/>
        </w:rPr>
        <w:t xml:space="preserve"> de la Ley 1150 de 2007</w:t>
      </w:r>
      <w:r w:rsidRPr="002A16FE">
        <w:rPr>
          <w:rFonts w:ascii="Arial" w:hAnsi="Arial" w:cs="Arial"/>
          <w:iCs/>
          <w:sz w:val="22"/>
        </w:rPr>
        <w:t xml:space="preserve">, </w:t>
      </w:r>
      <w:r w:rsidR="00CA64EA">
        <w:rPr>
          <w:rFonts w:ascii="Arial" w:hAnsi="Arial" w:cs="Arial"/>
          <w:iCs/>
          <w:sz w:val="22"/>
        </w:rPr>
        <w:t>relacionadas con</w:t>
      </w:r>
      <w:r w:rsidR="00CA64EA" w:rsidRPr="002A16FE">
        <w:rPr>
          <w:rFonts w:ascii="Arial" w:hAnsi="Arial" w:cs="Arial"/>
          <w:iCs/>
          <w:sz w:val="22"/>
        </w:rPr>
        <w:t xml:space="preserve"> </w:t>
      </w:r>
      <w:r w:rsidRPr="002A16FE">
        <w:rPr>
          <w:rFonts w:ascii="Arial" w:hAnsi="Arial" w:cs="Arial"/>
          <w:iCs/>
          <w:sz w:val="22"/>
        </w:rPr>
        <w:t xml:space="preserve">la liquidación unilateral y la declaratoria unilateral del siniestro; y iii) </w:t>
      </w:r>
      <w:r w:rsidR="00A34D06">
        <w:rPr>
          <w:rFonts w:ascii="Arial" w:hAnsi="Arial" w:cs="Arial"/>
          <w:iCs/>
          <w:sz w:val="22"/>
        </w:rPr>
        <w:t>las dispuestas en el artículo 17 de la Ley 1150 de 2007 respecto a la</w:t>
      </w:r>
      <w:r w:rsidRPr="002A16FE">
        <w:rPr>
          <w:rFonts w:ascii="Arial" w:hAnsi="Arial" w:cs="Arial"/>
          <w:iCs/>
          <w:sz w:val="22"/>
        </w:rPr>
        <w:t xml:space="preserve"> </w:t>
      </w:r>
      <w:r w:rsidRPr="002A16FE">
        <w:rPr>
          <w:rFonts w:ascii="Arial" w:hAnsi="Arial" w:cs="Arial"/>
          <w:i/>
          <w:sz w:val="22"/>
        </w:rPr>
        <w:t>imposición unilateral</w:t>
      </w:r>
      <w:r w:rsidRPr="002A16FE">
        <w:rPr>
          <w:rFonts w:ascii="Arial" w:hAnsi="Arial" w:cs="Arial"/>
          <w:iCs/>
          <w:sz w:val="22"/>
        </w:rPr>
        <w:t xml:space="preserve"> de las cláusulas penales y de multas</w:t>
      </w:r>
      <w:r w:rsidR="00A34D06">
        <w:rPr>
          <w:rFonts w:ascii="Arial" w:hAnsi="Arial" w:cs="Arial"/>
          <w:iCs/>
          <w:sz w:val="22"/>
        </w:rPr>
        <w:t>,</w:t>
      </w:r>
      <w:r w:rsidRPr="002A16FE">
        <w:rPr>
          <w:rFonts w:ascii="Arial" w:hAnsi="Arial" w:cs="Arial"/>
          <w:iCs/>
          <w:sz w:val="22"/>
        </w:rPr>
        <w:t xml:space="preserve"> aclarando que su exorbitancia se refiere a su imposición unilateral</w:t>
      </w:r>
      <w:r w:rsidR="00A34D06">
        <w:rPr>
          <w:rFonts w:ascii="Arial" w:hAnsi="Arial" w:cs="Arial"/>
          <w:iCs/>
          <w:sz w:val="22"/>
        </w:rPr>
        <w:t xml:space="preserve">, especialmente, cuando </w:t>
      </w:r>
      <w:r w:rsidRPr="002A16FE">
        <w:rPr>
          <w:rFonts w:ascii="Arial" w:hAnsi="Arial" w:cs="Arial"/>
          <w:iCs/>
          <w:sz w:val="22"/>
        </w:rPr>
        <w:t>es posible</w:t>
      </w:r>
      <w:r w:rsidR="00A34D06">
        <w:rPr>
          <w:rFonts w:ascii="Arial" w:hAnsi="Arial" w:cs="Arial"/>
          <w:iCs/>
          <w:sz w:val="22"/>
        </w:rPr>
        <w:t xml:space="preserve"> pactar estas cláusulas</w:t>
      </w:r>
      <w:r w:rsidRPr="002A16FE">
        <w:rPr>
          <w:rFonts w:ascii="Arial" w:hAnsi="Arial" w:cs="Arial"/>
          <w:iCs/>
          <w:sz w:val="22"/>
        </w:rPr>
        <w:t xml:space="preserve"> en virtud de las normas civiles y comerciales.</w:t>
      </w:r>
    </w:p>
    <w:p w14:paraId="3A4FE213" w14:textId="56759757" w:rsidR="00B82A4F" w:rsidRPr="002A16FE" w:rsidRDefault="00B82A4F" w:rsidP="00B82A4F">
      <w:pPr>
        <w:spacing w:before="120" w:line="276" w:lineRule="auto"/>
        <w:ind w:firstLine="709"/>
        <w:jc w:val="both"/>
        <w:rPr>
          <w:rFonts w:ascii="Arial" w:hAnsi="Arial" w:cs="Arial"/>
          <w:iCs/>
          <w:sz w:val="22"/>
        </w:rPr>
      </w:pPr>
      <w:r w:rsidRPr="002A16FE">
        <w:rPr>
          <w:rFonts w:ascii="Arial" w:hAnsi="Arial" w:cs="Arial"/>
          <w:iCs/>
          <w:sz w:val="22"/>
        </w:rPr>
        <w:t xml:space="preserve">Las primeras, esto es, las cláusulas excepcionales del artículo 14 de la Ley 80 de 1993, son denominadas por la jurisprudencia del Consejo de Estado y por la doctrina como </w:t>
      </w:r>
      <w:r w:rsidRPr="002A16FE">
        <w:rPr>
          <w:rFonts w:ascii="Arial" w:hAnsi="Arial" w:cs="Arial"/>
          <w:iCs/>
          <w:sz w:val="22"/>
        </w:rPr>
        <w:lastRenderedPageBreak/>
        <w:t xml:space="preserve">estipulaciones </w:t>
      </w:r>
      <w:r w:rsidR="00F3366D">
        <w:rPr>
          <w:rFonts w:ascii="Arial" w:hAnsi="Arial" w:cs="Arial"/>
          <w:iCs/>
          <w:sz w:val="22"/>
        </w:rPr>
        <w:t>de obligatoria inclusión</w:t>
      </w:r>
      <w:r w:rsidRPr="002A16FE">
        <w:rPr>
          <w:rFonts w:ascii="Arial" w:hAnsi="Arial" w:cs="Arial"/>
          <w:iCs/>
          <w:sz w:val="22"/>
        </w:rPr>
        <w:t xml:space="preserve"> en los contratos de concesión o explotación de bienes del Estado, obra, prestación de servicios públicos y aquellos que tengan por objeto el ejercicio de una actividad que constituya monopolio estatal</w:t>
      </w:r>
      <w:r w:rsidR="00084453">
        <w:rPr>
          <w:rFonts w:ascii="Arial" w:hAnsi="Arial" w:cs="Arial"/>
          <w:iCs/>
          <w:sz w:val="22"/>
        </w:rPr>
        <w:t>. En estas tipologías contractuales</w:t>
      </w:r>
      <w:r w:rsidRPr="002A16FE">
        <w:rPr>
          <w:rFonts w:ascii="Arial" w:hAnsi="Arial" w:cs="Arial"/>
          <w:iCs/>
          <w:sz w:val="22"/>
        </w:rPr>
        <w:t xml:space="preserve">, sin importar si se incorporaron o no dentro del </w:t>
      </w:r>
      <w:r w:rsidR="00084453">
        <w:rPr>
          <w:rFonts w:ascii="Arial" w:hAnsi="Arial" w:cs="Arial"/>
          <w:iCs/>
          <w:sz w:val="22"/>
        </w:rPr>
        <w:t>contrato</w:t>
      </w:r>
      <w:r w:rsidRPr="002A16FE">
        <w:rPr>
          <w:rFonts w:ascii="Arial" w:hAnsi="Arial" w:cs="Arial"/>
          <w:iCs/>
          <w:sz w:val="22"/>
        </w:rPr>
        <w:t>, se entienden incluidas por el ministerio de la ley.</w:t>
      </w:r>
    </w:p>
    <w:p w14:paraId="42FE0952" w14:textId="1B3B3644" w:rsidR="00B82A4F" w:rsidRPr="002A16FE" w:rsidRDefault="00B82A4F" w:rsidP="00D707B7">
      <w:pPr>
        <w:spacing w:before="120" w:after="120" w:line="276" w:lineRule="auto"/>
        <w:ind w:firstLine="709"/>
        <w:jc w:val="both"/>
        <w:rPr>
          <w:rFonts w:ascii="Arial" w:hAnsi="Arial" w:cs="Arial"/>
          <w:iCs/>
          <w:sz w:val="22"/>
        </w:rPr>
      </w:pPr>
      <w:r w:rsidRPr="002A16FE">
        <w:rPr>
          <w:rFonts w:ascii="Arial" w:hAnsi="Arial" w:cs="Arial"/>
          <w:iCs/>
          <w:sz w:val="22"/>
        </w:rPr>
        <w:t xml:space="preserve">En relación con </w:t>
      </w:r>
      <w:r w:rsidR="00084453">
        <w:rPr>
          <w:rFonts w:ascii="Arial" w:hAnsi="Arial" w:cs="Arial"/>
          <w:iCs/>
          <w:sz w:val="22"/>
        </w:rPr>
        <w:t>estas</w:t>
      </w:r>
      <w:r w:rsidRPr="002A16FE">
        <w:rPr>
          <w:rFonts w:ascii="Arial" w:hAnsi="Arial" w:cs="Arial"/>
          <w:iCs/>
          <w:sz w:val="22"/>
        </w:rPr>
        <w:t xml:space="preserve"> cláusulas, al analizarse el régimen sancionatorio contractual, procede destacar la </w:t>
      </w:r>
      <w:r w:rsidR="00084453">
        <w:rPr>
          <w:rFonts w:ascii="Arial" w:hAnsi="Arial" w:cs="Arial"/>
          <w:iCs/>
          <w:sz w:val="22"/>
        </w:rPr>
        <w:t>potestad</w:t>
      </w:r>
      <w:r w:rsidR="00084453" w:rsidRPr="002A16FE">
        <w:rPr>
          <w:rFonts w:ascii="Arial" w:hAnsi="Arial" w:cs="Arial"/>
          <w:iCs/>
          <w:sz w:val="22"/>
        </w:rPr>
        <w:t xml:space="preserve"> </w:t>
      </w:r>
      <w:r w:rsidRPr="002A16FE">
        <w:rPr>
          <w:rFonts w:ascii="Arial" w:hAnsi="Arial" w:cs="Arial"/>
          <w:iCs/>
          <w:sz w:val="22"/>
        </w:rPr>
        <w:t>excepcional de caducidad, pues es la sanción más severa que existe en la contratación estatal</w:t>
      </w:r>
      <w:r w:rsidR="00084453">
        <w:rPr>
          <w:rFonts w:ascii="Arial" w:hAnsi="Arial" w:cs="Arial"/>
          <w:iCs/>
          <w:sz w:val="22"/>
        </w:rPr>
        <w:t>. Particularmente,</w:t>
      </w:r>
      <w:r w:rsidRPr="002A16FE">
        <w:rPr>
          <w:rFonts w:ascii="Arial" w:hAnsi="Arial" w:cs="Arial"/>
          <w:iCs/>
          <w:sz w:val="22"/>
        </w:rPr>
        <w:t xml:space="preserve">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por otros medios, señalados en el artículo 18 de la Ley 80 de 1993</w:t>
      </w:r>
      <w:r w:rsidR="00B5409F" w:rsidRPr="002A16FE">
        <w:rPr>
          <w:rStyle w:val="Refdenotaalpie"/>
          <w:rFonts w:ascii="Arial" w:hAnsi="Arial" w:cs="Arial"/>
          <w:iCs/>
          <w:sz w:val="22"/>
        </w:rPr>
        <w:footnoteReference w:id="1"/>
      </w:r>
      <w:r w:rsidRPr="002A16FE">
        <w:rPr>
          <w:rFonts w:ascii="Arial" w:hAnsi="Arial" w:cs="Arial"/>
          <w:iCs/>
          <w:sz w:val="22"/>
        </w:rPr>
        <w:t xml:space="preserve">. </w:t>
      </w:r>
    </w:p>
    <w:p w14:paraId="26B86A6E" w14:textId="6F705D0D" w:rsidR="00B82A4F" w:rsidRPr="002A16FE" w:rsidRDefault="00B82A4F" w:rsidP="00B82A4F">
      <w:pPr>
        <w:spacing w:line="276" w:lineRule="auto"/>
        <w:ind w:firstLine="708"/>
        <w:jc w:val="both"/>
        <w:rPr>
          <w:rFonts w:ascii="Arial" w:hAnsi="Arial" w:cs="Arial"/>
          <w:iCs/>
          <w:sz w:val="22"/>
        </w:rPr>
      </w:pPr>
      <w:r w:rsidRPr="002A16FE">
        <w:rPr>
          <w:rFonts w:ascii="Arial" w:hAnsi="Arial" w:cs="Arial"/>
          <w:iCs/>
          <w:sz w:val="22"/>
        </w:rPr>
        <w:t>Las consecuencias jurídicas que se generan con la caducidad son: i) terminación del contrato</w:t>
      </w:r>
      <w:r w:rsidR="00084453">
        <w:rPr>
          <w:rFonts w:ascii="Arial" w:hAnsi="Arial" w:cs="Arial"/>
          <w:iCs/>
          <w:sz w:val="22"/>
        </w:rPr>
        <w:t>,</w:t>
      </w:r>
      <w:r w:rsidRPr="002A16FE">
        <w:rPr>
          <w:rFonts w:ascii="Arial" w:hAnsi="Arial" w:cs="Arial"/>
          <w:iCs/>
          <w:sz w:val="22"/>
        </w:rPr>
        <w:t xml:space="preserve"> ii) iniciación del trámite de liquidación</w:t>
      </w:r>
      <w:r w:rsidR="00084453">
        <w:rPr>
          <w:rFonts w:ascii="Arial" w:hAnsi="Arial" w:cs="Arial"/>
          <w:iCs/>
          <w:sz w:val="22"/>
        </w:rPr>
        <w:t>,</w:t>
      </w:r>
      <w:r w:rsidRPr="002A16FE">
        <w:rPr>
          <w:rFonts w:ascii="Arial" w:hAnsi="Arial" w:cs="Arial"/>
          <w:iCs/>
          <w:sz w:val="22"/>
        </w:rPr>
        <w:t xml:space="preserve"> iii) inhabilidad sobreviniente por cinco años</w:t>
      </w:r>
      <w:r w:rsidR="00084453">
        <w:rPr>
          <w:rFonts w:ascii="Arial" w:hAnsi="Arial" w:cs="Arial"/>
          <w:iCs/>
          <w:sz w:val="22"/>
        </w:rPr>
        <w:t>,</w:t>
      </w:r>
      <w:r w:rsidRPr="002A16FE">
        <w:rPr>
          <w:rFonts w:ascii="Arial" w:hAnsi="Arial" w:cs="Arial"/>
          <w:iCs/>
          <w:sz w:val="22"/>
        </w:rPr>
        <w:t xml:space="preserve"> iv) efectividad de la garantía única de cumplimiento</w:t>
      </w:r>
      <w:r w:rsidR="00084453">
        <w:rPr>
          <w:rFonts w:ascii="Arial" w:hAnsi="Arial" w:cs="Arial"/>
          <w:iCs/>
          <w:sz w:val="22"/>
        </w:rPr>
        <w:t>,</w:t>
      </w:r>
      <w:r w:rsidRPr="002A16FE">
        <w:rPr>
          <w:rFonts w:ascii="Arial" w:hAnsi="Arial" w:cs="Arial"/>
          <w:iCs/>
          <w:sz w:val="22"/>
        </w:rPr>
        <w:t xml:space="preserve"> y v) reporte al </w:t>
      </w:r>
      <w:r w:rsidR="00084453" w:rsidRPr="002A16FE">
        <w:rPr>
          <w:rFonts w:ascii="Arial" w:hAnsi="Arial" w:cs="Arial"/>
          <w:iCs/>
          <w:sz w:val="22"/>
        </w:rPr>
        <w:t>SECOP</w:t>
      </w:r>
      <w:r w:rsidRPr="002A16FE">
        <w:rPr>
          <w:rFonts w:ascii="Arial" w:hAnsi="Arial" w:cs="Arial"/>
          <w:iCs/>
          <w:sz w:val="22"/>
        </w:rPr>
        <w:t>, Procuraduría General de la Nación y a la Cámara de Comercio donde el contratista esté inscrito con el propósito de incluir la anotación en el Registro Único de Proponentes.</w:t>
      </w:r>
    </w:p>
    <w:p w14:paraId="0BD7B70F" w14:textId="2F288F54" w:rsidR="00B82A4F" w:rsidRPr="002A16FE" w:rsidRDefault="00B82A4F" w:rsidP="00B82A4F">
      <w:pPr>
        <w:spacing w:before="120" w:line="276" w:lineRule="auto"/>
        <w:ind w:firstLine="709"/>
        <w:jc w:val="both"/>
        <w:rPr>
          <w:rFonts w:ascii="Arial" w:hAnsi="Arial" w:cs="Arial"/>
          <w:iCs/>
          <w:sz w:val="22"/>
        </w:rPr>
      </w:pPr>
      <w:r w:rsidRPr="002A16FE">
        <w:rPr>
          <w:rFonts w:ascii="Arial" w:hAnsi="Arial" w:cs="Arial"/>
          <w:iCs/>
          <w:sz w:val="22"/>
        </w:rPr>
        <w:t>El último grupo de potestades excepcionales –</w:t>
      </w:r>
      <w:r w:rsidRPr="002A16FE">
        <w:rPr>
          <w:rFonts w:ascii="Arial" w:hAnsi="Arial" w:cs="Arial"/>
          <w:i/>
          <w:sz w:val="22"/>
        </w:rPr>
        <w:t>imposición unilateral</w:t>
      </w:r>
      <w:r w:rsidRPr="002A16FE">
        <w:rPr>
          <w:rFonts w:ascii="Arial" w:hAnsi="Arial" w:cs="Arial"/>
          <w:iCs/>
          <w:sz w:val="22"/>
        </w:rPr>
        <w:t xml:space="preserve"> de la multa o la cláusula penal–,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de hacer efectiva la cláusula penal, es indispensable que uno u otro caso se hayan pactado en el contrato</w:t>
      </w:r>
      <w:r w:rsidRPr="002A16FE">
        <w:rPr>
          <w:rFonts w:ascii="Arial" w:hAnsi="Arial" w:cs="Arial"/>
          <w:sz w:val="22"/>
          <w:vertAlign w:val="superscript"/>
        </w:rPr>
        <w:footnoteReference w:id="2"/>
      </w:r>
      <w:r w:rsidRPr="002A16FE">
        <w:rPr>
          <w:rFonts w:ascii="Arial" w:hAnsi="Arial" w:cs="Arial"/>
          <w:iCs/>
          <w:sz w:val="22"/>
        </w:rPr>
        <w:t xml:space="preserve">. No obstante, </w:t>
      </w:r>
      <w:r w:rsidR="00084453">
        <w:rPr>
          <w:rFonts w:ascii="Arial" w:hAnsi="Arial" w:cs="Arial"/>
          <w:iCs/>
          <w:sz w:val="22"/>
        </w:rPr>
        <w:t>una vez incluidas</w:t>
      </w:r>
      <w:r w:rsidRPr="002A16FE">
        <w:rPr>
          <w:rFonts w:ascii="Arial" w:hAnsi="Arial" w:cs="Arial"/>
          <w:iCs/>
          <w:sz w:val="22"/>
        </w:rPr>
        <w:t xml:space="preserve">, las entidades estatales sometidas al Estatuto General de Contratación de la Administración Pública </w:t>
      </w:r>
      <w:r w:rsidR="00084453">
        <w:rPr>
          <w:rFonts w:ascii="Arial" w:hAnsi="Arial" w:cs="Arial"/>
          <w:iCs/>
          <w:sz w:val="22"/>
        </w:rPr>
        <w:t>pueden imponerlas unilateralmente</w:t>
      </w:r>
      <w:r w:rsidRPr="002A16FE">
        <w:rPr>
          <w:rFonts w:ascii="Arial" w:hAnsi="Arial" w:cs="Arial"/>
          <w:iCs/>
          <w:sz w:val="22"/>
        </w:rPr>
        <w:t xml:space="preserve">. </w:t>
      </w:r>
    </w:p>
    <w:p w14:paraId="0AAEB200" w14:textId="420F556B" w:rsidR="00B82A4F" w:rsidRPr="002A16FE" w:rsidRDefault="00387519" w:rsidP="00D707B7">
      <w:pPr>
        <w:spacing w:before="120" w:after="120" w:line="276" w:lineRule="auto"/>
        <w:ind w:firstLine="709"/>
        <w:jc w:val="both"/>
        <w:rPr>
          <w:rFonts w:ascii="Arial" w:hAnsi="Arial" w:cs="Arial"/>
          <w:iCs/>
          <w:sz w:val="21"/>
          <w:szCs w:val="21"/>
        </w:rPr>
      </w:pPr>
      <w:r>
        <w:rPr>
          <w:rFonts w:ascii="Arial" w:hAnsi="Arial" w:cs="Arial"/>
          <w:iCs/>
          <w:sz w:val="22"/>
        </w:rPr>
        <w:t>T</w:t>
      </w:r>
      <w:r w:rsidR="00B82A4F" w:rsidRPr="002A16FE">
        <w:rPr>
          <w:rFonts w:ascii="Arial" w:hAnsi="Arial" w:cs="Arial"/>
          <w:iCs/>
          <w:sz w:val="22"/>
        </w:rPr>
        <w:t xml:space="preserve">ratándose de las multas, en cumplimiento del principio de tipicidad, las partes deben determinar pormenorizadamente las acciones u omisiones objeto de sanción y el </w:t>
      </w:r>
      <w:r w:rsidR="00B82A4F" w:rsidRPr="002A16FE">
        <w:rPr>
          <w:rFonts w:ascii="Arial" w:hAnsi="Arial" w:cs="Arial"/>
          <w:iCs/>
          <w:sz w:val="22"/>
        </w:rPr>
        <w:lastRenderedPageBreak/>
        <w:t xml:space="preserve">monto de la sanción a imponer, el cual, en todo caso, debe atender los criterios de proporcionalidad y razonabilidad. </w:t>
      </w:r>
    </w:p>
    <w:p w14:paraId="7A6F13AC" w14:textId="614CC3C9" w:rsidR="00B82A4F" w:rsidRPr="002A16FE" w:rsidRDefault="00B82A4F" w:rsidP="00B82A4F">
      <w:pPr>
        <w:spacing w:line="276" w:lineRule="auto"/>
        <w:ind w:firstLine="709"/>
        <w:jc w:val="both"/>
        <w:rPr>
          <w:rFonts w:ascii="Arial" w:hAnsi="Arial" w:cs="Arial"/>
          <w:iCs/>
          <w:sz w:val="22"/>
        </w:rPr>
      </w:pPr>
      <w:r w:rsidRPr="002A16FE">
        <w:rPr>
          <w:rFonts w:ascii="Arial" w:hAnsi="Arial" w:cs="Arial"/>
          <w:iCs/>
          <w:sz w:val="22"/>
        </w:rPr>
        <w:t xml:space="preserve">De igual forma, en la sentencia del 23 de junio de 2010, expediente 16.367, la Sección Tercera del Consejo de Estado indicó que «el núcleo mínimo de este derecho exige que una norma –legal o contractual– contemple la falta y la sanción. Si ni siquiera lo hace el contrato, la administración no puede imponer sanciones, so pena de violar el debido proceso». Así mismo, frente al tema </w:t>
      </w:r>
      <w:r w:rsidRPr="002A16FE">
        <w:rPr>
          <w:rFonts w:ascii="Arial" w:hAnsi="Arial" w:cs="Arial"/>
          <w:i/>
          <w:sz w:val="22"/>
        </w:rPr>
        <w:t xml:space="preserve">sub examine, </w:t>
      </w:r>
      <w:r w:rsidRPr="002A16FE">
        <w:rPr>
          <w:rFonts w:ascii="Arial" w:hAnsi="Arial" w:cs="Arial"/>
          <w:iCs/>
          <w:sz w:val="22"/>
        </w:rPr>
        <w:t>el máximo Tribunal de lo Contencioso Administrativo, en sentencia del 13 de noviembre de 2008</w:t>
      </w:r>
      <w:r w:rsidRPr="002A16FE">
        <w:rPr>
          <w:rStyle w:val="Refdenotaalpie"/>
          <w:rFonts w:ascii="Arial" w:hAnsi="Arial" w:cs="Arial"/>
          <w:iCs/>
          <w:sz w:val="22"/>
        </w:rPr>
        <w:footnoteReference w:id="3"/>
      </w:r>
      <w:r w:rsidRPr="002A16FE">
        <w:rPr>
          <w:rFonts w:ascii="Arial" w:hAnsi="Arial" w:cs="Arial"/>
          <w:iCs/>
          <w:sz w:val="22"/>
        </w:rPr>
        <w:t xml:space="preserve">, indicó </w:t>
      </w:r>
      <w:r w:rsidRPr="002A16FE">
        <w:rPr>
          <w:rFonts w:ascii="Arial" w:hAnsi="Arial" w:cs="Arial"/>
          <w:i/>
          <w:sz w:val="22"/>
        </w:rPr>
        <w:t xml:space="preserve">in extenso </w:t>
      </w:r>
      <w:r w:rsidRPr="002A16FE">
        <w:rPr>
          <w:rFonts w:ascii="Arial" w:hAnsi="Arial" w:cs="Arial"/>
          <w:iCs/>
          <w:sz w:val="22"/>
        </w:rPr>
        <w:t>lo siguiente:</w:t>
      </w:r>
    </w:p>
    <w:p w14:paraId="1252A7D8" w14:textId="77777777" w:rsidR="00B82A4F" w:rsidRPr="002A16FE" w:rsidRDefault="00B82A4F" w:rsidP="00B82A4F">
      <w:pPr>
        <w:pStyle w:val="Prrafodelista"/>
        <w:spacing w:line="276" w:lineRule="auto"/>
        <w:ind w:right="-425"/>
        <w:jc w:val="both"/>
        <w:rPr>
          <w:rFonts w:ascii="Arial" w:hAnsi="Arial" w:cs="Arial"/>
          <w:iCs/>
          <w:sz w:val="22"/>
        </w:rPr>
      </w:pPr>
    </w:p>
    <w:p w14:paraId="07FDD4C7" w14:textId="77777777" w:rsidR="00B82A4F" w:rsidRPr="002A16FE" w:rsidRDefault="00B82A4F" w:rsidP="00D34D3B">
      <w:pPr>
        <w:pStyle w:val="Prrafodelista"/>
        <w:ind w:left="709" w:right="709"/>
        <w:jc w:val="both"/>
        <w:rPr>
          <w:rFonts w:ascii="Arial" w:hAnsi="Arial" w:cs="Arial"/>
          <w:iCs/>
          <w:sz w:val="21"/>
          <w:szCs w:val="21"/>
        </w:rPr>
      </w:pPr>
      <w:r w:rsidRPr="002A16FE">
        <w:rPr>
          <w:rFonts w:ascii="Arial" w:hAnsi="Arial" w:cs="Arial"/>
          <w:iCs/>
          <w:sz w:val="21"/>
          <w:szCs w:val="21"/>
        </w:rPr>
        <w:t>La otra, la débil, donde se enmarcan la mayoría de las sanciones contractuales, hace relación a que lo determinante no es que una Ley sea quien contemple las faltas y las sanciones, sino que sea una norma –por ejemplo, un reglamento- quien en forma previa y clara las estipule. A este grupo pertenecen buena parte de las sanciones administrativas, como las educativas, las cuales no están consagradas en una ley expedida por el legislador o por el ejecutivo al amparo de facultades extraordinarias, sino en simples reglamentos administrativos internos.</w:t>
      </w:r>
    </w:p>
    <w:p w14:paraId="2FD87876" w14:textId="77777777" w:rsidR="00B82A4F" w:rsidRPr="002A16FE" w:rsidRDefault="00B82A4F" w:rsidP="00D34D3B">
      <w:pPr>
        <w:pStyle w:val="Prrafodelista"/>
        <w:ind w:left="709" w:right="709"/>
        <w:jc w:val="both"/>
        <w:rPr>
          <w:rFonts w:ascii="Arial" w:hAnsi="Arial" w:cs="Arial"/>
          <w:iCs/>
          <w:sz w:val="21"/>
          <w:szCs w:val="21"/>
        </w:rPr>
      </w:pPr>
      <w:r w:rsidRPr="002A16FE">
        <w:rPr>
          <w:rFonts w:ascii="Arial" w:hAnsi="Arial" w:cs="Arial"/>
          <w:iCs/>
          <w:sz w:val="21"/>
          <w:szCs w:val="21"/>
        </w:rPr>
        <w:t xml:space="preserve"> </w:t>
      </w:r>
    </w:p>
    <w:p w14:paraId="1E921A1D" w14:textId="77777777" w:rsidR="00B82A4F" w:rsidRPr="002A16FE" w:rsidRDefault="00B82A4F" w:rsidP="00D34D3B">
      <w:pPr>
        <w:pStyle w:val="Prrafodelista"/>
        <w:ind w:left="709" w:right="709"/>
        <w:jc w:val="both"/>
        <w:rPr>
          <w:rFonts w:ascii="Arial" w:hAnsi="Arial" w:cs="Arial"/>
          <w:iCs/>
          <w:sz w:val="21"/>
          <w:szCs w:val="21"/>
        </w:rPr>
      </w:pPr>
      <w:r w:rsidRPr="002A16FE">
        <w:rPr>
          <w:rFonts w:ascii="Arial" w:hAnsi="Arial" w:cs="Arial"/>
          <w:iCs/>
          <w:sz w:val="21"/>
          <w:szCs w:val="21"/>
        </w:rPr>
        <w:t>Algunas de las sanciones contractuales podrían enmarcarse en esta clasificación, pues es claro que la ley –bien la que expide el Congreso o bien los decretos con fuerza de ley– no las contempla de manera directa –salvo excepciones–. Tal es el caso de las multas y de la cláusula penal pecuniaria, que están autorizadas por la ley, pero no previstas en ella, sino en cada contrato, en caso de que las partes las pacten.</w:t>
      </w:r>
    </w:p>
    <w:p w14:paraId="66009CCE" w14:textId="77777777" w:rsidR="00B82A4F" w:rsidRPr="002A16FE" w:rsidRDefault="00B82A4F" w:rsidP="00D34D3B">
      <w:pPr>
        <w:pStyle w:val="Prrafodelista"/>
        <w:ind w:left="709" w:right="709"/>
        <w:jc w:val="both"/>
        <w:rPr>
          <w:rFonts w:ascii="Arial" w:hAnsi="Arial" w:cs="Arial"/>
          <w:iCs/>
          <w:sz w:val="21"/>
          <w:szCs w:val="21"/>
        </w:rPr>
      </w:pPr>
    </w:p>
    <w:p w14:paraId="408C759C" w14:textId="77777777" w:rsidR="00B82A4F" w:rsidRPr="002A16FE" w:rsidRDefault="00B82A4F" w:rsidP="00D34D3B">
      <w:pPr>
        <w:pStyle w:val="Prrafodelista"/>
        <w:ind w:left="709" w:right="709"/>
        <w:jc w:val="both"/>
        <w:rPr>
          <w:rFonts w:ascii="Arial" w:hAnsi="Arial" w:cs="Arial"/>
          <w:iCs/>
          <w:sz w:val="21"/>
          <w:szCs w:val="21"/>
        </w:rPr>
      </w:pPr>
      <w:r w:rsidRPr="002A16FE">
        <w:rPr>
          <w:rFonts w:ascii="Arial" w:hAnsi="Arial" w:cs="Arial"/>
          <w:iCs/>
          <w:sz w:val="21"/>
          <w:szCs w:val="21"/>
        </w:rPr>
        <w:t>Obsérvese cómo el «principio de legalidad» –es decir, la predeterminación de las conductas en la Ley–, en materia contractual se reduce a la simple «tipicidad» de la conducta –es decir, a la descripción y especificación normativa del comportamiento prohibido–, pues lo determinante no es que la Ley contemple la falta y la sanción, sino que estén previamente definidas en cualquier norma, sin que importe que sea o no una ley quien lo haga.</w:t>
      </w:r>
    </w:p>
    <w:p w14:paraId="6788B54A" w14:textId="77777777" w:rsidR="00B82A4F" w:rsidRPr="002A16FE" w:rsidRDefault="00B82A4F" w:rsidP="00D34D3B">
      <w:pPr>
        <w:pStyle w:val="Prrafodelista"/>
        <w:ind w:left="709" w:right="709"/>
        <w:jc w:val="both"/>
        <w:rPr>
          <w:rFonts w:ascii="Arial" w:hAnsi="Arial" w:cs="Arial"/>
          <w:iCs/>
          <w:sz w:val="21"/>
          <w:szCs w:val="21"/>
        </w:rPr>
      </w:pPr>
    </w:p>
    <w:p w14:paraId="029FCD00" w14:textId="77777777" w:rsidR="00B82A4F" w:rsidRPr="002A16FE" w:rsidRDefault="00B82A4F" w:rsidP="00D34D3B">
      <w:pPr>
        <w:pStyle w:val="Prrafodelista"/>
        <w:ind w:left="709" w:right="709"/>
        <w:jc w:val="both"/>
        <w:rPr>
          <w:rFonts w:ascii="Arial" w:hAnsi="Arial" w:cs="Arial"/>
          <w:iCs/>
          <w:sz w:val="21"/>
          <w:szCs w:val="21"/>
        </w:rPr>
      </w:pPr>
      <w:r w:rsidRPr="002A16FE">
        <w:rPr>
          <w:rFonts w:ascii="Arial" w:hAnsi="Arial" w:cs="Arial"/>
          <w:iCs/>
          <w:sz w:val="21"/>
          <w:szCs w:val="21"/>
        </w:rPr>
        <w:t>Por tanto, en materia contractual opera una especie de combinación entre el principio de legalidad y el de la autonomía de la voluntad: el primero exige que las conductas reprochables entre las partes del contrato se contemplen previamente, con su correspondiente sanción, y el segundo permite que sean las partes –no la ley; pero autorizadas por ella– quienes definan esas conductas y la sanción. Se trata, no cabe duda, de un supuesto de ius puniendi sui generis al que regula el art. 29 CP., en lo que respecta, por lo menos, a la legalidad.</w:t>
      </w:r>
    </w:p>
    <w:p w14:paraId="478828CE" w14:textId="77777777" w:rsidR="00B82A4F" w:rsidRPr="002A16FE" w:rsidRDefault="00B82A4F" w:rsidP="00B82A4F">
      <w:pPr>
        <w:pStyle w:val="Prrafodelista"/>
        <w:spacing w:line="276" w:lineRule="auto"/>
        <w:ind w:right="-425"/>
        <w:jc w:val="both"/>
        <w:rPr>
          <w:rFonts w:ascii="Arial" w:hAnsi="Arial" w:cs="Arial"/>
          <w:iCs/>
          <w:sz w:val="22"/>
        </w:rPr>
      </w:pPr>
    </w:p>
    <w:p w14:paraId="4D923C55" w14:textId="77777777" w:rsidR="00B82A4F" w:rsidRPr="002A16FE" w:rsidRDefault="00B82A4F" w:rsidP="00B82A4F">
      <w:pPr>
        <w:spacing w:line="276" w:lineRule="auto"/>
        <w:ind w:firstLine="708"/>
        <w:jc w:val="both"/>
        <w:rPr>
          <w:rFonts w:ascii="Arial" w:hAnsi="Arial" w:cs="Arial"/>
          <w:iCs/>
          <w:sz w:val="22"/>
        </w:rPr>
      </w:pPr>
      <w:r w:rsidRPr="002A16FE">
        <w:rPr>
          <w:rFonts w:ascii="Arial" w:hAnsi="Arial" w:cs="Arial"/>
          <w:iCs/>
          <w:sz w:val="22"/>
        </w:rPr>
        <w:t>De otro lado, la Corte Constitucional</w:t>
      </w:r>
      <w:r w:rsidRPr="002A16FE">
        <w:rPr>
          <w:rStyle w:val="Refdenotaalpie"/>
          <w:rFonts w:ascii="Arial" w:hAnsi="Arial" w:cs="Arial"/>
          <w:iCs/>
          <w:sz w:val="22"/>
        </w:rPr>
        <w:footnoteReference w:id="4"/>
      </w:r>
      <w:r w:rsidRPr="002A16FE">
        <w:rPr>
          <w:rFonts w:ascii="Arial" w:hAnsi="Arial" w:cs="Arial"/>
          <w:iCs/>
          <w:sz w:val="22"/>
        </w:rPr>
        <w:t xml:space="preserve"> precisó que la tipicidad hacía referencia a «la exigencia de descripción específica y precisa por la norma creadora de las infracciones y </w:t>
      </w:r>
      <w:r w:rsidRPr="002A16FE">
        <w:rPr>
          <w:rFonts w:ascii="Arial" w:hAnsi="Arial" w:cs="Arial"/>
          <w:iCs/>
          <w:sz w:val="22"/>
        </w:rPr>
        <w:lastRenderedPageBreak/>
        <w:t xml:space="preserve">de las sanciones, de las conductas que pueden ser sancionadas y del contenido material de las sanciones que puede imponerse por la comisión de cada conducta, así como la correlación entre unas y otras». </w:t>
      </w:r>
    </w:p>
    <w:p w14:paraId="60FA8858" w14:textId="68A7FEA9" w:rsidR="00B82A4F" w:rsidRPr="002A16FE" w:rsidRDefault="00B82A4F">
      <w:pPr>
        <w:spacing w:before="120" w:line="276" w:lineRule="auto"/>
        <w:ind w:firstLine="709"/>
        <w:jc w:val="both"/>
        <w:rPr>
          <w:rFonts w:ascii="Arial" w:hAnsi="Arial" w:cs="Arial"/>
          <w:iCs/>
          <w:sz w:val="22"/>
        </w:rPr>
      </w:pPr>
      <w:r w:rsidRPr="002A16FE">
        <w:rPr>
          <w:rFonts w:ascii="Arial" w:hAnsi="Arial" w:cs="Arial"/>
          <w:iCs/>
          <w:sz w:val="22"/>
        </w:rPr>
        <w:t>Por su parte, el artículo 17 de la Ley 1150 de 2007, además de autorizar la imposición unilateral de multas, también precisa que la declaración de incumplimiento tiene como propósito «hacer efectiva la cláusula penal pecuniaria incluida en el contrato».</w:t>
      </w:r>
      <w:r w:rsidR="00387519">
        <w:rPr>
          <w:rFonts w:ascii="Arial" w:hAnsi="Arial" w:cs="Arial"/>
          <w:iCs/>
          <w:sz w:val="22"/>
        </w:rPr>
        <w:t xml:space="preserve"> </w:t>
      </w:r>
      <w:r w:rsidRPr="002A16FE">
        <w:rPr>
          <w:rFonts w:ascii="Arial" w:hAnsi="Arial" w:cs="Arial"/>
          <w:iCs/>
          <w:sz w:val="22"/>
        </w:rPr>
        <w:t>En este punto, conviene resaltar lo dicho por la Sección Tercera del Consejo de Estado</w:t>
      </w:r>
      <w:r w:rsidRPr="002A16FE">
        <w:rPr>
          <w:rFonts w:ascii="Arial" w:hAnsi="Arial" w:cs="Arial"/>
          <w:sz w:val="22"/>
          <w:vertAlign w:val="superscript"/>
        </w:rPr>
        <w:footnoteReference w:id="5"/>
      </w:r>
      <w:r w:rsidRPr="002A16FE">
        <w:rPr>
          <w:rFonts w:ascii="Arial" w:hAnsi="Arial" w:cs="Arial"/>
          <w:iCs/>
          <w:sz w:val="22"/>
        </w:rPr>
        <w:t>, en relación con las diferencias entre las multas y la cláusula penal, esto es: «[a]unque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p>
    <w:p w14:paraId="064D77CE" w14:textId="77777777" w:rsidR="00B82A4F" w:rsidRPr="002A16FE" w:rsidRDefault="00B82A4F" w:rsidP="00B82A4F">
      <w:pPr>
        <w:spacing w:before="120" w:line="276" w:lineRule="auto"/>
        <w:ind w:firstLine="709"/>
        <w:jc w:val="both"/>
        <w:rPr>
          <w:rFonts w:ascii="Arial" w:hAnsi="Arial" w:cs="Arial"/>
          <w:iCs/>
          <w:sz w:val="22"/>
        </w:rPr>
      </w:pPr>
      <w:r w:rsidRPr="002A16FE">
        <w:rPr>
          <w:rFonts w:ascii="Arial" w:hAnsi="Arial" w:cs="Arial"/>
          <w:iCs/>
          <w:sz w:val="22"/>
        </w:rPr>
        <w:t>Igualmente, la Ley 1474 de 2011 contempla la posibilidad de declarar el incumplimiento cuantificando los perjuicios del mismo, claro está, previa citación del contratista y respetando el debido proceso. Al respecto, el artículo 86 de la Ley 1474 de 2011 establece las etapas del procedimiento que se deben seguir:  i) c</w:t>
      </w:r>
      <w:r w:rsidRPr="002A16FE">
        <w:rPr>
          <w:rFonts w:ascii="Arial" w:hAnsi="Arial" w:cs="Arial"/>
          <w:i/>
          <w:iCs/>
          <w:sz w:val="22"/>
        </w:rPr>
        <w:t>itación a audiencia</w:t>
      </w:r>
      <w:r w:rsidRPr="002A16FE">
        <w:rPr>
          <w:rFonts w:ascii="Arial" w:hAnsi="Arial" w:cs="Arial"/>
          <w:iCs/>
          <w:sz w:val="22"/>
        </w:rPr>
        <w:t xml:space="preserve">. Es necesario mencionar expresa y detalladamente los hechos que la soportan, así como, también, adjuntar el informe de interventoría o de supervisión en el que se sustente la actuación, enunciar las normas o cláusulas posiblemente violadas y referir las consecuencias que podrían recaer sobre el contratista en el desarrollo de la actuación. ii) </w:t>
      </w:r>
      <w:r w:rsidRPr="002A16FE">
        <w:rPr>
          <w:rFonts w:ascii="Arial" w:hAnsi="Arial" w:cs="Arial"/>
          <w:i/>
          <w:iCs/>
          <w:sz w:val="22"/>
        </w:rPr>
        <w:t>Audiencia</w:t>
      </w:r>
      <w:r w:rsidRPr="002A16FE">
        <w:rPr>
          <w:rFonts w:ascii="Arial" w:hAnsi="Arial" w:cs="Arial"/>
          <w:iCs/>
          <w:sz w:val="22"/>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iii) </w:t>
      </w:r>
      <w:r w:rsidRPr="002A16FE">
        <w:rPr>
          <w:rFonts w:ascii="Arial" w:hAnsi="Arial" w:cs="Arial"/>
          <w:i/>
          <w:iCs/>
          <w:sz w:val="22"/>
        </w:rPr>
        <w:t>Decisión</w:t>
      </w:r>
      <w:r w:rsidRPr="002A16FE">
        <w:rPr>
          <w:rFonts w:ascii="Arial" w:hAnsi="Arial" w:cs="Arial"/>
          <w:iCs/>
          <w:sz w:val="22"/>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podría llegar a efectuarse.</w:t>
      </w:r>
    </w:p>
    <w:p w14:paraId="64F9D986" w14:textId="77777777" w:rsidR="00B82A4F" w:rsidRPr="002A16FE" w:rsidRDefault="00B82A4F" w:rsidP="00B82A4F">
      <w:pPr>
        <w:spacing w:before="120" w:line="276" w:lineRule="auto"/>
        <w:ind w:firstLine="709"/>
        <w:jc w:val="both"/>
        <w:rPr>
          <w:rFonts w:ascii="Arial" w:hAnsi="Arial" w:cs="Arial"/>
          <w:iCs/>
          <w:sz w:val="22"/>
        </w:rPr>
      </w:pPr>
      <w:r w:rsidRPr="002A16FE">
        <w:rPr>
          <w:rFonts w:ascii="Arial" w:hAnsi="Arial" w:cs="Arial"/>
          <w:iCs/>
          <w:sz w:val="22"/>
        </w:rPr>
        <w:t xml:space="preserve">En este sentido, la entidad está facultada para cuantificar los perjuicios causados por el incumplimiento del contratista, previa declaración del mismo y luego de haberse surtido el trámite antes referido. Esta facultad, en palabras de la Corte Constitucional, «[…] está reglada y se ejerce conforme a un procedimiento administrativo, del que debe darse cuenta en un acto administrativo motivado, de tal suerte que la cuantificación de los </w:t>
      </w:r>
      <w:r w:rsidRPr="002A16FE">
        <w:rPr>
          <w:rFonts w:ascii="Arial" w:hAnsi="Arial" w:cs="Arial"/>
          <w:iCs/>
          <w:sz w:val="22"/>
        </w:rPr>
        <w:lastRenderedPageBreak/>
        <w:t>perjuicios no obedece a la mera discrecionalidad de la entidad estatal, ni es fruto de su capricho […]»</w:t>
      </w:r>
      <w:r w:rsidRPr="002A16FE">
        <w:rPr>
          <w:rStyle w:val="Refdenotaalpie"/>
          <w:rFonts w:ascii="Arial" w:hAnsi="Arial" w:cs="Arial"/>
          <w:iCs/>
          <w:sz w:val="22"/>
        </w:rPr>
        <w:footnoteReference w:id="6"/>
      </w:r>
      <w:r w:rsidRPr="002A16FE">
        <w:rPr>
          <w:rFonts w:ascii="Arial" w:hAnsi="Arial" w:cs="Arial"/>
          <w:iCs/>
          <w:sz w:val="22"/>
        </w:rPr>
        <w:t>.</w:t>
      </w:r>
    </w:p>
    <w:p w14:paraId="601AD2A7" w14:textId="77777777" w:rsidR="00B82A4F" w:rsidRPr="002A16FE" w:rsidRDefault="00B82A4F" w:rsidP="00B82A4F">
      <w:pPr>
        <w:spacing w:before="120" w:line="276" w:lineRule="auto"/>
        <w:ind w:firstLine="709"/>
        <w:jc w:val="both"/>
        <w:rPr>
          <w:rFonts w:ascii="Arial" w:eastAsia="Calibri" w:hAnsi="Arial" w:cs="Arial"/>
          <w:sz w:val="22"/>
          <w:lang w:val="es-ES_tradnl"/>
        </w:rPr>
      </w:pPr>
      <w:r w:rsidRPr="002A16FE">
        <w:rPr>
          <w:rFonts w:ascii="Arial" w:hAnsi="Arial" w:cs="Arial"/>
          <w:iCs/>
          <w:sz w:val="22"/>
        </w:rPr>
        <w:t>Valga la pena precisar que e</w:t>
      </w:r>
      <w:r w:rsidRPr="002A16FE">
        <w:rPr>
          <w:rFonts w:ascii="Arial" w:eastAsia="Calibri" w:hAnsi="Arial" w:cs="Arial"/>
          <w:sz w:val="22"/>
          <w:lang w:val="es-ES_tradnl"/>
        </w:rPr>
        <w:t>l artículo 86 de la Ley 1474 de 2011 regula un procedimiento administrativo sancionatorio dirigido a sujetos específicos: las entidades sometidas al Estatuto General de Contratación de la Administración Pública</w:t>
      </w:r>
      <w:r w:rsidRPr="002A16FE">
        <w:rPr>
          <w:rStyle w:val="Refdenotaalpie"/>
          <w:rFonts w:ascii="Arial" w:eastAsia="Calibri" w:hAnsi="Arial" w:cs="Arial"/>
          <w:sz w:val="22"/>
          <w:lang w:val="es-ES_tradnl"/>
        </w:rPr>
        <w:footnoteReference w:id="7"/>
      </w:r>
      <w:r w:rsidRPr="002A16FE">
        <w:rPr>
          <w:rFonts w:ascii="Arial" w:eastAsia="Calibri" w:hAnsi="Arial" w:cs="Arial"/>
          <w:sz w:val="22"/>
          <w:lang w:val="es-ES_tradnl"/>
        </w:rPr>
        <w:t xml:space="preserve">. De ahí que las entidades de </w:t>
      </w:r>
      <w:r w:rsidRPr="002A16FE">
        <w:rPr>
          <w:rFonts w:ascii="Arial" w:eastAsia="Calibri" w:hAnsi="Arial" w:cs="Arial"/>
          <w:i/>
          <w:iCs/>
          <w:sz w:val="22"/>
          <w:lang w:val="es-ES_tradnl"/>
        </w:rPr>
        <w:t>régimen especial</w:t>
      </w:r>
      <w:r w:rsidRPr="002A16FE">
        <w:rPr>
          <w:rStyle w:val="Refdenotaalpie"/>
          <w:rFonts w:ascii="Arial" w:eastAsia="Calibri" w:hAnsi="Arial" w:cs="Arial"/>
          <w:i/>
          <w:iCs/>
          <w:sz w:val="22"/>
          <w:lang w:val="es-ES_tradnl"/>
        </w:rPr>
        <w:footnoteReference w:id="8"/>
      </w:r>
      <w:r w:rsidRPr="002A16FE">
        <w:rPr>
          <w:rFonts w:ascii="Arial" w:eastAsia="Calibri" w:hAnsi="Arial" w:cs="Arial"/>
          <w:sz w:val="22"/>
          <w:lang w:val="es-ES_tradnl"/>
        </w:rPr>
        <w:t xml:space="preserve"> en materia contractual no pueden aplicar el procedimiento administrativo sancionatorio regulado en el artículo 86 de la Ley 1474 de 2011, al no ser entidades sometidas al EGCAP, sino, por el contrario, entidades exceptuadas de este.</w:t>
      </w:r>
    </w:p>
    <w:p w14:paraId="00103CDE" w14:textId="5B1F27A7" w:rsidR="00B82A4F" w:rsidRPr="002A16FE" w:rsidRDefault="00B82A4F" w:rsidP="00B82A4F">
      <w:pPr>
        <w:spacing w:before="120" w:after="120" w:line="276" w:lineRule="auto"/>
        <w:ind w:firstLine="709"/>
        <w:jc w:val="both"/>
        <w:rPr>
          <w:rFonts w:ascii="Arial" w:eastAsia="Calibri" w:hAnsi="Arial" w:cs="Arial"/>
          <w:sz w:val="22"/>
          <w:lang w:val="es-ES_tradnl"/>
        </w:rPr>
      </w:pPr>
      <w:r w:rsidRPr="002A16FE">
        <w:rPr>
          <w:rFonts w:ascii="Arial" w:eastAsia="Calibri" w:hAnsi="Arial" w:cs="Arial"/>
          <w:sz w:val="22"/>
          <w:lang w:val="es-ES_tradnl"/>
        </w:rPr>
        <w:t>Si bien en los últimos años se ha presentado un intenso debate al interior de la Sección Tercera del Consejo de Estado, acerca de la posibilidad de las entidades con régimen especial de contratación de ejercer autotutela declarativa, imponiendo las sanciones pactadas en el contrato</w:t>
      </w:r>
      <w:r w:rsidRPr="002A16FE">
        <w:rPr>
          <w:rStyle w:val="Refdenotaalpie"/>
          <w:rFonts w:ascii="Arial" w:eastAsia="Calibri" w:hAnsi="Arial" w:cs="Arial"/>
          <w:sz w:val="22"/>
          <w:lang w:val="es-ES_tradnl"/>
        </w:rPr>
        <w:footnoteReference w:id="9"/>
      </w:r>
      <w:r w:rsidR="00387519">
        <w:rPr>
          <w:rFonts w:ascii="Arial" w:eastAsia="Calibri" w:hAnsi="Arial" w:cs="Arial"/>
          <w:sz w:val="22"/>
          <w:lang w:val="es-ES_tradnl"/>
        </w:rPr>
        <w:t>.</w:t>
      </w:r>
      <w:r w:rsidRPr="002A16FE">
        <w:rPr>
          <w:rFonts w:ascii="Arial" w:eastAsia="Calibri" w:hAnsi="Arial" w:cs="Arial"/>
          <w:sz w:val="22"/>
          <w:lang w:val="es-ES_tradnl"/>
        </w:rPr>
        <w:t xml:space="preserve"> </w:t>
      </w:r>
      <w:r w:rsidR="00387519">
        <w:rPr>
          <w:rFonts w:ascii="Arial" w:eastAsia="Calibri" w:hAnsi="Arial" w:cs="Arial"/>
          <w:sz w:val="22"/>
          <w:lang w:val="es-ES_tradnl"/>
        </w:rPr>
        <w:t>E</w:t>
      </w:r>
      <w:r w:rsidRPr="002A16FE">
        <w:rPr>
          <w:rFonts w:ascii="Arial" w:eastAsia="Calibri" w:hAnsi="Arial" w:cs="Arial"/>
          <w:sz w:val="22"/>
          <w:lang w:val="es-ES_tradnl"/>
        </w:rPr>
        <w:t xml:space="preserve">sta Subdirección ha considerado que la potestad sancionatoria debe consagrarse expresamente en la ley, para que sea viable su ejercicio; además, es necesario que se regule previamente y a nivel legal el procedimiento aplicable para la imposición de las sanciones. Ambas condiciones son la materialización de los principios de competencia y de legalidad de las formas propias de cada juicio, contenidas en el derecho fundamental al debido proceso, que rige también en las actuaciones </w:t>
      </w:r>
      <w:r w:rsidRPr="002A16FE">
        <w:rPr>
          <w:rFonts w:ascii="Arial" w:eastAsia="Calibri" w:hAnsi="Arial" w:cs="Arial"/>
          <w:sz w:val="22"/>
          <w:lang w:val="es-ES_tradnl"/>
        </w:rPr>
        <w:lastRenderedPageBreak/>
        <w:t>administrativas, según lo indica el primer inciso del artículo 29 de la Constitución</w:t>
      </w:r>
      <w:r w:rsidRPr="002A16FE">
        <w:rPr>
          <w:rStyle w:val="Refdenotaalpie"/>
          <w:rFonts w:ascii="Arial" w:eastAsia="Calibri" w:hAnsi="Arial" w:cs="Arial"/>
          <w:sz w:val="22"/>
          <w:lang w:val="es-ES_tradnl"/>
        </w:rPr>
        <w:footnoteReference w:id="10"/>
      </w:r>
      <w:r w:rsidRPr="002A16FE">
        <w:rPr>
          <w:rFonts w:ascii="Arial" w:eastAsia="Calibri" w:hAnsi="Arial" w:cs="Arial"/>
          <w:sz w:val="22"/>
          <w:lang w:val="es-ES_tradnl"/>
        </w:rPr>
        <w:t xml:space="preserve"> y el artículo 3, numeral 1 de la Ley 1437 de 2011</w:t>
      </w:r>
      <w:r w:rsidRPr="002A16FE">
        <w:rPr>
          <w:rStyle w:val="Refdenotaalpie"/>
          <w:rFonts w:ascii="Arial" w:eastAsia="Calibri" w:hAnsi="Arial" w:cs="Arial"/>
          <w:sz w:val="22"/>
          <w:lang w:val="es-ES_tradnl"/>
        </w:rPr>
        <w:footnoteReference w:id="11"/>
      </w:r>
      <w:r w:rsidRPr="002A16FE">
        <w:rPr>
          <w:rFonts w:ascii="Arial" w:eastAsia="Calibri" w:hAnsi="Arial" w:cs="Arial"/>
          <w:sz w:val="22"/>
          <w:lang w:val="es-ES_tradnl"/>
        </w:rPr>
        <w:t xml:space="preserve">. </w:t>
      </w:r>
    </w:p>
    <w:p w14:paraId="09FBCF38" w14:textId="77777777" w:rsidR="00B82A4F" w:rsidRPr="002A16FE" w:rsidRDefault="00B82A4F" w:rsidP="00B82A4F">
      <w:pPr>
        <w:spacing w:before="120" w:after="120" w:line="276" w:lineRule="auto"/>
        <w:ind w:firstLine="709"/>
        <w:jc w:val="both"/>
        <w:rPr>
          <w:rFonts w:ascii="Arial" w:eastAsia="Calibri" w:hAnsi="Arial" w:cs="Arial"/>
          <w:sz w:val="22"/>
          <w:lang w:val="es-ES_tradnl"/>
        </w:rPr>
      </w:pPr>
      <w:r w:rsidRPr="002A16FE">
        <w:rPr>
          <w:rFonts w:ascii="Arial" w:eastAsia="Calibri" w:hAnsi="Arial" w:cs="Arial"/>
          <w:sz w:val="22"/>
          <w:lang w:val="es-ES_tradnl"/>
        </w:rPr>
        <w:t xml:space="preserve">Por tanto, las entidades de </w:t>
      </w:r>
      <w:r w:rsidRPr="002A16FE">
        <w:rPr>
          <w:rFonts w:ascii="Arial" w:eastAsia="Calibri" w:hAnsi="Arial" w:cs="Arial"/>
          <w:i/>
          <w:iCs/>
          <w:sz w:val="22"/>
          <w:lang w:val="es-ES_tradnl"/>
        </w:rPr>
        <w:t xml:space="preserve">régimen especial </w:t>
      </w:r>
      <w:r w:rsidRPr="002A16FE">
        <w:rPr>
          <w:rFonts w:ascii="Arial" w:eastAsia="Calibri" w:hAnsi="Arial" w:cs="Arial"/>
          <w:sz w:val="22"/>
          <w:lang w:val="es-ES_tradnl"/>
        </w:rPr>
        <w:t>pueden pactar en el contrato que, ante el incumplimiento del contratista, se activará el derecho al pago de sanciones, como la multa o la cláusula penal pecuniaria, pero para hacerlas efectivas deben acudir a la Jurisdicción de lo Contencioso Administrativo, en ejercicio del medio de control de controversias contractuales previsto en el artículo 141 de la Ley 1437 de 2011, que, como lo ha indicado la jurisprudencia, es un medio de control «pluripretensional»</w:t>
      </w:r>
      <w:r w:rsidRPr="002A16FE">
        <w:rPr>
          <w:rStyle w:val="Refdenotaalpie"/>
          <w:rFonts w:ascii="Arial" w:eastAsia="Calibri" w:hAnsi="Arial" w:cs="Arial"/>
          <w:sz w:val="22"/>
          <w:lang w:val="es-ES_tradnl"/>
        </w:rPr>
        <w:footnoteReference w:id="12"/>
      </w:r>
      <w:r w:rsidRPr="002A16FE">
        <w:rPr>
          <w:rFonts w:ascii="Arial" w:eastAsia="Calibri" w:hAnsi="Arial" w:cs="Arial"/>
          <w:sz w:val="22"/>
          <w:lang w:val="es-ES_tradnl"/>
        </w:rPr>
        <w:t xml:space="preserve">, pues admite canalizar a través de él múltiples pretensiones, como la solicitud de declaratoria de incumplimiento y consecuencialmente la imposición de las sanciones estipuladas en el contrato. En efecto, dicho artículo establece que en la demanda se puede pedir «[…] que se declare su existencia o su nulidad, que se ordene su revisión, que se declare su incumplimiento, que se declare la nulidad de los actos administrativos contractuales, que se condene al responsable a indemnizar los perjuicios, y que se hagan otras declaraciones y condenas […]». </w:t>
      </w:r>
    </w:p>
    <w:p w14:paraId="40E26F79" w14:textId="1828AB7E" w:rsidR="00B82A4F" w:rsidRPr="002A16FE" w:rsidRDefault="00E12ED8" w:rsidP="00240D4C">
      <w:pPr>
        <w:spacing w:before="120" w:line="276" w:lineRule="auto"/>
        <w:ind w:firstLine="709"/>
        <w:jc w:val="both"/>
        <w:rPr>
          <w:rFonts w:ascii="Arial" w:eastAsia="Calibri" w:hAnsi="Arial" w:cs="Arial"/>
          <w:sz w:val="22"/>
          <w:lang w:val="es-ES_tradnl"/>
        </w:rPr>
      </w:pPr>
      <w:r>
        <w:rPr>
          <w:rFonts w:ascii="Arial" w:eastAsia="Calibri" w:hAnsi="Arial" w:cs="Arial"/>
          <w:sz w:val="22"/>
          <w:lang w:val="es-ES_tradnl"/>
        </w:rPr>
        <w:t xml:space="preserve">Por ello, </w:t>
      </w:r>
      <w:r w:rsidR="00B82A4F" w:rsidRPr="002A16FE">
        <w:rPr>
          <w:rFonts w:ascii="Arial" w:eastAsia="Calibri" w:hAnsi="Arial" w:cs="Arial"/>
          <w:sz w:val="22"/>
          <w:lang w:val="es-ES_tradnl"/>
        </w:rPr>
        <w:t>esta Subdirección</w:t>
      </w:r>
      <w:r>
        <w:rPr>
          <w:rFonts w:ascii="Arial" w:eastAsia="Calibri" w:hAnsi="Arial" w:cs="Arial"/>
          <w:sz w:val="22"/>
          <w:lang w:val="es-ES_tradnl"/>
        </w:rPr>
        <w:t xml:space="preserve"> no considera</w:t>
      </w:r>
      <w:r w:rsidR="00B82A4F" w:rsidRPr="002A16FE">
        <w:rPr>
          <w:rFonts w:ascii="Arial" w:eastAsia="Calibri" w:hAnsi="Arial" w:cs="Arial"/>
          <w:sz w:val="22"/>
          <w:lang w:val="es-ES_tradnl"/>
        </w:rPr>
        <w:t xml:space="preserve"> que las entidades de régimen especial, que se exceptúan de la aplicación del EGCAP, tengan competencia para imponer unilateralmente sanciones contractuales</w:t>
      </w:r>
      <w:r w:rsidR="00B82A4F" w:rsidRPr="002A16FE">
        <w:rPr>
          <w:rStyle w:val="Refdenotaalpie"/>
          <w:rFonts w:ascii="Arial" w:eastAsia="Calibri" w:hAnsi="Arial" w:cs="Arial"/>
          <w:sz w:val="22"/>
          <w:lang w:val="es-ES_tradnl"/>
        </w:rPr>
        <w:footnoteReference w:id="13"/>
      </w:r>
      <w:r w:rsidR="00B82A4F" w:rsidRPr="002A16FE">
        <w:rPr>
          <w:rFonts w:ascii="Arial" w:eastAsia="Calibri" w:hAnsi="Arial" w:cs="Arial"/>
          <w:sz w:val="22"/>
          <w:lang w:val="es-ES_tradnl"/>
        </w:rPr>
        <w:t>. Sin perjuicio de l</w:t>
      </w:r>
      <w:r>
        <w:rPr>
          <w:rFonts w:ascii="Arial" w:eastAsia="Calibri" w:hAnsi="Arial" w:cs="Arial"/>
          <w:sz w:val="22"/>
          <w:lang w:val="es-ES_tradnl"/>
        </w:rPr>
        <w:t>o</w:t>
      </w:r>
      <w:r w:rsidR="00B82A4F" w:rsidRPr="002A16FE">
        <w:rPr>
          <w:rFonts w:ascii="Arial" w:eastAsia="Calibri" w:hAnsi="Arial" w:cs="Arial"/>
          <w:sz w:val="22"/>
          <w:lang w:val="es-ES_tradnl"/>
        </w:rPr>
        <w:t xml:space="preserve"> anterior,</w:t>
      </w:r>
      <w:r w:rsidR="002E0DFA">
        <w:rPr>
          <w:rFonts w:ascii="Arial" w:eastAsia="Calibri" w:hAnsi="Arial" w:cs="Arial"/>
          <w:sz w:val="22"/>
          <w:lang w:val="es-ES_tradnl"/>
        </w:rPr>
        <w:t xml:space="preserve"> existen</w:t>
      </w:r>
      <w:r w:rsidR="00B82A4F" w:rsidRPr="002A16FE">
        <w:rPr>
          <w:rFonts w:ascii="Arial" w:eastAsia="Calibri" w:hAnsi="Arial" w:cs="Arial"/>
          <w:sz w:val="22"/>
          <w:lang w:val="es-ES_tradnl"/>
        </w:rPr>
        <w:t xml:space="preserve"> entidades de </w:t>
      </w:r>
      <w:r w:rsidR="00B82A4F" w:rsidRPr="002A16FE">
        <w:rPr>
          <w:rFonts w:ascii="Arial" w:eastAsia="Calibri" w:hAnsi="Arial" w:cs="Arial"/>
          <w:sz w:val="22"/>
          <w:lang w:val="es-ES_tradnl"/>
        </w:rPr>
        <w:lastRenderedPageBreak/>
        <w:t xml:space="preserve">régimen especial que tienen competencia para declarar la caducidad del contrato, pues la ley las sujeta a las normas de derecho privado, pero les permite ejercer </w:t>
      </w:r>
      <w:r w:rsidR="002E0DFA">
        <w:rPr>
          <w:rFonts w:ascii="Arial" w:eastAsia="Calibri" w:hAnsi="Arial" w:cs="Arial"/>
          <w:sz w:val="22"/>
          <w:lang w:val="es-ES_tradnl"/>
        </w:rPr>
        <w:t>esta</w:t>
      </w:r>
      <w:r w:rsidR="002E0DFA" w:rsidRPr="002A16FE">
        <w:rPr>
          <w:rFonts w:ascii="Arial" w:eastAsia="Calibri" w:hAnsi="Arial" w:cs="Arial"/>
          <w:sz w:val="22"/>
          <w:lang w:val="es-ES_tradnl"/>
        </w:rPr>
        <w:t xml:space="preserve"> </w:t>
      </w:r>
      <w:r w:rsidR="00B82A4F" w:rsidRPr="002A16FE">
        <w:rPr>
          <w:rFonts w:ascii="Arial" w:eastAsia="Calibri" w:hAnsi="Arial" w:cs="Arial"/>
          <w:sz w:val="22"/>
          <w:lang w:val="es-ES_tradnl"/>
        </w:rPr>
        <w:t>exorbitancia. Tal es el caso de las empresas prestadoras de servicios públicos domiciliarios</w:t>
      </w:r>
      <w:r w:rsidR="00B82A4F" w:rsidRPr="002A16FE">
        <w:rPr>
          <w:rStyle w:val="Refdenotaalpie"/>
          <w:rFonts w:ascii="Arial" w:eastAsia="Calibri" w:hAnsi="Arial" w:cs="Arial"/>
          <w:sz w:val="22"/>
          <w:lang w:val="es-ES_tradnl"/>
        </w:rPr>
        <w:footnoteReference w:id="14"/>
      </w:r>
      <w:r w:rsidR="00B82A4F" w:rsidRPr="002A16FE">
        <w:rPr>
          <w:rFonts w:ascii="Arial" w:eastAsia="Calibri" w:hAnsi="Arial" w:cs="Arial"/>
          <w:sz w:val="22"/>
          <w:lang w:val="es-ES_tradnl"/>
        </w:rPr>
        <w:t xml:space="preserve"> y de las empresas sociales del Estado</w:t>
      </w:r>
      <w:r w:rsidR="00B82A4F" w:rsidRPr="002A16FE">
        <w:rPr>
          <w:rStyle w:val="Refdenotaalpie"/>
          <w:rFonts w:ascii="Arial" w:eastAsia="Calibri" w:hAnsi="Arial" w:cs="Arial"/>
          <w:sz w:val="22"/>
          <w:lang w:val="es-ES_tradnl"/>
        </w:rPr>
        <w:footnoteReference w:id="15"/>
      </w:r>
      <w:r w:rsidR="00B82A4F" w:rsidRPr="002A16FE">
        <w:rPr>
          <w:rFonts w:ascii="Arial" w:eastAsia="Calibri" w:hAnsi="Arial" w:cs="Arial"/>
          <w:sz w:val="22"/>
          <w:lang w:val="es-ES_tradnl"/>
        </w:rPr>
        <w:t>. En tales eventos, las entidades de régimen especial deben aplicar el procedimiento administrativo sancionatorio del artículo 86 de la Ley 1474 de 2011, ya que en el pacto e imposición de la caducidad se consideran entidades sometidas al EGCAP. Sin embargo, una posibilidad como la anterior se restringe a los supuestos donde, pese a tratarse de entidades de régimen especial, existe una atribución particular de potestades excepcionales, cuya regulación las remita particularmente al EGCAP.</w:t>
      </w:r>
    </w:p>
    <w:p w14:paraId="3130EEF1" w14:textId="77777777" w:rsidR="00106F0D" w:rsidRPr="002A16FE" w:rsidRDefault="00106F0D" w:rsidP="00C00E78">
      <w:pPr>
        <w:spacing w:line="276" w:lineRule="auto"/>
        <w:jc w:val="both"/>
        <w:rPr>
          <w:rFonts w:ascii="Arial" w:eastAsia="Calibri" w:hAnsi="Arial" w:cs="Arial"/>
          <w:sz w:val="22"/>
          <w:lang w:val="es-ES_tradnl"/>
        </w:rPr>
      </w:pPr>
    </w:p>
    <w:p w14:paraId="0F03F28F" w14:textId="068D728C" w:rsidR="00C00E78" w:rsidRPr="002A16FE" w:rsidRDefault="00C00E78" w:rsidP="006852E8">
      <w:pPr>
        <w:spacing w:line="276" w:lineRule="auto"/>
        <w:jc w:val="both"/>
        <w:rPr>
          <w:rFonts w:ascii="Arial" w:hAnsi="Arial" w:cs="Arial"/>
          <w:sz w:val="22"/>
          <w:lang w:val="es-ES_tradnl"/>
        </w:rPr>
      </w:pPr>
      <w:r w:rsidRPr="002A16FE">
        <w:rPr>
          <w:rFonts w:ascii="Arial" w:eastAsia="Calibri" w:hAnsi="Arial" w:cs="Arial"/>
          <w:b/>
          <w:bCs/>
          <w:sz w:val="22"/>
          <w:lang w:val="es-ES"/>
        </w:rPr>
        <w:t>2.</w:t>
      </w:r>
      <w:r w:rsidR="00240D4C" w:rsidRPr="002A16FE">
        <w:rPr>
          <w:rFonts w:ascii="Arial" w:eastAsia="Calibri" w:hAnsi="Arial" w:cs="Arial"/>
          <w:b/>
          <w:bCs/>
          <w:sz w:val="22"/>
          <w:lang w:val="es-ES"/>
        </w:rPr>
        <w:t>2</w:t>
      </w:r>
      <w:r w:rsidRPr="002A16FE">
        <w:rPr>
          <w:rFonts w:ascii="Arial" w:eastAsia="Calibri" w:hAnsi="Arial" w:cs="Arial"/>
          <w:b/>
          <w:bCs/>
          <w:sz w:val="22"/>
          <w:lang w:val="es-ES"/>
        </w:rPr>
        <w:t xml:space="preserve">. </w:t>
      </w:r>
      <w:r w:rsidR="0017631A" w:rsidRPr="002A16FE">
        <w:rPr>
          <w:rFonts w:ascii="Arial" w:eastAsia="Calibri" w:hAnsi="Arial" w:cs="Arial"/>
          <w:b/>
          <w:bCs/>
          <w:sz w:val="22"/>
          <w:lang w:val="es-ES"/>
        </w:rPr>
        <w:t>El régimen de caducidad del contrato por colaboración con grupos armados al margen de la ley</w:t>
      </w:r>
    </w:p>
    <w:p w14:paraId="31A09B96" w14:textId="77777777" w:rsidR="00106F0D" w:rsidRDefault="00106F0D" w:rsidP="00106F0D">
      <w:pPr>
        <w:pStyle w:val="NormalWeb"/>
        <w:spacing w:before="0" w:beforeAutospacing="0" w:after="0" w:afterAutospacing="0" w:line="276" w:lineRule="auto"/>
        <w:jc w:val="both"/>
        <w:rPr>
          <w:rFonts w:ascii="Arial" w:hAnsi="Arial" w:cs="Arial"/>
          <w:sz w:val="22"/>
          <w:szCs w:val="22"/>
        </w:rPr>
      </w:pPr>
    </w:p>
    <w:p w14:paraId="67C7B536" w14:textId="3D025D12" w:rsidR="003F1452" w:rsidRPr="002A16FE" w:rsidRDefault="00BA0D60" w:rsidP="00E3346F">
      <w:pPr>
        <w:pStyle w:val="NormalWeb"/>
        <w:spacing w:before="0" w:beforeAutospacing="0" w:after="120" w:afterAutospacing="0" w:line="276" w:lineRule="auto"/>
        <w:jc w:val="both"/>
        <w:rPr>
          <w:rFonts w:ascii="Arial" w:hAnsi="Arial" w:cs="Arial"/>
          <w:sz w:val="22"/>
          <w:szCs w:val="22"/>
        </w:rPr>
      </w:pPr>
      <w:r w:rsidRPr="002A16FE">
        <w:rPr>
          <w:rFonts w:ascii="Arial" w:hAnsi="Arial" w:cs="Arial"/>
          <w:sz w:val="22"/>
          <w:szCs w:val="22"/>
        </w:rPr>
        <w:t xml:space="preserve">La </w:t>
      </w:r>
      <w:r w:rsidR="00520774" w:rsidRPr="002A16FE">
        <w:rPr>
          <w:rFonts w:ascii="Arial" w:hAnsi="Arial" w:cs="Arial"/>
          <w:sz w:val="22"/>
          <w:szCs w:val="22"/>
        </w:rPr>
        <w:t xml:space="preserve">existencia </w:t>
      </w:r>
      <w:r w:rsidRPr="002A16FE">
        <w:rPr>
          <w:rFonts w:ascii="Arial" w:hAnsi="Arial" w:cs="Arial"/>
          <w:sz w:val="22"/>
          <w:szCs w:val="22"/>
        </w:rPr>
        <w:t xml:space="preserve">de grupos </w:t>
      </w:r>
      <w:r w:rsidR="00520774" w:rsidRPr="002A16FE">
        <w:rPr>
          <w:rFonts w:ascii="Arial" w:hAnsi="Arial" w:cs="Arial"/>
          <w:sz w:val="22"/>
          <w:szCs w:val="22"/>
        </w:rPr>
        <w:t>armados al</w:t>
      </w:r>
      <w:r w:rsidR="003974DF" w:rsidRPr="002A16FE">
        <w:rPr>
          <w:rFonts w:ascii="Arial" w:hAnsi="Arial" w:cs="Arial"/>
          <w:sz w:val="22"/>
          <w:szCs w:val="22"/>
        </w:rPr>
        <w:t xml:space="preserve"> margen de la ley </w:t>
      </w:r>
      <w:r w:rsidR="00520774" w:rsidRPr="002A16FE">
        <w:rPr>
          <w:rFonts w:ascii="Arial" w:hAnsi="Arial" w:cs="Arial"/>
          <w:sz w:val="22"/>
          <w:szCs w:val="22"/>
        </w:rPr>
        <w:t>cuya actividad incide en las más diversas esferas y ámbitos de la vida socioeconómica, ha sido</w:t>
      </w:r>
      <w:r w:rsidR="00DA2602" w:rsidRPr="002A16FE">
        <w:rPr>
          <w:rFonts w:ascii="Arial" w:hAnsi="Arial" w:cs="Arial"/>
          <w:sz w:val="22"/>
          <w:szCs w:val="22"/>
        </w:rPr>
        <w:t xml:space="preserve"> </w:t>
      </w:r>
      <w:r w:rsidR="003F2DF4" w:rsidRPr="002A16FE">
        <w:rPr>
          <w:rFonts w:ascii="Arial" w:hAnsi="Arial" w:cs="Arial"/>
          <w:sz w:val="22"/>
          <w:szCs w:val="22"/>
        </w:rPr>
        <w:t xml:space="preserve">sin duda alguna la coyuntura de mayor relevancia en los </w:t>
      </w:r>
      <w:r w:rsidR="00EF24C4" w:rsidRPr="002A16FE">
        <w:rPr>
          <w:rFonts w:ascii="Arial" w:hAnsi="Arial" w:cs="Arial"/>
          <w:sz w:val="22"/>
          <w:szCs w:val="22"/>
        </w:rPr>
        <w:t>últimos sesenta</w:t>
      </w:r>
      <w:r w:rsidR="00DA2602" w:rsidRPr="002A16FE">
        <w:rPr>
          <w:rFonts w:ascii="Arial" w:hAnsi="Arial" w:cs="Arial"/>
          <w:sz w:val="22"/>
          <w:szCs w:val="22"/>
        </w:rPr>
        <w:t xml:space="preserve"> años en Colombia. </w:t>
      </w:r>
      <w:r w:rsidR="002E0DFA">
        <w:rPr>
          <w:rFonts w:ascii="Arial" w:hAnsi="Arial" w:cs="Arial"/>
          <w:sz w:val="22"/>
          <w:szCs w:val="22"/>
        </w:rPr>
        <w:t>La</w:t>
      </w:r>
      <w:r w:rsidR="00CF2DD9" w:rsidRPr="002A16FE">
        <w:rPr>
          <w:rFonts w:ascii="Arial" w:hAnsi="Arial" w:cs="Arial"/>
          <w:sz w:val="22"/>
          <w:szCs w:val="22"/>
        </w:rPr>
        <w:t xml:space="preserve"> dimensión </w:t>
      </w:r>
      <w:r w:rsidR="009E0D92" w:rsidRPr="002A16FE">
        <w:rPr>
          <w:rFonts w:ascii="Arial" w:hAnsi="Arial" w:cs="Arial"/>
          <w:sz w:val="22"/>
          <w:szCs w:val="22"/>
        </w:rPr>
        <w:t xml:space="preserve">de esta </w:t>
      </w:r>
      <w:r w:rsidR="00D476BA" w:rsidRPr="002A16FE">
        <w:rPr>
          <w:rFonts w:ascii="Arial" w:hAnsi="Arial" w:cs="Arial"/>
          <w:sz w:val="22"/>
          <w:szCs w:val="22"/>
        </w:rPr>
        <w:t xml:space="preserve">problemática ha ameritado la </w:t>
      </w:r>
      <w:r w:rsidR="006A6703" w:rsidRPr="002A16FE">
        <w:rPr>
          <w:rFonts w:ascii="Arial" w:hAnsi="Arial" w:cs="Arial"/>
          <w:sz w:val="22"/>
          <w:szCs w:val="22"/>
        </w:rPr>
        <w:t xml:space="preserve">atención de las instituciones </w:t>
      </w:r>
      <w:r w:rsidR="00E3346F" w:rsidRPr="002A16FE">
        <w:rPr>
          <w:rFonts w:ascii="Arial" w:hAnsi="Arial" w:cs="Arial"/>
          <w:sz w:val="22"/>
          <w:szCs w:val="22"/>
        </w:rPr>
        <w:t>quienes,</w:t>
      </w:r>
      <w:r w:rsidR="00D2731A" w:rsidRPr="002A16FE">
        <w:rPr>
          <w:rFonts w:ascii="Arial" w:hAnsi="Arial" w:cs="Arial"/>
          <w:sz w:val="22"/>
          <w:szCs w:val="22"/>
        </w:rPr>
        <w:t xml:space="preserve"> a lo largo de los últimos </w:t>
      </w:r>
      <w:r w:rsidR="0019659E" w:rsidRPr="002A16FE">
        <w:rPr>
          <w:rFonts w:ascii="Arial" w:hAnsi="Arial" w:cs="Arial"/>
          <w:sz w:val="22"/>
          <w:szCs w:val="22"/>
        </w:rPr>
        <w:t xml:space="preserve">años, han desarrollado </w:t>
      </w:r>
      <w:r w:rsidR="00C835A4" w:rsidRPr="002A16FE">
        <w:rPr>
          <w:rFonts w:ascii="Arial" w:hAnsi="Arial" w:cs="Arial"/>
          <w:sz w:val="22"/>
          <w:szCs w:val="22"/>
        </w:rPr>
        <w:t>políticas públicas e instrumentos normativos</w:t>
      </w:r>
      <w:r w:rsidR="007E292F" w:rsidRPr="002A16FE">
        <w:rPr>
          <w:rFonts w:ascii="Arial" w:hAnsi="Arial" w:cs="Arial"/>
          <w:sz w:val="22"/>
          <w:szCs w:val="22"/>
        </w:rPr>
        <w:t xml:space="preserve"> </w:t>
      </w:r>
      <w:r w:rsidR="002E0DFA">
        <w:rPr>
          <w:rFonts w:ascii="Arial" w:hAnsi="Arial" w:cs="Arial"/>
          <w:sz w:val="22"/>
          <w:szCs w:val="22"/>
        </w:rPr>
        <w:t>para</w:t>
      </w:r>
      <w:r w:rsidR="00C835A4" w:rsidRPr="002A16FE">
        <w:rPr>
          <w:rFonts w:ascii="Arial" w:hAnsi="Arial" w:cs="Arial"/>
          <w:sz w:val="22"/>
          <w:szCs w:val="22"/>
        </w:rPr>
        <w:t xml:space="preserve"> </w:t>
      </w:r>
      <w:r w:rsidR="009C1C42" w:rsidRPr="002A16FE">
        <w:rPr>
          <w:rFonts w:ascii="Arial" w:hAnsi="Arial" w:cs="Arial"/>
          <w:sz w:val="22"/>
          <w:szCs w:val="22"/>
        </w:rPr>
        <w:t>promover la paz, la convivencia pacífica, la realización de la justicia material y la</w:t>
      </w:r>
      <w:r w:rsidR="00C835A4" w:rsidRPr="002A16FE">
        <w:rPr>
          <w:rFonts w:ascii="Arial" w:hAnsi="Arial" w:cs="Arial"/>
          <w:sz w:val="22"/>
          <w:szCs w:val="22"/>
        </w:rPr>
        <w:t xml:space="preserve"> garantía del orden público. </w:t>
      </w:r>
      <w:r w:rsidR="009C1C42" w:rsidRPr="002A16FE">
        <w:rPr>
          <w:rFonts w:ascii="Arial" w:hAnsi="Arial" w:cs="Arial"/>
          <w:sz w:val="22"/>
          <w:szCs w:val="22"/>
        </w:rPr>
        <w:t xml:space="preserve"> </w:t>
      </w:r>
    </w:p>
    <w:p w14:paraId="6C528B4A" w14:textId="77E791AD" w:rsidR="0099758F" w:rsidRPr="002A16FE" w:rsidRDefault="00E17182" w:rsidP="0003095D">
      <w:pPr>
        <w:pStyle w:val="NormalWeb"/>
        <w:spacing w:before="0" w:beforeAutospacing="0" w:after="120" w:afterAutospacing="0" w:line="276" w:lineRule="auto"/>
        <w:ind w:firstLine="709"/>
        <w:jc w:val="both"/>
        <w:rPr>
          <w:rFonts w:ascii="Arial" w:hAnsi="Arial" w:cs="Arial"/>
          <w:sz w:val="22"/>
          <w:szCs w:val="22"/>
        </w:rPr>
      </w:pPr>
      <w:r w:rsidRPr="002A16FE">
        <w:rPr>
          <w:rFonts w:ascii="Arial" w:hAnsi="Arial" w:cs="Arial"/>
          <w:sz w:val="22"/>
          <w:szCs w:val="22"/>
        </w:rPr>
        <w:t>Dentro de ese marco el Congreso de la República expidió la Ley 418 de 1997</w:t>
      </w:r>
      <w:r w:rsidR="002E0DFA">
        <w:rPr>
          <w:rFonts w:ascii="Arial" w:hAnsi="Arial" w:cs="Arial"/>
          <w:sz w:val="22"/>
          <w:szCs w:val="22"/>
        </w:rPr>
        <w:t>,</w:t>
      </w:r>
      <w:r w:rsidR="00230CBF" w:rsidRPr="002A16FE">
        <w:rPr>
          <w:rFonts w:ascii="Arial" w:hAnsi="Arial" w:cs="Arial"/>
          <w:sz w:val="22"/>
          <w:szCs w:val="22"/>
        </w:rPr>
        <w:t xml:space="preserve"> </w:t>
      </w:r>
      <w:r w:rsidR="00230CBF" w:rsidRPr="002A16FE">
        <w:rPr>
          <w:rFonts w:ascii="Arial" w:hAnsi="Arial" w:cs="Arial"/>
          <w:i/>
          <w:iCs/>
          <w:sz w:val="22"/>
          <w:szCs w:val="22"/>
        </w:rPr>
        <w:t>«Por la cual se consagran unos instrumentos para la búsqueda de la convivencia, la eficacia de la justicia y se dictan otras disposiciones»</w:t>
      </w:r>
      <w:r w:rsidR="00662627" w:rsidRPr="002A16FE">
        <w:rPr>
          <w:rFonts w:ascii="Arial" w:hAnsi="Arial" w:cs="Arial"/>
          <w:sz w:val="22"/>
          <w:szCs w:val="22"/>
        </w:rPr>
        <w:t xml:space="preserve">. Dicha ley </w:t>
      </w:r>
      <w:r w:rsidR="00933649" w:rsidRPr="002A16FE">
        <w:rPr>
          <w:rFonts w:ascii="Arial" w:hAnsi="Arial" w:cs="Arial"/>
          <w:sz w:val="22"/>
          <w:szCs w:val="22"/>
        </w:rPr>
        <w:t xml:space="preserve">tiene dos ejes fundamentales: por un </w:t>
      </w:r>
      <w:r w:rsidR="00933649" w:rsidRPr="002A16FE">
        <w:rPr>
          <w:rFonts w:ascii="Arial" w:hAnsi="Arial" w:cs="Arial"/>
          <w:sz w:val="22"/>
          <w:szCs w:val="22"/>
        </w:rPr>
        <w:lastRenderedPageBreak/>
        <w:t>lado, establece los mecanismos que permiten</w:t>
      </w:r>
      <w:r w:rsidR="00814A62" w:rsidRPr="002A16FE">
        <w:rPr>
          <w:rFonts w:ascii="Arial" w:hAnsi="Arial" w:cs="Arial"/>
          <w:sz w:val="22"/>
          <w:szCs w:val="22"/>
        </w:rPr>
        <w:t xml:space="preserve"> </w:t>
      </w:r>
      <w:r w:rsidR="00933649" w:rsidRPr="002A16FE">
        <w:rPr>
          <w:rFonts w:ascii="Arial" w:hAnsi="Arial" w:cs="Arial"/>
          <w:sz w:val="22"/>
          <w:szCs w:val="22"/>
        </w:rPr>
        <w:t>adelantar una política de diálogo y reconciliación y,</w:t>
      </w:r>
      <w:r w:rsidR="00814A62" w:rsidRPr="002A16FE">
        <w:rPr>
          <w:rFonts w:ascii="Arial" w:hAnsi="Arial" w:cs="Arial"/>
          <w:sz w:val="22"/>
          <w:szCs w:val="22"/>
        </w:rPr>
        <w:t xml:space="preserve"> </w:t>
      </w:r>
      <w:r w:rsidR="00933649" w:rsidRPr="002A16FE">
        <w:rPr>
          <w:rFonts w:ascii="Arial" w:hAnsi="Arial" w:cs="Arial"/>
          <w:sz w:val="22"/>
          <w:szCs w:val="22"/>
        </w:rPr>
        <w:t xml:space="preserve">por otro, </w:t>
      </w:r>
      <w:r w:rsidR="00B06E75" w:rsidRPr="002A16FE">
        <w:rPr>
          <w:rFonts w:ascii="Arial" w:hAnsi="Arial" w:cs="Arial"/>
          <w:sz w:val="22"/>
          <w:szCs w:val="22"/>
        </w:rPr>
        <w:t>«</w:t>
      </w:r>
      <w:r w:rsidR="00933649" w:rsidRPr="002A16FE">
        <w:rPr>
          <w:rFonts w:ascii="Arial" w:hAnsi="Arial" w:cs="Arial"/>
          <w:sz w:val="22"/>
          <w:szCs w:val="22"/>
        </w:rPr>
        <w:t>brinda instrumentos para el fortalecimiento</w:t>
      </w:r>
      <w:r w:rsidR="00814A62" w:rsidRPr="002A16FE">
        <w:rPr>
          <w:rFonts w:ascii="Arial" w:hAnsi="Arial" w:cs="Arial"/>
          <w:sz w:val="22"/>
          <w:szCs w:val="22"/>
        </w:rPr>
        <w:t xml:space="preserve"> </w:t>
      </w:r>
      <w:r w:rsidR="00933649" w:rsidRPr="002A16FE">
        <w:rPr>
          <w:rFonts w:ascii="Arial" w:hAnsi="Arial" w:cs="Arial"/>
          <w:sz w:val="22"/>
          <w:szCs w:val="22"/>
        </w:rPr>
        <w:t>institucional en diversas áreas como la seguridad</w:t>
      </w:r>
      <w:r w:rsidR="00814A62" w:rsidRPr="002A16FE">
        <w:rPr>
          <w:rFonts w:ascii="Arial" w:hAnsi="Arial" w:cs="Arial"/>
          <w:sz w:val="22"/>
          <w:szCs w:val="22"/>
        </w:rPr>
        <w:t xml:space="preserve"> </w:t>
      </w:r>
      <w:r w:rsidR="00933649" w:rsidRPr="002A16FE">
        <w:rPr>
          <w:rFonts w:ascii="Arial" w:hAnsi="Arial" w:cs="Arial"/>
          <w:sz w:val="22"/>
          <w:szCs w:val="22"/>
        </w:rPr>
        <w:t>ciudadana y la preservación del orden público</w:t>
      </w:r>
      <w:r w:rsidR="00B06E75" w:rsidRPr="002A16FE">
        <w:rPr>
          <w:rFonts w:ascii="Arial" w:hAnsi="Arial" w:cs="Arial"/>
          <w:sz w:val="22"/>
          <w:szCs w:val="22"/>
        </w:rPr>
        <w:t>»</w:t>
      </w:r>
      <w:r w:rsidR="00B06E75" w:rsidRPr="002A16FE">
        <w:rPr>
          <w:rStyle w:val="Refdenotaalpie"/>
          <w:rFonts w:ascii="Arial" w:hAnsi="Arial" w:cs="Arial"/>
          <w:sz w:val="22"/>
          <w:szCs w:val="22"/>
        </w:rPr>
        <w:footnoteReference w:id="16"/>
      </w:r>
      <w:r w:rsidR="00933649" w:rsidRPr="002A16FE">
        <w:rPr>
          <w:rFonts w:ascii="Arial" w:hAnsi="Arial" w:cs="Arial"/>
          <w:sz w:val="22"/>
          <w:szCs w:val="22"/>
        </w:rPr>
        <w:t>.</w:t>
      </w:r>
      <w:r w:rsidR="003A0F76" w:rsidRPr="002A16FE">
        <w:rPr>
          <w:rFonts w:ascii="Arial" w:hAnsi="Arial" w:cs="Arial"/>
          <w:sz w:val="22"/>
          <w:szCs w:val="22"/>
        </w:rPr>
        <w:t xml:space="preserve"> </w:t>
      </w:r>
      <w:r w:rsidR="00CD5685" w:rsidRPr="002A16FE">
        <w:rPr>
          <w:rFonts w:ascii="Arial" w:hAnsi="Arial" w:cs="Arial"/>
          <w:sz w:val="22"/>
          <w:szCs w:val="22"/>
        </w:rPr>
        <w:t>En línea</w:t>
      </w:r>
      <w:r w:rsidR="00205E68" w:rsidRPr="002A16FE">
        <w:rPr>
          <w:rFonts w:ascii="Arial" w:hAnsi="Arial" w:cs="Arial"/>
          <w:sz w:val="22"/>
          <w:szCs w:val="22"/>
        </w:rPr>
        <w:t xml:space="preserve"> con</w:t>
      </w:r>
      <w:r w:rsidR="00F431A0" w:rsidRPr="002A16FE">
        <w:rPr>
          <w:rFonts w:ascii="Arial" w:hAnsi="Arial" w:cs="Arial"/>
          <w:sz w:val="22"/>
          <w:szCs w:val="22"/>
        </w:rPr>
        <w:t xml:space="preserve"> los objetivos</w:t>
      </w:r>
      <w:r w:rsidR="00205E68" w:rsidRPr="002A16FE">
        <w:rPr>
          <w:rFonts w:ascii="Arial" w:hAnsi="Arial" w:cs="Arial"/>
          <w:sz w:val="22"/>
          <w:szCs w:val="22"/>
        </w:rPr>
        <w:t xml:space="preserve"> generales de la ley</w:t>
      </w:r>
      <w:r w:rsidR="001662F3">
        <w:rPr>
          <w:rFonts w:ascii="Arial" w:hAnsi="Arial" w:cs="Arial"/>
          <w:sz w:val="22"/>
          <w:szCs w:val="22"/>
        </w:rPr>
        <w:t>,</w:t>
      </w:r>
      <w:r w:rsidR="00071CD0">
        <w:rPr>
          <w:rFonts w:ascii="Arial" w:hAnsi="Arial" w:cs="Arial"/>
          <w:sz w:val="22"/>
          <w:szCs w:val="22"/>
        </w:rPr>
        <w:t xml:space="preserve"> </w:t>
      </w:r>
      <w:r w:rsidR="00205E68" w:rsidRPr="002A16FE">
        <w:rPr>
          <w:rFonts w:ascii="Arial" w:hAnsi="Arial" w:cs="Arial"/>
          <w:sz w:val="22"/>
          <w:szCs w:val="22"/>
        </w:rPr>
        <w:t>entre los</w:t>
      </w:r>
      <w:r w:rsidR="00457B35" w:rsidRPr="002A16FE">
        <w:rPr>
          <w:rFonts w:ascii="Arial" w:hAnsi="Arial" w:cs="Arial"/>
          <w:sz w:val="22"/>
          <w:szCs w:val="22"/>
        </w:rPr>
        <w:t xml:space="preserve"> principales asuntos regulados por </w:t>
      </w:r>
      <w:r w:rsidR="004004C0" w:rsidRPr="002A16FE">
        <w:rPr>
          <w:rFonts w:ascii="Arial" w:hAnsi="Arial" w:cs="Arial"/>
          <w:sz w:val="22"/>
          <w:szCs w:val="22"/>
        </w:rPr>
        <w:t>esta</w:t>
      </w:r>
      <w:r w:rsidR="001662F3">
        <w:rPr>
          <w:rFonts w:ascii="Arial" w:hAnsi="Arial" w:cs="Arial"/>
          <w:sz w:val="22"/>
          <w:szCs w:val="22"/>
        </w:rPr>
        <w:t xml:space="preserve"> se</w:t>
      </w:r>
      <w:r w:rsidR="004004C0" w:rsidRPr="002A16FE">
        <w:rPr>
          <w:rFonts w:ascii="Arial" w:hAnsi="Arial" w:cs="Arial"/>
          <w:sz w:val="22"/>
          <w:szCs w:val="22"/>
        </w:rPr>
        <w:t xml:space="preserve"> </w:t>
      </w:r>
      <w:r w:rsidR="00CD5685" w:rsidRPr="002A16FE">
        <w:rPr>
          <w:rFonts w:ascii="Arial" w:hAnsi="Arial" w:cs="Arial"/>
          <w:sz w:val="22"/>
          <w:szCs w:val="22"/>
        </w:rPr>
        <w:t>destaca la competencia del Gobierno Nacional para adelantar negociaciones de paz con grupos armados al margen de la ley</w:t>
      </w:r>
      <w:r w:rsidR="00071CD0" w:rsidRPr="002A16FE">
        <w:rPr>
          <w:rStyle w:val="Refdenotaalpie"/>
          <w:rFonts w:ascii="Arial" w:hAnsi="Arial" w:cs="Arial"/>
          <w:sz w:val="22"/>
          <w:szCs w:val="22"/>
        </w:rPr>
        <w:footnoteReference w:id="17"/>
      </w:r>
      <w:r w:rsidR="0099758F" w:rsidRPr="002A16FE">
        <w:rPr>
          <w:rFonts w:ascii="Arial" w:hAnsi="Arial" w:cs="Arial"/>
          <w:sz w:val="22"/>
          <w:szCs w:val="22"/>
        </w:rPr>
        <w:t xml:space="preserve">. </w:t>
      </w:r>
    </w:p>
    <w:p w14:paraId="5EFA5260" w14:textId="54561C3B" w:rsidR="00CF4AE9" w:rsidRPr="002A16FE" w:rsidRDefault="00895776" w:rsidP="00B1702F">
      <w:pPr>
        <w:pStyle w:val="NormalWeb"/>
        <w:spacing w:before="0" w:beforeAutospacing="0" w:after="120" w:afterAutospacing="0" w:line="276" w:lineRule="auto"/>
        <w:ind w:firstLine="709"/>
        <w:jc w:val="both"/>
        <w:rPr>
          <w:rFonts w:ascii="Arial" w:hAnsi="Arial" w:cs="Arial"/>
          <w:sz w:val="22"/>
          <w:szCs w:val="22"/>
        </w:rPr>
      </w:pPr>
      <w:r w:rsidRPr="002A16FE">
        <w:rPr>
          <w:rFonts w:ascii="Arial" w:hAnsi="Arial" w:cs="Arial"/>
          <w:sz w:val="22"/>
          <w:szCs w:val="22"/>
        </w:rPr>
        <w:t xml:space="preserve">En su </w:t>
      </w:r>
      <w:r w:rsidR="00071CD0">
        <w:rPr>
          <w:rFonts w:ascii="Arial" w:hAnsi="Arial" w:cs="Arial"/>
          <w:i/>
          <w:iCs/>
          <w:sz w:val="22"/>
          <w:szCs w:val="22"/>
        </w:rPr>
        <w:t>p</w:t>
      </w:r>
      <w:r w:rsidRPr="002A16FE">
        <w:rPr>
          <w:rFonts w:ascii="Arial" w:hAnsi="Arial" w:cs="Arial"/>
          <w:i/>
          <w:iCs/>
          <w:sz w:val="22"/>
          <w:szCs w:val="22"/>
        </w:rPr>
        <w:t>arte general</w:t>
      </w:r>
      <w:r w:rsidR="006276FE" w:rsidRPr="002A16FE">
        <w:rPr>
          <w:rFonts w:ascii="Arial" w:hAnsi="Arial" w:cs="Arial"/>
          <w:sz w:val="22"/>
          <w:szCs w:val="22"/>
        </w:rPr>
        <w:t>, la Ley 418 de 1997, regula</w:t>
      </w:r>
      <w:r w:rsidR="000412B4" w:rsidRPr="002A16FE">
        <w:rPr>
          <w:rFonts w:ascii="Arial" w:hAnsi="Arial" w:cs="Arial"/>
          <w:sz w:val="22"/>
          <w:szCs w:val="22"/>
        </w:rPr>
        <w:t xml:space="preserve"> aspectos relativos a</w:t>
      </w:r>
      <w:r w:rsidR="006276FE" w:rsidRPr="002A16FE">
        <w:rPr>
          <w:rFonts w:ascii="Arial" w:hAnsi="Arial" w:cs="Arial"/>
          <w:sz w:val="22"/>
          <w:szCs w:val="22"/>
        </w:rPr>
        <w:t xml:space="preserve"> </w:t>
      </w:r>
      <w:r w:rsidR="007444B3" w:rsidRPr="002A16FE">
        <w:rPr>
          <w:rFonts w:ascii="Arial" w:hAnsi="Arial" w:cs="Arial"/>
          <w:sz w:val="22"/>
          <w:szCs w:val="22"/>
        </w:rPr>
        <w:t xml:space="preserve">instrumentos para la </w:t>
      </w:r>
      <w:r w:rsidR="005B6DCA" w:rsidRPr="002A16FE">
        <w:rPr>
          <w:rFonts w:ascii="Arial" w:hAnsi="Arial" w:cs="Arial"/>
          <w:sz w:val="22"/>
          <w:szCs w:val="22"/>
        </w:rPr>
        <w:t>búsqueda</w:t>
      </w:r>
      <w:r w:rsidR="007444B3" w:rsidRPr="002A16FE">
        <w:rPr>
          <w:rFonts w:ascii="Arial" w:hAnsi="Arial" w:cs="Arial"/>
          <w:sz w:val="22"/>
          <w:szCs w:val="22"/>
        </w:rPr>
        <w:t xml:space="preserve"> de la convivencia</w:t>
      </w:r>
      <w:r w:rsidR="007444B3" w:rsidRPr="002A16FE">
        <w:rPr>
          <w:rStyle w:val="Refdenotaalpie"/>
          <w:rFonts w:ascii="Arial" w:hAnsi="Arial" w:cs="Arial"/>
          <w:sz w:val="22"/>
          <w:szCs w:val="22"/>
        </w:rPr>
        <w:footnoteReference w:id="18"/>
      </w:r>
      <w:r w:rsidR="005B6DCA" w:rsidRPr="002A16FE">
        <w:rPr>
          <w:rFonts w:ascii="Arial" w:hAnsi="Arial" w:cs="Arial"/>
          <w:sz w:val="22"/>
          <w:szCs w:val="22"/>
        </w:rPr>
        <w:t xml:space="preserve">, </w:t>
      </w:r>
      <w:r w:rsidR="00CB0FC0" w:rsidRPr="002A16FE">
        <w:rPr>
          <w:rFonts w:ascii="Arial" w:hAnsi="Arial" w:cs="Arial"/>
          <w:sz w:val="22"/>
          <w:szCs w:val="22"/>
        </w:rPr>
        <w:t xml:space="preserve">atención a </w:t>
      </w:r>
      <w:r w:rsidR="002D085B" w:rsidRPr="002A16FE">
        <w:rPr>
          <w:rFonts w:ascii="Arial" w:hAnsi="Arial" w:cs="Arial"/>
          <w:sz w:val="22"/>
          <w:szCs w:val="22"/>
        </w:rPr>
        <w:t>las víctimas de hechos violentos que se susciten en el marco del conflicto armado interno</w:t>
      </w:r>
      <w:r w:rsidR="00FC0D3F" w:rsidRPr="002A16FE">
        <w:rPr>
          <w:rStyle w:val="Refdenotaalpie"/>
          <w:rFonts w:ascii="Arial" w:hAnsi="Arial" w:cs="Arial"/>
          <w:sz w:val="22"/>
          <w:szCs w:val="22"/>
        </w:rPr>
        <w:footnoteReference w:id="19"/>
      </w:r>
      <w:r w:rsidR="00DA74FF" w:rsidRPr="002A16FE">
        <w:rPr>
          <w:rFonts w:ascii="Arial" w:hAnsi="Arial" w:cs="Arial"/>
          <w:sz w:val="22"/>
          <w:szCs w:val="22"/>
        </w:rPr>
        <w:t xml:space="preserve"> y</w:t>
      </w:r>
      <w:r w:rsidR="00A64BAB" w:rsidRPr="002A16FE">
        <w:rPr>
          <w:rFonts w:ascii="Arial" w:hAnsi="Arial" w:cs="Arial"/>
          <w:sz w:val="22"/>
          <w:szCs w:val="22"/>
        </w:rPr>
        <w:t xml:space="preserve"> la</w:t>
      </w:r>
      <w:r w:rsidR="001A178F" w:rsidRPr="002A16FE">
        <w:rPr>
          <w:rFonts w:ascii="Arial" w:hAnsi="Arial" w:cs="Arial"/>
          <w:b/>
          <w:bCs/>
          <w:sz w:val="22"/>
          <w:szCs w:val="22"/>
        </w:rPr>
        <w:t xml:space="preserve"> </w:t>
      </w:r>
      <w:r w:rsidR="001A178F" w:rsidRPr="002A16FE">
        <w:rPr>
          <w:rFonts w:ascii="Arial" w:hAnsi="Arial" w:cs="Arial"/>
          <w:sz w:val="22"/>
          <w:szCs w:val="22"/>
        </w:rPr>
        <w:t>extinción de la acción</w:t>
      </w:r>
      <w:r w:rsidR="0003095D" w:rsidRPr="002A16FE">
        <w:rPr>
          <w:rFonts w:ascii="Arial" w:hAnsi="Arial" w:cs="Arial"/>
          <w:sz w:val="22"/>
          <w:szCs w:val="22"/>
        </w:rPr>
        <w:t xml:space="preserve"> penal</w:t>
      </w:r>
      <w:r w:rsidR="001A178F" w:rsidRPr="002A16FE">
        <w:rPr>
          <w:rFonts w:ascii="Arial" w:hAnsi="Arial" w:cs="Arial"/>
          <w:sz w:val="22"/>
          <w:szCs w:val="22"/>
        </w:rPr>
        <w:t xml:space="preserve"> y de la pena en casos de delitos políticos</w:t>
      </w:r>
      <w:r w:rsidR="00A64BAB" w:rsidRPr="002A16FE">
        <w:rPr>
          <w:rStyle w:val="Refdenotaalpie"/>
          <w:rFonts w:ascii="Arial" w:hAnsi="Arial" w:cs="Arial"/>
          <w:sz w:val="22"/>
          <w:szCs w:val="22"/>
        </w:rPr>
        <w:footnoteReference w:id="20"/>
      </w:r>
      <w:r w:rsidR="00DA74FF" w:rsidRPr="002A16FE">
        <w:rPr>
          <w:rFonts w:ascii="Arial" w:hAnsi="Arial" w:cs="Arial"/>
          <w:sz w:val="22"/>
          <w:szCs w:val="22"/>
        </w:rPr>
        <w:t xml:space="preserve">. En su segunda parte, titulada </w:t>
      </w:r>
      <w:r w:rsidR="008D6F99">
        <w:rPr>
          <w:rFonts w:ascii="Arial" w:hAnsi="Arial" w:cs="Arial"/>
          <w:i/>
          <w:iCs/>
          <w:sz w:val="22"/>
          <w:szCs w:val="22"/>
        </w:rPr>
        <w:t>m</w:t>
      </w:r>
      <w:r w:rsidR="00CD29A0" w:rsidRPr="002A16FE">
        <w:rPr>
          <w:rFonts w:ascii="Arial" w:hAnsi="Arial" w:cs="Arial"/>
          <w:i/>
          <w:iCs/>
          <w:sz w:val="22"/>
          <w:szCs w:val="22"/>
        </w:rPr>
        <w:t xml:space="preserve">ecanismos para la eficacia de la </w:t>
      </w:r>
      <w:r w:rsidR="006A3F9E">
        <w:rPr>
          <w:rFonts w:ascii="Arial" w:hAnsi="Arial" w:cs="Arial"/>
          <w:i/>
          <w:iCs/>
          <w:sz w:val="22"/>
          <w:szCs w:val="22"/>
        </w:rPr>
        <w:t>j</w:t>
      </w:r>
      <w:r w:rsidR="00CD29A0" w:rsidRPr="002A16FE">
        <w:rPr>
          <w:rFonts w:ascii="Arial" w:hAnsi="Arial" w:cs="Arial"/>
          <w:i/>
          <w:iCs/>
          <w:sz w:val="22"/>
          <w:szCs w:val="22"/>
        </w:rPr>
        <w:t>usticia</w:t>
      </w:r>
      <w:r w:rsidR="00CD29A0" w:rsidRPr="002A16FE">
        <w:rPr>
          <w:rFonts w:ascii="Arial" w:hAnsi="Arial" w:cs="Arial"/>
          <w:sz w:val="22"/>
          <w:szCs w:val="22"/>
        </w:rPr>
        <w:t xml:space="preserve">, la mencionada ley </w:t>
      </w:r>
      <w:r w:rsidR="004F29D8" w:rsidRPr="002A16FE">
        <w:rPr>
          <w:rFonts w:ascii="Arial" w:hAnsi="Arial" w:cs="Arial"/>
          <w:sz w:val="22"/>
          <w:szCs w:val="22"/>
        </w:rPr>
        <w:t>se refiere a</w:t>
      </w:r>
      <w:r w:rsidR="004F29D8" w:rsidRPr="002A16FE">
        <w:rPr>
          <w:rFonts w:ascii="Arial" w:hAnsi="Arial" w:cs="Arial"/>
          <w:b/>
          <w:bCs/>
          <w:sz w:val="22"/>
          <w:szCs w:val="22"/>
        </w:rPr>
        <w:t xml:space="preserve"> </w:t>
      </w:r>
      <w:r w:rsidR="004F29D8" w:rsidRPr="002A16FE">
        <w:rPr>
          <w:rFonts w:ascii="Arial" w:hAnsi="Arial" w:cs="Arial"/>
          <w:sz w:val="22"/>
          <w:szCs w:val="22"/>
        </w:rPr>
        <w:t xml:space="preserve">la </w:t>
      </w:r>
      <w:r w:rsidR="004F29D8" w:rsidRPr="002A16FE">
        <w:rPr>
          <w:rStyle w:val="Textoennegrita"/>
          <w:rFonts w:ascii="Arial" w:hAnsi="Arial" w:cs="Arial"/>
          <w:b w:val="0"/>
          <w:bCs w:val="0"/>
          <w:sz w:val="22"/>
          <w:szCs w:val="22"/>
        </w:rPr>
        <w:t>protección a intervinientes en el proceso penal</w:t>
      </w:r>
      <w:r w:rsidR="004F29D8" w:rsidRPr="002A16FE">
        <w:rPr>
          <w:rStyle w:val="Refdenotaalpie"/>
          <w:rFonts w:ascii="Arial" w:hAnsi="Arial" w:cs="Arial"/>
          <w:sz w:val="22"/>
          <w:szCs w:val="22"/>
        </w:rPr>
        <w:footnoteReference w:id="21"/>
      </w:r>
      <w:r w:rsidR="000B2F40" w:rsidRPr="002A16FE">
        <w:rPr>
          <w:rStyle w:val="Textoennegrita"/>
          <w:rFonts w:ascii="Arial" w:hAnsi="Arial" w:cs="Arial"/>
          <w:b w:val="0"/>
          <w:bCs w:val="0"/>
          <w:sz w:val="22"/>
          <w:szCs w:val="22"/>
        </w:rPr>
        <w:t xml:space="preserve">, </w:t>
      </w:r>
      <w:r w:rsidR="001D284A" w:rsidRPr="002A16FE">
        <w:rPr>
          <w:rStyle w:val="Textoennegrita"/>
          <w:rFonts w:ascii="Arial" w:hAnsi="Arial" w:cs="Arial"/>
          <w:b w:val="0"/>
          <w:bCs w:val="0"/>
          <w:sz w:val="22"/>
          <w:szCs w:val="22"/>
        </w:rPr>
        <w:t>el c</w:t>
      </w:r>
      <w:r w:rsidR="00D2402A" w:rsidRPr="002A16FE">
        <w:rPr>
          <w:rStyle w:val="Textoennegrita"/>
          <w:rFonts w:ascii="Arial" w:hAnsi="Arial" w:cs="Arial"/>
          <w:b w:val="0"/>
          <w:bCs w:val="0"/>
          <w:sz w:val="22"/>
          <w:szCs w:val="22"/>
        </w:rPr>
        <w:t>ontrol sobre el uso de los recursos de las entidades territoriales o administradas por estas</w:t>
      </w:r>
      <w:r w:rsidR="001D284A" w:rsidRPr="002A16FE">
        <w:rPr>
          <w:rStyle w:val="Refdenotaalpie"/>
          <w:rFonts w:ascii="Arial" w:hAnsi="Arial" w:cs="Arial"/>
          <w:sz w:val="22"/>
          <w:szCs w:val="22"/>
        </w:rPr>
        <w:footnoteReference w:id="22"/>
      </w:r>
      <w:r w:rsidR="001D284A" w:rsidRPr="002A16FE">
        <w:rPr>
          <w:rStyle w:val="Textoennegrita"/>
          <w:rFonts w:ascii="Arial" w:hAnsi="Arial" w:cs="Arial"/>
          <w:b w:val="0"/>
          <w:bCs w:val="0"/>
          <w:sz w:val="22"/>
          <w:szCs w:val="22"/>
        </w:rPr>
        <w:t>, la posibilidad de impone</w:t>
      </w:r>
      <w:r w:rsidR="00E90575" w:rsidRPr="002A16FE">
        <w:rPr>
          <w:rStyle w:val="Textoennegrita"/>
          <w:rFonts w:ascii="Arial" w:hAnsi="Arial" w:cs="Arial"/>
          <w:b w:val="0"/>
          <w:bCs w:val="0"/>
          <w:sz w:val="22"/>
          <w:szCs w:val="22"/>
        </w:rPr>
        <w:t>r</w:t>
      </w:r>
      <w:r w:rsidR="001D284A" w:rsidRPr="002A16FE">
        <w:rPr>
          <w:rStyle w:val="Textoennegrita"/>
          <w:rFonts w:ascii="Arial" w:hAnsi="Arial" w:cs="Arial"/>
          <w:b w:val="0"/>
          <w:bCs w:val="0"/>
          <w:sz w:val="22"/>
          <w:szCs w:val="22"/>
        </w:rPr>
        <w:t xml:space="preserve"> sanciones a c</w:t>
      </w:r>
      <w:r w:rsidR="00F44AEC" w:rsidRPr="002A16FE">
        <w:rPr>
          <w:rStyle w:val="Textoennegrita"/>
          <w:rFonts w:ascii="Arial" w:hAnsi="Arial" w:cs="Arial"/>
          <w:b w:val="0"/>
          <w:bCs w:val="0"/>
          <w:sz w:val="22"/>
          <w:szCs w:val="22"/>
        </w:rPr>
        <w:t>ontratistas</w:t>
      </w:r>
      <w:r w:rsidR="00F44AEC" w:rsidRPr="002A16FE">
        <w:rPr>
          <w:rStyle w:val="Refdenotaalpie"/>
          <w:rFonts w:ascii="Arial" w:hAnsi="Arial" w:cs="Arial"/>
          <w:sz w:val="22"/>
          <w:szCs w:val="22"/>
        </w:rPr>
        <w:footnoteReference w:id="23"/>
      </w:r>
      <w:r w:rsidR="003761BE" w:rsidRPr="002A16FE">
        <w:rPr>
          <w:rStyle w:val="Textoennegrita"/>
          <w:rFonts w:ascii="Arial" w:hAnsi="Arial" w:cs="Arial"/>
          <w:b w:val="0"/>
          <w:bCs w:val="0"/>
          <w:sz w:val="22"/>
          <w:szCs w:val="22"/>
        </w:rPr>
        <w:t xml:space="preserve">, el </w:t>
      </w:r>
      <w:r w:rsidR="003761BE" w:rsidRPr="002A16FE">
        <w:rPr>
          <w:rFonts w:ascii="Arial" w:hAnsi="Arial" w:cs="Arial"/>
          <w:sz w:val="22"/>
          <w:szCs w:val="22"/>
        </w:rPr>
        <w:t>e</w:t>
      </w:r>
      <w:r w:rsidR="00BB671A" w:rsidRPr="002A16FE">
        <w:rPr>
          <w:rFonts w:ascii="Arial" w:hAnsi="Arial" w:cs="Arial"/>
          <w:sz w:val="22"/>
          <w:szCs w:val="22"/>
        </w:rPr>
        <w:t xml:space="preserve">mbargo preventivo y extinción del derecho de dominio de bienes vinculados a la </w:t>
      </w:r>
      <w:r w:rsidR="003761BE" w:rsidRPr="002A16FE">
        <w:rPr>
          <w:rFonts w:ascii="Arial" w:hAnsi="Arial" w:cs="Arial"/>
          <w:sz w:val="22"/>
          <w:szCs w:val="22"/>
        </w:rPr>
        <w:t>c</w:t>
      </w:r>
      <w:r w:rsidR="00BB671A" w:rsidRPr="002A16FE">
        <w:rPr>
          <w:rFonts w:ascii="Arial" w:hAnsi="Arial" w:cs="Arial"/>
          <w:sz w:val="22"/>
          <w:szCs w:val="22"/>
        </w:rPr>
        <w:t xml:space="preserve">omisión de </w:t>
      </w:r>
      <w:r w:rsidR="003761BE" w:rsidRPr="002A16FE">
        <w:rPr>
          <w:rFonts w:ascii="Arial" w:hAnsi="Arial" w:cs="Arial"/>
          <w:sz w:val="22"/>
          <w:szCs w:val="22"/>
        </w:rPr>
        <w:t>d</w:t>
      </w:r>
      <w:r w:rsidR="00BB671A" w:rsidRPr="002A16FE">
        <w:rPr>
          <w:rFonts w:ascii="Arial" w:hAnsi="Arial" w:cs="Arial"/>
          <w:sz w:val="22"/>
          <w:szCs w:val="22"/>
        </w:rPr>
        <w:t>elitos</w:t>
      </w:r>
      <w:r w:rsidR="003761BE" w:rsidRPr="002A16FE">
        <w:rPr>
          <w:rStyle w:val="Refdenotaalpie"/>
          <w:rFonts w:ascii="Arial" w:hAnsi="Arial" w:cs="Arial"/>
          <w:sz w:val="22"/>
          <w:szCs w:val="22"/>
        </w:rPr>
        <w:footnoteReference w:id="24"/>
      </w:r>
      <w:r w:rsidR="005735F5" w:rsidRPr="002A16FE">
        <w:rPr>
          <w:rFonts w:ascii="Arial" w:hAnsi="Arial" w:cs="Arial"/>
          <w:sz w:val="22"/>
          <w:szCs w:val="22"/>
        </w:rPr>
        <w:t>, s</w:t>
      </w:r>
      <w:r w:rsidR="00F1516C" w:rsidRPr="002A16FE">
        <w:rPr>
          <w:rStyle w:val="Textoennegrita"/>
          <w:rFonts w:ascii="Arial" w:hAnsi="Arial" w:cs="Arial"/>
          <w:b w:val="0"/>
          <w:bCs w:val="0"/>
          <w:sz w:val="22"/>
          <w:szCs w:val="22"/>
        </w:rPr>
        <w:t>istema</w:t>
      </w:r>
      <w:r w:rsidR="005735F5" w:rsidRPr="002A16FE">
        <w:rPr>
          <w:rStyle w:val="Textoennegrita"/>
          <w:rFonts w:ascii="Arial" w:hAnsi="Arial" w:cs="Arial"/>
          <w:b w:val="0"/>
          <w:bCs w:val="0"/>
          <w:sz w:val="22"/>
          <w:szCs w:val="22"/>
        </w:rPr>
        <w:t>s</w:t>
      </w:r>
      <w:r w:rsidR="00F1516C" w:rsidRPr="002A16FE">
        <w:rPr>
          <w:rStyle w:val="Textoennegrita"/>
          <w:rFonts w:ascii="Arial" w:hAnsi="Arial" w:cs="Arial"/>
          <w:b w:val="0"/>
          <w:bCs w:val="0"/>
          <w:sz w:val="22"/>
          <w:szCs w:val="22"/>
        </w:rPr>
        <w:t xml:space="preserve"> de radiocomunicaciones</w:t>
      </w:r>
      <w:r w:rsidR="005735F5" w:rsidRPr="002A16FE">
        <w:rPr>
          <w:rStyle w:val="Refdenotaalpie"/>
          <w:rFonts w:ascii="Arial" w:hAnsi="Arial" w:cs="Arial"/>
          <w:sz w:val="22"/>
          <w:szCs w:val="22"/>
        </w:rPr>
        <w:footnoteReference w:id="25"/>
      </w:r>
      <w:r w:rsidR="005735F5" w:rsidRPr="002A16FE">
        <w:rPr>
          <w:rStyle w:val="Textoennegrita"/>
          <w:rFonts w:ascii="Arial" w:hAnsi="Arial" w:cs="Arial"/>
          <w:b w:val="0"/>
          <w:bCs w:val="0"/>
          <w:sz w:val="22"/>
          <w:szCs w:val="22"/>
        </w:rPr>
        <w:t>,</w:t>
      </w:r>
      <w:r w:rsidR="005735F5" w:rsidRPr="002A16FE">
        <w:rPr>
          <w:rStyle w:val="Textoennegrita"/>
          <w:rFonts w:ascii="Arial" w:hAnsi="Arial" w:cs="Arial"/>
          <w:sz w:val="22"/>
          <w:szCs w:val="22"/>
        </w:rPr>
        <w:t xml:space="preserve"> </w:t>
      </w:r>
      <w:r w:rsidR="005735F5" w:rsidRPr="002A16FE">
        <w:rPr>
          <w:rFonts w:ascii="Arial" w:hAnsi="Arial" w:cs="Arial"/>
          <w:sz w:val="22"/>
          <w:szCs w:val="22"/>
        </w:rPr>
        <w:t xml:space="preserve">sanciones por incumplimiento de las órdenes </w:t>
      </w:r>
      <w:r w:rsidR="005735F5" w:rsidRPr="002A16FE">
        <w:rPr>
          <w:rFonts w:ascii="Arial" w:hAnsi="Arial" w:cs="Arial"/>
          <w:sz w:val="22"/>
          <w:szCs w:val="22"/>
        </w:rPr>
        <w:lastRenderedPageBreak/>
        <w:t>del Presidente de la República en materia de orden público</w:t>
      </w:r>
      <w:r w:rsidR="005735F5" w:rsidRPr="002A16FE">
        <w:rPr>
          <w:rStyle w:val="Refdenotaalpie"/>
          <w:rFonts w:ascii="Arial" w:hAnsi="Arial" w:cs="Arial"/>
          <w:sz w:val="22"/>
          <w:szCs w:val="22"/>
        </w:rPr>
        <w:footnoteReference w:id="26"/>
      </w:r>
      <w:r w:rsidR="005735F5" w:rsidRPr="002A16FE">
        <w:rPr>
          <w:rFonts w:ascii="Arial" w:hAnsi="Arial" w:cs="Arial"/>
          <w:sz w:val="22"/>
          <w:szCs w:val="22"/>
        </w:rPr>
        <w:t>,</w:t>
      </w:r>
      <w:r w:rsidR="00CF4AE9" w:rsidRPr="002A16FE">
        <w:rPr>
          <w:rStyle w:val="Textoennegrita"/>
          <w:rFonts w:ascii="Arial" w:hAnsi="Arial" w:cs="Arial"/>
          <w:sz w:val="22"/>
          <w:szCs w:val="22"/>
        </w:rPr>
        <w:t xml:space="preserve"> </w:t>
      </w:r>
      <w:r w:rsidR="005735F5" w:rsidRPr="002A16FE">
        <w:rPr>
          <w:rStyle w:val="Textoennegrita"/>
          <w:rFonts w:ascii="Arial" w:hAnsi="Arial" w:cs="Arial"/>
          <w:b w:val="0"/>
          <w:bCs w:val="0"/>
          <w:sz w:val="22"/>
          <w:szCs w:val="22"/>
        </w:rPr>
        <w:t>fuentes de financiación</w:t>
      </w:r>
      <w:r w:rsidR="00973A94" w:rsidRPr="002A16FE">
        <w:rPr>
          <w:rStyle w:val="Textoennegrita"/>
          <w:rFonts w:ascii="Arial" w:hAnsi="Arial" w:cs="Arial"/>
          <w:b w:val="0"/>
          <w:bCs w:val="0"/>
          <w:sz w:val="22"/>
          <w:szCs w:val="22"/>
        </w:rPr>
        <w:t xml:space="preserve"> de programas estatales</w:t>
      </w:r>
      <w:r w:rsidR="005735F5" w:rsidRPr="002A16FE">
        <w:rPr>
          <w:rStyle w:val="Refdenotaalpie"/>
          <w:rFonts w:ascii="Arial" w:hAnsi="Arial" w:cs="Arial"/>
          <w:sz w:val="22"/>
          <w:szCs w:val="22"/>
        </w:rPr>
        <w:footnoteReference w:id="27"/>
      </w:r>
      <w:r w:rsidR="0003095D" w:rsidRPr="002A16FE">
        <w:rPr>
          <w:rStyle w:val="Textoennegrita"/>
          <w:rFonts w:ascii="Arial" w:hAnsi="Arial" w:cs="Arial"/>
          <w:b w:val="0"/>
          <w:bCs w:val="0"/>
          <w:sz w:val="22"/>
          <w:szCs w:val="22"/>
        </w:rPr>
        <w:t xml:space="preserve"> y</w:t>
      </w:r>
      <w:r w:rsidR="006E7169" w:rsidRPr="002A16FE">
        <w:rPr>
          <w:rStyle w:val="Textoennegrita"/>
          <w:rFonts w:ascii="Arial" w:hAnsi="Arial" w:cs="Arial"/>
          <w:b w:val="0"/>
          <w:bCs w:val="0"/>
          <w:sz w:val="22"/>
          <w:szCs w:val="22"/>
        </w:rPr>
        <w:t xml:space="preserve"> normas sobre</w:t>
      </w:r>
      <w:r w:rsidR="00973A94" w:rsidRPr="002A16FE">
        <w:rPr>
          <w:rFonts w:ascii="Arial" w:hAnsi="Arial" w:cs="Arial"/>
          <w:sz w:val="22"/>
          <w:szCs w:val="22"/>
        </w:rPr>
        <w:t xml:space="preserve"> reservas y adjudicación de terrenos baldíos</w:t>
      </w:r>
      <w:r w:rsidR="00973A94" w:rsidRPr="002A16FE">
        <w:rPr>
          <w:rStyle w:val="Refdenotaalpie"/>
          <w:rFonts w:ascii="Arial" w:hAnsi="Arial" w:cs="Arial"/>
          <w:sz w:val="22"/>
          <w:szCs w:val="22"/>
        </w:rPr>
        <w:footnoteReference w:id="28"/>
      </w:r>
      <w:r w:rsidR="006E7169" w:rsidRPr="002A16FE">
        <w:rPr>
          <w:rFonts w:ascii="Arial" w:hAnsi="Arial" w:cs="Arial"/>
          <w:sz w:val="22"/>
          <w:szCs w:val="22"/>
        </w:rPr>
        <w:t xml:space="preserve">. </w:t>
      </w:r>
    </w:p>
    <w:p w14:paraId="6686584D" w14:textId="39886463" w:rsidR="006E7169" w:rsidRPr="002A16FE" w:rsidRDefault="006929AB" w:rsidP="006B4957">
      <w:pPr>
        <w:pStyle w:val="NormalWeb"/>
        <w:spacing w:before="0" w:beforeAutospacing="0" w:after="120" w:afterAutospacing="0" w:line="276" w:lineRule="auto"/>
        <w:jc w:val="both"/>
        <w:rPr>
          <w:rFonts w:ascii="Arial" w:hAnsi="Arial" w:cs="Arial"/>
          <w:sz w:val="22"/>
          <w:szCs w:val="22"/>
        </w:rPr>
      </w:pPr>
      <w:r w:rsidRPr="002A16FE">
        <w:rPr>
          <w:rFonts w:ascii="Arial" w:hAnsi="Arial" w:cs="Arial"/>
          <w:sz w:val="22"/>
          <w:szCs w:val="22"/>
        </w:rPr>
        <w:tab/>
        <w:t>La vigencia de esta ley, en principio,</w:t>
      </w:r>
      <w:r w:rsidR="00B826D5" w:rsidRPr="002A16FE">
        <w:rPr>
          <w:rFonts w:ascii="Arial" w:hAnsi="Arial" w:cs="Arial"/>
          <w:sz w:val="22"/>
          <w:szCs w:val="22"/>
        </w:rPr>
        <w:t xml:space="preserve"> </w:t>
      </w:r>
      <w:r w:rsidR="00CF286D" w:rsidRPr="002A16FE">
        <w:rPr>
          <w:rFonts w:ascii="Arial" w:hAnsi="Arial" w:cs="Arial"/>
          <w:sz w:val="22"/>
          <w:szCs w:val="22"/>
        </w:rPr>
        <w:t xml:space="preserve">se </w:t>
      </w:r>
      <w:r w:rsidR="00FA1192" w:rsidRPr="002A16FE">
        <w:rPr>
          <w:rFonts w:ascii="Arial" w:hAnsi="Arial" w:cs="Arial"/>
          <w:sz w:val="22"/>
          <w:szCs w:val="22"/>
        </w:rPr>
        <w:t>estableci</w:t>
      </w:r>
      <w:r w:rsidR="00CF286D" w:rsidRPr="002A16FE">
        <w:rPr>
          <w:rFonts w:ascii="Arial" w:hAnsi="Arial" w:cs="Arial"/>
          <w:sz w:val="22"/>
          <w:szCs w:val="22"/>
        </w:rPr>
        <w:t>ó para un término de dos a</w:t>
      </w:r>
      <w:r w:rsidR="00B1702F" w:rsidRPr="002A16FE">
        <w:rPr>
          <w:rFonts w:ascii="Arial" w:hAnsi="Arial" w:cs="Arial"/>
          <w:sz w:val="22"/>
          <w:szCs w:val="22"/>
        </w:rPr>
        <w:t>ños</w:t>
      </w:r>
      <w:r w:rsidR="00CF286D" w:rsidRPr="002A16FE">
        <w:rPr>
          <w:rFonts w:ascii="Arial" w:hAnsi="Arial" w:cs="Arial"/>
          <w:sz w:val="22"/>
          <w:szCs w:val="22"/>
        </w:rPr>
        <w:t xml:space="preserve"> </w:t>
      </w:r>
      <w:r w:rsidR="00E8153A" w:rsidRPr="002A16FE">
        <w:rPr>
          <w:rFonts w:ascii="Arial" w:hAnsi="Arial" w:cs="Arial"/>
          <w:sz w:val="22"/>
          <w:szCs w:val="22"/>
        </w:rPr>
        <w:t xml:space="preserve">contados a </w:t>
      </w:r>
      <w:r w:rsidR="00CF286D" w:rsidRPr="002A16FE">
        <w:rPr>
          <w:rFonts w:ascii="Arial" w:hAnsi="Arial" w:cs="Arial"/>
          <w:sz w:val="22"/>
          <w:szCs w:val="22"/>
        </w:rPr>
        <w:t>partir de su pro</w:t>
      </w:r>
      <w:r w:rsidR="00657507" w:rsidRPr="002A16FE">
        <w:rPr>
          <w:rFonts w:ascii="Arial" w:hAnsi="Arial" w:cs="Arial"/>
          <w:sz w:val="22"/>
          <w:szCs w:val="22"/>
        </w:rPr>
        <w:t>mulgación, ocurrida el 27 de diciembre de 1997, por lo que estaría vigente hasta 1999</w:t>
      </w:r>
      <w:r w:rsidR="00E8153A" w:rsidRPr="002A16FE">
        <w:rPr>
          <w:rStyle w:val="Refdenotaalpie"/>
          <w:rFonts w:ascii="Arial" w:hAnsi="Arial" w:cs="Arial"/>
          <w:sz w:val="22"/>
          <w:szCs w:val="22"/>
        </w:rPr>
        <w:footnoteReference w:id="29"/>
      </w:r>
      <w:r w:rsidR="00657507" w:rsidRPr="002A16FE">
        <w:rPr>
          <w:rFonts w:ascii="Arial" w:hAnsi="Arial" w:cs="Arial"/>
          <w:sz w:val="22"/>
          <w:szCs w:val="22"/>
        </w:rPr>
        <w:t>. Sin embargo, la Ley 418 de 199</w:t>
      </w:r>
      <w:r w:rsidR="00FA1192" w:rsidRPr="002A16FE">
        <w:rPr>
          <w:rFonts w:ascii="Arial" w:hAnsi="Arial" w:cs="Arial"/>
          <w:sz w:val="22"/>
          <w:szCs w:val="22"/>
        </w:rPr>
        <w:t>7</w:t>
      </w:r>
      <w:r w:rsidR="00657507" w:rsidRPr="002A16FE">
        <w:rPr>
          <w:rFonts w:ascii="Arial" w:hAnsi="Arial" w:cs="Arial"/>
          <w:sz w:val="22"/>
          <w:szCs w:val="22"/>
        </w:rPr>
        <w:t xml:space="preserve"> </w:t>
      </w:r>
      <w:r w:rsidR="00E8153A" w:rsidRPr="002A16FE">
        <w:rPr>
          <w:rFonts w:ascii="Arial" w:hAnsi="Arial" w:cs="Arial"/>
          <w:sz w:val="22"/>
          <w:szCs w:val="22"/>
        </w:rPr>
        <w:t xml:space="preserve">fue </w:t>
      </w:r>
      <w:r w:rsidR="00657507" w:rsidRPr="002A16FE">
        <w:rPr>
          <w:rFonts w:ascii="Arial" w:hAnsi="Arial" w:cs="Arial"/>
          <w:sz w:val="22"/>
          <w:szCs w:val="22"/>
        </w:rPr>
        <w:t xml:space="preserve">objeto de múltiples modificaciones </w:t>
      </w:r>
      <w:r w:rsidR="00AF06EB" w:rsidRPr="002A16FE">
        <w:rPr>
          <w:rFonts w:ascii="Arial" w:hAnsi="Arial" w:cs="Arial"/>
          <w:sz w:val="22"/>
          <w:szCs w:val="22"/>
        </w:rPr>
        <w:t>que han prorrogado</w:t>
      </w:r>
      <w:r w:rsidR="002F2380" w:rsidRPr="002A16FE">
        <w:rPr>
          <w:rFonts w:ascii="Arial" w:hAnsi="Arial" w:cs="Arial"/>
          <w:sz w:val="22"/>
          <w:szCs w:val="22"/>
        </w:rPr>
        <w:t xml:space="preserve"> la</w:t>
      </w:r>
      <w:r w:rsidR="00AF06EB" w:rsidRPr="002A16FE">
        <w:rPr>
          <w:rFonts w:ascii="Arial" w:hAnsi="Arial" w:cs="Arial"/>
          <w:sz w:val="22"/>
          <w:szCs w:val="22"/>
        </w:rPr>
        <w:t xml:space="preserve"> vigencia</w:t>
      </w:r>
      <w:r w:rsidR="002F2380" w:rsidRPr="002A16FE">
        <w:rPr>
          <w:rFonts w:ascii="Arial" w:hAnsi="Arial" w:cs="Arial"/>
          <w:sz w:val="22"/>
          <w:szCs w:val="22"/>
        </w:rPr>
        <w:t xml:space="preserve"> de gran parte de su contenido</w:t>
      </w:r>
      <w:r w:rsidR="00AF06EB" w:rsidRPr="002A16FE">
        <w:rPr>
          <w:rFonts w:ascii="Arial" w:hAnsi="Arial" w:cs="Arial"/>
          <w:sz w:val="22"/>
          <w:szCs w:val="22"/>
        </w:rPr>
        <w:t xml:space="preserve">. </w:t>
      </w:r>
      <w:r w:rsidR="00036B10" w:rsidRPr="002A16FE">
        <w:rPr>
          <w:rFonts w:ascii="Arial" w:hAnsi="Arial" w:cs="Arial"/>
          <w:sz w:val="22"/>
          <w:szCs w:val="22"/>
        </w:rPr>
        <w:t>Así por ejemplo l</w:t>
      </w:r>
      <w:r w:rsidR="00E94C1C" w:rsidRPr="002A16FE">
        <w:rPr>
          <w:rFonts w:ascii="Arial" w:hAnsi="Arial" w:cs="Arial"/>
          <w:sz w:val="22"/>
          <w:szCs w:val="22"/>
        </w:rPr>
        <w:t xml:space="preserve">as </w:t>
      </w:r>
      <w:r w:rsidR="00FA1192" w:rsidRPr="002A16FE">
        <w:rPr>
          <w:rFonts w:ascii="Arial" w:hAnsi="Arial" w:cs="Arial"/>
          <w:sz w:val="22"/>
          <w:szCs w:val="22"/>
        </w:rPr>
        <w:t>L</w:t>
      </w:r>
      <w:r w:rsidR="00E94C1C" w:rsidRPr="002A16FE">
        <w:rPr>
          <w:rFonts w:ascii="Arial" w:hAnsi="Arial" w:cs="Arial"/>
          <w:sz w:val="22"/>
          <w:szCs w:val="22"/>
        </w:rPr>
        <w:t>eyes</w:t>
      </w:r>
      <w:r w:rsidR="00036B10" w:rsidRPr="002A16FE">
        <w:rPr>
          <w:rFonts w:ascii="Arial" w:hAnsi="Arial" w:cs="Arial"/>
          <w:sz w:val="22"/>
          <w:szCs w:val="22"/>
        </w:rPr>
        <w:t xml:space="preserve"> </w:t>
      </w:r>
      <w:r w:rsidR="0068481A" w:rsidRPr="002A16FE">
        <w:rPr>
          <w:rFonts w:ascii="Arial" w:hAnsi="Arial" w:cs="Arial"/>
          <w:sz w:val="22"/>
          <w:szCs w:val="22"/>
        </w:rPr>
        <w:t xml:space="preserve">782 de 2002, </w:t>
      </w:r>
      <w:r w:rsidR="00893D36" w:rsidRPr="002A16FE">
        <w:rPr>
          <w:rFonts w:ascii="Arial" w:hAnsi="Arial" w:cs="Arial"/>
          <w:sz w:val="22"/>
          <w:szCs w:val="22"/>
        </w:rPr>
        <w:t xml:space="preserve">1106 de 2006, 1421 de 2010, </w:t>
      </w:r>
      <w:r w:rsidR="00E94C1C" w:rsidRPr="002A16FE">
        <w:rPr>
          <w:rFonts w:ascii="Arial" w:hAnsi="Arial" w:cs="Arial"/>
          <w:sz w:val="22"/>
          <w:szCs w:val="22"/>
        </w:rPr>
        <w:t>1738 de 2014 y 1941 de 2018</w:t>
      </w:r>
      <w:r w:rsidR="0066448F" w:rsidRPr="002A16FE">
        <w:rPr>
          <w:rFonts w:ascii="Arial" w:hAnsi="Arial" w:cs="Arial"/>
          <w:sz w:val="22"/>
          <w:szCs w:val="22"/>
        </w:rPr>
        <w:t>, las cuales de manera sucesiva han ido extendiendo la vigencia d</w:t>
      </w:r>
      <w:r w:rsidR="00F82896" w:rsidRPr="002A16FE">
        <w:rPr>
          <w:rFonts w:ascii="Arial" w:hAnsi="Arial" w:cs="Arial"/>
          <w:sz w:val="22"/>
          <w:szCs w:val="22"/>
        </w:rPr>
        <w:t>el grueso de las normas incluidas</w:t>
      </w:r>
      <w:r w:rsidR="004D2288" w:rsidRPr="002A16FE">
        <w:rPr>
          <w:rFonts w:ascii="Arial" w:hAnsi="Arial" w:cs="Arial"/>
          <w:sz w:val="22"/>
          <w:szCs w:val="22"/>
        </w:rPr>
        <w:t xml:space="preserve"> </w:t>
      </w:r>
      <w:r w:rsidR="00F82896" w:rsidRPr="002A16FE">
        <w:rPr>
          <w:rFonts w:ascii="Arial" w:hAnsi="Arial" w:cs="Arial"/>
          <w:sz w:val="22"/>
          <w:szCs w:val="22"/>
        </w:rPr>
        <w:t>en</w:t>
      </w:r>
      <w:r w:rsidR="004D2288" w:rsidRPr="002A16FE">
        <w:rPr>
          <w:rFonts w:ascii="Arial" w:hAnsi="Arial" w:cs="Arial"/>
          <w:sz w:val="22"/>
          <w:szCs w:val="22"/>
        </w:rPr>
        <w:t xml:space="preserve"> la Ley 418 de 1997 por periodos sucesivos de </w:t>
      </w:r>
      <w:r w:rsidR="00330380" w:rsidRPr="002A16FE">
        <w:rPr>
          <w:rFonts w:ascii="Arial" w:hAnsi="Arial" w:cs="Arial"/>
          <w:sz w:val="22"/>
          <w:szCs w:val="22"/>
        </w:rPr>
        <w:t>cuatro</w:t>
      </w:r>
      <w:r w:rsidR="004D2288" w:rsidRPr="002A16FE">
        <w:rPr>
          <w:rFonts w:ascii="Arial" w:hAnsi="Arial" w:cs="Arial"/>
          <w:sz w:val="22"/>
          <w:szCs w:val="22"/>
        </w:rPr>
        <w:t xml:space="preserve"> años</w:t>
      </w:r>
      <w:r w:rsidR="00C807EC" w:rsidRPr="002A16FE">
        <w:rPr>
          <w:rFonts w:ascii="Arial" w:hAnsi="Arial" w:cs="Arial"/>
          <w:sz w:val="22"/>
          <w:szCs w:val="22"/>
        </w:rPr>
        <w:t>, extendiéndose el último hasta el año 2022.</w:t>
      </w:r>
    </w:p>
    <w:p w14:paraId="78635E37" w14:textId="6702C61E" w:rsidR="006568A2" w:rsidRPr="002A16FE" w:rsidRDefault="006B4957" w:rsidP="00150242">
      <w:pPr>
        <w:pStyle w:val="NormalWeb"/>
        <w:spacing w:before="0" w:beforeAutospacing="0" w:after="120" w:afterAutospacing="0" w:line="276" w:lineRule="auto"/>
        <w:jc w:val="both"/>
        <w:rPr>
          <w:rFonts w:ascii="Arial" w:hAnsi="Arial" w:cs="Arial"/>
          <w:sz w:val="22"/>
          <w:szCs w:val="22"/>
        </w:rPr>
      </w:pPr>
      <w:r w:rsidRPr="002A16FE">
        <w:rPr>
          <w:rFonts w:ascii="Arial" w:hAnsi="Arial" w:cs="Arial"/>
          <w:sz w:val="22"/>
          <w:szCs w:val="22"/>
        </w:rPr>
        <w:tab/>
      </w:r>
      <w:r w:rsidR="00C00FF6" w:rsidRPr="002A16FE">
        <w:rPr>
          <w:rFonts w:ascii="Arial" w:hAnsi="Arial" w:cs="Arial"/>
          <w:sz w:val="22"/>
          <w:szCs w:val="22"/>
        </w:rPr>
        <w:t xml:space="preserve">Entre las </w:t>
      </w:r>
      <w:r w:rsidR="002552DD" w:rsidRPr="002A16FE">
        <w:rPr>
          <w:rFonts w:ascii="Arial" w:hAnsi="Arial" w:cs="Arial"/>
          <w:sz w:val="22"/>
          <w:szCs w:val="22"/>
        </w:rPr>
        <w:t xml:space="preserve">disposiciones vigentes de la Ley 418 de 1997 se encuentran los artículos 90 a 95, en los cuales se </w:t>
      </w:r>
      <w:r w:rsidR="005F13D9" w:rsidRPr="002A16FE">
        <w:rPr>
          <w:rFonts w:ascii="Arial" w:hAnsi="Arial" w:cs="Arial"/>
          <w:sz w:val="22"/>
          <w:szCs w:val="22"/>
        </w:rPr>
        <w:t>regulan</w:t>
      </w:r>
      <w:r w:rsidR="002552DD" w:rsidRPr="002A16FE">
        <w:rPr>
          <w:rFonts w:ascii="Arial" w:hAnsi="Arial" w:cs="Arial"/>
          <w:sz w:val="22"/>
          <w:szCs w:val="22"/>
        </w:rPr>
        <w:t xml:space="preserve"> </w:t>
      </w:r>
      <w:r w:rsidR="004F481B" w:rsidRPr="002A16FE">
        <w:rPr>
          <w:rFonts w:ascii="Arial" w:hAnsi="Arial" w:cs="Arial"/>
          <w:sz w:val="22"/>
          <w:szCs w:val="22"/>
        </w:rPr>
        <w:t xml:space="preserve">facultades </w:t>
      </w:r>
      <w:r w:rsidR="007240BF" w:rsidRPr="002A16FE">
        <w:rPr>
          <w:rFonts w:ascii="Arial" w:hAnsi="Arial" w:cs="Arial"/>
          <w:sz w:val="22"/>
          <w:szCs w:val="22"/>
        </w:rPr>
        <w:t xml:space="preserve">en virtud de las cuales las entidades estatales pueden declarar la caducidad o liquidar unilateralmente </w:t>
      </w:r>
      <w:r w:rsidR="00764284" w:rsidRPr="002A16FE">
        <w:rPr>
          <w:rFonts w:ascii="Arial" w:hAnsi="Arial" w:cs="Arial"/>
          <w:sz w:val="22"/>
          <w:szCs w:val="22"/>
        </w:rPr>
        <w:t xml:space="preserve">contratos estatales, en </w:t>
      </w:r>
      <w:r w:rsidR="00AB0939" w:rsidRPr="002A16FE">
        <w:rPr>
          <w:rFonts w:ascii="Arial" w:hAnsi="Arial" w:cs="Arial"/>
          <w:sz w:val="22"/>
          <w:szCs w:val="22"/>
        </w:rPr>
        <w:t xml:space="preserve">cuya ejecución </w:t>
      </w:r>
      <w:r w:rsidR="00764284" w:rsidRPr="002A16FE">
        <w:rPr>
          <w:rFonts w:ascii="Arial" w:hAnsi="Arial" w:cs="Arial"/>
          <w:sz w:val="22"/>
          <w:szCs w:val="22"/>
        </w:rPr>
        <w:t xml:space="preserve">el contratista </w:t>
      </w:r>
      <w:r w:rsidR="004C2D16" w:rsidRPr="002A16FE">
        <w:rPr>
          <w:rFonts w:ascii="Arial" w:hAnsi="Arial" w:cs="Arial"/>
          <w:sz w:val="22"/>
          <w:szCs w:val="22"/>
        </w:rPr>
        <w:t xml:space="preserve">colabore con </w:t>
      </w:r>
      <w:r w:rsidR="006568A2" w:rsidRPr="002A16FE">
        <w:rPr>
          <w:rFonts w:ascii="Arial" w:hAnsi="Arial" w:cs="Arial"/>
          <w:sz w:val="22"/>
          <w:szCs w:val="22"/>
        </w:rPr>
        <w:t xml:space="preserve">grupos armados al margen de la ley </w:t>
      </w:r>
      <w:r w:rsidR="00764284" w:rsidRPr="002A16FE">
        <w:rPr>
          <w:rFonts w:ascii="Arial" w:hAnsi="Arial" w:cs="Arial"/>
          <w:sz w:val="22"/>
          <w:szCs w:val="22"/>
        </w:rPr>
        <w:t>incurr</w:t>
      </w:r>
      <w:r w:rsidR="006568A2" w:rsidRPr="002A16FE">
        <w:rPr>
          <w:rFonts w:ascii="Arial" w:hAnsi="Arial" w:cs="Arial"/>
          <w:sz w:val="22"/>
          <w:szCs w:val="22"/>
        </w:rPr>
        <w:t>iendo</w:t>
      </w:r>
      <w:r w:rsidR="00764284" w:rsidRPr="002A16FE">
        <w:rPr>
          <w:rFonts w:ascii="Arial" w:hAnsi="Arial" w:cs="Arial"/>
          <w:sz w:val="22"/>
          <w:szCs w:val="22"/>
        </w:rPr>
        <w:t xml:space="preserve"> en los supuestos de hecho</w:t>
      </w:r>
      <w:r w:rsidR="003B2335" w:rsidRPr="002A16FE">
        <w:rPr>
          <w:rFonts w:ascii="Arial" w:hAnsi="Arial" w:cs="Arial"/>
          <w:sz w:val="22"/>
          <w:szCs w:val="22"/>
        </w:rPr>
        <w:t xml:space="preserve"> establecidos en el artículo 90</w:t>
      </w:r>
      <w:r w:rsidR="001662F3">
        <w:rPr>
          <w:rFonts w:ascii="Arial" w:hAnsi="Arial" w:cs="Arial"/>
          <w:sz w:val="22"/>
          <w:szCs w:val="22"/>
        </w:rPr>
        <w:t>.</w:t>
      </w:r>
      <w:r w:rsidR="006568A2" w:rsidRPr="002A16FE">
        <w:rPr>
          <w:rFonts w:ascii="Arial" w:hAnsi="Arial" w:cs="Arial"/>
          <w:sz w:val="22"/>
          <w:szCs w:val="22"/>
        </w:rPr>
        <w:t xml:space="preserve"> </w:t>
      </w:r>
    </w:p>
    <w:p w14:paraId="5B56FFA0" w14:textId="0B9D1650" w:rsidR="00BC0E1B" w:rsidRPr="002A16FE" w:rsidRDefault="006568A2" w:rsidP="00150242">
      <w:pPr>
        <w:pStyle w:val="NormalWeb"/>
        <w:spacing w:before="0" w:beforeAutospacing="0" w:after="120" w:afterAutospacing="0" w:line="276" w:lineRule="auto"/>
        <w:jc w:val="both"/>
        <w:rPr>
          <w:rFonts w:ascii="Arial" w:hAnsi="Arial" w:cs="Arial"/>
          <w:sz w:val="22"/>
          <w:szCs w:val="22"/>
        </w:rPr>
      </w:pPr>
      <w:r w:rsidRPr="002A16FE">
        <w:rPr>
          <w:rFonts w:ascii="Arial" w:hAnsi="Arial" w:cs="Arial"/>
          <w:sz w:val="22"/>
          <w:szCs w:val="22"/>
        </w:rPr>
        <w:tab/>
        <w:t xml:space="preserve">Sin perjuicio de lo anterior, de conformidad con los artículos 90 a 95 de la Ley 418 de 1997, las entidades públicas tienen la facultad de declarar la caducidad de los  contratos que celebren cuando el contratista en la ejecución del contrato colabore con grupos armados al margen de la ley mediante conductas como: a) ceder injustificadamente ante las amenazas proferidas por dichos grupos; b) recibir, suministrar, administrar, intervenir, financiar, transferir, guardar, transportar, almacenar o conservar dineros o bienes provenientes de o con destino a tales grupos o colaborar y prestar ayuda a los mismos; c) construir, ceder, arrendar, poner a disposición, facilitar o transferir a cualquier título, bienes para ser destinados a la ocultación de personas o al depósito o almacenamiento de pertenencias de dichos grupos; d) paralizar, suspender o disminuir notoriamente el cumplimiento de sus obligaciones contractuales por atender instrucciones de dichos grupos; y e) incumplir el deber de denunciar hechos punibles, cuya comisión sea imputable </w:t>
      </w:r>
      <w:r w:rsidRPr="002A16FE">
        <w:rPr>
          <w:rFonts w:ascii="Arial" w:hAnsi="Arial" w:cs="Arial"/>
          <w:sz w:val="22"/>
          <w:szCs w:val="22"/>
        </w:rPr>
        <w:lastRenderedPageBreak/>
        <w:t>a dichos grupos, conocidos con ocasión del contrato</w:t>
      </w:r>
      <w:r w:rsidR="006269F9" w:rsidRPr="002A16FE">
        <w:rPr>
          <w:rStyle w:val="Refdenotaalpie"/>
          <w:rFonts w:ascii="Arial" w:hAnsi="Arial" w:cs="Arial"/>
          <w:sz w:val="22"/>
          <w:szCs w:val="22"/>
        </w:rPr>
        <w:footnoteReference w:id="30"/>
      </w:r>
      <w:r w:rsidR="007C24E4" w:rsidRPr="002A16FE">
        <w:rPr>
          <w:rFonts w:ascii="Arial" w:hAnsi="Arial" w:cs="Arial"/>
          <w:sz w:val="22"/>
          <w:szCs w:val="22"/>
          <w:vertAlign w:val="superscript"/>
        </w:rPr>
        <w:t>-</w:t>
      </w:r>
      <w:r w:rsidR="005921FF" w:rsidRPr="002A16FE">
        <w:rPr>
          <w:rStyle w:val="Refdenotaalpie"/>
          <w:rFonts w:ascii="Arial" w:hAnsi="Arial" w:cs="Arial"/>
          <w:sz w:val="22"/>
          <w:szCs w:val="22"/>
        </w:rPr>
        <w:footnoteReference w:id="31"/>
      </w:r>
      <w:r w:rsidR="00AB0939" w:rsidRPr="002A16FE">
        <w:rPr>
          <w:rFonts w:ascii="Arial" w:hAnsi="Arial" w:cs="Arial"/>
          <w:sz w:val="22"/>
          <w:szCs w:val="22"/>
        </w:rPr>
        <w:t>.</w:t>
      </w:r>
      <w:r w:rsidR="007F584C" w:rsidRPr="002A16FE">
        <w:rPr>
          <w:rFonts w:ascii="Arial" w:hAnsi="Arial" w:cs="Arial"/>
          <w:sz w:val="22"/>
          <w:szCs w:val="22"/>
        </w:rPr>
        <w:t xml:space="preserve"> </w:t>
      </w:r>
      <w:r w:rsidR="00150242" w:rsidRPr="002A16FE">
        <w:rPr>
          <w:rFonts w:ascii="Arial" w:hAnsi="Arial" w:cs="Arial"/>
          <w:sz w:val="22"/>
          <w:szCs w:val="22"/>
        </w:rPr>
        <w:t>Configurada alguna de las causales</w:t>
      </w:r>
      <w:r w:rsidR="007C24E4" w:rsidRPr="002A16FE">
        <w:rPr>
          <w:rFonts w:ascii="Arial" w:hAnsi="Arial" w:cs="Arial"/>
          <w:sz w:val="22"/>
          <w:szCs w:val="22"/>
        </w:rPr>
        <w:t>,</w:t>
      </w:r>
      <w:r w:rsidR="00150242" w:rsidRPr="002A16FE">
        <w:rPr>
          <w:rFonts w:ascii="Arial" w:hAnsi="Arial" w:cs="Arial"/>
          <w:sz w:val="22"/>
          <w:szCs w:val="22"/>
        </w:rPr>
        <w:t xml:space="preserve"> de conformidad con el </w:t>
      </w:r>
      <w:r w:rsidR="00B11861" w:rsidRPr="002A16FE">
        <w:rPr>
          <w:rFonts w:ascii="Arial" w:hAnsi="Arial" w:cs="Arial"/>
          <w:sz w:val="22"/>
          <w:szCs w:val="22"/>
        </w:rPr>
        <w:t>artículo 91</w:t>
      </w:r>
      <w:r w:rsidR="007C24E4" w:rsidRPr="002A16FE">
        <w:rPr>
          <w:rFonts w:ascii="Arial" w:hAnsi="Arial" w:cs="Arial"/>
          <w:sz w:val="22"/>
          <w:szCs w:val="22"/>
        </w:rPr>
        <w:t xml:space="preserve">, </w:t>
      </w:r>
      <w:r w:rsidR="00557B41" w:rsidRPr="002A16FE">
        <w:rPr>
          <w:rFonts w:ascii="Arial" w:hAnsi="Arial" w:cs="Arial"/>
          <w:sz w:val="22"/>
          <w:szCs w:val="22"/>
        </w:rPr>
        <w:t>la entidad contratante deberá declarar la caducidad mediante resolución motivada</w:t>
      </w:r>
      <w:r w:rsidR="004A235B" w:rsidRPr="002A16FE">
        <w:rPr>
          <w:rFonts w:ascii="Arial" w:hAnsi="Arial" w:cs="Arial"/>
          <w:sz w:val="22"/>
          <w:szCs w:val="22"/>
        </w:rPr>
        <w:t xml:space="preserve">, </w:t>
      </w:r>
      <w:r w:rsidR="009766D6" w:rsidRPr="002A16FE">
        <w:rPr>
          <w:rFonts w:ascii="Arial" w:hAnsi="Arial" w:cs="Arial"/>
          <w:sz w:val="22"/>
          <w:szCs w:val="22"/>
        </w:rPr>
        <w:t xml:space="preserve">en la </w:t>
      </w:r>
      <w:r w:rsidR="00CC7EDF" w:rsidRPr="002A16FE">
        <w:rPr>
          <w:rFonts w:ascii="Arial" w:hAnsi="Arial" w:cs="Arial"/>
          <w:sz w:val="22"/>
          <w:szCs w:val="22"/>
        </w:rPr>
        <w:t xml:space="preserve">cual </w:t>
      </w:r>
      <w:r w:rsidR="004A235B" w:rsidRPr="002A16FE">
        <w:rPr>
          <w:rFonts w:ascii="Arial" w:hAnsi="Arial" w:cs="Arial"/>
          <w:sz w:val="22"/>
          <w:szCs w:val="22"/>
        </w:rPr>
        <w:t>además</w:t>
      </w:r>
      <w:r w:rsidR="00557B41" w:rsidRPr="002A16FE">
        <w:rPr>
          <w:rFonts w:ascii="Arial" w:hAnsi="Arial" w:cs="Arial"/>
          <w:sz w:val="22"/>
          <w:szCs w:val="22"/>
        </w:rPr>
        <w:t xml:space="preserve"> </w:t>
      </w:r>
      <w:r w:rsidR="00CC7EDF" w:rsidRPr="002A16FE">
        <w:rPr>
          <w:rFonts w:ascii="Arial" w:hAnsi="Arial" w:cs="Arial"/>
          <w:sz w:val="22"/>
          <w:szCs w:val="22"/>
        </w:rPr>
        <w:t xml:space="preserve">podrá </w:t>
      </w:r>
      <w:r w:rsidR="00557B41" w:rsidRPr="002A16FE">
        <w:rPr>
          <w:rFonts w:ascii="Arial" w:hAnsi="Arial" w:cs="Arial"/>
          <w:sz w:val="22"/>
          <w:szCs w:val="22"/>
        </w:rPr>
        <w:t>hac</w:t>
      </w:r>
      <w:r w:rsidR="004A235B" w:rsidRPr="002A16FE">
        <w:rPr>
          <w:rFonts w:ascii="Arial" w:hAnsi="Arial" w:cs="Arial"/>
          <w:sz w:val="22"/>
          <w:szCs w:val="22"/>
        </w:rPr>
        <w:t>er</w:t>
      </w:r>
      <w:r w:rsidR="00557B41" w:rsidRPr="002A16FE">
        <w:rPr>
          <w:rFonts w:ascii="Arial" w:hAnsi="Arial" w:cs="Arial"/>
          <w:sz w:val="22"/>
          <w:szCs w:val="22"/>
        </w:rPr>
        <w:t xml:space="preserve"> efectivas la cláusula penal y las multas contractuales a que hubiere lugar</w:t>
      </w:r>
      <w:r w:rsidR="00C75A09" w:rsidRPr="002A16FE">
        <w:rPr>
          <w:rStyle w:val="Refdenotaalpie"/>
          <w:rFonts w:ascii="Arial" w:hAnsi="Arial" w:cs="Arial"/>
          <w:sz w:val="22"/>
          <w:szCs w:val="22"/>
        </w:rPr>
        <w:footnoteReference w:id="32"/>
      </w:r>
      <w:r w:rsidR="004A235B" w:rsidRPr="002A16FE">
        <w:rPr>
          <w:rFonts w:ascii="Arial" w:hAnsi="Arial" w:cs="Arial"/>
          <w:sz w:val="22"/>
          <w:szCs w:val="22"/>
        </w:rPr>
        <w:t>.</w:t>
      </w:r>
      <w:r w:rsidR="008E21A0" w:rsidRPr="002A16FE">
        <w:rPr>
          <w:rFonts w:ascii="Arial" w:hAnsi="Arial" w:cs="Arial"/>
          <w:sz w:val="22"/>
          <w:szCs w:val="22"/>
        </w:rPr>
        <w:t xml:space="preserve"> </w:t>
      </w:r>
    </w:p>
    <w:p w14:paraId="021ADC54" w14:textId="6CAF2FF4" w:rsidR="0020646E" w:rsidRPr="002A16FE" w:rsidRDefault="00BC0E1B" w:rsidP="00CC20C3">
      <w:pPr>
        <w:pStyle w:val="NormalWeb"/>
        <w:spacing w:before="0" w:beforeAutospacing="0" w:after="120" w:afterAutospacing="0" w:line="276" w:lineRule="auto"/>
        <w:jc w:val="both"/>
        <w:rPr>
          <w:rFonts w:ascii="Arial" w:hAnsi="Arial" w:cs="Arial"/>
          <w:sz w:val="22"/>
          <w:szCs w:val="22"/>
        </w:rPr>
      </w:pPr>
      <w:r w:rsidRPr="002A16FE">
        <w:rPr>
          <w:rFonts w:ascii="Arial" w:hAnsi="Arial" w:cs="Arial"/>
          <w:sz w:val="22"/>
          <w:szCs w:val="22"/>
        </w:rPr>
        <w:tab/>
      </w:r>
      <w:r w:rsidR="00FC5E92" w:rsidRPr="002A16FE">
        <w:rPr>
          <w:rFonts w:ascii="Arial" w:hAnsi="Arial" w:cs="Arial"/>
          <w:sz w:val="22"/>
          <w:szCs w:val="22"/>
        </w:rPr>
        <w:t>De conformidad con el artículo 92, p</w:t>
      </w:r>
      <w:r w:rsidR="00731209" w:rsidRPr="002A16FE">
        <w:rPr>
          <w:rFonts w:ascii="Arial" w:hAnsi="Arial" w:cs="Arial"/>
          <w:sz w:val="22"/>
          <w:szCs w:val="22"/>
        </w:rPr>
        <w:t xml:space="preserve">uede </w:t>
      </w:r>
      <w:r w:rsidR="00747D61" w:rsidRPr="002A16FE">
        <w:rPr>
          <w:rFonts w:ascii="Arial" w:hAnsi="Arial" w:cs="Arial"/>
          <w:sz w:val="22"/>
          <w:szCs w:val="22"/>
        </w:rPr>
        <w:t>ocurrir</w:t>
      </w:r>
      <w:r w:rsidR="00731209" w:rsidRPr="002A16FE">
        <w:rPr>
          <w:rFonts w:ascii="Arial" w:hAnsi="Arial" w:cs="Arial"/>
          <w:sz w:val="22"/>
          <w:szCs w:val="22"/>
        </w:rPr>
        <w:t xml:space="preserve"> que</w:t>
      </w:r>
      <w:r w:rsidR="00747D61" w:rsidRPr="002A16FE">
        <w:rPr>
          <w:rFonts w:ascii="Arial" w:hAnsi="Arial" w:cs="Arial"/>
          <w:sz w:val="22"/>
          <w:szCs w:val="22"/>
        </w:rPr>
        <w:t xml:space="preserve"> la</w:t>
      </w:r>
      <w:r w:rsidRPr="002A16FE">
        <w:rPr>
          <w:rFonts w:ascii="Arial" w:hAnsi="Arial" w:cs="Arial"/>
          <w:sz w:val="22"/>
          <w:szCs w:val="22"/>
        </w:rPr>
        <w:t xml:space="preserve"> configuración de algun</w:t>
      </w:r>
      <w:r w:rsidR="00731209" w:rsidRPr="002A16FE">
        <w:rPr>
          <w:rFonts w:ascii="Arial" w:hAnsi="Arial" w:cs="Arial"/>
          <w:sz w:val="22"/>
          <w:szCs w:val="22"/>
        </w:rPr>
        <w:t xml:space="preserve">a de las causales de caducidad </w:t>
      </w:r>
      <w:r w:rsidR="00747D61" w:rsidRPr="002A16FE">
        <w:rPr>
          <w:rFonts w:ascii="Arial" w:hAnsi="Arial" w:cs="Arial"/>
          <w:sz w:val="22"/>
          <w:szCs w:val="22"/>
        </w:rPr>
        <w:t xml:space="preserve">del artículo 90 </w:t>
      </w:r>
      <w:r w:rsidR="00747D61" w:rsidRPr="002A16FE">
        <w:rPr>
          <w:rFonts w:ascii="Arial" w:hAnsi="Arial" w:cs="Arial"/>
          <w:i/>
          <w:iCs/>
          <w:sz w:val="22"/>
          <w:szCs w:val="22"/>
        </w:rPr>
        <w:t>Ibídem</w:t>
      </w:r>
      <w:r w:rsidR="00747D61" w:rsidRPr="002A16FE">
        <w:rPr>
          <w:rFonts w:ascii="Arial" w:hAnsi="Arial" w:cs="Arial"/>
          <w:sz w:val="22"/>
          <w:szCs w:val="22"/>
        </w:rPr>
        <w:t xml:space="preserve">, se evidencie en </w:t>
      </w:r>
      <w:r w:rsidR="00580E31" w:rsidRPr="002A16FE">
        <w:rPr>
          <w:rFonts w:ascii="Arial" w:hAnsi="Arial" w:cs="Arial"/>
          <w:sz w:val="22"/>
          <w:szCs w:val="22"/>
        </w:rPr>
        <w:t>el desarrollo de investigaciones adelantadas por la Fiscalía General de la Nación</w:t>
      </w:r>
      <w:r w:rsidR="00747D61" w:rsidRPr="002A16FE">
        <w:rPr>
          <w:rFonts w:ascii="Arial" w:hAnsi="Arial" w:cs="Arial"/>
          <w:sz w:val="22"/>
          <w:szCs w:val="22"/>
        </w:rPr>
        <w:t xml:space="preserve"> </w:t>
      </w:r>
      <w:r w:rsidR="00FC5E92" w:rsidRPr="002A16FE">
        <w:rPr>
          <w:rFonts w:ascii="Arial" w:hAnsi="Arial" w:cs="Arial"/>
          <w:sz w:val="22"/>
          <w:szCs w:val="22"/>
        </w:rPr>
        <w:t>o</w:t>
      </w:r>
      <w:r w:rsidR="00580E31" w:rsidRPr="002A16FE">
        <w:rPr>
          <w:rFonts w:ascii="Arial" w:hAnsi="Arial" w:cs="Arial"/>
          <w:sz w:val="22"/>
          <w:szCs w:val="22"/>
        </w:rPr>
        <w:t xml:space="preserve"> la Procuraduría General de la Naci</w:t>
      </w:r>
      <w:r w:rsidR="000175FB" w:rsidRPr="002A16FE">
        <w:rPr>
          <w:rFonts w:ascii="Arial" w:hAnsi="Arial" w:cs="Arial"/>
          <w:sz w:val="22"/>
          <w:szCs w:val="22"/>
        </w:rPr>
        <w:t>ón en el marco de sus competencias</w:t>
      </w:r>
      <w:r w:rsidR="006A3F9E">
        <w:rPr>
          <w:rFonts w:ascii="Arial" w:hAnsi="Arial" w:cs="Arial"/>
          <w:sz w:val="22"/>
          <w:szCs w:val="22"/>
        </w:rPr>
        <w:t>. En esta</w:t>
      </w:r>
      <w:r w:rsidR="000175FB" w:rsidRPr="002A16FE">
        <w:rPr>
          <w:rFonts w:ascii="Arial" w:hAnsi="Arial" w:cs="Arial"/>
          <w:sz w:val="22"/>
          <w:szCs w:val="22"/>
        </w:rPr>
        <w:t xml:space="preserve"> </w:t>
      </w:r>
      <w:r w:rsidR="008E2ED0" w:rsidRPr="002A16FE">
        <w:rPr>
          <w:rFonts w:ascii="Arial" w:hAnsi="Arial" w:cs="Arial"/>
          <w:sz w:val="22"/>
          <w:szCs w:val="22"/>
        </w:rPr>
        <w:t>situación</w:t>
      </w:r>
      <w:r w:rsidR="006A3F9E">
        <w:rPr>
          <w:rFonts w:ascii="Arial" w:hAnsi="Arial" w:cs="Arial"/>
          <w:sz w:val="22"/>
          <w:szCs w:val="22"/>
        </w:rPr>
        <w:t>,</w:t>
      </w:r>
      <w:r w:rsidR="000175FB" w:rsidRPr="002A16FE">
        <w:rPr>
          <w:rFonts w:ascii="Arial" w:hAnsi="Arial" w:cs="Arial"/>
          <w:sz w:val="22"/>
          <w:szCs w:val="22"/>
        </w:rPr>
        <w:t xml:space="preserve"> los representantes de dichas entidades</w:t>
      </w:r>
      <w:r w:rsidR="008E2ED0" w:rsidRPr="002A16FE">
        <w:rPr>
          <w:rFonts w:ascii="Arial" w:hAnsi="Arial" w:cs="Arial"/>
          <w:sz w:val="22"/>
          <w:szCs w:val="22"/>
        </w:rPr>
        <w:t xml:space="preserve"> deberán solicitar </w:t>
      </w:r>
      <w:r w:rsidR="00D33492" w:rsidRPr="002A16FE">
        <w:rPr>
          <w:rFonts w:ascii="Arial" w:hAnsi="Arial" w:cs="Arial"/>
          <w:sz w:val="22"/>
          <w:szCs w:val="22"/>
        </w:rPr>
        <w:t>a la entidad estatal c</w:t>
      </w:r>
      <w:r w:rsidR="005F2E17" w:rsidRPr="002A16FE">
        <w:rPr>
          <w:rFonts w:ascii="Arial" w:hAnsi="Arial" w:cs="Arial"/>
          <w:sz w:val="22"/>
          <w:szCs w:val="22"/>
        </w:rPr>
        <w:t>ompetente que se sirva declarar la caducidad del contrato</w:t>
      </w:r>
      <w:r w:rsidR="005F2E17" w:rsidRPr="002A16FE">
        <w:rPr>
          <w:rStyle w:val="Refdenotaalpie"/>
          <w:rFonts w:ascii="Arial" w:hAnsi="Arial" w:cs="Arial"/>
          <w:sz w:val="22"/>
          <w:szCs w:val="22"/>
        </w:rPr>
        <w:footnoteReference w:id="33"/>
      </w:r>
      <w:r w:rsidR="005F2E17" w:rsidRPr="002A16FE">
        <w:rPr>
          <w:rFonts w:ascii="Arial" w:hAnsi="Arial" w:cs="Arial"/>
          <w:sz w:val="22"/>
          <w:szCs w:val="22"/>
        </w:rPr>
        <w:t xml:space="preserve">. </w:t>
      </w:r>
    </w:p>
    <w:p w14:paraId="2E3A9CE2" w14:textId="75F0D2D1" w:rsidR="00D06A07" w:rsidRPr="002A16FE" w:rsidRDefault="00D06A07" w:rsidP="0020646E">
      <w:pPr>
        <w:pStyle w:val="NormalWeb"/>
        <w:spacing w:before="0" w:beforeAutospacing="0" w:after="120" w:afterAutospacing="0" w:line="276" w:lineRule="auto"/>
        <w:ind w:firstLine="708"/>
        <w:jc w:val="both"/>
        <w:rPr>
          <w:rFonts w:ascii="Arial" w:hAnsi="Arial" w:cs="Arial"/>
          <w:sz w:val="22"/>
          <w:szCs w:val="22"/>
        </w:rPr>
      </w:pPr>
      <w:r w:rsidRPr="002A16FE">
        <w:rPr>
          <w:rFonts w:ascii="Arial" w:hAnsi="Arial" w:cs="Arial"/>
          <w:sz w:val="22"/>
          <w:szCs w:val="22"/>
        </w:rPr>
        <w:lastRenderedPageBreak/>
        <w:t xml:space="preserve">De otra </w:t>
      </w:r>
      <w:r w:rsidR="00514D80" w:rsidRPr="002A16FE">
        <w:rPr>
          <w:rFonts w:ascii="Arial" w:hAnsi="Arial" w:cs="Arial"/>
          <w:sz w:val="22"/>
          <w:szCs w:val="22"/>
        </w:rPr>
        <w:t>parte, el artículo 93 faculta a los contratistas</w:t>
      </w:r>
      <w:r w:rsidR="00613FCB" w:rsidRPr="002A16FE">
        <w:rPr>
          <w:rFonts w:ascii="Arial" w:hAnsi="Arial" w:cs="Arial"/>
          <w:sz w:val="22"/>
          <w:szCs w:val="22"/>
        </w:rPr>
        <w:t xml:space="preserve"> de</w:t>
      </w:r>
      <w:r w:rsidR="006A3F9E">
        <w:rPr>
          <w:rFonts w:ascii="Arial" w:hAnsi="Arial" w:cs="Arial"/>
          <w:sz w:val="22"/>
          <w:szCs w:val="22"/>
        </w:rPr>
        <w:t xml:space="preserve"> las</w:t>
      </w:r>
      <w:r w:rsidR="00613FCB" w:rsidRPr="002A16FE">
        <w:rPr>
          <w:rFonts w:ascii="Arial" w:hAnsi="Arial" w:cs="Arial"/>
          <w:sz w:val="22"/>
          <w:szCs w:val="22"/>
        </w:rPr>
        <w:t xml:space="preserve"> entidades públicas</w:t>
      </w:r>
      <w:r w:rsidR="00514D80" w:rsidRPr="002A16FE">
        <w:rPr>
          <w:rFonts w:ascii="Arial" w:hAnsi="Arial" w:cs="Arial"/>
          <w:sz w:val="22"/>
          <w:szCs w:val="22"/>
        </w:rPr>
        <w:t xml:space="preserve"> para </w:t>
      </w:r>
      <w:r w:rsidR="00791F0D" w:rsidRPr="002A16FE">
        <w:rPr>
          <w:rFonts w:ascii="Arial" w:hAnsi="Arial" w:cs="Arial"/>
          <w:sz w:val="22"/>
          <w:szCs w:val="22"/>
        </w:rPr>
        <w:t xml:space="preserve">terminar unilateralmente los subcontratos </w:t>
      </w:r>
      <w:r w:rsidR="00B947A9" w:rsidRPr="002A16FE">
        <w:rPr>
          <w:rFonts w:ascii="Arial" w:hAnsi="Arial" w:cs="Arial"/>
          <w:sz w:val="22"/>
          <w:szCs w:val="22"/>
        </w:rPr>
        <w:t xml:space="preserve">que hayan celebrado, cuando los subcontratistas </w:t>
      </w:r>
      <w:r w:rsidR="00520A25" w:rsidRPr="002A16FE">
        <w:rPr>
          <w:rFonts w:ascii="Arial" w:hAnsi="Arial" w:cs="Arial"/>
          <w:sz w:val="22"/>
          <w:szCs w:val="22"/>
        </w:rPr>
        <w:t xml:space="preserve">incurran en alguna de las causales del artículo 90. Dicha terminación unilateral </w:t>
      </w:r>
      <w:r w:rsidR="008455B4" w:rsidRPr="002A16FE">
        <w:rPr>
          <w:rFonts w:ascii="Arial" w:hAnsi="Arial" w:cs="Arial"/>
          <w:sz w:val="22"/>
          <w:szCs w:val="22"/>
        </w:rPr>
        <w:t>podrá realizarse de oficio por el contratista, o cuando esta sea solicitada por la entidad estatal contratante</w:t>
      </w:r>
      <w:r w:rsidR="00C33FE9" w:rsidRPr="002A16FE">
        <w:rPr>
          <w:rFonts w:ascii="Arial" w:hAnsi="Arial" w:cs="Arial"/>
          <w:sz w:val="22"/>
          <w:szCs w:val="22"/>
        </w:rPr>
        <w:t xml:space="preserve">, el Fiscal General de la Nación o el Procurador General de la Nación </w:t>
      </w:r>
      <w:r w:rsidR="00B95F16" w:rsidRPr="002A16FE">
        <w:rPr>
          <w:rFonts w:ascii="Arial" w:hAnsi="Arial" w:cs="Arial"/>
          <w:sz w:val="22"/>
          <w:szCs w:val="22"/>
        </w:rPr>
        <w:t xml:space="preserve">cuando estos evidencien </w:t>
      </w:r>
      <w:r w:rsidR="001A6AEF" w:rsidRPr="002A16FE">
        <w:rPr>
          <w:rFonts w:ascii="Arial" w:hAnsi="Arial" w:cs="Arial"/>
          <w:sz w:val="22"/>
          <w:szCs w:val="22"/>
        </w:rPr>
        <w:t>su procedencia</w:t>
      </w:r>
      <w:r w:rsidR="001A6AEF" w:rsidRPr="002A16FE">
        <w:rPr>
          <w:rStyle w:val="Refdenotaalpie"/>
          <w:rFonts w:ascii="Arial" w:hAnsi="Arial" w:cs="Arial"/>
          <w:sz w:val="22"/>
          <w:szCs w:val="22"/>
        </w:rPr>
        <w:footnoteReference w:id="34"/>
      </w:r>
      <w:r w:rsidR="001A6AEF" w:rsidRPr="002A16FE">
        <w:rPr>
          <w:rFonts w:ascii="Arial" w:hAnsi="Arial" w:cs="Arial"/>
          <w:sz w:val="22"/>
          <w:szCs w:val="22"/>
        </w:rPr>
        <w:t>.</w:t>
      </w:r>
    </w:p>
    <w:p w14:paraId="6D3D77FD" w14:textId="17CF8546" w:rsidR="00EE385F" w:rsidRPr="002A16FE" w:rsidRDefault="00D31893" w:rsidP="00D31893">
      <w:pPr>
        <w:pStyle w:val="NormalWeb"/>
        <w:spacing w:before="0" w:beforeAutospacing="0" w:after="120" w:afterAutospacing="0" w:line="276" w:lineRule="auto"/>
        <w:ind w:firstLine="708"/>
        <w:jc w:val="both"/>
        <w:rPr>
          <w:rFonts w:ascii="Arial" w:hAnsi="Arial" w:cs="Arial"/>
          <w:sz w:val="22"/>
          <w:szCs w:val="22"/>
        </w:rPr>
      </w:pPr>
      <w:r w:rsidRPr="002A16FE">
        <w:rPr>
          <w:rFonts w:ascii="Arial" w:hAnsi="Arial" w:cs="Arial"/>
          <w:sz w:val="22"/>
          <w:szCs w:val="22"/>
        </w:rPr>
        <w:t>E</w:t>
      </w:r>
      <w:r w:rsidR="007F7F1E" w:rsidRPr="002A16FE">
        <w:rPr>
          <w:rFonts w:ascii="Arial" w:hAnsi="Arial" w:cs="Arial"/>
          <w:sz w:val="22"/>
          <w:szCs w:val="22"/>
        </w:rPr>
        <w:t>l artículo 9</w:t>
      </w:r>
      <w:r w:rsidR="008B5932" w:rsidRPr="002A16FE">
        <w:rPr>
          <w:rFonts w:ascii="Arial" w:hAnsi="Arial" w:cs="Arial"/>
          <w:sz w:val="22"/>
          <w:szCs w:val="22"/>
        </w:rPr>
        <w:t>4</w:t>
      </w:r>
      <w:r w:rsidR="009E1D09" w:rsidRPr="002A16FE">
        <w:rPr>
          <w:rFonts w:ascii="Arial" w:hAnsi="Arial" w:cs="Arial"/>
          <w:sz w:val="22"/>
          <w:szCs w:val="22"/>
        </w:rPr>
        <w:t xml:space="preserve"> dispone que las </w:t>
      </w:r>
      <w:r w:rsidR="004568B1" w:rsidRPr="002A16FE">
        <w:rPr>
          <w:rFonts w:ascii="Arial" w:hAnsi="Arial" w:cs="Arial"/>
          <w:sz w:val="22"/>
          <w:szCs w:val="22"/>
        </w:rPr>
        <w:t>cláusulas</w:t>
      </w:r>
      <w:r w:rsidR="009E1D09" w:rsidRPr="002A16FE">
        <w:rPr>
          <w:rFonts w:ascii="Arial" w:hAnsi="Arial" w:cs="Arial"/>
          <w:sz w:val="22"/>
          <w:szCs w:val="22"/>
        </w:rPr>
        <w:t xml:space="preserve"> de caducidad y terminación unilateral se entienden incorporadas en todos los contratos celebrados por entidades públicas</w:t>
      </w:r>
      <w:r w:rsidR="00347DAC" w:rsidRPr="002A16FE">
        <w:rPr>
          <w:rFonts w:ascii="Arial" w:hAnsi="Arial" w:cs="Arial"/>
          <w:sz w:val="22"/>
          <w:szCs w:val="22"/>
        </w:rPr>
        <w:t xml:space="preserve">, así como en los subcontratos, </w:t>
      </w:r>
      <w:r w:rsidR="00DE38F0" w:rsidRPr="002A16FE">
        <w:rPr>
          <w:rFonts w:ascii="Arial" w:hAnsi="Arial" w:cs="Arial"/>
          <w:sz w:val="22"/>
          <w:szCs w:val="22"/>
        </w:rPr>
        <w:t xml:space="preserve">tanto en los que se encontraban en ejecución a la fecha de </w:t>
      </w:r>
      <w:r w:rsidR="00383AAC" w:rsidRPr="002A16FE">
        <w:rPr>
          <w:rFonts w:ascii="Arial" w:hAnsi="Arial" w:cs="Arial"/>
          <w:sz w:val="22"/>
          <w:szCs w:val="22"/>
        </w:rPr>
        <w:t>promulgación de la referida ley, como en los celebrados posteriormente</w:t>
      </w:r>
      <w:r w:rsidR="00FC7E64" w:rsidRPr="002A16FE">
        <w:rPr>
          <w:rStyle w:val="Refdenotaalpie"/>
          <w:rFonts w:ascii="Arial" w:hAnsi="Arial" w:cs="Arial"/>
          <w:sz w:val="22"/>
          <w:szCs w:val="22"/>
        </w:rPr>
        <w:footnoteReference w:id="35"/>
      </w:r>
      <w:r w:rsidR="00FC7E64" w:rsidRPr="002A16FE">
        <w:rPr>
          <w:rFonts w:ascii="Arial" w:hAnsi="Arial" w:cs="Arial"/>
          <w:sz w:val="22"/>
          <w:szCs w:val="22"/>
        </w:rPr>
        <w:t>.</w:t>
      </w:r>
    </w:p>
    <w:p w14:paraId="73B9DD8D" w14:textId="1187EFBA" w:rsidR="00EE385F" w:rsidRPr="002A16FE" w:rsidRDefault="00D31893" w:rsidP="00ED09C7">
      <w:pPr>
        <w:pStyle w:val="NormalWeb"/>
        <w:spacing w:before="0" w:beforeAutospacing="0" w:after="120" w:afterAutospacing="0" w:line="276" w:lineRule="auto"/>
        <w:jc w:val="both"/>
        <w:rPr>
          <w:rFonts w:ascii="Arial" w:hAnsi="Arial" w:cs="Arial"/>
          <w:sz w:val="22"/>
          <w:szCs w:val="22"/>
        </w:rPr>
      </w:pPr>
      <w:bookmarkStart w:id="6" w:name="ver_1660008"/>
      <w:bookmarkEnd w:id="6"/>
      <w:r w:rsidRPr="002A16FE">
        <w:rPr>
          <w:rFonts w:ascii="Arial" w:hAnsi="Arial" w:cs="Arial"/>
          <w:sz w:val="22"/>
          <w:szCs w:val="22"/>
        </w:rPr>
        <w:tab/>
        <w:t xml:space="preserve">Por </w:t>
      </w:r>
      <w:r w:rsidR="005F13D9" w:rsidRPr="002A16FE">
        <w:rPr>
          <w:rFonts w:ascii="Arial" w:hAnsi="Arial" w:cs="Arial"/>
          <w:sz w:val="22"/>
          <w:szCs w:val="22"/>
        </w:rPr>
        <w:t>último,</w:t>
      </w:r>
      <w:r w:rsidRPr="002A16FE">
        <w:rPr>
          <w:rFonts w:ascii="Arial" w:hAnsi="Arial" w:cs="Arial"/>
          <w:sz w:val="22"/>
          <w:szCs w:val="22"/>
        </w:rPr>
        <w:t xml:space="preserve"> el artículo 95 </w:t>
      </w:r>
      <w:r w:rsidR="006F6079" w:rsidRPr="002A16FE">
        <w:rPr>
          <w:rFonts w:ascii="Arial" w:hAnsi="Arial" w:cs="Arial"/>
          <w:sz w:val="22"/>
          <w:szCs w:val="22"/>
        </w:rPr>
        <w:t xml:space="preserve">establece como causal de mala conducta, el </w:t>
      </w:r>
      <w:r w:rsidR="003B6314" w:rsidRPr="002A16FE">
        <w:rPr>
          <w:rFonts w:ascii="Arial" w:hAnsi="Arial" w:cs="Arial"/>
          <w:sz w:val="22"/>
          <w:szCs w:val="22"/>
        </w:rPr>
        <w:t xml:space="preserve">hecho de que el servidor público llamado a </w:t>
      </w:r>
      <w:r w:rsidR="00ED09C7" w:rsidRPr="002A16FE">
        <w:rPr>
          <w:rFonts w:ascii="Arial" w:hAnsi="Arial" w:cs="Arial"/>
          <w:sz w:val="22"/>
          <w:szCs w:val="22"/>
        </w:rPr>
        <w:t>hacerlo</w:t>
      </w:r>
      <w:r w:rsidR="00FE5DB6" w:rsidRPr="002A16FE">
        <w:rPr>
          <w:rFonts w:ascii="Arial" w:hAnsi="Arial" w:cs="Arial"/>
          <w:sz w:val="22"/>
          <w:szCs w:val="22"/>
        </w:rPr>
        <w:t xml:space="preserve"> no declare la caducidad, no ordene la terminación unilateral de los subcontratos</w:t>
      </w:r>
      <w:r w:rsidR="00E43136" w:rsidRPr="002A16FE">
        <w:rPr>
          <w:rFonts w:ascii="Arial" w:hAnsi="Arial" w:cs="Arial"/>
          <w:sz w:val="22"/>
          <w:szCs w:val="22"/>
        </w:rPr>
        <w:t>, o no inform</w:t>
      </w:r>
      <w:r w:rsidR="003E32F7" w:rsidRPr="002A16FE">
        <w:rPr>
          <w:rFonts w:ascii="Arial" w:hAnsi="Arial" w:cs="Arial"/>
          <w:sz w:val="22"/>
          <w:szCs w:val="22"/>
        </w:rPr>
        <w:t>e hechos irregulares ocurridos en la ejecución del contrato a las autoridades competentes</w:t>
      </w:r>
      <w:r w:rsidR="003E32F7" w:rsidRPr="002A16FE">
        <w:rPr>
          <w:rStyle w:val="Refdenotaalpie"/>
          <w:rFonts w:ascii="Arial" w:hAnsi="Arial" w:cs="Arial"/>
          <w:sz w:val="22"/>
          <w:szCs w:val="22"/>
        </w:rPr>
        <w:footnoteReference w:id="36"/>
      </w:r>
      <w:r w:rsidR="005F13D9" w:rsidRPr="002A16FE">
        <w:rPr>
          <w:rFonts w:ascii="Arial" w:hAnsi="Arial" w:cs="Arial"/>
          <w:sz w:val="22"/>
          <w:szCs w:val="22"/>
        </w:rPr>
        <w:t>.</w:t>
      </w:r>
    </w:p>
    <w:p w14:paraId="55D158DA" w14:textId="12C58C3B" w:rsidR="005D1F89" w:rsidRPr="002A16FE" w:rsidRDefault="00220EC6" w:rsidP="008E2D4F">
      <w:pPr>
        <w:pStyle w:val="NormalWeb"/>
        <w:spacing w:before="0" w:beforeAutospacing="0" w:after="120" w:afterAutospacing="0" w:line="276" w:lineRule="auto"/>
        <w:jc w:val="both"/>
        <w:rPr>
          <w:rFonts w:ascii="Arial" w:hAnsi="Arial" w:cs="Arial"/>
          <w:sz w:val="22"/>
          <w:szCs w:val="22"/>
        </w:rPr>
      </w:pPr>
      <w:r w:rsidRPr="002A16FE">
        <w:rPr>
          <w:rFonts w:ascii="Arial" w:hAnsi="Arial" w:cs="Arial"/>
          <w:sz w:val="22"/>
          <w:szCs w:val="22"/>
        </w:rPr>
        <w:tab/>
      </w:r>
      <w:r w:rsidR="00206A55" w:rsidRPr="002A16FE">
        <w:rPr>
          <w:rFonts w:ascii="Arial" w:hAnsi="Arial" w:cs="Arial"/>
          <w:sz w:val="22"/>
          <w:szCs w:val="22"/>
        </w:rPr>
        <w:t xml:space="preserve">Como se sigue del análisis de los </w:t>
      </w:r>
      <w:r w:rsidR="00664356" w:rsidRPr="002A16FE">
        <w:rPr>
          <w:rFonts w:ascii="Arial" w:hAnsi="Arial" w:cs="Arial"/>
          <w:sz w:val="22"/>
          <w:szCs w:val="22"/>
        </w:rPr>
        <w:t xml:space="preserve">artículos mencionados, la Ley 418 de 1997, </w:t>
      </w:r>
      <w:r w:rsidR="0064576E" w:rsidRPr="002A16FE">
        <w:rPr>
          <w:rFonts w:ascii="Arial" w:hAnsi="Arial" w:cs="Arial"/>
          <w:sz w:val="22"/>
          <w:szCs w:val="22"/>
        </w:rPr>
        <w:t xml:space="preserve">al margen de lo regulado por el artículo </w:t>
      </w:r>
      <w:r w:rsidR="00AC7100" w:rsidRPr="002A16FE">
        <w:rPr>
          <w:rFonts w:ascii="Arial" w:hAnsi="Arial" w:cs="Arial"/>
          <w:sz w:val="22"/>
          <w:szCs w:val="22"/>
        </w:rPr>
        <w:t>18</w:t>
      </w:r>
      <w:r w:rsidR="0064576E" w:rsidRPr="002A16FE">
        <w:rPr>
          <w:rFonts w:ascii="Arial" w:hAnsi="Arial" w:cs="Arial"/>
          <w:sz w:val="22"/>
          <w:szCs w:val="22"/>
        </w:rPr>
        <w:t xml:space="preserve"> de</w:t>
      </w:r>
      <w:r w:rsidR="00AC7100" w:rsidRPr="002A16FE">
        <w:rPr>
          <w:rFonts w:ascii="Arial" w:hAnsi="Arial" w:cs="Arial"/>
          <w:sz w:val="22"/>
          <w:szCs w:val="22"/>
        </w:rPr>
        <w:t xml:space="preserve"> la Ley 80 de 1993, establece </w:t>
      </w:r>
      <w:r w:rsidR="002C2280" w:rsidRPr="002A16FE">
        <w:rPr>
          <w:rFonts w:ascii="Arial" w:hAnsi="Arial" w:cs="Arial"/>
          <w:sz w:val="22"/>
          <w:szCs w:val="22"/>
        </w:rPr>
        <w:t xml:space="preserve">el deber de declarar la caducidad de contratos estatales cuando </w:t>
      </w:r>
      <w:r w:rsidR="00E91FDF" w:rsidRPr="002A16FE">
        <w:rPr>
          <w:rFonts w:ascii="Arial" w:hAnsi="Arial" w:cs="Arial"/>
          <w:sz w:val="22"/>
          <w:szCs w:val="22"/>
        </w:rPr>
        <w:t xml:space="preserve">el contratista o </w:t>
      </w:r>
      <w:r w:rsidR="002C2280" w:rsidRPr="002A16FE">
        <w:rPr>
          <w:rFonts w:ascii="Arial" w:hAnsi="Arial" w:cs="Arial"/>
          <w:sz w:val="22"/>
          <w:szCs w:val="22"/>
        </w:rPr>
        <w:t>e</w:t>
      </w:r>
      <w:r w:rsidR="00E91FDF" w:rsidRPr="002A16FE">
        <w:rPr>
          <w:rFonts w:ascii="Arial" w:hAnsi="Arial" w:cs="Arial"/>
          <w:sz w:val="22"/>
          <w:szCs w:val="22"/>
        </w:rPr>
        <w:t>l subcontratista incurre en</w:t>
      </w:r>
      <w:r w:rsidR="002C2280" w:rsidRPr="002A16FE">
        <w:rPr>
          <w:rFonts w:ascii="Arial" w:hAnsi="Arial" w:cs="Arial"/>
          <w:sz w:val="22"/>
          <w:szCs w:val="22"/>
        </w:rPr>
        <w:t xml:space="preserve"> unas circunstancias </w:t>
      </w:r>
      <w:r w:rsidR="00E91FDF" w:rsidRPr="002A16FE">
        <w:rPr>
          <w:rFonts w:ascii="Arial" w:hAnsi="Arial" w:cs="Arial"/>
          <w:sz w:val="22"/>
          <w:szCs w:val="22"/>
        </w:rPr>
        <w:t>particulares</w:t>
      </w:r>
      <w:r w:rsidR="00085DDE" w:rsidRPr="002A16FE">
        <w:rPr>
          <w:rFonts w:ascii="Arial" w:hAnsi="Arial" w:cs="Arial"/>
          <w:sz w:val="22"/>
          <w:szCs w:val="22"/>
        </w:rPr>
        <w:t xml:space="preserve"> relacionadas con la actividad de grupos </w:t>
      </w:r>
      <w:r w:rsidR="00085DDE" w:rsidRPr="002A16FE">
        <w:rPr>
          <w:rFonts w:ascii="Arial" w:hAnsi="Arial" w:cs="Arial"/>
          <w:sz w:val="22"/>
          <w:szCs w:val="22"/>
        </w:rPr>
        <w:lastRenderedPageBreak/>
        <w:t>armados organizados</w:t>
      </w:r>
      <w:r w:rsidR="003F1991" w:rsidRPr="002A16FE">
        <w:rPr>
          <w:rFonts w:ascii="Arial" w:hAnsi="Arial" w:cs="Arial"/>
          <w:sz w:val="22"/>
          <w:szCs w:val="22"/>
        </w:rPr>
        <w:t xml:space="preserve"> al margen de la ley</w:t>
      </w:r>
      <w:r w:rsidR="00EC42CC" w:rsidRPr="002A16FE">
        <w:rPr>
          <w:rFonts w:ascii="Arial" w:hAnsi="Arial" w:cs="Arial"/>
          <w:sz w:val="22"/>
          <w:szCs w:val="22"/>
        </w:rPr>
        <w:t xml:space="preserve">. </w:t>
      </w:r>
      <w:r w:rsidR="005D1F89" w:rsidRPr="002A16FE">
        <w:rPr>
          <w:rFonts w:ascii="Arial" w:hAnsi="Arial" w:cs="Arial"/>
          <w:sz w:val="22"/>
          <w:szCs w:val="22"/>
        </w:rPr>
        <w:t>Esto indica</w:t>
      </w:r>
      <w:r w:rsidR="00485CA9" w:rsidRPr="002A16FE">
        <w:rPr>
          <w:rFonts w:ascii="Arial" w:hAnsi="Arial" w:cs="Arial"/>
          <w:sz w:val="22"/>
          <w:szCs w:val="22"/>
        </w:rPr>
        <w:t xml:space="preserve"> que deb</w:t>
      </w:r>
      <w:r w:rsidR="005D1F89" w:rsidRPr="002A16FE">
        <w:rPr>
          <w:rFonts w:ascii="Arial" w:hAnsi="Arial" w:cs="Arial"/>
          <w:sz w:val="22"/>
          <w:szCs w:val="22"/>
        </w:rPr>
        <w:t>e</w:t>
      </w:r>
      <w:r w:rsidR="00485CA9" w:rsidRPr="002A16FE">
        <w:rPr>
          <w:rFonts w:ascii="Arial" w:hAnsi="Arial" w:cs="Arial"/>
          <w:sz w:val="22"/>
          <w:szCs w:val="22"/>
        </w:rPr>
        <w:t xml:space="preserve"> distinguirse entre caducidad regulada por la Ley 80 de 1993 </w:t>
      </w:r>
      <w:r w:rsidR="008E2D4F" w:rsidRPr="002A16FE">
        <w:rPr>
          <w:rFonts w:ascii="Arial" w:hAnsi="Arial" w:cs="Arial"/>
          <w:sz w:val="22"/>
          <w:szCs w:val="22"/>
        </w:rPr>
        <w:t xml:space="preserve">y la de la Ley 418 de 1997. </w:t>
      </w:r>
    </w:p>
    <w:p w14:paraId="10636B59" w14:textId="60FD2EF9" w:rsidR="00344BFB" w:rsidRPr="002A16FE" w:rsidRDefault="00485CA9" w:rsidP="005D1F89">
      <w:pPr>
        <w:pStyle w:val="NormalWeb"/>
        <w:spacing w:before="0" w:beforeAutospacing="0" w:after="120" w:afterAutospacing="0" w:line="276" w:lineRule="auto"/>
        <w:ind w:firstLine="708"/>
        <w:jc w:val="both"/>
        <w:rPr>
          <w:rFonts w:ascii="Arial" w:hAnsi="Arial" w:cs="Arial"/>
          <w:sz w:val="22"/>
          <w:szCs w:val="22"/>
        </w:rPr>
      </w:pPr>
      <w:r w:rsidRPr="002A16FE">
        <w:rPr>
          <w:rFonts w:ascii="Arial" w:hAnsi="Arial" w:cs="Arial"/>
          <w:sz w:val="22"/>
          <w:szCs w:val="22"/>
        </w:rPr>
        <w:t xml:space="preserve"> </w:t>
      </w:r>
      <w:r w:rsidR="005C3263" w:rsidRPr="002A16FE">
        <w:rPr>
          <w:rFonts w:ascii="Arial" w:hAnsi="Arial" w:cs="Arial"/>
          <w:sz w:val="22"/>
          <w:szCs w:val="22"/>
        </w:rPr>
        <w:t>En ese sentido, l</w:t>
      </w:r>
      <w:r w:rsidR="00032685" w:rsidRPr="002A16FE">
        <w:rPr>
          <w:rFonts w:ascii="Arial" w:hAnsi="Arial" w:cs="Arial"/>
          <w:sz w:val="22"/>
          <w:szCs w:val="22"/>
        </w:rPr>
        <w:t xml:space="preserve">as facultades derivadas </w:t>
      </w:r>
      <w:r w:rsidR="00D22FCF">
        <w:rPr>
          <w:rFonts w:ascii="Arial" w:hAnsi="Arial" w:cs="Arial"/>
          <w:sz w:val="22"/>
          <w:szCs w:val="22"/>
        </w:rPr>
        <w:t xml:space="preserve">de </w:t>
      </w:r>
      <w:r w:rsidR="00344BFB" w:rsidRPr="002A16FE">
        <w:rPr>
          <w:rFonts w:ascii="Arial" w:hAnsi="Arial" w:cs="Arial"/>
          <w:sz w:val="22"/>
          <w:szCs w:val="22"/>
        </w:rPr>
        <w:t xml:space="preserve">esta </w:t>
      </w:r>
      <w:r w:rsidR="00C87D96" w:rsidRPr="002A16FE">
        <w:rPr>
          <w:rFonts w:ascii="Arial" w:hAnsi="Arial" w:cs="Arial"/>
          <w:sz w:val="22"/>
          <w:szCs w:val="22"/>
        </w:rPr>
        <w:t>última</w:t>
      </w:r>
      <w:r w:rsidR="00D85693" w:rsidRPr="002A16FE">
        <w:rPr>
          <w:rFonts w:ascii="Arial" w:hAnsi="Arial" w:cs="Arial"/>
          <w:sz w:val="22"/>
          <w:szCs w:val="22"/>
        </w:rPr>
        <w:t xml:space="preserve"> </w:t>
      </w:r>
      <w:r w:rsidR="00C74AAE" w:rsidRPr="002A16FE">
        <w:rPr>
          <w:rFonts w:ascii="Arial" w:hAnsi="Arial" w:cs="Arial"/>
          <w:sz w:val="22"/>
          <w:szCs w:val="22"/>
        </w:rPr>
        <w:t xml:space="preserve">son potestades </w:t>
      </w:r>
      <w:r w:rsidR="00740F47" w:rsidRPr="002A16FE">
        <w:rPr>
          <w:rFonts w:ascii="Arial" w:hAnsi="Arial" w:cs="Arial"/>
          <w:sz w:val="22"/>
          <w:szCs w:val="22"/>
        </w:rPr>
        <w:t xml:space="preserve">que están concebidas </w:t>
      </w:r>
      <w:r w:rsidR="00DB4475" w:rsidRPr="002A16FE">
        <w:rPr>
          <w:rFonts w:ascii="Arial" w:hAnsi="Arial" w:cs="Arial"/>
          <w:sz w:val="22"/>
          <w:szCs w:val="22"/>
        </w:rPr>
        <w:t>para situaciones diferentes</w:t>
      </w:r>
      <w:r w:rsidR="00344BFB" w:rsidRPr="002A16FE">
        <w:rPr>
          <w:rFonts w:ascii="Arial" w:hAnsi="Arial" w:cs="Arial"/>
          <w:sz w:val="22"/>
          <w:szCs w:val="22"/>
        </w:rPr>
        <w:t xml:space="preserve"> la contempladas por el artículo 18 de la Ley 80 de 1993,</w:t>
      </w:r>
      <w:r w:rsidR="004F7F4E" w:rsidRPr="002A16FE">
        <w:rPr>
          <w:rFonts w:ascii="Arial" w:hAnsi="Arial" w:cs="Arial"/>
          <w:sz w:val="22"/>
          <w:szCs w:val="22"/>
        </w:rPr>
        <w:t xml:space="preserve"> las cuales no necesariamente</w:t>
      </w:r>
      <w:r w:rsidR="00E76082" w:rsidRPr="002A16FE">
        <w:rPr>
          <w:rFonts w:ascii="Arial" w:hAnsi="Arial" w:cs="Arial"/>
          <w:sz w:val="22"/>
          <w:szCs w:val="22"/>
        </w:rPr>
        <w:t xml:space="preserve"> están asociadas</w:t>
      </w:r>
      <w:r w:rsidR="004F7F4E" w:rsidRPr="002A16FE">
        <w:rPr>
          <w:rFonts w:ascii="Arial" w:hAnsi="Arial" w:cs="Arial"/>
          <w:sz w:val="22"/>
          <w:szCs w:val="22"/>
        </w:rPr>
        <w:t xml:space="preserve"> a hechos que impliquen un incumplimiento </w:t>
      </w:r>
      <w:r w:rsidR="00E76082" w:rsidRPr="002A16FE">
        <w:rPr>
          <w:rFonts w:ascii="Arial" w:hAnsi="Arial" w:cs="Arial"/>
          <w:sz w:val="22"/>
          <w:szCs w:val="22"/>
        </w:rPr>
        <w:t xml:space="preserve">por parte del contratista que </w:t>
      </w:r>
      <w:r w:rsidR="00BD400B" w:rsidRPr="002A16FE">
        <w:rPr>
          <w:rFonts w:ascii="Arial" w:hAnsi="Arial" w:cs="Arial"/>
          <w:sz w:val="22"/>
          <w:szCs w:val="22"/>
        </w:rPr>
        <w:t>afecte de manera grave la ejecución</w:t>
      </w:r>
      <w:r w:rsidR="00B60E0C">
        <w:rPr>
          <w:rFonts w:ascii="Arial" w:hAnsi="Arial" w:cs="Arial"/>
          <w:sz w:val="22"/>
          <w:szCs w:val="22"/>
        </w:rPr>
        <w:t xml:space="preserve">. Por el contrario, guardan conexión con </w:t>
      </w:r>
      <w:r w:rsidR="00CD651A" w:rsidRPr="002A16FE">
        <w:rPr>
          <w:rFonts w:ascii="Arial" w:hAnsi="Arial" w:cs="Arial"/>
          <w:sz w:val="22"/>
          <w:szCs w:val="22"/>
        </w:rPr>
        <w:t xml:space="preserve">algunas conductas relacionadas </w:t>
      </w:r>
      <w:r w:rsidR="00205D6B" w:rsidRPr="002A16FE">
        <w:rPr>
          <w:rFonts w:ascii="Arial" w:hAnsi="Arial" w:cs="Arial"/>
          <w:sz w:val="22"/>
          <w:szCs w:val="22"/>
        </w:rPr>
        <w:t xml:space="preserve">con actividades de grupos armados </w:t>
      </w:r>
      <w:r w:rsidR="00493E99" w:rsidRPr="002A16FE">
        <w:rPr>
          <w:rFonts w:ascii="Arial" w:hAnsi="Arial" w:cs="Arial"/>
          <w:sz w:val="22"/>
          <w:szCs w:val="22"/>
        </w:rPr>
        <w:t>al margen de la</w:t>
      </w:r>
      <w:r w:rsidR="000A2D14" w:rsidRPr="002A16FE">
        <w:rPr>
          <w:rFonts w:ascii="Arial" w:hAnsi="Arial" w:cs="Arial"/>
          <w:sz w:val="22"/>
          <w:szCs w:val="22"/>
        </w:rPr>
        <w:t xml:space="preserve"> ley </w:t>
      </w:r>
      <w:r w:rsidR="00205D6B" w:rsidRPr="002A16FE">
        <w:rPr>
          <w:rFonts w:ascii="Arial" w:hAnsi="Arial" w:cs="Arial"/>
          <w:sz w:val="22"/>
          <w:szCs w:val="22"/>
        </w:rPr>
        <w:t xml:space="preserve">respecto del contrato, </w:t>
      </w:r>
      <w:r w:rsidR="00BE1939" w:rsidRPr="002A16FE">
        <w:rPr>
          <w:rFonts w:ascii="Arial" w:hAnsi="Arial" w:cs="Arial"/>
          <w:sz w:val="22"/>
          <w:szCs w:val="22"/>
        </w:rPr>
        <w:t xml:space="preserve">que el legislador ha decidido sancionar con la caducidad del contrato. </w:t>
      </w:r>
    </w:p>
    <w:p w14:paraId="5B49CE1F" w14:textId="09F2679B" w:rsidR="00C60126" w:rsidRDefault="00825233" w:rsidP="0064300E">
      <w:pPr>
        <w:pStyle w:val="NormalWeb"/>
        <w:spacing w:before="0" w:beforeAutospacing="0" w:after="0" w:afterAutospacing="0" w:line="276" w:lineRule="auto"/>
        <w:jc w:val="both"/>
        <w:rPr>
          <w:rFonts w:ascii="Arial" w:hAnsi="Arial" w:cs="Arial"/>
          <w:sz w:val="22"/>
          <w:szCs w:val="22"/>
        </w:rPr>
      </w:pPr>
      <w:r w:rsidRPr="002A16FE">
        <w:rPr>
          <w:rFonts w:ascii="Arial" w:hAnsi="Arial" w:cs="Arial"/>
          <w:sz w:val="22"/>
          <w:szCs w:val="22"/>
        </w:rPr>
        <w:tab/>
      </w:r>
      <w:r w:rsidR="009D2883" w:rsidRPr="002A16FE">
        <w:rPr>
          <w:rFonts w:ascii="Arial" w:hAnsi="Arial" w:cs="Arial"/>
          <w:sz w:val="22"/>
          <w:szCs w:val="22"/>
        </w:rPr>
        <w:t xml:space="preserve">La consagración de estas causales </w:t>
      </w:r>
      <w:r w:rsidR="002C2A08" w:rsidRPr="002A16FE">
        <w:rPr>
          <w:rFonts w:ascii="Arial" w:hAnsi="Arial" w:cs="Arial"/>
          <w:sz w:val="22"/>
          <w:szCs w:val="22"/>
        </w:rPr>
        <w:t>tiene como antecedente normativo el Decreto legislativo 1875 de 1992</w:t>
      </w:r>
      <w:r w:rsidR="0084369D" w:rsidRPr="002A16FE">
        <w:rPr>
          <w:rFonts w:ascii="Arial" w:hAnsi="Arial" w:cs="Arial"/>
          <w:sz w:val="22"/>
          <w:szCs w:val="22"/>
        </w:rPr>
        <w:t xml:space="preserve">, expedido en el marco del estado de conmoción interior </w:t>
      </w:r>
      <w:r w:rsidR="003C55CE" w:rsidRPr="002A16FE">
        <w:rPr>
          <w:rFonts w:ascii="Arial" w:hAnsi="Arial" w:cs="Arial"/>
          <w:sz w:val="22"/>
          <w:szCs w:val="22"/>
        </w:rPr>
        <w:t xml:space="preserve">declarado mediante el Decreto 1793 de 1992, </w:t>
      </w:r>
      <w:r w:rsidR="000015DA" w:rsidRPr="002A16FE">
        <w:rPr>
          <w:rFonts w:ascii="Arial" w:hAnsi="Arial" w:cs="Arial"/>
          <w:sz w:val="22"/>
          <w:szCs w:val="22"/>
        </w:rPr>
        <w:t>en r</w:t>
      </w:r>
      <w:r w:rsidR="006538CD" w:rsidRPr="002A16FE">
        <w:rPr>
          <w:rFonts w:ascii="Arial" w:hAnsi="Arial" w:cs="Arial"/>
          <w:sz w:val="22"/>
          <w:szCs w:val="22"/>
        </w:rPr>
        <w:t>azón</w:t>
      </w:r>
      <w:r w:rsidR="000A2D14" w:rsidRPr="002A16FE">
        <w:rPr>
          <w:rFonts w:ascii="Arial" w:hAnsi="Arial" w:cs="Arial"/>
          <w:sz w:val="22"/>
          <w:szCs w:val="22"/>
        </w:rPr>
        <w:t xml:space="preserve"> a </w:t>
      </w:r>
      <w:r w:rsidR="006538CD" w:rsidRPr="002A16FE">
        <w:rPr>
          <w:rFonts w:ascii="Arial" w:hAnsi="Arial" w:cs="Arial"/>
          <w:sz w:val="22"/>
          <w:szCs w:val="22"/>
        </w:rPr>
        <w:t>la grave situación</w:t>
      </w:r>
      <w:r w:rsidR="004360DB" w:rsidRPr="002A16FE">
        <w:rPr>
          <w:rFonts w:ascii="Arial" w:hAnsi="Arial" w:cs="Arial"/>
          <w:sz w:val="22"/>
          <w:szCs w:val="22"/>
        </w:rPr>
        <w:t xml:space="preserve"> </w:t>
      </w:r>
      <w:r w:rsidR="00D22FCF">
        <w:rPr>
          <w:rFonts w:ascii="Arial" w:hAnsi="Arial" w:cs="Arial"/>
          <w:sz w:val="22"/>
          <w:szCs w:val="22"/>
        </w:rPr>
        <w:t xml:space="preserve">de </w:t>
      </w:r>
      <w:r w:rsidR="004360DB" w:rsidRPr="002A16FE">
        <w:rPr>
          <w:rFonts w:ascii="Arial" w:hAnsi="Arial" w:cs="Arial"/>
          <w:sz w:val="22"/>
          <w:szCs w:val="22"/>
        </w:rPr>
        <w:t xml:space="preserve">orden público </w:t>
      </w:r>
      <w:r w:rsidR="00B447A3" w:rsidRPr="002A16FE">
        <w:rPr>
          <w:rFonts w:ascii="Arial" w:hAnsi="Arial" w:cs="Arial"/>
          <w:sz w:val="22"/>
          <w:szCs w:val="22"/>
        </w:rPr>
        <w:t xml:space="preserve">que </w:t>
      </w:r>
      <w:r w:rsidR="004360DB" w:rsidRPr="002A16FE">
        <w:rPr>
          <w:rFonts w:ascii="Arial" w:hAnsi="Arial" w:cs="Arial"/>
          <w:sz w:val="22"/>
          <w:szCs w:val="22"/>
        </w:rPr>
        <w:t>atravesa</w:t>
      </w:r>
      <w:r w:rsidR="00B447A3" w:rsidRPr="002A16FE">
        <w:rPr>
          <w:rFonts w:ascii="Arial" w:hAnsi="Arial" w:cs="Arial"/>
          <w:sz w:val="22"/>
          <w:szCs w:val="22"/>
        </w:rPr>
        <w:t>b</w:t>
      </w:r>
      <w:r w:rsidR="004360DB" w:rsidRPr="002A16FE">
        <w:rPr>
          <w:rFonts w:ascii="Arial" w:hAnsi="Arial" w:cs="Arial"/>
          <w:sz w:val="22"/>
          <w:szCs w:val="22"/>
        </w:rPr>
        <w:t xml:space="preserve">a </w:t>
      </w:r>
      <w:r w:rsidR="00D877B4" w:rsidRPr="002A16FE">
        <w:rPr>
          <w:rFonts w:ascii="Arial" w:hAnsi="Arial" w:cs="Arial"/>
          <w:sz w:val="22"/>
          <w:szCs w:val="22"/>
        </w:rPr>
        <w:t xml:space="preserve">el país </w:t>
      </w:r>
      <w:r w:rsidR="004360DB" w:rsidRPr="002A16FE">
        <w:rPr>
          <w:rFonts w:ascii="Arial" w:hAnsi="Arial" w:cs="Arial"/>
          <w:sz w:val="22"/>
          <w:szCs w:val="22"/>
        </w:rPr>
        <w:t>en ese entonces a causa de</w:t>
      </w:r>
      <w:r w:rsidR="003B3DF6" w:rsidRPr="002A16FE">
        <w:rPr>
          <w:rFonts w:ascii="Arial" w:hAnsi="Arial" w:cs="Arial"/>
          <w:sz w:val="22"/>
          <w:szCs w:val="22"/>
        </w:rPr>
        <w:t>l gran número de</w:t>
      </w:r>
      <w:r w:rsidR="004360DB" w:rsidRPr="002A16FE">
        <w:rPr>
          <w:rFonts w:ascii="Arial" w:hAnsi="Arial" w:cs="Arial"/>
          <w:sz w:val="22"/>
          <w:szCs w:val="22"/>
        </w:rPr>
        <w:t xml:space="preserve"> </w:t>
      </w:r>
      <w:r w:rsidR="00AC2E60" w:rsidRPr="002A16FE">
        <w:rPr>
          <w:rFonts w:ascii="Arial" w:hAnsi="Arial" w:cs="Arial"/>
          <w:sz w:val="22"/>
          <w:szCs w:val="22"/>
        </w:rPr>
        <w:t>actos terroristas propiciados por el cr</w:t>
      </w:r>
      <w:r w:rsidR="00414C76" w:rsidRPr="002A16FE">
        <w:rPr>
          <w:rFonts w:ascii="Arial" w:hAnsi="Arial" w:cs="Arial"/>
          <w:sz w:val="22"/>
          <w:szCs w:val="22"/>
        </w:rPr>
        <w:t>imen organizado y los grupos armados al margen de la ley</w:t>
      </w:r>
      <w:r w:rsidR="00D97755" w:rsidRPr="002A16FE">
        <w:rPr>
          <w:rStyle w:val="Refdenotaalpie"/>
          <w:rFonts w:ascii="Arial" w:hAnsi="Arial" w:cs="Arial"/>
          <w:sz w:val="22"/>
          <w:szCs w:val="22"/>
        </w:rPr>
        <w:footnoteReference w:id="37"/>
      </w:r>
      <w:r w:rsidR="00414C76" w:rsidRPr="002A16FE">
        <w:rPr>
          <w:rFonts w:ascii="Arial" w:hAnsi="Arial" w:cs="Arial"/>
          <w:sz w:val="22"/>
          <w:szCs w:val="22"/>
        </w:rPr>
        <w:t>.</w:t>
      </w:r>
      <w:r w:rsidR="0037057B" w:rsidRPr="002A16FE">
        <w:rPr>
          <w:rFonts w:ascii="Arial" w:hAnsi="Arial" w:cs="Arial"/>
          <w:sz w:val="22"/>
          <w:szCs w:val="22"/>
        </w:rPr>
        <w:t xml:space="preserve"> </w:t>
      </w:r>
      <w:r w:rsidR="00C34E92" w:rsidRPr="002A16FE">
        <w:rPr>
          <w:rFonts w:ascii="Arial" w:hAnsi="Arial" w:cs="Arial"/>
          <w:sz w:val="22"/>
          <w:szCs w:val="22"/>
        </w:rPr>
        <w:t>Vencida dicha situación excepcional</w:t>
      </w:r>
      <w:r w:rsidR="00E21FBB" w:rsidRPr="002A16FE">
        <w:rPr>
          <w:rFonts w:ascii="Arial" w:hAnsi="Arial" w:cs="Arial"/>
          <w:sz w:val="22"/>
          <w:szCs w:val="22"/>
        </w:rPr>
        <w:t xml:space="preserve">, </w:t>
      </w:r>
      <w:r w:rsidR="00D43B04" w:rsidRPr="002A16FE">
        <w:rPr>
          <w:rFonts w:ascii="Arial" w:hAnsi="Arial" w:cs="Arial"/>
          <w:sz w:val="22"/>
          <w:szCs w:val="22"/>
        </w:rPr>
        <w:t xml:space="preserve">ante la subsistencia de tales actores armados, </w:t>
      </w:r>
      <w:r w:rsidR="00E21FBB" w:rsidRPr="002A16FE">
        <w:rPr>
          <w:rFonts w:ascii="Arial" w:hAnsi="Arial" w:cs="Arial"/>
          <w:sz w:val="22"/>
          <w:szCs w:val="22"/>
        </w:rPr>
        <w:t>el Legislador expidió la Ley</w:t>
      </w:r>
      <w:r w:rsidR="00BE5DFA" w:rsidRPr="002A16FE">
        <w:rPr>
          <w:rFonts w:ascii="Arial" w:hAnsi="Arial" w:cs="Arial"/>
          <w:sz w:val="22"/>
          <w:szCs w:val="22"/>
        </w:rPr>
        <w:t xml:space="preserve"> 104 de 1993, en la que</w:t>
      </w:r>
      <w:r w:rsidR="003A76C5" w:rsidRPr="002A16FE">
        <w:rPr>
          <w:rFonts w:ascii="Arial" w:hAnsi="Arial" w:cs="Arial"/>
          <w:sz w:val="22"/>
          <w:szCs w:val="22"/>
        </w:rPr>
        <w:t xml:space="preserve"> de manera</w:t>
      </w:r>
      <w:r w:rsidR="00F01C8D" w:rsidRPr="002A16FE">
        <w:rPr>
          <w:rFonts w:ascii="Arial" w:hAnsi="Arial" w:cs="Arial"/>
          <w:sz w:val="22"/>
          <w:szCs w:val="22"/>
        </w:rPr>
        <w:t xml:space="preserve"> similar a lo </w:t>
      </w:r>
      <w:r w:rsidR="00C60126" w:rsidRPr="002A16FE">
        <w:rPr>
          <w:rFonts w:ascii="Arial" w:hAnsi="Arial" w:cs="Arial"/>
          <w:sz w:val="22"/>
          <w:szCs w:val="22"/>
        </w:rPr>
        <w:t>establecido</w:t>
      </w:r>
      <w:r w:rsidR="00F01C8D" w:rsidRPr="002A16FE">
        <w:rPr>
          <w:rFonts w:ascii="Arial" w:hAnsi="Arial" w:cs="Arial"/>
          <w:sz w:val="22"/>
          <w:szCs w:val="22"/>
        </w:rPr>
        <w:t xml:space="preserve"> por la Ley 41</w:t>
      </w:r>
      <w:r w:rsidR="00A477A7" w:rsidRPr="002A16FE">
        <w:rPr>
          <w:rFonts w:ascii="Arial" w:hAnsi="Arial" w:cs="Arial"/>
          <w:sz w:val="22"/>
          <w:szCs w:val="22"/>
        </w:rPr>
        <w:t>8</w:t>
      </w:r>
      <w:r w:rsidR="00F01C8D" w:rsidRPr="002A16FE">
        <w:rPr>
          <w:rFonts w:ascii="Arial" w:hAnsi="Arial" w:cs="Arial"/>
          <w:sz w:val="22"/>
          <w:szCs w:val="22"/>
        </w:rPr>
        <w:t xml:space="preserve"> de 1997</w:t>
      </w:r>
      <w:r w:rsidR="00695210" w:rsidRPr="002A16FE">
        <w:rPr>
          <w:rFonts w:ascii="Arial" w:hAnsi="Arial" w:cs="Arial"/>
          <w:sz w:val="22"/>
          <w:szCs w:val="22"/>
        </w:rPr>
        <w:t xml:space="preserve">, se </w:t>
      </w:r>
      <w:r w:rsidR="00C60126" w:rsidRPr="002A16FE">
        <w:rPr>
          <w:rFonts w:ascii="Arial" w:hAnsi="Arial" w:cs="Arial"/>
          <w:sz w:val="22"/>
          <w:szCs w:val="22"/>
        </w:rPr>
        <w:t>regularon distintos</w:t>
      </w:r>
      <w:r w:rsidR="00695210" w:rsidRPr="002A16FE">
        <w:rPr>
          <w:rFonts w:ascii="Arial" w:hAnsi="Arial" w:cs="Arial"/>
          <w:sz w:val="22"/>
          <w:szCs w:val="22"/>
        </w:rPr>
        <w:t xml:space="preserve"> asuntos </w:t>
      </w:r>
      <w:r w:rsidR="00C60126" w:rsidRPr="002A16FE">
        <w:rPr>
          <w:rFonts w:ascii="Arial" w:hAnsi="Arial" w:cs="Arial"/>
          <w:sz w:val="22"/>
          <w:szCs w:val="22"/>
        </w:rPr>
        <w:t>como instrumentos para la búsqueda de la convivencia, atención a las víctimas de hechos violentos que se susciten en el marco del conflicto armado interno</w:t>
      </w:r>
      <w:r w:rsidR="00585663" w:rsidRPr="002A16FE">
        <w:rPr>
          <w:rFonts w:ascii="Arial" w:hAnsi="Arial" w:cs="Arial"/>
          <w:sz w:val="22"/>
          <w:szCs w:val="22"/>
        </w:rPr>
        <w:t xml:space="preserve">, </w:t>
      </w:r>
      <w:r w:rsidR="00C60126" w:rsidRPr="002A16FE">
        <w:rPr>
          <w:rFonts w:ascii="Arial" w:hAnsi="Arial" w:cs="Arial"/>
          <w:sz w:val="22"/>
          <w:szCs w:val="22"/>
        </w:rPr>
        <w:t xml:space="preserve"> la extinción de la acción penal y de la pena en casos de delitos </w:t>
      </w:r>
      <w:r w:rsidR="00C60126" w:rsidRPr="002A16FE">
        <w:rPr>
          <w:rFonts w:ascii="Arial" w:hAnsi="Arial" w:cs="Arial"/>
          <w:sz w:val="22"/>
          <w:szCs w:val="22"/>
        </w:rPr>
        <w:lastRenderedPageBreak/>
        <w:t>políticos</w:t>
      </w:r>
      <w:r w:rsidR="00585663" w:rsidRPr="002A16FE">
        <w:rPr>
          <w:rFonts w:ascii="Arial" w:hAnsi="Arial" w:cs="Arial"/>
          <w:sz w:val="22"/>
          <w:szCs w:val="22"/>
        </w:rPr>
        <w:t>,</w:t>
      </w:r>
      <w:r w:rsidR="00C60126" w:rsidRPr="002A16FE">
        <w:rPr>
          <w:rFonts w:ascii="Arial" w:hAnsi="Arial" w:cs="Arial"/>
          <w:sz w:val="22"/>
          <w:szCs w:val="22"/>
        </w:rPr>
        <w:t xml:space="preserve"> el embargo preventivo y extinción del derecho de dominio de bienes vinculados a la comisión de delitos</w:t>
      </w:r>
      <w:r w:rsidR="00D21186" w:rsidRPr="002A16FE">
        <w:rPr>
          <w:rFonts w:ascii="Arial" w:hAnsi="Arial" w:cs="Arial"/>
          <w:sz w:val="22"/>
          <w:szCs w:val="22"/>
        </w:rPr>
        <w:t xml:space="preserve">, entre otros asuntos. </w:t>
      </w:r>
      <w:r w:rsidR="007C0955" w:rsidRPr="002A16FE">
        <w:rPr>
          <w:rFonts w:ascii="Arial" w:hAnsi="Arial" w:cs="Arial"/>
          <w:sz w:val="22"/>
          <w:szCs w:val="22"/>
        </w:rPr>
        <w:t>Al igual que la Ley 41</w:t>
      </w:r>
      <w:r w:rsidR="00A477A7" w:rsidRPr="002A16FE">
        <w:rPr>
          <w:rFonts w:ascii="Arial" w:hAnsi="Arial" w:cs="Arial"/>
          <w:sz w:val="22"/>
          <w:szCs w:val="22"/>
        </w:rPr>
        <w:t>8</w:t>
      </w:r>
      <w:r w:rsidR="007C0955" w:rsidRPr="002A16FE">
        <w:rPr>
          <w:rFonts w:ascii="Arial" w:hAnsi="Arial" w:cs="Arial"/>
          <w:sz w:val="22"/>
          <w:szCs w:val="22"/>
        </w:rPr>
        <w:t xml:space="preserve"> de 1997, la Ley 104 de 1993</w:t>
      </w:r>
      <w:r w:rsidR="006D6F92" w:rsidRPr="002A16FE">
        <w:rPr>
          <w:rFonts w:ascii="Arial" w:hAnsi="Arial" w:cs="Arial"/>
          <w:sz w:val="22"/>
          <w:szCs w:val="22"/>
        </w:rPr>
        <w:t xml:space="preserve"> </w:t>
      </w:r>
      <w:r w:rsidR="007C0955" w:rsidRPr="002A16FE">
        <w:rPr>
          <w:rFonts w:ascii="Arial" w:hAnsi="Arial" w:cs="Arial"/>
          <w:sz w:val="22"/>
          <w:szCs w:val="22"/>
        </w:rPr>
        <w:t xml:space="preserve">estableció </w:t>
      </w:r>
      <w:r w:rsidR="001C5AFE" w:rsidRPr="002A16FE">
        <w:rPr>
          <w:rFonts w:ascii="Arial" w:hAnsi="Arial" w:cs="Arial"/>
          <w:sz w:val="22"/>
          <w:szCs w:val="22"/>
        </w:rPr>
        <w:t xml:space="preserve">el deber </w:t>
      </w:r>
      <w:r w:rsidR="006D6F92" w:rsidRPr="002A16FE">
        <w:rPr>
          <w:rFonts w:ascii="Arial" w:hAnsi="Arial" w:cs="Arial"/>
          <w:sz w:val="22"/>
          <w:szCs w:val="22"/>
        </w:rPr>
        <w:t xml:space="preserve">de declarar la caducidad de </w:t>
      </w:r>
      <w:r w:rsidR="007C0955" w:rsidRPr="002A16FE">
        <w:rPr>
          <w:rFonts w:ascii="Arial" w:hAnsi="Arial" w:cs="Arial"/>
          <w:sz w:val="22"/>
          <w:szCs w:val="22"/>
        </w:rPr>
        <w:t xml:space="preserve">los </w:t>
      </w:r>
      <w:r w:rsidR="006D6F92" w:rsidRPr="002A16FE">
        <w:rPr>
          <w:rFonts w:ascii="Arial" w:hAnsi="Arial" w:cs="Arial"/>
          <w:sz w:val="22"/>
          <w:szCs w:val="22"/>
        </w:rPr>
        <w:t xml:space="preserve">contratos estatales por la comisión de conductas que la ley asimila a </w:t>
      </w:r>
      <w:r w:rsidR="00DB3B8C" w:rsidRPr="002A16FE">
        <w:rPr>
          <w:rFonts w:ascii="Arial" w:hAnsi="Arial" w:cs="Arial"/>
          <w:sz w:val="22"/>
          <w:szCs w:val="22"/>
        </w:rPr>
        <w:t xml:space="preserve">patrocinio o colaboración </w:t>
      </w:r>
      <w:r w:rsidR="001C5AFE" w:rsidRPr="002A16FE">
        <w:rPr>
          <w:rFonts w:ascii="Arial" w:hAnsi="Arial" w:cs="Arial"/>
          <w:sz w:val="22"/>
          <w:szCs w:val="22"/>
        </w:rPr>
        <w:t xml:space="preserve">con </w:t>
      </w:r>
      <w:r w:rsidR="00DB3B8C" w:rsidRPr="002A16FE">
        <w:rPr>
          <w:rFonts w:ascii="Arial" w:hAnsi="Arial" w:cs="Arial"/>
          <w:sz w:val="22"/>
          <w:szCs w:val="22"/>
        </w:rPr>
        <w:t>la</w:t>
      </w:r>
      <w:r w:rsidR="00216AFD" w:rsidRPr="002A16FE">
        <w:rPr>
          <w:rFonts w:ascii="Arial" w:hAnsi="Arial" w:cs="Arial"/>
          <w:sz w:val="22"/>
          <w:szCs w:val="22"/>
        </w:rPr>
        <w:t>s</w:t>
      </w:r>
      <w:r w:rsidR="00DB3B8C" w:rsidRPr="002A16FE">
        <w:rPr>
          <w:rFonts w:ascii="Arial" w:hAnsi="Arial" w:cs="Arial"/>
          <w:sz w:val="22"/>
          <w:szCs w:val="22"/>
        </w:rPr>
        <w:t xml:space="preserve"> actividades ilícitas de grupos armados</w:t>
      </w:r>
      <w:r w:rsidR="0079276A" w:rsidRPr="002A16FE">
        <w:rPr>
          <w:rFonts w:ascii="Arial" w:hAnsi="Arial" w:cs="Arial"/>
          <w:sz w:val="22"/>
          <w:szCs w:val="22"/>
        </w:rPr>
        <w:t>, conforme fue regulado por los artículo</w:t>
      </w:r>
      <w:r w:rsidR="00AB70E9" w:rsidRPr="002A16FE">
        <w:rPr>
          <w:rFonts w:ascii="Arial" w:hAnsi="Arial" w:cs="Arial"/>
          <w:sz w:val="22"/>
          <w:szCs w:val="22"/>
        </w:rPr>
        <w:t>s</w:t>
      </w:r>
      <w:r w:rsidR="0079276A" w:rsidRPr="002A16FE">
        <w:rPr>
          <w:rFonts w:ascii="Arial" w:hAnsi="Arial" w:cs="Arial"/>
          <w:sz w:val="22"/>
          <w:szCs w:val="22"/>
        </w:rPr>
        <w:t xml:space="preserve"> 82 a 8</w:t>
      </w:r>
      <w:r w:rsidR="000F4BBD" w:rsidRPr="002A16FE">
        <w:rPr>
          <w:rFonts w:ascii="Arial" w:hAnsi="Arial" w:cs="Arial"/>
          <w:sz w:val="22"/>
          <w:szCs w:val="22"/>
        </w:rPr>
        <w:t xml:space="preserve">8 de dicha </w:t>
      </w:r>
      <w:r w:rsidR="00D42E35" w:rsidRPr="002A16FE">
        <w:rPr>
          <w:rFonts w:ascii="Arial" w:hAnsi="Arial" w:cs="Arial"/>
          <w:sz w:val="22"/>
          <w:szCs w:val="22"/>
        </w:rPr>
        <w:t>norma</w:t>
      </w:r>
      <w:r w:rsidR="000F4BBD" w:rsidRPr="002A16FE">
        <w:rPr>
          <w:rFonts w:ascii="Arial" w:hAnsi="Arial" w:cs="Arial"/>
          <w:sz w:val="22"/>
          <w:szCs w:val="22"/>
        </w:rPr>
        <w:t>, cuyo contenido fue mayormente reproducido por l</w:t>
      </w:r>
      <w:r w:rsidR="00D42E35" w:rsidRPr="002A16FE">
        <w:rPr>
          <w:rFonts w:ascii="Arial" w:hAnsi="Arial" w:cs="Arial"/>
          <w:sz w:val="22"/>
          <w:szCs w:val="22"/>
        </w:rPr>
        <w:t>os artículos 90 a 95 de la Ley 41</w:t>
      </w:r>
      <w:r w:rsidR="00A477A7" w:rsidRPr="002A16FE">
        <w:rPr>
          <w:rFonts w:ascii="Arial" w:hAnsi="Arial" w:cs="Arial"/>
          <w:sz w:val="22"/>
          <w:szCs w:val="22"/>
        </w:rPr>
        <w:t>8</w:t>
      </w:r>
      <w:r w:rsidR="00D42E35" w:rsidRPr="002A16FE">
        <w:rPr>
          <w:rFonts w:ascii="Arial" w:hAnsi="Arial" w:cs="Arial"/>
          <w:sz w:val="22"/>
          <w:szCs w:val="22"/>
        </w:rPr>
        <w:t xml:space="preserve"> de 199</w:t>
      </w:r>
      <w:r w:rsidR="00F057A4">
        <w:rPr>
          <w:rFonts w:ascii="Arial" w:hAnsi="Arial" w:cs="Arial"/>
          <w:sz w:val="22"/>
          <w:szCs w:val="22"/>
        </w:rPr>
        <w:t>7</w:t>
      </w:r>
      <w:r w:rsidR="00E628B2" w:rsidRPr="002A16FE">
        <w:rPr>
          <w:rStyle w:val="Refdenotaalpie"/>
          <w:rFonts w:ascii="Arial" w:hAnsi="Arial" w:cs="Arial"/>
          <w:sz w:val="22"/>
          <w:szCs w:val="22"/>
        </w:rPr>
        <w:footnoteReference w:id="38"/>
      </w:r>
      <w:r w:rsidR="00D42E35" w:rsidRPr="002A16FE">
        <w:rPr>
          <w:rFonts w:ascii="Arial" w:hAnsi="Arial" w:cs="Arial"/>
          <w:sz w:val="22"/>
          <w:szCs w:val="22"/>
        </w:rPr>
        <w:t xml:space="preserve">. </w:t>
      </w:r>
      <w:r w:rsidR="00B60E0C">
        <w:rPr>
          <w:rFonts w:ascii="Arial" w:hAnsi="Arial" w:cs="Arial"/>
          <w:sz w:val="22"/>
          <w:szCs w:val="22"/>
        </w:rPr>
        <w:t>Al respecto, la doctrina considera que:</w:t>
      </w:r>
    </w:p>
    <w:p w14:paraId="49C5BCC1" w14:textId="77777777" w:rsidR="00D22E14" w:rsidRDefault="00D22E14" w:rsidP="0064300E">
      <w:pPr>
        <w:pStyle w:val="NormalWeb"/>
        <w:spacing w:before="0" w:beforeAutospacing="0" w:after="0" w:afterAutospacing="0" w:line="276" w:lineRule="auto"/>
        <w:jc w:val="both"/>
        <w:rPr>
          <w:rFonts w:ascii="Arial" w:hAnsi="Arial" w:cs="Arial"/>
          <w:sz w:val="22"/>
          <w:szCs w:val="22"/>
        </w:rPr>
      </w:pPr>
    </w:p>
    <w:p w14:paraId="31E544EE" w14:textId="4D7D32D7" w:rsidR="00D22E14" w:rsidRPr="0064300E" w:rsidRDefault="00B60E0C" w:rsidP="0064300E">
      <w:pPr>
        <w:pStyle w:val="NormalWeb"/>
        <w:spacing w:before="0" w:beforeAutospacing="0" w:after="0" w:afterAutospacing="0"/>
        <w:ind w:left="709" w:right="709"/>
        <w:jc w:val="both"/>
        <w:rPr>
          <w:rFonts w:ascii="Arial" w:hAnsi="Arial" w:cs="Arial"/>
          <w:sz w:val="21"/>
          <w:szCs w:val="21"/>
        </w:rPr>
      </w:pPr>
      <w:r w:rsidRPr="0064300E">
        <w:rPr>
          <w:rFonts w:ascii="Arial" w:hAnsi="Arial" w:cs="Arial"/>
          <w:sz w:val="21"/>
          <w:szCs w:val="21"/>
        </w:rPr>
        <w:t>Las principales características del régimen especial de la caducidad</w:t>
      </w:r>
      <w:r w:rsidR="00C00BDD" w:rsidRPr="0064300E">
        <w:rPr>
          <w:rFonts w:ascii="Arial" w:hAnsi="Arial" w:cs="Arial"/>
          <w:sz w:val="21"/>
          <w:szCs w:val="21"/>
        </w:rPr>
        <w:t>, establecido en el artículo 5.5 de la Ley 80 de 1993 y el artículo 90 de la Ley 418 de 1997, es que no solo se aplica a contratos de obra pública y concesión de servicios públicos y bienes del Estado, como ocurre en el régimen general consagrado en el artículo 14.2 y 18 de la Ley 80 de 1993, sino a todos los contratos que celebren las entidades públicas; no tiene como finalidad la prestación regular, continua y eficiente de los servicios públicos que se le encomiendan a la Administración Pública sino que propende por la seguridad del Estado y el mantenimiento del orden público (típica actividad de policía). Los efectos de la caducidad al igual que en el régimen general, es la terminación y liquidación</w:t>
      </w:r>
      <w:r w:rsidR="00D22E14" w:rsidRPr="0064300E">
        <w:rPr>
          <w:rFonts w:ascii="Arial" w:hAnsi="Arial" w:cs="Arial"/>
          <w:sz w:val="21"/>
          <w:szCs w:val="21"/>
        </w:rPr>
        <w:t xml:space="preserve"> del contrato, la efectividad de la cláusula penal, la exigibilidad de la garantía contractual y la inhabilidad del contratista para participar en licitaciones y concursos y celebrar contratos con entidades públicos</w:t>
      </w:r>
      <w:r w:rsidR="00D22E14">
        <w:rPr>
          <w:rStyle w:val="Refdenotaalpie"/>
          <w:rFonts w:ascii="Arial" w:hAnsi="Arial" w:cs="Arial"/>
          <w:sz w:val="21"/>
          <w:szCs w:val="21"/>
        </w:rPr>
        <w:footnoteReference w:id="39"/>
      </w:r>
      <w:r w:rsidR="00D22E14" w:rsidRPr="0064300E">
        <w:rPr>
          <w:rFonts w:ascii="Arial" w:hAnsi="Arial" w:cs="Arial"/>
          <w:sz w:val="21"/>
          <w:szCs w:val="21"/>
        </w:rPr>
        <w:t>.</w:t>
      </w:r>
      <w:r w:rsidR="00C00BDD" w:rsidRPr="0064300E">
        <w:rPr>
          <w:rFonts w:ascii="Arial" w:hAnsi="Arial" w:cs="Arial"/>
          <w:sz w:val="21"/>
          <w:szCs w:val="21"/>
        </w:rPr>
        <w:t xml:space="preserve"> </w:t>
      </w:r>
    </w:p>
    <w:p w14:paraId="0BFA516D" w14:textId="1BD76909" w:rsidR="00B60E0C" w:rsidRPr="002A16FE" w:rsidRDefault="00C00BDD" w:rsidP="0064300E">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w:t>
      </w:r>
      <w:r w:rsidR="00B60E0C">
        <w:rPr>
          <w:rFonts w:ascii="Arial" w:hAnsi="Arial" w:cs="Arial"/>
          <w:sz w:val="22"/>
          <w:szCs w:val="22"/>
        </w:rPr>
        <w:t xml:space="preserve"> </w:t>
      </w:r>
    </w:p>
    <w:p w14:paraId="63DFB803" w14:textId="6C190615" w:rsidR="001C126E" w:rsidRDefault="00F21844" w:rsidP="00F62BB5">
      <w:pPr>
        <w:pStyle w:val="NormalWeb"/>
        <w:spacing w:before="0" w:beforeAutospacing="0" w:after="120" w:afterAutospacing="0" w:line="276" w:lineRule="auto"/>
        <w:jc w:val="both"/>
        <w:rPr>
          <w:rFonts w:ascii="Arial" w:hAnsi="Arial" w:cs="Arial"/>
          <w:sz w:val="22"/>
          <w:szCs w:val="22"/>
        </w:rPr>
      </w:pPr>
      <w:bookmarkStart w:id="9" w:name="ver_1660009"/>
      <w:bookmarkEnd w:id="9"/>
      <w:r w:rsidRPr="002A16FE">
        <w:rPr>
          <w:rFonts w:ascii="Arial" w:hAnsi="Arial" w:cs="Arial"/>
          <w:sz w:val="22"/>
          <w:szCs w:val="22"/>
        </w:rPr>
        <w:tab/>
      </w:r>
      <w:r w:rsidR="00F46C69" w:rsidRPr="002A16FE">
        <w:rPr>
          <w:rFonts w:ascii="Arial" w:hAnsi="Arial" w:cs="Arial"/>
          <w:sz w:val="22"/>
          <w:szCs w:val="22"/>
        </w:rPr>
        <w:t>Ahora bien,</w:t>
      </w:r>
      <w:r w:rsidR="001B0C8A" w:rsidRPr="002A16FE">
        <w:rPr>
          <w:rFonts w:ascii="Arial" w:hAnsi="Arial" w:cs="Arial"/>
          <w:sz w:val="22"/>
          <w:szCs w:val="22"/>
        </w:rPr>
        <w:t xml:space="preserve"> el parágrafo tercero del artículo 12 de la Ley 1150 de 2007</w:t>
      </w:r>
      <w:r w:rsidR="004C7828" w:rsidRPr="002A16FE">
        <w:rPr>
          <w:rStyle w:val="Refdenotaalpie"/>
          <w:rFonts w:ascii="Arial" w:hAnsi="Arial" w:cs="Arial"/>
          <w:sz w:val="22"/>
          <w:szCs w:val="22"/>
        </w:rPr>
        <w:footnoteReference w:id="40"/>
      </w:r>
      <w:r w:rsidR="001B0C8A" w:rsidRPr="002A16FE">
        <w:rPr>
          <w:rFonts w:ascii="Arial" w:hAnsi="Arial" w:cs="Arial"/>
          <w:sz w:val="22"/>
          <w:szCs w:val="22"/>
        </w:rPr>
        <w:t>, indica que los artículos 90 a 95 de la Ley 41</w:t>
      </w:r>
      <w:r w:rsidR="00A477A7" w:rsidRPr="002A16FE">
        <w:rPr>
          <w:rFonts w:ascii="Arial" w:hAnsi="Arial" w:cs="Arial"/>
          <w:sz w:val="22"/>
          <w:szCs w:val="22"/>
        </w:rPr>
        <w:t>8</w:t>
      </w:r>
      <w:r w:rsidR="001B0C8A" w:rsidRPr="002A16FE">
        <w:rPr>
          <w:rFonts w:ascii="Arial" w:hAnsi="Arial" w:cs="Arial"/>
          <w:sz w:val="22"/>
          <w:szCs w:val="22"/>
        </w:rPr>
        <w:t xml:space="preserve"> de 1997</w:t>
      </w:r>
      <w:r w:rsidR="004C7828" w:rsidRPr="002A16FE">
        <w:rPr>
          <w:rFonts w:ascii="Arial" w:hAnsi="Arial" w:cs="Arial"/>
          <w:sz w:val="22"/>
          <w:szCs w:val="22"/>
        </w:rPr>
        <w:t xml:space="preserve"> deberán aplicarse en los contratos a los que aquel se refiere</w:t>
      </w:r>
      <w:r w:rsidR="00F62BB5" w:rsidRPr="002A16FE">
        <w:rPr>
          <w:rFonts w:ascii="Arial" w:hAnsi="Arial" w:cs="Arial"/>
          <w:sz w:val="22"/>
          <w:szCs w:val="22"/>
        </w:rPr>
        <w:t xml:space="preserve">. Esta norma </w:t>
      </w:r>
      <w:r w:rsidR="00231F3C">
        <w:rPr>
          <w:rFonts w:ascii="Arial" w:hAnsi="Arial" w:cs="Arial"/>
          <w:sz w:val="22"/>
          <w:szCs w:val="22"/>
        </w:rPr>
        <w:t>regula</w:t>
      </w:r>
      <w:r w:rsidR="00C96BF7" w:rsidRPr="002A16FE">
        <w:rPr>
          <w:rFonts w:ascii="Arial" w:hAnsi="Arial" w:cs="Arial"/>
          <w:sz w:val="22"/>
          <w:szCs w:val="22"/>
        </w:rPr>
        <w:t xml:space="preserve"> la </w:t>
      </w:r>
      <w:r w:rsidR="00863C10" w:rsidRPr="002A16FE">
        <w:rPr>
          <w:rFonts w:ascii="Arial" w:hAnsi="Arial" w:cs="Arial"/>
          <w:sz w:val="22"/>
          <w:szCs w:val="22"/>
        </w:rPr>
        <w:t>promoción del desarrollo en la contratación pública</w:t>
      </w:r>
      <w:r w:rsidR="00F62BB5" w:rsidRPr="002A16FE">
        <w:rPr>
          <w:rFonts w:ascii="Arial" w:hAnsi="Arial" w:cs="Arial"/>
          <w:sz w:val="22"/>
          <w:szCs w:val="22"/>
        </w:rPr>
        <w:t xml:space="preserve">, </w:t>
      </w:r>
      <w:r w:rsidR="006115E1" w:rsidRPr="002A16FE">
        <w:rPr>
          <w:rFonts w:ascii="Arial" w:hAnsi="Arial" w:cs="Arial"/>
          <w:sz w:val="22"/>
          <w:szCs w:val="22"/>
        </w:rPr>
        <w:t>establec</w:t>
      </w:r>
      <w:r w:rsidR="00F62BB5" w:rsidRPr="002A16FE">
        <w:rPr>
          <w:rFonts w:ascii="Arial" w:hAnsi="Arial" w:cs="Arial"/>
          <w:sz w:val="22"/>
          <w:szCs w:val="22"/>
        </w:rPr>
        <w:t>iendo</w:t>
      </w:r>
      <w:r w:rsidR="006115E1" w:rsidRPr="002A16FE">
        <w:rPr>
          <w:rFonts w:ascii="Arial" w:hAnsi="Arial" w:cs="Arial"/>
          <w:sz w:val="22"/>
          <w:szCs w:val="22"/>
        </w:rPr>
        <w:t xml:space="preserve"> la posibilidad de desarrollar</w:t>
      </w:r>
      <w:r w:rsidR="00D84F03" w:rsidRPr="002A16FE">
        <w:rPr>
          <w:rFonts w:ascii="Arial" w:hAnsi="Arial" w:cs="Arial"/>
          <w:sz w:val="22"/>
          <w:szCs w:val="22"/>
        </w:rPr>
        <w:t xml:space="preserve"> procesos de selección en los que se </w:t>
      </w:r>
      <w:r w:rsidR="006115E1" w:rsidRPr="002A16FE">
        <w:rPr>
          <w:rFonts w:ascii="Arial" w:hAnsi="Arial" w:cs="Arial"/>
          <w:sz w:val="22"/>
          <w:szCs w:val="22"/>
        </w:rPr>
        <w:t>limit</w:t>
      </w:r>
      <w:r w:rsidR="00D84F03" w:rsidRPr="002A16FE">
        <w:rPr>
          <w:rFonts w:ascii="Arial" w:hAnsi="Arial" w:cs="Arial"/>
          <w:sz w:val="22"/>
          <w:szCs w:val="22"/>
        </w:rPr>
        <w:t>e</w:t>
      </w:r>
      <w:r w:rsidR="006115E1" w:rsidRPr="002A16FE">
        <w:rPr>
          <w:rFonts w:ascii="Arial" w:hAnsi="Arial" w:cs="Arial"/>
          <w:sz w:val="22"/>
          <w:szCs w:val="22"/>
        </w:rPr>
        <w:t xml:space="preserve"> la participación </w:t>
      </w:r>
      <w:r w:rsidR="00D84F03" w:rsidRPr="002A16FE">
        <w:rPr>
          <w:rFonts w:ascii="Arial" w:hAnsi="Arial" w:cs="Arial"/>
          <w:sz w:val="22"/>
          <w:szCs w:val="22"/>
        </w:rPr>
        <w:t>a</w:t>
      </w:r>
      <w:r w:rsidR="006115E1" w:rsidRPr="002A16FE">
        <w:rPr>
          <w:rFonts w:ascii="Arial" w:hAnsi="Arial" w:cs="Arial"/>
          <w:sz w:val="22"/>
          <w:szCs w:val="22"/>
        </w:rPr>
        <w:t xml:space="preserve"> micro, pequeñas y medianas empresas –m</w:t>
      </w:r>
      <w:r w:rsidR="00D84F03" w:rsidRPr="002A16FE">
        <w:rPr>
          <w:rFonts w:ascii="Arial" w:hAnsi="Arial" w:cs="Arial"/>
          <w:sz w:val="22"/>
          <w:szCs w:val="22"/>
        </w:rPr>
        <w:t>ipymes–</w:t>
      </w:r>
      <w:r w:rsidR="005B5659" w:rsidRPr="002A16FE">
        <w:rPr>
          <w:rFonts w:ascii="Arial" w:hAnsi="Arial" w:cs="Arial"/>
          <w:sz w:val="22"/>
          <w:szCs w:val="22"/>
        </w:rPr>
        <w:t xml:space="preserve">. </w:t>
      </w:r>
      <w:r w:rsidR="004526E0" w:rsidRPr="002A16FE">
        <w:rPr>
          <w:rFonts w:ascii="Arial" w:hAnsi="Arial" w:cs="Arial"/>
          <w:sz w:val="22"/>
          <w:szCs w:val="22"/>
        </w:rPr>
        <w:t>Asimismo,</w:t>
      </w:r>
      <w:r w:rsidR="005B5659" w:rsidRPr="002A16FE">
        <w:rPr>
          <w:rFonts w:ascii="Arial" w:hAnsi="Arial" w:cs="Arial"/>
          <w:sz w:val="22"/>
          <w:szCs w:val="22"/>
        </w:rPr>
        <w:t xml:space="preserve"> consagra la facultad de establecer condiciones preferenciales en favor de la oferta</w:t>
      </w:r>
      <w:r w:rsidR="00D376E3" w:rsidRPr="002A16FE">
        <w:rPr>
          <w:rFonts w:ascii="Arial" w:hAnsi="Arial" w:cs="Arial"/>
          <w:sz w:val="22"/>
          <w:szCs w:val="22"/>
        </w:rPr>
        <w:t xml:space="preserve"> de bienes y servicios producidos por </w:t>
      </w:r>
      <w:r w:rsidR="005B5659" w:rsidRPr="002A16FE">
        <w:rPr>
          <w:rFonts w:ascii="Arial" w:hAnsi="Arial" w:cs="Arial"/>
          <w:sz w:val="22"/>
          <w:szCs w:val="22"/>
        </w:rPr>
        <w:t>m</w:t>
      </w:r>
      <w:r w:rsidR="00D376E3" w:rsidRPr="002A16FE">
        <w:rPr>
          <w:rFonts w:ascii="Arial" w:hAnsi="Arial" w:cs="Arial"/>
          <w:sz w:val="22"/>
          <w:szCs w:val="22"/>
        </w:rPr>
        <w:t>ipymes</w:t>
      </w:r>
      <w:r w:rsidR="001C126E">
        <w:rPr>
          <w:rFonts w:ascii="Arial" w:hAnsi="Arial" w:cs="Arial"/>
          <w:sz w:val="22"/>
          <w:szCs w:val="22"/>
        </w:rPr>
        <w:t>.</w:t>
      </w:r>
      <w:r w:rsidR="0006789F" w:rsidRPr="002A16FE">
        <w:rPr>
          <w:rFonts w:ascii="Arial" w:hAnsi="Arial" w:cs="Arial"/>
          <w:sz w:val="22"/>
          <w:szCs w:val="22"/>
        </w:rPr>
        <w:t xml:space="preserve"> </w:t>
      </w:r>
      <w:r w:rsidR="001C126E">
        <w:rPr>
          <w:rFonts w:ascii="Arial" w:hAnsi="Arial" w:cs="Arial"/>
          <w:sz w:val="22"/>
          <w:szCs w:val="22"/>
        </w:rPr>
        <w:t>P</w:t>
      </w:r>
      <w:r w:rsidR="0006789F" w:rsidRPr="002A16FE">
        <w:rPr>
          <w:rFonts w:ascii="Arial" w:hAnsi="Arial" w:cs="Arial"/>
          <w:sz w:val="22"/>
          <w:szCs w:val="22"/>
        </w:rPr>
        <w:t>or otro lado</w:t>
      </w:r>
      <w:r w:rsidR="00132A57" w:rsidRPr="002A16FE">
        <w:rPr>
          <w:rFonts w:ascii="Arial" w:hAnsi="Arial" w:cs="Arial"/>
          <w:sz w:val="22"/>
          <w:szCs w:val="22"/>
        </w:rPr>
        <w:t xml:space="preserve">, dispone la posibilidad de desarrollar mecanismos </w:t>
      </w:r>
      <w:r w:rsidR="00132A57" w:rsidRPr="002A16FE">
        <w:rPr>
          <w:rFonts w:ascii="Arial" w:hAnsi="Arial" w:cs="Arial"/>
          <w:sz w:val="22"/>
          <w:szCs w:val="22"/>
        </w:rPr>
        <w:lastRenderedPageBreak/>
        <w:t>que</w:t>
      </w:r>
      <w:r w:rsidR="00D376E3" w:rsidRPr="002A16FE">
        <w:rPr>
          <w:rFonts w:ascii="Arial" w:hAnsi="Arial" w:cs="Arial"/>
          <w:sz w:val="22"/>
          <w:szCs w:val="22"/>
        </w:rPr>
        <w:t xml:space="preserve"> fomenten en la ejecución de los contratos estatales por</w:t>
      </w:r>
      <w:r w:rsidR="007934E2" w:rsidRPr="002A16FE">
        <w:rPr>
          <w:rFonts w:ascii="Arial" w:hAnsi="Arial" w:cs="Arial"/>
          <w:sz w:val="22"/>
          <w:szCs w:val="22"/>
        </w:rPr>
        <w:t xml:space="preserve"> parte de grupos poblacionales vulnerables</w:t>
      </w:r>
      <w:r w:rsidR="00D376E3" w:rsidRPr="002A16FE">
        <w:rPr>
          <w:rFonts w:ascii="Arial" w:hAnsi="Arial" w:cs="Arial"/>
          <w:sz w:val="22"/>
          <w:szCs w:val="22"/>
        </w:rPr>
        <w:t xml:space="preserve"> y sujetos de especial protección constitucional</w:t>
      </w:r>
      <w:r w:rsidR="007934E2" w:rsidRPr="002A16FE">
        <w:rPr>
          <w:rFonts w:ascii="Arial" w:hAnsi="Arial" w:cs="Arial"/>
          <w:sz w:val="22"/>
          <w:szCs w:val="22"/>
        </w:rPr>
        <w:t xml:space="preserve">. </w:t>
      </w:r>
    </w:p>
    <w:p w14:paraId="77938EBF" w14:textId="332040CE" w:rsidR="00D376E3" w:rsidRPr="002A16FE" w:rsidRDefault="001C126E" w:rsidP="0064300E">
      <w:pPr>
        <w:pStyle w:val="NormalWeb"/>
        <w:spacing w:before="0" w:beforeAutospacing="0" w:after="120" w:afterAutospacing="0" w:line="276" w:lineRule="auto"/>
        <w:ind w:firstLine="708"/>
        <w:jc w:val="both"/>
        <w:rPr>
          <w:rFonts w:ascii="Arial" w:hAnsi="Arial" w:cs="Arial"/>
          <w:sz w:val="22"/>
          <w:szCs w:val="22"/>
        </w:rPr>
      </w:pPr>
      <w:r>
        <w:rPr>
          <w:rFonts w:ascii="Arial" w:hAnsi="Arial" w:cs="Arial"/>
          <w:sz w:val="22"/>
          <w:szCs w:val="22"/>
        </w:rPr>
        <w:t>Esta</w:t>
      </w:r>
      <w:r w:rsidR="002C6917" w:rsidRPr="002A16FE">
        <w:rPr>
          <w:rFonts w:ascii="Arial" w:hAnsi="Arial" w:cs="Arial"/>
          <w:sz w:val="22"/>
          <w:szCs w:val="22"/>
        </w:rPr>
        <w:t xml:space="preserve"> disposición, conforme a su redacción original, e incluso tras ser modificada por la Ley 1474 de 2011, </w:t>
      </w:r>
      <w:r w:rsidR="00B83D0F" w:rsidRPr="002A16FE">
        <w:rPr>
          <w:rFonts w:ascii="Arial" w:hAnsi="Arial" w:cs="Arial"/>
          <w:sz w:val="22"/>
          <w:szCs w:val="22"/>
        </w:rPr>
        <w:t xml:space="preserve">era aplicable a los procesos de selección adelantados </w:t>
      </w:r>
      <w:r w:rsidR="00D96738" w:rsidRPr="002A16FE">
        <w:rPr>
          <w:rFonts w:ascii="Arial" w:hAnsi="Arial" w:cs="Arial"/>
          <w:sz w:val="22"/>
          <w:szCs w:val="22"/>
        </w:rPr>
        <w:t>conforme al EGCAP</w:t>
      </w:r>
      <w:r>
        <w:rPr>
          <w:rFonts w:ascii="Arial" w:hAnsi="Arial" w:cs="Arial"/>
          <w:sz w:val="22"/>
          <w:szCs w:val="22"/>
        </w:rPr>
        <w:t>.</w:t>
      </w:r>
      <w:r w:rsidR="00D96738" w:rsidRPr="002A16FE">
        <w:rPr>
          <w:rFonts w:ascii="Arial" w:hAnsi="Arial" w:cs="Arial"/>
          <w:sz w:val="22"/>
          <w:szCs w:val="22"/>
        </w:rPr>
        <w:t xml:space="preserve"> </w:t>
      </w:r>
      <w:r>
        <w:rPr>
          <w:rFonts w:ascii="Arial" w:hAnsi="Arial" w:cs="Arial"/>
          <w:sz w:val="22"/>
          <w:szCs w:val="22"/>
        </w:rPr>
        <w:t>N</w:t>
      </w:r>
      <w:r w:rsidR="00D96738" w:rsidRPr="002A16FE">
        <w:rPr>
          <w:rFonts w:ascii="Arial" w:hAnsi="Arial" w:cs="Arial"/>
          <w:sz w:val="22"/>
          <w:szCs w:val="22"/>
        </w:rPr>
        <w:t xml:space="preserve">o obstante, con la modificación </w:t>
      </w:r>
      <w:r w:rsidR="00392519" w:rsidRPr="002A16FE">
        <w:rPr>
          <w:rFonts w:ascii="Arial" w:hAnsi="Arial" w:cs="Arial"/>
          <w:sz w:val="22"/>
          <w:szCs w:val="22"/>
        </w:rPr>
        <w:t>introducida por la Ley 2069 de 2020,</w:t>
      </w:r>
      <w:r w:rsidR="007F6AD4" w:rsidRPr="002A16FE">
        <w:rPr>
          <w:rFonts w:ascii="Arial" w:hAnsi="Arial" w:cs="Arial"/>
          <w:sz w:val="22"/>
          <w:szCs w:val="22"/>
        </w:rPr>
        <w:t xml:space="preserve"> también</w:t>
      </w:r>
      <w:r w:rsidR="00392519" w:rsidRPr="002A16FE">
        <w:rPr>
          <w:rFonts w:ascii="Arial" w:hAnsi="Arial" w:cs="Arial"/>
          <w:sz w:val="22"/>
          <w:szCs w:val="22"/>
        </w:rPr>
        <w:t xml:space="preserve"> lo </w:t>
      </w:r>
      <w:r w:rsidR="005444FD" w:rsidRPr="002A16FE">
        <w:rPr>
          <w:rFonts w:ascii="Arial" w:hAnsi="Arial" w:cs="Arial"/>
          <w:sz w:val="22"/>
          <w:szCs w:val="22"/>
        </w:rPr>
        <w:t xml:space="preserve">es </w:t>
      </w:r>
      <w:r w:rsidR="00AD2412" w:rsidRPr="002A16FE">
        <w:rPr>
          <w:rFonts w:ascii="Arial" w:hAnsi="Arial" w:cs="Arial"/>
          <w:sz w:val="22"/>
          <w:szCs w:val="22"/>
        </w:rPr>
        <w:t>respecto de las entidades excep</w:t>
      </w:r>
      <w:r w:rsidR="007F6AD4" w:rsidRPr="002A16FE">
        <w:rPr>
          <w:rFonts w:ascii="Arial" w:hAnsi="Arial" w:cs="Arial"/>
          <w:sz w:val="22"/>
          <w:szCs w:val="22"/>
        </w:rPr>
        <w:t xml:space="preserve">tuadas, en la medida que </w:t>
      </w:r>
      <w:r w:rsidR="00D501CA" w:rsidRPr="002A16FE">
        <w:rPr>
          <w:rFonts w:ascii="Arial" w:hAnsi="Arial" w:cs="Arial"/>
          <w:sz w:val="22"/>
          <w:szCs w:val="22"/>
        </w:rPr>
        <w:t>la redacción vigente del inciso</w:t>
      </w:r>
      <w:r w:rsidR="007F6AD4" w:rsidRPr="002A16FE">
        <w:rPr>
          <w:rFonts w:ascii="Arial" w:hAnsi="Arial" w:cs="Arial"/>
          <w:sz w:val="22"/>
          <w:szCs w:val="22"/>
        </w:rPr>
        <w:t xml:space="preserve"> primero </w:t>
      </w:r>
      <w:r w:rsidR="00D501CA" w:rsidRPr="002A16FE">
        <w:rPr>
          <w:rFonts w:ascii="Arial" w:hAnsi="Arial" w:cs="Arial"/>
          <w:sz w:val="22"/>
          <w:szCs w:val="22"/>
        </w:rPr>
        <w:t>de dicha norma indica que esta debe aplica</w:t>
      </w:r>
      <w:r w:rsidR="00223371">
        <w:rPr>
          <w:rFonts w:ascii="Arial" w:hAnsi="Arial" w:cs="Arial"/>
          <w:sz w:val="22"/>
          <w:szCs w:val="22"/>
        </w:rPr>
        <w:t>rse</w:t>
      </w:r>
      <w:r w:rsidR="00D501CA" w:rsidRPr="002A16FE">
        <w:rPr>
          <w:rFonts w:ascii="Arial" w:hAnsi="Arial" w:cs="Arial"/>
          <w:sz w:val="22"/>
          <w:szCs w:val="22"/>
        </w:rPr>
        <w:t xml:space="preserve"> por «las Entidades Estatales indistintamente de su régimen de contratación»</w:t>
      </w:r>
      <w:r w:rsidR="004C7940" w:rsidRPr="002A16FE">
        <w:rPr>
          <w:rStyle w:val="Refdenotaalpie"/>
          <w:rFonts w:ascii="Arial" w:hAnsi="Arial" w:cs="Arial"/>
          <w:sz w:val="22"/>
          <w:szCs w:val="22"/>
        </w:rPr>
        <w:footnoteReference w:id="41"/>
      </w:r>
      <w:r w:rsidR="00D501CA" w:rsidRPr="002A16FE">
        <w:rPr>
          <w:rFonts w:ascii="Arial" w:hAnsi="Arial" w:cs="Arial"/>
          <w:sz w:val="22"/>
          <w:szCs w:val="22"/>
        </w:rPr>
        <w:t xml:space="preserve">. </w:t>
      </w:r>
    </w:p>
    <w:p w14:paraId="7EC091D4" w14:textId="5630D5EF" w:rsidR="0035119E" w:rsidRPr="002A16FE" w:rsidRDefault="00F62BB5" w:rsidP="00F62BB5">
      <w:pPr>
        <w:pStyle w:val="NormalWeb"/>
        <w:spacing w:before="0" w:beforeAutospacing="0" w:after="120" w:afterAutospacing="0" w:line="276" w:lineRule="auto"/>
        <w:jc w:val="both"/>
        <w:rPr>
          <w:rFonts w:ascii="Arial" w:hAnsi="Arial" w:cs="Arial"/>
          <w:sz w:val="22"/>
          <w:szCs w:val="22"/>
        </w:rPr>
      </w:pPr>
      <w:r w:rsidRPr="002A16FE">
        <w:rPr>
          <w:rFonts w:ascii="Arial" w:hAnsi="Arial" w:cs="Arial"/>
          <w:sz w:val="22"/>
          <w:szCs w:val="22"/>
        </w:rPr>
        <w:tab/>
      </w:r>
      <w:r w:rsidR="0062393C" w:rsidRPr="002A16FE">
        <w:rPr>
          <w:rFonts w:ascii="Arial" w:hAnsi="Arial" w:cs="Arial"/>
          <w:sz w:val="22"/>
          <w:szCs w:val="22"/>
        </w:rPr>
        <w:t xml:space="preserve">De acuerdo con esto, la modificación introducida en el </w:t>
      </w:r>
      <w:r w:rsidR="009F4B05" w:rsidRPr="002A16FE">
        <w:rPr>
          <w:rFonts w:ascii="Arial" w:hAnsi="Arial" w:cs="Arial"/>
          <w:sz w:val="22"/>
          <w:szCs w:val="22"/>
        </w:rPr>
        <w:t xml:space="preserve">inciso primero del artículo 12 de la Ley 1150 de 2007, por parte del artículo 34 de la Ley 2069 de 2020, tendiente a hacer extensiva su aplicación a todo tipo de entidades estatales </w:t>
      </w:r>
      <w:r w:rsidR="00C8548A" w:rsidRPr="002A16FE">
        <w:rPr>
          <w:rFonts w:ascii="Arial" w:hAnsi="Arial" w:cs="Arial"/>
          <w:sz w:val="22"/>
          <w:szCs w:val="22"/>
        </w:rPr>
        <w:t xml:space="preserve">sin </w:t>
      </w:r>
      <w:r w:rsidR="000764C2" w:rsidRPr="002A16FE">
        <w:rPr>
          <w:rFonts w:ascii="Arial" w:hAnsi="Arial" w:cs="Arial"/>
          <w:sz w:val="22"/>
          <w:szCs w:val="22"/>
        </w:rPr>
        <w:t>importar</w:t>
      </w:r>
      <w:r w:rsidR="00C8548A" w:rsidRPr="002A16FE">
        <w:rPr>
          <w:rFonts w:ascii="Arial" w:hAnsi="Arial" w:cs="Arial"/>
          <w:sz w:val="22"/>
          <w:szCs w:val="22"/>
        </w:rPr>
        <w:t xml:space="preserve"> a su régimen de contratación, implic</w:t>
      </w:r>
      <w:r w:rsidR="00231F3C">
        <w:rPr>
          <w:rFonts w:ascii="Arial" w:hAnsi="Arial" w:cs="Arial"/>
          <w:sz w:val="22"/>
          <w:szCs w:val="22"/>
        </w:rPr>
        <w:t>a</w:t>
      </w:r>
      <w:r w:rsidR="00C8548A" w:rsidRPr="002A16FE">
        <w:rPr>
          <w:rFonts w:ascii="Arial" w:hAnsi="Arial" w:cs="Arial"/>
          <w:sz w:val="22"/>
          <w:szCs w:val="22"/>
        </w:rPr>
        <w:t xml:space="preserve"> que e</w:t>
      </w:r>
      <w:r w:rsidR="00E1737D" w:rsidRPr="002A16FE">
        <w:rPr>
          <w:rFonts w:ascii="Arial" w:hAnsi="Arial" w:cs="Arial"/>
          <w:sz w:val="22"/>
          <w:szCs w:val="22"/>
        </w:rPr>
        <w:t xml:space="preserve">l ámbito de aplicación del parágrafo tercero de dicha norma también se </w:t>
      </w:r>
      <w:r w:rsidR="00231F3C" w:rsidRPr="002A16FE">
        <w:rPr>
          <w:rFonts w:ascii="Arial" w:hAnsi="Arial" w:cs="Arial"/>
          <w:sz w:val="22"/>
          <w:szCs w:val="22"/>
        </w:rPr>
        <w:t>extiende</w:t>
      </w:r>
      <w:r w:rsidR="00E1737D" w:rsidRPr="002A16FE">
        <w:rPr>
          <w:rFonts w:ascii="Arial" w:hAnsi="Arial" w:cs="Arial"/>
          <w:sz w:val="22"/>
          <w:szCs w:val="22"/>
        </w:rPr>
        <w:t xml:space="preserve"> a la</w:t>
      </w:r>
      <w:r w:rsidR="000764C2" w:rsidRPr="002A16FE">
        <w:rPr>
          <w:rFonts w:ascii="Arial" w:hAnsi="Arial" w:cs="Arial"/>
          <w:sz w:val="22"/>
          <w:szCs w:val="22"/>
        </w:rPr>
        <w:t>s</w:t>
      </w:r>
      <w:r w:rsidR="00E1737D" w:rsidRPr="002A16FE">
        <w:rPr>
          <w:rFonts w:ascii="Arial" w:hAnsi="Arial" w:cs="Arial"/>
          <w:sz w:val="22"/>
          <w:szCs w:val="22"/>
        </w:rPr>
        <w:t xml:space="preserve"> entidades públicas con régimen </w:t>
      </w:r>
      <w:r w:rsidR="00144344">
        <w:rPr>
          <w:rFonts w:ascii="Arial" w:hAnsi="Arial" w:cs="Arial"/>
          <w:sz w:val="22"/>
          <w:szCs w:val="22"/>
        </w:rPr>
        <w:t xml:space="preserve">especial </w:t>
      </w:r>
      <w:r w:rsidR="00E1737D" w:rsidRPr="002A16FE">
        <w:rPr>
          <w:rFonts w:ascii="Arial" w:hAnsi="Arial" w:cs="Arial"/>
          <w:sz w:val="22"/>
          <w:szCs w:val="22"/>
        </w:rPr>
        <w:t>de contratación especial</w:t>
      </w:r>
      <w:r w:rsidR="007D4455" w:rsidRPr="002A16FE">
        <w:rPr>
          <w:rFonts w:ascii="Arial" w:hAnsi="Arial" w:cs="Arial"/>
          <w:sz w:val="22"/>
          <w:szCs w:val="22"/>
        </w:rPr>
        <w:t xml:space="preserve">. </w:t>
      </w:r>
      <w:r w:rsidR="00223371">
        <w:rPr>
          <w:rFonts w:ascii="Arial" w:hAnsi="Arial" w:cs="Arial"/>
          <w:sz w:val="22"/>
          <w:szCs w:val="22"/>
        </w:rPr>
        <w:t>Esto</w:t>
      </w:r>
      <w:r w:rsidR="00C7690C" w:rsidRPr="002A16FE">
        <w:rPr>
          <w:rFonts w:ascii="Arial" w:hAnsi="Arial" w:cs="Arial"/>
          <w:sz w:val="22"/>
          <w:szCs w:val="22"/>
        </w:rPr>
        <w:t xml:space="preserve"> </w:t>
      </w:r>
      <w:r w:rsidR="00E1737D" w:rsidRPr="002A16FE">
        <w:rPr>
          <w:rFonts w:ascii="Arial" w:hAnsi="Arial" w:cs="Arial"/>
          <w:sz w:val="22"/>
          <w:szCs w:val="22"/>
        </w:rPr>
        <w:t>supone que</w:t>
      </w:r>
      <w:r w:rsidR="00C7690C" w:rsidRPr="002A16FE">
        <w:rPr>
          <w:rFonts w:ascii="Arial" w:hAnsi="Arial" w:cs="Arial"/>
          <w:sz w:val="22"/>
          <w:szCs w:val="22"/>
        </w:rPr>
        <w:t>,</w:t>
      </w:r>
      <w:r w:rsidR="00E1737D" w:rsidRPr="002A16FE">
        <w:rPr>
          <w:rFonts w:ascii="Arial" w:hAnsi="Arial" w:cs="Arial"/>
          <w:sz w:val="22"/>
          <w:szCs w:val="22"/>
        </w:rPr>
        <w:t xml:space="preserve"> por efectos de la </w:t>
      </w:r>
      <w:r w:rsidR="007D4455" w:rsidRPr="002A16FE">
        <w:rPr>
          <w:rFonts w:ascii="Arial" w:hAnsi="Arial" w:cs="Arial"/>
          <w:sz w:val="22"/>
          <w:szCs w:val="22"/>
        </w:rPr>
        <w:t xml:space="preserve">entrada en vigencia de la Ley 2069 de 2020, </w:t>
      </w:r>
      <w:r w:rsidR="00C7690C" w:rsidRPr="002A16FE">
        <w:rPr>
          <w:rFonts w:ascii="Arial" w:hAnsi="Arial" w:cs="Arial"/>
          <w:sz w:val="22"/>
          <w:szCs w:val="22"/>
        </w:rPr>
        <w:t xml:space="preserve">las entidades estatales que contratan </w:t>
      </w:r>
      <w:r w:rsidR="00261689" w:rsidRPr="002A16FE">
        <w:rPr>
          <w:rFonts w:ascii="Arial" w:hAnsi="Arial" w:cs="Arial"/>
          <w:sz w:val="22"/>
          <w:szCs w:val="22"/>
        </w:rPr>
        <w:t>conforme al derecho privado están ahora</w:t>
      </w:r>
      <w:r w:rsidR="007D4455" w:rsidRPr="002A16FE">
        <w:rPr>
          <w:rFonts w:ascii="Arial" w:hAnsi="Arial" w:cs="Arial"/>
          <w:sz w:val="22"/>
          <w:szCs w:val="22"/>
        </w:rPr>
        <w:t xml:space="preserve"> </w:t>
      </w:r>
      <w:r w:rsidR="00261689" w:rsidRPr="002A16FE">
        <w:rPr>
          <w:rFonts w:ascii="Arial" w:hAnsi="Arial" w:cs="Arial"/>
          <w:sz w:val="22"/>
          <w:szCs w:val="22"/>
        </w:rPr>
        <w:t>facultadas para</w:t>
      </w:r>
      <w:r w:rsidR="007D4455" w:rsidRPr="002A16FE">
        <w:rPr>
          <w:rFonts w:ascii="Arial" w:hAnsi="Arial" w:cs="Arial"/>
          <w:sz w:val="22"/>
          <w:szCs w:val="22"/>
        </w:rPr>
        <w:t xml:space="preserve"> </w:t>
      </w:r>
      <w:r w:rsidR="00261689" w:rsidRPr="002A16FE">
        <w:rPr>
          <w:rFonts w:ascii="Arial" w:hAnsi="Arial" w:cs="Arial"/>
          <w:sz w:val="22"/>
          <w:szCs w:val="22"/>
        </w:rPr>
        <w:t>declarar</w:t>
      </w:r>
      <w:r w:rsidR="00277766" w:rsidRPr="002A16FE">
        <w:rPr>
          <w:rFonts w:ascii="Arial" w:hAnsi="Arial" w:cs="Arial"/>
          <w:sz w:val="22"/>
          <w:szCs w:val="22"/>
        </w:rPr>
        <w:t xml:space="preserve"> </w:t>
      </w:r>
      <w:r w:rsidR="007D4455" w:rsidRPr="002A16FE">
        <w:rPr>
          <w:rFonts w:ascii="Arial" w:hAnsi="Arial" w:cs="Arial"/>
          <w:sz w:val="22"/>
          <w:szCs w:val="22"/>
        </w:rPr>
        <w:t xml:space="preserve">caducidad </w:t>
      </w:r>
      <w:r w:rsidR="00277766" w:rsidRPr="002A16FE">
        <w:rPr>
          <w:rFonts w:ascii="Arial" w:hAnsi="Arial" w:cs="Arial"/>
          <w:sz w:val="22"/>
          <w:szCs w:val="22"/>
        </w:rPr>
        <w:t>conforme</w:t>
      </w:r>
      <w:r w:rsidR="007D4455" w:rsidRPr="002A16FE">
        <w:rPr>
          <w:rFonts w:ascii="Arial" w:hAnsi="Arial" w:cs="Arial"/>
          <w:sz w:val="22"/>
          <w:szCs w:val="22"/>
        </w:rPr>
        <w:t xml:space="preserve"> </w:t>
      </w:r>
      <w:r w:rsidR="00277766" w:rsidRPr="002A16FE">
        <w:rPr>
          <w:rFonts w:ascii="Arial" w:hAnsi="Arial" w:cs="Arial"/>
          <w:sz w:val="22"/>
          <w:szCs w:val="22"/>
        </w:rPr>
        <w:t xml:space="preserve">a </w:t>
      </w:r>
      <w:r w:rsidR="007D4455" w:rsidRPr="002A16FE">
        <w:rPr>
          <w:rFonts w:ascii="Arial" w:hAnsi="Arial" w:cs="Arial"/>
          <w:sz w:val="22"/>
          <w:szCs w:val="22"/>
        </w:rPr>
        <w:t>la Ley 41</w:t>
      </w:r>
      <w:r w:rsidR="00731F45" w:rsidRPr="002A16FE">
        <w:rPr>
          <w:rFonts w:ascii="Arial" w:hAnsi="Arial" w:cs="Arial"/>
          <w:sz w:val="22"/>
          <w:szCs w:val="22"/>
        </w:rPr>
        <w:t>8</w:t>
      </w:r>
      <w:r w:rsidR="007D4455" w:rsidRPr="002A16FE">
        <w:rPr>
          <w:rFonts w:ascii="Arial" w:hAnsi="Arial" w:cs="Arial"/>
          <w:sz w:val="22"/>
          <w:szCs w:val="22"/>
        </w:rPr>
        <w:t xml:space="preserve"> de 1997</w:t>
      </w:r>
      <w:r w:rsidR="000764C2" w:rsidRPr="002A16FE">
        <w:rPr>
          <w:rFonts w:ascii="Arial" w:hAnsi="Arial" w:cs="Arial"/>
          <w:sz w:val="22"/>
          <w:szCs w:val="22"/>
        </w:rPr>
        <w:t>.</w:t>
      </w:r>
      <w:r w:rsidR="00223371">
        <w:rPr>
          <w:rFonts w:ascii="Arial" w:hAnsi="Arial" w:cs="Arial"/>
          <w:sz w:val="22"/>
          <w:szCs w:val="22"/>
        </w:rPr>
        <w:t xml:space="preserve"> </w:t>
      </w:r>
      <w:r w:rsidR="0035119E">
        <w:rPr>
          <w:rFonts w:ascii="Arial" w:hAnsi="Arial" w:cs="Arial"/>
          <w:sz w:val="22"/>
          <w:szCs w:val="22"/>
        </w:rPr>
        <w:tab/>
      </w:r>
    </w:p>
    <w:p w14:paraId="53B140D7" w14:textId="7B96F20B" w:rsidR="007A5EB0" w:rsidRPr="002A16FE" w:rsidRDefault="0035119E" w:rsidP="0064300E">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lastRenderedPageBreak/>
        <w:tab/>
      </w:r>
      <w:r w:rsidR="002F3B3E">
        <w:rPr>
          <w:rFonts w:ascii="Arial" w:hAnsi="Arial" w:cs="Arial"/>
          <w:sz w:val="22"/>
          <w:szCs w:val="22"/>
        </w:rPr>
        <w:t>Por tanto</w:t>
      </w:r>
      <w:r w:rsidR="007A5EB0" w:rsidRPr="002A16FE">
        <w:rPr>
          <w:rFonts w:ascii="Arial" w:hAnsi="Arial" w:cs="Arial"/>
          <w:sz w:val="22"/>
          <w:szCs w:val="22"/>
        </w:rPr>
        <w:t>, lo dispuesto en el parágrafo tercero del artículo 12 de la Ley 1150 de 2007, modificado por</w:t>
      </w:r>
      <w:r w:rsidR="002F3B3E">
        <w:rPr>
          <w:rFonts w:ascii="Arial" w:hAnsi="Arial" w:cs="Arial"/>
          <w:sz w:val="22"/>
          <w:szCs w:val="22"/>
        </w:rPr>
        <w:t xml:space="preserve"> el artículo 34 de</w:t>
      </w:r>
      <w:r w:rsidR="007A5EB0" w:rsidRPr="002A16FE">
        <w:rPr>
          <w:rFonts w:ascii="Arial" w:hAnsi="Arial" w:cs="Arial"/>
          <w:sz w:val="22"/>
          <w:szCs w:val="22"/>
        </w:rPr>
        <w:t xml:space="preserve"> la Ley 2069 de 2020, </w:t>
      </w:r>
      <w:r w:rsidR="00854E73" w:rsidRPr="002A16FE">
        <w:rPr>
          <w:rFonts w:ascii="Arial" w:hAnsi="Arial" w:cs="Arial"/>
          <w:sz w:val="22"/>
          <w:szCs w:val="22"/>
        </w:rPr>
        <w:t>constituye una remisión normativa</w:t>
      </w:r>
      <w:r w:rsidR="005764F3" w:rsidRPr="002A16FE">
        <w:rPr>
          <w:rFonts w:ascii="Arial" w:hAnsi="Arial" w:cs="Arial"/>
          <w:sz w:val="22"/>
          <w:szCs w:val="22"/>
        </w:rPr>
        <w:t xml:space="preserve"> materializada por el legislador en </w:t>
      </w:r>
      <w:r w:rsidR="009B685A" w:rsidRPr="002A16FE">
        <w:rPr>
          <w:rFonts w:ascii="Arial" w:hAnsi="Arial" w:cs="Arial"/>
          <w:sz w:val="22"/>
          <w:szCs w:val="22"/>
        </w:rPr>
        <w:t xml:space="preserve">el propósito de hacer </w:t>
      </w:r>
      <w:r w:rsidR="00194FD4" w:rsidRPr="002A16FE">
        <w:rPr>
          <w:rFonts w:ascii="Arial" w:hAnsi="Arial" w:cs="Arial"/>
          <w:sz w:val="22"/>
          <w:szCs w:val="22"/>
        </w:rPr>
        <w:t>explícitos los deberes que derivan de los artículos 90 a 95 de la Ley 41</w:t>
      </w:r>
      <w:r w:rsidR="00C92B3F" w:rsidRPr="002A16FE">
        <w:rPr>
          <w:rFonts w:ascii="Arial" w:hAnsi="Arial" w:cs="Arial"/>
          <w:sz w:val="22"/>
          <w:szCs w:val="22"/>
        </w:rPr>
        <w:t>8</w:t>
      </w:r>
      <w:r w:rsidR="00194FD4" w:rsidRPr="002A16FE">
        <w:rPr>
          <w:rFonts w:ascii="Arial" w:hAnsi="Arial" w:cs="Arial"/>
          <w:sz w:val="22"/>
          <w:szCs w:val="22"/>
        </w:rPr>
        <w:t xml:space="preserve"> de 199</w:t>
      </w:r>
      <w:r w:rsidR="00C92B3F" w:rsidRPr="002A16FE">
        <w:rPr>
          <w:rFonts w:ascii="Arial" w:hAnsi="Arial" w:cs="Arial"/>
          <w:sz w:val="22"/>
          <w:szCs w:val="22"/>
        </w:rPr>
        <w:t>7</w:t>
      </w:r>
      <w:r w:rsidR="00990B5C" w:rsidRPr="002A16FE">
        <w:rPr>
          <w:rFonts w:ascii="Arial" w:hAnsi="Arial" w:cs="Arial"/>
          <w:sz w:val="22"/>
          <w:szCs w:val="22"/>
        </w:rPr>
        <w:t>, respecto de la contratación regulada por</w:t>
      </w:r>
      <w:r w:rsidR="00723278" w:rsidRPr="002A16FE">
        <w:rPr>
          <w:rFonts w:ascii="Arial" w:hAnsi="Arial" w:cs="Arial"/>
          <w:sz w:val="22"/>
          <w:szCs w:val="22"/>
        </w:rPr>
        <w:t xml:space="preserve"> aquel</w:t>
      </w:r>
      <w:r w:rsidR="008F1032" w:rsidRPr="002A16FE">
        <w:rPr>
          <w:rFonts w:ascii="Arial" w:hAnsi="Arial" w:cs="Arial"/>
          <w:sz w:val="22"/>
          <w:szCs w:val="22"/>
        </w:rPr>
        <w:t>.</w:t>
      </w:r>
    </w:p>
    <w:p w14:paraId="07E7C1E8" w14:textId="77777777" w:rsidR="003F1452" w:rsidRPr="002A16FE" w:rsidRDefault="003F1452" w:rsidP="00C00E78">
      <w:pPr>
        <w:pStyle w:val="NormalWeb"/>
        <w:spacing w:before="0" w:beforeAutospacing="0" w:after="0" w:afterAutospacing="0" w:line="270" w:lineRule="atLeast"/>
        <w:ind w:left="709" w:right="709"/>
        <w:jc w:val="both"/>
        <w:rPr>
          <w:rFonts w:ascii="Arial" w:hAnsi="Arial" w:cs="Arial"/>
          <w:sz w:val="22"/>
          <w:szCs w:val="22"/>
        </w:rPr>
      </w:pPr>
      <w:bookmarkStart w:id="10" w:name="ver_1660010"/>
      <w:bookmarkEnd w:id="10"/>
    </w:p>
    <w:p w14:paraId="4BA1A9F2" w14:textId="77777777" w:rsidR="00C00E78" w:rsidRPr="002A16FE" w:rsidRDefault="00C00E78" w:rsidP="00C00E78">
      <w:pPr>
        <w:pStyle w:val="Prrafodelista"/>
        <w:numPr>
          <w:ilvl w:val="0"/>
          <w:numId w:val="6"/>
        </w:numPr>
        <w:tabs>
          <w:tab w:val="left" w:pos="284"/>
        </w:tabs>
        <w:spacing w:line="276" w:lineRule="auto"/>
        <w:ind w:left="0" w:firstLine="0"/>
        <w:rPr>
          <w:rFonts w:ascii="Arial" w:hAnsi="Arial" w:cs="Arial"/>
          <w:b/>
          <w:bCs/>
          <w:sz w:val="22"/>
          <w:lang w:val="es-CO"/>
        </w:rPr>
      </w:pPr>
      <w:r w:rsidRPr="002A16FE">
        <w:rPr>
          <w:rFonts w:ascii="Arial" w:hAnsi="Arial" w:cs="Arial"/>
          <w:b/>
          <w:bCs/>
          <w:sz w:val="22"/>
          <w:lang w:val="es-CO"/>
        </w:rPr>
        <w:t xml:space="preserve">Respuesta </w:t>
      </w:r>
    </w:p>
    <w:p w14:paraId="14019484" w14:textId="77777777" w:rsidR="00C00E78" w:rsidRPr="002A16FE" w:rsidRDefault="00C00E78" w:rsidP="00C00E78">
      <w:pPr>
        <w:pStyle w:val="Prrafodelista"/>
        <w:tabs>
          <w:tab w:val="left" w:pos="284"/>
        </w:tabs>
        <w:spacing w:line="276" w:lineRule="auto"/>
        <w:ind w:left="0"/>
        <w:rPr>
          <w:rFonts w:ascii="Arial" w:hAnsi="Arial" w:cs="Arial"/>
          <w:b/>
          <w:bCs/>
          <w:sz w:val="22"/>
          <w:lang w:val="es-CO"/>
        </w:rPr>
      </w:pPr>
    </w:p>
    <w:p w14:paraId="7F5D3F03" w14:textId="77777777" w:rsidR="00473A3C" w:rsidRPr="002A16FE" w:rsidRDefault="00473A3C" w:rsidP="00473A3C">
      <w:pPr>
        <w:pStyle w:val="Default"/>
        <w:ind w:left="709" w:right="709"/>
        <w:jc w:val="both"/>
        <w:rPr>
          <w:color w:val="auto"/>
          <w:sz w:val="21"/>
          <w:szCs w:val="21"/>
        </w:rPr>
      </w:pPr>
      <w:r w:rsidRPr="002A16FE">
        <w:rPr>
          <w:color w:val="auto"/>
          <w:sz w:val="21"/>
          <w:szCs w:val="21"/>
          <w:lang w:val="es-ES_tradnl"/>
        </w:rPr>
        <w:t xml:space="preserve">«1. […] </w:t>
      </w:r>
      <w:r w:rsidRPr="002A16FE">
        <w:rPr>
          <w:color w:val="auto"/>
          <w:sz w:val="21"/>
          <w:szCs w:val="21"/>
        </w:rPr>
        <w:t xml:space="preserve"> ¿significa que las entidades estatales de régimen especial, que por regla general no tienen potestades excepcionales, podrán incluirlas en los procesos de selección cuando se limiten las convocatorias a Mipymes? </w:t>
      </w:r>
    </w:p>
    <w:p w14:paraId="37474848" w14:textId="77777777" w:rsidR="00473A3C" w:rsidRPr="002A16FE" w:rsidRDefault="00473A3C" w:rsidP="00473A3C">
      <w:pPr>
        <w:pStyle w:val="Default"/>
        <w:ind w:left="709" w:right="709"/>
        <w:jc w:val="both"/>
        <w:rPr>
          <w:color w:val="auto"/>
          <w:sz w:val="21"/>
          <w:szCs w:val="21"/>
        </w:rPr>
      </w:pPr>
    </w:p>
    <w:p w14:paraId="44ACC51A" w14:textId="2E620406" w:rsidR="00473A3C" w:rsidRPr="002A16FE" w:rsidRDefault="00473A3C" w:rsidP="00473A3C">
      <w:pPr>
        <w:pStyle w:val="Default"/>
        <w:ind w:left="709" w:right="709"/>
        <w:jc w:val="both"/>
        <w:rPr>
          <w:color w:val="auto"/>
          <w:sz w:val="21"/>
          <w:szCs w:val="21"/>
        </w:rPr>
      </w:pPr>
      <w:r w:rsidRPr="002A16FE">
        <w:rPr>
          <w:color w:val="auto"/>
          <w:sz w:val="21"/>
          <w:szCs w:val="21"/>
        </w:rPr>
        <w:t xml:space="preserve">2. ¿En qué otros casos, las entidades estatales con régimen especial pueden incluir potestades excepcionales? </w:t>
      </w:r>
      <w:r w:rsidR="00B660DB" w:rsidRPr="002A16FE">
        <w:rPr>
          <w:color w:val="auto"/>
          <w:sz w:val="21"/>
          <w:szCs w:val="21"/>
        </w:rPr>
        <w:t>[…]».</w:t>
      </w:r>
    </w:p>
    <w:p w14:paraId="33125335" w14:textId="20EC07A7" w:rsidR="00473A3C" w:rsidRPr="002A16FE" w:rsidRDefault="00473A3C" w:rsidP="00473A3C">
      <w:pPr>
        <w:pStyle w:val="Default"/>
        <w:ind w:left="709" w:right="709"/>
        <w:jc w:val="both"/>
        <w:rPr>
          <w:color w:val="auto"/>
          <w:sz w:val="21"/>
          <w:szCs w:val="21"/>
        </w:rPr>
      </w:pPr>
    </w:p>
    <w:p w14:paraId="418C3B2F" w14:textId="68D090F2" w:rsidR="00321439" w:rsidRPr="002A16FE" w:rsidRDefault="00321439" w:rsidP="0049164B">
      <w:pPr>
        <w:pStyle w:val="Prrafodelista"/>
        <w:tabs>
          <w:tab w:val="left" w:pos="284"/>
        </w:tabs>
        <w:spacing w:after="120" w:line="276" w:lineRule="auto"/>
        <w:ind w:left="0"/>
        <w:contextualSpacing w:val="0"/>
        <w:jc w:val="both"/>
        <w:rPr>
          <w:rFonts w:ascii="Arial" w:hAnsi="Arial" w:cs="Arial"/>
          <w:sz w:val="22"/>
          <w:lang w:val="es-CO"/>
        </w:rPr>
      </w:pPr>
      <w:r w:rsidRPr="002A16FE">
        <w:rPr>
          <w:rFonts w:ascii="Arial" w:hAnsi="Arial" w:cs="Arial"/>
          <w:sz w:val="22"/>
          <w:lang w:val="es-CO"/>
        </w:rPr>
        <w:t>En los contratos regidos por el derecho privado, respecto a los cuales no exista alguna norma específica que autorice la aplicación de las cláusulas excepcion</w:t>
      </w:r>
      <w:r w:rsidR="00072DEB">
        <w:rPr>
          <w:rFonts w:ascii="Arial" w:hAnsi="Arial" w:cs="Arial"/>
          <w:sz w:val="22"/>
          <w:lang w:val="es-CO"/>
        </w:rPr>
        <w:t>al</w:t>
      </w:r>
      <w:r w:rsidRPr="002A16FE">
        <w:rPr>
          <w:rFonts w:ascii="Arial" w:hAnsi="Arial" w:cs="Arial"/>
          <w:sz w:val="22"/>
          <w:lang w:val="es-CO"/>
        </w:rPr>
        <w:t>es</w:t>
      </w:r>
      <w:r w:rsidR="0020496F" w:rsidRPr="002A16FE">
        <w:rPr>
          <w:rFonts w:ascii="Arial" w:hAnsi="Arial" w:cs="Arial"/>
          <w:sz w:val="22"/>
          <w:lang w:val="es-CO"/>
        </w:rPr>
        <w:t xml:space="preserve"> a las que se refiere el artículo 14 de la Ley 80 de 1993, </w:t>
      </w:r>
      <w:r w:rsidRPr="002A16FE">
        <w:rPr>
          <w:rFonts w:ascii="Arial" w:hAnsi="Arial" w:cs="Arial"/>
          <w:sz w:val="22"/>
          <w:lang w:val="es-CO"/>
        </w:rPr>
        <w:t>como ocurre en algunos contratos celebrados por las empresas de servicios públicos domiciliarios y las empresas sociales del Estado, no es posible incluir est</w:t>
      </w:r>
      <w:r w:rsidR="00072DEB">
        <w:rPr>
          <w:rFonts w:ascii="Arial" w:hAnsi="Arial" w:cs="Arial"/>
          <w:sz w:val="22"/>
          <w:lang w:val="es-CO"/>
        </w:rPr>
        <w:t>e tipo de</w:t>
      </w:r>
      <w:r w:rsidRPr="002A16FE">
        <w:rPr>
          <w:rFonts w:ascii="Arial" w:hAnsi="Arial" w:cs="Arial"/>
          <w:sz w:val="22"/>
          <w:lang w:val="es-CO"/>
        </w:rPr>
        <w:t xml:space="preserve"> cláusulas.</w:t>
      </w:r>
    </w:p>
    <w:p w14:paraId="77153984" w14:textId="20327084" w:rsidR="00002CB0" w:rsidRPr="002A16FE" w:rsidRDefault="003F73D4" w:rsidP="00B621B5">
      <w:pPr>
        <w:pStyle w:val="NormalWeb"/>
        <w:spacing w:before="0" w:beforeAutospacing="0" w:after="120" w:afterAutospacing="0" w:line="276" w:lineRule="auto"/>
        <w:jc w:val="both"/>
        <w:rPr>
          <w:rFonts w:ascii="Arial" w:hAnsi="Arial" w:cs="Arial"/>
          <w:sz w:val="22"/>
          <w:szCs w:val="22"/>
        </w:rPr>
      </w:pPr>
      <w:r w:rsidRPr="002A16FE">
        <w:rPr>
          <w:rFonts w:ascii="Arial" w:hAnsi="Arial" w:cs="Arial"/>
          <w:sz w:val="22"/>
          <w:szCs w:val="22"/>
        </w:rPr>
        <w:tab/>
        <w:t>Sin perjuicio de lo anterior, de conformidad con los artículos 9</w:t>
      </w:r>
      <w:r w:rsidR="0049164B" w:rsidRPr="002A16FE">
        <w:rPr>
          <w:rFonts w:ascii="Arial" w:hAnsi="Arial" w:cs="Arial"/>
          <w:sz w:val="22"/>
          <w:szCs w:val="22"/>
        </w:rPr>
        <w:t>0 a 95 de la Ley 418 de 199</w:t>
      </w:r>
      <w:r w:rsidR="006E68C8" w:rsidRPr="002A16FE">
        <w:rPr>
          <w:rFonts w:ascii="Arial" w:hAnsi="Arial" w:cs="Arial"/>
          <w:sz w:val="22"/>
          <w:szCs w:val="22"/>
        </w:rPr>
        <w:t>7, todas las entidades públicas</w:t>
      </w:r>
      <w:r w:rsidR="00231F3C">
        <w:rPr>
          <w:rFonts w:ascii="Arial" w:hAnsi="Arial" w:cs="Arial"/>
          <w:sz w:val="22"/>
          <w:szCs w:val="22"/>
        </w:rPr>
        <w:t xml:space="preserve"> </w:t>
      </w:r>
      <w:r w:rsidR="006E68C8" w:rsidRPr="002A16FE">
        <w:rPr>
          <w:rFonts w:ascii="Arial" w:hAnsi="Arial" w:cs="Arial"/>
          <w:sz w:val="22"/>
          <w:szCs w:val="22"/>
        </w:rPr>
        <w:t xml:space="preserve">tienen </w:t>
      </w:r>
      <w:r w:rsidR="00DA0784" w:rsidRPr="002A16FE">
        <w:rPr>
          <w:rFonts w:ascii="Arial" w:hAnsi="Arial" w:cs="Arial"/>
          <w:sz w:val="22"/>
          <w:szCs w:val="22"/>
        </w:rPr>
        <w:t>la facultad de declarar la caducidad de los</w:t>
      </w:r>
      <w:r w:rsidR="0002370F" w:rsidRPr="002A16FE">
        <w:rPr>
          <w:rFonts w:ascii="Arial" w:hAnsi="Arial" w:cs="Arial"/>
          <w:sz w:val="22"/>
          <w:szCs w:val="22"/>
        </w:rPr>
        <w:t xml:space="preserve"> </w:t>
      </w:r>
      <w:r w:rsidR="00DA0784" w:rsidRPr="002A16FE">
        <w:rPr>
          <w:rFonts w:ascii="Arial" w:hAnsi="Arial" w:cs="Arial"/>
          <w:sz w:val="22"/>
          <w:szCs w:val="22"/>
        </w:rPr>
        <w:t xml:space="preserve"> contratos que celebren </w:t>
      </w:r>
      <w:r w:rsidR="00731FD4" w:rsidRPr="002A16FE">
        <w:rPr>
          <w:rFonts w:ascii="Arial" w:hAnsi="Arial" w:cs="Arial"/>
          <w:sz w:val="22"/>
          <w:szCs w:val="22"/>
        </w:rPr>
        <w:t>cuando el contratista</w:t>
      </w:r>
      <w:r w:rsidR="00002CB0" w:rsidRPr="002A16FE">
        <w:rPr>
          <w:rFonts w:ascii="Arial" w:hAnsi="Arial" w:cs="Arial"/>
          <w:sz w:val="22"/>
          <w:szCs w:val="22"/>
        </w:rPr>
        <w:t xml:space="preserve"> en la ejecución del contrato</w:t>
      </w:r>
      <w:r w:rsidR="0082087C" w:rsidRPr="002A16FE">
        <w:rPr>
          <w:rFonts w:ascii="Arial" w:hAnsi="Arial" w:cs="Arial"/>
          <w:sz w:val="22"/>
          <w:szCs w:val="22"/>
        </w:rPr>
        <w:t xml:space="preserve"> colabore con grupos armados al margen de la ley</w:t>
      </w:r>
      <w:r w:rsidR="0002370F" w:rsidRPr="002A16FE">
        <w:rPr>
          <w:rFonts w:ascii="Arial" w:hAnsi="Arial" w:cs="Arial"/>
          <w:sz w:val="22"/>
          <w:szCs w:val="22"/>
        </w:rPr>
        <w:t xml:space="preserve"> mediante conductas como</w:t>
      </w:r>
      <w:r w:rsidR="00002CB0" w:rsidRPr="002A16FE">
        <w:rPr>
          <w:rFonts w:ascii="Arial" w:hAnsi="Arial" w:cs="Arial"/>
          <w:sz w:val="22"/>
          <w:szCs w:val="22"/>
        </w:rPr>
        <w:t xml:space="preserve">: a) </w:t>
      </w:r>
      <w:r w:rsidR="0002370F" w:rsidRPr="002A16FE">
        <w:rPr>
          <w:rFonts w:ascii="Arial" w:hAnsi="Arial" w:cs="Arial"/>
          <w:sz w:val="22"/>
          <w:szCs w:val="22"/>
        </w:rPr>
        <w:t>c</w:t>
      </w:r>
      <w:r w:rsidR="00002CB0" w:rsidRPr="002A16FE">
        <w:rPr>
          <w:rFonts w:ascii="Arial" w:hAnsi="Arial" w:cs="Arial"/>
          <w:sz w:val="22"/>
          <w:szCs w:val="22"/>
        </w:rPr>
        <w:t>ed</w:t>
      </w:r>
      <w:r w:rsidR="0002370F" w:rsidRPr="002A16FE">
        <w:rPr>
          <w:rFonts w:ascii="Arial" w:hAnsi="Arial" w:cs="Arial"/>
          <w:sz w:val="22"/>
          <w:szCs w:val="22"/>
        </w:rPr>
        <w:t>er</w:t>
      </w:r>
      <w:r w:rsidR="00002CB0" w:rsidRPr="002A16FE">
        <w:rPr>
          <w:rFonts w:ascii="Arial" w:hAnsi="Arial" w:cs="Arial"/>
          <w:sz w:val="22"/>
          <w:szCs w:val="22"/>
        </w:rPr>
        <w:t xml:space="preserve"> injustificadamente ante las amenazas proferidas por </w:t>
      </w:r>
      <w:r w:rsidR="0002370F" w:rsidRPr="002A16FE">
        <w:rPr>
          <w:rFonts w:ascii="Arial" w:hAnsi="Arial" w:cs="Arial"/>
          <w:sz w:val="22"/>
          <w:szCs w:val="22"/>
        </w:rPr>
        <w:t>dichos grupos; b) r</w:t>
      </w:r>
      <w:r w:rsidR="00002CB0" w:rsidRPr="002A16FE">
        <w:rPr>
          <w:rFonts w:ascii="Arial" w:hAnsi="Arial" w:cs="Arial"/>
          <w:sz w:val="22"/>
          <w:szCs w:val="22"/>
        </w:rPr>
        <w:t>ecibir, suministrar, administrar, intervenir, financiar, transferir, guardar, transportar, almacenar o conservar dineros o bienes provenientes de o con destino a tales grupos o colaborar y prestar ayuda a los mismos</w:t>
      </w:r>
      <w:r w:rsidR="0002370F" w:rsidRPr="002A16FE">
        <w:rPr>
          <w:rFonts w:ascii="Arial" w:hAnsi="Arial" w:cs="Arial"/>
          <w:sz w:val="22"/>
          <w:szCs w:val="22"/>
        </w:rPr>
        <w:t>; c) c</w:t>
      </w:r>
      <w:r w:rsidR="00002CB0" w:rsidRPr="002A16FE">
        <w:rPr>
          <w:rFonts w:ascii="Arial" w:hAnsi="Arial" w:cs="Arial"/>
          <w:sz w:val="22"/>
          <w:szCs w:val="22"/>
        </w:rPr>
        <w:t>onstruir, ceder, arrendar, poner a disposición, facilitar o transferir a cualquier título, bienes para ser destinados a la ocultación de personas o al depósito o almacenamiento de pertenencias de dichos grupos</w:t>
      </w:r>
      <w:r w:rsidR="0002370F" w:rsidRPr="002A16FE">
        <w:rPr>
          <w:rFonts w:ascii="Arial" w:hAnsi="Arial" w:cs="Arial"/>
          <w:sz w:val="22"/>
          <w:szCs w:val="22"/>
        </w:rPr>
        <w:t>; d) p</w:t>
      </w:r>
      <w:r w:rsidR="00002CB0" w:rsidRPr="002A16FE">
        <w:rPr>
          <w:rFonts w:ascii="Arial" w:hAnsi="Arial" w:cs="Arial"/>
          <w:sz w:val="22"/>
          <w:szCs w:val="22"/>
        </w:rPr>
        <w:t>aralizar, suspender o disminuir notoriamente el cumplimiento de sus obligaciones contractuales por atender instrucciones de dichos grupos</w:t>
      </w:r>
      <w:r w:rsidR="0002370F" w:rsidRPr="002A16FE">
        <w:rPr>
          <w:rFonts w:ascii="Arial" w:hAnsi="Arial" w:cs="Arial"/>
          <w:sz w:val="22"/>
          <w:szCs w:val="22"/>
        </w:rPr>
        <w:t xml:space="preserve">; y e) </w:t>
      </w:r>
      <w:r w:rsidR="00E17F57" w:rsidRPr="002A16FE">
        <w:rPr>
          <w:rFonts w:ascii="Arial" w:hAnsi="Arial" w:cs="Arial"/>
          <w:sz w:val="22"/>
          <w:szCs w:val="22"/>
        </w:rPr>
        <w:t>i</w:t>
      </w:r>
      <w:r w:rsidR="00002CB0" w:rsidRPr="002A16FE">
        <w:rPr>
          <w:rFonts w:ascii="Arial" w:hAnsi="Arial" w:cs="Arial"/>
          <w:sz w:val="22"/>
          <w:szCs w:val="22"/>
        </w:rPr>
        <w:t>ncumplir el deber de denunciar hechos punibles, cuya comisión sea imputable a dichos grupos, conocidos con ocasión del contrato.  </w:t>
      </w:r>
    </w:p>
    <w:p w14:paraId="1A4B01ED" w14:textId="103F222F" w:rsidR="00B621B5" w:rsidRPr="002A16FE" w:rsidRDefault="00A00A9A" w:rsidP="00B621B5">
      <w:pPr>
        <w:pStyle w:val="NormalWeb"/>
        <w:spacing w:before="0" w:beforeAutospacing="0" w:after="0" w:afterAutospacing="0" w:line="276" w:lineRule="auto"/>
        <w:ind w:firstLine="708"/>
        <w:jc w:val="both"/>
        <w:rPr>
          <w:rFonts w:ascii="Arial" w:hAnsi="Arial" w:cs="Arial"/>
          <w:sz w:val="22"/>
          <w:szCs w:val="22"/>
        </w:rPr>
      </w:pPr>
      <w:r w:rsidRPr="002A16FE">
        <w:rPr>
          <w:rFonts w:ascii="Arial" w:hAnsi="Arial" w:cs="Arial"/>
          <w:sz w:val="22"/>
          <w:szCs w:val="22"/>
        </w:rPr>
        <w:t>Dicha facultad para declarar la caducidad</w:t>
      </w:r>
      <w:r w:rsidR="00D71366" w:rsidRPr="002A16FE">
        <w:rPr>
          <w:rFonts w:ascii="Arial" w:hAnsi="Arial" w:cs="Arial"/>
          <w:sz w:val="22"/>
          <w:szCs w:val="22"/>
        </w:rPr>
        <w:t xml:space="preserve"> con sustento en la Ley 418 de 1997</w:t>
      </w:r>
      <w:r w:rsidRPr="002A16FE">
        <w:rPr>
          <w:rFonts w:ascii="Arial" w:hAnsi="Arial" w:cs="Arial"/>
          <w:sz w:val="22"/>
          <w:szCs w:val="22"/>
        </w:rPr>
        <w:t xml:space="preserve"> </w:t>
      </w:r>
      <w:r w:rsidR="00BC26BE" w:rsidRPr="002A16FE">
        <w:rPr>
          <w:rFonts w:ascii="Arial" w:hAnsi="Arial" w:cs="Arial"/>
          <w:sz w:val="22"/>
          <w:szCs w:val="22"/>
        </w:rPr>
        <w:t>podrá ejercerse respecto de cualquier contrato en el que una entidad pública actúe como contratante,</w:t>
      </w:r>
      <w:r w:rsidR="006225BD" w:rsidRPr="002A16FE">
        <w:rPr>
          <w:rFonts w:ascii="Arial" w:hAnsi="Arial" w:cs="Arial"/>
          <w:sz w:val="22"/>
          <w:szCs w:val="22"/>
        </w:rPr>
        <w:t xml:space="preserve"> y no solo en aquellos </w:t>
      </w:r>
      <w:r w:rsidR="00816BCE" w:rsidRPr="002A16FE">
        <w:rPr>
          <w:rFonts w:ascii="Arial" w:hAnsi="Arial" w:cs="Arial"/>
          <w:sz w:val="22"/>
          <w:szCs w:val="22"/>
        </w:rPr>
        <w:t xml:space="preserve">que sean </w:t>
      </w:r>
      <w:r w:rsidR="00FC3924" w:rsidRPr="002A16FE">
        <w:rPr>
          <w:rFonts w:ascii="Arial" w:hAnsi="Arial" w:cs="Arial"/>
          <w:sz w:val="22"/>
          <w:szCs w:val="22"/>
        </w:rPr>
        <w:t xml:space="preserve">producto de convocatorias limitadas a mipymes. </w:t>
      </w:r>
      <w:r w:rsidR="00DA7876">
        <w:rPr>
          <w:rFonts w:ascii="Arial" w:hAnsi="Arial" w:cs="Arial"/>
          <w:sz w:val="22"/>
          <w:szCs w:val="22"/>
        </w:rPr>
        <w:t>Estas normas se extienden al régimen de las entidades exceptuadas en virtud del parágrafo tercero del artículo 34 de la Ley de Emprendimiento.</w:t>
      </w:r>
    </w:p>
    <w:p w14:paraId="048BD2D6" w14:textId="13F0AEBB" w:rsidR="00473A3C" w:rsidRPr="002A16FE" w:rsidRDefault="00711398" w:rsidP="00711398">
      <w:pPr>
        <w:pStyle w:val="Prrafodelista"/>
        <w:tabs>
          <w:tab w:val="left" w:pos="284"/>
        </w:tabs>
        <w:spacing w:line="276" w:lineRule="auto"/>
        <w:ind w:left="0"/>
        <w:jc w:val="both"/>
        <w:rPr>
          <w:sz w:val="21"/>
          <w:szCs w:val="21"/>
        </w:rPr>
      </w:pPr>
      <w:r w:rsidRPr="002A16FE">
        <w:rPr>
          <w:rFonts w:ascii="Arial" w:hAnsi="Arial" w:cs="Arial"/>
          <w:sz w:val="22"/>
          <w:lang w:val="es-CO"/>
        </w:rPr>
        <w:tab/>
      </w:r>
      <w:r w:rsidRPr="002A16FE">
        <w:rPr>
          <w:rFonts w:ascii="Arial" w:hAnsi="Arial" w:cs="Arial"/>
          <w:sz w:val="22"/>
          <w:lang w:val="es-CO"/>
        </w:rPr>
        <w:tab/>
      </w:r>
    </w:p>
    <w:p w14:paraId="610EED25" w14:textId="14AC9CEE" w:rsidR="00473A3C" w:rsidRPr="002A16FE" w:rsidRDefault="00473A3C" w:rsidP="00473A3C">
      <w:pPr>
        <w:pStyle w:val="Default"/>
        <w:ind w:left="709" w:right="709"/>
        <w:jc w:val="both"/>
        <w:rPr>
          <w:color w:val="auto"/>
          <w:sz w:val="21"/>
          <w:szCs w:val="21"/>
          <w:lang w:val="es-ES_tradnl"/>
        </w:rPr>
      </w:pPr>
      <w:r w:rsidRPr="002A16FE">
        <w:rPr>
          <w:color w:val="auto"/>
          <w:sz w:val="21"/>
          <w:szCs w:val="21"/>
        </w:rPr>
        <w:t xml:space="preserve">«3. Las entidades estatales con régimen especial que deseen suscribir un contrato de fiducia ¿Cuál de los procesos de selección establecidos en la Ley </w:t>
      </w:r>
      <w:r w:rsidRPr="002A16FE">
        <w:rPr>
          <w:color w:val="auto"/>
          <w:sz w:val="21"/>
          <w:szCs w:val="21"/>
        </w:rPr>
        <w:lastRenderedPageBreak/>
        <w:t>1150 de 2007 deben utilizar? o ¿Deben adelantarlo conforme al proceso de selección establecido en su reglamento interno?</w:t>
      </w:r>
      <w:r w:rsidRPr="002A16FE">
        <w:rPr>
          <w:color w:val="auto"/>
          <w:sz w:val="21"/>
          <w:szCs w:val="21"/>
          <w:lang w:val="es-ES_tradnl"/>
        </w:rPr>
        <w:t xml:space="preserve">». </w:t>
      </w:r>
    </w:p>
    <w:p w14:paraId="12BBBB80" w14:textId="77777777" w:rsidR="00C00E78" w:rsidRPr="002A16FE" w:rsidRDefault="00C00E78" w:rsidP="00C00E78">
      <w:pPr>
        <w:spacing w:line="276" w:lineRule="auto"/>
        <w:jc w:val="both"/>
        <w:rPr>
          <w:rFonts w:ascii="Arial" w:eastAsia="Calibri" w:hAnsi="Arial" w:cs="Arial"/>
          <w:sz w:val="22"/>
        </w:rPr>
      </w:pPr>
    </w:p>
    <w:p w14:paraId="4714D16D" w14:textId="0109902F" w:rsidR="00C00E78" w:rsidRPr="002A16FE" w:rsidRDefault="00C00E78" w:rsidP="004C2D16">
      <w:pPr>
        <w:spacing w:line="276" w:lineRule="auto"/>
        <w:jc w:val="both"/>
        <w:rPr>
          <w:rFonts w:ascii="Arial" w:hAnsi="Arial" w:cs="Arial"/>
          <w:sz w:val="22"/>
          <w:lang w:val="es-ES_tradnl"/>
        </w:rPr>
      </w:pPr>
      <w:r w:rsidRPr="002A16FE">
        <w:rPr>
          <w:rFonts w:ascii="Arial" w:hAnsi="Arial" w:cs="Arial"/>
          <w:sz w:val="22"/>
          <w:lang w:val="es-ES_tradnl"/>
        </w:rPr>
        <w:t>La pregunta planteada por l</w:t>
      </w:r>
      <w:r w:rsidR="004A501D" w:rsidRPr="002A16FE">
        <w:rPr>
          <w:rFonts w:ascii="Arial" w:hAnsi="Arial" w:cs="Arial"/>
          <w:sz w:val="22"/>
          <w:lang w:val="es-ES_tradnl"/>
        </w:rPr>
        <w:t>a</w:t>
      </w:r>
      <w:r w:rsidRPr="002A16FE">
        <w:rPr>
          <w:rFonts w:ascii="Arial" w:hAnsi="Arial" w:cs="Arial"/>
          <w:sz w:val="22"/>
          <w:lang w:val="es-ES_tradnl"/>
        </w:rPr>
        <w:t xml:space="preserve"> peticionari</w:t>
      </w:r>
      <w:r w:rsidR="004A501D" w:rsidRPr="002A16FE">
        <w:rPr>
          <w:rFonts w:ascii="Arial" w:hAnsi="Arial" w:cs="Arial"/>
          <w:sz w:val="22"/>
          <w:lang w:val="es-ES_tradnl"/>
        </w:rPr>
        <w:t>a</w:t>
      </w:r>
      <w:r w:rsidRPr="002A16FE">
        <w:rPr>
          <w:rFonts w:ascii="Arial" w:hAnsi="Arial" w:cs="Arial"/>
          <w:sz w:val="22"/>
          <w:lang w:val="es-ES_tradnl"/>
        </w:rPr>
        <w:t xml:space="preserve"> </w:t>
      </w:r>
      <w:r w:rsidR="00CB149B" w:rsidRPr="002A16FE">
        <w:rPr>
          <w:rFonts w:ascii="Arial" w:hAnsi="Arial" w:cs="Arial"/>
          <w:sz w:val="22"/>
          <w:lang w:val="es-ES_tradnl"/>
        </w:rPr>
        <w:t>exige</w:t>
      </w:r>
      <w:r w:rsidR="0068791C" w:rsidRPr="002A16FE">
        <w:rPr>
          <w:rFonts w:ascii="Arial" w:hAnsi="Arial" w:cs="Arial"/>
          <w:sz w:val="22"/>
          <w:lang w:val="es-ES_tradnl"/>
        </w:rPr>
        <w:t xml:space="preserve"> un estudio de un tema particular</w:t>
      </w:r>
      <w:r w:rsidR="00364037" w:rsidRPr="002A16FE">
        <w:rPr>
          <w:rFonts w:ascii="Arial" w:hAnsi="Arial" w:cs="Arial"/>
          <w:sz w:val="22"/>
          <w:lang w:val="es-ES_tradnl"/>
        </w:rPr>
        <w:t xml:space="preserve"> </w:t>
      </w:r>
      <w:r w:rsidR="007A6171" w:rsidRPr="002A16FE">
        <w:rPr>
          <w:rFonts w:ascii="Arial" w:hAnsi="Arial" w:cs="Arial"/>
          <w:sz w:val="22"/>
          <w:lang w:val="es-ES_tradnl"/>
        </w:rPr>
        <w:t>no referido a una norma de carácter general en particular</w:t>
      </w:r>
      <w:r w:rsidR="00364037" w:rsidRPr="002A16FE">
        <w:rPr>
          <w:rFonts w:ascii="Arial" w:hAnsi="Arial" w:cs="Arial"/>
          <w:sz w:val="22"/>
          <w:lang w:val="es-ES_tradnl"/>
        </w:rPr>
        <w:t xml:space="preserve">, </w:t>
      </w:r>
      <w:r w:rsidRPr="002A16FE">
        <w:rPr>
          <w:rFonts w:ascii="Arial" w:hAnsi="Arial" w:cs="Arial"/>
          <w:sz w:val="22"/>
          <w:lang w:val="es-ES_tradnl"/>
        </w:rPr>
        <w:t xml:space="preserve">por lo que debe tenerse en cuenta que la competencia de la Agencia Nacional de Contratación Pública – Colombia Compra Eficiente está atribuida en el Decreto 4170 de 2011, particularmente en los artículos </w:t>
      </w:r>
      <w:r w:rsidRPr="002A16FE">
        <w:rPr>
          <w:rFonts w:ascii="Arial" w:eastAsia="Calibri" w:hAnsi="Arial" w:cs="Arial"/>
          <w:sz w:val="22"/>
        </w:rPr>
        <w:t>3, numeral 5 y 11, numeral 8, que la habilitan para absolver consultas sobre la aplicación de normas de carácter general en materia de compras y contratación pública</w:t>
      </w:r>
      <w:r w:rsidR="002F3B3E">
        <w:rPr>
          <w:rFonts w:ascii="Arial" w:eastAsia="Calibri" w:hAnsi="Arial" w:cs="Arial"/>
          <w:sz w:val="22"/>
        </w:rPr>
        <w:t>. En esta medida, l</w:t>
      </w:r>
      <w:r w:rsidRPr="002A16FE">
        <w:rPr>
          <w:rFonts w:ascii="Arial" w:eastAsia="Calibri" w:hAnsi="Arial" w:cs="Arial"/>
          <w:sz w:val="22"/>
        </w:rPr>
        <w:t xml:space="preserve">a </w:t>
      </w:r>
      <w:r w:rsidRPr="002A16FE">
        <w:rPr>
          <w:rFonts w:ascii="Arial" w:hAnsi="Arial" w:cs="Arial"/>
          <w:sz w:val="22"/>
          <w:lang w:val="es-ES_tradnl"/>
        </w:rPr>
        <w:t>Agencia no tiene la competencia para</w:t>
      </w:r>
      <w:r w:rsidR="007A6171" w:rsidRPr="002A16FE">
        <w:rPr>
          <w:rFonts w:ascii="Arial" w:hAnsi="Arial" w:cs="Arial"/>
          <w:sz w:val="22"/>
          <w:lang w:val="es-ES_tradnl"/>
        </w:rPr>
        <w:t xml:space="preserve"> resolver la pregunta en los términos planteados por la </w:t>
      </w:r>
      <w:r w:rsidR="004A501D" w:rsidRPr="002A16FE">
        <w:rPr>
          <w:rFonts w:ascii="Arial" w:hAnsi="Arial" w:cs="Arial"/>
          <w:sz w:val="22"/>
          <w:lang w:val="es-ES_tradnl"/>
        </w:rPr>
        <w:t>peticionaria.</w:t>
      </w:r>
    </w:p>
    <w:p w14:paraId="7AF92596" w14:textId="77777777" w:rsidR="002A16FE" w:rsidRPr="002A16FE" w:rsidRDefault="002A16FE" w:rsidP="00C00E78">
      <w:pPr>
        <w:spacing w:line="276" w:lineRule="auto"/>
        <w:jc w:val="both"/>
        <w:rPr>
          <w:rFonts w:ascii="Arial" w:eastAsia="Calibri" w:hAnsi="Arial" w:cs="Arial"/>
          <w:sz w:val="22"/>
        </w:rPr>
      </w:pPr>
    </w:p>
    <w:p w14:paraId="5E8979FB" w14:textId="77777777" w:rsidR="004C2D16" w:rsidRPr="002A16FE" w:rsidRDefault="00C00E78" w:rsidP="004C2D16">
      <w:pPr>
        <w:spacing w:line="276" w:lineRule="auto"/>
        <w:jc w:val="both"/>
        <w:rPr>
          <w:rFonts w:ascii="Arial" w:hAnsi="Arial" w:cs="Arial"/>
          <w:sz w:val="22"/>
          <w:lang w:val="es-ES_tradnl"/>
        </w:rPr>
      </w:pPr>
      <w:r w:rsidRPr="002A16FE">
        <w:rPr>
          <w:rFonts w:ascii="Arial" w:eastAsia="Calibri" w:hAnsi="Arial" w:cs="Arial"/>
          <w:sz w:val="22"/>
        </w:rPr>
        <w:t>Este concepto tiene el alcance previsto en el artículo 28 del Código de Procedimiento Administrativo y de lo Contencioso Administrativo.</w:t>
      </w:r>
      <w:bookmarkEnd w:id="0"/>
      <w:bookmarkEnd w:id="1"/>
      <w:bookmarkEnd w:id="2"/>
    </w:p>
    <w:p w14:paraId="5B19685A" w14:textId="77777777" w:rsidR="004C2D16" w:rsidRPr="002A16FE" w:rsidRDefault="004C2D16" w:rsidP="004C2D16">
      <w:pPr>
        <w:pStyle w:val="NormalWeb"/>
        <w:spacing w:before="0" w:beforeAutospacing="0" w:after="0" w:afterAutospacing="0" w:line="276" w:lineRule="auto"/>
        <w:jc w:val="both"/>
        <w:rPr>
          <w:rFonts w:ascii="Arial" w:hAnsi="Arial" w:cs="Arial"/>
          <w:sz w:val="22"/>
          <w:szCs w:val="22"/>
          <w:lang w:val="es-ES_tradnl"/>
        </w:rPr>
      </w:pPr>
    </w:p>
    <w:p w14:paraId="78C51A2F" w14:textId="7BC3D1A7" w:rsidR="004C2D16" w:rsidRPr="002A16FE" w:rsidRDefault="004C2D16" w:rsidP="004C2D16">
      <w:pPr>
        <w:pStyle w:val="NormalWeb"/>
        <w:spacing w:before="0" w:beforeAutospacing="0" w:after="0" w:afterAutospacing="0" w:line="276" w:lineRule="auto"/>
        <w:jc w:val="both"/>
        <w:rPr>
          <w:rFonts w:ascii="Arial" w:hAnsi="Arial" w:cs="Arial"/>
          <w:sz w:val="22"/>
          <w:szCs w:val="22"/>
          <w:lang w:val="es-ES_tradnl"/>
        </w:rPr>
      </w:pPr>
      <w:r w:rsidRPr="002A16FE">
        <w:rPr>
          <w:rFonts w:ascii="Arial" w:hAnsi="Arial" w:cs="Arial"/>
          <w:sz w:val="22"/>
          <w:szCs w:val="22"/>
          <w:lang w:val="es-ES_tradnl"/>
        </w:rPr>
        <w:t>Atentamente,</w:t>
      </w:r>
    </w:p>
    <w:p w14:paraId="0982B085" w14:textId="77777777" w:rsidR="004C2D16" w:rsidRPr="002A16FE" w:rsidRDefault="004C2D16" w:rsidP="004C2D16">
      <w:pPr>
        <w:jc w:val="center"/>
        <w:rPr>
          <w:rFonts w:ascii="Arial" w:hAnsi="Arial" w:cs="Arial"/>
          <w:sz w:val="18"/>
          <w:szCs w:val="20"/>
          <w:lang w:val="es-ES_tradnl" w:eastAsia="es-CO"/>
        </w:rPr>
      </w:pPr>
    </w:p>
    <w:p w14:paraId="75BA9024" w14:textId="224EE09E" w:rsidR="004C2D16" w:rsidRDefault="00B665DD" w:rsidP="004C2D16">
      <w:pPr>
        <w:jc w:val="center"/>
        <w:rPr>
          <w:rFonts w:ascii="Arial" w:hAnsi="Arial" w:cs="Arial"/>
          <w:sz w:val="18"/>
          <w:szCs w:val="20"/>
          <w:lang w:val="es-ES_tradnl" w:eastAsia="es-CO"/>
        </w:rPr>
      </w:pPr>
      <w:r>
        <w:rPr>
          <w:noProof/>
        </w:rPr>
        <w:drawing>
          <wp:inline distT="0" distB="0" distL="0" distR="0" wp14:anchorId="470BC512" wp14:editId="29941BCE">
            <wp:extent cx="2514600" cy="1114425"/>
            <wp:effectExtent l="0" t="0" r="0" b="0"/>
            <wp:docPr id="1158423087" name="Imagen 115842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20FD7D20" w14:textId="37B60061" w:rsidR="00C87D96" w:rsidRDefault="00C87D96" w:rsidP="004C2D16">
      <w:pPr>
        <w:jc w:val="center"/>
        <w:rPr>
          <w:rFonts w:ascii="Arial" w:hAnsi="Arial" w:cs="Arial"/>
          <w:sz w:val="18"/>
          <w:szCs w:val="20"/>
          <w:lang w:val="es-ES_tradnl" w:eastAsia="es-CO"/>
        </w:rPr>
      </w:pPr>
    </w:p>
    <w:p w14:paraId="5C395537" w14:textId="1E86FFDD" w:rsidR="00C87D96" w:rsidRDefault="00C87D96" w:rsidP="004C2D16">
      <w:pPr>
        <w:jc w:val="center"/>
        <w:rPr>
          <w:rFonts w:ascii="Arial" w:hAnsi="Arial" w:cs="Arial"/>
          <w:sz w:val="18"/>
          <w:szCs w:val="20"/>
          <w:lang w:val="es-ES_tradnl" w:eastAsia="es-CO"/>
        </w:rPr>
      </w:pPr>
    </w:p>
    <w:p w14:paraId="044F9AC4" w14:textId="7CF104D3" w:rsidR="00C87D96" w:rsidRDefault="00C87D96" w:rsidP="004C2D16">
      <w:pPr>
        <w:jc w:val="center"/>
        <w:rPr>
          <w:rFonts w:ascii="Arial" w:hAnsi="Arial" w:cs="Arial"/>
          <w:sz w:val="18"/>
          <w:szCs w:val="20"/>
          <w:lang w:val="es-ES_tradnl" w:eastAsia="es-CO"/>
        </w:rPr>
      </w:pPr>
    </w:p>
    <w:p w14:paraId="455318A0" w14:textId="77777777" w:rsidR="00C87D96" w:rsidRPr="002A16FE" w:rsidRDefault="00C87D96" w:rsidP="004C2D16">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A16FE" w:rsidRPr="002A16FE" w14:paraId="635B804F" w14:textId="77777777" w:rsidTr="006A323C">
        <w:trPr>
          <w:trHeight w:val="315"/>
        </w:trPr>
        <w:tc>
          <w:tcPr>
            <w:tcW w:w="812" w:type="dxa"/>
            <w:vAlign w:val="center"/>
            <w:hideMark/>
          </w:tcPr>
          <w:p w14:paraId="1138AD44" w14:textId="77777777" w:rsidR="004C2D16" w:rsidRPr="002A16FE" w:rsidRDefault="004C2D16" w:rsidP="006A323C">
            <w:pPr>
              <w:jc w:val="both"/>
              <w:rPr>
                <w:rFonts w:ascii="Arial" w:hAnsi="Arial" w:cs="Arial"/>
                <w:sz w:val="16"/>
                <w:szCs w:val="16"/>
                <w:lang w:val="es-ES_tradnl" w:eastAsia="es-ES"/>
              </w:rPr>
            </w:pPr>
            <w:r w:rsidRPr="002A16FE">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65BCAAA" w14:textId="77777777" w:rsidR="004C2D16" w:rsidRPr="002A16FE" w:rsidRDefault="004C2D16" w:rsidP="006A323C">
            <w:pPr>
              <w:jc w:val="both"/>
              <w:rPr>
                <w:rFonts w:ascii="Arial" w:hAnsi="Arial" w:cs="Arial"/>
                <w:sz w:val="16"/>
                <w:szCs w:val="16"/>
                <w:lang w:val="es-ES_tradnl" w:eastAsia="es-ES"/>
              </w:rPr>
            </w:pPr>
            <w:r w:rsidRPr="002A16FE">
              <w:rPr>
                <w:rFonts w:ascii="Arial" w:hAnsi="Arial" w:cs="Arial"/>
                <w:sz w:val="16"/>
                <w:szCs w:val="16"/>
                <w:lang w:val="es-ES_tradnl" w:eastAsia="es-ES"/>
              </w:rPr>
              <w:t>Alejandro Sarmiento Cantillo</w:t>
            </w:r>
          </w:p>
          <w:p w14:paraId="4A7AC81B" w14:textId="77777777" w:rsidR="004C2D16" w:rsidRPr="002A16FE" w:rsidRDefault="004C2D16" w:rsidP="006A323C">
            <w:pPr>
              <w:jc w:val="both"/>
              <w:rPr>
                <w:rFonts w:ascii="Arial" w:hAnsi="Arial" w:cs="Arial"/>
                <w:sz w:val="16"/>
                <w:szCs w:val="16"/>
                <w:lang w:val="es-ES_tradnl" w:eastAsia="es-ES"/>
              </w:rPr>
            </w:pPr>
            <w:r w:rsidRPr="002A16FE">
              <w:rPr>
                <w:rFonts w:ascii="Arial" w:hAnsi="Arial" w:cs="Arial"/>
                <w:sz w:val="16"/>
                <w:szCs w:val="16"/>
                <w:lang w:val="es-ES_tradnl" w:eastAsia="es-ES"/>
              </w:rPr>
              <w:t>Gestor T1-11 de la Subdirección de Gestión Contractual</w:t>
            </w:r>
          </w:p>
        </w:tc>
      </w:tr>
      <w:tr w:rsidR="002A16FE" w:rsidRPr="002A16FE" w14:paraId="0FFAFD8B" w14:textId="77777777" w:rsidTr="006A323C">
        <w:trPr>
          <w:trHeight w:val="330"/>
        </w:trPr>
        <w:tc>
          <w:tcPr>
            <w:tcW w:w="812" w:type="dxa"/>
            <w:vAlign w:val="center"/>
            <w:hideMark/>
          </w:tcPr>
          <w:p w14:paraId="485641FF" w14:textId="77777777" w:rsidR="004C2D16" w:rsidRPr="002A16FE" w:rsidRDefault="004C2D16" w:rsidP="006A323C">
            <w:pPr>
              <w:jc w:val="both"/>
              <w:rPr>
                <w:rFonts w:ascii="Arial" w:hAnsi="Arial" w:cs="Arial"/>
                <w:sz w:val="16"/>
                <w:szCs w:val="16"/>
                <w:lang w:val="es-ES_tradnl" w:eastAsia="es-ES"/>
              </w:rPr>
            </w:pPr>
            <w:r w:rsidRPr="002A16FE">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02EB1AC" w14:textId="77777777" w:rsidR="004C2D16" w:rsidRPr="002A16FE" w:rsidRDefault="004C2D16" w:rsidP="006A323C">
            <w:pPr>
              <w:jc w:val="both"/>
              <w:rPr>
                <w:rFonts w:ascii="Arial" w:hAnsi="Arial" w:cs="Arial"/>
                <w:sz w:val="16"/>
                <w:szCs w:val="16"/>
                <w:lang w:val="es-ES_tradnl" w:eastAsia="es-ES"/>
              </w:rPr>
            </w:pPr>
            <w:r w:rsidRPr="002A16FE">
              <w:rPr>
                <w:rFonts w:ascii="Arial" w:hAnsi="Arial" w:cs="Arial"/>
                <w:sz w:val="16"/>
                <w:szCs w:val="16"/>
                <w:lang w:val="es-ES_tradnl" w:eastAsia="es-ES"/>
              </w:rPr>
              <w:t>Juan David Montoya Penagos</w:t>
            </w:r>
          </w:p>
          <w:p w14:paraId="0A62EBC1" w14:textId="77777777" w:rsidR="004C2D16" w:rsidRPr="002A16FE" w:rsidRDefault="004C2D16" w:rsidP="006A323C">
            <w:pPr>
              <w:jc w:val="both"/>
              <w:rPr>
                <w:rFonts w:ascii="Arial" w:hAnsi="Arial" w:cs="Arial"/>
                <w:sz w:val="16"/>
                <w:szCs w:val="16"/>
                <w:lang w:val="es-ES_tradnl" w:eastAsia="es-ES"/>
              </w:rPr>
            </w:pPr>
            <w:r w:rsidRPr="002A16FE">
              <w:rPr>
                <w:rFonts w:ascii="Arial" w:hAnsi="Arial" w:cs="Arial"/>
                <w:sz w:val="16"/>
                <w:szCs w:val="16"/>
                <w:lang w:val="es-ES_tradnl" w:eastAsia="es-ES"/>
              </w:rPr>
              <w:t>Gestor T1-15 de la Subdirección de Gestión Contractual</w:t>
            </w:r>
          </w:p>
        </w:tc>
      </w:tr>
      <w:tr w:rsidR="002A16FE" w:rsidRPr="002A16FE" w14:paraId="124121D0" w14:textId="77777777" w:rsidTr="006A323C">
        <w:trPr>
          <w:trHeight w:val="300"/>
        </w:trPr>
        <w:tc>
          <w:tcPr>
            <w:tcW w:w="812" w:type="dxa"/>
            <w:vAlign w:val="center"/>
            <w:hideMark/>
          </w:tcPr>
          <w:p w14:paraId="2ADD7A57" w14:textId="77777777" w:rsidR="004C2D16" w:rsidRPr="002A16FE" w:rsidRDefault="004C2D16" w:rsidP="006A323C">
            <w:pPr>
              <w:jc w:val="both"/>
              <w:rPr>
                <w:rFonts w:ascii="Arial" w:hAnsi="Arial" w:cs="Arial"/>
                <w:sz w:val="16"/>
                <w:szCs w:val="16"/>
                <w:lang w:val="es-ES_tradnl" w:eastAsia="es-ES"/>
              </w:rPr>
            </w:pPr>
            <w:r w:rsidRPr="002A16FE">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DAB21F7" w14:textId="77777777" w:rsidR="004C2D16" w:rsidRPr="002A16FE" w:rsidRDefault="004C2D16" w:rsidP="006A323C">
            <w:pPr>
              <w:jc w:val="both"/>
              <w:rPr>
                <w:rFonts w:ascii="Arial" w:hAnsi="Arial" w:cs="Arial"/>
                <w:sz w:val="16"/>
                <w:szCs w:val="16"/>
                <w:lang w:val="es-ES_tradnl" w:eastAsia="es-ES"/>
              </w:rPr>
            </w:pPr>
            <w:r w:rsidRPr="002A16FE">
              <w:rPr>
                <w:rFonts w:ascii="Arial" w:hAnsi="Arial" w:cs="Arial"/>
                <w:sz w:val="16"/>
                <w:szCs w:val="16"/>
                <w:lang w:val="es-ES_tradnl" w:eastAsia="es-ES"/>
              </w:rPr>
              <w:t>Jorge Augusto Tirado Navarro</w:t>
            </w:r>
          </w:p>
          <w:p w14:paraId="7942C9B5" w14:textId="77777777" w:rsidR="004C2D16" w:rsidRPr="002A16FE" w:rsidRDefault="004C2D16" w:rsidP="006A323C">
            <w:pPr>
              <w:jc w:val="both"/>
              <w:rPr>
                <w:rFonts w:ascii="Arial" w:hAnsi="Arial" w:cs="Arial"/>
                <w:sz w:val="16"/>
                <w:szCs w:val="16"/>
                <w:lang w:val="es-ES_tradnl" w:eastAsia="es-ES"/>
              </w:rPr>
            </w:pPr>
            <w:r w:rsidRPr="002A16FE">
              <w:rPr>
                <w:rFonts w:ascii="Arial" w:hAnsi="Arial" w:cs="Arial"/>
                <w:sz w:val="16"/>
                <w:szCs w:val="16"/>
                <w:lang w:val="es-ES_tradnl" w:eastAsia="es-ES"/>
              </w:rPr>
              <w:t>Subdirector de Gestión Contractual ANCP – CCE</w:t>
            </w:r>
          </w:p>
        </w:tc>
      </w:tr>
    </w:tbl>
    <w:p w14:paraId="7EBF297E" w14:textId="67BAE22E" w:rsidR="007B0854" w:rsidRPr="002A16FE" w:rsidRDefault="007B0854" w:rsidP="004C2D16">
      <w:pPr>
        <w:spacing w:before="120" w:line="276" w:lineRule="auto"/>
        <w:jc w:val="both"/>
      </w:pPr>
    </w:p>
    <w:sectPr w:rsidR="007B0854" w:rsidRPr="002A16FE"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96D09" w14:textId="77777777" w:rsidR="009D03A5" w:rsidRDefault="009D03A5">
      <w:r>
        <w:separator/>
      </w:r>
    </w:p>
  </w:endnote>
  <w:endnote w:type="continuationSeparator" w:id="0">
    <w:p w14:paraId="34DCC07E" w14:textId="77777777" w:rsidR="009D03A5" w:rsidRDefault="009D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F27BFF" w:rsidRDefault="00F27BFF" w:rsidP="007B0854">
    <w:pPr>
      <w:pStyle w:val="Sinespaciado"/>
      <w:jc w:val="center"/>
      <w:rPr>
        <w:rFonts w:ascii="Arial" w:hAnsi="Arial" w:cs="Arial"/>
        <w:sz w:val="18"/>
        <w:szCs w:val="18"/>
      </w:rPr>
    </w:pPr>
  </w:p>
  <w:p w14:paraId="312C4A14" w14:textId="1CC17C36" w:rsidR="00F27BFF" w:rsidRPr="005A79FE" w:rsidRDefault="00F27BFF"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F27BFF" w:rsidRDefault="00F27BFF" w:rsidP="007B0854">
    <w:pPr>
      <w:pStyle w:val="Piedepgina"/>
      <w:jc w:val="center"/>
      <w:rPr>
        <w:lang w:val="es-ES"/>
      </w:rPr>
    </w:pPr>
    <w:r>
      <w:rPr>
        <w:noProof/>
      </w:rPr>
      <w:drawing>
        <wp:inline distT="0" distB="0" distL="0" distR="0" wp14:anchorId="608B196D" wp14:editId="366A47AC">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F27BFF" w:rsidRPr="007B0854" w:rsidRDefault="00F27BF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12F02" w14:textId="77777777" w:rsidR="009D03A5" w:rsidRDefault="009D03A5">
      <w:r>
        <w:separator/>
      </w:r>
    </w:p>
  </w:footnote>
  <w:footnote w:type="continuationSeparator" w:id="0">
    <w:p w14:paraId="2562A2A9" w14:textId="77777777" w:rsidR="009D03A5" w:rsidRDefault="009D03A5">
      <w:r>
        <w:continuationSeparator/>
      </w:r>
    </w:p>
  </w:footnote>
  <w:footnote w:id="1">
    <w:p w14:paraId="21516F03" w14:textId="73FDF95B" w:rsidR="00B5409F" w:rsidRPr="00C87D96" w:rsidRDefault="00B5409F" w:rsidP="00C87D96">
      <w:pPr>
        <w:ind w:firstLine="709"/>
        <w:jc w:val="both"/>
        <w:rPr>
          <w:rFonts w:ascii="Arial" w:hAnsi="Arial" w:cs="Arial"/>
          <w:iCs/>
          <w:color w:val="000000" w:themeColor="text1"/>
          <w:sz w:val="18"/>
          <w:szCs w:val="18"/>
        </w:rPr>
      </w:pPr>
      <w:r w:rsidRPr="00C87D96">
        <w:rPr>
          <w:rStyle w:val="Refdenotaalpie"/>
          <w:rFonts w:ascii="Arial" w:hAnsi="Arial" w:cs="Arial"/>
          <w:sz w:val="18"/>
          <w:szCs w:val="18"/>
        </w:rPr>
        <w:footnoteRef/>
      </w:r>
      <w:r w:rsidRPr="00C87D96">
        <w:rPr>
          <w:rFonts w:ascii="Arial" w:hAnsi="Arial" w:cs="Arial"/>
          <w:sz w:val="18"/>
          <w:szCs w:val="18"/>
        </w:rPr>
        <w:t xml:space="preserve"> </w:t>
      </w:r>
      <w:r w:rsidRPr="00C87D96">
        <w:rPr>
          <w:rFonts w:ascii="Arial" w:hAnsi="Arial" w:cs="Arial"/>
          <w:iCs/>
          <w:color w:val="000000" w:themeColor="text1"/>
          <w:sz w:val="18"/>
          <w:szCs w:val="18"/>
        </w:rPr>
        <w:t xml:space="preserve">En cuanto a la oportunidad para su imposición, el Consejo de Estado ha precisado: «(…)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 </w:t>
      </w:r>
      <w:r w:rsidRPr="00C87D96">
        <w:rPr>
          <w:rFonts w:ascii="Arial" w:hAnsi="Arial" w:cs="Arial"/>
          <w:iCs/>
          <w:color w:val="000000" w:themeColor="text1"/>
          <w:sz w:val="18"/>
          <w:szCs w:val="18"/>
          <w:lang w:val="es-CO"/>
        </w:rPr>
        <w:t>Sección Tercera, Sentencia del 12 de julio de 2012, expediente 15.024 y ponencia de Danilo Rojas Betancourth</w:t>
      </w:r>
      <w:r w:rsidRPr="00C87D96">
        <w:rPr>
          <w:rFonts w:ascii="Arial" w:hAnsi="Arial" w:cs="Arial"/>
          <w:iCs/>
          <w:color w:val="000000" w:themeColor="text1"/>
          <w:sz w:val="18"/>
          <w:szCs w:val="18"/>
        </w:rPr>
        <w:t xml:space="preserve">. </w:t>
      </w:r>
    </w:p>
    <w:p w14:paraId="7E232810" w14:textId="4C1C851B" w:rsidR="00B5409F" w:rsidRPr="00C87D96" w:rsidRDefault="00B5409F" w:rsidP="00C87D96">
      <w:pPr>
        <w:pStyle w:val="Textonotapie"/>
        <w:rPr>
          <w:rFonts w:ascii="Arial" w:hAnsi="Arial" w:cs="Arial"/>
          <w:sz w:val="18"/>
          <w:szCs w:val="18"/>
          <w:lang w:val="es-CO"/>
        </w:rPr>
      </w:pPr>
    </w:p>
  </w:footnote>
  <w:footnote w:id="2">
    <w:p w14:paraId="25D93344" w14:textId="77777777" w:rsidR="00B82A4F" w:rsidRPr="00C87D96" w:rsidRDefault="00B82A4F" w:rsidP="00C87D96">
      <w:pPr>
        <w:pStyle w:val="Textonotapie"/>
        <w:jc w:val="both"/>
        <w:rPr>
          <w:rFonts w:ascii="Arial" w:hAnsi="Arial" w:cs="Arial"/>
          <w:color w:val="000000" w:themeColor="text1"/>
          <w:sz w:val="18"/>
          <w:szCs w:val="18"/>
          <w:lang w:val="es-CO"/>
        </w:rPr>
      </w:pPr>
      <w:r w:rsidRPr="00C87D96">
        <w:rPr>
          <w:rFonts w:ascii="Arial" w:hAnsi="Arial" w:cs="Arial"/>
          <w:iCs/>
          <w:color w:val="000000" w:themeColor="text1"/>
          <w:sz w:val="18"/>
          <w:szCs w:val="18"/>
          <w:lang w:val="es-CO"/>
        </w:rPr>
        <w:tab/>
      </w:r>
      <w:r w:rsidRPr="00C87D96">
        <w:rPr>
          <w:rFonts w:ascii="Arial" w:hAnsi="Arial" w:cs="Arial"/>
          <w:iCs/>
          <w:color w:val="000000" w:themeColor="text1"/>
          <w:sz w:val="18"/>
          <w:szCs w:val="18"/>
          <w:vertAlign w:val="superscript"/>
          <w:lang w:val="es-CO"/>
        </w:rPr>
        <w:footnoteRef/>
      </w:r>
      <w:r w:rsidRPr="00C87D96">
        <w:rPr>
          <w:rFonts w:ascii="Arial" w:hAnsi="Arial" w:cs="Arial"/>
          <w:iCs/>
          <w:color w:val="000000" w:themeColor="text1"/>
          <w:sz w:val="18"/>
          <w:szCs w:val="18"/>
          <w:lang w:val="es-CO"/>
        </w:rPr>
        <w:t xml:space="preserve"> Motivo por el cual son típicas cláusulas accidentales dentro de los contratos estatales, en los términos del artículo 1501 del Código Civil.</w:t>
      </w:r>
    </w:p>
  </w:footnote>
  <w:footnote w:id="3">
    <w:p w14:paraId="18908542" w14:textId="77777777" w:rsidR="00B82A4F" w:rsidRPr="00C87D96" w:rsidRDefault="00B82A4F" w:rsidP="00C87D96">
      <w:pPr>
        <w:pStyle w:val="Textonotapie"/>
        <w:ind w:firstLine="708"/>
        <w:jc w:val="both"/>
        <w:rPr>
          <w:rFonts w:ascii="Arial" w:hAnsi="Arial" w:cs="Arial"/>
          <w:color w:val="000000" w:themeColor="text1"/>
          <w:sz w:val="18"/>
          <w:szCs w:val="18"/>
          <w:lang w:val="es-CO"/>
        </w:rPr>
      </w:pPr>
      <w:r w:rsidRPr="00C87D96">
        <w:rPr>
          <w:rStyle w:val="Refdenotaalpie"/>
          <w:rFonts w:ascii="Arial" w:hAnsi="Arial" w:cs="Arial"/>
          <w:color w:val="000000" w:themeColor="text1"/>
          <w:sz w:val="18"/>
          <w:szCs w:val="18"/>
          <w:lang w:val="es-CO"/>
        </w:rPr>
        <w:footnoteRef/>
      </w:r>
      <w:r w:rsidRPr="00C87D96">
        <w:rPr>
          <w:rFonts w:ascii="Arial" w:hAnsi="Arial" w:cs="Arial"/>
          <w:color w:val="000000" w:themeColor="text1"/>
          <w:sz w:val="18"/>
          <w:szCs w:val="18"/>
          <w:lang w:val="es-CO"/>
        </w:rPr>
        <w:t xml:space="preserve"> CONSEJO DE ESTADO. Sección Tercera. Exp. 17.009. C.P. Enrique Gil Botero.</w:t>
      </w:r>
    </w:p>
    <w:p w14:paraId="7B54E860" w14:textId="77777777" w:rsidR="00B82A4F" w:rsidRPr="00C87D96" w:rsidRDefault="00B82A4F" w:rsidP="00C87D96">
      <w:pPr>
        <w:pStyle w:val="Textonotapie"/>
        <w:ind w:firstLine="708"/>
        <w:jc w:val="both"/>
        <w:rPr>
          <w:rFonts w:ascii="Arial" w:hAnsi="Arial" w:cs="Arial"/>
          <w:color w:val="000000" w:themeColor="text1"/>
          <w:sz w:val="18"/>
          <w:szCs w:val="18"/>
          <w:lang w:val="es-CO"/>
        </w:rPr>
      </w:pPr>
    </w:p>
  </w:footnote>
  <w:footnote w:id="4">
    <w:p w14:paraId="03639BF2" w14:textId="77777777" w:rsidR="00B82A4F" w:rsidRPr="00C87D96" w:rsidRDefault="00B82A4F" w:rsidP="00C87D96">
      <w:pPr>
        <w:pStyle w:val="Textonotapie"/>
        <w:ind w:firstLine="708"/>
        <w:jc w:val="both"/>
        <w:rPr>
          <w:rFonts w:ascii="Arial" w:hAnsi="Arial" w:cs="Arial"/>
          <w:color w:val="000000" w:themeColor="text1"/>
          <w:sz w:val="18"/>
          <w:szCs w:val="18"/>
          <w:lang w:val="es-CO"/>
        </w:rPr>
      </w:pPr>
      <w:r w:rsidRPr="00C87D96">
        <w:rPr>
          <w:rStyle w:val="Refdenotaalpie"/>
          <w:rFonts w:ascii="Arial" w:hAnsi="Arial" w:cs="Arial"/>
          <w:color w:val="000000" w:themeColor="text1"/>
          <w:sz w:val="18"/>
          <w:szCs w:val="18"/>
          <w:lang w:val="es-CO"/>
        </w:rPr>
        <w:footnoteRef/>
      </w:r>
      <w:r w:rsidRPr="00C87D96">
        <w:rPr>
          <w:rFonts w:ascii="Arial" w:hAnsi="Arial" w:cs="Arial"/>
          <w:color w:val="000000" w:themeColor="text1"/>
          <w:sz w:val="18"/>
          <w:szCs w:val="18"/>
          <w:lang w:val="es-CO"/>
        </w:rPr>
        <w:t xml:space="preserve"> Corte Constitucional. Sentencia C-827 de 2001. M.P. Álvaro Tafur Galvis.</w:t>
      </w:r>
    </w:p>
    <w:p w14:paraId="1F624A23" w14:textId="77777777" w:rsidR="00B82A4F" w:rsidRPr="00C87D96" w:rsidRDefault="00B82A4F" w:rsidP="00C87D96">
      <w:pPr>
        <w:pStyle w:val="Textonotapie"/>
        <w:ind w:firstLine="708"/>
        <w:jc w:val="both"/>
        <w:rPr>
          <w:rFonts w:ascii="Arial" w:hAnsi="Arial" w:cs="Arial"/>
          <w:color w:val="000000" w:themeColor="text1"/>
          <w:sz w:val="18"/>
          <w:szCs w:val="18"/>
          <w:lang w:val="es-CO"/>
        </w:rPr>
      </w:pPr>
    </w:p>
  </w:footnote>
  <w:footnote w:id="5">
    <w:p w14:paraId="18C2F589" w14:textId="77777777" w:rsidR="00B82A4F" w:rsidRPr="00C87D96" w:rsidRDefault="00B82A4F" w:rsidP="00C87D96">
      <w:pPr>
        <w:pStyle w:val="Textonotapie"/>
        <w:jc w:val="both"/>
        <w:rPr>
          <w:rFonts w:ascii="Arial" w:hAnsi="Arial" w:cs="Arial"/>
          <w:color w:val="000000" w:themeColor="text1"/>
          <w:sz w:val="18"/>
          <w:szCs w:val="18"/>
          <w:lang w:val="es-CO"/>
        </w:rPr>
      </w:pPr>
      <w:r w:rsidRPr="00C87D96">
        <w:rPr>
          <w:rFonts w:ascii="Arial" w:hAnsi="Arial" w:cs="Arial"/>
          <w:color w:val="000000" w:themeColor="text1"/>
          <w:sz w:val="18"/>
          <w:szCs w:val="18"/>
          <w:vertAlign w:val="superscript"/>
          <w:lang w:val="es-CO"/>
        </w:rPr>
        <w:tab/>
      </w:r>
      <w:r w:rsidRPr="00C87D96">
        <w:rPr>
          <w:rFonts w:ascii="Arial" w:hAnsi="Arial" w:cs="Arial"/>
          <w:color w:val="000000" w:themeColor="text1"/>
          <w:sz w:val="18"/>
          <w:szCs w:val="18"/>
          <w:vertAlign w:val="superscript"/>
          <w:lang w:val="es-CO"/>
        </w:rPr>
        <w:footnoteRef/>
      </w:r>
      <w:r w:rsidRPr="00C87D96">
        <w:rPr>
          <w:rFonts w:ascii="Arial" w:hAnsi="Arial" w:cs="Arial"/>
          <w:color w:val="000000" w:themeColor="text1"/>
          <w:sz w:val="18"/>
          <w:szCs w:val="18"/>
          <w:vertAlign w:val="superscript"/>
          <w:lang w:val="es-CO"/>
        </w:rPr>
        <w:t xml:space="preserve"> </w:t>
      </w:r>
      <w:r w:rsidRPr="00C87D96">
        <w:rPr>
          <w:rFonts w:ascii="Arial" w:hAnsi="Arial" w:cs="Arial"/>
          <w:color w:val="000000" w:themeColor="text1"/>
          <w:sz w:val="18"/>
          <w:szCs w:val="18"/>
          <w:lang w:val="es-CO"/>
        </w:rPr>
        <w:t>Sentencia del 13 de noviembre de 2008, expediente 17.009, C.P. Enrique Gil Botero.</w:t>
      </w:r>
    </w:p>
  </w:footnote>
  <w:footnote w:id="6">
    <w:p w14:paraId="0A5253ED" w14:textId="77777777" w:rsidR="00B82A4F" w:rsidRPr="00C87D96" w:rsidRDefault="00B82A4F" w:rsidP="00C87D96">
      <w:pPr>
        <w:pStyle w:val="Textonotapie"/>
        <w:ind w:firstLine="708"/>
        <w:jc w:val="both"/>
        <w:rPr>
          <w:rFonts w:ascii="Arial" w:hAnsi="Arial" w:cs="Arial"/>
          <w:color w:val="000000" w:themeColor="text1"/>
          <w:sz w:val="18"/>
          <w:szCs w:val="18"/>
          <w:lang w:val="es-CO"/>
        </w:rPr>
      </w:pPr>
      <w:r w:rsidRPr="00C87D96">
        <w:rPr>
          <w:rStyle w:val="Refdenotaalpie"/>
          <w:rFonts w:ascii="Arial" w:hAnsi="Arial" w:cs="Arial"/>
          <w:color w:val="000000" w:themeColor="text1"/>
          <w:sz w:val="18"/>
          <w:szCs w:val="18"/>
          <w:lang w:val="es-CO"/>
        </w:rPr>
        <w:footnoteRef/>
      </w:r>
      <w:r w:rsidRPr="00C87D96">
        <w:rPr>
          <w:rFonts w:ascii="Arial" w:hAnsi="Arial" w:cs="Arial"/>
          <w:color w:val="000000" w:themeColor="text1"/>
          <w:sz w:val="18"/>
          <w:szCs w:val="18"/>
          <w:lang w:val="es-CO"/>
        </w:rPr>
        <w:t xml:space="preserve"> Corte Constitucional. Sentencia C-499 de 2015. M.P. Mauricio González Cuervo.</w:t>
      </w:r>
    </w:p>
    <w:p w14:paraId="136A65B2" w14:textId="77777777" w:rsidR="00B82A4F" w:rsidRPr="00C87D96" w:rsidRDefault="00B82A4F" w:rsidP="00C87D96">
      <w:pPr>
        <w:pStyle w:val="Textonotapie"/>
        <w:ind w:firstLine="708"/>
        <w:jc w:val="both"/>
        <w:rPr>
          <w:rFonts w:ascii="Arial" w:hAnsi="Arial" w:cs="Arial"/>
          <w:color w:val="000000" w:themeColor="text1"/>
          <w:sz w:val="18"/>
          <w:szCs w:val="18"/>
          <w:lang w:val="es-CO"/>
        </w:rPr>
      </w:pPr>
    </w:p>
  </w:footnote>
  <w:footnote w:id="7">
    <w:p w14:paraId="73CC12C9" w14:textId="77777777" w:rsidR="00B82A4F" w:rsidRPr="00C87D96" w:rsidRDefault="00B82A4F" w:rsidP="00C87D96">
      <w:pPr>
        <w:pStyle w:val="Textonotapie"/>
        <w:ind w:firstLine="709"/>
        <w:jc w:val="both"/>
        <w:rPr>
          <w:rFonts w:ascii="Arial" w:hAnsi="Arial" w:cs="Arial"/>
          <w:color w:val="000000" w:themeColor="text1"/>
          <w:sz w:val="18"/>
          <w:szCs w:val="18"/>
          <w:lang w:val="es-CO"/>
        </w:rPr>
      </w:pPr>
      <w:r w:rsidRPr="00C87D96">
        <w:rPr>
          <w:rStyle w:val="Refdenotaalpie"/>
          <w:rFonts w:ascii="Arial" w:hAnsi="Arial" w:cs="Arial"/>
          <w:color w:val="000000" w:themeColor="text1"/>
          <w:sz w:val="18"/>
          <w:szCs w:val="18"/>
          <w:lang w:val="es-CO"/>
        </w:rPr>
        <w:footnoteRef/>
      </w:r>
      <w:r w:rsidRPr="00C87D96">
        <w:rPr>
          <w:rFonts w:ascii="Arial" w:hAnsi="Arial" w:cs="Arial"/>
          <w:color w:val="000000" w:themeColor="text1"/>
          <w:sz w:val="18"/>
          <w:szCs w:val="18"/>
          <w:lang w:val="es-CO"/>
        </w:rPr>
        <w:t xml:space="preserve"> 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p w14:paraId="76F9A0E7" w14:textId="77777777" w:rsidR="00B82A4F" w:rsidRPr="00C87D96" w:rsidRDefault="00B82A4F" w:rsidP="00C87D96">
      <w:pPr>
        <w:pStyle w:val="Textonotapie"/>
        <w:ind w:firstLine="709"/>
        <w:jc w:val="both"/>
        <w:rPr>
          <w:rFonts w:ascii="Arial" w:hAnsi="Arial" w:cs="Arial"/>
          <w:color w:val="000000" w:themeColor="text1"/>
          <w:sz w:val="18"/>
          <w:szCs w:val="18"/>
          <w:lang w:val="es-CO"/>
        </w:rPr>
      </w:pPr>
    </w:p>
  </w:footnote>
  <w:footnote w:id="8">
    <w:p w14:paraId="619EAFBB" w14:textId="74E38297" w:rsidR="00B82A4F" w:rsidRPr="00C87D96" w:rsidRDefault="00B82A4F" w:rsidP="00C87D96">
      <w:pPr>
        <w:pStyle w:val="Textonotapie"/>
        <w:ind w:firstLine="708"/>
        <w:jc w:val="both"/>
        <w:rPr>
          <w:rFonts w:ascii="Arial" w:hAnsi="Arial" w:cs="Arial"/>
          <w:color w:val="000000" w:themeColor="text1"/>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w:t>
      </w:r>
      <w:r w:rsidRPr="00C87D96">
        <w:rPr>
          <w:rFonts w:ascii="Arial" w:hAnsi="Arial" w:cs="Arial"/>
          <w:color w:val="000000" w:themeColor="text1"/>
          <w:sz w:val="18"/>
          <w:szCs w:val="18"/>
          <w:lang w:val="es-CO"/>
        </w:rPr>
        <w:t xml:space="preserve">Se entiende por entidades de </w:t>
      </w:r>
      <w:r w:rsidRPr="00C87D96">
        <w:rPr>
          <w:rFonts w:ascii="Arial" w:hAnsi="Arial" w:cs="Arial"/>
          <w:i/>
          <w:iCs/>
          <w:color w:val="000000" w:themeColor="text1"/>
          <w:sz w:val="18"/>
          <w:szCs w:val="18"/>
          <w:lang w:val="es-CO"/>
        </w:rPr>
        <w:t xml:space="preserve">régimen especial </w:t>
      </w:r>
      <w:r w:rsidRPr="00C87D96">
        <w:rPr>
          <w:rFonts w:ascii="Arial" w:hAnsi="Arial" w:cs="Arial"/>
          <w:color w:val="000000" w:themeColor="text1"/>
          <w:sz w:val="18"/>
          <w:szCs w:val="18"/>
          <w:lang w:val="es-CO"/>
        </w:rPr>
        <w:t>aquellas que tienen un régimen contractual distinto al Estatuto General de Contratación de la Administración Pública, y que por regla general se rigen por el derecho privado.</w:t>
      </w:r>
    </w:p>
    <w:p w14:paraId="5715CE78" w14:textId="77777777" w:rsidR="00AB70E9" w:rsidRPr="00C87D96" w:rsidRDefault="00AB70E9" w:rsidP="00C87D96">
      <w:pPr>
        <w:pStyle w:val="Textonotapie"/>
        <w:ind w:firstLine="708"/>
        <w:jc w:val="both"/>
        <w:rPr>
          <w:rFonts w:ascii="Arial" w:hAnsi="Arial" w:cs="Arial"/>
          <w:sz w:val="18"/>
          <w:szCs w:val="18"/>
          <w:lang w:val="es-CO"/>
        </w:rPr>
      </w:pPr>
    </w:p>
  </w:footnote>
  <w:footnote w:id="9">
    <w:p w14:paraId="1FC895D7" w14:textId="77777777" w:rsidR="00B82A4F" w:rsidRPr="00C87D96" w:rsidRDefault="00B82A4F" w:rsidP="00C87D96">
      <w:pPr>
        <w:ind w:firstLine="709"/>
        <w:jc w:val="both"/>
        <w:rPr>
          <w:rFonts w:ascii="Arial" w:hAnsi="Arial" w:cs="Arial"/>
          <w:color w:val="000000" w:themeColor="text1"/>
          <w:sz w:val="18"/>
          <w:szCs w:val="18"/>
          <w:lang w:val="es-CO"/>
        </w:rPr>
      </w:pPr>
      <w:r w:rsidRPr="00C87D96">
        <w:rPr>
          <w:rStyle w:val="Refdenotaalpie"/>
          <w:rFonts w:ascii="Arial" w:hAnsi="Arial" w:cs="Arial"/>
          <w:color w:val="000000" w:themeColor="text1"/>
          <w:sz w:val="18"/>
          <w:szCs w:val="18"/>
          <w:lang w:val="es-CO"/>
        </w:rPr>
        <w:footnoteRef/>
      </w:r>
      <w:r w:rsidRPr="00C87D96">
        <w:rPr>
          <w:rFonts w:ascii="Arial" w:hAnsi="Arial" w:cs="Arial"/>
          <w:color w:val="000000" w:themeColor="text1"/>
          <w:sz w:val="18"/>
          <w:szCs w:val="18"/>
          <w:lang w:val="es-CO"/>
        </w:rPr>
        <w:t xml:space="preserve"> Providencias que avalaron dicha tesis fueron las siguientes: Consejo de Estado. Sección Tercera. Sentencias del 20 de febrero de 2017. Consejero Ponente: Jaime Orlando Santofimio Gamboa. Expedientes: 56939 y 56562. En cambio, la consideración de que las entidades de régimen especial, por regla general, no pueden ejercer esta potestad sancionatoria, se plantea en las sentencias del Consejo de Estado. Sección Tercera. 1 de agosto de 2018. Consejera Ponente: Stella Conto Díaz del Castillo. Expediente: 39277 y del 14 de febrero de 2019. Consejero Ponente: Carlos Alberto Zambrano Barrera. Expediente: 38937.</w:t>
      </w:r>
    </w:p>
    <w:p w14:paraId="6D292B13" w14:textId="77777777" w:rsidR="00B82A4F" w:rsidRPr="00C87D96" w:rsidRDefault="00B82A4F" w:rsidP="00C87D96">
      <w:pPr>
        <w:pStyle w:val="Textonotapie"/>
        <w:jc w:val="both"/>
        <w:rPr>
          <w:rFonts w:ascii="Arial" w:hAnsi="Arial" w:cs="Arial"/>
          <w:color w:val="000000" w:themeColor="text1"/>
          <w:sz w:val="18"/>
          <w:szCs w:val="18"/>
          <w:lang w:val="es-CO"/>
        </w:rPr>
      </w:pPr>
    </w:p>
  </w:footnote>
  <w:footnote w:id="10">
    <w:p w14:paraId="5F666D2A" w14:textId="77777777" w:rsidR="00B82A4F" w:rsidRPr="00C87D96" w:rsidRDefault="00B82A4F" w:rsidP="00C87D96">
      <w:pPr>
        <w:pStyle w:val="Textonotapie"/>
        <w:ind w:firstLine="709"/>
        <w:jc w:val="both"/>
        <w:rPr>
          <w:rFonts w:ascii="Arial" w:hAnsi="Arial" w:cs="Arial"/>
          <w:color w:val="000000" w:themeColor="text1"/>
          <w:sz w:val="18"/>
          <w:szCs w:val="18"/>
          <w:lang w:val="es-CO"/>
        </w:rPr>
      </w:pPr>
      <w:r w:rsidRPr="00C87D96">
        <w:rPr>
          <w:rStyle w:val="Refdenotaalpie"/>
          <w:rFonts w:ascii="Arial" w:hAnsi="Arial" w:cs="Arial"/>
          <w:color w:val="000000" w:themeColor="text1"/>
          <w:sz w:val="18"/>
          <w:szCs w:val="18"/>
          <w:lang w:val="es-CO"/>
        </w:rPr>
        <w:footnoteRef/>
      </w:r>
      <w:r w:rsidRPr="00C87D96">
        <w:rPr>
          <w:rFonts w:ascii="Arial" w:hAnsi="Arial" w:cs="Arial"/>
          <w:color w:val="000000" w:themeColor="text1"/>
          <w:sz w:val="18"/>
          <w:szCs w:val="18"/>
          <w:lang w:val="es-CO"/>
        </w:rPr>
        <w:t xml:space="preserve"> «Artículo 29. El debido proceso se aplicará a toda clase de actuaciones judiciales y administrativas.</w:t>
      </w:r>
    </w:p>
    <w:p w14:paraId="7776C86F" w14:textId="77777777" w:rsidR="00B82A4F" w:rsidRPr="00C87D96" w:rsidRDefault="00B82A4F" w:rsidP="00C87D96">
      <w:pPr>
        <w:pStyle w:val="Textonotapie"/>
        <w:ind w:firstLine="709"/>
        <w:jc w:val="both"/>
        <w:rPr>
          <w:rFonts w:ascii="Arial" w:hAnsi="Arial" w:cs="Arial"/>
          <w:color w:val="000000" w:themeColor="text1"/>
          <w:sz w:val="18"/>
          <w:szCs w:val="18"/>
          <w:lang w:val="es-CO"/>
        </w:rPr>
      </w:pPr>
      <w:r w:rsidRPr="00C87D96">
        <w:rPr>
          <w:rFonts w:ascii="Arial" w:hAnsi="Arial" w:cs="Arial"/>
          <w:color w:val="000000" w:themeColor="text1"/>
          <w:sz w:val="18"/>
          <w:szCs w:val="18"/>
          <w:lang w:val="es-CO"/>
        </w:rPr>
        <w:t>»Nadie podrá ser juzgado sino conforme a leyes preexistentes al acto que se le imputa, ante juez o tribunal competente y con observancia de la plenitud de las formas propias de cada juicio.</w:t>
      </w:r>
    </w:p>
    <w:p w14:paraId="22F444E9" w14:textId="77777777" w:rsidR="00B82A4F" w:rsidRPr="00C87D96" w:rsidRDefault="00B82A4F" w:rsidP="00C87D96">
      <w:pPr>
        <w:pStyle w:val="Textonotapie"/>
        <w:ind w:firstLine="709"/>
        <w:jc w:val="both"/>
        <w:rPr>
          <w:rFonts w:ascii="Arial" w:hAnsi="Arial" w:cs="Arial"/>
          <w:color w:val="000000" w:themeColor="text1"/>
          <w:sz w:val="18"/>
          <w:szCs w:val="18"/>
          <w:lang w:val="es-CO"/>
        </w:rPr>
      </w:pPr>
      <w:r w:rsidRPr="00C87D96">
        <w:rPr>
          <w:rFonts w:ascii="Arial" w:hAnsi="Arial" w:cs="Arial"/>
          <w:color w:val="000000" w:themeColor="text1"/>
          <w:sz w:val="18"/>
          <w:szCs w:val="18"/>
          <w:lang w:val="es-CO"/>
        </w:rPr>
        <w:t>»En materia penal, la ley permisiva o favorable, aun cuando sea posterior, se aplicará de preferencia a la restrictiva o desfavorable.</w:t>
      </w:r>
    </w:p>
    <w:p w14:paraId="1004586B" w14:textId="77777777" w:rsidR="00B82A4F" w:rsidRPr="00C87D96" w:rsidRDefault="00B82A4F" w:rsidP="00C87D96">
      <w:pPr>
        <w:pStyle w:val="Textonotapie"/>
        <w:ind w:firstLine="709"/>
        <w:jc w:val="both"/>
        <w:rPr>
          <w:rFonts w:ascii="Arial" w:hAnsi="Arial" w:cs="Arial"/>
          <w:color w:val="000000" w:themeColor="text1"/>
          <w:sz w:val="18"/>
          <w:szCs w:val="18"/>
          <w:lang w:val="es-CO"/>
        </w:rPr>
      </w:pPr>
      <w:r w:rsidRPr="00C87D96">
        <w:rPr>
          <w:rFonts w:ascii="Arial" w:hAnsi="Arial" w:cs="Arial"/>
          <w:color w:val="000000" w:themeColor="text1"/>
          <w:sz w:val="18"/>
          <w:szCs w:val="18"/>
          <w:lang w:val="es-CO"/>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14:paraId="11C0B613" w14:textId="77777777" w:rsidR="00B82A4F" w:rsidRPr="00C87D96" w:rsidRDefault="00B82A4F" w:rsidP="00C87D96">
      <w:pPr>
        <w:pStyle w:val="Textonotapie"/>
        <w:ind w:firstLine="709"/>
        <w:jc w:val="both"/>
        <w:rPr>
          <w:rFonts w:ascii="Arial" w:hAnsi="Arial" w:cs="Arial"/>
          <w:color w:val="000000" w:themeColor="text1"/>
          <w:sz w:val="18"/>
          <w:szCs w:val="18"/>
          <w:lang w:val="es-CO"/>
        </w:rPr>
      </w:pPr>
      <w:r w:rsidRPr="00C87D96">
        <w:rPr>
          <w:rFonts w:ascii="Arial" w:hAnsi="Arial" w:cs="Arial"/>
          <w:color w:val="000000" w:themeColor="text1"/>
          <w:sz w:val="18"/>
          <w:szCs w:val="18"/>
          <w:lang w:val="es-CO"/>
        </w:rPr>
        <w:t>»Es nula, de pleno derecho, la prueba obtenida con violación del debido proceso».</w:t>
      </w:r>
    </w:p>
    <w:p w14:paraId="2915A908" w14:textId="77777777" w:rsidR="00B82A4F" w:rsidRPr="00C87D96" w:rsidRDefault="00B82A4F" w:rsidP="00C87D96">
      <w:pPr>
        <w:pStyle w:val="Textonotapie"/>
        <w:ind w:firstLine="709"/>
        <w:jc w:val="both"/>
        <w:rPr>
          <w:rFonts w:ascii="Arial" w:hAnsi="Arial" w:cs="Arial"/>
          <w:color w:val="000000" w:themeColor="text1"/>
          <w:sz w:val="18"/>
          <w:szCs w:val="18"/>
          <w:lang w:val="es-CO"/>
        </w:rPr>
      </w:pPr>
    </w:p>
  </w:footnote>
  <w:footnote w:id="11">
    <w:p w14:paraId="3F025F3D" w14:textId="77777777" w:rsidR="00B82A4F" w:rsidRPr="00C87D96" w:rsidRDefault="00B82A4F" w:rsidP="00C87D96">
      <w:pPr>
        <w:pStyle w:val="NormalWeb"/>
        <w:spacing w:before="0" w:beforeAutospacing="0" w:after="0" w:afterAutospacing="0"/>
        <w:ind w:firstLine="709"/>
        <w:jc w:val="both"/>
        <w:rPr>
          <w:rFonts w:ascii="Arial" w:eastAsiaTheme="minorHAnsi" w:hAnsi="Arial" w:cs="Arial"/>
          <w:color w:val="000000" w:themeColor="text1"/>
          <w:sz w:val="18"/>
          <w:szCs w:val="18"/>
          <w:lang w:eastAsia="es-ES_tradnl"/>
        </w:rPr>
      </w:pPr>
      <w:r w:rsidRPr="00C87D96">
        <w:rPr>
          <w:rStyle w:val="Refdenotaalpie"/>
          <w:rFonts w:ascii="Arial" w:hAnsi="Arial" w:cs="Arial"/>
          <w:color w:val="000000" w:themeColor="text1"/>
          <w:sz w:val="18"/>
          <w:szCs w:val="18"/>
        </w:rPr>
        <w:footnoteRef/>
      </w:r>
      <w:r w:rsidRPr="00C87D96">
        <w:rPr>
          <w:rFonts w:ascii="Arial" w:hAnsi="Arial" w:cs="Arial"/>
          <w:color w:val="000000" w:themeColor="text1"/>
          <w:sz w:val="18"/>
          <w:szCs w:val="18"/>
        </w:rPr>
        <w:t xml:space="preserve"> «</w:t>
      </w:r>
      <w:r w:rsidRPr="00C87D96">
        <w:rPr>
          <w:rFonts w:ascii="Arial" w:eastAsiaTheme="minorHAnsi" w:hAnsi="Arial" w:cs="Arial"/>
          <w:color w:val="000000" w:themeColor="text1"/>
          <w:sz w:val="18"/>
          <w:szCs w:val="18"/>
          <w:lang w:eastAsia="es-ES_tradnl"/>
        </w:rPr>
        <w:t>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590C7E00" w14:textId="77777777" w:rsidR="00B82A4F" w:rsidRPr="00C87D96" w:rsidRDefault="00B82A4F" w:rsidP="00C87D96">
      <w:pPr>
        <w:ind w:firstLine="709"/>
        <w:jc w:val="both"/>
        <w:rPr>
          <w:rFonts w:ascii="Arial" w:hAnsi="Arial" w:cs="Arial"/>
          <w:color w:val="000000" w:themeColor="text1"/>
          <w:sz w:val="18"/>
          <w:szCs w:val="18"/>
          <w:lang w:val="es-CO"/>
        </w:rPr>
      </w:pPr>
      <w:r w:rsidRPr="00C87D96">
        <w:rPr>
          <w:rFonts w:ascii="Arial" w:hAnsi="Arial" w:cs="Arial"/>
          <w:color w:val="000000" w:themeColor="text1"/>
          <w:sz w:val="18"/>
          <w:szCs w:val="18"/>
          <w:lang w:val="es-CO"/>
        </w:rPr>
        <w:t>»Las actuaciones administrativas se desarrollarán, especialmente, con arreglo a los principios del debido proceso, igualdad, imparcialidad, buena fe, moralidad, participación, responsabilidad, transparencia, publicidad, coordinación, eficacia, economía y celeridad.</w:t>
      </w:r>
    </w:p>
    <w:p w14:paraId="4F4AB3D8" w14:textId="77777777" w:rsidR="00B82A4F" w:rsidRPr="00C87D96" w:rsidRDefault="00B82A4F" w:rsidP="00C87D96">
      <w:pPr>
        <w:ind w:firstLine="709"/>
        <w:jc w:val="both"/>
        <w:rPr>
          <w:rFonts w:ascii="Arial" w:hAnsi="Arial" w:cs="Arial"/>
          <w:color w:val="000000" w:themeColor="text1"/>
          <w:sz w:val="18"/>
          <w:szCs w:val="18"/>
          <w:lang w:val="es-CO"/>
        </w:rPr>
      </w:pPr>
      <w:r w:rsidRPr="00C87D96">
        <w:rPr>
          <w:rFonts w:ascii="Arial" w:hAnsi="Arial" w:cs="Arial"/>
          <w:color w:val="000000" w:themeColor="text1"/>
          <w:sz w:val="18"/>
          <w:szCs w:val="18"/>
          <w:lang w:val="es-CO"/>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2747387E" w14:textId="224D02DF" w:rsidR="00B82A4F" w:rsidRPr="00C87D96" w:rsidRDefault="00B82A4F" w:rsidP="00C87D96">
      <w:pPr>
        <w:ind w:firstLine="709"/>
        <w:jc w:val="both"/>
        <w:rPr>
          <w:rFonts w:ascii="Arial" w:hAnsi="Arial" w:cs="Arial"/>
          <w:color w:val="000000" w:themeColor="text1"/>
          <w:sz w:val="18"/>
          <w:szCs w:val="18"/>
          <w:lang w:val="es-CO"/>
        </w:rPr>
      </w:pPr>
      <w:r w:rsidRPr="00C87D96">
        <w:rPr>
          <w:rFonts w:ascii="Arial" w:hAnsi="Arial" w:cs="Arial"/>
          <w:color w:val="000000" w:themeColor="text1"/>
          <w:sz w:val="18"/>
          <w:szCs w:val="18"/>
          <w:lang w:val="es-CO"/>
        </w:rPr>
        <w:t>»En materia administrativa sancionatoria, se observarán adicionalmente los principios de legalidad de las faltas y de las sanciones, de presunción de inocencia, de no </w:t>
      </w:r>
      <w:r w:rsidRPr="00C87D96">
        <w:rPr>
          <w:rFonts w:ascii="Arial" w:hAnsi="Arial" w:cs="Arial"/>
          <w:i/>
          <w:iCs/>
          <w:color w:val="000000" w:themeColor="text1"/>
          <w:sz w:val="18"/>
          <w:szCs w:val="18"/>
          <w:lang w:val="es-CO"/>
        </w:rPr>
        <w:t>reformatio in pejus y non bis in ídem</w:t>
      </w:r>
      <w:r w:rsidRPr="00C87D96">
        <w:rPr>
          <w:rFonts w:ascii="Arial" w:hAnsi="Arial" w:cs="Arial"/>
          <w:iCs/>
          <w:color w:val="000000" w:themeColor="text1"/>
          <w:sz w:val="18"/>
          <w:szCs w:val="18"/>
          <w:lang w:val="es-CO"/>
        </w:rPr>
        <w:t>[…]»</w:t>
      </w:r>
      <w:r w:rsidRPr="00C87D96">
        <w:rPr>
          <w:rFonts w:ascii="Arial" w:hAnsi="Arial" w:cs="Arial"/>
          <w:i/>
          <w:iCs/>
          <w:color w:val="000000" w:themeColor="text1"/>
          <w:sz w:val="18"/>
          <w:szCs w:val="18"/>
          <w:lang w:val="es-CO"/>
        </w:rPr>
        <w:t>.</w:t>
      </w:r>
    </w:p>
    <w:p w14:paraId="724EF8EF" w14:textId="77777777" w:rsidR="00B82A4F" w:rsidRPr="00C87D96" w:rsidRDefault="00B82A4F" w:rsidP="00C87D96">
      <w:pPr>
        <w:pStyle w:val="Textonotapie"/>
        <w:ind w:firstLine="709"/>
        <w:jc w:val="both"/>
        <w:rPr>
          <w:rFonts w:ascii="Arial" w:hAnsi="Arial" w:cs="Arial"/>
          <w:color w:val="000000" w:themeColor="text1"/>
          <w:sz w:val="18"/>
          <w:szCs w:val="18"/>
          <w:lang w:val="es-CO"/>
        </w:rPr>
      </w:pPr>
    </w:p>
  </w:footnote>
  <w:footnote w:id="12">
    <w:p w14:paraId="5AB0EDBF" w14:textId="77777777" w:rsidR="00B82A4F" w:rsidRPr="00C87D96" w:rsidRDefault="00B82A4F" w:rsidP="00C87D96">
      <w:pPr>
        <w:pStyle w:val="Textonotapie"/>
        <w:ind w:firstLine="709"/>
        <w:jc w:val="both"/>
        <w:rPr>
          <w:rFonts w:ascii="Arial" w:hAnsi="Arial" w:cs="Arial"/>
          <w:color w:val="000000" w:themeColor="text1"/>
          <w:sz w:val="18"/>
          <w:szCs w:val="18"/>
          <w:lang w:val="es-CO"/>
        </w:rPr>
      </w:pPr>
      <w:r w:rsidRPr="00C87D96">
        <w:rPr>
          <w:rStyle w:val="Refdenotaalpie"/>
          <w:rFonts w:ascii="Arial" w:hAnsi="Arial" w:cs="Arial"/>
          <w:color w:val="000000" w:themeColor="text1"/>
          <w:sz w:val="18"/>
          <w:szCs w:val="18"/>
          <w:lang w:val="es-CO"/>
        </w:rPr>
        <w:footnoteRef/>
      </w:r>
      <w:r w:rsidRPr="00C87D96">
        <w:rPr>
          <w:rFonts w:ascii="Arial" w:hAnsi="Arial" w:cs="Arial"/>
          <w:color w:val="000000" w:themeColor="text1"/>
          <w:sz w:val="18"/>
          <w:szCs w:val="18"/>
          <w:lang w:val="es-CO"/>
        </w:rPr>
        <w:t xml:space="preserve"> CONSEJO DE ESTADO. Sección Tercera. Auto del 12 de diciembre de 2017. Exp. 60.477. C.P. Jaime Orlando Santofimio Gamboa</w:t>
      </w:r>
    </w:p>
    <w:p w14:paraId="509D9B37" w14:textId="77777777" w:rsidR="00B82A4F" w:rsidRPr="00C87D96" w:rsidRDefault="00B82A4F" w:rsidP="00C87D96">
      <w:pPr>
        <w:pStyle w:val="Textonotapie"/>
        <w:ind w:firstLine="709"/>
        <w:jc w:val="both"/>
        <w:rPr>
          <w:rFonts w:ascii="Arial" w:hAnsi="Arial" w:cs="Arial"/>
          <w:color w:val="000000" w:themeColor="text1"/>
          <w:sz w:val="18"/>
          <w:szCs w:val="18"/>
          <w:lang w:val="es-CO"/>
        </w:rPr>
      </w:pPr>
    </w:p>
  </w:footnote>
  <w:footnote w:id="13">
    <w:p w14:paraId="49587D39" w14:textId="4932FB1E" w:rsidR="00B82A4F" w:rsidRPr="00C87D96" w:rsidRDefault="00B82A4F" w:rsidP="00C87D96">
      <w:pPr>
        <w:pStyle w:val="Textonotapie"/>
        <w:ind w:firstLine="709"/>
        <w:jc w:val="both"/>
        <w:rPr>
          <w:rFonts w:ascii="Arial" w:hAnsi="Arial" w:cs="Arial"/>
          <w:color w:val="000000" w:themeColor="text1"/>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w:t>
      </w:r>
      <w:r w:rsidRPr="00C87D96">
        <w:rPr>
          <w:rFonts w:ascii="Arial" w:hAnsi="Arial" w:cs="Arial"/>
          <w:color w:val="000000" w:themeColor="text1"/>
          <w:sz w:val="18"/>
          <w:szCs w:val="18"/>
          <w:lang w:val="es-CO"/>
        </w:rPr>
        <w:t>Como se ha señalado en distintos conceptos de esta Subdirección, como el C-219 del 29 de abril de 2020 y el C-280 del 6 de julio de 2020.</w:t>
      </w:r>
    </w:p>
    <w:p w14:paraId="43D8850A" w14:textId="77777777" w:rsidR="00D56094" w:rsidRPr="00C87D96" w:rsidRDefault="00D56094" w:rsidP="00C87D96">
      <w:pPr>
        <w:pStyle w:val="Textonotapie"/>
        <w:ind w:firstLine="709"/>
        <w:jc w:val="both"/>
        <w:rPr>
          <w:rFonts w:ascii="Arial" w:hAnsi="Arial" w:cs="Arial"/>
          <w:sz w:val="18"/>
          <w:szCs w:val="18"/>
          <w:lang w:val="es-CO"/>
        </w:rPr>
      </w:pPr>
    </w:p>
  </w:footnote>
  <w:footnote w:id="14">
    <w:p w14:paraId="62C8D14A" w14:textId="77777777" w:rsidR="00B82A4F" w:rsidRPr="00C87D96" w:rsidRDefault="00B82A4F" w:rsidP="00C87D96">
      <w:pPr>
        <w:pStyle w:val="Textonotapie"/>
        <w:ind w:firstLine="709"/>
        <w:jc w:val="both"/>
        <w:rPr>
          <w:rFonts w:ascii="Arial" w:hAnsi="Arial" w:cs="Arial"/>
          <w:color w:val="000000" w:themeColor="text1"/>
          <w:sz w:val="18"/>
          <w:szCs w:val="18"/>
          <w:lang w:val="es-CO"/>
        </w:rPr>
      </w:pPr>
      <w:r w:rsidRPr="00C87D96">
        <w:rPr>
          <w:rStyle w:val="Refdenotaalpie"/>
          <w:rFonts w:ascii="Arial" w:hAnsi="Arial" w:cs="Arial"/>
          <w:color w:val="000000" w:themeColor="text1"/>
          <w:sz w:val="18"/>
          <w:szCs w:val="18"/>
          <w:lang w:val="es-CO"/>
        </w:rPr>
        <w:footnoteRef/>
      </w:r>
      <w:r w:rsidRPr="00C87D96">
        <w:rPr>
          <w:rFonts w:ascii="Arial" w:hAnsi="Arial" w:cs="Arial"/>
          <w:color w:val="000000" w:themeColor="text1"/>
          <w:sz w:val="18"/>
          <w:szCs w:val="18"/>
          <w:lang w:val="es-CO"/>
        </w:rPr>
        <w:t xml:space="preserve"> El artículo 31 de la Ley 142 de 1994, modificado por el artículo 3 de la Ley 689 de 2001, establece: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4D11FF10" w14:textId="77777777" w:rsidR="00B82A4F" w:rsidRPr="00C87D96" w:rsidRDefault="00B82A4F" w:rsidP="00C87D96">
      <w:pPr>
        <w:pStyle w:val="Textonotapie"/>
        <w:ind w:firstLine="709"/>
        <w:jc w:val="both"/>
        <w:rPr>
          <w:rFonts w:ascii="Arial" w:hAnsi="Arial" w:cs="Arial"/>
          <w:color w:val="000000" w:themeColor="text1"/>
          <w:sz w:val="18"/>
          <w:szCs w:val="18"/>
          <w:lang w:val="es-CO"/>
        </w:rPr>
      </w:pPr>
      <w:r w:rsidRPr="00C87D96">
        <w:rPr>
          <w:rFonts w:ascii="Arial" w:hAnsi="Arial" w:cs="Arial"/>
          <w:color w:val="000000" w:themeColor="text1"/>
          <w:sz w:val="18"/>
          <w:szCs w:val="18"/>
          <w:lang w:val="es-CO"/>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4672FA54" w14:textId="77777777" w:rsidR="00B82A4F" w:rsidRPr="00C87D96" w:rsidRDefault="00B82A4F" w:rsidP="00C87D96">
      <w:pPr>
        <w:pStyle w:val="Textonotapie"/>
        <w:ind w:firstLine="709"/>
        <w:jc w:val="both"/>
        <w:rPr>
          <w:rFonts w:ascii="Arial" w:hAnsi="Arial" w:cs="Arial"/>
          <w:color w:val="000000" w:themeColor="text1"/>
          <w:sz w:val="18"/>
          <w:szCs w:val="18"/>
          <w:lang w:val="es-CO"/>
        </w:rPr>
      </w:pPr>
      <w:r w:rsidRPr="00C87D96">
        <w:rPr>
          <w:rFonts w:ascii="Arial" w:hAnsi="Arial" w:cs="Arial"/>
          <w:color w:val="000000" w:themeColor="text1"/>
          <w:sz w:val="18"/>
          <w:szCs w:val="18"/>
          <w:lang w:val="es-CO"/>
        </w:rPr>
        <w:t>»PARÁGRAFO.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p w14:paraId="43FA4979" w14:textId="77777777" w:rsidR="00B82A4F" w:rsidRPr="00C87D96" w:rsidRDefault="00B82A4F" w:rsidP="00C87D96">
      <w:pPr>
        <w:pStyle w:val="Textonotapie"/>
        <w:ind w:firstLine="709"/>
        <w:jc w:val="both"/>
        <w:rPr>
          <w:rFonts w:ascii="Arial" w:hAnsi="Arial" w:cs="Arial"/>
          <w:color w:val="000000" w:themeColor="text1"/>
          <w:sz w:val="18"/>
          <w:szCs w:val="18"/>
          <w:lang w:val="es-CO"/>
        </w:rPr>
      </w:pPr>
    </w:p>
  </w:footnote>
  <w:footnote w:id="15">
    <w:p w14:paraId="73E18271" w14:textId="77777777" w:rsidR="00B82A4F" w:rsidRPr="00C87D96" w:rsidRDefault="00B82A4F" w:rsidP="00C87D96">
      <w:pPr>
        <w:pStyle w:val="Textonotapie"/>
        <w:ind w:firstLine="709"/>
        <w:jc w:val="both"/>
        <w:rPr>
          <w:rFonts w:ascii="Arial" w:hAnsi="Arial" w:cs="Arial"/>
          <w:color w:val="000000" w:themeColor="text1"/>
          <w:sz w:val="18"/>
          <w:szCs w:val="18"/>
          <w:lang w:val="es-CO"/>
        </w:rPr>
      </w:pPr>
      <w:r w:rsidRPr="00C87D96">
        <w:rPr>
          <w:rStyle w:val="Refdenotaalpie"/>
          <w:rFonts w:ascii="Arial" w:hAnsi="Arial" w:cs="Arial"/>
          <w:color w:val="000000" w:themeColor="text1"/>
          <w:sz w:val="18"/>
          <w:szCs w:val="18"/>
          <w:lang w:val="es-CO"/>
        </w:rPr>
        <w:footnoteRef/>
      </w:r>
      <w:r w:rsidRPr="00C87D96">
        <w:rPr>
          <w:rFonts w:ascii="Arial" w:hAnsi="Arial" w:cs="Arial"/>
          <w:color w:val="000000" w:themeColor="text1"/>
          <w:sz w:val="18"/>
          <w:szCs w:val="18"/>
          <w:lang w:val="es-CO"/>
        </w:rPr>
        <w:t xml:space="preserve"> El artículo 195, numeral 6 de la Ley 100 de 1993 establece que las empresas sociales del Estado: «En materia contractual se regirá por el derecho privado, pero podrá discrecionalmente utilizar las cláusulas exorbitantes previstas en el estatuto general de contratación de la administración pública».</w:t>
      </w:r>
    </w:p>
    <w:p w14:paraId="5C3A62A4" w14:textId="77777777" w:rsidR="00B82A4F" w:rsidRPr="00C87D96" w:rsidRDefault="00B82A4F" w:rsidP="00C87D96">
      <w:pPr>
        <w:pStyle w:val="Textonotapie"/>
        <w:ind w:firstLine="709"/>
        <w:jc w:val="both"/>
        <w:rPr>
          <w:rFonts w:ascii="Arial" w:hAnsi="Arial" w:cs="Arial"/>
          <w:color w:val="000000" w:themeColor="text1"/>
          <w:sz w:val="18"/>
          <w:szCs w:val="18"/>
          <w:lang w:val="es-CO"/>
        </w:rPr>
      </w:pPr>
    </w:p>
  </w:footnote>
  <w:footnote w:id="16">
    <w:p w14:paraId="62EA70D2" w14:textId="254110D4" w:rsidR="00B06E75" w:rsidRPr="00C87D96" w:rsidRDefault="00B06E75"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w:t>
      </w:r>
      <w:r w:rsidR="000221B9" w:rsidRPr="00C87D96">
        <w:rPr>
          <w:rFonts w:ascii="Arial" w:hAnsi="Arial" w:cs="Arial"/>
          <w:sz w:val="18"/>
          <w:szCs w:val="18"/>
          <w:lang w:val="es-CO"/>
        </w:rPr>
        <w:t>Gaceta del Congreso</w:t>
      </w:r>
      <w:r w:rsidR="00523145" w:rsidRPr="00C87D96">
        <w:rPr>
          <w:rFonts w:ascii="Arial" w:hAnsi="Arial" w:cs="Arial"/>
          <w:sz w:val="18"/>
          <w:szCs w:val="18"/>
          <w:lang w:val="es-CO"/>
        </w:rPr>
        <w:t>. Senado y Cámara-. Año XXVII - Nº 810 Bogotá, D. C., 4 de octubre de 2018.</w:t>
      </w:r>
    </w:p>
    <w:p w14:paraId="4C2F4F02" w14:textId="77777777" w:rsidR="000F48E4" w:rsidRPr="00C87D96" w:rsidRDefault="000F48E4" w:rsidP="00C87D96">
      <w:pPr>
        <w:pStyle w:val="Textonotapie"/>
        <w:ind w:firstLine="708"/>
        <w:jc w:val="both"/>
        <w:rPr>
          <w:rFonts w:ascii="Arial" w:hAnsi="Arial" w:cs="Arial"/>
          <w:sz w:val="18"/>
          <w:szCs w:val="18"/>
          <w:lang w:val="es-CO"/>
        </w:rPr>
      </w:pPr>
    </w:p>
  </w:footnote>
  <w:footnote w:id="17">
    <w:p w14:paraId="4C7EE161" w14:textId="77777777" w:rsidR="00071CD0" w:rsidRPr="00C87D96" w:rsidRDefault="00071CD0" w:rsidP="00C87D96">
      <w:pPr>
        <w:pStyle w:val="NormalWeb"/>
        <w:spacing w:before="0" w:beforeAutospacing="0" w:after="0" w:afterAutospacing="0"/>
        <w:ind w:firstLine="708"/>
        <w:jc w:val="both"/>
        <w:rPr>
          <w:rFonts w:ascii="Arial" w:hAnsi="Arial" w:cs="Arial"/>
          <w:color w:val="000000"/>
          <w:sz w:val="18"/>
          <w:szCs w:val="18"/>
        </w:rPr>
      </w:pPr>
      <w:r w:rsidRPr="00C87D96">
        <w:rPr>
          <w:rStyle w:val="Refdenotaalpie"/>
          <w:rFonts w:ascii="Arial" w:eastAsiaTheme="minorHAnsi" w:hAnsi="Arial" w:cs="Arial"/>
          <w:sz w:val="18"/>
          <w:szCs w:val="18"/>
          <w:lang w:eastAsia="en-US"/>
        </w:rPr>
        <w:footnoteRef/>
      </w:r>
      <w:r w:rsidRPr="00C87D96">
        <w:rPr>
          <w:rFonts w:ascii="Arial" w:hAnsi="Arial" w:cs="Arial"/>
          <w:sz w:val="18"/>
          <w:szCs w:val="18"/>
        </w:rPr>
        <w:t xml:space="preserve"> Ley 418 de 1997 «</w:t>
      </w:r>
      <w:r w:rsidRPr="00C87D96">
        <w:rPr>
          <w:rFonts w:ascii="Arial" w:hAnsi="Arial" w:cs="Arial"/>
          <w:color w:val="000000"/>
          <w:sz w:val="18"/>
          <w:szCs w:val="18"/>
        </w:rPr>
        <w:t>Artículo 1</w:t>
      </w:r>
      <w:r w:rsidRPr="00C87D96">
        <w:rPr>
          <w:rFonts w:ascii="Arial" w:hAnsi="Arial" w:cs="Arial"/>
          <w:b/>
          <w:bCs/>
          <w:color w:val="000000"/>
          <w:sz w:val="18"/>
          <w:szCs w:val="18"/>
        </w:rPr>
        <w:t>º.</w:t>
      </w:r>
      <w:r w:rsidRPr="00C87D96">
        <w:rPr>
          <w:rFonts w:ascii="Arial" w:hAnsi="Arial" w:cs="Arial"/>
          <w:color w:val="000000"/>
          <w:sz w:val="18"/>
          <w:szCs w:val="18"/>
        </w:rPr>
        <w:t> Las normas consagradas en la presente ley tienen por objeto dotar al Estado colombiano de instrumentos eficaces para asegurar la vigencia del Estado Social y Democrático de Derecho y garantizar la plenitud de los derechos y libertades fundamentales reconocidos en la Constitución Política y/o los Tratados Internacionales aprobados por Colombia. </w:t>
      </w:r>
    </w:p>
    <w:p w14:paraId="3A9921F3" w14:textId="77777777" w:rsidR="00071CD0" w:rsidRPr="00C87D96" w:rsidRDefault="00071CD0" w:rsidP="00C87D96">
      <w:pPr>
        <w:pStyle w:val="NormalWeb"/>
        <w:spacing w:before="0" w:beforeAutospacing="0" w:after="0" w:afterAutospacing="0"/>
        <w:ind w:firstLine="708"/>
        <w:jc w:val="both"/>
        <w:rPr>
          <w:rFonts w:ascii="Arial" w:hAnsi="Arial" w:cs="Arial"/>
          <w:color w:val="000000"/>
          <w:sz w:val="18"/>
          <w:szCs w:val="18"/>
        </w:rPr>
      </w:pPr>
      <w:r w:rsidRPr="00C87D96">
        <w:rPr>
          <w:rFonts w:ascii="Arial" w:hAnsi="Arial" w:cs="Arial"/>
          <w:color w:val="000000"/>
          <w:sz w:val="18"/>
          <w:szCs w:val="18"/>
        </w:rPr>
        <w:t>[…]  </w:t>
      </w:r>
      <w:r w:rsidRPr="00C87D96">
        <w:rPr>
          <w:rFonts w:ascii="Arial" w:hAnsi="Arial" w:cs="Arial"/>
          <w:color w:val="000000"/>
          <w:sz w:val="18"/>
          <w:szCs w:val="18"/>
        </w:rPr>
        <w:tab/>
      </w:r>
    </w:p>
    <w:p w14:paraId="1FB84DB5" w14:textId="77777777" w:rsidR="00071CD0" w:rsidRPr="00C87D96" w:rsidRDefault="00071CD0" w:rsidP="00C87D96">
      <w:pPr>
        <w:pStyle w:val="NormalWeb"/>
        <w:spacing w:before="0" w:beforeAutospacing="0" w:after="0" w:afterAutospacing="0"/>
        <w:ind w:firstLine="708"/>
        <w:jc w:val="both"/>
        <w:rPr>
          <w:rFonts w:ascii="Arial" w:hAnsi="Arial" w:cs="Arial"/>
          <w:color w:val="000000"/>
          <w:sz w:val="18"/>
          <w:szCs w:val="18"/>
        </w:rPr>
      </w:pPr>
      <w:r w:rsidRPr="00C87D96">
        <w:rPr>
          <w:rFonts w:ascii="Arial" w:hAnsi="Arial" w:cs="Arial"/>
          <w:color w:val="000000"/>
          <w:sz w:val="18"/>
          <w:szCs w:val="18"/>
        </w:rPr>
        <w:t>»Artículo 3</w:t>
      </w:r>
      <w:r w:rsidRPr="00C87D96">
        <w:rPr>
          <w:rFonts w:ascii="Arial" w:hAnsi="Arial" w:cs="Arial"/>
          <w:b/>
          <w:bCs/>
          <w:color w:val="000000"/>
          <w:sz w:val="18"/>
          <w:szCs w:val="18"/>
        </w:rPr>
        <w:t>º.</w:t>
      </w:r>
      <w:r w:rsidRPr="00C87D96">
        <w:rPr>
          <w:rFonts w:ascii="Arial" w:hAnsi="Arial" w:cs="Arial"/>
          <w:color w:val="000000"/>
          <w:sz w:val="18"/>
          <w:szCs w:val="18"/>
        </w:rPr>
        <w:t> El Estado propenderá por el establecimiento de un orden social justo que asegure la convivencia pacífica, la protección de los derechos y libertades de los individuos y adoptará medidas en favor de grupos discriminados o marginados, tendientes a lograr condiciones de igualdad real y a proveer a todos de las mismas oportunidades para su adecuado desenvolvimiento, el de su familia y su grupo social. </w:t>
      </w:r>
    </w:p>
    <w:p w14:paraId="7C89D7D7" w14:textId="77777777" w:rsidR="00071CD0" w:rsidRPr="00C87D96" w:rsidRDefault="00071CD0" w:rsidP="00C87D96">
      <w:pPr>
        <w:pStyle w:val="NormalWeb"/>
        <w:spacing w:before="0" w:beforeAutospacing="0" w:after="0" w:afterAutospacing="0"/>
        <w:jc w:val="both"/>
        <w:rPr>
          <w:rFonts w:ascii="Arial" w:hAnsi="Arial" w:cs="Arial"/>
          <w:color w:val="000000"/>
          <w:sz w:val="18"/>
          <w:szCs w:val="18"/>
        </w:rPr>
      </w:pPr>
      <w:r w:rsidRPr="00C87D96">
        <w:rPr>
          <w:rFonts w:ascii="Arial" w:hAnsi="Arial" w:cs="Arial"/>
          <w:color w:val="000000"/>
          <w:sz w:val="18"/>
          <w:szCs w:val="18"/>
        </w:rPr>
        <w:t>  </w:t>
      </w:r>
      <w:r w:rsidRPr="00C87D96">
        <w:rPr>
          <w:rFonts w:ascii="Arial" w:hAnsi="Arial" w:cs="Arial"/>
          <w:color w:val="000000"/>
          <w:sz w:val="18"/>
          <w:szCs w:val="18"/>
        </w:rPr>
        <w:tab/>
        <w:t>»</w:t>
      </w:r>
      <w:r w:rsidRPr="00C87D96">
        <w:rPr>
          <w:rStyle w:val="Textoennegrita"/>
          <w:rFonts w:ascii="Arial" w:hAnsi="Arial" w:cs="Arial"/>
          <w:b w:val="0"/>
          <w:bCs w:val="0"/>
          <w:color w:val="000000"/>
          <w:sz w:val="18"/>
          <w:szCs w:val="18"/>
        </w:rPr>
        <w:t>Artículo 4</w:t>
      </w:r>
      <w:r w:rsidRPr="00C87D96">
        <w:rPr>
          <w:rStyle w:val="Textoennegrita"/>
          <w:rFonts w:ascii="Arial" w:hAnsi="Arial" w:cs="Arial"/>
          <w:color w:val="000000"/>
          <w:sz w:val="18"/>
          <w:szCs w:val="18"/>
        </w:rPr>
        <w:t>°.</w:t>
      </w:r>
      <w:r w:rsidRPr="00C87D96">
        <w:rPr>
          <w:rFonts w:ascii="Arial" w:hAnsi="Arial" w:cs="Arial"/>
          <w:color w:val="000000"/>
          <w:sz w:val="18"/>
          <w:szCs w:val="18"/>
        </w:rPr>
        <w:t> Las autoridades procurarán que los particulares resuelvan sus diferencias de manera democrática y pacífica, facilitarán la participación de todos en las decisiones que los afectan y deberán resolver de manera pronta las solicitudes que los ciudadanos les presenten para la satisfacción de sus necesidades y la prevención y tratamiento de las perturbaciones a la seguridad, la tranquilidad, la salubridad y el ambiente.  </w:t>
      </w:r>
    </w:p>
    <w:p w14:paraId="4F2A510F" w14:textId="77777777" w:rsidR="00071CD0" w:rsidRPr="00C87D96" w:rsidRDefault="00071CD0" w:rsidP="00C87D96">
      <w:pPr>
        <w:pStyle w:val="NormalWeb"/>
        <w:spacing w:before="0" w:beforeAutospacing="0" w:after="0" w:afterAutospacing="0"/>
        <w:ind w:firstLine="708"/>
        <w:jc w:val="both"/>
        <w:rPr>
          <w:rFonts w:ascii="Arial" w:hAnsi="Arial" w:cs="Arial"/>
          <w:color w:val="000000"/>
          <w:sz w:val="18"/>
          <w:szCs w:val="18"/>
        </w:rPr>
      </w:pPr>
      <w:r w:rsidRPr="00C87D96">
        <w:rPr>
          <w:rFonts w:ascii="Arial" w:hAnsi="Arial" w:cs="Arial"/>
          <w:color w:val="000000"/>
          <w:sz w:val="18"/>
          <w:szCs w:val="18"/>
        </w:rPr>
        <w:t>»Artículo 5</w:t>
      </w:r>
      <w:r w:rsidRPr="00C87D96">
        <w:rPr>
          <w:rFonts w:ascii="Arial" w:hAnsi="Arial" w:cs="Arial"/>
          <w:b/>
          <w:bCs/>
          <w:color w:val="000000"/>
          <w:sz w:val="18"/>
          <w:szCs w:val="18"/>
        </w:rPr>
        <w:t>º.</w:t>
      </w:r>
      <w:r w:rsidRPr="00C87D96">
        <w:rPr>
          <w:rFonts w:ascii="Arial" w:hAnsi="Arial" w:cs="Arial"/>
          <w:color w:val="000000"/>
          <w:sz w:val="18"/>
          <w:szCs w:val="18"/>
        </w:rPr>
        <w:t> Las autoridades garantizarán conforme a la Constitución Política y las leyes de la República, el libre desarrollo, expresión y actuación de los movimientos cívicos, sociales y de las protestas populares». </w:t>
      </w:r>
    </w:p>
    <w:p w14:paraId="25749354" w14:textId="77777777" w:rsidR="00071CD0" w:rsidRPr="00C87D96" w:rsidRDefault="00071CD0" w:rsidP="00C87D96">
      <w:pPr>
        <w:pStyle w:val="Textonotapie"/>
        <w:jc w:val="both"/>
        <w:rPr>
          <w:rFonts w:ascii="Arial" w:hAnsi="Arial" w:cs="Arial"/>
          <w:sz w:val="18"/>
          <w:szCs w:val="18"/>
          <w:lang w:val="es-CO"/>
        </w:rPr>
      </w:pPr>
    </w:p>
  </w:footnote>
  <w:footnote w:id="18">
    <w:p w14:paraId="1ED916C3" w14:textId="4D342ECE" w:rsidR="007444B3" w:rsidRPr="00C87D96" w:rsidRDefault="007444B3"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Artículos 10 a </w:t>
      </w:r>
      <w:r w:rsidR="007F0742" w:rsidRPr="00C87D96">
        <w:rPr>
          <w:rFonts w:ascii="Arial" w:hAnsi="Arial" w:cs="Arial"/>
          <w:sz w:val="18"/>
          <w:szCs w:val="18"/>
          <w:lang w:val="es-CO"/>
        </w:rPr>
        <w:t>14</w:t>
      </w:r>
      <w:r w:rsidR="005B6DCA" w:rsidRPr="00C87D96">
        <w:rPr>
          <w:rFonts w:ascii="Arial" w:hAnsi="Arial" w:cs="Arial"/>
          <w:sz w:val="18"/>
          <w:szCs w:val="18"/>
          <w:lang w:val="es-CO"/>
        </w:rPr>
        <w:t>.</w:t>
      </w:r>
    </w:p>
    <w:p w14:paraId="65F463BC" w14:textId="77777777" w:rsidR="00FC0D3F" w:rsidRPr="00C87D96" w:rsidRDefault="00FC0D3F" w:rsidP="00C87D96">
      <w:pPr>
        <w:pStyle w:val="Textonotapie"/>
        <w:jc w:val="both"/>
        <w:rPr>
          <w:rFonts w:ascii="Arial" w:hAnsi="Arial" w:cs="Arial"/>
          <w:sz w:val="18"/>
          <w:szCs w:val="18"/>
          <w:lang w:val="es-CO"/>
        </w:rPr>
      </w:pPr>
    </w:p>
  </w:footnote>
  <w:footnote w:id="19">
    <w:p w14:paraId="7A2FC401" w14:textId="6C0BFEAC" w:rsidR="00FC0D3F" w:rsidRPr="00C87D96" w:rsidRDefault="00FC0D3F"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Artículos 14 a 49C.</w:t>
      </w:r>
    </w:p>
    <w:p w14:paraId="0971EB60" w14:textId="77777777" w:rsidR="00D156B1" w:rsidRPr="00C87D96" w:rsidRDefault="00D156B1" w:rsidP="00C87D96">
      <w:pPr>
        <w:pStyle w:val="Textonotapie"/>
        <w:ind w:firstLine="708"/>
        <w:jc w:val="both"/>
        <w:rPr>
          <w:rFonts w:ascii="Arial" w:hAnsi="Arial" w:cs="Arial"/>
          <w:sz w:val="18"/>
          <w:szCs w:val="18"/>
          <w:lang w:val="es-CO"/>
        </w:rPr>
      </w:pPr>
    </w:p>
  </w:footnote>
  <w:footnote w:id="20">
    <w:p w14:paraId="5AA5A3F2" w14:textId="6B0A73AF" w:rsidR="00A64BAB" w:rsidRPr="00C87D96" w:rsidRDefault="00A64BAB"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00D156B1" w:rsidRPr="00C87D96">
        <w:rPr>
          <w:rFonts w:ascii="Arial" w:hAnsi="Arial" w:cs="Arial"/>
          <w:sz w:val="18"/>
          <w:szCs w:val="18"/>
          <w:lang w:val="es-CO"/>
        </w:rPr>
        <w:t xml:space="preserve"> Artículos 60 </w:t>
      </w:r>
      <w:r w:rsidR="000B2F40" w:rsidRPr="00C87D96">
        <w:rPr>
          <w:rFonts w:ascii="Arial" w:hAnsi="Arial" w:cs="Arial"/>
          <w:sz w:val="18"/>
          <w:szCs w:val="18"/>
          <w:lang w:val="es-CO"/>
        </w:rPr>
        <w:t>a</w:t>
      </w:r>
      <w:r w:rsidR="00D156B1" w:rsidRPr="00C87D96">
        <w:rPr>
          <w:rFonts w:ascii="Arial" w:hAnsi="Arial" w:cs="Arial"/>
          <w:sz w:val="18"/>
          <w:szCs w:val="18"/>
          <w:lang w:val="es-CO"/>
        </w:rPr>
        <w:t xml:space="preserve"> 66.</w:t>
      </w:r>
      <w:r w:rsidRPr="00C87D96">
        <w:rPr>
          <w:rFonts w:ascii="Arial" w:hAnsi="Arial" w:cs="Arial"/>
          <w:sz w:val="18"/>
          <w:szCs w:val="18"/>
          <w:lang w:val="es-CO"/>
        </w:rPr>
        <w:t xml:space="preserve"> </w:t>
      </w:r>
    </w:p>
  </w:footnote>
  <w:footnote w:id="21">
    <w:p w14:paraId="4BA29E94" w14:textId="77777777" w:rsidR="000B2F40" w:rsidRPr="00C87D96" w:rsidRDefault="000B2F40" w:rsidP="00C87D96">
      <w:pPr>
        <w:pStyle w:val="Textonotapie"/>
        <w:ind w:firstLine="708"/>
        <w:jc w:val="both"/>
        <w:rPr>
          <w:rFonts w:ascii="Arial" w:hAnsi="Arial" w:cs="Arial"/>
          <w:sz w:val="18"/>
          <w:szCs w:val="18"/>
          <w:lang w:val="es-CO"/>
        </w:rPr>
      </w:pPr>
    </w:p>
    <w:p w14:paraId="1A3F2D8C" w14:textId="38AA7732" w:rsidR="004F29D8" w:rsidRPr="00C87D96" w:rsidRDefault="004F29D8"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Artículos </w:t>
      </w:r>
      <w:r w:rsidR="000B2F40" w:rsidRPr="00C87D96">
        <w:rPr>
          <w:rFonts w:ascii="Arial" w:hAnsi="Arial" w:cs="Arial"/>
          <w:sz w:val="18"/>
          <w:szCs w:val="18"/>
          <w:lang w:val="es-CO"/>
        </w:rPr>
        <w:t>67 a 83.</w:t>
      </w:r>
    </w:p>
  </w:footnote>
  <w:footnote w:id="22">
    <w:p w14:paraId="00CF2C24" w14:textId="77777777" w:rsidR="001D284A" w:rsidRPr="00C87D96" w:rsidRDefault="001D284A" w:rsidP="00C87D96">
      <w:pPr>
        <w:pStyle w:val="Textonotapie"/>
        <w:ind w:firstLine="708"/>
        <w:jc w:val="both"/>
        <w:rPr>
          <w:rFonts w:ascii="Arial" w:hAnsi="Arial" w:cs="Arial"/>
          <w:sz w:val="18"/>
          <w:szCs w:val="18"/>
          <w:lang w:val="es-CO"/>
        </w:rPr>
      </w:pPr>
    </w:p>
    <w:p w14:paraId="2ADDCE6A" w14:textId="59ACE8CF" w:rsidR="001D284A" w:rsidRPr="00C87D96" w:rsidRDefault="001D284A"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Artículos 84 a 89.</w:t>
      </w:r>
      <w:r w:rsidR="00004B1E" w:rsidRPr="00C87D96">
        <w:rPr>
          <w:rFonts w:ascii="Arial" w:hAnsi="Arial" w:cs="Arial"/>
          <w:sz w:val="18"/>
          <w:szCs w:val="18"/>
          <w:lang w:val="es-CO"/>
        </w:rPr>
        <w:t xml:space="preserve"> Estos artícu</w:t>
      </w:r>
      <w:r w:rsidR="007F0292" w:rsidRPr="00C87D96">
        <w:rPr>
          <w:rFonts w:ascii="Arial" w:hAnsi="Arial" w:cs="Arial"/>
          <w:sz w:val="18"/>
          <w:szCs w:val="18"/>
          <w:lang w:val="es-CO"/>
        </w:rPr>
        <w:t>los fueron derogados por el artículo 46 de la Ley 782 de 2002.</w:t>
      </w:r>
    </w:p>
  </w:footnote>
  <w:footnote w:id="23">
    <w:p w14:paraId="61B089EF" w14:textId="77777777" w:rsidR="00F44AEC" w:rsidRPr="00C87D96" w:rsidRDefault="00F44AEC" w:rsidP="00C87D96">
      <w:pPr>
        <w:pStyle w:val="Textonotapie"/>
        <w:ind w:firstLine="708"/>
        <w:jc w:val="both"/>
        <w:rPr>
          <w:rFonts w:ascii="Arial" w:hAnsi="Arial" w:cs="Arial"/>
          <w:sz w:val="18"/>
          <w:szCs w:val="18"/>
          <w:lang w:val="es-CO"/>
        </w:rPr>
      </w:pPr>
    </w:p>
    <w:p w14:paraId="55DCD636" w14:textId="56BDBE5E" w:rsidR="00F44AEC" w:rsidRPr="00C87D96" w:rsidRDefault="00F44AEC"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Artículos 90 a 95. </w:t>
      </w:r>
    </w:p>
  </w:footnote>
  <w:footnote w:id="24">
    <w:p w14:paraId="4C6A7DAF" w14:textId="77777777" w:rsidR="003761BE" w:rsidRPr="00C87D96" w:rsidRDefault="003761BE" w:rsidP="00C87D96">
      <w:pPr>
        <w:pStyle w:val="Textonotapie"/>
        <w:ind w:firstLine="708"/>
        <w:jc w:val="both"/>
        <w:rPr>
          <w:rFonts w:ascii="Arial" w:hAnsi="Arial" w:cs="Arial"/>
          <w:sz w:val="18"/>
          <w:szCs w:val="18"/>
          <w:lang w:val="es-CO"/>
        </w:rPr>
      </w:pPr>
    </w:p>
    <w:p w14:paraId="74782F46" w14:textId="09D50697" w:rsidR="003761BE" w:rsidRPr="00C87D96" w:rsidRDefault="003761BE"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Artículos 96 a 98.</w:t>
      </w:r>
    </w:p>
  </w:footnote>
  <w:footnote w:id="25">
    <w:p w14:paraId="7FC5AC45" w14:textId="77777777" w:rsidR="005735F5" w:rsidRPr="00C87D96" w:rsidRDefault="005735F5" w:rsidP="00C87D96">
      <w:pPr>
        <w:pStyle w:val="Textonotapie"/>
        <w:ind w:firstLine="708"/>
        <w:jc w:val="both"/>
        <w:rPr>
          <w:rFonts w:ascii="Arial" w:hAnsi="Arial" w:cs="Arial"/>
          <w:sz w:val="18"/>
          <w:szCs w:val="18"/>
          <w:lang w:val="es-CO"/>
        </w:rPr>
      </w:pPr>
    </w:p>
    <w:p w14:paraId="114D2D67" w14:textId="1B4189F1" w:rsidR="005735F5" w:rsidRPr="00C87D96" w:rsidRDefault="005735F5"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Artículos 99 a 104. </w:t>
      </w:r>
    </w:p>
  </w:footnote>
  <w:footnote w:id="26">
    <w:p w14:paraId="3D62526B" w14:textId="77777777" w:rsidR="005735F5" w:rsidRPr="00C87D96" w:rsidRDefault="005735F5" w:rsidP="00C87D96">
      <w:pPr>
        <w:pStyle w:val="Textonotapie"/>
        <w:ind w:firstLine="708"/>
        <w:jc w:val="both"/>
        <w:rPr>
          <w:rFonts w:ascii="Arial" w:hAnsi="Arial" w:cs="Arial"/>
          <w:sz w:val="18"/>
          <w:szCs w:val="18"/>
          <w:lang w:val="es-CO"/>
        </w:rPr>
      </w:pPr>
    </w:p>
    <w:p w14:paraId="3AE021C3" w14:textId="79293850" w:rsidR="005735F5" w:rsidRPr="00C87D96" w:rsidRDefault="005735F5"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Artículos 105 a 116. </w:t>
      </w:r>
    </w:p>
  </w:footnote>
  <w:footnote w:id="27">
    <w:p w14:paraId="05F7639F" w14:textId="77777777" w:rsidR="005735F5" w:rsidRPr="00C87D96" w:rsidRDefault="005735F5" w:rsidP="00C87D96">
      <w:pPr>
        <w:pStyle w:val="Textonotapie"/>
        <w:ind w:firstLine="708"/>
        <w:jc w:val="both"/>
        <w:rPr>
          <w:rFonts w:ascii="Arial" w:hAnsi="Arial" w:cs="Arial"/>
          <w:sz w:val="18"/>
          <w:szCs w:val="18"/>
          <w:lang w:val="es-CO"/>
        </w:rPr>
      </w:pPr>
    </w:p>
    <w:p w14:paraId="0EF97D72" w14:textId="2943BF33" w:rsidR="005735F5" w:rsidRPr="00C87D96" w:rsidRDefault="005735F5"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Artículos 117 a 122. </w:t>
      </w:r>
    </w:p>
  </w:footnote>
  <w:footnote w:id="28">
    <w:p w14:paraId="162CDFFF" w14:textId="77777777" w:rsidR="00973A94" w:rsidRPr="00C87D96" w:rsidRDefault="00973A94" w:rsidP="00C87D96">
      <w:pPr>
        <w:pStyle w:val="Textonotapie"/>
        <w:ind w:firstLine="708"/>
        <w:jc w:val="both"/>
        <w:rPr>
          <w:rFonts w:ascii="Arial" w:hAnsi="Arial" w:cs="Arial"/>
          <w:sz w:val="18"/>
          <w:szCs w:val="18"/>
          <w:lang w:val="es-CO"/>
        </w:rPr>
      </w:pPr>
    </w:p>
    <w:p w14:paraId="696DDF26" w14:textId="2DCA47F1" w:rsidR="00973A94" w:rsidRPr="00C87D96" w:rsidRDefault="00973A94"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Artículos 123 a 130. </w:t>
      </w:r>
    </w:p>
    <w:p w14:paraId="4436C589" w14:textId="77777777" w:rsidR="00C763B9" w:rsidRPr="00C87D96" w:rsidRDefault="00C763B9" w:rsidP="00C87D96">
      <w:pPr>
        <w:pStyle w:val="Textonotapie"/>
        <w:ind w:firstLine="708"/>
        <w:jc w:val="both"/>
        <w:rPr>
          <w:rFonts w:ascii="Arial" w:hAnsi="Arial" w:cs="Arial"/>
          <w:sz w:val="18"/>
          <w:szCs w:val="18"/>
          <w:lang w:val="es-CO"/>
        </w:rPr>
      </w:pPr>
    </w:p>
  </w:footnote>
  <w:footnote w:id="29">
    <w:p w14:paraId="4B8E3221" w14:textId="77777777" w:rsidR="00E8153A" w:rsidRPr="00C87D96" w:rsidRDefault="00E8153A" w:rsidP="00C87D96">
      <w:pPr>
        <w:pStyle w:val="NormalWeb"/>
        <w:spacing w:before="0" w:beforeAutospacing="0" w:after="0" w:afterAutospacing="0"/>
        <w:ind w:firstLine="708"/>
        <w:jc w:val="both"/>
        <w:rPr>
          <w:rFonts w:ascii="Arial" w:hAnsi="Arial" w:cs="Arial"/>
          <w:color w:val="000000"/>
          <w:sz w:val="18"/>
          <w:szCs w:val="18"/>
        </w:rPr>
      </w:pPr>
      <w:r w:rsidRPr="00C87D96">
        <w:rPr>
          <w:rStyle w:val="Refdenotaalpie"/>
          <w:rFonts w:ascii="Arial" w:hAnsi="Arial" w:cs="Arial"/>
          <w:sz w:val="18"/>
          <w:szCs w:val="18"/>
        </w:rPr>
        <w:footnoteRef/>
      </w:r>
      <w:r w:rsidRPr="00C87D96">
        <w:rPr>
          <w:rFonts w:ascii="Arial" w:hAnsi="Arial" w:cs="Arial"/>
          <w:sz w:val="18"/>
          <w:szCs w:val="18"/>
        </w:rPr>
        <w:t xml:space="preserve"> «</w:t>
      </w:r>
      <w:r w:rsidRPr="00C87D96">
        <w:rPr>
          <w:rFonts w:ascii="Arial" w:hAnsi="Arial" w:cs="Arial"/>
          <w:color w:val="000000"/>
          <w:sz w:val="18"/>
          <w:szCs w:val="18"/>
        </w:rPr>
        <w:t>Artículo 131</w:t>
      </w:r>
      <w:r w:rsidRPr="00C87D96">
        <w:rPr>
          <w:rFonts w:ascii="Arial" w:hAnsi="Arial" w:cs="Arial"/>
          <w:b/>
          <w:bCs/>
          <w:color w:val="000000"/>
          <w:sz w:val="18"/>
          <w:szCs w:val="18"/>
        </w:rPr>
        <w:t>.</w:t>
      </w:r>
      <w:r w:rsidRPr="00C87D96">
        <w:rPr>
          <w:rFonts w:ascii="Arial" w:hAnsi="Arial" w:cs="Arial"/>
          <w:color w:val="000000"/>
          <w:sz w:val="18"/>
          <w:szCs w:val="18"/>
        </w:rPr>
        <w:t> Esta ley tendrá una vigencia de dos (2) años a partir de la fecha de su promulgación, deroga las Leyes 104 de 1993 y 241 de 1995, así como las disposiciones que le sean contrarias. </w:t>
      </w:r>
    </w:p>
    <w:p w14:paraId="315A2BEC" w14:textId="518C47A4" w:rsidR="00E8153A" w:rsidRPr="00C87D96" w:rsidRDefault="00E8153A" w:rsidP="00C87D96">
      <w:pPr>
        <w:pStyle w:val="NormalWeb"/>
        <w:spacing w:before="0" w:beforeAutospacing="0" w:after="0" w:afterAutospacing="0"/>
        <w:ind w:firstLine="708"/>
        <w:jc w:val="both"/>
        <w:rPr>
          <w:rFonts w:ascii="Arial" w:hAnsi="Arial" w:cs="Arial"/>
          <w:color w:val="000000"/>
          <w:sz w:val="18"/>
          <w:szCs w:val="18"/>
        </w:rPr>
      </w:pPr>
      <w:bookmarkStart w:id="5" w:name="ver_1660054"/>
      <w:bookmarkEnd w:id="5"/>
      <w:r w:rsidRPr="00C87D96">
        <w:rPr>
          <w:rFonts w:ascii="Arial" w:hAnsi="Arial" w:cs="Arial"/>
          <w:color w:val="000000"/>
          <w:sz w:val="18"/>
          <w:szCs w:val="18"/>
        </w:rPr>
        <w:t>»Artículo 132</w:t>
      </w:r>
      <w:r w:rsidRPr="00C87D96">
        <w:rPr>
          <w:rFonts w:ascii="Arial" w:hAnsi="Arial" w:cs="Arial"/>
          <w:b/>
          <w:bCs/>
          <w:color w:val="000000"/>
          <w:sz w:val="18"/>
          <w:szCs w:val="18"/>
        </w:rPr>
        <w:t>.</w:t>
      </w:r>
      <w:r w:rsidRPr="00C87D96">
        <w:rPr>
          <w:rFonts w:ascii="Arial" w:hAnsi="Arial" w:cs="Arial"/>
          <w:color w:val="000000"/>
          <w:sz w:val="18"/>
          <w:szCs w:val="18"/>
        </w:rPr>
        <w:t> La presente ley rige a partir de la fecha de su promulgación».   </w:t>
      </w:r>
    </w:p>
    <w:p w14:paraId="6B53B860" w14:textId="77777777" w:rsidR="00E8153A" w:rsidRPr="00C87D96" w:rsidRDefault="00E8153A" w:rsidP="00C87D96">
      <w:pPr>
        <w:pStyle w:val="Textonotapie"/>
        <w:jc w:val="both"/>
        <w:rPr>
          <w:rFonts w:ascii="Arial" w:hAnsi="Arial" w:cs="Arial"/>
          <w:sz w:val="18"/>
          <w:szCs w:val="18"/>
          <w:lang w:val="es-CO"/>
        </w:rPr>
      </w:pPr>
    </w:p>
  </w:footnote>
  <w:footnote w:id="30">
    <w:p w14:paraId="304BCE45" w14:textId="0925F4A0" w:rsidR="006269F9" w:rsidRPr="00C87D96" w:rsidRDefault="006269F9"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«Artículo 90. El Gobierno podrá declarar la caducidad o decretar la liquidación unilateral de todo contrato celebrado por una entidad pública, cuando el contratista incurra, con ocasión del contrato y en relación con los grupos armados organizados al margen de la ley, en cualquiera de las siguientes causales:  </w:t>
      </w:r>
    </w:p>
    <w:p w14:paraId="764E7B5C" w14:textId="6623DEC4" w:rsidR="006269F9" w:rsidRPr="00C87D96" w:rsidRDefault="006269F9" w:rsidP="00C87D96">
      <w:pPr>
        <w:pStyle w:val="Textonotapie"/>
        <w:ind w:firstLine="708"/>
        <w:jc w:val="both"/>
        <w:rPr>
          <w:rFonts w:ascii="Arial" w:hAnsi="Arial" w:cs="Arial"/>
          <w:sz w:val="18"/>
          <w:szCs w:val="18"/>
          <w:lang w:val="es-CO"/>
        </w:rPr>
      </w:pPr>
      <w:r w:rsidRPr="00C87D96">
        <w:rPr>
          <w:rFonts w:ascii="Arial" w:hAnsi="Arial" w:cs="Arial"/>
          <w:sz w:val="18"/>
          <w:szCs w:val="18"/>
          <w:lang w:val="es-CO"/>
        </w:rPr>
        <w:t xml:space="preserve"> »Ceder injustificadamente ante las amenazas proferidas por dichos grupos.  </w:t>
      </w:r>
    </w:p>
    <w:p w14:paraId="03DEE96F" w14:textId="43F284C3" w:rsidR="006269F9" w:rsidRPr="00C87D96" w:rsidRDefault="006269F9" w:rsidP="00C87D96">
      <w:pPr>
        <w:pStyle w:val="Textonotapie"/>
        <w:ind w:firstLine="708"/>
        <w:jc w:val="both"/>
        <w:rPr>
          <w:rFonts w:ascii="Arial" w:hAnsi="Arial" w:cs="Arial"/>
          <w:sz w:val="18"/>
          <w:szCs w:val="18"/>
          <w:lang w:val="es-CO"/>
        </w:rPr>
      </w:pPr>
      <w:r w:rsidRPr="00C87D96">
        <w:rPr>
          <w:rFonts w:ascii="Arial" w:hAnsi="Arial" w:cs="Arial"/>
          <w:sz w:val="18"/>
          <w:szCs w:val="18"/>
          <w:lang w:val="es-CO"/>
        </w:rPr>
        <w:t xml:space="preserve"> »Recibir, suministrar, administrar, intervenir, financiar, transferir, guardar, transportar, almacenar o conservar dineros o bienes provenientes de o con destino a tales grupos o colaborar y prestar ayuda a los mismos.  </w:t>
      </w:r>
    </w:p>
    <w:p w14:paraId="43E86BB8" w14:textId="409A1448" w:rsidR="006269F9" w:rsidRPr="00C87D96" w:rsidRDefault="006269F9" w:rsidP="00C87D96">
      <w:pPr>
        <w:pStyle w:val="Textonotapie"/>
        <w:ind w:firstLine="708"/>
        <w:jc w:val="both"/>
        <w:rPr>
          <w:rFonts w:ascii="Arial" w:hAnsi="Arial" w:cs="Arial"/>
          <w:sz w:val="18"/>
          <w:szCs w:val="18"/>
          <w:lang w:val="es-CO"/>
        </w:rPr>
      </w:pPr>
      <w:r w:rsidRPr="00C87D96">
        <w:rPr>
          <w:rFonts w:ascii="Arial" w:hAnsi="Arial" w:cs="Arial"/>
          <w:sz w:val="18"/>
          <w:szCs w:val="18"/>
          <w:lang w:val="es-CO"/>
        </w:rPr>
        <w:t xml:space="preserve"> »Construir, ceder, arrendar, poner a disposición, facilitar o transferir a cualquier título, bienes para ser destinados a la ocultación de personas o al depósito o almacenamiento de pertenencias de dichos grupos.  </w:t>
      </w:r>
    </w:p>
    <w:p w14:paraId="3856135B" w14:textId="12EAF2A0" w:rsidR="006269F9" w:rsidRPr="00C87D96" w:rsidRDefault="006269F9" w:rsidP="00C87D96">
      <w:pPr>
        <w:pStyle w:val="Textonotapie"/>
        <w:ind w:firstLine="708"/>
        <w:jc w:val="both"/>
        <w:rPr>
          <w:rFonts w:ascii="Arial" w:hAnsi="Arial" w:cs="Arial"/>
          <w:sz w:val="18"/>
          <w:szCs w:val="18"/>
          <w:lang w:val="es-CO"/>
        </w:rPr>
      </w:pPr>
      <w:r w:rsidRPr="00C87D96">
        <w:rPr>
          <w:rFonts w:ascii="Arial" w:hAnsi="Arial" w:cs="Arial"/>
          <w:sz w:val="18"/>
          <w:szCs w:val="18"/>
          <w:lang w:val="es-CO"/>
        </w:rPr>
        <w:t xml:space="preserve"> »Paralizar, suspender o disminuir notoriamente el cumplimiento de sus obligaciones contractuales por atender instrucciones de dichos grupos.  </w:t>
      </w:r>
    </w:p>
    <w:p w14:paraId="56ACE1E8" w14:textId="4E99EB1F" w:rsidR="006269F9" w:rsidRPr="00C87D96" w:rsidRDefault="006269F9" w:rsidP="00C87D96">
      <w:pPr>
        <w:pStyle w:val="Textonotapie"/>
        <w:ind w:firstLine="708"/>
        <w:jc w:val="both"/>
        <w:rPr>
          <w:rFonts w:ascii="Arial" w:hAnsi="Arial" w:cs="Arial"/>
          <w:sz w:val="18"/>
          <w:szCs w:val="18"/>
          <w:lang w:val="es-CO"/>
        </w:rPr>
      </w:pPr>
      <w:r w:rsidRPr="00C87D96">
        <w:rPr>
          <w:rFonts w:ascii="Arial" w:hAnsi="Arial" w:cs="Arial"/>
          <w:sz w:val="18"/>
          <w:szCs w:val="18"/>
          <w:lang w:val="es-CO"/>
        </w:rPr>
        <w:t xml:space="preserve"> »Incumplir el deber de denunciar hechos punibles, cuya comisión sea imputable a dichos grupos, conocidos con ocasión del contrato.  </w:t>
      </w:r>
    </w:p>
    <w:p w14:paraId="38677C70" w14:textId="2D119A01" w:rsidR="006269F9" w:rsidRPr="00C87D96" w:rsidRDefault="006269F9" w:rsidP="00C87D96">
      <w:pPr>
        <w:pStyle w:val="Textonotapie"/>
        <w:ind w:firstLine="708"/>
        <w:jc w:val="both"/>
        <w:rPr>
          <w:rFonts w:ascii="Arial" w:hAnsi="Arial" w:cs="Arial"/>
          <w:sz w:val="18"/>
          <w:szCs w:val="18"/>
          <w:lang w:val="es-CO"/>
        </w:rPr>
      </w:pPr>
      <w:r w:rsidRPr="00C87D96">
        <w:rPr>
          <w:rFonts w:ascii="Arial" w:hAnsi="Arial" w:cs="Arial"/>
          <w:sz w:val="18"/>
          <w:szCs w:val="18"/>
          <w:lang w:val="es-CO"/>
        </w:rPr>
        <w:t xml:space="preserve"> »Parágrafo. Para efecto de lo dispuesto en el presente artículo, constituye hecho del contratista la conducta de sus agentes o dependientes, de la cual haya tenido conocimiento».</w:t>
      </w:r>
    </w:p>
  </w:footnote>
  <w:footnote w:id="31">
    <w:p w14:paraId="436F29B2" w14:textId="77777777" w:rsidR="006269F9" w:rsidRPr="00C87D96" w:rsidRDefault="006269F9" w:rsidP="00C87D96">
      <w:pPr>
        <w:pStyle w:val="Textonotapie"/>
        <w:ind w:firstLine="708"/>
        <w:jc w:val="both"/>
        <w:rPr>
          <w:rFonts w:ascii="Arial" w:hAnsi="Arial" w:cs="Arial"/>
          <w:sz w:val="18"/>
          <w:szCs w:val="18"/>
          <w:lang w:val="es-CO"/>
        </w:rPr>
      </w:pPr>
    </w:p>
    <w:p w14:paraId="2D88C51D" w14:textId="48E5DB42" w:rsidR="005921FF" w:rsidRPr="00C87D96" w:rsidRDefault="005921FF"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Sobre </w:t>
      </w:r>
      <w:r w:rsidR="00667ED4" w:rsidRPr="00C87D96">
        <w:rPr>
          <w:rFonts w:ascii="Arial" w:hAnsi="Arial" w:cs="Arial"/>
          <w:sz w:val="18"/>
          <w:szCs w:val="18"/>
          <w:lang w:val="es-CO"/>
        </w:rPr>
        <w:t xml:space="preserve">esta </w:t>
      </w:r>
      <w:r w:rsidR="00E773FA" w:rsidRPr="00C87D96">
        <w:rPr>
          <w:rFonts w:ascii="Arial" w:hAnsi="Arial" w:cs="Arial"/>
          <w:sz w:val="18"/>
          <w:szCs w:val="18"/>
          <w:lang w:val="es-CO"/>
        </w:rPr>
        <w:t>particular causal de caducidad la doctrina ha señalado:</w:t>
      </w:r>
      <w:r w:rsidR="00560DD4" w:rsidRPr="00C87D96">
        <w:rPr>
          <w:rFonts w:ascii="Arial" w:hAnsi="Arial" w:cs="Arial"/>
          <w:sz w:val="18"/>
          <w:szCs w:val="18"/>
          <w:lang w:val="es-CO"/>
        </w:rPr>
        <w:t xml:space="preserve"> «Para eventos en  que el contratista</w:t>
      </w:r>
      <w:r w:rsidR="005B1FA3" w:rsidRPr="00C87D96">
        <w:rPr>
          <w:rFonts w:ascii="Arial" w:hAnsi="Arial" w:cs="Arial"/>
          <w:sz w:val="18"/>
          <w:szCs w:val="18"/>
          <w:lang w:val="es-CO"/>
        </w:rPr>
        <w:t xml:space="preserve"> se presta a la manipulación</w:t>
      </w:r>
      <w:r w:rsidR="00846E66" w:rsidRPr="00C87D96">
        <w:rPr>
          <w:rFonts w:ascii="Arial" w:hAnsi="Arial" w:cs="Arial"/>
          <w:sz w:val="18"/>
          <w:szCs w:val="18"/>
          <w:lang w:val="es-CO"/>
        </w:rPr>
        <w:t xml:space="preserve"> o extorsión de grupos al margen de la ley, siguiendo los lineamientos esbozados</w:t>
      </w:r>
      <w:r w:rsidR="001A6A5D" w:rsidRPr="00C87D96">
        <w:rPr>
          <w:rFonts w:ascii="Arial" w:hAnsi="Arial" w:cs="Arial"/>
          <w:sz w:val="18"/>
          <w:szCs w:val="18"/>
          <w:lang w:val="es-CO"/>
        </w:rPr>
        <w:t xml:space="preserve"> por el numeral 5 del artículo 5º del estatuto. La intimidación de la guerrilla debe</w:t>
      </w:r>
      <w:r w:rsidR="00AB6C88" w:rsidRPr="00C87D96">
        <w:rPr>
          <w:rFonts w:ascii="Arial" w:hAnsi="Arial" w:cs="Arial"/>
          <w:sz w:val="18"/>
          <w:szCs w:val="18"/>
          <w:lang w:val="es-CO"/>
        </w:rPr>
        <w:t xml:space="preserve"> propiciar la información inmediata a las autoridades</w:t>
      </w:r>
      <w:r w:rsidR="000378F5" w:rsidRPr="00C87D96">
        <w:rPr>
          <w:rFonts w:ascii="Arial" w:hAnsi="Arial" w:cs="Arial"/>
          <w:sz w:val="18"/>
          <w:szCs w:val="18"/>
          <w:lang w:val="es-CO"/>
        </w:rPr>
        <w:t xml:space="preserve"> en procura de recibir protección y facilitar la ejecución del contrato</w:t>
      </w:r>
      <w:r w:rsidR="00B13556" w:rsidRPr="00C87D96">
        <w:rPr>
          <w:rFonts w:ascii="Arial" w:hAnsi="Arial" w:cs="Arial"/>
          <w:sz w:val="18"/>
          <w:szCs w:val="18"/>
          <w:lang w:val="es-CO"/>
        </w:rPr>
        <w:t>, so pena de la caducidad. Además, tales leyes ordenan la terminación […] De manera inapro</w:t>
      </w:r>
      <w:r w:rsidR="000E2476" w:rsidRPr="00C87D96">
        <w:rPr>
          <w:rFonts w:ascii="Arial" w:hAnsi="Arial" w:cs="Arial"/>
          <w:sz w:val="18"/>
          <w:szCs w:val="18"/>
          <w:lang w:val="es-CO"/>
        </w:rPr>
        <w:t>piada el legislador emplea como sinónimo de caducidad, el de li</w:t>
      </w:r>
      <w:r w:rsidR="00CA6674" w:rsidRPr="00C87D96">
        <w:rPr>
          <w:rFonts w:ascii="Arial" w:hAnsi="Arial" w:cs="Arial"/>
          <w:sz w:val="18"/>
          <w:szCs w:val="18"/>
          <w:lang w:val="es-CO"/>
        </w:rPr>
        <w:t>quidación unilateral (art. 90 L. 418</w:t>
      </w:r>
      <w:r w:rsidR="00791E0F" w:rsidRPr="00C87D96">
        <w:rPr>
          <w:rFonts w:ascii="Arial" w:hAnsi="Arial" w:cs="Arial"/>
          <w:sz w:val="18"/>
          <w:szCs w:val="18"/>
          <w:lang w:val="es-CO"/>
        </w:rPr>
        <w:t xml:space="preserve"> de 1997), que son institutos diferentes</w:t>
      </w:r>
      <w:r w:rsidR="00EA4836" w:rsidRPr="00C87D96">
        <w:rPr>
          <w:rFonts w:ascii="Arial" w:hAnsi="Arial" w:cs="Arial"/>
          <w:sz w:val="18"/>
          <w:szCs w:val="18"/>
          <w:lang w:val="es-CO"/>
        </w:rPr>
        <w:t>». D</w:t>
      </w:r>
      <w:r w:rsidR="007E6EEE" w:rsidRPr="00C87D96">
        <w:rPr>
          <w:rFonts w:ascii="Arial" w:hAnsi="Arial" w:cs="Arial"/>
          <w:sz w:val="18"/>
          <w:szCs w:val="18"/>
          <w:lang w:val="es-CO"/>
        </w:rPr>
        <w:t>ÁVILA VINUEZA</w:t>
      </w:r>
      <w:r w:rsidR="00A920D5" w:rsidRPr="00C87D96">
        <w:rPr>
          <w:rFonts w:ascii="Arial" w:hAnsi="Arial" w:cs="Arial"/>
          <w:sz w:val="18"/>
          <w:szCs w:val="18"/>
          <w:lang w:val="es-CO"/>
        </w:rPr>
        <w:t xml:space="preserve">, Luis Guillermo. Régimen jurídico de la contratación estatal. </w:t>
      </w:r>
      <w:r w:rsidR="005E5A61" w:rsidRPr="00C87D96">
        <w:rPr>
          <w:rFonts w:ascii="Arial" w:hAnsi="Arial" w:cs="Arial"/>
          <w:sz w:val="18"/>
          <w:szCs w:val="18"/>
          <w:lang w:val="es-CO"/>
        </w:rPr>
        <w:t xml:space="preserve">Tercera edición. Legis Editores. </w:t>
      </w:r>
      <w:r w:rsidR="0030349F" w:rsidRPr="00C87D96">
        <w:rPr>
          <w:rFonts w:ascii="Arial" w:hAnsi="Arial" w:cs="Arial"/>
          <w:sz w:val="18"/>
          <w:szCs w:val="18"/>
          <w:lang w:val="es-CO"/>
        </w:rPr>
        <w:t>Bogotá. 2016. Págs.</w:t>
      </w:r>
      <w:r w:rsidR="00E07FDC" w:rsidRPr="00C87D96">
        <w:rPr>
          <w:rFonts w:ascii="Arial" w:hAnsi="Arial" w:cs="Arial"/>
          <w:sz w:val="18"/>
          <w:szCs w:val="18"/>
          <w:lang w:val="es-CO"/>
        </w:rPr>
        <w:t xml:space="preserve"> 669-670.</w:t>
      </w:r>
    </w:p>
    <w:p w14:paraId="35195968" w14:textId="77777777" w:rsidR="006225BD" w:rsidRPr="00C87D96" w:rsidRDefault="006225BD" w:rsidP="00C87D96">
      <w:pPr>
        <w:pStyle w:val="Textonotapie"/>
        <w:ind w:firstLine="708"/>
        <w:jc w:val="both"/>
        <w:rPr>
          <w:rFonts w:ascii="Arial" w:hAnsi="Arial" w:cs="Arial"/>
          <w:sz w:val="18"/>
          <w:szCs w:val="18"/>
          <w:lang w:val="es-CO"/>
        </w:rPr>
      </w:pPr>
    </w:p>
  </w:footnote>
  <w:footnote w:id="32">
    <w:p w14:paraId="2A253B1C" w14:textId="77777777" w:rsidR="00C75A09" w:rsidRPr="00C87D96" w:rsidRDefault="00C75A09" w:rsidP="00C87D96">
      <w:pPr>
        <w:pStyle w:val="NormalWeb"/>
        <w:spacing w:before="0" w:beforeAutospacing="0" w:after="0" w:afterAutospacing="0"/>
        <w:ind w:firstLine="708"/>
        <w:jc w:val="both"/>
        <w:rPr>
          <w:rFonts w:ascii="Arial" w:hAnsi="Arial" w:cs="Arial"/>
          <w:color w:val="000000"/>
          <w:sz w:val="18"/>
          <w:szCs w:val="18"/>
        </w:rPr>
      </w:pPr>
      <w:r w:rsidRPr="00C87D96">
        <w:rPr>
          <w:rStyle w:val="Refdenotaalpie"/>
          <w:rFonts w:ascii="Arial" w:hAnsi="Arial" w:cs="Arial"/>
          <w:sz w:val="18"/>
          <w:szCs w:val="18"/>
        </w:rPr>
        <w:footnoteRef/>
      </w:r>
      <w:r w:rsidRPr="00C87D96">
        <w:rPr>
          <w:rFonts w:ascii="Arial" w:hAnsi="Arial" w:cs="Arial"/>
          <w:sz w:val="18"/>
          <w:szCs w:val="18"/>
        </w:rPr>
        <w:t xml:space="preserve"> «</w:t>
      </w:r>
      <w:r w:rsidRPr="00C87D96">
        <w:rPr>
          <w:rStyle w:val="Textoennegrita"/>
          <w:rFonts w:ascii="Arial" w:hAnsi="Arial" w:cs="Arial"/>
          <w:b w:val="0"/>
          <w:bCs w:val="0"/>
          <w:color w:val="000000"/>
          <w:sz w:val="18"/>
          <w:szCs w:val="18"/>
        </w:rPr>
        <w:t>Artículo 91</w:t>
      </w:r>
      <w:r w:rsidRPr="00C87D96">
        <w:rPr>
          <w:rStyle w:val="Textoennegrita"/>
          <w:rFonts w:ascii="Arial" w:hAnsi="Arial" w:cs="Arial"/>
          <w:color w:val="000000"/>
          <w:sz w:val="18"/>
          <w:szCs w:val="18"/>
        </w:rPr>
        <w:t>.</w:t>
      </w:r>
      <w:r w:rsidRPr="00C87D96">
        <w:rPr>
          <w:rFonts w:ascii="Arial" w:hAnsi="Arial" w:cs="Arial"/>
          <w:color w:val="000000"/>
          <w:sz w:val="18"/>
          <w:szCs w:val="18"/>
        </w:rPr>
        <w:t> La declaratoria de caducidad deberá proferirse mediante resolución motivada de la entidad contratante, haciendo efectivas la cláusula penal y las multas contractuales a que hubiere lugar. Dicha resolución prestará mérito ejecutivo contra el contratista y las personas que hayan constituido las respectivas garantías y se hará efectiva por jurisdicción coactiva.  </w:t>
      </w:r>
    </w:p>
    <w:p w14:paraId="71596D85" w14:textId="77777777" w:rsidR="00C75A09" w:rsidRPr="00C87D96" w:rsidRDefault="00C75A09" w:rsidP="00C87D96">
      <w:pPr>
        <w:pStyle w:val="NormalWeb"/>
        <w:spacing w:before="0" w:beforeAutospacing="0" w:after="0" w:afterAutospacing="0"/>
        <w:jc w:val="both"/>
        <w:rPr>
          <w:rFonts w:ascii="Arial" w:hAnsi="Arial" w:cs="Arial"/>
          <w:color w:val="000000"/>
          <w:sz w:val="18"/>
          <w:szCs w:val="18"/>
        </w:rPr>
      </w:pPr>
      <w:r w:rsidRPr="00C87D96">
        <w:rPr>
          <w:rFonts w:ascii="Arial" w:hAnsi="Arial" w:cs="Arial"/>
          <w:color w:val="000000"/>
          <w:sz w:val="18"/>
          <w:szCs w:val="18"/>
        </w:rPr>
        <w:t> </w:t>
      </w:r>
      <w:r w:rsidRPr="00C87D96">
        <w:rPr>
          <w:rFonts w:ascii="Arial" w:hAnsi="Arial" w:cs="Arial"/>
          <w:color w:val="000000"/>
          <w:sz w:val="18"/>
          <w:szCs w:val="18"/>
        </w:rPr>
        <w:tab/>
        <w:t>»La notificación de la providencia de caducidad se sujetará a lo dispuesto en el Código de Procedimiento Administrativo y de lo Contencioso Administrativo, Ley 1437 de 2011.  </w:t>
      </w:r>
    </w:p>
    <w:p w14:paraId="0ECB8B0B" w14:textId="77777777" w:rsidR="00C75A09" w:rsidRPr="00C87D96" w:rsidRDefault="00C75A09" w:rsidP="00C87D96">
      <w:pPr>
        <w:pStyle w:val="NormalWeb"/>
        <w:spacing w:before="0" w:beforeAutospacing="0" w:after="0" w:afterAutospacing="0"/>
        <w:jc w:val="both"/>
        <w:rPr>
          <w:rFonts w:ascii="Arial" w:hAnsi="Arial" w:cs="Arial"/>
          <w:color w:val="000000"/>
          <w:sz w:val="18"/>
          <w:szCs w:val="18"/>
        </w:rPr>
      </w:pPr>
      <w:r w:rsidRPr="00C87D96">
        <w:rPr>
          <w:rFonts w:ascii="Arial" w:hAnsi="Arial" w:cs="Arial"/>
          <w:color w:val="000000"/>
          <w:sz w:val="18"/>
          <w:szCs w:val="18"/>
        </w:rPr>
        <w:t> </w:t>
      </w:r>
      <w:r w:rsidRPr="00C87D96">
        <w:rPr>
          <w:rFonts w:ascii="Arial" w:hAnsi="Arial" w:cs="Arial"/>
          <w:color w:val="000000"/>
          <w:sz w:val="18"/>
          <w:szCs w:val="18"/>
        </w:rPr>
        <w:tab/>
        <w:t>»En firme la providencia de caducidad, se procederá a liquidar el contrato sin que haya lugar al pago de indemnización alguna a favor del contratista.  </w:t>
      </w:r>
    </w:p>
    <w:p w14:paraId="31A1E510" w14:textId="77777777" w:rsidR="00C75A09" w:rsidRPr="00C87D96" w:rsidRDefault="00C75A09" w:rsidP="00C87D96">
      <w:pPr>
        <w:pStyle w:val="NormalWeb"/>
        <w:spacing w:before="0" w:beforeAutospacing="0" w:after="0" w:afterAutospacing="0"/>
        <w:jc w:val="both"/>
        <w:rPr>
          <w:rFonts w:ascii="Arial" w:hAnsi="Arial" w:cs="Arial"/>
          <w:color w:val="000000"/>
          <w:sz w:val="18"/>
          <w:szCs w:val="18"/>
        </w:rPr>
      </w:pPr>
      <w:r w:rsidRPr="00C87D96">
        <w:rPr>
          <w:rFonts w:ascii="Arial" w:hAnsi="Arial" w:cs="Arial"/>
          <w:color w:val="000000"/>
          <w:sz w:val="18"/>
          <w:szCs w:val="18"/>
        </w:rPr>
        <w:t> </w:t>
      </w:r>
      <w:r w:rsidRPr="00C87D96">
        <w:rPr>
          <w:rFonts w:ascii="Arial" w:hAnsi="Arial" w:cs="Arial"/>
          <w:color w:val="000000"/>
          <w:sz w:val="18"/>
          <w:szCs w:val="18"/>
        </w:rPr>
        <w:tab/>
        <w:t>»En ningún caso la aplicación de esta cláusula podrá ser sometida a conciliación o a decisión arbitral.  </w:t>
      </w:r>
    </w:p>
    <w:p w14:paraId="2ADD55E7" w14:textId="77777777" w:rsidR="00C75A09" w:rsidRPr="00C87D96" w:rsidRDefault="00C75A09" w:rsidP="00C87D96">
      <w:pPr>
        <w:pStyle w:val="NormalWeb"/>
        <w:spacing w:before="0" w:beforeAutospacing="0" w:after="0" w:afterAutospacing="0"/>
        <w:jc w:val="both"/>
        <w:rPr>
          <w:rFonts w:ascii="Arial" w:hAnsi="Arial" w:cs="Arial"/>
          <w:color w:val="000000"/>
          <w:sz w:val="18"/>
          <w:szCs w:val="18"/>
        </w:rPr>
      </w:pPr>
      <w:r w:rsidRPr="00C87D96">
        <w:rPr>
          <w:rFonts w:ascii="Arial" w:hAnsi="Arial" w:cs="Arial"/>
          <w:color w:val="000000"/>
          <w:sz w:val="18"/>
          <w:szCs w:val="18"/>
        </w:rPr>
        <w:t> </w:t>
      </w:r>
      <w:r w:rsidRPr="00C87D96">
        <w:rPr>
          <w:rFonts w:ascii="Arial" w:hAnsi="Arial" w:cs="Arial"/>
          <w:color w:val="000000"/>
          <w:sz w:val="18"/>
          <w:szCs w:val="18"/>
        </w:rPr>
        <w:tab/>
        <w:t>»Los contratistas a quienes les sea declarada la caducidad quedarán inhabilitados para celebrar por sí, o por interpuesta persona, contratos con las entidades públicas definidas en la Ley 80 de 1993».  </w:t>
      </w:r>
    </w:p>
    <w:p w14:paraId="08355683" w14:textId="77777777" w:rsidR="00C75A09" w:rsidRPr="00C87D96" w:rsidRDefault="00C75A09" w:rsidP="00C87D96">
      <w:pPr>
        <w:pStyle w:val="Textonotapie"/>
        <w:jc w:val="both"/>
        <w:rPr>
          <w:rFonts w:ascii="Arial" w:hAnsi="Arial" w:cs="Arial"/>
          <w:sz w:val="18"/>
          <w:szCs w:val="18"/>
          <w:lang w:val="es-CO"/>
        </w:rPr>
      </w:pPr>
    </w:p>
  </w:footnote>
  <w:footnote w:id="33">
    <w:p w14:paraId="4B7E82FE" w14:textId="401A99A6" w:rsidR="005F2E17" w:rsidRPr="00C87D96" w:rsidRDefault="005F2E17"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«Artículo 92. Cuando el Procurador General de la Nación o el Fiscal General de la Nación, en desarrollo de investigaciones adelantadas en el ejercicio de sus funciones, establezcan la existencia de las conductas a que se refiere el artículo 90 de esta ley, solicitará a la autoridad competente que declare la caducidad del contrato, con base en las circunstancias que señalen dichos funcionarios en su solicitud</w:t>
      </w:r>
      <w:r w:rsidR="00D359BF" w:rsidRPr="00C87D96">
        <w:rPr>
          <w:rFonts w:ascii="Arial" w:hAnsi="Arial" w:cs="Arial"/>
          <w:sz w:val="18"/>
          <w:szCs w:val="18"/>
          <w:lang w:val="es-CO"/>
        </w:rPr>
        <w:t>»</w:t>
      </w:r>
      <w:r w:rsidRPr="00C87D96">
        <w:rPr>
          <w:rFonts w:ascii="Arial" w:hAnsi="Arial" w:cs="Arial"/>
          <w:sz w:val="18"/>
          <w:szCs w:val="18"/>
          <w:lang w:val="es-CO"/>
        </w:rPr>
        <w:t xml:space="preserve">.  </w:t>
      </w:r>
    </w:p>
  </w:footnote>
  <w:footnote w:id="34">
    <w:p w14:paraId="3E235B19" w14:textId="77777777" w:rsidR="001A6AEF" w:rsidRPr="00C87D96" w:rsidRDefault="001A6AEF" w:rsidP="00C87D96">
      <w:pPr>
        <w:pStyle w:val="Textonotapie"/>
        <w:ind w:firstLine="708"/>
        <w:jc w:val="both"/>
        <w:rPr>
          <w:rFonts w:ascii="Arial" w:hAnsi="Arial" w:cs="Arial"/>
          <w:sz w:val="18"/>
          <w:szCs w:val="18"/>
          <w:lang w:val="es-CO"/>
        </w:rPr>
      </w:pPr>
    </w:p>
    <w:p w14:paraId="601A1A6F" w14:textId="1E24FF77" w:rsidR="001A6AEF" w:rsidRPr="00C87D96" w:rsidRDefault="001A6AEF"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«Artículo 93. El Contratista procederá a terminar unilateralmente los subcontratos que celebre en desarrollo de los contratos a que hace referencia el artículo 90 de la presente ley, cuando establezca que el subcontratista incurrió en alguna de las conductas previstas en el mismo artículo. Igualmente deberá terminarlos cuando se lo solicite la entidad pública contratante, el Fiscal General de la Nación o el Procurador General de la Nación, en razón de que dichos funcionarios establezcan la ocurrencia de los hechos a que se ha hecho referencia. </w:t>
      </w:r>
    </w:p>
    <w:p w14:paraId="74ADD541" w14:textId="7B92711F" w:rsidR="001A6AEF" w:rsidRPr="00C87D96" w:rsidRDefault="001A6AEF" w:rsidP="00C87D96">
      <w:pPr>
        <w:pStyle w:val="Textonotapie"/>
        <w:ind w:firstLine="708"/>
        <w:jc w:val="both"/>
        <w:rPr>
          <w:rFonts w:ascii="Arial" w:hAnsi="Arial" w:cs="Arial"/>
          <w:sz w:val="18"/>
          <w:szCs w:val="18"/>
          <w:lang w:val="es-CO"/>
        </w:rPr>
      </w:pPr>
      <w:r w:rsidRPr="00C87D96">
        <w:rPr>
          <w:rFonts w:ascii="Arial" w:hAnsi="Arial" w:cs="Arial"/>
          <w:sz w:val="18"/>
          <w:szCs w:val="18"/>
          <w:lang w:val="es-CO"/>
        </w:rPr>
        <w:t xml:space="preserve">  »Cuando, sin justa causa, el contratista no dé por terminado unilateralmente el subcontrato, o cuando no atienda la solicitud que en tal sentido le formule la entidad pública contratante, el Procurador o el Fiscal, la entidad competente procederá a aplicar las multas previstas en el contrato, y, si es del caso, a declarar su caducidad.</w:t>
      </w:r>
    </w:p>
    <w:p w14:paraId="04DB8334" w14:textId="5FAF6299" w:rsidR="001A6AEF" w:rsidRPr="00C87D96" w:rsidRDefault="001A6AEF" w:rsidP="00C87D96">
      <w:pPr>
        <w:pStyle w:val="Textonotapie"/>
        <w:ind w:firstLine="708"/>
        <w:jc w:val="both"/>
        <w:rPr>
          <w:rFonts w:ascii="Arial" w:hAnsi="Arial" w:cs="Arial"/>
          <w:sz w:val="18"/>
          <w:szCs w:val="18"/>
          <w:lang w:val="es-CO"/>
        </w:rPr>
      </w:pPr>
      <w:r w:rsidRPr="00C87D96">
        <w:rPr>
          <w:rFonts w:ascii="Arial" w:hAnsi="Arial" w:cs="Arial"/>
          <w:sz w:val="18"/>
          <w:szCs w:val="18"/>
          <w:lang w:val="es-CO"/>
        </w:rPr>
        <w:t xml:space="preserve">  »Parágrafo. La terminación unilateral a que hace referencia el presente artículo no requerirá decisión judicial ni dará lugar al pago de indemnización de perjuicios».</w:t>
      </w:r>
    </w:p>
  </w:footnote>
  <w:footnote w:id="35">
    <w:p w14:paraId="3F42CEF9" w14:textId="0F8FEE84" w:rsidR="00FC7E64" w:rsidRPr="00C87D96" w:rsidRDefault="00FC7E64"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«Artículo 94. Las cláusulas de caducidad y de terminación unilateral a que se refiere el presente capítulo, se entienden incorporadas, respectivamente, en todos los contratos y subcontratos que se encuentren en ejecución a la fecha de promulgación de la presente ley, así como en aquellos que se celebren a partir de la misma». </w:t>
      </w:r>
    </w:p>
    <w:p w14:paraId="73425B58" w14:textId="010AF2D0" w:rsidR="00FC7E64" w:rsidRPr="00C87D96" w:rsidRDefault="00FC7E64" w:rsidP="00C87D96">
      <w:pPr>
        <w:pStyle w:val="Textonotapie"/>
        <w:ind w:firstLine="708"/>
        <w:jc w:val="both"/>
        <w:rPr>
          <w:rFonts w:ascii="Arial" w:hAnsi="Arial" w:cs="Arial"/>
          <w:sz w:val="18"/>
          <w:szCs w:val="18"/>
          <w:lang w:val="es-CO"/>
        </w:rPr>
      </w:pPr>
      <w:r w:rsidRPr="00C87D96">
        <w:rPr>
          <w:rFonts w:ascii="Arial" w:hAnsi="Arial" w:cs="Arial"/>
          <w:sz w:val="18"/>
          <w:szCs w:val="18"/>
          <w:lang w:val="es-CO"/>
        </w:rPr>
        <w:t xml:space="preserve">   </w:t>
      </w:r>
    </w:p>
  </w:footnote>
  <w:footnote w:id="36">
    <w:p w14:paraId="006F3823" w14:textId="20C916FA" w:rsidR="003E32F7" w:rsidRPr="00C87D96" w:rsidRDefault="003E32F7"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«Artículo 95. El servidor público, que sin justa causa, no declare la caducidad, no ordene la terminación unilateral de los subcontratos, o no informe de los hechos irregulares a las autoridades competentes, incurrirá en causal de mala conducta, cuando conforme a esta ley deba hacerlo. </w:t>
      </w:r>
    </w:p>
    <w:p w14:paraId="7FB2B2C9" w14:textId="54AF049C" w:rsidR="003E32F7" w:rsidRPr="00C87D96" w:rsidRDefault="003E32F7" w:rsidP="00C87D96">
      <w:pPr>
        <w:pStyle w:val="Textonotapie"/>
        <w:ind w:firstLine="708"/>
        <w:jc w:val="both"/>
        <w:rPr>
          <w:rFonts w:ascii="Arial" w:hAnsi="Arial" w:cs="Arial"/>
          <w:sz w:val="18"/>
          <w:szCs w:val="18"/>
          <w:lang w:val="es-CO"/>
        </w:rPr>
      </w:pPr>
      <w:r w:rsidRPr="00C87D96">
        <w:rPr>
          <w:rFonts w:ascii="Arial" w:hAnsi="Arial" w:cs="Arial"/>
          <w:sz w:val="18"/>
          <w:szCs w:val="18"/>
          <w:lang w:val="es-CO"/>
        </w:rPr>
        <w:t xml:space="preserve">  »La sanción respectiva se aplicará conforme al procedimiento previsto en las normas legales, y en el caso de gobernadores y alcaldes, con sujeción a los procedimientos previstos en el Título IV de la segunda parte de esta ley».</w:t>
      </w:r>
    </w:p>
  </w:footnote>
  <w:footnote w:id="37">
    <w:p w14:paraId="692570DD" w14:textId="77777777" w:rsidR="00D97755" w:rsidRPr="00C87D96" w:rsidRDefault="00D97755" w:rsidP="00C87D96">
      <w:pPr>
        <w:pStyle w:val="Textonotapie"/>
        <w:jc w:val="both"/>
        <w:rPr>
          <w:rFonts w:ascii="Arial" w:hAnsi="Arial" w:cs="Arial"/>
          <w:sz w:val="18"/>
          <w:szCs w:val="18"/>
          <w:lang w:val="es-CO"/>
        </w:rPr>
      </w:pPr>
    </w:p>
    <w:p w14:paraId="222FD176" w14:textId="1F5F0D13" w:rsidR="00D97755" w:rsidRPr="00C87D96" w:rsidRDefault="00D97755" w:rsidP="00C87D96">
      <w:pPr>
        <w:pStyle w:val="NormalWeb"/>
        <w:spacing w:before="0" w:beforeAutospacing="0" w:after="0" w:afterAutospacing="0"/>
        <w:ind w:firstLine="708"/>
        <w:jc w:val="both"/>
        <w:rPr>
          <w:rFonts w:ascii="Arial" w:hAnsi="Arial" w:cs="Arial"/>
          <w:color w:val="000000"/>
          <w:sz w:val="18"/>
          <w:szCs w:val="18"/>
        </w:rPr>
      </w:pPr>
      <w:r w:rsidRPr="00C87D96">
        <w:rPr>
          <w:rStyle w:val="Refdenotaalpie"/>
          <w:rFonts w:ascii="Arial" w:hAnsi="Arial" w:cs="Arial"/>
          <w:sz w:val="18"/>
          <w:szCs w:val="18"/>
        </w:rPr>
        <w:footnoteRef/>
      </w:r>
      <w:r w:rsidRPr="00C87D96">
        <w:rPr>
          <w:rFonts w:ascii="Arial" w:hAnsi="Arial" w:cs="Arial"/>
          <w:sz w:val="18"/>
          <w:szCs w:val="18"/>
        </w:rPr>
        <w:t xml:space="preserve"> «</w:t>
      </w:r>
      <w:r w:rsidRPr="00C87D96">
        <w:rPr>
          <w:rStyle w:val="Textoennegrita"/>
          <w:rFonts w:ascii="Arial" w:hAnsi="Arial" w:cs="Arial"/>
          <w:b w:val="0"/>
          <w:bCs w:val="0"/>
          <w:color w:val="000000"/>
          <w:sz w:val="18"/>
          <w:szCs w:val="18"/>
        </w:rPr>
        <w:t>Artículo 1º</w:t>
      </w:r>
      <w:r w:rsidRPr="00C87D96">
        <w:rPr>
          <w:rFonts w:ascii="Arial" w:hAnsi="Arial" w:cs="Arial"/>
          <w:color w:val="000000"/>
          <w:sz w:val="18"/>
          <w:szCs w:val="18"/>
        </w:rPr>
        <w:t xml:space="preserve"> Habrá lugar a declarar la caducidad todo contrato celebrado por una entidad pública cuando el contratista incurra en cualquiera de las conductas contempladas en los artículos 2º y 3º de este Decreto. </w:t>
      </w:r>
    </w:p>
    <w:p w14:paraId="0E509492" w14:textId="54E6EDAD" w:rsidR="00D97755" w:rsidRPr="00C87D96" w:rsidRDefault="00D97755" w:rsidP="00C87D96">
      <w:pPr>
        <w:pStyle w:val="NormalWeb"/>
        <w:spacing w:before="0" w:beforeAutospacing="0" w:after="0" w:afterAutospacing="0"/>
        <w:jc w:val="both"/>
        <w:rPr>
          <w:rFonts w:ascii="Arial" w:hAnsi="Arial" w:cs="Arial"/>
          <w:color w:val="000000"/>
          <w:sz w:val="18"/>
          <w:szCs w:val="18"/>
        </w:rPr>
      </w:pPr>
      <w:r w:rsidRPr="00C87D96">
        <w:rPr>
          <w:rFonts w:ascii="Arial" w:hAnsi="Arial" w:cs="Arial"/>
          <w:color w:val="000000"/>
          <w:sz w:val="18"/>
          <w:szCs w:val="18"/>
        </w:rPr>
        <w:t>  </w:t>
      </w:r>
      <w:r w:rsidRPr="00C87D96">
        <w:rPr>
          <w:rFonts w:ascii="Arial" w:hAnsi="Arial" w:cs="Arial"/>
          <w:color w:val="000000"/>
          <w:sz w:val="18"/>
          <w:szCs w:val="18"/>
        </w:rPr>
        <w:tab/>
        <w:t>»Para efectos del presente artículo se consideran entidades públicas, la Nación, las entidades territoriales, los establecimientos públicos, las empresas industriales y comerciales del Estado y las sociedades sujetas al régimen de dichas empresas, cualquiera que sea el nivel a que pertenezcan estas entidades descentralizadas. </w:t>
      </w:r>
    </w:p>
    <w:p w14:paraId="04EF6E4C" w14:textId="6E21308B" w:rsidR="00D97755" w:rsidRPr="00C87D96" w:rsidRDefault="00D97755" w:rsidP="00C87D96">
      <w:pPr>
        <w:pStyle w:val="NormalWeb"/>
        <w:spacing w:before="0" w:beforeAutospacing="0" w:after="0" w:afterAutospacing="0"/>
        <w:jc w:val="both"/>
        <w:rPr>
          <w:rFonts w:ascii="Arial" w:hAnsi="Arial" w:cs="Arial"/>
          <w:color w:val="000000"/>
          <w:sz w:val="18"/>
          <w:szCs w:val="18"/>
        </w:rPr>
      </w:pPr>
      <w:r w:rsidRPr="00C87D96">
        <w:rPr>
          <w:rFonts w:ascii="Arial" w:hAnsi="Arial" w:cs="Arial"/>
          <w:color w:val="000000"/>
          <w:sz w:val="18"/>
          <w:szCs w:val="18"/>
        </w:rPr>
        <w:t>  </w:t>
      </w:r>
      <w:bookmarkStart w:id="7" w:name="ver_1364336"/>
      <w:bookmarkEnd w:id="7"/>
      <w:r w:rsidRPr="00C87D96">
        <w:rPr>
          <w:rFonts w:ascii="Arial" w:hAnsi="Arial" w:cs="Arial"/>
          <w:color w:val="000000"/>
          <w:sz w:val="18"/>
          <w:szCs w:val="18"/>
        </w:rPr>
        <w:fldChar w:fldCharType="begin"/>
      </w:r>
      <w:r w:rsidRPr="00C87D96">
        <w:rPr>
          <w:rFonts w:ascii="Arial" w:hAnsi="Arial" w:cs="Arial"/>
          <w:color w:val="000000"/>
          <w:sz w:val="18"/>
          <w:szCs w:val="18"/>
        </w:rPr>
        <w:instrText xml:space="preserve"> HYPERLINK "http://www.suin-juriscol.gov.co/viewDocument.asp?id=1364330" \l "arriba" </w:instrText>
      </w:r>
      <w:r w:rsidRPr="00C87D96">
        <w:rPr>
          <w:rFonts w:ascii="Arial" w:hAnsi="Arial" w:cs="Arial"/>
          <w:color w:val="000000"/>
          <w:sz w:val="18"/>
          <w:szCs w:val="18"/>
        </w:rPr>
        <w:fldChar w:fldCharType="separate"/>
      </w:r>
      <w:r w:rsidRPr="00C87D96">
        <w:rPr>
          <w:rStyle w:val="Hipervnculo"/>
          <w:rFonts w:ascii="Arial" w:hAnsi="Arial" w:cs="Arial"/>
          <w:sz w:val="18"/>
          <w:szCs w:val="18"/>
        </w:rPr>
        <w:t>[volver]</w:t>
      </w:r>
      <w:r w:rsidRPr="00C87D96">
        <w:rPr>
          <w:rFonts w:ascii="Arial" w:hAnsi="Arial" w:cs="Arial"/>
          <w:color w:val="000000"/>
          <w:sz w:val="18"/>
          <w:szCs w:val="18"/>
        </w:rPr>
        <w:fldChar w:fldCharType="end"/>
      </w:r>
      <w:r w:rsidRPr="00C87D96">
        <w:rPr>
          <w:rFonts w:ascii="Arial" w:hAnsi="Arial" w:cs="Arial"/>
          <w:color w:val="000000"/>
          <w:sz w:val="18"/>
          <w:szCs w:val="18"/>
        </w:rPr>
        <w:t> »</w:t>
      </w:r>
      <w:r w:rsidRPr="00C87D96">
        <w:rPr>
          <w:rStyle w:val="Textoennegrita"/>
          <w:rFonts w:ascii="Arial" w:hAnsi="Arial" w:cs="Arial"/>
          <w:b w:val="0"/>
          <w:bCs w:val="0"/>
          <w:color w:val="000000"/>
          <w:sz w:val="18"/>
          <w:szCs w:val="18"/>
        </w:rPr>
        <w:t>Artículo 2º</w:t>
      </w:r>
      <w:r w:rsidRPr="00C87D96">
        <w:rPr>
          <w:rFonts w:ascii="Arial" w:hAnsi="Arial" w:cs="Arial"/>
          <w:color w:val="000000"/>
          <w:sz w:val="18"/>
          <w:szCs w:val="18"/>
        </w:rPr>
        <w:t xml:space="preserve"> La caducidad de que trata el artículo 1º del presente Decreto podrá declararse cuando el contratista incurra, con ocasión del contrato, en cualquiera de las siguientes conductas: </w:t>
      </w:r>
    </w:p>
    <w:p w14:paraId="3EB55C69" w14:textId="1CD8D90A" w:rsidR="00D97755" w:rsidRPr="00C87D96" w:rsidRDefault="00D97755" w:rsidP="00C87D96">
      <w:pPr>
        <w:pStyle w:val="NormalWeb"/>
        <w:spacing w:before="0" w:beforeAutospacing="0" w:after="0" w:afterAutospacing="0"/>
        <w:jc w:val="both"/>
        <w:rPr>
          <w:rFonts w:ascii="Arial" w:hAnsi="Arial" w:cs="Arial"/>
          <w:color w:val="000000"/>
          <w:sz w:val="18"/>
          <w:szCs w:val="18"/>
        </w:rPr>
      </w:pPr>
      <w:r w:rsidRPr="00C87D96">
        <w:rPr>
          <w:rFonts w:ascii="Arial" w:hAnsi="Arial" w:cs="Arial"/>
          <w:color w:val="000000"/>
          <w:sz w:val="18"/>
          <w:szCs w:val="18"/>
        </w:rPr>
        <w:t>  </w:t>
      </w:r>
      <w:r w:rsidRPr="00C87D96">
        <w:rPr>
          <w:rFonts w:ascii="Arial" w:hAnsi="Arial" w:cs="Arial"/>
          <w:color w:val="000000"/>
          <w:sz w:val="18"/>
          <w:szCs w:val="18"/>
        </w:rPr>
        <w:tab/>
        <w:t>»1. Hacer, tolerar u omitir alguna cosa invocando o cediendo injustificadamente a amenazas por parte de la delincuencia organizada o de grupos guerrilleros. </w:t>
      </w:r>
    </w:p>
    <w:p w14:paraId="7912260F" w14:textId="0590783D" w:rsidR="00D97755" w:rsidRPr="00C87D96" w:rsidRDefault="00D97755" w:rsidP="00C87D96">
      <w:pPr>
        <w:pStyle w:val="NormalWeb"/>
        <w:spacing w:before="0" w:beforeAutospacing="0" w:after="0" w:afterAutospacing="0"/>
        <w:jc w:val="both"/>
        <w:rPr>
          <w:rFonts w:ascii="Arial" w:hAnsi="Arial" w:cs="Arial"/>
          <w:color w:val="000000"/>
          <w:sz w:val="18"/>
          <w:szCs w:val="18"/>
        </w:rPr>
      </w:pPr>
      <w:r w:rsidRPr="00C87D96">
        <w:rPr>
          <w:rFonts w:ascii="Arial" w:hAnsi="Arial" w:cs="Arial"/>
          <w:color w:val="000000"/>
          <w:sz w:val="18"/>
          <w:szCs w:val="18"/>
        </w:rPr>
        <w:t>  </w:t>
      </w:r>
      <w:r w:rsidRPr="00C87D96">
        <w:rPr>
          <w:rFonts w:ascii="Arial" w:hAnsi="Arial" w:cs="Arial"/>
          <w:color w:val="000000"/>
          <w:sz w:val="18"/>
          <w:szCs w:val="18"/>
        </w:rPr>
        <w:tab/>
        <w:t>»2. Recibir, suministrar, administrar, invertir, financiar, transferir, guardar, transportar, almacenar o conservar dineros o bienes provenientes de o con destino a la delincuencia organizada o a grupos guerrilleros. </w:t>
      </w:r>
    </w:p>
    <w:p w14:paraId="01B698A9" w14:textId="7CFFF80F" w:rsidR="00D97755" w:rsidRPr="00C87D96" w:rsidRDefault="00D97755" w:rsidP="00C87D96">
      <w:pPr>
        <w:pStyle w:val="NormalWeb"/>
        <w:spacing w:before="0" w:beforeAutospacing="0" w:after="0" w:afterAutospacing="0"/>
        <w:jc w:val="both"/>
        <w:rPr>
          <w:rFonts w:ascii="Arial" w:hAnsi="Arial" w:cs="Arial"/>
          <w:color w:val="000000"/>
          <w:sz w:val="18"/>
          <w:szCs w:val="18"/>
        </w:rPr>
      </w:pPr>
      <w:r w:rsidRPr="00C87D96">
        <w:rPr>
          <w:rFonts w:ascii="Arial" w:hAnsi="Arial" w:cs="Arial"/>
          <w:color w:val="000000"/>
          <w:sz w:val="18"/>
          <w:szCs w:val="18"/>
        </w:rPr>
        <w:t>  </w:t>
      </w:r>
      <w:r w:rsidRPr="00C87D96">
        <w:rPr>
          <w:rFonts w:ascii="Arial" w:hAnsi="Arial" w:cs="Arial"/>
          <w:color w:val="000000"/>
          <w:sz w:val="18"/>
          <w:szCs w:val="18"/>
        </w:rPr>
        <w:tab/>
        <w:t>»3. Colaborar o prestar ayuda a la delincuencia organizada o a grupos guerrilleros. </w:t>
      </w:r>
    </w:p>
    <w:p w14:paraId="2C88D667" w14:textId="52526DD9" w:rsidR="00D97755" w:rsidRPr="00C87D96" w:rsidRDefault="00D97755" w:rsidP="00C87D96">
      <w:pPr>
        <w:pStyle w:val="NormalWeb"/>
        <w:spacing w:before="0" w:beforeAutospacing="0" w:after="0" w:afterAutospacing="0"/>
        <w:jc w:val="both"/>
        <w:rPr>
          <w:rFonts w:ascii="Arial" w:hAnsi="Arial" w:cs="Arial"/>
          <w:color w:val="000000"/>
          <w:sz w:val="18"/>
          <w:szCs w:val="18"/>
        </w:rPr>
      </w:pPr>
      <w:r w:rsidRPr="00C87D96">
        <w:rPr>
          <w:rFonts w:ascii="Arial" w:hAnsi="Arial" w:cs="Arial"/>
          <w:color w:val="000000"/>
          <w:sz w:val="18"/>
          <w:szCs w:val="18"/>
        </w:rPr>
        <w:t>  </w:t>
      </w:r>
      <w:r w:rsidRPr="00C87D96">
        <w:rPr>
          <w:rFonts w:ascii="Arial" w:hAnsi="Arial" w:cs="Arial"/>
          <w:color w:val="000000"/>
          <w:sz w:val="18"/>
          <w:szCs w:val="18"/>
        </w:rPr>
        <w:tab/>
        <w:t>»4. Construir, ceder, arrendar, poner a disposición, facilitar o transferir a cualquier título, bienes para ser destinados a la ocultación de personas o al depósito o almacenamiento de pertenencias de la delincuencia organizada o de grupos guerrilleros. </w:t>
      </w:r>
    </w:p>
    <w:p w14:paraId="4B14E984" w14:textId="63D6A1AE" w:rsidR="00D97755" w:rsidRPr="00C87D96" w:rsidRDefault="00D97755" w:rsidP="00C87D96">
      <w:pPr>
        <w:pStyle w:val="NormalWeb"/>
        <w:spacing w:before="0" w:beforeAutospacing="0" w:after="0" w:afterAutospacing="0"/>
        <w:jc w:val="both"/>
        <w:rPr>
          <w:rFonts w:ascii="Arial" w:hAnsi="Arial" w:cs="Arial"/>
          <w:color w:val="000000"/>
          <w:sz w:val="18"/>
          <w:szCs w:val="18"/>
        </w:rPr>
      </w:pPr>
      <w:r w:rsidRPr="00C87D96">
        <w:rPr>
          <w:rFonts w:ascii="Arial" w:hAnsi="Arial" w:cs="Arial"/>
          <w:color w:val="000000"/>
          <w:sz w:val="18"/>
          <w:szCs w:val="18"/>
        </w:rPr>
        <w:t>  </w:t>
      </w:r>
      <w:r w:rsidRPr="00C87D96">
        <w:rPr>
          <w:rFonts w:ascii="Arial" w:hAnsi="Arial" w:cs="Arial"/>
          <w:color w:val="000000"/>
          <w:sz w:val="18"/>
          <w:szCs w:val="18"/>
        </w:rPr>
        <w:tab/>
        <w:t>»5. Paralizar, suspender o disminuir notoriamente el cumplimiento de sus obligaciones contractuales por atender instrucciones de la delincuencia organizada, de los grupos guerrilleros o de sus miembros. </w:t>
      </w:r>
    </w:p>
    <w:p w14:paraId="07F9EFD2" w14:textId="1C238FF3" w:rsidR="00D97755" w:rsidRPr="00C87D96" w:rsidRDefault="00D97755" w:rsidP="00C87D96">
      <w:pPr>
        <w:pStyle w:val="NormalWeb"/>
        <w:spacing w:before="0" w:beforeAutospacing="0" w:after="0" w:afterAutospacing="0"/>
        <w:jc w:val="both"/>
        <w:rPr>
          <w:rFonts w:ascii="Arial" w:hAnsi="Arial" w:cs="Arial"/>
          <w:color w:val="000000"/>
          <w:sz w:val="18"/>
          <w:szCs w:val="18"/>
        </w:rPr>
      </w:pPr>
      <w:r w:rsidRPr="00C87D96">
        <w:rPr>
          <w:rFonts w:ascii="Arial" w:hAnsi="Arial" w:cs="Arial"/>
          <w:color w:val="000000"/>
          <w:sz w:val="18"/>
          <w:szCs w:val="18"/>
        </w:rPr>
        <w:t>  </w:t>
      </w:r>
      <w:r w:rsidRPr="00C87D96">
        <w:rPr>
          <w:rFonts w:ascii="Arial" w:hAnsi="Arial" w:cs="Arial"/>
          <w:color w:val="000000"/>
          <w:sz w:val="18"/>
          <w:szCs w:val="18"/>
        </w:rPr>
        <w:tab/>
        <w:t>»</w:t>
      </w:r>
      <w:r w:rsidRPr="00C87D96">
        <w:rPr>
          <w:rStyle w:val="Textoennegrita"/>
          <w:rFonts w:ascii="Arial" w:hAnsi="Arial" w:cs="Arial"/>
          <w:b w:val="0"/>
          <w:bCs w:val="0"/>
          <w:color w:val="000000"/>
          <w:sz w:val="18"/>
          <w:szCs w:val="18"/>
        </w:rPr>
        <w:t>Parágrafo.</w:t>
      </w:r>
      <w:r w:rsidRPr="00C87D96">
        <w:rPr>
          <w:rFonts w:ascii="Arial" w:hAnsi="Arial" w:cs="Arial"/>
          <w:color w:val="000000"/>
          <w:sz w:val="18"/>
          <w:szCs w:val="18"/>
        </w:rPr>
        <w:t> Para efectos de lo dispuesto en el presente artículo constituye hecho del contratista la conducta de sus agentes o dependientes, de la cual haya tenido conocimiento el contratista. </w:t>
      </w:r>
    </w:p>
    <w:p w14:paraId="6BCB5CD1" w14:textId="75793A5F" w:rsidR="00D97755" w:rsidRPr="00C87D96" w:rsidRDefault="00D97755" w:rsidP="00C87D96">
      <w:pPr>
        <w:pStyle w:val="NormalWeb"/>
        <w:spacing w:before="0" w:beforeAutospacing="0" w:after="0" w:afterAutospacing="0"/>
        <w:jc w:val="both"/>
        <w:rPr>
          <w:rFonts w:ascii="Arial" w:hAnsi="Arial" w:cs="Arial"/>
          <w:color w:val="000000"/>
          <w:sz w:val="18"/>
          <w:szCs w:val="18"/>
        </w:rPr>
      </w:pPr>
      <w:r w:rsidRPr="00C87D96">
        <w:rPr>
          <w:rFonts w:ascii="Arial" w:hAnsi="Arial" w:cs="Arial"/>
          <w:color w:val="000000"/>
          <w:sz w:val="18"/>
          <w:szCs w:val="18"/>
        </w:rPr>
        <w:t>  </w:t>
      </w:r>
      <w:bookmarkStart w:id="8" w:name="ver_1364337"/>
      <w:bookmarkEnd w:id="8"/>
      <w:r w:rsidRPr="00C87D96">
        <w:rPr>
          <w:rFonts w:ascii="Arial" w:hAnsi="Arial" w:cs="Arial"/>
          <w:color w:val="000000"/>
          <w:sz w:val="18"/>
          <w:szCs w:val="18"/>
        </w:rPr>
        <w:fldChar w:fldCharType="begin"/>
      </w:r>
      <w:r w:rsidRPr="00C87D96">
        <w:rPr>
          <w:rFonts w:ascii="Arial" w:hAnsi="Arial" w:cs="Arial"/>
          <w:color w:val="000000"/>
          <w:sz w:val="18"/>
          <w:szCs w:val="18"/>
        </w:rPr>
        <w:instrText xml:space="preserve"> HYPERLINK "http://www.suin-juriscol.gov.co/viewDocument.asp?id=1364330" \l "arriba" </w:instrText>
      </w:r>
      <w:r w:rsidRPr="00C87D96">
        <w:rPr>
          <w:rFonts w:ascii="Arial" w:hAnsi="Arial" w:cs="Arial"/>
          <w:color w:val="000000"/>
          <w:sz w:val="18"/>
          <w:szCs w:val="18"/>
        </w:rPr>
        <w:fldChar w:fldCharType="separate"/>
      </w:r>
      <w:r w:rsidRPr="00C87D96">
        <w:rPr>
          <w:rStyle w:val="Hipervnculo"/>
          <w:rFonts w:ascii="Arial" w:hAnsi="Arial" w:cs="Arial"/>
          <w:sz w:val="18"/>
          <w:szCs w:val="18"/>
        </w:rPr>
        <w:t>[volver]</w:t>
      </w:r>
      <w:r w:rsidRPr="00C87D96">
        <w:rPr>
          <w:rFonts w:ascii="Arial" w:hAnsi="Arial" w:cs="Arial"/>
          <w:color w:val="000000"/>
          <w:sz w:val="18"/>
          <w:szCs w:val="18"/>
        </w:rPr>
        <w:fldChar w:fldCharType="end"/>
      </w:r>
      <w:r w:rsidRPr="00C87D96">
        <w:rPr>
          <w:rFonts w:ascii="Arial" w:hAnsi="Arial" w:cs="Arial"/>
          <w:color w:val="000000"/>
          <w:sz w:val="18"/>
          <w:szCs w:val="18"/>
        </w:rPr>
        <w:t>»</w:t>
      </w:r>
      <w:r w:rsidRPr="00C87D96">
        <w:rPr>
          <w:rStyle w:val="Textoennegrita"/>
          <w:rFonts w:ascii="Arial" w:hAnsi="Arial" w:cs="Arial"/>
          <w:b w:val="0"/>
          <w:bCs w:val="0"/>
          <w:color w:val="000000"/>
          <w:sz w:val="18"/>
          <w:szCs w:val="18"/>
        </w:rPr>
        <w:t>Artículo 3º</w:t>
      </w:r>
      <w:r w:rsidRPr="00C87D96">
        <w:rPr>
          <w:rFonts w:ascii="Arial" w:hAnsi="Arial" w:cs="Arial"/>
          <w:color w:val="000000"/>
          <w:sz w:val="18"/>
          <w:szCs w:val="18"/>
        </w:rPr>
        <w:t xml:space="preserve"> También podrá declararse la caducidad cuando el contratista o la persona que ejerza su representación legal incumpla el deber de denunciar hechos punibles, cuya comisión haya conocido con ocasión del contrato, que sean cometidos por integrantes de la delincuencia organizada o de grupos guerrilleros». </w:t>
      </w:r>
    </w:p>
    <w:p w14:paraId="48FB8B5E" w14:textId="73B4A9AB" w:rsidR="00D97755" w:rsidRPr="00C87D96" w:rsidRDefault="00D97755" w:rsidP="00C87D96">
      <w:pPr>
        <w:pStyle w:val="Textonotapie"/>
        <w:ind w:firstLine="708"/>
        <w:jc w:val="both"/>
        <w:rPr>
          <w:rFonts w:ascii="Arial" w:hAnsi="Arial" w:cs="Arial"/>
          <w:sz w:val="18"/>
          <w:szCs w:val="18"/>
          <w:lang w:val="es-CO"/>
        </w:rPr>
      </w:pPr>
    </w:p>
  </w:footnote>
  <w:footnote w:id="38">
    <w:p w14:paraId="3CE2B951" w14:textId="5E4948F5" w:rsidR="00E628B2" w:rsidRPr="00C87D96" w:rsidRDefault="00E628B2"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lang w:val="es-CO"/>
        </w:rPr>
        <w:footnoteRef/>
      </w:r>
      <w:r w:rsidRPr="00C87D96">
        <w:rPr>
          <w:rFonts w:ascii="Arial" w:hAnsi="Arial" w:cs="Arial"/>
          <w:sz w:val="18"/>
          <w:szCs w:val="18"/>
          <w:lang w:val="es-CO"/>
        </w:rPr>
        <w:t xml:space="preserve"> Al respecto la doctrina nacional ha señalado: «La Ley 104 de 1993, denominada de Orden Público</w:t>
      </w:r>
      <w:r w:rsidR="00DD5BA8" w:rsidRPr="00C87D96">
        <w:rPr>
          <w:rFonts w:ascii="Arial" w:hAnsi="Arial" w:cs="Arial"/>
          <w:sz w:val="18"/>
          <w:szCs w:val="18"/>
          <w:lang w:val="es-CO"/>
        </w:rPr>
        <w:t>, en su artículo</w:t>
      </w:r>
      <w:r w:rsidR="00346462" w:rsidRPr="00C87D96">
        <w:rPr>
          <w:rFonts w:ascii="Arial" w:hAnsi="Arial" w:cs="Arial"/>
          <w:sz w:val="18"/>
          <w:szCs w:val="18"/>
          <w:lang w:val="es-CO"/>
        </w:rPr>
        <w:t xml:space="preserve"> 82, dispuso que el </w:t>
      </w:r>
      <w:r w:rsidR="008C29B2" w:rsidRPr="00C87D96">
        <w:rPr>
          <w:rFonts w:ascii="Arial" w:hAnsi="Arial" w:cs="Arial"/>
          <w:sz w:val="18"/>
          <w:szCs w:val="18"/>
          <w:lang w:val="es-CO"/>
        </w:rPr>
        <w:t>gobierno podrá declarar la caducidad o la liquidación unilateral del contrato cuando el contratista ceda a amenazas de la delincuencia</w:t>
      </w:r>
      <w:r w:rsidR="003D38A7" w:rsidRPr="00C87D96">
        <w:rPr>
          <w:rFonts w:ascii="Arial" w:hAnsi="Arial" w:cs="Arial"/>
          <w:sz w:val="18"/>
          <w:szCs w:val="18"/>
          <w:lang w:val="es-CO"/>
        </w:rPr>
        <w:t xml:space="preserve"> organizada o de los grupos de guerrilla, y en virtud de ellas colabore con ellos o</w:t>
      </w:r>
      <w:r w:rsidR="00554955" w:rsidRPr="00C87D96">
        <w:rPr>
          <w:rFonts w:ascii="Arial" w:hAnsi="Arial" w:cs="Arial"/>
          <w:sz w:val="18"/>
          <w:szCs w:val="18"/>
          <w:lang w:val="es-CO"/>
        </w:rPr>
        <w:t>, también, aun cuando no haya amenazas, por la sola circunstancia</w:t>
      </w:r>
      <w:r w:rsidR="00121B71" w:rsidRPr="00C87D96">
        <w:rPr>
          <w:rFonts w:ascii="Arial" w:hAnsi="Arial" w:cs="Arial"/>
          <w:sz w:val="18"/>
          <w:szCs w:val="18"/>
          <w:lang w:val="es-CO"/>
        </w:rPr>
        <w:t xml:space="preserve"> de no denunciar los hechos punibles que dichos delincuentes o guerrilleros </w:t>
      </w:r>
      <w:r w:rsidR="00F47D78" w:rsidRPr="00C87D96">
        <w:rPr>
          <w:rFonts w:ascii="Arial" w:hAnsi="Arial" w:cs="Arial"/>
          <w:sz w:val="18"/>
          <w:szCs w:val="18"/>
          <w:lang w:val="es-CO"/>
        </w:rPr>
        <w:t>hayan cometido y que el contratista haya conocido con ocasi</w:t>
      </w:r>
      <w:r w:rsidR="00735EFB" w:rsidRPr="00C87D96">
        <w:rPr>
          <w:rFonts w:ascii="Arial" w:hAnsi="Arial" w:cs="Arial"/>
          <w:sz w:val="18"/>
          <w:szCs w:val="18"/>
          <w:lang w:val="es-CO"/>
        </w:rPr>
        <w:t>ón de la ejecución del contrato […</w:t>
      </w:r>
      <w:r w:rsidR="00501A3E" w:rsidRPr="00C87D96">
        <w:rPr>
          <w:rFonts w:ascii="Arial" w:hAnsi="Arial" w:cs="Arial"/>
          <w:sz w:val="18"/>
          <w:szCs w:val="18"/>
          <w:lang w:val="es-CO"/>
        </w:rPr>
        <w:t>] El origen de esta causal se encuentra en el Decreto 1875 de 1992, expedido</w:t>
      </w:r>
      <w:r w:rsidR="003F28E4" w:rsidRPr="00C87D96">
        <w:rPr>
          <w:rFonts w:ascii="Arial" w:hAnsi="Arial" w:cs="Arial"/>
          <w:sz w:val="18"/>
          <w:szCs w:val="18"/>
          <w:lang w:val="es-CO"/>
        </w:rPr>
        <w:t xml:space="preserve"> en ejercicio de las facultades derivadas de la declaratoria del estado de conmoción interior</w:t>
      </w:r>
      <w:r w:rsidR="00B53031" w:rsidRPr="00C87D96">
        <w:rPr>
          <w:rFonts w:ascii="Arial" w:hAnsi="Arial" w:cs="Arial"/>
          <w:sz w:val="18"/>
          <w:szCs w:val="18"/>
          <w:lang w:val="es-CO"/>
        </w:rPr>
        <w:t>, decretado durante el gobierno de César Gaviria Trujillo, como una medida para combatir</w:t>
      </w:r>
      <w:r w:rsidR="00541046" w:rsidRPr="00C87D96">
        <w:rPr>
          <w:rFonts w:ascii="Arial" w:hAnsi="Arial" w:cs="Arial"/>
          <w:sz w:val="18"/>
          <w:szCs w:val="18"/>
          <w:lang w:val="es-CO"/>
        </w:rPr>
        <w:t xml:space="preserve"> el pago por secuestros de los ingenieros de las empresas extranjeras y las presiones a estas</w:t>
      </w:r>
      <w:r w:rsidR="00FF0D24" w:rsidRPr="00C87D96">
        <w:rPr>
          <w:rFonts w:ascii="Arial" w:hAnsi="Arial" w:cs="Arial"/>
          <w:sz w:val="18"/>
          <w:szCs w:val="18"/>
          <w:lang w:val="es-CO"/>
        </w:rPr>
        <w:t>, fuente de financiación de la subversión en esos momentos</w:t>
      </w:r>
      <w:r w:rsidR="0014362F" w:rsidRPr="00C87D96">
        <w:rPr>
          <w:rFonts w:ascii="Arial" w:hAnsi="Arial" w:cs="Arial"/>
          <w:sz w:val="18"/>
          <w:szCs w:val="18"/>
          <w:lang w:val="es-CO"/>
        </w:rPr>
        <w:t>, sanción que desdibuja la naturaleza de la caducidad</w:t>
      </w:r>
      <w:r w:rsidR="00AC1E65" w:rsidRPr="00C87D96">
        <w:rPr>
          <w:rFonts w:ascii="Arial" w:hAnsi="Arial" w:cs="Arial"/>
          <w:sz w:val="18"/>
          <w:szCs w:val="18"/>
          <w:lang w:val="es-CO"/>
        </w:rPr>
        <w:t>, que no deber ser otra que la última medida administrativa, cuando se deduce por la entidad</w:t>
      </w:r>
      <w:r w:rsidR="00361B53" w:rsidRPr="00C87D96">
        <w:rPr>
          <w:rFonts w:ascii="Arial" w:hAnsi="Arial" w:cs="Arial"/>
          <w:sz w:val="18"/>
          <w:szCs w:val="18"/>
          <w:lang w:val="es-CO"/>
        </w:rPr>
        <w:t xml:space="preserve"> que del incumplimiento grave de la obligaciones por parte del contratista se paralizará la ejecución del objeto contratado». PALACIO </w:t>
      </w:r>
      <w:r w:rsidR="00C16560" w:rsidRPr="00C87D96">
        <w:rPr>
          <w:rFonts w:ascii="Arial" w:hAnsi="Arial" w:cs="Arial"/>
          <w:sz w:val="18"/>
          <w:szCs w:val="18"/>
          <w:lang w:val="es-CO"/>
        </w:rPr>
        <w:t>HINCAPIÉ, Juan Ángel. La contrat</w:t>
      </w:r>
      <w:r w:rsidR="000D7292" w:rsidRPr="00C87D96">
        <w:rPr>
          <w:rFonts w:ascii="Arial" w:hAnsi="Arial" w:cs="Arial"/>
          <w:sz w:val="18"/>
          <w:szCs w:val="18"/>
          <w:lang w:val="es-CO"/>
        </w:rPr>
        <w:t xml:space="preserve">ación de las entidades estatales. </w:t>
      </w:r>
      <w:r w:rsidR="00C929A4" w:rsidRPr="00C87D96">
        <w:rPr>
          <w:rFonts w:ascii="Arial" w:hAnsi="Arial" w:cs="Arial"/>
          <w:sz w:val="18"/>
          <w:szCs w:val="18"/>
          <w:lang w:val="es-CO"/>
        </w:rPr>
        <w:t>Octava edición. Librería Jurídica Sánchez.</w:t>
      </w:r>
      <w:r w:rsidR="00FA4B3A" w:rsidRPr="00C87D96">
        <w:rPr>
          <w:rFonts w:ascii="Arial" w:hAnsi="Arial" w:cs="Arial"/>
          <w:sz w:val="18"/>
          <w:szCs w:val="18"/>
          <w:lang w:val="es-CO"/>
        </w:rPr>
        <w:t xml:space="preserve"> Medellín. 2020. Págs 512-513. </w:t>
      </w:r>
      <w:r w:rsidR="00C929A4" w:rsidRPr="00C87D96">
        <w:rPr>
          <w:rFonts w:ascii="Arial" w:hAnsi="Arial" w:cs="Arial"/>
          <w:sz w:val="18"/>
          <w:szCs w:val="18"/>
          <w:lang w:val="es-CO"/>
        </w:rPr>
        <w:t xml:space="preserve"> </w:t>
      </w:r>
    </w:p>
  </w:footnote>
  <w:footnote w:id="39">
    <w:p w14:paraId="57143AF8" w14:textId="3E30EADF" w:rsidR="00D22E14" w:rsidRPr="00C87D96" w:rsidRDefault="00D22E14" w:rsidP="00C87D96">
      <w:pPr>
        <w:pStyle w:val="Textonotapie"/>
        <w:ind w:firstLine="708"/>
        <w:jc w:val="both"/>
        <w:rPr>
          <w:rFonts w:ascii="Arial" w:hAnsi="Arial" w:cs="Arial"/>
          <w:sz w:val="18"/>
          <w:szCs w:val="18"/>
          <w:lang w:val="es-ES"/>
        </w:rPr>
      </w:pPr>
      <w:r w:rsidRPr="00C87D96">
        <w:rPr>
          <w:rStyle w:val="Refdenotaalpie"/>
          <w:rFonts w:ascii="Arial" w:hAnsi="Arial" w:cs="Arial"/>
          <w:sz w:val="18"/>
          <w:szCs w:val="18"/>
        </w:rPr>
        <w:footnoteRef/>
      </w:r>
      <w:r w:rsidRPr="00C87D96">
        <w:rPr>
          <w:rFonts w:ascii="Arial" w:hAnsi="Arial" w:cs="Arial"/>
          <w:sz w:val="18"/>
          <w:szCs w:val="18"/>
        </w:rPr>
        <w:t xml:space="preserve"> ESCOBAR GIL, Rodrigo. Teoría de los contratos de la administración pública. Bogotá: Legis, 2000. p. 377.  </w:t>
      </w:r>
    </w:p>
  </w:footnote>
  <w:footnote w:id="40">
    <w:p w14:paraId="28543DAE" w14:textId="77777777" w:rsidR="00106F0D" w:rsidRPr="00C87D96" w:rsidRDefault="00106F0D" w:rsidP="00C87D96">
      <w:pPr>
        <w:pStyle w:val="Textonotapie"/>
        <w:ind w:firstLine="708"/>
        <w:jc w:val="both"/>
        <w:rPr>
          <w:rFonts w:ascii="Arial" w:hAnsi="Arial" w:cs="Arial"/>
          <w:sz w:val="18"/>
          <w:szCs w:val="18"/>
        </w:rPr>
      </w:pPr>
    </w:p>
    <w:p w14:paraId="3D31C7BF" w14:textId="397DC0A5" w:rsidR="004C7828" w:rsidRPr="00C87D96" w:rsidRDefault="004C7828" w:rsidP="00C87D96">
      <w:pPr>
        <w:pStyle w:val="Textonotapie"/>
        <w:ind w:firstLine="708"/>
        <w:jc w:val="both"/>
        <w:rPr>
          <w:rFonts w:ascii="Arial" w:hAnsi="Arial" w:cs="Arial"/>
          <w:sz w:val="18"/>
          <w:szCs w:val="18"/>
          <w:lang w:val="es-CO"/>
        </w:rPr>
      </w:pPr>
      <w:r w:rsidRPr="00C87D96">
        <w:rPr>
          <w:rStyle w:val="Refdenotaalpie"/>
          <w:rFonts w:ascii="Arial" w:hAnsi="Arial" w:cs="Arial"/>
          <w:sz w:val="18"/>
          <w:szCs w:val="18"/>
        </w:rPr>
        <w:footnoteRef/>
      </w:r>
      <w:r w:rsidRPr="00C87D96">
        <w:rPr>
          <w:rFonts w:ascii="Arial" w:hAnsi="Arial" w:cs="Arial"/>
          <w:sz w:val="18"/>
          <w:szCs w:val="18"/>
        </w:rPr>
        <w:t xml:space="preserve"> </w:t>
      </w:r>
      <w:r w:rsidRPr="00C87D96">
        <w:rPr>
          <w:rFonts w:ascii="Arial" w:hAnsi="Arial" w:cs="Arial"/>
          <w:sz w:val="18"/>
          <w:szCs w:val="18"/>
          <w:lang w:val="es-CO"/>
        </w:rPr>
        <w:t>El texto original de la Ley 1150 de 2007 contemplaba el mismo texto como parágrafo primero.</w:t>
      </w:r>
    </w:p>
  </w:footnote>
  <w:footnote w:id="41">
    <w:p w14:paraId="265FFE12" w14:textId="77777777" w:rsidR="00F62BB5" w:rsidRPr="00C87D96" w:rsidRDefault="00F62BB5" w:rsidP="00C87D96">
      <w:pPr>
        <w:pStyle w:val="Textonotapie"/>
        <w:ind w:firstLine="708"/>
        <w:jc w:val="both"/>
        <w:rPr>
          <w:rFonts w:ascii="Arial" w:hAnsi="Arial" w:cs="Arial"/>
          <w:sz w:val="18"/>
          <w:szCs w:val="18"/>
        </w:rPr>
      </w:pPr>
    </w:p>
    <w:p w14:paraId="57744B3B" w14:textId="376B31BD" w:rsidR="004C7940" w:rsidRPr="00C87D96" w:rsidRDefault="004C7940" w:rsidP="00C87D96">
      <w:pPr>
        <w:pStyle w:val="Textonotapie"/>
        <w:ind w:firstLine="708"/>
        <w:jc w:val="both"/>
        <w:rPr>
          <w:rFonts w:ascii="Arial" w:hAnsi="Arial" w:cs="Arial"/>
          <w:sz w:val="18"/>
          <w:szCs w:val="18"/>
        </w:rPr>
      </w:pPr>
      <w:r w:rsidRPr="00C87D96">
        <w:rPr>
          <w:rStyle w:val="Refdenotaalpie"/>
          <w:rFonts w:ascii="Arial" w:hAnsi="Arial" w:cs="Arial"/>
          <w:sz w:val="18"/>
          <w:szCs w:val="18"/>
        </w:rPr>
        <w:footnoteRef/>
      </w:r>
      <w:r w:rsidRPr="00C87D96">
        <w:rPr>
          <w:rFonts w:ascii="Arial" w:hAnsi="Arial" w:cs="Arial"/>
          <w:sz w:val="18"/>
          <w:szCs w:val="18"/>
        </w:rPr>
        <w:t xml:space="preserve"> «Artículo 12. Promoción del desarrollo en la contratación pública. &lt;Artículo modificado por el artículo 34 de la Ley 2069 de 2020. El nuevo texto es el siguiente:&gt;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237704F4" w14:textId="7892F5B4" w:rsidR="004C7940" w:rsidRPr="00C87D96" w:rsidRDefault="004C7940" w:rsidP="00C87D96">
      <w:pPr>
        <w:pStyle w:val="Textonotapie"/>
        <w:ind w:firstLine="708"/>
        <w:jc w:val="both"/>
        <w:rPr>
          <w:rFonts w:ascii="Arial" w:hAnsi="Arial" w:cs="Arial"/>
          <w:sz w:val="18"/>
          <w:szCs w:val="18"/>
        </w:rPr>
      </w:pPr>
      <w:r w:rsidRPr="00C87D96">
        <w:rPr>
          <w:rFonts w:ascii="Arial" w:hAnsi="Arial" w:cs="Arial"/>
          <w:sz w:val="18"/>
          <w:szCs w:val="18"/>
        </w:rPr>
        <w:t>»Asimismo, el reglamento podrá establecer condiciones preferenciales en favor de la oferta de bienes y servicios producidos por las Mipyme, respetando los montos y las condiciones contenidas en los compromisos internacionales vigentes, cuando sean aplicables.</w:t>
      </w:r>
    </w:p>
    <w:p w14:paraId="2805DB69" w14:textId="38E8E085" w:rsidR="004C7940" w:rsidRPr="00C87D96" w:rsidRDefault="004C7940" w:rsidP="00C87D96">
      <w:pPr>
        <w:pStyle w:val="Textonotapie"/>
        <w:ind w:firstLine="708"/>
        <w:jc w:val="both"/>
        <w:rPr>
          <w:rFonts w:ascii="Arial" w:hAnsi="Arial" w:cs="Arial"/>
          <w:sz w:val="18"/>
          <w:szCs w:val="18"/>
        </w:rPr>
      </w:pPr>
      <w:r w:rsidRPr="00C87D96">
        <w:rPr>
          <w:rFonts w:ascii="Arial" w:hAnsi="Arial" w:cs="Arial"/>
          <w:sz w:val="18"/>
          <w:szCs w:val="18"/>
        </w:rPr>
        <w:t>»En todo caso, se deberá garantizar la satisfacción de las condiciones técnicas y económicas requeridas en el Proceso de Contratación.</w:t>
      </w:r>
    </w:p>
    <w:p w14:paraId="03BF0BA9" w14:textId="58FA17F8" w:rsidR="004C7940" w:rsidRPr="00C87D96" w:rsidRDefault="004C7940" w:rsidP="00C87D96">
      <w:pPr>
        <w:pStyle w:val="Textonotapie"/>
        <w:ind w:firstLine="708"/>
        <w:jc w:val="both"/>
        <w:rPr>
          <w:rFonts w:ascii="Arial" w:hAnsi="Arial" w:cs="Arial"/>
          <w:sz w:val="18"/>
          <w:szCs w:val="18"/>
        </w:rPr>
      </w:pPr>
      <w:r w:rsidRPr="00C87D96">
        <w:rPr>
          <w:rFonts w:ascii="Arial" w:hAnsi="Arial" w:cs="Arial"/>
          <w:sz w:val="18"/>
          <w:szCs w:val="18"/>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532F14EE" w14:textId="4F580E3E" w:rsidR="004C7940" w:rsidRPr="00C87D96" w:rsidRDefault="004C7940" w:rsidP="00C87D96">
      <w:pPr>
        <w:pStyle w:val="Textonotapie"/>
        <w:ind w:firstLine="708"/>
        <w:jc w:val="both"/>
        <w:rPr>
          <w:rFonts w:ascii="Arial" w:hAnsi="Arial" w:cs="Arial"/>
          <w:sz w:val="18"/>
          <w:szCs w:val="18"/>
        </w:rPr>
      </w:pPr>
      <w:r w:rsidRPr="00C87D96">
        <w:rPr>
          <w:rFonts w:ascii="Arial" w:hAnsi="Arial" w:cs="Arial"/>
          <w:sz w:val="18"/>
          <w:szCs w:val="18"/>
        </w:rPr>
        <w:t>»Parágrafo 1o. En los Procesos de Contratación que se desarrollen con base en el primer inciso, las entidades podrán realizar las convocatorias limitadas que beneficien a las Mipyme del ámbito municipal o departamental correspondiente al de la ejecución del contrato.</w:t>
      </w:r>
    </w:p>
    <w:p w14:paraId="5042D3B0" w14:textId="2DF368F5" w:rsidR="004C7940" w:rsidRPr="00C87D96" w:rsidRDefault="004C7940" w:rsidP="00C87D96">
      <w:pPr>
        <w:pStyle w:val="Textonotapie"/>
        <w:ind w:firstLine="708"/>
        <w:jc w:val="both"/>
        <w:rPr>
          <w:rFonts w:ascii="Arial" w:hAnsi="Arial" w:cs="Arial"/>
          <w:sz w:val="18"/>
          <w:szCs w:val="18"/>
        </w:rPr>
      </w:pPr>
      <w:r w:rsidRPr="00C87D96">
        <w:rPr>
          <w:rFonts w:ascii="Arial" w:hAnsi="Arial" w:cs="Arial"/>
          <w:sz w:val="18"/>
          <w:szCs w:val="18"/>
        </w:rPr>
        <w:t>»Parágrafo 2o.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8AF03F3" w14:textId="5C278E2B" w:rsidR="004C7940" w:rsidRPr="00C87D96" w:rsidRDefault="004C7940" w:rsidP="00C87D96">
      <w:pPr>
        <w:pStyle w:val="Textonotapie"/>
        <w:ind w:firstLine="708"/>
        <w:jc w:val="both"/>
        <w:rPr>
          <w:rFonts w:ascii="Arial" w:hAnsi="Arial" w:cs="Arial"/>
          <w:sz w:val="18"/>
          <w:szCs w:val="18"/>
        </w:rPr>
      </w:pPr>
      <w:r w:rsidRPr="00C87D96">
        <w:rPr>
          <w:rFonts w:ascii="Arial" w:hAnsi="Arial" w:cs="Arial"/>
          <w:sz w:val="18"/>
          <w:szCs w:val="18"/>
        </w:rPr>
        <w:t>»</w:t>
      </w:r>
      <w:r w:rsidR="001140F8" w:rsidRPr="00C87D96">
        <w:rPr>
          <w:rFonts w:ascii="Arial" w:hAnsi="Arial" w:cs="Arial"/>
          <w:sz w:val="18"/>
          <w:szCs w:val="18"/>
        </w:rPr>
        <w:t>Parágrafo</w:t>
      </w:r>
      <w:r w:rsidRPr="00C87D96">
        <w:rPr>
          <w:rFonts w:ascii="Arial" w:hAnsi="Arial" w:cs="Arial"/>
          <w:sz w:val="18"/>
          <w:szCs w:val="18"/>
        </w:rPr>
        <w:t xml:space="preserve"> 3o. En la ejecución de los contratos a que se refiere el presente artículo, las entidades y los contratistas, deberán observar lo dispuesto en los artículos 90 a 95 de la Ley 418 de 1997 y las normas que la modifiquen, adicionen o subroguen»</w:t>
      </w:r>
    </w:p>
    <w:p w14:paraId="467197FA" w14:textId="20E33D2F" w:rsidR="004C7940" w:rsidRPr="00C87D96" w:rsidRDefault="004C7940" w:rsidP="00C87D96">
      <w:pPr>
        <w:pStyle w:val="Textonotapie"/>
        <w:ind w:firstLine="708"/>
        <w:rPr>
          <w:rFonts w:ascii="Arial" w:hAnsi="Arial" w:cs="Arial"/>
          <w:sz w:val="18"/>
          <w:szCs w:val="18"/>
          <w:lang w:val="es-CO"/>
        </w:rPr>
      </w:pPr>
      <w:r w:rsidRPr="00C87D96">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F27BFF" w:rsidRDefault="00F27BFF">
    <w:pPr>
      <w:pStyle w:val="Encabezado"/>
    </w:pPr>
  </w:p>
  <w:p w14:paraId="6A4C7F2C" w14:textId="7D093DBB" w:rsidR="00F27BFF" w:rsidRDefault="00F27BFF">
    <w:pPr>
      <w:pStyle w:val="Encabezado"/>
    </w:pPr>
  </w:p>
  <w:p w14:paraId="055F2E1F" w14:textId="0B935ADD" w:rsidR="00F27BFF" w:rsidRDefault="00F27BFF">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F27BFF" w:rsidRDefault="00F27BFF">
    <w:pPr>
      <w:pStyle w:val="Encabezado"/>
    </w:pPr>
  </w:p>
  <w:p w14:paraId="3D323BDB" w14:textId="04AF0DE6" w:rsidR="00F27BFF" w:rsidRDefault="00F27BFF">
    <w:pPr>
      <w:pStyle w:val="Encabezado"/>
    </w:pPr>
  </w:p>
  <w:p w14:paraId="6520770B" w14:textId="18EB07B5" w:rsidR="00F27BFF" w:rsidRDefault="00F27B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05CB9D2"/>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hybridMultilevel"/>
    <w:tmpl w:val="836404E2"/>
    <w:lvl w:ilvl="0" w:tplc="966ADEF4">
      <w:start w:val="1"/>
      <w:numFmt w:val="bullet"/>
      <w:lvlText w:val=""/>
      <w:lvlJc w:val="left"/>
      <w:pPr>
        <w:ind w:left="720" w:hanging="360"/>
      </w:pPr>
      <w:rPr>
        <w:rFonts w:ascii="Symbol" w:hAnsi="Symbol" w:hint="default"/>
      </w:rPr>
    </w:lvl>
    <w:lvl w:ilvl="1" w:tplc="F4FC2A24">
      <w:start w:val="1"/>
      <w:numFmt w:val="bullet"/>
      <w:lvlText w:val="o"/>
      <w:lvlJc w:val="left"/>
      <w:pPr>
        <w:ind w:left="1440" w:hanging="360"/>
      </w:pPr>
      <w:rPr>
        <w:rFonts w:ascii="Courier New" w:hAnsi="Courier New" w:hint="default"/>
      </w:rPr>
    </w:lvl>
    <w:lvl w:ilvl="2" w:tplc="FF5C2A58">
      <w:start w:val="1"/>
      <w:numFmt w:val="bullet"/>
      <w:lvlText w:val=""/>
      <w:lvlJc w:val="left"/>
      <w:pPr>
        <w:ind w:left="2160" w:hanging="360"/>
      </w:pPr>
      <w:rPr>
        <w:rFonts w:ascii="Wingdings" w:hAnsi="Wingdings" w:hint="default"/>
      </w:rPr>
    </w:lvl>
    <w:lvl w:ilvl="3" w:tplc="C13A6398">
      <w:start w:val="1"/>
      <w:numFmt w:val="bullet"/>
      <w:lvlText w:val=""/>
      <w:lvlJc w:val="left"/>
      <w:pPr>
        <w:ind w:left="2880" w:hanging="360"/>
      </w:pPr>
      <w:rPr>
        <w:rFonts w:ascii="Symbol" w:hAnsi="Symbol" w:hint="default"/>
      </w:rPr>
    </w:lvl>
    <w:lvl w:ilvl="4" w:tplc="55147698">
      <w:start w:val="1"/>
      <w:numFmt w:val="bullet"/>
      <w:lvlText w:val="o"/>
      <w:lvlJc w:val="left"/>
      <w:pPr>
        <w:ind w:left="3600" w:hanging="360"/>
      </w:pPr>
      <w:rPr>
        <w:rFonts w:ascii="Courier New" w:hAnsi="Courier New" w:hint="default"/>
      </w:rPr>
    </w:lvl>
    <w:lvl w:ilvl="5" w:tplc="3AECB93C">
      <w:start w:val="1"/>
      <w:numFmt w:val="bullet"/>
      <w:lvlText w:val=""/>
      <w:lvlJc w:val="left"/>
      <w:pPr>
        <w:ind w:left="4320" w:hanging="360"/>
      </w:pPr>
      <w:rPr>
        <w:rFonts w:ascii="Wingdings" w:hAnsi="Wingdings" w:hint="default"/>
      </w:rPr>
    </w:lvl>
    <w:lvl w:ilvl="6" w:tplc="C2C82128">
      <w:start w:val="1"/>
      <w:numFmt w:val="bullet"/>
      <w:lvlText w:val=""/>
      <w:lvlJc w:val="left"/>
      <w:pPr>
        <w:ind w:left="5040" w:hanging="360"/>
      </w:pPr>
      <w:rPr>
        <w:rFonts w:ascii="Symbol" w:hAnsi="Symbol" w:hint="default"/>
      </w:rPr>
    </w:lvl>
    <w:lvl w:ilvl="7" w:tplc="845AE52C">
      <w:start w:val="1"/>
      <w:numFmt w:val="bullet"/>
      <w:lvlText w:val="o"/>
      <w:lvlJc w:val="left"/>
      <w:pPr>
        <w:ind w:left="5760" w:hanging="360"/>
      </w:pPr>
      <w:rPr>
        <w:rFonts w:ascii="Courier New" w:hAnsi="Courier New" w:hint="default"/>
      </w:rPr>
    </w:lvl>
    <w:lvl w:ilvl="8" w:tplc="8EA26C1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E29"/>
    <w:rsid w:val="000015DA"/>
    <w:rsid w:val="00002CB0"/>
    <w:rsid w:val="000040C4"/>
    <w:rsid w:val="00004B1E"/>
    <w:rsid w:val="00013C96"/>
    <w:rsid w:val="000175FB"/>
    <w:rsid w:val="000221B9"/>
    <w:rsid w:val="00022328"/>
    <w:rsid w:val="0002370F"/>
    <w:rsid w:val="000255CD"/>
    <w:rsid w:val="0003095D"/>
    <w:rsid w:val="00031AAA"/>
    <w:rsid w:val="00032685"/>
    <w:rsid w:val="00036B10"/>
    <w:rsid w:val="000378F5"/>
    <w:rsid w:val="000412B4"/>
    <w:rsid w:val="00046071"/>
    <w:rsid w:val="000507C6"/>
    <w:rsid w:val="000531A6"/>
    <w:rsid w:val="00057DCA"/>
    <w:rsid w:val="0006789F"/>
    <w:rsid w:val="00071CD0"/>
    <w:rsid w:val="00072DEB"/>
    <w:rsid w:val="000764C2"/>
    <w:rsid w:val="00084453"/>
    <w:rsid w:val="00085DDE"/>
    <w:rsid w:val="00091F07"/>
    <w:rsid w:val="000942EB"/>
    <w:rsid w:val="000970D8"/>
    <w:rsid w:val="000A2D14"/>
    <w:rsid w:val="000A43F7"/>
    <w:rsid w:val="000B103F"/>
    <w:rsid w:val="000B2F40"/>
    <w:rsid w:val="000D7073"/>
    <w:rsid w:val="000D7292"/>
    <w:rsid w:val="000E2476"/>
    <w:rsid w:val="000E3469"/>
    <w:rsid w:val="000F14E8"/>
    <w:rsid w:val="000F48E4"/>
    <w:rsid w:val="000F4BBD"/>
    <w:rsid w:val="00103915"/>
    <w:rsid w:val="00106F0D"/>
    <w:rsid w:val="001140F8"/>
    <w:rsid w:val="00121B71"/>
    <w:rsid w:val="00122B23"/>
    <w:rsid w:val="00132A57"/>
    <w:rsid w:val="00136CA8"/>
    <w:rsid w:val="00137FFA"/>
    <w:rsid w:val="0014362F"/>
    <w:rsid w:val="00144344"/>
    <w:rsid w:val="0014682F"/>
    <w:rsid w:val="00150242"/>
    <w:rsid w:val="00162090"/>
    <w:rsid w:val="001662F3"/>
    <w:rsid w:val="0017631A"/>
    <w:rsid w:val="001807CE"/>
    <w:rsid w:val="0018677A"/>
    <w:rsid w:val="001923D6"/>
    <w:rsid w:val="00194FD4"/>
    <w:rsid w:val="0019659E"/>
    <w:rsid w:val="0019713C"/>
    <w:rsid w:val="00197FF5"/>
    <w:rsid w:val="001A178F"/>
    <w:rsid w:val="001A2567"/>
    <w:rsid w:val="001A60E9"/>
    <w:rsid w:val="001A6A5D"/>
    <w:rsid w:val="001A6AEF"/>
    <w:rsid w:val="001B0C8A"/>
    <w:rsid w:val="001B46E6"/>
    <w:rsid w:val="001B50E8"/>
    <w:rsid w:val="001C126E"/>
    <w:rsid w:val="001C5AFE"/>
    <w:rsid w:val="001D284A"/>
    <w:rsid w:val="001D3505"/>
    <w:rsid w:val="001E3A81"/>
    <w:rsid w:val="0020496F"/>
    <w:rsid w:val="00205D6B"/>
    <w:rsid w:val="00205E68"/>
    <w:rsid w:val="0020646E"/>
    <w:rsid w:val="00206A55"/>
    <w:rsid w:val="00211BF4"/>
    <w:rsid w:val="00216AFD"/>
    <w:rsid w:val="00220EC6"/>
    <w:rsid w:val="002212E4"/>
    <w:rsid w:val="00222990"/>
    <w:rsid w:val="00223371"/>
    <w:rsid w:val="0022361B"/>
    <w:rsid w:val="00226953"/>
    <w:rsid w:val="00230CBF"/>
    <w:rsid w:val="00230E39"/>
    <w:rsid w:val="00231F3C"/>
    <w:rsid w:val="00234B84"/>
    <w:rsid w:val="00240D4C"/>
    <w:rsid w:val="002458C0"/>
    <w:rsid w:val="00246637"/>
    <w:rsid w:val="00254EDA"/>
    <w:rsid w:val="002552DD"/>
    <w:rsid w:val="00255AD4"/>
    <w:rsid w:val="00261689"/>
    <w:rsid w:val="00265897"/>
    <w:rsid w:val="00266157"/>
    <w:rsid w:val="00277766"/>
    <w:rsid w:val="00281C15"/>
    <w:rsid w:val="00282409"/>
    <w:rsid w:val="0029682E"/>
    <w:rsid w:val="002A16FE"/>
    <w:rsid w:val="002A21BB"/>
    <w:rsid w:val="002B1964"/>
    <w:rsid w:val="002B5D7F"/>
    <w:rsid w:val="002B63C0"/>
    <w:rsid w:val="002C2280"/>
    <w:rsid w:val="002C2A08"/>
    <w:rsid w:val="002C6917"/>
    <w:rsid w:val="002D085B"/>
    <w:rsid w:val="002D565C"/>
    <w:rsid w:val="002D727D"/>
    <w:rsid w:val="002E0DFA"/>
    <w:rsid w:val="002E2864"/>
    <w:rsid w:val="002E7095"/>
    <w:rsid w:val="002F2380"/>
    <w:rsid w:val="002F3B3E"/>
    <w:rsid w:val="003033BA"/>
    <w:rsid w:val="0030349F"/>
    <w:rsid w:val="00311121"/>
    <w:rsid w:val="00321439"/>
    <w:rsid w:val="00322F74"/>
    <w:rsid w:val="00330380"/>
    <w:rsid w:val="00337684"/>
    <w:rsid w:val="0034098F"/>
    <w:rsid w:val="00341984"/>
    <w:rsid w:val="00344BFB"/>
    <w:rsid w:val="00346462"/>
    <w:rsid w:val="0034680A"/>
    <w:rsid w:val="00347DAC"/>
    <w:rsid w:val="0035119E"/>
    <w:rsid w:val="00355D3C"/>
    <w:rsid w:val="00361B53"/>
    <w:rsid w:val="00364037"/>
    <w:rsid w:val="0036657B"/>
    <w:rsid w:val="0037057B"/>
    <w:rsid w:val="003742B2"/>
    <w:rsid w:val="003761BE"/>
    <w:rsid w:val="003835C2"/>
    <w:rsid w:val="00383AAC"/>
    <w:rsid w:val="00385B14"/>
    <w:rsid w:val="00386456"/>
    <w:rsid w:val="00387519"/>
    <w:rsid w:val="00392519"/>
    <w:rsid w:val="003974DF"/>
    <w:rsid w:val="003A0F76"/>
    <w:rsid w:val="003A581E"/>
    <w:rsid w:val="003A76C5"/>
    <w:rsid w:val="003B2335"/>
    <w:rsid w:val="003B3DF6"/>
    <w:rsid w:val="003B6314"/>
    <w:rsid w:val="003C497C"/>
    <w:rsid w:val="003C55CE"/>
    <w:rsid w:val="003C593B"/>
    <w:rsid w:val="003C75C3"/>
    <w:rsid w:val="003D38A7"/>
    <w:rsid w:val="003E1BFF"/>
    <w:rsid w:val="003E32F7"/>
    <w:rsid w:val="003E4FFF"/>
    <w:rsid w:val="003F1452"/>
    <w:rsid w:val="003F1991"/>
    <w:rsid w:val="003F28E4"/>
    <w:rsid w:val="003F2DF4"/>
    <w:rsid w:val="003F73D4"/>
    <w:rsid w:val="004004C0"/>
    <w:rsid w:val="00405B86"/>
    <w:rsid w:val="00414C76"/>
    <w:rsid w:val="00417276"/>
    <w:rsid w:val="004360DB"/>
    <w:rsid w:val="004422D6"/>
    <w:rsid w:val="004425EB"/>
    <w:rsid w:val="004457D5"/>
    <w:rsid w:val="00451C3B"/>
    <w:rsid w:val="004526E0"/>
    <w:rsid w:val="0045377D"/>
    <w:rsid w:val="004568B1"/>
    <w:rsid w:val="00457B35"/>
    <w:rsid w:val="00466610"/>
    <w:rsid w:val="004712C4"/>
    <w:rsid w:val="00472549"/>
    <w:rsid w:val="0047388D"/>
    <w:rsid w:val="00473A3C"/>
    <w:rsid w:val="00485CA9"/>
    <w:rsid w:val="00487242"/>
    <w:rsid w:val="0049164B"/>
    <w:rsid w:val="00493E99"/>
    <w:rsid w:val="004A235B"/>
    <w:rsid w:val="004A34D2"/>
    <w:rsid w:val="004A501D"/>
    <w:rsid w:val="004B2DBC"/>
    <w:rsid w:val="004C2D16"/>
    <w:rsid w:val="004C753C"/>
    <w:rsid w:val="004C7828"/>
    <w:rsid w:val="004C7940"/>
    <w:rsid w:val="004D2288"/>
    <w:rsid w:val="004D2675"/>
    <w:rsid w:val="004E08C3"/>
    <w:rsid w:val="004F23BF"/>
    <w:rsid w:val="004F25DF"/>
    <w:rsid w:val="004F29D8"/>
    <w:rsid w:val="004F481B"/>
    <w:rsid w:val="004F62B1"/>
    <w:rsid w:val="004F70B1"/>
    <w:rsid w:val="004F7E8D"/>
    <w:rsid w:val="004F7F4E"/>
    <w:rsid w:val="00501A3E"/>
    <w:rsid w:val="00507327"/>
    <w:rsid w:val="0051074C"/>
    <w:rsid w:val="00513AF2"/>
    <w:rsid w:val="00514D80"/>
    <w:rsid w:val="00514FF4"/>
    <w:rsid w:val="00520774"/>
    <w:rsid w:val="00520A25"/>
    <w:rsid w:val="00521B45"/>
    <w:rsid w:val="00523145"/>
    <w:rsid w:val="00525792"/>
    <w:rsid w:val="00533B9B"/>
    <w:rsid w:val="00533DC4"/>
    <w:rsid w:val="00541046"/>
    <w:rsid w:val="005430A6"/>
    <w:rsid w:val="0054413A"/>
    <w:rsid w:val="005444FD"/>
    <w:rsid w:val="00545CB3"/>
    <w:rsid w:val="00554955"/>
    <w:rsid w:val="00554F85"/>
    <w:rsid w:val="005560C6"/>
    <w:rsid w:val="005564CA"/>
    <w:rsid w:val="00557B41"/>
    <w:rsid w:val="00560DD4"/>
    <w:rsid w:val="005734EB"/>
    <w:rsid w:val="005735F5"/>
    <w:rsid w:val="005764F3"/>
    <w:rsid w:val="00580E31"/>
    <w:rsid w:val="0058364B"/>
    <w:rsid w:val="00585663"/>
    <w:rsid w:val="005921FF"/>
    <w:rsid w:val="00596B0A"/>
    <w:rsid w:val="005A6507"/>
    <w:rsid w:val="005A79FE"/>
    <w:rsid w:val="005B1FA3"/>
    <w:rsid w:val="005B42D6"/>
    <w:rsid w:val="005B5659"/>
    <w:rsid w:val="005B6DCA"/>
    <w:rsid w:val="005C0386"/>
    <w:rsid w:val="005C3263"/>
    <w:rsid w:val="005D1F89"/>
    <w:rsid w:val="005D44DD"/>
    <w:rsid w:val="005D707C"/>
    <w:rsid w:val="005E0E00"/>
    <w:rsid w:val="005E5A61"/>
    <w:rsid w:val="005F13D9"/>
    <w:rsid w:val="005F2E17"/>
    <w:rsid w:val="006115E1"/>
    <w:rsid w:val="00613FCB"/>
    <w:rsid w:val="00621318"/>
    <w:rsid w:val="006225BD"/>
    <w:rsid w:val="0062393C"/>
    <w:rsid w:val="006269F9"/>
    <w:rsid w:val="006276FE"/>
    <w:rsid w:val="00631058"/>
    <w:rsid w:val="00634598"/>
    <w:rsid w:val="006429F8"/>
    <w:rsid w:val="0064300E"/>
    <w:rsid w:val="0064576E"/>
    <w:rsid w:val="006525EF"/>
    <w:rsid w:val="006538CD"/>
    <w:rsid w:val="00655284"/>
    <w:rsid w:val="00655371"/>
    <w:rsid w:val="006568A2"/>
    <w:rsid w:val="00657507"/>
    <w:rsid w:val="00662627"/>
    <w:rsid w:val="00664356"/>
    <w:rsid w:val="0066448F"/>
    <w:rsid w:val="00666763"/>
    <w:rsid w:val="00667ED4"/>
    <w:rsid w:val="00671EC6"/>
    <w:rsid w:val="00682AA8"/>
    <w:rsid w:val="0068481A"/>
    <w:rsid w:val="006852E8"/>
    <w:rsid w:val="00686322"/>
    <w:rsid w:val="0068791C"/>
    <w:rsid w:val="006929AB"/>
    <w:rsid w:val="00694C17"/>
    <w:rsid w:val="00695210"/>
    <w:rsid w:val="00697665"/>
    <w:rsid w:val="006A3F9E"/>
    <w:rsid w:val="006A55E7"/>
    <w:rsid w:val="006A6703"/>
    <w:rsid w:val="006A7FD0"/>
    <w:rsid w:val="006B4957"/>
    <w:rsid w:val="006C0CCC"/>
    <w:rsid w:val="006C4617"/>
    <w:rsid w:val="006D6F92"/>
    <w:rsid w:val="006D71B7"/>
    <w:rsid w:val="006D7687"/>
    <w:rsid w:val="006E0572"/>
    <w:rsid w:val="006E2017"/>
    <w:rsid w:val="006E435F"/>
    <w:rsid w:val="006E68C8"/>
    <w:rsid w:val="006E7169"/>
    <w:rsid w:val="006F6079"/>
    <w:rsid w:val="007012B9"/>
    <w:rsid w:val="00705631"/>
    <w:rsid w:val="00711398"/>
    <w:rsid w:val="00715369"/>
    <w:rsid w:val="0072050E"/>
    <w:rsid w:val="00723278"/>
    <w:rsid w:val="007240BF"/>
    <w:rsid w:val="00731209"/>
    <w:rsid w:val="00731F45"/>
    <w:rsid w:val="00731FD4"/>
    <w:rsid w:val="00735EFB"/>
    <w:rsid w:val="00740F47"/>
    <w:rsid w:val="00742DD2"/>
    <w:rsid w:val="007444B3"/>
    <w:rsid w:val="00747D61"/>
    <w:rsid w:val="00755716"/>
    <w:rsid w:val="0075647A"/>
    <w:rsid w:val="00757477"/>
    <w:rsid w:val="007634AD"/>
    <w:rsid w:val="00764284"/>
    <w:rsid w:val="0076621C"/>
    <w:rsid w:val="007675CC"/>
    <w:rsid w:val="0078122E"/>
    <w:rsid w:val="00790189"/>
    <w:rsid w:val="00791E0F"/>
    <w:rsid w:val="00791F0D"/>
    <w:rsid w:val="007924F4"/>
    <w:rsid w:val="0079276A"/>
    <w:rsid w:val="007934E2"/>
    <w:rsid w:val="0079496F"/>
    <w:rsid w:val="00794CE1"/>
    <w:rsid w:val="007A5EB0"/>
    <w:rsid w:val="007A6171"/>
    <w:rsid w:val="007B0854"/>
    <w:rsid w:val="007B10E3"/>
    <w:rsid w:val="007C0955"/>
    <w:rsid w:val="007C24E4"/>
    <w:rsid w:val="007C2B72"/>
    <w:rsid w:val="007C417D"/>
    <w:rsid w:val="007C617D"/>
    <w:rsid w:val="007C707A"/>
    <w:rsid w:val="007D4455"/>
    <w:rsid w:val="007E292F"/>
    <w:rsid w:val="007E6EEE"/>
    <w:rsid w:val="007F0292"/>
    <w:rsid w:val="007F0742"/>
    <w:rsid w:val="007F56CF"/>
    <w:rsid w:val="007F584C"/>
    <w:rsid w:val="007F6AD4"/>
    <w:rsid w:val="007F72CB"/>
    <w:rsid w:val="007F7F1E"/>
    <w:rsid w:val="00810E1A"/>
    <w:rsid w:val="00812C90"/>
    <w:rsid w:val="00814A62"/>
    <w:rsid w:val="00816BCE"/>
    <w:rsid w:val="0082087C"/>
    <w:rsid w:val="008213D3"/>
    <w:rsid w:val="00825233"/>
    <w:rsid w:val="0083119B"/>
    <w:rsid w:val="008362BF"/>
    <w:rsid w:val="00836EAB"/>
    <w:rsid w:val="00840671"/>
    <w:rsid w:val="0084369D"/>
    <w:rsid w:val="008455B4"/>
    <w:rsid w:val="00846E66"/>
    <w:rsid w:val="00846E7F"/>
    <w:rsid w:val="0085092D"/>
    <w:rsid w:val="00854E73"/>
    <w:rsid w:val="00863C10"/>
    <w:rsid w:val="00876610"/>
    <w:rsid w:val="008850AD"/>
    <w:rsid w:val="00893D36"/>
    <w:rsid w:val="00895776"/>
    <w:rsid w:val="008A22B6"/>
    <w:rsid w:val="008A60A0"/>
    <w:rsid w:val="008B4BEA"/>
    <w:rsid w:val="008B5932"/>
    <w:rsid w:val="008C29B2"/>
    <w:rsid w:val="008D1BAC"/>
    <w:rsid w:val="008D6F99"/>
    <w:rsid w:val="008E1C15"/>
    <w:rsid w:val="008E21A0"/>
    <w:rsid w:val="008E2D4F"/>
    <w:rsid w:val="008E2ED0"/>
    <w:rsid w:val="008F1032"/>
    <w:rsid w:val="009047C5"/>
    <w:rsid w:val="00933649"/>
    <w:rsid w:val="00945FA6"/>
    <w:rsid w:val="009530EF"/>
    <w:rsid w:val="0095385A"/>
    <w:rsid w:val="009624C3"/>
    <w:rsid w:val="00973A94"/>
    <w:rsid w:val="00974A4F"/>
    <w:rsid w:val="009766D6"/>
    <w:rsid w:val="00982944"/>
    <w:rsid w:val="0098308E"/>
    <w:rsid w:val="0098401D"/>
    <w:rsid w:val="009840C7"/>
    <w:rsid w:val="0098747E"/>
    <w:rsid w:val="00990B5C"/>
    <w:rsid w:val="00994CCB"/>
    <w:rsid w:val="0099758F"/>
    <w:rsid w:val="009A1C1B"/>
    <w:rsid w:val="009A3634"/>
    <w:rsid w:val="009A4CE2"/>
    <w:rsid w:val="009B067F"/>
    <w:rsid w:val="009B52AA"/>
    <w:rsid w:val="009B685A"/>
    <w:rsid w:val="009C1C42"/>
    <w:rsid w:val="009C2A72"/>
    <w:rsid w:val="009C6C39"/>
    <w:rsid w:val="009D03A5"/>
    <w:rsid w:val="009D2883"/>
    <w:rsid w:val="009E0D92"/>
    <w:rsid w:val="009E1D09"/>
    <w:rsid w:val="009E2166"/>
    <w:rsid w:val="009F148B"/>
    <w:rsid w:val="009F3374"/>
    <w:rsid w:val="009F4B05"/>
    <w:rsid w:val="00A00A9A"/>
    <w:rsid w:val="00A03F33"/>
    <w:rsid w:val="00A05ECF"/>
    <w:rsid w:val="00A06C2A"/>
    <w:rsid w:val="00A07263"/>
    <w:rsid w:val="00A24560"/>
    <w:rsid w:val="00A269BE"/>
    <w:rsid w:val="00A31B9F"/>
    <w:rsid w:val="00A33198"/>
    <w:rsid w:val="00A34538"/>
    <w:rsid w:val="00A34D06"/>
    <w:rsid w:val="00A35B43"/>
    <w:rsid w:val="00A3719D"/>
    <w:rsid w:val="00A477A7"/>
    <w:rsid w:val="00A56C8D"/>
    <w:rsid w:val="00A64BAB"/>
    <w:rsid w:val="00A71B17"/>
    <w:rsid w:val="00A858D4"/>
    <w:rsid w:val="00A920D5"/>
    <w:rsid w:val="00A9681D"/>
    <w:rsid w:val="00A9725C"/>
    <w:rsid w:val="00AA442B"/>
    <w:rsid w:val="00AB0939"/>
    <w:rsid w:val="00AB2B80"/>
    <w:rsid w:val="00AB6B34"/>
    <w:rsid w:val="00AB6C88"/>
    <w:rsid w:val="00AB70E9"/>
    <w:rsid w:val="00AC1E65"/>
    <w:rsid w:val="00AC2E60"/>
    <w:rsid w:val="00AC7100"/>
    <w:rsid w:val="00AD2412"/>
    <w:rsid w:val="00AD3EF8"/>
    <w:rsid w:val="00AF06EB"/>
    <w:rsid w:val="00AF5854"/>
    <w:rsid w:val="00B0280F"/>
    <w:rsid w:val="00B06E75"/>
    <w:rsid w:val="00B11861"/>
    <w:rsid w:val="00B13556"/>
    <w:rsid w:val="00B13F98"/>
    <w:rsid w:val="00B1702F"/>
    <w:rsid w:val="00B22E22"/>
    <w:rsid w:val="00B447A3"/>
    <w:rsid w:val="00B525CB"/>
    <w:rsid w:val="00B53031"/>
    <w:rsid w:val="00B5409F"/>
    <w:rsid w:val="00B60E0C"/>
    <w:rsid w:val="00B61471"/>
    <w:rsid w:val="00B621B5"/>
    <w:rsid w:val="00B63CB2"/>
    <w:rsid w:val="00B660DB"/>
    <w:rsid w:val="00B665DD"/>
    <w:rsid w:val="00B72431"/>
    <w:rsid w:val="00B75A04"/>
    <w:rsid w:val="00B826D5"/>
    <w:rsid w:val="00B82A4F"/>
    <w:rsid w:val="00B83D0F"/>
    <w:rsid w:val="00B851A4"/>
    <w:rsid w:val="00B947A9"/>
    <w:rsid w:val="00B95F16"/>
    <w:rsid w:val="00BA0D60"/>
    <w:rsid w:val="00BA1C6A"/>
    <w:rsid w:val="00BA743C"/>
    <w:rsid w:val="00BB671A"/>
    <w:rsid w:val="00BC0E1B"/>
    <w:rsid w:val="00BC26BE"/>
    <w:rsid w:val="00BD400B"/>
    <w:rsid w:val="00BD6EF6"/>
    <w:rsid w:val="00BD78FE"/>
    <w:rsid w:val="00BE1939"/>
    <w:rsid w:val="00BE5DFA"/>
    <w:rsid w:val="00BF4D57"/>
    <w:rsid w:val="00C00BDD"/>
    <w:rsid w:val="00C00E78"/>
    <w:rsid w:val="00C00FF6"/>
    <w:rsid w:val="00C06909"/>
    <w:rsid w:val="00C16560"/>
    <w:rsid w:val="00C33FE9"/>
    <w:rsid w:val="00C34E92"/>
    <w:rsid w:val="00C42757"/>
    <w:rsid w:val="00C60126"/>
    <w:rsid w:val="00C648F1"/>
    <w:rsid w:val="00C74AAE"/>
    <w:rsid w:val="00C75A09"/>
    <w:rsid w:val="00C763B9"/>
    <w:rsid w:val="00C7690C"/>
    <w:rsid w:val="00C76FB2"/>
    <w:rsid w:val="00C77182"/>
    <w:rsid w:val="00C807EC"/>
    <w:rsid w:val="00C835A4"/>
    <w:rsid w:val="00C8548A"/>
    <w:rsid w:val="00C87D96"/>
    <w:rsid w:val="00C91742"/>
    <w:rsid w:val="00C929A4"/>
    <w:rsid w:val="00C92B3F"/>
    <w:rsid w:val="00C96BF7"/>
    <w:rsid w:val="00CA287E"/>
    <w:rsid w:val="00CA64EA"/>
    <w:rsid w:val="00CA6674"/>
    <w:rsid w:val="00CB0FC0"/>
    <w:rsid w:val="00CB149B"/>
    <w:rsid w:val="00CB7490"/>
    <w:rsid w:val="00CC00CD"/>
    <w:rsid w:val="00CC20C3"/>
    <w:rsid w:val="00CC4E81"/>
    <w:rsid w:val="00CC7EDF"/>
    <w:rsid w:val="00CD131B"/>
    <w:rsid w:val="00CD29A0"/>
    <w:rsid w:val="00CD5685"/>
    <w:rsid w:val="00CD651A"/>
    <w:rsid w:val="00CE70B6"/>
    <w:rsid w:val="00CF286D"/>
    <w:rsid w:val="00CF2DD9"/>
    <w:rsid w:val="00CF4AE9"/>
    <w:rsid w:val="00D01ADD"/>
    <w:rsid w:val="00D06A07"/>
    <w:rsid w:val="00D15524"/>
    <w:rsid w:val="00D156B1"/>
    <w:rsid w:val="00D16E39"/>
    <w:rsid w:val="00D17B3A"/>
    <w:rsid w:val="00D21186"/>
    <w:rsid w:val="00D22E14"/>
    <w:rsid w:val="00D22FCF"/>
    <w:rsid w:val="00D2402A"/>
    <w:rsid w:val="00D2731A"/>
    <w:rsid w:val="00D31893"/>
    <w:rsid w:val="00D33492"/>
    <w:rsid w:val="00D34D3B"/>
    <w:rsid w:val="00D359BF"/>
    <w:rsid w:val="00D376E3"/>
    <w:rsid w:val="00D42E35"/>
    <w:rsid w:val="00D43120"/>
    <w:rsid w:val="00D43B04"/>
    <w:rsid w:val="00D476BA"/>
    <w:rsid w:val="00D501CA"/>
    <w:rsid w:val="00D51636"/>
    <w:rsid w:val="00D56094"/>
    <w:rsid w:val="00D64038"/>
    <w:rsid w:val="00D707B7"/>
    <w:rsid w:val="00D71366"/>
    <w:rsid w:val="00D72916"/>
    <w:rsid w:val="00D72E9D"/>
    <w:rsid w:val="00D811A9"/>
    <w:rsid w:val="00D82CE5"/>
    <w:rsid w:val="00D84F03"/>
    <w:rsid w:val="00D855F8"/>
    <w:rsid w:val="00D85693"/>
    <w:rsid w:val="00D877B4"/>
    <w:rsid w:val="00D87F9A"/>
    <w:rsid w:val="00D91138"/>
    <w:rsid w:val="00D94186"/>
    <w:rsid w:val="00D96738"/>
    <w:rsid w:val="00D97755"/>
    <w:rsid w:val="00DA0784"/>
    <w:rsid w:val="00DA2602"/>
    <w:rsid w:val="00DA5AB1"/>
    <w:rsid w:val="00DA74FF"/>
    <w:rsid w:val="00DA7876"/>
    <w:rsid w:val="00DB268D"/>
    <w:rsid w:val="00DB3B8C"/>
    <w:rsid w:val="00DB4475"/>
    <w:rsid w:val="00DC62E5"/>
    <w:rsid w:val="00DD5BA8"/>
    <w:rsid w:val="00DD735D"/>
    <w:rsid w:val="00DE3119"/>
    <w:rsid w:val="00DE38F0"/>
    <w:rsid w:val="00DE3FA6"/>
    <w:rsid w:val="00DF236B"/>
    <w:rsid w:val="00DF3910"/>
    <w:rsid w:val="00DF7137"/>
    <w:rsid w:val="00E029FF"/>
    <w:rsid w:val="00E07FDC"/>
    <w:rsid w:val="00E11A56"/>
    <w:rsid w:val="00E12ED8"/>
    <w:rsid w:val="00E13AB8"/>
    <w:rsid w:val="00E17182"/>
    <w:rsid w:val="00E1737D"/>
    <w:rsid w:val="00E17F57"/>
    <w:rsid w:val="00E21FBB"/>
    <w:rsid w:val="00E301F9"/>
    <w:rsid w:val="00E332C7"/>
    <w:rsid w:val="00E3346F"/>
    <w:rsid w:val="00E33B62"/>
    <w:rsid w:val="00E43136"/>
    <w:rsid w:val="00E528D2"/>
    <w:rsid w:val="00E61393"/>
    <w:rsid w:val="00E628B2"/>
    <w:rsid w:val="00E76082"/>
    <w:rsid w:val="00E773FA"/>
    <w:rsid w:val="00E8153A"/>
    <w:rsid w:val="00E842CB"/>
    <w:rsid w:val="00E8500D"/>
    <w:rsid w:val="00E90575"/>
    <w:rsid w:val="00E91FDF"/>
    <w:rsid w:val="00E94C1C"/>
    <w:rsid w:val="00EA1162"/>
    <w:rsid w:val="00EA4836"/>
    <w:rsid w:val="00EC42CC"/>
    <w:rsid w:val="00ED09C7"/>
    <w:rsid w:val="00ED0E3E"/>
    <w:rsid w:val="00EE373D"/>
    <w:rsid w:val="00EE385F"/>
    <w:rsid w:val="00EF24C4"/>
    <w:rsid w:val="00EF2D7D"/>
    <w:rsid w:val="00F01C8D"/>
    <w:rsid w:val="00F0314E"/>
    <w:rsid w:val="00F057A4"/>
    <w:rsid w:val="00F1516C"/>
    <w:rsid w:val="00F21844"/>
    <w:rsid w:val="00F245D7"/>
    <w:rsid w:val="00F27BFF"/>
    <w:rsid w:val="00F32FAB"/>
    <w:rsid w:val="00F33171"/>
    <w:rsid w:val="00F3366D"/>
    <w:rsid w:val="00F350C0"/>
    <w:rsid w:val="00F42F69"/>
    <w:rsid w:val="00F431A0"/>
    <w:rsid w:val="00F44AEC"/>
    <w:rsid w:val="00F46C69"/>
    <w:rsid w:val="00F47D78"/>
    <w:rsid w:val="00F51B4A"/>
    <w:rsid w:val="00F62BB5"/>
    <w:rsid w:val="00F7630D"/>
    <w:rsid w:val="00F82505"/>
    <w:rsid w:val="00F82896"/>
    <w:rsid w:val="00F84899"/>
    <w:rsid w:val="00F859F0"/>
    <w:rsid w:val="00FA1192"/>
    <w:rsid w:val="00FA3289"/>
    <w:rsid w:val="00FA4B3A"/>
    <w:rsid w:val="00FB13AE"/>
    <w:rsid w:val="00FC0D3F"/>
    <w:rsid w:val="00FC3924"/>
    <w:rsid w:val="00FC5E92"/>
    <w:rsid w:val="00FC7E64"/>
    <w:rsid w:val="00FC7E8E"/>
    <w:rsid w:val="00FE141E"/>
    <w:rsid w:val="00FE5DB6"/>
    <w:rsid w:val="00FF0D24"/>
    <w:rsid w:val="00FF7A9C"/>
    <w:rsid w:val="72F2CC57"/>
    <w:rsid w:val="7679A49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character" w:customStyle="1" w:styleId="NormalWebCar">
    <w:name w:val="Normal (Web) Car"/>
    <w:link w:val="NormalWeb"/>
    <w:uiPriority w:val="99"/>
    <w:locked/>
    <w:rsid w:val="00C00E78"/>
    <w:rPr>
      <w:rFonts w:ascii="Times New Roman" w:eastAsia="Times New Roman" w:hAnsi="Times New Roman" w:cs="Times New Roman"/>
      <w:sz w:val="24"/>
      <w:szCs w:val="24"/>
      <w:lang w:eastAsia="es-CO"/>
    </w:rPr>
  </w:style>
  <w:style w:type="paragraph" w:customStyle="1" w:styleId="Default">
    <w:name w:val="Default"/>
    <w:rsid w:val="007924F4"/>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B82A4F"/>
    <w:pPr>
      <w:spacing w:after="160" w:line="240" w:lineRule="exact"/>
    </w:pPr>
    <w:rPr>
      <w:sz w:val="22"/>
      <w:vertAlign w:val="superscript"/>
      <w:lang w:val="es-CO"/>
    </w:rPr>
  </w:style>
  <w:style w:type="character" w:customStyle="1" w:styleId="toctoggle">
    <w:name w:val="toctoggle"/>
    <w:basedOn w:val="Fuentedeprrafopredeter"/>
    <w:rsid w:val="00F431A0"/>
  </w:style>
  <w:style w:type="character" w:styleId="Textoennegrita">
    <w:name w:val="Strong"/>
    <w:basedOn w:val="Fuentedeprrafopredeter"/>
    <w:uiPriority w:val="22"/>
    <w:qFormat/>
    <w:rsid w:val="00F431A0"/>
    <w:rPr>
      <w:b/>
      <w:bCs/>
    </w:rPr>
  </w:style>
  <w:style w:type="paragraph" w:customStyle="1" w:styleId="parrafo-division">
    <w:name w:val="parrafo-division"/>
    <w:basedOn w:val="Normal"/>
    <w:rsid w:val="001A178F"/>
    <w:pPr>
      <w:spacing w:before="100" w:beforeAutospacing="1" w:after="100" w:afterAutospacing="1"/>
    </w:pPr>
    <w:rPr>
      <w:rFonts w:ascii="Times New Roman" w:eastAsia="Times New Roman" w:hAnsi="Times New Roman" w:cs="Times New Roman"/>
      <w:szCs w:val="24"/>
      <w:lang w:val="es-CO" w:eastAsia="es-CO"/>
    </w:rPr>
  </w:style>
  <w:style w:type="character" w:customStyle="1" w:styleId="iaj">
    <w:name w:val="i_aj"/>
    <w:basedOn w:val="Fuentedeprrafopredeter"/>
    <w:rsid w:val="00AD2412"/>
  </w:style>
  <w:style w:type="character" w:customStyle="1" w:styleId="baj">
    <w:name w:val="b_aj"/>
    <w:basedOn w:val="Fuentedeprrafopredeter"/>
    <w:rsid w:val="00AD2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9297661">
      <w:bodyDiv w:val="1"/>
      <w:marLeft w:val="0"/>
      <w:marRight w:val="0"/>
      <w:marTop w:val="0"/>
      <w:marBottom w:val="0"/>
      <w:divBdr>
        <w:top w:val="none" w:sz="0" w:space="0" w:color="auto"/>
        <w:left w:val="none" w:sz="0" w:space="0" w:color="auto"/>
        <w:bottom w:val="none" w:sz="0" w:space="0" w:color="auto"/>
        <w:right w:val="none" w:sz="0" w:space="0" w:color="auto"/>
      </w:divBdr>
    </w:div>
    <w:div w:id="10446642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42193221">
      <w:bodyDiv w:val="1"/>
      <w:marLeft w:val="0"/>
      <w:marRight w:val="0"/>
      <w:marTop w:val="0"/>
      <w:marBottom w:val="0"/>
      <w:divBdr>
        <w:top w:val="none" w:sz="0" w:space="0" w:color="auto"/>
        <w:left w:val="none" w:sz="0" w:space="0" w:color="auto"/>
        <w:bottom w:val="none" w:sz="0" w:space="0" w:color="auto"/>
        <w:right w:val="none" w:sz="0" w:space="0" w:color="auto"/>
      </w:divBdr>
    </w:div>
    <w:div w:id="502167241">
      <w:bodyDiv w:val="1"/>
      <w:marLeft w:val="0"/>
      <w:marRight w:val="0"/>
      <w:marTop w:val="0"/>
      <w:marBottom w:val="0"/>
      <w:divBdr>
        <w:top w:val="none" w:sz="0" w:space="0" w:color="auto"/>
        <w:left w:val="none" w:sz="0" w:space="0" w:color="auto"/>
        <w:bottom w:val="none" w:sz="0" w:space="0" w:color="auto"/>
        <w:right w:val="none" w:sz="0" w:space="0" w:color="auto"/>
      </w:divBdr>
      <w:divsChild>
        <w:div w:id="199706951">
          <w:marLeft w:val="0"/>
          <w:marRight w:val="0"/>
          <w:marTop w:val="300"/>
          <w:marBottom w:val="300"/>
          <w:divBdr>
            <w:top w:val="none" w:sz="0" w:space="0" w:color="auto"/>
            <w:left w:val="none" w:sz="0" w:space="0" w:color="auto"/>
            <w:bottom w:val="none" w:sz="0" w:space="0" w:color="auto"/>
            <w:right w:val="none" w:sz="0" w:space="0" w:color="auto"/>
          </w:divBdr>
        </w:div>
      </w:divsChild>
    </w:div>
    <w:div w:id="617570441">
      <w:bodyDiv w:val="1"/>
      <w:marLeft w:val="0"/>
      <w:marRight w:val="0"/>
      <w:marTop w:val="0"/>
      <w:marBottom w:val="0"/>
      <w:divBdr>
        <w:top w:val="none" w:sz="0" w:space="0" w:color="auto"/>
        <w:left w:val="none" w:sz="0" w:space="0" w:color="auto"/>
        <w:bottom w:val="none" w:sz="0" w:space="0" w:color="auto"/>
        <w:right w:val="none" w:sz="0" w:space="0" w:color="auto"/>
      </w:divBdr>
    </w:div>
    <w:div w:id="751972196">
      <w:bodyDiv w:val="1"/>
      <w:marLeft w:val="0"/>
      <w:marRight w:val="0"/>
      <w:marTop w:val="0"/>
      <w:marBottom w:val="0"/>
      <w:divBdr>
        <w:top w:val="none" w:sz="0" w:space="0" w:color="auto"/>
        <w:left w:val="none" w:sz="0" w:space="0" w:color="auto"/>
        <w:bottom w:val="none" w:sz="0" w:space="0" w:color="auto"/>
        <w:right w:val="none" w:sz="0" w:space="0" w:color="auto"/>
      </w:divBdr>
      <w:divsChild>
        <w:div w:id="636448933">
          <w:marLeft w:val="0"/>
          <w:marRight w:val="0"/>
          <w:marTop w:val="300"/>
          <w:marBottom w:val="300"/>
          <w:divBdr>
            <w:top w:val="none" w:sz="0" w:space="0" w:color="auto"/>
            <w:left w:val="none" w:sz="0" w:space="0" w:color="auto"/>
            <w:bottom w:val="none" w:sz="0" w:space="0" w:color="auto"/>
            <w:right w:val="none" w:sz="0" w:space="0" w:color="auto"/>
          </w:divBdr>
        </w:div>
      </w:divsChild>
    </w:div>
    <w:div w:id="879047667">
      <w:bodyDiv w:val="1"/>
      <w:marLeft w:val="0"/>
      <w:marRight w:val="0"/>
      <w:marTop w:val="0"/>
      <w:marBottom w:val="0"/>
      <w:divBdr>
        <w:top w:val="none" w:sz="0" w:space="0" w:color="auto"/>
        <w:left w:val="none" w:sz="0" w:space="0" w:color="auto"/>
        <w:bottom w:val="none" w:sz="0" w:space="0" w:color="auto"/>
        <w:right w:val="none" w:sz="0" w:space="0" w:color="auto"/>
      </w:divBdr>
    </w:div>
    <w:div w:id="1092580237">
      <w:bodyDiv w:val="1"/>
      <w:marLeft w:val="0"/>
      <w:marRight w:val="0"/>
      <w:marTop w:val="0"/>
      <w:marBottom w:val="0"/>
      <w:divBdr>
        <w:top w:val="none" w:sz="0" w:space="0" w:color="auto"/>
        <w:left w:val="none" w:sz="0" w:space="0" w:color="auto"/>
        <w:bottom w:val="none" w:sz="0" w:space="0" w:color="auto"/>
        <w:right w:val="none" w:sz="0" w:space="0" w:color="auto"/>
      </w:divBdr>
    </w:div>
    <w:div w:id="1202864452">
      <w:bodyDiv w:val="1"/>
      <w:marLeft w:val="0"/>
      <w:marRight w:val="0"/>
      <w:marTop w:val="0"/>
      <w:marBottom w:val="0"/>
      <w:divBdr>
        <w:top w:val="none" w:sz="0" w:space="0" w:color="auto"/>
        <w:left w:val="none" w:sz="0" w:space="0" w:color="auto"/>
        <w:bottom w:val="none" w:sz="0" w:space="0" w:color="auto"/>
        <w:right w:val="none" w:sz="0" w:space="0" w:color="auto"/>
      </w:divBdr>
      <w:divsChild>
        <w:div w:id="225262696">
          <w:marLeft w:val="0"/>
          <w:marRight w:val="0"/>
          <w:marTop w:val="0"/>
          <w:marBottom w:val="0"/>
          <w:divBdr>
            <w:top w:val="none" w:sz="0" w:space="0" w:color="auto"/>
            <w:left w:val="none" w:sz="0" w:space="0" w:color="auto"/>
            <w:bottom w:val="none" w:sz="0" w:space="0" w:color="auto"/>
            <w:right w:val="none" w:sz="0" w:space="0" w:color="auto"/>
          </w:divBdr>
          <w:divsChild>
            <w:div w:id="1578319226">
              <w:marLeft w:val="0"/>
              <w:marRight w:val="0"/>
              <w:marTop w:val="0"/>
              <w:marBottom w:val="0"/>
              <w:divBdr>
                <w:top w:val="none" w:sz="0" w:space="0" w:color="auto"/>
                <w:left w:val="none" w:sz="0" w:space="0" w:color="auto"/>
                <w:bottom w:val="none" w:sz="0" w:space="0" w:color="auto"/>
                <w:right w:val="none" w:sz="0" w:space="0" w:color="auto"/>
              </w:divBdr>
            </w:div>
          </w:divsChild>
        </w:div>
        <w:div w:id="1312367697">
          <w:marLeft w:val="0"/>
          <w:marRight w:val="0"/>
          <w:marTop w:val="0"/>
          <w:marBottom w:val="0"/>
          <w:divBdr>
            <w:top w:val="none" w:sz="0" w:space="0" w:color="auto"/>
            <w:left w:val="none" w:sz="0" w:space="0" w:color="auto"/>
            <w:bottom w:val="none" w:sz="0" w:space="0" w:color="auto"/>
            <w:right w:val="none" w:sz="0" w:space="0" w:color="auto"/>
          </w:divBdr>
          <w:divsChild>
            <w:div w:id="20944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7955">
      <w:bodyDiv w:val="1"/>
      <w:marLeft w:val="0"/>
      <w:marRight w:val="0"/>
      <w:marTop w:val="0"/>
      <w:marBottom w:val="0"/>
      <w:divBdr>
        <w:top w:val="none" w:sz="0" w:space="0" w:color="auto"/>
        <w:left w:val="none" w:sz="0" w:space="0" w:color="auto"/>
        <w:bottom w:val="none" w:sz="0" w:space="0" w:color="auto"/>
        <w:right w:val="none" w:sz="0" w:space="0" w:color="auto"/>
      </w:divBdr>
      <w:divsChild>
        <w:div w:id="78985059">
          <w:marLeft w:val="0"/>
          <w:marRight w:val="0"/>
          <w:marTop w:val="0"/>
          <w:marBottom w:val="0"/>
          <w:divBdr>
            <w:top w:val="none" w:sz="0" w:space="0" w:color="auto"/>
            <w:left w:val="none" w:sz="0" w:space="0" w:color="auto"/>
            <w:bottom w:val="none" w:sz="0" w:space="0" w:color="auto"/>
            <w:right w:val="none" w:sz="0" w:space="0" w:color="auto"/>
          </w:divBdr>
          <w:divsChild>
            <w:div w:id="1482843880">
              <w:marLeft w:val="0"/>
              <w:marRight w:val="0"/>
              <w:marTop w:val="0"/>
              <w:marBottom w:val="0"/>
              <w:divBdr>
                <w:top w:val="none" w:sz="0" w:space="0" w:color="auto"/>
                <w:left w:val="none" w:sz="0" w:space="0" w:color="auto"/>
                <w:bottom w:val="none" w:sz="0" w:space="0" w:color="auto"/>
                <w:right w:val="none" w:sz="0" w:space="0" w:color="auto"/>
              </w:divBdr>
            </w:div>
          </w:divsChild>
        </w:div>
        <w:div w:id="1503858326">
          <w:marLeft w:val="0"/>
          <w:marRight w:val="0"/>
          <w:marTop w:val="0"/>
          <w:marBottom w:val="0"/>
          <w:divBdr>
            <w:top w:val="none" w:sz="0" w:space="0" w:color="auto"/>
            <w:left w:val="none" w:sz="0" w:space="0" w:color="auto"/>
            <w:bottom w:val="none" w:sz="0" w:space="0" w:color="auto"/>
            <w:right w:val="none" w:sz="0" w:space="0" w:color="auto"/>
          </w:divBdr>
          <w:divsChild>
            <w:div w:id="1568110549">
              <w:marLeft w:val="0"/>
              <w:marRight w:val="0"/>
              <w:marTop w:val="0"/>
              <w:marBottom w:val="0"/>
              <w:divBdr>
                <w:top w:val="none" w:sz="0" w:space="0" w:color="auto"/>
                <w:left w:val="none" w:sz="0" w:space="0" w:color="auto"/>
                <w:bottom w:val="none" w:sz="0" w:space="0" w:color="auto"/>
                <w:right w:val="none" w:sz="0" w:space="0" w:color="auto"/>
              </w:divBdr>
            </w:div>
          </w:divsChild>
        </w:div>
        <w:div w:id="1582178780">
          <w:marLeft w:val="0"/>
          <w:marRight w:val="0"/>
          <w:marTop w:val="0"/>
          <w:marBottom w:val="0"/>
          <w:divBdr>
            <w:top w:val="none" w:sz="0" w:space="0" w:color="auto"/>
            <w:left w:val="none" w:sz="0" w:space="0" w:color="auto"/>
            <w:bottom w:val="none" w:sz="0" w:space="0" w:color="auto"/>
            <w:right w:val="none" w:sz="0" w:space="0" w:color="auto"/>
          </w:divBdr>
          <w:divsChild>
            <w:div w:id="506093907">
              <w:marLeft w:val="0"/>
              <w:marRight w:val="0"/>
              <w:marTop w:val="0"/>
              <w:marBottom w:val="0"/>
              <w:divBdr>
                <w:top w:val="none" w:sz="0" w:space="0" w:color="auto"/>
                <w:left w:val="none" w:sz="0" w:space="0" w:color="auto"/>
                <w:bottom w:val="none" w:sz="0" w:space="0" w:color="auto"/>
                <w:right w:val="none" w:sz="0" w:space="0" w:color="auto"/>
              </w:divBdr>
            </w:div>
          </w:divsChild>
        </w:div>
        <w:div w:id="943074493">
          <w:marLeft w:val="0"/>
          <w:marRight w:val="0"/>
          <w:marTop w:val="0"/>
          <w:marBottom w:val="0"/>
          <w:divBdr>
            <w:top w:val="none" w:sz="0" w:space="0" w:color="auto"/>
            <w:left w:val="none" w:sz="0" w:space="0" w:color="auto"/>
            <w:bottom w:val="none" w:sz="0" w:space="0" w:color="auto"/>
            <w:right w:val="none" w:sz="0" w:space="0" w:color="auto"/>
          </w:divBdr>
          <w:divsChild>
            <w:div w:id="187909713">
              <w:marLeft w:val="0"/>
              <w:marRight w:val="0"/>
              <w:marTop w:val="0"/>
              <w:marBottom w:val="0"/>
              <w:divBdr>
                <w:top w:val="none" w:sz="0" w:space="0" w:color="auto"/>
                <w:left w:val="none" w:sz="0" w:space="0" w:color="auto"/>
                <w:bottom w:val="none" w:sz="0" w:space="0" w:color="auto"/>
                <w:right w:val="none" w:sz="0" w:space="0" w:color="auto"/>
              </w:divBdr>
            </w:div>
          </w:divsChild>
        </w:div>
        <w:div w:id="350224686">
          <w:marLeft w:val="0"/>
          <w:marRight w:val="0"/>
          <w:marTop w:val="0"/>
          <w:marBottom w:val="0"/>
          <w:divBdr>
            <w:top w:val="none" w:sz="0" w:space="0" w:color="auto"/>
            <w:left w:val="none" w:sz="0" w:space="0" w:color="auto"/>
            <w:bottom w:val="none" w:sz="0" w:space="0" w:color="auto"/>
            <w:right w:val="none" w:sz="0" w:space="0" w:color="auto"/>
          </w:divBdr>
          <w:divsChild>
            <w:div w:id="16544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7552">
      <w:bodyDiv w:val="1"/>
      <w:marLeft w:val="0"/>
      <w:marRight w:val="0"/>
      <w:marTop w:val="0"/>
      <w:marBottom w:val="0"/>
      <w:divBdr>
        <w:top w:val="none" w:sz="0" w:space="0" w:color="auto"/>
        <w:left w:val="none" w:sz="0" w:space="0" w:color="auto"/>
        <w:bottom w:val="none" w:sz="0" w:space="0" w:color="auto"/>
        <w:right w:val="none" w:sz="0" w:space="0" w:color="auto"/>
      </w:divBdr>
    </w:div>
    <w:div w:id="1353264135">
      <w:bodyDiv w:val="1"/>
      <w:marLeft w:val="0"/>
      <w:marRight w:val="0"/>
      <w:marTop w:val="0"/>
      <w:marBottom w:val="0"/>
      <w:divBdr>
        <w:top w:val="none" w:sz="0" w:space="0" w:color="auto"/>
        <w:left w:val="none" w:sz="0" w:space="0" w:color="auto"/>
        <w:bottom w:val="none" w:sz="0" w:space="0" w:color="auto"/>
        <w:right w:val="none" w:sz="0" w:space="0" w:color="auto"/>
      </w:divBdr>
    </w:div>
    <w:div w:id="1381325544">
      <w:bodyDiv w:val="1"/>
      <w:marLeft w:val="0"/>
      <w:marRight w:val="0"/>
      <w:marTop w:val="0"/>
      <w:marBottom w:val="0"/>
      <w:divBdr>
        <w:top w:val="none" w:sz="0" w:space="0" w:color="auto"/>
        <w:left w:val="none" w:sz="0" w:space="0" w:color="auto"/>
        <w:bottom w:val="none" w:sz="0" w:space="0" w:color="auto"/>
        <w:right w:val="none" w:sz="0" w:space="0" w:color="auto"/>
      </w:divBdr>
    </w:div>
    <w:div w:id="1437023353">
      <w:bodyDiv w:val="1"/>
      <w:marLeft w:val="0"/>
      <w:marRight w:val="0"/>
      <w:marTop w:val="0"/>
      <w:marBottom w:val="0"/>
      <w:divBdr>
        <w:top w:val="none" w:sz="0" w:space="0" w:color="auto"/>
        <w:left w:val="none" w:sz="0" w:space="0" w:color="auto"/>
        <w:bottom w:val="none" w:sz="0" w:space="0" w:color="auto"/>
        <w:right w:val="none" w:sz="0" w:space="0" w:color="auto"/>
      </w:divBdr>
      <w:divsChild>
        <w:div w:id="281032223">
          <w:marLeft w:val="0"/>
          <w:marRight w:val="0"/>
          <w:marTop w:val="300"/>
          <w:marBottom w:val="300"/>
          <w:divBdr>
            <w:top w:val="none" w:sz="0" w:space="0" w:color="auto"/>
            <w:left w:val="none" w:sz="0" w:space="0" w:color="auto"/>
            <w:bottom w:val="none" w:sz="0" w:space="0" w:color="auto"/>
            <w:right w:val="none" w:sz="0" w:space="0" w:color="auto"/>
          </w:divBdr>
        </w:div>
      </w:divsChild>
    </w:div>
    <w:div w:id="1445349385">
      <w:bodyDiv w:val="1"/>
      <w:marLeft w:val="0"/>
      <w:marRight w:val="0"/>
      <w:marTop w:val="0"/>
      <w:marBottom w:val="0"/>
      <w:divBdr>
        <w:top w:val="none" w:sz="0" w:space="0" w:color="auto"/>
        <w:left w:val="none" w:sz="0" w:space="0" w:color="auto"/>
        <w:bottom w:val="none" w:sz="0" w:space="0" w:color="auto"/>
        <w:right w:val="none" w:sz="0" w:space="0" w:color="auto"/>
      </w:divBdr>
      <w:divsChild>
        <w:div w:id="712735318">
          <w:marLeft w:val="0"/>
          <w:marRight w:val="0"/>
          <w:marTop w:val="300"/>
          <w:marBottom w:val="300"/>
          <w:divBdr>
            <w:top w:val="none" w:sz="0" w:space="0" w:color="auto"/>
            <w:left w:val="none" w:sz="0" w:space="0" w:color="auto"/>
            <w:bottom w:val="none" w:sz="0" w:space="0" w:color="auto"/>
            <w:right w:val="none" w:sz="0" w:space="0" w:color="auto"/>
          </w:divBdr>
        </w:div>
      </w:divsChild>
    </w:div>
    <w:div w:id="1483278110">
      <w:bodyDiv w:val="1"/>
      <w:marLeft w:val="0"/>
      <w:marRight w:val="0"/>
      <w:marTop w:val="0"/>
      <w:marBottom w:val="0"/>
      <w:divBdr>
        <w:top w:val="none" w:sz="0" w:space="0" w:color="auto"/>
        <w:left w:val="none" w:sz="0" w:space="0" w:color="auto"/>
        <w:bottom w:val="none" w:sz="0" w:space="0" w:color="auto"/>
        <w:right w:val="none" w:sz="0" w:space="0" w:color="auto"/>
      </w:divBdr>
    </w:div>
    <w:div w:id="1703750653">
      <w:bodyDiv w:val="1"/>
      <w:marLeft w:val="0"/>
      <w:marRight w:val="0"/>
      <w:marTop w:val="0"/>
      <w:marBottom w:val="0"/>
      <w:divBdr>
        <w:top w:val="none" w:sz="0" w:space="0" w:color="auto"/>
        <w:left w:val="none" w:sz="0" w:space="0" w:color="auto"/>
        <w:bottom w:val="none" w:sz="0" w:space="0" w:color="auto"/>
        <w:right w:val="none" w:sz="0" w:space="0" w:color="auto"/>
      </w:divBdr>
      <w:divsChild>
        <w:div w:id="638195364">
          <w:marLeft w:val="0"/>
          <w:marRight w:val="0"/>
          <w:marTop w:val="0"/>
          <w:marBottom w:val="150"/>
          <w:divBdr>
            <w:top w:val="none" w:sz="0" w:space="0" w:color="auto"/>
            <w:left w:val="none" w:sz="0" w:space="0" w:color="auto"/>
            <w:bottom w:val="none" w:sz="0" w:space="0" w:color="auto"/>
            <w:right w:val="none" w:sz="0" w:space="0" w:color="auto"/>
          </w:divBdr>
          <w:divsChild>
            <w:div w:id="2118475567">
              <w:marLeft w:val="0"/>
              <w:marRight w:val="0"/>
              <w:marTop w:val="0"/>
              <w:marBottom w:val="0"/>
              <w:divBdr>
                <w:top w:val="none" w:sz="0" w:space="0" w:color="auto"/>
                <w:left w:val="none" w:sz="0" w:space="0" w:color="auto"/>
                <w:bottom w:val="none" w:sz="0" w:space="0" w:color="auto"/>
                <w:right w:val="none" w:sz="0" w:space="0" w:color="auto"/>
              </w:divBdr>
            </w:div>
          </w:divsChild>
        </w:div>
        <w:div w:id="896860537">
          <w:marLeft w:val="0"/>
          <w:marRight w:val="0"/>
          <w:marTop w:val="0"/>
          <w:marBottom w:val="150"/>
          <w:divBdr>
            <w:top w:val="none" w:sz="0" w:space="0" w:color="auto"/>
            <w:left w:val="none" w:sz="0" w:space="0" w:color="auto"/>
            <w:bottom w:val="none" w:sz="0" w:space="0" w:color="auto"/>
            <w:right w:val="none" w:sz="0" w:space="0" w:color="auto"/>
          </w:divBdr>
          <w:divsChild>
            <w:div w:id="801191784">
              <w:marLeft w:val="0"/>
              <w:marRight w:val="0"/>
              <w:marTop w:val="0"/>
              <w:marBottom w:val="0"/>
              <w:divBdr>
                <w:top w:val="none" w:sz="0" w:space="0" w:color="auto"/>
                <w:left w:val="none" w:sz="0" w:space="0" w:color="auto"/>
                <w:bottom w:val="none" w:sz="0" w:space="0" w:color="auto"/>
                <w:right w:val="none" w:sz="0" w:space="0" w:color="auto"/>
              </w:divBdr>
            </w:div>
          </w:divsChild>
        </w:div>
        <w:div w:id="1933276264">
          <w:marLeft w:val="0"/>
          <w:marRight w:val="0"/>
          <w:marTop w:val="0"/>
          <w:marBottom w:val="150"/>
          <w:divBdr>
            <w:top w:val="none" w:sz="0" w:space="0" w:color="auto"/>
            <w:left w:val="none" w:sz="0" w:space="0" w:color="auto"/>
            <w:bottom w:val="none" w:sz="0" w:space="0" w:color="auto"/>
            <w:right w:val="none" w:sz="0" w:space="0" w:color="auto"/>
          </w:divBdr>
          <w:divsChild>
            <w:div w:id="4101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7546">
      <w:bodyDiv w:val="1"/>
      <w:marLeft w:val="0"/>
      <w:marRight w:val="0"/>
      <w:marTop w:val="0"/>
      <w:marBottom w:val="0"/>
      <w:divBdr>
        <w:top w:val="none" w:sz="0" w:space="0" w:color="auto"/>
        <w:left w:val="none" w:sz="0" w:space="0" w:color="auto"/>
        <w:bottom w:val="none" w:sz="0" w:space="0" w:color="auto"/>
        <w:right w:val="none" w:sz="0" w:space="0" w:color="auto"/>
      </w:divBdr>
      <w:divsChild>
        <w:div w:id="934632825">
          <w:marLeft w:val="0"/>
          <w:marRight w:val="0"/>
          <w:marTop w:val="300"/>
          <w:marBottom w:val="300"/>
          <w:divBdr>
            <w:top w:val="none" w:sz="0" w:space="0" w:color="auto"/>
            <w:left w:val="none" w:sz="0" w:space="0" w:color="auto"/>
            <w:bottom w:val="none" w:sz="0" w:space="0" w:color="auto"/>
            <w:right w:val="none" w:sz="0" w:space="0" w:color="auto"/>
          </w:divBdr>
        </w:div>
      </w:divsChild>
    </w:div>
    <w:div w:id="1831605018">
      <w:bodyDiv w:val="1"/>
      <w:marLeft w:val="0"/>
      <w:marRight w:val="0"/>
      <w:marTop w:val="0"/>
      <w:marBottom w:val="0"/>
      <w:divBdr>
        <w:top w:val="none" w:sz="0" w:space="0" w:color="auto"/>
        <w:left w:val="none" w:sz="0" w:space="0" w:color="auto"/>
        <w:bottom w:val="none" w:sz="0" w:space="0" w:color="auto"/>
        <w:right w:val="none" w:sz="0" w:space="0" w:color="auto"/>
      </w:divBdr>
      <w:divsChild>
        <w:div w:id="551768497">
          <w:marLeft w:val="0"/>
          <w:marRight w:val="0"/>
          <w:marTop w:val="0"/>
          <w:marBottom w:val="150"/>
          <w:divBdr>
            <w:top w:val="none" w:sz="0" w:space="0" w:color="auto"/>
            <w:left w:val="none" w:sz="0" w:space="0" w:color="auto"/>
            <w:bottom w:val="none" w:sz="0" w:space="0" w:color="auto"/>
            <w:right w:val="none" w:sz="0" w:space="0" w:color="auto"/>
          </w:divBdr>
          <w:divsChild>
            <w:div w:id="1651135528">
              <w:marLeft w:val="0"/>
              <w:marRight w:val="0"/>
              <w:marTop w:val="0"/>
              <w:marBottom w:val="0"/>
              <w:divBdr>
                <w:top w:val="none" w:sz="0" w:space="0" w:color="auto"/>
                <w:left w:val="none" w:sz="0" w:space="0" w:color="auto"/>
                <w:bottom w:val="none" w:sz="0" w:space="0" w:color="auto"/>
                <w:right w:val="none" w:sz="0" w:space="0" w:color="auto"/>
              </w:divBdr>
            </w:div>
          </w:divsChild>
        </w:div>
        <w:div w:id="874847613">
          <w:marLeft w:val="0"/>
          <w:marRight w:val="0"/>
          <w:marTop w:val="0"/>
          <w:marBottom w:val="150"/>
          <w:divBdr>
            <w:top w:val="none" w:sz="0" w:space="0" w:color="auto"/>
            <w:left w:val="none" w:sz="0" w:space="0" w:color="auto"/>
            <w:bottom w:val="none" w:sz="0" w:space="0" w:color="auto"/>
            <w:right w:val="none" w:sz="0" w:space="0" w:color="auto"/>
          </w:divBdr>
          <w:divsChild>
            <w:div w:id="307128502">
              <w:marLeft w:val="0"/>
              <w:marRight w:val="0"/>
              <w:marTop w:val="0"/>
              <w:marBottom w:val="0"/>
              <w:divBdr>
                <w:top w:val="none" w:sz="0" w:space="0" w:color="auto"/>
                <w:left w:val="none" w:sz="0" w:space="0" w:color="auto"/>
                <w:bottom w:val="none" w:sz="0" w:space="0" w:color="auto"/>
                <w:right w:val="none" w:sz="0" w:space="0" w:color="auto"/>
              </w:divBdr>
            </w:div>
          </w:divsChild>
        </w:div>
        <w:div w:id="1105345419">
          <w:marLeft w:val="0"/>
          <w:marRight w:val="0"/>
          <w:marTop w:val="0"/>
          <w:marBottom w:val="150"/>
          <w:divBdr>
            <w:top w:val="none" w:sz="0" w:space="0" w:color="auto"/>
            <w:left w:val="none" w:sz="0" w:space="0" w:color="auto"/>
            <w:bottom w:val="none" w:sz="0" w:space="0" w:color="auto"/>
            <w:right w:val="none" w:sz="0" w:space="0" w:color="auto"/>
          </w:divBdr>
          <w:divsChild>
            <w:div w:id="14157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9462">
      <w:bodyDiv w:val="1"/>
      <w:marLeft w:val="0"/>
      <w:marRight w:val="0"/>
      <w:marTop w:val="0"/>
      <w:marBottom w:val="0"/>
      <w:divBdr>
        <w:top w:val="none" w:sz="0" w:space="0" w:color="auto"/>
        <w:left w:val="none" w:sz="0" w:space="0" w:color="auto"/>
        <w:bottom w:val="none" w:sz="0" w:space="0" w:color="auto"/>
        <w:right w:val="none" w:sz="0" w:space="0" w:color="auto"/>
      </w:divBdr>
    </w:div>
    <w:div w:id="2023972289">
      <w:bodyDiv w:val="1"/>
      <w:marLeft w:val="0"/>
      <w:marRight w:val="0"/>
      <w:marTop w:val="0"/>
      <w:marBottom w:val="0"/>
      <w:divBdr>
        <w:top w:val="none" w:sz="0" w:space="0" w:color="auto"/>
        <w:left w:val="none" w:sz="0" w:space="0" w:color="auto"/>
        <w:bottom w:val="none" w:sz="0" w:space="0" w:color="auto"/>
        <w:right w:val="none" w:sz="0" w:space="0" w:color="auto"/>
      </w:divBdr>
    </w:div>
    <w:div w:id="2114009577">
      <w:bodyDiv w:val="1"/>
      <w:marLeft w:val="0"/>
      <w:marRight w:val="0"/>
      <w:marTop w:val="0"/>
      <w:marBottom w:val="0"/>
      <w:divBdr>
        <w:top w:val="none" w:sz="0" w:space="0" w:color="auto"/>
        <w:left w:val="none" w:sz="0" w:space="0" w:color="auto"/>
        <w:bottom w:val="none" w:sz="0" w:space="0" w:color="auto"/>
        <w:right w:val="none" w:sz="0" w:space="0" w:color="auto"/>
      </w:divBdr>
      <w:divsChild>
        <w:div w:id="1458834842">
          <w:marLeft w:val="0"/>
          <w:marRight w:val="0"/>
          <w:marTop w:val="0"/>
          <w:marBottom w:val="0"/>
          <w:divBdr>
            <w:top w:val="none" w:sz="0" w:space="0" w:color="auto"/>
            <w:left w:val="none" w:sz="0" w:space="0" w:color="auto"/>
            <w:bottom w:val="none" w:sz="0" w:space="0" w:color="auto"/>
            <w:right w:val="none" w:sz="0" w:space="0" w:color="auto"/>
          </w:divBdr>
          <w:divsChild>
            <w:div w:id="502207558">
              <w:marLeft w:val="0"/>
              <w:marRight w:val="0"/>
              <w:marTop w:val="0"/>
              <w:marBottom w:val="0"/>
              <w:divBdr>
                <w:top w:val="none" w:sz="0" w:space="0" w:color="auto"/>
                <w:left w:val="none" w:sz="0" w:space="0" w:color="auto"/>
                <w:bottom w:val="none" w:sz="0" w:space="0" w:color="auto"/>
                <w:right w:val="none" w:sz="0" w:space="0" w:color="auto"/>
              </w:divBdr>
            </w:div>
          </w:divsChild>
        </w:div>
        <w:div w:id="2124614067">
          <w:marLeft w:val="0"/>
          <w:marRight w:val="0"/>
          <w:marTop w:val="0"/>
          <w:marBottom w:val="0"/>
          <w:divBdr>
            <w:top w:val="none" w:sz="0" w:space="0" w:color="auto"/>
            <w:left w:val="none" w:sz="0" w:space="0" w:color="auto"/>
            <w:bottom w:val="none" w:sz="0" w:space="0" w:color="auto"/>
            <w:right w:val="none" w:sz="0" w:space="0" w:color="auto"/>
          </w:divBdr>
          <w:divsChild>
            <w:div w:id="1764446891">
              <w:marLeft w:val="0"/>
              <w:marRight w:val="0"/>
              <w:marTop w:val="0"/>
              <w:marBottom w:val="0"/>
              <w:divBdr>
                <w:top w:val="none" w:sz="0" w:space="0" w:color="auto"/>
                <w:left w:val="none" w:sz="0" w:space="0" w:color="auto"/>
                <w:bottom w:val="none" w:sz="0" w:space="0" w:color="auto"/>
                <w:right w:val="none" w:sz="0" w:space="0" w:color="auto"/>
              </w:divBdr>
            </w:div>
          </w:divsChild>
        </w:div>
        <w:div w:id="180167329">
          <w:marLeft w:val="0"/>
          <w:marRight w:val="0"/>
          <w:marTop w:val="0"/>
          <w:marBottom w:val="0"/>
          <w:divBdr>
            <w:top w:val="none" w:sz="0" w:space="0" w:color="auto"/>
            <w:left w:val="none" w:sz="0" w:space="0" w:color="auto"/>
            <w:bottom w:val="none" w:sz="0" w:space="0" w:color="auto"/>
            <w:right w:val="none" w:sz="0" w:space="0" w:color="auto"/>
          </w:divBdr>
          <w:divsChild>
            <w:div w:id="714740127">
              <w:marLeft w:val="0"/>
              <w:marRight w:val="0"/>
              <w:marTop w:val="0"/>
              <w:marBottom w:val="0"/>
              <w:divBdr>
                <w:top w:val="none" w:sz="0" w:space="0" w:color="auto"/>
                <w:left w:val="none" w:sz="0" w:space="0" w:color="auto"/>
                <w:bottom w:val="none" w:sz="0" w:space="0" w:color="auto"/>
                <w:right w:val="none" w:sz="0" w:space="0" w:color="auto"/>
              </w:divBdr>
            </w:div>
          </w:divsChild>
        </w:div>
        <w:div w:id="1350134878">
          <w:marLeft w:val="0"/>
          <w:marRight w:val="0"/>
          <w:marTop w:val="0"/>
          <w:marBottom w:val="0"/>
          <w:divBdr>
            <w:top w:val="none" w:sz="0" w:space="0" w:color="auto"/>
            <w:left w:val="none" w:sz="0" w:space="0" w:color="auto"/>
            <w:bottom w:val="none" w:sz="0" w:space="0" w:color="auto"/>
            <w:right w:val="none" w:sz="0" w:space="0" w:color="auto"/>
          </w:divBdr>
          <w:divsChild>
            <w:div w:id="2566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911B922-8D5D-4452-8A48-306731293B9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29789E3-84EC-43AD-8186-C0C426B23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19</Pages>
  <Words>5674</Words>
  <Characters>31210</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Sarmiento</cp:lastModifiedBy>
  <cp:revision>3</cp:revision>
  <dcterms:created xsi:type="dcterms:W3CDTF">2021-02-25T23:29:00Z</dcterms:created>
  <dcterms:modified xsi:type="dcterms:W3CDTF">2021-03-01T14:28:00Z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