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41FA6" w14:textId="77777777" w:rsidR="0026186C" w:rsidRPr="000C0F96" w:rsidRDefault="0026186C" w:rsidP="0026186C">
      <w:pPr>
        <w:jc w:val="right"/>
        <w:rPr>
          <w:rFonts w:ascii="Arial" w:hAnsi="Arial" w:cs="Arial"/>
          <w:b/>
          <w:color w:val="000000" w:themeColor="text1"/>
          <w:sz w:val="16"/>
          <w:szCs w:val="16"/>
          <w:lang w:val="es-ES" w:eastAsia="es-ES"/>
        </w:rPr>
      </w:pPr>
      <w:bookmarkStart w:id="0" w:name="_Hlk28946138"/>
      <w:bookmarkStart w:id="1" w:name="_Hlk29548183"/>
      <w:bookmarkStart w:id="2" w:name="_Hlk63941861"/>
    </w:p>
    <w:p w14:paraId="42A1590A" w14:textId="79334467" w:rsidR="0026186C" w:rsidRPr="000C0F96" w:rsidRDefault="0026186C" w:rsidP="0026186C">
      <w:pPr>
        <w:jc w:val="right"/>
        <w:rPr>
          <w:rFonts w:ascii="Arial" w:hAnsi="Arial" w:cs="Arial"/>
          <w:b/>
          <w:color w:val="000000" w:themeColor="text1"/>
          <w:sz w:val="16"/>
          <w:szCs w:val="16"/>
          <w:lang w:val="es-ES" w:eastAsia="es-ES"/>
        </w:rPr>
      </w:pPr>
      <w:r w:rsidRPr="000C0F96">
        <w:rPr>
          <w:rFonts w:ascii="Arial" w:hAnsi="Arial" w:cs="Arial"/>
          <w:b/>
          <w:color w:val="000000" w:themeColor="text1"/>
          <w:sz w:val="16"/>
          <w:szCs w:val="16"/>
          <w:lang w:val="es-ES" w:eastAsia="es-ES"/>
        </w:rPr>
        <w:t>CCE-DES-FM-17</w:t>
      </w:r>
    </w:p>
    <w:p w14:paraId="13EBEE08" w14:textId="77777777" w:rsidR="00E20ED6" w:rsidRPr="000C0F96" w:rsidRDefault="00E20ED6" w:rsidP="008C487C">
      <w:pPr>
        <w:jc w:val="right"/>
        <w:rPr>
          <w:rFonts w:ascii="Arial" w:hAnsi="Arial" w:cs="Arial"/>
          <w:b/>
          <w:color w:val="000000" w:themeColor="text1"/>
          <w:sz w:val="16"/>
          <w:szCs w:val="16"/>
          <w:lang w:val="es-ES" w:eastAsia="es-ES"/>
        </w:rPr>
      </w:pPr>
      <w:r w:rsidRPr="000C0F96">
        <w:rPr>
          <w:rFonts w:ascii="Arial" w:hAnsi="Arial" w:cs="Arial"/>
          <w:b/>
          <w:color w:val="000000" w:themeColor="text1"/>
          <w:sz w:val="16"/>
          <w:szCs w:val="16"/>
          <w:lang w:val="es-ES" w:eastAsia="es-ES"/>
        </w:rPr>
        <w:t xml:space="preserve"> </w:t>
      </w:r>
    </w:p>
    <w:bookmarkEnd w:id="0"/>
    <w:bookmarkEnd w:id="1"/>
    <w:p w14:paraId="0FDB7EA6" w14:textId="77777777" w:rsidR="00280918" w:rsidRPr="000C0F96" w:rsidRDefault="00280918" w:rsidP="00280918">
      <w:pPr>
        <w:jc w:val="both"/>
        <w:rPr>
          <w:rFonts w:ascii="Arial" w:eastAsia="Calibri" w:hAnsi="Arial" w:cs="Arial"/>
          <w:b/>
          <w:color w:val="000000" w:themeColor="text1"/>
          <w:sz w:val="16"/>
          <w:szCs w:val="16"/>
          <w:lang w:val="es-ES"/>
        </w:rPr>
      </w:pPr>
    </w:p>
    <w:p w14:paraId="50A73C50" w14:textId="5F0112DC" w:rsidR="00280918" w:rsidRPr="000C0F96" w:rsidRDefault="000C0F96" w:rsidP="00280918">
      <w:pPr>
        <w:jc w:val="both"/>
        <w:rPr>
          <w:rFonts w:ascii="Arial" w:eastAsia="Calibri" w:hAnsi="Arial" w:cs="Arial"/>
          <w:b/>
          <w:bCs/>
          <w:color w:val="000000" w:themeColor="text1"/>
          <w:sz w:val="22"/>
          <w:lang w:val="es-ES"/>
        </w:rPr>
      </w:pPr>
      <w:r w:rsidRPr="000C0F96">
        <w:rPr>
          <w:rFonts w:ascii="Arial" w:eastAsia="Calibri" w:hAnsi="Arial" w:cs="Arial"/>
          <w:b/>
          <w:bCs/>
          <w:color w:val="000000" w:themeColor="text1"/>
          <w:sz w:val="22"/>
          <w:lang w:val="es-ES"/>
        </w:rPr>
        <w:t>ACCESO A DOCUMENTACIÓN PÚBLICA – Derecho fundamental – Transparencia – Información contractual</w:t>
      </w:r>
    </w:p>
    <w:p w14:paraId="707DFA7A" w14:textId="77777777" w:rsidR="00280918" w:rsidRPr="000C0F96" w:rsidRDefault="00280918" w:rsidP="00280918">
      <w:pPr>
        <w:jc w:val="both"/>
        <w:rPr>
          <w:rFonts w:ascii="Arial" w:eastAsia="Calibri" w:hAnsi="Arial" w:cs="Arial"/>
          <w:bCs/>
          <w:color w:val="000000" w:themeColor="text1"/>
          <w:sz w:val="21"/>
          <w:szCs w:val="21"/>
          <w:lang w:val="es-ES"/>
        </w:rPr>
      </w:pPr>
    </w:p>
    <w:p w14:paraId="2EFCDB73" w14:textId="6C044514" w:rsidR="00775F58" w:rsidRDefault="00E05F9B" w:rsidP="0026186C">
      <w:pPr>
        <w:jc w:val="both"/>
        <w:rPr>
          <w:rFonts w:ascii="Arial" w:eastAsia="Calibri" w:hAnsi="Arial" w:cs="Arial"/>
          <w:sz w:val="20"/>
          <w:szCs w:val="20"/>
          <w:lang w:val="es-ES"/>
        </w:rPr>
      </w:pPr>
      <w:r w:rsidRPr="00E05F9B">
        <w:rPr>
          <w:rFonts w:ascii="Arial" w:eastAsia="Calibri" w:hAnsi="Arial" w:cs="Arial"/>
          <w:sz w:val="20"/>
          <w:szCs w:val="20"/>
          <w:lang w:val="es-ES"/>
        </w:rPr>
        <w:t>Por otro lado, el artículo 74 de la Constitución Política establece que «Todas las personas tienen derecho a acceder a los documentos públicos salvo los casos que establezca la ley». Esta disposición constitucional consagra el derecho fundamental de acceso a la información y a la documentación pública, salvo causal de reserva expresamente prevista en la Ley. Este derecho fue regulado en la Ley 1712 de 2014, conocida como Ley de Transparencia y del Derecho de Acceso a la Información Pública Nacional. Dicha Ley establece el deber de divulgación proactiva de la información e indica que las entidades estatales deben publicar su información contractual –artículos 9, literales c, e y f; 10 y 11, literal g–. Tales artículos son reglamentados por los artículos 2.1.1.2.1.5 a 2.1.1.2.1.10 del Decreto 1081 de 2015, los cuales, en concordancia con artículo 3 de la Ley 1150 de 2007, aluden al deber de las entidades estatales de publicar su información contractual en el SECOP.</w:t>
      </w:r>
      <w:r w:rsidRPr="00E05F9B">
        <w:rPr>
          <w:rFonts w:ascii="Arial" w:eastAsia="Calibri" w:hAnsi="Arial" w:cs="Arial"/>
          <w:sz w:val="20"/>
          <w:szCs w:val="20"/>
          <w:lang w:val="es-ES"/>
        </w:rPr>
        <w:tab/>
      </w:r>
    </w:p>
    <w:p w14:paraId="7ADB1137" w14:textId="77777777" w:rsidR="00E05F9B" w:rsidRPr="000C0F96" w:rsidRDefault="00E05F9B" w:rsidP="0026186C">
      <w:pPr>
        <w:jc w:val="both"/>
        <w:rPr>
          <w:rFonts w:ascii="Arial" w:eastAsia="Arial" w:hAnsi="Arial" w:cs="Arial"/>
          <w:color w:val="000000" w:themeColor="text1"/>
          <w:sz w:val="20"/>
          <w:szCs w:val="20"/>
          <w:lang w:val="es-ES"/>
        </w:rPr>
      </w:pPr>
    </w:p>
    <w:p w14:paraId="29974B8A" w14:textId="1D381679" w:rsidR="00280918" w:rsidRPr="000C0F96" w:rsidRDefault="000C0F96" w:rsidP="00280918">
      <w:pPr>
        <w:jc w:val="both"/>
        <w:rPr>
          <w:rFonts w:ascii="Arial" w:hAnsi="Arial" w:cs="Arial"/>
          <w:b/>
          <w:bCs/>
          <w:color w:val="000000" w:themeColor="text1"/>
          <w:sz w:val="22"/>
          <w:lang w:val="es-ES"/>
        </w:rPr>
      </w:pPr>
      <w:r w:rsidRPr="000C0F96">
        <w:rPr>
          <w:rFonts w:ascii="Arial" w:hAnsi="Arial" w:cs="Arial"/>
          <w:b/>
          <w:bCs/>
          <w:color w:val="000000" w:themeColor="text1"/>
          <w:sz w:val="22"/>
          <w:lang w:val="es-ES"/>
        </w:rPr>
        <w:t xml:space="preserve">SECOP – Deber de publicación – </w:t>
      </w:r>
      <w:r w:rsidR="00A8311F">
        <w:rPr>
          <w:rFonts w:ascii="Arial" w:hAnsi="Arial" w:cs="Arial"/>
          <w:b/>
          <w:bCs/>
          <w:color w:val="000000" w:themeColor="text1"/>
          <w:sz w:val="22"/>
          <w:lang w:val="es-ES"/>
        </w:rPr>
        <w:t xml:space="preserve">Alcance – </w:t>
      </w:r>
      <w:bookmarkStart w:id="3" w:name="_GoBack"/>
      <w:bookmarkEnd w:id="3"/>
      <w:r w:rsidRPr="000C0F96">
        <w:rPr>
          <w:rFonts w:ascii="Arial" w:hAnsi="Arial" w:cs="Arial"/>
          <w:b/>
          <w:bCs/>
          <w:color w:val="000000" w:themeColor="text1"/>
          <w:sz w:val="22"/>
          <w:lang w:val="es-ES"/>
        </w:rPr>
        <w:t>Información contractual</w:t>
      </w:r>
    </w:p>
    <w:p w14:paraId="5A81DC87" w14:textId="77777777" w:rsidR="000C0F96" w:rsidRPr="000C0F96" w:rsidRDefault="000C0F96" w:rsidP="00280918">
      <w:pPr>
        <w:jc w:val="both"/>
        <w:rPr>
          <w:rFonts w:ascii="Arial" w:hAnsi="Arial" w:cs="Arial"/>
          <w:b/>
          <w:bCs/>
          <w:color w:val="000000" w:themeColor="text1"/>
          <w:sz w:val="22"/>
          <w:lang w:val="es-ES"/>
        </w:rPr>
      </w:pPr>
    </w:p>
    <w:p w14:paraId="4C4CB1E4" w14:textId="17242C3A" w:rsidR="00775F58" w:rsidRDefault="003B248A" w:rsidP="0026186C">
      <w:pPr>
        <w:jc w:val="both"/>
        <w:rPr>
          <w:rFonts w:ascii="Arial" w:eastAsia="Calibri" w:hAnsi="Arial" w:cs="Arial"/>
          <w:color w:val="000000" w:themeColor="text1"/>
          <w:sz w:val="20"/>
          <w:szCs w:val="20"/>
          <w:lang w:val="es-ES"/>
        </w:rPr>
      </w:pPr>
      <w:r w:rsidRPr="003B248A">
        <w:rPr>
          <w:rFonts w:ascii="Arial" w:eastAsia="Calibri" w:hAnsi="Arial" w:cs="Arial"/>
          <w:color w:val="000000" w:themeColor="text1"/>
          <w:sz w:val="20"/>
          <w:szCs w:val="20"/>
          <w:lang w:val="es-ES"/>
        </w:rPr>
        <w:t>De todos modos, el análisis del deber de publicidad no se puede limitar al estudio del Decreto 1082 de 2015 y el artículo 3 de la ley 1150 de 2007, pues tanto la Ley 1712 de 2014 como el Decreto 1081 de 2015, no solo refuerzan y complementan al régimen de contratación estatal en cuanto a la publicidad, sino que lo amplían, para incluir la publicación de los «procedimientos» y la información relativa a la «gestión contractual», sin el condicionamiento de tratarse exclusivamente de los Documentos del Proceso expedidos por la «entidad estatal».</w:t>
      </w:r>
    </w:p>
    <w:p w14:paraId="61C17779" w14:textId="77777777" w:rsidR="003B248A" w:rsidRDefault="003B248A" w:rsidP="0026186C">
      <w:pPr>
        <w:jc w:val="both"/>
        <w:rPr>
          <w:rFonts w:ascii="Arial" w:eastAsia="Calibri" w:hAnsi="Arial" w:cs="Arial"/>
          <w:color w:val="000000" w:themeColor="text1"/>
          <w:sz w:val="20"/>
          <w:szCs w:val="20"/>
          <w:lang w:val="es-ES"/>
        </w:rPr>
      </w:pPr>
    </w:p>
    <w:p w14:paraId="567A649A" w14:textId="77777777" w:rsidR="003B248A" w:rsidRPr="003B248A" w:rsidRDefault="0026186C" w:rsidP="003B248A">
      <w:pPr>
        <w:jc w:val="both"/>
        <w:rPr>
          <w:rFonts w:ascii="Arial" w:eastAsia="Arial" w:hAnsi="Arial" w:cs="Arial"/>
          <w:color w:val="000000" w:themeColor="text1"/>
          <w:sz w:val="20"/>
          <w:szCs w:val="20"/>
          <w:lang w:val="es-ES"/>
        </w:rPr>
      </w:pPr>
      <w:r w:rsidRPr="000C0F96">
        <w:rPr>
          <w:rFonts w:ascii="Arial" w:eastAsia="Arial" w:hAnsi="Arial" w:cs="Arial"/>
          <w:color w:val="000000" w:themeColor="text1"/>
          <w:sz w:val="20"/>
          <w:szCs w:val="20"/>
          <w:lang w:val="es-ES"/>
        </w:rPr>
        <w:t xml:space="preserve">[…] </w:t>
      </w:r>
      <w:r w:rsidR="003B248A" w:rsidRPr="003B248A">
        <w:rPr>
          <w:rFonts w:ascii="Arial" w:eastAsia="Arial" w:hAnsi="Arial" w:cs="Arial"/>
          <w:color w:val="000000" w:themeColor="text1"/>
          <w:sz w:val="20"/>
          <w:szCs w:val="20"/>
          <w:lang w:val="es-ES"/>
        </w:rPr>
        <w:t xml:space="preserve">Por ende, al establecerse la obligación de publicar los «procedimientos» y la «información de la gestión contractual» en el SECOP, se incorpora una visión omnicomprensiva de la actividad contractual que debe publicarse, comoquiera que la noción de procedimiento debe asimilarse a la de </w:t>
      </w:r>
      <w:r w:rsidR="003B248A" w:rsidRPr="003B248A">
        <w:rPr>
          <w:rFonts w:ascii="Arial" w:eastAsia="Arial" w:hAnsi="Arial" w:cs="Arial"/>
          <w:i/>
          <w:iCs/>
          <w:color w:val="000000" w:themeColor="text1"/>
          <w:sz w:val="20"/>
          <w:szCs w:val="20"/>
          <w:lang w:val="es-ES"/>
        </w:rPr>
        <w:t>Proceso de Contratación,</w:t>
      </w:r>
      <w:r w:rsidR="003B248A" w:rsidRPr="003B248A">
        <w:rPr>
          <w:rFonts w:ascii="Arial" w:eastAsia="Arial" w:hAnsi="Arial" w:cs="Arial"/>
          <w:color w:val="000000" w:themeColor="text1"/>
          <w:sz w:val="20"/>
          <w:szCs w:val="20"/>
          <w:lang w:val="es-ES"/>
        </w:rPr>
        <w:t xml:space="preserve"> 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p w14:paraId="5BEA41B7" w14:textId="30724BAD" w:rsidR="0026186C" w:rsidRPr="000C0F96" w:rsidRDefault="0026186C" w:rsidP="0026186C">
      <w:pPr>
        <w:jc w:val="both"/>
        <w:rPr>
          <w:rFonts w:ascii="Arial" w:hAnsi="Arial" w:cs="Arial"/>
          <w:color w:val="000000" w:themeColor="text1"/>
          <w:sz w:val="20"/>
          <w:szCs w:val="20"/>
          <w:lang w:val="es-ES"/>
        </w:rPr>
      </w:pPr>
    </w:p>
    <w:p w14:paraId="7BE8EA96" w14:textId="77777777" w:rsidR="009D3D7C" w:rsidRPr="000C0F96" w:rsidRDefault="009D3D7C" w:rsidP="0026186C">
      <w:pPr>
        <w:jc w:val="both"/>
        <w:rPr>
          <w:rFonts w:ascii="Arial" w:eastAsia="Arial" w:hAnsi="Arial" w:cs="Arial"/>
          <w:color w:val="000000" w:themeColor="text1"/>
          <w:sz w:val="20"/>
          <w:szCs w:val="20"/>
          <w:lang w:val="es-ES"/>
        </w:rPr>
      </w:pPr>
    </w:p>
    <w:p w14:paraId="122D6E41" w14:textId="4607560C" w:rsidR="0026186C" w:rsidRPr="000C0F96" w:rsidRDefault="000C0F96" w:rsidP="0026186C">
      <w:pPr>
        <w:pStyle w:val="Sinespaciado"/>
        <w:jc w:val="both"/>
        <w:rPr>
          <w:rFonts w:ascii="Arial" w:hAnsi="Arial" w:cs="Arial"/>
          <w:b/>
          <w:bCs/>
          <w:color w:val="000000" w:themeColor="text1"/>
          <w:sz w:val="22"/>
          <w:lang w:val="es-ES"/>
        </w:rPr>
      </w:pPr>
      <w:r w:rsidRPr="000C0F96">
        <w:rPr>
          <w:rFonts w:ascii="Arial" w:hAnsi="Arial" w:cs="Arial"/>
          <w:b/>
          <w:bCs/>
          <w:color w:val="000000" w:themeColor="text1"/>
          <w:sz w:val="22"/>
          <w:lang w:val="es-ES"/>
        </w:rPr>
        <w:t>DATOS SENSIBLES – Reserva – Excepción – SECOP.</w:t>
      </w:r>
    </w:p>
    <w:p w14:paraId="227CE0C1" w14:textId="77777777" w:rsidR="000C0F96" w:rsidRPr="000C0F96" w:rsidRDefault="000C0F96" w:rsidP="0026186C">
      <w:pPr>
        <w:pStyle w:val="Sinespaciado"/>
        <w:jc w:val="both"/>
        <w:rPr>
          <w:rFonts w:ascii="Arial" w:eastAsia="Arial" w:hAnsi="Arial" w:cs="Arial"/>
          <w:b/>
          <w:bCs/>
          <w:color w:val="000000" w:themeColor="text1"/>
          <w:sz w:val="22"/>
          <w:lang w:val="es-ES"/>
        </w:rPr>
      </w:pPr>
    </w:p>
    <w:p w14:paraId="413EECA7" w14:textId="396D4004" w:rsidR="00775F58" w:rsidRDefault="003B248A" w:rsidP="009D3D7C">
      <w:pPr>
        <w:jc w:val="both"/>
        <w:rPr>
          <w:rFonts w:ascii="Arial" w:eastAsia="Arial" w:hAnsi="Arial" w:cs="Arial"/>
          <w:color w:val="000000" w:themeColor="text1"/>
          <w:sz w:val="20"/>
          <w:szCs w:val="20"/>
          <w:lang w:val="es-ES"/>
        </w:rPr>
      </w:pPr>
      <w:r w:rsidRPr="003B248A">
        <w:rPr>
          <w:rFonts w:ascii="Arial" w:eastAsia="Arial" w:hAnsi="Arial" w:cs="Arial"/>
          <w:color w:val="000000" w:themeColor="text1"/>
          <w:sz w:val="20"/>
          <w:szCs w:val="20"/>
          <w:lang w:val="es-ES"/>
        </w:rPr>
        <w:t>Cuando el documento contractual tenga información sensible, clasificada o reservada, para proteger la información, las autoridades deben abstenerse de publicar en el SECOP la información que tiene protección especial, tal como sucede con el contenido de la hoja de vida que involucre información relacionada con los derechos a la privacidad e intimidad de las personas , situación que podría materializarse en lo descrito en la petición, pues podría suceder que parte información contenida en la hoja de vida del SIGEP o sus anexos  esté relacionada con la intimidad y privacidad del contratista.</w:t>
      </w:r>
    </w:p>
    <w:p w14:paraId="2F3DA701" w14:textId="77777777" w:rsidR="003B248A" w:rsidRDefault="003B248A" w:rsidP="009D3D7C">
      <w:pPr>
        <w:jc w:val="both"/>
        <w:rPr>
          <w:rFonts w:ascii="Arial" w:eastAsia="Arial" w:hAnsi="Arial" w:cs="Arial"/>
          <w:color w:val="000000" w:themeColor="text1"/>
          <w:sz w:val="20"/>
          <w:szCs w:val="20"/>
          <w:lang w:val="es-ES"/>
        </w:rPr>
      </w:pPr>
    </w:p>
    <w:p w14:paraId="314671F7" w14:textId="131E2B2D" w:rsidR="0026186C" w:rsidRPr="00775F58" w:rsidRDefault="00775F58" w:rsidP="0026186C">
      <w:pPr>
        <w:jc w:val="both"/>
        <w:rPr>
          <w:rFonts w:ascii="Arial" w:eastAsia="Arial" w:hAnsi="Arial" w:cs="Arial"/>
          <w:color w:val="000000" w:themeColor="text1"/>
          <w:sz w:val="20"/>
          <w:szCs w:val="20"/>
          <w:lang w:val="es-ES"/>
        </w:rPr>
      </w:pPr>
      <w:r>
        <w:rPr>
          <w:rFonts w:ascii="Arial" w:eastAsia="Arial" w:hAnsi="Arial" w:cs="Arial"/>
          <w:color w:val="000000" w:themeColor="text1"/>
          <w:sz w:val="20"/>
          <w:szCs w:val="20"/>
          <w:lang w:val="es-ES"/>
        </w:rPr>
        <w:t xml:space="preserve">[…] </w:t>
      </w:r>
      <w:r w:rsidR="003B248A" w:rsidRPr="003B248A">
        <w:rPr>
          <w:rFonts w:ascii="Arial" w:eastAsia="Arial" w:hAnsi="Arial" w:cs="Arial"/>
          <w:color w:val="000000" w:themeColor="text1"/>
          <w:sz w:val="20"/>
          <w:szCs w:val="20"/>
          <w:lang w:val="es-ES"/>
        </w:rPr>
        <w:t xml:space="preserve">Sin embargo, de acuerdo con el segundo inciso del artículo 25 de la Ley 1437 de 2011 «La restricción por reserva legal no se extenderá a otras piezas del respectivo expediente o actuación que no estén cubiertas por ella». Por ello, la entidad estatal deberá excluir del documento entregado por el proponente en el procedimiento contractual la información que contenga datos sensibles, clasificados o reservados, para no divulgarla, pero debe publicar las demás piezas de la oferta o los apartados que no gozan de reserva o que no están protegidos por las disposiciones de habeas data. </w:t>
      </w:r>
      <w:r w:rsidR="003B248A" w:rsidRPr="003B248A">
        <w:rPr>
          <w:rFonts w:ascii="Arial" w:eastAsia="Arial" w:hAnsi="Arial" w:cs="Arial"/>
          <w:color w:val="000000" w:themeColor="text1"/>
          <w:sz w:val="20"/>
          <w:szCs w:val="20"/>
          <w:lang w:val="es-ES"/>
        </w:rPr>
        <w:lastRenderedPageBreak/>
        <w:t xml:space="preserve">En consecuencia, la entidad contratante al momento de recibir información sujeta a reserva legal o cuyo contenido involucre datos sensibles, deberá abstenerse de publicarlos en el SECOP y por consiguiente tendrá que incorporarlos en un cuaderno separado en los términos del tercer inciso del artículo 36 del </w:t>
      </w:r>
      <w:r w:rsidR="00D37E05" w:rsidRPr="003B248A">
        <w:rPr>
          <w:rFonts w:ascii="Arial" w:eastAsia="Arial" w:hAnsi="Arial" w:cs="Arial"/>
          <w:color w:val="000000" w:themeColor="text1"/>
          <w:sz w:val="20"/>
          <w:szCs w:val="20"/>
          <w:lang w:val="es-ES"/>
        </w:rPr>
        <w:t>CPACA.</w:t>
      </w:r>
      <w:r w:rsidR="003B248A" w:rsidRPr="003B248A">
        <w:rPr>
          <w:rFonts w:ascii="Arial" w:eastAsia="Arial" w:hAnsi="Arial" w:cs="Arial"/>
          <w:color w:val="000000" w:themeColor="text1"/>
          <w:sz w:val="20"/>
          <w:szCs w:val="20"/>
          <w:lang w:val="es-ES"/>
        </w:rPr>
        <w:t xml:space="preserve">  </w:t>
      </w:r>
    </w:p>
    <w:p w14:paraId="418B6A41" w14:textId="1C781DCD" w:rsidR="007C5FB9" w:rsidRDefault="007C5FB9" w:rsidP="0026186C">
      <w:pPr>
        <w:jc w:val="both"/>
        <w:rPr>
          <w:rFonts w:ascii="Arial" w:eastAsia="Arial" w:hAnsi="Arial" w:cs="Arial"/>
          <w:color w:val="000000" w:themeColor="text1"/>
          <w:sz w:val="22"/>
          <w:lang w:val="es-ES"/>
        </w:rPr>
      </w:pPr>
    </w:p>
    <w:p w14:paraId="3DD9CCEF" w14:textId="77777777" w:rsidR="003B248A" w:rsidRDefault="003B248A" w:rsidP="0026186C">
      <w:pPr>
        <w:spacing w:line="276" w:lineRule="auto"/>
        <w:rPr>
          <w:rFonts w:ascii="Arial" w:eastAsia="Arial" w:hAnsi="Arial" w:cs="Arial"/>
          <w:b/>
          <w:bCs/>
          <w:color w:val="000000" w:themeColor="text1"/>
          <w:sz w:val="22"/>
          <w:lang w:val="es-ES"/>
        </w:rPr>
      </w:pPr>
    </w:p>
    <w:p w14:paraId="25F8A23D" w14:textId="2D916149" w:rsidR="0026186C" w:rsidRPr="000C0F96" w:rsidRDefault="00D37E05" w:rsidP="0026186C">
      <w:pPr>
        <w:spacing w:line="276" w:lineRule="auto"/>
        <w:rPr>
          <w:rFonts w:ascii="Arial" w:eastAsia="Arial" w:hAnsi="Arial" w:cs="Arial"/>
          <w:color w:val="000000" w:themeColor="text1"/>
          <w:sz w:val="22"/>
          <w:lang w:val="es-ES"/>
        </w:rPr>
      </w:pPr>
      <w:r w:rsidRPr="00D37E05">
        <w:rPr>
          <w:rFonts w:ascii="Arial" w:eastAsia="Arial" w:hAnsi="Arial" w:cs="Arial"/>
          <w:color w:val="000000" w:themeColor="text1"/>
          <w:sz w:val="22"/>
          <w:lang w:val="es-ES"/>
        </w:rPr>
        <w:t>B</w:t>
      </w:r>
      <w:r>
        <w:rPr>
          <w:rFonts w:ascii="Arial" w:eastAsia="Arial" w:hAnsi="Arial" w:cs="Arial"/>
          <w:color w:val="000000" w:themeColor="text1"/>
          <w:sz w:val="22"/>
          <w:lang w:val="es-ES"/>
        </w:rPr>
        <w:t xml:space="preserve">ogotá D.C., </w:t>
      </w:r>
      <w:r w:rsidR="003B248A" w:rsidRPr="00D37E05">
        <w:rPr>
          <w:rFonts w:ascii="Arial" w:eastAsia="Arial" w:hAnsi="Arial" w:cs="Arial"/>
          <w:b/>
          <w:bCs/>
          <w:color w:val="000000" w:themeColor="text1"/>
          <w:sz w:val="22"/>
          <w:lang w:val="es-ES"/>
        </w:rPr>
        <w:t>08/</w:t>
      </w:r>
      <w:r w:rsidR="003B248A">
        <w:rPr>
          <w:rFonts w:ascii="Arial" w:eastAsia="Arial" w:hAnsi="Arial" w:cs="Arial"/>
          <w:b/>
          <w:bCs/>
          <w:color w:val="000000" w:themeColor="text1"/>
          <w:sz w:val="22"/>
          <w:lang w:val="es-ES"/>
        </w:rPr>
        <w:t>03/2021</w:t>
      </w:r>
    </w:p>
    <w:p w14:paraId="4E74C352" w14:textId="77777777" w:rsidR="0026186C" w:rsidRPr="000C0F96" w:rsidRDefault="0026186C" w:rsidP="0026186C">
      <w:pPr>
        <w:spacing w:line="276" w:lineRule="auto"/>
        <w:rPr>
          <w:rFonts w:ascii="Arial" w:eastAsia="Arial" w:hAnsi="Arial" w:cs="Arial"/>
          <w:color w:val="000000" w:themeColor="text1"/>
          <w:sz w:val="22"/>
          <w:lang w:val="es-ES"/>
        </w:rPr>
      </w:pPr>
    </w:p>
    <w:p w14:paraId="7075ED5D" w14:textId="40780A41" w:rsidR="0026186C" w:rsidRPr="000C0F96" w:rsidRDefault="0026186C" w:rsidP="0026186C">
      <w:pPr>
        <w:jc w:val="right"/>
        <w:rPr>
          <w:rFonts w:ascii="Arial" w:eastAsia="Arial" w:hAnsi="Arial" w:cs="Arial"/>
          <w:color w:val="000000" w:themeColor="text1"/>
          <w:sz w:val="22"/>
          <w:lang w:val="es-ES"/>
        </w:rPr>
      </w:pPr>
      <w:r w:rsidRPr="000C0F96">
        <w:rPr>
          <w:rFonts w:ascii="Arial" w:eastAsia="Arial" w:hAnsi="Arial" w:cs="Arial"/>
          <w:b/>
          <w:bCs/>
          <w:color w:val="000000" w:themeColor="text1"/>
          <w:sz w:val="22"/>
          <w:lang w:val="es-ES"/>
        </w:rPr>
        <w:t xml:space="preserve">N° Radicado: </w:t>
      </w:r>
      <w:r w:rsidR="00D37E05" w:rsidRPr="00D37E05">
        <w:rPr>
          <w:rFonts w:ascii="Arial" w:eastAsia="Arial" w:hAnsi="Arial" w:cs="Arial"/>
          <w:b/>
          <w:bCs/>
          <w:color w:val="000000" w:themeColor="text1"/>
          <w:sz w:val="22"/>
          <w:lang w:val="es-ES"/>
        </w:rPr>
        <w:t>RS20210308001696</w:t>
      </w:r>
    </w:p>
    <w:p w14:paraId="771FFB0C" w14:textId="77777777" w:rsidR="0026186C" w:rsidRPr="000C0F96" w:rsidRDefault="0026186C" w:rsidP="0026186C">
      <w:pPr>
        <w:rPr>
          <w:rFonts w:ascii="Arial" w:eastAsia="Arial" w:hAnsi="Arial" w:cs="Arial"/>
          <w:color w:val="000000" w:themeColor="text1"/>
          <w:sz w:val="22"/>
          <w:lang w:val="es-ES"/>
        </w:rPr>
      </w:pPr>
    </w:p>
    <w:p w14:paraId="20EEFBB7" w14:textId="77777777" w:rsidR="0026186C" w:rsidRPr="000C0F96" w:rsidRDefault="0026186C" w:rsidP="0026186C">
      <w:pPr>
        <w:rPr>
          <w:rFonts w:ascii="Arial" w:eastAsia="Arial" w:hAnsi="Arial" w:cs="Arial"/>
          <w:color w:val="000000" w:themeColor="text1"/>
          <w:sz w:val="22"/>
          <w:lang w:val="es-ES"/>
        </w:rPr>
      </w:pPr>
    </w:p>
    <w:p w14:paraId="228157BB" w14:textId="77777777" w:rsidR="0033366B" w:rsidRPr="000C0F96" w:rsidRDefault="0033366B" w:rsidP="0033366B">
      <w:pPr>
        <w:rPr>
          <w:rFonts w:ascii="Arial" w:eastAsia="Arial" w:hAnsi="Arial" w:cs="Arial"/>
          <w:color w:val="000000" w:themeColor="text1"/>
          <w:sz w:val="22"/>
          <w:lang w:val="es-ES"/>
        </w:rPr>
      </w:pPr>
      <w:bookmarkStart w:id="4" w:name="_Hlk66098580"/>
      <w:r w:rsidRPr="000C0F96">
        <w:rPr>
          <w:rFonts w:ascii="Arial" w:eastAsia="Arial" w:hAnsi="Arial" w:cs="Arial"/>
          <w:color w:val="000000" w:themeColor="text1"/>
          <w:sz w:val="22"/>
          <w:lang w:val="es-ES"/>
        </w:rPr>
        <w:t>Señor</w:t>
      </w:r>
    </w:p>
    <w:p w14:paraId="570F650B" w14:textId="77777777" w:rsidR="0033366B" w:rsidRPr="000C0F96" w:rsidRDefault="0033366B" w:rsidP="0033366B">
      <w:pPr>
        <w:rPr>
          <w:lang w:val="es-ES"/>
        </w:rPr>
      </w:pPr>
      <w:r w:rsidRPr="000C0F96">
        <w:rPr>
          <w:rFonts w:ascii="Arial" w:eastAsia="Arial" w:hAnsi="Arial" w:cs="Arial"/>
          <w:b/>
          <w:bCs/>
          <w:color w:val="000000" w:themeColor="text1"/>
          <w:sz w:val="22"/>
          <w:lang w:val="es-ES"/>
        </w:rPr>
        <w:t xml:space="preserve">Nelson Ferney Romero Segura </w:t>
      </w:r>
    </w:p>
    <w:p w14:paraId="04A4351C" w14:textId="77777777" w:rsidR="0033366B" w:rsidRPr="000C0F96" w:rsidRDefault="0033366B" w:rsidP="0033366B">
      <w:pPr>
        <w:rPr>
          <w:rFonts w:ascii="Arial" w:eastAsia="Arial" w:hAnsi="Arial" w:cs="Arial"/>
          <w:color w:val="000000" w:themeColor="text1"/>
          <w:sz w:val="22"/>
          <w:lang w:val="es-ES"/>
        </w:rPr>
      </w:pPr>
      <w:r w:rsidRPr="000C0F96">
        <w:rPr>
          <w:rFonts w:ascii="Arial" w:eastAsia="Arial" w:hAnsi="Arial" w:cs="Arial"/>
          <w:color w:val="000000" w:themeColor="text1"/>
          <w:sz w:val="22"/>
          <w:lang w:val="es-ES"/>
        </w:rPr>
        <w:t>Villavicencio, Meta</w:t>
      </w:r>
    </w:p>
    <w:p w14:paraId="7EA8D65E" w14:textId="77777777" w:rsidR="0026186C" w:rsidRPr="000C0F96" w:rsidRDefault="0026186C" w:rsidP="0026186C">
      <w:pPr>
        <w:rPr>
          <w:rFonts w:ascii="Arial" w:eastAsia="Arial" w:hAnsi="Arial" w:cs="Arial"/>
          <w:color w:val="000000" w:themeColor="text1"/>
          <w:sz w:val="22"/>
          <w:lang w:val="es-ES"/>
        </w:rPr>
      </w:pPr>
    </w:p>
    <w:p w14:paraId="2E34C691" w14:textId="77777777" w:rsidR="0026186C" w:rsidRPr="000C0F96" w:rsidRDefault="0026186C" w:rsidP="0026186C">
      <w:pPr>
        <w:rPr>
          <w:rFonts w:ascii="Arial" w:eastAsia="Arial" w:hAnsi="Arial" w:cs="Arial"/>
          <w:color w:val="000000" w:themeColor="text1"/>
          <w:sz w:val="22"/>
          <w:lang w:val="es-ES"/>
        </w:rPr>
      </w:pPr>
    </w:p>
    <w:p w14:paraId="39B26A3D" w14:textId="1E306BD9" w:rsidR="0026186C" w:rsidRPr="000C0F96" w:rsidRDefault="0026186C" w:rsidP="0026186C">
      <w:pPr>
        <w:ind w:firstLine="2694"/>
        <w:jc w:val="both"/>
        <w:rPr>
          <w:rFonts w:ascii="Arial" w:eastAsia="Arial" w:hAnsi="Arial" w:cs="Arial"/>
          <w:color w:val="000000" w:themeColor="text1"/>
          <w:sz w:val="22"/>
          <w:lang w:val="es-ES"/>
        </w:rPr>
      </w:pPr>
      <w:r w:rsidRPr="000C0F96">
        <w:rPr>
          <w:rFonts w:ascii="Arial" w:eastAsia="Arial" w:hAnsi="Arial" w:cs="Arial"/>
          <w:b/>
          <w:bCs/>
          <w:color w:val="000000" w:themeColor="text1"/>
          <w:sz w:val="22"/>
          <w:lang w:val="es-ES"/>
        </w:rPr>
        <w:t>Concepto C</w:t>
      </w:r>
      <w:r w:rsidR="00B40109">
        <w:rPr>
          <w:rFonts w:ascii="Arial" w:eastAsia="Arial" w:hAnsi="Arial" w:cs="Arial"/>
          <w:b/>
          <w:bCs/>
          <w:color w:val="000000" w:themeColor="text1"/>
          <w:sz w:val="22"/>
          <w:lang w:val="es-ES"/>
        </w:rPr>
        <w:t xml:space="preserve"> – </w:t>
      </w:r>
      <w:r w:rsidR="0033366B" w:rsidRPr="000C0F96">
        <w:rPr>
          <w:rFonts w:ascii="Arial" w:eastAsia="Arial" w:hAnsi="Arial" w:cs="Arial"/>
          <w:b/>
          <w:bCs/>
          <w:color w:val="000000" w:themeColor="text1"/>
          <w:sz w:val="22"/>
          <w:lang w:val="es-ES"/>
        </w:rPr>
        <w:t>048 de 2021</w:t>
      </w:r>
    </w:p>
    <w:p w14:paraId="0CA27D88" w14:textId="77777777" w:rsidR="0026186C" w:rsidRPr="000C0F96" w:rsidRDefault="0026186C" w:rsidP="0026186C">
      <w:pPr>
        <w:rPr>
          <w:rFonts w:ascii="Arial" w:eastAsia="Arial" w:hAnsi="Arial" w:cs="Arial"/>
          <w:color w:val="000000" w:themeColor="text1"/>
          <w:sz w:val="22"/>
          <w:lang w:val="es-ES"/>
        </w:rPr>
      </w:pPr>
    </w:p>
    <w:tbl>
      <w:tblPr>
        <w:tblStyle w:val="Tablaconcuadrcula"/>
        <w:tblW w:w="0" w:type="auto"/>
        <w:tblLayout w:type="fixed"/>
        <w:tblLook w:val="04A0" w:firstRow="1" w:lastRow="0" w:firstColumn="1" w:lastColumn="0" w:noHBand="0" w:noVBand="1"/>
      </w:tblPr>
      <w:tblGrid>
        <w:gridCol w:w="2115"/>
        <w:gridCol w:w="6795"/>
      </w:tblGrid>
      <w:tr w:rsidR="0026186C" w:rsidRPr="000C0F96" w14:paraId="77C30B85" w14:textId="77777777" w:rsidTr="00671F43">
        <w:trPr>
          <w:trHeight w:val="990"/>
        </w:trPr>
        <w:tc>
          <w:tcPr>
            <w:tcW w:w="2115" w:type="dxa"/>
            <w:tcBorders>
              <w:top w:val="nil"/>
              <w:left w:val="nil"/>
              <w:bottom w:val="nil"/>
              <w:right w:val="nil"/>
            </w:tcBorders>
          </w:tcPr>
          <w:p w14:paraId="50B675F0" w14:textId="77777777" w:rsidR="0026186C" w:rsidRPr="000C0F96" w:rsidRDefault="0026186C" w:rsidP="00671F43">
            <w:pPr>
              <w:rPr>
                <w:rFonts w:ascii="Arial" w:eastAsia="Arial" w:hAnsi="Arial" w:cs="Arial"/>
                <w:color w:val="000000" w:themeColor="text1"/>
                <w:lang w:val="es-ES"/>
              </w:rPr>
            </w:pPr>
            <w:r w:rsidRPr="000C0F96">
              <w:rPr>
                <w:rFonts w:ascii="Arial" w:eastAsia="Arial" w:hAnsi="Arial" w:cs="Arial"/>
                <w:b/>
                <w:bCs/>
                <w:color w:val="000000" w:themeColor="text1"/>
                <w:lang w:val="es-ES"/>
              </w:rPr>
              <w:t>Temas:</w:t>
            </w:r>
            <w:r w:rsidRPr="000C0F96">
              <w:rPr>
                <w:rFonts w:ascii="Arial" w:eastAsia="Arial" w:hAnsi="Arial" w:cs="Arial"/>
                <w:color w:val="000000" w:themeColor="text1"/>
                <w:lang w:val="es-ES"/>
              </w:rPr>
              <w:t xml:space="preserve">           </w:t>
            </w:r>
          </w:p>
          <w:p w14:paraId="02D7667C" w14:textId="77777777" w:rsidR="0026186C" w:rsidRPr="000C0F96" w:rsidRDefault="0026186C" w:rsidP="00671F43">
            <w:pPr>
              <w:rPr>
                <w:rFonts w:ascii="Arial" w:eastAsia="Arial" w:hAnsi="Arial" w:cs="Arial"/>
                <w:color w:val="000000" w:themeColor="text1"/>
                <w:lang w:val="es-ES"/>
              </w:rPr>
            </w:pPr>
            <w:r w:rsidRPr="000C0F96">
              <w:rPr>
                <w:rFonts w:ascii="Arial" w:eastAsia="Arial" w:hAnsi="Arial" w:cs="Arial"/>
                <w:color w:val="000000" w:themeColor="text1"/>
                <w:lang w:val="es-ES"/>
              </w:rPr>
              <w:t xml:space="preserve">                           </w:t>
            </w:r>
          </w:p>
        </w:tc>
        <w:tc>
          <w:tcPr>
            <w:tcW w:w="6795" w:type="dxa"/>
            <w:tcBorders>
              <w:top w:val="nil"/>
              <w:left w:val="nil"/>
              <w:bottom w:val="nil"/>
              <w:right w:val="nil"/>
            </w:tcBorders>
          </w:tcPr>
          <w:p w14:paraId="3853A305" w14:textId="77777777" w:rsidR="0001042D" w:rsidRPr="000C0F96" w:rsidRDefault="000C0F96" w:rsidP="0033366B">
            <w:pPr>
              <w:pStyle w:val="Sinespaciado"/>
              <w:jc w:val="both"/>
              <w:rPr>
                <w:rFonts w:ascii="Arial" w:eastAsia="Arial" w:hAnsi="Arial" w:cs="Arial"/>
                <w:sz w:val="22"/>
                <w:lang w:val="es-ES"/>
              </w:rPr>
            </w:pPr>
            <w:r w:rsidRPr="000C0F96">
              <w:rPr>
                <w:rFonts w:ascii="Arial" w:eastAsia="Arial" w:hAnsi="Arial" w:cs="Arial"/>
                <w:sz w:val="22"/>
                <w:lang w:val="es-ES"/>
              </w:rPr>
              <w:t>ACCESO A DOCUMENTACIÓN PÚBLICA – Derecho fundamental – Transparencia – Información contractual / SECOP – Deber de publicación – Información contractual / DATOS SENSIBLES – Reserva – Excepción – SECOP.</w:t>
            </w:r>
          </w:p>
          <w:p w14:paraId="1C8364E9" w14:textId="6754B93F" w:rsidR="000C0F96" w:rsidRPr="000C0F96" w:rsidRDefault="000C0F96" w:rsidP="0033366B">
            <w:pPr>
              <w:pStyle w:val="Sinespaciado"/>
              <w:jc w:val="both"/>
              <w:rPr>
                <w:rFonts w:ascii="Arial" w:eastAsia="Arial" w:hAnsi="Arial" w:cs="Arial"/>
                <w:color w:val="000000" w:themeColor="text1"/>
                <w:lang w:val="es-ES"/>
              </w:rPr>
            </w:pPr>
          </w:p>
        </w:tc>
      </w:tr>
      <w:tr w:rsidR="0026186C" w:rsidRPr="000C0F96" w14:paraId="5BCA074C" w14:textId="77777777" w:rsidTr="00671F43">
        <w:tc>
          <w:tcPr>
            <w:tcW w:w="2115" w:type="dxa"/>
            <w:tcBorders>
              <w:top w:val="nil"/>
              <w:left w:val="nil"/>
              <w:bottom w:val="nil"/>
              <w:right w:val="nil"/>
            </w:tcBorders>
          </w:tcPr>
          <w:p w14:paraId="109DEC19" w14:textId="77777777" w:rsidR="0026186C" w:rsidRPr="000C0F96" w:rsidRDefault="0026186C" w:rsidP="00671F43">
            <w:pPr>
              <w:spacing w:before="60"/>
              <w:rPr>
                <w:rFonts w:ascii="Arial" w:eastAsia="Arial" w:hAnsi="Arial" w:cs="Arial"/>
                <w:color w:val="000000" w:themeColor="text1"/>
                <w:lang w:val="es-ES"/>
              </w:rPr>
            </w:pPr>
            <w:r w:rsidRPr="000C0F96">
              <w:rPr>
                <w:rFonts w:ascii="Arial" w:eastAsia="Arial" w:hAnsi="Arial" w:cs="Arial"/>
                <w:b/>
                <w:bCs/>
                <w:color w:val="000000" w:themeColor="text1"/>
                <w:lang w:val="es-ES"/>
              </w:rPr>
              <w:t>Radicación:</w:t>
            </w:r>
            <w:r w:rsidRPr="000C0F96">
              <w:rPr>
                <w:rFonts w:ascii="Arial" w:eastAsia="Arial" w:hAnsi="Arial" w:cs="Arial"/>
                <w:color w:val="000000" w:themeColor="text1"/>
                <w:lang w:val="es-ES"/>
              </w:rPr>
              <w:t xml:space="preserve">                              </w:t>
            </w:r>
          </w:p>
        </w:tc>
        <w:tc>
          <w:tcPr>
            <w:tcW w:w="6795" w:type="dxa"/>
            <w:tcBorders>
              <w:top w:val="nil"/>
              <w:left w:val="nil"/>
              <w:bottom w:val="nil"/>
              <w:right w:val="nil"/>
            </w:tcBorders>
          </w:tcPr>
          <w:p w14:paraId="15773B73" w14:textId="781AAF1D" w:rsidR="0026186C" w:rsidRPr="000C0F96" w:rsidRDefault="0026186C" w:rsidP="00671F43">
            <w:pPr>
              <w:rPr>
                <w:rFonts w:ascii="Arial" w:eastAsia="Arial" w:hAnsi="Arial" w:cs="Arial"/>
                <w:color w:val="000000" w:themeColor="text1"/>
                <w:sz w:val="22"/>
                <w:lang w:val="es-ES"/>
              </w:rPr>
            </w:pPr>
            <w:r w:rsidRPr="000C0F96">
              <w:rPr>
                <w:rFonts w:ascii="Arial" w:eastAsia="Arial" w:hAnsi="Arial" w:cs="Arial"/>
                <w:color w:val="000000" w:themeColor="text1"/>
                <w:lang w:val="es-ES"/>
              </w:rPr>
              <w:t>Respuesta a consulta</w:t>
            </w:r>
            <w:r w:rsidR="0033366B" w:rsidRPr="000C0F96">
              <w:rPr>
                <w:lang w:val="es-ES"/>
              </w:rPr>
              <w:t xml:space="preserve"> </w:t>
            </w:r>
            <w:r w:rsidR="0033366B" w:rsidRPr="000C0F96">
              <w:rPr>
                <w:rFonts w:ascii="Arial" w:hAnsi="Arial" w:cs="Arial"/>
                <w:sz w:val="22"/>
                <w:lang w:val="es-ES"/>
              </w:rPr>
              <w:t>P20210125000549</w:t>
            </w:r>
          </w:p>
          <w:p w14:paraId="1A305F61" w14:textId="77777777" w:rsidR="0026186C" w:rsidRPr="000C0F96" w:rsidRDefault="0026186C" w:rsidP="00671F43">
            <w:pPr>
              <w:rPr>
                <w:rFonts w:ascii="Arial" w:eastAsia="Arial" w:hAnsi="Arial" w:cs="Arial"/>
                <w:color w:val="000000" w:themeColor="text1"/>
                <w:lang w:val="es-ES"/>
              </w:rPr>
            </w:pPr>
          </w:p>
          <w:p w14:paraId="0FCD8DEA" w14:textId="77777777" w:rsidR="0026186C" w:rsidRPr="000C0F96" w:rsidRDefault="0026186C" w:rsidP="00671F43">
            <w:pPr>
              <w:spacing w:before="60"/>
              <w:jc w:val="both"/>
              <w:rPr>
                <w:rFonts w:ascii="Arial" w:eastAsia="Arial" w:hAnsi="Arial" w:cs="Arial"/>
                <w:color w:val="000000" w:themeColor="text1"/>
                <w:lang w:val="es-ES"/>
              </w:rPr>
            </w:pPr>
          </w:p>
        </w:tc>
      </w:tr>
    </w:tbl>
    <w:p w14:paraId="7086DEC6" w14:textId="77777777" w:rsidR="0026186C" w:rsidRPr="000C0F96" w:rsidRDefault="0026186C" w:rsidP="0026186C">
      <w:pPr>
        <w:jc w:val="both"/>
        <w:rPr>
          <w:rFonts w:ascii="Arial" w:eastAsia="Arial" w:hAnsi="Arial" w:cs="Arial"/>
          <w:color w:val="000000" w:themeColor="text1"/>
          <w:sz w:val="22"/>
          <w:lang w:val="es-ES"/>
        </w:rPr>
      </w:pPr>
    </w:p>
    <w:p w14:paraId="011D4EEA" w14:textId="32EA54F3" w:rsidR="0026186C" w:rsidRPr="000C0F96" w:rsidRDefault="0026186C" w:rsidP="0026186C">
      <w:pPr>
        <w:rPr>
          <w:rFonts w:ascii="Arial" w:eastAsia="Arial" w:hAnsi="Arial" w:cs="Arial"/>
          <w:color w:val="000000" w:themeColor="text1"/>
          <w:sz w:val="22"/>
          <w:lang w:val="es-ES"/>
        </w:rPr>
      </w:pPr>
      <w:r w:rsidRPr="000C0F96">
        <w:rPr>
          <w:rFonts w:ascii="Arial" w:eastAsia="Arial" w:hAnsi="Arial" w:cs="Arial"/>
          <w:color w:val="000000" w:themeColor="text1"/>
          <w:sz w:val="22"/>
          <w:lang w:val="es-ES"/>
        </w:rPr>
        <w:t>Estimad</w:t>
      </w:r>
      <w:r w:rsidR="0033366B" w:rsidRPr="000C0F96">
        <w:rPr>
          <w:rFonts w:ascii="Arial" w:eastAsia="Arial" w:hAnsi="Arial" w:cs="Arial"/>
          <w:color w:val="000000" w:themeColor="text1"/>
          <w:sz w:val="22"/>
          <w:lang w:val="es-ES"/>
        </w:rPr>
        <w:t>o</w:t>
      </w:r>
      <w:r w:rsidRPr="000C0F96">
        <w:rPr>
          <w:rFonts w:ascii="Arial" w:eastAsia="Arial" w:hAnsi="Arial" w:cs="Arial"/>
          <w:color w:val="000000" w:themeColor="text1"/>
          <w:sz w:val="22"/>
          <w:lang w:val="es-ES"/>
        </w:rPr>
        <w:t xml:space="preserve"> señor </w:t>
      </w:r>
      <w:r w:rsidR="0033366B" w:rsidRPr="000C0F96">
        <w:rPr>
          <w:rFonts w:ascii="Arial" w:eastAsia="Arial" w:hAnsi="Arial" w:cs="Arial"/>
          <w:color w:val="000000" w:themeColor="text1"/>
          <w:sz w:val="22"/>
          <w:lang w:val="es-ES"/>
        </w:rPr>
        <w:t>Romero</w:t>
      </w:r>
      <w:r w:rsidRPr="000C0F96">
        <w:rPr>
          <w:rFonts w:ascii="Arial" w:eastAsia="Arial" w:hAnsi="Arial" w:cs="Arial"/>
          <w:color w:val="000000" w:themeColor="text1"/>
          <w:sz w:val="22"/>
          <w:lang w:val="es-ES"/>
        </w:rPr>
        <w:t>,</w:t>
      </w:r>
    </w:p>
    <w:p w14:paraId="5C691995" w14:textId="77777777" w:rsidR="0026186C" w:rsidRPr="000C0F96" w:rsidRDefault="0026186C" w:rsidP="0026186C">
      <w:pPr>
        <w:rPr>
          <w:rFonts w:ascii="Arial" w:eastAsia="Arial" w:hAnsi="Arial" w:cs="Arial"/>
          <w:color w:val="000000" w:themeColor="text1"/>
          <w:sz w:val="22"/>
          <w:lang w:val="es-ES"/>
        </w:rPr>
      </w:pPr>
    </w:p>
    <w:p w14:paraId="47075A46" w14:textId="186B2A9D" w:rsidR="0026186C" w:rsidRDefault="0026186C" w:rsidP="0026186C">
      <w:pPr>
        <w:spacing w:line="276" w:lineRule="auto"/>
        <w:jc w:val="both"/>
        <w:rPr>
          <w:rFonts w:ascii="Arial" w:eastAsia="Arial" w:hAnsi="Arial" w:cs="Arial"/>
          <w:color w:val="000000" w:themeColor="text1"/>
          <w:sz w:val="22"/>
          <w:lang w:val="es-ES"/>
        </w:rPr>
      </w:pPr>
      <w:r w:rsidRPr="000C0F96">
        <w:rPr>
          <w:rFonts w:ascii="Arial" w:eastAsia="Arial" w:hAnsi="Arial" w:cs="Arial"/>
          <w:color w:val="000000" w:themeColor="text1"/>
          <w:sz w:val="22"/>
          <w:lang w:val="es-ES"/>
        </w:rPr>
        <w:t xml:space="preserve">En ejercicio de la competencia otorgada por los artículos 11, numeral 8º, y 3º, numeral 5º, del Decreto Ley 4170 de 2011, la Agencia Nacional de Contratación Pública―Colombia Compra Eficiente responde su consulta del </w:t>
      </w:r>
      <w:r w:rsidR="00F52113" w:rsidRPr="000C0F96">
        <w:rPr>
          <w:rFonts w:ascii="Arial" w:eastAsia="Arial" w:hAnsi="Arial" w:cs="Arial"/>
          <w:color w:val="000000" w:themeColor="text1"/>
          <w:sz w:val="22"/>
          <w:lang w:val="es-ES"/>
        </w:rPr>
        <w:t>25</w:t>
      </w:r>
      <w:r w:rsidRPr="000C0F96">
        <w:rPr>
          <w:rFonts w:ascii="Arial" w:eastAsia="Arial" w:hAnsi="Arial" w:cs="Arial"/>
          <w:color w:val="000000" w:themeColor="text1"/>
          <w:sz w:val="22"/>
          <w:lang w:val="es-ES"/>
        </w:rPr>
        <w:t xml:space="preserve"> de enero de 202</w:t>
      </w:r>
      <w:r w:rsidR="007C5F30" w:rsidRPr="000C0F96">
        <w:rPr>
          <w:rFonts w:ascii="Arial" w:eastAsia="Arial" w:hAnsi="Arial" w:cs="Arial"/>
          <w:color w:val="000000" w:themeColor="text1"/>
          <w:sz w:val="22"/>
          <w:lang w:val="es-ES"/>
        </w:rPr>
        <w:t>1</w:t>
      </w:r>
      <w:r w:rsidRPr="000C0F96">
        <w:rPr>
          <w:rFonts w:ascii="Arial" w:eastAsia="Arial" w:hAnsi="Arial" w:cs="Arial"/>
          <w:color w:val="000000" w:themeColor="text1"/>
          <w:sz w:val="22"/>
          <w:lang w:val="es-ES"/>
        </w:rPr>
        <w:t xml:space="preserve">. </w:t>
      </w:r>
    </w:p>
    <w:p w14:paraId="001EF903" w14:textId="77777777" w:rsidR="0026186C" w:rsidRPr="000C0F96" w:rsidRDefault="0026186C" w:rsidP="0026186C">
      <w:pPr>
        <w:spacing w:line="276" w:lineRule="auto"/>
        <w:jc w:val="both"/>
        <w:rPr>
          <w:rFonts w:ascii="Arial" w:eastAsia="Arial" w:hAnsi="Arial" w:cs="Arial"/>
          <w:color w:val="000000" w:themeColor="text1"/>
          <w:sz w:val="22"/>
          <w:lang w:val="es-ES"/>
        </w:rPr>
      </w:pPr>
    </w:p>
    <w:p w14:paraId="3F43A9CD" w14:textId="77777777" w:rsidR="0026186C" w:rsidRPr="000C0F96" w:rsidRDefault="0026186C" w:rsidP="0026186C">
      <w:pPr>
        <w:pStyle w:val="Prrafodelista"/>
        <w:numPr>
          <w:ilvl w:val="0"/>
          <w:numId w:val="9"/>
        </w:numPr>
        <w:tabs>
          <w:tab w:val="left" w:pos="284"/>
        </w:tabs>
        <w:spacing w:line="276" w:lineRule="auto"/>
        <w:ind w:left="0" w:firstLine="0"/>
        <w:jc w:val="both"/>
        <w:rPr>
          <w:rFonts w:eastAsiaTheme="minorEastAsia"/>
          <w:b/>
          <w:bCs/>
          <w:color w:val="000000" w:themeColor="text1"/>
          <w:sz w:val="22"/>
          <w:lang w:val="es-ES"/>
        </w:rPr>
      </w:pPr>
      <w:r w:rsidRPr="000C0F96">
        <w:rPr>
          <w:rFonts w:ascii="Arial" w:eastAsia="Arial" w:hAnsi="Arial" w:cs="Arial"/>
          <w:b/>
          <w:bCs/>
          <w:color w:val="000000" w:themeColor="text1"/>
          <w:sz w:val="22"/>
          <w:lang w:val="es-ES"/>
        </w:rPr>
        <w:t xml:space="preserve">Problemas planteados </w:t>
      </w:r>
    </w:p>
    <w:p w14:paraId="21D602C8" w14:textId="77777777" w:rsidR="0026186C" w:rsidRPr="000C0F96" w:rsidRDefault="0026186C" w:rsidP="0026186C">
      <w:pPr>
        <w:tabs>
          <w:tab w:val="left" w:pos="426"/>
        </w:tabs>
        <w:spacing w:line="276" w:lineRule="auto"/>
        <w:jc w:val="both"/>
        <w:rPr>
          <w:rFonts w:ascii="Arial" w:eastAsia="Arial" w:hAnsi="Arial" w:cs="Arial"/>
          <w:color w:val="000000" w:themeColor="text1"/>
          <w:sz w:val="22"/>
          <w:lang w:val="es-ES"/>
        </w:rPr>
      </w:pPr>
    </w:p>
    <w:p w14:paraId="0B9336C5" w14:textId="33437198" w:rsidR="0026186C" w:rsidRPr="000C0F96" w:rsidRDefault="0026186C" w:rsidP="00E05F9B">
      <w:pPr>
        <w:spacing w:line="276" w:lineRule="auto"/>
        <w:jc w:val="both"/>
        <w:rPr>
          <w:rFonts w:ascii="Arial" w:eastAsia="Arial" w:hAnsi="Arial" w:cs="Arial"/>
          <w:color w:val="000000" w:themeColor="text1"/>
          <w:sz w:val="22"/>
          <w:lang w:val="es-ES"/>
        </w:rPr>
      </w:pPr>
      <w:r w:rsidRPr="000C0F96">
        <w:rPr>
          <w:rFonts w:ascii="Arial" w:eastAsia="Arial" w:hAnsi="Arial" w:cs="Arial"/>
          <w:color w:val="000000" w:themeColor="text1"/>
          <w:sz w:val="22"/>
          <w:lang w:val="es-ES"/>
        </w:rPr>
        <w:t xml:space="preserve">Usted realiza las siguientes preguntas: </w:t>
      </w:r>
      <w:r w:rsidR="00AA37E8">
        <w:rPr>
          <w:rFonts w:ascii="Arial" w:eastAsia="Arial" w:hAnsi="Arial" w:cs="Arial"/>
          <w:color w:val="000000" w:themeColor="text1"/>
          <w:sz w:val="22"/>
          <w:lang w:val="es-ES"/>
        </w:rPr>
        <w:t xml:space="preserve">i) </w:t>
      </w:r>
      <w:r w:rsidR="0033366B" w:rsidRPr="000C0F96">
        <w:rPr>
          <w:rFonts w:ascii="Arial" w:eastAsia="Arial" w:hAnsi="Arial" w:cs="Arial"/>
          <w:color w:val="000000" w:themeColor="text1"/>
          <w:sz w:val="22"/>
          <w:lang w:val="es-ES"/>
        </w:rPr>
        <w:t>«</w:t>
      </w:r>
      <w:r w:rsidR="00AA37E8">
        <w:rPr>
          <w:rFonts w:ascii="Arial" w:eastAsia="Arial" w:hAnsi="Arial" w:cs="Arial"/>
          <w:color w:val="000000" w:themeColor="text1"/>
          <w:sz w:val="22"/>
          <w:lang w:val="es-ES"/>
        </w:rPr>
        <w:t xml:space="preserve">[…] </w:t>
      </w:r>
      <w:r w:rsidR="00AC281B">
        <w:rPr>
          <w:rFonts w:ascii="Arial" w:eastAsia="Arial" w:hAnsi="Arial" w:cs="Arial"/>
          <w:color w:val="000000" w:themeColor="text1"/>
          <w:sz w:val="22"/>
          <w:lang w:val="es-ES"/>
        </w:rPr>
        <w:t>¿</w:t>
      </w:r>
      <w:r w:rsidR="0033366B" w:rsidRPr="000C0F96">
        <w:rPr>
          <w:rFonts w:ascii="Arial" w:eastAsia="Arial" w:hAnsi="Arial" w:cs="Arial"/>
          <w:color w:val="000000" w:themeColor="text1"/>
          <w:sz w:val="22"/>
          <w:lang w:val="es-ES"/>
        </w:rPr>
        <w:t>se debe publicar la hoja de vida del SIGEP junto con sus anexos CC, tarjeta profesional, ¿experiencia y demás al (sic) SECOP?» y ii) «en caso de ser negativa o afirmativa la respuesta, ¿</w:t>
      </w:r>
      <w:proofErr w:type="spellStart"/>
      <w:proofErr w:type="gramStart"/>
      <w:r w:rsidR="0033366B" w:rsidRPr="000C0F96">
        <w:rPr>
          <w:rFonts w:ascii="Arial" w:eastAsia="Arial" w:hAnsi="Arial" w:cs="Arial"/>
          <w:color w:val="000000" w:themeColor="text1"/>
          <w:sz w:val="22"/>
          <w:lang w:val="es-ES"/>
        </w:rPr>
        <w:t>cual</w:t>
      </w:r>
      <w:proofErr w:type="spellEnd"/>
      <w:r w:rsidR="0033366B" w:rsidRPr="000C0F96">
        <w:rPr>
          <w:rFonts w:ascii="Arial" w:eastAsia="Arial" w:hAnsi="Arial" w:cs="Arial"/>
          <w:color w:val="000000" w:themeColor="text1"/>
          <w:sz w:val="22"/>
          <w:lang w:val="es-ES"/>
        </w:rPr>
        <w:t xml:space="preserve">  </w:t>
      </w:r>
      <w:proofErr w:type="spellStart"/>
      <w:r w:rsidR="0033366B" w:rsidRPr="000C0F96">
        <w:rPr>
          <w:rFonts w:ascii="Arial" w:eastAsia="Arial" w:hAnsi="Arial" w:cs="Arial"/>
          <w:color w:val="000000" w:themeColor="text1"/>
          <w:sz w:val="22"/>
          <w:lang w:val="es-ES"/>
        </w:rPr>
        <w:t>seria</w:t>
      </w:r>
      <w:proofErr w:type="spellEnd"/>
      <w:proofErr w:type="gramEnd"/>
      <w:r w:rsidR="0033366B" w:rsidRPr="000C0F96">
        <w:rPr>
          <w:rFonts w:ascii="Arial" w:eastAsia="Arial" w:hAnsi="Arial" w:cs="Arial"/>
          <w:color w:val="000000" w:themeColor="text1"/>
          <w:sz w:val="22"/>
          <w:lang w:val="es-ES"/>
        </w:rPr>
        <w:t xml:space="preserve">  la normatividad aplicable a cada caso?»</w:t>
      </w:r>
      <w:r w:rsidR="00AA37E8">
        <w:rPr>
          <w:rFonts w:ascii="Arial" w:eastAsia="Arial" w:hAnsi="Arial" w:cs="Arial"/>
          <w:color w:val="000000" w:themeColor="text1"/>
          <w:sz w:val="22"/>
          <w:lang w:val="es-ES"/>
        </w:rPr>
        <w:t xml:space="preserve"> [sic].</w:t>
      </w:r>
    </w:p>
    <w:p w14:paraId="1A8E1E8E" w14:textId="77777777" w:rsidR="0033366B" w:rsidRPr="000C0F96" w:rsidRDefault="0033366B" w:rsidP="0033366B">
      <w:pPr>
        <w:ind w:left="709" w:right="709"/>
        <w:jc w:val="both"/>
        <w:rPr>
          <w:rFonts w:ascii="Arial" w:eastAsia="Arial" w:hAnsi="Arial" w:cs="Arial"/>
          <w:color w:val="000000" w:themeColor="text1"/>
          <w:sz w:val="21"/>
          <w:szCs w:val="21"/>
          <w:lang w:val="es-ES"/>
        </w:rPr>
      </w:pPr>
    </w:p>
    <w:p w14:paraId="29A8D28C" w14:textId="77777777" w:rsidR="0026186C" w:rsidRPr="000C0F96" w:rsidRDefault="0026186C" w:rsidP="00E05F9B">
      <w:pPr>
        <w:pStyle w:val="Prrafodelista"/>
        <w:numPr>
          <w:ilvl w:val="0"/>
          <w:numId w:val="9"/>
        </w:numPr>
        <w:spacing w:line="276" w:lineRule="auto"/>
        <w:ind w:left="426" w:hanging="426"/>
        <w:jc w:val="both"/>
        <w:rPr>
          <w:rFonts w:eastAsiaTheme="minorEastAsia"/>
          <w:b/>
          <w:bCs/>
          <w:color w:val="000000" w:themeColor="text1"/>
          <w:sz w:val="22"/>
          <w:lang w:val="es-ES"/>
        </w:rPr>
      </w:pPr>
      <w:r w:rsidRPr="000C0F96">
        <w:rPr>
          <w:rFonts w:ascii="Arial" w:eastAsia="Arial" w:hAnsi="Arial" w:cs="Arial"/>
          <w:b/>
          <w:bCs/>
          <w:color w:val="000000" w:themeColor="text1"/>
          <w:sz w:val="22"/>
          <w:lang w:val="es-ES"/>
        </w:rPr>
        <w:t>Consideraciones</w:t>
      </w:r>
    </w:p>
    <w:p w14:paraId="4CA21A6D" w14:textId="77777777" w:rsidR="0026186C" w:rsidRPr="000C0F96" w:rsidRDefault="0026186C" w:rsidP="0026186C">
      <w:pPr>
        <w:tabs>
          <w:tab w:val="left" w:pos="426"/>
        </w:tabs>
        <w:spacing w:line="276" w:lineRule="auto"/>
        <w:rPr>
          <w:rFonts w:ascii="Arial" w:eastAsia="Arial" w:hAnsi="Arial" w:cs="Arial"/>
          <w:b/>
          <w:bCs/>
          <w:color w:val="000000" w:themeColor="text1"/>
          <w:sz w:val="22"/>
          <w:lang w:val="es-ES"/>
        </w:rPr>
      </w:pPr>
    </w:p>
    <w:p w14:paraId="61BF14E0" w14:textId="12FF9159" w:rsidR="0026186C" w:rsidRPr="000C0F96" w:rsidRDefault="0026186C" w:rsidP="0033366B">
      <w:pPr>
        <w:spacing w:line="276" w:lineRule="auto"/>
        <w:jc w:val="both"/>
        <w:rPr>
          <w:rFonts w:ascii="Arial" w:eastAsia="Arial" w:hAnsi="Arial" w:cs="Arial"/>
          <w:color w:val="000000" w:themeColor="text1"/>
          <w:sz w:val="22"/>
          <w:lang w:val="es-ES"/>
        </w:rPr>
      </w:pPr>
      <w:r w:rsidRPr="000C0F96">
        <w:rPr>
          <w:rFonts w:ascii="Arial" w:eastAsia="Arial" w:hAnsi="Arial" w:cs="Arial"/>
          <w:color w:val="000000" w:themeColor="text1"/>
          <w:sz w:val="22"/>
          <w:lang w:val="es-ES"/>
        </w:rPr>
        <w:t xml:space="preserve">La Agencia Nacional de Contratación Pública – Colombia Compra Eficiente </w:t>
      </w:r>
      <w:r w:rsidR="0033366B" w:rsidRPr="000C0F96">
        <w:rPr>
          <w:rFonts w:ascii="Arial" w:eastAsia="Arial" w:hAnsi="Arial" w:cs="Arial"/>
          <w:color w:val="000000" w:themeColor="text1"/>
          <w:sz w:val="22"/>
          <w:lang w:val="es-ES"/>
        </w:rPr>
        <w:t xml:space="preserve">ha tenido la oportunidad de estudiar en diversas ocasiones los temas relacionados con el deber de </w:t>
      </w:r>
      <w:r w:rsidR="0033366B" w:rsidRPr="000C0F96">
        <w:rPr>
          <w:rFonts w:ascii="Arial" w:eastAsia="Arial" w:hAnsi="Arial" w:cs="Arial"/>
          <w:color w:val="000000" w:themeColor="text1"/>
          <w:sz w:val="22"/>
          <w:lang w:val="es-ES"/>
        </w:rPr>
        <w:lastRenderedPageBreak/>
        <w:t xml:space="preserve">publicidad de las entidades estatales en los procesos de contratación y los límites derivados de la protección de los datos sensibles de la persona que contrata con el Estado. Así, en los conceptos </w:t>
      </w:r>
      <w:r w:rsidR="0033366B" w:rsidRPr="000C0F96">
        <w:rPr>
          <w:rFonts w:ascii="Arial" w:eastAsia="Calibri" w:hAnsi="Arial" w:cs="Arial"/>
          <w:sz w:val="22"/>
          <w:lang w:val="es-ES"/>
        </w:rPr>
        <w:t xml:space="preserve">C-046 del 19 de febrero de 2020, C-095 del 16 de marzo de 2020, C-197 del 26 de marzo de 2020, C-170 del 6 de abril de 2020, C-172 del 6 de abril de 2020, C-176  del 6 de abril de 2020, C-009 del 27 de abril de 2020, C-009 del 27 de abril de 2020 y C-015 del 29 de abril de 2020, se analizó la importancia del SECOP I y SECOP II el SECOP como medios de publicidad de las actuaciones contractuales y </w:t>
      </w:r>
      <w:proofErr w:type="spellStart"/>
      <w:r w:rsidR="0033366B" w:rsidRPr="000C0F96">
        <w:rPr>
          <w:rFonts w:ascii="Arial" w:eastAsia="Calibri" w:hAnsi="Arial" w:cs="Arial"/>
          <w:sz w:val="22"/>
          <w:lang w:val="es-ES"/>
        </w:rPr>
        <w:t>cuales</w:t>
      </w:r>
      <w:proofErr w:type="spellEnd"/>
      <w:r w:rsidR="0033366B" w:rsidRPr="000C0F96">
        <w:rPr>
          <w:rFonts w:ascii="Arial" w:eastAsia="Calibri" w:hAnsi="Arial" w:cs="Arial"/>
          <w:sz w:val="22"/>
          <w:lang w:val="es-ES"/>
        </w:rPr>
        <w:t xml:space="preserve"> son los documentos contractuales que deben publicarse en las referidas plataformas. Dichas ideas se unificaron en el concepto CU-367 del 23 de julio de 2020, que se reitera en esta ocasión.</w:t>
      </w:r>
      <w:r w:rsidR="0033366B" w:rsidRPr="000C0F96">
        <w:rPr>
          <w:rFonts w:ascii="Arial" w:eastAsia="Arial" w:hAnsi="Arial" w:cs="Arial"/>
          <w:color w:val="000000" w:themeColor="text1"/>
          <w:sz w:val="22"/>
          <w:lang w:val="es-ES"/>
        </w:rPr>
        <w:t xml:space="preserve">  Por otro lado, en </w:t>
      </w:r>
      <w:r w:rsidR="00982736" w:rsidRPr="000C0F96">
        <w:rPr>
          <w:rFonts w:ascii="Arial" w:eastAsia="Arial" w:hAnsi="Arial" w:cs="Arial"/>
          <w:color w:val="000000" w:themeColor="text1"/>
          <w:sz w:val="22"/>
          <w:lang w:val="es-ES"/>
        </w:rPr>
        <w:t>el</w:t>
      </w:r>
      <w:r w:rsidR="0033366B" w:rsidRPr="000C0F96">
        <w:rPr>
          <w:rFonts w:ascii="Arial" w:eastAsia="Arial" w:hAnsi="Arial" w:cs="Arial"/>
          <w:color w:val="000000" w:themeColor="text1"/>
          <w:sz w:val="22"/>
          <w:lang w:val="es-ES"/>
        </w:rPr>
        <w:t xml:space="preserve"> concepto C-672 del 11 de noviembre de 2020 </w:t>
      </w:r>
      <w:r w:rsidR="00982736" w:rsidRPr="000C0F96">
        <w:rPr>
          <w:rFonts w:ascii="Arial" w:eastAsia="Arial" w:hAnsi="Arial" w:cs="Arial"/>
          <w:color w:val="000000" w:themeColor="text1"/>
          <w:sz w:val="22"/>
          <w:lang w:val="es-ES"/>
        </w:rPr>
        <w:t>esta Subdirección explicó que los datos sensibles constituyen límites al deber de divulgación proactiva de la información en la contratación estata</w:t>
      </w:r>
      <w:r w:rsidR="000C0F96" w:rsidRPr="000C0F96">
        <w:rPr>
          <w:rFonts w:ascii="Arial" w:eastAsia="Arial" w:hAnsi="Arial" w:cs="Arial"/>
          <w:color w:val="000000" w:themeColor="text1"/>
          <w:sz w:val="22"/>
          <w:lang w:val="es-ES"/>
        </w:rPr>
        <w:t>l</w:t>
      </w:r>
      <w:r w:rsidR="0033366B" w:rsidRPr="000C0F96">
        <w:rPr>
          <w:rFonts w:ascii="Arial" w:eastAsia="Arial" w:hAnsi="Arial" w:cs="Arial"/>
          <w:color w:val="000000" w:themeColor="text1"/>
          <w:sz w:val="22"/>
          <w:lang w:val="es-ES"/>
        </w:rPr>
        <w:t xml:space="preserve">, </w:t>
      </w:r>
      <w:r w:rsidR="00982736" w:rsidRPr="000C0F96">
        <w:rPr>
          <w:rFonts w:ascii="Arial" w:eastAsia="Arial" w:hAnsi="Arial" w:cs="Arial"/>
          <w:color w:val="000000" w:themeColor="text1"/>
          <w:sz w:val="22"/>
          <w:lang w:val="es-ES"/>
        </w:rPr>
        <w:t xml:space="preserve">posición </w:t>
      </w:r>
      <w:r w:rsidR="0033366B" w:rsidRPr="000C0F96">
        <w:rPr>
          <w:rFonts w:ascii="Arial" w:eastAsia="Arial" w:hAnsi="Arial" w:cs="Arial"/>
          <w:color w:val="000000" w:themeColor="text1"/>
          <w:sz w:val="22"/>
          <w:lang w:val="es-ES"/>
        </w:rPr>
        <w:t xml:space="preserve">que también será reiterada en el presente concepto. </w:t>
      </w:r>
    </w:p>
    <w:p w14:paraId="7A90CE02" w14:textId="77777777" w:rsidR="0026186C" w:rsidRPr="000C0F96" w:rsidRDefault="0026186C" w:rsidP="0026186C">
      <w:pPr>
        <w:spacing w:line="276" w:lineRule="auto"/>
        <w:jc w:val="both"/>
        <w:rPr>
          <w:rFonts w:ascii="Arial" w:eastAsia="Arial" w:hAnsi="Arial" w:cs="Arial"/>
          <w:color w:val="000000" w:themeColor="text1"/>
          <w:sz w:val="22"/>
          <w:lang w:val="es-ES"/>
        </w:rPr>
      </w:pPr>
    </w:p>
    <w:p w14:paraId="203C0D80" w14:textId="23DEF950" w:rsidR="0026186C" w:rsidRPr="000C0F96" w:rsidRDefault="007675AD" w:rsidP="0026186C">
      <w:pPr>
        <w:tabs>
          <w:tab w:val="left" w:pos="426"/>
        </w:tabs>
        <w:spacing w:line="276" w:lineRule="auto"/>
        <w:jc w:val="both"/>
        <w:rPr>
          <w:rFonts w:ascii="Arial" w:eastAsia="Calibri" w:hAnsi="Arial" w:cs="Arial"/>
          <w:b/>
          <w:color w:val="000000" w:themeColor="text1"/>
          <w:sz w:val="22"/>
          <w:lang w:val="es-ES"/>
        </w:rPr>
      </w:pPr>
      <w:r w:rsidRPr="000C0F96">
        <w:rPr>
          <w:rFonts w:ascii="Arial" w:eastAsia="Arial" w:hAnsi="Arial" w:cs="Arial"/>
          <w:b/>
          <w:bCs/>
          <w:sz w:val="22"/>
          <w:lang w:val="es-ES"/>
        </w:rPr>
        <w:t>2.1. Principio de publicidad y acceso a la información pública en la contratación estatal</w:t>
      </w:r>
    </w:p>
    <w:p w14:paraId="5AFFC251" w14:textId="77777777" w:rsidR="000C13AD" w:rsidRDefault="000C13AD" w:rsidP="00E05F9B">
      <w:pPr>
        <w:widowControl w:val="0"/>
        <w:tabs>
          <w:tab w:val="left" w:pos="728"/>
        </w:tabs>
        <w:autoSpaceDE w:val="0"/>
        <w:autoSpaceDN w:val="0"/>
        <w:spacing w:line="276" w:lineRule="auto"/>
        <w:jc w:val="both"/>
        <w:rPr>
          <w:rFonts w:ascii="Arial" w:eastAsia="Arial" w:hAnsi="Arial" w:cs="Arial"/>
          <w:sz w:val="22"/>
          <w:lang w:val="es-ES"/>
        </w:rPr>
      </w:pPr>
    </w:p>
    <w:p w14:paraId="71E690C6" w14:textId="1A60F774" w:rsidR="000C13AD" w:rsidRPr="000C0F96" w:rsidRDefault="000C13AD" w:rsidP="00E05F9B">
      <w:pPr>
        <w:spacing w:after="120" w:line="276" w:lineRule="auto"/>
        <w:jc w:val="both"/>
        <w:rPr>
          <w:rFonts w:ascii="Arial" w:eastAsia="Arial" w:hAnsi="Arial" w:cs="Arial"/>
          <w:sz w:val="22"/>
          <w:lang w:val="es-ES"/>
        </w:rPr>
      </w:pPr>
      <w:r w:rsidRPr="000C0F96">
        <w:rPr>
          <w:rFonts w:ascii="Arial" w:eastAsia="Arial" w:hAnsi="Arial" w:cs="Arial"/>
          <w:sz w:val="22"/>
          <w:lang w:val="es-ES"/>
        </w:rPr>
        <w:t>El principio de publicidad</w:t>
      </w:r>
      <w:r>
        <w:rPr>
          <w:rFonts w:ascii="Arial" w:eastAsia="Arial" w:hAnsi="Arial" w:cs="Arial"/>
          <w:sz w:val="22"/>
          <w:lang w:val="es-ES"/>
        </w:rPr>
        <w:t>, consagrado en el artículo 209 superior,</w:t>
      </w:r>
      <w:r w:rsidRPr="000C0F96">
        <w:rPr>
          <w:rFonts w:ascii="Arial" w:eastAsia="Arial" w:hAnsi="Arial" w:cs="Arial"/>
          <w:sz w:val="22"/>
          <w:lang w:val="es-ES"/>
        </w:rPr>
        <w:t xml:space="preserve"> impone a las autoridades administrativas el deber de dar a conocer sus actos, contratos y decisiones, para que se divulguen y eventualmente se controlen las actuaciones</w:t>
      </w:r>
      <w:r>
        <w:rPr>
          <w:rFonts w:ascii="Arial" w:eastAsia="Arial" w:hAnsi="Arial" w:cs="Arial"/>
          <w:sz w:val="22"/>
          <w:lang w:val="es-ES"/>
        </w:rPr>
        <w:t xml:space="preserve">. </w:t>
      </w:r>
      <w:r>
        <w:rPr>
          <w:rFonts w:ascii="Arial" w:eastAsia="Calibri" w:hAnsi="Arial" w:cs="Arial"/>
          <w:color w:val="000000" w:themeColor="text1"/>
          <w:sz w:val="22"/>
        </w:rPr>
        <w:t>Conforme ha manifestado,</w:t>
      </w:r>
      <w:r w:rsidRPr="001B0D3D">
        <w:rPr>
          <w:rFonts w:ascii="Arial" w:eastAsia="Calibri" w:hAnsi="Arial" w:cs="Arial"/>
          <w:color w:val="000000" w:themeColor="text1"/>
          <w:sz w:val="22"/>
        </w:rPr>
        <w:t xml:space="preserve"> la Corte Constitucional, el principio de publicidad es la garantía que tienen las personas de conocer las actuaciones judiciales y administrativas y con base en ese conocimiento tener la posibilidad de exigir que se surtan conforme a la ley</w:t>
      </w:r>
      <w:r w:rsidRPr="001B0D3D">
        <w:rPr>
          <w:rStyle w:val="Refdenotaalpie"/>
          <w:rFonts w:ascii="Arial" w:eastAsia="Calibri" w:hAnsi="Arial" w:cs="Arial"/>
          <w:color w:val="000000" w:themeColor="text1"/>
          <w:sz w:val="21"/>
          <w:szCs w:val="21"/>
        </w:rPr>
        <w:footnoteReference w:id="1"/>
      </w:r>
      <w:r w:rsidRPr="001B0D3D">
        <w:rPr>
          <w:rFonts w:ascii="Arial" w:eastAsia="Calibri" w:hAnsi="Arial" w:cs="Arial"/>
          <w:color w:val="000000" w:themeColor="text1"/>
          <w:sz w:val="21"/>
          <w:szCs w:val="21"/>
        </w:rPr>
        <w:t>.</w:t>
      </w:r>
      <w:r>
        <w:rPr>
          <w:rFonts w:ascii="Arial" w:eastAsia="Calibri" w:hAnsi="Arial" w:cs="Arial"/>
          <w:color w:val="000000" w:themeColor="text1"/>
          <w:sz w:val="21"/>
          <w:szCs w:val="21"/>
        </w:rPr>
        <w:t xml:space="preserve"> En el ámbito de la contratación estatal, el principio de publicidad </w:t>
      </w:r>
      <w:r w:rsidR="00484088">
        <w:rPr>
          <w:rFonts w:ascii="Arial" w:eastAsia="Calibri" w:hAnsi="Arial" w:cs="Arial"/>
          <w:color w:val="000000" w:themeColor="text1"/>
          <w:sz w:val="21"/>
          <w:szCs w:val="21"/>
        </w:rPr>
        <w:t>ha sido desarrollado por</w:t>
      </w:r>
      <w:r w:rsidR="00CA1E86">
        <w:rPr>
          <w:rFonts w:ascii="Arial" w:eastAsia="Calibri" w:hAnsi="Arial" w:cs="Arial"/>
          <w:color w:val="000000" w:themeColor="text1"/>
          <w:sz w:val="21"/>
          <w:szCs w:val="21"/>
        </w:rPr>
        <w:t xml:space="preserve"> artículo </w:t>
      </w:r>
      <w:r w:rsidR="00484088" w:rsidRPr="000C0F96" w:rsidDel="00484088">
        <w:rPr>
          <w:rFonts w:ascii="Arial" w:eastAsia="Arial" w:hAnsi="Arial" w:cs="Arial"/>
          <w:sz w:val="22"/>
          <w:lang w:val="es-ES"/>
        </w:rPr>
        <w:t xml:space="preserve"> </w:t>
      </w:r>
      <w:r w:rsidR="00CA1E86">
        <w:rPr>
          <w:rFonts w:ascii="Arial" w:eastAsia="Arial" w:hAnsi="Arial" w:cs="Arial"/>
          <w:sz w:val="22"/>
          <w:lang w:val="es-ES"/>
        </w:rPr>
        <w:t xml:space="preserve"> el</w:t>
      </w:r>
      <w:r w:rsidRPr="000C0F96">
        <w:rPr>
          <w:rFonts w:ascii="Arial" w:eastAsia="Arial" w:hAnsi="Arial" w:cs="Arial"/>
          <w:sz w:val="22"/>
          <w:lang w:val="es-ES"/>
        </w:rPr>
        <w:t xml:space="preserve"> artículo 3 de la Ley 1150 de 2007</w:t>
      </w:r>
      <w:r w:rsidR="00484088">
        <w:rPr>
          <w:rFonts w:ascii="Arial" w:eastAsia="Arial" w:hAnsi="Arial" w:cs="Arial"/>
          <w:sz w:val="22"/>
          <w:lang w:val="es-ES"/>
        </w:rPr>
        <w:t>, en cuyo literal c) se</w:t>
      </w:r>
      <w:r w:rsidRPr="000C0F96">
        <w:rPr>
          <w:rFonts w:ascii="Arial" w:eastAsia="Arial" w:hAnsi="Arial" w:cs="Arial"/>
          <w:sz w:val="22"/>
          <w:lang w:val="es-ES"/>
        </w:rPr>
        <w:t xml:space="preserve">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00CA1E86">
        <w:rPr>
          <w:rFonts w:ascii="Arial" w:eastAsia="Arial" w:hAnsi="Arial" w:cs="Arial"/>
          <w:sz w:val="22"/>
          <w:lang w:val="es-ES"/>
        </w:rPr>
        <w:t xml:space="preserve">, lo que supone un deber de dar publicidad a la actividad contractual pública, el cual ha sido reglamentado por el artículo </w:t>
      </w:r>
      <w:r w:rsidR="00CA1E86" w:rsidRPr="00CA1E86">
        <w:rPr>
          <w:rFonts w:ascii="Arial" w:eastAsia="Arial" w:hAnsi="Arial" w:cs="Arial"/>
          <w:sz w:val="22"/>
          <w:lang w:val="es-ES"/>
        </w:rPr>
        <w:t>2.2.1.1.1.7.1.</w:t>
      </w:r>
      <w:r w:rsidR="00CA1E86">
        <w:rPr>
          <w:rFonts w:ascii="Arial" w:eastAsia="Arial" w:hAnsi="Arial" w:cs="Arial"/>
          <w:sz w:val="22"/>
          <w:lang w:val="es-ES"/>
        </w:rPr>
        <w:t xml:space="preserve"> del Decreto 1082 de 2015</w:t>
      </w:r>
      <w:r w:rsidR="00165B1E">
        <w:rPr>
          <w:rFonts w:ascii="Arial" w:eastAsia="Arial" w:hAnsi="Arial" w:cs="Arial"/>
          <w:sz w:val="22"/>
          <w:lang w:val="es-ES"/>
        </w:rPr>
        <w:t>.</w:t>
      </w:r>
      <w:r w:rsidRPr="000C0F96">
        <w:rPr>
          <w:rFonts w:ascii="Arial" w:eastAsia="Arial" w:hAnsi="Arial" w:cs="Arial"/>
          <w:sz w:val="22"/>
          <w:lang w:val="es-ES"/>
        </w:rPr>
        <w:t xml:space="preserve"> </w:t>
      </w:r>
    </w:p>
    <w:p w14:paraId="1F2403E7" w14:textId="45055EBA" w:rsidR="007675AD" w:rsidRPr="00E05F9B" w:rsidRDefault="00CA1E86" w:rsidP="00E05F9B">
      <w:pPr>
        <w:tabs>
          <w:tab w:val="left" w:pos="426"/>
        </w:tabs>
        <w:spacing w:after="120" w:line="276" w:lineRule="auto"/>
        <w:jc w:val="both"/>
        <w:rPr>
          <w:rFonts w:ascii="Arial" w:eastAsia="Calibri" w:hAnsi="Arial" w:cs="Arial"/>
          <w:color w:val="000000"/>
          <w:sz w:val="22"/>
          <w:lang w:val="es-ES" w:eastAsia="en-GB"/>
        </w:rPr>
      </w:pPr>
      <w:bookmarkStart w:id="5" w:name="_Hlk63938840"/>
      <w:r>
        <w:rPr>
          <w:rFonts w:ascii="Arial" w:eastAsia="Calibri" w:hAnsi="Arial" w:cs="Arial"/>
          <w:color w:val="000000"/>
          <w:sz w:val="22"/>
          <w:lang w:val="es-ES" w:eastAsia="en-GB"/>
        </w:rPr>
        <w:tab/>
      </w:r>
      <w:r w:rsidR="000C13AD">
        <w:rPr>
          <w:rFonts w:ascii="Arial" w:eastAsia="Calibri" w:hAnsi="Arial" w:cs="Arial"/>
          <w:color w:val="000000"/>
          <w:sz w:val="22"/>
          <w:lang w:val="es-ES" w:eastAsia="en-GB"/>
        </w:rPr>
        <w:tab/>
      </w:r>
      <w:r>
        <w:rPr>
          <w:rFonts w:ascii="Arial" w:eastAsia="Calibri" w:hAnsi="Arial" w:cs="Arial"/>
          <w:color w:val="000000"/>
          <w:sz w:val="22"/>
          <w:lang w:val="es-ES" w:eastAsia="en-GB"/>
        </w:rPr>
        <w:t xml:space="preserve">Por otro lado, </w:t>
      </w:r>
      <w:r w:rsidR="00E05F9B">
        <w:rPr>
          <w:rFonts w:ascii="Arial" w:eastAsia="Calibri" w:hAnsi="Arial" w:cs="Arial"/>
          <w:color w:val="000000"/>
          <w:sz w:val="22"/>
          <w:lang w:val="es-ES" w:eastAsia="en-GB"/>
        </w:rPr>
        <w:t>e</w:t>
      </w:r>
      <w:r w:rsidR="007675AD" w:rsidRPr="000C0F96">
        <w:rPr>
          <w:rFonts w:ascii="Arial" w:eastAsia="Calibri" w:hAnsi="Arial" w:cs="Arial"/>
          <w:color w:val="000000"/>
          <w:sz w:val="22"/>
          <w:lang w:val="es-ES" w:eastAsia="en-GB"/>
        </w:rPr>
        <w:t xml:space="preserve">l artículo 74 de la Constitución Política establece que «Todas las personas tienen derecho a acceder a los documentos públicos salvo los casos que establezca la ley». Esta disposición constitucional consagra el derecho fundamental de </w:t>
      </w:r>
      <w:r w:rsidR="007675AD" w:rsidRPr="000C0F96">
        <w:rPr>
          <w:rFonts w:ascii="Arial" w:eastAsia="Calibri" w:hAnsi="Arial" w:cs="Arial"/>
          <w:color w:val="000000"/>
          <w:sz w:val="22"/>
          <w:lang w:val="es-ES" w:eastAsia="en-GB"/>
        </w:rPr>
        <w:lastRenderedPageBreak/>
        <w:t xml:space="preserve">acceso a la información y a la documentación pública, salvo causal de reserva expresamente prevista en la Ley. </w:t>
      </w:r>
      <w:r w:rsidR="00AA37E8">
        <w:rPr>
          <w:rFonts w:ascii="Arial" w:eastAsia="Calibri" w:hAnsi="Arial" w:cs="Arial"/>
          <w:color w:val="000000"/>
          <w:sz w:val="22"/>
          <w:lang w:val="es-ES" w:eastAsia="en-GB"/>
        </w:rPr>
        <w:t>Este</w:t>
      </w:r>
      <w:r w:rsidR="00AA37E8" w:rsidRPr="000C0F96">
        <w:rPr>
          <w:rFonts w:ascii="Arial" w:eastAsia="Calibri" w:hAnsi="Arial" w:cs="Arial"/>
          <w:color w:val="000000"/>
          <w:sz w:val="22"/>
          <w:lang w:val="es-ES" w:eastAsia="en-GB"/>
        </w:rPr>
        <w:t xml:space="preserve"> </w:t>
      </w:r>
      <w:r w:rsidR="00E05F9B" w:rsidRPr="000C0F96">
        <w:rPr>
          <w:rFonts w:ascii="Arial" w:eastAsia="Calibri" w:hAnsi="Arial" w:cs="Arial"/>
          <w:color w:val="000000"/>
          <w:sz w:val="22"/>
          <w:lang w:val="es-ES" w:eastAsia="en-GB"/>
        </w:rPr>
        <w:t>derecho fue</w:t>
      </w:r>
      <w:r>
        <w:rPr>
          <w:rFonts w:ascii="Arial" w:eastAsia="Calibri" w:hAnsi="Arial" w:cs="Arial"/>
          <w:color w:val="000000"/>
          <w:sz w:val="22"/>
          <w:lang w:val="es-ES" w:eastAsia="en-GB"/>
        </w:rPr>
        <w:t xml:space="preserve"> </w:t>
      </w:r>
      <w:r w:rsidR="007675AD" w:rsidRPr="000C0F96">
        <w:rPr>
          <w:rFonts w:ascii="Arial" w:eastAsia="Calibri" w:hAnsi="Arial" w:cs="Arial"/>
          <w:color w:val="000000"/>
          <w:sz w:val="22"/>
          <w:lang w:val="es-ES" w:eastAsia="en-GB"/>
        </w:rPr>
        <w:t>regula</w:t>
      </w:r>
      <w:r>
        <w:rPr>
          <w:rFonts w:ascii="Arial" w:eastAsia="Calibri" w:hAnsi="Arial" w:cs="Arial"/>
          <w:color w:val="000000"/>
          <w:sz w:val="22"/>
          <w:lang w:val="es-ES" w:eastAsia="en-GB"/>
        </w:rPr>
        <w:t>do</w:t>
      </w:r>
      <w:r w:rsidR="007675AD" w:rsidRPr="000C0F96">
        <w:rPr>
          <w:rFonts w:ascii="Arial" w:eastAsia="Calibri" w:hAnsi="Arial" w:cs="Arial"/>
          <w:color w:val="000000"/>
          <w:sz w:val="22"/>
          <w:lang w:val="es-ES" w:eastAsia="en-GB"/>
        </w:rPr>
        <w:t xml:space="preserve"> en la Ley 1712 de 2014</w:t>
      </w:r>
      <w:r w:rsidR="00AA37E8">
        <w:rPr>
          <w:rFonts w:ascii="Arial" w:eastAsia="Calibri" w:hAnsi="Arial" w:cs="Arial"/>
          <w:color w:val="000000"/>
          <w:sz w:val="22"/>
          <w:lang w:val="es-ES" w:eastAsia="en-GB"/>
        </w:rPr>
        <w:t>, conocida como</w:t>
      </w:r>
      <w:r w:rsidR="00B40E58">
        <w:rPr>
          <w:rFonts w:ascii="Arial" w:eastAsia="Calibri" w:hAnsi="Arial" w:cs="Arial"/>
          <w:color w:val="000000"/>
          <w:sz w:val="22"/>
          <w:lang w:val="es-ES" w:eastAsia="en-GB"/>
        </w:rPr>
        <w:t xml:space="preserve"> </w:t>
      </w:r>
      <w:r w:rsidR="007675AD" w:rsidRPr="00E05F9B">
        <w:rPr>
          <w:rFonts w:ascii="Arial" w:eastAsia="Calibri" w:hAnsi="Arial" w:cs="Arial"/>
          <w:i/>
          <w:iCs/>
          <w:color w:val="000000"/>
          <w:sz w:val="22"/>
          <w:lang w:val="es-ES" w:eastAsia="en-GB"/>
        </w:rPr>
        <w:t>Ley de Transparencia y del Derecho de Acceso a la Información Pública Nacional</w:t>
      </w:r>
      <w:r w:rsidR="007675AD" w:rsidRPr="000C0F96">
        <w:rPr>
          <w:rFonts w:ascii="Arial" w:eastAsia="Calibri" w:hAnsi="Arial" w:cs="Arial"/>
          <w:color w:val="000000"/>
          <w:sz w:val="22"/>
          <w:lang w:val="es-ES" w:eastAsia="en-GB"/>
        </w:rPr>
        <w:t xml:space="preserve">. </w:t>
      </w:r>
      <w:r w:rsidR="00B40E58">
        <w:rPr>
          <w:rFonts w:ascii="Arial" w:eastAsia="Calibri" w:hAnsi="Arial" w:cs="Arial"/>
          <w:color w:val="000000"/>
          <w:sz w:val="22"/>
          <w:lang w:val="es-ES" w:eastAsia="en-GB"/>
        </w:rPr>
        <w:t>Dicha</w:t>
      </w:r>
      <w:r w:rsidR="00B40E58" w:rsidRPr="000C0F96">
        <w:rPr>
          <w:rFonts w:ascii="Arial" w:eastAsia="Calibri" w:hAnsi="Arial" w:cs="Arial"/>
          <w:color w:val="000000"/>
          <w:sz w:val="22"/>
          <w:lang w:val="es-ES" w:eastAsia="en-GB"/>
        </w:rPr>
        <w:t xml:space="preserve"> </w:t>
      </w:r>
      <w:r w:rsidR="007675AD" w:rsidRPr="000C0F96">
        <w:rPr>
          <w:rFonts w:ascii="Arial" w:eastAsia="Calibri" w:hAnsi="Arial" w:cs="Arial"/>
          <w:color w:val="000000"/>
          <w:sz w:val="22"/>
          <w:lang w:val="es-ES" w:eastAsia="en-GB"/>
        </w:rPr>
        <w:t xml:space="preserve">Ley establece el </w:t>
      </w:r>
      <w:r w:rsidR="007675AD" w:rsidRPr="000C0F96">
        <w:rPr>
          <w:rFonts w:ascii="Arial" w:eastAsia="Calibri" w:hAnsi="Arial" w:cs="Arial"/>
          <w:i/>
          <w:iCs/>
          <w:color w:val="000000"/>
          <w:sz w:val="22"/>
          <w:lang w:val="es-ES" w:eastAsia="en-GB"/>
        </w:rPr>
        <w:t>deber de divulgación proactiva de la información</w:t>
      </w:r>
      <w:r w:rsidR="007675AD" w:rsidRPr="000C0F96">
        <w:rPr>
          <w:rFonts w:ascii="Arial" w:eastAsia="Calibri" w:hAnsi="Arial" w:cs="Arial"/>
          <w:color w:val="000000"/>
          <w:sz w:val="22"/>
          <w:lang w:val="es-ES" w:eastAsia="en-GB"/>
        </w:rPr>
        <w:t xml:space="preserve"> e indica que las entidades estatales deben publicar su información contractual </w:t>
      </w:r>
      <w:r w:rsidR="00AA37E8">
        <w:rPr>
          <w:rFonts w:ascii="Arial" w:eastAsia="Calibri" w:hAnsi="Arial" w:cs="Arial"/>
          <w:color w:val="000000"/>
          <w:sz w:val="22"/>
          <w:lang w:val="es-ES" w:eastAsia="en-GB"/>
        </w:rPr>
        <w:t>–</w:t>
      </w:r>
      <w:r w:rsidR="007675AD" w:rsidRPr="000C0F96">
        <w:rPr>
          <w:rFonts w:ascii="Arial" w:eastAsia="Calibri" w:hAnsi="Arial" w:cs="Arial"/>
          <w:color w:val="000000"/>
          <w:sz w:val="22"/>
          <w:lang w:val="es-ES" w:eastAsia="en-GB"/>
        </w:rPr>
        <w:t>artículos 9, literales c, e y f; 10 y 11, literal g</w:t>
      </w:r>
      <w:r w:rsidR="00AA37E8">
        <w:rPr>
          <w:rFonts w:ascii="Arial" w:eastAsia="Calibri" w:hAnsi="Arial" w:cs="Arial"/>
          <w:color w:val="000000"/>
          <w:sz w:val="22"/>
          <w:lang w:val="es-ES" w:eastAsia="en-GB"/>
        </w:rPr>
        <w:t>–</w:t>
      </w:r>
      <w:r w:rsidR="007675AD" w:rsidRPr="000C0F96">
        <w:rPr>
          <w:rFonts w:ascii="Arial" w:eastAsia="Calibri" w:hAnsi="Arial" w:cs="Arial"/>
          <w:color w:val="000000"/>
          <w:sz w:val="22"/>
          <w:lang w:val="es-ES" w:eastAsia="en-GB"/>
        </w:rPr>
        <w:t xml:space="preserve">. </w:t>
      </w:r>
      <w:r>
        <w:rPr>
          <w:rFonts w:ascii="Arial" w:eastAsia="Calibri" w:hAnsi="Arial" w:cs="Arial"/>
          <w:color w:val="000000"/>
          <w:sz w:val="22"/>
          <w:lang w:val="es-ES" w:eastAsia="en-GB"/>
        </w:rPr>
        <w:t xml:space="preserve">Tales artículos son </w:t>
      </w:r>
      <w:r w:rsidR="00B40E58">
        <w:rPr>
          <w:rFonts w:ascii="Arial" w:eastAsia="Calibri" w:hAnsi="Arial" w:cs="Arial"/>
          <w:color w:val="000000"/>
          <w:sz w:val="22"/>
          <w:lang w:val="es-ES" w:eastAsia="en-GB"/>
        </w:rPr>
        <w:t>reglamentados</w:t>
      </w:r>
      <w:r>
        <w:rPr>
          <w:rFonts w:ascii="Arial" w:eastAsia="Calibri" w:hAnsi="Arial" w:cs="Arial"/>
          <w:color w:val="000000"/>
          <w:sz w:val="22"/>
          <w:lang w:val="es-ES" w:eastAsia="en-GB"/>
        </w:rPr>
        <w:t xml:space="preserve"> </w:t>
      </w:r>
      <w:r w:rsidR="00E05F9B">
        <w:rPr>
          <w:rFonts w:ascii="Arial" w:eastAsia="Calibri" w:hAnsi="Arial" w:cs="Arial"/>
          <w:color w:val="000000"/>
          <w:sz w:val="22"/>
          <w:lang w:val="es-ES" w:eastAsia="en-GB"/>
        </w:rPr>
        <w:t>por</w:t>
      </w:r>
      <w:r w:rsidR="00E05F9B" w:rsidRPr="000C0F96">
        <w:rPr>
          <w:rFonts w:ascii="Arial" w:eastAsia="Calibri" w:hAnsi="Arial" w:cs="Arial"/>
          <w:color w:val="000000"/>
          <w:sz w:val="22"/>
          <w:lang w:val="es-ES" w:eastAsia="en-GB"/>
        </w:rPr>
        <w:t xml:space="preserve"> los</w:t>
      </w:r>
      <w:r w:rsidR="007675AD" w:rsidRPr="000C0F96">
        <w:rPr>
          <w:rFonts w:ascii="Arial" w:eastAsia="Calibri" w:hAnsi="Arial" w:cs="Arial"/>
          <w:color w:val="000000"/>
          <w:sz w:val="22"/>
          <w:lang w:val="es-ES" w:eastAsia="en-GB"/>
        </w:rPr>
        <w:t xml:space="preserve"> art</w:t>
      </w:r>
      <w:r w:rsidR="00AA37E8">
        <w:rPr>
          <w:rFonts w:ascii="Arial" w:eastAsia="Calibri" w:hAnsi="Arial" w:cs="Arial"/>
          <w:color w:val="000000"/>
          <w:sz w:val="22"/>
          <w:lang w:val="es-ES" w:eastAsia="en-GB"/>
        </w:rPr>
        <w:t>ículos</w:t>
      </w:r>
      <w:r w:rsidR="007675AD" w:rsidRPr="000C0F96">
        <w:rPr>
          <w:rFonts w:ascii="Arial" w:eastAsia="Calibri" w:hAnsi="Arial" w:cs="Arial"/>
          <w:color w:val="000000"/>
          <w:sz w:val="22"/>
          <w:lang w:val="es-ES" w:eastAsia="en-GB"/>
        </w:rPr>
        <w:t> 2.1.1.2.1.5</w:t>
      </w:r>
      <w:r w:rsidR="00B40E58">
        <w:rPr>
          <w:rFonts w:ascii="Arial" w:eastAsia="Calibri" w:hAnsi="Arial" w:cs="Arial"/>
          <w:color w:val="000000"/>
          <w:sz w:val="22"/>
          <w:lang w:val="es-ES" w:eastAsia="en-GB"/>
        </w:rPr>
        <w:t xml:space="preserve"> </w:t>
      </w:r>
      <w:r w:rsidR="007675AD" w:rsidRPr="000C0F96">
        <w:rPr>
          <w:rFonts w:ascii="Arial" w:eastAsia="Calibri" w:hAnsi="Arial" w:cs="Arial"/>
          <w:color w:val="000000"/>
          <w:sz w:val="22"/>
          <w:lang w:val="es-ES" w:eastAsia="en-GB"/>
        </w:rPr>
        <w:t>a 2.1.1.2.1.10</w:t>
      </w:r>
      <w:r>
        <w:rPr>
          <w:rFonts w:ascii="Arial" w:eastAsia="Calibri" w:hAnsi="Arial" w:cs="Arial"/>
          <w:color w:val="000000"/>
          <w:sz w:val="22"/>
          <w:lang w:val="es-ES" w:eastAsia="en-GB"/>
        </w:rPr>
        <w:t xml:space="preserve"> del </w:t>
      </w:r>
      <w:r w:rsidRPr="000C0F96">
        <w:rPr>
          <w:rFonts w:ascii="Arial" w:eastAsia="Calibri" w:hAnsi="Arial" w:cs="Arial"/>
          <w:color w:val="000000"/>
          <w:sz w:val="22"/>
          <w:lang w:val="es-ES" w:eastAsia="en-GB"/>
        </w:rPr>
        <w:t xml:space="preserve">Decreto 1081 de </w:t>
      </w:r>
      <w:r w:rsidR="00E05F9B" w:rsidRPr="000C0F96">
        <w:rPr>
          <w:rFonts w:ascii="Arial" w:eastAsia="Calibri" w:hAnsi="Arial" w:cs="Arial"/>
          <w:color w:val="000000"/>
          <w:sz w:val="22"/>
          <w:lang w:val="es-ES" w:eastAsia="en-GB"/>
        </w:rPr>
        <w:t>2015</w:t>
      </w:r>
      <w:r w:rsidR="00E05F9B">
        <w:rPr>
          <w:rFonts w:ascii="Arial" w:eastAsia="Calibri" w:hAnsi="Arial" w:cs="Arial"/>
          <w:color w:val="000000"/>
          <w:sz w:val="22"/>
          <w:lang w:val="es-ES" w:eastAsia="en-GB"/>
        </w:rPr>
        <w:t xml:space="preserve">, </w:t>
      </w:r>
      <w:r>
        <w:rPr>
          <w:rFonts w:ascii="Arial" w:eastAsia="Calibri" w:hAnsi="Arial" w:cs="Arial"/>
          <w:color w:val="000000"/>
          <w:sz w:val="22"/>
          <w:lang w:val="es-ES" w:eastAsia="en-GB"/>
        </w:rPr>
        <w:t>los cuales, en concordancia con</w:t>
      </w:r>
      <w:r w:rsidR="007675AD" w:rsidRPr="000C0F96">
        <w:rPr>
          <w:rFonts w:ascii="Arial" w:eastAsia="Calibri" w:hAnsi="Arial" w:cs="Arial"/>
          <w:color w:val="000000"/>
          <w:sz w:val="22"/>
          <w:lang w:val="es-ES" w:eastAsia="en-GB"/>
        </w:rPr>
        <w:t xml:space="preserve"> artículo 3 de la Ley 1150 de 2007</w:t>
      </w:r>
      <w:r>
        <w:rPr>
          <w:rFonts w:ascii="Arial" w:eastAsia="Calibri" w:hAnsi="Arial" w:cs="Arial"/>
          <w:color w:val="000000"/>
          <w:sz w:val="22"/>
          <w:lang w:val="es-ES" w:eastAsia="en-GB"/>
        </w:rPr>
        <w:t xml:space="preserve">, aluden al </w:t>
      </w:r>
      <w:r w:rsidRPr="000C0F96">
        <w:rPr>
          <w:rFonts w:ascii="Arial" w:eastAsia="Calibri" w:hAnsi="Arial" w:cs="Arial"/>
          <w:color w:val="000000"/>
          <w:sz w:val="22"/>
          <w:lang w:val="es-ES" w:eastAsia="en-GB"/>
        </w:rPr>
        <w:t>deber de las entidades estatales de publicar su información contractual en el SECOP</w:t>
      </w:r>
      <w:r w:rsidRPr="000C0F96">
        <w:rPr>
          <w:rFonts w:ascii="Arial" w:eastAsia="Arial" w:hAnsi="Arial" w:cs="Arial"/>
          <w:sz w:val="21"/>
          <w:szCs w:val="21"/>
          <w:vertAlign w:val="superscript"/>
          <w:lang w:val="es-ES"/>
        </w:rPr>
        <w:t xml:space="preserve"> </w:t>
      </w:r>
      <w:r w:rsidR="007675AD" w:rsidRPr="000C0F96">
        <w:rPr>
          <w:rFonts w:ascii="Arial" w:eastAsia="Arial" w:hAnsi="Arial" w:cs="Arial"/>
          <w:sz w:val="21"/>
          <w:szCs w:val="21"/>
          <w:vertAlign w:val="superscript"/>
          <w:lang w:val="es-ES"/>
        </w:rPr>
        <w:footnoteReference w:id="2"/>
      </w:r>
      <w:r w:rsidR="007675AD" w:rsidRPr="000C0F96">
        <w:rPr>
          <w:rFonts w:ascii="Arial" w:eastAsia="Arial" w:hAnsi="Arial" w:cs="Arial"/>
          <w:sz w:val="21"/>
          <w:szCs w:val="21"/>
          <w:lang w:val="es-ES"/>
        </w:rPr>
        <w:t>.</w:t>
      </w:r>
      <w:bookmarkEnd w:id="5"/>
      <w:r w:rsidR="007675AD" w:rsidRPr="000C0F96">
        <w:rPr>
          <w:rFonts w:ascii="Arial" w:eastAsia="Arial" w:hAnsi="Arial" w:cs="Arial"/>
          <w:sz w:val="22"/>
          <w:lang w:val="es-ES"/>
        </w:rPr>
        <w:tab/>
        <w:t xml:space="preserve"> </w:t>
      </w:r>
    </w:p>
    <w:p w14:paraId="43B6829E" w14:textId="340E7689" w:rsidR="007675AD" w:rsidRPr="000C0F96" w:rsidRDefault="007675AD" w:rsidP="007675AD">
      <w:pPr>
        <w:widowControl w:val="0"/>
        <w:tabs>
          <w:tab w:val="left" w:pos="728"/>
        </w:tabs>
        <w:autoSpaceDE w:val="0"/>
        <w:autoSpaceDN w:val="0"/>
        <w:spacing w:after="120" w:line="276" w:lineRule="auto"/>
        <w:jc w:val="both"/>
        <w:rPr>
          <w:rFonts w:ascii="Arial" w:eastAsia="Arial" w:hAnsi="Arial" w:cs="Arial"/>
          <w:sz w:val="22"/>
          <w:lang w:val="es-ES"/>
        </w:rPr>
      </w:pPr>
      <w:r w:rsidRPr="000C0F96">
        <w:rPr>
          <w:rFonts w:ascii="Arial" w:eastAsia="Arial" w:hAnsi="Arial" w:cs="Arial"/>
          <w:sz w:val="22"/>
          <w:lang w:val="es-ES"/>
        </w:rPr>
        <w:tab/>
        <w:t>De otra parte, la Ley 1712 de 2014 identifica como principios que orientan el derecho de acceso a la información pública los de máxima publicidad y transparencia en la información. El principio de máxima publicidad establece que «toda información en posesión, bajo control o custodia de un sujeto obligado es pública y no podrá ser reservada o limitada sino por disposición constitucional o legal»</w:t>
      </w:r>
      <w:r w:rsidRPr="000C0F96">
        <w:rPr>
          <w:rFonts w:ascii="Arial" w:eastAsia="Arial" w:hAnsi="Arial" w:cs="Arial"/>
          <w:sz w:val="22"/>
          <w:vertAlign w:val="superscript"/>
          <w:lang w:val="es-ES"/>
        </w:rPr>
        <w:footnoteReference w:id="3"/>
      </w:r>
      <w:r w:rsidRPr="000C0F96">
        <w:rPr>
          <w:rFonts w:ascii="Arial" w:eastAsia="Arial" w:hAnsi="Arial" w:cs="Arial"/>
          <w:sz w:val="22"/>
          <w:lang w:val="es-ES"/>
        </w:rPr>
        <w:t>. El principio de transparencia en la información alude al deber de los sujetos de proporcionar y facilitar el acceso a la misma en los términos más amplios posibles, y a través de los medios y procedimientos que establezca la ley</w:t>
      </w:r>
      <w:r w:rsidR="00B40E58">
        <w:rPr>
          <w:rStyle w:val="Refdenotaalpie"/>
          <w:rFonts w:ascii="Arial" w:eastAsia="Arial" w:hAnsi="Arial" w:cs="Arial"/>
          <w:sz w:val="22"/>
          <w:lang w:val="es-ES"/>
        </w:rPr>
        <w:footnoteReference w:id="4"/>
      </w:r>
      <w:r w:rsidRPr="000C0F96">
        <w:rPr>
          <w:rFonts w:ascii="Arial" w:eastAsia="Arial" w:hAnsi="Arial" w:cs="Arial"/>
          <w:sz w:val="22"/>
          <w:lang w:val="es-ES"/>
        </w:rPr>
        <w:t xml:space="preserve">. </w:t>
      </w:r>
    </w:p>
    <w:p w14:paraId="4BBDCF19" w14:textId="33724AFF" w:rsidR="007675AD" w:rsidRPr="000C0F96" w:rsidRDefault="007675AD" w:rsidP="007675AD">
      <w:pPr>
        <w:widowControl w:val="0"/>
        <w:tabs>
          <w:tab w:val="left" w:pos="728"/>
        </w:tabs>
        <w:autoSpaceDE w:val="0"/>
        <w:autoSpaceDN w:val="0"/>
        <w:spacing w:after="120" w:line="276" w:lineRule="auto"/>
        <w:jc w:val="both"/>
        <w:rPr>
          <w:rFonts w:ascii="Arial" w:eastAsia="Arial" w:hAnsi="Arial" w:cs="Arial"/>
          <w:sz w:val="22"/>
          <w:lang w:val="es-ES"/>
        </w:rPr>
      </w:pPr>
      <w:r w:rsidRPr="000C0F96">
        <w:rPr>
          <w:rFonts w:ascii="Arial" w:eastAsia="Arial" w:hAnsi="Arial" w:cs="Arial"/>
          <w:sz w:val="22"/>
          <w:lang w:val="es-ES"/>
        </w:rPr>
        <w:tab/>
        <w:t>La ley citada establece, en el literal e) del artículo 9, que los sujetos obligados</w:t>
      </w:r>
      <w:r w:rsidR="00AC281B">
        <w:rPr>
          <w:rFonts w:ascii="Arial" w:eastAsia="Arial" w:hAnsi="Arial" w:cs="Arial"/>
          <w:sz w:val="22"/>
          <w:lang w:val="es-ES"/>
        </w:rPr>
        <w:t>–</w:t>
      </w:r>
      <w:r w:rsidRPr="000C0F96">
        <w:rPr>
          <w:rFonts w:ascii="Arial" w:eastAsia="Arial" w:hAnsi="Arial" w:cs="Arial"/>
          <w:sz w:val="22"/>
          <w:lang w:val="es-ES"/>
        </w:rPr>
        <w:t>que son todas las entidades públicas</w:t>
      </w:r>
      <w:r w:rsidRPr="000C0F96">
        <w:rPr>
          <w:rFonts w:ascii="Arial" w:eastAsia="Arial" w:hAnsi="Arial" w:cs="Arial"/>
          <w:sz w:val="22"/>
          <w:vertAlign w:val="superscript"/>
          <w:lang w:val="es-ES"/>
        </w:rPr>
        <w:footnoteReference w:id="5"/>
      </w:r>
      <w:r w:rsidR="00AC281B">
        <w:rPr>
          <w:rFonts w:ascii="Arial" w:eastAsia="Arial" w:hAnsi="Arial" w:cs="Arial"/>
          <w:sz w:val="22"/>
          <w:lang w:val="es-ES"/>
        </w:rPr>
        <w:t>–</w:t>
      </w:r>
      <w:r w:rsidRPr="000C0F96">
        <w:rPr>
          <w:rFonts w:ascii="Arial" w:eastAsia="Arial" w:hAnsi="Arial" w:cs="Arial"/>
          <w:sz w:val="22"/>
          <w:lang w:val="es-ES"/>
        </w:rPr>
        <w:t xml:space="preserve">, deben publicar la información relativa a su contratación. </w:t>
      </w:r>
      <w:r w:rsidRPr="000C0F96">
        <w:rPr>
          <w:rFonts w:ascii="Arial" w:eastAsia="Arial" w:hAnsi="Arial" w:cs="Arial"/>
          <w:sz w:val="22"/>
          <w:lang w:val="es-ES"/>
        </w:rPr>
        <w:lastRenderedPageBreak/>
        <w:t>Esta obligación fue en principio desarrollada por el Decreto 103 de 2015, hoy compilado en el Decreto Único Reglamentario 1081 de 2015</w:t>
      </w:r>
      <w:r w:rsidRPr="000C0F96">
        <w:rPr>
          <w:rFonts w:ascii="Arial" w:eastAsia="Arial" w:hAnsi="Arial" w:cs="Arial"/>
          <w:sz w:val="22"/>
          <w:vertAlign w:val="superscript"/>
          <w:lang w:val="es-ES"/>
        </w:rPr>
        <w:footnoteReference w:id="6"/>
      </w:r>
      <w:r w:rsidRPr="000C0F96">
        <w:rPr>
          <w:rFonts w:ascii="Arial" w:eastAsia="Arial" w:hAnsi="Arial" w:cs="Arial"/>
          <w:sz w:val="22"/>
          <w:lang w:val="es-ES"/>
        </w:rPr>
        <w:t>, el cual dispuso que la publicación de la información contractual de los sujetos obligados, que contratan con cargo a recursos públicos, debe hacerse en el Sistema Electrónico de Contratación Pública –SECOP–.</w:t>
      </w:r>
    </w:p>
    <w:p w14:paraId="13469F4E" w14:textId="2C136ABA" w:rsidR="007675AD" w:rsidRPr="000C0F96" w:rsidRDefault="007675AD" w:rsidP="000C0F96">
      <w:pPr>
        <w:widowControl w:val="0"/>
        <w:tabs>
          <w:tab w:val="left" w:pos="728"/>
        </w:tabs>
        <w:autoSpaceDE w:val="0"/>
        <w:autoSpaceDN w:val="0"/>
        <w:spacing w:after="120" w:line="276" w:lineRule="auto"/>
        <w:jc w:val="both"/>
        <w:rPr>
          <w:rFonts w:ascii="Arial" w:eastAsia="Arial" w:hAnsi="Arial" w:cs="Arial"/>
          <w:sz w:val="22"/>
          <w:lang w:val="es-ES"/>
        </w:rPr>
      </w:pPr>
      <w:r w:rsidRPr="000C0F96">
        <w:rPr>
          <w:rFonts w:ascii="Arial" w:eastAsia="Arial" w:hAnsi="Arial" w:cs="Arial"/>
          <w:sz w:val="22"/>
          <w:lang w:val="es-ES"/>
        </w:rPr>
        <w:tab/>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175A3FD7" w14:textId="2CE502BA" w:rsidR="007675AD" w:rsidRPr="000C0F96" w:rsidRDefault="000C0F96" w:rsidP="007675AD">
      <w:pPr>
        <w:spacing w:line="276" w:lineRule="auto"/>
        <w:ind w:firstLine="709"/>
        <w:jc w:val="both"/>
        <w:rPr>
          <w:rFonts w:ascii="Arial" w:hAnsi="Arial" w:cs="Arial"/>
          <w:sz w:val="22"/>
          <w:lang w:val="es-ES"/>
        </w:rPr>
      </w:pPr>
      <w:r>
        <w:rPr>
          <w:rFonts w:ascii="Arial" w:hAnsi="Arial" w:cs="Arial"/>
          <w:sz w:val="22"/>
          <w:lang w:val="es-ES"/>
        </w:rPr>
        <w:t>Por otro lado,</w:t>
      </w:r>
      <w:r w:rsidR="007675AD" w:rsidRPr="000C0F96">
        <w:rPr>
          <w:rFonts w:ascii="Arial" w:hAnsi="Arial" w:cs="Arial"/>
          <w:sz w:val="22"/>
          <w:lang w:val="es-ES"/>
        </w:rPr>
        <w:t xml:space="preserve"> </w:t>
      </w:r>
      <w:r>
        <w:rPr>
          <w:rFonts w:ascii="Arial" w:hAnsi="Arial" w:cs="Arial"/>
          <w:sz w:val="22"/>
          <w:lang w:val="es-ES"/>
        </w:rPr>
        <w:t>d</w:t>
      </w:r>
      <w:r w:rsidR="007675AD" w:rsidRPr="000C0F96">
        <w:rPr>
          <w:rFonts w:ascii="Arial" w:hAnsi="Arial" w:cs="Arial"/>
          <w:sz w:val="22"/>
          <w:lang w:val="es-ES"/>
        </w:rPr>
        <w:t>el artículo 3 de la Ley 1150 de 2007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7C4FE009" w14:textId="133279D0" w:rsidR="007675AD" w:rsidRPr="000C0F96" w:rsidRDefault="007675AD" w:rsidP="007675AD">
      <w:pPr>
        <w:widowControl w:val="0"/>
        <w:autoSpaceDE w:val="0"/>
        <w:autoSpaceDN w:val="0"/>
        <w:spacing w:before="120" w:after="120" w:line="276" w:lineRule="auto"/>
        <w:ind w:firstLine="709"/>
        <w:jc w:val="both"/>
        <w:rPr>
          <w:rFonts w:ascii="Arial" w:eastAsia="Arial" w:hAnsi="Arial" w:cs="Arial"/>
          <w:sz w:val="22"/>
          <w:lang w:val="es-ES"/>
        </w:rPr>
      </w:pPr>
      <w:r w:rsidRPr="000C0F96">
        <w:rPr>
          <w:rFonts w:ascii="Arial" w:eastAsia="Arial" w:hAnsi="Arial" w:cs="Arial"/>
          <w:sz w:val="22"/>
          <w:lang w:val="es-E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La expresión </w:t>
      </w:r>
      <w:r w:rsidRPr="000C0F96">
        <w:rPr>
          <w:rFonts w:ascii="Arial" w:eastAsia="Arial" w:hAnsi="Arial" w:cs="Arial"/>
          <w:i/>
          <w:iCs/>
          <w:sz w:val="22"/>
          <w:lang w:val="es-ES"/>
        </w:rPr>
        <w:t>Documentos del Proceso</w:t>
      </w:r>
      <w:r w:rsidRPr="000C0F96">
        <w:rPr>
          <w:rFonts w:ascii="Arial" w:eastAsia="Arial" w:hAnsi="Arial" w:cs="Arial"/>
          <w:sz w:val="22"/>
          <w:lang w:val="es-ES"/>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1F52BDAC" w14:textId="69D3DF28" w:rsidR="007675AD" w:rsidRPr="000C0F96" w:rsidRDefault="007675AD" w:rsidP="00D913F9">
      <w:pPr>
        <w:widowControl w:val="0"/>
        <w:autoSpaceDE w:val="0"/>
        <w:autoSpaceDN w:val="0"/>
        <w:spacing w:before="120" w:after="120" w:line="276" w:lineRule="auto"/>
        <w:ind w:firstLine="709"/>
        <w:jc w:val="both"/>
        <w:rPr>
          <w:rFonts w:ascii="Arial" w:eastAsia="Arial" w:hAnsi="Arial" w:cs="Arial"/>
          <w:sz w:val="22"/>
          <w:lang w:val="es-ES"/>
        </w:rPr>
      </w:pPr>
      <w:r w:rsidRPr="000C0F96">
        <w:rPr>
          <w:rFonts w:ascii="Arial" w:eastAsia="Arial" w:hAnsi="Arial" w:cs="Arial"/>
          <w:sz w:val="22"/>
          <w:lang w:val="es-ES"/>
        </w:rPr>
        <w:t xml:space="preserve">No obstante, los documentos referidos en el artículo </w:t>
      </w:r>
      <w:r w:rsidR="00D913F9" w:rsidRPr="000C0F96">
        <w:rPr>
          <w:rFonts w:ascii="Arial" w:eastAsia="Arial" w:hAnsi="Arial" w:cs="Arial"/>
          <w:sz w:val="22"/>
          <w:lang w:val="es-ES"/>
        </w:rPr>
        <w:t xml:space="preserve">2.2.1.1.1.3.1. </w:t>
      </w:r>
      <w:r w:rsidRPr="000C0F96">
        <w:rPr>
          <w:rFonts w:ascii="Arial" w:eastAsia="Arial" w:hAnsi="Arial" w:cs="Arial"/>
          <w:sz w:val="22"/>
          <w:lang w:val="es-ES"/>
        </w:rPr>
        <w:t xml:space="preserve">del Decreto 1082 de 2015 no son los únicos que deben publicarse, pues la lista de documentos mencionados </w:t>
      </w:r>
      <w:r w:rsidR="00D913F9" w:rsidRPr="000C0F96">
        <w:rPr>
          <w:rFonts w:ascii="Arial" w:eastAsia="Arial" w:hAnsi="Arial" w:cs="Arial"/>
          <w:sz w:val="22"/>
          <w:lang w:val="es-ES"/>
        </w:rPr>
        <w:t xml:space="preserve">no es taxativa, sino enunciativa, pues el mismo artículo define los </w:t>
      </w:r>
      <w:r w:rsidR="00D913F9" w:rsidRPr="000C0F96">
        <w:rPr>
          <w:rFonts w:ascii="Arial" w:eastAsia="Arial" w:hAnsi="Arial" w:cs="Arial"/>
          <w:i/>
          <w:iCs/>
          <w:sz w:val="22"/>
          <w:lang w:val="es-ES"/>
        </w:rPr>
        <w:t>Documentos del proceso</w:t>
      </w:r>
      <w:r w:rsidR="00D913F9" w:rsidRPr="000C0F96">
        <w:rPr>
          <w:rFonts w:ascii="Arial" w:eastAsia="Arial" w:hAnsi="Arial" w:cs="Arial"/>
          <w:sz w:val="22"/>
          <w:lang w:val="es-ES"/>
        </w:rPr>
        <w:t xml:space="preserve"> como «cualquier otro documento expedido por la Entidad Estatal durante el </w:t>
      </w:r>
      <w:r w:rsidR="00D913F9" w:rsidRPr="000C0F96">
        <w:rPr>
          <w:rFonts w:ascii="Arial" w:eastAsia="Arial" w:hAnsi="Arial" w:cs="Arial"/>
          <w:i/>
          <w:iCs/>
          <w:sz w:val="22"/>
          <w:lang w:val="es-ES"/>
        </w:rPr>
        <w:t>Proceso de Contratación»</w:t>
      </w:r>
      <w:r w:rsidR="00D913F9" w:rsidRPr="000C0F96">
        <w:rPr>
          <w:rFonts w:ascii="Arial" w:eastAsia="Arial" w:hAnsi="Arial" w:cs="Arial"/>
          <w:sz w:val="22"/>
          <w:lang w:val="es-ES"/>
        </w:rPr>
        <w:t>. A su vez, el</w:t>
      </w:r>
      <w:r w:rsidRPr="000C0F96">
        <w:rPr>
          <w:rFonts w:ascii="Arial" w:eastAsia="Arial" w:hAnsi="Arial" w:cs="Arial"/>
          <w:sz w:val="22"/>
          <w:lang w:val="es-ES"/>
        </w:rPr>
        <w:t xml:space="preserve"> mismo artículo define la expresión </w:t>
      </w:r>
      <w:r w:rsidRPr="000C0F96">
        <w:rPr>
          <w:rFonts w:ascii="Arial" w:eastAsia="Arial" w:hAnsi="Arial" w:cs="Arial"/>
          <w:i/>
          <w:iCs/>
          <w:sz w:val="22"/>
          <w:lang w:val="es-ES"/>
        </w:rPr>
        <w:t>Proceso de Contratación</w:t>
      </w:r>
      <w:r w:rsidRPr="000C0F96">
        <w:rPr>
          <w:rFonts w:ascii="Arial" w:eastAsia="Arial" w:hAnsi="Arial" w:cs="Arial"/>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w:t>
      </w:r>
      <w:r w:rsidRPr="000C0F96">
        <w:rPr>
          <w:rFonts w:ascii="Arial" w:eastAsia="Arial" w:hAnsi="Arial" w:cs="Arial"/>
          <w:sz w:val="22"/>
          <w:lang w:val="es-ES"/>
        </w:rPr>
        <w:lastRenderedPageBreak/>
        <w:t xml:space="preserve">o bienes o el vencimiento del plazo, lo que ocurra más tarde».  </w:t>
      </w:r>
    </w:p>
    <w:p w14:paraId="44432176" w14:textId="3134EE63" w:rsidR="007675AD" w:rsidRPr="000C0F96" w:rsidRDefault="007675AD" w:rsidP="007675AD">
      <w:pPr>
        <w:widowControl w:val="0"/>
        <w:autoSpaceDE w:val="0"/>
        <w:autoSpaceDN w:val="0"/>
        <w:spacing w:after="120" w:line="276" w:lineRule="auto"/>
        <w:ind w:firstLine="709"/>
        <w:jc w:val="both"/>
        <w:rPr>
          <w:rFonts w:ascii="Arial" w:eastAsia="Arial" w:hAnsi="Arial" w:cs="Arial"/>
          <w:sz w:val="22"/>
          <w:lang w:val="es-ES"/>
        </w:rPr>
      </w:pPr>
      <w:r w:rsidRPr="000C0F96">
        <w:rPr>
          <w:rFonts w:ascii="Arial" w:eastAsia="Arial" w:hAnsi="Arial" w:cs="Arial"/>
          <w:sz w:val="22"/>
          <w:lang w:val="es-ES"/>
        </w:rPr>
        <w:t xml:space="preserve">Nótese que la norma hace referencia a los documentos «expedidos por la entidad estatal» durante el proceso de contratación, excluyendo de la noción de </w:t>
      </w:r>
      <w:r w:rsidRPr="000C0F96">
        <w:rPr>
          <w:rFonts w:ascii="Arial" w:eastAsia="Arial" w:hAnsi="Arial" w:cs="Arial"/>
          <w:i/>
          <w:iCs/>
          <w:sz w:val="22"/>
          <w:lang w:val="es-ES"/>
        </w:rPr>
        <w:t>Documentos del Proceso</w:t>
      </w:r>
      <w:r w:rsidRPr="000C0F96">
        <w:rPr>
          <w:rFonts w:ascii="Arial" w:eastAsia="Arial" w:hAnsi="Arial" w:cs="Arial"/>
          <w:sz w:val="22"/>
          <w:lang w:val="es-ES"/>
        </w:rPr>
        <w:t xml:space="preserve"> los expedidos por un sujeto distinto a la entidad, salvo la oferta, la cual se incluye expresamente en el artículo 2.2.1.1.1.3.1</w:t>
      </w:r>
      <w:r w:rsidR="00DD7A2B" w:rsidRPr="000C0F96">
        <w:rPr>
          <w:rFonts w:ascii="Arial" w:eastAsia="Arial" w:hAnsi="Arial" w:cs="Arial"/>
          <w:sz w:val="22"/>
          <w:lang w:val="es-ES"/>
        </w:rPr>
        <w:t xml:space="preserve">. </w:t>
      </w:r>
      <w:r w:rsidR="000C0F96">
        <w:rPr>
          <w:rFonts w:ascii="Arial" w:eastAsia="Arial" w:hAnsi="Arial" w:cs="Arial"/>
          <w:sz w:val="22"/>
          <w:lang w:val="es-ES"/>
        </w:rPr>
        <w:t>Por lo tanto,</w:t>
      </w:r>
      <w:r w:rsidR="00DD7A2B" w:rsidRPr="000C0F96">
        <w:rPr>
          <w:rFonts w:ascii="Arial" w:eastAsia="Arial" w:hAnsi="Arial" w:cs="Arial"/>
          <w:sz w:val="22"/>
          <w:lang w:val="es-ES"/>
        </w:rPr>
        <w:t xml:space="preserve"> en un principio, se podría concluir que la hoja de vida </w:t>
      </w:r>
      <w:r w:rsidR="00DD7A2B" w:rsidRPr="000C0F96">
        <w:rPr>
          <w:rFonts w:ascii="Arial" w:eastAsia="Arial" w:hAnsi="Arial" w:cs="Arial"/>
          <w:color w:val="000000" w:themeColor="text1"/>
          <w:sz w:val="22"/>
          <w:lang w:val="es-ES"/>
        </w:rPr>
        <w:t xml:space="preserve">del SIGEP junto con sus anexos no se tendría que publicar en el SECOP, pues se trata de un documento que no es elaborado por la entidad contratante. </w:t>
      </w:r>
    </w:p>
    <w:p w14:paraId="7FEB4184" w14:textId="56AA0A74" w:rsidR="0023319B" w:rsidRPr="000C0F96" w:rsidRDefault="00D913F9" w:rsidP="00863FB4">
      <w:pPr>
        <w:spacing w:before="120" w:after="120" w:line="276" w:lineRule="auto"/>
        <w:ind w:firstLine="709"/>
        <w:jc w:val="both"/>
        <w:rPr>
          <w:rFonts w:ascii="Arial" w:eastAsia="Arial" w:hAnsi="Arial" w:cs="Arial"/>
          <w:sz w:val="22"/>
          <w:lang w:val="es-ES"/>
        </w:rPr>
      </w:pPr>
      <w:bookmarkStart w:id="6" w:name="_Hlk66099184"/>
      <w:r w:rsidRPr="000C0F96">
        <w:rPr>
          <w:rFonts w:ascii="Arial" w:eastAsia="Arial" w:hAnsi="Arial" w:cs="Arial"/>
          <w:sz w:val="22"/>
          <w:lang w:val="es-ES"/>
        </w:rPr>
        <w:t>De todos modos, el análisis del deber de publicidad no se puede limitar al estudio del Decreto 1082 de 2015 y el artículo 3 de la ley 1150 de 2007, pues tanto la Ley 1712 de 2014 como el Decreto 1081 de 2015, no solo refuerzan y complementan al régimen de contratación estatal en cuanto a la publicidad, sino que lo amplía</w:t>
      </w:r>
      <w:r w:rsidR="000C0F96">
        <w:rPr>
          <w:rFonts w:ascii="Arial" w:eastAsia="Arial" w:hAnsi="Arial" w:cs="Arial"/>
          <w:sz w:val="22"/>
          <w:lang w:val="es-ES"/>
        </w:rPr>
        <w:t>n</w:t>
      </w:r>
      <w:r w:rsidRPr="000C0F96">
        <w:rPr>
          <w:rFonts w:ascii="Arial" w:eastAsia="Arial" w:hAnsi="Arial" w:cs="Arial"/>
          <w:sz w:val="22"/>
          <w:lang w:val="es-ES"/>
        </w:rPr>
        <w:t xml:space="preserve">, para incluir la publicación de los «procedimientos» y la información relativa a la «gestión contractual», sin el condicionamiento de tratarse exclusivamente de los </w:t>
      </w:r>
      <w:r w:rsidRPr="000C0F96">
        <w:rPr>
          <w:rFonts w:ascii="Arial" w:eastAsia="Arial" w:hAnsi="Arial" w:cs="Arial"/>
          <w:i/>
          <w:iCs/>
          <w:sz w:val="22"/>
          <w:lang w:val="es-ES"/>
        </w:rPr>
        <w:t xml:space="preserve">Documentos del Proceso </w:t>
      </w:r>
      <w:r w:rsidRPr="000C0F96">
        <w:rPr>
          <w:rFonts w:ascii="Arial" w:eastAsia="Arial" w:hAnsi="Arial" w:cs="Arial"/>
          <w:sz w:val="22"/>
          <w:lang w:val="es-ES"/>
        </w:rPr>
        <w:t>expedidos por la «entidad estatal».</w:t>
      </w:r>
      <w:r w:rsidR="00863FB4" w:rsidRPr="000C0F96">
        <w:rPr>
          <w:rFonts w:ascii="Arial" w:eastAsia="Arial" w:hAnsi="Arial" w:cs="Arial"/>
          <w:sz w:val="22"/>
          <w:lang w:val="es-ES"/>
        </w:rPr>
        <w:t xml:space="preserve"> </w:t>
      </w:r>
    </w:p>
    <w:bookmarkEnd w:id="6"/>
    <w:p w14:paraId="5375BACB" w14:textId="42B3F3AD" w:rsidR="00D913F9" w:rsidRPr="000C0F96" w:rsidRDefault="00863FB4" w:rsidP="0023319B">
      <w:pPr>
        <w:spacing w:before="120" w:after="120" w:line="276" w:lineRule="auto"/>
        <w:ind w:firstLine="709"/>
        <w:jc w:val="both"/>
        <w:rPr>
          <w:rFonts w:ascii="Arial" w:hAnsi="Arial" w:cs="Arial"/>
          <w:sz w:val="22"/>
          <w:lang w:val="es-ES"/>
        </w:rPr>
      </w:pPr>
      <w:r w:rsidRPr="000C0F96">
        <w:rPr>
          <w:rFonts w:ascii="Arial" w:eastAsia="Arial" w:hAnsi="Arial" w:cs="Arial"/>
          <w:sz w:val="22"/>
          <w:lang w:val="es-ES"/>
        </w:rPr>
        <w:t xml:space="preserve">Además, si se hace una interpretación </w:t>
      </w:r>
      <w:r w:rsidR="0079176B">
        <w:rPr>
          <w:rFonts w:ascii="Arial" w:eastAsia="Arial" w:hAnsi="Arial" w:cs="Arial"/>
          <w:sz w:val="22"/>
          <w:lang w:val="es-ES"/>
        </w:rPr>
        <w:t>sistemática</w:t>
      </w:r>
      <w:r w:rsidR="0079176B" w:rsidRPr="000C0F96">
        <w:rPr>
          <w:rFonts w:ascii="Arial" w:eastAsia="Arial" w:hAnsi="Arial" w:cs="Arial"/>
          <w:sz w:val="22"/>
          <w:lang w:val="es-ES"/>
        </w:rPr>
        <w:t xml:space="preserve"> </w:t>
      </w:r>
      <w:r w:rsidRPr="000C0F96">
        <w:rPr>
          <w:rFonts w:ascii="Arial" w:eastAsia="Arial" w:hAnsi="Arial" w:cs="Arial"/>
          <w:sz w:val="22"/>
          <w:lang w:val="es-ES"/>
        </w:rPr>
        <w:t xml:space="preserve">de dichas disposiciones, en el entendido </w:t>
      </w:r>
      <w:r w:rsidR="0023319B" w:rsidRPr="000C0F96">
        <w:rPr>
          <w:rFonts w:ascii="Arial" w:eastAsia="Arial" w:hAnsi="Arial" w:cs="Arial"/>
          <w:sz w:val="22"/>
          <w:lang w:val="es-ES"/>
        </w:rPr>
        <w:t xml:space="preserve">de </w:t>
      </w:r>
      <w:r w:rsidRPr="000C0F96">
        <w:rPr>
          <w:rFonts w:ascii="Arial" w:eastAsia="Arial" w:hAnsi="Arial" w:cs="Arial"/>
          <w:sz w:val="22"/>
          <w:lang w:val="es-ES"/>
        </w:rPr>
        <w:t xml:space="preserve">que </w:t>
      </w:r>
      <w:r w:rsidR="0023319B" w:rsidRPr="000C0F96">
        <w:rPr>
          <w:rFonts w:ascii="Arial" w:eastAsia="Arial" w:hAnsi="Arial" w:cs="Arial"/>
          <w:sz w:val="22"/>
          <w:lang w:val="es-ES"/>
        </w:rPr>
        <w:t>la finalidad de estas es</w:t>
      </w:r>
      <w:r w:rsidRPr="000C0F96">
        <w:rPr>
          <w:rFonts w:ascii="Arial" w:eastAsia="Arial" w:hAnsi="Arial" w:cs="Arial"/>
          <w:sz w:val="22"/>
          <w:lang w:val="es-ES"/>
        </w:rPr>
        <w:t xml:space="preserve"> desarrollar </w:t>
      </w:r>
      <w:r w:rsidRPr="000C0F96">
        <w:rPr>
          <w:rFonts w:ascii="Arial" w:eastAsia="Calibri" w:hAnsi="Arial" w:cs="Arial"/>
          <w:sz w:val="22"/>
          <w:lang w:val="es-ES"/>
        </w:rPr>
        <w:t xml:space="preserve">importantes principios de la transparencia y acceso a la información pública, como los de </w:t>
      </w:r>
      <w:r w:rsidRPr="000C0F96">
        <w:rPr>
          <w:rStyle w:val="nfasis"/>
          <w:rFonts w:ascii="Arial" w:hAnsi="Arial" w:cs="Arial"/>
          <w:sz w:val="22"/>
          <w:lang w:val="es-ES"/>
        </w:rPr>
        <w:t>máxima publicidad para un titular universal</w:t>
      </w:r>
      <w:r w:rsidRPr="000C0F96">
        <w:rPr>
          <w:rStyle w:val="Refdenotaalpie"/>
          <w:rFonts w:ascii="Arial" w:hAnsi="Arial" w:cs="Arial"/>
          <w:i/>
          <w:iCs/>
          <w:sz w:val="22"/>
          <w:lang w:val="es-ES"/>
        </w:rPr>
        <w:footnoteReference w:id="7"/>
      </w:r>
      <w:r w:rsidRPr="000C0F96">
        <w:rPr>
          <w:rStyle w:val="nfasis"/>
          <w:rFonts w:ascii="Arial" w:hAnsi="Arial" w:cs="Arial"/>
          <w:sz w:val="22"/>
          <w:lang w:val="es-ES"/>
        </w:rPr>
        <w:t>, transparencia, facilitación y divulgación proactiva de la información</w:t>
      </w:r>
      <w:r w:rsidRPr="000C0F96">
        <w:rPr>
          <w:rStyle w:val="Refdenotaalpie"/>
          <w:rFonts w:ascii="Arial" w:hAnsi="Arial" w:cs="Arial"/>
          <w:i/>
          <w:iCs/>
          <w:sz w:val="22"/>
          <w:lang w:val="es-ES"/>
        </w:rPr>
        <w:footnoteReference w:id="8"/>
      </w:r>
      <w:r w:rsidRPr="000C0F96">
        <w:rPr>
          <w:rStyle w:val="nfasis"/>
          <w:rFonts w:ascii="Arial" w:hAnsi="Arial" w:cs="Arial"/>
          <w:sz w:val="22"/>
          <w:lang w:val="es-ES"/>
        </w:rPr>
        <w:t>,</w:t>
      </w:r>
      <w:r w:rsidRPr="000C0F96">
        <w:rPr>
          <w:rStyle w:val="nfasis"/>
          <w:rFonts w:ascii="Arial" w:hAnsi="Arial" w:cs="Arial"/>
          <w:i w:val="0"/>
          <w:iCs w:val="0"/>
          <w:sz w:val="22"/>
          <w:lang w:val="es-ES"/>
        </w:rPr>
        <w:t xml:space="preserve"> se entiende que </w:t>
      </w:r>
      <w:r w:rsidR="00BC6E0A">
        <w:rPr>
          <w:rStyle w:val="nfasis"/>
          <w:rFonts w:ascii="Arial" w:hAnsi="Arial" w:cs="Arial"/>
          <w:i w:val="0"/>
          <w:iCs w:val="0"/>
          <w:sz w:val="22"/>
          <w:lang w:val="es-ES"/>
        </w:rPr>
        <w:t>«</w:t>
      </w:r>
      <w:r w:rsidRPr="000C0F96">
        <w:rPr>
          <w:rStyle w:val="nfasis"/>
          <w:rFonts w:ascii="Arial" w:hAnsi="Arial" w:cs="Arial"/>
          <w:i w:val="0"/>
          <w:iCs w:val="0"/>
          <w:sz w:val="22"/>
          <w:lang w:val="es-ES"/>
        </w:rPr>
        <w:t>se amplía</w:t>
      </w:r>
      <w:r w:rsidR="0023319B" w:rsidRPr="000C0F96">
        <w:rPr>
          <w:rStyle w:val="nfasis"/>
          <w:rFonts w:ascii="Arial" w:hAnsi="Arial" w:cs="Arial"/>
          <w:i w:val="0"/>
          <w:iCs w:val="0"/>
          <w:sz w:val="22"/>
          <w:lang w:val="es-ES"/>
        </w:rPr>
        <w:t xml:space="preserve"> el alcance de los documentos que deben publicarse en el SECOP para garantizar mayor transparencia, permitiendo</w:t>
      </w:r>
      <w:r w:rsidRPr="000C0F96">
        <w:rPr>
          <w:rStyle w:val="nfasis"/>
          <w:rFonts w:ascii="Arial" w:hAnsi="Arial" w:cs="Arial"/>
          <w:i w:val="0"/>
          <w:iCs w:val="0"/>
          <w:sz w:val="22"/>
          <w:lang w:val="es-ES"/>
        </w:rPr>
        <w:t xml:space="preserve"> </w:t>
      </w:r>
      <w:r w:rsidR="0023319B" w:rsidRPr="000C0F96">
        <w:rPr>
          <w:rFonts w:ascii="Arial" w:eastAsia="Calibri" w:hAnsi="Arial" w:cs="Arial"/>
          <w:sz w:val="22"/>
          <w:lang w:val="es-ES"/>
        </w:rPr>
        <w:t xml:space="preserve">que la ciudadanía conozca con detalle y </w:t>
      </w:r>
      <w:r w:rsidR="0023319B" w:rsidRPr="000C0F96">
        <w:rPr>
          <w:rFonts w:ascii="Arial" w:eastAsia="Calibri" w:hAnsi="Arial" w:cs="Arial"/>
          <w:sz w:val="22"/>
          <w:lang w:val="es-ES"/>
        </w:rPr>
        <w:lastRenderedPageBreak/>
        <w:t>actualidad el desarrollo de la gestión contractual de la Administración, fomentándose en la contratación pública estándares altos de transparencia</w:t>
      </w:r>
      <w:r w:rsidR="00BC6E0A">
        <w:rPr>
          <w:rFonts w:ascii="Arial" w:eastAsia="Calibri" w:hAnsi="Arial" w:cs="Arial"/>
          <w:sz w:val="22"/>
          <w:lang w:val="es-ES"/>
        </w:rPr>
        <w:t>»</w:t>
      </w:r>
      <w:r w:rsidR="00BC6E0A">
        <w:rPr>
          <w:rStyle w:val="Refdenotaalpie"/>
          <w:rFonts w:ascii="Arial" w:eastAsia="Calibri" w:hAnsi="Arial" w:cs="Arial"/>
          <w:sz w:val="22"/>
          <w:lang w:val="es-ES"/>
        </w:rPr>
        <w:footnoteReference w:id="9"/>
      </w:r>
      <w:r w:rsidR="0023319B" w:rsidRPr="000C0F96">
        <w:rPr>
          <w:rFonts w:ascii="Arial" w:eastAsia="Calibri" w:hAnsi="Arial" w:cs="Arial"/>
          <w:sz w:val="22"/>
          <w:lang w:val="es-ES"/>
        </w:rPr>
        <w:t xml:space="preserve">.   </w:t>
      </w:r>
      <w:r w:rsidRPr="000C0F96">
        <w:rPr>
          <w:rStyle w:val="nfasis"/>
          <w:rFonts w:ascii="Arial" w:hAnsi="Arial" w:cs="Arial"/>
          <w:sz w:val="22"/>
          <w:lang w:val="es-ES"/>
        </w:rPr>
        <w:t xml:space="preserve">  </w:t>
      </w:r>
    </w:p>
    <w:p w14:paraId="668BE06D" w14:textId="5FBD8E24" w:rsidR="00D913F9" w:rsidRPr="000C0F96" w:rsidRDefault="00D913F9" w:rsidP="00D913F9">
      <w:pPr>
        <w:spacing w:before="120" w:after="120" w:line="276" w:lineRule="auto"/>
        <w:ind w:firstLine="709"/>
        <w:jc w:val="both"/>
        <w:rPr>
          <w:rFonts w:ascii="Arial" w:eastAsia="Calibri" w:hAnsi="Arial" w:cs="Arial"/>
          <w:sz w:val="22"/>
          <w:lang w:val="es-ES"/>
        </w:rPr>
      </w:pPr>
      <w:bookmarkStart w:id="7" w:name="_Hlk66099202"/>
      <w:r w:rsidRPr="000C0F96">
        <w:rPr>
          <w:rFonts w:ascii="Arial" w:eastAsia="Calibri" w:hAnsi="Arial" w:cs="Arial"/>
          <w:sz w:val="22"/>
          <w:lang w:val="es-ES"/>
        </w:rPr>
        <w:t>Por ende,</w:t>
      </w:r>
      <w:r w:rsidR="000C0F96">
        <w:rPr>
          <w:rFonts w:ascii="Arial" w:eastAsia="Calibri" w:hAnsi="Arial" w:cs="Arial"/>
          <w:sz w:val="22"/>
          <w:lang w:val="es-ES"/>
        </w:rPr>
        <w:t xml:space="preserve"> </w:t>
      </w:r>
      <w:r w:rsidRPr="000C0F96">
        <w:rPr>
          <w:rFonts w:ascii="Arial" w:eastAsia="Calibri" w:hAnsi="Arial" w:cs="Arial"/>
          <w:sz w:val="22"/>
          <w:lang w:val="es-ES"/>
        </w:rPr>
        <w:t>al establecerse la obligación de publicar los «procedimientos» y la «información de la gestión contractual» en el SECOP, se incorpor</w:t>
      </w:r>
      <w:r w:rsidR="000C0F96">
        <w:rPr>
          <w:rFonts w:ascii="Arial" w:eastAsia="Calibri" w:hAnsi="Arial" w:cs="Arial"/>
          <w:sz w:val="22"/>
          <w:lang w:val="es-ES"/>
        </w:rPr>
        <w:t>a</w:t>
      </w:r>
      <w:r w:rsidRPr="000C0F96">
        <w:rPr>
          <w:rFonts w:ascii="Arial" w:eastAsia="Calibri" w:hAnsi="Arial" w:cs="Arial"/>
          <w:sz w:val="22"/>
          <w:lang w:val="es-ES"/>
        </w:rPr>
        <w:t xml:space="preserve"> una visión omnicomprensiva de la actividad contractual que debe publicarse, comoquiera que la noción de procedimiento debe asimilarse a la de </w:t>
      </w:r>
      <w:r w:rsidRPr="000C0F96">
        <w:rPr>
          <w:rFonts w:ascii="Arial" w:eastAsia="Calibri" w:hAnsi="Arial" w:cs="Arial"/>
          <w:i/>
          <w:iCs/>
          <w:sz w:val="22"/>
          <w:lang w:val="es-ES"/>
        </w:rPr>
        <w:t>Proceso de Contratación,</w:t>
      </w:r>
      <w:r w:rsidRPr="000C0F96">
        <w:rPr>
          <w:rFonts w:ascii="Arial" w:eastAsia="Calibri" w:hAnsi="Arial" w:cs="Arial"/>
          <w:sz w:val="22"/>
          <w:lang w:val="es-ES"/>
        </w:rPr>
        <w:t xml:space="preserve"> 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bookmarkEnd w:id="7"/>
    <w:p w14:paraId="5F859131" w14:textId="13553675" w:rsidR="0023319B" w:rsidRDefault="00D913F9" w:rsidP="00E05F9B">
      <w:pPr>
        <w:spacing w:after="120" w:line="276" w:lineRule="auto"/>
        <w:ind w:firstLine="709"/>
        <w:jc w:val="both"/>
        <w:rPr>
          <w:rFonts w:ascii="Arial" w:eastAsia="Arial" w:hAnsi="Arial" w:cs="Arial"/>
          <w:sz w:val="22"/>
          <w:lang w:val="es-ES"/>
        </w:rPr>
      </w:pPr>
      <w:r w:rsidRPr="000C0F96">
        <w:rPr>
          <w:rFonts w:ascii="Arial" w:eastAsia="Calibri" w:hAnsi="Arial" w:cs="Arial"/>
          <w:sz w:val="22"/>
          <w:lang w:val="es-ES"/>
        </w:rPr>
        <w:t xml:space="preserve">Esto quiere decir que las entidades estatales, además de los documentos y actos administrativos </w:t>
      </w:r>
      <w:r w:rsidRPr="000C0F96">
        <w:rPr>
          <w:rFonts w:ascii="Arial" w:eastAsia="Calibri" w:hAnsi="Arial" w:cs="Arial"/>
          <w:sz w:val="22"/>
          <w:lang w:val="es-ES"/>
        </w:rPr>
        <w:softHyphen/>
      </w:r>
      <w:r w:rsidRPr="000C0F96">
        <w:rPr>
          <w:rFonts w:ascii="Arial" w:eastAsia="Calibri" w:hAnsi="Arial" w:cs="Arial"/>
          <w:sz w:val="22"/>
          <w:lang w:val="es-ES"/>
        </w:rPr>
        <w:softHyphen/>
        <w:t>–de trámite o definitivos– que expiden durante los procedimientos de contratación</w:t>
      </w:r>
      <w:r w:rsidRPr="000C0F96">
        <w:rPr>
          <w:rFonts w:ascii="Arial" w:eastAsia="Calibri" w:hAnsi="Arial" w:cs="Arial"/>
          <w:i/>
          <w:iCs/>
          <w:sz w:val="22"/>
          <w:lang w:val="es-ES"/>
        </w:rPr>
        <w:t>,</w:t>
      </w:r>
      <w:r w:rsidRPr="000C0F96">
        <w:rPr>
          <w:rFonts w:ascii="Arial" w:eastAsia="Calibri" w:hAnsi="Arial" w:cs="Arial"/>
          <w:sz w:val="22"/>
          <w:lang w:val="es-ES"/>
        </w:rPr>
        <w:t xml:space="preserve"> deben publicar los documentos que los impulsan y materializan, incluso los que no produce la entidad, pero que hacen parte del procedimiento</w:t>
      </w:r>
      <w:r w:rsidR="00FB7892">
        <w:rPr>
          <w:rFonts w:ascii="Arial" w:eastAsia="Calibri" w:hAnsi="Arial" w:cs="Arial"/>
          <w:sz w:val="22"/>
          <w:lang w:val="es-ES"/>
        </w:rPr>
        <w:t>. Esto quiere decir que se deben publicar documentos</w:t>
      </w:r>
      <w:r w:rsidRPr="000C0F96">
        <w:rPr>
          <w:rFonts w:ascii="Arial" w:eastAsia="Calibri" w:hAnsi="Arial" w:cs="Arial"/>
          <w:sz w:val="22"/>
          <w:lang w:val="es-ES"/>
        </w:rPr>
        <w:t xml:space="preserve"> </w:t>
      </w:r>
      <w:r w:rsidR="00FB7892">
        <w:rPr>
          <w:rFonts w:ascii="Arial" w:eastAsia="Calibri" w:hAnsi="Arial" w:cs="Arial"/>
          <w:sz w:val="22"/>
          <w:lang w:val="es-ES"/>
        </w:rPr>
        <w:t xml:space="preserve">e información </w:t>
      </w:r>
      <w:r w:rsidRPr="000C0F96">
        <w:rPr>
          <w:rFonts w:ascii="Arial" w:eastAsia="Calibri" w:hAnsi="Arial" w:cs="Arial"/>
          <w:sz w:val="22"/>
          <w:lang w:val="es-ES"/>
        </w:rPr>
        <w:t>como las observaciones formuladas por la ciudadanía al proyecto de pliego de condiciones, o por los proponentes al informe de evaluación, aclaraciones a las ofertas realizadas por los oferentes, y cualquier otra actuación que a pesar de no tener origen en la entidad estatal, hace parte de</w:t>
      </w:r>
      <w:r w:rsidR="00FB7892">
        <w:rPr>
          <w:rFonts w:ascii="Arial" w:eastAsia="Calibri" w:hAnsi="Arial" w:cs="Arial"/>
          <w:sz w:val="22"/>
          <w:lang w:val="es-ES"/>
        </w:rPr>
        <w:t>l</w:t>
      </w:r>
      <w:r w:rsidRPr="000C0F96">
        <w:rPr>
          <w:rFonts w:ascii="Arial" w:eastAsia="Calibri" w:hAnsi="Arial" w:cs="Arial"/>
          <w:sz w:val="22"/>
          <w:lang w:val="es-ES"/>
        </w:rPr>
        <w:t xml:space="preserve">  desarrollo</w:t>
      </w:r>
      <w:r w:rsidR="00FB7892">
        <w:rPr>
          <w:rFonts w:ascii="Arial" w:eastAsia="Calibri" w:hAnsi="Arial" w:cs="Arial"/>
          <w:sz w:val="22"/>
          <w:lang w:val="es-ES"/>
        </w:rPr>
        <w:t xml:space="preserve"> del </w:t>
      </w:r>
      <w:r w:rsidR="00FB7892" w:rsidRPr="00E05F9B">
        <w:rPr>
          <w:rFonts w:ascii="Arial" w:eastAsia="Calibri" w:hAnsi="Arial" w:cs="Arial"/>
          <w:i/>
          <w:iCs/>
          <w:sz w:val="22"/>
          <w:lang w:val="es-ES"/>
        </w:rPr>
        <w:t>Proceso de Contratación</w:t>
      </w:r>
      <w:r w:rsidRPr="000C0F96">
        <w:rPr>
          <w:rFonts w:ascii="Arial" w:eastAsia="Calibri" w:hAnsi="Arial" w:cs="Arial"/>
          <w:sz w:val="22"/>
          <w:lang w:val="es-ES"/>
        </w:rPr>
        <w:t xml:space="preserve">, y que por disposición de la Ley de transparencia y acceso a la información pública, debe publicar la entidad de manera proactiva.   </w:t>
      </w:r>
      <w:r w:rsidRPr="000C0F96">
        <w:rPr>
          <w:rFonts w:ascii="Arial" w:eastAsia="Arial" w:hAnsi="Arial" w:cs="Arial"/>
          <w:sz w:val="22"/>
          <w:lang w:val="es-ES"/>
        </w:rPr>
        <w:t xml:space="preserve"> </w:t>
      </w:r>
    </w:p>
    <w:p w14:paraId="67E9283E" w14:textId="4B3B7433" w:rsidR="00D913F9" w:rsidRPr="000C0F96" w:rsidRDefault="0023319B" w:rsidP="009938C4">
      <w:pPr>
        <w:spacing w:line="276" w:lineRule="auto"/>
        <w:ind w:firstLine="708"/>
        <w:jc w:val="both"/>
        <w:rPr>
          <w:rFonts w:ascii="Arial" w:eastAsia="Arial" w:hAnsi="Arial" w:cs="Arial"/>
          <w:sz w:val="22"/>
          <w:lang w:val="es-ES"/>
        </w:rPr>
      </w:pPr>
      <w:bookmarkStart w:id="8" w:name="_Hlk63940455"/>
      <w:r w:rsidRPr="000C0F96">
        <w:rPr>
          <w:rFonts w:ascii="Arial" w:eastAsia="Arial" w:hAnsi="Arial" w:cs="Arial"/>
          <w:sz w:val="22"/>
          <w:lang w:val="es-ES"/>
        </w:rPr>
        <w:t>Esto lleva a entender que</w:t>
      </w:r>
      <w:r w:rsidR="00BC6E0A">
        <w:rPr>
          <w:rFonts w:ascii="Arial" w:eastAsia="Arial" w:hAnsi="Arial" w:cs="Arial"/>
          <w:sz w:val="22"/>
          <w:lang w:val="es-ES"/>
        </w:rPr>
        <w:t>, en el marco de contratos de prestación de servicios con entidades estatales,</w:t>
      </w:r>
      <w:r w:rsidRPr="000C0F96">
        <w:rPr>
          <w:rFonts w:ascii="Arial" w:eastAsia="Arial" w:hAnsi="Arial" w:cs="Arial"/>
          <w:sz w:val="22"/>
          <w:lang w:val="es-ES"/>
        </w:rPr>
        <w:t xml:space="preserve"> la hoja de vida del SIGEP junto con sus anexos deberá ser publicada en el SECOP</w:t>
      </w:r>
      <w:r w:rsidR="00BC6E0A">
        <w:rPr>
          <w:rFonts w:ascii="Arial" w:eastAsia="Arial" w:hAnsi="Arial" w:cs="Arial"/>
          <w:sz w:val="22"/>
          <w:lang w:val="es-ES"/>
        </w:rPr>
        <w:t xml:space="preserve">, toda vez que obedece a la noción de </w:t>
      </w:r>
      <w:r w:rsidR="00BC6E0A" w:rsidRPr="00E05F9B">
        <w:rPr>
          <w:rFonts w:ascii="Arial" w:eastAsia="Arial" w:hAnsi="Arial" w:cs="Arial"/>
          <w:i/>
          <w:iCs/>
          <w:sz w:val="22"/>
          <w:lang w:val="es-ES"/>
        </w:rPr>
        <w:t>Documento del Proceso</w:t>
      </w:r>
      <w:r w:rsidR="00BC6E0A">
        <w:rPr>
          <w:rFonts w:ascii="Arial" w:eastAsia="Arial" w:hAnsi="Arial" w:cs="Arial"/>
          <w:sz w:val="22"/>
          <w:lang w:val="es-ES"/>
        </w:rPr>
        <w:t xml:space="preserve"> aquí precisada. </w:t>
      </w:r>
      <w:r w:rsidR="002056C6">
        <w:rPr>
          <w:rFonts w:ascii="Arial" w:eastAsia="Arial" w:hAnsi="Arial" w:cs="Arial"/>
          <w:sz w:val="22"/>
          <w:lang w:val="es-ES"/>
        </w:rPr>
        <w:t>Esto comoquiera que,</w:t>
      </w:r>
      <w:r w:rsidRPr="000C0F96">
        <w:rPr>
          <w:rFonts w:ascii="Arial" w:eastAsia="Arial" w:hAnsi="Arial" w:cs="Arial"/>
          <w:sz w:val="22"/>
          <w:lang w:val="es-ES"/>
        </w:rPr>
        <w:t xml:space="preserve"> si bien no es exp</w:t>
      </w:r>
      <w:r w:rsidR="002056C6">
        <w:rPr>
          <w:rFonts w:ascii="Arial" w:eastAsia="Arial" w:hAnsi="Arial" w:cs="Arial"/>
          <w:sz w:val="22"/>
          <w:lang w:val="es-ES"/>
        </w:rPr>
        <w:t>edida por</w:t>
      </w:r>
      <w:r w:rsidRPr="000C0F96">
        <w:rPr>
          <w:rFonts w:ascii="Arial" w:eastAsia="Arial" w:hAnsi="Arial" w:cs="Arial"/>
          <w:sz w:val="22"/>
          <w:lang w:val="es-ES"/>
        </w:rPr>
        <w:t xml:space="preserve"> la entidad</w:t>
      </w:r>
      <w:r w:rsidR="002056C6">
        <w:rPr>
          <w:rFonts w:ascii="Arial" w:eastAsia="Arial" w:hAnsi="Arial" w:cs="Arial"/>
          <w:sz w:val="22"/>
          <w:lang w:val="es-ES"/>
        </w:rPr>
        <w:t xml:space="preserve">, es un documento que hace parte del desarrollo del </w:t>
      </w:r>
      <w:r w:rsidR="002056C6" w:rsidRPr="00E05F9B">
        <w:rPr>
          <w:rFonts w:ascii="Arial" w:eastAsia="Arial" w:hAnsi="Arial" w:cs="Arial"/>
          <w:i/>
          <w:iCs/>
          <w:sz w:val="22"/>
          <w:lang w:val="es-ES"/>
        </w:rPr>
        <w:t>Proceso de Contratación</w:t>
      </w:r>
      <w:r w:rsidRPr="000C0F96">
        <w:rPr>
          <w:rFonts w:ascii="Arial" w:eastAsia="Arial" w:hAnsi="Arial" w:cs="Arial"/>
          <w:sz w:val="22"/>
          <w:lang w:val="es-ES"/>
        </w:rPr>
        <w:t xml:space="preserve"> </w:t>
      </w:r>
      <w:r w:rsidR="002056C6">
        <w:rPr>
          <w:rFonts w:ascii="Arial" w:eastAsia="Arial" w:hAnsi="Arial" w:cs="Arial"/>
          <w:sz w:val="22"/>
          <w:lang w:val="es-ES"/>
        </w:rPr>
        <w:t xml:space="preserve"> que, de conformidad con el artículo </w:t>
      </w:r>
      <w:r w:rsidR="002056C6" w:rsidRPr="002056C6">
        <w:rPr>
          <w:rFonts w:ascii="Arial" w:eastAsia="Arial" w:hAnsi="Arial" w:cs="Arial"/>
          <w:sz w:val="22"/>
          <w:lang w:val="es-ES"/>
        </w:rPr>
        <w:t xml:space="preserve">2.2.17.10 </w:t>
      </w:r>
      <w:r w:rsidR="002056C6">
        <w:rPr>
          <w:rFonts w:ascii="Arial" w:eastAsia="Arial" w:hAnsi="Arial" w:cs="Arial"/>
          <w:sz w:val="22"/>
          <w:lang w:val="es-ES"/>
        </w:rPr>
        <w:t xml:space="preserve">del Decreto 1083 de 2015,  cumple la función de servir como «[…] </w:t>
      </w:r>
      <w:r w:rsidR="002056C6" w:rsidRPr="002056C6">
        <w:rPr>
          <w:rFonts w:ascii="Arial" w:eastAsia="Arial" w:hAnsi="Arial" w:cs="Arial"/>
          <w:sz w:val="22"/>
          <w:lang w:val="es-ES"/>
        </w:rPr>
        <w:t>instrumento</w:t>
      </w:r>
      <w:r w:rsidR="002056C6">
        <w:rPr>
          <w:rFonts w:ascii="Arial" w:eastAsia="Arial" w:hAnsi="Arial" w:cs="Arial"/>
          <w:sz w:val="22"/>
          <w:lang w:val="es-ES"/>
        </w:rPr>
        <w:t xml:space="preserve"> para </w:t>
      </w:r>
      <w:r w:rsidR="002056C6" w:rsidRPr="002056C6">
        <w:rPr>
          <w:rFonts w:ascii="Arial" w:eastAsia="Arial" w:hAnsi="Arial" w:cs="Arial"/>
          <w:sz w:val="22"/>
          <w:lang w:val="es-ES"/>
        </w:rPr>
        <w:t>la obtención estandarizada de datos sobre el personal que presta sus servicios a las entidades y a los organismos del sector público</w:t>
      </w:r>
      <w:r w:rsidR="002056C6">
        <w:rPr>
          <w:rFonts w:ascii="Arial" w:eastAsia="Arial" w:hAnsi="Arial" w:cs="Arial"/>
          <w:sz w:val="22"/>
          <w:lang w:val="es-ES"/>
        </w:rPr>
        <w:t xml:space="preserve"> […]»</w:t>
      </w:r>
      <w:r w:rsidR="00FB7892" w:rsidRPr="000C0F96">
        <w:rPr>
          <w:rStyle w:val="Refdenotaalpie"/>
          <w:rFonts w:ascii="Arial" w:eastAsia="Arial" w:hAnsi="Arial" w:cs="Arial"/>
          <w:sz w:val="22"/>
          <w:lang w:val="es-ES"/>
        </w:rPr>
        <w:footnoteReference w:id="10"/>
      </w:r>
      <w:r w:rsidRPr="000C0F96">
        <w:rPr>
          <w:rFonts w:ascii="Arial" w:eastAsia="Calibri" w:hAnsi="Arial" w:cs="Arial"/>
          <w:sz w:val="22"/>
          <w:lang w:val="es-ES"/>
        </w:rPr>
        <w:t xml:space="preserve">, constituyéndose </w:t>
      </w:r>
      <w:r w:rsidR="002056C6">
        <w:rPr>
          <w:rFonts w:ascii="Arial" w:eastAsia="Calibri" w:hAnsi="Arial" w:cs="Arial"/>
          <w:sz w:val="22"/>
          <w:lang w:val="es-ES"/>
        </w:rPr>
        <w:t>en</w:t>
      </w:r>
      <w:r w:rsidR="002056C6" w:rsidRPr="000C0F96">
        <w:rPr>
          <w:rFonts w:ascii="Arial" w:eastAsia="Calibri" w:hAnsi="Arial" w:cs="Arial"/>
          <w:sz w:val="22"/>
          <w:lang w:val="es-ES"/>
        </w:rPr>
        <w:t xml:space="preserve"> </w:t>
      </w:r>
      <w:r w:rsidRPr="000C0F96">
        <w:rPr>
          <w:rFonts w:ascii="Arial" w:eastAsia="Calibri" w:hAnsi="Arial" w:cs="Arial"/>
          <w:sz w:val="22"/>
          <w:lang w:val="es-ES"/>
        </w:rPr>
        <w:t xml:space="preserve">un documento </w:t>
      </w:r>
      <w:r w:rsidR="002056C6">
        <w:rPr>
          <w:rFonts w:ascii="Arial" w:eastAsia="Calibri" w:hAnsi="Arial" w:cs="Arial"/>
          <w:sz w:val="22"/>
          <w:lang w:val="es-ES"/>
        </w:rPr>
        <w:lastRenderedPageBreak/>
        <w:t>importante</w:t>
      </w:r>
      <w:r w:rsidRPr="000C0F96">
        <w:rPr>
          <w:rFonts w:ascii="Arial" w:eastAsia="Calibri" w:hAnsi="Arial" w:cs="Arial"/>
          <w:sz w:val="22"/>
          <w:lang w:val="es-ES"/>
        </w:rPr>
        <w:t xml:space="preserve"> para la celebración del contrato, el cual deberá publicarse para garantizar la transparencia y el acceso a la información del proceso de contratación.</w:t>
      </w:r>
    </w:p>
    <w:bookmarkEnd w:id="8"/>
    <w:p w14:paraId="135FD11F" w14:textId="77777777" w:rsidR="007C5FB9" w:rsidRDefault="00F43D3E" w:rsidP="00E05F9B">
      <w:pPr>
        <w:spacing w:before="120" w:line="276" w:lineRule="auto"/>
        <w:ind w:firstLine="708"/>
        <w:jc w:val="both"/>
        <w:rPr>
          <w:rFonts w:ascii="Arial" w:eastAsia="Calibri" w:hAnsi="Arial" w:cs="Arial"/>
          <w:sz w:val="22"/>
          <w:lang w:val="es-ES"/>
        </w:rPr>
      </w:pPr>
      <w:r>
        <w:rPr>
          <w:rFonts w:ascii="Arial" w:eastAsia="Calibri" w:hAnsi="Arial" w:cs="Arial"/>
          <w:sz w:val="22"/>
          <w:lang w:val="es-ES"/>
        </w:rPr>
        <w:t xml:space="preserve"> Sin embargo, </w:t>
      </w:r>
      <w:r w:rsidR="009938C4" w:rsidRPr="000C0F96">
        <w:rPr>
          <w:rFonts w:ascii="Arial" w:eastAsia="Calibri" w:hAnsi="Arial" w:cs="Arial"/>
          <w:sz w:val="22"/>
          <w:lang w:val="es-ES"/>
        </w:rPr>
        <w:t>en el evento en el que la hoja de vida o sus anexos contengan datos sensibles o información reservada, la entidad no podrá publicar este tipo de información sino deberá darle un tratamiento diferente</w:t>
      </w:r>
      <w:r>
        <w:rPr>
          <w:rFonts w:ascii="Arial" w:eastAsia="Calibri" w:hAnsi="Arial" w:cs="Arial"/>
          <w:sz w:val="22"/>
          <w:lang w:val="es-ES"/>
        </w:rPr>
        <w:t xml:space="preserve">, pues de lo contrario vulneraría otras normas de carácter imperativo como se explicará en el siguiente acápite.  </w:t>
      </w:r>
      <w:r w:rsidR="009938C4" w:rsidRPr="000C0F96">
        <w:rPr>
          <w:rFonts w:ascii="Arial" w:eastAsia="Calibri" w:hAnsi="Arial" w:cs="Arial"/>
          <w:sz w:val="22"/>
          <w:lang w:val="es-ES"/>
        </w:rPr>
        <w:t xml:space="preserve"> </w:t>
      </w:r>
    </w:p>
    <w:p w14:paraId="1E40C884" w14:textId="08F3FDE4" w:rsidR="009938C4" w:rsidRPr="000C0F96" w:rsidRDefault="009938C4" w:rsidP="00E05F9B">
      <w:pPr>
        <w:spacing w:line="276" w:lineRule="auto"/>
        <w:ind w:firstLine="708"/>
        <w:jc w:val="both"/>
        <w:rPr>
          <w:rFonts w:ascii="Arial" w:eastAsia="Calibri" w:hAnsi="Arial" w:cs="Arial"/>
          <w:sz w:val="22"/>
          <w:lang w:val="es-ES"/>
        </w:rPr>
      </w:pPr>
      <w:r w:rsidRPr="000C0F96">
        <w:rPr>
          <w:rFonts w:ascii="Arial" w:eastAsia="Calibri" w:hAnsi="Arial" w:cs="Arial"/>
          <w:sz w:val="22"/>
          <w:lang w:val="es-ES"/>
        </w:rPr>
        <w:t xml:space="preserve">  </w:t>
      </w:r>
    </w:p>
    <w:p w14:paraId="1A9CC50A" w14:textId="5DE65C11" w:rsidR="009938C4" w:rsidRDefault="009938C4" w:rsidP="009938C4">
      <w:pPr>
        <w:tabs>
          <w:tab w:val="left" w:pos="426"/>
        </w:tabs>
        <w:spacing w:line="276" w:lineRule="auto"/>
        <w:jc w:val="both"/>
        <w:rPr>
          <w:rFonts w:ascii="Arial" w:eastAsia="Calibri" w:hAnsi="Arial" w:cs="Arial"/>
          <w:b/>
          <w:bCs/>
          <w:color w:val="000000"/>
          <w:sz w:val="22"/>
          <w:lang w:val="es-ES" w:eastAsia="en-GB"/>
        </w:rPr>
      </w:pPr>
      <w:r w:rsidRPr="000C0F96">
        <w:rPr>
          <w:rFonts w:ascii="Arial" w:eastAsia="Calibri" w:hAnsi="Arial" w:cs="Arial"/>
          <w:b/>
          <w:bCs/>
          <w:color w:val="000000"/>
          <w:sz w:val="22"/>
          <w:lang w:val="es-ES" w:eastAsia="en-GB"/>
        </w:rPr>
        <w:t>2.2. Los datos sensibles como límites al deber de divulgación proactiva de la información en la contratación estatal. Habeas data y política de transparencia</w:t>
      </w:r>
    </w:p>
    <w:p w14:paraId="55D1BEE1" w14:textId="77777777" w:rsidR="0001042D" w:rsidRPr="000C0F96" w:rsidRDefault="0001042D" w:rsidP="0001042D">
      <w:pPr>
        <w:spacing w:line="276" w:lineRule="auto"/>
        <w:jc w:val="both"/>
        <w:rPr>
          <w:rFonts w:ascii="Arial" w:eastAsia="Calibri" w:hAnsi="Arial" w:cs="Arial"/>
          <w:color w:val="000000" w:themeColor="text1"/>
          <w:sz w:val="22"/>
          <w:lang w:val="es-ES"/>
        </w:rPr>
      </w:pPr>
    </w:p>
    <w:p w14:paraId="555F2278" w14:textId="30226DF6" w:rsidR="009938C4" w:rsidRPr="000C0F96" w:rsidRDefault="00237634" w:rsidP="009938C4">
      <w:pPr>
        <w:tabs>
          <w:tab w:val="left" w:pos="426"/>
        </w:tabs>
        <w:spacing w:line="276" w:lineRule="auto"/>
        <w:jc w:val="both"/>
        <w:rPr>
          <w:rFonts w:ascii="Arial" w:eastAsia="Calibri" w:hAnsi="Arial" w:cs="Arial"/>
          <w:color w:val="000000"/>
          <w:sz w:val="22"/>
          <w:lang w:val="es-ES" w:eastAsia="en-GB"/>
        </w:rPr>
      </w:pPr>
      <w:r>
        <w:rPr>
          <w:rFonts w:ascii="Arial" w:eastAsia="Calibri" w:hAnsi="Arial" w:cs="Arial"/>
          <w:sz w:val="22"/>
          <w:lang w:val="es-ES"/>
        </w:rPr>
        <w:t>Sin perjuicio de</w:t>
      </w:r>
      <w:r w:rsidR="009938C4" w:rsidRPr="000C0F96">
        <w:rPr>
          <w:rFonts w:ascii="Arial" w:eastAsia="Calibri" w:hAnsi="Arial" w:cs="Arial"/>
          <w:sz w:val="22"/>
          <w:lang w:val="es-ES"/>
        </w:rPr>
        <w:t xml:space="preserve"> lo expresado en el numeral anterior, vale la pena aclarar que el cumplimiento del deber de publicación de la documentación contractual debe armonizarse con las normas aplicables al tipo de información que estas contienen. Lo anterior significa que, respecto de datos sensibles, información sometida a reserva o de la cual proceda un tratamiento especial que impida su publicidad, las entidades deberán proceder de conformidad con el tratamiento que impongan tales normas, absteniéndose, de ser el caso, de publicar </w:t>
      </w:r>
      <w:r w:rsidR="00FB7892" w:rsidRPr="00E05F9B">
        <w:rPr>
          <w:rFonts w:ascii="Arial" w:eastAsia="Calibri" w:hAnsi="Arial" w:cs="Arial"/>
          <w:i/>
          <w:iCs/>
          <w:sz w:val="22"/>
          <w:lang w:val="es-ES"/>
        </w:rPr>
        <w:t>Documentos del Proceso</w:t>
      </w:r>
      <w:r w:rsidR="009938C4" w:rsidRPr="000C0F96">
        <w:rPr>
          <w:rFonts w:ascii="Arial" w:eastAsia="Calibri" w:hAnsi="Arial" w:cs="Arial"/>
          <w:sz w:val="22"/>
          <w:lang w:val="es-ES"/>
        </w:rPr>
        <w:t xml:space="preserve">, o las partes pertinentes en las que se evidencie este tipo de información. Para dichos eventos, la plataforma SECOP II, </w:t>
      </w:r>
      <w:r w:rsidR="009938C4" w:rsidRPr="000C0F96">
        <w:rPr>
          <w:rFonts w:ascii="Arial" w:hAnsi="Arial" w:cs="Arial"/>
          <w:sz w:val="22"/>
          <w:lang w:val="es-ES"/>
        </w:rPr>
        <w:t>antes de publicar las ofertas, brinda a las entidades la opción de calificar dicha información como confidencial, lo cual impide que los documentos se publiquen.</w:t>
      </w:r>
    </w:p>
    <w:p w14:paraId="3DBA30EF" w14:textId="77777777" w:rsidR="009938C4" w:rsidRPr="000C0F96" w:rsidRDefault="009938C4" w:rsidP="009938C4">
      <w:pPr>
        <w:spacing w:before="120" w:line="276" w:lineRule="auto"/>
        <w:ind w:firstLine="709"/>
        <w:jc w:val="both"/>
        <w:rPr>
          <w:rFonts w:ascii="Arial" w:hAnsi="Arial" w:cs="Arial"/>
          <w:sz w:val="22"/>
          <w:lang w:val="es-ES"/>
        </w:rPr>
      </w:pPr>
      <w:r w:rsidRPr="000C0F96">
        <w:rPr>
          <w:rFonts w:ascii="Arial" w:eastAsia="Calibri" w:hAnsi="Arial" w:cs="Arial"/>
          <w:color w:val="000000"/>
          <w:sz w:val="22"/>
          <w:lang w:val="es-ES" w:eastAsia="en-GB"/>
        </w:rPr>
        <w:t xml:space="preserve">En otras palabras, por más de que el artículo 74 de la Constitución establezca que la información pública debe ser dada a conocer a la ciudadanía y así los documentos que hagan parte de la actividad contractual puedan catalogarse, </w:t>
      </w:r>
      <w:r w:rsidRPr="000C0F96">
        <w:rPr>
          <w:rFonts w:ascii="Arial" w:eastAsia="Calibri" w:hAnsi="Arial" w:cs="Arial"/>
          <w:i/>
          <w:iCs/>
          <w:color w:val="000000"/>
          <w:sz w:val="22"/>
          <w:lang w:val="es-ES" w:eastAsia="en-GB"/>
        </w:rPr>
        <w:t>prima facie,</w:t>
      </w:r>
      <w:r w:rsidRPr="000C0F96">
        <w:rPr>
          <w:rFonts w:ascii="Arial" w:eastAsia="Calibri" w:hAnsi="Arial" w:cs="Arial"/>
          <w:color w:val="000000"/>
          <w:sz w:val="22"/>
          <w:lang w:val="es-ES" w:eastAsia="en-GB"/>
        </w:rPr>
        <w:t xml:space="preserve"> como información pública, cuando dicha documentación contenga datos sensibles, operan algunas restricciones a su publicidad. Sin embargo, esto no necesariamente convierte el documento completo en reservado, es decir, en un documento que no puede publicarse.</w:t>
      </w:r>
    </w:p>
    <w:p w14:paraId="2AF40469" w14:textId="77777777" w:rsidR="009938C4" w:rsidRPr="000C0F96" w:rsidRDefault="009938C4" w:rsidP="009938C4">
      <w:pPr>
        <w:tabs>
          <w:tab w:val="left" w:pos="426"/>
        </w:tabs>
        <w:spacing w:before="120" w:line="276" w:lineRule="auto"/>
        <w:ind w:firstLine="709"/>
        <w:jc w:val="both"/>
        <w:rPr>
          <w:rFonts w:ascii="Arial" w:eastAsia="Calibri" w:hAnsi="Arial" w:cs="Arial"/>
          <w:color w:val="000000"/>
          <w:sz w:val="22"/>
          <w:lang w:val="es-ES" w:eastAsia="en-GB"/>
        </w:rPr>
      </w:pPr>
      <w:r w:rsidRPr="000C0F96">
        <w:rPr>
          <w:rFonts w:ascii="Arial" w:eastAsia="Calibri" w:hAnsi="Arial" w:cs="Arial"/>
          <w:color w:val="000000"/>
          <w:sz w:val="22"/>
          <w:lang w:val="es-ES" w:eastAsia="en-GB"/>
        </w:rPr>
        <w:t>El enunciado constitucional, en armonía con los artículos 18 y 19 de la Ley 1712 de 2014 y los artículos 24 y 25 de la Ley 1437 de 2011, establecen que el derecho de acceso a la información o documentación pública no es absoluto, sino que puede exceptuarse cuando se configuren causales de reserva. Así mismo, hay información que goza de protección especial y no puede divulgarse. La información pública que contiene datos semiprivados o privados, definidos en los literales g) y h) del artículo 3° de la Ley 1266 de 2008, clasificados o reservados, según los artículos 18 y 19 de la Ley 1712 de 2014, o datos personales o sensibles, según lo previsto en los artículos 3° y 5° de la Ley 1581 de 2012 y en el numeral 3° del artículo 3° del Decreto 1377 de 2013, solo podrá divulgarse según las reglas establecidas en dichas normas. Pero esto no quiere decir que todo el documento se convierta en reservado, sino que se debe proceder como se indica a continuación.</w:t>
      </w:r>
    </w:p>
    <w:p w14:paraId="0457F09D" w14:textId="64FA1C7E" w:rsidR="00650FD9" w:rsidRPr="000C0F96" w:rsidRDefault="009938C4" w:rsidP="009938C4">
      <w:pPr>
        <w:tabs>
          <w:tab w:val="left" w:pos="426"/>
        </w:tabs>
        <w:spacing w:before="120" w:line="276" w:lineRule="auto"/>
        <w:ind w:firstLine="709"/>
        <w:jc w:val="both"/>
        <w:rPr>
          <w:rFonts w:ascii="Arial" w:eastAsia="Calibri" w:hAnsi="Arial" w:cs="Arial"/>
          <w:color w:val="000000"/>
          <w:sz w:val="22"/>
          <w:lang w:val="es-ES" w:eastAsia="en-GB"/>
        </w:rPr>
      </w:pPr>
      <w:r w:rsidRPr="000C0F96">
        <w:rPr>
          <w:rFonts w:ascii="Arial" w:eastAsia="Calibri" w:hAnsi="Arial" w:cs="Arial"/>
          <w:color w:val="000000"/>
          <w:sz w:val="22"/>
          <w:lang w:val="es-ES" w:eastAsia="en-GB"/>
        </w:rPr>
        <w:lastRenderedPageBreak/>
        <w:t>Cuando el documento contractual tenga información sensible, clasificada o reservada, para proteger la información, las autoridades deben abstenerse de publicar en el SECOP la información que tiene protección especial, tal como sucede con</w:t>
      </w:r>
      <w:r w:rsidR="00650FD9" w:rsidRPr="000C0F96">
        <w:rPr>
          <w:rFonts w:ascii="Arial" w:eastAsia="Calibri" w:hAnsi="Arial" w:cs="Arial"/>
          <w:color w:val="000000"/>
          <w:sz w:val="22"/>
          <w:lang w:val="es-ES" w:eastAsia="en-GB"/>
        </w:rPr>
        <w:t xml:space="preserve"> el contenido de la hoja de vida que involucre información relacionada con los derechos a la privacidad e intimidad de las personas</w:t>
      </w:r>
      <w:r w:rsidR="00650FD9" w:rsidRPr="000C0F96">
        <w:rPr>
          <w:rStyle w:val="Refdenotaalpie"/>
          <w:rFonts w:ascii="Arial" w:eastAsia="Calibri" w:hAnsi="Arial" w:cs="Arial"/>
          <w:color w:val="000000"/>
          <w:sz w:val="22"/>
          <w:lang w:val="es-ES" w:eastAsia="en-GB"/>
        </w:rPr>
        <w:footnoteReference w:id="11"/>
      </w:r>
      <w:r w:rsidR="00650FD9" w:rsidRPr="000C0F96">
        <w:rPr>
          <w:rFonts w:ascii="Arial" w:eastAsia="Calibri" w:hAnsi="Arial" w:cs="Arial"/>
          <w:color w:val="000000"/>
          <w:sz w:val="22"/>
          <w:lang w:val="es-ES" w:eastAsia="en-GB"/>
        </w:rPr>
        <w:t xml:space="preserve">, situación que podría materializarse </w:t>
      </w:r>
      <w:r w:rsidR="00213B03">
        <w:rPr>
          <w:rFonts w:ascii="Arial" w:eastAsia="Calibri" w:hAnsi="Arial" w:cs="Arial"/>
          <w:color w:val="000000"/>
          <w:sz w:val="22"/>
          <w:lang w:val="es-ES" w:eastAsia="en-GB"/>
        </w:rPr>
        <w:t xml:space="preserve">en </w:t>
      </w:r>
      <w:r w:rsidR="00556BBD" w:rsidRPr="000C0F96">
        <w:rPr>
          <w:rFonts w:ascii="Arial" w:eastAsia="Calibri" w:hAnsi="Arial" w:cs="Arial"/>
          <w:color w:val="000000"/>
          <w:sz w:val="22"/>
          <w:lang w:val="es-ES" w:eastAsia="en-GB"/>
        </w:rPr>
        <w:t xml:space="preserve">lo </w:t>
      </w:r>
      <w:r w:rsidR="00650FD9" w:rsidRPr="000C0F96">
        <w:rPr>
          <w:rFonts w:ascii="Arial" w:eastAsia="Calibri" w:hAnsi="Arial" w:cs="Arial"/>
          <w:color w:val="000000"/>
          <w:sz w:val="22"/>
          <w:lang w:val="es-ES" w:eastAsia="en-GB"/>
        </w:rPr>
        <w:t>descrit</w:t>
      </w:r>
      <w:r w:rsidR="00556BBD" w:rsidRPr="000C0F96">
        <w:rPr>
          <w:rFonts w:ascii="Arial" w:eastAsia="Calibri" w:hAnsi="Arial" w:cs="Arial"/>
          <w:color w:val="000000"/>
          <w:sz w:val="22"/>
          <w:lang w:val="es-ES" w:eastAsia="en-GB"/>
        </w:rPr>
        <w:t>o</w:t>
      </w:r>
      <w:r w:rsidR="00650FD9" w:rsidRPr="000C0F96">
        <w:rPr>
          <w:rFonts w:ascii="Arial" w:eastAsia="Calibri" w:hAnsi="Arial" w:cs="Arial"/>
          <w:color w:val="000000"/>
          <w:sz w:val="22"/>
          <w:lang w:val="es-ES" w:eastAsia="en-GB"/>
        </w:rPr>
        <w:t xml:space="preserve"> en la petición, pues podría suceder que </w:t>
      </w:r>
      <w:r w:rsidR="00556BBD" w:rsidRPr="000C0F96">
        <w:rPr>
          <w:rFonts w:ascii="Arial" w:eastAsia="Calibri" w:hAnsi="Arial" w:cs="Arial"/>
          <w:color w:val="000000"/>
          <w:sz w:val="22"/>
          <w:lang w:val="es-ES" w:eastAsia="en-GB"/>
        </w:rPr>
        <w:t>parte</w:t>
      </w:r>
      <w:r w:rsidR="00650FD9" w:rsidRPr="000C0F96">
        <w:rPr>
          <w:rFonts w:ascii="Arial" w:eastAsia="Calibri" w:hAnsi="Arial" w:cs="Arial"/>
          <w:color w:val="000000"/>
          <w:sz w:val="22"/>
          <w:lang w:val="es-ES" w:eastAsia="en-GB"/>
        </w:rPr>
        <w:t xml:space="preserve"> información contenida en la hoja de vida del SIGEP o sus anexos  </w:t>
      </w:r>
      <w:r w:rsidR="00556BBD" w:rsidRPr="000C0F96">
        <w:rPr>
          <w:rFonts w:ascii="Arial" w:eastAsia="Calibri" w:hAnsi="Arial" w:cs="Arial"/>
          <w:color w:val="000000"/>
          <w:sz w:val="22"/>
          <w:lang w:val="es-ES" w:eastAsia="en-GB"/>
        </w:rPr>
        <w:t>est</w:t>
      </w:r>
      <w:r w:rsidR="00213B03">
        <w:rPr>
          <w:rFonts w:ascii="Arial" w:eastAsia="Calibri" w:hAnsi="Arial" w:cs="Arial"/>
          <w:color w:val="000000"/>
          <w:sz w:val="22"/>
          <w:lang w:val="es-ES" w:eastAsia="en-GB"/>
        </w:rPr>
        <w:t>é</w:t>
      </w:r>
      <w:r w:rsidR="00556BBD" w:rsidRPr="000C0F96">
        <w:rPr>
          <w:rFonts w:ascii="Arial" w:eastAsia="Calibri" w:hAnsi="Arial" w:cs="Arial"/>
          <w:color w:val="000000"/>
          <w:sz w:val="22"/>
          <w:lang w:val="es-ES" w:eastAsia="en-GB"/>
        </w:rPr>
        <w:t xml:space="preserve"> relacionada con la intimidad y privacidad del contratista. </w:t>
      </w:r>
    </w:p>
    <w:p w14:paraId="6E5A03D6" w14:textId="28181AB0" w:rsidR="009938C4" w:rsidRDefault="009938C4" w:rsidP="009938C4">
      <w:pPr>
        <w:tabs>
          <w:tab w:val="left" w:pos="426"/>
        </w:tabs>
        <w:spacing w:before="120" w:line="276" w:lineRule="auto"/>
        <w:ind w:firstLine="709"/>
        <w:jc w:val="both"/>
        <w:rPr>
          <w:rFonts w:ascii="Arial" w:eastAsia="Calibri" w:hAnsi="Arial" w:cs="Arial"/>
          <w:color w:val="000000"/>
          <w:sz w:val="22"/>
          <w:lang w:val="es-ES" w:eastAsia="en-GB"/>
        </w:rPr>
      </w:pPr>
      <w:r w:rsidRPr="000C0F96">
        <w:rPr>
          <w:rFonts w:ascii="Arial" w:eastAsia="Calibri" w:hAnsi="Arial" w:cs="Arial"/>
          <w:color w:val="000000"/>
          <w:sz w:val="22"/>
          <w:lang w:val="es-ES" w:eastAsia="en-GB"/>
        </w:rPr>
        <w:t>Sin embargo, de acuerdo con el segundo inciso del artículo 25 de la Ley 1437 de 2011 «La restricción por reserva legal no se extenderá a otras piezas del respectivo expediente o actuación que no estén cubiertas por ella». Por ello, la entidad estatal deberá excluir del documento entregado por el proponente en el procedimiento contractual la información que contenga datos sensibles, clasificados o reservados, para no divulgarla, pero debe publicar las demás piezas de la oferta o los apartados que no gozan de reserva o que no están protegidos por las disposiciones de habeas data.</w:t>
      </w:r>
      <w:r w:rsidR="00556BBD" w:rsidRPr="000C0F96">
        <w:rPr>
          <w:rFonts w:ascii="Arial" w:eastAsia="Calibri" w:hAnsi="Arial" w:cs="Arial"/>
          <w:color w:val="000000"/>
          <w:sz w:val="22"/>
          <w:lang w:val="es-ES" w:eastAsia="en-GB"/>
        </w:rPr>
        <w:t xml:space="preserve"> En consecuencia, la entidad contratante al momento de recibir información sujeta a reserva legal o cuyo contenido involucre datos sensibles, deberá abstenerse de publicarlos en el SECOP y por consiguiente tendrá que incorporarlos en un cuaderno separado en los términos del tercer inciso del artículo 36 del CPACA</w:t>
      </w:r>
      <w:r w:rsidR="00556BBD" w:rsidRPr="000C0F96">
        <w:rPr>
          <w:rStyle w:val="Refdenotaalpie"/>
          <w:rFonts w:ascii="Arial" w:eastAsia="Calibri" w:hAnsi="Arial" w:cs="Arial"/>
          <w:color w:val="000000"/>
          <w:sz w:val="22"/>
          <w:lang w:val="es-ES" w:eastAsia="en-GB"/>
        </w:rPr>
        <w:footnoteReference w:id="12"/>
      </w:r>
      <w:r w:rsidR="00556BBD" w:rsidRPr="000C0F96">
        <w:rPr>
          <w:rFonts w:ascii="Arial" w:eastAsia="Calibri" w:hAnsi="Arial" w:cs="Arial"/>
          <w:color w:val="000000"/>
          <w:sz w:val="22"/>
          <w:lang w:val="es-ES" w:eastAsia="en-GB"/>
        </w:rPr>
        <w:t xml:space="preserve">.  </w:t>
      </w:r>
    </w:p>
    <w:p w14:paraId="015B245A" w14:textId="77777777" w:rsidR="0026186C" w:rsidRPr="000C0F96" w:rsidRDefault="0026186C" w:rsidP="0026186C">
      <w:pPr>
        <w:spacing w:line="276" w:lineRule="auto"/>
        <w:jc w:val="both"/>
        <w:rPr>
          <w:rFonts w:ascii="Arial" w:eastAsia="Arial" w:hAnsi="Arial" w:cs="Arial"/>
          <w:color w:val="000000" w:themeColor="text1"/>
          <w:sz w:val="22"/>
          <w:lang w:val="es-ES"/>
        </w:rPr>
      </w:pPr>
    </w:p>
    <w:p w14:paraId="208E4E4A" w14:textId="77777777" w:rsidR="0026186C" w:rsidRPr="000C0F96" w:rsidRDefault="0026186C" w:rsidP="00E05F9B">
      <w:pPr>
        <w:pStyle w:val="Prrafodelista"/>
        <w:numPr>
          <w:ilvl w:val="0"/>
          <w:numId w:val="9"/>
        </w:numPr>
        <w:spacing w:line="276" w:lineRule="auto"/>
        <w:ind w:left="426" w:hanging="426"/>
        <w:jc w:val="both"/>
        <w:rPr>
          <w:rFonts w:eastAsiaTheme="minorEastAsia"/>
          <w:b/>
          <w:bCs/>
          <w:color w:val="000000" w:themeColor="text1"/>
          <w:sz w:val="22"/>
          <w:lang w:val="es-ES"/>
        </w:rPr>
      </w:pPr>
      <w:r w:rsidRPr="000C0F96">
        <w:rPr>
          <w:rFonts w:ascii="Arial" w:eastAsia="Arial" w:hAnsi="Arial" w:cs="Arial"/>
          <w:b/>
          <w:bCs/>
          <w:color w:val="000000" w:themeColor="text1"/>
          <w:sz w:val="22"/>
          <w:lang w:val="es-ES"/>
        </w:rPr>
        <w:t xml:space="preserve">Respuesta </w:t>
      </w:r>
    </w:p>
    <w:p w14:paraId="0BC762EC" w14:textId="77777777" w:rsidR="00E5219B" w:rsidRPr="000C0F96" w:rsidRDefault="00E5219B" w:rsidP="00E5219B">
      <w:pPr>
        <w:ind w:left="709" w:right="709"/>
        <w:jc w:val="both"/>
        <w:rPr>
          <w:rFonts w:ascii="Arial" w:eastAsia="Arial" w:hAnsi="Arial" w:cs="Arial"/>
          <w:color w:val="000000" w:themeColor="text1"/>
          <w:sz w:val="21"/>
          <w:szCs w:val="21"/>
          <w:lang w:val="es-ES"/>
        </w:rPr>
      </w:pPr>
    </w:p>
    <w:p w14:paraId="2A5C51C2" w14:textId="77777777" w:rsidR="007C5FB9" w:rsidRDefault="00556BBD" w:rsidP="007C5FB9">
      <w:pPr>
        <w:ind w:left="709" w:right="709"/>
        <w:jc w:val="both"/>
        <w:rPr>
          <w:rFonts w:ascii="Arial" w:eastAsia="Arial" w:hAnsi="Arial" w:cs="Arial"/>
          <w:color w:val="000000" w:themeColor="text1"/>
          <w:sz w:val="21"/>
          <w:szCs w:val="21"/>
          <w:lang w:val="es-ES"/>
        </w:rPr>
      </w:pPr>
      <w:r w:rsidRPr="000C0F96">
        <w:rPr>
          <w:rFonts w:ascii="Arial" w:eastAsia="Arial" w:hAnsi="Arial" w:cs="Arial"/>
          <w:color w:val="000000" w:themeColor="text1"/>
          <w:sz w:val="21"/>
          <w:szCs w:val="21"/>
          <w:lang w:val="es-ES"/>
        </w:rPr>
        <w:t xml:space="preserve">«Teniendo de presente la ley de protección de datos personales, pero al mismo tiempo la Ley 1712 de 2014, y conceptos de Colombia Compra Eficiente en los cuales establece que: "La Entidad Estatal está obligada a publicar en el SECOP los Documentos del Proceso y los actos administrativos del Proceso de Contratación." en (sic) base al </w:t>
      </w:r>
      <w:proofErr w:type="spellStart"/>
      <w:r w:rsidRPr="000C0F96">
        <w:rPr>
          <w:rFonts w:ascii="Arial" w:eastAsia="Arial" w:hAnsi="Arial" w:cs="Arial"/>
          <w:color w:val="000000" w:themeColor="text1"/>
          <w:sz w:val="21"/>
          <w:szCs w:val="21"/>
          <w:lang w:val="es-ES"/>
        </w:rPr>
        <w:t>articulo</w:t>
      </w:r>
      <w:proofErr w:type="spellEnd"/>
      <w:r w:rsidRPr="000C0F96">
        <w:rPr>
          <w:rFonts w:ascii="Arial" w:eastAsia="Arial" w:hAnsi="Arial" w:cs="Arial"/>
          <w:color w:val="000000" w:themeColor="text1"/>
          <w:sz w:val="21"/>
          <w:szCs w:val="21"/>
          <w:lang w:val="es-ES"/>
        </w:rPr>
        <w:t xml:space="preserve"> 2.2.1.1.1.3.1 del Decreto 1082 de 2015; i) «se (sic) debe publicar la hoja de vida del SIGEP junto con sus anexos CC, tarjeta profesional, ¿experiencia y demás al (sic) SECOP?» y ii) «en (sic) caso de ser negativa o afirmativa la respuesta, ¿</w:t>
      </w:r>
      <w:proofErr w:type="spellStart"/>
      <w:r w:rsidRPr="000C0F96">
        <w:rPr>
          <w:rFonts w:ascii="Arial" w:eastAsia="Arial" w:hAnsi="Arial" w:cs="Arial"/>
          <w:color w:val="000000" w:themeColor="text1"/>
          <w:sz w:val="21"/>
          <w:szCs w:val="21"/>
          <w:lang w:val="es-ES"/>
        </w:rPr>
        <w:t>cual</w:t>
      </w:r>
      <w:proofErr w:type="spellEnd"/>
      <w:r w:rsidRPr="000C0F96">
        <w:rPr>
          <w:rFonts w:ascii="Arial" w:eastAsia="Arial" w:hAnsi="Arial" w:cs="Arial"/>
          <w:color w:val="000000" w:themeColor="text1"/>
          <w:sz w:val="21"/>
          <w:szCs w:val="21"/>
          <w:lang w:val="es-ES"/>
        </w:rPr>
        <w:t xml:space="preserve"> (sic) seria (sic) la normatividad aplicable a cada caso?»</w:t>
      </w:r>
    </w:p>
    <w:p w14:paraId="392EAF5B" w14:textId="03DD05A2" w:rsidR="00E936F3" w:rsidRPr="007C5FB9" w:rsidRDefault="00E936F3" w:rsidP="007C5FB9">
      <w:pPr>
        <w:jc w:val="both"/>
        <w:rPr>
          <w:rFonts w:ascii="Arial" w:eastAsia="Arial" w:hAnsi="Arial" w:cs="Arial"/>
          <w:color w:val="000000" w:themeColor="text1"/>
          <w:sz w:val="21"/>
          <w:szCs w:val="21"/>
          <w:lang w:val="es-ES"/>
        </w:rPr>
      </w:pPr>
    </w:p>
    <w:p w14:paraId="05C2A3FA" w14:textId="512DDBA9" w:rsidR="00E936F3" w:rsidRPr="000C0F96" w:rsidRDefault="00213B03" w:rsidP="00E05F9B">
      <w:pPr>
        <w:spacing w:before="120" w:after="120" w:line="276" w:lineRule="auto"/>
        <w:jc w:val="both"/>
        <w:rPr>
          <w:rFonts w:ascii="Arial" w:eastAsia="Calibri" w:hAnsi="Arial" w:cs="Arial"/>
          <w:sz w:val="22"/>
          <w:lang w:val="es-ES"/>
        </w:rPr>
      </w:pPr>
      <w:r>
        <w:rPr>
          <w:rFonts w:ascii="Arial" w:eastAsia="Arial" w:hAnsi="Arial" w:cs="Arial"/>
          <w:color w:val="000000" w:themeColor="text1"/>
          <w:sz w:val="22"/>
          <w:lang w:val="es-ES"/>
        </w:rPr>
        <w:lastRenderedPageBreak/>
        <w:t>De conformidad con lo expuesto, t</w:t>
      </w:r>
      <w:r w:rsidR="004D2833" w:rsidRPr="000C0F96">
        <w:rPr>
          <w:rFonts w:ascii="Arial" w:eastAsia="Arial" w:hAnsi="Arial" w:cs="Arial"/>
          <w:color w:val="000000" w:themeColor="text1"/>
          <w:sz w:val="22"/>
          <w:lang w:val="es-ES"/>
        </w:rPr>
        <w:t xml:space="preserve">eniendo en cuenta las disposiciones establecidas en </w:t>
      </w:r>
      <w:r w:rsidR="004D2833" w:rsidRPr="000C0F96">
        <w:rPr>
          <w:rFonts w:ascii="Arial" w:eastAsia="Calibri" w:hAnsi="Arial" w:cs="Arial"/>
          <w:sz w:val="22"/>
          <w:lang w:val="es-ES"/>
        </w:rPr>
        <w:t xml:space="preserve">el artículo 3 de la ley 1150 de 2007, el </w:t>
      </w:r>
      <w:r w:rsidR="004D2833" w:rsidRPr="000C0F96">
        <w:rPr>
          <w:rFonts w:ascii="Arial" w:eastAsia="Arial" w:hAnsi="Arial" w:cs="Arial"/>
          <w:sz w:val="22"/>
          <w:lang w:val="es-ES"/>
        </w:rPr>
        <w:t xml:space="preserve">artículo 2.2.1.1.1.7.1. del Decreto 1082 de 2015, la Ley 1712 de 2014 y el Decreto 1081 de 2015, </w:t>
      </w:r>
      <w:r w:rsidR="004D2833" w:rsidRPr="000C0F96">
        <w:rPr>
          <w:rFonts w:ascii="Arial" w:hAnsi="Arial" w:cs="Arial"/>
          <w:sz w:val="22"/>
          <w:lang w:val="es-ES"/>
        </w:rPr>
        <w:t xml:space="preserve">la hoja de vida del SIGEP junto con los documentos que soportan la información contenida deberán publicarse en el SECOP. Esto se debe a que este documento tiene la utilidad de servir como fuente de información para que la ciudadanía pueda conocer sobre la </w:t>
      </w:r>
      <w:r w:rsidR="007C5FB9" w:rsidRPr="000C0F96">
        <w:rPr>
          <w:rFonts w:ascii="Arial" w:hAnsi="Arial" w:cs="Arial"/>
          <w:sz w:val="22"/>
          <w:lang w:val="es-ES"/>
        </w:rPr>
        <w:t>idoneidad</w:t>
      </w:r>
      <w:r w:rsidR="004D2833" w:rsidRPr="000C0F96">
        <w:rPr>
          <w:rFonts w:ascii="Arial" w:hAnsi="Arial" w:cs="Arial"/>
          <w:sz w:val="22"/>
          <w:lang w:val="es-ES"/>
        </w:rPr>
        <w:t xml:space="preserve"> de la persona que para ejecutar el contrato estatal y en esta medida se garantice la </w:t>
      </w:r>
      <w:r w:rsidR="004D2833" w:rsidRPr="000C0F96">
        <w:rPr>
          <w:rFonts w:ascii="Arial" w:eastAsia="Calibri" w:hAnsi="Arial" w:cs="Arial"/>
          <w:sz w:val="22"/>
          <w:lang w:val="es-ES"/>
        </w:rPr>
        <w:t>transparencia y el acceso a la información del proceso de contratación.</w:t>
      </w:r>
    </w:p>
    <w:p w14:paraId="350E3004" w14:textId="3AB6342E" w:rsidR="004D2833" w:rsidRPr="000C0F96" w:rsidRDefault="004D2833" w:rsidP="007C5FB9">
      <w:pPr>
        <w:spacing w:before="120" w:after="120" w:line="276" w:lineRule="auto"/>
        <w:ind w:firstLine="709"/>
        <w:jc w:val="both"/>
        <w:rPr>
          <w:rFonts w:ascii="Arial" w:eastAsia="Calibri" w:hAnsi="Arial" w:cs="Arial"/>
          <w:sz w:val="22"/>
          <w:lang w:val="es-ES"/>
        </w:rPr>
      </w:pPr>
      <w:r w:rsidRPr="000C0F96">
        <w:rPr>
          <w:rFonts w:ascii="Arial" w:eastAsia="Calibri" w:hAnsi="Arial" w:cs="Arial"/>
          <w:sz w:val="22"/>
          <w:lang w:val="es-ES"/>
        </w:rPr>
        <w:t xml:space="preserve">Lo anterior sin perjuicio de que en el evento en el que la hoja de vida o sus anexos contengan datos sensibles o información reservada, la entidad </w:t>
      </w:r>
      <w:r w:rsidR="00F43D3E" w:rsidRPr="000C0F96">
        <w:rPr>
          <w:rFonts w:ascii="Arial" w:eastAsia="Calibri" w:hAnsi="Arial" w:cs="Arial"/>
          <w:sz w:val="22"/>
          <w:lang w:val="es-ES"/>
        </w:rPr>
        <w:t>estatal deba</w:t>
      </w:r>
      <w:r w:rsidRPr="000C0F96">
        <w:rPr>
          <w:rFonts w:ascii="Arial" w:eastAsia="Calibri" w:hAnsi="Arial" w:cs="Arial"/>
          <w:sz w:val="22"/>
          <w:lang w:val="es-ES"/>
        </w:rPr>
        <w:t xml:space="preserve"> abstenerse de publicar en el SECOP dicha información</w:t>
      </w:r>
      <w:r w:rsidR="00213B03">
        <w:rPr>
          <w:rFonts w:ascii="Arial" w:eastAsia="Calibri" w:hAnsi="Arial" w:cs="Arial"/>
          <w:sz w:val="22"/>
          <w:lang w:val="es-ES"/>
        </w:rPr>
        <w:t>.</w:t>
      </w:r>
      <w:r w:rsidRPr="000C0F96">
        <w:rPr>
          <w:rFonts w:ascii="Arial" w:eastAsia="Calibri" w:hAnsi="Arial" w:cs="Arial"/>
          <w:sz w:val="22"/>
          <w:lang w:val="es-ES"/>
        </w:rPr>
        <w:t xml:space="preserve"> </w:t>
      </w:r>
      <w:r w:rsidR="00213B03">
        <w:rPr>
          <w:rFonts w:ascii="Arial" w:eastAsia="Calibri" w:hAnsi="Arial" w:cs="Arial"/>
          <w:sz w:val="22"/>
          <w:lang w:val="es-ES"/>
        </w:rPr>
        <w:t xml:space="preserve">A los documentos que contengan tal información, se les deberá dar el tratamiento indicado </w:t>
      </w:r>
      <w:proofErr w:type="gramStart"/>
      <w:r w:rsidR="00213B03">
        <w:rPr>
          <w:rFonts w:ascii="Arial" w:eastAsia="Calibri" w:hAnsi="Arial" w:cs="Arial"/>
          <w:sz w:val="22"/>
          <w:lang w:val="es-ES"/>
        </w:rPr>
        <w:t xml:space="preserve">en </w:t>
      </w:r>
      <w:r w:rsidR="00FA1413" w:rsidRPr="000C0F96">
        <w:rPr>
          <w:rFonts w:ascii="Arial" w:eastAsia="Calibri" w:hAnsi="Arial" w:cs="Arial"/>
          <w:sz w:val="22"/>
          <w:lang w:val="es-ES"/>
        </w:rPr>
        <w:t xml:space="preserve"> el</w:t>
      </w:r>
      <w:proofErr w:type="gramEnd"/>
      <w:r w:rsidR="00FA1413" w:rsidRPr="000C0F96">
        <w:rPr>
          <w:rFonts w:ascii="Arial" w:eastAsia="Calibri" w:hAnsi="Arial" w:cs="Arial"/>
          <w:sz w:val="22"/>
          <w:lang w:val="es-ES"/>
        </w:rPr>
        <w:t xml:space="preserve"> artículo 36 del CPACA</w:t>
      </w:r>
      <w:r w:rsidR="00213B03">
        <w:rPr>
          <w:rFonts w:ascii="Arial" w:eastAsia="Calibri" w:hAnsi="Arial" w:cs="Arial"/>
          <w:sz w:val="22"/>
          <w:lang w:val="es-ES"/>
        </w:rPr>
        <w:t>, que señala que deben ser incluidos en cuaderno separado.</w:t>
      </w:r>
    </w:p>
    <w:p w14:paraId="18D9DAF0" w14:textId="77777777" w:rsidR="0026186C" w:rsidRPr="000C0F96" w:rsidRDefault="0026186C" w:rsidP="0026186C">
      <w:pPr>
        <w:rPr>
          <w:rFonts w:ascii="Arial" w:eastAsia="Arial" w:hAnsi="Arial" w:cs="Arial"/>
          <w:color w:val="000000" w:themeColor="text1"/>
          <w:sz w:val="22"/>
          <w:lang w:val="es-ES"/>
        </w:rPr>
      </w:pPr>
    </w:p>
    <w:p w14:paraId="33D1DA26" w14:textId="77777777" w:rsidR="0026186C" w:rsidRPr="000C0F96" w:rsidRDefault="0026186C" w:rsidP="0026186C">
      <w:pPr>
        <w:rPr>
          <w:rFonts w:ascii="Arial" w:eastAsia="Arial" w:hAnsi="Arial" w:cs="Arial"/>
          <w:color w:val="000000" w:themeColor="text1"/>
          <w:sz w:val="22"/>
          <w:lang w:val="es-ES"/>
        </w:rPr>
      </w:pPr>
    </w:p>
    <w:p w14:paraId="14AAA0B9" w14:textId="77777777" w:rsidR="0026186C" w:rsidRPr="000C0F96" w:rsidRDefault="0026186C" w:rsidP="0026186C">
      <w:pPr>
        <w:rPr>
          <w:rFonts w:ascii="Arial" w:eastAsia="Arial" w:hAnsi="Arial" w:cs="Arial"/>
          <w:color w:val="000000" w:themeColor="text1"/>
          <w:sz w:val="22"/>
          <w:lang w:val="es-ES"/>
        </w:rPr>
      </w:pPr>
      <w:r w:rsidRPr="000C0F96">
        <w:rPr>
          <w:rFonts w:ascii="Arial" w:eastAsia="Arial" w:hAnsi="Arial" w:cs="Arial"/>
          <w:color w:val="000000" w:themeColor="text1"/>
          <w:sz w:val="22"/>
          <w:lang w:val="es-ES"/>
        </w:rPr>
        <w:t>Atentamente,</w:t>
      </w:r>
    </w:p>
    <w:p w14:paraId="70E4A688" w14:textId="77777777" w:rsidR="0026186C" w:rsidRPr="000C0F96" w:rsidRDefault="0026186C" w:rsidP="0026186C">
      <w:pPr>
        <w:rPr>
          <w:rFonts w:ascii="Arial" w:eastAsia="Arial" w:hAnsi="Arial" w:cs="Arial"/>
          <w:color w:val="000000" w:themeColor="text1"/>
          <w:sz w:val="22"/>
          <w:lang w:val="es-ES"/>
        </w:rPr>
      </w:pPr>
    </w:p>
    <w:p w14:paraId="0ED59AA2" w14:textId="4096BF94" w:rsidR="0026186C" w:rsidRPr="000C0F96" w:rsidRDefault="5BF96488" w:rsidP="126A48C9">
      <w:pPr>
        <w:jc w:val="center"/>
      </w:pPr>
      <w:r>
        <w:rPr>
          <w:noProof/>
          <w:lang w:val="en-US"/>
        </w:rPr>
        <w:drawing>
          <wp:inline distT="0" distB="0" distL="0" distR="0" wp14:anchorId="69D7EF64" wp14:editId="275BCB3C">
            <wp:extent cx="2809875" cy="1239138"/>
            <wp:effectExtent l="0" t="0" r="0" b="0"/>
            <wp:docPr id="264536199" name="Imagen 264536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809875" cy="1239138"/>
                    </a:xfrm>
                    <a:prstGeom prst="rect">
                      <a:avLst/>
                    </a:prstGeom>
                  </pic:spPr>
                </pic:pic>
              </a:graphicData>
            </a:graphic>
          </wp:inline>
        </w:drawing>
      </w:r>
    </w:p>
    <w:p w14:paraId="3399E9A2" w14:textId="77777777" w:rsidR="0026186C" w:rsidRPr="000C0F96" w:rsidRDefault="0026186C" w:rsidP="0026186C">
      <w:pPr>
        <w:jc w:val="center"/>
        <w:rPr>
          <w:rFonts w:ascii="Arial" w:eastAsia="Arial" w:hAnsi="Arial" w:cs="Arial"/>
          <w:color w:val="000000" w:themeColor="text1"/>
          <w:sz w:val="18"/>
          <w:szCs w:val="18"/>
          <w:lang w:val="es-ES"/>
        </w:rPr>
      </w:pPr>
    </w:p>
    <w:p w14:paraId="32A4A8D8" w14:textId="77777777" w:rsidR="0026186C" w:rsidRPr="000C0F96" w:rsidRDefault="0026186C" w:rsidP="0026186C">
      <w:pPr>
        <w:jc w:val="center"/>
        <w:rPr>
          <w:rFonts w:ascii="Arial" w:eastAsia="Arial" w:hAnsi="Arial" w:cs="Arial"/>
          <w:color w:val="000000" w:themeColor="text1"/>
          <w:sz w:val="18"/>
          <w:szCs w:val="18"/>
          <w:lang w:val="es-ES"/>
        </w:rPr>
      </w:pPr>
    </w:p>
    <w:tbl>
      <w:tblPr>
        <w:tblStyle w:val="Tablaconcuadrcula"/>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810"/>
        <w:gridCol w:w="4410"/>
      </w:tblGrid>
      <w:tr w:rsidR="0026186C" w:rsidRPr="000C0F96" w14:paraId="73200623" w14:textId="77777777" w:rsidTr="00E05F9B">
        <w:trPr>
          <w:trHeight w:val="315"/>
        </w:trPr>
        <w:tc>
          <w:tcPr>
            <w:tcW w:w="810" w:type="dxa"/>
            <w:tcBorders>
              <w:top w:val="nil"/>
              <w:bottom w:val="dotted" w:sz="4" w:space="0" w:color="auto"/>
              <w:right w:val="nil"/>
            </w:tcBorders>
            <w:vAlign w:val="center"/>
          </w:tcPr>
          <w:p w14:paraId="71EE3AC3" w14:textId="77777777" w:rsidR="0026186C" w:rsidRPr="000C0F96" w:rsidRDefault="0026186C" w:rsidP="00671F43">
            <w:pPr>
              <w:rPr>
                <w:rFonts w:ascii="Arial" w:eastAsia="Arial" w:hAnsi="Arial" w:cs="Arial"/>
                <w:sz w:val="16"/>
                <w:szCs w:val="16"/>
                <w:lang w:val="es-ES"/>
              </w:rPr>
            </w:pPr>
            <w:r w:rsidRPr="000C0F96">
              <w:rPr>
                <w:rFonts w:ascii="Arial" w:eastAsia="Arial" w:hAnsi="Arial" w:cs="Arial"/>
                <w:sz w:val="16"/>
                <w:szCs w:val="16"/>
                <w:lang w:val="es-ES"/>
              </w:rPr>
              <w:t>Elaboró:</w:t>
            </w:r>
          </w:p>
        </w:tc>
        <w:tc>
          <w:tcPr>
            <w:tcW w:w="4410" w:type="dxa"/>
            <w:tcBorders>
              <w:left w:val="nil"/>
            </w:tcBorders>
            <w:vAlign w:val="center"/>
          </w:tcPr>
          <w:p w14:paraId="5B5131F1" w14:textId="77777777" w:rsidR="0026186C" w:rsidRPr="000C0F96" w:rsidRDefault="0026186C" w:rsidP="00671F43">
            <w:pPr>
              <w:rPr>
                <w:rFonts w:ascii="Arial" w:eastAsia="Arial" w:hAnsi="Arial" w:cs="Arial"/>
                <w:sz w:val="16"/>
                <w:szCs w:val="16"/>
                <w:lang w:val="es-ES"/>
              </w:rPr>
            </w:pPr>
            <w:r w:rsidRPr="000C0F96">
              <w:rPr>
                <w:rFonts w:ascii="Arial" w:eastAsia="Arial" w:hAnsi="Arial" w:cs="Arial"/>
                <w:sz w:val="16"/>
                <w:szCs w:val="16"/>
                <w:lang w:val="es-ES"/>
              </w:rPr>
              <w:t>David Torres Rojas</w:t>
            </w:r>
          </w:p>
          <w:p w14:paraId="54F5C1FE" w14:textId="2A13DA07" w:rsidR="0026186C" w:rsidRPr="000C0F96" w:rsidRDefault="009F35FF" w:rsidP="00671F43">
            <w:pPr>
              <w:rPr>
                <w:rFonts w:ascii="Arial" w:eastAsia="Arial" w:hAnsi="Arial" w:cs="Arial"/>
                <w:sz w:val="16"/>
                <w:szCs w:val="16"/>
                <w:lang w:val="es-ES"/>
              </w:rPr>
            </w:pPr>
            <w:r w:rsidRPr="000C0F96">
              <w:rPr>
                <w:rFonts w:ascii="Arial" w:eastAsia="Arial" w:hAnsi="Arial" w:cs="Arial"/>
                <w:sz w:val="16"/>
                <w:szCs w:val="16"/>
                <w:lang w:val="es-ES"/>
              </w:rPr>
              <w:t>Contratista</w:t>
            </w:r>
            <w:r w:rsidR="0026186C" w:rsidRPr="000C0F96">
              <w:rPr>
                <w:rFonts w:ascii="Arial" w:eastAsia="Arial" w:hAnsi="Arial" w:cs="Arial"/>
                <w:sz w:val="16"/>
                <w:szCs w:val="16"/>
                <w:lang w:val="es-ES"/>
              </w:rPr>
              <w:t xml:space="preserve"> de la Subdirección de Gestión Contractual</w:t>
            </w:r>
          </w:p>
        </w:tc>
      </w:tr>
      <w:tr w:rsidR="0026186C" w:rsidRPr="000C0F96" w14:paraId="2965D467" w14:textId="77777777" w:rsidTr="00E05F9B">
        <w:trPr>
          <w:trHeight w:val="315"/>
        </w:trPr>
        <w:tc>
          <w:tcPr>
            <w:tcW w:w="810" w:type="dxa"/>
            <w:tcBorders>
              <w:top w:val="dotted" w:sz="4" w:space="0" w:color="auto"/>
              <w:bottom w:val="dotted" w:sz="4" w:space="0" w:color="auto"/>
              <w:right w:val="nil"/>
            </w:tcBorders>
            <w:vAlign w:val="center"/>
          </w:tcPr>
          <w:p w14:paraId="2E9856E4" w14:textId="77777777" w:rsidR="0026186C" w:rsidRPr="000C0F96" w:rsidRDefault="0026186C" w:rsidP="00671F43">
            <w:pPr>
              <w:jc w:val="both"/>
              <w:rPr>
                <w:rFonts w:ascii="Arial" w:eastAsia="Arial" w:hAnsi="Arial" w:cs="Arial"/>
                <w:sz w:val="16"/>
                <w:szCs w:val="16"/>
                <w:lang w:val="es-ES"/>
              </w:rPr>
            </w:pPr>
            <w:r w:rsidRPr="000C0F96">
              <w:rPr>
                <w:rFonts w:ascii="Arial" w:eastAsia="Arial" w:hAnsi="Arial" w:cs="Arial"/>
                <w:sz w:val="16"/>
                <w:szCs w:val="16"/>
                <w:lang w:val="es-ES"/>
              </w:rPr>
              <w:t>Revisó:</w:t>
            </w:r>
          </w:p>
        </w:tc>
        <w:tc>
          <w:tcPr>
            <w:tcW w:w="4410" w:type="dxa"/>
            <w:tcBorders>
              <w:left w:val="nil"/>
            </w:tcBorders>
            <w:vAlign w:val="center"/>
          </w:tcPr>
          <w:p w14:paraId="0C7F27D9" w14:textId="77777777" w:rsidR="0026186C" w:rsidRDefault="00AC281B" w:rsidP="00671F43">
            <w:pPr>
              <w:jc w:val="both"/>
              <w:rPr>
                <w:rFonts w:ascii="Arial" w:eastAsia="Arial" w:hAnsi="Arial" w:cs="Arial"/>
                <w:sz w:val="16"/>
                <w:szCs w:val="16"/>
                <w:lang w:val="es-ES"/>
              </w:rPr>
            </w:pPr>
            <w:r>
              <w:rPr>
                <w:rFonts w:ascii="Arial" w:eastAsia="Arial" w:hAnsi="Arial" w:cs="Arial"/>
                <w:sz w:val="16"/>
                <w:szCs w:val="16"/>
                <w:lang w:val="es-ES"/>
              </w:rPr>
              <w:t>Alejandro Sarmiento Cantillo</w:t>
            </w:r>
          </w:p>
          <w:p w14:paraId="254A2B24" w14:textId="2C742DCC" w:rsidR="00AC281B" w:rsidRPr="000C0F96" w:rsidRDefault="00AC281B" w:rsidP="00671F43">
            <w:pPr>
              <w:jc w:val="both"/>
              <w:rPr>
                <w:rFonts w:ascii="Arial" w:eastAsia="Arial" w:hAnsi="Arial" w:cs="Arial"/>
                <w:sz w:val="16"/>
                <w:szCs w:val="16"/>
                <w:lang w:val="es-ES"/>
              </w:rPr>
            </w:pPr>
            <w:r>
              <w:rPr>
                <w:rFonts w:ascii="Arial" w:eastAsia="Arial" w:hAnsi="Arial" w:cs="Arial"/>
                <w:sz w:val="16"/>
                <w:szCs w:val="16"/>
                <w:lang w:val="es-ES"/>
              </w:rPr>
              <w:t>Gestor T1-11 de la Subdirección de Gestión Contractual</w:t>
            </w:r>
          </w:p>
        </w:tc>
      </w:tr>
      <w:tr w:rsidR="0026186C" w:rsidRPr="000C0F96" w14:paraId="59DD30B1" w14:textId="77777777" w:rsidTr="00E05F9B">
        <w:trPr>
          <w:trHeight w:val="300"/>
        </w:trPr>
        <w:tc>
          <w:tcPr>
            <w:tcW w:w="810" w:type="dxa"/>
            <w:tcBorders>
              <w:top w:val="dotted" w:sz="4" w:space="0" w:color="auto"/>
              <w:bottom w:val="nil"/>
              <w:right w:val="nil"/>
            </w:tcBorders>
            <w:vAlign w:val="center"/>
          </w:tcPr>
          <w:p w14:paraId="42924278" w14:textId="77777777" w:rsidR="0026186C" w:rsidRPr="000C0F96" w:rsidRDefault="0026186C" w:rsidP="00671F43">
            <w:pPr>
              <w:jc w:val="both"/>
              <w:rPr>
                <w:rFonts w:ascii="Arial" w:eastAsia="Arial" w:hAnsi="Arial" w:cs="Arial"/>
                <w:sz w:val="16"/>
                <w:szCs w:val="16"/>
                <w:lang w:val="es-ES"/>
              </w:rPr>
            </w:pPr>
            <w:r w:rsidRPr="000C0F96">
              <w:rPr>
                <w:rFonts w:ascii="Arial" w:eastAsia="Arial" w:hAnsi="Arial" w:cs="Arial"/>
                <w:sz w:val="16"/>
                <w:szCs w:val="16"/>
                <w:lang w:val="es-ES"/>
              </w:rPr>
              <w:t>Aprobó:</w:t>
            </w:r>
          </w:p>
        </w:tc>
        <w:tc>
          <w:tcPr>
            <w:tcW w:w="4410" w:type="dxa"/>
            <w:tcBorders>
              <w:left w:val="nil"/>
            </w:tcBorders>
            <w:vAlign w:val="center"/>
          </w:tcPr>
          <w:p w14:paraId="000CC147" w14:textId="77777777" w:rsidR="0026186C" w:rsidRPr="000C0F96" w:rsidRDefault="0026186C" w:rsidP="00671F43">
            <w:pPr>
              <w:rPr>
                <w:rFonts w:ascii="Arial" w:eastAsia="Arial" w:hAnsi="Arial" w:cs="Arial"/>
                <w:sz w:val="16"/>
                <w:szCs w:val="16"/>
                <w:lang w:val="es-ES"/>
              </w:rPr>
            </w:pPr>
            <w:r w:rsidRPr="000C0F96">
              <w:rPr>
                <w:rFonts w:ascii="Arial" w:eastAsia="Arial" w:hAnsi="Arial" w:cs="Arial"/>
                <w:sz w:val="16"/>
                <w:szCs w:val="16"/>
                <w:lang w:val="es-ES"/>
              </w:rPr>
              <w:t>Jorge Augusto Tirado Navarro</w:t>
            </w:r>
          </w:p>
          <w:p w14:paraId="045F5F71" w14:textId="77777777" w:rsidR="0026186C" w:rsidRPr="000C0F96" w:rsidRDefault="0026186C" w:rsidP="00671F43">
            <w:pPr>
              <w:jc w:val="both"/>
              <w:rPr>
                <w:rFonts w:ascii="Arial" w:eastAsia="Arial" w:hAnsi="Arial" w:cs="Arial"/>
                <w:sz w:val="16"/>
                <w:szCs w:val="16"/>
                <w:lang w:val="es-ES"/>
              </w:rPr>
            </w:pPr>
            <w:r w:rsidRPr="000C0F96">
              <w:rPr>
                <w:rFonts w:ascii="Arial" w:eastAsia="Arial" w:hAnsi="Arial" w:cs="Arial"/>
                <w:sz w:val="16"/>
                <w:szCs w:val="16"/>
                <w:lang w:val="es-ES"/>
              </w:rPr>
              <w:t>Subdirector de Gestión Contractual</w:t>
            </w:r>
          </w:p>
        </w:tc>
      </w:tr>
    </w:tbl>
    <w:p w14:paraId="15A1D81B" w14:textId="77777777" w:rsidR="0026186C" w:rsidRPr="000C0F96" w:rsidRDefault="0026186C" w:rsidP="0026186C">
      <w:pPr>
        <w:rPr>
          <w:rFonts w:ascii="Calibri" w:eastAsia="Calibri" w:hAnsi="Calibri" w:cs="Calibri"/>
          <w:color w:val="000000" w:themeColor="text1"/>
          <w:szCs w:val="24"/>
          <w:lang w:val="es-ES"/>
        </w:rPr>
      </w:pPr>
    </w:p>
    <w:p w14:paraId="7CEC30FD" w14:textId="77777777" w:rsidR="0026186C" w:rsidRPr="000C0F96" w:rsidRDefault="0026186C" w:rsidP="0026186C">
      <w:pPr>
        <w:rPr>
          <w:lang w:val="es-ES"/>
        </w:rPr>
      </w:pPr>
    </w:p>
    <w:p w14:paraId="0C20480F" w14:textId="77777777" w:rsidR="0026186C" w:rsidRPr="000C0F96" w:rsidRDefault="0026186C" w:rsidP="0026186C">
      <w:pPr>
        <w:jc w:val="both"/>
        <w:rPr>
          <w:color w:val="000000" w:themeColor="text1"/>
          <w:lang w:val="es-ES"/>
        </w:rPr>
      </w:pPr>
    </w:p>
    <w:p w14:paraId="4D791B86" w14:textId="77777777" w:rsidR="0026186C" w:rsidRPr="000C0F96" w:rsidRDefault="0026186C" w:rsidP="0026186C">
      <w:pPr>
        <w:rPr>
          <w:lang w:val="es-ES"/>
        </w:rPr>
      </w:pPr>
    </w:p>
    <w:bookmarkEnd w:id="2"/>
    <w:bookmarkEnd w:id="4"/>
    <w:p w14:paraId="085A31AB" w14:textId="77777777" w:rsidR="006C5955" w:rsidRPr="000C0F96" w:rsidRDefault="006C5955" w:rsidP="0026186C">
      <w:pPr>
        <w:jc w:val="right"/>
        <w:rPr>
          <w:color w:val="000000" w:themeColor="text1"/>
          <w:lang w:val="es-ES"/>
        </w:rPr>
      </w:pPr>
    </w:p>
    <w:sectPr w:rsidR="006C5955" w:rsidRPr="000C0F96" w:rsidSect="00891858">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39E49" w14:textId="77777777" w:rsidR="00BB5D42" w:rsidRDefault="00BB5D42" w:rsidP="008C487C">
      <w:r>
        <w:separator/>
      </w:r>
    </w:p>
  </w:endnote>
  <w:endnote w:type="continuationSeparator" w:id="0">
    <w:p w14:paraId="0AB5B829" w14:textId="77777777" w:rsidR="00BB5D42" w:rsidRDefault="00BB5D42"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52A1" w14:textId="77777777" w:rsidR="00891858" w:rsidRDefault="00891858" w:rsidP="00891858">
    <w:pPr>
      <w:pStyle w:val="Sinespaciado"/>
      <w:jc w:val="right"/>
      <w:rPr>
        <w:rFonts w:ascii="Arial" w:hAnsi="Arial" w:cs="Arial"/>
        <w:sz w:val="18"/>
        <w:szCs w:val="18"/>
      </w:rPr>
    </w:pPr>
  </w:p>
  <w:p w14:paraId="3D3EB348" w14:textId="2857E5F2" w:rsidR="00891858" w:rsidRPr="008217B7" w:rsidRDefault="00891858" w:rsidP="0089185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8311F">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8311F">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29709EEF" w14:textId="77777777" w:rsidR="00891858" w:rsidRDefault="126A48C9" w:rsidP="00891858">
    <w:pPr>
      <w:pStyle w:val="Piedepgina"/>
      <w:jc w:val="center"/>
      <w:rPr>
        <w:lang w:val="es-ES"/>
      </w:rPr>
    </w:pPr>
    <w:r>
      <w:rPr>
        <w:noProof/>
        <w:lang w:val="en-US"/>
      </w:rPr>
      <w:drawing>
        <wp:inline distT="0" distB="0" distL="0" distR="0" wp14:anchorId="0323F87D" wp14:editId="445DB749">
          <wp:extent cx="3700130" cy="519139"/>
          <wp:effectExtent l="0" t="0" r="0" b="0"/>
          <wp:docPr id="9376669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428179B1" w14:textId="77777777" w:rsidR="00891858" w:rsidRPr="007B4DFC" w:rsidRDefault="00891858" w:rsidP="00891858">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B1C26" w14:textId="77777777" w:rsidR="00BB5D42" w:rsidRDefault="00BB5D42" w:rsidP="008C487C">
      <w:r>
        <w:separator/>
      </w:r>
    </w:p>
  </w:footnote>
  <w:footnote w:type="continuationSeparator" w:id="0">
    <w:p w14:paraId="786BECA2" w14:textId="77777777" w:rsidR="00BB5D42" w:rsidRDefault="00BB5D42" w:rsidP="008C487C">
      <w:r>
        <w:continuationSeparator/>
      </w:r>
    </w:p>
  </w:footnote>
  <w:footnote w:id="1">
    <w:p w14:paraId="6A369A51" w14:textId="5FA0E397" w:rsidR="000C13AD" w:rsidRPr="00E05F9B" w:rsidRDefault="000C13AD" w:rsidP="00E05F9B">
      <w:pPr>
        <w:tabs>
          <w:tab w:val="left" w:pos="709"/>
        </w:tabs>
        <w:ind w:right="49"/>
        <w:jc w:val="both"/>
        <w:rPr>
          <w:rFonts w:ascii="Arial" w:hAnsi="Arial" w:cs="Arial"/>
          <w:color w:val="000000" w:themeColor="text1"/>
          <w:sz w:val="19"/>
          <w:szCs w:val="19"/>
          <w:lang w:val="es-ES"/>
        </w:rPr>
      </w:pPr>
      <w:r w:rsidRPr="00AC281B">
        <w:rPr>
          <w:rFonts w:ascii="Arial" w:hAnsi="Arial" w:cs="Arial"/>
          <w:color w:val="000000" w:themeColor="text1"/>
          <w:sz w:val="19"/>
          <w:szCs w:val="19"/>
        </w:rPr>
        <w:tab/>
      </w:r>
      <w:r w:rsidRPr="00AC281B">
        <w:rPr>
          <w:rStyle w:val="Refdenotaalpie"/>
          <w:rFonts w:ascii="Arial" w:hAnsi="Arial" w:cs="Arial"/>
          <w:color w:val="000000" w:themeColor="text1"/>
          <w:sz w:val="19"/>
          <w:szCs w:val="19"/>
        </w:rPr>
        <w:footnoteRef/>
      </w:r>
      <w:r w:rsidRPr="00AC281B">
        <w:rPr>
          <w:rFonts w:ascii="Arial" w:hAnsi="Arial" w:cs="Arial"/>
          <w:color w:val="000000" w:themeColor="text1"/>
          <w:sz w:val="19"/>
          <w:szCs w:val="19"/>
        </w:rPr>
        <w:t xml:space="preserve"> Al respecto ha di</w:t>
      </w:r>
      <w:r w:rsidRPr="00AF7F60">
        <w:rPr>
          <w:rFonts w:ascii="Arial" w:hAnsi="Arial" w:cs="Arial"/>
          <w:color w:val="000000" w:themeColor="text1"/>
          <w:sz w:val="19"/>
          <w:szCs w:val="19"/>
        </w:rPr>
        <w:t>cho la Corte Constitucional: «</w:t>
      </w:r>
      <w:r w:rsidRPr="00E05F9B">
        <w:rPr>
          <w:rFonts w:ascii="Arial" w:hAnsi="Arial" w:cs="Arial"/>
          <w:color w:val="000000" w:themeColor="text1"/>
          <w:sz w:val="19"/>
          <w:szCs w:val="19"/>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52608CE8" w14:textId="55900D8B" w:rsidR="000C13AD" w:rsidRPr="00AC281B" w:rsidRDefault="000C13AD" w:rsidP="00E05F9B">
      <w:pPr>
        <w:pStyle w:val="Textonotapie"/>
        <w:ind w:firstLine="708"/>
        <w:jc w:val="both"/>
        <w:rPr>
          <w:rFonts w:ascii="Arial" w:hAnsi="Arial" w:cs="Arial"/>
          <w:color w:val="000000" w:themeColor="text1"/>
          <w:sz w:val="19"/>
          <w:szCs w:val="19"/>
        </w:rPr>
      </w:pPr>
      <w:proofErr w:type="gramStart"/>
      <w:r w:rsidRPr="00AC281B">
        <w:rPr>
          <w:rFonts w:ascii="Arial" w:hAnsi="Arial" w:cs="Arial"/>
          <w:color w:val="000000" w:themeColor="text1"/>
          <w:sz w:val="19"/>
          <w:szCs w:val="19"/>
          <w:lang w:val="es-ES"/>
        </w:rPr>
        <w:t>»</w:t>
      </w:r>
      <w:r w:rsidRPr="00E05F9B">
        <w:rPr>
          <w:rFonts w:ascii="Arial" w:hAnsi="Arial" w:cs="Arial"/>
          <w:color w:val="000000" w:themeColor="text1"/>
          <w:sz w:val="19"/>
          <w:szCs w:val="19"/>
          <w:lang w:val="es-ES"/>
        </w:rPr>
        <w:t>La</w:t>
      </w:r>
      <w:proofErr w:type="gramEnd"/>
      <w:r w:rsidRPr="00E05F9B">
        <w:rPr>
          <w:rFonts w:ascii="Arial" w:hAnsi="Arial" w:cs="Arial"/>
          <w:color w:val="000000" w:themeColor="text1"/>
          <w:sz w:val="19"/>
          <w:szCs w:val="19"/>
          <w:lang w:val="es-ES"/>
        </w:rPr>
        <w:t xml:space="preserve">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AC281B">
        <w:rPr>
          <w:rFonts w:ascii="Arial" w:hAnsi="Arial" w:cs="Arial"/>
          <w:color w:val="000000" w:themeColor="text1"/>
          <w:sz w:val="19"/>
          <w:szCs w:val="19"/>
        </w:rPr>
        <w:t>. Sentencia C- 341 del 4 de junio de 2014</w:t>
      </w:r>
      <w:r w:rsidRPr="00AF7F60">
        <w:rPr>
          <w:rFonts w:ascii="Arial" w:hAnsi="Arial" w:cs="Arial"/>
          <w:color w:val="000000" w:themeColor="text1"/>
          <w:sz w:val="19"/>
          <w:szCs w:val="19"/>
        </w:rPr>
        <w:t>. M. P.</w:t>
      </w:r>
      <w:r w:rsidRPr="00165B1E">
        <w:rPr>
          <w:rFonts w:ascii="Arial" w:hAnsi="Arial" w:cs="Arial"/>
          <w:color w:val="000000" w:themeColor="text1"/>
          <w:sz w:val="19"/>
          <w:szCs w:val="19"/>
        </w:rPr>
        <w:t xml:space="preserve"> Mauricio González Cuervo</w:t>
      </w:r>
    </w:p>
    <w:p w14:paraId="5D0A8EB9" w14:textId="77777777" w:rsidR="000C13AD" w:rsidRPr="00AC281B" w:rsidRDefault="000C13AD" w:rsidP="00AC281B">
      <w:pPr>
        <w:pStyle w:val="Textonotapie"/>
        <w:ind w:firstLine="708"/>
        <w:rPr>
          <w:rFonts w:ascii="Arial" w:hAnsi="Arial" w:cs="Arial"/>
          <w:color w:val="000000" w:themeColor="text1"/>
          <w:sz w:val="19"/>
          <w:szCs w:val="19"/>
        </w:rPr>
      </w:pPr>
    </w:p>
  </w:footnote>
  <w:footnote w:id="2">
    <w:p w14:paraId="45645836" w14:textId="77777777" w:rsidR="007675AD" w:rsidRPr="00AC281B" w:rsidRDefault="007675AD" w:rsidP="00AC281B">
      <w:pPr>
        <w:pStyle w:val="Textonotapie"/>
        <w:ind w:right="49" w:firstLine="709"/>
        <w:jc w:val="both"/>
        <w:rPr>
          <w:rFonts w:ascii="Arial" w:hAnsi="Arial" w:cs="Arial"/>
          <w:color w:val="000000" w:themeColor="text1"/>
          <w:sz w:val="19"/>
          <w:szCs w:val="19"/>
        </w:rPr>
      </w:pPr>
      <w:r w:rsidRPr="00AC281B">
        <w:rPr>
          <w:rStyle w:val="Refdenotaalpie"/>
          <w:rFonts w:ascii="Arial" w:hAnsi="Arial" w:cs="Arial"/>
          <w:color w:val="000000" w:themeColor="text1"/>
          <w:sz w:val="19"/>
          <w:szCs w:val="19"/>
        </w:rPr>
        <w:footnoteRef/>
      </w:r>
      <w:r w:rsidRPr="00AC281B">
        <w:rPr>
          <w:rFonts w:ascii="Arial" w:hAnsi="Arial" w:cs="Arial"/>
          <w:color w:val="000000" w:themeColor="text1"/>
          <w:sz w:val="19"/>
          <w:szCs w:val="19"/>
        </w:rPr>
        <w:t xml:space="preserve"> Corte Constitucional. Sentencia C- 341 del 4 de junio de 2014. M. P. Mauricio González Cuervo.</w:t>
      </w:r>
    </w:p>
    <w:p w14:paraId="3598D65A" w14:textId="77777777" w:rsidR="007675AD" w:rsidRPr="00AC281B" w:rsidRDefault="007675AD" w:rsidP="00AC281B">
      <w:pPr>
        <w:pStyle w:val="Textonotapie"/>
        <w:ind w:right="49" w:firstLine="709"/>
        <w:jc w:val="both"/>
        <w:rPr>
          <w:rFonts w:ascii="Arial" w:hAnsi="Arial" w:cs="Arial"/>
          <w:color w:val="000000" w:themeColor="text1"/>
          <w:sz w:val="19"/>
          <w:szCs w:val="19"/>
        </w:rPr>
      </w:pPr>
    </w:p>
  </w:footnote>
  <w:footnote w:id="3">
    <w:p w14:paraId="2A449380" w14:textId="7D3A0C7A" w:rsidR="00B40E58" w:rsidRPr="00AC281B" w:rsidRDefault="007675AD" w:rsidP="00AC281B">
      <w:pPr>
        <w:pStyle w:val="Textonotapie"/>
        <w:ind w:right="49" w:firstLine="709"/>
        <w:jc w:val="both"/>
        <w:rPr>
          <w:rFonts w:ascii="Arial" w:hAnsi="Arial" w:cs="Arial"/>
          <w:color w:val="000000" w:themeColor="text1"/>
          <w:sz w:val="19"/>
          <w:szCs w:val="19"/>
        </w:rPr>
      </w:pPr>
      <w:r w:rsidRPr="00AC281B">
        <w:rPr>
          <w:rStyle w:val="Refdenotaalpie"/>
          <w:rFonts w:ascii="Arial" w:hAnsi="Arial" w:cs="Arial"/>
          <w:color w:val="000000" w:themeColor="text1"/>
          <w:sz w:val="19"/>
          <w:szCs w:val="19"/>
        </w:rPr>
        <w:footnoteRef/>
      </w:r>
      <w:r w:rsidRPr="00AC281B">
        <w:rPr>
          <w:rFonts w:ascii="Arial" w:hAnsi="Arial" w:cs="Arial"/>
          <w:color w:val="000000" w:themeColor="text1"/>
          <w:sz w:val="19"/>
          <w:szCs w:val="19"/>
        </w:rPr>
        <w:t xml:space="preserve"> Ley 1712 de 2014: «</w:t>
      </w:r>
      <w:r w:rsidR="00B40E58" w:rsidRPr="00AC281B">
        <w:rPr>
          <w:rFonts w:ascii="Arial" w:hAnsi="Arial" w:cs="Arial"/>
          <w:color w:val="000000" w:themeColor="text1"/>
          <w:sz w:val="19"/>
          <w:szCs w:val="19"/>
        </w:rPr>
        <w:t>Artículo 2</w:t>
      </w:r>
      <w:proofErr w:type="gramStart"/>
      <w:r w:rsidR="00B40E58" w:rsidRPr="00AC281B">
        <w:rPr>
          <w:rFonts w:ascii="Arial" w:hAnsi="Arial" w:cs="Arial"/>
          <w:color w:val="000000" w:themeColor="text1"/>
          <w:sz w:val="19"/>
          <w:szCs w:val="19"/>
        </w:rPr>
        <w:t>°.Principio</w:t>
      </w:r>
      <w:proofErr w:type="gramEnd"/>
      <w:r w:rsidR="00B40E58" w:rsidRPr="00AC281B">
        <w:rPr>
          <w:rFonts w:ascii="Arial" w:hAnsi="Arial" w:cs="Arial"/>
          <w:color w:val="000000" w:themeColor="text1"/>
          <w:sz w:val="19"/>
          <w:szCs w:val="19"/>
        </w:rPr>
        <w:t xml:space="preserve"> de máxima publicidad para titular universal. Toda información en posesión, bajo control o custodia de un sujeto obligado es pública y no podrá ser reservada o limitada sino por disposición constitucional o legal, de conformidad con la presente ley». </w:t>
      </w:r>
    </w:p>
    <w:p w14:paraId="23DB623B" w14:textId="77777777" w:rsidR="00B40E58" w:rsidRPr="00AC281B" w:rsidRDefault="00B40E58">
      <w:pPr>
        <w:pStyle w:val="Textonotapie"/>
        <w:ind w:right="49" w:firstLine="709"/>
        <w:jc w:val="both"/>
        <w:rPr>
          <w:rFonts w:ascii="Arial" w:hAnsi="Arial" w:cs="Arial"/>
          <w:color w:val="000000" w:themeColor="text1"/>
          <w:sz w:val="19"/>
          <w:szCs w:val="19"/>
        </w:rPr>
      </w:pPr>
    </w:p>
    <w:p w14:paraId="6E66C09E" w14:textId="77777777" w:rsidR="007675AD" w:rsidRPr="00AC281B" w:rsidRDefault="007675AD">
      <w:pPr>
        <w:pStyle w:val="Textonotapie"/>
        <w:ind w:right="49" w:firstLine="709"/>
        <w:jc w:val="both"/>
        <w:rPr>
          <w:rFonts w:ascii="Arial" w:hAnsi="Arial" w:cs="Arial"/>
          <w:color w:val="000000" w:themeColor="text1"/>
          <w:sz w:val="19"/>
          <w:szCs w:val="19"/>
        </w:rPr>
      </w:pPr>
    </w:p>
  </w:footnote>
  <w:footnote w:id="4">
    <w:p w14:paraId="06BBEC32" w14:textId="631E82C2" w:rsidR="00B40E58" w:rsidRPr="00AC281B" w:rsidRDefault="00B40E58">
      <w:pPr>
        <w:pStyle w:val="Textonotapie"/>
        <w:ind w:right="49" w:firstLine="709"/>
        <w:jc w:val="both"/>
        <w:rPr>
          <w:rFonts w:ascii="Arial" w:hAnsi="Arial" w:cs="Arial"/>
          <w:color w:val="000000" w:themeColor="text1"/>
          <w:sz w:val="19"/>
          <w:szCs w:val="19"/>
        </w:rPr>
      </w:pPr>
      <w:r w:rsidRPr="00E05F9B">
        <w:rPr>
          <w:rStyle w:val="Refdenotaalpie"/>
          <w:rFonts w:ascii="Arial" w:hAnsi="Arial" w:cs="Arial"/>
          <w:sz w:val="19"/>
          <w:szCs w:val="19"/>
        </w:rPr>
        <w:footnoteRef/>
      </w:r>
      <w:r w:rsidRPr="00E05F9B">
        <w:rPr>
          <w:rFonts w:ascii="Arial" w:hAnsi="Arial" w:cs="Arial"/>
          <w:sz w:val="19"/>
          <w:szCs w:val="19"/>
        </w:rPr>
        <w:t xml:space="preserve"> </w:t>
      </w:r>
      <w:r w:rsidRPr="00AC281B">
        <w:rPr>
          <w:rFonts w:ascii="Arial" w:hAnsi="Arial" w:cs="Arial"/>
          <w:color w:val="000000" w:themeColor="text1"/>
          <w:sz w:val="19"/>
          <w:szCs w:val="19"/>
        </w:rPr>
        <w:t xml:space="preserve"> Ley 1712</w:t>
      </w:r>
      <w:r w:rsidRPr="00AF7F60">
        <w:rPr>
          <w:rFonts w:ascii="Arial" w:hAnsi="Arial" w:cs="Arial"/>
          <w:color w:val="000000" w:themeColor="text1"/>
          <w:sz w:val="19"/>
          <w:szCs w:val="19"/>
        </w:rPr>
        <w:t xml:space="preserve"> de 2014 «Artículo 3°. Otros</w:t>
      </w:r>
      <w:r w:rsidRPr="0079176B">
        <w:rPr>
          <w:rFonts w:ascii="Arial" w:hAnsi="Arial" w:cs="Arial"/>
          <w:color w:val="000000" w:themeColor="text1"/>
          <w:sz w:val="19"/>
          <w:szCs w:val="19"/>
        </w:rPr>
        <w:t xml:space="preserve"> principios de la transparencia y acceso a la información pública. En la interpretación del derecho de acceso a la información se d</w:t>
      </w:r>
      <w:r w:rsidRPr="00AC281B">
        <w:rPr>
          <w:rFonts w:ascii="Arial" w:hAnsi="Arial" w:cs="Arial"/>
          <w:color w:val="000000" w:themeColor="text1"/>
          <w:sz w:val="19"/>
          <w:szCs w:val="19"/>
        </w:rPr>
        <w:t xml:space="preserve">eberá adoptar un criterio de razonabilidad y proporcionalidad, así como aplicar los siguientes principios: </w:t>
      </w:r>
    </w:p>
    <w:p w14:paraId="248B4975" w14:textId="72B16E30" w:rsidR="00B40E58" w:rsidRPr="00AC281B" w:rsidRDefault="00B40E58">
      <w:pPr>
        <w:pStyle w:val="Textonotapie"/>
        <w:ind w:right="49" w:firstLine="709"/>
        <w:jc w:val="both"/>
        <w:rPr>
          <w:rFonts w:ascii="Arial" w:hAnsi="Arial" w:cs="Arial"/>
          <w:color w:val="000000" w:themeColor="text1"/>
          <w:sz w:val="19"/>
          <w:szCs w:val="19"/>
        </w:rPr>
      </w:pPr>
      <w:r w:rsidRPr="00AC281B">
        <w:rPr>
          <w:rFonts w:ascii="Arial" w:hAnsi="Arial" w:cs="Arial"/>
          <w:color w:val="000000" w:themeColor="text1"/>
          <w:sz w:val="19"/>
          <w:szCs w:val="19"/>
        </w:rPr>
        <w:t>[…]</w:t>
      </w:r>
    </w:p>
    <w:p w14:paraId="098135A9" w14:textId="43F68379" w:rsidR="00B40E58" w:rsidRPr="00AC281B" w:rsidRDefault="00B40E58">
      <w:pPr>
        <w:pStyle w:val="Textonotapie"/>
        <w:ind w:right="49" w:firstLine="709"/>
        <w:jc w:val="both"/>
        <w:rPr>
          <w:rFonts w:ascii="Arial" w:hAnsi="Arial" w:cs="Arial"/>
          <w:color w:val="000000" w:themeColor="text1"/>
          <w:sz w:val="19"/>
          <w:szCs w:val="19"/>
        </w:rPr>
      </w:pPr>
      <w:proofErr w:type="gramStart"/>
      <w:r w:rsidRPr="00AC281B">
        <w:rPr>
          <w:rFonts w:ascii="Arial" w:hAnsi="Arial" w:cs="Arial"/>
          <w:color w:val="000000" w:themeColor="text1"/>
          <w:sz w:val="19"/>
          <w:szCs w:val="19"/>
        </w:rPr>
        <w:t>»Principio</w:t>
      </w:r>
      <w:proofErr w:type="gramEnd"/>
      <w:r w:rsidRPr="00AC281B">
        <w:rPr>
          <w:rFonts w:ascii="Arial" w:hAnsi="Arial" w:cs="Arial"/>
          <w:color w:val="000000" w:themeColor="text1"/>
          <w:sz w:val="19"/>
          <w:szCs w:val="19"/>
        </w:rPr>
        <w:t xml:space="preserve"> de transparencia. Principio conforme al cual toda la información en poder de los sujetos obligados definidos en esta ley se presume pública, en </w:t>
      </w:r>
      <w:proofErr w:type="gramStart"/>
      <w:r w:rsidRPr="00AC281B">
        <w:rPr>
          <w:rFonts w:ascii="Arial" w:hAnsi="Arial" w:cs="Arial"/>
          <w:color w:val="000000" w:themeColor="text1"/>
          <w:sz w:val="19"/>
          <w:szCs w:val="19"/>
        </w:rPr>
        <w:t>consecuencia</w:t>
      </w:r>
      <w:proofErr w:type="gramEnd"/>
      <w:r w:rsidRPr="00AC281B">
        <w:rPr>
          <w:rFonts w:ascii="Arial" w:hAnsi="Arial" w:cs="Arial"/>
          <w:color w:val="000000" w:themeColor="text1"/>
          <w:sz w:val="19"/>
          <w:szCs w:val="19"/>
        </w:rPr>
        <w:t xml:space="preserve">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 </w:t>
      </w:r>
    </w:p>
    <w:p w14:paraId="3CF45881" w14:textId="77777777" w:rsidR="00B40E58" w:rsidRPr="00AC281B" w:rsidRDefault="00B40E58">
      <w:pPr>
        <w:pStyle w:val="Textonotapie"/>
        <w:ind w:right="49" w:firstLine="709"/>
        <w:jc w:val="both"/>
        <w:rPr>
          <w:rFonts w:ascii="Arial" w:hAnsi="Arial" w:cs="Arial"/>
          <w:color w:val="000000" w:themeColor="text1"/>
          <w:sz w:val="19"/>
          <w:szCs w:val="19"/>
        </w:rPr>
      </w:pPr>
    </w:p>
    <w:p w14:paraId="04F42AFA" w14:textId="77777777" w:rsidR="00B40E58" w:rsidRPr="00AC281B" w:rsidRDefault="00B40E58">
      <w:pPr>
        <w:pStyle w:val="Textonotapie"/>
        <w:ind w:right="49" w:firstLine="709"/>
        <w:jc w:val="both"/>
        <w:rPr>
          <w:rFonts w:ascii="Arial" w:hAnsi="Arial" w:cs="Arial"/>
          <w:color w:val="000000" w:themeColor="text1"/>
          <w:sz w:val="19"/>
          <w:szCs w:val="19"/>
        </w:rPr>
      </w:pPr>
    </w:p>
    <w:p w14:paraId="29E6418F" w14:textId="262171B1" w:rsidR="00B40E58" w:rsidRPr="00E05F9B" w:rsidRDefault="00B40E58" w:rsidP="00E05F9B">
      <w:pPr>
        <w:pStyle w:val="Textonotapie"/>
        <w:ind w:firstLine="708"/>
        <w:rPr>
          <w:rFonts w:ascii="Arial" w:hAnsi="Arial" w:cs="Arial"/>
          <w:sz w:val="19"/>
          <w:szCs w:val="19"/>
          <w:lang w:val="es-CO"/>
        </w:rPr>
      </w:pPr>
      <w:r w:rsidRPr="00E05F9B">
        <w:rPr>
          <w:rFonts w:ascii="Arial" w:hAnsi="Arial" w:cs="Arial"/>
          <w:sz w:val="19"/>
          <w:szCs w:val="19"/>
        </w:rPr>
        <w:t xml:space="preserve"> </w:t>
      </w:r>
    </w:p>
  </w:footnote>
  <w:footnote w:id="5">
    <w:p w14:paraId="76F84F2D" w14:textId="77777777" w:rsidR="007675AD" w:rsidRPr="00AC281B" w:rsidRDefault="007675AD" w:rsidP="00AC281B">
      <w:pPr>
        <w:pStyle w:val="Textonotapie"/>
        <w:ind w:right="49" w:firstLine="709"/>
        <w:jc w:val="both"/>
        <w:rPr>
          <w:rFonts w:ascii="Arial" w:hAnsi="Arial" w:cs="Arial"/>
          <w:color w:val="000000" w:themeColor="text1"/>
          <w:sz w:val="19"/>
          <w:szCs w:val="19"/>
        </w:rPr>
      </w:pPr>
      <w:r w:rsidRPr="00AC281B">
        <w:rPr>
          <w:rStyle w:val="Refdenotaalpie"/>
          <w:rFonts w:ascii="Arial" w:hAnsi="Arial" w:cs="Arial"/>
          <w:color w:val="000000" w:themeColor="text1"/>
          <w:sz w:val="19"/>
          <w:szCs w:val="19"/>
        </w:rPr>
        <w:footnoteRef/>
      </w:r>
      <w:r w:rsidRPr="00AC281B">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2F027333" w14:textId="77777777" w:rsidR="007675AD" w:rsidRPr="00AC281B" w:rsidRDefault="007675AD" w:rsidP="00AC281B">
      <w:pPr>
        <w:pStyle w:val="Textonotapie"/>
        <w:ind w:right="49" w:firstLine="709"/>
        <w:jc w:val="both"/>
        <w:rPr>
          <w:rFonts w:ascii="Arial" w:hAnsi="Arial" w:cs="Arial"/>
          <w:color w:val="000000" w:themeColor="text1"/>
          <w:sz w:val="19"/>
          <w:szCs w:val="19"/>
        </w:rPr>
      </w:pPr>
      <w:proofErr w:type="gramStart"/>
      <w:r w:rsidRPr="00AC281B">
        <w:rPr>
          <w:rFonts w:ascii="Arial" w:hAnsi="Arial" w:cs="Arial"/>
          <w:color w:val="000000" w:themeColor="text1"/>
          <w:sz w:val="19"/>
          <w:szCs w:val="19"/>
        </w:rPr>
        <w:t>»a</w:t>
      </w:r>
      <w:proofErr w:type="gramEnd"/>
      <w:r w:rsidRPr="00AC281B">
        <w:rPr>
          <w:rFonts w:ascii="Arial" w:hAnsi="Arial" w:cs="Arial"/>
          <w:color w:val="000000" w:themeColor="text1"/>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0C0A3D21" w14:textId="77777777" w:rsidR="007675AD" w:rsidRPr="00AC281B" w:rsidRDefault="007675AD" w:rsidP="00AC281B">
      <w:pPr>
        <w:pStyle w:val="Textonotapie"/>
        <w:ind w:right="49" w:firstLine="709"/>
        <w:jc w:val="both"/>
        <w:rPr>
          <w:rFonts w:ascii="Arial" w:hAnsi="Arial" w:cs="Arial"/>
          <w:color w:val="000000" w:themeColor="text1"/>
          <w:sz w:val="19"/>
          <w:szCs w:val="19"/>
        </w:rPr>
      </w:pPr>
    </w:p>
  </w:footnote>
  <w:footnote w:id="6">
    <w:p w14:paraId="7FD7C70B" w14:textId="77777777" w:rsidR="007675AD" w:rsidRPr="00AC281B" w:rsidRDefault="007675AD" w:rsidP="00AC281B">
      <w:pPr>
        <w:pStyle w:val="Textonotapie"/>
        <w:ind w:right="49" w:firstLine="709"/>
        <w:jc w:val="both"/>
        <w:rPr>
          <w:rFonts w:ascii="Arial" w:hAnsi="Arial" w:cs="Arial"/>
          <w:color w:val="000000" w:themeColor="text1"/>
          <w:sz w:val="19"/>
          <w:szCs w:val="19"/>
        </w:rPr>
      </w:pPr>
      <w:r w:rsidRPr="00AC281B">
        <w:rPr>
          <w:rFonts w:ascii="Arial" w:hAnsi="Arial" w:cs="Arial"/>
          <w:color w:val="000000" w:themeColor="text1"/>
          <w:sz w:val="19"/>
          <w:szCs w:val="19"/>
          <w:vertAlign w:val="superscript"/>
          <w:lang w:val="es-ES" w:eastAsia="es-ES"/>
        </w:rPr>
        <w:footnoteRef/>
      </w:r>
      <w:r w:rsidRPr="00AC281B">
        <w:rPr>
          <w:rFonts w:ascii="Arial" w:hAnsi="Arial" w:cs="Arial"/>
          <w:color w:val="000000" w:themeColor="text1"/>
          <w:sz w:val="19"/>
          <w:szCs w:val="19"/>
          <w:vertAlign w:val="superscript"/>
          <w:lang w:val="es-ES" w:eastAsia="es-ES"/>
        </w:rPr>
        <w:t xml:space="preserve"> </w:t>
      </w:r>
      <w:r w:rsidRPr="00AC281B">
        <w:rPr>
          <w:rFonts w:ascii="Arial" w:hAnsi="Arial" w:cs="Arial"/>
          <w:color w:val="000000" w:themeColor="text1"/>
          <w:sz w:val="19"/>
          <w:szCs w:val="19"/>
          <w:lang w:val="es-ES" w:eastAsia="es-ES"/>
        </w:rPr>
        <w:t>«</w:t>
      </w:r>
      <w:r w:rsidRPr="00AF7F60">
        <w:rPr>
          <w:rFonts w:ascii="Arial" w:hAnsi="Arial" w:cs="Arial"/>
          <w:color w:val="000000" w:themeColor="text1"/>
          <w:sz w:val="19"/>
          <w:szCs w:val="19"/>
        </w:rPr>
        <w:t>Artículo 2.1.1.2.1.7. Publicación de la información contractual. De conformidad con el literal (c) del artículo 3° de la Ley 1150 de 2007, e</w:t>
      </w:r>
      <w:r w:rsidRPr="00AC281B">
        <w:rPr>
          <w:rFonts w:ascii="Arial" w:hAnsi="Arial" w:cs="Arial"/>
          <w:color w:val="000000" w:themeColor="text1"/>
          <w:sz w:val="19"/>
          <w:szCs w:val="19"/>
        </w:rPr>
        <w:t xml:space="preserv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3FBE9B5" w14:textId="77777777" w:rsidR="007675AD" w:rsidRPr="00AC281B" w:rsidRDefault="007675AD">
      <w:pPr>
        <w:pStyle w:val="Textonotapie"/>
        <w:ind w:right="49" w:firstLine="709"/>
        <w:jc w:val="both"/>
        <w:rPr>
          <w:rFonts w:ascii="Arial" w:hAnsi="Arial" w:cs="Arial"/>
          <w:color w:val="000000" w:themeColor="text1"/>
          <w:sz w:val="19"/>
          <w:szCs w:val="19"/>
          <w:lang w:val="es-ES" w:eastAsia="es-ES"/>
        </w:rPr>
      </w:pPr>
      <w:r w:rsidRPr="00AC281B">
        <w:rPr>
          <w:rFonts w:ascii="Arial" w:hAnsi="Arial" w:cs="Arial"/>
          <w:color w:val="000000" w:themeColor="text1"/>
          <w:sz w:val="19"/>
          <w:szCs w:val="19"/>
        </w:rPr>
        <w:t>[…].</w:t>
      </w:r>
    </w:p>
    <w:p w14:paraId="42419035" w14:textId="77777777" w:rsidR="007675AD" w:rsidRPr="00AC281B" w:rsidRDefault="007675AD">
      <w:pPr>
        <w:pStyle w:val="Textonotapie"/>
        <w:ind w:right="49" w:firstLine="709"/>
        <w:jc w:val="both"/>
        <w:rPr>
          <w:rFonts w:ascii="Arial" w:hAnsi="Arial" w:cs="Arial"/>
          <w:color w:val="000000" w:themeColor="text1"/>
          <w:sz w:val="19"/>
          <w:szCs w:val="19"/>
          <w:lang w:val="es-ES" w:eastAsia="es-ES"/>
        </w:rPr>
      </w:pPr>
      <w:proofErr w:type="gramStart"/>
      <w:r w:rsidRPr="00AC281B">
        <w:rPr>
          <w:rFonts w:ascii="Arial" w:hAnsi="Arial" w:cs="Arial"/>
          <w:color w:val="000000" w:themeColor="text1"/>
          <w:sz w:val="19"/>
          <w:szCs w:val="19"/>
          <w:lang w:val="es-ES" w:eastAsia="es-ES"/>
        </w:rPr>
        <w:t>»Los</w:t>
      </w:r>
      <w:proofErr w:type="gramEnd"/>
      <w:r w:rsidRPr="00AC281B">
        <w:rPr>
          <w:rFonts w:ascii="Arial" w:hAnsi="Arial" w:cs="Arial"/>
          <w:color w:val="000000" w:themeColor="text1"/>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14:paraId="684617B8" w14:textId="77777777" w:rsidR="007675AD" w:rsidRPr="00AC281B" w:rsidRDefault="007675AD">
      <w:pPr>
        <w:pStyle w:val="Textonotapie"/>
        <w:ind w:right="49" w:firstLine="709"/>
        <w:jc w:val="both"/>
        <w:rPr>
          <w:rFonts w:ascii="Arial" w:hAnsi="Arial" w:cs="Arial"/>
          <w:color w:val="000000" w:themeColor="text1"/>
          <w:sz w:val="19"/>
          <w:szCs w:val="19"/>
          <w:lang w:val="es-ES" w:eastAsia="es-ES"/>
        </w:rPr>
      </w:pPr>
    </w:p>
  </w:footnote>
  <w:footnote w:id="7">
    <w:p w14:paraId="31F06FA0" w14:textId="2C797E39" w:rsidR="00863FB4" w:rsidRPr="00AC281B" w:rsidRDefault="00863FB4">
      <w:pPr>
        <w:pStyle w:val="Textonotapie"/>
        <w:ind w:firstLine="708"/>
        <w:jc w:val="both"/>
        <w:rPr>
          <w:rFonts w:ascii="Arial" w:hAnsi="Arial" w:cs="Arial"/>
          <w:sz w:val="19"/>
          <w:szCs w:val="19"/>
          <w:lang w:val="es-CO"/>
        </w:rPr>
      </w:pPr>
      <w:r w:rsidRPr="00AC281B">
        <w:rPr>
          <w:rStyle w:val="Refdenotaalpie"/>
          <w:rFonts w:ascii="Arial" w:hAnsi="Arial" w:cs="Arial"/>
          <w:sz w:val="19"/>
          <w:szCs w:val="19"/>
        </w:rPr>
        <w:footnoteRef/>
      </w:r>
      <w:r w:rsidRPr="00AC281B">
        <w:rPr>
          <w:rFonts w:ascii="Arial" w:hAnsi="Arial" w:cs="Arial"/>
          <w:sz w:val="19"/>
          <w:szCs w:val="19"/>
        </w:rPr>
        <w:t xml:space="preserve">  Ley 1712 de 2014 «Artículo 2</w:t>
      </w:r>
      <w:r w:rsidR="00E05F9B" w:rsidRPr="00AC281B">
        <w:rPr>
          <w:rFonts w:ascii="Arial" w:hAnsi="Arial" w:cs="Arial"/>
          <w:sz w:val="19"/>
          <w:szCs w:val="19"/>
        </w:rPr>
        <w:t>°. Principio</w:t>
      </w:r>
      <w:r w:rsidRPr="00AC281B">
        <w:rPr>
          <w:rFonts w:ascii="Arial" w:hAnsi="Arial" w:cs="Arial"/>
          <w:sz w:val="19"/>
          <w:szCs w:val="19"/>
        </w:rPr>
        <w:t xml:space="preserve">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8">
    <w:p w14:paraId="6FF72709" w14:textId="77777777" w:rsidR="00863FB4" w:rsidRPr="00AC281B" w:rsidRDefault="00863FB4">
      <w:pPr>
        <w:pStyle w:val="Textonotapie"/>
        <w:rPr>
          <w:rFonts w:ascii="Arial" w:hAnsi="Arial" w:cs="Arial"/>
          <w:sz w:val="19"/>
          <w:szCs w:val="19"/>
        </w:rPr>
      </w:pPr>
    </w:p>
    <w:p w14:paraId="77A18345" w14:textId="01E3FE09" w:rsidR="00863FB4" w:rsidRPr="00AC281B" w:rsidRDefault="00863FB4">
      <w:pPr>
        <w:pStyle w:val="NormalWeb"/>
        <w:ind w:firstLine="708"/>
        <w:jc w:val="both"/>
        <w:rPr>
          <w:rFonts w:ascii="Arial" w:hAnsi="Arial" w:cs="Arial"/>
          <w:color w:val="000000"/>
          <w:sz w:val="19"/>
          <w:szCs w:val="19"/>
        </w:rPr>
      </w:pPr>
      <w:r w:rsidRPr="00AC281B">
        <w:rPr>
          <w:rStyle w:val="Refdenotaalpie"/>
          <w:rFonts w:ascii="Arial" w:hAnsi="Arial" w:cs="Arial"/>
          <w:sz w:val="19"/>
          <w:szCs w:val="19"/>
        </w:rPr>
        <w:footnoteRef/>
      </w:r>
      <w:r w:rsidRPr="00AC281B">
        <w:rPr>
          <w:rFonts w:ascii="Arial" w:hAnsi="Arial" w:cs="Arial"/>
          <w:sz w:val="19"/>
          <w:szCs w:val="19"/>
        </w:rPr>
        <w:t xml:space="preserve">  Ley 1712 de 2014 </w:t>
      </w:r>
      <w:r w:rsidR="00E05F9B" w:rsidRPr="00AC281B">
        <w:rPr>
          <w:rFonts w:ascii="Arial" w:hAnsi="Arial" w:cs="Arial"/>
          <w:sz w:val="19"/>
          <w:szCs w:val="19"/>
        </w:rPr>
        <w:t>«</w:t>
      </w:r>
      <w:r w:rsidR="00E05F9B" w:rsidRPr="00AC281B">
        <w:rPr>
          <w:rStyle w:val="PiedepginaCar"/>
          <w:rFonts w:ascii="Arial" w:hAnsi="Arial" w:cs="Arial"/>
          <w:color w:val="000000"/>
          <w:sz w:val="19"/>
          <w:szCs w:val="19"/>
        </w:rPr>
        <w:t>Artículo</w:t>
      </w:r>
      <w:r w:rsidRPr="00AC281B">
        <w:rPr>
          <w:rFonts w:ascii="Arial" w:hAnsi="Arial" w:cs="Arial"/>
          <w:color w:val="000000"/>
          <w:sz w:val="19"/>
          <w:szCs w:val="19"/>
        </w:rPr>
        <w:t xml:space="preserve"> 3</w:t>
      </w:r>
      <w:proofErr w:type="gramStart"/>
      <w:r w:rsidRPr="00AC281B">
        <w:rPr>
          <w:rFonts w:ascii="Arial" w:hAnsi="Arial" w:cs="Arial"/>
          <w:color w:val="000000"/>
          <w:sz w:val="19"/>
          <w:szCs w:val="19"/>
        </w:rPr>
        <w:t>°.Otros</w:t>
      </w:r>
      <w:proofErr w:type="gramEnd"/>
      <w:r w:rsidRPr="00AC281B">
        <w:rPr>
          <w:rFonts w:ascii="Arial" w:hAnsi="Arial" w:cs="Arial"/>
          <w:color w:val="000000"/>
          <w:sz w:val="19"/>
          <w:szCs w:val="19"/>
        </w:rPr>
        <w:t xml:space="preserve"> principios de la transparencia y acceso a la información pública. En la interpretación del derecho de acceso a la información se deberá adoptar un criterio de razonabilidad y proporcionalidad, así como aplicar los siguientes principios: </w:t>
      </w:r>
    </w:p>
    <w:p w14:paraId="0A35E9C7" w14:textId="21BB09EF" w:rsidR="00863FB4" w:rsidRPr="00AC281B" w:rsidRDefault="00863FB4">
      <w:pPr>
        <w:jc w:val="both"/>
        <w:rPr>
          <w:rFonts w:ascii="Arial" w:eastAsia="Times New Roman" w:hAnsi="Arial" w:cs="Arial"/>
          <w:color w:val="000000"/>
          <w:sz w:val="19"/>
          <w:szCs w:val="19"/>
          <w:lang w:val="es-CO" w:eastAsia="es-CO"/>
        </w:rPr>
      </w:pPr>
      <w:r w:rsidRPr="00AC281B">
        <w:rPr>
          <w:rFonts w:ascii="Arial" w:eastAsia="Times New Roman" w:hAnsi="Arial" w:cs="Arial"/>
          <w:color w:val="000000"/>
          <w:sz w:val="19"/>
          <w:szCs w:val="19"/>
          <w:lang w:val="es-CO" w:eastAsia="es-CO"/>
        </w:rPr>
        <w:t> </w:t>
      </w:r>
      <w:r w:rsidRPr="00AC281B">
        <w:rPr>
          <w:rFonts w:ascii="Arial" w:eastAsia="Times New Roman" w:hAnsi="Arial" w:cs="Arial"/>
          <w:color w:val="000000"/>
          <w:sz w:val="19"/>
          <w:szCs w:val="19"/>
          <w:lang w:val="es-CO" w:eastAsia="es-CO"/>
        </w:rPr>
        <w:tab/>
      </w:r>
    </w:p>
    <w:p w14:paraId="51562692" w14:textId="77777777" w:rsidR="00863FB4" w:rsidRPr="00AC281B" w:rsidRDefault="00863FB4">
      <w:pPr>
        <w:jc w:val="both"/>
        <w:rPr>
          <w:rFonts w:ascii="Arial" w:eastAsia="Times New Roman" w:hAnsi="Arial" w:cs="Arial"/>
          <w:color w:val="000000"/>
          <w:sz w:val="19"/>
          <w:szCs w:val="19"/>
          <w:lang w:val="es-CO" w:eastAsia="es-CO"/>
        </w:rPr>
      </w:pPr>
      <w:r w:rsidRPr="00AC281B">
        <w:rPr>
          <w:rFonts w:ascii="Arial" w:eastAsia="Times New Roman" w:hAnsi="Arial" w:cs="Arial"/>
          <w:color w:val="000000"/>
          <w:sz w:val="19"/>
          <w:szCs w:val="19"/>
          <w:lang w:val="es-CO" w:eastAsia="es-CO"/>
        </w:rPr>
        <w:t>  </w:t>
      </w:r>
      <w:r w:rsidRPr="00AC281B">
        <w:rPr>
          <w:rFonts w:ascii="Arial" w:eastAsia="Times New Roman" w:hAnsi="Arial" w:cs="Arial"/>
          <w:color w:val="000000"/>
          <w:sz w:val="19"/>
          <w:szCs w:val="19"/>
          <w:lang w:val="es-CO" w:eastAsia="es-CO"/>
        </w:rPr>
        <w:tab/>
        <w:t>[…] </w:t>
      </w:r>
    </w:p>
    <w:p w14:paraId="7112A07A" w14:textId="77777777" w:rsidR="00863FB4" w:rsidRPr="00AC281B" w:rsidRDefault="00863FB4">
      <w:pPr>
        <w:jc w:val="both"/>
        <w:rPr>
          <w:rFonts w:ascii="Arial" w:eastAsia="Times New Roman" w:hAnsi="Arial" w:cs="Arial"/>
          <w:color w:val="000000"/>
          <w:sz w:val="19"/>
          <w:szCs w:val="19"/>
          <w:lang w:val="es-CO" w:eastAsia="es-CO"/>
        </w:rPr>
      </w:pPr>
      <w:r w:rsidRPr="00AC281B">
        <w:rPr>
          <w:rFonts w:ascii="Arial" w:eastAsia="Times New Roman" w:hAnsi="Arial" w:cs="Arial"/>
          <w:color w:val="000000"/>
          <w:sz w:val="19"/>
          <w:szCs w:val="19"/>
          <w:lang w:val="es-CO" w:eastAsia="es-CO"/>
        </w:rPr>
        <w:t>  </w:t>
      </w:r>
      <w:r w:rsidRPr="00AC281B">
        <w:rPr>
          <w:rFonts w:ascii="Arial" w:eastAsia="Times New Roman" w:hAnsi="Arial" w:cs="Arial"/>
          <w:color w:val="000000"/>
          <w:sz w:val="19"/>
          <w:szCs w:val="19"/>
          <w:lang w:val="es-CO" w:eastAsia="es-CO"/>
        </w:rPr>
        <w:tab/>
      </w:r>
      <w:proofErr w:type="gramStart"/>
      <w:r w:rsidRPr="00AC281B">
        <w:rPr>
          <w:rFonts w:ascii="Arial" w:eastAsia="Times New Roman" w:hAnsi="Arial" w:cs="Arial"/>
          <w:color w:val="000000"/>
          <w:sz w:val="19"/>
          <w:szCs w:val="19"/>
          <w:lang w:val="es-CO" w:eastAsia="es-CO"/>
        </w:rPr>
        <w:t>»Principio</w:t>
      </w:r>
      <w:proofErr w:type="gramEnd"/>
      <w:r w:rsidRPr="00AC281B">
        <w:rPr>
          <w:rFonts w:ascii="Arial" w:eastAsia="Times New Roman" w:hAnsi="Arial" w:cs="Arial"/>
          <w:color w:val="000000"/>
          <w:sz w:val="19"/>
          <w:szCs w:val="19"/>
          <w:lang w:val="es-CO" w:eastAsia="es-CO"/>
        </w:rPr>
        <w:t xml:space="preserve"> de facilitación. En virtud de este principio los sujetos obligados deberán facilitar el ejercicio del derecho de acceso a la información pública, excluyendo exigencias o requisitos que puedan obstruirlo o impedirlo. </w:t>
      </w:r>
    </w:p>
    <w:p w14:paraId="72A368AB" w14:textId="77777777" w:rsidR="00863FB4" w:rsidRPr="00AC281B" w:rsidRDefault="00863FB4">
      <w:pPr>
        <w:jc w:val="both"/>
        <w:rPr>
          <w:rFonts w:ascii="Arial" w:eastAsia="Times New Roman" w:hAnsi="Arial" w:cs="Arial"/>
          <w:color w:val="000000"/>
          <w:sz w:val="19"/>
          <w:szCs w:val="19"/>
          <w:lang w:val="es-CO" w:eastAsia="es-CO"/>
        </w:rPr>
      </w:pPr>
      <w:r w:rsidRPr="00AC281B">
        <w:rPr>
          <w:rFonts w:ascii="Arial" w:eastAsia="Times New Roman" w:hAnsi="Arial" w:cs="Arial"/>
          <w:color w:val="000000"/>
          <w:sz w:val="19"/>
          <w:szCs w:val="19"/>
          <w:lang w:val="es-CO" w:eastAsia="es-CO"/>
        </w:rPr>
        <w:t>  </w:t>
      </w:r>
      <w:r w:rsidRPr="00AC281B">
        <w:rPr>
          <w:rFonts w:ascii="Arial" w:eastAsia="Times New Roman" w:hAnsi="Arial" w:cs="Arial"/>
          <w:color w:val="000000"/>
          <w:sz w:val="19"/>
          <w:szCs w:val="19"/>
          <w:lang w:val="es-CO" w:eastAsia="es-CO"/>
        </w:rPr>
        <w:tab/>
        <w:t>[…]</w:t>
      </w:r>
    </w:p>
    <w:p w14:paraId="01F36E2C" w14:textId="77777777" w:rsidR="00863FB4" w:rsidRPr="00AC281B" w:rsidRDefault="00863FB4">
      <w:pPr>
        <w:jc w:val="both"/>
        <w:rPr>
          <w:rFonts w:ascii="Arial" w:eastAsia="Times New Roman" w:hAnsi="Arial" w:cs="Arial"/>
          <w:color w:val="000000"/>
          <w:sz w:val="19"/>
          <w:szCs w:val="19"/>
          <w:lang w:val="es-CO" w:eastAsia="es-CO"/>
        </w:rPr>
      </w:pPr>
      <w:r w:rsidRPr="00AC281B">
        <w:rPr>
          <w:rFonts w:ascii="Arial" w:eastAsia="Times New Roman" w:hAnsi="Arial" w:cs="Arial"/>
          <w:color w:val="000000"/>
          <w:sz w:val="19"/>
          <w:szCs w:val="19"/>
          <w:lang w:val="es-CO" w:eastAsia="es-CO"/>
        </w:rPr>
        <w:t>  </w:t>
      </w:r>
      <w:r w:rsidRPr="00AC281B">
        <w:rPr>
          <w:rFonts w:ascii="Arial" w:eastAsia="Times New Roman" w:hAnsi="Arial" w:cs="Arial"/>
          <w:color w:val="000000"/>
          <w:sz w:val="19"/>
          <w:szCs w:val="19"/>
          <w:lang w:val="es-CO" w:eastAsia="es-CO"/>
        </w:rPr>
        <w:tab/>
        <w:t>» 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 […]».</w:t>
      </w:r>
    </w:p>
    <w:p w14:paraId="72D63FCF" w14:textId="77777777" w:rsidR="00863FB4" w:rsidRPr="00AC281B" w:rsidRDefault="00863FB4">
      <w:pPr>
        <w:pStyle w:val="Textonotapie"/>
        <w:jc w:val="both"/>
        <w:rPr>
          <w:rFonts w:ascii="Arial" w:hAnsi="Arial" w:cs="Arial"/>
          <w:sz w:val="19"/>
          <w:szCs w:val="19"/>
          <w:lang w:val="es-CO"/>
        </w:rPr>
      </w:pPr>
    </w:p>
  </w:footnote>
  <w:footnote w:id="9">
    <w:p w14:paraId="30E945FE" w14:textId="2623379D" w:rsidR="00BC6E0A" w:rsidRDefault="00BC6E0A">
      <w:pPr>
        <w:pStyle w:val="Textonotapie"/>
        <w:ind w:firstLine="708"/>
        <w:jc w:val="both"/>
        <w:rPr>
          <w:rFonts w:ascii="Arial" w:hAnsi="Arial" w:cs="Arial"/>
          <w:sz w:val="19"/>
          <w:szCs w:val="19"/>
        </w:rPr>
      </w:pPr>
      <w:r w:rsidRPr="00E05F9B">
        <w:rPr>
          <w:rStyle w:val="Refdenotaalpie"/>
          <w:rFonts w:ascii="Arial" w:hAnsi="Arial" w:cs="Arial"/>
          <w:sz w:val="19"/>
          <w:szCs w:val="19"/>
        </w:rPr>
        <w:footnoteRef/>
      </w:r>
      <w:r w:rsidRPr="00E05F9B">
        <w:rPr>
          <w:rFonts w:ascii="Arial" w:hAnsi="Arial" w:cs="Arial"/>
          <w:sz w:val="19"/>
          <w:szCs w:val="19"/>
        </w:rPr>
        <w:t xml:space="preserve"> Agencia Nacional de Contratación Pública – Colombia Compra Eficiente. Concepto CU-367 del 23 de julio de 2020. Radicado de entrada No. 4202012000003917. Radicado de salida No. 2202013000006561. </w:t>
      </w:r>
    </w:p>
    <w:p w14:paraId="30194F23" w14:textId="77777777" w:rsidR="00B40109" w:rsidRPr="00E05F9B" w:rsidRDefault="00B40109" w:rsidP="00B40109">
      <w:pPr>
        <w:pStyle w:val="Textonotapie"/>
        <w:ind w:firstLine="708"/>
        <w:jc w:val="both"/>
        <w:rPr>
          <w:rFonts w:ascii="Arial" w:hAnsi="Arial" w:cs="Arial"/>
          <w:sz w:val="19"/>
          <w:szCs w:val="19"/>
          <w:lang w:val="es-CO"/>
        </w:rPr>
      </w:pPr>
    </w:p>
  </w:footnote>
  <w:footnote w:id="10">
    <w:p w14:paraId="39632DBC" w14:textId="77777777" w:rsidR="00FB7892" w:rsidRPr="00241E12" w:rsidRDefault="00FB7892" w:rsidP="00FB7892">
      <w:pPr>
        <w:pStyle w:val="Textonotapie"/>
        <w:ind w:firstLine="708"/>
        <w:jc w:val="both"/>
        <w:rPr>
          <w:rFonts w:ascii="Arial" w:hAnsi="Arial" w:cs="Arial"/>
          <w:sz w:val="19"/>
          <w:szCs w:val="19"/>
        </w:rPr>
      </w:pPr>
      <w:r w:rsidRPr="00AC281B">
        <w:rPr>
          <w:rStyle w:val="Refdenotaalpie"/>
          <w:rFonts w:ascii="Arial" w:hAnsi="Arial" w:cs="Arial"/>
          <w:sz w:val="19"/>
          <w:szCs w:val="19"/>
        </w:rPr>
        <w:footnoteRef/>
      </w:r>
      <w:r w:rsidRPr="00AC281B">
        <w:rPr>
          <w:rFonts w:ascii="Arial" w:hAnsi="Arial" w:cs="Arial"/>
          <w:sz w:val="19"/>
          <w:szCs w:val="19"/>
        </w:rPr>
        <w:t xml:space="preserve"> El artículo 2.2.17.10</w:t>
      </w:r>
      <w:r w:rsidRPr="00AF7F60">
        <w:rPr>
          <w:rFonts w:ascii="Arial" w:hAnsi="Arial" w:cs="Arial"/>
          <w:sz w:val="19"/>
          <w:szCs w:val="19"/>
        </w:rPr>
        <w:t xml:space="preserve">. del Decreto </w:t>
      </w:r>
      <w:r w:rsidRPr="0079176B">
        <w:rPr>
          <w:rFonts w:ascii="Arial" w:hAnsi="Arial" w:cs="Arial"/>
          <w:sz w:val="19"/>
          <w:szCs w:val="19"/>
        </w:rPr>
        <w:t>1083 del 2015 define</w:t>
      </w:r>
      <w:r w:rsidRPr="00FB7892">
        <w:rPr>
          <w:rFonts w:ascii="Arial" w:hAnsi="Arial" w:cs="Arial"/>
          <w:sz w:val="19"/>
          <w:szCs w:val="19"/>
        </w:rPr>
        <w:t xml:space="preserve"> la hoja de vida del SIGEP y establece su contenido de la siguiente manera: </w:t>
      </w:r>
      <w:r w:rsidRPr="00241E12">
        <w:rPr>
          <w:rFonts w:ascii="Arial" w:hAnsi="Arial" w:cs="Arial"/>
          <w:sz w:val="19"/>
          <w:szCs w:val="19"/>
        </w:rPr>
        <w:t xml:space="preserve">«Artículo 2.2.17.10 Formato de hoja de vida. El formato único de hoja de vida es el instrumento para la obtención estandarizada de datos sobre el personal que presta sus servicios a las entidades y a los organismos del sector público, de acuerdo con la reglamentación que para el efecto establezca el Departamento Administrativo de la Función Pública. </w:t>
      </w:r>
    </w:p>
    <w:p w14:paraId="2CDE6655" w14:textId="77777777" w:rsidR="00FB7892" w:rsidRPr="00241E12" w:rsidRDefault="00FB7892" w:rsidP="00FB7892">
      <w:pPr>
        <w:pStyle w:val="Textonotapie"/>
        <w:ind w:firstLine="708"/>
        <w:jc w:val="both"/>
        <w:rPr>
          <w:rFonts w:ascii="Arial" w:hAnsi="Arial" w:cs="Arial"/>
          <w:sz w:val="19"/>
          <w:szCs w:val="19"/>
        </w:rPr>
      </w:pPr>
      <w:proofErr w:type="gramStart"/>
      <w:r w:rsidRPr="00241E12">
        <w:rPr>
          <w:rFonts w:ascii="Arial" w:hAnsi="Arial" w:cs="Arial"/>
          <w:sz w:val="19"/>
          <w:szCs w:val="19"/>
        </w:rPr>
        <w:t>»Están</w:t>
      </w:r>
      <w:proofErr w:type="gramEnd"/>
      <w:r w:rsidRPr="00241E12">
        <w:rPr>
          <w:rFonts w:ascii="Arial" w:hAnsi="Arial" w:cs="Arial"/>
          <w:sz w:val="19"/>
          <w:szCs w:val="19"/>
        </w:rPr>
        <w:t xml:space="preserve"> obligados a diligenciar el formato único de hoja de vida, con excepción de quienes ostenten la calidad de miembros de las Corporaciones Públicas:</w:t>
      </w:r>
    </w:p>
    <w:p w14:paraId="6B0886F8" w14:textId="77777777" w:rsidR="00FB7892" w:rsidRPr="00241E12" w:rsidRDefault="00FB7892" w:rsidP="00FB7892">
      <w:pPr>
        <w:pStyle w:val="Textonotapie"/>
        <w:ind w:firstLine="708"/>
        <w:jc w:val="both"/>
        <w:rPr>
          <w:rFonts w:ascii="Arial" w:hAnsi="Arial" w:cs="Arial"/>
          <w:sz w:val="19"/>
          <w:szCs w:val="19"/>
        </w:rPr>
      </w:pPr>
      <w:r w:rsidRPr="00241E12">
        <w:rPr>
          <w:rFonts w:ascii="Arial" w:hAnsi="Arial" w:cs="Arial"/>
          <w:sz w:val="19"/>
          <w:szCs w:val="19"/>
        </w:rPr>
        <w:t>»1. Los empleados públicos que ocupen cargos de elección popular y que no pertenezcan a Corporaciones Públicas, de período fijo, de carrera y de libre nombramiento y remoción, previamente a la posesión.</w:t>
      </w:r>
    </w:p>
    <w:p w14:paraId="412ECBDC" w14:textId="77777777" w:rsidR="00FB7892" w:rsidRPr="00241E12" w:rsidRDefault="00FB7892" w:rsidP="00FB7892">
      <w:pPr>
        <w:pStyle w:val="Textonotapie"/>
        <w:ind w:firstLine="708"/>
        <w:jc w:val="both"/>
        <w:rPr>
          <w:rFonts w:ascii="Arial" w:hAnsi="Arial" w:cs="Arial"/>
          <w:sz w:val="19"/>
          <w:szCs w:val="19"/>
        </w:rPr>
      </w:pPr>
      <w:r w:rsidRPr="00241E12">
        <w:rPr>
          <w:rFonts w:ascii="Arial" w:hAnsi="Arial" w:cs="Arial"/>
          <w:sz w:val="19"/>
          <w:szCs w:val="19"/>
        </w:rPr>
        <w:t>»2. Los trabajadores oficiales.</w:t>
      </w:r>
    </w:p>
    <w:p w14:paraId="3B4F82D3" w14:textId="77777777" w:rsidR="00FB7892" w:rsidRPr="00241E12" w:rsidRDefault="00FB7892" w:rsidP="00FB7892">
      <w:pPr>
        <w:pStyle w:val="Textonotapie"/>
        <w:ind w:firstLine="708"/>
        <w:jc w:val="both"/>
        <w:rPr>
          <w:rFonts w:ascii="Arial" w:hAnsi="Arial" w:cs="Arial"/>
          <w:sz w:val="19"/>
          <w:szCs w:val="19"/>
          <w:lang w:val="es-ES"/>
        </w:rPr>
      </w:pPr>
      <w:r w:rsidRPr="00241E12">
        <w:rPr>
          <w:rFonts w:ascii="Arial" w:hAnsi="Arial" w:cs="Arial"/>
          <w:sz w:val="19"/>
          <w:szCs w:val="19"/>
        </w:rPr>
        <w:t>»3. Los contratistas de prestación de servicios, previamente a la celebración del contrato.»</w:t>
      </w:r>
    </w:p>
  </w:footnote>
  <w:footnote w:id="11">
    <w:p w14:paraId="76507312" w14:textId="18862ADD" w:rsidR="00650FD9" w:rsidRPr="00FB7892" w:rsidRDefault="00650FD9" w:rsidP="00FB7892">
      <w:pPr>
        <w:pStyle w:val="Textonotapie"/>
        <w:ind w:firstLine="708"/>
        <w:jc w:val="both"/>
        <w:rPr>
          <w:rFonts w:ascii="Arial" w:hAnsi="Arial" w:cs="Arial"/>
          <w:sz w:val="19"/>
          <w:szCs w:val="19"/>
        </w:rPr>
      </w:pPr>
      <w:r w:rsidRPr="00AC281B">
        <w:rPr>
          <w:rStyle w:val="Refdenotaalpie"/>
          <w:rFonts w:ascii="Arial" w:hAnsi="Arial" w:cs="Arial"/>
          <w:sz w:val="19"/>
          <w:szCs w:val="19"/>
        </w:rPr>
        <w:footnoteRef/>
      </w:r>
      <w:r w:rsidRPr="00AC281B">
        <w:rPr>
          <w:rFonts w:ascii="Arial" w:hAnsi="Arial" w:cs="Arial"/>
          <w:sz w:val="19"/>
          <w:szCs w:val="19"/>
        </w:rPr>
        <w:t xml:space="preserve"> Ley 1437 de 2011 «Artículo 24. Informaciones y documentos reservados. Solo tendrán carácter reserv</w:t>
      </w:r>
      <w:r w:rsidRPr="00FB7892">
        <w:rPr>
          <w:rFonts w:ascii="Arial" w:hAnsi="Arial" w:cs="Arial"/>
          <w:sz w:val="19"/>
          <w:szCs w:val="19"/>
        </w:rPr>
        <w:t>ado las informaciones y documentos expresamente sometidos a reserva por la Constitución Política o la ley, y en especial:</w:t>
      </w:r>
    </w:p>
    <w:p w14:paraId="37A53F4E" w14:textId="1FB6DF6E" w:rsidR="00650FD9" w:rsidRPr="00AC281B" w:rsidRDefault="00650FD9">
      <w:pPr>
        <w:pStyle w:val="Textonotapie"/>
        <w:ind w:firstLine="708"/>
        <w:jc w:val="both"/>
        <w:rPr>
          <w:rFonts w:ascii="Arial" w:hAnsi="Arial" w:cs="Arial"/>
          <w:sz w:val="19"/>
          <w:szCs w:val="19"/>
        </w:rPr>
      </w:pPr>
      <w:r w:rsidRPr="00AC281B">
        <w:rPr>
          <w:rFonts w:ascii="Arial" w:hAnsi="Arial" w:cs="Arial"/>
          <w:sz w:val="19"/>
          <w:szCs w:val="19"/>
        </w:rPr>
        <w:t>[…]</w:t>
      </w:r>
    </w:p>
    <w:p w14:paraId="0736A986" w14:textId="498C8BCE" w:rsidR="00650FD9" w:rsidRPr="00AC281B" w:rsidRDefault="00650FD9">
      <w:pPr>
        <w:pStyle w:val="Textonotapie"/>
        <w:ind w:firstLine="708"/>
        <w:jc w:val="both"/>
        <w:rPr>
          <w:rFonts w:ascii="Arial" w:hAnsi="Arial" w:cs="Arial"/>
          <w:sz w:val="19"/>
          <w:szCs w:val="19"/>
        </w:rPr>
      </w:pPr>
      <w:r w:rsidRPr="00AC281B">
        <w:rPr>
          <w:rFonts w:ascii="Arial" w:hAnsi="Arial" w:cs="Arial"/>
          <w:sz w:val="19"/>
          <w:szCs w:val="19"/>
        </w:rPr>
        <w:t>»3.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w:t>
      </w:r>
    </w:p>
    <w:p w14:paraId="49CC3CBC" w14:textId="77777777" w:rsidR="00650FD9" w:rsidRPr="00AC281B" w:rsidRDefault="00650FD9">
      <w:pPr>
        <w:pStyle w:val="Textonotapie"/>
        <w:jc w:val="both"/>
        <w:rPr>
          <w:rFonts w:ascii="Arial" w:hAnsi="Arial" w:cs="Arial"/>
          <w:sz w:val="19"/>
          <w:szCs w:val="19"/>
        </w:rPr>
      </w:pPr>
    </w:p>
  </w:footnote>
  <w:footnote w:id="12">
    <w:p w14:paraId="312F44C5" w14:textId="44341C38" w:rsidR="00556BBD" w:rsidRPr="00FB7892" w:rsidRDefault="00556BBD">
      <w:pPr>
        <w:pStyle w:val="Textonotapie"/>
        <w:jc w:val="both"/>
        <w:rPr>
          <w:rFonts w:ascii="Arial" w:hAnsi="Arial" w:cs="Arial"/>
          <w:sz w:val="19"/>
          <w:szCs w:val="19"/>
        </w:rPr>
      </w:pPr>
      <w:r w:rsidRPr="00AC281B">
        <w:rPr>
          <w:rFonts w:ascii="Arial" w:hAnsi="Arial" w:cs="Arial"/>
          <w:sz w:val="19"/>
          <w:szCs w:val="19"/>
        </w:rPr>
        <w:tab/>
      </w:r>
      <w:r w:rsidRPr="00AC281B">
        <w:rPr>
          <w:rStyle w:val="Refdenotaalpie"/>
          <w:rFonts w:ascii="Arial" w:hAnsi="Arial" w:cs="Arial"/>
          <w:sz w:val="19"/>
          <w:szCs w:val="19"/>
        </w:rPr>
        <w:footnoteRef/>
      </w:r>
      <w:r w:rsidRPr="00AC281B">
        <w:rPr>
          <w:rFonts w:ascii="Arial" w:hAnsi="Arial" w:cs="Arial"/>
          <w:sz w:val="19"/>
          <w:szCs w:val="19"/>
        </w:rPr>
        <w:t xml:space="preserve"> Ley 1437 de 2011 «Artículo 36. </w:t>
      </w:r>
      <w:r w:rsidRPr="00AF7F60">
        <w:rPr>
          <w:rFonts w:ascii="Arial" w:hAnsi="Arial" w:cs="Arial"/>
          <w:sz w:val="19"/>
          <w:szCs w:val="19"/>
        </w:rPr>
        <w:t>Formación y examen de expedientes</w:t>
      </w:r>
    </w:p>
    <w:p w14:paraId="6D7C2079" w14:textId="7B24764F" w:rsidR="00556BBD" w:rsidRPr="00FB7892" w:rsidRDefault="00556BBD">
      <w:pPr>
        <w:pStyle w:val="Textonotapie"/>
        <w:jc w:val="both"/>
        <w:rPr>
          <w:rFonts w:ascii="Arial" w:hAnsi="Arial" w:cs="Arial"/>
          <w:sz w:val="19"/>
          <w:szCs w:val="19"/>
          <w:lang w:val="es-ES"/>
        </w:rPr>
      </w:pPr>
      <w:r w:rsidRPr="00FB7892">
        <w:rPr>
          <w:rFonts w:ascii="Arial" w:hAnsi="Arial" w:cs="Arial"/>
          <w:sz w:val="19"/>
          <w:szCs w:val="19"/>
          <w:lang w:val="es-ES"/>
        </w:rPr>
        <w:tab/>
        <w:t>[…]</w:t>
      </w:r>
    </w:p>
    <w:p w14:paraId="7637AFA2" w14:textId="1EBAD908" w:rsidR="00556BBD" w:rsidRPr="00E05F9B" w:rsidRDefault="00556BBD">
      <w:pPr>
        <w:pStyle w:val="Textonotapie"/>
        <w:jc w:val="both"/>
        <w:rPr>
          <w:rFonts w:ascii="Arial" w:hAnsi="Arial" w:cs="Arial"/>
          <w:sz w:val="19"/>
          <w:szCs w:val="19"/>
          <w:lang w:val="es-ES"/>
        </w:rPr>
      </w:pPr>
      <w:r w:rsidRPr="00AC281B">
        <w:rPr>
          <w:rFonts w:ascii="Arial" w:hAnsi="Arial" w:cs="Arial"/>
          <w:sz w:val="19"/>
          <w:szCs w:val="19"/>
          <w:lang w:val="es-ES"/>
        </w:rPr>
        <w:tab/>
        <w:t>» Con los documentos que por mandato de la Constitución Política o de la ley tengan el carácter de reservados y obren dentro de un expediente, se hará cuaderno separado.»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8637" w14:textId="77777777" w:rsidR="00891858" w:rsidRDefault="00891858">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FD4A8BFA"/>
    <w:lvl w:ilvl="0">
      <w:start w:val="1"/>
      <w:numFmt w:val="decimal"/>
      <w:lvlText w:val="%1."/>
      <w:lvlJc w:val="left"/>
      <w:pPr>
        <w:ind w:left="360"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6AA1B77"/>
    <w:multiLevelType w:val="hybridMultilevel"/>
    <w:tmpl w:val="7F1CC020"/>
    <w:lvl w:ilvl="0" w:tplc="414EC74A">
      <w:start w:val="1"/>
      <w:numFmt w:val="decimal"/>
      <w:lvlText w:val="%1)"/>
      <w:lvlJc w:val="left"/>
      <w:pPr>
        <w:ind w:left="720" w:hanging="36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84E433F"/>
    <w:multiLevelType w:val="hybridMultilevel"/>
    <w:tmpl w:val="5D48311E"/>
    <w:lvl w:ilvl="0" w:tplc="92ECECC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51857"/>
    <w:multiLevelType w:val="multilevel"/>
    <w:tmpl w:val="1A14E62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401EC0"/>
    <w:multiLevelType w:val="multilevel"/>
    <w:tmpl w:val="C72C95E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EF7B0D"/>
    <w:multiLevelType w:val="multilevel"/>
    <w:tmpl w:val="0422F09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17217C2"/>
    <w:multiLevelType w:val="multilevel"/>
    <w:tmpl w:val="6AC203A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5F2379"/>
    <w:multiLevelType w:val="hybridMultilevel"/>
    <w:tmpl w:val="4EC2B85C"/>
    <w:lvl w:ilvl="0" w:tplc="287CA066">
      <w:start w:val="1"/>
      <w:numFmt w:val="decimal"/>
      <w:lvlText w:val="%1."/>
      <w:lvlJc w:val="left"/>
      <w:pPr>
        <w:ind w:left="720" w:hanging="360"/>
      </w:pPr>
      <w:rPr>
        <w:rFonts w:ascii="Arial" w:hAnsi="Arial" w:cs="Arial" w:hint="default"/>
      </w:rPr>
    </w:lvl>
    <w:lvl w:ilvl="1" w:tplc="A0BE41B6">
      <w:start w:val="1"/>
      <w:numFmt w:val="lowerLetter"/>
      <w:lvlText w:val="%2."/>
      <w:lvlJc w:val="left"/>
      <w:pPr>
        <w:ind w:left="1440" w:hanging="360"/>
      </w:pPr>
    </w:lvl>
    <w:lvl w:ilvl="2" w:tplc="4EEAE868">
      <w:start w:val="1"/>
      <w:numFmt w:val="lowerRoman"/>
      <w:lvlText w:val="%3."/>
      <w:lvlJc w:val="right"/>
      <w:pPr>
        <w:ind w:left="2160" w:hanging="180"/>
      </w:pPr>
    </w:lvl>
    <w:lvl w:ilvl="3" w:tplc="891C9386">
      <w:start w:val="1"/>
      <w:numFmt w:val="decimal"/>
      <w:lvlText w:val="%4."/>
      <w:lvlJc w:val="left"/>
      <w:pPr>
        <w:ind w:left="2880" w:hanging="360"/>
      </w:pPr>
    </w:lvl>
    <w:lvl w:ilvl="4" w:tplc="F52C3086">
      <w:start w:val="1"/>
      <w:numFmt w:val="lowerLetter"/>
      <w:lvlText w:val="%5."/>
      <w:lvlJc w:val="left"/>
      <w:pPr>
        <w:ind w:left="3600" w:hanging="360"/>
      </w:pPr>
    </w:lvl>
    <w:lvl w:ilvl="5" w:tplc="E9982476">
      <w:start w:val="1"/>
      <w:numFmt w:val="lowerRoman"/>
      <w:lvlText w:val="%6."/>
      <w:lvlJc w:val="right"/>
      <w:pPr>
        <w:ind w:left="4320" w:hanging="180"/>
      </w:pPr>
    </w:lvl>
    <w:lvl w:ilvl="6" w:tplc="3424A796">
      <w:start w:val="1"/>
      <w:numFmt w:val="decimal"/>
      <w:lvlText w:val="%7."/>
      <w:lvlJc w:val="left"/>
      <w:pPr>
        <w:ind w:left="5040" w:hanging="360"/>
      </w:pPr>
    </w:lvl>
    <w:lvl w:ilvl="7" w:tplc="A97A6114">
      <w:start w:val="1"/>
      <w:numFmt w:val="lowerLetter"/>
      <w:lvlText w:val="%8."/>
      <w:lvlJc w:val="left"/>
      <w:pPr>
        <w:ind w:left="5760" w:hanging="360"/>
      </w:pPr>
    </w:lvl>
    <w:lvl w:ilvl="8" w:tplc="C5E44E02">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7"/>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7C"/>
    <w:rsid w:val="0001042D"/>
    <w:rsid w:val="00010D30"/>
    <w:rsid w:val="0003091B"/>
    <w:rsid w:val="000333A2"/>
    <w:rsid w:val="0003551D"/>
    <w:rsid w:val="00040D6E"/>
    <w:rsid w:val="0004238A"/>
    <w:rsid w:val="00042C0C"/>
    <w:rsid w:val="00044FF2"/>
    <w:rsid w:val="00061EE4"/>
    <w:rsid w:val="00062B0D"/>
    <w:rsid w:val="000815F0"/>
    <w:rsid w:val="000828A0"/>
    <w:rsid w:val="00086A16"/>
    <w:rsid w:val="0009255F"/>
    <w:rsid w:val="000940D2"/>
    <w:rsid w:val="00097CD6"/>
    <w:rsid w:val="000A018C"/>
    <w:rsid w:val="000A1DBA"/>
    <w:rsid w:val="000A6338"/>
    <w:rsid w:val="000C0E39"/>
    <w:rsid w:val="000C0F96"/>
    <w:rsid w:val="000C13AD"/>
    <w:rsid w:val="000C2C5C"/>
    <w:rsid w:val="000D088F"/>
    <w:rsid w:val="000D536A"/>
    <w:rsid w:val="000E0310"/>
    <w:rsid w:val="000E13C9"/>
    <w:rsid w:val="000E6867"/>
    <w:rsid w:val="000F4AAC"/>
    <w:rsid w:val="000F6C89"/>
    <w:rsid w:val="001013D1"/>
    <w:rsid w:val="0010475B"/>
    <w:rsid w:val="00107607"/>
    <w:rsid w:val="00112597"/>
    <w:rsid w:val="001235FB"/>
    <w:rsid w:val="0013190B"/>
    <w:rsid w:val="001321AB"/>
    <w:rsid w:val="00136A6B"/>
    <w:rsid w:val="00140951"/>
    <w:rsid w:val="00140E57"/>
    <w:rsid w:val="00141601"/>
    <w:rsid w:val="00141C64"/>
    <w:rsid w:val="001430E5"/>
    <w:rsid w:val="00143AF1"/>
    <w:rsid w:val="0014462B"/>
    <w:rsid w:val="00144F90"/>
    <w:rsid w:val="001567C0"/>
    <w:rsid w:val="001611D8"/>
    <w:rsid w:val="00164E79"/>
    <w:rsid w:val="00165B1E"/>
    <w:rsid w:val="00172514"/>
    <w:rsid w:val="0017603D"/>
    <w:rsid w:val="0018164F"/>
    <w:rsid w:val="00181A3E"/>
    <w:rsid w:val="0018328B"/>
    <w:rsid w:val="00194C50"/>
    <w:rsid w:val="001C0169"/>
    <w:rsid w:val="001C6430"/>
    <w:rsid w:val="001D38A8"/>
    <w:rsid w:val="001D7254"/>
    <w:rsid w:val="001E5DBB"/>
    <w:rsid w:val="001F1051"/>
    <w:rsid w:val="001F28E6"/>
    <w:rsid w:val="001F34A8"/>
    <w:rsid w:val="001F3B5C"/>
    <w:rsid w:val="001F6346"/>
    <w:rsid w:val="002034AD"/>
    <w:rsid w:val="002056C6"/>
    <w:rsid w:val="00213B03"/>
    <w:rsid w:val="002239B4"/>
    <w:rsid w:val="00231752"/>
    <w:rsid w:val="0023319B"/>
    <w:rsid w:val="0023611D"/>
    <w:rsid w:val="00237634"/>
    <w:rsid w:val="00241F32"/>
    <w:rsid w:val="00242E58"/>
    <w:rsid w:val="00260AB5"/>
    <w:rsid w:val="0026186C"/>
    <w:rsid w:val="00265031"/>
    <w:rsid w:val="00266105"/>
    <w:rsid w:val="00266277"/>
    <w:rsid w:val="00277E01"/>
    <w:rsid w:val="00280918"/>
    <w:rsid w:val="002841BF"/>
    <w:rsid w:val="00284C12"/>
    <w:rsid w:val="00286834"/>
    <w:rsid w:val="00292247"/>
    <w:rsid w:val="0029763B"/>
    <w:rsid w:val="002A76AF"/>
    <w:rsid w:val="002B282F"/>
    <w:rsid w:val="002B35D7"/>
    <w:rsid w:val="002B4B30"/>
    <w:rsid w:val="002C3ACC"/>
    <w:rsid w:val="002E7BC2"/>
    <w:rsid w:val="002F187E"/>
    <w:rsid w:val="002F63BB"/>
    <w:rsid w:val="00302F9F"/>
    <w:rsid w:val="00304386"/>
    <w:rsid w:val="003222DE"/>
    <w:rsid w:val="00326995"/>
    <w:rsid w:val="0033366B"/>
    <w:rsid w:val="003401FE"/>
    <w:rsid w:val="00353541"/>
    <w:rsid w:val="00356FCF"/>
    <w:rsid w:val="003571E4"/>
    <w:rsid w:val="00360504"/>
    <w:rsid w:val="00376E1F"/>
    <w:rsid w:val="00390DCF"/>
    <w:rsid w:val="00391F16"/>
    <w:rsid w:val="00397CCB"/>
    <w:rsid w:val="00397E90"/>
    <w:rsid w:val="003A2944"/>
    <w:rsid w:val="003B0DEF"/>
    <w:rsid w:val="003B248A"/>
    <w:rsid w:val="003C2074"/>
    <w:rsid w:val="003C3ADB"/>
    <w:rsid w:val="003D11B5"/>
    <w:rsid w:val="003D134C"/>
    <w:rsid w:val="003D16A5"/>
    <w:rsid w:val="003D175E"/>
    <w:rsid w:val="003D4D18"/>
    <w:rsid w:val="003D69A5"/>
    <w:rsid w:val="003E14F9"/>
    <w:rsid w:val="003F0232"/>
    <w:rsid w:val="003F3119"/>
    <w:rsid w:val="003F3A0C"/>
    <w:rsid w:val="003F3AFA"/>
    <w:rsid w:val="003F6D43"/>
    <w:rsid w:val="00400868"/>
    <w:rsid w:val="0040A3B3"/>
    <w:rsid w:val="004100D9"/>
    <w:rsid w:val="00427818"/>
    <w:rsid w:val="00430B30"/>
    <w:rsid w:val="00430B5A"/>
    <w:rsid w:val="00432E73"/>
    <w:rsid w:val="00435DA5"/>
    <w:rsid w:val="0044207D"/>
    <w:rsid w:val="004423A9"/>
    <w:rsid w:val="00447FE5"/>
    <w:rsid w:val="0045479F"/>
    <w:rsid w:val="004617B8"/>
    <w:rsid w:val="00461D5B"/>
    <w:rsid w:val="004758FE"/>
    <w:rsid w:val="004763A4"/>
    <w:rsid w:val="004830C8"/>
    <w:rsid w:val="004837AB"/>
    <w:rsid w:val="00483A2F"/>
    <w:rsid w:val="00484088"/>
    <w:rsid w:val="00496D0D"/>
    <w:rsid w:val="004A2086"/>
    <w:rsid w:val="004A32A4"/>
    <w:rsid w:val="004A3853"/>
    <w:rsid w:val="004A6EE1"/>
    <w:rsid w:val="004B1BEE"/>
    <w:rsid w:val="004C203A"/>
    <w:rsid w:val="004C674E"/>
    <w:rsid w:val="004C6E06"/>
    <w:rsid w:val="004D2833"/>
    <w:rsid w:val="004D32AF"/>
    <w:rsid w:val="004E370E"/>
    <w:rsid w:val="004F1636"/>
    <w:rsid w:val="004F4387"/>
    <w:rsid w:val="00510BF5"/>
    <w:rsid w:val="00510C15"/>
    <w:rsid w:val="00521252"/>
    <w:rsid w:val="00521BA7"/>
    <w:rsid w:val="005252E2"/>
    <w:rsid w:val="005301CC"/>
    <w:rsid w:val="00535E7D"/>
    <w:rsid w:val="00543283"/>
    <w:rsid w:val="005511D5"/>
    <w:rsid w:val="00556BBD"/>
    <w:rsid w:val="005608B8"/>
    <w:rsid w:val="00572301"/>
    <w:rsid w:val="005777C2"/>
    <w:rsid w:val="00585FB5"/>
    <w:rsid w:val="00591586"/>
    <w:rsid w:val="005B3880"/>
    <w:rsid w:val="005C240F"/>
    <w:rsid w:val="005C7CC4"/>
    <w:rsid w:val="005E7E6E"/>
    <w:rsid w:val="005F3171"/>
    <w:rsid w:val="005F5D19"/>
    <w:rsid w:val="005F6CBF"/>
    <w:rsid w:val="0060581B"/>
    <w:rsid w:val="006135E6"/>
    <w:rsid w:val="00616BAE"/>
    <w:rsid w:val="00627B02"/>
    <w:rsid w:val="00632EA5"/>
    <w:rsid w:val="006333AC"/>
    <w:rsid w:val="00650FD9"/>
    <w:rsid w:val="0065701C"/>
    <w:rsid w:val="00664C10"/>
    <w:rsid w:val="00670142"/>
    <w:rsid w:val="006818B6"/>
    <w:rsid w:val="006824B8"/>
    <w:rsid w:val="006841A3"/>
    <w:rsid w:val="006903F8"/>
    <w:rsid w:val="00690459"/>
    <w:rsid w:val="00692292"/>
    <w:rsid w:val="006A7743"/>
    <w:rsid w:val="006B14B9"/>
    <w:rsid w:val="006B1910"/>
    <w:rsid w:val="006B6C6A"/>
    <w:rsid w:val="006C234F"/>
    <w:rsid w:val="006C5955"/>
    <w:rsid w:val="006D7A8D"/>
    <w:rsid w:val="006E2C27"/>
    <w:rsid w:val="006F233F"/>
    <w:rsid w:val="006F39D0"/>
    <w:rsid w:val="006F7746"/>
    <w:rsid w:val="006F7C95"/>
    <w:rsid w:val="00710460"/>
    <w:rsid w:val="00711157"/>
    <w:rsid w:val="00716A74"/>
    <w:rsid w:val="0072397A"/>
    <w:rsid w:val="00723AB9"/>
    <w:rsid w:val="00724CB1"/>
    <w:rsid w:val="0072792D"/>
    <w:rsid w:val="00736C89"/>
    <w:rsid w:val="00745744"/>
    <w:rsid w:val="0075032A"/>
    <w:rsid w:val="00764A25"/>
    <w:rsid w:val="007672D5"/>
    <w:rsid w:val="007675AD"/>
    <w:rsid w:val="00771C3B"/>
    <w:rsid w:val="00772497"/>
    <w:rsid w:val="00775F58"/>
    <w:rsid w:val="007815FD"/>
    <w:rsid w:val="00784E5B"/>
    <w:rsid w:val="00791377"/>
    <w:rsid w:val="0079176B"/>
    <w:rsid w:val="007A4D0C"/>
    <w:rsid w:val="007B4DFC"/>
    <w:rsid w:val="007C1102"/>
    <w:rsid w:val="007C5F30"/>
    <w:rsid w:val="007C5FB9"/>
    <w:rsid w:val="007C68FC"/>
    <w:rsid w:val="007D48ED"/>
    <w:rsid w:val="007D5C53"/>
    <w:rsid w:val="007D62C7"/>
    <w:rsid w:val="007E3606"/>
    <w:rsid w:val="007F2DB3"/>
    <w:rsid w:val="007F7AC6"/>
    <w:rsid w:val="00802DBF"/>
    <w:rsid w:val="00803061"/>
    <w:rsid w:val="00803500"/>
    <w:rsid w:val="0080376F"/>
    <w:rsid w:val="00803D6A"/>
    <w:rsid w:val="008040FB"/>
    <w:rsid w:val="008043CA"/>
    <w:rsid w:val="00807EEE"/>
    <w:rsid w:val="0081007C"/>
    <w:rsid w:val="0081218A"/>
    <w:rsid w:val="00813893"/>
    <w:rsid w:val="00816ED3"/>
    <w:rsid w:val="00820EA9"/>
    <w:rsid w:val="0082266E"/>
    <w:rsid w:val="00824361"/>
    <w:rsid w:val="008268B0"/>
    <w:rsid w:val="008327EE"/>
    <w:rsid w:val="00836F0D"/>
    <w:rsid w:val="00837A43"/>
    <w:rsid w:val="00842927"/>
    <w:rsid w:val="00842E74"/>
    <w:rsid w:val="00843BE5"/>
    <w:rsid w:val="008532A7"/>
    <w:rsid w:val="00863DD9"/>
    <w:rsid w:val="00863FB4"/>
    <w:rsid w:val="00866446"/>
    <w:rsid w:val="00866DC0"/>
    <w:rsid w:val="0086741B"/>
    <w:rsid w:val="00882ABB"/>
    <w:rsid w:val="00883D83"/>
    <w:rsid w:val="00886F29"/>
    <w:rsid w:val="00887595"/>
    <w:rsid w:val="00891858"/>
    <w:rsid w:val="008A0633"/>
    <w:rsid w:val="008A35B6"/>
    <w:rsid w:val="008A53F2"/>
    <w:rsid w:val="008B1879"/>
    <w:rsid w:val="008B4D4A"/>
    <w:rsid w:val="008BFBB9"/>
    <w:rsid w:val="008C24B6"/>
    <w:rsid w:val="008C26B7"/>
    <w:rsid w:val="008C487C"/>
    <w:rsid w:val="008C4C28"/>
    <w:rsid w:val="008E0FCC"/>
    <w:rsid w:val="008E2FE3"/>
    <w:rsid w:val="008E4F25"/>
    <w:rsid w:val="008E5F34"/>
    <w:rsid w:val="008F2267"/>
    <w:rsid w:val="009079FC"/>
    <w:rsid w:val="009231E0"/>
    <w:rsid w:val="009360B7"/>
    <w:rsid w:val="009417A8"/>
    <w:rsid w:val="0094386A"/>
    <w:rsid w:val="0094508D"/>
    <w:rsid w:val="009506A7"/>
    <w:rsid w:val="00951464"/>
    <w:rsid w:val="00952603"/>
    <w:rsid w:val="0095728F"/>
    <w:rsid w:val="00967230"/>
    <w:rsid w:val="00972C13"/>
    <w:rsid w:val="00973752"/>
    <w:rsid w:val="00980C42"/>
    <w:rsid w:val="009812D7"/>
    <w:rsid w:val="00981799"/>
    <w:rsid w:val="00982736"/>
    <w:rsid w:val="009831E2"/>
    <w:rsid w:val="009920CA"/>
    <w:rsid w:val="009938C4"/>
    <w:rsid w:val="009A5714"/>
    <w:rsid w:val="009A5DA7"/>
    <w:rsid w:val="009B1AEC"/>
    <w:rsid w:val="009B6CFE"/>
    <w:rsid w:val="009C2655"/>
    <w:rsid w:val="009C4BC4"/>
    <w:rsid w:val="009CAE04"/>
    <w:rsid w:val="009D1D57"/>
    <w:rsid w:val="009D3D7C"/>
    <w:rsid w:val="009E2544"/>
    <w:rsid w:val="009E2770"/>
    <w:rsid w:val="009F2261"/>
    <w:rsid w:val="009F3537"/>
    <w:rsid w:val="009F35FF"/>
    <w:rsid w:val="00A015C2"/>
    <w:rsid w:val="00A02472"/>
    <w:rsid w:val="00A0333C"/>
    <w:rsid w:val="00A25657"/>
    <w:rsid w:val="00A25BCC"/>
    <w:rsid w:val="00A329B6"/>
    <w:rsid w:val="00A367A1"/>
    <w:rsid w:val="00A42971"/>
    <w:rsid w:val="00A47330"/>
    <w:rsid w:val="00A47E7B"/>
    <w:rsid w:val="00A510F6"/>
    <w:rsid w:val="00A6470C"/>
    <w:rsid w:val="00A8311F"/>
    <w:rsid w:val="00A83829"/>
    <w:rsid w:val="00A903C4"/>
    <w:rsid w:val="00A9256A"/>
    <w:rsid w:val="00A92AF6"/>
    <w:rsid w:val="00A942E0"/>
    <w:rsid w:val="00A95100"/>
    <w:rsid w:val="00A953B4"/>
    <w:rsid w:val="00A96160"/>
    <w:rsid w:val="00AA37E8"/>
    <w:rsid w:val="00AA449B"/>
    <w:rsid w:val="00AA615B"/>
    <w:rsid w:val="00AA7ABA"/>
    <w:rsid w:val="00AB6A57"/>
    <w:rsid w:val="00AC0C81"/>
    <w:rsid w:val="00AC281B"/>
    <w:rsid w:val="00AD3A82"/>
    <w:rsid w:val="00AE374D"/>
    <w:rsid w:val="00AE3AE4"/>
    <w:rsid w:val="00AE668A"/>
    <w:rsid w:val="00AE6858"/>
    <w:rsid w:val="00AF05A8"/>
    <w:rsid w:val="00AF5C62"/>
    <w:rsid w:val="00AF7270"/>
    <w:rsid w:val="00AF7F60"/>
    <w:rsid w:val="00B00AA2"/>
    <w:rsid w:val="00B17BC5"/>
    <w:rsid w:val="00B2158C"/>
    <w:rsid w:val="00B24E57"/>
    <w:rsid w:val="00B27080"/>
    <w:rsid w:val="00B3420E"/>
    <w:rsid w:val="00B40109"/>
    <w:rsid w:val="00B40E58"/>
    <w:rsid w:val="00B43557"/>
    <w:rsid w:val="00B46D66"/>
    <w:rsid w:val="00B5123E"/>
    <w:rsid w:val="00B522C4"/>
    <w:rsid w:val="00B52B0E"/>
    <w:rsid w:val="00B5337D"/>
    <w:rsid w:val="00B65290"/>
    <w:rsid w:val="00B70E26"/>
    <w:rsid w:val="00B71E17"/>
    <w:rsid w:val="00B73DE2"/>
    <w:rsid w:val="00B83092"/>
    <w:rsid w:val="00B86B24"/>
    <w:rsid w:val="00B91A95"/>
    <w:rsid w:val="00B93367"/>
    <w:rsid w:val="00B96C0F"/>
    <w:rsid w:val="00B97D95"/>
    <w:rsid w:val="00BA7E78"/>
    <w:rsid w:val="00BB0EA7"/>
    <w:rsid w:val="00BB379B"/>
    <w:rsid w:val="00BB59F9"/>
    <w:rsid w:val="00BB5D42"/>
    <w:rsid w:val="00BB7ADE"/>
    <w:rsid w:val="00BC15B8"/>
    <w:rsid w:val="00BC5279"/>
    <w:rsid w:val="00BC6C4E"/>
    <w:rsid w:val="00BC6E0A"/>
    <w:rsid w:val="00BC7E0F"/>
    <w:rsid w:val="00BD58A7"/>
    <w:rsid w:val="00BE01C3"/>
    <w:rsid w:val="00BE2AD3"/>
    <w:rsid w:val="00BE36F7"/>
    <w:rsid w:val="00BE6B1A"/>
    <w:rsid w:val="00BF2443"/>
    <w:rsid w:val="00BF47E8"/>
    <w:rsid w:val="00C00A1C"/>
    <w:rsid w:val="00C07803"/>
    <w:rsid w:val="00C116A2"/>
    <w:rsid w:val="00C12201"/>
    <w:rsid w:val="00C1405A"/>
    <w:rsid w:val="00C14244"/>
    <w:rsid w:val="00C25C12"/>
    <w:rsid w:val="00C350FA"/>
    <w:rsid w:val="00C42375"/>
    <w:rsid w:val="00C50B1B"/>
    <w:rsid w:val="00C51F07"/>
    <w:rsid w:val="00C52801"/>
    <w:rsid w:val="00C6210F"/>
    <w:rsid w:val="00C72F1E"/>
    <w:rsid w:val="00C745C6"/>
    <w:rsid w:val="00C77793"/>
    <w:rsid w:val="00C908AB"/>
    <w:rsid w:val="00C93E2D"/>
    <w:rsid w:val="00C964DE"/>
    <w:rsid w:val="00CA1E86"/>
    <w:rsid w:val="00CA5790"/>
    <w:rsid w:val="00CA634C"/>
    <w:rsid w:val="00CB2674"/>
    <w:rsid w:val="00CB646F"/>
    <w:rsid w:val="00CD2837"/>
    <w:rsid w:val="00CE013C"/>
    <w:rsid w:val="00CF326B"/>
    <w:rsid w:val="00D0763E"/>
    <w:rsid w:val="00D21AA9"/>
    <w:rsid w:val="00D21B52"/>
    <w:rsid w:val="00D24682"/>
    <w:rsid w:val="00D24F06"/>
    <w:rsid w:val="00D25AEF"/>
    <w:rsid w:val="00D26969"/>
    <w:rsid w:val="00D31384"/>
    <w:rsid w:val="00D349EE"/>
    <w:rsid w:val="00D34D49"/>
    <w:rsid w:val="00D37E05"/>
    <w:rsid w:val="00D37F0C"/>
    <w:rsid w:val="00D56D47"/>
    <w:rsid w:val="00D63D6B"/>
    <w:rsid w:val="00D70FB4"/>
    <w:rsid w:val="00D815C1"/>
    <w:rsid w:val="00D85C85"/>
    <w:rsid w:val="00D913F9"/>
    <w:rsid w:val="00D91FD1"/>
    <w:rsid w:val="00D92F6C"/>
    <w:rsid w:val="00D95879"/>
    <w:rsid w:val="00D97A6B"/>
    <w:rsid w:val="00DA2FA3"/>
    <w:rsid w:val="00DB751D"/>
    <w:rsid w:val="00DC679E"/>
    <w:rsid w:val="00DD0E98"/>
    <w:rsid w:val="00DD7A2B"/>
    <w:rsid w:val="00DE0438"/>
    <w:rsid w:val="00DE1EF6"/>
    <w:rsid w:val="00DE64DE"/>
    <w:rsid w:val="00DE7AB4"/>
    <w:rsid w:val="00DF0D2A"/>
    <w:rsid w:val="00DF3260"/>
    <w:rsid w:val="00DF4D86"/>
    <w:rsid w:val="00E01D84"/>
    <w:rsid w:val="00E05F9B"/>
    <w:rsid w:val="00E06A87"/>
    <w:rsid w:val="00E137BB"/>
    <w:rsid w:val="00E16395"/>
    <w:rsid w:val="00E20ED6"/>
    <w:rsid w:val="00E2175B"/>
    <w:rsid w:val="00E3199C"/>
    <w:rsid w:val="00E5219B"/>
    <w:rsid w:val="00E63883"/>
    <w:rsid w:val="00E64988"/>
    <w:rsid w:val="00E64A38"/>
    <w:rsid w:val="00E71260"/>
    <w:rsid w:val="00E7166F"/>
    <w:rsid w:val="00E72F13"/>
    <w:rsid w:val="00E756AC"/>
    <w:rsid w:val="00E8381A"/>
    <w:rsid w:val="00E846E2"/>
    <w:rsid w:val="00E87596"/>
    <w:rsid w:val="00E875C5"/>
    <w:rsid w:val="00E87794"/>
    <w:rsid w:val="00E91499"/>
    <w:rsid w:val="00E936F3"/>
    <w:rsid w:val="00E93874"/>
    <w:rsid w:val="00E96422"/>
    <w:rsid w:val="00EA5A59"/>
    <w:rsid w:val="00EB2F2A"/>
    <w:rsid w:val="00EB3D8F"/>
    <w:rsid w:val="00ED3142"/>
    <w:rsid w:val="00EF03DF"/>
    <w:rsid w:val="00EF2CA6"/>
    <w:rsid w:val="00EF2E91"/>
    <w:rsid w:val="00F00AB8"/>
    <w:rsid w:val="00F05D2C"/>
    <w:rsid w:val="00F10EA7"/>
    <w:rsid w:val="00F117B1"/>
    <w:rsid w:val="00F134F9"/>
    <w:rsid w:val="00F15D18"/>
    <w:rsid w:val="00F24C62"/>
    <w:rsid w:val="00F32559"/>
    <w:rsid w:val="00F34138"/>
    <w:rsid w:val="00F37151"/>
    <w:rsid w:val="00F43D3E"/>
    <w:rsid w:val="00F47FCE"/>
    <w:rsid w:val="00F501D2"/>
    <w:rsid w:val="00F52113"/>
    <w:rsid w:val="00F5266F"/>
    <w:rsid w:val="00F56447"/>
    <w:rsid w:val="00F64055"/>
    <w:rsid w:val="00F710C6"/>
    <w:rsid w:val="00F7234C"/>
    <w:rsid w:val="00F84FFB"/>
    <w:rsid w:val="00FA0759"/>
    <w:rsid w:val="00FA1413"/>
    <w:rsid w:val="00FA5F70"/>
    <w:rsid w:val="00FB2D4A"/>
    <w:rsid w:val="00FB7892"/>
    <w:rsid w:val="00FD3F1E"/>
    <w:rsid w:val="00FF4325"/>
    <w:rsid w:val="00FF7792"/>
    <w:rsid w:val="01104B53"/>
    <w:rsid w:val="0218B311"/>
    <w:rsid w:val="021FE36F"/>
    <w:rsid w:val="0241B66B"/>
    <w:rsid w:val="02444975"/>
    <w:rsid w:val="02A7FEE2"/>
    <w:rsid w:val="02AEE3BB"/>
    <w:rsid w:val="02EFC535"/>
    <w:rsid w:val="0351AF48"/>
    <w:rsid w:val="03CACFCA"/>
    <w:rsid w:val="03F4FD28"/>
    <w:rsid w:val="048D4812"/>
    <w:rsid w:val="04E50BFA"/>
    <w:rsid w:val="053A8693"/>
    <w:rsid w:val="053E770F"/>
    <w:rsid w:val="05CD602E"/>
    <w:rsid w:val="05EE7203"/>
    <w:rsid w:val="06265C00"/>
    <w:rsid w:val="0798D0DF"/>
    <w:rsid w:val="07B74A7E"/>
    <w:rsid w:val="08515651"/>
    <w:rsid w:val="0875799F"/>
    <w:rsid w:val="09174066"/>
    <w:rsid w:val="09A3E0E5"/>
    <w:rsid w:val="0A19D5B8"/>
    <w:rsid w:val="0A2C1FDA"/>
    <w:rsid w:val="0A46DDD2"/>
    <w:rsid w:val="0AEC82C8"/>
    <w:rsid w:val="0B3584BF"/>
    <w:rsid w:val="0B8DF20B"/>
    <w:rsid w:val="0B9A42C3"/>
    <w:rsid w:val="0BF87616"/>
    <w:rsid w:val="0C40F1CA"/>
    <w:rsid w:val="0C720BFD"/>
    <w:rsid w:val="0D6EFADE"/>
    <w:rsid w:val="0E6E9F87"/>
    <w:rsid w:val="0ED10D7B"/>
    <w:rsid w:val="0EEB40A1"/>
    <w:rsid w:val="0F6B83D5"/>
    <w:rsid w:val="0F94D841"/>
    <w:rsid w:val="0FA54A31"/>
    <w:rsid w:val="100EFA84"/>
    <w:rsid w:val="103DA22D"/>
    <w:rsid w:val="1053B57F"/>
    <w:rsid w:val="10B19A5D"/>
    <w:rsid w:val="10B5ABD0"/>
    <w:rsid w:val="1125C7E8"/>
    <w:rsid w:val="116FE26D"/>
    <w:rsid w:val="11EF85E0"/>
    <w:rsid w:val="11F4FF5B"/>
    <w:rsid w:val="121CFA17"/>
    <w:rsid w:val="1228E9D0"/>
    <w:rsid w:val="1265559D"/>
    <w:rsid w:val="126A48C9"/>
    <w:rsid w:val="1292531F"/>
    <w:rsid w:val="13105C8E"/>
    <w:rsid w:val="132EF847"/>
    <w:rsid w:val="133507D5"/>
    <w:rsid w:val="1368A32A"/>
    <w:rsid w:val="1383FD11"/>
    <w:rsid w:val="149C8184"/>
    <w:rsid w:val="14F0556A"/>
    <w:rsid w:val="1556A096"/>
    <w:rsid w:val="156F2E94"/>
    <w:rsid w:val="16679C9D"/>
    <w:rsid w:val="17371683"/>
    <w:rsid w:val="17BC3371"/>
    <w:rsid w:val="17BDE455"/>
    <w:rsid w:val="17E6D48C"/>
    <w:rsid w:val="17FC5970"/>
    <w:rsid w:val="195C77F6"/>
    <w:rsid w:val="19920771"/>
    <w:rsid w:val="19BC0E15"/>
    <w:rsid w:val="19F9FC29"/>
    <w:rsid w:val="1A6D6CAA"/>
    <w:rsid w:val="1A8CC92F"/>
    <w:rsid w:val="1AAD8D91"/>
    <w:rsid w:val="1AC5EBA5"/>
    <w:rsid w:val="1B377CB7"/>
    <w:rsid w:val="1B76B0E2"/>
    <w:rsid w:val="1BEA8B83"/>
    <w:rsid w:val="1C0A87A6"/>
    <w:rsid w:val="1C2EE5F8"/>
    <w:rsid w:val="1C61E85C"/>
    <w:rsid w:val="1CA5AB7F"/>
    <w:rsid w:val="1DEF2A42"/>
    <w:rsid w:val="1E0E9F53"/>
    <w:rsid w:val="1E2A3B6D"/>
    <w:rsid w:val="1ED3A5A5"/>
    <w:rsid w:val="1F5B149D"/>
    <w:rsid w:val="1FBF2629"/>
    <w:rsid w:val="1FC30E5A"/>
    <w:rsid w:val="21A13E98"/>
    <w:rsid w:val="22C64078"/>
    <w:rsid w:val="2395B8AF"/>
    <w:rsid w:val="23D6DBC8"/>
    <w:rsid w:val="242905EC"/>
    <w:rsid w:val="24337365"/>
    <w:rsid w:val="25E66A24"/>
    <w:rsid w:val="263686DA"/>
    <w:rsid w:val="26702AB5"/>
    <w:rsid w:val="279D9F04"/>
    <w:rsid w:val="27FD3541"/>
    <w:rsid w:val="2823EE0C"/>
    <w:rsid w:val="2880C5C4"/>
    <w:rsid w:val="28BEC806"/>
    <w:rsid w:val="28DB7F1F"/>
    <w:rsid w:val="29328991"/>
    <w:rsid w:val="29D29B58"/>
    <w:rsid w:val="29D73DFB"/>
    <w:rsid w:val="2A8CC895"/>
    <w:rsid w:val="2AB484ED"/>
    <w:rsid w:val="2B117549"/>
    <w:rsid w:val="2B576C74"/>
    <w:rsid w:val="2B730E5C"/>
    <w:rsid w:val="2CB49ABD"/>
    <w:rsid w:val="2E4A4E5D"/>
    <w:rsid w:val="2E5B84D6"/>
    <w:rsid w:val="2EA0447D"/>
    <w:rsid w:val="2F66E588"/>
    <w:rsid w:val="2FC338B4"/>
    <w:rsid w:val="308D6414"/>
    <w:rsid w:val="309C73DC"/>
    <w:rsid w:val="31855F84"/>
    <w:rsid w:val="32074EC9"/>
    <w:rsid w:val="33DD51EB"/>
    <w:rsid w:val="33E8AFBD"/>
    <w:rsid w:val="33F61F2A"/>
    <w:rsid w:val="34A28931"/>
    <w:rsid w:val="34A550DB"/>
    <w:rsid w:val="34CC4806"/>
    <w:rsid w:val="34DF8715"/>
    <w:rsid w:val="34EBE4F3"/>
    <w:rsid w:val="354949CA"/>
    <w:rsid w:val="357B324A"/>
    <w:rsid w:val="35BF42D2"/>
    <w:rsid w:val="363B6FCD"/>
    <w:rsid w:val="36EE5486"/>
    <w:rsid w:val="36EE865C"/>
    <w:rsid w:val="36F728C9"/>
    <w:rsid w:val="3742ACC4"/>
    <w:rsid w:val="37D0D184"/>
    <w:rsid w:val="37DF9D4E"/>
    <w:rsid w:val="38674DB4"/>
    <w:rsid w:val="387EEAFC"/>
    <w:rsid w:val="388A9321"/>
    <w:rsid w:val="38A09FED"/>
    <w:rsid w:val="39BA3701"/>
    <w:rsid w:val="39D87E73"/>
    <w:rsid w:val="3A38C0E6"/>
    <w:rsid w:val="3A4645AF"/>
    <w:rsid w:val="3A89C402"/>
    <w:rsid w:val="3A9D0349"/>
    <w:rsid w:val="3ACC5D11"/>
    <w:rsid w:val="3B4CC7B2"/>
    <w:rsid w:val="3B5D1034"/>
    <w:rsid w:val="3B757DC4"/>
    <w:rsid w:val="3B92CEEE"/>
    <w:rsid w:val="3BFDFA40"/>
    <w:rsid w:val="3C52204C"/>
    <w:rsid w:val="3C59F0F9"/>
    <w:rsid w:val="3C646AAF"/>
    <w:rsid w:val="3CDC735F"/>
    <w:rsid w:val="3D363402"/>
    <w:rsid w:val="3D44CE80"/>
    <w:rsid w:val="3D451B18"/>
    <w:rsid w:val="3D8DC96F"/>
    <w:rsid w:val="3E4681B2"/>
    <w:rsid w:val="3FD99064"/>
    <w:rsid w:val="404FC928"/>
    <w:rsid w:val="40DF92E0"/>
    <w:rsid w:val="415F809C"/>
    <w:rsid w:val="418B3BB4"/>
    <w:rsid w:val="420428AF"/>
    <w:rsid w:val="420CAE71"/>
    <w:rsid w:val="4229BCB2"/>
    <w:rsid w:val="427B2D74"/>
    <w:rsid w:val="428B82DD"/>
    <w:rsid w:val="43B3AF31"/>
    <w:rsid w:val="4448A1AF"/>
    <w:rsid w:val="444DDBC7"/>
    <w:rsid w:val="4459FB4F"/>
    <w:rsid w:val="44B049BB"/>
    <w:rsid w:val="45104B1A"/>
    <w:rsid w:val="455D00DB"/>
    <w:rsid w:val="45905DCC"/>
    <w:rsid w:val="45FD896A"/>
    <w:rsid w:val="463EF084"/>
    <w:rsid w:val="4644CDBC"/>
    <w:rsid w:val="466065F6"/>
    <w:rsid w:val="46738272"/>
    <w:rsid w:val="46A74797"/>
    <w:rsid w:val="47E4A6A9"/>
    <w:rsid w:val="47F1D218"/>
    <w:rsid w:val="4819F47A"/>
    <w:rsid w:val="483C0DDA"/>
    <w:rsid w:val="48B236E6"/>
    <w:rsid w:val="48B519F5"/>
    <w:rsid w:val="4947DF6A"/>
    <w:rsid w:val="4A87D92F"/>
    <w:rsid w:val="4B70BA3F"/>
    <w:rsid w:val="4C9153B4"/>
    <w:rsid w:val="4CA23343"/>
    <w:rsid w:val="4CA45B64"/>
    <w:rsid w:val="4CE6237B"/>
    <w:rsid w:val="4D12F094"/>
    <w:rsid w:val="4D365E5C"/>
    <w:rsid w:val="4DAC5764"/>
    <w:rsid w:val="4E00DD95"/>
    <w:rsid w:val="4E3E03A4"/>
    <w:rsid w:val="4E7A7273"/>
    <w:rsid w:val="4E9D53A7"/>
    <w:rsid w:val="4ED1B7EB"/>
    <w:rsid w:val="4F380B04"/>
    <w:rsid w:val="4FA6D3AE"/>
    <w:rsid w:val="4FAAE9DD"/>
    <w:rsid w:val="4FFF171D"/>
    <w:rsid w:val="5083633B"/>
    <w:rsid w:val="5095CDBE"/>
    <w:rsid w:val="51387E57"/>
    <w:rsid w:val="5164229D"/>
    <w:rsid w:val="5178FA9A"/>
    <w:rsid w:val="51E43440"/>
    <w:rsid w:val="51E8794B"/>
    <w:rsid w:val="51EB7423"/>
    <w:rsid w:val="5210C69E"/>
    <w:rsid w:val="52AD94FA"/>
    <w:rsid w:val="531EDBC8"/>
    <w:rsid w:val="53A2AD20"/>
    <w:rsid w:val="53C6E936"/>
    <w:rsid w:val="54051CF2"/>
    <w:rsid w:val="540537BA"/>
    <w:rsid w:val="546584E0"/>
    <w:rsid w:val="551A6F46"/>
    <w:rsid w:val="551A7619"/>
    <w:rsid w:val="551C126B"/>
    <w:rsid w:val="554B2E5D"/>
    <w:rsid w:val="560D1E6A"/>
    <w:rsid w:val="560F227A"/>
    <w:rsid w:val="566A81D4"/>
    <w:rsid w:val="56C6EF94"/>
    <w:rsid w:val="56CF77D0"/>
    <w:rsid w:val="56EDDF1A"/>
    <w:rsid w:val="5726C21D"/>
    <w:rsid w:val="57521C42"/>
    <w:rsid w:val="575B5EDC"/>
    <w:rsid w:val="579B4F65"/>
    <w:rsid w:val="5853B32D"/>
    <w:rsid w:val="592639FA"/>
    <w:rsid w:val="592CCC3A"/>
    <w:rsid w:val="5A9F4119"/>
    <w:rsid w:val="5AC89C9B"/>
    <w:rsid w:val="5AD3CB29"/>
    <w:rsid w:val="5BF96488"/>
    <w:rsid w:val="5C8CFF30"/>
    <w:rsid w:val="5C8EC9B5"/>
    <w:rsid w:val="5DFF07F2"/>
    <w:rsid w:val="5E4DE9F2"/>
    <w:rsid w:val="5FD922BA"/>
    <w:rsid w:val="5FDEBF08"/>
    <w:rsid w:val="5FF15C28"/>
    <w:rsid w:val="5FF885B3"/>
    <w:rsid w:val="6003E41A"/>
    <w:rsid w:val="60758E4A"/>
    <w:rsid w:val="61A0AC7D"/>
    <w:rsid w:val="61F0119F"/>
    <w:rsid w:val="6207D536"/>
    <w:rsid w:val="62098573"/>
    <w:rsid w:val="622E28D8"/>
    <w:rsid w:val="624C70A3"/>
    <w:rsid w:val="627F8B23"/>
    <w:rsid w:val="631EC0FA"/>
    <w:rsid w:val="6334FF92"/>
    <w:rsid w:val="635CFA4E"/>
    <w:rsid w:val="63C38B8F"/>
    <w:rsid w:val="63F1FC9A"/>
    <w:rsid w:val="63FAD9F7"/>
    <w:rsid w:val="64EEFEB8"/>
    <w:rsid w:val="653D810E"/>
    <w:rsid w:val="657B34C6"/>
    <w:rsid w:val="65A598E1"/>
    <w:rsid w:val="660A19D7"/>
    <w:rsid w:val="662E150D"/>
    <w:rsid w:val="67013B66"/>
    <w:rsid w:val="67455E99"/>
    <w:rsid w:val="675AE9CC"/>
    <w:rsid w:val="67ACA8CE"/>
    <w:rsid w:val="6866F89C"/>
    <w:rsid w:val="6869AFB3"/>
    <w:rsid w:val="687E8945"/>
    <w:rsid w:val="68B2F133"/>
    <w:rsid w:val="6904E697"/>
    <w:rsid w:val="6925986E"/>
    <w:rsid w:val="692F50D2"/>
    <w:rsid w:val="694B7407"/>
    <w:rsid w:val="6A546136"/>
    <w:rsid w:val="6A585F57"/>
    <w:rsid w:val="6AB4D81C"/>
    <w:rsid w:val="6AB564E3"/>
    <w:rsid w:val="6AC03B91"/>
    <w:rsid w:val="6B9A995B"/>
    <w:rsid w:val="6BB2571B"/>
    <w:rsid w:val="6C8314C9"/>
    <w:rsid w:val="6CEAF1A0"/>
    <w:rsid w:val="6D39F591"/>
    <w:rsid w:val="6D8E4FDC"/>
    <w:rsid w:val="6DBA9940"/>
    <w:rsid w:val="6DD61AED"/>
    <w:rsid w:val="6DDE772A"/>
    <w:rsid w:val="6E04C1FD"/>
    <w:rsid w:val="6E365D4A"/>
    <w:rsid w:val="6E48F811"/>
    <w:rsid w:val="6E5A8752"/>
    <w:rsid w:val="6E696127"/>
    <w:rsid w:val="6ED23A1D"/>
    <w:rsid w:val="6EFEE654"/>
    <w:rsid w:val="6F616649"/>
    <w:rsid w:val="6F7D7ADC"/>
    <w:rsid w:val="6FAE03A3"/>
    <w:rsid w:val="6FB7BAB3"/>
    <w:rsid w:val="6FCC9E05"/>
    <w:rsid w:val="6FF657B3"/>
    <w:rsid w:val="70314F91"/>
    <w:rsid w:val="713A62B7"/>
    <w:rsid w:val="71B1C60B"/>
    <w:rsid w:val="7224B69B"/>
    <w:rsid w:val="7289ED91"/>
    <w:rsid w:val="72C58463"/>
    <w:rsid w:val="7322D45B"/>
    <w:rsid w:val="738C82E3"/>
    <w:rsid w:val="73BB0A73"/>
    <w:rsid w:val="73F24C71"/>
    <w:rsid w:val="74527F04"/>
    <w:rsid w:val="748C4A65"/>
    <w:rsid w:val="74A3352B"/>
    <w:rsid w:val="74BB4436"/>
    <w:rsid w:val="74D45754"/>
    <w:rsid w:val="74F29B9D"/>
    <w:rsid w:val="7504C0B4"/>
    <w:rsid w:val="756137B3"/>
    <w:rsid w:val="75C8139D"/>
    <w:rsid w:val="7667AC10"/>
    <w:rsid w:val="7674730C"/>
    <w:rsid w:val="76B845A3"/>
    <w:rsid w:val="76D841C6"/>
    <w:rsid w:val="77171812"/>
    <w:rsid w:val="7807E02D"/>
    <w:rsid w:val="785D7A4B"/>
    <w:rsid w:val="78791C63"/>
    <w:rsid w:val="79120A5B"/>
    <w:rsid w:val="79561F71"/>
    <w:rsid w:val="79801931"/>
    <w:rsid w:val="7A34E346"/>
    <w:rsid w:val="7A8C4227"/>
    <w:rsid w:val="7B439BF5"/>
    <w:rsid w:val="7B6F9A1D"/>
    <w:rsid w:val="7BA62343"/>
    <w:rsid w:val="7C281288"/>
    <w:rsid w:val="7C8DF938"/>
    <w:rsid w:val="7CDB5150"/>
    <w:rsid w:val="7CE15E9D"/>
    <w:rsid w:val="7D615F07"/>
    <w:rsid w:val="7D697958"/>
    <w:rsid w:val="7D6F4B05"/>
    <w:rsid w:val="7DE4BB77"/>
    <w:rsid w:val="7E1CD31C"/>
    <w:rsid w:val="7E5B2C35"/>
    <w:rsid w:val="7E665C94"/>
    <w:rsid w:val="7F5FB34A"/>
    <w:rsid w:val="7F62F71E"/>
    <w:rsid w:val="7F87027F"/>
    <w:rsid w:val="7F9248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87C"/>
    <w:pPr>
      <w:spacing w:after="0" w:line="240" w:lineRule="auto"/>
    </w:pPr>
    <w:rPr>
      <w:sz w:val="24"/>
      <w:lang w:val="es-MX"/>
    </w:rPr>
  </w:style>
  <w:style w:type="paragraph" w:styleId="Ttulo1">
    <w:name w:val="heading 1"/>
    <w:basedOn w:val="Normal"/>
    <w:next w:val="Normal"/>
    <w:link w:val="Ttulo1Car"/>
    <w:uiPriority w:val="9"/>
    <w:qFormat/>
    <w:rsid w:val="00B830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aliases w:val="No Indent"/>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semiHidden/>
    <w:unhideWhenUsed/>
    <w:rsid w:val="009C4BC4"/>
    <w:rPr>
      <w:sz w:val="20"/>
      <w:szCs w:val="20"/>
    </w:rPr>
  </w:style>
  <w:style w:type="character" w:customStyle="1" w:styleId="TextocomentarioCar">
    <w:name w:val="Texto comentario Car"/>
    <w:basedOn w:val="Fuentedeprrafopredeter"/>
    <w:link w:val="Textocomentario"/>
    <w:uiPriority w:val="99"/>
    <w:semiHidden/>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customStyle="1" w:styleId="AsuntodelcomentarioCar">
    <w:name w:val="Asunto del comentario Car"/>
    <w:basedOn w:val="TextocomentarioCar"/>
    <w:link w:val="Asuntodelcomentario"/>
    <w:uiPriority w:val="99"/>
    <w:semiHidden/>
    <w:rsid w:val="009C4BC4"/>
    <w:rPr>
      <w:b/>
      <w:bCs/>
      <w:sz w:val="20"/>
      <w:szCs w:val="20"/>
      <w:lang w:val="es-MX"/>
    </w:rPr>
  </w:style>
  <w:style w:type="paragraph" w:styleId="NormalWeb">
    <w:name w:val="Normal (Web)"/>
    <w:basedOn w:val="Normal"/>
    <w:link w:val="NormalWebCar"/>
    <w:uiPriority w:val="99"/>
    <w:unhideWhenUsed/>
    <w:rsid w:val="0095728F"/>
    <w:rPr>
      <w:rFonts w:ascii="Times New Roman" w:hAnsi="Times New Roman" w:cs="Times New Roman"/>
      <w:szCs w:val="24"/>
    </w:rPr>
  </w:style>
  <w:style w:type="character" w:customStyle="1" w:styleId="Ttulo1Car">
    <w:name w:val="Título 1 Car"/>
    <w:basedOn w:val="Fuentedeprrafopredeter"/>
    <w:link w:val="Ttulo1"/>
    <w:uiPriority w:val="9"/>
    <w:rsid w:val="00B83092"/>
    <w:rPr>
      <w:rFonts w:asciiTheme="majorHAnsi" w:eastAsiaTheme="majorEastAsia" w:hAnsiTheme="majorHAnsi" w:cstheme="majorBidi"/>
      <w:color w:val="2F5496" w:themeColor="accent1" w:themeShade="BF"/>
      <w:sz w:val="32"/>
      <w:szCs w:val="32"/>
      <w:lang w:val="es-MX"/>
    </w:rPr>
  </w:style>
  <w:style w:type="paragraph" w:customStyle="1" w:styleId="Cuadrculamedia1-nfasis21">
    <w:name w:val="Cuadrícula media 1 - Énfasis 21"/>
    <w:basedOn w:val="Normal"/>
    <w:uiPriority w:val="34"/>
    <w:qFormat/>
    <w:rsid w:val="00DE0438"/>
    <w:pPr>
      <w:spacing w:after="160" w:line="259" w:lineRule="auto"/>
      <w:ind w:left="720"/>
      <w:contextualSpacing/>
    </w:pPr>
    <w:rPr>
      <w:rFonts w:ascii="Calibri" w:eastAsia="Calibri" w:hAnsi="Calibri" w:cs="Times New Roman"/>
      <w:sz w:val="22"/>
      <w:lang w:val="es-CO"/>
    </w:rPr>
  </w:style>
  <w:style w:type="paragraph" w:customStyle="1" w:styleId="bodytext23">
    <w:name w:val="bodytext23"/>
    <w:basedOn w:val="Normal"/>
    <w:rsid w:val="00DE0438"/>
    <w:pPr>
      <w:spacing w:before="100" w:beforeAutospacing="1" w:after="100" w:afterAutospacing="1"/>
    </w:pPr>
    <w:rPr>
      <w:rFonts w:ascii="Times New Roman" w:eastAsia="Times New Roman" w:hAnsi="Times New Roman" w:cs="Times New Roman"/>
      <w:szCs w:val="24"/>
      <w:lang w:val="es-ES" w:eastAsia="es-ES"/>
    </w:rPr>
  </w:style>
  <w:style w:type="paragraph" w:styleId="Textoindependiente">
    <w:name w:val="Body Text"/>
    <w:basedOn w:val="Normal"/>
    <w:link w:val="TextoindependienteCar"/>
    <w:uiPriority w:val="99"/>
    <w:semiHidden/>
    <w:unhideWhenUsed/>
    <w:rsid w:val="00ED314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ED3142"/>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7675AD"/>
    <w:pPr>
      <w:spacing w:after="160" w:line="240" w:lineRule="exact"/>
    </w:pPr>
    <w:rPr>
      <w:sz w:val="22"/>
      <w:vertAlign w:val="superscript"/>
      <w:lang w:val="es-CO"/>
    </w:rPr>
  </w:style>
  <w:style w:type="character" w:styleId="nfasis">
    <w:name w:val="Emphasis"/>
    <w:basedOn w:val="Fuentedeprrafopredeter"/>
    <w:uiPriority w:val="20"/>
    <w:qFormat/>
    <w:rsid w:val="00863FB4"/>
    <w:rPr>
      <w:i/>
      <w:iCs/>
    </w:rPr>
  </w:style>
  <w:style w:type="character" w:customStyle="1" w:styleId="NormalWebCar">
    <w:name w:val="Normal (Web) Car"/>
    <w:link w:val="NormalWeb"/>
    <w:uiPriority w:val="99"/>
    <w:rsid w:val="00863FB4"/>
    <w:rPr>
      <w:rFonts w:ascii="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023">
      <w:bodyDiv w:val="1"/>
      <w:marLeft w:val="0"/>
      <w:marRight w:val="0"/>
      <w:marTop w:val="0"/>
      <w:marBottom w:val="0"/>
      <w:divBdr>
        <w:top w:val="none" w:sz="0" w:space="0" w:color="auto"/>
        <w:left w:val="none" w:sz="0" w:space="0" w:color="auto"/>
        <w:bottom w:val="none" w:sz="0" w:space="0" w:color="auto"/>
        <w:right w:val="none" w:sz="0" w:space="0" w:color="auto"/>
      </w:divBdr>
    </w:div>
    <w:div w:id="104620136">
      <w:bodyDiv w:val="1"/>
      <w:marLeft w:val="0"/>
      <w:marRight w:val="0"/>
      <w:marTop w:val="0"/>
      <w:marBottom w:val="0"/>
      <w:divBdr>
        <w:top w:val="none" w:sz="0" w:space="0" w:color="auto"/>
        <w:left w:val="none" w:sz="0" w:space="0" w:color="auto"/>
        <w:bottom w:val="none" w:sz="0" w:space="0" w:color="auto"/>
        <w:right w:val="none" w:sz="0" w:space="0" w:color="auto"/>
      </w:divBdr>
    </w:div>
    <w:div w:id="169685060">
      <w:bodyDiv w:val="1"/>
      <w:marLeft w:val="0"/>
      <w:marRight w:val="0"/>
      <w:marTop w:val="0"/>
      <w:marBottom w:val="0"/>
      <w:divBdr>
        <w:top w:val="none" w:sz="0" w:space="0" w:color="auto"/>
        <w:left w:val="none" w:sz="0" w:space="0" w:color="auto"/>
        <w:bottom w:val="none" w:sz="0" w:space="0" w:color="auto"/>
        <w:right w:val="none" w:sz="0" w:space="0" w:color="auto"/>
      </w:divBdr>
    </w:div>
    <w:div w:id="186069705">
      <w:bodyDiv w:val="1"/>
      <w:marLeft w:val="0"/>
      <w:marRight w:val="0"/>
      <w:marTop w:val="0"/>
      <w:marBottom w:val="0"/>
      <w:divBdr>
        <w:top w:val="none" w:sz="0" w:space="0" w:color="auto"/>
        <w:left w:val="none" w:sz="0" w:space="0" w:color="auto"/>
        <w:bottom w:val="none" w:sz="0" w:space="0" w:color="auto"/>
        <w:right w:val="none" w:sz="0" w:space="0" w:color="auto"/>
      </w:divBdr>
      <w:divsChild>
        <w:div w:id="1781142009">
          <w:marLeft w:val="0"/>
          <w:marRight w:val="0"/>
          <w:marTop w:val="0"/>
          <w:marBottom w:val="0"/>
          <w:divBdr>
            <w:top w:val="none" w:sz="0" w:space="0" w:color="auto"/>
            <w:left w:val="none" w:sz="0" w:space="0" w:color="auto"/>
            <w:bottom w:val="none" w:sz="0" w:space="0" w:color="auto"/>
            <w:right w:val="none" w:sz="0" w:space="0" w:color="auto"/>
          </w:divBdr>
          <w:divsChild>
            <w:div w:id="895241117">
              <w:marLeft w:val="0"/>
              <w:marRight w:val="0"/>
              <w:marTop w:val="0"/>
              <w:marBottom w:val="0"/>
              <w:divBdr>
                <w:top w:val="none" w:sz="0" w:space="0" w:color="auto"/>
                <w:left w:val="none" w:sz="0" w:space="0" w:color="auto"/>
                <w:bottom w:val="none" w:sz="0" w:space="0" w:color="auto"/>
                <w:right w:val="none" w:sz="0" w:space="0" w:color="auto"/>
              </w:divBdr>
              <w:divsChild>
                <w:div w:id="3253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2429">
      <w:bodyDiv w:val="1"/>
      <w:marLeft w:val="0"/>
      <w:marRight w:val="0"/>
      <w:marTop w:val="0"/>
      <w:marBottom w:val="0"/>
      <w:divBdr>
        <w:top w:val="none" w:sz="0" w:space="0" w:color="auto"/>
        <w:left w:val="none" w:sz="0" w:space="0" w:color="auto"/>
        <w:bottom w:val="none" w:sz="0" w:space="0" w:color="auto"/>
        <w:right w:val="none" w:sz="0" w:space="0" w:color="auto"/>
      </w:divBdr>
    </w:div>
    <w:div w:id="258946615">
      <w:bodyDiv w:val="1"/>
      <w:marLeft w:val="0"/>
      <w:marRight w:val="0"/>
      <w:marTop w:val="0"/>
      <w:marBottom w:val="0"/>
      <w:divBdr>
        <w:top w:val="none" w:sz="0" w:space="0" w:color="auto"/>
        <w:left w:val="none" w:sz="0" w:space="0" w:color="auto"/>
        <w:bottom w:val="none" w:sz="0" w:space="0" w:color="auto"/>
        <w:right w:val="none" w:sz="0" w:space="0" w:color="auto"/>
      </w:divBdr>
    </w:div>
    <w:div w:id="315190990">
      <w:bodyDiv w:val="1"/>
      <w:marLeft w:val="0"/>
      <w:marRight w:val="0"/>
      <w:marTop w:val="0"/>
      <w:marBottom w:val="0"/>
      <w:divBdr>
        <w:top w:val="none" w:sz="0" w:space="0" w:color="auto"/>
        <w:left w:val="none" w:sz="0" w:space="0" w:color="auto"/>
        <w:bottom w:val="none" w:sz="0" w:space="0" w:color="auto"/>
        <w:right w:val="none" w:sz="0" w:space="0" w:color="auto"/>
      </w:divBdr>
    </w:div>
    <w:div w:id="326785616">
      <w:bodyDiv w:val="1"/>
      <w:marLeft w:val="0"/>
      <w:marRight w:val="0"/>
      <w:marTop w:val="0"/>
      <w:marBottom w:val="0"/>
      <w:divBdr>
        <w:top w:val="none" w:sz="0" w:space="0" w:color="auto"/>
        <w:left w:val="none" w:sz="0" w:space="0" w:color="auto"/>
        <w:bottom w:val="none" w:sz="0" w:space="0" w:color="auto"/>
        <w:right w:val="none" w:sz="0" w:space="0" w:color="auto"/>
      </w:divBdr>
    </w:div>
    <w:div w:id="351810919">
      <w:bodyDiv w:val="1"/>
      <w:marLeft w:val="0"/>
      <w:marRight w:val="0"/>
      <w:marTop w:val="0"/>
      <w:marBottom w:val="0"/>
      <w:divBdr>
        <w:top w:val="none" w:sz="0" w:space="0" w:color="auto"/>
        <w:left w:val="none" w:sz="0" w:space="0" w:color="auto"/>
        <w:bottom w:val="none" w:sz="0" w:space="0" w:color="auto"/>
        <w:right w:val="none" w:sz="0" w:space="0" w:color="auto"/>
      </w:divBdr>
    </w:div>
    <w:div w:id="386805784">
      <w:bodyDiv w:val="1"/>
      <w:marLeft w:val="0"/>
      <w:marRight w:val="0"/>
      <w:marTop w:val="0"/>
      <w:marBottom w:val="0"/>
      <w:divBdr>
        <w:top w:val="none" w:sz="0" w:space="0" w:color="auto"/>
        <w:left w:val="none" w:sz="0" w:space="0" w:color="auto"/>
        <w:bottom w:val="none" w:sz="0" w:space="0" w:color="auto"/>
        <w:right w:val="none" w:sz="0" w:space="0" w:color="auto"/>
      </w:divBdr>
    </w:div>
    <w:div w:id="490103499">
      <w:bodyDiv w:val="1"/>
      <w:marLeft w:val="0"/>
      <w:marRight w:val="0"/>
      <w:marTop w:val="0"/>
      <w:marBottom w:val="0"/>
      <w:divBdr>
        <w:top w:val="none" w:sz="0" w:space="0" w:color="auto"/>
        <w:left w:val="none" w:sz="0" w:space="0" w:color="auto"/>
        <w:bottom w:val="none" w:sz="0" w:space="0" w:color="auto"/>
        <w:right w:val="none" w:sz="0" w:space="0" w:color="auto"/>
      </w:divBdr>
    </w:div>
    <w:div w:id="490951144">
      <w:bodyDiv w:val="1"/>
      <w:marLeft w:val="0"/>
      <w:marRight w:val="0"/>
      <w:marTop w:val="0"/>
      <w:marBottom w:val="0"/>
      <w:divBdr>
        <w:top w:val="none" w:sz="0" w:space="0" w:color="auto"/>
        <w:left w:val="none" w:sz="0" w:space="0" w:color="auto"/>
        <w:bottom w:val="none" w:sz="0" w:space="0" w:color="auto"/>
        <w:right w:val="none" w:sz="0" w:space="0" w:color="auto"/>
      </w:divBdr>
    </w:div>
    <w:div w:id="581523636">
      <w:bodyDiv w:val="1"/>
      <w:marLeft w:val="0"/>
      <w:marRight w:val="0"/>
      <w:marTop w:val="0"/>
      <w:marBottom w:val="0"/>
      <w:divBdr>
        <w:top w:val="none" w:sz="0" w:space="0" w:color="auto"/>
        <w:left w:val="none" w:sz="0" w:space="0" w:color="auto"/>
        <w:bottom w:val="none" w:sz="0" w:space="0" w:color="auto"/>
        <w:right w:val="none" w:sz="0" w:space="0" w:color="auto"/>
      </w:divBdr>
      <w:divsChild>
        <w:div w:id="2045247515">
          <w:marLeft w:val="0"/>
          <w:marRight w:val="0"/>
          <w:marTop w:val="0"/>
          <w:marBottom w:val="0"/>
          <w:divBdr>
            <w:top w:val="none" w:sz="0" w:space="0" w:color="auto"/>
            <w:left w:val="none" w:sz="0" w:space="0" w:color="auto"/>
            <w:bottom w:val="none" w:sz="0" w:space="0" w:color="auto"/>
            <w:right w:val="none" w:sz="0" w:space="0" w:color="auto"/>
          </w:divBdr>
          <w:divsChild>
            <w:div w:id="2114325815">
              <w:marLeft w:val="0"/>
              <w:marRight w:val="0"/>
              <w:marTop w:val="0"/>
              <w:marBottom w:val="0"/>
              <w:divBdr>
                <w:top w:val="none" w:sz="0" w:space="0" w:color="auto"/>
                <w:left w:val="none" w:sz="0" w:space="0" w:color="auto"/>
                <w:bottom w:val="none" w:sz="0" w:space="0" w:color="auto"/>
                <w:right w:val="none" w:sz="0" w:space="0" w:color="auto"/>
              </w:divBdr>
              <w:divsChild>
                <w:div w:id="1843081546">
                  <w:marLeft w:val="0"/>
                  <w:marRight w:val="0"/>
                  <w:marTop w:val="0"/>
                  <w:marBottom w:val="0"/>
                  <w:divBdr>
                    <w:top w:val="none" w:sz="0" w:space="0" w:color="auto"/>
                    <w:left w:val="none" w:sz="0" w:space="0" w:color="auto"/>
                    <w:bottom w:val="none" w:sz="0" w:space="0" w:color="auto"/>
                    <w:right w:val="none" w:sz="0" w:space="0" w:color="auto"/>
                  </w:divBdr>
                  <w:divsChild>
                    <w:div w:id="15211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763965">
      <w:bodyDiv w:val="1"/>
      <w:marLeft w:val="0"/>
      <w:marRight w:val="0"/>
      <w:marTop w:val="0"/>
      <w:marBottom w:val="0"/>
      <w:divBdr>
        <w:top w:val="none" w:sz="0" w:space="0" w:color="auto"/>
        <w:left w:val="none" w:sz="0" w:space="0" w:color="auto"/>
        <w:bottom w:val="none" w:sz="0" w:space="0" w:color="auto"/>
        <w:right w:val="none" w:sz="0" w:space="0" w:color="auto"/>
      </w:divBdr>
      <w:divsChild>
        <w:div w:id="1404376630">
          <w:marLeft w:val="0"/>
          <w:marRight w:val="0"/>
          <w:marTop w:val="0"/>
          <w:marBottom w:val="0"/>
          <w:divBdr>
            <w:top w:val="none" w:sz="0" w:space="0" w:color="auto"/>
            <w:left w:val="none" w:sz="0" w:space="0" w:color="auto"/>
            <w:bottom w:val="none" w:sz="0" w:space="0" w:color="auto"/>
            <w:right w:val="none" w:sz="0" w:space="0" w:color="auto"/>
          </w:divBdr>
          <w:divsChild>
            <w:div w:id="619537380">
              <w:marLeft w:val="0"/>
              <w:marRight w:val="0"/>
              <w:marTop w:val="0"/>
              <w:marBottom w:val="0"/>
              <w:divBdr>
                <w:top w:val="none" w:sz="0" w:space="0" w:color="auto"/>
                <w:left w:val="none" w:sz="0" w:space="0" w:color="auto"/>
                <w:bottom w:val="none" w:sz="0" w:space="0" w:color="auto"/>
                <w:right w:val="none" w:sz="0" w:space="0" w:color="auto"/>
              </w:divBdr>
              <w:divsChild>
                <w:div w:id="1919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27151">
      <w:bodyDiv w:val="1"/>
      <w:marLeft w:val="0"/>
      <w:marRight w:val="0"/>
      <w:marTop w:val="0"/>
      <w:marBottom w:val="0"/>
      <w:divBdr>
        <w:top w:val="none" w:sz="0" w:space="0" w:color="auto"/>
        <w:left w:val="none" w:sz="0" w:space="0" w:color="auto"/>
        <w:bottom w:val="none" w:sz="0" w:space="0" w:color="auto"/>
        <w:right w:val="none" w:sz="0" w:space="0" w:color="auto"/>
      </w:divBdr>
    </w:div>
    <w:div w:id="856163551">
      <w:bodyDiv w:val="1"/>
      <w:marLeft w:val="0"/>
      <w:marRight w:val="0"/>
      <w:marTop w:val="0"/>
      <w:marBottom w:val="0"/>
      <w:divBdr>
        <w:top w:val="none" w:sz="0" w:space="0" w:color="auto"/>
        <w:left w:val="none" w:sz="0" w:space="0" w:color="auto"/>
        <w:bottom w:val="none" w:sz="0" w:space="0" w:color="auto"/>
        <w:right w:val="none" w:sz="0" w:space="0" w:color="auto"/>
      </w:divBdr>
    </w:div>
    <w:div w:id="935484181">
      <w:bodyDiv w:val="1"/>
      <w:marLeft w:val="0"/>
      <w:marRight w:val="0"/>
      <w:marTop w:val="0"/>
      <w:marBottom w:val="0"/>
      <w:divBdr>
        <w:top w:val="none" w:sz="0" w:space="0" w:color="auto"/>
        <w:left w:val="none" w:sz="0" w:space="0" w:color="auto"/>
        <w:bottom w:val="none" w:sz="0" w:space="0" w:color="auto"/>
        <w:right w:val="none" w:sz="0" w:space="0" w:color="auto"/>
      </w:divBdr>
    </w:div>
    <w:div w:id="938411564">
      <w:bodyDiv w:val="1"/>
      <w:marLeft w:val="0"/>
      <w:marRight w:val="0"/>
      <w:marTop w:val="0"/>
      <w:marBottom w:val="0"/>
      <w:divBdr>
        <w:top w:val="none" w:sz="0" w:space="0" w:color="auto"/>
        <w:left w:val="none" w:sz="0" w:space="0" w:color="auto"/>
        <w:bottom w:val="none" w:sz="0" w:space="0" w:color="auto"/>
        <w:right w:val="none" w:sz="0" w:space="0" w:color="auto"/>
      </w:divBdr>
    </w:div>
    <w:div w:id="940843350">
      <w:bodyDiv w:val="1"/>
      <w:marLeft w:val="0"/>
      <w:marRight w:val="0"/>
      <w:marTop w:val="0"/>
      <w:marBottom w:val="0"/>
      <w:divBdr>
        <w:top w:val="none" w:sz="0" w:space="0" w:color="auto"/>
        <w:left w:val="none" w:sz="0" w:space="0" w:color="auto"/>
        <w:bottom w:val="none" w:sz="0" w:space="0" w:color="auto"/>
        <w:right w:val="none" w:sz="0" w:space="0" w:color="auto"/>
      </w:divBdr>
    </w:div>
    <w:div w:id="1042244548">
      <w:bodyDiv w:val="1"/>
      <w:marLeft w:val="0"/>
      <w:marRight w:val="0"/>
      <w:marTop w:val="0"/>
      <w:marBottom w:val="0"/>
      <w:divBdr>
        <w:top w:val="none" w:sz="0" w:space="0" w:color="auto"/>
        <w:left w:val="none" w:sz="0" w:space="0" w:color="auto"/>
        <w:bottom w:val="none" w:sz="0" w:space="0" w:color="auto"/>
        <w:right w:val="none" w:sz="0" w:space="0" w:color="auto"/>
      </w:divBdr>
    </w:div>
    <w:div w:id="1050108955">
      <w:bodyDiv w:val="1"/>
      <w:marLeft w:val="0"/>
      <w:marRight w:val="0"/>
      <w:marTop w:val="0"/>
      <w:marBottom w:val="0"/>
      <w:divBdr>
        <w:top w:val="none" w:sz="0" w:space="0" w:color="auto"/>
        <w:left w:val="none" w:sz="0" w:space="0" w:color="auto"/>
        <w:bottom w:val="none" w:sz="0" w:space="0" w:color="auto"/>
        <w:right w:val="none" w:sz="0" w:space="0" w:color="auto"/>
      </w:divBdr>
    </w:div>
    <w:div w:id="1051029487">
      <w:bodyDiv w:val="1"/>
      <w:marLeft w:val="0"/>
      <w:marRight w:val="0"/>
      <w:marTop w:val="0"/>
      <w:marBottom w:val="0"/>
      <w:divBdr>
        <w:top w:val="none" w:sz="0" w:space="0" w:color="auto"/>
        <w:left w:val="none" w:sz="0" w:space="0" w:color="auto"/>
        <w:bottom w:val="none" w:sz="0" w:space="0" w:color="auto"/>
        <w:right w:val="none" w:sz="0" w:space="0" w:color="auto"/>
      </w:divBdr>
    </w:div>
    <w:div w:id="1074737980">
      <w:bodyDiv w:val="1"/>
      <w:marLeft w:val="0"/>
      <w:marRight w:val="0"/>
      <w:marTop w:val="0"/>
      <w:marBottom w:val="0"/>
      <w:divBdr>
        <w:top w:val="none" w:sz="0" w:space="0" w:color="auto"/>
        <w:left w:val="none" w:sz="0" w:space="0" w:color="auto"/>
        <w:bottom w:val="none" w:sz="0" w:space="0" w:color="auto"/>
        <w:right w:val="none" w:sz="0" w:space="0" w:color="auto"/>
      </w:divBdr>
    </w:div>
    <w:div w:id="1113284607">
      <w:bodyDiv w:val="1"/>
      <w:marLeft w:val="0"/>
      <w:marRight w:val="0"/>
      <w:marTop w:val="0"/>
      <w:marBottom w:val="0"/>
      <w:divBdr>
        <w:top w:val="none" w:sz="0" w:space="0" w:color="auto"/>
        <w:left w:val="none" w:sz="0" w:space="0" w:color="auto"/>
        <w:bottom w:val="none" w:sz="0" w:space="0" w:color="auto"/>
        <w:right w:val="none" w:sz="0" w:space="0" w:color="auto"/>
      </w:divBdr>
    </w:div>
    <w:div w:id="1138650528">
      <w:bodyDiv w:val="1"/>
      <w:marLeft w:val="0"/>
      <w:marRight w:val="0"/>
      <w:marTop w:val="0"/>
      <w:marBottom w:val="0"/>
      <w:divBdr>
        <w:top w:val="none" w:sz="0" w:space="0" w:color="auto"/>
        <w:left w:val="none" w:sz="0" w:space="0" w:color="auto"/>
        <w:bottom w:val="none" w:sz="0" w:space="0" w:color="auto"/>
        <w:right w:val="none" w:sz="0" w:space="0" w:color="auto"/>
      </w:divBdr>
    </w:div>
    <w:div w:id="1192181357">
      <w:bodyDiv w:val="1"/>
      <w:marLeft w:val="0"/>
      <w:marRight w:val="0"/>
      <w:marTop w:val="0"/>
      <w:marBottom w:val="0"/>
      <w:divBdr>
        <w:top w:val="none" w:sz="0" w:space="0" w:color="auto"/>
        <w:left w:val="none" w:sz="0" w:space="0" w:color="auto"/>
        <w:bottom w:val="none" w:sz="0" w:space="0" w:color="auto"/>
        <w:right w:val="none" w:sz="0" w:space="0" w:color="auto"/>
      </w:divBdr>
    </w:div>
    <w:div w:id="1325008976">
      <w:bodyDiv w:val="1"/>
      <w:marLeft w:val="0"/>
      <w:marRight w:val="0"/>
      <w:marTop w:val="0"/>
      <w:marBottom w:val="0"/>
      <w:divBdr>
        <w:top w:val="none" w:sz="0" w:space="0" w:color="auto"/>
        <w:left w:val="none" w:sz="0" w:space="0" w:color="auto"/>
        <w:bottom w:val="none" w:sz="0" w:space="0" w:color="auto"/>
        <w:right w:val="none" w:sz="0" w:space="0" w:color="auto"/>
      </w:divBdr>
    </w:div>
    <w:div w:id="1546941259">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5216013">
      <w:bodyDiv w:val="1"/>
      <w:marLeft w:val="0"/>
      <w:marRight w:val="0"/>
      <w:marTop w:val="0"/>
      <w:marBottom w:val="0"/>
      <w:divBdr>
        <w:top w:val="none" w:sz="0" w:space="0" w:color="auto"/>
        <w:left w:val="none" w:sz="0" w:space="0" w:color="auto"/>
        <w:bottom w:val="none" w:sz="0" w:space="0" w:color="auto"/>
        <w:right w:val="none" w:sz="0" w:space="0" w:color="auto"/>
      </w:divBdr>
      <w:divsChild>
        <w:div w:id="964889360">
          <w:marLeft w:val="0"/>
          <w:marRight w:val="0"/>
          <w:marTop w:val="0"/>
          <w:marBottom w:val="0"/>
          <w:divBdr>
            <w:top w:val="none" w:sz="0" w:space="0" w:color="auto"/>
            <w:left w:val="none" w:sz="0" w:space="0" w:color="auto"/>
            <w:bottom w:val="none" w:sz="0" w:space="0" w:color="auto"/>
            <w:right w:val="none" w:sz="0" w:space="0" w:color="auto"/>
          </w:divBdr>
          <w:divsChild>
            <w:div w:id="1206912375">
              <w:marLeft w:val="0"/>
              <w:marRight w:val="0"/>
              <w:marTop w:val="0"/>
              <w:marBottom w:val="0"/>
              <w:divBdr>
                <w:top w:val="none" w:sz="0" w:space="0" w:color="auto"/>
                <w:left w:val="none" w:sz="0" w:space="0" w:color="auto"/>
                <w:bottom w:val="none" w:sz="0" w:space="0" w:color="auto"/>
                <w:right w:val="none" w:sz="0" w:space="0" w:color="auto"/>
              </w:divBdr>
              <w:divsChild>
                <w:div w:id="9637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6668">
      <w:bodyDiv w:val="1"/>
      <w:marLeft w:val="0"/>
      <w:marRight w:val="0"/>
      <w:marTop w:val="0"/>
      <w:marBottom w:val="0"/>
      <w:divBdr>
        <w:top w:val="none" w:sz="0" w:space="0" w:color="auto"/>
        <w:left w:val="none" w:sz="0" w:space="0" w:color="auto"/>
        <w:bottom w:val="none" w:sz="0" w:space="0" w:color="auto"/>
        <w:right w:val="none" w:sz="0" w:space="0" w:color="auto"/>
      </w:divBdr>
    </w:div>
    <w:div w:id="1578323904">
      <w:bodyDiv w:val="1"/>
      <w:marLeft w:val="0"/>
      <w:marRight w:val="0"/>
      <w:marTop w:val="0"/>
      <w:marBottom w:val="0"/>
      <w:divBdr>
        <w:top w:val="none" w:sz="0" w:space="0" w:color="auto"/>
        <w:left w:val="none" w:sz="0" w:space="0" w:color="auto"/>
        <w:bottom w:val="none" w:sz="0" w:space="0" w:color="auto"/>
        <w:right w:val="none" w:sz="0" w:space="0" w:color="auto"/>
      </w:divBdr>
    </w:div>
    <w:div w:id="1609002878">
      <w:bodyDiv w:val="1"/>
      <w:marLeft w:val="0"/>
      <w:marRight w:val="0"/>
      <w:marTop w:val="0"/>
      <w:marBottom w:val="0"/>
      <w:divBdr>
        <w:top w:val="none" w:sz="0" w:space="0" w:color="auto"/>
        <w:left w:val="none" w:sz="0" w:space="0" w:color="auto"/>
        <w:bottom w:val="none" w:sz="0" w:space="0" w:color="auto"/>
        <w:right w:val="none" w:sz="0" w:space="0" w:color="auto"/>
      </w:divBdr>
    </w:div>
    <w:div w:id="1657345053">
      <w:bodyDiv w:val="1"/>
      <w:marLeft w:val="0"/>
      <w:marRight w:val="0"/>
      <w:marTop w:val="0"/>
      <w:marBottom w:val="0"/>
      <w:divBdr>
        <w:top w:val="none" w:sz="0" w:space="0" w:color="auto"/>
        <w:left w:val="none" w:sz="0" w:space="0" w:color="auto"/>
        <w:bottom w:val="none" w:sz="0" w:space="0" w:color="auto"/>
        <w:right w:val="none" w:sz="0" w:space="0" w:color="auto"/>
      </w:divBdr>
    </w:div>
    <w:div w:id="1752506812">
      <w:bodyDiv w:val="1"/>
      <w:marLeft w:val="0"/>
      <w:marRight w:val="0"/>
      <w:marTop w:val="0"/>
      <w:marBottom w:val="0"/>
      <w:divBdr>
        <w:top w:val="none" w:sz="0" w:space="0" w:color="auto"/>
        <w:left w:val="none" w:sz="0" w:space="0" w:color="auto"/>
        <w:bottom w:val="none" w:sz="0" w:space="0" w:color="auto"/>
        <w:right w:val="none" w:sz="0" w:space="0" w:color="auto"/>
      </w:divBdr>
    </w:div>
    <w:div w:id="1770617040">
      <w:bodyDiv w:val="1"/>
      <w:marLeft w:val="0"/>
      <w:marRight w:val="0"/>
      <w:marTop w:val="0"/>
      <w:marBottom w:val="0"/>
      <w:divBdr>
        <w:top w:val="none" w:sz="0" w:space="0" w:color="auto"/>
        <w:left w:val="none" w:sz="0" w:space="0" w:color="auto"/>
        <w:bottom w:val="none" w:sz="0" w:space="0" w:color="auto"/>
        <w:right w:val="none" w:sz="0" w:space="0" w:color="auto"/>
      </w:divBdr>
    </w:div>
    <w:div w:id="186609690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07261192">
      <w:bodyDiv w:val="1"/>
      <w:marLeft w:val="0"/>
      <w:marRight w:val="0"/>
      <w:marTop w:val="0"/>
      <w:marBottom w:val="0"/>
      <w:divBdr>
        <w:top w:val="none" w:sz="0" w:space="0" w:color="auto"/>
        <w:left w:val="none" w:sz="0" w:space="0" w:color="auto"/>
        <w:bottom w:val="none" w:sz="0" w:space="0" w:color="auto"/>
        <w:right w:val="none" w:sz="0" w:space="0" w:color="auto"/>
      </w:divBdr>
    </w:div>
    <w:div w:id="1922982465">
      <w:bodyDiv w:val="1"/>
      <w:marLeft w:val="0"/>
      <w:marRight w:val="0"/>
      <w:marTop w:val="0"/>
      <w:marBottom w:val="0"/>
      <w:divBdr>
        <w:top w:val="none" w:sz="0" w:space="0" w:color="auto"/>
        <w:left w:val="none" w:sz="0" w:space="0" w:color="auto"/>
        <w:bottom w:val="none" w:sz="0" w:space="0" w:color="auto"/>
        <w:right w:val="none" w:sz="0" w:space="0" w:color="auto"/>
      </w:divBdr>
    </w:div>
    <w:div w:id="1937253691">
      <w:bodyDiv w:val="1"/>
      <w:marLeft w:val="0"/>
      <w:marRight w:val="0"/>
      <w:marTop w:val="0"/>
      <w:marBottom w:val="0"/>
      <w:divBdr>
        <w:top w:val="none" w:sz="0" w:space="0" w:color="auto"/>
        <w:left w:val="none" w:sz="0" w:space="0" w:color="auto"/>
        <w:bottom w:val="none" w:sz="0" w:space="0" w:color="auto"/>
        <w:right w:val="none" w:sz="0" w:space="0" w:color="auto"/>
      </w:divBdr>
    </w:div>
    <w:div w:id="1974948129">
      <w:bodyDiv w:val="1"/>
      <w:marLeft w:val="0"/>
      <w:marRight w:val="0"/>
      <w:marTop w:val="0"/>
      <w:marBottom w:val="0"/>
      <w:divBdr>
        <w:top w:val="none" w:sz="0" w:space="0" w:color="auto"/>
        <w:left w:val="none" w:sz="0" w:space="0" w:color="auto"/>
        <w:bottom w:val="none" w:sz="0" w:space="0" w:color="auto"/>
        <w:right w:val="none" w:sz="0" w:space="0" w:color="auto"/>
      </w:divBdr>
    </w:div>
    <w:div w:id="1993171100">
      <w:bodyDiv w:val="1"/>
      <w:marLeft w:val="0"/>
      <w:marRight w:val="0"/>
      <w:marTop w:val="0"/>
      <w:marBottom w:val="0"/>
      <w:divBdr>
        <w:top w:val="none" w:sz="0" w:space="0" w:color="auto"/>
        <w:left w:val="none" w:sz="0" w:space="0" w:color="auto"/>
        <w:bottom w:val="none" w:sz="0" w:space="0" w:color="auto"/>
        <w:right w:val="none" w:sz="0" w:space="0" w:color="auto"/>
      </w:divBdr>
    </w:div>
    <w:div w:id="2011053848">
      <w:bodyDiv w:val="1"/>
      <w:marLeft w:val="0"/>
      <w:marRight w:val="0"/>
      <w:marTop w:val="0"/>
      <w:marBottom w:val="0"/>
      <w:divBdr>
        <w:top w:val="none" w:sz="0" w:space="0" w:color="auto"/>
        <w:left w:val="none" w:sz="0" w:space="0" w:color="auto"/>
        <w:bottom w:val="none" w:sz="0" w:space="0" w:color="auto"/>
        <w:right w:val="none" w:sz="0" w:space="0" w:color="auto"/>
      </w:divBdr>
      <w:divsChild>
        <w:div w:id="1416633015">
          <w:marLeft w:val="0"/>
          <w:marRight w:val="0"/>
          <w:marTop w:val="0"/>
          <w:marBottom w:val="0"/>
          <w:divBdr>
            <w:top w:val="none" w:sz="0" w:space="0" w:color="auto"/>
            <w:left w:val="none" w:sz="0" w:space="0" w:color="auto"/>
            <w:bottom w:val="none" w:sz="0" w:space="0" w:color="auto"/>
            <w:right w:val="none" w:sz="0" w:space="0" w:color="auto"/>
          </w:divBdr>
          <w:divsChild>
            <w:div w:id="952397363">
              <w:marLeft w:val="0"/>
              <w:marRight w:val="0"/>
              <w:marTop w:val="0"/>
              <w:marBottom w:val="0"/>
              <w:divBdr>
                <w:top w:val="none" w:sz="0" w:space="0" w:color="auto"/>
                <w:left w:val="none" w:sz="0" w:space="0" w:color="auto"/>
                <w:bottom w:val="none" w:sz="0" w:space="0" w:color="auto"/>
                <w:right w:val="none" w:sz="0" w:space="0" w:color="auto"/>
              </w:divBdr>
              <w:divsChild>
                <w:div w:id="403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59629">
      <w:bodyDiv w:val="1"/>
      <w:marLeft w:val="0"/>
      <w:marRight w:val="0"/>
      <w:marTop w:val="0"/>
      <w:marBottom w:val="0"/>
      <w:divBdr>
        <w:top w:val="none" w:sz="0" w:space="0" w:color="auto"/>
        <w:left w:val="none" w:sz="0" w:space="0" w:color="auto"/>
        <w:bottom w:val="none" w:sz="0" w:space="0" w:color="auto"/>
        <w:right w:val="none" w:sz="0" w:space="0" w:color="auto"/>
      </w:divBdr>
    </w:div>
    <w:div w:id="2127504453">
      <w:bodyDiv w:val="1"/>
      <w:marLeft w:val="0"/>
      <w:marRight w:val="0"/>
      <w:marTop w:val="0"/>
      <w:marBottom w:val="0"/>
      <w:divBdr>
        <w:top w:val="none" w:sz="0" w:space="0" w:color="auto"/>
        <w:left w:val="none" w:sz="0" w:space="0" w:color="auto"/>
        <w:bottom w:val="none" w:sz="0" w:space="0" w:color="auto"/>
        <w:right w:val="none" w:sz="0" w:space="0" w:color="auto"/>
      </w:divBdr>
    </w:div>
    <w:div w:id="2140226603">
      <w:bodyDiv w:val="1"/>
      <w:marLeft w:val="0"/>
      <w:marRight w:val="0"/>
      <w:marTop w:val="0"/>
      <w:marBottom w:val="0"/>
      <w:divBdr>
        <w:top w:val="none" w:sz="0" w:space="0" w:color="auto"/>
        <w:left w:val="none" w:sz="0" w:space="0" w:color="auto"/>
        <w:bottom w:val="none" w:sz="0" w:space="0" w:color="auto"/>
        <w:right w:val="none" w:sz="0" w:space="0" w:color="auto"/>
      </w:divBdr>
    </w:div>
    <w:div w:id="21454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C6AC-F84C-47F5-8880-D70F4EA57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8E1D0E9-DE47-4600-8807-F69093DB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3322</Words>
  <Characters>18937</Characters>
  <Application>Microsoft Office Word</Application>
  <DocSecurity>0</DocSecurity>
  <Lines>157</Lines>
  <Paragraphs>44</Paragraphs>
  <ScaleCrop>false</ScaleCrop>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Torres Rojas</dc:creator>
  <cp:keywords/>
  <dc:description/>
  <cp:lastModifiedBy>Nina María Padrón</cp:lastModifiedBy>
  <cp:revision>8</cp:revision>
  <cp:lastPrinted>2020-03-17T17:42:00Z</cp:lastPrinted>
  <dcterms:created xsi:type="dcterms:W3CDTF">2021-03-08T17:35:00Z</dcterms:created>
  <dcterms:modified xsi:type="dcterms:W3CDTF">2021-04-06T17:52:00Z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