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9B42F" w14:textId="2E3F7684" w:rsidR="009479A4" w:rsidRPr="00EF1841" w:rsidRDefault="00EF1841" w:rsidP="006A735C">
      <w:pPr>
        <w:pStyle w:val="Textoindependiente"/>
        <w:ind w:left="100" w:right="112"/>
        <w:jc w:val="both"/>
        <w:rPr>
          <w:b/>
          <w:bCs/>
          <w:sz w:val="22"/>
          <w:szCs w:val="22"/>
        </w:rPr>
      </w:pPr>
      <w:r w:rsidRPr="00EF1841">
        <w:rPr>
          <w:b/>
          <w:bCs/>
          <w:sz w:val="22"/>
          <w:szCs w:val="22"/>
        </w:rPr>
        <w:t>DOCUMENTOS TIPO –</w:t>
      </w:r>
      <w:r w:rsidR="002F6241">
        <w:rPr>
          <w:b/>
          <w:bCs/>
          <w:sz w:val="22"/>
          <w:szCs w:val="22"/>
        </w:rPr>
        <w:t xml:space="preserve"> Régimen jurídico </w:t>
      </w:r>
      <w:r w:rsidR="002F6241" w:rsidRPr="00EF1841">
        <w:rPr>
          <w:b/>
          <w:bCs/>
          <w:sz w:val="22"/>
          <w:szCs w:val="22"/>
        </w:rPr>
        <w:t>–</w:t>
      </w:r>
      <w:r w:rsidR="007A10E7" w:rsidRPr="00EF1841">
        <w:rPr>
          <w:b/>
          <w:bCs/>
          <w:sz w:val="22"/>
          <w:szCs w:val="22"/>
        </w:rPr>
        <w:t xml:space="preserve"> </w:t>
      </w:r>
      <w:r w:rsidR="00E318BF" w:rsidRPr="00EF1841">
        <w:rPr>
          <w:b/>
          <w:bCs/>
          <w:sz w:val="22"/>
          <w:szCs w:val="22"/>
        </w:rPr>
        <w:t>Implementación</w:t>
      </w:r>
      <w:r w:rsidR="002F6241">
        <w:rPr>
          <w:b/>
          <w:bCs/>
          <w:sz w:val="22"/>
          <w:szCs w:val="22"/>
        </w:rPr>
        <w:t xml:space="preserve"> </w:t>
      </w:r>
      <w:r w:rsidR="002F6241" w:rsidRPr="00EF1841">
        <w:rPr>
          <w:b/>
          <w:bCs/>
          <w:sz w:val="22"/>
          <w:szCs w:val="22"/>
        </w:rPr>
        <w:t>–</w:t>
      </w:r>
      <w:r w:rsidR="009479A4" w:rsidRPr="00EF1841">
        <w:rPr>
          <w:b/>
          <w:bCs/>
          <w:sz w:val="22"/>
          <w:szCs w:val="22"/>
        </w:rPr>
        <w:t xml:space="preserve"> Licitación </w:t>
      </w:r>
      <w:r w:rsidR="002F6241" w:rsidRPr="00EF1841">
        <w:rPr>
          <w:b/>
          <w:bCs/>
          <w:sz w:val="22"/>
          <w:szCs w:val="22"/>
        </w:rPr>
        <w:t>–</w:t>
      </w:r>
      <w:r w:rsidR="009479A4" w:rsidRPr="00EF1841">
        <w:rPr>
          <w:b/>
          <w:bCs/>
          <w:sz w:val="22"/>
          <w:szCs w:val="22"/>
        </w:rPr>
        <w:t xml:space="preserve"> </w:t>
      </w:r>
      <w:r w:rsidR="00E318BF" w:rsidRPr="00EF1841">
        <w:rPr>
          <w:b/>
          <w:bCs/>
          <w:sz w:val="22"/>
          <w:szCs w:val="22"/>
        </w:rPr>
        <w:t>I</w:t>
      </w:r>
      <w:r w:rsidR="009479A4" w:rsidRPr="00EF1841">
        <w:rPr>
          <w:b/>
          <w:bCs/>
          <w:sz w:val="22"/>
          <w:szCs w:val="22"/>
        </w:rPr>
        <w:t>nfraestructura transporte</w:t>
      </w:r>
      <w:r w:rsidR="002F6241">
        <w:rPr>
          <w:b/>
          <w:bCs/>
          <w:sz w:val="22"/>
          <w:szCs w:val="22"/>
        </w:rPr>
        <w:t xml:space="preserve"> </w:t>
      </w:r>
      <w:r w:rsidR="002F6241" w:rsidRPr="00EF1841">
        <w:rPr>
          <w:b/>
          <w:bCs/>
          <w:sz w:val="22"/>
          <w:szCs w:val="22"/>
        </w:rPr>
        <w:t>–</w:t>
      </w:r>
      <w:r w:rsidR="007A10E7" w:rsidRPr="00EF1841">
        <w:rPr>
          <w:b/>
          <w:bCs/>
          <w:sz w:val="22"/>
          <w:szCs w:val="22"/>
        </w:rPr>
        <w:t xml:space="preserve"> Obligatoriedad</w:t>
      </w:r>
    </w:p>
    <w:p w14:paraId="57F22758" w14:textId="77777777" w:rsidR="009479A4" w:rsidRPr="00B5646C" w:rsidRDefault="009479A4" w:rsidP="006A735C">
      <w:pPr>
        <w:pStyle w:val="Textoindependiente"/>
        <w:ind w:left="100" w:right="112"/>
        <w:jc w:val="both"/>
      </w:pPr>
    </w:p>
    <w:p w14:paraId="7FDC449D" w14:textId="7BFCC0CE" w:rsidR="00177F50" w:rsidRPr="00B5646C" w:rsidRDefault="00177F50" w:rsidP="006A735C">
      <w:pPr>
        <w:pStyle w:val="Textoindependiente"/>
        <w:ind w:left="100" w:right="112"/>
        <w:jc w:val="both"/>
      </w:pPr>
      <w:r w:rsidRPr="00B5646C">
        <w:t>El parágrafo 7 del artículo 2 de la Ley 1150 de 2007 adicionado por el artículo 4 de la Ley 1882 de 2018 establece la obligatoriedad de la adopción de documentos tipo para diferentes procesos de selección de la siguiente forma</w:t>
      </w:r>
      <w:r w:rsidR="00EF1841">
        <w:t xml:space="preserve"> […]</w:t>
      </w:r>
      <w:r w:rsidR="009479A4" w:rsidRPr="00B5646C">
        <w:t xml:space="preserve"> </w:t>
      </w:r>
      <w:r w:rsidRPr="00B5646C">
        <w:t>El artículo 2.2.1.2.6.1.1.</w:t>
      </w:r>
      <w:r w:rsidRPr="00B5646C">
        <w:rPr>
          <w:position w:val="7"/>
        </w:rPr>
        <w:t xml:space="preserve"> </w:t>
      </w:r>
      <w:r w:rsidRPr="00B5646C">
        <w:t>y 2.2.1.2.6.1.2.</w:t>
      </w:r>
      <w:r w:rsidRPr="00B5646C">
        <w:rPr>
          <w:position w:val="7"/>
        </w:rPr>
        <w:t xml:space="preserve"> </w:t>
      </w:r>
      <w:r w:rsidRPr="00B5646C">
        <w:t>del Decreto 1082 de 2015, adicionado por el artículo 1 del Decreto 342 de 2019, adopta los Documentos Tipo para los pliegos de condiciones de los procesos de selección de licitación de obra pública de infraestructura de transporte, los cuales contienen parámetros obligatorios para las Entidades Estatales sometidas al Estatuto General de Contratación Pública que adelanten este tipo de procesos.</w:t>
      </w:r>
    </w:p>
    <w:p w14:paraId="40413F95" w14:textId="77777777" w:rsidR="007A10E7" w:rsidRPr="00B5646C" w:rsidRDefault="007A10E7" w:rsidP="006A735C">
      <w:pPr>
        <w:pStyle w:val="Textoindependiente"/>
        <w:ind w:left="100" w:right="112"/>
        <w:jc w:val="both"/>
      </w:pPr>
    </w:p>
    <w:p w14:paraId="22311D68" w14:textId="17E32E2F" w:rsidR="007A10E7" w:rsidRPr="00EF1841" w:rsidRDefault="002F6241" w:rsidP="006A735C">
      <w:pPr>
        <w:pStyle w:val="Textoindependiente"/>
        <w:ind w:left="100" w:right="112"/>
        <w:jc w:val="both"/>
        <w:rPr>
          <w:b/>
          <w:bCs/>
          <w:sz w:val="22"/>
          <w:szCs w:val="22"/>
        </w:rPr>
      </w:pPr>
      <w:r>
        <w:rPr>
          <w:b/>
          <w:bCs/>
          <w:sz w:val="22"/>
          <w:szCs w:val="22"/>
        </w:rPr>
        <w:t xml:space="preserve">DOCUMENTOS TIPO </w:t>
      </w:r>
      <w:r w:rsidRPr="00EF1841">
        <w:rPr>
          <w:b/>
          <w:bCs/>
          <w:sz w:val="22"/>
          <w:szCs w:val="22"/>
        </w:rPr>
        <w:t>–</w:t>
      </w:r>
      <w:r>
        <w:rPr>
          <w:b/>
          <w:bCs/>
          <w:sz w:val="22"/>
          <w:szCs w:val="22"/>
        </w:rPr>
        <w:t xml:space="preserve"> Declaratoria desierta </w:t>
      </w:r>
      <w:r w:rsidRPr="00EF1841">
        <w:rPr>
          <w:b/>
          <w:bCs/>
          <w:sz w:val="22"/>
          <w:szCs w:val="22"/>
        </w:rPr>
        <w:t>–</w:t>
      </w:r>
      <w:r w:rsidR="007A10E7" w:rsidRPr="00EF1841">
        <w:rPr>
          <w:b/>
          <w:bCs/>
          <w:sz w:val="22"/>
          <w:szCs w:val="22"/>
        </w:rPr>
        <w:t xml:space="preserve"> </w:t>
      </w:r>
      <w:r>
        <w:rPr>
          <w:b/>
          <w:bCs/>
          <w:sz w:val="22"/>
          <w:szCs w:val="22"/>
        </w:rPr>
        <w:t xml:space="preserve">Procedimiento </w:t>
      </w:r>
      <w:r w:rsidRPr="00EF1841">
        <w:rPr>
          <w:b/>
          <w:bCs/>
          <w:sz w:val="22"/>
          <w:szCs w:val="22"/>
        </w:rPr>
        <w:t>–</w:t>
      </w:r>
      <w:r w:rsidR="00AA38EB" w:rsidRPr="00EF1841">
        <w:rPr>
          <w:b/>
          <w:bCs/>
          <w:sz w:val="22"/>
          <w:szCs w:val="22"/>
        </w:rPr>
        <w:t xml:space="preserve"> </w:t>
      </w:r>
      <w:r w:rsidR="0074212B" w:rsidRPr="00EF1841">
        <w:rPr>
          <w:b/>
          <w:bCs/>
          <w:sz w:val="22"/>
          <w:szCs w:val="22"/>
        </w:rPr>
        <w:t>Excepción documentos tipo</w:t>
      </w:r>
    </w:p>
    <w:p w14:paraId="5141F64C" w14:textId="77777777" w:rsidR="007A10E7" w:rsidRPr="00EF1841" w:rsidRDefault="007A10E7" w:rsidP="006A735C">
      <w:pPr>
        <w:pStyle w:val="Textoindependiente"/>
        <w:ind w:left="100" w:right="112"/>
        <w:jc w:val="both"/>
        <w:rPr>
          <w:b/>
          <w:bCs/>
          <w:sz w:val="22"/>
          <w:szCs w:val="22"/>
        </w:rPr>
      </w:pPr>
    </w:p>
    <w:p w14:paraId="6A92A171" w14:textId="77777777" w:rsidR="00177F50" w:rsidRPr="00B5646C" w:rsidRDefault="00177F50" w:rsidP="006A735C">
      <w:pPr>
        <w:pStyle w:val="Textoindependiente"/>
        <w:ind w:left="100" w:right="107"/>
        <w:jc w:val="both"/>
      </w:pPr>
      <w:r w:rsidRPr="00B5646C">
        <w:t>Por otra parte, el artículo 2.2.1.2.6.1.6 del Decreto 342 de 2019</w:t>
      </w:r>
      <w:r w:rsidRPr="00B5646C">
        <w:rPr>
          <w:position w:val="7"/>
        </w:rPr>
        <w:t xml:space="preserve"> </w:t>
      </w:r>
      <w:r w:rsidRPr="00B5646C">
        <w:t xml:space="preserve">establece </w:t>
      </w:r>
      <w:proofErr w:type="gramStart"/>
      <w:r w:rsidRPr="00B5646C">
        <w:t>que</w:t>
      </w:r>
      <w:proofErr w:type="gramEnd"/>
      <w:r w:rsidRPr="00B5646C">
        <w:t xml:space="preserve"> en los casos de declaratoria de desierta de un Proceso de Contratación amparado por los Documentos Tipo, la Entidad Estatal que adelante el procedimiento de selección abreviada de menor cuantía deberá mantener las condiciones y requisitos de los Documentos Tipo.</w:t>
      </w:r>
      <w:r w:rsidR="0075629C" w:rsidRPr="00B5646C">
        <w:t xml:space="preserve"> </w:t>
      </w:r>
      <w:r w:rsidRPr="00B5646C">
        <w:t>En los demás casos que se acuda al procedimiento de selección abreviada de menor cuantía para Procesos de Contratación cuyo objeto sea una obra de infraestructura de transporte no se deben emplear los documentos tipo implementados y desarrollados a través de la Resolución No 1798 del 1 de abril de</w:t>
      </w:r>
      <w:r w:rsidRPr="00B5646C">
        <w:rPr>
          <w:spacing w:val="-3"/>
        </w:rPr>
        <w:t xml:space="preserve"> </w:t>
      </w:r>
      <w:r w:rsidRPr="00B5646C">
        <w:t>2019.</w:t>
      </w:r>
    </w:p>
    <w:p w14:paraId="1648521B" w14:textId="77777777" w:rsidR="0075629C" w:rsidRPr="00B5646C" w:rsidRDefault="0075629C" w:rsidP="006A735C">
      <w:pPr>
        <w:pStyle w:val="Textoindependiente"/>
        <w:ind w:left="100" w:right="107"/>
        <w:jc w:val="both"/>
      </w:pPr>
    </w:p>
    <w:p w14:paraId="6F82986B" w14:textId="323823B5" w:rsidR="0075629C" w:rsidRPr="00EF1841" w:rsidRDefault="002F6241" w:rsidP="00EF1841">
      <w:pPr>
        <w:pStyle w:val="Textoindependiente"/>
        <w:ind w:left="100" w:right="112"/>
        <w:jc w:val="both"/>
        <w:rPr>
          <w:b/>
          <w:bCs/>
          <w:sz w:val="22"/>
          <w:szCs w:val="22"/>
        </w:rPr>
      </w:pPr>
      <w:r>
        <w:rPr>
          <w:b/>
          <w:bCs/>
          <w:sz w:val="22"/>
          <w:szCs w:val="22"/>
        </w:rPr>
        <w:t xml:space="preserve">DOCUMENTOS TIPO </w:t>
      </w:r>
      <w:r w:rsidRPr="00EF1841">
        <w:rPr>
          <w:b/>
          <w:bCs/>
          <w:sz w:val="22"/>
          <w:szCs w:val="22"/>
        </w:rPr>
        <w:t>–</w:t>
      </w:r>
      <w:r>
        <w:rPr>
          <w:b/>
          <w:bCs/>
          <w:sz w:val="22"/>
          <w:szCs w:val="22"/>
        </w:rPr>
        <w:t xml:space="preserve"> Obligatoriedad </w:t>
      </w:r>
      <w:r w:rsidRPr="00EF1841">
        <w:rPr>
          <w:b/>
          <w:bCs/>
          <w:sz w:val="22"/>
          <w:szCs w:val="22"/>
        </w:rPr>
        <w:t>–</w:t>
      </w:r>
      <w:r>
        <w:rPr>
          <w:b/>
          <w:bCs/>
          <w:sz w:val="22"/>
          <w:szCs w:val="22"/>
        </w:rPr>
        <w:t xml:space="preserve"> Inalterabilidad </w:t>
      </w:r>
      <w:r w:rsidRPr="00EF1841">
        <w:rPr>
          <w:b/>
          <w:bCs/>
          <w:sz w:val="22"/>
          <w:szCs w:val="22"/>
        </w:rPr>
        <w:t>–</w:t>
      </w:r>
      <w:r w:rsidR="0075629C" w:rsidRPr="00EF1841">
        <w:rPr>
          <w:b/>
          <w:bCs/>
          <w:sz w:val="22"/>
          <w:szCs w:val="22"/>
        </w:rPr>
        <w:t xml:space="preserve"> </w:t>
      </w:r>
      <w:r>
        <w:rPr>
          <w:b/>
          <w:bCs/>
          <w:sz w:val="22"/>
          <w:szCs w:val="22"/>
        </w:rPr>
        <w:t xml:space="preserve">Limitación entidades estatales </w:t>
      </w:r>
      <w:r w:rsidRPr="00EF1841">
        <w:rPr>
          <w:b/>
          <w:bCs/>
          <w:sz w:val="22"/>
          <w:szCs w:val="22"/>
        </w:rPr>
        <w:t>–</w:t>
      </w:r>
      <w:r w:rsidR="006774DA" w:rsidRPr="00EF1841">
        <w:rPr>
          <w:b/>
          <w:bCs/>
          <w:sz w:val="22"/>
          <w:szCs w:val="22"/>
        </w:rPr>
        <w:t xml:space="preserve"> No inclusión </w:t>
      </w:r>
      <w:r w:rsidR="002E5ED7" w:rsidRPr="00EF1841">
        <w:rPr>
          <w:b/>
          <w:bCs/>
          <w:sz w:val="22"/>
          <w:szCs w:val="22"/>
        </w:rPr>
        <w:t>f</w:t>
      </w:r>
      <w:r w:rsidR="006774DA" w:rsidRPr="00EF1841">
        <w:rPr>
          <w:b/>
          <w:bCs/>
          <w:sz w:val="22"/>
          <w:szCs w:val="22"/>
        </w:rPr>
        <w:t>actores ponderación</w:t>
      </w:r>
    </w:p>
    <w:p w14:paraId="001E2D12" w14:textId="77777777" w:rsidR="0075629C" w:rsidRPr="00B5646C" w:rsidRDefault="0075629C" w:rsidP="006A735C">
      <w:pPr>
        <w:pStyle w:val="Textoindependiente"/>
        <w:ind w:left="100" w:right="107"/>
        <w:jc w:val="both"/>
      </w:pPr>
    </w:p>
    <w:p w14:paraId="20B3CA1B" w14:textId="5F03EE65" w:rsidR="00177F50" w:rsidRPr="00B5646C" w:rsidRDefault="00177F50" w:rsidP="006A735C">
      <w:pPr>
        <w:pStyle w:val="Textoindependiente"/>
        <w:ind w:left="100" w:right="108"/>
        <w:jc w:val="both"/>
      </w:pPr>
      <w:r w:rsidRPr="00B5646C">
        <w:t>En este sentido, los Documentos Tipo para licitación de obra pública de infraestructura de transporte son obligatorios y deben ser aplicados por las Entidades Estatales sometidas al Estatuto General de la Contratación Pública cuando adelanten procesos de selección de “licitación” de obra pública de infraestructura de transporte, y en los casos de declaratoria de desierta de un Proceso de Contratación amparado por los Documentos Tipo. En los demás casos las Entidades Estatales no deben utilizarlos para adelantar sus Procesos de Contratación.</w:t>
      </w:r>
      <w:r w:rsidR="00EF1841">
        <w:t xml:space="preserve"> […]</w:t>
      </w:r>
      <w:r w:rsidR="0075629C" w:rsidRPr="00B5646C">
        <w:t xml:space="preserve"> </w:t>
      </w:r>
      <w:r w:rsidRPr="00B5646C">
        <w:t>De acuerdo con el artículo 2.2.1.2.6.1.4 del Decreto 1082 de 2015, Decreto Único Reglamentario del Sector Administrativo de Planeación Nacional, los documentos tipo son inalterables y por ende las entidades estatales no podrán incluir requisitos o factores de ponderación diferentes a los establecidos por los mismos.</w:t>
      </w:r>
    </w:p>
    <w:p w14:paraId="2C5D3AFD" w14:textId="77777777" w:rsidR="006774DA" w:rsidRPr="00B5646C" w:rsidRDefault="006774DA" w:rsidP="006A735C">
      <w:pPr>
        <w:pStyle w:val="Textoindependiente"/>
        <w:ind w:left="100" w:right="108"/>
        <w:jc w:val="both"/>
      </w:pPr>
    </w:p>
    <w:p w14:paraId="0FACC139" w14:textId="332CDEB6" w:rsidR="006774DA" w:rsidRPr="00EF1841" w:rsidRDefault="002F6241" w:rsidP="00EF1841">
      <w:pPr>
        <w:pStyle w:val="Textoindependiente"/>
        <w:ind w:left="100" w:right="112"/>
        <w:jc w:val="both"/>
        <w:rPr>
          <w:b/>
          <w:bCs/>
          <w:sz w:val="22"/>
          <w:szCs w:val="22"/>
        </w:rPr>
      </w:pPr>
      <w:r>
        <w:rPr>
          <w:b/>
          <w:bCs/>
          <w:sz w:val="22"/>
          <w:szCs w:val="22"/>
        </w:rPr>
        <w:t xml:space="preserve">DOCUMENTOS TIPO </w:t>
      </w:r>
      <w:r w:rsidRPr="00EF1841">
        <w:rPr>
          <w:b/>
          <w:bCs/>
          <w:sz w:val="22"/>
          <w:szCs w:val="22"/>
        </w:rPr>
        <w:t>–</w:t>
      </w:r>
      <w:r w:rsidR="00A855A1" w:rsidRPr="00EF1841">
        <w:rPr>
          <w:b/>
          <w:bCs/>
          <w:sz w:val="22"/>
          <w:szCs w:val="22"/>
        </w:rPr>
        <w:t xml:space="preserve"> </w:t>
      </w:r>
      <w:r>
        <w:rPr>
          <w:b/>
          <w:bCs/>
          <w:sz w:val="22"/>
          <w:szCs w:val="22"/>
        </w:rPr>
        <w:t xml:space="preserve">Ofertas </w:t>
      </w:r>
      <w:r w:rsidRPr="00EF1841">
        <w:rPr>
          <w:b/>
          <w:bCs/>
          <w:sz w:val="22"/>
          <w:szCs w:val="22"/>
        </w:rPr>
        <w:t>–</w:t>
      </w:r>
      <w:r w:rsidR="008007B0" w:rsidRPr="00EF1841">
        <w:rPr>
          <w:b/>
          <w:bCs/>
          <w:sz w:val="22"/>
          <w:szCs w:val="22"/>
        </w:rPr>
        <w:t xml:space="preserve"> </w:t>
      </w:r>
      <w:r>
        <w:rPr>
          <w:b/>
          <w:bCs/>
          <w:sz w:val="22"/>
          <w:szCs w:val="22"/>
        </w:rPr>
        <w:t xml:space="preserve">Criterios calificación </w:t>
      </w:r>
      <w:r w:rsidRPr="00EF1841">
        <w:rPr>
          <w:b/>
          <w:bCs/>
          <w:sz w:val="22"/>
          <w:szCs w:val="22"/>
        </w:rPr>
        <w:t>–</w:t>
      </w:r>
      <w:r w:rsidR="00A855A1" w:rsidRPr="00EF1841">
        <w:rPr>
          <w:b/>
          <w:bCs/>
          <w:sz w:val="22"/>
          <w:szCs w:val="22"/>
        </w:rPr>
        <w:t xml:space="preserve"> </w:t>
      </w:r>
      <w:r w:rsidR="00F152DE" w:rsidRPr="00EF1841">
        <w:rPr>
          <w:b/>
          <w:bCs/>
          <w:sz w:val="22"/>
          <w:szCs w:val="22"/>
        </w:rPr>
        <w:t>No in</w:t>
      </w:r>
      <w:r w:rsidR="008007B0" w:rsidRPr="00EF1841">
        <w:rPr>
          <w:b/>
          <w:bCs/>
          <w:sz w:val="22"/>
          <w:szCs w:val="22"/>
        </w:rPr>
        <w:t>clusión</w:t>
      </w:r>
      <w:r w:rsidR="00F152DE" w:rsidRPr="00EF1841">
        <w:rPr>
          <w:b/>
          <w:bCs/>
          <w:sz w:val="22"/>
          <w:szCs w:val="22"/>
        </w:rPr>
        <w:t xml:space="preserve"> m</w:t>
      </w:r>
      <w:r w:rsidR="00F3507C" w:rsidRPr="00EF1841">
        <w:rPr>
          <w:b/>
          <w:bCs/>
          <w:sz w:val="22"/>
          <w:szCs w:val="22"/>
        </w:rPr>
        <w:t xml:space="preserve">ano </w:t>
      </w:r>
      <w:r w:rsidR="00F152DE" w:rsidRPr="00EF1841">
        <w:rPr>
          <w:b/>
          <w:bCs/>
          <w:sz w:val="22"/>
          <w:szCs w:val="22"/>
        </w:rPr>
        <w:t>de obra</w:t>
      </w:r>
      <w:r w:rsidR="00F3507C" w:rsidRPr="00EF1841">
        <w:rPr>
          <w:b/>
          <w:bCs/>
          <w:sz w:val="22"/>
          <w:szCs w:val="22"/>
        </w:rPr>
        <w:t xml:space="preserve"> </w:t>
      </w:r>
      <w:r w:rsidR="00F152DE" w:rsidRPr="00EF1841">
        <w:rPr>
          <w:b/>
          <w:bCs/>
          <w:sz w:val="22"/>
          <w:szCs w:val="22"/>
        </w:rPr>
        <w:t>─ Inalterabilidad</w:t>
      </w:r>
    </w:p>
    <w:p w14:paraId="717D5BDB" w14:textId="77777777" w:rsidR="006774DA" w:rsidRPr="00EF1841" w:rsidRDefault="006774DA" w:rsidP="00EF1841">
      <w:pPr>
        <w:pStyle w:val="Textoindependiente"/>
        <w:ind w:left="100" w:right="112"/>
        <w:jc w:val="both"/>
        <w:rPr>
          <w:b/>
          <w:bCs/>
          <w:sz w:val="22"/>
          <w:szCs w:val="22"/>
        </w:rPr>
      </w:pPr>
    </w:p>
    <w:p w14:paraId="7139CA94" w14:textId="492C9DE0" w:rsidR="00177F50" w:rsidRPr="00B5646C" w:rsidRDefault="00220B21" w:rsidP="006A735C">
      <w:pPr>
        <w:pStyle w:val="Textoindependiente"/>
        <w:ind w:left="100" w:right="105"/>
        <w:jc w:val="both"/>
      </w:pPr>
      <w:r>
        <w:pict w14:anchorId="511D90DE">
          <v:polyline id="_x0000_s1032" style="position:absolute;left:0;text-align:left;z-index:251665408;mso-position-horizontal-relative:page" points="1187.7pt,345.9pt,1186.7pt,345.9pt,1186.2pt,345.9pt,1186.2pt,346.4pt,1186.2pt,347.4pt,1186.7pt,347.4pt,1186.7pt,346.4pt,1187.7pt,346.4pt,1187.7pt,345.9pt" coordorigin="3954,1153" coordsize="30,30" fillcolor="black" stroked="f">
            <v:path arrowok="t"/>
            <o:lock v:ext="edit" verticies="t"/>
            <w10:wrap anchorx="page"/>
          </v:polyline>
        </w:pict>
      </w:r>
      <w:r w:rsidR="00177F50" w:rsidRPr="00B5646C">
        <w:t>Ahora bien, el documento base o pliegos tipo, en el “CAPÍTULO IV CRITERIOS DE EVALUACIÓN, ASIGNACIÓN DE PUNTAJE Y CRITERIOS DE DESEMPATE”, establece los criterios que las entidades estatales deberán calificar de las ofertas que cumplan con los requisitos habilitantes, de la siguiente forma</w:t>
      </w:r>
      <w:r w:rsidR="00A855A1" w:rsidRPr="00B5646C">
        <w:t xml:space="preserve"> </w:t>
      </w:r>
      <w:r w:rsidR="00EF1841">
        <w:t>[…]</w:t>
      </w:r>
      <w:r w:rsidR="00A855A1" w:rsidRPr="00B5646C">
        <w:t xml:space="preserve"> </w:t>
      </w:r>
      <w:r w:rsidR="00177F50" w:rsidRPr="00B5646C">
        <w:t>Entre los criterios establecidos en los documentos tipo no se incluye el factor de mano de obra local y por ende, en aplicación de la inalterabilidad de los documentos tipo, las entidades estatales no podrán establecer que la mano de obra local sea un criterio de puntuación aplicable a este tipo de procesos.</w:t>
      </w:r>
    </w:p>
    <w:p w14:paraId="764B6D49" w14:textId="77777777" w:rsidR="00300B38" w:rsidRPr="00B5646C" w:rsidRDefault="00300B38" w:rsidP="006A735C">
      <w:pPr>
        <w:pStyle w:val="Textoindependiente"/>
        <w:ind w:left="100" w:right="105"/>
        <w:jc w:val="both"/>
      </w:pPr>
    </w:p>
    <w:p w14:paraId="46AC8527" w14:textId="4FA09A10" w:rsidR="00300B38" w:rsidRPr="00EF1841" w:rsidRDefault="002F6241" w:rsidP="006A735C">
      <w:pPr>
        <w:pStyle w:val="Textoindependiente"/>
        <w:ind w:left="100" w:right="105"/>
        <w:jc w:val="both"/>
        <w:rPr>
          <w:b/>
          <w:bCs/>
          <w:sz w:val="22"/>
          <w:szCs w:val="22"/>
        </w:rPr>
      </w:pPr>
      <w:r>
        <w:rPr>
          <w:b/>
          <w:bCs/>
          <w:sz w:val="22"/>
          <w:szCs w:val="22"/>
        </w:rPr>
        <w:t xml:space="preserve">MANIFESTACIÓN DE INTERÉS </w:t>
      </w:r>
      <w:r w:rsidRPr="00EF1841">
        <w:rPr>
          <w:b/>
          <w:bCs/>
          <w:sz w:val="22"/>
          <w:szCs w:val="22"/>
        </w:rPr>
        <w:t>–</w:t>
      </w:r>
      <w:r w:rsidR="00300B38" w:rsidRPr="00EF1841">
        <w:rPr>
          <w:b/>
          <w:bCs/>
          <w:sz w:val="22"/>
          <w:szCs w:val="22"/>
        </w:rPr>
        <w:t xml:space="preserve"> Selección abreviada</w:t>
      </w:r>
      <w:r>
        <w:rPr>
          <w:b/>
          <w:bCs/>
          <w:sz w:val="22"/>
          <w:szCs w:val="22"/>
        </w:rPr>
        <w:t xml:space="preserve"> </w:t>
      </w:r>
      <w:r w:rsidRPr="00EF1841">
        <w:rPr>
          <w:b/>
          <w:bCs/>
          <w:sz w:val="22"/>
          <w:szCs w:val="22"/>
        </w:rPr>
        <w:t>–</w:t>
      </w:r>
      <w:r w:rsidR="00300B38" w:rsidRPr="00EF1841">
        <w:rPr>
          <w:b/>
          <w:bCs/>
          <w:sz w:val="22"/>
          <w:szCs w:val="22"/>
        </w:rPr>
        <w:t xml:space="preserve"> </w:t>
      </w:r>
      <w:r w:rsidR="00F3507C" w:rsidRPr="00EF1841">
        <w:rPr>
          <w:b/>
          <w:bCs/>
          <w:sz w:val="22"/>
          <w:szCs w:val="22"/>
        </w:rPr>
        <w:t>M</w:t>
      </w:r>
      <w:r>
        <w:rPr>
          <w:b/>
          <w:bCs/>
          <w:sz w:val="22"/>
          <w:szCs w:val="22"/>
        </w:rPr>
        <w:t xml:space="preserve">enor cuantía </w:t>
      </w:r>
      <w:r w:rsidRPr="00EF1841">
        <w:rPr>
          <w:b/>
          <w:bCs/>
          <w:sz w:val="22"/>
          <w:szCs w:val="22"/>
        </w:rPr>
        <w:t>–</w:t>
      </w:r>
      <w:r w:rsidR="00300B38" w:rsidRPr="00EF1841">
        <w:rPr>
          <w:b/>
          <w:bCs/>
          <w:sz w:val="22"/>
          <w:szCs w:val="22"/>
        </w:rPr>
        <w:t xml:space="preserve"> Forma determinada</w:t>
      </w:r>
      <w:r>
        <w:rPr>
          <w:b/>
          <w:bCs/>
          <w:sz w:val="22"/>
          <w:szCs w:val="22"/>
        </w:rPr>
        <w:t xml:space="preserve"> </w:t>
      </w:r>
      <w:r w:rsidRPr="00EF1841">
        <w:rPr>
          <w:b/>
          <w:bCs/>
          <w:sz w:val="22"/>
          <w:szCs w:val="22"/>
        </w:rPr>
        <w:t>–</w:t>
      </w:r>
      <w:r>
        <w:rPr>
          <w:b/>
          <w:bCs/>
          <w:sz w:val="22"/>
          <w:szCs w:val="22"/>
        </w:rPr>
        <w:t xml:space="preserve"> Uso tecnologías información </w:t>
      </w:r>
      <w:r w:rsidRPr="00EF1841">
        <w:rPr>
          <w:b/>
          <w:bCs/>
          <w:sz w:val="22"/>
          <w:szCs w:val="22"/>
        </w:rPr>
        <w:t>–</w:t>
      </w:r>
      <w:r w:rsidR="00C42827" w:rsidRPr="00EF1841">
        <w:rPr>
          <w:b/>
          <w:bCs/>
          <w:sz w:val="22"/>
          <w:szCs w:val="22"/>
        </w:rPr>
        <w:t xml:space="preserve"> Manifestación interés electrónica</w:t>
      </w:r>
    </w:p>
    <w:p w14:paraId="637CF7EA" w14:textId="77777777" w:rsidR="00177F50" w:rsidRPr="00B5646C" w:rsidRDefault="00177F50" w:rsidP="006A735C">
      <w:pPr>
        <w:pStyle w:val="Textoindependiente"/>
        <w:jc w:val="both"/>
      </w:pPr>
    </w:p>
    <w:p w14:paraId="4C3FC88A" w14:textId="667EF8CF" w:rsidR="00177F50" w:rsidRPr="00B5646C" w:rsidRDefault="00177F50" w:rsidP="006A735C">
      <w:pPr>
        <w:pStyle w:val="Textoindependiente"/>
        <w:ind w:left="100" w:right="113"/>
        <w:jc w:val="both"/>
      </w:pPr>
      <w:r w:rsidRPr="00B5646C">
        <w:t xml:space="preserve">El artículo 2.2.1.2.1.2.20. del Decreto 1082 de 2015 contempla el procedimiento que debe ser aplicado por las entidades estatales tratándose de la modalidad de selección abreviada de menor </w:t>
      </w:r>
      <w:r w:rsidRPr="00B5646C">
        <w:lastRenderedPageBreak/>
        <w:t>cuantía y establece que la manifestación de interés que deben realizar los proponentes se debe efectuar</w:t>
      </w:r>
      <w:r w:rsidRPr="00B5646C">
        <w:rPr>
          <w:spacing w:val="-2"/>
        </w:rPr>
        <w:t xml:space="preserve"> </w:t>
      </w:r>
      <w:r w:rsidRPr="00B5646C">
        <w:t>por</w:t>
      </w:r>
      <w:r w:rsidRPr="00B5646C">
        <w:rPr>
          <w:spacing w:val="-2"/>
        </w:rPr>
        <w:t xml:space="preserve"> </w:t>
      </w:r>
      <w:r w:rsidRPr="00B5646C">
        <w:t>el</w:t>
      </w:r>
      <w:r w:rsidRPr="00B5646C">
        <w:rPr>
          <w:spacing w:val="-4"/>
        </w:rPr>
        <w:t xml:space="preserve"> </w:t>
      </w:r>
      <w:r w:rsidRPr="00B5646C">
        <w:t>medio</w:t>
      </w:r>
      <w:r w:rsidRPr="00B5646C">
        <w:rPr>
          <w:spacing w:val="-6"/>
        </w:rPr>
        <w:t xml:space="preserve"> </w:t>
      </w:r>
      <w:r w:rsidRPr="00B5646C">
        <w:t>establecido</w:t>
      </w:r>
      <w:r w:rsidRPr="00B5646C">
        <w:rPr>
          <w:spacing w:val="-3"/>
        </w:rPr>
        <w:t xml:space="preserve"> </w:t>
      </w:r>
      <w:r w:rsidRPr="00B5646C">
        <w:t>por</w:t>
      </w:r>
      <w:r w:rsidRPr="00B5646C">
        <w:rPr>
          <w:spacing w:val="-4"/>
        </w:rPr>
        <w:t xml:space="preserve"> </w:t>
      </w:r>
      <w:r w:rsidRPr="00B5646C">
        <w:t>la</w:t>
      </w:r>
      <w:r w:rsidRPr="00B5646C">
        <w:rPr>
          <w:spacing w:val="-5"/>
        </w:rPr>
        <w:t xml:space="preserve"> </w:t>
      </w:r>
      <w:r w:rsidRPr="00B5646C">
        <w:t>entidad</w:t>
      </w:r>
      <w:r w:rsidRPr="00B5646C">
        <w:rPr>
          <w:spacing w:val="-3"/>
        </w:rPr>
        <w:t xml:space="preserve"> </w:t>
      </w:r>
      <w:r w:rsidRPr="00B5646C">
        <w:t>estatal</w:t>
      </w:r>
      <w:r w:rsidRPr="00B5646C">
        <w:rPr>
          <w:spacing w:val="-1"/>
        </w:rPr>
        <w:t xml:space="preserve"> </w:t>
      </w:r>
      <w:r w:rsidRPr="00B5646C">
        <w:t>en</w:t>
      </w:r>
      <w:r w:rsidRPr="00B5646C">
        <w:rPr>
          <w:spacing w:val="-6"/>
        </w:rPr>
        <w:t xml:space="preserve"> </w:t>
      </w:r>
      <w:r w:rsidRPr="00B5646C">
        <w:t>los</w:t>
      </w:r>
      <w:r w:rsidRPr="00B5646C">
        <w:rPr>
          <w:spacing w:val="-2"/>
        </w:rPr>
        <w:t xml:space="preserve"> </w:t>
      </w:r>
      <w:r w:rsidRPr="00B5646C">
        <w:t>pliegos</w:t>
      </w:r>
      <w:r w:rsidRPr="00B5646C">
        <w:rPr>
          <w:spacing w:val="-5"/>
        </w:rPr>
        <w:t xml:space="preserve"> </w:t>
      </w:r>
      <w:r w:rsidRPr="00B5646C">
        <w:t>de</w:t>
      </w:r>
      <w:r w:rsidRPr="00B5646C">
        <w:rPr>
          <w:spacing w:val="-5"/>
        </w:rPr>
        <w:t xml:space="preserve"> </w:t>
      </w:r>
      <w:r w:rsidRPr="00B5646C">
        <w:t>condiciones</w:t>
      </w:r>
      <w:r w:rsidR="00EF1841">
        <w:t xml:space="preserve"> […]</w:t>
      </w:r>
      <w:r w:rsidR="00300B38" w:rsidRPr="00B5646C">
        <w:t xml:space="preserve"> </w:t>
      </w:r>
      <w:r w:rsidR="00C42827" w:rsidRPr="00B5646C">
        <w:t xml:space="preserve"> </w:t>
      </w:r>
      <w:r w:rsidRPr="00B5646C">
        <w:t>Así las cosas, en principio, las entidades estatales deberán determinar el mecanismo por el que deberá ser allegada la manifestación de interés de los proponentes, el cual podrá ser físico o haciendo uso de las tecnologías de la información y las comunicaciones.</w:t>
      </w:r>
    </w:p>
    <w:p w14:paraId="45FD2BA0" w14:textId="77777777" w:rsidR="00351FF3" w:rsidRPr="00EF1841" w:rsidRDefault="00351FF3" w:rsidP="006A735C">
      <w:pPr>
        <w:pStyle w:val="Textoindependiente"/>
        <w:ind w:left="100" w:right="113"/>
        <w:jc w:val="both"/>
        <w:rPr>
          <w:sz w:val="22"/>
          <w:szCs w:val="22"/>
        </w:rPr>
      </w:pPr>
    </w:p>
    <w:p w14:paraId="1C7F7CA2" w14:textId="09BDEEF1" w:rsidR="00351FF3" w:rsidRPr="00EF1841" w:rsidRDefault="00351FF3" w:rsidP="006A735C">
      <w:pPr>
        <w:pStyle w:val="Textoindependiente"/>
        <w:ind w:left="100" w:right="113"/>
        <w:jc w:val="both"/>
        <w:rPr>
          <w:b/>
          <w:bCs/>
          <w:sz w:val="22"/>
          <w:szCs w:val="22"/>
        </w:rPr>
      </w:pPr>
      <w:r w:rsidRPr="00EF1841">
        <w:rPr>
          <w:b/>
          <w:bCs/>
          <w:sz w:val="22"/>
          <w:szCs w:val="22"/>
        </w:rPr>
        <w:t>PRINCIPIO DE CELERIDAD</w:t>
      </w:r>
      <w:r w:rsidR="00792F04" w:rsidRPr="00EF1841">
        <w:rPr>
          <w:b/>
          <w:bCs/>
          <w:sz w:val="22"/>
          <w:szCs w:val="22"/>
        </w:rPr>
        <w:t xml:space="preserve"> / SELECCIÓN ABREVIADA</w:t>
      </w:r>
      <w:r w:rsidR="002F6241">
        <w:rPr>
          <w:b/>
          <w:bCs/>
          <w:sz w:val="22"/>
          <w:szCs w:val="22"/>
        </w:rPr>
        <w:t xml:space="preserve"> </w:t>
      </w:r>
      <w:r w:rsidR="002F6241" w:rsidRPr="00EF1841">
        <w:rPr>
          <w:b/>
          <w:bCs/>
          <w:sz w:val="22"/>
          <w:szCs w:val="22"/>
        </w:rPr>
        <w:t>–</w:t>
      </w:r>
      <w:r w:rsidRPr="00EF1841">
        <w:rPr>
          <w:b/>
          <w:bCs/>
          <w:sz w:val="22"/>
          <w:szCs w:val="22"/>
        </w:rPr>
        <w:t xml:space="preserve"> Manifestación interés </w:t>
      </w:r>
      <w:r w:rsidR="002F6241" w:rsidRPr="00EF1841">
        <w:rPr>
          <w:b/>
          <w:bCs/>
          <w:sz w:val="22"/>
          <w:szCs w:val="22"/>
        </w:rPr>
        <w:t>–</w:t>
      </w:r>
      <w:r w:rsidR="002F6241">
        <w:rPr>
          <w:b/>
          <w:bCs/>
          <w:sz w:val="22"/>
          <w:szCs w:val="22"/>
        </w:rPr>
        <w:t xml:space="preserve"> Incentivo uso tecnologías </w:t>
      </w:r>
      <w:r w:rsidR="002F6241" w:rsidRPr="00EF1841">
        <w:rPr>
          <w:b/>
          <w:bCs/>
          <w:sz w:val="22"/>
          <w:szCs w:val="22"/>
        </w:rPr>
        <w:t>–</w:t>
      </w:r>
      <w:r w:rsidR="00183ED7" w:rsidRPr="00EF1841">
        <w:rPr>
          <w:b/>
          <w:bCs/>
          <w:sz w:val="22"/>
          <w:szCs w:val="22"/>
        </w:rPr>
        <w:t xml:space="preserve"> Selección abreviad </w:t>
      </w:r>
      <w:r w:rsidR="002F6241" w:rsidRPr="00EF1841">
        <w:rPr>
          <w:b/>
          <w:bCs/>
          <w:sz w:val="22"/>
          <w:szCs w:val="22"/>
        </w:rPr>
        <w:t>–</w:t>
      </w:r>
      <w:r w:rsidR="00F942C7" w:rsidRPr="00EF1841">
        <w:rPr>
          <w:b/>
          <w:bCs/>
          <w:sz w:val="22"/>
          <w:szCs w:val="22"/>
        </w:rPr>
        <w:t xml:space="preserve"> M</w:t>
      </w:r>
      <w:r w:rsidR="00183ED7" w:rsidRPr="00EF1841">
        <w:rPr>
          <w:b/>
          <w:bCs/>
          <w:sz w:val="22"/>
          <w:szCs w:val="22"/>
        </w:rPr>
        <w:t xml:space="preserve">enor cuantía </w:t>
      </w:r>
    </w:p>
    <w:p w14:paraId="61DD0EB8" w14:textId="77777777" w:rsidR="00177F50" w:rsidRPr="00B5646C" w:rsidRDefault="00177F50" w:rsidP="006A735C">
      <w:pPr>
        <w:pStyle w:val="Textoindependiente"/>
        <w:jc w:val="both"/>
      </w:pPr>
    </w:p>
    <w:p w14:paraId="788A87B3" w14:textId="6DF2527E" w:rsidR="00177F50" w:rsidRPr="00B5646C" w:rsidRDefault="00177F50" w:rsidP="006A735C">
      <w:pPr>
        <w:pStyle w:val="Textoindependiente"/>
        <w:ind w:left="100" w:right="106"/>
        <w:jc w:val="both"/>
      </w:pPr>
      <w:r w:rsidRPr="00B5646C">
        <w:t xml:space="preserve">No </w:t>
      </w:r>
      <w:r w:rsidR="002F6241" w:rsidRPr="00B5646C">
        <w:t>obstante,</w:t>
      </w:r>
      <w:r w:rsidRPr="00B5646C">
        <w:t xml:space="preserve"> lo anterior, en virtud del principio de celeridad, las entidades estatales deberán incentivar el uso de las tecnologías de la información y las comunicaciones para generar competitividad en la oferta de los bienes y servicios, y de esta forma garantizar la libre competencia. Por tanto, deben promover las tecnologías de la información y las comunicaciones para recibir las manifestaciones de interés en procesos de contratación realizados a través de la selección abreviada de menor</w:t>
      </w:r>
      <w:r w:rsidRPr="00B5646C">
        <w:rPr>
          <w:spacing w:val="-2"/>
        </w:rPr>
        <w:t xml:space="preserve"> </w:t>
      </w:r>
      <w:r w:rsidRPr="00B5646C">
        <w:t>cuantía.</w:t>
      </w:r>
    </w:p>
    <w:p w14:paraId="7584DC94" w14:textId="77777777" w:rsidR="00792F04" w:rsidRPr="00EF1841" w:rsidRDefault="00792F04" w:rsidP="006A735C">
      <w:pPr>
        <w:pStyle w:val="Textoindependiente"/>
        <w:ind w:left="100" w:right="106"/>
        <w:jc w:val="both"/>
        <w:rPr>
          <w:b/>
          <w:sz w:val="22"/>
          <w:szCs w:val="22"/>
        </w:rPr>
      </w:pPr>
    </w:p>
    <w:p w14:paraId="050F1208" w14:textId="69E603E6" w:rsidR="00792F04" w:rsidRPr="00EF1841" w:rsidRDefault="00480921" w:rsidP="006A735C">
      <w:pPr>
        <w:pStyle w:val="Textoindependiente"/>
        <w:ind w:left="100" w:right="106"/>
        <w:jc w:val="both"/>
        <w:rPr>
          <w:b/>
          <w:bCs/>
          <w:sz w:val="22"/>
          <w:szCs w:val="22"/>
        </w:rPr>
      </w:pPr>
      <w:r w:rsidRPr="00EF1841">
        <w:rPr>
          <w:b/>
          <w:bCs/>
          <w:sz w:val="22"/>
          <w:szCs w:val="22"/>
        </w:rPr>
        <w:t xml:space="preserve">SECOP </w:t>
      </w:r>
      <w:r w:rsidR="002F6241">
        <w:rPr>
          <w:b/>
          <w:bCs/>
          <w:sz w:val="22"/>
          <w:szCs w:val="22"/>
        </w:rPr>
        <w:t xml:space="preserve">II </w:t>
      </w:r>
      <w:r w:rsidR="002F6241" w:rsidRPr="00EF1841">
        <w:rPr>
          <w:b/>
          <w:bCs/>
          <w:sz w:val="22"/>
          <w:szCs w:val="22"/>
        </w:rPr>
        <w:t>–</w:t>
      </w:r>
      <w:r w:rsidR="002F6241">
        <w:rPr>
          <w:b/>
          <w:bCs/>
          <w:sz w:val="22"/>
          <w:szCs w:val="22"/>
        </w:rPr>
        <w:t xml:space="preserve"> Contratación </w:t>
      </w:r>
      <w:r w:rsidR="002F6241" w:rsidRPr="00EF1841">
        <w:rPr>
          <w:b/>
          <w:bCs/>
          <w:sz w:val="22"/>
          <w:szCs w:val="22"/>
        </w:rPr>
        <w:t>–</w:t>
      </w:r>
      <w:r w:rsidR="00792F04" w:rsidRPr="00EF1841">
        <w:rPr>
          <w:b/>
          <w:bCs/>
          <w:sz w:val="22"/>
          <w:szCs w:val="22"/>
        </w:rPr>
        <w:t xml:space="preserve"> </w:t>
      </w:r>
      <w:r w:rsidR="00D90E1B" w:rsidRPr="00EF1841">
        <w:rPr>
          <w:b/>
          <w:bCs/>
          <w:sz w:val="22"/>
          <w:szCs w:val="22"/>
        </w:rPr>
        <w:t>I</w:t>
      </w:r>
      <w:r w:rsidR="002F6241">
        <w:rPr>
          <w:b/>
          <w:bCs/>
          <w:sz w:val="22"/>
          <w:szCs w:val="22"/>
        </w:rPr>
        <w:t xml:space="preserve">nformación oficial </w:t>
      </w:r>
      <w:r w:rsidR="002F6241" w:rsidRPr="00EF1841">
        <w:rPr>
          <w:b/>
          <w:bCs/>
          <w:sz w:val="22"/>
          <w:szCs w:val="22"/>
        </w:rPr>
        <w:t>–</w:t>
      </w:r>
      <w:r w:rsidR="00792F04" w:rsidRPr="00EF1841">
        <w:rPr>
          <w:b/>
          <w:bCs/>
          <w:sz w:val="22"/>
          <w:szCs w:val="22"/>
        </w:rPr>
        <w:t xml:space="preserve"> </w:t>
      </w:r>
      <w:r w:rsidR="002F6241">
        <w:rPr>
          <w:b/>
          <w:bCs/>
          <w:sz w:val="22"/>
          <w:szCs w:val="22"/>
        </w:rPr>
        <w:t xml:space="preserve">Manifestación interés </w:t>
      </w:r>
      <w:r w:rsidR="002F6241" w:rsidRPr="00EF1841">
        <w:rPr>
          <w:b/>
          <w:bCs/>
          <w:sz w:val="22"/>
          <w:szCs w:val="22"/>
        </w:rPr>
        <w:t>–</w:t>
      </w:r>
      <w:r w:rsidR="003E298F" w:rsidRPr="00EF1841">
        <w:rPr>
          <w:b/>
          <w:bCs/>
          <w:sz w:val="22"/>
          <w:szCs w:val="22"/>
        </w:rPr>
        <w:t xml:space="preserve"> </w:t>
      </w:r>
      <w:r w:rsidR="006A735C" w:rsidRPr="00EF1841">
        <w:rPr>
          <w:b/>
          <w:bCs/>
          <w:sz w:val="22"/>
          <w:szCs w:val="22"/>
        </w:rPr>
        <w:t>Improcedencia</w:t>
      </w:r>
      <w:r w:rsidR="00D90E1B" w:rsidRPr="00EF1841">
        <w:rPr>
          <w:b/>
          <w:bCs/>
          <w:sz w:val="22"/>
          <w:szCs w:val="22"/>
        </w:rPr>
        <w:t xml:space="preserve"> manifestación interés</w:t>
      </w:r>
    </w:p>
    <w:p w14:paraId="2E335E8D" w14:textId="77777777" w:rsidR="00792F04" w:rsidRPr="00B5646C" w:rsidRDefault="00792F04" w:rsidP="006A735C">
      <w:pPr>
        <w:pStyle w:val="Textoindependiente"/>
        <w:ind w:left="100" w:right="106"/>
        <w:jc w:val="both"/>
      </w:pPr>
    </w:p>
    <w:p w14:paraId="03BF100F" w14:textId="77777777" w:rsidR="003E298F" w:rsidRPr="00B5646C" w:rsidRDefault="00177F50" w:rsidP="006A735C">
      <w:pPr>
        <w:pStyle w:val="Textoindependiente"/>
        <w:ind w:left="100" w:right="110"/>
        <w:jc w:val="both"/>
      </w:pPr>
      <w:r w:rsidRPr="00B5646C">
        <w:t>Sumado a lo anterior, debe tenerse en cuenta que la Ley 1150 de 2007 estableció que el Sistema Electrónico de Contratación Electrónico (SECOP) es el medio de información oficial de toda la contratación realizada con dineros públicos y el punto único de ingreso de información para las entidades que contratan con cargo a recursos públicos, los entes de control y la ciudadanía en general.</w:t>
      </w:r>
      <w:r w:rsidR="00792F04" w:rsidRPr="00B5646C">
        <w:t xml:space="preserve"> </w:t>
      </w:r>
      <w:r w:rsidRPr="00B5646C">
        <w:t>En este sentido, el SECOP II al ser un proceso transaccional, centraliza la información de los procesos de contratación, sus ofertas y los contratos en que resulta adjudicado, razón por la cual, la manifestación de interés que realizan los proponentes en los procesos de contratación de entidades estatales que hacen uso del SECOP II debe realizarse exclusivamente a través de la plataforma y, por tanto, las manifestaciones de interés físicas no son procedentes.</w:t>
      </w:r>
    </w:p>
    <w:p w14:paraId="53D7B1D7" w14:textId="77777777" w:rsidR="003E298F" w:rsidRPr="00B5646C" w:rsidRDefault="003E298F" w:rsidP="006A735C">
      <w:pPr>
        <w:pStyle w:val="Textoindependiente"/>
        <w:ind w:left="100" w:right="110"/>
        <w:jc w:val="both"/>
      </w:pPr>
    </w:p>
    <w:p w14:paraId="14CE6D42" w14:textId="77777777" w:rsidR="003E298F" w:rsidRPr="00B5646C" w:rsidRDefault="003E298F" w:rsidP="003E298F">
      <w:pPr>
        <w:pStyle w:val="Textoindependiente"/>
        <w:ind w:left="100" w:right="110"/>
        <w:jc w:val="both"/>
      </w:pPr>
    </w:p>
    <w:p w14:paraId="4E4242E2" w14:textId="77777777" w:rsidR="00180A4D" w:rsidRPr="00B5646C" w:rsidRDefault="00E520D2" w:rsidP="003E298F">
      <w:pPr>
        <w:pStyle w:val="Textoindependiente"/>
        <w:ind w:left="100" w:right="110"/>
        <w:jc w:val="both"/>
        <w:rPr>
          <w:b/>
        </w:rPr>
      </w:pPr>
      <w:r w:rsidRPr="00B5646C">
        <w:t xml:space="preserve">Bogotá D.C., </w:t>
      </w:r>
      <w:r w:rsidRPr="00B5646C">
        <w:rPr>
          <w:b/>
        </w:rPr>
        <w:t>26/08/2019 Hora 17:11:27s</w:t>
      </w:r>
    </w:p>
    <w:p w14:paraId="5F0CC3FF" w14:textId="77777777" w:rsidR="00180A4D" w:rsidRPr="00B5646C" w:rsidRDefault="00E520D2" w:rsidP="00A45997">
      <w:pPr>
        <w:pStyle w:val="Ttulo1"/>
        <w:ind w:left="5951"/>
        <w:jc w:val="both"/>
      </w:pPr>
      <w:r w:rsidRPr="00B5646C">
        <w:t>N° Radicado: 2201913000006232</w:t>
      </w:r>
    </w:p>
    <w:p w14:paraId="07C7FD0F" w14:textId="77777777" w:rsidR="00180A4D" w:rsidRPr="00B5646C" w:rsidRDefault="00180A4D" w:rsidP="00A45997">
      <w:pPr>
        <w:pStyle w:val="Textoindependiente"/>
        <w:spacing w:before="1"/>
        <w:jc w:val="both"/>
        <w:rPr>
          <w:b/>
          <w:sz w:val="12"/>
        </w:rPr>
      </w:pPr>
    </w:p>
    <w:p w14:paraId="1E43DFC0" w14:textId="77777777" w:rsidR="00180A4D" w:rsidRPr="00B5646C" w:rsidRDefault="00E520D2" w:rsidP="00A45997">
      <w:pPr>
        <w:pStyle w:val="Textoindependiente"/>
        <w:spacing w:before="93" w:line="229" w:lineRule="exact"/>
        <w:ind w:left="100"/>
        <w:jc w:val="both"/>
      </w:pPr>
      <w:r w:rsidRPr="00B5646C">
        <w:t>Señor</w:t>
      </w:r>
    </w:p>
    <w:p w14:paraId="2CEB7E2D" w14:textId="77777777" w:rsidR="00180A4D" w:rsidRPr="00B5646C" w:rsidRDefault="00E520D2" w:rsidP="00A45997">
      <w:pPr>
        <w:pStyle w:val="Ttulo1"/>
        <w:spacing w:line="229" w:lineRule="exact"/>
        <w:jc w:val="both"/>
      </w:pPr>
      <w:r w:rsidRPr="00B5646C">
        <w:t>Camilo Andrés Silva</w:t>
      </w:r>
    </w:p>
    <w:p w14:paraId="61544B61" w14:textId="77777777" w:rsidR="00180A4D" w:rsidRPr="00B5646C" w:rsidRDefault="00E520D2" w:rsidP="00A45997">
      <w:pPr>
        <w:pStyle w:val="Textoindependiente"/>
        <w:spacing w:before="3"/>
        <w:ind w:left="100"/>
        <w:jc w:val="both"/>
      </w:pPr>
      <w:r w:rsidRPr="00B5646C">
        <w:t>Ciudad</w:t>
      </w:r>
    </w:p>
    <w:p w14:paraId="79DCA991" w14:textId="77777777" w:rsidR="00180A4D" w:rsidRPr="00B5646C" w:rsidRDefault="00180A4D" w:rsidP="00A45997">
      <w:pPr>
        <w:pStyle w:val="Textoindependiente"/>
        <w:jc w:val="both"/>
        <w:rPr>
          <w:sz w:val="22"/>
        </w:rPr>
      </w:pPr>
    </w:p>
    <w:p w14:paraId="21621E02" w14:textId="77777777" w:rsidR="00180A4D" w:rsidRPr="00B5646C" w:rsidRDefault="00180A4D" w:rsidP="00A45997">
      <w:pPr>
        <w:pStyle w:val="Textoindependiente"/>
        <w:spacing w:before="9"/>
        <w:jc w:val="both"/>
        <w:rPr>
          <w:sz w:val="17"/>
        </w:rPr>
      </w:pPr>
    </w:p>
    <w:p w14:paraId="4C25EFCB" w14:textId="77777777" w:rsidR="00180A4D" w:rsidRPr="00B5646C" w:rsidRDefault="00E520D2" w:rsidP="00A45997">
      <w:pPr>
        <w:tabs>
          <w:tab w:val="left" w:pos="2933"/>
        </w:tabs>
        <w:ind w:left="100"/>
        <w:jc w:val="both"/>
        <w:rPr>
          <w:sz w:val="20"/>
        </w:rPr>
      </w:pPr>
      <w:r w:rsidRPr="00B5646C">
        <w:rPr>
          <w:b/>
          <w:sz w:val="20"/>
        </w:rPr>
        <w:t>Radicación:</w:t>
      </w:r>
      <w:r w:rsidRPr="00B5646C">
        <w:rPr>
          <w:b/>
          <w:sz w:val="20"/>
        </w:rPr>
        <w:tab/>
      </w:r>
      <w:r w:rsidRPr="00B5646C">
        <w:rPr>
          <w:sz w:val="20"/>
        </w:rPr>
        <w:t>Respuesta a consulta</w:t>
      </w:r>
      <w:r w:rsidRPr="00B5646C">
        <w:rPr>
          <w:spacing w:val="-2"/>
          <w:sz w:val="20"/>
        </w:rPr>
        <w:t xml:space="preserve"> </w:t>
      </w:r>
      <w:r w:rsidRPr="00B5646C">
        <w:rPr>
          <w:sz w:val="20"/>
        </w:rPr>
        <w:t>#4201912000005048</w:t>
      </w:r>
    </w:p>
    <w:p w14:paraId="666D1A02" w14:textId="77777777" w:rsidR="00180A4D" w:rsidRPr="00B5646C" w:rsidRDefault="00E520D2" w:rsidP="00A45997">
      <w:pPr>
        <w:pStyle w:val="Textoindependiente"/>
        <w:tabs>
          <w:tab w:val="left" w:pos="2933"/>
        </w:tabs>
        <w:ind w:left="100"/>
        <w:jc w:val="both"/>
      </w:pPr>
      <w:r w:rsidRPr="00B5646C">
        <w:rPr>
          <w:b/>
        </w:rPr>
        <w:t>Temas:</w:t>
      </w:r>
      <w:r w:rsidRPr="00B5646C">
        <w:rPr>
          <w:b/>
        </w:rPr>
        <w:tab/>
      </w:r>
      <w:r w:rsidRPr="00B5646C">
        <w:t>Documentos tipo, selección abreviada</w:t>
      </w:r>
    </w:p>
    <w:p w14:paraId="028BA1B6" w14:textId="77777777" w:rsidR="00180A4D" w:rsidRPr="00B5646C" w:rsidRDefault="00E520D2" w:rsidP="00A45997">
      <w:pPr>
        <w:tabs>
          <w:tab w:val="left" w:pos="2933"/>
        </w:tabs>
        <w:ind w:left="100"/>
        <w:jc w:val="both"/>
        <w:rPr>
          <w:sz w:val="20"/>
        </w:rPr>
      </w:pPr>
      <w:r w:rsidRPr="00B5646C">
        <w:rPr>
          <w:b/>
          <w:sz w:val="20"/>
        </w:rPr>
        <w:t>Tipo de</w:t>
      </w:r>
      <w:r w:rsidRPr="00B5646C">
        <w:rPr>
          <w:b/>
          <w:spacing w:val="-5"/>
          <w:sz w:val="20"/>
        </w:rPr>
        <w:t xml:space="preserve"> </w:t>
      </w:r>
      <w:r w:rsidRPr="00B5646C">
        <w:rPr>
          <w:b/>
          <w:sz w:val="20"/>
        </w:rPr>
        <w:t>asunto</w:t>
      </w:r>
      <w:r w:rsidRPr="00B5646C">
        <w:rPr>
          <w:b/>
          <w:spacing w:val="-1"/>
          <w:sz w:val="20"/>
        </w:rPr>
        <w:t xml:space="preserve"> </w:t>
      </w:r>
      <w:r w:rsidRPr="00B5646C">
        <w:rPr>
          <w:b/>
          <w:sz w:val="20"/>
        </w:rPr>
        <w:t>consultado:</w:t>
      </w:r>
      <w:r w:rsidRPr="00B5646C">
        <w:rPr>
          <w:b/>
          <w:sz w:val="20"/>
        </w:rPr>
        <w:tab/>
      </w:r>
      <w:r w:rsidRPr="00B5646C">
        <w:rPr>
          <w:sz w:val="20"/>
        </w:rPr>
        <w:t>Aplicación de los pliegos tipo para licitación de obra pública</w:t>
      </w:r>
      <w:r w:rsidRPr="00B5646C">
        <w:rPr>
          <w:spacing w:val="21"/>
          <w:sz w:val="20"/>
        </w:rPr>
        <w:t xml:space="preserve"> </w:t>
      </w:r>
      <w:r w:rsidRPr="00B5646C">
        <w:rPr>
          <w:sz w:val="20"/>
        </w:rPr>
        <w:t>de</w:t>
      </w:r>
    </w:p>
    <w:p w14:paraId="41C77492" w14:textId="77777777" w:rsidR="00180A4D" w:rsidRPr="00B5646C" w:rsidRDefault="00E520D2" w:rsidP="00A45997">
      <w:pPr>
        <w:pStyle w:val="Textoindependiente"/>
        <w:spacing w:before="3"/>
        <w:ind w:left="2933" w:right="90"/>
        <w:jc w:val="both"/>
      </w:pPr>
      <w:r w:rsidRPr="00B5646C">
        <w:t>infraestructura de transporte a un Proceso de Contratación a través de la modalidad de selección abreviada</w:t>
      </w:r>
    </w:p>
    <w:p w14:paraId="1BCFDA63" w14:textId="77777777" w:rsidR="00180A4D" w:rsidRPr="00B5646C" w:rsidRDefault="00180A4D" w:rsidP="00A45997">
      <w:pPr>
        <w:pStyle w:val="Textoindependiente"/>
        <w:jc w:val="both"/>
      </w:pPr>
    </w:p>
    <w:p w14:paraId="0FF9CE2D" w14:textId="77777777" w:rsidR="00180A4D" w:rsidRPr="00B5646C" w:rsidRDefault="00E520D2" w:rsidP="00A45997">
      <w:pPr>
        <w:pStyle w:val="Textoindependiente"/>
        <w:ind w:left="100"/>
        <w:jc w:val="both"/>
      </w:pPr>
      <w:r w:rsidRPr="00B5646C">
        <w:t>Estimado señor Silva,</w:t>
      </w:r>
    </w:p>
    <w:p w14:paraId="7D674F63" w14:textId="77777777" w:rsidR="00180A4D" w:rsidRPr="00B5646C" w:rsidRDefault="00180A4D" w:rsidP="00A45997">
      <w:pPr>
        <w:pStyle w:val="Textoindependiente"/>
        <w:jc w:val="both"/>
      </w:pPr>
    </w:p>
    <w:p w14:paraId="7F5D8E42" w14:textId="77777777" w:rsidR="00180A4D" w:rsidRPr="00B5646C" w:rsidRDefault="00E520D2" w:rsidP="00A45997">
      <w:pPr>
        <w:pStyle w:val="Textoindependiente"/>
        <w:ind w:left="100" w:right="108"/>
        <w:jc w:val="both"/>
      </w:pPr>
      <w:r w:rsidRPr="00B5646C">
        <w:t>La Agencia Nacional de Contratación Pública - Colombia Compra Eficiente responde su consulta del 28 de julio de 2019, en ejercicio de la competencia otorgada por el numeral 5 del artículo 3 y numeral 8 del artículo 11 del Decreto 4170 de</w:t>
      </w:r>
      <w:r w:rsidRPr="00B5646C">
        <w:rPr>
          <w:spacing w:val="-8"/>
        </w:rPr>
        <w:t xml:space="preserve"> </w:t>
      </w:r>
      <w:r w:rsidRPr="00B5646C">
        <w:t>2011.</w:t>
      </w:r>
    </w:p>
    <w:p w14:paraId="43277F93" w14:textId="77777777" w:rsidR="00180A4D" w:rsidRPr="00B5646C" w:rsidRDefault="00180A4D" w:rsidP="00A45997">
      <w:pPr>
        <w:pStyle w:val="Textoindependiente"/>
        <w:spacing w:before="1"/>
        <w:jc w:val="both"/>
      </w:pPr>
    </w:p>
    <w:p w14:paraId="5D55FF25" w14:textId="77777777" w:rsidR="00180A4D" w:rsidRPr="00480921" w:rsidRDefault="00E520D2" w:rsidP="00A45997">
      <w:pPr>
        <w:pStyle w:val="Prrafodelista"/>
        <w:numPr>
          <w:ilvl w:val="0"/>
          <w:numId w:val="3"/>
        </w:numPr>
        <w:tabs>
          <w:tab w:val="left" w:pos="386"/>
        </w:tabs>
        <w:ind w:hanging="286"/>
        <w:rPr>
          <w:b/>
          <w:sz w:val="20"/>
        </w:rPr>
      </w:pPr>
      <w:r w:rsidRPr="00480921">
        <w:rPr>
          <w:b/>
          <w:sz w:val="20"/>
        </w:rPr>
        <w:t>PRIMER PROBLEMA</w:t>
      </w:r>
      <w:r w:rsidRPr="00480921">
        <w:rPr>
          <w:b/>
          <w:spacing w:val="-1"/>
          <w:sz w:val="20"/>
        </w:rPr>
        <w:t xml:space="preserve"> </w:t>
      </w:r>
      <w:r w:rsidRPr="00480921">
        <w:rPr>
          <w:b/>
          <w:sz w:val="20"/>
        </w:rPr>
        <w:t>PLANTEADO</w:t>
      </w:r>
    </w:p>
    <w:p w14:paraId="472A18FD" w14:textId="77777777" w:rsidR="00180A4D" w:rsidRPr="00B5646C" w:rsidRDefault="00E520D2" w:rsidP="00A45997">
      <w:pPr>
        <w:pStyle w:val="Textoindependiente"/>
        <w:spacing w:before="214"/>
        <w:ind w:left="100" w:right="113"/>
        <w:jc w:val="both"/>
      </w:pPr>
      <w:r w:rsidRPr="00B5646C">
        <w:lastRenderedPageBreak/>
        <w:t>“1: Con la implementación de los pliegos tipo para proceso de vías y transporte; ¿la implementación de los pliegos tipo son de carácter vinculante y obligatorio para las entidades municipales para el desarrollo de procesos contractuales bajo la modalidad de selección abreviada de menor cuantía?”.</w:t>
      </w:r>
    </w:p>
    <w:p w14:paraId="350D86FD" w14:textId="77777777" w:rsidR="00180A4D" w:rsidRPr="00B5646C" w:rsidRDefault="00180A4D" w:rsidP="00A45997">
      <w:pPr>
        <w:pStyle w:val="Textoindependiente"/>
        <w:spacing w:before="9"/>
        <w:jc w:val="both"/>
        <w:rPr>
          <w:sz w:val="21"/>
        </w:rPr>
      </w:pPr>
    </w:p>
    <w:p w14:paraId="63007305" w14:textId="77777777" w:rsidR="00180A4D" w:rsidRPr="00480921" w:rsidRDefault="00E520D2" w:rsidP="00A45997">
      <w:pPr>
        <w:pStyle w:val="Prrafodelista"/>
        <w:numPr>
          <w:ilvl w:val="0"/>
          <w:numId w:val="3"/>
        </w:numPr>
        <w:tabs>
          <w:tab w:val="left" w:pos="386"/>
        </w:tabs>
        <w:spacing w:before="1" w:line="220" w:lineRule="auto"/>
        <w:ind w:right="105"/>
        <w:rPr>
          <w:b/>
          <w:sz w:val="20"/>
        </w:rPr>
      </w:pPr>
      <w:r w:rsidRPr="00480921">
        <w:rPr>
          <w:b/>
          <w:sz w:val="20"/>
        </w:rPr>
        <w:t>LA AGENCIA NACIONAL DE CONTRATACIÓN PÚBLICA - COLOMBIA COMPRA EFICIENTE RESPONDE:</w:t>
      </w:r>
    </w:p>
    <w:p w14:paraId="2349823A" w14:textId="77777777" w:rsidR="00180A4D" w:rsidRPr="00B5646C" w:rsidRDefault="00180A4D" w:rsidP="00A45997">
      <w:pPr>
        <w:pStyle w:val="Textoindependiente"/>
        <w:spacing w:before="3"/>
        <w:jc w:val="both"/>
      </w:pPr>
    </w:p>
    <w:p w14:paraId="5615A4C4" w14:textId="77777777" w:rsidR="00180A4D" w:rsidRPr="00B5646C" w:rsidRDefault="00E520D2" w:rsidP="00A45997">
      <w:pPr>
        <w:pStyle w:val="Textoindependiente"/>
        <w:spacing w:before="1"/>
        <w:ind w:left="100" w:right="112"/>
        <w:jc w:val="both"/>
      </w:pPr>
      <w:r w:rsidRPr="00B5646C">
        <w:t>El parágrafo 7 del artículo 2 de la Ley 1150 de 2007 adicionado por el artículo 4 de la Ley 1882 de 2018 establece la obligatoriedad de la adopción de documentos tipo para diferentes procesos de selección de la siguiente forma:</w:t>
      </w:r>
    </w:p>
    <w:p w14:paraId="175EC7CD" w14:textId="77777777" w:rsidR="00180A4D" w:rsidRPr="00B5646C" w:rsidRDefault="00180A4D" w:rsidP="00A45997">
      <w:pPr>
        <w:pStyle w:val="Textoindependiente"/>
        <w:spacing w:before="11"/>
        <w:jc w:val="both"/>
        <w:rPr>
          <w:sz w:val="19"/>
        </w:rPr>
      </w:pPr>
    </w:p>
    <w:p w14:paraId="2A23B9B9" w14:textId="77777777" w:rsidR="00180A4D" w:rsidRPr="00B5646C" w:rsidRDefault="00E520D2" w:rsidP="009B7975">
      <w:pPr>
        <w:pStyle w:val="Textoindependiente"/>
        <w:ind w:left="808" w:right="529"/>
        <w:jc w:val="both"/>
      </w:pPr>
      <w:r w:rsidRPr="00B5646C">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cada modalidad de selección y la ponderación precisa y detallada de los mismos, que deberán incluirse en los pliegos </w:t>
      </w:r>
      <w:r w:rsidRPr="00B5646C">
        <w:rPr>
          <w:spacing w:val="2"/>
        </w:rPr>
        <w:t xml:space="preserve">de </w:t>
      </w:r>
      <w:r w:rsidRPr="00B5646C">
        <w:t>condiciones, teniendo en cuenta la naturaleza y cuantía de los contratos. Para</w:t>
      </w:r>
      <w:r w:rsidRPr="00B5646C">
        <w:rPr>
          <w:spacing w:val="-5"/>
        </w:rPr>
        <w:t xml:space="preserve"> </w:t>
      </w:r>
      <w:r w:rsidRPr="00B5646C">
        <w:t>la</w:t>
      </w:r>
      <w:r w:rsidR="009B7975" w:rsidRPr="00B5646C">
        <w:t xml:space="preserve"> a</w:t>
      </w:r>
      <w:r w:rsidRPr="00B5646C">
        <w:t>dopción de esta reglamentación el Gobierno tendrá en cuenta las características propias de las regiones con el ánimo de promover el empleo local.</w:t>
      </w:r>
    </w:p>
    <w:p w14:paraId="3798B52A" w14:textId="77777777" w:rsidR="00180A4D" w:rsidRPr="00B5646C" w:rsidRDefault="00180A4D" w:rsidP="00A45997">
      <w:pPr>
        <w:pStyle w:val="Textoindependiente"/>
        <w:spacing w:before="7"/>
        <w:jc w:val="both"/>
        <w:rPr>
          <w:sz w:val="19"/>
        </w:rPr>
      </w:pPr>
    </w:p>
    <w:p w14:paraId="786AE69E" w14:textId="77777777" w:rsidR="00180A4D" w:rsidRPr="00B5646C" w:rsidRDefault="00E520D2" w:rsidP="00A45997">
      <w:pPr>
        <w:pStyle w:val="Textoindependiente"/>
        <w:ind w:left="100" w:right="106"/>
        <w:jc w:val="both"/>
      </w:pPr>
      <w:r w:rsidRPr="00B5646C">
        <w:t>El artículo 2.2.1.2.6.1.1.</w:t>
      </w:r>
      <w:r w:rsidR="009B7975" w:rsidRPr="00B5646C">
        <w:rPr>
          <w:rStyle w:val="Refdenotaalpie"/>
        </w:rPr>
        <w:footnoteReference w:id="1"/>
      </w:r>
      <w:r w:rsidRPr="00B5646C">
        <w:rPr>
          <w:position w:val="7"/>
          <w:sz w:val="13"/>
        </w:rPr>
        <w:t xml:space="preserve"> </w:t>
      </w:r>
      <w:r w:rsidRPr="00B5646C">
        <w:t>y 2.2.1.2.6.1.2.</w:t>
      </w:r>
      <w:r w:rsidR="00AB3A25" w:rsidRPr="00B5646C">
        <w:rPr>
          <w:rStyle w:val="Refdenotaalpie"/>
        </w:rPr>
        <w:footnoteReference w:id="2"/>
      </w:r>
      <w:r w:rsidRPr="00B5646C">
        <w:rPr>
          <w:position w:val="7"/>
          <w:sz w:val="13"/>
        </w:rPr>
        <w:t xml:space="preserve"> </w:t>
      </w:r>
      <w:r w:rsidRPr="00B5646C">
        <w:t>del Decreto 1082 de 2015, adicionado por el artículo 1 del Decreto 342 de 2019, adopta los Documentos Tipo para los pliegos de condiciones de los procesos de selección de licitación de obra pública de infraestructura de transporte, los cuales contienen parámetros obligatorios para las Entidades Estatales sometidas al Estatuto General de Contratación Pública que adelanten este tipo de procesos.</w:t>
      </w:r>
    </w:p>
    <w:p w14:paraId="367A8595" w14:textId="77777777" w:rsidR="00180A4D" w:rsidRPr="00B5646C" w:rsidRDefault="00180A4D" w:rsidP="00A45997">
      <w:pPr>
        <w:pStyle w:val="Textoindependiente"/>
        <w:spacing w:before="7"/>
        <w:jc w:val="both"/>
        <w:rPr>
          <w:sz w:val="19"/>
        </w:rPr>
      </w:pPr>
    </w:p>
    <w:p w14:paraId="15637AB3" w14:textId="77777777" w:rsidR="00180A4D" w:rsidRPr="00B5646C" w:rsidRDefault="00E520D2" w:rsidP="00A45997">
      <w:pPr>
        <w:pStyle w:val="Textoindependiente"/>
        <w:ind w:left="100" w:right="107"/>
        <w:jc w:val="both"/>
      </w:pPr>
      <w:r w:rsidRPr="00B5646C">
        <w:t>Por otra parte, el artículo 2.2.1.2.6.1.6 del Decreto 342 de 2019</w:t>
      </w:r>
      <w:r w:rsidR="00AB3A25" w:rsidRPr="00B5646C">
        <w:rPr>
          <w:rStyle w:val="Refdenotaalpie"/>
        </w:rPr>
        <w:footnoteReference w:id="3"/>
      </w:r>
      <w:r w:rsidRPr="00B5646C">
        <w:rPr>
          <w:position w:val="7"/>
          <w:sz w:val="13"/>
        </w:rPr>
        <w:t xml:space="preserve"> </w:t>
      </w:r>
      <w:r w:rsidRPr="00B5646C">
        <w:t>establece que en los casos de declaratoria de desierta de un Proceso de Contratación amparado por los Documentos Tipo, la Entidad Estatal que adelante el procedimiento de selección abreviada de menor cuantía deberá mantener las condiciones y requisitos de los Documentos Tipo.</w:t>
      </w:r>
    </w:p>
    <w:p w14:paraId="1B0AC1D4" w14:textId="77777777" w:rsidR="00180A4D" w:rsidRPr="00B5646C" w:rsidRDefault="00180A4D" w:rsidP="00A45997">
      <w:pPr>
        <w:pStyle w:val="Textoindependiente"/>
        <w:spacing w:before="1"/>
        <w:jc w:val="both"/>
      </w:pPr>
    </w:p>
    <w:p w14:paraId="06BA9AE4" w14:textId="77777777" w:rsidR="00180A4D" w:rsidRPr="00B5646C" w:rsidRDefault="00E520D2" w:rsidP="00A45997">
      <w:pPr>
        <w:pStyle w:val="Textoindependiente"/>
        <w:ind w:left="100" w:right="111"/>
        <w:jc w:val="both"/>
      </w:pPr>
      <w:r w:rsidRPr="00B5646C">
        <w:t xml:space="preserve">En los demás casos que se acuda al procedimiento de selección abreviada de menor cuantía para Procesos de Contratación cuyo objeto sea una obra de infraestructura de transporte no se deben emplear los documentos tipo implementados y desarrollados a través de la Resolución No 1798 del </w:t>
      </w:r>
      <w:r w:rsidRPr="00B5646C">
        <w:lastRenderedPageBreak/>
        <w:t>1 de abril de</w:t>
      </w:r>
      <w:r w:rsidRPr="00B5646C">
        <w:rPr>
          <w:spacing w:val="-3"/>
        </w:rPr>
        <w:t xml:space="preserve"> </w:t>
      </w:r>
      <w:r w:rsidRPr="00B5646C">
        <w:t>2019.</w:t>
      </w:r>
    </w:p>
    <w:p w14:paraId="3FD4CB22" w14:textId="77777777" w:rsidR="00180A4D" w:rsidRPr="00B5646C" w:rsidRDefault="00180A4D" w:rsidP="00A45997">
      <w:pPr>
        <w:pStyle w:val="Textoindependiente"/>
        <w:jc w:val="both"/>
      </w:pPr>
    </w:p>
    <w:p w14:paraId="6181BAEE" w14:textId="77777777" w:rsidR="00180A4D" w:rsidRPr="00B5646C" w:rsidRDefault="00E520D2" w:rsidP="00A45997">
      <w:pPr>
        <w:pStyle w:val="Textoindependiente"/>
        <w:ind w:left="100" w:right="108"/>
        <w:jc w:val="both"/>
      </w:pPr>
      <w:r w:rsidRPr="00B5646C">
        <w:t>En este sentido, los Documentos Tipo para licitación de obra pública de infraestructura de transporte son obligatorios y deben ser aplicados por las Entidades Estatales sometidas al Estatuto General de la Contratación Pública cuando adelanten procesos de selección de “licitación” de obra pública de infraestructura de transporte, y en los casos de declaratoria de desierta de un Proceso de Contratación amparado por los Documentos Tipo. En los demás casos las Entidades Estatales no deben utilizarlos para adelantar sus Procesos de Contratación.</w:t>
      </w:r>
    </w:p>
    <w:p w14:paraId="48ED25A9" w14:textId="77777777" w:rsidR="00180A4D" w:rsidRPr="00B5646C" w:rsidRDefault="00180A4D" w:rsidP="00A45997">
      <w:pPr>
        <w:pStyle w:val="Textoindependiente"/>
        <w:jc w:val="both"/>
      </w:pPr>
    </w:p>
    <w:p w14:paraId="4CCA9F22" w14:textId="77777777" w:rsidR="00180A4D" w:rsidRPr="00B5646C" w:rsidRDefault="00E520D2" w:rsidP="00A45997">
      <w:pPr>
        <w:pStyle w:val="Textoindependiente"/>
        <w:spacing w:before="1"/>
        <w:ind w:left="100" w:right="105"/>
        <w:jc w:val="both"/>
      </w:pPr>
      <w:r w:rsidRPr="00B5646C">
        <w:t>Finalmente, le informamos, que la Agencia Nacional de Contratación Pública - Colombia Compra Eficiente tiene dentro de sus planes de trabajo la estructuración de los documentos tipo para la modalidad de selección abreviada de obra pública de infraestructura de transporte; los Documentos Tipo para la modalidad de mínima cuantía de obra pública de infraestructura de transporte y los Documentos Tipo para la interventoría de obra pública de infraestructura de transporte. Posteriormente se priorizarán y estructurarán los demás sectores de obra pública, de acuerdo con los criterios ya señalados.</w:t>
      </w:r>
    </w:p>
    <w:p w14:paraId="1447B3EB" w14:textId="77777777" w:rsidR="00180A4D" w:rsidRPr="00B5646C" w:rsidRDefault="00180A4D" w:rsidP="00A45997">
      <w:pPr>
        <w:pStyle w:val="Textoindependiente"/>
        <w:jc w:val="both"/>
      </w:pPr>
    </w:p>
    <w:p w14:paraId="1DCE0CAC" w14:textId="77777777" w:rsidR="00180A4D" w:rsidRPr="00480921" w:rsidRDefault="00E520D2" w:rsidP="00A45997">
      <w:pPr>
        <w:pStyle w:val="Prrafodelista"/>
        <w:numPr>
          <w:ilvl w:val="0"/>
          <w:numId w:val="3"/>
        </w:numPr>
        <w:tabs>
          <w:tab w:val="left" w:pos="386"/>
        </w:tabs>
        <w:spacing w:before="1"/>
        <w:ind w:hanging="286"/>
        <w:rPr>
          <w:b/>
          <w:sz w:val="20"/>
        </w:rPr>
      </w:pPr>
      <w:r w:rsidRPr="00480921">
        <w:rPr>
          <w:b/>
          <w:sz w:val="20"/>
        </w:rPr>
        <w:t>SEGUNDO PROBLEMA</w:t>
      </w:r>
      <w:r w:rsidRPr="00480921">
        <w:rPr>
          <w:b/>
          <w:spacing w:val="-1"/>
          <w:sz w:val="20"/>
        </w:rPr>
        <w:t xml:space="preserve"> </w:t>
      </w:r>
      <w:r w:rsidRPr="00480921">
        <w:rPr>
          <w:b/>
          <w:sz w:val="20"/>
        </w:rPr>
        <w:t>PLANTEADO</w:t>
      </w:r>
    </w:p>
    <w:p w14:paraId="04C8F536" w14:textId="77777777" w:rsidR="00180A4D" w:rsidRPr="00B5646C" w:rsidRDefault="00E520D2" w:rsidP="00AB3A25">
      <w:pPr>
        <w:pStyle w:val="Textoindependiente"/>
        <w:spacing w:before="213"/>
        <w:ind w:left="100" w:right="114"/>
        <w:jc w:val="both"/>
      </w:pPr>
      <w:r w:rsidRPr="00B5646C">
        <w:t>“2). En el desarrollo de procesos contractuales cuyo objeto se enmarca en los pliegos tipo; ¿la entidad puede incluir en los factores preponderantes el factor de mano de obra local?</w:t>
      </w:r>
      <w:r w:rsidR="00AB3A25" w:rsidRPr="00B5646C">
        <w:t xml:space="preserve"> </w:t>
      </w:r>
    </w:p>
    <w:p w14:paraId="2C73BA1D" w14:textId="77777777" w:rsidR="00180A4D" w:rsidRPr="00B5646C" w:rsidRDefault="00180A4D" w:rsidP="00A45997">
      <w:pPr>
        <w:pStyle w:val="Textoindependiente"/>
        <w:spacing w:before="6"/>
        <w:jc w:val="both"/>
        <w:rPr>
          <w:sz w:val="16"/>
        </w:rPr>
      </w:pPr>
    </w:p>
    <w:p w14:paraId="6EB7A56D" w14:textId="77777777" w:rsidR="00180A4D" w:rsidRPr="00B5646C" w:rsidRDefault="00E520D2" w:rsidP="00A45997">
      <w:pPr>
        <w:pStyle w:val="Prrafodelista"/>
        <w:numPr>
          <w:ilvl w:val="0"/>
          <w:numId w:val="2"/>
        </w:numPr>
        <w:tabs>
          <w:tab w:val="left" w:pos="346"/>
        </w:tabs>
        <w:spacing w:before="94"/>
        <w:ind w:right="111" w:firstLine="0"/>
        <w:jc w:val="both"/>
        <w:rPr>
          <w:sz w:val="20"/>
        </w:rPr>
      </w:pPr>
      <w:r w:rsidRPr="00B5646C">
        <w:rPr>
          <w:sz w:val="20"/>
        </w:rPr>
        <w:t>En este contexto; ¿la entidad puede exigir, para asignar puntaje por apoyo a la mano de obra local certificados del SISBEN, certificados de residencia, cedulas de ciudadano, certificados de compromiso, y/o hojas de vida de maestros del</w:t>
      </w:r>
      <w:r w:rsidRPr="00B5646C">
        <w:rPr>
          <w:spacing w:val="-3"/>
          <w:sz w:val="20"/>
        </w:rPr>
        <w:t xml:space="preserve"> </w:t>
      </w:r>
      <w:r w:rsidRPr="00B5646C">
        <w:rPr>
          <w:sz w:val="20"/>
        </w:rPr>
        <w:t>Municipio?</w:t>
      </w:r>
    </w:p>
    <w:p w14:paraId="16523DF6" w14:textId="77777777" w:rsidR="00180A4D" w:rsidRPr="00B5646C" w:rsidRDefault="00180A4D" w:rsidP="00A45997">
      <w:pPr>
        <w:pStyle w:val="Textoindependiente"/>
        <w:jc w:val="both"/>
      </w:pPr>
    </w:p>
    <w:p w14:paraId="6C1FC77A" w14:textId="77777777" w:rsidR="00180A4D" w:rsidRPr="00B5646C" w:rsidRDefault="00E520D2" w:rsidP="00A45997">
      <w:pPr>
        <w:pStyle w:val="Prrafodelista"/>
        <w:numPr>
          <w:ilvl w:val="0"/>
          <w:numId w:val="2"/>
        </w:numPr>
        <w:tabs>
          <w:tab w:val="left" w:pos="336"/>
        </w:tabs>
        <w:ind w:right="116" w:firstLine="0"/>
        <w:jc w:val="both"/>
        <w:rPr>
          <w:sz w:val="20"/>
        </w:rPr>
      </w:pPr>
      <w:r w:rsidRPr="00B5646C">
        <w:rPr>
          <w:sz w:val="20"/>
        </w:rPr>
        <w:t xml:space="preserve">¿Existe algún aspecto en </w:t>
      </w:r>
      <w:proofErr w:type="gramStart"/>
      <w:r w:rsidRPr="00B5646C">
        <w:rPr>
          <w:sz w:val="20"/>
        </w:rPr>
        <w:t>los pliego</w:t>
      </w:r>
      <w:proofErr w:type="gramEnd"/>
      <w:r w:rsidRPr="00B5646C">
        <w:rPr>
          <w:sz w:val="20"/>
        </w:rPr>
        <w:t xml:space="preserve"> tipo que pueda ser ajustado, modificado y/o, adicionado por parte de las entidades</w:t>
      </w:r>
      <w:r w:rsidRPr="00B5646C">
        <w:rPr>
          <w:spacing w:val="-1"/>
          <w:sz w:val="20"/>
        </w:rPr>
        <w:t xml:space="preserve"> </w:t>
      </w:r>
      <w:r w:rsidRPr="00B5646C">
        <w:rPr>
          <w:sz w:val="20"/>
        </w:rPr>
        <w:t>territoriales?”</w:t>
      </w:r>
    </w:p>
    <w:p w14:paraId="1A348D9B" w14:textId="77777777" w:rsidR="00180A4D" w:rsidRPr="00B5646C" w:rsidRDefault="00180A4D" w:rsidP="00A45997">
      <w:pPr>
        <w:pStyle w:val="Textoindependiente"/>
        <w:spacing w:before="7"/>
        <w:jc w:val="both"/>
        <w:rPr>
          <w:sz w:val="21"/>
        </w:rPr>
      </w:pPr>
    </w:p>
    <w:p w14:paraId="6D293791" w14:textId="77777777" w:rsidR="00180A4D" w:rsidRPr="00EF1841" w:rsidRDefault="00E520D2" w:rsidP="00A45997">
      <w:pPr>
        <w:pStyle w:val="Prrafodelista"/>
        <w:numPr>
          <w:ilvl w:val="0"/>
          <w:numId w:val="3"/>
        </w:numPr>
        <w:tabs>
          <w:tab w:val="left" w:pos="386"/>
        </w:tabs>
        <w:spacing w:line="223" w:lineRule="auto"/>
        <w:ind w:right="105"/>
        <w:rPr>
          <w:b/>
          <w:sz w:val="20"/>
        </w:rPr>
      </w:pPr>
      <w:r w:rsidRPr="00EF1841">
        <w:rPr>
          <w:b/>
          <w:sz w:val="20"/>
        </w:rPr>
        <w:t>LA AGENCIA NACIONAL DE CONTRATACIÓN PÚBLICA - COLOMBIA COMPRA EFICIENTE RESPONDE:</w:t>
      </w:r>
    </w:p>
    <w:p w14:paraId="6145A1B8" w14:textId="77777777" w:rsidR="00180A4D" w:rsidRPr="00B5646C" w:rsidRDefault="00180A4D" w:rsidP="00A45997">
      <w:pPr>
        <w:pStyle w:val="Textoindependiente"/>
        <w:spacing w:before="5"/>
        <w:jc w:val="both"/>
      </w:pPr>
    </w:p>
    <w:p w14:paraId="475A0D59" w14:textId="77777777" w:rsidR="00180A4D" w:rsidRPr="00B5646C" w:rsidRDefault="00E520D2" w:rsidP="00A45997">
      <w:pPr>
        <w:pStyle w:val="Textoindependiente"/>
        <w:spacing w:line="237" w:lineRule="auto"/>
        <w:ind w:left="100" w:right="106"/>
        <w:jc w:val="both"/>
      </w:pPr>
      <w:r w:rsidRPr="00B5646C">
        <w:t>De acuerdo con el artículo 2.2.1.2.6.1.4 del Decreto 1082 de 2015, Decreto Único Reglamentario del Sector Administrativo de Planeación Nacional, los documentos tipo son inalterables y por ende las entidades estatales no podrán incluir requisitos o factores de ponderación diferentes a los establecidos por los mismos</w:t>
      </w:r>
      <w:r w:rsidR="00FE04DB" w:rsidRPr="00B5646C">
        <w:rPr>
          <w:rStyle w:val="Refdenotaalpie"/>
        </w:rPr>
        <w:footnoteReference w:id="4"/>
      </w:r>
      <w:r w:rsidRPr="00B5646C">
        <w:t>.</w:t>
      </w:r>
    </w:p>
    <w:p w14:paraId="0C711E3C" w14:textId="77777777" w:rsidR="00180A4D" w:rsidRPr="00B5646C" w:rsidRDefault="00180A4D" w:rsidP="00A45997">
      <w:pPr>
        <w:pStyle w:val="Textoindependiente"/>
        <w:spacing w:before="4"/>
        <w:jc w:val="both"/>
      </w:pPr>
    </w:p>
    <w:p w14:paraId="6AA1A488" w14:textId="77777777" w:rsidR="00180A4D" w:rsidRPr="00B5646C" w:rsidRDefault="00220B21" w:rsidP="00A45997">
      <w:pPr>
        <w:pStyle w:val="Textoindependiente"/>
        <w:ind w:left="100" w:right="105"/>
        <w:jc w:val="both"/>
      </w:pPr>
      <w:r>
        <w:pict w14:anchorId="5631F336">
          <v:polyline id="_x0000_s1029" style="position:absolute;left:0;text-align:left;z-index:251661312;mso-position-horizontal-relative:page" points="1187.7pt,345.9pt,1186.7pt,345.9pt,1186.2pt,345.9pt,1186.2pt,346.4pt,1186.2pt,347.4pt,1186.7pt,347.4pt,1186.7pt,346.4pt,1187.7pt,346.4pt,1187.7pt,345.9pt" coordorigin="3954,1153" coordsize="30,30" fillcolor="black" stroked="f">
            <v:path arrowok="t"/>
            <o:lock v:ext="edit" verticies="t"/>
            <w10:wrap anchorx="page"/>
          </v:polyline>
        </w:pict>
      </w:r>
      <w:r w:rsidR="00E520D2" w:rsidRPr="00B5646C">
        <w:t>Ahora bien, el documento base o pliegos tipo, en el “CAPÍTULO IV CRITERIOS DE EVALUACIÓN, ASIGNACIÓN DE PUNTAJE Y CRITERIOS DE DESEMPATE”, establece los criterios que las entidades estatales deberán calificar de las ofertas que cumplan con los requisitos habilitantes, de la siguiente forma:</w:t>
      </w:r>
    </w:p>
    <w:p w14:paraId="67F953DB" w14:textId="77777777" w:rsidR="00180A4D" w:rsidRPr="00B5646C" w:rsidRDefault="00180A4D" w:rsidP="00A45997">
      <w:pPr>
        <w:pStyle w:val="Textoindependiente"/>
        <w:spacing w:before="1"/>
        <w:jc w:val="both"/>
        <w:rPr>
          <w:sz w:val="21"/>
        </w:rPr>
      </w:pPr>
    </w:p>
    <w:tbl>
      <w:tblPr>
        <w:tblStyle w:val="TableNormal"/>
        <w:tblW w:w="0" w:type="auto"/>
        <w:tblInd w:w="238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843"/>
        <w:gridCol w:w="1552"/>
      </w:tblGrid>
      <w:tr w:rsidR="00B5646C" w:rsidRPr="00B5646C" w14:paraId="593A896B" w14:textId="77777777">
        <w:trPr>
          <w:trHeight w:val="282"/>
        </w:trPr>
        <w:tc>
          <w:tcPr>
            <w:tcW w:w="2843" w:type="dxa"/>
            <w:tcBorders>
              <w:bottom w:val="single" w:sz="4" w:space="0" w:color="000000"/>
              <w:right w:val="single" w:sz="4" w:space="0" w:color="000000"/>
            </w:tcBorders>
            <w:shd w:val="clear" w:color="auto" w:fill="404040"/>
          </w:tcPr>
          <w:p w14:paraId="6312E128" w14:textId="77777777" w:rsidR="00180A4D" w:rsidRPr="00B5646C" w:rsidRDefault="00E520D2" w:rsidP="00A45997">
            <w:pPr>
              <w:pStyle w:val="TableParagraph"/>
              <w:spacing w:before="27"/>
              <w:jc w:val="both"/>
              <w:rPr>
                <w:b/>
                <w:sz w:val="16"/>
              </w:rPr>
            </w:pPr>
            <w:r w:rsidRPr="00B5646C">
              <w:rPr>
                <w:b/>
                <w:sz w:val="16"/>
              </w:rPr>
              <w:t>Concepto</w:t>
            </w:r>
          </w:p>
        </w:tc>
        <w:tc>
          <w:tcPr>
            <w:tcW w:w="1552" w:type="dxa"/>
            <w:tcBorders>
              <w:left w:val="single" w:sz="4" w:space="0" w:color="000000"/>
              <w:bottom w:val="single" w:sz="4" w:space="0" w:color="000000"/>
            </w:tcBorders>
            <w:shd w:val="clear" w:color="auto" w:fill="404040"/>
          </w:tcPr>
          <w:p w14:paraId="6654AB3F" w14:textId="77777777" w:rsidR="00180A4D" w:rsidRPr="00B5646C" w:rsidRDefault="00E520D2" w:rsidP="00A45997">
            <w:pPr>
              <w:pStyle w:val="TableParagraph"/>
              <w:spacing w:before="27"/>
              <w:ind w:left="211" w:right="193"/>
              <w:jc w:val="both"/>
              <w:rPr>
                <w:b/>
                <w:sz w:val="16"/>
              </w:rPr>
            </w:pPr>
            <w:r w:rsidRPr="00B5646C">
              <w:rPr>
                <w:b/>
                <w:sz w:val="16"/>
              </w:rPr>
              <w:t>Puntaje máximo</w:t>
            </w:r>
          </w:p>
        </w:tc>
      </w:tr>
      <w:tr w:rsidR="00B5646C" w:rsidRPr="00B5646C" w14:paraId="1578FBA1" w14:textId="77777777">
        <w:trPr>
          <w:trHeight w:val="570"/>
        </w:trPr>
        <w:tc>
          <w:tcPr>
            <w:tcW w:w="2843" w:type="dxa"/>
            <w:tcBorders>
              <w:top w:val="single" w:sz="4" w:space="0" w:color="000000"/>
              <w:bottom w:val="single" w:sz="4" w:space="0" w:color="000000"/>
              <w:right w:val="single" w:sz="4" w:space="0" w:color="000000"/>
            </w:tcBorders>
          </w:tcPr>
          <w:p w14:paraId="35B6BF8A" w14:textId="77777777" w:rsidR="00180A4D" w:rsidRPr="00B5646C" w:rsidRDefault="00180A4D" w:rsidP="00A45997">
            <w:pPr>
              <w:pStyle w:val="TableParagraph"/>
              <w:spacing w:before="9"/>
              <w:ind w:left="0" w:right="0"/>
              <w:jc w:val="both"/>
              <w:rPr>
                <w:rFonts w:ascii="Arial"/>
                <w:sz w:val="14"/>
              </w:rPr>
            </w:pPr>
          </w:p>
          <w:p w14:paraId="3EDED9AA" w14:textId="77777777" w:rsidR="00180A4D" w:rsidRPr="00B5646C" w:rsidRDefault="00E520D2" w:rsidP="00A45997">
            <w:pPr>
              <w:pStyle w:val="TableParagraph"/>
              <w:ind w:right="452"/>
              <w:jc w:val="both"/>
              <w:rPr>
                <w:sz w:val="16"/>
              </w:rPr>
            </w:pPr>
            <w:r w:rsidRPr="00B5646C">
              <w:rPr>
                <w:sz w:val="16"/>
              </w:rPr>
              <w:t>Oferta económica</w:t>
            </w:r>
          </w:p>
        </w:tc>
        <w:tc>
          <w:tcPr>
            <w:tcW w:w="1552" w:type="dxa"/>
            <w:tcBorders>
              <w:top w:val="single" w:sz="4" w:space="0" w:color="000000"/>
              <w:left w:val="single" w:sz="4" w:space="0" w:color="000000"/>
              <w:bottom w:val="single" w:sz="4" w:space="0" w:color="000000"/>
            </w:tcBorders>
          </w:tcPr>
          <w:p w14:paraId="06512202" w14:textId="77777777" w:rsidR="00180A4D" w:rsidRPr="00B5646C" w:rsidRDefault="00180A4D" w:rsidP="00A45997">
            <w:pPr>
              <w:pStyle w:val="TableParagraph"/>
              <w:spacing w:before="9"/>
              <w:ind w:left="0" w:right="0"/>
              <w:jc w:val="both"/>
              <w:rPr>
                <w:rFonts w:ascii="Arial"/>
                <w:sz w:val="14"/>
              </w:rPr>
            </w:pPr>
          </w:p>
          <w:p w14:paraId="719252A2" w14:textId="77777777" w:rsidR="00180A4D" w:rsidRPr="00B5646C" w:rsidRDefault="00E520D2" w:rsidP="00A45997">
            <w:pPr>
              <w:pStyle w:val="TableParagraph"/>
              <w:ind w:left="211" w:right="193"/>
              <w:jc w:val="both"/>
              <w:rPr>
                <w:sz w:val="16"/>
              </w:rPr>
            </w:pPr>
            <w:r w:rsidRPr="00B5646C">
              <w:rPr>
                <w:sz w:val="16"/>
              </w:rPr>
              <w:t>70</w:t>
            </w:r>
          </w:p>
        </w:tc>
      </w:tr>
      <w:tr w:rsidR="00B5646C" w:rsidRPr="00B5646C" w14:paraId="4C6C50C6" w14:textId="77777777">
        <w:trPr>
          <w:trHeight w:val="225"/>
        </w:trPr>
        <w:tc>
          <w:tcPr>
            <w:tcW w:w="2843" w:type="dxa"/>
            <w:tcBorders>
              <w:top w:val="single" w:sz="4" w:space="0" w:color="000000"/>
              <w:bottom w:val="single" w:sz="4" w:space="0" w:color="000000"/>
              <w:right w:val="single" w:sz="4" w:space="0" w:color="000000"/>
            </w:tcBorders>
          </w:tcPr>
          <w:p w14:paraId="5D59FCD2" w14:textId="77777777" w:rsidR="00180A4D" w:rsidRPr="00B5646C" w:rsidRDefault="00E520D2" w:rsidP="00A45997">
            <w:pPr>
              <w:pStyle w:val="TableParagraph"/>
              <w:spacing w:line="193" w:lineRule="exact"/>
              <w:jc w:val="both"/>
              <w:rPr>
                <w:sz w:val="16"/>
              </w:rPr>
            </w:pPr>
            <w:r w:rsidRPr="00B5646C">
              <w:rPr>
                <w:sz w:val="16"/>
              </w:rPr>
              <w:t>Factor de calidad</w:t>
            </w:r>
          </w:p>
        </w:tc>
        <w:tc>
          <w:tcPr>
            <w:tcW w:w="1552" w:type="dxa"/>
            <w:tcBorders>
              <w:top w:val="single" w:sz="4" w:space="0" w:color="000000"/>
              <w:left w:val="single" w:sz="4" w:space="0" w:color="000000"/>
              <w:bottom w:val="single" w:sz="4" w:space="0" w:color="000000"/>
            </w:tcBorders>
          </w:tcPr>
          <w:p w14:paraId="6044DA01" w14:textId="77777777" w:rsidR="00180A4D" w:rsidRPr="00B5646C" w:rsidRDefault="00E520D2" w:rsidP="00A45997">
            <w:pPr>
              <w:pStyle w:val="TableParagraph"/>
              <w:spacing w:line="193" w:lineRule="exact"/>
              <w:ind w:left="211" w:right="193"/>
              <w:jc w:val="both"/>
              <w:rPr>
                <w:sz w:val="16"/>
              </w:rPr>
            </w:pPr>
            <w:r w:rsidRPr="00B5646C">
              <w:rPr>
                <w:sz w:val="16"/>
              </w:rPr>
              <w:t>19</w:t>
            </w:r>
          </w:p>
        </w:tc>
      </w:tr>
      <w:tr w:rsidR="00B5646C" w:rsidRPr="00B5646C" w14:paraId="6DFEA96B" w14:textId="77777777">
        <w:trPr>
          <w:trHeight w:val="222"/>
        </w:trPr>
        <w:tc>
          <w:tcPr>
            <w:tcW w:w="2843" w:type="dxa"/>
            <w:tcBorders>
              <w:top w:val="single" w:sz="4" w:space="0" w:color="000000"/>
              <w:bottom w:val="single" w:sz="4" w:space="0" w:color="000000"/>
              <w:right w:val="single" w:sz="4" w:space="0" w:color="000000"/>
            </w:tcBorders>
          </w:tcPr>
          <w:p w14:paraId="726391CB" w14:textId="77777777" w:rsidR="00180A4D" w:rsidRPr="00B5646C" w:rsidRDefault="00E520D2" w:rsidP="00A45997">
            <w:pPr>
              <w:pStyle w:val="TableParagraph"/>
              <w:spacing w:line="193" w:lineRule="exact"/>
              <w:jc w:val="both"/>
              <w:rPr>
                <w:sz w:val="16"/>
              </w:rPr>
            </w:pPr>
            <w:r w:rsidRPr="00B5646C">
              <w:rPr>
                <w:sz w:val="16"/>
              </w:rPr>
              <w:lastRenderedPageBreak/>
              <w:t>Apoyo a la industria nacional</w:t>
            </w:r>
          </w:p>
        </w:tc>
        <w:tc>
          <w:tcPr>
            <w:tcW w:w="1552" w:type="dxa"/>
            <w:tcBorders>
              <w:top w:val="single" w:sz="4" w:space="0" w:color="000000"/>
              <w:left w:val="single" w:sz="4" w:space="0" w:color="000000"/>
              <w:bottom w:val="single" w:sz="4" w:space="0" w:color="000000"/>
            </w:tcBorders>
          </w:tcPr>
          <w:p w14:paraId="70DD1F17" w14:textId="77777777" w:rsidR="00180A4D" w:rsidRPr="00B5646C" w:rsidRDefault="00E520D2" w:rsidP="00A45997">
            <w:pPr>
              <w:pStyle w:val="TableParagraph"/>
              <w:spacing w:line="193" w:lineRule="exact"/>
              <w:ind w:left="211" w:right="193"/>
              <w:jc w:val="both"/>
              <w:rPr>
                <w:sz w:val="16"/>
              </w:rPr>
            </w:pPr>
            <w:r w:rsidRPr="00B5646C">
              <w:rPr>
                <w:sz w:val="16"/>
              </w:rPr>
              <w:t>10</w:t>
            </w:r>
          </w:p>
        </w:tc>
      </w:tr>
      <w:tr w:rsidR="00B5646C" w:rsidRPr="00B5646C" w14:paraId="097D81C4" w14:textId="77777777">
        <w:trPr>
          <w:trHeight w:val="450"/>
        </w:trPr>
        <w:tc>
          <w:tcPr>
            <w:tcW w:w="2843" w:type="dxa"/>
            <w:tcBorders>
              <w:top w:val="single" w:sz="4" w:space="0" w:color="000000"/>
              <w:bottom w:val="single" w:sz="4" w:space="0" w:color="000000"/>
              <w:right w:val="single" w:sz="4" w:space="0" w:color="000000"/>
            </w:tcBorders>
          </w:tcPr>
          <w:p w14:paraId="5DB655A5" w14:textId="77777777" w:rsidR="00180A4D" w:rsidRPr="00B5646C" w:rsidRDefault="00E520D2" w:rsidP="00A45997">
            <w:pPr>
              <w:pStyle w:val="TableParagraph"/>
              <w:spacing w:line="193" w:lineRule="exact"/>
              <w:ind w:left="453"/>
              <w:jc w:val="both"/>
              <w:rPr>
                <w:sz w:val="16"/>
              </w:rPr>
            </w:pPr>
            <w:r w:rsidRPr="00B5646C">
              <w:rPr>
                <w:sz w:val="16"/>
              </w:rPr>
              <w:t>Vinculación de personas con</w:t>
            </w:r>
          </w:p>
          <w:p w14:paraId="37008ACF" w14:textId="77777777" w:rsidR="00180A4D" w:rsidRPr="00B5646C" w:rsidRDefault="00E520D2" w:rsidP="00A45997">
            <w:pPr>
              <w:pStyle w:val="TableParagraph"/>
              <w:spacing w:before="29"/>
              <w:jc w:val="both"/>
              <w:rPr>
                <w:sz w:val="16"/>
              </w:rPr>
            </w:pPr>
            <w:r w:rsidRPr="00B5646C">
              <w:rPr>
                <w:sz w:val="16"/>
              </w:rPr>
              <w:t>discapacidad</w:t>
            </w:r>
          </w:p>
        </w:tc>
        <w:tc>
          <w:tcPr>
            <w:tcW w:w="1552" w:type="dxa"/>
            <w:tcBorders>
              <w:top w:val="single" w:sz="4" w:space="0" w:color="000000"/>
              <w:left w:val="single" w:sz="4" w:space="0" w:color="000000"/>
              <w:bottom w:val="single" w:sz="4" w:space="0" w:color="000000"/>
            </w:tcBorders>
          </w:tcPr>
          <w:p w14:paraId="2ADA084F" w14:textId="77777777" w:rsidR="00180A4D" w:rsidRPr="00B5646C" w:rsidRDefault="00E520D2" w:rsidP="00A45997">
            <w:pPr>
              <w:pStyle w:val="TableParagraph"/>
              <w:spacing w:before="110"/>
              <w:ind w:left="18" w:right="0"/>
              <w:jc w:val="both"/>
              <w:rPr>
                <w:sz w:val="16"/>
              </w:rPr>
            </w:pPr>
            <w:r w:rsidRPr="00B5646C">
              <w:rPr>
                <w:sz w:val="16"/>
              </w:rPr>
              <w:t>1</w:t>
            </w:r>
          </w:p>
        </w:tc>
      </w:tr>
      <w:tr w:rsidR="00180A4D" w:rsidRPr="00B5646C" w14:paraId="6BEBC8A7" w14:textId="77777777">
        <w:trPr>
          <w:trHeight w:val="225"/>
        </w:trPr>
        <w:tc>
          <w:tcPr>
            <w:tcW w:w="2843" w:type="dxa"/>
            <w:tcBorders>
              <w:top w:val="single" w:sz="4" w:space="0" w:color="000000"/>
              <w:right w:val="single" w:sz="4" w:space="0" w:color="000000"/>
            </w:tcBorders>
          </w:tcPr>
          <w:p w14:paraId="2EE7DF1F" w14:textId="77777777" w:rsidR="00180A4D" w:rsidRPr="00B5646C" w:rsidRDefault="00E520D2" w:rsidP="00A45997">
            <w:pPr>
              <w:pStyle w:val="TableParagraph"/>
              <w:spacing w:line="193" w:lineRule="exact"/>
              <w:jc w:val="both"/>
              <w:rPr>
                <w:sz w:val="16"/>
              </w:rPr>
            </w:pPr>
            <w:r w:rsidRPr="00B5646C">
              <w:rPr>
                <w:sz w:val="16"/>
              </w:rPr>
              <w:t>Total</w:t>
            </w:r>
          </w:p>
        </w:tc>
        <w:tc>
          <w:tcPr>
            <w:tcW w:w="1552" w:type="dxa"/>
            <w:tcBorders>
              <w:top w:val="single" w:sz="4" w:space="0" w:color="000000"/>
              <w:left w:val="single" w:sz="4" w:space="0" w:color="000000"/>
            </w:tcBorders>
          </w:tcPr>
          <w:p w14:paraId="10677478" w14:textId="77777777" w:rsidR="00180A4D" w:rsidRPr="00B5646C" w:rsidRDefault="00E520D2" w:rsidP="00A45997">
            <w:pPr>
              <w:pStyle w:val="TableParagraph"/>
              <w:spacing w:line="193" w:lineRule="exact"/>
              <w:ind w:left="211" w:right="193"/>
              <w:jc w:val="both"/>
              <w:rPr>
                <w:sz w:val="16"/>
              </w:rPr>
            </w:pPr>
            <w:r w:rsidRPr="00B5646C">
              <w:rPr>
                <w:sz w:val="16"/>
              </w:rPr>
              <w:t>100</w:t>
            </w:r>
          </w:p>
        </w:tc>
      </w:tr>
    </w:tbl>
    <w:p w14:paraId="4F7D9D30" w14:textId="77777777" w:rsidR="00180A4D" w:rsidRPr="00B5646C" w:rsidRDefault="00180A4D" w:rsidP="00A45997">
      <w:pPr>
        <w:pStyle w:val="Textoindependiente"/>
        <w:spacing w:before="7"/>
        <w:jc w:val="both"/>
      </w:pPr>
    </w:p>
    <w:p w14:paraId="21041148" w14:textId="77777777" w:rsidR="00180A4D" w:rsidRPr="00B5646C" w:rsidRDefault="00E520D2" w:rsidP="00A45997">
      <w:pPr>
        <w:pStyle w:val="Textoindependiente"/>
        <w:ind w:left="100" w:right="108"/>
        <w:jc w:val="both"/>
      </w:pPr>
      <w:r w:rsidRPr="00B5646C">
        <w:t xml:space="preserve">Entre los criterios establecidos en los documentos tipo no se incluye el factor de mano de obra local </w:t>
      </w:r>
      <w:proofErr w:type="gramStart"/>
      <w:r w:rsidRPr="00B5646C">
        <w:t>y</w:t>
      </w:r>
      <w:proofErr w:type="gramEnd"/>
      <w:r w:rsidRPr="00B5646C">
        <w:t xml:space="preserve"> por ende, en aplicación de la inalterabilidad de los documentos tipo, las entidades estatales no podrán establecer que la mano de obra local sea un criterio de puntuación aplicable a este tipo de procesos.</w:t>
      </w:r>
    </w:p>
    <w:p w14:paraId="3417BEA4" w14:textId="77777777" w:rsidR="00180A4D" w:rsidRPr="00B5646C" w:rsidRDefault="00180A4D" w:rsidP="00A45997">
      <w:pPr>
        <w:pStyle w:val="Textoindependiente"/>
        <w:spacing w:before="1"/>
        <w:jc w:val="both"/>
      </w:pPr>
    </w:p>
    <w:p w14:paraId="0DF957FF" w14:textId="77777777" w:rsidR="00180A4D" w:rsidRPr="00480921" w:rsidRDefault="00E520D2" w:rsidP="00A45997">
      <w:pPr>
        <w:pStyle w:val="Prrafodelista"/>
        <w:numPr>
          <w:ilvl w:val="0"/>
          <w:numId w:val="3"/>
        </w:numPr>
        <w:tabs>
          <w:tab w:val="left" w:pos="386"/>
        </w:tabs>
        <w:ind w:hanging="286"/>
        <w:rPr>
          <w:b/>
          <w:sz w:val="20"/>
        </w:rPr>
      </w:pPr>
      <w:r w:rsidRPr="00480921">
        <w:rPr>
          <w:b/>
          <w:sz w:val="20"/>
        </w:rPr>
        <w:t>TERCER PROBLEMA</w:t>
      </w:r>
      <w:r w:rsidRPr="00480921">
        <w:rPr>
          <w:b/>
          <w:spacing w:val="-2"/>
          <w:sz w:val="20"/>
        </w:rPr>
        <w:t xml:space="preserve"> </w:t>
      </w:r>
      <w:r w:rsidRPr="00480921">
        <w:rPr>
          <w:b/>
          <w:sz w:val="20"/>
        </w:rPr>
        <w:t>PLANTEADO</w:t>
      </w:r>
    </w:p>
    <w:p w14:paraId="31B190E1" w14:textId="77777777" w:rsidR="00180A4D" w:rsidRPr="00B5646C" w:rsidRDefault="00E520D2" w:rsidP="00A45997">
      <w:pPr>
        <w:pStyle w:val="Textoindependiente"/>
        <w:spacing w:before="211"/>
        <w:ind w:left="100" w:right="110"/>
        <w:jc w:val="both"/>
      </w:pPr>
      <w:r w:rsidRPr="00B5646C">
        <w:t xml:space="preserve">“5. ¿Las entidades en </w:t>
      </w:r>
      <w:proofErr w:type="gramStart"/>
      <w:r w:rsidRPr="00B5646C">
        <w:t>los pliego</w:t>
      </w:r>
      <w:proofErr w:type="gramEnd"/>
      <w:r w:rsidRPr="00B5646C">
        <w:t xml:space="preserve"> de condiciones pueden incluir para el caso de selección abreviada de menor cuantía como único mecanismo para la presentación de manifestaciones de interés la entrega física?</w:t>
      </w:r>
    </w:p>
    <w:p w14:paraId="040FC6E8" w14:textId="77777777" w:rsidR="00180A4D" w:rsidRPr="00B5646C" w:rsidRDefault="00180A4D" w:rsidP="00A45997">
      <w:pPr>
        <w:pStyle w:val="Textoindependiente"/>
        <w:jc w:val="both"/>
      </w:pPr>
    </w:p>
    <w:p w14:paraId="6C4E6A7A" w14:textId="77777777" w:rsidR="00180A4D" w:rsidRPr="00B5646C" w:rsidRDefault="00E520D2" w:rsidP="00A45997">
      <w:pPr>
        <w:pStyle w:val="Prrafodelista"/>
        <w:numPr>
          <w:ilvl w:val="0"/>
          <w:numId w:val="1"/>
        </w:numPr>
        <w:tabs>
          <w:tab w:val="left" w:pos="321"/>
        </w:tabs>
        <w:spacing w:before="1"/>
        <w:ind w:right="108" w:firstLine="0"/>
        <w:jc w:val="both"/>
        <w:rPr>
          <w:sz w:val="20"/>
        </w:rPr>
      </w:pPr>
      <w:r w:rsidRPr="00B5646C">
        <w:rPr>
          <w:sz w:val="20"/>
        </w:rPr>
        <w:t>¿Las entidades están obligadas a permitir la presentación de la manifestación de interés haciendo uso</w:t>
      </w:r>
      <w:r w:rsidRPr="00B5646C">
        <w:rPr>
          <w:spacing w:val="-3"/>
          <w:sz w:val="20"/>
        </w:rPr>
        <w:t xml:space="preserve"> </w:t>
      </w:r>
      <w:r w:rsidRPr="00B5646C">
        <w:rPr>
          <w:sz w:val="20"/>
        </w:rPr>
        <w:t>de</w:t>
      </w:r>
      <w:r w:rsidRPr="00B5646C">
        <w:rPr>
          <w:spacing w:val="-4"/>
          <w:sz w:val="20"/>
        </w:rPr>
        <w:t xml:space="preserve"> </w:t>
      </w:r>
      <w:r w:rsidRPr="00B5646C">
        <w:rPr>
          <w:sz w:val="20"/>
        </w:rPr>
        <w:t>las</w:t>
      </w:r>
      <w:r w:rsidRPr="00B5646C">
        <w:rPr>
          <w:spacing w:val="-3"/>
          <w:sz w:val="20"/>
        </w:rPr>
        <w:t xml:space="preserve"> </w:t>
      </w:r>
      <w:r w:rsidRPr="00B5646C">
        <w:rPr>
          <w:sz w:val="20"/>
        </w:rPr>
        <w:t>nuevas</w:t>
      </w:r>
      <w:r w:rsidRPr="00B5646C">
        <w:rPr>
          <w:spacing w:val="-3"/>
          <w:sz w:val="20"/>
        </w:rPr>
        <w:t xml:space="preserve"> </w:t>
      </w:r>
      <w:r w:rsidRPr="00B5646C">
        <w:rPr>
          <w:sz w:val="20"/>
        </w:rPr>
        <w:t>tecnologías</w:t>
      </w:r>
      <w:r w:rsidRPr="00B5646C">
        <w:rPr>
          <w:spacing w:val="-3"/>
          <w:sz w:val="20"/>
        </w:rPr>
        <w:t xml:space="preserve"> </w:t>
      </w:r>
      <w:r w:rsidRPr="00B5646C">
        <w:rPr>
          <w:sz w:val="20"/>
        </w:rPr>
        <w:t>de</w:t>
      </w:r>
      <w:r w:rsidRPr="00B5646C">
        <w:rPr>
          <w:spacing w:val="-4"/>
          <w:sz w:val="20"/>
        </w:rPr>
        <w:t xml:space="preserve"> </w:t>
      </w:r>
      <w:r w:rsidRPr="00B5646C">
        <w:rPr>
          <w:sz w:val="20"/>
        </w:rPr>
        <w:t>la</w:t>
      </w:r>
      <w:r w:rsidRPr="00B5646C">
        <w:rPr>
          <w:spacing w:val="-4"/>
          <w:sz w:val="20"/>
        </w:rPr>
        <w:t xml:space="preserve"> </w:t>
      </w:r>
      <w:r w:rsidRPr="00B5646C">
        <w:rPr>
          <w:sz w:val="20"/>
        </w:rPr>
        <w:t>información,</w:t>
      </w:r>
      <w:r w:rsidRPr="00B5646C">
        <w:rPr>
          <w:spacing w:val="-1"/>
          <w:sz w:val="20"/>
        </w:rPr>
        <w:t xml:space="preserve"> </w:t>
      </w:r>
      <w:r w:rsidRPr="00B5646C">
        <w:rPr>
          <w:sz w:val="20"/>
        </w:rPr>
        <w:t>o</w:t>
      </w:r>
      <w:r w:rsidRPr="00B5646C">
        <w:rPr>
          <w:spacing w:val="-4"/>
          <w:sz w:val="20"/>
        </w:rPr>
        <w:t xml:space="preserve"> </w:t>
      </w:r>
      <w:r w:rsidRPr="00B5646C">
        <w:rPr>
          <w:sz w:val="20"/>
        </w:rPr>
        <w:t>se</w:t>
      </w:r>
      <w:r w:rsidRPr="00B5646C">
        <w:rPr>
          <w:spacing w:val="-4"/>
          <w:sz w:val="20"/>
        </w:rPr>
        <w:t xml:space="preserve"> </w:t>
      </w:r>
      <w:r w:rsidRPr="00B5646C">
        <w:rPr>
          <w:sz w:val="20"/>
        </w:rPr>
        <w:t>encuentra</w:t>
      </w:r>
      <w:r w:rsidRPr="00B5646C">
        <w:rPr>
          <w:spacing w:val="-3"/>
          <w:sz w:val="20"/>
        </w:rPr>
        <w:t xml:space="preserve"> </w:t>
      </w:r>
      <w:r w:rsidRPr="00B5646C">
        <w:rPr>
          <w:sz w:val="20"/>
        </w:rPr>
        <w:t>bajo</w:t>
      </w:r>
      <w:r w:rsidRPr="00B5646C">
        <w:rPr>
          <w:spacing w:val="-1"/>
          <w:sz w:val="20"/>
        </w:rPr>
        <w:t xml:space="preserve"> </w:t>
      </w:r>
      <w:r w:rsidRPr="00B5646C">
        <w:rPr>
          <w:sz w:val="20"/>
        </w:rPr>
        <w:t>su</w:t>
      </w:r>
      <w:r w:rsidRPr="00B5646C">
        <w:rPr>
          <w:spacing w:val="-2"/>
          <w:sz w:val="20"/>
        </w:rPr>
        <w:t xml:space="preserve"> </w:t>
      </w:r>
      <w:r w:rsidRPr="00B5646C">
        <w:rPr>
          <w:sz w:val="20"/>
        </w:rPr>
        <w:t>discrecionalidad</w:t>
      </w:r>
      <w:r w:rsidRPr="00B5646C">
        <w:rPr>
          <w:spacing w:val="-1"/>
          <w:sz w:val="20"/>
        </w:rPr>
        <w:t xml:space="preserve"> </w:t>
      </w:r>
      <w:r w:rsidRPr="00B5646C">
        <w:rPr>
          <w:sz w:val="20"/>
        </w:rPr>
        <w:t>o</w:t>
      </w:r>
      <w:r w:rsidRPr="00B5646C">
        <w:rPr>
          <w:spacing w:val="-4"/>
          <w:sz w:val="20"/>
        </w:rPr>
        <w:t xml:space="preserve"> </w:t>
      </w:r>
      <w:r w:rsidRPr="00B5646C">
        <w:rPr>
          <w:sz w:val="20"/>
        </w:rPr>
        <w:t>criterio?”</w:t>
      </w:r>
    </w:p>
    <w:p w14:paraId="1757AD01" w14:textId="77777777" w:rsidR="00F82265" w:rsidRPr="00B5646C" w:rsidRDefault="00F82265" w:rsidP="00F82265">
      <w:pPr>
        <w:pStyle w:val="Prrafodelista"/>
        <w:tabs>
          <w:tab w:val="left" w:pos="321"/>
        </w:tabs>
        <w:spacing w:before="1"/>
        <w:ind w:right="108" w:firstLine="0"/>
        <w:rPr>
          <w:sz w:val="20"/>
        </w:rPr>
      </w:pPr>
    </w:p>
    <w:p w14:paraId="1994BB62" w14:textId="77777777" w:rsidR="00180A4D" w:rsidRPr="00480921" w:rsidRDefault="00E520D2" w:rsidP="00F82265">
      <w:pPr>
        <w:pStyle w:val="Prrafodelista"/>
        <w:numPr>
          <w:ilvl w:val="0"/>
          <w:numId w:val="3"/>
        </w:numPr>
        <w:tabs>
          <w:tab w:val="left" w:pos="386"/>
        </w:tabs>
        <w:spacing w:line="223" w:lineRule="auto"/>
        <w:ind w:left="386" w:right="108" w:hanging="284"/>
        <w:rPr>
          <w:b/>
          <w:sz w:val="20"/>
        </w:rPr>
      </w:pPr>
      <w:r w:rsidRPr="00480921">
        <w:rPr>
          <w:b/>
          <w:sz w:val="20"/>
        </w:rPr>
        <w:t>LA AGENCIA NACIONAL DE CONTRATACIÓN PÚBLICA - COLOMBIA COMPRA EFICIENTE RESPONDE:</w:t>
      </w:r>
    </w:p>
    <w:p w14:paraId="79E56508" w14:textId="77777777" w:rsidR="00180A4D" w:rsidRPr="00B5646C" w:rsidRDefault="00180A4D" w:rsidP="00A45997">
      <w:pPr>
        <w:pStyle w:val="Textoindependiente"/>
        <w:spacing w:before="4"/>
        <w:jc w:val="both"/>
      </w:pPr>
    </w:p>
    <w:p w14:paraId="7061DA37" w14:textId="77777777" w:rsidR="00180A4D" w:rsidRPr="00B5646C" w:rsidRDefault="00E520D2" w:rsidP="00A45997">
      <w:pPr>
        <w:pStyle w:val="Textoindependiente"/>
        <w:ind w:left="100" w:right="108"/>
        <w:jc w:val="both"/>
      </w:pPr>
      <w:r w:rsidRPr="00B5646C">
        <w:t>Dado que su pregunta no hace referencia a los pliegos tipo, la Agencia Nacional de Contratación Pública - Colombia Compra Eficiente le responde de la siguiente forma:</w:t>
      </w:r>
    </w:p>
    <w:p w14:paraId="74FD68FD" w14:textId="77777777" w:rsidR="00180A4D" w:rsidRPr="00B5646C" w:rsidRDefault="00180A4D" w:rsidP="00A45997">
      <w:pPr>
        <w:pStyle w:val="Textoindependiente"/>
        <w:jc w:val="both"/>
      </w:pPr>
    </w:p>
    <w:p w14:paraId="38B1993D" w14:textId="77777777" w:rsidR="00180A4D" w:rsidRPr="00B5646C" w:rsidRDefault="00E520D2" w:rsidP="00A45997">
      <w:pPr>
        <w:pStyle w:val="Textoindependiente"/>
        <w:ind w:left="100" w:right="113"/>
        <w:jc w:val="both"/>
      </w:pPr>
      <w:r w:rsidRPr="00B5646C">
        <w:t>El artículo 2.2.1.2.1.2.20. del Decreto 1082 de 2015 contempla el procedimiento que debe ser aplicado por las entidades estatales tratándose de la modalidad de selección abreviada de menor cuantía y establece que la manifestación de interés que deben realizar los proponentes se debe efectuar</w:t>
      </w:r>
      <w:r w:rsidRPr="00B5646C">
        <w:rPr>
          <w:spacing w:val="-2"/>
        </w:rPr>
        <w:t xml:space="preserve"> </w:t>
      </w:r>
      <w:r w:rsidRPr="00B5646C">
        <w:t>por</w:t>
      </w:r>
      <w:r w:rsidRPr="00B5646C">
        <w:rPr>
          <w:spacing w:val="-2"/>
        </w:rPr>
        <w:t xml:space="preserve"> </w:t>
      </w:r>
      <w:r w:rsidRPr="00B5646C">
        <w:t>el</w:t>
      </w:r>
      <w:r w:rsidRPr="00B5646C">
        <w:rPr>
          <w:spacing w:val="-4"/>
        </w:rPr>
        <w:t xml:space="preserve"> </w:t>
      </w:r>
      <w:r w:rsidRPr="00B5646C">
        <w:t>medio</w:t>
      </w:r>
      <w:r w:rsidRPr="00B5646C">
        <w:rPr>
          <w:spacing w:val="-6"/>
        </w:rPr>
        <w:t xml:space="preserve"> </w:t>
      </w:r>
      <w:r w:rsidRPr="00B5646C">
        <w:t>establecido</w:t>
      </w:r>
      <w:r w:rsidRPr="00B5646C">
        <w:rPr>
          <w:spacing w:val="-3"/>
        </w:rPr>
        <w:t xml:space="preserve"> </w:t>
      </w:r>
      <w:r w:rsidRPr="00B5646C">
        <w:t>por</w:t>
      </w:r>
      <w:r w:rsidRPr="00B5646C">
        <w:rPr>
          <w:spacing w:val="-4"/>
        </w:rPr>
        <w:t xml:space="preserve"> </w:t>
      </w:r>
      <w:r w:rsidRPr="00B5646C">
        <w:t>la</w:t>
      </w:r>
      <w:r w:rsidRPr="00B5646C">
        <w:rPr>
          <w:spacing w:val="-5"/>
        </w:rPr>
        <w:t xml:space="preserve"> </w:t>
      </w:r>
      <w:r w:rsidRPr="00B5646C">
        <w:t>entidad</w:t>
      </w:r>
      <w:r w:rsidRPr="00B5646C">
        <w:rPr>
          <w:spacing w:val="-3"/>
        </w:rPr>
        <w:t xml:space="preserve"> </w:t>
      </w:r>
      <w:r w:rsidRPr="00B5646C">
        <w:t>estatal</w:t>
      </w:r>
      <w:r w:rsidRPr="00B5646C">
        <w:rPr>
          <w:spacing w:val="-1"/>
        </w:rPr>
        <w:t xml:space="preserve"> </w:t>
      </w:r>
      <w:r w:rsidRPr="00B5646C">
        <w:t>en</w:t>
      </w:r>
      <w:r w:rsidRPr="00B5646C">
        <w:rPr>
          <w:spacing w:val="-6"/>
        </w:rPr>
        <w:t xml:space="preserve"> </w:t>
      </w:r>
      <w:r w:rsidRPr="00B5646C">
        <w:t>los</w:t>
      </w:r>
      <w:r w:rsidRPr="00B5646C">
        <w:rPr>
          <w:spacing w:val="-2"/>
        </w:rPr>
        <w:t xml:space="preserve"> </w:t>
      </w:r>
      <w:r w:rsidRPr="00B5646C">
        <w:t>pliegos</w:t>
      </w:r>
      <w:r w:rsidRPr="00B5646C">
        <w:rPr>
          <w:spacing w:val="-5"/>
        </w:rPr>
        <w:t xml:space="preserve"> </w:t>
      </w:r>
      <w:r w:rsidRPr="00B5646C">
        <w:t>de</w:t>
      </w:r>
      <w:r w:rsidRPr="00B5646C">
        <w:rPr>
          <w:spacing w:val="-5"/>
        </w:rPr>
        <w:t xml:space="preserve"> </w:t>
      </w:r>
      <w:r w:rsidRPr="00B5646C">
        <w:t>condiciones,</w:t>
      </w:r>
      <w:r w:rsidRPr="00B5646C">
        <w:rPr>
          <w:spacing w:val="-2"/>
        </w:rPr>
        <w:t xml:space="preserve"> </w:t>
      </w:r>
      <w:r w:rsidRPr="00B5646C">
        <w:t>así,</w:t>
      </w:r>
      <w:r w:rsidRPr="00B5646C">
        <w:rPr>
          <w:spacing w:val="-3"/>
        </w:rPr>
        <w:t xml:space="preserve"> </w:t>
      </w:r>
      <w:r w:rsidRPr="00B5646C">
        <w:t>establece:</w:t>
      </w:r>
    </w:p>
    <w:p w14:paraId="10507F39" w14:textId="77777777" w:rsidR="00180A4D" w:rsidRPr="00B5646C" w:rsidRDefault="00180A4D" w:rsidP="00A45997">
      <w:pPr>
        <w:pStyle w:val="Textoindependiente"/>
        <w:jc w:val="both"/>
      </w:pPr>
    </w:p>
    <w:p w14:paraId="7B2D5AD0" w14:textId="77777777" w:rsidR="00180A4D" w:rsidRPr="00B5646C" w:rsidRDefault="00E520D2" w:rsidP="00A45997">
      <w:pPr>
        <w:pStyle w:val="Textoindependiente"/>
        <w:ind w:left="808" w:right="534"/>
        <w:jc w:val="both"/>
      </w:pPr>
      <w:r w:rsidRPr="00B5646C">
        <w:t>Artículo 2.2.1.2.1.2.20. Procedimiento para la selección abreviada de menor cuantía. Además de las normas generales establecidas en el presente título, las siguientes reglas son aplicables a la selección abreviada de menor cuantía:</w:t>
      </w:r>
    </w:p>
    <w:p w14:paraId="1601C4BE" w14:textId="77777777" w:rsidR="00180A4D" w:rsidRPr="00B5646C" w:rsidRDefault="00180A4D" w:rsidP="00A45997">
      <w:pPr>
        <w:pStyle w:val="Textoindependiente"/>
        <w:jc w:val="both"/>
      </w:pPr>
    </w:p>
    <w:p w14:paraId="5CE56525" w14:textId="77777777" w:rsidR="00180A4D" w:rsidRPr="00B5646C" w:rsidRDefault="00E520D2" w:rsidP="00A45997">
      <w:pPr>
        <w:pStyle w:val="Textoindependiente"/>
        <w:spacing w:before="1"/>
        <w:ind w:left="808" w:right="538"/>
        <w:jc w:val="both"/>
      </w:pPr>
      <w:r w:rsidRPr="00B5646C">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67661827" w14:textId="77777777" w:rsidR="00180A4D" w:rsidRPr="00B5646C" w:rsidRDefault="00180A4D" w:rsidP="00A45997">
      <w:pPr>
        <w:pStyle w:val="Textoindependiente"/>
        <w:spacing w:before="11"/>
        <w:jc w:val="both"/>
        <w:rPr>
          <w:sz w:val="19"/>
        </w:rPr>
      </w:pPr>
    </w:p>
    <w:p w14:paraId="52B97698" w14:textId="77777777" w:rsidR="00180A4D" w:rsidRPr="00B5646C" w:rsidRDefault="00E520D2" w:rsidP="00A45997">
      <w:pPr>
        <w:pStyle w:val="Textoindependiente"/>
        <w:ind w:left="100" w:right="107"/>
        <w:jc w:val="both"/>
      </w:pPr>
      <w:r w:rsidRPr="00B5646C">
        <w:t>Así las cosas, en principio, las entidades estatales deberán determinar el mecanismo por el que deberá ser allegada la manifestación de interés de los proponentes, el cual podrá ser físico o haciendo uso de las tecnologías de la información y las comunicaciones.</w:t>
      </w:r>
    </w:p>
    <w:p w14:paraId="30078AAC" w14:textId="77777777" w:rsidR="00180A4D" w:rsidRPr="00B5646C" w:rsidRDefault="00180A4D" w:rsidP="00A45997">
      <w:pPr>
        <w:pStyle w:val="Textoindependiente"/>
        <w:jc w:val="both"/>
      </w:pPr>
    </w:p>
    <w:p w14:paraId="2C5FC014" w14:textId="77777777" w:rsidR="00180A4D" w:rsidRPr="00B5646C" w:rsidRDefault="00E520D2" w:rsidP="00A45997">
      <w:pPr>
        <w:pStyle w:val="Textoindependiente"/>
        <w:ind w:left="100" w:right="106"/>
        <w:jc w:val="both"/>
      </w:pPr>
      <w:r w:rsidRPr="00B5646C">
        <w:t>No obstante lo anterior, en virtud del principio de celeridad, las entidades estatales deberán incentivar el uso de las tecnologías de la información y las comunicaciones para generar competitividad en la oferta de los bienes y servicios, y de esta forma garantizar la libre competencia</w:t>
      </w:r>
      <w:r w:rsidR="002D5D07" w:rsidRPr="00B5646C">
        <w:rPr>
          <w:rStyle w:val="Refdenotaalpie"/>
        </w:rPr>
        <w:footnoteReference w:id="5"/>
      </w:r>
      <w:r w:rsidRPr="00B5646C">
        <w:t xml:space="preserve">. Por tanto, deben promover las tecnologías de la información y las comunicaciones </w:t>
      </w:r>
      <w:r w:rsidRPr="00B5646C">
        <w:lastRenderedPageBreak/>
        <w:t>para recibir las manifestaciones de interés en procesos de contratación realizados a través de la selección abreviada de menor</w:t>
      </w:r>
      <w:r w:rsidRPr="00B5646C">
        <w:rPr>
          <w:spacing w:val="-2"/>
        </w:rPr>
        <w:t xml:space="preserve"> </w:t>
      </w:r>
      <w:r w:rsidRPr="00B5646C">
        <w:t>cuantía.</w:t>
      </w:r>
    </w:p>
    <w:p w14:paraId="0E27FE53" w14:textId="77777777" w:rsidR="00180A4D" w:rsidRPr="00B5646C" w:rsidRDefault="00180A4D" w:rsidP="00A45997">
      <w:pPr>
        <w:pStyle w:val="Textoindependiente"/>
        <w:spacing w:before="8"/>
        <w:jc w:val="both"/>
        <w:rPr>
          <w:sz w:val="19"/>
        </w:rPr>
      </w:pPr>
    </w:p>
    <w:p w14:paraId="2F547937" w14:textId="77777777" w:rsidR="00180A4D" w:rsidRPr="00B5646C" w:rsidRDefault="00E520D2" w:rsidP="00A45997">
      <w:pPr>
        <w:pStyle w:val="Textoindependiente"/>
        <w:ind w:left="100" w:right="110"/>
        <w:jc w:val="both"/>
      </w:pPr>
      <w:r w:rsidRPr="00B5646C">
        <w:t>Sumado a lo anterior, debe tenerse en cuenta que la Ley 1150 de 2007 estableció que el Sistema Electrónico de Contratación Electrónico (SECOP) es el medio de información oficial de toda la contratación realizada con dineros públicos y el punto único de ingreso de información para las entidades que contratan con cargo a recursos públicos, los entes de control y la ciudadanía en general.</w:t>
      </w:r>
    </w:p>
    <w:p w14:paraId="56BAFC42" w14:textId="77777777" w:rsidR="006321FF" w:rsidRPr="00B5646C" w:rsidRDefault="006321FF" w:rsidP="00A45997">
      <w:pPr>
        <w:pStyle w:val="Textoindependiente"/>
        <w:ind w:left="100" w:right="110"/>
        <w:jc w:val="both"/>
      </w:pPr>
    </w:p>
    <w:p w14:paraId="5E6C628A" w14:textId="77777777" w:rsidR="00180A4D" w:rsidRPr="00B5646C" w:rsidRDefault="00E520D2" w:rsidP="00A45997">
      <w:pPr>
        <w:pStyle w:val="Textoindependiente"/>
        <w:spacing w:before="94"/>
        <w:ind w:left="100" w:right="105"/>
        <w:jc w:val="both"/>
      </w:pPr>
      <w:r w:rsidRPr="00B5646C">
        <w:t>En este sentido, el SECOP II al ser un proceso transaccional, centraliza la información de los procesos de contratación, sus ofertas y los contratos en que resulta adjudicado, razón por la cual, la manifestación de interés que realizan los proponentes en los procesos de contratación de entidades estatales que hacen uso del SECOP II debe realizarse exclusivamente a través de la plataforma y, por tanto, las manifestaciones de interés físicas no son procedentes.</w:t>
      </w:r>
    </w:p>
    <w:p w14:paraId="7F0D3DEB" w14:textId="77777777" w:rsidR="00180A4D" w:rsidRPr="00B5646C" w:rsidRDefault="00180A4D" w:rsidP="00A45997">
      <w:pPr>
        <w:pStyle w:val="Textoindependiente"/>
        <w:jc w:val="both"/>
      </w:pPr>
    </w:p>
    <w:p w14:paraId="3A0D4EE4" w14:textId="77777777" w:rsidR="00180A4D" w:rsidRPr="00B5646C" w:rsidRDefault="00E520D2" w:rsidP="00A45997">
      <w:pPr>
        <w:pStyle w:val="Textoindependiente"/>
        <w:ind w:left="100" w:right="111"/>
        <w:jc w:val="both"/>
      </w:pPr>
      <w:r w:rsidRPr="00B5646C">
        <w:t>Este concepto tiene el alcance previsto en el artículo 28 del Código de Procedimiento Administrativo y de lo Contencioso Administrativo.</w:t>
      </w:r>
    </w:p>
    <w:p w14:paraId="2B9857AC" w14:textId="77777777" w:rsidR="00180A4D" w:rsidRPr="00B5646C" w:rsidRDefault="00220B21" w:rsidP="00A45997">
      <w:pPr>
        <w:pStyle w:val="Textoindependiente"/>
        <w:spacing w:before="6"/>
        <w:jc w:val="both"/>
        <w:rPr>
          <w:sz w:val="17"/>
        </w:rPr>
      </w:pPr>
      <w:r>
        <w:pict w14:anchorId="0E6828F8">
          <v:line id="_x0000_s1026" style="position:absolute;left:0;text-align:left;z-index:-251653120;mso-wrap-distance-left:0;mso-wrap-distance-right:0;mso-position-horizontal-relative:page" from="119.25pt,12.45pt" to="488.25pt,12.45pt" strokecolor="#dbdbdb">
            <w10:wrap type="topAndBottom" anchorx="page"/>
          </v:line>
        </w:pict>
      </w:r>
    </w:p>
    <w:p w14:paraId="720110D4" w14:textId="77777777" w:rsidR="00180A4D" w:rsidRPr="00B5646C" w:rsidRDefault="00E520D2" w:rsidP="00A45997">
      <w:pPr>
        <w:pStyle w:val="Textoindependiente"/>
        <w:spacing w:before="174"/>
        <w:ind w:left="100"/>
        <w:jc w:val="both"/>
      </w:pPr>
      <w:r w:rsidRPr="00B5646C">
        <w:t>Atentamente,</w:t>
      </w:r>
    </w:p>
    <w:p w14:paraId="2DEF7A8B" w14:textId="77777777" w:rsidR="00180A4D" w:rsidRPr="00B5646C" w:rsidRDefault="00180A4D" w:rsidP="00A45997">
      <w:pPr>
        <w:pStyle w:val="Textoindependiente"/>
        <w:jc w:val="both"/>
      </w:pPr>
    </w:p>
    <w:p w14:paraId="573D0521" w14:textId="597B3D6B" w:rsidR="00180A4D" w:rsidRDefault="00220B21" w:rsidP="00220B21">
      <w:pPr>
        <w:pStyle w:val="Textoindependiente"/>
        <w:spacing w:before="8"/>
        <w:jc w:val="center"/>
        <w:rPr>
          <w:sz w:val="18"/>
        </w:rPr>
      </w:pPr>
      <w:r>
        <w:rPr>
          <w:noProof/>
        </w:rPr>
        <w:drawing>
          <wp:inline distT="0" distB="0" distL="0" distR="0" wp14:anchorId="214476FD" wp14:editId="5A95935D">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67F01599" w14:textId="77777777" w:rsidR="00220B21" w:rsidRPr="00B5646C" w:rsidRDefault="00220B21" w:rsidP="00220B21">
      <w:pPr>
        <w:pStyle w:val="Textoindependiente"/>
        <w:spacing w:before="8"/>
        <w:jc w:val="center"/>
        <w:rPr>
          <w:sz w:val="18"/>
        </w:rPr>
      </w:pPr>
    </w:p>
    <w:p w14:paraId="5AFAACA3" w14:textId="77777777" w:rsidR="00180A4D" w:rsidRPr="00B5646C" w:rsidRDefault="00E520D2" w:rsidP="00A45997">
      <w:pPr>
        <w:pStyle w:val="Textoindependiente"/>
        <w:spacing w:before="37"/>
        <w:ind w:left="100"/>
        <w:jc w:val="both"/>
      </w:pPr>
      <w:r w:rsidRPr="00B5646C">
        <w:t>Proyectó: Nathalia Urrego J.</w:t>
      </w:r>
    </w:p>
    <w:sectPr w:rsidR="00180A4D" w:rsidRPr="00B5646C" w:rsidSect="00A45997">
      <w:headerReference w:type="default" r:id="rId12"/>
      <w:footerReference w:type="default" r:id="rId13"/>
      <w:pgSz w:w="12240" w:h="15840"/>
      <w:pgMar w:top="1560" w:right="1500" w:bottom="2140" w:left="1600" w:header="737" w:footer="1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3AAAB" w14:textId="77777777" w:rsidR="00E520D2" w:rsidRDefault="00E520D2">
      <w:r>
        <w:separator/>
      </w:r>
    </w:p>
  </w:endnote>
  <w:endnote w:type="continuationSeparator" w:id="0">
    <w:p w14:paraId="19C75A62" w14:textId="77777777" w:rsidR="00E520D2" w:rsidRDefault="00E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C59E5" w14:textId="77777777" w:rsidR="00180A4D" w:rsidRDefault="00E520D2">
    <w:pPr>
      <w:pStyle w:val="Textoindependiente"/>
      <w:spacing w:line="14" w:lineRule="auto"/>
    </w:pPr>
    <w:r>
      <w:rPr>
        <w:noProof/>
        <w:lang w:val="en-US" w:eastAsia="en-US" w:bidi="ar-SA"/>
      </w:rPr>
      <w:drawing>
        <wp:anchor distT="0" distB="0" distL="0" distR="0" simplePos="0" relativeHeight="251666432" behindDoc="1" locked="0" layoutInCell="1" allowOverlap="1" wp14:anchorId="30D1F8CC" wp14:editId="5F41A811">
          <wp:simplePos x="0" y="0"/>
          <wp:positionH relativeFrom="page">
            <wp:posOffset>1151916</wp:posOffset>
          </wp:positionH>
          <wp:positionV relativeFrom="page">
            <wp:posOffset>8841689</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17F82" w14:textId="77777777" w:rsidR="00E520D2" w:rsidRDefault="00E520D2">
      <w:r>
        <w:separator/>
      </w:r>
    </w:p>
  </w:footnote>
  <w:footnote w:type="continuationSeparator" w:id="0">
    <w:p w14:paraId="4315657C" w14:textId="77777777" w:rsidR="00E520D2" w:rsidRDefault="00E520D2">
      <w:r>
        <w:continuationSeparator/>
      </w:r>
    </w:p>
  </w:footnote>
  <w:footnote w:id="1">
    <w:p w14:paraId="26E315EC" w14:textId="77777777" w:rsidR="009B7975" w:rsidRPr="00220B21" w:rsidRDefault="009B7975" w:rsidP="00FC643A">
      <w:pPr>
        <w:pStyle w:val="Textonotapie"/>
        <w:ind w:firstLine="720"/>
        <w:jc w:val="both"/>
        <w:rPr>
          <w:color w:val="000000" w:themeColor="text1"/>
          <w:sz w:val="18"/>
          <w:szCs w:val="18"/>
        </w:rPr>
      </w:pPr>
      <w:r w:rsidRPr="00220B21">
        <w:rPr>
          <w:rStyle w:val="Refdenotaalpie"/>
          <w:color w:val="000000" w:themeColor="text1"/>
          <w:sz w:val="18"/>
          <w:szCs w:val="18"/>
        </w:rPr>
        <w:footnoteRef/>
      </w:r>
      <w:r w:rsidRPr="00220B21">
        <w:rPr>
          <w:color w:val="000000" w:themeColor="text1"/>
          <w:sz w:val="18"/>
          <w:szCs w:val="18"/>
        </w:rPr>
        <w:t xml:space="preserve"> Decreto 342 de 2019: “artículo 2.2.1.2.6.1.1. Objeto. La presente subsección tiene por objeto adoptar los Documentos Tipo para los pliegos de condiciones de los procesos de selección de licitación de obra pública de infraestructura de</w:t>
      </w:r>
      <w:r w:rsidRPr="00220B21">
        <w:rPr>
          <w:color w:val="000000" w:themeColor="text1"/>
          <w:spacing w:val="-1"/>
          <w:sz w:val="18"/>
          <w:szCs w:val="18"/>
        </w:rPr>
        <w:t xml:space="preserve"> </w:t>
      </w:r>
      <w:r w:rsidRPr="00220B21">
        <w:rPr>
          <w:color w:val="000000" w:themeColor="text1"/>
          <w:sz w:val="18"/>
          <w:szCs w:val="18"/>
        </w:rPr>
        <w:t>transporte”</w:t>
      </w:r>
      <w:r w:rsidR="00AB3A25" w:rsidRPr="00220B21">
        <w:rPr>
          <w:color w:val="000000" w:themeColor="text1"/>
          <w:sz w:val="18"/>
          <w:szCs w:val="18"/>
        </w:rPr>
        <w:t>.</w:t>
      </w:r>
    </w:p>
    <w:p w14:paraId="70CCCA56" w14:textId="77777777" w:rsidR="00FC643A" w:rsidRPr="00220B21" w:rsidRDefault="00FC643A" w:rsidP="00FC643A">
      <w:pPr>
        <w:pStyle w:val="Textonotapie"/>
        <w:jc w:val="both"/>
        <w:rPr>
          <w:color w:val="000000" w:themeColor="text1"/>
          <w:sz w:val="18"/>
          <w:szCs w:val="18"/>
          <w:lang w:val="es-CO"/>
        </w:rPr>
      </w:pPr>
    </w:p>
  </w:footnote>
  <w:footnote w:id="2">
    <w:p w14:paraId="7B7B29A5" w14:textId="77777777" w:rsidR="00AB3A25" w:rsidRPr="00220B21" w:rsidRDefault="00AB3A25" w:rsidP="00FC643A">
      <w:pPr>
        <w:pStyle w:val="Textonotapie"/>
        <w:ind w:firstLine="720"/>
        <w:jc w:val="both"/>
        <w:rPr>
          <w:color w:val="000000" w:themeColor="text1"/>
          <w:sz w:val="18"/>
          <w:szCs w:val="18"/>
        </w:rPr>
      </w:pPr>
      <w:r w:rsidRPr="00220B21">
        <w:rPr>
          <w:rStyle w:val="Refdenotaalpie"/>
          <w:color w:val="000000" w:themeColor="text1"/>
          <w:sz w:val="18"/>
          <w:szCs w:val="18"/>
        </w:rPr>
        <w:footnoteRef/>
      </w:r>
      <w:r w:rsidRPr="00220B21">
        <w:rPr>
          <w:color w:val="000000" w:themeColor="text1"/>
          <w:sz w:val="18"/>
          <w:szCs w:val="18"/>
        </w:rPr>
        <w:t xml:space="preserve"> Decreto 342 de 2019: “artículo “2.2.1.2.6.1.2. Alcance. Los Documentos Tipo contienen parámetros obligatorios para las entidades estatales sometidas al Estatuto General de la Contratación Pública que adelanten procesos de selección de licitación de obra pública de infraestructura de</w:t>
      </w:r>
      <w:r w:rsidRPr="00220B21">
        <w:rPr>
          <w:color w:val="000000" w:themeColor="text1"/>
          <w:spacing w:val="-3"/>
          <w:sz w:val="18"/>
          <w:szCs w:val="18"/>
        </w:rPr>
        <w:t xml:space="preserve"> </w:t>
      </w:r>
      <w:r w:rsidRPr="00220B21">
        <w:rPr>
          <w:color w:val="000000" w:themeColor="text1"/>
          <w:sz w:val="18"/>
          <w:szCs w:val="18"/>
        </w:rPr>
        <w:t>transporte”.</w:t>
      </w:r>
    </w:p>
    <w:p w14:paraId="3EF98811" w14:textId="77777777" w:rsidR="00FC643A" w:rsidRPr="00220B21" w:rsidRDefault="00FC643A" w:rsidP="00FC643A">
      <w:pPr>
        <w:pStyle w:val="Textonotapie"/>
        <w:jc w:val="both"/>
        <w:rPr>
          <w:color w:val="000000" w:themeColor="text1"/>
          <w:sz w:val="18"/>
          <w:szCs w:val="18"/>
          <w:lang w:val="es-CO"/>
        </w:rPr>
      </w:pPr>
    </w:p>
  </w:footnote>
  <w:footnote w:id="3">
    <w:p w14:paraId="05E5C806" w14:textId="77777777" w:rsidR="00AB3A25" w:rsidRPr="00220B21" w:rsidRDefault="00AB3A25" w:rsidP="00FC643A">
      <w:pPr>
        <w:pStyle w:val="Textonotapie"/>
        <w:ind w:firstLine="720"/>
        <w:jc w:val="both"/>
        <w:rPr>
          <w:color w:val="000000" w:themeColor="text1"/>
          <w:sz w:val="18"/>
          <w:szCs w:val="18"/>
          <w:lang w:val="es-CO"/>
        </w:rPr>
      </w:pPr>
      <w:r w:rsidRPr="00220B21">
        <w:rPr>
          <w:rStyle w:val="Refdenotaalpie"/>
          <w:color w:val="000000" w:themeColor="text1"/>
          <w:sz w:val="18"/>
          <w:szCs w:val="18"/>
        </w:rPr>
        <w:footnoteRef/>
      </w:r>
      <w:r w:rsidRPr="00220B21">
        <w:rPr>
          <w:color w:val="000000" w:themeColor="text1"/>
          <w:sz w:val="18"/>
          <w:szCs w:val="18"/>
        </w:rPr>
        <w:t xml:space="preserve"> Decreto 342 de 2019: “artículo 2.2.1.2.6.1.6. Ante la declaratoria de desierta de un proceso de contratación amparado por los Documentos Tipo, la entidad estatal que adelante el procedimiento de selección abreviada de menor cuantía, del que trata el artículo 2 de la Ley 1150 de 2007 y el artículo 2.2.1.2.1.2.22. del presente Decreto, deberá mantener las condiciones y requisitos de los Documentos</w:t>
      </w:r>
      <w:r w:rsidRPr="00220B21">
        <w:rPr>
          <w:color w:val="000000" w:themeColor="text1"/>
          <w:spacing w:val="-15"/>
          <w:sz w:val="18"/>
          <w:szCs w:val="18"/>
        </w:rPr>
        <w:t xml:space="preserve"> </w:t>
      </w:r>
      <w:r w:rsidRPr="00220B21">
        <w:rPr>
          <w:color w:val="000000" w:themeColor="text1"/>
          <w:sz w:val="18"/>
          <w:szCs w:val="18"/>
        </w:rPr>
        <w:t>Tipo”.</w:t>
      </w:r>
    </w:p>
  </w:footnote>
  <w:footnote w:id="4">
    <w:p w14:paraId="5B374B78" w14:textId="77777777" w:rsidR="00FE04DB" w:rsidRPr="00220B21" w:rsidRDefault="00FE04DB" w:rsidP="00FC643A">
      <w:pPr>
        <w:pStyle w:val="Textonotapie"/>
        <w:ind w:firstLine="720"/>
        <w:jc w:val="both"/>
        <w:rPr>
          <w:color w:val="000000" w:themeColor="text1"/>
          <w:sz w:val="18"/>
          <w:szCs w:val="18"/>
          <w:lang w:val="es-CO"/>
        </w:rPr>
      </w:pPr>
      <w:r w:rsidRPr="00220B21">
        <w:rPr>
          <w:rStyle w:val="Refdenotaalpie"/>
          <w:color w:val="000000" w:themeColor="text1"/>
          <w:sz w:val="18"/>
          <w:szCs w:val="18"/>
        </w:rPr>
        <w:footnoteRef/>
      </w:r>
      <w:r w:rsidRPr="00220B21">
        <w:rPr>
          <w:color w:val="000000" w:themeColor="text1"/>
          <w:sz w:val="18"/>
          <w:szCs w:val="18"/>
        </w:rPr>
        <w:t xml:space="preserve"> Decreto 1082 de 2015: “artículo 2.2.1.2.6.1.4. Inalterabilidad de los Documentos Tipo. Las entidades estatales contratantes no podrán incluir o modificar dentro de los Documentos del Proceso las condiciones habilitantes, los factores técnicos</w:t>
      </w:r>
      <w:r w:rsidRPr="00220B21">
        <w:rPr>
          <w:color w:val="000000" w:themeColor="text1"/>
          <w:spacing w:val="-2"/>
          <w:sz w:val="18"/>
          <w:szCs w:val="18"/>
        </w:rPr>
        <w:t xml:space="preserve"> </w:t>
      </w:r>
      <w:r w:rsidRPr="00220B21">
        <w:rPr>
          <w:color w:val="000000" w:themeColor="text1"/>
          <w:sz w:val="18"/>
          <w:szCs w:val="18"/>
        </w:rPr>
        <w:t>y</w:t>
      </w:r>
      <w:r w:rsidRPr="00220B21">
        <w:rPr>
          <w:color w:val="000000" w:themeColor="text1"/>
          <w:spacing w:val="-4"/>
          <w:sz w:val="18"/>
          <w:szCs w:val="18"/>
        </w:rPr>
        <w:t xml:space="preserve"> </w:t>
      </w:r>
      <w:r w:rsidRPr="00220B21">
        <w:rPr>
          <w:color w:val="000000" w:themeColor="text1"/>
          <w:sz w:val="18"/>
          <w:szCs w:val="18"/>
        </w:rPr>
        <w:t>económicos</w:t>
      </w:r>
      <w:r w:rsidRPr="00220B21">
        <w:rPr>
          <w:color w:val="000000" w:themeColor="text1"/>
          <w:spacing w:val="-3"/>
          <w:sz w:val="18"/>
          <w:szCs w:val="18"/>
        </w:rPr>
        <w:t xml:space="preserve"> </w:t>
      </w:r>
      <w:r w:rsidRPr="00220B21">
        <w:rPr>
          <w:color w:val="000000" w:themeColor="text1"/>
          <w:sz w:val="18"/>
          <w:szCs w:val="18"/>
        </w:rPr>
        <w:t>de</w:t>
      </w:r>
      <w:r w:rsidRPr="00220B21">
        <w:rPr>
          <w:color w:val="000000" w:themeColor="text1"/>
          <w:spacing w:val="-2"/>
          <w:sz w:val="18"/>
          <w:szCs w:val="18"/>
        </w:rPr>
        <w:t xml:space="preserve"> </w:t>
      </w:r>
      <w:r w:rsidRPr="00220B21">
        <w:rPr>
          <w:color w:val="000000" w:themeColor="text1"/>
          <w:sz w:val="18"/>
          <w:szCs w:val="18"/>
        </w:rPr>
        <w:t>escogencia</w:t>
      </w:r>
      <w:r w:rsidRPr="00220B21">
        <w:rPr>
          <w:color w:val="000000" w:themeColor="text1"/>
          <w:spacing w:val="-1"/>
          <w:sz w:val="18"/>
          <w:szCs w:val="18"/>
        </w:rPr>
        <w:t xml:space="preserve"> </w:t>
      </w:r>
      <w:r w:rsidRPr="00220B21">
        <w:rPr>
          <w:color w:val="000000" w:themeColor="text1"/>
          <w:sz w:val="18"/>
          <w:szCs w:val="18"/>
        </w:rPr>
        <w:t>y</w:t>
      </w:r>
      <w:r w:rsidRPr="00220B21">
        <w:rPr>
          <w:color w:val="000000" w:themeColor="text1"/>
          <w:spacing w:val="-4"/>
          <w:sz w:val="18"/>
          <w:szCs w:val="18"/>
        </w:rPr>
        <w:t xml:space="preserve"> </w:t>
      </w:r>
      <w:r w:rsidRPr="00220B21">
        <w:rPr>
          <w:color w:val="000000" w:themeColor="text1"/>
          <w:sz w:val="18"/>
          <w:szCs w:val="18"/>
        </w:rPr>
        <w:t>los</w:t>
      </w:r>
      <w:r w:rsidRPr="00220B21">
        <w:rPr>
          <w:color w:val="000000" w:themeColor="text1"/>
          <w:spacing w:val="-1"/>
          <w:sz w:val="18"/>
          <w:szCs w:val="18"/>
        </w:rPr>
        <w:t xml:space="preserve"> </w:t>
      </w:r>
      <w:r w:rsidRPr="00220B21">
        <w:rPr>
          <w:color w:val="000000" w:themeColor="text1"/>
          <w:sz w:val="18"/>
          <w:szCs w:val="18"/>
        </w:rPr>
        <w:t>sistemas</w:t>
      </w:r>
      <w:r w:rsidRPr="00220B21">
        <w:rPr>
          <w:color w:val="000000" w:themeColor="text1"/>
          <w:spacing w:val="-1"/>
          <w:sz w:val="18"/>
          <w:szCs w:val="18"/>
        </w:rPr>
        <w:t xml:space="preserve"> </w:t>
      </w:r>
      <w:r w:rsidRPr="00220B21">
        <w:rPr>
          <w:color w:val="000000" w:themeColor="text1"/>
          <w:sz w:val="18"/>
          <w:szCs w:val="18"/>
        </w:rPr>
        <w:t>de ponderación</w:t>
      </w:r>
      <w:r w:rsidRPr="00220B21">
        <w:rPr>
          <w:color w:val="000000" w:themeColor="text1"/>
          <w:spacing w:val="-4"/>
          <w:sz w:val="18"/>
          <w:szCs w:val="18"/>
        </w:rPr>
        <w:t xml:space="preserve"> </w:t>
      </w:r>
      <w:r w:rsidRPr="00220B21">
        <w:rPr>
          <w:color w:val="000000" w:themeColor="text1"/>
          <w:sz w:val="18"/>
          <w:szCs w:val="18"/>
        </w:rPr>
        <w:t>distintos</w:t>
      </w:r>
      <w:r w:rsidRPr="00220B21">
        <w:rPr>
          <w:color w:val="000000" w:themeColor="text1"/>
          <w:spacing w:val="-1"/>
          <w:sz w:val="18"/>
          <w:szCs w:val="18"/>
        </w:rPr>
        <w:t xml:space="preserve"> </w:t>
      </w:r>
      <w:r w:rsidRPr="00220B21">
        <w:rPr>
          <w:color w:val="000000" w:themeColor="text1"/>
          <w:sz w:val="18"/>
          <w:szCs w:val="18"/>
        </w:rPr>
        <w:t>a</w:t>
      </w:r>
      <w:r w:rsidRPr="00220B21">
        <w:rPr>
          <w:color w:val="000000" w:themeColor="text1"/>
          <w:spacing w:val="-3"/>
          <w:sz w:val="18"/>
          <w:szCs w:val="18"/>
        </w:rPr>
        <w:t xml:space="preserve"> </w:t>
      </w:r>
      <w:r w:rsidRPr="00220B21">
        <w:rPr>
          <w:color w:val="000000" w:themeColor="text1"/>
          <w:sz w:val="18"/>
          <w:szCs w:val="18"/>
        </w:rPr>
        <w:t>los</w:t>
      </w:r>
      <w:r w:rsidRPr="00220B21">
        <w:rPr>
          <w:color w:val="000000" w:themeColor="text1"/>
          <w:spacing w:val="-1"/>
          <w:sz w:val="18"/>
          <w:szCs w:val="18"/>
        </w:rPr>
        <w:t xml:space="preserve"> </w:t>
      </w:r>
      <w:r w:rsidRPr="00220B21">
        <w:rPr>
          <w:color w:val="000000" w:themeColor="text1"/>
          <w:sz w:val="18"/>
          <w:szCs w:val="18"/>
        </w:rPr>
        <w:t>señalados</w:t>
      </w:r>
      <w:r w:rsidRPr="00220B21">
        <w:rPr>
          <w:color w:val="000000" w:themeColor="text1"/>
          <w:spacing w:val="-4"/>
          <w:sz w:val="18"/>
          <w:szCs w:val="18"/>
        </w:rPr>
        <w:t xml:space="preserve"> </w:t>
      </w:r>
      <w:r w:rsidRPr="00220B21">
        <w:rPr>
          <w:color w:val="000000" w:themeColor="text1"/>
          <w:sz w:val="18"/>
          <w:szCs w:val="18"/>
        </w:rPr>
        <w:t>en</w:t>
      </w:r>
      <w:r w:rsidRPr="00220B21">
        <w:rPr>
          <w:color w:val="000000" w:themeColor="text1"/>
          <w:spacing w:val="-3"/>
          <w:sz w:val="18"/>
          <w:szCs w:val="18"/>
        </w:rPr>
        <w:t xml:space="preserve"> </w:t>
      </w:r>
      <w:r w:rsidRPr="00220B21">
        <w:rPr>
          <w:color w:val="000000" w:themeColor="text1"/>
          <w:sz w:val="18"/>
          <w:szCs w:val="18"/>
        </w:rPr>
        <w:t>los</w:t>
      </w:r>
      <w:r w:rsidRPr="00220B21">
        <w:rPr>
          <w:color w:val="000000" w:themeColor="text1"/>
          <w:spacing w:val="-1"/>
          <w:sz w:val="18"/>
          <w:szCs w:val="18"/>
        </w:rPr>
        <w:t xml:space="preserve"> </w:t>
      </w:r>
      <w:r w:rsidRPr="00220B21">
        <w:rPr>
          <w:color w:val="000000" w:themeColor="text1"/>
          <w:sz w:val="18"/>
          <w:szCs w:val="18"/>
        </w:rPr>
        <w:t>Documentos</w:t>
      </w:r>
      <w:r w:rsidRPr="00220B21">
        <w:rPr>
          <w:color w:val="000000" w:themeColor="text1"/>
          <w:spacing w:val="-3"/>
          <w:sz w:val="18"/>
          <w:szCs w:val="18"/>
        </w:rPr>
        <w:t xml:space="preserve"> </w:t>
      </w:r>
      <w:r w:rsidRPr="00220B21">
        <w:rPr>
          <w:color w:val="000000" w:themeColor="text1"/>
          <w:sz w:val="18"/>
          <w:szCs w:val="18"/>
        </w:rPr>
        <w:t>Tipo”</w:t>
      </w:r>
    </w:p>
  </w:footnote>
  <w:footnote w:id="5">
    <w:p w14:paraId="73572AC2" w14:textId="77777777" w:rsidR="006321FF" w:rsidRPr="00220B21" w:rsidRDefault="002D5D07" w:rsidP="00177F50">
      <w:pPr>
        <w:tabs>
          <w:tab w:val="left" w:pos="923"/>
        </w:tabs>
        <w:ind w:firstLine="924"/>
        <w:jc w:val="both"/>
        <w:rPr>
          <w:color w:val="000000" w:themeColor="text1"/>
          <w:sz w:val="18"/>
          <w:szCs w:val="18"/>
        </w:rPr>
      </w:pPr>
      <w:r w:rsidRPr="00220B21">
        <w:rPr>
          <w:rStyle w:val="Refdenotaalpie"/>
          <w:color w:val="000000" w:themeColor="text1"/>
          <w:sz w:val="18"/>
          <w:szCs w:val="18"/>
        </w:rPr>
        <w:footnoteRef/>
      </w:r>
      <w:r w:rsidRPr="00220B21">
        <w:rPr>
          <w:color w:val="000000" w:themeColor="text1"/>
          <w:sz w:val="18"/>
          <w:szCs w:val="18"/>
        </w:rPr>
        <w:t xml:space="preserve"> Ley 1437 de 2011: “artículo 3. Principios. odas las autoridades deberán interpretar y aplicar las disposiciones que regulan las actuaciones y procedimientos administrativos a la luz de los principios consagrados en la Constitución Política, en la Parte Primera de este Código y en las leyes</w:t>
      </w:r>
      <w:r w:rsidRPr="00220B21">
        <w:rPr>
          <w:color w:val="000000" w:themeColor="text1"/>
          <w:spacing w:val="-5"/>
          <w:sz w:val="18"/>
          <w:szCs w:val="18"/>
        </w:rPr>
        <w:t xml:space="preserve"> </w:t>
      </w:r>
      <w:r w:rsidRPr="00220B21">
        <w:rPr>
          <w:color w:val="000000" w:themeColor="text1"/>
          <w:sz w:val="18"/>
          <w:szCs w:val="18"/>
        </w:rPr>
        <w:t>especiales.</w:t>
      </w:r>
    </w:p>
    <w:p w14:paraId="72105174" w14:textId="77777777" w:rsidR="002D5D07" w:rsidRPr="00220B21" w:rsidRDefault="002D5D07" w:rsidP="00FC643A">
      <w:pPr>
        <w:jc w:val="both"/>
        <w:rPr>
          <w:color w:val="000000" w:themeColor="text1"/>
          <w:sz w:val="18"/>
          <w:szCs w:val="18"/>
        </w:rPr>
      </w:pPr>
      <w:r w:rsidRPr="00220B21">
        <w:rPr>
          <w:color w:val="000000" w:themeColor="text1"/>
          <w:sz w:val="18"/>
          <w:szCs w:val="18"/>
        </w:rPr>
        <w:t>“Las actuaciones administrativas se desarrollarán, especialmente, con arreglo a los principios del debido proceso, igualdad,</w:t>
      </w:r>
      <w:r w:rsidR="00177F50" w:rsidRPr="00220B21">
        <w:rPr>
          <w:color w:val="000000" w:themeColor="text1"/>
          <w:sz w:val="18"/>
          <w:szCs w:val="18"/>
        </w:rPr>
        <w:t xml:space="preserve"> </w:t>
      </w:r>
      <w:r w:rsidRPr="00220B21">
        <w:rPr>
          <w:color w:val="000000" w:themeColor="text1"/>
          <w:sz w:val="18"/>
          <w:szCs w:val="18"/>
        </w:rPr>
        <w:t>imparcialidad, buena fe, moralidad, participación, responsabilidad, transparencia, publicidad, coordinación, eficacia, economía y celeridad.</w:t>
      </w:r>
    </w:p>
    <w:p w14:paraId="7711CE71" w14:textId="77777777" w:rsidR="002D5D07" w:rsidRPr="00220B21" w:rsidRDefault="002D5D07" w:rsidP="00FC643A">
      <w:pPr>
        <w:jc w:val="both"/>
        <w:rPr>
          <w:color w:val="000000" w:themeColor="text1"/>
          <w:sz w:val="18"/>
          <w:szCs w:val="18"/>
        </w:rPr>
      </w:pPr>
      <w:r w:rsidRPr="00220B21">
        <w:rPr>
          <w:color w:val="000000" w:themeColor="text1"/>
          <w:sz w:val="18"/>
          <w:szCs w:val="18"/>
        </w:rPr>
        <w:t>(…)</w:t>
      </w:r>
    </w:p>
    <w:p w14:paraId="0129B646" w14:textId="77777777" w:rsidR="002D5D07" w:rsidRPr="00220B21" w:rsidRDefault="002D5D07" w:rsidP="00FC643A">
      <w:pPr>
        <w:pStyle w:val="Textoindependiente"/>
        <w:jc w:val="both"/>
        <w:rPr>
          <w:color w:val="000000" w:themeColor="text1"/>
          <w:sz w:val="18"/>
          <w:szCs w:val="18"/>
        </w:rPr>
      </w:pPr>
    </w:p>
    <w:p w14:paraId="38423A3A" w14:textId="77777777" w:rsidR="002D5D07" w:rsidRPr="00220B21" w:rsidRDefault="002D5D07" w:rsidP="00FC643A">
      <w:pPr>
        <w:jc w:val="both"/>
        <w:rPr>
          <w:color w:val="000000" w:themeColor="text1"/>
          <w:sz w:val="18"/>
          <w:szCs w:val="18"/>
        </w:rPr>
      </w:pPr>
      <w:r w:rsidRPr="00220B21">
        <w:rPr>
          <w:color w:val="000000" w:themeColor="text1"/>
          <w:sz w:val="18"/>
          <w:szCs w:val="18"/>
        </w:rPr>
        <w:t>13. En virtud del principio de celeridad, las autoridades impulsarán oficiosamente los procedimientos, e incentivarán el uso de las tecnologías de la información y las comunicaciones, a efectos de que los procedimientos se adelanten con diligencia, dentro de los términos legales y sin dilaciones injustificadas</w:t>
      </w:r>
    </w:p>
    <w:p w14:paraId="5FC08FA6" w14:textId="77777777" w:rsidR="002D5D07" w:rsidRPr="00220B21" w:rsidRDefault="006321FF" w:rsidP="00FC643A">
      <w:pPr>
        <w:pStyle w:val="Textonotapie"/>
        <w:jc w:val="both"/>
        <w:rPr>
          <w:color w:val="000000" w:themeColor="text1"/>
          <w:sz w:val="18"/>
          <w:szCs w:val="18"/>
          <w:lang w:val="es-CO"/>
        </w:rPr>
      </w:pPr>
      <w:r w:rsidRPr="00220B21">
        <w:rPr>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04BB7" w14:textId="77777777" w:rsidR="00180A4D" w:rsidRDefault="00E520D2">
    <w:pPr>
      <w:pStyle w:val="Textoindependiente"/>
      <w:spacing w:line="14" w:lineRule="auto"/>
    </w:pPr>
    <w:r>
      <w:rPr>
        <w:noProof/>
        <w:lang w:val="en-US" w:eastAsia="en-US" w:bidi="ar-SA"/>
      </w:rPr>
      <w:drawing>
        <wp:anchor distT="0" distB="0" distL="0" distR="0" simplePos="0" relativeHeight="251657216" behindDoc="1" locked="0" layoutInCell="1" allowOverlap="1" wp14:anchorId="0F7CA4ED" wp14:editId="3BCFE005">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224F0"/>
    <w:multiLevelType w:val="hybridMultilevel"/>
    <w:tmpl w:val="8BD26BDC"/>
    <w:lvl w:ilvl="0" w:tplc="56DCC3BA">
      <w:start w:val="6"/>
      <w:numFmt w:val="decimal"/>
      <w:lvlText w:val="%1."/>
      <w:lvlJc w:val="left"/>
      <w:pPr>
        <w:ind w:left="100" w:hanging="221"/>
        <w:jc w:val="left"/>
      </w:pPr>
      <w:rPr>
        <w:rFonts w:ascii="Arial" w:eastAsia="Arial" w:hAnsi="Arial" w:cs="Arial" w:hint="default"/>
        <w:color w:val="4E4D4D"/>
        <w:spacing w:val="-2"/>
        <w:w w:val="100"/>
        <w:sz w:val="20"/>
        <w:szCs w:val="20"/>
        <w:lang w:val="es-ES" w:eastAsia="es-ES" w:bidi="es-ES"/>
      </w:rPr>
    </w:lvl>
    <w:lvl w:ilvl="1" w:tplc="439AD1AC">
      <w:start w:val="4"/>
      <w:numFmt w:val="decimal"/>
      <w:lvlText w:val="%2"/>
      <w:lvlJc w:val="left"/>
      <w:pPr>
        <w:ind w:left="100" w:hanging="133"/>
        <w:jc w:val="left"/>
      </w:pPr>
      <w:rPr>
        <w:rFonts w:ascii="Calibri" w:eastAsia="Calibri" w:hAnsi="Calibri" w:cs="Calibri" w:hint="default"/>
        <w:spacing w:val="-4"/>
        <w:w w:val="100"/>
        <w:position w:val="6"/>
        <w:sz w:val="13"/>
        <w:szCs w:val="13"/>
        <w:lang w:val="es-ES" w:eastAsia="es-ES" w:bidi="es-ES"/>
      </w:rPr>
    </w:lvl>
    <w:lvl w:ilvl="2" w:tplc="35D82650">
      <w:numFmt w:val="bullet"/>
      <w:lvlText w:val="•"/>
      <w:lvlJc w:val="left"/>
      <w:pPr>
        <w:ind w:left="1908" w:hanging="133"/>
      </w:pPr>
      <w:rPr>
        <w:rFonts w:hint="default"/>
        <w:lang w:val="es-ES" w:eastAsia="es-ES" w:bidi="es-ES"/>
      </w:rPr>
    </w:lvl>
    <w:lvl w:ilvl="3" w:tplc="394203F6">
      <w:numFmt w:val="bullet"/>
      <w:lvlText w:val="•"/>
      <w:lvlJc w:val="left"/>
      <w:pPr>
        <w:ind w:left="2812" w:hanging="133"/>
      </w:pPr>
      <w:rPr>
        <w:rFonts w:hint="default"/>
        <w:lang w:val="es-ES" w:eastAsia="es-ES" w:bidi="es-ES"/>
      </w:rPr>
    </w:lvl>
    <w:lvl w:ilvl="4" w:tplc="6FA6B984">
      <w:numFmt w:val="bullet"/>
      <w:lvlText w:val="•"/>
      <w:lvlJc w:val="left"/>
      <w:pPr>
        <w:ind w:left="3716" w:hanging="133"/>
      </w:pPr>
      <w:rPr>
        <w:rFonts w:hint="default"/>
        <w:lang w:val="es-ES" w:eastAsia="es-ES" w:bidi="es-ES"/>
      </w:rPr>
    </w:lvl>
    <w:lvl w:ilvl="5" w:tplc="7F8ED0B2">
      <w:numFmt w:val="bullet"/>
      <w:lvlText w:val="•"/>
      <w:lvlJc w:val="left"/>
      <w:pPr>
        <w:ind w:left="4620" w:hanging="133"/>
      </w:pPr>
      <w:rPr>
        <w:rFonts w:hint="default"/>
        <w:lang w:val="es-ES" w:eastAsia="es-ES" w:bidi="es-ES"/>
      </w:rPr>
    </w:lvl>
    <w:lvl w:ilvl="6" w:tplc="B2F4AE50">
      <w:numFmt w:val="bullet"/>
      <w:lvlText w:val="•"/>
      <w:lvlJc w:val="left"/>
      <w:pPr>
        <w:ind w:left="5524" w:hanging="133"/>
      </w:pPr>
      <w:rPr>
        <w:rFonts w:hint="default"/>
        <w:lang w:val="es-ES" w:eastAsia="es-ES" w:bidi="es-ES"/>
      </w:rPr>
    </w:lvl>
    <w:lvl w:ilvl="7" w:tplc="D86AEA10">
      <w:numFmt w:val="bullet"/>
      <w:lvlText w:val="•"/>
      <w:lvlJc w:val="left"/>
      <w:pPr>
        <w:ind w:left="6428" w:hanging="133"/>
      </w:pPr>
      <w:rPr>
        <w:rFonts w:hint="default"/>
        <w:lang w:val="es-ES" w:eastAsia="es-ES" w:bidi="es-ES"/>
      </w:rPr>
    </w:lvl>
    <w:lvl w:ilvl="8" w:tplc="F83816F0">
      <w:numFmt w:val="bullet"/>
      <w:lvlText w:val="•"/>
      <w:lvlJc w:val="left"/>
      <w:pPr>
        <w:ind w:left="7332" w:hanging="133"/>
      </w:pPr>
      <w:rPr>
        <w:rFonts w:hint="default"/>
        <w:lang w:val="es-ES" w:eastAsia="es-ES" w:bidi="es-ES"/>
      </w:rPr>
    </w:lvl>
  </w:abstractNum>
  <w:abstractNum w:abstractNumId="1" w15:restartNumberingAfterBreak="0">
    <w:nsid w:val="3EC97155"/>
    <w:multiLevelType w:val="hybridMultilevel"/>
    <w:tmpl w:val="4D5425C6"/>
    <w:lvl w:ilvl="0" w:tplc="84F63C58">
      <w:start w:val="3"/>
      <w:numFmt w:val="decimal"/>
      <w:lvlText w:val="%1."/>
      <w:lvlJc w:val="left"/>
      <w:pPr>
        <w:ind w:left="100" w:hanging="245"/>
        <w:jc w:val="left"/>
      </w:pPr>
      <w:rPr>
        <w:rFonts w:ascii="Arial" w:eastAsia="Arial" w:hAnsi="Arial" w:cs="Arial" w:hint="default"/>
        <w:color w:val="4E4D4D"/>
        <w:spacing w:val="-2"/>
        <w:w w:val="100"/>
        <w:sz w:val="20"/>
        <w:szCs w:val="20"/>
        <w:lang w:val="es-ES" w:eastAsia="es-ES" w:bidi="es-ES"/>
      </w:rPr>
    </w:lvl>
    <w:lvl w:ilvl="1" w:tplc="7BE45630">
      <w:numFmt w:val="bullet"/>
      <w:lvlText w:val="•"/>
      <w:lvlJc w:val="left"/>
      <w:pPr>
        <w:ind w:left="1004" w:hanging="245"/>
      </w:pPr>
      <w:rPr>
        <w:rFonts w:hint="default"/>
        <w:lang w:val="es-ES" w:eastAsia="es-ES" w:bidi="es-ES"/>
      </w:rPr>
    </w:lvl>
    <w:lvl w:ilvl="2" w:tplc="03B6D5D8">
      <w:numFmt w:val="bullet"/>
      <w:lvlText w:val="•"/>
      <w:lvlJc w:val="left"/>
      <w:pPr>
        <w:ind w:left="1908" w:hanging="245"/>
      </w:pPr>
      <w:rPr>
        <w:rFonts w:hint="default"/>
        <w:lang w:val="es-ES" w:eastAsia="es-ES" w:bidi="es-ES"/>
      </w:rPr>
    </w:lvl>
    <w:lvl w:ilvl="3" w:tplc="3620E2AA">
      <w:numFmt w:val="bullet"/>
      <w:lvlText w:val="•"/>
      <w:lvlJc w:val="left"/>
      <w:pPr>
        <w:ind w:left="2812" w:hanging="245"/>
      </w:pPr>
      <w:rPr>
        <w:rFonts w:hint="default"/>
        <w:lang w:val="es-ES" w:eastAsia="es-ES" w:bidi="es-ES"/>
      </w:rPr>
    </w:lvl>
    <w:lvl w:ilvl="4" w:tplc="10A87B6C">
      <w:numFmt w:val="bullet"/>
      <w:lvlText w:val="•"/>
      <w:lvlJc w:val="left"/>
      <w:pPr>
        <w:ind w:left="3716" w:hanging="245"/>
      </w:pPr>
      <w:rPr>
        <w:rFonts w:hint="default"/>
        <w:lang w:val="es-ES" w:eastAsia="es-ES" w:bidi="es-ES"/>
      </w:rPr>
    </w:lvl>
    <w:lvl w:ilvl="5" w:tplc="58C6FBAC">
      <w:numFmt w:val="bullet"/>
      <w:lvlText w:val="•"/>
      <w:lvlJc w:val="left"/>
      <w:pPr>
        <w:ind w:left="4620" w:hanging="245"/>
      </w:pPr>
      <w:rPr>
        <w:rFonts w:hint="default"/>
        <w:lang w:val="es-ES" w:eastAsia="es-ES" w:bidi="es-ES"/>
      </w:rPr>
    </w:lvl>
    <w:lvl w:ilvl="6" w:tplc="B2C24D94">
      <w:numFmt w:val="bullet"/>
      <w:lvlText w:val="•"/>
      <w:lvlJc w:val="left"/>
      <w:pPr>
        <w:ind w:left="5524" w:hanging="245"/>
      </w:pPr>
      <w:rPr>
        <w:rFonts w:hint="default"/>
        <w:lang w:val="es-ES" w:eastAsia="es-ES" w:bidi="es-ES"/>
      </w:rPr>
    </w:lvl>
    <w:lvl w:ilvl="7" w:tplc="97EA8CD2">
      <w:numFmt w:val="bullet"/>
      <w:lvlText w:val="•"/>
      <w:lvlJc w:val="left"/>
      <w:pPr>
        <w:ind w:left="6428" w:hanging="245"/>
      </w:pPr>
      <w:rPr>
        <w:rFonts w:hint="default"/>
        <w:lang w:val="es-ES" w:eastAsia="es-ES" w:bidi="es-ES"/>
      </w:rPr>
    </w:lvl>
    <w:lvl w:ilvl="8" w:tplc="EB688F68">
      <w:numFmt w:val="bullet"/>
      <w:lvlText w:val="•"/>
      <w:lvlJc w:val="left"/>
      <w:pPr>
        <w:ind w:left="7332" w:hanging="245"/>
      </w:pPr>
      <w:rPr>
        <w:rFonts w:hint="default"/>
        <w:lang w:val="es-ES" w:eastAsia="es-ES" w:bidi="es-ES"/>
      </w:rPr>
    </w:lvl>
  </w:abstractNum>
  <w:abstractNum w:abstractNumId="2" w15:restartNumberingAfterBreak="0">
    <w:nsid w:val="7EC35FC9"/>
    <w:multiLevelType w:val="hybridMultilevel"/>
    <w:tmpl w:val="B18CB776"/>
    <w:lvl w:ilvl="0" w:tplc="A802BDF8">
      <w:numFmt w:val="bullet"/>
      <w:lvlText w:val=""/>
      <w:lvlJc w:val="left"/>
      <w:pPr>
        <w:ind w:left="385" w:hanging="285"/>
      </w:pPr>
      <w:rPr>
        <w:rFonts w:ascii="Wingdings" w:eastAsia="Wingdings" w:hAnsi="Wingdings" w:cs="Wingdings" w:hint="default"/>
        <w:color w:val="000000" w:themeColor="text1"/>
        <w:w w:val="100"/>
        <w:sz w:val="28"/>
        <w:szCs w:val="28"/>
        <w:lang w:val="es-ES" w:eastAsia="es-ES" w:bidi="es-ES"/>
      </w:rPr>
    </w:lvl>
    <w:lvl w:ilvl="1" w:tplc="6F96497A">
      <w:start w:val="1"/>
      <w:numFmt w:val="decimal"/>
      <w:lvlText w:val="%2"/>
      <w:lvlJc w:val="left"/>
      <w:pPr>
        <w:ind w:left="100" w:hanging="158"/>
        <w:jc w:val="left"/>
      </w:pPr>
      <w:rPr>
        <w:rFonts w:ascii="Calibri" w:eastAsia="Calibri" w:hAnsi="Calibri" w:cs="Calibri" w:hint="default"/>
        <w:spacing w:val="-4"/>
        <w:w w:val="100"/>
        <w:position w:val="6"/>
        <w:sz w:val="13"/>
        <w:szCs w:val="13"/>
        <w:lang w:val="es-ES" w:eastAsia="es-ES" w:bidi="es-ES"/>
      </w:rPr>
    </w:lvl>
    <w:lvl w:ilvl="2" w:tplc="52A86AAE">
      <w:numFmt w:val="bullet"/>
      <w:lvlText w:val="•"/>
      <w:lvlJc w:val="left"/>
      <w:pPr>
        <w:ind w:left="1353" w:hanging="158"/>
      </w:pPr>
      <w:rPr>
        <w:rFonts w:hint="default"/>
        <w:lang w:val="es-ES" w:eastAsia="es-ES" w:bidi="es-ES"/>
      </w:rPr>
    </w:lvl>
    <w:lvl w:ilvl="3" w:tplc="095C70B4">
      <w:numFmt w:val="bullet"/>
      <w:lvlText w:val="•"/>
      <w:lvlJc w:val="left"/>
      <w:pPr>
        <w:ind w:left="2326" w:hanging="158"/>
      </w:pPr>
      <w:rPr>
        <w:rFonts w:hint="default"/>
        <w:lang w:val="es-ES" w:eastAsia="es-ES" w:bidi="es-ES"/>
      </w:rPr>
    </w:lvl>
    <w:lvl w:ilvl="4" w:tplc="36E2E38E">
      <w:numFmt w:val="bullet"/>
      <w:lvlText w:val="•"/>
      <w:lvlJc w:val="left"/>
      <w:pPr>
        <w:ind w:left="3300" w:hanging="158"/>
      </w:pPr>
      <w:rPr>
        <w:rFonts w:hint="default"/>
        <w:lang w:val="es-ES" w:eastAsia="es-ES" w:bidi="es-ES"/>
      </w:rPr>
    </w:lvl>
    <w:lvl w:ilvl="5" w:tplc="72CEC500">
      <w:numFmt w:val="bullet"/>
      <w:lvlText w:val="•"/>
      <w:lvlJc w:val="left"/>
      <w:pPr>
        <w:ind w:left="4273" w:hanging="158"/>
      </w:pPr>
      <w:rPr>
        <w:rFonts w:hint="default"/>
        <w:lang w:val="es-ES" w:eastAsia="es-ES" w:bidi="es-ES"/>
      </w:rPr>
    </w:lvl>
    <w:lvl w:ilvl="6" w:tplc="20CEF796">
      <w:numFmt w:val="bullet"/>
      <w:lvlText w:val="•"/>
      <w:lvlJc w:val="left"/>
      <w:pPr>
        <w:ind w:left="5246" w:hanging="158"/>
      </w:pPr>
      <w:rPr>
        <w:rFonts w:hint="default"/>
        <w:lang w:val="es-ES" w:eastAsia="es-ES" w:bidi="es-ES"/>
      </w:rPr>
    </w:lvl>
    <w:lvl w:ilvl="7" w:tplc="FA4CED18">
      <w:numFmt w:val="bullet"/>
      <w:lvlText w:val="•"/>
      <w:lvlJc w:val="left"/>
      <w:pPr>
        <w:ind w:left="6220" w:hanging="158"/>
      </w:pPr>
      <w:rPr>
        <w:rFonts w:hint="default"/>
        <w:lang w:val="es-ES" w:eastAsia="es-ES" w:bidi="es-ES"/>
      </w:rPr>
    </w:lvl>
    <w:lvl w:ilvl="8" w:tplc="3820ADF8">
      <w:numFmt w:val="bullet"/>
      <w:lvlText w:val="•"/>
      <w:lvlJc w:val="left"/>
      <w:pPr>
        <w:ind w:left="7193" w:hanging="158"/>
      </w:pPr>
      <w:rPr>
        <w:rFonts w:hint="default"/>
        <w:lang w:val="es-ES" w:eastAsia="es-ES" w:bidi="es-E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80A4D"/>
    <w:rsid w:val="00177F50"/>
    <w:rsid w:val="00180A4D"/>
    <w:rsid w:val="00183ED7"/>
    <w:rsid w:val="00220B21"/>
    <w:rsid w:val="002D5D07"/>
    <w:rsid w:val="002E5ED7"/>
    <w:rsid w:val="002F6241"/>
    <w:rsid w:val="00300B38"/>
    <w:rsid w:val="00351FF3"/>
    <w:rsid w:val="003A4F07"/>
    <w:rsid w:val="003E298F"/>
    <w:rsid w:val="00480921"/>
    <w:rsid w:val="006321FF"/>
    <w:rsid w:val="006774DA"/>
    <w:rsid w:val="006A735C"/>
    <w:rsid w:val="0074212B"/>
    <w:rsid w:val="0075629C"/>
    <w:rsid w:val="00792F04"/>
    <w:rsid w:val="007A10E7"/>
    <w:rsid w:val="008007B0"/>
    <w:rsid w:val="009479A4"/>
    <w:rsid w:val="009B7975"/>
    <w:rsid w:val="00A45997"/>
    <w:rsid w:val="00A855A1"/>
    <w:rsid w:val="00AA38EB"/>
    <w:rsid w:val="00AB3A25"/>
    <w:rsid w:val="00B5646C"/>
    <w:rsid w:val="00C42827"/>
    <w:rsid w:val="00D24C85"/>
    <w:rsid w:val="00D90E1B"/>
    <w:rsid w:val="00DE716C"/>
    <w:rsid w:val="00E318BF"/>
    <w:rsid w:val="00E520D2"/>
    <w:rsid w:val="00EC22A9"/>
    <w:rsid w:val="00EF1841"/>
    <w:rsid w:val="00F152DE"/>
    <w:rsid w:val="00F3507C"/>
    <w:rsid w:val="00F82265"/>
    <w:rsid w:val="00F942C7"/>
    <w:rsid w:val="00FC643A"/>
    <w:rsid w:val="00FE04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20417F2"/>
  <w15:docId w15:val="{02B06148-985C-4DEE-9917-88FAD10B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0" w:firstLine="707"/>
      <w:jc w:val="both"/>
    </w:pPr>
  </w:style>
  <w:style w:type="paragraph" w:customStyle="1" w:styleId="TableParagraph">
    <w:name w:val="Table Paragraph"/>
    <w:basedOn w:val="Normal"/>
    <w:uiPriority w:val="1"/>
    <w:qFormat/>
    <w:pPr>
      <w:ind w:left="454" w:right="454"/>
      <w:jc w:val="center"/>
    </w:pPr>
    <w:rPr>
      <w:rFonts w:ascii="Calibri" w:eastAsia="Calibri" w:hAnsi="Calibri" w:cs="Calibri"/>
    </w:rPr>
  </w:style>
  <w:style w:type="paragraph" w:styleId="Textonotapie">
    <w:name w:val="footnote text"/>
    <w:basedOn w:val="Normal"/>
    <w:link w:val="TextonotapieCar"/>
    <w:uiPriority w:val="99"/>
    <w:semiHidden/>
    <w:unhideWhenUsed/>
    <w:rsid w:val="009B7975"/>
    <w:rPr>
      <w:sz w:val="20"/>
      <w:szCs w:val="20"/>
    </w:rPr>
  </w:style>
  <w:style w:type="character" w:customStyle="1" w:styleId="TextonotapieCar">
    <w:name w:val="Texto nota pie Car"/>
    <w:basedOn w:val="Fuentedeprrafopredeter"/>
    <w:link w:val="Textonotapie"/>
    <w:uiPriority w:val="99"/>
    <w:semiHidden/>
    <w:rsid w:val="009B7975"/>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9B7975"/>
    <w:rPr>
      <w:vertAlign w:val="superscript"/>
    </w:rPr>
  </w:style>
  <w:style w:type="paragraph" w:styleId="Encabezado">
    <w:name w:val="header"/>
    <w:basedOn w:val="Normal"/>
    <w:link w:val="EncabezadoCar"/>
    <w:uiPriority w:val="99"/>
    <w:unhideWhenUsed/>
    <w:rsid w:val="00220B21"/>
    <w:pPr>
      <w:tabs>
        <w:tab w:val="center" w:pos="4419"/>
        <w:tab w:val="right" w:pos="8838"/>
      </w:tabs>
    </w:pPr>
  </w:style>
  <w:style w:type="character" w:customStyle="1" w:styleId="EncabezadoCar">
    <w:name w:val="Encabezado Car"/>
    <w:basedOn w:val="Fuentedeprrafopredeter"/>
    <w:link w:val="Encabezado"/>
    <w:uiPriority w:val="99"/>
    <w:rsid w:val="00220B21"/>
    <w:rPr>
      <w:rFonts w:ascii="Arial" w:eastAsia="Arial" w:hAnsi="Arial" w:cs="Arial"/>
      <w:lang w:val="es-ES" w:eastAsia="es-ES" w:bidi="es-ES"/>
    </w:rPr>
  </w:style>
  <w:style w:type="paragraph" w:styleId="Piedepgina">
    <w:name w:val="footer"/>
    <w:basedOn w:val="Normal"/>
    <w:link w:val="PiedepginaCar"/>
    <w:uiPriority w:val="99"/>
    <w:unhideWhenUsed/>
    <w:rsid w:val="00220B21"/>
    <w:pPr>
      <w:tabs>
        <w:tab w:val="center" w:pos="4419"/>
        <w:tab w:val="right" w:pos="8838"/>
      </w:tabs>
    </w:pPr>
  </w:style>
  <w:style w:type="character" w:customStyle="1" w:styleId="PiedepginaCar">
    <w:name w:val="Pie de página Car"/>
    <w:basedOn w:val="Fuentedeprrafopredeter"/>
    <w:link w:val="Piedepgina"/>
    <w:uiPriority w:val="99"/>
    <w:rsid w:val="00220B21"/>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5C43FDA-470E-4126-AEE5-53B8A7BFA7DB}">
  <ds:schemaRefs>
    <ds:schemaRef ds:uri="http://schemas.openxmlformats.org/officeDocument/2006/bibliography"/>
  </ds:schemaRefs>
</ds:datastoreItem>
</file>

<file path=customXml/itemProps2.xml><?xml version="1.0" encoding="utf-8"?>
<ds:datastoreItem xmlns:ds="http://schemas.openxmlformats.org/officeDocument/2006/customXml" ds:itemID="{65318F6D-D135-4EC8-8847-5A649392D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A4DF1-2147-47D9-8289-9A57E7095FB0}">
  <ds:schemaRefs>
    <ds:schemaRef ds:uri="http://schemas.microsoft.com/sharepoint/v3/contenttype/forms"/>
  </ds:schemaRefs>
</ds:datastoreItem>
</file>

<file path=customXml/itemProps4.xml><?xml version="1.0" encoding="utf-8"?>
<ds:datastoreItem xmlns:ds="http://schemas.openxmlformats.org/officeDocument/2006/customXml" ds:itemID="{02C8B866-2C28-42D3-ABD2-88323F4A517A}">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2373</Words>
  <Characters>13055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16</cp:revision>
  <dcterms:created xsi:type="dcterms:W3CDTF">2020-04-06T20:44:00Z</dcterms:created>
  <dcterms:modified xsi:type="dcterms:W3CDTF">2020-07-03T21:20:00Z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vt:lpwstr>
  </property>
  <property fmtid="{D5CDD505-2E9C-101B-9397-08002B2CF9AE}" pid="4" name="LastSaved">
    <vt:filetime>2020-04-06T00:00:00Z</vt:filetime>
  </property>
  <property fmtid="{D5CDD505-2E9C-101B-9397-08002B2CF9AE}" pid="5" name="ContentTypeId">
    <vt:lpwstr>0x010100F2E0F32964D9B84EA054B84E5D4157A0</vt:lpwstr>
  </property>
</Properties>
</file>