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E71C7" w14:textId="77777777" w:rsidR="00C42160" w:rsidRDefault="00C42160" w:rsidP="00307833">
      <w:pPr>
        <w:spacing w:after="200" w:line="276" w:lineRule="auto"/>
        <w:jc w:val="both"/>
        <w:rPr>
          <w:rFonts w:ascii="Arial" w:eastAsia="Calibri" w:hAnsi="Arial" w:cs="Arial"/>
          <w:b/>
          <w:bCs/>
          <w:sz w:val="20"/>
          <w:szCs w:val="20"/>
          <w:lang w:val="es-ES_tradnl"/>
        </w:rPr>
      </w:pPr>
    </w:p>
    <w:p w14:paraId="00FB6D9C" w14:textId="454061A6" w:rsidR="00C42160" w:rsidRPr="00C42160" w:rsidRDefault="00C42160" w:rsidP="00C42160">
      <w:pPr>
        <w:spacing w:after="200" w:line="276" w:lineRule="auto"/>
        <w:jc w:val="both"/>
        <w:rPr>
          <w:rFonts w:ascii="Arial" w:eastAsia="Calibri" w:hAnsi="Arial" w:cs="Arial"/>
          <w:b/>
          <w:sz w:val="22"/>
          <w:lang w:val="es-ES_tradnl"/>
        </w:rPr>
      </w:pPr>
      <w:r w:rsidRPr="00C42160">
        <w:rPr>
          <w:rFonts w:ascii="Arial" w:eastAsia="Calibri" w:hAnsi="Arial" w:cs="Arial"/>
          <w:b/>
          <w:sz w:val="22"/>
          <w:lang w:val="es-ES_tradnl"/>
        </w:rPr>
        <w:t xml:space="preserve">TRANSACCIÓN – Concepto – Requisitos </w:t>
      </w:r>
    </w:p>
    <w:p w14:paraId="48A8ADD2" w14:textId="5E9E40B6" w:rsidR="00C42160" w:rsidRDefault="00C42160" w:rsidP="00C42160">
      <w:pPr>
        <w:jc w:val="both"/>
        <w:rPr>
          <w:rFonts w:ascii="Arial" w:eastAsia="Calibri" w:hAnsi="Arial" w:cs="Arial"/>
          <w:color w:val="000000" w:themeColor="text1"/>
          <w:sz w:val="20"/>
          <w:szCs w:val="20"/>
          <w:lang w:val="es-ES_tradnl"/>
        </w:rPr>
      </w:pPr>
      <w:r w:rsidRPr="00C42160">
        <w:rPr>
          <w:rFonts w:ascii="Arial" w:eastAsia="Calibri" w:hAnsi="Arial" w:cs="Arial"/>
          <w:color w:val="000000" w:themeColor="text1"/>
          <w:sz w:val="20"/>
          <w:szCs w:val="20"/>
          <w:lang w:val="es-ES_tradnl"/>
        </w:rPr>
        <w:t xml:space="preserve">La transacción es un mecanismo alternativo de resolución de conflictos de carácter </w:t>
      </w:r>
      <w:r w:rsidRPr="00C42160">
        <w:rPr>
          <w:rFonts w:ascii="Arial" w:eastAsia="Calibri" w:hAnsi="Arial" w:cs="Arial"/>
          <w:i/>
          <w:iCs/>
          <w:color w:val="000000" w:themeColor="text1"/>
          <w:sz w:val="20"/>
          <w:szCs w:val="20"/>
          <w:lang w:val="es-ES_tradnl"/>
        </w:rPr>
        <w:t>autocompositivo</w:t>
      </w:r>
      <w:r w:rsidRPr="00C42160">
        <w:rPr>
          <w:rFonts w:ascii="Arial" w:eastAsia="Calibri" w:hAnsi="Arial" w:cs="Arial"/>
          <w:color w:val="000000" w:themeColor="text1"/>
          <w:sz w:val="20"/>
          <w:szCs w:val="20"/>
          <w:lang w:val="es-ES_tradnl"/>
        </w:rPr>
        <w:t xml:space="preserve">. En efecto, mediante la transacción las partes involucradas en una controversia acuerdan directamente la forma de resolverla, o sea que solucionan el conflicto por voluntad propia –efectuando concesiones recíprocas– y no por la imposición de un tercero. </w:t>
      </w:r>
    </w:p>
    <w:p w14:paraId="3581053B" w14:textId="77777777" w:rsidR="00C42160" w:rsidRDefault="00C42160" w:rsidP="00C42160">
      <w:pPr>
        <w:jc w:val="both"/>
        <w:rPr>
          <w:rFonts w:ascii="Arial" w:eastAsia="Calibri" w:hAnsi="Arial" w:cs="Arial"/>
          <w:color w:val="000000" w:themeColor="text1"/>
          <w:sz w:val="20"/>
          <w:szCs w:val="20"/>
          <w:lang w:val="es-ES_tradnl"/>
        </w:rPr>
      </w:pPr>
    </w:p>
    <w:p w14:paraId="70C8DB54" w14:textId="31B26A86" w:rsidR="00C42160" w:rsidRDefault="00C42160" w:rsidP="00C42160">
      <w:pPr>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w:t>
      </w:r>
    </w:p>
    <w:p w14:paraId="6066C678" w14:textId="560B633B" w:rsidR="00450EAA" w:rsidRDefault="00C55DF2" w:rsidP="00307833">
      <w:pPr>
        <w:spacing w:after="200" w:line="276" w:lineRule="auto"/>
        <w:jc w:val="both"/>
        <w:rPr>
          <w:rFonts w:ascii="Arial" w:eastAsia="Calibri" w:hAnsi="Arial" w:cs="Arial"/>
          <w:b/>
          <w:sz w:val="22"/>
          <w:lang w:val="es-ES_tradnl"/>
        </w:rPr>
      </w:pPr>
      <w:r w:rsidRPr="00C55DF2">
        <w:rPr>
          <w:rFonts w:ascii="Arial" w:eastAsia="Calibri" w:hAnsi="Arial" w:cs="Arial"/>
          <w:color w:val="000000" w:themeColor="text1"/>
          <w:sz w:val="20"/>
          <w:szCs w:val="20"/>
          <w:lang w:val="es-ES_tradnl"/>
        </w:rPr>
        <w:t xml:space="preserve">El artículo 2.469 del Código Civil define la transacción como «[…] un contrato en que las partes terminan extrajudicialmente un litigio pendiente o precaven un litigio eventual». Adicionalmente, los artículos 2.470 a 2.487 establecen los requisitos del contrato de transacción, entre los que se destacan los siguientes: i) Solo procede sobre derechos inciertos y discutibles. ii) Las partes deben tener capacidad para disponer del objeto del negocio jurídico, lo que no obsta para que se otorgue poder mediante la celebración de un contrato de mandato. iii) No puede versar sobre materias prohibidas, como el estado civil de las personas, derechos ajenos o que no existen. iv) Únicamente surte efecto entre las partes. Además, el artículo 1.625, numeral 3, del mismo Código prevé la transacción como uno de los modos de extinción de las </w:t>
      </w:r>
      <w:proofErr w:type="gramStart"/>
      <w:r w:rsidRPr="00C55DF2">
        <w:rPr>
          <w:rFonts w:ascii="Arial" w:eastAsia="Calibri" w:hAnsi="Arial" w:cs="Arial"/>
          <w:color w:val="000000" w:themeColor="text1"/>
          <w:sz w:val="20"/>
          <w:szCs w:val="20"/>
          <w:lang w:val="es-ES_tradnl"/>
        </w:rPr>
        <w:t>obligaciones .</w:t>
      </w:r>
      <w:proofErr w:type="gramEnd"/>
    </w:p>
    <w:p w14:paraId="39C7B270" w14:textId="443FD8A3" w:rsidR="00C42160" w:rsidRDefault="00C42160" w:rsidP="00307833">
      <w:pPr>
        <w:spacing w:after="200" w:line="276" w:lineRule="auto"/>
        <w:jc w:val="both"/>
        <w:rPr>
          <w:rFonts w:ascii="Arial" w:eastAsia="Calibri" w:hAnsi="Arial" w:cs="Arial"/>
          <w:bCs/>
          <w:sz w:val="22"/>
          <w:lang w:val="es-ES_tradnl"/>
        </w:rPr>
      </w:pPr>
      <w:r w:rsidRPr="00C42160">
        <w:rPr>
          <w:rFonts w:ascii="Arial" w:eastAsia="Calibri" w:hAnsi="Arial" w:cs="Arial"/>
          <w:b/>
          <w:sz w:val="22"/>
          <w:lang w:val="es-ES_tradnl"/>
        </w:rPr>
        <w:t>TRANSACCIÓN – Clases – Judicial y extrajudicial</w:t>
      </w:r>
      <w:r w:rsidRPr="000E0D71">
        <w:rPr>
          <w:rFonts w:ascii="Arial" w:eastAsia="Calibri" w:hAnsi="Arial" w:cs="Arial"/>
          <w:bCs/>
          <w:sz w:val="22"/>
          <w:lang w:val="es-ES_tradnl"/>
        </w:rPr>
        <w:t xml:space="preserve"> </w:t>
      </w:r>
    </w:p>
    <w:p w14:paraId="2FC0644C" w14:textId="0A464ED0" w:rsidR="00C55DF2" w:rsidRDefault="00C55DF2" w:rsidP="00E0451C">
      <w:pPr>
        <w:spacing w:after="200" w:line="276" w:lineRule="auto"/>
        <w:jc w:val="both"/>
        <w:rPr>
          <w:rFonts w:ascii="Arial" w:eastAsia="Calibri" w:hAnsi="Arial" w:cs="Arial"/>
          <w:bCs/>
          <w:sz w:val="20"/>
          <w:szCs w:val="20"/>
          <w:lang w:val="es-ES_tradnl"/>
        </w:rPr>
      </w:pPr>
      <w:r w:rsidRPr="00C55DF2">
        <w:rPr>
          <w:rFonts w:ascii="Arial" w:eastAsia="Calibri" w:hAnsi="Arial" w:cs="Arial"/>
          <w:bCs/>
          <w:sz w:val="20"/>
          <w:szCs w:val="20"/>
          <w:lang w:val="es-ES_tradnl"/>
        </w:rPr>
        <w:t xml:space="preserve">La transacción, como mecanismo alternativo de resolución de conflictos, puede ser judicial o extrajudicial, dependiendo de si se da o no para terminar un proceso judicial vigente. El artículo 2.469 del Código Civil es el fundamento jurídico de la transacción extrajudicial, pues indica que mediante este contrato las partes «[…] terminan extrajudicialmente un litigio pendiente o precaven un litigio eventual» (cursiva fuera de texto). A su vez, los códigos procesales han reconocido la transacción judicial como forma de terminación anticipada de los litigios. Verbigracia, el artículo 176 del Código de Procedimiento Administrativo y de lo Contencioso Administrativo –Ley 1437 de 2011– establece que el proceso judicial puede terminar por </w:t>
      </w:r>
      <w:r w:rsidRPr="00C55DF2">
        <w:rPr>
          <w:rFonts w:ascii="Arial" w:eastAsia="Calibri" w:hAnsi="Arial" w:cs="Arial"/>
          <w:bCs/>
          <w:sz w:val="20"/>
          <w:szCs w:val="20"/>
          <w:lang w:val="es-ES_tradnl"/>
        </w:rPr>
        <w:t>transacción.</w:t>
      </w:r>
      <w:r w:rsidRPr="00C55DF2">
        <w:rPr>
          <w:rFonts w:ascii="Arial" w:eastAsia="Calibri" w:hAnsi="Arial" w:cs="Arial"/>
          <w:bCs/>
          <w:sz w:val="20"/>
          <w:szCs w:val="20"/>
          <w:lang w:val="es-ES_tradnl"/>
        </w:rPr>
        <w:t xml:space="preserve"> De la misma manera, el artículo 103 del Estatuto de Arbitraje Nacional e Internacional –Ley 1563 de 2012– permite la terminación del proceso arbitral por transacción entre las </w:t>
      </w:r>
      <w:r w:rsidRPr="00C55DF2">
        <w:rPr>
          <w:rFonts w:ascii="Arial" w:eastAsia="Calibri" w:hAnsi="Arial" w:cs="Arial"/>
          <w:bCs/>
          <w:sz w:val="20"/>
          <w:szCs w:val="20"/>
          <w:lang w:val="es-ES_tradnl"/>
        </w:rPr>
        <w:t>partes.</w:t>
      </w:r>
      <w:r w:rsidRPr="00C55DF2">
        <w:rPr>
          <w:rFonts w:ascii="Arial" w:eastAsia="Calibri" w:hAnsi="Arial" w:cs="Arial"/>
          <w:bCs/>
          <w:sz w:val="20"/>
          <w:szCs w:val="20"/>
          <w:lang w:val="es-ES_tradnl"/>
        </w:rPr>
        <w:t xml:space="preserve"> El artículo 313 del Código General del Proceso –Ley 1564 de 2012–, por su parte, dispone que «Los representantes de la nación, departamentos y municipios no podrán transigir sin autorización del Gobierno Nacional, del gobernador o alcalde, según fuere el caso»; pero esta última norma –valga resaltar– solo aplica en los procesos jurisdiccionales conforme lo determina el objeto del mismo Código General del Proceso.</w:t>
      </w:r>
    </w:p>
    <w:p w14:paraId="137A7ABD" w14:textId="5795FAB9" w:rsidR="00E0451C" w:rsidRDefault="00E0451C" w:rsidP="00E0451C">
      <w:pPr>
        <w:spacing w:after="200" w:line="276" w:lineRule="auto"/>
        <w:jc w:val="both"/>
        <w:rPr>
          <w:rFonts w:ascii="Arial" w:eastAsia="Calibri" w:hAnsi="Arial" w:cs="Arial"/>
          <w:b/>
          <w:sz w:val="22"/>
          <w:lang w:val="es-ES_tradnl"/>
        </w:rPr>
      </w:pPr>
      <w:r w:rsidRPr="00C42160">
        <w:rPr>
          <w:rFonts w:ascii="Arial" w:eastAsia="Calibri" w:hAnsi="Arial" w:cs="Arial"/>
          <w:b/>
          <w:sz w:val="22"/>
          <w:lang w:val="es-ES_tradnl"/>
        </w:rPr>
        <w:t>TRANSACCIÓN –</w:t>
      </w:r>
      <w:r>
        <w:rPr>
          <w:rFonts w:ascii="Arial" w:eastAsia="Calibri" w:hAnsi="Arial" w:cs="Arial"/>
          <w:b/>
          <w:sz w:val="22"/>
          <w:lang w:val="es-ES_tradnl"/>
        </w:rPr>
        <w:t>Contratación e</w:t>
      </w:r>
      <w:r w:rsidRPr="00C42160">
        <w:rPr>
          <w:rFonts w:ascii="Arial" w:eastAsia="Calibri" w:hAnsi="Arial" w:cs="Arial"/>
          <w:b/>
          <w:sz w:val="22"/>
          <w:lang w:val="es-ES_tradnl"/>
        </w:rPr>
        <w:t>s</w:t>
      </w:r>
      <w:r>
        <w:rPr>
          <w:rFonts w:ascii="Arial" w:eastAsia="Calibri" w:hAnsi="Arial" w:cs="Arial"/>
          <w:b/>
          <w:sz w:val="22"/>
          <w:lang w:val="es-ES_tradnl"/>
        </w:rPr>
        <w:t>tatal</w:t>
      </w:r>
      <w:r w:rsidRPr="00C42160">
        <w:rPr>
          <w:rFonts w:ascii="Arial" w:eastAsia="Calibri" w:hAnsi="Arial" w:cs="Arial"/>
          <w:b/>
          <w:sz w:val="22"/>
          <w:lang w:val="es-ES_tradnl"/>
        </w:rPr>
        <w:t xml:space="preserve"> – </w:t>
      </w:r>
      <w:r>
        <w:rPr>
          <w:rFonts w:ascii="Arial" w:eastAsia="Calibri" w:hAnsi="Arial" w:cs="Arial"/>
          <w:b/>
          <w:sz w:val="22"/>
          <w:lang w:val="es-ES_tradnl"/>
        </w:rPr>
        <w:t>Procedencia</w:t>
      </w:r>
    </w:p>
    <w:p w14:paraId="080FD7AF" w14:textId="77777777" w:rsidR="00C55DF2" w:rsidRDefault="00C55DF2" w:rsidP="00E0451C">
      <w:pPr>
        <w:spacing w:after="200"/>
        <w:jc w:val="both"/>
        <w:rPr>
          <w:rFonts w:ascii="Arial" w:eastAsia="Calibri" w:hAnsi="Arial" w:cs="Arial"/>
          <w:bCs/>
          <w:sz w:val="20"/>
          <w:szCs w:val="22"/>
          <w:lang w:val="es-ES_tradnl"/>
        </w:rPr>
      </w:pPr>
      <w:r w:rsidRPr="00C55DF2">
        <w:rPr>
          <w:rFonts w:ascii="Arial" w:eastAsia="Calibri" w:hAnsi="Arial" w:cs="Arial"/>
          <w:bCs/>
          <w:sz w:val="20"/>
          <w:szCs w:val="22"/>
          <w:lang w:val="es-ES_tradnl"/>
        </w:rPr>
        <w:t xml:space="preserve">En el ámbito de la contratación estatal, la jurisprudencia del Consejo de </w:t>
      </w:r>
      <w:proofErr w:type="gramStart"/>
      <w:r w:rsidRPr="00C55DF2">
        <w:rPr>
          <w:rFonts w:ascii="Arial" w:eastAsia="Calibri" w:hAnsi="Arial" w:cs="Arial"/>
          <w:bCs/>
          <w:sz w:val="20"/>
          <w:szCs w:val="22"/>
          <w:lang w:val="es-ES_tradnl"/>
        </w:rPr>
        <w:t>Estado  y</w:t>
      </w:r>
      <w:proofErr w:type="gramEnd"/>
      <w:r w:rsidRPr="00C55DF2">
        <w:rPr>
          <w:rFonts w:ascii="Arial" w:eastAsia="Calibri" w:hAnsi="Arial" w:cs="Arial"/>
          <w:bCs/>
          <w:sz w:val="20"/>
          <w:szCs w:val="22"/>
          <w:lang w:val="es-ES_tradnl"/>
        </w:rPr>
        <w:t xml:space="preserve"> la doctrina  han reconocido la procedencia de la transacción extrajudicial, como mecanismo apropiado para precaver litigios eventuales o para resolver controversias entre las entidades estatales y sus contratistas. La Subdirección de Gestión Contractual está de acuerdo con dicha postura, pues tanto en las normas civiles –según se explicó–, como en el Estatuto General de Contratación de la Administración Pública, se encuentra la habilitación legal para que las entidades públicas celebren contratos de transacción. Más aún, los órganos del Estado que se rigen por la Ley 80 de 1993 y sus normas complementarias, no solo tienen la facultad de transigir, sino que además están obligados a resolver </w:t>
      </w:r>
      <w:r w:rsidRPr="00C55DF2">
        <w:rPr>
          <w:rFonts w:ascii="Arial" w:eastAsia="Calibri" w:hAnsi="Arial" w:cs="Arial"/>
          <w:bCs/>
          <w:sz w:val="20"/>
          <w:szCs w:val="22"/>
          <w:lang w:val="es-ES_tradnl"/>
        </w:rPr>
        <w:lastRenderedPageBreak/>
        <w:t xml:space="preserve">oportunamente las controversias contractuales, para evitar que los conflictos escalen y se generen consecuencias jurídicas y pecuniarias más gravosas para el </w:t>
      </w:r>
      <w:proofErr w:type="gramStart"/>
      <w:r w:rsidRPr="00C55DF2">
        <w:rPr>
          <w:rFonts w:ascii="Arial" w:eastAsia="Calibri" w:hAnsi="Arial" w:cs="Arial"/>
          <w:bCs/>
          <w:sz w:val="20"/>
          <w:szCs w:val="22"/>
          <w:lang w:val="es-ES_tradnl"/>
        </w:rPr>
        <w:t>erario público</w:t>
      </w:r>
      <w:proofErr w:type="gramEnd"/>
      <w:r w:rsidRPr="00C55DF2">
        <w:rPr>
          <w:rFonts w:ascii="Arial" w:eastAsia="Calibri" w:hAnsi="Arial" w:cs="Arial"/>
          <w:bCs/>
          <w:sz w:val="20"/>
          <w:szCs w:val="22"/>
          <w:lang w:val="es-ES_tradnl"/>
        </w:rPr>
        <w:t xml:space="preserve">. </w:t>
      </w:r>
    </w:p>
    <w:p w14:paraId="608503D9" w14:textId="373C2848" w:rsidR="00E0451C" w:rsidRPr="00C42160" w:rsidRDefault="00C55DF2" w:rsidP="00C42160">
      <w:pPr>
        <w:spacing w:after="200"/>
        <w:jc w:val="both"/>
        <w:rPr>
          <w:rFonts w:ascii="Arial" w:eastAsia="Calibri" w:hAnsi="Arial" w:cs="Arial"/>
          <w:bCs/>
          <w:sz w:val="20"/>
          <w:szCs w:val="20"/>
          <w:lang w:val="es-ES_tradnl"/>
        </w:rPr>
      </w:pPr>
      <w:r w:rsidRPr="00C55DF2">
        <w:rPr>
          <w:rFonts w:ascii="Arial" w:eastAsia="Calibri" w:hAnsi="Arial" w:cs="Arial"/>
          <w:bCs/>
          <w:sz w:val="20"/>
          <w:szCs w:val="22"/>
          <w:lang w:val="es-ES_tradnl"/>
        </w:rPr>
        <w:t>Para ilustrar mejor lo anterior, conviene señalar que la transacción se encuentra consagrada en varias disposiciones normativas de la Ley 80 de 1993, como mecanismo alternativo de resolución de conflictos al que pueden acudir las entidades estatales y los contratistas para poner fin a sus diferencias o precaver litigios eventuales. Como muestra de ello, el artículo 4, numeral 9, de dicho cuerpo normativo establece que las entidades estatales «Actuarán de tal modo que por causas a ellas imputables, no sobrevenga una mayor onerosidad en el cumplimiento de las obligaciones a cargo del contratista» y que «Con este fin, en el menor tiempo posible, corregirán los desajustes que pudieren presentarse y acordarán los mecanismos y procedimientos pertinentes para precaver o solucionar rápida y eficazmente las diferencias o situaciones litigiosas que llegaren a presentarse». En otras palabras, es deber de las entidades estatales buscar la solución oportuna de las controversias, para evitar que estas cada vez se tornen más complejas. Con ello se logran reducir, en gran medida, los litigios y, por lo tanto, la congestión judicial. Además, la resolución rápida de una situación controversial impide que se incrementen los perjuicios de la parte afectada y que el Estado tenga que soportar condenas cuantiosas en el escenario jurisdiccional.</w:t>
      </w:r>
    </w:p>
    <w:p w14:paraId="2A479E0F" w14:textId="1FA0356C" w:rsidR="00C42160" w:rsidRDefault="00C42160" w:rsidP="00307833">
      <w:pPr>
        <w:spacing w:after="200" w:line="276" w:lineRule="auto"/>
        <w:jc w:val="both"/>
        <w:rPr>
          <w:rFonts w:ascii="Arial" w:eastAsia="Calibri" w:hAnsi="Arial" w:cs="Arial"/>
          <w:b/>
          <w:sz w:val="20"/>
          <w:szCs w:val="20"/>
          <w:lang w:val="es-ES_tradnl"/>
        </w:rPr>
      </w:pPr>
      <w:r w:rsidRPr="00C42160">
        <w:rPr>
          <w:rFonts w:ascii="Arial" w:eastAsia="Calibri" w:hAnsi="Arial" w:cs="Arial"/>
          <w:b/>
          <w:sz w:val="22"/>
          <w:lang w:val="es-ES_tradnl"/>
        </w:rPr>
        <w:t xml:space="preserve">COMITÉ DE CONCILIACIÓN – Competencia – </w:t>
      </w:r>
      <w:r w:rsidR="00195C35">
        <w:rPr>
          <w:rFonts w:ascii="Arial" w:eastAsia="Calibri" w:hAnsi="Arial" w:cs="Arial"/>
          <w:b/>
          <w:sz w:val="22"/>
          <w:lang w:val="es-ES_tradnl"/>
        </w:rPr>
        <w:t>T</w:t>
      </w:r>
      <w:r w:rsidRPr="00C42160">
        <w:rPr>
          <w:rFonts w:ascii="Arial" w:eastAsia="Calibri" w:hAnsi="Arial" w:cs="Arial"/>
          <w:b/>
          <w:sz w:val="22"/>
          <w:lang w:val="es-ES_tradnl"/>
        </w:rPr>
        <w:t>ransacción</w:t>
      </w:r>
      <w:r w:rsidRPr="00C42160">
        <w:rPr>
          <w:rFonts w:ascii="Arial" w:eastAsia="Calibri" w:hAnsi="Arial" w:cs="Arial"/>
          <w:b/>
          <w:sz w:val="20"/>
          <w:szCs w:val="20"/>
          <w:lang w:val="es-ES_tradnl"/>
        </w:rPr>
        <w:t xml:space="preserve"> </w:t>
      </w:r>
    </w:p>
    <w:p w14:paraId="6AB17FD1" w14:textId="368153DC" w:rsidR="00C55DF2" w:rsidRDefault="00C55DF2" w:rsidP="00E0451C">
      <w:pPr>
        <w:spacing w:before="120"/>
        <w:jc w:val="both"/>
        <w:rPr>
          <w:rFonts w:ascii="Arial" w:eastAsia="Calibri" w:hAnsi="Arial" w:cs="Arial"/>
          <w:color w:val="000000" w:themeColor="text1"/>
          <w:sz w:val="20"/>
          <w:szCs w:val="20"/>
        </w:rPr>
      </w:pPr>
      <w:r w:rsidRPr="00C55DF2">
        <w:rPr>
          <w:rFonts w:ascii="Arial" w:eastAsia="Calibri" w:hAnsi="Arial" w:cs="Arial"/>
          <w:color w:val="000000" w:themeColor="text1"/>
          <w:sz w:val="20"/>
          <w:szCs w:val="20"/>
        </w:rPr>
        <w:t>Por otro lado, tal como lo establece el artículo 2.2.4.3.1.2.2. del Decreto 1069 de 2015, el comité de conciliación «[…] es una instancia administrativa que actúa como sede de estudio, análisis y formulación de políticas sobre prevención del daño antijurídico y defensa de los intereses de la entidad». Igualmente, el inciso segundo establece que el comité decidirá «[…] sobre la procedencia de la conciliación o cualquier otro medio alternativo de solución de conflictos, con sujeción estricta a las normas jurídicas sustantivas, procedimentales y de control vigentes, evitando lesionar el patrimonio público».</w:t>
      </w:r>
    </w:p>
    <w:p w14:paraId="030333C2" w14:textId="791C71F6" w:rsidR="00E0451C" w:rsidRPr="00C55DF2" w:rsidRDefault="00C55DF2" w:rsidP="00E0451C">
      <w:pPr>
        <w:spacing w:before="120"/>
        <w:jc w:val="both"/>
        <w:rPr>
          <w:rFonts w:ascii="Arial" w:eastAsia="Calibri" w:hAnsi="Arial" w:cs="Arial"/>
          <w:i/>
          <w:iCs/>
          <w:color w:val="000000" w:themeColor="text1"/>
          <w:sz w:val="20"/>
          <w:szCs w:val="20"/>
        </w:rPr>
      </w:pPr>
      <w:r w:rsidRPr="00C55DF2">
        <w:rPr>
          <w:rFonts w:ascii="Arial" w:eastAsia="Calibri" w:hAnsi="Arial" w:cs="Arial"/>
          <w:color w:val="000000" w:themeColor="text1"/>
          <w:sz w:val="20"/>
          <w:szCs w:val="20"/>
        </w:rPr>
        <w:t xml:space="preserve">Respecto a esto último, nótese que el artículo 2.2.4.3.1.2.2. del decreto mencionado, no se limita a restringir la competencia del comité para decidir sobre la procedencia de la conciliación, sino que extiende sus decisiones a cualquier medio alternativo de solución de conflictos. Conforme se estableció </w:t>
      </w:r>
      <w:r w:rsidRPr="00C55DF2">
        <w:rPr>
          <w:rFonts w:ascii="Arial" w:eastAsia="Calibri" w:hAnsi="Arial" w:cs="Arial"/>
          <w:i/>
          <w:iCs/>
          <w:color w:val="000000" w:themeColor="text1"/>
          <w:sz w:val="20"/>
          <w:szCs w:val="20"/>
        </w:rPr>
        <w:t>ut supra</w:t>
      </w:r>
      <w:r w:rsidRPr="00C55DF2">
        <w:rPr>
          <w:rFonts w:ascii="Arial" w:eastAsia="Calibri" w:hAnsi="Arial" w:cs="Arial"/>
          <w:color w:val="000000" w:themeColor="text1"/>
          <w:sz w:val="20"/>
          <w:szCs w:val="20"/>
        </w:rPr>
        <w:t xml:space="preserve">, la transacción es un mecanismo alternativo de resolución de conflictos de carácter autocompositivo, por lo que su procedencia debe ser determinada por el comité de conciliación, en virtud de la competencia atribuida a dicho comité por el artículo 2.2.4.3.1.2.2. </w:t>
      </w:r>
      <w:r w:rsidRPr="00C55DF2">
        <w:rPr>
          <w:rFonts w:ascii="Arial" w:eastAsia="Calibri" w:hAnsi="Arial" w:cs="Arial"/>
          <w:i/>
          <w:iCs/>
          <w:color w:val="000000" w:themeColor="text1"/>
          <w:sz w:val="20"/>
          <w:szCs w:val="20"/>
        </w:rPr>
        <w:t>Ibídem.</w:t>
      </w:r>
    </w:p>
    <w:p w14:paraId="534CD789" w14:textId="77777777" w:rsidR="00C55DF2" w:rsidRPr="00E0451C" w:rsidRDefault="00C55DF2" w:rsidP="00E0451C">
      <w:pPr>
        <w:spacing w:before="120"/>
        <w:jc w:val="both"/>
        <w:rPr>
          <w:rFonts w:ascii="Arial" w:eastAsia="Calibri" w:hAnsi="Arial" w:cs="Arial"/>
          <w:color w:val="000000" w:themeColor="text1"/>
          <w:sz w:val="20"/>
          <w:szCs w:val="20"/>
          <w:lang w:val="es-ES_tradnl"/>
        </w:rPr>
      </w:pPr>
    </w:p>
    <w:p w14:paraId="765E0070" w14:textId="1220EDB8" w:rsidR="00E0451C" w:rsidRDefault="00C42160" w:rsidP="00307833">
      <w:pPr>
        <w:spacing w:after="200" w:line="276" w:lineRule="auto"/>
        <w:jc w:val="both"/>
        <w:rPr>
          <w:rFonts w:ascii="Arial" w:eastAsia="Calibri" w:hAnsi="Arial" w:cs="Arial"/>
          <w:b/>
          <w:sz w:val="20"/>
          <w:szCs w:val="20"/>
          <w:lang w:val="es-ES_tradnl"/>
        </w:rPr>
      </w:pPr>
      <w:r w:rsidRPr="00C42160">
        <w:rPr>
          <w:rFonts w:ascii="Arial" w:eastAsia="Calibri" w:hAnsi="Arial" w:cs="Arial"/>
          <w:b/>
          <w:sz w:val="22"/>
          <w:szCs w:val="22"/>
          <w:lang w:val="es-ES_tradnl"/>
        </w:rPr>
        <w:t>SECOP – Deber de publicación –Principio de publicidad – Publicación</w:t>
      </w:r>
      <w:r w:rsidR="00E0451C">
        <w:rPr>
          <w:rFonts w:ascii="Arial" w:eastAsia="Calibri" w:hAnsi="Arial" w:cs="Arial"/>
          <w:b/>
          <w:sz w:val="22"/>
          <w:szCs w:val="22"/>
          <w:lang w:val="es-ES_tradnl"/>
        </w:rPr>
        <w:t xml:space="preserve"> - Transacción</w:t>
      </w:r>
      <w:r w:rsidRPr="00C42160">
        <w:rPr>
          <w:rFonts w:ascii="Arial" w:eastAsia="Calibri" w:hAnsi="Arial" w:cs="Arial"/>
          <w:b/>
          <w:sz w:val="22"/>
          <w:szCs w:val="22"/>
          <w:lang w:val="es-ES_tradnl"/>
        </w:rPr>
        <w:t xml:space="preserve"> </w:t>
      </w:r>
      <w:r w:rsidRPr="00C42160">
        <w:rPr>
          <w:rFonts w:ascii="Arial" w:eastAsia="Calibri" w:hAnsi="Arial" w:cs="Arial"/>
          <w:b/>
          <w:sz w:val="20"/>
          <w:szCs w:val="20"/>
          <w:lang w:val="es-ES_tradnl"/>
        </w:rPr>
        <w:t xml:space="preserve"> </w:t>
      </w:r>
    </w:p>
    <w:p w14:paraId="5EFEE72F" w14:textId="77777777" w:rsidR="00C55DF2" w:rsidRPr="00C55DF2" w:rsidRDefault="00C55DF2" w:rsidP="00C55DF2">
      <w:pPr>
        <w:spacing w:after="200"/>
        <w:jc w:val="both"/>
        <w:rPr>
          <w:rFonts w:ascii="Arial" w:eastAsia="Calibri" w:hAnsi="Arial" w:cs="Arial"/>
          <w:bCs/>
          <w:sz w:val="20"/>
          <w:szCs w:val="20"/>
          <w:lang w:val="es-ES_tradnl"/>
        </w:rPr>
      </w:pPr>
      <w:r w:rsidRPr="00C55DF2">
        <w:rPr>
          <w:rFonts w:ascii="Arial" w:eastAsia="Calibri" w:hAnsi="Arial" w:cs="Arial"/>
          <w:bCs/>
          <w:sz w:val="20"/>
          <w:szCs w:val="20"/>
          <w:lang w:val="es-ES_tradnl"/>
        </w:rPr>
        <w:t xml:space="preserve">El principio de publicidad, consagrado en el artículo 209 superior, impone a las autoridades administrativas el deber de dar a conocer sus actos, contratos y decisiones, para que se divulguen y eventualmente se controlen las actuaciones. Conforme ha manifestado la Corte Constitucional, el principio de publicidad es la garantía que tienen las personas de conocer las actuaciones judiciales y administrativas y con base en ese conocimiento tener la posibilidad de exigir que se surtan conforme a la </w:t>
      </w:r>
      <w:proofErr w:type="gramStart"/>
      <w:r w:rsidRPr="00C55DF2">
        <w:rPr>
          <w:rFonts w:ascii="Arial" w:eastAsia="Calibri" w:hAnsi="Arial" w:cs="Arial"/>
          <w:bCs/>
          <w:sz w:val="20"/>
          <w:szCs w:val="20"/>
          <w:lang w:val="es-ES_tradnl"/>
        </w:rPr>
        <w:t>ley .</w:t>
      </w:r>
      <w:proofErr w:type="gramEnd"/>
      <w:r w:rsidRPr="00C55DF2">
        <w:rPr>
          <w:rFonts w:ascii="Arial" w:eastAsia="Calibri" w:hAnsi="Arial" w:cs="Arial"/>
          <w:bCs/>
          <w:sz w:val="20"/>
          <w:szCs w:val="20"/>
          <w:lang w:val="es-ES_tradnl"/>
        </w:rPr>
        <w:t xml:space="preserve"> </w:t>
      </w:r>
    </w:p>
    <w:p w14:paraId="1B4B124A" w14:textId="77777777" w:rsidR="00C55DF2" w:rsidRDefault="00C55DF2" w:rsidP="00C55DF2">
      <w:pPr>
        <w:spacing w:after="200"/>
        <w:jc w:val="both"/>
        <w:rPr>
          <w:rFonts w:ascii="Arial" w:eastAsia="Calibri" w:hAnsi="Arial" w:cs="Arial"/>
          <w:bCs/>
          <w:sz w:val="20"/>
          <w:szCs w:val="20"/>
          <w:lang w:val="es-ES_tradnl"/>
        </w:rPr>
      </w:pPr>
      <w:r w:rsidRPr="00C55DF2">
        <w:rPr>
          <w:rFonts w:ascii="Arial" w:eastAsia="Calibri" w:hAnsi="Arial" w:cs="Arial"/>
          <w:bCs/>
          <w:sz w:val="20"/>
          <w:szCs w:val="20"/>
          <w:lang w:val="es-ES_tradnl"/>
        </w:rPr>
        <w:t xml:space="preserve">En el ámbito de la contratación estatal, el principio de publicidad ha sido desarrollado el artículo 3 de la Ley 1150 de 2007, en cuyo literal c) se establece que el Sistema Electrónico para la Contratación Pública –SECOP– «[…] contará con la información oficial de la contratación realizada con dineros públicos, para lo cual establecerá los patrones a que haya lugar y se encargará de su difusión a través de canales electrónicos», lo que supone un deber de dar publicidad a la actividad contractual pública, el cual ha sido reglamentado por el artículo 2.2.1.1.1.7.1. del Decreto 1082 de 2015. </w:t>
      </w:r>
    </w:p>
    <w:p w14:paraId="42792BDC" w14:textId="41E80690" w:rsidR="00E0451C" w:rsidRPr="00E0451C" w:rsidRDefault="00E0451C" w:rsidP="00C55DF2">
      <w:pPr>
        <w:spacing w:after="200"/>
        <w:jc w:val="both"/>
        <w:rPr>
          <w:rFonts w:ascii="Arial" w:eastAsia="Calibri" w:hAnsi="Arial" w:cs="Arial"/>
          <w:bCs/>
          <w:sz w:val="20"/>
          <w:szCs w:val="20"/>
          <w:lang w:val="es-ES_tradnl"/>
        </w:rPr>
      </w:pPr>
      <w:r w:rsidRPr="00E0451C">
        <w:rPr>
          <w:rFonts w:ascii="Arial" w:eastAsia="Calibri" w:hAnsi="Arial" w:cs="Arial"/>
          <w:bCs/>
          <w:sz w:val="20"/>
          <w:szCs w:val="20"/>
          <w:lang w:val="es-ES_tradnl"/>
        </w:rPr>
        <w:lastRenderedPageBreak/>
        <w:t xml:space="preserve">[…] </w:t>
      </w:r>
      <w:r w:rsidR="00C55DF2" w:rsidRPr="00C55DF2">
        <w:rPr>
          <w:rFonts w:ascii="Arial" w:eastAsia="Arial" w:hAnsi="Arial" w:cs="Arial"/>
          <w:sz w:val="20"/>
          <w:szCs w:val="20"/>
          <w:lang w:val="es-ES"/>
        </w:rPr>
        <w:t xml:space="preserve">No obstante, el análisis del deber de publicidad no se puede limitar al estudio del Decreto 1082 de 2015 y el artículo 3 de la Ley 1150 de 2007, debido a que tanto la Ley 1712 de 2014 como el Decreto 1081 de 2015, no solo refuerzan y complementan al régimen de contratación estatal en cuanto a la publicidad, sino que lo amplían, para incluir la publicación de los «[…] procedimientos» y la información relativa a la «gestión contractual», sin el condicionamiento de tratarse exclusivamente de los Documentos del Proceso expedidos por la «entidad estatal». Es decir, que la transacción al ser un mecanismo de resolución de conflictos que se relaciona con la gestión contractual deberá publicarse en el SECOP, pues de lo contrario se estaría vulnerando importantes principios de la transparencia y acceso a la información pública, como los de máxima publicidad para un titular </w:t>
      </w:r>
      <w:proofErr w:type="gramStart"/>
      <w:r w:rsidR="00C55DF2" w:rsidRPr="00C55DF2">
        <w:rPr>
          <w:rFonts w:ascii="Arial" w:eastAsia="Arial" w:hAnsi="Arial" w:cs="Arial"/>
          <w:sz w:val="20"/>
          <w:szCs w:val="20"/>
          <w:lang w:val="es-ES"/>
        </w:rPr>
        <w:t>universal ,</w:t>
      </w:r>
      <w:proofErr w:type="gramEnd"/>
      <w:r w:rsidR="00C55DF2" w:rsidRPr="00C55DF2">
        <w:rPr>
          <w:rFonts w:ascii="Arial" w:eastAsia="Arial" w:hAnsi="Arial" w:cs="Arial"/>
          <w:sz w:val="20"/>
          <w:szCs w:val="20"/>
          <w:lang w:val="es-ES"/>
        </w:rPr>
        <w:t xml:space="preserve"> transparencia, facilitación y divulgación proactiva de la información.</w:t>
      </w:r>
      <w:r w:rsidR="00C55DF2" w:rsidRPr="00C55DF2">
        <w:rPr>
          <w:rFonts w:ascii="Arial" w:eastAsia="Arial" w:hAnsi="Arial" w:cs="Arial"/>
          <w:sz w:val="20"/>
          <w:szCs w:val="20"/>
          <w:lang w:val="es-ES"/>
        </w:rPr>
        <w:tab/>
      </w:r>
    </w:p>
    <w:p w14:paraId="21EA1695" w14:textId="45D56F4C" w:rsidR="00454589" w:rsidRPr="00E0451C" w:rsidRDefault="00C5587F" w:rsidP="00E0451C">
      <w:pPr>
        <w:spacing w:after="200"/>
        <w:jc w:val="both"/>
        <w:rPr>
          <w:rFonts w:ascii="Arial" w:eastAsia="Calibri" w:hAnsi="Arial" w:cs="Arial"/>
          <w:bCs/>
          <w:sz w:val="20"/>
          <w:szCs w:val="20"/>
          <w:lang w:val="es-ES_tradnl"/>
        </w:rPr>
      </w:pPr>
      <w:r w:rsidRPr="00E0451C">
        <w:rPr>
          <w:rFonts w:ascii="Arial" w:eastAsia="Calibri" w:hAnsi="Arial" w:cs="Arial"/>
          <w:bCs/>
          <w:sz w:val="20"/>
          <w:szCs w:val="20"/>
          <w:lang w:val="es-ES_tradnl"/>
        </w:rPr>
        <w:br w:type="page"/>
      </w:r>
    </w:p>
    <w:p w14:paraId="62FFEACE" w14:textId="77777777" w:rsidR="00307833" w:rsidRPr="00307833" w:rsidRDefault="00307833" w:rsidP="00307833">
      <w:pPr>
        <w:spacing w:after="200" w:line="276" w:lineRule="auto"/>
        <w:jc w:val="both"/>
        <w:rPr>
          <w:rFonts w:ascii="Arial" w:eastAsia="Calibri" w:hAnsi="Arial" w:cs="Arial"/>
          <w:b/>
          <w:bCs/>
          <w:sz w:val="20"/>
          <w:szCs w:val="20"/>
          <w:lang w:val="es-ES_tradnl"/>
        </w:rPr>
      </w:pPr>
    </w:p>
    <w:p w14:paraId="7F8781BE" w14:textId="77777777" w:rsidR="00C5587F" w:rsidRDefault="00C5587F" w:rsidP="009172B1">
      <w:pPr>
        <w:rPr>
          <w:rFonts w:ascii="Arial" w:hAnsi="Arial" w:cs="Arial"/>
          <w:sz w:val="22"/>
          <w:szCs w:val="20"/>
        </w:rPr>
      </w:pPr>
    </w:p>
    <w:p w14:paraId="00183F5E" w14:textId="56A702EB" w:rsidR="00900530" w:rsidRPr="00900530" w:rsidRDefault="009172B1" w:rsidP="00900530">
      <w:pPr>
        <w:rPr>
          <w:rFonts w:ascii="Arial" w:eastAsia="Arial" w:hAnsi="Arial" w:cs="Arial"/>
          <w:b/>
          <w:sz w:val="22"/>
          <w:szCs w:val="22"/>
          <w:lang w:val="es-MX" w:eastAsia="en-US"/>
        </w:rPr>
      </w:pPr>
      <w:bookmarkStart w:id="0" w:name="_Hlk64030265"/>
      <w:r>
        <w:rPr>
          <w:rFonts w:ascii="Arial" w:hAnsi="Arial" w:cs="Arial"/>
          <w:sz w:val="22"/>
          <w:szCs w:val="20"/>
        </w:rPr>
        <w:t>Bogotá D.C.</w:t>
      </w:r>
      <w:bookmarkEnd w:id="0"/>
      <w:r>
        <w:rPr>
          <w:rFonts w:ascii="Arial" w:hAnsi="Arial" w:cs="Arial"/>
          <w:sz w:val="22"/>
          <w:szCs w:val="20"/>
        </w:rPr>
        <w:t xml:space="preserve">, </w:t>
      </w:r>
      <w:r w:rsidR="00C55DF2" w:rsidRPr="00C55DF2">
        <w:rPr>
          <w:rFonts w:ascii="Arial" w:eastAsia="Arial" w:hAnsi="Arial" w:cs="Arial"/>
          <w:b/>
          <w:bCs/>
          <w:sz w:val="22"/>
          <w:szCs w:val="22"/>
          <w:lang w:val="es-MX" w:eastAsia="en-US"/>
        </w:rPr>
        <w:t>06/04/2021</w:t>
      </w:r>
      <w:r w:rsidR="00C55DF2">
        <w:rPr>
          <w:rFonts w:ascii="Arial" w:eastAsia="Arial" w:hAnsi="Arial" w:cs="Arial"/>
          <w:b/>
          <w:bCs/>
          <w:sz w:val="22"/>
          <w:szCs w:val="22"/>
          <w:lang w:val="es-MX" w:eastAsia="en-US"/>
        </w:rPr>
        <w:t xml:space="preserve"> 15:25:11</w:t>
      </w:r>
    </w:p>
    <w:p w14:paraId="3D439D44" w14:textId="77777777" w:rsidR="00900530" w:rsidRPr="00900530" w:rsidRDefault="00900530" w:rsidP="00900530">
      <w:pPr>
        <w:widowControl w:val="0"/>
        <w:autoSpaceDE w:val="0"/>
        <w:autoSpaceDN w:val="0"/>
        <w:ind w:left="302"/>
        <w:rPr>
          <w:rFonts w:ascii="Arial" w:eastAsia="Arial" w:hAnsi="Arial" w:cs="Arial"/>
          <w:b/>
          <w:sz w:val="22"/>
          <w:szCs w:val="22"/>
          <w:lang w:val="es-MX" w:eastAsia="en-US"/>
        </w:rPr>
      </w:pPr>
    </w:p>
    <w:p w14:paraId="51154F1F" w14:textId="77777777" w:rsidR="00C55DF2" w:rsidRDefault="00C55DF2" w:rsidP="00C55DF2">
      <w:pPr>
        <w:jc w:val="right"/>
        <w:rPr>
          <w:rFonts w:ascii="Arial" w:hAnsi="Arial" w:cs="Arial"/>
          <w:bCs/>
          <w:color w:val="000000" w:themeColor="text1"/>
          <w:sz w:val="22"/>
          <w:lang w:val="es-ES_tradnl"/>
        </w:rPr>
      </w:pPr>
      <w:r>
        <w:rPr>
          <w:noProof/>
          <w:sz w:val="20"/>
        </w:rPr>
        <w:drawing>
          <wp:inline distT="0" distB="0" distL="0" distR="0" wp14:anchorId="1FC6EE06" wp14:editId="2DA628D5">
            <wp:extent cx="2372585" cy="60883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72585" cy="608838"/>
                    </a:xfrm>
                    <a:prstGeom prst="rect">
                      <a:avLst/>
                    </a:prstGeom>
                  </pic:spPr>
                </pic:pic>
              </a:graphicData>
            </a:graphic>
          </wp:inline>
        </w:drawing>
      </w:r>
    </w:p>
    <w:p w14:paraId="12C8F066" w14:textId="1B02AF8C" w:rsidR="00900530" w:rsidRPr="00900530" w:rsidRDefault="00900530" w:rsidP="00900530">
      <w:pPr>
        <w:rPr>
          <w:rFonts w:ascii="Arial" w:hAnsi="Arial" w:cs="Arial"/>
          <w:bCs/>
          <w:color w:val="000000" w:themeColor="text1"/>
          <w:sz w:val="22"/>
          <w:lang w:val="es-ES_tradnl"/>
        </w:rPr>
      </w:pPr>
      <w:r w:rsidRPr="00900530">
        <w:rPr>
          <w:rFonts w:ascii="Arial" w:hAnsi="Arial" w:cs="Arial"/>
          <w:bCs/>
          <w:color w:val="000000" w:themeColor="text1"/>
          <w:sz w:val="22"/>
          <w:lang w:val="es-ES_tradnl"/>
        </w:rPr>
        <w:t>Señor</w:t>
      </w:r>
    </w:p>
    <w:p w14:paraId="41BB2B8F" w14:textId="37A05123" w:rsidR="00900530" w:rsidRPr="00900530" w:rsidRDefault="003A06CA" w:rsidP="00900530">
      <w:pPr>
        <w:jc w:val="both"/>
        <w:rPr>
          <w:rFonts w:ascii="Arial" w:hAnsi="Arial" w:cs="Arial"/>
          <w:b/>
          <w:color w:val="000000" w:themeColor="text1"/>
          <w:sz w:val="22"/>
          <w:lang w:val="es-ES_tradnl"/>
        </w:rPr>
      </w:pPr>
      <w:r>
        <w:rPr>
          <w:rFonts w:ascii="Arial" w:hAnsi="Arial" w:cs="Arial"/>
          <w:b/>
          <w:color w:val="000000" w:themeColor="text1"/>
          <w:sz w:val="22"/>
          <w:lang w:val="es-ES_tradnl"/>
        </w:rPr>
        <w:t xml:space="preserve">Santiago Posada </w:t>
      </w:r>
      <w:proofErr w:type="spellStart"/>
      <w:r>
        <w:rPr>
          <w:rFonts w:ascii="Arial" w:hAnsi="Arial" w:cs="Arial"/>
          <w:b/>
          <w:color w:val="000000" w:themeColor="text1"/>
          <w:sz w:val="22"/>
          <w:lang w:val="es-ES_tradnl"/>
        </w:rPr>
        <w:t>Posada</w:t>
      </w:r>
      <w:proofErr w:type="spellEnd"/>
    </w:p>
    <w:p w14:paraId="4482E7C3" w14:textId="686B75C7" w:rsidR="00900530" w:rsidRPr="00900530" w:rsidRDefault="003A06CA" w:rsidP="00900530">
      <w:pPr>
        <w:jc w:val="both"/>
        <w:rPr>
          <w:rFonts w:ascii="Arial" w:hAnsi="Arial" w:cs="Arial"/>
          <w:bCs/>
          <w:color w:val="000000" w:themeColor="text1"/>
          <w:sz w:val="22"/>
          <w:lang w:val="es-ES_tradnl"/>
        </w:rPr>
      </w:pPr>
      <w:r>
        <w:rPr>
          <w:rFonts w:ascii="Arial" w:hAnsi="Arial" w:cs="Arial"/>
          <w:bCs/>
          <w:color w:val="000000" w:themeColor="text1"/>
          <w:sz w:val="22"/>
          <w:lang w:val="es-ES_tradnl"/>
        </w:rPr>
        <w:t xml:space="preserve">Medellín, Antioquia </w:t>
      </w:r>
    </w:p>
    <w:p w14:paraId="6D02035F" w14:textId="77777777" w:rsidR="00900530" w:rsidRPr="00900530" w:rsidRDefault="00900530" w:rsidP="00900530">
      <w:pPr>
        <w:jc w:val="both"/>
        <w:rPr>
          <w:rFonts w:ascii="Arial" w:hAnsi="Arial" w:cs="Arial"/>
          <w:b/>
          <w:color w:val="000000" w:themeColor="text1"/>
          <w:sz w:val="22"/>
          <w:lang w:val="es-ES_tradnl"/>
        </w:rPr>
      </w:pPr>
    </w:p>
    <w:p w14:paraId="7FEA18D2" w14:textId="77777777" w:rsidR="0031674D" w:rsidRPr="00C440B6" w:rsidRDefault="0031674D" w:rsidP="00B95C30">
      <w:pPr>
        <w:jc w:val="both"/>
        <w:rPr>
          <w:rFonts w:ascii="Arial" w:eastAsia="Calibri" w:hAnsi="Arial" w:cs="Arial"/>
          <w:color w:val="000000" w:themeColor="text1"/>
          <w:sz w:val="22"/>
          <w:lang w:val="es-ES_tradnl"/>
        </w:rPr>
      </w:pPr>
    </w:p>
    <w:p w14:paraId="12E66182" w14:textId="517E3565" w:rsidR="00B95C30" w:rsidRPr="00C440B6" w:rsidRDefault="0031674D" w:rsidP="006E3937">
      <w:pPr>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00B95C30" w:rsidRPr="00C440B6">
        <w:rPr>
          <w:rFonts w:ascii="Arial" w:eastAsia="Calibri" w:hAnsi="Arial" w:cs="Arial"/>
          <w:b/>
          <w:bCs/>
          <w:color w:val="000000" w:themeColor="text1"/>
          <w:sz w:val="22"/>
          <w:lang w:val="es-ES_tradnl"/>
        </w:rPr>
        <w:t xml:space="preserve">Concepto C ‒ </w:t>
      </w:r>
      <w:r w:rsidR="004E667A">
        <w:rPr>
          <w:rFonts w:ascii="Arial" w:eastAsia="Calibri" w:hAnsi="Arial" w:cs="Arial"/>
          <w:b/>
          <w:bCs/>
          <w:color w:val="000000" w:themeColor="text1"/>
          <w:sz w:val="22"/>
          <w:lang w:val="es-ES_tradnl"/>
        </w:rPr>
        <w:t>132</w:t>
      </w:r>
      <w:r w:rsidR="00B95C30" w:rsidRPr="00C440B6">
        <w:rPr>
          <w:rFonts w:ascii="Arial" w:eastAsia="Calibri" w:hAnsi="Arial" w:cs="Arial"/>
          <w:b/>
          <w:bCs/>
          <w:color w:val="000000" w:themeColor="text1"/>
          <w:sz w:val="22"/>
          <w:lang w:val="es-ES_tradnl"/>
        </w:rPr>
        <w:t xml:space="preserve"> de 202</w:t>
      </w:r>
      <w:r w:rsidR="005E781C" w:rsidRPr="00C440B6">
        <w:rPr>
          <w:rFonts w:ascii="Arial" w:eastAsia="Calibri" w:hAnsi="Arial" w:cs="Arial"/>
          <w:b/>
          <w:bCs/>
          <w:color w:val="000000" w:themeColor="text1"/>
          <w:sz w:val="22"/>
          <w:lang w:val="es-ES_tradnl"/>
        </w:rPr>
        <w:t>1</w:t>
      </w:r>
    </w:p>
    <w:p w14:paraId="1BD594F9" w14:textId="77777777" w:rsidR="00B95C30" w:rsidRPr="00C440B6"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C440B6" w14:paraId="19DFC051" w14:textId="77777777" w:rsidTr="008F4163">
        <w:tc>
          <w:tcPr>
            <w:tcW w:w="2689" w:type="dxa"/>
          </w:tcPr>
          <w:p w14:paraId="6BC0D1AC" w14:textId="77777777" w:rsidR="00B95C30" w:rsidRPr="00C440B6" w:rsidRDefault="00B95C30" w:rsidP="008F4163">
            <w:pPr>
              <w:jc w:val="both"/>
              <w:rPr>
                <w:rFonts w:ascii="Arial" w:eastAsia="Calibri" w:hAnsi="Arial" w:cs="Arial"/>
                <w:color w:val="000000" w:themeColor="text1"/>
                <w:sz w:val="22"/>
                <w:lang w:val="es-ES_tradnl"/>
              </w:rPr>
            </w:pPr>
            <w:r w:rsidRPr="00C440B6">
              <w:rPr>
                <w:rFonts w:ascii="Arial" w:eastAsia="Calibri" w:hAnsi="Arial" w:cs="Arial"/>
                <w:b/>
                <w:color w:val="000000" w:themeColor="text1"/>
                <w:sz w:val="22"/>
                <w:lang w:val="es-ES_tradnl"/>
              </w:rPr>
              <w:t>Temas:</w:t>
            </w:r>
            <w:r w:rsidRPr="00C440B6">
              <w:rPr>
                <w:rFonts w:ascii="Arial" w:eastAsia="Calibri" w:hAnsi="Arial" w:cs="Arial"/>
                <w:color w:val="000000" w:themeColor="text1"/>
                <w:sz w:val="22"/>
                <w:lang w:val="es-ES_tradnl"/>
              </w:rPr>
              <w:t xml:space="preserve">                                      </w:t>
            </w:r>
          </w:p>
        </w:tc>
        <w:tc>
          <w:tcPr>
            <w:tcW w:w="6237" w:type="dxa"/>
          </w:tcPr>
          <w:p w14:paraId="5F389CAF" w14:textId="60EA645A" w:rsidR="00B95C30" w:rsidRPr="00C440B6" w:rsidRDefault="003A06CA" w:rsidP="008F4163">
            <w:pPr>
              <w:jc w:val="both"/>
              <w:rPr>
                <w:rFonts w:ascii="Arial" w:eastAsia="Calibri" w:hAnsi="Arial" w:cs="Arial"/>
                <w:color w:val="000000" w:themeColor="text1"/>
                <w:sz w:val="22"/>
                <w:lang w:val="es-ES_tradnl"/>
              </w:rPr>
            </w:pPr>
            <w:r w:rsidRPr="000E0D71">
              <w:rPr>
                <w:rFonts w:ascii="Arial" w:eastAsia="Calibri" w:hAnsi="Arial" w:cs="Arial"/>
                <w:bCs/>
                <w:sz w:val="22"/>
                <w:lang w:val="es-ES_tradnl"/>
              </w:rPr>
              <w:t>TRANSACCIÓN – Concepto – Requisitos / TRANSACCIÓN – Clases – Judicial y extrajudicial / TRANSACCIÓN – Contratación estatal – Procedencia</w:t>
            </w:r>
            <w:r>
              <w:rPr>
                <w:rFonts w:ascii="Arial" w:eastAsia="Calibri" w:hAnsi="Arial" w:cs="Arial"/>
                <w:bCs/>
                <w:sz w:val="22"/>
                <w:lang w:val="es-ES_tradnl"/>
              </w:rPr>
              <w:t xml:space="preserve"> /</w:t>
            </w:r>
            <w:r w:rsidR="00C42160">
              <w:rPr>
                <w:rFonts w:ascii="Arial" w:eastAsia="Calibri" w:hAnsi="Arial" w:cs="Arial"/>
                <w:bCs/>
                <w:sz w:val="22"/>
                <w:lang w:val="es-ES_tradnl"/>
              </w:rPr>
              <w:t xml:space="preserve"> COMITÉ DE CONCILIACIÓN – Competencia – </w:t>
            </w:r>
            <w:r w:rsidR="00195C35">
              <w:rPr>
                <w:rFonts w:ascii="Arial" w:eastAsia="Calibri" w:hAnsi="Arial" w:cs="Arial"/>
                <w:bCs/>
                <w:sz w:val="22"/>
                <w:lang w:val="es-ES_tradnl"/>
              </w:rPr>
              <w:t>T</w:t>
            </w:r>
            <w:r w:rsidR="00C42160">
              <w:rPr>
                <w:rFonts w:ascii="Arial" w:eastAsia="Calibri" w:hAnsi="Arial" w:cs="Arial"/>
                <w:bCs/>
                <w:sz w:val="22"/>
                <w:lang w:val="es-ES_tradnl"/>
              </w:rPr>
              <w:t>ransacción /</w:t>
            </w:r>
            <w:r>
              <w:rPr>
                <w:rFonts w:ascii="Arial" w:eastAsia="Calibri" w:hAnsi="Arial" w:cs="Arial"/>
                <w:bCs/>
                <w:sz w:val="22"/>
                <w:lang w:val="es-ES_tradnl"/>
              </w:rPr>
              <w:t xml:space="preserve"> </w:t>
            </w:r>
            <w:r w:rsidRPr="00217435">
              <w:rPr>
                <w:rFonts w:ascii="Arial" w:eastAsia="Calibri" w:hAnsi="Arial" w:cs="Arial"/>
                <w:sz w:val="22"/>
                <w:lang w:val="es-ES"/>
              </w:rPr>
              <w:t xml:space="preserve">SECOP – Deber de publicación –Principio de publicidad – Publicación – </w:t>
            </w:r>
            <w:r w:rsidR="00A31A57">
              <w:rPr>
                <w:rFonts w:ascii="Arial" w:eastAsia="Calibri" w:hAnsi="Arial" w:cs="Arial"/>
                <w:sz w:val="22"/>
                <w:lang w:val="es-ES"/>
              </w:rPr>
              <w:t>T</w:t>
            </w:r>
            <w:r w:rsidR="00C42160">
              <w:rPr>
                <w:rFonts w:ascii="Arial" w:eastAsia="Calibri" w:hAnsi="Arial" w:cs="Arial"/>
                <w:sz w:val="22"/>
                <w:lang w:val="es-ES"/>
              </w:rPr>
              <w:t>ransacción.</w:t>
            </w:r>
          </w:p>
        </w:tc>
      </w:tr>
      <w:tr w:rsidR="00B95C30" w:rsidRPr="00C440B6" w14:paraId="27CD52AB" w14:textId="77777777" w:rsidTr="008F4163">
        <w:tc>
          <w:tcPr>
            <w:tcW w:w="2689" w:type="dxa"/>
          </w:tcPr>
          <w:p w14:paraId="37E195A1" w14:textId="1BA218D5" w:rsidR="00B95C30" w:rsidRPr="00C440B6" w:rsidRDefault="00B95C30" w:rsidP="008F4163">
            <w:pPr>
              <w:spacing w:before="120"/>
              <w:jc w:val="both"/>
              <w:rPr>
                <w:rFonts w:ascii="Arial" w:eastAsia="Calibri" w:hAnsi="Arial" w:cs="Arial"/>
                <w:b/>
                <w:color w:val="000000" w:themeColor="text1"/>
                <w:sz w:val="22"/>
                <w:lang w:val="es-ES_tradnl"/>
              </w:rPr>
            </w:pPr>
            <w:r w:rsidRPr="00C440B6">
              <w:rPr>
                <w:rFonts w:ascii="Arial" w:eastAsia="Calibri" w:hAnsi="Arial" w:cs="Arial"/>
                <w:b/>
                <w:color w:val="000000" w:themeColor="text1"/>
                <w:sz w:val="22"/>
                <w:lang w:val="es-ES_tradnl"/>
              </w:rPr>
              <w:t>Radicación:</w:t>
            </w:r>
            <w:r w:rsidRPr="00C440B6">
              <w:rPr>
                <w:rFonts w:ascii="Arial" w:eastAsia="Calibri" w:hAnsi="Arial" w:cs="Arial"/>
                <w:color w:val="000000" w:themeColor="text1"/>
                <w:sz w:val="22"/>
                <w:lang w:val="es-ES_tradnl"/>
              </w:rPr>
              <w:t xml:space="preserve">                              </w:t>
            </w:r>
          </w:p>
        </w:tc>
        <w:tc>
          <w:tcPr>
            <w:tcW w:w="6237" w:type="dxa"/>
          </w:tcPr>
          <w:p w14:paraId="09088B1B" w14:textId="2430A21A" w:rsidR="00B95C30" w:rsidRPr="00C440B6" w:rsidRDefault="00900530" w:rsidP="008F4163">
            <w:pPr>
              <w:spacing w:before="120"/>
              <w:jc w:val="both"/>
              <w:rPr>
                <w:rFonts w:ascii="Arial" w:eastAsia="Calibri" w:hAnsi="Arial" w:cs="Arial"/>
                <w:color w:val="000000" w:themeColor="text1"/>
                <w:sz w:val="22"/>
                <w:lang w:val="es-ES_tradnl"/>
              </w:rPr>
            </w:pPr>
            <w:r w:rsidRPr="00900530">
              <w:rPr>
                <w:rFonts w:ascii="Arial" w:eastAsia="Arial" w:hAnsi="Arial" w:cs="Arial"/>
                <w:sz w:val="22"/>
                <w:szCs w:val="22"/>
                <w:lang w:val="es-ES" w:eastAsia="en-US"/>
              </w:rPr>
              <w:t xml:space="preserve">Respuesta a </w:t>
            </w:r>
            <w:r w:rsidRPr="004E3152">
              <w:rPr>
                <w:rFonts w:ascii="Arial" w:eastAsia="Arial" w:hAnsi="Arial" w:cs="Arial"/>
                <w:sz w:val="22"/>
                <w:szCs w:val="22"/>
                <w:lang w:val="es-ES" w:eastAsia="en-US"/>
              </w:rPr>
              <w:t xml:space="preserve">consulta # </w:t>
            </w:r>
            <w:r w:rsidR="003A06CA" w:rsidRPr="003A06CA">
              <w:rPr>
                <w:rFonts w:ascii="Arial" w:eastAsia="Arial" w:hAnsi="Arial" w:cs="Arial"/>
                <w:sz w:val="22"/>
                <w:szCs w:val="22"/>
                <w:lang w:eastAsia="en-US"/>
              </w:rPr>
              <w:t>P20210219001417</w:t>
            </w:r>
          </w:p>
        </w:tc>
      </w:tr>
    </w:tbl>
    <w:p w14:paraId="69729BEF" w14:textId="77777777" w:rsidR="00096D30" w:rsidRDefault="00096D30" w:rsidP="003C3339">
      <w:pPr>
        <w:jc w:val="both"/>
        <w:rPr>
          <w:rFonts w:ascii="Arial" w:eastAsia="Calibri" w:hAnsi="Arial" w:cs="Arial"/>
          <w:color w:val="000000" w:themeColor="text1"/>
          <w:sz w:val="22"/>
          <w:lang w:val="es-ES_tradnl"/>
        </w:rPr>
      </w:pPr>
    </w:p>
    <w:p w14:paraId="43664A51" w14:textId="77777777" w:rsidR="00096D30" w:rsidRDefault="00096D30" w:rsidP="003C3339">
      <w:pPr>
        <w:jc w:val="both"/>
        <w:rPr>
          <w:rFonts w:ascii="Arial" w:eastAsia="Calibri" w:hAnsi="Arial" w:cs="Arial"/>
          <w:color w:val="000000" w:themeColor="text1"/>
          <w:sz w:val="22"/>
          <w:lang w:val="es-ES_tradnl"/>
        </w:rPr>
      </w:pPr>
    </w:p>
    <w:p w14:paraId="1CF4AEA0" w14:textId="6DC85474" w:rsidR="003C3339" w:rsidRPr="00C440B6" w:rsidRDefault="003C3339" w:rsidP="003C3339">
      <w:pPr>
        <w:jc w:val="both"/>
        <w:rPr>
          <w:rFonts w:ascii="Arial" w:eastAsia="Calibri" w:hAnsi="Arial" w:cs="Arial"/>
          <w:color w:val="000000" w:themeColor="text1"/>
          <w:sz w:val="22"/>
          <w:lang w:val="es-ES_tradnl"/>
        </w:rPr>
      </w:pPr>
      <w:r w:rsidRPr="00C440B6">
        <w:rPr>
          <w:rFonts w:ascii="Arial" w:eastAsia="Calibri" w:hAnsi="Arial" w:cs="Arial"/>
          <w:color w:val="000000" w:themeColor="text1"/>
          <w:sz w:val="22"/>
          <w:lang w:val="es-ES_tradnl"/>
        </w:rPr>
        <w:t>Estimad</w:t>
      </w:r>
      <w:r w:rsidR="00C018F7" w:rsidRPr="00C440B6">
        <w:rPr>
          <w:rFonts w:ascii="Arial" w:eastAsia="Calibri" w:hAnsi="Arial" w:cs="Arial"/>
          <w:color w:val="000000" w:themeColor="text1"/>
          <w:sz w:val="22"/>
          <w:lang w:val="es-ES_tradnl"/>
        </w:rPr>
        <w:t>o</w:t>
      </w:r>
      <w:r w:rsidRPr="00C440B6">
        <w:rPr>
          <w:rFonts w:ascii="Arial" w:eastAsia="Calibri" w:hAnsi="Arial" w:cs="Arial"/>
          <w:color w:val="000000" w:themeColor="text1"/>
          <w:sz w:val="22"/>
          <w:lang w:val="es-ES_tradnl"/>
        </w:rPr>
        <w:t xml:space="preserve"> </w:t>
      </w:r>
      <w:r w:rsidR="0063732C" w:rsidRPr="00C440B6">
        <w:rPr>
          <w:rFonts w:ascii="Arial" w:eastAsia="Calibri" w:hAnsi="Arial" w:cs="Arial"/>
          <w:color w:val="000000" w:themeColor="text1"/>
          <w:sz w:val="22"/>
          <w:lang w:val="es-ES_tradnl"/>
        </w:rPr>
        <w:t>señor</w:t>
      </w:r>
      <w:r w:rsidR="00BE4FBF" w:rsidRPr="00C440B6">
        <w:rPr>
          <w:rFonts w:ascii="Arial" w:eastAsia="Calibri" w:hAnsi="Arial" w:cs="Arial"/>
          <w:color w:val="000000" w:themeColor="text1"/>
          <w:sz w:val="22"/>
          <w:lang w:val="es-ES_tradnl"/>
        </w:rPr>
        <w:t xml:space="preserve"> </w:t>
      </w:r>
      <w:r w:rsidR="003A06CA">
        <w:rPr>
          <w:rFonts w:ascii="Arial" w:eastAsia="Calibri" w:hAnsi="Arial" w:cs="Arial"/>
          <w:color w:val="000000" w:themeColor="text1"/>
          <w:sz w:val="22"/>
          <w:lang w:val="es-ES_tradnl"/>
        </w:rPr>
        <w:t>Posada</w:t>
      </w:r>
      <w:r w:rsidRPr="00C440B6">
        <w:rPr>
          <w:rFonts w:ascii="Arial" w:eastAsia="Calibri" w:hAnsi="Arial" w:cs="Arial"/>
          <w:color w:val="000000" w:themeColor="text1"/>
          <w:sz w:val="22"/>
          <w:lang w:val="es-ES_tradnl"/>
        </w:rPr>
        <w:t>:</w:t>
      </w:r>
    </w:p>
    <w:p w14:paraId="1EAE5543" w14:textId="77777777" w:rsidR="00DD5B04" w:rsidRPr="00C440B6" w:rsidRDefault="00DD5B04" w:rsidP="00DF76A2">
      <w:pPr>
        <w:jc w:val="both"/>
        <w:rPr>
          <w:rFonts w:ascii="Arial" w:eastAsia="Calibri" w:hAnsi="Arial" w:cs="Arial"/>
          <w:color w:val="000000" w:themeColor="text1"/>
          <w:sz w:val="22"/>
          <w:lang w:val="es-ES_tradnl"/>
        </w:rPr>
      </w:pPr>
    </w:p>
    <w:p w14:paraId="2109B2D3" w14:textId="40D3D508" w:rsidR="00DD5B04" w:rsidRPr="00C440B6" w:rsidRDefault="00DD5B04" w:rsidP="00DF76A2">
      <w:pPr>
        <w:spacing w:line="276" w:lineRule="auto"/>
        <w:jc w:val="both"/>
        <w:rPr>
          <w:rFonts w:ascii="Arial" w:eastAsia="Calibri" w:hAnsi="Arial" w:cs="Arial"/>
          <w:color w:val="000000" w:themeColor="text1"/>
          <w:sz w:val="22"/>
          <w:lang w:val="es-ES_tradnl"/>
        </w:rPr>
      </w:pPr>
      <w:r w:rsidRPr="00C440B6">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31674D">
        <w:rPr>
          <w:rFonts w:ascii="Arial" w:eastAsia="Calibri" w:hAnsi="Arial" w:cs="Arial"/>
          <w:color w:val="000000" w:themeColor="text1"/>
          <w:sz w:val="22"/>
          <w:lang w:val="es-ES_tradnl"/>
        </w:rPr>
        <w:t>–</w:t>
      </w:r>
      <w:r w:rsidRPr="00C440B6">
        <w:rPr>
          <w:rFonts w:ascii="Arial" w:eastAsia="Calibri" w:hAnsi="Arial" w:cs="Arial"/>
          <w:color w:val="000000" w:themeColor="text1"/>
          <w:sz w:val="22"/>
          <w:lang w:val="es-ES_tradnl"/>
        </w:rPr>
        <w:t xml:space="preserve"> Colombia Compra Eficiente</w:t>
      </w:r>
      <w:r w:rsidR="008C3C57" w:rsidRPr="00C440B6">
        <w:rPr>
          <w:rFonts w:ascii="Arial" w:eastAsia="Calibri" w:hAnsi="Arial" w:cs="Arial"/>
          <w:color w:val="000000" w:themeColor="text1"/>
          <w:sz w:val="22"/>
          <w:lang w:val="es-ES_tradnl"/>
        </w:rPr>
        <w:t xml:space="preserve"> </w:t>
      </w:r>
      <w:r w:rsidRPr="00C440B6">
        <w:rPr>
          <w:rFonts w:ascii="Arial" w:eastAsia="Calibri" w:hAnsi="Arial" w:cs="Arial"/>
          <w:color w:val="000000" w:themeColor="text1"/>
          <w:sz w:val="22"/>
          <w:lang w:val="es-ES_tradnl"/>
        </w:rPr>
        <w:t xml:space="preserve">responde su consulta del </w:t>
      </w:r>
      <w:r w:rsidR="004E3152">
        <w:rPr>
          <w:rFonts w:ascii="Arial" w:eastAsia="Calibri" w:hAnsi="Arial" w:cs="Arial"/>
          <w:color w:val="000000" w:themeColor="text1"/>
          <w:sz w:val="22"/>
          <w:lang w:val="es-ES_tradnl"/>
        </w:rPr>
        <w:t>1</w:t>
      </w:r>
      <w:r w:rsidR="003A06CA">
        <w:rPr>
          <w:rFonts w:ascii="Arial" w:eastAsia="Calibri" w:hAnsi="Arial" w:cs="Arial"/>
          <w:color w:val="000000" w:themeColor="text1"/>
          <w:sz w:val="22"/>
          <w:lang w:val="es-ES_tradnl"/>
        </w:rPr>
        <w:t>9</w:t>
      </w:r>
      <w:r w:rsidR="00FD4AF3" w:rsidRPr="00C440B6">
        <w:rPr>
          <w:rFonts w:ascii="Arial" w:eastAsia="Calibri" w:hAnsi="Arial" w:cs="Arial"/>
          <w:color w:val="000000" w:themeColor="text1"/>
          <w:sz w:val="22"/>
          <w:lang w:val="es-ES_tradnl"/>
        </w:rPr>
        <w:t xml:space="preserve"> de </w:t>
      </w:r>
      <w:r w:rsidR="004E3152">
        <w:rPr>
          <w:rFonts w:ascii="Arial" w:eastAsia="Calibri" w:hAnsi="Arial" w:cs="Arial"/>
          <w:color w:val="000000" w:themeColor="text1"/>
          <w:sz w:val="22"/>
          <w:lang w:val="es-ES_tradnl"/>
        </w:rPr>
        <w:t>febrero</w:t>
      </w:r>
      <w:r w:rsidRPr="00C440B6">
        <w:rPr>
          <w:rFonts w:ascii="Arial" w:eastAsia="Calibri" w:hAnsi="Arial" w:cs="Arial"/>
          <w:color w:val="000000" w:themeColor="text1"/>
          <w:sz w:val="22"/>
          <w:lang w:val="es-ES_tradnl"/>
        </w:rPr>
        <w:t xml:space="preserve"> del</w:t>
      </w:r>
      <w:r w:rsidR="007E74BF" w:rsidRPr="00C440B6">
        <w:rPr>
          <w:rFonts w:ascii="Arial" w:eastAsia="Calibri" w:hAnsi="Arial" w:cs="Arial"/>
          <w:color w:val="000000" w:themeColor="text1"/>
          <w:sz w:val="22"/>
          <w:lang w:val="es-ES_tradnl"/>
        </w:rPr>
        <w:t xml:space="preserve"> </w:t>
      </w:r>
      <w:r w:rsidRPr="00C440B6">
        <w:rPr>
          <w:rFonts w:ascii="Arial" w:eastAsia="Calibri" w:hAnsi="Arial" w:cs="Arial"/>
          <w:color w:val="000000" w:themeColor="text1"/>
          <w:sz w:val="22"/>
          <w:lang w:val="es-ES_tradnl"/>
        </w:rPr>
        <w:t>202</w:t>
      </w:r>
      <w:r w:rsidR="00FB0880" w:rsidRPr="00C440B6">
        <w:rPr>
          <w:rFonts w:ascii="Arial" w:eastAsia="Calibri" w:hAnsi="Arial" w:cs="Arial"/>
          <w:color w:val="000000" w:themeColor="text1"/>
          <w:sz w:val="22"/>
          <w:lang w:val="es-ES_tradnl"/>
        </w:rPr>
        <w:t>1</w:t>
      </w:r>
      <w:r w:rsidR="008C3C57" w:rsidRPr="00C440B6">
        <w:rPr>
          <w:rFonts w:ascii="Arial" w:eastAsia="Calibri" w:hAnsi="Arial" w:cs="Arial"/>
          <w:color w:val="000000" w:themeColor="text1"/>
          <w:sz w:val="22"/>
          <w:lang w:val="es-ES_tradnl"/>
        </w:rPr>
        <w:t>.</w:t>
      </w:r>
    </w:p>
    <w:p w14:paraId="0C1E0712" w14:textId="77777777" w:rsidR="00DD5B04" w:rsidRPr="00C440B6"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C440B6"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C440B6">
        <w:rPr>
          <w:rFonts w:ascii="Arial" w:eastAsia="Calibri" w:hAnsi="Arial" w:cs="Arial"/>
          <w:b/>
          <w:color w:val="000000" w:themeColor="text1"/>
          <w:sz w:val="22"/>
          <w:lang w:val="es-ES_tradnl"/>
        </w:rPr>
        <w:t xml:space="preserve">Problema planteado </w:t>
      </w:r>
    </w:p>
    <w:p w14:paraId="224B43D3" w14:textId="77777777" w:rsidR="00DD5B04" w:rsidRPr="00C440B6" w:rsidRDefault="00DD5B04" w:rsidP="002B6DB6">
      <w:pPr>
        <w:tabs>
          <w:tab w:val="left" w:pos="426"/>
        </w:tabs>
        <w:jc w:val="both"/>
        <w:rPr>
          <w:rFonts w:ascii="Arial" w:eastAsia="Calibri" w:hAnsi="Arial" w:cs="Arial"/>
          <w:b/>
          <w:color w:val="000000" w:themeColor="text1"/>
          <w:sz w:val="22"/>
          <w:lang w:val="es-ES_tradnl"/>
        </w:rPr>
      </w:pPr>
    </w:p>
    <w:p w14:paraId="6EB60E34" w14:textId="05070DFC" w:rsidR="00861C26" w:rsidRDefault="00900530" w:rsidP="002B6DB6">
      <w:pPr>
        <w:spacing w:line="276" w:lineRule="auto"/>
        <w:jc w:val="both"/>
        <w:rPr>
          <w:rFonts w:ascii="Arial" w:eastAsia="Calibri" w:hAnsi="Arial" w:cs="Arial"/>
          <w:color w:val="000000" w:themeColor="text1"/>
          <w:sz w:val="22"/>
          <w:szCs w:val="22"/>
          <w:lang w:val="es-ES_tradnl"/>
        </w:rPr>
      </w:pPr>
      <w:r w:rsidRPr="00900530">
        <w:rPr>
          <w:rFonts w:ascii="Arial" w:hAnsi="Arial" w:cs="Arial"/>
          <w:color w:val="000000" w:themeColor="text1"/>
          <w:sz w:val="22"/>
          <w:lang w:val="es-ES_tradnl"/>
        </w:rPr>
        <w:t>Usted formula las siguientes preguntas</w:t>
      </w:r>
      <w:bookmarkStart w:id="1" w:name="_Hlk64534095"/>
      <w:r w:rsidR="00861C26">
        <w:rPr>
          <w:rFonts w:ascii="Arial" w:hAnsi="Arial" w:cs="Arial"/>
          <w:color w:val="000000" w:themeColor="text1"/>
          <w:sz w:val="22"/>
          <w:lang w:val="es-ES_tradnl"/>
        </w:rPr>
        <w:t>, con relación a la posibilidad de que entidades públicas suscriban contratos de transacción</w:t>
      </w:r>
      <w:r w:rsidRPr="00900530">
        <w:rPr>
          <w:rFonts w:ascii="Arial" w:hAnsi="Arial" w:cs="Arial"/>
          <w:color w:val="000000" w:themeColor="text1"/>
          <w:sz w:val="22"/>
          <w:lang w:val="es-ES_tradnl"/>
        </w:rPr>
        <w:t>:</w:t>
      </w:r>
      <w:r w:rsidR="004E3152" w:rsidRPr="004E3152">
        <w:rPr>
          <w:rFonts w:ascii="Arial" w:eastAsia="Calibri" w:hAnsi="Arial" w:cs="Arial"/>
          <w:color w:val="000000" w:themeColor="text1"/>
          <w:sz w:val="22"/>
          <w:szCs w:val="22"/>
          <w:lang w:val="es-ES_tradnl"/>
        </w:rPr>
        <w:t xml:space="preserve"> </w:t>
      </w:r>
    </w:p>
    <w:p w14:paraId="4D8BB889" w14:textId="77777777" w:rsidR="00861C26" w:rsidRDefault="00861C26" w:rsidP="00900530">
      <w:pPr>
        <w:jc w:val="both"/>
        <w:rPr>
          <w:rFonts w:ascii="Arial" w:eastAsia="Calibri" w:hAnsi="Arial" w:cs="Arial"/>
          <w:color w:val="000000" w:themeColor="text1"/>
          <w:sz w:val="22"/>
          <w:szCs w:val="22"/>
          <w:lang w:val="es-ES_tradnl"/>
        </w:rPr>
      </w:pPr>
    </w:p>
    <w:p w14:paraId="60E9EAB0" w14:textId="442554C8" w:rsidR="00454589" w:rsidRPr="002B6DB6" w:rsidRDefault="00C85561" w:rsidP="002B6DB6">
      <w:pPr>
        <w:ind w:left="709" w:right="709"/>
        <w:jc w:val="both"/>
        <w:rPr>
          <w:rFonts w:ascii="Calibri" w:hAnsi="Calibri" w:cs="Calibri"/>
          <w:color w:val="000000"/>
          <w:sz w:val="21"/>
          <w:szCs w:val="21"/>
        </w:rPr>
      </w:pPr>
      <w:bookmarkStart w:id="2" w:name="_Hlk64445064"/>
      <w:r w:rsidRPr="000E0D71">
        <w:rPr>
          <w:rFonts w:ascii="Arial" w:eastAsia="Calibri" w:hAnsi="Arial" w:cs="Arial"/>
          <w:color w:val="000000" w:themeColor="text1"/>
          <w:sz w:val="22"/>
          <w:szCs w:val="22"/>
          <w:lang w:val="es-ES_tradnl"/>
        </w:rPr>
        <w:t>«</w:t>
      </w:r>
      <w:r w:rsidR="003A06CA" w:rsidRPr="002B6DB6">
        <w:rPr>
          <w:rFonts w:ascii="Arial" w:hAnsi="Arial" w:cs="Arial"/>
          <w:color w:val="000000"/>
          <w:sz w:val="21"/>
          <w:szCs w:val="21"/>
          <w:lang w:val="es-ES"/>
        </w:rPr>
        <w:t>¿Es jurídicamente viable que una entidad pública para precaver un litigio eventual por responsabilidad del Estado suscriba un contrato de transacción?</w:t>
      </w:r>
      <w:r w:rsidR="00861C26" w:rsidRPr="002B6DB6">
        <w:rPr>
          <w:rFonts w:ascii="Arial" w:hAnsi="Arial" w:cs="Arial"/>
          <w:color w:val="000000"/>
          <w:sz w:val="21"/>
          <w:szCs w:val="21"/>
          <w:lang w:val="es-ES"/>
        </w:rPr>
        <w:t xml:space="preserve"> </w:t>
      </w:r>
      <w:r w:rsidR="003A06CA" w:rsidRPr="002B6DB6">
        <w:rPr>
          <w:rFonts w:ascii="Arial" w:hAnsi="Arial" w:cs="Arial"/>
          <w:color w:val="000000"/>
          <w:sz w:val="21"/>
          <w:szCs w:val="21"/>
          <w:lang w:val="es-ES"/>
        </w:rPr>
        <w:t>¿Qué normativa respalda esa posibilidad?</w:t>
      </w:r>
      <w:r w:rsidR="00861C26" w:rsidRPr="002B6DB6">
        <w:rPr>
          <w:rFonts w:ascii="Arial" w:hAnsi="Arial" w:cs="Arial"/>
          <w:color w:val="000000"/>
          <w:sz w:val="21"/>
          <w:szCs w:val="21"/>
          <w:lang w:val="es-ES"/>
        </w:rPr>
        <w:t xml:space="preserve"> </w:t>
      </w:r>
      <w:r w:rsidR="003A06CA" w:rsidRPr="002B6DB6">
        <w:rPr>
          <w:rFonts w:ascii="Arial" w:hAnsi="Arial" w:cs="Arial"/>
          <w:color w:val="000000"/>
          <w:sz w:val="21"/>
          <w:szCs w:val="21"/>
          <w:lang w:val="es-ES"/>
        </w:rPr>
        <w:t>¿Debe someterse esto al comité de conciliación?</w:t>
      </w:r>
      <w:r w:rsidR="00861C26" w:rsidRPr="002B6DB6">
        <w:rPr>
          <w:rFonts w:ascii="Arial" w:hAnsi="Arial" w:cs="Arial"/>
          <w:color w:val="000000"/>
          <w:sz w:val="21"/>
          <w:szCs w:val="21"/>
          <w:lang w:val="es-ES"/>
        </w:rPr>
        <w:t xml:space="preserve"> </w:t>
      </w:r>
      <w:r w:rsidR="003A06CA" w:rsidRPr="002B6DB6">
        <w:rPr>
          <w:rFonts w:ascii="Arial" w:hAnsi="Arial" w:cs="Arial"/>
          <w:color w:val="000000"/>
          <w:sz w:val="21"/>
          <w:szCs w:val="21"/>
          <w:lang w:val="es-ES"/>
        </w:rPr>
        <w:t>¿En caso de irregularidades en el contrato de transacción que medio de control puede usarse para demandarse?</w:t>
      </w:r>
      <w:r w:rsidR="00861C26" w:rsidRPr="002B6DB6">
        <w:rPr>
          <w:rFonts w:ascii="Arial" w:hAnsi="Arial" w:cs="Arial"/>
          <w:color w:val="000000"/>
          <w:sz w:val="21"/>
          <w:szCs w:val="21"/>
          <w:lang w:val="es-ES"/>
        </w:rPr>
        <w:t xml:space="preserve"> </w:t>
      </w:r>
      <w:r w:rsidR="003A06CA" w:rsidRPr="002B6DB6">
        <w:rPr>
          <w:rFonts w:ascii="Arial" w:hAnsi="Arial" w:cs="Arial"/>
          <w:color w:val="000000"/>
          <w:sz w:val="21"/>
          <w:szCs w:val="21"/>
          <w:lang w:val="es-ES"/>
        </w:rPr>
        <w:t>¿Quién debe suscribir el contrato?</w:t>
      </w:r>
      <w:r w:rsidR="00861C26" w:rsidRPr="002B6DB6">
        <w:rPr>
          <w:rFonts w:ascii="Arial" w:hAnsi="Arial" w:cs="Arial"/>
          <w:color w:val="000000"/>
          <w:sz w:val="21"/>
          <w:szCs w:val="21"/>
          <w:lang w:val="es-ES"/>
        </w:rPr>
        <w:t xml:space="preserve"> </w:t>
      </w:r>
      <w:r w:rsidR="003A06CA" w:rsidRPr="002B6DB6">
        <w:rPr>
          <w:rFonts w:ascii="Arial" w:hAnsi="Arial" w:cs="Arial"/>
          <w:color w:val="000000"/>
          <w:sz w:val="21"/>
          <w:szCs w:val="21"/>
          <w:lang w:val="es-ES"/>
        </w:rPr>
        <w:t>¿Debe publicarse en SECOP?</w:t>
      </w:r>
      <w:r w:rsidR="00861C26" w:rsidRPr="002B6DB6">
        <w:rPr>
          <w:rFonts w:ascii="Arial" w:hAnsi="Arial" w:cs="Arial"/>
          <w:color w:val="000000"/>
          <w:sz w:val="21"/>
          <w:szCs w:val="21"/>
          <w:lang w:val="es-ES"/>
        </w:rPr>
        <w:t xml:space="preserve"> </w:t>
      </w:r>
      <w:r w:rsidR="003A06CA" w:rsidRPr="002B6DB6">
        <w:rPr>
          <w:rFonts w:ascii="Arial" w:hAnsi="Arial" w:cs="Arial"/>
          <w:color w:val="000000"/>
          <w:sz w:val="21"/>
          <w:szCs w:val="21"/>
          <w:lang w:val="es-ES"/>
        </w:rPr>
        <w:t>¿Qué requisitos adicionales debe cumplir esa transacción a más (sic) de los establecidos en el código civil?</w:t>
      </w:r>
      <w:bookmarkEnd w:id="1"/>
      <w:bookmarkEnd w:id="2"/>
      <w:r w:rsidRPr="000E0D71">
        <w:rPr>
          <w:rFonts w:ascii="Arial" w:eastAsia="Calibri" w:hAnsi="Arial" w:cs="Arial"/>
          <w:color w:val="000000" w:themeColor="text1"/>
          <w:sz w:val="22"/>
          <w:szCs w:val="22"/>
          <w:lang w:val="es-ES_tradnl"/>
        </w:rPr>
        <w:t>»</w:t>
      </w:r>
      <w:r>
        <w:rPr>
          <w:rFonts w:ascii="Arial" w:eastAsia="Calibri" w:hAnsi="Arial" w:cs="Arial"/>
          <w:color w:val="000000" w:themeColor="text1"/>
          <w:sz w:val="22"/>
          <w:szCs w:val="22"/>
          <w:lang w:val="es-ES_tradnl"/>
        </w:rPr>
        <w:t>.</w:t>
      </w:r>
    </w:p>
    <w:p w14:paraId="7C90D8BB" w14:textId="77777777" w:rsidR="00900530" w:rsidRPr="005419DA" w:rsidRDefault="00900530" w:rsidP="00900530">
      <w:pPr>
        <w:jc w:val="both"/>
        <w:rPr>
          <w:rFonts w:ascii="Arial" w:hAnsi="Arial" w:cs="Arial"/>
          <w:color w:val="000000" w:themeColor="text1"/>
          <w:sz w:val="21"/>
          <w:szCs w:val="21"/>
          <w:lang w:val="es-ES_tradnl"/>
        </w:rPr>
      </w:pPr>
    </w:p>
    <w:p w14:paraId="4805B484" w14:textId="77777777" w:rsidR="00F80411" w:rsidRPr="005419DA" w:rsidRDefault="00F80411" w:rsidP="00F80411">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Consideraciones</w:t>
      </w:r>
    </w:p>
    <w:p w14:paraId="0F04AF6B" w14:textId="77777777" w:rsidR="003A06CA" w:rsidRDefault="003A06CA" w:rsidP="002B6DB6">
      <w:pPr>
        <w:jc w:val="both"/>
        <w:rPr>
          <w:rFonts w:ascii="Arial" w:eastAsia="Calibri" w:hAnsi="Arial" w:cs="Arial"/>
          <w:color w:val="000000" w:themeColor="text1"/>
          <w:sz w:val="22"/>
          <w:szCs w:val="22"/>
          <w:lang w:val="es-ES_tradnl"/>
        </w:rPr>
      </w:pPr>
    </w:p>
    <w:p w14:paraId="20AAE7C4" w14:textId="5ABD187F" w:rsidR="003A06CA" w:rsidRDefault="003A06CA" w:rsidP="00861C26">
      <w:pPr>
        <w:spacing w:line="276" w:lineRule="auto"/>
        <w:jc w:val="both"/>
        <w:rPr>
          <w:rFonts w:ascii="Arial" w:eastAsia="Calibri" w:hAnsi="Arial" w:cs="Arial"/>
          <w:sz w:val="22"/>
          <w:lang w:val="es-ES"/>
        </w:rPr>
      </w:pPr>
      <w:r w:rsidRPr="00217435">
        <w:rPr>
          <w:rFonts w:ascii="Arial" w:eastAsia="Calibri" w:hAnsi="Arial" w:cs="Arial"/>
          <w:sz w:val="22"/>
          <w:lang w:val="es-ES"/>
        </w:rPr>
        <w:lastRenderedPageBreak/>
        <w:t xml:space="preserve">La Agencia Nacional de Contratación Pública – Colombia Compra Eficiente </w:t>
      </w:r>
      <w:r>
        <w:rPr>
          <w:rFonts w:ascii="Arial" w:eastAsia="Calibri" w:hAnsi="Arial" w:cs="Arial"/>
          <w:sz w:val="22"/>
          <w:lang w:val="es-ES"/>
        </w:rPr>
        <w:t>tuvo</w:t>
      </w:r>
      <w:r w:rsidRPr="00217435">
        <w:rPr>
          <w:rFonts w:ascii="Arial" w:eastAsia="Calibri" w:hAnsi="Arial" w:cs="Arial"/>
          <w:sz w:val="22"/>
          <w:lang w:val="es-ES"/>
        </w:rPr>
        <w:t xml:space="preserve"> la oportunidad de estudiar</w:t>
      </w:r>
      <w:r>
        <w:rPr>
          <w:rFonts w:ascii="Arial" w:eastAsia="Calibri" w:hAnsi="Arial" w:cs="Arial"/>
          <w:sz w:val="22"/>
          <w:lang w:val="es-ES"/>
        </w:rPr>
        <w:t xml:space="preserve"> la procedencia de la transacción en la contratación estatal en el concepto C-807 del 29 de diciembre de 2021. En esta ocasión se reitera</w:t>
      </w:r>
      <w:r w:rsidR="00992408">
        <w:rPr>
          <w:rFonts w:ascii="Arial" w:eastAsia="Calibri" w:hAnsi="Arial" w:cs="Arial"/>
          <w:sz w:val="22"/>
          <w:lang w:val="es-ES"/>
        </w:rPr>
        <w:t>,</w:t>
      </w:r>
      <w:r>
        <w:rPr>
          <w:rFonts w:ascii="Arial" w:eastAsia="Calibri" w:hAnsi="Arial" w:cs="Arial"/>
          <w:sz w:val="22"/>
          <w:lang w:val="es-ES"/>
        </w:rPr>
        <w:t xml:space="preserve"> en lo pertinente</w:t>
      </w:r>
      <w:r w:rsidR="00992408">
        <w:rPr>
          <w:rFonts w:ascii="Arial" w:eastAsia="Calibri" w:hAnsi="Arial" w:cs="Arial"/>
          <w:sz w:val="22"/>
          <w:lang w:val="es-ES"/>
        </w:rPr>
        <w:t>,</w:t>
      </w:r>
      <w:r>
        <w:rPr>
          <w:rFonts w:ascii="Arial" w:eastAsia="Calibri" w:hAnsi="Arial" w:cs="Arial"/>
          <w:sz w:val="22"/>
          <w:lang w:val="es-ES"/>
        </w:rPr>
        <w:t xml:space="preserve"> la</w:t>
      </w:r>
      <w:r w:rsidR="00992408">
        <w:rPr>
          <w:rFonts w:ascii="Arial" w:eastAsia="Calibri" w:hAnsi="Arial" w:cs="Arial"/>
          <w:sz w:val="22"/>
          <w:lang w:val="es-ES"/>
        </w:rPr>
        <w:t xml:space="preserve"> argumentación presentada en dicho concepto, adicionando unas precisiones conceptuales que tienen el fin de responder de manera concisa las preguntas elevadas por el peticionario.</w:t>
      </w:r>
    </w:p>
    <w:p w14:paraId="406C455A" w14:textId="3D0248A2" w:rsidR="004E667A" w:rsidRDefault="003A06CA" w:rsidP="003A06CA">
      <w:pPr>
        <w:spacing w:line="276" w:lineRule="auto"/>
        <w:ind w:firstLine="708"/>
        <w:jc w:val="both"/>
        <w:rPr>
          <w:rFonts w:ascii="Arial" w:eastAsia="Calibri" w:hAnsi="Arial" w:cs="Arial"/>
          <w:sz w:val="22"/>
          <w:lang w:val="es-ES"/>
        </w:rPr>
      </w:pPr>
      <w:r>
        <w:rPr>
          <w:rFonts w:ascii="Arial" w:eastAsia="Calibri" w:hAnsi="Arial" w:cs="Arial"/>
          <w:sz w:val="22"/>
          <w:lang w:val="es-ES"/>
        </w:rPr>
        <w:t xml:space="preserve">Por otro lado, esta Agencia se ha pronunciado </w:t>
      </w:r>
      <w:r w:rsidRPr="000C0F96">
        <w:rPr>
          <w:rFonts w:ascii="Arial" w:eastAsia="Arial" w:hAnsi="Arial" w:cs="Arial"/>
          <w:color w:val="000000" w:themeColor="text1"/>
          <w:sz w:val="22"/>
          <w:lang w:val="es-ES"/>
        </w:rPr>
        <w:t>en diversas ocasiones</w:t>
      </w:r>
      <w:r>
        <w:rPr>
          <w:rFonts w:ascii="Arial" w:eastAsia="Arial" w:hAnsi="Arial" w:cs="Arial"/>
          <w:color w:val="000000" w:themeColor="text1"/>
          <w:sz w:val="22"/>
          <w:lang w:val="es-ES"/>
        </w:rPr>
        <w:t xml:space="preserve"> sobre</w:t>
      </w:r>
      <w:r w:rsidRPr="000C0F96">
        <w:rPr>
          <w:rFonts w:ascii="Arial" w:eastAsia="Arial" w:hAnsi="Arial" w:cs="Arial"/>
          <w:color w:val="000000" w:themeColor="text1"/>
          <w:sz w:val="22"/>
          <w:lang w:val="es-ES"/>
        </w:rPr>
        <w:t xml:space="preserve"> los temas relacionados con el deber de publicidad de las entidades estatales en los procesos de contratación</w:t>
      </w:r>
      <w:r>
        <w:rPr>
          <w:rFonts w:ascii="Arial" w:eastAsia="Calibri" w:hAnsi="Arial" w:cs="Arial"/>
          <w:sz w:val="22"/>
          <w:lang w:val="es-ES"/>
        </w:rPr>
        <w:t xml:space="preserve"> en los conceptos C</w:t>
      </w:r>
      <w:r w:rsidRPr="000C0F96">
        <w:rPr>
          <w:rFonts w:ascii="Arial" w:eastAsia="Calibri" w:hAnsi="Arial" w:cs="Arial"/>
          <w:sz w:val="22"/>
          <w:lang w:val="es-ES"/>
        </w:rPr>
        <w:t>-046 del 19 de febrero de 2020, C-095 del 16 de marzo de 2020, C-197 del 26 de marzo de 2020, C-170 del 6 de abril de 2020, C-172 del 6 de abril de 2020, C-176 del 6 de abril de 2020, C-009 del 27 de abril de 2020, C-009 del 27 de abril de 2020 y C-015 del 29 de abril de 2020</w:t>
      </w:r>
      <w:r>
        <w:rPr>
          <w:rFonts w:ascii="Arial" w:eastAsia="Calibri" w:hAnsi="Arial" w:cs="Arial"/>
          <w:sz w:val="22"/>
          <w:lang w:val="es-ES"/>
        </w:rPr>
        <w:t xml:space="preserve">. </w:t>
      </w:r>
      <w:r w:rsidRPr="000C0F96">
        <w:rPr>
          <w:rFonts w:ascii="Arial" w:eastAsia="Calibri" w:hAnsi="Arial" w:cs="Arial"/>
          <w:sz w:val="22"/>
          <w:lang w:val="es-ES"/>
        </w:rPr>
        <w:t>Dichas ideas se unificaron en el concepto CU-367 del 23 de julio de 2020</w:t>
      </w:r>
      <w:r w:rsidR="00992408">
        <w:rPr>
          <w:rFonts w:ascii="Arial" w:eastAsia="Calibri" w:hAnsi="Arial" w:cs="Arial"/>
          <w:sz w:val="22"/>
          <w:lang w:val="es-ES"/>
        </w:rPr>
        <w:t xml:space="preserve">, cuya </w:t>
      </w:r>
      <w:r w:rsidR="00422631">
        <w:rPr>
          <w:rFonts w:ascii="Arial" w:eastAsia="Calibri" w:hAnsi="Arial" w:cs="Arial"/>
          <w:sz w:val="22"/>
          <w:lang w:val="es-ES"/>
        </w:rPr>
        <w:t>posición</w:t>
      </w:r>
      <w:r w:rsidR="00992408">
        <w:rPr>
          <w:rFonts w:ascii="Arial" w:eastAsia="Calibri" w:hAnsi="Arial" w:cs="Arial"/>
          <w:sz w:val="22"/>
          <w:lang w:val="es-ES"/>
        </w:rPr>
        <w:t xml:space="preserve"> se reitera en el presente concepto </w:t>
      </w:r>
      <w:r w:rsidR="00422631">
        <w:rPr>
          <w:rFonts w:ascii="Arial" w:eastAsia="Calibri" w:hAnsi="Arial" w:cs="Arial"/>
          <w:sz w:val="22"/>
          <w:lang w:val="es-ES"/>
        </w:rPr>
        <w:t>para</w:t>
      </w:r>
      <w:r w:rsidR="00992408">
        <w:rPr>
          <w:rFonts w:ascii="Arial" w:eastAsia="Calibri" w:hAnsi="Arial" w:cs="Arial"/>
          <w:sz w:val="22"/>
          <w:lang w:val="es-ES"/>
        </w:rPr>
        <w:t xml:space="preserve"> dilucidar si es necesario publicar el contrato de transacción en la plataforma del SECOP I o SECOP II según corresponda. </w:t>
      </w:r>
    </w:p>
    <w:p w14:paraId="0BF93C7D" w14:textId="77777777" w:rsidR="003A06CA" w:rsidRPr="000E0D71" w:rsidRDefault="003A06CA" w:rsidP="004E667A">
      <w:pPr>
        <w:spacing w:line="276" w:lineRule="auto"/>
        <w:jc w:val="both"/>
        <w:rPr>
          <w:rFonts w:ascii="Arial" w:eastAsia="Calibri" w:hAnsi="Arial" w:cs="Arial"/>
          <w:color w:val="000000" w:themeColor="text1"/>
          <w:sz w:val="22"/>
          <w:szCs w:val="22"/>
          <w:lang w:val="es-ES_tradnl"/>
        </w:rPr>
      </w:pPr>
    </w:p>
    <w:p w14:paraId="14AD752D" w14:textId="77777777" w:rsidR="004E667A" w:rsidRPr="000E0D71" w:rsidRDefault="004E667A" w:rsidP="004E667A">
      <w:pPr>
        <w:spacing w:line="276" w:lineRule="auto"/>
        <w:jc w:val="both"/>
        <w:rPr>
          <w:rFonts w:ascii="Arial" w:eastAsia="Calibri" w:hAnsi="Arial" w:cs="Arial"/>
          <w:b/>
          <w:bCs/>
          <w:color w:val="000000" w:themeColor="text1"/>
          <w:sz w:val="22"/>
          <w:szCs w:val="22"/>
          <w:lang w:val="es-ES_tradnl"/>
        </w:rPr>
      </w:pPr>
      <w:r w:rsidRPr="000E0D71">
        <w:rPr>
          <w:rFonts w:ascii="Arial" w:eastAsia="Calibri" w:hAnsi="Arial" w:cs="Arial"/>
          <w:b/>
          <w:bCs/>
          <w:color w:val="000000" w:themeColor="text1"/>
          <w:sz w:val="22"/>
          <w:szCs w:val="22"/>
          <w:lang w:val="es-ES_tradnl"/>
        </w:rPr>
        <w:t>2.1. Procedencia de la transacción en la contratación estatal</w:t>
      </w:r>
    </w:p>
    <w:p w14:paraId="5D74ECE7" w14:textId="77777777" w:rsidR="004E667A" w:rsidRPr="000E0D71" w:rsidRDefault="004E667A" w:rsidP="004E667A">
      <w:pPr>
        <w:spacing w:line="276" w:lineRule="auto"/>
        <w:jc w:val="both"/>
        <w:rPr>
          <w:rFonts w:ascii="Arial" w:eastAsia="Calibri" w:hAnsi="Arial" w:cs="Arial"/>
          <w:b/>
          <w:bCs/>
          <w:color w:val="000000" w:themeColor="text1"/>
          <w:sz w:val="22"/>
          <w:szCs w:val="22"/>
          <w:lang w:val="es-ES_tradnl"/>
        </w:rPr>
      </w:pPr>
    </w:p>
    <w:p w14:paraId="69B1448A" w14:textId="77777777" w:rsidR="004E667A" w:rsidRPr="000E0D71" w:rsidRDefault="004E667A" w:rsidP="004E667A">
      <w:pPr>
        <w:spacing w:line="276" w:lineRule="auto"/>
        <w:jc w:val="both"/>
        <w:rPr>
          <w:rFonts w:ascii="Arial" w:eastAsia="Calibri" w:hAnsi="Arial" w:cs="Arial"/>
          <w:color w:val="000000" w:themeColor="text1"/>
          <w:sz w:val="22"/>
          <w:szCs w:val="22"/>
          <w:lang w:val="es-ES_tradnl"/>
        </w:rPr>
      </w:pPr>
      <w:r w:rsidRPr="000E0D71">
        <w:rPr>
          <w:rFonts w:ascii="Arial" w:eastAsia="Calibri" w:hAnsi="Arial" w:cs="Arial"/>
          <w:color w:val="000000" w:themeColor="text1"/>
          <w:sz w:val="22"/>
          <w:szCs w:val="22"/>
          <w:lang w:val="es-ES_tradnl"/>
        </w:rPr>
        <w:t xml:space="preserve">La transacción es un mecanismo alternativo de resolución de conflictos de carácter </w:t>
      </w:r>
      <w:r w:rsidRPr="000E0D71">
        <w:rPr>
          <w:rFonts w:ascii="Arial" w:eastAsia="Calibri" w:hAnsi="Arial" w:cs="Arial"/>
          <w:i/>
          <w:iCs/>
          <w:color w:val="000000" w:themeColor="text1"/>
          <w:sz w:val="22"/>
          <w:szCs w:val="22"/>
          <w:lang w:val="es-ES_tradnl"/>
        </w:rPr>
        <w:t>autocompositivo</w:t>
      </w:r>
      <w:r w:rsidRPr="000E0D71">
        <w:rPr>
          <w:rFonts w:ascii="Arial" w:eastAsia="Calibri" w:hAnsi="Arial" w:cs="Arial"/>
          <w:color w:val="000000" w:themeColor="text1"/>
          <w:sz w:val="22"/>
          <w:szCs w:val="22"/>
          <w:lang w:val="es-ES_tradnl"/>
        </w:rPr>
        <w:t xml:space="preserve">. En efecto, mediante la transacción las partes involucradas en una controversia acuerdan directamente la forma de resolverla, o sea que solucionan el conflicto por voluntad propia –efectuando concesiones recíprocas– y no por la imposición de un tercero. De ahí que la transacción revista los rasgos de un </w:t>
      </w:r>
      <w:r w:rsidRPr="000E0D71">
        <w:rPr>
          <w:rFonts w:ascii="Arial" w:eastAsia="Calibri" w:hAnsi="Arial" w:cs="Arial"/>
          <w:i/>
          <w:iCs/>
          <w:color w:val="000000" w:themeColor="text1"/>
          <w:sz w:val="22"/>
          <w:szCs w:val="22"/>
          <w:lang w:val="es-ES_tradnl"/>
        </w:rPr>
        <w:t>negocio jurídico</w:t>
      </w:r>
      <w:r w:rsidRPr="000E0D71">
        <w:rPr>
          <w:rFonts w:ascii="Arial" w:eastAsia="Calibri" w:hAnsi="Arial" w:cs="Arial"/>
          <w:color w:val="000000" w:themeColor="text1"/>
          <w:sz w:val="22"/>
          <w:szCs w:val="22"/>
          <w:lang w:val="es-ES_tradnl"/>
        </w:rPr>
        <w:t xml:space="preserve"> o </w:t>
      </w:r>
      <w:r w:rsidRPr="000E0D71">
        <w:rPr>
          <w:rFonts w:ascii="Arial" w:eastAsia="Calibri" w:hAnsi="Arial" w:cs="Arial"/>
          <w:i/>
          <w:iCs/>
          <w:color w:val="000000" w:themeColor="text1"/>
          <w:sz w:val="22"/>
          <w:szCs w:val="22"/>
          <w:lang w:val="es-ES_tradnl"/>
        </w:rPr>
        <w:t>contrato</w:t>
      </w:r>
      <w:r w:rsidRPr="000E0D71">
        <w:rPr>
          <w:rFonts w:ascii="Arial" w:eastAsia="Calibri" w:hAnsi="Arial" w:cs="Arial"/>
          <w:color w:val="000000" w:themeColor="text1"/>
          <w:sz w:val="22"/>
          <w:szCs w:val="22"/>
          <w:lang w:val="es-ES_tradnl"/>
        </w:rPr>
        <w:t>, pues es un acuerdo de voluntades para crear, modificar o extinguir derechos y obligaciones</w:t>
      </w:r>
      <w:r w:rsidRPr="000E0D71">
        <w:rPr>
          <w:rStyle w:val="Refdenotaalpie"/>
          <w:rFonts w:ascii="Arial" w:eastAsia="Calibri" w:hAnsi="Arial" w:cs="Arial"/>
          <w:color w:val="000000" w:themeColor="text1"/>
          <w:sz w:val="22"/>
          <w:szCs w:val="22"/>
          <w:lang w:val="es-ES_tradnl"/>
        </w:rPr>
        <w:footnoteReference w:id="2"/>
      </w:r>
      <w:r w:rsidRPr="000E0D71">
        <w:rPr>
          <w:rFonts w:ascii="Arial" w:eastAsia="Calibri" w:hAnsi="Arial" w:cs="Arial"/>
          <w:color w:val="000000" w:themeColor="text1"/>
          <w:sz w:val="22"/>
          <w:szCs w:val="22"/>
          <w:lang w:val="es-ES_tradnl"/>
        </w:rPr>
        <w:t xml:space="preserve">. Esto diferencia a la transacción de los mecanismos </w:t>
      </w:r>
      <w:proofErr w:type="spellStart"/>
      <w:r w:rsidRPr="000E0D71">
        <w:rPr>
          <w:rFonts w:ascii="Arial" w:eastAsia="Calibri" w:hAnsi="Arial" w:cs="Arial"/>
          <w:i/>
          <w:iCs/>
          <w:color w:val="000000" w:themeColor="text1"/>
          <w:sz w:val="22"/>
          <w:szCs w:val="22"/>
          <w:lang w:val="es-ES_tradnl"/>
        </w:rPr>
        <w:t>heterocompositivos</w:t>
      </w:r>
      <w:proofErr w:type="spellEnd"/>
      <w:r w:rsidRPr="000E0D71">
        <w:rPr>
          <w:rFonts w:ascii="Arial" w:eastAsia="Calibri" w:hAnsi="Arial" w:cs="Arial"/>
          <w:color w:val="000000" w:themeColor="text1"/>
          <w:sz w:val="22"/>
          <w:szCs w:val="22"/>
          <w:lang w:val="es-ES_tradnl"/>
        </w:rPr>
        <w:t>, en los que un sujeto distinto a las partes decide con autoridad a cuál de ellas le asiste la razón.</w:t>
      </w:r>
    </w:p>
    <w:p w14:paraId="509F4E2E" w14:textId="34B31948" w:rsidR="004E667A" w:rsidRPr="000E0D71" w:rsidRDefault="004E667A" w:rsidP="004E667A">
      <w:pPr>
        <w:spacing w:before="120" w:line="276" w:lineRule="auto"/>
        <w:ind w:firstLine="709"/>
        <w:jc w:val="both"/>
        <w:rPr>
          <w:rFonts w:ascii="Arial" w:eastAsia="Calibri" w:hAnsi="Arial" w:cs="Arial"/>
          <w:color w:val="000000" w:themeColor="text1"/>
          <w:sz w:val="22"/>
          <w:szCs w:val="22"/>
          <w:lang w:val="es-ES_tradnl"/>
        </w:rPr>
      </w:pPr>
      <w:r w:rsidRPr="000E0D71">
        <w:rPr>
          <w:rFonts w:ascii="Arial" w:eastAsia="Calibri" w:hAnsi="Arial" w:cs="Arial"/>
          <w:color w:val="000000" w:themeColor="text1"/>
          <w:sz w:val="22"/>
          <w:szCs w:val="22"/>
          <w:lang w:val="es-ES_tradnl"/>
        </w:rPr>
        <w:t>El artículo 2.469 del Código Civil define la transacción como «[…] un contrato en que las partes terminan extrajudicialmente un litigio pendiente o precaven un litigio eventual». Adicionalmente, los artículos 2.470 a 2.487 establecen los requisitos del contrato de transacción, entre los que se destacan los siguientes: i) Solo procede sobre derechos inciertos y discutibles. ii) Las partes deben tener capacidad para disponer del objeto del negocio jurídico, lo que no obsta para que se otorgue poder mediante la celebración de un contrato de mandato. iii) No puede versar sobre materias prohibidas, como el estado civil de las personas, derechos ajenos o que no existen. iv) Únicamente surte efecto entre las</w:t>
      </w:r>
      <w:r w:rsidR="00C42160">
        <w:rPr>
          <w:rFonts w:ascii="Arial" w:eastAsia="Calibri" w:hAnsi="Arial" w:cs="Arial"/>
          <w:color w:val="000000" w:themeColor="text1"/>
          <w:sz w:val="22"/>
          <w:szCs w:val="22"/>
          <w:lang w:val="es-ES_tradnl"/>
        </w:rPr>
        <w:t xml:space="preserve"> </w:t>
      </w:r>
      <w:r w:rsidRPr="000E0D71">
        <w:rPr>
          <w:rFonts w:ascii="Arial" w:eastAsia="Calibri" w:hAnsi="Arial" w:cs="Arial"/>
          <w:color w:val="000000" w:themeColor="text1"/>
          <w:sz w:val="22"/>
          <w:szCs w:val="22"/>
          <w:lang w:val="es-ES_tradnl"/>
        </w:rPr>
        <w:lastRenderedPageBreak/>
        <w:t>partes. Además, el artículo 1.625, numeral 3, del mismo Código prevé la transacción como uno de los modos de extinción de las obligaciones</w:t>
      </w:r>
      <w:r w:rsidRPr="000E0D71">
        <w:rPr>
          <w:rStyle w:val="Refdenotaalpie"/>
          <w:rFonts w:ascii="Arial" w:eastAsia="Calibri" w:hAnsi="Arial" w:cs="Arial"/>
          <w:color w:val="000000" w:themeColor="text1"/>
          <w:sz w:val="22"/>
          <w:szCs w:val="22"/>
          <w:lang w:val="es-ES_tradnl"/>
        </w:rPr>
        <w:footnoteReference w:id="3"/>
      </w:r>
      <w:r w:rsidRPr="000E0D71">
        <w:rPr>
          <w:rFonts w:ascii="Arial" w:eastAsia="Calibri" w:hAnsi="Arial" w:cs="Arial"/>
          <w:color w:val="000000" w:themeColor="text1"/>
          <w:sz w:val="22"/>
          <w:szCs w:val="22"/>
          <w:lang w:val="es-ES_tradnl"/>
        </w:rPr>
        <w:t>.</w:t>
      </w:r>
    </w:p>
    <w:p w14:paraId="0A8711B5" w14:textId="0B484EDD" w:rsidR="004E667A" w:rsidRPr="000E0D71" w:rsidRDefault="004E667A" w:rsidP="004E667A">
      <w:pPr>
        <w:spacing w:before="120" w:line="276" w:lineRule="auto"/>
        <w:ind w:firstLine="709"/>
        <w:jc w:val="both"/>
        <w:rPr>
          <w:rFonts w:ascii="Arial" w:eastAsia="Calibri" w:hAnsi="Arial" w:cs="Arial"/>
          <w:color w:val="000000" w:themeColor="text1"/>
          <w:sz w:val="22"/>
          <w:szCs w:val="22"/>
          <w:lang w:val="es-ES_tradnl"/>
        </w:rPr>
      </w:pPr>
      <w:r w:rsidRPr="000E0D71">
        <w:rPr>
          <w:rFonts w:ascii="Arial" w:eastAsia="Calibri" w:hAnsi="Arial" w:cs="Arial"/>
          <w:color w:val="000000" w:themeColor="text1"/>
          <w:sz w:val="22"/>
          <w:szCs w:val="22"/>
          <w:lang w:val="es-ES_tradnl"/>
        </w:rPr>
        <w:t>La transacción, como mecanismo alternativo de resolución de conflictos</w:t>
      </w:r>
      <w:r w:rsidR="00A224BF">
        <w:rPr>
          <w:rFonts w:ascii="Arial" w:eastAsia="Calibri" w:hAnsi="Arial" w:cs="Arial"/>
          <w:color w:val="000000" w:themeColor="text1"/>
          <w:sz w:val="22"/>
          <w:szCs w:val="22"/>
          <w:lang w:val="es-ES_tradnl"/>
        </w:rPr>
        <w:t>,</w:t>
      </w:r>
      <w:r w:rsidRPr="000E0D71">
        <w:rPr>
          <w:rFonts w:ascii="Arial" w:eastAsia="Calibri" w:hAnsi="Arial" w:cs="Arial"/>
          <w:color w:val="000000" w:themeColor="text1"/>
          <w:sz w:val="22"/>
          <w:szCs w:val="22"/>
          <w:lang w:val="es-ES_tradnl"/>
        </w:rPr>
        <w:t xml:space="preserve"> puede ser </w:t>
      </w:r>
      <w:r w:rsidRPr="000E0D71">
        <w:rPr>
          <w:rFonts w:ascii="Arial" w:eastAsia="Calibri" w:hAnsi="Arial" w:cs="Arial"/>
          <w:i/>
          <w:iCs/>
          <w:color w:val="000000" w:themeColor="text1"/>
          <w:sz w:val="22"/>
          <w:szCs w:val="22"/>
          <w:lang w:val="es-ES_tradnl"/>
        </w:rPr>
        <w:t>judicial</w:t>
      </w:r>
      <w:r w:rsidRPr="000E0D71">
        <w:rPr>
          <w:rFonts w:ascii="Arial" w:eastAsia="Calibri" w:hAnsi="Arial" w:cs="Arial"/>
          <w:color w:val="000000" w:themeColor="text1"/>
          <w:sz w:val="22"/>
          <w:szCs w:val="22"/>
          <w:lang w:val="es-ES_tradnl"/>
        </w:rPr>
        <w:t xml:space="preserve"> o </w:t>
      </w:r>
      <w:r w:rsidRPr="000E0D71">
        <w:rPr>
          <w:rFonts w:ascii="Arial" w:eastAsia="Calibri" w:hAnsi="Arial" w:cs="Arial"/>
          <w:i/>
          <w:iCs/>
          <w:color w:val="000000" w:themeColor="text1"/>
          <w:sz w:val="22"/>
          <w:szCs w:val="22"/>
          <w:lang w:val="es-ES_tradnl"/>
        </w:rPr>
        <w:t>extrajudicial</w:t>
      </w:r>
      <w:r w:rsidRPr="000E0D71">
        <w:rPr>
          <w:rFonts w:ascii="Arial" w:eastAsia="Calibri" w:hAnsi="Arial" w:cs="Arial"/>
          <w:color w:val="000000" w:themeColor="text1"/>
          <w:sz w:val="22"/>
          <w:szCs w:val="22"/>
          <w:lang w:val="es-ES_tradnl"/>
        </w:rPr>
        <w:t xml:space="preserve">, dependiendo de si se da o no para terminar un proceso judicial vigente. El artículo 2.469 del Código Civil es el fundamento jurídico de la transacción extrajudicial, pues indica que mediante este contrato las partes «[…] terminan extrajudicialmente un litigio pendiente </w:t>
      </w:r>
      <w:r w:rsidRPr="000E0D71">
        <w:rPr>
          <w:rFonts w:ascii="Arial" w:eastAsia="Calibri" w:hAnsi="Arial" w:cs="Arial"/>
          <w:i/>
          <w:iCs/>
          <w:color w:val="000000" w:themeColor="text1"/>
          <w:sz w:val="22"/>
          <w:szCs w:val="22"/>
          <w:lang w:val="es-ES_tradnl"/>
        </w:rPr>
        <w:t>o precaven un litigio eventual</w:t>
      </w:r>
      <w:r w:rsidRPr="000E0D71">
        <w:rPr>
          <w:rFonts w:ascii="Arial" w:eastAsia="Calibri" w:hAnsi="Arial" w:cs="Arial"/>
          <w:color w:val="000000" w:themeColor="text1"/>
          <w:sz w:val="22"/>
          <w:szCs w:val="22"/>
          <w:lang w:val="es-ES_tradnl"/>
        </w:rPr>
        <w:t>» (cursiva fuera de texto). A su vez, los códigos procesales han reconocido la transacción judicial como forma de terminación anticipada de los litigios. Verbigracia, el artículo 176 del Código de Procedimiento Administrativo y de lo Contencioso Administrativo –Ley 1437 de 2011– establece que el proceso judicial puede terminar por transacción</w:t>
      </w:r>
      <w:r w:rsidRPr="000E0D71">
        <w:rPr>
          <w:rStyle w:val="Refdenotaalpie"/>
          <w:rFonts w:ascii="Arial" w:eastAsia="Calibri" w:hAnsi="Arial" w:cs="Arial"/>
          <w:color w:val="000000" w:themeColor="text1"/>
          <w:sz w:val="22"/>
          <w:szCs w:val="22"/>
          <w:lang w:val="es-ES_tradnl"/>
        </w:rPr>
        <w:footnoteReference w:id="4"/>
      </w:r>
      <w:r w:rsidRPr="000E0D71">
        <w:rPr>
          <w:rFonts w:ascii="Arial" w:eastAsia="Calibri" w:hAnsi="Arial" w:cs="Arial"/>
          <w:color w:val="000000" w:themeColor="text1"/>
          <w:sz w:val="22"/>
          <w:szCs w:val="22"/>
          <w:lang w:val="es-ES_tradnl"/>
        </w:rPr>
        <w:t>. De la misma manera, el artículo 103 del Estatuto de Arbitraje Nacional e Internacional –Ley 1563 de 2012– permite la terminación del proceso arbitral por transacción entre las partes</w:t>
      </w:r>
      <w:r w:rsidRPr="000E0D71">
        <w:rPr>
          <w:rStyle w:val="Refdenotaalpie"/>
          <w:rFonts w:ascii="Arial" w:eastAsia="Calibri" w:hAnsi="Arial" w:cs="Arial"/>
          <w:color w:val="000000" w:themeColor="text1"/>
          <w:sz w:val="22"/>
          <w:szCs w:val="22"/>
          <w:lang w:val="es-ES_tradnl"/>
        </w:rPr>
        <w:footnoteReference w:id="5"/>
      </w:r>
      <w:r w:rsidRPr="000E0D71">
        <w:rPr>
          <w:rFonts w:ascii="Arial" w:eastAsia="Calibri" w:hAnsi="Arial" w:cs="Arial"/>
          <w:color w:val="000000" w:themeColor="text1"/>
          <w:sz w:val="22"/>
          <w:szCs w:val="22"/>
          <w:lang w:val="es-ES_tradnl"/>
        </w:rPr>
        <w:t xml:space="preserve">. El artículo 313 del </w:t>
      </w:r>
      <w:r w:rsidRPr="000E0D71">
        <w:rPr>
          <w:rFonts w:ascii="Arial" w:eastAsia="Calibri" w:hAnsi="Arial" w:cs="Arial"/>
          <w:color w:val="000000" w:themeColor="text1"/>
          <w:sz w:val="22"/>
          <w:szCs w:val="22"/>
          <w:lang w:val="es-ES_tradnl"/>
        </w:rPr>
        <w:lastRenderedPageBreak/>
        <w:t>Código General del Proceso –Ley 1564 de 2012–, por su parte, dispone que «Los representantes de la nación, departamentos y municipios no podrán transigir sin autorización del Gobierno Nacional, del gobernador o alcalde, según fuere el caso»; pero esta última norma –valga resaltar– solo aplica en los procesos jurisdiccionales conforme lo determina el objeto del mismo Código General del Proceso.</w:t>
      </w:r>
    </w:p>
    <w:p w14:paraId="7ABEFBCE" w14:textId="77777777" w:rsidR="004E667A" w:rsidRPr="000E0D71" w:rsidRDefault="004E667A" w:rsidP="004E667A">
      <w:pPr>
        <w:spacing w:before="120" w:line="276" w:lineRule="auto"/>
        <w:ind w:firstLine="709"/>
        <w:jc w:val="both"/>
        <w:rPr>
          <w:rFonts w:ascii="Arial" w:eastAsia="Calibri" w:hAnsi="Arial" w:cs="Arial"/>
          <w:color w:val="000000" w:themeColor="text1"/>
          <w:sz w:val="22"/>
          <w:szCs w:val="22"/>
          <w:lang w:val="es-ES_tradnl"/>
        </w:rPr>
      </w:pPr>
      <w:r w:rsidRPr="000E0D71">
        <w:rPr>
          <w:rFonts w:ascii="Arial" w:eastAsia="Calibri" w:hAnsi="Arial" w:cs="Arial"/>
          <w:color w:val="000000" w:themeColor="text1"/>
          <w:sz w:val="22"/>
          <w:szCs w:val="22"/>
          <w:lang w:val="es-ES_tradnl"/>
        </w:rPr>
        <w:t>En el ámbito de la contratación estatal, la jurisprudencia del Consejo de Estado</w:t>
      </w:r>
      <w:r w:rsidRPr="000E0D71">
        <w:rPr>
          <w:rStyle w:val="Refdenotaalpie"/>
          <w:rFonts w:ascii="Arial" w:eastAsia="Calibri" w:hAnsi="Arial" w:cs="Arial"/>
          <w:color w:val="000000" w:themeColor="text1"/>
          <w:sz w:val="22"/>
          <w:szCs w:val="22"/>
          <w:lang w:val="es-ES_tradnl"/>
        </w:rPr>
        <w:footnoteReference w:id="6"/>
      </w:r>
      <w:r w:rsidRPr="000E0D71">
        <w:rPr>
          <w:rFonts w:ascii="Arial" w:eastAsia="Calibri" w:hAnsi="Arial" w:cs="Arial"/>
          <w:color w:val="000000" w:themeColor="text1"/>
          <w:sz w:val="22"/>
          <w:szCs w:val="22"/>
          <w:lang w:val="es-ES_tradnl"/>
        </w:rPr>
        <w:t xml:space="preserve"> y la doctrina</w:t>
      </w:r>
      <w:r w:rsidRPr="000E0D71">
        <w:rPr>
          <w:rStyle w:val="Refdenotaalpie"/>
          <w:rFonts w:ascii="Arial" w:eastAsia="Calibri" w:hAnsi="Arial" w:cs="Arial"/>
          <w:color w:val="000000" w:themeColor="text1"/>
          <w:sz w:val="22"/>
          <w:szCs w:val="22"/>
          <w:lang w:val="es-ES_tradnl"/>
        </w:rPr>
        <w:footnoteReference w:id="7"/>
      </w:r>
      <w:r w:rsidRPr="000E0D71">
        <w:rPr>
          <w:rFonts w:ascii="Arial" w:eastAsia="Calibri" w:hAnsi="Arial" w:cs="Arial"/>
          <w:color w:val="000000" w:themeColor="text1"/>
          <w:sz w:val="22"/>
          <w:szCs w:val="22"/>
          <w:lang w:val="es-ES_tradnl"/>
        </w:rPr>
        <w:t xml:space="preserve"> han reconocido la procedencia de la transacción extrajudicial, como mecanismo apropiado para precaver litigios eventuales o para resolver controversias entre las entidades estatales y sus contratistas. La Subdirección de Gestión Contractual está de acuerdo con dicha postura, pues tanto en las normas civiles –según se explicó–, como en el Estatuto General de Contratación de la Administración Pública, se encuentra la habilitación legal para que las entidades públicas celebren contratos de transacción. Más aún, los órganos del Estado que se rigen por la Ley 80 de 1993 y sus normas complementarias, no solo tienen la facultad de transigir, sino que además están obligados a resolver oportunamente las controversias contractuales, para evitar que los conflictos escalen y se generen consecuencias jurídicas y pecuniarias más gravosas para el </w:t>
      </w:r>
      <w:proofErr w:type="gramStart"/>
      <w:r w:rsidRPr="000E0D71">
        <w:rPr>
          <w:rFonts w:ascii="Arial" w:eastAsia="Calibri" w:hAnsi="Arial" w:cs="Arial"/>
          <w:color w:val="000000" w:themeColor="text1"/>
          <w:sz w:val="22"/>
          <w:szCs w:val="22"/>
          <w:lang w:val="es-ES_tradnl"/>
        </w:rPr>
        <w:t>erario público</w:t>
      </w:r>
      <w:proofErr w:type="gramEnd"/>
      <w:r w:rsidRPr="000E0D71">
        <w:rPr>
          <w:rFonts w:ascii="Arial" w:eastAsia="Calibri" w:hAnsi="Arial" w:cs="Arial"/>
          <w:color w:val="000000" w:themeColor="text1"/>
          <w:sz w:val="22"/>
          <w:szCs w:val="22"/>
          <w:lang w:val="es-ES_tradnl"/>
        </w:rPr>
        <w:t xml:space="preserve">. </w:t>
      </w:r>
    </w:p>
    <w:p w14:paraId="0BCF10BD" w14:textId="77777777" w:rsidR="004E667A" w:rsidRPr="000E0D71" w:rsidRDefault="004E667A" w:rsidP="004E667A">
      <w:pPr>
        <w:spacing w:before="120" w:line="276" w:lineRule="auto"/>
        <w:ind w:firstLine="709"/>
        <w:jc w:val="both"/>
        <w:rPr>
          <w:rFonts w:ascii="Arial" w:eastAsia="Calibri" w:hAnsi="Arial" w:cs="Arial"/>
          <w:color w:val="000000" w:themeColor="text1"/>
          <w:sz w:val="22"/>
          <w:szCs w:val="22"/>
        </w:rPr>
      </w:pPr>
      <w:r w:rsidRPr="000E0D71">
        <w:rPr>
          <w:rFonts w:ascii="Arial" w:eastAsia="Calibri" w:hAnsi="Arial" w:cs="Arial"/>
          <w:color w:val="000000" w:themeColor="text1"/>
          <w:sz w:val="22"/>
          <w:szCs w:val="22"/>
          <w:lang w:val="es-ES_tradnl"/>
        </w:rPr>
        <w:t xml:space="preserve">Para ilustrar mejor lo anterior, conviene señalar que la transacción se encuentra consagrada en varias disposiciones normativas de la Ley 80 de 1993, como mecanismo alternativo de resolución de conflictos al que pueden acudir las entidades estatales y los contratistas para poner fin a sus diferencias o precaver litigios eventuales. Como muestra de ello, el artículo 4, numeral 9, de dicho cuerpo normativo establece que las entidades estatales «Actuarán de tal modo que por causas a ellas imputables, no sobrevenga una mayor onerosidad en el cumplimiento de las obligaciones a cargo del contratista» y que «Con este fin, en el menor tiempo posible, corregirán los desajustes que pudieren presentarse y acordarán los mecanismos y procedimientos pertinentes para precaver o solucionar rápida y eficazmente las diferencias o situaciones litigiosas que llegaren a presentarse». En otras palabras, es deber de las entidades estatales buscar la solución oportuna de las controversias, para evitar que estas cada vez se tornen más complejas. Con ello se logran reducir, en gran medida, los litigios y, por lo tanto, la congestión judicial. </w:t>
      </w:r>
      <w:r w:rsidRPr="000E0D71">
        <w:rPr>
          <w:rFonts w:ascii="Arial" w:eastAsia="Calibri" w:hAnsi="Arial" w:cs="Arial"/>
          <w:color w:val="000000" w:themeColor="text1"/>
          <w:sz w:val="22"/>
          <w:szCs w:val="22"/>
          <w:lang w:val="es-ES_tradnl"/>
        </w:rPr>
        <w:lastRenderedPageBreak/>
        <w:t>Además, la resolución rápida de una situación controversial impide que se incrementen los perjuicios de la parte afectada y que el Estado tenga que soportar condenas cuantiosas en el escenario jurisdiccional.</w:t>
      </w:r>
    </w:p>
    <w:p w14:paraId="21C1E2BA" w14:textId="77777777" w:rsidR="004E667A" w:rsidRPr="000E0D71" w:rsidRDefault="004E667A" w:rsidP="004E667A">
      <w:pPr>
        <w:spacing w:before="120" w:line="276" w:lineRule="auto"/>
        <w:ind w:firstLine="709"/>
        <w:jc w:val="both"/>
        <w:rPr>
          <w:rFonts w:ascii="Arial" w:eastAsia="Calibri" w:hAnsi="Arial" w:cs="Arial"/>
          <w:color w:val="000000" w:themeColor="text1"/>
          <w:sz w:val="22"/>
          <w:szCs w:val="22"/>
          <w:lang w:val="es-ES_tradnl"/>
        </w:rPr>
      </w:pPr>
      <w:r w:rsidRPr="000E0D71">
        <w:rPr>
          <w:rFonts w:ascii="Arial" w:eastAsia="Calibri" w:hAnsi="Arial" w:cs="Arial"/>
          <w:color w:val="000000" w:themeColor="text1"/>
          <w:sz w:val="22"/>
          <w:szCs w:val="22"/>
          <w:lang w:val="es-ES_tradnl"/>
        </w:rPr>
        <w:t>Por otra parte, el artículo 60 de la Ley 80 de 1993 reconoce la procedencia de la transacción en la etapa de liquidación del contrato, estableciendo que «En el acta de liquidación constarán los acuerdos, conciliaciones y transacciones a que llegaren las partes para poner fin a las divergencias presentadas y poder declararse a paz y salvo». Los beneficios de la transacción en el acta de liquidación bilateral han sido puestos de presente por la doctrina, afirmando que aquella «[…] es un verdadero negocio jurídico que envuelve una transacción, es decir, con su suscripción, cada una de las partes puede tener certeza de la finalización de la relación negocial. Además, los principios de buena fe y del respeto del acto propio guían la ejecución de los contratos, por lo cual si una parte no manifestó explícitamente los motivos de su inconformidad no le es dable volver judicialmente sobre un acto en el que pareció expresar su conformidad con la forma en que quedó finiquitada la relación negocial»</w:t>
      </w:r>
      <w:r w:rsidRPr="000E0D71">
        <w:rPr>
          <w:rStyle w:val="Refdenotaalpie"/>
          <w:rFonts w:ascii="Arial" w:eastAsia="Calibri" w:hAnsi="Arial" w:cs="Arial"/>
          <w:color w:val="000000" w:themeColor="text1"/>
          <w:sz w:val="22"/>
          <w:szCs w:val="22"/>
          <w:lang w:val="es-ES_tradnl"/>
        </w:rPr>
        <w:footnoteReference w:id="8"/>
      </w:r>
      <w:r w:rsidRPr="000E0D71">
        <w:rPr>
          <w:rFonts w:ascii="Arial" w:eastAsia="Calibri" w:hAnsi="Arial" w:cs="Arial"/>
          <w:color w:val="000000" w:themeColor="text1"/>
          <w:sz w:val="22"/>
          <w:szCs w:val="22"/>
          <w:lang w:val="es-ES_tradnl"/>
        </w:rPr>
        <w:t xml:space="preserve">.    </w:t>
      </w:r>
    </w:p>
    <w:p w14:paraId="2623B8A9" w14:textId="77777777" w:rsidR="004E667A" w:rsidRPr="000E0D71" w:rsidRDefault="004E667A" w:rsidP="004E667A">
      <w:pPr>
        <w:spacing w:before="120" w:line="276" w:lineRule="auto"/>
        <w:ind w:firstLine="709"/>
        <w:jc w:val="both"/>
        <w:rPr>
          <w:rFonts w:ascii="Arial" w:eastAsia="Calibri" w:hAnsi="Arial" w:cs="Arial"/>
          <w:color w:val="000000" w:themeColor="text1"/>
          <w:sz w:val="22"/>
          <w:szCs w:val="22"/>
          <w:lang w:val="es-ES_tradnl"/>
        </w:rPr>
      </w:pPr>
      <w:r w:rsidRPr="000E0D71">
        <w:rPr>
          <w:rFonts w:ascii="Arial" w:eastAsia="Calibri" w:hAnsi="Arial" w:cs="Arial"/>
          <w:color w:val="000000" w:themeColor="text1"/>
          <w:sz w:val="22"/>
          <w:szCs w:val="22"/>
          <w:lang w:val="es-ES_tradnl"/>
        </w:rPr>
        <w:t xml:space="preserve"> Adicionalmente, el artículo 25, numeral 5, de la Ley 80 de 1993 dispone que, en virtud del principio de economía, se deben adoptar «[…] procedimientos que garanticen la pronta solución de las diferencias y controversias que con motivo de la celebración y ejecución del contrato se presenten». Por otra parte, los artículos 32 y 40 permiten a las entidades estatales celebrar todos los contratos que tengan su fuente en el ejercicio de la autonomía de la voluntad, así como en las normas civiles y comerciales. Siendo el de transacción un contrato consagrado en las normas civiles –concretamente, en el artículo 2.469 del Código Civil–, es entonces un negocio jurídico que pueden celebrar las entidades estatales en el marco de la ejecución de otro contrato. Además, como se indicó, el artículo 1.625, numeral 3, del Código Civil establece que la transacción es un modo de extinguir las obligaciones. Esta norma también resulta aplicable en la contratación estatal, en virtud de la remisión a las normas civiles que realiza el artículo 13 de la Ley 80 de 1993, según el cual: «Los contratos que celebren las entidades a que se refiere el artículo 2o. del presente estatuto se regirán por las disposiciones comerciales y civiles pertinentes, salvo en las materias particularmente reguladas en esta ley».</w:t>
      </w:r>
    </w:p>
    <w:p w14:paraId="437002FC" w14:textId="77777777" w:rsidR="004E667A" w:rsidRPr="000E0D71" w:rsidRDefault="004E667A" w:rsidP="004E667A">
      <w:pPr>
        <w:spacing w:before="120" w:line="276" w:lineRule="auto"/>
        <w:ind w:firstLine="709"/>
        <w:jc w:val="both"/>
        <w:rPr>
          <w:rFonts w:ascii="Arial" w:eastAsia="Calibri" w:hAnsi="Arial" w:cs="Arial"/>
          <w:color w:val="000000" w:themeColor="text1"/>
          <w:sz w:val="22"/>
          <w:szCs w:val="22"/>
          <w:lang w:val="es-ES_tradnl"/>
        </w:rPr>
      </w:pPr>
      <w:r w:rsidRPr="000E0D71">
        <w:rPr>
          <w:rFonts w:ascii="Arial" w:eastAsia="Calibri" w:hAnsi="Arial" w:cs="Arial"/>
          <w:color w:val="000000" w:themeColor="text1"/>
          <w:sz w:val="22"/>
          <w:szCs w:val="22"/>
          <w:lang w:val="es-ES_tradnl"/>
        </w:rPr>
        <w:t xml:space="preserve">Por tal razón, la Sección Tercera del Consejo de Estado sostiene desde hace varios años que «Con esta perspectiva, la Sala no ha dudado en la procedencia de la celebración de transacciones bajo el imperio de las normas civiles por parte de entidades estatales, con la sola diferencia que en materia de contratación estatal el contrato es solemne y no consensual (arts. 39 y 41 de la ley 80 de 1993). Máxime cuando, como lo ha señalado la doctrina, la resolución de conflictos es un deber de la Administración contratante, la cual a </w:t>
      </w:r>
      <w:r w:rsidRPr="000E0D71">
        <w:rPr>
          <w:rFonts w:ascii="Arial" w:eastAsia="Calibri" w:hAnsi="Arial" w:cs="Arial"/>
          <w:color w:val="000000" w:themeColor="text1"/>
          <w:sz w:val="22"/>
          <w:szCs w:val="22"/>
          <w:lang w:val="es-ES_tradnl"/>
        </w:rPr>
        <w:lastRenderedPageBreak/>
        <w:t>la luz de la ley 80 de 1993 goza de cierta autonomía en la solución de sus eventuales litigios contractuales»</w:t>
      </w:r>
      <w:r w:rsidRPr="000E0D71">
        <w:rPr>
          <w:rStyle w:val="Refdenotaalpie"/>
          <w:rFonts w:ascii="Arial" w:eastAsia="Calibri" w:hAnsi="Arial" w:cs="Arial"/>
          <w:color w:val="000000" w:themeColor="text1"/>
          <w:sz w:val="22"/>
          <w:szCs w:val="22"/>
          <w:lang w:val="es-ES_tradnl"/>
        </w:rPr>
        <w:footnoteReference w:id="9"/>
      </w:r>
      <w:r w:rsidRPr="000E0D71">
        <w:rPr>
          <w:rFonts w:ascii="Arial" w:eastAsia="Calibri" w:hAnsi="Arial" w:cs="Arial"/>
          <w:color w:val="000000" w:themeColor="text1"/>
          <w:sz w:val="22"/>
          <w:szCs w:val="22"/>
          <w:lang w:val="es-ES_tradnl"/>
        </w:rPr>
        <w:t>.</w:t>
      </w:r>
    </w:p>
    <w:p w14:paraId="3B2F6459" w14:textId="54FB21F2" w:rsidR="004E667A" w:rsidRPr="000E0D71" w:rsidRDefault="004E667A" w:rsidP="004E667A">
      <w:pPr>
        <w:spacing w:before="120" w:line="276" w:lineRule="auto"/>
        <w:ind w:firstLine="709"/>
        <w:jc w:val="both"/>
        <w:rPr>
          <w:rFonts w:ascii="Arial" w:eastAsia="Calibri" w:hAnsi="Arial" w:cs="Arial"/>
          <w:color w:val="000000" w:themeColor="text1"/>
          <w:sz w:val="22"/>
          <w:szCs w:val="22"/>
          <w:lang w:val="es-ES_tradnl"/>
        </w:rPr>
      </w:pPr>
      <w:r w:rsidRPr="000E0D71">
        <w:rPr>
          <w:rFonts w:ascii="Arial" w:eastAsia="Calibri" w:hAnsi="Arial" w:cs="Arial"/>
          <w:color w:val="000000" w:themeColor="text1"/>
          <w:sz w:val="22"/>
          <w:szCs w:val="22"/>
          <w:lang w:val="es-ES_tradnl"/>
        </w:rPr>
        <w:t xml:space="preserve">La transacción se ha </w:t>
      </w:r>
      <w:r w:rsidR="00C938B8" w:rsidRPr="000E0D71">
        <w:rPr>
          <w:rFonts w:ascii="Arial" w:eastAsia="Calibri" w:hAnsi="Arial" w:cs="Arial"/>
          <w:color w:val="000000" w:themeColor="text1"/>
          <w:sz w:val="22"/>
          <w:szCs w:val="22"/>
          <w:lang w:val="es-ES_tradnl"/>
        </w:rPr>
        <w:t>destacado,</w:t>
      </w:r>
      <w:r w:rsidRPr="000E0D71">
        <w:rPr>
          <w:rFonts w:ascii="Arial" w:eastAsia="Calibri" w:hAnsi="Arial" w:cs="Arial"/>
          <w:color w:val="000000" w:themeColor="text1"/>
          <w:sz w:val="22"/>
          <w:szCs w:val="22"/>
          <w:lang w:val="es-ES_tradnl"/>
        </w:rPr>
        <w:t xml:space="preserve"> así como un mecanismo alternativo de resolución de conflictos que aporta beneficios a las partes del contrato estatal, cuando es realizada de manera adecuada. En tal sentido, jurisprudencialmente se ha señalado que «</w:t>
      </w:r>
      <w:r w:rsidRPr="000E0D71">
        <w:rPr>
          <w:rFonts w:ascii="Arial" w:hAnsi="Arial" w:cs="Arial"/>
          <w:sz w:val="22"/>
          <w:szCs w:val="22"/>
        </w:rPr>
        <w:t xml:space="preserve">[…] </w:t>
      </w:r>
      <w:r w:rsidRPr="000E0D71">
        <w:rPr>
          <w:rFonts w:ascii="Arial" w:eastAsia="Calibri" w:hAnsi="Arial" w:cs="Arial"/>
          <w:color w:val="000000" w:themeColor="text1"/>
          <w:sz w:val="22"/>
          <w:szCs w:val="22"/>
          <w:lang w:val="es-ES_tradnl"/>
        </w:rPr>
        <w:t xml:space="preserve">uno de los principales efectos que genera el acuerdo transaccional es el de cosa juzgada, por el pacto de voluntades; en consecuencia, cuando se transa sobre la totalidad de los asuntos discutidos, las partes no pueden reavivar el conflicto acudiendo a la jurisdicción o, </w:t>
      </w:r>
      <w:r w:rsidR="00D33693" w:rsidRPr="000E0D71">
        <w:rPr>
          <w:rFonts w:ascii="Arial" w:eastAsia="Calibri" w:hAnsi="Arial" w:cs="Arial"/>
          <w:color w:val="000000" w:themeColor="text1"/>
          <w:sz w:val="22"/>
          <w:szCs w:val="22"/>
          <w:lang w:val="es-ES_tradnl"/>
        </w:rPr>
        <w:t>en caso de que</w:t>
      </w:r>
      <w:r w:rsidRPr="000E0D71">
        <w:rPr>
          <w:rFonts w:ascii="Arial" w:eastAsia="Calibri" w:hAnsi="Arial" w:cs="Arial"/>
          <w:color w:val="000000" w:themeColor="text1"/>
          <w:sz w:val="22"/>
          <w:szCs w:val="22"/>
          <w:lang w:val="es-ES_tradnl"/>
        </w:rPr>
        <w:t xml:space="preserve"> haya un proceso judicial en curso, habrá lugar a la terminación anormal del mismo»</w:t>
      </w:r>
      <w:r w:rsidRPr="000E0D71">
        <w:rPr>
          <w:rStyle w:val="Refdenotaalpie"/>
          <w:rFonts w:ascii="Arial" w:eastAsia="Calibri" w:hAnsi="Arial" w:cs="Arial"/>
          <w:color w:val="000000" w:themeColor="text1"/>
          <w:sz w:val="22"/>
          <w:szCs w:val="22"/>
          <w:lang w:val="es-ES_tradnl"/>
        </w:rPr>
        <w:footnoteReference w:id="10"/>
      </w:r>
      <w:r w:rsidRPr="000E0D71">
        <w:rPr>
          <w:rFonts w:ascii="Arial" w:eastAsia="Calibri" w:hAnsi="Arial" w:cs="Arial"/>
          <w:color w:val="000000" w:themeColor="text1"/>
          <w:sz w:val="22"/>
          <w:szCs w:val="22"/>
          <w:lang w:val="es-ES_tradnl"/>
        </w:rPr>
        <w:t>. Adicionalmente, se ha indicado que la transacción es un modo válido de llegar a acuerdos sobre los aspectos económicos del contrato estatal</w:t>
      </w:r>
      <w:r w:rsidRPr="000E0D71">
        <w:rPr>
          <w:rStyle w:val="Refdenotaalpie"/>
          <w:rFonts w:ascii="Arial" w:eastAsia="Calibri" w:hAnsi="Arial" w:cs="Arial"/>
          <w:color w:val="000000" w:themeColor="text1"/>
          <w:sz w:val="22"/>
          <w:szCs w:val="22"/>
          <w:lang w:val="es-ES_tradnl"/>
        </w:rPr>
        <w:footnoteReference w:id="11"/>
      </w:r>
      <w:r w:rsidRPr="000E0D71">
        <w:rPr>
          <w:rFonts w:ascii="Arial" w:eastAsia="Calibri" w:hAnsi="Arial" w:cs="Arial"/>
          <w:color w:val="000000" w:themeColor="text1"/>
          <w:sz w:val="22"/>
          <w:szCs w:val="22"/>
          <w:lang w:val="es-ES_tradnl"/>
        </w:rPr>
        <w:t>, sin afectar los derechos colectivos a la moralidad administrativa y al patrimonio público</w:t>
      </w:r>
      <w:r w:rsidRPr="000E0D71">
        <w:rPr>
          <w:rStyle w:val="Refdenotaalpie"/>
          <w:rFonts w:ascii="Arial" w:eastAsia="Calibri" w:hAnsi="Arial" w:cs="Arial"/>
          <w:color w:val="000000" w:themeColor="text1"/>
          <w:sz w:val="22"/>
          <w:szCs w:val="22"/>
          <w:lang w:val="es-ES_tradnl"/>
        </w:rPr>
        <w:footnoteReference w:id="12"/>
      </w:r>
      <w:r w:rsidRPr="000E0D71">
        <w:rPr>
          <w:rFonts w:ascii="Arial" w:eastAsia="Calibri" w:hAnsi="Arial" w:cs="Arial"/>
          <w:color w:val="000000" w:themeColor="text1"/>
          <w:sz w:val="22"/>
          <w:szCs w:val="22"/>
          <w:lang w:val="es-ES_tradnl"/>
        </w:rPr>
        <w:t>. Específicamente, el Consejo de Estado también ha concebido la transacción como un mecanismo óptimo para restablecer el equilibrio económico del contrato, en cumplimiento del mandato contenido en el artículo 4, numeral 9, de la Ley 80 de 1993</w:t>
      </w:r>
      <w:r w:rsidRPr="000E0D71">
        <w:rPr>
          <w:rStyle w:val="Refdenotaalpie"/>
          <w:rFonts w:ascii="Arial" w:eastAsia="Calibri" w:hAnsi="Arial" w:cs="Arial"/>
          <w:color w:val="000000" w:themeColor="text1"/>
          <w:sz w:val="22"/>
          <w:szCs w:val="22"/>
          <w:lang w:val="es-ES_tradnl"/>
        </w:rPr>
        <w:footnoteReference w:id="13"/>
      </w:r>
      <w:r w:rsidRPr="000E0D71">
        <w:rPr>
          <w:rFonts w:ascii="Arial" w:eastAsia="Calibri" w:hAnsi="Arial" w:cs="Arial"/>
          <w:color w:val="000000" w:themeColor="text1"/>
          <w:sz w:val="22"/>
          <w:szCs w:val="22"/>
          <w:lang w:val="es-ES_tradnl"/>
        </w:rPr>
        <w:t xml:space="preserve">. </w:t>
      </w:r>
    </w:p>
    <w:p w14:paraId="50EDDD30" w14:textId="1F4A551B" w:rsidR="00992408" w:rsidRDefault="004E667A" w:rsidP="00FE60F1">
      <w:pPr>
        <w:spacing w:before="120" w:line="276" w:lineRule="auto"/>
        <w:ind w:firstLine="709"/>
        <w:jc w:val="both"/>
        <w:rPr>
          <w:rFonts w:ascii="Arial" w:eastAsia="Calibri" w:hAnsi="Arial" w:cs="Arial"/>
          <w:color w:val="000000" w:themeColor="text1"/>
          <w:sz w:val="22"/>
          <w:szCs w:val="22"/>
          <w:lang w:val="es-ES_tradnl"/>
        </w:rPr>
      </w:pPr>
      <w:r w:rsidRPr="000E0D71">
        <w:rPr>
          <w:rFonts w:ascii="Arial" w:eastAsia="Calibri" w:hAnsi="Arial" w:cs="Arial"/>
          <w:color w:val="000000" w:themeColor="text1"/>
          <w:sz w:val="22"/>
          <w:szCs w:val="22"/>
          <w:lang w:val="es-ES_tradnl"/>
        </w:rPr>
        <w:t>Sin embargo, para que la transacción reporte ventajas a las partes, debe satisfacer las exigencias decantadas por la jurisprudencia. Según el Consejo de Estado: «</w:t>
      </w:r>
      <w:r w:rsidRPr="000E0D71">
        <w:rPr>
          <w:rFonts w:ascii="Arial" w:hAnsi="Arial" w:cs="Arial"/>
          <w:sz w:val="22"/>
          <w:szCs w:val="22"/>
          <w:lang w:val="es-ES_tradnl"/>
        </w:rPr>
        <w:t xml:space="preserve">[…] </w:t>
      </w:r>
      <w:r w:rsidRPr="000E0D71">
        <w:rPr>
          <w:rFonts w:ascii="Arial" w:eastAsia="Calibri" w:hAnsi="Arial" w:cs="Arial"/>
          <w:color w:val="000000" w:themeColor="text1"/>
          <w:sz w:val="22"/>
          <w:szCs w:val="22"/>
          <w:lang w:val="es-ES_tradnl"/>
        </w:rPr>
        <w:t>jurisprudencialmente se ha agregado como elemento esencial de la transacción, las concesiones o sacrificios recíprocos entre las partes»</w:t>
      </w:r>
      <w:r w:rsidRPr="000E0D71">
        <w:rPr>
          <w:rStyle w:val="Refdenotaalpie"/>
          <w:rFonts w:ascii="Arial" w:eastAsia="Calibri" w:hAnsi="Arial" w:cs="Arial"/>
          <w:color w:val="000000" w:themeColor="text1"/>
          <w:sz w:val="22"/>
          <w:szCs w:val="22"/>
          <w:lang w:val="es-ES_tradnl"/>
        </w:rPr>
        <w:footnoteReference w:id="14"/>
      </w:r>
      <w:r w:rsidRPr="000E0D71">
        <w:rPr>
          <w:rFonts w:ascii="Arial" w:eastAsia="Calibri" w:hAnsi="Arial" w:cs="Arial"/>
          <w:color w:val="000000" w:themeColor="text1"/>
          <w:sz w:val="22"/>
          <w:szCs w:val="22"/>
          <w:lang w:val="es-ES_tradnl"/>
        </w:rPr>
        <w:t>; es decir, el arreglo directo no puede «[…] mostrarse abiertamente desproporcionado».</w:t>
      </w:r>
      <w:r w:rsidR="00FE60F1">
        <w:rPr>
          <w:rFonts w:ascii="Arial" w:eastAsia="Calibri" w:hAnsi="Arial" w:cs="Arial"/>
          <w:color w:val="000000" w:themeColor="text1"/>
          <w:sz w:val="22"/>
          <w:szCs w:val="22"/>
          <w:lang w:val="es-ES_tradnl"/>
        </w:rPr>
        <w:t xml:space="preserve"> Este elemento también </w:t>
      </w:r>
      <w:r w:rsidR="00422631">
        <w:rPr>
          <w:rFonts w:ascii="Arial" w:eastAsia="Calibri" w:hAnsi="Arial" w:cs="Arial"/>
          <w:color w:val="000000" w:themeColor="text1"/>
          <w:sz w:val="22"/>
          <w:szCs w:val="22"/>
          <w:lang w:val="es-ES_tradnl"/>
        </w:rPr>
        <w:t xml:space="preserve">ha sido </w:t>
      </w:r>
      <w:r w:rsidR="00FE60F1">
        <w:rPr>
          <w:rFonts w:ascii="Arial" w:eastAsia="Calibri" w:hAnsi="Arial" w:cs="Arial"/>
          <w:color w:val="000000" w:themeColor="text1"/>
          <w:sz w:val="22"/>
          <w:szCs w:val="22"/>
          <w:lang w:val="es-ES_tradnl"/>
        </w:rPr>
        <w:t xml:space="preserve">determinante para la justicia arbitral, pues se ha establecido que en el evento en el que se celebre un contrato de transacción donde no se pactan concesiones recíprocas entre las </w:t>
      </w:r>
      <w:r w:rsidR="00FE60F1">
        <w:rPr>
          <w:rFonts w:ascii="Arial" w:eastAsia="Calibri" w:hAnsi="Arial" w:cs="Arial"/>
          <w:color w:val="000000" w:themeColor="text1"/>
          <w:sz w:val="22"/>
          <w:szCs w:val="22"/>
          <w:lang w:val="es-ES_tradnl"/>
        </w:rPr>
        <w:lastRenderedPageBreak/>
        <w:t>partes</w:t>
      </w:r>
      <w:r w:rsidR="006E087D">
        <w:rPr>
          <w:rFonts w:ascii="Arial" w:eastAsia="Calibri" w:hAnsi="Arial" w:cs="Arial"/>
          <w:color w:val="000000" w:themeColor="text1"/>
          <w:sz w:val="22"/>
          <w:szCs w:val="22"/>
          <w:lang w:val="es-ES_tradnl"/>
        </w:rPr>
        <w:t>,</w:t>
      </w:r>
      <w:r w:rsidR="00422631">
        <w:rPr>
          <w:rFonts w:ascii="Arial" w:eastAsia="Calibri" w:hAnsi="Arial" w:cs="Arial"/>
          <w:color w:val="000000" w:themeColor="text1"/>
          <w:sz w:val="22"/>
          <w:szCs w:val="22"/>
          <w:lang w:val="es-ES_tradnl"/>
        </w:rPr>
        <w:t xml:space="preserve"> </w:t>
      </w:r>
      <w:r w:rsidR="00FE60F1">
        <w:rPr>
          <w:rFonts w:ascii="Arial" w:eastAsia="Calibri" w:hAnsi="Arial" w:cs="Arial"/>
          <w:color w:val="000000" w:themeColor="text1"/>
          <w:sz w:val="22"/>
          <w:szCs w:val="22"/>
          <w:lang w:val="es-ES_tradnl"/>
        </w:rPr>
        <w:t xml:space="preserve">se está ante </w:t>
      </w:r>
      <w:r w:rsidR="006E087D">
        <w:rPr>
          <w:rFonts w:ascii="Arial" w:eastAsia="Calibri" w:hAnsi="Arial" w:cs="Arial"/>
          <w:color w:val="000000" w:themeColor="text1"/>
          <w:sz w:val="22"/>
          <w:szCs w:val="22"/>
          <w:lang w:val="es-ES_tradnl"/>
        </w:rPr>
        <w:t>una</w:t>
      </w:r>
      <w:r w:rsidR="00FE60F1">
        <w:rPr>
          <w:rFonts w:ascii="Arial" w:eastAsia="Calibri" w:hAnsi="Arial" w:cs="Arial"/>
          <w:color w:val="000000" w:themeColor="text1"/>
          <w:sz w:val="22"/>
          <w:szCs w:val="22"/>
          <w:lang w:val="es-ES_tradnl"/>
        </w:rPr>
        <w:t xml:space="preserve"> figura jurídica</w:t>
      </w:r>
      <w:r w:rsidR="006E087D">
        <w:rPr>
          <w:rFonts w:ascii="Arial" w:eastAsia="Calibri" w:hAnsi="Arial" w:cs="Arial"/>
          <w:color w:val="000000" w:themeColor="text1"/>
          <w:sz w:val="22"/>
          <w:szCs w:val="22"/>
          <w:lang w:val="es-ES_tradnl"/>
        </w:rPr>
        <w:t xml:space="preserve"> diferente a la transacción</w:t>
      </w:r>
      <w:r w:rsidR="006E087D">
        <w:rPr>
          <w:rStyle w:val="Refdenotaalpie"/>
          <w:rFonts w:ascii="Arial" w:eastAsia="Calibri" w:hAnsi="Arial" w:cs="Arial"/>
          <w:color w:val="000000" w:themeColor="text1"/>
          <w:sz w:val="22"/>
          <w:szCs w:val="22"/>
          <w:lang w:val="es-ES_tradnl"/>
        </w:rPr>
        <w:footnoteReference w:id="15"/>
      </w:r>
      <w:r w:rsidR="006E087D">
        <w:rPr>
          <w:rFonts w:ascii="Arial" w:eastAsia="Calibri" w:hAnsi="Arial" w:cs="Arial"/>
          <w:color w:val="000000" w:themeColor="text1"/>
          <w:sz w:val="22"/>
          <w:szCs w:val="22"/>
          <w:lang w:val="es-ES_tradnl"/>
        </w:rPr>
        <w:t>,</w:t>
      </w:r>
      <w:r w:rsidR="00FE60F1">
        <w:rPr>
          <w:rFonts w:ascii="Arial" w:eastAsia="Calibri" w:hAnsi="Arial" w:cs="Arial"/>
          <w:color w:val="000000" w:themeColor="text1"/>
          <w:sz w:val="22"/>
          <w:szCs w:val="22"/>
          <w:lang w:val="es-ES_tradnl"/>
        </w:rPr>
        <w:t xml:space="preserve"> como </w:t>
      </w:r>
      <w:r w:rsidR="006E087D">
        <w:rPr>
          <w:rFonts w:ascii="Arial" w:eastAsia="Calibri" w:hAnsi="Arial" w:cs="Arial"/>
          <w:color w:val="000000" w:themeColor="text1"/>
          <w:sz w:val="22"/>
          <w:szCs w:val="22"/>
          <w:lang w:val="es-ES_tradnl"/>
        </w:rPr>
        <w:t>por ejemplo</w:t>
      </w:r>
      <w:r w:rsidR="00FE60F1">
        <w:rPr>
          <w:rFonts w:ascii="Arial" w:eastAsia="Calibri" w:hAnsi="Arial" w:cs="Arial"/>
          <w:color w:val="000000" w:themeColor="text1"/>
          <w:sz w:val="22"/>
          <w:szCs w:val="22"/>
          <w:lang w:val="es-ES_tradnl"/>
        </w:rPr>
        <w:t xml:space="preserve"> una modificación de común acuerdo del contrato estatal. </w:t>
      </w:r>
    </w:p>
    <w:p w14:paraId="7BF083E0" w14:textId="77777777" w:rsidR="00F621D3" w:rsidRDefault="004E667A" w:rsidP="004E667A">
      <w:pPr>
        <w:spacing w:before="120" w:line="276" w:lineRule="auto"/>
        <w:ind w:firstLine="709"/>
        <w:jc w:val="both"/>
        <w:rPr>
          <w:rFonts w:ascii="Arial" w:eastAsia="Calibri" w:hAnsi="Arial" w:cs="Arial"/>
          <w:color w:val="000000" w:themeColor="text1"/>
          <w:sz w:val="22"/>
          <w:szCs w:val="22"/>
          <w:lang w:val="es-ES_tradnl"/>
        </w:rPr>
      </w:pPr>
      <w:r w:rsidRPr="000E0D71">
        <w:rPr>
          <w:rFonts w:ascii="Arial" w:eastAsia="Calibri" w:hAnsi="Arial" w:cs="Arial"/>
          <w:color w:val="000000" w:themeColor="text1"/>
          <w:sz w:val="22"/>
          <w:szCs w:val="22"/>
          <w:lang w:val="es-ES_tradnl"/>
        </w:rPr>
        <w:t>Por lo tanto, el acuerdo transaccional no puede implicar un reconocimiento exorbitante para el contratista, que no tenga ningún sustento, ni una renuncia infundada para la entidad estatal a reclamar la indemnización de los perjuicios que le hayan sido causados. Debe ser, por el contrario, un arreglo basado en elementos objetivos que permitan justificar la utilización de este mecanismo.</w:t>
      </w:r>
      <w:r w:rsidR="006E087D">
        <w:rPr>
          <w:rFonts w:ascii="Arial" w:eastAsia="Calibri" w:hAnsi="Arial" w:cs="Arial"/>
          <w:color w:val="000000" w:themeColor="text1"/>
          <w:sz w:val="22"/>
          <w:szCs w:val="22"/>
          <w:lang w:val="es-ES_tradnl"/>
        </w:rPr>
        <w:t xml:space="preserve"> </w:t>
      </w:r>
    </w:p>
    <w:p w14:paraId="24298C44" w14:textId="4A4B7C43" w:rsidR="004E667A" w:rsidRDefault="006E087D" w:rsidP="004E667A">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Así, con el fin de dar claridad sobre los eventos en los que no se está propiamente ante una transacción por falta</w:t>
      </w:r>
      <w:r w:rsidR="00422631">
        <w:rPr>
          <w:rFonts w:ascii="Arial" w:eastAsia="Calibri" w:hAnsi="Arial" w:cs="Arial"/>
          <w:color w:val="000000" w:themeColor="text1"/>
          <w:sz w:val="22"/>
          <w:szCs w:val="22"/>
          <w:lang w:val="es-ES_tradnl"/>
        </w:rPr>
        <w:t xml:space="preserve"> </w:t>
      </w:r>
      <w:r w:rsidR="00F621D3">
        <w:rPr>
          <w:rFonts w:ascii="Arial" w:eastAsia="Calibri" w:hAnsi="Arial" w:cs="Arial"/>
          <w:color w:val="000000" w:themeColor="text1"/>
          <w:sz w:val="22"/>
          <w:szCs w:val="22"/>
          <w:lang w:val="es-ES_tradnl"/>
        </w:rPr>
        <w:t xml:space="preserve">de </w:t>
      </w:r>
      <w:r w:rsidR="00D33693">
        <w:rPr>
          <w:rFonts w:ascii="Arial" w:eastAsia="Calibri" w:hAnsi="Arial" w:cs="Arial"/>
          <w:color w:val="000000" w:themeColor="text1"/>
          <w:sz w:val="22"/>
          <w:szCs w:val="22"/>
          <w:lang w:val="es-ES_tradnl"/>
        </w:rPr>
        <w:t>concesiones recíprocas</w:t>
      </w:r>
      <w:r>
        <w:rPr>
          <w:rFonts w:ascii="Arial" w:eastAsia="Calibri" w:hAnsi="Arial" w:cs="Arial"/>
          <w:color w:val="000000" w:themeColor="text1"/>
          <w:sz w:val="22"/>
          <w:szCs w:val="22"/>
          <w:lang w:val="es-ES_tradnl"/>
        </w:rPr>
        <w:t>, se presentan los siguientes ejemplos:</w:t>
      </w:r>
    </w:p>
    <w:p w14:paraId="0D3AD211" w14:textId="778E183C" w:rsidR="006E087D" w:rsidRDefault="006E087D" w:rsidP="004E667A">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 xml:space="preserve">i) En un acuerdo donde </w:t>
      </w:r>
      <w:r w:rsidR="00447EF7">
        <w:rPr>
          <w:rFonts w:ascii="Arial" w:eastAsia="Calibri" w:hAnsi="Arial" w:cs="Arial"/>
          <w:color w:val="000000" w:themeColor="text1"/>
          <w:sz w:val="22"/>
          <w:szCs w:val="22"/>
          <w:lang w:val="es-ES_tradnl"/>
        </w:rPr>
        <w:t>el contratista acepte realizar obras no previstas inicialmente en el contrato y la entidad contratante reconozca el valor de estas, no se está ante un contrato de transacción, pues la entidad no está concediendo o renunciando a algo</w:t>
      </w:r>
      <w:r w:rsidR="00861D0B">
        <w:rPr>
          <w:rStyle w:val="Refdenotaalpie"/>
          <w:rFonts w:ascii="Arial" w:eastAsia="Calibri" w:hAnsi="Arial" w:cs="Arial"/>
          <w:color w:val="000000" w:themeColor="text1"/>
          <w:sz w:val="22"/>
          <w:szCs w:val="22"/>
          <w:lang w:val="es-ES_tradnl"/>
        </w:rPr>
        <w:footnoteReference w:id="16"/>
      </w:r>
      <w:r w:rsidR="00447EF7">
        <w:rPr>
          <w:rFonts w:ascii="Arial" w:eastAsia="Calibri" w:hAnsi="Arial" w:cs="Arial"/>
          <w:color w:val="000000" w:themeColor="text1"/>
          <w:sz w:val="22"/>
          <w:szCs w:val="22"/>
          <w:lang w:val="es-ES_tradnl"/>
        </w:rPr>
        <w:t>.</w:t>
      </w:r>
    </w:p>
    <w:p w14:paraId="512290CC" w14:textId="4E7A1446" w:rsidR="00447EF7" w:rsidRDefault="00447EF7" w:rsidP="00447EF7">
      <w:pPr>
        <w:spacing w:before="120" w:line="276" w:lineRule="auto"/>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ab/>
        <w:t>ii)</w:t>
      </w:r>
      <w:r w:rsidR="00F621D3">
        <w:rPr>
          <w:rFonts w:ascii="Arial" w:eastAsia="Calibri" w:hAnsi="Arial" w:cs="Arial"/>
          <w:color w:val="000000" w:themeColor="text1"/>
          <w:sz w:val="22"/>
          <w:szCs w:val="22"/>
          <w:lang w:val="es-ES_tradnl"/>
        </w:rPr>
        <w:t xml:space="preserve"> El reconocimiento</w:t>
      </w:r>
      <w:r w:rsidR="00861D0B">
        <w:rPr>
          <w:rFonts w:ascii="Arial" w:eastAsia="Calibri" w:hAnsi="Arial" w:cs="Arial"/>
          <w:color w:val="000000" w:themeColor="text1"/>
          <w:sz w:val="22"/>
          <w:szCs w:val="22"/>
          <w:lang w:val="es-ES_tradnl"/>
        </w:rPr>
        <w:t xml:space="preserve"> </w:t>
      </w:r>
      <w:r w:rsidR="00F621D3">
        <w:rPr>
          <w:rFonts w:ascii="Arial" w:eastAsia="Calibri" w:hAnsi="Arial" w:cs="Arial"/>
          <w:color w:val="000000" w:themeColor="text1"/>
          <w:sz w:val="22"/>
          <w:szCs w:val="22"/>
          <w:lang w:val="es-ES_tradnl"/>
        </w:rPr>
        <w:t>de gastos adicion</w:t>
      </w:r>
      <w:r w:rsidR="00861D0B">
        <w:rPr>
          <w:rFonts w:ascii="Arial" w:eastAsia="Calibri" w:hAnsi="Arial" w:cs="Arial"/>
          <w:color w:val="000000" w:themeColor="text1"/>
          <w:sz w:val="22"/>
          <w:szCs w:val="22"/>
          <w:lang w:val="es-ES_tradnl"/>
        </w:rPr>
        <w:t xml:space="preserve">ales en los que haya incurrido un contratista no corresponde </w:t>
      </w:r>
      <w:r w:rsidR="00D33693">
        <w:rPr>
          <w:rFonts w:ascii="Arial" w:eastAsia="Calibri" w:hAnsi="Arial" w:cs="Arial"/>
          <w:color w:val="000000" w:themeColor="text1"/>
          <w:sz w:val="22"/>
          <w:szCs w:val="22"/>
          <w:lang w:val="es-ES_tradnl"/>
        </w:rPr>
        <w:t>al pacto de concesiones recíprocas</w:t>
      </w:r>
      <w:r w:rsidR="00861D0B">
        <w:rPr>
          <w:rFonts w:ascii="Arial" w:eastAsia="Calibri" w:hAnsi="Arial" w:cs="Arial"/>
          <w:color w:val="000000" w:themeColor="text1"/>
          <w:sz w:val="22"/>
          <w:szCs w:val="22"/>
          <w:lang w:val="es-ES_tradnl"/>
        </w:rPr>
        <w:t>, pues se trata simplemente de un reajuste para continuar con la ejecución del contrato</w:t>
      </w:r>
      <w:r w:rsidR="00861D0B">
        <w:rPr>
          <w:rStyle w:val="Refdenotaalpie"/>
          <w:rFonts w:ascii="Arial" w:eastAsia="Calibri" w:hAnsi="Arial" w:cs="Arial"/>
          <w:color w:val="000000" w:themeColor="text1"/>
          <w:sz w:val="22"/>
          <w:szCs w:val="22"/>
          <w:lang w:val="es-ES_tradnl"/>
        </w:rPr>
        <w:footnoteReference w:id="17"/>
      </w:r>
      <w:r w:rsidR="00861D0B">
        <w:rPr>
          <w:rFonts w:ascii="Arial" w:eastAsia="Calibri" w:hAnsi="Arial" w:cs="Arial"/>
          <w:color w:val="000000" w:themeColor="text1"/>
          <w:sz w:val="22"/>
          <w:szCs w:val="22"/>
          <w:lang w:val="es-ES_tradnl"/>
        </w:rPr>
        <w:t xml:space="preserve">. </w:t>
      </w:r>
    </w:p>
    <w:p w14:paraId="143ED60F" w14:textId="62EA17E7" w:rsidR="00422631" w:rsidRDefault="00422631" w:rsidP="00422631">
      <w:pPr>
        <w:spacing w:before="120" w:line="276" w:lineRule="auto"/>
        <w:ind w:firstLine="708"/>
        <w:jc w:val="both"/>
        <w:rPr>
          <w:rFonts w:ascii="Arial" w:eastAsia="Calibri" w:hAnsi="Arial" w:cs="Arial"/>
          <w:color w:val="000000" w:themeColor="text1"/>
          <w:sz w:val="22"/>
          <w:szCs w:val="22"/>
        </w:rPr>
      </w:pPr>
      <w:r>
        <w:rPr>
          <w:rFonts w:ascii="Arial" w:eastAsia="Calibri" w:hAnsi="Arial" w:cs="Arial"/>
          <w:color w:val="000000" w:themeColor="text1"/>
          <w:sz w:val="22"/>
          <w:szCs w:val="22"/>
        </w:rPr>
        <w:t>Por otra parte, a</w:t>
      </w:r>
      <w:r w:rsidRPr="00B52B5A">
        <w:rPr>
          <w:rFonts w:ascii="Arial" w:eastAsia="Calibri" w:hAnsi="Arial" w:cs="Arial"/>
          <w:color w:val="000000" w:themeColor="text1"/>
          <w:sz w:val="22"/>
          <w:szCs w:val="22"/>
        </w:rPr>
        <w:t>unque la transacción produce el efecto de cosa juzgada en última instancia, es factible demandar su nulidad o rescisión, de conformidad a los artículos 2</w:t>
      </w:r>
      <w:r w:rsidR="00913186">
        <w:rPr>
          <w:rFonts w:ascii="Arial" w:eastAsia="Calibri" w:hAnsi="Arial" w:cs="Arial"/>
          <w:color w:val="000000" w:themeColor="text1"/>
          <w:sz w:val="22"/>
          <w:szCs w:val="22"/>
        </w:rPr>
        <w:t>.</w:t>
      </w:r>
      <w:r w:rsidRPr="00B52B5A">
        <w:rPr>
          <w:rFonts w:ascii="Arial" w:eastAsia="Calibri" w:hAnsi="Arial" w:cs="Arial"/>
          <w:color w:val="000000" w:themeColor="text1"/>
          <w:sz w:val="22"/>
          <w:szCs w:val="22"/>
        </w:rPr>
        <w:t>476 a 2</w:t>
      </w:r>
      <w:r w:rsidR="00913186">
        <w:rPr>
          <w:rFonts w:ascii="Arial" w:eastAsia="Calibri" w:hAnsi="Arial" w:cs="Arial"/>
          <w:color w:val="000000" w:themeColor="text1"/>
          <w:sz w:val="22"/>
          <w:szCs w:val="22"/>
        </w:rPr>
        <w:t>.</w:t>
      </w:r>
      <w:r w:rsidRPr="00B52B5A">
        <w:rPr>
          <w:rFonts w:ascii="Arial" w:eastAsia="Calibri" w:hAnsi="Arial" w:cs="Arial"/>
          <w:color w:val="000000" w:themeColor="text1"/>
          <w:sz w:val="22"/>
          <w:szCs w:val="22"/>
        </w:rPr>
        <w:t>482 del Código Civil, así como por las causales generales de nulidad previstas en los artículos 1</w:t>
      </w:r>
      <w:r w:rsidR="00913186">
        <w:rPr>
          <w:rFonts w:ascii="Arial" w:eastAsia="Calibri" w:hAnsi="Arial" w:cs="Arial"/>
          <w:color w:val="000000" w:themeColor="text1"/>
          <w:sz w:val="22"/>
          <w:szCs w:val="22"/>
        </w:rPr>
        <w:t>.</w:t>
      </w:r>
      <w:r w:rsidRPr="00B52B5A">
        <w:rPr>
          <w:rFonts w:ascii="Arial" w:eastAsia="Calibri" w:hAnsi="Arial" w:cs="Arial"/>
          <w:color w:val="000000" w:themeColor="text1"/>
          <w:sz w:val="22"/>
          <w:szCs w:val="22"/>
        </w:rPr>
        <w:t>740 a 1</w:t>
      </w:r>
      <w:r w:rsidR="00913186">
        <w:rPr>
          <w:rFonts w:ascii="Arial" w:eastAsia="Calibri" w:hAnsi="Arial" w:cs="Arial"/>
          <w:color w:val="000000" w:themeColor="text1"/>
          <w:sz w:val="22"/>
          <w:szCs w:val="22"/>
        </w:rPr>
        <w:t>.</w:t>
      </w:r>
      <w:r w:rsidRPr="00B52B5A">
        <w:rPr>
          <w:rFonts w:ascii="Arial" w:eastAsia="Calibri" w:hAnsi="Arial" w:cs="Arial"/>
          <w:color w:val="000000" w:themeColor="text1"/>
          <w:sz w:val="22"/>
          <w:szCs w:val="22"/>
        </w:rPr>
        <w:t>756 del mencionado Código.</w:t>
      </w:r>
      <w:r>
        <w:rPr>
          <w:rFonts w:ascii="Arial" w:eastAsia="Calibri" w:hAnsi="Arial" w:cs="Arial"/>
          <w:color w:val="000000" w:themeColor="text1"/>
          <w:sz w:val="22"/>
          <w:szCs w:val="22"/>
        </w:rPr>
        <w:t xml:space="preserve"> </w:t>
      </w:r>
      <w:r w:rsidRPr="00857C31">
        <w:rPr>
          <w:rFonts w:ascii="Arial" w:eastAsia="Calibri" w:hAnsi="Arial" w:cs="Arial"/>
          <w:color w:val="000000" w:themeColor="text1"/>
          <w:sz w:val="22"/>
          <w:szCs w:val="22"/>
        </w:rPr>
        <w:t>Teniendo en cuenta que el contrato de transacción se enmarca en la definición de contrato estatal</w:t>
      </w:r>
      <w:r>
        <w:rPr>
          <w:rFonts w:ascii="Arial" w:eastAsia="Calibri" w:hAnsi="Arial" w:cs="Arial"/>
          <w:color w:val="000000" w:themeColor="text1"/>
          <w:sz w:val="22"/>
          <w:szCs w:val="22"/>
        </w:rPr>
        <w:t xml:space="preserve"> – pues se trata de un acto jurídico generador de obligaciones celebrado por una entidad estatal</w:t>
      </w:r>
      <w:r>
        <w:rPr>
          <w:rStyle w:val="Refdenotaalpie"/>
          <w:rFonts w:ascii="Arial" w:eastAsia="Calibri" w:hAnsi="Arial" w:cs="Arial"/>
          <w:color w:val="000000" w:themeColor="text1"/>
          <w:sz w:val="22"/>
          <w:szCs w:val="22"/>
        </w:rPr>
        <w:footnoteReference w:id="18"/>
      </w:r>
      <w:r>
        <w:rPr>
          <w:rFonts w:ascii="Arial" w:eastAsia="Calibri" w:hAnsi="Arial" w:cs="Arial"/>
          <w:color w:val="000000" w:themeColor="text1"/>
          <w:sz w:val="22"/>
          <w:szCs w:val="22"/>
        </w:rPr>
        <w:t>-</w:t>
      </w:r>
      <w:r w:rsidRPr="00857C31">
        <w:rPr>
          <w:rFonts w:ascii="Arial" w:eastAsia="Calibri" w:hAnsi="Arial" w:cs="Arial"/>
          <w:color w:val="000000" w:themeColor="text1"/>
          <w:sz w:val="22"/>
          <w:szCs w:val="22"/>
        </w:rPr>
        <w:t>, el medio de control que se debe utilizar en este caso es la acción de controversias contractuales previst</w:t>
      </w:r>
      <w:r>
        <w:rPr>
          <w:rFonts w:ascii="Arial" w:eastAsia="Calibri" w:hAnsi="Arial" w:cs="Arial"/>
          <w:color w:val="000000" w:themeColor="text1"/>
          <w:sz w:val="22"/>
          <w:szCs w:val="22"/>
        </w:rPr>
        <w:t>a</w:t>
      </w:r>
      <w:r w:rsidRPr="00857C31">
        <w:rPr>
          <w:rFonts w:ascii="Arial" w:eastAsia="Calibri" w:hAnsi="Arial" w:cs="Arial"/>
          <w:color w:val="000000" w:themeColor="text1"/>
          <w:sz w:val="22"/>
          <w:szCs w:val="22"/>
        </w:rPr>
        <w:t xml:space="preserve"> en el artículo 141 del CPACA</w:t>
      </w:r>
      <w:r>
        <w:rPr>
          <w:rStyle w:val="Refdenotaalpie"/>
          <w:rFonts w:ascii="Arial" w:eastAsia="Calibri" w:hAnsi="Arial" w:cs="Arial"/>
          <w:color w:val="000000" w:themeColor="text1"/>
          <w:sz w:val="22"/>
          <w:szCs w:val="22"/>
        </w:rPr>
        <w:footnoteReference w:id="19"/>
      </w:r>
      <w:r w:rsidRPr="00857C31">
        <w:rPr>
          <w:rFonts w:ascii="Arial" w:eastAsia="Calibri" w:hAnsi="Arial" w:cs="Arial"/>
          <w:color w:val="000000" w:themeColor="text1"/>
          <w:sz w:val="22"/>
          <w:szCs w:val="22"/>
        </w:rPr>
        <w:t>.</w:t>
      </w:r>
    </w:p>
    <w:p w14:paraId="49A6C7A1" w14:textId="6D41BD3F" w:rsidR="00422631" w:rsidRDefault="00913186" w:rsidP="00F76721">
      <w:pPr>
        <w:spacing w:before="120" w:line="276" w:lineRule="auto"/>
        <w:ind w:firstLine="708"/>
        <w:jc w:val="both"/>
        <w:rPr>
          <w:rFonts w:ascii="Arial" w:eastAsia="Calibri" w:hAnsi="Arial" w:cs="Arial"/>
          <w:color w:val="000000" w:themeColor="text1"/>
          <w:sz w:val="22"/>
          <w:szCs w:val="22"/>
        </w:rPr>
      </w:pPr>
      <w:r>
        <w:rPr>
          <w:rFonts w:ascii="Arial" w:eastAsia="Calibri" w:hAnsi="Arial" w:cs="Arial"/>
          <w:color w:val="000000" w:themeColor="text1"/>
          <w:sz w:val="22"/>
          <w:szCs w:val="22"/>
        </w:rPr>
        <w:lastRenderedPageBreak/>
        <w:t>L</w:t>
      </w:r>
      <w:r w:rsidR="00F76721" w:rsidRPr="00F76721">
        <w:rPr>
          <w:rFonts w:ascii="Arial" w:eastAsia="Calibri" w:hAnsi="Arial" w:cs="Arial"/>
          <w:color w:val="000000" w:themeColor="text1"/>
          <w:sz w:val="22"/>
          <w:szCs w:val="22"/>
        </w:rPr>
        <w:t xml:space="preserve">a suscripción de la transacción debe realizarla </w:t>
      </w:r>
      <w:r w:rsidR="00F76721">
        <w:rPr>
          <w:rFonts w:ascii="Arial" w:eastAsia="Calibri" w:hAnsi="Arial" w:cs="Arial"/>
          <w:color w:val="000000" w:themeColor="text1"/>
          <w:sz w:val="22"/>
          <w:szCs w:val="22"/>
        </w:rPr>
        <w:t>«</w:t>
      </w:r>
      <w:r>
        <w:rPr>
          <w:rFonts w:ascii="Arial" w:eastAsia="Calibri" w:hAnsi="Arial" w:cs="Arial"/>
          <w:color w:val="000000" w:themeColor="text1"/>
          <w:sz w:val="22"/>
          <w:szCs w:val="22"/>
        </w:rPr>
        <w:t xml:space="preserve">[…] </w:t>
      </w:r>
      <w:r w:rsidR="00F76721" w:rsidRPr="00F76721">
        <w:rPr>
          <w:rFonts w:ascii="Arial" w:eastAsia="Calibri" w:hAnsi="Arial" w:cs="Arial"/>
          <w:color w:val="000000" w:themeColor="text1"/>
          <w:sz w:val="22"/>
          <w:szCs w:val="22"/>
        </w:rPr>
        <w:t>quien tenga la representación legal de la entidad, quien es el único que tiene la competencia para vincularla contractualmente y debe cumplir con las formalidades previstas en la ley para su procedencia, entre ellas las autorizaciones de ley</w:t>
      </w:r>
      <w:r w:rsidR="00F76721">
        <w:rPr>
          <w:rFonts w:ascii="Arial" w:eastAsia="Calibri" w:hAnsi="Arial" w:cs="Arial"/>
          <w:color w:val="000000" w:themeColor="text1"/>
          <w:sz w:val="22"/>
          <w:szCs w:val="22"/>
        </w:rPr>
        <w:t>»</w:t>
      </w:r>
      <w:r w:rsidR="00F76721">
        <w:rPr>
          <w:rStyle w:val="Refdenotaalpie"/>
          <w:rFonts w:ascii="Arial" w:eastAsia="Calibri" w:hAnsi="Arial" w:cs="Arial"/>
          <w:color w:val="000000" w:themeColor="text1"/>
          <w:sz w:val="22"/>
          <w:szCs w:val="22"/>
        </w:rPr>
        <w:footnoteReference w:id="20"/>
      </w:r>
      <w:r w:rsidR="00F76721">
        <w:rPr>
          <w:rFonts w:ascii="Arial" w:eastAsia="Calibri" w:hAnsi="Arial" w:cs="Arial"/>
          <w:color w:val="000000" w:themeColor="text1"/>
          <w:sz w:val="22"/>
          <w:szCs w:val="22"/>
        </w:rPr>
        <w:t xml:space="preserve">. </w:t>
      </w:r>
      <w:r w:rsidR="00F76721" w:rsidRPr="00F76721">
        <w:rPr>
          <w:rFonts w:ascii="Arial" w:eastAsia="Calibri" w:hAnsi="Arial" w:cs="Arial"/>
          <w:color w:val="000000" w:themeColor="text1"/>
          <w:sz w:val="22"/>
          <w:szCs w:val="22"/>
        </w:rPr>
        <w:t xml:space="preserve">No obstante, el artículo 313 del Código General del Proceso, dispone que </w:t>
      </w:r>
      <w:r w:rsidR="00F76721">
        <w:rPr>
          <w:rFonts w:ascii="Arial" w:eastAsia="Calibri" w:hAnsi="Arial" w:cs="Arial"/>
          <w:color w:val="000000" w:themeColor="text1"/>
          <w:sz w:val="22"/>
          <w:szCs w:val="22"/>
        </w:rPr>
        <w:t>«</w:t>
      </w:r>
      <w:r w:rsidR="00F76721" w:rsidRPr="00F76721">
        <w:rPr>
          <w:rFonts w:ascii="Arial" w:eastAsia="Calibri" w:hAnsi="Arial" w:cs="Arial"/>
          <w:color w:val="000000" w:themeColor="text1"/>
          <w:sz w:val="22"/>
          <w:szCs w:val="22"/>
        </w:rPr>
        <w:t>Los representantes de la nación, departamentos y municipios no podrán transigir sin autorización del Gobierno Nacional, del gobernador o alcalde, según fuere el ca</w:t>
      </w:r>
      <w:r w:rsidR="00F76721">
        <w:rPr>
          <w:rFonts w:ascii="Arial" w:eastAsia="Calibri" w:hAnsi="Arial" w:cs="Arial"/>
          <w:color w:val="000000" w:themeColor="text1"/>
          <w:sz w:val="22"/>
          <w:szCs w:val="22"/>
        </w:rPr>
        <w:t>so»</w:t>
      </w:r>
      <w:r w:rsidR="00F76721" w:rsidRPr="00F76721">
        <w:rPr>
          <w:rFonts w:ascii="Arial" w:eastAsia="Calibri" w:hAnsi="Arial" w:cs="Arial"/>
          <w:color w:val="000000" w:themeColor="text1"/>
          <w:sz w:val="22"/>
          <w:szCs w:val="22"/>
        </w:rPr>
        <w:t>; pero esta última norma, solo aplica</w:t>
      </w:r>
      <w:r w:rsidR="00F76721">
        <w:rPr>
          <w:rFonts w:ascii="Arial" w:eastAsia="Calibri" w:hAnsi="Arial" w:cs="Arial"/>
          <w:color w:val="000000" w:themeColor="text1"/>
          <w:sz w:val="22"/>
          <w:szCs w:val="22"/>
        </w:rPr>
        <w:t xml:space="preserve"> cuando la transacción se realiza</w:t>
      </w:r>
      <w:r w:rsidR="00F76721" w:rsidRPr="00F76721">
        <w:rPr>
          <w:rFonts w:ascii="Arial" w:eastAsia="Calibri" w:hAnsi="Arial" w:cs="Arial"/>
          <w:color w:val="000000" w:themeColor="text1"/>
          <w:sz w:val="22"/>
          <w:szCs w:val="22"/>
        </w:rPr>
        <w:t xml:space="preserve"> en </w:t>
      </w:r>
      <w:r w:rsidR="00F76721">
        <w:rPr>
          <w:rFonts w:ascii="Arial" w:eastAsia="Calibri" w:hAnsi="Arial" w:cs="Arial"/>
          <w:color w:val="000000" w:themeColor="text1"/>
          <w:sz w:val="22"/>
          <w:szCs w:val="22"/>
        </w:rPr>
        <w:t xml:space="preserve">el trámite de un </w:t>
      </w:r>
      <w:r w:rsidR="00F76721" w:rsidRPr="00F76721">
        <w:rPr>
          <w:rFonts w:ascii="Arial" w:eastAsia="Calibri" w:hAnsi="Arial" w:cs="Arial"/>
          <w:color w:val="000000" w:themeColor="text1"/>
          <w:sz w:val="22"/>
          <w:szCs w:val="22"/>
        </w:rPr>
        <w:t>proceso jurisdiccional conforme lo determina el objeto del mismo Código General del Proceso.</w:t>
      </w:r>
    </w:p>
    <w:p w14:paraId="6BB10294" w14:textId="77777777" w:rsidR="00913186" w:rsidRDefault="00913186" w:rsidP="002B6DB6">
      <w:pPr>
        <w:spacing w:line="276" w:lineRule="auto"/>
        <w:ind w:firstLine="708"/>
        <w:jc w:val="both"/>
        <w:rPr>
          <w:rFonts w:ascii="Arial" w:eastAsia="Calibri" w:hAnsi="Arial" w:cs="Arial"/>
          <w:color w:val="000000" w:themeColor="text1"/>
          <w:sz w:val="22"/>
          <w:szCs w:val="22"/>
        </w:rPr>
      </w:pPr>
    </w:p>
    <w:p w14:paraId="3C689C3E" w14:textId="1763A14D" w:rsidR="00422631" w:rsidRPr="00422631" w:rsidRDefault="00422631" w:rsidP="002B6DB6">
      <w:pPr>
        <w:spacing w:line="276" w:lineRule="auto"/>
        <w:jc w:val="both"/>
        <w:rPr>
          <w:rFonts w:ascii="Arial" w:eastAsia="Calibri" w:hAnsi="Arial" w:cs="Arial"/>
          <w:b/>
          <w:bCs/>
          <w:color w:val="000000" w:themeColor="text1"/>
          <w:sz w:val="22"/>
          <w:szCs w:val="22"/>
          <w:lang w:val="es-ES_tradnl"/>
        </w:rPr>
      </w:pPr>
      <w:r>
        <w:rPr>
          <w:rFonts w:ascii="Arial" w:eastAsia="Calibri" w:hAnsi="Arial" w:cs="Arial"/>
          <w:b/>
          <w:bCs/>
          <w:color w:val="000000" w:themeColor="text1"/>
          <w:sz w:val="22"/>
          <w:szCs w:val="22"/>
          <w:lang w:val="es-ES_tradnl"/>
        </w:rPr>
        <w:t>2.</w:t>
      </w:r>
      <w:r w:rsidR="00913186">
        <w:rPr>
          <w:rFonts w:ascii="Arial" w:eastAsia="Calibri" w:hAnsi="Arial" w:cs="Arial"/>
          <w:b/>
          <w:bCs/>
          <w:color w:val="000000" w:themeColor="text1"/>
          <w:sz w:val="22"/>
          <w:szCs w:val="22"/>
          <w:lang w:val="es-ES_tradnl"/>
        </w:rPr>
        <w:t xml:space="preserve">1.1. </w:t>
      </w:r>
      <w:r>
        <w:rPr>
          <w:rFonts w:ascii="Arial" w:eastAsia="Calibri" w:hAnsi="Arial" w:cs="Arial"/>
          <w:b/>
          <w:bCs/>
          <w:color w:val="000000" w:themeColor="text1"/>
          <w:sz w:val="22"/>
          <w:szCs w:val="22"/>
          <w:lang w:val="es-ES_tradnl"/>
        </w:rPr>
        <w:t xml:space="preserve"> La competencia del Comité de Conciliación para conocer sobre la procedencia de la transacción.</w:t>
      </w:r>
    </w:p>
    <w:p w14:paraId="09E37F06" w14:textId="2E74322B" w:rsidR="00134C9D" w:rsidRDefault="00913186" w:rsidP="00447EF7">
      <w:pPr>
        <w:spacing w:before="120" w:line="276" w:lineRule="auto"/>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Por otro lado, se advierte que </w:t>
      </w:r>
      <w:r w:rsidR="00D33693">
        <w:rPr>
          <w:rFonts w:ascii="Arial" w:eastAsia="Calibri" w:hAnsi="Arial" w:cs="Arial"/>
          <w:color w:val="000000" w:themeColor="text1"/>
          <w:sz w:val="22"/>
          <w:szCs w:val="22"/>
        </w:rPr>
        <w:t>el peticionario</w:t>
      </w:r>
      <w:r>
        <w:rPr>
          <w:rFonts w:ascii="Arial" w:eastAsia="Calibri" w:hAnsi="Arial" w:cs="Arial"/>
          <w:color w:val="000000" w:themeColor="text1"/>
          <w:sz w:val="22"/>
          <w:szCs w:val="22"/>
        </w:rPr>
        <w:t xml:space="preserve"> indaga en torno</w:t>
      </w:r>
      <w:r w:rsidR="00D33693">
        <w:rPr>
          <w:rFonts w:ascii="Arial" w:eastAsia="Calibri" w:hAnsi="Arial" w:cs="Arial"/>
          <w:color w:val="000000" w:themeColor="text1"/>
          <w:sz w:val="22"/>
          <w:szCs w:val="22"/>
        </w:rPr>
        <w:t xml:space="preserve"> </w:t>
      </w:r>
      <w:r>
        <w:rPr>
          <w:rFonts w:ascii="Arial" w:eastAsia="Calibri" w:hAnsi="Arial" w:cs="Arial"/>
          <w:color w:val="000000" w:themeColor="text1"/>
          <w:sz w:val="22"/>
          <w:szCs w:val="22"/>
        </w:rPr>
        <w:t>a la</w:t>
      </w:r>
      <w:r w:rsidR="00D33693">
        <w:rPr>
          <w:rFonts w:ascii="Arial" w:eastAsia="Calibri" w:hAnsi="Arial" w:cs="Arial"/>
          <w:color w:val="000000" w:themeColor="text1"/>
          <w:sz w:val="22"/>
          <w:szCs w:val="22"/>
        </w:rPr>
        <w:t xml:space="preserve"> nece</w:t>
      </w:r>
      <w:r>
        <w:rPr>
          <w:rFonts w:ascii="Arial" w:eastAsia="Calibri" w:hAnsi="Arial" w:cs="Arial"/>
          <w:color w:val="000000" w:themeColor="text1"/>
          <w:sz w:val="22"/>
          <w:szCs w:val="22"/>
        </w:rPr>
        <w:t>sidad de</w:t>
      </w:r>
      <w:r w:rsidR="00D33693">
        <w:rPr>
          <w:rFonts w:ascii="Arial" w:eastAsia="Calibri" w:hAnsi="Arial" w:cs="Arial"/>
          <w:color w:val="000000" w:themeColor="text1"/>
          <w:sz w:val="22"/>
          <w:szCs w:val="22"/>
        </w:rPr>
        <w:t xml:space="preserve"> someter la decisión de celebrar un contrato de transacción </w:t>
      </w:r>
      <w:r>
        <w:rPr>
          <w:rFonts w:ascii="Arial" w:eastAsia="Calibri" w:hAnsi="Arial" w:cs="Arial"/>
          <w:color w:val="000000" w:themeColor="text1"/>
          <w:sz w:val="22"/>
          <w:szCs w:val="22"/>
        </w:rPr>
        <w:t>a consideración del</w:t>
      </w:r>
      <w:r w:rsidR="00D33693">
        <w:rPr>
          <w:rFonts w:ascii="Arial" w:eastAsia="Calibri" w:hAnsi="Arial" w:cs="Arial"/>
          <w:color w:val="000000" w:themeColor="text1"/>
          <w:sz w:val="22"/>
          <w:szCs w:val="22"/>
        </w:rPr>
        <w:t xml:space="preserve">  </w:t>
      </w:r>
      <w:r>
        <w:rPr>
          <w:rFonts w:ascii="Arial" w:eastAsia="Calibri" w:hAnsi="Arial" w:cs="Arial"/>
          <w:color w:val="000000" w:themeColor="text1"/>
          <w:sz w:val="22"/>
          <w:szCs w:val="22"/>
        </w:rPr>
        <w:t>c</w:t>
      </w:r>
      <w:r w:rsidR="00D33693">
        <w:rPr>
          <w:rFonts w:ascii="Arial" w:eastAsia="Calibri" w:hAnsi="Arial" w:cs="Arial"/>
          <w:color w:val="000000" w:themeColor="text1"/>
          <w:sz w:val="22"/>
          <w:szCs w:val="22"/>
        </w:rPr>
        <w:t xml:space="preserve">omité de </w:t>
      </w:r>
      <w:r>
        <w:rPr>
          <w:rFonts w:ascii="Arial" w:eastAsia="Calibri" w:hAnsi="Arial" w:cs="Arial"/>
          <w:color w:val="000000" w:themeColor="text1"/>
          <w:sz w:val="22"/>
          <w:szCs w:val="22"/>
        </w:rPr>
        <w:t>c</w:t>
      </w:r>
      <w:r w:rsidR="00D33693">
        <w:rPr>
          <w:rFonts w:ascii="Arial" w:eastAsia="Calibri" w:hAnsi="Arial" w:cs="Arial"/>
          <w:color w:val="000000" w:themeColor="text1"/>
          <w:sz w:val="22"/>
          <w:szCs w:val="22"/>
        </w:rPr>
        <w:t xml:space="preserve">onciliación de la entidad. </w:t>
      </w:r>
      <w:r>
        <w:rPr>
          <w:rFonts w:ascii="Arial" w:eastAsia="Calibri" w:hAnsi="Arial" w:cs="Arial"/>
          <w:color w:val="000000" w:themeColor="text1"/>
          <w:sz w:val="22"/>
          <w:szCs w:val="22"/>
        </w:rPr>
        <w:t>Al respecto, son relevantes las disposiciones</w:t>
      </w:r>
      <w:r w:rsidR="00422631">
        <w:rPr>
          <w:rFonts w:ascii="Arial" w:eastAsia="Calibri" w:hAnsi="Arial" w:cs="Arial"/>
          <w:color w:val="000000" w:themeColor="text1"/>
          <w:sz w:val="22"/>
          <w:szCs w:val="22"/>
        </w:rPr>
        <w:t xml:space="preserve"> del</w:t>
      </w:r>
      <w:r w:rsidR="00134C9D">
        <w:rPr>
          <w:rFonts w:ascii="Arial" w:eastAsia="Calibri" w:hAnsi="Arial" w:cs="Arial"/>
          <w:color w:val="000000" w:themeColor="text1"/>
          <w:sz w:val="22"/>
          <w:szCs w:val="22"/>
        </w:rPr>
        <w:t xml:space="preserve"> Decreto </w:t>
      </w:r>
      <w:r w:rsidR="00544CE3">
        <w:rPr>
          <w:rFonts w:ascii="Arial" w:eastAsia="Calibri" w:hAnsi="Arial" w:cs="Arial"/>
          <w:color w:val="000000" w:themeColor="text1"/>
          <w:sz w:val="22"/>
          <w:szCs w:val="22"/>
        </w:rPr>
        <w:t>1069 de 2015</w:t>
      </w:r>
      <w:r w:rsidR="00134C9D">
        <w:rPr>
          <w:rFonts w:ascii="Arial" w:eastAsia="Calibri" w:hAnsi="Arial" w:cs="Arial"/>
          <w:color w:val="000000" w:themeColor="text1"/>
          <w:sz w:val="22"/>
          <w:szCs w:val="22"/>
        </w:rPr>
        <w:t>,</w:t>
      </w:r>
      <w:r w:rsidR="00544CE3">
        <w:rPr>
          <w:rFonts w:ascii="Arial" w:eastAsia="Calibri" w:hAnsi="Arial" w:cs="Arial"/>
          <w:color w:val="000000" w:themeColor="text1"/>
          <w:sz w:val="22"/>
          <w:szCs w:val="22"/>
        </w:rPr>
        <w:t xml:space="preserve"> </w:t>
      </w:r>
      <w:r>
        <w:rPr>
          <w:rFonts w:ascii="Arial" w:eastAsia="Calibri" w:hAnsi="Arial" w:cs="Arial"/>
          <w:color w:val="000000" w:themeColor="text1"/>
          <w:sz w:val="22"/>
          <w:szCs w:val="22"/>
        </w:rPr>
        <w:t xml:space="preserve">relativas a </w:t>
      </w:r>
      <w:r w:rsidR="00134C9D">
        <w:rPr>
          <w:rFonts w:ascii="Arial" w:eastAsia="Calibri" w:hAnsi="Arial" w:cs="Arial"/>
          <w:color w:val="000000" w:themeColor="text1"/>
          <w:sz w:val="22"/>
          <w:szCs w:val="22"/>
        </w:rPr>
        <w:t>l</w:t>
      </w:r>
      <w:r>
        <w:rPr>
          <w:rFonts w:ascii="Arial" w:eastAsia="Calibri" w:hAnsi="Arial" w:cs="Arial"/>
          <w:color w:val="000000" w:themeColor="text1"/>
          <w:sz w:val="22"/>
          <w:szCs w:val="22"/>
        </w:rPr>
        <w:t>a</w:t>
      </w:r>
      <w:r w:rsidR="00134C9D">
        <w:rPr>
          <w:rFonts w:ascii="Arial" w:eastAsia="Calibri" w:hAnsi="Arial" w:cs="Arial"/>
          <w:color w:val="000000" w:themeColor="text1"/>
          <w:sz w:val="22"/>
          <w:szCs w:val="22"/>
        </w:rPr>
        <w:t>s</w:t>
      </w:r>
      <w:r>
        <w:rPr>
          <w:rFonts w:ascii="Arial" w:eastAsia="Calibri" w:hAnsi="Arial" w:cs="Arial"/>
          <w:color w:val="000000" w:themeColor="text1"/>
          <w:sz w:val="22"/>
          <w:szCs w:val="22"/>
        </w:rPr>
        <w:t xml:space="preserve"> competencias de los</w:t>
      </w:r>
      <w:r w:rsidR="00134C9D">
        <w:rPr>
          <w:rFonts w:ascii="Arial" w:eastAsia="Calibri" w:hAnsi="Arial" w:cs="Arial"/>
          <w:color w:val="000000" w:themeColor="text1"/>
          <w:sz w:val="22"/>
          <w:szCs w:val="22"/>
        </w:rPr>
        <w:t xml:space="preserve"> </w:t>
      </w:r>
      <w:r>
        <w:rPr>
          <w:rFonts w:ascii="Arial" w:eastAsia="Calibri" w:hAnsi="Arial" w:cs="Arial"/>
          <w:color w:val="000000" w:themeColor="text1"/>
          <w:sz w:val="22"/>
          <w:szCs w:val="22"/>
        </w:rPr>
        <w:t>c</w:t>
      </w:r>
      <w:r w:rsidR="00134C9D">
        <w:rPr>
          <w:rFonts w:ascii="Arial" w:eastAsia="Calibri" w:hAnsi="Arial" w:cs="Arial"/>
          <w:color w:val="000000" w:themeColor="text1"/>
          <w:sz w:val="22"/>
          <w:szCs w:val="22"/>
        </w:rPr>
        <w:t>omités</w:t>
      </w:r>
      <w:r w:rsidR="00D33693">
        <w:rPr>
          <w:rFonts w:ascii="Arial" w:eastAsia="Calibri" w:hAnsi="Arial" w:cs="Arial"/>
          <w:color w:val="000000" w:themeColor="text1"/>
          <w:sz w:val="22"/>
          <w:szCs w:val="22"/>
        </w:rPr>
        <w:t xml:space="preserve"> de </w:t>
      </w:r>
      <w:r>
        <w:rPr>
          <w:rFonts w:ascii="Arial" w:eastAsia="Calibri" w:hAnsi="Arial" w:cs="Arial"/>
          <w:color w:val="000000" w:themeColor="text1"/>
          <w:sz w:val="22"/>
          <w:szCs w:val="22"/>
        </w:rPr>
        <w:t>c</w:t>
      </w:r>
      <w:r w:rsidR="00D33693">
        <w:rPr>
          <w:rFonts w:ascii="Arial" w:eastAsia="Calibri" w:hAnsi="Arial" w:cs="Arial"/>
          <w:color w:val="000000" w:themeColor="text1"/>
          <w:sz w:val="22"/>
          <w:szCs w:val="22"/>
        </w:rPr>
        <w:t>onciliación</w:t>
      </w:r>
      <w:r>
        <w:rPr>
          <w:rFonts w:ascii="Arial" w:eastAsia="Calibri" w:hAnsi="Arial" w:cs="Arial"/>
          <w:color w:val="000000" w:themeColor="text1"/>
          <w:sz w:val="22"/>
          <w:szCs w:val="22"/>
        </w:rPr>
        <w:t xml:space="preserve">, cuyo alcance se procede a precisar. </w:t>
      </w:r>
      <w:r w:rsidR="00D33693">
        <w:rPr>
          <w:rFonts w:ascii="Arial" w:eastAsia="Calibri" w:hAnsi="Arial" w:cs="Arial"/>
          <w:color w:val="000000" w:themeColor="text1"/>
          <w:sz w:val="22"/>
          <w:szCs w:val="22"/>
        </w:rPr>
        <w:t xml:space="preserve"> </w:t>
      </w:r>
    </w:p>
    <w:p w14:paraId="3EFF396A" w14:textId="2EA40E77" w:rsidR="00913186" w:rsidRDefault="00134C9D" w:rsidP="00CB5084">
      <w:pPr>
        <w:spacing w:before="120" w:line="276" w:lineRule="auto"/>
        <w:jc w:val="both"/>
        <w:rPr>
          <w:rFonts w:ascii="Arial" w:eastAsia="Calibri" w:hAnsi="Arial" w:cs="Arial"/>
          <w:color w:val="000000" w:themeColor="text1"/>
          <w:sz w:val="22"/>
          <w:szCs w:val="22"/>
        </w:rPr>
      </w:pPr>
      <w:r>
        <w:rPr>
          <w:rFonts w:ascii="Arial" w:eastAsia="Calibri" w:hAnsi="Arial" w:cs="Arial"/>
          <w:color w:val="000000" w:themeColor="text1"/>
          <w:sz w:val="22"/>
          <w:szCs w:val="22"/>
        </w:rPr>
        <w:tab/>
        <w:t xml:space="preserve">Lo primero que hay que decir sobre los </w:t>
      </w:r>
      <w:r w:rsidR="00913186">
        <w:rPr>
          <w:rFonts w:ascii="Arial" w:eastAsia="Calibri" w:hAnsi="Arial" w:cs="Arial"/>
          <w:color w:val="000000" w:themeColor="text1"/>
          <w:sz w:val="22"/>
          <w:szCs w:val="22"/>
        </w:rPr>
        <w:t>c</w:t>
      </w:r>
      <w:r>
        <w:rPr>
          <w:rFonts w:ascii="Arial" w:eastAsia="Calibri" w:hAnsi="Arial" w:cs="Arial"/>
          <w:color w:val="000000" w:themeColor="text1"/>
          <w:sz w:val="22"/>
          <w:szCs w:val="22"/>
        </w:rPr>
        <w:t xml:space="preserve">omités de </w:t>
      </w:r>
      <w:r w:rsidR="00913186">
        <w:rPr>
          <w:rFonts w:ascii="Arial" w:eastAsia="Calibri" w:hAnsi="Arial" w:cs="Arial"/>
          <w:color w:val="000000" w:themeColor="text1"/>
          <w:sz w:val="22"/>
          <w:szCs w:val="22"/>
        </w:rPr>
        <w:t>c</w:t>
      </w:r>
      <w:r>
        <w:rPr>
          <w:rFonts w:ascii="Arial" w:eastAsia="Calibri" w:hAnsi="Arial" w:cs="Arial"/>
          <w:color w:val="000000" w:themeColor="text1"/>
          <w:sz w:val="22"/>
          <w:szCs w:val="22"/>
        </w:rPr>
        <w:t>onciliación es que su funcionamiento</w:t>
      </w:r>
      <w:r w:rsidR="0088736C">
        <w:rPr>
          <w:rFonts w:ascii="Arial" w:eastAsia="Calibri" w:hAnsi="Arial" w:cs="Arial"/>
          <w:color w:val="000000" w:themeColor="text1"/>
          <w:sz w:val="22"/>
          <w:szCs w:val="22"/>
        </w:rPr>
        <w:t xml:space="preserve">, de conformidad con el artículo </w:t>
      </w:r>
      <w:r w:rsidR="0088736C" w:rsidRPr="0088736C">
        <w:rPr>
          <w:rFonts w:ascii="Arial" w:eastAsia="Calibri" w:hAnsi="Arial" w:cs="Arial"/>
          <w:color w:val="000000" w:themeColor="text1"/>
          <w:sz w:val="22"/>
          <w:szCs w:val="22"/>
        </w:rPr>
        <w:t>2.2.4.3.1.2.1</w:t>
      </w:r>
      <w:r w:rsidR="0088736C">
        <w:rPr>
          <w:rFonts w:ascii="Arial" w:eastAsia="Calibri" w:hAnsi="Arial" w:cs="Arial"/>
          <w:color w:val="000000" w:themeColor="text1"/>
          <w:sz w:val="22"/>
          <w:szCs w:val="22"/>
        </w:rPr>
        <w:t xml:space="preserve"> del Decreto 1069 de 2015,</w:t>
      </w:r>
      <w:r>
        <w:rPr>
          <w:rFonts w:ascii="Arial" w:eastAsia="Calibri" w:hAnsi="Arial" w:cs="Arial"/>
          <w:color w:val="000000" w:themeColor="text1"/>
          <w:sz w:val="22"/>
          <w:szCs w:val="22"/>
        </w:rPr>
        <w:t xml:space="preserve"> es obligatorio para «</w:t>
      </w:r>
      <w:r w:rsidR="00913186">
        <w:rPr>
          <w:rFonts w:ascii="Arial" w:eastAsia="Calibri" w:hAnsi="Arial" w:cs="Arial"/>
          <w:color w:val="000000" w:themeColor="text1"/>
          <w:sz w:val="22"/>
          <w:szCs w:val="22"/>
        </w:rPr>
        <w:t xml:space="preserve">[…] </w:t>
      </w:r>
      <w:r w:rsidRPr="00134C9D">
        <w:rPr>
          <w:rFonts w:ascii="Arial" w:hAnsi="Arial" w:cs="Arial"/>
          <w:sz w:val="22"/>
          <w:szCs w:val="22"/>
          <w:shd w:val="clear" w:color="auto" w:fill="FFFFFF"/>
        </w:rPr>
        <w:t>las entidades de derecho público, los organismos públicos del orden nacional, departamental, distrital, los municipios que sean capital de departamento y los entes descentralizados de estos mismos niveles</w:t>
      </w:r>
      <w:r>
        <w:rPr>
          <w:rFonts w:ascii="Arial" w:hAnsi="Arial" w:cs="Arial"/>
          <w:sz w:val="22"/>
          <w:szCs w:val="22"/>
          <w:shd w:val="clear" w:color="auto" w:fill="FFFFFF"/>
        </w:rPr>
        <w:t>»</w:t>
      </w:r>
      <w:r>
        <w:rPr>
          <w:rStyle w:val="Refdenotaalpie"/>
          <w:rFonts w:ascii="Arial" w:hAnsi="Arial" w:cs="Arial"/>
          <w:sz w:val="22"/>
          <w:szCs w:val="22"/>
          <w:shd w:val="clear" w:color="auto" w:fill="FFFFFF"/>
        </w:rPr>
        <w:footnoteReference w:id="21"/>
      </w:r>
      <w:r w:rsidR="001A4C48">
        <w:rPr>
          <w:rFonts w:ascii="Arial" w:hAnsi="Arial" w:cs="Arial"/>
          <w:sz w:val="22"/>
          <w:szCs w:val="22"/>
          <w:shd w:val="clear" w:color="auto" w:fill="FFFFFF"/>
        </w:rPr>
        <w:t xml:space="preserve">, siendo </w:t>
      </w:r>
      <w:r w:rsidR="00913186">
        <w:rPr>
          <w:rFonts w:ascii="Arial" w:hAnsi="Arial" w:cs="Arial"/>
          <w:sz w:val="22"/>
          <w:szCs w:val="22"/>
          <w:shd w:val="clear" w:color="auto" w:fill="FFFFFF"/>
        </w:rPr>
        <w:t xml:space="preserve">facultativa </w:t>
      </w:r>
      <w:r w:rsidR="001A4C48">
        <w:rPr>
          <w:rFonts w:ascii="Arial" w:hAnsi="Arial" w:cs="Arial"/>
          <w:sz w:val="22"/>
          <w:szCs w:val="22"/>
          <w:shd w:val="clear" w:color="auto" w:fill="FFFFFF"/>
        </w:rPr>
        <w:t xml:space="preserve">la implementación de los </w:t>
      </w:r>
      <w:r w:rsidR="00913186">
        <w:rPr>
          <w:rFonts w:ascii="Arial" w:hAnsi="Arial" w:cs="Arial"/>
          <w:sz w:val="22"/>
          <w:szCs w:val="22"/>
          <w:shd w:val="clear" w:color="auto" w:fill="FFFFFF"/>
        </w:rPr>
        <w:t>c</w:t>
      </w:r>
      <w:r w:rsidR="001A4C48">
        <w:rPr>
          <w:rFonts w:ascii="Arial" w:hAnsi="Arial" w:cs="Arial"/>
          <w:sz w:val="22"/>
          <w:szCs w:val="22"/>
          <w:shd w:val="clear" w:color="auto" w:fill="FFFFFF"/>
        </w:rPr>
        <w:t xml:space="preserve">omités de </w:t>
      </w:r>
      <w:r w:rsidR="00913186">
        <w:rPr>
          <w:rFonts w:ascii="Arial" w:hAnsi="Arial" w:cs="Arial"/>
          <w:sz w:val="22"/>
          <w:szCs w:val="22"/>
          <w:shd w:val="clear" w:color="auto" w:fill="FFFFFF"/>
        </w:rPr>
        <w:t>c</w:t>
      </w:r>
      <w:r w:rsidR="001A4C48">
        <w:rPr>
          <w:rFonts w:ascii="Arial" w:hAnsi="Arial" w:cs="Arial"/>
          <w:sz w:val="22"/>
          <w:szCs w:val="22"/>
          <w:shd w:val="clear" w:color="auto" w:fill="FFFFFF"/>
        </w:rPr>
        <w:t>onciliación para el resto de las entidades de derecho público no previstas en el artículo</w:t>
      </w:r>
      <w:r w:rsidRPr="00134C9D">
        <w:rPr>
          <w:rFonts w:ascii="Arial" w:hAnsi="Arial" w:cs="Arial"/>
          <w:sz w:val="22"/>
          <w:szCs w:val="22"/>
          <w:shd w:val="clear" w:color="auto" w:fill="FFFFFF"/>
        </w:rPr>
        <w:t>.</w:t>
      </w:r>
      <w:r w:rsidRPr="00134C9D">
        <w:rPr>
          <w:rFonts w:ascii="Arial" w:eastAsia="Calibri" w:hAnsi="Arial" w:cs="Arial"/>
          <w:sz w:val="22"/>
          <w:szCs w:val="22"/>
        </w:rPr>
        <w:t xml:space="preserve"> </w:t>
      </w:r>
    </w:p>
    <w:p w14:paraId="31636CA3" w14:textId="592902EC" w:rsidR="00CB5084" w:rsidRPr="00286CC7" w:rsidRDefault="00CB5084" w:rsidP="00CB5084">
      <w:pPr>
        <w:spacing w:before="120" w:line="276" w:lineRule="auto"/>
        <w:jc w:val="both"/>
        <w:rPr>
          <w:rFonts w:ascii="Arial" w:eastAsia="Calibri" w:hAnsi="Arial" w:cs="Arial"/>
          <w:color w:val="000000" w:themeColor="text1"/>
          <w:sz w:val="22"/>
          <w:szCs w:val="22"/>
        </w:rPr>
      </w:pPr>
      <w:r>
        <w:rPr>
          <w:rFonts w:ascii="Arial" w:eastAsia="Calibri" w:hAnsi="Arial" w:cs="Arial"/>
          <w:color w:val="000000" w:themeColor="text1"/>
          <w:sz w:val="22"/>
          <w:szCs w:val="22"/>
        </w:rPr>
        <w:lastRenderedPageBreak/>
        <w:tab/>
      </w:r>
      <w:bookmarkStart w:id="3" w:name="_Hlk66112193"/>
      <w:r w:rsidR="001A4C48">
        <w:rPr>
          <w:rFonts w:ascii="Arial" w:eastAsia="Calibri" w:hAnsi="Arial" w:cs="Arial"/>
          <w:color w:val="000000" w:themeColor="text1"/>
          <w:sz w:val="22"/>
          <w:szCs w:val="22"/>
        </w:rPr>
        <w:t>Por otro lado, t</w:t>
      </w:r>
      <w:r>
        <w:rPr>
          <w:rFonts w:ascii="Arial" w:eastAsia="Calibri" w:hAnsi="Arial" w:cs="Arial"/>
          <w:color w:val="000000" w:themeColor="text1"/>
          <w:sz w:val="22"/>
          <w:szCs w:val="22"/>
        </w:rPr>
        <w:t xml:space="preserve">al como lo establece el artículo </w:t>
      </w:r>
      <w:r w:rsidR="00544CE3" w:rsidRPr="00544CE3">
        <w:rPr>
          <w:rFonts w:ascii="Arial" w:eastAsia="Calibri" w:hAnsi="Arial" w:cs="Arial"/>
          <w:color w:val="000000" w:themeColor="text1"/>
          <w:sz w:val="22"/>
          <w:szCs w:val="22"/>
        </w:rPr>
        <w:t>2.2.4.3.1.2.2.</w:t>
      </w:r>
      <w:r>
        <w:rPr>
          <w:rFonts w:ascii="Arial" w:eastAsia="Calibri" w:hAnsi="Arial" w:cs="Arial"/>
          <w:color w:val="000000" w:themeColor="text1"/>
          <w:sz w:val="22"/>
          <w:szCs w:val="22"/>
        </w:rPr>
        <w:t xml:space="preserve"> del Decreto 1</w:t>
      </w:r>
      <w:r w:rsidR="00544CE3">
        <w:rPr>
          <w:rFonts w:ascii="Arial" w:eastAsia="Calibri" w:hAnsi="Arial" w:cs="Arial"/>
          <w:color w:val="000000" w:themeColor="text1"/>
          <w:sz w:val="22"/>
          <w:szCs w:val="22"/>
        </w:rPr>
        <w:t>069</w:t>
      </w:r>
      <w:r>
        <w:rPr>
          <w:rFonts w:ascii="Arial" w:eastAsia="Calibri" w:hAnsi="Arial" w:cs="Arial"/>
          <w:color w:val="000000" w:themeColor="text1"/>
          <w:sz w:val="22"/>
          <w:szCs w:val="22"/>
        </w:rPr>
        <w:t xml:space="preserve"> de 20</w:t>
      </w:r>
      <w:r w:rsidR="00544CE3">
        <w:rPr>
          <w:rFonts w:ascii="Arial" w:eastAsia="Calibri" w:hAnsi="Arial" w:cs="Arial"/>
          <w:color w:val="000000" w:themeColor="text1"/>
          <w:sz w:val="22"/>
          <w:szCs w:val="22"/>
        </w:rPr>
        <w:t>15</w:t>
      </w:r>
      <w:r>
        <w:rPr>
          <w:rFonts w:ascii="Arial" w:eastAsia="Calibri" w:hAnsi="Arial" w:cs="Arial"/>
          <w:color w:val="000000" w:themeColor="text1"/>
          <w:sz w:val="22"/>
          <w:szCs w:val="22"/>
        </w:rPr>
        <w:t>, e</w:t>
      </w:r>
      <w:r w:rsidRPr="00CB5084">
        <w:rPr>
          <w:rFonts w:ascii="Arial" w:eastAsia="Calibri" w:hAnsi="Arial" w:cs="Arial"/>
          <w:color w:val="000000" w:themeColor="text1"/>
          <w:sz w:val="22"/>
          <w:szCs w:val="22"/>
        </w:rPr>
        <w:t xml:space="preserve">l </w:t>
      </w:r>
      <w:r w:rsidR="0088736C">
        <w:rPr>
          <w:rFonts w:ascii="Arial" w:eastAsia="Calibri" w:hAnsi="Arial" w:cs="Arial"/>
          <w:color w:val="000000" w:themeColor="text1"/>
          <w:sz w:val="22"/>
          <w:szCs w:val="22"/>
        </w:rPr>
        <w:t>c</w:t>
      </w:r>
      <w:r w:rsidRPr="00CB5084">
        <w:rPr>
          <w:rFonts w:ascii="Arial" w:eastAsia="Calibri" w:hAnsi="Arial" w:cs="Arial"/>
          <w:color w:val="000000" w:themeColor="text1"/>
          <w:sz w:val="22"/>
          <w:szCs w:val="22"/>
        </w:rPr>
        <w:t xml:space="preserve">omité de </w:t>
      </w:r>
      <w:r w:rsidR="0088736C">
        <w:rPr>
          <w:rFonts w:ascii="Arial" w:eastAsia="Calibri" w:hAnsi="Arial" w:cs="Arial"/>
          <w:color w:val="000000" w:themeColor="text1"/>
          <w:sz w:val="22"/>
          <w:szCs w:val="22"/>
        </w:rPr>
        <w:t>c</w:t>
      </w:r>
      <w:r w:rsidRPr="00CB5084">
        <w:rPr>
          <w:rFonts w:ascii="Arial" w:eastAsia="Calibri" w:hAnsi="Arial" w:cs="Arial"/>
          <w:color w:val="000000" w:themeColor="text1"/>
          <w:sz w:val="22"/>
          <w:szCs w:val="22"/>
        </w:rPr>
        <w:t xml:space="preserve">onciliación </w:t>
      </w:r>
      <w:r>
        <w:rPr>
          <w:rFonts w:ascii="Arial" w:hAnsi="Arial" w:cs="Arial"/>
          <w:sz w:val="19"/>
          <w:szCs w:val="19"/>
        </w:rPr>
        <w:t>«</w:t>
      </w:r>
      <w:r w:rsidR="00286CC7">
        <w:rPr>
          <w:rFonts w:ascii="Arial" w:hAnsi="Arial" w:cs="Arial"/>
          <w:sz w:val="19"/>
          <w:szCs w:val="19"/>
        </w:rPr>
        <w:t xml:space="preserve">[…] </w:t>
      </w:r>
      <w:r w:rsidRPr="00CB5084">
        <w:rPr>
          <w:rFonts w:ascii="Arial" w:eastAsia="Calibri" w:hAnsi="Arial" w:cs="Arial"/>
          <w:color w:val="000000" w:themeColor="text1"/>
          <w:sz w:val="22"/>
          <w:szCs w:val="22"/>
        </w:rPr>
        <w:t>es una instancia administrativa que actúa como sede de estudio, análisis y formulación de políticas sobre prevención del daño antijurídico y defensa de los intereses de la entidad</w:t>
      </w:r>
      <w:r>
        <w:rPr>
          <w:rFonts w:ascii="Arial" w:eastAsia="Calibri" w:hAnsi="Arial" w:cs="Arial"/>
          <w:color w:val="000000" w:themeColor="text1"/>
          <w:sz w:val="22"/>
          <w:szCs w:val="22"/>
        </w:rPr>
        <w:t>».</w:t>
      </w:r>
      <w:r w:rsidR="00286CC7">
        <w:rPr>
          <w:rFonts w:ascii="Arial" w:eastAsia="Calibri" w:hAnsi="Arial" w:cs="Arial"/>
          <w:color w:val="000000" w:themeColor="text1"/>
          <w:sz w:val="22"/>
          <w:szCs w:val="22"/>
        </w:rPr>
        <w:t xml:space="preserve"> Igualmente, el inciso segundo establece que el </w:t>
      </w:r>
      <w:r w:rsidR="0088736C">
        <w:rPr>
          <w:rFonts w:ascii="Arial" w:eastAsia="Calibri" w:hAnsi="Arial" w:cs="Arial"/>
          <w:color w:val="000000" w:themeColor="text1"/>
          <w:sz w:val="22"/>
          <w:szCs w:val="22"/>
        </w:rPr>
        <w:t>c</w:t>
      </w:r>
      <w:r w:rsidR="00286CC7">
        <w:rPr>
          <w:rFonts w:ascii="Arial" w:eastAsia="Calibri" w:hAnsi="Arial" w:cs="Arial"/>
          <w:color w:val="000000" w:themeColor="text1"/>
          <w:sz w:val="22"/>
          <w:szCs w:val="22"/>
        </w:rPr>
        <w:t xml:space="preserve">omité decidirá «[…] sobre la procedencia de la conciliación o cualquier otro medio alternativo de solución de conflictos, con sujeción estricta a las normas </w:t>
      </w:r>
      <w:r w:rsidR="00286CC7" w:rsidRPr="00CB5084">
        <w:rPr>
          <w:rFonts w:ascii="Arial" w:eastAsia="Calibri" w:hAnsi="Arial" w:cs="Arial"/>
          <w:color w:val="000000" w:themeColor="text1"/>
          <w:sz w:val="22"/>
          <w:szCs w:val="22"/>
        </w:rPr>
        <w:t>jurídicas sustantivas, procedimentales y de control vigentes, evitando lesionar el patrimonio público</w:t>
      </w:r>
      <w:r w:rsidR="00286CC7">
        <w:rPr>
          <w:rFonts w:ascii="Arial" w:eastAsia="Calibri" w:hAnsi="Arial" w:cs="Arial"/>
          <w:color w:val="000000" w:themeColor="text1"/>
          <w:sz w:val="22"/>
          <w:szCs w:val="22"/>
        </w:rPr>
        <w:t>».</w:t>
      </w:r>
    </w:p>
    <w:p w14:paraId="335F2AEC" w14:textId="41338BCE" w:rsidR="001A4C48" w:rsidRDefault="00286CC7" w:rsidP="00447EF7">
      <w:pPr>
        <w:spacing w:before="120" w:line="276" w:lineRule="auto"/>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rPr>
        <w:tab/>
        <w:t xml:space="preserve">Respecto a esto último, nótese que el artículo </w:t>
      </w:r>
      <w:r w:rsidR="00544CE3">
        <w:rPr>
          <w:rFonts w:ascii="Arial" w:eastAsia="Calibri" w:hAnsi="Arial" w:cs="Arial"/>
          <w:color w:val="000000" w:themeColor="text1"/>
          <w:sz w:val="22"/>
          <w:szCs w:val="22"/>
        </w:rPr>
        <w:t>2.2.4.3.1.2.2.</w:t>
      </w:r>
      <w:r>
        <w:rPr>
          <w:rFonts w:ascii="Arial" w:eastAsia="Calibri" w:hAnsi="Arial" w:cs="Arial"/>
          <w:color w:val="000000" w:themeColor="text1"/>
          <w:sz w:val="22"/>
          <w:szCs w:val="22"/>
        </w:rPr>
        <w:t xml:space="preserve"> del decreto</w:t>
      </w:r>
      <w:r w:rsidR="001A4C48">
        <w:rPr>
          <w:rFonts w:ascii="Arial" w:eastAsia="Calibri" w:hAnsi="Arial" w:cs="Arial"/>
          <w:color w:val="000000" w:themeColor="text1"/>
          <w:sz w:val="22"/>
          <w:szCs w:val="22"/>
        </w:rPr>
        <w:t xml:space="preserve"> mencionado</w:t>
      </w:r>
      <w:r w:rsidR="00544CE3">
        <w:rPr>
          <w:rFonts w:ascii="Arial" w:eastAsia="Calibri" w:hAnsi="Arial" w:cs="Arial"/>
          <w:color w:val="000000" w:themeColor="text1"/>
          <w:sz w:val="22"/>
          <w:szCs w:val="22"/>
        </w:rPr>
        <w:t>,</w:t>
      </w:r>
      <w:r>
        <w:rPr>
          <w:rFonts w:ascii="Arial" w:eastAsia="Calibri" w:hAnsi="Arial" w:cs="Arial"/>
          <w:color w:val="000000" w:themeColor="text1"/>
          <w:sz w:val="22"/>
          <w:szCs w:val="22"/>
        </w:rPr>
        <w:t xml:space="preserve"> no se limita a restringir la competencia del </w:t>
      </w:r>
      <w:r w:rsidR="0088736C">
        <w:rPr>
          <w:rFonts w:ascii="Arial" w:eastAsia="Calibri" w:hAnsi="Arial" w:cs="Arial"/>
          <w:color w:val="000000" w:themeColor="text1"/>
          <w:sz w:val="22"/>
          <w:szCs w:val="22"/>
        </w:rPr>
        <w:t>c</w:t>
      </w:r>
      <w:r>
        <w:rPr>
          <w:rFonts w:ascii="Arial" w:eastAsia="Calibri" w:hAnsi="Arial" w:cs="Arial"/>
          <w:color w:val="000000" w:themeColor="text1"/>
          <w:sz w:val="22"/>
          <w:szCs w:val="22"/>
        </w:rPr>
        <w:t>omité</w:t>
      </w:r>
      <w:r w:rsidR="00134C9D">
        <w:rPr>
          <w:rFonts w:ascii="Arial" w:eastAsia="Calibri" w:hAnsi="Arial" w:cs="Arial"/>
          <w:color w:val="000000" w:themeColor="text1"/>
          <w:sz w:val="22"/>
          <w:szCs w:val="22"/>
        </w:rPr>
        <w:t xml:space="preserve"> para decidir sobre la procedencia de la conciliación, sino que </w:t>
      </w:r>
      <w:r w:rsidR="00F611A7">
        <w:rPr>
          <w:rFonts w:ascii="Arial" w:eastAsia="Calibri" w:hAnsi="Arial" w:cs="Arial"/>
          <w:color w:val="000000" w:themeColor="text1"/>
          <w:sz w:val="22"/>
          <w:szCs w:val="22"/>
        </w:rPr>
        <w:t>extiende</w:t>
      </w:r>
      <w:r w:rsidR="00134C9D">
        <w:rPr>
          <w:rFonts w:ascii="Arial" w:eastAsia="Calibri" w:hAnsi="Arial" w:cs="Arial"/>
          <w:color w:val="000000" w:themeColor="text1"/>
          <w:sz w:val="22"/>
          <w:szCs w:val="22"/>
        </w:rPr>
        <w:t xml:space="preserve"> sus decisiones </w:t>
      </w:r>
      <w:r w:rsidR="00F611A7">
        <w:rPr>
          <w:rFonts w:ascii="Arial" w:eastAsia="Calibri" w:hAnsi="Arial" w:cs="Arial"/>
          <w:color w:val="000000" w:themeColor="text1"/>
          <w:sz w:val="22"/>
          <w:szCs w:val="22"/>
        </w:rPr>
        <w:t>a</w:t>
      </w:r>
      <w:r w:rsidR="00134C9D">
        <w:rPr>
          <w:rFonts w:ascii="Arial" w:eastAsia="Calibri" w:hAnsi="Arial" w:cs="Arial"/>
          <w:color w:val="000000" w:themeColor="text1"/>
          <w:sz w:val="22"/>
          <w:szCs w:val="22"/>
        </w:rPr>
        <w:t xml:space="preserve"> cualquier medio alternativo de solución de conflictos. </w:t>
      </w:r>
      <w:r w:rsidR="0088736C">
        <w:rPr>
          <w:rFonts w:ascii="Arial" w:eastAsia="Calibri" w:hAnsi="Arial" w:cs="Arial"/>
          <w:color w:val="000000" w:themeColor="text1"/>
          <w:sz w:val="22"/>
          <w:szCs w:val="22"/>
        </w:rPr>
        <w:t xml:space="preserve">Conforme se estableció </w:t>
      </w:r>
      <w:r w:rsidR="0088736C" w:rsidRPr="002B6DB6">
        <w:rPr>
          <w:rFonts w:ascii="Arial" w:eastAsia="Calibri" w:hAnsi="Arial" w:cs="Arial"/>
          <w:i/>
          <w:iCs/>
          <w:color w:val="000000" w:themeColor="text1"/>
          <w:sz w:val="22"/>
          <w:szCs w:val="22"/>
        </w:rPr>
        <w:t>ut supra</w:t>
      </w:r>
      <w:r w:rsidR="0088736C">
        <w:rPr>
          <w:rFonts w:ascii="Arial" w:eastAsia="Calibri" w:hAnsi="Arial" w:cs="Arial"/>
          <w:i/>
          <w:iCs/>
          <w:color w:val="000000" w:themeColor="text1"/>
          <w:sz w:val="22"/>
          <w:szCs w:val="22"/>
        </w:rPr>
        <w:t>,</w:t>
      </w:r>
      <w:r w:rsidR="00134C9D">
        <w:rPr>
          <w:rFonts w:ascii="Arial" w:eastAsia="Calibri" w:hAnsi="Arial" w:cs="Arial"/>
          <w:color w:val="000000" w:themeColor="text1"/>
          <w:sz w:val="22"/>
          <w:szCs w:val="22"/>
        </w:rPr>
        <w:t xml:space="preserve"> la transacción es </w:t>
      </w:r>
      <w:r w:rsidR="00134C9D" w:rsidRPr="000E0D71">
        <w:rPr>
          <w:rFonts w:ascii="Arial" w:eastAsia="Calibri" w:hAnsi="Arial" w:cs="Arial"/>
          <w:color w:val="000000" w:themeColor="text1"/>
          <w:sz w:val="22"/>
          <w:szCs w:val="22"/>
          <w:lang w:val="es-ES_tradnl"/>
        </w:rPr>
        <w:t xml:space="preserve">un mecanismo alternativo de resolución de conflictos de carácter </w:t>
      </w:r>
      <w:proofErr w:type="spellStart"/>
      <w:r w:rsidR="00134C9D" w:rsidRPr="000E0D71">
        <w:rPr>
          <w:rFonts w:ascii="Arial" w:eastAsia="Calibri" w:hAnsi="Arial" w:cs="Arial"/>
          <w:i/>
          <w:iCs/>
          <w:color w:val="000000" w:themeColor="text1"/>
          <w:sz w:val="22"/>
          <w:szCs w:val="22"/>
          <w:lang w:val="es-ES_tradnl"/>
        </w:rPr>
        <w:t>autocompositivo</w:t>
      </w:r>
      <w:proofErr w:type="spellEnd"/>
      <w:r w:rsidR="00134C9D">
        <w:rPr>
          <w:rFonts w:ascii="Arial" w:eastAsia="Calibri" w:hAnsi="Arial" w:cs="Arial"/>
          <w:color w:val="000000" w:themeColor="text1"/>
          <w:sz w:val="22"/>
          <w:szCs w:val="22"/>
          <w:lang w:val="es-ES_tradnl"/>
        </w:rPr>
        <w:t xml:space="preserve">, </w:t>
      </w:r>
      <w:r w:rsidR="0088736C">
        <w:rPr>
          <w:rFonts w:ascii="Arial" w:eastAsia="Calibri" w:hAnsi="Arial" w:cs="Arial"/>
          <w:color w:val="000000" w:themeColor="text1"/>
          <w:sz w:val="22"/>
          <w:szCs w:val="22"/>
          <w:lang w:val="es-ES_tradnl"/>
        </w:rPr>
        <w:t xml:space="preserve">por lo </w:t>
      </w:r>
      <w:r w:rsidR="00134C9D">
        <w:rPr>
          <w:rFonts w:ascii="Arial" w:eastAsia="Calibri" w:hAnsi="Arial" w:cs="Arial"/>
          <w:color w:val="000000" w:themeColor="text1"/>
          <w:sz w:val="22"/>
          <w:szCs w:val="22"/>
          <w:lang w:val="es-ES_tradnl"/>
        </w:rPr>
        <w:t xml:space="preserve">que </w:t>
      </w:r>
      <w:r w:rsidR="0088736C">
        <w:rPr>
          <w:rFonts w:ascii="Arial" w:eastAsia="Calibri" w:hAnsi="Arial" w:cs="Arial"/>
          <w:color w:val="000000" w:themeColor="text1"/>
          <w:sz w:val="22"/>
          <w:szCs w:val="22"/>
          <w:lang w:val="es-ES_tradnl"/>
        </w:rPr>
        <w:t>su</w:t>
      </w:r>
      <w:r w:rsidR="00134C9D">
        <w:rPr>
          <w:rFonts w:ascii="Arial" w:eastAsia="Calibri" w:hAnsi="Arial" w:cs="Arial"/>
          <w:color w:val="000000" w:themeColor="text1"/>
          <w:sz w:val="22"/>
          <w:szCs w:val="22"/>
          <w:lang w:val="es-ES_tradnl"/>
        </w:rPr>
        <w:t xml:space="preserve"> procedencia debe ser </w:t>
      </w:r>
      <w:r w:rsidR="0088736C">
        <w:rPr>
          <w:rFonts w:ascii="Arial" w:eastAsia="Calibri" w:hAnsi="Arial" w:cs="Arial"/>
          <w:color w:val="000000" w:themeColor="text1"/>
          <w:sz w:val="22"/>
          <w:szCs w:val="22"/>
          <w:lang w:val="es-ES_tradnl"/>
        </w:rPr>
        <w:t>determinada</w:t>
      </w:r>
      <w:r w:rsidR="00134C9D">
        <w:rPr>
          <w:rFonts w:ascii="Arial" w:eastAsia="Calibri" w:hAnsi="Arial" w:cs="Arial"/>
          <w:color w:val="000000" w:themeColor="text1"/>
          <w:sz w:val="22"/>
          <w:szCs w:val="22"/>
          <w:lang w:val="es-ES_tradnl"/>
        </w:rPr>
        <w:t xml:space="preserve"> por el </w:t>
      </w:r>
      <w:r w:rsidR="0088736C">
        <w:rPr>
          <w:rFonts w:ascii="Arial" w:eastAsia="Calibri" w:hAnsi="Arial" w:cs="Arial"/>
          <w:color w:val="000000" w:themeColor="text1"/>
          <w:sz w:val="22"/>
          <w:szCs w:val="22"/>
          <w:lang w:val="es-ES_tradnl"/>
        </w:rPr>
        <w:t>c</w:t>
      </w:r>
      <w:r w:rsidR="00134C9D">
        <w:rPr>
          <w:rFonts w:ascii="Arial" w:eastAsia="Calibri" w:hAnsi="Arial" w:cs="Arial"/>
          <w:color w:val="000000" w:themeColor="text1"/>
          <w:sz w:val="22"/>
          <w:szCs w:val="22"/>
          <w:lang w:val="es-ES_tradnl"/>
        </w:rPr>
        <w:t xml:space="preserve">omité de </w:t>
      </w:r>
      <w:r w:rsidR="0088736C">
        <w:rPr>
          <w:rFonts w:ascii="Arial" w:eastAsia="Calibri" w:hAnsi="Arial" w:cs="Arial"/>
          <w:color w:val="000000" w:themeColor="text1"/>
          <w:sz w:val="22"/>
          <w:szCs w:val="22"/>
          <w:lang w:val="es-ES_tradnl"/>
        </w:rPr>
        <w:t xml:space="preserve">conciliación, en virtud de la competencia atribuida a dicho comité por el artículo </w:t>
      </w:r>
      <w:r w:rsidR="0088736C">
        <w:rPr>
          <w:rFonts w:ascii="Arial" w:eastAsia="Calibri" w:hAnsi="Arial" w:cs="Arial"/>
          <w:color w:val="000000" w:themeColor="text1"/>
          <w:sz w:val="22"/>
          <w:szCs w:val="22"/>
        </w:rPr>
        <w:t xml:space="preserve">2.2.4.3.1.2.2. </w:t>
      </w:r>
      <w:r w:rsidR="0088736C" w:rsidRPr="002B6DB6">
        <w:rPr>
          <w:rFonts w:ascii="Arial" w:eastAsia="Calibri" w:hAnsi="Arial" w:cs="Arial"/>
          <w:i/>
          <w:iCs/>
          <w:color w:val="000000" w:themeColor="text1"/>
          <w:sz w:val="22"/>
          <w:szCs w:val="22"/>
        </w:rPr>
        <w:t>Ib</w:t>
      </w:r>
      <w:r w:rsidR="0088736C">
        <w:rPr>
          <w:rFonts w:ascii="Arial" w:eastAsia="Calibri" w:hAnsi="Arial" w:cs="Arial"/>
          <w:i/>
          <w:iCs/>
          <w:color w:val="000000" w:themeColor="text1"/>
          <w:sz w:val="22"/>
          <w:szCs w:val="22"/>
        </w:rPr>
        <w:t>í</w:t>
      </w:r>
      <w:r w:rsidR="0088736C" w:rsidRPr="002B6DB6">
        <w:rPr>
          <w:rFonts w:ascii="Arial" w:eastAsia="Calibri" w:hAnsi="Arial" w:cs="Arial"/>
          <w:i/>
          <w:iCs/>
          <w:color w:val="000000" w:themeColor="text1"/>
          <w:sz w:val="22"/>
          <w:szCs w:val="22"/>
        </w:rPr>
        <w:t>dem</w:t>
      </w:r>
      <w:r w:rsidR="0088736C">
        <w:rPr>
          <w:rFonts w:ascii="Arial" w:eastAsia="Calibri" w:hAnsi="Arial" w:cs="Arial"/>
          <w:color w:val="000000" w:themeColor="text1"/>
          <w:sz w:val="22"/>
          <w:szCs w:val="22"/>
        </w:rPr>
        <w:t>.</w:t>
      </w:r>
    </w:p>
    <w:bookmarkEnd w:id="3"/>
    <w:p w14:paraId="0D5D3BA1" w14:textId="13DC395B" w:rsidR="00544CE3" w:rsidRDefault="00544CE3" w:rsidP="00141918">
      <w:pPr>
        <w:spacing w:before="120" w:line="276" w:lineRule="auto"/>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ab/>
        <w:t xml:space="preserve">En relación con lo anterior, la Agencia Nacional </w:t>
      </w:r>
      <w:r w:rsidRPr="00544CE3">
        <w:rPr>
          <w:rFonts w:ascii="Arial" w:eastAsia="Calibri" w:hAnsi="Arial" w:cs="Arial"/>
          <w:color w:val="000000" w:themeColor="text1"/>
          <w:sz w:val="22"/>
          <w:szCs w:val="22"/>
          <w:lang w:val="es-ES_tradnl"/>
        </w:rPr>
        <w:t>de Defensa Jurídica del Estado</w:t>
      </w:r>
      <w:r w:rsidR="00C51284">
        <w:rPr>
          <w:rFonts w:ascii="Arial" w:eastAsia="Calibri" w:hAnsi="Arial" w:cs="Arial"/>
          <w:color w:val="000000" w:themeColor="text1"/>
          <w:sz w:val="22"/>
          <w:szCs w:val="22"/>
          <w:lang w:val="es-ES_tradnl"/>
        </w:rPr>
        <w:t xml:space="preserve"> en</w:t>
      </w:r>
      <w:r>
        <w:rPr>
          <w:rFonts w:ascii="Arial" w:eastAsia="Calibri" w:hAnsi="Arial" w:cs="Arial"/>
          <w:color w:val="000000" w:themeColor="text1"/>
          <w:sz w:val="22"/>
          <w:szCs w:val="22"/>
          <w:lang w:val="es-ES_tradnl"/>
        </w:rPr>
        <w:t xml:space="preserve"> el </w:t>
      </w:r>
      <w:r w:rsidRPr="002B6DB6">
        <w:rPr>
          <w:rFonts w:ascii="Arial" w:eastAsia="Calibri" w:hAnsi="Arial" w:cs="Arial"/>
          <w:i/>
          <w:iCs/>
          <w:color w:val="000000" w:themeColor="text1"/>
          <w:sz w:val="22"/>
          <w:szCs w:val="22"/>
          <w:lang w:val="es-ES_tradnl"/>
        </w:rPr>
        <w:t>Protocolo para la Gestión de los Comités de Conciliación</w:t>
      </w:r>
      <w:r w:rsidR="0088736C">
        <w:rPr>
          <w:rFonts w:ascii="Arial" w:eastAsia="Calibri" w:hAnsi="Arial" w:cs="Arial"/>
          <w:color w:val="000000" w:themeColor="text1"/>
          <w:sz w:val="22"/>
          <w:szCs w:val="22"/>
          <w:lang w:val="es-ES_tradnl"/>
        </w:rPr>
        <w:t>,</w:t>
      </w:r>
      <w:r>
        <w:rPr>
          <w:rFonts w:ascii="Arial" w:eastAsia="Calibri" w:hAnsi="Arial" w:cs="Arial"/>
          <w:color w:val="000000" w:themeColor="text1"/>
          <w:sz w:val="22"/>
          <w:szCs w:val="22"/>
          <w:lang w:val="es-ES_tradnl"/>
        </w:rPr>
        <w:t xml:space="preserve"> </w:t>
      </w:r>
      <w:r w:rsidRPr="00544CE3">
        <w:rPr>
          <w:rFonts w:ascii="Arial" w:eastAsia="Calibri" w:hAnsi="Arial" w:cs="Arial"/>
          <w:color w:val="000000" w:themeColor="text1"/>
          <w:sz w:val="22"/>
          <w:szCs w:val="22"/>
          <w:lang w:val="es-ES_tradnl"/>
        </w:rPr>
        <w:t>trata aspectos relevantes</w:t>
      </w:r>
      <w:r w:rsidR="0088736C">
        <w:rPr>
          <w:rFonts w:ascii="Arial" w:eastAsia="Calibri" w:hAnsi="Arial" w:cs="Arial"/>
          <w:color w:val="000000" w:themeColor="text1"/>
          <w:sz w:val="22"/>
          <w:szCs w:val="22"/>
          <w:lang w:val="es-ES_tradnl"/>
        </w:rPr>
        <w:t xml:space="preserve"> sobre los</w:t>
      </w:r>
      <w:r w:rsidRPr="00544CE3">
        <w:rPr>
          <w:rFonts w:ascii="Arial" w:eastAsia="Calibri" w:hAnsi="Arial" w:cs="Arial"/>
          <w:color w:val="000000" w:themeColor="text1"/>
          <w:sz w:val="22"/>
          <w:szCs w:val="22"/>
          <w:lang w:val="es-ES_tradnl"/>
        </w:rPr>
        <w:t xml:space="preserve"> </w:t>
      </w:r>
      <w:r w:rsidR="0088736C">
        <w:rPr>
          <w:rFonts w:ascii="Arial" w:eastAsia="Calibri" w:hAnsi="Arial" w:cs="Arial"/>
          <w:color w:val="000000" w:themeColor="text1"/>
          <w:sz w:val="22"/>
          <w:szCs w:val="22"/>
          <w:lang w:val="es-ES_tradnl"/>
        </w:rPr>
        <w:t>c</w:t>
      </w:r>
      <w:r w:rsidRPr="00544CE3">
        <w:rPr>
          <w:rFonts w:ascii="Arial" w:eastAsia="Calibri" w:hAnsi="Arial" w:cs="Arial"/>
          <w:color w:val="000000" w:themeColor="text1"/>
          <w:sz w:val="22"/>
          <w:szCs w:val="22"/>
          <w:lang w:val="es-ES_tradnl"/>
        </w:rPr>
        <w:t>omité</w:t>
      </w:r>
      <w:r w:rsidR="0088736C">
        <w:rPr>
          <w:rFonts w:ascii="Arial" w:eastAsia="Calibri" w:hAnsi="Arial" w:cs="Arial"/>
          <w:color w:val="000000" w:themeColor="text1"/>
          <w:sz w:val="22"/>
          <w:szCs w:val="22"/>
          <w:lang w:val="es-ES_tradnl"/>
        </w:rPr>
        <w:t>s</w:t>
      </w:r>
      <w:r w:rsidRPr="00544CE3">
        <w:rPr>
          <w:rFonts w:ascii="Arial" w:eastAsia="Calibri" w:hAnsi="Arial" w:cs="Arial"/>
          <w:color w:val="000000" w:themeColor="text1"/>
          <w:sz w:val="22"/>
          <w:szCs w:val="22"/>
          <w:lang w:val="es-ES_tradnl"/>
        </w:rPr>
        <w:t xml:space="preserve"> de</w:t>
      </w:r>
      <w:r>
        <w:rPr>
          <w:rFonts w:ascii="Arial" w:eastAsia="Calibri" w:hAnsi="Arial" w:cs="Arial"/>
          <w:color w:val="000000" w:themeColor="text1"/>
          <w:sz w:val="22"/>
          <w:szCs w:val="22"/>
          <w:lang w:val="es-ES_tradnl"/>
        </w:rPr>
        <w:t xml:space="preserve"> </w:t>
      </w:r>
      <w:r w:rsidR="0088736C">
        <w:rPr>
          <w:rFonts w:ascii="Arial" w:eastAsia="Calibri" w:hAnsi="Arial" w:cs="Arial"/>
          <w:color w:val="000000" w:themeColor="text1"/>
          <w:sz w:val="22"/>
          <w:szCs w:val="22"/>
          <w:lang w:val="es-ES_tradnl"/>
        </w:rPr>
        <w:t>c</w:t>
      </w:r>
      <w:r w:rsidRPr="00544CE3">
        <w:rPr>
          <w:rFonts w:ascii="Arial" w:eastAsia="Calibri" w:hAnsi="Arial" w:cs="Arial"/>
          <w:color w:val="000000" w:themeColor="text1"/>
          <w:sz w:val="22"/>
          <w:szCs w:val="22"/>
          <w:lang w:val="es-ES_tradnl"/>
        </w:rPr>
        <w:t xml:space="preserve">onciliación como </w:t>
      </w:r>
      <w:r>
        <w:rPr>
          <w:rFonts w:ascii="Arial" w:eastAsia="Calibri" w:hAnsi="Arial" w:cs="Arial"/>
          <w:color w:val="000000" w:themeColor="text1"/>
          <w:sz w:val="22"/>
          <w:szCs w:val="22"/>
          <w:lang w:val="es-ES_tradnl"/>
        </w:rPr>
        <w:t>lo son</w:t>
      </w:r>
      <w:r w:rsidR="00141918">
        <w:rPr>
          <w:rFonts w:ascii="Arial" w:eastAsia="Calibri" w:hAnsi="Arial" w:cs="Arial"/>
          <w:color w:val="000000" w:themeColor="text1"/>
          <w:sz w:val="22"/>
          <w:szCs w:val="22"/>
          <w:lang w:val="es-ES_tradnl"/>
        </w:rPr>
        <w:t>,</w:t>
      </w:r>
      <w:r>
        <w:rPr>
          <w:rFonts w:ascii="Arial" w:eastAsia="Calibri" w:hAnsi="Arial" w:cs="Arial"/>
          <w:color w:val="000000" w:themeColor="text1"/>
          <w:sz w:val="22"/>
          <w:szCs w:val="22"/>
          <w:lang w:val="es-ES_tradnl"/>
        </w:rPr>
        <w:t xml:space="preserve"> entre otros,</w:t>
      </w:r>
      <w:r w:rsidR="00141918">
        <w:rPr>
          <w:rFonts w:ascii="Arial" w:eastAsia="Calibri" w:hAnsi="Arial" w:cs="Arial"/>
          <w:color w:val="000000" w:themeColor="text1"/>
          <w:sz w:val="22"/>
          <w:szCs w:val="22"/>
          <w:lang w:val="es-ES_tradnl"/>
        </w:rPr>
        <w:t xml:space="preserve"> su funcionamiento en materia de conciliación y </w:t>
      </w:r>
      <w:r w:rsidR="00141918" w:rsidRPr="00141918">
        <w:rPr>
          <w:rFonts w:ascii="Arial" w:eastAsia="Calibri" w:hAnsi="Arial" w:cs="Arial"/>
          <w:color w:val="000000" w:themeColor="text1"/>
          <w:sz w:val="22"/>
          <w:szCs w:val="22"/>
          <w:lang w:val="es-ES_tradnl"/>
        </w:rPr>
        <w:t>mecanismos alternativos de solución de</w:t>
      </w:r>
      <w:r w:rsidR="00141918">
        <w:rPr>
          <w:rFonts w:ascii="Arial" w:eastAsia="Calibri" w:hAnsi="Arial" w:cs="Arial"/>
          <w:color w:val="000000" w:themeColor="text1"/>
          <w:sz w:val="22"/>
          <w:szCs w:val="22"/>
          <w:lang w:val="es-ES_tradnl"/>
        </w:rPr>
        <w:t xml:space="preserve"> </w:t>
      </w:r>
      <w:r w:rsidR="00141918" w:rsidRPr="00141918">
        <w:rPr>
          <w:rFonts w:ascii="Arial" w:eastAsia="Calibri" w:hAnsi="Arial" w:cs="Arial"/>
          <w:color w:val="000000" w:themeColor="text1"/>
          <w:sz w:val="22"/>
          <w:szCs w:val="22"/>
          <w:lang w:val="es-ES_tradnl"/>
        </w:rPr>
        <w:t>conflictos</w:t>
      </w:r>
      <w:r w:rsidR="0088736C">
        <w:rPr>
          <w:rFonts w:ascii="Arial" w:eastAsia="Calibri" w:hAnsi="Arial" w:cs="Arial"/>
          <w:color w:val="000000" w:themeColor="text1"/>
          <w:sz w:val="22"/>
          <w:szCs w:val="22"/>
          <w:lang w:val="es-ES_tradnl"/>
        </w:rPr>
        <w:t>. En dicho documento, se</w:t>
      </w:r>
      <w:r w:rsidR="004B07E6">
        <w:rPr>
          <w:rFonts w:ascii="Arial" w:eastAsia="Calibri" w:hAnsi="Arial" w:cs="Arial"/>
          <w:color w:val="000000" w:themeColor="text1"/>
          <w:sz w:val="22"/>
          <w:szCs w:val="22"/>
          <w:lang w:val="es-ES_tradnl"/>
        </w:rPr>
        <w:t xml:space="preserve"> </w:t>
      </w:r>
      <w:r w:rsidR="00141918">
        <w:rPr>
          <w:rFonts w:ascii="Arial" w:eastAsia="Calibri" w:hAnsi="Arial" w:cs="Arial"/>
          <w:color w:val="000000" w:themeColor="text1"/>
          <w:sz w:val="22"/>
          <w:szCs w:val="22"/>
          <w:lang w:val="es-ES_tradnl"/>
        </w:rPr>
        <w:t xml:space="preserve">reconoce a la transacción como uno de los mecanismos que deben ser objeto de estudio y decisión </w:t>
      </w:r>
      <w:r w:rsidR="00C51284">
        <w:rPr>
          <w:rFonts w:ascii="Arial" w:eastAsia="Calibri" w:hAnsi="Arial" w:cs="Arial"/>
          <w:color w:val="000000" w:themeColor="text1"/>
          <w:sz w:val="22"/>
          <w:szCs w:val="22"/>
          <w:lang w:val="es-ES_tradnl"/>
        </w:rPr>
        <w:t>por parte de</w:t>
      </w:r>
      <w:r w:rsidR="0088736C">
        <w:rPr>
          <w:rFonts w:ascii="Arial" w:eastAsia="Calibri" w:hAnsi="Arial" w:cs="Arial"/>
          <w:color w:val="000000" w:themeColor="text1"/>
          <w:sz w:val="22"/>
          <w:szCs w:val="22"/>
          <w:lang w:val="es-ES_tradnl"/>
        </w:rPr>
        <w:t xml:space="preserve"> </w:t>
      </w:r>
      <w:r w:rsidR="00C51284">
        <w:rPr>
          <w:rFonts w:ascii="Arial" w:eastAsia="Calibri" w:hAnsi="Arial" w:cs="Arial"/>
          <w:color w:val="000000" w:themeColor="text1"/>
          <w:sz w:val="22"/>
          <w:szCs w:val="22"/>
          <w:lang w:val="es-ES_tradnl"/>
        </w:rPr>
        <w:t>l</w:t>
      </w:r>
      <w:r w:rsidR="0088736C">
        <w:rPr>
          <w:rFonts w:ascii="Arial" w:eastAsia="Calibri" w:hAnsi="Arial" w:cs="Arial"/>
          <w:color w:val="000000" w:themeColor="text1"/>
          <w:sz w:val="22"/>
          <w:szCs w:val="22"/>
          <w:lang w:val="es-ES_tradnl"/>
        </w:rPr>
        <w:t>os</w:t>
      </w:r>
      <w:r w:rsidR="00C51284">
        <w:rPr>
          <w:rFonts w:ascii="Arial" w:eastAsia="Calibri" w:hAnsi="Arial" w:cs="Arial"/>
          <w:color w:val="000000" w:themeColor="text1"/>
          <w:sz w:val="22"/>
          <w:szCs w:val="22"/>
          <w:lang w:val="es-ES_tradnl"/>
        </w:rPr>
        <w:t xml:space="preserve"> </w:t>
      </w:r>
      <w:r w:rsidR="0088736C">
        <w:rPr>
          <w:rFonts w:ascii="Arial" w:eastAsia="Calibri" w:hAnsi="Arial" w:cs="Arial"/>
          <w:color w:val="000000" w:themeColor="text1"/>
          <w:sz w:val="22"/>
          <w:szCs w:val="22"/>
          <w:lang w:val="es-ES_tradnl"/>
        </w:rPr>
        <w:t>c</w:t>
      </w:r>
      <w:r w:rsidR="00C51284">
        <w:rPr>
          <w:rFonts w:ascii="Arial" w:eastAsia="Calibri" w:hAnsi="Arial" w:cs="Arial"/>
          <w:color w:val="000000" w:themeColor="text1"/>
          <w:sz w:val="22"/>
          <w:szCs w:val="22"/>
          <w:lang w:val="es-ES_tradnl"/>
        </w:rPr>
        <w:t>omité</w:t>
      </w:r>
      <w:r w:rsidR="0088736C">
        <w:rPr>
          <w:rFonts w:ascii="Arial" w:eastAsia="Calibri" w:hAnsi="Arial" w:cs="Arial"/>
          <w:color w:val="000000" w:themeColor="text1"/>
          <w:sz w:val="22"/>
          <w:szCs w:val="22"/>
          <w:lang w:val="es-ES_tradnl"/>
        </w:rPr>
        <w:t>s</w:t>
      </w:r>
      <w:r w:rsidR="00C51284">
        <w:rPr>
          <w:rFonts w:ascii="Arial" w:eastAsia="Calibri" w:hAnsi="Arial" w:cs="Arial"/>
          <w:color w:val="000000" w:themeColor="text1"/>
          <w:sz w:val="22"/>
          <w:szCs w:val="22"/>
          <w:lang w:val="es-ES_tradnl"/>
        </w:rPr>
        <w:t xml:space="preserve"> de </w:t>
      </w:r>
      <w:r w:rsidR="0088736C">
        <w:rPr>
          <w:rFonts w:ascii="Arial" w:eastAsia="Calibri" w:hAnsi="Arial" w:cs="Arial"/>
          <w:color w:val="000000" w:themeColor="text1"/>
          <w:sz w:val="22"/>
          <w:szCs w:val="22"/>
          <w:lang w:val="es-ES_tradnl"/>
        </w:rPr>
        <w:t>c</w:t>
      </w:r>
      <w:r w:rsidR="00C51284">
        <w:rPr>
          <w:rFonts w:ascii="Arial" w:eastAsia="Calibri" w:hAnsi="Arial" w:cs="Arial"/>
          <w:color w:val="000000" w:themeColor="text1"/>
          <w:sz w:val="22"/>
          <w:szCs w:val="22"/>
          <w:lang w:val="es-ES_tradnl"/>
        </w:rPr>
        <w:t>onciliación</w:t>
      </w:r>
      <w:r w:rsidR="00141918">
        <w:rPr>
          <w:rFonts w:ascii="Arial" w:eastAsia="Calibri" w:hAnsi="Arial" w:cs="Arial"/>
          <w:color w:val="000000" w:themeColor="text1"/>
          <w:sz w:val="22"/>
          <w:szCs w:val="22"/>
          <w:lang w:val="es-ES_tradnl"/>
        </w:rPr>
        <w:t xml:space="preserve">, </w:t>
      </w:r>
      <w:r w:rsidR="0088736C">
        <w:rPr>
          <w:rFonts w:ascii="Arial" w:eastAsia="Calibri" w:hAnsi="Arial" w:cs="Arial"/>
          <w:color w:val="000000" w:themeColor="text1"/>
          <w:sz w:val="22"/>
          <w:szCs w:val="22"/>
          <w:lang w:val="es-ES_tradnl"/>
        </w:rPr>
        <w:t xml:space="preserve">advirtiendo además que corresponde a las entidades estatales </w:t>
      </w:r>
      <w:r w:rsidR="00141918">
        <w:rPr>
          <w:rFonts w:ascii="Arial" w:eastAsia="Calibri" w:hAnsi="Arial" w:cs="Arial"/>
          <w:color w:val="000000" w:themeColor="text1"/>
          <w:sz w:val="22"/>
          <w:szCs w:val="22"/>
          <w:lang w:val="es-ES_tradnl"/>
        </w:rPr>
        <w:t>f</w:t>
      </w:r>
      <w:r w:rsidR="00141918" w:rsidRPr="00141918">
        <w:rPr>
          <w:rFonts w:ascii="Arial" w:eastAsia="Calibri" w:hAnsi="Arial" w:cs="Arial"/>
          <w:color w:val="000000" w:themeColor="text1"/>
          <w:sz w:val="22"/>
          <w:szCs w:val="22"/>
          <w:lang w:val="es-ES_tradnl"/>
        </w:rPr>
        <w:t>ijar directrices institucionales</w:t>
      </w:r>
      <w:r w:rsidR="00141918">
        <w:rPr>
          <w:rFonts w:ascii="Arial" w:eastAsia="Calibri" w:hAnsi="Arial" w:cs="Arial"/>
          <w:color w:val="000000" w:themeColor="text1"/>
          <w:sz w:val="22"/>
          <w:szCs w:val="22"/>
          <w:lang w:val="es-ES_tradnl"/>
        </w:rPr>
        <w:t xml:space="preserve"> para la aplicación de cualquier mecanismo de arreglo directo como l</w:t>
      </w:r>
      <w:r w:rsidR="00C51284">
        <w:rPr>
          <w:rFonts w:ascii="Arial" w:eastAsia="Calibri" w:hAnsi="Arial" w:cs="Arial"/>
          <w:color w:val="000000" w:themeColor="text1"/>
          <w:sz w:val="22"/>
          <w:szCs w:val="22"/>
          <w:lang w:val="es-ES_tradnl"/>
        </w:rPr>
        <w:t>o es la</w:t>
      </w:r>
      <w:r w:rsidR="00141918">
        <w:rPr>
          <w:rFonts w:ascii="Arial" w:eastAsia="Calibri" w:hAnsi="Arial" w:cs="Arial"/>
          <w:color w:val="000000" w:themeColor="text1"/>
          <w:sz w:val="22"/>
          <w:szCs w:val="22"/>
          <w:lang w:val="es-ES_tradnl"/>
        </w:rPr>
        <w:t xml:space="preserve"> transacción</w:t>
      </w:r>
      <w:r w:rsidR="00141918">
        <w:rPr>
          <w:rStyle w:val="Refdenotaalpie"/>
          <w:rFonts w:ascii="Arial" w:eastAsia="Calibri" w:hAnsi="Arial" w:cs="Arial"/>
          <w:color w:val="000000" w:themeColor="text1"/>
          <w:sz w:val="22"/>
          <w:szCs w:val="22"/>
          <w:lang w:val="es-ES_tradnl"/>
        </w:rPr>
        <w:footnoteReference w:id="22"/>
      </w:r>
      <w:r w:rsidR="00141918">
        <w:rPr>
          <w:rFonts w:ascii="Arial" w:eastAsia="Calibri" w:hAnsi="Arial" w:cs="Arial"/>
          <w:color w:val="000000" w:themeColor="text1"/>
          <w:sz w:val="22"/>
          <w:szCs w:val="22"/>
          <w:lang w:val="es-ES_tradnl"/>
        </w:rPr>
        <w:t>.</w:t>
      </w:r>
      <w:r>
        <w:rPr>
          <w:rFonts w:ascii="Arial" w:eastAsia="Calibri" w:hAnsi="Arial" w:cs="Arial"/>
          <w:color w:val="000000" w:themeColor="text1"/>
          <w:sz w:val="22"/>
          <w:szCs w:val="22"/>
          <w:lang w:val="es-ES_tradnl"/>
        </w:rPr>
        <w:t xml:space="preserve"> </w:t>
      </w:r>
    </w:p>
    <w:p w14:paraId="12512527" w14:textId="1F194353" w:rsidR="001A4C48" w:rsidRDefault="001A4C48" w:rsidP="00447EF7">
      <w:pPr>
        <w:spacing w:before="120" w:line="276" w:lineRule="auto"/>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ab/>
      </w:r>
      <w:r w:rsidR="0088736C">
        <w:rPr>
          <w:rFonts w:ascii="Arial" w:eastAsia="Calibri" w:hAnsi="Arial" w:cs="Arial"/>
          <w:color w:val="000000" w:themeColor="text1"/>
          <w:sz w:val="22"/>
          <w:szCs w:val="22"/>
          <w:lang w:val="es-ES_tradnl"/>
        </w:rPr>
        <w:t xml:space="preserve">Respecto de </w:t>
      </w:r>
      <w:r w:rsidR="00C51284">
        <w:rPr>
          <w:rFonts w:ascii="Arial" w:eastAsia="Calibri" w:hAnsi="Arial" w:cs="Arial"/>
          <w:color w:val="000000" w:themeColor="text1"/>
          <w:sz w:val="22"/>
          <w:szCs w:val="22"/>
          <w:lang w:val="es-ES_tradnl"/>
        </w:rPr>
        <w:t>l</w:t>
      </w:r>
      <w:r w:rsidR="00F611A7">
        <w:rPr>
          <w:rFonts w:ascii="Arial" w:eastAsia="Calibri" w:hAnsi="Arial" w:cs="Arial"/>
          <w:color w:val="000000" w:themeColor="text1"/>
          <w:sz w:val="22"/>
          <w:szCs w:val="22"/>
          <w:lang w:val="es-ES_tradnl"/>
        </w:rPr>
        <w:t>a</w:t>
      </w:r>
      <w:r>
        <w:rPr>
          <w:rFonts w:ascii="Arial" w:eastAsia="Calibri" w:hAnsi="Arial" w:cs="Arial"/>
          <w:color w:val="000000" w:themeColor="text1"/>
          <w:sz w:val="22"/>
          <w:szCs w:val="22"/>
          <w:lang w:val="es-ES_tradnl"/>
        </w:rPr>
        <w:t xml:space="preserve"> </w:t>
      </w:r>
      <w:r w:rsidR="00C51284">
        <w:rPr>
          <w:rFonts w:ascii="Arial" w:eastAsia="Calibri" w:hAnsi="Arial" w:cs="Arial"/>
          <w:color w:val="000000" w:themeColor="text1"/>
          <w:sz w:val="22"/>
          <w:szCs w:val="22"/>
          <w:lang w:val="es-ES_tradnl"/>
        </w:rPr>
        <w:t xml:space="preserve">obligación de someter a conocimiento del </w:t>
      </w:r>
      <w:r w:rsidR="0088736C">
        <w:rPr>
          <w:rFonts w:ascii="Arial" w:eastAsia="Calibri" w:hAnsi="Arial" w:cs="Arial"/>
          <w:color w:val="000000" w:themeColor="text1"/>
          <w:sz w:val="22"/>
          <w:szCs w:val="22"/>
          <w:lang w:val="es-ES_tradnl"/>
        </w:rPr>
        <w:t>c</w:t>
      </w:r>
      <w:r w:rsidR="00C51284">
        <w:rPr>
          <w:rFonts w:ascii="Arial" w:eastAsia="Calibri" w:hAnsi="Arial" w:cs="Arial"/>
          <w:color w:val="000000" w:themeColor="text1"/>
          <w:sz w:val="22"/>
          <w:szCs w:val="22"/>
          <w:lang w:val="es-ES_tradnl"/>
        </w:rPr>
        <w:t xml:space="preserve">omité de </w:t>
      </w:r>
      <w:r w:rsidR="0088736C">
        <w:rPr>
          <w:rFonts w:ascii="Arial" w:eastAsia="Calibri" w:hAnsi="Arial" w:cs="Arial"/>
          <w:color w:val="000000" w:themeColor="text1"/>
          <w:sz w:val="22"/>
          <w:szCs w:val="22"/>
          <w:lang w:val="es-ES_tradnl"/>
        </w:rPr>
        <w:t>c</w:t>
      </w:r>
      <w:r w:rsidR="00C51284">
        <w:rPr>
          <w:rFonts w:ascii="Arial" w:eastAsia="Calibri" w:hAnsi="Arial" w:cs="Arial"/>
          <w:color w:val="000000" w:themeColor="text1"/>
          <w:sz w:val="22"/>
          <w:szCs w:val="22"/>
          <w:lang w:val="es-ES_tradnl"/>
        </w:rPr>
        <w:t>onciliación la p</w:t>
      </w:r>
      <w:r w:rsidR="00B52B5A">
        <w:rPr>
          <w:rFonts w:ascii="Arial" w:eastAsia="Calibri" w:hAnsi="Arial" w:cs="Arial"/>
          <w:color w:val="000000" w:themeColor="text1"/>
          <w:sz w:val="22"/>
          <w:szCs w:val="22"/>
          <w:lang w:val="es-ES_tradnl"/>
        </w:rPr>
        <w:t>roce</w:t>
      </w:r>
      <w:r w:rsidR="00C51284">
        <w:rPr>
          <w:rFonts w:ascii="Arial" w:eastAsia="Calibri" w:hAnsi="Arial" w:cs="Arial"/>
          <w:color w:val="000000" w:themeColor="text1"/>
          <w:sz w:val="22"/>
          <w:szCs w:val="22"/>
          <w:lang w:val="es-ES_tradnl"/>
        </w:rPr>
        <w:t>d</w:t>
      </w:r>
      <w:r w:rsidR="00B52B5A">
        <w:rPr>
          <w:rFonts w:ascii="Arial" w:eastAsia="Calibri" w:hAnsi="Arial" w:cs="Arial"/>
          <w:color w:val="000000" w:themeColor="text1"/>
          <w:sz w:val="22"/>
          <w:szCs w:val="22"/>
          <w:lang w:val="es-ES_tradnl"/>
        </w:rPr>
        <w:t>encia</w:t>
      </w:r>
      <w:r w:rsidR="00C51284">
        <w:rPr>
          <w:rFonts w:ascii="Arial" w:eastAsia="Calibri" w:hAnsi="Arial" w:cs="Arial"/>
          <w:color w:val="000000" w:themeColor="text1"/>
          <w:sz w:val="22"/>
          <w:szCs w:val="22"/>
          <w:lang w:val="es-ES_tradnl"/>
        </w:rPr>
        <w:t xml:space="preserve"> de </w:t>
      </w:r>
      <w:r w:rsidR="00B52B5A">
        <w:rPr>
          <w:rFonts w:ascii="Arial" w:eastAsia="Calibri" w:hAnsi="Arial" w:cs="Arial"/>
          <w:color w:val="000000" w:themeColor="text1"/>
          <w:sz w:val="22"/>
          <w:szCs w:val="22"/>
          <w:lang w:val="es-ES_tradnl"/>
        </w:rPr>
        <w:t>la</w:t>
      </w:r>
      <w:r w:rsidR="00C51284">
        <w:rPr>
          <w:rFonts w:ascii="Arial" w:eastAsia="Calibri" w:hAnsi="Arial" w:cs="Arial"/>
          <w:color w:val="000000" w:themeColor="text1"/>
          <w:sz w:val="22"/>
          <w:szCs w:val="22"/>
          <w:lang w:val="es-ES_tradnl"/>
        </w:rPr>
        <w:t xml:space="preserve"> transacción, </w:t>
      </w:r>
      <w:r w:rsidR="0088736C">
        <w:rPr>
          <w:rFonts w:ascii="Arial" w:eastAsia="Calibri" w:hAnsi="Arial" w:cs="Arial"/>
          <w:color w:val="000000" w:themeColor="text1"/>
          <w:sz w:val="22"/>
          <w:szCs w:val="22"/>
          <w:lang w:val="es-ES_tradnl"/>
        </w:rPr>
        <w:t>también se ha pronunciado</w:t>
      </w:r>
      <w:r w:rsidR="00C51284">
        <w:rPr>
          <w:rFonts w:ascii="Arial" w:eastAsia="Calibri" w:hAnsi="Arial" w:cs="Arial"/>
          <w:color w:val="000000" w:themeColor="text1"/>
          <w:sz w:val="22"/>
          <w:szCs w:val="22"/>
          <w:lang w:val="es-ES_tradnl"/>
        </w:rPr>
        <w:t xml:space="preserve"> el Consejo de Estado</w:t>
      </w:r>
      <w:r w:rsidR="0088736C">
        <w:rPr>
          <w:rFonts w:ascii="Arial" w:eastAsia="Calibri" w:hAnsi="Arial" w:cs="Arial"/>
          <w:color w:val="000000" w:themeColor="text1"/>
          <w:sz w:val="22"/>
          <w:szCs w:val="22"/>
          <w:lang w:val="es-ES_tradnl"/>
        </w:rPr>
        <w:t xml:space="preserve">, </w:t>
      </w:r>
      <w:r w:rsidR="000924DD">
        <w:rPr>
          <w:rFonts w:ascii="Arial" w:eastAsia="Calibri" w:hAnsi="Arial" w:cs="Arial"/>
          <w:color w:val="000000" w:themeColor="text1"/>
          <w:sz w:val="22"/>
          <w:szCs w:val="22"/>
          <w:lang w:val="es-ES_tradnl"/>
        </w:rPr>
        <w:t>sosteniendo una postura acorde con lo aquí expuesto</w:t>
      </w:r>
      <w:r w:rsidR="00F611A7">
        <w:rPr>
          <w:rFonts w:ascii="Arial" w:eastAsia="Calibri" w:hAnsi="Arial" w:cs="Arial"/>
          <w:color w:val="000000" w:themeColor="text1"/>
          <w:sz w:val="22"/>
          <w:szCs w:val="22"/>
          <w:lang w:val="es-ES_tradnl"/>
        </w:rPr>
        <w:t>. Así,</w:t>
      </w:r>
      <w:r>
        <w:rPr>
          <w:rFonts w:ascii="Arial" w:eastAsia="Calibri" w:hAnsi="Arial" w:cs="Arial"/>
          <w:color w:val="000000" w:themeColor="text1"/>
          <w:sz w:val="22"/>
          <w:szCs w:val="22"/>
          <w:lang w:val="es-ES_tradnl"/>
        </w:rPr>
        <w:t xml:space="preserve"> en sentencia </w:t>
      </w:r>
      <w:r w:rsidR="00F611A7">
        <w:rPr>
          <w:rFonts w:ascii="Arial" w:eastAsia="Calibri" w:hAnsi="Arial" w:cs="Arial"/>
          <w:color w:val="000000" w:themeColor="text1"/>
          <w:sz w:val="22"/>
          <w:szCs w:val="22"/>
          <w:lang w:val="es-ES_tradnl"/>
        </w:rPr>
        <w:t xml:space="preserve">del 11 de octubre de 2018 con ponencia de Roberto Augusto Serrato Valdés, se </w:t>
      </w:r>
      <w:r w:rsidR="00C51284">
        <w:rPr>
          <w:rFonts w:ascii="Arial" w:eastAsia="Calibri" w:hAnsi="Arial" w:cs="Arial"/>
          <w:color w:val="000000" w:themeColor="text1"/>
          <w:sz w:val="22"/>
          <w:szCs w:val="22"/>
          <w:lang w:val="es-ES_tradnl"/>
        </w:rPr>
        <w:t>estableció</w:t>
      </w:r>
      <w:r w:rsidR="00F611A7">
        <w:rPr>
          <w:rFonts w:ascii="Arial" w:eastAsia="Calibri" w:hAnsi="Arial" w:cs="Arial"/>
          <w:color w:val="000000" w:themeColor="text1"/>
          <w:sz w:val="22"/>
          <w:szCs w:val="22"/>
          <w:lang w:val="es-ES_tradnl"/>
        </w:rPr>
        <w:t xml:space="preserve"> lo siguiente:</w:t>
      </w:r>
    </w:p>
    <w:p w14:paraId="5A93E202" w14:textId="77777777" w:rsidR="000924DD" w:rsidRDefault="000924DD" w:rsidP="002B6DB6">
      <w:pPr>
        <w:ind w:left="709" w:right="709"/>
        <w:jc w:val="both"/>
        <w:rPr>
          <w:rFonts w:ascii="Arial" w:eastAsia="Calibri" w:hAnsi="Arial" w:cs="Arial"/>
          <w:color w:val="000000" w:themeColor="text1"/>
          <w:sz w:val="21"/>
          <w:szCs w:val="21"/>
        </w:rPr>
      </w:pPr>
    </w:p>
    <w:p w14:paraId="2BAF112E" w14:textId="692F671E" w:rsidR="00B52B5A" w:rsidRDefault="00C51284" w:rsidP="002B6DB6">
      <w:pPr>
        <w:ind w:left="709" w:right="709"/>
        <w:jc w:val="both"/>
        <w:rPr>
          <w:rFonts w:ascii="Arial" w:eastAsia="Calibri" w:hAnsi="Arial" w:cs="Arial"/>
          <w:color w:val="000000" w:themeColor="text1"/>
          <w:sz w:val="21"/>
          <w:szCs w:val="21"/>
        </w:rPr>
      </w:pPr>
      <w:r w:rsidRPr="00C51284">
        <w:rPr>
          <w:rFonts w:ascii="Arial" w:eastAsia="Calibri" w:hAnsi="Arial" w:cs="Arial"/>
          <w:color w:val="000000" w:themeColor="text1"/>
          <w:sz w:val="21"/>
          <w:szCs w:val="21"/>
        </w:rPr>
        <w:t xml:space="preserve">Asimismo, [la Sala] reitera que entre las obligaciones del Comité de Conciliación, se encuentra la adopción de las decisiones respecto a la procedencia de cualquier medio alternativo de solución de conflictos, según lo establece el artículo 2.2.4.3.1.2.2. del decreto 1069 de 2015 y por tanto, no puede restringirse su competencia únicamente a la conciliación sino respecto a todos los mecanismos de solución de conflictos y de terminación anticipada del proceso, cualquiera sea su modalidad, lo que incluye, entre otros, la transacción, la aprobación de la oferta de revocatoria directa de los actos administrativos que se hayan demandado ante la jurisdicción, la mediación de conflictos entre </w:t>
      </w:r>
      <w:r w:rsidRPr="00C51284">
        <w:rPr>
          <w:rFonts w:ascii="Arial" w:eastAsia="Calibri" w:hAnsi="Arial" w:cs="Arial"/>
          <w:color w:val="000000" w:themeColor="text1"/>
          <w:sz w:val="21"/>
          <w:szCs w:val="21"/>
        </w:rPr>
        <w:lastRenderedPageBreak/>
        <w:t>entidades públicas del orden nacional, o el pacto de cumplimiento en acciones populares</w:t>
      </w:r>
      <w:r w:rsidR="00B52B5A">
        <w:rPr>
          <w:rStyle w:val="Refdenotaalpie"/>
          <w:rFonts w:ascii="Arial" w:eastAsia="Calibri" w:hAnsi="Arial" w:cs="Arial"/>
          <w:color w:val="000000" w:themeColor="text1"/>
          <w:sz w:val="21"/>
          <w:szCs w:val="21"/>
        </w:rPr>
        <w:footnoteReference w:id="23"/>
      </w:r>
      <w:r w:rsidR="00B52B5A">
        <w:rPr>
          <w:rFonts w:ascii="Arial" w:eastAsia="Calibri" w:hAnsi="Arial" w:cs="Arial"/>
          <w:color w:val="000000" w:themeColor="text1"/>
          <w:sz w:val="21"/>
          <w:szCs w:val="21"/>
        </w:rPr>
        <w:t>.</w:t>
      </w:r>
    </w:p>
    <w:p w14:paraId="5DE3F965" w14:textId="77777777" w:rsidR="000924DD" w:rsidRDefault="000924DD" w:rsidP="000924DD">
      <w:pPr>
        <w:spacing w:line="276" w:lineRule="auto"/>
        <w:ind w:firstLine="708"/>
        <w:jc w:val="both"/>
        <w:rPr>
          <w:rFonts w:ascii="Arial" w:eastAsia="Calibri" w:hAnsi="Arial" w:cs="Arial"/>
          <w:color w:val="000000" w:themeColor="text1"/>
          <w:sz w:val="22"/>
          <w:szCs w:val="22"/>
        </w:rPr>
      </w:pPr>
    </w:p>
    <w:p w14:paraId="750D8205" w14:textId="6E5931EA" w:rsidR="00F76721" w:rsidRDefault="000924DD" w:rsidP="002B6DB6">
      <w:pPr>
        <w:spacing w:line="276" w:lineRule="auto"/>
        <w:ind w:firstLine="708"/>
        <w:jc w:val="both"/>
        <w:rPr>
          <w:rFonts w:ascii="Arial" w:eastAsia="Calibri" w:hAnsi="Arial" w:cs="Arial"/>
          <w:color w:val="000000" w:themeColor="text1"/>
          <w:sz w:val="22"/>
          <w:szCs w:val="22"/>
        </w:rPr>
      </w:pPr>
      <w:r>
        <w:rPr>
          <w:rFonts w:ascii="Arial" w:eastAsia="Calibri" w:hAnsi="Arial" w:cs="Arial"/>
          <w:color w:val="000000" w:themeColor="text1"/>
          <w:sz w:val="22"/>
          <w:szCs w:val="22"/>
        </w:rPr>
        <w:t>Conforme a lo anterior,</w:t>
      </w:r>
      <w:r w:rsidR="00B52B5A">
        <w:rPr>
          <w:rFonts w:ascii="Arial" w:eastAsia="Calibri" w:hAnsi="Arial" w:cs="Arial"/>
          <w:color w:val="000000" w:themeColor="text1"/>
          <w:sz w:val="22"/>
          <w:szCs w:val="22"/>
        </w:rPr>
        <w:t xml:space="preserve"> </w:t>
      </w:r>
      <w:r>
        <w:rPr>
          <w:rFonts w:ascii="Arial" w:eastAsia="Calibri" w:hAnsi="Arial" w:cs="Arial"/>
          <w:color w:val="000000" w:themeColor="text1"/>
          <w:sz w:val="22"/>
          <w:szCs w:val="22"/>
        </w:rPr>
        <w:t>es posible concluir al ser la</w:t>
      </w:r>
      <w:r w:rsidR="00B52B5A">
        <w:rPr>
          <w:rFonts w:ascii="Arial" w:eastAsia="Calibri" w:hAnsi="Arial" w:cs="Arial"/>
          <w:color w:val="000000" w:themeColor="text1"/>
          <w:sz w:val="22"/>
          <w:szCs w:val="22"/>
        </w:rPr>
        <w:t xml:space="preserve"> transacción un mecanismo alternativo de solución de conflictos</w:t>
      </w:r>
      <w:r>
        <w:rPr>
          <w:rFonts w:ascii="Arial" w:eastAsia="Calibri" w:hAnsi="Arial" w:cs="Arial"/>
          <w:color w:val="000000" w:themeColor="text1"/>
          <w:sz w:val="22"/>
          <w:szCs w:val="22"/>
        </w:rPr>
        <w:t>, su procedencia</w:t>
      </w:r>
      <w:r w:rsidR="00B52B5A">
        <w:rPr>
          <w:rFonts w:ascii="Arial" w:eastAsia="Calibri" w:hAnsi="Arial" w:cs="Arial"/>
          <w:color w:val="000000" w:themeColor="text1"/>
          <w:sz w:val="22"/>
          <w:szCs w:val="22"/>
        </w:rPr>
        <w:t xml:space="preserve"> debe ser </w:t>
      </w:r>
      <w:r>
        <w:rPr>
          <w:rFonts w:ascii="Arial" w:eastAsia="Calibri" w:hAnsi="Arial" w:cs="Arial"/>
          <w:color w:val="000000" w:themeColor="text1"/>
          <w:sz w:val="22"/>
          <w:szCs w:val="22"/>
        </w:rPr>
        <w:t xml:space="preserve">evaluada y determinada </w:t>
      </w:r>
      <w:r w:rsidR="00B52B5A">
        <w:rPr>
          <w:rFonts w:ascii="Arial" w:eastAsia="Calibri" w:hAnsi="Arial" w:cs="Arial"/>
          <w:color w:val="000000" w:themeColor="text1"/>
          <w:sz w:val="22"/>
          <w:szCs w:val="22"/>
        </w:rPr>
        <w:t xml:space="preserve">por el </w:t>
      </w:r>
      <w:r>
        <w:rPr>
          <w:rFonts w:ascii="Arial" w:eastAsia="Calibri" w:hAnsi="Arial" w:cs="Arial"/>
          <w:color w:val="000000" w:themeColor="text1"/>
          <w:sz w:val="22"/>
          <w:szCs w:val="22"/>
        </w:rPr>
        <w:t>c</w:t>
      </w:r>
      <w:r w:rsidR="00B52B5A">
        <w:rPr>
          <w:rFonts w:ascii="Arial" w:eastAsia="Calibri" w:hAnsi="Arial" w:cs="Arial"/>
          <w:color w:val="000000" w:themeColor="text1"/>
          <w:sz w:val="22"/>
          <w:szCs w:val="22"/>
        </w:rPr>
        <w:t xml:space="preserve">omité de </w:t>
      </w:r>
      <w:r>
        <w:rPr>
          <w:rFonts w:ascii="Arial" w:eastAsia="Calibri" w:hAnsi="Arial" w:cs="Arial"/>
          <w:color w:val="000000" w:themeColor="text1"/>
          <w:sz w:val="22"/>
          <w:szCs w:val="22"/>
        </w:rPr>
        <w:t>c</w:t>
      </w:r>
      <w:r w:rsidR="00B52B5A">
        <w:rPr>
          <w:rFonts w:ascii="Arial" w:eastAsia="Calibri" w:hAnsi="Arial" w:cs="Arial"/>
          <w:color w:val="000000" w:themeColor="text1"/>
          <w:sz w:val="22"/>
          <w:szCs w:val="22"/>
        </w:rPr>
        <w:t xml:space="preserve">onciliación de la entidad que </w:t>
      </w:r>
      <w:r>
        <w:rPr>
          <w:rFonts w:ascii="Arial" w:eastAsia="Calibri" w:hAnsi="Arial" w:cs="Arial"/>
          <w:color w:val="000000" w:themeColor="text1"/>
          <w:sz w:val="22"/>
          <w:szCs w:val="22"/>
        </w:rPr>
        <w:t xml:space="preserve">la pretenda implementar para precaver algún litigio. Esto en virtud de la competencia atribuida a estos entes colegiados, por el artículo </w:t>
      </w:r>
      <w:r w:rsidRPr="000924DD">
        <w:rPr>
          <w:rFonts w:ascii="Arial" w:eastAsia="Calibri" w:hAnsi="Arial" w:cs="Arial"/>
          <w:color w:val="000000" w:themeColor="text1"/>
          <w:sz w:val="22"/>
          <w:szCs w:val="22"/>
        </w:rPr>
        <w:t xml:space="preserve">2.2.4.3.1.2.2. del </w:t>
      </w:r>
      <w:r>
        <w:rPr>
          <w:rFonts w:ascii="Arial" w:eastAsia="Calibri" w:hAnsi="Arial" w:cs="Arial"/>
          <w:color w:val="000000" w:themeColor="text1"/>
          <w:sz w:val="22"/>
          <w:szCs w:val="22"/>
        </w:rPr>
        <w:t>D</w:t>
      </w:r>
      <w:r w:rsidRPr="000924DD">
        <w:rPr>
          <w:rFonts w:ascii="Arial" w:eastAsia="Calibri" w:hAnsi="Arial" w:cs="Arial"/>
          <w:color w:val="000000" w:themeColor="text1"/>
          <w:sz w:val="22"/>
          <w:szCs w:val="22"/>
        </w:rPr>
        <w:t>ecreto 1069 de 2015</w:t>
      </w:r>
      <w:r>
        <w:rPr>
          <w:rFonts w:ascii="Arial" w:eastAsia="Calibri" w:hAnsi="Arial" w:cs="Arial"/>
          <w:color w:val="000000" w:themeColor="text1"/>
          <w:sz w:val="22"/>
          <w:szCs w:val="22"/>
        </w:rPr>
        <w:t xml:space="preserve">, para decidir sobre la procedencia de la generalidad de mecanismos alternativos de solución de conflictos. </w:t>
      </w:r>
    </w:p>
    <w:p w14:paraId="1AC536E9" w14:textId="77777777" w:rsidR="000924DD" w:rsidRDefault="000924DD" w:rsidP="002B6DB6">
      <w:pPr>
        <w:spacing w:line="276" w:lineRule="auto"/>
        <w:ind w:firstLine="708"/>
        <w:jc w:val="both"/>
        <w:rPr>
          <w:rFonts w:ascii="Arial" w:eastAsia="Calibri" w:hAnsi="Arial" w:cs="Arial"/>
          <w:color w:val="000000" w:themeColor="text1"/>
          <w:sz w:val="22"/>
          <w:szCs w:val="22"/>
        </w:rPr>
      </w:pPr>
    </w:p>
    <w:p w14:paraId="372EBB95" w14:textId="6EDCDECF" w:rsidR="00B52B5A" w:rsidRDefault="00F76721" w:rsidP="002B6DB6">
      <w:pPr>
        <w:spacing w:line="276" w:lineRule="auto"/>
        <w:jc w:val="both"/>
        <w:rPr>
          <w:rFonts w:ascii="Arial" w:eastAsia="Calibri" w:hAnsi="Arial" w:cs="Arial"/>
          <w:b/>
          <w:bCs/>
          <w:color w:val="000000" w:themeColor="text1"/>
          <w:sz w:val="22"/>
          <w:szCs w:val="22"/>
        </w:rPr>
      </w:pPr>
      <w:r w:rsidRPr="00F76721">
        <w:rPr>
          <w:rFonts w:ascii="Arial" w:eastAsia="Calibri" w:hAnsi="Arial" w:cs="Arial"/>
          <w:b/>
          <w:bCs/>
          <w:color w:val="000000" w:themeColor="text1"/>
          <w:sz w:val="22"/>
          <w:szCs w:val="22"/>
        </w:rPr>
        <w:t>2.</w:t>
      </w:r>
      <w:r w:rsidR="00283CEC">
        <w:rPr>
          <w:rFonts w:ascii="Arial" w:eastAsia="Calibri" w:hAnsi="Arial" w:cs="Arial"/>
          <w:b/>
          <w:bCs/>
          <w:color w:val="000000" w:themeColor="text1"/>
          <w:sz w:val="22"/>
          <w:szCs w:val="22"/>
        </w:rPr>
        <w:t>2</w:t>
      </w:r>
      <w:r w:rsidRPr="00F76721">
        <w:rPr>
          <w:rFonts w:ascii="Arial" w:eastAsia="Calibri" w:hAnsi="Arial" w:cs="Arial"/>
          <w:b/>
          <w:bCs/>
          <w:color w:val="000000" w:themeColor="text1"/>
          <w:sz w:val="22"/>
          <w:szCs w:val="22"/>
        </w:rPr>
        <w:t>. La obligación de</w:t>
      </w:r>
      <w:r w:rsidR="004B07E6">
        <w:rPr>
          <w:rFonts w:ascii="Arial" w:eastAsia="Calibri" w:hAnsi="Arial" w:cs="Arial"/>
          <w:b/>
          <w:bCs/>
          <w:color w:val="000000" w:themeColor="text1"/>
          <w:sz w:val="22"/>
          <w:szCs w:val="22"/>
        </w:rPr>
        <w:t xml:space="preserve"> las entidades estatales de</w:t>
      </w:r>
      <w:r w:rsidRPr="00F76721">
        <w:rPr>
          <w:rFonts w:ascii="Arial" w:eastAsia="Calibri" w:hAnsi="Arial" w:cs="Arial"/>
          <w:b/>
          <w:bCs/>
          <w:color w:val="000000" w:themeColor="text1"/>
          <w:sz w:val="22"/>
          <w:szCs w:val="22"/>
        </w:rPr>
        <w:t xml:space="preserve"> </w:t>
      </w:r>
      <w:r>
        <w:rPr>
          <w:rFonts w:ascii="Arial" w:eastAsia="Calibri" w:hAnsi="Arial" w:cs="Arial"/>
          <w:b/>
          <w:bCs/>
          <w:color w:val="000000" w:themeColor="text1"/>
          <w:sz w:val="22"/>
          <w:szCs w:val="22"/>
        </w:rPr>
        <w:t>publicar el contrato de transacción en el SECOP para cumplir con el deber de publicidad.</w:t>
      </w:r>
    </w:p>
    <w:p w14:paraId="71672137" w14:textId="77777777" w:rsidR="00817843" w:rsidRPr="00817843" w:rsidRDefault="00817843" w:rsidP="002B6DB6">
      <w:pPr>
        <w:widowControl w:val="0"/>
        <w:tabs>
          <w:tab w:val="left" w:pos="728"/>
        </w:tabs>
        <w:autoSpaceDE w:val="0"/>
        <w:autoSpaceDN w:val="0"/>
        <w:jc w:val="both"/>
        <w:rPr>
          <w:rFonts w:ascii="Arial" w:eastAsia="Arial" w:hAnsi="Arial" w:cs="Arial"/>
          <w:sz w:val="22"/>
          <w:szCs w:val="22"/>
          <w:lang w:val="es-ES"/>
        </w:rPr>
      </w:pPr>
    </w:p>
    <w:p w14:paraId="1E6B8FBB" w14:textId="2A5C8E55" w:rsidR="009B2E83" w:rsidRDefault="00817843" w:rsidP="00817843">
      <w:pPr>
        <w:spacing w:after="120" w:line="276" w:lineRule="auto"/>
        <w:jc w:val="both"/>
        <w:rPr>
          <w:rFonts w:ascii="Arial" w:eastAsia="Calibri" w:hAnsi="Arial" w:cs="Arial"/>
          <w:color w:val="000000" w:themeColor="text1"/>
          <w:sz w:val="22"/>
          <w:szCs w:val="22"/>
        </w:rPr>
      </w:pPr>
      <w:r w:rsidRPr="00817843">
        <w:rPr>
          <w:rFonts w:ascii="Arial" w:eastAsia="Arial" w:hAnsi="Arial" w:cs="Arial"/>
          <w:sz w:val="22"/>
          <w:szCs w:val="22"/>
          <w:lang w:val="es-ES"/>
        </w:rPr>
        <w:t xml:space="preserve">El principio de publicidad, consagrado en el artículo 209 superior, impone a las autoridades administrativas el deber de dar a conocer sus actos, contratos y decisiones, para que se divulguen y eventualmente se controlen las actuaciones. </w:t>
      </w:r>
      <w:r w:rsidRPr="00817843">
        <w:rPr>
          <w:rFonts w:ascii="Arial" w:eastAsia="Calibri" w:hAnsi="Arial" w:cs="Arial"/>
          <w:color w:val="000000" w:themeColor="text1"/>
          <w:sz w:val="22"/>
          <w:szCs w:val="22"/>
        </w:rPr>
        <w:t>Conforme ha manifestado la Corte Constitucional, el principio de publicidad es la garantía que tienen las personas de conocer las actuaciones judiciales y administrativas y con base en ese conocimiento tener la posibilidad de exigir que se surtan conforme a la ley</w:t>
      </w:r>
      <w:r w:rsidRPr="00817843">
        <w:rPr>
          <w:rStyle w:val="Refdenotaalpie"/>
          <w:rFonts w:ascii="Arial" w:eastAsia="Calibri" w:hAnsi="Arial" w:cs="Arial"/>
          <w:color w:val="000000" w:themeColor="text1"/>
          <w:sz w:val="22"/>
          <w:szCs w:val="22"/>
        </w:rPr>
        <w:footnoteReference w:id="24"/>
      </w:r>
      <w:r w:rsidRPr="00817843">
        <w:rPr>
          <w:rFonts w:ascii="Arial" w:eastAsia="Calibri" w:hAnsi="Arial" w:cs="Arial"/>
          <w:color w:val="000000" w:themeColor="text1"/>
          <w:sz w:val="22"/>
          <w:szCs w:val="22"/>
        </w:rPr>
        <w:t xml:space="preserve">. </w:t>
      </w:r>
    </w:p>
    <w:p w14:paraId="1C7227C7" w14:textId="6D0B9012" w:rsidR="00817843" w:rsidRPr="00817843" w:rsidRDefault="009B2E83" w:rsidP="002B6DB6">
      <w:pPr>
        <w:spacing w:after="120" w:line="276" w:lineRule="auto"/>
        <w:ind w:firstLine="708"/>
        <w:jc w:val="both"/>
        <w:rPr>
          <w:rFonts w:ascii="Arial" w:eastAsia="Arial" w:hAnsi="Arial" w:cs="Arial"/>
          <w:sz w:val="22"/>
          <w:szCs w:val="22"/>
          <w:lang w:val="es-ES"/>
        </w:rPr>
      </w:pPr>
      <w:r>
        <w:rPr>
          <w:rFonts w:ascii="Arial" w:eastAsia="Calibri" w:hAnsi="Arial" w:cs="Arial"/>
          <w:color w:val="000000" w:themeColor="text1"/>
          <w:sz w:val="22"/>
          <w:szCs w:val="22"/>
        </w:rPr>
        <w:t>E</w:t>
      </w:r>
      <w:r w:rsidR="00817843" w:rsidRPr="00817843">
        <w:rPr>
          <w:rFonts w:ascii="Arial" w:eastAsia="Calibri" w:hAnsi="Arial" w:cs="Arial"/>
          <w:color w:val="000000" w:themeColor="text1"/>
          <w:sz w:val="22"/>
          <w:szCs w:val="22"/>
        </w:rPr>
        <w:t xml:space="preserve">n el ámbito de la contratación estatal, el principio de publicidad ha sido desarrollado </w:t>
      </w:r>
      <w:r w:rsidR="00817843" w:rsidRPr="00817843">
        <w:rPr>
          <w:rFonts w:ascii="Arial" w:eastAsia="Arial" w:hAnsi="Arial" w:cs="Arial"/>
          <w:sz w:val="22"/>
          <w:szCs w:val="22"/>
          <w:lang w:val="es-ES"/>
        </w:rPr>
        <w:t>el artículo 3 de la Ley 1150 de 2007, en cuyo literal c) se establece que el Sistema Electrónico para la Contratación Pública –SECOP– «</w:t>
      </w:r>
      <w:r>
        <w:rPr>
          <w:rFonts w:ascii="Arial" w:eastAsia="Arial" w:hAnsi="Arial" w:cs="Arial"/>
          <w:sz w:val="22"/>
          <w:szCs w:val="22"/>
          <w:lang w:val="es-ES"/>
        </w:rPr>
        <w:t xml:space="preserve">[…] </w:t>
      </w:r>
      <w:r w:rsidR="00817843" w:rsidRPr="00817843">
        <w:rPr>
          <w:rFonts w:ascii="Arial" w:eastAsia="Arial" w:hAnsi="Arial" w:cs="Arial"/>
          <w:sz w:val="22"/>
          <w:szCs w:val="22"/>
          <w:lang w:val="es-ES"/>
        </w:rPr>
        <w:t xml:space="preserve">contará con la información oficial de la contratación realizada con dineros públicos, para lo cual establecerá los patrones a que haya lugar y se encargará de su difusión a través de canales electrónicos», lo que supone un deber de dar publicidad a la actividad contractual pública, el cual ha sido reglamentado por el artículo 2.2.1.1.1.7.1. del Decreto 1082 de 2015. </w:t>
      </w:r>
    </w:p>
    <w:p w14:paraId="626CCD3D" w14:textId="77777777" w:rsidR="00817843" w:rsidRPr="00817843" w:rsidRDefault="00817843" w:rsidP="00817843">
      <w:pPr>
        <w:tabs>
          <w:tab w:val="left" w:pos="426"/>
        </w:tabs>
        <w:spacing w:after="120" w:line="276" w:lineRule="auto"/>
        <w:jc w:val="both"/>
        <w:rPr>
          <w:rFonts w:ascii="Arial" w:eastAsia="Calibri" w:hAnsi="Arial" w:cs="Arial"/>
          <w:color w:val="000000"/>
          <w:sz w:val="22"/>
          <w:szCs w:val="22"/>
          <w:lang w:val="es-ES" w:eastAsia="en-GB"/>
        </w:rPr>
      </w:pPr>
      <w:bookmarkStart w:id="4" w:name="_Hlk63938840"/>
      <w:r w:rsidRPr="00817843">
        <w:rPr>
          <w:rFonts w:ascii="Arial" w:eastAsia="Calibri" w:hAnsi="Arial" w:cs="Arial"/>
          <w:color w:val="000000"/>
          <w:sz w:val="22"/>
          <w:szCs w:val="22"/>
          <w:lang w:val="es-ES" w:eastAsia="en-GB"/>
        </w:rPr>
        <w:tab/>
      </w:r>
      <w:r w:rsidRPr="00817843">
        <w:rPr>
          <w:rFonts w:ascii="Arial" w:eastAsia="Calibri" w:hAnsi="Arial" w:cs="Arial"/>
          <w:color w:val="000000"/>
          <w:sz w:val="22"/>
          <w:szCs w:val="22"/>
          <w:lang w:val="es-ES" w:eastAsia="en-GB"/>
        </w:rPr>
        <w:tab/>
        <w:t xml:space="preserve">Por otro lado, el artículo 74 de la Constitución Política establece que «Todas las personas tienen derecho a acceder a los documentos públicos salvo los casos que establezca la ley». Esta disposición constitucional consagra el derecho fundamental de </w:t>
      </w:r>
      <w:r w:rsidRPr="00817843">
        <w:rPr>
          <w:rFonts w:ascii="Arial" w:eastAsia="Calibri" w:hAnsi="Arial" w:cs="Arial"/>
          <w:color w:val="000000"/>
          <w:sz w:val="22"/>
          <w:szCs w:val="22"/>
          <w:lang w:val="es-ES" w:eastAsia="en-GB"/>
        </w:rPr>
        <w:lastRenderedPageBreak/>
        <w:t xml:space="preserve">acceso a la información y a la documentación pública, salvo causal de reserva expresamente prevista en la Ley. Este derecho fue regulado en la Ley 1712 de 2014, conocida como </w:t>
      </w:r>
      <w:r w:rsidRPr="00817843">
        <w:rPr>
          <w:rFonts w:ascii="Arial" w:eastAsia="Calibri" w:hAnsi="Arial" w:cs="Arial"/>
          <w:i/>
          <w:iCs/>
          <w:color w:val="000000"/>
          <w:sz w:val="22"/>
          <w:szCs w:val="22"/>
          <w:lang w:val="es-ES" w:eastAsia="en-GB"/>
        </w:rPr>
        <w:t>Ley de Transparencia y del Derecho de Acceso a la Información Pública Nacional</w:t>
      </w:r>
      <w:r w:rsidRPr="00817843">
        <w:rPr>
          <w:rFonts w:ascii="Arial" w:eastAsia="Calibri" w:hAnsi="Arial" w:cs="Arial"/>
          <w:color w:val="000000"/>
          <w:sz w:val="22"/>
          <w:szCs w:val="22"/>
          <w:lang w:val="es-ES" w:eastAsia="en-GB"/>
        </w:rPr>
        <w:t xml:space="preserve">. Dicha Ley establece el </w:t>
      </w:r>
      <w:r w:rsidRPr="002B6DB6">
        <w:rPr>
          <w:rFonts w:ascii="Arial" w:eastAsia="Calibri" w:hAnsi="Arial" w:cs="Arial"/>
          <w:color w:val="000000"/>
          <w:sz w:val="22"/>
          <w:szCs w:val="22"/>
          <w:lang w:val="es-ES" w:eastAsia="en-GB"/>
        </w:rPr>
        <w:t>deber</w:t>
      </w:r>
      <w:r w:rsidRPr="00817843">
        <w:rPr>
          <w:rFonts w:ascii="Arial" w:eastAsia="Calibri" w:hAnsi="Arial" w:cs="Arial"/>
          <w:i/>
          <w:iCs/>
          <w:color w:val="000000"/>
          <w:sz w:val="22"/>
          <w:szCs w:val="22"/>
          <w:lang w:val="es-ES" w:eastAsia="en-GB"/>
        </w:rPr>
        <w:t xml:space="preserve"> </w:t>
      </w:r>
      <w:r w:rsidRPr="002B6DB6">
        <w:rPr>
          <w:rFonts w:ascii="Arial" w:eastAsia="Calibri" w:hAnsi="Arial" w:cs="Arial"/>
          <w:color w:val="000000"/>
          <w:sz w:val="22"/>
          <w:szCs w:val="22"/>
          <w:lang w:val="es-ES" w:eastAsia="en-GB"/>
        </w:rPr>
        <w:t>de</w:t>
      </w:r>
      <w:r w:rsidRPr="00817843">
        <w:rPr>
          <w:rFonts w:ascii="Arial" w:eastAsia="Calibri" w:hAnsi="Arial" w:cs="Arial"/>
          <w:i/>
          <w:iCs/>
          <w:color w:val="000000"/>
          <w:sz w:val="22"/>
          <w:szCs w:val="22"/>
          <w:lang w:val="es-ES" w:eastAsia="en-GB"/>
        </w:rPr>
        <w:t xml:space="preserve"> divulgación proactiva de la información</w:t>
      </w:r>
      <w:r w:rsidRPr="00817843">
        <w:rPr>
          <w:rFonts w:ascii="Arial" w:eastAsia="Calibri" w:hAnsi="Arial" w:cs="Arial"/>
          <w:color w:val="000000"/>
          <w:sz w:val="22"/>
          <w:szCs w:val="22"/>
          <w:lang w:val="es-ES" w:eastAsia="en-GB"/>
        </w:rPr>
        <w:t xml:space="preserve"> e indica que las entidades estatales deben publicar su información contractual –artículos 9, literales c, e y f; 10 y 11, literal g–. Tales artículos son reglamentados por los artículos 2.1.1.2.1.5 a 2.1.1.2.1.10 del Decreto 1081 de 2015, los cuales, en concordancia con artículo 3 de la Ley 1150 de 2007, aluden al deber de las entidades estatales de publicar su información contractual en el SECOP</w:t>
      </w:r>
      <w:r w:rsidRPr="00817843">
        <w:rPr>
          <w:rFonts w:ascii="Arial" w:eastAsia="Arial" w:hAnsi="Arial" w:cs="Arial"/>
          <w:sz w:val="22"/>
          <w:szCs w:val="22"/>
          <w:vertAlign w:val="superscript"/>
          <w:lang w:val="es-ES"/>
        </w:rPr>
        <w:t xml:space="preserve"> </w:t>
      </w:r>
      <w:r w:rsidRPr="00817843">
        <w:rPr>
          <w:rFonts w:ascii="Arial" w:eastAsia="Arial" w:hAnsi="Arial" w:cs="Arial"/>
          <w:sz w:val="22"/>
          <w:szCs w:val="22"/>
          <w:vertAlign w:val="superscript"/>
          <w:lang w:val="es-ES"/>
        </w:rPr>
        <w:footnoteReference w:id="25"/>
      </w:r>
      <w:r w:rsidRPr="00817843">
        <w:rPr>
          <w:rFonts w:ascii="Arial" w:eastAsia="Arial" w:hAnsi="Arial" w:cs="Arial"/>
          <w:sz w:val="22"/>
          <w:szCs w:val="22"/>
          <w:lang w:val="es-ES"/>
        </w:rPr>
        <w:t>.</w:t>
      </w:r>
      <w:bookmarkEnd w:id="4"/>
      <w:r w:rsidRPr="00817843">
        <w:rPr>
          <w:rFonts w:ascii="Arial" w:eastAsia="Arial" w:hAnsi="Arial" w:cs="Arial"/>
          <w:sz w:val="22"/>
          <w:szCs w:val="22"/>
          <w:lang w:val="es-ES"/>
        </w:rPr>
        <w:tab/>
        <w:t xml:space="preserve"> </w:t>
      </w:r>
    </w:p>
    <w:p w14:paraId="12B26CCC" w14:textId="4AE2A235" w:rsidR="00F76721" w:rsidRDefault="00817843" w:rsidP="00B52B5A">
      <w:pPr>
        <w:spacing w:before="120" w:line="276" w:lineRule="auto"/>
        <w:jc w:val="both"/>
        <w:rPr>
          <w:rFonts w:ascii="Arial" w:eastAsia="Calibri" w:hAnsi="Arial" w:cs="Arial"/>
          <w:color w:val="000000" w:themeColor="text1"/>
          <w:sz w:val="22"/>
          <w:szCs w:val="22"/>
        </w:rPr>
      </w:pPr>
      <w:r>
        <w:rPr>
          <w:rFonts w:ascii="Arial" w:eastAsia="Calibri" w:hAnsi="Arial" w:cs="Arial"/>
          <w:b/>
          <w:bCs/>
          <w:color w:val="000000" w:themeColor="text1"/>
          <w:sz w:val="22"/>
          <w:szCs w:val="22"/>
        </w:rPr>
        <w:tab/>
      </w:r>
      <w:r>
        <w:rPr>
          <w:rFonts w:ascii="Arial" w:eastAsia="Calibri" w:hAnsi="Arial" w:cs="Arial"/>
          <w:color w:val="000000" w:themeColor="text1"/>
          <w:sz w:val="22"/>
          <w:szCs w:val="22"/>
        </w:rPr>
        <w:t xml:space="preserve">En el caso del contrato de transacción, </w:t>
      </w:r>
      <w:r w:rsidR="00F8643C">
        <w:rPr>
          <w:rFonts w:ascii="Arial" w:eastAsia="Calibri" w:hAnsi="Arial" w:cs="Arial"/>
          <w:color w:val="000000" w:themeColor="text1"/>
          <w:sz w:val="22"/>
          <w:szCs w:val="22"/>
        </w:rPr>
        <w:t>esta Agencia considera que es necesaria su publicación en el SECOP para poder cumplir a cabalidad con el deber de publicidad consagrado en el artículo 209 de la Constitución Política, por las siguientes razones:</w:t>
      </w:r>
    </w:p>
    <w:p w14:paraId="0DB137C9" w14:textId="35B4B18C" w:rsidR="00D3762A" w:rsidRPr="00F8643C" w:rsidRDefault="00F8643C" w:rsidP="00F8643C">
      <w:pPr>
        <w:spacing w:before="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En primer lugar, e</w:t>
      </w:r>
      <w:r w:rsidR="00D3762A" w:rsidRPr="00F8643C">
        <w:rPr>
          <w:rFonts w:ascii="Arial" w:eastAsia="Calibri" w:hAnsi="Arial" w:cs="Arial"/>
          <w:color w:val="000000" w:themeColor="text1"/>
          <w:sz w:val="22"/>
        </w:rPr>
        <w:t xml:space="preserve">l literal c) del artículo 3 de la Ley 1150 de 2007 </w:t>
      </w:r>
      <w:r>
        <w:rPr>
          <w:rFonts w:ascii="Arial" w:eastAsia="Calibri" w:hAnsi="Arial" w:cs="Arial"/>
          <w:color w:val="000000" w:themeColor="text1"/>
          <w:sz w:val="22"/>
        </w:rPr>
        <w:t>al</w:t>
      </w:r>
      <w:r w:rsidR="00D3762A" w:rsidRPr="00F8643C">
        <w:rPr>
          <w:rFonts w:ascii="Arial" w:eastAsia="Calibri" w:hAnsi="Arial" w:cs="Arial"/>
          <w:color w:val="000000" w:themeColor="text1"/>
          <w:sz w:val="22"/>
        </w:rPr>
        <w:t xml:space="preserve"> establece</w:t>
      </w:r>
      <w:r>
        <w:rPr>
          <w:rFonts w:ascii="Arial" w:eastAsia="Calibri" w:hAnsi="Arial" w:cs="Arial"/>
          <w:color w:val="000000" w:themeColor="text1"/>
          <w:sz w:val="22"/>
        </w:rPr>
        <w:t>r</w:t>
      </w:r>
      <w:r w:rsidR="00D3762A" w:rsidRPr="00F8643C">
        <w:rPr>
          <w:rFonts w:ascii="Arial" w:eastAsia="Calibri" w:hAnsi="Arial" w:cs="Arial"/>
          <w:color w:val="000000" w:themeColor="text1"/>
          <w:sz w:val="22"/>
        </w:rPr>
        <w:t xml:space="preserve"> la obligación de publicar en el SECOP la información oficial de la contratación realizada con dineros públicos, </w:t>
      </w:r>
      <w:r>
        <w:rPr>
          <w:rFonts w:ascii="Arial" w:eastAsia="Calibri" w:hAnsi="Arial" w:cs="Arial"/>
          <w:color w:val="000000" w:themeColor="text1"/>
          <w:sz w:val="22"/>
        </w:rPr>
        <w:t>lleva a entender</w:t>
      </w:r>
      <w:r w:rsidR="00D3762A" w:rsidRPr="00F8643C">
        <w:rPr>
          <w:rFonts w:ascii="Arial" w:eastAsia="Calibri" w:hAnsi="Arial" w:cs="Arial"/>
          <w:color w:val="000000" w:themeColor="text1"/>
          <w:sz w:val="22"/>
        </w:rPr>
        <w:t xml:space="preserve"> que la transacción al ser un contrato estatal en el que se utilizan </w:t>
      </w:r>
      <w:r>
        <w:rPr>
          <w:rFonts w:ascii="Arial" w:eastAsia="Calibri" w:hAnsi="Arial" w:cs="Arial"/>
          <w:color w:val="000000" w:themeColor="text1"/>
          <w:sz w:val="22"/>
        </w:rPr>
        <w:t xml:space="preserve">este tipo </w:t>
      </w:r>
      <w:r w:rsidRPr="00F8643C">
        <w:rPr>
          <w:rFonts w:ascii="Arial" w:eastAsia="Calibri" w:hAnsi="Arial" w:cs="Arial"/>
          <w:color w:val="000000" w:themeColor="text1"/>
          <w:sz w:val="22"/>
        </w:rPr>
        <w:t>recursos</w:t>
      </w:r>
      <w:r>
        <w:rPr>
          <w:rFonts w:ascii="Arial" w:eastAsia="Calibri" w:hAnsi="Arial" w:cs="Arial"/>
          <w:color w:val="000000" w:themeColor="text1"/>
          <w:sz w:val="22"/>
        </w:rPr>
        <w:t xml:space="preserve"> se</w:t>
      </w:r>
      <w:r w:rsidR="00D3762A" w:rsidRPr="00F8643C">
        <w:rPr>
          <w:rFonts w:ascii="Arial" w:eastAsia="Calibri" w:hAnsi="Arial" w:cs="Arial"/>
          <w:color w:val="000000" w:themeColor="text1"/>
          <w:sz w:val="22"/>
        </w:rPr>
        <w:t xml:space="preserve"> deb</w:t>
      </w:r>
      <w:r>
        <w:rPr>
          <w:rFonts w:ascii="Arial" w:eastAsia="Calibri" w:hAnsi="Arial" w:cs="Arial"/>
          <w:color w:val="000000" w:themeColor="text1"/>
          <w:sz w:val="22"/>
        </w:rPr>
        <w:t>a</w:t>
      </w:r>
      <w:r w:rsidR="00D3762A" w:rsidRPr="00F8643C">
        <w:rPr>
          <w:rFonts w:ascii="Arial" w:eastAsia="Calibri" w:hAnsi="Arial" w:cs="Arial"/>
          <w:color w:val="000000" w:themeColor="text1"/>
          <w:sz w:val="22"/>
        </w:rPr>
        <w:t xml:space="preserve"> publicar en dicha plataforma.</w:t>
      </w:r>
    </w:p>
    <w:p w14:paraId="1327FFB6" w14:textId="296BE0C1" w:rsidR="00D3762A" w:rsidRPr="00F8643C" w:rsidRDefault="00F8643C" w:rsidP="00F8643C">
      <w:pPr>
        <w:spacing w:before="120" w:line="276" w:lineRule="auto"/>
        <w:ind w:firstLine="708"/>
        <w:jc w:val="both"/>
        <w:rPr>
          <w:rFonts w:ascii="Arial" w:eastAsia="Calibri" w:hAnsi="Arial" w:cs="Arial"/>
          <w:color w:val="000000" w:themeColor="text1"/>
          <w:sz w:val="22"/>
          <w:lang w:val="es-MX"/>
        </w:rPr>
      </w:pPr>
      <w:r>
        <w:rPr>
          <w:rFonts w:ascii="Arial" w:eastAsia="Calibri" w:hAnsi="Arial" w:cs="Arial"/>
          <w:color w:val="000000" w:themeColor="text1"/>
          <w:sz w:val="22"/>
        </w:rPr>
        <w:t>Además, d</w:t>
      </w:r>
      <w:r w:rsidR="00D3762A" w:rsidRPr="00F8643C">
        <w:rPr>
          <w:rFonts w:ascii="Arial" w:eastAsia="Calibri" w:hAnsi="Arial" w:cs="Arial"/>
          <w:color w:val="000000" w:themeColor="text1"/>
          <w:sz w:val="22"/>
        </w:rPr>
        <w:t xml:space="preserve">e conformidad al artículo 2.2.1.1.1.7.1. del Decreto 1082 de 2015, las entidades estatales tienen la obligación de publicar en el SECOP «[…] los Documentos del Proceso y los actos administrativos del Proceso de Contratación, dentro de los tres (3) días siguientes a su expedición […]». La expresión </w:t>
      </w:r>
      <w:r w:rsidR="00D3762A" w:rsidRPr="002B6DB6">
        <w:rPr>
          <w:rFonts w:ascii="Arial" w:eastAsia="Calibri" w:hAnsi="Arial" w:cs="Arial"/>
          <w:i/>
          <w:iCs/>
          <w:color w:val="000000" w:themeColor="text1"/>
          <w:sz w:val="22"/>
        </w:rPr>
        <w:t>Documentos del Proceso</w:t>
      </w:r>
      <w:r w:rsidR="00D3762A" w:rsidRPr="00F8643C">
        <w:rPr>
          <w:rFonts w:ascii="Arial" w:eastAsia="Calibri" w:hAnsi="Arial" w:cs="Arial"/>
          <w:color w:val="000000" w:themeColor="text1"/>
          <w:sz w:val="22"/>
        </w:rPr>
        <w:t xml:space="preserve"> está definida en el artículo 2.2.1.1.1.3.1. del Decreto 1082 de 2015, donde se establece que: «</w:t>
      </w:r>
      <w:r w:rsidR="006904C4">
        <w:rPr>
          <w:rFonts w:ascii="Arial" w:eastAsia="Calibri" w:hAnsi="Arial" w:cs="Arial"/>
          <w:color w:val="000000" w:themeColor="text1"/>
          <w:sz w:val="22"/>
        </w:rPr>
        <w:t xml:space="preserve">[…] </w:t>
      </w:r>
      <w:r w:rsidR="00D3762A" w:rsidRPr="00F8643C">
        <w:rPr>
          <w:rFonts w:ascii="Arial" w:eastAsia="Calibri" w:hAnsi="Arial" w:cs="Arial"/>
          <w:color w:val="000000" w:themeColor="text1"/>
          <w:sz w:val="22"/>
        </w:rPr>
        <w:t xml:space="preserve">son: (a) los estudios y documentos previos; (b) el aviso de convocatoria; (c) los pliegos de condiciones o la invitación; (d) las adendas; (e) la oferta; (f) el informe de evaluación; (g) el contrato; y cualquier otro documento expedido por la Entidad Estatal durante el Proceso de Contratación». </w:t>
      </w:r>
      <w:r w:rsidR="006904C4">
        <w:rPr>
          <w:rFonts w:ascii="Arial" w:eastAsia="Calibri" w:hAnsi="Arial" w:cs="Arial"/>
          <w:color w:val="000000" w:themeColor="text1"/>
          <w:sz w:val="22"/>
        </w:rPr>
        <w:t>Nótese</w:t>
      </w:r>
      <w:r w:rsidR="006904C4" w:rsidRPr="00F8643C">
        <w:rPr>
          <w:rFonts w:ascii="Arial" w:eastAsia="Calibri" w:hAnsi="Arial" w:cs="Arial"/>
          <w:color w:val="000000" w:themeColor="text1"/>
          <w:sz w:val="22"/>
        </w:rPr>
        <w:t xml:space="preserve"> </w:t>
      </w:r>
      <w:r w:rsidR="00D3762A" w:rsidRPr="00F8643C">
        <w:rPr>
          <w:rFonts w:ascii="Arial" w:eastAsia="Calibri" w:hAnsi="Arial" w:cs="Arial"/>
          <w:color w:val="000000" w:themeColor="text1"/>
          <w:sz w:val="22"/>
        </w:rPr>
        <w:t xml:space="preserve">que si bien el artículo 2.2.1.1.1.7.1. consagra una lista de los </w:t>
      </w:r>
      <w:r w:rsidR="00D3762A" w:rsidRPr="002B6DB6">
        <w:rPr>
          <w:rFonts w:ascii="Arial" w:eastAsia="Calibri" w:hAnsi="Arial" w:cs="Arial"/>
          <w:i/>
          <w:iCs/>
          <w:color w:val="000000" w:themeColor="text1"/>
          <w:sz w:val="22"/>
        </w:rPr>
        <w:t>Documentos del Proceso</w:t>
      </w:r>
      <w:r w:rsidR="00D3762A" w:rsidRPr="00F8643C">
        <w:rPr>
          <w:rFonts w:ascii="Arial" w:eastAsia="Calibri" w:hAnsi="Arial" w:cs="Arial"/>
          <w:color w:val="000000" w:themeColor="text1"/>
          <w:sz w:val="22"/>
        </w:rPr>
        <w:t xml:space="preserve">, esta es enunciativa, </w:t>
      </w:r>
      <w:r w:rsidR="00D3762A" w:rsidRPr="00F8643C">
        <w:rPr>
          <w:rFonts w:ascii="Arial" w:eastAsia="Arial" w:hAnsi="Arial" w:cs="Arial"/>
          <w:sz w:val="22"/>
          <w:lang w:val="es-ES"/>
        </w:rPr>
        <w:t>pues</w:t>
      </w:r>
      <w:r w:rsidR="006904C4">
        <w:rPr>
          <w:rFonts w:ascii="Arial" w:eastAsia="Arial" w:hAnsi="Arial" w:cs="Arial"/>
          <w:sz w:val="22"/>
          <w:lang w:val="es-ES"/>
        </w:rPr>
        <w:t>to que</w:t>
      </w:r>
      <w:r w:rsidR="00D3762A" w:rsidRPr="00F8643C">
        <w:rPr>
          <w:rFonts w:ascii="Arial" w:eastAsia="Arial" w:hAnsi="Arial" w:cs="Arial"/>
          <w:sz w:val="22"/>
          <w:lang w:val="es-ES"/>
        </w:rPr>
        <w:t xml:space="preserve"> el mismo artículo </w:t>
      </w:r>
      <w:r w:rsidR="006904C4">
        <w:rPr>
          <w:rFonts w:ascii="Arial" w:eastAsia="Arial" w:hAnsi="Arial" w:cs="Arial"/>
          <w:sz w:val="22"/>
          <w:lang w:val="es-ES"/>
        </w:rPr>
        <w:t>incluye dentro de</w:t>
      </w:r>
      <w:r w:rsidR="006904C4" w:rsidRPr="00F8643C">
        <w:rPr>
          <w:rFonts w:ascii="Arial" w:eastAsia="Arial" w:hAnsi="Arial" w:cs="Arial"/>
          <w:sz w:val="22"/>
          <w:lang w:val="es-ES"/>
        </w:rPr>
        <w:t xml:space="preserve"> </w:t>
      </w:r>
      <w:r w:rsidR="006904C4">
        <w:rPr>
          <w:rFonts w:ascii="Arial" w:eastAsia="Arial" w:hAnsi="Arial" w:cs="Arial"/>
          <w:sz w:val="22"/>
          <w:lang w:val="es-ES"/>
        </w:rPr>
        <w:t>estos</w:t>
      </w:r>
      <w:r w:rsidR="00D3762A" w:rsidRPr="00F8643C">
        <w:rPr>
          <w:rFonts w:ascii="Arial" w:eastAsia="Arial" w:hAnsi="Arial" w:cs="Arial"/>
          <w:sz w:val="22"/>
          <w:lang w:val="es-ES"/>
        </w:rPr>
        <w:t xml:space="preserve"> «</w:t>
      </w:r>
      <w:r w:rsidR="006904C4">
        <w:rPr>
          <w:rFonts w:ascii="Arial" w:eastAsia="Arial" w:hAnsi="Arial" w:cs="Arial"/>
          <w:sz w:val="22"/>
          <w:lang w:val="es-ES"/>
        </w:rPr>
        <w:t xml:space="preserve">[…] </w:t>
      </w:r>
      <w:r w:rsidR="00D3762A" w:rsidRPr="00F8643C">
        <w:rPr>
          <w:rFonts w:ascii="Arial" w:eastAsia="Arial" w:hAnsi="Arial" w:cs="Arial"/>
          <w:sz w:val="22"/>
          <w:lang w:val="es-ES"/>
        </w:rPr>
        <w:t xml:space="preserve">cualquier otro documento expedido por la Entidad Estatal durante el </w:t>
      </w:r>
      <w:r w:rsidR="00D3762A" w:rsidRPr="00F8643C">
        <w:rPr>
          <w:rFonts w:ascii="Arial" w:eastAsia="Arial" w:hAnsi="Arial" w:cs="Arial"/>
          <w:i/>
          <w:iCs/>
          <w:sz w:val="22"/>
          <w:lang w:val="es-ES"/>
        </w:rPr>
        <w:t>Proceso de Contratación»</w:t>
      </w:r>
      <w:r w:rsidR="00D3762A" w:rsidRPr="00F8643C">
        <w:rPr>
          <w:rFonts w:ascii="Arial" w:eastAsia="Arial" w:hAnsi="Arial" w:cs="Arial"/>
          <w:sz w:val="22"/>
          <w:lang w:val="es-ES"/>
        </w:rPr>
        <w:t xml:space="preserve">. </w:t>
      </w:r>
    </w:p>
    <w:p w14:paraId="698ED4EF" w14:textId="3DBF4F51" w:rsidR="00D33693" w:rsidRDefault="003D219E" w:rsidP="00F8643C">
      <w:pPr>
        <w:spacing w:before="120" w:line="276" w:lineRule="auto"/>
        <w:ind w:firstLine="708"/>
        <w:jc w:val="both"/>
        <w:rPr>
          <w:rFonts w:ascii="Arial" w:eastAsia="Calibri" w:hAnsi="Arial" w:cs="Arial"/>
          <w:color w:val="000000" w:themeColor="text1"/>
          <w:sz w:val="22"/>
          <w:szCs w:val="22"/>
        </w:rPr>
      </w:pPr>
      <w:r>
        <w:rPr>
          <w:rFonts w:ascii="Arial" w:eastAsia="Calibri" w:hAnsi="Arial" w:cs="Arial"/>
          <w:color w:val="000000" w:themeColor="text1"/>
          <w:sz w:val="22"/>
        </w:rPr>
        <w:t xml:space="preserve">No obstante, </w:t>
      </w:r>
      <w:r w:rsidR="00F8643C" w:rsidRPr="00F8643C">
        <w:rPr>
          <w:rFonts w:ascii="Arial" w:eastAsia="Arial" w:hAnsi="Arial" w:cs="Arial"/>
          <w:sz w:val="22"/>
          <w:lang w:val="es-ES"/>
        </w:rPr>
        <w:t xml:space="preserve">el análisis del deber de publicidad no se puede limitar al estudio del Decreto 1082 de 2015 y el artículo 3 de la </w:t>
      </w:r>
      <w:r>
        <w:rPr>
          <w:rFonts w:ascii="Arial" w:eastAsia="Arial" w:hAnsi="Arial" w:cs="Arial"/>
          <w:sz w:val="22"/>
          <w:lang w:val="es-ES"/>
        </w:rPr>
        <w:t>L</w:t>
      </w:r>
      <w:r w:rsidR="00F8643C" w:rsidRPr="00F8643C">
        <w:rPr>
          <w:rFonts w:ascii="Arial" w:eastAsia="Arial" w:hAnsi="Arial" w:cs="Arial"/>
          <w:sz w:val="22"/>
          <w:lang w:val="es-ES"/>
        </w:rPr>
        <w:t>ey 1150 de 2007, debido a que tanto la Ley 1712 de 2014 como el Decreto 1081 de 2015, no solo refuerzan y complementan al régimen de contratación estatal en cuanto a la publicidad, sino que lo amplían, para incluir la publicación de los «</w:t>
      </w:r>
      <w:r>
        <w:rPr>
          <w:rFonts w:ascii="Arial" w:eastAsia="Arial" w:hAnsi="Arial" w:cs="Arial"/>
          <w:sz w:val="22"/>
          <w:lang w:val="es-ES"/>
        </w:rPr>
        <w:t xml:space="preserve">[…] </w:t>
      </w:r>
      <w:r w:rsidR="00F8643C" w:rsidRPr="00F8643C">
        <w:rPr>
          <w:rFonts w:ascii="Arial" w:eastAsia="Arial" w:hAnsi="Arial" w:cs="Arial"/>
          <w:sz w:val="22"/>
          <w:lang w:val="es-ES"/>
        </w:rPr>
        <w:t xml:space="preserve">procedimientos» y la información relativa a la «gestión contractual», sin el condicionamiento de tratarse exclusivamente de los </w:t>
      </w:r>
      <w:r w:rsidR="00F8643C" w:rsidRPr="00F8643C">
        <w:rPr>
          <w:rFonts w:ascii="Arial" w:eastAsia="Arial" w:hAnsi="Arial" w:cs="Arial"/>
          <w:i/>
          <w:iCs/>
          <w:sz w:val="22"/>
          <w:lang w:val="es-ES"/>
        </w:rPr>
        <w:t xml:space="preserve">Documentos del Proceso </w:t>
      </w:r>
      <w:r w:rsidR="00F8643C" w:rsidRPr="00F8643C">
        <w:rPr>
          <w:rFonts w:ascii="Arial" w:eastAsia="Arial" w:hAnsi="Arial" w:cs="Arial"/>
          <w:sz w:val="22"/>
          <w:lang w:val="es-ES"/>
        </w:rPr>
        <w:t xml:space="preserve">expedidos por la «entidad estatal». Es decir, que la transacción al ser un mecanismo de resolución de conflictos que se relaciona con la gestión contractual deberá publicarse en el </w:t>
      </w:r>
      <w:r w:rsidR="00F8643C" w:rsidRPr="00F8643C">
        <w:rPr>
          <w:rFonts w:ascii="Arial" w:eastAsia="Arial" w:hAnsi="Arial" w:cs="Arial"/>
          <w:sz w:val="22"/>
          <w:lang w:val="es-ES"/>
        </w:rPr>
        <w:lastRenderedPageBreak/>
        <w:t>SECOP</w:t>
      </w:r>
      <w:r w:rsidR="004B07E6">
        <w:rPr>
          <w:rFonts w:ascii="Arial" w:eastAsia="Arial" w:hAnsi="Arial" w:cs="Arial"/>
          <w:sz w:val="22"/>
          <w:lang w:val="es-ES"/>
        </w:rPr>
        <w:t xml:space="preserve">, pues de lo contrario se estaría vulnerando </w:t>
      </w:r>
      <w:r w:rsidR="004B07E6" w:rsidRPr="000C0F96">
        <w:rPr>
          <w:rFonts w:ascii="Arial" w:eastAsia="Calibri" w:hAnsi="Arial" w:cs="Arial"/>
          <w:sz w:val="22"/>
          <w:lang w:val="es-ES"/>
        </w:rPr>
        <w:t xml:space="preserve">importantes principios de la transparencia y acceso a la información pública, como los de </w:t>
      </w:r>
      <w:r w:rsidR="004B07E6" w:rsidRPr="000C0F96">
        <w:rPr>
          <w:rStyle w:val="nfasis"/>
          <w:rFonts w:ascii="Arial" w:hAnsi="Arial" w:cs="Arial"/>
          <w:sz w:val="22"/>
          <w:lang w:val="es-ES"/>
        </w:rPr>
        <w:t>máxima publicidad para un titular universal</w:t>
      </w:r>
      <w:r w:rsidR="004B07E6" w:rsidRPr="000C0F96">
        <w:rPr>
          <w:rStyle w:val="Refdenotaalpie"/>
          <w:rFonts w:ascii="Arial" w:hAnsi="Arial" w:cs="Arial"/>
          <w:i/>
          <w:iCs/>
          <w:sz w:val="22"/>
          <w:lang w:val="es-ES"/>
        </w:rPr>
        <w:footnoteReference w:id="26"/>
      </w:r>
      <w:r w:rsidR="004B07E6" w:rsidRPr="000C0F96">
        <w:rPr>
          <w:rStyle w:val="nfasis"/>
          <w:rFonts w:ascii="Arial" w:hAnsi="Arial" w:cs="Arial"/>
          <w:sz w:val="22"/>
          <w:lang w:val="es-ES"/>
        </w:rPr>
        <w:t>, transparencia, facilitación y divulgación proactiva de la información</w:t>
      </w:r>
      <w:r w:rsidR="004B07E6" w:rsidRPr="000C0F96">
        <w:rPr>
          <w:rStyle w:val="Refdenotaalpie"/>
          <w:rFonts w:ascii="Arial" w:hAnsi="Arial" w:cs="Arial"/>
          <w:i/>
          <w:iCs/>
          <w:sz w:val="22"/>
          <w:lang w:val="es-ES"/>
        </w:rPr>
        <w:footnoteReference w:id="27"/>
      </w:r>
      <w:r w:rsidR="00F8643C" w:rsidRPr="00F8643C">
        <w:rPr>
          <w:rFonts w:ascii="Arial" w:eastAsia="Arial" w:hAnsi="Arial" w:cs="Arial"/>
          <w:sz w:val="22"/>
          <w:lang w:val="es-ES"/>
        </w:rPr>
        <w:t>.</w:t>
      </w:r>
      <w:r w:rsidR="00D33693">
        <w:rPr>
          <w:rFonts w:ascii="Arial" w:eastAsia="Calibri" w:hAnsi="Arial" w:cs="Arial"/>
          <w:color w:val="000000" w:themeColor="text1"/>
          <w:sz w:val="22"/>
          <w:szCs w:val="22"/>
        </w:rPr>
        <w:tab/>
      </w:r>
    </w:p>
    <w:p w14:paraId="06D729A6" w14:textId="77777777" w:rsidR="0056505E" w:rsidRDefault="0056505E" w:rsidP="0056505E">
      <w:pPr>
        <w:tabs>
          <w:tab w:val="left" w:pos="426"/>
        </w:tabs>
        <w:spacing w:line="276" w:lineRule="auto"/>
        <w:jc w:val="both"/>
        <w:rPr>
          <w:rFonts w:ascii="Arial" w:eastAsia="Calibri" w:hAnsi="Arial" w:cs="Arial"/>
          <w:b/>
          <w:bCs/>
          <w:color w:val="000000"/>
          <w:sz w:val="22"/>
          <w:lang w:val="es-ES" w:eastAsia="en-GB"/>
        </w:rPr>
      </w:pPr>
    </w:p>
    <w:p w14:paraId="25D13718" w14:textId="522F4A7E" w:rsidR="0056505E" w:rsidRDefault="0056505E" w:rsidP="0056505E">
      <w:pPr>
        <w:tabs>
          <w:tab w:val="left" w:pos="426"/>
        </w:tabs>
        <w:spacing w:line="276" w:lineRule="auto"/>
        <w:jc w:val="both"/>
        <w:rPr>
          <w:rFonts w:ascii="Arial" w:eastAsia="Calibri" w:hAnsi="Arial" w:cs="Arial"/>
          <w:b/>
          <w:bCs/>
          <w:color w:val="000000"/>
          <w:sz w:val="22"/>
          <w:lang w:val="es-ES" w:eastAsia="en-GB"/>
        </w:rPr>
      </w:pPr>
      <w:r w:rsidRPr="000C0F96">
        <w:rPr>
          <w:rFonts w:ascii="Arial" w:eastAsia="Calibri" w:hAnsi="Arial" w:cs="Arial"/>
          <w:b/>
          <w:bCs/>
          <w:color w:val="000000"/>
          <w:sz w:val="22"/>
          <w:lang w:val="es-ES" w:eastAsia="en-GB"/>
        </w:rPr>
        <w:t>2.</w:t>
      </w:r>
      <w:r>
        <w:rPr>
          <w:rFonts w:ascii="Arial" w:eastAsia="Calibri" w:hAnsi="Arial" w:cs="Arial"/>
          <w:b/>
          <w:bCs/>
          <w:color w:val="000000"/>
          <w:sz w:val="22"/>
          <w:lang w:val="es-ES" w:eastAsia="en-GB"/>
        </w:rPr>
        <w:t>3</w:t>
      </w:r>
      <w:r w:rsidRPr="000C0F96">
        <w:rPr>
          <w:rFonts w:ascii="Arial" w:eastAsia="Calibri" w:hAnsi="Arial" w:cs="Arial"/>
          <w:b/>
          <w:bCs/>
          <w:color w:val="000000"/>
          <w:sz w:val="22"/>
          <w:lang w:val="es-ES" w:eastAsia="en-GB"/>
        </w:rPr>
        <w:t xml:space="preserve">. </w:t>
      </w:r>
      <w:r>
        <w:rPr>
          <w:rFonts w:ascii="Arial" w:eastAsia="Calibri" w:hAnsi="Arial" w:cs="Arial"/>
          <w:b/>
          <w:bCs/>
          <w:color w:val="000000"/>
          <w:sz w:val="22"/>
          <w:lang w:val="es-ES" w:eastAsia="en-GB"/>
        </w:rPr>
        <w:t>L</w:t>
      </w:r>
      <w:r w:rsidRPr="000C0F96">
        <w:rPr>
          <w:rFonts w:ascii="Arial" w:eastAsia="Calibri" w:hAnsi="Arial" w:cs="Arial"/>
          <w:b/>
          <w:bCs/>
          <w:color w:val="000000"/>
          <w:sz w:val="22"/>
          <w:lang w:val="es-ES" w:eastAsia="en-GB"/>
        </w:rPr>
        <w:t>ímites al deber de divulgación proactiva de la información en la contratación estatal. Habeas data y política de transparencia</w:t>
      </w:r>
    </w:p>
    <w:p w14:paraId="663B49F7" w14:textId="77777777" w:rsidR="0056505E" w:rsidRPr="000C0F96" w:rsidRDefault="0056505E" w:rsidP="0056505E">
      <w:pPr>
        <w:spacing w:line="276" w:lineRule="auto"/>
        <w:jc w:val="both"/>
        <w:rPr>
          <w:rFonts w:ascii="Arial" w:eastAsia="Calibri" w:hAnsi="Arial" w:cs="Arial"/>
          <w:color w:val="000000" w:themeColor="text1"/>
          <w:sz w:val="22"/>
          <w:lang w:val="es-ES"/>
        </w:rPr>
      </w:pPr>
    </w:p>
    <w:p w14:paraId="0B91760E" w14:textId="77777777" w:rsidR="0056505E" w:rsidRPr="000C0F96" w:rsidRDefault="0056505E" w:rsidP="0056505E">
      <w:pPr>
        <w:tabs>
          <w:tab w:val="left" w:pos="426"/>
        </w:tabs>
        <w:spacing w:line="276" w:lineRule="auto"/>
        <w:jc w:val="both"/>
        <w:rPr>
          <w:rFonts w:ascii="Arial" w:eastAsia="Calibri" w:hAnsi="Arial" w:cs="Arial"/>
          <w:color w:val="000000"/>
          <w:sz w:val="22"/>
          <w:lang w:val="es-ES" w:eastAsia="en-GB"/>
        </w:rPr>
      </w:pPr>
      <w:r>
        <w:rPr>
          <w:rFonts w:ascii="Arial" w:eastAsia="Calibri" w:hAnsi="Arial" w:cs="Arial"/>
          <w:sz w:val="22"/>
          <w:lang w:val="es-ES"/>
        </w:rPr>
        <w:t>Sin perjuicio de</w:t>
      </w:r>
      <w:r w:rsidRPr="000C0F96">
        <w:rPr>
          <w:rFonts w:ascii="Arial" w:eastAsia="Calibri" w:hAnsi="Arial" w:cs="Arial"/>
          <w:sz w:val="22"/>
          <w:lang w:val="es-ES"/>
        </w:rPr>
        <w:t xml:space="preserve"> lo expresado en el numeral anterior, vale la pena aclarar que el cumplimiento del deber de publicación de la documentación contractual debe armonizarse con las normas aplicables al tipo de información que estas contienen. Lo anterior significa que, respecto de datos sensibles, información sometida a reserva o de la cual proceda un tratamiento especial que impida su publicidad, las entidades deberán proceder de conformidad con el tratamiento que impongan tales normas, absteniéndose, de ser el caso, de publicar </w:t>
      </w:r>
      <w:r w:rsidRPr="00E05F9B">
        <w:rPr>
          <w:rFonts w:ascii="Arial" w:eastAsia="Calibri" w:hAnsi="Arial" w:cs="Arial"/>
          <w:i/>
          <w:iCs/>
          <w:sz w:val="22"/>
          <w:lang w:val="es-ES"/>
        </w:rPr>
        <w:t>Documentos del Proceso</w:t>
      </w:r>
      <w:r w:rsidRPr="000C0F96">
        <w:rPr>
          <w:rFonts w:ascii="Arial" w:eastAsia="Calibri" w:hAnsi="Arial" w:cs="Arial"/>
          <w:sz w:val="22"/>
          <w:lang w:val="es-ES"/>
        </w:rPr>
        <w:t xml:space="preserve">, o las partes pertinentes en las que se evidencie este tipo de información. Para dichos eventos, la plataforma SECOP II, </w:t>
      </w:r>
      <w:r w:rsidRPr="000C0F96">
        <w:rPr>
          <w:rFonts w:ascii="Arial" w:hAnsi="Arial" w:cs="Arial"/>
          <w:sz w:val="22"/>
          <w:lang w:val="es-ES"/>
        </w:rPr>
        <w:t>antes de publicar las ofertas, brinda a las entidades la opción de calificar dicha información como confidencial, lo cual impide que los documentos se publiquen.</w:t>
      </w:r>
    </w:p>
    <w:p w14:paraId="666AAB16" w14:textId="77777777" w:rsidR="0056505E" w:rsidRPr="000C0F96" w:rsidRDefault="0056505E" w:rsidP="0056505E">
      <w:pPr>
        <w:spacing w:before="120" w:line="276" w:lineRule="auto"/>
        <w:ind w:firstLine="709"/>
        <w:jc w:val="both"/>
        <w:rPr>
          <w:rFonts w:ascii="Arial" w:hAnsi="Arial" w:cs="Arial"/>
          <w:sz w:val="22"/>
          <w:lang w:val="es-ES"/>
        </w:rPr>
      </w:pPr>
      <w:r w:rsidRPr="000C0F96">
        <w:rPr>
          <w:rFonts w:ascii="Arial" w:eastAsia="Calibri" w:hAnsi="Arial" w:cs="Arial"/>
          <w:color w:val="000000"/>
          <w:sz w:val="22"/>
          <w:lang w:val="es-ES" w:eastAsia="en-GB"/>
        </w:rPr>
        <w:t xml:space="preserve">En otras palabras, por más de que el artículo 74 de la Constitución establezca que la información pública debe ser dada a conocer a la ciudadanía y así los documentos que hagan parte de la actividad contractual puedan catalogarse, </w:t>
      </w:r>
      <w:r w:rsidRPr="000C0F96">
        <w:rPr>
          <w:rFonts w:ascii="Arial" w:eastAsia="Calibri" w:hAnsi="Arial" w:cs="Arial"/>
          <w:i/>
          <w:iCs/>
          <w:color w:val="000000"/>
          <w:sz w:val="22"/>
          <w:lang w:val="es-ES" w:eastAsia="en-GB"/>
        </w:rPr>
        <w:t>prima facie,</w:t>
      </w:r>
      <w:r w:rsidRPr="000C0F96">
        <w:rPr>
          <w:rFonts w:ascii="Arial" w:eastAsia="Calibri" w:hAnsi="Arial" w:cs="Arial"/>
          <w:color w:val="000000"/>
          <w:sz w:val="22"/>
          <w:lang w:val="es-ES" w:eastAsia="en-GB"/>
        </w:rPr>
        <w:t xml:space="preserve"> como información pública, cuando dicha documentación contenga datos sensibles, operan algunas restricciones a su publicidad. Sin embargo, esto no necesariamente convierte el documento completo en reservado, es decir, en un documento que no puede publicarse.</w:t>
      </w:r>
    </w:p>
    <w:p w14:paraId="25324715" w14:textId="77777777" w:rsidR="0056505E" w:rsidRPr="000C0F96" w:rsidRDefault="0056505E" w:rsidP="0056505E">
      <w:pPr>
        <w:tabs>
          <w:tab w:val="left" w:pos="426"/>
        </w:tabs>
        <w:spacing w:before="120" w:line="276" w:lineRule="auto"/>
        <w:ind w:firstLine="709"/>
        <w:jc w:val="both"/>
        <w:rPr>
          <w:rFonts w:ascii="Arial" w:eastAsia="Calibri" w:hAnsi="Arial" w:cs="Arial"/>
          <w:color w:val="000000"/>
          <w:sz w:val="22"/>
          <w:lang w:val="es-ES" w:eastAsia="en-GB"/>
        </w:rPr>
      </w:pPr>
      <w:r w:rsidRPr="000C0F96">
        <w:rPr>
          <w:rFonts w:ascii="Arial" w:eastAsia="Calibri" w:hAnsi="Arial" w:cs="Arial"/>
          <w:color w:val="000000"/>
          <w:sz w:val="22"/>
          <w:lang w:val="es-ES" w:eastAsia="en-GB"/>
        </w:rPr>
        <w:lastRenderedPageBreak/>
        <w:t>El enunciado constitucional, en armonía con los artículos 18 y 19 de la Ley 1712 de 2014 y los artículos 24 y 25 de la Ley 1437 de 2011, establecen que el derecho de acceso a la información o documentación pública no es absoluto, sino que puede exceptuarse cuando se configuren causales de reserva. Así mismo, hay información que goza de protección especial y no puede divulgarse. La información pública que contiene datos semiprivados o privados, definidos en los literales g) y h) del artículo 3° de la Ley 1266 de 2008, clasificados o reservados, según los artículos 18 y 19 de la Ley 1712 de 2014, o datos personales o sensibles, según lo previsto en los artículos 3° y 5° de la Ley 1581 de 2012 y en el numeral 3° del artículo 3° del Decreto 1377 de 2013, solo podrá divulgarse según las reglas establecidas en dichas normas. Pero esto no quiere decir que todo el documento se convierta en reservado, sino que se debe proceder como se indica a continuación.</w:t>
      </w:r>
    </w:p>
    <w:p w14:paraId="14DDAD2D" w14:textId="531F44C8" w:rsidR="0056505E" w:rsidRPr="000C0F96" w:rsidRDefault="0056505E" w:rsidP="0056505E">
      <w:pPr>
        <w:tabs>
          <w:tab w:val="left" w:pos="426"/>
        </w:tabs>
        <w:spacing w:before="120" w:line="276" w:lineRule="auto"/>
        <w:ind w:firstLine="709"/>
        <w:jc w:val="both"/>
        <w:rPr>
          <w:rFonts w:ascii="Arial" w:eastAsia="Calibri" w:hAnsi="Arial" w:cs="Arial"/>
          <w:color w:val="000000"/>
          <w:sz w:val="22"/>
          <w:lang w:val="es-ES" w:eastAsia="en-GB"/>
        </w:rPr>
      </w:pPr>
      <w:r w:rsidRPr="000C0F96">
        <w:rPr>
          <w:rFonts w:ascii="Arial" w:eastAsia="Calibri" w:hAnsi="Arial" w:cs="Arial"/>
          <w:color w:val="000000"/>
          <w:sz w:val="22"/>
          <w:lang w:val="es-ES" w:eastAsia="en-GB"/>
        </w:rPr>
        <w:t>Cuando el documento contractual tenga información sensible, clasificada o reservada, para proteger la información, las autoridades deben abstenerse de publicar en el SECOP la información que tiene protección especial, tal como sucede con el contenido de la hoja de vida</w:t>
      </w:r>
      <w:r w:rsidR="00126137">
        <w:rPr>
          <w:rFonts w:ascii="Arial" w:eastAsia="Calibri" w:hAnsi="Arial" w:cs="Arial"/>
          <w:color w:val="000000"/>
          <w:sz w:val="22"/>
          <w:lang w:val="es-ES" w:eastAsia="en-GB"/>
        </w:rPr>
        <w:t xml:space="preserve"> o el contrato de transacción</w:t>
      </w:r>
      <w:r w:rsidR="00311773">
        <w:rPr>
          <w:rFonts w:ascii="Arial" w:eastAsia="Calibri" w:hAnsi="Arial" w:cs="Arial"/>
          <w:color w:val="000000"/>
          <w:sz w:val="22"/>
          <w:lang w:val="es-ES" w:eastAsia="en-GB"/>
        </w:rPr>
        <w:t>,</w:t>
      </w:r>
      <w:r w:rsidRPr="000C0F96">
        <w:rPr>
          <w:rFonts w:ascii="Arial" w:eastAsia="Calibri" w:hAnsi="Arial" w:cs="Arial"/>
          <w:color w:val="000000"/>
          <w:sz w:val="22"/>
          <w:lang w:val="es-ES" w:eastAsia="en-GB"/>
        </w:rPr>
        <w:t xml:space="preserve"> que involucre información relacionada con los derechos a la privacidad e intimidad de las personas</w:t>
      </w:r>
      <w:r w:rsidRPr="000C0F96">
        <w:rPr>
          <w:rStyle w:val="Refdenotaalpie"/>
          <w:rFonts w:ascii="Arial" w:eastAsia="Calibri" w:hAnsi="Arial" w:cs="Arial"/>
          <w:color w:val="000000"/>
          <w:sz w:val="22"/>
          <w:lang w:val="es-ES" w:eastAsia="en-GB"/>
        </w:rPr>
        <w:footnoteReference w:id="28"/>
      </w:r>
      <w:r w:rsidR="00CD5431">
        <w:rPr>
          <w:rFonts w:ascii="Arial" w:eastAsia="Calibri" w:hAnsi="Arial" w:cs="Arial"/>
          <w:color w:val="000000"/>
          <w:sz w:val="22"/>
          <w:lang w:val="es-ES" w:eastAsia="en-GB"/>
        </w:rPr>
        <w:t>.</w:t>
      </w:r>
    </w:p>
    <w:p w14:paraId="0DDC7A6B" w14:textId="77777777" w:rsidR="00CD5431" w:rsidRDefault="0056505E" w:rsidP="0056505E">
      <w:pPr>
        <w:tabs>
          <w:tab w:val="left" w:pos="426"/>
        </w:tabs>
        <w:spacing w:before="120" w:line="276" w:lineRule="auto"/>
        <w:ind w:firstLine="709"/>
        <w:jc w:val="both"/>
        <w:rPr>
          <w:rFonts w:ascii="Arial" w:eastAsia="Calibri" w:hAnsi="Arial" w:cs="Arial"/>
          <w:color w:val="000000"/>
          <w:sz w:val="22"/>
          <w:lang w:val="es-ES" w:eastAsia="en-GB"/>
        </w:rPr>
      </w:pPr>
      <w:r w:rsidRPr="000C0F96">
        <w:rPr>
          <w:rFonts w:ascii="Arial" w:eastAsia="Calibri" w:hAnsi="Arial" w:cs="Arial"/>
          <w:color w:val="000000"/>
          <w:sz w:val="22"/>
          <w:lang w:val="es-ES" w:eastAsia="en-GB"/>
        </w:rPr>
        <w:t>Sin embargo, de acuerdo con el segundo inciso del artículo 25 de la Ley 1437 de 2011 «La restricción por reserva legal no se extenderá a otras piezas del respectivo expediente o actuación que no estén cubiertas por ella». Por ello, la entidad estatal deberá excluir del documento entregado por el proponente en el procedimiento contractual la información que contenga datos sensibles, clasificados o reservados, para no divulgarla, pero debe publicar las demás piezas de la oferta o los apartados que no gozan de reserva o que no están protegidos por las disposiciones de habeas data. En consecuencia, la entidad contratante al momento de recibir información sujeta a reserva legal o cuyo contenido involucre datos sensibles, deberá abstenerse de publicarlos en el SECOP y por consiguiente tendrá que incorporarlos en un cuaderno separado en los términos del tercer inciso del artículo 36 del CPACA</w:t>
      </w:r>
      <w:r w:rsidRPr="000C0F96">
        <w:rPr>
          <w:rStyle w:val="Refdenotaalpie"/>
          <w:rFonts w:ascii="Arial" w:eastAsia="Calibri" w:hAnsi="Arial" w:cs="Arial"/>
          <w:color w:val="000000"/>
          <w:sz w:val="22"/>
          <w:lang w:val="es-ES" w:eastAsia="en-GB"/>
        </w:rPr>
        <w:footnoteReference w:id="29"/>
      </w:r>
      <w:r w:rsidRPr="000C0F96">
        <w:rPr>
          <w:rFonts w:ascii="Arial" w:eastAsia="Calibri" w:hAnsi="Arial" w:cs="Arial"/>
          <w:color w:val="000000"/>
          <w:sz w:val="22"/>
          <w:lang w:val="es-ES" w:eastAsia="en-GB"/>
        </w:rPr>
        <w:t xml:space="preserve">. </w:t>
      </w:r>
    </w:p>
    <w:p w14:paraId="174941D6" w14:textId="5E510CD9" w:rsidR="0056505E" w:rsidRDefault="0056505E" w:rsidP="0056505E">
      <w:pPr>
        <w:tabs>
          <w:tab w:val="left" w:pos="426"/>
        </w:tabs>
        <w:spacing w:before="120" w:line="276" w:lineRule="auto"/>
        <w:ind w:firstLine="709"/>
        <w:jc w:val="both"/>
        <w:rPr>
          <w:rFonts w:ascii="Arial" w:eastAsia="Calibri" w:hAnsi="Arial" w:cs="Arial"/>
          <w:color w:val="000000"/>
          <w:sz w:val="22"/>
          <w:lang w:val="es-ES" w:eastAsia="en-GB"/>
        </w:rPr>
      </w:pPr>
      <w:r w:rsidRPr="000C0F96">
        <w:rPr>
          <w:rFonts w:ascii="Arial" w:eastAsia="Calibri" w:hAnsi="Arial" w:cs="Arial"/>
          <w:color w:val="000000"/>
          <w:sz w:val="22"/>
          <w:lang w:val="es-ES" w:eastAsia="en-GB"/>
        </w:rPr>
        <w:t xml:space="preserve"> </w:t>
      </w:r>
    </w:p>
    <w:p w14:paraId="6666C097" w14:textId="3E5CC749" w:rsidR="00CD5431" w:rsidRDefault="00CD5431" w:rsidP="0056505E">
      <w:pPr>
        <w:tabs>
          <w:tab w:val="left" w:pos="426"/>
        </w:tabs>
        <w:spacing w:before="120" w:line="276" w:lineRule="auto"/>
        <w:ind w:firstLine="709"/>
        <w:jc w:val="both"/>
        <w:rPr>
          <w:rFonts w:ascii="Arial" w:eastAsia="Calibri" w:hAnsi="Arial" w:cs="Arial"/>
          <w:color w:val="000000"/>
          <w:sz w:val="22"/>
          <w:lang w:val="es-ES" w:eastAsia="en-GB"/>
        </w:rPr>
      </w:pPr>
    </w:p>
    <w:p w14:paraId="37CA9805" w14:textId="74A99BE5" w:rsidR="00DD5B04" w:rsidRPr="00C440B6" w:rsidRDefault="004177A6" w:rsidP="00510DE9">
      <w:pPr>
        <w:tabs>
          <w:tab w:val="left" w:pos="0"/>
        </w:tabs>
        <w:jc w:val="both"/>
        <w:rPr>
          <w:rFonts w:ascii="Arial" w:eastAsia="Calibri" w:hAnsi="Arial" w:cs="Arial"/>
          <w:b/>
          <w:color w:val="000000" w:themeColor="text1"/>
          <w:sz w:val="22"/>
          <w:lang w:val="es-ES_tradnl"/>
        </w:rPr>
      </w:pPr>
      <w:r w:rsidRPr="00C440B6">
        <w:rPr>
          <w:rFonts w:ascii="Arial" w:eastAsia="Calibri" w:hAnsi="Arial" w:cs="Arial"/>
          <w:b/>
          <w:color w:val="000000" w:themeColor="text1"/>
          <w:sz w:val="22"/>
          <w:lang w:val="es-ES_tradnl"/>
        </w:rPr>
        <w:t>3</w:t>
      </w:r>
      <w:r w:rsidR="00B011A9" w:rsidRPr="00C440B6">
        <w:rPr>
          <w:rFonts w:ascii="Arial" w:eastAsia="Calibri" w:hAnsi="Arial" w:cs="Arial"/>
          <w:b/>
          <w:color w:val="000000" w:themeColor="text1"/>
          <w:sz w:val="22"/>
          <w:lang w:val="es-ES_tradnl"/>
        </w:rPr>
        <w:t xml:space="preserve">. </w:t>
      </w:r>
      <w:r w:rsidR="00DD5B04" w:rsidRPr="00C440B6">
        <w:rPr>
          <w:rFonts w:ascii="Arial" w:eastAsia="Calibri" w:hAnsi="Arial" w:cs="Arial"/>
          <w:b/>
          <w:color w:val="000000" w:themeColor="text1"/>
          <w:sz w:val="22"/>
          <w:lang w:val="es-ES_tradnl"/>
        </w:rPr>
        <w:t>Respuesta</w:t>
      </w:r>
      <w:r w:rsidR="002A7D84" w:rsidRPr="00C440B6">
        <w:rPr>
          <w:rFonts w:ascii="Arial" w:eastAsia="Calibri" w:hAnsi="Arial" w:cs="Arial"/>
          <w:b/>
          <w:color w:val="000000" w:themeColor="text1"/>
          <w:sz w:val="22"/>
          <w:lang w:val="es-ES_tradnl"/>
        </w:rPr>
        <w:t>s</w:t>
      </w:r>
    </w:p>
    <w:p w14:paraId="0B74D5B8" w14:textId="7F0A7F13" w:rsidR="00C4581D" w:rsidRPr="00C440B6" w:rsidRDefault="00C4581D" w:rsidP="00510DE9">
      <w:pPr>
        <w:tabs>
          <w:tab w:val="left" w:pos="0"/>
        </w:tabs>
        <w:jc w:val="both"/>
        <w:rPr>
          <w:rFonts w:ascii="Arial" w:eastAsia="Calibri" w:hAnsi="Arial" w:cs="Arial"/>
          <w:color w:val="000000" w:themeColor="text1"/>
          <w:sz w:val="22"/>
          <w:lang w:val="es-ES_tradnl"/>
        </w:rPr>
      </w:pPr>
    </w:p>
    <w:p w14:paraId="1E2B4F0D" w14:textId="77777777" w:rsidR="00BF3227" w:rsidRPr="008E114D" w:rsidRDefault="00BF3227" w:rsidP="00BF3227">
      <w:pPr>
        <w:ind w:left="709" w:right="709"/>
        <w:jc w:val="both"/>
        <w:rPr>
          <w:rFonts w:ascii="Calibri" w:hAnsi="Calibri" w:cs="Calibri"/>
          <w:color w:val="000000"/>
          <w:sz w:val="21"/>
          <w:szCs w:val="21"/>
        </w:rPr>
      </w:pPr>
      <w:r w:rsidRPr="008E114D">
        <w:rPr>
          <w:rFonts w:ascii="Arial" w:hAnsi="Arial" w:cs="Arial"/>
          <w:color w:val="000000"/>
          <w:sz w:val="21"/>
          <w:szCs w:val="21"/>
          <w:lang w:val="es-ES"/>
        </w:rPr>
        <w:t>¿Es jurídicamente viable que una entidad pública para precaver un litigio eventual por responsabilidad del Estado suscriba un contrato de transacción? ¿Qué normativa respalda esa posibilidad? ¿Debe someterse esto al comité de conciliación? ¿En caso de irregularidades en el contrato de transacción que medio de control puede usarse para demandarse? ¿Quién debe suscribir el contrato? ¿Debe publicarse en SECOP? ¿Qué requisitos adicionales debe cumplir esa transacción a más (sic) de los establecidos en el código civil?</w:t>
      </w:r>
    </w:p>
    <w:p w14:paraId="35D2EB08" w14:textId="77777777" w:rsidR="00F740A0" w:rsidRPr="00C440B6" w:rsidRDefault="00F740A0" w:rsidP="00DF76A2">
      <w:pPr>
        <w:spacing w:line="276" w:lineRule="auto"/>
        <w:jc w:val="both"/>
        <w:rPr>
          <w:rFonts w:ascii="Arial" w:eastAsia="Calibri" w:hAnsi="Arial" w:cs="Arial"/>
          <w:color w:val="000000" w:themeColor="text1"/>
          <w:sz w:val="22"/>
          <w:szCs w:val="22"/>
          <w:lang w:val="es-ES_tradnl"/>
        </w:rPr>
      </w:pPr>
    </w:p>
    <w:p w14:paraId="1FDD5FF9" w14:textId="7F3D1C0A" w:rsidR="004B07E6" w:rsidRDefault="004B07E6" w:rsidP="002B6DB6">
      <w:pPr>
        <w:spacing w:after="120" w:line="276" w:lineRule="auto"/>
        <w:jc w:val="both"/>
        <w:rPr>
          <w:rFonts w:ascii="Arial" w:hAnsi="Arial" w:cs="Arial"/>
          <w:color w:val="000000"/>
          <w:sz w:val="22"/>
          <w:szCs w:val="22"/>
          <w:lang w:val="es-ES_tradnl" w:eastAsia="en-US"/>
        </w:rPr>
      </w:pPr>
      <w:r>
        <w:rPr>
          <w:rFonts w:ascii="Arial" w:hAnsi="Arial" w:cs="Arial"/>
          <w:sz w:val="22"/>
          <w:szCs w:val="22"/>
          <w:lang w:val="es-ES"/>
        </w:rPr>
        <w:t xml:space="preserve">La suscripción de un contrato de transacción por parte de una entidad estatal para </w:t>
      </w:r>
      <w:r w:rsidR="00CD51CB">
        <w:rPr>
          <w:rFonts w:ascii="Arial" w:hAnsi="Arial" w:cs="Arial"/>
          <w:sz w:val="22"/>
          <w:szCs w:val="22"/>
          <w:lang w:val="es-ES"/>
        </w:rPr>
        <w:t xml:space="preserve">precaver </w:t>
      </w:r>
      <w:r>
        <w:rPr>
          <w:rFonts w:ascii="Arial" w:hAnsi="Arial" w:cs="Arial"/>
          <w:sz w:val="22"/>
          <w:szCs w:val="22"/>
          <w:lang w:val="es-ES"/>
        </w:rPr>
        <w:t xml:space="preserve">o poner fin a un litigio es jurídicamente viable. Esta facultad ha sido reconocida por la jurisprudencia del Consejo de Estado, además en la Ley 80 de 1993, se evidencian varias disposiciones que consagran este </w:t>
      </w:r>
      <w:r w:rsidR="00937795">
        <w:rPr>
          <w:rFonts w:ascii="Arial" w:hAnsi="Arial" w:cs="Arial"/>
          <w:sz w:val="22"/>
          <w:szCs w:val="22"/>
          <w:lang w:val="es-ES"/>
        </w:rPr>
        <w:t>–</w:t>
      </w:r>
      <w:r>
        <w:rPr>
          <w:rFonts w:ascii="Arial" w:hAnsi="Arial" w:cs="Arial"/>
          <w:sz w:val="22"/>
          <w:szCs w:val="22"/>
          <w:lang w:val="es-ES"/>
        </w:rPr>
        <w:t>Art</w:t>
      </w:r>
      <w:r w:rsidR="00937795">
        <w:rPr>
          <w:rFonts w:ascii="Arial" w:hAnsi="Arial" w:cs="Arial"/>
          <w:sz w:val="22"/>
          <w:szCs w:val="22"/>
          <w:lang w:val="es-ES"/>
        </w:rPr>
        <w:t>.</w:t>
      </w:r>
      <w:r>
        <w:rPr>
          <w:rFonts w:ascii="Arial" w:hAnsi="Arial" w:cs="Arial"/>
          <w:sz w:val="22"/>
          <w:szCs w:val="22"/>
          <w:lang w:val="es-ES"/>
        </w:rPr>
        <w:t xml:space="preserve"> 4. 9;</w:t>
      </w:r>
      <w:r w:rsidR="003867B3">
        <w:rPr>
          <w:rFonts w:ascii="Arial" w:hAnsi="Arial" w:cs="Arial"/>
          <w:sz w:val="22"/>
          <w:szCs w:val="22"/>
          <w:lang w:val="es-ES"/>
        </w:rPr>
        <w:t xml:space="preserve"> 25.5</w:t>
      </w:r>
      <w:r>
        <w:rPr>
          <w:rFonts w:ascii="Arial" w:hAnsi="Arial" w:cs="Arial"/>
          <w:sz w:val="22"/>
          <w:szCs w:val="22"/>
          <w:lang w:val="es-ES"/>
        </w:rPr>
        <w:t xml:space="preserve"> </w:t>
      </w:r>
      <w:r w:rsidR="003867B3">
        <w:rPr>
          <w:rFonts w:ascii="Arial" w:hAnsi="Arial" w:cs="Arial"/>
          <w:sz w:val="22"/>
          <w:szCs w:val="22"/>
          <w:lang w:val="es-ES"/>
        </w:rPr>
        <w:t>y</w:t>
      </w:r>
      <w:r>
        <w:rPr>
          <w:rFonts w:ascii="Arial" w:hAnsi="Arial" w:cs="Arial"/>
          <w:sz w:val="22"/>
          <w:szCs w:val="22"/>
          <w:lang w:val="es-ES"/>
        </w:rPr>
        <w:t xml:space="preserve"> 60</w:t>
      </w:r>
      <w:r w:rsidR="003867B3">
        <w:rPr>
          <w:rFonts w:ascii="Arial" w:hAnsi="Arial" w:cs="Arial"/>
          <w:sz w:val="22"/>
          <w:szCs w:val="22"/>
          <w:lang w:val="es-ES"/>
        </w:rPr>
        <w:t>–</w:t>
      </w:r>
      <w:r>
        <w:rPr>
          <w:rFonts w:ascii="Arial" w:hAnsi="Arial" w:cs="Arial"/>
          <w:color w:val="000000"/>
          <w:sz w:val="22"/>
          <w:szCs w:val="22"/>
          <w:lang w:val="es-ES_tradnl"/>
        </w:rPr>
        <w:t>. Además de los requisitos establecidos en el Código Civil y la jurisprudencia, cuando la transacción la celebra una entidad estatal, deberá hacerse por escrito</w:t>
      </w:r>
      <w:r w:rsidR="009D64B1">
        <w:rPr>
          <w:rFonts w:ascii="Arial" w:hAnsi="Arial" w:cs="Arial"/>
          <w:color w:val="000000"/>
          <w:sz w:val="22"/>
          <w:szCs w:val="22"/>
          <w:lang w:val="es-ES_tradnl"/>
        </w:rPr>
        <w:t xml:space="preserve">, </w:t>
      </w:r>
      <w:r w:rsidR="007D6C5F">
        <w:rPr>
          <w:rFonts w:ascii="Arial" w:hAnsi="Arial" w:cs="Arial"/>
          <w:color w:val="000000"/>
          <w:sz w:val="22"/>
          <w:szCs w:val="22"/>
          <w:lang w:val="es-ES_tradnl"/>
        </w:rPr>
        <w:t>al estar los contratos estatales revestidos de tal solemnidad</w:t>
      </w:r>
      <w:r w:rsidR="009D64B1">
        <w:rPr>
          <w:rFonts w:ascii="Arial" w:hAnsi="Arial" w:cs="Arial"/>
          <w:color w:val="000000"/>
          <w:sz w:val="22"/>
          <w:szCs w:val="22"/>
          <w:lang w:val="es-ES_tradnl"/>
        </w:rPr>
        <w:t xml:space="preserve"> </w:t>
      </w:r>
      <w:r w:rsidR="007D6C5F">
        <w:rPr>
          <w:rFonts w:ascii="Arial" w:hAnsi="Arial" w:cs="Arial"/>
          <w:color w:val="000000"/>
          <w:sz w:val="22"/>
          <w:szCs w:val="22"/>
          <w:lang w:val="es-ES_tradnl"/>
        </w:rPr>
        <w:t>en virtud de lo dispuesto en el artículo 39 de la Ley 80 de 1993.</w:t>
      </w:r>
    </w:p>
    <w:p w14:paraId="30FAFD20" w14:textId="7454B2E3" w:rsidR="004B07E6" w:rsidRDefault="004B07E6" w:rsidP="002B6DB6">
      <w:pPr>
        <w:spacing w:before="120" w:after="120" w:line="276" w:lineRule="auto"/>
        <w:ind w:firstLine="709"/>
        <w:jc w:val="both"/>
        <w:rPr>
          <w:rFonts w:ascii="Arial" w:eastAsia="Calibri" w:hAnsi="Arial" w:cs="Arial"/>
          <w:color w:val="000000" w:themeColor="text1"/>
          <w:sz w:val="22"/>
          <w:szCs w:val="22"/>
        </w:rPr>
      </w:pPr>
      <w:r>
        <w:rPr>
          <w:rFonts w:ascii="Arial" w:eastAsia="Calibri" w:hAnsi="Arial" w:cs="Arial"/>
          <w:color w:val="000000" w:themeColor="text1"/>
          <w:sz w:val="22"/>
          <w:szCs w:val="22"/>
        </w:rPr>
        <w:t>A</w:t>
      </w:r>
      <w:r w:rsidRPr="00B52B5A">
        <w:rPr>
          <w:rFonts w:ascii="Arial" w:eastAsia="Calibri" w:hAnsi="Arial" w:cs="Arial"/>
          <w:color w:val="000000" w:themeColor="text1"/>
          <w:sz w:val="22"/>
          <w:szCs w:val="22"/>
        </w:rPr>
        <w:t>unque la transacción produce el efecto de cosa juzgada en última instancia, es factible demandar su nulidad o rescisión, de conformidad a los artículos 2476 a 2482 del Código Civil, así como por las causales generales de nulidad previstas en los artículos 1740 a 1756 del mencionado Código.</w:t>
      </w:r>
      <w:r>
        <w:rPr>
          <w:rFonts w:ascii="Arial" w:eastAsia="Calibri" w:hAnsi="Arial" w:cs="Arial"/>
          <w:color w:val="000000" w:themeColor="text1"/>
          <w:sz w:val="22"/>
          <w:szCs w:val="22"/>
        </w:rPr>
        <w:t xml:space="preserve"> </w:t>
      </w:r>
      <w:r w:rsidRPr="00857C31">
        <w:rPr>
          <w:rFonts w:ascii="Arial" w:eastAsia="Calibri" w:hAnsi="Arial" w:cs="Arial"/>
          <w:color w:val="000000" w:themeColor="text1"/>
          <w:sz w:val="22"/>
          <w:szCs w:val="22"/>
        </w:rPr>
        <w:t>Teniendo en cuenta que el contrato de transacción se enmarca en la definición de contrato estatal</w:t>
      </w:r>
      <w:r>
        <w:rPr>
          <w:rFonts w:ascii="Arial" w:eastAsia="Calibri" w:hAnsi="Arial" w:cs="Arial"/>
          <w:color w:val="000000" w:themeColor="text1"/>
          <w:sz w:val="22"/>
          <w:szCs w:val="22"/>
        </w:rPr>
        <w:t xml:space="preserve"> – pues se trata de un acto jurídico</w:t>
      </w:r>
      <w:r w:rsidR="00351B2A">
        <w:rPr>
          <w:rFonts w:ascii="Arial" w:eastAsia="Calibri" w:hAnsi="Arial" w:cs="Arial"/>
          <w:color w:val="000000" w:themeColor="text1"/>
          <w:sz w:val="22"/>
          <w:szCs w:val="22"/>
        </w:rPr>
        <w:t xml:space="preserve"> bilateral</w:t>
      </w:r>
      <w:r>
        <w:rPr>
          <w:rFonts w:ascii="Arial" w:eastAsia="Calibri" w:hAnsi="Arial" w:cs="Arial"/>
          <w:color w:val="000000" w:themeColor="text1"/>
          <w:sz w:val="22"/>
          <w:szCs w:val="22"/>
        </w:rPr>
        <w:t xml:space="preserve"> generador de obligaciones celebrado por una entidad estatal-</w:t>
      </w:r>
      <w:r w:rsidRPr="00857C31">
        <w:rPr>
          <w:rFonts w:ascii="Arial" w:eastAsia="Calibri" w:hAnsi="Arial" w:cs="Arial"/>
          <w:color w:val="000000" w:themeColor="text1"/>
          <w:sz w:val="22"/>
          <w:szCs w:val="22"/>
        </w:rPr>
        <w:t xml:space="preserve">, el medio de control que se debe utilizar en este caso </w:t>
      </w:r>
      <w:r w:rsidR="00CA39A4" w:rsidRPr="00857C31">
        <w:rPr>
          <w:rFonts w:ascii="Arial" w:eastAsia="Calibri" w:hAnsi="Arial" w:cs="Arial"/>
          <w:color w:val="000000" w:themeColor="text1"/>
          <w:sz w:val="22"/>
          <w:szCs w:val="22"/>
        </w:rPr>
        <w:t>es</w:t>
      </w:r>
      <w:r w:rsidR="00CA39A4">
        <w:rPr>
          <w:rFonts w:ascii="Arial" w:eastAsia="Calibri" w:hAnsi="Arial" w:cs="Arial"/>
          <w:color w:val="000000" w:themeColor="text1"/>
          <w:sz w:val="22"/>
          <w:szCs w:val="22"/>
        </w:rPr>
        <w:t xml:space="preserve"> el </w:t>
      </w:r>
      <w:r w:rsidRPr="00857C31">
        <w:rPr>
          <w:rFonts w:ascii="Arial" w:eastAsia="Calibri" w:hAnsi="Arial" w:cs="Arial"/>
          <w:color w:val="000000" w:themeColor="text1"/>
          <w:sz w:val="22"/>
          <w:szCs w:val="22"/>
        </w:rPr>
        <w:t>de controversias contractuales previst</w:t>
      </w:r>
      <w:r w:rsidR="00CA39A4">
        <w:rPr>
          <w:rFonts w:ascii="Arial" w:eastAsia="Calibri" w:hAnsi="Arial" w:cs="Arial"/>
          <w:color w:val="000000" w:themeColor="text1"/>
          <w:sz w:val="22"/>
          <w:szCs w:val="22"/>
        </w:rPr>
        <w:t>o</w:t>
      </w:r>
      <w:r w:rsidRPr="00857C31">
        <w:rPr>
          <w:rFonts w:ascii="Arial" w:eastAsia="Calibri" w:hAnsi="Arial" w:cs="Arial"/>
          <w:color w:val="000000" w:themeColor="text1"/>
          <w:sz w:val="22"/>
          <w:szCs w:val="22"/>
        </w:rPr>
        <w:t xml:space="preserve"> en el artículo 141 del CPACA.</w:t>
      </w:r>
    </w:p>
    <w:p w14:paraId="2C5C2587" w14:textId="65123A43" w:rsidR="006A6E0C" w:rsidRPr="000E0D71" w:rsidRDefault="004B07E6" w:rsidP="002B6DB6">
      <w:pPr>
        <w:spacing w:before="120" w:after="120" w:line="276" w:lineRule="auto"/>
        <w:ind w:firstLine="709"/>
        <w:jc w:val="both"/>
        <w:rPr>
          <w:rFonts w:ascii="Arial" w:eastAsia="Calibri" w:hAnsi="Arial" w:cs="Arial"/>
          <w:color w:val="000000" w:themeColor="text1"/>
          <w:sz w:val="22"/>
          <w:szCs w:val="22"/>
          <w:lang w:val="es-ES_tradnl"/>
        </w:rPr>
      </w:pPr>
      <w:r>
        <w:rPr>
          <w:rFonts w:ascii="Arial" w:hAnsi="Arial" w:cs="Arial"/>
          <w:color w:val="000000"/>
          <w:sz w:val="22"/>
          <w:szCs w:val="22"/>
          <w:lang w:val="es-ES_tradnl"/>
        </w:rPr>
        <w:t>La transacción la debe suscribir el representante legal de la entidad, pues es</w:t>
      </w:r>
      <w:r>
        <w:rPr>
          <w:rFonts w:ascii="Arial" w:hAnsi="Arial" w:cs="Arial"/>
          <w:sz w:val="22"/>
          <w:szCs w:val="22"/>
          <w:lang w:val="es-ES"/>
        </w:rPr>
        <w:t xml:space="preserve"> el único que tiene la competencia para vincularla contractualmente. Lo anterior sin perjuicio de la autorización que se debe solicitar en los términos del artículo 313 del Código General del proceso</w:t>
      </w:r>
      <w:r w:rsidR="006A6E0C">
        <w:rPr>
          <w:rFonts w:ascii="Arial" w:hAnsi="Arial" w:cs="Arial"/>
          <w:sz w:val="22"/>
          <w:szCs w:val="22"/>
          <w:lang w:val="es-ES"/>
        </w:rPr>
        <w:t xml:space="preserve">, que exige </w:t>
      </w:r>
      <w:r w:rsidR="006A6E0C" w:rsidRPr="000E0D71">
        <w:rPr>
          <w:rFonts w:ascii="Arial" w:eastAsia="Calibri" w:hAnsi="Arial" w:cs="Arial"/>
          <w:color w:val="000000" w:themeColor="text1"/>
          <w:sz w:val="22"/>
          <w:szCs w:val="22"/>
          <w:lang w:val="es-ES_tradnl"/>
        </w:rPr>
        <w:t xml:space="preserve">dispone que </w:t>
      </w:r>
      <w:r w:rsidR="006A6E0C">
        <w:rPr>
          <w:rFonts w:ascii="Arial" w:eastAsia="Calibri" w:hAnsi="Arial" w:cs="Arial"/>
          <w:color w:val="000000" w:themeColor="text1"/>
          <w:sz w:val="22"/>
          <w:szCs w:val="22"/>
          <w:lang w:val="es-ES_tradnl"/>
        </w:rPr>
        <w:t>l</w:t>
      </w:r>
      <w:r w:rsidR="006A6E0C" w:rsidRPr="000E0D71">
        <w:rPr>
          <w:rFonts w:ascii="Arial" w:eastAsia="Calibri" w:hAnsi="Arial" w:cs="Arial"/>
          <w:color w:val="000000" w:themeColor="text1"/>
          <w:sz w:val="22"/>
          <w:szCs w:val="22"/>
          <w:lang w:val="es-ES_tradnl"/>
        </w:rPr>
        <w:t xml:space="preserve">os representantes de la nación, departamentos y municipios </w:t>
      </w:r>
      <w:r w:rsidR="006A6E0C">
        <w:rPr>
          <w:rFonts w:ascii="Arial" w:eastAsia="Calibri" w:hAnsi="Arial" w:cs="Arial"/>
          <w:color w:val="000000" w:themeColor="text1"/>
          <w:sz w:val="22"/>
          <w:szCs w:val="22"/>
          <w:lang w:val="es-ES_tradnl"/>
        </w:rPr>
        <w:t>cuenten con autorización expresa para</w:t>
      </w:r>
      <w:r w:rsidR="006A6E0C" w:rsidRPr="000E0D71">
        <w:rPr>
          <w:rFonts w:ascii="Arial" w:eastAsia="Calibri" w:hAnsi="Arial" w:cs="Arial"/>
          <w:color w:val="000000" w:themeColor="text1"/>
          <w:sz w:val="22"/>
          <w:szCs w:val="22"/>
          <w:lang w:val="es-ES_tradnl"/>
        </w:rPr>
        <w:t xml:space="preserve"> transigir </w:t>
      </w:r>
      <w:r w:rsidR="006A6E0C">
        <w:rPr>
          <w:rFonts w:ascii="Arial" w:eastAsia="Calibri" w:hAnsi="Arial" w:cs="Arial"/>
          <w:color w:val="000000" w:themeColor="text1"/>
          <w:sz w:val="22"/>
          <w:szCs w:val="22"/>
          <w:lang w:val="es-ES_tradnl"/>
        </w:rPr>
        <w:t xml:space="preserve">por parte </w:t>
      </w:r>
      <w:r w:rsidR="006A6E0C" w:rsidRPr="000E0D71">
        <w:rPr>
          <w:rFonts w:ascii="Arial" w:eastAsia="Calibri" w:hAnsi="Arial" w:cs="Arial"/>
          <w:color w:val="000000" w:themeColor="text1"/>
          <w:sz w:val="22"/>
          <w:szCs w:val="22"/>
          <w:lang w:val="es-ES_tradnl"/>
        </w:rPr>
        <w:t>del Gobierno Nacional, del gobernador o alcalde, según fuere el caso</w:t>
      </w:r>
      <w:r w:rsidR="008473B1">
        <w:rPr>
          <w:rFonts w:ascii="Arial" w:eastAsia="Calibri" w:hAnsi="Arial" w:cs="Arial"/>
          <w:color w:val="000000" w:themeColor="text1"/>
          <w:sz w:val="22"/>
          <w:szCs w:val="22"/>
          <w:lang w:val="es-ES_tradnl"/>
        </w:rPr>
        <w:t>.</w:t>
      </w:r>
    </w:p>
    <w:p w14:paraId="167B2974" w14:textId="64F5F380" w:rsidR="00C42160" w:rsidRDefault="004B07E6" w:rsidP="002B6DB6">
      <w:pPr>
        <w:spacing w:after="120" w:line="276" w:lineRule="auto"/>
        <w:ind w:firstLine="709"/>
        <w:jc w:val="both"/>
        <w:rPr>
          <w:rFonts w:ascii="Arial" w:hAnsi="Arial" w:cs="Arial"/>
          <w:color w:val="000000"/>
          <w:sz w:val="22"/>
          <w:szCs w:val="22"/>
          <w:lang w:val="es-ES_tradnl"/>
        </w:rPr>
      </w:pPr>
      <w:r>
        <w:rPr>
          <w:rFonts w:ascii="Arial" w:hAnsi="Arial" w:cs="Arial"/>
          <w:color w:val="000000"/>
          <w:sz w:val="22"/>
          <w:szCs w:val="22"/>
          <w:lang w:val="es-ES_tradnl"/>
        </w:rPr>
        <w:t>Teniendo en cuenta que</w:t>
      </w:r>
      <w:r w:rsidR="00C42160">
        <w:rPr>
          <w:rFonts w:ascii="Arial" w:eastAsia="Calibri" w:hAnsi="Arial" w:cs="Arial"/>
          <w:color w:val="000000" w:themeColor="text1"/>
          <w:sz w:val="22"/>
          <w:szCs w:val="22"/>
        </w:rPr>
        <w:t xml:space="preserve"> el artículo 2.2.4.3.1.2.2. del Decreto 1069 de 2015, no se limita a restringir la competencia del </w:t>
      </w:r>
      <w:r w:rsidR="008473B1">
        <w:rPr>
          <w:rFonts w:ascii="Arial" w:eastAsia="Calibri" w:hAnsi="Arial" w:cs="Arial"/>
          <w:color w:val="000000" w:themeColor="text1"/>
          <w:sz w:val="22"/>
          <w:szCs w:val="22"/>
        </w:rPr>
        <w:t>c</w:t>
      </w:r>
      <w:r w:rsidR="00C42160">
        <w:rPr>
          <w:rFonts w:ascii="Arial" w:eastAsia="Calibri" w:hAnsi="Arial" w:cs="Arial"/>
          <w:color w:val="000000" w:themeColor="text1"/>
          <w:sz w:val="22"/>
          <w:szCs w:val="22"/>
        </w:rPr>
        <w:t xml:space="preserve">omité de </w:t>
      </w:r>
      <w:r w:rsidR="008473B1">
        <w:rPr>
          <w:rFonts w:ascii="Arial" w:eastAsia="Calibri" w:hAnsi="Arial" w:cs="Arial"/>
          <w:color w:val="000000" w:themeColor="text1"/>
          <w:sz w:val="22"/>
          <w:szCs w:val="22"/>
        </w:rPr>
        <w:t>c</w:t>
      </w:r>
      <w:r w:rsidR="00C42160">
        <w:rPr>
          <w:rFonts w:ascii="Arial" w:eastAsia="Calibri" w:hAnsi="Arial" w:cs="Arial"/>
          <w:color w:val="000000" w:themeColor="text1"/>
          <w:sz w:val="22"/>
          <w:szCs w:val="22"/>
        </w:rPr>
        <w:t>onciliación para decidir sobre la procedencia de la conciliación, sino que extiende sus decisiones a cualquier medio alternativo de solución de conflictos</w:t>
      </w:r>
      <w:r w:rsidR="00C42160">
        <w:rPr>
          <w:rFonts w:ascii="Arial" w:hAnsi="Arial" w:cs="Arial"/>
          <w:color w:val="000000"/>
          <w:sz w:val="22"/>
          <w:szCs w:val="22"/>
          <w:lang w:val="es-ES_tradnl"/>
        </w:rPr>
        <w:t xml:space="preserve">, se considera que la transacción al ser </w:t>
      </w:r>
      <w:r w:rsidR="008473B1">
        <w:rPr>
          <w:rFonts w:ascii="Arial" w:hAnsi="Arial" w:cs="Arial"/>
          <w:color w:val="000000"/>
          <w:sz w:val="22"/>
          <w:szCs w:val="22"/>
          <w:lang w:val="es-ES_tradnl"/>
        </w:rPr>
        <w:t xml:space="preserve">mecanismo alternativo de solución de conflictos, </w:t>
      </w:r>
      <w:r w:rsidR="005F7936">
        <w:rPr>
          <w:rFonts w:ascii="Arial" w:hAnsi="Arial" w:cs="Arial"/>
          <w:color w:val="000000"/>
          <w:sz w:val="22"/>
          <w:szCs w:val="22"/>
          <w:lang w:val="es-ES_tradnl"/>
        </w:rPr>
        <w:t>su procedencia</w:t>
      </w:r>
      <w:r w:rsidR="00C42160">
        <w:rPr>
          <w:rFonts w:ascii="Arial" w:hAnsi="Arial" w:cs="Arial"/>
          <w:color w:val="000000"/>
          <w:sz w:val="22"/>
          <w:szCs w:val="22"/>
          <w:lang w:val="es-ES_tradnl"/>
        </w:rPr>
        <w:t xml:space="preserve"> debe ser sometida a consideración del </w:t>
      </w:r>
      <w:r w:rsidR="005F7936">
        <w:rPr>
          <w:rFonts w:ascii="Arial" w:hAnsi="Arial" w:cs="Arial"/>
          <w:color w:val="000000"/>
          <w:sz w:val="22"/>
          <w:szCs w:val="22"/>
          <w:lang w:val="es-ES_tradnl"/>
        </w:rPr>
        <w:t>c</w:t>
      </w:r>
      <w:r w:rsidR="00C42160">
        <w:rPr>
          <w:rFonts w:ascii="Arial" w:hAnsi="Arial" w:cs="Arial"/>
          <w:color w:val="000000"/>
          <w:sz w:val="22"/>
          <w:szCs w:val="22"/>
          <w:lang w:val="es-ES_tradnl"/>
        </w:rPr>
        <w:t xml:space="preserve">omité de </w:t>
      </w:r>
      <w:r w:rsidR="005F7936">
        <w:rPr>
          <w:rFonts w:ascii="Arial" w:hAnsi="Arial" w:cs="Arial"/>
          <w:color w:val="000000"/>
          <w:sz w:val="22"/>
          <w:szCs w:val="22"/>
          <w:lang w:val="es-ES_tradnl"/>
        </w:rPr>
        <w:t>c</w:t>
      </w:r>
      <w:r w:rsidR="00C42160">
        <w:rPr>
          <w:rFonts w:ascii="Arial" w:hAnsi="Arial" w:cs="Arial"/>
          <w:color w:val="000000"/>
          <w:sz w:val="22"/>
          <w:szCs w:val="22"/>
          <w:lang w:val="es-ES_tradnl"/>
        </w:rPr>
        <w:t>onciliación.</w:t>
      </w:r>
    </w:p>
    <w:p w14:paraId="7701E209" w14:textId="3F68C6E1" w:rsidR="004B07E6" w:rsidRPr="004B07E6" w:rsidRDefault="004B07E6" w:rsidP="002B6DB6">
      <w:pPr>
        <w:spacing w:line="276" w:lineRule="auto"/>
        <w:ind w:firstLine="708"/>
        <w:jc w:val="both"/>
        <w:rPr>
          <w:rFonts w:ascii="Arial" w:hAnsi="Arial" w:cs="Arial"/>
          <w:i/>
          <w:iCs/>
          <w:sz w:val="22"/>
          <w:szCs w:val="22"/>
          <w:lang w:val="es-ES"/>
        </w:rPr>
      </w:pPr>
      <w:r>
        <w:rPr>
          <w:rFonts w:ascii="Arial" w:hAnsi="Arial" w:cs="Arial"/>
          <w:sz w:val="22"/>
          <w:szCs w:val="22"/>
          <w:lang w:val="es-ES"/>
        </w:rPr>
        <w:t xml:space="preserve">Finalmente, </w:t>
      </w:r>
      <w:r w:rsidR="00953089">
        <w:rPr>
          <w:rFonts w:ascii="Arial" w:hAnsi="Arial" w:cs="Arial"/>
          <w:sz w:val="22"/>
          <w:szCs w:val="22"/>
          <w:lang w:val="es-ES"/>
        </w:rPr>
        <w:t xml:space="preserve">de conformidad con lo dispuesto en </w:t>
      </w:r>
      <w:r w:rsidR="00992A90">
        <w:rPr>
          <w:rFonts w:ascii="Arial" w:hAnsi="Arial" w:cs="Arial"/>
          <w:sz w:val="22"/>
          <w:szCs w:val="22"/>
          <w:lang w:val="es-ES"/>
        </w:rPr>
        <w:t>los artículos</w:t>
      </w:r>
      <w:r w:rsidR="00953089">
        <w:rPr>
          <w:rFonts w:ascii="Arial" w:hAnsi="Arial" w:cs="Arial"/>
          <w:sz w:val="22"/>
          <w:szCs w:val="22"/>
          <w:lang w:val="es-ES"/>
        </w:rPr>
        <w:t xml:space="preserve"> 11</w:t>
      </w:r>
      <w:r w:rsidR="00992A90">
        <w:rPr>
          <w:rFonts w:ascii="Arial" w:hAnsi="Arial" w:cs="Arial"/>
          <w:sz w:val="22"/>
          <w:szCs w:val="22"/>
          <w:lang w:val="es-ES"/>
        </w:rPr>
        <w:t>, literal c) de la Ley 1150 de 2007, 9</w:t>
      </w:r>
      <w:r w:rsidR="000F19D8">
        <w:rPr>
          <w:rFonts w:ascii="Arial" w:hAnsi="Arial" w:cs="Arial"/>
          <w:sz w:val="22"/>
          <w:szCs w:val="22"/>
          <w:lang w:val="es-ES"/>
        </w:rPr>
        <w:t xml:space="preserve"> literal e), 11 literal g) de la Ley 1712 de 2014, el contrato de transacción </w:t>
      </w:r>
      <w:r w:rsidR="000F19D8">
        <w:rPr>
          <w:rFonts w:ascii="Arial" w:hAnsi="Arial" w:cs="Arial"/>
          <w:sz w:val="22"/>
          <w:szCs w:val="22"/>
          <w:lang w:val="es-ES"/>
        </w:rPr>
        <w:lastRenderedPageBreak/>
        <w:t xml:space="preserve">debe ser publicado en el SECOP, en los términos dispuestos en los artículos </w:t>
      </w:r>
      <w:r w:rsidR="00D41FC6" w:rsidRPr="00D41FC6">
        <w:rPr>
          <w:rFonts w:ascii="Arial" w:hAnsi="Arial" w:cs="Arial"/>
          <w:sz w:val="22"/>
          <w:szCs w:val="22"/>
          <w:lang w:val="es-ES"/>
        </w:rPr>
        <w:t>2.1.1.2.1.7</w:t>
      </w:r>
      <w:r w:rsidR="00D41FC6">
        <w:rPr>
          <w:rFonts w:ascii="Arial" w:hAnsi="Arial" w:cs="Arial"/>
          <w:sz w:val="22"/>
          <w:szCs w:val="22"/>
          <w:lang w:val="es-ES"/>
        </w:rPr>
        <w:t xml:space="preserve"> del Decreto 1081 de 2015 y </w:t>
      </w:r>
      <w:r w:rsidR="00BF3227" w:rsidRPr="00BF3227">
        <w:rPr>
          <w:rFonts w:ascii="Arial" w:hAnsi="Arial" w:cs="Arial"/>
          <w:sz w:val="22"/>
          <w:szCs w:val="22"/>
          <w:lang w:val="es-ES"/>
        </w:rPr>
        <w:t>2.2.1.1.1.7.1</w:t>
      </w:r>
      <w:r w:rsidR="00BF3227">
        <w:rPr>
          <w:rFonts w:ascii="Arial" w:hAnsi="Arial" w:cs="Arial"/>
          <w:sz w:val="22"/>
          <w:szCs w:val="22"/>
          <w:lang w:val="es-ES"/>
        </w:rPr>
        <w:t xml:space="preserve"> del Decreto 1082 de 2015.</w:t>
      </w:r>
      <w:r w:rsidR="00992A90">
        <w:rPr>
          <w:rFonts w:ascii="Arial" w:hAnsi="Arial" w:cs="Arial"/>
          <w:sz w:val="22"/>
          <w:szCs w:val="22"/>
          <w:lang w:val="es-ES"/>
        </w:rPr>
        <w:t xml:space="preserve"> </w:t>
      </w:r>
    </w:p>
    <w:p w14:paraId="6D85F857" w14:textId="0B4FD8B0" w:rsidR="002259CD" w:rsidRPr="000C0F96" w:rsidRDefault="002259CD" w:rsidP="002B6DB6">
      <w:pPr>
        <w:spacing w:before="120" w:line="276" w:lineRule="auto"/>
        <w:ind w:firstLine="709"/>
        <w:jc w:val="both"/>
        <w:rPr>
          <w:rFonts w:ascii="Arial" w:eastAsia="Calibri" w:hAnsi="Arial" w:cs="Arial"/>
          <w:sz w:val="22"/>
          <w:lang w:val="es-ES"/>
        </w:rPr>
      </w:pPr>
      <w:r w:rsidRPr="000C0F96">
        <w:rPr>
          <w:rFonts w:ascii="Arial" w:eastAsia="Calibri" w:hAnsi="Arial" w:cs="Arial"/>
          <w:sz w:val="22"/>
          <w:lang w:val="es-ES"/>
        </w:rPr>
        <w:t xml:space="preserve">Lo anterior sin perjuicio de que en el evento en el que </w:t>
      </w:r>
      <w:r>
        <w:rPr>
          <w:rFonts w:ascii="Arial" w:eastAsia="Calibri" w:hAnsi="Arial" w:cs="Arial"/>
          <w:sz w:val="22"/>
          <w:lang w:val="es-ES"/>
        </w:rPr>
        <w:t>el contrato de transacción</w:t>
      </w:r>
      <w:r w:rsidRPr="000C0F96">
        <w:rPr>
          <w:rFonts w:ascii="Arial" w:eastAsia="Calibri" w:hAnsi="Arial" w:cs="Arial"/>
          <w:sz w:val="22"/>
          <w:lang w:val="es-ES"/>
        </w:rPr>
        <w:t xml:space="preserve"> o sus anexos contengan datos sensibles o información reservada, la entidad estatal deba abstenerse de publicar en el SECOP dicha información</w:t>
      </w:r>
      <w:r>
        <w:rPr>
          <w:rFonts w:ascii="Arial" w:eastAsia="Calibri" w:hAnsi="Arial" w:cs="Arial"/>
          <w:sz w:val="22"/>
          <w:lang w:val="es-ES"/>
        </w:rPr>
        <w:t>.</w:t>
      </w:r>
      <w:r w:rsidRPr="000C0F96">
        <w:rPr>
          <w:rFonts w:ascii="Arial" w:eastAsia="Calibri" w:hAnsi="Arial" w:cs="Arial"/>
          <w:sz w:val="22"/>
          <w:lang w:val="es-ES"/>
        </w:rPr>
        <w:t xml:space="preserve"> </w:t>
      </w:r>
      <w:r>
        <w:rPr>
          <w:rFonts w:ascii="Arial" w:eastAsia="Calibri" w:hAnsi="Arial" w:cs="Arial"/>
          <w:sz w:val="22"/>
          <w:lang w:val="es-ES"/>
        </w:rPr>
        <w:t xml:space="preserve">A los documentos que contengan tal información, se les deberá dar el tratamiento indicado en </w:t>
      </w:r>
      <w:r w:rsidRPr="000C0F96">
        <w:rPr>
          <w:rFonts w:ascii="Arial" w:eastAsia="Calibri" w:hAnsi="Arial" w:cs="Arial"/>
          <w:sz w:val="22"/>
          <w:lang w:val="es-ES"/>
        </w:rPr>
        <w:t>el artículo 36 del CPACA</w:t>
      </w:r>
      <w:r>
        <w:rPr>
          <w:rFonts w:ascii="Arial" w:eastAsia="Calibri" w:hAnsi="Arial" w:cs="Arial"/>
          <w:sz w:val="22"/>
          <w:lang w:val="es-ES"/>
        </w:rPr>
        <w:t>, que señala que deben ser incluidos en cuaderno separado.</w:t>
      </w:r>
    </w:p>
    <w:p w14:paraId="5A584EDD" w14:textId="77777777" w:rsidR="004B07E6" w:rsidRPr="00C440B6" w:rsidRDefault="004B07E6" w:rsidP="004B07E6">
      <w:pPr>
        <w:spacing w:line="276" w:lineRule="auto"/>
        <w:jc w:val="both"/>
        <w:rPr>
          <w:rFonts w:ascii="Arial" w:hAnsi="Arial" w:cs="Arial"/>
          <w:color w:val="000000" w:themeColor="text1"/>
          <w:sz w:val="22"/>
          <w:szCs w:val="22"/>
          <w:lang w:val="es-ES_tradnl"/>
        </w:rPr>
      </w:pPr>
    </w:p>
    <w:p w14:paraId="7B2C921D" w14:textId="6360A462" w:rsidR="00DD5B04" w:rsidRPr="00C440B6" w:rsidRDefault="00DD5B04" w:rsidP="00DF76A2">
      <w:pPr>
        <w:spacing w:line="276" w:lineRule="auto"/>
        <w:jc w:val="both"/>
        <w:rPr>
          <w:rFonts w:ascii="Arial" w:hAnsi="Arial" w:cs="Arial"/>
          <w:color w:val="000000" w:themeColor="text1"/>
          <w:sz w:val="22"/>
          <w:lang w:val="es-ES_tradnl"/>
        </w:rPr>
      </w:pPr>
      <w:r w:rsidRPr="00C440B6">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3B0762C0" w:rsidR="00DD5B04" w:rsidRPr="00C440B6"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78F986A8" w14:textId="1E8D5FF7" w:rsidR="00195C35" w:rsidRDefault="00195C35" w:rsidP="00195C35"/>
    <w:p w14:paraId="30AA3DC7" w14:textId="57DF947B" w:rsidR="00921304" w:rsidRPr="00C440B6" w:rsidRDefault="00DD5B04" w:rsidP="00195C35">
      <w:pPr>
        <w:pStyle w:val="NormalWeb"/>
        <w:spacing w:before="0" w:beforeAutospacing="0" w:after="0" w:afterAutospacing="0" w:line="276" w:lineRule="auto"/>
        <w:jc w:val="both"/>
        <w:rPr>
          <w:rFonts w:ascii="Arial" w:hAnsi="Arial" w:cs="Arial"/>
          <w:color w:val="000000" w:themeColor="text1"/>
          <w:sz w:val="22"/>
          <w:szCs w:val="22"/>
          <w:lang w:val="es-ES_tradnl"/>
        </w:rPr>
      </w:pPr>
      <w:r w:rsidRPr="00C440B6">
        <w:rPr>
          <w:rFonts w:ascii="Arial" w:hAnsi="Arial" w:cs="Arial"/>
          <w:color w:val="000000" w:themeColor="text1"/>
          <w:sz w:val="22"/>
          <w:szCs w:val="22"/>
          <w:lang w:val="es-ES_tradnl"/>
        </w:rPr>
        <w:t>Atentamente,</w:t>
      </w:r>
    </w:p>
    <w:p w14:paraId="5CBAE239" w14:textId="77777777" w:rsidR="00425C43" w:rsidRPr="00C440B6" w:rsidRDefault="00425C43" w:rsidP="00B37657">
      <w:pPr>
        <w:jc w:val="center"/>
        <w:rPr>
          <w:rFonts w:ascii="Arial" w:hAnsi="Arial" w:cs="Arial"/>
          <w:color w:val="000000" w:themeColor="text1"/>
          <w:sz w:val="18"/>
          <w:szCs w:val="20"/>
          <w:lang w:val="es-ES_tradnl" w:eastAsia="es-CO"/>
        </w:rPr>
      </w:pPr>
    </w:p>
    <w:p w14:paraId="49730030" w14:textId="7F19DDAE" w:rsidR="00DD5B04" w:rsidRDefault="00DD5B04" w:rsidP="00B37657">
      <w:pPr>
        <w:jc w:val="center"/>
        <w:rPr>
          <w:rFonts w:ascii="Arial" w:hAnsi="Arial" w:cs="Arial"/>
          <w:color w:val="000000" w:themeColor="text1"/>
          <w:sz w:val="18"/>
          <w:szCs w:val="20"/>
          <w:lang w:val="es-ES_tradnl" w:eastAsia="es-CO"/>
        </w:rPr>
      </w:pPr>
    </w:p>
    <w:p w14:paraId="1E5A56CC" w14:textId="0AC089E2" w:rsidR="00BF3227" w:rsidRDefault="00BF3227" w:rsidP="00B37657">
      <w:pPr>
        <w:jc w:val="center"/>
        <w:rPr>
          <w:rFonts w:ascii="Arial" w:hAnsi="Arial" w:cs="Arial"/>
          <w:color w:val="000000" w:themeColor="text1"/>
          <w:sz w:val="18"/>
          <w:szCs w:val="20"/>
          <w:lang w:val="es-ES_tradnl" w:eastAsia="es-CO"/>
        </w:rPr>
      </w:pPr>
    </w:p>
    <w:p w14:paraId="1776584E" w14:textId="1AA35AA4" w:rsidR="00BF3227" w:rsidRDefault="00195C35" w:rsidP="00B37657">
      <w:pPr>
        <w:jc w:val="center"/>
        <w:rPr>
          <w:rFonts w:ascii="Arial" w:hAnsi="Arial" w:cs="Arial"/>
          <w:color w:val="000000" w:themeColor="text1"/>
          <w:sz w:val="18"/>
          <w:szCs w:val="20"/>
          <w:lang w:val="es-ES_tradnl" w:eastAsia="es-CO"/>
        </w:rPr>
      </w:pPr>
      <w:r>
        <w:rPr>
          <w:rFonts w:ascii="Arial" w:hAnsi="Arial" w:cs="Arial"/>
          <w:noProof/>
          <w:color w:val="000000" w:themeColor="text1"/>
          <w:sz w:val="22"/>
          <w:szCs w:val="22"/>
          <w:lang w:val="es-ES_tradnl" w:eastAsia="es-CO"/>
        </w:rPr>
        <w:drawing>
          <wp:inline distT="0" distB="0" distL="0" distR="0" wp14:anchorId="07D912D5" wp14:editId="2F8F4628">
            <wp:extent cx="2715208" cy="1202412"/>
            <wp:effectExtent l="0" t="0" r="3175"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9340" cy="1226384"/>
                    </a:xfrm>
                    <a:prstGeom prst="rect">
                      <a:avLst/>
                    </a:prstGeom>
                    <a:noFill/>
                    <a:ln>
                      <a:noFill/>
                    </a:ln>
                  </pic:spPr>
                </pic:pic>
              </a:graphicData>
            </a:graphic>
          </wp:inline>
        </w:drawing>
      </w:r>
    </w:p>
    <w:p w14:paraId="167B0054" w14:textId="07C85CBA" w:rsidR="00BF3227" w:rsidRDefault="00BF3227" w:rsidP="00195C35">
      <w:pPr>
        <w:rPr>
          <w:rFonts w:ascii="Arial" w:hAnsi="Arial" w:cs="Arial"/>
          <w:color w:val="000000" w:themeColor="text1"/>
          <w:sz w:val="18"/>
          <w:szCs w:val="20"/>
          <w:lang w:val="es-ES_tradnl" w:eastAsia="es-CO"/>
        </w:rPr>
      </w:pPr>
    </w:p>
    <w:p w14:paraId="2C9A069E" w14:textId="2BFC93F9" w:rsidR="00BF3227" w:rsidRDefault="00BF3227" w:rsidP="00B37657">
      <w:pPr>
        <w:jc w:val="center"/>
        <w:rPr>
          <w:rFonts w:ascii="Arial" w:hAnsi="Arial" w:cs="Arial"/>
          <w:color w:val="000000" w:themeColor="text1"/>
          <w:sz w:val="18"/>
          <w:szCs w:val="20"/>
          <w:lang w:val="es-ES_tradnl" w:eastAsia="es-CO"/>
        </w:rPr>
      </w:pPr>
    </w:p>
    <w:p w14:paraId="13C57041" w14:textId="18703B51" w:rsidR="00BF3227" w:rsidRDefault="00BF3227" w:rsidP="00B37657">
      <w:pPr>
        <w:jc w:val="center"/>
        <w:rPr>
          <w:rFonts w:ascii="Arial" w:hAnsi="Arial" w:cs="Arial"/>
          <w:color w:val="000000" w:themeColor="text1"/>
          <w:sz w:val="18"/>
          <w:szCs w:val="20"/>
          <w:lang w:val="es-ES_tradnl" w:eastAsia="es-CO"/>
        </w:rPr>
      </w:pPr>
    </w:p>
    <w:p w14:paraId="24A053C4" w14:textId="77777777" w:rsidR="00BF3227" w:rsidRPr="00C440B6" w:rsidRDefault="00BF3227"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C440B6" w14:paraId="0C7DC5F7" w14:textId="77777777" w:rsidTr="008F4163">
        <w:trPr>
          <w:trHeight w:val="315"/>
        </w:trPr>
        <w:tc>
          <w:tcPr>
            <w:tcW w:w="812" w:type="dxa"/>
            <w:vAlign w:val="center"/>
            <w:hideMark/>
          </w:tcPr>
          <w:p w14:paraId="5BDB1AC9" w14:textId="77777777" w:rsidR="00DD5B04" w:rsidRPr="00C440B6" w:rsidRDefault="00DD5B04" w:rsidP="00DF76A2">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664EE7D" w14:textId="7ED59253" w:rsidR="00B253CE" w:rsidRPr="00C440B6" w:rsidRDefault="001A422D" w:rsidP="00B253CE">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David Torres Rojas</w:t>
            </w:r>
          </w:p>
          <w:p w14:paraId="240C71FD" w14:textId="490C7B4C" w:rsidR="00DD5B04" w:rsidRPr="00C440B6" w:rsidRDefault="001A422D"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Contratista</w:t>
            </w:r>
            <w:r w:rsidR="00B253CE">
              <w:rPr>
                <w:rFonts w:ascii="Arial" w:hAnsi="Arial" w:cs="Arial"/>
                <w:color w:val="000000" w:themeColor="text1"/>
                <w:sz w:val="16"/>
                <w:szCs w:val="16"/>
                <w:lang w:val="es-ES_tradnl" w:eastAsia="es-ES"/>
              </w:rPr>
              <w:t xml:space="preserve"> de la </w:t>
            </w:r>
            <w:r w:rsidR="00B253CE" w:rsidRPr="005F5694">
              <w:rPr>
                <w:rFonts w:ascii="Arial" w:hAnsi="Arial" w:cs="Arial"/>
                <w:color w:val="000000" w:themeColor="text1"/>
                <w:sz w:val="16"/>
                <w:szCs w:val="16"/>
                <w:lang w:val="es-ES_tradnl" w:eastAsia="es-ES"/>
              </w:rPr>
              <w:t>Subdirección de Gestión Contractual</w:t>
            </w:r>
          </w:p>
        </w:tc>
      </w:tr>
      <w:tr w:rsidR="00C42160" w:rsidRPr="00C440B6" w14:paraId="2F8FD650" w14:textId="77777777" w:rsidTr="008F4163">
        <w:trPr>
          <w:trHeight w:val="330"/>
        </w:trPr>
        <w:tc>
          <w:tcPr>
            <w:tcW w:w="812" w:type="dxa"/>
            <w:vAlign w:val="center"/>
            <w:hideMark/>
          </w:tcPr>
          <w:p w14:paraId="50203A0B" w14:textId="77777777" w:rsidR="00C42160" w:rsidRPr="00C440B6" w:rsidRDefault="00C42160" w:rsidP="00C42160">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95DE2FF" w14:textId="77777777" w:rsidR="00C42160" w:rsidRDefault="00C42160" w:rsidP="00C42160">
            <w:pPr>
              <w:jc w:val="both"/>
              <w:rPr>
                <w:rFonts w:ascii="Arial" w:eastAsia="Arial" w:hAnsi="Arial" w:cs="Arial"/>
                <w:sz w:val="16"/>
                <w:szCs w:val="16"/>
                <w:lang w:val="es-ES"/>
              </w:rPr>
            </w:pPr>
            <w:r>
              <w:rPr>
                <w:rFonts w:ascii="Arial" w:eastAsia="Arial" w:hAnsi="Arial" w:cs="Arial"/>
                <w:sz w:val="16"/>
                <w:szCs w:val="16"/>
                <w:lang w:val="es-ES"/>
              </w:rPr>
              <w:t>Alejandro Sarmiento Cantillo</w:t>
            </w:r>
          </w:p>
          <w:p w14:paraId="130B3228" w14:textId="41DA1F16" w:rsidR="00C42160" w:rsidRPr="00C440B6" w:rsidRDefault="00C42160" w:rsidP="00C42160">
            <w:pPr>
              <w:jc w:val="both"/>
              <w:rPr>
                <w:rFonts w:ascii="Arial" w:hAnsi="Arial" w:cs="Arial"/>
                <w:color w:val="000000" w:themeColor="text1"/>
                <w:sz w:val="16"/>
                <w:szCs w:val="16"/>
                <w:lang w:val="es-ES_tradnl" w:eastAsia="es-ES"/>
              </w:rPr>
            </w:pPr>
            <w:r>
              <w:rPr>
                <w:rFonts w:ascii="Arial" w:eastAsia="Arial" w:hAnsi="Arial" w:cs="Arial"/>
                <w:sz w:val="16"/>
                <w:szCs w:val="16"/>
                <w:lang w:val="es-ES"/>
              </w:rPr>
              <w:t>Gestor T1-11 de la Subdirección de Gestión Contractual</w:t>
            </w:r>
          </w:p>
        </w:tc>
      </w:tr>
      <w:tr w:rsidR="00C42160" w:rsidRPr="00C440B6" w14:paraId="0FCBCA4A" w14:textId="77777777" w:rsidTr="008F4163">
        <w:trPr>
          <w:trHeight w:val="300"/>
        </w:trPr>
        <w:tc>
          <w:tcPr>
            <w:tcW w:w="812" w:type="dxa"/>
            <w:vAlign w:val="center"/>
            <w:hideMark/>
          </w:tcPr>
          <w:p w14:paraId="3C1D943A" w14:textId="77777777" w:rsidR="00C42160" w:rsidRPr="00C440B6" w:rsidRDefault="00C42160" w:rsidP="00C42160">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C42160" w:rsidRPr="00C440B6" w:rsidRDefault="00C42160" w:rsidP="00C42160">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Jorge Augusto Tirado Navarro</w:t>
            </w:r>
          </w:p>
          <w:p w14:paraId="1ADC483B" w14:textId="0B6A3583" w:rsidR="00C42160" w:rsidRPr="00C440B6" w:rsidRDefault="00C42160" w:rsidP="00C42160">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Subdirector de Gestión Contractual</w:t>
            </w:r>
            <w:r>
              <w:rPr>
                <w:rFonts w:ascii="Arial" w:hAnsi="Arial" w:cs="Arial"/>
                <w:color w:val="000000" w:themeColor="text1"/>
                <w:sz w:val="16"/>
                <w:szCs w:val="16"/>
                <w:lang w:val="es-ES_tradnl" w:eastAsia="es-ES"/>
              </w:rPr>
              <w:t xml:space="preserve"> ANCP – CCE</w:t>
            </w:r>
          </w:p>
        </w:tc>
      </w:tr>
    </w:tbl>
    <w:p w14:paraId="35B56F46" w14:textId="77777777" w:rsidR="00746E08" w:rsidRPr="00C440B6" w:rsidRDefault="00746E08" w:rsidP="00215B8E">
      <w:pPr>
        <w:jc w:val="both"/>
        <w:rPr>
          <w:rFonts w:ascii="Arial" w:hAnsi="Arial" w:cs="Arial"/>
          <w:lang w:val="es-ES_tradnl"/>
        </w:rPr>
      </w:pPr>
    </w:p>
    <w:sectPr w:rsidR="00746E08" w:rsidRPr="00C440B6"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2B7B9" w14:textId="77777777" w:rsidR="001A0765" w:rsidRDefault="001A0765">
      <w:r>
        <w:separator/>
      </w:r>
    </w:p>
  </w:endnote>
  <w:endnote w:type="continuationSeparator" w:id="0">
    <w:p w14:paraId="25E58BA0" w14:textId="77777777" w:rsidR="001A0765" w:rsidRDefault="001A0765">
      <w:r>
        <w:continuationSeparator/>
      </w:r>
    </w:p>
  </w:endnote>
  <w:endnote w:type="continuationNotice" w:id="1">
    <w:p w14:paraId="5CC63F03" w14:textId="77777777" w:rsidR="001A0765" w:rsidRDefault="001A0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C42160" w:rsidRDefault="00C42160" w:rsidP="00322937">
    <w:pPr>
      <w:pStyle w:val="Sinespaciado"/>
      <w:jc w:val="right"/>
      <w:rPr>
        <w:rFonts w:ascii="Arial" w:hAnsi="Arial" w:cs="Arial"/>
        <w:sz w:val="18"/>
        <w:szCs w:val="18"/>
      </w:rPr>
    </w:pPr>
  </w:p>
  <w:p w14:paraId="7A3785F3" w14:textId="2EF28465" w:rsidR="00C42160" w:rsidRPr="008217B7" w:rsidRDefault="00C42160"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C42160" w:rsidRDefault="00C42160"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C42160" w:rsidRDefault="00C42160" w:rsidP="007B0854">
    <w:pPr>
      <w:pStyle w:val="Piedepgina"/>
      <w:jc w:val="center"/>
      <w:rPr>
        <w:lang w:val="es-ES"/>
      </w:rPr>
    </w:pPr>
  </w:p>
  <w:p w14:paraId="6C0EFC49" w14:textId="77777777" w:rsidR="00C42160" w:rsidRPr="007B0854" w:rsidRDefault="00C42160"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887C4" w14:textId="77777777" w:rsidR="001A0765" w:rsidRDefault="001A0765">
      <w:r>
        <w:separator/>
      </w:r>
    </w:p>
  </w:footnote>
  <w:footnote w:type="continuationSeparator" w:id="0">
    <w:p w14:paraId="2CFD9ECB" w14:textId="77777777" w:rsidR="001A0765" w:rsidRDefault="001A0765">
      <w:r>
        <w:continuationSeparator/>
      </w:r>
    </w:p>
  </w:footnote>
  <w:footnote w:type="continuationNotice" w:id="1">
    <w:p w14:paraId="5739DE2D" w14:textId="77777777" w:rsidR="001A0765" w:rsidRDefault="001A0765"/>
  </w:footnote>
  <w:footnote w:id="2">
    <w:p w14:paraId="68F6CFB0" w14:textId="65FD9328" w:rsidR="00C42160" w:rsidRPr="00C85561" w:rsidRDefault="00C42160" w:rsidP="004E667A">
      <w:pPr>
        <w:pStyle w:val="Textonotapie"/>
        <w:ind w:firstLine="709"/>
        <w:jc w:val="both"/>
        <w:rPr>
          <w:rFonts w:ascii="Arial" w:hAnsi="Arial" w:cs="Arial"/>
          <w:b/>
          <w:bCs/>
          <w:sz w:val="19"/>
          <w:szCs w:val="19"/>
        </w:rPr>
      </w:pPr>
      <w:r w:rsidRPr="000E0D71">
        <w:rPr>
          <w:rStyle w:val="Refdenotaalpie"/>
          <w:rFonts w:ascii="Arial" w:hAnsi="Arial" w:cs="Arial"/>
          <w:sz w:val="19"/>
          <w:szCs w:val="19"/>
        </w:rPr>
        <w:footnoteRef/>
      </w:r>
      <w:r w:rsidRPr="000E0D71">
        <w:rPr>
          <w:rFonts w:ascii="Arial" w:hAnsi="Arial" w:cs="Arial"/>
          <w:sz w:val="19"/>
          <w:szCs w:val="19"/>
        </w:rPr>
        <w:t xml:space="preserve"> Procuraduría General de la Nación. Los mecanismos alternativos de solución de conflictos en </w:t>
      </w:r>
      <w:r w:rsidRPr="00C85561">
        <w:rPr>
          <w:rFonts w:ascii="Arial" w:hAnsi="Arial" w:cs="Arial"/>
          <w:sz w:val="19"/>
          <w:szCs w:val="19"/>
        </w:rPr>
        <w:t xml:space="preserve">Colombia. MASC. Estudios, caracterización y compilación normativa y jurisprudencial. Tomo III, p. 53. En: </w:t>
      </w:r>
      <w:hyperlink r:id="rId1" w:history="1">
        <w:r w:rsidRPr="002B6DB6">
          <w:rPr>
            <w:rStyle w:val="Hipervnculo"/>
            <w:rFonts w:ascii="Arial" w:hAnsi="Arial" w:cs="Arial"/>
            <w:color w:val="auto"/>
            <w:sz w:val="19"/>
            <w:szCs w:val="19"/>
          </w:rPr>
          <w:t>https://www.procuraduria.gov.co/iemp/media/file/img/noticias/Los%20mecanismos%20alternativos%20%20de%20soluci%C3%B3n%20de%20conflictos%20en%20Colombia%20+%20MASC.pdf</w:t>
        </w:r>
      </w:hyperlink>
    </w:p>
  </w:footnote>
  <w:footnote w:id="3">
    <w:p w14:paraId="5F8A7B9C" w14:textId="77777777" w:rsidR="00C42160" w:rsidRPr="000E0D71" w:rsidRDefault="00C42160" w:rsidP="004E667A">
      <w:pPr>
        <w:pStyle w:val="NormalWeb"/>
        <w:spacing w:before="0" w:beforeAutospacing="0" w:after="0" w:afterAutospacing="0"/>
        <w:ind w:firstLine="709"/>
        <w:jc w:val="both"/>
        <w:rPr>
          <w:rFonts w:ascii="Arial" w:hAnsi="Arial" w:cs="Arial"/>
          <w:color w:val="000000" w:themeColor="text1"/>
          <w:sz w:val="19"/>
          <w:szCs w:val="19"/>
        </w:rPr>
      </w:pPr>
      <w:r w:rsidRPr="000E0D71">
        <w:rPr>
          <w:rStyle w:val="Refdenotaalpie"/>
          <w:rFonts w:ascii="Arial" w:hAnsi="Arial" w:cs="Arial"/>
          <w:color w:val="000000" w:themeColor="text1"/>
          <w:sz w:val="19"/>
          <w:szCs w:val="19"/>
        </w:rPr>
        <w:footnoteRef/>
      </w:r>
      <w:r w:rsidRPr="000E0D71">
        <w:rPr>
          <w:rFonts w:ascii="Arial" w:hAnsi="Arial" w:cs="Arial"/>
          <w:color w:val="000000" w:themeColor="text1"/>
          <w:sz w:val="19"/>
          <w:szCs w:val="19"/>
        </w:rPr>
        <w:t xml:space="preserve"> </w:t>
      </w:r>
      <w:r w:rsidRPr="000E0D71">
        <w:rPr>
          <w:rFonts w:ascii="Arial" w:hAnsi="Arial" w:cs="Arial"/>
          <w:color w:val="000000" w:themeColor="text1"/>
          <w:sz w:val="19"/>
          <w:szCs w:val="19"/>
          <w:lang w:val="es-ES"/>
        </w:rPr>
        <w:t>La redacción del artículo 1.625 es la siguiente: «</w:t>
      </w:r>
      <w:r w:rsidRPr="000E0D71">
        <w:rPr>
          <w:rFonts w:ascii="Arial" w:hAnsi="Arial" w:cs="Arial"/>
          <w:color w:val="000000" w:themeColor="text1"/>
          <w:sz w:val="19"/>
          <w:szCs w:val="19"/>
        </w:rPr>
        <w:t>Toda obligación puede extinguirse por una convención en que las partes interesadas, siendo capaces de disponer libremente de lo suyo, consientan en darla por nula.</w:t>
      </w:r>
    </w:p>
    <w:p w14:paraId="5EB5065B" w14:textId="77777777" w:rsidR="00C42160" w:rsidRPr="000E0D71" w:rsidRDefault="00C42160" w:rsidP="004E667A">
      <w:pPr>
        <w:pStyle w:val="NormalWeb"/>
        <w:spacing w:before="0" w:beforeAutospacing="0" w:after="0" w:afterAutospacing="0"/>
        <w:ind w:firstLine="709"/>
        <w:jc w:val="both"/>
        <w:rPr>
          <w:rFonts w:ascii="Arial" w:hAnsi="Arial" w:cs="Arial"/>
          <w:color w:val="000000" w:themeColor="text1"/>
          <w:sz w:val="19"/>
          <w:szCs w:val="19"/>
        </w:rPr>
      </w:pPr>
      <w:r w:rsidRPr="000E0D71">
        <w:rPr>
          <w:rFonts w:ascii="Arial" w:hAnsi="Arial" w:cs="Arial"/>
          <w:color w:val="000000" w:themeColor="text1"/>
          <w:sz w:val="19"/>
          <w:szCs w:val="19"/>
        </w:rPr>
        <w:t>»Las obligaciones se extinguen además en todo o en parte:</w:t>
      </w:r>
    </w:p>
    <w:p w14:paraId="61C1C678" w14:textId="77777777" w:rsidR="00C42160" w:rsidRPr="000E0D71" w:rsidRDefault="00C42160" w:rsidP="004E667A">
      <w:pPr>
        <w:pStyle w:val="NormalWeb"/>
        <w:spacing w:before="0" w:beforeAutospacing="0" w:after="0" w:afterAutospacing="0"/>
        <w:ind w:firstLine="709"/>
        <w:jc w:val="both"/>
        <w:rPr>
          <w:rFonts w:ascii="Arial" w:hAnsi="Arial" w:cs="Arial"/>
          <w:color w:val="000000" w:themeColor="text1"/>
          <w:sz w:val="19"/>
          <w:szCs w:val="19"/>
        </w:rPr>
      </w:pPr>
      <w:r w:rsidRPr="000E0D71">
        <w:rPr>
          <w:rFonts w:ascii="Arial" w:hAnsi="Arial" w:cs="Arial"/>
          <w:color w:val="000000" w:themeColor="text1"/>
          <w:sz w:val="19"/>
          <w:szCs w:val="19"/>
        </w:rPr>
        <w:t>»1o.) Por la solución o pago efectivo.</w:t>
      </w:r>
    </w:p>
    <w:p w14:paraId="61E7DBA2" w14:textId="77777777" w:rsidR="00C42160" w:rsidRPr="000E0D71" w:rsidRDefault="00C42160" w:rsidP="004E667A">
      <w:pPr>
        <w:pStyle w:val="NormalWeb"/>
        <w:spacing w:before="0" w:beforeAutospacing="0" w:after="0" w:afterAutospacing="0"/>
        <w:ind w:firstLine="709"/>
        <w:jc w:val="both"/>
        <w:rPr>
          <w:rFonts w:ascii="Arial" w:hAnsi="Arial" w:cs="Arial"/>
          <w:color w:val="000000" w:themeColor="text1"/>
          <w:sz w:val="19"/>
          <w:szCs w:val="19"/>
        </w:rPr>
      </w:pPr>
      <w:r w:rsidRPr="000E0D71">
        <w:rPr>
          <w:rFonts w:ascii="Arial" w:hAnsi="Arial" w:cs="Arial"/>
          <w:color w:val="000000" w:themeColor="text1"/>
          <w:sz w:val="19"/>
          <w:szCs w:val="19"/>
        </w:rPr>
        <w:t>»2o.) Por la novación.</w:t>
      </w:r>
    </w:p>
    <w:p w14:paraId="16E1C13A" w14:textId="77777777" w:rsidR="00C42160" w:rsidRPr="000E0D71" w:rsidRDefault="00C42160" w:rsidP="004E667A">
      <w:pPr>
        <w:pStyle w:val="NormalWeb"/>
        <w:spacing w:before="0" w:beforeAutospacing="0" w:after="0" w:afterAutospacing="0"/>
        <w:ind w:firstLine="709"/>
        <w:jc w:val="both"/>
        <w:rPr>
          <w:rFonts w:ascii="Arial" w:hAnsi="Arial" w:cs="Arial"/>
          <w:color w:val="000000" w:themeColor="text1"/>
          <w:sz w:val="19"/>
          <w:szCs w:val="19"/>
        </w:rPr>
      </w:pPr>
      <w:r w:rsidRPr="000E0D71">
        <w:rPr>
          <w:rFonts w:ascii="Arial" w:hAnsi="Arial" w:cs="Arial"/>
          <w:color w:val="000000" w:themeColor="text1"/>
          <w:sz w:val="19"/>
          <w:szCs w:val="19"/>
        </w:rPr>
        <w:t>»3o.) Por la transacción.</w:t>
      </w:r>
    </w:p>
    <w:p w14:paraId="6DBE8CB5" w14:textId="77777777" w:rsidR="00C42160" w:rsidRPr="000E0D71" w:rsidRDefault="00C42160" w:rsidP="004E667A">
      <w:pPr>
        <w:pStyle w:val="NormalWeb"/>
        <w:spacing w:before="0" w:beforeAutospacing="0" w:after="0" w:afterAutospacing="0"/>
        <w:ind w:firstLine="709"/>
        <w:jc w:val="both"/>
        <w:rPr>
          <w:rFonts w:ascii="Arial" w:hAnsi="Arial" w:cs="Arial"/>
          <w:color w:val="000000" w:themeColor="text1"/>
          <w:sz w:val="19"/>
          <w:szCs w:val="19"/>
        </w:rPr>
      </w:pPr>
      <w:r w:rsidRPr="000E0D71">
        <w:rPr>
          <w:rFonts w:ascii="Arial" w:hAnsi="Arial" w:cs="Arial"/>
          <w:color w:val="000000" w:themeColor="text1"/>
          <w:sz w:val="19"/>
          <w:szCs w:val="19"/>
        </w:rPr>
        <w:t>»4o.) Por la remisión.</w:t>
      </w:r>
    </w:p>
    <w:p w14:paraId="4228F643" w14:textId="77777777" w:rsidR="00C42160" w:rsidRPr="000E0D71" w:rsidRDefault="00C42160" w:rsidP="004E667A">
      <w:pPr>
        <w:pStyle w:val="NormalWeb"/>
        <w:spacing w:before="0" w:beforeAutospacing="0" w:after="0" w:afterAutospacing="0"/>
        <w:ind w:firstLine="709"/>
        <w:jc w:val="both"/>
        <w:rPr>
          <w:rFonts w:ascii="Arial" w:hAnsi="Arial" w:cs="Arial"/>
          <w:color w:val="000000" w:themeColor="text1"/>
          <w:sz w:val="19"/>
          <w:szCs w:val="19"/>
        </w:rPr>
      </w:pPr>
      <w:r w:rsidRPr="000E0D71">
        <w:rPr>
          <w:rFonts w:ascii="Arial" w:hAnsi="Arial" w:cs="Arial"/>
          <w:color w:val="000000" w:themeColor="text1"/>
          <w:sz w:val="19"/>
          <w:szCs w:val="19"/>
        </w:rPr>
        <w:t>»5o.) Por la compensación.</w:t>
      </w:r>
    </w:p>
    <w:p w14:paraId="387C4195" w14:textId="77777777" w:rsidR="00C42160" w:rsidRPr="000E0D71" w:rsidRDefault="00C42160" w:rsidP="004E667A">
      <w:pPr>
        <w:pStyle w:val="NormalWeb"/>
        <w:spacing w:before="0" w:beforeAutospacing="0" w:after="0" w:afterAutospacing="0"/>
        <w:ind w:firstLine="709"/>
        <w:jc w:val="both"/>
        <w:rPr>
          <w:rFonts w:ascii="Arial" w:hAnsi="Arial" w:cs="Arial"/>
          <w:color w:val="000000" w:themeColor="text1"/>
          <w:sz w:val="19"/>
          <w:szCs w:val="19"/>
        </w:rPr>
      </w:pPr>
      <w:r w:rsidRPr="000E0D71">
        <w:rPr>
          <w:rFonts w:ascii="Arial" w:hAnsi="Arial" w:cs="Arial"/>
          <w:color w:val="000000" w:themeColor="text1"/>
          <w:sz w:val="19"/>
          <w:szCs w:val="19"/>
        </w:rPr>
        <w:t>»6o.) Por la confusión.</w:t>
      </w:r>
    </w:p>
    <w:p w14:paraId="11ECB16C" w14:textId="77777777" w:rsidR="00C42160" w:rsidRPr="000E0D71" w:rsidRDefault="00C42160" w:rsidP="004E667A">
      <w:pPr>
        <w:pStyle w:val="NormalWeb"/>
        <w:spacing w:before="0" w:beforeAutospacing="0" w:after="0" w:afterAutospacing="0"/>
        <w:ind w:firstLine="709"/>
        <w:jc w:val="both"/>
        <w:rPr>
          <w:rFonts w:ascii="Arial" w:hAnsi="Arial" w:cs="Arial"/>
          <w:color w:val="000000" w:themeColor="text1"/>
          <w:sz w:val="19"/>
          <w:szCs w:val="19"/>
        </w:rPr>
      </w:pPr>
      <w:r w:rsidRPr="000E0D71">
        <w:rPr>
          <w:rFonts w:ascii="Arial" w:hAnsi="Arial" w:cs="Arial"/>
          <w:color w:val="000000" w:themeColor="text1"/>
          <w:sz w:val="19"/>
          <w:szCs w:val="19"/>
        </w:rPr>
        <w:t>»7o.) Por la pérdida de la cosa que se debe.</w:t>
      </w:r>
    </w:p>
    <w:p w14:paraId="405F29DE" w14:textId="77777777" w:rsidR="00C42160" w:rsidRPr="000E0D71" w:rsidRDefault="00C42160" w:rsidP="004E667A">
      <w:pPr>
        <w:pStyle w:val="NormalWeb"/>
        <w:spacing w:before="0" w:beforeAutospacing="0" w:after="0" w:afterAutospacing="0"/>
        <w:ind w:firstLine="709"/>
        <w:jc w:val="both"/>
        <w:rPr>
          <w:rFonts w:ascii="Arial" w:hAnsi="Arial" w:cs="Arial"/>
          <w:color w:val="000000" w:themeColor="text1"/>
          <w:sz w:val="19"/>
          <w:szCs w:val="19"/>
        </w:rPr>
      </w:pPr>
      <w:r w:rsidRPr="000E0D71">
        <w:rPr>
          <w:rFonts w:ascii="Arial" w:hAnsi="Arial" w:cs="Arial"/>
          <w:color w:val="000000" w:themeColor="text1"/>
          <w:sz w:val="19"/>
          <w:szCs w:val="19"/>
        </w:rPr>
        <w:t>»8o.) Por la declaración de nulidad o por la rescisión.</w:t>
      </w:r>
    </w:p>
    <w:p w14:paraId="1DD5F4E1" w14:textId="77777777" w:rsidR="00C42160" w:rsidRPr="000E0D71" w:rsidRDefault="00C42160" w:rsidP="004E667A">
      <w:pPr>
        <w:pStyle w:val="NormalWeb"/>
        <w:spacing w:before="0" w:beforeAutospacing="0" w:after="0" w:afterAutospacing="0"/>
        <w:ind w:firstLine="709"/>
        <w:jc w:val="both"/>
        <w:rPr>
          <w:rFonts w:ascii="Arial" w:hAnsi="Arial" w:cs="Arial"/>
          <w:color w:val="000000" w:themeColor="text1"/>
          <w:sz w:val="19"/>
          <w:szCs w:val="19"/>
        </w:rPr>
      </w:pPr>
      <w:r w:rsidRPr="000E0D71">
        <w:rPr>
          <w:rFonts w:ascii="Arial" w:hAnsi="Arial" w:cs="Arial"/>
          <w:color w:val="000000" w:themeColor="text1"/>
          <w:sz w:val="19"/>
          <w:szCs w:val="19"/>
        </w:rPr>
        <w:t>»9o.) Por el evento de la condición resolutoria.</w:t>
      </w:r>
    </w:p>
    <w:p w14:paraId="34201D4D" w14:textId="77777777" w:rsidR="00C42160" w:rsidRPr="000E0D71" w:rsidRDefault="00C42160" w:rsidP="004E667A">
      <w:pPr>
        <w:pStyle w:val="NormalWeb"/>
        <w:spacing w:before="0" w:beforeAutospacing="0" w:after="0" w:afterAutospacing="0"/>
        <w:ind w:firstLine="709"/>
        <w:jc w:val="both"/>
        <w:rPr>
          <w:rFonts w:ascii="Arial" w:hAnsi="Arial" w:cs="Arial"/>
          <w:color w:val="000000" w:themeColor="text1"/>
          <w:sz w:val="19"/>
          <w:szCs w:val="19"/>
        </w:rPr>
      </w:pPr>
      <w:r w:rsidRPr="000E0D71">
        <w:rPr>
          <w:rFonts w:ascii="Arial" w:hAnsi="Arial" w:cs="Arial"/>
          <w:color w:val="000000" w:themeColor="text1"/>
          <w:sz w:val="19"/>
          <w:szCs w:val="19"/>
        </w:rPr>
        <w:t>»10.) Por la prescripción.</w:t>
      </w:r>
    </w:p>
    <w:p w14:paraId="4F10EA57" w14:textId="77777777" w:rsidR="00C42160" w:rsidRPr="000E0D71" w:rsidRDefault="00C42160" w:rsidP="004E667A">
      <w:pPr>
        <w:pStyle w:val="NormalWeb"/>
        <w:spacing w:before="0" w:beforeAutospacing="0" w:after="0" w:afterAutospacing="0"/>
        <w:ind w:firstLine="709"/>
        <w:jc w:val="both"/>
        <w:rPr>
          <w:rFonts w:ascii="Arial" w:hAnsi="Arial" w:cs="Arial"/>
          <w:color w:val="000000" w:themeColor="text1"/>
          <w:sz w:val="19"/>
          <w:szCs w:val="19"/>
        </w:rPr>
      </w:pPr>
      <w:r w:rsidRPr="000E0D71">
        <w:rPr>
          <w:rFonts w:ascii="Arial" w:hAnsi="Arial" w:cs="Arial"/>
          <w:color w:val="000000" w:themeColor="text1"/>
          <w:sz w:val="19"/>
          <w:szCs w:val="19"/>
        </w:rPr>
        <w:t>»De la transacción y la prescripción se tratará al fin de este libro; de la condición resolutoria se ha tratado en el título De las obligaciones condicionales».</w:t>
      </w:r>
    </w:p>
    <w:p w14:paraId="56FADD80" w14:textId="77777777" w:rsidR="00C42160" w:rsidRPr="000E0D71" w:rsidRDefault="00C42160" w:rsidP="004E667A">
      <w:pPr>
        <w:pStyle w:val="Textonotapie"/>
        <w:ind w:firstLine="709"/>
        <w:jc w:val="both"/>
        <w:rPr>
          <w:rFonts w:ascii="Arial" w:hAnsi="Arial" w:cs="Arial"/>
          <w:color w:val="000000" w:themeColor="text1"/>
          <w:sz w:val="19"/>
          <w:szCs w:val="19"/>
          <w:lang w:val="es-CO"/>
        </w:rPr>
      </w:pPr>
    </w:p>
  </w:footnote>
  <w:footnote w:id="4">
    <w:p w14:paraId="711065CB" w14:textId="77777777" w:rsidR="00C42160" w:rsidRPr="000E0D71" w:rsidRDefault="00C42160" w:rsidP="004E667A">
      <w:pPr>
        <w:pStyle w:val="Textonotapie"/>
        <w:ind w:firstLine="709"/>
        <w:jc w:val="both"/>
        <w:rPr>
          <w:rFonts w:ascii="Arial" w:hAnsi="Arial" w:cs="Arial"/>
          <w:sz w:val="19"/>
          <w:szCs w:val="19"/>
          <w:lang w:val="es-ES"/>
        </w:rPr>
      </w:pPr>
      <w:r w:rsidRPr="000E0D71">
        <w:rPr>
          <w:rStyle w:val="Refdenotaalpie"/>
          <w:rFonts w:ascii="Arial" w:hAnsi="Arial" w:cs="Arial"/>
          <w:sz w:val="19"/>
          <w:szCs w:val="19"/>
        </w:rPr>
        <w:footnoteRef/>
      </w:r>
      <w:r w:rsidRPr="000E0D71">
        <w:rPr>
          <w:rFonts w:ascii="Arial" w:hAnsi="Arial" w:cs="Arial"/>
          <w:sz w:val="19"/>
          <w:szCs w:val="19"/>
        </w:rPr>
        <w:t xml:space="preserve"> Así lo indica la norma: </w:t>
      </w:r>
      <w:r w:rsidRPr="000E0D71">
        <w:rPr>
          <w:rFonts w:ascii="Arial" w:hAnsi="Arial" w:cs="Arial"/>
          <w:sz w:val="19"/>
          <w:szCs w:val="19"/>
          <w:lang w:val="es-ES"/>
        </w:rPr>
        <w:t>«Cuando la pretensión comprenda aspectos que por su naturaleza son conciliables, para allanarse a la demanda la Nación requerirá autorización del Gobierno Nacional y las demás entidades públicas requerirán previa autorización expresa y escrita del Ministro, Jefe de Departamento Administrativo, Gobernador o Alcalde o de la autoridad que las represente o a cuyo Despacho estén vinculadas o adscritas. En los casos de órganos u organismos autónomos e independientes, tal autorización deberá expedirla el servidor de mayor jerarquía en la entidad.</w:t>
      </w:r>
    </w:p>
    <w:p w14:paraId="1D1E04F9" w14:textId="77777777" w:rsidR="00C42160" w:rsidRPr="000E0D71" w:rsidRDefault="00C42160" w:rsidP="004E667A">
      <w:pPr>
        <w:pStyle w:val="Textonotapie"/>
        <w:ind w:firstLine="709"/>
        <w:jc w:val="both"/>
        <w:rPr>
          <w:rFonts w:ascii="Arial" w:hAnsi="Arial" w:cs="Arial"/>
          <w:sz w:val="19"/>
          <w:szCs w:val="19"/>
          <w:lang w:val="es-ES"/>
        </w:rPr>
      </w:pPr>
      <w:proofErr w:type="gramStart"/>
      <w:r w:rsidRPr="000E0D71">
        <w:rPr>
          <w:rFonts w:ascii="Arial" w:hAnsi="Arial" w:cs="Arial"/>
          <w:sz w:val="19"/>
          <w:szCs w:val="19"/>
          <w:lang w:val="es-ES"/>
        </w:rPr>
        <w:t>»En</w:t>
      </w:r>
      <w:proofErr w:type="gramEnd"/>
      <w:r w:rsidRPr="000E0D71">
        <w:rPr>
          <w:rFonts w:ascii="Arial" w:hAnsi="Arial" w:cs="Arial"/>
          <w:sz w:val="19"/>
          <w:szCs w:val="19"/>
          <w:lang w:val="es-ES"/>
        </w:rPr>
        <w:t xml:space="preserve"> el evento de allanamiento se dictará inmediatamente sentencia. Sin embargo, el juez podrá rechazar el allanamiento y decretar pruebas de oficio cuando advierta fraude o colusión o lo pida un tercero que intervenga en el proceso.</w:t>
      </w:r>
    </w:p>
    <w:p w14:paraId="23B19169" w14:textId="77777777" w:rsidR="00C42160" w:rsidRPr="000E0D71" w:rsidRDefault="00C42160" w:rsidP="004E667A">
      <w:pPr>
        <w:pStyle w:val="Textonotapie"/>
        <w:ind w:firstLine="709"/>
        <w:jc w:val="both"/>
        <w:rPr>
          <w:rFonts w:ascii="Arial" w:hAnsi="Arial" w:cs="Arial"/>
          <w:sz w:val="19"/>
          <w:szCs w:val="19"/>
          <w:lang w:val="es-ES"/>
        </w:rPr>
      </w:pPr>
      <w:proofErr w:type="gramStart"/>
      <w:r w:rsidRPr="000E0D71">
        <w:rPr>
          <w:rFonts w:ascii="Arial" w:hAnsi="Arial" w:cs="Arial"/>
          <w:sz w:val="19"/>
          <w:szCs w:val="19"/>
          <w:lang w:val="es-ES"/>
        </w:rPr>
        <w:t>»Con</w:t>
      </w:r>
      <w:proofErr w:type="gramEnd"/>
      <w:r w:rsidRPr="000E0D71">
        <w:rPr>
          <w:rFonts w:ascii="Arial" w:hAnsi="Arial" w:cs="Arial"/>
          <w:sz w:val="19"/>
          <w:szCs w:val="19"/>
          <w:lang w:val="es-ES"/>
        </w:rPr>
        <w:t xml:space="preserve"> las mismas formalidades anteriores podrá terminar el proceso por transacción».</w:t>
      </w:r>
    </w:p>
    <w:p w14:paraId="6E243186" w14:textId="77777777" w:rsidR="00C42160" w:rsidRPr="000E0D71" w:rsidRDefault="00C42160" w:rsidP="004E667A">
      <w:pPr>
        <w:pStyle w:val="Textonotapie"/>
        <w:ind w:firstLine="709"/>
        <w:jc w:val="both"/>
        <w:rPr>
          <w:rFonts w:ascii="Arial" w:hAnsi="Arial" w:cs="Arial"/>
          <w:sz w:val="19"/>
          <w:szCs w:val="19"/>
          <w:lang w:val="es-CO"/>
        </w:rPr>
      </w:pPr>
    </w:p>
  </w:footnote>
  <w:footnote w:id="5">
    <w:p w14:paraId="7D8CCD59" w14:textId="77777777" w:rsidR="00C42160" w:rsidRPr="000E0D71" w:rsidRDefault="00C42160" w:rsidP="004E667A">
      <w:pPr>
        <w:pStyle w:val="Textonotapie"/>
        <w:ind w:firstLine="709"/>
        <w:jc w:val="both"/>
        <w:rPr>
          <w:rFonts w:ascii="Arial" w:hAnsi="Arial" w:cs="Arial"/>
          <w:sz w:val="19"/>
          <w:szCs w:val="19"/>
        </w:rPr>
      </w:pPr>
      <w:r w:rsidRPr="000E0D71">
        <w:rPr>
          <w:rStyle w:val="Refdenotaalpie"/>
          <w:rFonts w:ascii="Arial" w:hAnsi="Arial" w:cs="Arial"/>
          <w:sz w:val="19"/>
          <w:szCs w:val="19"/>
        </w:rPr>
        <w:footnoteRef/>
      </w:r>
      <w:r w:rsidRPr="000E0D71">
        <w:rPr>
          <w:rFonts w:ascii="Arial" w:hAnsi="Arial" w:cs="Arial"/>
          <w:sz w:val="19"/>
          <w:szCs w:val="19"/>
        </w:rPr>
        <w:t xml:space="preserve"> «Si durante las actuaciones arbitrales las partes llegan a una transacción o a una conciliación o mediación que resuelva el litigio, el tribunal dará por terminadas las actuaciones. Caso de que lo pidan ambas partes y el tribunal no se oponga, este verterá en un laudo los términos convenidos por aquellas.</w:t>
      </w:r>
    </w:p>
    <w:p w14:paraId="1DAED049" w14:textId="77777777" w:rsidR="00C42160" w:rsidRPr="000E0D71" w:rsidRDefault="00C42160" w:rsidP="004E667A">
      <w:pPr>
        <w:pStyle w:val="Textonotapie"/>
        <w:ind w:firstLine="709"/>
        <w:jc w:val="both"/>
        <w:rPr>
          <w:rFonts w:ascii="Arial" w:hAnsi="Arial" w:cs="Arial"/>
          <w:sz w:val="19"/>
          <w:szCs w:val="19"/>
        </w:rPr>
      </w:pPr>
      <w:r w:rsidRPr="000E0D71">
        <w:rPr>
          <w:rFonts w:ascii="Arial" w:hAnsi="Arial" w:cs="Arial"/>
          <w:sz w:val="19"/>
          <w:szCs w:val="19"/>
        </w:rPr>
        <w:t>»Dicho laudo tendrá los mismos efectos que cualquier otro laudo dictado sobre el fondo del litigio».</w:t>
      </w:r>
    </w:p>
    <w:p w14:paraId="56794B39" w14:textId="77777777" w:rsidR="00C42160" w:rsidRPr="000E0D71" w:rsidRDefault="00C42160" w:rsidP="004E667A">
      <w:pPr>
        <w:pStyle w:val="Textonotapie"/>
        <w:ind w:firstLine="709"/>
        <w:jc w:val="both"/>
        <w:rPr>
          <w:rFonts w:ascii="Arial" w:hAnsi="Arial" w:cs="Arial"/>
          <w:sz w:val="19"/>
          <w:szCs w:val="19"/>
          <w:lang w:val="es-CO"/>
        </w:rPr>
      </w:pPr>
    </w:p>
  </w:footnote>
  <w:footnote w:id="6">
    <w:p w14:paraId="0647A739" w14:textId="77777777" w:rsidR="00C42160" w:rsidRPr="000E0D71" w:rsidRDefault="00C42160" w:rsidP="004E667A">
      <w:pPr>
        <w:pStyle w:val="Textonotapie"/>
        <w:ind w:firstLine="709"/>
        <w:jc w:val="both"/>
        <w:rPr>
          <w:rFonts w:ascii="Arial" w:hAnsi="Arial" w:cs="Arial"/>
          <w:sz w:val="19"/>
          <w:szCs w:val="19"/>
          <w:lang w:val="es-ES"/>
        </w:rPr>
      </w:pPr>
      <w:r w:rsidRPr="000E0D71">
        <w:rPr>
          <w:rStyle w:val="Refdenotaalpie"/>
          <w:rFonts w:ascii="Arial" w:hAnsi="Arial" w:cs="Arial"/>
          <w:sz w:val="19"/>
          <w:szCs w:val="19"/>
        </w:rPr>
        <w:footnoteRef/>
      </w:r>
      <w:r w:rsidRPr="000E0D71">
        <w:rPr>
          <w:rFonts w:ascii="Arial" w:hAnsi="Arial" w:cs="Arial"/>
          <w:sz w:val="19"/>
          <w:szCs w:val="19"/>
        </w:rPr>
        <w:t xml:space="preserve"> </w:t>
      </w:r>
      <w:r w:rsidRPr="000E0D71">
        <w:rPr>
          <w:rFonts w:ascii="Arial" w:hAnsi="Arial" w:cs="Arial"/>
          <w:sz w:val="19"/>
          <w:szCs w:val="19"/>
          <w:lang w:val="es-ES"/>
        </w:rPr>
        <w:t>Entre las múltiples providencias de la Sección Tercera del Consejo de Estado que han aceptado la transacción como mecanismo de arreglo directo entre las partes en la contratación estatal, pueden consultarse las siguientes, que son las más recientes: Consejo de Estado. Sección Tercera. Auto del 2 de octubre de 2020. Consejero Ponente: Jaime Enrique Rodríguez Navas. Expediente: 64.066A. / Sentencia del 12 de agosto de 2019. Consejera Ponente: María Adriana Marín. Expediente: 38.603. / Auto del 8 de mayo de 2019. Consejero Ponente: Alberto Montaña Plata. Expediente: 41.868 / Sentencia del 2 de marzo de 2017. Consejero Ponente: Ramiro Pazos Guerrero. Expediente: 35.818.</w:t>
      </w:r>
    </w:p>
    <w:p w14:paraId="05E6DD33" w14:textId="77777777" w:rsidR="00C42160" w:rsidRPr="000E0D71" w:rsidRDefault="00C42160" w:rsidP="004E667A">
      <w:pPr>
        <w:pStyle w:val="Textonotapie"/>
        <w:ind w:firstLine="709"/>
        <w:jc w:val="both"/>
        <w:rPr>
          <w:rFonts w:ascii="Arial" w:hAnsi="Arial" w:cs="Arial"/>
          <w:sz w:val="19"/>
          <w:szCs w:val="19"/>
          <w:lang w:val="es-CO"/>
        </w:rPr>
      </w:pPr>
    </w:p>
  </w:footnote>
  <w:footnote w:id="7">
    <w:p w14:paraId="04C09671" w14:textId="77777777" w:rsidR="00C42160" w:rsidRPr="000E0D71" w:rsidRDefault="00C42160" w:rsidP="004E667A">
      <w:pPr>
        <w:pStyle w:val="Textonotapie"/>
        <w:ind w:firstLine="709"/>
        <w:jc w:val="both"/>
        <w:rPr>
          <w:rFonts w:ascii="Arial" w:hAnsi="Arial" w:cs="Arial"/>
          <w:sz w:val="19"/>
          <w:szCs w:val="19"/>
        </w:rPr>
      </w:pPr>
      <w:r w:rsidRPr="000E0D71">
        <w:rPr>
          <w:rStyle w:val="Refdenotaalpie"/>
          <w:rFonts w:ascii="Arial" w:hAnsi="Arial" w:cs="Arial"/>
          <w:sz w:val="19"/>
          <w:szCs w:val="19"/>
        </w:rPr>
        <w:footnoteRef/>
      </w:r>
      <w:r w:rsidRPr="000E0D71">
        <w:rPr>
          <w:rFonts w:ascii="Arial" w:hAnsi="Arial" w:cs="Arial"/>
          <w:sz w:val="19"/>
          <w:szCs w:val="19"/>
        </w:rPr>
        <w:t xml:space="preserve"> CARRILLO, Fernando y GÓMEZ, Iván. En: Procuraduría General de la Nación, Op. Cit., pp. 53-60.</w:t>
      </w:r>
    </w:p>
    <w:p w14:paraId="6B582745" w14:textId="77777777" w:rsidR="00C42160" w:rsidRPr="000E0D71" w:rsidRDefault="00C42160" w:rsidP="004E667A">
      <w:pPr>
        <w:pStyle w:val="Textonotapie"/>
        <w:ind w:firstLine="709"/>
        <w:jc w:val="both"/>
        <w:rPr>
          <w:rFonts w:ascii="Arial" w:hAnsi="Arial" w:cs="Arial"/>
          <w:sz w:val="19"/>
          <w:szCs w:val="19"/>
          <w:lang w:val="es-ES"/>
        </w:rPr>
      </w:pPr>
    </w:p>
  </w:footnote>
  <w:footnote w:id="8">
    <w:p w14:paraId="2FE76114" w14:textId="77777777" w:rsidR="00C42160" w:rsidRPr="000E0D71" w:rsidRDefault="00C42160" w:rsidP="004E667A">
      <w:pPr>
        <w:pStyle w:val="Textonotapie"/>
        <w:ind w:firstLine="709"/>
        <w:jc w:val="both"/>
        <w:rPr>
          <w:rFonts w:ascii="Arial" w:hAnsi="Arial" w:cs="Arial"/>
          <w:sz w:val="19"/>
          <w:szCs w:val="19"/>
          <w:lang w:val="es-ES_tradnl"/>
        </w:rPr>
      </w:pPr>
      <w:r w:rsidRPr="000E0D71">
        <w:rPr>
          <w:rStyle w:val="Refdenotaalpie"/>
          <w:rFonts w:ascii="Arial" w:hAnsi="Arial" w:cs="Arial"/>
          <w:sz w:val="19"/>
          <w:szCs w:val="19"/>
        </w:rPr>
        <w:footnoteRef/>
      </w:r>
      <w:r w:rsidRPr="000E0D71">
        <w:rPr>
          <w:rFonts w:ascii="Arial" w:hAnsi="Arial" w:cs="Arial"/>
          <w:sz w:val="19"/>
          <w:szCs w:val="19"/>
        </w:rPr>
        <w:t xml:space="preserve"> EXPÓSITO VÉLEZ, Juan Carlos. La liquidación bilateral de los contratos estatales: un mecanismo alternativo de solución de conflictos. En: Revista Digital de Derecho Administrativo, No. 1, 2009, pp. 18-19. En: https://revistas.uexternado.edu.co/index.php/Deradm/article/view/2591</w:t>
      </w:r>
    </w:p>
  </w:footnote>
  <w:footnote w:id="9">
    <w:p w14:paraId="5A83FC07" w14:textId="77777777" w:rsidR="00C42160" w:rsidRPr="000E0D71" w:rsidRDefault="00C42160" w:rsidP="004E667A">
      <w:pPr>
        <w:ind w:firstLine="709"/>
        <w:jc w:val="both"/>
        <w:rPr>
          <w:rFonts w:ascii="Arial" w:hAnsi="Arial" w:cs="Arial"/>
          <w:sz w:val="19"/>
          <w:szCs w:val="19"/>
        </w:rPr>
      </w:pPr>
      <w:r w:rsidRPr="000E0D71">
        <w:rPr>
          <w:rStyle w:val="Refdenotaalpie"/>
          <w:rFonts w:ascii="Arial" w:hAnsi="Arial" w:cs="Arial"/>
          <w:sz w:val="19"/>
          <w:szCs w:val="19"/>
        </w:rPr>
        <w:footnoteRef/>
      </w:r>
      <w:r w:rsidRPr="000E0D71">
        <w:rPr>
          <w:rFonts w:ascii="Arial" w:hAnsi="Arial" w:cs="Arial"/>
          <w:sz w:val="19"/>
          <w:szCs w:val="19"/>
        </w:rPr>
        <w:t xml:space="preserve"> Consejo de Estado. Sección Tercera. Sentencia del 19 de mayo de 2005. Consejera Ponente: María Elena Giraldo Gómez. Radicación número: 63001-23-31-000-2002-00719-02.</w:t>
      </w:r>
    </w:p>
    <w:p w14:paraId="1468887D" w14:textId="77777777" w:rsidR="00C42160" w:rsidRPr="000E0D71" w:rsidRDefault="00C42160" w:rsidP="004E667A">
      <w:pPr>
        <w:pStyle w:val="Textonotapie"/>
        <w:ind w:firstLine="709"/>
        <w:jc w:val="both"/>
        <w:rPr>
          <w:rFonts w:ascii="Arial" w:hAnsi="Arial" w:cs="Arial"/>
          <w:sz w:val="19"/>
          <w:szCs w:val="19"/>
        </w:rPr>
      </w:pPr>
    </w:p>
  </w:footnote>
  <w:footnote w:id="10">
    <w:p w14:paraId="0948E520" w14:textId="77777777" w:rsidR="00C42160" w:rsidRPr="000E0D71" w:rsidRDefault="00C42160" w:rsidP="004E667A">
      <w:pPr>
        <w:pStyle w:val="Textonotapie"/>
        <w:ind w:firstLine="709"/>
        <w:jc w:val="both"/>
        <w:rPr>
          <w:rFonts w:ascii="Arial" w:hAnsi="Arial" w:cs="Arial"/>
          <w:sz w:val="19"/>
          <w:szCs w:val="19"/>
        </w:rPr>
      </w:pPr>
      <w:r w:rsidRPr="000E0D71">
        <w:rPr>
          <w:rStyle w:val="Refdenotaalpie"/>
          <w:rFonts w:ascii="Arial" w:hAnsi="Arial" w:cs="Arial"/>
          <w:sz w:val="19"/>
          <w:szCs w:val="19"/>
        </w:rPr>
        <w:footnoteRef/>
      </w:r>
      <w:r w:rsidRPr="000E0D71">
        <w:rPr>
          <w:rFonts w:ascii="Arial" w:hAnsi="Arial" w:cs="Arial"/>
          <w:sz w:val="19"/>
          <w:szCs w:val="19"/>
        </w:rPr>
        <w:t xml:space="preserve"> Consejo de Estado. Sección Tercera. Auto del 25 de octubre de 2019. Consejero Ponente: Carlos Alberto Zambrano Barrera. Expediente: 64.054.</w:t>
      </w:r>
    </w:p>
    <w:p w14:paraId="4C8ABB90" w14:textId="77777777" w:rsidR="00C42160" w:rsidRPr="000E0D71" w:rsidRDefault="00C42160" w:rsidP="004E667A">
      <w:pPr>
        <w:pStyle w:val="Textonotapie"/>
        <w:ind w:firstLine="709"/>
        <w:jc w:val="both"/>
        <w:rPr>
          <w:rFonts w:ascii="Arial" w:hAnsi="Arial" w:cs="Arial"/>
          <w:sz w:val="19"/>
          <w:szCs w:val="19"/>
        </w:rPr>
      </w:pPr>
    </w:p>
  </w:footnote>
  <w:footnote w:id="11">
    <w:p w14:paraId="014A7356" w14:textId="77777777" w:rsidR="00C42160" w:rsidRPr="000E0D71" w:rsidRDefault="00C42160" w:rsidP="004E667A">
      <w:pPr>
        <w:ind w:firstLine="709"/>
        <w:jc w:val="both"/>
        <w:rPr>
          <w:rFonts w:ascii="Arial" w:hAnsi="Arial" w:cs="Arial"/>
          <w:color w:val="000000"/>
          <w:sz w:val="19"/>
          <w:szCs w:val="19"/>
        </w:rPr>
      </w:pPr>
      <w:r w:rsidRPr="000E0D71">
        <w:rPr>
          <w:rStyle w:val="Refdenotaalpie"/>
          <w:rFonts w:ascii="Arial" w:hAnsi="Arial" w:cs="Arial"/>
          <w:sz w:val="19"/>
          <w:szCs w:val="19"/>
        </w:rPr>
        <w:footnoteRef/>
      </w:r>
      <w:r w:rsidRPr="000E0D71">
        <w:rPr>
          <w:rFonts w:ascii="Arial" w:hAnsi="Arial" w:cs="Arial"/>
          <w:sz w:val="19"/>
          <w:szCs w:val="19"/>
        </w:rPr>
        <w:t xml:space="preserve"> Consejo de Estado. Sección Tercera. Sentencia del 12 de agosto de 2019. Consejera Ponente: María Adriana Marín. Expediente: </w:t>
      </w:r>
      <w:r w:rsidRPr="000E0D71">
        <w:rPr>
          <w:rFonts w:ascii="Arial" w:hAnsi="Arial" w:cs="Arial"/>
          <w:color w:val="000000"/>
          <w:sz w:val="19"/>
          <w:szCs w:val="19"/>
        </w:rPr>
        <w:t>38.603.</w:t>
      </w:r>
    </w:p>
    <w:p w14:paraId="20374C90" w14:textId="77777777" w:rsidR="00C42160" w:rsidRPr="000E0D71" w:rsidRDefault="00C42160" w:rsidP="004E667A">
      <w:pPr>
        <w:ind w:firstLine="709"/>
        <w:jc w:val="both"/>
        <w:rPr>
          <w:rFonts w:ascii="Arial" w:hAnsi="Arial" w:cs="Arial"/>
          <w:sz w:val="19"/>
          <w:szCs w:val="19"/>
        </w:rPr>
      </w:pPr>
    </w:p>
  </w:footnote>
  <w:footnote w:id="12">
    <w:p w14:paraId="0480EB23" w14:textId="77777777" w:rsidR="00C42160" w:rsidRPr="000E0D71" w:rsidRDefault="00C42160" w:rsidP="004E667A">
      <w:pPr>
        <w:pStyle w:val="Textonotapie"/>
        <w:ind w:firstLine="709"/>
        <w:jc w:val="both"/>
        <w:rPr>
          <w:rFonts w:ascii="Arial" w:hAnsi="Arial" w:cs="Arial"/>
          <w:sz w:val="19"/>
          <w:szCs w:val="19"/>
        </w:rPr>
      </w:pPr>
      <w:r w:rsidRPr="000E0D71">
        <w:rPr>
          <w:rStyle w:val="Refdenotaalpie"/>
          <w:rFonts w:ascii="Arial" w:hAnsi="Arial" w:cs="Arial"/>
          <w:sz w:val="19"/>
          <w:szCs w:val="19"/>
        </w:rPr>
        <w:footnoteRef/>
      </w:r>
      <w:r w:rsidRPr="000E0D71">
        <w:rPr>
          <w:rFonts w:ascii="Arial" w:hAnsi="Arial" w:cs="Arial"/>
          <w:sz w:val="19"/>
          <w:szCs w:val="19"/>
        </w:rPr>
        <w:t xml:space="preserve"> Consejo de Estado. Sección Tercera. Sentencia del 19 de mayo de 2005. Consejera Ponente: María Elena Giraldo Gómez. Radicación número: 63001-23-31-000-2002-00719-02.</w:t>
      </w:r>
    </w:p>
    <w:p w14:paraId="60C94CE1" w14:textId="77777777" w:rsidR="00C42160" w:rsidRPr="000E0D71" w:rsidRDefault="00C42160" w:rsidP="004E667A">
      <w:pPr>
        <w:pStyle w:val="Textonotapie"/>
        <w:ind w:firstLine="709"/>
        <w:jc w:val="both"/>
        <w:rPr>
          <w:rFonts w:ascii="Arial" w:hAnsi="Arial" w:cs="Arial"/>
          <w:sz w:val="19"/>
          <w:szCs w:val="19"/>
        </w:rPr>
      </w:pPr>
    </w:p>
  </w:footnote>
  <w:footnote w:id="13">
    <w:p w14:paraId="25974DE9" w14:textId="77777777" w:rsidR="00C42160" w:rsidRPr="000E0D71" w:rsidRDefault="00C42160" w:rsidP="004E667A">
      <w:pPr>
        <w:pStyle w:val="Textonotapie"/>
        <w:ind w:firstLine="709"/>
        <w:jc w:val="both"/>
        <w:rPr>
          <w:rFonts w:ascii="Arial" w:hAnsi="Arial" w:cs="Arial"/>
          <w:sz w:val="19"/>
          <w:szCs w:val="19"/>
        </w:rPr>
      </w:pPr>
      <w:r w:rsidRPr="000E0D71">
        <w:rPr>
          <w:rStyle w:val="Refdenotaalpie"/>
          <w:rFonts w:ascii="Arial" w:hAnsi="Arial" w:cs="Arial"/>
          <w:sz w:val="19"/>
          <w:szCs w:val="19"/>
        </w:rPr>
        <w:footnoteRef/>
      </w:r>
      <w:r w:rsidRPr="000E0D71">
        <w:rPr>
          <w:rFonts w:ascii="Arial" w:hAnsi="Arial" w:cs="Arial"/>
          <w:sz w:val="19"/>
          <w:szCs w:val="19"/>
        </w:rPr>
        <w:t xml:space="preserve"> Consejo de Estado. Sección Tercera. Auto del 14 de febrero de 2019. Consejera Ponente: Marta Nubia Velásquez Rico. Expediente: 60.049.</w:t>
      </w:r>
    </w:p>
    <w:p w14:paraId="3894B0AC" w14:textId="77777777" w:rsidR="00C42160" w:rsidRPr="000E0D71" w:rsidRDefault="00C42160" w:rsidP="004E667A">
      <w:pPr>
        <w:pStyle w:val="Textonotapie"/>
        <w:ind w:firstLine="709"/>
        <w:jc w:val="both"/>
        <w:rPr>
          <w:rFonts w:ascii="Arial" w:hAnsi="Arial" w:cs="Arial"/>
          <w:sz w:val="19"/>
          <w:szCs w:val="19"/>
        </w:rPr>
      </w:pPr>
    </w:p>
  </w:footnote>
  <w:footnote w:id="14">
    <w:p w14:paraId="3B4A85D6" w14:textId="306F852B" w:rsidR="00C42160" w:rsidRDefault="00C42160" w:rsidP="004E667A">
      <w:pPr>
        <w:pStyle w:val="Textonotapie"/>
        <w:ind w:firstLine="709"/>
        <w:jc w:val="both"/>
        <w:rPr>
          <w:rFonts w:ascii="Arial" w:hAnsi="Arial" w:cs="Arial"/>
          <w:sz w:val="19"/>
          <w:szCs w:val="19"/>
        </w:rPr>
      </w:pPr>
      <w:r w:rsidRPr="000E0D71">
        <w:rPr>
          <w:rStyle w:val="Refdenotaalpie"/>
          <w:rFonts w:ascii="Arial" w:hAnsi="Arial" w:cs="Arial"/>
          <w:sz w:val="19"/>
          <w:szCs w:val="19"/>
        </w:rPr>
        <w:footnoteRef/>
      </w:r>
      <w:r w:rsidRPr="000E0D71">
        <w:rPr>
          <w:rFonts w:ascii="Arial" w:hAnsi="Arial" w:cs="Arial"/>
          <w:sz w:val="19"/>
          <w:szCs w:val="19"/>
        </w:rPr>
        <w:t xml:space="preserve"> Consejo de Estado. Sección Tercera. Sentencia del 25 de junio de 2014. Consejero Ponente: </w:t>
      </w:r>
      <w:r w:rsidRPr="00FE60F1">
        <w:rPr>
          <w:rFonts w:ascii="Arial" w:hAnsi="Arial" w:cs="Arial"/>
          <w:sz w:val="19"/>
          <w:szCs w:val="19"/>
        </w:rPr>
        <w:t>Hernán Andrade Rincón. Expediente: 28.067.</w:t>
      </w:r>
    </w:p>
    <w:p w14:paraId="415481DC" w14:textId="77777777" w:rsidR="00C42160" w:rsidRPr="00FE60F1" w:rsidRDefault="00C42160" w:rsidP="004E667A">
      <w:pPr>
        <w:pStyle w:val="Textonotapie"/>
        <w:ind w:firstLine="709"/>
        <w:jc w:val="both"/>
        <w:rPr>
          <w:rFonts w:ascii="Arial" w:hAnsi="Arial" w:cs="Arial"/>
          <w:sz w:val="19"/>
          <w:szCs w:val="19"/>
          <w:lang w:val="es-CO"/>
        </w:rPr>
      </w:pPr>
    </w:p>
  </w:footnote>
  <w:footnote w:id="15">
    <w:p w14:paraId="4B8CFEEA" w14:textId="1548DCB2" w:rsidR="00C42160" w:rsidRDefault="00C42160" w:rsidP="006E087D">
      <w:pPr>
        <w:pStyle w:val="Textonotapie"/>
        <w:ind w:firstLine="708"/>
        <w:jc w:val="both"/>
        <w:rPr>
          <w:rFonts w:ascii="Arial" w:hAnsi="Arial" w:cs="Arial"/>
          <w:sz w:val="19"/>
          <w:szCs w:val="19"/>
        </w:rPr>
      </w:pPr>
      <w:r w:rsidRPr="006E087D">
        <w:rPr>
          <w:rStyle w:val="Refdenotaalpie"/>
          <w:rFonts w:ascii="Arial" w:hAnsi="Arial" w:cs="Arial"/>
        </w:rPr>
        <w:footnoteRef/>
      </w:r>
      <w:r w:rsidRPr="006E087D">
        <w:rPr>
          <w:rFonts w:ascii="Arial" w:hAnsi="Arial" w:cs="Arial"/>
        </w:rPr>
        <w:t xml:space="preserve"> </w:t>
      </w:r>
      <w:r w:rsidRPr="006E087D">
        <w:rPr>
          <w:rFonts w:ascii="Arial" w:hAnsi="Arial" w:cs="Arial"/>
          <w:sz w:val="19"/>
          <w:szCs w:val="19"/>
        </w:rPr>
        <w:t>Laudo arbitral. Tren de Occidente S.A. contra la Agencia Nacional de Infraestructura. Laudo del 14 de febrero del 2014.</w:t>
      </w:r>
      <w:r>
        <w:rPr>
          <w:rFonts w:ascii="Arial" w:hAnsi="Arial" w:cs="Arial"/>
          <w:sz w:val="19"/>
          <w:szCs w:val="19"/>
        </w:rPr>
        <w:t xml:space="preserve"> En palabras del Tribunal «</w:t>
      </w:r>
      <w:r w:rsidRPr="006E087D">
        <w:rPr>
          <w:rFonts w:ascii="Arial" w:hAnsi="Arial" w:cs="Arial"/>
          <w:sz w:val="19"/>
          <w:szCs w:val="19"/>
        </w:rPr>
        <w:t>En cualquier caso, la simple renuncia de un derecho por una de las partes sin contraprestación de la otra, no configura un contrato de transacción, sino una categoría contractual diversa.</w:t>
      </w:r>
      <w:r>
        <w:rPr>
          <w:rFonts w:ascii="Arial" w:hAnsi="Arial" w:cs="Arial"/>
          <w:sz w:val="19"/>
          <w:szCs w:val="19"/>
        </w:rPr>
        <w:t>»</w:t>
      </w:r>
    </w:p>
    <w:p w14:paraId="27475B80" w14:textId="77777777" w:rsidR="00C42160" w:rsidRPr="006E087D" w:rsidRDefault="00C42160" w:rsidP="006E087D">
      <w:pPr>
        <w:pStyle w:val="Textonotapie"/>
        <w:ind w:firstLine="708"/>
        <w:jc w:val="both"/>
        <w:rPr>
          <w:rFonts w:ascii="Arial" w:hAnsi="Arial" w:cs="Arial"/>
          <w:lang w:val="es-ES"/>
        </w:rPr>
      </w:pPr>
    </w:p>
  </w:footnote>
  <w:footnote w:id="16">
    <w:p w14:paraId="2144B4BA" w14:textId="1844E543" w:rsidR="00C42160" w:rsidRDefault="00C42160" w:rsidP="00861D0B">
      <w:pPr>
        <w:pStyle w:val="Textonotapie"/>
        <w:ind w:firstLine="708"/>
        <w:rPr>
          <w:rFonts w:ascii="Arial" w:hAnsi="Arial" w:cs="Arial"/>
          <w:sz w:val="19"/>
          <w:szCs w:val="19"/>
        </w:rPr>
      </w:pPr>
      <w:r w:rsidRPr="00861D0B">
        <w:rPr>
          <w:rStyle w:val="Refdenotaalpie"/>
          <w:rFonts w:ascii="Arial" w:hAnsi="Arial" w:cs="Arial"/>
          <w:sz w:val="19"/>
          <w:szCs w:val="19"/>
        </w:rPr>
        <w:footnoteRef/>
      </w:r>
      <w:r w:rsidRPr="00861D0B">
        <w:rPr>
          <w:rFonts w:ascii="Arial" w:hAnsi="Arial" w:cs="Arial"/>
          <w:sz w:val="19"/>
          <w:szCs w:val="19"/>
        </w:rPr>
        <w:t xml:space="preserve"> </w:t>
      </w:r>
      <w:r>
        <w:rPr>
          <w:rFonts w:ascii="Arial" w:hAnsi="Arial" w:cs="Arial"/>
          <w:sz w:val="19"/>
          <w:szCs w:val="19"/>
        </w:rPr>
        <w:t xml:space="preserve">Veáse: </w:t>
      </w:r>
      <w:r w:rsidRPr="006E087D">
        <w:rPr>
          <w:rFonts w:ascii="Arial" w:hAnsi="Arial" w:cs="Arial"/>
          <w:sz w:val="19"/>
          <w:szCs w:val="19"/>
        </w:rPr>
        <w:t>Laudo arbitral. Tren de Occidente S.A. contra la Agencia Nacional de Infraestructura. Laudo del 14 de febrero del 2014.</w:t>
      </w:r>
    </w:p>
    <w:p w14:paraId="261C0765" w14:textId="77777777" w:rsidR="00C42160" w:rsidRPr="00861D0B" w:rsidRDefault="00C42160" w:rsidP="00861D0B">
      <w:pPr>
        <w:pStyle w:val="Textonotapie"/>
        <w:ind w:firstLine="708"/>
        <w:rPr>
          <w:rFonts w:ascii="Arial" w:hAnsi="Arial" w:cs="Arial"/>
          <w:sz w:val="19"/>
          <w:szCs w:val="19"/>
          <w:lang w:val="es-ES"/>
        </w:rPr>
      </w:pPr>
    </w:p>
  </w:footnote>
  <w:footnote w:id="17">
    <w:p w14:paraId="3FF9F632" w14:textId="3ED2A026" w:rsidR="00C42160" w:rsidRDefault="00C42160" w:rsidP="00861D0B">
      <w:pPr>
        <w:pStyle w:val="Textonotapie"/>
        <w:ind w:firstLine="708"/>
        <w:rPr>
          <w:rFonts w:ascii="Arial" w:hAnsi="Arial" w:cs="Arial"/>
          <w:sz w:val="19"/>
          <w:szCs w:val="19"/>
        </w:rPr>
      </w:pPr>
      <w:r w:rsidRPr="00861D0B">
        <w:rPr>
          <w:rStyle w:val="Refdenotaalpie"/>
          <w:rFonts w:ascii="Arial" w:hAnsi="Arial" w:cs="Arial"/>
          <w:sz w:val="19"/>
          <w:szCs w:val="19"/>
        </w:rPr>
        <w:footnoteRef/>
      </w:r>
      <w:r>
        <w:rPr>
          <w:rFonts w:ascii="Arial" w:hAnsi="Arial" w:cs="Arial"/>
          <w:sz w:val="19"/>
          <w:szCs w:val="19"/>
        </w:rPr>
        <w:t xml:space="preserve"> Veáse: Laudo arbitral. </w:t>
      </w:r>
      <w:r w:rsidRPr="00861D0B">
        <w:rPr>
          <w:rFonts w:ascii="Arial" w:hAnsi="Arial" w:cs="Arial"/>
          <w:sz w:val="19"/>
          <w:szCs w:val="19"/>
        </w:rPr>
        <w:t>Schrader Camargo Ingenieros Asociados S.A.</w:t>
      </w:r>
      <w:r>
        <w:rPr>
          <w:rFonts w:ascii="Arial" w:hAnsi="Arial" w:cs="Arial"/>
          <w:sz w:val="19"/>
          <w:szCs w:val="19"/>
        </w:rPr>
        <w:t xml:space="preserve"> contra Refinería de Cartagena S.A. Laudo del 28 de noviembre de 2018. </w:t>
      </w:r>
    </w:p>
    <w:p w14:paraId="3156BA1B" w14:textId="77777777" w:rsidR="00C42160" w:rsidRPr="00861D0B" w:rsidRDefault="00C42160" w:rsidP="00861D0B">
      <w:pPr>
        <w:pStyle w:val="Textonotapie"/>
        <w:ind w:firstLine="708"/>
        <w:rPr>
          <w:rFonts w:ascii="Arial" w:hAnsi="Arial" w:cs="Arial"/>
          <w:sz w:val="19"/>
          <w:szCs w:val="19"/>
          <w:lang w:val="es-ES"/>
        </w:rPr>
      </w:pPr>
    </w:p>
  </w:footnote>
  <w:footnote w:id="18">
    <w:p w14:paraId="1E453E96" w14:textId="77777777" w:rsidR="00C42160" w:rsidRDefault="00C42160" w:rsidP="00422631">
      <w:pPr>
        <w:pStyle w:val="Textonotapie"/>
        <w:ind w:firstLine="708"/>
        <w:rPr>
          <w:rFonts w:ascii="Arial" w:hAnsi="Arial" w:cs="Arial"/>
          <w:sz w:val="19"/>
          <w:szCs w:val="19"/>
        </w:rPr>
      </w:pPr>
      <w:r w:rsidRPr="00857C31">
        <w:rPr>
          <w:rStyle w:val="Refdenotaalpie"/>
          <w:rFonts w:ascii="Arial" w:hAnsi="Arial" w:cs="Arial"/>
          <w:sz w:val="19"/>
          <w:szCs w:val="19"/>
        </w:rPr>
        <w:footnoteRef/>
      </w:r>
      <w:r w:rsidRPr="00857C31">
        <w:rPr>
          <w:rFonts w:ascii="Arial" w:hAnsi="Arial" w:cs="Arial"/>
          <w:sz w:val="19"/>
          <w:szCs w:val="19"/>
        </w:rPr>
        <w:t xml:space="preserve"> Ley 80 de 1993. Artículo 32.</w:t>
      </w:r>
    </w:p>
    <w:p w14:paraId="617EC4D3" w14:textId="77777777" w:rsidR="00C42160" w:rsidRPr="00857C31" w:rsidRDefault="00C42160" w:rsidP="00422631">
      <w:pPr>
        <w:pStyle w:val="Textonotapie"/>
        <w:ind w:firstLine="708"/>
        <w:rPr>
          <w:rFonts w:ascii="Arial" w:hAnsi="Arial" w:cs="Arial"/>
          <w:sz w:val="19"/>
          <w:szCs w:val="19"/>
          <w:lang w:val="es-CO"/>
        </w:rPr>
      </w:pPr>
    </w:p>
  </w:footnote>
  <w:footnote w:id="19">
    <w:p w14:paraId="5751C5AB" w14:textId="2F58C75D" w:rsidR="00C42160" w:rsidRDefault="00C42160" w:rsidP="00422631">
      <w:pPr>
        <w:pStyle w:val="Textonotapie"/>
        <w:ind w:firstLine="708"/>
        <w:jc w:val="both"/>
        <w:rPr>
          <w:rFonts w:ascii="Arial" w:hAnsi="Arial" w:cs="Arial"/>
          <w:sz w:val="19"/>
          <w:szCs w:val="19"/>
        </w:rPr>
      </w:pPr>
      <w:r w:rsidRPr="00857C31">
        <w:rPr>
          <w:rStyle w:val="Refdenotaalpie"/>
          <w:rFonts w:ascii="Arial" w:hAnsi="Arial" w:cs="Arial"/>
          <w:sz w:val="19"/>
          <w:szCs w:val="19"/>
        </w:rPr>
        <w:footnoteRef/>
      </w:r>
      <w:r w:rsidRPr="00857C31">
        <w:rPr>
          <w:rFonts w:ascii="Arial" w:hAnsi="Arial" w:cs="Arial"/>
          <w:sz w:val="19"/>
          <w:szCs w:val="19"/>
        </w:rPr>
        <w:t xml:space="preserve"> El artículo 141 de la Ley 1437 de 2011 consagra lo siguiente:</w:t>
      </w:r>
      <w:r>
        <w:rPr>
          <w:rFonts w:ascii="Arial" w:hAnsi="Arial" w:cs="Arial"/>
          <w:sz w:val="19"/>
          <w:szCs w:val="19"/>
        </w:rPr>
        <w:t xml:space="preserve"> «</w:t>
      </w:r>
      <w:r w:rsidRPr="00857C31">
        <w:rPr>
          <w:rFonts w:ascii="Arial" w:hAnsi="Arial" w:cs="Arial"/>
          <w:sz w:val="19"/>
          <w:szCs w:val="19"/>
        </w:rPr>
        <w:t>A</w:t>
      </w:r>
      <w:r>
        <w:rPr>
          <w:rFonts w:ascii="Arial" w:hAnsi="Arial" w:cs="Arial"/>
          <w:sz w:val="19"/>
          <w:szCs w:val="19"/>
        </w:rPr>
        <w:t>rtículo</w:t>
      </w:r>
      <w:r w:rsidRPr="00857C31">
        <w:rPr>
          <w:rFonts w:ascii="Arial" w:hAnsi="Arial" w:cs="Arial"/>
          <w:sz w:val="19"/>
          <w:szCs w:val="19"/>
        </w:rPr>
        <w:t xml:space="preserve"> 141. Controversias Contractuales. Cualquiera de las partes de un contrato del Estado podrá pedir que se declare su existencia o su nulidad, que se ordene su revisión, que se declare su incumplimiento, que se declare la nulidad de los actos administrativos contractuales, que se condene al responsable a indemnizar los perjuicios, y que se hagan otras declaraciones y condenas. Así mismo, el interesado podrá solicitar la liquidación judicial del contrato cuando esta no se haya logrado de mutuo acuerdo y la entidad estatal no lo haya liquidado unilateralmente dentro de los dos (2) meses siguientes al vencimiento del plazo convenido para liquidar de mutuo acuerdo o, en su defecto, del término establecido por la ley</w:t>
      </w:r>
      <w:r>
        <w:rPr>
          <w:rFonts w:ascii="Arial" w:hAnsi="Arial" w:cs="Arial"/>
          <w:sz w:val="19"/>
          <w:szCs w:val="19"/>
        </w:rPr>
        <w:t xml:space="preserve"> […]»</w:t>
      </w:r>
    </w:p>
    <w:p w14:paraId="7BE50BA1" w14:textId="77777777" w:rsidR="00C42160" w:rsidRPr="00857C31" w:rsidRDefault="00C42160" w:rsidP="00422631">
      <w:pPr>
        <w:pStyle w:val="Textonotapie"/>
        <w:ind w:firstLine="708"/>
        <w:jc w:val="both"/>
        <w:rPr>
          <w:rFonts w:ascii="Arial" w:hAnsi="Arial" w:cs="Arial"/>
          <w:sz w:val="19"/>
          <w:szCs w:val="19"/>
          <w:lang w:val="es-CO"/>
        </w:rPr>
      </w:pPr>
    </w:p>
  </w:footnote>
  <w:footnote w:id="20">
    <w:p w14:paraId="0F4A3BC6" w14:textId="6C67D74E" w:rsidR="00C42160" w:rsidRDefault="00C42160" w:rsidP="00F76721">
      <w:pPr>
        <w:pStyle w:val="Textonotapie"/>
        <w:ind w:firstLine="708"/>
        <w:rPr>
          <w:rFonts w:ascii="Arial" w:hAnsi="Arial" w:cs="Arial"/>
          <w:sz w:val="19"/>
          <w:szCs w:val="19"/>
        </w:rPr>
      </w:pPr>
      <w:r w:rsidRPr="00F76721">
        <w:rPr>
          <w:rStyle w:val="Refdenotaalpie"/>
          <w:rFonts w:ascii="Arial" w:hAnsi="Arial" w:cs="Arial"/>
          <w:sz w:val="19"/>
          <w:szCs w:val="19"/>
        </w:rPr>
        <w:footnoteRef/>
      </w:r>
      <w:r>
        <w:rPr>
          <w:rFonts w:ascii="Arial" w:hAnsi="Arial" w:cs="Arial"/>
          <w:sz w:val="19"/>
          <w:szCs w:val="19"/>
        </w:rPr>
        <w:t xml:space="preserve"> </w:t>
      </w:r>
      <w:r w:rsidRPr="006E087D">
        <w:rPr>
          <w:rFonts w:ascii="Arial" w:hAnsi="Arial" w:cs="Arial"/>
          <w:sz w:val="19"/>
          <w:szCs w:val="19"/>
        </w:rPr>
        <w:t>Laudo arbitral. Tren de Occidente S.A. contra la Agencia Nacional de Infraestructura. Laudo del 14 de febrero del 2014.</w:t>
      </w:r>
    </w:p>
    <w:p w14:paraId="7335A756" w14:textId="77777777" w:rsidR="00C42160" w:rsidRPr="00F76721" w:rsidRDefault="00C42160" w:rsidP="00F76721">
      <w:pPr>
        <w:pStyle w:val="Textonotapie"/>
        <w:ind w:firstLine="708"/>
        <w:rPr>
          <w:rFonts w:ascii="Arial" w:hAnsi="Arial" w:cs="Arial"/>
          <w:sz w:val="19"/>
          <w:szCs w:val="19"/>
          <w:lang w:val="es-CO"/>
        </w:rPr>
      </w:pPr>
    </w:p>
  </w:footnote>
  <w:footnote w:id="21">
    <w:p w14:paraId="4733068F" w14:textId="3D27F2D1" w:rsidR="00C42160" w:rsidRPr="00F76721" w:rsidRDefault="00C42160" w:rsidP="001A4C48">
      <w:pPr>
        <w:pStyle w:val="Textonotapie"/>
        <w:ind w:firstLine="708"/>
        <w:jc w:val="both"/>
        <w:rPr>
          <w:rFonts w:ascii="Arial" w:hAnsi="Arial" w:cs="Arial"/>
          <w:sz w:val="19"/>
          <w:szCs w:val="19"/>
        </w:rPr>
      </w:pPr>
      <w:r w:rsidRPr="00F76721">
        <w:rPr>
          <w:rStyle w:val="Refdenotaalpie"/>
          <w:rFonts w:ascii="Arial" w:hAnsi="Arial" w:cs="Arial"/>
          <w:sz w:val="19"/>
          <w:szCs w:val="19"/>
        </w:rPr>
        <w:footnoteRef/>
      </w:r>
      <w:r w:rsidRPr="00F76721">
        <w:rPr>
          <w:rFonts w:ascii="Arial" w:hAnsi="Arial" w:cs="Arial"/>
          <w:sz w:val="19"/>
          <w:szCs w:val="19"/>
        </w:rPr>
        <w:t xml:space="preserve"> El artículo 2.2.4.3.1.2.1. del Decreto </w:t>
      </w:r>
      <w:r w:rsidR="00913186">
        <w:rPr>
          <w:rFonts w:ascii="Arial" w:hAnsi="Arial" w:cs="Arial"/>
          <w:sz w:val="19"/>
          <w:szCs w:val="19"/>
        </w:rPr>
        <w:t>1069</w:t>
      </w:r>
      <w:r w:rsidR="00913186" w:rsidRPr="00F76721">
        <w:rPr>
          <w:rFonts w:ascii="Arial" w:hAnsi="Arial" w:cs="Arial"/>
          <w:sz w:val="19"/>
          <w:szCs w:val="19"/>
        </w:rPr>
        <w:t xml:space="preserve"> </w:t>
      </w:r>
      <w:r w:rsidRPr="00F76721">
        <w:rPr>
          <w:rFonts w:ascii="Arial" w:hAnsi="Arial" w:cs="Arial"/>
          <w:sz w:val="19"/>
          <w:szCs w:val="19"/>
        </w:rPr>
        <w:t xml:space="preserve">de </w:t>
      </w:r>
      <w:r w:rsidR="00913186" w:rsidRPr="00F76721">
        <w:rPr>
          <w:rFonts w:ascii="Arial" w:hAnsi="Arial" w:cs="Arial"/>
          <w:sz w:val="19"/>
          <w:szCs w:val="19"/>
        </w:rPr>
        <w:t>20</w:t>
      </w:r>
      <w:r w:rsidR="00913186">
        <w:rPr>
          <w:rFonts w:ascii="Arial" w:hAnsi="Arial" w:cs="Arial"/>
          <w:sz w:val="19"/>
          <w:szCs w:val="19"/>
        </w:rPr>
        <w:t>15</w:t>
      </w:r>
      <w:r w:rsidR="00913186" w:rsidRPr="00F76721">
        <w:rPr>
          <w:rFonts w:ascii="Arial" w:hAnsi="Arial" w:cs="Arial"/>
          <w:sz w:val="19"/>
          <w:szCs w:val="19"/>
        </w:rPr>
        <w:t xml:space="preserve"> </w:t>
      </w:r>
      <w:r w:rsidRPr="00F76721">
        <w:rPr>
          <w:rFonts w:ascii="Arial" w:hAnsi="Arial" w:cs="Arial"/>
          <w:sz w:val="19"/>
          <w:szCs w:val="19"/>
        </w:rPr>
        <w:t>dispone</w:t>
      </w:r>
      <w:r w:rsidR="00913186">
        <w:rPr>
          <w:rFonts w:ascii="Arial" w:hAnsi="Arial" w:cs="Arial"/>
          <w:sz w:val="19"/>
          <w:szCs w:val="19"/>
        </w:rPr>
        <w:t>:</w:t>
      </w:r>
      <w:r w:rsidRPr="00F76721">
        <w:rPr>
          <w:rFonts w:ascii="Arial" w:hAnsi="Arial" w:cs="Arial"/>
          <w:sz w:val="19"/>
          <w:szCs w:val="19"/>
        </w:rPr>
        <w:t xml:space="preserve"> </w:t>
      </w:r>
      <w:r w:rsidR="00913186">
        <w:rPr>
          <w:rFonts w:ascii="Arial" w:hAnsi="Arial" w:cs="Arial"/>
          <w:sz w:val="19"/>
          <w:szCs w:val="19"/>
        </w:rPr>
        <w:t>«</w:t>
      </w:r>
      <w:r w:rsidRPr="00F76721">
        <w:rPr>
          <w:rFonts w:ascii="Arial" w:hAnsi="Arial" w:cs="Arial"/>
          <w:sz w:val="19"/>
          <w:szCs w:val="19"/>
        </w:rPr>
        <w:t>Las normas sobre comités de conciliación contenidas en el presente capítulo son de obligatorio cumplimiento para las entidades de derecho público, los organismos públicos del orden nacional, departamental, distrital, los municipios que sean capital de departamento y los entes descentralizados de estos mismos niveles.</w:t>
      </w:r>
    </w:p>
    <w:p w14:paraId="1989D95A" w14:textId="438390FD" w:rsidR="00C42160" w:rsidRPr="001A4C48" w:rsidRDefault="00C42160" w:rsidP="001A4C48">
      <w:pPr>
        <w:pStyle w:val="Textonotapie"/>
        <w:ind w:firstLine="708"/>
        <w:jc w:val="both"/>
        <w:rPr>
          <w:rFonts w:ascii="Arial" w:hAnsi="Arial" w:cs="Arial"/>
          <w:sz w:val="19"/>
          <w:szCs w:val="19"/>
        </w:rPr>
      </w:pPr>
      <w:r w:rsidRPr="001A4C48">
        <w:rPr>
          <w:rFonts w:ascii="Arial" w:hAnsi="Arial" w:cs="Arial"/>
          <w:sz w:val="19"/>
          <w:szCs w:val="19"/>
        </w:rPr>
        <w:t>»Estos entes pondrán en funcionamiento los comités de conciliación, de acuerdo con las reglas que se establecen en el presente decreto.</w:t>
      </w:r>
    </w:p>
    <w:p w14:paraId="63DE87C5" w14:textId="409B1504" w:rsidR="00C42160" w:rsidRDefault="00C42160" w:rsidP="001A4C48">
      <w:pPr>
        <w:pStyle w:val="Textonotapie"/>
        <w:ind w:firstLine="708"/>
        <w:jc w:val="both"/>
        <w:rPr>
          <w:rFonts w:ascii="Arial" w:hAnsi="Arial" w:cs="Arial"/>
          <w:sz w:val="19"/>
          <w:szCs w:val="19"/>
        </w:rPr>
      </w:pPr>
      <w:r w:rsidRPr="001A4C48">
        <w:rPr>
          <w:rFonts w:ascii="Arial" w:hAnsi="Arial" w:cs="Arial"/>
          <w:sz w:val="19"/>
          <w:szCs w:val="19"/>
        </w:rPr>
        <w:t>»Parágrafo único. Las entidades de derecho público de los demás órdenes podrán conformar comités de conciliación. De hacerlo se regirán por lo dispuesto en el presente decreto»</w:t>
      </w:r>
      <w:r w:rsidR="00913186">
        <w:rPr>
          <w:rFonts w:ascii="Arial" w:hAnsi="Arial" w:cs="Arial"/>
          <w:sz w:val="19"/>
          <w:szCs w:val="19"/>
        </w:rPr>
        <w:t>.</w:t>
      </w:r>
    </w:p>
    <w:p w14:paraId="6483EED5" w14:textId="77777777" w:rsidR="00C42160" w:rsidRPr="00B52B5A" w:rsidRDefault="00C42160" w:rsidP="001A4C48">
      <w:pPr>
        <w:pStyle w:val="Textonotapie"/>
        <w:ind w:firstLine="708"/>
        <w:jc w:val="both"/>
        <w:rPr>
          <w:rFonts w:ascii="Arial" w:hAnsi="Arial" w:cs="Arial"/>
          <w:sz w:val="19"/>
          <w:szCs w:val="19"/>
        </w:rPr>
      </w:pPr>
    </w:p>
  </w:footnote>
  <w:footnote w:id="22">
    <w:p w14:paraId="5F7CDF0E" w14:textId="41F84FFE" w:rsidR="00C42160" w:rsidRPr="00141918" w:rsidRDefault="00C42160" w:rsidP="00C51284">
      <w:pPr>
        <w:pStyle w:val="Textonotapie"/>
        <w:ind w:firstLine="708"/>
        <w:jc w:val="both"/>
        <w:rPr>
          <w:rFonts w:ascii="Arial" w:hAnsi="Arial" w:cs="Arial"/>
        </w:rPr>
      </w:pPr>
      <w:r w:rsidRPr="00B52B5A">
        <w:rPr>
          <w:rStyle w:val="Refdenotaalpie"/>
          <w:rFonts w:ascii="Arial" w:hAnsi="Arial" w:cs="Arial"/>
          <w:sz w:val="19"/>
          <w:szCs w:val="19"/>
        </w:rPr>
        <w:footnoteRef/>
      </w:r>
      <w:r w:rsidRPr="00B52B5A">
        <w:rPr>
          <w:rFonts w:ascii="Arial" w:hAnsi="Arial" w:cs="Arial"/>
          <w:sz w:val="19"/>
          <w:szCs w:val="19"/>
        </w:rPr>
        <w:t xml:space="preserve">  El numeral 4.1. del «Protocolo para la Gestión de los Comités de Conciliación» de la Agencia Nacional de Defensa Jurídica del Estado establece la siguiente recomendación: «4.1. Fijar directrices institucionales para la aplicación de los mecanismos de arreglo directo, tales como la transacción y la conciliación, sin perjuicio de su estudio y decisión en cada caso concreto».</w:t>
      </w:r>
    </w:p>
  </w:footnote>
  <w:footnote w:id="23">
    <w:p w14:paraId="180BF222" w14:textId="41C6A667" w:rsidR="00C42160" w:rsidRDefault="00C42160" w:rsidP="002B6DB6">
      <w:pPr>
        <w:pStyle w:val="Textonotapie"/>
        <w:ind w:firstLine="708"/>
        <w:jc w:val="both"/>
        <w:rPr>
          <w:rFonts w:ascii="Arial" w:hAnsi="Arial" w:cs="Arial"/>
          <w:sz w:val="19"/>
          <w:szCs w:val="19"/>
        </w:rPr>
      </w:pPr>
      <w:r w:rsidRPr="00B52B5A">
        <w:rPr>
          <w:rStyle w:val="Refdenotaalpie"/>
          <w:rFonts w:ascii="Arial" w:hAnsi="Arial" w:cs="Arial"/>
          <w:sz w:val="19"/>
          <w:szCs w:val="19"/>
        </w:rPr>
        <w:footnoteRef/>
      </w:r>
      <w:r w:rsidRPr="00B52B5A">
        <w:rPr>
          <w:rFonts w:ascii="Arial" w:hAnsi="Arial" w:cs="Arial"/>
          <w:sz w:val="19"/>
          <w:szCs w:val="19"/>
        </w:rPr>
        <w:t xml:space="preserve"> </w:t>
      </w:r>
      <w:r w:rsidR="000924DD" w:rsidRPr="00B52B5A">
        <w:rPr>
          <w:rFonts w:ascii="Arial" w:hAnsi="Arial" w:cs="Arial"/>
          <w:sz w:val="19"/>
          <w:szCs w:val="19"/>
        </w:rPr>
        <w:t>CONSEJO DE ESTADO</w:t>
      </w:r>
      <w:r w:rsidRPr="00B52B5A">
        <w:rPr>
          <w:rFonts w:ascii="Arial" w:hAnsi="Arial" w:cs="Arial"/>
          <w:sz w:val="19"/>
          <w:szCs w:val="19"/>
        </w:rPr>
        <w:t xml:space="preserve">. Sección Primera. Sentencia del 11 de octubre de 2018. </w:t>
      </w:r>
      <w:r w:rsidR="000924DD" w:rsidRPr="00B52B5A">
        <w:rPr>
          <w:rFonts w:ascii="Arial" w:hAnsi="Arial" w:cs="Arial"/>
          <w:sz w:val="19"/>
          <w:szCs w:val="19"/>
        </w:rPr>
        <w:t>Rad. 17001-23-33-000-2016-00440-01</w:t>
      </w:r>
      <w:r w:rsidR="000924DD">
        <w:rPr>
          <w:rFonts w:ascii="Arial" w:hAnsi="Arial" w:cs="Arial"/>
          <w:sz w:val="19"/>
          <w:szCs w:val="19"/>
        </w:rPr>
        <w:t xml:space="preserve">. </w:t>
      </w:r>
      <w:r w:rsidRPr="00B52B5A">
        <w:rPr>
          <w:rFonts w:ascii="Arial" w:hAnsi="Arial" w:cs="Arial"/>
          <w:sz w:val="19"/>
          <w:szCs w:val="19"/>
        </w:rPr>
        <w:t>C</w:t>
      </w:r>
      <w:r w:rsidR="000924DD">
        <w:rPr>
          <w:rFonts w:ascii="Arial" w:hAnsi="Arial" w:cs="Arial"/>
          <w:sz w:val="19"/>
          <w:szCs w:val="19"/>
        </w:rPr>
        <w:t>. P.</w:t>
      </w:r>
      <w:r w:rsidRPr="00B52B5A">
        <w:rPr>
          <w:rFonts w:ascii="Arial" w:hAnsi="Arial" w:cs="Arial"/>
          <w:sz w:val="19"/>
          <w:szCs w:val="19"/>
        </w:rPr>
        <w:t xml:space="preserve"> Ponente. Roberto Augusto Serrato Valdés. </w:t>
      </w:r>
    </w:p>
    <w:p w14:paraId="2DEB7023" w14:textId="77777777" w:rsidR="00C42160" w:rsidRPr="00B52B5A" w:rsidRDefault="00C42160" w:rsidP="00B52B5A">
      <w:pPr>
        <w:pStyle w:val="Textonotapie"/>
        <w:ind w:firstLine="708"/>
        <w:rPr>
          <w:rFonts w:ascii="Arial" w:hAnsi="Arial" w:cs="Arial"/>
          <w:sz w:val="19"/>
          <w:szCs w:val="19"/>
          <w:lang w:val="es-CO"/>
        </w:rPr>
      </w:pPr>
    </w:p>
  </w:footnote>
  <w:footnote w:id="24">
    <w:p w14:paraId="030A9619" w14:textId="77777777" w:rsidR="00C42160" w:rsidRPr="00E05F9B" w:rsidRDefault="00C42160" w:rsidP="00817843">
      <w:pPr>
        <w:tabs>
          <w:tab w:val="left" w:pos="709"/>
        </w:tabs>
        <w:ind w:right="49"/>
        <w:jc w:val="both"/>
        <w:rPr>
          <w:rFonts w:ascii="Arial" w:hAnsi="Arial" w:cs="Arial"/>
          <w:color w:val="000000" w:themeColor="text1"/>
          <w:sz w:val="19"/>
          <w:szCs w:val="19"/>
          <w:lang w:val="es-ES"/>
        </w:rPr>
      </w:pPr>
      <w:r w:rsidRPr="00AC281B">
        <w:rPr>
          <w:rFonts w:ascii="Arial" w:hAnsi="Arial" w:cs="Arial"/>
          <w:color w:val="000000" w:themeColor="text1"/>
          <w:sz w:val="19"/>
          <w:szCs w:val="19"/>
        </w:rPr>
        <w:tab/>
      </w:r>
      <w:r w:rsidRPr="00AC281B">
        <w:rPr>
          <w:rStyle w:val="Refdenotaalpie"/>
          <w:rFonts w:ascii="Arial" w:hAnsi="Arial" w:cs="Arial"/>
          <w:color w:val="000000" w:themeColor="text1"/>
          <w:sz w:val="19"/>
          <w:szCs w:val="19"/>
        </w:rPr>
        <w:footnoteRef/>
      </w:r>
      <w:r w:rsidRPr="00AC281B">
        <w:rPr>
          <w:rFonts w:ascii="Arial" w:hAnsi="Arial" w:cs="Arial"/>
          <w:color w:val="000000" w:themeColor="text1"/>
          <w:sz w:val="19"/>
          <w:szCs w:val="19"/>
        </w:rPr>
        <w:t xml:space="preserve"> Al respecto ha di</w:t>
      </w:r>
      <w:r w:rsidRPr="00AF7F60">
        <w:rPr>
          <w:rFonts w:ascii="Arial" w:hAnsi="Arial" w:cs="Arial"/>
          <w:color w:val="000000" w:themeColor="text1"/>
          <w:sz w:val="19"/>
          <w:szCs w:val="19"/>
        </w:rPr>
        <w:t>cho la Corte Constitucional: «</w:t>
      </w:r>
      <w:r w:rsidRPr="00E05F9B">
        <w:rPr>
          <w:rFonts w:ascii="Arial" w:hAnsi="Arial" w:cs="Arial"/>
          <w:color w:val="000000" w:themeColor="text1"/>
          <w:sz w:val="19"/>
          <w:szCs w:val="19"/>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482CF700" w14:textId="77777777" w:rsidR="00C42160" w:rsidRPr="00AC281B" w:rsidRDefault="00C42160" w:rsidP="00817843">
      <w:pPr>
        <w:pStyle w:val="Textonotapie"/>
        <w:ind w:firstLine="708"/>
        <w:jc w:val="both"/>
        <w:rPr>
          <w:rFonts w:ascii="Arial" w:hAnsi="Arial" w:cs="Arial"/>
          <w:color w:val="000000" w:themeColor="text1"/>
          <w:sz w:val="19"/>
          <w:szCs w:val="19"/>
        </w:rPr>
      </w:pPr>
      <w:proofErr w:type="gramStart"/>
      <w:r w:rsidRPr="00AC281B">
        <w:rPr>
          <w:rFonts w:ascii="Arial" w:hAnsi="Arial" w:cs="Arial"/>
          <w:color w:val="000000" w:themeColor="text1"/>
          <w:sz w:val="19"/>
          <w:szCs w:val="19"/>
          <w:lang w:val="es-ES"/>
        </w:rPr>
        <w:t>»</w:t>
      </w:r>
      <w:r w:rsidRPr="00E05F9B">
        <w:rPr>
          <w:rFonts w:ascii="Arial" w:hAnsi="Arial" w:cs="Arial"/>
          <w:color w:val="000000" w:themeColor="text1"/>
          <w:sz w:val="19"/>
          <w:szCs w:val="19"/>
          <w:lang w:val="es-ES"/>
        </w:rPr>
        <w:t>La</w:t>
      </w:r>
      <w:proofErr w:type="gramEnd"/>
      <w:r w:rsidRPr="00E05F9B">
        <w:rPr>
          <w:rFonts w:ascii="Arial" w:hAnsi="Arial" w:cs="Arial"/>
          <w:color w:val="000000" w:themeColor="text1"/>
          <w:sz w:val="19"/>
          <w:szCs w:val="19"/>
          <w:lang w:val="es-ES"/>
        </w:rPr>
        <w:t xml:space="preserve">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AC281B">
        <w:rPr>
          <w:rFonts w:ascii="Arial" w:hAnsi="Arial" w:cs="Arial"/>
          <w:color w:val="000000" w:themeColor="text1"/>
          <w:sz w:val="19"/>
          <w:szCs w:val="19"/>
        </w:rPr>
        <w:t>. Sentencia C- 341 del 4 de junio de 2014</w:t>
      </w:r>
      <w:r w:rsidRPr="00AF7F60">
        <w:rPr>
          <w:rFonts w:ascii="Arial" w:hAnsi="Arial" w:cs="Arial"/>
          <w:color w:val="000000" w:themeColor="text1"/>
          <w:sz w:val="19"/>
          <w:szCs w:val="19"/>
        </w:rPr>
        <w:t>. M. P.</w:t>
      </w:r>
      <w:r w:rsidRPr="00165B1E">
        <w:rPr>
          <w:rFonts w:ascii="Arial" w:hAnsi="Arial" w:cs="Arial"/>
          <w:color w:val="000000" w:themeColor="text1"/>
          <w:sz w:val="19"/>
          <w:szCs w:val="19"/>
        </w:rPr>
        <w:t xml:space="preserve"> Mauricio González Cuervo</w:t>
      </w:r>
    </w:p>
    <w:p w14:paraId="000CA481" w14:textId="77777777" w:rsidR="00C42160" w:rsidRPr="00AC281B" w:rsidRDefault="00C42160" w:rsidP="00817843">
      <w:pPr>
        <w:pStyle w:val="Textonotapie"/>
        <w:ind w:firstLine="708"/>
        <w:rPr>
          <w:rFonts w:ascii="Arial" w:hAnsi="Arial" w:cs="Arial"/>
          <w:color w:val="000000" w:themeColor="text1"/>
          <w:sz w:val="19"/>
          <w:szCs w:val="19"/>
        </w:rPr>
      </w:pPr>
    </w:p>
  </w:footnote>
  <w:footnote w:id="25">
    <w:p w14:paraId="000FA9C1" w14:textId="77777777" w:rsidR="00C42160" w:rsidRPr="00AC281B" w:rsidRDefault="00C42160" w:rsidP="00817843">
      <w:pPr>
        <w:pStyle w:val="Textonotapie"/>
        <w:ind w:right="49" w:firstLine="709"/>
        <w:jc w:val="both"/>
        <w:rPr>
          <w:rFonts w:ascii="Arial" w:hAnsi="Arial" w:cs="Arial"/>
          <w:color w:val="000000" w:themeColor="text1"/>
          <w:sz w:val="19"/>
          <w:szCs w:val="19"/>
        </w:rPr>
      </w:pPr>
      <w:r w:rsidRPr="00AC281B">
        <w:rPr>
          <w:rStyle w:val="Refdenotaalpie"/>
          <w:rFonts w:ascii="Arial" w:hAnsi="Arial" w:cs="Arial"/>
          <w:color w:val="000000" w:themeColor="text1"/>
          <w:sz w:val="19"/>
          <w:szCs w:val="19"/>
        </w:rPr>
        <w:footnoteRef/>
      </w:r>
      <w:r w:rsidRPr="00AC281B">
        <w:rPr>
          <w:rFonts w:ascii="Arial" w:hAnsi="Arial" w:cs="Arial"/>
          <w:color w:val="000000" w:themeColor="text1"/>
          <w:sz w:val="19"/>
          <w:szCs w:val="19"/>
        </w:rPr>
        <w:t xml:space="preserve"> Corte Constitucional. Sentencia C- 341 del 4 de junio de 2014. M. P. Mauricio González Cuervo.</w:t>
      </w:r>
    </w:p>
    <w:p w14:paraId="73F01020" w14:textId="77777777" w:rsidR="00C42160" w:rsidRPr="00AC281B" w:rsidRDefault="00C42160" w:rsidP="00817843">
      <w:pPr>
        <w:pStyle w:val="Textonotapie"/>
        <w:ind w:right="49" w:firstLine="709"/>
        <w:jc w:val="both"/>
        <w:rPr>
          <w:rFonts w:ascii="Arial" w:hAnsi="Arial" w:cs="Arial"/>
          <w:color w:val="000000" w:themeColor="text1"/>
          <w:sz w:val="19"/>
          <w:szCs w:val="19"/>
        </w:rPr>
      </w:pPr>
    </w:p>
  </w:footnote>
  <w:footnote w:id="26">
    <w:p w14:paraId="4EA04191" w14:textId="77777777" w:rsidR="00C42160" w:rsidRPr="00AC281B" w:rsidRDefault="00C42160" w:rsidP="004B07E6">
      <w:pPr>
        <w:pStyle w:val="Textonotapie"/>
        <w:ind w:firstLine="708"/>
        <w:jc w:val="both"/>
        <w:rPr>
          <w:rFonts w:ascii="Arial" w:hAnsi="Arial" w:cs="Arial"/>
          <w:sz w:val="19"/>
          <w:szCs w:val="19"/>
          <w:lang w:val="es-CO"/>
        </w:rPr>
      </w:pPr>
      <w:r w:rsidRPr="00AC281B">
        <w:rPr>
          <w:rStyle w:val="Refdenotaalpie"/>
          <w:rFonts w:ascii="Arial" w:hAnsi="Arial" w:cs="Arial"/>
          <w:sz w:val="19"/>
          <w:szCs w:val="19"/>
        </w:rPr>
        <w:footnoteRef/>
      </w:r>
      <w:r w:rsidRPr="00AC281B">
        <w:rPr>
          <w:rFonts w:ascii="Arial" w:hAnsi="Arial" w:cs="Arial"/>
          <w:sz w:val="19"/>
          <w:szCs w:val="19"/>
        </w:rPr>
        <w:t xml:space="preserve">  Ley 1712 de 2014 «Artículo 2°. Principio de máxima publicidad para titular universal. Toda información en posesión, bajo control o custodia de un sujeto obligado es pública y no podrá ser reservada o limitada sino por disposición constitucional o legal, de conformidad con la presente ley».</w:t>
      </w:r>
    </w:p>
  </w:footnote>
  <w:footnote w:id="27">
    <w:p w14:paraId="264ACD5B" w14:textId="77777777" w:rsidR="003D219E" w:rsidRPr="00AC281B" w:rsidRDefault="003D219E" w:rsidP="004B07E6">
      <w:pPr>
        <w:pStyle w:val="Textonotapie"/>
        <w:rPr>
          <w:rFonts w:ascii="Arial" w:hAnsi="Arial" w:cs="Arial"/>
          <w:sz w:val="19"/>
          <w:szCs w:val="19"/>
        </w:rPr>
      </w:pPr>
    </w:p>
    <w:p w14:paraId="21AC7B52" w14:textId="77777777" w:rsidR="00C42160" w:rsidRPr="00AC281B" w:rsidRDefault="00C42160" w:rsidP="002B6DB6">
      <w:pPr>
        <w:pStyle w:val="NormalWeb"/>
        <w:spacing w:before="0" w:beforeAutospacing="0" w:after="0" w:afterAutospacing="0"/>
        <w:ind w:firstLine="708"/>
        <w:jc w:val="both"/>
        <w:rPr>
          <w:rFonts w:ascii="Arial" w:hAnsi="Arial" w:cs="Arial"/>
          <w:color w:val="000000"/>
          <w:sz w:val="19"/>
          <w:szCs w:val="19"/>
        </w:rPr>
      </w:pPr>
      <w:r w:rsidRPr="00AC281B">
        <w:rPr>
          <w:rStyle w:val="Refdenotaalpie"/>
          <w:rFonts w:ascii="Arial" w:hAnsi="Arial" w:cs="Arial"/>
          <w:sz w:val="19"/>
          <w:szCs w:val="19"/>
        </w:rPr>
        <w:footnoteRef/>
      </w:r>
      <w:r w:rsidRPr="00AC281B">
        <w:rPr>
          <w:rFonts w:ascii="Arial" w:hAnsi="Arial" w:cs="Arial"/>
          <w:sz w:val="19"/>
          <w:szCs w:val="19"/>
        </w:rPr>
        <w:t xml:space="preserve">  Ley 1712 de 2014 «</w:t>
      </w:r>
      <w:r w:rsidRPr="00AC281B">
        <w:rPr>
          <w:rStyle w:val="PiedepginaCar"/>
          <w:rFonts w:ascii="Arial" w:hAnsi="Arial" w:cs="Arial"/>
          <w:color w:val="000000"/>
          <w:sz w:val="19"/>
          <w:szCs w:val="19"/>
        </w:rPr>
        <w:t>Artículo</w:t>
      </w:r>
      <w:r w:rsidRPr="00AC281B">
        <w:rPr>
          <w:rFonts w:ascii="Arial" w:hAnsi="Arial" w:cs="Arial"/>
          <w:color w:val="000000"/>
          <w:sz w:val="19"/>
          <w:szCs w:val="19"/>
        </w:rPr>
        <w:t xml:space="preserve"> 3°.Otros principios de la transparencia y acceso a la información pública. En la interpretación del derecho de acceso a la información se deberá adoptar un criterio de razonabilidad y proporcionalidad, así como aplicar los siguientes principios: </w:t>
      </w:r>
    </w:p>
    <w:p w14:paraId="298C9395" w14:textId="2CABE6D8" w:rsidR="00C42160" w:rsidRDefault="00C42160" w:rsidP="004B07E6">
      <w:pPr>
        <w:jc w:val="both"/>
        <w:rPr>
          <w:rFonts w:ascii="Arial" w:hAnsi="Arial" w:cs="Arial"/>
          <w:color w:val="000000"/>
          <w:sz w:val="19"/>
          <w:szCs w:val="19"/>
          <w:lang w:eastAsia="es-CO"/>
        </w:rPr>
      </w:pPr>
      <w:r w:rsidRPr="00AC281B">
        <w:rPr>
          <w:rFonts w:ascii="Arial" w:hAnsi="Arial" w:cs="Arial"/>
          <w:color w:val="000000"/>
          <w:sz w:val="19"/>
          <w:szCs w:val="19"/>
          <w:lang w:eastAsia="es-CO"/>
        </w:rPr>
        <w:t> </w:t>
      </w:r>
      <w:r w:rsidRPr="00AC281B">
        <w:rPr>
          <w:rFonts w:ascii="Arial" w:hAnsi="Arial" w:cs="Arial"/>
          <w:color w:val="000000"/>
          <w:sz w:val="19"/>
          <w:szCs w:val="19"/>
          <w:lang w:eastAsia="es-CO"/>
        </w:rPr>
        <w:tab/>
        <w:t> </w:t>
      </w:r>
      <w:r w:rsidR="00CD51CB">
        <w:rPr>
          <w:rFonts w:ascii="Arial" w:hAnsi="Arial" w:cs="Arial"/>
          <w:color w:val="000000"/>
          <w:sz w:val="19"/>
          <w:szCs w:val="19"/>
          <w:lang w:eastAsia="es-CO"/>
        </w:rPr>
        <w:t>»</w:t>
      </w:r>
      <w:r w:rsidRPr="00AC281B">
        <w:rPr>
          <w:rFonts w:ascii="Arial" w:hAnsi="Arial" w:cs="Arial"/>
          <w:color w:val="000000"/>
          <w:sz w:val="19"/>
          <w:szCs w:val="19"/>
          <w:lang w:eastAsia="es-CO"/>
        </w:rPr>
        <w:t>[…]</w:t>
      </w:r>
    </w:p>
    <w:p w14:paraId="43EF105B" w14:textId="59C3B140" w:rsidR="00C42160" w:rsidRDefault="00C42160" w:rsidP="004B07E6">
      <w:pPr>
        <w:jc w:val="both"/>
        <w:rPr>
          <w:rFonts w:ascii="Arial" w:hAnsi="Arial" w:cs="Arial"/>
          <w:color w:val="000000"/>
          <w:sz w:val="19"/>
          <w:szCs w:val="19"/>
          <w:lang w:eastAsia="es-CO"/>
        </w:rPr>
      </w:pPr>
      <w:r w:rsidRPr="00AC281B">
        <w:rPr>
          <w:rFonts w:ascii="Arial" w:hAnsi="Arial" w:cs="Arial"/>
          <w:color w:val="000000"/>
          <w:sz w:val="19"/>
          <w:szCs w:val="19"/>
          <w:lang w:eastAsia="es-CO"/>
        </w:rPr>
        <w:t>   </w:t>
      </w:r>
      <w:r w:rsidRPr="00AC281B">
        <w:rPr>
          <w:rFonts w:ascii="Arial" w:hAnsi="Arial" w:cs="Arial"/>
          <w:color w:val="000000"/>
          <w:sz w:val="19"/>
          <w:szCs w:val="19"/>
          <w:lang w:eastAsia="es-CO"/>
        </w:rPr>
        <w:tab/>
        <w:t>»Principio de facilitación. En virtud de este principio los sujetos obligados deberán facilitar el ejercicio del derecho de acceso a la información pública, excluyendo exigencias o requisitos que puedan obstruirlo o impedirlo. </w:t>
      </w:r>
    </w:p>
    <w:p w14:paraId="45534B53" w14:textId="49E78CFF" w:rsidR="00C42160" w:rsidRDefault="00C42160" w:rsidP="004B07E6">
      <w:pPr>
        <w:jc w:val="both"/>
        <w:rPr>
          <w:rFonts w:ascii="Arial" w:hAnsi="Arial" w:cs="Arial"/>
          <w:color w:val="000000"/>
          <w:sz w:val="19"/>
          <w:szCs w:val="19"/>
          <w:lang w:eastAsia="es-CO"/>
        </w:rPr>
      </w:pPr>
      <w:r w:rsidRPr="00AC281B">
        <w:rPr>
          <w:rFonts w:ascii="Arial" w:hAnsi="Arial" w:cs="Arial"/>
          <w:color w:val="000000"/>
          <w:sz w:val="19"/>
          <w:szCs w:val="19"/>
          <w:lang w:eastAsia="es-CO"/>
        </w:rPr>
        <w:t>  </w:t>
      </w:r>
      <w:r w:rsidRPr="00AC281B">
        <w:rPr>
          <w:rFonts w:ascii="Arial" w:hAnsi="Arial" w:cs="Arial"/>
          <w:color w:val="000000"/>
          <w:sz w:val="19"/>
          <w:szCs w:val="19"/>
          <w:lang w:eastAsia="es-CO"/>
        </w:rPr>
        <w:tab/>
      </w:r>
      <w:r w:rsidR="00CD51CB">
        <w:rPr>
          <w:rFonts w:ascii="Arial" w:hAnsi="Arial" w:cs="Arial"/>
          <w:color w:val="000000"/>
          <w:sz w:val="19"/>
          <w:szCs w:val="19"/>
          <w:lang w:eastAsia="es-CO"/>
        </w:rPr>
        <w:t>»</w:t>
      </w:r>
      <w:r w:rsidRPr="00AC281B">
        <w:rPr>
          <w:rFonts w:ascii="Arial" w:hAnsi="Arial" w:cs="Arial"/>
          <w:color w:val="000000"/>
          <w:sz w:val="19"/>
          <w:szCs w:val="19"/>
          <w:lang w:eastAsia="es-CO"/>
        </w:rPr>
        <w:t>[…]</w:t>
      </w:r>
    </w:p>
    <w:p w14:paraId="277D87F2" w14:textId="77777777" w:rsidR="00C42160" w:rsidRPr="00AC281B" w:rsidRDefault="00C42160" w:rsidP="004B07E6">
      <w:pPr>
        <w:jc w:val="both"/>
        <w:rPr>
          <w:rFonts w:ascii="Arial" w:hAnsi="Arial" w:cs="Arial"/>
          <w:color w:val="000000"/>
          <w:sz w:val="19"/>
          <w:szCs w:val="19"/>
          <w:lang w:eastAsia="es-CO"/>
        </w:rPr>
      </w:pPr>
      <w:r w:rsidRPr="00AC281B">
        <w:rPr>
          <w:rFonts w:ascii="Arial" w:hAnsi="Arial" w:cs="Arial"/>
          <w:color w:val="000000"/>
          <w:sz w:val="19"/>
          <w:szCs w:val="19"/>
          <w:lang w:eastAsia="es-CO"/>
        </w:rPr>
        <w:t>  </w:t>
      </w:r>
      <w:r w:rsidRPr="00AC281B">
        <w:rPr>
          <w:rFonts w:ascii="Arial" w:hAnsi="Arial" w:cs="Arial"/>
          <w:color w:val="000000"/>
          <w:sz w:val="19"/>
          <w:szCs w:val="19"/>
          <w:lang w:eastAsia="es-CO"/>
        </w:rPr>
        <w:tab/>
        <w:t>» Principio de la divulgación proactiva de la información.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 […]».</w:t>
      </w:r>
    </w:p>
    <w:p w14:paraId="15D50BC2" w14:textId="77777777" w:rsidR="00C42160" w:rsidRPr="00AC281B" w:rsidRDefault="00C42160" w:rsidP="004B07E6">
      <w:pPr>
        <w:pStyle w:val="Textonotapie"/>
        <w:jc w:val="both"/>
        <w:rPr>
          <w:rFonts w:ascii="Arial" w:hAnsi="Arial" w:cs="Arial"/>
          <w:sz w:val="19"/>
          <w:szCs w:val="19"/>
          <w:lang w:val="es-CO"/>
        </w:rPr>
      </w:pPr>
    </w:p>
  </w:footnote>
  <w:footnote w:id="28">
    <w:p w14:paraId="706F61D7" w14:textId="77777777" w:rsidR="0056505E" w:rsidRPr="00FB7892" w:rsidRDefault="0056505E" w:rsidP="0056505E">
      <w:pPr>
        <w:pStyle w:val="Textonotapie"/>
        <w:ind w:firstLine="708"/>
        <w:jc w:val="both"/>
        <w:rPr>
          <w:rFonts w:ascii="Arial" w:hAnsi="Arial" w:cs="Arial"/>
          <w:sz w:val="19"/>
          <w:szCs w:val="19"/>
        </w:rPr>
      </w:pPr>
      <w:r w:rsidRPr="00AC281B">
        <w:rPr>
          <w:rStyle w:val="Refdenotaalpie"/>
          <w:rFonts w:ascii="Arial" w:hAnsi="Arial" w:cs="Arial"/>
          <w:sz w:val="19"/>
          <w:szCs w:val="19"/>
        </w:rPr>
        <w:footnoteRef/>
      </w:r>
      <w:r w:rsidRPr="00AC281B">
        <w:rPr>
          <w:rFonts w:ascii="Arial" w:hAnsi="Arial" w:cs="Arial"/>
          <w:sz w:val="19"/>
          <w:szCs w:val="19"/>
        </w:rPr>
        <w:t xml:space="preserve"> Ley 1437 de 2011 «Artículo 24. Informaciones y documentos reservados. Solo tendrán carácter reserv</w:t>
      </w:r>
      <w:r w:rsidRPr="00FB7892">
        <w:rPr>
          <w:rFonts w:ascii="Arial" w:hAnsi="Arial" w:cs="Arial"/>
          <w:sz w:val="19"/>
          <w:szCs w:val="19"/>
        </w:rPr>
        <w:t>ado las informaciones y documentos expresamente sometidos a reserva por la Constitución Política o la ley, y en especial:</w:t>
      </w:r>
    </w:p>
    <w:p w14:paraId="7C0970A9" w14:textId="77777777" w:rsidR="0056505E" w:rsidRPr="00AC281B" w:rsidRDefault="0056505E" w:rsidP="0056505E">
      <w:pPr>
        <w:pStyle w:val="Textonotapie"/>
        <w:ind w:firstLine="708"/>
        <w:jc w:val="both"/>
        <w:rPr>
          <w:rFonts w:ascii="Arial" w:hAnsi="Arial" w:cs="Arial"/>
          <w:sz w:val="19"/>
          <w:szCs w:val="19"/>
        </w:rPr>
      </w:pPr>
      <w:r w:rsidRPr="00AC281B">
        <w:rPr>
          <w:rFonts w:ascii="Arial" w:hAnsi="Arial" w:cs="Arial"/>
          <w:sz w:val="19"/>
          <w:szCs w:val="19"/>
        </w:rPr>
        <w:t>[…]</w:t>
      </w:r>
    </w:p>
    <w:p w14:paraId="1133F178" w14:textId="77777777" w:rsidR="0056505E" w:rsidRPr="00AC281B" w:rsidRDefault="0056505E" w:rsidP="0056505E">
      <w:pPr>
        <w:pStyle w:val="Textonotapie"/>
        <w:ind w:firstLine="708"/>
        <w:jc w:val="both"/>
        <w:rPr>
          <w:rFonts w:ascii="Arial" w:hAnsi="Arial" w:cs="Arial"/>
          <w:sz w:val="19"/>
          <w:szCs w:val="19"/>
        </w:rPr>
      </w:pPr>
      <w:r w:rsidRPr="00AC281B">
        <w:rPr>
          <w:rFonts w:ascii="Arial" w:hAnsi="Arial" w:cs="Arial"/>
          <w:sz w:val="19"/>
          <w:szCs w:val="19"/>
        </w:rPr>
        <w:t>»3.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w:t>
      </w:r>
    </w:p>
    <w:p w14:paraId="10C335A1" w14:textId="77777777" w:rsidR="0056505E" w:rsidRPr="00AC281B" w:rsidRDefault="0056505E" w:rsidP="0056505E">
      <w:pPr>
        <w:pStyle w:val="Textonotapie"/>
        <w:jc w:val="both"/>
        <w:rPr>
          <w:rFonts w:ascii="Arial" w:hAnsi="Arial" w:cs="Arial"/>
          <w:sz w:val="19"/>
          <w:szCs w:val="19"/>
        </w:rPr>
      </w:pPr>
    </w:p>
  </w:footnote>
  <w:footnote w:id="29">
    <w:p w14:paraId="2BED1B56" w14:textId="77777777" w:rsidR="0056505E" w:rsidRPr="00FB7892" w:rsidRDefault="0056505E" w:rsidP="0056505E">
      <w:pPr>
        <w:pStyle w:val="Textonotapie"/>
        <w:jc w:val="both"/>
        <w:rPr>
          <w:rFonts w:ascii="Arial" w:hAnsi="Arial" w:cs="Arial"/>
          <w:sz w:val="19"/>
          <w:szCs w:val="19"/>
        </w:rPr>
      </w:pPr>
      <w:r w:rsidRPr="00AC281B">
        <w:rPr>
          <w:rFonts w:ascii="Arial" w:hAnsi="Arial" w:cs="Arial"/>
          <w:sz w:val="19"/>
          <w:szCs w:val="19"/>
        </w:rPr>
        <w:tab/>
      </w:r>
      <w:r w:rsidRPr="00AC281B">
        <w:rPr>
          <w:rStyle w:val="Refdenotaalpie"/>
          <w:rFonts w:ascii="Arial" w:hAnsi="Arial" w:cs="Arial"/>
          <w:sz w:val="19"/>
          <w:szCs w:val="19"/>
        </w:rPr>
        <w:footnoteRef/>
      </w:r>
      <w:r w:rsidRPr="00AC281B">
        <w:rPr>
          <w:rFonts w:ascii="Arial" w:hAnsi="Arial" w:cs="Arial"/>
          <w:sz w:val="19"/>
          <w:szCs w:val="19"/>
        </w:rPr>
        <w:t xml:space="preserve"> Ley 1437 de 2011 «Artículo 36. </w:t>
      </w:r>
      <w:r w:rsidRPr="00AF7F60">
        <w:rPr>
          <w:rFonts w:ascii="Arial" w:hAnsi="Arial" w:cs="Arial"/>
          <w:sz w:val="19"/>
          <w:szCs w:val="19"/>
        </w:rPr>
        <w:t>Formación y examen de expedientes</w:t>
      </w:r>
    </w:p>
    <w:p w14:paraId="423E6E69" w14:textId="77777777" w:rsidR="0056505E" w:rsidRPr="00FB7892" w:rsidRDefault="0056505E" w:rsidP="0056505E">
      <w:pPr>
        <w:pStyle w:val="Textonotapie"/>
        <w:jc w:val="both"/>
        <w:rPr>
          <w:rFonts w:ascii="Arial" w:hAnsi="Arial" w:cs="Arial"/>
          <w:sz w:val="19"/>
          <w:szCs w:val="19"/>
          <w:lang w:val="es-ES"/>
        </w:rPr>
      </w:pPr>
      <w:r w:rsidRPr="00FB7892">
        <w:rPr>
          <w:rFonts w:ascii="Arial" w:hAnsi="Arial" w:cs="Arial"/>
          <w:sz w:val="19"/>
          <w:szCs w:val="19"/>
          <w:lang w:val="es-ES"/>
        </w:rPr>
        <w:tab/>
        <w:t>[…]</w:t>
      </w:r>
    </w:p>
    <w:p w14:paraId="701E8683" w14:textId="77777777" w:rsidR="0056505E" w:rsidRPr="00E05F9B" w:rsidRDefault="0056505E" w:rsidP="0056505E">
      <w:pPr>
        <w:pStyle w:val="Textonotapie"/>
        <w:jc w:val="both"/>
        <w:rPr>
          <w:rFonts w:ascii="Arial" w:hAnsi="Arial" w:cs="Arial"/>
          <w:sz w:val="19"/>
          <w:szCs w:val="19"/>
          <w:lang w:val="es-ES"/>
        </w:rPr>
      </w:pPr>
      <w:r w:rsidRPr="00AC281B">
        <w:rPr>
          <w:rFonts w:ascii="Arial" w:hAnsi="Arial" w:cs="Arial"/>
          <w:sz w:val="19"/>
          <w:szCs w:val="19"/>
          <w:lang w:val="es-ES"/>
        </w:rPr>
        <w:tab/>
        <w:t>» Con los documentos que por mandato de la Constitución Política o de la ley tengan el carácter de reservados y obren dentro de un expediente, se hará cuaderno separado.»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C42160" w:rsidRDefault="00C42160">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6D5057DB"/>
    <w:multiLevelType w:val="hybridMultilevel"/>
    <w:tmpl w:val="353A75E4"/>
    <w:lvl w:ilvl="0" w:tplc="51E09002">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3"/>
  </w:num>
  <w:num w:numId="19">
    <w:abstractNumId w:val="2"/>
  </w:num>
  <w:num w:numId="20">
    <w:abstractNumId w:val="23"/>
  </w:num>
  <w:num w:numId="21">
    <w:abstractNumId w:val="14"/>
  </w:num>
  <w:num w:numId="22">
    <w:abstractNumId w:val="5"/>
  </w:num>
  <w:num w:numId="23">
    <w:abstractNumId w:val="4"/>
  </w:num>
  <w:num w:numId="24">
    <w:abstractNumId w:val="21"/>
  </w:num>
  <w:num w:numId="25">
    <w:abstractNumId w:val="16"/>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0F9A"/>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256F"/>
    <w:rsid w:val="00023DAE"/>
    <w:rsid w:val="00024896"/>
    <w:rsid w:val="000255FA"/>
    <w:rsid w:val="00025D0A"/>
    <w:rsid w:val="000263F0"/>
    <w:rsid w:val="00026407"/>
    <w:rsid w:val="00026608"/>
    <w:rsid w:val="00027787"/>
    <w:rsid w:val="000278D2"/>
    <w:rsid w:val="00027BBA"/>
    <w:rsid w:val="00030DFB"/>
    <w:rsid w:val="00031364"/>
    <w:rsid w:val="000315E1"/>
    <w:rsid w:val="0003236E"/>
    <w:rsid w:val="0003339A"/>
    <w:rsid w:val="000341F2"/>
    <w:rsid w:val="00035046"/>
    <w:rsid w:val="000351F2"/>
    <w:rsid w:val="00035CEE"/>
    <w:rsid w:val="00035FA2"/>
    <w:rsid w:val="00036E03"/>
    <w:rsid w:val="000406DB"/>
    <w:rsid w:val="0004094D"/>
    <w:rsid w:val="00041029"/>
    <w:rsid w:val="00041357"/>
    <w:rsid w:val="0004149B"/>
    <w:rsid w:val="00041FC6"/>
    <w:rsid w:val="00042961"/>
    <w:rsid w:val="00042C25"/>
    <w:rsid w:val="00042D03"/>
    <w:rsid w:val="00043086"/>
    <w:rsid w:val="000430A0"/>
    <w:rsid w:val="00043399"/>
    <w:rsid w:val="00043D3B"/>
    <w:rsid w:val="0004418C"/>
    <w:rsid w:val="00044204"/>
    <w:rsid w:val="0004477A"/>
    <w:rsid w:val="000449D4"/>
    <w:rsid w:val="0004600D"/>
    <w:rsid w:val="000463B5"/>
    <w:rsid w:val="00046717"/>
    <w:rsid w:val="00046A63"/>
    <w:rsid w:val="00046C09"/>
    <w:rsid w:val="0004716A"/>
    <w:rsid w:val="00047385"/>
    <w:rsid w:val="000473E8"/>
    <w:rsid w:val="00047432"/>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1010"/>
    <w:rsid w:val="00061D06"/>
    <w:rsid w:val="00062CDD"/>
    <w:rsid w:val="00062DB3"/>
    <w:rsid w:val="00063472"/>
    <w:rsid w:val="000640AF"/>
    <w:rsid w:val="00064940"/>
    <w:rsid w:val="00064CAE"/>
    <w:rsid w:val="00064DB7"/>
    <w:rsid w:val="00064FA7"/>
    <w:rsid w:val="00065195"/>
    <w:rsid w:val="0006536C"/>
    <w:rsid w:val="0006626E"/>
    <w:rsid w:val="00070AF1"/>
    <w:rsid w:val="000714DE"/>
    <w:rsid w:val="0007254F"/>
    <w:rsid w:val="0007357C"/>
    <w:rsid w:val="00073C30"/>
    <w:rsid w:val="00074305"/>
    <w:rsid w:val="000744D0"/>
    <w:rsid w:val="00074B2A"/>
    <w:rsid w:val="00074EEE"/>
    <w:rsid w:val="000753D5"/>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99A"/>
    <w:rsid w:val="00087A64"/>
    <w:rsid w:val="0009082C"/>
    <w:rsid w:val="00090C39"/>
    <w:rsid w:val="000914D6"/>
    <w:rsid w:val="00091569"/>
    <w:rsid w:val="0009200C"/>
    <w:rsid w:val="000924DD"/>
    <w:rsid w:val="00092CDB"/>
    <w:rsid w:val="00092DCA"/>
    <w:rsid w:val="000942EB"/>
    <w:rsid w:val="00095557"/>
    <w:rsid w:val="00095B70"/>
    <w:rsid w:val="0009617E"/>
    <w:rsid w:val="0009628D"/>
    <w:rsid w:val="0009670F"/>
    <w:rsid w:val="00096D30"/>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3B0"/>
    <w:rsid w:val="000A46FE"/>
    <w:rsid w:val="000A47E6"/>
    <w:rsid w:val="000A52C0"/>
    <w:rsid w:val="000A5AAF"/>
    <w:rsid w:val="000A5F97"/>
    <w:rsid w:val="000A648E"/>
    <w:rsid w:val="000A7268"/>
    <w:rsid w:val="000A73BB"/>
    <w:rsid w:val="000A73E8"/>
    <w:rsid w:val="000A7EF4"/>
    <w:rsid w:val="000B0A15"/>
    <w:rsid w:val="000B103F"/>
    <w:rsid w:val="000B1057"/>
    <w:rsid w:val="000B1437"/>
    <w:rsid w:val="000B1470"/>
    <w:rsid w:val="000B244D"/>
    <w:rsid w:val="000B2A1A"/>
    <w:rsid w:val="000B2B86"/>
    <w:rsid w:val="000B3051"/>
    <w:rsid w:val="000B3977"/>
    <w:rsid w:val="000B419B"/>
    <w:rsid w:val="000B5781"/>
    <w:rsid w:val="000B5CB1"/>
    <w:rsid w:val="000B75F4"/>
    <w:rsid w:val="000C0185"/>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728B"/>
    <w:rsid w:val="000D7541"/>
    <w:rsid w:val="000D75E1"/>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069"/>
    <w:rsid w:val="000E7E0B"/>
    <w:rsid w:val="000F0136"/>
    <w:rsid w:val="000F078A"/>
    <w:rsid w:val="000F122D"/>
    <w:rsid w:val="000F1450"/>
    <w:rsid w:val="000F14E8"/>
    <w:rsid w:val="000F19D8"/>
    <w:rsid w:val="000F1BBD"/>
    <w:rsid w:val="000F290F"/>
    <w:rsid w:val="000F4403"/>
    <w:rsid w:val="000F480B"/>
    <w:rsid w:val="000F4E17"/>
    <w:rsid w:val="000F5615"/>
    <w:rsid w:val="000F6578"/>
    <w:rsid w:val="000F6F92"/>
    <w:rsid w:val="000F7E8F"/>
    <w:rsid w:val="000F7FBB"/>
    <w:rsid w:val="001000FB"/>
    <w:rsid w:val="00100A9E"/>
    <w:rsid w:val="00100C90"/>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59A"/>
    <w:rsid w:val="00113705"/>
    <w:rsid w:val="00113975"/>
    <w:rsid w:val="00113CFC"/>
    <w:rsid w:val="00113FEA"/>
    <w:rsid w:val="00114A22"/>
    <w:rsid w:val="00114E9D"/>
    <w:rsid w:val="0011507B"/>
    <w:rsid w:val="00115C37"/>
    <w:rsid w:val="00116328"/>
    <w:rsid w:val="001163CF"/>
    <w:rsid w:val="001174C9"/>
    <w:rsid w:val="001177FE"/>
    <w:rsid w:val="00117E69"/>
    <w:rsid w:val="00121103"/>
    <w:rsid w:val="00121B78"/>
    <w:rsid w:val="00121BAB"/>
    <w:rsid w:val="00121E3C"/>
    <w:rsid w:val="00121F58"/>
    <w:rsid w:val="00122B23"/>
    <w:rsid w:val="00122B7E"/>
    <w:rsid w:val="00123E27"/>
    <w:rsid w:val="00123FB5"/>
    <w:rsid w:val="0012400F"/>
    <w:rsid w:val="001249DC"/>
    <w:rsid w:val="0012572D"/>
    <w:rsid w:val="00125BED"/>
    <w:rsid w:val="00125C59"/>
    <w:rsid w:val="00125D4F"/>
    <w:rsid w:val="00126137"/>
    <w:rsid w:val="00127004"/>
    <w:rsid w:val="0012770B"/>
    <w:rsid w:val="00127AF2"/>
    <w:rsid w:val="00127EDC"/>
    <w:rsid w:val="00127F42"/>
    <w:rsid w:val="00127F6D"/>
    <w:rsid w:val="00130355"/>
    <w:rsid w:val="00130365"/>
    <w:rsid w:val="001304E5"/>
    <w:rsid w:val="00131B5A"/>
    <w:rsid w:val="00132C30"/>
    <w:rsid w:val="00132EFD"/>
    <w:rsid w:val="00133AED"/>
    <w:rsid w:val="00134BCD"/>
    <w:rsid w:val="00134C9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918"/>
    <w:rsid w:val="00141DBF"/>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5BED"/>
    <w:rsid w:val="00155D08"/>
    <w:rsid w:val="0015623B"/>
    <w:rsid w:val="00156BE5"/>
    <w:rsid w:val="00157232"/>
    <w:rsid w:val="00157B5F"/>
    <w:rsid w:val="00160401"/>
    <w:rsid w:val="00160D4E"/>
    <w:rsid w:val="00161DDA"/>
    <w:rsid w:val="00161E62"/>
    <w:rsid w:val="00161F1C"/>
    <w:rsid w:val="0016200B"/>
    <w:rsid w:val="0016204B"/>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BE2"/>
    <w:rsid w:val="00175E49"/>
    <w:rsid w:val="0017649F"/>
    <w:rsid w:val="0017655B"/>
    <w:rsid w:val="0018007F"/>
    <w:rsid w:val="001805C1"/>
    <w:rsid w:val="00180A2E"/>
    <w:rsid w:val="001813AF"/>
    <w:rsid w:val="00182368"/>
    <w:rsid w:val="001826C9"/>
    <w:rsid w:val="001829CD"/>
    <w:rsid w:val="00182F01"/>
    <w:rsid w:val="00184219"/>
    <w:rsid w:val="00184F27"/>
    <w:rsid w:val="0018519B"/>
    <w:rsid w:val="00185966"/>
    <w:rsid w:val="00185A2D"/>
    <w:rsid w:val="00185AFE"/>
    <w:rsid w:val="00185E78"/>
    <w:rsid w:val="00187177"/>
    <w:rsid w:val="00187ABD"/>
    <w:rsid w:val="001904E3"/>
    <w:rsid w:val="0019087A"/>
    <w:rsid w:val="00191AE3"/>
    <w:rsid w:val="00191C5A"/>
    <w:rsid w:val="00191CEB"/>
    <w:rsid w:val="00191E63"/>
    <w:rsid w:val="00192D68"/>
    <w:rsid w:val="0019388B"/>
    <w:rsid w:val="00193ADE"/>
    <w:rsid w:val="00193AF8"/>
    <w:rsid w:val="00193B9A"/>
    <w:rsid w:val="001940ED"/>
    <w:rsid w:val="001946AE"/>
    <w:rsid w:val="001946D5"/>
    <w:rsid w:val="00194E8C"/>
    <w:rsid w:val="00195C35"/>
    <w:rsid w:val="00195F02"/>
    <w:rsid w:val="001962EC"/>
    <w:rsid w:val="001963DD"/>
    <w:rsid w:val="001965DB"/>
    <w:rsid w:val="00196D01"/>
    <w:rsid w:val="00196DC9"/>
    <w:rsid w:val="00196E95"/>
    <w:rsid w:val="00197758"/>
    <w:rsid w:val="001A0236"/>
    <w:rsid w:val="001A0765"/>
    <w:rsid w:val="001A0915"/>
    <w:rsid w:val="001A0AF8"/>
    <w:rsid w:val="001A0E1B"/>
    <w:rsid w:val="001A1490"/>
    <w:rsid w:val="001A18D5"/>
    <w:rsid w:val="001A1A38"/>
    <w:rsid w:val="001A1BE0"/>
    <w:rsid w:val="001A1D4A"/>
    <w:rsid w:val="001A3011"/>
    <w:rsid w:val="001A3078"/>
    <w:rsid w:val="001A422D"/>
    <w:rsid w:val="001A4A9B"/>
    <w:rsid w:val="001A4B32"/>
    <w:rsid w:val="001A4C48"/>
    <w:rsid w:val="001A4DAF"/>
    <w:rsid w:val="001A4F44"/>
    <w:rsid w:val="001A54CD"/>
    <w:rsid w:val="001A66DF"/>
    <w:rsid w:val="001A67D0"/>
    <w:rsid w:val="001A6863"/>
    <w:rsid w:val="001A7591"/>
    <w:rsid w:val="001A75B1"/>
    <w:rsid w:val="001A7B06"/>
    <w:rsid w:val="001B0366"/>
    <w:rsid w:val="001B0444"/>
    <w:rsid w:val="001B096B"/>
    <w:rsid w:val="001B0EB0"/>
    <w:rsid w:val="001B0F40"/>
    <w:rsid w:val="001B0F9F"/>
    <w:rsid w:val="001B123C"/>
    <w:rsid w:val="001B1A0D"/>
    <w:rsid w:val="001B1BF1"/>
    <w:rsid w:val="001B21AC"/>
    <w:rsid w:val="001B2456"/>
    <w:rsid w:val="001B449C"/>
    <w:rsid w:val="001B4AA2"/>
    <w:rsid w:val="001B4ADE"/>
    <w:rsid w:val="001B5530"/>
    <w:rsid w:val="001B5EF8"/>
    <w:rsid w:val="001B71E8"/>
    <w:rsid w:val="001C033E"/>
    <w:rsid w:val="001C07C6"/>
    <w:rsid w:val="001C120D"/>
    <w:rsid w:val="001C16DA"/>
    <w:rsid w:val="001C19CD"/>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EEE"/>
    <w:rsid w:val="001D30F3"/>
    <w:rsid w:val="001D31A0"/>
    <w:rsid w:val="001D338E"/>
    <w:rsid w:val="001D4562"/>
    <w:rsid w:val="001D4CAD"/>
    <w:rsid w:val="001D56E9"/>
    <w:rsid w:val="001D6944"/>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806"/>
    <w:rsid w:val="001F0D15"/>
    <w:rsid w:val="001F0FA0"/>
    <w:rsid w:val="001F10BD"/>
    <w:rsid w:val="001F1349"/>
    <w:rsid w:val="001F1863"/>
    <w:rsid w:val="001F1A52"/>
    <w:rsid w:val="001F2356"/>
    <w:rsid w:val="001F2A68"/>
    <w:rsid w:val="001F2C47"/>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878"/>
    <w:rsid w:val="00203FE3"/>
    <w:rsid w:val="002042D8"/>
    <w:rsid w:val="00204515"/>
    <w:rsid w:val="00204BF5"/>
    <w:rsid w:val="00204E6B"/>
    <w:rsid w:val="002053EF"/>
    <w:rsid w:val="002058D4"/>
    <w:rsid w:val="0020632A"/>
    <w:rsid w:val="0020697F"/>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0AD"/>
    <w:rsid w:val="0022194E"/>
    <w:rsid w:val="002220B1"/>
    <w:rsid w:val="002221CE"/>
    <w:rsid w:val="00222BE8"/>
    <w:rsid w:val="00222DF6"/>
    <w:rsid w:val="00223102"/>
    <w:rsid w:val="002232CB"/>
    <w:rsid w:val="00224022"/>
    <w:rsid w:val="002259CD"/>
    <w:rsid w:val="00226055"/>
    <w:rsid w:val="0022609C"/>
    <w:rsid w:val="0022613F"/>
    <w:rsid w:val="0022614F"/>
    <w:rsid w:val="00226236"/>
    <w:rsid w:val="002266AF"/>
    <w:rsid w:val="002270C9"/>
    <w:rsid w:val="00227A8B"/>
    <w:rsid w:val="00231293"/>
    <w:rsid w:val="0023146B"/>
    <w:rsid w:val="002315A0"/>
    <w:rsid w:val="0023174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B82"/>
    <w:rsid w:val="00242D5F"/>
    <w:rsid w:val="00242D62"/>
    <w:rsid w:val="002430D0"/>
    <w:rsid w:val="002431D7"/>
    <w:rsid w:val="00244058"/>
    <w:rsid w:val="00245718"/>
    <w:rsid w:val="00245E07"/>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051E"/>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11A4"/>
    <w:rsid w:val="00271230"/>
    <w:rsid w:val="00271F13"/>
    <w:rsid w:val="00272945"/>
    <w:rsid w:val="00272E89"/>
    <w:rsid w:val="0027482E"/>
    <w:rsid w:val="002748F1"/>
    <w:rsid w:val="00274DB5"/>
    <w:rsid w:val="00275BB1"/>
    <w:rsid w:val="0027770B"/>
    <w:rsid w:val="00277933"/>
    <w:rsid w:val="00277F8D"/>
    <w:rsid w:val="00277FA7"/>
    <w:rsid w:val="00280046"/>
    <w:rsid w:val="00280B4F"/>
    <w:rsid w:val="00280F3D"/>
    <w:rsid w:val="0028106A"/>
    <w:rsid w:val="00281EB4"/>
    <w:rsid w:val="00282E03"/>
    <w:rsid w:val="0028308E"/>
    <w:rsid w:val="002834E9"/>
    <w:rsid w:val="00283A52"/>
    <w:rsid w:val="00283C5E"/>
    <w:rsid w:val="00283CEC"/>
    <w:rsid w:val="00283E26"/>
    <w:rsid w:val="0028428F"/>
    <w:rsid w:val="00284CFC"/>
    <w:rsid w:val="00285832"/>
    <w:rsid w:val="00285969"/>
    <w:rsid w:val="0028599C"/>
    <w:rsid w:val="0028663B"/>
    <w:rsid w:val="00286CC7"/>
    <w:rsid w:val="00286CEC"/>
    <w:rsid w:val="002870F9"/>
    <w:rsid w:val="002871A9"/>
    <w:rsid w:val="00287505"/>
    <w:rsid w:val="00287727"/>
    <w:rsid w:val="00287BDB"/>
    <w:rsid w:val="00290781"/>
    <w:rsid w:val="00291784"/>
    <w:rsid w:val="002920DF"/>
    <w:rsid w:val="002928A3"/>
    <w:rsid w:val="002929BB"/>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D94"/>
    <w:rsid w:val="002A4736"/>
    <w:rsid w:val="002A4B1C"/>
    <w:rsid w:val="002A55FE"/>
    <w:rsid w:val="002A625C"/>
    <w:rsid w:val="002A6AFB"/>
    <w:rsid w:val="002A733D"/>
    <w:rsid w:val="002A774A"/>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DB6"/>
    <w:rsid w:val="002B6F22"/>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1D4"/>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5906"/>
    <w:rsid w:val="002E635A"/>
    <w:rsid w:val="002E6D68"/>
    <w:rsid w:val="002E7847"/>
    <w:rsid w:val="002F0073"/>
    <w:rsid w:val="002F1B27"/>
    <w:rsid w:val="002F1C67"/>
    <w:rsid w:val="002F240B"/>
    <w:rsid w:val="002F2F50"/>
    <w:rsid w:val="002F33EC"/>
    <w:rsid w:val="002F34E3"/>
    <w:rsid w:val="002F3601"/>
    <w:rsid w:val="002F40E2"/>
    <w:rsid w:val="002F45F6"/>
    <w:rsid w:val="002F4A0E"/>
    <w:rsid w:val="002F5A6F"/>
    <w:rsid w:val="002F692F"/>
    <w:rsid w:val="002F7031"/>
    <w:rsid w:val="002F7961"/>
    <w:rsid w:val="002F7B66"/>
    <w:rsid w:val="00300CB4"/>
    <w:rsid w:val="00300E24"/>
    <w:rsid w:val="0030257B"/>
    <w:rsid w:val="003033BA"/>
    <w:rsid w:val="0030341E"/>
    <w:rsid w:val="00303C19"/>
    <w:rsid w:val="003043A3"/>
    <w:rsid w:val="0030462D"/>
    <w:rsid w:val="00304BD4"/>
    <w:rsid w:val="00304F54"/>
    <w:rsid w:val="0030500A"/>
    <w:rsid w:val="003052EB"/>
    <w:rsid w:val="00305FCB"/>
    <w:rsid w:val="003063C3"/>
    <w:rsid w:val="003069DC"/>
    <w:rsid w:val="00306A13"/>
    <w:rsid w:val="00306B44"/>
    <w:rsid w:val="00307833"/>
    <w:rsid w:val="00307C44"/>
    <w:rsid w:val="0031040A"/>
    <w:rsid w:val="0031088E"/>
    <w:rsid w:val="00310D01"/>
    <w:rsid w:val="00311376"/>
    <w:rsid w:val="00311773"/>
    <w:rsid w:val="00311A1F"/>
    <w:rsid w:val="00311B47"/>
    <w:rsid w:val="00311D52"/>
    <w:rsid w:val="00312190"/>
    <w:rsid w:val="003125E0"/>
    <w:rsid w:val="0031271D"/>
    <w:rsid w:val="0031277A"/>
    <w:rsid w:val="003132BB"/>
    <w:rsid w:val="00313337"/>
    <w:rsid w:val="00313447"/>
    <w:rsid w:val="00313748"/>
    <w:rsid w:val="00313EA3"/>
    <w:rsid w:val="003151FE"/>
    <w:rsid w:val="00315365"/>
    <w:rsid w:val="00315457"/>
    <w:rsid w:val="003161A4"/>
    <w:rsid w:val="003165A4"/>
    <w:rsid w:val="0031674D"/>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98"/>
    <w:rsid w:val="0032682A"/>
    <w:rsid w:val="00327A5C"/>
    <w:rsid w:val="0033092C"/>
    <w:rsid w:val="0033122A"/>
    <w:rsid w:val="003315AC"/>
    <w:rsid w:val="00331932"/>
    <w:rsid w:val="00331F74"/>
    <w:rsid w:val="00332382"/>
    <w:rsid w:val="00332453"/>
    <w:rsid w:val="0033251B"/>
    <w:rsid w:val="003331CC"/>
    <w:rsid w:val="00333A88"/>
    <w:rsid w:val="00335B15"/>
    <w:rsid w:val="00335B21"/>
    <w:rsid w:val="00335D3F"/>
    <w:rsid w:val="00336104"/>
    <w:rsid w:val="00336729"/>
    <w:rsid w:val="00336CD9"/>
    <w:rsid w:val="0033726D"/>
    <w:rsid w:val="00337296"/>
    <w:rsid w:val="00337CA8"/>
    <w:rsid w:val="00340D3F"/>
    <w:rsid w:val="0034174B"/>
    <w:rsid w:val="0034177C"/>
    <w:rsid w:val="003420E9"/>
    <w:rsid w:val="00342345"/>
    <w:rsid w:val="00342837"/>
    <w:rsid w:val="00342C27"/>
    <w:rsid w:val="003430C8"/>
    <w:rsid w:val="003432C8"/>
    <w:rsid w:val="003434B3"/>
    <w:rsid w:val="00343536"/>
    <w:rsid w:val="00343EFB"/>
    <w:rsid w:val="00344760"/>
    <w:rsid w:val="00344803"/>
    <w:rsid w:val="003454E8"/>
    <w:rsid w:val="00345574"/>
    <w:rsid w:val="0034680A"/>
    <w:rsid w:val="00346C62"/>
    <w:rsid w:val="00347202"/>
    <w:rsid w:val="0034778E"/>
    <w:rsid w:val="00347A5A"/>
    <w:rsid w:val="003501E2"/>
    <w:rsid w:val="00351B2A"/>
    <w:rsid w:val="00351E10"/>
    <w:rsid w:val="003533F4"/>
    <w:rsid w:val="003536F6"/>
    <w:rsid w:val="00353DD5"/>
    <w:rsid w:val="00353F36"/>
    <w:rsid w:val="00355131"/>
    <w:rsid w:val="00355F74"/>
    <w:rsid w:val="003560DB"/>
    <w:rsid w:val="003564DB"/>
    <w:rsid w:val="00356F87"/>
    <w:rsid w:val="00357AC5"/>
    <w:rsid w:val="00357E83"/>
    <w:rsid w:val="00360B68"/>
    <w:rsid w:val="00360CF3"/>
    <w:rsid w:val="00361A59"/>
    <w:rsid w:val="00363348"/>
    <w:rsid w:val="00363857"/>
    <w:rsid w:val="00363D59"/>
    <w:rsid w:val="00363F08"/>
    <w:rsid w:val="003640F7"/>
    <w:rsid w:val="0036594A"/>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80272"/>
    <w:rsid w:val="003805DB"/>
    <w:rsid w:val="0038152A"/>
    <w:rsid w:val="0038245D"/>
    <w:rsid w:val="00382BAD"/>
    <w:rsid w:val="003835FD"/>
    <w:rsid w:val="00383EDF"/>
    <w:rsid w:val="00384C5E"/>
    <w:rsid w:val="00384DF1"/>
    <w:rsid w:val="00384FF3"/>
    <w:rsid w:val="00386456"/>
    <w:rsid w:val="003865A9"/>
    <w:rsid w:val="003867B3"/>
    <w:rsid w:val="0039092B"/>
    <w:rsid w:val="00390BD9"/>
    <w:rsid w:val="00390F32"/>
    <w:rsid w:val="0039135E"/>
    <w:rsid w:val="0039285D"/>
    <w:rsid w:val="0039319C"/>
    <w:rsid w:val="00393577"/>
    <w:rsid w:val="00393CAE"/>
    <w:rsid w:val="003945F4"/>
    <w:rsid w:val="00394EB5"/>
    <w:rsid w:val="003953B4"/>
    <w:rsid w:val="0039615F"/>
    <w:rsid w:val="003966A0"/>
    <w:rsid w:val="00396A29"/>
    <w:rsid w:val="00397C34"/>
    <w:rsid w:val="00397FF0"/>
    <w:rsid w:val="003A06CA"/>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563C"/>
    <w:rsid w:val="003A581E"/>
    <w:rsid w:val="003A5E7E"/>
    <w:rsid w:val="003A607A"/>
    <w:rsid w:val="003A6160"/>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B7373"/>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50B"/>
    <w:rsid w:val="003D0B98"/>
    <w:rsid w:val="003D0C3C"/>
    <w:rsid w:val="003D0DE5"/>
    <w:rsid w:val="003D1351"/>
    <w:rsid w:val="003D219E"/>
    <w:rsid w:val="003D21C1"/>
    <w:rsid w:val="003D3B15"/>
    <w:rsid w:val="003D3B2E"/>
    <w:rsid w:val="003D4101"/>
    <w:rsid w:val="003D484D"/>
    <w:rsid w:val="003D49CB"/>
    <w:rsid w:val="003D5F10"/>
    <w:rsid w:val="003D6B8F"/>
    <w:rsid w:val="003D7566"/>
    <w:rsid w:val="003E0224"/>
    <w:rsid w:val="003E09BB"/>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19D"/>
    <w:rsid w:val="0040284E"/>
    <w:rsid w:val="00402DE1"/>
    <w:rsid w:val="00402EEB"/>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0EA0"/>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BBA"/>
    <w:rsid w:val="00420D6E"/>
    <w:rsid w:val="0042158C"/>
    <w:rsid w:val="00421617"/>
    <w:rsid w:val="004217A7"/>
    <w:rsid w:val="00421BD2"/>
    <w:rsid w:val="00421E00"/>
    <w:rsid w:val="00421FCB"/>
    <w:rsid w:val="00422631"/>
    <w:rsid w:val="00422DCA"/>
    <w:rsid w:val="00423C7F"/>
    <w:rsid w:val="00423D04"/>
    <w:rsid w:val="00423F9F"/>
    <w:rsid w:val="00425C43"/>
    <w:rsid w:val="004273FA"/>
    <w:rsid w:val="004275A7"/>
    <w:rsid w:val="00430186"/>
    <w:rsid w:val="00430F17"/>
    <w:rsid w:val="00431CC7"/>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21"/>
    <w:rsid w:val="00442D4D"/>
    <w:rsid w:val="0044374D"/>
    <w:rsid w:val="00443B55"/>
    <w:rsid w:val="00443D27"/>
    <w:rsid w:val="0044500B"/>
    <w:rsid w:val="004451C5"/>
    <w:rsid w:val="00446037"/>
    <w:rsid w:val="00446270"/>
    <w:rsid w:val="0044642F"/>
    <w:rsid w:val="0044772C"/>
    <w:rsid w:val="00447EF7"/>
    <w:rsid w:val="00450846"/>
    <w:rsid w:val="00450EAA"/>
    <w:rsid w:val="00451A52"/>
    <w:rsid w:val="00452663"/>
    <w:rsid w:val="0045271D"/>
    <w:rsid w:val="00452755"/>
    <w:rsid w:val="00452803"/>
    <w:rsid w:val="004529C6"/>
    <w:rsid w:val="00452EAD"/>
    <w:rsid w:val="004533D1"/>
    <w:rsid w:val="004534D1"/>
    <w:rsid w:val="00454548"/>
    <w:rsid w:val="00454589"/>
    <w:rsid w:val="00454717"/>
    <w:rsid w:val="004548CD"/>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2E1D"/>
    <w:rsid w:val="0046320A"/>
    <w:rsid w:val="00463347"/>
    <w:rsid w:val="004636CC"/>
    <w:rsid w:val="004638E2"/>
    <w:rsid w:val="00464030"/>
    <w:rsid w:val="004647F8"/>
    <w:rsid w:val="004647FB"/>
    <w:rsid w:val="00465347"/>
    <w:rsid w:val="00465677"/>
    <w:rsid w:val="00466392"/>
    <w:rsid w:val="00466616"/>
    <w:rsid w:val="00466A0C"/>
    <w:rsid w:val="00466A53"/>
    <w:rsid w:val="00470552"/>
    <w:rsid w:val="00470A6A"/>
    <w:rsid w:val="00470D73"/>
    <w:rsid w:val="00470D92"/>
    <w:rsid w:val="00471DF7"/>
    <w:rsid w:val="004734CF"/>
    <w:rsid w:val="00473F33"/>
    <w:rsid w:val="0047586C"/>
    <w:rsid w:val="00475C5A"/>
    <w:rsid w:val="00475C9C"/>
    <w:rsid w:val="0047676B"/>
    <w:rsid w:val="0047771F"/>
    <w:rsid w:val="0047773C"/>
    <w:rsid w:val="00477C5F"/>
    <w:rsid w:val="00480050"/>
    <w:rsid w:val="0048011C"/>
    <w:rsid w:val="004808DE"/>
    <w:rsid w:val="00480F9A"/>
    <w:rsid w:val="00481AC4"/>
    <w:rsid w:val="00481DC1"/>
    <w:rsid w:val="00482507"/>
    <w:rsid w:val="0048268A"/>
    <w:rsid w:val="00482A64"/>
    <w:rsid w:val="004835CA"/>
    <w:rsid w:val="004836F8"/>
    <w:rsid w:val="004836FE"/>
    <w:rsid w:val="00484A39"/>
    <w:rsid w:val="00484F0F"/>
    <w:rsid w:val="00484F40"/>
    <w:rsid w:val="0048540C"/>
    <w:rsid w:val="0048608A"/>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D93"/>
    <w:rsid w:val="004A546E"/>
    <w:rsid w:val="004A58EE"/>
    <w:rsid w:val="004A59B7"/>
    <w:rsid w:val="004A6051"/>
    <w:rsid w:val="004A623B"/>
    <w:rsid w:val="004A6A04"/>
    <w:rsid w:val="004A6A52"/>
    <w:rsid w:val="004B07E6"/>
    <w:rsid w:val="004B0A44"/>
    <w:rsid w:val="004B0F0B"/>
    <w:rsid w:val="004B2197"/>
    <w:rsid w:val="004B298A"/>
    <w:rsid w:val="004B2BB8"/>
    <w:rsid w:val="004B50CB"/>
    <w:rsid w:val="004B578D"/>
    <w:rsid w:val="004B5BE7"/>
    <w:rsid w:val="004B5E2D"/>
    <w:rsid w:val="004B6C07"/>
    <w:rsid w:val="004B6EF5"/>
    <w:rsid w:val="004B74D3"/>
    <w:rsid w:val="004B755E"/>
    <w:rsid w:val="004B788E"/>
    <w:rsid w:val="004B7E5D"/>
    <w:rsid w:val="004C1198"/>
    <w:rsid w:val="004C22F7"/>
    <w:rsid w:val="004C2B27"/>
    <w:rsid w:val="004C3929"/>
    <w:rsid w:val="004C4160"/>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A35"/>
    <w:rsid w:val="004E2CCF"/>
    <w:rsid w:val="004E3152"/>
    <w:rsid w:val="004E3B71"/>
    <w:rsid w:val="004E4055"/>
    <w:rsid w:val="004E40CE"/>
    <w:rsid w:val="004E5736"/>
    <w:rsid w:val="004E5A3C"/>
    <w:rsid w:val="004E5B36"/>
    <w:rsid w:val="004E5D5D"/>
    <w:rsid w:val="004E6045"/>
    <w:rsid w:val="004E667A"/>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4D5A"/>
    <w:rsid w:val="004F5180"/>
    <w:rsid w:val="004F57C9"/>
    <w:rsid w:val="004F5930"/>
    <w:rsid w:val="004F5970"/>
    <w:rsid w:val="004F5F0C"/>
    <w:rsid w:val="004F6121"/>
    <w:rsid w:val="004F6161"/>
    <w:rsid w:val="004F66BC"/>
    <w:rsid w:val="004F6C26"/>
    <w:rsid w:val="004F78E0"/>
    <w:rsid w:val="004F7AC9"/>
    <w:rsid w:val="0050062F"/>
    <w:rsid w:val="00500E74"/>
    <w:rsid w:val="0050160F"/>
    <w:rsid w:val="0050284E"/>
    <w:rsid w:val="0050306F"/>
    <w:rsid w:val="00503A17"/>
    <w:rsid w:val="00505892"/>
    <w:rsid w:val="00505DCB"/>
    <w:rsid w:val="00507066"/>
    <w:rsid w:val="005075CA"/>
    <w:rsid w:val="00507B06"/>
    <w:rsid w:val="00507BF1"/>
    <w:rsid w:val="0051074C"/>
    <w:rsid w:val="00510DE9"/>
    <w:rsid w:val="005111E2"/>
    <w:rsid w:val="00511231"/>
    <w:rsid w:val="00511741"/>
    <w:rsid w:val="00512C4F"/>
    <w:rsid w:val="00513042"/>
    <w:rsid w:val="00513170"/>
    <w:rsid w:val="0051334F"/>
    <w:rsid w:val="00513399"/>
    <w:rsid w:val="005135BE"/>
    <w:rsid w:val="00513AF2"/>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1A30"/>
    <w:rsid w:val="00521D7C"/>
    <w:rsid w:val="00521EA7"/>
    <w:rsid w:val="005224E5"/>
    <w:rsid w:val="0052311A"/>
    <w:rsid w:val="00523903"/>
    <w:rsid w:val="005239B6"/>
    <w:rsid w:val="00523C45"/>
    <w:rsid w:val="00523F41"/>
    <w:rsid w:val="00524165"/>
    <w:rsid w:val="005246E7"/>
    <w:rsid w:val="00524B08"/>
    <w:rsid w:val="00524C38"/>
    <w:rsid w:val="00524FD2"/>
    <w:rsid w:val="00525621"/>
    <w:rsid w:val="00526431"/>
    <w:rsid w:val="00527532"/>
    <w:rsid w:val="00527DEB"/>
    <w:rsid w:val="00527E57"/>
    <w:rsid w:val="00527F2C"/>
    <w:rsid w:val="00530059"/>
    <w:rsid w:val="00530405"/>
    <w:rsid w:val="00530458"/>
    <w:rsid w:val="00530522"/>
    <w:rsid w:val="005305E5"/>
    <w:rsid w:val="0053086F"/>
    <w:rsid w:val="00530CBA"/>
    <w:rsid w:val="00530F38"/>
    <w:rsid w:val="00531F26"/>
    <w:rsid w:val="00531FEF"/>
    <w:rsid w:val="00532501"/>
    <w:rsid w:val="0053277C"/>
    <w:rsid w:val="005327C0"/>
    <w:rsid w:val="00533101"/>
    <w:rsid w:val="00533CA9"/>
    <w:rsid w:val="005346AD"/>
    <w:rsid w:val="00534EFB"/>
    <w:rsid w:val="00534F60"/>
    <w:rsid w:val="005357F1"/>
    <w:rsid w:val="00535C73"/>
    <w:rsid w:val="00535D15"/>
    <w:rsid w:val="00536053"/>
    <w:rsid w:val="005363C6"/>
    <w:rsid w:val="005369E6"/>
    <w:rsid w:val="005371AC"/>
    <w:rsid w:val="00537672"/>
    <w:rsid w:val="005376B5"/>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CE3"/>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05E"/>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74FE"/>
    <w:rsid w:val="0058040C"/>
    <w:rsid w:val="00580963"/>
    <w:rsid w:val="00580D6D"/>
    <w:rsid w:val="00580FD8"/>
    <w:rsid w:val="005813DE"/>
    <w:rsid w:val="00581796"/>
    <w:rsid w:val="00581B45"/>
    <w:rsid w:val="00582480"/>
    <w:rsid w:val="00582805"/>
    <w:rsid w:val="0058290E"/>
    <w:rsid w:val="00582CAB"/>
    <w:rsid w:val="00582FA6"/>
    <w:rsid w:val="005836D5"/>
    <w:rsid w:val="0058375E"/>
    <w:rsid w:val="00583E07"/>
    <w:rsid w:val="00584233"/>
    <w:rsid w:val="005842D0"/>
    <w:rsid w:val="005845FB"/>
    <w:rsid w:val="005855AE"/>
    <w:rsid w:val="00585829"/>
    <w:rsid w:val="00585CA8"/>
    <w:rsid w:val="00586412"/>
    <w:rsid w:val="005864B9"/>
    <w:rsid w:val="00586564"/>
    <w:rsid w:val="005866C4"/>
    <w:rsid w:val="005907D4"/>
    <w:rsid w:val="00590F1A"/>
    <w:rsid w:val="00591C03"/>
    <w:rsid w:val="00591E2A"/>
    <w:rsid w:val="005923C4"/>
    <w:rsid w:val="005936E0"/>
    <w:rsid w:val="0059397D"/>
    <w:rsid w:val="00593EA2"/>
    <w:rsid w:val="00593F75"/>
    <w:rsid w:val="005940A0"/>
    <w:rsid w:val="0059429A"/>
    <w:rsid w:val="00594CBE"/>
    <w:rsid w:val="00596AF7"/>
    <w:rsid w:val="00596CCE"/>
    <w:rsid w:val="005A1976"/>
    <w:rsid w:val="005A2120"/>
    <w:rsid w:val="005A2501"/>
    <w:rsid w:val="005A2C80"/>
    <w:rsid w:val="005A3066"/>
    <w:rsid w:val="005A3B35"/>
    <w:rsid w:val="005A3C4B"/>
    <w:rsid w:val="005A3E5A"/>
    <w:rsid w:val="005A43F3"/>
    <w:rsid w:val="005A496F"/>
    <w:rsid w:val="005A4A56"/>
    <w:rsid w:val="005A53DE"/>
    <w:rsid w:val="005A5608"/>
    <w:rsid w:val="005A5A3D"/>
    <w:rsid w:val="005A6035"/>
    <w:rsid w:val="005A6B75"/>
    <w:rsid w:val="005A6E00"/>
    <w:rsid w:val="005A70B2"/>
    <w:rsid w:val="005A718A"/>
    <w:rsid w:val="005A72DD"/>
    <w:rsid w:val="005A7885"/>
    <w:rsid w:val="005B12B2"/>
    <w:rsid w:val="005B143B"/>
    <w:rsid w:val="005B19BD"/>
    <w:rsid w:val="005B1D7A"/>
    <w:rsid w:val="005B1E45"/>
    <w:rsid w:val="005B21C4"/>
    <w:rsid w:val="005B2A28"/>
    <w:rsid w:val="005B35AB"/>
    <w:rsid w:val="005B3621"/>
    <w:rsid w:val="005B3EBE"/>
    <w:rsid w:val="005B4948"/>
    <w:rsid w:val="005B501D"/>
    <w:rsid w:val="005B54CC"/>
    <w:rsid w:val="005B71BB"/>
    <w:rsid w:val="005B74AD"/>
    <w:rsid w:val="005B7E96"/>
    <w:rsid w:val="005C0429"/>
    <w:rsid w:val="005C084F"/>
    <w:rsid w:val="005C0A99"/>
    <w:rsid w:val="005C0EE9"/>
    <w:rsid w:val="005C169F"/>
    <w:rsid w:val="005C16A8"/>
    <w:rsid w:val="005C1716"/>
    <w:rsid w:val="005C1954"/>
    <w:rsid w:val="005C1C0B"/>
    <w:rsid w:val="005C2011"/>
    <w:rsid w:val="005C21CD"/>
    <w:rsid w:val="005C3EA3"/>
    <w:rsid w:val="005C44DE"/>
    <w:rsid w:val="005C5011"/>
    <w:rsid w:val="005C5241"/>
    <w:rsid w:val="005C529E"/>
    <w:rsid w:val="005C57BA"/>
    <w:rsid w:val="005C5C52"/>
    <w:rsid w:val="005C5D3D"/>
    <w:rsid w:val="005C5F05"/>
    <w:rsid w:val="005C6186"/>
    <w:rsid w:val="005C6CF7"/>
    <w:rsid w:val="005C7E45"/>
    <w:rsid w:val="005C7F3E"/>
    <w:rsid w:val="005D06D3"/>
    <w:rsid w:val="005D0C3B"/>
    <w:rsid w:val="005D103E"/>
    <w:rsid w:val="005D1051"/>
    <w:rsid w:val="005D1606"/>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781C"/>
    <w:rsid w:val="005F2D8B"/>
    <w:rsid w:val="005F305B"/>
    <w:rsid w:val="005F3361"/>
    <w:rsid w:val="005F361A"/>
    <w:rsid w:val="005F3B47"/>
    <w:rsid w:val="005F4481"/>
    <w:rsid w:val="005F47AC"/>
    <w:rsid w:val="005F49AF"/>
    <w:rsid w:val="005F4A58"/>
    <w:rsid w:val="005F54DF"/>
    <w:rsid w:val="005F5694"/>
    <w:rsid w:val="005F5888"/>
    <w:rsid w:val="005F5984"/>
    <w:rsid w:val="005F5EAB"/>
    <w:rsid w:val="005F6CE2"/>
    <w:rsid w:val="005F6EC8"/>
    <w:rsid w:val="005F6F24"/>
    <w:rsid w:val="005F72E9"/>
    <w:rsid w:val="005F780B"/>
    <w:rsid w:val="005F7936"/>
    <w:rsid w:val="00600473"/>
    <w:rsid w:val="0060139A"/>
    <w:rsid w:val="006013C9"/>
    <w:rsid w:val="006018ED"/>
    <w:rsid w:val="00602931"/>
    <w:rsid w:val="00602B45"/>
    <w:rsid w:val="00603499"/>
    <w:rsid w:val="006035F5"/>
    <w:rsid w:val="00603CC2"/>
    <w:rsid w:val="006047D1"/>
    <w:rsid w:val="006048A4"/>
    <w:rsid w:val="00604A55"/>
    <w:rsid w:val="00604D4E"/>
    <w:rsid w:val="00604E3E"/>
    <w:rsid w:val="00605AC3"/>
    <w:rsid w:val="00606908"/>
    <w:rsid w:val="00607996"/>
    <w:rsid w:val="00607A37"/>
    <w:rsid w:val="00607E9F"/>
    <w:rsid w:val="00610001"/>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875"/>
    <w:rsid w:val="0061591D"/>
    <w:rsid w:val="00615ED0"/>
    <w:rsid w:val="0061604C"/>
    <w:rsid w:val="00616C2B"/>
    <w:rsid w:val="00616D7F"/>
    <w:rsid w:val="006178D1"/>
    <w:rsid w:val="00620719"/>
    <w:rsid w:val="006212C9"/>
    <w:rsid w:val="00621D0C"/>
    <w:rsid w:val="00622229"/>
    <w:rsid w:val="00622470"/>
    <w:rsid w:val="00622725"/>
    <w:rsid w:val="00622785"/>
    <w:rsid w:val="00622ACD"/>
    <w:rsid w:val="00622B63"/>
    <w:rsid w:val="006231AA"/>
    <w:rsid w:val="00623346"/>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3B29"/>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C26"/>
    <w:rsid w:val="00637F44"/>
    <w:rsid w:val="00640087"/>
    <w:rsid w:val="00641078"/>
    <w:rsid w:val="00641242"/>
    <w:rsid w:val="00641761"/>
    <w:rsid w:val="0064194F"/>
    <w:rsid w:val="00642126"/>
    <w:rsid w:val="00642A32"/>
    <w:rsid w:val="00642F7C"/>
    <w:rsid w:val="006433D5"/>
    <w:rsid w:val="00643412"/>
    <w:rsid w:val="00645844"/>
    <w:rsid w:val="00645CEB"/>
    <w:rsid w:val="00645E63"/>
    <w:rsid w:val="0064696D"/>
    <w:rsid w:val="00646B20"/>
    <w:rsid w:val="00646D0F"/>
    <w:rsid w:val="00647A36"/>
    <w:rsid w:val="00647DCC"/>
    <w:rsid w:val="00647E8E"/>
    <w:rsid w:val="00647EFA"/>
    <w:rsid w:val="00647F14"/>
    <w:rsid w:val="00650027"/>
    <w:rsid w:val="00650E89"/>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66A"/>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11C9"/>
    <w:rsid w:val="006812CE"/>
    <w:rsid w:val="006826C1"/>
    <w:rsid w:val="00682C89"/>
    <w:rsid w:val="006832B8"/>
    <w:rsid w:val="006837B2"/>
    <w:rsid w:val="00683800"/>
    <w:rsid w:val="006842AA"/>
    <w:rsid w:val="00684462"/>
    <w:rsid w:val="00684765"/>
    <w:rsid w:val="00684C0D"/>
    <w:rsid w:val="00684C8A"/>
    <w:rsid w:val="00684CF5"/>
    <w:rsid w:val="0068553E"/>
    <w:rsid w:val="00685D37"/>
    <w:rsid w:val="00685E7B"/>
    <w:rsid w:val="00686551"/>
    <w:rsid w:val="00686CAB"/>
    <w:rsid w:val="0068717F"/>
    <w:rsid w:val="0068730C"/>
    <w:rsid w:val="00687504"/>
    <w:rsid w:val="00687A14"/>
    <w:rsid w:val="00687A8C"/>
    <w:rsid w:val="006904C4"/>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863"/>
    <w:rsid w:val="00696A05"/>
    <w:rsid w:val="00697665"/>
    <w:rsid w:val="00697C9A"/>
    <w:rsid w:val="00697E68"/>
    <w:rsid w:val="00697F3D"/>
    <w:rsid w:val="00697FC1"/>
    <w:rsid w:val="006A0274"/>
    <w:rsid w:val="006A27BC"/>
    <w:rsid w:val="006A2829"/>
    <w:rsid w:val="006A2A43"/>
    <w:rsid w:val="006A2BF1"/>
    <w:rsid w:val="006A2F9A"/>
    <w:rsid w:val="006A34E4"/>
    <w:rsid w:val="006A3A5A"/>
    <w:rsid w:val="006A3E98"/>
    <w:rsid w:val="006A44CF"/>
    <w:rsid w:val="006A457D"/>
    <w:rsid w:val="006A4B5A"/>
    <w:rsid w:val="006A4C06"/>
    <w:rsid w:val="006A4F85"/>
    <w:rsid w:val="006A55EE"/>
    <w:rsid w:val="006A575B"/>
    <w:rsid w:val="006A59DE"/>
    <w:rsid w:val="006A64C6"/>
    <w:rsid w:val="006A6655"/>
    <w:rsid w:val="006A6BF9"/>
    <w:rsid w:val="006A6E0C"/>
    <w:rsid w:val="006A7AB8"/>
    <w:rsid w:val="006A7CB5"/>
    <w:rsid w:val="006A7FD0"/>
    <w:rsid w:val="006B025C"/>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37CA"/>
    <w:rsid w:val="006C39AE"/>
    <w:rsid w:val="006C40D2"/>
    <w:rsid w:val="006C4B85"/>
    <w:rsid w:val="006C4BBD"/>
    <w:rsid w:val="006C551E"/>
    <w:rsid w:val="006C563F"/>
    <w:rsid w:val="006C572F"/>
    <w:rsid w:val="006C5B15"/>
    <w:rsid w:val="006C5D32"/>
    <w:rsid w:val="006C5DCB"/>
    <w:rsid w:val="006C6475"/>
    <w:rsid w:val="006C70C4"/>
    <w:rsid w:val="006C741F"/>
    <w:rsid w:val="006D04DA"/>
    <w:rsid w:val="006D0B1A"/>
    <w:rsid w:val="006D10F6"/>
    <w:rsid w:val="006D1544"/>
    <w:rsid w:val="006D1688"/>
    <w:rsid w:val="006D1BE1"/>
    <w:rsid w:val="006D1DD3"/>
    <w:rsid w:val="006D1FF3"/>
    <w:rsid w:val="006D219C"/>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46C"/>
    <w:rsid w:val="006E0572"/>
    <w:rsid w:val="006E05D8"/>
    <w:rsid w:val="006E087D"/>
    <w:rsid w:val="006E08EE"/>
    <w:rsid w:val="006E0F32"/>
    <w:rsid w:val="006E155A"/>
    <w:rsid w:val="006E2C34"/>
    <w:rsid w:val="006E359B"/>
    <w:rsid w:val="006E3937"/>
    <w:rsid w:val="006E39D1"/>
    <w:rsid w:val="006E3B05"/>
    <w:rsid w:val="006E437F"/>
    <w:rsid w:val="006E4D5B"/>
    <w:rsid w:val="006E602F"/>
    <w:rsid w:val="006E6720"/>
    <w:rsid w:val="006E7275"/>
    <w:rsid w:val="006E77B8"/>
    <w:rsid w:val="006E7AAF"/>
    <w:rsid w:val="006F0F34"/>
    <w:rsid w:val="006F0F74"/>
    <w:rsid w:val="006F1041"/>
    <w:rsid w:val="006F13BA"/>
    <w:rsid w:val="006F15CC"/>
    <w:rsid w:val="006F15F6"/>
    <w:rsid w:val="006F36EA"/>
    <w:rsid w:val="006F4147"/>
    <w:rsid w:val="006F4315"/>
    <w:rsid w:val="006F4CB0"/>
    <w:rsid w:val="006F4F78"/>
    <w:rsid w:val="006F547E"/>
    <w:rsid w:val="006F5CCF"/>
    <w:rsid w:val="006F6F04"/>
    <w:rsid w:val="006F71F5"/>
    <w:rsid w:val="006F72A8"/>
    <w:rsid w:val="006F79BB"/>
    <w:rsid w:val="007000A6"/>
    <w:rsid w:val="00700610"/>
    <w:rsid w:val="0070138A"/>
    <w:rsid w:val="0070157E"/>
    <w:rsid w:val="007030D4"/>
    <w:rsid w:val="00703279"/>
    <w:rsid w:val="00703B61"/>
    <w:rsid w:val="00703E11"/>
    <w:rsid w:val="00704102"/>
    <w:rsid w:val="0070437C"/>
    <w:rsid w:val="0070461C"/>
    <w:rsid w:val="00704F37"/>
    <w:rsid w:val="00705631"/>
    <w:rsid w:val="00705818"/>
    <w:rsid w:val="00705F62"/>
    <w:rsid w:val="0070773F"/>
    <w:rsid w:val="00707A2E"/>
    <w:rsid w:val="00707ED3"/>
    <w:rsid w:val="007101B7"/>
    <w:rsid w:val="00710668"/>
    <w:rsid w:val="00711019"/>
    <w:rsid w:val="007110F4"/>
    <w:rsid w:val="007112B1"/>
    <w:rsid w:val="0071130F"/>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CAD"/>
    <w:rsid w:val="00716CD3"/>
    <w:rsid w:val="00716F18"/>
    <w:rsid w:val="0071708A"/>
    <w:rsid w:val="00717363"/>
    <w:rsid w:val="00717786"/>
    <w:rsid w:val="00717ACB"/>
    <w:rsid w:val="0072138B"/>
    <w:rsid w:val="00721BFF"/>
    <w:rsid w:val="00723475"/>
    <w:rsid w:val="007236C4"/>
    <w:rsid w:val="00724635"/>
    <w:rsid w:val="00724F21"/>
    <w:rsid w:val="00725134"/>
    <w:rsid w:val="0072554B"/>
    <w:rsid w:val="0072571F"/>
    <w:rsid w:val="00725AFD"/>
    <w:rsid w:val="00726603"/>
    <w:rsid w:val="007266AC"/>
    <w:rsid w:val="00727B1D"/>
    <w:rsid w:val="00727DDC"/>
    <w:rsid w:val="0073017B"/>
    <w:rsid w:val="00730CD6"/>
    <w:rsid w:val="00730F74"/>
    <w:rsid w:val="0073114B"/>
    <w:rsid w:val="00732151"/>
    <w:rsid w:val="00732EBC"/>
    <w:rsid w:val="007342BB"/>
    <w:rsid w:val="00734952"/>
    <w:rsid w:val="00734990"/>
    <w:rsid w:val="00734FF5"/>
    <w:rsid w:val="00735B78"/>
    <w:rsid w:val="00735DA7"/>
    <w:rsid w:val="00736700"/>
    <w:rsid w:val="007368B4"/>
    <w:rsid w:val="007378E0"/>
    <w:rsid w:val="0074040E"/>
    <w:rsid w:val="00740529"/>
    <w:rsid w:val="00740876"/>
    <w:rsid w:val="00741358"/>
    <w:rsid w:val="00741626"/>
    <w:rsid w:val="00742332"/>
    <w:rsid w:val="00742886"/>
    <w:rsid w:val="00742A3A"/>
    <w:rsid w:val="00742DD2"/>
    <w:rsid w:val="007437C6"/>
    <w:rsid w:val="007441A2"/>
    <w:rsid w:val="0074422F"/>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8CA"/>
    <w:rsid w:val="007629B7"/>
    <w:rsid w:val="00762E60"/>
    <w:rsid w:val="00762F54"/>
    <w:rsid w:val="007634AD"/>
    <w:rsid w:val="0076445F"/>
    <w:rsid w:val="00764EC5"/>
    <w:rsid w:val="007651EF"/>
    <w:rsid w:val="00766D49"/>
    <w:rsid w:val="00766ECC"/>
    <w:rsid w:val="007672F3"/>
    <w:rsid w:val="007677B5"/>
    <w:rsid w:val="007678B1"/>
    <w:rsid w:val="007708A8"/>
    <w:rsid w:val="00772100"/>
    <w:rsid w:val="00772275"/>
    <w:rsid w:val="007734E4"/>
    <w:rsid w:val="0077380D"/>
    <w:rsid w:val="00773BC8"/>
    <w:rsid w:val="00774549"/>
    <w:rsid w:val="0077466F"/>
    <w:rsid w:val="007749E0"/>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744"/>
    <w:rsid w:val="00791C32"/>
    <w:rsid w:val="00791FF0"/>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714"/>
    <w:rsid w:val="007B0302"/>
    <w:rsid w:val="007B0313"/>
    <w:rsid w:val="007B0854"/>
    <w:rsid w:val="007B0E48"/>
    <w:rsid w:val="007B1D1B"/>
    <w:rsid w:val="007B21AA"/>
    <w:rsid w:val="007B2504"/>
    <w:rsid w:val="007B2549"/>
    <w:rsid w:val="007B2820"/>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4EE"/>
    <w:rsid w:val="007C312A"/>
    <w:rsid w:val="007C3538"/>
    <w:rsid w:val="007C3570"/>
    <w:rsid w:val="007C3F3B"/>
    <w:rsid w:val="007C4097"/>
    <w:rsid w:val="007C4241"/>
    <w:rsid w:val="007C425E"/>
    <w:rsid w:val="007C55FF"/>
    <w:rsid w:val="007C6339"/>
    <w:rsid w:val="007C71BB"/>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6C5F"/>
    <w:rsid w:val="007D7CFC"/>
    <w:rsid w:val="007E0812"/>
    <w:rsid w:val="007E0825"/>
    <w:rsid w:val="007E18DF"/>
    <w:rsid w:val="007E214A"/>
    <w:rsid w:val="007E238D"/>
    <w:rsid w:val="007E2C36"/>
    <w:rsid w:val="007E350D"/>
    <w:rsid w:val="007E3ACA"/>
    <w:rsid w:val="007E3F4A"/>
    <w:rsid w:val="007E564D"/>
    <w:rsid w:val="007E5C4A"/>
    <w:rsid w:val="007E64D4"/>
    <w:rsid w:val="007E6570"/>
    <w:rsid w:val="007E66E9"/>
    <w:rsid w:val="007E69F2"/>
    <w:rsid w:val="007E7432"/>
    <w:rsid w:val="007E74BF"/>
    <w:rsid w:val="007E7657"/>
    <w:rsid w:val="007E7D2E"/>
    <w:rsid w:val="007F14D3"/>
    <w:rsid w:val="007F1814"/>
    <w:rsid w:val="007F1D9D"/>
    <w:rsid w:val="007F1E28"/>
    <w:rsid w:val="007F1F63"/>
    <w:rsid w:val="007F22A0"/>
    <w:rsid w:val="007F2902"/>
    <w:rsid w:val="007F2903"/>
    <w:rsid w:val="007F2F90"/>
    <w:rsid w:val="007F3320"/>
    <w:rsid w:val="007F3AC1"/>
    <w:rsid w:val="007F3BF2"/>
    <w:rsid w:val="007F46E6"/>
    <w:rsid w:val="007F4976"/>
    <w:rsid w:val="007F4B40"/>
    <w:rsid w:val="007F5A56"/>
    <w:rsid w:val="007F5D42"/>
    <w:rsid w:val="007F616E"/>
    <w:rsid w:val="007F6B46"/>
    <w:rsid w:val="007F72CB"/>
    <w:rsid w:val="007F736A"/>
    <w:rsid w:val="007F7635"/>
    <w:rsid w:val="007F785F"/>
    <w:rsid w:val="007F7961"/>
    <w:rsid w:val="007F7AF6"/>
    <w:rsid w:val="007F7E36"/>
    <w:rsid w:val="008000EC"/>
    <w:rsid w:val="00800E6D"/>
    <w:rsid w:val="008014D9"/>
    <w:rsid w:val="0080150F"/>
    <w:rsid w:val="0080153A"/>
    <w:rsid w:val="00801A2A"/>
    <w:rsid w:val="00802041"/>
    <w:rsid w:val="008022C9"/>
    <w:rsid w:val="00802605"/>
    <w:rsid w:val="00802F9E"/>
    <w:rsid w:val="00803700"/>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0AC"/>
    <w:rsid w:val="008124D8"/>
    <w:rsid w:val="00813A7B"/>
    <w:rsid w:val="00813F04"/>
    <w:rsid w:val="0081513E"/>
    <w:rsid w:val="00815DA5"/>
    <w:rsid w:val="00816221"/>
    <w:rsid w:val="008174F3"/>
    <w:rsid w:val="00817661"/>
    <w:rsid w:val="0081766B"/>
    <w:rsid w:val="00817843"/>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40"/>
    <w:rsid w:val="00825B43"/>
    <w:rsid w:val="00826F71"/>
    <w:rsid w:val="00827CC0"/>
    <w:rsid w:val="008306AB"/>
    <w:rsid w:val="00831026"/>
    <w:rsid w:val="0083119B"/>
    <w:rsid w:val="00831BAE"/>
    <w:rsid w:val="00832216"/>
    <w:rsid w:val="00832513"/>
    <w:rsid w:val="00832CD0"/>
    <w:rsid w:val="00833430"/>
    <w:rsid w:val="00833821"/>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3B1"/>
    <w:rsid w:val="00847535"/>
    <w:rsid w:val="00847B6D"/>
    <w:rsid w:val="0085092D"/>
    <w:rsid w:val="008509A5"/>
    <w:rsid w:val="00850C34"/>
    <w:rsid w:val="00850C79"/>
    <w:rsid w:val="00850D82"/>
    <w:rsid w:val="00850F79"/>
    <w:rsid w:val="0085100B"/>
    <w:rsid w:val="008510A1"/>
    <w:rsid w:val="00851E09"/>
    <w:rsid w:val="0085304C"/>
    <w:rsid w:val="008536BB"/>
    <w:rsid w:val="00853A3C"/>
    <w:rsid w:val="008548CA"/>
    <w:rsid w:val="008563B0"/>
    <w:rsid w:val="00856C06"/>
    <w:rsid w:val="0085790B"/>
    <w:rsid w:val="008579B9"/>
    <w:rsid w:val="00857C31"/>
    <w:rsid w:val="00857C95"/>
    <w:rsid w:val="00857E78"/>
    <w:rsid w:val="00860AEF"/>
    <w:rsid w:val="00860B18"/>
    <w:rsid w:val="00860D5E"/>
    <w:rsid w:val="0086122C"/>
    <w:rsid w:val="00861310"/>
    <w:rsid w:val="00861C26"/>
    <w:rsid w:val="00861C4D"/>
    <w:rsid w:val="00861D0B"/>
    <w:rsid w:val="00861F53"/>
    <w:rsid w:val="0086289E"/>
    <w:rsid w:val="008629CB"/>
    <w:rsid w:val="0086394E"/>
    <w:rsid w:val="00863F8A"/>
    <w:rsid w:val="00863FE3"/>
    <w:rsid w:val="008640C4"/>
    <w:rsid w:val="00864241"/>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828"/>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36C"/>
    <w:rsid w:val="00887C79"/>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361E"/>
    <w:rsid w:val="008B47A6"/>
    <w:rsid w:val="008B5C7C"/>
    <w:rsid w:val="008B63FE"/>
    <w:rsid w:val="008B672C"/>
    <w:rsid w:val="008B7108"/>
    <w:rsid w:val="008C065F"/>
    <w:rsid w:val="008C0743"/>
    <w:rsid w:val="008C0B4C"/>
    <w:rsid w:val="008C11F0"/>
    <w:rsid w:val="008C1DBA"/>
    <w:rsid w:val="008C24E7"/>
    <w:rsid w:val="008C2500"/>
    <w:rsid w:val="008C2CAC"/>
    <w:rsid w:val="008C3C57"/>
    <w:rsid w:val="008C3E2A"/>
    <w:rsid w:val="008C45BD"/>
    <w:rsid w:val="008C4B19"/>
    <w:rsid w:val="008C62D4"/>
    <w:rsid w:val="008C6A49"/>
    <w:rsid w:val="008C6B89"/>
    <w:rsid w:val="008C6B97"/>
    <w:rsid w:val="008C7EF7"/>
    <w:rsid w:val="008D021B"/>
    <w:rsid w:val="008D094D"/>
    <w:rsid w:val="008D18AA"/>
    <w:rsid w:val="008D1A2A"/>
    <w:rsid w:val="008D1ADE"/>
    <w:rsid w:val="008D3199"/>
    <w:rsid w:val="008D35D9"/>
    <w:rsid w:val="008D3B36"/>
    <w:rsid w:val="008D3B85"/>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6D9"/>
    <w:rsid w:val="008E28BD"/>
    <w:rsid w:val="008E2BE6"/>
    <w:rsid w:val="008E30C4"/>
    <w:rsid w:val="008E38B4"/>
    <w:rsid w:val="008E3BA4"/>
    <w:rsid w:val="008E3F17"/>
    <w:rsid w:val="008E44AB"/>
    <w:rsid w:val="008E4786"/>
    <w:rsid w:val="008E4CAE"/>
    <w:rsid w:val="008E5179"/>
    <w:rsid w:val="008E57FE"/>
    <w:rsid w:val="008E6598"/>
    <w:rsid w:val="008E710F"/>
    <w:rsid w:val="008E7214"/>
    <w:rsid w:val="008E7497"/>
    <w:rsid w:val="008E7884"/>
    <w:rsid w:val="008E7D6E"/>
    <w:rsid w:val="008F1056"/>
    <w:rsid w:val="008F2E8D"/>
    <w:rsid w:val="008F361D"/>
    <w:rsid w:val="008F387B"/>
    <w:rsid w:val="008F3DD9"/>
    <w:rsid w:val="008F4163"/>
    <w:rsid w:val="008F4814"/>
    <w:rsid w:val="008F4B18"/>
    <w:rsid w:val="008F4DA6"/>
    <w:rsid w:val="008F538E"/>
    <w:rsid w:val="008F5A20"/>
    <w:rsid w:val="008F5ABA"/>
    <w:rsid w:val="008F6157"/>
    <w:rsid w:val="008F71AB"/>
    <w:rsid w:val="008F7905"/>
    <w:rsid w:val="008F7989"/>
    <w:rsid w:val="00900530"/>
    <w:rsid w:val="00900912"/>
    <w:rsid w:val="00901F1D"/>
    <w:rsid w:val="009028E8"/>
    <w:rsid w:val="00902E5C"/>
    <w:rsid w:val="0090363E"/>
    <w:rsid w:val="00903788"/>
    <w:rsid w:val="009046E5"/>
    <w:rsid w:val="009047C5"/>
    <w:rsid w:val="00905336"/>
    <w:rsid w:val="0090690B"/>
    <w:rsid w:val="00910683"/>
    <w:rsid w:val="00910E00"/>
    <w:rsid w:val="00910E04"/>
    <w:rsid w:val="009116CE"/>
    <w:rsid w:val="00911714"/>
    <w:rsid w:val="00911D04"/>
    <w:rsid w:val="00911EFF"/>
    <w:rsid w:val="0091310F"/>
    <w:rsid w:val="00913186"/>
    <w:rsid w:val="009136D4"/>
    <w:rsid w:val="00914B9A"/>
    <w:rsid w:val="00914C3F"/>
    <w:rsid w:val="00914F33"/>
    <w:rsid w:val="00915EFE"/>
    <w:rsid w:val="00915FCE"/>
    <w:rsid w:val="00916AFE"/>
    <w:rsid w:val="00916FC8"/>
    <w:rsid w:val="009170D3"/>
    <w:rsid w:val="009172B1"/>
    <w:rsid w:val="009174E2"/>
    <w:rsid w:val="0091759C"/>
    <w:rsid w:val="00920026"/>
    <w:rsid w:val="009203E2"/>
    <w:rsid w:val="00920BF5"/>
    <w:rsid w:val="00920F61"/>
    <w:rsid w:val="00921304"/>
    <w:rsid w:val="00921395"/>
    <w:rsid w:val="00921805"/>
    <w:rsid w:val="00921E63"/>
    <w:rsid w:val="00923396"/>
    <w:rsid w:val="00923F5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E70"/>
    <w:rsid w:val="0093609A"/>
    <w:rsid w:val="00936815"/>
    <w:rsid w:val="00937401"/>
    <w:rsid w:val="009376FB"/>
    <w:rsid w:val="00937795"/>
    <w:rsid w:val="00937D6B"/>
    <w:rsid w:val="00940477"/>
    <w:rsid w:val="00940876"/>
    <w:rsid w:val="00940A53"/>
    <w:rsid w:val="00940F3C"/>
    <w:rsid w:val="009410E0"/>
    <w:rsid w:val="00941FA9"/>
    <w:rsid w:val="009439B6"/>
    <w:rsid w:val="009444B4"/>
    <w:rsid w:val="00944644"/>
    <w:rsid w:val="00946A24"/>
    <w:rsid w:val="009470D4"/>
    <w:rsid w:val="00947337"/>
    <w:rsid w:val="00947E6E"/>
    <w:rsid w:val="009512FA"/>
    <w:rsid w:val="009516A9"/>
    <w:rsid w:val="00951E57"/>
    <w:rsid w:val="00952350"/>
    <w:rsid w:val="00952505"/>
    <w:rsid w:val="00953018"/>
    <w:rsid w:val="00953089"/>
    <w:rsid w:val="009533E2"/>
    <w:rsid w:val="00953554"/>
    <w:rsid w:val="0095385A"/>
    <w:rsid w:val="00954372"/>
    <w:rsid w:val="00954F3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6ACB"/>
    <w:rsid w:val="00971441"/>
    <w:rsid w:val="00971555"/>
    <w:rsid w:val="009715D4"/>
    <w:rsid w:val="0097179A"/>
    <w:rsid w:val="00971B0A"/>
    <w:rsid w:val="009731F4"/>
    <w:rsid w:val="009732A4"/>
    <w:rsid w:val="00973AB3"/>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09E"/>
    <w:rsid w:val="009876F2"/>
    <w:rsid w:val="00987C77"/>
    <w:rsid w:val="00987FED"/>
    <w:rsid w:val="00990345"/>
    <w:rsid w:val="00990701"/>
    <w:rsid w:val="0099119C"/>
    <w:rsid w:val="0099137A"/>
    <w:rsid w:val="0099211C"/>
    <w:rsid w:val="00992408"/>
    <w:rsid w:val="00992A90"/>
    <w:rsid w:val="00993013"/>
    <w:rsid w:val="009930AB"/>
    <w:rsid w:val="00993B78"/>
    <w:rsid w:val="009949CE"/>
    <w:rsid w:val="00994F3F"/>
    <w:rsid w:val="00995119"/>
    <w:rsid w:val="0099531F"/>
    <w:rsid w:val="009953AD"/>
    <w:rsid w:val="009957D7"/>
    <w:rsid w:val="0099583D"/>
    <w:rsid w:val="00996020"/>
    <w:rsid w:val="0099629E"/>
    <w:rsid w:val="009962B0"/>
    <w:rsid w:val="00996992"/>
    <w:rsid w:val="00996E1E"/>
    <w:rsid w:val="00997148"/>
    <w:rsid w:val="00997392"/>
    <w:rsid w:val="0099747C"/>
    <w:rsid w:val="0099771C"/>
    <w:rsid w:val="009A01E4"/>
    <w:rsid w:val="009A0917"/>
    <w:rsid w:val="009A0A33"/>
    <w:rsid w:val="009A1351"/>
    <w:rsid w:val="009A2041"/>
    <w:rsid w:val="009A2435"/>
    <w:rsid w:val="009A35DC"/>
    <w:rsid w:val="009A38AB"/>
    <w:rsid w:val="009A39EE"/>
    <w:rsid w:val="009A3A33"/>
    <w:rsid w:val="009A3D47"/>
    <w:rsid w:val="009A4D63"/>
    <w:rsid w:val="009A5356"/>
    <w:rsid w:val="009A5468"/>
    <w:rsid w:val="009A5D99"/>
    <w:rsid w:val="009A608C"/>
    <w:rsid w:val="009A6FDF"/>
    <w:rsid w:val="009A715F"/>
    <w:rsid w:val="009A76D6"/>
    <w:rsid w:val="009B0101"/>
    <w:rsid w:val="009B03F1"/>
    <w:rsid w:val="009B2374"/>
    <w:rsid w:val="009B28D6"/>
    <w:rsid w:val="009B2E29"/>
    <w:rsid w:val="009B2E83"/>
    <w:rsid w:val="009B3163"/>
    <w:rsid w:val="009B422F"/>
    <w:rsid w:val="009B46BC"/>
    <w:rsid w:val="009B4D1A"/>
    <w:rsid w:val="009B519D"/>
    <w:rsid w:val="009B558B"/>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4D17"/>
    <w:rsid w:val="009D604F"/>
    <w:rsid w:val="009D61BB"/>
    <w:rsid w:val="009D6410"/>
    <w:rsid w:val="009D64B1"/>
    <w:rsid w:val="009D68BB"/>
    <w:rsid w:val="009D6909"/>
    <w:rsid w:val="009D700F"/>
    <w:rsid w:val="009D70C2"/>
    <w:rsid w:val="009D7244"/>
    <w:rsid w:val="009D7ADB"/>
    <w:rsid w:val="009D7B33"/>
    <w:rsid w:val="009E06C3"/>
    <w:rsid w:val="009E0703"/>
    <w:rsid w:val="009E1035"/>
    <w:rsid w:val="009E16DA"/>
    <w:rsid w:val="009E1CD4"/>
    <w:rsid w:val="009E2391"/>
    <w:rsid w:val="009E41E5"/>
    <w:rsid w:val="009E476A"/>
    <w:rsid w:val="009E4A16"/>
    <w:rsid w:val="009E4E05"/>
    <w:rsid w:val="009E56FF"/>
    <w:rsid w:val="009E5CB1"/>
    <w:rsid w:val="009E5E56"/>
    <w:rsid w:val="009E61EA"/>
    <w:rsid w:val="009E6990"/>
    <w:rsid w:val="009E6FEE"/>
    <w:rsid w:val="009F00B9"/>
    <w:rsid w:val="009F0312"/>
    <w:rsid w:val="009F060F"/>
    <w:rsid w:val="009F0781"/>
    <w:rsid w:val="009F0850"/>
    <w:rsid w:val="009F1950"/>
    <w:rsid w:val="009F1BDF"/>
    <w:rsid w:val="009F1EAE"/>
    <w:rsid w:val="009F2732"/>
    <w:rsid w:val="009F2848"/>
    <w:rsid w:val="009F369D"/>
    <w:rsid w:val="009F36FE"/>
    <w:rsid w:val="009F4990"/>
    <w:rsid w:val="009F4F25"/>
    <w:rsid w:val="009F59C2"/>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8FB"/>
    <w:rsid w:val="00A10209"/>
    <w:rsid w:val="00A1036D"/>
    <w:rsid w:val="00A1069F"/>
    <w:rsid w:val="00A10ACA"/>
    <w:rsid w:val="00A10D08"/>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4BF"/>
    <w:rsid w:val="00A22571"/>
    <w:rsid w:val="00A225F8"/>
    <w:rsid w:val="00A2298D"/>
    <w:rsid w:val="00A24560"/>
    <w:rsid w:val="00A25B0F"/>
    <w:rsid w:val="00A25BBB"/>
    <w:rsid w:val="00A27FB6"/>
    <w:rsid w:val="00A30121"/>
    <w:rsid w:val="00A30368"/>
    <w:rsid w:val="00A3043A"/>
    <w:rsid w:val="00A30E02"/>
    <w:rsid w:val="00A30F6A"/>
    <w:rsid w:val="00A31060"/>
    <w:rsid w:val="00A31A57"/>
    <w:rsid w:val="00A31C3E"/>
    <w:rsid w:val="00A31DE3"/>
    <w:rsid w:val="00A34538"/>
    <w:rsid w:val="00A34677"/>
    <w:rsid w:val="00A3540F"/>
    <w:rsid w:val="00A35630"/>
    <w:rsid w:val="00A35914"/>
    <w:rsid w:val="00A36189"/>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B4B"/>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885"/>
    <w:rsid w:val="00A60B1F"/>
    <w:rsid w:val="00A60E17"/>
    <w:rsid w:val="00A61C60"/>
    <w:rsid w:val="00A62589"/>
    <w:rsid w:val="00A62AD0"/>
    <w:rsid w:val="00A62C3A"/>
    <w:rsid w:val="00A6319C"/>
    <w:rsid w:val="00A63812"/>
    <w:rsid w:val="00A639A9"/>
    <w:rsid w:val="00A63DF7"/>
    <w:rsid w:val="00A6454D"/>
    <w:rsid w:val="00A64767"/>
    <w:rsid w:val="00A64F2F"/>
    <w:rsid w:val="00A6611E"/>
    <w:rsid w:val="00A668BA"/>
    <w:rsid w:val="00A66FA7"/>
    <w:rsid w:val="00A67E16"/>
    <w:rsid w:val="00A67EB1"/>
    <w:rsid w:val="00A703CC"/>
    <w:rsid w:val="00A703EE"/>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90F12"/>
    <w:rsid w:val="00A91DAA"/>
    <w:rsid w:val="00A93101"/>
    <w:rsid w:val="00A93239"/>
    <w:rsid w:val="00A93E4A"/>
    <w:rsid w:val="00A9413E"/>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3088"/>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4F8"/>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9F7"/>
    <w:rsid w:val="00AD1EFA"/>
    <w:rsid w:val="00AD2072"/>
    <w:rsid w:val="00AD2DBD"/>
    <w:rsid w:val="00AD2FBF"/>
    <w:rsid w:val="00AD33A1"/>
    <w:rsid w:val="00AD340E"/>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C81"/>
    <w:rsid w:val="00AE586F"/>
    <w:rsid w:val="00AE5899"/>
    <w:rsid w:val="00AE62FE"/>
    <w:rsid w:val="00AE6582"/>
    <w:rsid w:val="00AE6DC5"/>
    <w:rsid w:val="00AE7686"/>
    <w:rsid w:val="00AE799A"/>
    <w:rsid w:val="00AF0E81"/>
    <w:rsid w:val="00AF117A"/>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EB6"/>
    <w:rsid w:val="00AF7796"/>
    <w:rsid w:val="00B011A9"/>
    <w:rsid w:val="00B01BAF"/>
    <w:rsid w:val="00B024ED"/>
    <w:rsid w:val="00B026B8"/>
    <w:rsid w:val="00B02EB3"/>
    <w:rsid w:val="00B02FCB"/>
    <w:rsid w:val="00B033F8"/>
    <w:rsid w:val="00B03C1E"/>
    <w:rsid w:val="00B04400"/>
    <w:rsid w:val="00B04835"/>
    <w:rsid w:val="00B05A55"/>
    <w:rsid w:val="00B05DE1"/>
    <w:rsid w:val="00B06595"/>
    <w:rsid w:val="00B06862"/>
    <w:rsid w:val="00B079A5"/>
    <w:rsid w:val="00B10109"/>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D"/>
    <w:rsid w:val="00B17B91"/>
    <w:rsid w:val="00B20209"/>
    <w:rsid w:val="00B203C9"/>
    <w:rsid w:val="00B2088D"/>
    <w:rsid w:val="00B208FF"/>
    <w:rsid w:val="00B21271"/>
    <w:rsid w:val="00B22E22"/>
    <w:rsid w:val="00B22F5F"/>
    <w:rsid w:val="00B23353"/>
    <w:rsid w:val="00B23813"/>
    <w:rsid w:val="00B23FD9"/>
    <w:rsid w:val="00B24591"/>
    <w:rsid w:val="00B245D5"/>
    <w:rsid w:val="00B245EF"/>
    <w:rsid w:val="00B24C36"/>
    <w:rsid w:val="00B24D9F"/>
    <w:rsid w:val="00B24F94"/>
    <w:rsid w:val="00B25126"/>
    <w:rsid w:val="00B253CE"/>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2B5A"/>
    <w:rsid w:val="00B53899"/>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08F"/>
    <w:rsid w:val="00B771F4"/>
    <w:rsid w:val="00B7762A"/>
    <w:rsid w:val="00B777FA"/>
    <w:rsid w:val="00B77850"/>
    <w:rsid w:val="00B7796B"/>
    <w:rsid w:val="00B80C72"/>
    <w:rsid w:val="00B8101E"/>
    <w:rsid w:val="00B81964"/>
    <w:rsid w:val="00B81E6F"/>
    <w:rsid w:val="00B82123"/>
    <w:rsid w:val="00B8225B"/>
    <w:rsid w:val="00B8256A"/>
    <w:rsid w:val="00B82BB5"/>
    <w:rsid w:val="00B83182"/>
    <w:rsid w:val="00B8348E"/>
    <w:rsid w:val="00B83893"/>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982"/>
    <w:rsid w:val="00BA405F"/>
    <w:rsid w:val="00BA4771"/>
    <w:rsid w:val="00BA482B"/>
    <w:rsid w:val="00BA5027"/>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09F"/>
    <w:rsid w:val="00BC24AD"/>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C7"/>
    <w:rsid w:val="00BE4F66"/>
    <w:rsid w:val="00BE4FBF"/>
    <w:rsid w:val="00BE5238"/>
    <w:rsid w:val="00BE5742"/>
    <w:rsid w:val="00BE6074"/>
    <w:rsid w:val="00BE6D73"/>
    <w:rsid w:val="00BE7257"/>
    <w:rsid w:val="00BF020D"/>
    <w:rsid w:val="00BF0532"/>
    <w:rsid w:val="00BF0609"/>
    <w:rsid w:val="00BF0EE8"/>
    <w:rsid w:val="00BF10ED"/>
    <w:rsid w:val="00BF1DD2"/>
    <w:rsid w:val="00BF23A3"/>
    <w:rsid w:val="00BF2A7E"/>
    <w:rsid w:val="00BF3227"/>
    <w:rsid w:val="00BF3331"/>
    <w:rsid w:val="00BF3A45"/>
    <w:rsid w:val="00BF436F"/>
    <w:rsid w:val="00BF45AE"/>
    <w:rsid w:val="00BF5C05"/>
    <w:rsid w:val="00BF6A12"/>
    <w:rsid w:val="00BF6FC6"/>
    <w:rsid w:val="00BF7C52"/>
    <w:rsid w:val="00BF7F99"/>
    <w:rsid w:val="00C00713"/>
    <w:rsid w:val="00C009A0"/>
    <w:rsid w:val="00C018F7"/>
    <w:rsid w:val="00C01F74"/>
    <w:rsid w:val="00C020C1"/>
    <w:rsid w:val="00C02558"/>
    <w:rsid w:val="00C025FE"/>
    <w:rsid w:val="00C0285F"/>
    <w:rsid w:val="00C028F5"/>
    <w:rsid w:val="00C02F35"/>
    <w:rsid w:val="00C03305"/>
    <w:rsid w:val="00C03515"/>
    <w:rsid w:val="00C03664"/>
    <w:rsid w:val="00C03738"/>
    <w:rsid w:val="00C037A6"/>
    <w:rsid w:val="00C04221"/>
    <w:rsid w:val="00C043F5"/>
    <w:rsid w:val="00C044E3"/>
    <w:rsid w:val="00C04607"/>
    <w:rsid w:val="00C04BDB"/>
    <w:rsid w:val="00C052C6"/>
    <w:rsid w:val="00C05A61"/>
    <w:rsid w:val="00C05FBA"/>
    <w:rsid w:val="00C05FEE"/>
    <w:rsid w:val="00C06CCF"/>
    <w:rsid w:val="00C0794D"/>
    <w:rsid w:val="00C10E78"/>
    <w:rsid w:val="00C1159D"/>
    <w:rsid w:val="00C1233E"/>
    <w:rsid w:val="00C1276C"/>
    <w:rsid w:val="00C12FB3"/>
    <w:rsid w:val="00C13276"/>
    <w:rsid w:val="00C138BC"/>
    <w:rsid w:val="00C13D85"/>
    <w:rsid w:val="00C14575"/>
    <w:rsid w:val="00C14639"/>
    <w:rsid w:val="00C14E82"/>
    <w:rsid w:val="00C14FF6"/>
    <w:rsid w:val="00C15A85"/>
    <w:rsid w:val="00C1637C"/>
    <w:rsid w:val="00C1641B"/>
    <w:rsid w:val="00C165FC"/>
    <w:rsid w:val="00C16DCE"/>
    <w:rsid w:val="00C176D5"/>
    <w:rsid w:val="00C17D24"/>
    <w:rsid w:val="00C2082C"/>
    <w:rsid w:val="00C20EB0"/>
    <w:rsid w:val="00C21004"/>
    <w:rsid w:val="00C21005"/>
    <w:rsid w:val="00C218DF"/>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5813"/>
    <w:rsid w:val="00C26C71"/>
    <w:rsid w:val="00C27143"/>
    <w:rsid w:val="00C27490"/>
    <w:rsid w:val="00C27D37"/>
    <w:rsid w:val="00C309E8"/>
    <w:rsid w:val="00C31BCD"/>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160"/>
    <w:rsid w:val="00C42247"/>
    <w:rsid w:val="00C428E7"/>
    <w:rsid w:val="00C438A2"/>
    <w:rsid w:val="00C439BE"/>
    <w:rsid w:val="00C440B6"/>
    <w:rsid w:val="00C451B2"/>
    <w:rsid w:val="00C4539B"/>
    <w:rsid w:val="00C45466"/>
    <w:rsid w:val="00C455C1"/>
    <w:rsid w:val="00C4581D"/>
    <w:rsid w:val="00C45AC2"/>
    <w:rsid w:val="00C47472"/>
    <w:rsid w:val="00C500F0"/>
    <w:rsid w:val="00C504A7"/>
    <w:rsid w:val="00C506C9"/>
    <w:rsid w:val="00C50A16"/>
    <w:rsid w:val="00C51284"/>
    <w:rsid w:val="00C51C9A"/>
    <w:rsid w:val="00C520E6"/>
    <w:rsid w:val="00C52C68"/>
    <w:rsid w:val="00C52D98"/>
    <w:rsid w:val="00C52DA1"/>
    <w:rsid w:val="00C53423"/>
    <w:rsid w:val="00C53D24"/>
    <w:rsid w:val="00C54640"/>
    <w:rsid w:val="00C547A6"/>
    <w:rsid w:val="00C54A3A"/>
    <w:rsid w:val="00C5587F"/>
    <w:rsid w:val="00C55C32"/>
    <w:rsid w:val="00C55DF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E33"/>
    <w:rsid w:val="00C85561"/>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8B8"/>
    <w:rsid w:val="00C93D8C"/>
    <w:rsid w:val="00C93E07"/>
    <w:rsid w:val="00C946CC"/>
    <w:rsid w:val="00C959BD"/>
    <w:rsid w:val="00C95DFE"/>
    <w:rsid w:val="00C95F44"/>
    <w:rsid w:val="00C96331"/>
    <w:rsid w:val="00C96D1B"/>
    <w:rsid w:val="00C97106"/>
    <w:rsid w:val="00C978D4"/>
    <w:rsid w:val="00CA0031"/>
    <w:rsid w:val="00CA0413"/>
    <w:rsid w:val="00CA043A"/>
    <w:rsid w:val="00CA0E51"/>
    <w:rsid w:val="00CA1691"/>
    <w:rsid w:val="00CA39A4"/>
    <w:rsid w:val="00CA41E7"/>
    <w:rsid w:val="00CA4A99"/>
    <w:rsid w:val="00CA4CCC"/>
    <w:rsid w:val="00CA5520"/>
    <w:rsid w:val="00CA5812"/>
    <w:rsid w:val="00CA5984"/>
    <w:rsid w:val="00CA5BD4"/>
    <w:rsid w:val="00CA5C14"/>
    <w:rsid w:val="00CA5E65"/>
    <w:rsid w:val="00CA7019"/>
    <w:rsid w:val="00CA76FC"/>
    <w:rsid w:val="00CA7E7B"/>
    <w:rsid w:val="00CB0236"/>
    <w:rsid w:val="00CB0CB1"/>
    <w:rsid w:val="00CB137C"/>
    <w:rsid w:val="00CB1881"/>
    <w:rsid w:val="00CB1969"/>
    <w:rsid w:val="00CB19E3"/>
    <w:rsid w:val="00CB2C3A"/>
    <w:rsid w:val="00CB2D38"/>
    <w:rsid w:val="00CB2F5E"/>
    <w:rsid w:val="00CB3EB6"/>
    <w:rsid w:val="00CB4137"/>
    <w:rsid w:val="00CB5084"/>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995"/>
    <w:rsid w:val="00CC3D38"/>
    <w:rsid w:val="00CC3F2F"/>
    <w:rsid w:val="00CC40C3"/>
    <w:rsid w:val="00CC4CB4"/>
    <w:rsid w:val="00CC4E5D"/>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32FB"/>
    <w:rsid w:val="00CD4506"/>
    <w:rsid w:val="00CD4F50"/>
    <w:rsid w:val="00CD51CB"/>
    <w:rsid w:val="00CD520B"/>
    <w:rsid w:val="00CD5431"/>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1E"/>
    <w:rsid w:val="00CE6EC4"/>
    <w:rsid w:val="00CE7CBF"/>
    <w:rsid w:val="00CE7F26"/>
    <w:rsid w:val="00CF1226"/>
    <w:rsid w:val="00CF1ABB"/>
    <w:rsid w:val="00CF1E1D"/>
    <w:rsid w:val="00CF24FE"/>
    <w:rsid w:val="00CF287F"/>
    <w:rsid w:val="00CF35D0"/>
    <w:rsid w:val="00CF3B57"/>
    <w:rsid w:val="00CF3DD5"/>
    <w:rsid w:val="00CF43E7"/>
    <w:rsid w:val="00CF4AF7"/>
    <w:rsid w:val="00CF4D20"/>
    <w:rsid w:val="00CF6296"/>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06CA3"/>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60F6"/>
    <w:rsid w:val="00D16740"/>
    <w:rsid w:val="00D16A8B"/>
    <w:rsid w:val="00D16E39"/>
    <w:rsid w:val="00D171DE"/>
    <w:rsid w:val="00D172A4"/>
    <w:rsid w:val="00D17951"/>
    <w:rsid w:val="00D17AD8"/>
    <w:rsid w:val="00D2074E"/>
    <w:rsid w:val="00D2104A"/>
    <w:rsid w:val="00D21A58"/>
    <w:rsid w:val="00D21BB5"/>
    <w:rsid w:val="00D21FFC"/>
    <w:rsid w:val="00D223B6"/>
    <w:rsid w:val="00D223E8"/>
    <w:rsid w:val="00D224E1"/>
    <w:rsid w:val="00D22DC8"/>
    <w:rsid w:val="00D2477B"/>
    <w:rsid w:val="00D2522A"/>
    <w:rsid w:val="00D2531C"/>
    <w:rsid w:val="00D25428"/>
    <w:rsid w:val="00D2553E"/>
    <w:rsid w:val="00D2587F"/>
    <w:rsid w:val="00D2742F"/>
    <w:rsid w:val="00D2754F"/>
    <w:rsid w:val="00D277C5"/>
    <w:rsid w:val="00D279D9"/>
    <w:rsid w:val="00D300AD"/>
    <w:rsid w:val="00D312DC"/>
    <w:rsid w:val="00D31B84"/>
    <w:rsid w:val="00D31C6A"/>
    <w:rsid w:val="00D31EDF"/>
    <w:rsid w:val="00D31FF9"/>
    <w:rsid w:val="00D32149"/>
    <w:rsid w:val="00D32256"/>
    <w:rsid w:val="00D32A27"/>
    <w:rsid w:val="00D32ABC"/>
    <w:rsid w:val="00D330CE"/>
    <w:rsid w:val="00D33693"/>
    <w:rsid w:val="00D33FA4"/>
    <w:rsid w:val="00D34B25"/>
    <w:rsid w:val="00D34C7F"/>
    <w:rsid w:val="00D34F4E"/>
    <w:rsid w:val="00D357F3"/>
    <w:rsid w:val="00D35C0E"/>
    <w:rsid w:val="00D36FBF"/>
    <w:rsid w:val="00D373A8"/>
    <w:rsid w:val="00D3762A"/>
    <w:rsid w:val="00D379A5"/>
    <w:rsid w:val="00D37BB3"/>
    <w:rsid w:val="00D401BE"/>
    <w:rsid w:val="00D4043A"/>
    <w:rsid w:val="00D40DB0"/>
    <w:rsid w:val="00D41093"/>
    <w:rsid w:val="00D41858"/>
    <w:rsid w:val="00D41FC6"/>
    <w:rsid w:val="00D422DB"/>
    <w:rsid w:val="00D42AC2"/>
    <w:rsid w:val="00D4498E"/>
    <w:rsid w:val="00D4515F"/>
    <w:rsid w:val="00D451E8"/>
    <w:rsid w:val="00D466C9"/>
    <w:rsid w:val="00D47275"/>
    <w:rsid w:val="00D517F6"/>
    <w:rsid w:val="00D51AB7"/>
    <w:rsid w:val="00D51E15"/>
    <w:rsid w:val="00D52B7E"/>
    <w:rsid w:val="00D52E2F"/>
    <w:rsid w:val="00D52F59"/>
    <w:rsid w:val="00D53445"/>
    <w:rsid w:val="00D53E3E"/>
    <w:rsid w:val="00D54620"/>
    <w:rsid w:val="00D55904"/>
    <w:rsid w:val="00D55D68"/>
    <w:rsid w:val="00D5614E"/>
    <w:rsid w:val="00D5616F"/>
    <w:rsid w:val="00D56A53"/>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861"/>
    <w:rsid w:val="00D65DEA"/>
    <w:rsid w:val="00D6650F"/>
    <w:rsid w:val="00D66579"/>
    <w:rsid w:val="00D676D3"/>
    <w:rsid w:val="00D67B06"/>
    <w:rsid w:val="00D67BC7"/>
    <w:rsid w:val="00D67C3B"/>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4B"/>
    <w:rsid w:val="00D7536A"/>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4983"/>
    <w:rsid w:val="00D84C00"/>
    <w:rsid w:val="00D85494"/>
    <w:rsid w:val="00D8582C"/>
    <w:rsid w:val="00D85D61"/>
    <w:rsid w:val="00D8616D"/>
    <w:rsid w:val="00D8711B"/>
    <w:rsid w:val="00D87384"/>
    <w:rsid w:val="00D9015D"/>
    <w:rsid w:val="00D90683"/>
    <w:rsid w:val="00D90B2A"/>
    <w:rsid w:val="00D91483"/>
    <w:rsid w:val="00D915C8"/>
    <w:rsid w:val="00D9310B"/>
    <w:rsid w:val="00D931F3"/>
    <w:rsid w:val="00D93726"/>
    <w:rsid w:val="00D93F3E"/>
    <w:rsid w:val="00D9405B"/>
    <w:rsid w:val="00D94942"/>
    <w:rsid w:val="00D95145"/>
    <w:rsid w:val="00D95F31"/>
    <w:rsid w:val="00D96594"/>
    <w:rsid w:val="00D967CB"/>
    <w:rsid w:val="00D968D4"/>
    <w:rsid w:val="00D96EE0"/>
    <w:rsid w:val="00D97BD1"/>
    <w:rsid w:val="00D97EF0"/>
    <w:rsid w:val="00DA00C3"/>
    <w:rsid w:val="00DA01E9"/>
    <w:rsid w:val="00DA06B8"/>
    <w:rsid w:val="00DA14A9"/>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9BB"/>
    <w:rsid w:val="00DB1AFF"/>
    <w:rsid w:val="00DB219A"/>
    <w:rsid w:val="00DB3165"/>
    <w:rsid w:val="00DB31EE"/>
    <w:rsid w:val="00DB4292"/>
    <w:rsid w:val="00DB5023"/>
    <w:rsid w:val="00DB6E46"/>
    <w:rsid w:val="00DB7117"/>
    <w:rsid w:val="00DB7760"/>
    <w:rsid w:val="00DB7DD4"/>
    <w:rsid w:val="00DC00B4"/>
    <w:rsid w:val="00DC0954"/>
    <w:rsid w:val="00DC0DF8"/>
    <w:rsid w:val="00DC15BA"/>
    <w:rsid w:val="00DC18CD"/>
    <w:rsid w:val="00DC1A68"/>
    <w:rsid w:val="00DC30B8"/>
    <w:rsid w:val="00DC478F"/>
    <w:rsid w:val="00DC55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2A62"/>
    <w:rsid w:val="00DD2F2F"/>
    <w:rsid w:val="00DD2F7A"/>
    <w:rsid w:val="00DD36D2"/>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105"/>
    <w:rsid w:val="00DE4BEA"/>
    <w:rsid w:val="00DE5189"/>
    <w:rsid w:val="00DE5DA0"/>
    <w:rsid w:val="00DE7108"/>
    <w:rsid w:val="00DE78D1"/>
    <w:rsid w:val="00DE78FF"/>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2186"/>
    <w:rsid w:val="00E025C2"/>
    <w:rsid w:val="00E026BB"/>
    <w:rsid w:val="00E027C5"/>
    <w:rsid w:val="00E03124"/>
    <w:rsid w:val="00E031C3"/>
    <w:rsid w:val="00E03951"/>
    <w:rsid w:val="00E03DB8"/>
    <w:rsid w:val="00E03F17"/>
    <w:rsid w:val="00E0420C"/>
    <w:rsid w:val="00E0451C"/>
    <w:rsid w:val="00E04EDD"/>
    <w:rsid w:val="00E05E70"/>
    <w:rsid w:val="00E06255"/>
    <w:rsid w:val="00E064BC"/>
    <w:rsid w:val="00E07225"/>
    <w:rsid w:val="00E076B4"/>
    <w:rsid w:val="00E07B55"/>
    <w:rsid w:val="00E10579"/>
    <w:rsid w:val="00E10603"/>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5A8"/>
    <w:rsid w:val="00E30E49"/>
    <w:rsid w:val="00E31A4A"/>
    <w:rsid w:val="00E3344A"/>
    <w:rsid w:val="00E33B29"/>
    <w:rsid w:val="00E33B62"/>
    <w:rsid w:val="00E3403D"/>
    <w:rsid w:val="00E344BD"/>
    <w:rsid w:val="00E34E6C"/>
    <w:rsid w:val="00E353E2"/>
    <w:rsid w:val="00E36345"/>
    <w:rsid w:val="00E36C86"/>
    <w:rsid w:val="00E36CEB"/>
    <w:rsid w:val="00E37A28"/>
    <w:rsid w:val="00E400C7"/>
    <w:rsid w:val="00E40430"/>
    <w:rsid w:val="00E40690"/>
    <w:rsid w:val="00E40AEB"/>
    <w:rsid w:val="00E40E82"/>
    <w:rsid w:val="00E41141"/>
    <w:rsid w:val="00E4143A"/>
    <w:rsid w:val="00E41F68"/>
    <w:rsid w:val="00E424C8"/>
    <w:rsid w:val="00E4251D"/>
    <w:rsid w:val="00E427E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FB0"/>
    <w:rsid w:val="00E601BE"/>
    <w:rsid w:val="00E60A0D"/>
    <w:rsid w:val="00E60A44"/>
    <w:rsid w:val="00E60B5F"/>
    <w:rsid w:val="00E613AE"/>
    <w:rsid w:val="00E61429"/>
    <w:rsid w:val="00E6143A"/>
    <w:rsid w:val="00E61ABB"/>
    <w:rsid w:val="00E61FD7"/>
    <w:rsid w:val="00E623E6"/>
    <w:rsid w:val="00E62BBF"/>
    <w:rsid w:val="00E62C76"/>
    <w:rsid w:val="00E630A2"/>
    <w:rsid w:val="00E630C0"/>
    <w:rsid w:val="00E63107"/>
    <w:rsid w:val="00E6312C"/>
    <w:rsid w:val="00E634E6"/>
    <w:rsid w:val="00E63DCE"/>
    <w:rsid w:val="00E642EF"/>
    <w:rsid w:val="00E64700"/>
    <w:rsid w:val="00E65074"/>
    <w:rsid w:val="00E65857"/>
    <w:rsid w:val="00E65A79"/>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5217"/>
    <w:rsid w:val="00E75DC5"/>
    <w:rsid w:val="00E76537"/>
    <w:rsid w:val="00E77784"/>
    <w:rsid w:val="00E77AF5"/>
    <w:rsid w:val="00E8035B"/>
    <w:rsid w:val="00E820F4"/>
    <w:rsid w:val="00E82263"/>
    <w:rsid w:val="00E823F9"/>
    <w:rsid w:val="00E82C1F"/>
    <w:rsid w:val="00E83671"/>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7132"/>
    <w:rsid w:val="00EB72CD"/>
    <w:rsid w:val="00EB749A"/>
    <w:rsid w:val="00EB76B6"/>
    <w:rsid w:val="00EB7D8A"/>
    <w:rsid w:val="00EC04F7"/>
    <w:rsid w:val="00EC05E2"/>
    <w:rsid w:val="00EC0E84"/>
    <w:rsid w:val="00EC16E2"/>
    <w:rsid w:val="00EC1CE7"/>
    <w:rsid w:val="00EC1DAE"/>
    <w:rsid w:val="00EC26F1"/>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D27"/>
    <w:rsid w:val="00ED3347"/>
    <w:rsid w:val="00ED3441"/>
    <w:rsid w:val="00ED3860"/>
    <w:rsid w:val="00ED3954"/>
    <w:rsid w:val="00ED4174"/>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1258"/>
    <w:rsid w:val="00EE13DA"/>
    <w:rsid w:val="00EE1668"/>
    <w:rsid w:val="00EE1EDB"/>
    <w:rsid w:val="00EE24E2"/>
    <w:rsid w:val="00EE2A20"/>
    <w:rsid w:val="00EE366D"/>
    <w:rsid w:val="00EE40A4"/>
    <w:rsid w:val="00EE5454"/>
    <w:rsid w:val="00EE59B5"/>
    <w:rsid w:val="00EE5FB7"/>
    <w:rsid w:val="00EE6783"/>
    <w:rsid w:val="00EE678B"/>
    <w:rsid w:val="00EE7B54"/>
    <w:rsid w:val="00EE7C47"/>
    <w:rsid w:val="00EE7C88"/>
    <w:rsid w:val="00EE7C8B"/>
    <w:rsid w:val="00EF0209"/>
    <w:rsid w:val="00EF07FB"/>
    <w:rsid w:val="00EF0EA4"/>
    <w:rsid w:val="00EF1E97"/>
    <w:rsid w:val="00EF2436"/>
    <w:rsid w:val="00EF2547"/>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86"/>
    <w:rsid w:val="00F07AA1"/>
    <w:rsid w:val="00F105AE"/>
    <w:rsid w:val="00F10618"/>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59B"/>
    <w:rsid w:val="00F15BFF"/>
    <w:rsid w:val="00F16669"/>
    <w:rsid w:val="00F16E4F"/>
    <w:rsid w:val="00F171B2"/>
    <w:rsid w:val="00F17244"/>
    <w:rsid w:val="00F20931"/>
    <w:rsid w:val="00F20ECE"/>
    <w:rsid w:val="00F213A0"/>
    <w:rsid w:val="00F21D54"/>
    <w:rsid w:val="00F21EF4"/>
    <w:rsid w:val="00F221A2"/>
    <w:rsid w:val="00F23113"/>
    <w:rsid w:val="00F23255"/>
    <w:rsid w:val="00F23393"/>
    <w:rsid w:val="00F23759"/>
    <w:rsid w:val="00F24644"/>
    <w:rsid w:val="00F25947"/>
    <w:rsid w:val="00F262D6"/>
    <w:rsid w:val="00F26F33"/>
    <w:rsid w:val="00F273D5"/>
    <w:rsid w:val="00F2748A"/>
    <w:rsid w:val="00F2786C"/>
    <w:rsid w:val="00F300A8"/>
    <w:rsid w:val="00F302C6"/>
    <w:rsid w:val="00F30400"/>
    <w:rsid w:val="00F3079E"/>
    <w:rsid w:val="00F31289"/>
    <w:rsid w:val="00F31293"/>
    <w:rsid w:val="00F3232D"/>
    <w:rsid w:val="00F3399B"/>
    <w:rsid w:val="00F33F4B"/>
    <w:rsid w:val="00F346ED"/>
    <w:rsid w:val="00F34945"/>
    <w:rsid w:val="00F34E1E"/>
    <w:rsid w:val="00F3570C"/>
    <w:rsid w:val="00F363A4"/>
    <w:rsid w:val="00F36765"/>
    <w:rsid w:val="00F368FF"/>
    <w:rsid w:val="00F37068"/>
    <w:rsid w:val="00F37E5F"/>
    <w:rsid w:val="00F37F3F"/>
    <w:rsid w:val="00F40992"/>
    <w:rsid w:val="00F40F72"/>
    <w:rsid w:val="00F41596"/>
    <w:rsid w:val="00F41D8B"/>
    <w:rsid w:val="00F42121"/>
    <w:rsid w:val="00F424B3"/>
    <w:rsid w:val="00F428B1"/>
    <w:rsid w:val="00F428B4"/>
    <w:rsid w:val="00F4345D"/>
    <w:rsid w:val="00F4387B"/>
    <w:rsid w:val="00F4387F"/>
    <w:rsid w:val="00F44120"/>
    <w:rsid w:val="00F45921"/>
    <w:rsid w:val="00F45B91"/>
    <w:rsid w:val="00F46639"/>
    <w:rsid w:val="00F476FD"/>
    <w:rsid w:val="00F50183"/>
    <w:rsid w:val="00F50D92"/>
    <w:rsid w:val="00F51765"/>
    <w:rsid w:val="00F51A51"/>
    <w:rsid w:val="00F51BC6"/>
    <w:rsid w:val="00F51CB4"/>
    <w:rsid w:val="00F52200"/>
    <w:rsid w:val="00F52324"/>
    <w:rsid w:val="00F52950"/>
    <w:rsid w:val="00F52C9D"/>
    <w:rsid w:val="00F533F1"/>
    <w:rsid w:val="00F55185"/>
    <w:rsid w:val="00F55679"/>
    <w:rsid w:val="00F561E3"/>
    <w:rsid w:val="00F565E6"/>
    <w:rsid w:val="00F5673A"/>
    <w:rsid w:val="00F56AFA"/>
    <w:rsid w:val="00F575E2"/>
    <w:rsid w:val="00F579FF"/>
    <w:rsid w:val="00F600E0"/>
    <w:rsid w:val="00F605EC"/>
    <w:rsid w:val="00F60F60"/>
    <w:rsid w:val="00F611A7"/>
    <w:rsid w:val="00F612CE"/>
    <w:rsid w:val="00F6133C"/>
    <w:rsid w:val="00F61405"/>
    <w:rsid w:val="00F621D3"/>
    <w:rsid w:val="00F62227"/>
    <w:rsid w:val="00F624A7"/>
    <w:rsid w:val="00F62AB6"/>
    <w:rsid w:val="00F65A3C"/>
    <w:rsid w:val="00F66009"/>
    <w:rsid w:val="00F66282"/>
    <w:rsid w:val="00F6639E"/>
    <w:rsid w:val="00F670E9"/>
    <w:rsid w:val="00F67AF1"/>
    <w:rsid w:val="00F67D8B"/>
    <w:rsid w:val="00F700CD"/>
    <w:rsid w:val="00F701C5"/>
    <w:rsid w:val="00F70961"/>
    <w:rsid w:val="00F70A8F"/>
    <w:rsid w:val="00F711E1"/>
    <w:rsid w:val="00F71397"/>
    <w:rsid w:val="00F72389"/>
    <w:rsid w:val="00F72516"/>
    <w:rsid w:val="00F72FB4"/>
    <w:rsid w:val="00F732CF"/>
    <w:rsid w:val="00F735E5"/>
    <w:rsid w:val="00F73B82"/>
    <w:rsid w:val="00F73E80"/>
    <w:rsid w:val="00F740A0"/>
    <w:rsid w:val="00F7422B"/>
    <w:rsid w:val="00F7469C"/>
    <w:rsid w:val="00F7492E"/>
    <w:rsid w:val="00F74945"/>
    <w:rsid w:val="00F749A3"/>
    <w:rsid w:val="00F74AE8"/>
    <w:rsid w:val="00F76721"/>
    <w:rsid w:val="00F76C11"/>
    <w:rsid w:val="00F77021"/>
    <w:rsid w:val="00F770AB"/>
    <w:rsid w:val="00F77DD4"/>
    <w:rsid w:val="00F77E61"/>
    <w:rsid w:val="00F80221"/>
    <w:rsid w:val="00F80411"/>
    <w:rsid w:val="00F80A0A"/>
    <w:rsid w:val="00F80C81"/>
    <w:rsid w:val="00F815AC"/>
    <w:rsid w:val="00F83B33"/>
    <w:rsid w:val="00F83CAE"/>
    <w:rsid w:val="00F840BF"/>
    <w:rsid w:val="00F8427A"/>
    <w:rsid w:val="00F843DF"/>
    <w:rsid w:val="00F84646"/>
    <w:rsid w:val="00F84899"/>
    <w:rsid w:val="00F85585"/>
    <w:rsid w:val="00F859F0"/>
    <w:rsid w:val="00F85CC1"/>
    <w:rsid w:val="00F8643C"/>
    <w:rsid w:val="00F86B5D"/>
    <w:rsid w:val="00F87634"/>
    <w:rsid w:val="00F87C13"/>
    <w:rsid w:val="00F87C5A"/>
    <w:rsid w:val="00F87E29"/>
    <w:rsid w:val="00F87F18"/>
    <w:rsid w:val="00F87F68"/>
    <w:rsid w:val="00F90C4D"/>
    <w:rsid w:val="00F911E1"/>
    <w:rsid w:val="00F9167D"/>
    <w:rsid w:val="00F91CB2"/>
    <w:rsid w:val="00F927E8"/>
    <w:rsid w:val="00F9289C"/>
    <w:rsid w:val="00F92FC1"/>
    <w:rsid w:val="00F932D1"/>
    <w:rsid w:val="00F93DBC"/>
    <w:rsid w:val="00F93E41"/>
    <w:rsid w:val="00F94644"/>
    <w:rsid w:val="00F952E4"/>
    <w:rsid w:val="00F9537B"/>
    <w:rsid w:val="00F953C2"/>
    <w:rsid w:val="00F96079"/>
    <w:rsid w:val="00F963FC"/>
    <w:rsid w:val="00F97CF1"/>
    <w:rsid w:val="00FA015F"/>
    <w:rsid w:val="00FA082B"/>
    <w:rsid w:val="00FA0FAC"/>
    <w:rsid w:val="00FA10F7"/>
    <w:rsid w:val="00FA1DA2"/>
    <w:rsid w:val="00FA313F"/>
    <w:rsid w:val="00FA3414"/>
    <w:rsid w:val="00FA347A"/>
    <w:rsid w:val="00FA3CDE"/>
    <w:rsid w:val="00FA49B7"/>
    <w:rsid w:val="00FA5043"/>
    <w:rsid w:val="00FA60C1"/>
    <w:rsid w:val="00FA65A3"/>
    <w:rsid w:val="00FA6F8B"/>
    <w:rsid w:val="00FA727C"/>
    <w:rsid w:val="00FA7A30"/>
    <w:rsid w:val="00FB033F"/>
    <w:rsid w:val="00FB0880"/>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24F4"/>
    <w:rsid w:val="00FE2560"/>
    <w:rsid w:val="00FE35D0"/>
    <w:rsid w:val="00FE42ED"/>
    <w:rsid w:val="00FE4E06"/>
    <w:rsid w:val="00FE55A7"/>
    <w:rsid w:val="00FE5C5A"/>
    <w:rsid w:val="00FE601E"/>
    <w:rsid w:val="00FE60F1"/>
    <w:rsid w:val="00FE6432"/>
    <w:rsid w:val="00FE72A0"/>
    <w:rsid w:val="00FF0050"/>
    <w:rsid w:val="00FF045F"/>
    <w:rsid w:val="00FF13D4"/>
    <w:rsid w:val="00FF2053"/>
    <w:rsid w:val="00FF3B37"/>
    <w:rsid w:val="00FF3CC7"/>
    <w:rsid w:val="00FF3D6F"/>
    <w:rsid w:val="00FF441A"/>
    <w:rsid w:val="00FF4BD8"/>
    <w:rsid w:val="00FF4D11"/>
    <w:rsid w:val="00FF5214"/>
    <w:rsid w:val="00FF596E"/>
    <w:rsid w:val="00FF5B59"/>
    <w:rsid w:val="00FF5BFD"/>
    <w:rsid w:val="00FF5E27"/>
    <w:rsid w:val="00FF6095"/>
    <w:rsid w:val="00FF62FE"/>
    <w:rsid w:val="00FF6553"/>
    <w:rsid w:val="00FF70BD"/>
    <w:rsid w:val="00FF7124"/>
    <w:rsid w:val="00FF7A39"/>
    <w:rsid w:val="00FF7DD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C35"/>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apple-converted-space">
    <w:name w:val="apple-converted-space"/>
    <w:basedOn w:val="Fuentedeprrafopredeter"/>
    <w:rsid w:val="003A06CA"/>
  </w:style>
  <w:style w:type="paragraph" w:styleId="Revisin">
    <w:name w:val="Revision"/>
    <w:hidden/>
    <w:uiPriority w:val="99"/>
    <w:semiHidden/>
    <w:rsid w:val="00C31BCD"/>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4230913">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2669287">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775389">
      <w:bodyDiv w:val="1"/>
      <w:marLeft w:val="0"/>
      <w:marRight w:val="0"/>
      <w:marTop w:val="0"/>
      <w:marBottom w:val="0"/>
      <w:divBdr>
        <w:top w:val="none" w:sz="0" w:space="0" w:color="auto"/>
        <w:left w:val="none" w:sz="0" w:space="0" w:color="auto"/>
        <w:bottom w:val="none" w:sz="0" w:space="0" w:color="auto"/>
        <w:right w:val="none" w:sz="0" w:space="0" w:color="auto"/>
      </w:divBdr>
      <w:divsChild>
        <w:div w:id="1940679825">
          <w:marLeft w:val="0"/>
          <w:marRight w:val="0"/>
          <w:marTop w:val="0"/>
          <w:marBottom w:val="0"/>
          <w:divBdr>
            <w:top w:val="none" w:sz="0" w:space="0" w:color="auto"/>
            <w:left w:val="none" w:sz="0" w:space="0" w:color="auto"/>
            <w:bottom w:val="none" w:sz="0" w:space="0" w:color="auto"/>
            <w:right w:val="none" w:sz="0" w:space="0" w:color="auto"/>
          </w:divBdr>
          <w:divsChild>
            <w:div w:id="1033657070">
              <w:marLeft w:val="0"/>
              <w:marRight w:val="0"/>
              <w:marTop w:val="0"/>
              <w:marBottom w:val="0"/>
              <w:divBdr>
                <w:top w:val="none" w:sz="0" w:space="0" w:color="auto"/>
                <w:left w:val="none" w:sz="0" w:space="0" w:color="auto"/>
                <w:bottom w:val="none" w:sz="0" w:space="0" w:color="auto"/>
                <w:right w:val="none" w:sz="0" w:space="0" w:color="auto"/>
              </w:divBdr>
              <w:divsChild>
                <w:div w:id="18856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474421">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85334">
      <w:bodyDiv w:val="1"/>
      <w:marLeft w:val="0"/>
      <w:marRight w:val="0"/>
      <w:marTop w:val="0"/>
      <w:marBottom w:val="0"/>
      <w:divBdr>
        <w:top w:val="none" w:sz="0" w:space="0" w:color="auto"/>
        <w:left w:val="none" w:sz="0" w:space="0" w:color="auto"/>
        <w:bottom w:val="none" w:sz="0" w:space="0" w:color="auto"/>
        <w:right w:val="none" w:sz="0" w:space="0" w:color="auto"/>
      </w:divBdr>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5783682">
      <w:bodyDiv w:val="1"/>
      <w:marLeft w:val="0"/>
      <w:marRight w:val="0"/>
      <w:marTop w:val="0"/>
      <w:marBottom w:val="0"/>
      <w:divBdr>
        <w:top w:val="none" w:sz="0" w:space="0" w:color="auto"/>
        <w:left w:val="none" w:sz="0" w:space="0" w:color="auto"/>
        <w:bottom w:val="none" w:sz="0" w:space="0" w:color="auto"/>
        <w:right w:val="none" w:sz="0" w:space="0" w:color="auto"/>
      </w:divBdr>
      <w:divsChild>
        <w:div w:id="1875657694">
          <w:marLeft w:val="0"/>
          <w:marRight w:val="0"/>
          <w:marTop w:val="0"/>
          <w:marBottom w:val="0"/>
          <w:divBdr>
            <w:top w:val="none" w:sz="0" w:space="0" w:color="auto"/>
            <w:left w:val="none" w:sz="0" w:space="0" w:color="auto"/>
            <w:bottom w:val="none" w:sz="0" w:space="0" w:color="auto"/>
            <w:right w:val="none" w:sz="0" w:space="0" w:color="auto"/>
          </w:divBdr>
          <w:divsChild>
            <w:div w:id="1323243288">
              <w:marLeft w:val="0"/>
              <w:marRight w:val="0"/>
              <w:marTop w:val="0"/>
              <w:marBottom w:val="0"/>
              <w:divBdr>
                <w:top w:val="none" w:sz="0" w:space="0" w:color="auto"/>
                <w:left w:val="none" w:sz="0" w:space="0" w:color="auto"/>
                <w:bottom w:val="none" w:sz="0" w:space="0" w:color="auto"/>
                <w:right w:val="none" w:sz="0" w:space="0" w:color="auto"/>
              </w:divBdr>
              <w:divsChild>
                <w:div w:id="8187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0090013">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20588">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441662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39000403">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2229559">
      <w:bodyDiv w:val="1"/>
      <w:marLeft w:val="0"/>
      <w:marRight w:val="0"/>
      <w:marTop w:val="0"/>
      <w:marBottom w:val="0"/>
      <w:divBdr>
        <w:top w:val="none" w:sz="0" w:space="0" w:color="auto"/>
        <w:left w:val="none" w:sz="0" w:space="0" w:color="auto"/>
        <w:bottom w:val="none" w:sz="0" w:space="0" w:color="auto"/>
        <w:right w:val="none" w:sz="0" w:space="0" w:color="auto"/>
      </w:divBdr>
    </w:div>
    <w:div w:id="873150604">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83180127">
      <w:bodyDiv w:val="1"/>
      <w:marLeft w:val="0"/>
      <w:marRight w:val="0"/>
      <w:marTop w:val="0"/>
      <w:marBottom w:val="0"/>
      <w:divBdr>
        <w:top w:val="none" w:sz="0" w:space="0" w:color="auto"/>
        <w:left w:val="none" w:sz="0" w:space="0" w:color="auto"/>
        <w:bottom w:val="none" w:sz="0" w:space="0" w:color="auto"/>
        <w:right w:val="none" w:sz="0" w:space="0" w:color="auto"/>
      </w:divBdr>
      <w:divsChild>
        <w:div w:id="1920870200">
          <w:marLeft w:val="0"/>
          <w:marRight w:val="0"/>
          <w:marTop w:val="0"/>
          <w:marBottom w:val="0"/>
          <w:divBdr>
            <w:top w:val="none" w:sz="0" w:space="0" w:color="auto"/>
            <w:left w:val="none" w:sz="0" w:space="0" w:color="auto"/>
            <w:bottom w:val="none" w:sz="0" w:space="0" w:color="auto"/>
            <w:right w:val="none" w:sz="0" w:space="0" w:color="auto"/>
          </w:divBdr>
          <w:divsChild>
            <w:div w:id="851648674">
              <w:marLeft w:val="0"/>
              <w:marRight w:val="0"/>
              <w:marTop w:val="0"/>
              <w:marBottom w:val="0"/>
              <w:divBdr>
                <w:top w:val="none" w:sz="0" w:space="0" w:color="auto"/>
                <w:left w:val="none" w:sz="0" w:space="0" w:color="auto"/>
                <w:bottom w:val="none" w:sz="0" w:space="0" w:color="auto"/>
                <w:right w:val="none" w:sz="0" w:space="0" w:color="auto"/>
              </w:divBdr>
              <w:divsChild>
                <w:div w:id="12373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13730">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4774086">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4996109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315837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4856602">
      <w:bodyDiv w:val="1"/>
      <w:marLeft w:val="0"/>
      <w:marRight w:val="0"/>
      <w:marTop w:val="0"/>
      <w:marBottom w:val="0"/>
      <w:divBdr>
        <w:top w:val="none" w:sz="0" w:space="0" w:color="auto"/>
        <w:left w:val="none" w:sz="0" w:space="0" w:color="auto"/>
        <w:bottom w:val="none" w:sz="0" w:space="0" w:color="auto"/>
        <w:right w:val="none" w:sz="0" w:space="0" w:color="auto"/>
      </w:divBdr>
      <w:divsChild>
        <w:div w:id="1354383366">
          <w:marLeft w:val="0"/>
          <w:marRight w:val="0"/>
          <w:marTop w:val="0"/>
          <w:marBottom w:val="0"/>
          <w:divBdr>
            <w:top w:val="none" w:sz="0" w:space="0" w:color="auto"/>
            <w:left w:val="none" w:sz="0" w:space="0" w:color="auto"/>
            <w:bottom w:val="none" w:sz="0" w:space="0" w:color="auto"/>
            <w:right w:val="none" w:sz="0" w:space="0" w:color="auto"/>
          </w:divBdr>
          <w:divsChild>
            <w:div w:id="932206033">
              <w:marLeft w:val="0"/>
              <w:marRight w:val="0"/>
              <w:marTop w:val="0"/>
              <w:marBottom w:val="0"/>
              <w:divBdr>
                <w:top w:val="none" w:sz="0" w:space="0" w:color="auto"/>
                <w:left w:val="none" w:sz="0" w:space="0" w:color="auto"/>
                <w:bottom w:val="none" w:sz="0" w:space="0" w:color="auto"/>
                <w:right w:val="none" w:sz="0" w:space="0" w:color="auto"/>
              </w:divBdr>
              <w:divsChild>
                <w:div w:id="13236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51950">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465043">
      <w:bodyDiv w:val="1"/>
      <w:marLeft w:val="0"/>
      <w:marRight w:val="0"/>
      <w:marTop w:val="0"/>
      <w:marBottom w:val="0"/>
      <w:divBdr>
        <w:top w:val="none" w:sz="0" w:space="0" w:color="auto"/>
        <w:left w:val="none" w:sz="0" w:space="0" w:color="auto"/>
        <w:bottom w:val="none" w:sz="0" w:space="0" w:color="auto"/>
        <w:right w:val="none" w:sz="0" w:space="0" w:color="auto"/>
      </w:divBdr>
      <w:divsChild>
        <w:div w:id="960645241">
          <w:marLeft w:val="0"/>
          <w:marRight w:val="0"/>
          <w:marTop w:val="0"/>
          <w:marBottom w:val="0"/>
          <w:divBdr>
            <w:top w:val="none" w:sz="0" w:space="0" w:color="auto"/>
            <w:left w:val="none" w:sz="0" w:space="0" w:color="auto"/>
            <w:bottom w:val="none" w:sz="0" w:space="0" w:color="auto"/>
            <w:right w:val="none" w:sz="0" w:space="0" w:color="auto"/>
          </w:divBdr>
          <w:divsChild>
            <w:div w:id="2127236759">
              <w:marLeft w:val="0"/>
              <w:marRight w:val="0"/>
              <w:marTop w:val="0"/>
              <w:marBottom w:val="0"/>
              <w:divBdr>
                <w:top w:val="none" w:sz="0" w:space="0" w:color="auto"/>
                <w:left w:val="none" w:sz="0" w:space="0" w:color="auto"/>
                <w:bottom w:val="none" w:sz="0" w:space="0" w:color="auto"/>
                <w:right w:val="none" w:sz="0" w:space="0" w:color="auto"/>
              </w:divBdr>
              <w:divsChild>
                <w:div w:id="17407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4136">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7814723">
      <w:bodyDiv w:val="1"/>
      <w:marLeft w:val="0"/>
      <w:marRight w:val="0"/>
      <w:marTop w:val="0"/>
      <w:marBottom w:val="0"/>
      <w:divBdr>
        <w:top w:val="none" w:sz="0" w:space="0" w:color="auto"/>
        <w:left w:val="none" w:sz="0" w:space="0" w:color="auto"/>
        <w:bottom w:val="none" w:sz="0" w:space="0" w:color="auto"/>
        <w:right w:val="none" w:sz="0" w:space="0" w:color="auto"/>
      </w:divBdr>
      <w:divsChild>
        <w:div w:id="230234604">
          <w:marLeft w:val="0"/>
          <w:marRight w:val="0"/>
          <w:marTop w:val="0"/>
          <w:marBottom w:val="0"/>
          <w:divBdr>
            <w:top w:val="none" w:sz="0" w:space="0" w:color="auto"/>
            <w:left w:val="none" w:sz="0" w:space="0" w:color="auto"/>
            <w:bottom w:val="none" w:sz="0" w:space="0" w:color="auto"/>
            <w:right w:val="none" w:sz="0" w:space="0" w:color="auto"/>
          </w:divBdr>
          <w:divsChild>
            <w:div w:id="2049253132">
              <w:marLeft w:val="0"/>
              <w:marRight w:val="0"/>
              <w:marTop w:val="0"/>
              <w:marBottom w:val="0"/>
              <w:divBdr>
                <w:top w:val="none" w:sz="0" w:space="0" w:color="auto"/>
                <w:left w:val="none" w:sz="0" w:space="0" w:color="auto"/>
                <w:bottom w:val="none" w:sz="0" w:space="0" w:color="auto"/>
                <w:right w:val="none" w:sz="0" w:space="0" w:color="auto"/>
              </w:divBdr>
              <w:divsChild>
                <w:div w:id="167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57060202">
      <w:bodyDiv w:val="1"/>
      <w:marLeft w:val="0"/>
      <w:marRight w:val="0"/>
      <w:marTop w:val="0"/>
      <w:marBottom w:val="0"/>
      <w:divBdr>
        <w:top w:val="none" w:sz="0" w:space="0" w:color="auto"/>
        <w:left w:val="none" w:sz="0" w:space="0" w:color="auto"/>
        <w:bottom w:val="none" w:sz="0" w:space="0" w:color="auto"/>
        <w:right w:val="none" w:sz="0" w:space="0" w:color="auto"/>
      </w:divBdr>
      <w:divsChild>
        <w:div w:id="198133236">
          <w:marLeft w:val="0"/>
          <w:marRight w:val="0"/>
          <w:marTop w:val="0"/>
          <w:marBottom w:val="0"/>
          <w:divBdr>
            <w:top w:val="single" w:sz="6" w:space="0" w:color="BEE5EB"/>
            <w:left w:val="single" w:sz="6" w:space="0" w:color="BEE5EB"/>
            <w:bottom w:val="single" w:sz="6" w:space="0" w:color="BEE5EB"/>
            <w:right w:val="single" w:sz="6" w:space="0" w:color="BEE5EB"/>
          </w:divBdr>
        </w:div>
        <w:div w:id="997346022">
          <w:marLeft w:val="0"/>
          <w:marRight w:val="0"/>
          <w:marTop w:val="0"/>
          <w:marBottom w:val="0"/>
          <w:divBdr>
            <w:top w:val="single" w:sz="6" w:space="0" w:color="C4C4C4"/>
            <w:left w:val="single" w:sz="6" w:space="0" w:color="C4C4C4"/>
            <w:bottom w:val="single" w:sz="6" w:space="0" w:color="C4C4C4"/>
            <w:right w:val="single" w:sz="6" w:space="0" w:color="C4C4C4"/>
          </w:divBdr>
        </w:div>
      </w:divsChild>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4208209">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procuraduria.gov.co/iemp/media/file/img/noticias/Los%20mecanismos%20alternativos%20%20de%20soluci%C3%B3n%20de%20conflictos%20en%20Colombia%20+%20MAS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11</TotalTime>
  <Pages>18</Pages>
  <Words>6235</Words>
  <Characters>34293</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Torres</cp:lastModifiedBy>
  <cp:revision>9</cp:revision>
  <cp:lastPrinted>2020-01-30T15:05:00Z</cp:lastPrinted>
  <dcterms:created xsi:type="dcterms:W3CDTF">2021-04-06T17:19:00Z</dcterms:created>
  <dcterms:modified xsi:type="dcterms:W3CDTF">2021-04-07T13:56:00Z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