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766896"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766896">
        <w:rPr>
          <w:rFonts w:ascii="Arial" w:hAnsi="Arial" w:cs="Arial"/>
          <w:bCs/>
          <w:color w:val="000000" w:themeColor="text1"/>
          <w:sz w:val="16"/>
          <w:szCs w:val="16"/>
          <w:lang w:val="es-ES_tradnl" w:eastAsia="es-ES"/>
        </w:rPr>
        <w:t>CCE-DES-FM-17</w:t>
      </w:r>
      <w:bookmarkEnd w:id="0"/>
      <w:bookmarkEnd w:id="1"/>
    </w:p>
    <w:p w14:paraId="17A05F16" w14:textId="77777777" w:rsidR="00580772" w:rsidRPr="00766896" w:rsidRDefault="00580772" w:rsidP="00E52CE7">
      <w:pPr>
        <w:jc w:val="both"/>
        <w:rPr>
          <w:rFonts w:ascii="Arial" w:eastAsia="Calibri" w:hAnsi="Arial" w:cs="Arial"/>
          <w:b/>
          <w:color w:val="000000" w:themeColor="text1"/>
          <w:sz w:val="22"/>
        </w:rPr>
      </w:pPr>
    </w:p>
    <w:p w14:paraId="067093DE" w14:textId="44449F4E" w:rsidR="00E52CE7" w:rsidRPr="00766896" w:rsidRDefault="00E52CE7" w:rsidP="00E52CE7">
      <w:pPr>
        <w:jc w:val="both"/>
        <w:rPr>
          <w:rFonts w:ascii="Arial" w:eastAsia="Calibri" w:hAnsi="Arial" w:cs="Arial"/>
          <w:b/>
          <w:color w:val="000000" w:themeColor="text1"/>
          <w:sz w:val="22"/>
        </w:rPr>
      </w:pPr>
      <w:r w:rsidRPr="00766896">
        <w:rPr>
          <w:rFonts w:ascii="Arial" w:eastAsia="Calibri" w:hAnsi="Arial" w:cs="Arial"/>
          <w:b/>
          <w:color w:val="000000" w:themeColor="text1"/>
          <w:sz w:val="22"/>
        </w:rPr>
        <w:t xml:space="preserve">LEY DE EMPRENDIMIENTO – Finalidad </w:t>
      </w:r>
    </w:p>
    <w:p w14:paraId="27E57169" w14:textId="77777777" w:rsidR="00E52CE7" w:rsidRPr="00766896" w:rsidRDefault="00E52CE7" w:rsidP="00E52CE7">
      <w:pPr>
        <w:jc w:val="both"/>
        <w:rPr>
          <w:rFonts w:ascii="Arial" w:eastAsia="Calibri" w:hAnsi="Arial" w:cs="Arial"/>
          <w:color w:val="000000" w:themeColor="text1"/>
          <w:sz w:val="20"/>
          <w:szCs w:val="20"/>
        </w:rPr>
      </w:pPr>
    </w:p>
    <w:p w14:paraId="30966290" w14:textId="47CB1B1C" w:rsidR="003B6E98" w:rsidRPr="00766896" w:rsidRDefault="003B6E98" w:rsidP="003B6E98">
      <w:pPr>
        <w:jc w:val="both"/>
        <w:rPr>
          <w:rFonts w:ascii="Arial" w:eastAsia="Calibri" w:hAnsi="Arial" w:cs="Arial"/>
          <w:bCs/>
          <w:color w:val="000000" w:themeColor="text1"/>
          <w:sz w:val="20"/>
          <w:szCs w:val="20"/>
        </w:rPr>
      </w:pPr>
      <w:r w:rsidRPr="00766896">
        <w:rPr>
          <w:rFonts w:ascii="Arial" w:eastAsia="Calibri" w:hAnsi="Arial" w:cs="Arial"/>
          <w:bCs/>
          <w:color w:val="000000" w:themeColor="text1"/>
          <w:sz w:val="20"/>
          <w:szCs w:val="20"/>
        </w:rPr>
        <w:t>La Ley 2069 de 2020 guarda 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p>
    <w:p w14:paraId="3423CA52" w14:textId="77777777" w:rsidR="00E52CE7" w:rsidRPr="00766896" w:rsidRDefault="00E52CE7" w:rsidP="00E52CE7">
      <w:pPr>
        <w:jc w:val="both"/>
        <w:rPr>
          <w:rFonts w:ascii="Arial" w:eastAsia="Calibri" w:hAnsi="Arial" w:cs="Arial"/>
          <w:b/>
          <w:color w:val="000000" w:themeColor="text1"/>
          <w:sz w:val="20"/>
          <w:szCs w:val="20"/>
        </w:rPr>
      </w:pPr>
    </w:p>
    <w:p w14:paraId="5C1588B3" w14:textId="0F521F01" w:rsidR="00E52CE7" w:rsidRPr="00766896" w:rsidRDefault="00E52CE7" w:rsidP="00E52CE7">
      <w:pPr>
        <w:jc w:val="both"/>
        <w:rPr>
          <w:rFonts w:ascii="Arial" w:eastAsia="Calibri" w:hAnsi="Arial" w:cs="Arial"/>
          <w:b/>
          <w:color w:val="000000" w:themeColor="text1"/>
          <w:sz w:val="22"/>
        </w:rPr>
      </w:pPr>
      <w:r w:rsidRPr="00766896">
        <w:rPr>
          <w:rFonts w:ascii="Arial" w:eastAsia="Calibri" w:hAnsi="Arial" w:cs="Arial"/>
          <w:b/>
          <w:color w:val="000000" w:themeColor="text1"/>
          <w:sz w:val="22"/>
        </w:rPr>
        <w:t>RELACIÓN ENTRE LEY Y REGLAMENTO – Tesis de la aplicación directa – Tesis de la reglamentación – Diferencias</w:t>
      </w:r>
    </w:p>
    <w:p w14:paraId="412A1DDC" w14:textId="77777777" w:rsidR="00E52CE7" w:rsidRPr="00766896" w:rsidRDefault="00E52CE7" w:rsidP="00E52CE7">
      <w:pPr>
        <w:jc w:val="both"/>
        <w:rPr>
          <w:rFonts w:ascii="Arial" w:eastAsia="Calibri" w:hAnsi="Arial" w:cs="Arial"/>
          <w:b/>
          <w:color w:val="000000" w:themeColor="text1"/>
          <w:sz w:val="20"/>
          <w:szCs w:val="20"/>
        </w:rPr>
      </w:pPr>
    </w:p>
    <w:p w14:paraId="07C84ACE" w14:textId="6CCA1C64" w:rsidR="00E52CE7" w:rsidRPr="00CB4A21" w:rsidRDefault="00E52CE7" w:rsidP="00E52CE7">
      <w:pPr>
        <w:jc w:val="both"/>
        <w:rPr>
          <w:rFonts w:ascii="Arial" w:eastAsia="Calibri" w:hAnsi="Arial" w:cs="Arial"/>
          <w:color w:val="000000" w:themeColor="text1"/>
          <w:sz w:val="20"/>
          <w:szCs w:val="20"/>
        </w:rPr>
      </w:pPr>
      <w:r w:rsidRPr="00CB4A21">
        <w:rPr>
          <w:rFonts w:ascii="Arial" w:eastAsia="Calibri" w:hAnsi="Arial" w:cs="Arial"/>
          <w:bCs/>
          <w:color w:val="000000" w:themeColor="text1"/>
          <w:sz w:val="20"/>
          <w:szCs w:val="20"/>
        </w:rPr>
        <w:t xml:space="preserve">[…] </w:t>
      </w:r>
      <w:r w:rsidR="00CB4A21" w:rsidRPr="00CB4A21">
        <w:rPr>
          <w:rFonts w:ascii="Arial" w:eastAsia="Calibri" w:hAnsi="Arial" w:cs="Arial"/>
          <w:bCs/>
          <w:color w:val="000000" w:themeColor="text1"/>
          <w:sz w:val="20"/>
          <w:szCs w:val="20"/>
        </w:rPr>
        <w:t xml:space="preserve">quien opte por la </w:t>
      </w:r>
      <w:r w:rsidR="00CB4A21" w:rsidRPr="00CB4A21">
        <w:rPr>
          <w:rFonts w:ascii="Arial" w:eastAsia="Calibri" w:hAnsi="Arial" w:cs="Arial"/>
          <w:bCs/>
          <w:i/>
          <w:iCs/>
          <w:color w:val="000000" w:themeColor="text1"/>
          <w:sz w:val="20"/>
          <w:szCs w:val="20"/>
        </w:rPr>
        <w:t>tesis de la aplicación directa</w:t>
      </w:r>
      <w:r w:rsidR="00CB4A21" w:rsidRPr="00CB4A21">
        <w:rPr>
          <w:rFonts w:ascii="Arial" w:eastAsia="Calibri" w:hAnsi="Arial" w:cs="Arial"/>
          <w:bCs/>
          <w:color w:val="000000" w:themeColor="text1"/>
          <w:sz w:val="20"/>
          <w:szCs w:val="20"/>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w:t>
      </w:r>
    </w:p>
    <w:p w14:paraId="29EA780F" w14:textId="77777777" w:rsidR="00E52CE7" w:rsidRPr="00766896" w:rsidRDefault="00E52CE7" w:rsidP="00E52CE7">
      <w:pPr>
        <w:spacing w:after="120"/>
        <w:jc w:val="both"/>
        <w:rPr>
          <w:rFonts w:ascii="Arial" w:eastAsia="Calibri" w:hAnsi="Arial" w:cs="Arial"/>
          <w:color w:val="000000" w:themeColor="text1"/>
          <w:sz w:val="20"/>
          <w:szCs w:val="20"/>
        </w:rPr>
      </w:pPr>
      <w:r w:rsidRPr="00766896">
        <w:rPr>
          <w:rFonts w:ascii="Arial" w:eastAsia="Calibri" w:hAnsi="Arial" w:cs="Arial"/>
          <w:color w:val="000000" w:themeColor="text1"/>
          <w:sz w:val="20"/>
          <w:szCs w:val="20"/>
        </w:rPr>
        <w:t>[…]</w:t>
      </w:r>
    </w:p>
    <w:p w14:paraId="230CAC45" w14:textId="5B23EE40" w:rsidR="00E52CE7" w:rsidRPr="00E26C70" w:rsidRDefault="00E26C70" w:rsidP="00E52CE7">
      <w:pPr>
        <w:jc w:val="both"/>
        <w:rPr>
          <w:rFonts w:ascii="Arial" w:eastAsia="Calibri" w:hAnsi="Arial" w:cs="Arial"/>
          <w:bCs/>
          <w:color w:val="000000" w:themeColor="text1"/>
          <w:sz w:val="20"/>
          <w:szCs w:val="20"/>
        </w:rPr>
      </w:pPr>
      <w:r w:rsidRPr="00E26C70">
        <w:rPr>
          <w:rFonts w:ascii="Arial" w:eastAsia="Calibri" w:hAnsi="Arial" w:cs="Arial"/>
          <w:bCs/>
          <w:color w:val="000000" w:themeColor="text1"/>
          <w:sz w:val="20"/>
          <w:szCs w:val="20"/>
        </w:rPr>
        <w:t xml:space="preserve">Ahora bien, la relación entre estas dos (2) fuentes del derecho es totalmente diferente en la </w:t>
      </w:r>
      <w:r w:rsidRPr="00E26C70">
        <w:rPr>
          <w:rFonts w:ascii="Arial" w:eastAsia="Calibri" w:hAnsi="Arial" w:cs="Arial"/>
          <w:bCs/>
          <w:i/>
          <w:iCs/>
          <w:color w:val="000000" w:themeColor="text1"/>
          <w:sz w:val="20"/>
          <w:szCs w:val="20"/>
        </w:rPr>
        <w:t>tesis de la reglamentación</w:t>
      </w:r>
      <w:r w:rsidRPr="00E26C70">
        <w:rPr>
          <w:rFonts w:ascii="Arial" w:eastAsia="Calibri" w:hAnsi="Arial" w:cs="Arial"/>
          <w:bCs/>
          <w:color w:val="000000" w:themeColor="text1"/>
          <w:sz w:val="20"/>
          <w:szCs w:val="20"/>
        </w:rPr>
        <w:t xml:space="preserve">.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 </w:t>
      </w:r>
      <w:r w:rsidR="00E52CE7" w:rsidRPr="00E26C70">
        <w:rPr>
          <w:rFonts w:ascii="Arial" w:eastAsia="Calibri" w:hAnsi="Arial" w:cs="Arial"/>
          <w:bCs/>
          <w:color w:val="000000" w:themeColor="text1"/>
          <w:sz w:val="20"/>
          <w:szCs w:val="20"/>
        </w:rPr>
        <w:t>[…].</w:t>
      </w:r>
    </w:p>
    <w:p w14:paraId="38399E38" w14:textId="77777777" w:rsidR="00E52CE7" w:rsidRPr="00766896" w:rsidRDefault="00E52CE7" w:rsidP="00E52CE7">
      <w:pPr>
        <w:jc w:val="both"/>
        <w:rPr>
          <w:rFonts w:ascii="Arial" w:eastAsia="Calibri" w:hAnsi="Arial" w:cs="Arial"/>
          <w:color w:val="000000" w:themeColor="text1"/>
          <w:sz w:val="20"/>
          <w:szCs w:val="20"/>
        </w:rPr>
      </w:pPr>
    </w:p>
    <w:p w14:paraId="1577AB4E" w14:textId="77777777" w:rsidR="00E52CE7" w:rsidRPr="00766896" w:rsidRDefault="00E52CE7" w:rsidP="00E52CE7">
      <w:pPr>
        <w:jc w:val="both"/>
        <w:rPr>
          <w:rFonts w:ascii="Arial" w:eastAsia="Calibri" w:hAnsi="Arial" w:cs="Arial"/>
          <w:b/>
          <w:color w:val="000000" w:themeColor="text1"/>
          <w:sz w:val="22"/>
        </w:rPr>
      </w:pPr>
      <w:r w:rsidRPr="00766896">
        <w:rPr>
          <w:rFonts w:ascii="Arial" w:eastAsia="Calibri" w:hAnsi="Arial" w:cs="Arial"/>
          <w:b/>
          <w:color w:val="000000" w:themeColor="text1"/>
          <w:sz w:val="22"/>
        </w:rPr>
        <w:t>REGLAMENTACIÓN PREVIA – Ley 2069 de 2020</w:t>
      </w:r>
    </w:p>
    <w:p w14:paraId="2AF38476" w14:textId="77777777" w:rsidR="00E52CE7" w:rsidRPr="00766896" w:rsidRDefault="00E52CE7" w:rsidP="00E52CE7">
      <w:pPr>
        <w:jc w:val="both"/>
        <w:rPr>
          <w:rFonts w:ascii="Arial" w:eastAsia="Calibri" w:hAnsi="Arial" w:cs="Arial"/>
          <w:b/>
          <w:color w:val="000000" w:themeColor="text1"/>
          <w:sz w:val="20"/>
          <w:szCs w:val="20"/>
        </w:rPr>
      </w:pPr>
    </w:p>
    <w:p w14:paraId="19212EBC" w14:textId="77777777" w:rsidR="00E24A16" w:rsidRDefault="00E24A16" w:rsidP="00E52CE7">
      <w:pPr>
        <w:spacing w:after="120"/>
        <w:jc w:val="both"/>
        <w:rPr>
          <w:rFonts w:ascii="Arial" w:eastAsia="Calibri" w:hAnsi="Arial" w:cs="Arial"/>
          <w:bCs/>
          <w:color w:val="000000" w:themeColor="text1"/>
          <w:sz w:val="20"/>
          <w:szCs w:val="20"/>
          <w:lang w:val="es-ES"/>
        </w:rPr>
      </w:pPr>
      <w:r w:rsidRPr="00E24A16">
        <w:rPr>
          <w:rFonts w:ascii="Arial" w:eastAsia="Calibri" w:hAnsi="Arial" w:cs="Arial"/>
          <w:bCs/>
          <w:color w:val="000000" w:themeColor="text1"/>
          <w:sz w:val="20"/>
          <w:szCs w:val="20"/>
          <w:lang w:val="es-ES"/>
        </w:rPr>
        <w:t>La referencia hecha en una ley a que el gobierno nacional reglamentará la materia indica que el reglamento es indispensable para el cumplimiento de la misma. Naturalmente, este reconocimiento no siempre implica que la ley está sometida a condición para entrar en vigencia; pero cuando ello se analiza con otros elementos que obran en este sentido, como los antecedentes legislativos, es posible utilizar la referencia al reglamento como una prueba de que la ley moduló sus efectos en el tiempo y se encuentra sometida a condición.</w:t>
      </w:r>
      <w:r w:rsidRPr="00E24A16">
        <w:rPr>
          <w:rFonts w:ascii="Arial" w:eastAsia="Calibri" w:hAnsi="Arial" w:cs="Arial"/>
          <w:bCs/>
          <w:color w:val="000000" w:themeColor="text1"/>
          <w:sz w:val="20"/>
          <w:szCs w:val="20"/>
          <w:lang w:val="es-ES"/>
        </w:rPr>
        <w:t xml:space="preserve"> </w:t>
      </w:r>
    </w:p>
    <w:p w14:paraId="79D6EBC7" w14:textId="67894B78" w:rsidR="00E52CE7" w:rsidRPr="00766896" w:rsidRDefault="00E52CE7" w:rsidP="00E52CE7">
      <w:pPr>
        <w:spacing w:after="120"/>
        <w:jc w:val="both"/>
        <w:rPr>
          <w:rFonts w:ascii="Arial" w:eastAsia="Calibri" w:hAnsi="Arial" w:cs="Arial"/>
          <w:bCs/>
          <w:color w:val="000000" w:themeColor="text1"/>
          <w:sz w:val="20"/>
          <w:szCs w:val="20"/>
          <w:lang w:val="es-ES"/>
        </w:rPr>
      </w:pPr>
      <w:r w:rsidRPr="00766896">
        <w:rPr>
          <w:rFonts w:ascii="Arial" w:eastAsia="Calibri" w:hAnsi="Arial" w:cs="Arial"/>
          <w:bCs/>
          <w:color w:val="000000" w:themeColor="text1"/>
          <w:sz w:val="20"/>
          <w:szCs w:val="20"/>
          <w:lang w:val="es-ES"/>
        </w:rPr>
        <w:t>[…]</w:t>
      </w:r>
    </w:p>
    <w:p w14:paraId="279F6CD6" w14:textId="42A51FED" w:rsidR="00580772" w:rsidRPr="00E24A16" w:rsidRDefault="00E52CE7" w:rsidP="00BD57BF">
      <w:pPr>
        <w:jc w:val="both"/>
        <w:rPr>
          <w:rFonts w:ascii="Arial" w:eastAsia="Calibri" w:hAnsi="Arial" w:cs="Arial"/>
          <w:b/>
          <w:color w:val="000000" w:themeColor="text1"/>
          <w:sz w:val="20"/>
          <w:szCs w:val="20"/>
        </w:rPr>
      </w:pPr>
      <w:r w:rsidRPr="00E24A16">
        <w:rPr>
          <w:rFonts w:ascii="Arial" w:eastAsia="Calibri" w:hAnsi="Arial" w:cs="Arial"/>
          <w:bCs/>
          <w:color w:val="000000" w:themeColor="text1"/>
          <w:sz w:val="20"/>
          <w:szCs w:val="20"/>
          <w:lang w:val="es-ES"/>
        </w:rPr>
        <w:t xml:space="preserve">[…] </w:t>
      </w:r>
      <w:r w:rsidR="00E24A16" w:rsidRPr="00E24A16">
        <w:rPr>
          <w:rFonts w:ascii="Arial" w:eastAsia="Calibri" w:hAnsi="Arial" w:cs="Arial"/>
          <w:bCs/>
          <w:color w:val="000000" w:themeColor="text1"/>
          <w:sz w:val="20"/>
          <w:szCs w:val="20"/>
        </w:rPr>
        <w:t xml:space="preserve">en </w:t>
      </w:r>
      <w:r w:rsidR="00E24A16" w:rsidRPr="00E24A16">
        <w:rPr>
          <w:rFonts w:ascii="Arial" w:eastAsia="Calibri" w:hAnsi="Arial" w:cs="Arial"/>
          <w:color w:val="000000" w:themeColor="text1"/>
          <w:sz w:val="20"/>
          <w:szCs w:val="20"/>
          <w:lang w:val="es-ES_tradnl"/>
        </w:rPr>
        <w:t>los artículos 31, 32, 34 y 36</w:t>
      </w:r>
      <w:r w:rsidR="00E24A16" w:rsidRPr="00E24A16">
        <w:rPr>
          <w:rFonts w:ascii="Arial" w:eastAsia="Calibri" w:hAnsi="Arial" w:cs="Arial"/>
          <w:bCs/>
          <w:color w:val="000000" w:themeColor="text1"/>
          <w:sz w:val="20"/>
          <w:szCs w:val="20"/>
        </w:rPr>
        <w:t xml:space="preserve">, el Congreso de la República reconoce la necesidad de un reglamento para el efectivo cumplimiento de la </w:t>
      </w:r>
      <w:r w:rsidR="00E24A16" w:rsidRPr="00E24A16">
        <w:rPr>
          <w:rFonts w:ascii="Arial" w:eastAsia="Calibri" w:hAnsi="Arial" w:cs="Arial"/>
          <w:color w:val="000000" w:themeColor="text1"/>
          <w:sz w:val="20"/>
          <w:szCs w:val="20"/>
          <w:lang w:val="es-ES_tradnl"/>
        </w:rPr>
        <w:t>Ley 2069 de 2020</w:t>
      </w:r>
      <w:r w:rsidR="00E24A16" w:rsidRPr="00E24A16">
        <w:rPr>
          <w:rFonts w:ascii="Arial" w:eastAsia="Calibri" w:hAnsi="Arial" w:cs="Arial"/>
          <w:bCs/>
          <w:color w:val="000000" w:themeColor="text1"/>
          <w:sz w:val="20"/>
          <w:szCs w:val="20"/>
        </w:rPr>
        <w:t>,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i) los criterios diferenciales para mipymes, ii) la definición de «emprendimientos y empresas de mujeres», iii) las convocatorias limitadas a mipymes y el fomento en la ejecución de los contratos estatales por parte de sujetos de especial protección, así como iv) la promoción de las compras públicas de tecnología e innovación.</w:t>
      </w:r>
    </w:p>
    <w:p w14:paraId="03D1C3C2" w14:textId="77777777" w:rsidR="00580772" w:rsidRPr="00766896" w:rsidRDefault="00580772" w:rsidP="00BD57BF">
      <w:pPr>
        <w:jc w:val="both"/>
        <w:rPr>
          <w:rFonts w:ascii="Arial" w:eastAsia="Calibri" w:hAnsi="Arial" w:cs="Arial"/>
          <w:b/>
          <w:color w:val="000000" w:themeColor="text1"/>
          <w:sz w:val="22"/>
        </w:rPr>
      </w:pPr>
    </w:p>
    <w:p w14:paraId="09184048" w14:textId="77777777" w:rsidR="004602E2" w:rsidRDefault="004602E2" w:rsidP="000C2CC9">
      <w:pPr>
        <w:jc w:val="both"/>
        <w:rPr>
          <w:rFonts w:ascii="Arial" w:hAnsi="Arial" w:cs="Arial"/>
          <w:b/>
          <w:bCs/>
          <w:noProof/>
          <w:color w:val="000000" w:themeColor="text1"/>
          <w:sz w:val="22"/>
          <w:lang w:val="es-ES_tradnl"/>
        </w:rPr>
      </w:pPr>
    </w:p>
    <w:p w14:paraId="13C58C48" w14:textId="374910DA" w:rsidR="000C2CC9" w:rsidRPr="001001E6" w:rsidRDefault="000C2CC9" w:rsidP="004602E2">
      <w:pPr>
        <w:jc w:val="both"/>
        <w:rPr>
          <w:rFonts w:ascii="Arial" w:eastAsia="Calibri" w:hAnsi="Arial" w:cs="Arial"/>
          <w:b/>
          <w:bCs/>
          <w:color w:val="000000" w:themeColor="text1"/>
          <w:sz w:val="22"/>
        </w:rPr>
      </w:pPr>
      <w:r w:rsidRPr="001001E6">
        <w:rPr>
          <w:rFonts w:ascii="Arial" w:hAnsi="Arial" w:cs="Arial"/>
          <w:b/>
          <w:bCs/>
          <w:noProof/>
          <w:color w:val="000000" w:themeColor="text1"/>
          <w:sz w:val="22"/>
          <w:lang w:val="es-ES_tradnl"/>
        </w:rPr>
        <w:lastRenderedPageBreak/>
        <w:t>LEY 20</w:t>
      </w:r>
      <w:r w:rsidR="001001E6" w:rsidRPr="001001E6">
        <w:rPr>
          <w:rFonts w:ascii="Arial" w:hAnsi="Arial" w:cs="Arial"/>
          <w:b/>
          <w:bCs/>
          <w:noProof/>
          <w:color w:val="000000" w:themeColor="text1"/>
          <w:sz w:val="22"/>
          <w:lang w:val="es-ES_tradnl"/>
        </w:rPr>
        <w:t>69 DE 2020</w:t>
      </w:r>
      <w:r w:rsidRPr="001001E6">
        <w:rPr>
          <w:rFonts w:ascii="Arial" w:eastAsia="Calibri" w:hAnsi="Arial" w:cs="Arial"/>
          <w:b/>
          <w:bCs/>
          <w:color w:val="000000" w:themeColor="text1"/>
          <w:sz w:val="22"/>
        </w:rPr>
        <w:t xml:space="preserve"> – </w:t>
      </w:r>
      <w:r w:rsidR="001001E6">
        <w:rPr>
          <w:rFonts w:ascii="Arial" w:eastAsia="Calibri" w:hAnsi="Arial" w:cs="Arial"/>
          <w:b/>
          <w:bCs/>
          <w:color w:val="000000" w:themeColor="text1"/>
          <w:sz w:val="22"/>
        </w:rPr>
        <w:t xml:space="preserve">Mínima cuantía </w:t>
      </w:r>
      <w:r w:rsidR="001001E6" w:rsidRPr="001001E6">
        <w:rPr>
          <w:rFonts w:ascii="Arial" w:eastAsia="Calibri" w:hAnsi="Arial" w:cs="Arial"/>
          <w:b/>
          <w:bCs/>
          <w:color w:val="000000" w:themeColor="text1"/>
          <w:sz w:val="22"/>
        </w:rPr>
        <w:t>–</w:t>
      </w:r>
      <w:r w:rsidR="001001E6">
        <w:rPr>
          <w:rFonts w:ascii="Arial" w:eastAsia="Calibri" w:hAnsi="Arial" w:cs="Arial"/>
          <w:b/>
          <w:bCs/>
          <w:color w:val="000000" w:themeColor="text1"/>
          <w:sz w:val="22"/>
        </w:rPr>
        <w:t xml:space="preserve"> Eficacia directa</w:t>
      </w:r>
    </w:p>
    <w:p w14:paraId="7CF53212" w14:textId="77777777" w:rsidR="007B5F71" w:rsidRPr="00766896" w:rsidRDefault="007B5F71" w:rsidP="004602E2">
      <w:pPr>
        <w:rPr>
          <w:rFonts w:ascii="Arial" w:hAnsi="Arial" w:cs="Arial"/>
          <w:noProof/>
          <w:color w:val="000000" w:themeColor="text1"/>
          <w:sz w:val="22"/>
          <w:lang w:val="es-ES_tradnl"/>
        </w:rPr>
      </w:pPr>
    </w:p>
    <w:p w14:paraId="41DC660E" w14:textId="403B200B" w:rsidR="004602E2" w:rsidRPr="004602E2" w:rsidRDefault="004602E2" w:rsidP="004602E2">
      <w:pPr>
        <w:tabs>
          <w:tab w:val="left" w:pos="709"/>
        </w:tabs>
        <w:jc w:val="both"/>
        <w:rPr>
          <w:rFonts w:ascii="Arial" w:eastAsia="Calibri" w:hAnsi="Arial" w:cs="Arial"/>
          <w:bCs/>
          <w:color w:val="000000" w:themeColor="text1"/>
          <w:sz w:val="20"/>
          <w:szCs w:val="20"/>
          <w:lang w:val="es-ES_tradnl"/>
        </w:rPr>
      </w:pPr>
      <w:r w:rsidRPr="004602E2">
        <w:rPr>
          <w:rFonts w:ascii="Arial" w:eastAsia="Calibri" w:hAnsi="Arial" w:cs="Arial"/>
          <w:bCs/>
          <w:color w:val="000000" w:themeColor="text1"/>
          <w:sz w:val="20"/>
          <w:szCs w:val="20"/>
        </w:rPr>
        <w:t xml:space="preserve">El artículo 30 de la Ley 2069 de 2020 modifica el numeral 5 del artículo 2 de la Ley 1150 de 2007, el cual regula la mínima cuantía. </w:t>
      </w:r>
      <w:r w:rsidRPr="004602E2">
        <w:rPr>
          <w:rFonts w:ascii="Arial" w:eastAsia="Calibri" w:hAnsi="Arial" w:cs="Arial"/>
          <w:bCs/>
          <w:color w:val="000000" w:themeColor="text1"/>
          <w:sz w:val="20"/>
          <w:szCs w:val="20"/>
          <w:lang w:val="es-ES_tradnl"/>
        </w:rPr>
        <w:t>En esta modalidad de selección, la entidad estatal realiza una convocatoria pública para recibir ofertas de bienes o servicios cuyo valor no excede el diez por ciento –10%– de la menor cuantía. Fue creada por el artículo 274 de la Ley 1450 de 2011 y modificada por el artículo 94 de la Ley 1474 de 2011,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p>
    <w:p w14:paraId="3CBC85EE" w14:textId="77777777" w:rsidR="004602E2" w:rsidRDefault="004602E2" w:rsidP="004602E2">
      <w:pPr>
        <w:jc w:val="both"/>
        <w:rPr>
          <w:rFonts w:ascii="Arial" w:eastAsia="Calibri" w:hAnsi="Arial" w:cs="Arial"/>
          <w:bCs/>
          <w:color w:val="000000" w:themeColor="text1"/>
          <w:sz w:val="20"/>
          <w:szCs w:val="20"/>
          <w:lang w:val="es-ES_tradnl"/>
        </w:rPr>
      </w:pPr>
    </w:p>
    <w:p w14:paraId="34BFD675" w14:textId="4A25177A" w:rsidR="007B5F71" w:rsidRPr="004602E2" w:rsidRDefault="004602E2" w:rsidP="004602E2">
      <w:pPr>
        <w:jc w:val="both"/>
        <w:rPr>
          <w:rFonts w:ascii="Arial" w:hAnsi="Arial" w:cs="Arial"/>
          <w:noProof/>
          <w:color w:val="000000" w:themeColor="text1"/>
          <w:sz w:val="20"/>
          <w:szCs w:val="20"/>
          <w:lang w:val="es-ES_tradnl"/>
        </w:rPr>
      </w:pPr>
      <w:r w:rsidRPr="004602E2">
        <w:rPr>
          <w:rFonts w:ascii="Arial" w:eastAsia="Calibri" w:hAnsi="Arial" w:cs="Arial"/>
          <w:bCs/>
          <w:color w:val="000000" w:themeColor="text1"/>
          <w:sz w:val="20"/>
          <w:szCs w:val="20"/>
          <w:lang w:val="es-ES_tradnl"/>
        </w:rPr>
        <w:t xml:space="preserve">En esencia, </w:t>
      </w:r>
      <w:r w:rsidRPr="004602E2">
        <w:rPr>
          <w:rFonts w:ascii="Arial" w:eastAsia="Calibri" w:hAnsi="Arial" w:cs="Arial"/>
          <w:bCs/>
          <w:color w:val="000000" w:themeColor="text1"/>
          <w:sz w:val="20"/>
          <w:szCs w:val="20"/>
        </w:rPr>
        <w:t xml:space="preserve">el artículo 30 de la Ley 2069 de 2020 conserva a grandes rasgos el procedimiento previsto en el derogado </w:t>
      </w:r>
      <w:r w:rsidRPr="004602E2">
        <w:rPr>
          <w:rFonts w:ascii="Arial" w:eastAsia="Calibri" w:hAnsi="Arial" w:cs="Arial"/>
          <w:bCs/>
          <w:color w:val="000000" w:themeColor="text1"/>
          <w:sz w:val="20"/>
          <w:szCs w:val="20"/>
          <w:lang w:val="es-ES_tradnl"/>
        </w:rPr>
        <w:t xml:space="preserve">artículo 94 de la Ley 1474 de 2011, el cual define los aspectos generales del procedimiento contractual. No obstante, aludiendo expresamente al desarrollo reglamentario, el parágrafo primero introduce el siguiente cambio: «Las particularidades del procedimiento aquí previsto, así como la posibilidad que tengan las entidades de realizar estas adquisiciones </w:t>
      </w:r>
      <w:r w:rsidRPr="004602E2">
        <w:rPr>
          <w:rFonts w:ascii="Arial" w:eastAsia="Calibri" w:hAnsi="Arial" w:cs="Arial"/>
          <w:bCs/>
          <w:i/>
          <w:iCs/>
          <w:color w:val="000000" w:themeColor="text1"/>
          <w:sz w:val="20"/>
          <w:szCs w:val="20"/>
          <w:lang w:val="es-ES_tradnl"/>
        </w:rPr>
        <w:t xml:space="preserve">a </w:t>
      </w:r>
      <w:proofErr w:type="spellStart"/>
      <w:r w:rsidRPr="004602E2">
        <w:rPr>
          <w:rFonts w:ascii="Arial" w:eastAsia="Calibri" w:hAnsi="Arial" w:cs="Arial"/>
          <w:bCs/>
          <w:i/>
          <w:iCs/>
          <w:color w:val="000000" w:themeColor="text1"/>
          <w:sz w:val="20"/>
          <w:szCs w:val="20"/>
          <w:lang w:val="es-ES_tradnl"/>
        </w:rPr>
        <w:t>Mipymes</w:t>
      </w:r>
      <w:proofErr w:type="spellEnd"/>
      <w:r w:rsidRPr="004602E2">
        <w:rPr>
          <w:rFonts w:ascii="Arial" w:eastAsia="Calibri" w:hAnsi="Arial" w:cs="Arial"/>
          <w:bCs/>
          <w:color w:val="000000" w:themeColor="text1"/>
          <w:sz w:val="20"/>
          <w:szCs w:val="20"/>
          <w:lang w:val="es-ES_tradnl"/>
        </w:rPr>
        <w:t xml:space="preserve"> o establecimientos que correspondan a la definición de "gran almacén" señalada por la Superintendencia de Industria y Comercio, se determinarán en el reglamento que para el efecto expida el Gobierno Nacional» (Énfasis fuera de texto).</w:t>
      </w:r>
    </w:p>
    <w:p w14:paraId="2D77BFB4" w14:textId="3B816A96" w:rsidR="007B5F71" w:rsidRDefault="007B5F71" w:rsidP="004602E2">
      <w:pPr>
        <w:jc w:val="both"/>
        <w:rPr>
          <w:rFonts w:ascii="Arial" w:hAnsi="Arial" w:cs="Arial"/>
          <w:noProof/>
          <w:color w:val="000000" w:themeColor="text1"/>
          <w:sz w:val="22"/>
          <w:lang w:val="es-ES_tradnl"/>
        </w:rPr>
      </w:pPr>
    </w:p>
    <w:p w14:paraId="0D0F0608" w14:textId="69382D48" w:rsidR="004602E2" w:rsidRPr="001001E6" w:rsidRDefault="004602E2" w:rsidP="004602E2">
      <w:pPr>
        <w:jc w:val="both"/>
        <w:rPr>
          <w:rFonts w:ascii="Arial" w:eastAsia="Calibri" w:hAnsi="Arial" w:cs="Arial"/>
          <w:b/>
          <w:bCs/>
          <w:color w:val="000000" w:themeColor="text1"/>
          <w:sz w:val="22"/>
        </w:rPr>
      </w:pPr>
      <w:r>
        <w:rPr>
          <w:rFonts w:ascii="Arial" w:hAnsi="Arial" w:cs="Arial"/>
          <w:b/>
          <w:bCs/>
          <w:noProof/>
          <w:color w:val="000000" w:themeColor="text1"/>
          <w:sz w:val="22"/>
          <w:lang w:val="es-ES_tradnl"/>
        </w:rPr>
        <w:t>MÍNIMA CUANTÍA</w:t>
      </w:r>
      <w:r w:rsidRPr="001001E6">
        <w:rPr>
          <w:rFonts w:ascii="Arial" w:eastAsia="Calibri" w:hAnsi="Arial" w:cs="Arial"/>
          <w:b/>
          <w:bCs/>
          <w:color w:val="000000" w:themeColor="text1"/>
          <w:sz w:val="22"/>
        </w:rPr>
        <w:t xml:space="preserve"> – </w:t>
      </w:r>
      <w:r>
        <w:rPr>
          <w:rFonts w:ascii="Arial" w:eastAsia="Calibri" w:hAnsi="Arial" w:cs="Arial"/>
          <w:b/>
          <w:bCs/>
          <w:color w:val="000000" w:themeColor="text1"/>
          <w:sz w:val="22"/>
        </w:rPr>
        <w:t>Normas reglamentarias</w:t>
      </w:r>
      <w:r>
        <w:rPr>
          <w:rFonts w:ascii="Arial" w:eastAsia="Calibri" w:hAnsi="Arial" w:cs="Arial"/>
          <w:b/>
          <w:bCs/>
          <w:color w:val="000000" w:themeColor="text1"/>
          <w:sz w:val="22"/>
        </w:rPr>
        <w:t xml:space="preserve"> </w:t>
      </w:r>
      <w:r w:rsidRPr="001001E6">
        <w:rPr>
          <w:rFonts w:ascii="Arial" w:eastAsia="Calibri" w:hAnsi="Arial" w:cs="Arial"/>
          <w:b/>
          <w:bCs/>
          <w:color w:val="000000" w:themeColor="text1"/>
          <w:sz w:val="22"/>
        </w:rPr>
        <w:t>–</w:t>
      </w:r>
      <w:r>
        <w:rPr>
          <w:rFonts w:ascii="Arial" w:eastAsia="Calibri" w:hAnsi="Arial" w:cs="Arial"/>
          <w:b/>
          <w:bCs/>
          <w:color w:val="000000" w:themeColor="text1"/>
          <w:sz w:val="22"/>
        </w:rPr>
        <w:t xml:space="preserve"> </w:t>
      </w:r>
      <w:r w:rsidR="00B71CAC">
        <w:rPr>
          <w:rFonts w:ascii="Arial" w:eastAsia="Calibri" w:hAnsi="Arial" w:cs="Arial"/>
          <w:b/>
          <w:bCs/>
          <w:color w:val="000000" w:themeColor="text1"/>
          <w:sz w:val="22"/>
        </w:rPr>
        <w:t xml:space="preserve">Decreto 1082 de 2015 </w:t>
      </w:r>
      <w:r w:rsidR="0082585B" w:rsidRPr="001001E6">
        <w:rPr>
          <w:rFonts w:ascii="Arial" w:eastAsia="Calibri" w:hAnsi="Arial" w:cs="Arial"/>
          <w:b/>
          <w:bCs/>
          <w:color w:val="000000" w:themeColor="text1"/>
          <w:sz w:val="22"/>
        </w:rPr>
        <w:t>–</w:t>
      </w:r>
      <w:r>
        <w:rPr>
          <w:rFonts w:ascii="Arial" w:eastAsia="Calibri" w:hAnsi="Arial" w:cs="Arial"/>
          <w:b/>
          <w:bCs/>
          <w:color w:val="000000" w:themeColor="text1"/>
          <w:sz w:val="22"/>
        </w:rPr>
        <w:t>Vigencia</w:t>
      </w:r>
    </w:p>
    <w:p w14:paraId="6EE2C791" w14:textId="4AAA69C5" w:rsidR="004602E2" w:rsidRDefault="004602E2" w:rsidP="004602E2">
      <w:pPr>
        <w:jc w:val="both"/>
        <w:rPr>
          <w:rFonts w:ascii="Arial" w:hAnsi="Arial" w:cs="Arial"/>
          <w:noProof/>
          <w:color w:val="000000" w:themeColor="text1"/>
          <w:sz w:val="22"/>
        </w:rPr>
      </w:pPr>
    </w:p>
    <w:p w14:paraId="0D2DF5F4" w14:textId="77777777" w:rsidR="004602E2" w:rsidRPr="004602E2" w:rsidRDefault="004602E2" w:rsidP="004602E2">
      <w:pPr>
        <w:tabs>
          <w:tab w:val="left" w:pos="709"/>
        </w:tabs>
        <w:jc w:val="both"/>
        <w:rPr>
          <w:rFonts w:ascii="Arial" w:eastAsia="Calibri" w:hAnsi="Arial" w:cs="Arial"/>
          <w:color w:val="000000" w:themeColor="text1"/>
          <w:sz w:val="20"/>
          <w:szCs w:val="20"/>
          <w:lang w:val="es-ES_tradnl"/>
        </w:rPr>
      </w:pPr>
      <w:r w:rsidRPr="004602E2">
        <w:rPr>
          <w:rFonts w:ascii="Arial" w:eastAsia="Calibri" w:hAnsi="Arial" w:cs="Arial"/>
          <w:color w:val="000000" w:themeColor="text1"/>
          <w:sz w:val="20"/>
          <w:szCs w:val="20"/>
          <w:lang w:val="es-ES_tradnl"/>
        </w:rPr>
        <w:t xml:space="preserve">Conforme a lo explicado en la parte considerativa, continúan vigentes las normas reglamentarias sobre la mínima cuantía. Aunque el artículo 30 de la Ley de Emprendimiento subroga el contenido del numeral 5 del artículo 2 de la Ley 1150 de 2007, ambas disposiciones son de aplicación directa. Adicionalmente, pese a que la Ley de Emprendimiento permite las convocatorias limitadas a la </w:t>
      </w:r>
      <w:proofErr w:type="spellStart"/>
      <w:r w:rsidRPr="004602E2">
        <w:rPr>
          <w:rFonts w:ascii="Arial" w:eastAsia="Calibri" w:hAnsi="Arial" w:cs="Arial"/>
          <w:color w:val="000000" w:themeColor="text1"/>
          <w:sz w:val="20"/>
          <w:szCs w:val="20"/>
          <w:lang w:val="es-ES_tradnl"/>
        </w:rPr>
        <w:t>mypimes</w:t>
      </w:r>
      <w:proofErr w:type="spellEnd"/>
      <w:r w:rsidRPr="004602E2">
        <w:rPr>
          <w:rFonts w:ascii="Arial" w:eastAsia="Calibri" w:hAnsi="Arial" w:cs="Arial"/>
          <w:color w:val="000000" w:themeColor="text1"/>
          <w:sz w:val="20"/>
          <w:szCs w:val="20"/>
          <w:lang w:val="es-ES_tradnl"/>
        </w:rPr>
        <w:t xml:space="preserve"> en la mínima cuantía, el desarrollo reglamentario de este tema hace parte del artículo 34 </w:t>
      </w:r>
      <w:r w:rsidRPr="004602E2">
        <w:rPr>
          <w:rFonts w:ascii="Arial" w:eastAsia="Calibri" w:hAnsi="Arial" w:cs="Arial"/>
          <w:i/>
          <w:iCs/>
          <w:color w:val="000000" w:themeColor="text1"/>
          <w:sz w:val="20"/>
          <w:szCs w:val="20"/>
          <w:lang w:val="es-ES_tradnl"/>
        </w:rPr>
        <w:t>ibídem</w:t>
      </w:r>
      <w:r w:rsidRPr="004602E2">
        <w:rPr>
          <w:rFonts w:ascii="Arial" w:eastAsia="Calibri" w:hAnsi="Arial" w:cs="Arial"/>
          <w:color w:val="000000" w:themeColor="text1"/>
          <w:sz w:val="20"/>
          <w:szCs w:val="20"/>
          <w:lang w:val="es-ES_tradnl"/>
        </w:rPr>
        <w:t xml:space="preserve">. En esta medida, pese a la sustitución formal del artículo 94 de la Ley 1474 de 2011, se observa que materialmente no existe una derogación de la mínima cuantía ni una modificación sustancial que incida en el procedimiento, por lo que no desaparece el fundamento jurídico de las normas reglamentarias que lo desarrollan.    </w:t>
      </w:r>
    </w:p>
    <w:p w14:paraId="06A89A23" w14:textId="77777777" w:rsidR="004602E2" w:rsidRPr="004602E2" w:rsidRDefault="004602E2" w:rsidP="00BE6860">
      <w:pPr>
        <w:spacing w:after="160" w:line="259" w:lineRule="auto"/>
        <w:rPr>
          <w:rFonts w:ascii="Arial" w:hAnsi="Arial" w:cs="Arial"/>
          <w:noProof/>
          <w:color w:val="000000" w:themeColor="text1"/>
          <w:sz w:val="22"/>
          <w:lang w:val="es-ES_tradnl"/>
        </w:rPr>
      </w:pPr>
    </w:p>
    <w:p w14:paraId="7A52505B" w14:textId="77777777" w:rsidR="007B5F71" w:rsidRPr="00766896" w:rsidRDefault="007B5F71" w:rsidP="00BE6860">
      <w:pPr>
        <w:spacing w:after="160" w:line="259" w:lineRule="auto"/>
        <w:rPr>
          <w:rFonts w:ascii="Arial" w:hAnsi="Arial" w:cs="Arial"/>
          <w:noProof/>
          <w:color w:val="000000" w:themeColor="text1"/>
          <w:sz w:val="22"/>
          <w:lang w:val="es-ES_tradnl"/>
        </w:rPr>
      </w:pPr>
    </w:p>
    <w:p w14:paraId="691F7238" w14:textId="77777777" w:rsidR="007B5F71" w:rsidRPr="00766896" w:rsidRDefault="007B5F71" w:rsidP="00BE6860">
      <w:pPr>
        <w:spacing w:after="160" w:line="259" w:lineRule="auto"/>
        <w:rPr>
          <w:rFonts w:ascii="Arial" w:hAnsi="Arial" w:cs="Arial"/>
          <w:noProof/>
          <w:color w:val="000000" w:themeColor="text1"/>
          <w:sz w:val="22"/>
          <w:lang w:val="es-ES_tradnl"/>
        </w:rPr>
      </w:pPr>
    </w:p>
    <w:p w14:paraId="6974F240" w14:textId="77777777" w:rsidR="007B5F71" w:rsidRPr="00766896" w:rsidRDefault="007B5F71" w:rsidP="00BE6860">
      <w:pPr>
        <w:spacing w:after="160" w:line="259" w:lineRule="auto"/>
        <w:rPr>
          <w:rFonts w:ascii="Arial" w:hAnsi="Arial" w:cs="Arial"/>
          <w:noProof/>
          <w:color w:val="000000" w:themeColor="text1"/>
          <w:sz w:val="22"/>
          <w:lang w:val="es-ES_tradnl"/>
        </w:rPr>
      </w:pPr>
    </w:p>
    <w:p w14:paraId="7C16E962" w14:textId="77777777" w:rsidR="007B5F71" w:rsidRPr="00766896" w:rsidRDefault="007B5F71" w:rsidP="00BE6860">
      <w:pPr>
        <w:spacing w:after="160" w:line="259" w:lineRule="auto"/>
        <w:rPr>
          <w:rFonts w:ascii="Arial" w:hAnsi="Arial" w:cs="Arial"/>
          <w:noProof/>
          <w:color w:val="000000" w:themeColor="text1"/>
          <w:sz w:val="22"/>
          <w:lang w:val="es-ES_tradnl"/>
        </w:rPr>
      </w:pPr>
    </w:p>
    <w:p w14:paraId="3BC0DC6A" w14:textId="77777777" w:rsidR="007B5F71" w:rsidRPr="00766896" w:rsidRDefault="007B5F71" w:rsidP="00BE6860">
      <w:pPr>
        <w:spacing w:after="160" w:line="259" w:lineRule="auto"/>
        <w:rPr>
          <w:rFonts w:ascii="Arial" w:hAnsi="Arial" w:cs="Arial"/>
          <w:noProof/>
          <w:color w:val="000000" w:themeColor="text1"/>
          <w:sz w:val="22"/>
          <w:lang w:val="es-ES_tradnl"/>
        </w:rPr>
      </w:pPr>
    </w:p>
    <w:p w14:paraId="2AC3BF10" w14:textId="77777777" w:rsidR="007B5F71" w:rsidRPr="00766896" w:rsidRDefault="007B5F71" w:rsidP="00BE6860">
      <w:pPr>
        <w:spacing w:after="160" w:line="259" w:lineRule="auto"/>
        <w:rPr>
          <w:rFonts w:ascii="Arial" w:hAnsi="Arial" w:cs="Arial"/>
          <w:noProof/>
          <w:color w:val="000000" w:themeColor="text1"/>
          <w:sz w:val="22"/>
          <w:lang w:val="es-ES_tradnl"/>
        </w:rPr>
      </w:pPr>
    </w:p>
    <w:p w14:paraId="4B44F7C5" w14:textId="77777777" w:rsidR="007B5F71" w:rsidRPr="00766896" w:rsidRDefault="007B5F71" w:rsidP="00BE6860">
      <w:pPr>
        <w:spacing w:after="160" w:line="259" w:lineRule="auto"/>
        <w:rPr>
          <w:rFonts w:ascii="Arial" w:hAnsi="Arial" w:cs="Arial"/>
          <w:noProof/>
          <w:color w:val="000000" w:themeColor="text1"/>
          <w:sz w:val="22"/>
          <w:lang w:val="es-ES_tradnl"/>
        </w:rPr>
      </w:pPr>
    </w:p>
    <w:p w14:paraId="12FBB859" w14:textId="77777777" w:rsidR="007B5F71" w:rsidRPr="00766896" w:rsidRDefault="007B5F71" w:rsidP="00BE6860">
      <w:pPr>
        <w:spacing w:after="160" w:line="259" w:lineRule="auto"/>
        <w:rPr>
          <w:rFonts w:ascii="Arial" w:hAnsi="Arial" w:cs="Arial"/>
          <w:noProof/>
          <w:color w:val="000000" w:themeColor="text1"/>
          <w:sz w:val="22"/>
          <w:lang w:val="es-ES_tradnl"/>
        </w:rPr>
      </w:pPr>
    </w:p>
    <w:p w14:paraId="681FF554" w14:textId="77777777" w:rsidR="0082585B" w:rsidRDefault="0082585B" w:rsidP="00BE6860">
      <w:pPr>
        <w:spacing w:after="160" w:line="259" w:lineRule="auto"/>
        <w:rPr>
          <w:rFonts w:ascii="Arial" w:hAnsi="Arial" w:cs="Arial"/>
          <w:noProof/>
          <w:color w:val="000000" w:themeColor="text1"/>
          <w:sz w:val="22"/>
          <w:lang w:val="es-ES_tradnl"/>
        </w:rPr>
      </w:pPr>
    </w:p>
    <w:p w14:paraId="7DD48F49" w14:textId="028EA7CE" w:rsidR="00B95C30" w:rsidRPr="00766896" w:rsidRDefault="00B95C30" w:rsidP="00BE6860">
      <w:pPr>
        <w:spacing w:after="160" w:line="259" w:lineRule="auto"/>
        <w:rPr>
          <w:rFonts w:ascii="Arial" w:eastAsia="Calibri" w:hAnsi="Arial" w:cs="Arial"/>
          <w:bCs/>
          <w:color w:val="000000" w:themeColor="text1"/>
          <w:sz w:val="20"/>
          <w:szCs w:val="20"/>
          <w:lang w:val="es-ES"/>
        </w:rPr>
      </w:pPr>
      <w:r w:rsidRPr="00766896">
        <w:rPr>
          <w:rFonts w:ascii="Arial" w:hAnsi="Arial" w:cs="Arial"/>
          <w:noProof/>
          <w:color w:val="000000" w:themeColor="text1"/>
          <w:sz w:val="22"/>
          <w:lang w:val="es-ES_tradnl"/>
        </w:rPr>
        <w:lastRenderedPageBreak/>
        <w:t xml:space="preserve">Bogotá D.C., </w:t>
      </w:r>
      <w:r w:rsidR="00E910C8">
        <w:rPr>
          <w:rFonts w:ascii="Arial" w:hAnsi="Arial" w:cs="Arial"/>
          <w:b/>
          <w:bCs/>
          <w:noProof/>
          <w:color w:val="000000" w:themeColor="text1"/>
          <w:sz w:val="22"/>
          <w:lang w:val="es-ES_tradnl"/>
        </w:rPr>
        <w:t>19/04/2021</w:t>
      </w:r>
      <w:r w:rsidR="00FE7020">
        <w:rPr>
          <w:rFonts w:ascii="Arial" w:hAnsi="Arial" w:cs="Arial"/>
          <w:b/>
          <w:bCs/>
          <w:noProof/>
          <w:color w:val="000000" w:themeColor="text1"/>
          <w:sz w:val="22"/>
          <w:lang w:val="es-ES_tradnl"/>
        </w:rPr>
        <w:t xml:space="preserve"> 07:51:56</w:t>
      </w:r>
    </w:p>
    <w:p w14:paraId="2DAEA8A4" w14:textId="5B439906" w:rsidR="00E910C8" w:rsidRDefault="00E910C8" w:rsidP="00E910C8">
      <w:pPr>
        <w:jc w:val="right"/>
      </w:pPr>
      <w:r>
        <w:fldChar w:fldCharType="begin"/>
      </w:r>
      <w:r>
        <w:instrText xml:space="preserve"> INCLUDEPICTURE "/var/folders/5l/v1rdjm0x1x9416lmbj7_vjt40000gn/T/com.microsoft.Word/WebArchiveCopyPasteTempFiles/page1image1761056" \* MERGEFORMATINET </w:instrText>
      </w:r>
      <w:r>
        <w:fldChar w:fldCharType="separate"/>
      </w:r>
      <w:r>
        <w:rPr>
          <w:noProof/>
        </w:rPr>
        <w:drawing>
          <wp:inline distT="0" distB="0" distL="0" distR="0" wp14:anchorId="5850C551" wp14:editId="0EBBF21A">
            <wp:extent cx="2397760" cy="612140"/>
            <wp:effectExtent l="0" t="0" r="2540" b="0"/>
            <wp:docPr id="4" name="Imagen 4" descr="page1image176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610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7760" cy="612140"/>
                    </a:xfrm>
                    <a:prstGeom prst="rect">
                      <a:avLst/>
                    </a:prstGeom>
                    <a:noFill/>
                    <a:ln>
                      <a:noFill/>
                    </a:ln>
                  </pic:spPr>
                </pic:pic>
              </a:graphicData>
            </a:graphic>
          </wp:inline>
        </w:drawing>
      </w:r>
      <w:r>
        <w:fldChar w:fldCharType="end"/>
      </w:r>
    </w:p>
    <w:p w14:paraId="6A8A869B" w14:textId="77777777" w:rsidR="00B95C30" w:rsidRPr="00766896" w:rsidRDefault="00B95C30" w:rsidP="00E910C8">
      <w:pPr>
        <w:jc w:val="right"/>
        <w:rPr>
          <w:rFonts w:ascii="Arial" w:hAnsi="Arial" w:cs="Arial"/>
          <w:b/>
          <w:color w:val="000000" w:themeColor="text1"/>
          <w:sz w:val="22"/>
          <w:lang w:val="es-ES_tradnl"/>
        </w:rPr>
      </w:pPr>
    </w:p>
    <w:p w14:paraId="5F5AE9EF" w14:textId="1866EACF" w:rsidR="00B95C30" w:rsidRPr="00766896" w:rsidRDefault="00B95C30" w:rsidP="00B95C30">
      <w:pPr>
        <w:jc w:val="both"/>
        <w:rPr>
          <w:rFonts w:ascii="Arial" w:eastAsia="Calibri" w:hAnsi="Arial" w:cs="Arial"/>
          <w:color w:val="000000" w:themeColor="text1"/>
          <w:sz w:val="22"/>
          <w:lang w:val="es-ES_tradnl"/>
        </w:rPr>
      </w:pPr>
      <w:r w:rsidRPr="00766896">
        <w:rPr>
          <w:rFonts w:ascii="Arial" w:eastAsia="Calibri" w:hAnsi="Arial" w:cs="Arial"/>
          <w:color w:val="000000" w:themeColor="text1"/>
          <w:sz w:val="22"/>
          <w:lang w:val="es-ES_tradnl"/>
        </w:rPr>
        <w:t>Señor</w:t>
      </w:r>
    </w:p>
    <w:p w14:paraId="3DCD58CE" w14:textId="0AF08B4D" w:rsidR="00B95C30" w:rsidRPr="00766896" w:rsidRDefault="00CB144F" w:rsidP="00B95C30">
      <w:pPr>
        <w:jc w:val="both"/>
        <w:rPr>
          <w:rFonts w:ascii="Arial" w:eastAsia="Calibri" w:hAnsi="Arial" w:cs="Arial"/>
          <w:b/>
          <w:color w:val="000000" w:themeColor="text1"/>
          <w:sz w:val="22"/>
          <w:lang w:val="es-ES_tradnl"/>
        </w:rPr>
      </w:pPr>
      <w:r w:rsidRPr="00766896">
        <w:rPr>
          <w:rFonts w:ascii="Arial" w:eastAsia="Calibri" w:hAnsi="Arial" w:cs="Arial"/>
          <w:b/>
          <w:color w:val="000000" w:themeColor="text1"/>
          <w:sz w:val="22"/>
          <w:lang w:val="es-ES_tradnl"/>
        </w:rPr>
        <w:t>Jaime Iván González Solarte</w:t>
      </w:r>
    </w:p>
    <w:p w14:paraId="09D4AEA8" w14:textId="4A7F03D6" w:rsidR="00B95C30" w:rsidRPr="00766896" w:rsidRDefault="00CB144F" w:rsidP="00B95C30">
      <w:pPr>
        <w:jc w:val="both"/>
        <w:rPr>
          <w:rFonts w:ascii="Arial" w:eastAsia="Calibri" w:hAnsi="Arial" w:cs="Arial"/>
          <w:color w:val="000000" w:themeColor="text1"/>
          <w:sz w:val="22"/>
          <w:lang w:val="es-ES_tradnl"/>
        </w:rPr>
      </w:pPr>
      <w:r w:rsidRPr="00766896">
        <w:rPr>
          <w:rFonts w:ascii="Arial" w:eastAsia="Calibri" w:hAnsi="Arial" w:cs="Arial"/>
          <w:color w:val="000000" w:themeColor="text1"/>
          <w:sz w:val="22"/>
          <w:lang w:val="es-ES_tradnl"/>
        </w:rPr>
        <w:t>Yopal, Casanare</w:t>
      </w:r>
    </w:p>
    <w:p w14:paraId="3F3D1203" w14:textId="77777777" w:rsidR="00B95C30" w:rsidRPr="00766896" w:rsidRDefault="00B95C30" w:rsidP="00B95C30">
      <w:pPr>
        <w:jc w:val="both"/>
        <w:rPr>
          <w:rFonts w:ascii="Arial" w:eastAsia="Calibri" w:hAnsi="Arial" w:cs="Arial"/>
          <w:color w:val="000000" w:themeColor="text1"/>
          <w:sz w:val="22"/>
          <w:lang w:val="es-ES_tradnl"/>
        </w:rPr>
      </w:pPr>
    </w:p>
    <w:p w14:paraId="24E8D2A9" w14:textId="77777777" w:rsidR="00B95C30" w:rsidRPr="00766896" w:rsidRDefault="00B95C30" w:rsidP="00B95C30">
      <w:pPr>
        <w:jc w:val="both"/>
        <w:rPr>
          <w:rFonts w:ascii="Arial" w:eastAsia="Calibri" w:hAnsi="Arial" w:cs="Arial"/>
          <w:color w:val="000000" w:themeColor="text1"/>
          <w:sz w:val="22"/>
          <w:lang w:val="es-ES_tradnl"/>
        </w:rPr>
      </w:pPr>
    </w:p>
    <w:p w14:paraId="12E66182" w14:textId="25081D76" w:rsidR="00B95C30" w:rsidRPr="00766896" w:rsidRDefault="007D0CE3" w:rsidP="00852C30">
      <w:pPr>
        <w:rPr>
          <w:rFonts w:ascii="Arial" w:eastAsia="Calibri" w:hAnsi="Arial" w:cs="Arial"/>
          <w:b/>
          <w:bCs/>
          <w:color w:val="000000" w:themeColor="text1"/>
          <w:sz w:val="22"/>
          <w:lang w:val="es-ES_tradnl"/>
        </w:rPr>
      </w:pPr>
      <w:r w:rsidRPr="00766896">
        <w:rPr>
          <w:rFonts w:ascii="Arial" w:eastAsia="Calibri" w:hAnsi="Arial" w:cs="Arial"/>
          <w:b/>
          <w:bCs/>
          <w:color w:val="000000" w:themeColor="text1"/>
          <w:sz w:val="22"/>
          <w:lang w:val="es-ES_tradnl"/>
        </w:rPr>
        <w:t xml:space="preserve">                                            </w:t>
      </w:r>
      <w:r w:rsidR="00B95C30" w:rsidRPr="00766896">
        <w:rPr>
          <w:rFonts w:ascii="Arial" w:eastAsia="Calibri" w:hAnsi="Arial" w:cs="Arial"/>
          <w:b/>
          <w:bCs/>
          <w:color w:val="000000" w:themeColor="text1"/>
          <w:sz w:val="22"/>
          <w:lang w:val="es-ES_tradnl"/>
        </w:rPr>
        <w:t xml:space="preserve">Concepto C ‒ </w:t>
      </w:r>
      <w:r w:rsidR="00B44DD9" w:rsidRPr="00766896">
        <w:rPr>
          <w:rFonts w:ascii="Arial" w:eastAsia="Calibri" w:hAnsi="Arial" w:cs="Arial"/>
          <w:b/>
          <w:bCs/>
          <w:color w:val="000000" w:themeColor="text1"/>
          <w:sz w:val="22"/>
          <w:lang w:val="es-ES_tradnl"/>
        </w:rPr>
        <w:t>163</w:t>
      </w:r>
      <w:r w:rsidR="00B95C30" w:rsidRPr="00766896">
        <w:rPr>
          <w:rFonts w:ascii="Arial" w:eastAsia="Calibri" w:hAnsi="Arial" w:cs="Arial"/>
          <w:b/>
          <w:bCs/>
          <w:color w:val="000000" w:themeColor="text1"/>
          <w:sz w:val="22"/>
          <w:lang w:val="es-ES_tradnl"/>
        </w:rPr>
        <w:t xml:space="preserve"> de 202</w:t>
      </w:r>
      <w:r w:rsidR="00C56976" w:rsidRPr="00766896">
        <w:rPr>
          <w:rFonts w:ascii="Arial" w:eastAsia="Calibri" w:hAnsi="Arial" w:cs="Arial"/>
          <w:b/>
          <w:bCs/>
          <w:color w:val="000000" w:themeColor="text1"/>
          <w:sz w:val="22"/>
          <w:lang w:val="es-ES_tradnl"/>
        </w:rPr>
        <w:t>1</w:t>
      </w:r>
    </w:p>
    <w:p w14:paraId="1BD594F9" w14:textId="77777777" w:rsidR="00B95C30" w:rsidRPr="00766896"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766896" w14:paraId="19DFC051" w14:textId="77777777" w:rsidTr="00DF6CCA">
        <w:tc>
          <w:tcPr>
            <w:tcW w:w="2689" w:type="dxa"/>
          </w:tcPr>
          <w:p w14:paraId="6BC0D1AC" w14:textId="77777777" w:rsidR="00B95C30" w:rsidRPr="00766896" w:rsidRDefault="00B95C30" w:rsidP="00DF6CCA">
            <w:pPr>
              <w:jc w:val="both"/>
              <w:rPr>
                <w:rFonts w:ascii="Arial" w:eastAsia="Calibri" w:hAnsi="Arial" w:cs="Arial"/>
                <w:color w:val="000000" w:themeColor="text1"/>
                <w:sz w:val="22"/>
                <w:lang w:val="es-ES_tradnl"/>
              </w:rPr>
            </w:pPr>
            <w:r w:rsidRPr="00766896">
              <w:rPr>
                <w:rFonts w:ascii="Arial" w:eastAsia="Calibri" w:hAnsi="Arial" w:cs="Arial"/>
                <w:b/>
                <w:color w:val="000000" w:themeColor="text1"/>
                <w:sz w:val="22"/>
                <w:lang w:val="es-ES_tradnl"/>
              </w:rPr>
              <w:t>Temas:</w:t>
            </w:r>
            <w:r w:rsidRPr="00766896">
              <w:rPr>
                <w:rFonts w:ascii="Arial" w:eastAsia="Calibri" w:hAnsi="Arial" w:cs="Arial"/>
                <w:color w:val="000000" w:themeColor="text1"/>
                <w:sz w:val="22"/>
                <w:lang w:val="es-ES_tradnl"/>
              </w:rPr>
              <w:t xml:space="preserve">                                      </w:t>
            </w:r>
          </w:p>
        </w:tc>
        <w:tc>
          <w:tcPr>
            <w:tcW w:w="6237" w:type="dxa"/>
          </w:tcPr>
          <w:p w14:paraId="5F389CAF" w14:textId="289C6F9C" w:rsidR="00B95C30" w:rsidRPr="00766896" w:rsidRDefault="007B5F71" w:rsidP="0038512F">
            <w:pPr>
              <w:pStyle w:val="Sinespaciado"/>
              <w:jc w:val="both"/>
              <w:rPr>
                <w:rFonts w:ascii="Arial" w:hAnsi="Arial" w:cs="Arial"/>
                <w:bCs/>
                <w:sz w:val="22"/>
                <w:lang w:val="es-CO"/>
              </w:rPr>
            </w:pPr>
            <w:r w:rsidRPr="00766896">
              <w:rPr>
                <w:rFonts w:ascii="Arial" w:eastAsia="Calibri" w:hAnsi="Arial" w:cs="Arial"/>
                <w:color w:val="000000" w:themeColor="text1"/>
                <w:sz w:val="22"/>
              </w:rPr>
              <w:t>LEY DE EMPRENDIMIENTO – Finalidad / RELACIÓN ENTRE LEY Y REGLAMENTO – Tesis de la aplicación directa – Tesis de la reglamentación – Diferencias / REGLAMENTACIÓN PREVIA – Ley 2069 de 2020 /</w:t>
            </w:r>
            <w:r w:rsidR="00E22041">
              <w:rPr>
                <w:rFonts w:ascii="Arial" w:eastAsia="Calibri" w:hAnsi="Arial" w:cs="Arial"/>
                <w:color w:val="000000" w:themeColor="text1"/>
                <w:sz w:val="22"/>
              </w:rPr>
              <w:t xml:space="preserve"> </w:t>
            </w:r>
            <w:r w:rsidR="00E22041" w:rsidRPr="00E22041">
              <w:rPr>
                <w:rFonts w:ascii="Arial" w:eastAsia="Calibri" w:hAnsi="Arial" w:cs="Arial"/>
                <w:color w:val="000000" w:themeColor="text1"/>
                <w:sz w:val="22"/>
              </w:rPr>
              <w:t>LEY 2069 DE 2020 – Mínima cuantía – Eficacia directa</w:t>
            </w:r>
            <w:r w:rsidR="00E22041">
              <w:rPr>
                <w:rFonts w:ascii="Arial" w:eastAsia="Calibri" w:hAnsi="Arial" w:cs="Arial"/>
                <w:color w:val="000000" w:themeColor="text1"/>
                <w:sz w:val="22"/>
              </w:rPr>
              <w:t xml:space="preserve"> / </w:t>
            </w:r>
            <w:r w:rsidR="00E22041" w:rsidRPr="00E22041">
              <w:rPr>
                <w:rFonts w:ascii="Arial" w:eastAsia="Calibri" w:hAnsi="Arial" w:cs="Arial"/>
                <w:color w:val="000000" w:themeColor="text1"/>
                <w:sz w:val="22"/>
              </w:rPr>
              <w:t>MÍNIMA CUANTÍA – Normas reglamentarias – Decreto 1082 de 2015 –Vigencia</w:t>
            </w:r>
            <w:r w:rsidRPr="00766896">
              <w:rPr>
                <w:rFonts w:ascii="Arial" w:eastAsia="Calibri" w:hAnsi="Arial" w:cs="Arial"/>
                <w:color w:val="000000" w:themeColor="text1"/>
                <w:sz w:val="22"/>
              </w:rPr>
              <w:t>.</w:t>
            </w:r>
          </w:p>
        </w:tc>
      </w:tr>
      <w:tr w:rsidR="00B95C30" w:rsidRPr="00766896" w14:paraId="27CD52AB" w14:textId="77777777" w:rsidTr="00DF6CCA">
        <w:tc>
          <w:tcPr>
            <w:tcW w:w="2689" w:type="dxa"/>
          </w:tcPr>
          <w:p w14:paraId="37E195A1" w14:textId="4C368209" w:rsidR="00B95C30" w:rsidRPr="00766896" w:rsidRDefault="00B95C30" w:rsidP="00DF6CCA">
            <w:pPr>
              <w:spacing w:before="120"/>
              <w:jc w:val="both"/>
              <w:rPr>
                <w:rFonts w:ascii="Arial" w:eastAsia="Calibri" w:hAnsi="Arial" w:cs="Arial"/>
                <w:b/>
                <w:color w:val="000000" w:themeColor="text1"/>
                <w:sz w:val="22"/>
                <w:lang w:val="es-ES_tradnl"/>
              </w:rPr>
            </w:pPr>
            <w:r w:rsidRPr="00766896">
              <w:rPr>
                <w:rFonts w:ascii="Arial" w:eastAsia="Calibri" w:hAnsi="Arial" w:cs="Arial"/>
                <w:b/>
                <w:color w:val="000000" w:themeColor="text1"/>
                <w:sz w:val="22"/>
                <w:lang w:val="es-ES_tradnl"/>
              </w:rPr>
              <w:t>Radicación:</w:t>
            </w:r>
            <w:r w:rsidRPr="00766896">
              <w:rPr>
                <w:rFonts w:ascii="Arial" w:eastAsia="Calibri" w:hAnsi="Arial" w:cs="Arial"/>
                <w:color w:val="000000" w:themeColor="text1"/>
                <w:sz w:val="22"/>
                <w:lang w:val="es-ES_tradnl"/>
              </w:rPr>
              <w:t xml:space="preserve">                              </w:t>
            </w:r>
          </w:p>
        </w:tc>
        <w:tc>
          <w:tcPr>
            <w:tcW w:w="6237" w:type="dxa"/>
          </w:tcPr>
          <w:p w14:paraId="09088B1B" w14:textId="143FC839" w:rsidR="00B95C30" w:rsidRPr="00766896" w:rsidRDefault="00B95C30" w:rsidP="00DF6CCA">
            <w:pPr>
              <w:spacing w:before="120"/>
              <w:jc w:val="both"/>
              <w:rPr>
                <w:rFonts w:ascii="Arial" w:eastAsia="Calibri" w:hAnsi="Arial" w:cs="Arial"/>
                <w:color w:val="000000" w:themeColor="text1"/>
                <w:sz w:val="22"/>
                <w:lang w:val="es-ES_tradnl"/>
              </w:rPr>
            </w:pPr>
            <w:r w:rsidRPr="00766896">
              <w:rPr>
                <w:rFonts w:ascii="Arial" w:eastAsia="Calibri" w:hAnsi="Arial" w:cs="Arial"/>
                <w:color w:val="000000" w:themeColor="text1"/>
                <w:sz w:val="22"/>
                <w:lang w:val="es-ES_tradnl"/>
              </w:rPr>
              <w:t xml:space="preserve">Respuesta a consulta # </w:t>
            </w:r>
            <w:r w:rsidR="00025254" w:rsidRPr="00766896">
              <w:rPr>
                <w:rFonts w:ascii="Arial" w:eastAsia="Calibri" w:hAnsi="Arial" w:cs="Arial"/>
                <w:color w:val="000000" w:themeColor="text1"/>
                <w:sz w:val="22"/>
                <w:lang w:val="es-ES_tradnl"/>
              </w:rPr>
              <w:t>P20210303001765</w:t>
            </w:r>
          </w:p>
        </w:tc>
      </w:tr>
    </w:tbl>
    <w:p w14:paraId="4B7A51C2" w14:textId="77777777" w:rsidR="00F809F8" w:rsidRPr="00766896" w:rsidRDefault="00F809F8" w:rsidP="003C3339">
      <w:pPr>
        <w:jc w:val="both"/>
        <w:rPr>
          <w:rFonts w:ascii="Arial" w:eastAsia="Calibri" w:hAnsi="Arial" w:cs="Arial"/>
          <w:color w:val="000000" w:themeColor="text1"/>
          <w:sz w:val="22"/>
          <w:lang w:val="es-ES_tradnl"/>
        </w:rPr>
      </w:pPr>
    </w:p>
    <w:p w14:paraId="33ECF62F" w14:textId="77777777" w:rsidR="00F809F8" w:rsidRPr="00766896" w:rsidRDefault="00F809F8" w:rsidP="003C3339">
      <w:pPr>
        <w:jc w:val="both"/>
        <w:rPr>
          <w:rFonts w:ascii="Arial" w:eastAsia="Calibri" w:hAnsi="Arial" w:cs="Arial"/>
          <w:color w:val="000000" w:themeColor="text1"/>
          <w:sz w:val="22"/>
          <w:lang w:val="es-ES_tradnl"/>
        </w:rPr>
      </w:pPr>
    </w:p>
    <w:p w14:paraId="1CF4AEA0" w14:textId="2E9F64DB" w:rsidR="003C3339" w:rsidRPr="00766896" w:rsidRDefault="003C3339" w:rsidP="003C3339">
      <w:pPr>
        <w:jc w:val="both"/>
        <w:rPr>
          <w:rFonts w:ascii="Arial" w:eastAsia="Calibri" w:hAnsi="Arial" w:cs="Arial"/>
          <w:color w:val="000000" w:themeColor="text1"/>
          <w:sz w:val="22"/>
          <w:lang w:val="es-ES_tradnl"/>
        </w:rPr>
      </w:pPr>
      <w:r w:rsidRPr="00766896">
        <w:rPr>
          <w:rFonts w:ascii="Arial" w:eastAsia="Calibri" w:hAnsi="Arial" w:cs="Arial"/>
          <w:color w:val="000000" w:themeColor="text1"/>
          <w:sz w:val="22"/>
          <w:lang w:val="es-ES_tradnl"/>
        </w:rPr>
        <w:t>Estimad</w:t>
      </w:r>
      <w:r w:rsidR="00367A7A" w:rsidRPr="00766896">
        <w:rPr>
          <w:rFonts w:ascii="Arial" w:eastAsia="Calibri" w:hAnsi="Arial" w:cs="Arial"/>
          <w:color w:val="000000" w:themeColor="text1"/>
          <w:sz w:val="22"/>
          <w:lang w:val="es-ES_tradnl"/>
        </w:rPr>
        <w:t>o</w:t>
      </w:r>
      <w:r w:rsidRPr="00766896">
        <w:rPr>
          <w:rFonts w:ascii="Arial" w:eastAsia="Calibri" w:hAnsi="Arial" w:cs="Arial"/>
          <w:color w:val="000000" w:themeColor="text1"/>
          <w:sz w:val="22"/>
          <w:lang w:val="es-ES_tradnl"/>
        </w:rPr>
        <w:t xml:space="preserve"> </w:t>
      </w:r>
      <w:r w:rsidR="00677E9C" w:rsidRPr="00766896">
        <w:rPr>
          <w:rFonts w:ascii="Arial" w:eastAsia="Calibri" w:hAnsi="Arial" w:cs="Arial"/>
          <w:color w:val="000000" w:themeColor="text1"/>
          <w:sz w:val="22"/>
          <w:lang w:val="es-ES_tradnl"/>
        </w:rPr>
        <w:t xml:space="preserve">señor </w:t>
      </w:r>
      <w:r w:rsidR="00FC4F59" w:rsidRPr="00766896">
        <w:rPr>
          <w:rFonts w:ascii="Arial" w:eastAsia="Calibri" w:hAnsi="Arial" w:cs="Arial"/>
          <w:color w:val="000000" w:themeColor="text1"/>
          <w:sz w:val="22"/>
          <w:lang w:val="es-ES_tradnl"/>
        </w:rPr>
        <w:t>González</w:t>
      </w:r>
      <w:r w:rsidRPr="00766896">
        <w:rPr>
          <w:rFonts w:ascii="Arial" w:eastAsia="Calibri" w:hAnsi="Arial" w:cs="Arial"/>
          <w:color w:val="000000" w:themeColor="text1"/>
          <w:sz w:val="22"/>
          <w:lang w:val="es-ES_tradnl"/>
        </w:rPr>
        <w:t>:</w:t>
      </w:r>
    </w:p>
    <w:p w14:paraId="1EAE5543" w14:textId="77777777" w:rsidR="00DD5B04" w:rsidRPr="00766896" w:rsidRDefault="00DD5B04" w:rsidP="00DF76A2">
      <w:pPr>
        <w:jc w:val="both"/>
        <w:rPr>
          <w:rFonts w:ascii="Arial" w:eastAsia="Calibri" w:hAnsi="Arial" w:cs="Arial"/>
          <w:color w:val="000000" w:themeColor="text1"/>
          <w:sz w:val="22"/>
          <w:lang w:val="es-ES_tradnl"/>
        </w:rPr>
      </w:pPr>
    </w:p>
    <w:p w14:paraId="2109B2D3" w14:textId="6F5DF907" w:rsidR="00DD5B04" w:rsidRPr="00766896" w:rsidRDefault="00DD5B04" w:rsidP="00DF76A2">
      <w:pPr>
        <w:spacing w:line="276" w:lineRule="auto"/>
        <w:jc w:val="both"/>
        <w:rPr>
          <w:rFonts w:ascii="Arial" w:eastAsia="Calibri" w:hAnsi="Arial" w:cs="Arial"/>
          <w:color w:val="000000" w:themeColor="text1"/>
          <w:sz w:val="22"/>
          <w:lang w:val="es-ES_tradnl"/>
        </w:rPr>
      </w:pPr>
      <w:r w:rsidRPr="00766896">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6A0F2B" w:rsidRPr="00766896">
        <w:rPr>
          <w:rFonts w:ascii="Arial" w:eastAsia="Calibri" w:hAnsi="Arial" w:cs="Arial"/>
          <w:color w:val="000000" w:themeColor="text1"/>
          <w:sz w:val="22"/>
          <w:lang w:val="es-ES_tradnl"/>
        </w:rPr>
        <w:t xml:space="preserve"> </w:t>
      </w:r>
      <w:r w:rsidRPr="00766896">
        <w:rPr>
          <w:rFonts w:ascii="Arial" w:eastAsia="Calibri" w:hAnsi="Arial" w:cs="Arial"/>
          <w:color w:val="000000" w:themeColor="text1"/>
          <w:sz w:val="22"/>
          <w:lang w:val="es-ES_tradnl"/>
        </w:rPr>
        <w:t>la Agencia Nacional de Contratación Pública ― Colombia Compra Eficiente</w:t>
      </w:r>
      <w:r w:rsidR="008C3C57" w:rsidRPr="00766896">
        <w:rPr>
          <w:rFonts w:ascii="Arial" w:eastAsia="Calibri" w:hAnsi="Arial" w:cs="Arial"/>
          <w:color w:val="000000" w:themeColor="text1"/>
          <w:sz w:val="22"/>
          <w:lang w:val="es-ES_tradnl"/>
        </w:rPr>
        <w:t xml:space="preserve"> </w:t>
      </w:r>
      <w:r w:rsidRPr="00766896">
        <w:rPr>
          <w:rFonts w:ascii="Arial" w:eastAsia="Calibri" w:hAnsi="Arial" w:cs="Arial"/>
          <w:color w:val="000000" w:themeColor="text1"/>
          <w:sz w:val="22"/>
          <w:lang w:val="es-ES_tradnl"/>
        </w:rPr>
        <w:t xml:space="preserve">responde su consulta del </w:t>
      </w:r>
      <w:r w:rsidR="009D1F8D" w:rsidRPr="00766896">
        <w:rPr>
          <w:rFonts w:ascii="Arial" w:eastAsia="Calibri" w:hAnsi="Arial" w:cs="Arial"/>
          <w:color w:val="000000" w:themeColor="text1"/>
          <w:sz w:val="22"/>
          <w:lang w:val="es-ES_tradnl"/>
        </w:rPr>
        <w:t>3</w:t>
      </w:r>
      <w:r w:rsidR="00FD4AF3" w:rsidRPr="00766896">
        <w:rPr>
          <w:rFonts w:ascii="Arial" w:eastAsia="Calibri" w:hAnsi="Arial" w:cs="Arial"/>
          <w:color w:val="000000" w:themeColor="text1"/>
          <w:sz w:val="22"/>
          <w:lang w:val="es-ES_tradnl"/>
        </w:rPr>
        <w:t xml:space="preserve"> de </w:t>
      </w:r>
      <w:r w:rsidR="00367A7A" w:rsidRPr="00766896">
        <w:rPr>
          <w:rFonts w:ascii="Arial" w:eastAsia="Calibri" w:hAnsi="Arial" w:cs="Arial"/>
          <w:color w:val="000000" w:themeColor="text1"/>
          <w:sz w:val="22"/>
          <w:lang w:val="es-ES_tradnl"/>
        </w:rPr>
        <w:t>marzo</w:t>
      </w:r>
      <w:r w:rsidRPr="00766896">
        <w:rPr>
          <w:rFonts w:ascii="Arial" w:eastAsia="Calibri" w:hAnsi="Arial" w:cs="Arial"/>
          <w:color w:val="000000" w:themeColor="text1"/>
          <w:sz w:val="22"/>
          <w:lang w:val="es-ES_tradnl"/>
        </w:rPr>
        <w:t xml:space="preserve"> del</w:t>
      </w:r>
      <w:r w:rsidR="007E74BF" w:rsidRPr="00766896">
        <w:rPr>
          <w:rFonts w:ascii="Arial" w:eastAsia="Calibri" w:hAnsi="Arial" w:cs="Arial"/>
          <w:color w:val="000000" w:themeColor="text1"/>
          <w:sz w:val="22"/>
          <w:lang w:val="es-ES_tradnl"/>
        </w:rPr>
        <w:t xml:space="preserve"> </w:t>
      </w:r>
      <w:r w:rsidRPr="00766896">
        <w:rPr>
          <w:rFonts w:ascii="Arial" w:eastAsia="Calibri" w:hAnsi="Arial" w:cs="Arial"/>
          <w:color w:val="000000" w:themeColor="text1"/>
          <w:sz w:val="22"/>
          <w:lang w:val="es-ES_tradnl"/>
        </w:rPr>
        <w:t>202</w:t>
      </w:r>
      <w:r w:rsidR="004673A8" w:rsidRPr="00766896">
        <w:rPr>
          <w:rFonts w:ascii="Arial" w:eastAsia="Calibri" w:hAnsi="Arial" w:cs="Arial"/>
          <w:color w:val="000000" w:themeColor="text1"/>
          <w:sz w:val="22"/>
          <w:lang w:val="es-ES_tradnl"/>
        </w:rPr>
        <w:t>1</w:t>
      </w:r>
      <w:r w:rsidR="008C3C57" w:rsidRPr="00766896">
        <w:rPr>
          <w:rFonts w:ascii="Arial" w:eastAsia="Calibri" w:hAnsi="Arial" w:cs="Arial"/>
          <w:color w:val="000000" w:themeColor="text1"/>
          <w:sz w:val="22"/>
          <w:lang w:val="es-ES_tradnl"/>
        </w:rPr>
        <w:t>.</w:t>
      </w:r>
    </w:p>
    <w:p w14:paraId="0C1E0712" w14:textId="77777777" w:rsidR="00DD5B04" w:rsidRPr="00766896"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766896"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766896">
        <w:rPr>
          <w:rFonts w:ascii="Arial" w:eastAsia="Calibri" w:hAnsi="Arial" w:cs="Arial"/>
          <w:b/>
          <w:color w:val="000000" w:themeColor="text1"/>
          <w:sz w:val="22"/>
          <w:lang w:val="es-ES_tradnl"/>
        </w:rPr>
        <w:t xml:space="preserve">Problema planteado </w:t>
      </w:r>
    </w:p>
    <w:p w14:paraId="224B43D3" w14:textId="77777777" w:rsidR="00DD5B04" w:rsidRPr="00766896"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7661B2D" w:rsidR="00443B55" w:rsidRPr="00766896" w:rsidRDefault="00DD5B04" w:rsidP="0099583D">
      <w:pPr>
        <w:spacing w:line="276" w:lineRule="auto"/>
        <w:jc w:val="both"/>
        <w:rPr>
          <w:rFonts w:ascii="Arial" w:hAnsi="Arial" w:cs="Arial"/>
          <w:color w:val="000000" w:themeColor="text1"/>
          <w:sz w:val="22"/>
          <w:lang w:val="es-ES_tradnl"/>
        </w:rPr>
      </w:pPr>
      <w:r w:rsidRPr="00766896">
        <w:rPr>
          <w:rFonts w:ascii="Arial" w:hAnsi="Arial" w:cs="Arial"/>
          <w:color w:val="000000" w:themeColor="text1"/>
          <w:sz w:val="22"/>
          <w:lang w:val="es-ES_tradnl"/>
        </w:rPr>
        <w:t xml:space="preserve">Usted </w:t>
      </w:r>
      <w:r w:rsidR="00B422C0" w:rsidRPr="00766896">
        <w:rPr>
          <w:rFonts w:ascii="Arial" w:hAnsi="Arial" w:cs="Arial"/>
          <w:color w:val="000000" w:themeColor="text1"/>
          <w:sz w:val="22"/>
          <w:lang w:val="es-ES_tradnl"/>
        </w:rPr>
        <w:t>formula</w:t>
      </w:r>
      <w:r w:rsidR="006D46A3" w:rsidRPr="00766896">
        <w:rPr>
          <w:rFonts w:ascii="Arial" w:hAnsi="Arial" w:cs="Arial"/>
          <w:color w:val="000000" w:themeColor="text1"/>
          <w:sz w:val="22"/>
          <w:lang w:val="es-ES_tradnl"/>
        </w:rPr>
        <w:t xml:space="preserve"> la siguiente </w:t>
      </w:r>
      <w:r w:rsidR="00B46915" w:rsidRPr="00766896">
        <w:rPr>
          <w:rFonts w:ascii="Arial" w:hAnsi="Arial" w:cs="Arial"/>
          <w:color w:val="000000" w:themeColor="text1"/>
          <w:sz w:val="22"/>
          <w:lang w:val="es-ES_tradnl"/>
        </w:rPr>
        <w:t>consulta</w:t>
      </w:r>
      <w:r w:rsidR="000314BD" w:rsidRPr="00766896">
        <w:rPr>
          <w:rFonts w:ascii="Arial" w:hAnsi="Arial" w:cs="Arial"/>
          <w:color w:val="000000" w:themeColor="text1"/>
          <w:sz w:val="22"/>
          <w:lang w:val="es-ES_tradnl"/>
        </w:rPr>
        <w:t>:</w:t>
      </w:r>
      <w:r w:rsidR="007E18DF" w:rsidRPr="00766896">
        <w:rPr>
          <w:rFonts w:ascii="Arial" w:hAnsi="Arial" w:cs="Arial"/>
          <w:color w:val="000000" w:themeColor="text1"/>
          <w:sz w:val="22"/>
          <w:lang w:val="es-ES_tradnl"/>
        </w:rPr>
        <w:t xml:space="preserve"> </w:t>
      </w:r>
    </w:p>
    <w:p w14:paraId="559EE20C" w14:textId="77777777" w:rsidR="00443B55" w:rsidRPr="00766896" w:rsidRDefault="00443B55" w:rsidP="0099583D">
      <w:pPr>
        <w:spacing w:line="276" w:lineRule="auto"/>
        <w:jc w:val="both"/>
        <w:rPr>
          <w:rFonts w:ascii="Arial" w:hAnsi="Arial" w:cs="Arial"/>
          <w:color w:val="000000" w:themeColor="text1"/>
          <w:sz w:val="22"/>
          <w:lang w:val="es-ES_tradnl"/>
        </w:rPr>
      </w:pPr>
    </w:p>
    <w:p w14:paraId="0912B1B3" w14:textId="4ACC9470" w:rsidR="007235BD" w:rsidRPr="00766896" w:rsidRDefault="003C2546" w:rsidP="00852C30">
      <w:pPr>
        <w:spacing w:after="120"/>
        <w:ind w:left="709" w:right="709"/>
        <w:jc w:val="both"/>
        <w:rPr>
          <w:rFonts w:ascii="Arial" w:hAnsi="Arial" w:cs="Arial"/>
          <w:color w:val="000000" w:themeColor="text1"/>
          <w:sz w:val="21"/>
          <w:szCs w:val="21"/>
          <w:lang w:val="es-ES_tradnl"/>
        </w:rPr>
      </w:pPr>
      <w:r w:rsidRPr="00766896">
        <w:rPr>
          <w:rFonts w:ascii="Arial" w:hAnsi="Arial" w:cs="Arial"/>
          <w:color w:val="000000" w:themeColor="text1"/>
          <w:sz w:val="21"/>
          <w:szCs w:val="21"/>
          <w:lang w:val="es-ES_tradnl"/>
        </w:rPr>
        <w:t>«</w:t>
      </w:r>
      <w:r w:rsidR="007235BD" w:rsidRPr="00766896">
        <w:rPr>
          <w:rFonts w:ascii="Arial" w:hAnsi="Arial" w:cs="Arial"/>
          <w:color w:val="000000" w:themeColor="text1"/>
          <w:sz w:val="21"/>
          <w:szCs w:val="21"/>
          <w:lang w:val="es-ES_tradnl"/>
        </w:rPr>
        <w:t>Con la expedición de la ley 2069 de 2020, su artículo 30 modifica el artículo 2 de la ley 1150 de 2007 y regula la contratación de mínima cuantía, adicionalmente en su parágrafo primero la norma establece que las particularidades del procedimiento previsto en el artículo serán determinadas por el reglamento.</w:t>
      </w:r>
    </w:p>
    <w:p w14:paraId="13E3D912" w14:textId="049231FE" w:rsidR="007235BD" w:rsidRPr="00766896" w:rsidRDefault="00BA3F29" w:rsidP="00852C30">
      <w:pPr>
        <w:spacing w:after="120"/>
        <w:ind w:left="709" w:right="709"/>
        <w:jc w:val="both"/>
        <w:rPr>
          <w:rFonts w:ascii="Arial" w:hAnsi="Arial" w:cs="Arial"/>
          <w:color w:val="000000" w:themeColor="text1"/>
          <w:sz w:val="21"/>
          <w:szCs w:val="21"/>
          <w:lang w:val="es-ES_tradnl"/>
        </w:rPr>
      </w:pPr>
      <w:r w:rsidRPr="00766896">
        <w:rPr>
          <w:rFonts w:ascii="Arial" w:hAnsi="Arial" w:cs="Arial"/>
          <w:color w:val="000000" w:themeColor="text1"/>
          <w:sz w:val="21"/>
          <w:szCs w:val="21"/>
          <w:lang w:val="es-ES_tradnl"/>
        </w:rPr>
        <w:t>»</w:t>
      </w:r>
      <w:r w:rsidR="007235BD" w:rsidRPr="00766896">
        <w:rPr>
          <w:rFonts w:ascii="Arial" w:hAnsi="Arial" w:cs="Arial"/>
          <w:color w:val="000000" w:themeColor="text1"/>
          <w:sz w:val="21"/>
          <w:szCs w:val="21"/>
          <w:lang w:val="es-ES_tradnl"/>
        </w:rPr>
        <w:t>Finalmente el parágrafo segundo del artículo mencionado sentencia que la contratación de mínima cuantía se realizará exclusivamente con las reglas de ese artículo y lo que defina la reglamentación de aquel.</w:t>
      </w:r>
    </w:p>
    <w:p w14:paraId="6D497EC0" w14:textId="01FFA948" w:rsidR="007235BD" w:rsidRPr="00766896" w:rsidRDefault="00BA3F29" w:rsidP="00852C30">
      <w:pPr>
        <w:spacing w:after="120"/>
        <w:ind w:left="709" w:right="709"/>
        <w:jc w:val="both"/>
        <w:rPr>
          <w:rFonts w:ascii="Arial" w:hAnsi="Arial" w:cs="Arial"/>
          <w:color w:val="000000" w:themeColor="text1"/>
          <w:sz w:val="21"/>
          <w:szCs w:val="21"/>
          <w:lang w:val="es-ES_tradnl"/>
        </w:rPr>
      </w:pPr>
      <w:r w:rsidRPr="00766896">
        <w:rPr>
          <w:rFonts w:ascii="Arial" w:hAnsi="Arial" w:cs="Arial"/>
          <w:color w:val="000000" w:themeColor="text1"/>
          <w:sz w:val="21"/>
          <w:szCs w:val="21"/>
          <w:lang w:val="es-ES_tradnl"/>
        </w:rPr>
        <w:t>»</w:t>
      </w:r>
      <w:r w:rsidR="007235BD" w:rsidRPr="00766896">
        <w:rPr>
          <w:rFonts w:ascii="Arial" w:hAnsi="Arial" w:cs="Arial"/>
          <w:color w:val="000000" w:themeColor="text1"/>
          <w:sz w:val="21"/>
          <w:szCs w:val="21"/>
          <w:lang w:val="es-ES_tradnl"/>
        </w:rPr>
        <w:t>Así</w:t>
      </w:r>
      <w:r w:rsidRPr="00766896">
        <w:rPr>
          <w:rFonts w:ascii="Arial" w:hAnsi="Arial" w:cs="Arial"/>
          <w:color w:val="000000" w:themeColor="text1"/>
          <w:sz w:val="21"/>
          <w:szCs w:val="21"/>
          <w:lang w:val="es-ES_tradnl"/>
        </w:rPr>
        <w:t xml:space="preserve"> </w:t>
      </w:r>
      <w:r w:rsidR="007235BD" w:rsidRPr="00766896">
        <w:rPr>
          <w:rFonts w:ascii="Arial" w:hAnsi="Arial" w:cs="Arial"/>
          <w:color w:val="000000" w:themeColor="text1"/>
          <w:sz w:val="21"/>
          <w:szCs w:val="21"/>
          <w:lang w:val="es-ES_tradnl"/>
        </w:rPr>
        <w:t>las cosas surgen las siguientes preguntas:</w:t>
      </w:r>
    </w:p>
    <w:p w14:paraId="7667B509" w14:textId="7BA4C52E" w:rsidR="00082303" w:rsidRPr="00766896" w:rsidRDefault="00B42973" w:rsidP="00852C30">
      <w:pPr>
        <w:spacing w:after="120"/>
        <w:ind w:left="709" w:right="709"/>
        <w:jc w:val="both"/>
        <w:rPr>
          <w:rFonts w:ascii="Arial" w:hAnsi="Arial" w:cs="Arial"/>
          <w:color w:val="000000" w:themeColor="text1"/>
          <w:sz w:val="21"/>
          <w:szCs w:val="21"/>
          <w:lang w:val="es-ES_tradnl"/>
        </w:rPr>
      </w:pPr>
      <w:r w:rsidRPr="00766896">
        <w:rPr>
          <w:rFonts w:ascii="Arial" w:hAnsi="Arial" w:cs="Arial"/>
          <w:color w:val="000000" w:themeColor="text1"/>
          <w:sz w:val="21"/>
          <w:szCs w:val="21"/>
          <w:lang w:val="es-ES_tradnl"/>
        </w:rPr>
        <w:t>»</w:t>
      </w:r>
      <w:r w:rsidR="007235BD" w:rsidRPr="00766896">
        <w:rPr>
          <w:rFonts w:ascii="Arial" w:hAnsi="Arial" w:cs="Arial"/>
          <w:color w:val="000000" w:themeColor="text1"/>
          <w:sz w:val="21"/>
          <w:szCs w:val="21"/>
          <w:lang w:val="es-ES_tradnl"/>
        </w:rPr>
        <w:t>1.</w:t>
      </w:r>
      <w:r w:rsidRPr="00766896">
        <w:rPr>
          <w:rFonts w:ascii="Arial" w:hAnsi="Arial" w:cs="Arial"/>
          <w:color w:val="000000" w:themeColor="text1"/>
          <w:sz w:val="21"/>
          <w:szCs w:val="21"/>
          <w:lang w:val="es-ES_tradnl"/>
        </w:rPr>
        <w:t xml:space="preserve"> </w:t>
      </w:r>
      <w:r w:rsidR="007235BD" w:rsidRPr="00766896">
        <w:rPr>
          <w:rFonts w:ascii="Arial" w:hAnsi="Arial" w:cs="Arial"/>
          <w:color w:val="000000" w:themeColor="text1"/>
          <w:sz w:val="21"/>
          <w:szCs w:val="21"/>
          <w:lang w:val="es-ES_tradnl"/>
        </w:rPr>
        <w:t xml:space="preserve">¿El </w:t>
      </w:r>
      <w:r w:rsidR="00BA3F29" w:rsidRPr="00766896">
        <w:rPr>
          <w:rFonts w:ascii="Arial" w:hAnsi="Arial" w:cs="Arial"/>
          <w:color w:val="000000" w:themeColor="text1"/>
          <w:sz w:val="21"/>
          <w:szCs w:val="21"/>
          <w:lang w:val="es-ES_tradnl"/>
        </w:rPr>
        <w:t>artículo</w:t>
      </w:r>
      <w:r w:rsidR="007235BD" w:rsidRPr="00766896">
        <w:rPr>
          <w:rFonts w:ascii="Arial" w:hAnsi="Arial" w:cs="Arial"/>
          <w:color w:val="000000" w:themeColor="text1"/>
          <w:sz w:val="21"/>
          <w:szCs w:val="21"/>
          <w:lang w:val="es-ES_tradnl"/>
        </w:rPr>
        <w:t xml:space="preserve"> 94 de la ley 1474 de 2011 </w:t>
      </w:r>
      <w:r w:rsidR="00BA3F29" w:rsidRPr="00766896">
        <w:rPr>
          <w:rFonts w:ascii="Arial" w:hAnsi="Arial" w:cs="Arial"/>
          <w:color w:val="000000" w:themeColor="text1"/>
          <w:sz w:val="21"/>
          <w:szCs w:val="21"/>
          <w:lang w:val="es-ES_tradnl"/>
        </w:rPr>
        <w:t>estaría</w:t>
      </w:r>
      <w:r w:rsidR="007235BD" w:rsidRPr="00766896">
        <w:rPr>
          <w:rFonts w:ascii="Arial" w:hAnsi="Arial" w:cs="Arial"/>
          <w:color w:val="000000" w:themeColor="text1"/>
          <w:sz w:val="21"/>
          <w:szCs w:val="21"/>
          <w:lang w:val="es-ES_tradnl"/>
        </w:rPr>
        <w:t xml:space="preserve"> derogado en virtud de la ley de emprendimiento?</w:t>
      </w:r>
    </w:p>
    <w:p w14:paraId="29BC2BA4" w14:textId="1CE56825" w:rsidR="00B42973" w:rsidRPr="00766896" w:rsidRDefault="008A1E94" w:rsidP="00852C30">
      <w:pPr>
        <w:spacing w:after="120"/>
        <w:ind w:left="709" w:right="709"/>
        <w:jc w:val="both"/>
        <w:rPr>
          <w:rFonts w:ascii="Arial" w:hAnsi="Arial" w:cs="Arial"/>
          <w:color w:val="000000" w:themeColor="text1"/>
          <w:sz w:val="21"/>
          <w:szCs w:val="21"/>
        </w:rPr>
      </w:pPr>
      <w:r w:rsidRPr="00766896">
        <w:rPr>
          <w:rFonts w:ascii="Arial" w:hAnsi="Arial" w:cs="Arial"/>
          <w:color w:val="000000" w:themeColor="text1"/>
          <w:sz w:val="21"/>
          <w:szCs w:val="21"/>
          <w:lang w:val="es-ES_tradnl"/>
        </w:rPr>
        <w:lastRenderedPageBreak/>
        <w:t>»</w:t>
      </w:r>
      <w:r w:rsidR="00BA3F29" w:rsidRPr="00766896">
        <w:rPr>
          <w:rFonts w:ascii="Arial" w:hAnsi="Arial" w:cs="Arial"/>
          <w:color w:val="000000" w:themeColor="text1"/>
          <w:sz w:val="21"/>
          <w:szCs w:val="21"/>
        </w:rPr>
        <w:t>2.</w:t>
      </w:r>
      <w:r w:rsidR="00B42973" w:rsidRPr="00766896">
        <w:rPr>
          <w:rFonts w:ascii="Arial" w:hAnsi="Arial" w:cs="Arial"/>
          <w:color w:val="000000" w:themeColor="text1"/>
          <w:sz w:val="21"/>
          <w:szCs w:val="21"/>
        </w:rPr>
        <w:t xml:space="preserve"> </w:t>
      </w:r>
      <w:r w:rsidR="00BA3F29" w:rsidRPr="00766896">
        <w:rPr>
          <w:rFonts w:ascii="Arial" w:hAnsi="Arial" w:cs="Arial"/>
          <w:color w:val="000000" w:themeColor="text1"/>
          <w:sz w:val="21"/>
          <w:szCs w:val="21"/>
        </w:rPr>
        <w:t>¿Los artículos 2.2.1.2.1.5.1. al 2.2.1.2.1.5.4. del decreto 1082 de 2015 estarían derogados en virtud de la ley de emprendimiento?</w:t>
      </w:r>
    </w:p>
    <w:p w14:paraId="6382A10B" w14:textId="706484DE" w:rsidR="00B42973" w:rsidRPr="00766896" w:rsidRDefault="008A1E94" w:rsidP="00852C30">
      <w:pPr>
        <w:spacing w:after="120"/>
        <w:ind w:left="709" w:right="709"/>
        <w:jc w:val="both"/>
        <w:rPr>
          <w:rFonts w:ascii="Arial" w:hAnsi="Arial" w:cs="Arial"/>
          <w:color w:val="000000" w:themeColor="text1"/>
          <w:sz w:val="21"/>
          <w:szCs w:val="21"/>
        </w:rPr>
      </w:pPr>
      <w:r w:rsidRPr="00766896">
        <w:rPr>
          <w:rFonts w:ascii="Arial" w:hAnsi="Arial" w:cs="Arial"/>
          <w:color w:val="000000" w:themeColor="text1"/>
          <w:sz w:val="21"/>
          <w:szCs w:val="21"/>
          <w:lang w:val="es-ES_tradnl"/>
        </w:rPr>
        <w:t>»</w:t>
      </w:r>
      <w:r w:rsidR="00BA3F29" w:rsidRPr="00766896">
        <w:rPr>
          <w:rFonts w:ascii="Arial" w:hAnsi="Arial" w:cs="Arial"/>
          <w:color w:val="000000" w:themeColor="text1"/>
          <w:sz w:val="21"/>
          <w:szCs w:val="21"/>
        </w:rPr>
        <w:t>3.</w:t>
      </w:r>
      <w:r w:rsidR="00B42973" w:rsidRPr="00766896">
        <w:rPr>
          <w:rFonts w:ascii="Arial" w:hAnsi="Arial" w:cs="Arial"/>
          <w:color w:val="000000" w:themeColor="text1"/>
          <w:sz w:val="21"/>
          <w:szCs w:val="21"/>
        </w:rPr>
        <w:t xml:space="preserve"> </w:t>
      </w:r>
      <w:r w:rsidR="00BA3F29" w:rsidRPr="00766896">
        <w:rPr>
          <w:rFonts w:ascii="Arial" w:hAnsi="Arial" w:cs="Arial"/>
          <w:color w:val="000000" w:themeColor="text1"/>
          <w:sz w:val="21"/>
          <w:szCs w:val="21"/>
        </w:rPr>
        <w:t>¿Las entidades estatales a pesar de la entrada en vigencia de la ley de emprendimiento, pueden continuar adelantando procesos de selección de mínima cuantía con base en los artículos 2.2.1.2.1.5.1. al 2.2.1.2.1.5.4. del decreto 1082 de 2015?</w:t>
      </w:r>
    </w:p>
    <w:p w14:paraId="70DEBA09" w14:textId="68B81945" w:rsidR="00B42973" w:rsidRPr="00766896" w:rsidRDefault="008A1E94" w:rsidP="00852C30">
      <w:pPr>
        <w:spacing w:after="120"/>
        <w:ind w:left="709" w:right="709"/>
        <w:jc w:val="both"/>
        <w:rPr>
          <w:rFonts w:ascii="Arial" w:hAnsi="Arial" w:cs="Arial"/>
          <w:color w:val="000000" w:themeColor="text1"/>
          <w:sz w:val="21"/>
          <w:szCs w:val="21"/>
        </w:rPr>
      </w:pPr>
      <w:r w:rsidRPr="00766896">
        <w:rPr>
          <w:rFonts w:ascii="Arial" w:hAnsi="Arial" w:cs="Arial"/>
          <w:color w:val="000000" w:themeColor="text1"/>
          <w:sz w:val="21"/>
          <w:szCs w:val="21"/>
          <w:lang w:val="es-ES_tradnl"/>
        </w:rPr>
        <w:t>»</w:t>
      </w:r>
      <w:r w:rsidR="00BA3F29" w:rsidRPr="00766896">
        <w:rPr>
          <w:rFonts w:ascii="Arial" w:hAnsi="Arial" w:cs="Arial"/>
          <w:color w:val="000000" w:themeColor="text1"/>
          <w:sz w:val="21"/>
          <w:szCs w:val="21"/>
        </w:rPr>
        <w:t>4.</w:t>
      </w:r>
      <w:r w:rsidRPr="00766896">
        <w:rPr>
          <w:rFonts w:ascii="Arial" w:hAnsi="Arial" w:cs="Arial"/>
          <w:color w:val="000000" w:themeColor="text1"/>
          <w:sz w:val="21"/>
          <w:szCs w:val="21"/>
        </w:rPr>
        <w:t xml:space="preserve"> </w:t>
      </w:r>
      <w:r w:rsidR="00BA3F29" w:rsidRPr="00766896">
        <w:rPr>
          <w:rFonts w:ascii="Arial" w:hAnsi="Arial" w:cs="Arial"/>
          <w:color w:val="000000" w:themeColor="text1"/>
          <w:sz w:val="21"/>
          <w:szCs w:val="21"/>
        </w:rPr>
        <w:t>¿Las entidades estatales a pesar de la entrada en vigencia de la ley de emprendimiento, pueden continuar adelantando procesos de selección de mínima cuantía a pesar de no estar reglamentado el artículo 30 de la ley 2069 de 2020?</w:t>
      </w:r>
    </w:p>
    <w:p w14:paraId="797EE903" w14:textId="70B208AC" w:rsidR="00BA3F29" w:rsidRPr="00766896" w:rsidRDefault="008A1E94" w:rsidP="00BA3F29">
      <w:pPr>
        <w:ind w:left="709" w:right="709"/>
        <w:jc w:val="both"/>
        <w:rPr>
          <w:rFonts w:ascii="Arial" w:hAnsi="Arial" w:cs="Arial"/>
          <w:color w:val="000000" w:themeColor="text1"/>
          <w:sz w:val="21"/>
          <w:szCs w:val="21"/>
        </w:rPr>
      </w:pPr>
      <w:r w:rsidRPr="00766896">
        <w:rPr>
          <w:rFonts w:ascii="Arial" w:hAnsi="Arial" w:cs="Arial"/>
          <w:color w:val="000000" w:themeColor="text1"/>
          <w:sz w:val="21"/>
          <w:szCs w:val="21"/>
          <w:lang w:val="es-ES_tradnl"/>
        </w:rPr>
        <w:t>»</w:t>
      </w:r>
      <w:r w:rsidR="00BA3F29" w:rsidRPr="00766896">
        <w:rPr>
          <w:rFonts w:ascii="Arial" w:hAnsi="Arial" w:cs="Arial"/>
          <w:color w:val="000000" w:themeColor="text1"/>
          <w:sz w:val="21"/>
          <w:szCs w:val="21"/>
        </w:rPr>
        <w:t>5.</w:t>
      </w:r>
      <w:r w:rsidRPr="00766896">
        <w:rPr>
          <w:rFonts w:ascii="Arial" w:hAnsi="Arial" w:cs="Arial"/>
          <w:color w:val="000000" w:themeColor="text1"/>
          <w:sz w:val="21"/>
          <w:szCs w:val="21"/>
        </w:rPr>
        <w:t xml:space="preserve"> </w:t>
      </w:r>
      <w:r w:rsidR="00BA3F29" w:rsidRPr="00766896">
        <w:rPr>
          <w:rFonts w:ascii="Arial" w:hAnsi="Arial" w:cs="Arial"/>
          <w:color w:val="000000" w:themeColor="text1"/>
          <w:sz w:val="21"/>
          <w:szCs w:val="21"/>
        </w:rPr>
        <w:t>¿Las entidades estatales no pueden continuar adelantando procesos de selección de mínima cuantía hasta tanto el gobierno nacional no expida el reglamentado del artículo 30 de la ley 2069 de 2020?</w:t>
      </w:r>
      <w:r w:rsidRPr="00766896">
        <w:rPr>
          <w:rFonts w:ascii="Arial" w:hAnsi="Arial" w:cs="Arial"/>
          <w:color w:val="000000" w:themeColor="text1"/>
          <w:sz w:val="21"/>
          <w:szCs w:val="21"/>
        </w:rPr>
        <w:t>»</w:t>
      </w:r>
    </w:p>
    <w:p w14:paraId="1D0C9BCC" w14:textId="77777777" w:rsidR="0050703E" w:rsidRPr="00766896" w:rsidRDefault="0050703E" w:rsidP="0050703E">
      <w:pPr>
        <w:ind w:left="709" w:right="709"/>
        <w:jc w:val="both"/>
        <w:rPr>
          <w:rFonts w:ascii="Arial" w:hAnsi="Arial" w:cs="Arial"/>
          <w:color w:val="000000" w:themeColor="text1"/>
          <w:sz w:val="22"/>
          <w:lang w:val="es-ES_tradnl"/>
        </w:rPr>
      </w:pPr>
    </w:p>
    <w:p w14:paraId="124D2DCA" w14:textId="77777777" w:rsidR="00DD5B04" w:rsidRPr="00766896"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766896">
        <w:rPr>
          <w:rFonts w:ascii="Arial" w:eastAsia="Calibri" w:hAnsi="Arial" w:cs="Arial"/>
          <w:b/>
          <w:color w:val="000000" w:themeColor="text1"/>
          <w:sz w:val="22"/>
          <w:lang w:val="es-ES_tradnl"/>
        </w:rPr>
        <w:t>Consideraciones</w:t>
      </w:r>
    </w:p>
    <w:p w14:paraId="7D050D2E" w14:textId="4381E36A" w:rsidR="00435703" w:rsidRPr="00766896" w:rsidRDefault="00435703" w:rsidP="00DF76A2">
      <w:pPr>
        <w:spacing w:line="276" w:lineRule="auto"/>
        <w:jc w:val="both"/>
        <w:rPr>
          <w:rFonts w:ascii="Arial" w:eastAsia="Calibri" w:hAnsi="Arial" w:cs="Arial"/>
          <w:color w:val="000000" w:themeColor="text1"/>
          <w:sz w:val="22"/>
          <w:szCs w:val="22"/>
          <w:lang w:val="es-ES_tradnl"/>
        </w:rPr>
      </w:pPr>
    </w:p>
    <w:p w14:paraId="7AC291FA" w14:textId="7CA5C5A2" w:rsidR="00A5463D" w:rsidRPr="00766896" w:rsidRDefault="00A5463D" w:rsidP="00A5463D">
      <w:pPr>
        <w:tabs>
          <w:tab w:val="left" w:pos="426"/>
        </w:tabs>
        <w:spacing w:after="120" w:line="276" w:lineRule="auto"/>
        <w:jc w:val="both"/>
        <w:rPr>
          <w:rFonts w:ascii="Arial" w:eastAsia="Calibri" w:hAnsi="Arial" w:cs="Arial"/>
          <w:bCs/>
          <w:color w:val="000000" w:themeColor="text1"/>
          <w:sz w:val="22"/>
        </w:rPr>
      </w:pPr>
      <w:r w:rsidRPr="00766896">
        <w:rPr>
          <w:rFonts w:ascii="Arial" w:eastAsia="Calibri" w:hAnsi="Arial" w:cs="Arial"/>
          <w:bCs/>
          <w:color w:val="000000" w:themeColor="text1"/>
          <w:sz w:val="22"/>
        </w:rPr>
        <w:t xml:space="preserve">Para resolver las inquietudes planteadas se </w:t>
      </w:r>
      <w:r w:rsidR="004C072C" w:rsidRPr="00766896">
        <w:rPr>
          <w:rFonts w:ascii="Arial" w:eastAsia="Calibri" w:hAnsi="Arial" w:cs="Arial"/>
          <w:bCs/>
          <w:color w:val="000000" w:themeColor="text1"/>
          <w:sz w:val="22"/>
        </w:rPr>
        <w:t>analizará</w:t>
      </w:r>
      <w:r w:rsidRPr="00766896">
        <w:rPr>
          <w:rFonts w:ascii="Arial" w:eastAsia="Calibri" w:hAnsi="Arial" w:cs="Arial"/>
          <w:bCs/>
          <w:color w:val="000000" w:themeColor="text1"/>
          <w:sz w:val="22"/>
        </w:rPr>
        <w:t xml:space="preserve"> </w:t>
      </w:r>
      <w:r w:rsidR="004C072C" w:rsidRPr="00766896">
        <w:rPr>
          <w:rFonts w:ascii="Arial" w:eastAsia="Calibri" w:hAnsi="Arial" w:cs="Arial"/>
          <w:bCs/>
          <w:color w:val="000000" w:themeColor="text1"/>
          <w:sz w:val="22"/>
        </w:rPr>
        <w:t>si es</w:t>
      </w:r>
      <w:r w:rsidRPr="00766896">
        <w:rPr>
          <w:rFonts w:ascii="Arial" w:eastAsia="Calibri" w:hAnsi="Arial" w:cs="Arial"/>
          <w:bCs/>
          <w:color w:val="000000" w:themeColor="text1"/>
          <w:sz w:val="22"/>
        </w:rPr>
        <w:t xml:space="preserve"> </w:t>
      </w:r>
      <w:r w:rsidR="004C072C" w:rsidRPr="00766896">
        <w:rPr>
          <w:rFonts w:ascii="Arial" w:eastAsia="Calibri" w:hAnsi="Arial" w:cs="Arial"/>
          <w:bCs/>
          <w:color w:val="000000" w:themeColor="text1"/>
          <w:sz w:val="22"/>
        </w:rPr>
        <w:t>necesaria</w:t>
      </w:r>
      <w:r w:rsidRPr="00766896">
        <w:rPr>
          <w:rFonts w:ascii="Arial" w:eastAsia="Calibri" w:hAnsi="Arial" w:cs="Arial"/>
          <w:bCs/>
          <w:color w:val="000000" w:themeColor="text1"/>
          <w:sz w:val="22"/>
        </w:rPr>
        <w:t xml:space="preserve"> la reglamentación de</w:t>
      </w:r>
      <w:r w:rsidR="004C072C" w:rsidRPr="00766896">
        <w:rPr>
          <w:rFonts w:ascii="Arial" w:eastAsia="Calibri" w:hAnsi="Arial" w:cs="Arial"/>
          <w:bCs/>
          <w:color w:val="000000" w:themeColor="text1"/>
          <w:sz w:val="22"/>
        </w:rPr>
        <w:t xml:space="preserve">l </w:t>
      </w:r>
      <w:r w:rsidRPr="00766896">
        <w:rPr>
          <w:rFonts w:ascii="Arial" w:eastAsia="Calibri" w:hAnsi="Arial" w:cs="Arial"/>
          <w:bCs/>
          <w:color w:val="000000" w:themeColor="text1"/>
          <w:sz w:val="22"/>
        </w:rPr>
        <w:t>artículo 3</w:t>
      </w:r>
      <w:r w:rsidR="004C072C" w:rsidRPr="00766896">
        <w:rPr>
          <w:rFonts w:ascii="Arial" w:eastAsia="Calibri" w:hAnsi="Arial" w:cs="Arial"/>
          <w:bCs/>
          <w:color w:val="000000" w:themeColor="text1"/>
          <w:sz w:val="22"/>
        </w:rPr>
        <w:t xml:space="preserve">0 </w:t>
      </w:r>
      <w:r w:rsidRPr="00766896">
        <w:rPr>
          <w:rFonts w:ascii="Arial" w:eastAsia="Calibri" w:hAnsi="Arial" w:cs="Arial"/>
          <w:bCs/>
          <w:color w:val="000000" w:themeColor="text1"/>
          <w:sz w:val="22"/>
        </w:rPr>
        <w:t xml:space="preserve">de la </w:t>
      </w:r>
      <w:bookmarkStart w:id="2" w:name="_Hlk63688922"/>
      <w:r w:rsidRPr="00766896">
        <w:rPr>
          <w:rFonts w:ascii="Arial" w:eastAsia="Calibri" w:hAnsi="Arial" w:cs="Arial"/>
          <w:bCs/>
          <w:color w:val="000000" w:themeColor="text1"/>
          <w:sz w:val="22"/>
        </w:rPr>
        <w:t>Ley 2069 del 31 de diciembre de 2020</w:t>
      </w:r>
      <w:bookmarkEnd w:id="2"/>
      <w:r w:rsidRPr="00766896">
        <w:rPr>
          <w:rFonts w:ascii="Arial" w:eastAsia="Calibri" w:hAnsi="Arial" w:cs="Arial"/>
          <w:bCs/>
          <w:color w:val="000000" w:themeColor="text1"/>
          <w:sz w:val="22"/>
        </w:rPr>
        <w:t xml:space="preserve"> como una condición para su entrada vigencia. </w:t>
      </w:r>
      <w:r w:rsidR="00D22F86" w:rsidRPr="00766896">
        <w:rPr>
          <w:rFonts w:ascii="Arial" w:eastAsia="Calibri" w:hAnsi="Arial" w:cs="Arial"/>
          <w:bCs/>
          <w:color w:val="000000" w:themeColor="text1"/>
          <w:sz w:val="22"/>
        </w:rPr>
        <w:t xml:space="preserve">Previamente se </w:t>
      </w:r>
      <w:r w:rsidR="00B825BB" w:rsidRPr="00766896">
        <w:rPr>
          <w:rFonts w:ascii="Arial" w:eastAsia="Calibri" w:hAnsi="Arial" w:cs="Arial"/>
          <w:bCs/>
          <w:color w:val="000000" w:themeColor="text1"/>
          <w:sz w:val="22"/>
        </w:rPr>
        <w:t>harán algunos comentarios sobre la finalidad de la ley de emprendimiento y su impacto en la contratación estatal.</w:t>
      </w:r>
    </w:p>
    <w:p w14:paraId="68FE319F" w14:textId="6918808B" w:rsidR="00A5463D" w:rsidRPr="00766896" w:rsidRDefault="00A5463D" w:rsidP="004C072C">
      <w:pPr>
        <w:tabs>
          <w:tab w:val="left" w:pos="426"/>
        </w:tabs>
        <w:spacing w:line="276" w:lineRule="auto"/>
        <w:jc w:val="both"/>
        <w:rPr>
          <w:rFonts w:ascii="Arial" w:eastAsia="Calibri" w:hAnsi="Arial" w:cs="Arial"/>
          <w:bCs/>
          <w:color w:val="000000" w:themeColor="text1"/>
          <w:sz w:val="22"/>
        </w:rPr>
      </w:pPr>
      <w:r w:rsidRPr="00766896">
        <w:rPr>
          <w:rFonts w:ascii="Arial" w:eastAsia="Calibri" w:hAnsi="Arial" w:cs="Arial"/>
          <w:bCs/>
          <w:color w:val="000000" w:themeColor="text1"/>
          <w:sz w:val="22"/>
        </w:rPr>
        <w:tab/>
      </w:r>
      <w:r w:rsidRPr="00766896">
        <w:rPr>
          <w:rFonts w:ascii="Arial" w:eastAsia="Calibri" w:hAnsi="Arial" w:cs="Arial"/>
          <w:bCs/>
          <w:color w:val="000000" w:themeColor="text1"/>
          <w:sz w:val="22"/>
        </w:rPr>
        <w:tab/>
        <w:t xml:space="preserve">La Agencia Nacional de Contratación Pública – Colombia Compra Eficiente, en los Conceptos C-514 del 26 de agosto de 2020, C-516 del 26 de agosto de 2020, C-535 del 26 de agosto de 2020, C-537 del 26 de agosto de 2020, C-538 del 26 de agosto de 2020, C-568 del 26 de agosto de 2020, C-572 del 27 de agosto de 2020, C-582 del 28 de agosto de 2020 y C-551 del 24 de septiembre de 2020, explicó la relación entre la ley y el reglamento, de manera que si bien, por regla general, la primera rige a partir de su promulgación, excepcionalmente esta requiere desarrollo reglamentario como una condición previa para su aplicación. Igualmente, en los Conceptos C-009, 012, 013, 015, 016, 026 del 4 de febrero de 2021, así como en los Conceptos C-006 del 5 de febrero de 2021 y C-043 del 9 de febrero de 2021, se analizaron algunos aspectos sobre la aplicación de la Ley de Emprendimiento. </w:t>
      </w:r>
      <w:r w:rsidR="00370488" w:rsidRPr="00766896">
        <w:rPr>
          <w:rFonts w:ascii="Arial" w:eastAsia="Calibri" w:hAnsi="Arial" w:cs="Arial"/>
          <w:bCs/>
          <w:color w:val="000000" w:themeColor="text1"/>
          <w:sz w:val="22"/>
        </w:rPr>
        <w:t>Finalmente, en el Concepto C-</w:t>
      </w:r>
      <w:r w:rsidR="007024EF" w:rsidRPr="00766896">
        <w:rPr>
          <w:rFonts w:ascii="Arial" w:eastAsia="Calibri" w:hAnsi="Arial" w:cs="Arial"/>
          <w:bCs/>
          <w:color w:val="000000" w:themeColor="text1"/>
          <w:sz w:val="22"/>
        </w:rPr>
        <w:t>005 del 16 de febrero de 2021</w:t>
      </w:r>
      <w:r w:rsidR="00082303" w:rsidRPr="00766896">
        <w:rPr>
          <w:rFonts w:ascii="Arial" w:eastAsia="Calibri" w:hAnsi="Arial" w:cs="Arial"/>
          <w:bCs/>
          <w:color w:val="000000" w:themeColor="text1"/>
          <w:sz w:val="22"/>
        </w:rPr>
        <w:t xml:space="preserve"> </w:t>
      </w:r>
      <w:r w:rsidR="007024EF" w:rsidRPr="00766896">
        <w:rPr>
          <w:rFonts w:ascii="Arial" w:eastAsia="Calibri" w:hAnsi="Arial" w:cs="Arial"/>
          <w:bCs/>
          <w:color w:val="000000" w:themeColor="text1"/>
          <w:sz w:val="22"/>
        </w:rPr>
        <w:t xml:space="preserve">se concluyó que el artículo 30 de </w:t>
      </w:r>
      <w:r w:rsidR="000023B3" w:rsidRPr="00766896">
        <w:rPr>
          <w:rFonts w:ascii="Arial" w:eastAsia="Calibri" w:hAnsi="Arial" w:cs="Arial"/>
          <w:bCs/>
          <w:color w:val="000000" w:themeColor="text1"/>
          <w:sz w:val="22"/>
        </w:rPr>
        <w:t xml:space="preserve">la Ley 2069 de 2020 goza de eficacia directa. </w:t>
      </w:r>
      <w:r w:rsidRPr="00766896">
        <w:rPr>
          <w:rFonts w:ascii="Arial" w:eastAsia="Calibri" w:hAnsi="Arial" w:cs="Arial"/>
          <w:bCs/>
          <w:color w:val="000000" w:themeColor="text1"/>
          <w:sz w:val="22"/>
        </w:rPr>
        <w:t>En lo pertinente, la tesis desarrollada en estos conceptos se reitera a continuación</w:t>
      </w:r>
      <w:r w:rsidR="000023B3" w:rsidRPr="00766896">
        <w:rPr>
          <w:rFonts w:ascii="Arial" w:eastAsia="Calibri" w:hAnsi="Arial" w:cs="Arial"/>
          <w:bCs/>
          <w:color w:val="000000" w:themeColor="text1"/>
          <w:sz w:val="22"/>
        </w:rPr>
        <w:t>:</w:t>
      </w:r>
    </w:p>
    <w:p w14:paraId="6540522F" w14:textId="77777777" w:rsidR="00082303" w:rsidRPr="00766896" w:rsidRDefault="00082303" w:rsidP="009A0F66">
      <w:pPr>
        <w:spacing w:line="276" w:lineRule="auto"/>
        <w:jc w:val="both"/>
        <w:rPr>
          <w:rFonts w:ascii="Arial" w:eastAsia="Calibri" w:hAnsi="Arial" w:cs="Arial"/>
          <w:b/>
          <w:bCs/>
          <w:color w:val="000000" w:themeColor="text1"/>
          <w:sz w:val="22"/>
          <w:szCs w:val="22"/>
          <w:lang w:val="es-ES_tradnl"/>
        </w:rPr>
      </w:pPr>
    </w:p>
    <w:p w14:paraId="44AAA12B" w14:textId="029BB121" w:rsidR="009A0F66" w:rsidRPr="00766896" w:rsidRDefault="009A0F66" w:rsidP="009A0F66">
      <w:pPr>
        <w:spacing w:line="276" w:lineRule="auto"/>
        <w:jc w:val="both"/>
        <w:rPr>
          <w:rFonts w:ascii="Arial" w:eastAsia="Calibri" w:hAnsi="Arial" w:cs="Arial"/>
          <w:b/>
          <w:bCs/>
          <w:color w:val="000000" w:themeColor="text1"/>
          <w:sz w:val="22"/>
          <w:szCs w:val="22"/>
          <w:lang w:val="es-ES_tradnl"/>
        </w:rPr>
      </w:pPr>
      <w:r w:rsidRPr="00766896">
        <w:rPr>
          <w:rFonts w:ascii="Arial" w:eastAsia="Calibri" w:hAnsi="Arial" w:cs="Arial"/>
          <w:b/>
          <w:bCs/>
          <w:color w:val="000000" w:themeColor="text1"/>
          <w:sz w:val="22"/>
          <w:szCs w:val="22"/>
          <w:lang w:val="es-ES_tradnl"/>
        </w:rPr>
        <w:t>2.</w:t>
      </w:r>
      <w:r w:rsidR="00AC39C5" w:rsidRPr="00766896">
        <w:rPr>
          <w:rFonts w:ascii="Arial" w:eastAsia="Calibri" w:hAnsi="Arial" w:cs="Arial"/>
          <w:b/>
          <w:bCs/>
          <w:color w:val="000000" w:themeColor="text1"/>
          <w:sz w:val="22"/>
          <w:szCs w:val="22"/>
          <w:lang w:val="es-ES_tradnl"/>
        </w:rPr>
        <w:t>1</w:t>
      </w:r>
      <w:r w:rsidRPr="00766896">
        <w:rPr>
          <w:rFonts w:ascii="Arial" w:eastAsia="Calibri" w:hAnsi="Arial" w:cs="Arial"/>
          <w:b/>
          <w:bCs/>
          <w:color w:val="000000" w:themeColor="text1"/>
          <w:sz w:val="22"/>
          <w:szCs w:val="22"/>
          <w:lang w:val="es-ES_tradnl"/>
        </w:rPr>
        <w:t>. Vigencia y ámbito de aplicación de la Ley 2069 de 2020</w:t>
      </w:r>
      <w:r w:rsidR="00401AAC" w:rsidRPr="00766896">
        <w:rPr>
          <w:rFonts w:ascii="Arial" w:eastAsia="Calibri" w:hAnsi="Arial" w:cs="Arial"/>
          <w:b/>
          <w:bCs/>
          <w:color w:val="000000" w:themeColor="text1"/>
          <w:sz w:val="22"/>
          <w:szCs w:val="22"/>
          <w:lang w:val="es-ES_tradnl"/>
        </w:rPr>
        <w:t>: i</w:t>
      </w:r>
      <w:r w:rsidR="005C4434" w:rsidRPr="00766896">
        <w:rPr>
          <w:rFonts w:ascii="Arial" w:eastAsia="Calibri" w:hAnsi="Arial" w:cs="Arial"/>
          <w:b/>
          <w:bCs/>
          <w:color w:val="000000" w:themeColor="text1"/>
          <w:sz w:val="22"/>
          <w:szCs w:val="22"/>
          <w:lang w:val="es-ES_tradnl"/>
        </w:rPr>
        <w:t>mpacto sobre la contratación estatal</w:t>
      </w:r>
    </w:p>
    <w:p w14:paraId="60F5CA2F" w14:textId="77777777" w:rsidR="009A0F66" w:rsidRPr="00766896" w:rsidRDefault="009A0F66" w:rsidP="009A0F66">
      <w:pPr>
        <w:spacing w:line="276" w:lineRule="auto"/>
        <w:jc w:val="both"/>
        <w:rPr>
          <w:rFonts w:ascii="Arial" w:eastAsia="Calibri" w:hAnsi="Arial" w:cs="Arial"/>
          <w:color w:val="000000" w:themeColor="text1"/>
          <w:sz w:val="22"/>
          <w:szCs w:val="22"/>
          <w:lang w:val="es-ES_tradnl"/>
        </w:rPr>
      </w:pPr>
    </w:p>
    <w:p w14:paraId="505A4590" w14:textId="77777777" w:rsidR="009A0F66" w:rsidRPr="00766896" w:rsidRDefault="009A0F66" w:rsidP="009A0F66">
      <w:pPr>
        <w:spacing w:line="276" w:lineRule="auto"/>
        <w:jc w:val="both"/>
        <w:rPr>
          <w:rFonts w:ascii="Arial" w:eastAsia="Calibri" w:hAnsi="Arial" w:cs="Arial"/>
          <w:color w:val="000000" w:themeColor="text1"/>
          <w:sz w:val="22"/>
          <w:szCs w:val="22"/>
          <w:lang w:val="es-ES_tradnl"/>
        </w:rPr>
      </w:pPr>
      <w:r w:rsidRPr="00766896">
        <w:rPr>
          <w:rFonts w:ascii="Arial" w:eastAsia="Calibri" w:hAnsi="Arial" w:cs="Arial"/>
          <w:color w:val="000000" w:themeColor="text1"/>
          <w:sz w:val="22"/>
          <w:szCs w:val="22"/>
          <w:lang w:val="es-ES_tradnl"/>
        </w:rPr>
        <w:t xml:space="preserve">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w:t>
      </w:r>
      <w:r w:rsidRPr="00766896">
        <w:rPr>
          <w:rFonts w:ascii="Arial" w:eastAsia="Calibri" w:hAnsi="Arial" w:cs="Arial"/>
          <w:color w:val="000000" w:themeColor="text1"/>
          <w:sz w:val="22"/>
          <w:szCs w:val="22"/>
          <w:lang w:val="es-ES_tradnl"/>
        </w:rPr>
        <w:lastRenderedPageBreak/>
        <w:t>posibilidad de que el gobierno nacional, en ejercicio de la potestad reglamentaria que le confiere el artículo 189, numeral 11, de la Constitución Política, expida el decreto correspondiente que permita la cumplida ejecución de esta Ley.</w:t>
      </w:r>
    </w:p>
    <w:p w14:paraId="322B9302" w14:textId="77777777" w:rsidR="009A0F66" w:rsidRPr="00766896" w:rsidRDefault="009A0F66" w:rsidP="009A0F66">
      <w:pPr>
        <w:spacing w:before="120" w:line="276" w:lineRule="auto"/>
        <w:ind w:firstLine="709"/>
        <w:jc w:val="both"/>
        <w:rPr>
          <w:rFonts w:ascii="Arial" w:eastAsia="Calibri" w:hAnsi="Arial" w:cs="Arial"/>
          <w:color w:val="000000" w:themeColor="text1"/>
          <w:sz w:val="22"/>
          <w:szCs w:val="22"/>
          <w:lang w:val="es-ES_tradnl"/>
        </w:rPr>
      </w:pPr>
      <w:r w:rsidRPr="00766896">
        <w:rPr>
          <w:rFonts w:ascii="Arial" w:eastAsia="Calibri" w:hAnsi="Arial" w:cs="Arial"/>
          <w:color w:val="000000" w:themeColor="text1"/>
          <w:sz w:val="22"/>
          <w:szCs w:val="22"/>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766896">
        <w:rPr>
          <w:rFonts w:ascii="Arial" w:eastAsia="Calibri" w:hAnsi="Arial" w:cs="Arial"/>
          <w:color w:val="000000" w:themeColor="text1"/>
          <w:sz w:val="22"/>
          <w:szCs w:val="22"/>
          <w:lang w:val="es-ES_tradnl"/>
        </w:rPr>
        <w:t>mipymes</w:t>
      </w:r>
      <w:proofErr w:type="spellEnd"/>
      <w:r w:rsidRPr="00766896">
        <w:rPr>
          <w:rFonts w:ascii="Arial" w:eastAsia="Calibri" w:hAnsi="Arial" w:cs="Arial"/>
          <w:color w:val="000000" w:themeColor="text1"/>
          <w:sz w:val="22"/>
          <w:szCs w:val="22"/>
          <w:lang w:val="es-ES_tradnl"/>
        </w:rPr>
        <w:t>–, mediante la racionalización y simplificación de los trámites y tarifas</w:t>
      </w:r>
      <w:r w:rsidRPr="00766896">
        <w:rPr>
          <w:rStyle w:val="Refdenotaalpie"/>
          <w:rFonts w:ascii="Arial" w:eastAsia="Calibri" w:hAnsi="Arial" w:cs="Arial"/>
          <w:color w:val="000000" w:themeColor="text1"/>
          <w:sz w:val="22"/>
          <w:szCs w:val="22"/>
          <w:lang w:val="es-ES_tradnl"/>
        </w:rPr>
        <w:footnoteReference w:id="2"/>
      </w:r>
      <w:r w:rsidRPr="00766896">
        <w:rPr>
          <w:rFonts w:ascii="Arial" w:eastAsia="Calibri" w:hAnsi="Arial" w:cs="Arial"/>
          <w:color w:val="000000" w:themeColor="text1"/>
          <w:sz w:val="22"/>
          <w:szCs w:val="22"/>
          <w:lang w:val="es-ES_tradnl"/>
        </w:rPr>
        <w:t>, así como incentivos a favor de aquellas dentro del sistema de compras y contratación pública</w:t>
      </w:r>
      <w:r w:rsidRPr="00766896">
        <w:rPr>
          <w:rStyle w:val="Refdenotaalpie"/>
          <w:rFonts w:ascii="Arial" w:eastAsia="Calibri" w:hAnsi="Arial" w:cs="Arial"/>
          <w:color w:val="000000" w:themeColor="text1"/>
          <w:sz w:val="22"/>
          <w:szCs w:val="22"/>
          <w:lang w:val="es-ES_tradnl"/>
        </w:rPr>
        <w:footnoteReference w:id="3"/>
      </w:r>
      <w:r w:rsidRPr="00766896">
        <w:rPr>
          <w:rFonts w:ascii="Arial" w:eastAsia="Calibri" w:hAnsi="Arial" w:cs="Arial"/>
          <w:color w:val="000000" w:themeColor="text1"/>
          <w:sz w:val="22"/>
          <w:szCs w:val="22"/>
          <w:lang w:val="es-ES_tradnl"/>
        </w:rPr>
        <w:t>. También se consagran mecanismos de acceso al financiamiento</w:t>
      </w:r>
      <w:r w:rsidRPr="00766896">
        <w:rPr>
          <w:rStyle w:val="Refdenotaalpie"/>
          <w:rFonts w:ascii="Arial" w:eastAsia="Calibri" w:hAnsi="Arial" w:cs="Arial"/>
          <w:color w:val="000000" w:themeColor="text1"/>
          <w:sz w:val="22"/>
          <w:szCs w:val="22"/>
          <w:lang w:val="es-ES_tradnl"/>
        </w:rPr>
        <w:footnoteReference w:id="4"/>
      </w:r>
      <w:r w:rsidRPr="00766896">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766896">
        <w:rPr>
          <w:rStyle w:val="Refdenotaalpie"/>
          <w:rFonts w:ascii="Arial" w:eastAsia="Calibri" w:hAnsi="Arial" w:cs="Arial"/>
          <w:color w:val="000000" w:themeColor="text1"/>
          <w:sz w:val="22"/>
          <w:szCs w:val="22"/>
          <w:lang w:val="es-ES_tradnl"/>
        </w:rPr>
        <w:footnoteReference w:id="5"/>
      </w:r>
      <w:r w:rsidRPr="00766896">
        <w:rPr>
          <w:rFonts w:ascii="Arial" w:eastAsia="Calibri" w:hAnsi="Arial" w:cs="Arial"/>
          <w:color w:val="000000" w:themeColor="text1"/>
          <w:sz w:val="22"/>
          <w:szCs w:val="22"/>
          <w:lang w:val="es-ES_tradnl"/>
        </w:rPr>
        <w:t xml:space="preserve"> y se prevén medidas de educación para el emprendimiento y la innovación</w:t>
      </w:r>
      <w:r w:rsidRPr="00766896">
        <w:rPr>
          <w:rStyle w:val="Refdenotaalpie"/>
          <w:rFonts w:ascii="Arial" w:eastAsia="Calibri" w:hAnsi="Arial" w:cs="Arial"/>
          <w:color w:val="000000" w:themeColor="text1"/>
          <w:sz w:val="22"/>
          <w:szCs w:val="22"/>
          <w:lang w:val="es-ES_tradnl"/>
        </w:rPr>
        <w:footnoteReference w:id="6"/>
      </w:r>
      <w:r w:rsidRPr="00766896">
        <w:rPr>
          <w:rFonts w:ascii="Arial" w:eastAsia="Calibri" w:hAnsi="Arial" w:cs="Arial"/>
          <w:color w:val="000000" w:themeColor="text1"/>
          <w:sz w:val="22"/>
          <w:szCs w:val="22"/>
          <w:lang w:val="es-ES_tradnl"/>
        </w:rPr>
        <w:t>.</w:t>
      </w:r>
    </w:p>
    <w:p w14:paraId="4D57D834" w14:textId="5FF0468D" w:rsidR="002D13CC" w:rsidRPr="00766896" w:rsidRDefault="00582E21" w:rsidP="00582E21">
      <w:pPr>
        <w:spacing w:before="120" w:line="276" w:lineRule="auto"/>
        <w:ind w:firstLine="709"/>
        <w:jc w:val="both"/>
        <w:rPr>
          <w:rFonts w:ascii="Arial" w:eastAsia="Calibri" w:hAnsi="Arial" w:cs="Arial"/>
          <w:color w:val="000000" w:themeColor="text1"/>
          <w:sz w:val="22"/>
          <w:szCs w:val="22"/>
          <w:lang w:val="es-ES_tradnl"/>
        </w:rPr>
      </w:pPr>
      <w:bookmarkStart w:id="3" w:name="_Hlk63883948"/>
      <w:r w:rsidRPr="00766896">
        <w:rPr>
          <w:rFonts w:ascii="Arial" w:eastAsia="Calibri" w:hAnsi="Arial" w:cs="Arial"/>
          <w:color w:val="000000" w:themeColor="text1"/>
          <w:sz w:val="22"/>
          <w:szCs w:val="22"/>
          <w:lang w:val="es-ES_tradnl"/>
        </w:rPr>
        <w:t xml:space="preserve">La Ley 2069 de 2020 guarda </w:t>
      </w:r>
      <w:r w:rsidR="002D13CC" w:rsidRPr="00766896">
        <w:rPr>
          <w:rFonts w:ascii="Arial" w:eastAsia="Calibri" w:hAnsi="Arial" w:cs="Arial"/>
          <w:bCs/>
          <w:color w:val="000000" w:themeColor="text1"/>
          <w:sz w:val="22"/>
        </w:rPr>
        <w:t xml:space="preserve">congruencia con el «Pacto por el emprendimiento, la formalización y la productividad» del Plan Nacional de Desarrollo 2018-2022, </w:t>
      </w:r>
      <w:r w:rsidR="00B4595C" w:rsidRPr="00766896">
        <w:rPr>
          <w:rFonts w:ascii="Arial" w:eastAsia="Calibri" w:hAnsi="Arial" w:cs="Arial"/>
          <w:bCs/>
          <w:color w:val="000000" w:themeColor="text1"/>
          <w:sz w:val="22"/>
        </w:rPr>
        <w:t>pues busca</w:t>
      </w:r>
      <w:r w:rsidR="002D13CC" w:rsidRPr="00766896">
        <w:rPr>
          <w:rFonts w:ascii="Arial" w:eastAsia="Calibri" w:hAnsi="Arial" w:cs="Arial"/>
          <w:bCs/>
          <w:color w:val="000000" w:themeColor="text1"/>
          <w:sz w:val="22"/>
        </w:rPr>
        <w:t xml:space="preserve"> impulsar el nacimiento de nuevas empresas que incentiven la generación de empleo en </w:t>
      </w:r>
      <w:r w:rsidR="00B4595C" w:rsidRPr="00766896">
        <w:rPr>
          <w:rFonts w:ascii="Arial" w:eastAsia="Calibri" w:hAnsi="Arial" w:cs="Arial"/>
          <w:bCs/>
          <w:color w:val="000000" w:themeColor="text1"/>
          <w:sz w:val="22"/>
        </w:rPr>
        <w:t xml:space="preserve">el </w:t>
      </w:r>
      <w:r w:rsidR="002D13CC" w:rsidRPr="00766896">
        <w:rPr>
          <w:rFonts w:ascii="Arial" w:eastAsia="Calibri" w:hAnsi="Arial" w:cs="Arial"/>
          <w:bCs/>
          <w:color w:val="000000" w:themeColor="text1"/>
          <w:sz w:val="22"/>
        </w:rPr>
        <w:t xml:space="preserve">país. </w:t>
      </w:r>
      <w:r w:rsidR="00B4595C" w:rsidRPr="00766896">
        <w:rPr>
          <w:rFonts w:ascii="Arial" w:eastAsia="Calibri" w:hAnsi="Arial" w:cs="Arial"/>
          <w:bCs/>
          <w:color w:val="000000" w:themeColor="text1"/>
          <w:sz w:val="22"/>
        </w:rPr>
        <w:t>En tal sentido, su finalidad principal es</w:t>
      </w:r>
      <w:r w:rsidR="002D13CC" w:rsidRPr="00766896">
        <w:rPr>
          <w:rFonts w:ascii="Arial" w:eastAsia="Calibri" w:hAnsi="Arial" w:cs="Arial"/>
          <w:bCs/>
          <w:color w:val="000000" w:themeColor="text1"/>
          <w:sz w:val="22"/>
        </w:rPr>
        <w:t xml:space="preserve">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w:t>
      </w:r>
      <w:bookmarkStart w:id="4" w:name="_Hlk63692496"/>
      <w:r w:rsidR="002D13CC" w:rsidRPr="00766896">
        <w:rPr>
          <w:rFonts w:ascii="Arial" w:eastAsia="Calibri" w:hAnsi="Arial" w:cs="Arial"/>
          <w:bCs/>
          <w:color w:val="000000" w:themeColor="text1"/>
          <w:sz w:val="22"/>
        </w:rPr>
        <w:t>«Política de formalización empresarial»</w:t>
      </w:r>
      <w:bookmarkEnd w:id="4"/>
      <w:r w:rsidR="002D13CC" w:rsidRPr="00766896">
        <w:rPr>
          <w:rFonts w:ascii="Arial" w:eastAsia="Calibri" w:hAnsi="Arial" w:cs="Arial"/>
          <w:bCs/>
          <w:color w:val="000000" w:themeColor="text1"/>
          <w:sz w:val="22"/>
        </w:rPr>
        <w:t xml:space="preserve"> del Documento CONPES 3956 del 8 de enero de 2019</w:t>
      </w:r>
      <w:r w:rsidR="002D13CC" w:rsidRPr="00766896">
        <w:rPr>
          <w:rStyle w:val="Refdenotaalpie"/>
          <w:rFonts w:ascii="Arial" w:eastAsia="Calibri" w:hAnsi="Arial" w:cs="Arial"/>
          <w:bCs/>
          <w:color w:val="000000" w:themeColor="text1"/>
          <w:sz w:val="22"/>
        </w:rPr>
        <w:footnoteReference w:id="7"/>
      </w:r>
      <w:r w:rsidR="002D13CC" w:rsidRPr="00766896">
        <w:rPr>
          <w:rFonts w:ascii="Arial" w:eastAsia="Calibri" w:hAnsi="Arial" w:cs="Arial"/>
          <w:bCs/>
          <w:color w:val="000000" w:themeColor="text1"/>
          <w:sz w:val="22"/>
        </w:rPr>
        <w:t>.</w:t>
      </w:r>
      <w:bookmarkEnd w:id="3"/>
    </w:p>
    <w:p w14:paraId="3E0E1C6F" w14:textId="664C17AD" w:rsidR="002D13CC" w:rsidRPr="00766896" w:rsidRDefault="002D13CC" w:rsidP="00082303">
      <w:pPr>
        <w:tabs>
          <w:tab w:val="left" w:pos="709"/>
        </w:tabs>
        <w:spacing w:before="120" w:after="120" w:line="276" w:lineRule="auto"/>
        <w:jc w:val="both"/>
        <w:rPr>
          <w:rFonts w:ascii="Arial" w:eastAsia="Calibri" w:hAnsi="Arial" w:cs="Arial"/>
          <w:bCs/>
          <w:color w:val="000000" w:themeColor="text1"/>
          <w:sz w:val="22"/>
        </w:rPr>
      </w:pPr>
      <w:r w:rsidRPr="00766896">
        <w:rPr>
          <w:rFonts w:ascii="Arial" w:eastAsia="Calibri" w:hAnsi="Arial" w:cs="Arial"/>
          <w:bCs/>
          <w:color w:val="000000" w:themeColor="text1"/>
          <w:sz w:val="22"/>
        </w:rPr>
        <w:lastRenderedPageBreak/>
        <w:tab/>
        <w:t>Por ello, la ley impulsa medidas para i) reducir cargas y trámites para los emprendedores del país</w:t>
      </w:r>
      <w:r w:rsidR="00442EB9" w:rsidRPr="00766896">
        <w:rPr>
          <w:rFonts w:ascii="Arial" w:eastAsia="Calibri" w:hAnsi="Arial" w:cs="Arial"/>
          <w:bCs/>
          <w:color w:val="000000" w:themeColor="text1"/>
          <w:sz w:val="22"/>
        </w:rPr>
        <w:t>,</w:t>
      </w:r>
      <w:r w:rsidRPr="00766896">
        <w:rPr>
          <w:rFonts w:ascii="Arial" w:eastAsia="Calibri" w:hAnsi="Arial" w:cs="Arial"/>
          <w:bCs/>
          <w:color w:val="000000" w:themeColor="text1"/>
          <w:sz w:val="22"/>
        </w:rPr>
        <w:t xml:space="preserve"> ii) facilitar su acceso al sistema de compras y contratación pública</w:t>
      </w:r>
      <w:r w:rsidR="00442EB9" w:rsidRPr="00766896">
        <w:rPr>
          <w:rFonts w:ascii="Arial" w:eastAsia="Calibri" w:hAnsi="Arial" w:cs="Arial"/>
          <w:bCs/>
          <w:color w:val="000000" w:themeColor="text1"/>
          <w:sz w:val="22"/>
        </w:rPr>
        <w:t>,</w:t>
      </w:r>
      <w:r w:rsidRPr="00766896">
        <w:rPr>
          <w:rFonts w:ascii="Arial" w:eastAsia="Calibri" w:hAnsi="Arial" w:cs="Arial"/>
          <w:bCs/>
          <w:color w:val="000000" w:themeColor="text1"/>
          <w:sz w:val="22"/>
        </w:rPr>
        <w:t xml:space="preserve"> iii) incentivar el crecimiento económico con la llegada de más actores al ecosistema de inversión y financiación</w:t>
      </w:r>
      <w:r w:rsidR="00442EB9" w:rsidRPr="00766896">
        <w:rPr>
          <w:rFonts w:ascii="Arial" w:eastAsia="Calibri" w:hAnsi="Arial" w:cs="Arial"/>
          <w:bCs/>
          <w:color w:val="000000" w:themeColor="text1"/>
          <w:sz w:val="22"/>
        </w:rPr>
        <w:t>,</w:t>
      </w:r>
      <w:r w:rsidRPr="00766896">
        <w:rPr>
          <w:rFonts w:ascii="Arial" w:eastAsia="Calibri" w:hAnsi="Arial" w:cs="Arial"/>
          <w:bCs/>
          <w:color w:val="000000" w:themeColor="text1"/>
          <w:sz w:val="22"/>
        </w:rPr>
        <w:t xml:space="preserve"> iv) focalizar esfuerzos, optimizar la gestión de recursos e incentivar una visión integral del desarrollo productivo a través del fortalecimiento institucional</w:t>
      </w:r>
      <w:r w:rsidR="00442EB9" w:rsidRPr="00766896">
        <w:rPr>
          <w:rFonts w:ascii="Arial" w:eastAsia="Calibri" w:hAnsi="Arial" w:cs="Arial"/>
          <w:bCs/>
          <w:color w:val="000000" w:themeColor="text1"/>
          <w:sz w:val="22"/>
        </w:rPr>
        <w:t>,</w:t>
      </w:r>
      <w:r w:rsidRPr="00766896">
        <w:rPr>
          <w:rFonts w:ascii="Arial" w:eastAsia="Calibri" w:hAnsi="Arial" w:cs="Arial"/>
          <w:bCs/>
          <w:color w:val="000000" w:themeColor="text1"/>
          <w:sz w:val="22"/>
        </w:rPr>
        <w:t xml:space="preserve"> v) facilitar la apropiación del emprendimiento y la cultura emprendedora en la juventud colombiana</w:t>
      </w:r>
      <w:r w:rsidR="00442EB9" w:rsidRPr="00766896">
        <w:rPr>
          <w:rFonts w:ascii="Arial" w:eastAsia="Calibri" w:hAnsi="Arial" w:cs="Arial"/>
          <w:bCs/>
          <w:color w:val="000000" w:themeColor="text1"/>
          <w:sz w:val="22"/>
        </w:rPr>
        <w:t>,</w:t>
      </w:r>
      <w:r w:rsidRPr="00766896">
        <w:rPr>
          <w:rFonts w:ascii="Arial" w:eastAsia="Calibri" w:hAnsi="Arial" w:cs="Arial"/>
          <w:bCs/>
          <w:color w:val="000000" w:themeColor="text1"/>
          <w:sz w:val="22"/>
        </w:rPr>
        <w:t xml:space="preserve"> así como vi) otorgar beneficios para emprendedores, especialmente, estableciendo un enfoque diferencial respecto a los miembros de las poblaciones más vulnerables, que les permita avanzar en su actividad y desarrollar sus iniciativas</w:t>
      </w:r>
      <w:r w:rsidRPr="00766896">
        <w:rPr>
          <w:rStyle w:val="Refdenotaalpie"/>
          <w:rFonts w:ascii="Arial" w:eastAsia="Calibri" w:hAnsi="Arial" w:cs="Arial"/>
          <w:bCs/>
          <w:color w:val="000000" w:themeColor="text1"/>
          <w:sz w:val="22"/>
        </w:rPr>
        <w:footnoteReference w:id="8"/>
      </w:r>
      <w:r w:rsidRPr="00766896">
        <w:rPr>
          <w:rFonts w:ascii="Arial" w:eastAsia="Calibri" w:hAnsi="Arial" w:cs="Arial"/>
          <w:bCs/>
          <w:color w:val="000000" w:themeColor="text1"/>
          <w:sz w:val="22"/>
        </w:rPr>
        <w:t>.</w:t>
      </w:r>
    </w:p>
    <w:p w14:paraId="769C47BD" w14:textId="5793EBAE" w:rsidR="00C0304B" w:rsidRPr="00766896" w:rsidRDefault="00C0304B" w:rsidP="00C0304B">
      <w:pPr>
        <w:spacing w:before="120" w:line="276" w:lineRule="auto"/>
        <w:ind w:firstLine="709"/>
        <w:jc w:val="both"/>
        <w:rPr>
          <w:rFonts w:ascii="Arial" w:eastAsia="Calibri" w:hAnsi="Arial" w:cs="Arial"/>
          <w:color w:val="000000" w:themeColor="text1"/>
          <w:sz w:val="22"/>
          <w:szCs w:val="22"/>
          <w:lang w:val="es-ES_tradnl"/>
        </w:rPr>
      </w:pPr>
      <w:r w:rsidRPr="00766896">
        <w:rPr>
          <w:rFonts w:ascii="Arial" w:eastAsia="Calibri" w:hAnsi="Arial" w:cs="Arial"/>
          <w:color w:val="000000" w:themeColor="text1"/>
          <w:sz w:val="22"/>
          <w:szCs w:val="22"/>
          <w:lang w:val="es-ES_tradnl"/>
        </w:rPr>
        <w:t xml:space="preserve">Además, 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766896">
        <w:rPr>
          <w:rFonts w:ascii="Arial" w:eastAsia="Calibri" w:hAnsi="Arial" w:cs="Arial"/>
          <w:color w:val="000000" w:themeColor="text1"/>
          <w:sz w:val="22"/>
          <w:szCs w:val="22"/>
          <w:lang w:val="es-ES_tradnl"/>
        </w:rPr>
        <w:t>mipymes</w:t>
      </w:r>
      <w:proofErr w:type="spellEnd"/>
      <w:r w:rsidRPr="00766896">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766896">
        <w:rPr>
          <w:rFonts w:ascii="Arial" w:eastAsia="Calibri" w:hAnsi="Arial" w:cs="Arial"/>
          <w:color w:val="000000" w:themeColor="text1"/>
          <w:sz w:val="22"/>
          <w:szCs w:val="22"/>
          <w:lang w:val="es-ES_tradnl"/>
        </w:rPr>
        <w:t>mipymes</w:t>
      </w:r>
      <w:proofErr w:type="spellEnd"/>
      <w:r w:rsidRPr="00766896">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766896">
        <w:rPr>
          <w:rFonts w:ascii="Arial" w:eastAsia="Calibri" w:hAnsi="Arial" w:cs="Arial"/>
          <w:color w:val="000000" w:themeColor="text1"/>
          <w:sz w:val="22"/>
          <w:szCs w:val="22"/>
          <w:lang w:val="es-ES_tradnl"/>
        </w:rPr>
        <w:t>mipymes</w:t>
      </w:r>
      <w:proofErr w:type="spellEnd"/>
      <w:r w:rsidRPr="00766896">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w:t>
      </w:r>
      <w:r w:rsidR="00212FA8" w:rsidRPr="00766896">
        <w:rPr>
          <w:rFonts w:ascii="Arial" w:eastAsia="Calibri" w:hAnsi="Arial" w:cs="Arial"/>
          <w:color w:val="000000" w:themeColor="text1"/>
          <w:sz w:val="22"/>
          <w:szCs w:val="22"/>
          <w:lang w:val="es-ES_tradnl"/>
        </w:rPr>
        <w:t>l</w:t>
      </w:r>
      <w:r w:rsidRPr="00766896">
        <w:rPr>
          <w:rFonts w:ascii="Arial" w:eastAsia="Calibri" w:hAnsi="Arial" w:cs="Arial"/>
          <w:color w:val="000000" w:themeColor="text1"/>
          <w:sz w:val="22"/>
          <w:szCs w:val="22"/>
          <w:lang w:val="es-ES_tradnl"/>
        </w:rPr>
        <w:t>ey, a continuación se estudiará el contenido y alcance de dicha norma.</w:t>
      </w:r>
    </w:p>
    <w:p w14:paraId="7A8B689F" w14:textId="77777777" w:rsidR="00CE6103" w:rsidRPr="00766896" w:rsidRDefault="00CE6103" w:rsidP="002D13CC">
      <w:pPr>
        <w:spacing w:line="276" w:lineRule="auto"/>
        <w:jc w:val="both"/>
        <w:rPr>
          <w:rFonts w:ascii="Arial" w:hAnsi="Arial" w:cs="Arial"/>
          <w:sz w:val="22"/>
          <w:lang w:val="es-ES_tradnl"/>
        </w:rPr>
      </w:pPr>
    </w:p>
    <w:p w14:paraId="51398CE7" w14:textId="0DE36ACD" w:rsidR="00CE6103" w:rsidRPr="00766896" w:rsidRDefault="00CE6103" w:rsidP="00CE6103">
      <w:pPr>
        <w:tabs>
          <w:tab w:val="left" w:pos="709"/>
        </w:tabs>
        <w:spacing w:line="276" w:lineRule="auto"/>
        <w:jc w:val="both"/>
        <w:rPr>
          <w:rFonts w:ascii="Arial" w:eastAsia="Calibri" w:hAnsi="Arial" w:cs="Arial"/>
          <w:b/>
          <w:color w:val="000000" w:themeColor="text1"/>
          <w:sz w:val="22"/>
        </w:rPr>
      </w:pPr>
      <w:r w:rsidRPr="00766896">
        <w:rPr>
          <w:rFonts w:ascii="Arial" w:eastAsia="Calibri" w:hAnsi="Arial" w:cs="Arial"/>
          <w:b/>
          <w:color w:val="000000" w:themeColor="text1"/>
          <w:sz w:val="22"/>
        </w:rPr>
        <w:t xml:space="preserve">2.2. Intervención del reglamento para la efectividad de la Ley 2069 de 2020 en el </w:t>
      </w:r>
      <w:bookmarkStart w:id="6" w:name="_Hlk63693402"/>
      <w:r w:rsidRPr="00766896">
        <w:rPr>
          <w:rFonts w:ascii="Arial" w:eastAsia="Calibri" w:hAnsi="Arial" w:cs="Arial"/>
          <w:b/>
          <w:color w:val="000000" w:themeColor="text1"/>
          <w:sz w:val="22"/>
        </w:rPr>
        <w:t>sistema de compras pública</w:t>
      </w:r>
      <w:bookmarkEnd w:id="6"/>
      <w:r w:rsidRPr="00766896">
        <w:rPr>
          <w:rFonts w:ascii="Arial" w:eastAsia="Calibri" w:hAnsi="Arial" w:cs="Arial"/>
          <w:b/>
          <w:color w:val="000000" w:themeColor="text1"/>
          <w:sz w:val="22"/>
        </w:rPr>
        <w:t>s</w:t>
      </w:r>
      <w:r w:rsidR="00F334DB" w:rsidRPr="00766896">
        <w:rPr>
          <w:rFonts w:ascii="Arial" w:eastAsia="Calibri" w:hAnsi="Arial" w:cs="Arial"/>
          <w:b/>
          <w:color w:val="000000" w:themeColor="text1"/>
          <w:sz w:val="22"/>
        </w:rPr>
        <w:t>: l</w:t>
      </w:r>
      <w:r w:rsidR="00004E47" w:rsidRPr="00766896">
        <w:rPr>
          <w:rFonts w:ascii="Arial" w:eastAsia="Calibri" w:hAnsi="Arial" w:cs="Arial"/>
          <w:b/>
          <w:color w:val="000000" w:themeColor="text1"/>
          <w:sz w:val="22"/>
        </w:rPr>
        <w:t>a conclusión no es la misma frente a todos los artículos</w:t>
      </w:r>
    </w:p>
    <w:p w14:paraId="27DF5E8C" w14:textId="77777777" w:rsidR="00CE6103" w:rsidRPr="00766896" w:rsidRDefault="00CE6103" w:rsidP="00CE6103">
      <w:pPr>
        <w:tabs>
          <w:tab w:val="left" w:pos="709"/>
        </w:tabs>
        <w:spacing w:line="276" w:lineRule="auto"/>
        <w:jc w:val="both"/>
        <w:rPr>
          <w:rFonts w:ascii="Arial" w:eastAsia="Calibri" w:hAnsi="Arial" w:cs="Arial"/>
          <w:bCs/>
          <w:color w:val="000000" w:themeColor="text1"/>
          <w:sz w:val="22"/>
        </w:rPr>
      </w:pPr>
    </w:p>
    <w:p w14:paraId="3F3AF887" w14:textId="3EF25FC4" w:rsidR="00CE6103" w:rsidRPr="00766896" w:rsidRDefault="009B6DCD" w:rsidP="00CE6103">
      <w:pPr>
        <w:tabs>
          <w:tab w:val="left" w:pos="709"/>
        </w:tabs>
        <w:spacing w:after="120" w:line="276" w:lineRule="auto"/>
        <w:jc w:val="both"/>
        <w:rPr>
          <w:rFonts w:ascii="Arial" w:eastAsia="Calibri" w:hAnsi="Arial" w:cs="Arial"/>
          <w:bCs/>
          <w:color w:val="000000" w:themeColor="text1"/>
          <w:sz w:val="22"/>
        </w:rPr>
      </w:pPr>
      <w:r w:rsidRPr="00766896">
        <w:rPr>
          <w:rFonts w:ascii="Arial" w:eastAsia="Calibri" w:hAnsi="Arial" w:cs="Arial"/>
          <w:color w:val="000000" w:themeColor="text1"/>
          <w:sz w:val="22"/>
          <w:lang w:val="es-ES_tradnl"/>
        </w:rPr>
        <w:t>En la Ley 2069 de 2020 la exigencia de reglamentación como condición de eficacia de su articulado es diversa, o sea, no es similar frente a todo</w:t>
      </w:r>
      <w:r w:rsidR="004B28E0" w:rsidRPr="00766896">
        <w:rPr>
          <w:rFonts w:ascii="Arial" w:eastAsia="Calibri" w:hAnsi="Arial" w:cs="Arial"/>
          <w:color w:val="000000" w:themeColor="text1"/>
          <w:sz w:val="22"/>
          <w:lang w:val="es-ES_tradnl"/>
        </w:rPr>
        <w:t xml:space="preserve">s sus enunciados normativos. Verbigracia, </w:t>
      </w:r>
      <w:r w:rsidR="00CE6103" w:rsidRPr="00766896">
        <w:rPr>
          <w:rFonts w:ascii="Arial" w:eastAsia="Calibri" w:hAnsi="Arial" w:cs="Arial"/>
          <w:color w:val="000000" w:themeColor="text1"/>
          <w:sz w:val="22"/>
          <w:lang w:val="es-ES_tradnl"/>
        </w:rPr>
        <w:t>los artículos 31, 32, 34 y 36 de la Ley 2069 de 2020</w:t>
      </w:r>
      <w:r w:rsidR="00CE6103" w:rsidRPr="00766896">
        <w:rPr>
          <w:rFonts w:ascii="Arial" w:eastAsia="Calibri" w:hAnsi="Arial" w:cs="Arial"/>
          <w:bCs/>
          <w:color w:val="000000" w:themeColor="text1"/>
          <w:sz w:val="22"/>
        </w:rPr>
        <w:t xml:space="preserve"> disponen que el gobierno nacional reglamentará i) los criterios diferenciales para mipymes, ii) la definición de «emprendimientos y empresas de mujeres», iii) las convocatorias limitadas a mipymes y el </w:t>
      </w:r>
      <w:r w:rsidR="00CE6103" w:rsidRPr="00766896">
        <w:rPr>
          <w:rFonts w:ascii="Arial" w:eastAsia="Calibri" w:hAnsi="Arial" w:cs="Arial"/>
          <w:bCs/>
          <w:color w:val="000000" w:themeColor="text1"/>
          <w:sz w:val="22"/>
        </w:rPr>
        <w:lastRenderedPageBreak/>
        <w:t xml:space="preserve">fomento en la ejecución de los contratos estatales por parte de sujetos de especial protección, así como iv) la promoción de las compras públicas de tecnología e innovación. En este contexto, es necesario analizar si las entidades pueden aplicar directamente las normas citadas o, por el contrario, si su efectividad está condicionada a la expedición del reglamento correspondiente. </w:t>
      </w:r>
    </w:p>
    <w:p w14:paraId="545D1A73" w14:textId="77777777" w:rsidR="00CE6103" w:rsidRPr="00766896" w:rsidRDefault="00CE6103" w:rsidP="00CE6103">
      <w:pPr>
        <w:tabs>
          <w:tab w:val="left" w:pos="709"/>
        </w:tabs>
        <w:spacing w:after="120" w:line="276" w:lineRule="auto"/>
        <w:jc w:val="both"/>
        <w:rPr>
          <w:rFonts w:ascii="Arial" w:eastAsia="Calibri" w:hAnsi="Arial" w:cs="Arial"/>
          <w:bCs/>
          <w:color w:val="000000" w:themeColor="text1"/>
          <w:sz w:val="22"/>
        </w:rPr>
      </w:pPr>
      <w:r w:rsidRPr="00766896">
        <w:rPr>
          <w:rFonts w:ascii="Arial" w:eastAsia="Calibri" w:hAnsi="Arial" w:cs="Arial"/>
          <w:bCs/>
          <w:color w:val="000000" w:themeColor="text1"/>
          <w:sz w:val="22"/>
        </w:rPr>
        <w:tab/>
        <w:t xml:space="preserve">La respuesta a la inquietud planteada en el párrafo precedente es de enorme importancia por los efectos prácticos de ambas posiciones. Por un lado, </w:t>
      </w:r>
      <w:bookmarkStart w:id="7" w:name="_Hlk63884320"/>
      <w:r w:rsidRPr="00766896">
        <w:rPr>
          <w:rFonts w:ascii="Arial" w:eastAsia="Calibri" w:hAnsi="Arial" w:cs="Arial"/>
          <w:bCs/>
          <w:color w:val="000000" w:themeColor="text1"/>
          <w:sz w:val="22"/>
        </w:rPr>
        <w:t xml:space="preserve">quien opte por la </w:t>
      </w:r>
      <w:r w:rsidRPr="00766896">
        <w:rPr>
          <w:rFonts w:ascii="Arial" w:eastAsia="Calibri" w:hAnsi="Arial" w:cs="Arial"/>
          <w:bCs/>
          <w:i/>
          <w:iCs/>
          <w:color w:val="000000" w:themeColor="text1"/>
          <w:sz w:val="22"/>
        </w:rPr>
        <w:t>tesis de la aplicación directa</w:t>
      </w:r>
      <w:r w:rsidRPr="00766896">
        <w:rPr>
          <w:rFonts w:ascii="Arial" w:eastAsia="Calibri" w:hAnsi="Arial" w:cs="Arial"/>
          <w:bCs/>
          <w:color w:val="000000" w:themeColor="text1"/>
          <w:sz w:val="22"/>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 </w:t>
      </w:r>
      <w:bookmarkEnd w:id="7"/>
    </w:p>
    <w:p w14:paraId="12CC8B97" w14:textId="77777777" w:rsidR="00CE6103" w:rsidRPr="00766896" w:rsidRDefault="00CE6103" w:rsidP="00CE6103">
      <w:pPr>
        <w:tabs>
          <w:tab w:val="left" w:pos="709"/>
        </w:tabs>
        <w:spacing w:after="120" w:line="276" w:lineRule="auto"/>
        <w:jc w:val="both"/>
        <w:rPr>
          <w:rFonts w:ascii="Arial" w:eastAsia="Calibri" w:hAnsi="Arial" w:cs="Arial"/>
          <w:bCs/>
          <w:color w:val="000000" w:themeColor="text1"/>
          <w:sz w:val="22"/>
        </w:rPr>
      </w:pPr>
      <w:r w:rsidRPr="00766896">
        <w:rPr>
          <w:rFonts w:ascii="Arial" w:eastAsia="Calibri" w:hAnsi="Arial" w:cs="Arial"/>
          <w:bCs/>
          <w:color w:val="000000" w:themeColor="text1"/>
          <w:sz w:val="22"/>
        </w:rPr>
        <w:tab/>
        <w:t>De esta manera, a menor precisión de la ley, mayor es el campo de acción del reglamento: en este el funcionario competente tiene libertad para expedir o no las normas correspondientes. Por ello, la jurisprudencia explica que la competencia reglamentaria prevista en el artículo 189.11 superior también corresponde a un poder discrecional</w:t>
      </w:r>
      <w:r w:rsidRPr="00766896">
        <w:rPr>
          <w:rStyle w:val="Refdenotaalpie"/>
          <w:rFonts w:ascii="Arial" w:eastAsia="Calibri" w:hAnsi="Arial" w:cs="Arial"/>
          <w:bCs/>
          <w:color w:val="000000" w:themeColor="text1"/>
          <w:sz w:val="22"/>
        </w:rPr>
        <w:footnoteReference w:id="9"/>
      </w:r>
      <w:r w:rsidRPr="00766896">
        <w:rPr>
          <w:rFonts w:ascii="Arial" w:eastAsia="Calibri" w:hAnsi="Arial" w:cs="Arial"/>
          <w:bCs/>
          <w:color w:val="000000" w:themeColor="text1"/>
          <w:sz w:val="22"/>
        </w:rPr>
        <w:t>. En este contexto, si la expedición de reglamentos no es obligatoria, la ausencia de estos no excusa la inaplicación de la ley, pues contiene unos elementos mínimos que vinculan directamente a los destinatarios.</w:t>
      </w:r>
    </w:p>
    <w:p w14:paraId="4C13E337" w14:textId="77777777" w:rsidR="00CE6103" w:rsidRPr="00766896" w:rsidRDefault="00CE6103" w:rsidP="00CE6103">
      <w:pPr>
        <w:tabs>
          <w:tab w:val="left" w:pos="709"/>
        </w:tabs>
        <w:spacing w:after="120" w:line="276" w:lineRule="auto"/>
        <w:jc w:val="both"/>
        <w:rPr>
          <w:rFonts w:ascii="Arial" w:eastAsia="Calibri" w:hAnsi="Arial" w:cs="Arial"/>
          <w:bCs/>
          <w:color w:val="000000" w:themeColor="text1"/>
          <w:sz w:val="22"/>
        </w:rPr>
      </w:pPr>
      <w:r w:rsidRPr="00766896">
        <w:rPr>
          <w:rFonts w:ascii="Arial" w:eastAsia="Calibri" w:hAnsi="Arial" w:cs="Arial"/>
          <w:bCs/>
          <w:color w:val="000000" w:themeColor="text1"/>
          <w:sz w:val="22"/>
        </w:rPr>
        <w:tab/>
        <w:t xml:space="preserve">Este es el caso de lo previsto en los artículos 30, 33 y 35 de la Ley de Emprendimiento. En relación con las mipymes y mínima cuantía, </w:t>
      </w:r>
      <w:r w:rsidRPr="00766896">
        <w:rPr>
          <w:rFonts w:ascii="Arial" w:eastAsia="Calibri" w:hAnsi="Arial" w:cs="Arial"/>
          <w:bCs/>
          <w:color w:val="000000" w:themeColor="text1"/>
          <w:sz w:val="22"/>
          <w:lang w:val="es-ES_tradnl"/>
        </w:rPr>
        <w:t xml:space="preserve">dado que el artículo 30 de la Ley 2069 de 2020 regula aspectos como i) el término mínimo para publicar la invitación, ii) el plazo mínimo de recepción de las ofertas, iii) el factor de evaluación que define la selección del proponente y iv) el perfeccionamiento del contrato, las entidades deben estructurar sus procedimientos de selección de acuerdo con estos parámetros, los cuales tienen una aplicación inmediata sin que el reglamento condicione la vigencia de la mínima cuantía. Esto </w:t>
      </w:r>
      <w:r w:rsidRPr="00766896">
        <w:rPr>
          <w:rFonts w:ascii="Arial" w:eastAsia="Calibri" w:hAnsi="Arial" w:cs="Arial"/>
          <w:bCs/>
          <w:color w:val="000000" w:themeColor="text1"/>
          <w:sz w:val="22"/>
        </w:rPr>
        <w:t xml:space="preserve">sin perjuicio de que el Gobierno Nacional, conforme a lo dispuesto en el parágrafo 1 </w:t>
      </w:r>
      <w:r w:rsidRPr="00766896">
        <w:rPr>
          <w:rFonts w:ascii="Arial" w:eastAsia="Calibri" w:hAnsi="Arial" w:cs="Arial"/>
          <w:bCs/>
          <w:i/>
          <w:iCs/>
          <w:color w:val="000000" w:themeColor="text1"/>
          <w:sz w:val="22"/>
        </w:rPr>
        <w:t>ibidem</w:t>
      </w:r>
      <w:r w:rsidRPr="00766896">
        <w:rPr>
          <w:rFonts w:ascii="Arial" w:eastAsia="Calibri" w:hAnsi="Arial" w:cs="Arial"/>
          <w:bCs/>
          <w:color w:val="000000" w:themeColor="text1"/>
          <w:sz w:val="22"/>
        </w:rPr>
        <w:t xml:space="preserve">, ejerza la potestad reglamentaria para </w:t>
      </w:r>
      <w:r w:rsidRPr="00766896">
        <w:rPr>
          <w:rFonts w:ascii="Arial" w:eastAsia="Calibri" w:hAnsi="Arial" w:cs="Arial"/>
          <w:bCs/>
          <w:color w:val="000000" w:themeColor="text1"/>
          <w:sz w:val="22"/>
          <w:lang w:val="es-ES_tradnl"/>
        </w:rPr>
        <w:t xml:space="preserve">regular tanto las particularidades del procedimiento de selección como la posibilidad de realizar estas adquisiciones a </w:t>
      </w:r>
      <w:proofErr w:type="spellStart"/>
      <w:r w:rsidRPr="00766896">
        <w:rPr>
          <w:rFonts w:ascii="Arial" w:eastAsia="Calibri" w:hAnsi="Arial" w:cs="Arial"/>
          <w:bCs/>
          <w:color w:val="000000" w:themeColor="text1"/>
          <w:sz w:val="22"/>
          <w:lang w:val="es-ES_tradnl"/>
        </w:rPr>
        <w:t>mipymes</w:t>
      </w:r>
      <w:proofErr w:type="spellEnd"/>
      <w:r w:rsidRPr="00766896">
        <w:rPr>
          <w:rFonts w:ascii="Arial" w:eastAsia="Calibri" w:hAnsi="Arial" w:cs="Arial"/>
          <w:bCs/>
          <w:color w:val="000000" w:themeColor="text1"/>
          <w:sz w:val="22"/>
          <w:lang w:val="es-ES_tradnl"/>
        </w:rPr>
        <w:t xml:space="preserve"> o establecimientos que correspondan a la definición de «gran almacén».</w:t>
      </w:r>
    </w:p>
    <w:p w14:paraId="32009A23" w14:textId="77777777" w:rsidR="00CE6103" w:rsidRPr="00766896" w:rsidRDefault="00CE6103" w:rsidP="00CE6103">
      <w:pPr>
        <w:tabs>
          <w:tab w:val="left" w:pos="709"/>
        </w:tabs>
        <w:spacing w:after="120" w:line="276" w:lineRule="auto"/>
        <w:jc w:val="both"/>
        <w:rPr>
          <w:rFonts w:ascii="Arial" w:eastAsia="Calibri" w:hAnsi="Arial" w:cs="Arial"/>
          <w:bCs/>
          <w:color w:val="000000" w:themeColor="text1"/>
          <w:sz w:val="22"/>
        </w:rPr>
      </w:pPr>
      <w:r w:rsidRPr="00766896">
        <w:rPr>
          <w:rFonts w:ascii="Arial" w:eastAsia="Calibri" w:hAnsi="Arial" w:cs="Arial"/>
          <w:bCs/>
          <w:color w:val="000000" w:themeColor="text1"/>
          <w:sz w:val="22"/>
        </w:rPr>
        <w:tab/>
        <w:t xml:space="preserve">En lo que se refiere a la promoción del acceso de las mipymes al mercado de compras públicas, la legislación consagra una serie de deberes que deben cumplir los destinatarios en su gestión contractual. Aunque el alcance de estas obligaciones puede delimitarse por otras leyes o reglamentos, lo importante es que el artículo 33 consagra </w:t>
      </w:r>
      <w:r w:rsidRPr="00766896">
        <w:rPr>
          <w:rFonts w:ascii="Arial" w:eastAsia="Calibri" w:hAnsi="Arial" w:cs="Arial"/>
          <w:bCs/>
          <w:color w:val="000000" w:themeColor="text1"/>
          <w:sz w:val="22"/>
        </w:rPr>
        <w:lastRenderedPageBreak/>
        <w:t>elementos mínimos que las entidades deben acatar so pena de una causal de mala conducta.</w:t>
      </w:r>
    </w:p>
    <w:p w14:paraId="5C25EC6E" w14:textId="77777777" w:rsidR="00CE6103" w:rsidRPr="00766896" w:rsidRDefault="00CE6103" w:rsidP="00CE6103">
      <w:pPr>
        <w:tabs>
          <w:tab w:val="left" w:pos="709"/>
        </w:tabs>
        <w:spacing w:after="120" w:line="276" w:lineRule="auto"/>
        <w:jc w:val="both"/>
        <w:rPr>
          <w:rFonts w:ascii="Arial" w:eastAsia="Calibri" w:hAnsi="Arial" w:cs="Arial"/>
          <w:bCs/>
          <w:color w:val="000000" w:themeColor="text1"/>
          <w:sz w:val="22"/>
        </w:rPr>
      </w:pPr>
      <w:r w:rsidRPr="00766896">
        <w:rPr>
          <w:rFonts w:ascii="Arial" w:eastAsia="Calibri" w:hAnsi="Arial" w:cs="Arial"/>
          <w:bCs/>
          <w:color w:val="000000" w:themeColor="text1"/>
          <w:sz w:val="22"/>
        </w:rPr>
        <w:tab/>
        <w:t xml:space="preserve">Igualmente, respecto a los factores de desempate, se encuentra que los mismos se elevaron a rango de ley, por lo que ni el reglamento ni el pliego de condiciones pueden modificarlos, adicionarlos o suprimirlos. En este sentido, las causales del artículo 35 son obligatorias en los procedimientos de selección de las entidades sometidas al Estatuto General, las entidades exceptuadas de la Ley 80 de 1993 y los patrimonios autónomos. De esta manera, sin perjuicio de lo dispuesto en el parágrafo 3 para los casos en que concurren dos o más de los factores de desempate, no requiere de una reglamentación previa para su exigibilidad. </w:t>
      </w:r>
    </w:p>
    <w:p w14:paraId="35EC2F3F" w14:textId="77777777" w:rsidR="00CE6103" w:rsidRPr="00766896" w:rsidRDefault="00CE6103" w:rsidP="00CE6103">
      <w:pPr>
        <w:tabs>
          <w:tab w:val="left" w:pos="709"/>
        </w:tabs>
        <w:spacing w:after="120" w:line="276" w:lineRule="auto"/>
        <w:jc w:val="both"/>
        <w:rPr>
          <w:rFonts w:ascii="Arial" w:eastAsia="Calibri" w:hAnsi="Arial" w:cs="Arial"/>
          <w:bCs/>
          <w:color w:val="000000" w:themeColor="text1"/>
          <w:sz w:val="22"/>
        </w:rPr>
      </w:pPr>
      <w:r w:rsidRPr="00766896">
        <w:rPr>
          <w:rFonts w:ascii="Arial" w:eastAsia="Calibri" w:hAnsi="Arial" w:cs="Arial"/>
          <w:bCs/>
          <w:color w:val="000000" w:themeColor="text1"/>
          <w:sz w:val="22"/>
        </w:rPr>
        <w:tab/>
        <w:t xml:space="preserve">Sin perjuicio de los anterior, es necesario considerar que el artículo 35 de la Ley 2069 de 2020 no establece un medio específico para acreditar las circunstancias a las que se refiere cada causal. Por lo tanto, conforme a lo explicado por esta Agencia en los Conceptos C-012, C-015 y C-016 del 4 de febrero de 2021,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40DD6452" w14:textId="77777777" w:rsidR="00CE6103" w:rsidRPr="00766896" w:rsidRDefault="00CE6103" w:rsidP="00CE6103">
      <w:pPr>
        <w:tabs>
          <w:tab w:val="left" w:pos="709"/>
        </w:tabs>
        <w:spacing w:after="120" w:line="276" w:lineRule="auto"/>
        <w:jc w:val="both"/>
        <w:rPr>
          <w:rFonts w:ascii="Arial" w:eastAsia="Calibri" w:hAnsi="Arial" w:cs="Arial"/>
          <w:bCs/>
          <w:color w:val="000000" w:themeColor="text1"/>
          <w:sz w:val="22"/>
        </w:rPr>
      </w:pPr>
      <w:r w:rsidRPr="00766896">
        <w:rPr>
          <w:rFonts w:ascii="Arial" w:eastAsia="Calibri" w:hAnsi="Arial" w:cs="Arial"/>
          <w:bCs/>
          <w:color w:val="000000" w:themeColor="text1"/>
          <w:sz w:val="22"/>
        </w:rPr>
        <w:tab/>
        <w:t>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en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085E6EDD" w14:textId="77777777" w:rsidR="00CE6103" w:rsidRPr="00766896" w:rsidRDefault="00CE6103" w:rsidP="00CE6103">
      <w:pPr>
        <w:tabs>
          <w:tab w:val="left" w:pos="709"/>
        </w:tabs>
        <w:spacing w:after="120" w:line="276" w:lineRule="auto"/>
        <w:jc w:val="both"/>
        <w:rPr>
          <w:rFonts w:ascii="Arial" w:eastAsia="Calibri" w:hAnsi="Arial" w:cs="Arial"/>
          <w:bCs/>
          <w:color w:val="000000" w:themeColor="text1"/>
          <w:sz w:val="22"/>
        </w:rPr>
      </w:pPr>
      <w:r w:rsidRPr="00766896">
        <w:rPr>
          <w:rFonts w:ascii="Arial" w:eastAsia="Calibri" w:hAnsi="Arial" w:cs="Arial"/>
          <w:bCs/>
          <w:color w:val="000000" w:themeColor="text1"/>
          <w:sz w:val="22"/>
        </w:rPr>
        <w:tab/>
      </w:r>
      <w:bookmarkStart w:id="8" w:name="_Hlk63884375"/>
      <w:r w:rsidRPr="00766896">
        <w:rPr>
          <w:rFonts w:ascii="Arial" w:eastAsia="Calibri" w:hAnsi="Arial" w:cs="Arial"/>
          <w:bCs/>
          <w:color w:val="000000" w:themeColor="text1"/>
          <w:sz w:val="22"/>
        </w:rPr>
        <w:t xml:space="preserve">Ahora bien, la relación entre estas dos (2) fuentes del derecho es totalmente diferente en la </w:t>
      </w:r>
      <w:r w:rsidRPr="00766896">
        <w:rPr>
          <w:rFonts w:ascii="Arial" w:eastAsia="Calibri" w:hAnsi="Arial" w:cs="Arial"/>
          <w:bCs/>
          <w:i/>
          <w:iCs/>
          <w:color w:val="000000" w:themeColor="text1"/>
          <w:sz w:val="22"/>
        </w:rPr>
        <w:t>tesis de la reglamentación</w:t>
      </w:r>
      <w:r w:rsidRPr="00766896">
        <w:rPr>
          <w:rFonts w:ascii="Arial" w:eastAsia="Calibri" w:hAnsi="Arial" w:cs="Arial"/>
          <w:bCs/>
          <w:color w:val="000000" w:themeColor="text1"/>
          <w:sz w:val="22"/>
        </w:rPr>
        <w:t>.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w:t>
      </w:r>
      <w:bookmarkEnd w:id="8"/>
      <w:r w:rsidRPr="00766896">
        <w:rPr>
          <w:rFonts w:ascii="Arial" w:eastAsia="Calibri" w:hAnsi="Arial" w:cs="Arial"/>
          <w:bCs/>
          <w:color w:val="000000" w:themeColor="text1"/>
          <w:sz w:val="22"/>
        </w:rPr>
        <w:t>. Este el caso de los</w:t>
      </w:r>
      <w:r w:rsidRPr="00766896">
        <w:rPr>
          <w:rFonts w:ascii="Arial" w:eastAsia="Calibri" w:hAnsi="Arial" w:cs="Arial"/>
          <w:color w:val="000000" w:themeColor="text1"/>
          <w:sz w:val="22"/>
          <w:lang w:val="es-ES_tradnl"/>
        </w:rPr>
        <w:t xml:space="preserve"> artículos 31, 32, 34 y 36 de la Ley de Emprendimiento</w:t>
      </w:r>
      <w:r w:rsidRPr="00766896">
        <w:rPr>
          <w:rFonts w:ascii="Arial" w:eastAsia="Calibri" w:hAnsi="Arial" w:cs="Arial"/>
          <w:bCs/>
          <w:color w:val="000000" w:themeColor="text1"/>
          <w:sz w:val="22"/>
        </w:rPr>
        <w:t xml:space="preserve">. </w:t>
      </w:r>
    </w:p>
    <w:p w14:paraId="29CFDC4B" w14:textId="77777777" w:rsidR="00CE6103" w:rsidRPr="00766896" w:rsidRDefault="00CE6103" w:rsidP="00CE6103">
      <w:pPr>
        <w:tabs>
          <w:tab w:val="left" w:pos="709"/>
        </w:tabs>
        <w:spacing w:after="120" w:line="276" w:lineRule="auto"/>
        <w:jc w:val="both"/>
        <w:rPr>
          <w:rFonts w:ascii="Arial" w:eastAsia="Calibri" w:hAnsi="Arial" w:cs="Arial"/>
          <w:bCs/>
          <w:color w:val="000000" w:themeColor="text1"/>
          <w:sz w:val="22"/>
        </w:rPr>
      </w:pPr>
      <w:r w:rsidRPr="00766896">
        <w:rPr>
          <w:rFonts w:ascii="Arial" w:eastAsia="Calibri" w:hAnsi="Arial" w:cs="Arial"/>
          <w:bCs/>
          <w:color w:val="000000" w:themeColor="text1"/>
          <w:sz w:val="22"/>
        </w:rPr>
        <w:tab/>
        <w:t>En efecto, estas disposiciones contienen un mandato de reglamentación que debe acatar el Gobierno Nacional</w:t>
      </w:r>
      <w:r w:rsidRPr="00766896">
        <w:rPr>
          <w:rStyle w:val="Refdenotaalpie"/>
          <w:rFonts w:ascii="Arial" w:eastAsia="Calibri" w:hAnsi="Arial" w:cs="Arial"/>
          <w:bCs/>
          <w:color w:val="000000" w:themeColor="text1"/>
          <w:sz w:val="22"/>
        </w:rPr>
        <w:footnoteReference w:id="10"/>
      </w:r>
      <w:r w:rsidRPr="00766896">
        <w:rPr>
          <w:rFonts w:ascii="Arial" w:eastAsia="Calibri" w:hAnsi="Arial" w:cs="Arial"/>
          <w:bCs/>
          <w:color w:val="000000" w:themeColor="text1"/>
          <w:sz w:val="22"/>
        </w:rPr>
        <w:t xml:space="preserve">. Sin el decreto la ley es inaplicable, porque delega en una </w:t>
      </w:r>
      <w:r w:rsidRPr="00766896">
        <w:rPr>
          <w:rFonts w:ascii="Arial" w:eastAsia="Calibri" w:hAnsi="Arial" w:cs="Arial"/>
          <w:bCs/>
          <w:color w:val="000000" w:themeColor="text1"/>
          <w:sz w:val="22"/>
        </w:rPr>
        <w:lastRenderedPageBreak/>
        <w:t xml:space="preserve">fuente de inferior jerarquía la definición de los aspectos relevantes para efectividad de los mandatos contenidos en la misma. En estos casos, la omisión reglamentaria genera una </w:t>
      </w:r>
      <w:r w:rsidRPr="00766896">
        <w:rPr>
          <w:rFonts w:ascii="Arial" w:eastAsia="Calibri" w:hAnsi="Arial" w:cs="Arial"/>
          <w:bCs/>
          <w:i/>
          <w:iCs/>
          <w:color w:val="000000" w:themeColor="text1"/>
          <w:sz w:val="22"/>
        </w:rPr>
        <w:t>laguna técnica</w:t>
      </w:r>
      <w:r w:rsidRPr="00766896">
        <w:rPr>
          <w:rFonts w:ascii="Arial" w:eastAsia="Calibri" w:hAnsi="Arial" w:cs="Arial"/>
          <w:bCs/>
          <w:color w:val="000000" w:themeColor="text1"/>
          <w:sz w:val="22"/>
        </w:rPr>
        <w:t>, la cual se produce «[…] cuando falta en [el ordenamiento] una norma cuya existencia es condición necesaria para la eficacia (y/o para la efectividad) de otra norma. Sucede por tanto que una norma no puede producir efectos jurídicos (y/o no puede ser obedecida o aplicada) en ausencia de otras normas que […] la concreten» (Corchetes fuera de texto)</w:t>
      </w:r>
      <w:r w:rsidRPr="00766896">
        <w:rPr>
          <w:rStyle w:val="Refdenotaalpie"/>
          <w:rFonts w:ascii="Arial" w:eastAsia="Calibri" w:hAnsi="Arial" w:cs="Arial"/>
          <w:bCs/>
          <w:color w:val="000000" w:themeColor="text1"/>
          <w:sz w:val="22"/>
        </w:rPr>
        <w:footnoteReference w:id="11"/>
      </w:r>
      <w:r w:rsidRPr="00766896">
        <w:rPr>
          <w:rFonts w:ascii="Arial" w:eastAsia="Calibri" w:hAnsi="Arial" w:cs="Arial"/>
          <w:bCs/>
          <w:color w:val="000000" w:themeColor="text1"/>
          <w:sz w:val="22"/>
        </w:rPr>
        <w:t>.</w:t>
      </w:r>
    </w:p>
    <w:p w14:paraId="2642F214" w14:textId="543E5DE4" w:rsidR="00CE6103" w:rsidRPr="00766896" w:rsidRDefault="00CE6103" w:rsidP="00CE6103">
      <w:pPr>
        <w:tabs>
          <w:tab w:val="left" w:pos="709"/>
        </w:tabs>
        <w:spacing w:after="120" w:line="276" w:lineRule="auto"/>
        <w:jc w:val="both"/>
        <w:rPr>
          <w:rFonts w:ascii="Arial" w:eastAsia="Calibri" w:hAnsi="Arial" w:cs="Arial"/>
          <w:bCs/>
          <w:color w:val="000000" w:themeColor="text1"/>
          <w:sz w:val="22"/>
        </w:rPr>
      </w:pPr>
      <w:r w:rsidRPr="00766896">
        <w:rPr>
          <w:rFonts w:ascii="Arial" w:eastAsia="Calibri" w:hAnsi="Arial" w:cs="Arial"/>
          <w:bCs/>
          <w:color w:val="000000" w:themeColor="text1"/>
          <w:sz w:val="22"/>
        </w:rPr>
        <w:tab/>
      </w:r>
      <w:r w:rsidR="0055291B" w:rsidRPr="00766896">
        <w:rPr>
          <w:rFonts w:ascii="Arial" w:eastAsia="Calibri" w:hAnsi="Arial" w:cs="Arial"/>
          <w:bCs/>
          <w:color w:val="000000" w:themeColor="text1"/>
          <w:sz w:val="22"/>
        </w:rPr>
        <w:t xml:space="preserve">Este tipo de lagunas no son ajenas a la contratación estatal, ya que –conforme a los antecedentes de la consulta– el procedimiento para la cesión unilateral del contrato del artículo 9 de la Ley 2014 de 2019 también estaba condicionado por su reglamentación previa en los términos del parágrafo 2 </w:t>
      </w:r>
      <w:r w:rsidR="0055291B" w:rsidRPr="00766896">
        <w:rPr>
          <w:rFonts w:ascii="Arial" w:eastAsia="Calibri" w:hAnsi="Arial" w:cs="Arial"/>
          <w:bCs/>
          <w:i/>
          <w:iCs/>
          <w:color w:val="000000" w:themeColor="text1"/>
          <w:sz w:val="22"/>
        </w:rPr>
        <w:t>ibidem</w:t>
      </w:r>
      <w:r w:rsidR="0055291B" w:rsidRPr="00766896">
        <w:rPr>
          <w:rFonts w:ascii="Arial" w:eastAsia="Calibri" w:hAnsi="Arial" w:cs="Arial"/>
          <w:bCs/>
          <w:color w:val="000000" w:themeColor="text1"/>
          <w:sz w:val="22"/>
        </w:rPr>
        <w:t xml:space="preserve"> antes de su declaratoria de inconstitucionalidad</w:t>
      </w:r>
      <w:r w:rsidR="0055291B" w:rsidRPr="00766896">
        <w:rPr>
          <w:rStyle w:val="Refdenotaalpie"/>
          <w:rFonts w:ascii="Arial" w:eastAsia="Calibri" w:hAnsi="Arial" w:cs="Arial"/>
          <w:bCs/>
          <w:color w:val="000000" w:themeColor="text1"/>
          <w:sz w:val="22"/>
        </w:rPr>
        <w:footnoteReference w:id="12"/>
      </w:r>
      <w:r w:rsidRPr="00766896">
        <w:rPr>
          <w:rFonts w:ascii="Arial" w:eastAsia="Calibri" w:hAnsi="Arial" w:cs="Arial"/>
          <w:bCs/>
          <w:color w:val="000000" w:themeColor="text1"/>
          <w:sz w:val="22"/>
        </w:rPr>
        <w:t>. Para llegar a esta conclusión, es necesario tener en cuenta que las normas jurídicas, por regla general, producen efectos a partir de su promulgación o publicación. De allí se derivan principios tales como la irretroactividad de la ley y su efecto general inmediato</w:t>
      </w:r>
      <w:r w:rsidRPr="00766896">
        <w:rPr>
          <w:rStyle w:val="Refdenotaalpie"/>
          <w:rFonts w:ascii="Arial" w:eastAsia="Calibri" w:hAnsi="Arial" w:cs="Arial"/>
          <w:bCs/>
          <w:color w:val="000000" w:themeColor="text1"/>
          <w:sz w:val="22"/>
        </w:rPr>
        <w:footnoteReference w:id="13"/>
      </w:r>
      <w:r w:rsidRPr="00766896">
        <w:rPr>
          <w:rFonts w:ascii="Arial" w:eastAsia="Calibri" w:hAnsi="Arial" w:cs="Arial"/>
          <w:bCs/>
          <w:color w:val="000000" w:themeColor="text1"/>
          <w:sz w:val="22"/>
        </w:rPr>
        <w:t xml:space="preserve">. </w:t>
      </w:r>
    </w:p>
    <w:p w14:paraId="714DB205" w14:textId="77777777" w:rsidR="00CE6103" w:rsidRPr="00766896" w:rsidRDefault="00CE6103" w:rsidP="00CE6103">
      <w:pPr>
        <w:spacing w:after="120" w:line="276" w:lineRule="auto"/>
        <w:ind w:firstLine="709"/>
        <w:jc w:val="both"/>
        <w:rPr>
          <w:rFonts w:ascii="Arial" w:eastAsia="Calibri" w:hAnsi="Arial" w:cs="Arial"/>
          <w:color w:val="000000" w:themeColor="text1"/>
          <w:sz w:val="22"/>
          <w:lang w:val="es-ES"/>
        </w:rPr>
      </w:pPr>
      <w:r w:rsidRPr="00766896">
        <w:rPr>
          <w:rFonts w:ascii="Arial" w:eastAsia="Calibri" w:hAnsi="Arial" w:cs="Arial"/>
          <w:color w:val="000000" w:themeColor="text1"/>
          <w:sz w:val="22"/>
          <w:lang w:val="es-ES"/>
        </w:rPr>
        <w:lastRenderedPageBreak/>
        <w:t xml:space="preserve">Sin embargo, las leyes pueden modular sus efectos en el tiempo y establecer para el inicio de su entrada en vigor un plazo o una condición. Ejemplo de una norma que establece un plazo es la Ley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14:paraId="4CB351F7" w14:textId="77777777" w:rsidR="00CE6103" w:rsidRPr="00766896" w:rsidRDefault="00CE6103" w:rsidP="00CE6103">
      <w:pPr>
        <w:spacing w:line="276" w:lineRule="auto"/>
        <w:ind w:firstLine="709"/>
        <w:jc w:val="both"/>
        <w:rPr>
          <w:rFonts w:ascii="Arial" w:eastAsia="Calibri" w:hAnsi="Arial" w:cs="Arial"/>
          <w:color w:val="000000" w:themeColor="text1"/>
          <w:sz w:val="22"/>
          <w:lang w:val="es-ES"/>
        </w:rPr>
      </w:pPr>
      <w:r w:rsidRPr="00766896">
        <w:rPr>
          <w:rFonts w:ascii="Arial" w:eastAsia="Calibri" w:hAnsi="Arial" w:cs="Arial"/>
          <w:color w:val="000000" w:themeColor="text1"/>
          <w:sz w:val="22"/>
          <w:lang w:val="es-ES"/>
        </w:rPr>
        <w:t xml:space="preserve">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 pero esas normas no podían aplicarse hasta que no se cumpliera la condición: la expedición del reglamento. Sobre este asunto, es preciso llamar la atención sobre la jurisprudencia. Al respecto, el Consejo de Estado considera que: </w:t>
      </w:r>
    </w:p>
    <w:p w14:paraId="165C5D28" w14:textId="77777777" w:rsidR="00CE6103" w:rsidRPr="00766896" w:rsidRDefault="00CE6103" w:rsidP="00CE6103">
      <w:pPr>
        <w:shd w:val="clear" w:color="auto" w:fill="FFFFFF"/>
        <w:spacing w:line="276" w:lineRule="auto"/>
        <w:ind w:left="709" w:right="760"/>
        <w:jc w:val="both"/>
        <w:rPr>
          <w:rFonts w:ascii="Arial" w:eastAsia="Calibri" w:hAnsi="Arial" w:cs="Arial"/>
          <w:color w:val="000000" w:themeColor="text1"/>
          <w:sz w:val="22"/>
          <w:lang w:val="es-ES"/>
        </w:rPr>
      </w:pPr>
    </w:p>
    <w:p w14:paraId="706E74A3" w14:textId="77777777" w:rsidR="00CE6103" w:rsidRPr="00766896" w:rsidRDefault="00CE6103" w:rsidP="00CE6103">
      <w:pPr>
        <w:shd w:val="clear" w:color="auto" w:fill="FFFFFF"/>
        <w:ind w:left="709" w:right="760"/>
        <w:jc w:val="both"/>
        <w:rPr>
          <w:rFonts w:ascii="Arial" w:eastAsia="Calibri" w:hAnsi="Arial" w:cs="Arial"/>
          <w:color w:val="000000" w:themeColor="text1"/>
          <w:sz w:val="21"/>
          <w:szCs w:val="21"/>
          <w:lang w:val="es-ES"/>
        </w:rPr>
      </w:pPr>
      <w:r w:rsidRPr="00766896">
        <w:rPr>
          <w:rFonts w:ascii="Arial" w:eastAsia="Calibri" w:hAnsi="Arial" w:cs="Arial"/>
          <w:color w:val="000000" w:themeColor="text1"/>
          <w:sz w:val="21"/>
          <w:szCs w:val="21"/>
          <w:lang w:val="es-ES"/>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766896">
        <w:rPr>
          <w:rStyle w:val="Refdenotaalpie"/>
          <w:rFonts w:ascii="Arial" w:eastAsia="Calibri" w:hAnsi="Arial" w:cs="Arial"/>
          <w:color w:val="000000" w:themeColor="text1"/>
          <w:sz w:val="21"/>
          <w:szCs w:val="21"/>
          <w:lang w:val="es-ES"/>
        </w:rPr>
        <w:footnoteReference w:id="14"/>
      </w:r>
      <w:r w:rsidRPr="00766896">
        <w:rPr>
          <w:rFonts w:ascii="Arial" w:eastAsia="Calibri" w:hAnsi="Arial" w:cs="Arial"/>
          <w:color w:val="000000" w:themeColor="text1"/>
          <w:sz w:val="21"/>
          <w:szCs w:val="21"/>
          <w:lang w:val="es-ES"/>
        </w:rPr>
        <w:t>.</w:t>
      </w:r>
    </w:p>
    <w:p w14:paraId="587D7864" w14:textId="77777777" w:rsidR="00CE6103" w:rsidRPr="00766896" w:rsidRDefault="00CE6103" w:rsidP="00CE6103">
      <w:pPr>
        <w:shd w:val="clear" w:color="auto" w:fill="FFFFFF"/>
        <w:spacing w:line="276" w:lineRule="auto"/>
        <w:ind w:left="709" w:right="760"/>
        <w:jc w:val="both"/>
        <w:rPr>
          <w:rFonts w:ascii="Arial" w:eastAsia="Calibri" w:hAnsi="Arial" w:cs="Arial"/>
          <w:color w:val="000000" w:themeColor="text1"/>
          <w:sz w:val="22"/>
          <w:lang w:val="es-ES"/>
        </w:rPr>
      </w:pPr>
    </w:p>
    <w:p w14:paraId="608072D0" w14:textId="6565F9DE" w:rsidR="00CE6103" w:rsidRPr="00766896" w:rsidRDefault="00CE6103" w:rsidP="00CE6103">
      <w:pPr>
        <w:shd w:val="clear" w:color="auto" w:fill="FFFFFF"/>
        <w:spacing w:after="120" w:line="276" w:lineRule="auto"/>
        <w:ind w:right="51" w:firstLine="709"/>
        <w:jc w:val="both"/>
        <w:rPr>
          <w:rFonts w:ascii="Arial" w:eastAsia="Calibri" w:hAnsi="Arial" w:cs="Arial"/>
          <w:color w:val="000000" w:themeColor="text1"/>
          <w:sz w:val="22"/>
          <w:lang w:val="es-ES"/>
        </w:rPr>
      </w:pPr>
      <w:bookmarkStart w:id="9" w:name="_Hlk63884655"/>
      <w:r w:rsidRPr="00766896">
        <w:rPr>
          <w:rFonts w:ascii="Arial" w:eastAsia="Calibri" w:hAnsi="Arial" w:cs="Arial"/>
          <w:color w:val="000000" w:themeColor="text1"/>
          <w:sz w:val="22"/>
          <w:lang w:val="es-ES"/>
        </w:rPr>
        <w:t xml:space="preserve">La referencia hecha en una ley a que el </w:t>
      </w:r>
      <w:r w:rsidR="00BC296E" w:rsidRPr="00766896">
        <w:rPr>
          <w:rFonts w:ascii="Arial" w:eastAsia="Calibri" w:hAnsi="Arial" w:cs="Arial"/>
          <w:color w:val="000000" w:themeColor="text1"/>
          <w:sz w:val="22"/>
          <w:lang w:val="es-ES"/>
        </w:rPr>
        <w:t>g</w:t>
      </w:r>
      <w:r w:rsidRPr="00766896">
        <w:rPr>
          <w:rFonts w:ascii="Arial" w:eastAsia="Calibri" w:hAnsi="Arial" w:cs="Arial"/>
          <w:color w:val="000000" w:themeColor="text1"/>
          <w:sz w:val="22"/>
          <w:lang w:val="es-ES"/>
        </w:rPr>
        <w:t xml:space="preserve">obierno </w:t>
      </w:r>
      <w:r w:rsidR="00BC296E" w:rsidRPr="00766896">
        <w:rPr>
          <w:rFonts w:ascii="Arial" w:eastAsia="Calibri" w:hAnsi="Arial" w:cs="Arial"/>
          <w:color w:val="000000" w:themeColor="text1"/>
          <w:sz w:val="22"/>
          <w:lang w:val="es-ES"/>
        </w:rPr>
        <w:t>n</w:t>
      </w:r>
      <w:r w:rsidRPr="00766896">
        <w:rPr>
          <w:rFonts w:ascii="Arial" w:eastAsia="Calibri" w:hAnsi="Arial" w:cs="Arial"/>
          <w:color w:val="000000" w:themeColor="text1"/>
          <w:sz w:val="22"/>
          <w:lang w:val="es-ES"/>
        </w:rPr>
        <w:t>acional reglamentará la materia indica que el reglamento es indispensable para el cumplimiento de la misma. Naturalmente, este reconocimiento no siempre implica que la ley está sometida a condición para entrar en vigencia; pero cuando ello se analiza con otros elementos que obran en este sentido, como los antecedentes legislativos, es posible utilizar la referencia al reglamento como una prueba de que la ley moduló sus efectos en el tiempo y se encuentra sometida a condición.</w:t>
      </w:r>
    </w:p>
    <w:bookmarkEnd w:id="9"/>
    <w:p w14:paraId="2A2370DC" w14:textId="2C756FEB" w:rsidR="00CE6103" w:rsidRPr="00766896" w:rsidRDefault="003C7E50" w:rsidP="007B53DB">
      <w:pPr>
        <w:shd w:val="clear" w:color="auto" w:fill="FFFFFF"/>
        <w:spacing w:after="120" w:line="276" w:lineRule="auto"/>
        <w:ind w:right="51" w:firstLine="709"/>
        <w:jc w:val="both"/>
        <w:rPr>
          <w:rFonts w:ascii="Arial" w:eastAsia="Calibri" w:hAnsi="Arial" w:cs="Arial"/>
          <w:bCs/>
          <w:color w:val="000000" w:themeColor="text1"/>
          <w:sz w:val="22"/>
        </w:rPr>
      </w:pPr>
      <w:r w:rsidRPr="00766896">
        <w:rPr>
          <w:rFonts w:ascii="Arial" w:eastAsia="Calibri" w:hAnsi="Arial" w:cs="Arial"/>
          <w:color w:val="000000" w:themeColor="text1"/>
          <w:sz w:val="22"/>
          <w:lang w:val="es-ES"/>
        </w:rPr>
        <w:t xml:space="preserve">En tal sentido, </w:t>
      </w:r>
      <w:r w:rsidR="00CE6103" w:rsidRPr="00766896">
        <w:rPr>
          <w:rFonts w:ascii="Arial" w:eastAsia="Calibri" w:hAnsi="Arial" w:cs="Arial"/>
          <w:color w:val="000000" w:themeColor="text1"/>
          <w:sz w:val="22"/>
          <w:lang w:val="es-ES"/>
        </w:rPr>
        <w:t xml:space="preserve">el Congreso de la República dispuso la expedición de un decreto reglamentario para detallar el contenido </w:t>
      </w:r>
      <w:r w:rsidR="00CE6103" w:rsidRPr="00766896">
        <w:rPr>
          <w:rFonts w:ascii="Arial" w:eastAsia="Calibri" w:hAnsi="Arial" w:cs="Arial"/>
          <w:color w:val="000000" w:themeColor="text1"/>
          <w:sz w:val="22"/>
          <w:lang w:val="es-ES_tradnl"/>
        </w:rPr>
        <w:t>los artículos 31, 32, 34 y 36 de la Ley 2069 de 2020</w:t>
      </w:r>
      <w:r w:rsidR="00CE6103" w:rsidRPr="00766896">
        <w:rPr>
          <w:rFonts w:ascii="Arial" w:eastAsia="Calibri" w:hAnsi="Arial" w:cs="Arial"/>
          <w:color w:val="000000" w:themeColor="text1"/>
          <w:sz w:val="22"/>
          <w:lang w:val="es-ES"/>
        </w:rPr>
        <w:t xml:space="preserve">. Por ello, en ausencia de desarrollo normativo posterior existe una </w:t>
      </w:r>
      <w:r w:rsidR="00CE6103" w:rsidRPr="00766896">
        <w:rPr>
          <w:rFonts w:ascii="Arial" w:eastAsia="Calibri" w:hAnsi="Arial" w:cs="Arial"/>
          <w:i/>
          <w:iCs/>
          <w:color w:val="000000" w:themeColor="text1"/>
          <w:sz w:val="22"/>
          <w:lang w:val="es-ES"/>
        </w:rPr>
        <w:t>laguna técnica</w:t>
      </w:r>
      <w:r w:rsidR="00CE6103" w:rsidRPr="00766896">
        <w:rPr>
          <w:rFonts w:ascii="Arial" w:eastAsia="Calibri" w:hAnsi="Arial" w:cs="Arial"/>
          <w:color w:val="000000" w:themeColor="text1"/>
          <w:sz w:val="22"/>
          <w:lang w:val="es-ES"/>
        </w:rPr>
        <w:t xml:space="preserve"> que impide aplicar estas disposiciones</w:t>
      </w:r>
      <w:r w:rsidR="00CE6103" w:rsidRPr="00766896">
        <w:rPr>
          <w:rFonts w:ascii="Arial" w:eastAsia="Calibri" w:hAnsi="Arial" w:cs="Arial"/>
          <w:bCs/>
          <w:color w:val="000000" w:themeColor="text1"/>
          <w:sz w:val="22"/>
        </w:rPr>
        <w:t>.</w:t>
      </w:r>
      <w:r w:rsidR="007B53DB" w:rsidRPr="00766896">
        <w:rPr>
          <w:rFonts w:ascii="Arial" w:eastAsia="Calibri" w:hAnsi="Arial" w:cs="Arial"/>
          <w:bCs/>
          <w:color w:val="000000" w:themeColor="text1"/>
          <w:sz w:val="22"/>
        </w:rPr>
        <w:t xml:space="preserve"> </w:t>
      </w:r>
      <w:r w:rsidR="00CE6103" w:rsidRPr="00766896">
        <w:rPr>
          <w:rFonts w:ascii="Arial" w:eastAsia="Calibri" w:hAnsi="Arial" w:cs="Arial"/>
          <w:bCs/>
          <w:color w:val="000000" w:themeColor="text1"/>
          <w:sz w:val="22"/>
        </w:rPr>
        <w:t xml:space="preserve">En este caso, la necesidad de la reglamentación previa también deriva de los antecedentes legislativos. En lo pertinente, el texto inicial de los artículos 15 y 17 del Proyecto de Ley No. 122 de 2020 disponía que la necesidad del </w:t>
      </w:r>
      <w:r w:rsidR="00CE6103" w:rsidRPr="00766896">
        <w:rPr>
          <w:rFonts w:ascii="Arial" w:eastAsia="Calibri" w:hAnsi="Arial" w:cs="Arial"/>
          <w:bCs/>
          <w:color w:val="000000" w:themeColor="text1"/>
          <w:sz w:val="22"/>
        </w:rPr>
        <w:lastRenderedPageBreak/>
        <w:t>reglamento en lo relacionado con i) los criterios diferenciales para mipymes y ii) las convocatorias limitadas a mipymes, así como el fomento en la ejecución de los contratos estatales por parte de sujetos de especial protección</w:t>
      </w:r>
      <w:r w:rsidR="00CE6103" w:rsidRPr="00766896">
        <w:rPr>
          <w:rStyle w:val="Refdenotaalpie"/>
          <w:rFonts w:ascii="Arial" w:eastAsia="Calibri" w:hAnsi="Arial" w:cs="Arial"/>
          <w:bCs/>
          <w:color w:val="000000" w:themeColor="text1"/>
          <w:sz w:val="22"/>
        </w:rPr>
        <w:footnoteReference w:id="15"/>
      </w:r>
      <w:r w:rsidR="00CE6103" w:rsidRPr="00766896">
        <w:rPr>
          <w:rFonts w:ascii="Arial" w:eastAsia="Calibri" w:hAnsi="Arial" w:cs="Arial"/>
          <w:bCs/>
          <w:color w:val="000000" w:themeColor="text1"/>
          <w:sz w:val="22"/>
        </w:rPr>
        <w:t xml:space="preserve">. </w:t>
      </w:r>
    </w:p>
    <w:p w14:paraId="2CAD6703" w14:textId="77777777" w:rsidR="00CE6103" w:rsidRPr="00766896" w:rsidRDefault="00CE6103" w:rsidP="00CE6103">
      <w:pPr>
        <w:shd w:val="clear" w:color="auto" w:fill="FFFFFF"/>
        <w:spacing w:after="120" w:line="276" w:lineRule="auto"/>
        <w:ind w:right="51" w:firstLine="709"/>
        <w:jc w:val="both"/>
        <w:rPr>
          <w:rFonts w:ascii="Arial" w:eastAsia="Calibri" w:hAnsi="Arial" w:cs="Arial"/>
          <w:bCs/>
          <w:color w:val="000000" w:themeColor="text1"/>
          <w:sz w:val="22"/>
        </w:rPr>
      </w:pPr>
      <w:r w:rsidRPr="00766896">
        <w:rPr>
          <w:rFonts w:ascii="Arial" w:eastAsia="Calibri" w:hAnsi="Arial" w:cs="Arial"/>
          <w:bCs/>
          <w:color w:val="000000" w:themeColor="text1"/>
          <w:sz w:val="22"/>
        </w:rPr>
        <w:t xml:space="preserve">Como puede verificarse en las Gacetas del Congreso No. 1334 del 18 de noviembre de 2020 y 1389 de 14 de diciembre de 2020, además de que –para el segundo debate– el artículo 24 dispuso que la definición de «emprendimientos y empresas de mujeres» correspondería al reglamento, el artículo 36 del texto conciliado incluye lo propio para las compras públicas de tecnología e innovación. Incluso, tratándose de </w:t>
      </w:r>
      <w:r w:rsidRPr="00766896">
        <w:rPr>
          <w:rFonts w:ascii="Arial" w:eastAsia="Calibri" w:hAnsi="Arial" w:cs="Arial"/>
          <w:color w:val="000000" w:themeColor="text1"/>
          <w:sz w:val="22"/>
          <w:lang w:val="es-ES_tradnl"/>
        </w:rPr>
        <w:t>los artículos 31, 32, 34 y 36 de la Ley 2069 de 2020</w:t>
      </w:r>
      <w:r w:rsidRPr="00766896">
        <w:rPr>
          <w:rFonts w:ascii="Arial" w:eastAsia="Calibri" w:hAnsi="Arial" w:cs="Arial"/>
          <w:bCs/>
          <w:color w:val="000000" w:themeColor="text1"/>
          <w:sz w:val="22"/>
        </w:rPr>
        <w:t xml:space="preserve"> la remisión al reglamento es razonable y está justificada, pues si eventualmente la concreción de estos aspectos se dejara a la discrecionalidad de las entidades contratantes, generaría un clima de inseguridad e incertidumbre para los interesados en acceder al sistema de compras públicas. Desde esta perspectiva, la exigencia de la reglamentación tiene pretensiones unificadoras.    </w:t>
      </w:r>
    </w:p>
    <w:p w14:paraId="1355B5AF" w14:textId="77777777" w:rsidR="00CE6103" w:rsidRPr="00766896" w:rsidRDefault="00CE6103" w:rsidP="00CE6103">
      <w:pPr>
        <w:shd w:val="clear" w:color="auto" w:fill="FFFFFF"/>
        <w:spacing w:after="120" w:line="276" w:lineRule="auto"/>
        <w:ind w:right="51" w:firstLine="709"/>
        <w:jc w:val="both"/>
        <w:rPr>
          <w:rFonts w:ascii="Arial" w:eastAsia="Calibri" w:hAnsi="Arial" w:cs="Arial"/>
          <w:bCs/>
          <w:color w:val="000000" w:themeColor="text1"/>
          <w:sz w:val="22"/>
        </w:rPr>
      </w:pPr>
      <w:r w:rsidRPr="00766896">
        <w:rPr>
          <w:rFonts w:ascii="Arial" w:eastAsia="Calibri" w:hAnsi="Arial" w:cs="Arial"/>
          <w:bCs/>
          <w:color w:val="000000" w:themeColor="text1"/>
          <w:sz w:val="22"/>
        </w:rPr>
        <w:t xml:space="preserve">Por tanto, </w:t>
      </w:r>
      <w:bookmarkStart w:id="10" w:name="_Hlk51668471"/>
      <w:r w:rsidRPr="00766896">
        <w:rPr>
          <w:rFonts w:ascii="Arial" w:eastAsia="Calibri" w:hAnsi="Arial" w:cs="Arial"/>
          <w:bCs/>
          <w:color w:val="000000" w:themeColor="text1"/>
          <w:sz w:val="22"/>
        </w:rPr>
        <w:t>si bien en principio el ejercicio de la potestad reglamentaria es discrecional, esta puede ser excepcionalmente obligatoria para efectividad de la ley. Por ejemplo, para la doctrina esto último sucede cuando «[…] la necesidad del reglamento es inminente, y así nace desde la norma que confiere la potestad reglamentaria […]»</w:t>
      </w:r>
      <w:r w:rsidRPr="00766896">
        <w:rPr>
          <w:rStyle w:val="Refdenotaalpie"/>
          <w:rFonts w:ascii="Arial" w:eastAsia="Calibri" w:hAnsi="Arial" w:cs="Arial"/>
          <w:bCs/>
          <w:color w:val="000000" w:themeColor="text1"/>
          <w:sz w:val="22"/>
        </w:rPr>
        <w:footnoteReference w:id="16"/>
      </w:r>
      <w:r w:rsidRPr="00766896">
        <w:rPr>
          <w:rFonts w:ascii="Arial" w:eastAsia="Calibri" w:hAnsi="Arial" w:cs="Arial"/>
          <w:bCs/>
          <w:color w:val="000000" w:themeColor="text1"/>
          <w:sz w:val="22"/>
        </w:rPr>
        <w:t>. En este tipo de situaciones, «[…] las autoridades no tienen -ni tuvieron- la posibilidad de escoger entre expedir el acto o dejar de hacerlo. Es decir, se trata de una potestad reglada, desde el punto de vista de la necesidad de la actuación»</w:t>
      </w:r>
      <w:r w:rsidRPr="00766896">
        <w:rPr>
          <w:rStyle w:val="Refdenotaalpie"/>
          <w:rFonts w:ascii="Arial" w:eastAsia="Calibri" w:hAnsi="Arial" w:cs="Arial"/>
          <w:bCs/>
          <w:color w:val="000000" w:themeColor="text1"/>
          <w:sz w:val="22"/>
        </w:rPr>
        <w:footnoteReference w:id="17"/>
      </w:r>
      <w:r w:rsidRPr="00766896">
        <w:rPr>
          <w:rFonts w:ascii="Arial" w:eastAsia="Calibri" w:hAnsi="Arial" w:cs="Arial"/>
          <w:bCs/>
          <w:color w:val="000000" w:themeColor="text1"/>
          <w:sz w:val="22"/>
        </w:rPr>
        <w:t>.</w:t>
      </w:r>
    </w:p>
    <w:p w14:paraId="26B1BDA4" w14:textId="313F0121" w:rsidR="00BD7E2E" w:rsidRPr="00766896" w:rsidRDefault="00CE6103" w:rsidP="0043448A">
      <w:pPr>
        <w:shd w:val="clear" w:color="auto" w:fill="FFFFFF"/>
        <w:spacing w:line="276" w:lineRule="auto"/>
        <w:ind w:right="51" w:firstLine="709"/>
        <w:jc w:val="both"/>
        <w:rPr>
          <w:rFonts w:ascii="Arial" w:eastAsia="Calibri" w:hAnsi="Arial" w:cs="Arial"/>
          <w:bCs/>
          <w:color w:val="000000" w:themeColor="text1"/>
          <w:sz w:val="22"/>
        </w:rPr>
      </w:pPr>
      <w:r w:rsidRPr="00766896">
        <w:rPr>
          <w:rFonts w:ascii="Arial" w:eastAsia="Calibri" w:hAnsi="Arial" w:cs="Arial"/>
          <w:bCs/>
          <w:color w:val="000000" w:themeColor="text1"/>
          <w:sz w:val="22"/>
        </w:rPr>
        <w:t>En ese orden de ideas, es posible afirmar que</w:t>
      </w:r>
      <w:bookmarkEnd w:id="10"/>
      <w:r w:rsidRPr="00766896">
        <w:rPr>
          <w:rFonts w:ascii="Arial" w:eastAsia="Calibri" w:hAnsi="Arial" w:cs="Arial"/>
          <w:bCs/>
          <w:color w:val="000000" w:themeColor="text1"/>
          <w:sz w:val="22"/>
        </w:rPr>
        <w:t xml:space="preserve">, </w:t>
      </w:r>
      <w:bookmarkStart w:id="11" w:name="_Hlk63884107"/>
      <w:r w:rsidRPr="00766896">
        <w:rPr>
          <w:rFonts w:ascii="Arial" w:eastAsia="Calibri" w:hAnsi="Arial" w:cs="Arial"/>
          <w:bCs/>
          <w:color w:val="000000" w:themeColor="text1"/>
          <w:sz w:val="22"/>
        </w:rPr>
        <w:t xml:space="preserve">en </w:t>
      </w:r>
      <w:r w:rsidRPr="00766896">
        <w:rPr>
          <w:rFonts w:ascii="Arial" w:eastAsia="Calibri" w:hAnsi="Arial" w:cs="Arial"/>
          <w:color w:val="000000" w:themeColor="text1"/>
          <w:sz w:val="22"/>
          <w:lang w:val="es-ES_tradnl"/>
        </w:rPr>
        <w:t>los artículos 31, 32, 34 y 36</w:t>
      </w:r>
      <w:r w:rsidRPr="00766896">
        <w:rPr>
          <w:rFonts w:ascii="Arial" w:eastAsia="Calibri" w:hAnsi="Arial" w:cs="Arial"/>
          <w:bCs/>
          <w:color w:val="000000" w:themeColor="text1"/>
          <w:sz w:val="22"/>
        </w:rPr>
        <w:t xml:space="preserve">, el Congreso de la República reconoce la necesidad de un reglamento para el efectivo cumplimiento de la </w:t>
      </w:r>
      <w:r w:rsidRPr="00766896">
        <w:rPr>
          <w:rFonts w:ascii="Arial" w:eastAsia="Calibri" w:hAnsi="Arial" w:cs="Arial"/>
          <w:color w:val="000000" w:themeColor="text1"/>
          <w:sz w:val="22"/>
          <w:lang w:val="es-ES_tradnl"/>
        </w:rPr>
        <w:t>Ley 2069 de 2020</w:t>
      </w:r>
      <w:r w:rsidRPr="00766896">
        <w:rPr>
          <w:rFonts w:ascii="Arial" w:eastAsia="Calibri" w:hAnsi="Arial" w:cs="Arial"/>
          <w:bCs/>
          <w:color w:val="000000" w:themeColor="text1"/>
          <w:sz w:val="22"/>
        </w:rPr>
        <w:t>,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i) los criterios diferenciales para mipymes, ii) la definición de «emprendimientos y empresas de mujeres», iii) las convocatorias limitadas a mipymes y el fomento en la ejecución de los contratos estatales por parte de sujetos de especial protección, así como iv) la promoción de las compras públicas de tecnología e innovación.</w:t>
      </w:r>
      <w:r w:rsidR="0043448A" w:rsidRPr="00766896">
        <w:rPr>
          <w:rFonts w:ascii="Arial" w:eastAsia="Calibri" w:hAnsi="Arial" w:cs="Arial"/>
          <w:bCs/>
          <w:color w:val="000000" w:themeColor="text1"/>
          <w:sz w:val="22"/>
        </w:rPr>
        <w:t xml:space="preserve"> </w:t>
      </w:r>
      <w:r w:rsidR="00BD7E2E" w:rsidRPr="00766896">
        <w:rPr>
          <w:rFonts w:ascii="Arial" w:eastAsia="Calibri" w:hAnsi="Arial" w:cs="Arial"/>
          <w:bCs/>
          <w:color w:val="000000" w:themeColor="text1"/>
          <w:sz w:val="22"/>
        </w:rPr>
        <w:t>A similar conclusión no se llega en relación con el artículo 30</w:t>
      </w:r>
      <w:r w:rsidR="0043448A" w:rsidRPr="00766896">
        <w:rPr>
          <w:rFonts w:ascii="Arial" w:eastAsia="Calibri" w:hAnsi="Arial" w:cs="Arial"/>
          <w:bCs/>
          <w:color w:val="000000" w:themeColor="text1"/>
          <w:sz w:val="22"/>
        </w:rPr>
        <w:t xml:space="preserve"> de la Ley 2069 de 2020</w:t>
      </w:r>
      <w:r w:rsidR="00BD7E2E" w:rsidRPr="00766896">
        <w:rPr>
          <w:rFonts w:ascii="Arial" w:eastAsia="Calibri" w:hAnsi="Arial" w:cs="Arial"/>
          <w:bCs/>
          <w:color w:val="000000" w:themeColor="text1"/>
          <w:sz w:val="22"/>
        </w:rPr>
        <w:t xml:space="preserve">, porque, como se explicará a continuación, esta norma goza de eficacia directa, sin perjuicio de que el gobierno nacional </w:t>
      </w:r>
      <w:r w:rsidR="0043448A" w:rsidRPr="00766896">
        <w:rPr>
          <w:rFonts w:ascii="Arial" w:eastAsia="Calibri" w:hAnsi="Arial" w:cs="Arial"/>
          <w:bCs/>
          <w:color w:val="000000" w:themeColor="text1"/>
          <w:sz w:val="22"/>
        </w:rPr>
        <w:t>la reglamente.</w:t>
      </w:r>
    </w:p>
    <w:bookmarkEnd w:id="11"/>
    <w:p w14:paraId="1F04D944" w14:textId="77777777" w:rsidR="00004E47" w:rsidRPr="00766896" w:rsidRDefault="00004E47" w:rsidP="002D13CC">
      <w:pPr>
        <w:spacing w:line="276" w:lineRule="auto"/>
        <w:jc w:val="both"/>
        <w:rPr>
          <w:rFonts w:ascii="Arial" w:hAnsi="Arial" w:cs="Arial"/>
          <w:sz w:val="22"/>
          <w:lang w:val="es-ES_tradnl"/>
        </w:rPr>
      </w:pPr>
    </w:p>
    <w:p w14:paraId="180FB8CF" w14:textId="23AF101C" w:rsidR="00004E47" w:rsidRPr="00766896" w:rsidRDefault="00004E47" w:rsidP="00004E47">
      <w:pPr>
        <w:tabs>
          <w:tab w:val="left" w:pos="709"/>
        </w:tabs>
        <w:spacing w:line="276" w:lineRule="auto"/>
        <w:jc w:val="both"/>
        <w:rPr>
          <w:rFonts w:ascii="Arial" w:eastAsia="Calibri" w:hAnsi="Arial" w:cs="Arial"/>
          <w:b/>
          <w:i/>
          <w:iCs/>
          <w:color w:val="000000" w:themeColor="text1"/>
          <w:sz w:val="22"/>
        </w:rPr>
      </w:pPr>
      <w:bookmarkStart w:id="12" w:name="_Hlk64292850"/>
      <w:r w:rsidRPr="00766896">
        <w:rPr>
          <w:rFonts w:ascii="Arial" w:eastAsia="Calibri" w:hAnsi="Arial" w:cs="Arial"/>
          <w:b/>
          <w:color w:val="000000" w:themeColor="text1"/>
          <w:sz w:val="22"/>
        </w:rPr>
        <w:lastRenderedPageBreak/>
        <w:t>2.3. Eficacia directa del artículo 30 de la Ley 2069 de 2020</w:t>
      </w:r>
      <w:bookmarkStart w:id="13" w:name="_Hlk69580086"/>
      <w:bookmarkEnd w:id="12"/>
      <w:r w:rsidR="00F334DB" w:rsidRPr="00766896">
        <w:rPr>
          <w:rFonts w:ascii="Arial" w:eastAsia="Calibri" w:hAnsi="Arial" w:cs="Arial"/>
          <w:b/>
          <w:color w:val="000000" w:themeColor="text1"/>
          <w:sz w:val="22"/>
        </w:rPr>
        <w:t xml:space="preserve">: </w:t>
      </w:r>
      <w:r w:rsidRPr="00766896">
        <w:rPr>
          <w:rFonts w:ascii="Arial" w:eastAsia="Calibri" w:hAnsi="Arial" w:cs="Arial"/>
          <w:b/>
          <w:color w:val="000000" w:themeColor="text1"/>
          <w:sz w:val="22"/>
        </w:rPr>
        <w:t xml:space="preserve">regulación de la mínima cuantía </w:t>
      </w:r>
      <w:r w:rsidR="00212FA8" w:rsidRPr="00766896">
        <w:rPr>
          <w:rFonts w:ascii="Arial" w:eastAsia="Calibri" w:hAnsi="Arial" w:cs="Arial"/>
          <w:b/>
          <w:color w:val="000000" w:themeColor="text1"/>
          <w:sz w:val="22"/>
        </w:rPr>
        <w:t xml:space="preserve">y vigencia del procedimiento previsto en el Decreto 1082 de 2015 </w:t>
      </w:r>
      <w:bookmarkEnd w:id="13"/>
    </w:p>
    <w:p w14:paraId="2E318C08" w14:textId="77777777" w:rsidR="00004E47" w:rsidRPr="00766896" w:rsidRDefault="00004E47" w:rsidP="00004E47">
      <w:pPr>
        <w:tabs>
          <w:tab w:val="left" w:pos="709"/>
        </w:tabs>
        <w:spacing w:line="276" w:lineRule="auto"/>
        <w:jc w:val="both"/>
        <w:rPr>
          <w:rFonts w:ascii="Arial" w:eastAsia="Calibri" w:hAnsi="Arial" w:cs="Arial"/>
          <w:b/>
          <w:color w:val="000000" w:themeColor="text1"/>
          <w:sz w:val="22"/>
        </w:rPr>
      </w:pPr>
    </w:p>
    <w:p w14:paraId="3DD5D68A" w14:textId="15E29793" w:rsidR="00004E47" w:rsidRPr="00766896"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766896">
        <w:rPr>
          <w:rFonts w:ascii="Arial" w:eastAsia="Calibri" w:hAnsi="Arial" w:cs="Arial"/>
          <w:bCs/>
          <w:color w:val="000000" w:themeColor="text1"/>
          <w:sz w:val="22"/>
        </w:rPr>
        <w:t xml:space="preserve">El artículo 30 de la Ley 2069 de 2020 modifica el numeral 5 del artículo 2 de la Ley 1150 de 2007, el cual regula la mínima cuantía. </w:t>
      </w:r>
      <w:r w:rsidRPr="00766896">
        <w:rPr>
          <w:rFonts w:ascii="Arial" w:eastAsia="Calibri" w:hAnsi="Arial" w:cs="Arial"/>
          <w:bCs/>
          <w:color w:val="000000" w:themeColor="text1"/>
          <w:sz w:val="22"/>
          <w:lang w:val="es-ES_tradnl"/>
        </w:rPr>
        <w:t>En esta modalidad de selección, la entidad estatal realiza una convocatoria pública para recibir ofertas de bienes o servicios cuyo valor no excede el diez por ciento –10%– de la menor cuantía. Fue creada</w:t>
      </w:r>
      <w:r w:rsidR="00584860" w:rsidRPr="00766896">
        <w:rPr>
          <w:rFonts w:ascii="Arial" w:eastAsia="Calibri" w:hAnsi="Arial" w:cs="Arial"/>
          <w:bCs/>
          <w:color w:val="000000" w:themeColor="text1"/>
          <w:sz w:val="22"/>
          <w:lang w:val="es-ES_tradnl"/>
        </w:rPr>
        <w:t xml:space="preserve"> por el artículo </w:t>
      </w:r>
      <w:r w:rsidR="00FE29AD" w:rsidRPr="00766896">
        <w:rPr>
          <w:rFonts w:ascii="Arial" w:eastAsia="Calibri" w:hAnsi="Arial" w:cs="Arial"/>
          <w:bCs/>
          <w:color w:val="000000" w:themeColor="text1"/>
          <w:sz w:val="22"/>
          <w:lang w:val="es-ES_tradnl"/>
        </w:rPr>
        <w:t>274 de la Ley 1450 de 2011 y modificada</w:t>
      </w:r>
      <w:r w:rsidRPr="00766896">
        <w:rPr>
          <w:rFonts w:ascii="Arial" w:eastAsia="Calibri" w:hAnsi="Arial" w:cs="Arial"/>
          <w:bCs/>
          <w:color w:val="000000" w:themeColor="text1"/>
          <w:sz w:val="22"/>
          <w:lang w:val="es-ES_tradnl"/>
        </w:rPr>
        <w:t xml:space="preserve"> por </w:t>
      </w:r>
      <w:bookmarkStart w:id="14" w:name="_Hlk69566698"/>
      <w:r w:rsidRPr="00766896">
        <w:rPr>
          <w:rFonts w:ascii="Arial" w:eastAsia="Calibri" w:hAnsi="Arial" w:cs="Arial"/>
          <w:bCs/>
          <w:color w:val="000000" w:themeColor="text1"/>
          <w:sz w:val="22"/>
          <w:lang w:val="es-ES_tradnl"/>
        </w:rPr>
        <w:t>el artículo 94 de la Ley 1474 de 2011</w:t>
      </w:r>
      <w:bookmarkEnd w:id="14"/>
      <w:r w:rsidRPr="00766896">
        <w:rPr>
          <w:rFonts w:ascii="Arial" w:eastAsia="Calibri" w:hAnsi="Arial" w:cs="Arial"/>
          <w:bCs/>
          <w:color w:val="000000" w:themeColor="text1"/>
          <w:sz w:val="22"/>
          <w:lang w:val="es-ES_tradnl"/>
        </w:rPr>
        <w:t>,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r w:rsidRPr="00766896">
        <w:rPr>
          <w:rStyle w:val="Refdenotaalpie"/>
          <w:rFonts w:ascii="Arial" w:eastAsia="Calibri" w:hAnsi="Arial" w:cs="Arial"/>
          <w:bCs/>
          <w:color w:val="000000" w:themeColor="text1"/>
          <w:sz w:val="22"/>
          <w:lang w:val="es-ES_tradnl"/>
        </w:rPr>
        <w:footnoteReference w:id="18"/>
      </w:r>
      <w:r w:rsidRPr="00766896">
        <w:rPr>
          <w:rFonts w:ascii="Arial" w:eastAsia="Calibri" w:hAnsi="Arial" w:cs="Arial"/>
          <w:bCs/>
          <w:color w:val="000000" w:themeColor="text1"/>
          <w:sz w:val="22"/>
          <w:lang w:val="es-ES_tradnl"/>
        </w:rPr>
        <w:t>.</w:t>
      </w:r>
    </w:p>
    <w:p w14:paraId="4F94387C" w14:textId="77777777" w:rsidR="00004E47" w:rsidRPr="00766896"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766896">
        <w:rPr>
          <w:rFonts w:ascii="Arial" w:eastAsia="Calibri" w:hAnsi="Arial" w:cs="Arial"/>
          <w:bCs/>
          <w:color w:val="000000" w:themeColor="text1"/>
          <w:sz w:val="22"/>
          <w:lang w:val="es-ES_tradnl"/>
        </w:rPr>
        <w:tab/>
        <w:t xml:space="preserve">En esencia, </w:t>
      </w:r>
      <w:r w:rsidRPr="00766896">
        <w:rPr>
          <w:rFonts w:ascii="Arial" w:eastAsia="Calibri" w:hAnsi="Arial" w:cs="Arial"/>
          <w:bCs/>
          <w:color w:val="000000" w:themeColor="text1"/>
          <w:sz w:val="22"/>
        </w:rPr>
        <w:t xml:space="preserve">el artículo 30 de la Ley 2069 de 2020 conserva a grandes rasgos el procedimiento previsto en el derogado </w:t>
      </w:r>
      <w:r w:rsidRPr="00766896">
        <w:rPr>
          <w:rFonts w:ascii="Arial" w:eastAsia="Calibri" w:hAnsi="Arial" w:cs="Arial"/>
          <w:bCs/>
          <w:color w:val="000000" w:themeColor="text1"/>
          <w:sz w:val="22"/>
          <w:lang w:val="es-ES_tradnl"/>
        </w:rPr>
        <w:t>artículo 94 de la Ley 1474 de 2011, el cual define los aspectos generales del procedimiento contractual</w:t>
      </w:r>
      <w:r w:rsidRPr="00766896">
        <w:rPr>
          <w:rStyle w:val="Refdenotaalpie"/>
          <w:rFonts w:ascii="Arial" w:eastAsia="Calibri" w:hAnsi="Arial" w:cs="Arial"/>
          <w:bCs/>
          <w:color w:val="000000" w:themeColor="text1"/>
          <w:sz w:val="22"/>
          <w:lang w:val="es-ES_tradnl"/>
        </w:rPr>
        <w:footnoteReference w:id="19"/>
      </w:r>
      <w:r w:rsidRPr="00766896">
        <w:rPr>
          <w:rFonts w:ascii="Arial" w:eastAsia="Calibri" w:hAnsi="Arial" w:cs="Arial"/>
          <w:bCs/>
          <w:color w:val="000000" w:themeColor="text1"/>
          <w:sz w:val="22"/>
          <w:lang w:val="es-ES_tradnl"/>
        </w:rPr>
        <w:t xml:space="preserve">. No obstante, aludiendo expresamente al desarrollo reglamentario, el parágrafo primero introduce el siguiente cambio: «Las particularidades del procedimiento aquí previsto, así como la posibilidad que tengan las entidades de realizar estas adquisiciones </w:t>
      </w:r>
      <w:r w:rsidRPr="00766896">
        <w:rPr>
          <w:rFonts w:ascii="Arial" w:eastAsia="Calibri" w:hAnsi="Arial" w:cs="Arial"/>
          <w:bCs/>
          <w:i/>
          <w:iCs/>
          <w:color w:val="000000" w:themeColor="text1"/>
          <w:sz w:val="22"/>
          <w:lang w:val="es-ES_tradnl"/>
        </w:rPr>
        <w:t xml:space="preserve">a </w:t>
      </w:r>
      <w:proofErr w:type="spellStart"/>
      <w:r w:rsidRPr="00766896">
        <w:rPr>
          <w:rFonts w:ascii="Arial" w:eastAsia="Calibri" w:hAnsi="Arial" w:cs="Arial"/>
          <w:bCs/>
          <w:i/>
          <w:iCs/>
          <w:color w:val="000000" w:themeColor="text1"/>
          <w:sz w:val="22"/>
          <w:lang w:val="es-ES_tradnl"/>
        </w:rPr>
        <w:t>Mipymes</w:t>
      </w:r>
      <w:proofErr w:type="spellEnd"/>
      <w:r w:rsidRPr="00766896">
        <w:rPr>
          <w:rFonts w:ascii="Arial" w:eastAsia="Calibri" w:hAnsi="Arial" w:cs="Arial"/>
          <w:bCs/>
          <w:color w:val="000000" w:themeColor="text1"/>
          <w:sz w:val="22"/>
          <w:lang w:val="es-ES_tradnl"/>
        </w:rPr>
        <w:t xml:space="preserve"> o establecimientos que correspondan a la definición de "gran almacén" señalada por la Superintendencia de Industria y Comercio, </w:t>
      </w:r>
      <w:r w:rsidRPr="00766896">
        <w:rPr>
          <w:rFonts w:ascii="Arial" w:eastAsia="Calibri" w:hAnsi="Arial" w:cs="Arial"/>
          <w:bCs/>
          <w:color w:val="000000" w:themeColor="text1"/>
          <w:sz w:val="22"/>
          <w:lang w:val="es-ES_tradnl"/>
        </w:rPr>
        <w:lastRenderedPageBreak/>
        <w:t xml:space="preserve">se determinarán en el reglamento que para el efecto expida el Gobierno Nacional» (Énfasis fuera de texto). </w:t>
      </w:r>
    </w:p>
    <w:p w14:paraId="0447CA69" w14:textId="77777777" w:rsidR="00004E47" w:rsidRPr="00766896"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766896">
        <w:rPr>
          <w:rFonts w:ascii="Arial" w:eastAsia="Calibri" w:hAnsi="Arial" w:cs="Arial"/>
          <w:bCs/>
          <w:color w:val="000000" w:themeColor="text1"/>
          <w:sz w:val="22"/>
          <w:lang w:val="es-ES_tradnl"/>
        </w:rPr>
        <w:tab/>
        <w:t xml:space="preserve">Esta modificación es importante, pues antes de la Ley de Emprendimiento era imposible limitar a </w:t>
      </w:r>
      <w:bookmarkStart w:id="15" w:name="_Hlk63763766"/>
      <w:proofErr w:type="spellStart"/>
      <w:r w:rsidRPr="00766896">
        <w:rPr>
          <w:rFonts w:ascii="Arial" w:eastAsia="Calibri" w:hAnsi="Arial" w:cs="Arial"/>
          <w:bCs/>
          <w:color w:val="000000" w:themeColor="text1"/>
          <w:sz w:val="22"/>
          <w:lang w:val="es-ES_tradnl"/>
        </w:rPr>
        <w:t>mipymes</w:t>
      </w:r>
      <w:bookmarkEnd w:id="15"/>
      <w:proofErr w:type="spellEnd"/>
      <w:r w:rsidRPr="00766896">
        <w:rPr>
          <w:rFonts w:ascii="Arial" w:eastAsia="Calibri" w:hAnsi="Arial" w:cs="Arial"/>
          <w:bCs/>
          <w:color w:val="000000" w:themeColor="text1"/>
          <w:sz w:val="22"/>
          <w:lang w:val="es-ES_tradnl"/>
        </w:rPr>
        <w:t xml:space="preserve"> la mínima cuantía, especialmente, cuando el artículo 94 la Ley 1474 de 2011 disponía que no era aplicable la Ley 816 de 2003, «Por medio de la cual se apoya a la industria nacional a través de la contratación pública</w:t>
      </w:r>
      <w:r w:rsidRPr="00766896">
        <w:rPr>
          <w:rFonts w:ascii="Arial" w:hAnsi="Arial" w:cs="Arial"/>
          <w:color w:val="000000"/>
          <w:sz w:val="22"/>
        </w:rPr>
        <w:t xml:space="preserve">», ni </w:t>
      </w:r>
      <w:r w:rsidRPr="00766896">
        <w:rPr>
          <w:rFonts w:ascii="Arial" w:eastAsia="Calibri" w:hAnsi="Arial" w:cs="Arial"/>
          <w:bCs/>
          <w:color w:val="000000" w:themeColor="text1"/>
          <w:sz w:val="22"/>
          <w:lang w:val="es-ES_tradnl"/>
        </w:rPr>
        <w:t xml:space="preserve">el artículo 12 de la Ley 1150 de 2007, relacionado con la promoción del desarrollo en la contratación pública. A partir de la expedición del artículo 30, parágrafo 2, de la Ley 2069 de 2020, «La contratación a que se refiere el presente artículo se realizará exclusivamente con las reglas en él contempladas y en su reglamentación. En particular no se aplicará lo previsto en la Ley 816 de 2003». Es decir, al no prohibir la aplicación del artículo 12 de la Ley 1150 de 2007, la norma –además de reiterar la importancia de su reglamentación posterior– permite las convocatorias limitadas a </w:t>
      </w:r>
      <w:proofErr w:type="spellStart"/>
      <w:r w:rsidRPr="00766896">
        <w:rPr>
          <w:rFonts w:ascii="Arial" w:eastAsia="Calibri" w:hAnsi="Arial" w:cs="Arial"/>
          <w:bCs/>
          <w:color w:val="000000" w:themeColor="text1"/>
          <w:sz w:val="22"/>
          <w:lang w:val="es-ES_tradnl"/>
        </w:rPr>
        <w:t>mipymes</w:t>
      </w:r>
      <w:proofErr w:type="spellEnd"/>
      <w:r w:rsidRPr="00766896">
        <w:rPr>
          <w:rFonts w:ascii="Arial" w:eastAsia="Calibri" w:hAnsi="Arial" w:cs="Arial"/>
          <w:bCs/>
          <w:color w:val="000000" w:themeColor="text1"/>
          <w:sz w:val="22"/>
          <w:lang w:val="es-ES_tradnl"/>
        </w:rPr>
        <w:t xml:space="preserve"> en esta modalidad de selección.</w:t>
      </w:r>
    </w:p>
    <w:p w14:paraId="512CDE0F" w14:textId="0E09BDE5" w:rsidR="00004E47" w:rsidRPr="00766896"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766896">
        <w:rPr>
          <w:rFonts w:ascii="Arial" w:eastAsia="Calibri" w:hAnsi="Arial" w:cs="Arial"/>
          <w:bCs/>
          <w:color w:val="000000" w:themeColor="text1"/>
          <w:sz w:val="22"/>
          <w:lang w:val="es-ES_tradnl"/>
        </w:rPr>
        <w:tab/>
        <w:t xml:space="preserve">Como se observa, el parágrafo 1 del artículo 30 de la Ley 2069 de 2020 dispone que el reglamento es importante para regular i) las «particularidades del procedimiento de selección» y ii) la posibilidad de realizar estas adquisiciones a </w:t>
      </w:r>
      <w:proofErr w:type="spellStart"/>
      <w:r w:rsidRPr="00766896">
        <w:rPr>
          <w:rFonts w:ascii="Arial" w:eastAsia="Calibri" w:hAnsi="Arial" w:cs="Arial"/>
          <w:bCs/>
          <w:color w:val="000000" w:themeColor="text1"/>
          <w:sz w:val="22"/>
          <w:lang w:val="es-ES_tradnl"/>
        </w:rPr>
        <w:t>mipymes</w:t>
      </w:r>
      <w:proofErr w:type="spellEnd"/>
      <w:r w:rsidRPr="00766896">
        <w:rPr>
          <w:rFonts w:ascii="Arial" w:eastAsia="Calibri" w:hAnsi="Arial" w:cs="Arial"/>
          <w:bCs/>
          <w:color w:val="000000" w:themeColor="text1"/>
          <w:sz w:val="22"/>
          <w:lang w:val="es-ES_tradnl"/>
        </w:rPr>
        <w:t xml:space="preserve"> o establecimientos que correspondan a la definición de «gran almacén». No obstante, ¿es necesario el desarrollo normativo para la vigencia de la mínima cuantía? En principio, la respuesta positiva a esta inquietud se fundamentaría en la necesidad de que el reglamento precise los detalles del procedimiento de selección.</w:t>
      </w:r>
    </w:p>
    <w:p w14:paraId="414FBCF7" w14:textId="77777777" w:rsidR="00004E47" w:rsidRPr="00766896"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766896">
        <w:rPr>
          <w:rFonts w:ascii="Arial" w:eastAsia="Calibri" w:hAnsi="Arial" w:cs="Arial"/>
          <w:bCs/>
          <w:color w:val="000000" w:themeColor="text1"/>
          <w:sz w:val="22"/>
          <w:lang w:val="es-ES_tradnl"/>
        </w:rPr>
        <w:tab/>
        <w:t>La Subdirección de Gestión Contractual no comparte esta tesis, porque si la ley define los aspectos generales del procedimiento, estos vinculan directamente a las entidades estatales. En efecto, «[…] el propósito del legislador fue delimitar sólo los principios que rigen la contratación pública, con el fin de orientar la gestión contractual. A diferencia de una ley general o de una ley marco, la técnica legislativa de los principios no busca un desarrollo ulterior a través del reglamento, sino unas bases para la actuación inmediata, sin que sea necesaria la intermediación del desarrollo reglamentario […]»</w:t>
      </w:r>
      <w:r w:rsidRPr="00766896">
        <w:rPr>
          <w:rStyle w:val="Refdenotaalpie"/>
          <w:rFonts w:ascii="Arial" w:eastAsia="Calibri" w:hAnsi="Arial" w:cs="Arial"/>
          <w:bCs/>
          <w:color w:val="000000" w:themeColor="text1"/>
          <w:sz w:val="22"/>
          <w:lang w:val="es-ES_tradnl"/>
        </w:rPr>
        <w:footnoteReference w:id="20"/>
      </w:r>
      <w:r w:rsidRPr="00766896">
        <w:rPr>
          <w:rFonts w:ascii="Arial" w:eastAsia="Calibri" w:hAnsi="Arial" w:cs="Arial"/>
          <w:bCs/>
          <w:color w:val="000000" w:themeColor="text1"/>
          <w:sz w:val="22"/>
          <w:lang w:val="es-ES_tradnl"/>
        </w:rPr>
        <w:t xml:space="preserve">. </w:t>
      </w:r>
    </w:p>
    <w:p w14:paraId="5FA61E05" w14:textId="033C17A7" w:rsidR="00493EDB" w:rsidRPr="00766896" w:rsidRDefault="00004E47" w:rsidP="00EE46B0">
      <w:pPr>
        <w:spacing w:before="120" w:line="276" w:lineRule="auto"/>
        <w:jc w:val="both"/>
        <w:rPr>
          <w:rFonts w:ascii="Arial" w:eastAsia="Calibri" w:hAnsi="Arial" w:cs="Arial"/>
          <w:color w:val="000000" w:themeColor="text1"/>
          <w:sz w:val="22"/>
          <w:szCs w:val="22"/>
          <w:lang w:val="es-ES_tradnl"/>
        </w:rPr>
      </w:pPr>
      <w:r w:rsidRPr="00766896">
        <w:rPr>
          <w:rFonts w:ascii="Arial" w:eastAsia="Calibri" w:hAnsi="Arial" w:cs="Arial"/>
          <w:bCs/>
          <w:color w:val="000000" w:themeColor="text1"/>
          <w:sz w:val="22"/>
          <w:lang w:val="es-ES_tradnl"/>
        </w:rPr>
        <w:tab/>
        <w:t xml:space="preserve">Por tanto, dado que </w:t>
      </w:r>
      <w:bookmarkStart w:id="16" w:name="_Hlk69400380"/>
      <w:r w:rsidRPr="00766896">
        <w:rPr>
          <w:rFonts w:ascii="Arial" w:eastAsia="Calibri" w:hAnsi="Arial" w:cs="Arial"/>
          <w:bCs/>
          <w:color w:val="000000" w:themeColor="text1"/>
          <w:sz w:val="22"/>
          <w:lang w:val="es-ES_tradnl"/>
        </w:rPr>
        <w:t>el artículo 30 de la Ley 2069 de 2020</w:t>
      </w:r>
      <w:bookmarkEnd w:id="16"/>
      <w:r w:rsidRPr="00766896">
        <w:rPr>
          <w:rFonts w:ascii="Arial" w:eastAsia="Calibri" w:hAnsi="Arial" w:cs="Arial"/>
          <w:bCs/>
          <w:color w:val="000000" w:themeColor="text1"/>
          <w:sz w:val="22"/>
          <w:lang w:val="es-ES_tradnl"/>
        </w:rPr>
        <w:t xml:space="preserve"> regula aspectos de la mínima cuantía como i) el término mínimo para publicar la invitación, ii) el plazo mínimo de recepción de las ofertas, iii) el factor de evaluación que define la selección del proponente y iv) el perfeccionamiento del contrato, las entidades deben estructurar sus procedimientos de selección de acuerdo con estos parámetros, los cuales tienen una aplicación inmediata sin que el reglamento condicione s</w:t>
      </w:r>
      <w:r w:rsidR="00245DB2" w:rsidRPr="00766896">
        <w:rPr>
          <w:rFonts w:ascii="Arial" w:eastAsia="Calibri" w:hAnsi="Arial" w:cs="Arial"/>
          <w:bCs/>
          <w:color w:val="000000" w:themeColor="text1"/>
          <w:sz w:val="22"/>
          <w:lang w:val="es-ES_tradnl"/>
        </w:rPr>
        <w:t>u</w:t>
      </w:r>
      <w:r w:rsidRPr="00766896">
        <w:rPr>
          <w:rFonts w:ascii="Arial" w:eastAsia="Calibri" w:hAnsi="Arial" w:cs="Arial"/>
          <w:bCs/>
          <w:color w:val="000000" w:themeColor="text1"/>
          <w:sz w:val="22"/>
          <w:lang w:val="es-ES_tradnl"/>
        </w:rPr>
        <w:t xml:space="preserve"> vigencia. En otras palabras, la mínima cuantía es directamente aplicable, sin perjuicio de que a través del ejercicio de la potestad reglamentaria se desarrolle específicamente la «Singularidad, especialidad e individualidad» del trámite, así como realización estas adquisiciones a </w:t>
      </w:r>
      <w:proofErr w:type="spellStart"/>
      <w:r w:rsidRPr="00766896">
        <w:rPr>
          <w:rFonts w:ascii="Arial" w:eastAsia="Calibri" w:hAnsi="Arial" w:cs="Arial"/>
          <w:bCs/>
          <w:color w:val="000000" w:themeColor="text1"/>
          <w:sz w:val="22"/>
          <w:lang w:val="es-ES_tradnl"/>
        </w:rPr>
        <w:t>mipymes</w:t>
      </w:r>
      <w:proofErr w:type="spellEnd"/>
      <w:r w:rsidRPr="00766896">
        <w:rPr>
          <w:rFonts w:ascii="Arial" w:eastAsia="Calibri" w:hAnsi="Arial" w:cs="Arial"/>
          <w:bCs/>
          <w:color w:val="000000" w:themeColor="text1"/>
          <w:sz w:val="22"/>
          <w:lang w:val="es-ES_tradnl"/>
        </w:rPr>
        <w:t xml:space="preserve"> o </w:t>
      </w:r>
      <w:r w:rsidRPr="00766896">
        <w:rPr>
          <w:rFonts w:ascii="Arial" w:eastAsia="Calibri" w:hAnsi="Arial" w:cs="Arial"/>
          <w:bCs/>
          <w:color w:val="000000" w:themeColor="text1"/>
          <w:sz w:val="22"/>
          <w:lang w:val="es-ES_tradnl"/>
        </w:rPr>
        <w:lastRenderedPageBreak/>
        <w:t>establecimientos que correspondan a la definición de «gran almacén».</w:t>
      </w:r>
      <w:r w:rsidR="00EE46B0" w:rsidRPr="00766896">
        <w:rPr>
          <w:rFonts w:ascii="Arial" w:eastAsia="Calibri" w:hAnsi="Arial" w:cs="Arial"/>
          <w:color w:val="000000" w:themeColor="text1"/>
          <w:sz w:val="22"/>
          <w:szCs w:val="22"/>
          <w:lang w:val="es-ES_tradnl"/>
        </w:rPr>
        <w:t xml:space="preserve"> </w:t>
      </w:r>
      <w:bookmarkStart w:id="17" w:name="_Hlk69580333"/>
      <w:r w:rsidR="00713799" w:rsidRPr="00766896">
        <w:rPr>
          <w:rFonts w:ascii="Arial" w:eastAsia="Calibri" w:hAnsi="Arial" w:cs="Arial"/>
          <w:color w:val="000000" w:themeColor="text1"/>
          <w:sz w:val="22"/>
          <w:szCs w:val="22"/>
          <w:lang w:val="es-ES_tradnl"/>
        </w:rPr>
        <w:t>A partir de lo anterior, puede afirmarse que el artículo 3</w:t>
      </w:r>
      <w:r w:rsidR="00934537" w:rsidRPr="00766896">
        <w:rPr>
          <w:rFonts w:ascii="Arial" w:eastAsia="Calibri" w:hAnsi="Arial" w:cs="Arial"/>
          <w:color w:val="000000" w:themeColor="text1"/>
          <w:sz w:val="22"/>
          <w:szCs w:val="22"/>
          <w:lang w:val="es-ES_tradnl"/>
        </w:rPr>
        <w:t>0</w:t>
      </w:r>
      <w:r w:rsidR="00713799" w:rsidRPr="00766896">
        <w:rPr>
          <w:rFonts w:ascii="Arial" w:eastAsia="Calibri" w:hAnsi="Arial" w:cs="Arial"/>
          <w:color w:val="000000" w:themeColor="text1"/>
          <w:sz w:val="22"/>
          <w:szCs w:val="22"/>
          <w:lang w:val="es-ES_tradnl"/>
        </w:rPr>
        <w:t xml:space="preserve"> de la Ley 2069 de 2020 </w:t>
      </w:r>
      <w:bookmarkStart w:id="18" w:name="_Hlk69396275"/>
      <w:r w:rsidR="00713799" w:rsidRPr="00766896">
        <w:rPr>
          <w:rFonts w:ascii="Arial" w:eastAsia="Calibri" w:hAnsi="Arial" w:cs="Arial"/>
          <w:color w:val="000000" w:themeColor="text1"/>
          <w:sz w:val="22"/>
          <w:szCs w:val="22"/>
          <w:lang w:val="es-ES_tradnl"/>
        </w:rPr>
        <w:t>sustituyó el contenido del</w:t>
      </w:r>
      <w:r w:rsidR="00934537" w:rsidRPr="00766896">
        <w:rPr>
          <w:rFonts w:ascii="Arial" w:eastAsia="Calibri" w:hAnsi="Arial" w:cs="Arial"/>
          <w:color w:val="000000" w:themeColor="text1"/>
          <w:sz w:val="22"/>
          <w:szCs w:val="22"/>
          <w:lang w:val="es-ES_tradnl"/>
        </w:rPr>
        <w:t xml:space="preserve"> numeral 5, del artículo 2 de la Ley 1150 de 2007</w:t>
      </w:r>
      <w:bookmarkEnd w:id="18"/>
      <w:r w:rsidR="00713799" w:rsidRPr="00766896">
        <w:rPr>
          <w:rFonts w:ascii="Arial" w:eastAsia="Calibri" w:hAnsi="Arial" w:cs="Arial"/>
          <w:color w:val="000000" w:themeColor="text1"/>
          <w:sz w:val="22"/>
          <w:szCs w:val="22"/>
          <w:lang w:val="es-ES_tradnl"/>
        </w:rPr>
        <w:t xml:space="preserve">. </w:t>
      </w:r>
    </w:p>
    <w:p w14:paraId="6B331CAC" w14:textId="737584CA" w:rsidR="00493EDB" w:rsidRPr="00766896" w:rsidRDefault="00493EDB" w:rsidP="00493EDB">
      <w:pPr>
        <w:spacing w:before="120" w:line="276" w:lineRule="auto"/>
        <w:jc w:val="both"/>
        <w:rPr>
          <w:rFonts w:ascii="Arial" w:eastAsia="Calibri" w:hAnsi="Arial" w:cs="Arial"/>
          <w:color w:val="000000" w:themeColor="text1"/>
          <w:sz w:val="22"/>
          <w:szCs w:val="22"/>
          <w:lang w:val="es-ES_tradnl"/>
        </w:rPr>
      </w:pPr>
      <w:r w:rsidRPr="00766896">
        <w:rPr>
          <w:rFonts w:ascii="Arial" w:eastAsia="Calibri" w:hAnsi="Arial" w:cs="Arial"/>
          <w:color w:val="000000" w:themeColor="text1"/>
          <w:sz w:val="22"/>
          <w:szCs w:val="22"/>
          <w:lang w:val="es-ES_tradnl"/>
        </w:rPr>
        <w:tab/>
      </w:r>
      <w:r w:rsidR="00DA4B69" w:rsidRPr="00766896">
        <w:rPr>
          <w:rFonts w:ascii="Arial" w:eastAsia="Calibri" w:hAnsi="Arial" w:cs="Arial"/>
          <w:color w:val="000000" w:themeColor="text1"/>
          <w:sz w:val="22"/>
          <w:szCs w:val="22"/>
          <w:lang w:val="es-ES_tradnl"/>
        </w:rPr>
        <w:t>P</w:t>
      </w:r>
      <w:r w:rsidRPr="00766896">
        <w:rPr>
          <w:rFonts w:ascii="Arial" w:eastAsia="Calibri" w:hAnsi="Arial" w:cs="Arial"/>
          <w:color w:val="000000" w:themeColor="text1"/>
          <w:sz w:val="22"/>
          <w:szCs w:val="22"/>
          <w:lang w:val="es-ES_tradnl"/>
        </w:rPr>
        <w:t xml:space="preserve">ara efectos de la consulta, resta </w:t>
      </w:r>
      <w:r w:rsidR="005A2323" w:rsidRPr="00766896">
        <w:rPr>
          <w:rFonts w:ascii="Arial" w:eastAsia="Calibri" w:hAnsi="Arial" w:cs="Arial"/>
          <w:color w:val="000000" w:themeColor="text1"/>
          <w:sz w:val="22"/>
          <w:szCs w:val="22"/>
          <w:lang w:val="es-ES_tradnl"/>
        </w:rPr>
        <w:t>precisar</w:t>
      </w:r>
      <w:r w:rsidRPr="00766896">
        <w:rPr>
          <w:rFonts w:ascii="Arial" w:eastAsia="Calibri" w:hAnsi="Arial" w:cs="Arial"/>
          <w:color w:val="000000" w:themeColor="text1"/>
          <w:sz w:val="22"/>
          <w:szCs w:val="22"/>
          <w:lang w:val="es-ES_tradnl"/>
        </w:rPr>
        <w:t xml:space="preserve"> si</w:t>
      </w:r>
      <w:r w:rsidR="005A2323" w:rsidRPr="00766896">
        <w:rPr>
          <w:rFonts w:ascii="Arial" w:eastAsia="Calibri" w:hAnsi="Arial" w:cs="Arial"/>
          <w:color w:val="000000" w:themeColor="text1"/>
          <w:sz w:val="22"/>
          <w:szCs w:val="22"/>
          <w:lang w:val="es-ES_tradnl"/>
        </w:rPr>
        <w:t xml:space="preserve"> con</w:t>
      </w:r>
      <w:r w:rsidRPr="00766896">
        <w:rPr>
          <w:rFonts w:ascii="Arial" w:eastAsia="Calibri" w:hAnsi="Arial" w:cs="Arial"/>
          <w:color w:val="000000" w:themeColor="text1"/>
          <w:sz w:val="22"/>
          <w:szCs w:val="22"/>
          <w:lang w:val="es-ES_tradnl"/>
        </w:rPr>
        <w:t xml:space="preserve"> el artículo 30 de la Ley 2069 de 2020 están vigentes los artículos 2.2.1.2.1.5.1 al 2.2.1.2.1.5.4 del Decreto 1082 de 2015, </w:t>
      </w:r>
      <w:r w:rsidR="00E21C48" w:rsidRPr="00766896">
        <w:rPr>
          <w:rFonts w:ascii="Arial" w:eastAsia="Calibri" w:hAnsi="Arial" w:cs="Arial"/>
          <w:color w:val="000000" w:themeColor="text1"/>
          <w:sz w:val="22"/>
          <w:szCs w:val="22"/>
          <w:lang w:val="es-ES_tradnl"/>
        </w:rPr>
        <w:t>que</w:t>
      </w:r>
      <w:r w:rsidRPr="00766896">
        <w:rPr>
          <w:rFonts w:ascii="Arial" w:eastAsia="Calibri" w:hAnsi="Arial" w:cs="Arial"/>
          <w:color w:val="000000" w:themeColor="text1"/>
          <w:sz w:val="22"/>
          <w:szCs w:val="22"/>
          <w:lang w:val="es-ES_tradnl"/>
        </w:rPr>
        <w:t xml:space="preserve"> regulan el procedimiento de la mínima cuantía en el Decreto Único Reglamentario </w:t>
      </w:r>
      <w:r w:rsidR="00DA4B69" w:rsidRPr="00766896">
        <w:rPr>
          <w:rFonts w:ascii="Arial" w:eastAsia="Calibri" w:hAnsi="Arial" w:cs="Arial"/>
          <w:color w:val="000000" w:themeColor="text1"/>
          <w:sz w:val="22"/>
          <w:szCs w:val="22"/>
          <w:lang w:val="es-ES_tradnl"/>
        </w:rPr>
        <w:t>del Sector Administrativo de Planeación Nacional</w:t>
      </w:r>
      <w:r w:rsidR="005A2323" w:rsidRPr="00766896">
        <w:rPr>
          <w:rFonts w:ascii="Arial" w:eastAsia="Calibri" w:hAnsi="Arial" w:cs="Arial"/>
          <w:color w:val="000000" w:themeColor="text1"/>
          <w:sz w:val="22"/>
          <w:szCs w:val="22"/>
          <w:lang w:val="es-ES_tradnl"/>
        </w:rPr>
        <w:t>. En otras palabras, ¿l</w:t>
      </w:r>
      <w:r w:rsidRPr="00766896">
        <w:rPr>
          <w:rFonts w:ascii="Arial" w:eastAsia="Calibri" w:hAnsi="Arial" w:cs="Arial"/>
          <w:color w:val="000000" w:themeColor="text1"/>
          <w:sz w:val="22"/>
          <w:szCs w:val="22"/>
          <w:lang w:val="es-ES_tradnl"/>
        </w:rPr>
        <w:t xml:space="preserve">a modificación </w:t>
      </w:r>
      <w:r w:rsidR="005A2323" w:rsidRPr="00766896">
        <w:rPr>
          <w:rFonts w:ascii="Arial" w:eastAsia="Calibri" w:hAnsi="Arial" w:cs="Arial"/>
          <w:color w:val="000000" w:themeColor="text1"/>
          <w:sz w:val="22"/>
          <w:szCs w:val="22"/>
          <w:lang w:val="es-ES_tradnl"/>
        </w:rPr>
        <w:t xml:space="preserve">de la Ley de Emprendimiento en la mínima cuantía </w:t>
      </w:r>
      <w:r w:rsidRPr="00766896">
        <w:rPr>
          <w:rFonts w:ascii="Arial" w:eastAsia="Calibri" w:hAnsi="Arial" w:cs="Arial"/>
          <w:color w:val="000000" w:themeColor="text1"/>
          <w:sz w:val="22"/>
          <w:szCs w:val="22"/>
          <w:lang w:val="es-ES_tradnl"/>
        </w:rPr>
        <w:t>supone</w:t>
      </w:r>
      <w:r w:rsidR="005A2323" w:rsidRPr="00766896">
        <w:rPr>
          <w:rFonts w:ascii="Arial" w:eastAsia="Calibri" w:hAnsi="Arial" w:cs="Arial"/>
          <w:color w:val="000000" w:themeColor="text1"/>
          <w:sz w:val="22"/>
          <w:szCs w:val="22"/>
          <w:lang w:val="es-ES_tradnl"/>
        </w:rPr>
        <w:t xml:space="preserve"> </w:t>
      </w:r>
      <w:r w:rsidR="00274BAC" w:rsidRPr="00766896">
        <w:rPr>
          <w:rFonts w:ascii="Arial" w:eastAsia="Calibri" w:hAnsi="Arial" w:cs="Arial"/>
          <w:color w:val="000000" w:themeColor="text1"/>
          <w:sz w:val="22"/>
          <w:szCs w:val="22"/>
          <w:lang w:val="es-ES_tradnl"/>
        </w:rPr>
        <w:t xml:space="preserve">la </w:t>
      </w:r>
      <w:r w:rsidRPr="00766896">
        <w:rPr>
          <w:rFonts w:ascii="Arial" w:eastAsia="Calibri" w:hAnsi="Arial" w:cs="Arial"/>
          <w:color w:val="000000" w:themeColor="text1"/>
          <w:sz w:val="22"/>
          <w:szCs w:val="22"/>
          <w:lang w:val="es-ES_tradnl"/>
        </w:rPr>
        <w:t>desaparición de</w:t>
      </w:r>
      <w:r w:rsidR="005A2323" w:rsidRPr="00766896">
        <w:rPr>
          <w:rFonts w:ascii="Arial" w:eastAsia="Calibri" w:hAnsi="Arial" w:cs="Arial"/>
          <w:color w:val="000000" w:themeColor="text1"/>
          <w:sz w:val="22"/>
          <w:szCs w:val="22"/>
          <w:lang w:val="es-ES_tradnl"/>
        </w:rPr>
        <w:t>l</w:t>
      </w:r>
      <w:r w:rsidRPr="00766896">
        <w:rPr>
          <w:rFonts w:ascii="Arial" w:eastAsia="Calibri" w:hAnsi="Arial" w:cs="Arial"/>
          <w:color w:val="000000" w:themeColor="text1"/>
          <w:sz w:val="22"/>
          <w:szCs w:val="22"/>
          <w:lang w:val="es-ES_tradnl"/>
        </w:rPr>
        <w:t xml:space="preserve"> fundamento </w:t>
      </w:r>
      <w:r w:rsidR="00274BAC" w:rsidRPr="00766896">
        <w:rPr>
          <w:rFonts w:ascii="Arial" w:eastAsia="Calibri" w:hAnsi="Arial" w:cs="Arial"/>
          <w:color w:val="000000" w:themeColor="text1"/>
          <w:sz w:val="22"/>
          <w:szCs w:val="22"/>
          <w:lang w:val="es-ES_tradnl"/>
        </w:rPr>
        <w:t>jurídico</w:t>
      </w:r>
      <w:r w:rsidRPr="00766896">
        <w:rPr>
          <w:rFonts w:ascii="Arial" w:eastAsia="Calibri" w:hAnsi="Arial" w:cs="Arial"/>
          <w:color w:val="000000" w:themeColor="text1"/>
          <w:sz w:val="22"/>
          <w:szCs w:val="22"/>
          <w:lang w:val="es-ES_tradnl"/>
        </w:rPr>
        <w:t xml:space="preserve"> </w:t>
      </w:r>
      <w:r w:rsidR="005A2323" w:rsidRPr="00766896">
        <w:rPr>
          <w:rFonts w:ascii="Arial" w:eastAsia="Calibri" w:hAnsi="Arial" w:cs="Arial"/>
          <w:color w:val="000000" w:themeColor="text1"/>
          <w:sz w:val="22"/>
          <w:szCs w:val="22"/>
          <w:lang w:val="es-ES_tradnl"/>
        </w:rPr>
        <w:t>de los artículos del decreto previamente citados?</w:t>
      </w:r>
      <w:r w:rsidRPr="00766896">
        <w:rPr>
          <w:rFonts w:ascii="Arial" w:eastAsia="Calibri" w:hAnsi="Arial" w:cs="Arial"/>
          <w:color w:val="000000" w:themeColor="text1"/>
          <w:sz w:val="22"/>
          <w:szCs w:val="22"/>
          <w:lang w:val="es-ES_tradnl"/>
        </w:rPr>
        <w:t xml:space="preserve"> </w:t>
      </w:r>
    </w:p>
    <w:p w14:paraId="14AD92B4" w14:textId="233B8CC8" w:rsidR="00493EDB" w:rsidRPr="00766896" w:rsidRDefault="00493EDB" w:rsidP="00852C30">
      <w:pPr>
        <w:spacing w:before="120" w:after="120" w:line="276" w:lineRule="auto"/>
        <w:jc w:val="both"/>
        <w:rPr>
          <w:rFonts w:ascii="Arial" w:eastAsia="Calibri" w:hAnsi="Arial" w:cs="Arial"/>
          <w:color w:val="000000" w:themeColor="text1"/>
          <w:sz w:val="22"/>
          <w:szCs w:val="22"/>
          <w:lang w:val="es-ES_tradnl"/>
        </w:rPr>
      </w:pPr>
      <w:r w:rsidRPr="00766896">
        <w:rPr>
          <w:rFonts w:ascii="Arial" w:eastAsia="Calibri" w:hAnsi="Arial" w:cs="Arial"/>
          <w:color w:val="000000" w:themeColor="text1"/>
          <w:sz w:val="22"/>
          <w:szCs w:val="22"/>
          <w:lang w:val="es-ES_tradnl"/>
        </w:rPr>
        <w:tab/>
      </w:r>
      <w:r w:rsidR="00BD5EA0" w:rsidRPr="00766896">
        <w:rPr>
          <w:rFonts w:ascii="Arial" w:eastAsia="Calibri" w:hAnsi="Arial" w:cs="Arial"/>
          <w:color w:val="000000" w:themeColor="text1"/>
          <w:sz w:val="22"/>
          <w:szCs w:val="22"/>
          <w:lang w:val="es-ES_tradnl"/>
        </w:rPr>
        <w:t xml:space="preserve">En principio, dado que </w:t>
      </w:r>
      <w:bookmarkStart w:id="19" w:name="_Hlk69395804"/>
      <w:r w:rsidR="00BD5EA0" w:rsidRPr="00766896">
        <w:rPr>
          <w:rFonts w:ascii="Arial" w:eastAsia="Calibri" w:hAnsi="Arial" w:cs="Arial"/>
          <w:color w:val="000000" w:themeColor="text1"/>
          <w:sz w:val="22"/>
          <w:szCs w:val="22"/>
          <w:lang w:val="es-ES_tradnl"/>
        </w:rPr>
        <w:t>el artículo 94 de la Ley 1474 de 2011</w:t>
      </w:r>
      <w:bookmarkEnd w:id="19"/>
      <w:r w:rsidR="00BD5EA0" w:rsidRPr="00766896">
        <w:rPr>
          <w:rFonts w:ascii="Arial" w:eastAsia="Calibri" w:hAnsi="Arial" w:cs="Arial"/>
          <w:color w:val="000000" w:themeColor="text1"/>
          <w:sz w:val="22"/>
          <w:szCs w:val="22"/>
          <w:lang w:val="es-ES_tradnl"/>
        </w:rPr>
        <w:t xml:space="preserve"> fue subrogado por el artículo 30 de la Ley 2069 de 2020</w:t>
      </w:r>
      <w:r w:rsidR="00104AD6" w:rsidRPr="00766896">
        <w:rPr>
          <w:rFonts w:ascii="Arial" w:eastAsia="Calibri" w:hAnsi="Arial" w:cs="Arial"/>
          <w:color w:val="000000" w:themeColor="text1"/>
          <w:sz w:val="22"/>
          <w:szCs w:val="22"/>
          <w:lang w:val="es-ES_tradnl"/>
        </w:rPr>
        <w:t>, podría concluirse la pérdida de fuerza ejecutoria –o decaimiento– de los artículos 2.2.1.2.1.5.1 al 2.2.1.2.1.5.4 del Decreto 1082 de 2015, de conformidad con lo establecido en el artículo 91, numeral 2, de la Ley 1437 de 2011</w:t>
      </w:r>
      <w:r w:rsidR="00104AD6" w:rsidRPr="00766896">
        <w:rPr>
          <w:rStyle w:val="Refdenotaalpie"/>
          <w:rFonts w:ascii="Arial" w:eastAsia="Calibri" w:hAnsi="Arial" w:cs="Arial"/>
          <w:color w:val="000000" w:themeColor="text1"/>
          <w:sz w:val="22"/>
          <w:szCs w:val="22"/>
          <w:lang w:val="es-ES_tradnl"/>
        </w:rPr>
        <w:footnoteReference w:id="21"/>
      </w:r>
      <w:r w:rsidR="00104AD6" w:rsidRPr="00766896">
        <w:rPr>
          <w:rFonts w:ascii="Arial" w:eastAsia="Calibri" w:hAnsi="Arial" w:cs="Arial"/>
          <w:color w:val="000000" w:themeColor="text1"/>
          <w:sz w:val="22"/>
          <w:szCs w:val="22"/>
          <w:lang w:val="es-ES_tradnl"/>
        </w:rPr>
        <w:t xml:space="preserve">. Esta conclusión podría sustentarse en dos (2) argumentos. </w:t>
      </w:r>
      <w:r w:rsidR="00104AD6" w:rsidRPr="00766896">
        <w:rPr>
          <w:rFonts w:ascii="Arial" w:eastAsia="Calibri" w:hAnsi="Arial" w:cs="Arial"/>
          <w:i/>
          <w:iCs/>
          <w:color w:val="000000" w:themeColor="text1"/>
          <w:sz w:val="22"/>
          <w:szCs w:val="22"/>
          <w:lang w:val="es-ES_tradnl"/>
        </w:rPr>
        <w:t>Por un lado</w:t>
      </w:r>
      <w:r w:rsidR="00104AD6" w:rsidRPr="00766896">
        <w:rPr>
          <w:rFonts w:ascii="Arial" w:eastAsia="Calibri" w:hAnsi="Arial" w:cs="Arial"/>
          <w:color w:val="000000" w:themeColor="text1"/>
          <w:sz w:val="22"/>
          <w:szCs w:val="22"/>
          <w:lang w:val="es-ES_tradnl"/>
        </w:rPr>
        <w:t xml:space="preserve">, en que el artículo 30 de la Ley 2069 de 2020, en </w:t>
      </w:r>
      <w:r w:rsidR="00E21C48" w:rsidRPr="00766896">
        <w:rPr>
          <w:rFonts w:ascii="Arial" w:eastAsia="Calibri" w:hAnsi="Arial" w:cs="Arial"/>
          <w:color w:val="000000" w:themeColor="text1"/>
          <w:sz w:val="22"/>
          <w:szCs w:val="22"/>
          <w:lang w:val="es-ES_tradnl"/>
        </w:rPr>
        <w:t>el</w:t>
      </w:r>
      <w:r w:rsidR="00104AD6" w:rsidRPr="00766896">
        <w:rPr>
          <w:rFonts w:ascii="Arial" w:eastAsia="Calibri" w:hAnsi="Arial" w:cs="Arial"/>
          <w:color w:val="000000" w:themeColor="text1"/>
          <w:sz w:val="22"/>
          <w:szCs w:val="22"/>
          <w:lang w:val="es-ES_tradnl"/>
        </w:rPr>
        <w:t xml:space="preserve"> parágrafo primero, contiene un nuevo mandato de reglamentación </w:t>
      </w:r>
      <w:r w:rsidR="00BB1109" w:rsidRPr="00766896">
        <w:rPr>
          <w:rFonts w:ascii="Arial" w:eastAsia="Calibri" w:hAnsi="Arial" w:cs="Arial"/>
          <w:color w:val="000000" w:themeColor="text1"/>
          <w:sz w:val="22"/>
          <w:szCs w:val="22"/>
          <w:lang w:val="es-ES_tradnl"/>
        </w:rPr>
        <w:t xml:space="preserve">que </w:t>
      </w:r>
      <w:r w:rsidR="00104AD6" w:rsidRPr="00766896">
        <w:rPr>
          <w:rFonts w:ascii="Arial" w:eastAsia="Calibri" w:hAnsi="Arial" w:cs="Arial"/>
          <w:color w:val="000000" w:themeColor="text1"/>
          <w:sz w:val="22"/>
          <w:szCs w:val="22"/>
          <w:lang w:val="es-ES_tradnl"/>
        </w:rPr>
        <w:t>debe cumplir</w:t>
      </w:r>
      <w:r w:rsidR="00E21C48" w:rsidRPr="00766896">
        <w:rPr>
          <w:rFonts w:ascii="Arial" w:eastAsia="Calibri" w:hAnsi="Arial" w:cs="Arial"/>
          <w:color w:val="000000" w:themeColor="text1"/>
          <w:sz w:val="22"/>
          <w:szCs w:val="22"/>
          <w:lang w:val="es-ES_tradnl"/>
        </w:rPr>
        <w:t>se</w:t>
      </w:r>
      <w:r w:rsidR="00104AD6" w:rsidRPr="00766896">
        <w:rPr>
          <w:rFonts w:ascii="Arial" w:eastAsia="Calibri" w:hAnsi="Arial" w:cs="Arial"/>
          <w:color w:val="000000" w:themeColor="text1"/>
          <w:sz w:val="22"/>
          <w:szCs w:val="22"/>
          <w:lang w:val="es-ES_tradnl"/>
        </w:rPr>
        <w:t xml:space="preserve"> en el futuro. Esto significa que </w:t>
      </w:r>
      <w:r w:rsidR="00E21C48" w:rsidRPr="00766896">
        <w:rPr>
          <w:rFonts w:ascii="Arial" w:eastAsia="Calibri" w:hAnsi="Arial" w:cs="Arial"/>
          <w:color w:val="000000" w:themeColor="text1"/>
          <w:sz w:val="22"/>
          <w:szCs w:val="22"/>
          <w:lang w:val="es-ES_tradnl"/>
        </w:rPr>
        <w:t>sería</w:t>
      </w:r>
      <w:r w:rsidR="00104AD6" w:rsidRPr="00766896">
        <w:rPr>
          <w:rFonts w:ascii="Arial" w:eastAsia="Calibri" w:hAnsi="Arial" w:cs="Arial"/>
          <w:color w:val="000000" w:themeColor="text1"/>
          <w:sz w:val="22"/>
          <w:szCs w:val="22"/>
          <w:lang w:val="es-ES_tradnl"/>
        </w:rPr>
        <w:t xml:space="preserve"> voluntad del legislador ordenarle al gobierno nacional que expidiera </w:t>
      </w:r>
      <w:r w:rsidR="00E21C48" w:rsidRPr="00766896">
        <w:rPr>
          <w:rFonts w:ascii="Arial" w:eastAsia="Calibri" w:hAnsi="Arial" w:cs="Arial"/>
          <w:color w:val="000000" w:themeColor="text1"/>
          <w:sz w:val="22"/>
          <w:szCs w:val="22"/>
          <w:lang w:val="es-ES_tradnl"/>
        </w:rPr>
        <w:t xml:space="preserve">una nueva reglamentación en la que –además de regular la adquisición a </w:t>
      </w:r>
      <w:proofErr w:type="spellStart"/>
      <w:r w:rsidR="00E21C48" w:rsidRPr="00766896">
        <w:rPr>
          <w:rFonts w:ascii="Arial" w:eastAsia="Calibri" w:hAnsi="Arial" w:cs="Arial"/>
          <w:color w:val="000000" w:themeColor="text1"/>
          <w:sz w:val="22"/>
          <w:szCs w:val="22"/>
          <w:lang w:val="es-ES_tradnl"/>
        </w:rPr>
        <w:t>mipymes</w:t>
      </w:r>
      <w:proofErr w:type="spellEnd"/>
      <w:r w:rsidR="00E21C48" w:rsidRPr="00766896">
        <w:rPr>
          <w:rFonts w:ascii="Arial" w:eastAsia="Calibri" w:hAnsi="Arial" w:cs="Arial"/>
          <w:color w:val="000000" w:themeColor="text1"/>
          <w:sz w:val="22"/>
          <w:szCs w:val="22"/>
          <w:lang w:val="es-ES_tradnl"/>
        </w:rPr>
        <w:t>– disponga las particularidades del procedimiento contractual</w:t>
      </w:r>
      <w:r w:rsidR="00104AD6" w:rsidRPr="00766896">
        <w:rPr>
          <w:rFonts w:ascii="Arial" w:eastAsia="Calibri" w:hAnsi="Arial" w:cs="Arial"/>
          <w:color w:val="000000" w:themeColor="text1"/>
          <w:sz w:val="22"/>
          <w:szCs w:val="22"/>
          <w:lang w:val="es-ES_tradnl"/>
        </w:rPr>
        <w:t>. Entonces, ese mandato, que debe</w:t>
      </w:r>
      <w:r w:rsidR="00770817" w:rsidRPr="00766896">
        <w:rPr>
          <w:rFonts w:ascii="Arial" w:eastAsia="Calibri" w:hAnsi="Arial" w:cs="Arial"/>
          <w:color w:val="000000" w:themeColor="text1"/>
          <w:sz w:val="22"/>
          <w:szCs w:val="22"/>
          <w:lang w:val="es-ES_tradnl"/>
        </w:rPr>
        <w:t>ría</w:t>
      </w:r>
      <w:r w:rsidR="00104AD6" w:rsidRPr="00766896">
        <w:rPr>
          <w:rFonts w:ascii="Arial" w:eastAsia="Calibri" w:hAnsi="Arial" w:cs="Arial"/>
          <w:color w:val="000000" w:themeColor="text1"/>
          <w:sz w:val="22"/>
          <w:szCs w:val="22"/>
          <w:lang w:val="es-ES_tradnl"/>
        </w:rPr>
        <w:t xml:space="preserve"> cumplirse en el futuro, mal podría entenderse satisfecho con normas reglamentarias del pasado, como son las del Decreto 1082 de 2015. </w:t>
      </w:r>
      <w:r w:rsidR="00E21C48" w:rsidRPr="00766896">
        <w:rPr>
          <w:rFonts w:ascii="Arial" w:eastAsia="Calibri" w:hAnsi="Arial" w:cs="Arial"/>
          <w:i/>
          <w:iCs/>
          <w:color w:val="000000" w:themeColor="text1"/>
          <w:sz w:val="22"/>
          <w:szCs w:val="22"/>
          <w:lang w:val="es-ES_tradnl"/>
        </w:rPr>
        <w:t>Por otra parte</w:t>
      </w:r>
      <w:r w:rsidR="00E21C48" w:rsidRPr="00766896">
        <w:rPr>
          <w:rFonts w:ascii="Arial" w:eastAsia="Calibri" w:hAnsi="Arial" w:cs="Arial"/>
          <w:color w:val="000000" w:themeColor="text1"/>
          <w:sz w:val="22"/>
          <w:szCs w:val="22"/>
          <w:lang w:val="es-ES_tradnl"/>
        </w:rPr>
        <w:t>,</w:t>
      </w:r>
      <w:r w:rsidR="00104AD6" w:rsidRPr="00766896">
        <w:rPr>
          <w:rFonts w:ascii="Arial" w:eastAsia="Calibri" w:hAnsi="Arial" w:cs="Arial"/>
          <w:color w:val="000000" w:themeColor="text1"/>
          <w:sz w:val="22"/>
          <w:szCs w:val="22"/>
          <w:lang w:val="es-ES_tradnl"/>
        </w:rPr>
        <w:t xml:space="preserve"> los parágrafos 2 y 3 del numeral 5 del artículo 2 de la Ley 1150 de 2007 fueron modificados por el artículo 30 de la Ley 2069 de 2020, en lo que respecta a la posibilidad de contratar con </w:t>
      </w:r>
      <w:proofErr w:type="spellStart"/>
      <w:r w:rsidR="00104AD6" w:rsidRPr="00766896">
        <w:rPr>
          <w:rFonts w:ascii="Arial" w:eastAsia="Calibri" w:hAnsi="Arial" w:cs="Arial"/>
          <w:color w:val="000000" w:themeColor="text1"/>
          <w:sz w:val="22"/>
          <w:szCs w:val="22"/>
          <w:lang w:val="es-ES_tradnl"/>
        </w:rPr>
        <w:t>mipymes</w:t>
      </w:r>
      <w:proofErr w:type="spellEnd"/>
      <w:r w:rsidR="00104AD6" w:rsidRPr="00766896">
        <w:rPr>
          <w:rFonts w:ascii="Arial" w:eastAsia="Calibri" w:hAnsi="Arial" w:cs="Arial"/>
          <w:color w:val="000000" w:themeColor="text1"/>
          <w:sz w:val="22"/>
          <w:szCs w:val="22"/>
          <w:lang w:val="es-ES_tradnl"/>
        </w:rPr>
        <w:t xml:space="preserve"> y de aplicar el artículo 12 de la Ley 1150 de 2007. Tales cambios exigen una reglamentación distinta del mandato legal</w:t>
      </w:r>
      <w:r w:rsidR="00E21C48" w:rsidRPr="00766896">
        <w:rPr>
          <w:rFonts w:ascii="Arial" w:eastAsia="Calibri" w:hAnsi="Arial" w:cs="Arial"/>
          <w:color w:val="000000" w:themeColor="text1"/>
          <w:sz w:val="22"/>
          <w:szCs w:val="22"/>
          <w:lang w:val="es-ES_tradnl"/>
        </w:rPr>
        <w:t xml:space="preserve">, aunque </w:t>
      </w:r>
      <w:r w:rsidR="00104AD6" w:rsidRPr="00766896">
        <w:rPr>
          <w:rFonts w:ascii="Arial" w:eastAsia="Calibri" w:hAnsi="Arial" w:cs="Arial"/>
          <w:color w:val="000000" w:themeColor="text1"/>
          <w:sz w:val="22"/>
          <w:szCs w:val="22"/>
          <w:lang w:val="es-ES_tradnl"/>
        </w:rPr>
        <w:t>esto no obsta para la aplicación inmediata del artículo 30 de la Ley 2069 de 2020.</w:t>
      </w:r>
    </w:p>
    <w:p w14:paraId="294509B8" w14:textId="20C886E9" w:rsidR="00321741" w:rsidRPr="00766896" w:rsidRDefault="00826D3A" w:rsidP="00321741">
      <w:pPr>
        <w:spacing w:line="276" w:lineRule="auto"/>
        <w:jc w:val="both"/>
        <w:rPr>
          <w:rFonts w:ascii="Arial" w:eastAsia="Calibri" w:hAnsi="Arial" w:cs="Arial"/>
          <w:bCs/>
          <w:color w:val="000000" w:themeColor="text1"/>
          <w:sz w:val="22"/>
        </w:rPr>
      </w:pPr>
      <w:r w:rsidRPr="00766896">
        <w:rPr>
          <w:rFonts w:ascii="Arial" w:eastAsia="Calibri" w:hAnsi="Arial" w:cs="Arial"/>
          <w:color w:val="000000" w:themeColor="text1"/>
          <w:sz w:val="22"/>
          <w:szCs w:val="22"/>
          <w:lang w:val="es-ES_tradnl"/>
        </w:rPr>
        <w:tab/>
      </w:r>
      <w:r w:rsidR="00426CF8" w:rsidRPr="00766896">
        <w:rPr>
          <w:rFonts w:ascii="Arial" w:eastAsia="Calibri" w:hAnsi="Arial" w:cs="Arial"/>
          <w:color w:val="000000" w:themeColor="text1"/>
          <w:sz w:val="22"/>
          <w:szCs w:val="22"/>
          <w:lang w:val="es-ES_tradnl"/>
        </w:rPr>
        <w:t>E</w:t>
      </w:r>
      <w:r w:rsidRPr="00766896">
        <w:rPr>
          <w:rFonts w:ascii="Arial" w:eastAsia="Calibri" w:hAnsi="Arial" w:cs="Arial"/>
          <w:color w:val="000000" w:themeColor="text1"/>
          <w:sz w:val="22"/>
          <w:szCs w:val="22"/>
          <w:lang w:val="es-ES_tradnl"/>
        </w:rPr>
        <w:t xml:space="preserve">sta argumentación sería coherente con </w:t>
      </w:r>
      <w:r w:rsidR="00BB1109" w:rsidRPr="00766896">
        <w:rPr>
          <w:rFonts w:ascii="Arial" w:eastAsia="Calibri" w:hAnsi="Arial" w:cs="Arial"/>
          <w:color w:val="000000" w:themeColor="text1"/>
          <w:sz w:val="22"/>
          <w:szCs w:val="22"/>
          <w:lang w:val="es-ES_tradnl"/>
        </w:rPr>
        <w:t xml:space="preserve">lo </w:t>
      </w:r>
      <w:r w:rsidRPr="00766896">
        <w:rPr>
          <w:rFonts w:ascii="Arial" w:eastAsia="Calibri" w:hAnsi="Arial" w:cs="Arial"/>
          <w:color w:val="000000" w:themeColor="text1"/>
          <w:sz w:val="22"/>
          <w:szCs w:val="22"/>
          <w:lang w:val="es-ES_tradnl"/>
        </w:rPr>
        <w:t xml:space="preserve">explicado por </w:t>
      </w:r>
      <w:r w:rsidR="007D6102" w:rsidRPr="00766896">
        <w:rPr>
          <w:rFonts w:ascii="Arial" w:eastAsia="Calibri" w:hAnsi="Arial" w:cs="Arial"/>
          <w:color w:val="000000" w:themeColor="text1"/>
          <w:sz w:val="22"/>
          <w:szCs w:val="22"/>
          <w:lang w:val="es-ES_tradnl"/>
        </w:rPr>
        <w:t>esta</w:t>
      </w:r>
      <w:r w:rsidRPr="00766896">
        <w:rPr>
          <w:rFonts w:ascii="Arial" w:eastAsia="Calibri" w:hAnsi="Arial" w:cs="Arial"/>
          <w:color w:val="000000" w:themeColor="text1"/>
          <w:sz w:val="22"/>
          <w:szCs w:val="22"/>
          <w:lang w:val="es-ES_tradnl"/>
        </w:rPr>
        <w:t xml:space="preserve"> Agencia </w:t>
      </w:r>
      <w:r w:rsidR="00426CF8" w:rsidRPr="00766896">
        <w:rPr>
          <w:rFonts w:ascii="Arial" w:eastAsia="Calibri" w:hAnsi="Arial" w:cs="Arial"/>
          <w:color w:val="000000" w:themeColor="text1"/>
          <w:sz w:val="22"/>
          <w:szCs w:val="22"/>
          <w:lang w:val="es-ES_tradnl"/>
        </w:rPr>
        <w:t xml:space="preserve">a partir del </w:t>
      </w:r>
      <w:r w:rsidR="00426CF8" w:rsidRPr="00766896">
        <w:rPr>
          <w:rFonts w:ascii="Arial" w:eastAsia="Calibri" w:hAnsi="Arial" w:cs="Arial"/>
          <w:bCs/>
          <w:sz w:val="22"/>
        </w:rPr>
        <w:t xml:space="preserve">Concepto C-043 del 9 de febrero de 2020, </w:t>
      </w:r>
      <w:r w:rsidR="00426CF8" w:rsidRPr="00766896">
        <w:rPr>
          <w:rFonts w:ascii="Arial" w:eastAsia="Calibri" w:hAnsi="Arial" w:cs="Arial"/>
          <w:bCs/>
          <w:color w:val="000000" w:themeColor="text1"/>
          <w:sz w:val="22"/>
        </w:rPr>
        <w:t>en relación con las convocatorias limitadas a mipymes</w:t>
      </w:r>
      <w:r w:rsidR="00426CF8" w:rsidRPr="00766896">
        <w:rPr>
          <w:rFonts w:ascii="Arial" w:eastAsia="Calibri" w:hAnsi="Arial" w:cs="Arial"/>
          <w:bCs/>
          <w:sz w:val="22"/>
        </w:rPr>
        <w:t xml:space="preserve">. </w:t>
      </w:r>
      <w:r w:rsidR="00466631" w:rsidRPr="00766896">
        <w:rPr>
          <w:rFonts w:ascii="Arial" w:eastAsia="Calibri" w:hAnsi="Arial" w:cs="Arial"/>
          <w:bCs/>
          <w:sz w:val="22"/>
        </w:rPr>
        <w:t>Con las precisiones doctrinales posteriores,</w:t>
      </w:r>
      <w:r w:rsidR="00426CF8" w:rsidRPr="00766896">
        <w:rPr>
          <w:rFonts w:ascii="Arial" w:eastAsia="Calibri" w:hAnsi="Arial" w:cs="Arial"/>
          <w:bCs/>
          <w:sz w:val="22"/>
        </w:rPr>
        <w:t xml:space="preserve"> </w:t>
      </w:r>
      <w:r w:rsidR="00426CF8" w:rsidRPr="00766896">
        <w:rPr>
          <w:rFonts w:ascii="Arial" w:eastAsia="Calibri" w:hAnsi="Arial" w:cs="Arial"/>
          <w:bCs/>
          <w:color w:val="000000" w:themeColor="text1"/>
          <w:sz w:val="22"/>
        </w:rPr>
        <w:t>además de la pérdida de fuerza ejecutoria de</w:t>
      </w:r>
      <w:r w:rsidR="00466631" w:rsidRPr="00766896">
        <w:rPr>
          <w:rFonts w:ascii="Arial" w:eastAsia="Calibri" w:hAnsi="Arial" w:cs="Arial"/>
          <w:bCs/>
          <w:color w:val="000000" w:themeColor="text1"/>
          <w:sz w:val="22"/>
        </w:rPr>
        <w:t xml:space="preserve"> </w:t>
      </w:r>
      <w:r w:rsidR="00426CF8" w:rsidRPr="00766896">
        <w:rPr>
          <w:rFonts w:ascii="Arial" w:eastAsia="Calibri" w:hAnsi="Arial" w:cs="Arial"/>
          <w:bCs/>
          <w:color w:val="000000" w:themeColor="text1"/>
          <w:sz w:val="22"/>
        </w:rPr>
        <w:t>l</w:t>
      </w:r>
      <w:r w:rsidR="00466631" w:rsidRPr="00766896">
        <w:rPr>
          <w:rFonts w:ascii="Arial" w:eastAsia="Calibri" w:hAnsi="Arial" w:cs="Arial"/>
          <w:bCs/>
          <w:color w:val="000000" w:themeColor="text1"/>
          <w:sz w:val="22"/>
        </w:rPr>
        <w:t>os</w:t>
      </w:r>
      <w:r w:rsidR="00426CF8" w:rsidRPr="00766896">
        <w:rPr>
          <w:rFonts w:ascii="Arial" w:eastAsia="Calibri" w:hAnsi="Arial" w:cs="Arial"/>
          <w:bCs/>
          <w:color w:val="000000" w:themeColor="text1"/>
          <w:sz w:val="22"/>
        </w:rPr>
        <w:t xml:space="preserve"> artículo</w:t>
      </w:r>
      <w:r w:rsidR="00466631" w:rsidRPr="00766896">
        <w:rPr>
          <w:rFonts w:ascii="Arial" w:eastAsia="Calibri" w:hAnsi="Arial" w:cs="Arial"/>
          <w:bCs/>
          <w:color w:val="000000" w:themeColor="text1"/>
          <w:sz w:val="22"/>
        </w:rPr>
        <w:t>s</w:t>
      </w:r>
      <w:r w:rsidR="00426CF8" w:rsidRPr="00766896">
        <w:rPr>
          <w:rFonts w:ascii="Arial" w:eastAsia="Calibri" w:hAnsi="Arial" w:cs="Arial"/>
          <w:bCs/>
          <w:color w:val="000000" w:themeColor="text1"/>
          <w:sz w:val="22"/>
        </w:rPr>
        <w:t xml:space="preserve"> 2.2.1.2.4.2.2</w:t>
      </w:r>
      <w:r w:rsidR="00466631" w:rsidRPr="00766896">
        <w:rPr>
          <w:rFonts w:ascii="Arial" w:eastAsia="Calibri" w:hAnsi="Arial" w:cs="Arial"/>
          <w:bCs/>
          <w:color w:val="000000" w:themeColor="text1"/>
          <w:sz w:val="22"/>
        </w:rPr>
        <w:t xml:space="preserve"> y 2.2.1.2.4.2.3</w:t>
      </w:r>
      <w:r w:rsidR="00426CF8" w:rsidRPr="00766896">
        <w:rPr>
          <w:rFonts w:ascii="Arial" w:eastAsia="Calibri" w:hAnsi="Arial" w:cs="Arial"/>
          <w:bCs/>
          <w:color w:val="000000" w:themeColor="text1"/>
          <w:sz w:val="22"/>
        </w:rPr>
        <w:t xml:space="preserve"> del Decreto 1082 de 2015</w:t>
      </w:r>
      <w:r w:rsidR="00466631" w:rsidRPr="00766896">
        <w:rPr>
          <w:rFonts w:ascii="Arial" w:eastAsia="Calibri" w:hAnsi="Arial" w:cs="Arial"/>
          <w:bCs/>
          <w:color w:val="000000" w:themeColor="text1"/>
          <w:sz w:val="22"/>
        </w:rPr>
        <w:t xml:space="preserve"> </w:t>
      </w:r>
      <w:r w:rsidR="00426CF8" w:rsidRPr="00766896">
        <w:rPr>
          <w:rFonts w:ascii="Arial" w:eastAsia="Calibri" w:hAnsi="Arial" w:cs="Arial"/>
          <w:bCs/>
          <w:color w:val="000000" w:themeColor="text1"/>
          <w:sz w:val="22"/>
        </w:rPr>
        <w:t>por la desaparición de su fundamento de derecho, se advierte una manifiesta oposición entre dicho</w:t>
      </w:r>
      <w:r w:rsidR="00466631" w:rsidRPr="00766896">
        <w:rPr>
          <w:rFonts w:ascii="Arial" w:eastAsia="Calibri" w:hAnsi="Arial" w:cs="Arial"/>
          <w:bCs/>
          <w:color w:val="000000" w:themeColor="text1"/>
          <w:sz w:val="22"/>
        </w:rPr>
        <w:t>s</w:t>
      </w:r>
      <w:r w:rsidR="00426CF8" w:rsidRPr="00766896">
        <w:rPr>
          <w:rFonts w:ascii="Arial" w:eastAsia="Calibri" w:hAnsi="Arial" w:cs="Arial"/>
          <w:bCs/>
          <w:color w:val="000000" w:themeColor="text1"/>
          <w:sz w:val="22"/>
        </w:rPr>
        <w:t xml:space="preserve"> enunciado</w:t>
      </w:r>
      <w:r w:rsidR="00466631" w:rsidRPr="00766896">
        <w:rPr>
          <w:rFonts w:ascii="Arial" w:eastAsia="Calibri" w:hAnsi="Arial" w:cs="Arial"/>
          <w:bCs/>
          <w:color w:val="000000" w:themeColor="text1"/>
          <w:sz w:val="22"/>
        </w:rPr>
        <w:t>s</w:t>
      </w:r>
      <w:r w:rsidR="00426CF8" w:rsidRPr="00766896">
        <w:rPr>
          <w:rFonts w:ascii="Arial" w:eastAsia="Calibri" w:hAnsi="Arial" w:cs="Arial"/>
          <w:bCs/>
          <w:color w:val="000000" w:themeColor="text1"/>
          <w:sz w:val="22"/>
        </w:rPr>
        <w:t xml:space="preserve"> normativo</w:t>
      </w:r>
      <w:r w:rsidR="00466631" w:rsidRPr="00766896">
        <w:rPr>
          <w:rFonts w:ascii="Arial" w:eastAsia="Calibri" w:hAnsi="Arial" w:cs="Arial"/>
          <w:bCs/>
          <w:color w:val="000000" w:themeColor="text1"/>
          <w:sz w:val="22"/>
        </w:rPr>
        <w:t>s</w:t>
      </w:r>
      <w:r w:rsidR="00426CF8" w:rsidRPr="00766896">
        <w:rPr>
          <w:rFonts w:ascii="Arial" w:eastAsia="Calibri" w:hAnsi="Arial" w:cs="Arial"/>
          <w:bCs/>
          <w:color w:val="000000" w:themeColor="text1"/>
          <w:sz w:val="22"/>
        </w:rPr>
        <w:t xml:space="preserve"> y el nuevo contenido del artículo 12 de la Ley 1150 de 2007, modificado por el artículo 34 de la Ley 2069 de 2020. Ante esta contradicción, debe aplicar</w:t>
      </w:r>
      <w:r w:rsidR="00466631" w:rsidRPr="00766896">
        <w:rPr>
          <w:rFonts w:ascii="Arial" w:eastAsia="Calibri" w:hAnsi="Arial" w:cs="Arial"/>
          <w:bCs/>
          <w:color w:val="000000" w:themeColor="text1"/>
          <w:sz w:val="22"/>
        </w:rPr>
        <w:t>se</w:t>
      </w:r>
      <w:r w:rsidR="00426CF8" w:rsidRPr="00766896">
        <w:rPr>
          <w:rFonts w:ascii="Arial" w:eastAsia="Calibri" w:hAnsi="Arial" w:cs="Arial"/>
          <w:bCs/>
          <w:color w:val="000000" w:themeColor="text1"/>
          <w:sz w:val="22"/>
        </w:rPr>
        <w:t xml:space="preserve"> la consecuencia jurídica prevista en el artículo 84 de la Ley 2069 de 2020, según la cual esta «deroga […] todas las disposiciones que le sean contrarias».</w:t>
      </w:r>
      <w:r w:rsidR="00BB1109" w:rsidRPr="00766896">
        <w:rPr>
          <w:rFonts w:ascii="Arial" w:eastAsia="Calibri" w:hAnsi="Arial" w:cs="Arial"/>
          <w:bCs/>
          <w:color w:val="000000" w:themeColor="text1"/>
          <w:sz w:val="22"/>
        </w:rPr>
        <w:t xml:space="preserve"> Por ello</w:t>
      </w:r>
      <w:r w:rsidR="00426CF8" w:rsidRPr="00766896">
        <w:rPr>
          <w:rFonts w:ascii="Arial" w:eastAsia="Calibri" w:hAnsi="Arial" w:cs="Arial"/>
          <w:bCs/>
          <w:color w:val="000000" w:themeColor="text1"/>
          <w:sz w:val="22"/>
        </w:rPr>
        <w:t xml:space="preserve">, puede afirmarse que, además del decaimiento </w:t>
      </w:r>
      <w:r w:rsidR="00466631" w:rsidRPr="00766896">
        <w:rPr>
          <w:rFonts w:ascii="Arial" w:eastAsia="Calibri" w:hAnsi="Arial" w:cs="Arial"/>
          <w:bCs/>
          <w:color w:val="000000" w:themeColor="text1"/>
          <w:sz w:val="22"/>
        </w:rPr>
        <w:t xml:space="preserve">de los artículos 2.2.1.2.4.2.2 y 2.2.1.2.4.2.3 del </w:t>
      </w:r>
      <w:r w:rsidR="00466631" w:rsidRPr="00766896">
        <w:rPr>
          <w:rFonts w:ascii="Arial" w:eastAsia="Calibri" w:hAnsi="Arial" w:cs="Arial"/>
          <w:bCs/>
          <w:color w:val="000000" w:themeColor="text1"/>
          <w:sz w:val="22"/>
        </w:rPr>
        <w:lastRenderedPageBreak/>
        <w:t>Decreto 1082 de 2015</w:t>
      </w:r>
      <w:r w:rsidR="00426CF8" w:rsidRPr="00766896">
        <w:rPr>
          <w:rFonts w:ascii="Arial" w:eastAsia="Calibri" w:hAnsi="Arial" w:cs="Arial"/>
          <w:bCs/>
          <w:color w:val="000000" w:themeColor="text1"/>
          <w:sz w:val="22"/>
        </w:rPr>
        <w:t>, debe</w:t>
      </w:r>
      <w:r w:rsidR="00466631" w:rsidRPr="00766896">
        <w:rPr>
          <w:rFonts w:ascii="Arial" w:eastAsia="Calibri" w:hAnsi="Arial" w:cs="Arial"/>
          <w:bCs/>
          <w:color w:val="000000" w:themeColor="text1"/>
          <w:sz w:val="22"/>
        </w:rPr>
        <w:t>n</w:t>
      </w:r>
      <w:r w:rsidR="00426CF8" w:rsidRPr="00766896">
        <w:rPr>
          <w:rFonts w:ascii="Arial" w:eastAsia="Calibri" w:hAnsi="Arial" w:cs="Arial"/>
          <w:bCs/>
          <w:color w:val="000000" w:themeColor="text1"/>
          <w:sz w:val="22"/>
        </w:rPr>
        <w:t xml:space="preserve"> entenderse derogado</w:t>
      </w:r>
      <w:r w:rsidR="00466631" w:rsidRPr="00766896">
        <w:rPr>
          <w:rFonts w:ascii="Arial" w:eastAsia="Calibri" w:hAnsi="Arial" w:cs="Arial"/>
          <w:bCs/>
          <w:color w:val="000000" w:themeColor="text1"/>
          <w:sz w:val="22"/>
        </w:rPr>
        <w:t>s</w:t>
      </w:r>
      <w:r w:rsidR="00426CF8" w:rsidRPr="00766896">
        <w:rPr>
          <w:rFonts w:ascii="Arial" w:eastAsia="Calibri" w:hAnsi="Arial" w:cs="Arial"/>
          <w:bCs/>
          <w:color w:val="000000" w:themeColor="text1"/>
          <w:sz w:val="22"/>
        </w:rPr>
        <w:t xml:space="preserve">. </w:t>
      </w:r>
      <w:r w:rsidR="00BB1109" w:rsidRPr="00766896">
        <w:rPr>
          <w:rFonts w:ascii="Arial" w:eastAsia="Calibri" w:hAnsi="Arial" w:cs="Arial"/>
          <w:bCs/>
          <w:color w:val="000000" w:themeColor="text1"/>
          <w:sz w:val="22"/>
        </w:rPr>
        <w:t>Al respecto</w:t>
      </w:r>
      <w:r w:rsidR="00321741" w:rsidRPr="00766896">
        <w:rPr>
          <w:rFonts w:ascii="Arial" w:eastAsia="Calibri" w:hAnsi="Arial" w:cs="Arial"/>
          <w:bCs/>
          <w:color w:val="000000" w:themeColor="text1"/>
          <w:sz w:val="22"/>
        </w:rPr>
        <w:t>, el concepto anteriormente</w:t>
      </w:r>
      <w:r w:rsidR="00725447" w:rsidRPr="00766896">
        <w:rPr>
          <w:rFonts w:ascii="Arial" w:eastAsia="Calibri" w:hAnsi="Arial" w:cs="Arial"/>
          <w:bCs/>
          <w:color w:val="000000" w:themeColor="text1"/>
          <w:sz w:val="22"/>
        </w:rPr>
        <w:t xml:space="preserve"> citado</w:t>
      </w:r>
      <w:r w:rsidR="00321741" w:rsidRPr="00766896">
        <w:rPr>
          <w:rFonts w:ascii="Arial" w:eastAsia="Calibri" w:hAnsi="Arial" w:cs="Arial"/>
          <w:bCs/>
          <w:color w:val="000000" w:themeColor="text1"/>
          <w:sz w:val="22"/>
        </w:rPr>
        <w:t xml:space="preserve"> precisa que</w:t>
      </w:r>
      <w:r w:rsidR="002C3576" w:rsidRPr="00766896">
        <w:rPr>
          <w:rFonts w:ascii="Arial" w:eastAsia="Calibri" w:hAnsi="Arial" w:cs="Arial"/>
          <w:bCs/>
          <w:color w:val="000000" w:themeColor="text1"/>
          <w:sz w:val="22"/>
        </w:rPr>
        <w:t>:</w:t>
      </w:r>
    </w:p>
    <w:p w14:paraId="3516326D" w14:textId="65DB4DD0" w:rsidR="00426CF8" w:rsidRPr="00766896" w:rsidRDefault="00321741" w:rsidP="00852C30">
      <w:pPr>
        <w:spacing w:line="276" w:lineRule="auto"/>
        <w:jc w:val="both"/>
        <w:rPr>
          <w:rFonts w:ascii="Arial" w:eastAsia="Calibri" w:hAnsi="Arial" w:cs="Arial"/>
          <w:bCs/>
          <w:color w:val="000000" w:themeColor="text1"/>
          <w:sz w:val="22"/>
        </w:rPr>
      </w:pPr>
      <w:r w:rsidRPr="00766896">
        <w:rPr>
          <w:rFonts w:ascii="Arial" w:eastAsia="Calibri" w:hAnsi="Arial" w:cs="Arial"/>
          <w:bCs/>
          <w:color w:val="000000" w:themeColor="text1"/>
          <w:sz w:val="22"/>
        </w:rPr>
        <w:t xml:space="preserve"> </w:t>
      </w:r>
    </w:p>
    <w:p w14:paraId="4C8298A6" w14:textId="0262953D" w:rsidR="00321741" w:rsidRPr="00766896" w:rsidRDefault="00321741" w:rsidP="00852C30">
      <w:pPr>
        <w:ind w:left="709" w:right="709"/>
        <w:jc w:val="both"/>
        <w:rPr>
          <w:rFonts w:ascii="Arial" w:eastAsia="Calibri" w:hAnsi="Arial" w:cs="Arial"/>
          <w:bCs/>
          <w:color w:val="000000" w:themeColor="text1"/>
          <w:sz w:val="21"/>
          <w:szCs w:val="21"/>
        </w:rPr>
      </w:pPr>
      <w:r w:rsidRPr="00766896">
        <w:rPr>
          <w:rFonts w:ascii="Arial" w:eastAsia="Calibri" w:hAnsi="Arial" w:cs="Arial"/>
          <w:bCs/>
          <w:color w:val="000000" w:themeColor="text1"/>
          <w:sz w:val="21"/>
          <w:szCs w:val="21"/>
        </w:rPr>
        <w:t>[…] el artículo 34, reiteradamente, señala que el gobierno nacional debe definir las condiciones para la aplicación de las reglas recientemente expedidas, que permitan llevar a cabo las convocatorias limitadas a mipymes, lo cual demuestra la voluntad legislativa de establecer la necesidad de una nueva reglamentación de dicha materia. En tal sentido, el gobierno nacional podría, mediante el decreto reglamentario que expida, definir nuevas condiciones y montos para las convocatorias limitadas a mipymes. Por ende, mientras ello no suceda, las entidades estatales, los patrimonios autónomos constituidos por estas y los particulares que ejecuten recursos públicos, no pueden adoptar convocatorias limitadas a mipymes, pues al tenor del artículo 34 de la Ley 2069 de 2020, la eficacia de esta norma quedó condicionada a la expedición del decreto reglamentario que fije las condiciones de su operatividad.</w:t>
      </w:r>
    </w:p>
    <w:p w14:paraId="1B03F604" w14:textId="77777777" w:rsidR="00321741" w:rsidRPr="00766896" w:rsidRDefault="00321741" w:rsidP="00852C30">
      <w:pPr>
        <w:spacing w:line="276" w:lineRule="auto"/>
        <w:ind w:left="709" w:right="709"/>
        <w:jc w:val="both"/>
        <w:rPr>
          <w:rFonts w:ascii="Arial" w:eastAsia="Calibri" w:hAnsi="Arial" w:cs="Arial"/>
          <w:bCs/>
          <w:color w:val="000000" w:themeColor="text1"/>
          <w:sz w:val="22"/>
        </w:rPr>
      </w:pPr>
    </w:p>
    <w:p w14:paraId="5D3F2156" w14:textId="47EC6E5D" w:rsidR="004819C7" w:rsidRPr="00766896" w:rsidRDefault="00321741" w:rsidP="00426CF8">
      <w:pPr>
        <w:spacing w:after="120" w:line="276" w:lineRule="auto"/>
        <w:jc w:val="both"/>
        <w:rPr>
          <w:rFonts w:ascii="Arial" w:eastAsia="Calibri" w:hAnsi="Arial" w:cs="Arial"/>
          <w:color w:val="000000" w:themeColor="text1"/>
          <w:sz w:val="22"/>
          <w:szCs w:val="22"/>
          <w:lang w:val="es-ES_tradnl"/>
        </w:rPr>
      </w:pPr>
      <w:r w:rsidRPr="00766896">
        <w:rPr>
          <w:rFonts w:ascii="Arial" w:eastAsia="Calibri" w:hAnsi="Arial" w:cs="Arial"/>
          <w:bCs/>
          <w:color w:val="000000" w:themeColor="text1"/>
          <w:sz w:val="22"/>
        </w:rPr>
        <w:tab/>
        <w:t>Aplicando analógicamente este razonamiento a la mínima cuantía, debería concluirse que</w:t>
      </w:r>
      <w:r w:rsidR="00373C6B" w:rsidRPr="00766896">
        <w:rPr>
          <w:rFonts w:ascii="Arial" w:eastAsia="Calibri" w:hAnsi="Arial" w:cs="Arial"/>
          <w:bCs/>
          <w:color w:val="000000" w:themeColor="text1"/>
          <w:sz w:val="22"/>
        </w:rPr>
        <w:t xml:space="preserve">, </w:t>
      </w:r>
      <w:r w:rsidRPr="00766896">
        <w:rPr>
          <w:rFonts w:ascii="Arial" w:eastAsia="Calibri" w:hAnsi="Arial" w:cs="Arial"/>
          <w:bCs/>
          <w:color w:val="000000" w:themeColor="text1"/>
          <w:sz w:val="22"/>
        </w:rPr>
        <w:t>como los</w:t>
      </w:r>
      <w:r w:rsidRPr="00766896">
        <w:rPr>
          <w:rFonts w:ascii="Arial" w:eastAsia="Calibri" w:hAnsi="Arial" w:cs="Arial"/>
          <w:color w:val="000000" w:themeColor="text1"/>
          <w:sz w:val="22"/>
          <w:szCs w:val="22"/>
          <w:lang w:val="es-ES_tradnl"/>
        </w:rPr>
        <w:t xml:space="preserve"> artículos 2.2.1.2.1.5.1 al 2.2.1.2.1.5.4 del Decreto 1082 de 2015 reglamentaban el artículo 94 de la Ley 1474 de 2011</w:t>
      </w:r>
      <w:r w:rsidR="00373C6B" w:rsidRPr="00766896">
        <w:rPr>
          <w:rFonts w:ascii="Arial" w:eastAsia="Calibri" w:hAnsi="Arial" w:cs="Arial"/>
          <w:color w:val="000000" w:themeColor="text1"/>
          <w:sz w:val="22"/>
          <w:szCs w:val="22"/>
          <w:lang w:val="es-ES_tradnl"/>
        </w:rPr>
        <w:t xml:space="preserve">, </w:t>
      </w:r>
      <w:r w:rsidRPr="00766896">
        <w:rPr>
          <w:rFonts w:ascii="Arial" w:eastAsia="Calibri" w:hAnsi="Arial" w:cs="Arial"/>
          <w:color w:val="000000" w:themeColor="text1"/>
          <w:sz w:val="22"/>
          <w:szCs w:val="22"/>
          <w:lang w:val="es-ES_tradnl"/>
        </w:rPr>
        <w:t>con el artículo 30 de la Ley</w:t>
      </w:r>
      <w:r w:rsidR="00373C6B" w:rsidRPr="00766896">
        <w:rPr>
          <w:rFonts w:ascii="Arial" w:eastAsia="Calibri" w:hAnsi="Arial" w:cs="Arial"/>
          <w:color w:val="000000" w:themeColor="text1"/>
          <w:sz w:val="22"/>
          <w:szCs w:val="22"/>
          <w:lang w:val="es-ES_tradnl"/>
        </w:rPr>
        <w:t xml:space="preserve"> 2069 de 2020 e</w:t>
      </w:r>
      <w:r w:rsidR="00BB1109" w:rsidRPr="00766896">
        <w:rPr>
          <w:rFonts w:ascii="Arial" w:eastAsia="Calibri" w:hAnsi="Arial" w:cs="Arial"/>
          <w:color w:val="000000" w:themeColor="text1"/>
          <w:sz w:val="22"/>
          <w:szCs w:val="22"/>
          <w:lang w:val="es-ES_tradnl"/>
        </w:rPr>
        <w:t>s</w:t>
      </w:r>
      <w:r w:rsidR="00373C6B" w:rsidRPr="00766896">
        <w:rPr>
          <w:rFonts w:ascii="Arial" w:eastAsia="Calibri" w:hAnsi="Arial" w:cs="Arial"/>
          <w:color w:val="000000" w:themeColor="text1"/>
          <w:sz w:val="22"/>
          <w:szCs w:val="22"/>
          <w:lang w:val="es-ES_tradnl"/>
        </w:rPr>
        <w:t xml:space="preserve"> necesaria una nueva reglamentación del parágrafo primero que defina las particularidades del procedimiento de selección. Esto en la medida que las normas citadas del decreto reglamentario perderían su fundamento jurídico por la sustitución del contenido del numeral 5 del artículo 2 de la Ley 1150 de 2007.</w:t>
      </w:r>
      <w:r w:rsidR="004819C7" w:rsidRPr="00766896">
        <w:rPr>
          <w:rFonts w:ascii="Arial" w:eastAsia="Calibri" w:hAnsi="Arial" w:cs="Arial"/>
          <w:color w:val="000000" w:themeColor="text1"/>
          <w:sz w:val="22"/>
          <w:szCs w:val="22"/>
          <w:lang w:val="es-ES_tradnl"/>
        </w:rPr>
        <w:t xml:space="preserve"> </w:t>
      </w:r>
    </w:p>
    <w:p w14:paraId="10C7F7AF" w14:textId="5452B7D5" w:rsidR="00E95B72" w:rsidRPr="00766896" w:rsidRDefault="00E95B72" w:rsidP="00E95B72">
      <w:pPr>
        <w:tabs>
          <w:tab w:val="left" w:pos="709"/>
        </w:tabs>
        <w:spacing w:line="276" w:lineRule="auto"/>
        <w:jc w:val="both"/>
        <w:rPr>
          <w:rFonts w:ascii="Arial" w:eastAsia="Calibri" w:hAnsi="Arial" w:cs="Arial"/>
          <w:bCs/>
          <w:color w:val="000000" w:themeColor="text1"/>
          <w:sz w:val="22"/>
        </w:rPr>
      </w:pPr>
      <w:r w:rsidRPr="00766896">
        <w:rPr>
          <w:rFonts w:ascii="Arial" w:eastAsia="Calibri" w:hAnsi="Arial" w:cs="Arial"/>
          <w:color w:val="000000" w:themeColor="text1"/>
          <w:sz w:val="22"/>
          <w:szCs w:val="22"/>
          <w:lang w:val="es-ES_tradnl"/>
        </w:rPr>
        <w:tab/>
      </w:r>
      <w:r w:rsidR="00373C6B" w:rsidRPr="00766896">
        <w:rPr>
          <w:rFonts w:ascii="Arial" w:eastAsia="Calibri" w:hAnsi="Arial" w:cs="Arial"/>
          <w:color w:val="000000" w:themeColor="text1"/>
          <w:sz w:val="22"/>
          <w:szCs w:val="22"/>
          <w:lang w:val="es-ES_tradnl"/>
        </w:rPr>
        <w:t xml:space="preserve">Aunque el argumento es plausible, </w:t>
      </w:r>
      <w:r w:rsidR="004819C7" w:rsidRPr="00766896">
        <w:rPr>
          <w:rFonts w:ascii="Arial" w:eastAsia="Calibri" w:hAnsi="Arial" w:cs="Arial"/>
          <w:color w:val="000000" w:themeColor="text1"/>
          <w:sz w:val="22"/>
          <w:szCs w:val="22"/>
          <w:lang w:val="es-ES_tradnl"/>
        </w:rPr>
        <w:t xml:space="preserve">para </w:t>
      </w:r>
      <w:r w:rsidR="00373C6B" w:rsidRPr="00766896">
        <w:rPr>
          <w:rFonts w:ascii="Arial" w:eastAsia="Calibri" w:hAnsi="Arial" w:cs="Arial"/>
          <w:color w:val="000000" w:themeColor="text1"/>
          <w:sz w:val="22"/>
          <w:szCs w:val="22"/>
          <w:lang w:val="es-ES_tradnl"/>
        </w:rPr>
        <w:t xml:space="preserve">la Subdirección </w:t>
      </w:r>
      <w:r w:rsidR="0008146E" w:rsidRPr="00766896">
        <w:rPr>
          <w:rFonts w:ascii="Arial" w:eastAsia="Calibri" w:hAnsi="Arial" w:cs="Arial"/>
          <w:color w:val="000000" w:themeColor="text1"/>
          <w:sz w:val="22"/>
          <w:szCs w:val="22"/>
          <w:lang w:val="es-ES_tradnl"/>
        </w:rPr>
        <w:t xml:space="preserve">de Gestión Contractual las consideraciones relacionadas con la limitación a </w:t>
      </w:r>
      <w:proofErr w:type="spellStart"/>
      <w:r w:rsidR="0008146E" w:rsidRPr="00766896">
        <w:rPr>
          <w:rFonts w:ascii="Arial" w:eastAsia="Calibri" w:hAnsi="Arial" w:cs="Arial"/>
          <w:color w:val="000000" w:themeColor="text1"/>
          <w:sz w:val="22"/>
          <w:szCs w:val="22"/>
          <w:lang w:val="es-ES_tradnl"/>
        </w:rPr>
        <w:t>mipymes</w:t>
      </w:r>
      <w:proofErr w:type="spellEnd"/>
      <w:r w:rsidR="0008146E" w:rsidRPr="00766896">
        <w:rPr>
          <w:rFonts w:ascii="Arial" w:eastAsia="Calibri" w:hAnsi="Arial" w:cs="Arial"/>
          <w:color w:val="000000" w:themeColor="text1"/>
          <w:sz w:val="22"/>
          <w:szCs w:val="22"/>
          <w:lang w:val="es-ES_tradnl"/>
        </w:rPr>
        <w:t xml:space="preserve"> no son aplicables a la regulación de la mínima cuantía, </w:t>
      </w:r>
      <w:r w:rsidR="004819C7" w:rsidRPr="00766896">
        <w:rPr>
          <w:rFonts w:ascii="Arial" w:eastAsia="Calibri" w:hAnsi="Arial" w:cs="Arial"/>
          <w:color w:val="000000" w:themeColor="text1"/>
          <w:sz w:val="22"/>
          <w:szCs w:val="22"/>
          <w:lang w:val="es-ES_tradnl"/>
        </w:rPr>
        <w:t>ya que</w:t>
      </w:r>
      <w:r w:rsidR="0008146E" w:rsidRPr="00766896">
        <w:rPr>
          <w:rFonts w:ascii="Arial" w:eastAsia="Calibri" w:hAnsi="Arial" w:cs="Arial"/>
          <w:color w:val="000000" w:themeColor="text1"/>
          <w:sz w:val="22"/>
          <w:szCs w:val="22"/>
          <w:lang w:val="es-ES_tradnl"/>
        </w:rPr>
        <w:t xml:space="preserve"> </w:t>
      </w:r>
      <w:r w:rsidR="004819C7" w:rsidRPr="00766896">
        <w:rPr>
          <w:rFonts w:ascii="Arial" w:eastAsia="Calibri" w:hAnsi="Arial" w:cs="Arial"/>
          <w:color w:val="000000" w:themeColor="text1"/>
          <w:sz w:val="22"/>
          <w:szCs w:val="22"/>
          <w:lang w:val="es-ES_tradnl"/>
        </w:rPr>
        <w:t>tienen un alcance diferente</w:t>
      </w:r>
      <w:r w:rsidR="0008146E" w:rsidRPr="00766896">
        <w:rPr>
          <w:rFonts w:ascii="Arial" w:eastAsia="Calibri" w:hAnsi="Arial" w:cs="Arial"/>
          <w:color w:val="000000" w:themeColor="text1"/>
          <w:sz w:val="22"/>
          <w:szCs w:val="22"/>
          <w:lang w:val="es-ES_tradnl"/>
        </w:rPr>
        <w:t>.</w:t>
      </w:r>
      <w:r w:rsidR="004819C7" w:rsidRPr="00766896">
        <w:rPr>
          <w:rFonts w:ascii="Arial" w:eastAsia="Calibri" w:hAnsi="Arial" w:cs="Arial"/>
          <w:color w:val="000000" w:themeColor="text1"/>
          <w:sz w:val="22"/>
          <w:szCs w:val="22"/>
          <w:lang w:val="es-ES_tradnl"/>
        </w:rPr>
        <w:t xml:space="preserve"> </w:t>
      </w:r>
      <w:r w:rsidR="00E62103" w:rsidRPr="00766896">
        <w:rPr>
          <w:rFonts w:ascii="Arial" w:eastAsia="Calibri" w:hAnsi="Arial" w:cs="Arial"/>
          <w:color w:val="000000" w:themeColor="text1"/>
          <w:sz w:val="22"/>
          <w:szCs w:val="22"/>
          <w:lang w:val="es-ES_tradnl"/>
        </w:rPr>
        <w:t>E</w:t>
      </w:r>
      <w:r w:rsidRPr="00766896">
        <w:rPr>
          <w:rFonts w:ascii="Arial" w:eastAsia="Calibri" w:hAnsi="Arial" w:cs="Arial"/>
          <w:bCs/>
          <w:color w:val="000000" w:themeColor="text1"/>
          <w:sz w:val="22"/>
        </w:rPr>
        <w:t xml:space="preserve">l artículo 34 </w:t>
      </w:r>
      <w:r w:rsidRPr="00766896">
        <w:rPr>
          <w:rFonts w:ascii="Arial" w:eastAsia="Calibri" w:hAnsi="Arial" w:cs="Arial"/>
          <w:bCs/>
          <w:i/>
          <w:iCs/>
          <w:color w:val="000000" w:themeColor="text1"/>
          <w:sz w:val="22"/>
        </w:rPr>
        <w:t>ibidem</w:t>
      </w:r>
      <w:r w:rsidRPr="00766896">
        <w:rPr>
          <w:rFonts w:ascii="Arial" w:eastAsia="Calibri" w:hAnsi="Arial" w:cs="Arial"/>
          <w:bCs/>
          <w:color w:val="000000" w:themeColor="text1"/>
          <w:sz w:val="22"/>
        </w:rPr>
        <w:t xml:space="preserve"> modifica el artículo 12 de la Ley 1150 de 2007, el cual regula la promoción del desarrollo en la contratación pública. Inicialmente, la redacción de la Ley 1150 fue modificada por el artículo 32 de la Ley 1450 de 2011, pero esta última </w:t>
      </w:r>
      <w:r w:rsidR="00E62103" w:rsidRPr="00766896">
        <w:rPr>
          <w:rFonts w:ascii="Arial" w:eastAsia="Calibri" w:hAnsi="Arial" w:cs="Arial"/>
          <w:bCs/>
          <w:color w:val="000000" w:themeColor="text1"/>
          <w:sz w:val="22"/>
        </w:rPr>
        <w:t>fue</w:t>
      </w:r>
      <w:r w:rsidRPr="00766896">
        <w:rPr>
          <w:rFonts w:ascii="Arial" w:eastAsia="Calibri" w:hAnsi="Arial" w:cs="Arial"/>
          <w:bCs/>
          <w:color w:val="000000" w:themeColor="text1"/>
          <w:sz w:val="22"/>
        </w:rPr>
        <w:t xml:space="preserve"> derogada con la expedición de la Ley de Emprendimiento. </w:t>
      </w:r>
      <w:r w:rsidR="00BB1109" w:rsidRPr="00766896">
        <w:rPr>
          <w:rFonts w:ascii="Arial" w:eastAsia="Calibri" w:hAnsi="Arial" w:cs="Arial"/>
          <w:bCs/>
          <w:color w:val="000000" w:themeColor="text1"/>
          <w:sz w:val="22"/>
        </w:rPr>
        <w:t>Al respecto</w:t>
      </w:r>
      <w:r w:rsidRPr="00766896">
        <w:rPr>
          <w:rFonts w:ascii="Arial" w:eastAsia="Calibri" w:hAnsi="Arial" w:cs="Arial"/>
          <w:bCs/>
          <w:color w:val="000000" w:themeColor="text1"/>
          <w:sz w:val="22"/>
        </w:rPr>
        <w:t xml:space="preserve">, la norma dispone:   </w:t>
      </w:r>
    </w:p>
    <w:p w14:paraId="6275A0B5" w14:textId="77777777" w:rsidR="00E95B72" w:rsidRPr="00766896" w:rsidRDefault="00E95B72" w:rsidP="00E95B72">
      <w:pPr>
        <w:tabs>
          <w:tab w:val="left" w:pos="709"/>
        </w:tabs>
        <w:spacing w:line="276" w:lineRule="auto"/>
        <w:jc w:val="both"/>
        <w:rPr>
          <w:rFonts w:ascii="Arial" w:eastAsia="Calibri" w:hAnsi="Arial" w:cs="Arial"/>
          <w:bCs/>
          <w:color w:val="000000" w:themeColor="text1"/>
          <w:sz w:val="22"/>
        </w:rPr>
      </w:pPr>
    </w:p>
    <w:p w14:paraId="55A31911" w14:textId="77777777" w:rsidR="00E95B72" w:rsidRPr="00766896" w:rsidRDefault="00E95B72" w:rsidP="00E95B72">
      <w:pPr>
        <w:tabs>
          <w:tab w:val="left" w:pos="1276"/>
        </w:tabs>
        <w:ind w:left="709" w:right="709"/>
        <w:jc w:val="both"/>
        <w:rPr>
          <w:rFonts w:ascii="Arial" w:eastAsia="Calibri" w:hAnsi="Arial" w:cs="Arial"/>
          <w:bCs/>
          <w:color w:val="000000" w:themeColor="text1"/>
          <w:sz w:val="21"/>
          <w:szCs w:val="21"/>
        </w:rPr>
      </w:pPr>
      <w:r w:rsidRPr="00766896">
        <w:rPr>
          <w:rFonts w:ascii="Arial" w:eastAsia="Calibri" w:hAnsi="Arial" w:cs="Arial"/>
          <w:bCs/>
          <w:color w:val="000000" w:themeColor="text1"/>
          <w:sz w:val="21"/>
          <w:szCs w:val="21"/>
        </w:rPr>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w:t>
      </w:r>
      <w:r w:rsidRPr="00766896">
        <w:rPr>
          <w:rFonts w:ascii="Arial" w:eastAsia="Calibri" w:hAnsi="Arial" w:cs="Arial"/>
          <w:bCs/>
          <w:i/>
          <w:iCs/>
          <w:color w:val="000000" w:themeColor="text1"/>
          <w:sz w:val="21"/>
          <w:szCs w:val="21"/>
        </w:rPr>
        <w:t>indistintamente de su régimen de contratación, los patrimonios autónomos constituidos por Entidades Estatales y los particulares que ejecuten recursos públicos,</w:t>
      </w:r>
      <w:r w:rsidRPr="00766896">
        <w:rPr>
          <w:rFonts w:ascii="Arial" w:eastAsia="Calibri" w:hAnsi="Arial" w:cs="Arial"/>
          <w:bCs/>
          <w:color w:val="000000" w:themeColor="text1"/>
          <w:sz w:val="21"/>
          <w:szCs w:val="21"/>
        </w:rPr>
        <w:t xml:space="preserve"> adopten en beneficio de las Mipyme, convocatorias limitadas a estas en las que, previo a la Resolución de apertura del proceso respectivo, se haya manifestado el interés </w:t>
      </w:r>
      <w:r w:rsidRPr="00766896">
        <w:rPr>
          <w:rFonts w:ascii="Arial" w:eastAsia="Calibri" w:hAnsi="Arial" w:cs="Arial"/>
          <w:bCs/>
          <w:i/>
          <w:iCs/>
          <w:color w:val="000000" w:themeColor="text1"/>
          <w:sz w:val="21"/>
          <w:szCs w:val="21"/>
        </w:rPr>
        <w:t>de por lo menos dos (2) Mipyme</w:t>
      </w:r>
      <w:r w:rsidRPr="00766896">
        <w:rPr>
          <w:rFonts w:ascii="Arial" w:eastAsia="Calibri" w:hAnsi="Arial" w:cs="Arial"/>
          <w:bCs/>
          <w:color w:val="000000" w:themeColor="text1"/>
          <w:sz w:val="21"/>
          <w:szCs w:val="21"/>
        </w:rPr>
        <w:t>.</w:t>
      </w:r>
    </w:p>
    <w:p w14:paraId="6D058ECB" w14:textId="77777777" w:rsidR="00E95B72" w:rsidRPr="00766896" w:rsidRDefault="00E95B72" w:rsidP="00E95B72">
      <w:pPr>
        <w:tabs>
          <w:tab w:val="left" w:pos="1276"/>
        </w:tabs>
        <w:spacing w:before="120"/>
        <w:ind w:left="709" w:right="709"/>
        <w:jc w:val="both"/>
        <w:rPr>
          <w:rFonts w:ascii="Arial" w:eastAsia="Calibri" w:hAnsi="Arial" w:cs="Arial"/>
          <w:bCs/>
          <w:color w:val="000000" w:themeColor="text1"/>
          <w:sz w:val="21"/>
          <w:szCs w:val="21"/>
        </w:rPr>
      </w:pPr>
      <w:r w:rsidRPr="00766896">
        <w:rPr>
          <w:rFonts w:ascii="Arial" w:eastAsia="Calibri" w:hAnsi="Arial" w:cs="Arial"/>
          <w:bCs/>
          <w:color w:val="000000" w:themeColor="text1"/>
          <w:sz w:val="21"/>
          <w:szCs w:val="21"/>
        </w:rPr>
        <w:t xml:space="preserve">Asimismo, el reglamento podrá establecer condiciones preferenciales en favor de la oferta de bienes y servicios producidos por las Mipyme, respetando los </w:t>
      </w:r>
      <w:r w:rsidRPr="00766896">
        <w:rPr>
          <w:rFonts w:ascii="Arial" w:eastAsia="Calibri" w:hAnsi="Arial" w:cs="Arial"/>
          <w:bCs/>
          <w:color w:val="000000" w:themeColor="text1"/>
          <w:sz w:val="21"/>
          <w:szCs w:val="21"/>
        </w:rPr>
        <w:lastRenderedPageBreak/>
        <w:t>montos y las condiciones contenidas en los compromisos internacionales vigentes</w:t>
      </w:r>
      <w:r w:rsidRPr="00766896">
        <w:rPr>
          <w:rFonts w:ascii="Arial" w:eastAsia="Calibri" w:hAnsi="Arial" w:cs="Arial"/>
          <w:bCs/>
          <w:i/>
          <w:iCs/>
          <w:color w:val="000000" w:themeColor="text1"/>
          <w:sz w:val="21"/>
          <w:szCs w:val="21"/>
        </w:rPr>
        <w:t>, cuando sean aplicables</w:t>
      </w:r>
      <w:r w:rsidRPr="00766896">
        <w:rPr>
          <w:rFonts w:ascii="Arial" w:eastAsia="Calibri" w:hAnsi="Arial" w:cs="Arial"/>
          <w:bCs/>
          <w:color w:val="000000" w:themeColor="text1"/>
          <w:sz w:val="21"/>
          <w:szCs w:val="21"/>
        </w:rPr>
        <w:t>.</w:t>
      </w:r>
    </w:p>
    <w:p w14:paraId="0943F7FD" w14:textId="77777777" w:rsidR="00E95B72" w:rsidRPr="00766896" w:rsidRDefault="00E95B72" w:rsidP="00E95B72">
      <w:pPr>
        <w:tabs>
          <w:tab w:val="left" w:pos="1276"/>
        </w:tabs>
        <w:spacing w:before="120"/>
        <w:ind w:left="709" w:right="709"/>
        <w:jc w:val="both"/>
        <w:rPr>
          <w:rFonts w:ascii="Arial" w:eastAsia="Calibri" w:hAnsi="Arial" w:cs="Arial"/>
          <w:bCs/>
          <w:color w:val="000000" w:themeColor="text1"/>
          <w:sz w:val="21"/>
          <w:szCs w:val="21"/>
        </w:rPr>
      </w:pPr>
      <w:r w:rsidRPr="00766896">
        <w:rPr>
          <w:rFonts w:ascii="Arial" w:eastAsia="Calibri" w:hAnsi="Arial" w:cs="Arial"/>
          <w:bCs/>
          <w:color w:val="000000" w:themeColor="text1"/>
          <w:sz w:val="21"/>
          <w:szCs w:val="21"/>
        </w:rPr>
        <w:t>En todo caso, se deberá garantizar la satisfacción de las condiciones técnicas y económicas requeridas en el Proceso de Contratación</w:t>
      </w:r>
      <w:r w:rsidRPr="00766896">
        <w:rPr>
          <w:rStyle w:val="Refdenotaalpie"/>
          <w:rFonts w:ascii="Arial" w:eastAsia="Calibri" w:hAnsi="Arial" w:cs="Arial"/>
          <w:bCs/>
          <w:color w:val="000000" w:themeColor="text1"/>
          <w:sz w:val="21"/>
          <w:szCs w:val="21"/>
        </w:rPr>
        <w:footnoteReference w:id="22"/>
      </w:r>
      <w:r w:rsidRPr="00766896">
        <w:rPr>
          <w:rFonts w:ascii="Arial" w:eastAsia="Calibri" w:hAnsi="Arial" w:cs="Arial"/>
          <w:bCs/>
          <w:color w:val="000000" w:themeColor="text1"/>
          <w:sz w:val="21"/>
          <w:szCs w:val="21"/>
        </w:rPr>
        <w:t>. (Énfasis fuera de texto)</w:t>
      </w:r>
    </w:p>
    <w:p w14:paraId="0F8D4A4D" w14:textId="77777777" w:rsidR="00E95B72" w:rsidRPr="00766896" w:rsidRDefault="00E95B72" w:rsidP="00E95B72">
      <w:pPr>
        <w:tabs>
          <w:tab w:val="left" w:pos="1276"/>
        </w:tabs>
        <w:spacing w:line="276" w:lineRule="auto"/>
        <w:ind w:left="709" w:right="709"/>
        <w:jc w:val="both"/>
        <w:rPr>
          <w:rFonts w:ascii="Arial" w:eastAsia="Calibri" w:hAnsi="Arial" w:cs="Arial"/>
          <w:bCs/>
          <w:color w:val="000000" w:themeColor="text1"/>
          <w:sz w:val="22"/>
        </w:rPr>
      </w:pPr>
    </w:p>
    <w:p w14:paraId="3A6837F3" w14:textId="04633C40" w:rsidR="00E95B72" w:rsidRPr="00766896" w:rsidRDefault="00E95B72" w:rsidP="00E95B72">
      <w:pPr>
        <w:tabs>
          <w:tab w:val="left" w:pos="709"/>
        </w:tabs>
        <w:spacing w:after="120" w:line="276" w:lineRule="auto"/>
        <w:jc w:val="both"/>
        <w:rPr>
          <w:rFonts w:ascii="Arial" w:eastAsia="Calibri" w:hAnsi="Arial" w:cs="Arial"/>
          <w:bCs/>
          <w:color w:val="000000" w:themeColor="text1"/>
          <w:sz w:val="22"/>
        </w:rPr>
      </w:pPr>
      <w:r w:rsidRPr="00766896">
        <w:rPr>
          <w:rFonts w:ascii="Arial" w:eastAsia="Calibri" w:hAnsi="Arial" w:cs="Arial"/>
          <w:bCs/>
          <w:color w:val="000000" w:themeColor="text1"/>
          <w:sz w:val="22"/>
        </w:rPr>
        <w:tab/>
        <w:t xml:space="preserve">En contraste con la redacción de la Ley 1450 de 2011, la Ley de Emprendimiento amplía la limitación a mipymes de forma </w:t>
      </w:r>
      <w:r w:rsidR="00BB1109" w:rsidRPr="00766896">
        <w:rPr>
          <w:rFonts w:ascii="Arial" w:eastAsia="Calibri" w:hAnsi="Arial" w:cs="Arial"/>
          <w:bCs/>
          <w:color w:val="000000" w:themeColor="text1"/>
          <w:sz w:val="22"/>
        </w:rPr>
        <w:t>qu</w:t>
      </w:r>
      <w:r w:rsidRPr="00766896">
        <w:rPr>
          <w:rFonts w:ascii="Arial" w:eastAsia="Calibri" w:hAnsi="Arial" w:cs="Arial"/>
          <w:bCs/>
          <w:color w:val="000000" w:themeColor="text1"/>
          <w:sz w:val="22"/>
        </w:rPr>
        <w:t xml:space="preserve">e ya no solo aplica en los procedimientos de selección de las entidades sometidas a la Ley 80 de 1993, sino que se extiende a la gestión contractual de las entidades exceptuadas, los patrimonios autónomos y los particulares que ejecuten recursos públicos. Incluso, la norma congela en el rango de ley el número de interesados que debe solicitar la limitación. </w:t>
      </w:r>
    </w:p>
    <w:p w14:paraId="5E871295" w14:textId="30CE7666" w:rsidR="00976B37" w:rsidRPr="00766896" w:rsidRDefault="00E95B72" w:rsidP="00E95B72">
      <w:pPr>
        <w:tabs>
          <w:tab w:val="left" w:pos="709"/>
        </w:tabs>
        <w:spacing w:after="120" w:line="276" w:lineRule="auto"/>
        <w:jc w:val="both"/>
        <w:rPr>
          <w:rFonts w:ascii="Arial" w:eastAsia="Calibri" w:hAnsi="Arial" w:cs="Arial"/>
          <w:bCs/>
          <w:color w:val="000000" w:themeColor="text1"/>
          <w:sz w:val="22"/>
        </w:rPr>
      </w:pPr>
      <w:r w:rsidRPr="00766896">
        <w:rPr>
          <w:rFonts w:ascii="Arial" w:eastAsia="Calibri" w:hAnsi="Arial" w:cs="Arial"/>
          <w:bCs/>
          <w:color w:val="000000" w:themeColor="text1"/>
          <w:sz w:val="22"/>
        </w:rPr>
        <w:tab/>
        <w:t xml:space="preserve">Además de que el artículo 34 de la Ley de Emprendimiento no es una norma de aplicación directa, contempla supuestos que no están previstos en el Decreto 1082 de 2015. Particularmente, </w:t>
      </w:r>
      <w:r w:rsidR="00643D0A" w:rsidRPr="00766896">
        <w:rPr>
          <w:rFonts w:ascii="Arial" w:eastAsia="Calibri" w:hAnsi="Arial" w:cs="Arial"/>
          <w:bCs/>
          <w:color w:val="000000" w:themeColor="text1"/>
          <w:sz w:val="22"/>
        </w:rPr>
        <w:t xml:space="preserve">conforme al artículo 2.2.1.2.4.2.2 </w:t>
      </w:r>
      <w:r w:rsidR="00643D0A" w:rsidRPr="00766896">
        <w:rPr>
          <w:rFonts w:ascii="Arial" w:eastAsia="Calibri" w:hAnsi="Arial" w:cs="Arial"/>
          <w:bCs/>
          <w:i/>
          <w:iCs/>
          <w:color w:val="000000" w:themeColor="text1"/>
          <w:sz w:val="22"/>
        </w:rPr>
        <w:t>ibídem</w:t>
      </w:r>
      <w:r w:rsidR="00643D0A" w:rsidRPr="00766896">
        <w:rPr>
          <w:rFonts w:ascii="Arial" w:eastAsia="Calibri" w:hAnsi="Arial" w:cs="Arial"/>
          <w:bCs/>
          <w:color w:val="000000" w:themeColor="text1"/>
          <w:sz w:val="22"/>
        </w:rPr>
        <w:t>,</w:t>
      </w:r>
      <w:r w:rsidRPr="00766896">
        <w:rPr>
          <w:rFonts w:ascii="Arial" w:eastAsia="Calibri" w:hAnsi="Arial" w:cs="Arial"/>
          <w:bCs/>
          <w:color w:val="000000" w:themeColor="text1"/>
          <w:sz w:val="22"/>
        </w:rPr>
        <w:t xml:space="preserve"> las convocatorias limitadas</w:t>
      </w:r>
      <w:r w:rsidR="00643D0A" w:rsidRPr="00766896">
        <w:rPr>
          <w:rFonts w:ascii="Arial" w:eastAsia="Calibri" w:hAnsi="Arial" w:cs="Arial"/>
          <w:bCs/>
          <w:color w:val="000000" w:themeColor="text1"/>
          <w:sz w:val="22"/>
        </w:rPr>
        <w:t xml:space="preserve"> únicamente solo son obligatorias en la </w:t>
      </w:r>
      <w:r w:rsidRPr="00766896">
        <w:rPr>
          <w:rFonts w:ascii="Arial" w:eastAsia="Calibri" w:hAnsi="Arial" w:cs="Arial"/>
          <w:bCs/>
          <w:color w:val="000000" w:themeColor="text1"/>
          <w:sz w:val="22"/>
        </w:rPr>
        <w:t>licitación pública, selección abreviada y concurso de méritos</w:t>
      </w:r>
      <w:r w:rsidR="00A568B6" w:rsidRPr="00766896">
        <w:rPr>
          <w:rFonts w:ascii="Arial" w:eastAsia="Calibri" w:hAnsi="Arial" w:cs="Arial"/>
          <w:bCs/>
          <w:color w:val="000000" w:themeColor="text1"/>
          <w:sz w:val="22"/>
        </w:rPr>
        <w:t xml:space="preserve"> de las entidades sometidas a la Ley 80 de 1993</w:t>
      </w:r>
      <w:r w:rsidR="00643D0A" w:rsidRPr="00766896">
        <w:rPr>
          <w:rFonts w:ascii="Arial" w:eastAsia="Calibri" w:hAnsi="Arial" w:cs="Arial"/>
          <w:bCs/>
          <w:color w:val="000000" w:themeColor="text1"/>
          <w:sz w:val="22"/>
        </w:rPr>
        <w:t xml:space="preserve">, siempre que la entidad contratante reciba solicitudes de limitación de por lo menos tres (3) mipyme nacionales. </w:t>
      </w:r>
      <w:r w:rsidR="00976B37" w:rsidRPr="00766896">
        <w:rPr>
          <w:rFonts w:ascii="Arial" w:eastAsia="Calibri" w:hAnsi="Arial" w:cs="Arial"/>
          <w:bCs/>
          <w:color w:val="000000" w:themeColor="text1"/>
          <w:sz w:val="22"/>
        </w:rPr>
        <w:t>Frente a este escenario, surge la necesidad de expedir una nueva reglamentación para las convocatorias limitadas que desarrolle los nuevos elementos previstos en la ley.</w:t>
      </w:r>
    </w:p>
    <w:p w14:paraId="4F072DC4" w14:textId="44AC4F57" w:rsidR="00FA37E1" w:rsidRPr="00766896" w:rsidRDefault="00E62103" w:rsidP="00E95B72">
      <w:pPr>
        <w:tabs>
          <w:tab w:val="left" w:pos="709"/>
        </w:tabs>
        <w:spacing w:after="120" w:line="276" w:lineRule="auto"/>
        <w:jc w:val="both"/>
        <w:rPr>
          <w:rFonts w:ascii="Arial" w:eastAsia="Calibri" w:hAnsi="Arial" w:cs="Arial"/>
          <w:color w:val="000000" w:themeColor="text1"/>
          <w:sz w:val="22"/>
          <w:szCs w:val="22"/>
          <w:lang w:val="es-ES_tradnl"/>
        </w:rPr>
      </w:pPr>
      <w:r w:rsidRPr="00766896">
        <w:rPr>
          <w:rFonts w:ascii="Arial" w:eastAsia="Calibri" w:hAnsi="Arial" w:cs="Arial"/>
          <w:bCs/>
          <w:color w:val="000000" w:themeColor="text1"/>
          <w:sz w:val="22"/>
        </w:rPr>
        <w:tab/>
        <w:t xml:space="preserve">Por el contrario, </w:t>
      </w:r>
      <w:r w:rsidR="00D71EE6" w:rsidRPr="00766896">
        <w:rPr>
          <w:rFonts w:ascii="Arial" w:eastAsia="Calibri" w:hAnsi="Arial" w:cs="Arial"/>
          <w:bCs/>
          <w:color w:val="000000" w:themeColor="text1"/>
          <w:sz w:val="22"/>
        </w:rPr>
        <w:t>el artículo 30 de la Ley 2069 de 2020 es directamente aplicable, pues –a diferencia de que sucedió en su momento con</w:t>
      </w:r>
      <w:r w:rsidR="002A5A59" w:rsidRPr="00766896">
        <w:rPr>
          <w:rFonts w:ascii="Arial" w:eastAsia="Calibri" w:hAnsi="Arial" w:cs="Arial"/>
          <w:bCs/>
          <w:color w:val="000000" w:themeColor="text1"/>
          <w:sz w:val="22"/>
        </w:rPr>
        <w:t xml:space="preserve"> la selección abreviada– la mínima cuantía no requiere desarrollo reglamentario posterior</w:t>
      </w:r>
      <w:r w:rsidR="00BD2F4F" w:rsidRPr="00766896">
        <w:rPr>
          <w:rFonts w:ascii="Arial" w:eastAsia="Calibri" w:hAnsi="Arial" w:cs="Arial"/>
          <w:bCs/>
          <w:color w:val="000000" w:themeColor="text1"/>
          <w:sz w:val="22"/>
        </w:rPr>
        <w:t xml:space="preserve"> para su vigencia. Aunque el parágrafo primero habilita el ejercicio de la potestad dispuesta en el artículo 189.11 superior, el grueso de los</w:t>
      </w:r>
      <w:r w:rsidR="00BD2F4F" w:rsidRPr="00766896">
        <w:rPr>
          <w:rFonts w:ascii="Arial" w:eastAsia="Calibri" w:hAnsi="Arial" w:cs="Arial"/>
          <w:color w:val="000000" w:themeColor="text1"/>
          <w:sz w:val="22"/>
          <w:szCs w:val="22"/>
          <w:lang w:val="es-ES_tradnl"/>
        </w:rPr>
        <w:t xml:space="preserve"> artículos 2.2.1.2.1.5.1 al 2.2.1.2.1.5.4 del Decreto 1082 de 2015 es compatible </w:t>
      </w:r>
      <w:r w:rsidR="00A568B6" w:rsidRPr="00766896">
        <w:rPr>
          <w:rFonts w:ascii="Arial" w:eastAsia="Calibri" w:hAnsi="Arial" w:cs="Arial"/>
          <w:color w:val="000000" w:themeColor="text1"/>
          <w:sz w:val="22"/>
          <w:szCs w:val="22"/>
          <w:lang w:val="es-ES_tradnl"/>
        </w:rPr>
        <w:t>con la norma vigente</w:t>
      </w:r>
      <w:r w:rsidR="00BD2F4F" w:rsidRPr="00766896">
        <w:rPr>
          <w:rFonts w:ascii="Arial" w:eastAsia="Calibri" w:hAnsi="Arial" w:cs="Arial"/>
          <w:color w:val="000000" w:themeColor="text1"/>
          <w:sz w:val="22"/>
          <w:szCs w:val="22"/>
          <w:lang w:val="es-ES_tradnl"/>
        </w:rPr>
        <w:t xml:space="preserve">. Lo anterior considerando que, </w:t>
      </w:r>
      <w:r w:rsidR="00A568B6" w:rsidRPr="00766896">
        <w:rPr>
          <w:rFonts w:ascii="Arial" w:eastAsia="Calibri" w:hAnsi="Arial" w:cs="Arial"/>
          <w:color w:val="000000" w:themeColor="text1"/>
          <w:sz w:val="22"/>
          <w:szCs w:val="22"/>
          <w:lang w:val="es-ES_tradnl"/>
        </w:rPr>
        <w:t>conforme a los parágrafos del artículo 30 de la Ley 2069 de 2020</w:t>
      </w:r>
      <w:r w:rsidR="00BD2F4F" w:rsidRPr="00766896">
        <w:rPr>
          <w:rFonts w:ascii="Arial" w:eastAsia="Calibri" w:hAnsi="Arial" w:cs="Arial"/>
          <w:color w:val="000000" w:themeColor="text1"/>
          <w:sz w:val="22"/>
          <w:szCs w:val="22"/>
          <w:lang w:val="es-ES_tradnl"/>
        </w:rPr>
        <w:t>, el cambio</w:t>
      </w:r>
      <w:r w:rsidR="004E2F40" w:rsidRPr="00766896">
        <w:rPr>
          <w:rFonts w:ascii="Arial" w:eastAsia="Calibri" w:hAnsi="Arial" w:cs="Arial"/>
          <w:color w:val="000000" w:themeColor="text1"/>
          <w:sz w:val="22"/>
          <w:szCs w:val="22"/>
          <w:lang w:val="es-ES_tradnl"/>
        </w:rPr>
        <w:t xml:space="preserve"> consiste en</w:t>
      </w:r>
      <w:r w:rsidR="00BD2F4F" w:rsidRPr="00766896">
        <w:rPr>
          <w:rFonts w:ascii="Arial" w:eastAsia="Calibri" w:hAnsi="Arial" w:cs="Arial"/>
          <w:color w:val="000000" w:themeColor="text1"/>
          <w:sz w:val="22"/>
          <w:szCs w:val="22"/>
          <w:lang w:val="es-ES_tradnl"/>
        </w:rPr>
        <w:t xml:space="preserve"> la</w:t>
      </w:r>
      <w:r w:rsidR="00A568B6" w:rsidRPr="00766896">
        <w:rPr>
          <w:rFonts w:ascii="Arial" w:eastAsia="Calibri" w:hAnsi="Arial" w:cs="Arial"/>
          <w:color w:val="000000" w:themeColor="text1"/>
          <w:sz w:val="22"/>
          <w:szCs w:val="22"/>
          <w:lang w:val="es-ES_tradnl"/>
        </w:rPr>
        <w:t xml:space="preserve"> posibilidad de limitar a </w:t>
      </w:r>
      <w:proofErr w:type="spellStart"/>
      <w:r w:rsidR="00A568B6" w:rsidRPr="00766896">
        <w:rPr>
          <w:rFonts w:ascii="Arial" w:eastAsia="Calibri" w:hAnsi="Arial" w:cs="Arial"/>
          <w:color w:val="000000" w:themeColor="text1"/>
          <w:sz w:val="22"/>
          <w:szCs w:val="22"/>
          <w:lang w:val="es-ES_tradnl"/>
        </w:rPr>
        <w:lastRenderedPageBreak/>
        <w:t>mypimes</w:t>
      </w:r>
      <w:proofErr w:type="spellEnd"/>
      <w:r w:rsidR="00A568B6" w:rsidRPr="00766896">
        <w:rPr>
          <w:rFonts w:ascii="Arial" w:eastAsia="Calibri" w:hAnsi="Arial" w:cs="Arial"/>
          <w:color w:val="000000" w:themeColor="text1"/>
          <w:sz w:val="22"/>
          <w:szCs w:val="22"/>
          <w:lang w:val="es-ES_tradnl"/>
        </w:rPr>
        <w:t xml:space="preserve"> el procedimiento de selección. Esta materia corresponde al desarrollo reglamentario del artículo 34 </w:t>
      </w:r>
      <w:r w:rsidR="00A568B6" w:rsidRPr="00766896">
        <w:rPr>
          <w:rFonts w:ascii="Arial" w:eastAsia="Calibri" w:hAnsi="Arial" w:cs="Arial"/>
          <w:i/>
          <w:iCs/>
          <w:color w:val="000000" w:themeColor="text1"/>
          <w:sz w:val="22"/>
          <w:szCs w:val="22"/>
          <w:lang w:val="es-ES_tradnl"/>
        </w:rPr>
        <w:t>ibídem</w:t>
      </w:r>
      <w:r w:rsidR="00A568B6" w:rsidRPr="00766896">
        <w:rPr>
          <w:rFonts w:ascii="Arial" w:eastAsia="Calibri" w:hAnsi="Arial" w:cs="Arial"/>
          <w:color w:val="000000" w:themeColor="text1"/>
          <w:sz w:val="22"/>
          <w:szCs w:val="22"/>
          <w:lang w:val="es-ES_tradnl"/>
        </w:rPr>
        <w:t>, ya que –fue</w:t>
      </w:r>
      <w:r w:rsidR="00DF6CCA" w:rsidRPr="00766896">
        <w:rPr>
          <w:rFonts w:ascii="Arial" w:eastAsia="Calibri" w:hAnsi="Arial" w:cs="Arial"/>
          <w:color w:val="000000" w:themeColor="text1"/>
          <w:sz w:val="22"/>
          <w:szCs w:val="22"/>
          <w:lang w:val="es-ES_tradnl"/>
        </w:rPr>
        <w:t>ra</w:t>
      </w:r>
      <w:r w:rsidR="00A568B6" w:rsidRPr="00766896">
        <w:rPr>
          <w:rFonts w:ascii="Arial" w:eastAsia="Calibri" w:hAnsi="Arial" w:cs="Arial"/>
          <w:color w:val="000000" w:themeColor="text1"/>
          <w:sz w:val="22"/>
          <w:szCs w:val="22"/>
          <w:lang w:val="es-ES_tradnl"/>
        </w:rPr>
        <w:t xml:space="preserve"> del reducido margen de aplicación del artículo 2.2.1.2.4.2.2 del Decreto 1082 de 2015– las convocatorias limitadas son posibles en</w:t>
      </w:r>
      <w:r w:rsidR="00DF6CCA" w:rsidRPr="00766896">
        <w:rPr>
          <w:rFonts w:ascii="Arial" w:eastAsia="Calibri" w:hAnsi="Arial" w:cs="Arial"/>
          <w:color w:val="000000" w:themeColor="text1"/>
          <w:sz w:val="22"/>
          <w:szCs w:val="22"/>
          <w:lang w:val="es-ES_tradnl"/>
        </w:rPr>
        <w:t xml:space="preserve"> «[…] las Entidades Estatales indistintamente de su régimen de contratación, los patrimonios autónomos constituidos por Entidades Estatales y los particulares que ejecuten recursos públicos […]»</w:t>
      </w:r>
      <w:r w:rsidR="008F0D02" w:rsidRPr="00766896">
        <w:rPr>
          <w:rFonts w:ascii="Arial" w:eastAsia="Calibri" w:hAnsi="Arial" w:cs="Arial"/>
          <w:color w:val="000000" w:themeColor="text1"/>
          <w:sz w:val="22"/>
          <w:szCs w:val="22"/>
          <w:lang w:val="es-ES_tradnl"/>
        </w:rPr>
        <w:t xml:space="preserve">, sin distinguir entre </w:t>
      </w:r>
      <w:r w:rsidR="00C3729C" w:rsidRPr="00766896">
        <w:rPr>
          <w:rFonts w:ascii="Arial" w:eastAsia="Calibri" w:hAnsi="Arial" w:cs="Arial"/>
          <w:color w:val="000000" w:themeColor="text1"/>
          <w:sz w:val="22"/>
          <w:szCs w:val="22"/>
          <w:lang w:val="es-ES_tradnl"/>
        </w:rPr>
        <w:t>procesos de contratación</w:t>
      </w:r>
      <w:r w:rsidR="008F0D02" w:rsidRPr="00766896">
        <w:rPr>
          <w:rFonts w:ascii="Arial" w:eastAsia="Calibri" w:hAnsi="Arial" w:cs="Arial"/>
          <w:color w:val="000000" w:themeColor="text1"/>
          <w:sz w:val="22"/>
          <w:szCs w:val="22"/>
          <w:lang w:val="es-ES_tradnl"/>
        </w:rPr>
        <w:t>.</w:t>
      </w:r>
      <w:r w:rsidR="00FA37E1" w:rsidRPr="00766896">
        <w:rPr>
          <w:rFonts w:ascii="Arial" w:eastAsia="Calibri" w:hAnsi="Arial" w:cs="Arial"/>
          <w:color w:val="000000" w:themeColor="text1"/>
          <w:sz w:val="22"/>
          <w:szCs w:val="22"/>
          <w:lang w:val="es-ES_tradnl"/>
        </w:rPr>
        <w:t xml:space="preserve"> </w:t>
      </w:r>
    </w:p>
    <w:p w14:paraId="06D3BDA2" w14:textId="19DBD411" w:rsidR="00C3729C" w:rsidRPr="00766896" w:rsidRDefault="00FA37E1" w:rsidP="00E95B72">
      <w:pPr>
        <w:tabs>
          <w:tab w:val="left" w:pos="709"/>
        </w:tabs>
        <w:spacing w:after="120" w:line="276" w:lineRule="auto"/>
        <w:jc w:val="both"/>
        <w:rPr>
          <w:rFonts w:ascii="Arial" w:eastAsia="Calibri" w:hAnsi="Arial" w:cs="Arial"/>
          <w:color w:val="000000" w:themeColor="text1"/>
          <w:sz w:val="22"/>
          <w:szCs w:val="22"/>
          <w:lang w:val="es-ES_tradnl"/>
        </w:rPr>
      </w:pPr>
      <w:r w:rsidRPr="00766896">
        <w:rPr>
          <w:rFonts w:ascii="Arial" w:eastAsia="Calibri" w:hAnsi="Arial" w:cs="Arial"/>
          <w:color w:val="000000" w:themeColor="text1"/>
          <w:sz w:val="22"/>
          <w:szCs w:val="22"/>
          <w:lang w:val="es-ES_tradnl"/>
        </w:rPr>
        <w:tab/>
        <w:t>Por tanto, las diferencias</w:t>
      </w:r>
      <w:r w:rsidR="00C3729C" w:rsidRPr="00766896">
        <w:rPr>
          <w:rFonts w:ascii="Arial" w:eastAsia="Calibri" w:hAnsi="Arial" w:cs="Arial"/>
          <w:color w:val="000000" w:themeColor="text1"/>
          <w:sz w:val="22"/>
          <w:szCs w:val="22"/>
          <w:lang w:val="es-ES_tradnl"/>
        </w:rPr>
        <w:t xml:space="preserve"> entre el alcance de la mínima cuantía y de las convocatorias limitadas, impide aplicar por analogía las consideraciones </w:t>
      </w:r>
      <w:r w:rsidR="000F1E74" w:rsidRPr="00766896">
        <w:rPr>
          <w:rFonts w:ascii="Arial" w:eastAsia="Calibri" w:hAnsi="Arial" w:cs="Arial"/>
          <w:color w:val="000000" w:themeColor="text1"/>
          <w:sz w:val="22"/>
          <w:szCs w:val="22"/>
          <w:lang w:val="es-ES_tradnl"/>
        </w:rPr>
        <w:t xml:space="preserve">realizadas por la Agencia a partir </w:t>
      </w:r>
      <w:r w:rsidR="00C3729C" w:rsidRPr="00766896">
        <w:rPr>
          <w:rFonts w:ascii="Arial" w:eastAsia="Calibri" w:hAnsi="Arial" w:cs="Arial"/>
          <w:color w:val="000000" w:themeColor="text1"/>
          <w:sz w:val="22"/>
          <w:szCs w:val="22"/>
          <w:lang w:val="es-ES_tradnl"/>
        </w:rPr>
        <w:t xml:space="preserve">del </w:t>
      </w:r>
      <w:r w:rsidR="00C3729C" w:rsidRPr="00766896">
        <w:rPr>
          <w:rFonts w:ascii="Arial" w:eastAsia="Calibri" w:hAnsi="Arial" w:cs="Arial"/>
          <w:bCs/>
          <w:sz w:val="22"/>
        </w:rPr>
        <w:t>Concepto C-043 del 9 de febrero de 2020 al artículo 30 de la Ley de Emprendimiento</w:t>
      </w:r>
      <w:r w:rsidR="00C3729C" w:rsidRPr="00766896">
        <w:rPr>
          <w:rFonts w:ascii="Arial" w:eastAsia="Calibri" w:hAnsi="Arial" w:cs="Arial"/>
          <w:color w:val="000000" w:themeColor="text1"/>
          <w:sz w:val="22"/>
          <w:szCs w:val="22"/>
          <w:lang w:val="es-ES_tradnl"/>
        </w:rPr>
        <w:t xml:space="preserve">. </w:t>
      </w:r>
      <w:r w:rsidRPr="00766896">
        <w:rPr>
          <w:rFonts w:ascii="Arial" w:eastAsia="Calibri" w:hAnsi="Arial" w:cs="Arial"/>
          <w:color w:val="000000" w:themeColor="text1"/>
          <w:sz w:val="22"/>
          <w:szCs w:val="22"/>
          <w:lang w:val="es-ES_tradnl"/>
        </w:rPr>
        <w:t xml:space="preserve">En este caso no es posible sostener que la </w:t>
      </w:r>
      <w:r w:rsidR="000F1E74" w:rsidRPr="00766896">
        <w:rPr>
          <w:rFonts w:ascii="Arial" w:eastAsia="Calibri" w:hAnsi="Arial" w:cs="Arial"/>
          <w:color w:val="000000" w:themeColor="text1"/>
          <w:sz w:val="22"/>
          <w:szCs w:val="22"/>
          <w:lang w:val="es-ES_tradnl"/>
        </w:rPr>
        <w:t xml:space="preserve">sustitución del contenido del numeral 5, del artículo 2 de la Ley 1150 de 2007 genera el decaimiento de los artículos 2.2.1.2.1.5.1 al 2.2.1.2.1.5.4 del Decreto 1082 de 2015, obligando a la expedición de un nuevo reglamento que detalle el procedimiento de selección. Lo anterior teniendo en cuenta que si bien existe </w:t>
      </w:r>
      <w:r w:rsidR="00105DDD" w:rsidRPr="00766896">
        <w:rPr>
          <w:rFonts w:ascii="Arial" w:eastAsia="Calibri" w:hAnsi="Arial" w:cs="Arial"/>
          <w:color w:val="000000" w:themeColor="text1"/>
          <w:sz w:val="22"/>
          <w:szCs w:val="22"/>
          <w:lang w:val="es-ES_tradnl"/>
        </w:rPr>
        <w:t xml:space="preserve">un </w:t>
      </w:r>
      <w:r w:rsidR="00B25BE7" w:rsidRPr="00766896">
        <w:rPr>
          <w:rFonts w:ascii="Arial" w:eastAsia="Calibri" w:hAnsi="Arial" w:cs="Arial"/>
          <w:color w:val="000000" w:themeColor="text1"/>
          <w:sz w:val="22"/>
          <w:szCs w:val="22"/>
          <w:lang w:val="es-ES_tradnl"/>
        </w:rPr>
        <w:t>cambio</w:t>
      </w:r>
      <w:r w:rsidR="00E5525E" w:rsidRPr="00766896">
        <w:rPr>
          <w:rFonts w:ascii="Arial" w:eastAsia="Calibri" w:hAnsi="Arial" w:cs="Arial"/>
          <w:color w:val="000000" w:themeColor="text1"/>
          <w:sz w:val="22"/>
          <w:szCs w:val="22"/>
          <w:lang w:val="es-ES_tradnl"/>
        </w:rPr>
        <w:t xml:space="preserve"> formal</w:t>
      </w:r>
      <w:r w:rsidR="00B25BE7" w:rsidRPr="00766896">
        <w:rPr>
          <w:rFonts w:ascii="Arial" w:eastAsia="Calibri" w:hAnsi="Arial" w:cs="Arial"/>
          <w:color w:val="000000" w:themeColor="text1"/>
          <w:sz w:val="22"/>
          <w:szCs w:val="22"/>
          <w:lang w:val="es-ES_tradnl"/>
        </w:rPr>
        <w:t xml:space="preserve"> </w:t>
      </w:r>
      <w:r w:rsidR="00105DDD" w:rsidRPr="00766896">
        <w:rPr>
          <w:rFonts w:ascii="Arial" w:eastAsia="Calibri" w:hAnsi="Arial" w:cs="Arial"/>
          <w:color w:val="000000" w:themeColor="text1"/>
          <w:sz w:val="22"/>
          <w:szCs w:val="22"/>
          <w:lang w:val="es-ES_tradnl"/>
        </w:rPr>
        <w:t>en el</w:t>
      </w:r>
      <w:r w:rsidR="000F1E74" w:rsidRPr="00766896">
        <w:rPr>
          <w:rFonts w:ascii="Arial" w:eastAsia="Calibri" w:hAnsi="Arial" w:cs="Arial"/>
          <w:color w:val="000000" w:themeColor="text1"/>
          <w:sz w:val="22"/>
          <w:szCs w:val="22"/>
          <w:lang w:val="es-ES_tradnl"/>
        </w:rPr>
        <w:t xml:space="preserve"> fundamento jurídico, </w:t>
      </w:r>
      <w:r w:rsidR="009F61A0" w:rsidRPr="00766896">
        <w:rPr>
          <w:rFonts w:ascii="Arial" w:eastAsia="Calibri" w:hAnsi="Arial" w:cs="Arial"/>
          <w:color w:val="000000" w:themeColor="text1"/>
          <w:sz w:val="22"/>
          <w:szCs w:val="22"/>
          <w:lang w:val="es-ES_tradnl"/>
        </w:rPr>
        <w:t xml:space="preserve">la doctrina considera que </w:t>
      </w:r>
      <w:r w:rsidR="000F1E74" w:rsidRPr="00766896">
        <w:rPr>
          <w:rFonts w:ascii="Arial" w:eastAsia="Calibri" w:hAnsi="Arial" w:cs="Arial"/>
          <w:color w:val="000000" w:themeColor="text1"/>
          <w:sz w:val="22"/>
          <w:szCs w:val="22"/>
          <w:lang w:val="es-ES_tradnl"/>
        </w:rPr>
        <w:t>el decaimiento</w:t>
      </w:r>
      <w:r w:rsidR="00B25BE7" w:rsidRPr="00766896">
        <w:rPr>
          <w:rFonts w:ascii="Arial" w:eastAsia="Calibri" w:hAnsi="Arial" w:cs="Arial"/>
          <w:color w:val="000000" w:themeColor="text1"/>
          <w:sz w:val="22"/>
          <w:szCs w:val="22"/>
          <w:lang w:val="es-ES_tradnl"/>
        </w:rPr>
        <w:t xml:space="preserve"> </w:t>
      </w:r>
      <w:r w:rsidR="000F1E74" w:rsidRPr="00766896">
        <w:rPr>
          <w:rFonts w:ascii="Arial" w:eastAsia="Calibri" w:hAnsi="Arial" w:cs="Arial"/>
          <w:color w:val="000000" w:themeColor="text1"/>
          <w:sz w:val="22"/>
          <w:szCs w:val="22"/>
          <w:lang w:val="es-ES_tradnl"/>
        </w:rPr>
        <w:t xml:space="preserve">se produce </w:t>
      </w:r>
      <w:r w:rsidR="00B25BE7" w:rsidRPr="00766896">
        <w:rPr>
          <w:rFonts w:ascii="Arial" w:eastAsia="Calibri" w:hAnsi="Arial" w:cs="Arial"/>
          <w:color w:val="000000" w:themeColor="text1"/>
          <w:sz w:val="22"/>
          <w:szCs w:val="22"/>
          <w:lang w:val="es-ES_tradnl"/>
        </w:rPr>
        <w:t xml:space="preserve">–entre otras causas– </w:t>
      </w:r>
      <w:r w:rsidR="000F1E74" w:rsidRPr="00766896">
        <w:rPr>
          <w:rFonts w:ascii="Arial" w:eastAsia="Calibri" w:hAnsi="Arial" w:cs="Arial"/>
          <w:color w:val="000000" w:themeColor="text1"/>
          <w:sz w:val="22"/>
          <w:szCs w:val="22"/>
          <w:lang w:val="es-ES_tradnl"/>
        </w:rPr>
        <w:t>por</w:t>
      </w:r>
      <w:r w:rsidR="00296FB6" w:rsidRPr="00766896">
        <w:rPr>
          <w:rFonts w:ascii="Arial" w:eastAsia="Calibri" w:hAnsi="Arial" w:cs="Arial"/>
          <w:color w:val="000000" w:themeColor="text1"/>
          <w:sz w:val="22"/>
          <w:szCs w:val="22"/>
          <w:lang w:val="es-ES_tradnl"/>
        </w:rPr>
        <w:t xml:space="preserve"> la</w:t>
      </w:r>
      <w:r w:rsidR="00B25BE7" w:rsidRPr="00766896">
        <w:rPr>
          <w:rFonts w:ascii="Arial" w:eastAsia="Calibri" w:hAnsi="Arial" w:cs="Arial"/>
          <w:color w:val="000000" w:themeColor="text1"/>
          <w:sz w:val="22"/>
          <w:szCs w:val="22"/>
          <w:lang w:val="es-ES_tradnl"/>
        </w:rPr>
        <w:t xml:space="preserve"> «[…] </w:t>
      </w:r>
      <w:r w:rsidR="000F1E74" w:rsidRPr="00766896">
        <w:rPr>
          <w:rFonts w:ascii="Arial" w:eastAsia="Calibri" w:hAnsi="Arial" w:cs="Arial"/>
          <w:color w:val="000000" w:themeColor="text1"/>
          <w:sz w:val="22"/>
          <w:szCs w:val="22"/>
          <w:lang w:val="es-ES_tradnl"/>
        </w:rPr>
        <w:t>derogación o modificación de la norma legal en que se fundó el acto administrativo, cuando dicha regla es condición indispensable para su vigencia</w:t>
      </w:r>
      <w:r w:rsidR="00B25BE7" w:rsidRPr="00766896">
        <w:rPr>
          <w:rFonts w:ascii="Arial" w:eastAsia="Calibri" w:hAnsi="Arial" w:cs="Arial"/>
          <w:color w:val="000000" w:themeColor="text1"/>
          <w:sz w:val="22"/>
          <w:szCs w:val="22"/>
          <w:lang w:val="es-ES_tradnl"/>
        </w:rPr>
        <w:t xml:space="preserve"> […]»</w:t>
      </w:r>
      <w:r w:rsidR="00B25BE7" w:rsidRPr="00766896">
        <w:rPr>
          <w:rStyle w:val="Refdenotaalpie"/>
          <w:rFonts w:ascii="Arial" w:eastAsia="Calibri" w:hAnsi="Arial" w:cs="Arial"/>
          <w:color w:val="000000" w:themeColor="text1"/>
          <w:sz w:val="22"/>
          <w:szCs w:val="22"/>
          <w:lang w:val="es-ES_tradnl"/>
        </w:rPr>
        <w:footnoteReference w:id="23"/>
      </w:r>
      <w:r w:rsidR="00B25BE7" w:rsidRPr="00766896">
        <w:rPr>
          <w:rFonts w:ascii="Arial" w:eastAsia="Calibri" w:hAnsi="Arial" w:cs="Arial"/>
          <w:color w:val="000000" w:themeColor="text1"/>
          <w:sz w:val="22"/>
          <w:szCs w:val="22"/>
          <w:lang w:val="es-ES_tradnl"/>
        </w:rPr>
        <w:t>.</w:t>
      </w:r>
      <w:r w:rsidR="000F1E74" w:rsidRPr="00766896">
        <w:rPr>
          <w:rFonts w:ascii="Arial" w:eastAsia="Calibri" w:hAnsi="Arial" w:cs="Arial"/>
          <w:color w:val="000000" w:themeColor="text1"/>
          <w:sz w:val="22"/>
          <w:szCs w:val="22"/>
          <w:lang w:val="es-ES_tradnl"/>
        </w:rPr>
        <w:t xml:space="preserve"> </w:t>
      </w:r>
    </w:p>
    <w:p w14:paraId="4E024270" w14:textId="77777777" w:rsidR="00FC5245" w:rsidRPr="00766896" w:rsidRDefault="00C2287E" w:rsidP="00E95B72">
      <w:pPr>
        <w:tabs>
          <w:tab w:val="left" w:pos="709"/>
        </w:tabs>
        <w:spacing w:after="120" w:line="276" w:lineRule="auto"/>
        <w:jc w:val="both"/>
        <w:rPr>
          <w:rFonts w:ascii="Arial" w:eastAsia="Calibri" w:hAnsi="Arial" w:cs="Arial"/>
          <w:color w:val="000000" w:themeColor="text1"/>
          <w:sz w:val="22"/>
          <w:szCs w:val="22"/>
          <w:lang w:val="es-ES_tradnl"/>
        </w:rPr>
      </w:pPr>
      <w:r w:rsidRPr="00766896">
        <w:rPr>
          <w:rFonts w:ascii="Arial" w:eastAsia="Calibri" w:hAnsi="Arial" w:cs="Arial"/>
          <w:color w:val="000000" w:themeColor="text1"/>
          <w:sz w:val="22"/>
          <w:szCs w:val="22"/>
          <w:lang w:val="es-ES_tradnl"/>
        </w:rPr>
        <w:tab/>
      </w:r>
      <w:r w:rsidR="00643AAF" w:rsidRPr="00766896">
        <w:rPr>
          <w:rFonts w:ascii="Arial" w:eastAsia="Calibri" w:hAnsi="Arial" w:cs="Arial"/>
          <w:color w:val="000000" w:themeColor="text1"/>
          <w:sz w:val="22"/>
          <w:szCs w:val="22"/>
          <w:lang w:val="es-ES_tradnl"/>
        </w:rPr>
        <w:t xml:space="preserve">El </w:t>
      </w:r>
      <w:r w:rsidR="00EE7266" w:rsidRPr="00766896">
        <w:rPr>
          <w:rFonts w:ascii="Arial" w:eastAsia="Calibri" w:hAnsi="Arial" w:cs="Arial"/>
          <w:color w:val="000000" w:themeColor="text1"/>
          <w:sz w:val="22"/>
          <w:szCs w:val="22"/>
          <w:lang w:val="es-ES_tradnl"/>
        </w:rPr>
        <w:t xml:space="preserve">decaimiento </w:t>
      </w:r>
      <w:r w:rsidR="005D0E86" w:rsidRPr="00766896">
        <w:rPr>
          <w:rFonts w:ascii="Arial" w:eastAsia="Calibri" w:hAnsi="Arial" w:cs="Arial"/>
          <w:color w:val="000000" w:themeColor="text1"/>
          <w:sz w:val="22"/>
          <w:szCs w:val="22"/>
          <w:lang w:val="es-ES_tradnl"/>
        </w:rPr>
        <w:t>afecta</w:t>
      </w:r>
      <w:r w:rsidR="00EE7266" w:rsidRPr="00766896">
        <w:rPr>
          <w:rFonts w:ascii="Arial" w:eastAsia="Calibri" w:hAnsi="Arial" w:cs="Arial"/>
          <w:color w:val="000000" w:themeColor="text1"/>
          <w:sz w:val="22"/>
          <w:szCs w:val="22"/>
          <w:lang w:val="es-ES_tradnl"/>
        </w:rPr>
        <w:t xml:space="preserve"> los artículos </w:t>
      </w:r>
      <w:r w:rsidR="00D05800" w:rsidRPr="00766896">
        <w:rPr>
          <w:rFonts w:ascii="Arial" w:eastAsia="Calibri" w:hAnsi="Arial" w:cs="Arial"/>
          <w:bCs/>
          <w:color w:val="000000" w:themeColor="text1"/>
          <w:sz w:val="22"/>
        </w:rPr>
        <w:t xml:space="preserve">2.2.1.2.4.2.2 y 2.2.1.2.4.2.3 del Decreto 1082 de 2015 </w:t>
      </w:r>
      <w:r w:rsidR="00643AAF" w:rsidRPr="00766896">
        <w:rPr>
          <w:rFonts w:ascii="Arial" w:eastAsia="Calibri" w:hAnsi="Arial" w:cs="Arial"/>
          <w:color w:val="000000" w:themeColor="text1"/>
          <w:sz w:val="22"/>
          <w:szCs w:val="22"/>
          <w:lang w:val="es-ES_tradnl"/>
        </w:rPr>
        <w:t xml:space="preserve">por la subrogación </w:t>
      </w:r>
      <w:r w:rsidR="005D0E86" w:rsidRPr="00766896">
        <w:rPr>
          <w:rFonts w:ascii="Arial" w:eastAsia="Calibri" w:hAnsi="Arial" w:cs="Arial"/>
          <w:color w:val="000000" w:themeColor="text1"/>
          <w:sz w:val="22"/>
          <w:szCs w:val="22"/>
          <w:lang w:val="es-ES_tradnl"/>
        </w:rPr>
        <w:t>d</w:t>
      </w:r>
      <w:r w:rsidR="00643AAF" w:rsidRPr="00766896">
        <w:rPr>
          <w:rFonts w:ascii="Arial" w:eastAsia="Calibri" w:hAnsi="Arial" w:cs="Arial"/>
          <w:color w:val="000000" w:themeColor="text1"/>
          <w:sz w:val="22"/>
          <w:szCs w:val="22"/>
          <w:lang w:val="es-ES_tradnl"/>
        </w:rPr>
        <w:t>el artículo 32 de la Ley 1450 de 2011</w:t>
      </w:r>
      <w:r w:rsidR="00D0254E" w:rsidRPr="00766896">
        <w:rPr>
          <w:rFonts w:ascii="Arial" w:eastAsia="Calibri" w:hAnsi="Arial" w:cs="Arial"/>
          <w:color w:val="000000" w:themeColor="text1"/>
          <w:sz w:val="22"/>
          <w:szCs w:val="22"/>
          <w:lang w:val="es-ES_tradnl"/>
        </w:rPr>
        <w:t xml:space="preserve">, el cual regulaba las convocatorias limitadas a </w:t>
      </w:r>
      <w:proofErr w:type="spellStart"/>
      <w:r w:rsidR="00D0254E" w:rsidRPr="00766896">
        <w:rPr>
          <w:rFonts w:ascii="Arial" w:eastAsia="Calibri" w:hAnsi="Arial" w:cs="Arial"/>
          <w:color w:val="000000" w:themeColor="text1"/>
          <w:sz w:val="22"/>
          <w:szCs w:val="22"/>
          <w:lang w:val="es-ES_tradnl"/>
        </w:rPr>
        <w:t>mipymes</w:t>
      </w:r>
      <w:proofErr w:type="spellEnd"/>
      <w:r w:rsidR="00643AAF" w:rsidRPr="00766896">
        <w:rPr>
          <w:rFonts w:ascii="Arial" w:eastAsia="Calibri" w:hAnsi="Arial" w:cs="Arial"/>
          <w:color w:val="000000" w:themeColor="text1"/>
          <w:sz w:val="22"/>
          <w:szCs w:val="22"/>
          <w:lang w:val="es-ES_tradnl"/>
        </w:rPr>
        <w:t xml:space="preserve">. </w:t>
      </w:r>
      <w:r w:rsidR="00AF2A18" w:rsidRPr="00766896">
        <w:rPr>
          <w:rFonts w:ascii="Arial" w:eastAsia="Calibri" w:hAnsi="Arial" w:cs="Arial"/>
          <w:color w:val="000000" w:themeColor="text1"/>
          <w:sz w:val="22"/>
          <w:szCs w:val="22"/>
          <w:lang w:val="es-ES_tradnl"/>
        </w:rPr>
        <w:t>En este caso</w:t>
      </w:r>
      <w:r w:rsidR="00643AAF" w:rsidRPr="00766896">
        <w:rPr>
          <w:rFonts w:ascii="Arial" w:eastAsia="Calibri" w:hAnsi="Arial" w:cs="Arial"/>
          <w:color w:val="000000" w:themeColor="text1"/>
          <w:sz w:val="22"/>
          <w:szCs w:val="22"/>
          <w:lang w:val="es-ES_tradnl"/>
        </w:rPr>
        <w:t xml:space="preserve">, </w:t>
      </w:r>
      <w:r w:rsidR="00FB3441" w:rsidRPr="00766896">
        <w:rPr>
          <w:rFonts w:ascii="Arial" w:eastAsia="Calibri" w:hAnsi="Arial" w:cs="Arial"/>
          <w:color w:val="000000" w:themeColor="text1"/>
          <w:sz w:val="22"/>
          <w:szCs w:val="22"/>
          <w:lang w:val="es-ES_tradnl"/>
        </w:rPr>
        <w:t xml:space="preserve">desaparece </w:t>
      </w:r>
      <w:r w:rsidR="00C60750" w:rsidRPr="00766896">
        <w:rPr>
          <w:rFonts w:ascii="Arial" w:eastAsia="Calibri" w:hAnsi="Arial" w:cs="Arial"/>
          <w:color w:val="000000" w:themeColor="text1"/>
          <w:sz w:val="22"/>
          <w:szCs w:val="22"/>
          <w:lang w:val="es-ES_tradnl"/>
        </w:rPr>
        <w:t>el fundamento jurídico</w:t>
      </w:r>
      <w:r w:rsidR="00C5485B" w:rsidRPr="00766896">
        <w:rPr>
          <w:rFonts w:ascii="Arial" w:eastAsia="Calibri" w:hAnsi="Arial" w:cs="Arial"/>
          <w:color w:val="000000" w:themeColor="text1"/>
          <w:sz w:val="22"/>
          <w:szCs w:val="22"/>
          <w:lang w:val="es-ES_tradnl"/>
        </w:rPr>
        <w:t xml:space="preserve"> de las normas citadas del</w:t>
      </w:r>
      <w:r w:rsidR="00190688" w:rsidRPr="00766896">
        <w:rPr>
          <w:rFonts w:ascii="Arial" w:eastAsia="Calibri" w:hAnsi="Arial" w:cs="Arial"/>
          <w:color w:val="000000" w:themeColor="text1"/>
          <w:sz w:val="22"/>
          <w:szCs w:val="22"/>
          <w:lang w:val="es-ES_tradnl"/>
        </w:rPr>
        <w:t xml:space="preserve"> Decreto Único Reglamentario del Sector Administrativo de Planeación Nacional</w:t>
      </w:r>
      <w:r w:rsidR="00643AAF" w:rsidRPr="00766896">
        <w:rPr>
          <w:rFonts w:ascii="Arial" w:eastAsia="Calibri" w:hAnsi="Arial" w:cs="Arial"/>
          <w:color w:val="000000" w:themeColor="text1"/>
          <w:sz w:val="22"/>
          <w:szCs w:val="22"/>
          <w:lang w:val="es-ES_tradnl"/>
        </w:rPr>
        <w:t>, ya que el artículo 34 de la Ley de Emprendimiento</w:t>
      </w:r>
      <w:r w:rsidR="009E304F" w:rsidRPr="00766896">
        <w:rPr>
          <w:rFonts w:ascii="Arial" w:eastAsia="Calibri" w:hAnsi="Arial" w:cs="Arial"/>
          <w:color w:val="000000" w:themeColor="text1"/>
          <w:sz w:val="22"/>
          <w:szCs w:val="22"/>
          <w:lang w:val="es-ES_tradnl"/>
        </w:rPr>
        <w:t xml:space="preserve"> </w:t>
      </w:r>
      <w:r w:rsidR="00B2300C" w:rsidRPr="00766896">
        <w:rPr>
          <w:rFonts w:ascii="Arial" w:eastAsia="Calibri" w:hAnsi="Arial" w:cs="Arial"/>
          <w:color w:val="000000" w:themeColor="text1"/>
          <w:sz w:val="22"/>
          <w:szCs w:val="22"/>
          <w:lang w:val="es-ES_tradnl"/>
        </w:rPr>
        <w:t>introduce</w:t>
      </w:r>
      <w:r w:rsidR="00D36379" w:rsidRPr="00766896">
        <w:rPr>
          <w:rFonts w:ascii="Arial" w:eastAsia="Calibri" w:hAnsi="Arial" w:cs="Arial"/>
          <w:color w:val="000000" w:themeColor="text1"/>
          <w:sz w:val="22"/>
          <w:szCs w:val="22"/>
          <w:lang w:val="es-ES_tradnl"/>
        </w:rPr>
        <w:t xml:space="preserve"> </w:t>
      </w:r>
      <w:r w:rsidR="003F01CC" w:rsidRPr="00766896">
        <w:rPr>
          <w:rFonts w:ascii="Arial" w:eastAsia="Calibri" w:hAnsi="Arial" w:cs="Arial"/>
          <w:color w:val="000000" w:themeColor="text1"/>
          <w:sz w:val="22"/>
          <w:szCs w:val="22"/>
          <w:lang w:val="es-ES_tradnl"/>
        </w:rPr>
        <w:t>modificaciones</w:t>
      </w:r>
      <w:r w:rsidR="004B2CC7" w:rsidRPr="00766896">
        <w:rPr>
          <w:rFonts w:ascii="Arial" w:eastAsia="Calibri" w:hAnsi="Arial" w:cs="Arial"/>
          <w:color w:val="000000" w:themeColor="text1"/>
          <w:sz w:val="22"/>
          <w:szCs w:val="22"/>
          <w:lang w:val="es-ES_tradnl"/>
        </w:rPr>
        <w:t xml:space="preserve"> </w:t>
      </w:r>
      <w:r w:rsidR="00C679D9" w:rsidRPr="00766896">
        <w:rPr>
          <w:rFonts w:ascii="Arial" w:eastAsia="Calibri" w:hAnsi="Arial" w:cs="Arial"/>
          <w:color w:val="000000" w:themeColor="text1"/>
          <w:sz w:val="22"/>
          <w:szCs w:val="22"/>
          <w:lang w:val="es-ES_tradnl"/>
        </w:rPr>
        <w:t>sustanciales</w:t>
      </w:r>
      <w:r w:rsidR="004B2CC7" w:rsidRPr="00766896">
        <w:rPr>
          <w:rFonts w:ascii="Arial" w:eastAsia="Calibri" w:hAnsi="Arial" w:cs="Arial"/>
          <w:color w:val="000000" w:themeColor="text1"/>
          <w:sz w:val="22"/>
          <w:szCs w:val="22"/>
          <w:lang w:val="es-ES_tradnl"/>
        </w:rPr>
        <w:t xml:space="preserve"> </w:t>
      </w:r>
      <w:r w:rsidR="00CD3EDA" w:rsidRPr="00766896">
        <w:rPr>
          <w:rFonts w:ascii="Arial" w:eastAsia="Calibri" w:hAnsi="Arial" w:cs="Arial"/>
          <w:color w:val="000000" w:themeColor="text1"/>
          <w:sz w:val="22"/>
          <w:szCs w:val="22"/>
          <w:lang w:val="es-ES_tradnl"/>
        </w:rPr>
        <w:t>a</w:t>
      </w:r>
      <w:r w:rsidR="009B24B2" w:rsidRPr="00766896">
        <w:rPr>
          <w:rFonts w:ascii="Arial" w:eastAsia="Calibri" w:hAnsi="Arial" w:cs="Arial"/>
          <w:color w:val="000000" w:themeColor="text1"/>
          <w:sz w:val="22"/>
          <w:szCs w:val="22"/>
          <w:lang w:val="es-ES_tradnl"/>
        </w:rPr>
        <w:t xml:space="preserve"> la materia</w:t>
      </w:r>
      <w:r w:rsidR="00AD6166" w:rsidRPr="00766896">
        <w:rPr>
          <w:rFonts w:ascii="Arial" w:eastAsia="Calibri" w:hAnsi="Arial" w:cs="Arial"/>
          <w:color w:val="000000" w:themeColor="text1"/>
          <w:sz w:val="22"/>
          <w:szCs w:val="22"/>
          <w:lang w:val="es-ES_tradnl"/>
        </w:rPr>
        <w:t xml:space="preserve"> como se explicó</w:t>
      </w:r>
      <w:r w:rsidR="00CD3EDA" w:rsidRPr="00766896">
        <w:rPr>
          <w:rFonts w:ascii="Arial" w:eastAsia="Calibri" w:hAnsi="Arial" w:cs="Arial"/>
          <w:color w:val="000000" w:themeColor="text1"/>
          <w:sz w:val="22"/>
          <w:szCs w:val="22"/>
          <w:lang w:val="es-ES_tradnl"/>
        </w:rPr>
        <w:t xml:space="preserve"> </w:t>
      </w:r>
      <w:r w:rsidR="00CD3EDA" w:rsidRPr="00766896">
        <w:rPr>
          <w:rFonts w:ascii="Arial" w:eastAsia="Calibri" w:hAnsi="Arial" w:cs="Arial"/>
          <w:i/>
          <w:iCs/>
          <w:color w:val="000000" w:themeColor="text1"/>
          <w:sz w:val="22"/>
          <w:szCs w:val="22"/>
          <w:lang w:val="es-ES_tradnl"/>
        </w:rPr>
        <w:t>ut supra</w:t>
      </w:r>
      <w:r w:rsidR="003C76DF" w:rsidRPr="00766896">
        <w:rPr>
          <w:rFonts w:ascii="Arial" w:eastAsia="Calibri" w:hAnsi="Arial" w:cs="Arial"/>
          <w:color w:val="000000" w:themeColor="text1"/>
          <w:sz w:val="22"/>
          <w:szCs w:val="22"/>
          <w:lang w:val="es-ES_tradnl"/>
        </w:rPr>
        <w:t xml:space="preserve">, por lo que </w:t>
      </w:r>
      <w:r w:rsidR="00C679D9" w:rsidRPr="00766896">
        <w:rPr>
          <w:rFonts w:ascii="Arial" w:eastAsia="Calibri" w:hAnsi="Arial" w:cs="Arial"/>
          <w:color w:val="000000" w:themeColor="text1"/>
          <w:sz w:val="22"/>
          <w:szCs w:val="22"/>
          <w:lang w:val="es-ES_tradnl"/>
        </w:rPr>
        <w:t>es</w:t>
      </w:r>
      <w:r w:rsidR="004B2CC7" w:rsidRPr="00766896">
        <w:rPr>
          <w:rFonts w:ascii="Arial" w:eastAsia="Calibri" w:hAnsi="Arial" w:cs="Arial"/>
          <w:color w:val="000000" w:themeColor="text1"/>
          <w:sz w:val="22"/>
          <w:szCs w:val="22"/>
          <w:lang w:val="es-ES_tradnl"/>
        </w:rPr>
        <w:t xml:space="preserve"> necesario </w:t>
      </w:r>
      <w:r w:rsidR="00384ACA" w:rsidRPr="00766896">
        <w:rPr>
          <w:rFonts w:ascii="Arial" w:eastAsia="Calibri" w:hAnsi="Arial" w:cs="Arial"/>
          <w:color w:val="000000" w:themeColor="text1"/>
          <w:sz w:val="22"/>
          <w:szCs w:val="22"/>
          <w:lang w:val="es-ES_tradnl"/>
        </w:rPr>
        <w:t xml:space="preserve">que </w:t>
      </w:r>
      <w:r w:rsidR="004B2CC7" w:rsidRPr="00766896">
        <w:rPr>
          <w:rFonts w:ascii="Arial" w:eastAsia="Calibri" w:hAnsi="Arial" w:cs="Arial"/>
          <w:color w:val="000000" w:themeColor="text1"/>
          <w:sz w:val="22"/>
          <w:szCs w:val="22"/>
          <w:lang w:val="es-ES_tradnl"/>
        </w:rPr>
        <w:t xml:space="preserve">un nuevo reglamento defina las reglas </w:t>
      </w:r>
      <w:r w:rsidR="001119B1" w:rsidRPr="00766896">
        <w:rPr>
          <w:rFonts w:ascii="Arial" w:eastAsia="Calibri" w:hAnsi="Arial" w:cs="Arial"/>
          <w:color w:val="000000" w:themeColor="text1"/>
          <w:sz w:val="22"/>
          <w:szCs w:val="22"/>
          <w:lang w:val="es-ES_tradnl"/>
        </w:rPr>
        <w:t>de las convocatorias limitadas</w:t>
      </w:r>
      <w:r w:rsidR="004B2CC7" w:rsidRPr="00766896">
        <w:rPr>
          <w:rFonts w:ascii="Arial" w:eastAsia="Calibri" w:hAnsi="Arial" w:cs="Arial"/>
          <w:color w:val="000000" w:themeColor="text1"/>
          <w:sz w:val="22"/>
          <w:szCs w:val="22"/>
          <w:lang w:val="es-ES_tradnl"/>
        </w:rPr>
        <w:t xml:space="preserve"> como una condición para su exigibilidad en los procedimientos contractuales</w:t>
      </w:r>
      <w:r w:rsidR="00D61116" w:rsidRPr="00766896">
        <w:rPr>
          <w:rFonts w:ascii="Arial" w:eastAsia="Calibri" w:hAnsi="Arial" w:cs="Arial"/>
          <w:color w:val="000000" w:themeColor="text1"/>
          <w:sz w:val="22"/>
          <w:szCs w:val="22"/>
          <w:lang w:val="es-ES_tradnl"/>
        </w:rPr>
        <w:t>.</w:t>
      </w:r>
      <w:r w:rsidR="004A1040" w:rsidRPr="00766896">
        <w:rPr>
          <w:rFonts w:ascii="Arial" w:eastAsia="Calibri" w:hAnsi="Arial" w:cs="Arial"/>
          <w:color w:val="000000" w:themeColor="text1"/>
          <w:sz w:val="22"/>
          <w:szCs w:val="22"/>
          <w:lang w:val="es-ES_tradnl"/>
        </w:rPr>
        <w:t xml:space="preserve"> </w:t>
      </w:r>
    </w:p>
    <w:p w14:paraId="2DD62173" w14:textId="30218277" w:rsidR="00A532CF" w:rsidRPr="00766896" w:rsidRDefault="00FC5245" w:rsidP="00E95B72">
      <w:pPr>
        <w:tabs>
          <w:tab w:val="left" w:pos="709"/>
        </w:tabs>
        <w:spacing w:after="120" w:line="276" w:lineRule="auto"/>
        <w:jc w:val="both"/>
        <w:rPr>
          <w:rFonts w:ascii="Arial" w:eastAsia="Calibri" w:hAnsi="Arial" w:cs="Arial"/>
          <w:color w:val="000000" w:themeColor="text1"/>
          <w:sz w:val="22"/>
          <w:szCs w:val="22"/>
          <w:lang w:val="es-ES_tradnl"/>
        </w:rPr>
      </w:pPr>
      <w:r w:rsidRPr="00766896">
        <w:rPr>
          <w:rFonts w:ascii="Arial" w:eastAsia="Calibri" w:hAnsi="Arial" w:cs="Arial"/>
          <w:color w:val="000000" w:themeColor="text1"/>
          <w:sz w:val="22"/>
          <w:szCs w:val="22"/>
          <w:lang w:val="es-ES_tradnl"/>
        </w:rPr>
        <w:tab/>
      </w:r>
      <w:r w:rsidR="002265F3" w:rsidRPr="00766896">
        <w:rPr>
          <w:rFonts w:ascii="Arial" w:eastAsia="Calibri" w:hAnsi="Arial" w:cs="Arial"/>
          <w:color w:val="000000" w:themeColor="text1"/>
          <w:sz w:val="22"/>
          <w:szCs w:val="22"/>
          <w:lang w:val="es-ES_tradnl"/>
        </w:rPr>
        <w:t>Lo mismo no sucede con</w:t>
      </w:r>
      <w:r w:rsidR="00D75E17" w:rsidRPr="00766896">
        <w:rPr>
          <w:rFonts w:ascii="Arial" w:eastAsia="Calibri" w:hAnsi="Arial" w:cs="Arial"/>
          <w:color w:val="000000" w:themeColor="text1"/>
          <w:sz w:val="22"/>
          <w:szCs w:val="22"/>
          <w:lang w:val="es-ES_tradnl"/>
        </w:rPr>
        <w:t xml:space="preserve"> </w:t>
      </w:r>
      <w:r w:rsidR="00F107DF" w:rsidRPr="00766896">
        <w:rPr>
          <w:rFonts w:ascii="Arial" w:eastAsia="Calibri" w:hAnsi="Arial" w:cs="Arial"/>
          <w:color w:val="000000" w:themeColor="text1"/>
          <w:sz w:val="22"/>
          <w:szCs w:val="22"/>
          <w:lang w:val="es-ES_tradnl"/>
        </w:rPr>
        <w:t xml:space="preserve">la regulación de la mínima cuantía en </w:t>
      </w:r>
      <w:r w:rsidR="00282D74" w:rsidRPr="00766896">
        <w:rPr>
          <w:rFonts w:ascii="Arial" w:eastAsia="Calibri" w:hAnsi="Arial" w:cs="Arial"/>
          <w:color w:val="000000" w:themeColor="text1"/>
          <w:sz w:val="22"/>
          <w:szCs w:val="22"/>
          <w:lang w:val="es-ES_tradnl"/>
        </w:rPr>
        <w:t>el Decreto 1082 de 2015</w:t>
      </w:r>
      <w:r w:rsidR="00D565EE" w:rsidRPr="00766896">
        <w:rPr>
          <w:rFonts w:ascii="Arial" w:eastAsia="Calibri" w:hAnsi="Arial" w:cs="Arial"/>
          <w:color w:val="000000" w:themeColor="text1"/>
          <w:sz w:val="22"/>
          <w:szCs w:val="22"/>
          <w:lang w:val="es-ES_tradnl"/>
        </w:rPr>
        <w:t xml:space="preserve">. </w:t>
      </w:r>
      <w:bookmarkStart w:id="21" w:name="_Hlk69487065"/>
      <w:bookmarkStart w:id="22" w:name="_Hlk69487402"/>
      <w:r w:rsidR="003A1965" w:rsidRPr="00766896">
        <w:rPr>
          <w:rFonts w:ascii="Arial" w:eastAsia="Calibri" w:hAnsi="Arial" w:cs="Arial"/>
          <w:color w:val="000000" w:themeColor="text1"/>
          <w:sz w:val="22"/>
          <w:szCs w:val="22"/>
          <w:lang w:val="es-ES_tradnl"/>
        </w:rPr>
        <w:t xml:space="preserve">Aunque el artículo 30 de la Ley de Emprendimiento subroga el contenido del numeral 5 del artículo 2 de la Ley 1150 de 2007, ambas disposiciones son de aplicación directa. Adicionalmente, pese a que la Ley de Emprendimiento permite las convocatorias limitadas a la </w:t>
      </w:r>
      <w:proofErr w:type="spellStart"/>
      <w:r w:rsidR="003A1965" w:rsidRPr="00766896">
        <w:rPr>
          <w:rFonts w:ascii="Arial" w:eastAsia="Calibri" w:hAnsi="Arial" w:cs="Arial"/>
          <w:color w:val="000000" w:themeColor="text1"/>
          <w:sz w:val="22"/>
          <w:szCs w:val="22"/>
          <w:lang w:val="es-ES_tradnl"/>
        </w:rPr>
        <w:t>mypimes</w:t>
      </w:r>
      <w:proofErr w:type="spellEnd"/>
      <w:r w:rsidR="003A1965" w:rsidRPr="00766896">
        <w:rPr>
          <w:rFonts w:ascii="Arial" w:eastAsia="Calibri" w:hAnsi="Arial" w:cs="Arial"/>
          <w:color w:val="000000" w:themeColor="text1"/>
          <w:sz w:val="22"/>
          <w:szCs w:val="22"/>
          <w:lang w:val="es-ES_tradnl"/>
        </w:rPr>
        <w:t xml:space="preserve"> en la mínima cuantía, el desarrollo reglamentario </w:t>
      </w:r>
      <w:r w:rsidR="00B11D59" w:rsidRPr="00766896">
        <w:rPr>
          <w:rFonts w:ascii="Arial" w:eastAsia="Calibri" w:hAnsi="Arial" w:cs="Arial"/>
          <w:color w:val="000000" w:themeColor="text1"/>
          <w:sz w:val="22"/>
          <w:szCs w:val="22"/>
          <w:lang w:val="es-ES_tradnl"/>
        </w:rPr>
        <w:t xml:space="preserve">de </w:t>
      </w:r>
      <w:r w:rsidR="003A1965" w:rsidRPr="00766896">
        <w:rPr>
          <w:rFonts w:ascii="Arial" w:eastAsia="Calibri" w:hAnsi="Arial" w:cs="Arial"/>
          <w:color w:val="000000" w:themeColor="text1"/>
          <w:sz w:val="22"/>
          <w:szCs w:val="22"/>
          <w:lang w:val="es-ES_tradnl"/>
        </w:rPr>
        <w:t xml:space="preserve">este tema hace parte del artículo 34 </w:t>
      </w:r>
      <w:r w:rsidR="003A1965" w:rsidRPr="00766896">
        <w:rPr>
          <w:rFonts w:ascii="Arial" w:eastAsia="Calibri" w:hAnsi="Arial" w:cs="Arial"/>
          <w:i/>
          <w:iCs/>
          <w:color w:val="000000" w:themeColor="text1"/>
          <w:sz w:val="22"/>
          <w:szCs w:val="22"/>
          <w:lang w:val="es-ES_tradnl"/>
        </w:rPr>
        <w:t>ibídem</w:t>
      </w:r>
      <w:r w:rsidR="003A1965" w:rsidRPr="00766896">
        <w:rPr>
          <w:rFonts w:ascii="Arial" w:eastAsia="Calibri" w:hAnsi="Arial" w:cs="Arial"/>
          <w:color w:val="000000" w:themeColor="text1"/>
          <w:sz w:val="22"/>
          <w:szCs w:val="22"/>
          <w:lang w:val="es-ES_tradnl"/>
        </w:rPr>
        <w:t xml:space="preserve">. </w:t>
      </w:r>
      <w:bookmarkEnd w:id="21"/>
    </w:p>
    <w:p w14:paraId="4943FFAE" w14:textId="1AA67690" w:rsidR="004A1040" w:rsidRPr="00766896" w:rsidRDefault="00A532CF" w:rsidP="00E95B72">
      <w:pPr>
        <w:tabs>
          <w:tab w:val="left" w:pos="709"/>
        </w:tabs>
        <w:spacing w:after="120" w:line="276" w:lineRule="auto"/>
        <w:jc w:val="both"/>
        <w:rPr>
          <w:rFonts w:ascii="Arial" w:eastAsia="Calibri" w:hAnsi="Arial" w:cs="Arial"/>
          <w:color w:val="000000" w:themeColor="text1"/>
          <w:sz w:val="22"/>
          <w:szCs w:val="22"/>
          <w:lang w:val="es-ES_tradnl"/>
        </w:rPr>
      </w:pPr>
      <w:r w:rsidRPr="00766896">
        <w:rPr>
          <w:rFonts w:ascii="Arial" w:eastAsia="Calibri" w:hAnsi="Arial" w:cs="Arial"/>
          <w:color w:val="000000" w:themeColor="text1"/>
          <w:sz w:val="22"/>
          <w:szCs w:val="22"/>
          <w:lang w:val="es-ES_tradnl"/>
        </w:rPr>
        <w:tab/>
      </w:r>
      <w:r w:rsidR="00DA4C5A" w:rsidRPr="00766896">
        <w:rPr>
          <w:rFonts w:ascii="Arial" w:eastAsia="Calibri" w:hAnsi="Arial" w:cs="Arial"/>
          <w:bCs/>
          <w:color w:val="000000" w:themeColor="text1"/>
          <w:sz w:val="22"/>
          <w:szCs w:val="22"/>
          <w:lang w:val="es-ES_tradnl"/>
        </w:rPr>
        <w:t xml:space="preserve">Para permitir la adquisición a </w:t>
      </w:r>
      <w:proofErr w:type="spellStart"/>
      <w:r w:rsidR="00DA4C5A" w:rsidRPr="00766896">
        <w:rPr>
          <w:rFonts w:ascii="Arial" w:eastAsia="Calibri" w:hAnsi="Arial" w:cs="Arial"/>
          <w:bCs/>
          <w:color w:val="000000" w:themeColor="text1"/>
          <w:sz w:val="22"/>
          <w:szCs w:val="22"/>
          <w:lang w:val="es-ES_tradnl"/>
        </w:rPr>
        <w:t>mipymes</w:t>
      </w:r>
      <w:proofErr w:type="spellEnd"/>
      <w:r w:rsidR="00DA4C5A" w:rsidRPr="00766896">
        <w:rPr>
          <w:rFonts w:ascii="Arial" w:eastAsia="Calibri" w:hAnsi="Arial" w:cs="Arial"/>
          <w:bCs/>
          <w:color w:val="000000" w:themeColor="text1"/>
          <w:sz w:val="22"/>
          <w:szCs w:val="22"/>
          <w:lang w:val="es-ES_tradnl"/>
        </w:rPr>
        <w:t xml:space="preserve"> y la aplicación del artículo 12 de la Ley 1150 de 2007, </w:t>
      </w:r>
      <w:r w:rsidR="00256BA0" w:rsidRPr="00766896">
        <w:rPr>
          <w:rFonts w:ascii="Arial" w:eastAsia="Calibri" w:hAnsi="Arial" w:cs="Arial"/>
          <w:color w:val="000000" w:themeColor="text1"/>
          <w:sz w:val="22"/>
          <w:szCs w:val="22"/>
          <w:lang w:val="es-ES_tradnl"/>
        </w:rPr>
        <w:t xml:space="preserve">la Ley de Emprendimiento </w:t>
      </w:r>
      <w:r w:rsidR="00DA4C5A" w:rsidRPr="00766896">
        <w:rPr>
          <w:rFonts w:ascii="Arial" w:eastAsia="Calibri" w:hAnsi="Arial" w:cs="Arial"/>
          <w:color w:val="000000" w:themeColor="text1"/>
          <w:sz w:val="22"/>
          <w:szCs w:val="22"/>
          <w:lang w:val="es-ES_tradnl"/>
        </w:rPr>
        <w:t>pudo</w:t>
      </w:r>
      <w:r w:rsidR="00256BA0" w:rsidRPr="00766896">
        <w:rPr>
          <w:rFonts w:ascii="Arial" w:eastAsia="Calibri" w:hAnsi="Arial" w:cs="Arial"/>
          <w:color w:val="000000" w:themeColor="text1"/>
          <w:sz w:val="22"/>
          <w:szCs w:val="22"/>
          <w:lang w:val="es-ES_tradnl"/>
        </w:rPr>
        <w:t xml:space="preserve"> modificar</w:t>
      </w:r>
      <w:r w:rsidR="006272DE" w:rsidRPr="00766896">
        <w:rPr>
          <w:rFonts w:ascii="Arial" w:eastAsia="Calibri" w:hAnsi="Arial" w:cs="Arial"/>
          <w:color w:val="000000" w:themeColor="text1"/>
          <w:sz w:val="22"/>
          <w:szCs w:val="22"/>
          <w:lang w:val="es-ES_tradnl"/>
        </w:rPr>
        <w:t xml:space="preserve"> únicamente</w:t>
      </w:r>
      <w:r w:rsidR="00256BA0" w:rsidRPr="00766896">
        <w:rPr>
          <w:rFonts w:ascii="Arial" w:eastAsia="Calibri" w:hAnsi="Arial" w:cs="Arial"/>
          <w:color w:val="000000" w:themeColor="text1"/>
          <w:sz w:val="22"/>
          <w:szCs w:val="22"/>
          <w:lang w:val="es-ES_tradnl"/>
        </w:rPr>
        <w:t xml:space="preserve"> los parágrafos </w:t>
      </w:r>
      <w:r w:rsidR="00930A90" w:rsidRPr="00766896">
        <w:rPr>
          <w:rFonts w:ascii="Arial" w:eastAsia="Calibri" w:hAnsi="Arial" w:cs="Arial"/>
          <w:color w:val="000000" w:themeColor="text1"/>
          <w:sz w:val="22"/>
          <w:szCs w:val="22"/>
          <w:lang w:val="es-ES_tradnl"/>
        </w:rPr>
        <w:t>1 y 2 d</w:t>
      </w:r>
      <w:r w:rsidR="00930A90" w:rsidRPr="00766896">
        <w:rPr>
          <w:rFonts w:ascii="Arial" w:eastAsia="Calibri" w:hAnsi="Arial" w:cs="Arial"/>
          <w:bCs/>
          <w:color w:val="000000" w:themeColor="text1"/>
          <w:sz w:val="22"/>
          <w:szCs w:val="22"/>
          <w:lang w:val="es-ES_tradnl"/>
        </w:rPr>
        <w:t>el artículo 94 de la Ley 1474 de 2011</w:t>
      </w:r>
      <w:r w:rsidR="006A0706" w:rsidRPr="00766896">
        <w:rPr>
          <w:rFonts w:ascii="Arial" w:eastAsia="Calibri" w:hAnsi="Arial" w:cs="Arial"/>
          <w:bCs/>
          <w:color w:val="000000" w:themeColor="text1"/>
          <w:sz w:val="22"/>
          <w:szCs w:val="22"/>
          <w:lang w:val="es-ES_tradnl"/>
        </w:rPr>
        <w:t>.</w:t>
      </w:r>
      <w:r w:rsidR="001211EA" w:rsidRPr="00766896">
        <w:rPr>
          <w:rFonts w:ascii="Arial" w:eastAsia="Calibri" w:hAnsi="Arial" w:cs="Arial"/>
          <w:bCs/>
          <w:color w:val="000000" w:themeColor="text1"/>
          <w:sz w:val="22"/>
          <w:szCs w:val="22"/>
          <w:lang w:val="es-ES_tradnl"/>
        </w:rPr>
        <w:t xml:space="preserve"> </w:t>
      </w:r>
      <w:r w:rsidRPr="00766896">
        <w:rPr>
          <w:rFonts w:ascii="Arial" w:eastAsia="Calibri" w:hAnsi="Arial" w:cs="Arial"/>
          <w:bCs/>
          <w:color w:val="000000" w:themeColor="text1"/>
          <w:sz w:val="22"/>
          <w:szCs w:val="22"/>
          <w:lang w:val="es-ES_tradnl"/>
        </w:rPr>
        <w:t>Pese a que</w:t>
      </w:r>
      <w:r w:rsidR="00657279" w:rsidRPr="00766896">
        <w:rPr>
          <w:rFonts w:ascii="Arial" w:eastAsia="Calibri" w:hAnsi="Arial" w:cs="Arial"/>
          <w:bCs/>
          <w:color w:val="000000" w:themeColor="text1"/>
          <w:sz w:val="22"/>
          <w:szCs w:val="22"/>
          <w:lang w:val="es-ES_tradnl"/>
        </w:rPr>
        <w:t xml:space="preserve"> </w:t>
      </w:r>
      <w:r w:rsidR="00AD0CA8" w:rsidRPr="00766896">
        <w:rPr>
          <w:rFonts w:ascii="Arial" w:eastAsia="Calibri" w:hAnsi="Arial" w:cs="Arial"/>
          <w:bCs/>
          <w:color w:val="000000" w:themeColor="text1"/>
          <w:sz w:val="22"/>
          <w:szCs w:val="22"/>
          <w:lang w:val="es-ES_tradnl"/>
        </w:rPr>
        <w:t xml:space="preserve">el artículo </w:t>
      </w:r>
      <w:r w:rsidR="00AD2A5A" w:rsidRPr="00766896">
        <w:rPr>
          <w:rFonts w:ascii="Arial" w:eastAsia="Calibri" w:hAnsi="Arial" w:cs="Arial"/>
          <w:bCs/>
          <w:color w:val="000000" w:themeColor="text1"/>
          <w:sz w:val="22"/>
          <w:szCs w:val="22"/>
          <w:lang w:val="es-ES_tradnl"/>
        </w:rPr>
        <w:t xml:space="preserve">30 de la Ley 2069 de 2020 </w:t>
      </w:r>
      <w:r w:rsidR="00AD0CA8" w:rsidRPr="00766896">
        <w:rPr>
          <w:rFonts w:ascii="Arial" w:eastAsia="Calibri" w:hAnsi="Arial" w:cs="Arial"/>
          <w:bCs/>
          <w:color w:val="000000" w:themeColor="text1"/>
          <w:sz w:val="22"/>
          <w:szCs w:val="22"/>
          <w:lang w:val="es-ES_tradnl"/>
        </w:rPr>
        <w:t xml:space="preserve">optó </w:t>
      </w:r>
      <w:r w:rsidR="00F567F4" w:rsidRPr="00766896">
        <w:rPr>
          <w:rFonts w:ascii="Arial" w:eastAsia="Calibri" w:hAnsi="Arial" w:cs="Arial"/>
          <w:bCs/>
          <w:color w:val="000000" w:themeColor="text1"/>
          <w:sz w:val="22"/>
          <w:szCs w:val="22"/>
          <w:lang w:val="es-ES_tradnl"/>
        </w:rPr>
        <w:lastRenderedPageBreak/>
        <w:t xml:space="preserve">por sustituir integralmente </w:t>
      </w:r>
      <w:r w:rsidR="009B24B2" w:rsidRPr="00766896">
        <w:rPr>
          <w:rFonts w:ascii="Arial" w:eastAsia="Calibri" w:hAnsi="Arial" w:cs="Arial"/>
          <w:bCs/>
          <w:color w:val="000000" w:themeColor="text1"/>
          <w:sz w:val="22"/>
          <w:szCs w:val="22"/>
          <w:lang w:val="es-ES_tradnl"/>
        </w:rPr>
        <w:t>la regulación anterior</w:t>
      </w:r>
      <w:r w:rsidR="00CA1B45" w:rsidRPr="00766896">
        <w:rPr>
          <w:rFonts w:ascii="Arial" w:eastAsia="Calibri" w:hAnsi="Arial" w:cs="Arial"/>
          <w:bCs/>
          <w:color w:val="000000" w:themeColor="text1"/>
          <w:sz w:val="22"/>
          <w:szCs w:val="22"/>
          <w:lang w:val="es-ES_tradnl"/>
        </w:rPr>
        <w:t xml:space="preserve">, </w:t>
      </w:r>
      <w:bookmarkStart w:id="23" w:name="_Hlk69572931"/>
      <w:r w:rsidR="00CA1B45" w:rsidRPr="00766896">
        <w:rPr>
          <w:rFonts w:ascii="Arial" w:eastAsia="Calibri" w:hAnsi="Arial" w:cs="Arial"/>
          <w:bCs/>
          <w:color w:val="000000" w:themeColor="text1"/>
          <w:sz w:val="22"/>
          <w:szCs w:val="22"/>
          <w:lang w:val="es-ES_tradnl"/>
        </w:rPr>
        <w:t>se observa que</w:t>
      </w:r>
      <w:r w:rsidR="00D60EE8" w:rsidRPr="00766896">
        <w:rPr>
          <w:rFonts w:ascii="Arial" w:eastAsia="Calibri" w:hAnsi="Arial" w:cs="Arial"/>
          <w:bCs/>
          <w:color w:val="000000" w:themeColor="text1"/>
          <w:sz w:val="22"/>
          <w:szCs w:val="22"/>
          <w:lang w:val="es-ES_tradnl"/>
        </w:rPr>
        <w:t xml:space="preserve"> materialmente</w:t>
      </w:r>
      <w:r w:rsidR="00CA1B45" w:rsidRPr="00766896">
        <w:rPr>
          <w:rFonts w:ascii="Arial" w:eastAsia="Calibri" w:hAnsi="Arial" w:cs="Arial"/>
          <w:bCs/>
          <w:color w:val="000000" w:themeColor="text1"/>
          <w:sz w:val="22"/>
          <w:szCs w:val="22"/>
          <w:lang w:val="es-ES_tradnl"/>
        </w:rPr>
        <w:t xml:space="preserve"> no existe una</w:t>
      </w:r>
      <w:r w:rsidR="00725530" w:rsidRPr="00766896">
        <w:rPr>
          <w:rFonts w:ascii="Arial" w:eastAsia="Calibri" w:hAnsi="Arial" w:cs="Arial"/>
          <w:bCs/>
          <w:color w:val="000000" w:themeColor="text1"/>
          <w:sz w:val="22"/>
          <w:szCs w:val="22"/>
          <w:lang w:val="es-ES_tradnl"/>
        </w:rPr>
        <w:t xml:space="preserve"> derogación</w:t>
      </w:r>
      <w:r w:rsidR="00E437CE" w:rsidRPr="00766896">
        <w:rPr>
          <w:rFonts w:ascii="Arial" w:eastAsia="Calibri" w:hAnsi="Arial" w:cs="Arial"/>
          <w:bCs/>
          <w:color w:val="000000" w:themeColor="text1"/>
          <w:sz w:val="22"/>
          <w:szCs w:val="22"/>
          <w:lang w:val="es-ES_tradnl"/>
        </w:rPr>
        <w:t xml:space="preserve"> </w:t>
      </w:r>
      <w:r w:rsidR="0023452B" w:rsidRPr="00766896">
        <w:rPr>
          <w:rFonts w:ascii="Arial" w:eastAsia="Calibri" w:hAnsi="Arial" w:cs="Arial"/>
          <w:bCs/>
          <w:color w:val="000000" w:themeColor="text1"/>
          <w:sz w:val="22"/>
          <w:szCs w:val="22"/>
          <w:lang w:val="es-ES_tradnl"/>
        </w:rPr>
        <w:t>de la</w:t>
      </w:r>
      <w:r w:rsidR="00E437CE" w:rsidRPr="00766896">
        <w:rPr>
          <w:rFonts w:ascii="Arial" w:eastAsia="Calibri" w:hAnsi="Arial" w:cs="Arial"/>
          <w:bCs/>
          <w:color w:val="000000" w:themeColor="text1"/>
          <w:sz w:val="22"/>
          <w:szCs w:val="22"/>
          <w:lang w:val="es-ES_tradnl"/>
        </w:rPr>
        <w:t xml:space="preserve"> mínima cuantía </w:t>
      </w:r>
      <w:r w:rsidR="00772BEC" w:rsidRPr="00766896">
        <w:rPr>
          <w:rFonts w:ascii="Arial" w:eastAsia="Calibri" w:hAnsi="Arial" w:cs="Arial"/>
          <w:bCs/>
          <w:color w:val="000000" w:themeColor="text1"/>
          <w:sz w:val="22"/>
          <w:szCs w:val="22"/>
          <w:lang w:val="es-ES_tradnl"/>
        </w:rPr>
        <w:t xml:space="preserve">ni una modificación sustancial </w:t>
      </w:r>
      <w:r w:rsidR="0023452B" w:rsidRPr="00766896">
        <w:rPr>
          <w:rFonts w:ascii="Arial" w:eastAsia="Calibri" w:hAnsi="Arial" w:cs="Arial"/>
          <w:bCs/>
          <w:color w:val="000000" w:themeColor="text1"/>
          <w:sz w:val="22"/>
          <w:szCs w:val="22"/>
          <w:lang w:val="es-ES_tradnl"/>
        </w:rPr>
        <w:t>que incida en el procedimiento</w:t>
      </w:r>
      <w:r w:rsidR="00636E45" w:rsidRPr="00766896">
        <w:rPr>
          <w:rFonts w:ascii="Arial" w:eastAsia="Calibri" w:hAnsi="Arial" w:cs="Arial"/>
          <w:bCs/>
          <w:color w:val="000000" w:themeColor="text1"/>
          <w:sz w:val="22"/>
          <w:szCs w:val="22"/>
          <w:lang w:val="es-ES_tradnl"/>
        </w:rPr>
        <w:t xml:space="preserve">, por lo que no </w:t>
      </w:r>
      <w:r w:rsidR="00FC5245" w:rsidRPr="00766896">
        <w:rPr>
          <w:rFonts w:ascii="Arial" w:eastAsia="Calibri" w:hAnsi="Arial" w:cs="Arial"/>
          <w:bCs/>
          <w:color w:val="000000" w:themeColor="text1"/>
          <w:sz w:val="22"/>
          <w:szCs w:val="22"/>
          <w:lang w:val="es-ES_tradnl"/>
        </w:rPr>
        <w:t xml:space="preserve">desaparece </w:t>
      </w:r>
      <w:r w:rsidR="00636E45" w:rsidRPr="00766896">
        <w:rPr>
          <w:rFonts w:ascii="Arial" w:eastAsia="Calibri" w:hAnsi="Arial" w:cs="Arial"/>
          <w:bCs/>
          <w:color w:val="000000" w:themeColor="text1"/>
          <w:sz w:val="22"/>
          <w:szCs w:val="22"/>
          <w:lang w:val="es-ES_tradnl"/>
        </w:rPr>
        <w:t xml:space="preserve">el fundamento jurídico </w:t>
      </w:r>
      <w:r w:rsidR="00481931" w:rsidRPr="00766896">
        <w:rPr>
          <w:rFonts w:ascii="Arial" w:eastAsia="Calibri" w:hAnsi="Arial" w:cs="Arial"/>
          <w:bCs/>
          <w:color w:val="000000" w:themeColor="text1"/>
          <w:sz w:val="22"/>
          <w:szCs w:val="22"/>
          <w:lang w:val="es-ES_tradnl"/>
        </w:rPr>
        <w:t>de las normas reglamentarias</w:t>
      </w:r>
      <w:r w:rsidR="00955AB4" w:rsidRPr="00766896">
        <w:rPr>
          <w:rFonts w:ascii="Arial" w:eastAsia="Calibri" w:hAnsi="Arial" w:cs="Arial"/>
          <w:bCs/>
          <w:color w:val="000000" w:themeColor="text1"/>
          <w:sz w:val="22"/>
          <w:szCs w:val="22"/>
          <w:lang w:val="es-ES_tradnl"/>
        </w:rPr>
        <w:t xml:space="preserve"> que lo desarrollan</w:t>
      </w:r>
      <w:bookmarkEnd w:id="23"/>
      <w:r w:rsidR="00955AB4" w:rsidRPr="00766896">
        <w:rPr>
          <w:rFonts w:ascii="Arial" w:eastAsia="Calibri" w:hAnsi="Arial" w:cs="Arial"/>
          <w:bCs/>
          <w:color w:val="000000" w:themeColor="text1"/>
          <w:sz w:val="22"/>
          <w:szCs w:val="22"/>
          <w:lang w:val="es-ES_tradnl"/>
        </w:rPr>
        <w:t>.</w:t>
      </w:r>
      <w:r w:rsidR="00EF3850" w:rsidRPr="00766896">
        <w:rPr>
          <w:rFonts w:ascii="Arial" w:eastAsia="Calibri" w:hAnsi="Arial" w:cs="Arial"/>
          <w:bCs/>
          <w:color w:val="000000" w:themeColor="text1"/>
          <w:sz w:val="22"/>
          <w:szCs w:val="22"/>
          <w:lang w:val="es-ES_tradnl"/>
        </w:rPr>
        <w:t xml:space="preserve"> </w:t>
      </w:r>
      <w:bookmarkStart w:id="24" w:name="_Hlk69573039"/>
      <w:r w:rsidR="00EF3850" w:rsidRPr="00766896">
        <w:rPr>
          <w:rFonts w:ascii="Arial" w:eastAsia="Calibri" w:hAnsi="Arial" w:cs="Arial"/>
          <w:bCs/>
          <w:color w:val="000000" w:themeColor="text1"/>
          <w:sz w:val="22"/>
          <w:szCs w:val="22"/>
          <w:lang w:val="es-ES_tradnl"/>
        </w:rPr>
        <w:t>En esta medida,</w:t>
      </w:r>
      <w:r w:rsidR="007301ED" w:rsidRPr="00766896">
        <w:rPr>
          <w:rFonts w:ascii="Arial" w:eastAsia="Calibri" w:hAnsi="Arial" w:cs="Arial"/>
          <w:bCs/>
          <w:color w:val="000000" w:themeColor="text1"/>
          <w:sz w:val="22"/>
          <w:szCs w:val="22"/>
          <w:lang w:val="es-ES_tradnl"/>
        </w:rPr>
        <w:t xml:space="preserve"> </w:t>
      </w:r>
      <w:r w:rsidR="00FC5DA6" w:rsidRPr="00766896">
        <w:rPr>
          <w:rFonts w:ascii="Arial" w:eastAsia="Calibri" w:hAnsi="Arial" w:cs="Arial"/>
          <w:bCs/>
          <w:color w:val="000000" w:themeColor="text1"/>
          <w:sz w:val="22"/>
          <w:szCs w:val="22"/>
          <w:lang w:val="es-ES_tradnl"/>
        </w:rPr>
        <w:t>siguen</w:t>
      </w:r>
      <w:r w:rsidR="00416641" w:rsidRPr="00766896">
        <w:rPr>
          <w:rFonts w:ascii="Arial" w:eastAsia="Calibri" w:hAnsi="Arial" w:cs="Arial"/>
          <w:bCs/>
          <w:color w:val="000000" w:themeColor="text1"/>
          <w:sz w:val="22"/>
          <w:szCs w:val="22"/>
          <w:lang w:val="es-ES_tradnl"/>
        </w:rPr>
        <w:t xml:space="preserve"> vigentes</w:t>
      </w:r>
      <w:r w:rsidR="00204FB5" w:rsidRPr="00766896">
        <w:rPr>
          <w:rFonts w:ascii="Arial" w:eastAsia="Calibri" w:hAnsi="Arial" w:cs="Arial"/>
          <w:bCs/>
          <w:color w:val="000000" w:themeColor="text1"/>
          <w:sz w:val="22"/>
          <w:szCs w:val="22"/>
          <w:lang w:val="es-ES_tradnl"/>
        </w:rPr>
        <w:t xml:space="preserve"> gran parte de</w:t>
      </w:r>
      <w:r w:rsidR="00852E6D" w:rsidRPr="00766896">
        <w:rPr>
          <w:rFonts w:ascii="Arial" w:eastAsia="Calibri" w:hAnsi="Arial" w:cs="Arial"/>
          <w:bCs/>
          <w:color w:val="000000" w:themeColor="text1"/>
          <w:sz w:val="22"/>
          <w:szCs w:val="22"/>
          <w:lang w:val="es-ES_tradnl"/>
        </w:rPr>
        <w:t xml:space="preserve"> </w:t>
      </w:r>
      <w:r w:rsidR="0028227B" w:rsidRPr="00766896">
        <w:rPr>
          <w:rFonts w:ascii="Arial" w:eastAsia="Calibri" w:hAnsi="Arial" w:cs="Arial"/>
          <w:bCs/>
          <w:color w:val="000000" w:themeColor="text1"/>
          <w:sz w:val="22"/>
          <w:szCs w:val="22"/>
          <w:lang w:val="es-ES_tradnl"/>
        </w:rPr>
        <w:t xml:space="preserve">los </w:t>
      </w:r>
      <w:r w:rsidR="00852E6D" w:rsidRPr="00766896">
        <w:rPr>
          <w:rFonts w:ascii="Arial" w:eastAsia="Calibri" w:hAnsi="Arial" w:cs="Arial"/>
          <w:color w:val="000000" w:themeColor="text1"/>
          <w:sz w:val="22"/>
          <w:szCs w:val="22"/>
          <w:lang w:val="es-ES_tradnl"/>
        </w:rPr>
        <w:t xml:space="preserve">artículos 2.2.1.2.1.5.1 al 2.2.1.2.1.5.4 </w:t>
      </w:r>
      <w:r w:rsidR="000566BB" w:rsidRPr="00766896">
        <w:rPr>
          <w:rFonts w:ascii="Arial" w:eastAsia="Calibri" w:hAnsi="Arial" w:cs="Arial"/>
          <w:color w:val="000000" w:themeColor="text1"/>
          <w:sz w:val="22"/>
          <w:szCs w:val="22"/>
          <w:lang w:val="es-ES_tradnl"/>
        </w:rPr>
        <w:t>del Decreto Único Reglamentario del Sector Administrativo de Planeación Nacional</w:t>
      </w:r>
      <w:r w:rsidR="003A35FC" w:rsidRPr="00766896">
        <w:rPr>
          <w:rFonts w:ascii="Arial" w:eastAsia="Calibri" w:hAnsi="Arial" w:cs="Arial"/>
          <w:color w:val="000000" w:themeColor="text1"/>
          <w:sz w:val="22"/>
          <w:szCs w:val="22"/>
          <w:lang w:val="es-ES_tradnl"/>
        </w:rPr>
        <w:t>.</w:t>
      </w:r>
      <w:r w:rsidR="009310C5" w:rsidRPr="00766896">
        <w:rPr>
          <w:rFonts w:ascii="Arial" w:eastAsia="Calibri" w:hAnsi="Arial" w:cs="Arial"/>
          <w:color w:val="000000" w:themeColor="text1"/>
          <w:sz w:val="22"/>
          <w:szCs w:val="22"/>
          <w:lang w:val="es-ES_tradnl"/>
        </w:rPr>
        <w:t xml:space="preserve"> </w:t>
      </w:r>
      <w:bookmarkEnd w:id="22"/>
    </w:p>
    <w:p w14:paraId="26C5F349" w14:textId="3A9C8DAC" w:rsidR="00CC5F2C" w:rsidRPr="00766896" w:rsidRDefault="004A1040" w:rsidP="00852C30">
      <w:pPr>
        <w:tabs>
          <w:tab w:val="left" w:pos="709"/>
        </w:tabs>
        <w:spacing w:after="120" w:line="276" w:lineRule="auto"/>
        <w:jc w:val="both"/>
        <w:rPr>
          <w:rFonts w:ascii="Arial" w:eastAsia="Calibri" w:hAnsi="Arial" w:cs="Arial"/>
          <w:color w:val="000000" w:themeColor="text1"/>
          <w:sz w:val="22"/>
          <w:szCs w:val="22"/>
          <w:lang w:val="es-ES_tradnl"/>
        </w:rPr>
      </w:pPr>
      <w:r w:rsidRPr="00766896">
        <w:rPr>
          <w:rFonts w:ascii="Arial" w:eastAsia="Calibri" w:hAnsi="Arial" w:cs="Arial"/>
          <w:color w:val="000000" w:themeColor="text1"/>
          <w:sz w:val="22"/>
          <w:szCs w:val="22"/>
          <w:lang w:val="es-ES_tradnl"/>
        </w:rPr>
        <w:tab/>
      </w:r>
      <w:r w:rsidR="003A7464" w:rsidRPr="00766896">
        <w:rPr>
          <w:rFonts w:ascii="Arial" w:eastAsia="Calibri" w:hAnsi="Arial" w:cs="Arial"/>
          <w:color w:val="000000" w:themeColor="text1"/>
          <w:sz w:val="22"/>
          <w:szCs w:val="22"/>
          <w:lang w:val="es-ES_tradnl"/>
        </w:rPr>
        <w:t>No obstante, es necesario</w:t>
      </w:r>
      <w:r w:rsidR="00204FB5" w:rsidRPr="00766896">
        <w:rPr>
          <w:rFonts w:ascii="Arial" w:eastAsia="Calibri" w:hAnsi="Arial" w:cs="Arial"/>
          <w:color w:val="000000" w:themeColor="text1"/>
          <w:sz w:val="22"/>
          <w:szCs w:val="22"/>
          <w:lang w:val="es-ES_tradnl"/>
        </w:rPr>
        <w:t xml:space="preserve"> introducir un matiz en la </w:t>
      </w:r>
      <w:r w:rsidR="000566BB" w:rsidRPr="00766896">
        <w:rPr>
          <w:rFonts w:ascii="Arial" w:eastAsia="Calibri" w:hAnsi="Arial" w:cs="Arial"/>
          <w:color w:val="000000" w:themeColor="text1"/>
          <w:sz w:val="22"/>
          <w:szCs w:val="22"/>
          <w:lang w:val="es-ES_tradnl"/>
        </w:rPr>
        <w:t>conclusión precedente</w:t>
      </w:r>
      <w:r w:rsidR="00416641" w:rsidRPr="00766896">
        <w:rPr>
          <w:rFonts w:ascii="Arial" w:eastAsia="Calibri" w:hAnsi="Arial" w:cs="Arial"/>
          <w:color w:val="000000" w:themeColor="text1"/>
          <w:sz w:val="22"/>
          <w:szCs w:val="22"/>
          <w:lang w:val="es-ES_tradnl"/>
        </w:rPr>
        <w:t xml:space="preserve">, </w:t>
      </w:r>
      <w:r w:rsidR="001A1300" w:rsidRPr="00766896">
        <w:rPr>
          <w:rFonts w:ascii="Arial" w:eastAsia="Calibri" w:hAnsi="Arial" w:cs="Arial"/>
          <w:color w:val="000000" w:themeColor="text1"/>
          <w:sz w:val="22"/>
          <w:szCs w:val="22"/>
          <w:lang w:val="es-ES_tradnl"/>
        </w:rPr>
        <w:t xml:space="preserve">ya que </w:t>
      </w:r>
      <w:r w:rsidR="004F414F" w:rsidRPr="00766896">
        <w:rPr>
          <w:rFonts w:ascii="Arial" w:eastAsia="Calibri" w:hAnsi="Arial" w:cs="Arial"/>
          <w:color w:val="000000" w:themeColor="text1"/>
          <w:sz w:val="22"/>
          <w:szCs w:val="22"/>
          <w:lang w:val="es-ES_tradnl"/>
        </w:rPr>
        <w:t>los factores de desempate previstos en el nu</w:t>
      </w:r>
      <w:r w:rsidR="0068652A" w:rsidRPr="00766896">
        <w:rPr>
          <w:rFonts w:ascii="Arial" w:eastAsia="Calibri" w:hAnsi="Arial" w:cs="Arial"/>
          <w:color w:val="000000" w:themeColor="text1"/>
          <w:sz w:val="22"/>
          <w:szCs w:val="22"/>
          <w:lang w:val="es-ES_tradnl"/>
        </w:rPr>
        <w:t>meral 6 del artículo 2.2.1.2.1.5.2 y el numeral 3 del artículo 2.2.1.2.1.5.3</w:t>
      </w:r>
      <w:r w:rsidR="00480567" w:rsidRPr="00766896">
        <w:rPr>
          <w:rFonts w:ascii="Arial" w:eastAsia="Calibri" w:hAnsi="Arial" w:cs="Arial"/>
          <w:color w:val="000000" w:themeColor="text1"/>
          <w:sz w:val="22"/>
          <w:szCs w:val="22"/>
          <w:lang w:val="es-ES_tradnl"/>
        </w:rPr>
        <w:t xml:space="preserve"> del Decreto 1082 de 2015 han perdido vigencia con la expedición del artículo 35 de la Ley de Emprendimiento</w:t>
      </w:r>
      <w:r w:rsidR="00CC5F2C" w:rsidRPr="00766896">
        <w:rPr>
          <w:rFonts w:ascii="Arial" w:eastAsia="Calibri" w:hAnsi="Arial" w:cs="Arial"/>
          <w:color w:val="000000" w:themeColor="text1"/>
          <w:sz w:val="22"/>
          <w:szCs w:val="22"/>
          <w:lang w:val="es-ES_tradnl"/>
        </w:rPr>
        <w:t xml:space="preserve">. </w:t>
      </w:r>
      <w:bookmarkEnd w:id="24"/>
      <w:r w:rsidR="00093CE0" w:rsidRPr="00766896">
        <w:rPr>
          <w:rFonts w:ascii="Arial" w:eastAsia="Calibri" w:hAnsi="Arial" w:cs="Arial"/>
          <w:color w:val="000000" w:themeColor="text1"/>
          <w:sz w:val="22"/>
          <w:szCs w:val="22"/>
          <w:lang w:val="es-ES_tradnl"/>
        </w:rPr>
        <w:t>Al respecto</w:t>
      </w:r>
      <w:r w:rsidR="00CC5F2C" w:rsidRPr="00766896">
        <w:rPr>
          <w:rFonts w:ascii="Arial" w:hAnsi="Arial" w:cs="Arial"/>
          <w:color w:val="000000" w:themeColor="text1"/>
          <w:sz w:val="22"/>
          <w:szCs w:val="22"/>
          <w:lang w:val="es-ES_tradnl"/>
        </w:rPr>
        <w:t xml:space="preserve">, el artículo 2.2.1.1.2.2.9. del Decreto 1082 de 2015 regulaba los factores de desempate que debían aplicarse en los procesos de selección. En criterio de esta Agencia, dicha norma debe entenderse derogada por el artículo 35 de la Ley 2069 de 2020. Ello no solo porque el artículo 84 de esta </w:t>
      </w:r>
      <w:r w:rsidR="00A11E67" w:rsidRPr="00766896">
        <w:rPr>
          <w:rFonts w:ascii="Arial" w:hAnsi="Arial" w:cs="Arial"/>
          <w:color w:val="000000" w:themeColor="text1"/>
          <w:sz w:val="22"/>
          <w:szCs w:val="22"/>
          <w:lang w:val="es-ES_tradnl"/>
        </w:rPr>
        <w:t>ley dispone</w:t>
      </w:r>
      <w:r w:rsidR="00CC5F2C" w:rsidRPr="00766896">
        <w:rPr>
          <w:rFonts w:ascii="Arial" w:hAnsi="Arial" w:cs="Arial"/>
          <w:color w:val="000000" w:themeColor="text1"/>
          <w:sz w:val="22"/>
          <w:szCs w:val="22"/>
          <w:lang w:val="es-ES_tradnl"/>
        </w:rPr>
        <w:t xml:space="preserve"> que «rige a partir del momento de su promulgación», es decir, desde el 31 de diciembre de 2020, sino además porque la misma disposición señala que la Ley 2069 de 2020 deroga «[…] todas las disposiciones que le sean contrarias». </w:t>
      </w:r>
    </w:p>
    <w:p w14:paraId="13130DB1" w14:textId="77777777" w:rsidR="00CC5F2C" w:rsidRPr="00766896" w:rsidRDefault="00CC5F2C" w:rsidP="00CC5F2C">
      <w:pPr>
        <w:spacing w:before="120" w:line="276" w:lineRule="auto"/>
        <w:ind w:firstLine="709"/>
        <w:jc w:val="both"/>
        <w:rPr>
          <w:rFonts w:ascii="Arial" w:hAnsi="Arial" w:cs="Arial"/>
          <w:color w:val="000000" w:themeColor="text1"/>
          <w:sz w:val="22"/>
          <w:szCs w:val="22"/>
          <w:lang w:val="es-ES_tradnl"/>
        </w:rPr>
      </w:pPr>
      <w:bookmarkStart w:id="25" w:name="_Hlk69573103"/>
      <w:r w:rsidRPr="00766896">
        <w:rPr>
          <w:rFonts w:ascii="Arial" w:hAnsi="Arial" w:cs="Arial"/>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proofErr w:type="spellStart"/>
      <w:r w:rsidRPr="00766896">
        <w:rPr>
          <w:rFonts w:ascii="Arial" w:hAnsi="Arial" w:cs="Arial"/>
          <w:i/>
          <w:iCs/>
          <w:color w:val="000000" w:themeColor="text1"/>
          <w:sz w:val="22"/>
          <w:szCs w:val="22"/>
          <w:lang w:val="es-ES_tradnl"/>
        </w:rPr>
        <w:t>secundum</w:t>
      </w:r>
      <w:proofErr w:type="spellEnd"/>
      <w:r w:rsidRPr="00766896">
        <w:rPr>
          <w:rFonts w:ascii="Arial" w:hAnsi="Arial" w:cs="Arial"/>
          <w:i/>
          <w:iCs/>
          <w:color w:val="000000" w:themeColor="text1"/>
          <w:sz w:val="22"/>
          <w:szCs w:val="22"/>
          <w:lang w:val="es-ES_tradnl"/>
        </w:rPr>
        <w:t xml:space="preserve"> </w:t>
      </w:r>
      <w:proofErr w:type="spellStart"/>
      <w:r w:rsidRPr="00766896">
        <w:rPr>
          <w:rFonts w:ascii="Arial" w:hAnsi="Arial" w:cs="Arial"/>
          <w:i/>
          <w:iCs/>
          <w:color w:val="000000" w:themeColor="text1"/>
          <w:sz w:val="22"/>
          <w:szCs w:val="22"/>
          <w:lang w:val="es-ES_tradnl"/>
        </w:rPr>
        <w:t>legem</w:t>
      </w:r>
      <w:proofErr w:type="spellEnd"/>
      <w:r w:rsidRPr="00766896">
        <w:rPr>
          <w:rFonts w:ascii="Arial" w:hAnsi="Arial" w:cs="Arial"/>
          <w:color w:val="000000" w:themeColor="text1"/>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  </w:t>
      </w:r>
    </w:p>
    <w:bookmarkEnd w:id="25"/>
    <w:p w14:paraId="2ACB8E21" w14:textId="77777777" w:rsidR="00B6558B" w:rsidRPr="00766896" w:rsidRDefault="00B6558B" w:rsidP="00B6558B">
      <w:pPr>
        <w:spacing w:before="120" w:line="276" w:lineRule="auto"/>
        <w:ind w:firstLine="709"/>
        <w:jc w:val="both"/>
        <w:rPr>
          <w:rFonts w:ascii="Arial" w:hAnsi="Arial" w:cs="Arial"/>
          <w:color w:val="000000" w:themeColor="text1"/>
          <w:sz w:val="22"/>
          <w:szCs w:val="22"/>
          <w:lang w:val="es-ES_tradnl"/>
        </w:rPr>
      </w:pPr>
      <w:r w:rsidRPr="00766896">
        <w:rPr>
          <w:rFonts w:ascii="Arial" w:hAnsi="Arial" w:cs="Arial"/>
          <w:color w:val="000000" w:themeColor="text1"/>
          <w:sz w:val="22"/>
          <w:szCs w:val="22"/>
          <w:lang w:val="es-ES_tradnl"/>
        </w:rPr>
        <w:t xml:space="preserve">Lo expuesto en los dos (2) párrafos precedentes también aplica </w:t>
      </w:r>
      <w:r w:rsidRPr="00766896">
        <w:rPr>
          <w:rFonts w:ascii="Arial" w:hAnsi="Arial" w:cs="Arial"/>
          <w:i/>
          <w:iCs/>
          <w:color w:val="000000" w:themeColor="text1"/>
          <w:sz w:val="22"/>
          <w:szCs w:val="22"/>
          <w:lang w:val="es-ES_tradnl"/>
        </w:rPr>
        <w:t>mutatis mutandis</w:t>
      </w:r>
      <w:r w:rsidRPr="00766896">
        <w:rPr>
          <w:rFonts w:ascii="Arial" w:hAnsi="Arial" w:cs="Arial"/>
          <w:color w:val="000000" w:themeColor="text1"/>
          <w:sz w:val="22"/>
          <w:szCs w:val="22"/>
          <w:lang w:val="es-ES_tradnl"/>
        </w:rPr>
        <w:t xml:space="preserve"> a los factores de desempate previstos en el Decreto Único Reglamentario del Sector Administrativo de Planeación Nacional para el procedimiento de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w:t>
      </w:r>
    </w:p>
    <w:p w14:paraId="5E18608D" w14:textId="77777777" w:rsidR="00B6558B" w:rsidRPr="00766896" w:rsidRDefault="00B6558B" w:rsidP="00B6558B">
      <w:pPr>
        <w:spacing w:before="120" w:line="276" w:lineRule="auto"/>
        <w:ind w:firstLine="709"/>
        <w:jc w:val="both"/>
        <w:rPr>
          <w:rFonts w:ascii="Arial" w:hAnsi="Arial" w:cs="Arial"/>
          <w:color w:val="000000" w:themeColor="text1"/>
          <w:sz w:val="22"/>
          <w:szCs w:val="22"/>
          <w:lang w:val="es-ES_tradnl"/>
        </w:rPr>
      </w:pPr>
      <w:r w:rsidRPr="00766896">
        <w:rPr>
          <w:rFonts w:ascii="Arial" w:hAnsi="Arial" w:cs="Arial"/>
          <w:color w:val="000000" w:themeColor="text1"/>
          <w:sz w:val="22"/>
          <w:szCs w:val="22"/>
          <w:lang w:val="es-ES_tradnl"/>
        </w:rPr>
        <w:t xml:space="preserve">En efecto, una interpretación exegética del parágrafo 2 del artículo 30 de la Ley de Emprendimiento desconocería la aplicación de normas transversales al sistema de compras y contratación pública, tales como la capacidad de los consorcios y las uniones temporales, el régimen de inhabilidades e incompatibilidades, los requisitos para ejercer las potestades exorbitantes o los principios de la contratación estatal –arts. 6, 8, 14.2 y 23 de la Ley 80 de </w:t>
      </w:r>
      <w:r w:rsidRPr="00766896">
        <w:rPr>
          <w:rFonts w:ascii="Arial" w:hAnsi="Arial" w:cs="Arial"/>
          <w:color w:val="000000" w:themeColor="text1"/>
          <w:sz w:val="22"/>
          <w:szCs w:val="22"/>
          <w:lang w:val="es-ES_tradnl"/>
        </w:rPr>
        <w:lastRenderedPageBreak/>
        <w:t xml:space="preserve">1993, respectivamente–. Llevada al extremo, la idea de que el procedimiento de mínima cuantía solo se regula por el artículo 30 de la Ley 2069 de 2020 y su correspondiente reglamentación genera consecuencias absurdas, pues daría a entender que el reglamento podría llegar a modificar aspectos elevados a rango de ley, como lo son los criterios de desempate previstos en el artículo 35 de la Ley 2069 de 2020. </w:t>
      </w:r>
    </w:p>
    <w:p w14:paraId="683CF5E2" w14:textId="77777777" w:rsidR="00B6558B" w:rsidRPr="00766896" w:rsidRDefault="00B6558B" w:rsidP="00B6558B">
      <w:pPr>
        <w:spacing w:before="120" w:line="276" w:lineRule="auto"/>
        <w:ind w:firstLine="709"/>
        <w:jc w:val="both"/>
        <w:rPr>
          <w:rFonts w:ascii="Arial" w:hAnsi="Arial" w:cs="Arial"/>
          <w:color w:val="000000" w:themeColor="text1"/>
          <w:sz w:val="22"/>
          <w:szCs w:val="22"/>
          <w:lang w:val="es-ES_tradnl"/>
        </w:rPr>
      </w:pPr>
      <w:r w:rsidRPr="00766896">
        <w:rPr>
          <w:rFonts w:ascii="Arial" w:hAnsi="Arial" w:cs="Arial"/>
          <w:color w:val="000000" w:themeColor="text1"/>
          <w:sz w:val="22"/>
          <w:szCs w:val="22"/>
          <w:lang w:val="es-ES_tradnl"/>
        </w:rPr>
        <w:t xml:space="preserve">Además, aunque el artículo 5.1 de la Ley 57 de 1887 consagra la regla </w:t>
      </w:r>
      <w:proofErr w:type="spellStart"/>
      <w:r w:rsidRPr="00766896">
        <w:rPr>
          <w:rFonts w:ascii="Arial" w:hAnsi="Arial" w:cs="Arial"/>
          <w:i/>
          <w:iCs/>
          <w:color w:val="000000" w:themeColor="text1"/>
          <w:sz w:val="22"/>
          <w:szCs w:val="22"/>
          <w:lang w:val="es-ES_tradnl"/>
        </w:rPr>
        <w:t>lex</w:t>
      </w:r>
      <w:proofErr w:type="spellEnd"/>
      <w:r w:rsidRPr="00766896">
        <w:rPr>
          <w:rFonts w:ascii="Arial" w:hAnsi="Arial" w:cs="Arial"/>
          <w:i/>
          <w:iCs/>
          <w:color w:val="000000" w:themeColor="text1"/>
          <w:sz w:val="22"/>
          <w:szCs w:val="22"/>
          <w:lang w:val="es-ES_tradnl"/>
        </w:rPr>
        <w:t xml:space="preserve"> </w:t>
      </w:r>
      <w:proofErr w:type="spellStart"/>
      <w:r w:rsidRPr="00766896">
        <w:rPr>
          <w:rFonts w:ascii="Arial" w:hAnsi="Arial" w:cs="Arial"/>
          <w:i/>
          <w:iCs/>
          <w:color w:val="000000" w:themeColor="text1"/>
          <w:sz w:val="22"/>
          <w:szCs w:val="22"/>
          <w:lang w:val="es-ES_tradnl"/>
        </w:rPr>
        <w:t>specialis</w:t>
      </w:r>
      <w:proofErr w:type="spellEnd"/>
      <w:r w:rsidRPr="00766896">
        <w:rPr>
          <w:rFonts w:ascii="Arial" w:hAnsi="Arial" w:cs="Arial"/>
          <w:i/>
          <w:iCs/>
          <w:color w:val="000000" w:themeColor="text1"/>
          <w:sz w:val="22"/>
          <w:szCs w:val="22"/>
          <w:lang w:val="es-ES_tradnl"/>
        </w:rPr>
        <w:t xml:space="preserve"> </w:t>
      </w:r>
      <w:proofErr w:type="spellStart"/>
      <w:r w:rsidRPr="00766896">
        <w:rPr>
          <w:rFonts w:ascii="Arial" w:hAnsi="Arial" w:cs="Arial"/>
          <w:i/>
          <w:iCs/>
          <w:color w:val="000000" w:themeColor="text1"/>
          <w:sz w:val="22"/>
          <w:szCs w:val="22"/>
          <w:lang w:val="es-ES_tradnl"/>
        </w:rPr>
        <w:t>derogat</w:t>
      </w:r>
      <w:proofErr w:type="spellEnd"/>
      <w:r w:rsidRPr="00766896">
        <w:rPr>
          <w:rFonts w:ascii="Arial" w:hAnsi="Arial" w:cs="Arial"/>
          <w:i/>
          <w:iCs/>
          <w:color w:val="000000" w:themeColor="text1"/>
          <w:sz w:val="22"/>
          <w:szCs w:val="22"/>
          <w:lang w:val="es-ES_tradnl"/>
        </w:rPr>
        <w:t xml:space="preserve"> </w:t>
      </w:r>
      <w:proofErr w:type="spellStart"/>
      <w:r w:rsidRPr="00766896">
        <w:rPr>
          <w:rFonts w:ascii="Arial" w:hAnsi="Arial" w:cs="Arial"/>
          <w:i/>
          <w:iCs/>
          <w:color w:val="000000" w:themeColor="text1"/>
          <w:sz w:val="22"/>
          <w:szCs w:val="22"/>
          <w:lang w:val="es-ES_tradnl"/>
        </w:rPr>
        <w:t>legi</w:t>
      </w:r>
      <w:proofErr w:type="spellEnd"/>
      <w:r w:rsidRPr="00766896">
        <w:rPr>
          <w:rFonts w:ascii="Arial" w:hAnsi="Arial" w:cs="Arial"/>
          <w:i/>
          <w:iCs/>
          <w:color w:val="000000" w:themeColor="text1"/>
          <w:sz w:val="22"/>
          <w:szCs w:val="22"/>
          <w:lang w:val="es-ES_tradnl"/>
        </w:rPr>
        <w:t xml:space="preserve"> </w:t>
      </w:r>
      <w:proofErr w:type="spellStart"/>
      <w:r w:rsidRPr="00766896">
        <w:rPr>
          <w:rFonts w:ascii="Arial" w:hAnsi="Arial" w:cs="Arial"/>
          <w:i/>
          <w:iCs/>
          <w:color w:val="000000" w:themeColor="text1"/>
          <w:sz w:val="22"/>
          <w:szCs w:val="22"/>
          <w:lang w:val="es-ES_tradnl"/>
        </w:rPr>
        <w:t>generali</w:t>
      </w:r>
      <w:proofErr w:type="spellEnd"/>
      <w:r w:rsidRPr="00766896">
        <w:rPr>
          <w:rStyle w:val="Refdenotaalpie"/>
          <w:rFonts w:ascii="Arial" w:hAnsi="Arial" w:cs="Arial"/>
          <w:color w:val="000000" w:themeColor="text1"/>
          <w:sz w:val="22"/>
          <w:szCs w:val="22"/>
          <w:lang w:val="es-ES_tradnl"/>
        </w:rPr>
        <w:footnoteReference w:id="24"/>
      </w:r>
      <w:r w:rsidRPr="00766896">
        <w:rPr>
          <w:rFonts w:ascii="Arial" w:hAnsi="Arial" w:cs="Arial"/>
          <w:color w:val="000000" w:themeColor="text1"/>
          <w:sz w:val="22"/>
          <w:szCs w:val="22"/>
          <w:lang w:val="es-ES_tradnl"/>
        </w:rPr>
        <w:t>, este criterio para la resolución de antinomias carece de aplicación matemática para concluir que los factores de desempate para la mínima cuantía se rigen por las normas especiales previstas en el reglamento. De esta manera, los límites de esta regla hay que verificarlos en cada caso teniendo en cuenta la intención del legislador, por lo cual es posible la existencia de una regla general que no tolere excepciones</w:t>
      </w:r>
      <w:r w:rsidRPr="00766896">
        <w:rPr>
          <w:rStyle w:val="Refdenotaalpie"/>
          <w:rFonts w:ascii="Arial" w:hAnsi="Arial" w:cs="Arial"/>
          <w:color w:val="000000" w:themeColor="text1"/>
          <w:sz w:val="22"/>
          <w:szCs w:val="22"/>
          <w:lang w:val="es-ES_tradnl"/>
        </w:rPr>
        <w:footnoteReference w:id="25"/>
      </w:r>
      <w:r w:rsidRPr="00766896">
        <w:rPr>
          <w:rFonts w:ascii="Arial" w:hAnsi="Arial" w:cs="Arial"/>
          <w:color w:val="000000" w:themeColor="text1"/>
          <w:sz w:val="22"/>
          <w:szCs w:val="22"/>
          <w:lang w:val="es-ES_tradnl"/>
        </w:rPr>
        <w:t xml:space="preserve">. Al respecto, la doctrina considera que: </w:t>
      </w:r>
    </w:p>
    <w:p w14:paraId="05B1D831" w14:textId="77777777" w:rsidR="00B6558B" w:rsidRPr="00766896" w:rsidRDefault="00B6558B" w:rsidP="00B6558B">
      <w:pPr>
        <w:spacing w:line="276" w:lineRule="auto"/>
        <w:ind w:firstLine="709"/>
        <w:jc w:val="both"/>
        <w:rPr>
          <w:rFonts w:ascii="Arial" w:hAnsi="Arial" w:cs="Arial"/>
          <w:color w:val="000000" w:themeColor="text1"/>
          <w:sz w:val="22"/>
          <w:szCs w:val="22"/>
          <w:lang w:val="es-ES_tradnl"/>
        </w:rPr>
      </w:pPr>
      <w:r w:rsidRPr="00766896">
        <w:rPr>
          <w:rFonts w:ascii="Arial" w:hAnsi="Arial" w:cs="Arial"/>
          <w:color w:val="000000" w:themeColor="text1"/>
          <w:sz w:val="22"/>
          <w:szCs w:val="22"/>
          <w:lang w:val="es-ES_tradnl"/>
        </w:rPr>
        <w:t xml:space="preserve">  </w:t>
      </w:r>
    </w:p>
    <w:p w14:paraId="12BF714C" w14:textId="77777777" w:rsidR="00B6558B" w:rsidRPr="00766896" w:rsidRDefault="00B6558B" w:rsidP="00B6558B">
      <w:pPr>
        <w:ind w:left="709" w:right="758"/>
        <w:jc w:val="both"/>
        <w:rPr>
          <w:rFonts w:ascii="Arial" w:hAnsi="Arial" w:cs="Arial"/>
          <w:color w:val="000000" w:themeColor="text1"/>
          <w:sz w:val="21"/>
          <w:szCs w:val="21"/>
          <w:lang w:val="es-ES_tradnl"/>
        </w:rPr>
      </w:pPr>
      <w:r w:rsidRPr="00766896">
        <w:rPr>
          <w:rFonts w:ascii="Arial" w:hAnsi="Arial" w:cs="Arial"/>
          <w:color w:val="000000" w:themeColor="text1"/>
          <w:sz w:val="21"/>
          <w:szCs w:val="21"/>
        </w:rPr>
        <w:t xml:space="preserve">[…] la preferencia por la norma especial sobre la norma posterior no puede tener jamás un valor absoluto, porque razones de orden teleológico pueden impeler a dar prioridad a la </w:t>
      </w:r>
      <w:r w:rsidRPr="00766896">
        <w:rPr>
          <w:rFonts w:ascii="Arial" w:hAnsi="Arial" w:cs="Arial"/>
          <w:i/>
          <w:iCs/>
          <w:color w:val="000000" w:themeColor="text1"/>
          <w:sz w:val="21"/>
          <w:szCs w:val="21"/>
        </w:rPr>
        <w:t>lex posterior generalis</w:t>
      </w:r>
      <w:r w:rsidRPr="00766896">
        <w:rPr>
          <w:rFonts w:ascii="Arial" w:hAnsi="Arial" w:cs="Arial"/>
          <w:color w:val="000000" w:themeColor="text1"/>
          <w:sz w:val="21"/>
          <w:szCs w:val="21"/>
        </w:rPr>
        <w:t xml:space="preserve">. Piénsese en las hipótesis de nueva regulación integral de la materia, por reducida que la materia sea: parece que la vocación de regulación uniforme debe prevalecer sobre las diferencias sectoriales preexistentes. Por ello, incluso quienes defienden la primacía del criterio de la especialidad en caso de conflicto con el criterio cronológico lo hacen con reservas y sin atribuir a esta afirmación un valor absoluto. Ha sido sugerido, en este sentido, que el aforismo </w:t>
      </w:r>
      <w:r w:rsidRPr="00766896">
        <w:rPr>
          <w:rFonts w:ascii="Arial" w:hAnsi="Arial" w:cs="Arial"/>
          <w:i/>
          <w:iCs/>
          <w:color w:val="000000" w:themeColor="text1"/>
          <w:sz w:val="21"/>
          <w:szCs w:val="21"/>
        </w:rPr>
        <w:t>lex posterior generalis non derogat legi priori speciali</w:t>
      </w:r>
      <w:r w:rsidRPr="00766896">
        <w:rPr>
          <w:rFonts w:ascii="Arial" w:hAnsi="Arial" w:cs="Arial"/>
          <w:color w:val="000000" w:themeColor="text1"/>
          <w:sz w:val="21"/>
          <w:szCs w:val="21"/>
        </w:rPr>
        <w:t xml:space="preserve"> opera como una mera presunción hermenéutica, que puede ser destruida por una clara </w:t>
      </w:r>
      <w:r w:rsidRPr="00766896">
        <w:rPr>
          <w:rFonts w:ascii="Arial" w:hAnsi="Arial" w:cs="Arial"/>
          <w:i/>
          <w:iCs/>
          <w:color w:val="000000" w:themeColor="text1"/>
          <w:sz w:val="21"/>
          <w:szCs w:val="21"/>
        </w:rPr>
        <w:t>voluntas legis</w:t>
      </w:r>
      <w:r w:rsidRPr="00766896">
        <w:rPr>
          <w:rFonts w:ascii="Arial" w:hAnsi="Arial" w:cs="Arial"/>
          <w:color w:val="000000" w:themeColor="text1"/>
          <w:sz w:val="21"/>
          <w:szCs w:val="21"/>
        </w:rPr>
        <w:t xml:space="preserve"> de sentido contrario</w:t>
      </w:r>
      <w:r w:rsidRPr="00766896">
        <w:rPr>
          <w:rStyle w:val="Refdenotaalpie"/>
          <w:rFonts w:ascii="Arial" w:hAnsi="Arial" w:cs="Arial"/>
          <w:color w:val="000000" w:themeColor="text1"/>
          <w:sz w:val="21"/>
          <w:szCs w:val="21"/>
        </w:rPr>
        <w:footnoteReference w:id="26"/>
      </w:r>
      <w:r w:rsidRPr="00766896">
        <w:rPr>
          <w:rFonts w:ascii="Arial" w:hAnsi="Arial" w:cs="Arial"/>
          <w:color w:val="000000" w:themeColor="text1"/>
          <w:sz w:val="21"/>
          <w:szCs w:val="21"/>
        </w:rPr>
        <w:t>.</w:t>
      </w:r>
      <w:r w:rsidRPr="00766896">
        <w:rPr>
          <w:rFonts w:ascii="Arial" w:hAnsi="Arial" w:cs="Arial"/>
          <w:color w:val="000000" w:themeColor="text1"/>
          <w:sz w:val="21"/>
          <w:szCs w:val="21"/>
          <w:lang w:val="es-ES_tradnl"/>
        </w:rPr>
        <w:t xml:space="preserve"> </w:t>
      </w:r>
    </w:p>
    <w:p w14:paraId="556A2B81" w14:textId="77777777" w:rsidR="00B6558B" w:rsidRPr="00766896" w:rsidRDefault="00B6558B" w:rsidP="00B6558B">
      <w:pPr>
        <w:spacing w:line="276" w:lineRule="auto"/>
        <w:jc w:val="both"/>
        <w:rPr>
          <w:rFonts w:ascii="Arial" w:hAnsi="Arial" w:cs="Arial"/>
          <w:color w:val="000000" w:themeColor="text1"/>
          <w:sz w:val="22"/>
          <w:szCs w:val="22"/>
          <w:lang w:val="es-ES_tradnl"/>
        </w:rPr>
      </w:pPr>
    </w:p>
    <w:p w14:paraId="46DBD4E7" w14:textId="77777777" w:rsidR="004A3898" w:rsidRPr="00766896" w:rsidRDefault="00B6558B" w:rsidP="00852C30">
      <w:pPr>
        <w:spacing w:after="120" w:line="276" w:lineRule="auto"/>
        <w:jc w:val="both"/>
        <w:rPr>
          <w:rFonts w:ascii="Arial" w:eastAsia="Calibri" w:hAnsi="Arial" w:cs="Arial"/>
          <w:bCs/>
          <w:color w:val="000000" w:themeColor="text1"/>
          <w:sz w:val="22"/>
        </w:rPr>
      </w:pPr>
      <w:r w:rsidRPr="00766896">
        <w:rPr>
          <w:rFonts w:ascii="Arial" w:hAnsi="Arial" w:cs="Arial"/>
          <w:color w:val="000000" w:themeColor="text1"/>
          <w:sz w:val="22"/>
          <w:szCs w:val="22"/>
          <w:lang w:val="es-ES_tradnl"/>
        </w:rPr>
        <w:tab/>
        <w:t xml:space="preserve">Tratándose de los factores de desempate, la intención del legislador es que el artículo 35 de la Ley de Emprendimiento sea una norma transversal al sistema de compras y contratación pública. Particularmente, </w:t>
      </w:r>
      <w:r w:rsidRPr="00766896">
        <w:rPr>
          <w:rFonts w:ascii="Arial" w:eastAsia="Calibri" w:hAnsi="Arial" w:cs="Arial"/>
          <w:bCs/>
          <w:color w:val="000000" w:themeColor="text1"/>
          <w:sz w:val="22"/>
        </w:rPr>
        <w:t>conforme a la exposición de motivos, la ley «</w:t>
      </w:r>
      <w:r w:rsidRPr="00766896">
        <w:rPr>
          <w:rFonts w:ascii="Arial" w:hAnsi="Arial" w:cs="Arial"/>
          <w:sz w:val="22"/>
        </w:rPr>
        <w:t xml:space="preserve">[…] </w:t>
      </w:r>
      <w:r w:rsidRPr="00766896">
        <w:rPr>
          <w:rFonts w:ascii="Arial" w:eastAsia="Calibri" w:hAnsi="Arial" w:cs="Arial"/>
          <w:bCs/>
          <w:color w:val="000000" w:themeColor="text1"/>
          <w:sz w:val="22"/>
        </w:rPr>
        <w:t xml:space="preserve">propone facilitar el acceso de las Mipymes a la modalidad de contratación de mínima </w:t>
      </w:r>
      <w:r w:rsidRPr="00766896">
        <w:rPr>
          <w:rFonts w:ascii="Arial" w:eastAsia="Calibri" w:hAnsi="Arial" w:cs="Arial"/>
          <w:bCs/>
          <w:color w:val="000000" w:themeColor="text1"/>
          <w:sz w:val="22"/>
        </w:rPr>
        <w:lastRenderedPageBreak/>
        <w:t xml:space="preserve">cuantía, la limitación de estos procesos a Mipymes, […] y </w:t>
      </w:r>
      <w:r w:rsidRPr="00766896">
        <w:rPr>
          <w:rFonts w:ascii="Arial" w:eastAsia="Calibri" w:hAnsi="Arial" w:cs="Arial"/>
          <w:bCs/>
          <w:i/>
          <w:iCs/>
          <w:color w:val="000000" w:themeColor="text1"/>
          <w:sz w:val="22"/>
        </w:rPr>
        <w:t>define la inclusión de factores de desempate en los procesos de contratación pública que priorizan este segmento</w:t>
      </w:r>
      <w:r w:rsidRPr="00766896">
        <w:rPr>
          <w:rFonts w:ascii="Arial" w:eastAsia="Calibri" w:hAnsi="Arial" w:cs="Arial"/>
          <w:bCs/>
          <w:color w:val="000000" w:themeColor="text1"/>
          <w:sz w:val="22"/>
        </w:rPr>
        <w:t>» (Énfasis fuera de texto)</w:t>
      </w:r>
      <w:r w:rsidRPr="00766896">
        <w:rPr>
          <w:rStyle w:val="Refdenotaalpie"/>
          <w:rFonts w:ascii="Arial" w:eastAsia="Calibri" w:hAnsi="Arial" w:cs="Arial"/>
          <w:bCs/>
          <w:color w:val="000000" w:themeColor="text1"/>
          <w:sz w:val="22"/>
        </w:rPr>
        <w:footnoteReference w:id="27"/>
      </w:r>
      <w:r w:rsidRPr="00766896">
        <w:rPr>
          <w:rFonts w:ascii="Arial" w:eastAsia="Calibri" w:hAnsi="Arial" w:cs="Arial"/>
          <w:bCs/>
          <w:color w:val="000000" w:themeColor="text1"/>
          <w:sz w:val="22"/>
        </w:rPr>
        <w:t xml:space="preserve">. En esta medida, carece de sentido que los criterios de desempate sean inaplicables a la mínima cuantía, cuando la regla revista en el artículo citado obliga a todas las entidades exceptuadas sin consideración al valor del presupuesto oficial estimado. </w:t>
      </w:r>
    </w:p>
    <w:p w14:paraId="16AE7F4B" w14:textId="6196D9C7" w:rsidR="003E7890" w:rsidRPr="00766896" w:rsidRDefault="008A3840" w:rsidP="00852C30">
      <w:pPr>
        <w:tabs>
          <w:tab w:val="left" w:pos="709"/>
        </w:tabs>
        <w:spacing w:line="276" w:lineRule="auto"/>
        <w:jc w:val="both"/>
        <w:rPr>
          <w:rFonts w:ascii="Arial" w:eastAsia="Calibri" w:hAnsi="Arial" w:cs="Arial"/>
          <w:bCs/>
          <w:color w:val="000000" w:themeColor="text1"/>
          <w:sz w:val="22"/>
          <w:szCs w:val="22"/>
          <w:lang w:val="es-ES_tradnl"/>
        </w:rPr>
      </w:pPr>
      <w:r w:rsidRPr="00766896">
        <w:rPr>
          <w:rFonts w:ascii="Arial" w:eastAsia="Calibri" w:hAnsi="Arial" w:cs="Arial"/>
          <w:bCs/>
          <w:color w:val="000000" w:themeColor="text1"/>
          <w:sz w:val="22"/>
        </w:rPr>
        <w:tab/>
      </w:r>
      <w:r w:rsidR="00B6558B" w:rsidRPr="00766896">
        <w:rPr>
          <w:rFonts w:ascii="Arial" w:eastAsia="Calibri" w:hAnsi="Arial" w:cs="Arial"/>
          <w:bCs/>
          <w:color w:val="000000" w:themeColor="text1"/>
          <w:sz w:val="22"/>
        </w:rPr>
        <w:t xml:space="preserve">Teniendo en cuenta lo anterior, se concluye que el artículo </w:t>
      </w:r>
      <w:r w:rsidR="00B6558B" w:rsidRPr="00766896">
        <w:rPr>
          <w:rFonts w:ascii="Arial" w:hAnsi="Arial" w:cs="Arial"/>
          <w:color w:val="000000" w:themeColor="text1"/>
          <w:sz w:val="22"/>
          <w:szCs w:val="22"/>
          <w:lang w:val="es-ES_tradnl"/>
        </w:rPr>
        <w:t xml:space="preserve">35 de la Ley 2069 de 2020 es aplicable al procedimiento de mínima cuantía, por lo que se presenta tanto la derogación como el decaimiento de los criterios de desempate previstos en el Decreto 1082 de 2015 para esta modalidad de selección. </w:t>
      </w:r>
      <w:r w:rsidR="00914159" w:rsidRPr="00766896">
        <w:rPr>
          <w:rFonts w:ascii="Arial" w:hAnsi="Arial" w:cs="Arial"/>
          <w:color w:val="000000" w:themeColor="text1"/>
          <w:sz w:val="22"/>
          <w:szCs w:val="22"/>
          <w:lang w:val="es-ES_tradnl"/>
        </w:rPr>
        <w:t>De esta manera, a excepción de</w:t>
      </w:r>
      <w:r w:rsidR="00C0594D" w:rsidRPr="00766896">
        <w:rPr>
          <w:rFonts w:ascii="Arial" w:eastAsia="Calibri" w:hAnsi="Arial" w:cs="Arial"/>
          <w:color w:val="000000" w:themeColor="text1"/>
          <w:sz w:val="22"/>
          <w:szCs w:val="22"/>
          <w:lang w:val="es-ES_tradnl"/>
        </w:rPr>
        <w:t>l numeral 6 del artículo 2.2.1.2.1.5.2 y el numeral 3 del artículo 2.2.1.2.1.5.3 del Decreto</w:t>
      </w:r>
      <w:r w:rsidR="004A30EB" w:rsidRPr="00766896">
        <w:rPr>
          <w:rFonts w:ascii="Arial" w:eastAsia="Calibri" w:hAnsi="Arial" w:cs="Arial"/>
          <w:color w:val="000000" w:themeColor="text1"/>
          <w:sz w:val="22"/>
          <w:szCs w:val="22"/>
          <w:lang w:val="es-ES_tradnl"/>
        </w:rPr>
        <w:t xml:space="preserve"> Único Reglamentario del Sector Administrativo de Planeación Nacional</w:t>
      </w:r>
      <w:r w:rsidR="005C53D1" w:rsidRPr="00766896">
        <w:rPr>
          <w:rFonts w:ascii="Arial" w:eastAsia="Calibri" w:hAnsi="Arial" w:cs="Arial"/>
          <w:color w:val="000000" w:themeColor="text1"/>
          <w:sz w:val="22"/>
          <w:szCs w:val="22"/>
          <w:lang w:val="es-ES_tradnl"/>
        </w:rPr>
        <w:t xml:space="preserve">, </w:t>
      </w:r>
      <w:r w:rsidR="005C53D1" w:rsidRPr="00766896">
        <w:rPr>
          <w:rFonts w:ascii="Arial" w:eastAsia="Calibri" w:hAnsi="Arial" w:cs="Arial"/>
          <w:bCs/>
          <w:color w:val="000000" w:themeColor="text1"/>
          <w:sz w:val="22"/>
        </w:rPr>
        <w:t>los</w:t>
      </w:r>
      <w:r w:rsidR="005C53D1" w:rsidRPr="00766896">
        <w:rPr>
          <w:rFonts w:ascii="Arial" w:eastAsia="Calibri" w:hAnsi="Arial" w:cs="Arial"/>
          <w:color w:val="000000" w:themeColor="text1"/>
          <w:sz w:val="22"/>
          <w:szCs w:val="22"/>
          <w:lang w:val="es-ES_tradnl"/>
        </w:rPr>
        <w:t xml:space="preserve"> artículos 2.2.1.2.1.5.1 al 2.2.1.2.1.5.4 de este</w:t>
      </w:r>
      <w:r w:rsidR="00636EFD" w:rsidRPr="00766896">
        <w:rPr>
          <w:rFonts w:ascii="Arial" w:eastAsia="Calibri" w:hAnsi="Arial" w:cs="Arial"/>
          <w:color w:val="000000" w:themeColor="text1"/>
          <w:sz w:val="22"/>
          <w:szCs w:val="22"/>
          <w:lang w:val="es-ES_tradnl"/>
        </w:rPr>
        <w:t xml:space="preserve"> reglamento continúan vigentes bajo la vigencia</w:t>
      </w:r>
      <w:r w:rsidR="00345AF6" w:rsidRPr="00766896">
        <w:rPr>
          <w:rFonts w:ascii="Arial" w:eastAsia="Calibri" w:hAnsi="Arial" w:cs="Arial"/>
          <w:color w:val="000000" w:themeColor="text1"/>
          <w:sz w:val="22"/>
          <w:szCs w:val="22"/>
          <w:lang w:val="es-ES_tradnl"/>
        </w:rPr>
        <w:t xml:space="preserve"> del numeral 5 del artículo 2 de la Ley 1150 de 2007, modificado por el artículo 30 de la Ley de Emprendimiento.</w:t>
      </w:r>
    </w:p>
    <w:bookmarkEnd w:id="17"/>
    <w:p w14:paraId="7AF9887A" w14:textId="77777777" w:rsidR="0013182D" w:rsidRPr="00766896" w:rsidRDefault="0013182D" w:rsidP="004D1C27">
      <w:pPr>
        <w:spacing w:line="276" w:lineRule="auto"/>
        <w:jc w:val="both"/>
        <w:rPr>
          <w:rFonts w:ascii="Arial" w:eastAsia="Calibri" w:hAnsi="Arial" w:cs="Arial"/>
          <w:b/>
          <w:color w:val="000000" w:themeColor="text1"/>
          <w:sz w:val="22"/>
          <w:lang w:val="es-ES_tradnl"/>
        </w:rPr>
      </w:pPr>
    </w:p>
    <w:p w14:paraId="37CA9805" w14:textId="7B68B520" w:rsidR="00DD5B04" w:rsidRPr="00766896" w:rsidRDefault="004177A6" w:rsidP="004D1C27">
      <w:pPr>
        <w:spacing w:line="276" w:lineRule="auto"/>
        <w:jc w:val="both"/>
        <w:rPr>
          <w:rFonts w:ascii="Arial" w:hAnsi="Arial" w:cs="Arial"/>
          <w:sz w:val="22"/>
          <w:lang w:val="es-ES_tradnl"/>
        </w:rPr>
      </w:pPr>
      <w:r w:rsidRPr="00766896">
        <w:rPr>
          <w:rFonts w:ascii="Arial" w:eastAsia="Calibri" w:hAnsi="Arial" w:cs="Arial"/>
          <w:b/>
          <w:color w:val="000000" w:themeColor="text1"/>
          <w:sz w:val="22"/>
          <w:lang w:val="es-ES_tradnl"/>
        </w:rPr>
        <w:t>3</w:t>
      </w:r>
      <w:r w:rsidR="00B011A9" w:rsidRPr="00766896">
        <w:rPr>
          <w:rFonts w:ascii="Arial" w:eastAsia="Calibri" w:hAnsi="Arial" w:cs="Arial"/>
          <w:b/>
          <w:color w:val="000000" w:themeColor="text1"/>
          <w:sz w:val="22"/>
          <w:lang w:val="es-ES_tradnl"/>
        </w:rPr>
        <w:t xml:space="preserve">. </w:t>
      </w:r>
      <w:r w:rsidR="00DD5B04" w:rsidRPr="00766896">
        <w:rPr>
          <w:rFonts w:ascii="Arial" w:eastAsia="Calibri" w:hAnsi="Arial" w:cs="Arial"/>
          <w:b/>
          <w:color w:val="000000" w:themeColor="text1"/>
          <w:sz w:val="22"/>
          <w:lang w:val="es-ES_tradnl"/>
        </w:rPr>
        <w:t>Respuest</w:t>
      </w:r>
      <w:r w:rsidR="00BF0E64" w:rsidRPr="00766896">
        <w:rPr>
          <w:rFonts w:ascii="Arial" w:eastAsia="Calibri" w:hAnsi="Arial" w:cs="Arial"/>
          <w:b/>
          <w:color w:val="000000" w:themeColor="text1"/>
          <w:sz w:val="22"/>
          <w:lang w:val="es-ES_tradnl"/>
        </w:rPr>
        <w:t>a</w:t>
      </w:r>
    </w:p>
    <w:p w14:paraId="0B74D5B8" w14:textId="7F0A7F13" w:rsidR="00C4581D" w:rsidRPr="00766896" w:rsidRDefault="00C4581D" w:rsidP="00510DE9">
      <w:pPr>
        <w:tabs>
          <w:tab w:val="left" w:pos="0"/>
        </w:tabs>
        <w:jc w:val="both"/>
        <w:rPr>
          <w:rFonts w:ascii="Arial" w:eastAsia="Calibri" w:hAnsi="Arial" w:cs="Arial"/>
          <w:color w:val="000000" w:themeColor="text1"/>
          <w:sz w:val="22"/>
          <w:lang w:val="es-ES_tradnl"/>
        </w:rPr>
      </w:pPr>
    </w:p>
    <w:p w14:paraId="633DD7BA" w14:textId="1E501749" w:rsidR="006E7E0B" w:rsidRPr="00766896" w:rsidRDefault="006E7E0B" w:rsidP="0051329D">
      <w:pPr>
        <w:ind w:left="709" w:right="709"/>
        <w:jc w:val="both"/>
        <w:rPr>
          <w:rFonts w:ascii="Arial" w:hAnsi="Arial" w:cs="Arial"/>
          <w:color w:val="000000" w:themeColor="text1"/>
          <w:sz w:val="21"/>
          <w:szCs w:val="21"/>
          <w:lang w:val="es-ES_tradnl"/>
        </w:rPr>
      </w:pPr>
      <w:bookmarkStart w:id="26" w:name="_Hlk64308251"/>
      <w:r w:rsidRPr="00766896">
        <w:rPr>
          <w:rFonts w:ascii="Arial" w:hAnsi="Arial" w:cs="Arial"/>
          <w:color w:val="000000" w:themeColor="text1"/>
          <w:sz w:val="21"/>
          <w:szCs w:val="21"/>
          <w:lang w:val="es-ES_tradnl"/>
        </w:rPr>
        <w:t>«1. ¿El artículo 94 de la ley 1474 de 2011 estaría derogado en virtud de la ley de emprendimiento?»</w:t>
      </w:r>
    </w:p>
    <w:p w14:paraId="358422E9" w14:textId="77777777" w:rsidR="004B6394" w:rsidRPr="00766896" w:rsidRDefault="004B6394" w:rsidP="0051329D">
      <w:pPr>
        <w:spacing w:line="276" w:lineRule="auto"/>
        <w:jc w:val="both"/>
        <w:rPr>
          <w:rFonts w:ascii="Arial" w:hAnsi="Arial" w:cs="Arial"/>
          <w:color w:val="000000" w:themeColor="text1"/>
          <w:sz w:val="21"/>
          <w:szCs w:val="21"/>
          <w:lang w:val="es-ES_tradnl"/>
        </w:rPr>
      </w:pPr>
    </w:p>
    <w:p w14:paraId="0798F0D8" w14:textId="28F0EB02" w:rsidR="0051329D" w:rsidRPr="00766896" w:rsidRDefault="004B6394" w:rsidP="0051329D">
      <w:pPr>
        <w:spacing w:line="276" w:lineRule="auto"/>
        <w:jc w:val="both"/>
        <w:rPr>
          <w:rFonts w:ascii="Arial" w:hAnsi="Arial" w:cs="Arial"/>
          <w:color w:val="000000" w:themeColor="text1"/>
          <w:sz w:val="22"/>
          <w:szCs w:val="22"/>
          <w:lang w:val="es-ES_tradnl"/>
        </w:rPr>
      </w:pPr>
      <w:r w:rsidRPr="00766896">
        <w:rPr>
          <w:rFonts w:ascii="Arial" w:hAnsi="Arial" w:cs="Arial"/>
          <w:color w:val="000000" w:themeColor="text1"/>
          <w:sz w:val="22"/>
          <w:szCs w:val="22"/>
          <w:lang w:val="es-ES_tradnl"/>
        </w:rPr>
        <w:t>El artículo 94 de la Ley 1474 de 2011</w:t>
      </w:r>
      <w:r w:rsidR="004445D9" w:rsidRPr="00766896">
        <w:rPr>
          <w:rFonts w:ascii="Arial" w:hAnsi="Arial" w:cs="Arial"/>
          <w:color w:val="000000" w:themeColor="text1"/>
          <w:sz w:val="22"/>
          <w:szCs w:val="22"/>
          <w:lang w:val="es-ES_tradnl"/>
        </w:rPr>
        <w:t xml:space="preserve"> –que</w:t>
      </w:r>
      <w:r w:rsidR="00303BAF" w:rsidRPr="00766896">
        <w:rPr>
          <w:rFonts w:ascii="Arial" w:hAnsi="Arial" w:cs="Arial"/>
          <w:color w:val="000000" w:themeColor="text1"/>
          <w:sz w:val="22"/>
          <w:szCs w:val="22"/>
          <w:lang w:val="es-ES_tradnl"/>
        </w:rPr>
        <w:t>, a su vez,</w:t>
      </w:r>
      <w:r w:rsidR="004445D9" w:rsidRPr="00766896">
        <w:rPr>
          <w:rFonts w:ascii="Arial" w:hAnsi="Arial" w:cs="Arial"/>
          <w:color w:val="000000" w:themeColor="text1"/>
          <w:sz w:val="22"/>
          <w:szCs w:val="22"/>
          <w:lang w:val="es-ES_tradnl"/>
        </w:rPr>
        <w:t xml:space="preserve"> había modificado el artículo</w:t>
      </w:r>
      <w:r w:rsidR="00303BAF" w:rsidRPr="00766896">
        <w:rPr>
          <w:rFonts w:ascii="Arial" w:hAnsi="Arial" w:cs="Arial"/>
          <w:color w:val="000000" w:themeColor="text1"/>
          <w:sz w:val="22"/>
          <w:szCs w:val="22"/>
          <w:lang w:val="es-ES_tradnl"/>
        </w:rPr>
        <w:t xml:space="preserve"> 2, numeral 5, de la Ley 1150 de 2007– fue subrogado por el artículo 30 de la Ley 2069 de 2020</w:t>
      </w:r>
      <w:r w:rsidR="00FD2389" w:rsidRPr="00766896">
        <w:rPr>
          <w:rFonts w:ascii="Arial" w:hAnsi="Arial" w:cs="Arial"/>
          <w:color w:val="000000" w:themeColor="text1"/>
          <w:sz w:val="22"/>
          <w:szCs w:val="22"/>
          <w:lang w:val="es-ES_tradnl"/>
        </w:rPr>
        <w:t xml:space="preserve">. Lo anterior en virtud de la nueva regulación </w:t>
      </w:r>
      <w:r w:rsidR="00591D97" w:rsidRPr="00766896">
        <w:rPr>
          <w:rFonts w:ascii="Arial" w:hAnsi="Arial" w:cs="Arial"/>
          <w:color w:val="000000" w:themeColor="text1"/>
          <w:sz w:val="22"/>
          <w:szCs w:val="22"/>
          <w:lang w:val="es-ES_tradnl"/>
        </w:rPr>
        <w:t xml:space="preserve">del procedimiento de mínima cuantía contenida en el mencionado artículo de la </w:t>
      </w:r>
      <w:r w:rsidR="00AD5C0C" w:rsidRPr="00766896">
        <w:rPr>
          <w:rFonts w:ascii="Arial" w:hAnsi="Arial" w:cs="Arial"/>
          <w:color w:val="000000" w:themeColor="text1"/>
          <w:sz w:val="22"/>
          <w:szCs w:val="22"/>
          <w:lang w:val="es-ES_tradnl"/>
        </w:rPr>
        <w:t>L</w:t>
      </w:r>
      <w:r w:rsidR="00591D97" w:rsidRPr="00766896">
        <w:rPr>
          <w:rFonts w:ascii="Arial" w:hAnsi="Arial" w:cs="Arial"/>
          <w:color w:val="000000" w:themeColor="text1"/>
          <w:sz w:val="22"/>
          <w:szCs w:val="22"/>
          <w:lang w:val="es-ES_tradnl"/>
        </w:rPr>
        <w:t xml:space="preserve">ey de </w:t>
      </w:r>
      <w:r w:rsidR="00AD5C0C" w:rsidRPr="00766896">
        <w:rPr>
          <w:rFonts w:ascii="Arial" w:hAnsi="Arial" w:cs="Arial"/>
          <w:color w:val="000000" w:themeColor="text1"/>
          <w:sz w:val="22"/>
          <w:szCs w:val="22"/>
          <w:lang w:val="es-ES_tradnl"/>
        </w:rPr>
        <w:t>E</w:t>
      </w:r>
      <w:r w:rsidR="00591D97" w:rsidRPr="00766896">
        <w:rPr>
          <w:rFonts w:ascii="Arial" w:hAnsi="Arial" w:cs="Arial"/>
          <w:color w:val="000000" w:themeColor="text1"/>
          <w:sz w:val="22"/>
          <w:szCs w:val="22"/>
          <w:lang w:val="es-ES_tradnl"/>
        </w:rPr>
        <w:t>mprendimiento.</w:t>
      </w:r>
      <w:r w:rsidRPr="00766896">
        <w:rPr>
          <w:rFonts w:ascii="Arial" w:hAnsi="Arial" w:cs="Arial"/>
          <w:color w:val="000000" w:themeColor="text1"/>
          <w:sz w:val="22"/>
          <w:szCs w:val="22"/>
          <w:lang w:val="es-ES_tradnl"/>
        </w:rPr>
        <w:t xml:space="preserve"> </w:t>
      </w:r>
      <w:r w:rsidR="00765F28" w:rsidRPr="00766896">
        <w:rPr>
          <w:rFonts w:ascii="Arial" w:hAnsi="Arial" w:cs="Arial"/>
          <w:color w:val="000000" w:themeColor="text1"/>
          <w:sz w:val="22"/>
          <w:szCs w:val="22"/>
          <w:lang w:val="es-ES_tradnl"/>
        </w:rPr>
        <w:t>De este modo, a</w:t>
      </w:r>
      <w:r w:rsidR="00F91E38" w:rsidRPr="00766896">
        <w:rPr>
          <w:rFonts w:ascii="Arial" w:hAnsi="Arial" w:cs="Arial"/>
          <w:color w:val="000000" w:themeColor="text1"/>
          <w:sz w:val="22"/>
          <w:szCs w:val="22"/>
          <w:lang w:val="es-ES_tradnl"/>
        </w:rPr>
        <w:t xml:space="preserve">unque </w:t>
      </w:r>
      <w:r w:rsidR="00765F28" w:rsidRPr="00766896">
        <w:rPr>
          <w:rFonts w:ascii="Arial" w:hAnsi="Arial" w:cs="Arial"/>
          <w:color w:val="000000" w:themeColor="text1"/>
          <w:sz w:val="22"/>
          <w:szCs w:val="22"/>
          <w:lang w:val="es-ES_tradnl"/>
        </w:rPr>
        <w:t xml:space="preserve">el artículo 30 de la Ley 2069 de 2020 conserva en </w:t>
      </w:r>
      <w:r w:rsidR="00AD3A38" w:rsidRPr="00766896">
        <w:rPr>
          <w:rFonts w:ascii="Arial" w:hAnsi="Arial" w:cs="Arial"/>
          <w:color w:val="000000" w:themeColor="text1"/>
          <w:sz w:val="22"/>
          <w:szCs w:val="22"/>
          <w:lang w:val="es-ES_tradnl"/>
        </w:rPr>
        <w:t>el primer inciso del numeral 5 del artículo 2 de la Ley 1150 de 2007, así como en sus literales, esencialmente la misma</w:t>
      </w:r>
      <w:r w:rsidR="00D357FA" w:rsidRPr="00766896">
        <w:rPr>
          <w:rFonts w:ascii="Arial" w:hAnsi="Arial" w:cs="Arial"/>
          <w:color w:val="000000" w:themeColor="text1"/>
          <w:sz w:val="22"/>
          <w:szCs w:val="22"/>
          <w:lang w:val="es-ES_tradnl"/>
        </w:rPr>
        <w:t xml:space="preserve"> redacción que a dichos apartados le</w:t>
      </w:r>
      <w:r w:rsidR="00D869B7" w:rsidRPr="00766896">
        <w:rPr>
          <w:rFonts w:ascii="Arial" w:hAnsi="Arial" w:cs="Arial"/>
          <w:color w:val="000000" w:themeColor="text1"/>
          <w:sz w:val="22"/>
          <w:szCs w:val="22"/>
          <w:lang w:val="es-ES_tradnl"/>
        </w:rPr>
        <w:t>s</w:t>
      </w:r>
      <w:r w:rsidR="00D357FA" w:rsidRPr="00766896">
        <w:rPr>
          <w:rFonts w:ascii="Arial" w:hAnsi="Arial" w:cs="Arial"/>
          <w:color w:val="000000" w:themeColor="text1"/>
          <w:sz w:val="22"/>
          <w:szCs w:val="22"/>
          <w:lang w:val="es-ES_tradnl"/>
        </w:rPr>
        <w:t xml:space="preserve"> otorgaba el artículo 94 de la Ley 1474 de 2011, </w:t>
      </w:r>
      <w:r w:rsidR="005C4825" w:rsidRPr="00766896">
        <w:rPr>
          <w:rFonts w:ascii="Arial" w:hAnsi="Arial" w:cs="Arial"/>
          <w:color w:val="000000" w:themeColor="text1"/>
          <w:sz w:val="22"/>
          <w:szCs w:val="22"/>
          <w:lang w:val="es-ES_tradnl"/>
        </w:rPr>
        <w:t xml:space="preserve">introduce un contenido distinto para el parágrafo 1 del referido numeral 5, </w:t>
      </w:r>
      <w:r w:rsidR="00E8416F" w:rsidRPr="00766896">
        <w:rPr>
          <w:rFonts w:ascii="Arial" w:hAnsi="Arial" w:cs="Arial"/>
          <w:color w:val="000000" w:themeColor="text1"/>
          <w:sz w:val="22"/>
          <w:szCs w:val="22"/>
          <w:lang w:val="es-ES_tradnl"/>
        </w:rPr>
        <w:t>al consagrar la posibilidad</w:t>
      </w:r>
      <w:r w:rsidR="001A7AA9" w:rsidRPr="00766896">
        <w:rPr>
          <w:rFonts w:ascii="Arial" w:hAnsi="Arial" w:cs="Arial"/>
          <w:color w:val="000000" w:themeColor="text1"/>
          <w:sz w:val="22"/>
          <w:szCs w:val="22"/>
          <w:lang w:val="es-ES_tradnl"/>
        </w:rPr>
        <w:t xml:space="preserve">, para las entidades estatales, de realizar adquisiciones por mínima cuantía a </w:t>
      </w:r>
      <w:proofErr w:type="spellStart"/>
      <w:r w:rsidR="00146B92" w:rsidRPr="00766896">
        <w:rPr>
          <w:rFonts w:ascii="Arial" w:hAnsi="Arial" w:cs="Arial"/>
          <w:color w:val="000000" w:themeColor="text1"/>
          <w:sz w:val="22"/>
          <w:szCs w:val="22"/>
          <w:lang w:val="es-ES_tradnl"/>
        </w:rPr>
        <w:t>m</w:t>
      </w:r>
      <w:r w:rsidR="001A7AA9" w:rsidRPr="00766896">
        <w:rPr>
          <w:rFonts w:ascii="Arial" w:hAnsi="Arial" w:cs="Arial"/>
          <w:color w:val="000000" w:themeColor="text1"/>
          <w:sz w:val="22"/>
          <w:szCs w:val="22"/>
          <w:lang w:val="es-ES_tradnl"/>
        </w:rPr>
        <w:t>ipymes</w:t>
      </w:r>
      <w:proofErr w:type="spellEnd"/>
      <w:r w:rsidR="001A7AA9" w:rsidRPr="00766896">
        <w:rPr>
          <w:rFonts w:ascii="Arial" w:hAnsi="Arial" w:cs="Arial"/>
          <w:color w:val="000000" w:themeColor="text1"/>
          <w:sz w:val="22"/>
          <w:szCs w:val="22"/>
          <w:lang w:val="es-ES_tradnl"/>
        </w:rPr>
        <w:t xml:space="preserve">, </w:t>
      </w:r>
      <w:r w:rsidR="0019638E" w:rsidRPr="00766896">
        <w:rPr>
          <w:rFonts w:ascii="Arial" w:hAnsi="Arial" w:cs="Arial"/>
          <w:color w:val="000000" w:themeColor="text1"/>
          <w:sz w:val="22"/>
          <w:szCs w:val="22"/>
          <w:lang w:val="es-ES_tradnl"/>
        </w:rPr>
        <w:t>de acuerdo con la reglamentación que para el efecto expida el gobierno nacional.</w:t>
      </w:r>
      <w:r w:rsidR="00F8570C" w:rsidRPr="00766896">
        <w:rPr>
          <w:rFonts w:ascii="Arial" w:hAnsi="Arial" w:cs="Arial"/>
          <w:color w:val="000000" w:themeColor="text1"/>
          <w:sz w:val="22"/>
          <w:szCs w:val="22"/>
          <w:lang w:val="es-ES_tradnl"/>
        </w:rPr>
        <w:t xml:space="preserve"> Adicionalmente, </w:t>
      </w:r>
      <w:r w:rsidR="00394194" w:rsidRPr="00766896">
        <w:rPr>
          <w:rFonts w:ascii="Arial" w:hAnsi="Arial" w:cs="Arial"/>
          <w:color w:val="000000" w:themeColor="text1"/>
          <w:sz w:val="22"/>
          <w:szCs w:val="22"/>
          <w:lang w:val="es-ES_tradnl"/>
        </w:rPr>
        <w:t>el artículo 30 modifica el parágrafo 2 del numeral 5, suprimiendo la inaplicabilidad del artículo 12 de la Ley 1150 de 2007.</w:t>
      </w:r>
    </w:p>
    <w:p w14:paraId="2890A879" w14:textId="77777777" w:rsidR="0051329D" w:rsidRPr="00766896" w:rsidRDefault="0051329D" w:rsidP="0051329D">
      <w:pPr>
        <w:ind w:right="709"/>
        <w:jc w:val="both"/>
        <w:rPr>
          <w:rFonts w:ascii="Arial" w:hAnsi="Arial" w:cs="Arial"/>
          <w:color w:val="000000" w:themeColor="text1"/>
          <w:sz w:val="22"/>
          <w:szCs w:val="22"/>
          <w:lang w:val="es-ES_tradnl"/>
        </w:rPr>
      </w:pPr>
    </w:p>
    <w:p w14:paraId="39BC3BAB" w14:textId="3CCDDF28" w:rsidR="006E7E0B" w:rsidRPr="00766896" w:rsidRDefault="006E7E0B" w:rsidP="00852C30">
      <w:pPr>
        <w:spacing w:after="120"/>
        <w:ind w:left="709" w:right="709"/>
        <w:jc w:val="both"/>
        <w:rPr>
          <w:rFonts w:ascii="Arial" w:hAnsi="Arial" w:cs="Arial"/>
          <w:color w:val="000000" w:themeColor="text1"/>
          <w:sz w:val="21"/>
          <w:szCs w:val="21"/>
        </w:rPr>
      </w:pPr>
      <w:r w:rsidRPr="00766896">
        <w:rPr>
          <w:rFonts w:ascii="Arial" w:hAnsi="Arial" w:cs="Arial"/>
          <w:color w:val="000000" w:themeColor="text1"/>
          <w:sz w:val="21"/>
          <w:szCs w:val="21"/>
          <w:lang w:val="es-ES_tradnl"/>
        </w:rPr>
        <w:t>«</w:t>
      </w:r>
      <w:r w:rsidRPr="00766896">
        <w:rPr>
          <w:rFonts w:ascii="Arial" w:hAnsi="Arial" w:cs="Arial"/>
          <w:color w:val="000000" w:themeColor="text1"/>
          <w:sz w:val="21"/>
          <w:szCs w:val="21"/>
        </w:rPr>
        <w:t>2. ¿Los artículos 2.2.1.2.1.5.1. al 2.2.1.2.1.5.4. del decreto 1082 de 2015 estarían derogados en virtud de la ley de emprendimiento?»</w:t>
      </w:r>
    </w:p>
    <w:p w14:paraId="0549D914" w14:textId="4496E83C" w:rsidR="006E7E0B" w:rsidRPr="00766896" w:rsidRDefault="006E7E0B" w:rsidP="006E7E0B">
      <w:pPr>
        <w:ind w:left="709" w:right="709"/>
        <w:jc w:val="both"/>
        <w:rPr>
          <w:rFonts w:ascii="Arial" w:hAnsi="Arial" w:cs="Arial"/>
          <w:color w:val="000000" w:themeColor="text1"/>
          <w:sz w:val="21"/>
          <w:szCs w:val="21"/>
        </w:rPr>
      </w:pPr>
      <w:r w:rsidRPr="00766896">
        <w:rPr>
          <w:rFonts w:ascii="Arial" w:hAnsi="Arial" w:cs="Arial"/>
          <w:color w:val="000000" w:themeColor="text1"/>
          <w:sz w:val="21"/>
          <w:szCs w:val="21"/>
          <w:lang w:val="es-ES_tradnl"/>
        </w:rPr>
        <w:t>«</w:t>
      </w:r>
      <w:r w:rsidRPr="00766896">
        <w:rPr>
          <w:rFonts w:ascii="Arial" w:hAnsi="Arial" w:cs="Arial"/>
          <w:color w:val="000000" w:themeColor="text1"/>
          <w:sz w:val="21"/>
          <w:szCs w:val="21"/>
        </w:rPr>
        <w:t xml:space="preserve">3. ¿Las entidades estatales a pesar de la entrada en vigencia de la ley de emprendimiento, pueden continuar adelantando procesos de selección de </w:t>
      </w:r>
      <w:r w:rsidRPr="00766896">
        <w:rPr>
          <w:rFonts w:ascii="Arial" w:hAnsi="Arial" w:cs="Arial"/>
          <w:color w:val="000000" w:themeColor="text1"/>
          <w:sz w:val="21"/>
          <w:szCs w:val="21"/>
        </w:rPr>
        <w:lastRenderedPageBreak/>
        <w:t>mínima cuantía con base en los artículos 2.2.1.2.1.5.1. al 2.2.1.2.1.5.4. del decreto 1082 de 2015?»</w:t>
      </w:r>
    </w:p>
    <w:p w14:paraId="7D199274" w14:textId="33FB0CC1" w:rsidR="006E7E0B" w:rsidRPr="00766896" w:rsidRDefault="006E7E0B" w:rsidP="00E023E5">
      <w:pPr>
        <w:ind w:right="709"/>
        <w:jc w:val="both"/>
        <w:rPr>
          <w:rFonts w:ascii="Arial" w:hAnsi="Arial" w:cs="Arial"/>
          <w:color w:val="000000" w:themeColor="text1"/>
          <w:sz w:val="21"/>
          <w:szCs w:val="21"/>
        </w:rPr>
      </w:pPr>
    </w:p>
    <w:p w14:paraId="22B851B7" w14:textId="4A8BE288" w:rsidR="0042311B" w:rsidRPr="00766896" w:rsidRDefault="0042311B" w:rsidP="0042311B">
      <w:pPr>
        <w:tabs>
          <w:tab w:val="left" w:pos="709"/>
        </w:tabs>
        <w:spacing w:after="120" w:line="276" w:lineRule="auto"/>
        <w:jc w:val="both"/>
        <w:rPr>
          <w:rFonts w:ascii="Arial" w:eastAsia="Calibri" w:hAnsi="Arial" w:cs="Arial"/>
          <w:color w:val="000000" w:themeColor="text1"/>
          <w:sz w:val="22"/>
          <w:szCs w:val="22"/>
          <w:lang w:val="es-ES_tradnl"/>
        </w:rPr>
      </w:pPr>
      <w:bookmarkStart w:id="27" w:name="_Hlk69484006"/>
      <w:bookmarkStart w:id="28" w:name="_Hlk69581374"/>
      <w:r w:rsidRPr="00766896">
        <w:rPr>
          <w:rFonts w:ascii="Arial" w:eastAsia="Calibri" w:hAnsi="Arial" w:cs="Arial"/>
          <w:color w:val="000000" w:themeColor="text1"/>
          <w:sz w:val="22"/>
          <w:szCs w:val="22"/>
          <w:lang w:val="es-ES_tradnl"/>
        </w:rPr>
        <w:t xml:space="preserve">Conforme a lo explicado en la parte considerativa, </w:t>
      </w:r>
      <w:r w:rsidR="00AE26F0" w:rsidRPr="00766896">
        <w:rPr>
          <w:rFonts w:ascii="Arial" w:eastAsia="Calibri" w:hAnsi="Arial" w:cs="Arial"/>
          <w:color w:val="000000" w:themeColor="text1"/>
          <w:sz w:val="22"/>
          <w:szCs w:val="22"/>
          <w:lang w:val="es-ES_tradnl"/>
        </w:rPr>
        <w:t xml:space="preserve">continúan vigentes </w:t>
      </w:r>
      <w:r w:rsidR="003A1965" w:rsidRPr="00766896">
        <w:rPr>
          <w:rFonts w:ascii="Arial" w:eastAsia="Calibri" w:hAnsi="Arial" w:cs="Arial"/>
          <w:color w:val="000000" w:themeColor="text1"/>
          <w:sz w:val="22"/>
          <w:szCs w:val="22"/>
          <w:lang w:val="es-ES_tradnl"/>
        </w:rPr>
        <w:t>las normas reglamentarias</w:t>
      </w:r>
      <w:r w:rsidRPr="00766896">
        <w:rPr>
          <w:rFonts w:ascii="Arial" w:eastAsia="Calibri" w:hAnsi="Arial" w:cs="Arial"/>
          <w:color w:val="000000" w:themeColor="text1"/>
          <w:sz w:val="22"/>
          <w:szCs w:val="22"/>
          <w:lang w:val="es-ES_tradnl"/>
        </w:rPr>
        <w:t xml:space="preserve"> sobre la mínima cuantía. </w:t>
      </w:r>
      <w:bookmarkStart w:id="29" w:name="_Hlk69487468"/>
      <w:r w:rsidR="00A82D31" w:rsidRPr="00766896">
        <w:rPr>
          <w:rFonts w:ascii="Arial" w:eastAsia="Calibri" w:hAnsi="Arial" w:cs="Arial"/>
          <w:color w:val="000000" w:themeColor="text1"/>
          <w:sz w:val="22"/>
          <w:szCs w:val="22"/>
          <w:lang w:val="es-ES_tradnl"/>
        </w:rPr>
        <w:t xml:space="preserve">Aunque el artículo 30 de la Ley de Emprendimiento subroga el contenido del numeral 5 del artículo 2 de la Ley 1150 de 2007, ambas </w:t>
      </w:r>
      <w:r w:rsidR="003A1965" w:rsidRPr="00766896">
        <w:rPr>
          <w:rFonts w:ascii="Arial" w:eastAsia="Calibri" w:hAnsi="Arial" w:cs="Arial"/>
          <w:color w:val="000000" w:themeColor="text1"/>
          <w:sz w:val="22"/>
          <w:szCs w:val="22"/>
          <w:lang w:val="es-ES_tradnl"/>
        </w:rPr>
        <w:t>disposiciones</w:t>
      </w:r>
      <w:r w:rsidR="00A82D31" w:rsidRPr="00766896">
        <w:rPr>
          <w:rFonts w:ascii="Arial" w:eastAsia="Calibri" w:hAnsi="Arial" w:cs="Arial"/>
          <w:color w:val="000000" w:themeColor="text1"/>
          <w:sz w:val="22"/>
          <w:szCs w:val="22"/>
          <w:lang w:val="es-ES_tradnl"/>
        </w:rPr>
        <w:t xml:space="preserve"> son de aplicación directa. Adicionalmente, pese a que la Ley de Emprendimiento permite las convocatorias limitadas a la </w:t>
      </w:r>
      <w:proofErr w:type="spellStart"/>
      <w:r w:rsidR="00A82D31" w:rsidRPr="00766896">
        <w:rPr>
          <w:rFonts w:ascii="Arial" w:eastAsia="Calibri" w:hAnsi="Arial" w:cs="Arial"/>
          <w:color w:val="000000" w:themeColor="text1"/>
          <w:sz w:val="22"/>
          <w:szCs w:val="22"/>
          <w:lang w:val="es-ES_tradnl"/>
        </w:rPr>
        <w:t>mypimes</w:t>
      </w:r>
      <w:proofErr w:type="spellEnd"/>
      <w:r w:rsidR="00A82D31" w:rsidRPr="00766896">
        <w:rPr>
          <w:rFonts w:ascii="Arial" w:eastAsia="Calibri" w:hAnsi="Arial" w:cs="Arial"/>
          <w:color w:val="000000" w:themeColor="text1"/>
          <w:sz w:val="22"/>
          <w:szCs w:val="22"/>
          <w:lang w:val="es-ES_tradnl"/>
        </w:rPr>
        <w:t xml:space="preserve"> en la mínima cuantía, el desarrollo reglamentario</w:t>
      </w:r>
      <w:r w:rsidR="00CE0E1C" w:rsidRPr="00766896">
        <w:rPr>
          <w:rFonts w:ascii="Arial" w:eastAsia="Calibri" w:hAnsi="Arial" w:cs="Arial"/>
          <w:color w:val="000000" w:themeColor="text1"/>
          <w:sz w:val="22"/>
          <w:szCs w:val="22"/>
          <w:lang w:val="es-ES_tradnl"/>
        </w:rPr>
        <w:t xml:space="preserve"> de</w:t>
      </w:r>
      <w:r w:rsidR="00A82D31" w:rsidRPr="00766896">
        <w:rPr>
          <w:rFonts w:ascii="Arial" w:eastAsia="Calibri" w:hAnsi="Arial" w:cs="Arial"/>
          <w:color w:val="000000" w:themeColor="text1"/>
          <w:sz w:val="22"/>
          <w:szCs w:val="22"/>
          <w:lang w:val="es-ES_tradnl"/>
        </w:rPr>
        <w:t xml:space="preserve"> este tema hace parte del artículo 34 </w:t>
      </w:r>
      <w:r w:rsidR="00A82D31" w:rsidRPr="00766896">
        <w:rPr>
          <w:rFonts w:ascii="Arial" w:eastAsia="Calibri" w:hAnsi="Arial" w:cs="Arial"/>
          <w:i/>
          <w:iCs/>
          <w:color w:val="000000" w:themeColor="text1"/>
          <w:sz w:val="22"/>
          <w:szCs w:val="22"/>
          <w:lang w:val="es-ES_tradnl"/>
        </w:rPr>
        <w:t>ibídem</w:t>
      </w:r>
      <w:r w:rsidR="00A82D31" w:rsidRPr="00766896">
        <w:rPr>
          <w:rFonts w:ascii="Arial" w:eastAsia="Calibri" w:hAnsi="Arial" w:cs="Arial"/>
          <w:color w:val="000000" w:themeColor="text1"/>
          <w:sz w:val="22"/>
          <w:szCs w:val="22"/>
          <w:lang w:val="es-ES_tradnl"/>
        </w:rPr>
        <w:t xml:space="preserve">. En esta medida, </w:t>
      </w:r>
      <w:r w:rsidR="000A7BFD" w:rsidRPr="00766896">
        <w:rPr>
          <w:rFonts w:ascii="Arial" w:eastAsia="Calibri" w:hAnsi="Arial" w:cs="Arial"/>
          <w:color w:val="000000" w:themeColor="text1"/>
          <w:sz w:val="22"/>
          <w:szCs w:val="22"/>
          <w:lang w:val="es-ES_tradnl"/>
        </w:rPr>
        <w:t>pese a la sustitución formal del artículo 94 de la Ley 1474 de 2011</w:t>
      </w:r>
      <w:r w:rsidR="008F16F3" w:rsidRPr="00766896">
        <w:rPr>
          <w:rFonts w:ascii="Arial" w:eastAsia="Calibri" w:hAnsi="Arial" w:cs="Arial"/>
          <w:color w:val="000000" w:themeColor="text1"/>
          <w:sz w:val="22"/>
          <w:szCs w:val="22"/>
          <w:lang w:val="es-ES_tradnl"/>
        </w:rPr>
        <w:t xml:space="preserve">, se observa que materialmente no existe una derogación de la mínima cuantía ni una modificación sustancial que incida en el procedimiento, por lo que no </w:t>
      </w:r>
      <w:r w:rsidR="00A85422" w:rsidRPr="00766896">
        <w:rPr>
          <w:rFonts w:ascii="Arial" w:eastAsia="Calibri" w:hAnsi="Arial" w:cs="Arial"/>
          <w:color w:val="000000" w:themeColor="text1"/>
          <w:sz w:val="22"/>
          <w:szCs w:val="22"/>
          <w:lang w:val="es-ES_tradnl"/>
        </w:rPr>
        <w:t xml:space="preserve">desaparece </w:t>
      </w:r>
      <w:r w:rsidR="008F16F3" w:rsidRPr="00766896">
        <w:rPr>
          <w:rFonts w:ascii="Arial" w:eastAsia="Calibri" w:hAnsi="Arial" w:cs="Arial"/>
          <w:color w:val="000000" w:themeColor="text1"/>
          <w:sz w:val="22"/>
          <w:szCs w:val="22"/>
          <w:lang w:val="es-ES_tradnl"/>
        </w:rPr>
        <w:t>el fundamento jurídico de las normas reglamentarias que lo desarrollan.</w:t>
      </w:r>
      <w:r w:rsidR="00A82D31" w:rsidRPr="00766896">
        <w:rPr>
          <w:rFonts w:ascii="Arial" w:eastAsia="Calibri" w:hAnsi="Arial" w:cs="Arial"/>
          <w:color w:val="000000" w:themeColor="text1"/>
          <w:sz w:val="22"/>
          <w:szCs w:val="22"/>
          <w:lang w:val="es-ES_tradnl"/>
        </w:rPr>
        <w:t xml:space="preserve"> </w:t>
      </w:r>
      <w:r w:rsidR="00E305F4" w:rsidRPr="00766896">
        <w:rPr>
          <w:rFonts w:ascii="Arial" w:eastAsia="Calibri" w:hAnsi="Arial" w:cs="Arial"/>
          <w:color w:val="000000" w:themeColor="text1"/>
          <w:sz w:val="22"/>
          <w:szCs w:val="22"/>
          <w:lang w:val="es-ES_tradnl"/>
        </w:rPr>
        <w:t xml:space="preserve"> </w:t>
      </w:r>
      <w:r w:rsidR="0009222D" w:rsidRPr="00766896">
        <w:rPr>
          <w:rFonts w:ascii="Arial" w:eastAsia="Calibri" w:hAnsi="Arial" w:cs="Arial"/>
          <w:color w:val="000000" w:themeColor="text1"/>
          <w:sz w:val="22"/>
          <w:szCs w:val="22"/>
          <w:lang w:val="es-ES_tradnl"/>
        </w:rPr>
        <w:t xml:space="preserve"> </w:t>
      </w:r>
      <w:r w:rsidRPr="00766896">
        <w:rPr>
          <w:rFonts w:ascii="Arial" w:eastAsia="Calibri" w:hAnsi="Arial" w:cs="Arial"/>
          <w:color w:val="000000" w:themeColor="text1"/>
          <w:sz w:val="22"/>
          <w:szCs w:val="22"/>
          <w:lang w:val="es-ES_tradnl"/>
        </w:rPr>
        <w:t xml:space="preserve"> </w:t>
      </w:r>
      <w:bookmarkEnd w:id="29"/>
    </w:p>
    <w:p w14:paraId="142393DA" w14:textId="28E6BD49" w:rsidR="0042311B" w:rsidRPr="00766896" w:rsidRDefault="0042311B" w:rsidP="0042311B">
      <w:pPr>
        <w:tabs>
          <w:tab w:val="left" w:pos="709"/>
        </w:tabs>
        <w:spacing w:after="120" w:line="276" w:lineRule="auto"/>
        <w:jc w:val="both"/>
        <w:rPr>
          <w:rFonts w:ascii="Arial" w:eastAsia="Calibri" w:hAnsi="Arial" w:cs="Arial"/>
          <w:color w:val="000000" w:themeColor="text1"/>
          <w:sz w:val="22"/>
          <w:szCs w:val="22"/>
          <w:lang w:val="es-ES_tradnl"/>
        </w:rPr>
      </w:pPr>
      <w:r w:rsidRPr="00766896">
        <w:rPr>
          <w:rFonts w:ascii="Arial" w:eastAsia="Calibri" w:hAnsi="Arial" w:cs="Arial"/>
          <w:color w:val="000000" w:themeColor="text1"/>
          <w:sz w:val="22"/>
          <w:szCs w:val="22"/>
          <w:lang w:val="es-ES_tradnl"/>
        </w:rPr>
        <w:tab/>
      </w:r>
      <w:r w:rsidR="00B3019A" w:rsidRPr="00766896">
        <w:rPr>
          <w:rFonts w:ascii="Arial" w:eastAsia="Calibri" w:hAnsi="Arial" w:cs="Arial"/>
          <w:color w:val="000000" w:themeColor="text1"/>
          <w:sz w:val="22"/>
          <w:szCs w:val="22"/>
          <w:lang w:val="es-ES_tradnl"/>
        </w:rPr>
        <w:t>En esta medida, siguen vigentes gran parte de los artículos 2.2.1.2.1.5.1 al 2.2.1.2.1.5.4 del Decreto Único Reglamentario del Sector Administrativo de Planeación Nacional. No obstante, es necesario introducir un matiz en la conclusión precedente, ya que los factores de desempate previstos en el numeral 6 del artículo 2.2.1.2.1.5.2 y el numeral 3 del artículo 2.2.1.2.1.5.3 del Decreto 1082 de 2015 han perdido vigencia con la expedición del artículo 35 de la Ley de Emprendimiento</w:t>
      </w:r>
      <w:r w:rsidRPr="00766896">
        <w:rPr>
          <w:rFonts w:ascii="Arial" w:eastAsia="Calibri" w:hAnsi="Arial" w:cs="Arial"/>
          <w:color w:val="000000" w:themeColor="text1"/>
          <w:sz w:val="22"/>
          <w:szCs w:val="22"/>
          <w:lang w:val="es-ES_tradnl"/>
        </w:rPr>
        <w:t xml:space="preserve">. </w:t>
      </w:r>
    </w:p>
    <w:p w14:paraId="791FB411" w14:textId="730D1EF7" w:rsidR="00E023E5" w:rsidRPr="00766896" w:rsidRDefault="0042311B" w:rsidP="0042311B">
      <w:pPr>
        <w:spacing w:before="120" w:line="276" w:lineRule="auto"/>
        <w:ind w:firstLine="709"/>
        <w:jc w:val="both"/>
        <w:rPr>
          <w:rFonts w:ascii="Arial" w:eastAsia="Calibri" w:hAnsi="Arial" w:cs="Arial"/>
          <w:bCs/>
          <w:color w:val="000000" w:themeColor="text1"/>
          <w:sz w:val="22"/>
          <w:szCs w:val="22"/>
          <w:lang w:val="es-ES_tradnl"/>
        </w:rPr>
      </w:pPr>
      <w:r w:rsidRPr="00766896">
        <w:rPr>
          <w:rFonts w:ascii="Arial" w:eastAsia="Calibri" w:hAnsi="Arial" w:cs="Arial"/>
          <w:color w:val="000000" w:themeColor="text1"/>
          <w:sz w:val="22"/>
          <w:szCs w:val="22"/>
          <w:lang w:val="es-ES_tradnl"/>
        </w:rPr>
        <w:t>Al respecto</w:t>
      </w:r>
      <w:r w:rsidRPr="00766896">
        <w:rPr>
          <w:rFonts w:ascii="Arial" w:hAnsi="Arial" w:cs="Arial"/>
          <w:color w:val="000000" w:themeColor="text1"/>
          <w:sz w:val="22"/>
          <w:szCs w:val="22"/>
          <w:lang w:val="es-ES_tradnl"/>
        </w:rPr>
        <w:t>, el artículo 2.2.1.1.2.2.9. del Decreto 1082 de 2015 regulaba los factores de desempate que debían aplicarse en los procesos de selección. En criterio de esta Agencia, dicha norma debe entenderse derogada por el artículo 35 de la Ley 2069 de 2020. Ello no solo porque el artículo 84 de esta ley dispone que «rige a partir del momento de su promulgación», es decir, desde el 31 de diciembre de 2020, sino además porque la misma disposición señala que la Ley 2069 de 2020 deroga «[…] todas las disposiciones que le sean contrarias»</w:t>
      </w:r>
      <w:r w:rsidR="007C790C" w:rsidRPr="00766896">
        <w:rPr>
          <w:rFonts w:ascii="Arial" w:eastAsia="Calibri" w:hAnsi="Arial" w:cs="Arial"/>
          <w:bCs/>
          <w:color w:val="000000" w:themeColor="text1"/>
          <w:sz w:val="22"/>
          <w:szCs w:val="22"/>
          <w:lang w:val="es-ES_tradnl"/>
        </w:rPr>
        <w:t>.</w:t>
      </w:r>
      <w:bookmarkEnd w:id="27"/>
    </w:p>
    <w:p w14:paraId="36384AEC" w14:textId="0CA3DCF8" w:rsidR="006C1E56" w:rsidRPr="00766896" w:rsidRDefault="006C1E56" w:rsidP="0042311B">
      <w:pPr>
        <w:spacing w:before="120" w:line="276" w:lineRule="auto"/>
        <w:ind w:firstLine="709"/>
        <w:jc w:val="both"/>
        <w:rPr>
          <w:rFonts w:ascii="Arial" w:eastAsia="Calibri" w:hAnsi="Arial" w:cs="Arial"/>
          <w:bCs/>
          <w:color w:val="000000" w:themeColor="text1"/>
          <w:sz w:val="22"/>
          <w:szCs w:val="22"/>
          <w:lang w:val="es-ES_tradnl"/>
        </w:rPr>
      </w:pPr>
      <w:r w:rsidRPr="00766896">
        <w:rPr>
          <w:rFonts w:ascii="Arial" w:eastAsia="Calibri" w:hAnsi="Arial" w:cs="Arial"/>
          <w:bCs/>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proofErr w:type="spellStart"/>
      <w:r w:rsidRPr="00766896">
        <w:rPr>
          <w:rFonts w:ascii="Arial" w:eastAsia="Calibri" w:hAnsi="Arial" w:cs="Arial"/>
          <w:bCs/>
          <w:color w:val="000000" w:themeColor="text1"/>
          <w:sz w:val="22"/>
          <w:szCs w:val="22"/>
          <w:lang w:val="es-ES_tradnl"/>
        </w:rPr>
        <w:t>secundum</w:t>
      </w:r>
      <w:proofErr w:type="spellEnd"/>
      <w:r w:rsidRPr="00766896">
        <w:rPr>
          <w:rFonts w:ascii="Arial" w:eastAsia="Calibri" w:hAnsi="Arial" w:cs="Arial"/>
          <w:bCs/>
          <w:color w:val="000000" w:themeColor="text1"/>
          <w:sz w:val="22"/>
          <w:szCs w:val="22"/>
          <w:lang w:val="es-ES_tradnl"/>
        </w:rPr>
        <w:t xml:space="preserve"> </w:t>
      </w:r>
      <w:proofErr w:type="spellStart"/>
      <w:r w:rsidRPr="00766896">
        <w:rPr>
          <w:rFonts w:ascii="Arial" w:eastAsia="Calibri" w:hAnsi="Arial" w:cs="Arial"/>
          <w:bCs/>
          <w:color w:val="000000" w:themeColor="text1"/>
          <w:sz w:val="22"/>
          <w:szCs w:val="22"/>
          <w:lang w:val="es-ES_tradnl"/>
        </w:rPr>
        <w:t>legem</w:t>
      </w:r>
      <w:proofErr w:type="spellEnd"/>
      <w:r w:rsidRPr="00766896">
        <w:rPr>
          <w:rFonts w:ascii="Arial" w:eastAsia="Calibri" w:hAnsi="Arial" w:cs="Arial"/>
          <w:bCs/>
          <w:color w:val="000000" w:themeColor="text1"/>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  </w:t>
      </w:r>
    </w:p>
    <w:p w14:paraId="28625716" w14:textId="28D96CE3" w:rsidR="000107EA" w:rsidRPr="00766896" w:rsidRDefault="000107EA" w:rsidP="00852C30">
      <w:pPr>
        <w:spacing w:before="120" w:after="120" w:line="276" w:lineRule="auto"/>
        <w:ind w:firstLine="709"/>
        <w:jc w:val="both"/>
        <w:rPr>
          <w:rFonts w:ascii="Arial" w:hAnsi="Arial" w:cs="Arial"/>
          <w:color w:val="000000" w:themeColor="text1"/>
          <w:sz w:val="22"/>
          <w:szCs w:val="22"/>
          <w:lang w:val="es-ES_tradnl"/>
        </w:rPr>
      </w:pPr>
      <w:r w:rsidRPr="00766896">
        <w:rPr>
          <w:rFonts w:ascii="Arial" w:hAnsi="Arial" w:cs="Arial"/>
          <w:color w:val="000000" w:themeColor="text1"/>
          <w:sz w:val="22"/>
          <w:szCs w:val="22"/>
          <w:lang w:val="es-ES_tradnl"/>
        </w:rPr>
        <w:t xml:space="preserve">Lo explicado en los párrafos precedentes también aplica </w:t>
      </w:r>
      <w:r w:rsidRPr="00766896">
        <w:rPr>
          <w:rFonts w:ascii="Arial" w:hAnsi="Arial" w:cs="Arial"/>
          <w:i/>
          <w:iCs/>
          <w:color w:val="000000" w:themeColor="text1"/>
          <w:sz w:val="22"/>
          <w:szCs w:val="22"/>
          <w:lang w:val="es-ES_tradnl"/>
        </w:rPr>
        <w:t>mutatis mutandis</w:t>
      </w:r>
      <w:r w:rsidRPr="00766896">
        <w:rPr>
          <w:rFonts w:ascii="Arial" w:hAnsi="Arial" w:cs="Arial"/>
          <w:color w:val="000000" w:themeColor="text1"/>
          <w:sz w:val="22"/>
          <w:szCs w:val="22"/>
          <w:lang w:val="es-ES_tradnl"/>
        </w:rPr>
        <w:t xml:space="preserve"> a los factores de desempate previstos en el Decreto Único Reglamentario del Sector Administrativo de Planeación Nacional para la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w:t>
      </w:r>
      <w:r w:rsidRPr="00766896">
        <w:rPr>
          <w:rFonts w:ascii="Arial" w:hAnsi="Arial" w:cs="Arial"/>
          <w:color w:val="000000" w:themeColor="text1"/>
          <w:sz w:val="22"/>
          <w:szCs w:val="22"/>
          <w:lang w:val="es-ES_tradnl"/>
        </w:rPr>
        <w:lastRenderedPageBreak/>
        <w:t>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w:t>
      </w:r>
    </w:p>
    <w:p w14:paraId="38331117" w14:textId="77F3B8BF" w:rsidR="000107EA" w:rsidRPr="00766896" w:rsidRDefault="000107EA">
      <w:pPr>
        <w:tabs>
          <w:tab w:val="left" w:pos="709"/>
        </w:tabs>
        <w:spacing w:line="276" w:lineRule="auto"/>
        <w:jc w:val="both"/>
        <w:rPr>
          <w:rFonts w:ascii="Arial" w:eastAsia="Calibri" w:hAnsi="Arial" w:cs="Arial"/>
          <w:bCs/>
          <w:color w:val="000000" w:themeColor="text1"/>
          <w:sz w:val="22"/>
          <w:szCs w:val="22"/>
          <w:lang w:val="es-ES_tradnl"/>
        </w:rPr>
      </w:pPr>
      <w:r w:rsidRPr="00766896">
        <w:rPr>
          <w:rFonts w:ascii="Arial" w:eastAsia="Calibri" w:hAnsi="Arial" w:cs="Arial"/>
          <w:bCs/>
          <w:color w:val="000000" w:themeColor="text1"/>
          <w:sz w:val="22"/>
        </w:rPr>
        <w:tab/>
        <w:t xml:space="preserve">Teniendo en cuenta lo anterior, se concluye que el artículo </w:t>
      </w:r>
      <w:r w:rsidRPr="00766896">
        <w:rPr>
          <w:rFonts w:ascii="Arial" w:hAnsi="Arial" w:cs="Arial"/>
          <w:color w:val="000000" w:themeColor="text1"/>
          <w:sz w:val="22"/>
          <w:szCs w:val="22"/>
          <w:lang w:val="es-ES_tradnl"/>
        </w:rPr>
        <w:t>35 de la Ley 2069 de 2020 es aplicable al procedimiento de mínima cuantía, por lo que se presenta tanto la derogación como el decaimiento de los criterios de desempate previstos en el Decreto 1082 de 2015 para esta modalidad de selección. De esta manera, a excepción de</w:t>
      </w:r>
      <w:r w:rsidRPr="00766896">
        <w:rPr>
          <w:rFonts w:ascii="Arial" w:eastAsia="Calibri" w:hAnsi="Arial" w:cs="Arial"/>
          <w:color w:val="000000" w:themeColor="text1"/>
          <w:sz w:val="22"/>
          <w:szCs w:val="22"/>
          <w:lang w:val="es-ES_tradnl"/>
        </w:rPr>
        <w:t xml:space="preserve">l numeral 6 del artículo 2.2.1.2.1.5.2 y el numeral 3 del artículo 2.2.1.2.1.5.3 del Decreto Único Reglamentario del Sector Administrativo de Planeación Nacional, </w:t>
      </w:r>
      <w:r w:rsidRPr="00766896">
        <w:rPr>
          <w:rFonts w:ascii="Arial" w:eastAsia="Calibri" w:hAnsi="Arial" w:cs="Arial"/>
          <w:bCs/>
          <w:color w:val="000000" w:themeColor="text1"/>
          <w:sz w:val="22"/>
        </w:rPr>
        <w:t>los</w:t>
      </w:r>
      <w:r w:rsidRPr="00766896">
        <w:rPr>
          <w:rFonts w:ascii="Arial" w:eastAsia="Calibri" w:hAnsi="Arial" w:cs="Arial"/>
          <w:color w:val="000000" w:themeColor="text1"/>
          <w:sz w:val="22"/>
          <w:szCs w:val="22"/>
          <w:lang w:val="es-ES_tradnl"/>
        </w:rPr>
        <w:t xml:space="preserve"> artículos 2.2.1.2.1.5.1 al 2.2.1.2.1.5.4 de este reglamento continúan vigentes bajo la vigencia del numeral 5 del artículo 2 de la Ley 1150 de 2007, modificado por el artículo 30 de la Ley de Emprendimiento.</w:t>
      </w:r>
    </w:p>
    <w:bookmarkEnd w:id="28"/>
    <w:p w14:paraId="5FA87992" w14:textId="77777777" w:rsidR="00480CDC" w:rsidRPr="00766896" w:rsidRDefault="00480CDC" w:rsidP="006E7E0B">
      <w:pPr>
        <w:ind w:left="709" w:right="709"/>
        <w:jc w:val="both"/>
        <w:rPr>
          <w:rFonts w:ascii="Arial" w:hAnsi="Arial" w:cs="Arial"/>
          <w:color w:val="000000" w:themeColor="text1"/>
          <w:sz w:val="21"/>
          <w:szCs w:val="21"/>
          <w:lang w:val="es-ES_tradnl"/>
        </w:rPr>
      </w:pPr>
    </w:p>
    <w:p w14:paraId="7E2E8D7D" w14:textId="58792CFD" w:rsidR="006E7E0B" w:rsidRPr="00766896" w:rsidRDefault="006E7E0B" w:rsidP="00852C30">
      <w:pPr>
        <w:spacing w:after="120"/>
        <w:ind w:left="709" w:right="709"/>
        <w:jc w:val="both"/>
        <w:rPr>
          <w:rFonts w:ascii="Arial" w:hAnsi="Arial" w:cs="Arial"/>
          <w:color w:val="000000" w:themeColor="text1"/>
          <w:sz w:val="21"/>
          <w:szCs w:val="21"/>
        </w:rPr>
      </w:pPr>
      <w:r w:rsidRPr="00766896">
        <w:rPr>
          <w:rFonts w:ascii="Arial" w:hAnsi="Arial" w:cs="Arial"/>
          <w:color w:val="000000" w:themeColor="text1"/>
          <w:sz w:val="21"/>
          <w:szCs w:val="21"/>
          <w:lang w:val="es-ES_tradnl"/>
        </w:rPr>
        <w:t>«</w:t>
      </w:r>
      <w:r w:rsidRPr="00766896">
        <w:rPr>
          <w:rFonts w:ascii="Arial" w:hAnsi="Arial" w:cs="Arial"/>
          <w:color w:val="000000" w:themeColor="text1"/>
          <w:sz w:val="21"/>
          <w:szCs w:val="21"/>
        </w:rPr>
        <w:t>4. ¿Las entidades estatales a pesar de la entrada en vigencia de la ley de emprendimiento, pueden continuar adelantando procesos de selección de mínima cuantía a pesar de no estar reglamentado el artículo 30 de la ley 2069 de 2020?</w:t>
      </w:r>
    </w:p>
    <w:p w14:paraId="5AF6FF2D" w14:textId="3C8C52AE" w:rsidR="006E7E0B" w:rsidRPr="00766896" w:rsidRDefault="00E40B4D" w:rsidP="006E7E0B">
      <w:pPr>
        <w:ind w:left="709" w:right="709"/>
        <w:jc w:val="both"/>
        <w:rPr>
          <w:rFonts w:ascii="Arial" w:hAnsi="Arial" w:cs="Arial"/>
          <w:color w:val="000000" w:themeColor="text1"/>
          <w:sz w:val="21"/>
          <w:szCs w:val="21"/>
        </w:rPr>
      </w:pPr>
      <w:r w:rsidRPr="00766896">
        <w:rPr>
          <w:rFonts w:ascii="Arial" w:hAnsi="Arial" w:cs="Arial"/>
          <w:color w:val="000000" w:themeColor="text1"/>
          <w:sz w:val="21"/>
          <w:szCs w:val="21"/>
          <w:lang w:val="es-ES_tradnl"/>
        </w:rPr>
        <w:t>»</w:t>
      </w:r>
      <w:r w:rsidR="006E7E0B" w:rsidRPr="00766896">
        <w:rPr>
          <w:rFonts w:ascii="Arial" w:hAnsi="Arial" w:cs="Arial"/>
          <w:color w:val="000000" w:themeColor="text1"/>
          <w:sz w:val="21"/>
          <w:szCs w:val="21"/>
        </w:rPr>
        <w:t>5. ¿Las entidades estatales no pueden continuar adelantando procesos de selección de mínima cuantía hasta tanto el gobierno nacional no expida el reglamentado del artículo 30 de la ley 2069 de 2020?»</w:t>
      </w:r>
    </w:p>
    <w:p w14:paraId="25682D9E" w14:textId="584A62CF" w:rsidR="00F168A8" w:rsidRPr="00766896" w:rsidRDefault="00F168A8" w:rsidP="00CD6988">
      <w:pPr>
        <w:tabs>
          <w:tab w:val="left" w:pos="709"/>
        </w:tabs>
        <w:spacing w:line="276" w:lineRule="auto"/>
        <w:jc w:val="both"/>
        <w:rPr>
          <w:rFonts w:ascii="Arial" w:eastAsia="Calibri" w:hAnsi="Arial" w:cs="Arial"/>
          <w:bCs/>
          <w:color w:val="000000" w:themeColor="text1"/>
          <w:sz w:val="22"/>
          <w:lang w:val="es-ES_tradnl"/>
        </w:rPr>
      </w:pPr>
    </w:p>
    <w:p w14:paraId="38BD84CE" w14:textId="4180E891" w:rsidR="00840EAE" w:rsidRPr="00766896" w:rsidRDefault="000303D1" w:rsidP="00852C30">
      <w:pPr>
        <w:tabs>
          <w:tab w:val="left" w:pos="709"/>
        </w:tabs>
        <w:spacing w:after="120" w:line="276" w:lineRule="auto"/>
        <w:jc w:val="both"/>
        <w:rPr>
          <w:rFonts w:ascii="Arial" w:eastAsia="Calibri" w:hAnsi="Arial" w:cs="Arial"/>
          <w:bCs/>
          <w:color w:val="000000" w:themeColor="text1"/>
          <w:sz w:val="22"/>
          <w:lang w:val="es-ES_tradnl"/>
        </w:rPr>
      </w:pPr>
      <w:bookmarkStart w:id="30" w:name="_Hlk69581616"/>
      <w:r w:rsidRPr="00766896">
        <w:rPr>
          <w:rFonts w:ascii="Arial" w:eastAsia="Calibri" w:hAnsi="Arial" w:cs="Arial"/>
          <w:bCs/>
          <w:color w:val="000000" w:themeColor="text1"/>
          <w:sz w:val="22"/>
          <w:lang w:val="es-ES_tradnl"/>
        </w:rPr>
        <w:t>Las entidades estatales deben aplicar actualmente el artículo 30 de la Ley 2069 de 2020 para adelantar el procedimiento de mínima cuantía, pues dicha disposición normativa define aspectos generales de aquel, como: i) el término mínimo para publicar la invitación, ii) el plazo mínimo de recepción de las ofertas, iii) el factor de evaluación que determina la selección del proponente y iv) el perfeccionamiento del contrato. Por lo tanto, las entidades estatales deben estructurar sus procedimientos de selección de acuerdo con estos parámetros, los cuales tienen una aplicación inmediata sin que el reglamento condicione s</w:t>
      </w:r>
      <w:r w:rsidR="00FB78B1" w:rsidRPr="00766896">
        <w:rPr>
          <w:rFonts w:ascii="Arial" w:eastAsia="Calibri" w:hAnsi="Arial" w:cs="Arial"/>
          <w:bCs/>
          <w:color w:val="000000" w:themeColor="text1"/>
          <w:sz w:val="22"/>
          <w:lang w:val="es-ES_tradnl"/>
        </w:rPr>
        <w:t>u</w:t>
      </w:r>
      <w:r w:rsidRPr="00766896">
        <w:rPr>
          <w:rFonts w:ascii="Arial" w:eastAsia="Calibri" w:hAnsi="Arial" w:cs="Arial"/>
          <w:bCs/>
          <w:color w:val="000000" w:themeColor="text1"/>
          <w:sz w:val="22"/>
          <w:lang w:val="es-ES_tradnl"/>
        </w:rPr>
        <w:t xml:space="preserve"> vigencia. En otras palabras, la mínima cuantía es directamente aplicable, sin perjuicio de que a través del ejercicio de la potestad reglamentaria se desarrolle específicamente la «Singularidad, especialidad e individualidad» del trámite, así como</w:t>
      </w:r>
      <w:r w:rsidR="00FB78B1" w:rsidRPr="00766896">
        <w:rPr>
          <w:rFonts w:ascii="Arial" w:eastAsia="Calibri" w:hAnsi="Arial" w:cs="Arial"/>
          <w:bCs/>
          <w:color w:val="000000" w:themeColor="text1"/>
          <w:sz w:val="22"/>
          <w:lang w:val="es-ES_tradnl"/>
        </w:rPr>
        <w:t xml:space="preserve"> la</w:t>
      </w:r>
      <w:r w:rsidRPr="00766896">
        <w:rPr>
          <w:rFonts w:ascii="Arial" w:eastAsia="Calibri" w:hAnsi="Arial" w:cs="Arial"/>
          <w:bCs/>
          <w:color w:val="000000" w:themeColor="text1"/>
          <w:sz w:val="22"/>
          <w:lang w:val="es-ES_tradnl"/>
        </w:rPr>
        <w:t xml:space="preserve"> realización</w:t>
      </w:r>
      <w:r w:rsidR="00FB78B1" w:rsidRPr="00766896">
        <w:rPr>
          <w:rFonts w:ascii="Arial" w:eastAsia="Calibri" w:hAnsi="Arial" w:cs="Arial"/>
          <w:bCs/>
          <w:color w:val="000000" w:themeColor="text1"/>
          <w:sz w:val="22"/>
          <w:lang w:val="es-ES_tradnl"/>
        </w:rPr>
        <w:t xml:space="preserve"> de</w:t>
      </w:r>
      <w:r w:rsidRPr="00766896">
        <w:rPr>
          <w:rFonts w:ascii="Arial" w:eastAsia="Calibri" w:hAnsi="Arial" w:cs="Arial"/>
          <w:bCs/>
          <w:color w:val="000000" w:themeColor="text1"/>
          <w:sz w:val="22"/>
          <w:lang w:val="es-ES_tradnl"/>
        </w:rPr>
        <w:t xml:space="preserve"> estas adquisiciones a </w:t>
      </w:r>
      <w:proofErr w:type="spellStart"/>
      <w:r w:rsidRPr="00766896">
        <w:rPr>
          <w:rFonts w:ascii="Arial" w:eastAsia="Calibri" w:hAnsi="Arial" w:cs="Arial"/>
          <w:bCs/>
          <w:color w:val="000000" w:themeColor="text1"/>
          <w:sz w:val="22"/>
          <w:lang w:val="es-ES_tradnl"/>
        </w:rPr>
        <w:t>mipymes</w:t>
      </w:r>
      <w:proofErr w:type="spellEnd"/>
      <w:r w:rsidRPr="00766896">
        <w:rPr>
          <w:rFonts w:ascii="Arial" w:eastAsia="Calibri" w:hAnsi="Arial" w:cs="Arial"/>
          <w:bCs/>
          <w:color w:val="000000" w:themeColor="text1"/>
          <w:sz w:val="22"/>
          <w:lang w:val="es-ES_tradnl"/>
        </w:rPr>
        <w:t xml:space="preserve"> o establecimientos que correspondan a la definición de «gran almacén»</w:t>
      </w:r>
      <w:r w:rsidR="00CD6988" w:rsidRPr="00766896">
        <w:rPr>
          <w:rFonts w:ascii="Arial" w:eastAsia="Calibri" w:hAnsi="Arial" w:cs="Arial"/>
          <w:bCs/>
          <w:color w:val="000000" w:themeColor="text1"/>
          <w:sz w:val="22"/>
          <w:lang w:val="es-ES_tradnl"/>
        </w:rPr>
        <w:t>.</w:t>
      </w:r>
      <w:r w:rsidR="00840EAE" w:rsidRPr="00766896">
        <w:rPr>
          <w:rFonts w:ascii="Arial" w:eastAsia="Calibri" w:hAnsi="Arial" w:cs="Arial"/>
          <w:bCs/>
          <w:color w:val="000000" w:themeColor="text1"/>
          <w:sz w:val="22"/>
          <w:lang w:val="es-ES_tradnl"/>
        </w:rPr>
        <w:t xml:space="preserve"> </w:t>
      </w:r>
    </w:p>
    <w:p w14:paraId="329A407D" w14:textId="42871843" w:rsidR="00F34645" w:rsidRPr="00766896" w:rsidRDefault="00143866" w:rsidP="00F34645">
      <w:pPr>
        <w:tabs>
          <w:tab w:val="left" w:pos="709"/>
        </w:tabs>
        <w:spacing w:line="276" w:lineRule="auto"/>
        <w:jc w:val="both"/>
        <w:rPr>
          <w:rFonts w:ascii="Arial" w:eastAsia="Calibri" w:hAnsi="Arial" w:cs="Arial"/>
          <w:bCs/>
          <w:color w:val="000000" w:themeColor="text1"/>
          <w:sz w:val="22"/>
          <w:szCs w:val="22"/>
          <w:lang w:val="es-ES_tradnl"/>
        </w:rPr>
      </w:pPr>
      <w:r w:rsidRPr="00766896">
        <w:rPr>
          <w:rFonts w:ascii="Arial" w:hAnsi="Arial" w:cs="Arial"/>
          <w:color w:val="000000" w:themeColor="text1"/>
          <w:sz w:val="22"/>
          <w:szCs w:val="22"/>
          <w:lang w:val="es-ES_tradnl"/>
        </w:rPr>
        <w:tab/>
        <w:t>En todo caso</w:t>
      </w:r>
      <w:r w:rsidR="00A7221C" w:rsidRPr="00766896">
        <w:rPr>
          <w:rFonts w:ascii="Arial" w:hAnsi="Arial" w:cs="Arial"/>
          <w:color w:val="000000" w:themeColor="text1"/>
          <w:sz w:val="22"/>
          <w:szCs w:val="22"/>
          <w:lang w:val="es-ES_tradnl"/>
        </w:rPr>
        <w:t>, conforme a la respuesta anterior,</w:t>
      </w:r>
      <w:r w:rsidRPr="00766896">
        <w:rPr>
          <w:rFonts w:ascii="Arial" w:hAnsi="Arial" w:cs="Arial"/>
          <w:color w:val="000000" w:themeColor="text1"/>
          <w:sz w:val="22"/>
          <w:szCs w:val="22"/>
          <w:lang w:val="es-ES_tradnl"/>
        </w:rPr>
        <w:t xml:space="preserve"> se reitera que</w:t>
      </w:r>
      <w:r w:rsidR="005B01F9" w:rsidRPr="00766896">
        <w:rPr>
          <w:rFonts w:ascii="Arial" w:hAnsi="Arial" w:cs="Arial"/>
          <w:color w:val="000000" w:themeColor="text1"/>
          <w:sz w:val="22"/>
          <w:szCs w:val="22"/>
          <w:lang w:val="es-ES_tradnl"/>
        </w:rPr>
        <w:t xml:space="preserve"> </w:t>
      </w:r>
      <w:bookmarkStart w:id="31" w:name="_Hlk69580780"/>
      <w:r w:rsidR="005B01F9" w:rsidRPr="00766896">
        <w:rPr>
          <w:rFonts w:ascii="Arial" w:hAnsi="Arial" w:cs="Arial"/>
          <w:color w:val="000000" w:themeColor="text1"/>
          <w:sz w:val="22"/>
          <w:szCs w:val="22"/>
          <w:lang w:val="es-ES_tradnl"/>
        </w:rPr>
        <w:t>el grueso de</w:t>
      </w:r>
      <w:r w:rsidR="00F34645" w:rsidRPr="00766896">
        <w:rPr>
          <w:rFonts w:ascii="Arial" w:eastAsia="Calibri" w:hAnsi="Arial" w:cs="Arial"/>
          <w:color w:val="000000" w:themeColor="text1"/>
          <w:sz w:val="22"/>
          <w:szCs w:val="22"/>
          <w:lang w:val="es-ES_tradnl"/>
        </w:rPr>
        <w:t xml:space="preserve"> </w:t>
      </w:r>
      <w:r w:rsidR="00F34645" w:rsidRPr="00766896">
        <w:rPr>
          <w:rFonts w:ascii="Arial" w:eastAsia="Calibri" w:hAnsi="Arial" w:cs="Arial"/>
          <w:bCs/>
          <w:color w:val="000000" w:themeColor="text1"/>
          <w:sz w:val="22"/>
        </w:rPr>
        <w:t>los</w:t>
      </w:r>
      <w:r w:rsidR="00F34645" w:rsidRPr="00766896">
        <w:rPr>
          <w:rFonts w:ascii="Arial" w:eastAsia="Calibri" w:hAnsi="Arial" w:cs="Arial"/>
          <w:color w:val="000000" w:themeColor="text1"/>
          <w:sz w:val="22"/>
          <w:szCs w:val="22"/>
          <w:lang w:val="es-ES_tradnl"/>
        </w:rPr>
        <w:t xml:space="preserve"> artículos 2.2.1.2.1.5.1 al 2.2.1.2.1.5.4 de</w:t>
      </w:r>
      <w:r w:rsidR="005B01F9" w:rsidRPr="00766896">
        <w:rPr>
          <w:rFonts w:ascii="Arial" w:eastAsia="Calibri" w:hAnsi="Arial" w:cs="Arial"/>
          <w:color w:val="000000" w:themeColor="text1"/>
          <w:sz w:val="22"/>
          <w:szCs w:val="22"/>
          <w:lang w:val="es-ES_tradnl"/>
        </w:rPr>
        <w:t>l Decreto 1082 de 2015</w:t>
      </w:r>
      <w:r w:rsidR="00F34645" w:rsidRPr="00766896">
        <w:rPr>
          <w:rFonts w:ascii="Arial" w:eastAsia="Calibri" w:hAnsi="Arial" w:cs="Arial"/>
          <w:color w:val="000000" w:themeColor="text1"/>
          <w:sz w:val="22"/>
          <w:szCs w:val="22"/>
          <w:lang w:val="es-ES_tradnl"/>
        </w:rPr>
        <w:t xml:space="preserve"> continúan vigentes bajo la vigencia del numeral 5 del artículo 2 de la Ley 1150 de 2007, modificado por el artículo 30 de la Ley de Emprendimiento.</w:t>
      </w:r>
      <w:r w:rsidR="005B01F9" w:rsidRPr="00766896">
        <w:rPr>
          <w:rFonts w:ascii="Arial" w:eastAsia="Calibri" w:hAnsi="Arial" w:cs="Arial"/>
          <w:color w:val="000000" w:themeColor="text1"/>
          <w:sz w:val="22"/>
          <w:szCs w:val="22"/>
          <w:lang w:val="es-ES_tradnl"/>
        </w:rPr>
        <w:t xml:space="preserve"> Esto con excepción </w:t>
      </w:r>
      <w:r w:rsidR="005B01F9" w:rsidRPr="00766896">
        <w:rPr>
          <w:rFonts w:ascii="Arial" w:hAnsi="Arial" w:cs="Arial"/>
          <w:color w:val="000000" w:themeColor="text1"/>
          <w:sz w:val="22"/>
          <w:szCs w:val="22"/>
          <w:lang w:val="es-ES_tradnl"/>
        </w:rPr>
        <w:t>de</w:t>
      </w:r>
      <w:r w:rsidR="005B01F9" w:rsidRPr="00766896">
        <w:rPr>
          <w:rFonts w:ascii="Arial" w:eastAsia="Calibri" w:hAnsi="Arial" w:cs="Arial"/>
          <w:color w:val="000000" w:themeColor="text1"/>
          <w:sz w:val="22"/>
          <w:szCs w:val="22"/>
          <w:lang w:val="es-ES_tradnl"/>
        </w:rPr>
        <w:t xml:space="preserve">l numeral 6 del artículo 2.2.1.2.1.5.2 y el numeral 3 del artículo 2.2.1.2.1.5.3 del Decreto Único Reglamentario del Sector </w:t>
      </w:r>
      <w:r w:rsidR="005B01F9" w:rsidRPr="00766896">
        <w:rPr>
          <w:rFonts w:ascii="Arial" w:eastAsia="Calibri" w:hAnsi="Arial" w:cs="Arial"/>
          <w:color w:val="000000" w:themeColor="text1"/>
          <w:sz w:val="22"/>
          <w:szCs w:val="22"/>
          <w:lang w:val="es-ES_tradnl"/>
        </w:rPr>
        <w:lastRenderedPageBreak/>
        <w:t>Administrativo de Planeación Nacional</w:t>
      </w:r>
      <w:r w:rsidR="0014337C" w:rsidRPr="00766896">
        <w:rPr>
          <w:rFonts w:ascii="Arial" w:eastAsia="Calibri" w:hAnsi="Arial" w:cs="Arial"/>
          <w:color w:val="000000" w:themeColor="text1"/>
          <w:sz w:val="22"/>
          <w:szCs w:val="22"/>
          <w:lang w:val="es-ES_tradnl"/>
        </w:rPr>
        <w:t xml:space="preserve">, pues son incompatibles con los factores de desempate </w:t>
      </w:r>
      <w:r w:rsidR="008B4E7A" w:rsidRPr="00766896">
        <w:rPr>
          <w:rFonts w:ascii="Arial" w:eastAsia="Calibri" w:hAnsi="Arial" w:cs="Arial"/>
          <w:color w:val="000000" w:themeColor="text1"/>
          <w:sz w:val="22"/>
          <w:szCs w:val="22"/>
          <w:lang w:val="es-ES_tradnl"/>
        </w:rPr>
        <w:t>d</w:t>
      </w:r>
      <w:r w:rsidR="0014337C" w:rsidRPr="00766896">
        <w:rPr>
          <w:rFonts w:ascii="Arial" w:eastAsia="Calibri" w:hAnsi="Arial" w:cs="Arial"/>
          <w:color w:val="000000" w:themeColor="text1"/>
          <w:sz w:val="22"/>
          <w:szCs w:val="22"/>
          <w:lang w:val="es-ES_tradnl"/>
        </w:rPr>
        <w:t>el artículo 35 de la Ley 2069 de 2020.</w:t>
      </w:r>
    </w:p>
    <w:bookmarkEnd w:id="30"/>
    <w:bookmarkEnd w:id="31"/>
    <w:p w14:paraId="2A3C1DC3" w14:textId="77777777" w:rsidR="00F34645" w:rsidRPr="00766896" w:rsidRDefault="00F34645" w:rsidP="00840EAE">
      <w:pPr>
        <w:tabs>
          <w:tab w:val="left" w:pos="709"/>
        </w:tabs>
        <w:spacing w:line="276" w:lineRule="auto"/>
        <w:jc w:val="both"/>
        <w:rPr>
          <w:rFonts w:ascii="Arial" w:eastAsia="Calibri" w:hAnsi="Arial" w:cs="Arial"/>
          <w:bCs/>
          <w:color w:val="000000" w:themeColor="text1"/>
          <w:sz w:val="22"/>
          <w:lang w:val="es-ES_tradnl"/>
        </w:rPr>
      </w:pPr>
    </w:p>
    <w:bookmarkEnd w:id="26"/>
    <w:p w14:paraId="3AD2F734" w14:textId="77777777" w:rsidR="00083452" w:rsidRPr="00766896" w:rsidRDefault="00083452" w:rsidP="00853A3C">
      <w:pPr>
        <w:ind w:right="709"/>
        <w:jc w:val="both"/>
        <w:rPr>
          <w:rFonts w:ascii="Arial" w:hAnsi="Arial" w:cs="Arial"/>
          <w:color w:val="000000" w:themeColor="text1"/>
          <w:sz w:val="21"/>
          <w:szCs w:val="21"/>
          <w:lang w:val="es-ES_tradnl"/>
        </w:rPr>
      </w:pPr>
    </w:p>
    <w:p w14:paraId="7B2C921D" w14:textId="0383AF9A" w:rsidR="00DD5B04" w:rsidRPr="00766896" w:rsidRDefault="00DD5B04" w:rsidP="00DF76A2">
      <w:pPr>
        <w:spacing w:line="276" w:lineRule="auto"/>
        <w:jc w:val="both"/>
        <w:rPr>
          <w:rFonts w:ascii="Arial" w:hAnsi="Arial" w:cs="Arial"/>
          <w:color w:val="000000" w:themeColor="text1"/>
          <w:sz w:val="22"/>
          <w:lang w:val="es-ES_tradnl"/>
        </w:rPr>
      </w:pPr>
      <w:r w:rsidRPr="00766896">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76689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76689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766896">
        <w:rPr>
          <w:rFonts w:ascii="Arial" w:hAnsi="Arial" w:cs="Arial"/>
          <w:color w:val="000000" w:themeColor="text1"/>
          <w:sz w:val="22"/>
          <w:szCs w:val="22"/>
          <w:lang w:val="es-ES_tradnl"/>
        </w:rPr>
        <w:t>Atentamente,</w:t>
      </w:r>
    </w:p>
    <w:p w14:paraId="692FC307" w14:textId="210AA6B5" w:rsidR="00921304" w:rsidRPr="00766896"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080D21FB" w:rsidR="00921304" w:rsidRPr="00766896" w:rsidRDefault="004D46F2"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7ADD3C93" wp14:editId="1469BB8E">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766896" w:rsidRDefault="00425C43" w:rsidP="00B37657">
      <w:pPr>
        <w:jc w:val="center"/>
        <w:rPr>
          <w:rFonts w:ascii="Arial" w:hAnsi="Arial" w:cs="Arial"/>
          <w:color w:val="000000" w:themeColor="text1"/>
          <w:sz w:val="18"/>
          <w:szCs w:val="20"/>
          <w:lang w:val="es-ES_tradnl" w:eastAsia="es-CO"/>
        </w:rPr>
      </w:pPr>
    </w:p>
    <w:p w14:paraId="49730030" w14:textId="217D35F3" w:rsidR="00DD5B04" w:rsidRPr="00766896"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766896" w14:paraId="0C7DC5F7" w14:textId="77777777" w:rsidTr="00DF6CCA">
        <w:trPr>
          <w:trHeight w:val="315"/>
        </w:trPr>
        <w:tc>
          <w:tcPr>
            <w:tcW w:w="812" w:type="dxa"/>
            <w:vAlign w:val="center"/>
            <w:hideMark/>
          </w:tcPr>
          <w:p w14:paraId="5BDB1AC9" w14:textId="77777777" w:rsidR="00DD5B04" w:rsidRPr="00766896" w:rsidRDefault="00DD5B04" w:rsidP="00DF76A2">
            <w:pPr>
              <w:jc w:val="both"/>
              <w:rPr>
                <w:rFonts w:ascii="Arial" w:hAnsi="Arial" w:cs="Arial"/>
                <w:color w:val="000000" w:themeColor="text1"/>
                <w:sz w:val="16"/>
                <w:szCs w:val="16"/>
                <w:lang w:val="es-ES_tradnl" w:eastAsia="es-ES"/>
              </w:rPr>
            </w:pPr>
            <w:r w:rsidRPr="00766896">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766896" w:rsidRDefault="00DD5B04" w:rsidP="00DF76A2">
            <w:pPr>
              <w:jc w:val="both"/>
              <w:rPr>
                <w:rFonts w:ascii="Arial" w:hAnsi="Arial" w:cs="Arial"/>
                <w:color w:val="000000" w:themeColor="text1"/>
                <w:sz w:val="16"/>
                <w:szCs w:val="16"/>
                <w:lang w:val="es-ES_tradnl" w:eastAsia="es-ES"/>
              </w:rPr>
            </w:pPr>
            <w:r w:rsidRPr="00766896">
              <w:rPr>
                <w:rFonts w:ascii="Arial" w:hAnsi="Arial" w:cs="Arial"/>
                <w:color w:val="000000" w:themeColor="text1"/>
                <w:sz w:val="16"/>
                <w:szCs w:val="16"/>
                <w:lang w:val="es-ES_tradnl" w:eastAsia="es-ES"/>
              </w:rPr>
              <w:t>Cristian Andrés Díaz Díez</w:t>
            </w:r>
          </w:p>
          <w:p w14:paraId="240C71FD" w14:textId="31312C95" w:rsidR="00DD5B04" w:rsidRPr="00766896" w:rsidRDefault="00DD5B04" w:rsidP="00DF76A2">
            <w:pPr>
              <w:jc w:val="both"/>
              <w:rPr>
                <w:rFonts w:ascii="Arial" w:hAnsi="Arial" w:cs="Arial"/>
                <w:color w:val="000000" w:themeColor="text1"/>
                <w:sz w:val="16"/>
                <w:szCs w:val="16"/>
                <w:lang w:val="es-ES_tradnl" w:eastAsia="es-ES"/>
              </w:rPr>
            </w:pPr>
            <w:r w:rsidRPr="00766896">
              <w:rPr>
                <w:rFonts w:ascii="Arial" w:hAnsi="Arial" w:cs="Arial"/>
                <w:color w:val="000000" w:themeColor="text1"/>
                <w:sz w:val="16"/>
                <w:szCs w:val="16"/>
                <w:lang w:val="es-ES_tradnl" w:eastAsia="es-ES"/>
              </w:rPr>
              <w:t>Contratista</w:t>
            </w:r>
            <w:r w:rsidR="00FF0050" w:rsidRPr="00766896">
              <w:rPr>
                <w:rFonts w:ascii="Arial" w:hAnsi="Arial" w:cs="Arial"/>
                <w:color w:val="000000" w:themeColor="text1"/>
                <w:sz w:val="16"/>
                <w:szCs w:val="16"/>
                <w:lang w:val="es-ES_tradnl" w:eastAsia="es-ES"/>
              </w:rPr>
              <w:t xml:space="preserve"> de la </w:t>
            </w:r>
            <w:r w:rsidRPr="00766896">
              <w:rPr>
                <w:rFonts w:ascii="Arial" w:hAnsi="Arial" w:cs="Arial"/>
                <w:color w:val="000000" w:themeColor="text1"/>
                <w:sz w:val="16"/>
                <w:szCs w:val="16"/>
                <w:lang w:val="es-ES_tradnl" w:eastAsia="es-ES"/>
              </w:rPr>
              <w:t>Subdirección de Gestión Contractual</w:t>
            </w:r>
          </w:p>
        </w:tc>
      </w:tr>
      <w:tr w:rsidR="00DD5B04" w:rsidRPr="00766896" w14:paraId="2F8FD650" w14:textId="77777777" w:rsidTr="00DF6CCA">
        <w:trPr>
          <w:trHeight w:val="330"/>
        </w:trPr>
        <w:tc>
          <w:tcPr>
            <w:tcW w:w="812" w:type="dxa"/>
            <w:vAlign w:val="center"/>
            <w:hideMark/>
          </w:tcPr>
          <w:p w14:paraId="50203A0B" w14:textId="77777777" w:rsidR="00DD5B04" w:rsidRPr="00766896" w:rsidRDefault="00DD5B04" w:rsidP="00DF76A2">
            <w:pPr>
              <w:jc w:val="both"/>
              <w:rPr>
                <w:rFonts w:ascii="Arial" w:hAnsi="Arial" w:cs="Arial"/>
                <w:color w:val="000000" w:themeColor="text1"/>
                <w:sz w:val="16"/>
                <w:szCs w:val="16"/>
                <w:lang w:val="es-ES_tradnl" w:eastAsia="es-ES"/>
              </w:rPr>
            </w:pPr>
            <w:r w:rsidRPr="00766896">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487F64" w14:textId="77777777" w:rsidR="00995B3A" w:rsidRPr="00766896" w:rsidRDefault="00995B3A" w:rsidP="00995B3A">
            <w:pPr>
              <w:jc w:val="both"/>
              <w:rPr>
                <w:rFonts w:ascii="Arial" w:hAnsi="Arial" w:cs="Arial"/>
                <w:color w:val="000000" w:themeColor="text1"/>
                <w:sz w:val="16"/>
                <w:szCs w:val="16"/>
                <w:lang w:val="es-ES_tradnl" w:eastAsia="es-ES"/>
              </w:rPr>
            </w:pPr>
            <w:r w:rsidRPr="00766896">
              <w:rPr>
                <w:rFonts w:ascii="Arial" w:hAnsi="Arial" w:cs="Arial"/>
                <w:color w:val="000000" w:themeColor="text1"/>
                <w:sz w:val="16"/>
                <w:szCs w:val="16"/>
                <w:lang w:val="es-ES_tradnl" w:eastAsia="es-ES"/>
              </w:rPr>
              <w:t>Juan David Montoya Penagos</w:t>
            </w:r>
          </w:p>
          <w:p w14:paraId="130B3228" w14:textId="174BE431" w:rsidR="00DD5B04" w:rsidRPr="00766896" w:rsidRDefault="00995B3A" w:rsidP="00995B3A">
            <w:pPr>
              <w:jc w:val="both"/>
              <w:rPr>
                <w:rFonts w:ascii="Arial" w:hAnsi="Arial" w:cs="Arial"/>
                <w:color w:val="000000" w:themeColor="text1"/>
                <w:sz w:val="16"/>
                <w:szCs w:val="16"/>
                <w:lang w:val="es-ES_tradnl" w:eastAsia="es-ES"/>
              </w:rPr>
            </w:pPr>
            <w:r w:rsidRPr="00766896">
              <w:rPr>
                <w:rFonts w:ascii="Arial" w:hAnsi="Arial" w:cs="Arial"/>
                <w:color w:val="000000" w:themeColor="text1"/>
                <w:sz w:val="16"/>
                <w:szCs w:val="16"/>
                <w:lang w:val="es-ES_tradnl" w:eastAsia="es-ES"/>
              </w:rPr>
              <w:t>Gestor T1-15 de la Subdirección de Gestión Contractual</w:t>
            </w:r>
          </w:p>
        </w:tc>
      </w:tr>
      <w:tr w:rsidR="00DD5B04" w:rsidRPr="00A43C00" w14:paraId="0FCBCA4A" w14:textId="77777777" w:rsidTr="00DF6CCA">
        <w:trPr>
          <w:trHeight w:val="300"/>
        </w:trPr>
        <w:tc>
          <w:tcPr>
            <w:tcW w:w="812" w:type="dxa"/>
            <w:vAlign w:val="center"/>
            <w:hideMark/>
          </w:tcPr>
          <w:p w14:paraId="3C1D943A" w14:textId="77777777" w:rsidR="00DD5B04" w:rsidRPr="00766896" w:rsidRDefault="00DD5B04" w:rsidP="00DF76A2">
            <w:pPr>
              <w:jc w:val="both"/>
              <w:rPr>
                <w:rFonts w:ascii="Arial" w:hAnsi="Arial" w:cs="Arial"/>
                <w:color w:val="000000" w:themeColor="text1"/>
                <w:sz w:val="16"/>
                <w:szCs w:val="16"/>
                <w:lang w:val="es-ES_tradnl" w:eastAsia="es-ES"/>
              </w:rPr>
            </w:pPr>
            <w:r w:rsidRPr="00766896">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3DFAA" w14:textId="77777777" w:rsidR="00134E7E" w:rsidRPr="00766896" w:rsidRDefault="00134E7E" w:rsidP="00134E7E">
            <w:pPr>
              <w:jc w:val="both"/>
              <w:rPr>
                <w:rFonts w:ascii="Arial" w:hAnsi="Arial" w:cs="Arial"/>
                <w:color w:val="000000" w:themeColor="text1"/>
                <w:sz w:val="16"/>
                <w:szCs w:val="16"/>
                <w:lang w:val="es-ES_tradnl" w:eastAsia="es-ES"/>
              </w:rPr>
            </w:pPr>
            <w:r w:rsidRPr="00766896">
              <w:rPr>
                <w:rFonts w:ascii="Arial" w:hAnsi="Arial" w:cs="Arial"/>
                <w:color w:val="000000" w:themeColor="text1"/>
                <w:sz w:val="16"/>
                <w:szCs w:val="16"/>
                <w:lang w:val="es-ES_tradnl" w:eastAsia="es-ES"/>
              </w:rPr>
              <w:t>Jorge Augusto Tirado Navarro</w:t>
            </w:r>
          </w:p>
          <w:p w14:paraId="1ADC483B" w14:textId="1C385A7F" w:rsidR="00DD5B04" w:rsidRPr="00A43C00" w:rsidRDefault="00134E7E" w:rsidP="00134E7E">
            <w:pPr>
              <w:jc w:val="both"/>
              <w:rPr>
                <w:rFonts w:ascii="Arial" w:hAnsi="Arial" w:cs="Arial"/>
                <w:color w:val="000000" w:themeColor="text1"/>
                <w:sz w:val="16"/>
                <w:szCs w:val="16"/>
                <w:lang w:val="es-ES_tradnl" w:eastAsia="es-ES"/>
              </w:rPr>
            </w:pPr>
            <w:r w:rsidRPr="00766896">
              <w:rPr>
                <w:rFonts w:ascii="Arial" w:hAnsi="Arial" w:cs="Arial"/>
                <w:color w:val="000000" w:themeColor="text1"/>
                <w:sz w:val="16"/>
                <w:szCs w:val="16"/>
                <w:lang w:val="es-ES_tradnl" w:eastAsia="es-ES"/>
              </w:rPr>
              <w:t>Subdirector de Gestión Contractual ANCP – CCE</w:t>
            </w:r>
          </w:p>
        </w:tc>
      </w:tr>
    </w:tbl>
    <w:p w14:paraId="35B56F46" w14:textId="77777777" w:rsidR="00746E08" w:rsidRPr="00A43C00" w:rsidRDefault="00746E08" w:rsidP="00215B8E">
      <w:pPr>
        <w:jc w:val="both"/>
        <w:rPr>
          <w:rFonts w:ascii="Arial" w:hAnsi="Arial" w:cs="Arial"/>
          <w:lang w:val="es-ES_tradnl"/>
        </w:rPr>
      </w:pPr>
    </w:p>
    <w:sectPr w:rsidR="00746E08" w:rsidRPr="00A43C0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AD6B1" w14:textId="77777777" w:rsidR="000373D1" w:rsidRDefault="000373D1">
      <w:r>
        <w:separator/>
      </w:r>
    </w:p>
  </w:endnote>
  <w:endnote w:type="continuationSeparator" w:id="0">
    <w:p w14:paraId="557FBB54" w14:textId="77777777" w:rsidR="000373D1" w:rsidRDefault="000373D1">
      <w:r>
        <w:continuationSeparator/>
      </w:r>
    </w:p>
  </w:endnote>
  <w:endnote w:type="continuationNotice" w:id="1">
    <w:p w14:paraId="2C346489" w14:textId="77777777" w:rsidR="000373D1" w:rsidRDefault="00037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264646" w:rsidRDefault="00264646" w:rsidP="00322937">
    <w:pPr>
      <w:pStyle w:val="Sinespaciado"/>
      <w:jc w:val="right"/>
      <w:rPr>
        <w:rFonts w:ascii="Arial" w:hAnsi="Arial" w:cs="Arial"/>
        <w:sz w:val="18"/>
        <w:szCs w:val="18"/>
      </w:rPr>
    </w:pPr>
  </w:p>
  <w:p w14:paraId="7A3785F3" w14:textId="2EF28465" w:rsidR="00264646" w:rsidRPr="008217B7" w:rsidRDefault="0026464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264646" w:rsidRDefault="00264646"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264646" w:rsidRDefault="00264646" w:rsidP="007B0854">
    <w:pPr>
      <w:pStyle w:val="Piedepgina"/>
      <w:jc w:val="center"/>
      <w:rPr>
        <w:lang w:val="es-ES"/>
      </w:rPr>
    </w:pPr>
  </w:p>
  <w:p w14:paraId="6C0EFC49" w14:textId="77777777" w:rsidR="00264646" w:rsidRPr="007B0854" w:rsidRDefault="00264646"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B91C5" w14:textId="77777777" w:rsidR="000373D1" w:rsidRDefault="000373D1">
      <w:r>
        <w:separator/>
      </w:r>
    </w:p>
  </w:footnote>
  <w:footnote w:type="continuationSeparator" w:id="0">
    <w:p w14:paraId="6794AAB2" w14:textId="77777777" w:rsidR="000373D1" w:rsidRDefault="000373D1">
      <w:r>
        <w:continuationSeparator/>
      </w:r>
    </w:p>
  </w:footnote>
  <w:footnote w:type="continuationNotice" w:id="1">
    <w:p w14:paraId="44BD4A74" w14:textId="77777777" w:rsidR="000373D1" w:rsidRDefault="000373D1"/>
  </w:footnote>
  <w:footnote w:id="2">
    <w:p w14:paraId="1ED7CA86" w14:textId="77777777" w:rsidR="00264646" w:rsidRPr="008640C4" w:rsidRDefault="00264646" w:rsidP="009A0F66">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57813518" w14:textId="77777777" w:rsidR="00264646" w:rsidRPr="008640C4" w:rsidRDefault="00264646" w:rsidP="009A0F66">
      <w:pPr>
        <w:pStyle w:val="Textonotapie"/>
        <w:ind w:firstLine="709"/>
        <w:jc w:val="both"/>
        <w:rPr>
          <w:rFonts w:ascii="Arial" w:hAnsi="Arial" w:cs="Arial"/>
          <w:sz w:val="19"/>
          <w:szCs w:val="19"/>
          <w:lang w:val="es-ES"/>
        </w:rPr>
      </w:pPr>
    </w:p>
  </w:footnote>
  <w:footnote w:id="3">
    <w:p w14:paraId="12DEBF53" w14:textId="77777777" w:rsidR="00264646" w:rsidRPr="008640C4" w:rsidRDefault="00264646" w:rsidP="009A0F66">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065E9252" w14:textId="77777777" w:rsidR="00264646" w:rsidRPr="008640C4" w:rsidRDefault="00264646" w:rsidP="009A0F66">
      <w:pPr>
        <w:pStyle w:val="Textonotapie"/>
        <w:ind w:firstLine="709"/>
        <w:jc w:val="both"/>
        <w:rPr>
          <w:rFonts w:ascii="Arial" w:hAnsi="Arial" w:cs="Arial"/>
          <w:sz w:val="19"/>
          <w:szCs w:val="19"/>
          <w:lang w:val="es-ES"/>
        </w:rPr>
      </w:pPr>
    </w:p>
  </w:footnote>
  <w:footnote w:id="4">
    <w:p w14:paraId="75200BFB" w14:textId="77777777" w:rsidR="00264646" w:rsidRPr="008640C4" w:rsidRDefault="00264646" w:rsidP="009A0F66">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6978A53A" w14:textId="77777777" w:rsidR="00264646" w:rsidRPr="008640C4" w:rsidRDefault="00264646" w:rsidP="009A0F66">
      <w:pPr>
        <w:pStyle w:val="Textonotapie"/>
        <w:ind w:firstLine="709"/>
        <w:jc w:val="both"/>
        <w:rPr>
          <w:rFonts w:ascii="Arial" w:hAnsi="Arial" w:cs="Arial"/>
          <w:sz w:val="19"/>
          <w:szCs w:val="19"/>
          <w:lang w:val="es-ES"/>
        </w:rPr>
      </w:pPr>
    </w:p>
  </w:footnote>
  <w:footnote w:id="5">
    <w:p w14:paraId="54678473" w14:textId="77777777" w:rsidR="00264646" w:rsidRPr="008640C4" w:rsidRDefault="00264646" w:rsidP="009A0F66">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22511C93" w14:textId="77777777" w:rsidR="00264646" w:rsidRPr="008640C4" w:rsidRDefault="00264646" w:rsidP="009A0F66">
      <w:pPr>
        <w:pStyle w:val="Textonotapie"/>
        <w:ind w:firstLine="709"/>
        <w:jc w:val="both"/>
        <w:rPr>
          <w:rFonts w:ascii="Arial" w:hAnsi="Arial" w:cs="Arial"/>
          <w:sz w:val="19"/>
          <w:szCs w:val="19"/>
          <w:lang w:val="es-ES"/>
        </w:rPr>
      </w:pPr>
    </w:p>
  </w:footnote>
  <w:footnote w:id="6">
    <w:p w14:paraId="1CC2035A" w14:textId="77777777" w:rsidR="00264646" w:rsidRPr="008640C4" w:rsidRDefault="00264646" w:rsidP="009A0F66">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5A076644" w14:textId="77777777" w:rsidR="00264646" w:rsidRPr="008640C4" w:rsidRDefault="00264646" w:rsidP="009A0F66">
      <w:pPr>
        <w:pStyle w:val="Textonotapie"/>
        <w:ind w:firstLine="709"/>
        <w:jc w:val="both"/>
        <w:rPr>
          <w:rFonts w:ascii="Arial" w:hAnsi="Arial" w:cs="Arial"/>
          <w:sz w:val="19"/>
          <w:szCs w:val="19"/>
          <w:lang w:val="es-ES"/>
        </w:rPr>
      </w:pPr>
    </w:p>
  </w:footnote>
  <w:footnote w:id="7">
    <w:p w14:paraId="69D3C017" w14:textId="77777777" w:rsidR="00264646" w:rsidRPr="001F5C3E" w:rsidRDefault="00264646" w:rsidP="002D13CC">
      <w:pPr>
        <w:pStyle w:val="Textonotapie"/>
        <w:ind w:firstLine="708"/>
        <w:jc w:val="both"/>
        <w:rPr>
          <w:rFonts w:ascii="Arial" w:hAnsi="Arial" w:cs="Arial"/>
          <w:bCs/>
          <w:color w:val="000000" w:themeColor="text1"/>
          <w:sz w:val="19"/>
          <w:szCs w:val="19"/>
        </w:rPr>
      </w:pPr>
      <w:r w:rsidRPr="001F5C3E">
        <w:rPr>
          <w:rStyle w:val="Refdenotaalpie"/>
          <w:rFonts w:ascii="Arial" w:hAnsi="Arial" w:cs="Arial"/>
          <w:color w:val="000000" w:themeColor="text1"/>
          <w:sz w:val="19"/>
          <w:szCs w:val="19"/>
        </w:rPr>
        <w:footnoteRef/>
      </w:r>
      <w:r w:rsidRPr="001F5C3E">
        <w:rPr>
          <w:rFonts w:ascii="Arial" w:hAnsi="Arial" w:cs="Arial"/>
          <w:color w:val="000000" w:themeColor="text1"/>
          <w:sz w:val="19"/>
          <w:szCs w:val="19"/>
        </w:rPr>
        <w:t xml:space="preserve"> </w:t>
      </w:r>
      <w:r w:rsidRPr="001F5C3E">
        <w:rPr>
          <w:rFonts w:ascii="Arial" w:hAnsi="Arial" w:cs="Arial"/>
          <w:bCs/>
          <w:color w:val="000000" w:themeColor="text1"/>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1F5C3E">
        <w:rPr>
          <w:rFonts w:ascii="Arial" w:hAnsi="Arial" w:cs="Arial"/>
          <w:color w:val="000000" w:themeColor="text1"/>
          <w:sz w:val="19"/>
          <w:szCs w:val="19"/>
        </w:rPr>
        <w:t xml:space="preserve">CONSEJO NACIONAL DE POLÍTICA ECONÓMICA Y SOCIAL. Documento 3956 del 8 de enero de 2019: «Política de formalización empresarial». Archivo consultado el 8 de febrero de 2021 en la página web </w:t>
      </w:r>
      <w:hyperlink r:id="rId1" w:history="1">
        <w:r w:rsidRPr="001F5C3E">
          <w:rPr>
            <w:rStyle w:val="Hipervnculo"/>
            <w:rFonts w:ascii="Arial" w:hAnsi="Arial" w:cs="Arial"/>
            <w:color w:val="000000" w:themeColor="text1"/>
            <w:sz w:val="19"/>
            <w:szCs w:val="19"/>
          </w:rPr>
          <w:t>https://colaboracion.dnp.gov.co/CDT/Conpes/Econ%C3%B3micos/3956.pdf</w:t>
        </w:r>
      </w:hyperlink>
      <w:r w:rsidRPr="001F5C3E">
        <w:rPr>
          <w:rFonts w:ascii="Arial" w:hAnsi="Arial" w:cs="Arial"/>
          <w:color w:val="000000" w:themeColor="text1"/>
          <w:sz w:val="19"/>
          <w:szCs w:val="19"/>
        </w:rPr>
        <w:t xml:space="preserve">).  </w:t>
      </w:r>
    </w:p>
    <w:p w14:paraId="7B7D0F90" w14:textId="77777777" w:rsidR="00264646" w:rsidRPr="00AA2812" w:rsidRDefault="00264646" w:rsidP="002D13CC">
      <w:pPr>
        <w:pStyle w:val="Textonotapie"/>
        <w:ind w:firstLine="708"/>
        <w:jc w:val="both"/>
        <w:rPr>
          <w:rFonts w:ascii="Arial" w:hAnsi="Arial" w:cs="Arial"/>
          <w:sz w:val="19"/>
          <w:szCs w:val="19"/>
          <w:lang w:val="es-ES"/>
        </w:rPr>
      </w:pPr>
    </w:p>
  </w:footnote>
  <w:footnote w:id="8">
    <w:p w14:paraId="07CB0605" w14:textId="77777777" w:rsidR="00264646" w:rsidRPr="00A1541C" w:rsidRDefault="00264646" w:rsidP="002D13CC">
      <w:pPr>
        <w:pStyle w:val="Textonotapie"/>
        <w:ind w:firstLine="708"/>
        <w:jc w:val="both"/>
        <w:rPr>
          <w:rFonts w:ascii="Arial" w:hAnsi="Arial" w:cs="Arial"/>
          <w:sz w:val="19"/>
          <w:szCs w:val="19"/>
          <w:lang w:val="es-ES"/>
        </w:rPr>
      </w:pPr>
      <w:r w:rsidRPr="00A1541C">
        <w:rPr>
          <w:rStyle w:val="Refdenotaalpie"/>
          <w:rFonts w:ascii="Arial" w:hAnsi="Arial" w:cs="Arial"/>
          <w:sz w:val="19"/>
          <w:szCs w:val="19"/>
        </w:rPr>
        <w:footnoteRef/>
      </w:r>
      <w:r>
        <w:rPr>
          <w:rFonts w:ascii="Arial" w:hAnsi="Arial" w:cs="Arial"/>
          <w:sz w:val="19"/>
          <w:szCs w:val="19"/>
        </w:rPr>
        <w:t xml:space="preserve"> </w:t>
      </w:r>
      <w:bookmarkStart w:id="5" w:name="_Hlk63862868"/>
      <w:r>
        <w:rPr>
          <w:rFonts w:ascii="Arial" w:hAnsi="Arial" w:cs="Arial"/>
          <w:sz w:val="19"/>
          <w:szCs w:val="19"/>
        </w:rPr>
        <w:t xml:space="preserve">CONGRESO DE LA REPÚBLICA. Gaceta No. 670 del 11 de agosto de 2020. Exposición de motivos del Proyecto de Ley No. 122 de 2020 Cámara. p. 13. </w:t>
      </w:r>
    </w:p>
    <w:bookmarkEnd w:id="5"/>
  </w:footnote>
  <w:footnote w:id="9">
    <w:p w14:paraId="413E4405" w14:textId="77777777" w:rsidR="00264646" w:rsidRPr="00614771" w:rsidRDefault="00264646" w:rsidP="00CE6103">
      <w:pPr>
        <w:pStyle w:val="Textonotapie"/>
        <w:ind w:firstLine="708"/>
        <w:jc w:val="both"/>
        <w:rPr>
          <w:rFonts w:ascii="Arial" w:hAnsi="Arial" w:cs="Arial"/>
          <w:sz w:val="19"/>
          <w:szCs w:val="19"/>
          <w:lang w:val="es-ES"/>
        </w:rPr>
      </w:pPr>
      <w:r w:rsidRPr="00614771">
        <w:rPr>
          <w:rStyle w:val="Refdenotaalpie"/>
          <w:rFonts w:ascii="Arial" w:hAnsi="Arial" w:cs="Arial"/>
          <w:sz w:val="19"/>
          <w:szCs w:val="19"/>
        </w:rPr>
        <w:footnoteRef/>
      </w:r>
      <w:r w:rsidRPr="00614771">
        <w:rPr>
          <w:rFonts w:ascii="Arial" w:hAnsi="Arial" w:cs="Arial"/>
          <w:sz w:val="19"/>
          <w:szCs w:val="19"/>
        </w:rPr>
        <w:t xml:space="preserve"> </w:t>
      </w:r>
      <w:r>
        <w:rPr>
          <w:rFonts w:ascii="Arial" w:hAnsi="Arial" w:cs="Arial"/>
          <w:sz w:val="19"/>
          <w:szCs w:val="19"/>
        </w:rPr>
        <w:t>El artículo 189.11 de la Constitución Política de 1991 dispone que corresponde al Presidente de la República «</w:t>
      </w:r>
      <w:r w:rsidRPr="00614771">
        <w:rPr>
          <w:rFonts w:ascii="Arial" w:hAnsi="Arial" w:cs="Arial"/>
          <w:sz w:val="19"/>
          <w:szCs w:val="19"/>
        </w:rPr>
        <w:t>Ejercer la potestad reglamentaria, mediante la expedición de los decretos, resoluciones y órdenes necesarios para la cumplida ejecución de las leyes</w:t>
      </w:r>
      <w:r>
        <w:rPr>
          <w:rFonts w:ascii="Arial" w:hAnsi="Arial" w:cs="Arial"/>
          <w:sz w:val="19"/>
          <w:szCs w:val="19"/>
        </w:rPr>
        <w:t xml:space="preserve">».  </w:t>
      </w:r>
    </w:p>
  </w:footnote>
  <w:footnote w:id="10">
    <w:p w14:paraId="0CC45D2B" w14:textId="77777777" w:rsidR="00264646" w:rsidRDefault="00264646" w:rsidP="00CE6103">
      <w:pPr>
        <w:pStyle w:val="Textonotapie"/>
        <w:ind w:firstLine="708"/>
        <w:jc w:val="both"/>
        <w:rPr>
          <w:rFonts w:ascii="Arial" w:hAnsi="Arial" w:cs="Arial"/>
          <w:sz w:val="19"/>
          <w:szCs w:val="19"/>
        </w:rPr>
      </w:pPr>
      <w:r w:rsidRPr="00DA1F59">
        <w:rPr>
          <w:rStyle w:val="Refdenotaalpie"/>
          <w:rFonts w:ascii="Arial" w:hAnsi="Arial" w:cs="Arial"/>
          <w:sz w:val="19"/>
          <w:szCs w:val="19"/>
        </w:rPr>
        <w:footnoteRef/>
      </w:r>
      <w:r w:rsidRPr="00DA1F59">
        <w:rPr>
          <w:rFonts w:ascii="Arial" w:hAnsi="Arial" w:cs="Arial"/>
          <w:sz w:val="19"/>
          <w:szCs w:val="19"/>
        </w:rPr>
        <w:t xml:space="preserve"> No en vano, la Corte Constitucional explica que</w:t>
      </w:r>
      <w:r>
        <w:rPr>
          <w:rFonts w:ascii="Arial" w:hAnsi="Arial" w:cs="Arial"/>
          <w:sz w:val="19"/>
          <w:szCs w:val="19"/>
        </w:rPr>
        <w:t xml:space="preserve"> estos casos la potestad reglamentaria</w:t>
      </w:r>
      <w:r w:rsidRPr="00DA1F59">
        <w:rPr>
          <w:rFonts w:ascii="Arial" w:hAnsi="Arial" w:cs="Arial"/>
          <w:sz w:val="19"/>
          <w:szCs w:val="19"/>
        </w:rPr>
        <w:t xml:space="preserve"> «[…] puede ejercerse por </w:t>
      </w:r>
      <w:r>
        <w:rPr>
          <w:rFonts w:ascii="Arial" w:hAnsi="Arial" w:cs="Arial"/>
          <w:sz w:val="19"/>
          <w:szCs w:val="19"/>
        </w:rPr>
        <w:t>[el Gobierno Nacional]</w:t>
      </w:r>
      <w:r w:rsidRPr="00DA1F59">
        <w:rPr>
          <w:rFonts w:ascii="Arial" w:hAnsi="Arial" w:cs="Arial"/>
          <w:sz w:val="19"/>
          <w:szCs w:val="19"/>
        </w:rPr>
        <w:t xml:space="preserve">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w:t>
      </w:r>
      <w:r>
        <w:rPr>
          <w:rFonts w:ascii="Arial" w:hAnsi="Arial" w:cs="Arial"/>
          <w:sz w:val="19"/>
          <w:szCs w:val="19"/>
        </w:rPr>
        <w:t xml:space="preserve">. </w:t>
      </w:r>
      <w:r w:rsidRPr="00132DBE">
        <w:rPr>
          <w:rFonts w:ascii="Arial" w:hAnsi="Arial" w:cs="Arial"/>
          <w:sz w:val="19"/>
          <w:szCs w:val="19"/>
        </w:rPr>
        <w:t xml:space="preserve">Tal mandato del legislador no impide que el Presidente expida la reglamentación antes del término previsto, ni lo inhabilita para el ejercicio de la potestad reglamentaria vencido ese plazo. Tampoco implica que expedida una reglamentación dentro del plazo fijado por el legislador el Presidente pierda competencia para expedir nuevos reglamentos o para modificar, adicionar o derogar sus propios reglamentos. </w:t>
      </w:r>
      <w:r w:rsidRPr="00132DBE">
        <w:rPr>
          <w:rFonts w:ascii="Arial" w:hAnsi="Arial" w:cs="Arial"/>
          <w:i/>
          <w:iCs/>
          <w:sz w:val="19"/>
          <w:szCs w:val="19"/>
        </w:rPr>
        <w:t>La única consecuencia normativa del término establecido por el legislador es la de imponerle al Presidente de la República el deber de reglamentar la ley dentro de dicho plazo</w:t>
      </w:r>
      <w:r>
        <w:rPr>
          <w:rFonts w:ascii="Arial" w:hAnsi="Arial" w:cs="Arial"/>
          <w:sz w:val="19"/>
          <w:szCs w:val="19"/>
        </w:rPr>
        <w:t>» (CORTE CONSTITUCIONAL. Sentencia C-805 de 2001. M.P. Rodrigo Escobar Gil. Corchetes y énfasis fuera de texto).</w:t>
      </w:r>
      <w:r w:rsidRPr="00DA1F59">
        <w:rPr>
          <w:rFonts w:ascii="Arial" w:hAnsi="Arial" w:cs="Arial"/>
          <w:sz w:val="19"/>
          <w:szCs w:val="19"/>
        </w:rPr>
        <w:t xml:space="preserve">  </w:t>
      </w:r>
    </w:p>
    <w:p w14:paraId="6436FCEE" w14:textId="77777777" w:rsidR="00264646" w:rsidRPr="00DA1F59" w:rsidRDefault="00264646" w:rsidP="00CE6103">
      <w:pPr>
        <w:pStyle w:val="Textonotapie"/>
        <w:ind w:firstLine="708"/>
        <w:jc w:val="both"/>
        <w:rPr>
          <w:rFonts w:ascii="Arial" w:hAnsi="Arial" w:cs="Arial"/>
          <w:sz w:val="19"/>
          <w:szCs w:val="19"/>
          <w:lang w:val="es-ES"/>
        </w:rPr>
      </w:pPr>
    </w:p>
  </w:footnote>
  <w:footnote w:id="11">
    <w:p w14:paraId="2C922D26" w14:textId="520BE921" w:rsidR="00264646" w:rsidRDefault="00264646" w:rsidP="00CE6103">
      <w:pPr>
        <w:pStyle w:val="Textonotapie"/>
        <w:ind w:firstLine="708"/>
        <w:jc w:val="both"/>
        <w:rPr>
          <w:rFonts w:ascii="Arial" w:hAnsi="Arial" w:cs="Arial"/>
          <w:sz w:val="19"/>
          <w:szCs w:val="19"/>
        </w:rPr>
      </w:pPr>
      <w:r w:rsidRPr="0053325A">
        <w:rPr>
          <w:rStyle w:val="Refdenotaalpie"/>
          <w:rFonts w:ascii="Arial" w:hAnsi="Arial" w:cs="Arial"/>
          <w:sz w:val="19"/>
          <w:szCs w:val="19"/>
        </w:rPr>
        <w:footnoteRef/>
      </w:r>
      <w:r w:rsidRPr="0053325A">
        <w:rPr>
          <w:rFonts w:ascii="Arial" w:hAnsi="Arial" w:cs="Arial"/>
          <w:sz w:val="19"/>
          <w:szCs w:val="19"/>
        </w:rPr>
        <w:t xml:space="preserve"> </w:t>
      </w:r>
      <w:r>
        <w:rPr>
          <w:rFonts w:ascii="Arial" w:hAnsi="Arial" w:cs="Arial"/>
          <w:sz w:val="19"/>
          <w:szCs w:val="19"/>
        </w:rPr>
        <w:t xml:space="preserve">GUASTINI, Riccardo. Interpretar y argumentar. Madrid: Centro de Estudios Políticos y Constitucionales, 2014. p. 145. El autor también propone los siguientes ejemplos de </w:t>
      </w:r>
      <w:r w:rsidRPr="00122311">
        <w:rPr>
          <w:rFonts w:ascii="Arial" w:hAnsi="Arial" w:cs="Arial"/>
          <w:i/>
          <w:iCs/>
          <w:sz w:val="19"/>
          <w:szCs w:val="19"/>
        </w:rPr>
        <w:t>lagunas técnicas</w:t>
      </w:r>
      <w:r>
        <w:rPr>
          <w:rFonts w:ascii="Arial" w:hAnsi="Arial" w:cs="Arial"/>
          <w:sz w:val="19"/>
          <w:szCs w:val="19"/>
        </w:rPr>
        <w:t xml:space="preserve">: «[…] </w:t>
      </w:r>
      <w:r w:rsidRPr="00122311">
        <w:rPr>
          <w:rFonts w:ascii="Arial" w:hAnsi="Arial" w:cs="Arial"/>
          <w:sz w:val="19"/>
          <w:szCs w:val="19"/>
        </w:rPr>
        <w:t>una norma prescribe la periódica convocatoria de un</w:t>
      </w:r>
      <w:r>
        <w:rPr>
          <w:rFonts w:ascii="Arial" w:hAnsi="Arial" w:cs="Arial"/>
          <w:sz w:val="19"/>
          <w:szCs w:val="19"/>
        </w:rPr>
        <w:t xml:space="preserve"> </w:t>
      </w:r>
      <w:r w:rsidRPr="00122311">
        <w:rPr>
          <w:rFonts w:ascii="Arial" w:hAnsi="Arial" w:cs="Arial"/>
          <w:sz w:val="19"/>
          <w:szCs w:val="19"/>
        </w:rPr>
        <w:t>órgano; pero ninguna norma determina qué sujeto es el competente para</w:t>
      </w:r>
      <w:r>
        <w:rPr>
          <w:rFonts w:ascii="Arial" w:hAnsi="Arial" w:cs="Arial"/>
          <w:sz w:val="19"/>
          <w:szCs w:val="19"/>
        </w:rPr>
        <w:t xml:space="preserve"> </w:t>
      </w:r>
      <w:r w:rsidRPr="00122311">
        <w:rPr>
          <w:rFonts w:ascii="Arial" w:hAnsi="Arial" w:cs="Arial"/>
          <w:sz w:val="19"/>
          <w:szCs w:val="19"/>
        </w:rPr>
        <w:t>convocarlo; una norma instituye cierto órgano electivo, pero ninguna</w:t>
      </w:r>
      <w:r>
        <w:rPr>
          <w:rFonts w:ascii="Arial" w:hAnsi="Arial" w:cs="Arial"/>
          <w:sz w:val="19"/>
          <w:szCs w:val="19"/>
        </w:rPr>
        <w:t xml:space="preserve"> </w:t>
      </w:r>
      <w:r w:rsidRPr="00122311">
        <w:rPr>
          <w:rFonts w:ascii="Arial" w:hAnsi="Arial" w:cs="Arial"/>
          <w:sz w:val="19"/>
          <w:szCs w:val="19"/>
        </w:rPr>
        <w:t>norma establece qué sistema electoral debe adoptarse; una norma recomienda perseguir cierto fin, pero ninguna norma establece qué medios</w:t>
      </w:r>
      <w:r>
        <w:rPr>
          <w:rFonts w:ascii="Arial" w:hAnsi="Arial" w:cs="Arial"/>
          <w:sz w:val="19"/>
          <w:szCs w:val="19"/>
        </w:rPr>
        <w:t xml:space="preserve"> </w:t>
      </w:r>
      <w:r w:rsidRPr="00122311">
        <w:rPr>
          <w:rFonts w:ascii="Arial" w:hAnsi="Arial" w:cs="Arial"/>
          <w:sz w:val="19"/>
          <w:szCs w:val="19"/>
        </w:rPr>
        <w:t>deben utilizarse; etc</w:t>
      </w:r>
      <w:r>
        <w:rPr>
          <w:rFonts w:ascii="Arial" w:hAnsi="Arial" w:cs="Arial"/>
          <w:sz w:val="19"/>
          <w:szCs w:val="19"/>
        </w:rPr>
        <w:t>.» (</w:t>
      </w:r>
      <w:r w:rsidRPr="0040085D">
        <w:rPr>
          <w:rFonts w:ascii="Arial" w:hAnsi="Arial" w:cs="Arial"/>
          <w:i/>
          <w:iCs/>
          <w:sz w:val="19"/>
          <w:szCs w:val="19"/>
        </w:rPr>
        <w:t>Ibidem</w:t>
      </w:r>
      <w:r>
        <w:rPr>
          <w:rFonts w:ascii="Arial" w:hAnsi="Arial" w:cs="Arial"/>
          <w:sz w:val="19"/>
          <w:szCs w:val="19"/>
        </w:rPr>
        <w:t xml:space="preserve">).  </w:t>
      </w:r>
    </w:p>
    <w:p w14:paraId="2DFB7C5E" w14:textId="77777777" w:rsidR="00264646" w:rsidRPr="00122311" w:rsidRDefault="00264646" w:rsidP="00CE6103">
      <w:pPr>
        <w:pStyle w:val="Textonotapie"/>
        <w:ind w:firstLine="708"/>
        <w:jc w:val="both"/>
        <w:rPr>
          <w:rFonts w:ascii="Arial" w:hAnsi="Arial" w:cs="Arial"/>
          <w:sz w:val="19"/>
          <w:szCs w:val="19"/>
        </w:rPr>
      </w:pPr>
    </w:p>
  </w:footnote>
  <w:footnote w:id="12">
    <w:p w14:paraId="444DF921" w14:textId="77777777" w:rsidR="00264646" w:rsidRPr="006B567C" w:rsidRDefault="00264646" w:rsidP="0055291B">
      <w:pPr>
        <w:spacing w:line="259" w:lineRule="auto"/>
        <w:ind w:firstLine="708"/>
        <w:jc w:val="both"/>
        <w:rPr>
          <w:rFonts w:ascii="Arial" w:hAnsi="Arial" w:cs="Arial"/>
          <w:sz w:val="19"/>
          <w:szCs w:val="19"/>
        </w:rPr>
      </w:pPr>
      <w:r w:rsidRPr="00E611D3">
        <w:rPr>
          <w:rStyle w:val="Refdenotaalpie"/>
          <w:rFonts w:ascii="Arial" w:hAnsi="Arial" w:cs="Arial"/>
          <w:sz w:val="19"/>
          <w:szCs w:val="19"/>
        </w:rPr>
        <w:footnoteRef/>
      </w:r>
      <w:r w:rsidRPr="00E611D3">
        <w:rPr>
          <w:rFonts w:ascii="Arial" w:hAnsi="Arial" w:cs="Arial"/>
          <w:sz w:val="19"/>
          <w:szCs w:val="19"/>
        </w:rPr>
        <w:t xml:space="preserve"> </w:t>
      </w:r>
      <w:r w:rsidRPr="00092D39">
        <w:rPr>
          <w:rFonts w:ascii="Arial" w:hAnsi="Arial" w:cs="Arial"/>
          <w:sz w:val="19"/>
          <w:szCs w:val="19"/>
        </w:rPr>
        <w:t xml:space="preserve">El parágrafo 2 de la norma citada disponía que «El Gobierno nacional reglamentará el procedimiento de la cesión del contrato de que trata este artículo, en término no mayor a seis (6) meses». No obstante, conforme al comunicado de prensa del 25 de febrero de 2021, la norma fue declarada inexequible por la Corte Constitucional. Para estos efectos, «[…] la Corte consideró inexequible la atribución de facultades reglamentarias para el propósito de señalar cómo y a quién se va a ceder el contrato, pues tales asuntos deben ser definidos directamente por la ley […]». Por lo demás, «[…] Aclaró que la potestad reglamentaria opera solamente después de esta determinación legislativa» (Cfr. </w:t>
      </w:r>
      <w:hyperlink r:id="rId2" w:history="1">
        <w:r w:rsidRPr="00852C30">
          <w:rPr>
            <w:rStyle w:val="Hipervnculo"/>
            <w:rFonts w:ascii="Arial" w:hAnsi="Arial" w:cs="Arial"/>
            <w:color w:val="0E63A8" w:themeColor="text2"/>
            <w:sz w:val="19"/>
            <w:szCs w:val="19"/>
          </w:rPr>
          <w:t>https://www.beltranpardo.com/wp-content/uploads/2021/02/CorteConstitucional_Inexequibilidadpar%C3%A1grafo2Art6L2014.pdf</w:t>
        </w:r>
      </w:hyperlink>
      <w:r w:rsidRPr="00092D39">
        <w:rPr>
          <w:rFonts w:ascii="Arial" w:hAnsi="Arial" w:cs="Arial"/>
          <w:sz w:val="19"/>
          <w:szCs w:val="19"/>
        </w:rPr>
        <w:t>).</w:t>
      </w:r>
      <w:r>
        <w:rPr>
          <w:rFonts w:ascii="Arial" w:hAnsi="Arial" w:cs="Arial"/>
          <w:sz w:val="19"/>
          <w:szCs w:val="19"/>
        </w:rPr>
        <w:t xml:space="preserve">  </w:t>
      </w:r>
    </w:p>
    <w:p w14:paraId="7E5B39EE" w14:textId="77777777" w:rsidR="00264646" w:rsidRPr="00E611D3" w:rsidRDefault="00264646" w:rsidP="0055291B">
      <w:pPr>
        <w:pStyle w:val="Textonotapie"/>
        <w:ind w:firstLine="708"/>
        <w:jc w:val="both"/>
        <w:rPr>
          <w:rFonts w:ascii="Arial" w:hAnsi="Arial" w:cs="Arial"/>
          <w:sz w:val="19"/>
          <w:szCs w:val="19"/>
          <w:lang w:val="es-ES"/>
        </w:rPr>
      </w:pPr>
    </w:p>
  </w:footnote>
  <w:footnote w:id="13">
    <w:p w14:paraId="65EF1AD3" w14:textId="77777777" w:rsidR="00264646" w:rsidRPr="0040085D" w:rsidRDefault="00264646" w:rsidP="00CE6103">
      <w:pPr>
        <w:pStyle w:val="Textonotapie"/>
        <w:ind w:firstLine="708"/>
        <w:jc w:val="both"/>
        <w:rPr>
          <w:rFonts w:ascii="Arial" w:hAnsi="Arial" w:cs="Arial"/>
          <w:sz w:val="19"/>
          <w:szCs w:val="19"/>
          <w:lang w:val="es-ES"/>
        </w:rPr>
      </w:pPr>
      <w:r w:rsidRPr="0040085D">
        <w:rPr>
          <w:rStyle w:val="Refdenotaalpie"/>
          <w:rFonts w:ascii="Arial" w:hAnsi="Arial" w:cs="Arial"/>
          <w:sz w:val="19"/>
          <w:szCs w:val="19"/>
        </w:rPr>
        <w:footnoteRef/>
      </w:r>
      <w:r w:rsidRPr="0040085D">
        <w:rPr>
          <w:rFonts w:ascii="Arial" w:hAnsi="Arial" w:cs="Arial"/>
          <w:sz w:val="19"/>
          <w:szCs w:val="19"/>
        </w:rPr>
        <w:t xml:space="preserve"> </w:t>
      </w:r>
      <w:r>
        <w:rPr>
          <w:rFonts w:ascii="Arial" w:hAnsi="Arial" w:cs="Arial"/>
          <w:sz w:val="19"/>
          <w:szCs w:val="19"/>
        </w:rPr>
        <w:t xml:space="preserve">Cfr. </w:t>
      </w:r>
      <w:r w:rsidRPr="0040085D">
        <w:rPr>
          <w:rFonts w:ascii="Arial" w:hAnsi="Arial" w:cs="Arial"/>
          <w:sz w:val="19"/>
          <w:szCs w:val="19"/>
        </w:rPr>
        <w:t>CORTE CONSTITUCIONAL. Sentencia C-619 del 14 de junio de 2001. M.P. Marco Gerardo Monr</w:t>
      </w:r>
      <w:r>
        <w:rPr>
          <w:rFonts w:ascii="Arial" w:hAnsi="Arial" w:cs="Arial"/>
          <w:sz w:val="19"/>
          <w:szCs w:val="19"/>
        </w:rPr>
        <w:t>o</w:t>
      </w:r>
      <w:r w:rsidRPr="0040085D">
        <w:rPr>
          <w:rFonts w:ascii="Arial" w:hAnsi="Arial" w:cs="Arial"/>
          <w:sz w:val="19"/>
          <w:szCs w:val="19"/>
        </w:rPr>
        <w:t>y Cabra</w:t>
      </w:r>
      <w:r>
        <w:rPr>
          <w:rFonts w:ascii="Arial" w:hAnsi="Arial" w:cs="Arial"/>
          <w:sz w:val="19"/>
          <w:szCs w:val="19"/>
        </w:rPr>
        <w:t xml:space="preserve">. </w:t>
      </w:r>
    </w:p>
  </w:footnote>
  <w:footnote w:id="14">
    <w:p w14:paraId="14A4F9D9" w14:textId="77777777" w:rsidR="00264646" w:rsidRDefault="00264646" w:rsidP="00CE6103">
      <w:pPr>
        <w:pStyle w:val="Textonotapie"/>
        <w:ind w:firstLine="708"/>
        <w:jc w:val="both"/>
        <w:rPr>
          <w:rFonts w:ascii="Arial" w:hAnsi="Arial" w:cs="Arial"/>
          <w:sz w:val="19"/>
          <w:szCs w:val="19"/>
        </w:rPr>
      </w:pPr>
    </w:p>
    <w:p w14:paraId="20E5059E" w14:textId="17E70484" w:rsidR="00264646" w:rsidRDefault="00264646" w:rsidP="00CE6103">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CONSEJO DE ESTADO. Sección Tercera. Auto de 1 de abril de 2009. </w:t>
      </w:r>
      <w:r w:rsidRPr="00002995">
        <w:rPr>
          <w:rFonts w:ascii="Arial" w:hAnsi="Arial" w:cs="Arial"/>
          <w:sz w:val="19"/>
          <w:szCs w:val="19"/>
        </w:rPr>
        <w:t xml:space="preserve">Exp. 36476. M.P. Ruth Stella Correa Palacio.  </w:t>
      </w:r>
    </w:p>
    <w:p w14:paraId="0D155505" w14:textId="77777777" w:rsidR="00264646" w:rsidRPr="00002995" w:rsidRDefault="00264646" w:rsidP="00CE6103">
      <w:pPr>
        <w:pStyle w:val="Textonotapie"/>
        <w:ind w:firstLine="708"/>
        <w:jc w:val="both"/>
        <w:rPr>
          <w:rFonts w:ascii="Arial" w:hAnsi="Arial" w:cs="Arial"/>
          <w:sz w:val="19"/>
          <w:szCs w:val="19"/>
        </w:rPr>
      </w:pPr>
    </w:p>
  </w:footnote>
  <w:footnote w:id="15">
    <w:p w14:paraId="066B5366" w14:textId="77777777" w:rsidR="00264646" w:rsidRPr="005716A8" w:rsidRDefault="00264646" w:rsidP="00CE6103">
      <w:pPr>
        <w:pStyle w:val="Textonotapie"/>
        <w:ind w:firstLine="708"/>
        <w:jc w:val="both"/>
        <w:rPr>
          <w:rFonts w:ascii="Arial" w:hAnsi="Arial" w:cs="Arial"/>
          <w:sz w:val="19"/>
          <w:szCs w:val="19"/>
          <w:lang w:val="es-ES"/>
        </w:rPr>
      </w:pPr>
      <w:r w:rsidRPr="002267EA">
        <w:rPr>
          <w:rStyle w:val="Refdenotaalpie"/>
          <w:rFonts w:ascii="Arial" w:hAnsi="Arial" w:cs="Arial"/>
          <w:sz w:val="19"/>
          <w:szCs w:val="19"/>
        </w:rPr>
        <w:footnoteRef/>
      </w:r>
      <w:r w:rsidRPr="002267EA">
        <w:rPr>
          <w:rFonts w:ascii="Arial" w:hAnsi="Arial" w:cs="Arial"/>
          <w:sz w:val="19"/>
          <w:szCs w:val="19"/>
        </w:rPr>
        <w:t xml:space="preserve"> </w:t>
      </w:r>
      <w:r w:rsidRPr="002267EA">
        <w:rPr>
          <w:rFonts w:ascii="Arial" w:hAnsi="Arial" w:cs="Arial"/>
          <w:sz w:val="19"/>
          <w:szCs w:val="19"/>
        </w:rPr>
        <w:t>CONGRESO DE LA REPÚBLICA. Gaceta No. 670 del 11 de agosto de 2020. Exposición de motivos del Proyecto de Ley No. 122 de 2020 Cámara. pp. 3-4.</w:t>
      </w:r>
    </w:p>
  </w:footnote>
  <w:footnote w:id="16">
    <w:p w14:paraId="06FF4269" w14:textId="77777777" w:rsidR="00264646" w:rsidRDefault="00264646" w:rsidP="00CE6103">
      <w:pPr>
        <w:pStyle w:val="Textonotapie"/>
        <w:ind w:firstLine="708"/>
        <w:jc w:val="both"/>
        <w:rPr>
          <w:rFonts w:ascii="Arial" w:hAnsi="Arial" w:cs="Arial"/>
          <w:sz w:val="19"/>
          <w:szCs w:val="19"/>
        </w:rPr>
      </w:pPr>
    </w:p>
    <w:p w14:paraId="5E6B1478" w14:textId="30534EB5" w:rsidR="00264646" w:rsidRDefault="00264646" w:rsidP="00CE6103">
      <w:pPr>
        <w:pStyle w:val="Textonotapie"/>
        <w:ind w:firstLine="708"/>
        <w:jc w:val="both"/>
        <w:rPr>
          <w:rFonts w:ascii="Arial" w:hAnsi="Arial" w:cs="Arial"/>
          <w:sz w:val="19"/>
          <w:szCs w:val="19"/>
        </w:rPr>
      </w:pPr>
      <w:r w:rsidRPr="00AC3DCF">
        <w:rPr>
          <w:rStyle w:val="Refdenotaalpie"/>
          <w:rFonts w:ascii="Arial" w:hAnsi="Arial" w:cs="Arial"/>
          <w:sz w:val="19"/>
          <w:szCs w:val="19"/>
        </w:rPr>
        <w:footnoteRef/>
      </w:r>
      <w:r w:rsidRPr="00AC3DCF">
        <w:rPr>
          <w:rFonts w:ascii="Arial" w:hAnsi="Arial" w:cs="Arial"/>
          <w:sz w:val="19"/>
          <w:szCs w:val="19"/>
        </w:rPr>
        <w:t xml:space="preserve"> </w:t>
      </w:r>
      <w:r>
        <w:rPr>
          <w:rFonts w:ascii="Arial" w:hAnsi="Arial" w:cs="Arial"/>
          <w:sz w:val="19"/>
          <w:szCs w:val="19"/>
        </w:rPr>
        <w:t>MARÍN CORTÉS, Fabián Gonzalo. El reglamento, como fuente del derecho administrativo. En: las fuentes del derecho administrativo. Texto inédito. p. 203.</w:t>
      </w:r>
    </w:p>
    <w:p w14:paraId="4CFD2412" w14:textId="77777777" w:rsidR="00264646" w:rsidRPr="00AC3DCF" w:rsidRDefault="00264646" w:rsidP="00CE6103">
      <w:pPr>
        <w:pStyle w:val="Textonotapie"/>
        <w:ind w:firstLine="708"/>
        <w:jc w:val="both"/>
        <w:rPr>
          <w:rFonts w:ascii="Arial" w:hAnsi="Arial" w:cs="Arial"/>
          <w:sz w:val="19"/>
          <w:szCs w:val="19"/>
          <w:lang w:val="es-ES"/>
        </w:rPr>
      </w:pPr>
    </w:p>
  </w:footnote>
  <w:footnote w:id="17">
    <w:p w14:paraId="265DB6A2" w14:textId="77777777" w:rsidR="00264646" w:rsidRPr="00AC3DCF" w:rsidRDefault="00264646" w:rsidP="00CE6103">
      <w:pPr>
        <w:pStyle w:val="Textonotapie"/>
        <w:ind w:firstLine="708"/>
        <w:jc w:val="both"/>
        <w:rPr>
          <w:rFonts w:ascii="Arial" w:hAnsi="Arial" w:cs="Arial"/>
          <w:sz w:val="19"/>
          <w:szCs w:val="19"/>
          <w:lang w:val="es-ES"/>
        </w:rPr>
      </w:pPr>
      <w:r w:rsidRPr="00AC3DCF">
        <w:rPr>
          <w:rStyle w:val="Refdenotaalpie"/>
          <w:rFonts w:ascii="Arial" w:hAnsi="Arial" w:cs="Arial"/>
          <w:sz w:val="19"/>
          <w:szCs w:val="19"/>
        </w:rPr>
        <w:footnoteRef/>
      </w:r>
      <w:r w:rsidRPr="00AC3DCF">
        <w:rPr>
          <w:rFonts w:ascii="Arial" w:hAnsi="Arial" w:cs="Arial"/>
          <w:sz w:val="19"/>
          <w:szCs w:val="19"/>
        </w:rPr>
        <w:t xml:space="preserve"> </w:t>
      </w:r>
      <w:r w:rsidRPr="002B3689">
        <w:rPr>
          <w:rFonts w:ascii="Arial" w:hAnsi="Arial" w:cs="Arial"/>
          <w:i/>
          <w:iCs/>
          <w:sz w:val="19"/>
          <w:szCs w:val="19"/>
        </w:rPr>
        <w:t>Ibidem</w:t>
      </w:r>
      <w:r>
        <w:rPr>
          <w:rFonts w:ascii="Arial" w:hAnsi="Arial" w:cs="Arial"/>
          <w:sz w:val="19"/>
          <w:szCs w:val="19"/>
        </w:rPr>
        <w:t>.</w:t>
      </w:r>
    </w:p>
  </w:footnote>
  <w:footnote w:id="18">
    <w:p w14:paraId="4D5A8D5D" w14:textId="77777777" w:rsidR="00264646" w:rsidRDefault="00264646" w:rsidP="00004E47">
      <w:pPr>
        <w:pStyle w:val="Textonotapie"/>
        <w:ind w:firstLine="708"/>
        <w:jc w:val="both"/>
        <w:rPr>
          <w:rFonts w:ascii="Arial" w:hAnsi="Arial" w:cs="Arial"/>
          <w:sz w:val="19"/>
          <w:szCs w:val="19"/>
        </w:rPr>
      </w:pPr>
      <w:r w:rsidRPr="00CD087C">
        <w:rPr>
          <w:rStyle w:val="Refdenotaalpie"/>
          <w:rFonts w:ascii="Arial" w:hAnsi="Arial" w:cs="Arial"/>
          <w:sz w:val="19"/>
          <w:szCs w:val="19"/>
        </w:rPr>
        <w:footnoteRef/>
      </w:r>
      <w:r w:rsidRPr="00CD087C">
        <w:rPr>
          <w:rFonts w:ascii="Arial" w:hAnsi="Arial" w:cs="Arial"/>
          <w:sz w:val="19"/>
          <w:szCs w:val="19"/>
        </w:rPr>
        <w:t xml:space="preserve"> </w:t>
      </w:r>
      <w:r w:rsidRPr="00CD087C">
        <w:rPr>
          <w:rFonts w:ascii="Arial" w:hAnsi="Arial" w:cs="Arial"/>
          <w:sz w:val="19"/>
          <w:szCs w:val="19"/>
        </w:rPr>
        <w:t>Al respecto</w:t>
      </w:r>
      <w:r>
        <w:rPr>
          <w:rFonts w:ascii="Arial" w:hAnsi="Arial" w:cs="Arial"/>
          <w:sz w:val="19"/>
          <w:szCs w:val="19"/>
        </w:rPr>
        <w:t xml:space="preserve">, la jurisprudencia explica que «[…] </w:t>
      </w:r>
      <w:r w:rsidRPr="00CD087C">
        <w:rPr>
          <w:rFonts w:ascii="Arial" w:hAnsi="Arial" w:cs="Arial"/>
          <w:sz w:val="19"/>
          <w:szCs w:val="19"/>
        </w:rPr>
        <w:t>los contratos sin formalidades plenas no están previstos por la legislación nacional, pues</w:t>
      </w:r>
      <w:r>
        <w:rPr>
          <w:rFonts w:ascii="Arial" w:hAnsi="Arial" w:cs="Arial"/>
          <w:sz w:val="19"/>
          <w:szCs w:val="19"/>
        </w:rPr>
        <w:t xml:space="preserve"> […]</w:t>
      </w:r>
      <w:r w:rsidRPr="00CD087C">
        <w:rPr>
          <w:rFonts w:ascii="Arial" w:hAnsi="Arial" w:cs="Arial"/>
          <w:sz w:val="19"/>
          <w:szCs w:val="19"/>
        </w:rPr>
        <w:t xml:space="preserve"> el parágrafo del artículo 39 de la Ley 80 de 1993 fue derogado por el artículo 32 de la Ley 1150 de 2007. Ahora se les denomina contratos de mínima cuantía y se encuentran regulados por los artículos 2 de la Ley 1150 de 2007 y 94 de la Ley 1474 de 2011 </w:t>
      </w:r>
      <w:r>
        <w:rPr>
          <w:rFonts w:ascii="Arial" w:hAnsi="Arial" w:cs="Arial"/>
          <w:sz w:val="19"/>
          <w:szCs w:val="19"/>
        </w:rPr>
        <w:t>[…]</w:t>
      </w:r>
      <w:r w:rsidRPr="00CD087C">
        <w:rPr>
          <w:rFonts w:ascii="Arial" w:hAnsi="Arial" w:cs="Arial"/>
          <w:sz w:val="19"/>
          <w:szCs w:val="19"/>
        </w:rPr>
        <w:t>;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w:t>
      </w:r>
      <w:r>
        <w:rPr>
          <w:rFonts w:ascii="Arial" w:hAnsi="Arial" w:cs="Arial"/>
          <w:sz w:val="19"/>
          <w:szCs w:val="19"/>
        </w:rPr>
        <w:t xml:space="preserve">» (CONSEJO DE ESTADO. Sección Tercera. Subsección A. Sentencia del 3 de octubre de 2012. Exp. 26.140. C.P. </w:t>
      </w:r>
      <w:r w:rsidRPr="0005595F">
        <w:rPr>
          <w:rFonts w:ascii="Arial" w:hAnsi="Arial" w:cs="Arial"/>
          <w:sz w:val="19"/>
          <w:szCs w:val="19"/>
        </w:rPr>
        <w:t>Carlos Alberto Zambrano Barrera</w:t>
      </w:r>
      <w:r>
        <w:rPr>
          <w:rFonts w:ascii="Arial" w:hAnsi="Arial" w:cs="Arial"/>
          <w:sz w:val="19"/>
          <w:szCs w:val="19"/>
        </w:rPr>
        <w:t>).</w:t>
      </w:r>
    </w:p>
    <w:p w14:paraId="25EE11C3" w14:textId="77777777" w:rsidR="00264646" w:rsidRPr="00CD087C" w:rsidRDefault="00264646" w:rsidP="00004E47">
      <w:pPr>
        <w:pStyle w:val="Textonotapie"/>
        <w:ind w:firstLine="708"/>
        <w:jc w:val="both"/>
        <w:rPr>
          <w:rFonts w:ascii="Arial" w:hAnsi="Arial" w:cs="Arial"/>
          <w:sz w:val="19"/>
          <w:szCs w:val="19"/>
          <w:lang w:val="es-ES"/>
        </w:rPr>
      </w:pPr>
    </w:p>
  </w:footnote>
  <w:footnote w:id="19">
    <w:p w14:paraId="392C2BAC" w14:textId="77777777" w:rsidR="00264646" w:rsidRPr="00660495" w:rsidRDefault="00264646" w:rsidP="00004E47">
      <w:pPr>
        <w:pStyle w:val="Textonotapie"/>
        <w:ind w:firstLine="708"/>
        <w:jc w:val="both"/>
        <w:rPr>
          <w:rFonts w:ascii="Arial" w:hAnsi="Arial" w:cs="Arial"/>
          <w:sz w:val="19"/>
          <w:szCs w:val="19"/>
        </w:rPr>
      </w:pPr>
      <w:r w:rsidRPr="00660495">
        <w:rPr>
          <w:rStyle w:val="Refdenotaalpie"/>
          <w:rFonts w:ascii="Arial" w:hAnsi="Arial" w:cs="Arial"/>
          <w:sz w:val="19"/>
          <w:szCs w:val="19"/>
        </w:rPr>
        <w:footnoteRef/>
      </w:r>
      <w:r w:rsidRPr="00660495">
        <w:rPr>
          <w:rFonts w:ascii="Arial" w:hAnsi="Arial" w:cs="Arial"/>
          <w:sz w:val="19"/>
          <w:szCs w:val="19"/>
        </w:rPr>
        <w:t xml:space="preserve"> </w:t>
      </w:r>
      <w:r>
        <w:rPr>
          <w:rFonts w:ascii="Arial" w:hAnsi="Arial" w:cs="Arial"/>
          <w:sz w:val="19"/>
          <w:szCs w:val="19"/>
        </w:rPr>
        <w:t>Ambas normas disponen lo siguiente: «</w:t>
      </w:r>
      <w:r w:rsidRPr="00660495">
        <w:rPr>
          <w:rFonts w:ascii="Arial" w:hAnsi="Arial" w:cs="Arial"/>
          <w:sz w:val="19"/>
          <w:szCs w:val="19"/>
        </w:rPr>
        <w:t>5) Contratación mínima cuantía. La contratación cuyo valor no excede del 10 por ciento de la menor cuantía de la entidad independientemente de su objeto, se efectuará de conformidad con las siguientes reglas:</w:t>
      </w:r>
    </w:p>
    <w:p w14:paraId="6E944A69" w14:textId="77777777" w:rsidR="00264646" w:rsidRPr="00660495" w:rsidRDefault="00264646" w:rsidP="00004E47">
      <w:pPr>
        <w:pStyle w:val="Textonotapie"/>
        <w:ind w:firstLine="708"/>
        <w:jc w:val="both"/>
        <w:rPr>
          <w:rFonts w:ascii="Arial" w:hAnsi="Arial" w:cs="Arial"/>
          <w:sz w:val="19"/>
          <w:szCs w:val="19"/>
        </w:rPr>
      </w:pPr>
      <w:r>
        <w:rPr>
          <w:rFonts w:ascii="Arial" w:hAnsi="Arial" w:cs="Arial"/>
          <w:sz w:val="19"/>
          <w:szCs w:val="19"/>
        </w:rPr>
        <w:t>»</w:t>
      </w:r>
      <w:r w:rsidRPr="00660495">
        <w:rPr>
          <w:rFonts w:ascii="Arial" w:hAnsi="Arial" w:cs="Arial"/>
          <w:sz w:val="19"/>
          <w:szCs w:val="19"/>
        </w:rPr>
        <w:t>a) Se publicará una invitación, por un término no inferior a un día hábil, en la cual se señalará el objeto a contratar, el presupuesto destinado para tal fin, así como las condiciones técnicas exigidas;</w:t>
      </w:r>
    </w:p>
    <w:p w14:paraId="49F791AF" w14:textId="77777777" w:rsidR="00264646" w:rsidRPr="00660495" w:rsidRDefault="00264646" w:rsidP="00004E47">
      <w:pPr>
        <w:pStyle w:val="Textonotapie"/>
        <w:ind w:firstLine="708"/>
        <w:jc w:val="both"/>
        <w:rPr>
          <w:rFonts w:ascii="Arial" w:hAnsi="Arial" w:cs="Arial"/>
          <w:sz w:val="19"/>
          <w:szCs w:val="19"/>
        </w:rPr>
      </w:pPr>
      <w:r>
        <w:rPr>
          <w:rFonts w:ascii="Arial" w:hAnsi="Arial" w:cs="Arial"/>
          <w:sz w:val="19"/>
          <w:szCs w:val="19"/>
        </w:rPr>
        <w:t>»</w:t>
      </w:r>
      <w:r w:rsidRPr="00660495">
        <w:rPr>
          <w:rFonts w:ascii="Arial" w:hAnsi="Arial" w:cs="Arial"/>
          <w:sz w:val="19"/>
          <w:szCs w:val="19"/>
        </w:rPr>
        <w:t>b) El término previsto en la invitación para presentar la oferta no podrá ser inferior a un día hábil;</w:t>
      </w:r>
    </w:p>
    <w:p w14:paraId="399CC403" w14:textId="77777777" w:rsidR="00264646" w:rsidRPr="00660495" w:rsidRDefault="00264646" w:rsidP="00004E47">
      <w:pPr>
        <w:pStyle w:val="Textonotapie"/>
        <w:ind w:firstLine="708"/>
        <w:jc w:val="both"/>
        <w:rPr>
          <w:rFonts w:ascii="Arial" w:hAnsi="Arial" w:cs="Arial"/>
          <w:sz w:val="19"/>
          <w:szCs w:val="19"/>
        </w:rPr>
      </w:pPr>
      <w:r>
        <w:rPr>
          <w:rFonts w:ascii="Arial" w:hAnsi="Arial" w:cs="Arial"/>
          <w:sz w:val="19"/>
          <w:szCs w:val="19"/>
        </w:rPr>
        <w:t>»</w:t>
      </w:r>
      <w:r w:rsidRPr="00660495">
        <w:rPr>
          <w:rFonts w:ascii="Arial" w:hAnsi="Arial" w:cs="Arial"/>
          <w:sz w:val="19"/>
          <w:szCs w:val="19"/>
        </w:rPr>
        <w:t>c) La entidad seleccionará, mediante comunicación de aceptación de la oferta, la propuesta con el menor precio, siempre y cuando cumpla con las condiciones exigidas;</w:t>
      </w:r>
    </w:p>
    <w:p w14:paraId="4E186DF9" w14:textId="77777777" w:rsidR="00264646" w:rsidRPr="00660495" w:rsidRDefault="00264646" w:rsidP="00004E47">
      <w:pPr>
        <w:pStyle w:val="Textonotapie"/>
        <w:ind w:firstLine="708"/>
        <w:jc w:val="both"/>
        <w:rPr>
          <w:rFonts w:ascii="Arial" w:hAnsi="Arial" w:cs="Arial"/>
          <w:sz w:val="19"/>
          <w:szCs w:val="19"/>
          <w:lang w:val="es-ES"/>
        </w:rPr>
      </w:pPr>
      <w:r>
        <w:rPr>
          <w:rFonts w:ascii="Arial" w:hAnsi="Arial" w:cs="Arial"/>
          <w:sz w:val="19"/>
          <w:szCs w:val="19"/>
        </w:rPr>
        <w:t>»</w:t>
      </w:r>
      <w:r w:rsidRPr="00660495">
        <w:rPr>
          <w:rFonts w:ascii="Arial" w:hAnsi="Arial" w:cs="Arial"/>
          <w:sz w:val="19"/>
          <w:szCs w:val="19"/>
        </w:rPr>
        <w:t>d) La comunicación de aceptación junto con la oferta constituye para todos los efectos el contrato celebrado, con base en lo cual se efectuará el respectivo registro presupuestal</w:t>
      </w:r>
      <w:r>
        <w:rPr>
          <w:rFonts w:ascii="Arial" w:hAnsi="Arial" w:cs="Arial"/>
          <w:sz w:val="19"/>
          <w:szCs w:val="19"/>
        </w:rPr>
        <w:t>»</w:t>
      </w:r>
      <w:r w:rsidRPr="00660495">
        <w:rPr>
          <w:rFonts w:ascii="Arial" w:hAnsi="Arial" w:cs="Arial"/>
          <w:sz w:val="19"/>
          <w:szCs w:val="19"/>
        </w:rPr>
        <w:t>.</w:t>
      </w:r>
    </w:p>
  </w:footnote>
  <w:footnote w:id="20">
    <w:p w14:paraId="1A3FBCDB" w14:textId="77777777" w:rsidR="00264646" w:rsidRPr="001E0DB0" w:rsidRDefault="00264646" w:rsidP="00004E47">
      <w:pPr>
        <w:pStyle w:val="Textonotapie"/>
        <w:ind w:firstLine="708"/>
        <w:jc w:val="both"/>
        <w:rPr>
          <w:rFonts w:ascii="Arial" w:hAnsi="Arial" w:cs="Arial"/>
          <w:sz w:val="19"/>
          <w:szCs w:val="19"/>
          <w:lang w:val="es-ES"/>
        </w:rPr>
      </w:pPr>
      <w:r w:rsidRPr="001E0DB0">
        <w:rPr>
          <w:rStyle w:val="Refdenotaalpie"/>
          <w:rFonts w:ascii="Arial" w:hAnsi="Arial" w:cs="Arial"/>
          <w:sz w:val="19"/>
          <w:szCs w:val="19"/>
        </w:rPr>
        <w:footnoteRef/>
      </w:r>
      <w:r w:rsidRPr="001E0DB0">
        <w:rPr>
          <w:rFonts w:ascii="Arial" w:hAnsi="Arial" w:cs="Arial"/>
          <w:sz w:val="19"/>
          <w:szCs w:val="19"/>
        </w:rPr>
        <w:t xml:space="preserve"> </w:t>
      </w:r>
      <w:r>
        <w:rPr>
          <w:rFonts w:ascii="Arial" w:hAnsi="Arial" w:cs="Arial"/>
          <w:sz w:val="19"/>
          <w:szCs w:val="19"/>
        </w:rPr>
        <w:t xml:space="preserve">BENAVIDES, José Luis. La potestad reglamentaria en la contratación pública. En: Contratos públicos: Estudios. Bogotá: Universidad Externado de Colombia, 2014. </w:t>
      </w:r>
      <w:r w:rsidRPr="001E0DB0">
        <w:rPr>
          <w:rFonts w:ascii="Arial" w:hAnsi="Arial" w:cs="Arial"/>
          <w:sz w:val="19"/>
          <w:szCs w:val="19"/>
        </w:rPr>
        <w:t>p. 174</w:t>
      </w:r>
      <w:r>
        <w:rPr>
          <w:rFonts w:ascii="Arial" w:hAnsi="Arial" w:cs="Arial"/>
          <w:sz w:val="19"/>
          <w:szCs w:val="19"/>
        </w:rPr>
        <w:t>.</w:t>
      </w:r>
    </w:p>
  </w:footnote>
  <w:footnote w:id="21">
    <w:p w14:paraId="73BD12AD" w14:textId="2ED09A53" w:rsidR="00264646" w:rsidRPr="00852C30" w:rsidRDefault="00264646" w:rsidP="00852C30">
      <w:pPr>
        <w:pStyle w:val="Textonotapie"/>
        <w:ind w:firstLine="708"/>
        <w:jc w:val="both"/>
        <w:rPr>
          <w:rFonts w:ascii="Arial" w:hAnsi="Arial" w:cs="Arial"/>
          <w:sz w:val="19"/>
          <w:szCs w:val="19"/>
        </w:rPr>
      </w:pPr>
      <w:r w:rsidRPr="00852C30">
        <w:rPr>
          <w:rStyle w:val="Refdenotaalpie"/>
          <w:rFonts w:ascii="Arial" w:hAnsi="Arial" w:cs="Arial"/>
          <w:sz w:val="19"/>
          <w:szCs w:val="19"/>
        </w:rPr>
        <w:footnoteRef/>
      </w:r>
      <w:r w:rsidRPr="00852C30">
        <w:rPr>
          <w:rFonts w:ascii="Arial" w:hAnsi="Arial" w:cs="Arial"/>
          <w:sz w:val="19"/>
          <w:szCs w:val="19"/>
        </w:rPr>
        <w:t xml:space="preserve"> </w:t>
      </w:r>
      <w:r w:rsidRPr="00104AD6">
        <w:rPr>
          <w:rFonts w:ascii="Arial" w:hAnsi="Arial" w:cs="Arial"/>
          <w:sz w:val="19"/>
          <w:szCs w:val="19"/>
        </w:rPr>
        <w:t>Esta norma dispone que los actos administrativos no pueden ejecutarse «Cuando desaparezcan sus fundamentos de hecho o de derecho».</w:t>
      </w:r>
    </w:p>
  </w:footnote>
  <w:footnote w:id="22">
    <w:p w14:paraId="228B676A" w14:textId="77777777" w:rsidR="00264646" w:rsidRPr="004C0463" w:rsidRDefault="00264646" w:rsidP="00E95B72">
      <w:pPr>
        <w:pStyle w:val="Textonotapie"/>
        <w:ind w:firstLine="708"/>
        <w:jc w:val="both"/>
        <w:rPr>
          <w:rFonts w:ascii="Arial" w:hAnsi="Arial" w:cs="Arial"/>
          <w:sz w:val="19"/>
          <w:szCs w:val="19"/>
        </w:rPr>
      </w:pPr>
      <w:r w:rsidRPr="004C0463">
        <w:rPr>
          <w:rStyle w:val="Refdenotaalpie"/>
          <w:rFonts w:ascii="Arial" w:hAnsi="Arial" w:cs="Arial"/>
          <w:sz w:val="19"/>
          <w:szCs w:val="19"/>
        </w:rPr>
        <w:footnoteRef/>
      </w:r>
      <w:r w:rsidRPr="004C0463">
        <w:rPr>
          <w:rFonts w:ascii="Arial" w:hAnsi="Arial" w:cs="Arial"/>
          <w:sz w:val="19"/>
          <w:szCs w:val="19"/>
        </w:rPr>
        <w:t xml:space="preserve"> </w:t>
      </w:r>
      <w:r>
        <w:rPr>
          <w:rFonts w:ascii="Arial" w:hAnsi="Arial" w:cs="Arial"/>
          <w:sz w:val="19"/>
          <w:szCs w:val="19"/>
        </w:rPr>
        <w:t>En los demás incisos, ambas normas tienen una redacción similar cuando prescriben que: «</w:t>
      </w:r>
      <w:r w:rsidRPr="004C0463">
        <w:rPr>
          <w:rFonts w:ascii="Arial" w:hAnsi="Arial" w:cs="Arial"/>
          <w:sz w:val="19"/>
          <w:szCs w:val="19"/>
        </w:rPr>
        <w:t xml:space="preserve">De igual forma, en los pliegos de condiciones </w:t>
      </w:r>
      <w:bookmarkStart w:id="20" w:name="_Hlk63844516"/>
      <w:r w:rsidRPr="004C0463">
        <w:rPr>
          <w:rFonts w:ascii="Arial" w:hAnsi="Arial" w:cs="Arial"/>
          <w:sz w:val="19"/>
          <w:szCs w:val="19"/>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20"/>
      <w:r w:rsidRPr="004C0463">
        <w:rPr>
          <w:rFonts w:ascii="Arial" w:hAnsi="Arial" w:cs="Arial"/>
          <w:sz w:val="19"/>
          <w:szCs w:val="19"/>
        </w:rPr>
        <w:t>; siempre que se garanticen las condiciones de calidad y cumplimiento del objeto contractual</w:t>
      </w:r>
      <w:r>
        <w:rPr>
          <w:rFonts w:ascii="Arial" w:hAnsi="Arial" w:cs="Arial"/>
          <w:sz w:val="19"/>
          <w:szCs w:val="19"/>
        </w:rPr>
        <w:t>.</w:t>
      </w:r>
    </w:p>
    <w:p w14:paraId="590B2326" w14:textId="77777777" w:rsidR="00264646" w:rsidRPr="004C0463" w:rsidRDefault="00264646" w:rsidP="00E95B72">
      <w:pPr>
        <w:pStyle w:val="Textonotapie"/>
        <w:ind w:firstLine="708"/>
        <w:jc w:val="both"/>
        <w:rPr>
          <w:rFonts w:ascii="Arial" w:hAnsi="Arial" w:cs="Arial"/>
          <w:sz w:val="19"/>
          <w:szCs w:val="19"/>
        </w:rPr>
      </w:pPr>
      <w:r>
        <w:rPr>
          <w:rFonts w:ascii="Arial" w:hAnsi="Arial" w:cs="Arial"/>
          <w:sz w:val="19"/>
          <w:szCs w:val="19"/>
        </w:rPr>
        <w:t>»</w:t>
      </w:r>
      <w:r w:rsidRPr="004C0463">
        <w:rPr>
          <w:rFonts w:ascii="Arial" w:hAnsi="Arial" w:cs="Arial"/>
          <w:sz w:val="19"/>
          <w:szCs w:val="19"/>
        </w:rPr>
        <w:t xml:space="preserve">Parágrafo 1°. En los procesos de selección que se desarrollen con base en el primer inciso, las entidades podrán realizar las convocatorias limitadas que </w:t>
      </w:r>
      <w:r w:rsidRPr="004C0463">
        <w:rPr>
          <w:rFonts w:ascii="Arial" w:hAnsi="Arial" w:cs="Arial"/>
          <w:sz w:val="19"/>
          <w:szCs w:val="19"/>
        </w:rPr>
        <w:t>beneficien a las Mipymes del ámbito municipal o departamental correspondiente al de la ejecución del contrato.</w:t>
      </w:r>
    </w:p>
    <w:p w14:paraId="1B505A40" w14:textId="77777777" w:rsidR="00264646" w:rsidRPr="004C0463" w:rsidRDefault="00264646" w:rsidP="00E95B72">
      <w:pPr>
        <w:pStyle w:val="Textonotapie"/>
        <w:ind w:firstLine="708"/>
        <w:jc w:val="both"/>
        <w:rPr>
          <w:rFonts w:ascii="Arial" w:hAnsi="Arial" w:cs="Arial"/>
          <w:sz w:val="19"/>
          <w:szCs w:val="19"/>
        </w:rPr>
      </w:pPr>
      <w:r>
        <w:rPr>
          <w:rFonts w:ascii="Arial" w:hAnsi="Arial" w:cs="Arial"/>
          <w:sz w:val="19"/>
          <w:szCs w:val="19"/>
        </w:rPr>
        <w:t>»</w:t>
      </w:r>
      <w:r w:rsidRPr="004C0463">
        <w:rPr>
          <w:rFonts w:ascii="Arial" w:hAnsi="Arial" w:cs="Arial"/>
          <w:sz w:val="19"/>
          <w:szCs w:val="19"/>
        </w:rPr>
        <w:t>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74A2FCDF" w14:textId="57B1E9B5" w:rsidR="00264646" w:rsidRDefault="00264646" w:rsidP="00E95B72">
      <w:pPr>
        <w:pStyle w:val="Textonotapie"/>
        <w:ind w:firstLine="708"/>
        <w:jc w:val="both"/>
        <w:rPr>
          <w:rFonts w:ascii="Arial" w:hAnsi="Arial" w:cs="Arial"/>
          <w:sz w:val="19"/>
          <w:szCs w:val="19"/>
        </w:rPr>
      </w:pPr>
      <w:r>
        <w:rPr>
          <w:rFonts w:ascii="Arial" w:hAnsi="Arial" w:cs="Arial"/>
          <w:sz w:val="19"/>
          <w:szCs w:val="19"/>
        </w:rPr>
        <w:t>»</w:t>
      </w:r>
      <w:r w:rsidRPr="004C0463">
        <w:rPr>
          <w:rFonts w:ascii="Arial" w:hAnsi="Arial" w:cs="Arial"/>
          <w:sz w:val="19"/>
          <w:szCs w:val="19"/>
        </w:rPr>
        <w:t>Parágrafo 3°. En la ejecución de los contratos a que se refiere el presente artículo, las entidades y los contratistas, deberán observar lo dispuesto en los artículos 90 a 95 de la Ley 418 de 1997 y las normas que la modifiquen, adicionen o subroguen.</w:t>
      </w:r>
      <w:r>
        <w:rPr>
          <w:rFonts w:ascii="Arial" w:hAnsi="Arial" w:cs="Arial"/>
          <w:sz w:val="19"/>
          <w:szCs w:val="19"/>
        </w:rPr>
        <w:t xml:space="preserve"> </w:t>
      </w:r>
    </w:p>
    <w:p w14:paraId="5F5FB0F3" w14:textId="77777777" w:rsidR="00264646" w:rsidRPr="004C0463" w:rsidRDefault="00264646" w:rsidP="00E95B72">
      <w:pPr>
        <w:pStyle w:val="Textonotapie"/>
        <w:ind w:firstLine="708"/>
        <w:jc w:val="both"/>
        <w:rPr>
          <w:rFonts w:ascii="Arial" w:hAnsi="Arial" w:cs="Arial"/>
          <w:sz w:val="19"/>
          <w:szCs w:val="19"/>
          <w:lang w:val="es-ES"/>
        </w:rPr>
      </w:pPr>
    </w:p>
  </w:footnote>
  <w:footnote w:id="23">
    <w:p w14:paraId="69ED993A" w14:textId="5F3BA639" w:rsidR="00264646" w:rsidRPr="00852C30" w:rsidRDefault="00264646" w:rsidP="00852C30">
      <w:pPr>
        <w:pStyle w:val="Textonotapie"/>
        <w:ind w:firstLine="708"/>
        <w:jc w:val="both"/>
        <w:rPr>
          <w:rFonts w:ascii="Arial" w:hAnsi="Arial" w:cs="Arial"/>
          <w:sz w:val="19"/>
          <w:szCs w:val="19"/>
        </w:rPr>
      </w:pPr>
      <w:r w:rsidRPr="00852C30">
        <w:rPr>
          <w:rStyle w:val="Refdenotaalpie"/>
          <w:rFonts w:ascii="Arial" w:hAnsi="Arial" w:cs="Arial"/>
          <w:sz w:val="19"/>
          <w:szCs w:val="19"/>
        </w:rPr>
        <w:footnoteRef/>
      </w:r>
      <w:r w:rsidRPr="00852C30">
        <w:rPr>
          <w:rFonts w:ascii="Arial" w:hAnsi="Arial" w:cs="Arial"/>
          <w:sz w:val="19"/>
          <w:szCs w:val="19"/>
        </w:rPr>
        <w:t xml:space="preserve"> </w:t>
      </w:r>
      <w:r>
        <w:rPr>
          <w:rFonts w:ascii="Arial" w:hAnsi="Arial" w:cs="Arial"/>
          <w:sz w:val="19"/>
          <w:szCs w:val="19"/>
        </w:rPr>
        <w:t xml:space="preserve">Cfr. SANTOFIMIO GAMBOA, Jaime Orlando. Acto administrativo: procedimiento, eficacia y validez. Segunda Edición. Bogotá: Universidad Externado de Colombia, 1994. p. 252. Lo anterior, con apoyo de CONSEJO DE ESTADO. Sección Primera. Sentencia del 1° de agosto de 1991. Rad. </w:t>
      </w:r>
      <w:r w:rsidRPr="005A123E">
        <w:rPr>
          <w:rFonts w:ascii="Arial" w:hAnsi="Arial" w:cs="Arial"/>
          <w:sz w:val="19"/>
          <w:szCs w:val="19"/>
        </w:rPr>
        <w:t>949</w:t>
      </w:r>
      <w:r>
        <w:rPr>
          <w:rFonts w:ascii="Arial" w:hAnsi="Arial" w:cs="Arial"/>
          <w:sz w:val="19"/>
          <w:szCs w:val="19"/>
        </w:rPr>
        <w:t xml:space="preserve">. C.P. </w:t>
      </w:r>
      <w:r w:rsidRPr="005A123E">
        <w:rPr>
          <w:rFonts w:ascii="Arial" w:hAnsi="Arial" w:cs="Arial"/>
          <w:sz w:val="19"/>
          <w:szCs w:val="19"/>
        </w:rPr>
        <w:t>Miguel González Rodríguez</w:t>
      </w:r>
      <w:r>
        <w:rPr>
          <w:rFonts w:ascii="Arial" w:hAnsi="Arial" w:cs="Arial"/>
          <w:sz w:val="19"/>
          <w:szCs w:val="19"/>
        </w:rPr>
        <w:t>.</w:t>
      </w:r>
    </w:p>
  </w:footnote>
  <w:footnote w:id="24">
    <w:p w14:paraId="42741353" w14:textId="77777777" w:rsidR="00264646" w:rsidRDefault="00264646" w:rsidP="00852C30">
      <w:pPr>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rPr>
        <w:t xml:space="preserve">El artículo 5 de la Ley 57 de 1887 dispone que «Cuando haya incompatibilidad entre una disposición constitucional y una legal, preferirá aquélla. </w:t>
      </w:r>
    </w:p>
    <w:p w14:paraId="7A16241A" w14:textId="77777777" w:rsidR="00264646" w:rsidRDefault="00264646" w:rsidP="00B6558B">
      <w:pPr>
        <w:ind w:firstLine="708"/>
        <w:jc w:val="both"/>
        <w:rPr>
          <w:rFonts w:ascii="Arial" w:hAnsi="Arial" w:cs="Arial"/>
          <w:sz w:val="19"/>
          <w:szCs w:val="19"/>
        </w:rPr>
      </w:pPr>
      <w:r>
        <w:rPr>
          <w:rFonts w:ascii="Arial" w:hAnsi="Arial" w:cs="Arial"/>
          <w:sz w:val="19"/>
          <w:szCs w:val="19"/>
        </w:rPr>
        <w:t xml:space="preserve">»Si en los Códigos que se adoptan se hallaren algunas disposiciones incompatibles entre sí, se observarán en su aplicación las reglas siguientes: </w:t>
      </w:r>
    </w:p>
    <w:p w14:paraId="3E73E831" w14:textId="77777777" w:rsidR="00264646" w:rsidRDefault="00264646" w:rsidP="00B6558B">
      <w:pPr>
        <w:ind w:firstLine="708"/>
        <w:jc w:val="both"/>
        <w:rPr>
          <w:rFonts w:ascii="Arial" w:hAnsi="Arial" w:cs="Arial"/>
          <w:sz w:val="19"/>
          <w:szCs w:val="19"/>
        </w:rPr>
      </w:pPr>
      <w:r>
        <w:rPr>
          <w:rFonts w:ascii="Arial" w:hAnsi="Arial" w:cs="Arial"/>
          <w:sz w:val="19"/>
          <w:szCs w:val="19"/>
        </w:rPr>
        <w:t xml:space="preserve">»1ª La disposición relativa a un asunto especial prefiere a la que tenga carácter general; </w:t>
      </w:r>
    </w:p>
    <w:p w14:paraId="7F9F6541" w14:textId="77777777" w:rsidR="00264646" w:rsidRDefault="00264646" w:rsidP="00B6558B">
      <w:pPr>
        <w:ind w:firstLine="708"/>
        <w:jc w:val="both"/>
        <w:rPr>
          <w:rFonts w:ascii="Arial" w:hAnsi="Arial" w:cs="Arial"/>
          <w:sz w:val="19"/>
          <w:szCs w:val="19"/>
        </w:rPr>
      </w:pPr>
      <w:r>
        <w:rPr>
          <w:rFonts w:ascii="Arial" w:hAnsi="Arial" w:cs="Arial"/>
          <w:sz w:val="19"/>
          <w:szCs w:val="19"/>
        </w:rPr>
        <w:t>»2ª Cuando las disposiciones tengan una misma especialidad o generalidad, y se hallen en un mismo Código, preferirá la disposición consignada en artículo posterior; y si estuvieren en diversos Códigos preferirán, por razón de éstos, en el orden siguiente: Civil, de Comercio, Penal. Judicial, Administrativo, Fiscal, de Elecciones, Militar, de Policía, de Fomento, de Minas, de Beneficencia y de Instrucción Pública».</w:t>
      </w:r>
    </w:p>
    <w:p w14:paraId="20FC7D6E" w14:textId="77777777" w:rsidR="00264646" w:rsidRDefault="00264646" w:rsidP="00B6558B">
      <w:pPr>
        <w:ind w:firstLine="708"/>
        <w:jc w:val="both"/>
        <w:rPr>
          <w:rFonts w:ascii="Arial" w:hAnsi="Arial" w:cs="Arial"/>
          <w:sz w:val="19"/>
          <w:szCs w:val="19"/>
        </w:rPr>
      </w:pPr>
    </w:p>
  </w:footnote>
  <w:footnote w:id="25">
    <w:p w14:paraId="1164A088" w14:textId="77777777" w:rsidR="00264646" w:rsidRDefault="00264646" w:rsidP="00B6558B">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Cfr. </w:t>
      </w:r>
      <w:r>
        <w:rPr>
          <w:rFonts w:ascii="Arial" w:hAnsi="Arial" w:cs="Arial"/>
          <w:sz w:val="19"/>
          <w:szCs w:val="19"/>
        </w:rPr>
        <w:t>GUASTINI, Riccardo. Interpretar y argumentar. Madrid: Centro de Estudios Constitucionales, 2014. p. 134.</w:t>
      </w:r>
    </w:p>
  </w:footnote>
  <w:footnote w:id="26">
    <w:p w14:paraId="5C6F4464" w14:textId="290EFE8A" w:rsidR="00264646" w:rsidRDefault="00264646" w:rsidP="00B6558B">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rPr>
        <w:t>DÍEZ-PICAZO, Luis María. La derogación de las leyes. Madrid: Editorial Civita, 1990. p. 363.</w:t>
      </w:r>
    </w:p>
    <w:p w14:paraId="3F47AE47" w14:textId="77777777" w:rsidR="00264646" w:rsidRDefault="00264646" w:rsidP="00B6558B">
      <w:pPr>
        <w:pStyle w:val="Textonotapie"/>
        <w:ind w:firstLine="708"/>
        <w:jc w:val="both"/>
        <w:rPr>
          <w:rFonts w:ascii="Arial" w:hAnsi="Arial" w:cs="Arial"/>
          <w:sz w:val="19"/>
          <w:szCs w:val="19"/>
          <w:lang w:val="es-ES"/>
        </w:rPr>
      </w:pPr>
    </w:p>
  </w:footnote>
  <w:footnote w:id="27">
    <w:p w14:paraId="339F9901" w14:textId="77777777" w:rsidR="00264646" w:rsidRDefault="00264646" w:rsidP="00B6558B">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i/>
          <w:iCs/>
          <w:sz w:val="19"/>
          <w:szCs w:val="19"/>
        </w:rPr>
        <w:t>Ibidem</w:t>
      </w:r>
      <w:r>
        <w:rPr>
          <w:rFonts w:ascii="Arial" w:hAnsi="Arial" w:cs="Arial"/>
          <w:sz w:val="19"/>
          <w:szCs w:val="19"/>
        </w:rPr>
        <w:t>. p. 18.</w:t>
      </w:r>
    </w:p>
    <w:p w14:paraId="0CBD8BB1" w14:textId="77777777" w:rsidR="00264646" w:rsidRDefault="00264646" w:rsidP="00B6558B">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264646" w:rsidRDefault="00264646">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4"/>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3"/>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25"/>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0"/>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23B3"/>
    <w:rsid w:val="000031A8"/>
    <w:rsid w:val="00003C5C"/>
    <w:rsid w:val="000040D7"/>
    <w:rsid w:val="00004556"/>
    <w:rsid w:val="00004E47"/>
    <w:rsid w:val="000051AF"/>
    <w:rsid w:val="000059D3"/>
    <w:rsid w:val="00005B6D"/>
    <w:rsid w:val="0000600A"/>
    <w:rsid w:val="00006081"/>
    <w:rsid w:val="00007564"/>
    <w:rsid w:val="00007750"/>
    <w:rsid w:val="000077FD"/>
    <w:rsid w:val="00007E37"/>
    <w:rsid w:val="000107EA"/>
    <w:rsid w:val="00010C40"/>
    <w:rsid w:val="000112B4"/>
    <w:rsid w:val="00011DCC"/>
    <w:rsid w:val="00012532"/>
    <w:rsid w:val="00012B9E"/>
    <w:rsid w:val="00012FBA"/>
    <w:rsid w:val="00013C6B"/>
    <w:rsid w:val="0001406B"/>
    <w:rsid w:val="000143F8"/>
    <w:rsid w:val="00014624"/>
    <w:rsid w:val="00015B44"/>
    <w:rsid w:val="00015CEE"/>
    <w:rsid w:val="00016081"/>
    <w:rsid w:val="000165AC"/>
    <w:rsid w:val="00016651"/>
    <w:rsid w:val="00016FE3"/>
    <w:rsid w:val="000171A2"/>
    <w:rsid w:val="00017B65"/>
    <w:rsid w:val="00020158"/>
    <w:rsid w:val="000207E0"/>
    <w:rsid w:val="000209E2"/>
    <w:rsid w:val="00020F8F"/>
    <w:rsid w:val="00021A95"/>
    <w:rsid w:val="0002256F"/>
    <w:rsid w:val="00023746"/>
    <w:rsid w:val="00023DAE"/>
    <w:rsid w:val="00024896"/>
    <w:rsid w:val="00025254"/>
    <w:rsid w:val="00025D0A"/>
    <w:rsid w:val="000263F0"/>
    <w:rsid w:val="00026407"/>
    <w:rsid w:val="00026608"/>
    <w:rsid w:val="00027787"/>
    <w:rsid w:val="000278D2"/>
    <w:rsid w:val="000303D1"/>
    <w:rsid w:val="0003095C"/>
    <w:rsid w:val="00030BD4"/>
    <w:rsid w:val="00031158"/>
    <w:rsid w:val="00031364"/>
    <w:rsid w:val="000314BD"/>
    <w:rsid w:val="000315E1"/>
    <w:rsid w:val="00031FF6"/>
    <w:rsid w:val="00032322"/>
    <w:rsid w:val="0003236E"/>
    <w:rsid w:val="0003339A"/>
    <w:rsid w:val="0003370C"/>
    <w:rsid w:val="000341F2"/>
    <w:rsid w:val="000343F8"/>
    <w:rsid w:val="00035046"/>
    <w:rsid w:val="000351F2"/>
    <w:rsid w:val="00036E03"/>
    <w:rsid w:val="000373D1"/>
    <w:rsid w:val="000406DB"/>
    <w:rsid w:val="0004094D"/>
    <w:rsid w:val="00041029"/>
    <w:rsid w:val="0004149B"/>
    <w:rsid w:val="00042961"/>
    <w:rsid w:val="00042C25"/>
    <w:rsid w:val="00042D03"/>
    <w:rsid w:val="00043086"/>
    <w:rsid w:val="000430A0"/>
    <w:rsid w:val="00043D3B"/>
    <w:rsid w:val="0004418C"/>
    <w:rsid w:val="00044204"/>
    <w:rsid w:val="000449D4"/>
    <w:rsid w:val="00045A00"/>
    <w:rsid w:val="0004610D"/>
    <w:rsid w:val="000463B5"/>
    <w:rsid w:val="00046717"/>
    <w:rsid w:val="00046A63"/>
    <w:rsid w:val="00046C09"/>
    <w:rsid w:val="0004716A"/>
    <w:rsid w:val="00047385"/>
    <w:rsid w:val="000473E8"/>
    <w:rsid w:val="00047F84"/>
    <w:rsid w:val="000504DE"/>
    <w:rsid w:val="00051074"/>
    <w:rsid w:val="0005212B"/>
    <w:rsid w:val="000526F0"/>
    <w:rsid w:val="0005273D"/>
    <w:rsid w:val="00052B79"/>
    <w:rsid w:val="00052EA0"/>
    <w:rsid w:val="000536A7"/>
    <w:rsid w:val="000536E3"/>
    <w:rsid w:val="00053896"/>
    <w:rsid w:val="0005463D"/>
    <w:rsid w:val="0005474D"/>
    <w:rsid w:val="00055CB9"/>
    <w:rsid w:val="000566BB"/>
    <w:rsid w:val="00056CD0"/>
    <w:rsid w:val="00056F66"/>
    <w:rsid w:val="0005702F"/>
    <w:rsid w:val="0006089F"/>
    <w:rsid w:val="00061010"/>
    <w:rsid w:val="00061D06"/>
    <w:rsid w:val="00062CDD"/>
    <w:rsid w:val="0006318B"/>
    <w:rsid w:val="000635D9"/>
    <w:rsid w:val="000640AF"/>
    <w:rsid w:val="00064940"/>
    <w:rsid w:val="00064CAE"/>
    <w:rsid w:val="00064DB7"/>
    <w:rsid w:val="00064FA7"/>
    <w:rsid w:val="00065195"/>
    <w:rsid w:val="0006533E"/>
    <w:rsid w:val="0006536C"/>
    <w:rsid w:val="00070AF1"/>
    <w:rsid w:val="000714DE"/>
    <w:rsid w:val="0007254F"/>
    <w:rsid w:val="00072974"/>
    <w:rsid w:val="0007331E"/>
    <w:rsid w:val="00073C30"/>
    <w:rsid w:val="00074305"/>
    <w:rsid w:val="000744D0"/>
    <w:rsid w:val="00074B2A"/>
    <w:rsid w:val="00074EEE"/>
    <w:rsid w:val="000753D5"/>
    <w:rsid w:val="00075B3E"/>
    <w:rsid w:val="00076456"/>
    <w:rsid w:val="00077173"/>
    <w:rsid w:val="0007719D"/>
    <w:rsid w:val="0007779B"/>
    <w:rsid w:val="000777E7"/>
    <w:rsid w:val="0007790A"/>
    <w:rsid w:val="0008017B"/>
    <w:rsid w:val="000808B0"/>
    <w:rsid w:val="000808C5"/>
    <w:rsid w:val="00080ACD"/>
    <w:rsid w:val="000811ED"/>
    <w:rsid w:val="0008146E"/>
    <w:rsid w:val="00081D62"/>
    <w:rsid w:val="00082303"/>
    <w:rsid w:val="00082B74"/>
    <w:rsid w:val="00083099"/>
    <w:rsid w:val="00083452"/>
    <w:rsid w:val="00083B4A"/>
    <w:rsid w:val="00083DE2"/>
    <w:rsid w:val="00083EDC"/>
    <w:rsid w:val="000842BE"/>
    <w:rsid w:val="00084B97"/>
    <w:rsid w:val="0008510E"/>
    <w:rsid w:val="000852D8"/>
    <w:rsid w:val="000856DE"/>
    <w:rsid w:val="00085F17"/>
    <w:rsid w:val="00085FB0"/>
    <w:rsid w:val="00085FB3"/>
    <w:rsid w:val="0008686B"/>
    <w:rsid w:val="00086B2A"/>
    <w:rsid w:val="00086ED2"/>
    <w:rsid w:val="000874F7"/>
    <w:rsid w:val="000914D6"/>
    <w:rsid w:val="00091569"/>
    <w:rsid w:val="0009222D"/>
    <w:rsid w:val="00092CDB"/>
    <w:rsid w:val="00092DCA"/>
    <w:rsid w:val="00093CE0"/>
    <w:rsid w:val="00093D14"/>
    <w:rsid w:val="000942EB"/>
    <w:rsid w:val="00095B70"/>
    <w:rsid w:val="0009617E"/>
    <w:rsid w:val="0009628D"/>
    <w:rsid w:val="0009670F"/>
    <w:rsid w:val="00097342"/>
    <w:rsid w:val="000979CF"/>
    <w:rsid w:val="00097FCD"/>
    <w:rsid w:val="000A03C8"/>
    <w:rsid w:val="000A05F2"/>
    <w:rsid w:val="000A06C4"/>
    <w:rsid w:val="000A0861"/>
    <w:rsid w:val="000A0ED1"/>
    <w:rsid w:val="000A12DB"/>
    <w:rsid w:val="000A1576"/>
    <w:rsid w:val="000A17C8"/>
    <w:rsid w:val="000A1B74"/>
    <w:rsid w:val="000A20D7"/>
    <w:rsid w:val="000A2128"/>
    <w:rsid w:val="000A362F"/>
    <w:rsid w:val="000A3B49"/>
    <w:rsid w:val="000A47E6"/>
    <w:rsid w:val="000A52C0"/>
    <w:rsid w:val="000A5AAF"/>
    <w:rsid w:val="000A5F97"/>
    <w:rsid w:val="000A648E"/>
    <w:rsid w:val="000A73BB"/>
    <w:rsid w:val="000A7BFD"/>
    <w:rsid w:val="000A7EF4"/>
    <w:rsid w:val="000B0A15"/>
    <w:rsid w:val="000B103F"/>
    <w:rsid w:val="000B1437"/>
    <w:rsid w:val="000B1470"/>
    <w:rsid w:val="000B244D"/>
    <w:rsid w:val="000B2570"/>
    <w:rsid w:val="000B2B86"/>
    <w:rsid w:val="000B3051"/>
    <w:rsid w:val="000B419B"/>
    <w:rsid w:val="000B5781"/>
    <w:rsid w:val="000B5CB1"/>
    <w:rsid w:val="000B6C36"/>
    <w:rsid w:val="000B6D08"/>
    <w:rsid w:val="000C0185"/>
    <w:rsid w:val="000C0F81"/>
    <w:rsid w:val="000C128D"/>
    <w:rsid w:val="000C17A3"/>
    <w:rsid w:val="000C1D4B"/>
    <w:rsid w:val="000C2CC9"/>
    <w:rsid w:val="000C2DC4"/>
    <w:rsid w:val="000C3260"/>
    <w:rsid w:val="000C3B77"/>
    <w:rsid w:val="000C3F6D"/>
    <w:rsid w:val="000C4F49"/>
    <w:rsid w:val="000C5861"/>
    <w:rsid w:val="000C5BDE"/>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3282"/>
    <w:rsid w:val="000D3FDC"/>
    <w:rsid w:val="000D490B"/>
    <w:rsid w:val="000D4E38"/>
    <w:rsid w:val="000D50DB"/>
    <w:rsid w:val="000D5EF9"/>
    <w:rsid w:val="000D6288"/>
    <w:rsid w:val="000D7541"/>
    <w:rsid w:val="000D75E1"/>
    <w:rsid w:val="000D79F4"/>
    <w:rsid w:val="000E047D"/>
    <w:rsid w:val="000E056A"/>
    <w:rsid w:val="000E22CF"/>
    <w:rsid w:val="000E2977"/>
    <w:rsid w:val="000E2CC0"/>
    <w:rsid w:val="000E30AC"/>
    <w:rsid w:val="000E3B46"/>
    <w:rsid w:val="000E3E11"/>
    <w:rsid w:val="000E40A7"/>
    <w:rsid w:val="000E4596"/>
    <w:rsid w:val="000E5768"/>
    <w:rsid w:val="000E5843"/>
    <w:rsid w:val="000E5E20"/>
    <w:rsid w:val="000E6139"/>
    <w:rsid w:val="000E6BE1"/>
    <w:rsid w:val="000E7E0B"/>
    <w:rsid w:val="000F0136"/>
    <w:rsid w:val="000F078A"/>
    <w:rsid w:val="000F122D"/>
    <w:rsid w:val="000F1450"/>
    <w:rsid w:val="000F14E8"/>
    <w:rsid w:val="000F1594"/>
    <w:rsid w:val="000F1BBD"/>
    <w:rsid w:val="000F1E74"/>
    <w:rsid w:val="000F290F"/>
    <w:rsid w:val="000F4403"/>
    <w:rsid w:val="000F4702"/>
    <w:rsid w:val="000F480B"/>
    <w:rsid w:val="000F4E17"/>
    <w:rsid w:val="000F5D2E"/>
    <w:rsid w:val="000F6578"/>
    <w:rsid w:val="000F7E8F"/>
    <w:rsid w:val="000F7FBB"/>
    <w:rsid w:val="001000FB"/>
    <w:rsid w:val="001001E6"/>
    <w:rsid w:val="00100A9E"/>
    <w:rsid w:val="00100F6A"/>
    <w:rsid w:val="00102605"/>
    <w:rsid w:val="00102686"/>
    <w:rsid w:val="00102745"/>
    <w:rsid w:val="00103756"/>
    <w:rsid w:val="00103795"/>
    <w:rsid w:val="00103915"/>
    <w:rsid w:val="00103EA0"/>
    <w:rsid w:val="00104AD6"/>
    <w:rsid w:val="00104F1C"/>
    <w:rsid w:val="001051E5"/>
    <w:rsid w:val="00105A74"/>
    <w:rsid w:val="00105ACB"/>
    <w:rsid w:val="00105AEF"/>
    <w:rsid w:val="00105DDD"/>
    <w:rsid w:val="00106259"/>
    <w:rsid w:val="001068EB"/>
    <w:rsid w:val="001078CE"/>
    <w:rsid w:val="00107FBF"/>
    <w:rsid w:val="00110F61"/>
    <w:rsid w:val="00110F7C"/>
    <w:rsid w:val="001111BD"/>
    <w:rsid w:val="0011165A"/>
    <w:rsid w:val="001116C6"/>
    <w:rsid w:val="001119B1"/>
    <w:rsid w:val="00111B2B"/>
    <w:rsid w:val="00112774"/>
    <w:rsid w:val="00112B2E"/>
    <w:rsid w:val="00112B7F"/>
    <w:rsid w:val="00113003"/>
    <w:rsid w:val="00113062"/>
    <w:rsid w:val="00113657"/>
    <w:rsid w:val="00113705"/>
    <w:rsid w:val="00113975"/>
    <w:rsid w:val="00113CFC"/>
    <w:rsid w:val="00113FEA"/>
    <w:rsid w:val="00114631"/>
    <w:rsid w:val="00114A22"/>
    <w:rsid w:val="00114E9D"/>
    <w:rsid w:val="0011507B"/>
    <w:rsid w:val="0011627A"/>
    <w:rsid w:val="00116328"/>
    <w:rsid w:val="001163CF"/>
    <w:rsid w:val="001174C9"/>
    <w:rsid w:val="00117E69"/>
    <w:rsid w:val="001204D2"/>
    <w:rsid w:val="00121103"/>
    <w:rsid w:val="001211EA"/>
    <w:rsid w:val="001215B2"/>
    <w:rsid w:val="00121BAB"/>
    <w:rsid w:val="00121E3C"/>
    <w:rsid w:val="00122B23"/>
    <w:rsid w:val="00122B7E"/>
    <w:rsid w:val="00123FB5"/>
    <w:rsid w:val="0012400F"/>
    <w:rsid w:val="001249DC"/>
    <w:rsid w:val="0012572D"/>
    <w:rsid w:val="00125BED"/>
    <w:rsid w:val="00125C59"/>
    <w:rsid w:val="00125D4F"/>
    <w:rsid w:val="00125DDE"/>
    <w:rsid w:val="00127004"/>
    <w:rsid w:val="00127AF2"/>
    <w:rsid w:val="00127EDC"/>
    <w:rsid w:val="00127F6D"/>
    <w:rsid w:val="00127FF6"/>
    <w:rsid w:val="00130355"/>
    <w:rsid w:val="00130365"/>
    <w:rsid w:val="0013182D"/>
    <w:rsid w:val="00131B5A"/>
    <w:rsid w:val="00131CA8"/>
    <w:rsid w:val="00132C30"/>
    <w:rsid w:val="00132EFD"/>
    <w:rsid w:val="00133AED"/>
    <w:rsid w:val="00134285"/>
    <w:rsid w:val="00134E09"/>
    <w:rsid w:val="00134E7E"/>
    <w:rsid w:val="00135DB9"/>
    <w:rsid w:val="001360C5"/>
    <w:rsid w:val="00136394"/>
    <w:rsid w:val="0013695C"/>
    <w:rsid w:val="00136BF7"/>
    <w:rsid w:val="001378B9"/>
    <w:rsid w:val="00137FFA"/>
    <w:rsid w:val="00140109"/>
    <w:rsid w:val="0014029B"/>
    <w:rsid w:val="00140464"/>
    <w:rsid w:val="00140A4F"/>
    <w:rsid w:val="001413AB"/>
    <w:rsid w:val="00141DBF"/>
    <w:rsid w:val="00142EFD"/>
    <w:rsid w:val="00142F55"/>
    <w:rsid w:val="0014337C"/>
    <w:rsid w:val="00143866"/>
    <w:rsid w:val="00144335"/>
    <w:rsid w:val="0014502F"/>
    <w:rsid w:val="00145282"/>
    <w:rsid w:val="001453B0"/>
    <w:rsid w:val="001454D9"/>
    <w:rsid w:val="00145D8E"/>
    <w:rsid w:val="00146083"/>
    <w:rsid w:val="001462F7"/>
    <w:rsid w:val="00146B92"/>
    <w:rsid w:val="00147BED"/>
    <w:rsid w:val="00147F35"/>
    <w:rsid w:val="00150005"/>
    <w:rsid w:val="00150795"/>
    <w:rsid w:val="001518D7"/>
    <w:rsid w:val="00151AEB"/>
    <w:rsid w:val="00151B99"/>
    <w:rsid w:val="00151C1E"/>
    <w:rsid w:val="001521B2"/>
    <w:rsid w:val="00152EDD"/>
    <w:rsid w:val="00153491"/>
    <w:rsid w:val="0015361C"/>
    <w:rsid w:val="0015372F"/>
    <w:rsid w:val="00153BFB"/>
    <w:rsid w:val="0015407E"/>
    <w:rsid w:val="0015448E"/>
    <w:rsid w:val="00154A6F"/>
    <w:rsid w:val="00155D08"/>
    <w:rsid w:val="00155F93"/>
    <w:rsid w:val="00156BE5"/>
    <w:rsid w:val="00157232"/>
    <w:rsid w:val="00160401"/>
    <w:rsid w:val="00160D4E"/>
    <w:rsid w:val="00160DF9"/>
    <w:rsid w:val="00161DDA"/>
    <w:rsid w:val="00161E62"/>
    <w:rsid w:val="00161F1C"/>
    <w:rsid w:val="0016200B"/>
    <w:rsid w:val="00162013"/>
    <w:rsid w:val="0016229A"/>
    <w:rsid w:val="00163D7A"/>
    <w:rsid w:val="00163E3A"/>
    <w:rsid w:val="00164281"/>
    <w:rsid w:val="00165703"/>
    <w:rsid w:val="0016685F"/>
    <w:rsid w:val="0016712F"/>
    <w:rsid w:val="00167503"/>
    <w:rsid w:val="001676A9"/>
    <w:rsid w:val="00167A15"/>
    <w:rsid w:val="00167A50"/>
    <w:rsid w:val="00167DF5"/>
    <w:rsid w:val="00170001"/>
    <w:rsid w:val="00172198"/>
    <w:rsid w:val="001722A3"/>
    <w:rsid w:val="00172612"/>
    <w:rsid w:val="00172817"/>
    <w:rsid w:val="00172944"/>
    <w:rsid w:val="001734E3"/>
    <w:rsid w:val="001742BF"/>
    <w:rsid w:val="001747DB"/>
    <w:rsid w:val="00175E49"/>
    <w:rsid w:val="0017649F"/>
    <w:rsid w:val="001764FD"/>
    <w:rsid w:val="0017655D"/>
    <w:rsid w:val="00176ED3"/>
    <w:rsid w:val="001805C1"/>
    <w:rsid w:val="001807B6"/>
    <w:rsid w:val="00180A2E"/>
    <w:rsid w:val="001813AF"/>
    <w:rsid w:val="001829CD"/>
    <w:rsid w:val="00182F01"/>
    <w:rsid w:val="00183FCD"/>
    <w:rsid w:val="00184F27"/>
    <w:rsid w:val="0018519B"/>
    <w:rsid w:val="00185966"/>
    <w:rsid w:val="00185A2D"/>
    <w:rsid w:val="00185AFE"/>
    <w:rsid w:val="00185B06"/>
    <w:rsid w:val="00185BE0"/>
    <w:rsid w:val="00185E78"/>
    <w:rsid w:val="00187061"/>
    <w:rsid w:val="00187177"/>
    <w:rsid w:val="00187ABD"/>
    <w:rsid w:val="001904E3"/>
    <w:rsid w:val="00190688"/>
    <w:rsid w:val="0019087A"/>
    <w:rsid w:val="00191473"/>
    <w:rsid w:val="00191C5A"/>
    <w:rsid w:val="00191CEB"/>
    <w:rsid w:val="00191E63"/>
    <w:rsid w:val="00192531"/>
    <w:rsid w:val="0019258A"/>
    <w:rsid w:val="0019264C"/>
    <w:rsid w:val="00192D68"/>
    <w:rsid w:val="0019388B"/>
    <w:rsid w:val="00193B9A"/>
    <w:rsid w:val="001940ED"/>
    <w:rsid w:val="001946AE"/>
    <w:rsid w:val="001946D5"/>
    <w:rsid w:val="00194804"/>
    <w:rsid w:val="00194E8C"/>
    <w:rsid w:val="001962EC"/>
    <w:rsid w:val="0019638E"/>
    <w:rsid w:val="001963DD"/>
    <w:rsid w:val="001965DB"/>
    <w:rsid w:val="00196D01"/>
    <w:rsid w:val="00196DC9"/>
    <w:rsid w:val="00196E95"/>
    <w:rsid w:val="00197CF9"/>
    <w:rsid w:val="001A0236"/>
    <w:rsid w:val="001A0427"/>
    <w:rsid w:val="001A0930"/>
    <w:rsid w:val="001A0AF8"/>
    <w:rsid w:val="001A1300"/>
    <w:rsid w:val="001A18D5"/>
    <w:rsid w:val="001A1A38"/>
    <w:rsid w:val="001A1BE0"/>
    <w:rsid w:val="001A1D4A"/>
    <w:rsid w:val="001A3011"/>
    <w:rsid w:val="001A32CA"/>
    <w:rsid w:val="001A433C"/>
    <w:rsid w:val="001A4A9B"/>
    <w:rsid w:val="001A4DAF"/>
    <w:rsid w:val="001A54CD"/>
    <w:rsid w:val="001A66DF"/>
    <w:rsid w:val="001A67D0"/>
    <w:rsid w:val="001A6863"/>
    <w:rsid w:val="001A7591"/>
    <w:rsid w:val="001A75B1"/>
    <w:rsid w:val="001A7AA9"/>
    <w:rsid w:val="001A7B06"/>
    <w:rsid w:val="001B0366"/>
    <w:rsid w:val="001B0444"/>
    <w:rsid w:val="001B096B"/>
    <w:rsid w:val="001B0F9F"/>
    <w:rsid w:val="001B0FAA"/>
    <w:rsid w:val="001B123C"/>
    <w:rsid w:val="001B1A0D"/>
    <w:rsid w:val="001B1BF1"/>
    <w:rsid w:val="001B1C97"/>
    <w:rsid w:val="001B2456"/>
    <w:rsid w:val="001B246B"/>
    <w:rsid w:val="001B255B"/>
    <w:rsid w:val="001B449C"/>
    <w:rsid w:val="001B4AA2"/>
    <w:rsid w:val="001B4ADE"/>
    <w:rsid w:val="001B5EF8"/>
    <w:rsid w:val="001B615D"/>
    <w:rsid w:val="001C07C6"/>
    <w:rsid w:val="001C19CD"/>
    <w:rsid w:val="001C22D5"/>
    <w:rsid w:val="001C2394"/>
    <w:rsid w:val="001C2515"/>
    <w:rsid w:val="001C26FB"/>
    <w:rsid w:val="001C2BE4"/>
    <w:rsid w:val="001C2CA1"/>
    <w:rsid w:val="001C33C1"/>
    <w:rsid w:val="001C3E30"/>
    <w:rsid w:val="001C3E5C"/>
    <w:rsid w:val="001C5072"/>
    <w:rsid w:val="001C5B2A"/>
    <w:rsid w:val="001C600B"/>
    <w:rsid w:val="001C6898"/>
    <w:rsid w:val="001C6DD8"/>
    <w:rsid w:val="001C6DFF"/>
    <w:rsid w:val="001C7C7B"/>
    <w:rsid w:val="001D068D"/>
    <w:rsid w:val="001D0EC9"/>
    <w:rsid w:val="001D12D1"/>
    <w:rsid w:val="001D15DF"/>
    <w:rsid w:val="001D30F3"/>
    <w:rsid w:val="001D31A0"/>
    <w:rsid w:val="001D338E"/>
    <w:rsid w:val="001D3675"/>
    <w:rsid w:val="001D4F13"/>
    <w:rsid w:val="001D56E9"/>
    <w:rsid w:val="001D5922"/>
    <w:rsid w:val="001D5EE1"/>
    <w:rsid w:val="001D796A"/>
    <w:rsid w:val="001D7A84"/>
    <w:rsid w:val="001D7C79"/>
    <w:rsid w:val="001E003B"/>
    <w:rsid w:val="001E1050"/>
    <w:rsid w:val="001E12FF"/>
    <w:rsid w:val="001E1CC4"/>
    <w:rsid w:val="001E1D38"/>
    <w:rsid w:val="001E28A0"/>
    <w:rsid w:val="001E2ECF"/>
    <w:rsid w:val="001E3F3C"/>
    <w:rsid w:val="001E4258"/>
    <w:rsid w:val="001E44EA"/>
    <w:rsid w:val="001E5AEF"/>
    <w:rsid w:val="001E5D6A"/>
    <w:rsid w:val="001E6A94"/>
    <w:rsid w:val="001E70FB"/>
    <w:rsid w:val="001E780A"/>
    <w:rsid w:val="001F0FA0"/>
    <w:rsid w:val="001F1349"/>
    <w:rsid w:val="001F1863"/>
    <w:rsid w:val="001F2356"/>
    <w:rsid w:val="001F25CA"/>
    <w:rsid w:val="001F2A68"/>
    <w:rsid w:val="001F4773"/>
    <w:rsid w:val="001F5008"/>
    <w:rsid w:val="001F51A9"/>
    <w:rsid w:val="001F56AA"/>
    <w:rsid w:val="001F58AA"/>
    <w:rsid w:val="001F5A4E"/>
    <w:rsid w:val="001F5C3E"/>
    <w:rsid w:val="001F5EF6"/>
    <w:rsid w:val="001F657F"/>
    <w:rsid w:val="001F6FB6"/>
    <w:rsid w:val="001F72BB"/>
    <w:rsid w:val="001F7978"/>
    <w:rsid w:val="001F7A0E"/>
    <w:rsid w:val="0020022E"/>
    <w:rsid w:val="0020054E"/>
    <w:rsid w:val="00201260"/>
    <w:rsid w:val="00201AC4"/>
    <w:rsid w:val="00201F1E"/>
    <w:rsid w:val="0020299B"/>
    <w:rsid w:val="00202E44"/>
    <w:rsid w:val="002037AA"/>
    <w:rsid w:val="00203FE3"/>
    <w:rsid w:val="002040B0"/>
    <w:rsid w:val="002042D8"/>
    <w:rsid w:val="00204515"/>
    <w:rsid w:val="00204A2E"/>
    <w:rsid w:val="00204BF5"/>
    <w:rsid w:val="00204E6B"/>
    <w:rsid w:val="00204EF3"/>
    <w:rsid w:val="00204FB5"/>
    <w:rsid w:val="002053EF"/>
    <w:rsid w:val="00205719"/>
    <w:rsid w:val="002058D4"/>
    <w:rsid w:val="0020632A"/>
    <w:rsid w:val="0020697F"/>
    <w:rsid w:val="002110EB"/>
    <w:rsid w:val="00211338"/>
    <w:rsid w:val="00211388"/>
    <w:rsid w:val="0021148C"/>
    <w:rsid w:val="00211694"/>
    <w:rsid w:val="0021201A"/>
    <w:rsid w:val="00212FA8"/>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4A66"/>
    <w:rsid w:val="00226055"/>
    <w:rsid w:val="0022613F"/>
    <w:rsid w:val="00226236"/>
    <w:rsid w:val="002265F3"/>
    <w:rsid w:val="002269B2"/>
    <w:rsid w:val="002270C9"/>
    <w:rsid w:val="00227A8B"/>
    <w:rsid w:val="0023146B"/>
    <w:rsid w:val="002315A0"/>
    <w:rsid w:val="0023161C"/>
    <w:rsid w:val="00231748"/>
    <w:rsid w:val="00231AE0"/>
    <w:rsid w:val="00231BEE"/>
    <w:rsid w:val="00231EC7"/>
    <w:rsid w:val="00232E15"/>
    <w:rsid w:val="00233079"/>
    <w:rsid w:val="0023382C"/>
    <w:rsid w:val="00233977"/>
    <w:rsid w:val="00233C58"/>
    <w:rsid w:val="00233C71"/>
    <w:rsid w:val="0023452B"/>
    <w:rsid w:val="002345B6"/>
    <w:rsid w:val="002347A6"/>
    <w:rsid w:val="00234B84"/>
    <w:rsid w:val="00236016"/>
    <w:rsid w:val="00237065"/>
    <w:rsid w:val="00237589"/>
    <w:rsid w:val="0023758D"/>
    <w:rsid w:val="002375A7"/>
    <w:rsid w:val="002378F9"/>
    <w:rsid w:val="0023798D"/>
    <w:rsid w:val="0024019A"/>
    <w:rsid w:val="00241146"/>
    <w:rsid w:val="0024120F"/>
    <w:rsid w:val="0024131D"/>
    <w:rsid w:val="002415B8"/>
    <w:rsid w:val="00242D62"/>
    <w:rsid w:val="002430BF"/>
    <w:rsid w:val="002430D0"/>
    <w:rsid w:val="002431D7"/>
    <w:rsid w:val="00244058"/>
    <w:rsid w:val="00245718"/>
    <w:rsid w:val="00245DB2"/>
    <w:rsid w:val="00245E07"/>
    <w:rsid w:val="00246AEC"/>
    <w:rsid w:val="00247712"/>
    <w:rsid w:val="00247874"/>
    <w:rsid w:val="00247F95"/>
    <w:rsid w:val="00250EC6"/>
    <w:rsid w:val="002515C7"/>
    <w:rsid w:val="00251866"/>
    <w:rsid w:val="00251A9F"/>
    <w:rsid w:val="00252492"/>
    <w:rsid w:val="00252B35"/>
    <w:rsid w:val="0025316D"/>
    <w:rsid w:val="00253A02"/>
    <w:rsid w:val="00253B81"/>
    <w:rsid w:val="002554DE"/>
    <w:rsid w:val="00255575"/>
    <w:rsid w:val="00255E11"/>
    <w:rsid w:val="00256835"/>
    <w:rsid w:val="002569F0"/>
    <w:rsid w:val="00256BA0"/>
    <w:rsid w:val="00256E1A"/>
    <w:rsid w:val="00256E30"/>
    <w:rsid w:val="00256ECF"/>
    <w:rsid w:val="00257730"/>
    <w:rsid w:val="00257999"/>
    <w:rsid w:val="002604AA"/>
    <w:rsid w:val="0026129B"/>
    <w:rsid w:val="00261560"/>
    <w:rsid w:val="00261715"/>
    <w:rsid w:val="00261CF9"/>
    <w:rsid w:val="00261EC0"/>
    <w:rsid w:val="0026231B"/>
    <w:rsid w:val="00262881"/>
    <w:rsid w:val="00263101"/>
    <w:rsid w:val="002631D1"/>
    <w:rsid w:val="00263201"/>
    <w:rsid w:val="00263224"/>
    <w:rsid w:val="002634CA"/>
    <w:rsid w:val="00263A37"/>
    <w:rsid w:val="00264646"/>
    <w:rsid w:val="0026478A"/>
    <w:rsid w:val="0026480D"/>
    <w:rsid w:val="002653A6"/>
    <w:rsid w:val="00265D28"/>
    <w:rsid w:val="002661F1"/>
    <w:rsid w:val="00266DB6"/>
    <w:rsid w:val="00270802"/>
    <w:rsid w:val="002711A4"/>
    <w:rsid w:val="00271ECB"/>
    <w:rsid w:val="00271F13"/>
    <w:rsid w:val="0027278E"/>
    <w:rsid w:val="0027482E"/>
    <w:rsid w:val="00274842"/>
    <w:rsid w:val="00274BAC"/>
    <w:rsid w:val="00274DB5"/>
    <w:rsid w:val="00275423"/>
    <w:rsid w:val="00275BB1"/>
    <w:rsid w:val="00277933"/>
    <w:rsid w:val="00277F8D"/>
    <w:rsid w:val="00277FA7"/>
    <w:rsid w:val="00280046"/>
    <w:rsid w:val="00280B4F"/>
    <w:rsid w:val="00280F3D"/>
    <w:rsid w:val="0028106A"/>
    <w:rsid w:val="00281EB4"/>
    <w:rsid w:val="0028227B"/>
    <w:rsid w:val="00282D74"/>
    <w:rsid w:val="0028308E"/>
    <w:rsid w:val="002834E9"/>
    <w:rsid w:val="00283975"/>
    <w:rsid w:val="00283A52"/>
    <w:rsid w:val="00283C5E"/>
    <w:rsid w:val="00283E26"/>
    <w:rsid w:val="0028428F"/>
    <w:rsid w:val="00284CFC"/>
    <w:rsid w:val="00284FBA"/>
    <w:rsid w:val="002856D0"/>
    <w:rsid w:val="00285832"/>
    <w:rsid w:val="00285969"/>
    <w:rsid w:val="00285E33"/>
    <w:rsid w:val="0028663B"/>
    <w:rsid w:val="00286CEC"/>
    <w:rsid w:val="002870F9"/>
    <w:rsid w:val="002871A9"/>
    <w:rsid w:val="00287505"/>
    <w:rsid w:val="00287D71"/>
    <w:rsid w:val="00290781"/>
    <w:rsid w:val="00291784"/>
    <w:rsid w:val="002920DF"/>
    <w:rsid w:val="0029273C"/>
    <w:rsid w:val="002929BB"/>
    <w:rsid w:val="00294368"/>
    <w:rsid w:val="00294B78"/>
    <w:rsid w:val="00295416"/>
    <w:rsid w:val="00295949"/>
    <w:rsid w:val="0029624A"/>
    <w:rsid w:val="00296922"/>
    <w:rsid w:val="00296FB6"/>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A93"/>
    <w:rsid w:val="002A4B1C"/>
    <w:rsid w:val="002A4E9D"/>
    <w:rsid w:val="002A55FE"/>
    <w:rsid w:val="002A5A59"/>
    <w:rsid w:val="002A6AFB"/>
    <w:rsid w:val="002A733D"/>
    <w:rsid w:val="002A774A"/>
    <w:rsid w:val="002A78F3"/>
    <w:rsid w:val="002A7E5C"/>
    <w:rsid w:val="002A7F6D"/>
    <w:rsid w:val="002B1342"/>
    <w:rsid w:val="002B1F83"/>
    <w:rsid w:val="002B27C8"/>
    <w:rsid w:val="002B2A7F"/>
    <w:rsid w:val="002B330B"/>
    <w:rsid w:val="002B39BE"/>
    <w:rsid w:val="002B438C"/>
    <w:rsid w:val="002B48DB"/>
    <w:rsid w:val="002B4B34"/>
    <w:rsid w:val="002B51B0"/>
    <w:rsid w:val="002B541A"/>
    <w:rsid w:val="002B5EAB"/>
    <w:rsid w:val="002B6407"/>
    <w:rsid w:val="002B6416"/>
    <w:rsid w:val="002B6459"/>
    <w:rsid w:val="002B7014"/>
    <w:rsid w:val="002B73B0"/>
    <w:rsid w:val="002C1EDE"/>
    <w:rsid w:val="002C24B4"/>
    <w:rsid w:val="002C2B3A"/>
    <w:rsid w:val="002C2B87"/>
    <w:rsid w:val="002C3576"/>
    <w:rsid w:val="002C3CF4"/>
    <w:rsid w:val="002C441A"/>
    <w:rsid w:val="002C4A73"/>
    <w:rsid w:val="002C4B84"/>
    <w:rsid w:val="002C4C0C"/>
    <w:rsid w:val="002C5016"/>
    <w:rsid w:val="002C5C2F"/>
    <w:rsid w:val="002C5D0F"/>
    <w:rsid w:val="002C60B9"/>
    <w:rsid w:val="002C672A"/>
    <w:rsid w:val="002C6F77"/>
    <w:rsid w:val="002C704D"/>
    <w:rsid w:val="002D0845"/>
    <w:rsid w:val="002D0933"/>
    <w:rsid w:val="002D0CE3"/>
    <w:rsid w:val="002D13CC"/>
    <w:rsid w:val="002D19BB"/>
    <w:rsid w:val="002D1A9B"/>
    <w:rsid w:val="002D20F8"/>
    <w:rsid w:val="002D22BD"/>
    <w:rsid w:val="002D22C5"/>
    <w:rsid w:val="002D2F86"/>
    <w:rsid w:val="002D3003"/>
    <w:rsid w:val="002D302A"/>
    <w:rsid w:val="002D3552"/>
    <w:rsid w:val="002D36C6"/>
    <w:rsid w:val="002D3749"/>
    <w:rsid w:val="002D37C1"/>
    <w:rsid w:val="002D3822"/>
    <w:rsid w:val="002D444B"/>
    <w:rsid w:val="002D4A45"/>
    <w:rsid w:val="002D4B42"/>
    <w:rsid w:val="002D4B43"/>
    <w:rsid w:val="002D56D7"/>
    <w:rsid w:val="002D5A10"/>
    <w:rsid w:val="002D5A1B"/>
    <w:rsid w:val="002D5E68"/>
    <w:rsid w:val="002D65BC"/>
    <w:rsid w:val="002D6960"/>
    <w:rsid w:val="002D6A45"/>
    <w:rsid w:val="002E055C"/>
    <w:rsid w:val="002E0774"/>
    <w:rsid w:val="002E1050"/>
    <w:rsid w:val="002E107E"/>
    <w:rsid w:val="002E18E5"/>
    <w:rsid w:val="002E1953"/>
    <w:rsid w:val="002E2CB5"/>
    <w:rsid w:val="002E2D7D"/>
    <w:rsid w:val="002E32D0"/>
    <w:rsid w:val="002E372E"/>
    <w:rsid w:val="002E3D76"/>
    <w:rsid w:val="002E40A1"/>
    <w:rsid w:val="002E48EC"/>
    <w:rsid w:val="002E4B44"/>
    <w:rsid w:val="002E4ECB"/>
    <w:rsid w:val="002E4F23"/>
    <w:rsid w:val="002E635A"/>
    <w:rsid w:val="002E6D68"/>
    <w:rsid w:val="002E7847"/>
    <w:rsid w:val="002E7F03"/>
    <w:rsid w:val="002F0073"/>
    <w:rsid w:val="002F1C3F"/>
    <w:rsid w:val="002F1C67"/>
    <w:rsid w:val="002F240B"/>
    <w:rsid w:val="002F26B7"/>
    <w:rsid w:val="002F2F50"/>
    <w:rsid w:val="002F33EC"/>
    <w:rsid w:val="002F34E3"/>
    <w:rsid w:val="002F3601"/>
    <w:rsid w:val="002F3A37"/>
    <w:rsid w:val="002F45F6"/>
    <w:rsid w:val="002F4B0A"/>
    <w:rsid w:val="002F5A6F"/>
    <w:rsid w:val="002F692F"/>
    <w:rsid w:val="002F7B66"/>
    <w:rsid w:val="00300CB4"/>
    <w:rsid w:val="00300E24"/>
    <w:rsid w:val="003033BA"/>
    <w:rsid w:val="00303771"/>
    <w:rsid w:val="00303BAF"/>
    <w:rsid w:val="00303C19"/>
    <w:rsid w:val="003043A3"/>
    <w:rsid w:val="00304BD4"/>
    <w:rsid w:val="0030500A"/>
    <w:rsid w:val="003052EB"/>
    <w:rsid w:val="003056D2"/>
    <w:rsid w:val="00305FCB"/>
    <w:rsid w:val="003063C3"/>
    <w:rsid w:val="003069DC"/>
    <w:rsid w:val="00306B44"/>
    <w:rsid w:val="00307BE8"/>
    <w:rsid w:val="00307C44"/>
    <w:rsid w:val="0031088E"/>
    <w:rsid w:val="00310D01"/>
    <w:rsid w:val="00311376"/>
    <w:rsid w:val="00311A1F"/>
    <w:rsid w:val="00311B47"/>
    <w:rsid w:val="00311D52"/>
    <w:rsid w:val="00312015"/>
    <w:rsid w:val="00312190"/>
    <w:rsid w:val="003125E0"/>
    <w:rsid w:val="0031271D"/>
    <w:rsid w:val="003129FB"/>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78D"/>
    <w:rsid w:val="00320ADF"/>
    <w:rsid w:val="0032137B"/>
    <w:rsid w:val="00321741"/>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2FCC"/>
    <w:rsid w:val="00333196"/>
    <w:rsid w:val="00333A88"/>
    <w:rsid w:val="00335B15"/>
    <w:rsid w:val="00335B21"/>
    <w:rsid w:val="00335D3F"/>
    <w:rsid w:val="00336104"/>
    <w:rsid w:val="00336155"/>
    <w:rsid w:val="0033672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AF6"/>
    <w:rsid w:val="0034680A"/>
    <w:rsid w:val="00346A44"/>
    <w:rsid w:val="00346C62"/>
    <w:rsid w:val="0034705D"/>
    <w:rsid w:val="00347202"/>
    <w:rsid w:val="00347346"/>
    <w:rsid w:val="0034778E"/>
    <w:rsid w:val="00347A5A"/>
    <w:rsid w:val="003501E2"/>
    <w:rsid w:val="00351E10"/>
    <w:rsid w:val="003533F4"/>
    <w:rsid w:val="003536F6"/>
    <w:rsid w:val="00353765"/>
    <w:rsid w:val="00353DD5"/>
    <w:rsid w:val="00355131"/>
    <w:rsid w:val="00355C52"/>
    <w:rsid w:val="00355F74"/>
    <w:rsid w:val="003560DB"/>
    <w:rsid w:val="003564DB"/>
    <w:rsid w:val="00356F0B"/>
    <w:rsid w:val="00356F87"/>
    <w:rsid w:val="00360CF3"/>
    <w:rsid w:val="00361A59"/>
    <w:rsid w:val="00363348"/>
    <w:rsid w:val="0036366B"/>
    <w:rsid w:val="00363857"/>
    <w:rsid w:val="00363D59"/>
    <w:rsid w:val="003640F7"/>
    <w:rsid w:val="00365D3A"/>
    <w:rsid w:val="00366314"/>
    <w:rsid w:val="003664FF"/>
    <w:rsid w:val="00366BD2"/>
    <w:rsid w:val="003670B8"/>
    <w:rsid w:val="00367519"/>
    <w:rsid w:val="00367A7A"/>
    <w:rsid w:val="00370488"/>
    <w:rsid w:val="003704A3"/>
    <w:rsid w:val="003706F2"/>
    <w:rsid w:val="0037124F"/>
    <w:rsid w:val="003722B3"/>
    <w:rsid w:val="003724CE"/>
    <w:rsid w:val="00373827"/>
    <w:rsid w:val="00373C6B"/>
    <w:rsid w:val="0037401C"/>
    <w:rsid w:val="00374D49"/>
    <w:rsid w:val="0037507B"/>
    <w:rsid w:val="00375179"/>
    <w:rsid w:val="00375627"/>
    <w:rsid w:val="00375C7C"/>
    <w:rsid w:val="00377027"/>
    <w:rsid w:val="00377135"/>
    <w:rsid w:val="00377C94"/>
    <w:rsid w:val="00380272"/>
    <w:rsid w:val="003805DB"/>
    <w:rsid w:val="003811F4"/>
    <w:rsid w:val="0038152A"/>
    <w:rsid w:val="00382BAD"/>
    <w:rsid w:val="00382F03"/>
    <w:rsid w:val="003835FD"/>
    <w:rsid w:val="00384ACA"/>
    <w:rsid w:val="00384DF1"/>
    <w:rsid w:val="00384FF3"/>
    <w:rsid w:val="0038512F"/>
    <w:rsid w:val="00385BC4"/>
    <w:rsid w:val="00385CB6"/>
    <w:rsid w:val="00386456"/>
    <w:rsid w:val="003865A9"/>
    <w:rsid w:val="0039092B"/>
    <w:rsid w:val="00390DB1"/>
    <w:rsid w:val="00390F32"/>
    <w:rsid w:val="0039135E"/>
    <w:rsid w:val="0039319C"/>
    <w:rsid w:val="00393577"/>
    <w:rsid w:val="00393CAE"/>
    <w:rsid w:val="00394194"/>
    <w:rsid w:val="003945F4"/>
    <w:rsid w:val="00394849"/>
    <w:rsid w:val="00394EB5"/>
    <w:rsid w:val="00394F19"/>
    <w:rsid w:val="003953B4"/>
    <w:rsid w:val="0039615F"/>
    <w:rsid w:val="003966A0"/>
    <w:rsid w:val="00396A29"/>
    <w:rsid w:val="00397FF0"/>
    <w:rsid w:val="003A0878"/>
    <w:rsid w:val="003A1561"/>
    <w:rsid w:val="003A1965"/>
    <w:rsid w:val="003A1D25"/>
    <w:rsid w:val="003A22A2"/>
    <w:rsid w:val="003A2447"/>
    <w:rsid w:val="003A2AA1"/>
    <w:rsid w:val="003A2E9D"/>
    <w:rsid w:val="003A31A5"/>
    <w:rsid w:val="003A329A"/>
    <w:rsid w:val="003A3491"/>
    <w:rsid w:val="003A35FC"/>
    <w:rsid w:val="003A3603"/>
    <w:rsid w:val="003A3851"/>
    <w:rsid w:val="003A39DD"/>
    <w:rsid w:val="003A4199"/>
    <w:rsid w:val="003A4A8E"/>
    <w:rsid w:val="003A563C"/>
    <w:rsid w:val="003A581E"/>
    <w:rsid w:val="003A6160"/>
    <w:rsid w:val="003A65A5"/>
    <w:rsid w:val="003A72F5"/>
    <w:rsid w:val="003A73EE"/>
    <w:rsid w:val="003A7464"/>
    <w:rsid w:val="003A78E5"/>
    <w:rsid w:val="003B0341"/>
    <w:rsid w:val="003B0A10"/>
    <w:rsid w:val="003B1E57"/>
    <w:rsid w:val="003B29D4"/>
    <w:rsid w:val="003B2B6C"/>
    <w:rsid w:val="003B2EF3"/>
    <w:rsid w:val="003B4913"/>
    <w:rsid w:val="003B4A4D"/>
    <w:rsid w:val="003B4DA9"/>
    <w:rsid w:val="003B534F"/>
    <w:rsid w:val="003B5391"/>
    <w:rsid w:val="003B58CE"/>
    <w:rsid w:val="003B65D7"/>
    <w:rsid w:val="003B65E0"/>
    <w:rsid w:val="003B6BD4"/>
    <w:rsid w:val="003B6E98"/>
    <w:rsid w:val="003B6F4D"/>
    <w:rsid w:val="003B6FE7"/>
    <w:rsid w:val="003C0D1F"/>
    <w:rsid w:val="003C116A"/>
    <w:rsid w:val="003C1AF4"/>
    <w:rsid w:val="003C1C9C"/>
    <w:rsid w:val="003C1CB8"/>
    <w:rsid w:val="003C22DA"/>
    <w:rsid w:val="003C2546"/>
    <w:rsid w:val="003C2550"/>
    <w:rsid w:val="003C287F"/>
    <w:rsid w:val="003C3339"/>
    <w:rsid w:val="003C375A"/>
    <w:rsid w:val="003C4D9F"/>
    <w:rsid w:val="003C5247"/>
    <w:rsid w:val="003C622C"/>
    <w:rsid w:val="003C64C7"/>
    <w:rsid w:val="003C6505"/>
    <w:rsid w:val="003C65A6"/>
    <w:rsid w:val="003C6CDC"/>
    <w:rsid w:val="003C73C7"/>
    <w:rsid w:val="003C76DF"/>
    <w:rsid w:val="003C7CFB"/>
    <w:rsid w:val="003C7E50"/>
    <w:rsid w:val="003D0236"/>
    <w:rsid w:val="003D050B"/>
    <w:rsid w:val="003D0B98"/>
    <w:rsid w:val="003D0C38"/>
    <w:rsid w:val="003D0C3C"/>
    <w:rsid w:val="003D0DE5"/>
    <w:rsid w:val="003D1351"/>
    <w:rsid w:val="003D21C1"/>
    <w:rsid w:val="003D3B15"/>
    <w:rsid w:val="003D3B2E"/>
    <w:rsid w:val="003D4101"/>
    <w:rsid w:val="003D484D"/>
    <w:rsid w:val="003D49CB"/>
    <w:rsid w:val="003D6B8F"/>
    <w:rsid w:val="003D70D5"/>
    <w:rsid w:val="003D7566"/>
    <w:rsid w:val="003D7FB3"/>
    <w:rsid w:val="003E0224"/>
    <w:rsid w:val="003E09BB"/>
    <w:rsid w:val="003E159D"/>
    <w:rsid w:val="003E20EA"/>
    <w:rsid w:val="003E210C"/>
    <w:rsid w:val="003E2F55"/>
    <w:rsid w:val="003E3239"/>
    <w:rsid w:val="003E32C3"/>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90"/>
    <w:rsid w:val="003E78DA"/>
    <w:rsid w:val="003E7A8B"/>
    <w:rsid w:val="003F01CC"/>
    <w:rsid w:val="003F060E"/>
    <w:rsid w:val="003F0F7F"/>
    <w:rsid w:val="003F115C"/>
    <w:rsid w:val="003F155A"/>
    <w:rsid w:val="003F16E9"/>
    <w:rsid w:val="003F300D"/>
    <w:rsid w:val="003F391F"/>
    <w:rsid w:val="003F4599"/>
    <w:rsid w:val="003F45E1"/>
    <w:rsid w:val="003F4F6C"/>
    <w:rsid w:val="003F559E"/>
    <w:rsid w:val="003F6181"/>
    <w:rsid w:val="003F6BFC"/>
    <w:rsid w:val="003F7343"/>
    <w:rsid w:val="00400002"/>
    <w:rsid w:val="00400054"/>
    <w:rsid w:val="004016A3"/>
    <w:rsid w:val="004017F3"/>
    <w:rsid w:val="00401AAC"/>
    <w:rsid w:val="00401B31"/>
    <w:rsid w:val="0040202B"/>
    <w:rsid w:val="0040279A"/>
    <w:rsid w:val="00402DE1"/>
    <w:rsid w:val="00402EEB"/>
    <w:rsid w:val="004037C2"/>
    <w:rsid w:val="00403DF5"/>
    <w:rsid w:val="00404041"/>
    <w:rsid w:val="004047DF"/>
    <w:rsid w:val="00404B43"/>
    <w:rsid w:val="00404C61"/>
    <w:rsid w:val="00405487"/>
    <w:rsid w:val="00405B8A"/>
    <w:rsid w:val="0040602B"/>
    <w:rsid w:val="0040669F"/>
    <w:rsid w:val="00406DF5"/>
    <w:rsid w:val="00406F35"/>
    <w:rsid w:val="00407A7A"/>
    <w:rsid w:val="00407ABC"/>
    <w:rsid w:val="00407F1E"/>
    <w:rsid w:val="00410497"/>
    <w:rsid w:val="004107C1"/>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63EA"/>
    <w:rsid w:val="00416641"/>
    <w:rsid w:val="00416CB0"/>
    <w:rsid w:val="004170D7"/>
    <w:rsid w:val="004177A6"/>
    <w:rsid w:val="00417C23"/>
    <w:rsid w:val="00417EFD"/>
    <w:rsid w:val="004200EE"/>
    <w:rsid w:val="004209D2"/>
    <w:rsid w:val="00420D6E"/>
    <w:rsid w:val="0042158C"/>
    <w:rsid w:val="00421BD2"/>
    <w:rsid w:val="00421E00"/>
    <w:rsid w:val="00421FCB"/>
    <w:rsid w:val="004225A3"/>
    <w:rsid w:val="00422DCA"/>
    <w:rsid w:val="0042311B"/>
    <w:rsid w:val="00423562"/>
    <w:rsid w:val="004236BF"/>
    <w:rsid w:val="00423F9F"/>
    <w:rsid w:val="00424AB2"/>
    <w:rsid w:val="00425C43"/>
    <w:rsid w:val="00426CF8"/>
    <w:rsid w:val="004273FA"/>
    <w:rsid w:val="004275A7"/>
    <w:rsid w:val="00430186"/>
    <w:rsid w:val="00430682"/>
    <w:rsid w:val="00431017"/>
    <w:rsid w:val="00431C0B"/>
    <w:rsid w:val="0043269A"/>
    <w:rsid w:val="004333C2"/>
    <w:rsid w:val="0043448A"/>
    <w:rsid w:val="00434787"/>
    <w:rsid w:val="00434C13"/>
    <w:rsid w:val="00434C2C"/>
    <w:rsid w:val="004351CF"/>
    <w:rsid w:val="00435703"/>
    <w:rsid w:val="00435BD5"/>
    <w:rsid w:val="00435FAF"/>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2EB9"/>
    <w:rsid w:val="0044374D"/>
    <w:rsid w:val="00443B55"/>
    <w:rsid w:val="00443D27"/>
    <w:rsid w:val="004445D9"/>
    <w:rsid w:val="00444C47"/>
    <w:rsid w:val="00444FE0"/>
    <w:rsid w:val="0044500B"/>
    <w:rsid w:val="00445B5B"/>
    <w:rsid w:val="00446037"/>
    <w:rsid w:val="00446268"/>
    <w:rsid w:val="0044642F"/>
    <w:rsid w:val="0044772C"/>
    <w:rsid w:val="00447D53"/>
    <w:rsid w:val="00450846"/>
    <w:rsid w:val="00451A52"/>
    <w:rsid w:val="0045271D"/>
    <w:rsid w:val="00452755"/>
    <w:rsid w:val="00452803"/>
    <w:rsid w:val="004529C6"/>
    <w:rsid w:val="00452EAD"/>
    <w:rsid w:val="004533D1"/>
    <w:rsid w:val="004534D1"/>
    <w:rsid w:val="00454548"/>
    <w:rsid w:val="00454717"/>
    <w:rsid w:val="00454AFE"/>
    <w:rsid w:val="00455004"/>
    <w:rsid w:val="00455047"/>
    <w:rsid w:val="00455354"/>
    <w:rsid w:val="0045558D"/>
    <w:rsid w:val="00455B70"/>
    <w:rsid w:val="00455BD3"/>
    <w:rsid w:val="00456970"/>
    <w:rsid w:val="00456BB1"/>
    <w:rsid w:val="00456CD4"/>
    <w:rsid w:val="00456DDB"/>
    <w:rsid w:val="00457031"/>
    <w:rsid w:val="004602E2"/>
    <w:rsid w:val="00460915"/>
    <w:rsid w:val="00460946"/>
    <w:rsid w:val="00460CCD"/>
    <w:rsid w:val="004614A9"/>
    <w:rsid w:val="00461E97"/>
    <w:rsid w:val="0046268F"/>
    <w:rsid w:val="0046284F"/>
    <w:rsid w:val="00462B10"/>
    <w:rsid w:val="00462C04"/>
    <w:rsid w:val="0046320A"/>
    <w:rsid w:val="004632E2"/>
    <w:rsid w:val="00463473"/>
    <w:rsid w:val="004638E2"/>
    <w:rsid w:val="00464030"/>
    <w:rsid w:val="004647F8"/>
    <w:rsid w:val="004647FB"/>
    <w:rsid w:val="00465347"/>
    <w:rsid w:val="00465677"/>
    <w:rsid w:val="00466616"/>
    <w:rsid w:val="00466631"/>
    <w:rsid w:val="00466A0C"/>
    <w:rsid w:val="00466A53"/>
    <w:rsid w:val="004673A8"/>
    <w:rsid w:val="0046753A"/>
    <w:rsid w:val="00467D4E"/>
    <w:rsid w:val="0047098A"/>
    <w:rsid w:val="00470A6A"/>
    <w:rsid w:val="00470D73"/>
    <w:rsid w:val="00470D92"/>
    <w:rsid w:val="00471D8F"/>
    <w:rsid w:val="00471DF7"/>
    <w:rsid w:val="004734CF"/>
    <w:rsid w:val="004734E9"/>
    <w:rsid w:val="004737EA"/>
    <w:rsid w:val="00475C5A"/>
    <w:rsid w:val="00475C9C"/>
    <w:rsid w:val="0047676B"/>
    <w:rsid w:val="0047773C"/>
    <w:rsid w:val="00477C5F"/>
    <w:rsid w:val="00480050"/>
    <w:rsid w:val="0048011C"/>
    <w:rsid w:val="00480567"/>
    <w:rsid w:val="004808DE"/>
    <w:rsid w:val="00480CDC"/>
    <w:rsid w:val="00481931"/>
    <w:rsid w:val="004819C7"/>
    <w:rsid w:val="00481AC4"/>
    <w:rsid w:val="00481DC1"/>
    <w:rsid w:val="00482507"/>
    <w:rsid w:val="0048268A"/>
    <w:rsid w:val="00482DE8"/>
    <w:rsid w:val="004835CA"/>
    <w:rsid w:val="004836F8"/>
    <w:rsid w:val="004836FE"/>
    <w:rsid w:val="00484F0F"/>
    <w:rsid w:val="00484F40"/>
    <w:rsid w:val="0048540C"/>
    <w:rsid w:val="0048576F"/>
    <w:rsid w:val="004861B4"/>
    <w:rsid w:val="00486BD0"/>
    <w:rsid w:val="00486D00"/>
    <w:rsid w:val="00487263"/>
    <w:rsid w:val="0048734F"/>
    <w:rsid w:val="00487532"/>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3EDB"/>
    <w:rsid w:val="004940E3"/>
    <w:rsid w:val="004951A1"/>
    <w:rsid w:val="0049530F"/>
    <w:rsid w:val="004957D0"/>
    <w:rsid w:val="00496664"/>
    <w:rsid w:val="00496786"/>
    <w:rsid w:val="0049695B"/>
    <w:rsid w:val="00496B9C"/>
    <w:rsid w:val="00496D8F"/>
    <w:rsid w:val="00497463"/>
    <w:rsid w:val="00497610"/>
    <w:rsid w:val="004978F6"/>
    <w:rsid w:val="004A054C"/>
    <w:rsid w:val="004A08D1"/>
    <w:rsid w:val="004A1040"/>
    <w:rsid w:val="004A16C1"/>
    <w:rsid w:val="004A1CE2"/>
    <w:rsid w:val="004A30EB"/>
    <w:rsid w:val="004A34D2"/>
    <w:rsid w:val="004A3898"/>
    <w:rsid w:val="004A4301"/>
    <w:rsid w:val="004A4D93"/>
    <w:rsid w:val="004A58EE"/>
    <w:rsid w:val="004A59B7"/>
    <w:rsid w:val="004A6051"/>
    <w:rsid w:val="004A623B"/>
    <w:rsid w:val="004A6A04"/>
    <w:rsid w:val="004A6A52"/>
    <w:rsid w:val="004B0A44"/>
    <w:rsid w:val="004B0F0B"/>
    <w:rsid w:val="004B18CB"/>
    <w:rsid w:val="004B2197"/>
    <w:rsid w:val="004B28E0"/>
    <w:rsid w:val="004B298A"/>
    <w:rsid w:val="004B2CC7"/>
    <w:rsid w:val="004B34C4"/>
    <w:rsid w:val="004B46AE"/>
    <w:rsid w:val="004B50CB"/>
    <w:rsid w:val="004B578D"/>
    <w:rsid w:val="004B5BE7"/>
    <w:rsid w:val="004B5E2D"/>
    <w:rsid w:val="004B6394"/>
    <w:rsid w:val="004B66CD"/>
    <w:rsid w:val="004B6C07"/>
    <w:rsid w:val="004B74D3"/>
    <w:rsid w:val="004B788E"/>
    <w:rsid w:val="004B7E5D"/>
    <w:rsid w:val="004C072C"/>
    <w:rsid w:val="004C2180"/>
    <w:rsid w:val="004C22F7"/>
    <w:rsid w:val="004C2B27"/>
    <w:rsid w:val="004C3219"/>
    <w:rsid w:val="004C3929"/>
    <w:rsid w:val="004C3BDA"/>
    <w:rsid w:val="004C4DED"/>
    <w:rsid w:val="004C5212"/>
    <w:rsid w:val="004C580A"/>
    <w:rsid w:val="004C5EF0"/>
    <w:rsid w:val="004C64C9"/>
    <w:rsid w:val="004C7226"/>
    <w:rsid w:val="004C74C9"/>
    <w:rsid w:val="004C7915"/>
    <w:rsid w:val="004C7D70"/>
    <w:rsid w:val="004D02F9"/>
    <w:rsid w:val="004D03FE"/>
    <w:rsid w:val="004D0446"/>
    <w:rsid w:val="004D06A3"/>
    <w:rsid w:val="004D0D3C"/>
    <w:rsid w:val="004D0F95"/>
    <w:rsid w:val="004D106A"/>
    <w:rsid w:val="004D1335"/>
    <w:rsid w:val="004D1C27"/>
    <w:rsid w:val="004D1C7E"/>
    <w:rsid w:val="004D245A"/>
    <w:rsid w:val="004D31EE"/>
    <w:rsid w:val="004D36AF"/>
    <w:rsid w:val="004D3BD1"/>
    <w:rsid w:val="004D46F2"/>
    <w:rsid w:val="004D4720"/>
    <w:rsid w:val="004D4BA1"/>
    <w:rsid w:val="004D4EC1"/>
    <w:rsid w:val="004D584D"/>
    <w:rsid w:val="004D5A7E"/>
    <w:rsid w:val="004D5CD1"/>
    <w:rsid w:val="004D6120"/>
    <w:rsid w:val="004D6826"/>
    <w:rsid w:val="004D6D7F"/>
    <w:rsid w:val="004E023F"/>
    <w:rsid w:val="004E0546"/>
    <w:rsid w:val="004E0742"/>
    <w:rsid w:val="004E0C64"/>
    <w:rsid w:val="004E0F6B"/>
    <w:rsid w:val="004E10F5"/>
    <w:rsid w:val="004E1545"/>
    <w:rsid w:val="004E1F1C"/>
    <w:rsid w:val="004E2A35"/>
    <w:rsid w:val="004E2F40"/>
    <w:rsid w:val="004E40CE"/>
    <w:rsid w:val="004E5736"/>
    <w:rsid w:val="004E5A3C"/>
    <w:rsid w:val="004E5AA8"/>
    <w:rsid w:val="004E5B36"/>
    <w:rsid w:val="004E5D5D"/>
    <w:rsid w:val="004E6045"/>
    <w:rsid w:val="004E6F43"/>
    <w:rsid w:val="004E7200"/>
    <w:rsid w:val="004E787E"/>
    <w:rsid w:val="004F0960"/>
    <w:rsid w:val="004F0A5C"/>
    <w:rsid w:val="004F163F"/>
    <w:rsid w:val="004F18A0"/>
    <w:rsid w:val="004F1A08"/>
    <w:rsid w:val="004F2B64"/>
    <w:rsid w:val="004F31B8"/>
    <w:rsid w:val="004F375E"/>
    <w:rsid w:val="004F3764"/>
    <w:rsid w:val="004F3C90"/>
    <w:rsid w:val="004F3DB4"/>
    <w:rsid w:val="004F3EEF"/>
    <w:rsid w:val="004F414F"/>
    <w:rsid w:val="004F5180"/>
    <w:rsid w:val="004F57C9"/>
    <w:rsid w:val="004F5930"/>
    <w:rsid w:val="004F5970"/>
    <w:rsid w:val="004F5F0C"/>
    <w:rsid w:val="004F5F46"/>
    <w:rsid w:val="004F6121"/>
    <w:rsid w:val="004F6161"/>
    <w:rsid w:val="004F66BC"/>
    <w:rsid w:val="004F6B63"/>
    <w:rsid w:val="004F6C26"/>
    <w:rsid w:val="004F7AC9"/>
    <w:rsid w:val="005005F2"/>
    <w:rsid w:val="0050062F"/>
    <w:rsid w:val="00500E74"/>
    <w:rsid w:val="0050160F"/>
    <w:rsid w:val="0050284E"/>
    <w:rsid w:val="00502993"/>
    <w:rsid w:val="0050306F"/>
    <w:rsid w:val="00505DCB"/>
    <w:rsid w:val="0050703E"/>
    <w:rsid w:val="005075CA"/>
    <w:rsid w:val="00507B06"/>
    <w:rsid w:val="00507BF1"/>
    <w:rsid w:val="0051047A"/>
    <w:rsid w:val="0051074C"/>
    <w:rsid w:val="00510DE9"/>
    <w:rsid w:val="00510F21"/>
    <w:rsid w:val="005111E2"/>
    <w:rsid w:val="00511231"/>
    <w:rsid w:val="00512C4F"/>
    <w:rsid w:val="00513042"/>
    <w:rsid w:val="0051329D"/>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D9"/>
    <w:rsid w:val="005209FC"/>
    <w:rsid w:val="00521A30"/>
    <w:rsid w:val="005224E5"/>
    <w:rsid w:val="00523903"/>
    <w:rsid w:val="005239B6"/>
    <w:rsid w:val="00523C45"/>
    <w:rsid w:val="00524165"/>
    <w:rsid w:val="005246E7"/>
    <w:rsid w:val="00524B08"/>
    <w:rsid w:val="00524C38"/>
    <w:rsid w:val="00524FD2"/>
    <w:rsid w:val="00525621"/>
    <w:rsid w:val="005257E5"/>
    <w:rsid w:val="00526431"/>
    <w:rsid w:val="00527015"/>
    <w:rsid w:val="005270E8"/>
    <w:rsid w:val="00527532"/>
    <w:rsid w:val="00527703"/>
    <w:rsid w:val="00527DEB"/>
    <w:rsid w:val="00527E57"/>
    <w:rsid w:val="00527F2C"/>
    <w:rsid w:val="00530405"/>
    <w:rsid w:val="00530522"/>
    <w:rsid w:val="005305E5"/>
    <w:rsid w:val="00530CBA"/>
    <w:rsid w:val="00530F38"/>
    <w:rsid w:val="00531F26"/>
    <w:rsid w:val="00532299"/>
    <w:rsid w:val="00532319"/>
    <w:rsid w:val="0053277C"/>
    <w:rsid w:val="005327C0"/>
    <w:rsid w:val="00532E9B"/>
    <w:rsid w:val="00533101"/>
    <w:rsid w:val="00533CA9"/>
    <w:rsid w:val="00533D28"/>
    <w:rsid w:val="005346AD"/>
    <w:rsid w:val="005346BC"/>
    <w:rsid w:val="00534EFB"/>
    <w:rsid w:val="00534F60"/>
    <w:rsid w:val="005357F1"/>
    <w:rsid w:val="00536053"/>
    <w:rsid w:val="005365FF"/>
    <w:rsid w:val="00536985"/>
    <w:rsid w:val="005369E6"/>
    <w:rsid w:val="005371AC"/>
    <w:rsid w:val="00537672"/>
    <w:rsid w:val="0053772F"/>
    <w:rsid w:val="00537B77"/>
    <w:rsid w:val="005403D6"/>
    <w:rsid w:val="00540C4C"/>
    <w:rsid w:val="00541469"/>
    <w:rsid w:val="00541571"/>
    <w:rsid w:val="00541B1F"/>
    <w:rsid w:val="0054275A"/>
    <w:rsid w:val="005428B8"/>
    <w:rsid w:val="00542BD7"/>
    <w:rsid w:val="00543084"/>
    <w:rsid w:val="00543314"/>
    <w:rsid w:val="00543584"/>
    <w:rsid w:val="00543A9E"/>
    <w:rsid w:val="0054413A"/>
    <w:rsid w:val="00544288"/>
    <w:rsid w:val="005446BB"/>
    <w:rsid w:val="005448C8"/>
    <w:rsid w:val="00544DA5"/>
    <w:rsid w:val="00544F43"/>
    <w:rsid w:val="00545E30"/>
    <w:rsid w:val="00545EA3"/>
    <w:rsid w:val="00546C9B"/>
    <w:rsid w:val="00547BF6"/>
    <w:rsid w:val="00547FB3"/>
    <w:rsid w:val="00551098"/>
    <w:rsid w:val="00551598"/>
    <w:rsid w:val="0055162B"/>
    <w:rsid w:val="00551BFF"/>
    <w:rsid w:val="00551D68"/>
    <w:rsid w:val="00551DFF"/>
    <w:rsid w:val="005525C9"/>
    <w:rsid w:val="0055291B"/>
    <w:rsid w:val="00552B3E"/>
    <w:rsid w:val="00554D57"/>
    <w:rsid w:val="005551AA"/>
    <w:rsid w:val="0055583B"/>
    <w:rsid w:val="0055636A"/>
    <w:rsid w:val="005564CA"/>
    <w:rsid w:val="005568EA"/>
    <w:rsid w:val="00557140"/>
    <w:rsid w:val="00557984"/>
    <w:rsid w:val="00560C87"/>
    <w:rsid w:val="00560F51"/>
    <w:rsid w:val="00561249"/>
    <w:rsid w:val="0056182B"/>
    <w:rsid w:val="00561AF3"/>
    <w:rsid w:val="00561E0B"/>
    <w:rsid w:val="00562141"/>
    <w:rsid w:val="0056296E"/>
    <w:rsid w:val="00562D86"/>
    <w:rsid w:val="00563784"/>
    <w:rsid w:val="00563DF0"/>
    <w:rsid w:val="00564704"/>
    <w:rsid w:val="00564712"/>
    <w:rsid w:val="0056524A"/>
    <w:rsid w:val="005657A8"/>
    <w:rsid w:val="00565952"/>
    <w:rsid w:val="00566866"/>
    <w:rsid w:val="00566E76"/>
    <w:rsid w:val="005670A5"/>
    <w:rsid w:val="00567285"/>
    <w:rsid w:val="00567723"/>
    <w:rsid w:val="0056772D"/>
    <w:rsid w:val="00567AB8"/>
    <w:rsid w:val="005707E3"/>
    <w:rsid w:val="00570A26"/>
    <w:rsid w:val="00570CFD"/>
    <w:rsid w:val="0057118A"/>
    <w:rsid w:val="00571872"/>
    <w:rsid w:val="0057221F"/>
    <w:rsid w:val="00572539"/>
    <w:rsid w:val="00573355"/>
    <w:rsid w:val="0057337D"/>
    <w:rsid w:val="00573504"/>
    <w:rsid w:val="00573BA3"/>
    <w:rsid w:val="00573C8C"/>
    <w:rsid w:val="005745F3"/>
    <w:rsid w:val="00574708"/>
    <w:rsid w:val="00574D81"/>
    <w:rsid w:val="005756AA"/>
    <w:rsid w:val="0057696F"/>
    <w:rsid w:val="005774FE"/>
    <w:rsid w:val="0058040C"/>
    <w:rsid w:val="00580772"/>
    <w:rsid w:val="00580D6D"/>
    <w:rsid w:val="005813DE"/>
    <w:rsid w:val="00581796"/>
    <w:rsid w:val="00581B45"/>
    <w:rsid w:val="00582480"/>
    <w:rsid w:val="00582805"/>
    <w:rsid w:val="0058290E"/>
    <w:rsid w:val="00582CAB"/>
    <w:rsid w:val="00582D08"/>
    <w:rsid w:val="00582E21"/>
    <w:rsid w:val="00582FA6"/>
    <w:rsid w:val="0058375E"/>
    <w:rsid w:val="0058378C"/>
    <w:rsid w:val="00584233"/>
    <w:rsid w:val="005842D0"/>
    <w:rsid w:val="005845FB"/>
    <w:rsid w:val="00584860"/>
    <w:rsid w:val="005855AE"/>
    <w:rsid w:val="00585829"/>
    <w:rsid w:val="00585CA8"/>
    <w:rsid w:val="00586412"/>
    <w:rsid w:val="005864B9"/>
    <w:rsid w:val="005866C4"/>
    <w:rsid w:val="00587229"/>
    <w:rsid w:val="00590F1A"/>
    <w:rsid w:val="00591C03"/>
    <w:rsid w:val="00591D97"/>
    <w:rsid w:val="00591D9E"/>
    <w:rsid w:val="00591E2A"/>
    <w:rsid w:val="005923C4"/>
    <w:rsid w:val="00592981"/>
    <w:rsid w:val="00593EA2"/>
    <w:rsid w:val="00593F75"/>
    <w:rsid w:val="005940A0"/>
    <w:rsid w:val="0059429A"/>
    <w:rsid w:val="00594462"/>
    <w:rsid w:val="00594CBE"/>
    <w:rsid w:val="00596AF7"/>
    <w:rsid w:val="00596CCE"/>
    <w:rsid w:val="005A123E"/>
    <w:rsid w:val="005A1976"/>
    <w:rsid w:val="005A2120"/>
    <w:rsid w:val="005A2323"/>
    <w:rsid w:val="005A2501"/>
    <w:rsid w:val="005A2C80"/>
    <w:rsid w:val="005A3066"/>
    <w:rsid w:val="005A3B35"/>
    <w:rsid w:val="005A3C4B"/>
    <w:rsid w:val="005A3E5A"/>
    <w:rsid w:val="005A43F3"/>
    <w:rsid w:val="005A485D"/>
    <w:rsid w:val="005A496F"/>
    <w:rsid w:val="005A4A56"/>
    <w:rsid w:val="005A5608"/>
    <w:rsid w:val="005A5A3D"/>
    <w:rsid w:val="005A6035"/>
    <w:rsid w:val="005A6B75"/>
    <w:rsid w:val="005A6E00"/>
    <w:rsid w:val="005A718A"/>
    <w:rsid w:val="005A7752"/>
    <w:rsid w:val="005A7885"/>
    <w:rsid w:val="005B01F9"/>
    <w:rsid w:val="005B0293"/>
    <w:rsid w:val="005B10DC"/>
    <w:rsid w:val="005B12B2"/>
    <w:rsid w:val="005B143B"/>
    <w:rsid w:val="005B19BD"/>
    <w:rsid w:val="005B1E45"/>
    <w:rsid w:val="005B21C4"/>
    <w:rsid w:val="005B2A28"/>
    <w:rsid w:val="005B3621"/>
    <w:rsid w:val="005B3CD9"/>
    <w:rsid w:val="005B4948"/>
    <w:rsid w:val="005B501D"/>
    <w:rsid w:val="005B54CC"/>
    <w:rsid w:val="005B74AD"/>
    <w:rsid w:val="005B7E96"/>
    <w:rsid w:val="005C0429"/>
    <w:rsid w:val="005C084F"/>
    <w:rsid w:val="005C0968"/>
    <w:rsid w:val="005C0EE9"/>
    <w:rsid w:val="005C16A8"/>
    <w:rsid w:val="005C1716"/>
    <w:rsid w:val="005C1954"/>
    <w:rsid w:val="005C1C0B"/>
    <w:rsid w:val="005C2011"/>
    <w:rsid w:val="005C3EA3"/>
    <w:rsid w:val="005C4434"/>
    <w:rsid w:val="005C44DE"/>
    <w:rsid w:val="005C4825"/>
    <w:rsid w:val="005C5011"/>
    <w:rsid w:val="005C5241"/>
    <w:rsid w:val="005C529E"/>
    <w:rsid w:val="005C53D1"/>
    <w:rsid w:val="005C57BA"/>
    <w:rsid w:val="005C5C52"/>
    <w:rsid w:val="005C5D3D"/>
    <w:rsid w:val="005C5EC1"/>
    <w:rsid w:val="005C5F05"/>
    <w:rsid w:val="005C6186"/>
    <w:rsid w:val="005C7E45"/>
    <w:rsid w:val="005C7F3E"/>
    <w:rsid w:val="005D06D3"/>
    <w:rsid w:val="005D0C3B"/>
    <w:rsid w:val="005D0E86"/>
    <w:rsid w:val="005D1051"/>
    <w:rsid w:val="005D1606"/>
    <w:rsid w:val="005D2044"/>
    <w:rsid w:val="005D2917"/>
    <w:rsid w:val="005D2EB2"/>
    <w:rsid w:val="005D2F48"/>
    <w:rsid w:val="005D3B32"/>
    <w:rsid w:val="005D4643"/>
    <w:rsid w:val="005D464B"/>
    <w:rsid w:val="005D466F"/>
    <w:rsid w:val="005D49F0"/>
    <w:rsid w:val="005D51F7"/>
    <w:rsid w:val="005D51FA"/>
    <w:rsid w:val="005D53E8"/>
    <w:rsid w:val="005D5A9D"/>
    <w:rsid w:val="005D6651"/>
    <w:rsid w:val="005D6675"/>
    <w:rsid w:val="005D691D"/>
    <w:rsid w:val="005D6A72"/>
    <w:rsid w:val="005D6E87"/>
    <w:rsid w:val="005D6F38"/>
    <w:rsid w:val="005D7279"/>
    <w:rsid w:val="005D791B"/>
    <w:rsid w:val="005D7CF2"/>
    <w:rsid w:val="005D7E2D"/>
    <w:rsid w:val="005D7F92"/>
    <w:rsid w:val="005E0D7B"/>
    <w:rsid w:val="005E1595"/>
    <w:rsid w:val="005E182D"/>
    <w:rsid w:val="005E1F1D"/>
    <w:rsid w:val="005E273D"/>
    <w:rsid w:val="005E30AC"/>
    <w:rsid w:val="005E3278"/>
    <w:rsid w:val="005E3456"/>
    <w:rsid w:val="005E363B"/>
    <w:rsid w:val="005E3736"/>
    <w:rsid w:val="005F1FA9"/>
    <w:rsid w:val="005F287D"/>
    <w:rsid w:val="005F305B"/>
    <w:rsid w:val="005F3081"/>
    <w:rsid w:val="005F3361"/>
    <w:rsid w:val="005F3B47"/>
    <w:rsid w:val="005F4481"/>
    <w:rsid w:val="005F47AC"/>
    <w:rsid w:val="005F49AF"/>
    <w:rsid w:val="005F4A58"/>
    <w:rsid w:val="005F54DF"/>
    <w:rsid w:val="005F5888"/>
    <w:rsid w:val="005F5984"/>
    <w:rsid w:val="005F5EAB"/>
    <w:rsid w:val="005F6CE2"/>
    <w:rsid w:val="005F6F24"/>
    <w:rsid w:val="005F72E9"/>
    <w:rsid w:val="005F780B"/>
    <w:rsid w:val="005F7FA1"/>
    <w:rsid w:val="00600473"/>
    <w:rsid w:val="0060139A"/>
    <w:rsid w:val="006013C9"/>
    <w:rsid w:val="00602B45"/>
    <w:rsid w:val="006032AB"/>
    <w:rsid w:val="00603499"/>
    <w:rsid w:val="006035F5"/>
    <w:rsid w:val="00603CC2"/>
    <w:rsid w:val="006047D1"/>
    <w:rsid w:val="00604A55"/>
    <w:rsid w:val="00604D4E"/>
    <w:rsid w:val="00604E3E"/>
    <w:rsid w:val="00604EFB"/>
    <w:rsid w:val="00605AC3"/>
    <w:rsid w:val="00606908"/>
    <w:rsid w:val="00606ED9"/>
    <w:rsid w:val="00607996"/>
    <w:rsid w:val="00607A37"/>
    <w:rsid w:val="00607E0A"/>
    <w:rsid w:val="00607E9F"/>
    <w:rsid w:val="0061085E"/>
    <w:rsid w:val="00611398"/>
    <w:rsid w:val="00611EAA"/>
    <w:rsid w:val="00612322"/>
    <w:rsid w:val="006123C0"/>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470"/>
    <w:rsid w:val="00622725"/>
    <w:rsid w:val="0062296B"/>
    <w:rsid w:val="006231AA"/>
    <w:rsid w:val="00623482"/>
    <w:rsid w:val="00623AC2"/>
    <w:rsid w:val="00623EBC"/>
    <w:rsid w:val="0062452A"/>
    <w:rsid w:val="006266D7"/>
    <w:rsid w:val="00626D42"/>
    <w:rsid w:val="00626EE3"/>
    <w:rsid w:val="006271CF"/>
    <w:rsid w:val="006272DE"/>
    <w:rsid w:val="006274AD"/>
    <w:rsid w:val="00627519"/>
    <w:rsid w:val="00627532"/>
    <w:rsid w:val="006302AA"/>
    <w:rsid w:val="006310C3"/>
    <w:rsid w:val="0063161E"/>
    <w:rsid w:val="00631660"/>
    <w:rsid w:val="00631908"/>
    <w:rsid w:val="00631BB5"/>
    <w:rsid w:val="00631DD0"/>
    <w:rsid w:val="00633DBF"/>
    <w:rsid w:val="00634122"/>
    <w:rsid w:val="00634261"/>
    <w:rsid w:val="00635E32"/>
    <w:rsid w:val="00636018"/>
    <w:rsid w:val="006360FC"/>
    <w:rsid w:val="006364DB"/>
    <w:rsid w:val="006365DE"/>
    <w:rsid w:val="00636BE4"/>
    <w:rsid w:val="00636E45"/>
    <w:rsid w:val="00636EFD"/>
    <w:rsid w:val="00636F88"/>
    <w:rsid w:val="0063732C"/>
    <w:rsid w:val="00637802"/>
    <w:rsid w:val="00637836"/>
    <w:rsid w:val="00637C26"/>
    <w:rsid w:val="00637F44"/>
    <w:rsid w:val="00640084"/>
    <w:rsid w:val="00641078"/>
    <w:rsid w:val="00641242"/>
    <w:rsid w:val="00641E6F"/>
    <w:rsid w:val="00642188"/>
    <w:rsid w:val="006424AA"/>
    <w:rsid w:val="00642A32"/>
    <w:rsid w:val="006433D5"/>
    <w:rsid w:val="00643412"/>
    <w:rsid w:val="00643AAF"/>
    <w:rsid w:val="00643D0A"/>
    <w:rsid w:val="00645C53"/>
    <w:rsid w:val="00645CEB"/>
    <w:rsid w:val="00645E6E"/>
    <w:rsid w:val="00646B20"/>
    <w:rsid w:val="00646D0F"/>
    <w:rsid w:val="0064763F"/>
    <w:rsid w:val="00647A36"/>
    <w:rsid w:val="00647DCC"/>
    <w:rsid w:val="00647EFA"/>
    <w:rsid w:val="00647F14"/>
    <w:rsid w:val="00650027"/>
    <w:rsid w:val="00651501"/>
    <w:rsid w:val="00651B9C"/>
    <w:rsid w:val="00651C47"/>
    <w:rsid w:val="00651C9A"/>
    <w:rsid w:val="00652E70"/>
    <w:rsid w:val="0065339A"/>
    <w:rsid w:val="00653469"/>
    <w:rsid w:val="00654A38"/>
    <w:rsid w:val="00655301"/>
    <w:rsid w:val="00655371"/>
    <w:rsid w:val="00655507"/>
    <w:rsid w:val="00656C4B"/>
    <w:rsid w:val="00657279"/>
    <w:rsid w:val="006573EA"/>
    <w:rsid w:val="0066073F"/>
    <w:rsid w:val="006608ED"/>
    <w:rsid w:val="00660D2A"/>
    <w:rsid w:val="00661029"/>
    <w:rsid w:val="0066135A"/>
    <w:rsid w:val="00661A38"/>
    <w:rsid w:val="0066272D"/>
    <w:rsid w:val="00662E58"/>
    <w:rsid w:val="00662F39"/>
    <w:rsid w:val="0066339A"/>
    <w:rsid w:val="006635A0"/>
    <w:rsid w:val="00664351"/>
    <w:rsid w:val="00665875"/>
    <w:rsid w:val="00665968"/>
    <w:rsid w:val="00665BF7"/>
    <w:rsid w:val="00666027"/>
    <w:rsid w:val="00666178"/>
    <w:rsid w:val="0066639E"/>
    <w:rsid w:val="00666473"/>
    <w:rsid w:val="00666C72"/>
    <w:rsid w:val="00666E6C"/>
    <w:rsid w:val="0066707F"/>
    <w:rsid w:val="00667ED8"/>
    <w:rsid w:val="00670298"/>
    <w:rsid w:val="0067064C"/>
    <w:rsid w:val="006707E7"/>
    <w:rsid w:val="00670B20"/>
    <w:rsid w:val="00670E12"/>
    <w:rsid w:val="00670F27"/>
    <w:rsid w:val="00672E80"/>
    <w:rsid w:val="0067333F"/>
    <w:rsid w:val="0067334B"/>
    <w:rsid w:val="006739E4"/>
    <w:rsid w:val="00673ECF"/>
    <w:rsid w:val="0067426B"/>
    <w:rsid w:val="00674A1B"/>
    <w:rsid w:val="00674F1C"/>
    <w:rsid w:val="006754F8"/>
    <w:rsid w:val="00675BD6"/>
    <w:rsid w:val="00676127"/>
    <w:rsid w:val="00676AED"/>
    <w:rsid w:val="00677E9C"/>
    <w:rsid w:val="00677F26"/>
    <w:rsid w:val="006800EE"/>
    <w:rsid w:val="006802A7"/>
    <w:rsid w:val="006811C9"/>
    <w:rsid w:val="006812CE"/>
    <w:rsid w:val="006826C1"/>
    <w:rsid w:val="00682C89"/>
    <w:rsid w:val="006832B8"/>
    <w:rsid w:val="006837B2"/>
    <w:rsid w:val="00683800"/>
    <w:rsid w:val="006839E9"/>
    <w:rsid w:val="00684462"/>
    <w:rsid w:val="00684C8A"/>
    <w:rsid w:val="00684CF5"/>
    <w:rsid w:val="0068553E"/>
    <w:rsid w:val="00685E7B"/>
    <w:rsid w:val="0068652A"/>
    <w:rsid w:val="00686551"/>
    <w:rsid w:val="00686B53"/>
    <w:rsid w:val="00686BD1"/>
    <w:rsid w:val="00686CAB"/>
    <w:rsid w:val="00686E4D"/>
    <w:rsid w:val="0068717F"/>
    <w:rsid w:val="0068719A"/>
    <w:rsid w:val="0068730C"/>
    <w:rsid w:val="00687504"/>
    <w:rsid w:val="00687A14"/>
    <w:rsid w:val="00687A8C"/>
    <w:rsid w:val="00690839"/>
    <w:rsid w:val="006908DB"/>
    <w:rsid w:val="00690DE9"/>
    <w:rsid w:val="00691095"/>
    <w:rsid w:val="00691DE9"/>
    <w:rsid w:val="00691EAA"/>
    <w:rsid w:val="00692245"/>
    <w:rsid w:val="00692FFA"/>
    <w:rsid w:val="00693772"/>
    <w:rsid w:val="00693984"/>
    <w:rsid w:val="00693B77"/>
    <w:rsid w:val="00694160"/>
    <w:rsid w:val="006943FB"/>
    <w:rsid w:val="006959A5"/>
    <w:rsid w:val="00695C0C"/>
    <w:rsid w:val="00696736"/>
    <w:rsid w:val="00696A05"/>
    <w:rsid w:val="00697665"/>
    <w:rsid w:val="006979BF"/>
    <w:rsid w:val="00697C9A"/>
    <w:rsid w:val="00697E68"/>
    <w:rsid w:val="00697FC1"/>
    <w:rsid w:val="006A0274"/>
    <w:rsid w:val="006A0706"/>
    <w:rsid w:val="006A0F2B"/>
    <w:rsid w:val="006A103E"/>
    <w:rsid w:val="006A27BC"/>
    <w:rsid w:val="006A2A43"/>
    <w:rsid w:val="006A2BF1"/>
    <w:rsid w:val="006A2C3A"/>
    <w:rsid w:val="006A2F9A"/>
    <w:rsid w:val="006A34E4"/>
    <w:rsid w:val="006A3A5A"/>
    <w:rsid w:val="006A44CF"/>
    <w:rsid w:val="006A457D"/>
    <w:rsid w:val="006A4C06"/>
    <w:rsid w:val="006A4C33"/>
    <w:rsid w:val="006A55EE"/>
    <w:rsid w:val="006A575B"/>
    <w:rsid w:val="006A59DE"/>
    <w:rsid w:val="006A618F"/>
    <w:rsid w:val="006A64C6"/>
    <w:rsid w:val="006A6655"/>
    <w:rsid w:val="006A6BF9"/>
    <w:rsid w:val="006A70D3"/>
    <w:rsid w:val="006A7CB5"/>
    <w:rsid w:val="006A7FD0"/>
    <w:rsid w:val="006B00E4"/>
    <w:rsid w:val="006B025C"/>
    <w:rsid w:val="006B08ED"/>
    <w:rsid w:val="006B2534"/>
    <w:rsid w:val="006B2CB2"/>
    <w:rsid w:val="006B347D"/>
    <w:rsid w:val="006B3AFE"/>
    <w:rsid w:val="006B3E19"/>
    <w:rsid w:val="006B4488"/>
    <w:rsid w:val="006B49FC"/>
    <w:rsid w:val="006B50C4"/>
    <w:rsid w:val="006B53AE"/>
    <w:rsid w:val="006B58B4"/>
    <w:rsid w:val="006B67AC"/>
    <w:rsid w:val="006B6DB3"/>
    <w:rsid w:val="006B786A"/>
    <w:rsid w:val="006B7A03"/>
    <w:rsid w:val="006B7A67"/>
    <w:rsid w:val="006B7D67"/>
    <w:rsid w:val="006B7E4E"/>
    <w:rsid w:val="006C003A"/>
    <w:rsid w:val="006C003B"/>
    <w:rsid w:val="006C074F"/>
    <w:rsid w:val="006C08E4"/>
    <w:rsid w:val="006C107C"/>
    <w:rsid w:val="006C1E56"/>
    <w:rsid w:val="006C1EA0"/>
    <w:rsid w:val="006C2454"/>
    <w:rsid w:val="006C2551"/>
    <w:rsid w:val="006C37CA"/>
    <w:rsid w:val="006C40D2"/>
    <w:rsid w:val="006C4BBD"/>
    <w:rsid w:val="006C4C26"/>
    <w:rsid w:val="006C5B15"/>
    <w:rsid w:val="006C5D00"/>
    <w:rsid w:val="006C5D32"/>
    <w:rsid w:val="006C5DCB"/>
    <w:rsid w:val="006C6475"/>
    <w:rsid w:val="006C70C4"/>
    <w:rsid w:val="006C724E"/>
    <w:rsid w:val="006C741F"/>
    <w:rsid w:val="006D04DA"/>
    <w:rsid w:val="006D10F6"/>
    <w:rsid w:val="006D1544"/>
    <w:rsid w:val="006D1688"/>
    <w:rsid w:val="006D1DD3"/>
    <w:rsid w:val="006D1FF3"/>
    <w:rsid w:val="006D2C65"/>
    <w:rsid w:val="006D2DE3"/>
    <w:rsid w:val="006D32C6"/>
    <w:rsid w:val="006D3491"/>
    <w:rsid w:val="006D360E"/>
    <w:rsid w:val="006D3697"/>
    <w:rsid w:val="006D39D2"/>
    <w:rsid w:val="006D3F2A"/>
    <w:rsid w:val="006D4370"/>
    <w:rsid w:val="006D46A3"/>
    <w:rsid w:val="006D62E0"/>
    <w:rsid w:val="006D658F"/>
    <w:rsid w:val="006D6A12"/>
    <w:rsid w:val="006D712D"/>
    <w:rsid w:val="006D7687"/>
    <w:rsid w:val="006D7D1F"/>
    <w:rsid w:val="006D7D8A"/>
    <w:rsid w:val="006E0079"/>
    <w:rsid w:val="006E0572"/>
    <w:rsid w:val="006E05D8"/>
    <w:rsid w:val="006E08EE"/>
    <w:rsid w:val="006E155A"/>
    <w:rsid w:val="006E2C34"/>
    <w:rsid w:val="006E359B"/>
    <w:rsid w:val="006E39D1"/>
    <w:rsid w:val="006E3B05"/>
    <w:rsid w:val="006E437F"/>
    <w:rsid w:val="006E4D5B"/>
    <w:rsid w:val="006E602F"/>
    <w:rsid w:val="006E6720"/>
    <w:rsid w:val="006E6F90"/>
    <w:rsid w:val="006E7275"/>
    <w:rsid w:val="006E77B8"/>
    <w:rsid w:val="006E7E0B"/>
    <w:rsid w:val="006F13BA"/>
    <w:rsid w:val="006F15CC"/>
    <w:rsid w:val="006F15F6"/>
    <w:rsid w:val="006F1F32"/>
    <w:rsid w:val="006F36EA"/>
    <w:rsid w:val="006F4147"/>
    <w:rsid w:val="006F4315"/>
    <w:rsid w:val="006F4CB0"/>
    <w:rsid w:val="006F4F78"/>
    <w:rsid w:val="006F547E"/>
    <w:rsid w:val="006F5CCF"/>
    <w:rsid w:val="006F5F09"/>
    <w:rsid w:val="006F6E5F"/>
    <w:rsid w:val="006F6F04"/>
    <w:rsid w:val="006F71F5"/>
    <w:rsid w:val="00700610"/>
    <w:rsid w:val="00700B9C"/>
    <w:rsid w:val="0070138A"/>
    <w:rsid w:val="0070157E"/>
    <w:rsid w:val="00701743"/>
    <w:rsid w:val="007024EF"/>
    <w:rsid w:val="007030D4"/>
    <w:rsid w:val="00703279"/>
    <w:rsid w:val="007036AE"/>
    <w:rsid w:val="00703B19"/>
    <w:rsid w:val="00703B61"/>
    <w:rsid w:val="00703E11"/>
    <w:rsid w:val="00704102"/>
    <w:rsid w:val="0070437C"/>
    <w:rsid w:val="0070461C"/>
    <w:rsid w:val="00704D4B"/>
    <w:rsid w:val="00705631"/>
    <w:rsid w:val="00705818"/>
    <w:rsid w:val="00705F62"/>
    <w:rsid w:val="0070773F"/>
    <w:rsid w:val="007078BD"/>
    <w:rsid w:val="00707ED3"/>
    <w:rsid w:val="007101B7"/>
    <w:rsid w:val="00710668"/>
    <w:rsid w:val="007110F4"/>
    <w:rsid w:val="007112B1"/>
    <w:rsid w:val="0071130F"/>
    <w:rsid w:val="00712714"/>
    <w:rsid w:val="007129AB"/>
    <w:rsid w:val="00712B63"/>
    <w:rsid w:val="00713526"/>
    <w:rsid w:val="00713799"/>
    <w:rsid w:val="00713FC5"/>
    <w:rsid w:val="00714DCA"/>
    <w:rsid w:val="00715BBF"/>
    <w:rsid w:val="00715C29"/>
    <w:rsid w:val="00715CBD"/>
    <w:rsid w:val="00715EAA"/>
    <w:rsid w:val="00716CAD"/>
    <w:rsid w:val="00716F18"/>
    <w:rsid w:val="00717363"/>
    <w:rsid w:val="00717786"/>
    <w:rsid w:val="00717ACB"/>
    <w:rsid w:val="007208A8"/>
    <w:rsid w:val="0072123A"/>
    <w:rsid w:val="0072138B"/>
    <w:rsid w:val="00721BFF"/>
    <w:rsid w:val="00723475"/>
    <w:rsid w:val="007235BD"/>
    <w:rsid w:val="007236C4"/>
    <w:rsid w:val="007242A2"/>
    <w:rsid w:val="00724635"/>
    <w:rsid w:val="00724F21"/>
    <w:rsid w:val="00725134"/>
    <w:rsid w:val="00725447"/>
    <w:rsid w:val="00725530"/>
    <w:rsid w:val="0072554B"/>
    <w:rsid w:val="00725AFD"/>
    <w:rsid w:val="00726603"/>
    <w:rsid w:val="007270EF"/>
    <w:rsid w:val="00727B1D"/>
    <w:rsid w:val="00727DDC"/>
    <w:rsid w:val="007301ED"/>
    <w:rsid w:val="00730CD6"/>
    <w:rsid w:val="00730F74"/>
    <w:rsid w:val="0073114B"/>
    <w:rsid w:val="00732151"/>
    <w:rsid w:val="007339EC"/>
    <w:rsid w:val="00734236"/>
    <w:rsid w:val="00734952"/>
    <w:rsid w:val="00734990"/>
    <w:rsid w:val="00734FF5"/>
    <w:rsid w:val="007356B8"/>
    <w:rsid w:val="00735B78"/>
    <w:rsid w:val="00735D85"/>
    <w:rsid w:val="00735DA7"/>
    <w:rsid w:val="007368B4"/>
    <w:rsid w:val="007378E0"/>
    <w:rsid w:val="00737D92"/>
    <w:rsid w:val="00740529"/>
    <w:rsid w:val="00740876"/>
    <w:rsid w:val="00741358"/>
    <w:rsid w:val="00741626"/>
    <w:rsid w:val="00742332"/>
    <w:rsid w:val="00742886"/>
    <w:rsid w:val="00742DD2"/>
    <w:rsid w:val="00742F60"/>
    <w:rsid w:val="007437C6"/>
    <w:rsid w:val="007441A2"/>
    <w:rsid w:val="00744E80"/>
    <w:rsid w:val="00745035"/>
    <w:rsid w:val="00745186"/>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3BAC"/>
    <w:rsid w:val="00754A0B"/>
    <w:rsid w:val="00754DFE"/>
    <w:rsid w:val="007552DB"/>
    <w:rsid w:val="00755965"/>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5F28"/>
    <w:rsid w:val="00766896"/>
    <w:rsid w:val="00766ECC"/>
    <w:rsid w:val="007672F3"/>
    <w:rsid w:val="007677B5"/>
    <w:rsid w:val="007678B1"/>
    <w:rsid w:val="00770817"/>
    <w:rsid w:val="007708A8"/>
    <w:rsid w:val="00770D6E"/>
    <w:rsid w:val="0077184A"/>
    <w:rsid w:val="00772100"/>
    <w:rsid w:val="00772275"/>
    <w:rsid w:val="00772BEC"/>
    <w:rsid w:val="00772D4B"/>
    <w:rsid w:val="007734E4"/>
    <w:rsid w:val="0077380D"/>
    <w:rsid w:val="00773BC8"/>
    <w:rsid w:val="0077466F"/>
    <w:rsid w:val="007752B7"/>
    <w:rsid w:val="00775597"/>
    <w:rsid w:val="007757DC"/>
    <w:rsid w:val="007759A8"/>
    <w:rsid w:val="00775C27"/>
    <w:rsid w:val="00775D98"/>
    <w:rsid w:val="0077644C"/>
    <w:rsid w:val="00776FE5"/>
    <w:rsid w:val="00777101"/>
    <w:rsid w:val="007774E7"/>
    <w:rsid w:val="0077768C"/>
    <w:rsid w:val="00777696"/>
    <w:rsid w:val="00777FF4"/>
    <w:rsid w:val="00780251"/>
    <w:rsid w:val="007804FE"/>
    <w:rsid w:val="00780AFD"/>
    <w:rsid w:val="00780F32"/>
    <w:rsid w:val="0078122E"/>
    <w:rsid w:val="00781939"/>
    <w:rsid w:val="00781D29"/>
    <w:rsid w:val="007825EF"/>
    <w:rsid w:val="0078286B"/>
    <w:rsid w:val="00782D2C"/>
    <w:rsid w:val="00782FC2"/>
    <w:rsid w:val="0078328D"/>
    <w:rsid w:val="0078347A"/>
    <w:rsid w:val="007842D6"/>
    <w:rsid w:val="00784FC4"/>
    <w:rsid w:val="00785353"/>
    <w:rsid w:val="00785BBB"/>
    <w:rsid w:val="00786937"/>
    <w:rsid w:val="00786FAD"/>
    <w:rsid w:val="00787D90"/>
    <w:rsid w:val="00787F5E"/>
    <w:rsid w:val="00790164"/>
    <w:rsid w:val="00790A24"/>
    <w:rsid w:val="00790A37"/>
    <w:rsid w:val="00790A60"/>
    <w:rsid w:val="0079146D"/>
    <w:rsid w:val="00791C32"/>
    <w:rsid w:val="00791FF0"/>
    <w:rsid w:val="007923D0"/>
    <w:rsid w:val="00792E15"/>
    <w:rsid w:val="007930D3"/>
    <w:rsid w:val="0079381F"/>
    <w:rsid w:val="00793A57"/>
    <w:rsid w:val="00793B2E"/>
    <w:rsid w:val="007948F5"/>
    <w:rsid w:val="00795647"/>
    <w:rsid w:val="007963F6"/>
    <w:rsid w:val="007968B8"/>
    <w:rsid w:val="00796AFE"/>
    <w:rsid w:val="00796DC8"/>
    <w:rsid w:val="00796E80"/>
    <w:rsid w:val="0079744F"/>
    <w:rsid w:val="007979AD"/>
    <w:rsid w:val="00797A9C"/>
    <w:rsid w:val="007A00FA"/>
    <w:rsid w:val="007A0EAB"/>
    <w:rsid w:val="007A0FEC"/>
    <w:rsid w:val="007A2341"/>
    <w:rsid w:val="007A2754"/>
    <w:rsid w:val="007A38A1"/>
    <w:rsid w:val="007A3BBE"/>
    <w:rsid w:val="007A4766"/>
    <w:rsid w:val="007A5747"/>
    <w:rsid w:val="007A5947"/>
    <w:rsid w:val="007A5C22"/>
    <w:rsid w:val="007A5DB3"/>
    <w:rsid w:val="007A717B"/>
    <w:rsid w:val="007B0313"/>
    <w:rsid w:val="007B0854"/>
    <w:rsid w:val="007B0E48"/>
    <w:rsid w:val="007B1162"/>
    <w:rsid w:val="007B1A0E"/>
    <w:rsid w:val="007B1D1B"/>
    <w:rsid w:val="007B303E"/>
    <w:rsid w:val="007B316A"/>
    <w:rsid w:val="007B32C0"/>
    <w:rsid w:val="007B32F7"/>
    <w:rsid w:val="007B3659"/>
    <w:rsid w:val="007B38B5"/>
    <w:rsid w:val="007B3BF3"/>
    <w:rsid w:val="007B431B"/>
    <w:rsid w:val="007B4558"/>
    <w:rsid w:val="007B4632"/>
    <w:rsid w:val="007B46A2"/>
    <w:rsid w:val="007B4828"/>
    <w:rsid w:val="007B4B2D"/>
    <w:rsid w:val="007B4BA9"/>
    <w:rsid w:val="007B4D4A"/>
    <w:rsid w:val="007B513D"/>
    <w:rsid w:val="007B53DA"/>
    <w:rsid w:val="007B53DB"/>
    <w:rsid w:val="007B5428"/>
    <w:rsid w:val="007B59B7"/>
    <w:rsid w:val="007B5F71"/>
    <w:rsid w:val="007B6C64"/>
    <w:rsid w:val="007B6EC8"/>
    <w:rsid w:val="007B6F81"/>
    <w:rsid w:val="007B7EA2"/>
    <w:rsid w:val="007C097D"/>
    <w:rsid w:val="007C0AF2"/>
    <w:rsid w:val="007C11CE"/>
    <w:rsid w:val="007C1672"/>
    <w:rsid w:val="007C312A"/>
    <w:rsid w:val="007C34A9"/>
    <w:rsid w:val="007C3570"/>
    <w:rsid w:val="007C3BFC"/>
    <w:rsid w:val="007C3F3B"/>
    <w:rsid w:val="007C4241"/>
    <w:rsid w:val="007C425E"/>
    <w:rsid w:val="007C55FF"/>
    <w:rsid w:val="007C59E6"/>
    <w:rsid w:val="007C6339"/>
    <w:rsid w:val="007C6A4D"/>
    <w:rsid w:val="007C753F"/>
    <w:rsid w:val="007C790C"/>
    <w:rsid w:val="007C7C43"/>
    <w:rsid w:val="007C7F0D"/>
    <w:rsid w:val="007D06E3"/>
    <w:rsid w:val="007D0CE3"/>
    <w:rsid w:val="007D0E8D"/>
    <w:rsid w:val="007D1134"/>
    <w:rsid w:val="007D17F0"/>
    <w:rsid w:val="007D20BB"/>
    <w:rsid w:val="007D23F7"/>
    <w:rsid w:val="007D2566"/>
    <w:rsid w:val="007D2C18"/>
    <w:rsid w:val="007D2D74"/>
    <w:rsid w:val="007D3693"/>
    <w:rsid w:val="007D3C20"/>
    <w:rsid w:val="007D3C6D"/>
    <w:rsid w:val="007D3EE2"/>
    <w:rsid w:val="007D42D3"/>
    <w:rsid w:val="007D481A"/>
    <w:rsid w:val="007D4ED0"/>
    <w:rsid w:val="007D5648"/>
    <w:rsid w:val="007D58C5"/>
    <w:rsid w:val="007D5DE8"/>
    <w:rsid w:val="007D6102"/>
    <w:rsid w:val="007D7CFC"/>
    <w:rsid w:val="007E05D9"/>
    <w:rsid w:val="007E0812"/>
    <w:rsid w:val="007E1541"/>
    <w:rsid w:val="007E18DF"/>
    <w:rsid w:val="007E2C36"/>
    <w:rsid w:val="007E3309"/>
    <w:rsid w:val="007E350D"/>
    <w:rsid w:val="007E3A0A"/>
    <w:rsid w:val="007E3ACA"/>
    <w:rsid w:val="007E496E"/>
    <w:rsid w:val="007E564D"/>
    <w:rsid w:val="007E5C4A"/>
    <w:rsid w:val="007E64D4"/>
    <w:rsid w:val="007E66E9"/>
    <w:rsid w:val="007E69F2"/>
    <w:rsid w:val="007E7432"/>
    <w:rsid w:val="007E74BF"/>
    <w:rsid w:val="007F14D3"/>
    <w:rsid w:val="007F16C0"/>
    <w:rsid w:val="007F1D9D"/>
    <w:rsid w:val="007F1E28"/>
    <w:rsid w:val="007F1F63"/>
    <w:rsid w:val="007F22A0"/>
    <w:rsid w:val="007F2903"/>
    <w:rsid w:val="007F2F90"/>
    <w:rsid w:val="007F3320"/>
    <w:rsid w:val="007F3AC1"/>
    <w:rsid w:val="007F4976"/>
    <w:rsid w:val="007F52AF"/>
    <w:rsid w:val="007F5A56"/>
    <w:rsid w:val="007F616E"/>
    <w:rsid w:val="007F6790"/>
    <w:rsid w:val="007F6B46"/>
    <w:rsid w:val="007F72CB"/>
    <w:rsid w:val="007F736A"/>
    <w:rsid w:val="007F7635"/>
    <w:rsid w:val="007F785F"/>
    <w:rsid w:val="007F7961"/>
    <w:rsid w:val="007F7AF6"/>
    <w:rsid w:val="007F7E36"/>
    <w:rsid w:val="00800E6D"/>
    <w:rsid w:val="008014D9"/>
    <w:rsid w:val="0080150F"/>
    <w:rsid w:val="0080153A"/>
    <w:rsid w:val="00801A2A"/>
    <w:rsid w:val="00801C48"/>
    <w:rsid w:val="00802041"/>
    <w:rsid w:val="008022C9"/>
    <w:rsid w:val="00802605"/>
    <w:rsid w:val="00802F9E"/>
    <w:rsid w:val="00803700"/>
    <w:rsid w:val="0080375D"/>
    <w:rsid w:val="00803D9D"/>
    <w:rsid w:val="0080543F"/>
    <w:rsid w:val="008059C6"/>
    <w:rsid w:val="00805AD7"/>
    <w:rsid w:val="00805BD6"/>
    <w:rsid w:val="00805DE3"/>
    <w:rsid w:val="00807C35"/>
    <w:rsid w:val="00807F35"/>
    <w:rsid w:val="00807F69"/>
    <w:rsid w:val="008100F7"/>
    <w:rsid w:val="00810206"/>
    <w:rsid w:val="00811898"/>
    <w:rsid w:val="00811AC2"/>
    <w:rsid w:val="00811CDC"/>
    <w:rsid w:val="008124D8"/>
    <w:rsid w:val="0081250A"/>
    <w:rsid w:val="00813A7B"/>
    <w:rsid w:val="00813F04"/>
    <w:rsid w:val="0081513E"/>
    <w:rsid w:val="00815DA5"/>
    <w:rsid w:val="00816169"/>
    <w:rsid w:val="00816221"/>
    <w:rsid w:val="00817063"/>
    <w:rsid w:val="0081766B"/>
    <w:rsid w:val="00820705"/>
    <w:rsid w:val="00820842"/>
    <w:rsid w:val="00820BA7"/>
    <w:rsid w:val="00820CBF"/>
    <w:rsid w:val="00820DBC"/>
    <w:rsid w:val="00820FA8"/>
    <w:rsid w:val="008211FE"/>
    <w:rsid w:val="008212FD"/>
    <w:rsid w:val="00821489"/>
    <w:rsid w:val="008217B7"/>
    <w:rsid w:val="00822257"/>
    <w:rsid w:val="0082239B"/>
    <w:rsid w:val="0082292E"/>
    <w:rsid w:val="00822D06"/>
    <w:rsid w:val="00822EC4"/>
    <w:rsid w:val="0082300F"/>
    <w:rsid w:val="0082348D"/>
    <w:rsid w:val="008236BE"/>
    <w:rsid w:val="00823FEA"/>
    <w:rsid w:val="008241CE"/>
    <w:rsid w:val="00825240"/>
    <w:rsid w:val="00825595"/>
    <w:rsid w:val="0082585B"/>
    <w:rsid w:val="00825B43"/>
    <w:rsid w:val="00826D3A"/>
    <w:rsid w:val="00826F71"/>
    <w:rsid w:val="00827818"/>
    <w:rsid w:val="00827CC0"/>
    <w:rsid w:val="00830D29"/>
    <w:rsid w:val="00831026"/>
    <w:rsid w:val="0083119B"/>
    <w:rsid w:val="00831BAE"/>
    <w:rsid w:val="00832216"/>
    <w:rsid w:val="0083261D"/>
    <w:rsid w:val="00832CD0"/>
    <w:rsid w:val="00832F8C"/>
    <w:rsid w:val="00833430"/>
    <w:rsid w:val="0083382A"/>
    <w:rsid w:val="00834128"/>
    <w:rsid w:val="0083417F"/>
    <w:rsid w:val="00834A0D"/>
    <w:rsid w:val="00835143"/>
    <w:rsid w:val="0083569B"/>
    <w:rsid w:val="00835741"/>
    <w:rsid w:val="00836E74"/>
    <w:rsid w:val="00836EAB"/>
    <w:rsid w:val="00836FDF"/>
    <w:rsid w:val="008375B1"/>
    <w:rsid w:val="00837673"/>
    <w:rsid w:val="00837937"/>
    <w:rsid w:val="00837D82"/>
    <w:rsid w:val="00840893"/>
    <w:rsid w:val="00840E88"/>
    <w:rsid w:val="00840EAE"/>
    <w:rsid w:val="008410D3"/>
    <w:rsid w:val="0084120E"/>
    <w:rsid w:val="008423EC"/>
    <w:rsid w:val="008426F8"/>
    <w:rsid w:val="008429A6"/>
    <w:rsid w:val="00843615"/>
    <w:rsid w:val="00843698"/>
    <w:rsid w:val="00843A4B"/>
    <w:rsid w:val="00843B57"/>
    <w:rsid w:val="00843B60"/>
    <w:rsid w:val="00843D33"/>
    <w:rsid w:val="008440DF"/>
    <w:rsid w:val="008444F0"/>
    <w:rsid w:val="00844CA4"/>
    <w:rsid w:val="00844D4F"/>
    <w:rsid w:val="00845AE3"/>
    <w:rsid w:val="008466A0"/>
    <w:rsid w:val="00847535"/>
    <w:rsid w:val="00847B6D"/>
    <w:rsid w:val="0085092D"/>
    <w:rsid w:val="00850C79"/>
    <w:rsid w:val="00850D82"/>
    <w:rsid w:val="00850F44"/>
    <w:rsid w:val="00850F79"/>
    <w:rsid w:val="0085100B"/>
    <w:rsid w:val="00852C30"/>
    <w:rsid w:val="00852C43"/>
    <w:rsid w:val="00852E6D"/>
    <w:rsid w:val="0085304C"/>
    <w:rsid w:val="008536BB"/>
    <w:rsid w:val="00853A3C"/>
    <w:rsid w:val="008548CA"/>
    <w:rsid w:val="00856B9F"/>
    <w:rsid w:val="00856C06"/>
    <w:rsid w:val="008578B1"/>
    <w:rsid w:val="0085790B"/>
    <w:rsid w:val="008579B9"/>
    <w:rsid w:val="00857C95"/>
    <w:rsid w:val="00857E78"/>
    <w:rsid w:val="00860AEF"/>
    <w:rsid w:val="00860B18"/>
    <w:rsid w:val="00860D5E"/>
    <w:rsid w:val="0086122C"/>
    <w:rsid w:val="00861310"/>
    <w:rsid w:val="00861E75"/>
    <w:rsid w:val="00861F53"/>
    <w:rsid w:val="0086289E"/>
    <w:rsid w:val="008629CB"/>
    <w:rsid w:val="0086394E"/>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B93"/>
    <w:rsid w:val="008715ED"/>
    <w:rsid w:val="008717D8"/>
    <w:rsid w:val="00871E3C"/>
    <w:rsid w:val="00872CC1"/>
    <w:rsid w:val="00872F97"/>
    <w:rsid w:val="00874607"/>
    <w:rsid w:val="00874915"/>
    <w:rsid w:val="00874B89"/>
    <w:rsid w:val="00875403"/>
    <w:rsid w:val="00875434"/>
    <w:rsid w:val="00875C1F"/>
    <w:rsid w:val="00876215"/>
    <w:rsid w:val="0087646C"/>
    <w:rsid w:val="00876815"/>
    <w:rsid w:val="00877932"/>
    <w:rsid w:val="008808C7"/>
    <w:rsid w:val="0088106B"/>
    <w:rsid w:val="0088107D"/>
    <w:rsid w:val="00881E64"/>
    <w:rsid w:val="00882D24"/>
    <w:rsid w:val="00882E39"/>
    <w:rsid w:val="00884C1E"/>
    <w:rsid w:val="008850EB"/>
    <w:rsid w:val="00885228"/>
    <w:rsid w:val="00886114"/>
    <w:rsid w:val="00886C32"/>
    <w:rsid w:val="00886DF2"/>
    <w:rsid w:val="00886FB9"/>
    <w:rsid w:val="00887057"/>
    <w:rsid w:val="00887080"/>
    <w:rsid w:val="00887C79"/>
    <w:rsid w:val="00887D54"/>
    <w:rsid w:val="00887E72"/>
    <w:rsid w:val="0089107B"/>
    <w:rsid w:val="008913CC"/>
    <w:rsid w:val="008914AE"/>
    <w:rsid w:val="008919CF"/>
    <w:rsid w:val="00891F84"/>
    <w:rsid w:val="008928EC"/>
    <w:rsid w:val="00892E5D"/>
    <w:rsid w:val="008935CF"/>
    <w:rsid w:val="0089436B"/>
    <w:rsid w:val="00894436"/>
    <w:rsid w:val="0089494C"/>
    <w:rsid w:val="00894BB1"/>
    <w:rsid w:val="008951D0"/>
    <w:rsid w:val="00895828"/>
    <w:rsid w:val="0089582D"/>
    <w:rsid w:val="008959C6"/>
    <w:rsid w:val="00895E8C"/>
    <w:rsid w:val="0089606D"/>
    <w:rsid w:val="00896129"/>
    <w:rsid w:val="00896316"/>
    <w:rsid w:val="0089774F"/>
    <w:rsid w:val="00897875"/>
    <w:rsid w:val="00897B8F"/>
    <w:rsid w:val="008A00D9"/>
    <w:rsid w:val="008A07D5"/>
    <w:rsid w:val="008A15D3"/>
    <w:rsid w:val="008A1E94"/>
    <w:rsid w:val="008A1FB7"/>
    <w:rsid w:val="008A229A"/>
    <w:rsid w:val="008A2A23"/>
    <w:rsid w:val="008A2AF5"/>
    <w:rsid w:val="008A2B5A"/>
    <w:rsid w:val="008A3840"/>
    <w:rsid w:val="008A3F9D"/>
    <w:rsid w:val="008A4B42"/>
    <w:rsid w:val="008A5474"/>
    <w:rsid w:val="008A5C9A"/>
    <w:rsid w:val="008A6005"/>
    <w:rsid w:val="008A614F"/>
    <w:rsid w:val="008A6A55"/>
    <w:rsid w:val="008A6DF0"/>
    <w:rsid w:val="008A6F6E"/>
    <w:rsid w:val="008A73C4"/>
    <w:rsid w:val="008A7888"/>
    <w:rsid w:val="008A796E"/>
    <w:rsid w:val="008B0862"/>
    <w:rsid w:val="008B088C"/>
    <w:rsid w:val="008B1BF5"/>
    <w:rsid w:val="008B263F"/>
    <w:rsid w:val="008B2686"/>
    <w:rsid w:val="008B3045"/>
    <w:rsid w:val="008B47A6"/>
    <w:rsid w:val="008B4E7A"/>
    <w:rsid w:val="008B672C"/>
    <w:rsid w:val="008B7ABE"/>
    <w:rsid w:val="008C065F"/>
    <w:rsid w:val="008C0743"/>
    <w:rsid w:val="008C0B4C"/>
    <w:rsid w:val="008C0D9F"/>
    <w:rsid w:val="008C11F0"/>
    <w:rsid w:val="008C1DBA"/>
    <w:rsid w:val="008C234C"/>
    <w:rsid w:val="008C24E7"/>
    <w:rsid w:val="008C2500"/>
    <w:rsid w:val="008C2CAC"/>
    <w:rsid w:val="008C2E00"/>
    <w:rsid w:val="008C3C57"/>
    <w:rsid w:val="008C3E2A"/>
    <w:rsid w:val="008C45BD"/>
    <w:rsid w:val="008C4B19"/>
    <w:rsid w:val="008C515F"/>
    <w:rsid w:val="008C62D4"/>
    <w:rsid w:val="008C6B89"/>
    <w:rsid w:val="008C6CBF"/>
    <w:rsid w:val="008C7436"/>
    <w:rsid w:val="008D18AA"/>
    <w:rsid w:val="008D1A2A"/>
    <w:rsid w:val="008D1ADE"/>
    <w:rsid w:val="008D35D9"/>
    <w:rsid w:val="008D3B85"/>
    <w:rsid w:val="008D462D"/>
    <w:rsid w:val="008D47E6"/>
    <w:rsid w:val="008D560B"/>
    <w:rsid w:val="008D6084"/>
    <w:rsid w:val="008D64AC"/>
    <w:rsid w:val="008D66CA"/>
    <w:rsid w:val="008D69B1"/>
    <w:rsid w:val="008D7338"/>
    <w:rsid w:val="008D785E"/>
    <w:rsid w:val="008E0012"/>
    <w:rsid w:val="008E0DF7"/>
    <w:rsid w:val="008E0FAD"/>
    <w:rsid w:val="008E11E4"/>
    <w:rsid w:val="008E1252"/>
    <w:rsid w:val="008E1347"/>
    <w:rsid w:val="008E16E0"/>
    <w:rsid w:val="008E1C15"/>
    <w:rsid w:val="008E1C9A"/>
    <w:rsid w:val="008E28BD"/>
    <w:rsid w:val="008E30C4"/>
    <w:rsid w:val="008E38B4"/>
    <w:rsid w:val="008E3BA4"/>
    <w:rsid w:val="008E44AB"/>
    <w:rsid w:val="008E4E27"/>
    <w:rsid w:val="008E5179"/>
    <w:rsid w:val="008E57FE"/>
    <w:rsid w:val="008E6226"/>
    <w:rsid w:val="008E6401"/>
    <w:rsid w:val="008E6598"/>
    <w:rsid w:val="008E6CC2"/>
    <w:rsid w:val="008E7214"/>
    <w:rsid w:val="008E7884"/>
    <w:rsid w:val="008E7D6E"/>
    <w:rsid w:val="008F0D02"/>
    <w:rsid w:val="008F1056"/>
    <w:rsid w:val="008F16F3"/>
    <w:rsid w:val="008F2E8D"/>
    <w:rsid w:val="008F361D"/>
    <w:rsid w:val="008F387B"/>
    <w:rsid w:val="008F3952"/>
    <w:rsid w:val="008F3DD9"/>
    <w:rsid w:val="008F4814"/>
    <w:rsid w:val="008F4DA6"/>
    <w:rsid w:val="008F538E"/>
    <w:rsid w:val="008F5A20"/>
    <w:rsid w:val="008F5ABA"/>
    <w:rsid w:val="008F71AB"/>
    <w:rsid w:val="008F7905"/>
    <w:rsid w:val="008F7989"/>
    <w:rsid w:val="00901F1D"/>
    <w:rsid w:val="009020B3"/>
    <w:rsid w:val="009028E8"/>
    <w:rsid w:val="00902E5C"/>
    <w:rsid w:val="0090363E"/>
    <w:rsid w:val="009046E5"/>
    <w:rsid w:val="009047C5"/>
    <w:rsid w:val="00910683"/>
    <w:rsid w:val="00910E00"/>
    <w:rsid w:val="009116CE"/>
    <w:rsid w:val="00911714"/>
    <w:rsid w:val="00911D04"/>
    <w:rsid w:val="00911EFF"/>
    <w:rsid w:val="009136D4"/>
    <w:rsid w:val="00914159"/>
    <w:rsid w:val="00914B9A"/>
    <w:rsid w:val="00914C3F"/>
    <w:rsid w:val="00914F33"/>
    <w:rsid w:val="00915FCE"/>
    <w:rsid w:val="00916AFE"/>
    <w:rsid w:val="00916FC8"/>
    <w:rsid w:val="009170D3"/>
    <w:rsid w:val="0091759C"/>
    <w:rsid w:val="00920026"/>
    <w:rsid w:val="009203E2"/>
    <w:rsid w:val="00920F61"/>
    <w:rsid w:val="00921304"/>
    <w:rsid w:val="00921395"/>
    <w:rsid w:val="00921805"/>
    <w:rsid w:val="00921BFC"/>
    <w:rsid w:val="00921E63"/>
    <w:rsid w:val="00923396"/>
    <w:rsid w:val="00923534"/>
    <w:rsid w:val="00923F56"/>
    <w:rsid w:val="00925346"/>
    <w:rsid w:val="00925743"/>
    <w:rsid w:val="0092579F"/>
    <w:rsid w:val="00925BC6"/>
    <w:rsid w:val="00927E8D"/>
    <w:rsid w:val="00927F23"/>
    <w:rsid w:val="009307CD"/>
    <w:rsid w:val="00930A90"/>
    <w:rsid w:val="009310C5"/>
    <w:rsid w:val="00931365"/>
    <w:rsid w:val="00931451"/>
    <w:rsid w:val="009314FA"/>
    <w:rsid w:val="009315CF"/>
    <w:rsid w:val="0093194F"/>
    <w:rsid w:val="00931BF3"/>
    <w:rsid w:val="00931C55"/>
    <w:rsid w:val="00933333"/>
    <w:rsid w:val="0093349A"/>
    <w:rsid w:val="009338BA"/>
    <w:rsid w:val="00933FCB"/>
    <w:rsid w:val="00934537"/>
    <w:rsid w:val="00934CEC"/>
    <w:rsid w:val="00934E69"/>
    <w:rsid w:val="00935504"/>
    <w:rsid w:val="00935E70"/>
    <w:rsid w:val="0093609A"/>
    <w:rsid w:val="0093644A"/>
    <w:rsid w:val="00937401"/>
    <w:rsid w:val="009375AD"/>
    <w:rsid w:val="009376FB"/>
    <w:rsid w:val="00937D6B"/>
    <w:rsid w:val="00937F58"/>
    <w:rsid w:val="00940477"/>
    <w:rsid w:val="00940876"/>
    <w:rsid w:val="00940A53"/>
    <w:rsid w:val="00940F3C"/>
    <w:rsid w:val="009410E0"/>
    <w:rsid w:val="009413C0"/>
    <w:rsid w:val="009415BB"/>
    <w:rsid w:val="00941FA9"/>
    <w:rsid w:val="009444B4"/>
    <w:rsid w:val="00944644"/>
    <w:rsid w:val="00944C27"/>
    <w:rsid w:val="00946603"/>
    <w:rsid w:val="00946A24"/>
    <w:rsid w:val="009470D4"/>
    <w:rsid w:val="00947337"/>
    <w:rsid w:val="00947E6E"/>
    <w:rsid w:val="00950ABC"/>
    <w:rsid w:val="009512FA"/>
    <w:rsid w:val="009516A9"/>
    <w:rsid w:val="00951E57"/>
    <w:rsid w:val="00952505"/>
    <w:rsid w:val="00953018"/>
    <w:rsid w:val="009533E2"/>
    <w:rsid w:val="00953554"/>
    <w:rsid w:val="0095385A"/>
    <w:rsid w:val="00953F49"/>
    <w:rsid w:val="00955021"/>
    <w:rsid w:val="0095560F"/>
    <w:rsid w:val="00955AB4"/>
    <w:rsid w:val="0095780A"/>
    <w:rsid w:val="009578C3"/>
    <w:rsid w:val="009579E4"/>
    <w:rsid w:val="00957AA4"/>
    <w:rsid w:val="00957ACB"/>
    <w:rsid w:val="00957CC5"/>
    <w:rsid w:val="00957F27"/>
    <w:rsid w:val="00960156"/>
    <w:rsid w:val="00960198"/>
    <w:rsid w:val="00960BDB"/>
    <w:rsid w:val="00960D2E"/>
    <w:rsid w:val="0096105C"/>
    <w:rsid w:val="0096147D"/>
    <w:rsid w:val="00961D53"/>
    <w:rsid w:val="00961E5F"/>
    <w:rsid w:val="009625C6"/>
    <w:rsid w:val="009629B5"/>
    <w:rsid w:val="00962A50"/>
    <w:rsid w:val="0096409A"/>
    <w:rsid w:val="00964138"/>
    <w:rsid w:val="009648D6"/>
    <w:rsid w:val="00964B3F"/>
    <w:rsid w:val="00964C98"/>
    <w:rsid w:val="00965DAF"/>
    <w:rsid w:val="00965DF2"/>
    <w:rsid w:val="00971053"/>
    <w:rsid w:val="009710E5"/>
    <w:rsid w:val="00971441"/>
    <w:rsid w:val="009715D4"/>
    <w:rsid w:val="0097179A"/>
    <w:rsid w:val="009732A4"/>
    <w:rsid w:val="009739A8"/>
    <w:rsid w:val="00973C05"/>
    <w:rsid w:val="0097494E"/>
    <w:rsid w:val="00974999"/>
    <w:rsid w:val="00974B58"/>
    <w:rsid w:val="00975445"/>
    <w:rsid w:val="0097568E"/>
    <w:rsid w:val="009761ED"/>
    <w:rsid w:val="0097670B"/>
    <w:rsid w:val="00976B37"/>
    <w:rsid w:val="0097769A"/>
    <w:rsid w:val="00980206"/>
    <w:rsid w:val="0098022F"/>
    <w:rsid w:val="00980EAB"/>
    <w:rsid w:val="009810DE"/>
    <w:rsid w:val="00981B91"/>
    <w:rsid w:val="00981DFC"/>
    <w:rsid w:val="009822D7"/>
    <w:rsid w:val="009827E6"/>
    <w:rsid w:val="00982F84"/>
    <w:rsid w:val="0098427D"/>
    <w:rsid w:val="00984567"/>
    <w:rsid w:val="00984B16"/>
    <w:rsid w:val="00985102"/>
    <w:rsid w:val="009854BC"/>
    <w:rsid w:val="00985DF5"/>
    <w:rsid w:val="0098606C"/>
    <w:rsid w:val="009865D5"/>
    <w:rsid w:val="00986DF4"/>
    <w:rsid w:val="009876F2"/>
    <w:rsid w:val="00987C77"/>
    <w:rsid w:val="00987FED"/>
    <w:rsid w:val="00990345"/>
    <w:rsid w:val="00990395"/>
    <w:rsid w:val="009903A7"/>
    <w:rsid w:val="0099042D"/>
    <w:rsid w:val="00990701"/>
    <w:rsid w:val="0099119C"/>
    <w:rsid w:val="0099137A"/>
    <w:rsid w:val="0099211C"/>
    <w:rsid w:val="0099349E"/>
    <w:rsid w:val="00993B78"/>
    <w:rsid w:val="00993DBE"/>
    <w:rsid w:val="00994C7D"/>
    <w:rsid w:val="00995119"/>
    <w:rsid w:val="0099531F"/>
    <w:rsid w:val="009953AD"/>
    <w:rsid w:val="0099583D"/>
    <w:rsid w:val="00995B3A"/>
    <w:rsid w:val="00996020"/>
    <w:rsid w:val="00996992"/>
    <w:rsid w:val="00996E1E"/>
    <w:rsid w:val="00997148"/>
    <w:rsid w:val="00997392"/>
    <w:rsid w:val="0099747C"/>
    <w:rsid w:val="0099771C"/>
    <w:rsid w:val="009A01E4"/>
    <w:rsid w:val="009A0917"/>
    <w:rsid w:val="009A0A33"/>
    <w:rsid w:val="009A0F66"/>
    <w:rsid w:val="009A1351"/>
    <w:rsid w:val="009A2435"/>
    <w:rsid w:val="009A254A"/>
    <w:rsid w:val="009A35DC"/>
    <w:rsid w:val="009A38AB"/>
    <w:rsid w:val="009A39DD"/>
    <w:rsid w:val="009A3D47"/>
    <w:rsid w:val="009A4D63"/>
    <w:rsid w:val="009A5356"/>
    <w:rsid w:val="009A5468"/>
    <w:rsid w:val="009A5D99"/>
    <w:rsid w:val="009A608C"/>
    <w:rsid w:val="009A6FDF"/>
    <w:rsid w:val="009A715F"/>
    <w:rsid w:val="009A71C1"/>
    <w:rsid w:val="009A76D6"/>
    <w:rsid w:val="009B2374"/>
    <w:rsid w:val="009B24B2"/>
    <w:rsid w:val="009B2A8C"/>
    <w:rsid w:val="009B2E29"/>
    <w:rsid w:val="009B3163"/>
    <w:rsid w:val="009B422F"/>
    <w:rsid w:val="009B46BC"/>
    <w:rsid w:val="009B4D1A"/>
    <w:rsid w:val="009B4D85"/>
    <w:rsid w:val="009B502F"/>
    <w:rsid w:val="009B558B"/>
    <w:rsid w:val="009B5F29"/>
    <w:rsid w:val="009B6A34"/>
    <w:rsid w:val="009B6D21"/>
    <w:rsid w:val="009B6DCD"/>
    <w:rsid w:val="009B707D"/>
    <w:rsid w:val="009B78ED"/>
    <w:rsid w:val="009C181C"/>
    <w:rsid w:val="009C1A44"/>
    <w:rsid w:val="009C1C7F"/>
    <w:rsid w:val="009C1EC7"/>
    <w:rsid w:val="009C28A2"/>
    <w:rsid w:val="009C3239"/>
    <w:rsid w:val="009C37CE"/>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2FA"/>
    <w:rsid w:val="009C75FC"/>
    <w:rsid w:val="009C78A3"/>
    <w:rsid w:val="009C7E68"/>
    <w:rsid w:val="009D00D7"/>
    <w:rsid w:val="009D0156"/>
    <w:rsid w:val="009D05DA"/>
    <w:rsid w:val="009D07AE"/>
    <w:rsid w:val="009D11F6"/>
    <w:rsid w:val="009D1A14"/>
    <w:rsid w:val="009D1E2A"/>
    <w:rsid w:val="009D1F8D"/>
    <w:rsid w:val="009D1FA0"/>
    <w:rsid w:val="009D265C"/>
    <w:rsid w:val="009D2BDF"/>
    <w:rsid w:val="009D3736"/>
    <w:rsid w:val="009D3C84"/>
    <w:rsid w:val="009D4529"/>
    <w:rsid w:val="009D604F"/>
    <w:rsid w:val="009D61BB"/>
    <w:rsid w:val="009D6410"/>
    <w:rsid w:val="009D68BB"/>
    <w:rsid w:val="009D70C2"/>
    <w:rsid w:val="009D7ADB"/>
    <w:rsid w:val="009D7B33"/>
    <w:rsid w:val="009E06C3"/>
    <w:rsid w:val="009E0703"/>
    <w:rsid w:val="009E0EFC"/>
    <w:rsid w:val="009E1035"/>
    <w:rsid w:val="009E16DA"/>
    <w:rsid w:val="009E1CD4"/>
    <w:rsid w:val="009E2391"/>
    <w:rsid w:val="009E2865"/>
    <w:rsid w:val="009E2EF9"/>
    <w:rsid w:val="009E304F"/>
    <w:rsid w:val="009E34A5"/>
    <w:rsid w:val="009E4648"/>
    <w:rsid w:val="009E476A"/>
    <w:rsid w:val="009E4E05"/>
    <w:rsid w:val="009E56FF"/>
    <w:rsid w:val="009E5CB1"/>
    <w:rsid w:val="009E5E56"/>
    <w:rsid w:val="009E61EA"/>
    <w:rsid w:val="009E6343"/>
    <w:rsid w:val="009E6990"/>
    <w:rsid w:val="009E6FEE"/>
    <w:rsid w:val="009F00B9"/>
    <w:rsid w:val="009F060F"/>
    <w:rsid w:val="009F0781"/>
    <w:rsid w:val="009F0850"/>
    <w:rsid w:val="009F1BDF"/>
    <w:rsid w:val="009F1EAE"/>
    <w:rsid w:val="009F369D"/>
    <w:rsid w:val="009F36FE"/>
    <w:rsid w:val="009F4990"/>
    <w:rsid w:val="009F4F25"/>
    <w:rsid w:val="009F59C2"/>
    <w:rsid w:val="009F5A5A"/>
    <w:rsid w:val="009F61A0"/>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9E0"/>
    <w:rsid w:val="00A06E4A"/>
    <w:rsid w:val="00A06EE8"/>
    <w:rsid w:val="00A070E9"/>
    <w:rsid w:val="00A078FB"/>
    <w:rsid w:val="00A1036D"/>
    <w:rsid w:val="00A1069F"/>
    <w:rsid w:val="00A10AAD"/>
    <w:rsid w:val="00A10ACA"/>
    <w:rsid w:val="00A10D08"/>
    <w:rsid w:val="00A11E67"/>
    <w:rsid w:val="00A11E78"/>
    <w:rsid w:val="00A12355"/>
    <w:rsid w:val="00A127D2"/>
    <w:rsid w:val="00A13CF5"/>
    <w:rsid w:val="00A143EC"/>
    <w:rsid w:val="00A149E8"/>
    <w:rsid w:val="00A1500F"/>
    <w:rsid w:val="00A15621"/>
    <w:rsid w:val="00A15670"/>
    <w:rsid w:val="00A157A0"/>
    <w:rsid w:val="00A1585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207"/>
    <w:rsid w:val="00A27FB6"/>
    <w:rsid w:val="00A27FDD"/>
    <w:rsid w:val="00A30121"/>
    <w:rsid w:val="00A30368"/>
    <w:rsid w:val="00A3043A"/>
    <w:rsid w:val="00A30E02"/>
    <w:rsid w:val="00A30F6A"/>
    <w:rsid w:val="00A310D9"/>
    <w:rsid w:val="00A31C3E"/>
    <w:rsid w:val="00A322A6"/>
    <w:rsid w:val="00A32D39"/>
    <w:rsid w:val="00A34538"/>
    <w:rsid w:val="00A34677"/>
    <w:rsid w:val="00A3535E"/>
    <w:rsid w:val="00A3540F"/>
    <w:rsid w:val="00A35630"/>
    <w:rsid w:val="00A35914"/>
    <w:rsid w:val="00A36189"/>
    <w:rsid w:val="00A37E73"/>
    <w:rsid w:val="00A37FB6"/>
    <w:rsid w:val="00A409E2"/>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EC5"/>
    <w:rsid w:val="00A45F9B"/>
    <w:rsid w:val="00A46574"/>
    <w:rsid w:val="00A475BC"/>
    <w:rsid w:val="00A500B1"/>
    <w:rsid w:val="00A52A53"/>
    <w:rsid w:val="00A52EE5"/>
    <w:rsid w:val="00A53037"/>
    <w:rsid w:val="00A532B9"/>
    <w:rsid w:val="00A532CF"/>
    <w:rsid w:val="00A5351D"/>
    <w:rsid w:val="00A53E79"/>
    <w:rsid w:val="00A54031"/>
    <w:rsid w:val="00A5426D"/>
    <w:rsid w:val="00A5463D"/>
    <w:rsid w:val="00A5471D"/>
    <w:rsid w:val="00A548FA"/>
    <w:rsid w:val="00A54FC2"/>
    <w:rsid w:val="00A55122"/>
    <w:rsid w:val="00A55CEA"/>
    <w:rsid w:val="00A568B6"/>
    <w:rsid w:val="00A56BBF"/>
    <w:rsid w:val="00A56DE7"/>
    <w:rsid w:val="00A57EB2"/>
    <w:rsid w:val="00A6009E"/>
    <w:rsid w:val="00A60265"/>
    <w:rsid w:val="00A60B1F"/>
    <w:rsid w:val="00A613E5"/>
    <w:rsid w:val="00A61C60"/>
    <w:rsid w:val="00A62589"/>
    <w:rsid w:val="00A62AD0"/>
    <w:rsid w:val="00A62C3A"/>
    <w:rsid w:val="00A6319C"/>
    <w:rsid w:val="00A63812"/>
    <w:rsid w:val="00A63DF7"/>
    <w:rsid w:val="00A6454D"/>
    <w:rsid w:val="00A64F18"/>
    <w:rsid w:val="00A64F2F"/>
    <w:rsid w:val="00A65505"/>
    <w:rsid w:val="00A6611E"/>
    <w:rsid w:val="00A6634D"/>
    <w:rsid w:val="00A668BA"/>
    <w:rsid w:val="00A66FA7"/>
    <w:rsid w:val="00A67052"/>
    <w:rsid w:val="00A67E16"/>
    <w:rsid w:val="00A67E2C"/>
    <w:rsid w:val="00A67EB1"/>
    <w:rsid w:val="00A703CC"/>
    <w:rsid w:val="00A70C5C"/>
    <w:rsid w:val="00A710A2"/>
    <w:rsid w:val="00A719D1"/>
    <w:rsid w:val="00A71EA7"/>
    <w:rsid w:val="00A7221C"/>
    <w:rsid w:val="00A730AD"/>
    <w:rsid w:val="00A73855"/>
    <w:rsid w:val="00A73D64"/>
    <w:rsid w:val="00A74216"/>
    <w:rsid w:val="00A7434D"/>
    <w:rsid w:val="00A744B4"/>
    <w:rsid w:val="00A751E3"/>
    <w:rsid w:val="00A75504"/>
    <w:rsid w:val="00A75FD7"/>
    <w:rsid w:val="00A77168"/>
    <w:rsid w:val="00A7723B"/>
    <w:rsid w:val="00A7793C"/>
    <w:rsid w:val="00A77D21"/>
    <w:rsid w:val="00A77FDE"/>
    <w:rsid w:val="00A80085"/>
    <w:rsid w:val="00A8043B"/>
    <w:rsid w:val="00A80DA0"/>
    <w:rsid w:val="00A81323"/>
    <w:rsid w:val="00A820CB"/>
    <w:rsid w:val="00A82342"/>
    <w:rsid w:val="00A82D31"/>
    <w:rsid w:val="00A82F33"/>
    <w:rsid w:val="00A83BEF"/>
    <w:rsid w:val="00A84443"/>
    <w:rsid w:val="00A8487F"/>
    <w:rsid w:val="00A849A3"/>
    <w:rsid w:val="00A84A0E"/>
    <w:rsid w:val="00A85422"/>
    <w:rsid w:val="00A861C8"/>
    <w:rsid w:val="00A86E0B"/>
    <w:rsid w:val="00A874BB"/>
    <w:rsid w:val="00A90F12"/>
    <w:rsid w:val="00A91DAA"/>
    <w:rsid w:val="00A93101"/>
    <w:rsid w:val="00A9413E"/>
    <w:rsid w:val="00A94281"/>
    <w:rsid w:val="00A94293"/>
    <w:rsid w:val="00A9496E"/>
    <w:rsid w:val="00A949F0"/>
    <w:rsid w:val="00A94BDE"/>
    <w:rsid w:val="00A94EE3"/>
    <w:rsid w:val="00A94FCA"/>
    <w:rsid w:val="00A95E4C"/>
    <w:rsid w:val="00A96568"/>
    <w:rsid w:val="00A96C60"/>
    <w:rsid w:val="00A9740B"/>
    <w:rsid w:val="00A9766C"/>
    <w:rsid w:val="00A977F8"/>
    <w:rsid w:val="00A979DB"/>
    <w:rsid w:val="00A97C93"/>
    <w:rsid w:val="00A97E85"/>
    <w:rsid w:val="00AA08E7"/>
    <w:rsid w:val="00AA0A06"/>
    <w:rsid w:val="00AA1351"/>
    <w:rsid w:val="00AA184C"/>
    <w:rsid w:val="00AA1C84"/>
    <w:rsid w:val="00AA20FA"/>
    <w:rsid w:val="00AA3D7B"/>
    <w:rsid w:val="00AA42A0"/>
    <w:rsid w:val="00AA442B"/>
    <w:rsid w:val="00AA46A4"/>
    <w:rsid w:val="00AA568B"/>
    <w:rsid w:val="00AA5779"/>
    <w:rsid w:val="00AA58A1"/>
    <w:rsid w:val="00AA59B5"/>
    <w:rsid w:val="00AA61C7"/>
    <w:rsid w:val="00AA669D"/>
    <w:rsid w:val="00AA66ED"/>
    <w:rsid w:val="00AA6B59"/>
    <w:rsid w:val="00AA6BE1"/>
    <w:rsid w:val="00AA7416"/>
    <w:rsid w:val="00AA7A60"/>
    <w:rsid w:val="00AA7B42"/>
    <w:rsid w:val="00AB041C"/>
    <w:rsid w:val="00AB14E8"/>
    <w:rsid w:val="00AB1676"/>
    <w:rsid w:val="00AB1B1D"/>
    <w:rsid w:val="00AB2216"/>
    <w:rsid w:val="00AB358D"/>
    <w:rsid w:val="00AB37A1"/>
    <w:rsid w:val="00AB3BAD"/>
    <w:rsid w:val="00AB3CFD"/>
    <w:rsid w:val="00AB4244"/>
    <w:rsid w:val="00AB49BC"/>
    <w:rsid w:val="00AB4C02"/>
    <w:rsid w:val="00AB4DEE"/>
    <w:rsid w:val="00AB4E32"/>
    <w:rsid w:val="00AB5999"/>
    <w:rsid w:val="00AB59AE"/>
    <w:rsid w:val="00AB5C19"/>
    <w:rsid w:val="00AB724B"/>
    <w:rsid w:val="00AB726C"/>
    <w:rsid w:val="00AB72B4"/>
    <w:rsid w:val="00AC02AA"/>
    <w:rsid w:val="00AC0537"/>
    <w:rsid w:val="00AC0A84"/>
    <w:rsid w:val="00AC1508"/>
    <w:rsid w:val="00AC2A0B"/>
    <w:rsid w:val="00AC2BEE"/>
    <w:rsid w:val="00AC2E53"/>
    <w:rsid w:val="00AC312A"/>
    <w:rsid w:val="00AC39C5"/>
    <w:rsid w:val="00AC4263"/>
    <w:rsid w:val="00AC484F"/>
    <w:rsid w:val="00AC4B20"/>
    <w:rsid w:val="00AC56F2"/>
    <w:rsid w:val="00AC71C3"/>
    <w:rsid w:val="00AC7212"/>
    <w:rsid w:val="00AD09F7"/>
    <w:rsid w:val="00AD0CA8"/>
    <w:rsid w:val="00AD11E3"/>
    <w:rsid w:val="00AD1EFA"/>
    <w:rsid w:val="00AD2072"/>
    <w:rsid w:val="00AD2A5A"/>
    <w:rsid w:val="00AD2DBD"/>
    <w:rsid w:val="00AD2FBF"/>
    <w:rsid w:val="00AD340E"/>
    <w:rsid w:val="00AD3A38"/>
    <w:rsid w:val="00AD3E34"/>
    <w:rsid w:val="00AD455D"/>
    <w:rsid w:val="00AD463C"/>
    <w:rsid w:val="00AD4F60"/>
    <w:rsid w:val="00AD5044"/>
    <w:rsid w:val="00AD5114"/>
    <w:rsid w:val="00AD5C0C"/>
    <w:rsid w:val="00AD6166"/>
    <w:rsid w:val="00AD6236"/>
    <w:rsid w:val="00AD69D5"/>
    <w:rsid w:val="00AD6FD3"/>
    <w:rsid w:val="00AD7619"/>
    <w:rsid w:val="00AD7770"/>
    <w:rsid w:val="00AE1772"/>
    <w:rsid w:val="00AE1990"/>
    <w:rsid w:val="00AE1D23"/>
    <w:rsid w:val="00AE20E5"/>
    <w:rsid w:val="00AE25C0"/>
    <w:rsid w:val="00AE25E8"/>
    <w:rsid w:val="00AE26F0"/>
    <w:rsid w:val="00AE2AD4"/>
    <w:rsid w:val="00AE2CA7"/>
    <w:rsid w:val="00AE2F1D"/>
    <w:rsid w:val="00AE4C81"/>
    <w:rsid w:val="00AE586F"/>
    <w:rsid w:val="00AE6582"/>
    <w:rsid w:val="00AE6DC5"/>
    <w:rsid w:val="00AE7686"/>
    <w:rsid w:val="00AE799A"/>
    <w:rsid w:val="00AF041E"/>
    <w:rsid w:val="00AF0E81"/>
    <w:rsid w:val="00AF117A"/>
    <w:rsid w:val="00AF16CA"/>
    <w:rsid w:val="00AF186E"/>
    <w:rsid w:val="00AF19DF"/>
    <w:rsid w:val="00AF1D41"/>
    <w:rsid w:val="00AF26CF"/>
    <w:rsid w:val="00AF2A18"/>
    <w:rsid w:val="00AF344D"/>
    <w:rsid w:val="00AF39B3"/>
    <w:rsid w:val="00AF3C61"/>
    <w:rsid w:val="00AF3E1D"/>
    <w:rsid w:val="00AF4402"/>
    <w:rsid w:val="00AF450F"/>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11A7"/>
    <w:rsid w:val="00B011A9"/>
    <w:rsid w:val="00B01BAF"/>
    <w:rsid w:val="00B01C36"/>
    <w:rsid w:val="00B024ED"/>
    <w:rsid w:val="00B026B8"/>
    <w:rsid w:val="00B02EB3"/>
    <w:rsid w:val="00B02FCB"/>
    <w:rsid w:val="00B033F8"/>
    <w:rsid w:val="00B03C1E"/>
    <w:rsid w:val="00B04400"/>
    <w:rsid w:val="00B04835"/>
    <w:rsid w:val="00B05A55"/>
    <w:rsid w:val="00B05DE1"/>
    <w:rsid w:val="00B06595"/>
    <w:rsid w:val="00B10109"/>
    <w:rsid w:val="00B10776"/>
    <w:rsid w:val="00B1085E"/>
    <w:rsid w:val="00B10FD1"/>
    <w:rsid w:val="00B119AE"/>
    <w:rsid w:val="00B11D59"/>
    <w:rsid w:val="00B1219D"/>
    <w:rsid w:val="00B12469"/>
    <w:rsid w:val="00B12735"/>
    <w:rsid w:val="00B12F44"/>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2E22"/>
    <w:rsid w:val="00B22F5F"/>
    <w:rsid w:val="00B2300C"/>
    <w:rsid w:val="00B231D9"/>
    <w:rsid w:val="00B23813"/>
    <w:rsid w:val="00B23FD9"/>
    <w:rsid w:val="00B24591"/>
    <w:rsid w:val="00B245D5"/>
    <w:rsid w:val="00B245EF"/>
    <w:rsid w:val="00B24C36"/>
    <w:rsid w:val="00B24F94"/>
    <w:rsid w:val="00B25126"/>
    <w:rsid w:val="00B25A52"/>
    <w:rsid w:val="00B25BE7"/>
    <w:rsid w:val="00B25FC3"/>
    <w:rsid w:val="00B27875"/>
    <w:rsid w:val="00B27BB5"/>
    <w:rsid w:val="00B3008D"/>
    <w:rsid w:val="00B3019A"/>
    <w:rsid w:val="00B30A94"/>
    <w:rsid w:val="00B30E11"/>
    <w:rsid w:val="00B30EAE"/>
    <w:rsid w:val="00B30EEB"/>
    <w:rsid w:val="00B31423"/>
    <w:rsid w:val="00B319B1"/>
    <w:rsid w:val="00B323E0"/>
    <w:rsid w:val="00B32DC0"/>
    <w:rsid w:val="00B3346C"/>
    <w:rsid w:val="00B335E1"/>
    <w:rsid w:val="00B335E4"/>
    <w:rsid w:val="00B33C23"/>
    <w:rsid w:val="00B34408"/>
    <w:rsid w:val="00B345B4"/>
    <w:rsid w:val="00B348B1"/>
    <w:rsid w:val="00B34A28"/>
    <w:rsid w:val="00B35046"/>
    <w:rsid w:val="00B35B6A"/>
    <w:rsid w:val="00B35BFD"/>
    <w:rsid w:val="00B35C51"/>
    <w:rsid w:val="00B35DAA"/>
    <w:rsid w:val="00B36D2B"/>
    <w:rsid w:val="00B3748A"/>
    <w:rsid w:val="00B37657"/>
    <w:rsid w:val="00B37AFD"/>
    <w:rsid w:val="00B37B07"/>
    <w:rsid w:val="00B4046F"/>
    <w:rsid w:val="00B406B3"/>
    <w:rsid w:val="00B40A36"/>
    <w:rsid w:val="00B40DCB"/>
    <w:rsid w:val="00B41D39"/>
    <w:rsid w:val="00B41FD1"/>
    <w:rsid w:val="00B422C0"/>
    <w:rsid w:val="00B426CA"/>
    <w:rsid w:val="00B426E1"/>
    <w:rsid w:val="00B42973"/>
    <w:rsid w:val="00B42F6D"/>
    <w:rsid w:val="00B43449"/>
    <w:rsid w:val="00B4387A"/>
    <w:rsid w:val="00B43DA1"/>
    <w:rsid w:val="00B44746"/>
    <w:rsid w:val="00B44854"/>
    <w:rsid w:val="00B44BA5"/>
    <w:rsid w:val="00B44DD9"/>
    <w:rsid w:val="00B458D0"/>
    <w:rsid w:val="00B4595C"/>
    <w:rsid w:val="00B4661B"/>
    <w:rsid w:val="00B46915"/>
    <w:rsid w:val="00B4792C"/>
    <w:rsid w:val="00B50CAE"/>
    <w:rsid w:val="00B50E01"/>
    <w:rsid w:val="00B512AD"/>
    <w:rsid w:val="00B5196C"/>
    <w:rsid w:val="00B52201"/>
    <w:rsid w:val="00B525CB"/>
    <w:rsid w:val="00B52697"/>
    <w:rsid w:val="00B52FA2"/>
    <w:rsid w:val="00B54D8F"/>
    <w:rsid w:val="00B557D8"/>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3D3B"/>
    <w:rsid w:val="00B64246"/>
    <w:rsid w:val="00B64EDB"/>
    <w:rsid w:val="00B6558B"/>
    <w:rsid w:val="00B65938"/>
    <w:rsid w:val="00B65C8A"/>
    <w:rsid w:val="00B65CE2"/>
    <w:rsid w:val="00B660AD"/>
    <w:rsid w:val="00B66109"/>
    <w:rsid w:val="00B66349"/>
    <w:rsid w:val="00B66CB4"/>
    <w:rsid w:val="00B67903"/>
    <w:rsid w:val="00B67FBF"/>
    <w:rsid w:val="00B70832"/>
    <w:rsid w:val="00B71376"/>
    <w:rsid w:val="00B71617"/>
    <w:rsid w:val="00B716D7"/>
    <w:rsid w:val="00B71CAC"/>
    <w:rsid w:val="00B72110"/>
    <w:rsid w:val="00B72B91"/>
    <w:rsid w:val="00B73019"/>
    <w:rsid w:val="00B7315F"/>
    <w:rsid w:val="00B7323A"/>
    <w:rsid w:val="00B7353B"/>
    <w:rsid w:val="00B737FB"/>
    <w:rsid w:val="00B73E5D"/>
    <w:rsid w:val="00B73EF3"/>
    <w:rsid w:val="00B7423D"/>
    <w:rsid w:val="00B74D05"/>
    <w:rsid w:val="00B75893"/>
    <w:rsid w:val="00B766DC"/>
    <w:rsid w:val="00B76F9D"/>
    <w:rsid w:val="00B777FA"/>
    <w:rsid w:val="00B77850"/>
    <w:rsid w:val="00B7796B"/>
    <w:rsid w:val="00B80C72"/>
    <w:rsid w:val="00B81964"/>
    <w:rsid w:val="00B81E6F"/>
    <w:rsid w:val="00B82123"/>
    <w:rsid w:val="00B8225B"/>
    <w:rsid w:val="00B825BB"/>
    <w:rsid w:val="00B82BB5"/>
    <w:rsid w:val="00B83182"/>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900D9"/>
    <w:rsid w:val="00B90631"/>
    <w:rsid w:val="00B90A49"/>
    <w:rsid w:val="00B90A73"/>
    <w:rsid w:val="00B91B8E"/>
    <w:rsid w:val="00B92531"/>
    <w:rsid w:val="00B925CF"/>
    <w:rsid w:val="00B92618"/>
    <w:rsid w:val="00B92751"/>
    <w:rsid w:val="00B92B69"/>
    <w:rsid w:val="00B92CC6"/>
    <w:rsid w:val="00B92E63"/>
    <w:rsid w:val="00B935C9"/>
    <w:rsid w:val="00B93E3D"/>
    <w:rsid w:val="00B95464"/>
    <w:rsid w:val="00B95C30"/>
    <w:rsid w:val="00B95D2F"/>
    <w:rsid w:val="00B95E3D"/>
    <w:rsid w:val="00B9691F"/>
    <w:rsid w:val="00B96EEC"/>
    <w:rsid w:val="00B97392"/>
    <w:rsid w:val="00B976C7"/>
    <w:rsid w:val="00BA023A"/>
    <w:rsid w:val="00BA0B40"/>
    <w:rsid w:val="00BA0C54"/>
    <w:rsid w:val="00BA1382"/>
    <w:rsid w:val="00BA15E3"/>
    <w:rsid w:val="00BA1A8C"/>
    <w:rsid w:val="00BA20D8"/>
    <w:rsid w:val="00BA22FC"/>
    <w:rsid w:val="00BA2C2A"/>
    <w:rsid w:val="00BA2F30"/>
    <w:rsid w:val="00BA3982"/>
    <w:rsid w:val="00BA3F29"/>
    <w:rsid w:val="00BA4771"/>
    <w:rsid w:val="00BA5027"/>
    <w:rsid w:val="00BA59F2"/>
    <w:rsid w:val="00BA665B"/>
    <w:rsid w:val="00BA686B"/>
    <w:rsid w:val="00BA6FE8"/>
    <w:rsid w:val="00BA732D"/>
    <w:rsid w:val="00BA7370"/>
    <w:rsid w:val="00BA778B"/>
    <w:rsid w:val="00BB04A0"/>
    <w:rsid w:val="00BB0888"/>
    <w:rsid w:val="00BB0DF1"/>
    <w:rsid w:val="00BB0E9B"/>
    <w:rsid w:val="00BB1109"/>
    <w:rsid w:val="00BB1251"/>
    <w:rsid w:val="00BB1F02"/>
    <w:rsid w:val="00BB2268"/>
    <w:rsid w:val="00BB2841"/>
    <w:rsid w:val="00BB2A74"/>
    <w:rsid w:val="00BB300F"/>
    <w:rsid w:val="00BB32C9"/>
    <w:rsid w:val="00BB35C5"/>
    <w:rsid w:val="00BB4293"/>
    <w:rsid w:val="00BB4C8E"/>
    <w:rsid w:val="00BB57ED"/>
    <w:rsid w:val="00BB5DD6"/>
    <w:rsid w:val="00BB65C3"/>
    <w:rsid w:val="00BB662E"/>
    <w:rsid w:val="00BB6721"/>
    <w:rsid w:val="00BB67A9"/>
    <w:rsid w:val="00BB68DA"/>
    <w:rsid w:val="00BB6C01"/>
    <w:rsid w:val="00BB748C"/>
    <w:rsid w:val="00BB7942"/>
    <w:rsid w:val="00BB7CD1"/>
    <w:rsid w:val="00BC0F33"/>
    <w:rsid w:val="00BC14A7"/>
    <w:rsid w:val="00BC17CC"/>
    <w:rsid w:val="00BC2898"/>
    <w:rsid w:val="00BC2928"/>
    <w:rsid w:val="00BC296E"/>
    <w:rsid w:val="00BC29BD"/>
    <w:rsid w:val="00BC2BB1"/>
    <w:rsid w:val="00BC34A3"/>
    <w:rsid w:val="00BC3FF9"/>
    <w:rsid w:val="00BC4112"/>
    <w:rsid w:val="00BC4834"/>
    <w:rsid w:val="00BC4A97"/>
    <w:rsid w:val="00BC4E15"/>
    <w:rsid w:val="00BC520E"/>
    <w:rsid w:val="00BC5A25"/>
    <w:rsid w:val="00BC5BC0"/>
    <w:rsid w:val="00BC5FDD"/>
    <w:rsid w:val="00BC68B4"/>
    <w:rsid w:val="00BD0140"/>
    <w:rsid w:val="00BD02CC"/>
    <w:rsid w:val="00BD0611"/>
    <w:rsid w:val="00BD088E"/>
    <w:rsid w:val="00BD0F18"/>
    <w:rsid w:val="00BD115F"/>
    <w:rsid w:val="00BD1B42"/>
    <w:rsid w:val="00BD2063"/>
    <w:rsid w:val="00BD2F4F"/>
    <w:rsid w:val="00BD33D9"/>
    <w:rsid w:val="00BD38C5"/>
    <w:rsid w:val="00BD3DEA"/>
    <w:rsid w:val="00BD3E97"/>
    <w:rsid w:val="00BD40E4"/>
    <w:rsid w:val="00BD48E5"/>
    <w:rsid w:val="00BD52FE"/>
    <w:rsid w:val="00BD57BF"/>
    <w:rsid w:val="00BD59CA"/>
    <w:rsid w:val="00BD5EA0"/>
    <w:rsid w:val="00BD62CF"/>
    <w:rsid w:val="00BD654F"/>
    <w:rsid w:val="00BD67B2"/>
    <w:rsid w:val="00BD68E2"/>
    <w:rsid w:val="00BD76E5"/>
    <w:rsid w:val="00BD78FE"/>
    <w:rsid w:val="00BD7C55"/>
    <w:rsid w:val="00BD7D10"/>
    <w:rsid w:val="00BD7E2E"/>
    <w:rsid w:val="00BE0149"/>
    <w:rsid w:val="00BE0767"/>
    <w:rsid w:val="00BE12D7"/>
    <w:rsid w:val="00BE1372"/>
    <w:rsid w:val="00BE1775"/>
    <w:rsid w:val="00BE18DA"/>
    <w:rsid w:val="00BE26C0"/>
    <w:rsid w:val="00BE3442"/>
    <w:rsid w:val="00BE37CD"/>
    <w:rsid w:val="00BE42D6"/>
    <w:rsid w:val="00BE455C"/>
    <w:rsid w:val="00BE47B2"/>
    <w:rsid w:val="00BE48C7"/>
    <w:rsid w:val="00BE4C4F"/>
    <w:rsid w:val="00BE4F66"/>
    <w:rsid w:val="00BE5238"/>
    <w:rsid w:val="00BE6074"/>
    <w:rsid w:val="00BE6860"/>
    <w:rsid w:val="00BE6938"/>
    <w:rsid w:val="00BE7257"/>
    <w:rsid w:val="00BF020D"/>
    <w:rsid w:val="00BF0609"/>
    <w:rsid w:val="00BF0E64"/>
    <w:rsid w:val="00BF0EE8"/>
    <w:rsid w:val="00BF1D87"/>
    <w:rsid w:val="00BF1DD2"/>
    <w:rsid w:val="00BF22BF"/>
    <w:rsid w:val="00BF23A3"/>
    <w:rsid w:val="00BF2A7E"/>
    <w:rsid w:val="00BF3331"/>
    <w:rsid w:val="00BF3A45"/>
    <w:rsid w:val="00BF436F"/>
    <w:rsid w:val="00BF4484"/>
    <w:rsid w:val="00BF5C05"/>
    <w:rsid w:val="00BF5CB4"/>
    <w:rsid w:val="00BF6FC6"/>
    <w:rsid w:val="00BF7C52"/>
    <w:rsid w:val="00BF7D44"/>
    <w:rsid w:val="00BF7F99"/>
    <w:rsid w:val="00C00713"/>
    <w:rsid w:val="00C009A0"/>
    <w:rsid w:val="00C01F74"/>
    <w:rsid w:val="00C02558"/>
    <w:rsid w:val="00C0285F"/>
    <w:rsid w:val="00C02A1D"/>
    <w:rsid w:val="00C02F35"/>
    <w:rsid w:val="00C0304B"/>
    <w:rsid w:val="00C03305"/>
    <w:rsid w:val="00C03515"/>
    <w:rsid w:val="00C03738"/>
    <w:rsid w:val="00C037A6"/>
    <w:rsid w:val="00C039F8"/>
    <w:rsid w:val="00C043F5"/>
    <w:rsid w:val="00C044E3"/>
    <w:rsid w:val="00C04607"/>
    <w:rsid w:val="00C04BDB"/>
    <w:rsid w:val="00C052C6"/>
    <w:rsid w:val="00C0594D"/>
    <w:rsid w:val="00C05A61"/>
    <w:rsid w:val="00C05AD5"/>
    <w:rsid w:val="00C05FEE"/>
    <w:rsid w:val="00C06CCF"/>
    <w:rsid w:val="00C0794D"/>
    <w:rsid w:val="00C10B33"/>
    <w:rsid w:val="00C10E78"/>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A84"/>
    <w:rsid w:val="00C17D24"/>
    <w:rsid w:val="00C2082C"/>
    <w:rsid w:val="00C20CC6"/>
    <w:rsid w:val="00C20E1E"/>
    <w:rsid w:val="00C20EB0"/>
    <w:rsid w:val="00C21004"/>
    <w:rsid w:val="00C21005"/>
    <w:rsid w:val="00C2136E"/>
    <w:rsid w:val="00C220B6"/>
    <w:rsid w:val="00C2287E"/>
    <w:rsid w:val="00C22D7C"/>
    <w:rsid w:val="00C22DDE"/>
    <w:rsid w:val="00C2338B"/>
    <w:rsid w:val="00C233CE"/>
    <w:rsid w:val="00C237DD"/>
    <w:rsid w:val="00C238F4"/>
    <w:rsid w:val="00C23A99"/>
    <w:rsid w:val="00C23FBF"/>
    <w:rsid w:val="00C245EE"/>
    <w:rsid w:val="00C24AE1"/>
    <w:rsid w:val="00C24B8D"/>
    <w:rsid w:val="00C24BD7"/>
    <w:rsid w:val="00C25813"/>
    <w:rsid w:val="00C26D76"/>
    <w:rsid w:val="00C27143"/>
    <w:rsid w:val="00C272CE"/>
    <w:rsid w:val="00C27490"/>
    <w:rsid w:val="00C27712"/>
    <w:rsid w:val="00C27D37"/>
    <w:rsid w:val="00C309E8"/>
    <w:rsid w:val="00C32017"/>
    <w:rsid w:val="00C32571"/>
    <w:rsid w:val="00C325CD"/>
    <w:rsid w:val="00C3322E"/>
    <w:rsid w:val="00C33333"/>
    <w:rsid w:val="00C337F5"/>
    <w:rsid w:val="00C33B90"/>
    <w:rsid w:val="00C34161"/>
    <w:rsid w:val="00C34B5F"/>
    <w:rsid w:val="00C358D4"/>
    <w:rsid w:val="00C36462"/>
    <w:rsid w:val="00C365C6"/>
    <w:rsid w:val="00C366F4"/>
    <w:rsid w:val="00C36785"/>
    <w:rsid w:val="00C3711C"/>
    <w:rsid w:val="00C37256"/>
    <w:rsid w:val="00C3729C"/>
    <w:rsid w:val="00C37A7B"/>
    <w:rsid w:val="00C37FAA"/>
    <w:rsid w:val="00C37FFE"/>
    <w:rsid w:val="00C40B50"/>
    <w:rsid w:val="00C419E3"/>
    <w:rsid w:val="00C419F4"/>
    <w:rsid w:val="00C41E6A"/>
    <w:rsid w:val="00C42247"/>
    <w:rsid w:val="00C439BE"/>
    <w:rsid w:val="00C44622"/>
    <w:rsid w:val="00C4494B"/>
    <w:rsid w:val="00C4539B"/>
    <w:rsid w:val="00C45466"/>
    <w:rsid w:val="00C455C1"/>
    <w:rsid w:val="00C4581D"/>
    <w:rsid w:val="00C47472"/>
    <w:rsid w:val="00C500F0"/>
    <w:rsid w:val="00C504A7"/>
    <w:rsid w:val="00C506C9"/>
    <w:rsid w:val="00C50A16"/>
    <w:rsid w:val="00C50AFD"/>
    <w:rsid w:val="00C51C9A"/>
    <w:rsid w:val="00C52C68"/>
    <w:rsid w:val="00C52D98"/>
    <w:rsid w:val="00C52DA1"/>
    <w:rsid w:val="00C533F2"/>
    <w:rsid w:val="00C53D24"/>
    <w:rsid w:val="00C54640"/>
    <w:rsid w:val="00C547A6"/>
    <w:rsid w:val="00C5485B"/>
    <w:rsid w:val="00C54A3A"/>
    <w:rsid w:val="00C55B52"/>
    <w:rsid w:val="00C55C32"/>
    <w:rsid w:val="00C56976"/>
    <w:rsid w:val="00C56A67"/>
    <w:rsid w:val="00C56CC2"/>
    <w:rsid w:val="00C57498"/>
    <w:rsid w:val="00C5763C"/>
    <w:rsid w:val="00C57724"/>
    <w:rsid w:val="00C5780C"/>
    <w:rsid w:val="00C5796B"/>
    <w:rsid w:val="00C60750"/>
    <w:rsid w:val="00C612C4"/>
    <w:rsid w:val="00C619A1"/>
    <w:rsid w:val="00C62370"/>
    <w:rsid w:val="00C62BBB"/>
    <w:rsid w:val="00C6305F"/>
    <w:rsid w:val="00C6325B"/>
    <w:rsid w:val="00C63E99"/>
    <w:rsid w:val="00C649B8"/>
    <w:rsid w:val="00C64A64"/>
    <w:rsid w:val="00C65151"/>
    <w:rsid w:val="00C657F4"/>
    <w:rsid w:val="00C6598D"/>
    <w:rsid w:val="00C660FE"/>
    <w:rsid w:val="00C66119"/>
    <w:rsid w:val="00C66292"/>
    <w:rsid w:val="00C66D0A"/>
    <w:rsid w:val="00C66F21"/>
    <w:rsid w:val="00C672A3"/>
    <w:rsid w:val="00C672F1"/>
    <w:rsid w:val="00C673D0"/>
    <w:rsid w:val="00C6742E"/>
    <w:rsid w:val="00C679D9"/>
    <w:rsid w:val="00C67B0B"/>
    <w:rsid w:val="00C70012"/>
    <w:rsid w:val="00C70637"/>
    <w:rsid w:val="00C708AA"/>
    <w:rsid w:val="00C70E6F"/>
    <w:rsid w:val="00C71E2A"/>
    <w:rsid w:val="00C733BA"/>
    <w:rsid w:val="00C7462C"/>
    <w:rsid w:val="00C75110"/>
    <w:rsid w:val="00C7595C"/>
    <w:rsid w:val="00C760DC"/>
    <w:rsid w:val="00C767CD"/>
    <w:rsid w:val="00C76D66"/>
    <w:rsid w:val="00C8082B"/>
    <w:rsid w:val="00C81164"/>
    <w:rsid w:val="00C81A88"/>
    <w:rsid w:val="00C81AE5"/>
    <w:rsid w:val="00C81D46"/>
    <w:rsid w:val="00C82298"/>
    <w:rsid w:val="00C833B4"/>
    <w:rsid w:val="00C84284"/>
    <w:rsid w:val="00C84E33"/>
    <w:rsid w:val="00C85D99"/>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DD4"/>
    <w:rsid w:val="00C93765"/>
    <w:rsid w:val="00C93877"/>
    <w:rsid w:val="00C93D8C"/>
    <w:rsid w:val="00C93E07"/>
    <w:rsid w:val="00C946CC"/>
    <w:rsid w:val="00C94D3B"/>
    <w:rsid w:val="00C959BD"/>
    <w:rsid w:val="00C95DFE"/>
    <w:rsid w:val="00C95E71"/>
    <w:rsid w:val="00C95F44"/>
    <w:rsid w:val="00C96D1B"/>
    <w:rsid w:val="00C97106"/>
    <w:rsid w:val="00C978D4"/>
    <w:rsid w:val="00CA0031"/>
    <w:rsid w:val="00CA0413"/>
    <w:rsid w:val="00CA043A"/>
    <w:rsid w:val="00CA0E51"/>
    <w:rsid w:val="00CA1691"/>
    <w:rsid w:val="00CA1B45"/>
    <w:rsid w:val="00CA2738"/>
    <w:rsid w:val="00CA2D2E"/>
    <w:rsid w:val="00CA41E7"/>
    <w:rsid w:val="00CA4A99"/>
    <w:rsid w:val="00CA5520"/>
    <w:rsid w:val="00CA5812"/>
    <w:rsid w:val="00CA5BD4"/>
    <w:rsid w:val="00CA5C14"/>
    <w:rsid w:val="00CA7500"/>
    <w:rsid w:val="00CA76FC"/>
    <w:rsid w:val="00CA7E7B"/>
    <w:rsid w:val="00CB0236"/>
    <w:rsid w:val="00CB0DC1"/>
    <w:rsid w:val="00CB144F"/>
    <w:rsid w:val="00CB1969"/>
    <w:rsid w:val="00CB19E3"/>
    <w:rsid w:val="00CB2C3A"/>
    <w:rsid w:val="00CB2D38"/>
    <w:rsid w:val="00CB4137"/>
    <w:rsid w:val="00CB4A21"/>
    <w:rsid w:val="00CB4A29"/>
    <w:rsid w:val="00CB52D0"/>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1ED2"/>
    <w:rsid w:val="00CC21AC"/>
    <w:rsid w:val="00CC232E"/>
    <w:rsid w:val="00CC2514"/>
    <w:rsid w:val="00CC2B1A"/>
    <w:rsid w:val="00CC2D34"/>
    <w:rsid w:val="00CC2F69"/>
    <w:rsid w:val="00CC315F"/>
    <w:rsid w:val="00CC3D38"/>
    <w:rsid w:val="00CC40C3"/>
    <w:rsid w:val="00CC4E5D"/>
    <w:rsid w:val="00CC50AE"/>
    <w:rsid w:val="00CC5F2C"/>
    <w:rsid w:val="00CC5FFE"/>
    <w:rsid w:val="00CC61B7"/>
    <w:rsid w:val="00CC61CA"/>
    <w:rsid w:val="00CC64DE"/>
    <w:rsid w:val="00CC69EC"/>
    <w:rsid w:val="00CC6DF1"/>
    <w:rsid w:val="00CC71D3"/>
    <w:rsid w:val="00CC743D"/>
    <w:rsid w:val="00CC7A62"/>
    <w:rsid w:val="00CD050A"/>
    <w:rsid w:val="00CD1017"/>
    <w:rsid w:val="00CD205D"/>
    <w:rsid w:val="00CD2A22"/>
    <w:rsid w:val="00CD2B50"/>
    <w:rsid w:val="00CD2FD9"/>
    <w:rsid w:val="00CD3172"/>
    <w:rsid w:val="00CD3EDA"/>
    <w:rsid w:val="00CD4357"/>
    <w:rsid w:val="00CD43B3"/>
    <w:rsid w:val="00CD4506"/>
    <w:rsid w:val="00CD45A4"/>
    <w:rsid w:val="00CD520B"/>
    <w:rsid w:val="00CD592E"/>
    <w:rsid w:val="00CD5982"/>
    <w:rsid w:val="00CD5A1A"/>
    <w:rsid w:val="00CD6988"/>
    <w:rsid w:val="00CD7EFA"/>
    <w:rsid w:val="00CE020E"/>
    <w:rsid w:val="00CE0566"/>
    <w:rsid w:val="00CE0E1C"/>
    <w:rsid w:val="00CE1384"/>
    <w:rsid w:val="00CE1CD4"/>
    <w:rsid w:val="00CE207C"/>
    <w:rsid w:val="00CE2761"/>
    <w:rsid w:val="00CE28FC"/>
    <w:rsid w:val="00CE314E"/>
    <w:rsid w:val="00CE3D5C"/>
    <w:rsid w:val="00CE3E09"/>
    <w:rsid w:val="00CE3E14"/>
    <w:rsid w:val="00CE44C7"/>
    <w:rsid w:val="00CE53CC"/>
    <w:rsid w:val="00CE559D"/>
    <w:rsid w:val="00CE6103"/>
    <w:rsid w:val="00CE65A7"/>
    <w:rsid w:val="00CE68FE"/>
    <w:rsid w:val="00CE69CC"/>
    <w:rsid w:val="00CE6EC4"/>
    <w:rsid w:val="00CE7F26"/>
    <w:rsid w:val="00CF0A8D"/>
    <w:rsid w:val="00CF1226"/>
    <w:rsid w:val="00CF1ABB"/>
    <w:rsid w:val="00CF1E1D"/>
    <w:rsid w:val="00CF23A0"/>
    <w:rsid w:val="00CF24FE"/>
    <w:rsid w:val="00CF287F"/>
    <w:rsid w:val="00CF35D0"/>
    <w:rsid w:val="00CF3B57"/>
    <w:rsid w:val="00CF3DD5"/>
    <w:rsid w:val="00CF481B"/>
    <w:rsid w:val="00CF4AF7"/>
    <w:rsid w:val="00CF4D20"/>
    <w:rsid w:val="00CF73F8"/>
    <w:rsid w:val="00CF75C1"/>
    <w:rsid w:val="00CF7928"/>
    <w:rsid w:val="00CF7CA2"/>
    <w:rsid w:val="00D004F6"/>
    <w:rsid w:val="00D00684"/>
    <w:rsid w:val="00D00911"/>
    <w:rsid w:val="00D00A8E"/>
    <w:rsid w:val="00D00DE0"/>
    <w:rsid w:val="00D00F79"/>
    <w:rsid w:val="00D012BF"/>
    <w:rsid w:val="00D01760"/>
    <w:rsid w:val="00D0254E"/>
    <w:rsid w:val="00D030BD"/>
    <w:rsid w:val="00D0368E"/>
    <w:rsid w:val="00D0393E"/>
    <w:rsid w:val="00D03AC3"/>
    <w:rsid w:val="00D03D2D"/>
    <w:rsid w:val="00D03E7B"/>
    <w:rsid w:val="00D0401A"/>
    <w:rsid w:val="00D0469C"/>
    <w:rsid w:val="00D046C1"/>
    <w:rsid w:val="00D047E0"/>
    <w:rsid w:val="00D04B9F"/>
    <w:rsid w:val="00D04E8D"/>
    <w:rsid w:val="00D04FFB"/>
    <w:rsid w:val="00D055FE"/>
    <w:rsid w:val="00D05800"/>
    <w:rsid w:val="00D058E9"/>
    <w:rsid w:val="00D0612A"/>
    <w:rsid w:val="00D06E6B"/>
    <w:rsid w:val="00D07315"/>
    <w:rsid w:val="00D1060D"/>
    <w:rsid w:val="00D10E7C"/>
    <w:rsid w:val="00D11182"/>
    <w:rsid w:val="00D1137B"/>
    <w:rsid w:val="00D11807"/>
    <w:rsid w:val="00D11DB3"/>
    <w:rsid w:val="00D12D82"/>
    <w:rsid w:val="00D12F77"/>
    <w:rsid w:val="00D1306E"/>
    <w:rsid w:val="00D134CD"/>
    <w:rsid w:val="00D14B5F"/>
    <w:rsid w:val="00D14E13"/>
    <w:rsid w:val="00D14F2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2F86"/>
    <w:rsid w:val="00D2477B"/>
    <w:rsid w:val="00D2522A"/>
    <w:rsid w:val="00D2531C"/>
    <w:rsid w:val="00D2553E"/>
    <w:rsid w:val="00D25CFA"/>
    <w:rsid w:val="00D2742F"/>
    <w:rsid w:val="00D2754F"/>
    <w:rsid w:val="00D277C5"/>
    <w:rsid w:val="00D279D9"/>
    <w:rsid w:val="00D312DC"/>
    <w:rsid w:val="00D31B84"/>
    <w:rsid w:val="00D31C6A"/>
    <w:rsid w:val="00D31EDF"/>
    <w:rsid w:val="00D31F0A"/>
    <w:rsid w:val="00D31FF9"/>
    <w:rsid w:val="00D32149"/>
    <w:rsid w:val="00D32256"/>
    <w:rsid w:val="00D32634"/>
    <w:rsid w:val="00D32A27"/>
    <w:rsid w:val="00D32ABC"/>
    <w:rsid w:val="00D33FA4"/>
    <w:rsid w:val="00D34B25"/>
    <w:rsid w:val="00D34F4E"/>
    <w:rsid w:val="00D357F3"/>
    <w:rsid w:val="00D357FA"/>
    <w:rsid w:val="00D35C0E"/>
    <w:rsid w:val="00D36379"/>
    <w:rsid w:val="00D373A8"/>
    <w:rsid w:val="00D379A5"/>
    <w:rsid w:val="00D401BE"/>
    <w:rsid w:val="00D4043A"/>
    <w:rsid w:val="00D40DB0"/>
    <w:rsid w:val="00D41093"/>
    <w:rsid w:val="00D410DC"/>
    <w:rsid w:val="00D416D5"/>
    <w:rsid w:val="00D41858"/>
    <w:rsid w:val="00D422DB"/>
    <w:rsid w:val="00D42303"/>
    <w:rsid w:val="00D42314"/>
    <w:rsid w:val="00D42AC2"/>
    <w:rsid w:val="00D44498"/>
    <w:rsid w:val="00D4498E"/>
    <w:rsid w:val="00D4515F"/>
    <w:rsid w:val="00D451E8"/>
    <w:rsid w:val="00D45A47"/>
    <w:rsid w:val="00D46185"/>
    <w:rsid w:val="00D466C9"/>
    <w:rsid w:val="00D47275"/>
    <w:rsid w:val="00D50689"/>
    <w:rsid w:val="00D51064"/>
    <w:rsid w:val="00D517F6"/>
    <w:rsid w:val="00D51E15"/>
    <w:rsid w:val="00D5210F"/>
    <w:rsid w:val="00D52B7E"/>
    <w:rsid w:val="00D52E2F"/>
    <w:rsid w:val="00D52F59"/>
    <w:rsid w:val="00D53445"/>
    <w:rsid w:val="00D53DD0"/>
    <w:rsid w:val="00D53E3E"/>
    <w:rsid w:val="00D54620"/>
    <w:rsid w:val="00D54FEE"/>
    <w:rsid w:val="00D55904"/>
    <w:rsid w:val="00D5616F"/>
    <w:rsid w:val="00D565EE"/>
    <w:rsid w:val="00D57940"/>
    <w:rsid w:val="00D60327"/>
    <w:rsid w:val="00D60EE8"/>
    <w:rsid w:val="00D61116"/>
    <w:rsid w:val="00D61384"/>
    <w:rsid w:val="00D61526"/>
    <w:rsid w:val="00D61F81"/>
    <w:rsid w:val="00D6276C"/>
    <w:rsid w:val="00D62BE6"/>
    <w:rsid w:val="00D63766"/>
    <w:rsid w:val="00D63912"/>
    <w:rsid w:val="00D63923"/>
    <w:rsid w:val="00D6451B"/>
    <w:rsid w:val="00D64B57"/>
    <w:rsid w:val="00D651A1"/>
    <w:rsid w:val="00D65DEA"/>
    <w:rsid w:val="00D66579"/>
    <w:rsid w:val="00D66953"/>
    <w:rsid w:val="00D676D3"/>
    <w:rsid w:val="00D67B06"/>
    <w:rsid w:val="00D67BC7"/>
    <w:rsid w:val="00D67DAF"/>
    <w:rsid w:val="00D701F1"/>
    <w:rsid w:val="00D705D3"/>
    <w:rsid w:val="00D70E00"/>
    <w:rsid w:val="00D70F7C"/>
    <w:rsid w:val="00D715AC"/>
    <w:rsid w:val="00D71851"/>
    <w:rsid w:val="00D718CF"/>
    <w:rsid w:val="00D71A81"/>
    <w:rsid w:val="00D71ACF"/>
    <w:rsid w:val="00D71EE6"/>
    <w:rsid w:val="00D728F5"/>
    <w:rsid w:val="00D72E9D"/>
    <w:rsid w:val="00D73249"/>
    <w:rsid w:val="00D73419"/>
    <w:rsid w:val="00D73CA9"/>
    <w:rsid w:val="00D751B7"/>
    <w:rsid w:val="00D7524B"/>
    <w:rsid w:val="00D75396"/>
    <w:rsid w:val="00D759C0"/>
    <w:rsid w:val="00D75E17"/>
    <w:rsid w:val="00D75E99"/>
    <w:rsid w:val="00D765CE"/>
    <w:rsid w:val="00D766C7"/>
    <w:rsid w:val="00D76901"/>
    <w:rsid w:val="00D7692B"/>
    <w:rsid w:val="00D7734F"/>
    <w:rsid w:val="00D8044C"/>
    <w:rsid w:val="00D805D6"/>
    <w:rsid w:val="00D8075E"/>
    <w:rsid w:val="00D80860"/>
    <w:rsid w:val="00D80D4C"/>
    <w:rsid w:val="00D8184D"/>
    <w:rsid w:val="00D81A7B"/>
    <w:rsid w:val="00D8223C"/>
    <w:rsid w:val="00D82B57"/>
    <w:rsid w:val="00D82CE5"/>
    <w:rsid w:val="00D8318E"/>
    <w:rsid w:val="00D831E3"/>
    <w:rsid w:val="00D8342C"/>
    <w:rsid w:val="00D85494"/>
    <w:rsid w:val="00D8582C"/>
    <w:rsid w:val="00D858B1"/>
    <w:rsid w:val="00D85D61"/>
    <w:rsid w:val="00D8616D"/>
    <w:rsid w:val="00D86363"/>
    <w:rsid w:val="00D8641F"/>
    <w:rsid w:val="00D866CA"/>
    <w:rsid w:val="00D8689D"/>
    <w:rsid w:val="00D869B7"/>
    <w:rsid w:val="00D8711B"/>
    <w:rsid w:val="00D87384"/>
    <w:rsid w:val="00D87AE8"/>
    <w:rsid w:val="00D9052A"/>
    <w:rsid w:val="00D90683"/>
    <w:rsid w:val="00D90B2A"/>
    <w:rsid w:val="00D91391"/>
    <w:rsid w:val="00D91483"/>
    <w:rsid w:val="00D915C8"/>
    <w:rsid w:val="00D9310B"/>
    <w:rsid w:val="00D931F3"/>
    <w:rsid w:val="00D93726"/>
    <w:rsid w:val="00D93F3E"/>
    <w:rsid w:val="00D9405B"/>
    <w:rsid w:val="00D94942"/>
    <w:rsid w:val="00D95145"/>
    <w:rsid w:val="00D951DA"/>
    <w:rsid w:val="00D95360"/>
    <w:rsid w:val="00D96594"/>
    <w:rsid w:val="00D967CB"/>
    <w:rsid w:val="00D968D4"/>
    <w:rsid w:val="00D96EE0"/>
    <w:rsid w:val="00D97ACE"/>
    <w:rsid w:val="00D97BD1"/>
    <w:rsid w:val="00D97DAD"/>
    <w:rsid w:val="00DA06B8"/>
    <w:rsid w:val="00DA14A9"/>
    <w:rsid w:val="00DA2862"/>
    <w:rsid w:val="00DA286D"/>
    <w:rsid w:val="00DA2969"/>
    <w:rsid w:val="00DA29B7"/>
    <w:rsid w:val="00DA337C"/>
    <w:rsid w:val="00DA385C"/>
    <w:rsid w:val="00DA39B1"/>
    <w:rsid w:val="00DA4842"/>
    <w:rsid w:val="00DA4B69"/>
    <w:rsid w:val="00DA4C5A"/>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3DD"/>
    <w:rsid w:val="00DB3165"/>
    <w:rsid w:val="00DB4292"/>
    <w:rsid w:val="00DB5023"/>
    <w:rsid w:val="00DB629E"/>
    <w:rsid w:val="00DB6381"/>
    <w:rsid w:val="00DB6E46"/>
    <w:rsid w:val="00DB7117"/>
    <w:rsid w:val="00DB7760"/>
    <w:rsid w:val="00DB7DD4"/>
    <w:rsid w:val="00DC00B4"/>
    <w:rsid w:val="00DC0954"/>
    <w:rsid w:val="00DC0DF8"/>
    <w:rsid w:val="00DC15BA"/>
    <w:rsid w:val="00DC18CD"/>
    <w:rsid w:val="00DC1A68"/>
    <w:rsid w:val="00DC1E82"/>
    <w:rsid w:val="00DC30B8"/>
    <w:rsid w:val="00DC478F"/>
    <w:rsid w:val="00DC62E5"/>
    <w:rsid w:val="00DC6D70"/>
    <w:rsid w:val="00DC6F33"/>
    <w:rsid w:val="00DC7349"/>
    <w:rsid w:val="00DD09B4"/>
    <w:rsid w:val="00DD14D8"/>
    <w:rsid w:val="00DD1599"/>
    <w:rsid w:val="00DD1B03"/>
    <w:rsid w:val="00DD1E43"/>
    <w:rsid w:val="00DD2A62"/>
    <w:rsid w:val="00DD2C78"/>
    <w:rsid w:val="00DD2F2F"/>
    <w:rsid w:val="00DD2F7A"/>
    <w:rsid w:val="00DD3885"/>
    <w:rsid w:val="00DD5808"/>
    <w:rsid w:val="00DD5946"/>
    <w:rsid w:val="00DD5B04"/>
    <w:rsid w:val="00DD5DAE"/>
    <w:rsid w:val="00DD5EC6"/>
    <w:rsid w:val="00DD605F"/>
    <w:rsid w:val="00DD6141"/>
    <w:rsid w:val="00DD72A0"/>
    <w:rsid w:val="00DD735D"/>
    <w:rsid w:val="00DE0159"/>
    <w:rsid w:val="00DE064A"/>
    <w:rsid w:val="00DE082D"/>
    <w:rsid w:val="00DE1410"/>
    <w:rsid w:val="00DE14A6"/>
    <w:rsid w:val="00DE20C6"/>
    <w:rsid w:val="00DE3119"/>
    <w:rsid w:val="00DE3FF0"/>
    <w:rsid w:val="00DE4105"/>
    <w:rsid w:val="00DE41C4"/>
    <w:rsid w:val="00DE5189"/>
    <w:rsid w:val="00DE7108"/>
    <w:rsid w:val="00DE78D1"/>
    <w:rsid w:val="00DE78FF"/>
    <w:rsid w:val="00DF0263"/>
    <w:rsid w:val="00DF084C"/>
    <w:rsid w:val="00DF0EB4"/>
    <w:rsid w:val="00DF158B"/>
    <w:rsid w:val="00DF193C"/>
    <w:rsid w:val="00DF1D63"/>
    <w:rsid w:val="00DF1E36"/>
    <w:rsid w:val="00DF236B"/>
    <w:rsid w:val="00DF2919"/>
    <w:rsid w:val="00DF2A91"/>
    <w:rsid w:val="00DF3889"/>
    <w:rsid w:val="00DF3CC9"/>
    <w:rsid w:val="00DF4451"/>
    <w:rsid w:val="00DF49FF"/>
    <w:rsid w:val="00DF4FFB"/>
    <w:rsid w:val="00DF5015"/>
    <w:rsid w:val="00DF5236"/>
    <w:rsid w:val="00DF651F"/>
    <w:rsid w:val="00DF6CCA"/>
    <w:rsid w:val="00DF6F43"/>
    <w:rsid w:val="00DF752F"/>
    <w:rsid w:val="00DF76A2"/>
    <w:rsid w:val="00DF7B87"/>
    <w:rsid w:val="00E00B7A"/>
    <w:rsid w:val="00E01FDD"/>
    <w:rsid w:val="00E02186"/>
    <w:rsid w:val="00E023E5"/>
    <w:rsid w:val="00E026BB"/>
    <w:rsid w:val="00E027C5"/>
    <w:rsid w:val="00E03124"/>
    <w:rsid w:val="00E031C3"/>
    <w:rsid w:val="00E03951"/>
    <w:rsid w:val="00E03DB8"/>
    <w:rsid w:val="00E03F17"/>
    <w:rsid w:val="00E0420C"/>
    <w:rsid w:val="00E04230"/>
    <w:rsid w:val="00E04EDD"/>
    <w:rsid w:val="00E055C2"/>
    <w:rsid w:val="00E05E70"/>
    <w:rsid w:val="00E064BC"/>
    <w:rsid w:val="00E065C9"/>
    <w:rsid w:val="00E07225"/>
    <w:rsid w:val="00E076B4"/>
    <w:rsid w:val="00E07B55"/>
    <w:rsid w:val="00E10579"/>
    <w:rsid w:val="00E109DD"/>
    <w:rsid w:val="00E11229"/>
    <w:rsid w:val="00E114CA"/>
    <w:rsid w:val="00E11FE2"/>
    <w:rsid w:val="00E12789"/>
    <w:rsid w:val="00E1397F"/>
    <w:rsid w:val="00E13AB8"/>
    <w:rsid w:val="00E1482E"/>
    <w:rsid w:val="00E153AE"/>
    <w:rsid w:val="00E15AB1"/>
    <w:rsid w:val="00E16382"/>
    <w:rsid w:val="00E1699C"/>
    <w:rsid w:val="00E16E75"/>
    <w:rsid w:val="00E1714E"/>
    <w:rsid w:val="00E1746D"/>
    <w:rsid w:val="00E2012A"/>
    <w:rsid w:val="00E205A2"/>
    <w:rsid w:val="00E20BA4"/>
    <w:rsid w:val="00E21C48"/>
    <w:rsid w:val="00E22041"/>
    <w:rsid w:val="00E22053"/>
    <w:rsid w:val="00E2302A"/>
    <w:rsid w:val="00E23137"/>
    <w:rsid w:val="00E23980"/>
    <w:rsid w:val="00E241E9"/>
    <w:rsid w:val="00E24A16"/>
    <w:rsid w:val="00E257C3"/>
    <w:rsid w:val="00E25CB3"/>
    <w:rsid w:val="00E25DA4"/>
    <w:rsid w:val="00E26237"/>
    <w:rsid w:val="00E26C70"/>
    <w:rsid w:val="00E26CB8"/>
    <w:rsid w:val="00E26D16"/>
    <w:rsid w:val="00E26FCF"/>
    <w:rsid w:val="00E27165"/>
    <w:rsid w:val="00E275D9"/>
    <w:rsid w:val="00E27801"/>
    <w:rsid w:val="00E27988"/>
    <w:rsid w:val="00E3044A"/>
    <w:rsid w:val="00E305F4"/>
    <w:rsid w:val="00E30E49"/>
    <w:rsid w:val="00E3174A"/>
    <w:rsid w:val="00E31A4A"/>
    <w:rsid w:val="00E3344A"/>
    <w:rsid w:val="00E33B29"/>
    <w:rsid w:val="00E33B62"/>
    <w:rsid w:val="00E3403D"/>
    <w:rsid w:val="00E344BD"/>
    <w:rsid w:val="00E34E6C"/>
    <w:rsid w:val="00E353E2"/>
    <w:rsid w:val="00E36345"/>
    <w:rsid w:val="00E368BD"/>
    <w:rsid w:val="00E36C86"/>
    <w:rsid w:val="00E36CEB"/>
    <w:rsid w:val="00E37387"/>
    <w:rsid w:val="00E37A28"/>
    <w:rsid w:val="00E40430"/>
    <w:rsid w:val="00E40690"/>
    <w:rsid w:val="00E40AEB"/>
    <w:rsid w:val="00E40B4D"/>
    <w:rsid w:val="00E4143A"/>
    <w:rsid w:val="00E424C8"/>
    <w:rsid w:val="00E4251D"/>
    <w:rsid w:val="00E437CE"/>
    <w:rsid w:val="00E43D00"/>
    <w:rsid w:val="00E443B4"/>
    <w:rsid w:val="00E445E4"/>
    <w:rsid w:val="00E457CB"/>
    <w:rsid w:val="00E45D47"/>
    <w:rsid w:val="00E45DE4"/>
    <w:rsid w:val="00E45E63"/>
    <w:rsid w:val="00E462F0"/>
    <w:rsid w:val="00E46BBC"/>
    <w:rsid w:val="00E4759C"/>
    <w:rsid w:val="00E50A7B"/>
    <w:rsid w:val="00E50B0B"/>
    <w:rsid w:val="00E510FE"/>
    <w:rsid w:val="00E51129"/>
    <w:rsid w:val="00E516C7"/>
    <w:rsid w:val="00E51E25"/>
    <w:rsid w:val="00E5205B"/>
    <w:rsid w:val="00E521AE"/>
    <w:rsid w:val="00E52212"/>
    <w:rsid w:val="00E529A3"/>
    <w:rsid w:val="00E52CE7"/>
    <w:rsid w:val="00E53A21"/>
    <w:rsid w:val="00E53BCA"/>
    <w:rsid w:val="00E53DE2"/>
    <w:rsid w:val="00E53F02"/>
    <w:rsid w:val="00E54534"/>
    <w:rsid w:val="00E548C3"/>
    <w:rsid w:val="00E54C5A"/>
    <w:rsid w:val="00E54F27"/>
    <w:rsid w:val="00E5525E"/>
    <w:rsid w:val="00E55E1C"/>
    <w:rsid w:val="00E55FF1"/>
    <w:rsid w:val="00E56090"/>
    <w:rsid w:val="00E565B9"/>
    <w:rsid w:val="00E56CF4"/>
    <w:rsid w:val="00E56E7B"/>
    <w:rsid w:val="00E5733B"/>
    <w:rsid w:val="00E5756C"/>
    <w:rsid w:val="00E57811"/>
    <w:rsid w:val="00E5798B"/>
    <w:rsid w:val="00E601BE"/>
    <w:rsid w:val="00E60B5F"/>
    <w:rsid w:val="00E613AE"/>
    <w:rsid w:val="00E61429"/>
    <w:rsid w:val="00E61ABB"/>
    <w:rsid w:val="00E61FD7"/>
    <w:rsid w:val="00E620B6"/>
    <w:rsid w:val="00E62103"/>
    <w:rsid w:val="00E623E6"/>
    <w:rsid w:val="00E630C0"/>
    <w:rsid w:val="00E63107"/>
    <w:rsid w:val="00E6312C"/>
    <w:rsid w:val="00E634E6"/>
    <w:rsid w:val="00E63DCE"/>
    <w:rsid w:val="00E6453E"/>
    <w:rsid w:val="00E64700"/>
    <w:rsid w:val="00E64854"/>
    <w:rsid w:val="00E64F45"/>
    <w:rsid w:val="00E65074"/>
    <w:rsid w:val="00E6526E"/>
    <w:rsid w:val="00E65E70"/>
    <w:rsid w:val="00E66087"/>
    <w:rsid w:val="00E66A24"/>
    <w:rsid w:val="00E66D79"/>
    <w:rsid w:val="00E66FF9"/>
    <w:rsid w:val="00E6706F"/>
    <w:rsid w:val="00E67856"/>
    <w:rsid w:val="00E679C8"/>
    <w:rsid w:val="00E70314"/>
    <w:rsid w:val="00E724E7"/>
    <w:rsid w:val="00E72B41"/>
    <w:rsid w:val="00E7347B"/>
    <w:rsid w:val="00E73792"/>
    <w:rsid w:val="00E73D03"/>
    <w:rsid w:val="00E74040"/>
    <w:rsid w:val="00E7471C"/>
    <w:rsid w:val="00E7498A"/>
    <w:rsid w:val="00E7514E"/>
    <w:rsid w:val="00E76537"/>
    <w:rsid w:val="00E76626"/>
    <w:rsid w:val="00E77784"/>
    <w:rsid w:val="00E77937"/>
    <w:rsid w:val="00E77AF5"/>
    <w:rsid w:val="00E81925"/>
    <w:rsid w:val="00E823F9"/>
    <w:rsid w:val="00E82C1F"/>
    <w:rsid w:val="00E83671"/>
    <w:rsid w:val="00E8406E"/>
    <w:rsid w:val="00E840EE"/>
    <w:rsid w:val="00E8416F"/>
    <w:rsid w:val="00E84A71"/>
    <w:rsid w:val="00E85170"/>
    <w:rsid w:val="00E86556"/>
    <w:rsid w:val="00E86D35"/>
    <w:rsid w:val="00E86DC2"/>
    <w:rsid w:val="00E86E32"/>
    <w:rsid w:val="00E86F2E"/>
    <w:rsid w:val="00E8732E"/>
    <w:rsid w:val="00E8744A"/>
    <w:rsid w:val="00E87E9C"/>
    <w:rsid w:val="00E9011F"/>
    <w:rsid w:val="00E906EB"/>
    <w:rsid w:val="00E90A66"/>
    <w:rsid w:val="00E910C8"/>
    <w:rsid w:val="00E919FB"/>
    <w:rsid w:val="00E9241E"/>
    <w:rsid w:val="00E92460"/>
    <w:rsid w:val="00E92E62"/>
    <w:rsid w:val="00E93804"/>
    <w:rsid w:val="00E9429D"/>
    <w:rsid w:val="00E94F0F"/>
    <w:rsid w:val="00E95434"/>
    <w:rsid w:val="00E95B72"/>
    <w:rsid w:val="00E96467"/>
    <w:rsid w:val="00E966DA"/>
    <w:rsid w:val="00E96948"/>
    <w:rsid w:val="00E9737B"/>
    <w:rsid w:val="00E97A3F"/>
    <w:rsid w:val="00E97F0A"/>
    <w:rsid w:val="00EA0100"/>
    <w:rsid w:val="00EA0BCE"/>
    <w:rsid w:val="00EA1155"/>
    <w:rsid w:val="00EA2744"/>
    <w:rsid w:val="00EA37B9"/>
    <w:rsid w:val="00EA39F7"/>
    <w:rsid w:val="00EA3DC2"/>
    <w:rsid w:val="00EA434E"/>
    <w:rsid w:val="00EA4757"/>
    <w:rsid w:val="00EA5037"/>
    <w:rsid w:val="00EA5051"/>
    <w:rsid w:val="00EA560B"/>
    <w:rsid w:val="00EA5669"/>
    <w:rsid w:val="00EA56A9"/>
    <w:rsid w:val="00EA5CC6"/>
    <w:rsid w:val="00EA63EF"/>
    <w:rsid w:val="00EB0A89"/>
    <w:rsid w:val="00EB1573"/>
    <w:rsid w:val="00EB1910"/>
    <w:rsid w:val="00EB2D83"/>
    <w:rsid w:val="00EB2E97"/>
    <w:rsid w:val="00EB3416"/>
    <w:rsid w:val="00EB48E9"/>
    <w:rsid w:val="00EB4AE1"/>
    <w:rsid w:val="00EB52F4"/>
    <w:rsid w:val="00EB5694"/>
    <w:rsid w:val="00EB5779"/>
    <w:rsid w:val="00EB5D2F"/>
    <w:rsid w:val="00EB66C3"/>
    <w:rsid w:val="00EB67F1"/>
    <w:rsid w:val="00EB72CD"/>
    <w:rsid w:val="00EB749A"/>
    <w:rsid w:val="00EB76B6"/>
    <w:rsid w:val="00EB7D8A"/>
    <w:rsid w:val="00EC05E2"/>
    <w:rsid w:val="00EC08AC"/>
    <w:rsid w:val="00EC0B18"/>
    <w:rsid w:val="00EC0E84"/>
    <w:rsid w:val="00EC16E2"/>
    <w:rsid w:val="00EC1CE7"/>
    <w:rsid w:val="00EC26F1"/>
    <w:rsid w:val="00EC3C94"/>
    <w:rsid w:val="00EC44DF"/>
    <w:rsid w:val="00EC4FB9"/>
    <w:rsid w:val="00EC5393"/>
    <w:rsid w:val="00EC5741"/>
    <w:rsid w:val="00EC5C42"/>
    <w:rsid w:val="00EC5DA3"/>
    <w:rsid w:val="00EC6014"/>
    <w:rsid w:val="00EC6656"/>
    <w:rsid w:val="00EC6B3E"/>
    <w:rsid w:val="00EC73DE"/>
    <w:rsid w:val="00EC7637"/>
    <w:rsid w:val="00EC7CF2"/>
    <w:rsid w:val="00ED046C"/>
    <w:rsid w:val="00ED053A"/>
    <w:rsid w:val="00ED1220"/>
    <w:rsid w:val="00ED15DF"/>
    <w:rsid w:val="00ED1F03"/>
    <w:rsid w:val="00ED24AF"/>
    <w:rsid w:val="00ED2932"/>
    <w:rsid w:val="00ED2D27"/>
    <w:rsid w:val="00ED3347"/>
    <w:rsid w:val="00ED3441"/>
    <w:rsid w:val="00ED3860"/>
    <w:rsid w:val="00ED3954"/>
    <w:rsid w:val="00ED43A2"/>
    <w:rsid w:val="00ED4862"/>
    <w:rsid w:val="00ED4967"/>
    <w:rsid w:val="00ED5140"/>
    <w:rsid w:val="00ED538C"/>
    <w:rsid w:val="00ED5771"/>
    <w:rsid w:val="00ED587F"/>
    <w:rsid w:val="00ED5964"/>
    <w:rsid w:val="00ED6147"/>
    <w:rsid w:val="00ED623F"/>
    <w:rsid w:val="00ED63A5"/>
    <w:rsid w:val="00ED6828"/>
    <w:rsid w:val="00ED69BA"/>
    <w:rsid w:val="00ED6D1A"/>
    <w:rsid w:val="00ED6D86"/>
    <w:rsid w:val="00ED72E9"/>
    <w:rsid w:val="00ED732E"/>
    <w:rsid w:val="00ED77F0"/>
    <w:rsid w:val="00ED7C60"/>
    <w:rsid w:val="00ED7FBC"/>
    <w:rsid w:val="00EE0253"/>
    <w:rsid w:val="00EE0297"/>
    <w:rsid w:val="00EE1258"/>
    <w:rsid w:val="00EE13DA"/>
    <w:rsid w:val="00EE1668"/>
    <w:rsid w:val="00EE1EDB"/>
    <w:rsid w:val="00EE24E2"/>
    <w:rsid w:val="00EE366D"/>
    <w:rsid w:val="00EE46B0"/>
    <w:rsid w:val="00EE4BA1"/>
    <w:rsid w:val="00EE4CDF"/>
    <w:rsid w:val="00EE5454"/>
    <w:rsid w:val="00EE59B5"/>
    <w:rsid w:val="00EE5FB7"/>
    <w:rsid w:val="00EE6783"/>
    <w:rsid w:val="00EE7266"/>
    <w:rsid w:val="00EE7B54"/>
    <w:rsid w:val="00EE7C47"/>
    <w:rsid w:val="00EE7C88"/>
    <w:rsid w:val="00EE7C8B"/>
    <w:rsid w:val="00EF0209"/>
    <w:rsid w:val="00EF05C0"/>
    <w:rsid w:val="00EF0EA4"/>
    <w:rsid w:val="00EF1E97"/>
    <w:rsid w:val="00EF1FAB"/>
    <w:rsid w:val="00EF21E6"/>
    <w:rsid w:val="00EF2388"/>
    <w:rsid w:val="00EF2436"/>
    <w:rsid w:val="00EF2547"/>
    <w:rsid w:val="00EF284B"/>
    <w:rsid w:val="00EF296B"/>
    <w:rsid w:val="00EF2B2B"/>
    <w:rsid w:val="00EF2E1C"/>
    <w:rsid w:val="00EF2FD6"/>
    <w:rsid w:val="00EF326A"/>
    <w:rsid w:val="00EF3850"/>
    <w:rsid w:val="00EF38B3"/>
    <w:rsid w:val="00EF3ECF"/>
    <w:rsid w:val="00EF427A"/>
    <w:rsid w:val="00EF44B3"/>
    <w:rsid w:val="00EF45DF"/>
    <w:rsid w:val="00EF4701"/>
    <w:rsid w:val="00EF477D"/>
    <w:rsid w:val="00EF4952"/>
    <w:rsid w:val="00EF498F"/>
    <w:rsid w:val="00EF4A42"/>
    <w:rsid w:val="00EF510C"/>
    <w:rsid w:val="00EF55C4"/>
    <w:rsid w:val="00EF57BC"/>
    <w:rsid w:val="00EF6784"/>
    <w:rsid w:val="00EF688A"/>
    <w:rsid w:val="00EF6A03"/>
    <w:rsid w:val="00EF6DC2"/>
    <w:rsid w:val="00EF7506"/>
    <w:rsid w:val="00EF7BF4"/>
    <w:rsid w:val="00F0012F"/>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16"/>
    <w:rsid w:val="00F076E7"/>
    <w:rsid w:val="00F079C3"/>
    <w:rsid w:val="00F07AA1"/>
    <w:rsid w:val="00F07CCE"/>
    <w:rsid w:val="00F105AE"/>
    <w:rsid w:val="00F10618"/>
    <w:rsid w:val="00F107DF"/>
    <w:rsid w:val="00F1108B"/>
    <w:rsid w:val="00F114FA"/>
    <w:rsid w:val="00F11768"/>
    <w:rsid w:val="00F11951"/>
    <w:rsid w:val="00F12256"/>
    <w:rsid w:val="00F12262"/>
    <w:rsid w:val="00F12564"/>
    <w:rsid w:val="00F12AF8"/>
    <w:rsid w:val="00F12C52"/>
    <w:rsid w:val="00F13E62"/>
    <w:rsid w:val="00F148B7"/>
    <w:rsid w:val="00F14EA9"/>
    <w:rsid w:val="00F15505"/>
    <w:rsid w:val="00F15BFF"/>
    <w:rsid w:val="00F168A8"/>
    <w:rsid w:val="00F16E4F"/>
    <w:rsid w:val="00F17244"/>
    <w:rsid w:val="00F17500"/>
    <w:rsid w:val="00F213A0"/>
    <w:rsid w:val="00F21D54"/>
    <w:rsid w:val="00F21EF4"/>
    <w:rsid w:val="00F23113"/>
    <w:rsid w:val="00F23255"/>
    <w:rsid w:val="00F23393"/>
    <w:rsid w:val="00F23759"/>
    <w:rsid w:val="00F24644"/>
    <w:rsid w:val="00F25947"/>
    <w:rsid w:val="00F262D6"/>
    <w:rsid w:val="00F26F33"/>
    <w:rsid w:val="00F2748A"/>
    <w:rsid w:val="00F27A2B"/>
    <w:rsid w:val="00F300A8"/>
    <w:rsid w:val="00F302C6"/>
    <w:rsid w:val="00F30400"/>
    <w:rsid w:val="00F3079E"/>
    <w:rsid w:val="00F31BEF"/>
    <w:rsid w:val="00F334DB"/>
    <w:rsid w:val="00F33968"/>
    <w:rsid w:val="00F3399B"/>
    <w:rsid w:val="00F33F4B"/>
    <w:rsid w:val="00F34645"/>
    <w:rsid w:val="00F346ED"/>
    <w:rsid w:val="00F34945"/>
    <w:rsid w:val="00F34E1E"/>
    <w:rsid w:val="00F3570C"/>
    <w:rsid w:val="00F363A4"/>
    <w:rsid w:val="00F36765"/>
    <w:rsid w:val="00F368FF"/>
    <w:rsid w:val="00F37068"/>
    <w:rsid w:val="00F37D3C"/>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921"/>
    <w:rsid w:val="00F45B91"/>
    <w:rsid w:val="00F46639"/>
    <w:rsid w:val="00F46DBB"/>
    <w:rsid w:val="00F476FD"/>
    <w:rsid w:val="00F47716"/>
    <w:rsid w:val="00F50183"/>
    <w:rsid w:val="00F50D92"/>
    <w:rsid w:val="00F5160A"/>
    <w:rsid w:val="00F51765"/>
    <w:rsid w:val="00F51A51"/>
    <w:rsid w:val="00F51BC6"/>
    <w:rsid w:val="00F51CB4"/>
    <w:rsid w:val="00F52324"/>
    <w:rsid w:val="00F52950"/>
    <w:rsid w:val="00F52C9D"/>
    <w:rsid w:val="00F533F1"/>
    <w:rsid w:val="00F55679"/>
    <w:rsid w:val="00F561E3"/>
    <w:rsid w:val="00F565E6"/>
    <w:rsid w:val="00F567F4"/>
    <w:rsid w:val="00F56AFA"/>
    <w:rsid w:val="00F575E2"/>
    <w:rsid w:val="00F579FF"/>
    <w:rsid w:val="00F600E0"/>
    <w:rsid w:val="00F605EC"/>
    <w:rsid w:val="00F60F60"/>
    <w:rsid w:val="00F612CE"/>
    <w:rsid w:val="00F6133C"/>
    <w:rsid w:val="00F623D7"/>
    <w:rsid w:val="00F624A7"/>
    <w:rsid w:val="00F62AB6"/>
    <w:rsid w:val="00F64933"/>
    <w:rsid w:val="00F65A3C"/>
    <w:rsid w:val="00F65CF6"/>
    <w:rsid w:val="00F65D0E"/>
    <w:rsid w:val="00F66282"/>
    <w:rsid w:val="00F6639E"/>
    <w:rsid w:val="00F670E9"/>
    <w:rsid w:val="00F67AF1"/>
    <w:rsid w:val="00F67D8B"/>
    <w:rsid w:val="00F701C5"/>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C11"/>
    <w:rsid w:val="00F77021"/>
    <w:rsid w:val="00F7724A"/>
    <w:rsid w:val="00F77E61"/>
    <w:rsid w:val="00F77E9A"/>
    <w:rsid w:val="00F80221"/>
    <w:rsid w:val="00F809F8"/>
    <w:rsid w:val="00F80C81"/>
    <w:rsid w:val="00F81265"/>
    <w:rsid w:val="00F815AC"/>
    <w:rsid w:val="00F8187D"/>
    <w:rsid w:val="00F82CD1"/>
    <w:rsid w:val="00F83B33"/>
    <w:rsid w:val="00F83CAE"/>
    <w:rsid w:val="00F840BF"/>
    <w:rsid w:val="00F8427A"/>
    <w:rsid w:val="00F843DF"/>
    <w:rsid w:val="00F84899"/>
    <w:rsid w:val="00F85585"/>
    <w:rsid w:val="00F8570C"/>
    <w:rsid w:val="00F859F0"/>
    <w:rsid w:val="00F85CC1"/>
    <w:rsid w:val="00F86B5D"/>
    <w:rsid w:val="00F875E1"/>
    <w:rsid w:val="00F87634"/>
    <w:rsid w:val="00F87C13"/>
    <w:rsid w:val="00F87C5A"/>
    <w:rsid w:val="00F87DD2"/>
    <w:rsid w:val="00F87E29"/>
    <w:rsid w:val="00F87F18"/>
    <w:rsid w:val="00F87F68"/>
    <w:rsid w:val="00F904EA"/>
    <w:rsid w:val="00F90C4D"/>
    <w:rsid w:val="00F9167D"/>
    <w:rsid w:val="00F91CB2"/>
    <w:rsid w:val="00F91E38"/>
    <w:rsid w:val="00F9232A"/>
    <w:rsid w:val="00F927E8"/>
    <w:rsid w:val="00F9289C"/>
    <w:rsid w:val="00F9374A"/>
    <w:rsid w:val="00F9375C"/>
    <w:rsid w:val="00F93DBC"/>
    <w:rsid w:val="00F93E41"/>
    <w:rsid w:val="00F94644"/>
    <w:rsid w:val="00F952E4"/>
    <w:rsid w:val="00F9537B"/>
    <w:rsid w:val="00F963FC"/>
    <w:rsid w:val="00F97A94"/>
    <w:rsid w:val="00F97CF1"/>
    <w:rsid w:val="00FA015F"/>
    <w:rsid w:val="00FA0160"/>
    <w:rsid w:val="00FA0446"/>
    <w:rsid w:val="00FA0FAC"/>
    <w:rsid w:val="00FA10F7"/>
    <w:rsid w:val="00FA1DA2"/>
    <w:rsid w:val="00FA1E83"/>
    <w:rsid w:val="00FA3414"/>
    <w:rsid w:val="00FA347A"/>
    <w:rsid w:val="00FA37E1"/>
    <w:rsid w:val="00FA3CDE"/>
    <w:rsid w:val="00FA40FC"/>
    <w:rsid w:val="00FA49B7"/>
    <w:rsid w:val="00FA5043"/>
    <w:rsid w:val="00FA6C18"/>
    <w:rsid w:val="00FA6F8B"/>
    <w:rsid w:val="00FA727C"/>
    <w:rsid w:val="00FA7A30"/>
    <w:rsid w:val="00FB033F"/>
    <w:rsid w:val="00FB12E3"/>
    <w:rsid w:val="00FB1570"/>
    <w:rsid w:val="00FB193B"/>
    <w:rsid w:val="00FB1FBC"/>
    <w:rsid w:val="00FB27B7"/>
    <w:rsid w:val="00FB3441"/>
    <w:rsid w:val="00FB35E3"/>
    <w:rsid w:val="00FB4C98"/>
    <w:rsid w:val="00FB4CE3"/>
    <w:rsid w:val="00FB583C"/>
    <w:rsid w:val="00FB6048"/>
    <w:rsid w:val="00FB630E"/>
    <w:rsid w:val="00FB6738"/>
    <w:rsid w:val="00FB691B"/>
    <w:rsid w:val="00FB6BE6"/>
    <w:rsid w:val="00FB731C"/>
    <w:rsid w:val="00FB7628"/>
    <w:rsid w:val="00FB78B1"/>
    <w:rsid w:val="00FC05A0"/>
    <w:rsid w:val="00FC0811"/>
    <w:rsid w:val="00FC1196"/>
    <w:rsid w:val="00FC15EB"/>
    <w:rsid w:val="00FC162C"/>
    <w:rsid w:val="00FC18DC"/>
    <w:rsid w:val="00FC1A35"/>
    <w:rsid w:val="00FC1ABF"/>
    <w:rsid w:val="00FC2477"/>
    <w:rsid w:val="00FC28D0"/>
    <w:rsid w:val="00FC2AC4"/>
    <w:rsid w:val="00FC2CAC"/>
    <w:rsid w:val="00FC2F73"/>
    <w:rsid w:val="00FC3A9B"/>
    <w:rsid w:val="00FC3AE1"/>
    <w:rsid w:val="00FC3DFC"/>
    <w:rsid w:val="00FC3EF4"/>
    <w:rsid w:val="00FC431B"/>
    <w:rsid w:val="00FC434C"/>
    <w:rsid w:val="00FC472C"/>
    <w:rsid w:val="00FC4F59"/>
    <w:rsid w:val="00FC4FDF"/>
    <w:rsid w:val="00FC5245"/>
    <w:rsid w:val="00FC5CF4"/>
    <w:rsid w:val="00FC5D64"/>
    <w:rsid w:val="00FC5DA6"/>
    <w:rsid w:val="00FC6A39"/>
    <w:rsid w:val="00FC7176"/>
    <w:rsid w:val="00FC76A9"/>
    <w:rsid w:val="00FC79AB"/>
    <w:rsid w:val="00FC7BE7"/>
    <w:rsid w:val="00FC7D25"/>
    <w:rsid w:val="00FC7DAC"/>
    <w:rsid w:val="00FD005D"/>
    <w:rsid w:val="00FD023A"/>
    <w:rsid w:val="00FD04AE"/>
    <w:rsid w:val="00FD0DFA"/>
    <w:rsid w:val="00FD128D"/>
    <w:rsid w:val="00FD1890"/>
    <w:rsid w:val="00FD1994"/>
    <w:rsid w:val="00FD2389"/>
    <w:rsid w:val="00FD23D6"/>
    <w:rsid w:val="00FD3508"/>
    <w:rsid w:val="00FD35D5"/>
    <w:rsid w:val="00FD393C"/>
    <w:rsid w:val="00FD3AFF"/>
    <w:rsid w:val="00FD43BB"/>
    <w:rsid w:val="00FD48CD"/>
    <w:rsid w:val="00FD4AF3"/>
    <w:rsid w:val="00FD798D"/>
    <w:rsid w:val="00FE141E"/>
    <w:rsid w:val="00FE144E"/>
    <w:rsid w:val="00FE1768"/>
    <w:rsid w:val="00FE24F4"/>
    <w:rsid w:val="00FE2560"/>
    <w:rsid w:val="00FE29AD"/>
    <w:rsid w:val="00FE2D60"/>
    <w:rsid w:val="00FE35D0"/>
    <w:rsid w:val="00FE42ED"/>
    <w:rsid w:val="00FE4E06"/>
    <w:rsid w:val="00FE55A7"/>
    <w:rsid w:val="00FE5C5A"/>
    <w:rsid w:val="00FE6432"/>
    <w:rsid w:val="00FE6DD0"/>
    <w:rsid w:val="00FE7020"/>
    <w:rsid w:val="00FE72A0"/>
    <w:rsid w:val="00FE76F9"/>
    <w:rsid w:val="00FF0050"/>
    <w:rsid w:val="00FF045F"/>
    <w:rsid w:val="00FF0FA2"/>
    <w:rsid w:val="00FF13D4"/>
    <w:rsid w:val="00FF2053"/>
    <w:rsid w:val="00FF3AFD"/>
    <w:rsid w:val="00FF3B37"/>
    <w:rsid w:val="00FF3CC7"/>
    <w:rsid w:val="00FF3D6F"/>
    <w:rsid w:val="00FF4489"/>
    <w:rsid w:val="00FF4BD8"/>
    <w:rsid w:val="00FF4D11"/>
    <w:rsid w:val="00FF5214"/>
    <w:rsid w:val="00FF596E"/>
    <w:rsid w:val="00FF5B59"/>
    <w:rsid w:val="00FF5BFD"/>
    <w:rsid w:val="00FF5F9E"/>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0C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279">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617557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7205174">
      <w:bodyDiv w:val="1"/>
      <w:marLeft w:val="0"/>
      <w:marRight w:val="0"/>
      <w:marTop w:val="0"/>
      <w:marBottom w:val="0"/>
      <w:divBdr>
        <w:top w:val="none" w:sz="0" w:space="0" w:color="auto"/>
        <w:left w:val="none" w:sz="0" w:space="0" w:color="auto"/>
        <w:bottom w:val="none" w:sz="0" w:space="0" w:color="auto"/>
        <w:right w:val="none" w:sz="0" w:space="0" w:color="auto"/>
      </w:divBdr>
      <w:divsChild>
        <w:div w:id="2020306756">
          <w:marLeft w:val="0"/>
          <w:marRight w:val="0"/>
          <w:marTop w:val="0"/>
          <w:marBottom w:val="0"/>
          <w:divBdr>
            <w:top w:val="none" w:sz="0" w:space="0" w:color="auto"/>
            <w:left w:val="none" w:sz="0" w:space="0" w:color="auto"/>
            <w:bottom w:val="none" w:sz="0" w:space="0" w:color="auto"/>
            <w:right w:val="none" w:sz="0" w:space="0" w:color="auto"/>
          </w:divBdr>
          <w:divsChild>
            <w:div w:id="549995204">
              <w:marLeft w:val="0"/>
              <w:marRight w:val="0"/>
              <w:marTop w:val="0"/>
              <w:marBottom w:val="0"/>
              <w:divBdr>
                <w:top w:val="none" w:sz="0" w:space="0" w:color="auto"/>
                <w:left w:val="none" w:sz="0" w:space="0" w:color="auto"/>
                <w:bottom w:val="none" w:sz="0" w:space="0" w:color="auto"/>
                <w:right w:val="none" w:sz="0" w:space="0" w:color="auto"/>
              </w:divBdr>
              <w:divsChild>
                <w:div w:id="1002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8168">
      <w:bodyDiv w:val="1"/>
      <w:marLeft w:val="0"/>
      <w:marRight w:val="0"/>
      <w:marTop w:val="0"/>
      <w:marBottom w:val="0"/>
      <w:divBdr>
        <w:top w:val="none" w:sz="0" w:space="0" w:color="auto"/>
        <w:left w:val="none" w:sz="0" w:space="0" w:color="auto"/>
        <w:bottom w:val="none" w:sz="0" w:space="0" w:color="auto"/>
        <w:right w:val="none" w:sz="0" w:space="0" w:color="auto"/>
      </w:divBdr>
      <w:divsChild>
        <w:div w:id="1211109042">
          <w:marLeft w:val="0"/>
          <w:marRight w:val="0"/>
          <w:marTop w:val="0"/>
          <w:marBottom w:val="0"/>
          <w:divBdr>
            <w:top w:val="none" w:sz="0" w:space="0" w:color="auto"/>
            <w:left w:val="none" w:sz="0" w:space="0" w:color="auto"/>
            <w:bottom w:val="none" w:sz="0" w:space="0" w:color="auto"/>
            <w:right w:val="none" w:sz="0" w:space="0" w:color="auto"/>
          </w:divBdr>
          <w:divsChild>
            <w:div w:id="812061829">
              <w:marLeft w:val="0"/>
              <w:marRight w:val="0"/>
              <w:marTop w:val="0"/>
              <w:marBottom w:val="0"/>
              <w:divBdr>
                <w:top w:val="none" w:sz="0" w:space="0" w:color="auto"/>
                <w:left w:val="none" w:sz="0" w:space="0" w:color="auto"/>
                <w:bottom w:val="none" w:sz="0" w:space="0" w:color="auto"/>
                <w:right w:val="none" w:sz="0" w:space="0" w:color="auto"/>
              </w:divBdr>
              <w:divsChild>
                <w:div w:id="17832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588">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53539">
      <w:bodyDiv w:val="1"/>
      <w:marLeft w:val="0"/>
      <w:marRight w:val="0"/>
      <w:marTop w:val="0"/>
      <w:marBottom w:val="0"/>
      <w:divBdr>
        <w:top w:val="none" w:sz="0" w:space="0" w:color="auto"/>
        <w:left w:val="none" w:sz="0" w:space="0" w:color="auto"/>
        <w:bottom w:val="none" w:sz="0" w:space="0" w:color="auto"/>
        <w:right w:val="none" w:sz="0" w:space="0" w:color="auto"/>
      </w:divBdr>
      <w:divsChild>
        <w:div w:id="645017653">
          <w:marLeft w:val="0"/>
          <w:marRight w:val="0"/>
          <w:marTop w:val="0"/>
          <w:marBottom w:val="0"/>
          <w:divBdr>
            <w:top w:val="none" w:sz="0" w:space="0" w:color="auto"/>
            <w:left w:val="none" w:sz="0" w:space="0" w:color="auto"/>
            <w:bottom w:val="none" w:sz="0" w:space="0" w:color="auto"/>
            <w:right w:val="none" w:sz="0" w:space="0" w:color="auto"/>
          </w:divBdr>
        </w:div>
      </w:divsChild>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beltranpardo.com/wp-content/uploads/2021/02/CorteConstitucional_Inexequibilidadpar%C3%A1grafo2Art6L2014.pdf" TargetMode="External"/><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65</TotalTime>
  <Pages>23</Pages>
  <Words>8712</Words>
  <Characters>47916</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32</cp:revision>
  <cp:lastPrinted>2020-01-30T15:05:00Z</cp:lastPrinted>
  <dcterms:created xsi:type="dcterms:W3CDTF">2021-04-19T00:55:00Z</dcterms:created>
  <dcterms:modified xsi:type="dcterms:W3CDTF">2021-04-19T12:54:00Z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