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77777777" w:rsidR="000920F0" w:rsidRPr="00B83689" w:rsidRDefault="000920F0" w:rsidP="00F106B5">
      <w:pPr>
        <w:spacing w:line="276" w:lineRule="auto"/>
        <w:jc w:val="right"/>
        <w:rPr>
          <w:rFonts w:ascii="Arial" w:hAnsi="Arial" w:cs="Arial"/>
          <w:bCs/>
          <w:noProof/>
          <w:sz w:val="16"/>
          <w:szCs w:val="16"/>
          <w:lang w:val="es-ES_tradnl" w:eastAsia="es-ES"/>
        </w:rPr>
      </w:pPr>
      <w:bookmarkStart w:id="0" w:name="_Hlk28946138"/>
      <w:bookmarkStart w:id="1" w:name="_Hlk29548183"/>
      <w:bookmarkStart w:id="2" w:name="_Hlk29890381"/>
      <w:r w:rsidRPr="00295D8A">
        <w:rPr>
          <w:rFonts w:ascii="Arial" w:hAnsi="Arial" w:cs="Arial"/>
          <w:b/>
          <w:noProof/>
          <w:sz w:val="21"/>
          <w:szCs w:val="21"/>
          <w:lang w:val="es-ES_tradnl" w:eastAsia="es-ES"/>
        </w:rPr>
        <w:tab/>
      </w:r>
      <w:r w:rsidRPr="00B83689">
        <w:rPr>
          <w:rFonts w:ascii="Arial" w:hAnsi="Arial" w:cs="Arial"/>
          <w:bCs/>
          <w:noProof/>
          <w:sz w:val="16"/>
          <w:szCs w:val="16"/>
          <w:lang w:val="es-ES_tradnl" w:eastAsia="es-ES"/>
        </w:rPr>
        <w:t>CCE-DES-FM-17</w:t>
      </w:r>
    </w:p>
    <w:p w14:paraId="18452A84" w14:textId="77777777" w:rsidR="003B2456" w:rsidRDefault="003B2456" w:rsidP="003B2456">
      <w:pPr>
        <w:jc w:val="both"/>
        <w:rPr>
          <w:rFonts w:ascii="Arial" w:hAnsi="Arial" w:cs="Arial"/>
          <w:b/>
          <w:color w:val="000000" w:themeColor="text1"/>
          <w:sz w:val="22"/>
        </w:rPr>
      </w:pPr>
      <w:r>
        <w:rPr>
          <w:rFonts w:ascii="Arial" w:hAnsi="Arial" w:cs="Arial"/>
          <w:b/>
          <w:color w:val="000000" w:themeColor="text1"/>
          <w:sz w:val="22"/>
        </w:rPr>
        <w:t>DOCUMENTOS</w:t>
      </w:r>
      <w:r w:rsidRPr="00FC5F03">
        <w:rPr>
          <w:rFonts w:ascii="Arial" w:hAnsi="Arial" w:cs="Arial"/>
          <w:b/>
          <w:color w:val="000000" w:themeColor="text1"/>
          <w:sz w:val="22"/>
        </w:rPr>
        <w:t xml:space="preserve"> TIPO – Obligatoriedad</w:t>
      </w:r>
    </w:p>
    <w:p w14:paraId="307CC3B9" w14:textId="77777777" w:rsidR="003B2456" w:rsidRPr="006C15D5" w:rsidRDefault="003B2456" w:rsidP="003B2456">
      <w:pPr>
        <w:jc w:val="both"/>
        <w:rPr>
          <w:rFonts w:ascii="Arial" w:hAnsi="Arial" w:cs="Arial"/>
          <w:color w:val="000000" w:themeColor="text1"/>
          <w:sz w:val="20"/>
          <w:szCs w:val="20"/>
        </w:rPr>
      </w:pPr>
    </w:p>
    <w:p w14:paraId="3D6D6BC5" w14:textId="00ABA150" w:rsidR="003B2456" w:rsidRPr="006C15D5" w:rsidRDefault="003B2456" w:rsidP="003B2456">
      <w:pPr>
        <w:jc w:val="both"/>
        <w:rPr>
          <w:rFonts w:ascii="Arial" w:hAnsi="Arial" w:cs="Arial"/>
          <w:bCs/>
          <w:color w:val="000000" w:themeColor="text1"/>
          <w:sz w:val="20"/>
          <w:szCs w:val="20"/>
        </w:rPr>
      </w:pPr>
      <w:r w:rsidRPr="00FC5F03">
        <w:rPr>
          <w:rFonts w:ascii="Arial" w:hAnsi="Arial" w:cs="Arial"/>
          <w:bCs/>
          <w:color w:val="000000" w:themeColor="text1"/>
          <w:sz w:val="20"/>
          <w:szCs w:val="20"/>
        </w:rPr>
        <w:t xml:space="preserve">El </w:t>
      </w:r>
      <w:r w:rsidR="00B522C8" w:rsidRPr="00FC5F03">
        <w:rPr>
          <w:rFonts w:ascii="Arial" w:hAnsi="Arial" w:cs="Arial"/>
          <w:bCs/>
          <w:color w:val="000000" w:themeColor="text1"/>
          <w:sz w:val="20"/>
          <w:szCs w:val="20"/>
        </w:rPr>
        <w:t>parágrafo 7º</w:t>
      </w:r>
      <w:r w:rsidR="00B522C8">
        <w:rPr>
          <w:rFonts w:ascii="Arial" w:hAnsi="Arial" w:cs="Arial"/>
          <w:bCs/>
          <w:color w:val="000000" w:themeColor="text1"/>
          <w:sz w:val="20"/>
          <w:szCs w:val="20"/>
        </w:rPr>
        <w:t xml:space="preserve"> del </w:t>
      </w:r>
      <w:r w:rsidRPr="00FC5F03">
        <w:rPr>
          <w:rFonts w:ascii="Arial" w:hAnsi="Arial" w:cs="Arial"/>
          <w:bCs/>
          <w:color w:val="000000" w:themeColor="text1"/>
          <w:sz w:val="20"/>
          <w:szCs w:val="20"/>
        </w:rPr>
        <w:t>artículo 2, de la Ley 1150 de 2007, adicionado por el artículo 4 de la Ley 1882 de 2018, establece la obligatoriedad de la adopción de documentos tipo para diferentes procesos de selección […]. 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Pr="00DE3F87">
        <w:rPr>
          <w:rFonts w:ascii="Arial" w:hAnsi="Arial" w:cs="Arial"/>
          <w:bCs/>
          <w:color w:val="000000" w:themeColor="text1"/>
          <w:sz w:val="20"/>
          <w:szCs w:val="20"/>
        </w:rPr>
        <w:t xml:space="preserve">  </w:t>
      </w:r>
    </w:p>
    <w:p w14:paraId="29CC3D0F" w14:textId="77777777" w:rsidR="003B2456" w:rsidRPr="006C15D5" w:rsidRDefault="003B2456" w:rsidP="003B2456">
      <w:pPr>
        <w:jc w:val="both"/>
        <w:rPr>
          <w:rFonts w:ascii="Arial" w:hAnsi="Arial" w:cs="Arial"/>
          <w:b/>
          <w:color w:val="000000" w:themeColor="text1"/>
          <w:sz w:val="20"/>
          <w:szCs w:val="20"/>
        </w:rPr>
      </w:pPr>
    </w:p>
    <w:p w14:paraId="1B4F2FC9" w14:textId="77777777" w:rsidR="003B2456" w:rsidRDefault="003B2456" w:rsidP="003B2456">
      <w:pPr>
        <w:jc w:val="both"/>
        <w:rPr>
          <w:rFonts w:ascii="Arial" w:hAnsi="Arial" w:cs="Arial"/>
          <w:b/>
          <w:color w:val="000000" w:themeColor="text1"/>
          <w:sz w:val="22"/>
        </w:rPr>
      </w:pPr>
      <w:r>
        <w:rPr>
          <w:rFonts w:ascii="Arial" w:hAnsi="Arial" w:cs="Arial"/>
          <w:b/>
          <w:color w:val="000000" w:themeColor="text1"/>
          <w:sz w:val="22"/>
        </w:rPr>
        <w:t>DOCUMENTOS</w:t>
      </w:r>
      <w:r w:rsidRPr="00FC5F03">
        <w:rPr>
          <w:rFonts w:ascii="Arial" w:hAnsi="Arial" w:cs="Arial"/>
          <w:b/>
          <w:color w:val="000000" w:themeColor="text1"/>
          <w:sz w:val="22"/>
        </w:rPr>
        <w:t xml:space="preserve"> TIPO – Finalidad legislativa</w:t>
      </w:r>
    </w:p>
    <w:p w14:paraId="47E8E27F" w14:textId="77777777" w:rsidR="003B2456" w:rsidRPr="006C15D5" w:rsidRDefault="003B2456" w:rsidP="003B2456">
      <w:pPr>
        <w:jc w:val="both"/>
        <w:rPr>
          <w:rFonts w:ascii="Arial" w:hAnsi="Arial" w:cs="Arial"/>
          <w:b/>
          <w:color w:val="000000" w:themeColor="text1"/>
          <w:sz w:val="20"/>
          <w:szCs w:val="20"/>
        </w:rPr>
      </w:pPr>
    </w:p>
    <w:p w14:paraId="4C460FFB" w14:textId="77777777" w:rsidR="003B2456" w:rsidRDefault="003B2456" w:rsidP="003B2456">
      <w:pPr>
        <w:jc w:val="both"/>
        <w:rPr>
          <w:rFonts w:ascii="Arial" w:hAnsi="Arial" w:cs="Arial"/>
          <w:color w:val="000000" w:themeColor="text1"/>
          <w:sz w:val="20"/>
          <w:szCs w:val="20"/>
        </w:rPr>
      </w:pPr>
      <w:r w:rsidRPr="00FC5F03">
        <w:rPr>
          <w:rFonts w:ascii="Arial" w:hAnsi="Arial" w:cs="Arial"/>
          <w:color w:val="000000" w:themeColor="text1"/>
          <w:sz w:val="20"/>
          <w:szCs w:val="20"/>
        </w:rPr>
        <w:t>La intención de esta medida era agilizar y darles mayor transparencia a los procesos de selección y evitar el direccionamiento de los pliegos de condiciones: «[…] se asigna al Gobierno Nacional la facultad de estandarizar los pliegos de condiciones y términos de referencia de los contratos, medida que redundará en la agilidad y claridad de los procedimientos». […] 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14:paraId="6EB4D096" w14:textId="77777777" w:rsidR="000920F0" w:rsidRPr="003B2456" w:rsidRDefault="000920F0" w:rsidP="00F106B5">
      <w:pPr>
        <w:spacing w:line="276" w:lineRule="auto"/>
        <w:jc w:val="both"/>
        <w:rPr>
          <w:rFonts w:ascii="Arial" w:hAnsi="Arial" w:cs="Arial"/>
          <w:b/>
          <w:noProof/>
          <w:sz w:val="16"/>
          <w:szCs w:val="16"/>
        </w:rPr>
      </w:pPr>
    </w:p>
    <w:p w14:paraId="356F26E8" w14:textId="797E5907" w:rsidR="00796E98" w:rsidRPr="001C64F9" w:rsidRDefault="00796E98" w:rsidP="00796E98">
      <w:pPr>
        <w:jc w:val="both"/>
        <w:rPr>
          <w:rFonts w:ascii="Arial" w:hAnsi="Arial" w:cs="Arial"/>
          <w:b/>
          <w:sz w:val="22"/>
          <w:lang w:val="es-ES_tradnl"/>
        </w:rPr>
      </w:pPr>
      <w:r>
        <w:rPr>
          <w:rFonts w:ascii="Arial" w:hAnsi="Arial" w:cs="Arial"/>
          <w:b/>
          <w:sz w:val="22"/>
          <w:lang w:val="es-ES_tradnl"/>
        </w:rPr>
        <w:t xml:space="preserve">INALTERABILIDAD </w:t>
      </w:r>
      <w:r w:rsidRPr="001C64F9">
        <w:rPr>
          <w:rFonts w:ascii="Arial" w:hAnsi="Arial" w:cs="Arial"/>
          <w:b/>
          <w:color w:val="000000" w:themeColor="text1"/>
          <w:sz w:val="22"/>
          <w:lang w:val="es-ES_tradnl"/>
        </w:rPr>
        <w:t>–</w:t>
      </w:r>
      <w:r w:rsidRPr="001C64F9">
        <w:rPr>
          <w:rFonts w:ascii="Arial" w:hAnsi="Arial" w:cs="Arial"/>
          <w:b/>
          <w:sz w:val="22"/>
          <w:lang w:val="es-ES_tradnl"/>
        </w:rPr>
        <w:t xml:space="preserve"> </w:t>
      </w:r>
      <w:r>
        <w:rPr>
          <w:rFonts w:ascii="Arial" w:hAnsi="Arial" w:cs="Arial"/>
          <w:b/>
          <w:sz w:val="22"/>
          <w:lang w:val="es-ES_tradnl"/>
        </w:rPr>
        <w:t>Documentos tipo</w:t>
      </w:r>
      <w:r w:rsidRPr="001C64F9">
        <w:rPr>
          <w:rFonts w:ascii="Arial" w:hAnsi="Arial" w:cs="Arial"/>
          <w:b/>
          <w:sz w:val="22"/>
          <w:lang w:val="es-ES_tradnl"/>
        </w:rPr>
        <w:t xml:space="preserve"> </w:t>
      </w:r>
      <w:r w:rsidRPr="001C64F9">
        <w:rPr>
          <w:rFonts w:ascii="Arial" w:hAnsi="Arial" w:cs="Arial"/>
          <w:b/>
          <w:color w:val="000000" w:themeColor="text1"/>
          <w:sz w:val="22"/>
          <w:lang w:val="es-ES_tradnl"/>
        </w:rPr>
        <w:t xml:space="preserve">– </w:t>
      </w:r>
      <w:r>
        <w:rPr>
          <w:rFonts w:ascii="Arial" w:hAnsi="Arial" w:cs="Arial"/>
          <w:b/>
          <w:sz w:val="22"/>
          <w:lang w:val="es-ES_tradnl"/>
        </w:rPr>
        <w:t xml:space="preserve">Regla vigente </w:t>
      </w:r>
      <w:r w:rsidRPr="001C64F9">
        <w:rPr>
          <w:rFonts w:ascii="Arial" w:hAnsi="Arial" w:cs="Arial"/>
          <w:b/>
          <w:color w:val="000000" w:themeColor="text1"/>
          <w:sz w:val="22"/>
          <w:lang w:val="es-ES_tradnl"/>
        </w:rPr>
        <w:t>–</w:t>
      </w:r>
      <w:r>
        <w:rPr>
          <w:rFonts w:ascii="Arial" w:hAnsi="Arial" w:cs="Arial"/>
          <w:b/>
          <w:color w:val="000000" w:themeColor="text1"/>
          <w:sz w:val="22"/>
          <w:lang w:val="es-ES_tradnl"/>
        </w:rPr>
        <w:t xml:space="preserve"> Contenido</w:t>
      </w:r>
    </w:p>
    <w:p w14:paraId="04345280" w14:textId="77777777" w:rsidR="00796E98" w:rsidRDefault="00796E98" w:rsidP="00796E98">
      <w:pPr>
        <w:jc w:val="both"/>
        <w:rPr>
          <w:rFonts w:ascii="Arial" w:hAnsi="Arial" w:cs="Arial"/>
          <w:sz w:val="20"/>
          <w:szCs w:val="20"/>
          <w:lang w:val="es-ES_tradnl"/>
        </w:rPr>
      </w:pPr>
    </w:p>
    <w:p w14:paraId="4ADFDD9B" w14:textId="67F7254A" w:rsidR="00796E98" w:rsidRDefault="00796E98" w:rsidP="00652FC6">
      <w:pPr>
        <w:spacing w:after="120"/>
        <w:jc w:val="both"/>
        <w:rPr>
          <w:rFonts w:ascii="Arial" w:hAnsi="Arial" w:cs="Arial"/>
          <w:sz w:val="20"/>
          <w:szCs w:val="20"/>
          <w:lang w:val="es-ES_tradnl"/>
        </w:rPr>
      </w:pPr>
      <w:r w:rsidRPr="00F61217">
        <w:rPr>
          <w:rFonts w:ascii="Arial" w:hAnsi="Arial" w:cs="Arial"/>
          <w:sz w:val="20"/>
          <w:szCs w:val="20"/>
          <w:lang w:val="es-ES_tradnl"/>
        </w:rPr>
        <w:t>Todas las resoluciones</w:t>
      </w:r>
      <w:r>
        <w:rPr>
          <w:rFonts w:ascii="Arial" w:hAnsi="Arial" w:cs="Arial"/>
          <w:sz w:val="20"/>
          <w:szCs w:val="20"/>
          <w:lang w:val="es-ES_tradnl"/>
        </w:rPr>
        <w:t xml:space="preserve"> </w:t>
      </w:r>
      <w:r w:rsidRPr="00F61217">
        <w:rPr>
          <w:rFonts w:ascii="Arial" w:hAnsi="Arial" w:cs="Arial"/>
          <w:sz w:val="20"/>
          <w:szCs w:val="20"/>
          <w:lang w:val="es-ES_tradnl"/>
        </w:rPr>
        <w:t xml:space="preserve">expedidas por la Agencia Nacional de Contratación Pública – Colombia Compra Eficiente, mediante las cuales se han adoptado los pliegos tipo, consagran la regla de la inalterabilidad de los Documentos Tipo.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w:t>
      </w:r>
      <w:r>
        <w:rPr>
          <w:rFonts w:ascii="Arial" w:hAnsi="Arial" w:cs="Arial"/>
          <w:sz w:val="20"/>
          <w:szCs w:val="20"/>
          <w:lang w:val="es-ES_tradnl"/>
        </w:rPr>
        <w:t>Por lo tanto</w:t>
      </w:r>
      <w:r w:rsidRPr="00F61217">
        <w:rPr>
          <w:rFonts w:ascii="Arial" w:hAnsi="Arial" w:cs="Arial"/>
          <w:sz w:val="20"/>
          <w:szCs w:val="20"/>
          <w:lang w:val="es-ES_tradnl"/>
        </w:rPr>
        <w:t>, las entidades estatales, al realizar sus procedimientos de selección, solo podrán modificarlos en los aspectos en que los documentos tipo lo permitan.</w:t>
      </w:r>
    </w:p>
    <w:p w14:paraId="2E40CFA6" w14:textId="09456ADD" w:rsidR="002F7B2C" w:rsidRPr="00EE7AB2" w:rsidRDefault="00796E98" w:rsidP="00796E98">
      <w:pPr>
        <w:pStyle w:val="Default"/>
        <w:jc w:val="both"/>
        <w:rPr>
          <w:color w:val="auto"/>
          <w:sz w:val="22"/>
          <w:szCs w:val="22"/>
        </w:rPr>
      </w:pPr>
      <w:r w:rsidRPr="00F61217">
        <w:rPr>
          <w:rFonts w:eastAsia="Calibri"/>
          <w:sz w:val="20"/>
          <w:szCs w:val="20"/>
          <w:lang w:val="es-ES_tradnl"/>
        </w:rPr>
        <w:t>El fundamento legal vigente de la regla de la inalterabilidad se encuentra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786169C3" w14:textId="77777777" w:rsidR="000720AC" w:rsidRPr="00EE7AB2" w:rsidRDefault="000720AC" w:rsidP="00C46F19">
      <w:pPr>
        <w:pStyle w:val="Default"/>
        <w:rPr>
          <w:color w:val="auto"/>
          <w:sz w:val="22"/>
          <w:szCs w:val="22"/>
        </w:rPr>
      </w:pPr>
    </w:p>
    <w:p w14:paraId="44BCB777" w14:textId="38D95C8F" w:rsidR="00B13AA1" w:rsidRPr="00652FC6" w:rsidRDefault="00652FC6" w:rsidP="00652FC6">
      <w:pPr>
        <w:jc w:val="both"/>
        <w:rPr>
          <w:rFonts w:ascii="Arial" w:hAnsi="Arial" w:cs="Arial"/>
          <w:b/>
          <w:sz w:val="22"/>
          <w:lang w:val="es-ES_tradnl"/>
        </w:rPr>
      </w:pPr>
      <w:r w:rsidRPr="00652FC6">
        <w:rPr>
          <w:rFonts w:ascii="Arial" w:hAnsi="Arial" w:cs="Arial"/>
          <w:b/>
          <w:sz w:val="22"/>
          <w:lang w:val="es-ES_tradnl"/>
        </w:rPr>
        <w:t>EXPERIENCIA DEL PROPONENTE</w:t>
      </w:r>
      <w:r>
        <w:rPr>
          <w:rFonts w:ascii="Arial" w:hAnsi="Arial" w:cs="Arial"/>
          <w:b/>
          <w:sz w:val="22"/>
          <w:lang w:val="es-ES_tradnl"/>
        </w:rPr>
        <w:t xml:space="preserve"> </w:t>
      </w:r>
      <w:r w:rsidRPr="001C64F9">
        <w:rPr>
          <w:rFonts w:ascii="Arial" w:hAnsi="Arial" w:cs="Arial"/>
          <w:b/>
          <w:color w:val="000000" w:themeColor="text1"/>
          <w:sz w:val="22"/>
          <w:lang w:val="es-ES_tradnl"/>
        </w:rPr>
        <w:t>–</w:t>
      </w:r>
      <w:r w:rsidRPr="001C64F9">
        <w:rPr>
          <w:rFonts w:ascii="Arial" w:hAnsi="Arial" w:cs="Arial"/>
          <w:b/>
          <w:sz w:val="22"/>
          <w:lang w:val="es-ES_tradnl"/>
        </w:rPr>
        <w:t xml:space="preserve"> </w:t>
      </w:r>
      <w:r>
        <w:rPr>
          <w:rFonts w:ascii="Arial" w:hAnsi="Arial" w:cs="Arial"/>
          <w:b/>
          <w:sz w:val="22"/>
          <w:lang w:val="es-ES_tradnl"/>
        </w:rPr>
        <w:t>P</w:t>
      </w:r>
      <w:r w:rsidRPr="00652FC6">
        <w:rPr>
          <w:rFonts w:ascii="Arial" w:hAnsi="Arial" w:cs="Arial"/>
          <w:b/>
          <w:sz w:val="22"/>
          <w:lang w:val="es-ES_tradnl"/>
        </w:rPr>
        <w:t xml:space="preserve">onderación </w:t>
      </w:r>
      <w:r>
        <w:rPr>
          <w:rFonts w:ascii="Arial" w:hAnsi="Arial" w:cs="Arial"/>
          <w:b/>
          <w:sz w:val="22"/>
          <w:lang w:val="es-ES_tradnl"/>
        </w:rPr>
        <w:t xml:space="preserve">en </w:t>
      </w:r>
      <w:r w:rsidRPr="00652FC6">
        <w:rPr>
          <w:rFonts w:ascii="Arial" w:hAnsi="Arial" w:cs="Arial"/>
          <w:b/>
          <w:sz w:val="22"/>
          <w:lang w:val="es-ES_tradnl"/>
        </w:rPr>
        <w:t>documentos tipo</w:t>
      </w:r>
    </w:p>
    <w:p w14:paraId="57088B20" w14:textId="3A5E24F8" w:rsidR="00B13AA1" w:rsidRPr="00652FC6" w:rsidRDefault="00B13AA1" w:rsidP="00652FC6">
      <w:pPr>
        <w:spacing w:after="120"/>
        <w:jc w:val="both"/>
        <w:rPr>
          <w:rFonts w:ascii="Arial" w:hAnsi="Arial" w:cs="Arial"/>
          <w:sz w:val="20"/>
          <w:szCs w:val="20"/>
          <w:lang w:val="es-ES_tradnl"/>
        </w:rPr>
      </w:pPr>
    </w:p>
    <w:p w14:paraId="19EA1663" w14:textId="77777777" w:rsidR="00652FC6" w:rsidRPr="00652FC6" w:rsidRDefault="00652FC6" w:rsidP="00652FC6">
      <w:pPr>
        <w:spacing w:after="120"/>
        <w:jc w:val="both"/>
        <w:rPr>
          <w:rFonts w:ascii="Arial" w:hAnsi="Arial" w:cs="Arial"/>
          <w:sz w:val="20"/>
          <w:szCs w:val="20"/>
          <w:lang w:val="es-ES_tradnl"/>
        </w:rPr>
      </w:pPr>
      <w:r w:rsidRPr="00652FC6">
        <w:rPr>
          <w:rFonts w:ascii="Arial" w:hAnsi="Arial" w:cs="Arial"/>
          <w:sz w:val="20"/>
          <w:szCs w:val="20"/>
          <w:lang w:val="es-ES_tradnl"/>
        </w:rPr>
        <w:t xml:space="preserve">Dependiendo del método aleatorio establecido según la TRM, cada uno de los proponentes habilitados participarán con el valor del promedio de los contratos válidos aportados según la metodología descrita para cada alternativa. Este sistema para seleccionar la fórmula de ponderación </w:t>
      </w:r>
      <w:r w:rsidRPr="00652FC6">
        <w:rPr>
          <w:rFonts w:ascii="Arial" w:hAnsi="Arial" w:cs="Arial"/>
          <w:sz w:val="20"/>
          <w:szCs w:val="20"/>
          <w:lang w:val="es-ES_tradnl"/>
        </w:rPr>
        <w:lastRenderedPageBreak/>
        <w:t>de la oferta económica desestimula los actos de corrupción, puesto que no es posible manipular la TRM para conocer con anticipación la fórmula aplicable y poder adjudicar al proponente que la entidad desee.</w:t>
      </w:r>
    </w:p>
    <w:p w14:paraId="44698A83" w14:textId="77777777" w:rsidR="00652FC6" w:rsidRPr="00652FC6" w:rsidRDefault="00652FC6" w:rsidP="00652FC6">
      <w:pPr>
        <w:spacing w:after="120"/>
        <w:jc w:val="both"/>
        <w:rPr>
          <w:rFonts w:ascii="Arial" w:hAnsi="Arial" w:cs="Arial"/>
          <w:sz w:val="20"/>
          <w:szCs w:val="20"/>
          <w:lang w:val="es-ES_tradnl"/>
        </w:rPr>
      </w:pPr>
      <w:r w:rsidRPr="00652FC6">
        <w:rPr>
          <w:rFonts w:ascii="Arial" w:hAnsi="Arial" w:cs="Arial"/>
          <w:sz w:val="20"/>
          <w:szCs w:val="20"/>
          <w:lang w:val="es-ES_tradnl"/>
        </w:rPr>
        <w:t>La ponderación de los criterios de evaluación permite establecer un orden de elegibilidad, de tal modo que la suma de los puntajes obtenidos por cada uno de los criterios de evaluación define el puntaje total de los oferentes participantes, siendo el puntaje total más alto aquel que ostente el proponente en primera línea de elegibilidad y que estará en situación de ser el adjudicatario del proceso de selección.</w:t>
      </w:r>
    </w:p>
    <w:p w14:paraId="48BD1C0E" w14:textId="77777777" w:rsidR="00652FC6" w:rsidRPr="00652FC6" w:rsidRDefault="00652FC6" w:rsidP="00B13AA1">
      <w:pPr>
        <w:spacing w:after="200" w:line="276" w:lineRule="auto"/>
        <w:rPr>
          <w:sz w:val="20"/>
          <w:szCs w:val="20"/>
        </w:rPr>
      </w:pPr>
    </w:p>
    <w:p w14:paraId="68C1363F" w14:textId="62DE55FE" w:rsidR="00B13AA1" w:rsidRDefault="00B13AA1" w:rsidP="00B13AA1">
      <w:pPr>
        <w:spacing w:after="200" w:line="276" w:lineRule="auto"/>
        <w:rPr>
          <w:sz w:val="20"/>
          <w:szCs w:val="20"/>
          <w:lang w:val="es-ES_tradnl"/>
        </w:rPr>
      </w:pPr>
    </w:p>
    <w:p w14:paraId="0695CE0A" w14:textId="43501313" w:rsidR="001428E1" w:rsidRDefault="001428E1" w:rsidP="00B13AA1">
      <w:pPr>
        <w:spacing w:after="200" w:line="276" w:lineRule="auto"/>
        <w:rPr>
          <w:sz w:val="20"/>
          <w:szCs w:val="20"/>
          <w:lang w:val="es-ES_tradnl"/>
        </w:rPr>
      </w:pPr>
    </w:p>
    <w:p w14:paraId="71F89BC3" w14:textId="697C87AA" w:rsidR="001428E1" w:rsidRDefault="001428E1" w:rsidP="00B13AA1">
      <w:pPr>
        <w:spacing w:after="200" w:line="276" w:lineRule="auto"/>
        <w:rPr>
          <w:sz w:val="20"/>
          <w:szCs w:val="20"/>
          <w:lang w:val="es-ES_tradnl"/>
        </w:rPr>
      </w:pPr>
    </w:p>
    <w:p w14:paraId="696D8076" w14:textId="28E62ACD" w:rsidR="001428E1" w:rsidRDefault="001428E1" w:rsidP="00B13AA1">
      <w:pPr>
        <w:spacing w:after="200" w:line="276" w:lineRule="auto"/>
        <w:rPr>
          <w:sz w:val="20"/>
          <w:szCs w:val="20"/>
          <w:lang w:val="es-ES_tradnl"/>
        </w:rPr>
      </w:pPr>
    </w:p>
    <w:p w14:paraId="2104BE96" w14:textId="4E10383D" w:rsidR="001428E1" w:rsidRDefault="001428E1" w:rsidP="00B13AA1">
      <w:pPr>
        <w:spacing w:after="200" w:line="276" w:lineRule="auto"/>
        <w:rPr>
          <w:sz w:val="20"/>
          <w:szCs w:val="20"/>
          <w:lang w:val="es-ES_tradnl"/>
        </w:rPr>
      </w:pPr>
    </w:p>
    <w:p w14:paraId="5F4A5B64" w14:textId="42A1065C" w:rsidR="001428E1" w:rsidRDefault="001428E1" w:rsidP="00B13AA1">
      <w:pPr>
        <w:spacing w:after="200" w:line="276" w:lineRule="auto"/>
        <w:rPr>
          <w:sz w:val="20"/>
          <w:szCs w:val="20"/>
          <w:lang w:val="es-ES_tradnl"/>
        </w:rPr>
      </w:pPr>
    </w:p>
    <w:p w14:paraId="367DDB01" w14:textId="15477834" w:rsidR="001428E1" w:rsidRDefault="001428E1" w:rsidP="00B13AA1">
      <w:pPr>
        <w:spacing w:after="200" w:line="276" w:lineRule="auto"/>
        <w:rPr>
          <w:sz w:val="20"/>
          <w:szCs w:val="20"/>
          <w:lang w:val="es-ES_tradnl"/>
        </w:rPr>
      </w:pPr>
    </w:p>
    <w:p w14:paraId="71DB1743" w14:textId="7D186444" w:rsidR="001428E1" w:rsidRDefault="001428E1" w:rsidP="00B13AA1">
      <w:pPr>
        <w:spacing w:after="200" w:line="276" w:lineRule="auto"/>
        <w:rPr>
          <w:sz w:val="20"/>
          <w:szCs w:val="20"/>
          <w:lang w:val="es-ES_tradnl"/>
        </w:rPr>
      </w:pPr>
    </w:p>
    <w:p w14:paraId="2BCB7985" w14:textId="38019DB0" w:rsidR="001428E1" w:rsidRDefault="001428E1" w:rsidP="00B13AA1">
      <w:pPr>
        <w:spacing w:after="200" w:line="276" w:lineRule="auto"/>
        <w:rPr>
          <w:sz w:val="20"/>
          <w:szCs w:val="20"/>
          <w:lang w:val="es-ES_tradnl"/>
        </w:rPr>
      </w:pPr>
    </w:p>
    <w:p w14:paraId="310B2F85" w14:textId="152ADF34" w:rsidR="001428E1" w:rsidRDefault="001428E1" w:rsidP="00B13AA1">
      <w:pPr>
        <w:spacing w:after="200" w:line="276" w:lineRule="auto"/>
        <w:rPr>
          <w:sz w:val="20"/>
          <w:szCs w:val="20"/>
          <w:lang w:val="es-ES_tradnl"/>
        </w:rPr>
      </w:pPr>
    </w:p>
    <w:p w14:paraId="28C19839" w14:textId="25F97D61" w:rsidR="001428E1" w:rsidRDefault="001428E1" w:rsidP="00B13AA1">
      <w:pPr>
        <w:spacing w:after="200" w:line="276" w:lineRule="auto"/>
        <w:rPr>
          <w:sz w:val="20"/>
          <w:szCs w:val="20"/>
          <w:lang w:val="es-ES_tradnl"/>
        </w:rPr>
      </w:pPr>
    </w:p>
    <w:p w14:paraId="6F4BAE54" w14:textId="456BC048" w:rsidR="001428E1" w:rsidRDefault="001428E1" w:rsidP="00B13AA1">
      <w:pPr>
        <w:spacing w:after="200" w:line="276" w:lineRule="auto"/>
        <w:rPr>
          <w:sz w:val="20"/>
          <w:szCs w:val="20"/>
          <w:lang w:val="es-ES_tradnl"/>
        </w:rPr>
      </w:pPr>
    </w:p>
    <w:p w14:paraId="51BC560F" w14:textId="413E575D" w:rsidR="001428E1" w:rsidRDefault="001428E1" w:rsidP="00B13AA1">
      <w:pPr>
        <w:spacing w:after="200" w:line="276" w:lineRule="auto"/>
        <w:rPr>
          <w:sz w:val="20"/>
          <w:szCs w:val="20"/>
          <w:lang w:val="es-ES_tradnl"/>
        </w:rPr>
      </w:pPr>
    </w:p>
    <w:p w14:paraId="0FAA636E" w14:textId="16B521DE" w:rsidR="001428E1" w:rsidRDefault="001428E1" w:rsidP="00B13AA1">
      <w:pPr>
        <w:spacing w:after="200" w:line="276" w:lineRule="auto"/>
        <w:rPr>
          <w:sz w:val="20"/>
          <w:szCs w:val="20"/>
          <w:lang w:val="es-ES_tradnl"/>
        </w:rPr>
      </w:pPr>
    </w:p>
    <w:p w14:paraId="3DE11040" w14:textId="7E392F7A" w:rsidR="001428E1" w:rsidRDefault="001428E1" w:rsidP="00B13AA1">
      <w:pPr>
        <w:spacing w:after="200" w:line="276" w:lineRule="auto"/>
        <w:rPr>
          <w:sz w:val="20"/>
          <w:szCs w:val="20"/>
          <w:lang w:val="es-ES_tradnl"/>
        </w:rPr>
      </w:pPr>
    </w:p>
    <w:p w14:paraId="72DF5F6B" w14:textId="7E5C6EB3" w:rsidR="001428E1" w:rsidRDefault="001428E1" w:rsidP="00B13AA1">
      <w:pPr>
        <w:spacing w:after="200" w:line="276" w:lineRule="auto"/>
        <w:rPr>
          <w:sz w:val="20"/>
          <w:szCs w:val="20"/>
          <w:lang w:val="es-ES_tradnl"/>
        </w:rPr>
      </w:pPr>
    </w:p>
    <w:p w14:paraId="3B0FB958" w14:textId="65464998" w:rsidR="001428E1" w:rsidRDefault="001428E1" w:rsidP="00B13AA1">
      <w:pPr>
        <w:spacing w:after="200" w:line="276" w:lineRule="auto"/>
        <w:rPr>
          <w:sz w:val="20"/>
          <w:szCs w:val="20"/>
          <w:lang w:val="es-ES_tradnl"/>
        </w:rPr>
      </w:pPr>
    </w:p>
    <w:p w14:paraId="54824A3F" w14:textId="256740A9" w:rsidR="001428E1" w:rsidRDefault="001428E1" w:rsidP="00B13AA1">
      <w:pPr>
        <w:spacing w:after="200" w:line="276" w:lineRule="auto"/>
        <w:rPr>
          <w:sz w:val="20"/>
          <w:szCs w:val="20"/>
          <w:lang w:val="es-ES_tradnl"/>
        </w:rPr>
      </w:pPr>
    </w:p>
    <w:p w14:paraId="1D6C3A0F" w14:textId="77777777" w:rsidR="001428E1" w:rsidRDefault="001428E1" w:rsidP="00B13AA1">
      <w:pPr>
        <w:spacing w:after="200" w:line="276" w:lineRule="auto"/>
        <w:rPr>
          <w:sz w:val="20"/>
          <w:szCs w:val="20"/>
          <w:lang w:val="es-ES_tradnl"/>
        </w:rPr>
      </w:pPr>
    </w:p>
    <w:p w14:paraId="345D94B8" w14:textId="77777777" w:rsidR="004C5091" w:rsidRDefault="004C5091" w:rsidP="004C5091">
      <w:pPr>
        <w:jc w:val="right"/>
        <w:rPr>
          <w:rFonts w:ascii="Arial" w:hAnsi="Arial" w:cs="Arial"/>
          <w:b/>
          <w:sz w:val="22"/>
          <w:szCs w:val="20"/>
        </w:rPr>
      </w:pPr>
    </w:p>
    <w:p w14:paraId="42B8B828" w14:textId="06BE0E07" w:rsidR="004C5091" w:rsidRPr="00295D8A" w:rsidRDefault="001428E1" w:rsidP="001428E1">
      <w:pPr>
        <w:tabs>
          <w:tab w:val="left" w:pos="3374"/>
        </w:tabs>
        <w:spacing w:line="276" w:lineRule="auto"/>
        <w:jc w:val="right"/>
        <w:rPr>
          <w:rFonts w:ascii="Arial" w:hAnsi="Arial" w:cs="Arial"/>
          <w:noProof/>
          <w:sz w:val="22"/>
          <w:lang w:val="es-ES_tradnl"/>
        </w:rPr>
      </w:pPr>
      <w:r>
        <w:rPr>
          <w:noProof/>
        </w:rPr>
        <w:drawing>
          <wp:inline distT="0" distB="0" distL="0" distR="0" wp14:anchorId="442CD019" wp14:editId="3ED32925">
            <wp:extent cx="2551339" cy="714375"/>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2737" t="29144" r="17397" b="55980"/>
                    <a:stretch/>
                  </pic:blipFill>
                  <pic:spPr bwMode="auto">
                    <a:xfrm>
                      <a:off x="0" y="0"/>
                      <a:ext cx="2587619" cy="724533"/>
                    </a:xfrm>
                    <a:prstGeom prst="rect">
                      <a:avLst/>
                    </a:prstGeom>
                    <a:ln>
                      <a:noFill/>
                    </a:ln>
                    <a:extLst>
                      <a:ext uri="{53640926-AAD7-44D8-BBD7-CCE9431645EC}">
                        <a14:shadowObscured xmlns:a14="http://schemas.microsoft.com/office/drawing/2010/main"/>
                      </a:ext>
                    </a:extLst>
                  </pic:spPr>
                </pic:pic>
              </a:graphicData>
            </a:graphic>
          </wp:inline>
        </w:drawing>
      </w:r>
    </w:p>
    <w:p w14:paraId="06C9ADFA" w14:textId="7867A51C" w:rsidR="000920F0" w:rsidRPr="00EE7AB2" w:rsidRDefault="000920F0" w:rsidP="00F106B5">
      <w:pPr>
        <w:tabs>
          <w:tab w:val="left" w:pos="3374"/>
        </w:tabs>
        <w:spacing w:line="276" w:lineRule="auto"/>
        <w:rPr>
          <w:rFonts w:ascii="Arial" w:hAnsi="Arial" w:cs="Arial"/>
          <w:noProof/>
          <w:sz w:val="22"/>
          <w:lang w:val="es-ES_tradnl"/>
        </w:rPr>
      </w:pPr>
    </w:p>
    <w:p w14:paraId="55FA24EE" w14:textId="77777777" w:rsidR="00597B94" w:rsidRPr="00EE7AB2" w:rsidRDefault="00597B94" w:rsidP="00F106B5">
      <w:pPr>
        <w:tabs>
          <w:tab w:val="left" w:pos="3374"/>
        </w:tabs>
        <w:spacing w:line="276" w:lineRule="auto"/>
        <w:rPr>
          <w:rFonts w:ascii="Arial" w:hAnsi="Arial" w:cs="Arial"/>
          <w:noProof/>
          <w:sz w:val="22"/>
          <w:lang w:val="es-ES_tradnl"/>
        </w:rPr>
      </w:pPr>
    </w:p>
    <w:p w14:paraId="3AC7108A" w14:textId="69AE4A7C" w:rsidR="009959B4" w:rsidRPr="00EE7AB2" w:rsidRDefault="00C15D32" w:rsidP="00875A80">
      <w:pPr>
        <w:rPr>
          <w:rFonts w:ascii="Arial" w:hAnsi="Arial" w:cs="Arial"/>
          <w:bCs/>
          <w:noProof/>
          <w:sz w:val="22"/>
          <w:lang w:val="es-ES_tradnl"/>
        </w:rPr>
      </w:pPr>
      <w:r w:rsidRPr="00EE7AB2">
        <w:rPr>
          <w:rFonts w:ascii="Arial" w:hAnsi="Arial" w:cs="Arial"/>
          <w:bCs/>
          <w:noProof/>
          <w:sz w:val="22"/>
          <w:lang w:val="es-ES_tradnl"/>
        </w:rPr>
        <w:t>Seño</w:t>
      </w:r>
      <w:r w:rsidR="009959B4" w:rsidRPr="00EE7AB2">
        <w:rPr>
          <w:rFonts w:ascii="Arial" w:hAnsi="Arial" w:cs="Arial"/>
          <w:bCs/>
          <w:noProof/>
          <w:sz w:val="22"/>
          <w:lang w:val="es-ES_tradnl"/>
        </w:rPr>
        <w:t>r</w:t>
      </w:r>
      <w:r w:rsidR="004C5091">
        <w:rPr>
          <w:rFonts w:ascii="Arial" w:hAnsi="Arial" w:cs="Arial"/>
          <w:bCs/>
          <w:noProof/>
          <w:sz w:val="22"/>
          <w:lang w:val="es-ES_tradnl"/>
        </w:rPr>
        <w:t>a</w:t>
      </w:r>
    </w:p>
    <w:p w14:paraId="53A242A5" w14:textId="5C5698FC" w:rsidR="00A457BC" w:rsidRPr="004C5091" w:rsidRDefault="004C5091" w:rsidP="00875A80">
      <w:pPr>
        <w:rPr>
          <w:rFonts w:ascii="Arial" w:hAnsi="Arial" w:cs="Arial"/>
          <w:b/>
          <w:noProof/>
          <w:sz w:val="22"/>
          <w:lang w:val="es-ES_tradnl"/>
        </w:rPr>
      </w:pPr>
      <w:r w:rsidRPr="004C5091">
        <w:rPr>
          <w:rFonts w:ascii="Arial" w:hAnsi="Arial" w:cs="Arial"/>
          <w:b/>
          <w:noProof/>
          <w:sz w:val="22"/>
          <w:lang w:val="es-ES_tradnl"/>
        </w:rPr>
        <w:t>CATALINA TELLEZ POSADA</w:t>
      </w:r>
    </w:p>
    <w:p w14:paraId="188163AF" w14:textId="5B5F2016" w:rsidR="000920F0" w:rsidRPr="00EE7AB2" w:rsidRDefault="004C5091" w:rsidP="00875A80">
      <w:pPr>
        <w:rPr>
          <w:rFonts w:ascii="Arial" w:hAnsi="Arial" w:cs="Arial"/>
          <w:noProof/>
          <w:sz w:val="22"/>
          <w:lang w:val="es-ES_tradnl"/>
        </w:rPr>
      </w:pPr>
      <w:r>
        <w:rPr>
          <w:rFonts w:ascii="Arial" w:hAnsi="Arial" w:cs="Arial"/>
          <w:noProof/>
          <w:sz w:val="22"/>
          <w:lang w:val="es-ES_tradnl"/>
        </w:rPr>
        <w:t>Bogota, D.C.</w:t>
      </w:r>
    </w:p>
    <w:p w14:paraId="200CDA3A" w14:textId="281CB45F" w:rsidR="00597B94" w:rsidRPr="00EE7AB2" w:rsidRDefault="00597B94" w:rsidP="00597B94">
      <w:pPr>
        <w:rPr>
          <w:rFonts w:ascii="Arial" w:hAnsi="Arial" w:cs="Arial"/>
          <w:noProof/>
          <w:sz w:val="22"/>
          <w:lang w:val="es-ES_tradnl"/>
        </w:rPr>
      </w:pPr>
    </w:p>
    <w:p w14:paraId="7040570F" w14:textId="77777777" w:rsidR="00597B94" w:rsidRPr="00EE7AB2" w:rsidRDefault="00597B94" w:rsidP="00597B94">
      <w:pPr>
        <w:rPr>
          <w:rFonts w:ascii="Arial" w:hAnsi="Arial" w:cs="Arial"/>
          <w:noProof/>
          <w:sz w:val="22"/>
          <w:lang w:val="es-ES_tradnl"/>
        </w:rPr>
      </w:pPr>
    </w:p>
    <w:p w14:paraId="36D9E2A1" w14:textId="71938131" w:rsidR="000920F0" w:rsidRPr="00EE7AB2" w:rsidRDefault="00597B94" w:rsidP="00A33107">
      <w:pPr>
        <w:rPr>
          <w:rFonts w:ascii="Arial" w:hAnsi="Arial" w:cs="Arial"/>
          <w:b/>
          <w:noProof/>
          <w:sz w:val="22"/>
          <w:lang w:val="es-ES_tradnl"/>
        </w:rPr>
      </w:pPr>
      <w:r w:rsidRPr="00EE7AB2">
        <w:rPr>
          <w:rFonts w:ascii="Arial" w:hAnsi="Arial" w:cs="Arial"/>
          <w:b/>
          <w:noProof/>
          <w:sz w:val="22"/>
          <w:lang w:val="es-ES_tradnl"/>
        </w:rPr>
        <w:t xml:space="preserve">                                            </w:t>
      </w:r>
      <w:r w:rsidR="000920F0" w:rsidRPr="00EE7AB2">
        <w:rPr>
          <w:rFonts w:ascii="Arial" w:hAnsi="Arial" w:cs="Arial"/>
          <w:b/>
          <w:noProof/>
          <w:sz w:val="22"/>
          <w:lang w:val="es-ES_tradnl"/>
        </w:rPr>
        <w:t xml:space="preserve">Concepto C </w:t>
      </w:r>
      <w:r w:rsidR="007F6877" w:rsidRPr="00EE7AB2">
        <w:rPr>
          <w:rFonts w:ascii="Arial" w:hAnsi="Arial" w:cs="Arial"/>
          <w:b/>
          <w:noProof/>
          <w:sz w:val="22"/>
          <w:lang w:val="es-ES_tradnl"/>
        </w:rPr>
        <w:t>–</w:t>
      </w:r>
      <w:r w:rsidR="000920F0" w:rsidRPr="00EE7AB2">
        <w:rPr>
          <w:rFonts w:ascii="Arial" w:hAnsi="Arial" w:cs="Arial"/>
          <w:b/>
          <w:noProof/>
          <w:sz w:val="22"/>
          <w:lang w:val="es-ES_tradnl"/>
        </w:rPr>
        <w:t xml:space="preserve"> </w:t>
      </w:r>
      <w:r w:rsidR="004C5091">
        <w:rPr>
          <w:rFonts w:ascii="Arial" w:hAnsi="Arial" w:cs="Arial"/>
          <w:b/>
          <w:noProof/>
          <w:sz w:val="22"/>
          <w:lang w:val="es-ES_tradnl"/>
        </w:rPr>
        <w:t>107</w:t>
      </w:r>
      <w:r w:rsidR="009959B4" w:rsidRPr="00EE7AB2">
        <w:rPr>
          <w:rFonts w:ascii="Arial" w:hAnsi="Arial" w:cs="Arial"/>
          <w:b/>
          <w:noProof/>
          <w:sz w:val="22"/>
          <w:lang w:val="es-ES_tradnl"/>
        </w:rPr>
        <w:t xml:space="preserve"> </w:t>
      </w:r>
      <w:r w:rsidR="000920F0" w:rsidRPr="00EE7AB2">
        <w:rPr>
          <w:rFonts w:ascii="Arial" w:hAnsi="Arial" w:cs="Arial"/>
          <w:b/>
          <w:noProof/>
          <w:sz w:val="22"/>
          <w:lang w:val="es-ES_tradnl"/>
        </w:rPr>
        <w:t>de 202</w:t>
      </w:r>
      <w:r w:rsidR="008F2BB7">
        <w:rPr>
          <w:rFonts w:ascii="Arial" w:hAnsi="Arial" w:cs="Arial"/>
          <w:b/>
          <w:noProof/>
          <w:sz w:val="22"/>
          <w:lang w:val="es-ES_tradnl"/>
        </w:rPr>
        <w:t>1</w:t>
      </w:r>
    </w:p>
    <w:p w14:paraId="5FD7FADA" w14:textId="77777777" w:rsidR="000920F0" w:rsidRPr="00EE7AB2" w:rsidRDefault="000920F0" w:rsidP="00875A80">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EE7AB2" w14:paraId="16CF89C4" w14:textId="77777777" w:rsidTr="0041420E">
        <w:trPr>
          <w:trHeight w:val="591"/>
        </w:trPr>
        <w:tc>
          <w:tcPr>
            <w:tcW w:w="2689" w:type="dxa"/>
            <w:hideMark/>
          </w:tcPr>
          <w:p w14:paraId="76A5E400" w14:textId="4F5E41B5" w:rsidR="000920F0" w:rsidRPr="00EE7AB2" w:rsidRDefault="000920F0" w:rsidP="0041420E">
            <w:pPr>
              <w:rPr>
                <w:rFonts w:ascii="Arial" w:hAnsi="Arial" w:cs="Arial"/>
                <w:noProof/>
                <w:sz w:val="22"/>
                <w:lang w:val="es-ES_tradnl"/>
              </w:rPr>
            </w:pPr>
            <w:r w:rsidRPr="00EE7AB2">
              <w:rPr>
                <w:rFonts w:ascii="Arial" w:hAnsi="Arial" w:cs="Arial"/>
                <w:b/>
                <w:noProof/>
                <w:sz w:val="22"/>
                <w:lang w:val="es-ES_tradnl"/>
              </w:rPr>
              <w:t>Temas:</w:t>
            </w:r>
            <w:r w:rsidRPr="00EE7AB2">
              <w:rPr>
                <w:rFonts w:ascii="Arial" w:hAnsi="Arial" w:cs="Arial"/>
                <w:noProof/>
                <w:sz w:val="22"/>
                <w:lang w:val="es-ES_tradnl"/>
              </w:rPr>
              <w:t xml:space="preserve">        </w:t>
            </w:r>
          </w:p>
        </w:tc>
        <w:tc>
          <w:tcPr>
            <w:tcW w:w="6237" w:type="dxa"/>
            <w:hideMark/>
          </w:tcPr>
          <w:p w14:paraId="5528BC60" w14:textId="21CA2486" w:rsidR="000920F0" w:rsidRPr="00EE7AB2" w:rsidRDefault="007116DC" w:rsidP="00A33107">
            <w:pPr>
              <w:pStyle w:val="Prrafodelista"/>
              <w:spacing w:after="120"/>
              <w:ind w:left="0"/>
              <w:jc w:val="both"/>
              <w:rPr>
                <w:rFonts w:ascii="Arial" w:hAnsi="Arial" w:cs="Arial"/>
                <w:b/>
                <w:bCs/>
                <w:noProof/>
                <w:sz w:val="22"/>
                <w:highlight w:val="yellow"/>
                <w:lang w:val="es-ES_tradnl"/>
              </w:rPr>
            </w:pPr>
            <w:r w:rsidRPr="007116DC">
              <w:rPr>
                <w:rFonts w:ascii="Arial" w:hAnsi="Arial" w:cs="Arial"/>
                <w:noProof/>
                <w:sz w:val="22"/>
                <w:lang w:val="es-ES_tradnl"/>
              </w:rPr>
              <w:t>DOCUMENTOS TIPO – Obligatoriedad</w:t>
            </w:r>
            <w:r w:rsidR="006C04B6" w:rsidRPr="00EE7AB2">
              <w:rPr>
                <w:rFonts w:ascii="Arial" w:hAnsi="Arial" w:cs="Arial"/>
                <w:noProof/>
                <w:sz w:val="22"/>
                <w:lang w:val="es-ES_tradnl"/>
              </w:rPr>
              <w:t xml:space="preserve"> / </w:t>
            </w:r>
            <w:r w:rsidRPr="007116DC">
              <w:rPr>
                <w:rFonts w:ascii="Arial" w:hAnsi="Arial" w:cs="Arial"/>
                <w:noProof/>
                <w:sz w:val="22"/>
                <w:lang w:val="es-ES_tradnl"/>
              </w:rPr>
              <w:t>DOCUMENTOS TIPO – Finalidad legislativa</w:t>
            </w:r>
            <w:r w:rsidR="009959B4" w:rsidRPr="00EE7AB2">
              <w:rPr>
                <w:rFonts w:ascii="Arial" w:hAnsi="Arial" w:cs="Arial"/>
                <w:noProof/>
                <w:sz w:val="22"/>
                <w:lang w:val="es-ES_tradnl"/>
              </w:rPr>
              <w:t xml:space="preserve"> </w:t>
            </w:r>
            <w:r w:rsidR="006C04B6" w:rsidRPr="00EE7AB2">
              <w:rPr>
                <w:rFonts w:ascii="Arial" w:hAnsi="Arial" w:cs="Arial"/>
                <w:noProof/>
                <w:sz w:val="22"/>
                <w:lang w:val="es-ES_tradnl"/>
              </w:rPr>
              <w:t xml:space="preserve">/ </w:t>
            </w:r>
            <w:r w:rsidR="00E7204B" w:rsidRPr="00E7204B">
              <w:rPr>
                <w:rFonts w:ascii="Arial" w:hAnsi="Arial" w:cs="Arial"/>
                <w:noProof/>
                <w:sz w:val="22"/>
                <w:lang w:val="es-ES_tradnl"/>
              </w:rPr>
              <w:t>INALTERABILIDAD – Documentos tipo – Regla vigente – Contenido</w:t>
            </w:r>
            <w:r w:rsidR="009959B4" w:rsidRPr="00EE7AB2">
              <w:rPr>
                <w:rFonts w:ascii="Arial" w:hAnsi="Arial" w:cs="Arial"/>
                <w:noProof/>
                <w:sz w:val="22"/>
                <w:lang w:val="es-ES_tradnl"/>
              </w:rPr>
              <w:t xml:space="preserve"> </w:t>
            </w:r>
          </w:p>
        </w:tc>
      </w:tr>
      <w:tr w:rsidR="00295D8A" w:rsidRPr="00EE7AB2" w14:paraId="5C0B4203" w14:textId="77777777" w:rsidTr="0041420E">
        <w:tc>
          <w:tcPr>
            <w:tcW w:w="2689" w:type="dxa"/>
          </w:tcPr>
          <w:p w14:paraId="32E4E458" w14:textId="77777777" w:rsidR="000920F0" w:rsidRPr="00EE7AB2" w:rsidRDefault="000920F0" w:rsidP="0041420E">
            <w:pPr>
              <w:rPr>
                <w:rFonts w:ascii="Arial" w:hAnsi="Arial" w:cs="Arial"/>
                <w:b/>
                <w:noProof/>
                <w:sz w:val="22"/>
                <w:lang w:val="es-ES_tradnl"/>
              </w:rPr>
            </w:pPr>
            <w:r w:rsidRPr="00EE7AB2">
              <w:rPr>
                <w:rFonts w:ascii="Arial" w:hAnsi="Arial" w:cs="Arial"/>
                <w:b/>
                <w:noProof/>
                <w:sz w:val="22"/>
                <w:lang w:val="es-ES_tradnl"/>
              </w:rPr>
              <w:t>Radicación:</w:t>
            </w:r>
            <w:r w:rsidRPr="00EE7AB2">
              <w:rPr>
                <w:rFonts w:ascii="Arial" w:hAnsi="Arial" w:cs="Arial"/>
                <w:noProof/>
                <w:sz w:val="22"/>
                <w:lang w:val="es-ES_tradnl"/>
              </w:rPr>
              <w:t xml:space="preserve">                              </w:t>
            </w:r>
          </w:p>
        </w:tc>
        <w:tc>
          <w:tcPr>
            <w:tcW w:w="6237" w:type="dxa"/>
          </w:tcPr>
          <w:p w14:paraId="44F0F9F2" w14:textId="59D2909E" w:rsidR="004C5091" w:rsidRPr="004C5091" w:rsidRDefault="000920F0" w:rsidP="004C5091">
            <w:pPr>
              <w:jc w:val="both"/>
              <w:rPr>
                <w:rFonts w:ascii="Arial" w:hAnsi="Arial" w:cs="Arial"/>
                <w:noProof/>
                <w:sz w:val="22"/>
                <w:lang w:val="es-ES_tradnl"/>
              </w:rPr>
            </w:pPr>
            <w:r w:rsidRPr="00EE7AB2">
              <w:rPr>
                <w:rFonts w:ascii="Arial" w:hAnsi="Arial" w:cs="Arial"/>
                <w:noProof/>
                <w:sz w:val="22"/>
                <w:lang w:val="es-ES_tradnl"/>
              </w:rPr>
              <w:t>Respuesta a consulta</w:t>
            </w:r>
            <w:r w:rsidR="00EC35C7" w:rsidRPr="00EE7AB2">
              <w:rPr>
                <w:rFonts w:ascii="Arial" w:hAnsi="Arial" w:cs="Arial"/>
                <w:noProof/>
                <w:sz w:val="22"/>
                <w:lang w:val="es-ES_tradnl"/>
              </w:rPr>
              <w:t xml:space="preserve"> </w:t>
            </w:r>
            <w:r w:rsidRPr="00EE7AB2">
              <w:rPr>
                <w:rFonts w:ascii="Arial" w:hAnsi="Arial" w:cs="Arial"/>
                <w:noProof/>
                <w:sz w:val="22"/>
                <w:lang w:val="es-ES_tradnl"/>
              </w:rPr>
              <w:t xml:space="preserve"># </w:t>
            </w:r>
            <w:r w:rsidR="004C5091" w:rsidRPr="004C5091">
              <w:rPr>
                <w:rFonts w:ascii="Arial" w:hAnsi="Arial" w:cs="Arial"/>
                <w:noProof/>
                <w:sz w:val="22"/>
                <w:lang w:val="es-ES_tradnl"/>
              </w:rPr>
              <w:t>P20210330002582</w:t>
            </w:r>
          </w:p>
          <w:p w14:paraId="1218CA08" w14:textId="47396B7F" w:rsidR="000920F0" w:rsidRPr="00EE7AB2" w:rsidRDefault="000920F0" w:rsidP="0041420E">
            <w:pPr>
              <w:jc w:val="both"/>
              <w:rPr>
                <w:rFonts w:ascii="Arial" w:hAnsi="Arial" w:cs="Arial"/>
                <w:noProof/>
                <w:sz w:val="22"/>
                <w:lang w:val="es-ES_tradnl"/>
              </w:rPr>
            </w:pPr>
          </w:p>
        </w:tc>
      </w:tr>
    </w:tbl>
    <w:p w14:paraId="36F05444" w14:textId="77777777" w:rsidR="000920F0" w:rsidRPr="00EE7AB2" w:rsidRDefault="000920F0" w:rsidP="00875A80">
      <w:pPr>
        <w:jc w:val="both"/>
        <w:rPr>
          <w:rFonts w:ascii="Arial" w:hAnsi="Arial" w:cs="Arial"/>
          <w:noProof/>
          <w:sz w:val="22"/>
          <w:lang w:val="es-ES_tradnl"/>
        </w:rPr>
      </w:pPr>
    </w:p>
    <w:p w14:paraId="3CDD931D" w14:textId="77777777" w:rsidR="000920F0" w:rsidRPr="00EE7AB2" w:rsidRDefault="000920F0" w:rsidP="00875A80">
      <w:pPr>
        <w:rPr>
          <w:rFonts w:ascii="Arial" w:hAnsi="Arial" w:cs="Arial"/>
          <w:noProof/>
          <w:sz w:val="22"/>
          <w:lang w:val="es-ES_tradnl"/>
        </w:rPr>
      </w:pPr>
    </w:p>
    <w:p w14:paraId="1B619448" w14:textId="4967E64E" w:rsidR="000920F0" w:rsidRPr="00EE7AB2" w:rsidRDefault="00C15D32" w:rsidP="00875A80">
      <w:pPr>
        <w:rPr>
          <w:rFonts w:ascii="Arial" w:hAnsi="Arial" w:cs="Arial"/>
          <w:noProof/>
          <w:sz w:val="22"/>
          <w:lang w:val="es-ES_tradnl"/>
        </w:rPr>
      </w:pPr>
      <w:r w:rsidRPr="00EE7AB2">
        <w:rPr>
          <w:rFonts w:ascii="Arial" w:hAnsi="Arial" w:cs="Arial"/>
          <w:noProof/>
          <w:sz w:val="22"/>
          <w:lang w:val="es-ES_tradnl"/>
        </w:rPr>
        <w:t>Estimad</w:t>
      </w:r>
      <w:r w:rsidR="00B17150">
        <w:rPr>
          <w:rFonts w:ascii="Arial" w:hAnsi="Arial" w:cs="Arial"/>
          <w:noProof/>
          <w:sz w:val="22"/>
          <w:lang w:val="es-ES_tradnl"/>
        </w:rPr>
        <w:t>a</w:t>
      </w:r>
      <w:r w:rsidRPr="00EE7AB2">
        <w:rPr>
          <w:rFonts w:ascii="Arial" w:hAnsi="Arial" w:cs="Arial"/>
          <w:noProof/>
          <w:sz w:val="22"/>
          <w:lang w:val="es-ES_tradnl"/>
        </w:rPr>
        <w:t xml:space="preserve"> </w:t>
      </w:r>
      <w:r w:rsidR="005A2B7F" w:rsidRPr="00EE7AB2">
        <w:rPr>
          <w:rFonts w:ascii="Arial" w:hAnsi="Arial" w:cs="Arial"/>
          <w:noProof/>
          <w:sz w:val="22"/>
          <w:lang w:val="es-ES_tradnl"/>
        </w:rPr>
        <w:t>señor</w:t>
      </w:r>
      <w:r w:rsidR="004C5091">
        <w:rPr>
          <w:rFonts w:ascii="Arial" w:hAnsi="Arial" w:cs="Arial"/>
          <w:noProof/>
          <w:sz w:val="22"/>
          <w:lang w:val="es-ES_tradnl"/>
        </w:rPr>
        <w:t>a</w:t>
      </w:r>
      <w:r w:rsidR="005A2B7F" w:rsidRPr="00EE7AB2">
        <w:rPr>
          <w:rFonts w:ascii="Arial" w:hAnsi="Arial" w:cs="Arial"/>
          <w:noProof/>
          <w:sz w:val="22"/>
          <w:lang w:val="es-ES_tradnl"/>
        </w:rPr>
        <w:t xml:space="preserve"> </w:t>
      </w:r>
      <w:r w:rsidR="004C5091">
        <w:rPr>
          <w:rFonts w:ascii="Arial" w:hAnsi="Arial" w:cs="Arial"/>
          <w:noProof/>
          <w:sz w:val="22"/>
          <w:lang w:val="es-ES_tradnl"/>
        </w:rPr>
        <w:t>Tellez</w:t>
      </w:r>
      <w:r w:rsidR="00F16EAD">
        <w:rPr>
          <w:rFonts w:ascii="Arial" w:hAnsi="Arial" w:cs="Arial"/>
          <w:noProof/>
          <w:sz w:val="22"/>
          <w:lang w:val="es-ES_tradnl"/>
        </w:rPr>
        <w:t>:</w:t>
      </w:r>
    </w:p>
    <w:p w14:paraId="09825258" w14:textId="77777777" w:rsidR="000920F0" w:rsidRPr="00EE7AB2" w:rsidRDefault="000920F0" w:rsidP="00F106B5">
      <w:pPr>
        <w:spacing w:line="276" w:lineRule="auto"/>
        <w:rPr>
          <w:rFonts w:ascii="Arial" w:hAnsi="Arial" w:cs="Arial"/>
          <w:noProof/>
          <w:sz w:val="22"/>
          <w:lang w:val="es-ES_tradnl"/>
        </w:rPr>
      </w:pPr>
    </w:p>
    <w:p w14:paraId="1941402D" w14:textId="0C152695" w:rsidR="004B7D75" w:rsidRPr="00EE7AB2" w:rsidRDefault="004B7D75" w:rsidP="004B7D75">
      <w:pPr>
        <w:spacing w:line="276" w:lineRule="auto"/>
        <w:jc w:val="both"/>
        <w:rPr>
          <w:rFonts w:ascii="Arial" w:hAnsi="Arial" w:cs="Arial"/>
          <w:sz w:val="22"/>
        </w:rPr>
      </w:pPr>
      <w:r w:rsidRPr="00EE7AB2">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4C5091">
        <w:rPr>
          <w:rFonts w:ascii="Arial" w:hAnsi="Arial" w:cs="Arial"/>
          <w:sz w:val="22"/>
        </w:rPr>
        <w:t>24</w:t>
      </w:r>
      <w:r w:rsidR="00F16EAD">
        <w:rPr>
          <w:rFonts w:ascii="Arial" w:hAnsi="Arial" w:cs="Arial"/>
          <w:sz w:val="22"/>
        </w:rPr>
        <w:t xml:space="preserve"> de </w:t>
      </w:r>
      <w:r w:rsidR="004C5091">
        <w:rPr>
          <w:rFonts w:ascii="Arial" w:hAnsi="Arial" w:cs="Arial"/>
          <w:sz w:val="22"/>
        </w:rPr>
        <w:t>marzo</w:t>
      </w:r>
      <w:r w:rsidRPr="00EE7AB2">
        <w:rPr>
          <w:rFonts w:ascii="Arial" w:hAnsi="Arial" w:cs="Arial"/>
          <w:sz w:val="22"/>
        </w:rPr>
        <w:t xml:space="preserve"> del 202</w:t>
      </w:r>
      <w:r w:rsidR="00F16EAD">
        <w:rPr>
          <w:rFonts w:ascii="Arial" w:hAnsi="Arial" w:cs="Arial"/>
          <w:sz w:val="22"/>
        </w:rPr>
        <w:t>1</w:t>
      </w:r>
      <w:r w:rsidRPr="00EE7AB2">
        <w:rPr>
          <w:rFonts w:ascii="Arial" w:hAnsi="Arial" w:cs="Arial"/>
          <w:sz w:val="22"/>
        </w:rPr>
        <w:t xml:space="preserve">. </w:t>
      </w:r>
    </w:p>
    <w:p w14:paraId="28C2ECB0" w14:textId="77777777" w:rsidR="000920F0" w:rsidRPr="00EE7AB2" w:rsidRDefault="000920F0" w:rsidP="00F106B5">
      <w:pPr>
        <w:tabs>
          <w:tab w:val="left" w:pos="426"/>
        </w:tabs>
        <w:spacing w:line="276" w:lineRule="auto"/>
        <w:jc w:val="both"/>
        <w:rPr>
          <w:rFonts w:ascii="Arial" w:hAnsi="Arial" w:cs="Arial"/>
          <w:noProof/>
          <w:sz w:val="22"/>
          <w:lang w:val="es-ES_tradnl"/>
        </w:rPr>
      </w:pPr>
    </w:p>
    <w:p w14:paraId="58FEF0FB" w14:textId="47041351" w:rsidR="000920F0" w:rsidRPr="00EE7AB2" w:rsidRDefault="00317242" w:rsidP="00F106B5">
      <w:pPr>
        <w:pStyle w:val="Prrafodelista"/>
        <w:tabs>
          <w:tab w:val="left" w:pos="284"/>
        </w:tabs>
        <w:spacing w:line="276" w:lineRule="auto"/>
        <w:ind w:left="0"/>
        <w:jc w:val="both"/>
        <w:rPr>
          <w:rFonts w:ascii="Arial" w:eastAsia="Calibri" w:hAnsi="Arial" w:cs="Arial"/>
          <w:b/>
          <w:noProof/>
          <w:sz w:val="22"/>
          <w:lang w:val="es-ES_tradnl"/>
        </w:rPr>
      </w:pPr>
      <w:bookmarkStart w:id="3" w:name="_Hlk50978304"/>
      <w:r w:rsidRPr="00EE7AB2">
        <w:rPr>
          <w:rFonts w:ascii="Arial" w:eastAsia="Calibri" w:hAnsi="Arial" w:cs="Arial"/>
          <w:b/>
          <w:noProof/>
          <w:sz w:val="22"/>
          <w:lang w:val="es-ES_tradnl"/>
        </w:rPr>
        <w:t xml:space="preserve">1. </w:t>
      </w:r>
      <w:r w:rsidR="000920F0" w:rsidRPr="00EE7AB2">
        <w:rPr>
          <w:rFonts w:ascii="Arial" w:eastAsia="Calibri" w:hAnsi="Arial" w:cs="Arial"/>
          <w:b/>
          <w:noProof/>
          <w:sz w:val="22"/>
          <w:lang w:val="es-ES_tradnl"/>
        </w:rPr>
        <w:t>Problema planteado</w:t>
      </w:r>
    </w:p>
    <w:p w14:paraId="476FAD3E" w14:textId="30ED6726" w:rsidR="000920F0" w:rsidRPr="00EE7AB2" w:rsidRDefault="000920F0" w:rsidP="00F106B5">
      <w:pPr>
        <w:tabs>
          <w:tab w:val="left" w:pos="426"/>
        </w:tabs>
        <w:spacing w:line="276" w:lineRule="auto"/>
        <w:jc w:val="both"/>
        <w:rPr>
          <w:rFonts w:ascii="Arial" w:hAnsi="Arial" w:cs="Arial"/>
          <w:b/>
          <w:noProof/>
          <w:sz w:val="22"/>
          <w:lang w:val="es-ES_tradnl"/>
        </w:rPr>
      </w:pPr>
    </w:p>
    <w:p w14:paraId="6BF59965" w14:textId="3A78527B" w:rsidR="00AF080A" w:rsidRPr="00EE7AB2" w:rsidRDefault="000920F0" w:rsidP="00652FC6">
      <w:pPr>
        <w:tabs>
          <w:tab w:val="left" w:pos="426"/>
        </w:tabs>
        <w:spacing w:line="276" w:lineRule="auto"/>
        <w:jc w:val="both"/>
        <w:rPr>
          <w:rFonts w:ascii="Arial" w:hAnsi="Arial" w:cs="Arial"/>
          <w:noProof/>
          <w:sz w:val="22"/>
          <w:lang w:val="es-ES_tradnl"/>
        </w:rPr>
      </w:pPr>
      <w:r w:rsidRPr="00EE7AB2">
        <w:rPr>
          <w:rFonts w:ascii="Arial" w:hAnsi="Arial" w:cs="Arial"/>
          <w:noProof/>
          <w:sz w:val="22"/>
          <w:lang w:val="es-ES_tradnl"/>
        </w:rPr>
        <w:t xml:space="preserve">Usted </w:t>
      </w:r>
      <w:r w:rsidR="00D3720F" w:rsidRPr="00EE7AB2">
        <w:rPr>
          <w:rFonts w:ascii="Arial" w:hAnsi="Arial" w:cs="Arial"/>
          <w:noProof/>
          <w:sz w:val="22"/>
          <w:lang w:val="es-ES_tradnl"/>
        </w:rPr>
        <w:t>formuló</w:t>
      </w:r>
      <w:r w:rsidRPr="00EE7AB2">
        <w:rPr>
          <w:rFonts w:ascii="Arial" w:hAnsi="Arial" w:cs="Arial"/>
          <w:noProof/>
          <w:sz w:val="22"/>
          <w:lang w:val="es-ES_tradnl"/>
        </w:rPr>
        <w:t xml:space="preserve"> la siguiente </w:t>
      </w:r>
      <w:r w:rsidR="00EB66DA" w:rsidRPr="00EE7AB2">
        <w:rPr>
          <w:rFonts w:ascii="Arial" w:hAnsi="Arial" w:cs="Arial"/>
          <w:noProof/>
          <w:sz w:val="22"/>
          <w:lang w:val="es-ES_tradnl"/>
        </w:rPr>
        <w:t>pregunta</w:t>
      </w:r>
      <w:r w:rsidRPr="00EE7AB2">
        <w:rPr>
          <w:rFonts w:ascii="Arial" w:hAnsi="Arial" w:cs="Arial"/>
          <w:noProof/>
          <w:sz w:val="22"/>
          <w:lang w:val="es-ES_tradnl"/>
        </w:rPr>
        <w:t xml:space="preserve">: </w:t>
      </w:r>
      <w:r w:rsidR="000D2573" w:rsidRPr="00EE7AB2">
        <w:rPr>
          <w:rFonts w:ascii="Arial" w:hAnsi="Arial" w:cs="Arial"/>
          <w:noProof/>
          <w:sz w:val="22"/>
          <w:lang w:val="es-ES_tradnl"/>
        </w:rPr>
        <w:t>«</w:t>
      </w:r>
      <w:r w:rsidR="00F06271" w:rsidRPr="00F06271">
        <w:rPr>
          <w:rFonts w:ascii="Arial" w:hAnsi="Arial" w:cs="Arial"/>
          <w:noProof/>
          <w:sz w:val="22"/>
          <w:lang w:val="es-ES_tradnl"/>
        </w:rPr>
        <w:t>¿</w:t>
      </w:r>
      <w:r w:rsidR="004C5091" w:rsidRPr="004C5091">
        <w:rPr>
          <w:rFonts w:ascii="Arial" w:hAnsi="Arial" w:cs="Arial"/>
          <w:noProof/>
          <w:sz w:val="22"/>
          <w:lang w:val="es-ES_tradnl"/>
        </w:rPr>
        <w:t>Qué procede cuando al aplicar los métodos A.</w:t>
      </w:r>
      <w:r w:rsidR="004C5091">
        <w:rPr>
          <w:rFonts w:ascii="Arial" w:hAnsi="Arial" w:cs="Arial"/>
          <w:noProof/>
          <w:sz w:val="22"/>
          <w:lang w:val="es-ES_tradnl"/>
        </w:rPr>
        <w:t xml:space="preserve"> </w:t>
      </w:r>
      <w:r w:rsidR="004C5091" w:rsidRPr="004C5091">
        <w:rPr>
          <w:rFonts w:ascii="Arial" w:hAnsi="Arial" w:cs="Arial"/>
          <w:noProof/>
          <w:sz w:val="22"/>
          <w:lang w:val="es-ES_tradnl"/>
        </w:rPr>
        <w:t>Mediana con valor absoluto, C. Media Aritmética Alta y D. Media Aritmética Baja y el resultado arroja</w:t>
      </w:r>
      <w:r w:rsidR="004C5091">
        <w:rPr>
          <w:rFonts w:ascii="Arial" w:hAnsi="Arial" w:cs="Arial"/>
          <w:noProof/>
          <w:sz w:val="22"/>
          <w:lang w:val="es-ES_tradnl"/>
        </w:rPr>
        <w:t xml:space="preserve"> </w:t>
      </w:r>
      <w:r w:rsidR="004C5091" w:rsidRPr="004C5091">
        <w:rPr>
          <w:rFonts w:ascii="Arial" w:hAnsi="Arial" w:cs="Arial"/>
          <w:noProof/>
          <w:sz w:val="22"/>
          <w:lang w:val="es-ES_tradnl"/>
        </w:rPr>
        <w:t>números negativos?, bajo el entendido que el pliego tipo no lo regula?</w:t>
      </w:r>
      <w:r w:rsidR="00CF1F83">
        <w:rPr>
          <w:rFonts w:ascii="Arial" w:hAnsi="Arial" w:cs="Arial"/>
          <w:noProof/>
          <w:sz w:val="22"/>
          <w:lang w:val="es-ES_tradnl"/>
        </w:rPr>
        <w:t>»</w:t>
      </w:r>
    </w:p>
    <w:bookmarkEnd w:id="3"/>
    <w:p w14:paraId="1E4E2AE9" w14:textId="77777777" w:rsidR="00AD5641" w:rsidRPr="00EE7AB2" w:rsidRDefault="00AD5641" w:rsidP="00C452CE">
      <w:pPr>
        <w:tabs>
          <w:tab w:val="left" w:pos="426"/>
        </w:tabs>
        <w:spacing w:line="276" w:lineRule="auto"/>
        <w:jc w:val="both"/>
        <w:rPr>
          <w:rFonts w:ascii="Arial" w:hAnsi="Arial" w:cs="Arial"/>
          <w:noProof/>
          <w:sz w:val="22"/>
          <w:lang w:val="es-ES_tradnl"/>
        </w:rPr>
      </w:pPr>
    </w:p>
    <w:p w14:paraId="79882F8B" w14:textId="677DEC54" w:rsidR="000920F0" w:rsidRDefault="000920F0" w:rsidP="00F106B5">
      <w:pPr>
        <w:tabs>
          <w:tab w:val="left" w:pos="426"/>
        </w:tabs>
        <w:spacing w:line="276" w:lineRule="auto"/>
        <w:jc w:val="both"/>
        <w:rPr>
          <w:rFonts w:ascii="Arial" w:hAnsi="Arial" w:cs="Arial"/>
          <w:b/>
          <w:noProof/>
          <w:sz w:val="22"/>
          <w:lang w:val="es-ES_tradnl"/>
        </w:rPr>
      </w:pPr>
      <w:r w:rsidRPr="00EE7AB2">
        <w:rPr>
          <w:rFonts w:ascii="Arial" w:hAnsi="Arial" w:cs="Arial"/>
          <w:b/>
          <w:noProof/>
          <w:sz w:val="22"/>
          <w:lang w:val="es-ES_tradnl"/>
        </w:rPr>
        <w:t>2. Consideraciones</w:t>
      </w:r>
    </w:p>
    <w:p w14:paraId="64E03D10" w14:textId="342CBD5A" w:rsidR="00B14B73" w:rsidRDefault="00B14B73" w:rsidP="00F106B5">
      <w:pPr>
        <w:tabs>
          <w:tab w:val="left" w:pos="426"/>
        </w:tabs>
        <w:spacing w:line="276" w:lineRule="auto"/>
        <w:jc w:val="both"/>
        <w:rPr>
          <w:rFonts w:ascii="Arial" w:hAnsi="Arial" w:cs="Arial"/>
          <w:b/>
          <w:noProof/>
          <w:sz w:val="22"/>
          <w:lang w:val="es-ES_tradnl"/>
        </w:rPr>
      </w:pPr>
    </w:p>
    <w:p w14:paraId="34A375F1" w14:textId="68F444D3" w:rsidR="00B14B73" w:rsidRPr="001C64F9" w:rsidRDefault="00C30C90" w:rsidP="00B522C8">
      <w:pPr>
        <w:spacing w:after="120" w:line="276" w:lineRule="auto"/>
        <w:jc w:val="both"/>
        <w:rPr>
          <w:rFonts w:ascii="Arial" w:hAnsi="Arial" w:cs="Arial"/>
          <w:color w:val="000000" w:themeColor="text1"/>
          <w:sz w:val="22"/>
          <w:lang w:val="es-ES_tradnl"/>
        </w:rPr>
      </w:pPr>
      <w:r w:rsidRPr="00C30C90">
        <w:rPr>
          <w:rFonts w:ascii="Arial" w:hAnsi="Arial" w:cs="Arial"/>
          <w:color w:val="000000" w:themeColor="text1"/>
          <w:sz w:val="22"/>
          <w:lang w:val="es-ES_tradnl"/>
        </w:rPr>
        <w:t>Para responder la consulta, se analizarán los siguientes temas: i) fundamento normativo de los pliegos de condiciones tipo obligatorios adoptados hasta la actualidad</w:t>
      </w:r>
      <w:r w:rsidR="00B17150">
        <w:rPr>
          <w:rFonts w:ascii="Arial" w:hAnsi="Arial" w:cs="Arial"/>
          <w:color w:val="000000" w:themeColor="text1"/>
          <w:sz w:val="22"/>
          <w:lang w:val="es-ES_tradnl"/>
        </w:rPr>
        <w:t xml:space="preserve">, </w:t>
      </w:r>
      <w:r w:rsidRPr="00C30C90">
        <w:rPr>
          <w:rFonts w:ascii="Arial" w:hAnsi="Arial" w:cs="Arial"/>
          <w:color w:val="000000" w:themeColor="text1"/>
          <w:sz w:val="22"/>
          <w:lang w:val="es-ES_tradnl"/>
        </w:rPr>
        <w:t>ii) vigencia de la regla de inalterabilidad de los pliegos</w:t>
      </w:r>
      <w:r w:rsidR="00B17150">
        <w:rPr>
          <w:rFonts w:ascii="Arial" w:hAnsi="Arial" w:cs="Arial"/>
          <w:color w:val="000000" w:themeColor="text1"/>
          <w:sz w:val="22"/>
          <w:lang w:val="es-ES_tradnl"/>
        </w:rPr>
        <w:t xml:space="preserve">, y </w:t>
      </w:r>
      <w:r w:rsidR="00B17150" w:rsidRPr="00C30C90">
        <w:rPr>
          <w:rFonts w:ascii="Arial" w:hAnsi="Arial" w:cs="Arial"/>
          <w:color w:val="000000" w:themeColor="text1"/>
          <w:sz w:val="22"/>
          <w:lang w:val="es-ES_tradnl"/>
        </w:rPr>
        <w:t>iii)</w:t>
      </w:r>
      <w:r w:rsidR="00B17150">
        <w:rPr>
          <w:rFonts w:ascii="Arial" w:hAnsi="Arial" w:cs="Arial"/>
          <w:color w:val="000000" w:themeColor="text1"/>
          <w:sz w:val="22"/>
          <w:lang w:val="es-ES_tradnl"/>
        </w:rPr>
        <w:t xml:space="preserve"> p</w:t>
      </w:r>
      <w:r w:rsidR="00B17150" w:rsidRPr="00B17150">
        <w:rPr>
          <w:rFonts w:ascii="Arial" w:hAnsi="Arial" w:cs="Arial"/>
          <w:color w:val="000000" w:themeColor="text1"/>
          <w:sz w:val="22"/>
          <w:lang w:val="es-ES_tradnl"/>
        </w:rPr>
        <w:t>onderación de la experiencia del proponente en procedimientos contractuales regidos por los documentos tipo</w:t>
      </w:r>
      <w:r w:rsidR="00B17150">
        <w:rPr>
          <w:rFonts w:ascii="Arial" w:hAnsi="Arial" w:cs="Arial"/>
          <w:color w:val="000000" w:themeColor="text1"/>
          <w:sz w:val="22"/>
          <w:lang w:val="es-ES_tradnl"/>
        </w:rPr>
        <w:t>.</w:t>
      </w:r>
    </w:p>
    <w:p w14:paraId="33690142" w14:textId="2DA2D412" w:rsidR="00B14B73" w:rsidRPr="00EE7AB2" w:rsidRDefault="00C30C90" w:rsidP="00B14B73">
      <w:pPr>
        <w:tabs>
          <w:tab w:val="left" w:pos="426"/>
        </w:tabs>
        <w:spacing w:line="276" w:lineRule="auto"/>
        <w:jc w:val="both"/>
        <w:rPr>
          <w:rFonts w:ascii="Arial" w:hAnsi="Arial" w:cs="Arial"/>
          <w:b/>
          <w:noProof/>
          <w:sz w:val="22"/>
          <w:lang w:val="es-ES_tradnl"/>
        </w:rPr>
      </w:pPr>
      <w:r>
        <w:rPr>
          <w:rFonts w:ascii="Arial" w:hAnsi="Arial" w:cs="Arial"/>
          <w:noProof/>
          <w:color w:val="000000" w:themeColor="text1"/>
          <w:sz w:val="22"/>
          <w:lang w:val="es-ES_tradnl"/>
        </w:rPr>
        <w:tab/>
      </w:r>
      <w:r>
        <w:rPr>
          <w:rFonts w:ascii="Arial" w:hAnsi="Arial" w:cs="Arial"/>
          <w:noProof/>
          <w:color w:val="000000" w:themeColor="text1"/>
          <w:sz w:val="22"/>
          <w:lang w:val="es-ES_tradnl"/>
        </w:rPr>
        <w:tab/>
      </w:r>
      <w:r w:rsidR="0026547F" w:rsidRPr="001C64F9">
        <w:rPr>
          <w:rFonts w:ascii="Arial" w:hAnsi="Arial" w:cs="Arial"/>
          <w:noProof/>
          <w:color w:val="000000" w:themeColor="text1"/>
          <w:sz w:val="22"/>
          <w:lang w:val="es-ES_tradnl"/>
        </w:rPr>
        <w:t xml:space="preserve">La Agencia Nacional de Contratación Pública – Colombia Compra Eficiente </w:t>
      </w:r>
      <w:r w:rsidR="0026547F" w:rsidRPr="001C64F9">
        <w:rPr>
          <w:rFonts w:ascii="Arial" w:eastAsia="Arial" w:hAnsi="Arial" w:cs="Arial"/>
          <w:color w:val="000000"/>
          <w:sz w:val="22"/>
          <w:lang w:val="es-ES_tradnl"/>
        </w:rPr>
        <w:t xml:space="preserve">analizó el fundamento normativo de los pliegos de condiciones tipo en la contratación estatal, así </w:t>
      </w:r>
      <w:r w:rsidR="0026547F" w:rsidRPr="001C64F9">
        <w:rPr>
          <w:rFonts w:ascii="Arial" w:eastAsia="Arial" w:hAnsi="Arial" w:cs="Arial"/>
          <w:color w:val="000000"/>
          <w:sz w:val="22"/>
          <w:lang w:val="es-ES_tradnl"/>
        </w:rPr>
        <w:lastRenderedPageBreak/>
        <w:t xml:space="preserve">como su inalterabilidad, entre otros, en los siguientes conceptos: </w:t>
      </w:r>
      <w:r w:rsidR="0026547F" w:rsidRPr="001C64F9">
        <w:rPr>
          <w:rFonts w:ascii="Arial" w:eastAsia="Arial" w:hAnsi="Arial" w:cs="Arial"/>
          <w:sz w:val="22"/>
          <w:lang w:val="es-ES_tradnl"/>
        </w:rPr>
        <w:t>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w:t>
      </w:r>
      <w:r w:rsidR="00E8603F">
        <w:rPr>
          <w:rFonts w:ascii="Arial" w:eastAsia="Arial" w:hAnsi="Arial" w:cs="Arial"/>
          <w:sz w:val="22"/>
          <w:lang w:val="es-ES_tradnl"/>
        </w:rPr>
        <w:t xml:space="preserve"> y</w:t>
      </w:r>
      <w:r w:rsidR="0026547F" w:rsidRPr="001C64F9">
        <w:rPr>
          <w:rFonts w:ascii="Arial" w:eastAsia="Arial" w:hAnsi="Arial" w:cs="Arial"/>
          <w:sz w:val="22"/>
          <w:lang w:val="es-ES_tradnl"/>
        </w:rPr>
        <w:t xml:space="preserve"> C-744 del 22 de diciembre de 2020. Las ideas expuestas en dichas oportunidades se reiterarán a continuación y se complementarán en lo pertinente</w:t>
      </w:r>
      <w:r w:rsidR="00B14B73" w:rsidRPr="001C64F9">
        <w:rPr>
          <w:rFonts w:ascii="Arial" w:eastAsia="Arial" w:hAnsi="Arial" w:cs="Arial"/>
          <w:sz w:val="22"/>
          <w:lang w:val="es-ES_tradnl"/>
        </w:rPr>
        <w:t>.</w:t>
      </w:r>
    </w:p>
    <w:bookmarkEnd w:id="0"/>
    <w:bookmarkEnd w:id="1"/>
    <w:p w14:paraId="7894E838" w14:textId="77777777" w:rsidR="000920F0" w:rsidRPr="00EE7AB2" w:rsidRDefault="000920F0" w:rsidP="00F106B5">
      <w:pPr>
        <w:spacing w:line="276" w:lineRule="auto"/>
        <w:jc w:val="both"/>
        <w:rPr>
          <w:rFonts w:ascii="Arial" w:hAnsi="Arial" w:cs="Arial"/>
          <w:noProof/>
          <w:sz w:val="22"/>
          <w:lang w:val="es-ES_tradnl"/>
        </w:rPr>
      </w:pPr>
    </w:p>
    <w:p w14:paraId="1DFFC200" w14:textId="39D6AF7B" w:rsidR="0026547F" w:rsidRPr="001C64F9" w:rsidRDefault="0026547F" w:rsidP="0026547F">
      <w:pPr>
        <w:spacing w:line="276" w:lineRule="auto"/>
        <w:jc w:val="both"/>
        <w:rPr>
          <w:rFonts w:ascii="Arial" w:eastAsia="Arial" w:hAnsi="Arial" w:cs="Arial"/>
          <w:b/>
          <w:bCs/>
          <w:color w:val="000000"/>
          <w:sz w:val="22"/>
          <w:lang w:val="es-ES_tradnl"/>
        </w:rPr>
      </w:pPr>
      <w:r w:rsidRPr="001C64F9">
        <w:rPr>
          <w:rFonts w:ascii="Arial" w:eastAsia="Arial" w:hAnsi="Arial" w:cs="Arial"/>
          <w:b/>
          <w:bCs/>
          <w:color w:val="000000"/>
          <w:sz w:val="22"/>
          <w:lang w:val="es-ES_tradnl"/>
        </w:rPr>
        <w:t>2.</w:t>
      </w:r>
      <w:r w:rsidR="00651591">
        <w:rPr>
          <w:rFonts w:ascii="Arial" w:eastAsia="Arial" w:hAnsi="Arial" w:cs="Arial"/>
          <w:b/>
          <w:bCs/>
          <w:color w:val="000000"/>
          <w:sz w:val="22"/>
          <w:lang w:val="es-ES_tradnl"/>
        </w:rPr>
        <w:t>1</w:t>
      </w:r>
      <w:r w:rsidRPr="001C64F9">
        <w:rPr>
          <w:rFonts w:ascii="Arial" w:eastAsia="Arial" w:hAnsi="Arial" w:cs="Arial"/>
          <w:b/>
          <w:bCs/>
          <w:color w:val="000000"/>
          <w:sz w:val="22"/>
          <w:lang w:val="es-ES_tradnl"/>
        </w:rPr>
        <w:t>. Fundamento normativo de los pliegos de condiciones tipo obligatorios adoptados hasta la actualidad</w:t>
      </w:r>
    </w:p>
    <w:p w14:paraId="77C24C1E" w14:textId="77777777" w:rsidR="0026547F" w:rsidRPr="001C64F9" w:rsidRDefault="0026547F" w:rsidP="0026547F">
      <w:pPr>
        <w:spacing w:line="276" w:lineRule="auto"/>
        <w:jc w:val="both"/>
        <w:rPr>
          <w:rFonts w:ascii="Arial" w:eastAsia="Arial" w:hAnsi="Arial" w:cs="Arial"/>
          <w:b/>
          <w:bCs/>
          <w:color w:val="000000"/>
          <w:sz w:val="22"/>
          <w:lang w:val="es-ES_tradnl"/>
        </w:rPr>
      </w:pPr>
    </w:p>
    <w:p w14:paraId="73EF1E18" w14:textId="77777777" w:rsidR="0026547F" w:rsidRPr="001C64F9" w:rsidRDefault="0026547F" w:rsidP="0026547F">
      <w:pPr>
        <w:spacing w:after="120" w:line="276" w:lineRule="auto"/>
        <w:jc w:val="both"/>
        <w:rPr>
          <w:rFonts w:ascii="Arial" w:hAnsi="Arial" w:cs="Arial"/>
          <w:color w:val="000000"/>
          <w:sz w:val="22"/>
          <w:lang w:val="es-ES_tradnl"/>
        </w:rPr>
      </w:pPr>
      <w:r w:rsidRPr="001C64F9">
        <w:rPr>
          <w:rFonts w:ascii="Arial" w:hAnsi="Arial" w:cs="Arial"/>
          <w:color w:val="000000"/>
          <w:sz w:val="22"/>
          <w:lang w:val="es-ES_tradnl"/>
        </w:rPr>
        <w:t>La adopción de los documentos tipo obligatorios en el ordenamiento jurídico colombiano se incluyó por primera vez en el parágrafo 3 del artículo 2 de la Ley 1150 de 2007</w:t>
      </w:r>
      <w:r w:rsidRPr="001C64F9">
        <w:rPr>
          <w:rStyle w:val="Refdenotaalpie"/>
          <w:rFonts w:ascii="Arial" w:hAnsi="Arial" w:cs="Arial"/>
          <w:color w:val="000000"/>
          <w:sz w:val="22"/>
          <w:lang w:val="es-ES_tradnl"/>
        </w:rPr>
        <w:footnoteReference w:id="2"/>
      </w:r>
      <w:r w:rsidRPr="001C64F9">
        <w:rPr>
          <w:rFonts w:ascii="Arial" w:hAnsi="Arial" w:cs="Arial"/>
          <w:color w:val="000000"/>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37628105" w14:textId="77777777" w:rsidR="0026547F" w:rsidRPr="001C64F9" w:rsidRDefault="0026547F" w:rsidP="0026547F">
      <w:pPr>
        <w:spacing w:line="276" w:lineRule="auto"/>
        <w:ind w:firstLine="708"/>
        <w:jc w:val="both"/>
        <w:rPr>
          <w:rFonts w:ascii="Arial" w:hAnsi="Arial" w:cs="Arial"/>
          <w:color w:val="000000"/>
          <w:sz w:val="22"/>
          <w:lang w:val="es-ES_tradnl"/>
        </w:rPr>
      </w:pPr>
      <w:r w:rsidRPr="001C64F9">
        <w:rPr>
          <w:rFonts w:ascii="Arial" w:hAnsi="Arial" w:cs="Arial"/>
          <w:color w:val="000000"/>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58FC71DC" w14:textId="77777777" w:rsidR="0026547F" w:rsidRPr="001C64F9" w:rsidRDefault="0026547F" w:rsidP="0026547F">
      <w:pPr>
        <w:spacing w:before="120" w:after="120" w:line="276" w:lineRule="auto"/>
        <w:ind w:firstLine="708"/>
        <w:jc w:val="both"/>
        <w:rPr>
          <w:rFonts w:ascii="Arial" w:hAnsi="Arial" w:cs="Arial"/>
          <w:color w:val="000000"/>
          <w:sz w:val="22"/>
          <w:lang w:val="es-ES_tradnl"/>
        </w:rPr>
      </w:pPr>
      <w:r w:rsidRPr="001C64F9">
        <w:rPr>
          <w:rFonts w:ascii="Arial" w:hAnsi="Arial" w:cs="Arial"/>
          <w:color w:val="000000"/>
          <w:sz w:val="22"/>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1C64F9">
        <w:rPr>
          <w:rStyle w:val="Refdenotaalpie"/>
          <w:rFonts w:ascii="Arial" w:hAnsi="Arial" w:cs="Arial"/>
          <w:color w:val="000000"/>
          <w:sz w:val="22"/>
          <w:lang w:val="es-ES_tradnl"/>
        </w:rPr>
        <w:footnoteReference w:id="3"/>
      </w:r>
      <w:r w:rsidRPr="001C64F9">
        <w:rPr>
          <w:rFonts w:ascii="Arial" w:hAnsi="Arial" w:cs="Arial"/>
          <w:color w:val="000000"/>
          <w:sz w:val="22"/>
          <w:lang w:val="es-ES_tradnl"/>
        </w:rPr>
        <w:t>.</w:t>
      </w:r>
    </w:p>
    <w:p w14:paraId="67A8E4FA" w14:textId="77777777" w:rsidR="0026547F" w:rsidRPr="001C64F9" w:rsidRDefault="0026547F" w:rsidP="0026547F">
      <w:pPr>
        <w:spacing w:before="120" w:after="120" w:line="276" w:lineRule="auto"/>
        <w:jc w:val="both"/>
        <w:rPr>
          <w:rFonts w:ascii="Arial" w:hAnsi="Arial" w:cs="Arial"/>
          <w:color w:val="000000"/>
          <w:sz w:val="22"/>
          <w:lang w:val="es-ES_tradnl"/>
        </w:rPr>
      </w:pPr>
      <w:r w:rsidRPr="001C64F9">
        <w:rPr>
          <w:rFonts w:ascii="Arial" w:hAnsi="Arial" w:cs="Arial"/>
          <w:color w:val="000000"/>
          <w:sz w:val="22"/>
          <w:lang w:val="es-ES_tradnl"/>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556545C7" w14:textId="7B934382" w:rsidR="0026547F" w:rsidRPr="001C64F9" w:rsidRDefault="0026547F" w:rsidP="0026547F">
      <w:pPr>
        <w:spacing w:before="120" w:after="120" w:line="276" w:lineRule="auto"/>
        <w:jc w:val="both"/>
        <w:rPr>
          <w:rFonts w:ascii="Arial" w:hAnsi="Arial" w:cs="Arial"/>
          <w:color w:val="000000"/>
          <w:sz w:val="22"/>
          <w:lang w:val="es-ES_tradnl"/>
        </w:rPr>
      </w:pPr>
      <w:r w:rsidRPr="001C64F9">
        <w:rPr>
          <w:rFonts w:ascii="Arial" w:hAnsi="Arial" w:cs="Arial"/>
          <w:color w:val="000000"/>
          <w:sz w:val="22"/>
          <w:lang w:val="es-ES_tradnl"/>
        </w:rPr>
        <w:tab/>
        <w:t>De la norma descrita se concluía lo siguiente: i) la adopción de los documentos tipo estaba en cabeza del gobierno nacional. ii) Adicionalmente, estos debían relacionarse con procesos de obra</w:t>
      </w:r>
      <w:r w:rsidR="000E7995">
        <w:rPr>
          <w:rFonts w:ascii="Arial" w:hAnsi="Arial" w:cs="Arial"/>
          <w:color w:val="000000"/>
          <w:sz w:val="22"/>
          <w:lang w:val="es-ES_tradnl"/>
        </w:rPr>
        <w:t>s</w:t>
      </w:r>
      <w:r w:rsidRPr="001C64F9">
        <w:rPr>
          <w:rFonts w:ascii="Arial" w:hAnsi="Arial" w:cs="Arial"/>
          <w:color w:val="000000"/>
          <w:sz w:val="22"/>
          <w:lang w:val="es-ES_tradnl"/>
        </w:rPr>
        <w:t xml:space="preserve"> pública</w:t>
      </w:r>
      <w:r w:rsidR="000E7995">
        <w:rPr>
          <w:rFonts w:ascii="Arial" w:hAnsi="Arial" w:cs="Arial"/>
          <w:color w:val="000000"/>
          <w:sz w:val="22"/>
          <w:lang w:val="es-ES_tradnl"/>
        </w:rPr>
        <w:t>s</w:t>
      </w:r>
      <w:r w:rsidRPr="001C64F9">
        <w:rPr>
          <w:rFonts w:ascii="Arial" w:hAnsi="Arial" w:cs="Arial"/>
          <w:color w:val="000000"/>
          <w:sz w:val="22"/>
          <w:lang w:val="es-ES_tradnl"/>
        </w:rPr>
        <w:t xml:space="preserve">, interventoría para las obras públicas, interventoría para consultoría de estudios y diseños y, finalmente, consultoría en ingeniería para obras. iii) Por otro lado, eran de obligatorio cumplimiento por parte de todas las entidades sometidas al Estatuto General de Contratación de la Administración Pública. iv) Además, en los documentos tipo se indicarían las condiciones generales de los requisitos habilitantes, así como los factores técnicos y económicos de escogencia, según correspondiera para cada modalidad de selección. v) Por otra parte, el gobierno nacional tenía la facultad de adoptar documentos tipo en otros contratos o procesos de selección y, por último, vi) los documentos tipo serían adoptados por categorías de acuerdo con la cuantía de la contratación. </w:t>
      </w:r>
    </w:p>
    <w:p w14:paraId="2932BFE8" w14:textId="77777777" w:rsidR="0026547F" w:rsidRPr="001C64F9" w:rsidRDefault="0026547F" w:rsidP="0026547F">
      <w:pPr>
        <w:spacing w:before="120" w:after="120" w:line="276" w:lineRule="auto"/>
        <w:jc w:val="both"/>
        <w:rPr>
          <w:rFonts w:ascii="Arial" w:hAnsi="Arial" w:cs="Arial"/>
          <w:color w:val="000000"/>
          <w:sz w:val="22"/>
          <w:lang w:val="es-ES_tradnl"/>
        </w:rPr>
      </w:pPr>
      <w:r w:rsidRPr="001C64F9">
        <w:rPr>
          <w:rFonts w:ascii="Arial" w:hAnsi="Arial" w:cs="Arial"/>
          <w:color w:val="000000"/>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w:t>
      </w:r>
      <w:r w:rsidRPr="001C64F9">
        <w:rPr>
          <w:rFonts w:ascii="Arial" w:hAnsi="Arial" w:cs="Arial"/>
          <w:color w:val="000000"/>
          <w:sz w:val="22"/>
          <w:lang w:val="es-ES_tradnl"/>
        </w:rPr>
        <w:lastRenderedPageBreak/>
        <w:t>esta autonomía se garantiza con la identificación autónoma de sus necesidades y la configuración de los elementos del contrato</w:t>
      </w:r>
      <w:r w:rsidRPr="001C64F9">
        <w:rPr>
          <w:rStyle w:val="Refdenotaalpie"/>
          <w:rFonts w:ascii="Arial" w:hAnsi="Arial" w:cs="Arial"/>
          <w:color w:val="000000"/>
          <w:sz w:val="22"/>
          <w:lang w:val="es-ES_tradnl"/>
        </w:rPr>
        <w:footnoteReference w:id="4"/>
      </w:r>
      <w:r w:rsidRPr="001C64F9">
        <w:rPr>
          <w:rFonts w:ascii="Arial" w:hAnsi="Arial" w:cs="Arial"/>
          <w:color w:val="000000"/>
          <w:sz w:val="22"/>
          <w:lang w:val="es-ES_tradnl"/>
        </w:rPr>
        <w:t>.</w:t>
      </w:r>
    </w:p>
    <w:p w14:paraId="1AF8EE3E" w14:textId="77777777" w:rsidR="0026547F" w:rsidRPr="001C64F9" w:rsidRDefault="0026547F" w:rsidP="0026547F">
      <w:pPr>
        <w:spacing w:before="120" w:after="120" w:line="276" w:lineRule="auto"/>
        <w:jc w:val="both"/>
        <w:rPr>
          <w:rFonts w:ascii="Arial" w:hAnsi="Arial" w:cs="Arial"/>
          <w:color w:val="000000"/>
          <w:sz w:val="22"/>
          <w:lang w:val="es-ES_tradnl"/>
        </w:rPr>
      </w:pPr>
      <w:r w:rsidRPr="001C64F9">
        <w:rPr>
          <w:rFonts w:ascii="Arial" w:hAnsi="Arial" w:cs="Arial"/>
          <w:color w:val="000000"/>
          <w:sz w:val="22"/>
          <w:lang w:val="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abrir un proceso de convocatoria para satisfacer sus necesidades para la adquisición de un bien o servicio y además se incluyen en la minuta del contrato las condiciones particulares del negocio jurídico a celebrar.</w:t>
      </w:r>
    </w:p>
    <w:p w14:paraId="5AD87486" w14:textId="77777777" w:rsidR="0026547F" w:rsidRPr="001C64F9" w:rsidRDefault="0026547F" w:rsidP="0026547F">
      <w:pPr>
        <w:spacing w:before="120" w:after="120" w:line="276" w:lineRule="auto"/>
        <w:jc w:val="both"/>
        <w:rPr>
          <w:rFonts w:ascii="Arial" w:hAnsi="Arial" w:cs="Arial"/>
          <w:color w:val="000000"/>
          <w:sz w:val="22"/>
          <w:lang w:val="es-ES_tradnl"/>
        </w:rPr>
      </w:pPr>
      <w:r w:rsidRPr="001C64F9">
        <w:rPr>
          <w:rFonts w:ascii="Arial" w:hAnsi="Arial" w:cs="Arial"/>
          <w:color w:val="000000"/>
          <w:sz w:val="22"/>
          <w:lang w:val="es-ES_tradnl"/>
        </w:rPr>
        <w:tab/>
        <w:t xml:space="preserve">Explicado el proceso para adoptar los documentos tipo en virtud de la Ley 1882 de 2018 y estudiada su </w:t>
      </w:r>
      <w:proofErr w:type="spellStart"/>
      <w:r>
        <w:rPr>
          <w:rFonts w:ascii="Arial" w:hAnsi="Arial" w:cs="Arial"/>
          <w:color w:val="000000"/>
          <w:sz w:val="22"/>
          <w:lang w:val="es-ES_tradnl"/>
        </w:rPr>
        <w:t>exequibilidad</w:t>
      </w:r>
      <w:proofErr w:type="spellEnd"/>
      <w:r w:rsidRPr="001C64F9">
        <w:rPr>
          <w:rFonts w:ascii="Arial" w:hAnsi="Arial" w:cs="Arial"/>
          <w:color w:val="000000"/>
          <w:sz w:val="22"/>
          <w:lang w:val="es-ES_tradnl"/>
        </w:rPr>
        <w:t xml:space="preserve">, de acuerdo con el pronunciamiento de la Corte Constitucional, a </w:t>
      </w:r>
      <w:proofErr w:type="gramStart"/>
      <w:r w:rsidRPr="001C64F9">
        <w:rPr>
          <w:rFonts w:ascii="Arial" w:hAnsi="Arial" w:cs="Arial"/>
          <w:color w:val="000000"/>
          <w:sz w:val="22"/>
          <w:lang w:val="es-ES_tradnl"/>
        </w:rPr>
        <w:t>continuación</w:t>
      </w:r>
      <w:proofErr w:type="gramEnd"/>
      <w:r w:rsidRPr="001C64F9">
        <w:rPr>
          <w:rFonts w:ascii="Arial" w:hAnsi="Arial" w:cs="Arial"/>
          <w:color w:val="000000"/>
          <w:sz w:val="22"/>
          <w:lang w:val="es-ES_tradnl"/>
        </w:rPr>
        <w:t xml:space="preserve"> se identificarán los documentos tipo adoptados por el gobierno nacional en virtud de esta ley. </w:t>
      </w:r>
      <w:r w:rsidRPr="001C64F9">
        <w:rPr>
          <w:rFonts w:ascii="Arial" w:hAnsi="Arial" w:cs="Arial"/>
          <w:sz w:val="22"/>
          <w:lang w:val="es-ES_tradnl"/>
        </w:rPr>
        <w:t>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1C64F9" w:rsidDel="00A434AB">
        <w:rPr>
          <w:rFonts w:ascii="Arial" w:hAnsi="Arial" w:cs="Arial"/>
          <w:sz w:val="22"/>
          <w:lang w:val="es-ES_tradnl"/>
        </w:rPr>
        <w:t xml:space="preserve"> </w:t>
      </w:r>
      <w:r w:rsidRPr="001C64F9">
        <w:rPr>
          <w:rFonts w:ascii="Arial" w:hAnsi="Arial" w:cs="Arial"/>
          <w:sz w:val="22"/>
          <w:lang w:val="es-ES_tradnl"/>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3CFB14C4" w14:textId="77777777" w:rsidR="0026547F"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lastRenderedPageBreak/>
        <w:t>Por otra parte</w:t>
      </w:r>
      <w:r w:rsidRPr="001C64F9">
        <w:rPr>
          <w:rFonts w:eastAsia="Calibri"/>
          <w:i/>
          <w:iCs/>
          <w:color w:val="000000" w:themeColor="text1"/>
        </w:rPr>
        <w:t>,</w:t>
      </w:r>
      <w:r w:rsidRPr="001C64F9">
        <w:rPr>
          <w:rFonts w:eastAsia="Calibri"/>
          <w:color w:val="000000" w:themeColor="text1"/>
        </w:rPr>
        <w:t xml:space="preserve"> debe tenerse en cuenta que la Ley 2022 de 2020 fue sancionada por el </w:t>
      </w:r>
      <w:proofErr w:type="gramStart"/>
      <w:r w:rsidRPr="001C64F9">
        <w:rPr>
          <w:rFonts w:eastAsia="Calibri"/>
          <w:color w:val="000000" w:themeColor="text1"/>
        </w:rPr>
        <w:t>Presidente</w:t>
      </w:r>
      <w:proofErr w:type="gramEnd"/>
      <w:r w:rsidRPr="001C64F9">
        <w:rPr>
          <w:rFonts w:eastAsia="Calibri"/>
          <w:color w:val="000000" w:themeColor="text1"/>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0758861D"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 xml:space="preserve">Asimismo, con fundamento en dicha </w:t>
      </w:r>
      <w:r>
        <w:rPr>
          <w:rFonts w:eastAsia="Calibri"/>
          <w:color w:val="000000" w:themeColor="text1"/>
        </w:rPr>
        <w:t>L</w:t>
      </w:r>
      <w:r w:rsidRPr="001C64F9">
        <w:rPr>
          <w:rFonts w:eastAsia="Calibri"/>
          <w:color w:val="000000" w:themeColor="text1"/>
        </w:rPr>
        <w:t>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6A1DB104"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 xml:space="preserve">En síntesis, hasta el momento se han expedido los siguientes documentos tipo que son obligatorios para todas las entidades sometidas al Estatuto General de Contratación de la Administración Pública: </w:t>
      </w:r>
    </w:p>
    <w:p w14:paraId="101CE649"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 xml:space="preserve">i) Documentos tipo para licitación de obra pública de infraestructura de transporte –versión 1–, obligatorios para los procesos cuyo aviso de convocatoria se haya publicado desde el 1 de abril de 2019. </w:t>
      </w:r>
    </w:p>
    <w:p w14:paraId="3FBB2D5A"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ii) Documentos tipo para licitación de obra pública de infraestructura de transporte –versión 2–, obligatorios para los procesos cuyo aviso de convocatoria se haya publicado desde el 10 de marzo de 2020.</w:t>
      </w:r>
    </w:p>
    <w:p w14:paraId="0AC79D55"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iii) Documentos tipo para licitación de obra pública de infraestructura de transporte –versión 3–, obligatorios para los procesos cuyo aviso de convocatoria se haya publicado desde el 1 de enero de 2021.</w:t>
      </w:r>
    </w:p>
    <w:p w14:paraId="26EB6BDF"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iv) Documentos tipo para procesos de selección abreviada de menor cuantía de infraestructura de transporte –versión 1–, obligatorios para los procesos cuyo aviso de convocatoria se haya publicado desde el 17 de febrero de 2020.</w:t>
      </w:r>
    </w:p>
    <w:p w14:paraId="30960103"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lastRenderedPageBreak/>
        <w:t xml:space="preserve">v) Documentos tipo para procesos de selección abreviada de menor cuantía de infraestructura de transporte –versión 2–, obligatorios para los procesos cuyo aviso de convocatoria se haya publicado desde el 1 de enero de 2021. </w:t>
      </w:r>
    </w:p>
    <w:p w14:paraId="05B19002"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vi) Documentos tipo para procesos de mínima cuantía de infraestructura de transporte, obligatorios para los procesos cuya invitación pública se haya publicado a partir del 10 de junio de 2020.</w:t>
      </w:r>
    </w:p>
    <w:p w14:paraId="07EE4DE2"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vii) Documentos tipo para procesos de concurso de méritos para contratar la interventoría de obras públicas de infraestructura de transporte, obligatorios para los procesos cuyo aviso de convocatoria se haya publicado desde el 1 de enero de 2021.</w:t>
      </w:r>
    </w:p>
    <w:p w14:paraId="5C2E9092"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viii) Documentos tipo para procesos de licitación pública para obras de infraestructura de agua potable y saneamiento básico, obligatorios para los procesos cuyo aviso de convocatoria se haya publicado desde el 11 de diciembre de 2020.</w:t>
      </w:r>
    </w:p>
    <w:p w14:paraId="016D1718"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511BB654" w14:textId="77777777" w:rsidR="0026547F" w:rsidRPr="001C64F9" w:rsidRDefault="0026547F" w:rsidP="00B522C8">
      <w:pPr>
        <w:pStyle w:val="Normal11pt"/>
        <w:spacing w:before="120" w:after="120" w:line="276" w:lineRule="auto"/>
        <w:ind w:left="0" w:firstLine="709"/>
        <w:rPr>
          <w:rFonts w:eastAsia="Calibri"/>
          <w:color w:val="000000" w:themeColor="text1"/>
        </w:rPr>
      </w:pPr>
      <w:r w:rsidRPr="001C64F9">
        <w:rPr>
          <w:rFonts w:eastAsia="Calibri"/>
          <w:color w:val="000000" w:themeColor="text1"/>
        </w:rPr>
        <w:t>x) Documentos tipo para procesos de gestión catastral con enfoque multipropósito que se celebren a través de contratos interadministrativos, a partir del 1 de febrero de 2021.</w:t>
      </w:r>
    </w:p>
    <w:p w14:paraId="78DBB967" w14:textId="0B5868C2" w:rsidR="00F64BB6" w:rsidRPr="00F64BB6" w:rsidRDefault="0026547F" w:rsidP="00B522C8">
      <w:pPr>
        <w:pStyle w:val="Normal11pt"/>
        <w:spacing w:line="276" w:lineRule="auto"/>
        <w:ind w:left="0" w:firstLine="708"/>
        <w:rPr>
          <w:rFonts w:eastAsia="Arial"/>
          <w:b/>
          <w:bCs/>
        </w:rPr>
      </w:pPr>
      <w:r w:rsidRPr="00B522C8">
        <w:rPr>
          <w:color w:val="000000" w:themeColor="text1"/>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r w:rsidR="00F64BB6">
        <w:rPr>
          <w:rFonts w:eastAsia="Arial"/>
          <w:b/>
          <w:bCs/>
        </w:rPr>
        <w:t>.</w:t>
      </w:r>
    </w:p>
    <w:p w14:paraId="5A47587E" w14:textId="77777777" w:rsidR="00B14B73" w:rsidRPr="00B522C8" w:rsidRDefault="00B14B73" w:rsidP="00B522C8">
      <w:pPr>
        <w:spacing w:line="276" w:lineRule="auto"/>
        <w:ind w:firstLine="709"/>
        <w:jc w:val="both"/>
        <w:rPr>
          <w:rFonts w:ascii="Arial" w:eastAsia="Arial" w:hAnsi="Arial" w:cs="Arial"/>
          <w:b/>
          <w:bCs/>
          <w:color w:val="000000"/>
          <w:sz w:val="22"/>
          <w:lang w:val="es-ES_tradnl"/>
        </w:rPr>
      </w:pPr>
    </w:p>
    <w:p w14:paraId="741DA696" w14:textId="5CAF8411" w:rsidR="00B14B73" w:rsidRPr="001C64F9" w:rsidRDefault="00B14B73" w:rsidP="00B14B73">
      <w:pPr>
        <w:spacing w:line="276" w:lineRule="auto"/>
        <w:jc w:val="both"/>
        <w:rPr>
          <w:rFonts w:ascii="Arial" w:eastAsia="Arial" w:hAnsi="Arial" w:cs="Arial"/>
          <w:b/>
          <w:bCs/>
          <w:color w:val="000000"/>
          <w:sz w:val="22"/>
          <w:lang w:val="es-ES_tradnl"/>
        </w:rPr>
      </w:pPr>
      <w:r w:rsidRPr="001C64F9">
        <w:rPr>
          <w:rFonts w:ascii="Arial" w:eastAsia="Arial" w:hAnsi="Arial" w:cs="Arial"/>
          <w:b/>
          <w:bCs/>
          <w:color w:val="000000"/>
          <w:sz w:val="22"/>
          <w:lang w:val="es-ES_tradnl"/>
        </w:rPr>
        <w:t>2.</w:t>
      </w:r>
      <w:r w:rsidR="00651591">
        <w:rPr>
          <w:rFonts w:ascii="Arial" w:eastAsia="Arial" w:hAnsi="Arial" w:cs="Arial"/>
          <w:b/>
          <w:bCs/>
          <w:color w:val="000000"/>
          <w:sz w:val="22"/>
          <w:lang w:val="es-ES_tradnl"/>
        </w:rPr>
        <w:t>2</w:t>
      </w:r>
      <w:r w:rsidRPr="001C64F9">
        <w:rPr>
          <w:rFonts w:ascii="Arial" w:eastAsia="Arial" w:hAnsi="Arial" w:cs="Arial"/>
          <w:b/>
          <w:bCs/>
          <w:color w:val="000000"/>
          <w:sz w:val="22"/>
          <w:lang w:val="es-ES_tradnl"/>
        </w:rPr>
        <w:t>. Vigencia de la regla de inalterabilidad de los pliegos tipo</w:t>
      </w:r>
      <w:r w:rsidR="004C5091">
        <w:rPr>
          <w:rFonts w:ascii="Arial" w:eastAsia="Arial" w:hAnsi="Arial" w:cs="Arial"/>
          <w:b/>
          <w:bCs/>
          <w:color w:val="000000"/>
          <w:sz w:val="22"/>
          <w:lang w:val="es-ES_tradnl"/>
        </w:rPr>
        <w:t>.</w:t>
      </w:r>
    </w:p>
    <w:p w14:paraId="308CBE0E" w14:textId="77777777" w:rsidR="00B14B73" w:rsidRPr="001C64F9" w:rsidRDefault="00B14B73" w:rsidP="00B14B73">
      <w:pPr>
        <w:tabs>
          <w:tab w:val="left" w:pos="0"/>
        </w:tabs>
        <w:spacing w:line="276" w:lineRule="auto"/>
        <w:jc w:val="both"/>
        <w:rPr>
          <w:rFonts w:ascii="Arial" w:hAnsi="Arial" w:cs="Arial"/>
          <w:b/>
          <w:color w:val="000000" w:themeColor="text1"/>
          <w:sz w:val="22"/>
          <w:lang w:val="es-ES_tradnl"/>
        </w:rPr>
      </w:pPr>
    </w:p>
    <w:p w14:paraId="2263F8C7" w14:textId="77777777" w:rsidR="00B14B73" w:rsidRPr="001C64F9" w:rsidRDefault="00B14B73" w:rsidP="00B14B73">
      <w:pPr>
        <w:spacing w:line="276" w:lineRule="auto"/>
        <w:jc w:val="both"/>
        <w:rPr>
          <w:rFonts w:ascii="Arial" w:hAnsi="Arial" w:cs="Arial"/>
          <w:sz w:val="22"/>
          <w:shd w:val="clear" w:color="auto" w:fill="FFFFFF"/>
          <w:lang w:val="es-ES_tradnl"/>
        </w:rPr>
      </w:pPr>
      <w:r w:rsidRPr="001C64F9">
        <w:rPr>
          <w:rFonts w:ascii="Arial" w:hAnsi="Arial" w:cs="Arial"/>
          <w:sz w:val="22"/>
          <w:shd w:val="clear" w:color="auto" w:fill="FFFFFF"/>
          <w:lang w:val="es-ES_tradnl"/>
        </w:rPr>
        <w:t>Todas las resoluciones</w:t>
      </w:r>
      <w:r w:rsidRPr="001C64F9">
        <w:rPr>
          <w:rStyle w:val="Refdenotaalpie"/>
          <w:rFonts w:ascii="Arial" w:hAnsi="Arial" w:cs="Arial"/>
          <w:sz w:val="22"/>
          <w:shd w:val="clear" w:color="auto" w:fill="FFFFFF"/>
          <w:lang w:val="es-ES_tradnl"/>
        </w:rPr>
        <w:footnoteReference w:id="5"/>
      </w:r>
      <w:r w:rsidRPr="001C64F9">
        <w:rPr>
          <w:rFonts w:ascii="Arial" w:hAnsi="Arial" w:cs="Arial"/>
          <w:sz w:val="22"/>
          <w:shd w:val="clear" w:color="auto" w:fill="FFFFFF"/>
          <w:lang w:val="es-ES_tradnl"/>
        </w:rPr>
        <w:t xml:space="preserve"> expedidas por la Agencia Nacional de Contratación Pública – Colombia Compra Eficiente, mediante las cuales se han adoptado los pliegos tipo, consagran la regla de la inalterabilidad de los Documentos Tipo. Esta prohibición consiste en que las entidades estatales no pueden incluir o modificar en los </w:t>
      </w:r>
      <w:r w:rsidRPr="001C64F9">
        <w:rPr>
          <w:rFonts w:ascii="Arial" w:hAnsi="Arial" w:cs="Arial"/>
          <w:i/>
          <w:iCs/>
          <w:sz w:val="22"/>
          <w:shd w:val="clear" w:color="auto" w:fill="FFFFFF"/>
          <w:lang w:val="es-ES_tradnl"/>
        </w:rPr>
        <w:t>Documentos del Proceso</w:t>
      </w:r>
      <w:r w:rsidRPr="001C64F9">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w:t>
      </w:r>
      <w:r>
        <w:rPr>
          <w:rFonts w:ascii="Arial" w:hAnsi="Arial" w:cs="Arial"/>
          <w:sz w:val="22"/>
          <w:shd w:val="clear" w:color="auto" w:fill="FFFFFF"/>
          <w:lang w:val="es-ES_tradnl"/>
        </w:rPr>
        <w:t xml:space="preserve"> </w:t>
      </w:r>
      <w:r w:rsidRPr="001C64F9">
        <w:rPr>
          <w:rFonts w:ascii="Arial" w:hAnsi="Arial" w:cs="Arial"/>
          <w:sz w:val="22"/>
          <w:shd w:val="clear" w:color="auto" w:fill="FFFFFF"/>
          <w:lang w:val="es-ES_tradnl"/>
        </w:rPr>
        <w:t xml:space="preserve">En consecuencia, las condiciones establecidas en los documentos tipo son de obligatorio </w:t>
      </w:r>
      <w:r w:rsidRPr="001C64F9">
        <w:rPr>
          <w:rFonts w:ascii="Arial" w:hAnsi="Arial" w:cs="Arial"/>
          <w:sz w:val="22"/>
          <w:shd w:val="clear" w:color="auto" w:fill="FFFFFF"/>
          <w:lang w:val="es-ES_tradnl"/>
        </w:rPr>
        <w:lastRenderedPageBreak/>
        <w:t xml:space="preserve">cumplimiento para las entidades sometidas al Estatuto General de Contratación de la Administración Pública que adelanten procesos que deban regirse por su contenido, y no pueden variarse los requisitos fijados en ellos. </w:t>
      </w:r>
      <w:r>
        <w:rPr>
          <w:rFonts w:ascii="Arial" w:hAnsi="Arial" w:cs="Arial"/>
          <w:sz w:val="22"/>
          <w:shd w:val="clear" w:color="auto" w:fill="FFFFFF"/>
          <w:lang w:val="es-ES_tradnl"/>
        </w:rPr>
        <w:t>Por lo tanto</w:t>
      </w:r>
      <w:r w:rsidRPr="001C64F9">
        <w:rPr>
          <w:rFonts w:ascii="Arial" w:hAnsi="Arial" w:cs="Arial"/>
          <w:sz w:val="22"/>
          <w:shd w:val="clear" w:color="auto" w:fill="FFFFFF"/>
          <w:lang w:val="es-ES_tradnl"/>
        </w:rPr>
        <w:t>, las entidades estatales, al realizar sus procedimientos de selección, solo podrán modificarlos en los aspectos en que los documentos tipo lo permitan.</w:t>
      </w:r>
    </w:p>
    <w:p w14:paraId="704BAE07" w14:textId="21820BAA" w:rsidR="00B14B73" w:rsidRDefault="00B14B73" w:rsidP="00B14B73">
      <w:pPr>
        <w:spacing w:before="120" w:line="276" w:lineRule="auto"/>
        <w:ind w:firstLine="709"/>
        <w:jc w:val="both"/>
        <w:rPr>
          <w:rFonts w:ascii="Arial" w:hAnsi="Arial" w:cs="Arial"/>
          <w:sz w:val="22"/>
          <w:shd w:val="clear" w:color="auto" w:fill="FFFFFF"/>
          <w:lang w:val="es-ES_tradnl"/>
        </w:rPr>
      </w:pPr>
      <w:r w:rsidRPr="001C64F9">
        <w:rPr>
          <w:rFonts w:ascii="Arial" w:hAnsi="Arial" w:cs="Arial"/>
          <w:sz w:val="22"/>
          <w:shd w:val="clear" w:color="auto" w:fill="FFFFFF"/>
          <w:lang w:val="es-ES_tradnl"/>
        </w:rPr>
        <w:t>El fundamento legal vigente de la regla de la inalterabilidad se encuentra en el artículo 1 de la Ley 2022 de 2020, según el cual «</w:t>
      </w:r>
      <w:r w:rsidRPr="001C64F9">
        <w:rPr>
          <w:rFonts w:ascii="Arial" w:hAnsi="Arial" w:cs="Arial"/>
          <w:sz w:val="22"/>
          <w:lang w:val="es-ES_tradnl"/>
        </w:rPr>
        <w:t xml:space="preserve">[…] </w:t>
      </w:r>
      <w:r w:rsidRPr="001C64F9">
        <w:rPr>
          <w:rFonts w:ascii="Arial" w:hAnsi="Arial" w:cs="Arial"/>
          <w:sz w:val="22"/>
          <w:shd w:val="clear" w:color="auto" w:fill="FFFFFF"/>
          <w:lang w:val="es-ES_tradnl"/>
        </w:rPr>
        <w:t>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2C59C340" w14:textId="6003BFA3" w:rsidR="00367BA7" w:rsidRPr="001D24BE" w:rsidRDefault="00367BA7" w:rsidP="00367BA7">
      <w:pPr>
        <w:spacing w:before="120" w:line="276" w:lineRule="auto"/>
        <w:ind w:firstLine="708"/>
        <w:jc w:val="both"/>
        <w:rPr>
          <w:rFonts w:ascii="Arial" w:hAnsi="Arial" w:cs="Arial"/>
          <w:bCs/>
          <w:sz w:val="22"/>
          <w:lang w:val="es-ES_tradnl"/>
        </w:rPr>
      </w:pPr>
      <w:r w:rsidRPr="001D24BE">
        <w:rPr>
          <w:rFonts w:ascii="Arial" w:hAnsi="Arial" w:cs="Arial"/>
          <w:bCs/>
          <w:sz w:val="22"/>
          <w:lang w:val="es-ES_tradnl"/>
        </w:rPr>
        <w:t xml:space="preserve">Además, las entidades estatales deben garantizar el </w:t>
      </w:r>
      <w:r w:rsidRPr="001D24BE">
        <w:rPr>
          <w:rFonts w:ascii="Arial" w:hAnsi="Arial" w:cs="Arial"/>
          <w:bCs/>
          <w:i/>
          <w:iCs/>
          <w:sz w:val="22"/>
          <w:lang w:val="es-ES_tradnl"/>
        </w:rPr>
        <w:t>principio de economía</w:t>
      </w:r>
      <w:r w:rsidRPr="001D24BE">
        <w:rPr>
          <w:rFonts w:ascii="Arial" w:hAnsi="Arial" w:cs="Arial"/>
          <w:bCs/>
          <w:sz w:val="22"/>
          <w:lang w:val="es-ES_tradnl"/>
        </w:rPr>
        <w:t xml:space="preserve">, del cual se desprende que no pueden exigir documentos o requisitos más allá de los que permitan la Constitución, la ley y los reglamentos. Este postulado ha </w:t>
      </w:r>
      <w:r w:rsidR="00247308">
        <w:rPr>
          <w:rFonts w:ascii="Arial" w:hAnsi="Arial" w:cs="Arial"/>
          <w:bCs/>
          <w:sz w:val="22"/>
          <w:lang w:val="es-ES_tradnl"/>
        </w:rPr>
        <w:t>sido recogido</w:t>
      </w:r>
      <w:r w:rsidRPr="001D24BE">
        <w:rPr>
          <w:rFonts w:ascii="Arial" w:hAnsi="Arial" w:cs="Arial"/>
          <w:bCs/>
          <w:sz w:val="22"/>
          <w:lang w:val="es-ES_tradnl"/>
        </w:rPr>
        <w:t xml:space="preserve"> no solo en la contratación estatal</w:t>
      </w:r>
      <w:r w:rsidRPr="001D24BE">
        <w:rPr>
          <w:rStyle w:val="Refdenotaalpie"/>
          <w:rFonts w:ascii="Arial" w:hAnsi="Arial" w:cs="Arial"/>
          <w:bCs/>
          <w:sz w:val="22"/>
          <w:lang w:val="es-ES_tradnl"/>
        </w:rPr>
        <w:footnoteReference w:id="6"/>
      </w:r>
      <w:r w:rsidRPr="001D24BE">
        <w:rPr>
          <w:rFonts w:ascii="Arial" w:hAnsi="Arial" w:cs="Arial"/>
          <w:bCs/>
          <w:sz w:val="22"/>
          <w:lang w:val="es-ES_tradnl"/>
        </w:rPr>
        <w:t xml:space="preserve"> sino además en la normativa </w:t>
      </w:r>
      <w:proofErr w:type="spellStart"/>
      <w:r w:rsidRPr="001D24BE">
        <w:rPr>
          <w:rFonts w:ascii="Arial" w:hAnsi="Arial" w:cs="Arial"/>
          <w:bCs/>
          <w:sz w:val="22"/>
          <w:lang w:val="es-ES_tradnl"/>
        </w:rPr>
        <w:t>antitrámites</w:t>
      </w:r>
      <w:proofErr w:type="spellEnd"/>
      <w:r w:rsidRPr="001D24BE">
        <w:rPr>
          <w:rStyle w:val="Refdenotaalpie"/>
          <w:rFonts w:ascii="Arial" w:hAnsi="Arial" w:cs="Arial"/>
          <w:bCs/>
          <w:sz w:val="22"/>
          <w:lang w:val="es-ES_tradnl"/>
        </w:rPr>
        <w:footnoteReference w:id="7"/>
      </w:r>
      <w:r w:rsidRPr="001D24BE">
        <w:rPr>
          <w:rFonts w:ascii="Arial" w:hAnsi="Arial" w:cs="Arial"/>
          <w:bCs/>
          <w:sz w:val="22"/>
          <w:lang w:val="es-ES_tradnl"/>
        </w:rPr>
        <w:t>; pues se inscribe dentro de la tendencia de simplificación y racionalización de los procedimientos administrativos. De ahí que cuando las autoridades solicitan la entrega de documentación innecesaria, menoscaban el principio de economía.</w:t>
      </w:r>
    </w:p>
    <w:p w14:paraId="1506438A" w14:textId="73D21B65" w:rsidR="00367BA7" w:rsidRDefault="002F6B0A" w:rsidP="00652FC6">
      <w:pPr>
        <w:spacing w:before="120" w:after="120" w:line="276" w:lineRule="auto"/>
        <w:ind w:firstLine="709"/>
        <w:jc w:val="both"/>
        <w:rPr>
          <w:rFonts w:ascii="Arial" w:hAnsi="Arial" w:cs="Arial"/>
          <w:sz w:val="22"/>
        </w:rPr>
      </w:pPr>
      <w:r>
        <w:rPr>
          <w:rFonts w:ascii="Arial" w:hAnsi="Arial" w:cs="Arial"/>
          <w:sz w:val="22"/>
        </w:rPr>
        <w:t>Adicionalmente</w:t>
      </w:r>
      <w:r w:rsidR="00367BA7" w:rsidRPr="001D24BE">
        <w:rPr>
          <w:rFonts w:ascii="Arial" w:hAnsi="Arial" w:cs="Arial"/>
          <w:sz w:val="22"/>
        </w:rPr>
        <w:t xml:space="preserve">, en la parte introductoria de los documentos tipo, </w:t>
      </w:r>
      <w:r w:rsidR="00E312B1">
        <w:rPr>
          <w:rFonts w:ascii="Arial" w:hAnsi="Arial" w:cs="Arial"/>
          <w:sz w:val="22"/>
        </w:rPr>
        <w:t>todas las modalidades de selección anteriormente citadas</w:t>
      </w:r>
      <w:r w:rsidR="00367BA7" w:rsidRPr="001D24BE">
        <w:rPr>
          <w:rFonts w:ascii="Arial" w:hAnsi="Arial" w:cs="Arial"/>
          <w:sz w:val="22"/>
        </w:rPr>
        <w:t xml:space="preserve">, se señala que los aspectos incluidos en corchetes y resaltado gris deben ser diligenciados por la entidad. </w:t>
      </w:r>
      <w:r w:rsidR="00E8603F">
        <w:rPr>
          <w:rFonts w:ascii="Arial" w:hAnsi="Arial" w:cs="Arial"/>
          <w:sz w:val="22"/>
        </w:rPr>
        <w:t>Además, e</w:t>
      </w:r>
      <w:r w:rsidR="00367BA7" w:rsidRPr="001D24BE">
        <w:rPr>
          <w:rFonts w:ascii="Arial" w:hAnsi="Arial" w:cs="Arial"/>
          <w:sz w:val="22"/>
        </w:rPr>
        <w:t xml:space="preserve">xcepcionalmente le corresponde al proponente consignar la información incluida en corchetes y resaltada en gris, como, por ejemplo, los formatos que requieren de la firma del proponente o su representante legal. De todos modos, en cada acápite que esté </w:t>
      </w:r>
      <w:r w:rsidR="00367BA7" w:rsidRPr="001D24BE">
        <w:rPr>
          <w:rFonts w:ascii="Arial" w:hAnsi="Arial" w:cs="Arial"/>
          <w:sz w:val="22"/>
        </w:rPr>
        <w:lastRenderedPageBreak/>
        <w:t xml:space="preserve">resaltado en gris la entidad tendrá la libertad de determinar la información que se diligenciará en los Documentos Tipo, de acuerdo con su necesidad y las instrucciones que precise el </w:t>
      </w:r>
      <w:r w:rsidR="00E8603F">
        <w:rPr>
          <w:rFonts w:ascii="Arial" w:hAnsi="Arial" w:cs="Arial"/>
          <w:sz w:val="22"/>
        </w:rPr>
        <w:t>p</w:t>
      </w:r>
      <w:r w:rsidR="00367BA7" w:rsidRPr="001D24BE">
        <w:rPr>
          <w:rFonts w:ascii="Arial" w:hAnsi="Arial" w:cs="Arial"/>
          <w:sz w:val="22"/>
        </w:rPr>
        <w:t>liego</w:t>
      </w:r>
      <w:r w:rsidR="00E8603F">
        <w:rPr>
          <w:rFonts w:ascii="Arial" w:hAnsi="Arial" w:cs="Arial"/>
          <w:sz w:val="22"/>
        </w:rPr>
        <w:t xml:space="preserve"> tipo</w:t>
      </w:r>
      <w:r w:rsidR="00367BA7" w:rsidRPr="001D24BE">
        <w:rPr>
          <w:rFonts w:ascii="Arial" w:hAnsi="Arial" w:cs="Arial"/>
          <w:sz w:val="22"/>
        </w:rPr>
        <w:t xml:space="preserve">. </w:t>
      </w:r>
    </w:p>
    <w:p w14:paraId="2A43FCB0" w14:textId="6A20BBD4" w:rsidR="007733B7" w:rsidRDefault="007733B7" w:rsidP="004C5091">
      <w:pPr>
        <w:spacing w:line="276" w:lineRule="auto"/>
        <w:ind w:firstLine="709"/>
        <w:jc w:val="both"/>
        <w:rPr>
          <w:rFonts w:ascii="Arial" w:hAnsi="Arial" w:cs="Arial"/>
          <w:sz w:val="22"/>
        </w:rPr>
      </w:pPr>
      <w:r w:rsidRPr="008918A2">
        <w:rPr>
          <w:rFonts w:ascii="Arial" w:hAnsi="Arial" w:cs="Arial"/>
          <w:sz w:val="22"/>
          <w:shd w:val="clear" w:color="auto" w:fill="FFFFFF"/>
          <w:lang w:val="es-ES_tradnl"/>
        </w:rPr>
        <w:t>En este orden de ideas, no cabe duda de que está vigente la regla de la inalterabilidad de los documentos tipo. Lo anterior por cuanto las diferentes disposiciones normativas que se han expedido han ratificado dicha regla, como ha sucedido con el artículo 1 de la Ley 2022 de 2020 y con las resoluciones que ha expedido la Agencia Nacional de Contratación Pública – Colombia Compra Eficiente.</w:t>
      </w:r>
    </w:p>
    <w:p w14:paraId="3949383F" w14:textId="77777777" w:rsidR="00651591" w:rsidRDefault="00651591" w:rsidP="004C5091">
      <w:pPr>
        <w:spacing w:line="276" w:lineRule="auto"/>
        <w:ind w:firstLine="709"/>
        <w:jc w:val="both"/>
        <w:rPr>
          <w:rFonts w:ascii="Arial" w:hAnsi="Arial" w:cs="Arial"/>
          <w:b/>
          <w:color w:val="0D0D0D" w:themeColor="text1" w:themeTint="F2"/>
          <w:sz w:val="22"/>
        </w:rPr>
      </w:pPr>
    </w:p>
    <w:p w14:paraId="2BA13F42" w14:textId="030D00E5" w:rsidR="007733B7" w:rsidRDefault="00651591" w:rsidP="00C452CE">
      <w:pPr>
        <w:spacing w:line="276" w:lineRule="auto"/>
        <w:jc w:val="both"/>
        <w:rPr>
          <w:rFonts w:ascii="Arial" w:hAnsi="Arial" w:cs="Arial"/>
          <w:sz w:val="22"/>
        </w:rPr>
      </w:pPr>
      <w:r>
        <w:rPr>
          <w:rFonts w:ascii="Arial" w:hAnsi="Arial" w:cs="Arial"/>
          <w:b/>
          <w:color w:val="0D0D0D" w:themeColor="text1" w:themeTint="F2"/>
          <w:sz w:val="22"/>
        </w:rPr>
        <w:t xml:space="preserve">2.3. </w:t>
      </w:r>
      <w:r w:rsidRPr="004930D7">
        <w:rPr>
          <w:rFonts w:ascii="Arial" w:hAnsi="Arial" w:cs="Arial"/>
          <w:b/>
          <w:color w:val="0D0D0D" w:themeColor="text1" w:themeTint="F2"/>
          <w:sz w:val="22"/>
        </w:rPr>
        <w:t xml:space="preserve">Ponderación de la </w:t>
      </w:r>
      <w:r>
        <w:rPr>
          <w:rFonts w:ascii="Arial" w:hAnsi="Arial" w:cs="Arial"/>
          <w:b/>
          <w:color w:val="0D0D0D" w:themeColor="text1" w:themeTint="F2"/>
          <w:sz w:val="22"/>
        </w:rPr>
        <w:t>experiencia del proponente</w:t>
      </w:r>
      <w:r w:rsidRPr="004930D7">
        <w:rPr>
          <w:rFonts w:ascii="Arial" w:hAnsi="Arial" w:cs="Arial"/>
          <w:b/>
          <w:color w:val="0D0D0D" w:themeColor="text1" w:themeTint="F2"/>
          <w:sz w:val="22"/>
        </w:rPr>
        <w:t xml:space="preserve"> en procedimientos contractuales regidos por los documentos tipo</w:t>
      </w:r>
    </w:p>
    <w:p w14:paraId="0C2E5417" w14:textId="77777777" w:rsidR="00651591" w:rsidRDefault="00651591" w:rsidP="00652FC6">
      <w:pPr>
        <w:spacing w:line="276" w:lineRule="auto"/>
        <w:ind w:firstLine="709"/>
        <w:jc w:val="both"/>
        <w:rPr>
          <w:rFonts w:ascii="Arial" w:hAnsi="Arial" w:cs="Arial"/>
          <w:sz w:val="22"/>
        </w:rPr>
      </w:pPr>
    </w:p>
    <w:p w14:paraId="5B2EFB40" w14:textId="5E71E262" w:rsidR="00651591" w:rsidRDefault="00651591" w:rsidP="00652FC6">
      <w:pPr>
        <w:spacing w:after="120" w:line="276" w:lineRule="auto"/>
        <w:jc w:val="both"/>
        <w:rPr>
          <w:rFonts w:ascii="Arial" w:hAnsi="Arial" w:cs="Arial"/>
          <w:sz w:val="22"/>
        </w:rPr>
      </w:pPr>
      <w:r>
        <w:rPr>
          <w:rFonts w:ascii="Arial" w:hAnsi="Arial" w:cs="Arial"/>
          <w:sz w:val="22"/>
        </w:rPr>
        <w:t xml:space="preserve">El </w:t>
      </w:r>
      <w:r w:rsidR="00794F3F">
        <w:rPr>
          <w:rFonts w:ascii="Arial" w:hAnsi="Arial" w:cs="Arial"/>
          <w:sz w:val="22"/>
        </w:rPr>
        <w:t>documento base o</w:t>
      </w:r>
      <w:r w:rsidR="00794F3F" w:rsidRPr="00794F3F">
        <w:rPr>
          <w:rFonts w:ascii="Arial" w:hAnsi="Arial" w:cs="Arial"/>
          <w:sz w:val="22"/>
        </w:rPr>
        <w:t xml:space="preserve"> </w:t>
      </w:r>
      <w:r w:rsidR="00794F3F">
        <w:rPr>
          <w:rFonts w:ascii="Arial" w:hAnsi="Arial" w:cs="Arial"/>
          <w:sz w:val="22"/>
        </w:rPr>
        <w:t>pliego</w:t>
      </w:r>
      <w:r w:rsidR="00794F3F" w:rsidRPr="00794F3F">
        <w:rPr>
          <w:rFonts w:ascii="Arial" w:hAnsi="Arial" w:cs="Arial"/>
          <w:sz w:val="22"/>
        </w:rPr>
        <w:t xml:space="preserve"> tipo </w:t>
      </w:r>
      <w:r w:rsidR="00794F3F">
        <w:rPr>
          <w:rFonts w:ascii="Arial" w:hAnsi="Arial" w:cs="Arial"/>
          <w:sz w:val="22"/>
        </w:rPr>
        <w:t xml:space="preserve">de </w:t>
      </w:r>
      <w:r w:rsidR="00794F3F" w:rsidRPr="00794F3F">
        <w:rPr>
          <w:rFonts w:ascii="Arial" w:hAnsi="Arial" w:cs="Arial"/>
          <w:sz w:val="22"/>
        </w:rPr>
        <w:t>interventoría de obra pública de infraestructura de transporte</w:t>
      </w:r>
      <w:r>
        <w:rPr>
          <w:rFonts w:ascii="Arial" w:hAnsi="Arial" w:cs="Arial"/>
          <w:sz w:val="22"/>
        </w:rPr>
        <w:t xml:space="preserve">, en el numeral 4.1, señala los métodos de ponderación de la experiencia del proponente presentando 4 alternativas: i) mediana con valor absoluto, ii) media geométrica, iii) media aritmética alta y iv) media aritmética baja. </w:t>
      </w:r>
    </w:p>
    <w:p w14:paraId="5FC8371C" w14:textId="5206AAA2" w:rsidR="00651591" w:rsidRDefault="00651591" w:rsidP="00652FC6">
      <w:pPr>
        <w:spacing w:line="276" w:lineRule="auto"/>
        <w:ind w:firstLine="709"/>
        <w:jc w:val="both"/>
        <w:rPr>
          <w:rFonts w:ascii="Arial" w:hAnsi="Arial" w:cs="Arial"/>
          <w:sz w:val="22"/>
        </w:rPr>
      </w:pPr>
      <w:r>
        <w:rPr>
          <w:rFonts w:ascii="Arial" w:hAnsi="Arial" w:cs="Arial"/>
          <w:sz w:val="22"/>
        </w:rPr>
        <w:t xml:space="preserve"> </w:t>
      </w:r>
      <w:r w:rsidR="00FD602A">
        <w:rPr>
          <w:rFonts w:ascii="Arial" w:hAnsi="Arial" w:cs="Arial"/>
          <w:sz w:val="22"/>
        </w:rPr>
        <w:t>L</w:t>
      </w:r>
      <w:r>
        <w:rPr>
          <w:rFonts w:ascii="Arial" w:hAnsi="Arial" w:cs="Arial"/>
          <w:sz w:val="22"/>
        </w:rPr>
        <w:t xml:space="preserve">a entidad escogerá uno u otro método de ponderación, de acuerdo con la Tasa de Cambio Representativa del Mercado –TRM– </w:t>
      </w:r>
      <w:r w:rsidR="00FD602A" w:rsidRPr="00FD602A">
        <w:rPr>
          <w:rFonts w:ascii="Arial" w:hAnsi="Arial" w:cs="Arial"/>
          <w:sz w:val="22"/>
        </w:rPr>
        <w:t>que rija el segundo día hábil después del cierre del proceso.</w:t>
      </w:r>
      <w:r>
        <w:rPr>
          <w:rFonts w:ascii="Arial" w:hAnsi="Arial" w:cs="Arial"/>
          <w:sz w:val="22"/>
        </w:rPr>
        <w:t xml:space="preserve"> </w:t>
      </w:r>
      <w:r w:rsidR="00145942">
        <w:rPr>
          <w:rFonts w:ascii="Arial" w:hAnsi="Arial" w:cs="Arial"/>
          <w:sz w:val="22"/>
        </w:rPr>
        <w:t>De esta manera, l</w:t>
      </w:r>
      <w:r>
        <w:rPr>
          <w:rFonts w:ascii="Arial" w:hAnsi="Arial" w:cs="Arial"/>
          <w:sz w:val="22"/>
        </w:rPr>
        <w:t>a entidad debe tener en cuenta los centavos de la TRM para definir el método de ponderación, de acuerdo con los rangos del siguiente cuadro:</w:t>
      </w:r>
    </w:p>
    <w:p w14:paraId="46F494CE" w14:textId="2FFD757C" w:rsidR="00FD602A" w:rsidRDefault="00FD602A" w:rsidP="00652FC6">
      <w:pPr>
        <w:spacing w:line="276" w:lineRule="auto"/>
        <w:ind w:firstLine="709"/>
        <w:jc w:val="both"/>
        <w:rPr>
          <w:rFonts w:ascii="Arial" w:hAnsi="Arial" w:cs="Arial"/>
          <w:sz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22"/>
        <w:gridCol w:w="1115"/>
        <w:gridCol w:w="3273"/>
      </w:tblGrid>
      <w:tr w:rsidR="00FD602A" w:rsidRPr="00FD602A" w14:paraId="76D45638" w14:textId="77777777" w:rsidTr="00031B83">
        <w:trPr>
          <w:trHeight w:val="18"/>
          <w:jc w:val="center"/>
        </w:trPr>
        <w:tc>
          <w:tcPr>
            <w:tcW w:w="1622"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34927434" w14:textId="77777777" w:rsidR="00FD602A" w:rsidRPr="00FD602A" w:rsidRDefault="00FD602A" w:rsidP="00031B83">
            <w:pPr>
              <w:spacing w:line="276" w:lineRule="auto"/>
              <w:jc w:val="center"/>
              <w:rPr>
                <w:rFonts w:ascii="Arial" w:eastAsia="Arial,Calibri" w:hAnsi="Arial" w:cs="Arial"/>
                <w:b/>
                <w:bCs/>
                <w:color w:val="DBDBDB" w:themeColor="background1"/>
                <w:sz w:val="18"/>
                <w:szCs w:val="18"/>
              </w:rPr>
            </w:pPr>
            <w:r w:rsidRPr="00FD602A">
              <w:rPr>
                <w:rFonts w:ascii="Arial" w:hAnsi="Arial" w:cs="Arial"/>
                <w:b/>
                <w:bCs/>
                <w:color w:val="DBDBDB" w:themeColor="background1"/>
                <w:sz w:val="18"/>
                <w:szCs w:val="18"/>
              </w:rPr>
              <w:t>Rango</w:t>
            </w:r>
            <w:r w:rsidRPr="00FD602A">
              <w:rPr>
                <w:rFonts w:ascii="Arial" w:eastAsia="Arial,Calibri" w:hAnsi="Arial" w:cs="Arial"/>
                <w:b/>
                <w:bCs/>
                <w:color w:val="DBDBDB" w:themeColor="background1"/>
                <w:sz w:val="18"/>
                <w:szCs w:val="18"/>
              </w:rPr>
              <w:t xml:space="preserve"> </w:t>
            </w:r>
            <w:r w:rsidRPr="00FD602A">
              <w:rPr>
                <w:rFonts w:ascii="Arial" w:hAnsi="Arial" w:cs="Arial"/>
                <w:b/>
                <w:bCs/>
                <w:color w:val="DBDBDB" w:themeColor="background1"/>
                <w:sz w:val="18"/>
                <w:szCs w:val="18"/>
              </w:rPr>
              <w:t>(inclusive)</w:t>
            </w:r>
          </w:p>
        </w:tc>
        <w:tc>
          <w:tcPr>
            <w:tcW w:w="1115"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7180BF83" w14:textId="77777777" w:rsidR="00FD602A" w:rsidRPr="00FD602A" w:rsidRDefault="00FD602A" w:rsidP="00031B83">
            <w:pPr>
              <w:spacing w:line="276" w:lineRule="auto"/>
              <w:jc w:val="center"/>
              <w:rPr>
                <w:rFonts w:ascii="Arial" w:eastAsia="Arial,Calibri" w:hAnsi="Arial" w:cs="Arial"/>
                <w:b/>
                <w:bCs/>
                <w:color w:val="DBDBDB" w:themeColor="background1"/>
                <w:sz w:val="18"/>
                <w:szCs w:val="18"/>
              </w:rPr>
            </w:pPr>
            <w:r w:rsidRPr="00FD602A">
              <w:rPr>
                <w:rFonts w:ascii="Arial" w:hAnsi="Arial" w:cs="Arial"/>
                <w:b/>
                <w:bCs/>
                <w:color w:val="DBDBDB" w:themeColor="background1"/>
                <w:sz w:val="18"/>
                <w:szCs w:val="18"/>
              </w:rPr>
              <w:t>Número</w:t>
            </w:r>
          </w:p>
        </w:tc>
        <w:tc>
          <w:tcPr>
            <w:tcW w:w="327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733FEF82" w14:textId="77777777" w:rsidR="00FD602A" w:rsidRPr="00FD602A" w:rsidRDefault="00FD602A" w:rsidP="00031B83">
            <w:pPr>
              <w:spacing w:line="276" w:lineRule="auto"/>
              <w:jc w:val="center"/>
              <w:rPr>
                <w:rFonts w:ascii="Arial" w:eastAsia="Arial,Calibri" w:hAnsi="Arial" w:cs="Arial"/>
                <w:b/>
                <w:bCs/>
                <w:color w:val="DBDBDB" w:themeColor="background1"/>
                <w:sz w:val="18"/>
                <w:szCs w:val="18"/>
              </w:rPr>
            </w:pPr>
            <w:r w:rsidRPr="00FD602A">
              <w:rPr>
                <w:rFonts w:ascii="Arial" w:hAnsi="Arial" w:cs="Arial"/>
                <w:b/>
                <w:bCs/>
                <w:color w:val="DBDBDB" w:themeColor="background1"/>
                <w:sz w:val="18"/>
                <w:szCs w:val="18"/>
              </w:rPr>
              <w:t>Método</w:t>
            </w:r>
          </w:p>
        </w:tc>
      </w:tr>
      <w:tr w:rsidR="00FD602A" w:rsidRPr="00FD602A" w14:paraId="06E0D0FA" w14:textId="77777777" w:rsidTr="00031B83">
        <w:trPr>
          <w:trHeight w:val="18"/>
          <w:jc w:val="center"/>
        </w:trPr>
        <w:tc>
          <w:tcPr>
            <w:tcW w:w="1622" w:type="dxa"/>
            <w:tcBorders>
              <w:top w:val="single" w:sz="4" w:space="0" w:color="auto"/>
              <w:left w:val="double" w:sz="4" w:space="0" w:color="auto"/>
              <w:bottom w:val="single" w:sz="4" w:space="0" w:color="auto"/>
              <w:right w:val="single" w:sz="4" w:space="0" w:color="auto"/>
            </w:tcBorders>
            <w:vAlign w:val="center"/>
            <w:hideMark/>
          </w:tcPr>
          <w:p w14:paraId="4AFC9642" w14:textId="77777777" w:rsidR="00FD602A" w:rsidRPr="00FD602A" w:rsidRDefault="00FD602A" w:rsidP="00031B83">
            <w:pPr>
              <w:spacing w:line="276" w:lineRule="auto"/>
              <w:jc w:val="center"/>
              <w:rPr>
                <w:rFonts w:ascii="Arial" w:eastAsia="Times New Roman" w:hAnsi="Arial" w:cs="Arial"/>
                <w:sz w:val="18"/>
                <w:szCs w:val="18"/>
              </w:rPr>
            </w:pPr>
            <w:r w:rsidRPr="00FD602A">
              <w:rPr>
                <w:rFonts w:ascii="Arial" w:hAnsi="Arial" w:cs="Arial"/>
                <w:sz w:val="18"/>
                <w:szCs w:val="18"/>
              </w:rPr>
              <w:t>De 0.00 a 0.24</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71D3BD1" w14:textId="77777777" w:rsidR="00FD602A" w:rsidRPr="00FD602A" w:rsidRDefault="00FD602A" w:rsidP="00031B83">
            <w:pPr>
              <w:spacing w:line="276" w:lineRule="auto"/>
              <w:jc w:val="center"/>
              <w:rPr>
                <w:rFonts w:ascii="Arial" w:eastAsia="Arial,Times New Roman" w:hAnsi="Arial" w:cs="Arial"/>
                <w:sz w:val="18"/>
                <w:szCs w:val="18"/>
              </w:rPr>
            </w:pPr>
            <w:r w:rsidRPr="00FD602A">
              <w:rPr>
                <w:rFonts w:ascii="Arial" w:hAnsi="Arial" w:cs="Arial"/>
                <w:sz w:val="18"/>
                <w:szCs w:val="18"/>
              </w:rPr>
              <w:t>1</w:t>
            </w:r>
          </w:p>
        </w:tc>
        <w:tc>
          <w:tcPr>
            <w:tcW w:w="3273" w:type="dxa"/>
            <w:tcBorders>
              <w:top w:val="single" w:sz="4" w:space="0" w:color="auto"/>
              <w:left w:val="single" w:sz="4" w:space="0" w:color="auto"/>
              <w:bottom w:val="single" w:sz="4" w:space="0" w:color="auto"/>
              <w:right w:val="double" w:sz="4" w:space="0" w:color="auto"/>
            </w:tcBorders>
            <w:vAlign w:val="center"/>
            <w:hideMark/>
          </w:tcPr>
          <w:p w14:paraId="178C929A" w14:textId="77777777" w:rsidR="00FD602A" w:rsidRPr="00FD602A" w:rsidRDefault="00FD602A" w:rsidP="00031B83">
            <w:pPr>
              <w:spacing w:line="276" w:lineRule="auto"/>
              <w:jc w:val="both"/>
              <w:rPr>
                <w:rFonts w:ascii="Arial" w:eastAsia="Arial,Times New Roman" w:hAnsi="Arial" w:cs="Arial"/>
                <w:sz w:val="18"/>
                <w:szCs w:val="18"/>
              </w:rPr>
            </w:pPr>
            <w:r w:rsidRPr="00FD602A">
              <w:rPr>
                <w:rFonts w:ascii="Arial" w:hAnsi="Arial" w:cs="Arial"/>
                <w:sz w:val="18"/>
                <w:szCs w:val="18"/>
              </w:rPr>
              <w:t>Mediana con valor absoluto</w:t>
            </w:r>
          </w:p>
        </w:tc>
      </w:tr>
      <w:tr w:rsidR="00FD602A" w:rsidRPr="00FD602A" w14:paraId="0DDF8F9B" w14:textId="77777777" w:rsidTr="00031B83">
        <w:trPr>
          <w:trHeight w:val="37"/>
          <w:jc w:val="center"/>
        </w:trPr>
        <w:tc>
          <w:tcPr>
            <w:tcW w:w="1622" w:type="dxa"/>
            <w:tcBorders>
              <w:top w:val="single" w:sz="4" w:space="0" w:color="auto"/>
              <w:left w:val="double" w:sz="4" w:space="0" w:color="auto"/>
              <w:bottom w:val="single" w:sz="4" w:space="0" w:color="auto"/>
              <w:right w:val="single" w:sz="4" w:space="0" w:color="auto"/>
            </w:tcBorders>
            <w:vAlign w:val="center"/>
            <w:hideMark/>
          </w:tcPr>
          <w:p w14:paraId="79BDAEAE" w14:textId="77777777" w:rsidR="00FD602A" w:rsidRPr="00FD602A" w:rsidRDefault="00FD602A" w:rsidP="00031B83">
            <w:pPr>
              <w:spacing w:line="276" w:lineRule="auto"/>
              <w:jc w:val="center"/>
              <w:rPr>
                <w:rFonts w:ascii="Arial" w:eastAsia="Times New Roman" w:hAnsi="Arial" w:cs="Arial"/>
                <w:sz w:val="18"/>
                <w:szCs w:val="18"/>
              </w:rPr>
            </w:pPr>
            <w:r w:rsidRPr="00FD602A">
              <w:rPr>
                <w:rFonts w:ascii="Arial" w:hAnsi="Arial" w:cs="Arial"/>
                <w:sz w:val="18"/>
                <w:szCs w:val="18"/>
              </w:rPr>
              <w:t>De 0.25 a 0.49</w:t>
            </w:r>
          </w:p>
        </w:tc>
        <w:tc>
          <w:tcPr>
            <w:tcW w:w="1115" w:type="dxa"/>
            <w:tcBorders>
              <w:top w:val="single" w:sz="4" w:space="0" w:color="auto"/>
              <w:left w:val="single" w:sz="4" w:space="0" w:color="auto"/>
              <w:bottom w:val="single" w:sz="4" w:space="0" w:color="auto"/>
              <w:right w:val="single" w:sz="4" w:space="0" w:color="auto"/>
            </w:tcBorders>
            <w:vAlign w:val="center"/>
            <w:hideMark/>
          </w:tcPr>
          <w:p w14:paraId="7CE33B53" w14:textId="77777777" w:rsidR="00FD602A" w:rsidRPr="00FD602A" w:rsidRDefault="00FD602A" w:rsidP="00031B83">
            <w:pPr>
              <w:spacing w:line="276" w:lineRule="auto"/>
              <w:jc w:val="center"/>
              <w:rPr>
                <w:rFonts w:ascii="Arial" w:eastAsia="Arial,Times New Roman" w:hAnsi="Arial" w:cs="Arial"/>
                <w:sz w:val="18"/>
                <w:szCs w:val="18"/>
              </w:rPr>
            </w:pPr>
            <w:r w:rsidRPr="00FD602A">
              <w:rPr>
                <w:rFonts w:ascii="Arial" w:eastAsia="Arial,Times New Roman" w:hAnsi="Arial" w:cs="Arial"/>
                <w:sz w:val="18"/>
                <w:szCs w:val="18"/>
              </w:rPr>
              <w:t>2</w:t>
            </w:r>
          </w:p>
        </w:tc>
        <w:tc>
          <w:tcPr>
            <w:tcW w:w="3273" w:type="dxa"/>
            <w:tcBorders>
              <w:top w:val="single" w:sz="4" w:space="0" w:color="auto"/>
              <w:left w:val="single" w:sz="4" w:space="0" w:color="auto"/>
              <w:bottom w:val="single" w:sz="4" w:space="0" w:color="auto"/>
              <w:right w:val="double" w:sz="4" w:space="0" w:color="auto"/>
            </w:tcBorders>
            <w:vAlign w:val="center"/>
            <w:hideMark/>
          </w:tcPr>
          <w:p w14:paraId="3467D192" w14:textId="77777777" w:rsidR="00FD602A" w:rsidRPr="00FD602A" w:rsidRDefault="00FD602A" w:rsidP="00031B83">
            <w:pPr>
              <w:spacing w:line="276" w:lineRule="auto"/>
              <w:jc w:val="both"/>
              <w:rPr>
                <w:rFonts w:ascii="Arial" w:eastAsia="Arial,Times New Roman" w:hAnsi="Arial" w:cs="Arial"/>
                <w:sz w:val="18"/>
                <w:szCs w:val="18"/>
              </w:rPr>
            </w:pPr>
            <w:r w:rsidRPr="00FD602A">
              <w:rPr>
                <w:rFonts w:ascii="Arial" w:hAnsi="Arial" w:cs="Arial"/>
                <w:sz w:val="18"/>
                <w:szCs w:val="18"/>
              </w:rPr>
              <w:t>Media geométrica</w:t>
            </w:r>
          </w:p>
        </w:tc>
      </w:tr>
      <w:tr w:rsidR="00FD602A" w:rsidRPr="00FD602A" w14:paraId="118750D6" w14:textId="77777777" w:rsidTr="00031B83">
        <w:trPr>
          <w:trHeight w:val="18"/>
          <w:jc w:val="center"/>
        </w:trPr>
        <w:tc>
          <w:tcPr>
            <w:tcW w:w="1622" w:type="dxa"/>
            <w:tcBorders>
              <w:top w:val="single" w:sz="4" w:space="0" w:color="auto"/>
              <w:left w:val="double" w:sz="4" w:space="0" w:color="auto"/>
              <w:bottom w:val="single" w:sz="4" w:space="0" w:color="auto"/>
              <w:right w:val="single" w:sz="4" w:space="0" w:color="auto"/>
            </w:tcBorders>
            <w:vAlign w:val="center"/>
            <w:hideMark/>
          </w:tcPr>
          <w:p w14:paraId="5494DE50" w14:textId="77777777" w:rsidR="00FD602A" w:rsidRPr="00FD602A" w:rsidRDefault="00FD602A" w:rsidP="00031B83">
            <w:pPr>
              <w:spacing w:line="276" w:lineRule="auto"/>
              <w:jc w:val="center"/>
              <w:rPr>
                <w:rFonts w:ascii="Arial" w:eastAsia="Times New Roman" w:hAnsi="Arial" w:cs="Arial"/>
                <w:sz w:val="18"/>
                <w:szCs w:val="18"/>
              </w:rPr>
            </w:pPr>
            <w:r w:rsidRPr="00FD602A">
              <w:rPr>
                <w:rFonts w:ascii="Arial" w:hAnsi="Arial" w:cs="Arial"/>
                <w:sz w:val="18"/>
                <w:szCs w:val="18"/>
              </w:rPr>
              <w:t>De 0.50 a 0.74</w:t>
            </w:r>
          </w:p>
        </w:tc>
        <w:tc>
          <w:tcPr>
            <w:tcW w:w="1115" w:type="dxa"/>
            <w:tcBorders>
              <w:top w:val="single" w:sz="4" w:space="0" w:color="auto"/>
              <w:left w:val="single" w:sz="4" w:space="0" w:color="auto"/>
              <w:bottom w:val="single" w:sz="4" w:space="0" w:color="auto"/>
              <w:right w:val="single" w:sz="4" w:space="0" w:color="auto"/>
            </w:tcBorders>
            <w:vAlign w:val="center"/>
            <w:hideMark/>
          </w:tcPr>
          <w:p w14:paraId="6E2174F5" w14:textId="77777777" w:rsidR="00FD602A" w:rsidRPr="00FD602A" w:rsidRDefault="00FD602A" w:rsidP="00031B83">
            <w:pPr>
              <w:spacing w:line="276" w:lineRule="auto"/>
              <w:jc w:val="center"/>
              <w:rPr>
                <w:rFonts w:ascii="Arial" w:hAnsi="Arial" w:cs="Arial"/>
                <w:sz w:val="18"/>
                <w:szCs w:val="18"/>
              </w:rPr>
            </w:pPr>
            <w:r w:rsidRPr="00FD602A">
              <w:rPr>
                <w:rFonts w:ascii="Arial" w:hAnsi="Arial" w:cs="Arial"/>
                <w:sz w:val="18"/>
                <w:szCs w:val="18"/>
              </w:rPr>
              <w:t>3</w:t>
            </w:r>
          </w:p>
        </w:tc>
        <w:tc>
          <w:tcPr>
            <w:tcW w:w="3273" w:type="dxa"/>
            <w:tcBorders>
              <w:top w:val="single" w:sz="4" w:space="0" w:color="auto"/>
              <w:left w:val="single" w:sz="4" w:space="0" w:color="auto"/>
              <w:bottom w:val="single" w:sz="4" w:space="0" w:color="auto"/>
              <w:right w:val="double" w:sz="4" w:space="0" w:color="auto"/>
            </w:tcBorders>
            <w:vAlign w:val="center"/>
            <w:hideMark/>
          </w:tcPr>
          <w:p w14:paraId="1490C94D" w14:textId="77777777" w:rsidR="00FD602A" w:rsidRPr="00FD602A" w:rsidRDefault="00FD602A" w:rsidP="00031B83">
            <w:pPr>
              <w:spacing w:line="276" w:lineRule="auto"/>
              <w:jc w:val="both"/>
              <w:rPr>
                <w:rFonts w:ascii="Arial" w:hAnsi="Arial" w:cs="Arial"/>
                <w:sz w:val="18"/>
                <w:szCs w:val="18"/>
              </w:rPr>
            </w:pPr>
            <w:r w:rsidRPr="00FD602A">
              <w:rPr>
                <w:rFonts w:ascii="Arial" w:hAnsi="Arial" w:cs="Arial"/>
                <w:sz w:val="18"/>
                <w:szCs w:val="18"/>
              </w:rPr>
              <w:t>Media aritmética alta</w:t>
            </w:r>
          </w:p>
        </w:tc>
      </w:tr>
      <w:tr w:rsidR="00FD602A" w:rsidRPr="00FD602A" w14:paraId="23FF5A6F" w14:textId="77777777" w:rsidTr="00031B83">
        <w:trPr>
          <w:trHeight w:val="18"/>
          <w:jc w:val="center"/>
        </w:trPr>
        <w:tc>
          <w:tcPr>
            <w:tcW w:w="1622" w:type="dxa"/>
            <w:tcBorders>
              <w:top w:val="single" w:sz="4" w:space="0" w:color="auto"/>
              <w:left w:val="double" w:sz="4" w:space="0" w:color="auto"/>
              <w:bottom w:val="double" w:sz="4" w:space="0" w:color="auto"/>
              <w:right w:val="single" w:sz="4" w:space="0" w:color="auto"/>
            </w:tcBorders>
            <w:vAlign w:val="center"/>
            <w:hideMark/>
          </w:tcPr>
          <w:p w14:paraId="0F34EE9F" w14:textId="77777777" w:rsidR="00FD602A" w:rsidRPr="00FD602A" w:rsidRDefault="00FD602A" w:rsidP="00031B83">
            <w:pPr>
              <w:spacing w:line="276" w:lineRule="auto"/>
              <w:jc w:val="center"/>
              <w:rPr>
                <w:rFonts w:ascii="Arial" w:hAnsi="Arial" w:cs="Arial"/>
                <w:sz w:val="18"/>
                <w:szCs w:val="18"/>
              </w:rPr>
            </w:pPr>
            <w:r w:rsidRPr="00FD602A">
              <w:rPr>
                <w:rFonts w:ascii="Arial" w:hAnsi="Arial" w:cs="Arial"/>
                <w:sz w:val="18"/>
                <w:szCs w:val="18"/>
              </w:rPr>
              <w:t>De 0.75 a 0.99</w:t>
            </w:r>
          </w:p>
        </w:tc>
        <w:tc>
          <w:tcPr>
            <w:tcW w:w="1115" w:type="dxa"/>
            <w:tcBorders>
              <w:top w:val="single" w:sz="4" w:space="0" w:color="auto"/>
              <w:left w:val="single" w:sz="4" w:space="0" w:color="auto"/>
              <w:bottom w:val="double" w:sz="4" w:space="0" w:color="auto"/>
              <w:right w:val="single" w:sz="4" w:space="0" w:color="auto"/>
            </w:tcBorders>
            <w:vAlign w:val="center"/>
            <w:hideMark/>
          </w:tcPr>
          <w:p w14:paraId="7CB30B2C" w14:textId="77777777" w:rsidR="00FD602A" w:rsidRPr="00FD602A" w:rsidRDefault="00FD602A" w:rsidP="00031B83">
            <w:pPr>
              <w:spacing w:line="276" w:lineRule="auto"/>
              <w:jc w:val="center"/>
              <w:rPr>
                <w:rFonts w:ascii="Arial" w:hAnsi="Arial" w:cs="Arial"/>
                <w:sz w:val="18"/>
                <w:szCs w:val="18"/>
              </w:rPr>
            </w:pPr>
            <w:r w:rsidRPr="00FD602A">
              <w:rPr>
                <w:rFonts w:ascii="Arial" w:hAnsi="Arial" w:cs="Arial"/>
                <w:sz w:val="18"/>
                <w:szCs w:val="18"/>
              </w:rPr>
              <w:t>4</w:t>
            </w:r>
          </w:p>
        </w:tc>
        <w:tc>
          <w:tcPr>
            <w:tcW w:w="3273" w:type="dxa"/>
            <w:tcBorders>
              <w:top w:val="single" w:sz="4" w:space="0" w:color="auto"/>
              <w:left w:val="single" w:sz="4" w:space="0" w:color="auto"/>
              <w:bottom w:val="double" w:sz="4" w:space="0" w:color="auto"/>
              <w:right w:val="double" w:sz="4" w:space="0" w:color="auto"/>
            </w:tcBorders>
            <w:vAlign w:val="center"/>
            <w:hideMark/>
          </w:tcPr>
          <w:p w14:paraId="7BC086C6" w14:textId="77777777" w:rsidR="00FD602A" w:rsidRPr="00FD602A" w:rsidRDefault="00FD602A" w:rsidP="00031B83">
            <w:pPr>
              <w:spacing w:line="276" w:lineRule="auto"/>
              <w:jc w:val="both"/>
              <w:rPr>
                <w:rFonts w:ascii="Arial" w:hAnsi="Arial" w:cs="Arial"/>
                <w:sz w:val="18"/>
                <w:szCs w:val="18"/>
              </w:rPr>
            </w:pPr>
            <w:r w:rsidRPr="00FD602A">
              <w:rPr>
                <w:rFonts w:ascii="Arial" w:hAnsi="Arial" w:cs="Arial"/>
                <w:sz w:val="18"/>
                <w:szCs w:val="18"/>
              </w:rPr>
              <w:t>Media aritmética baja</w:t>
            </w:r>
          </w:p>
        </w:tc>
      </w:tr>
    </w:tbl>
    <w:p w14:paraId="39EB8093" w14:textId="77777777" w:rsidR="00FD602A" w:rsidRDefault="00FD602A" w:rsidP="00652FC6">
      <w:pPr>
        <w:spacing w:line="276" w:lineRule="auto"/>
        <w:ind w:firstLine="709"/>
        <w:jc w:val="both"/>
        <w:rPr>
          <w:rFonts w:ascii="Arial" w:hAnsi="Arial" w:cs="Arial"/>
          <w:sz w:val="22"/>
        </w:rPr>
      </w:pPr>
    </w:p>
    <w:p w14:paraId="0FA56D9C" w14:textId="201C8425" w:rsidR="00FD602A" w:rsidRDefault="00AD6BC6" w:rsidP="00AD6BC6">
      <w:pPr>
        <w:spacing w:after="120" w:line="276" w:lineRule="auto"/>
        <w:ind w:firstLine="709"/>
        <w:jc w:val="both"/>
        <w:rPr>
          <w:rFonts w:ascii="Arial" w:hAnsi="Arial" w:cs="Arial"/>
          <w:sz w:val="22"/>
        </w:rPr>
      </w:pPr>
      <w:r w:rsidRPr="00AD6BC6">
        <w:rPr>
          <w:rFonts w:ascii="Arial" w:hAnsi="Arial" w:cs="Arial"/>
          <w:sz w:val="22"/>
        </w:rPr>
        <w:t>Dependiendo del método aleatorio establecido según la TRM, cada uno de los proponentes habilitados participarán con el valor del promedio de los contratos válidos aportados según la metodología descrita para cada alternativa</w:t>
      </w:r>
      <w:r>
        <w:rPr>
          <w:rFonts w:ascii="Arial" w:hAnsi="Arial" w:cs="Arial"/>
          <w:sz w:val="22"/>
        </w:rPr>
        <w:t>. Este sistema</w:t>
      </w:r>
      <w:r w:rsidR="00651591">
        <w:rPr>
          <w:rFonts w:ascii="Arial" w:hAnsi="Arial" w:cs="Arial"/>
          <w:sz w:val="22"/>
        </w:rPr>
        <w:t xml:space="preserve"> para seleccionar la fórmula de ponderación de la oferta económica desestimula los actos de corrupción, puesto que no es posible manipular la TRM para conocer con anticipación la fórmula aplicable y poder adjudicar al proponente que la entidad desee.</w:t>
      </w:r>
    </w:p>
    <w:p w14:paraId="01063FA9" w14:textId="7FBDB7E1" w:rsidR="00AD6BC6" w:rsidRDefault="00AD6BC6" w:rsidP="00AD6BC6">
      <w:pPr>
        <w:spacing w:after="120" w:line="276" w:lineRule="auto"/>
        <w:ind w:firstLine="709"/>
        <w:jc w:val="both"/>
        <w:rPr>
          <w:rFonts w:ascii="Arial" w:hAnsi="Arial" w:cs="Arial"/>
          <w:sz w:val="22"/>
        </w:rPr>
      </w:pPr>
      <w:r>
        <w:rPr>
          <w:rFonts w:ascii="Arial" w:hAnsi="Arial" w:cs="Arial"/>
          <w:sz w:val="22"/>
        </w:rPr>
        <w:t xml:space="preserve">La ponderación de los criterios de evaluación permite establecer un orden de elegibilidad, de tal modo que la suma de los puntajes obtenidos por cada uno de los criterios </w:t>
      </w:r>
      <w:r w:rsidR="00841C35">
        <w:rPr>
          <w:rFonts w:ascii="Arial" w:hAnsi="Arial" w:cs="Arial"/>
          <w:sz w:val="22"/>
        </w:rPr>
        <w:t xml:space="preserve">de evaluación </w:t>
      </w:r>
      <w:r>
        <w:rPr>
          <w:rFonts w:ascii="Arial" w:hAnsi="Arial" w:cs="Arial"/>
          <w:sz w:val="22"/>
        </w:rPr>
        <w:t>define el puntaje total de los oferentes</w:t>
      </w:r>
      <w:r w:rsidR="00B27D74">
        <w:rPr>
          <w:rFonts w:ascii="Arial" w:hAnsi="Arial" w:cs="Arial"/>
          <w:sz w:val="22"/>
        </w:rPr>
        <w:t xml:space="preserve"> participantes</w:t>
      </w:r>
      <w:r>
        <w:rPr>
          <w:rFonts w:ascii="Arial" w:hAnsi="Arial" w:cs="Arial"/>
          <w:sz w:val="22"/>
        </w:rPr>
        <w:t>, siendo el puntaje total más alto aquel que ostente el proponente en primer</w:t>
      </w:r>
      <w:r w:rsidR="00B27D74">
        <w:rPr>
          <w:rFonts w:ascii="Arial" w:hAnsi="Arial" w:cs="Arial"/>
          <w:sz w:val="22"/>
        </w:rPr>
        <w:t>a línea de elegibilidad y que estará en</w:t>
      </w:r>
      <w:r>
        <w:rPr>
          <w:rFonts w:ascii="Arial" w:hAnsi="Arial" w:cs="Arial"/>
          <w:sz w:val="22"/>
        </w:rPr>
        <w:t xml:space="preserve"> situación de ser el adjudicatario del proceso de selección.</w:t>
      </w:r>
    </w:p>
    <w:p w14:paraId="1190056B" w14:textId="605D2C09" w:rsidR="00CB2BB0" w:rsidRDefault="000B12DD" w:rsidP="00CB2BB0">
      <w:pPr>
        <w:spacing w:after="120" w:line="276" w:lineRule="auto"/>
        <w:ind w:firstLine="709"/>
        <w:jc w:val="both"/>
        <w:rPr>
          <w:rFonts w:ascii="Arial" w:hAnsi="Arial" w:cs="Arial"/>
          <w:sz w:val="22"/>
        </w:rPr>
      </w:pPr>
      <w:r>
        <w:rPr>
          <w:rFonts w:ascii="Arial" w:hAnsi="Arial" w:cs="Arial"/>
          <w:sz w:val="22"/>
        </w:rPr>
        <w:lastRenderedPageBreak/>
        <w:t xml:space="preserve">La </w:t>
      </w:r>
      <w:r w:rsidR="00346D8C">
        <w:rPr>
          <w:rFonts w:ascii="Arial" w:hAnsi="Arial" w:cs="Arial"/>
          <w:sz w:val="22"/>
        </w:rPr>
        <w:t xml:space="preserve">finalidad de </w:t>
      </w:r>
      <w:r>
        <w:rPr>
          <w:rFonts w:ascii="Arial" w:hAnsi="Arial" w:cs="Arial"/>
          <w:sz w:val="22"/>
        </w:rPr>
        <w:t xml:space="preserve">la asignación del puntaje </w:t>
      </w:r>
      <w:r w:rsidR="007C7CDF">
        <w:rPr>
          <w:rFonts w:ascii="Arial" w:hAnsi="Arial" w:cs="Arial"/>
          <w:sz w:val="22"/>
        </w:rPr>
        <w:t xml:space="preserve">consiste en </w:t>
      </w:r>
      <w:r>
        <w:rPr>
          <w:rFonts w:ascii="Arial" w:hAnsi="Arial" w:cs="Arial"/>
          <w:sz w:val="22"/>
        </w:rPr>
        <w:t xml:space="preserve">establecer un parámetro diferencial </w:t>
      </w:r>
      <w:r w:rsidR="00CB5267">
        <w:rPr>
          <w:rFonts w:ascii="Arial" w:hAnsi="Arial" w:cs="Arial"/>
          <w:sz w:val="22"/>
        </w:rPr>
        <w:t>de cada uno de los</w:t>
      </w:r>
      <w:r>
        <w:rPr>
          <w:rFonts w:ascii="Arial" w:hAnsi="Arial" w:cs="Arial"/>
          <w:sz w:val="22"/>
        </w:rPr>
        <w:t xml:space="preserve"> proponente</w:t>
      </w:r>
      <w:r w:rsidR="00CB5267">
        <w:rPr>
          <w:rFonts w:ascii="Arial" w:hAnsi="Arial" w:cs="Arial"/>
          <w:sz w:val="22"/>
        </w:rPr>
        <w:t>s</w:t>
      </w:r>
      <w:r>
        <w:rPr>
          <w:rFonts w:ascii="Arial" w:hAnsi="Arial" w:cs="Arial"/>
          <w:sz w:val="22"/>
        </w:rPr>
        <w:t xml:space="preserve"> </w:t>
      </w:r>
      <w:r w:rsidR="007C7CDF">
        <w:rPr>
          <w:rFonts w:ascii="Arial" w:hAnsi="Arial" w:cs="Arial"/>
          <w:sz w:val="22"/>
        </w:rPr>
        <w:t>frente a los demás</w:t>
      </w:r>
      <w:r>
        <w:rPr>
          <w:rFonts w:ascii="Arial" w:hAnsi="Arial" w:cs="Arial"/>
          <w:sz w:val="22"/>
        </w:rPr>
        <w:t xml:space="preserve"> que participan en un proceso de selección, parámetro que para el caso que nos ocupa, radica en la posibilidad de obtener la mayor cantidad de puntos posibles</w:t>
      </w:r>
      <w:r w:rsidR="00841C35">
        <w:rPr>
          <w:rFonts w:ascii="Arial" w:hAnsi="Arial" w:cs="Arial"/>
          <w:sz w:val="22"/>
        </w:rPr>
        <w:t>,</w:t>
      </w:r>
      <w:r>
        <w:rPr>
          <w:rFonts w:ascii="Arial" w:hAnsi="Arial" w:cs="Arial"/>
          <w:sz w:val="22"/>
        </w:rPr>
        <w:t xml:space="preserve"> según </w:t>
      </w:r>
      <w:r w:rsidR="007C7CDF">
        <w:rPr>
          <w:rFonts w:ascii="Arial" w:hAnsi="Arial" w:cs="Arial"/>
          <w:sz w:val="22"/>
        </w:rPr>
        <w:t xml:space="preserve">lo permitan </w:t>
      </w:r>
      <w:r w:rsidR="00841C35">
        <w:rPr>
          <w:rFonts w:ascii="Arial" w:hAnsi="Arial" w:cs="Arial"/>
          <w:sz w:val="22"/>
        </w:rPr>
        <w:t xml:space="preserve">las </w:t>
      </w:r>
      <w:r>
        <w:rPr>
          <w:rFonts w:ascii="Arial" w:hAnsi="Arial" w:cs="Arial"/>
          <w:sz w:val="22"/>
        </w:rPr>
        <w:t xml:space="preserve">condiciones de acreditación de los factores de escogencia. </w:t>
      </w:r>
      <w:r w:rsidR="004C4379">
        <w:rPr>
          <w:rFonts w:ascii="Arial" w:hAnsi="Arial" w:cs="Arial"/>
          <w:sz w:val="22"/>
        </w:rPr>
        <w:t>En otras palabras</w:t>
      </w:r>
      <w:r w:rsidR="00841C35">
        <w:rPr>
          <w:rFonts w:ascii="Arial" w:hAnsi="Arial" w:cs="Arial"/>
          <w:sz w:val="22"/>
        </w:rPr>
        <w:t xml:space="preserve">, se puede </w:t>
      </w:r>
      <w:r w:rsidR="007C7CDF">
        <w:rPr>
          <w:rFonts w:ascii="Arial" w:hAnsi="Arial" w:cs="Arial"/>
          <w:sz w:val="22"/>
        </w:rPr>
        <w:t>afirmar</w:t>
      </w:r>
      <w:r>
        <w:rPr>
          <w:rFonts w:ascii="Arial" w:hAnsi="Arial" w:cs="Arial"/>
          <w:sz w:val="22"/>
        </w:rPr>
        <w:t xml:space="preserve"> que la variable determinante en la asignación del puntaje es finalmente la suma de los puntajes</w:t>
      </w:r>
      <w:r w:rsidR="007C7CDF">
        <w:rPr>
          <w:rFonts w:ascii="Arial" w:hAnsi="Arial" w:cs="Arial"/>
          <w:sz w:val="22"/>
        </w:rPr>
        <w:t xml:space="preserve"> obtenidos en cada uno de los criterios de evaluación</w:t>
      </w:r>
      <w:r w:rsidR="00CB2BB0">
        <w:rPr>
          <w:rFonts w:ascii="Arial" w:hAnsi="Arial" w:cs="Arial"/>
          <w:sz w:val="22"/>
        </w:rPr>
        <w:t xml:space="preserve">, y para ello indefectiblemente el valor positivo de los resultados es el que garantiza </w:t>
      </w:r>
      <w:r w:rsidR="009B073B">
        <w:rPr>
          <w:rFonts w:ascii="Arial" w:hAnsi="Arial" w:cs="Arial"/>
          <w:sz w:val="22"/>
        </w:rPr>
        <w:t>ese resultado.</w:t>
      </w:r>
    </w:p>
    <w:p w14:paraId="6F771056" w14:textId="50F823B1" w:rsidR="004C4379" w:rsidRDefault="007C7CDF" w:rsidP="004C4379">
      <w:pPr>
        <w:spacing w:after="120" w:line="276" w:lineRule="auto"/>
        <w:ind w:firstLine="709"/>
        <w:jc w:val="both"/>
        <w:rPr>
          <w:rFonts w:ascii="Arial" w:hAnsi="Arial" w:cs="Arial"/>
          <w:sz w:val="22"/>
        </w:rPr>
      </w:pPr>
      <w:r>
        <w:rPr>
          <w:rFonts w:ascii="Arial" w:hAnsi="Arial" w:cs="Arial"/>
          <w:sz w:val="22"/>
        </w:rPr>
        <w:t>En armonía con lo anterior, t</w:t>
      </w:r>
      <w:r w:rsidR="009B073B">
        <w:rPr>
          <w:rFonts w:ascii="Arial" w:hAnsi="Arial" w:cs="Arial"/>
          <w:sz w:val="22"/>
        </w:rPr>
        <w:t>al como se indica en el texto de la consulta, en la redacción en la cual se presenta la f</w:t>
      </w:r>
      <w:r w:rsidR="00841C35">
        <w:rPr>
          <w:rFonts w:ascii="Arial" w:hAnsi="Arial" w:cs="Arial"/>
          <w:sz w:val="22"/>
        </w:rPr>
        <w:t>ó</w:t>
      </w:r>
      <w:r w:rsidR="009B073B">
        <w:rPr>
          <w:rFonts w:ascii="Arial" w:hAnsi="Arial" w:cs="Arial"/>
          <w:sz w:val="22"/>
        </w:rPr>
        <w:t xml:space="preserve">rmula prevista para la media geométrica, se indica que dado el caso que el resultado arrojado, según este método </w:t>
      </w:r>
      <w:r w:rsidR="00545F6F">
        <w:rPr>
          <w:rFonts w:ascii="Arial" w:hAnsi="Arial" w:cs="Arial"/>
          <w:sz w:val="22"/>
        </w:rPr>
        <w:t xml:space="preserve">de </w:t>
      </w:r>
      <w:r w:rsidR="00841C35">
        <w:rPr>
          <w:rFonts w:ascii="Arial" w:hAnsi="Arial" w:cs="Arial"/>
          <w:sz w:val="22"/>
        </w:rPr>
        <w:t xml:space="preserve">asignación de puntaje por el criterio de evaluación </w:t>
      </w:r>
      <w:r w:rsidR="00C452CE">
        <w:rPr>
          <w:rFonts w:ascii="Arial" w:hAnsi="Arial" w:cs="Arial"/>
          <w:sz w:val="22"/>
        </w:rPr>
        <w:t>«</w:t>
      </w:r>
      <w:r w:rsidR="00841C35">
        <w:rPr>
          <w:rFonts w:ascii="Arial" w:hAnsi="Arial" w:cs="Arial"/>
          <w:sz w:val="22"/>
        </w:rPr>
        <w:t>experiencia del proponente</w:t>
      </w:r>
      <w:r w:rsidR="00C452CE">
        <w:rPr>
          <w:rFonts w:ascii="Arial" w:hAnsi="Arial" w:cs="Arial"/>
          <w:sz w:val="22"/>
        </w:rPr>
        <w:t>»</w:t>
      </w:r>
      <w:r w:rsidR="009B073B">
        <w:rPr>
          <w:rFonts w:ascii="Arial" w:hAnsi="Arial" w:cs="Arial"/>
          <w:sz w:val="22"/>
        </w:rPr>
        <w:t xml:space="preserve">, sea un valor negativo el puntaje </w:t>
      </w:r>
      <w:r w:rsidR="00545F6F">
        <w:rPr>
          <w:rFonts w:ascii="Arial" w:hAnsi="Arial" w:cs="Arial"/>
          <w:sz w:val="22"/>
        </w:rPr>
        <w:t>corresponderá a cero (0) puntos</w:t>
      </w:r>
      <w:r w:rsidR="009B073B">
        <w:rPr>
          <w:rFonts w:ascii="Arial" w:hAnsi="Arial" w:cs="Arial"/>
          <w:sz w:val="22"/>
        </w:rPr>
        <w:t xml:space="preserve">. Esto se da en razón a lo anteriormente detallado, pero adicionalmente porque un valor negativo en el resultado de dicha </w:t>
      </w:r>
      <w:r w:rsidR="00E118A0">
        <w:rPr>
          <w:rFonts w:ascii="Arial" w:hAnsi="Arial" w:cs="Arial"/>
          <w:sz w:val="22"/>
        </w:rPr>
        <w:t>fórmula</w:t>
      </w:r>
      <w:r w:rsidR="009B073B">
        <w:rPr>
          <w:rFonts w:ascii="Arial" w:hAnsi="Arial" w:cs="Arial"/>
          <w:sz w:val="22"/>
        </w:rPr>
        <w:t xml:space="preserve"> nos indicaría que el puntaje disminuir</w:t>
      </w:r>
      <w:r w:rsidR="00D01BC9">
        <w:rPr>
          <w:rFonts w:ascii="Arial" w:hAnsi="Arial" w:cs="Arial"/>
          <w:sz w:val="22"/>
        </w:rPr>
        <w:t>ía</w:t>
      </w:r>
      <w:r w:rsidR="009B073B">
        <w:rPr>
          <w:rFonts w:ascii="Arial" w:hAnsi="Arial" w:cs="Arial"/>
          <w:sz w:val="22"/>
        </w:rPr>
        <w:t xml:space="preserve">, </w:t>
      </w:r>
      <w:r>
        <w:rPr>
          <w:rFonts w:ascii="Arial" w:hAnsi="Arial" w:cs="Arial"/>
          <w:sz w:val="22"/>
        </w:rPr>
        <w:t xml:space="preserve">lo que incidiría negativamente en los demás criterios de asignación de puntaje, afectando además la autonomía de cada uno de los criterios, </w:t>
      </w:r>
      <w:r w:rsidR="009B073B">
        <w:rPr>
          <w:rFonts w:ascii="Arial" w:hAnsi="Arial" w:cs="Arial"/>
          <w:sz w:val="22"/>
        </w:rPr>
        <w:t>situación que en estricto sentido se convertiría en una sanción para el oferente</w:t>
      </w:r>
      <w:r w:rsidR="00D01BC9">
        <w:rPr>
          <w:rFonts w:ascii="Arial" w:hAnsi="Arial" w:cs="Arial"/>
          <w:sz w:val="22"/>
        </w:rPr>
        <w:t xml:space="preserve">, en la medida que su condición respecto a los demás se vería desmejorada por la obtención de ese resultado expresado en valores negativos; sanción que de ninguna forma contempla el pliego tipo. </w:t>
      </w:r>
      <w:r w:rsidR="00E118A0">
        <w:rPr>
          <w:rFonts w:ascii="Arial" w:hAnsi="Arial" w:cs="Arial"/>
          <w:sz w:val="22"/>
        </w:rPr>
        <w:t xml:space="preserve">Bajo estos términos primaría el principio de legalidad, y por lo tanto </w:t>
      </w:r>
      <w:r w:rsidR="00841046">
        <w:rPr>
          <w:rFonts w:ascii="Arial" w:hAnsi="Arial" w:cs="Arial"/>
          <w:sz w:val="22"/>
        </w:rPr>
        <w:t xml:space="preserve">no es posible </w:t>
      </w:r>
      <w:r w:rsidR="00E118A0">
        <w:rPr>
          <w:rFonts w:ascii="Arial" w:hAnsi="Arial" w:cs="Arial"/>
          <w:sz w:val="22"/>
        </w:rPr>
        <w:t xml:space="preserve">sancionar </w:t>
      </w:r>
      <w:r w:rsidR="00841046">
        <w:rPr>
          <w:rFonts w:ascii="Arial" w:hAnsi="Arial" w:cs="Arial"/>
          <w:sz w:val="22"/>
        </w:rPr>
        <w:t xml:space="preserve">al proponente </w:t>
      </w:r>
      <w:r w:rsidR="00E118A0">
        <w:rPr>
          <w:rFonts w:ascii="Arial" w:hAnsi="Arial" w:cs="Arial"/>
          <w:sz w:val="22"/>
        </w:rPr>
        <w:t xml:space="preserve">con la disminución del puntaje total, </w:t>
      </w:r>
      <w:r w:rsidR="006E3E20">
        <w:rPr>
          <w:rFonts w:ascii="Arial" w:hAnsi="Arial" w:cs="Arial"/>
          <w:sz w:val="22"/>
        </w:rPr>
        <w:t>pues esa</w:t>
      </w:r>
      <w:r w:rsidR="00E118A0">
        <w:rPr>
          <w:rFonts w:ascii="Arial" w:hAnsi="Arial" w:cs="Arial"/>
          <w:sz w:val="22"/>
        </w:rPr>
        <w:t xml:space="preserve"> sería la consecuencia de asignar un valor negativo</w:t>
      </w:r>
      <w:r>
        <w:rPr>
          <w:rFonts w:ascii="Arial" w:hAnsi="Arial" w:cs="Arial"/>
          <w:sz w:val="22"/>
        </w:rPr>
        <w:t>.</w:t>
      </w:r>
      <w:r w:rsidR="007F3919">
        <w:rPr>
          <w:rFonts w:ascii="Arial" w:hAnsi="Arial" w:cs="Arial"/>
          <w:sz w:val="22"/>
        </w:rPr>
        <w:t xml:space="preserve"> </w:t>
      </w:r>
    </w:p>
    <w:p w14:paraId="7E37F9A7" w14:textId="07A7BB82" w:rsidR="004C4379" w:rsidRDefault="004C4379" w:rsidP="004C4379">
      <w:pPr>
        <w:spacing w:after="120" w:line="276" w:lineRule="auto"/>
        <w:ind w:firstLine="708"/>
        <w:jc w:val="both"/>
        <w:rPr>
          <w:rFonts w:ascii="Arial" w:hAnsi="Arial" w:cs="Arial"/>
          <w:sz w:val="22"/>
        </w:rPr>
      </w:pPr>
      <w:r>
        <w:rPr>
          <w:rFonts w:ascii="Arial" w:hAnsi="Arial" w:cs="Arial"/>
          <w:sz w:val="22"/>
        </w:rPr>
        <w:t>Es decir</w:t>
      </w:r>
      <w:r w:rsidR="00E118A0">
        <w:rPr>
          <w:rFonts w:ascii="Arial" w:hAnsi="Arial" w:cs="Arial"/>
          <w:sz w:val="22"/>
        </w:rPr>
        <w:t>, para las demás f</w:t>
      </w:r>
      <w:r w:rsidR="007C7CDF">
        <w:rPr>
          <w:rFonts w:ascii="Arial" w:hAnsi="Arial" w:cs="Arial"/>
          <w:sz w:val="22"/>
        </w:rPr>
        <w:t>ó</w:t>
      </w:r>
      <w:r w:rsidR="00E118A0">
        <w:rPr>
          <w:rFonts w:ascii="Arial" w:hAnsi="Arial" w:cs="Arial"/>
          <w:sz w:val="22"/>
        </w:rPr>
        <w:t xml:space="preserve">rmulas distintas a la </w:t>
      </w:r>
      <w:r w:rsidR="007C7CDF">
        <w:rPr>
          <w:rFonts w:ascii="Arial" w:hAnsi="Arial" w:cs="Arial"/>
          <w:sz w:val="22"/>
        </w:rPr>
        <w:t>«</w:t>
      </w:r>
      <w:r w:rsidR="00E118A0">
        <w:rPr>
          <w:rFonts w:ascii="Arial" w:hAnsi="Arial" w:cs="Arial"/>
          <w:sz w:val="22"/>
        </w:rPr>
        <w:t>media geométrica</w:t>
      </w:r>
      <w:r w:rsidR="007C7CDF">
        <w:rPr>
          <w:rFonts w:ascii="Arial" w:hAnsi="Arial" w:cs="Arial"/>
          <w:sz w:val="22"/>
        </w:rPr>
        <w:t>»</w:t>
      </w:r>
      <w:r w:rsidR="00E118A0">
        <w:rPr>
          <w:rFonts w:ascii="Arial" w:hAnsi="Arial" w:cs="Arial"/>
          <w:sz w:val="22"/>
        </w:rPr>
        <w:t>, el resultado debe ser el mismo, sin entender que existe una modificación de la f</w:t>
      </w:r>
      <w:r w:rsidR="00841046">
        <w:rPr>
          <w:rFonts w:ascii="Arial" w:hAnsi="Arial" w:cs="Arial"/>
          <w:sz w:val="22"/>
        </w:rPr>
        <w:t>ó</w:t>
      </w:r>
      <w:r w:rsidR="00E118A0">
        <w:rPr>
          <w:rFonts w:ascii="Arial" w:hAnsi="Arial" w:cs="Arial"/>
          <w:sz w:val="22"/>
        </w:rPr>
        <w:t xml:space="preserve">rmula, puesto que </w:t>
      </w:r>
      <w:r w:rsidR="007C7CDF">
        <w:rPr>
          <w:rFonts w:ascii="Arial" w:hAnsi="Arial" w:cs="Arial"/>
          <w:sz w:val="22"/>
        </w:rPr>
        <w:t xml:space="preserve">el </w:t>
      </w:r>
      <w:r w:rsidR="00E118A0">
        <w:rPr>
          <w:rFonts w:ascii="Arial" w:hAnsi="Arial" w:cs="Arial"/>
          <w:sz w:val="22"/>
        </w:rPr>
        <w:t xml:space="preserve">no </w:t>
      </w:r>
      <w:r w:rsidR="00553070">
        <w:rPr>
          <w:rFonts w:ascii="Arial" w:hAnsi="Arial" w:cs="Arial"/>
          <w:sz w:val="22"/>
        </w:rPr>
        <w:t>asignar puntos negativos</w:t>
      </w:r>
      <w:r>
        <w:rPr>
          <w:rFonts w:ascii="Arial" w:hAnsi="Arial" w:cs="Arial"/>
          <w:sz w:val="22"/>
        </w:rPr>
        <w:t>,</w:t>
      </w:r>
      <w:r w:rsidR="00E118A0">
        <w:rPr>
          <w:rFonts w:ascii="Arial" w:hAnsi="Arial" w:cs="Arial"/>
          <w:sz w:val="22"/>
        </w:rPr>
        <w:t xml:space="preserve"> no </w:t>
      </w:r>
      <w:r w:rsidR="007C7CDF">
        <w:rPr>
          <w:rFonts w:ascii="Arial" w:hAnsi="Arial" w:cs="Arial"/>
          <w:sz w:val="22"/>
        </w:rPr>
        <w:t>implica</w:t>
      </w:r>
      <w:r w:rsidR="00E118A0">
        <w:rPr>
          <w:rFonts w:ascii="Arial" w:hAnsi="Arial" w:cs="Arial"/>
          <w:sz w:val="22"/>
        </w:rPr>
        <w:t xml:space="preserve"> modifica</w:t>
      </w:r>
      <w:r w:rsidR="007C7CDF">
        <w:rPr>
          <w:rFonts w:ascii="Arial" w:hAnsi="Arial" w:cs="Arial"/>
          <w:sz w:val="22"/>
        </w:rPr>
        <w:t>r</w:t>
      </w:r>
      <w:r w:rsidR="00E118A0">
        <w:rPr>
          <w:rFonts w:ascii="Arial" w:hAnsi="Arial" w:cs="Arial"/>
          <w:sz w:val="22"/>
        </w:rPr>
        <w:t xml:space="preserve"> las variables contenidas en la expresión matemática</w:t>
      </w:r>
      <w:r w:rsidR="007C7CDF">
        <w:rPr>
          <w:rFonts w:ascii="Arial" w:hAnsi="Arial" w:cs="Arial"/>
          <w:sz w:val="22"/>
        </w:rPr>
        <w:t xml:space="preserve"> fruto de aplicar las fórmulas</w:t>
      </w:r>
      <w:r w:rsidR="00E118A0">
        <w:rPr>
          <w:rFonts w:ascii="Arial" w:hAnsi="Arial" w:cs="Arial"/>
          <w:sz w:val="22"/>
        </w:rPr>
        <w:t>, la</w:t>
      </w:r>
      <w:r w:rsidR="00A74E63">
        <w:rPr>
          <w:rFonts w:ascii="Arial" w:hAnsi="Arial" w:cs="Arial"/>
          <w:sz w:val="22"/>
        </w:rPr>
        <w:t>s</w:t>
      </w:r>
      <w:r w:rsidR="00E118A0">
        <w:rPr>
          <w:rFonts w:ascii="Arial" w:hAnsi="Arial" w:cs="Arial"/>
          <w:sz w:val="22"/>
        </w:rPr>
        <w:t xml:space="preserve"> cuales podrían arrojan un valor negativo</w:t>
      </w:r>
      <w:r w:rsidR="00553070">
        <w:rPr>
          <w:rFonts w:ascii="Arial" w:hAnsi="Arial" w:cs="Arial"/>
          <w:sz w:val="22"/>
        </w:rPr>
        <w:t>, lo cual es algo distinto</w:t>
      </w:r>
      <w:r w:rsidR="007C7CDF">
        <w:rPr>
          <w:rFonts w:ascii="Arial" w:hAnsi="Arial" w:cs="Arial"/>
          <w:sz w:val="22"/>
        </w:rPr>
        <w:t>. De esta manera, en los supuestos en que el resultado de aplicar la fórmula de lugar a un número negativo, ello implicará que el proponente obtendrá el menor valor posible destinad</w:t>
      </w:r>
      <w:r w:rsidR="00A74E63">
        <w:rPr>
          <w:rFonts w:ascii="Arial" w:hAnsi="Arial" w:cs="Arial"/>
          <w:sz w:val="22"/>
        </w:rPr>
        <w:t>o</w:t>
      </w:r>
      <w:r w:rsidR="007C7CDF">
        <w:rPr>
          <w:rFonts w:ascii="Arial" w:hAnsi="Arial" w:cs="Arial"/>
          <w:sz w:val="22"/>
        </w:rPr>
        <w:t xml:space="preserve"> a ese criterio de evaluación, esto es, cero puntos.</w:t>
      </w:r>
      <w:r w:rsidR="00E118A0">
        <w:rPr>
          <w:rFonts w:ascii="Arial" w:hAnsi="Arial" w:cs="Arial"/>
          <w:sz w:val="22"/>
        </w:rPr>
        <w:t xml:space="preserve"> </w:t>
      </w:r>
    </w:p>
    <w:p w14:paraId="2705AA2D" w14:textId="43A453BF" w:rsidR="007C7CDF" w:rsidRDefault="007C7CDF" w:rsidP="00652FC6">
      <w:pPr>
        <w:spacing w:line="276" w:lineRule="auto"/>
        <w:ind w:firstLine="709"/>
        <w:jc w:val="both"/>
        <w:rPr>
          <w:rFonts w:ascii="Arial" w:hAnsi="Arial" w:cs="Arial"/>
          <w:sz w:val="22"/>
        </w:rPr>
      </w:pPr>
      <w:r>
        <w:rPr>
          <w:rFonts w:ascii="Arial" w:hAnsi="Arial" w:cs="Arial"/>
          <w:sz w:val="22"/>
        </w:rPr>
        <w:t>E</w:t>
      </w:r>
      <w:r w:rsidR="006E3E20">
        <w:rPr>
          <w:rFonts w:ascii="Arial" w:hAnsi="Arial" w:cs="Arial"/>
          <w:sz w:val="22"/>
        </w:rPr>
        <w:t>l planteamiento explicado</w:t>
      </w:r>
      <w:r>
        <w:rPr>
          <w:rFonts w:ascii="Arial" w:hAnsi="Arial" w:cs="Arial"/>
          <w:sz w:val="22"/>
        </w:rPr>
        <w:t xml:space="preserve"> se desprende de otros </w:t>
      </w:r>
      <w:r w:rsidR="006E3E20">
        <w:rPr>
          <w:rFonts w:ascii="Arial" w:hAnsi="Arial" w:cs="Arial"/>
          <w:sz w:val="22"/>
        </w:rPr>
        <w:t>apartes</w:t>
      </w:r>
      <w:r>
        <w:rPr>
          <w:rFonts w:ascii="Arial" w:hAnsi="Arial" w:cs="Arial"/>
          <w:sz w:val="22"/>
        </w:rPr>
        <w:t xml:space="preserve"> del documento tipo, </w:t>
      </w:r>
      <w:r w:rsidR="006E3E20">
        <w:rPr>
          <w:rFonts w:ascii="Arial" w:hAnsi="Arial" w:cs="Arial"/>
          <w:sz w:val="22"/>
        </w:rPr>
        <w:t>concretamente en lo que se refiere a</w:t>
      </w:r>
      <w:r>
        <w:rPr>
          <w:rFonts w:ascii="Arial" w:hAnsi="Arial" w:cs="Arial"/>
          <w:sz w:val="22"/>
        </w:rPr>
        <w:t>l supuesto en que se permite subsanar la experiencia mínima del proponente, tal como se establece en el numeral 3.8.1 del documento tipo «Exigencia mínima de experiencia del proponente», donde se establece</w:t>
      </w:r>
      <w:r w:rsidR="00461377">
        <w:rPr>
          <w:rFonts w:ascii="Arial" w:hAnsi="Arial" w:cs="Arial"/>
          <w:sz w:val="22"/>
        </w:rPr>
        <w:t xml:space="preserve"> que cuando el proponente deba subsanar la experiencia mínima obtendrá el menor puntaje posible por el criterio de evaluación «experiencia del proponente», esto es, cero puntos</w:t>
      </w:r>
      <w:r>
        <w:rPr>
          <w:rFonts w:ascii="Arial" w:hAnsi="Arial" w:cs="Arial"/>
          <w:sz w:val="22"/>
        </w:rPr>
        <w:t>:</w:t>
      </w:r>
    </w:p>
    <w:p w14:paraId="64AA1CC3" w14:textId="77777777" w:rsidR="007C7CDF" w:rsidRDefault="007C7CDF" w:rsidP="00652FC6">
      <w:pPr>
        <w:spacing w:line="276" w:lineRule="auto"/>
        <w:ind w:firstLine="709"/>
        <w:jc w:val="both"/>
        <w:rPr>
          <w:rFonts w:ascii="Arial" w:hAnsi="Arial" w:cs="Arial"/>
          <w:sz w:val="22"/>
        </w:rPr>
      </w:pPr>
    </w:p>
    <w:p w14:paraId="2941E007" w14:textId="78CF01E3" w:rsidR="007C7CDF" w:rsidRPr="00652FC6" w:rsidRDefault="007C7CDF" w:rsidP="00652FC6">
      <w:pPr>
        <w:spacing w:after="120"/>
        <w:ind w:left="709" w:right="709"/>
        <w:jc w:val="both"/>
        <w:rPr>
          <w:rFonts w:ascii="Arial" w:hAnsi="Arial" w:cs="Arial"/>
          <w:sz w:val="21"/>
          <w:szCs w:val="21"/>
        </w:rPr>
      </w:pPr>
      <w:r w:rsidRPr="00652FC6">
        <w:rPr>
          <w:rFonts w:ascii="Arial" w:hAnsi="Arial" w:cs="Arial"/>
          <w:sz w:val="21"/>
          <w:szCs w:val="21"/>
        </w:rPr>
        <w:t xml:space="preserve">Para habilitarse en el procedimiento de selección, el proponente acreditará que la sumatoria de los contratos aportados como experiencia es mayor o igual al 100% respecto del valor total del presupuesto oficial establecido para el </w:t>
      </w:r>
      <w:r w:rsidRPr="00652FC6">
        <w:rPr>
          <w:rFonts w:ascii="Arial" w:hAnsi="Arial" w:cs="Arial"/>
          <w:sz w:val="21"/>
          <w:szCs w:val="21"/>
        </w:rPr>
        <w:lastRenderedPageBreak/>
        <w:t>presente proceso de selección expresado en SMMLV. Estos contratos serán verificados en el RUP y en el Formato 3 – Experiencia, para los proponentes que no están obligados a estar inscritos en el RUP, cumpliendo con los requisitos de experiencia previstos en el numeral “10.1 Experiencia del proponente”.</w:t>
      </w:r>
    </w:p>
    <w:p w14:paraId="7058E374" w14:textId="5F3C42B5" w:rsidR="007C7CDF" w:rsidRPr="00652FC6" w:rsidRDefault="007C7CDF" w:rsidP="00652FC6">
      <w:pPr>
        <w:ind w:left="709" w:right="709"/>
        <w:jc w:val="both"/>
        <w:rPr>
          <w:rFonts w:ascii="Arial" w:hAnsi="Arial" w:cs="Arial"/>
          <w:sz w:val="21"/>
          <w:szCs w:val="21"/>
        </w:rPr>
      </w:pPr>
      <w:r w:rsidRPr="00652FC6">
        <w:rPr>
          <w:rFonts w:ascii="Arial" w:hAnsi="Arial" w:cs="Arial"/>
          <w:sz w:val="21"/>
          <w:szCs w:val="21"/>
        </w:rPr>
        <w:t>En caso que con los contratos aportados no se acredite este porcentaje mínimo, la entidad solicitará al proponente que subsane su oferta en los términos del numeral 1.6. Si el proponente subsana el requisito mínimo de experiencia, se habilitará en el proceso de contratación, pero no será objeto de puntuación en relación con este factor de evaluación, por lo que obtendrá cero (0) puntos por el factor “experiencia del proponente”.</w:t>
      </w:r>
    </w:p>
    <w:p w14:paraId="581E33CB" w14:textId="7943B9A4" w:rsidR="006241B0" w:rsidRDefault="006241B0" w:rsidP="00461377">
      <w:pPr>
        <w:pStyle w:val="Textoindependiente"/>
        <w:spacing w:line="276" w:lineRule="auto"/>
        <w:ind w:right="108"/>
        <w:jc w:val="both"/>
        <w:rPr>
          <w:color w:val="000000" w:themeColor="text1"/>
          <w:lang w:val="es-ES_tradnl"/>
        </w:rPr>
      </w:pPr>
    </w:p>
    <w:p w14:paraId="3635D1EC" w14:textId="088A968A" w:rsidR="00461377" w:rsidRDefault="00553070" w:rsidP="00652FC6">
      <w:pPr>
        <w:pStyle w:val="Textoindependiente"/>
        <w:spacing w:after="120" w:line="276" w:lineRule="auto"/>
        <w:ind w:right="108" w:firstLine="708"/>
        <w:jc w:val="both"/>
        <w:rPr>
          <w:color w:val="000000" w:themeColor="text1"/>
          <w:lang w:val="es-ES_tradnl"/>
        </w:rPr>
      </w:pPr>
      <w:r>
        <w:rPr>
          <w:color w:val="000000" w:themeColor="text1"/>
          <w:lang w:val="es-ES_tradnl"/>
        </w:rPr>
        <w:t>Esta interpretación que</w:t>
      </w:r>
      <w:r w:rsidR="00387D17">
        <w:rPr>
          <w:color w:val="000000" w:themeColor="text1"/>
          <w:lang w:val="es-ES_tradnl"/>
        </w:rPr>
        <w:t xml:space="preserve"> consideramos</w:t>
      </w:r>
      <w:r>
        <w:rPr>
          <w:color w:val="000000" w:themeColor="text1"/>
          <w:lang w:val="es-ES_tradnl"/>
        </w:rPr>
        <w:t xml:space="preserve"> es la más razonable del documento tipo, además, es la que resulta acorde con las demás disposiciones del ordenamiento, </w:t>
      </w:r>
      <w:r w:rsidR="00387D17">
        <w:rPr>
          <w:color w:val="000000" w:themeColor="text1"/>
          <w:lang w:val="es-ES_tradnl"/>
        </w:rPr>
        <w:t xml:space="preserve">como sería, por ejemplo, </w:t>
      </w:r>
      <w:r w:rsidR="00C128A0">
        <w:rPr>
          <w:color w:val="000000" w:themeColor="text1"/>
          <w:lang w:val="es-ES_tradnl"/>
        </w:rPr>
        <w:t xml:space="preserve">el </w:t>
      </w:r>
      <w:r w:rsidR="00C128A0" w:rsidRPr="00C452CE">
        <w:rPr>
          <w:color w:val="000000" w:themeColor="text1"/>
          <w:lang w:val="es-ES_tradnl"/>
        </w:rPr>
        <w:t>art</w:t>
      </w:r>
      <w:r w:rsidR="00C128A0" w:rsidRPr="00C128A0">
        <w:rPr>
          <w:color w:val="000000" w:themeColor="text1"/>
          <w:lang w:val="es-ES_tradnl"/>
        </w:rPr>
        <w:t xml:space="preserve">ículo </w:t>
      </w:r>
      <w:r w:rsidR="00C128A0" w:rsidRPr="00652FC6">
        <w:rPr>
          <w:color w:val="000000" w:themeColor="text1"/>
          <w:lang w:val="es-ES_tradnl"/>
        </w:rPr>
        <w:t>2.2.1.2.4.2.6. del Decreto 1082 de 2015, que establece que: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 […]»</w:t>
      </w:r>
      <w:r w:rsidR="00C128A0">
        <w:rPr>
          <w:color w:val="000000" w:themeColor="text1"/>
          <w:lang w:val="es-ES_tradnl"/>
        </w:rPr>
        <w:t xml:space="preserve">. En efecto, el documento tipo incorpora adecuadamente esta obligación; sin embargo, si se aplicara irrazonablemente el documento tipo asignando puntajes negativos a los proponentes, el punto (1) establecido por este criterio de </w:t>
      </w:r>
      <w:r w:rsidR="007755DE">
        <w:rPr>
          <w:color w:val="000000" w:themeColor="text1"/>
          <w:lang w:val="es-ES_tradnl"/>
        </w:rPr>
        <w:t>evaluación</w:t>
      </w:r>
      <w:r w:rsidR="00C128A0">
        <w:rPr>
          <w:color w:val="000000" w:themeColor="text1"/>
          <w:lang w:val="es-ES_tradnl"/>
        </w:rPr>
        <w:t xml:space="preserve"> dejaría de cumplir el porcentaje establecido en la disposición anterior, viéndose reducido, toda vez que bajo </w:t>
      </w:r>
      <w:r w:rsidR="00C452CE">
        <w:rPr>
          <w:color w:val="000000" w:themeColor="text1"/>
          <w:lang w:val="es-ES_tradnl"/>
        </w:rPr>
        <w:t>una</w:t>
      </w:r>
      <w:r w:rsidR="00C128A0">
        <w:rPr>
          <w:color w:val="000000" w:themeColor="text1"/>
          <w:lang w:val="es-ES_tradnl"/>
        </w:rPr>
        <w:t xml:space="preserve"> interpretación irrazonable implicaría que el total de puntos </w:t>
      </w:r>
      <w:r w:rsidR="00346D8C">
        <w:rPr>
          <w:color w:val="000000" w:themeColor="text1"/>
          <w:lang w:val="es-ES_tradnl"/>
        </w:rPr>
        <w:t>estaría comprendido desde los puntos negativos</w:t>
      </w:r>
      <w:r w:rsidR="00C128A0">
        <w:rPr>
          <w:color w:val="000000" w:themeColor="text1"/>
          <w:lang w:val="es-ES_tradnl"/>
        </w:rPr>
        <w:t xml:space="preserve"> </w:t>
      </w:r>
      <w:r w:rsidR="00346D8C">
        <w:rPr>
          <w:color w:val="000000" w:themeColor="text1"/>
          <w:lang w:val="es-ES_tradnl"/>
        </w:rPr>
        <w:t xml:space="preserve">que resultaran de aplicar la fórmula </w:t>
      </w:r>
      <w:r w:rsidR="00C128A0">
        <w:rPr>
          <w:color w:val="000000" w:themeColor="text1"/>
          <w:lang w:val="es-ES_tradnl"/>
        </w:rPr>
        <w:t xml:space="preserve">hasta </w:t>
      </w:r>
      <w:r w:rsidR="00346D8C">
        <w:rPr>
          <w:color w:val="000000" w:themeColor="text1"/>
          <w:lang w:val="es-ES_tradnl"/>
        </w:rPr>
        <w:t xml:space="preserve">los </w:t>
      </w:r>
      <w:r w:rsidR="00C128A0">
        <w:rPr>
          <w:color w:val="000000" w:themeColor="text1"/>
          <w:lang w:val="es-ES_tradnl"/>
        </w:rPr>
        <w:t>100 puntos, lo que evidentemente implicaría reducir el porcentaje establecido</w:t>
      </w:r>
      <w:r w:rsidR="00346D8C">
        <w:rPr>
          <w:color w:val="000000" w:themeColor="text1"/>
          <w:lang w:val="es-ES_tradnl"/>
        </w:rPr>
        <w:t xml:space="preserve"> en la norma citada</w:t>
      </w:r>
      <w:r w:rsidR="007755DE">
        <w:rPr>
          <w:rStyle w:val="Refdenotaalpie"/>
          <w:color w:val="000000" w:themeColor="text1"/>
          <w:lang w:val="es-ES_tradnl"/>
        </w:rPr>
        <w:footnoteReference w:id="8"/>
      </w:r>
      <w:r w:rsidR="00C128A0">
        <w:rPr>
          <w:color w:val="000000" w:themeColor="text1"/>
          <w:lang w:val="es-ES_tradnl"/>
        </w:rPr>
        <w:t>.</w:t>
      </w:r>
    </w:p>
    <w:p w14:paraId="335F25F7" w14:textId="5E24404A" w:rsidR="00C128A0" w:rsidRDefault="00C128A0" w:rsidP="00652FC6">
      <w:pPr>
        <w:pStyle w:val="Textoindependiente"/>
        <w:spacing w:after="120" w:line="276" w:lineRule="auto"/>
        <w:ind w:right="108"/>
        <w:jc w:val="both"/>
        <w:rPr>
          <w:color w:val="000000" w:themeColor="text1"/>
          <w:lang w:val="es-ES_tradnl"/>
        </w:rPr>
      </w:pPr>
      <w:r>
        <w:rPr>
          <w:color w:val="000000" w:themeColor="text1"/>
          <w:lang w:val="es-ES_tradnl"/>
        </w:rPr>
        <w:tab/>
        <w:t xml:space="preserve">Teniendo en cuenta los argumentos anteriores, en los supuestos en que luego de aplicar las fórmulas para asignar puntaje por el criterio «experiencia del proponente», el resultado sea un valor negativo, al proponente se le asignará el menor valor por este criterio de asignación de puntaje, esto es, cero puntos. </w:t>
      </w:r>
    </w:p>
    <w:p w14:paraId="769909D5" w14:textId="681B2318" w:rsidR="00C128A0" w:rsidRDefault="00C128A0" w:rsidP="00461377">
      <w:pPr>
        <w:pStyle w:val="Textoindependiente"/>
        <w:spacing w:line="276" w:lineRule="auto"/>
        <w:ind w:right="108"/>
        <w:jc w:val="both"/>
        <w:rPr>
          <w:color w:val="000000" w:themeColor="text1"/>
          <w:lang w:val="es-ES_tradnl"/>
        </w:rPr>
      </w:pPr>
      <w:r>
        <w:rPr>
          <w:color w:val="000000" w:themeColor="text1"/>
          <w:lang w:val="es-ES_tradnl"/>
        </w:rPr>
        <w:tab/>
      </w:r>
    </w:p>
    <w:p w14:paraId="4132AAB4" w14:textId="77777777" w:rsidR="00A8002B" w:rsidRPr="00EE7AB2" w:rsidRDefault="00A8002B" w:rsidP="00A8002B">
      <w:pPr>
        <w:pStyle w:val="Ttulo1"/>
        <w:tabs>
          <w:tab w:val="left" w:pos="344"/>
        </w:tabs>
        <w:ind w:left="0" w:firstLine="0"/>
        <w:rPr>
          <w:color w:val="000000" w:themeColor="text1"/>
        </w:rPr>
      </w:pPr>
      <w:r w:rsidRPr="00EE7AB2">
        <w:rPr>
          <w:color w:val="000000" w:themeColor="text1"/>
        </w:rPr>
        <w:t>Respuesta</w:t>
      </w:r>
    </w:p>
    <w:p w14:paraId="4FCB9E98" w14:textId="394802B4" w:rsidR="00A8002B" w:rsidRDefault="00A8002B" w:rsidP="00A8002B">
      <w:pPr>
        <w:pStyle w:val="Textoindependiente"/>
        <w:rPr>
          <w:bCs/>
          <w:color w:val="000000" w:themeColor="text1"/>
        </w:rPr>
      </w:pPr>
    </w:p>
    <w:p w14:paraId="519019F0" w14:textId="0BECA7A0" w:rsidR="00A8002B" w:rsidRPr="00EE7AB2" w:rsidRDefault="00794F3F" w:rsidP="004669CB">
      <w:pPr>
        <w:tabs>
          <w:tab w:val="left" w:pos="426"/>
        </w:tabs>
        <w:ind w:left="709" w:right="709"/>
        <w:jc w:val="both"/>
        <w:rPr>
          <w:rFonts w:ascii="Arial" w:hAnsi="Arial" w:cs="Arial"/>
          <w:noProof/>
          <w:sz w:val="22"/>
          <w:lang w:val="es-ES_tradnl"/>
        </w:rPr>
      </w:pPr>
      <w:r w:rsidRPr="00EE7AB2">
        <w:rPr>
          <w:rFonts w:ascii="Arial" w:hAnsi="Arial" w:cs="Arial"/>
          <w:noProof/>
          <w:sz w:val="22"/>
          <w:lang w:val="es-ES_tradnl"/>
        </w:rPr>
        <w:t>«</w:t>
      </w:r>
      <w:r w:rsidRPr="00F06271">
        <w:rPr>
          <w:rFonts w:ascii="Arial" w:hAnsi="Arial" w:cs="Arial"/>
          <w:noProof/>
          <w:sz w:val="22"/>
          <w:lang w:val="es-ES_tradnl"/>
        </w:rPr>
        <w:t>¿</w:t>
      </w:r>
      <w:r w:rsidRPr="004C5091">
        <w:rPr>
          <w:rFonts w:ascii="Arial" w:hAnsi="Arial" w:cs="Arial"/>
          <w:noProof/>
          <w:sz w:val="22"/>
          <w:lang w:val="es-ES_tradnl"/>
        </w:rPr>
        <w:t>Qué procede cuando al aplicar los métodos A.</w:t>
      </w:r>
      <w:r>
        <w:rPr>
          <w:rFonts w:ascii="Arial" w:hAnsi="Arial" w:cs="Arial"/>
          <w:noProof/>
          <w:sz w:val="22"/>
          <w:lang w:val="es-ES_tradnl"/>
        </w:rPr>
        <w:t xml:space="preserve"> </w:t>
      </w:r>
      <w:r w:rsidRPr="004C5091">
        <w:rPr>
          <w:rFonts w:ascii="Arial" w:hAnsi="Arial" w:cs="Arial"/>
          <w:noProof/>
          <w:sz w:val="22"/>
          <w:lang w:val="es-ES_tradnl"/>
        </w:rPr>
        <w:t>Mediana con valor absoluto, C. Media Aritmética Alta y D. Media Aritmética Baja y el resultado arroja</w:t>
      </w:r>
      <w:r>
        <w:rPr>
          <w:rFonts w:ascii="Arial" w:hAnsi="Arial" w:cs="Arial"/>
          <w:noProof/>
          <w:sz w:val="22"/>
          <w:lang w:val="es-ES_tradnl"/>
        </w:rPr>
        <w:t xml:space="preserve"> </w:t>
      </w:r>
      <w:r w:rsidRPr="004C5091">
        <w:rPr>
          <w:rFonts w:ascii="Arial" w:hAnsi="Arial" w:cs="Arial"/>
          <w:noProof/>
          <w:sz w:val="22"/>
          <w:lang w:val="es-ES_tradnl"/>
        </w:rPr>
        <w:t>números negativos?, bajo el entendido que el pliego tipo no lo regula?</w:t>
      </w:r>
      <w:r>
        <w:rPr>
          <w:rFonts w:ascii="Arial" w:hAnsi="Arial" w:cs="Arial"/>
          <w:noProof/>
          <w:sz w:val="22"/>
          <w:lang w:val="es-ES_tradnl"/>
        </w:rPr>
        <w:t>»</w:t>
      </w:r>
      <w:r w:rsidR="00A8002B">
        <w:rPr>
          <w:rFonts w:ascii="Arial" w:hAnsi="Arial" w:cs="Arial"/>
          <w:noProof/>
          <w:sz w:val="22"/>
          <w:lang w:val="es-ES_tradnl"/>
        </w:rPr>
        <w:t>.</w:t>
      </w:r>
    </w:p>
    <w:p w14:paraId="203FFB89" w14:textId="77777777" w:rsidR="00A8002B" w:rsidRPr="00A8002B" w:rsidRDefault="00A8002B" w:rsidP="00A8002B">
      <w:pPr>
        <w:pStyle w:val="Textoindependiente"/>
        <w:rPr>
          <w:b/>
          <w:color w:val="000000" w:themeColor="text1"/>
          <w:lang w:val="es-ES_tradnl"/>
        </w:rPr>
      </w:pPr>
    </w:p>
    <w:p w14:paraId="35063969" w14:textId="63482DC2" w:rsidR="00794F3F" w:rsidRPr="00652FC6" w:rsidRDefault="00A509DA" w:rsidP="00652FC6">
      <w:pPr>
        <w:spacing w:after="120" w:line="276" w:lineRule="auto"/>
        <w:jc w:val="both"/>
        <w:rPr>
          <w:rFonts w:ascii="Arial" w:hAnsi="Arial" w:cs="Arial"/>
          <w:sz w:val="22"/>
          <w:shd w:val="clear" w:color="auto" w:fill="FFFFFF"/>
          <w:lang w:val="es-ES_tradnl"/>
        </w:rPr>
      </w:pPr>
      <w:r>
        <w:rPr>
          <w:rFonts w:ascii="Arial" w:hAnsi="Arial" w:cs="Arial"/>
          <w:sz w:val="22"/>
          <w:shd w:val="clear" w:color="auto" w:fill="FFFFFF"/>
          <w:lang w:val="es-ES_tradnl"/>
        </w:rPr>
        <w:lastRenderedPageBreak/>
        <w:t>D</w:t>
      </w:r>
      <w:r w:rsidR="00C128A0">
        <w:rPr>
          <w:rFonts w:ascii="Arial" w:hAnsi="Arial" w:cs="Arial"/>
          <w:sz w:val="22"/>
          <w:shd w:val="clear" w:color="auto" w:fill="FFFFFF"/>
          <w:lang w:val="es-ES_tradnl"/>
        </w:rPr>
        <w:t xml:space="preserve">e conformidad con los argumentos desarrollados en las consideraciones, </w:t>
      </w:r>
      <w:r w:rsidR="00706733" w:rsidRPr="00652FC6">
        <w:rPr>
          <w:rFonts w:ascii="Arial" w:hAnsi="Arial" w:cs="Arial"/>
          <w:sz w:val="22"/>
          <w:shd w:val="clear" w:color="auto" w:fill="FFFFFF"/>
          <w:lang w:val="es-ES_tradnl"/>
        </w:rPr>
        <w:t xml:space="preserve">en los supuestos en que luego de aplicar </w:t>
      </w:r>
      <w:r w:rsidR="00706733">
        <w:rPr>
          <w:rFonts w:ascii="Arial" w:hAnsi="Arial" w:cs="Arial"/>
          <w:sz w:val="22"/>
          <w:shd w:val="clear" w:color="auto" w:fill="FFFFFF"/>
          <w:lang w:val="es-ES_tradnl"/>
        </w:rPr>
        <w:t>alguna de las</w:t>
      </w:r>
      <w:r w:rsidR="00706733" w:rsidRPr="00652FC6">
        <w:rPr>
          <w:rFonts w:ascii="Arial" w:hAnsi="Arial" w:cs="Arial"/>
          <w:sz w:val="22"/>
          <w:shd w:val="clear" w:color="auto" w:fill="FFFFFF"/>
          <w:lang w:val="es-ES_tradnl"/>
        </w:rPr>
        <w:t xml:space="preserve"> fórmulas para asignar puntaje por el criterio «experiencia del proponente», el resultado sea un valor negativo, al proponente se le asignará el menor </w:t>
      </w:r>
      <w:r w:rsidR="00706733">
        <w:rPr>
          <w:rFonts w:ascii="Arial" w:hAnsi="Arial" w:cs="Arial"/>
          <w:sz w:val="22"/>
          <w:shd w:val="clear" w:color="auto" w:fill="FFFFFF"/>
          <w:lang w:val="es-ES_tradnl"/>
        </w:rPr>
        <w:t>puntaje</w:t>
      </w:r>
      <w:r w:rsidR="00706733" w:rsidRPr="00652FC6">
        <w:rPr>
          <w:rFonts w:ascii="Arial" w:hAnsi="Arial" w:cs="Arial"/>
          <w:sz w:val="22"/>
          <w:shd w:val="clear" w:color="auto" w:fill="FFFFFF"/>
          <w:lang w:val="es-ES_tradnl"/>
        </w:rPr>
        <w:t xml:space="preserve"> por este criterio de </w:t>
      </w:r>
      <w:r w:rsidR="00706733">
        <w:rPr>
          <w:rFonts w:ascii="Arial" w:hAnsi="Arial" w:cs="Arial"/>
          <w:sz w:val="22"/>
          <w:shd w:val="clear" w:color="auto" w:fill="FFFFFF"/>
          <w:lang w:val="es-ES_tradnl"/>
        </w:rPr>
        <w:t>evaluación</w:t>
      </w:r>
      <w:r w:rsidR="00706733" w:rsidRPr="00652FC6">
        <w:rPr>
          <w:rFonts w:ascii="Arial" w:hAnsi="Arial" w:cs="Arial"/>
          <w:sz w:val="22"/>
          <w:shd w:val="clear" w:color="auto" w:fill="FFFFFF"/>
          <w:lang w:val="es-ES_tradnl"/>
        </w:rPr>
        <w:t>, esto es, cero puntos.</w:t>
      </w:r>
    </w:p>
    <w:p w14:paraId="0874D7A6" w14:textId="4AD53F38" w:rsidR="00E7204B" w:rsidRPr="00794F3F" w:rsidRDefault="00E7204B" w:rsidP="00EA10F0">
      <w:pPr>
        <w:spacing w:line="276" w:lineRule="auto"/>
        <w:ind w:firstLine="709"/>
        <w:jc w:val="both"/>
        <w:rPr>
          <w:rFonts w:ascii="Arial" w:hAnsi="Arial" w:cs="Arial"/>
          <w:sz w:val="22"/>
          <w:shd w:val="clear" w:color="auto" w:fill="FFFFFF"/>
        </w:rPr>
      </w:pPr>
    </w:p>
    <w:p w14:paraId="544609D3" w14:textId="3CFF1235" w:rsidR="000920F0" w:rsidRPr="00EE7AB2" w:rsidRDefault="000920F0" w:rsidP="00B80A0C">
      <w:pPr>
        <w:spacing w:line="276" w:lineRule="auto"/>
        <w:jc w:val="both"/>
        <w:rPr>
          <w:rFonts w:ascii="Arial" w:hAnsi="Arial" w:cs="Arial"/>
          <w:noProof/>
          <w:sz w:val="22"/>
          <w:lang w:val="es-ES_tradnl"/>
        </w:rPr>
      </w:pPr>
      <w:r w:rsidRPr="00EE7AB2">
        <w:rPr>
          <w:rFonts w:ascii="Arial" w:hAnsi="Arial" w:cs="Arial"/>
          <w:noProof/>
          <w:sz w:val="22"/>
          <w:lang w:val="es-ES_tradnl"/>
        </w:rPr>
        <w:t>Este concepto tiene el alcance previsto en el artículo 28 del Código de Procedimiento Administrativo y de lo Contencioso Administrativo</w:t>
      </w:r>
      <w:r w:rsidR="00A568E5" w:rsidRPr="00EE7AB2">
        <w:rPr>
          <w:rFonts w:ascii="Arial" w:hAnsi="Arial" w:cs="Arial"/>
          <w:noProof/>
          <w:sz w:val="22"/>
          <w:lang w:val="es-ES_tradnl"/>
        </w:rPr>
        <w:t>.</w:t>
      </w:r>
    </w:p>
    <w:p w14:paraId="72B1ECAA" w14:textId="77777777" w:rsidR="00150A83" w:rsidRPr="00EE7AB2" w:rsidRDefault="00150A83" w:rsidP="00F106B5">
      <w:pPr>
        <w:spacing w:line="276" w:lineRule="auto"/>
        <w:jc w:val="both"/>
        <w:rPr>
          <w:rFonts w:ascii="Arial" w:hAnsi="Arial" w:cs="Arial"/>
          <w:noProof/>
          <w:sz w:val="22"/>
          <w:lang w:val="es-ES_tradnl"/>
        </w:rPr>
      </w:pPr>
    </w:p>
    <w:p w14:paraId="2A352265" w14:textId="77777777" w:rsidR="000920F0" w:rsidRPr="00EE7AB2" w:rsidRDefault="000920F0" w:rsidP="00F106B5">
      <w:pPr>
        <w:spacing w:line="276" w:lineRule="auto"/>
        <w:jc w:val="both"/>
        <w:rPr>
          <w:rFonts w:ascii="Arial" w:hAnsi="Arial" w:cs="Arial"/>
          <w:noProof/>
          <w:sz w:val="22"/>
          <w:lang w:val="es-ES_tradnl"/>
        </w:rPr>
      </w:pPr>
      <w:r w:rsidRPr="00EE7AB2">
        <w:rPr>
          <w:rFonts w:ascii="Arial" w:hAnsi="Arial" w:cs="Arial"/>
          <w:noProof/>
          <w:sz w:val="22"/>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line w14:anchorId="53B0AB77"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D16A13B" w14:textId="77777777" w:rsidR="00033726" w:rsidRPr="00EE7AB2" w:rsidRDefault="00033726" w:rsidP="00033726">
      <w:pPr>
        <w:rPr>
          <w:rFonts w:ascii="Arial" w:eastAsia="Times New Roman" w:hAnsi="Arial" w:cs="Arial"/>
          <w:sz w:val="22"/>
          <w:lang w:val="es-CO" w:eastAsia="es-CO"/>
        </w:rPr>
      </w:pPr>
      <w:bookmarkStart w:id="4" w:name="_Hlk50986665"/>
      <w:bookmarkStart w:id="5" w:name="_Hlk55258198"/>
      <w:bookmarkEnd w:id="2"/>
      <w:r w:rsidRPr="00EE7AB2">
        <w:rPr>
          <w:rFonts w:ascii="Arial" w:hAnsi="Arial" w:cs="Arial"/>
          <w:sz w:val="22"/>
          <w:lang w:eastAsia="es-CO"/>
        </w:rPr>
        <w:t>Atentamente,</w:t>
      </w:r>
    </w:p>
    <w:p w14:paraId="48343DC8" w14:textId="77777777" w:rsidR="00033726" w:rsidRPr="00EE7AB2" w:rsidRDefault="00033726" w:rsidP="00033726">
      <w:pPr>
        <w:rPr>
          <w:rFonts w:ascii="Arial" w:hAnsi="Arial" w:cs="Arial"/>
          <w:sz w:val="22"/>
          <w:lang w:eastAsia="es-CO"/>
        </w:rPr>
      </w:pPr>
    </w:p>
    <w:p w14:paraId="17330A55" w14:textId="180E3406" w:rsidR="00033726" w:rsidRPr="00295D8A" w:rsidRDefault="001428E1" w:rsidP="00033726">
      <w:pPr>
        <w:jc w:val="center"/>
        <w:rPr>
          <w:rFonts w:ascii="Arial" w:hAnsi="Arial" w:cs="Arial"/>
          <w:sz w:val="18"/>
          <w:szCs w:val="20"/>
          <w:lang w:eastAsia="es-CO"/>
        </w:rPr>
      </w:pPr>
      <w:r>
        <w:rPr>
          <w:rFonts w:ascii="Arial" w:hAnsi="Arial" w:cs="Arial"/>
          <w:noProof/>
          <w:sz w:val="18"/>
          <w:szCs w:val="20"/>
        </w:rPr>
        <w:drawing>
          <wp:inline distT="0" distB="0" distL="0" distR="0" wp14:anchorId="73EE81B3" wp14:editId="1FF2A0B9">
            <wp:extent cx="2514600" cy="1114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1C202F34" w14:textId="77777777" w:rsidR="00033726" w:rsidRPr="00295D8A" w:rsidRDefault="00033726" w:rsidP="00033726">
      <w:pPr>
        <w:jc w:val="center"/>
        <w:rPr>
          <w:rFonts w:ascii="Arial" w:hAnsi="Arial" w:cs="Arial"/>
          <w:sz w:val="18"/>
          <w:szCs w:val="20"/>
          <w:lang w:eastAsia="es-CO"/>
        </w:rPr>
      </w:pPr>
    </w:p>
    <w:p w14:paraId="19BFACF1" w14:textId="77777777" w:rsidR="00033726" w:rsidRPr="00295D8A"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60814" w:rsidRPr="00295D8A" w14:paraId="6B2C663A" w14:textId="77777777" w:rsidTr="00760814">
        <w:trPr>
          <w:trHeight w:val="315"/>
        </w:trPr>
        <w:tc>
          <w:tcPr>
            <w:tcW w:w="812" w:type="dxa"/>
            <w:vAlign w:val="center"/>
            <w:hideMark/>
          </w:tcPr>
          <w:p w14:paraId="695A653A"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9A25AA"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Kamal Abdul Nassar Montoya</w:t>
            </w:r>
          </w:p>
          <w:p w14:paraId="76A9CD0D" w14:textId="24A3AC52"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760814" w:rsidRPr="00295D8A" w14:paraId="24F7903D" w14:textId="77777777" w:rsidTr="00760814">
        <w:trPr>
          <w:trHeight w:val="330"/>
        </w:trPr>
        <w:tc>
          <w:tcPr>
            <w:tcW w:w="812" w:type="dxa"/>
            <w:vAlign w:val="center"/>
            <w:hideMark/>
          </w:tcPr>
          <w:p w14:paraId="215ABEAD"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97D96E" w14:textId="13F6B826" w:rsidR="00760814" w:rsidRPr="00295D8A" w:rsidRDefault="00B17150" w:rsidP="00760814">
            <w:pPr>
              <w:rPr>
                <w:rFonts w:ascii="Arial" w:hAnsi="Arial" w:cs="Arial"/>
                <w:sz w:val="16"/>
                <w:szCs w:val="16"/>
                <w:lang w:eastAsia="es-ES"/>
              </w:rPr>
            </w:pPr>
            <w:r>
              <w:rPr>
                <w:rFonts w:ascii="Arial" w:hAnsi="Arial" w:cs="Arial"/>
                <w:sz w:val="16"/>
                <w:szCs w:val="16"/>
                <w:lang w:eastAsia="es-ES"/>
              </w:rPr>
              <w:t xml:space="preserve">Sebastián Ramírez Grisales </w:t>
            </w:r>
          </w:p>
          <w:p w14:paraId="2654F995" w14:textId="49694ECD" w:rsidR="00760814" w:rsidRPr="00295D8A" w:rsidRDefault="0096481E" w:rsidP="00760814">
            <w:pPr>
              <w:rPr>
                <w:rFonts w:ascii="Arial" w:hAnsi="Arial" w:cs="Arial"/>
                <w:sz w:val="16"/>
                <w:szCs w:val="16"/>
                <w:lang w:eastAsia="es-ES"/>
              </w:rPr>
            </w:pPr>
            <w:r>
              <w:rPr>
                <w:rFonts w:ascii="Arial" w:hAnsi="Arial" w:cs="Arial"/>
                <w:sz w:val="16"/>
                <w:szCs w:val="16"/>
                <w:lang w:eastAsia="es-ES"/>
              </w:rPr>
              <w:t>Gestor T1-15</w:t>
            </w:r>
            <w:r w:rsidRPr="00295D8A">
              <w:rPr>
                <w:rFonts w:ascii="Arial" w:hAnsi="Arial" w:cs="Arial"/>
                <w:sz w:val="16"/>
                <w:szCs w:val="16"/>
                <w:lang w:eastAsia="es-ES"/>
              </w:rPr>
              <w:t xml:space="preserve"> </w:t>
            </w:r>
            <w:r w:rsidR="00F64BB6">
              <w:rPr>
                <w:rFonts w:ascii="Arial" w:hAnsi="Arial" w:cs="Arial"/>
                <w:sz w:val="16"/>
                <w:szCs w:val="16"/>
                <w:lang w:eastAsia="es-ES"/>
              </w:rPr>
              <w:t xml:space="preserve">de la </w:t>
            </w:r>
            <w:r w:rsidR="00760814" w:rsidRPr="00295D8A">
              <w:rPr>
                <w:rFonts w:ascii="Arial" w:hAnsi="Arial" w:cs="Arial"/>
                <w:sz w:val="16"/>
                <w:szCs w:val="16"/>
                <w:lang w:eastAsia="es-ES"/>
              </w:rPr>
              <w:t>Subdirección de Gestión Contractual</w:t>
            </w:r>
          </w:p>
        </w:tc>
      </w:tr>
      <w:tr w:rsidR="00295D8A" w:rsidRPr="00295D8A" w14:paraId="12FFD112" w14:textId="77777777" w:rsidTr="00760814">
        <w:trPr>
          <w:trHeight w:val="300"/>
        </w:trPr>
        <w:tc>
          <w:tcPr>
            <w:tcW w:w="812" w:type="dxa"/>
            <w:vAlign w:val="center"/>
            <w:hideMark/>
          </w:tcPr>
          <w:p w14:paraId="48653619"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Jorge Augusto Tirado Navarro</w:t>
            </w:r>
          </w:p>
          <w:p w14:paraId="4036D7C1" w14:textId="2B077614"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Subdirector de Gestión Contractual</w:t>
            </w:r>
            <w:r w:rsidR="00F64BB6">
              <w:rPr>
                <w:rFonts w:ascii="Arial" w:hAnsi="Arial" w:cs="Arial"/>
                <w:sz w:val="16"/>
                <w:szCs w:val="16"/>
                <w:lang w:eastAsia="es-ES"/>
              </w:rPr>
              <w:t xml:space="preserve"> ANCP – CCE</w:t>
            </w:r>
          </w:p>
        </w:tc>
      </w:tr>
      <w:bookmarkEnd w:id="4"/>
      <w:bookmarkEnd w:id="5"/>
    </w:tbl>
    <w:p w14:paraId="7EBF297E" w14:textId="77777777" w:rsidR="007B0854" w:rsidRPr="00295D8A" w:rsidRDefault="007B0854" w:rsidP="00760814">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D82E5" w14:textId="77777777" w:rsidR="00AA07F0" w:rsidRDefault="00AA07F0">
      <w:r>
        <w:separator/>
      </w:r>
    </w:p>
  </w:endnote>
  <w:endnote w:type="continuationSeparator" w:id="0">
    <w:p w14:paraId="3A1B8E35" w14:textId="77777777" w:rsidR="00AA07F0" w:rsidRDefault="00AA07F0">
      <w:r>
        <w:continuationSeparator/>
      </w:r>
    </w:p>
  </w:endnote>
  <w:endnote w:type="continuationNotice" w:id="1">
    <w:p w14:paraId="70725050" w14:textId="77777777" w:rsidR="00AA07F0" w:rsidRDefault="00AA0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Calibri">
    <w:altName w:val="Arial"/>
    <w:panose1 w:val="020B0604020202020204"/>
    <w:charset w:val="00"/>
    <w:family w:val="roman"/>
    <w:pitch w:val="default"/>
  </w:font>
  <w:font w:name="Arial,Times New Roman">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77777777" w:rsidR="00F44916" w:rsidRDefault="00F44916" w:rsidP="00856133">
    <w:pPr>
      <w:pStyle w:val="Sinespaciado"/>
      <w:jc w:val="right"/>
      <w:rPr>
        <w:rFonts w:ascii="Arial" w:hAnsi="Arial" w:cs="Arial"/>
        <w:sz w:val="18"/>
        <w:szCs w:val="18"/>
      </w:rPr>
    </w:pPr>
  </w:p>
  <w:p w14:paraId="512F463F" w14:textId="54B3CCBC"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44916" w:rsidRDefault="00F44916"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54DDB" w14:textId="77777777" w:rsidR="00AA07F0" w:rsidRDefault="00AA07F0">
      <w:r>
        <w:separator/>
      </w:r>
    </w:p>
  </w:footnote>
  <w:footnote w:type="continuationSeparator" w:id="0">
    <w:p w14:paraId="6E837F13" w14:textId="77777777" w:rsidR="00AA07F0" w:rsidRDefault="00AA07F0">
      <w:r>
        <w:continuationSeparator/>
      </w:r>
    </w:p>
  </w:footnote>
  <w:footnote w:type="continuationNotice" w:id="1">
    <w:p w14:paraId="64FC0A46" w14:textId="77777777" w:rsidR="00AA07F0" w:rsidRDefault="00AA07F0"/>
  </w:footnote>
  <w:footnote w:id="2">
    <w:p w14:paraId="3C9745AA" w14:textId="77777777" w:rsidR="0026547F" w:rsidRPr="007755DE" w:rsidRDefault="0026547F">
      <w:pPr>
        <w:pStyle w:val="Textonotapie"/>
        <w:ind w:firstLine="709"/>
        <w:jc w:val="both"/>
        <w:rPr>
          <w:rFonts w:ascii="Arial" w:hAnsi="Arial" w:cs="Arial"/>
          <w:sz w:val="19"/>
          <w:szCs w:val="19"/>
        </w:rPr>
      </w:pPr>
      <w:r w:rsidRPr="007755DE">
        <w:rPr>
          <w:rStyle w:val="Refdenotaalpie"/>
          <w:rFonts w:ascii="Arial" w:hAnsi="Arial" w:cs="Arial"/>
          <w:sz w:val="19"/>
          <w:szCs w:val="19"/>
        </w:rPr>
        <w:footnoteRef/>
      </w:r>
      <w:r w:rsidRPr="007755DE">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1258595C" w14:textId="77777777" w:rsidR="0026547F" w:rsidRPr="007755DE" w:rsidRDefault="0026547F">
      <w:pPr>
        <w:pStyle w:val="Textonotapie"/>
        <w:ind w:firstLine="709"/>
        <w:jc w:val="both"/>
        <w:rPr>
          <w:rFonts w:ascii="Arial" w:hAnsi="Arial" w:cs="Arial"/>
          <w:sz w:val="19"/>
          <w:szCs w:val="19"/>
          <w:lang w:val="es-CO"/>
        </w:rPr>
      </w:pPr>
    </w:p>
  </w:footnote>
  <w:footnote w:id="3">
    <w:p w14:paraId="6268E6A7" w14:textId="77777777" w:rsidR="0026547F" w:rsidRPr="007755DE" w:rsidRDefault="0026547F">
      <w:pPr>
        <w:pStyle w:val="Textonotapie"/>
        <w:ind w:firstLine="709"/>
        <w:jc w:val="both"/>
        <w:rPr>
          <w:rFonts w:ascii="Arial" w:hAnsi="Arial" w:cs="Arial"/>
          <w:sz w:val="19"/>
          <w:szCs w:val="19"/>
        </w:rPr>
      </w:pPr>
      <w:r w:rsidRPr="007755DE">
        <w:rPr>
          <w:rStyle w:val="Refdenotaalpie"/>
          <w:rFonts w:ascii="Arial" w:hAnsi="Arial" w:cs="Arial"/>
          <w:sz w:val="19"/>
          <w:szCs w:val="19"/>
        </w:rPr>
        <w:footnoteRef/>
      </w:r>
      <w:r w:rsidRPr="007755DE">
        <w:rPr>
          <w:rFonts w:ascii="Arial" w:hAnsi="Arial" w:cs="Arial"/>
          <w:sz w:val="19"/>
          <w:szCs w:val="19"/>
        </w:rPr>
        <w:t xml:space="preserve"> </w:t>
      </w:r>
      <w:r w:rsidRPr="007755DE">
        <w:rPr>
          <w:rFonts w:ascii="Arial" w:hAnsi="Arial" w:cs="Arial"/>
          <w:sz w:val="19"/>
          <w:szCs w:val="19"/>
          <w:lang w:val="es-CO"/>
        </w:rPr>
        <w:t xml:space="preserve">Ley 1882 de 2018: «Artículo 4. </w:t>
      </w:r>
      <w:r w:rsidRPr="007755D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D657267" w14:textId="77777777" w:rsidR="0026547F" w:rsidRPr="007755DE" w:rsidRDefault="0026547F">
      <w:pPr>
        <w:pStyle w:val="Textonotapie"/>
        <w:ind w:firstLine="709"/>
        <w:jc w:val="both"/>
        <w:rPr>
          <w:rFonts w:ascii="Arial" w:hAnsi="Arial" w:cs="Arial"/>
          <w:sz w:val="19"/>
          <w:szCs w:val="19"/>
          <w:lang w:val="es-CO"/>
        </w:rPr>
      </w:pPr>
      <w:r w:rsidRPr="007755DE">
        <w:rPr>
          <w:rFonts w:ascii="Arial" w:hAnsi="Arial" w:cs="Arial"/>
          <w:sz w:val="19"/>
          <w:szCs w:val="19"/>
          <w:lang w:val="es-CO"/>
        </w:rPr>
        <w:t>»La facultad de adoptar documentos tipo la tendrá el Gobierno nacional, cuando lo considere necesario, en relación con otros contratos o procesos de selección.</w:t>
      </w:r>
    </w:p>
    <w:p w14:paraId="67E2BC2C" w14:textId="77777777" w:rsidR="0026547F" w:rsidRPr="007755DE" w:rsidRDefault="0026547F">
      <w:pPr>
        <w:pStyle w:val="Textonotapie"/>
        <w:ind w:firstLine="709"/>
        <w:jc w:val="both"/>
        <w:rPr>
          <w:rFonts w:ascii="Arial" w:hAnsi="Arial" w:cs="Arial"/>
          <w:sz w:val="19"/>
          <w:szCs w:val="19"/>
          <w:lang w:val="es-CO"/>
        </w:rPr>
      </w:pPr>
      <w:r w:rsidRPr="007755DE">
        <w:rPr>
          <w:rFonts w:ascii="Arial" w:hAnsi="Arial" w:cs="Arial"/>
          <w:sz w:val="19"/>
          <w:szCs w:val="19"/>
          <w:lang w:val="es-CO"/>
        </w:rPr>
        <w:t>»Los pliegos tipo se adoptarán por categorías de acuerdo con la cuantía de la contratación, según la reglamentación que expida el Gobierno nacional».</w:t>
      </w:r>
    </w:p>
    <w:p w14:paraId="0059CD6A" w14:textId="77777777" w:rsidR="0026547F" w:rsidRPr="007755DE" w:rsidRDefault="0026547F">
      <w:pPr>
        <w:pStyle w:val="Textonotapie"/>
        <w:ind w:firstLine="709"/>
        <w:jc w:val="both"/>
        <w:rPr>
          <w:rFonts w:ascii="Arial" w:hAnsi="Arial" w:cs="Arial"/>
          <w:sz w:val="19"/>
          <w:szCs w:val="19"/>
          <w:lang w:val="es-CO"/>
        </w:rPr>
      </w:pPr>
    </w:p>
  </w:footnote>
  <w:footnote w:id="4">
    <w:p w14:paraId="1029FE6D" w14:textId="77777777" w:rsidR="0026547F" w:rsidRPr="007755DE" w:rsidRDefault="0026547F">
      <w:pPr>
        <w:pStyle w:val="Textonotapie"/>
        <w:ind w:firstLine="709"/>
        <w:jc w:val="both"/>
        <w:rPr>
          <w:rFonts w:ascii="Arial" w:hAnsi="Arial" w:cs="Arial"/>
          <w:sz w:val="19"/>
          <w:szCs w:val="19"/>
        </w:rPr>
      </w:pPr>
      <w:r w:rsidRPr="007755DE">
        <w:rPr>
          <w:rStyle w:val="Refdenotaalpie"/>
          <w:rFonts w:ascii="Arial" w:hAnsi="Arial" w:cs="Arial"/>
          <w:sz w:val="19"/>
          <w:szCs w:val="19"/>
        </w:rPr>
        <w:footnoteRef/>
      </w:r>
      <w:r w:rsidRPr="007755DE">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361267CD" w14:textId="77777777" w:rsidR="0026547F" w:rsidRPr="007755DE" w:rsidRDefault="0026547F">
      <w:pPr>
        <w:pStyle w:val="Textonotapie"/>
        <w:ind w:firstLine="709"/>
        <w:jc w:val="both"/>
        <w:rPr>
          <w:rFonts w:ascii="Arial" w:hAnsi="Arial" w:cs="Arial"/>
          <w:sz w:val="19"/>
          <w:szCs w:val="19"/>
        </w:rPr>
      </w:pPr>
    </w:p>
  </w:footnote>
  <w:footnote w:id="5">
    <w:p w14:paraId="5D589FE6" w14:textId="77777777" w:rsidR="00B14B73" w:rsidRPr="007755DE" w:rsidRDefault="00B14B73">
      <w:pPr>
        <w:pStyle w:val="Textonotapie"/>
        <w:ind w:firstLine="709"/>
        <w:jc w:val="both"/>
        <w:rPr>
          <w:rFonts w:ascii="Arial" w:hAnsi="Arial" w:cs="Arial"/>
          <w:sz w:val="19"/>
          <w:szCs w:val="19"/>
          <w:lang w:val="es-ES"/>
        </w:rPr>
      </w:pPr>
      <w:r w:rsidRPr="007755DE">
        <w:rPr>
          <w:rStyle w:val="Refdenotaalpie"/>
          <w:rFonts w:ascii="Arial" w:hAnsi="Arial" w:cs="Arial"/>
          <w:sz w:val="19"/>
          <w:szCs w:val="19"/>
        </w:rPr>
        <w:footnoteRef/>
      </w:r>
      <w:r w:rsidRPr="007755DE">
        <w:rPr>
          <w:rFonts w:ascii="Arial" w:hAnsi="Arial" w:cs="Arial"/>
          <w:sz w:val="19"/>
          <w:szCs w:val="19"/>
        </w:rPr>
        <w:t xml:space="preserve"> </w:t>
      </w:r>
      <w:r w:rsidRPr="007755DE">
        <w:rPr>
          <w:rFonts w:ascii="Arial" w:hAnsi="Arial" w:cs="Arial"/>
          <w:sz w:val="19"/>
          <w:szCs w:val="19"/>
          <w:lang w:val="es-ES"/>
        </w:rPr>
        <w:t>En cuanto a las resoluciones vigentes, dicha regla se observa en el artículo 3 de las Resoluciones 240, 241, 248, 249, 256 y 269 de 2020, así como en el artículo 2 de la Resolución 094 de 2020.</w:t>
      </w:r>
    </w:p>
  </w:footnote>
  <w:footnote w:id="6">
    <w:p w14:paraId="590467D5" w14:textId="77777777" w:rsidR="00367BA7" w:rsidRPr="007755DE" w:rsidRDefault="00367BA7">
      <w:pPr>
        <w:pStyle w:val="Textonotapie"/>
        <w:ind w:firstLine="709"/>
        <w:jc w:val="both"/>
        <w:rPr>
          <w:rFonts w:ascii="Arial" w:hAnsi="Arial" w:cs="Arial"/>
          <w:color w:val="000000" w:themeColor="text1"/>
          <w:sz w:val="19"/>
          <w:szCs w:val="19"/>
        </w:rPr>
      </w:pPr>
      <w:r w:rsidRPr="007755DE">
        <w:rPr>
          <w:rStyle w:val="Refdenotaalpie"/>
          <w:rFonts w:ascii="Arial" w:hAnsi="Arial" w:cs="Arial"/>
          <w:color w:val="000000" w:themeColor="text1"/>
          <w:sz w:val="19"/>
          <w:szCs w:val="19"/>
        </w:rPr>
        <w:footnoteRef/>
      </w:r>
      <w:r w:rsidRPr="007755DE">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19103371" w14:textId="77777777" w:rsidR="00367BA7" w:rsidRPr="007755DE" w:rsidRDefault="00367BA7">
      <w:pPr>
        <w:pStyle w:val="Textonotapie"/>
        <w:ind w:firstLine="709"/>
        <w:jc w:val="both"/>
        <w:rPr>
          <w:rFonts w:ascii="Arial" w:hAnsi="Arial" w:cs="Arial"/>
          <w:color w:val="000000" w:themeColor="text1"/>
          <w:sz w:val="19"/>
          <w:szCs w:val="19"/>
        </w:rPr>
      </w:pPr>
    </w:p>
  </w:footnote>
  <w:footnote w:id="7">
    <w:p w14:paraId="1D924075" w14:textId="77777777" w:rsidR="00367BA7" w:rsidRPr="007755DE" w:rsidRDefault="00367BA7">
      <w:pPr>
        <w:ind w:firstLine="709"/>
        <w:jc w:val="both"/>
        <w:rPr>
          <w:rFonts w:ascii="Arial" w:hAnsi="Arial" w:cs="Arial"/>
          <w:color w:val="000000" w:themeColor="text1"/>
          <w:sz w:val="19"/>
          <w:szCs w:val="19"/>
          <w:lang w:val="es-ES"/>
        </w:rPr>
      </w:pPr>
      <w:r w:rsidRPr="007755DE">
        <w:rPr>
          <w:rStyle w:val="Refdenotaalpie"/>
          <w:rFonts w:ascii="Arial" w:hAnsi="Arial" w:cs="Arial"/>
          <w:color w:val="000000" w:themeColor="text1"/>
          <w:sz w:val="19"/>
          <w:szCs w:val="19"/>
        </w:rPr>
        <w:footnoteRef/>
      </w:r>
      <w:r w:rsidRPr="007755DE">
        <w:rPr>
          <w:rFonts w:ascii="Arial" w:hAnsi="Arial" w:cs="Arial"/>
          <w:color w:val="000000" w:themeColor="text1"/>
          <w:sz w:val="19"/>
          <w:szCs w:val="19"/>
        </w:rPr>
        <w:t xml:space="preserve"> </w:t>
      </w:r>
      <w:r w:rsidRPr="007755DE">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0EBF8A25" w14:textId="77777777" w:rsidR="00367BA7" w:rsidRPr="007755DE" w:rsidRDefault="00367BA7">
      <w:pPr>
        <w:ind w:firstLine="709"/>
        <w:jc w:val="both"/>
        <w:rPr>
          <w:rFonts w:ascii="Arial" w:hAnsi="Arial" w:cs="Arial"/>
          <w:color w:val="000000" w:themeColor="text1"/>
          <w:sz w:val="19"/>
          <w:szCs w:val="19"/>
          <w:lang w:val="es-ES"/>
        </w:rPr>
      </w:pPr>
    </w:p>
  </w:footnote>
  <w:footnote w:id="8">
    <w:p w14:paraId="47BDD32C" w14:textId="17C0D950" w:rsidR="007755DE" w:rsidRPr="00652FC6" w:rsidRDefault="007755DE" w:rsidP="00652FC6">
      <w:pPr>
        <w:pStyle w:val="Textonotapie"/>
        <w:ind w:firstLine="708"/>
        <w:jc w:val="both"/>
        <w:rPr>
          <w:rFonts w:ascii="Arial" w:hAnsi="Arial" w:cs="Arial"/>
          <w:sz w:val="19"/>
          <w:szCs w:val="19"/>
          <w:lang w:val="es-CO"/>
        </w:rPr>
      </w:pPr>
      <w:r w:rsidRPr="00652FC6">
        <w:rPr>
          <w:rStyle w:val="Refdenotaalpie"/>
          <w:rFonts w:ascii="Arial" w:hAnsi="Arial" w:cs="Arial"/>
          <w:sz w:val="19"/>
          <w:szCs w:val="19"/>
        </w:rPr>
        <w:footnoteRef/>
      </w:r>
      <w:r w:rsidRPr="00652FC6">
        <w:rPr>
          <w:rFonts w:ascii="Arial" w:hAnsi="Arial" w:cs="Arial"/>
          <w:sz w:val="19"/>
          <w:szCs w:val="19"/>
        </w:rPr>
        <w:t xml:space="preserve"> Un análisis similar se aplicaría a los puntajes establecidos en la Ley 816 de 2003 relacionados con el apoyo a la industria 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44916" w:rsidRDefault="00F44916">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7623D6"/>
    <w:multiLevelType w:val="multilevel"/>
    <w:tmpl w:val="10C22536"/>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cs="Times New Roman"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cs="Times New Roman"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cs="Times New Roman"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E671F35"/>
    <w:multiLevelType w:val="hybridMultilevel"/>
    <w:tmpl w:val="BBB21C24"/>
    <w:lvl w:ilvl="0" w:tplc="ED4646BE">
      <w:start w:val="2"/>
      <w:numFmt w:val="decimal"/>
      <w:lvlText w:val="%1."/>
      <w:lvlJc w:val="left"/>
      <w:pPr>
        <w:ind w:left="668" w:hanging="300"/>
      </w:pPr>
      <w:rPr>
        <w:rFonts w:ascii="Arial" w:eastAsia="Arial" w:hAnsi="Arial" w:cs="Arial" w:hint="default"/>
        <w:color w:val="4E4D4D"/>
        <w:spacing w:val="-6"/>
        <w:w w:val="100"/>
        <w:sz w:val="22"/>
        <w:szCs w:val="22"/>
        <w:lang w:val="es-ES" w:eastAsia="en-US" w:bidi="ar-SA"/>
      </w:rPr>
    </w:lvl>
    <w:lvl w:ilvl="1" w:tplc="6C8E1FD6">
      <w:start w:val="1"/>
      <w:numFmt w:val="decimal"/>
      <w:lvlText w:val="%2."/>
      <w:lvlJc w:val="left"/>
      <w:pPr>
        <w:ind w:left="810" w:hanging="258"/>
        <w:jc w:val="right"/>
      </w:pPr>
      <w:rPr>
        <w:rFonts w:hint="default"/>
        <w:spacing w:val="-1"/>
        <w:w w:val="100"/>
        <w:lang w:val="es-ES" w:eastAsia="en-US" w:bidi="ar-SA"/>
      </w:rPr>
    </w:lvl>
    <w:lvl w:ilvl="2" w:tplc="CDA0FD5C">
      <w:numFmt w:val="bullet"/>
      <w:lvlText w:val="•"/>
      <w:lvlJc w:val="left"/>
      <w:pPr>
        <w:ind w:left="1744" w:hanging="258"/>
      </w:pPr>
      <w:rPr>
        <w:rFonts w:hint="default"/>
        <w:lang w:val="es-ES" w:eastAsia="en-US" w:bidi="ar-SA"/>
      </w:rPr>
    </w:lvl>
    <w:lvl w:ilvl="3" w:tplc="54DC0320">
      <w:numFmt w:val="bullet"/>
      <w:lvlText w:val="•"/>
      <w:lvlJc w:val="left"/>
      <w:pPr>
        <w:ind w:left="2668" w:hanging="258"/>
      </w:pPr>
      <w:rPr>
        <w:rFonts w:hint="default"/>
        <w:lang w:val="es-ES" w:eastAsia="en-US" w:bidi="ar-SA"/>
      </w:rPr>
    </w:lvl>
    <w:lvl w:ilvl="4" w:tplc="4B7C3D0E">
      <w:numFmt w:val="bullet"/>
      <w:lvlText w:val="•"/>
      <w:lvlJc w:val="left"/>
      <w:pPr>
        <w:ind w:left="3593" w:hanging="258"/>
      </w:pPr>
      <w:rPr>
        <w:rFonts w:hint="default"/>
        <w:lang w:val="es-ES" w:eastAsia="en-US" w:bidi="ar-SA"/>
      </w:rPr>
    </w:lvl>
    <w:lvl w:ilvl="5" w:tplc="C8D09092">
      <w:numFmt w:val="bullet"/>
      <w:lvlText w:val="•"/>
      <w:lvlJc w:val="left"/>
      <w:pPr>
        <w:ind w:left="4517" w:hanging="258"/>
      </w:pPr>
      <w:rPr>
        <w:rFonts w:hint="default"/>
        <w:lang w:val="es-ES" w:eastAsia="en-US" w:bidi="ar-SA"/>
      </w:rPr>
    </w:lvl>
    <w:lvl w:ilvl="6" w:tplc="A0347992">
      <w:numFmt w:val="bullet"/>
      <w:lvlText w:val="•"/>
      <w:lvlJc w:val="left"/>
      <w:pPr>
        <w:ind w:left="5442" w:hanging="258"/>
      </w:pPr>
      <w:rPr>
        <w:rFonts w:hint="default"/>
        <w:lang w:val="es-ES" w:eastAsia="en-US" w:bidi="ar-SA"/>
      </w:rPr>
    </w:lvl>
    <w:lvl w:ilvl="7" w:tplc="5EA4233C">
      <w:numFmt w:val="bullet"/>
      <w:lvlText w:val="•"/>
      <w:lvlJc w:val="left"/>
      <w:pPr>
        <w:ind w:left="6366" w:hanging="258"/>
      </w:pPr>
      <w:rPr>
        <w:rFonts w:hint="default"/>
        <w:lang w:val="es-ES" w:eastAsia="en-US" w:bidi="ar-SA"/>
      </w:rPr>
    </w:lvl>
    <w:lvl w:ilvl="8" w:tplc="299EE406">
      <w:numFmt w:val="bullet"/>
      <w:lvlText w:val="•"/>
      <w:lvlJc w:val="left"/>
      <w:pPr>
        <w:ind w:left="7291" w:hanging="258"/>
      </w:pPr>
      <w:rPr>
        <w:rFonts w:hint="default"/>
        <w:lang w:val="es-ES" w:eastAsia="en-US" w:bidi="ar-SA"/>
      </w:rPr>
    </w:lvl>
  </w:abstractNum>
  <w:abstractNum w:abstractNumId="5" w15:restartNumberingAfterBreak="0">
    <w:nsid w:val="2B173B54"/>
    <w:multiLevelType w:val="multilevel"/>
    <w:tmpl w:val="F91E93B0"/>
    <w:lvl w:ilvl="0">
      <w:start w:val="1"/>
      <w:numFmt w:val="decimal"/>
      <w:lvlText w:val="%1."/>
      <w:lvlJc w:val="left"/>
      <w:pPr>
        <w:ind w:left="34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525" w:hanging="426"/>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477" w:hanging="426"/>
      </w:pPr>
      <w:rPr>
        <w:rFonts w:hint="default"/>
        <w:lang w:val="es-ES" w:eastAsia="en-US" w:bidi="ar-SA"/>
      </w:rPr>
    </w:lvl>
    <w:lvl w:ilvl="3">
      <w:numFmt w:val="bullet"/>
      <w:lvlText w:val="•"/>
      <w:lvlJc w:val="left"/>
      <w:pPr>
        <w:ind w:left="2435" w:hanging="426"/>
      </w:pPr>
      <w:rPr>
        <w:rFonts w:hint="default"/>
        <w:lang w:val="es-ES" w:eastAsia="en-US" w:bidi="ar-SA"/>
      </w:rPr>
    </w:lvl>
    <w:lvl w:ilvl="4">
      <w:numFmt w:val="bullet"/>
      <w:lvlText w:val="•"/>
      <w:lvlJc w:val="left"/>
      <w:pPr>
        <w:ind w:left="3393" w:hanging="426"/>
      </w:pPr>
      <w:rPr>
        <w:rFonts w:hint="default"/>
        <w:lang w:val="es-ES" w:eastAsia="en-US" w:bidi="ar-SA"/>
      </w:rPr>
    </w:lvl>
    <w:lvl w:ilvl="5">
      <w:numFmt w:val="bullet"/>
      <w:lvlText w:val="•"/>
      <w:lvlJc w:val="left"/>
      <w:pPr>
        <w:ind w:left="4351" w:hanging="426"/>
      </w:pPr>
      <w:rPr>
        <w:rFonts w:hint="default"/>
        <w:lang w:val="es-ES" w:eastAsia="en-US" w:bidi="ar-SA"/>
      </w:rPr>
    </w:lvl>
    <w:lvl w:ilvl="6">
      <w:numFmt w:val="bullet"/>
      <w:lvlText w:val="•"/>
      <w:lvlJc w:val="left"/>
      <w:pPr>
        <w:ind w:left="5308" w:hanging="426"/>
      </w:pPr>
      <w:rPr>
        <w:rFonts w:hint="default"/>
        <w:lang w:val="es-ES" w:eastAsia="en-US" w:bidi="ar-SA"/>
      </w:rPr>
    </w:lvl>
    <w:lvl w:ilvl="7">
      <w:numFmt w:val="bullet"/>
      <w:lvlText w:val="•"/>
      <w:lvlJc w:val="left"/>
      <w:pPr>
        <w:ind w:left="6266" w:hanging="426"/>
      </w:pPr>
      <w:rPr>
        <w:rFonts w:hint="default"/>
        <w:lang w:val="es-ES" w:eastAsia="en-US" w:bidi="ar-SA"/>
      </w:rPr>
    </w:lvl>
    <w:lvl w:ilvl="8">
      <w:numFmt w:val="bullet"/>
      <w:lvlText w:val="•"/>
      <w:lvlJc w:val="left"/>
      <w:pPr>
        <w:ind w:left="7224" w:hanging="426"/>
      </w:pPr>
      <w:rPr>
        <w:rFonts w:hint="default"/>
        <w:lang w:val="es-ES" w:eastAsia="en-US" w:bidi="ar-SA"/>
      </w:rPr>
    </w:lvl>
  </w:abstractNum>
  <w:abstractNum w:abstractNumId="6"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7"/>
  </w:num>
  <w:num w:numId="2">
    <w:abstractNumId w:val="6"/>
  </w:num>
  <w:num w:numId="3">
    <w:abstractNumId w:val="8"/>
  </w:num>
  <w:num w:numId="4">
    <w:abstractNumId w:val="9"/>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1"/>
  </w:num>
  <w:num w:numId="10">
    <w:abstractNumId w:val="4"/>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activeWritingStyle w:appName="MSWord" w:lang="es-CO"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3726"/>
    <w:rsid w:val="00034AA9"/>
    <w:rsid w:val="00036094"/>
    <w:rsid w:val="000362E6"/>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6567"/>
    <w:rsid w:val="000678DE"/>
    <w:rsid w:val="00071C82"/>
    <w:rsid w:val="000720AC"/>
    <w:rsid w:val="000732C7"/>
    <w:rsid w:val="000739BE"/>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12DD"/>
    <w:rsid w:val="000B2324"/>
    <w:rsid w:val="000B324A"/>
    <w:rsid w:val="000C0343"/>
    <w:rsid w:val="000C14AA"/>
    <w:rsid w:val="000C23C7"/>
    <w:rsid w:val="000C397B"/>
    <w:rsid w:val="000C6CCE"/>
    <w:rsid w:val="000C786A"/>
    <w:rsid w:val="000C798F"/>
    <w:rsid w:val="000D1FBC"/>
    <w:rsid w:val="000D2573"/>
    <w:rsid w:val="000D30D4"/>
    <w:rsid w:val="000D31C7"/>
    <w:rsid w:val="000D387A"/>
    <w:rsid w:val="000D47EF"/>
    <w:rsid w:val="000D48CC"/>
    <w:rsid w:val="000D7615"/>
    <w:rsid w:val="000D7BBD"/>
    <w:rsid w:val="000E1284"/>
    <w:rsid w:val="000E1CDD"/>
    <w:rsid w:val="000E2E43"/>
    <w:rsid w:val="000E450F"/>
    <w:rsid w:val="000E7995"/>
    <w:rsid w:val="000E7D7E"/>
    <w:rsid w:val="000F0898"/>
    <w:rsid w:val="000F14E8"/>
    <w:rsid w:val="000F19EF"/>
    <w:rsid w:val="000F1F4B"/>
    <w:rsid w:val="000F4421"/>
    <w:rsid w:val="000F6DA0"/>
    <w:rsid w:val="00101394"/>
    <w:rsid w:val="001014F5"/>
    <w:rsid w:val="00103915"/>
    <w:rsid w:val="001078E6"/>
    <w:rsid w:val="00111960"/>
    <w:rsid w:val="001160B0"/>
    <w:rsid w:val="001162A5"/>
    <w:rsid w:val="0011669E"/>
    <w:rsid w:val="001200ED"/>
    <w:rsid w:val="001203F9"/>
    <w:rsid w:val="0012087D"/>
    <w:rsid w:val="00120B80"/>
    <w:rsid w:val="00121D3B"/>
    <w:rsid w:val="00122B23"/>
    <w:rsid w:val="001245D4"/>
    <w:rsid w:val="00124E57"/>
    <w:rsid w:val="00135A40"/>
    <w:rsid w:val="001375C4"/>
    <w:rsid w:val="00137646"/>
    <w:rsid w:val="00137A61"/>
    <w:rsid w:val="00137FFA"/>
    <w:rsid w:val="001428E1"/>
    <w:rsid w:val="001431FB"/>
    <w:rsid w:val="001438ED"/>
    <w:rsid w:val="00145942"/>
    <w:rsid w:val="00146025"/>
    <w:rsid w:val="00146856"/>
    <w:rsid w:val="00147224"/>
    <w:rsid w:val="00150A83"/>
    <w:rsid w:val="00152274"/>
    <w:rsid w:val="001522B6"/>
    <w:rsid w:val="0015343F"/>
    <w:rsid w:val="001543F8"/>
    <w:rsid w:val="00154B53"/>
    <w:rsid w:val="00155245"/>
    <w:rsid w:val="00155DAE"/>
    <w:rsid w:val="00155DD9"/>
    <w:rsid w:val="00156BE4"/>
    <w:rsid w:val="00164F83"/>
    <w:rsid w:val="00165A21"/>
    <w:rsid w:val="00166C46"/>
    <w:rsid w:val="00167BF1"/>
    <w:rsid w:val="00171104"/>
    <w:rsid w:val="00171CF4"/>
    <w:rsid w:val="0018017A"/>
    <w:rsid w:val="00181C2A"/>
    <w:rsid w:val="00183388"/>
    <w:rsid w:val="00184CBC"/>
    <w:rsid w:val="00186338"/>
    <w:rsid w:val="00190812"/>
    <w:rsid w:val="00192F9B"/>
    <w:rsid w:val="0019331A"/>
    <w:rsid w:val="00195EF5"/>
    <w:rsid w:val="00196BE5"/>
    <w:rsid w:val="001975AC"/>
    <w:rsid w:val="001A00E2"/>
    <w:rsid w:val="001A153A"/>
    <w:rsid w:val="001A393A"/>
    <w:rsid w:val="001A4318"/>
    <w:rsid w:val="001A5507"/>
    <w:rsid w:val="001B1847"/>
    <w:rsid w:val="001B1ECB"/>
    <w:rsid w:val="001B23CE"/>
    <w:rsid w:val="001B45E7"/>
    <w:rsid w:val="001C0A60"/>
    <w:rsid w:val="001C0AF7"/>
    <w:rsid w:val="001C16CC"/>
    <w:rsid w:val="001C39DF"/>
    <w:rsid w:val="001C4570"/>
    <w:rsid w:val="001C5E73"/>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515E"/>
    <w:rsid w:val="001F59D8"/>
    <w:rsid w:val="001F5DD3"/>
    <w:rsid w:val="001F5FEF"/>
    <w:rsid w:val="00200B89"/>
    <w:rsid w:val="00200C0F"/>
    <w:rsid w:val="002021C7"/>
    <w:rsid w:val="00202B7A"/>
    <w:rsid w:val="002031DB"/>
    <w:rsid w:val="002047E9"/>
    <w:rsid w:val="00205850"/>
    <w:rsid w:val="00206852"/>
    <w:rsid w:val="00207041"/>
    <w:rsid w:val="002111F9"/>
    <w:rsid w:val="00211C31"/>
    <w:rsid w:val="00213804"/>
    <w:rsid w:val="0021714E"/>
    <w:rsid w:val="00220681"/>
    <w:rsid w:val="00224722"/>
    <w:rsid w:val="00227E56"/>
    <w:rsid w:val="002301F1"/>
    <w:rsid w:val="002304C1"/>
    <w:rsid w:val="002315AE"/>
    <w:rsid w:val="00232ECE"/>
    <w:rsid w:val="0023384B"/>
    <w:rsid w:val="00233A64"/>
    <w:rsid w:val="002346F8"/>
    <w:rsid w:val="00234B84"/>
    <w:rsid w:val="00236F7F"/>
    <w:rsid w:val="0024212A"/>
    <w:rsid w:val="002436DD"/>
    <w:rsid w:val="002456DF"/>
    <w:rsid w:val="00247308"/>
    <w:rsid w:val="00250966"/>
    <w:rsid w:val="00251667"/>
    <w:rsid w:val="002518A6"/>
    <w:rsid w:val="0025429B"/>
    <w:rsid w:val="0025531C"/>
    <w:rsid w:val="00256C1D"/>
    <w:rsid w:val="00261AAE"/>
    <w:rsid w:val="0026505D"/>
    <w:rsid w:val="0026547F"/>
    <w:rsid w:val="002654B9"/>
    <w:rsid w:val="00266568"/>
    <w:rsid w:val="002668CC"/>
    <w:rsid w:val="002672BD"/>
    <w:rsid w:val="00270911"/>
    <w:rsid w:val="00270A17"/>
    <w:rsid w:val="00272F3C"/>
    <w:rsid w:val="00273961"/>
    <w:rsid w:val="0027401B"/>
    <w:rsid w:val="0027497E"/>
    <w:rsid w:val="00276DFC"/>
    <w:rsid w:val="002806D0"/>
    <w:rsid w:val="0028218D"/>
    <w:rsid w:val="00282A6B"/>
    <w:rsid w:val="00283535"/>
    <w:rsid w:val="002844C4"/>
    <w:rsid w:val="0029116C"/>
    <w:rsid w:val="00292D21"/>
    <w:rsid w:val="002934B2"/>
    <w:rsid w:val="0029572E"/>
    <w:rsid w:val="00295D8A"/>
    <w:rsid w:val="002A0F0D"/>
    <w:rsid w:val="002A0F0F"/>
    <w:rsid w:val="002A19C4"/>
    <w:rsid w:val="002A1F46"/>
    <w:rsid w:val="002A294A"/>
    <w:rsid w:val="002A2CD3"/>
    <w:rsid w:val="002A50E8"/>
    <w:rsid w:val="002A7C42"/>
    <w:rsid w:val="002B03E5"/>
    <w:rsid w:val="002B17C5"/>
    <w:rsid w:val="002B39F0"/>
    <w:rsid w:val="002B446C"/>
    <w:rsid w:val="002B6286"/>
    <w:rsid w:val="002B709B"/>
    <w:rsid w:val="002B70AB"/>
    <w:rsid w:val="002C1EEC"/>
    <w:rsid w:val="002C31BC"/>
    <w:rsid w:val="002C57F2"/>
    <w:rsid w:val="002C68B3"/>
    <w:rsid w:val="002D05DE"/>
    <w:rsid w:val="002D2FF2"/>
    <w:rsid w:val="002D3B38"/>
    <w:rsid w:val="002D57A3"/>
    <w:rsid w:val="002D5D61"/>
    <w:rsid w:val="002D5FFC"/>
    <w:rsid w:val="002D665A"/>
    <w:rsid w:val="002E08D0"/>
    <w:rsid w:val="002E0C71"/>
    <w:rsid w:val="002E13E0"/>
    <w:rsid w:val="002E1993"/>
    <w:rsid w:val="002E1A34"/>
    <w:rsid w:val="002E424E"/>
    <w:rsid w:val="002E479E"/>
    <w:rsid w:val="002E4EFE"/>
    <w:rsid w:val="002E6F80"/>
    <w:rsid w:val="002F1143"/>
    <w:rsid w:val="002F1FE0"/>
    <w:rsid w:val="002F231E"/>
    <w:rsid w:val="002F23C9"/>
    <w:rsid w:val="002F6312"/>
    <w:rsid w:val="002F6B0A"/>
    <w:rsid w:val="002F6F49"/>
    <w:rsid w:val="002F7B2C"/>
    <w:rsid w:val="0030118B"/>
    <w:rsid w:val="003033BA"/>
    <w:rsid w:val="00305329"/>
    <w:rsid w:val="00306222"/>
    <w:rsid w:val="00306251"/>
    <w:rsid w:val="00306763"/>
    <w:rsid w:val="003074FD"/>
    <w:rsid w:val="00307A32"/>
    <w:rsid w:val="00307E45"/>
    <w:rsid w:val="003102F2"/>
    <w:rsid w:val="00310C43"/>
    <w:rsid w:val="00311A86"/>
    <w:rsid w:val="0031275A"/>
    <w:rsid w:val="003133D1"/>
    <w:rsid w:val="00313974"/>
    <w:rsid w:val="00315651"/>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40AD3"/>
    <w:rsid w:val="00340C37"/>
    <w:rsid w:val="0034119F"/>
    <w:rsid w:val="00341911"/>
    <w:rsid w:val="00341BE6"/>
    <w:rsid w:val="00343194"/>
    <w:rsid w:val="00343AB2"/>
    <w:rsid w:val="003461EA"/>
    <w:rsid w:val="0034680A"/>
    <w:rsid w:val="00346D8C"/>
    <w:rsid w:val="003477C1"/>
    <w:rsid w:val="00352ABF"/>
    <w:rsid w:val="00352FB2"/>
    <w:rsid w:val="0035397A"/>
    <w:rsid w:val="0035419A"/>
    <w:rsid w:val="0035582B"/>
    <w:rsid w:val="00355E89"/>
    <w:rsid w:val="00356A34"/>
    <w:rsid w:val="00361348"/>
    <w:rsid w:val="0036167C"/>
    <w:rsid w:val="00362709"/>
    <w:rsid w:val="00363BC9"/>
    <w:rsid w:val="003643E8"/>
    <w:rsid w:val="00364A46"/>
    <w:rsid w:val="00366AA6"/>
    <w:rsid w:val="00367BA7"/>
    <w:rsid w:val="0037114A"/>
    <w:rsid w:val="0037229F"/>
    <w:rsid w:val="00372B86"/>
    <w:rsid w:val="00373E13"/>
    <w:rsid w:val="003743B6"/>
    <w:rsid w:val="00374F3E"/>
    <w:rsid w:val="003762EE"/>
    <w:rsid w:val="00376854"/>
    <w:rsid w:val="0037781B"/>
    <w:rsid w:val="003829B3"/>
    <w:rsid w:val="003839D0"/>
    <w:rsid w:val="00385978"/>
    <w:rsid w:val="00385DDF"/>
    <w:rsid w:val="00386456"/>
    <w:rsid w:val="00387D17"/>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3CF0"/>
    <w:rsid w:val="003A581E"/>
    <w:rsid w:val="003A5E4E"/>
    <w:rsid w:val="003A6BA0"/>
    <w:rsid w:val="003A6EA8"/>
    <w:rsid w:val="003A789C"/>
    <w:rsid w:val="003B03BF"/>
    <w:rsid w:val="003B0BB1"/>
    <w:rsid w:val="003B0C35"/>
    <w:rsid w:val="003B2456"/>
    <w:rsid w:val="003B49A4"/>
    <w:rsid w:val="003B4D4F"/>
    <w:rsid w:val="003B7211"/>
    <w:rsid w:val="003B75E6"/>
    <w:rsid w:val="003B7BCC"/>
    <w:rsid w:val="003C0712"/>
    <w:rsid w:val="003C3A87"/>
    <w:rsid w:val="003C3FB8"/>
    <w:rsid w:val="003C5458"/>
    <w:rsid w:val="003C564B"/>
    <w:rsid w:val="003C5A2E"/>
    <w:rsid w:val="003D1833"/>
    <w:rsid w:val="003D5FFB"/>
    <w:rsid w:val="003E1061"/>
    <w:rsid w:val="003E21E7"/>
    <w:rsid w:val="003F0256"/>
    <w:rsid w:val="003F2762"/>
    <w:rsid w:val="003F466C"/>
    <w:rsid w:val="003F551E"/>
    <w:rsid w:val="003F5E2E"/>
    <w:rsid w:val="003F5F01"/>
    <w:rsid w:val="003F6DB8"/>
    <w:rsid w:val="003F7100"/>
    <w:rsid w:val="004008EE"/>
    <w:rsid w:val="004026AA"/>
    <w:rsid w:val="00402FFB"/>
    <w:rsid w:val="00403195"/>
    <w:rsid w:val="0040416B"/>
    <w:rsid w:val="00405F6D"/>
    <w:rsid w:val="00412B33"/>
    <w:rsid w:val="00412C94"/>
    <w:rsid w:val="00412E29"/>
    <w:rsid w:val="0041404F"/>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22D6"/>
    <w:rsid w:val="00442D02"/>
    <w:rsid w:val="00443588"/>
    <w:rsid w:val="0044423C"/>
    <w:rsid w:val="004473DB"/>
    <w:rsid w:val="00450066"/>
    <w:rsid w:val="00454FD6"/>
    <w:rsid w:val="00455B90"/>
    <w:rsid w:val="00455DB2"/>
    <w:rsid w:val="00457DF1"/>
    <w:rsid w:val="00460842"/>
    <w:rsid w:val="00460ED0"/>
    <w:rsid w:val="00461377"/>
    <w:rsid w:val="00461501"/>
    <w:rsid w:val="00461F68"/>
    <w:rsid w:val="00462ECE"/>
    <w:rsid w:val="00464784"/>
    <w:rsid w:val="004649F4"/>
    <w:rsid w:val="00465EED"/>
    <w:rsid w:val="004669CB"/>
    <w:rsid w:val="00467068"/>
    <w:rsid w:val="00470363"/>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512D"/>
    <w:rsid w:val="004A611F"/>
    <w:rsid w:val="004A6646"/>
    <w:rsid w:val="004A7850"/>
    <w:rsid w:val="004B0D78"/>
    <w:rsid w:val="004B1158"/>
    <w:rsid w:val="004B1821"/>
    <w:rsid w:val="004B3D99"/>
    <w:rsid w:val="004B445E"/>
    <w:rsid w:val="004B5235"/>
    <w:rsid w:val="004B5922"/>
    <w:rsid w:val="004B5C3C"/>
    <w:rsid w:val="004B6246"/>
    <w:rsid w:val="004B645B"/>
    <w:rsid w:val="004B794D"/>
    <w:rsid w:val="004B7B59"/>
    <w:rsid w:val="004B7D75"/>
    <w:rsid w:val="004C0279"/>
    <w:rsid w:val="004C0932"/>
    <w:rsid w:val="004C3EDA"/>
    <w:rsid w:val="004C4379"/>
    <w:rsid w:val="004C5091"/>
    <w:rsid w:val="004C69A1"/>
    <w:rsid w:val="004C6C72"/>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4E70"/>
    <w:rsid w:val="004F58AE"/>
    <w:rsid w:val="004F5C0B"/>
    <w:rsid w:val="00501C7C"/>
    <w:rsid w:val="005024CA"/>
    <w:rsid w:val="00502628"/>
    <w:rsid w:val="00502D15"/>
    <w:rsid w:val="005037D6"/>
    <w:rsid w:val="00504448"/>
    <w:rsid w:val="00507356"/>
    <w:rsid w:val="005079BF"/>
    <w:rsid w:val="0051074C"/>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4450"/>
    <w:rsid w:val="00535C77"/>
    <w:rsid w:val="005360FB"/>
    <w:rsid w:val="0054061C"/>
    <w:rsid w:val="00540BDD"/>
    <w:rsid w:val="005414AC"/>
    <w:rsid w:val="005424D9"/>
    <w:rsid w:val="00542C19"/>
    <w:rsid w:val="00543102"/>
    <w:rsid w:val="0054413A"/>
    <w:rsid w:val="00544B92"/>
    <w:rsid w:val="00545F6F"/>
    <w:rsid w:val="0054651C"/>
    <w:rsid w:val="00547F13"/>
    <w:rsid w:val="00550C02"/>
    <w:rsid w:val="00551312"/>
    <w:rsid w:val="00552067"/>
    <w:rsid w:val="00553070"/>
    <w:rsid w:val="00553B5D"/>
    <w:rsid w:val="005542DB"/>
    <w:rsid w:val="005544D0"/>
    <w:rsid w:val="0055487B"/>
    <w:rsid w:val="00555055"/>
    <w:rsid w:val="005550A3"/>
    <w:rsid w:val="005564CA"/>
    <w:rsid w:val="00560A4E"/>
    <w:rsid w:val="00562490"/>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2022"/>
    <w:rsid w:val="005A2B7F"/>
    <w:rsid w:val="005A5DA1"/>
    <w:rsid w:val="005B01B5"/>
    <w:rsid w:val="005B26EB"/>
    <w:rsid w:val="005B338A"/>
    <w:rsid w:val="005B4444"/>
    <w:rsid w:val="005B50FB"/>
    <w:rsid w:val="005B61E8"/>
    <w:rsid w:val="005B64E3"/>
    <w:rsid w:val="005B74E2"/>
    <w:rsid w:val="005C19F3"/>
    <w:rsid w:val="005C200E"/>
    <w:rsid w:val="005C280F"/>
    <w:rsid w:val="005C2A6C"/>
    <w:rsid w:val="005C47CD"/>
    <w:rsid w:val="005C60EB"/>
    <w:rsid w:val="005C6619"/>
    <w:rsid w:val="005C66D8"/>
    <w:rsid w:val="005C6792"/>
    <w:rsid w:val="005C7BC1"/>
    <w:rsid w:val="005D1E83"/>
    <w:rsid w:val="005D2381"/>
    <w:rsid w:val="005D25FC"/>
    <w:rsid w:val="005D3C8F"/>
    <w:rsid w:val="005D47B2"/>
    <w:rsid w:val="005D6180"/>
    <w:rsid w:val="005D78E7"/>
    <w:rsid w:val="005E124C"/>
    <w:rsid w:val="005E1400"/>
    <w:rsid w:val="005E15AC"/>
    <w:rsid w:val="005E414D"/>
    <w:rsid w:val="005E74B0"/>
    <w:rsid w:val="005E7E46"/>
    <w:rsid w:val="005F0922"/>
    <w:rsid w:val="005F2058"/>
    <w:rsid w:val="005F2C66"/>
    <w:rsid w:val="005F51D1"/>
    <w:rsid w:val="005F5643"/>
    <w:rsid w:val="005F735D"/>
    <w:rsid w:val="005F7503"/>
    <w:rsid w:val="0060434E"/>
    <w:rsid w:val="00604F5A"/>
    <w:rsid w:val="00606144"/>
    <w:rsid w:val="006103E8"/>
    <w:rsid w:val="00612107"/>
    <w:rsid w:val="00613798"/>
    <w:rsid w:val="006137DC"/>
    <w:rsid w:val="00614030"/>
    <w:rsid w:val="00614E0B"/>
    <w:rsid w:val="006160D2"/>
    <w:rsid w:val="00616FD5"/>
    <w:rsid w:val="00620BF2"/>
    <w:rsid w:val="00623442"/>
    <w:rsid w:val="006241B0"/>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B5C"/>
    <w:rsid w:val="00647FE6"/>
    <w:rsid w:val="006500F1"/>
    <w:rsid w:val="00651591"/>
    <w:rsid w:val="00652FC6"/>
    <w:rsid w:val="00654420"/>
    <w:rsid w:val="00654A2F"/>
    <w:rsid w:val="00654A4D"/>
    <w:rsid w:val="00655371"/>
    <w:rsid w:val="00655762"/>
    <w:rsid w:val="00655C7E"/>
    <w:rsid w:val="00656BDD"/>
    <w:rsid w:val="00656FCA"/>
    <w:rsid w:val="00660CC8"/>
    <w:rsid w:val="006616E6"/>
    <w:rsid w:val="00661EC2"/>
    <w:rsid w:val="00664B5C"/>
    <w:rsid w:val="006650DF"/>
    <w:rsid w:val="00665D69"/>
    <w:rsid w:val="006673CF"/>
    <w:rsid w:val="00667FF9"/>
    <w:rsid w:val="00671A48"/>
    <w:rsid w:val="00671E09"/>
    <w:rsid w:val="00675C30"/>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4000"/>
    <w:rsid w:val="00696576"/>
    <w:rsid w:val="00697665"/>
    <w:rsid w:val="006977A6"/>
    <w:rsid w:val="006A22FE"/>
    <w:rsid w:val="006A25C9"/>
    <w:rsid w:val="006A3B75"/>
    <w:rsid w:val="006A5068"/>
    <w:rsid w:val="006A63E2"/>
    <w:rsid w:val="006A6B4A"/>
    <w:rsid w:val="006A7981"/>
    <w:rsid w:val="006A7FD0"/>
    <w:rsid w:val="006B0790"/>
    <w:rsid w:val="006B0F95"/>
    <w:rsid w:val="006B2A4B"/>
    <w:rsid w:val="006B2A81"/>
    <w:rsid w:val="006B3A45"/>
    <w:rsid w:val="006B4DEC"/>
    <w:rsid w:val="006B58E4"/>
    <w:rsid w:val="006B5D02"/>
    <w:rsid w:val="006B74EF"/>
    <w:rsid w:val="006C01CD"/>
    <w:rsid w:val="006C04B6"/>
    <w:rsid w:val="006C1787"/>
    <w:rsid w:val="006C2EDF"/>
    <w:rsid w:val="006C45E1"/>
    <w:rsid w:val="006C4C2C"/>
    <w:rsid w:val="006C4D46"/>
    <w:rsid w:val="006D1C63"/>
    <w:rsid w:val="006D6A68"/>
    <w:rsid w:val="006D7687"/>
    <w:rsid w:val="006E0572"/>
    <w:rsid w:val="006E19F4"/>
    <w:rsid w:val="006E3D5D"/>
    <w:rsid w:val="006E3E20"/>
    <w:rsid w:val="006E5E5D"/>
    <w:rsid w:val="006E69B8"/>
    <w:rsid w:val="006E6EE9"/>
    <w:rsid w:val="006E71B6"/>
    <w:rsid w:val="006E73B1"/>
    <w:rsid w:val="006F344A"/>
    <w:rsid w:val="006F3FD3"/>
    <w:rsid w:val="006F6AE7"/>
    <w:rsid w:val="007026A8"/>
    <w:rsid w:val="007031C5"/>
    <w:rsid w:val="00703690"/>
    <w:rsid w:val="00703DDF"/>
    <w:rsid w:val="00705025"/>
    <w:rsid w:val="00705631"/>
    <w:rsid w:val="00706733"/>
    <w:rsid w:val="007116DC"/>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AFC"/>
    <w:rsid w:val="00742B02"/>
    <w:rsid w:val="00742DD2"/>
    <w:rsid w:val="00745301"/>
    <w:rsid w:val="00745483"/>
    <w:rsid w:val="00746C26"/>
    <w:rsid w:val="0075277F"/>
    <w:rsid w:val="00752D13"/>
    <w:rsid w:val="0075345C"/>
    <w:rsid w:val="00754152"/>
    <w:rsid w:val="00754EC0"/>
    <w:rsid w:val="0075647A"/>
    <w:rsid w:val="00757117"/>
    <w:rsid w:val="0076031C"/>
    <w:rsid w:val="00760814"/>
    <w:rsid w:val="00760C7C"/>
    <w:rsid w:val="007634AD"/>
    <w:rsid w:val="00763B06"/>
    <w:rsid w:val="00763DF0"/>
    <w:rsid w:val="00766562"/>
    <w:rsid w:val="00770749"/>
    <w:rsid w:val="00770ADC"/>
    <w:rsid w:val="00771BA7"/>
    <w:rsid w:val="007732B5"/>
    <w:rsid w:val="007733B7"/>
    <w:rsid w:val="00773EE9"/>
    <w:rsid w:val="00773EFA"/>
    <w:rsid w:val="007751AB"/>
    <w:rsid w:val="007755DE"/>
    <w:rsid w:val="0077581F"/>
    <w:rsid w:val="00775C7C"/>
    <w:rsid w:val="00775F71"/>
    <w:rsid w:val="00777B18"/>
    <w:rsid w:val="00780F3A"/>
    <w:rsid w:val="0078122E"/>
    <w:rsid w:val="00781432"/>
    <w:rsid w:val="0078331C"/>
    <w:rsid w:val="00786FA5"/>
    <w:rsid w:val="00790165"/>
    <w:rsid w:val="00792CCD"/>
    <w:rsid w:val="00794F3F"/>
    <w:rsid w:val="00795F60"/>
    <w:rsid w:val="00796E98"/>
    <w:rsid w:val="007A00AB"/>
    <w:rsid w:val="007A1640"/>
    <w:rsid w:val="007A3087"/>
    <w:rsid w:val="007A3365"/>
    <w:rsid w:val="007A3575"/>
    <w:rsid w:val="007A36F7"/>
    <w:rsid w:val="007A3878"/>
    <w:rsid w:val="007A45E1"/>
    <w:rsid w:val="007A4F9B"/>
    <w:rsid w:val="007B0854"/>
    <w:rsid w:val="007B26EA"/>
    <w:rsid w:val="007B350C"/>
    <w:rsid w:val="007B5E4D"/>
    <w:rsid w:val="007C0482"/>
    <w:rsid w:val="007C2BF6"/>
    <w:rsid w:val="007C3B04"/>
    <w:rsid w:val="007C4999"/>
    <w:rsid w:val="007C5B45"/>
    <w:rsid w:val="007C67B5"/>
    <w:rsid w:val="007C6D53"/>
    <w:rsid w:val="007C745C"/>
    <w:rsid w:val="007C7CDF"/>
    <w:rsid w:val="007D1800"/>
    <w:rsid w:val="007D28D9"/>
    <w:rsid w:val="007D4E2C"/>
    <w:rsid w:val="007D5905"/>
    <w:rsid w:val="007E0012"/>
    <w:rsid w:val="007E07F7"/>
    <w:rsid w:val="007E13BA"/>
    <w:rsid w:val="007E724B"/>
    <w:rsid w:val="007E78BE"/>
    <w:rsid w:val="007E7D01"/>
    <w:rsid w:val="007F21B2"/>
    <w:rsid w:val="007F306F"/>
    <w:rsid w:val="007F3261"/>
    <w:rsid w:val="007F3788"/>
    <w:rsid w:val="007F3919"/>
    <w:rsid w:val="007F40CD"/>
    <w:rsid w:val="007F5CD2"/>
    <w:rsid w:val="007F6877"/>
    <w:rsid w:val="007F6E86"/>
    <w:rsid w:val="007F72CB"/>
    <w:rsid w:val="008020B4"/>
    <w:rsid w:val="00802410"/>
    <w:rsid w:val="008029C5"/>
    <w:rsid w:val="00802E04"/>
    <w:rsid w:val="008031FA"/>
    <w:rsid w:val="008035AD"/>
    <w:rsid w:val="00803C53"/>
    <w:rsid w:val="00804199"/>
    <w:rsid w:val="00810BC2"/>
    <w:rsid w:val="00810F70"/>
    <w:rsid w:val="008112AE"/>
    <w:rsid w:val="008118F4"/>
    <w:rsid w:val="00812B27"/>
    <w:rsid w:val="00813D99"/>
    <w:rsid w:val="008150DF"/>
    <w:rsid w:val="0082268C"/>
    <w:rsid w:val="0082781F"/>
    <w:rsid w:val="0083119B"/>
    <w:rsid w:val="00834E72"/>
    <w:rsid w:val="00836AFD"/>
    <w:rsid w:val="00836C3A"/>
    <w:rsid w:val="00836EAB"/>
    <w:rsid w:val="00837248"/>
    <w:rsid w:val="00837349"/>
    <w:rsid w:val="00840D0A"/>
    <w:rsid w:val="00841046"/>
    <w:rsid w:val="00841B8A"/>
    <w:rsid w:val="00841C35"/>
    <w:rsid w:val="00845BC2"/>
    <w:rsid w:val="00845C82"/>
    <w:rsid w:val="00847A9D"/>
    <w:rsid w:val="00847F78"/>
    <w:rsid w:val="0085092D"/>
    <w:rsid w:val="00852147"/>
    <w:rsid w:val="00854321"/>
    <w:rsid w:val="00854646"/>
    <w:rsid w:val="008546F7"/>
    <w:rsid w:val="00856133"/>
    <w:rsid w:val="00856268"/>
    <w:rsid w:val="008563D1"/>
    <w:rsid w:val="00860B70"/>
    <w:rsid w:val="00863B12"/>
    <w:rsid w:val="00870D79"/>
    <w:rsid w:val="00873F68"/>
    <w:rsid w:val="00874D84"/>
    <w:rsid w:val="00874DDE"/>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DDE"/>
    <w:rsid w:val="00891978"/>
    <w:rsid w:val="00892103"/>
    <w:rsid w:val="00893313"/>
    <w:rsid w:val="00893744"/>
    <w:rsid w:val="00893A01"/>
    <w:rsid w:val="00893FB7"/>
    <w:rsid w:val="00895A43"/>
    <w:rsid w:val="008A1527"/>
    <w:rsid w:val="008A1750"/>
    <w:rsid w:val="008A1B06"/>
    <w:rsid w:val="008A2636"/>
    <w:rsid w:val="008A4B60"/>
    <w:rsid w:val="008A64E6"/>
    <w:rsid w:val="008B0FF2"/>
    <w:rsid w:val="008B1E24"/>
    <w:rsid w:val="008B2021"/>
    <w:rsid w:val="008B404F"/>
    <w:rsid w:val="008B4FA2"/>
    <w:rsid w:val="008B5AED"/>
    <w:rsid w:val="008B6437"/>
    <w:rsid w:val="008B7DB2"/>
    <w:rsid w:val="008C0C45"/>
    <w:rsid w:val="008C36A1"/>
    <w:rsid w:val="008C3A55"/>
    <w:rsid w:val="008C7603"/>
    <w:rsid w:val="008C7B34"/>
    <w:rsid w:val="008D082E"/>
    <w:rsid w:val="008D0D41"/>
    <w:rsid w:val="008D218F"/>
    <w:rsid w:val="008D41C2"/>
    <w:rsid w:val="008D4AE8"/>
    <w:rsid w:val="008D55EA"/>
    <w:rsid w:val="008D6B63"/>
    <w:rsid w:val="008D7FDF"/>
    <w:rsid w:val="008E07D2"/>
    <w:rsid w:val="008E09AB"/>
    <w:rsid w:val="008E12EE"/>
    <w:rsid w:val="008E1C15"/>
    <w:rsid w:val="008E2789"/>
    <w:rsid w:val="008E3D79"/>
    <w:rsid w:val="008E4385"/>
    <w:rsid w:val="008E58E3"/>
    <w:rsid w:val="008E6270"/>
    <w:rsid w:val="008E76C6"/>
    <w:rsid w:val="008F1674"/>
    <w:rsid w:val="008F180C"/>
    <w:rsid w:val="008F2BB7"/>
    <w:rsid w:val="008F4F08"/>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268"/>
    <w:rsid w:val="00945B7C"/>
    <w:rsid w:val="00947C29"/>
    <w:rsid w:val="00951797"/>
    <w:rsid w:val="0095285B"/>
    <w:rsid w:val="00952EDF"/>
    <w:rsid w:val="0095385A"/>
    <w:rsid w:val="00953DAB"/>
    <w:rsid w:val="00956410"/>
    <w:rsid w:val="00961031"/>
    <w:rsid w:val="0096481E"/>
    <w:rsid w:val="0096486A"/>
    <w:rsid w:val="00964E9B"/>
    <w:rsid w:val="00965839"/>
    <w:rsid w:val="00966C75"/>
    <w:rsid w:val="009678C7"/>
    <w:rsid w:val="0097005F"/>
    <w:rsid w:val="009743FB"/>
    <w:rsid w:val="00975738"/>
    <w:rsid w:val="00976237"/>
    <w:rsid w:val="009768F4"/>
    <w:rsid w:val="00977307"/>
    <w:rsid w:val="009777A2"/>
    <w:rsid w:val="009823A4"/>
    <w:rsid w:val="00983F83"/>
    <w:rsid w:val="009840CC"/>
    <w:rsid w:val="00985247"/>
    <w:rsid w:val="009863F1"/>
    <w:rsid w:val="00987DD3"/>
    <w:rsid w:val="00990A5A"/>
    <w:rsid w:val="00993037"/>
    <w:rsid w:val="00994999"/>
    <w:rsid w:val="009959B4"/>
    <w:rsid w:val="009969F2"/>
    <w:rsid w:val="009973A4"/>
    <w:rsid w:val="00997EA9"/>
    <w:rsid w:val="009A0F89"/>
    <w:rsid w:val="009A1C7B"/>
    <w:rsid w:val="009A1DB3"/>
    <w:rsid w:val="009A2E9B"/>
    <w:rsid w:val="009A36E4"/>
    <w:rsid w:val="009A374F"/>
    <w:rsid w:val="009A4877"/>
    <w:rsid w:val="009A4DDF"/>
    <w:rsid w:val="009A5FB7"/>
    <w:rsid w:val="009A65FE"/>
    <w:rsid w:val="009A69D9"/>
    <w:rsid w:val="009A7DDF"/>
    <w:rsid w:val="009B073B"/>
    <w:rsid w:val="009B1002"/>
    <w:rsid w:val="009B223B"/>
    <w:rsid w:val="009B38BA"/>
    <w:rsid w:val="009B7BFB"/>
    <w:rsid w:val="009B7D69"/>
    <w:rsid w:val="009C1B12"/>
    <w:rsid w:val="009C1F9A"/>
    <w:rsid w:val="009C4716"/>
    <w:rsid w:val="009C5436"/>
    <w:rsid w:val="009C5B56"/>
    <w:rsid w:val="009C68C5"/>
    <w:rsid w:val="009D169F"/>
    <w:rsid w:val="009D17E4"/>
    <w:rsid w:val="009D1CC6"/>
    <w:rsid w:val="009D2970"/>
    <w:rsid w:val="009D4284"/>
    <w:rsid w:val="009D4A95"/>
    <w:rsid w:val="009D51AB"/>
    <w:rsid w:val="009D5694"/>
    <w:rsid w:val="009D65AE"/>
    <w:rsid w:val="009D71D6"/>
    <w:rsid w:val="009D72B1"/>
    <w:rsid w:val="009D768B"/>
    <w:rsid w:val="009D7F49"/>
    <w:rsid w:val="009E134A"/>
    <w:rsid w:val="009E168D"/>
    <w:rsid w:val="009E2F26"/>
    <w:rsid w:val="009E3931"/>
    <w:rsid w:val="009E58DB"/>
    <w:rsid w:val="009F3049"/>
    <w:rsid w:val="009F387C"/>
    <w:rsid w:val="009F4F5C"/>
    <w:rsid w:val="009F7878"/>
    <w:rsid w:val="00A00480"/>
    <w:rsid w:val="00A009C1"/>
    <w:rsid w:val="00A018CF"/>
    <w:rsid w:val="00A0366E"/>
    <w:rsid w:val="00A037EA"/>
    <w:rsid w:val="00A03FFA"/>
    <w:rsid w:val="00A04EE6"/>
    <w:rsid w:val="00A064D1"/>
    <w:rsid w:val="00A065A8"/>
    <w:rsid w:val="00A0747C"/>
    <w:rsid w:val="00A131D8"/>
    <w:rsid w:val="00A14ED6"/>
    <w:rsid w:val="00A14FEA"/>
    <w:rsid w:val="00A15652"/>
    <w:rsid w:val="00A15E6A"/>
    <w:rsid w:val="00A17D5A"/>
    <w:rsid w:val="00A20899"/>
    <w:rsid w:val="00A24560"/>
    <w:rsid w:val="00A252F8"/>
    <w:rsid w:val="00A25924"/>
    <w:rsid w:val="00A27C8F"/>
    <w:rsid w:val="00A27D96"/>
    <w:rsid w:val="00A3135A"/>
    <w:rsid w:val="00A31FAF"/>
    <w:rsid w:val="00A3305E"/>
    <w:rsid w:val="00A33107"/>
    <w:rsid w:val="00A34538"/>
    <w:rsid w:val="00A35DB0"/>
    <w:rsid w:val="00A366C0"/>
    <w:rsid w:val="00A37325"/>
    <w:rsid w:val="00A4284F"/>
    <w:rsid w:val="00A44ADA"/>
    <w:rsid w:val="00A457BC"/>
    <w:rsid w:val="00A46B58"/>
    <w:rsid w:val="00A502C3"/>
    <w:rsid w:val="00A509DA"/>
    <w:rsid w:val="00A55589"/>
    <w:rsid w:val="00A55593"/>
    <w:rsid w:val="00A568E5"/>
    <w:rsid w:val="00A6031B"/>
    <w:rsid w:val="00A60F23"/>
    <w:rsid w:val="00A6135D"/>
    <w:rsid w:val="00A61BAB"/>
    <w:rsid w:val="00A63214"/>
    <w:rsid w:val="00A63550"/>
    <w:rsid w:val="00A637F0"/>
    <w:rsid w:val="00A64A3E"/>
    <w:rsid w:val="00A64D34"/>
    <w:rsid w:val="00A66B56"/>
    <w:rsid w:val="00A66CB6"/>
    <w:rsid w:val="00A67701"/>
    <w:rsid w:val="00A70D3C"/>
    <w:rsid w:val="00A7259A"/>
    <w:rsid w:val="00A7306C"/>
    <w:rsid w:val="00A74421"/>
    <w:rsid w:val="00A74E63"/>
    <w:rsid w:val="00A7602D"/>
    <w:rsid w:val="00A8002B"/>
    <w:rsid w:val="00A80531"/>
    <w:rsid w:val="00A80657"/>
    <w:rsid w:val="00A80A35"/>
    <w:rsid w:val="00A8155D"/>
    <w:rsid w:val="00A81A2A"/>
    <w:rsid w:val="00A82798"/>
    <w:rsid w:val="00A83FAF"/>
    <w:rsid w:val="00A846F0"/>
    <w:rsid w:val="00A872E4"/>
    <w:rsid w:val="00A90376"/>
    <w:rsid w:val="00A911F3"/>
    <w:rsid w:val="00A92F8F"/>
    <w:rsid w:val="00A94854"/>
    <w:rsid w:val="00A963E6"/>
    <w:rsid w:val="00A965EF"/>
    <w:rsid w:val="00A97BA9"/>
    <w:rsid w:val="00AA0108"/>
    <w:rsid w:val="00AA07F0"/>
    <w:rsid w:val="00AA2FA4"/>
    <w:rsid w:val="00AA442B"/>
    <w:rsid w:val="00AA5DE7"/>
    <w:rsid w:val="00AB019E"/>
    <w:rsid w:val="00AB0CF9"/>
    <w:rsid w:val="00AB22AC"/>
    <w:rsid w:val="00AB519E"/>
    <w:rsid w:val="00AB71ED"/>
    <w:rsid w:val="00AC1747"/>
    <w:rsid w:val="00AC284A"/>
    <w:rsid w:val="00AC2F83"/>
    <w:rsid w:val="00AC4A88"/>
    <w:rsid w:val="00AC604E"/>
    <w:rsid w:val="00AC7AF0"/>
    <w:rsid w:val="00AD0301"/>
    <w:rsid w:val="00AD1BC5"/>
    <w:rsid w:val="00AD2F6D"/>
    <w:rsid w:val="00AD44F4"/>
    <w:rsid w:val="00AD4D7E"/>
    <w:rsid w:val="00AD5641"/>
    <w:rsid w:val="00AD6BC6"/>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69D7"/>
    <w:rsid w:val="00B07589"/>
    <w:rsid w:val="00B10040"/>
    <w:rsid w:val="00B105C8"/>
    <w:rsid w:val="00B113BF"/>
    <w:rsid w:val="00B12934"/>
    <w:rsid w:val="00B13131"/>
    <w:rsid w:val="00B1340D"/>
    <w:rsid w:val="00B13824"/>
    <w:rsid w:val="00B13A80"/>
    <w:rsid w:val="00B13AA1"/>
    <w:rsid w:val="00B14412"/>
    <w:rsid w:val="00B14514"/>
    <w:rsid w:val="00B1474F"/>
    <w:rsid w:val="00B14B73"/>
    <w:rsid w:val="00B14DB7"/>
    <w:rsid w:val="00B16D71"/>
    <w:rsid w:val="00B17150"/>
    <w:rsid w:val="00B21C77"/>
    <w:rsid w:val="00B22E22"/>
    <w:rsid w:val="00B2375A"/>
    <w:rsid w:val="00B246F2"/>
    <w:rsid w:val="00B251F5"/>
    <w:rsid w:val="00B254BA"/>
    <w:rsid w:val="00B26B41"/>
    <w:rsid w:val="00B27137"/>
    <w:rsid w:val="00B27D74"/>
    <w:rsid w:val="00B30B07"/>
    <w:rsid w:val="00B34319"/>
    <w:rsid w:val="00B34CA4"/>
    <w:rsid w:val="00B35A49"/>
    <w:rsid w:val="00B36042"/>
    <w:rsid w:val="00B375CA"/>
    <w:rsid w:val="00B40151"/>
    <w:rsid w:val="00B417C9"/>
    <w:rsid w:val="00B42A23"/>
    <w:rsid w:val="00B42F19"/>
    <w:rsid w:val="00B442BB"/>
    <w:rsid w:val="00B448AF"/>
    <w:rsid w:val="00B45B98"/>
    <w:rsid w:val="00B473D1"/>
    <w:rsid w:val="00B50B3D"/>
    <w:rsid w:val="00B522C8"/>
    <w:rsid w:val="00B525CB"/>
    <w:rsid w:val="00B57141"/>
    <w:rsid w:val="00B5723A"/>
    <w:rsid w:val="00B615BB"/>
    <w:rsid w:val="00B61EAF"/>
    <w:rsid w:val="00B628C8"/>
    <w:rsid w:val="00B63CB2"/>
    <w:rsid w:val="00B64914"/>
    <w:rsid w:val="00B67830"/>
    <w:rsid w:val="00B734AF"/>
    <w:rsid w:val="00B73E50"/>
    <w:rsid w:val="00B7415E"/>
    <w:rsid w:val="00B7625C"/>
    <w:rsid w:val="00B76CDB"/>
    <w:rsid w:val="00B80A0C"/>
    <w:rsid w:val="00B81B4F"/>
    <w:rsid w:val="00B83689"/>
    <w:rsid w:val="00B83959"/>
    <w:rsid w:val="00B83E31"/>
    <w:rsid w:val="00B85CB0"/>
    <w:rsid w:val="00B86742"/>
    <w:rsid w:val="00B86E19"/>
    <w:rsid w:val="00B9214A"/>
    <w:rsid w:val="00B9228C"/>
    <w:rsid w:val="00B924AA"/>
    <w:rsid w:val="00B93C15"/>
    <w:rsid w:val="00B93EB4"/>
    <w:rsid w:val="00B94453"/>
    <w:rsid w:val="00B955E0"/>
    <w:rsid w:val="00B96EEB"/>
    <w:rsid w:val="00B972C9"/>
    <w:rsid w:val="00BA1C6C"/>
    <w:rsid w:val="00BA2A4A"/>
    <w:rsid w:val="00BA2D3A"/>
    <w:rsid w:val="00BA5331"/>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115B"/>
    <w:rsid w:val="00BD1CED"/>
    <w:rsid w:val="00BD28D5"/>
    <w:rsid w:val="00BD78FE"/>
    <w:rsid w:val="00BE020D"/>
    <w:rsid w:val="00BE051B"/>
    <w:rsid w:val="00BE15CF"/>
    <w:rsid w:val="00BE2414"/>
    <w:rsid w:val="00BE30AE"/>
    <w:rsid w:val="00BE7A2C"/>
    <w:rsid w:val="00BF0AE6"/>
    <w:rsid w:val="00BF1286"/>
    <w:rsid w:val="00BF1C20"/>
    <w:rsid w:val="00BF1F2C"/>
    <w:rsid w:val="00BF3F8D"/>
    <w:rsid w:val="00BF5F64"/>
    <w:rsid w:val="00BF616F"/>
    <w:rsid w:val="00C00B13"/>
    <w:rsid w:val="00C00EE1"/>
    <w:rsid w:val="00C0384D"/>
    <w:rsid w:val="00C03C90"/>
    <w:rsid w:val="00C04442"/>
    <w:rsid w:val="00C1022B"/>
    <w:rsid w:val="00C10447"/>
    <w:rsid w:val="00C1187E"/>
    <w:rsid w:val="00C128A0"/>
    <w:rsid w:val="00C142C8"/>
    <w:rsid w:val="00C15D32"/>
    <w:rsid w:val="00C166F7"/>
    <w:rsid w:val="00C205DB"/>
    <w:rsid w:val="00C2159E"/>
    <w:rsid w:val="00C216A9"/>
    <w:rsid w:val="00C21D03"/>
    <w:rsid w:val="00C24E53"/>
    <w:rsid w:val="00C253B9"/>
    <w:rsid w:val="00C25B27"/>
    <w:rsid w:val="00C309EC"/>
    <w:rsid w:val="00C30C90"/>
    <w:rsid w:val="00C3265D"/>
    <w:rsid w:val="00C32FA6"/>
    <w:rsid w:val="00C32FA9"/>
    <w:rsid w:val="00C3420D"/>
    <w:rsid w:val="00C34CD8"/>
    <w:rsid w:val="00C34E5D"/>
    <w:rsid w:val="00C3799C"/>
    <w:rsid w:val="00C41CC9"/>
    <w:rsid w:val="00C44B05"/>
    <w:rsid w:val="00C45264"/>
    <w:rsid w:val="00C452CE"/>
    <w:rsid w:val="00C46F19"/>
    <w:rsid w:val="00C518B8"/>
    <w:rsid w:val="00C53893"/>
    <w:rsid w:val="00C539EC"/>
    <w:rsid w:val="00C53B49"/>
    <w:rsid w:val="00C55CE9"/>
    <w:rsid w:val="00C57F52"/>
    <w:rsid w:val="00C605E3"/>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43E9"/>
    <w:rsid w:val="00C75CF1"/>
    <w:rsid w:val="00C76B72"/>
    <w:rsid w:val="00C84725"/>
    <w:rsid w:val="00C90033"/>
    <w:rsid w:val="00C9033A"/>
    <w:rsid w:val="00C92C93"/>
    <w:rsid w:val="00C93D81"/>
    <w:rsid w:val="00CA3AC3"/>
    <w:rsid w:val="00CA474A"/>
    <w:rsid w:val="00CA4E1C"/>
    <w:rsid w:val="00CA6A4C"/>
    <w:rsid w:val="00CA6D91"/>
    <w:rsid w:val="00CB0646"/>
    <w:rsid w:val="00CB2848"/>
    <w:rsid w:val="00CB2BB0"/>
    <w:rsid w:val="00CB4647"/>
    <w:rsid w:val="00CB48B2"/>
    <w:rsid w:val="00CB4F58"/>
    <w:rsid w:val="00CB5153"/>
    <w:rsid w:val="00CB5267"/>
    <w:rsid w:val="00CC00CD"/>
    <w:rsid w:val="00CC1E8F"/>
    <w:rsid w:val="00CC2908"/>
    <w:rsid w:val="00CC5461"/>
    <w:rsid w:val="00CC5C83"/>
    <w:rsid w:val="00CC6744"/>
    <w:rsid w:val="00CC704B"/>
    <w:rsid w:val="00CD0EFB"/>
    <w:rsid w:val="00CD1D8A"/>
    <w:rsid w:val="00CD2181"/>
    <w:rsid w:val="00CD2F68"/>
    <w:rsid w:val="00CD2FA0"/>
    <w:rsid w:val="00CD56AA"/>
    <w:rsid w:val="00CD66DC"/>
    <w:rsid w:val="00CD76F0"/>
    <w:rsid w:val="00CD7776"/>
    <w:rsid w:val="00CE1E9A"/>
    <w:rsid w:val="00CE5E5B"/>
    <w:rsid w:val="00CE65B0"/>
    <w:rsid w:val="00CE68C6"/>
    <w:rsid w:val="00CE762D"/>
    <w:rsid w:val="00CF1F83"/>
    <w:rsid w:val="00CF29EA"/>
    <w:rsid w:val="00CF2ABC"/>
    <w:rsid w:val="00CF40C0"/>
    <w:rsid w:val="00CF478D"/>
    <w:rsid w:val="00CF6D74"/>
    <w:rsid w:val="00D0147E"/>
    <w:rsid w:val="00D01BC9"/>
    <w:rsid w:val="00D035F8"/>
    <w:rsid w:val="00D05420"/>
    <w:rsid w:val="00D06915"/>
    <w:rsid w:val="00D06ADE"/>
    <w:rsid w:val="00D1574C"/>
    <w:rsid w:val="00D15B6E"/>
    <w:rsid w:val="00D16312"/>
    <w:rsid w:val="00D16E39"/>
    <w:rsid w:val="00D2246B"/>
    <w:rsid w:val="00D234DF"/>
    <w:rsid w:val="00D246C2"/>
    <w:rsid w:val="00D27700"/>
    <w:rsid w:val="00D27E00"/>
    <w:rsid w:val="00D305BD"/>
    <w:rsid w:val="00D30743"/>
    <w:rsid w:val="00D32D01"/>
    <w:rsid w:val="00D32E17"/>
    <w:rsid w:val="00D32EBE"/>
    <w:rsid w:val="00D345B5"/>
    <w:rsid w:val="00D34731"/>
    <w:rsid w:val="00D3720F"/>
    <w:rsid w:val="00D40D8E"/>
    <w:rsid w:val="00D40FAB"/>
    <w:rsid w:val="00D41158"/>
    <w:rsid w:val="00D41D66"/>
    <w:rsid w:val="00D4348E"/>
    <w:rsid w:val="00D44FB5"/>
    <w:rsid w:val="00D4574F"/>
    <w:rsid w:val="00D4699F"/>
    <w:rsid w:val="00D50075"/>
    <w:rsid w:val="00D51603"/>
    <w:rsid w:val="00D52820"/>
    <w:rsid w:val="00D52B6D"/>
    <w:rsid w:val="00D5365B"/>
    <w:rsid w:val="00D54877"/>
    <w:rsid w:val="00D553D7"/>
    <w:rsid w:val="00D567A9"/>
    <w:rsid w:val="00D56991"/>
    <w:rsid w:val="00D6034C"/>
    <w:rsid w:val="00D6361B"/>
    <w:rsid w:val="00D64A4A"/>
    <w:rsid w:val="00D65DDA"/>
    <w:rsid w:val="00D709EF"/>
    <w:rsid w:val="00D72E9D"/>
    <w:rsid w:val="00D73430"/>
    <w:rsid w:val="00D747D7"/>
    <w:rsid w:val="00D74C23"/>
    <w:rsid w:val="00D74C57"/>
    <w:rsid w:val="00D77187"/>
    <w:rsid w:val="00D82CE5"/>
    <w:rsid w:val="00D8507B"/>
    <w:rsid w:val="00D855EC"/>
    <w:rsid w:val="00D85B4F"/>
    <w:rsid w:val="00D914DA"/>
    <w:rsid w:val="00D91B83"/>
    <w:rsid w:val="00D91DB7"/>
    <w:rsid w:val="00D9271F"/>
    <w:rsid w:val="00D936D0"/>
    <w:rsid w:val="00D93E4B"/>
    <w:rsid w:val="00D9433E"/>
    <w:rsid w:val="00D94DAE"/>
    <w:rsid w:val="00D95624"/>
    <w:rsid w:val="00D97469"/>
    <w:rsid w:val="00DA0439"/>
    <w:rsid w:val="00DA0775"/>
    <w:rsid w:val="00DA311A"/>
    <w:rsid w:val="00DA5AB1"/>
    <w:rsid w:val="00DA6FB5"/>
    <w:rsid w:val="00DA7425"/>
    <w:rsid w:val="00DB11B2"/>
    <w:rsid w:val="00DB1204"/>
    <w:rsid w:val="00DB3B65"/>
    <w:rsid w:val="00DB5599"/>
    <w:rsid w:val="00DB5918"/>
    <w:rsid w:val="00DB6907"/>
    <w:rsid w:val="00DB710D"/>
    <w:rsid w:val="00DC08E1"/>
    <w:rsid w:val="00DC1AB6"/>
    <w:rsid w:val="00DC36CE"/>
    <w:rsid w:val="00DC3CF1"/>
    <w:rsid w:val="00DC3EF6"/>
    <w:rsid w:val="00DC53D7"/>
    <w:rsid w:val="00DC5DE5"/>
    <w:rsid w:val="00DC6019"/>
    <w:rsid w:val="00DC62E5"/>
    <w:rsid w:val="00DD002F"/>
    <w:rsid w:val="00DD514A"/>
    <w:rsid w:val="00DD5FCE"/>
    <w:rsid w:val="00DD6C91"/>
    <w:rsid w:val="00DD735D"/>
    <w:rsid w:val="00DE057F"/>
    <w:rsid w:val="00DE100A"/>
    <w:rsid w:val="00DE1A24"/>
    <w:rsid w:val="00DE3119"/>
    <w:rsid w:val="00DE3771"/>
    <w:rsid w:val="00DE53B3"/>
    <w:rsid w:val="00DE540F"/>
    <w:rsid w:val="00DE6076"/>
    <w:rsid w:val="00DE63CA"/>
    <w:rsid w:val="00DE6469"/>
    <w:rsid w:val="00DF09A8"/>
    <w:rsid w:val="00DF107A"/>
    <w:rsid w:val="00DF167C"/>
    <w:rsid w:val="00DF198C"/>
    <w:rsid w:val="00DF236B"/>
    <w:rsid w:val="00DF25B5"/>
    <w:rsid w:val="00DF3197"/>
    <w:rsid w:val="00DF3271"/>
    <w:rsid w:val="00DF42F1"/>
    <w:rsid w:val="00DF59D6"/>
    <w:rsid w:val="00DF6105"/>
    <w:rsid w:val="00DF7ACB"/>
    <w:rsid w:val="00E01639"/>
    <w:rsid w:val="00E01F0B"/>
    <w:rsid w:val="00E0222A"/>
    <w:rsid w:val="00E03888"/>
    <w:rsid w:val="00E05934"/>
    <w:rsid w:val="00E07BC7"/>
    <w:rsid w:val="00E10A23"/>
    <w:rsid w:val="00E1123E"/>
    <w:rsid w:val="00E118A0"/>
    <w:rsid w:val="00E1209F"/>
    <w:rsid w:val="00E126C1"/>
    <w:rsid w:val="00E1277F"/>
    <w:rsid w:val="00E129E9"/>
    <w:rsid w:val="00E13AB8"/>
    <w:rsid w:val="00E13C3F"/>
    <w:rsid w:val="00E14CEA"/>
    <w:rsid w:val="00E1511F"/>
    <w:rsid w:val="00E16BBA"/>
    <w:rsid w:val="00E173AD"/>
    <w:rsid w:val="00E17E1B"/>
    <w:rsid w:val="00E20955"/>
    <w:rsid w:val="00E214DF"/>
    <w:rsid w:val="00E25651"/>
    <w:rsid w:val="00E25D1B"/>
    <w:rsid w:val="00E267C6"/>
    <w:rsid w:val="00E2690F"/>
    <w:rsid w:val="00E26CA4"/>
    <w:rsid w:val="00E275BF"/>
    <w:rsid w:val="00E312B1"/>
    <w:rsid w:val="00E32050"/>
    <w:rsid w:val="00E322D7"/>
    <w:rsid w:val="00E3250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E54"/>
    <w:rsid w:val="00E66D8E"/>
    <w:rsid w:val="00E67EC8"/>
    <w:rsid w:val="00E71BA4"/>
    <w:rsid w:val="00E7204B"/>
    <w:rsid w:val="00E728F0"/>
    <w:rsid w:val="00E72932"/>
    <w:rsid w:val="00E773CD"/>
    <w:rsid w:val="00E822B0"/>
    <w:rsid w:val="00E8603F"/>
    <w:rsid w:val="00E86340"/>
    <w:rsid w:val="00E86589"/>
    <w:rsid w:val="00E86805"/>
    <w:rsid w:val="00E932D4"/>
    <w:rsid w:val="00E932EF"/>
    <w:rsid w:val="00E93D64"/>
    <w:rsid w:val="00E93F32"/>
    <w:rsid w:val="00E9469D"/>
    <w:rsid w:val="00E97868"/>
    <w:rsid w:val="00E97974"/>
    <w:rsid w:val="00E97A9B"/>
    <w:rsid w:val="00E97ED9"/>
    <w:rsid w:val="00EA0062"/>
    <w:rsid w:val="00EA10F0"/>
    <w:rsid w:val="00EA1D29"/>
    <w:rsid w:val="00EA2E32"/>
    <w:rsid w:val="00EA49E7"/>
    <w:rsid w:val="00EA5627"/>
    <w:rsid w:val="00EA7FF3"/>
    <w:rsid w:val="00EB0667"/>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EEA"/>
    <w:rsid w:val="00EC35C7"/>
    <w:rsid w:val="00EC4003"/>
    <w:rsid w:val="00EC69AE"/>
    <w:rsid w:val="00ED0712"/>
    <w:rsid w:val="00ED1923"/>
    <w:rsid w:val="00ED1B3B"/>
    <w:rsid w:val="00ED1CBE"/>
    <w:rsid w:val="00ED23DD"/>
    <w:rsid w:val="00ED29ED"/>
    <w:rsid w:val="00ED41FD"/>
    <w:rsid w:val="00ED4F9F"/>
    <w:rsid w:val="00ED520C"/>
    <w:rsid w:val="00EE21CC"/>
    <w:rsid w:val="00EE2FB0"/>
    <w:rsid w:val="00EE461A"/>
    <w:rsid w:val="00EE4899"/>
    <w:rsid w:val="00EE5B35"/>
    <w:rsid w:val="00EE5BFD"/>
    <w:rsid w:val="00EE5D34"/>
    <w:rsid w:val="00EE6725"/>
    <w:rsid w:val="00EE759C"/>
    <w:rsid w:val="00EE7AB2"/>
    <w:rsid w:val="00EE7F0C"/>
    <w:rsid w:val="00EF0630"/>
    <w:rsid w:val="00EF16B4"/>
    <w:rsid w:val="00EF1743"/>
    <w:rsid w:val="00EF2AB2"/>
    <w:rsid w:val="00EF2B13"/>
    <w:rsid w:val="00EF2DE9"/>
    <w:rsid w:val="00EF51AA"/>
    <w:rsid w:val="00EF74C8"/>
    <w:rsid w:val="00EF795E"/>
    <w:rsid w:val="00F0016A"/>
    <w:rsid w:val="00F00368"/>
    <w:rsid w:val="00F00C5A"/>
    <w:rsid w:val="00F043F9"/>
    <w:rsid w:val="00F06271"/>
    <w:rsid w:val="00F069A3"/>
    <w:rsid w:val="00F06DDB"/>
    <w:rsid w:val="00F07E74"/>
    <w:rsid w:val="00F106B5"/>
    <w:rsid w:val="00F11757"/>
    <w:rsid w:val="00F118CE"/>
    <w:rsid w:val="00F12FEC"/>
    <w:rsid w:val="00F16EAD"/>
    <w:rsid w:val="00F2171E"/>
    <w:rsid w:val="00F24737"/>
    <w:rsid w:val="00F26416"/>
    <w:rsid w:val="00F265D4"/>
    <w:rsid w:val="00F337D5"/>
    <w:rsid w:val="00F33ED0"/>
    <w:rsid w:val="00F35235"/>
    <w:rsid w:val="00F35EF3"/>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4BB6"/>
    <w:rsid w:val="00F6506D"/>
    <w:rsid w:val="00F70AE0"/>
    <w:rsid w:val="00F71F4A"/>
    <w:rsid w:val="00F71F95"/>
    <w:rsid w:val="00F727D9"/>
    <w:rsid w:val="00F72FBA"/>
    <w:rsid w:val="00F740F2"/>
    <w:rsid w:val="00F74230"/>
    <w:rsid w:val="00F74527"/>
    <w:rsid w:val="00F75589"/>
    <w:rsid w:val="00F755D0"/>
    <w:rsid w:val="00F768DE"/>
    <w:rsid w:val="00F77649"/>
    <w:rsid w:val="00F8136F"/>
    <w:rsid w:val="00F8234B"/>
    <w:rsid w:val="00F84899"/>
    <w:rsid w:val="00F84B03"/>
    <w:rsid w:val="00F84BB3"/>
    <w:rsid w:val="00F859F0"/>
    <w:rsid w:val="00F865F7"/>
    <w:rsid w:val="00F87C4D"/>
    <w:rsid w:val="00F92088"/>
    <w:rsid w:val="00F94599"/>
    <w:rsid w:val="00F97E35"/>
    <w:rsid w:val="00FA04B9"/>
    <w:rsid w:val="00FA09F6"/>
    <w:rsid w:val="00FA0FF5"/>
    <w:rsid w:val="00FA1BED"/>
    <w:rsid w:val="00FA2B40"/>
    <w:rsid w:val="00FA4E11"/>
    <w:rsid w:val="00FA579D"/>
    <w:rsid w:val="00FA5E74"/>
    <w:rsid w:val="00FA6021"/>
    <w:rsid w:val="00FA7233"/>
    <w:rsid w:val="00FB2446"/>
    <w:rsid w:val="00FB42D2"/>
    <w:rsid w:val="00FB6205"/>
    <w:rsid w:val="00FC2A12"/>
    <w:rsid w:val="00FC2A7E"/>
    <w:rsid w:val="00FC2DE9"/>
    <w:rsid w:val="00FC3402"/>
    <w:rsid w:val="00FC3C08"/>
    <w:rsid w:val="00FC7738"/>
    <w:rsid w:val="00FD1D04"/>
    <w:rsid w:val="00FD2262"/>
    <w:rsid w:val="00FD3007"/>
    <w:rsid w:val="00FD38C9"/>
    <w:rsid w:val="00FD3AB4"/>
    <w:rsid w:val="00FD4D51"/>
    <w:rsid w:val="00FD5AF7"/>
    <w:rsid w:val="00FD602A"/>
    <w:rsid w:val="00FD75F3"/>
    <w:rsid w:val="00FD79B7"/>
    <w:rsid w:val="00FE141E"/>
    <w:rsid w:val="00FE2AAC"/>
    <w:rsid w:val="00FE306B"/>
    <w:rsid w:val="00FE3140"/>
    <w:rsid w:val="00FE49F4"/>
    <w:rsid w:val="00FE6739"/>
    <w:rsid w:val="00FF131D"/>
    <w:rsid w:val="00FF1902"/>
    <w:rsid w:val="00FF25AA"/>
    <w:rsid w:val="00FF3F79"/>
    <w:rsid w:val="00FF4DDD"/>
    <w:rsid w:val="00FF537A"/>
    <w:rsid w:val="00FF7D32"/>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baj">
    <w:name w:val="b_aj"/>
    <w:basedOn w:val="Fuentedeprrafopredeter"/>
    <w:rsid w:val="009A374F"/>
  </w:style>
  <w:style w:type="paragraph" w:customStyle="1" w:styleId="Appelnotedebasde">
    <w:name w:val="Appel note de bas de..."/>
    <w:basedOn w:val="Normal"/>
    <w:link w:val="Refdenotaalpie"/>
    <w:uiPriority w:val="99"/>
    <w:rsid w:val="00F06271"/>
    <w:pPr>
      <w:spacing w:after="160" w:line="240" w:lineRule="exact"/>
    </w:pPr>
    <w:rPr>
      <w:rFonts w:asciiTheme="minorHAnsi" w:eastAsiaTheme="minorHAnsi" w:hAnsiTheme="minorHAnsi" w:cstheme="minorBidi"/>
      <w:sz w:val="22"/>
      <w:vertAlign w:val="superscript"/>
      <w:lang w:val="es-CO"/>
    </w:rPr>
  </w:style>
  <w:style w:type="paragraph" w:customStyle="1" w:styleId="Normal11pt">
    <w:name w:val="Normal + 11 pt"/>
    <w:aliases w:val="Negro,Justificado,Izquierda:  -0,95 cm,Derecha:  0,04 cm"/>
    <w:basedOn w:val="Normal"/>
    <w:uiPriority w:val="99"/>
    <w:rsid w:val="00F06271"/>
    <w:pPr>
      <w:ind w:left="-540"/>
      <w:jc w:val="both"/>
    </w:pPr>
    <w:rPr>
      <w:rFonts w:ascii="Arial" w:eastAsia="Times New Roman" w:hAnsi="Arial" w:cs="Arial"/>
      <w:color w:val="000000"/>
      <w:sz w:val="22"/>
      <w:lang w:val="es-ES_tradnl" w:eastAsia="es-ES"/>
    </w:rPr>
  </w:style>
  <w:style w:type="paragraph" w:customStyle="1" w:styleId="Textoindependiente21">
    <w:name w:val="Texto independiente 21"/>
    <w:basedOn w:val="Normal"/>
    <w:rsid w:val="00D01BC9"/>
    <w:pPr>
      <w:suppressAutoHyphens/>
      <w:spacing w:line="360" w:lineRule="auto"/>
      <w:jc w:val="both"/>
    </w:pPr>
    <w:rPr>
      <w:rFonts w:ascii="Century Gothic" w:eastAsia="Times New Roman" w:hAnsi="Century Gothic"/>
      <w:b/>
      <w:bCs/>
      <w:sz w:val="22"/>
      <w:szCs w:val="24"/>
      <w:lang w:val="es-ES" w:eastAsia="ar-SA"/>
    </w:rPr>
  </w:style>
  <w:style w:type="character" w:styleId="Textoennegrita">
    <w:name w:val="Strong"/>
    <w:basedOn w:val="Fuentedeprrafopredeter"/>
    <w:uiPriority w:val="22"/>
    <w:qFormat/>
    <w:rsid w:val="00C12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5213">
      <w:bodyDiv w:val="1"/>
      <w:marLeft w:val="0"/>
      <w:marRight w:val="0"/>
      <w:marTop w:val="0"/>
      <w:marBottom w:val="0"/>
      <w:divBdr>
        <w:top w:val="none" w:sz="0" w:space="0" w:color="auto"/>
        <w:left w:val="none" w:sz="0" w:space="0" w:color="auto"/>
        <w:bottom w:val="none" w:sz="0" w:space="0" w:color="auto"/>
        <w:right w:val="none" w:sz="0" w:space="0" w:color="auto"/>
      </w:divBdr>
      <w:divsChild>
        <w:div w:id="1471556696">
          <w:marLeft w:val="0"/>
          <w:marRight w:val="0"/>
          <w:marTop w:val="0"/>
          <w:marBottom w:val="0"/>
          <w:divBdr>
            <w:top w:val="none" w:sz="0" w:space="0" w:color="auto"/>
            <w:left w:val="none" w:sz="0" w:space="0" w:color="auto"/>
            <w:bottom w:val="none" w:sz="0" w:space="0" w:color="auto"/>
            <w:right w:val="none" w:sz="0" w:space="0" w:color="auto"/>
          </w:divBdr>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4307267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186820639">
      <w:bodyDiv w:val="1"/>
      <w:marLeft w:val="0"/>
      <w:marRight w:val="0"/>
      <w:marTop w:val="0"/>
      <w:marBottom w:val="0"/>
      <w:divBdr>
        <w:top w:val="none" w:sz="0" w:space="0" w:color="auto"/>
        <w:left w:val="none" w:sz="0" w:space="0" w:color="auto"/>
        <w:bottom w:val="none" w:sz="0" w:space="0" w:color="auto"/>
        <w:right w:val="none" w:sz="0" w:space="0" w:color="auto"/>
      </w:divBdr>
      <w:divsChild>
        <w:div w:id="36322880">
          <w:marLeft w:val="0"/>
          <w:marRight w:val="0"/>
          <w:marTop w:val="0"/>
          <w:marBottom w:val="0"/>
          <w:divBdr>
            <w:top w:val="none" w:sz="0" w:space="0" w:color="auto"/>
            <w:left w:val="none" w:sz="0" w:space="0" w:color="auto"/>
            <w:bottom w:val="none" w:sz="0" w:space="0" w:color="auto"/>
            <w:right w:val="none" w:sz="0" w:space="0" w:color="auto"/>
          </w:divBdr>
        </w:div>
      </w:divsChild>
    </w:div>
    <w:div w:id="123839618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1703454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585258928">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170145">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4.xml><?xml version="1.0" encoding="utf-8"?>
<ds:datastoreItem xmlns:ds="http://schemas.openxmlformats.org/officeDocument/2006/customXml" ds:itemID="{828E3366-8303-4425-ACBB-3212F02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3</TotalTime>
  <Pages>13</Pages>
  <Words>4496</Words>
  <Characters>24732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JUAN CAMILO VESGA BONILLA</cp:lastModifiedBy>
  <cp:revision>3</cp:revision>
  <dcterms:created xsi:type="dcterms:W3CDTF">2021-04-20T12:59:00Z</dcterms:created>
  <dcterms:modified xsi:type="dcterms:W3CDTF">2021-04-23T22:00:00Z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