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127EBF"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127EBF">
        <w:rPr>
          <w:rFonts w:ascii="Arial" w:hAnsi="Arial" w:cs="Arial"/>
          <w:bCs/>
          <w:color w:val="000000" w:themeColor="text1"/>
          <w:sz w:val="16"/>
          <w:szCs w:val="16"/>
          <w:lang w:val="es-ES_tradnl" w:eastAsia="es-ES"/>
        </w:rPr>
        <w:t>CCE-DES-FM-17</w:t>
      </w:r>
      <w:bookmarkEnd w:id="0"/>
      <w:bookmarkEnd w:id="1"/>
    </w:p>
    <w:p w14:paraId="51FF09F5" w14:textId="77777777" w:rsidR="00034C76" w:rsidRPr="00127EBF" w:rsidRDefault="00034C76" w:rsidP="0015021F">
      <w:pPr>
        <w:jc w:val="both"/>
        <w:rPr>
          <w:rFonts w:ascii="Arial" w:eastAsia="Calibri" w:hAnsi="Arial" w:cs="Arial"/>
          <w:b/>
          <w:sz w:val="22"/>
          <w:lang w:val="es-ES_tradnl"/>
        </w:rPr>
      </w:pPr>
    </w:p>
    <w:p w14:paraId="482A9B69" w14:textId="1B27694A" w:rsidR="0015021F" w:rsidRPr="00A771BA" w:rsidRDefault="0015021F" w:rsidP="0015021F">
      <w:pPr>
        <w:jc w:val="both"/>
        <w:rPr>
          <w:rFonts w:ascii="Arial" w:eastAsia="Calibri" w:hAnsi="Arial" w:cs="Arial"/>
          <w:bCs/>
          <w:sz w:val="22"/>
          <w:lang w:val="es-ES_tradnl"/>
        </w:rPr>
      </w:pPr>
      <w:r w:rsidRPr="00A771BA">
        <w:rPr>
          <w:rFonts w:ascii="Arial" w:eastAsia="Calibri" w:hAnsi="Arial" w:cs="Arial"/>
          <w:b/>
          <w:sz w:val="22"/>
          <w:lang w:val="es-ES_tradnl"/>
        </w:rPr>
        <w:t>CONCEPTOS DE COLOMBIA COMPRA EFICIENTE – Obligatoriedad</w:t>
      </w:r>
    </w:p>
    <w:p w14:paraId="2598EC8E" w14:textId="77777777" w:rsidR="0015021F" w:rsidRPr="00127EBF" w:rsidRDefault="0015021F" w:rsidP="0015021F">
      <w:pPr>
        <w:jc w:val="both"/>
        <w:rPr>
          <w:rFonts w:ascii="Arial" w:hAnsi="Arial" w:cs="Arial"/>
          <w:sz w:val="22"/>
          <w:highlight w:val="yellow"/>
          <w:lang w:val="es-ES_tradnl"/>
        </w:rPr>
      </w:pPr>
    </w:p>
    <w:p w14:paraId="01BA29B2" w14:textId="1692932C" w:rsidR="0015021F" w:rsidRPr="00127EBF" w:rsidRDefault="00A771BA" w:rsidP="0015021F">
      <w:pPr>
        <w:pStyle w:val="Prrafodelista"/>
        <w:ind w:left="0"/>
        <w:jc w:val="both"/>
        <w:rPr>
          <w:rFonts w:ascii="Arial" w:eastAsia="Calibri" w:hAnsi="Arial" w:cs="Arial"/>
          <w:sz w:val="20"/>
          <w:szCs w:val="20"/>
          <w:highlight w:val="yellow"/>
          <w:lang w:val="es-ES_tradnl"/>
        </w:rPr>
      </w:pPr>
      <w:r w:rsidRPr="00A771BA">
        <w:rPr>
          <w:rFonts w:ascii="Arial" w:eastAsia="Calibri" w:hAnsi="Arial" w:cs="Arial"/>
          <w:sz w:val="20"/>
          <w:szCs w:val="20"/>
          <w:lang w:val="es-ES_tradnl"/>
        </w:rPr>
        <w:t>La ley es clara cuando establece que los conceptos, emitidos por las autoridades al responder peticiones realizadas en ejercicio del derecho a formular consultas, no son de obligatorio cumplimiento o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p>
    <w:p w14:paraId="6B7783AF" w14:textId="77777777" w:rsidR="00A771BA" w:rsidRDefault="00A771BA" w:rsidP="0015021F">
      <w:pPr>
        <w:jc w:val="both"/>
        <w:rPr>
          <w:rFonts w:ascii="Arial" w:eastAsia="Calibri" w:hAnsi="Arial" w:cs="Arial"/>
          <w:b/>
          <w:sz w:val="22"/>
          <w:highlight w:val="yellow"/>
          <w:lang w:val="es-ES_tradnl"/>
        </w:rPr>
      </w:pPr>
    </w:p>
    <w:p w14:paraId="5DDE3926" w14:textId="62C3AC69" w:rsidR="0015021F" w:rsidRPr="00052F96" w:rsidRDefault="0015021F" w:rsidP="0015021F">
      <w:pPr>
        <w:jc w:val="both"/>
        <w:rPr>
          <w:rFonts w:ascii="Arial" w:eastAsia="Calibri" w:hAnsi="Arial" w:cs="Arial"/>
          <w:bCs/>
          <w:sz w:val="22"/>
          <w:lang w:val="es-ES_tradnl"/>
        </w:rPr>
      </w:pPr>
      <w:r w:rsidRPr="00052F96">
        <w:rPr>
          <w:rFonts w:ascii="Arial" w:eastAsia="Calibri" w:hAnsi="Arial" w:cs="Arial"/>
          <w:b/>
          <w:sz w:val="22"/>
          <w:lang w:val="es-ES_tradnl"/>
        </w:rPr>
        <w:t xml:space="preserve">FUNCIÓN CONSULTIVA </w:t>
      </w:r>
      <w:r w:rsidR="00435FDD" w:rsidRPr="00A771BA">
        <w:rPr>
          <w:rFonts w:ascii="Arial" w:eastAsia="Calibri" w:hAnsi="Arial" w:cs="Arial"/>
          <w:b/>
          <w:sz w:val="22"/>
          <w:lang w:val="es-ES_tradnl"/>
        </w:rPr>
        <w:t>–</w:t>
      </w:r>
      <w:r w:rsidRPr="00052F96">
        <w:rPr>
          <w:rFonts w:ascii="Arial" w:eastAsia="Calibri" w:hAnsi="Arial" w:cs="Arial"/>
          <w:b/>
          <w:sz w:val="22"/>
          <w:lang w:val="es-ES_tradnl"/>
        </w:rPr>
        <w:t xml:space="preserve"> Alcance</w:t>
      </w:r>
    </w:p>
    <w:p w14:paraId="31435C72" w14:textId="77777777" w:rsidR="0015021F" w:rsidRPr="00127EBF" w:rsidRDefault="0015021F" w:rsidP="0015021F">
      <w:pPr>
        <w:jc w:val="both"/>
        <w:rPr>
          <w:rFonts w:ascii="Arial" w:hAnsi="Arial" w:cs="Arial"/>
          <w:sz w:val="22"/>
          <w:highlight w:val="yellow"/>
          <w:lang w:val="es-ES_tradnl"/>
        </w:rPr>
      </w:pPr>
    </w:p>
    <w:p w14:paraId="24478310" w14:textId="77777777" w:rsidR="008D5FEB" w:rsidRPr="008D5FEB" w:rsidRDefault="008D5FEB" w:rsidP="008D5FEB">
      <w:pPr>
        <w:pStyle w:val="Prrafodelista"/>
        <w:ind w:left="0"/>
        <w:jc w:val="both"/>
        <w:rPr>
          <w:rFonts w:ascii="Arial" w:eastAsia="Calibri" w:hAnsi="Arial" w:cs="Arial"/>
          <w:sz w:val="20"/>
          <w:szCs w:val="20"/>
          <w:lang w:val="es-ES_tradnl"/>
        </w:rPr>
      </w:pPr>
      <w:r w:rsidRPr="008D5FEB">
        <w:rPr>
          <w:rFonts w:ascii="Arial" w:eastAsia="Calibri" w:hAnsi="Arial" w:cs="Arial"/>
          <w:sz w:val="20"/>
          <w:szCs w:val="20"/>
          <w:lang w:val="es-ES_tradnl"/>
        </w:rPr>
        <w:t xml:space="preserve">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14:paraId="71F50D28" w14:textId="77777777" w:rsidR="0015021F" w:rsidRPr="00127EBF" w:rsidRDefault="0015021F" w:rsidP="0015021F">
      <w:pPr>
        <w:pStyle w:val="Prrafodelista"/>
        <w:ind w:left="0"/>
        <w:jc w:val="both"/>
        <w:rPr>
          <w:rFonts w:ascii="Arial" w:eastAsia="Calibri" w:hAnsi="Arial" w:cs="Arial"/>
          <w:sz w:val="20"/>
          <w:szCs w:val="20"/>
          <w:highlight w:val="yellow"/>
          <w:lang w:val="es-ES_tradnl"/>
        </w:rPr>
      </w:pPr>
    </w:p>
    <w:p w14:paraId="61069E7C" w14:textId="2BAA2449" w:rsidR="0015021F" w:rsidRPr="008D5FEB" w:rsidRDefault="0015021F" w:rsidP="0015021F">
      <w:pPr>
        <w:jc w:val="both"/>
        <w:rPr>
          <w:rFonts w:ascii="Arial" w:eastAsia="Calibri" w:hAnsi="Arial" w:cs="Arial"/>
          <w:sz w:val="22"/>
          <w:lang w:val="es-ES_tradnl"/>
        </w:rPr>
      </w:pPr>
      <w:r w:rsidRPr="008D5FEB">
        <w:rPr>
          <w:rFonts w:ascii="Arial" w:eastAsia="Calibri" w:hAnsi="Arial" w:cs="Arial"/>
          <w:b/>
          <w:bCs/>
          <w:sz w:val="22"/>
          <w:szCs w:val="22"/>
          <w:lang w:val="es-ES_tradnl"/>
        </w:rPr>
        <w:t xml:space="preserve">CONCEPTOS DE COLOMBIA COMPRA EFICIENTE – </w:t>
      </w:r>
      <w:r w:rsidR="008D5FEB">
        <w:rPr>
          <w:rFonts w:ascii="Arial" w:eastAsia="Calibri" w:hAnsi="Arial" w:cs="Arial"/>
          <w:b/>
          <w:bCs/>
          <w:sz w:val="22"/>
          <w:szCs w:val="22"/>
          <w:lang w:val="es-ES_tradnl"/>
        </w:rPr>
        <w:t>Revocación directa</w:t>
      </w:r>
      <w:r w:rsidRPr="008D5FEB">
        <w:rPr>
          <w:rFonts w:ascii="Arial" w:eastAsia="Calibri" w:hAnsi="Arial" w:cs="Arial"/>
          <w:b/>
          <w:bCs/>
          <w:sz w:val="22"/>
          <w:szCs w:val="22"/>
          <w:lang w:val="es-ES_tradnl"/>
        </w:rPr>
        <w:t xml:space="preserve"> </w:t>
      </w:r>
      <w:r w:rsidRPr="008D5FEB">
        <w:rPr>
          <w:rFonts w:ascii="Arial" w:eastAsia="Arial" w:hAnsi="Arial" w:cs="Arial"/>
          <w:b/>
          <w:bCs/>
          <w:sz w:val="22"/>
          <w:szCs w:val="22"/>
          <w:lang w:val="es-ES_tradnl"/>
        </w:rPr>
        <w:t xml:space="preserve">– </w:t>
      </w:r>
      <w:r w:rsidR="008D5FEB">
        <w:rPr>
          <w:rFonts w:ascii="Arial" w:eastAsia="Arial" w:hAnsi="Arial" w:cs="Arial"/>
          <w:b/>
          <w:bCs/>
          <w:sz w:val="22"/>
          <w:szCs w:val="22"/>
          <w:lang w:val="es-ES_tradnl"/>
        </w:rPr>
        <w:t>Improcedencia</w:t>
      </w:r>
    </w:p>
    <w:p w14:paraId="55FAD2F0" w14:textId="77777777" w:rsidR="0015021F" w:rsidRPr="00127EBF" w:rsidRDefault="0015021F" w:rsidP="0015021F">
      <w:pPr>
        <w:jc w:val="both"/>
        <w:rPr>
          <w:rFonts w:ascii="Arial" w:hAnsi="Arial" w:cs="Arial"/>
          <w:sz w:val="22"/>
          <w:highlight w:val="yellow"/>
          <w:lang w:val="es-ES_tradnl"/>
        </w:rPr>
      </w:pPr>
    </w:p>
    <w:p w14:paraId="4040A963" w14:textId="2E3ACB2B" w:rsidR="008D5FEB" w:rsidRPr="008D5FEB" w:rsidRDefault="008D5FEB" w:rsidP="008D5FEB">
      <w:pPr>
        <w:tabs>
          <w:tab w:val="left" w:pos="709"/>
        </w:tabs>
        <w:jc w:val="both"/>
        <w:rPr>
          <w:rFonts w:ascii="Arial" w:eastAsia="Calibri" w:hAnsi="Arial" w:cs="Arial"/>
          <w:bCs/>
          <w:sz w:val="20"/>
          <w:szCs w:val="20"/>
          <w:lang w:val="es-ES_tradnl"/>
        </w:rPr>
      </w:pPr>
      <w:r w:rsidRPr="008D5FEB">
        <w:rPr>
          <w:rFonts w:ascii="Arial" w:eastAsia="Calibri" w:hAnsi="Arial" w:cs="Arial"/>
          <w:bCs/>
          <w:sz w:val="20"/>
          <w:szCs w:val="20"/>
          <w:lang w:val="es-ES_tradnl"/>
        </w:rPr>
        <w:t xml:space="preserve">Así las cosas, Colombia Compra Eficiente considera que no hay lugar a acceder, por ejemplo, a solicitudes de </w:t>
      </w:r>
      <w:r w:rsidRPr="008D5FEB">
        <w:rPr>
          <w:rFonts w:ascii="Arial" w:eastAsia="Calibri" w:hAnsi="Arial" w:cs="Arial"/>
          <w:bCs/>
          <w:i/>
          <w:iCs/>
          <w:sz w:val="20"/>
          <w:szCs w:val="20"/>
          <w:lang w:val="es-ES_tradnl"/>
        </w:rPr>
        <w:t>revocación directa</w:t>
      </w:r>
      <w:r w:rsidRPr="008D5FEB">
        <w:rPr>
          <w:rFonts w:ascii="Arial" w:eastAsia="Calibri" w:hAnsi="Arial" w:cs="Arial"/>
          <w:bCs/>
          <w:sz w:val="20"/>
          <w:szCs w:val="20"/>
          <w:lang w:val="es-ES_tradnl"/>
        </w:rPr>
        <w:t xml:space="preserve"> de los conceptos, pues no son actos administrativos, no tienen efectos vinculantes en relación con una situación jurídica particular y concreta, y exponen un criterio que, aunque jurídicamente fundamentado, no representan necesariamente la </w:t>
      </w:r>
      <w:r w:rsidRPr="008D5FEB">
        <w:rPr>
          <w:rFonts w:ascii="Arial" w:eastAsia="Calibri" w:hAnsi="Arial" w:cs="Arial"/>
          <w:bCs/>
          <w:i/>
          <w:iCs/>
          <w:sz w:val="20"/>
          <w:szCs w:val="20"/>
          <w:lang w:val="es-ES_tradnl"/>
        </w:rPr>
        <w:t>única</w:t>
      </w:r>
      <w:r w:rsidRPr="008D5FEB">
        <w:rPr>
          <w:rFonts w:ascii="Arial" w:eastAsia="Calibri" w:hAnsi="Arial" w:cs="Arial"/>
          <w:bCs/>
          <w:sz w:val="20"/>
          <w:szCs w:val="20"/>
          <w:lang w:val="es-ES_tradnl"/>
        </w:rPr>
        <w:t xml:space="preserve"> interpretación válida del ordenamiento jurídico. Lo anterior no implica que la Agencia Nacional de Contratación Pública – Colombia Compra Eficiente considere inalterables sus posturas, pues, de ser necesario, podría replantear una tesis previamente expuesta, bajo estrictos estándares argumentativos, al emitir otro concepto, ya que, dada su falta de vinculatoriedad, la legitimación de sus posturas proviene de la fuerza de los argumentos. </w:t>
      </w:r>
    </w:p>
    <w:p w14:paraId="182788F3" w14:textId="77777777" w:rsidR="0015021F" w:rsidRPr="00127EBF" w:rsidRDefault="0015021F" w:rsidP="0015021F">
      <w:pPr>
        <w:jc w:val="both"/>
        <w:rPr>
          <w:rFonts w:ascii="Arial" w:eastAsia="Calibri" w:hAnsi="Arial" w:cs="Arial"/>
          <w:sz w:val="20"/>
          <w:szCs w:val="20"/>
          <w:highlight w:val="yellow"/>
          <w:lang w:val="es-ES_tradnl"/>
        </w:rPr>
      </w:pPr>
    </w:p>
    <w:p w14:paraId="3FBD96C3" w14:textId="77777777" w:rsidR="0015021F" w:rsidRPr="0079498E" w:rsidRDefault="0015021F" w:rsidP="0015021F">
      <w:pPr>
        <w:jc w:val="both"/>
        <w:rPr>
          <w:rFonts w:ascii="Arial" w:eastAsia="Calibri" w:hAnsi="Arial" w:cs="Arial"/>
          <w:bCs/>
          <w:sz w:val="22"/>
          <w:lang w:val="es-ES_tradnl"/>
        </w:rPr>
      </w:pPr>
      <w:r w:rsidRPr="0079498E">
        <w:rPr>
          <w:rFonts w:ascii="Arial" w:eastAsia="Calibri" w:hAnsi="Arial" w:cs="Arial"/>
          <w:b/>
          <w:sz w:val="22"/>
          <w:lang w:val="es-ES_tradnl"/>
        </w:rPr>
        <w:t>FUNCIÓN CONSULTIVA – Objeto</w:t>
      </w:r>
    </w:p>
    <w:p w14:paraId="674D916D" w14:textId="77777777" w:rsidR="0015021F" w:rsidRPr="00127EBF" w:rsidRDefault="0015021F" w:rsidP="0015021F">
      <w:pPr>
        <w:jc w:val="both"/>
        <w:rPr>
          <w:rFonts w:ascii="Arial" w:hAnsi="Arial" w:cs="Arial"/>
          <w:sz w:val="22"/>
          <w:highlight w:val="yellow"/>
          <w:lang w:val="es-ES_tradnl"/>
        </w:rPr>
      </w:pPr>
    </w:p>
    <w:p w14:paraId="6F20306D" w14:textId="77777777" w:rsidR="0079498E" w:rsidRPr="0079498E" w:rsidRDefault="0079498E" w:rsidP="0079498E">
      <w:pPr>
        <w:tabs>
          <w:tab w:val="left" w:pos="0"/>
        </w:tabs>
        <w:jc w:val="both"/>
        <w:rPr>
          <w:rFonts w:ascii="Arial" w:eastAsia="Calibri" w:hAnsi="Arial" w:cs="Arial"/>
          <w:color w:val="000000" w:themeColor="text1"/>
          <w:sz w:val="20"/>
          <w:szCs w:val="20"/>
          <w:lang w:val="es-ES_tradnl"/>
        </w:rPr>
      </w:pPr>
      <w:r w:rsidRPr="0079498E">
        <w:rPr>
          <w:rFonts w:ascii="Arial" w:eastAsia="Calibri" w:hAnsi="Arial" w:cs="Arial"/>
          <w:color w:val="000000" w:themeColor="text1"/>
          <w:sz w:val="20"/>
          <w:szCs w:val="20"/>
          <w:lang w:val="es-ES_tradnl"/>
        </w:rPr>
        <w:t xml:space="preserve">Los conceptos emitidos por la Agencia Nacional de Contratación Pública – Colombia Compra Eficiente contienen la interpretación de normas de carácter general en materia de compras y contratación pública. El fundamento para su expedición se encuentra en el numeral 8 del artículo 11 y el numeral 5 del artículo 3 del Decreto Ley 4170 de 2011. Tales conceptos no son actos administrativos, es decir, no son decisiones vinculantes u obligatorias, sino que están revestidos de </w:t>
      </w:r>
      <w:r w:rsidRPr="0079498E">
        <w:rPr>
          <w:rFonts w:ascii="Arial" w:eastAsia="Calibri" w:hAnsi="Arial" w:cs="Arial"/>
          <w:color w:val="000000" w:themeColor="text1"/>
          <w:sz w:val="20"/>
          <w:szCs w:val="20"/>
          <w:lang w:val="es-ES_tradnl"/>
        </w:rPr>
        <w:lastRenderedPageBreak/>
        <w:t>la naturaleza que les confiere el artículo 230 de la Constitución Política y el artículo 28 de la Ley 1437 de 2011. En otras palabras, constituyen doctrina, y por lo tanto son criterios auxiliares para la interpretación y aplicación del derecho. De ahí que no sean obligatorios.</w:t>
      </w:r>
    </w:p>
    <w:p w14:paraId="589B8770" w14:textId="77777777" w:rsidR="0079498E" w:rsidRDefault="0079498E" w:rsidP="0079498E">
      <w:pPr>
        <w:tabs>
          <w:tab w:val="left" w:pos="0"/>
        </w:tabs>
        <w:jc w:val="both"/>
        <w:rPr>
          <w:rFonts w:ascii="Arial" w:eastAsia="Calibri" w:hAnsi="Arial" w:cs="Arial"/>
          <w:color w:val="000000" w:themeColor="text1"/>
          <w:sz w:val="20"/>
          <w:szCs w:val="20"/>
          <w:lang w:val="es-ES_tradnl"/>
        </w:rPr>
      </w:pPr>
    </w:p>
    <w:p w14:paraId="40EEB564" w14:textId="62866347" w:rsidR="0079498E" w:rsidRPr="0079498E" w:rsidRDefault="0079498E" w:rsidP="0079498E">
      <w:pPr>
        <w:tabs>
          <w:tab w:val="left" w:pos="0"/>
        </w:tabs>
        <w:jc w:val="both"/>
        <w:rPr>
          <w:rFonts w:ascii="Arial" w:eastAsia="Calibri" w:hAnsi="Arial" w:cs="Arial"/>
          <w:color w:val="000000" w:themeColor="text1"/>
          <w:sz w:val="20"/>
          <w:szCs w:val="20"/>
          <w:lang w:val="es-ES_tradnl"/>
        </w:rPr>
      </w:pPr>
      <w:r w:rsidRPr="0079498E">
        <w:rPr>
          <w:rFonts w:ascii="Arial" w:eastAsia="Calibri" w:hAnsi="Arial" w:cs="Arial"/>
          <w:color w:val="000000" w:themeColor="text1"/>
          <w:sz w:val="20"/>
          <w:szCs w:val="20"/>
          <w:lang w:val="es-ES_tradnl"/>
        </w:rPr>
        <w:t xml:space="preserve">Por lo demás, la actividad hermenéutica que lleva a cabo la Agencia Nacional de Contratación Pública – Colombia Compra Eficiente considera las fuentes normativas de la contratación estatal para asignarles un sentido razonable. Cuando las disposiciones normativas han sido objeto de desarrollo reglamentario o de pronunciamiento judicial, la Agencia tiene en cuenta en los conceptos tales elementos, para construir su interpretación de las normas. Pero, cuando se trata de la definición o comprensión de palabras que no gozan de una delimitación conceptual efectuada por vía reglamentaria o jurisdiccional, Colombia Compra Eficiente deduce el significado que considera más adecuado y armónico con las demás normas que conforman el sistema jurídico de compras y contratación pública. Esto último es lo que sucede con la expresión «mayor proporción», contenida en el numeral 4 del artículo 35 de la Ley 2069 de 2020. Al ser una Ley recientemente expedida y no existir reglamentación, ni jurisprudencia, que haya acotado tal concepto, la Agencia realiza su interpretación </w:t>
      </w:r>
      <w:r w:rsidRPr="0079498E">
        <w:rPr>
          <w:rFonts w:ascii="Arial" w:eastAsia="Calibri" w:hAnsi="Arial" w:cs="Arial"/>
          <w:i/>
          <w:iCs/>
          <w:color w:val="000000" w:themeColor="text1"/>
          <w:sz w:val="20"/>
          <w:szCs w:val="20"/>
          <w:lang w:val="es-ES_tradnl"/>
        </w:rPr>
        <w:t>prima facie</w:t>
      </w:r>
      <w:r w:rsidRPr="0079498E">
        <w:rPr>
          <w:rFonts w:ascii="Arial" w:eastAsia="Calibri" w:hAnsi="Arial" w:cs="Arial"/>
          <w:color w:val="000000" w:themeColor="text1"/>
          <w:sz w:val="20"/>
          <w:szCs w:val="20"/>
          <w:lang w:val="es-ES_tradnl"/>
        </w:rPr>
        <w:t>. Sin embargo, se reitera, dicha interpretación no es vinculante, ni niega que pueda haber otras interpretaciones.</w:t>
      </w:r>
    </w:p>
    <w:p w14:paraId="55FBD910" w14:textId="77777777" w:rsidR="008536BB" w:rsidRPr="00127EBF" w:rsidRDefault="008536BB" w:rsidP="00B95C30">
      <w:pPr>
        <w:spacing w:line="276" w:lineRule="auto"/>
        <w:jc w:val="both"/>
        <w:rPr>
          <w:rFonts w:ascii="Arial" w:hAnsi="Arial" w:cs="Arial"/>
          <w:noProof/>
          <w:color w:val="000000" w:themeColor="text1"/>
          <w:sz w:val="22"/>
          <w:highlight w:val="yellow"/>
          <w:lang w:val="es-ES_tradnl"/>
        </w:rPr>
      </w:pPr>
    </w:p>
    <w:p w14:paraId="6A654097" w14:textId="3C8AA0FD" w:rsidR="00C978D4" w:rsidRPr="0079498E" w:rsidRDefault="00272945" w:rsidP="00C978D4">
      <w:pPr>
        <w:jc w:val="both"/>
        <w:rPr>
          <w:rFonts w:ascii="Arial" w:eastAsia="Calibri" w:hAnsi="Arial" w:cs="Arial"/>
          <w:b/>
          <w:sz w:val="22"/>
          <w:lang w:val="es-ES_tradnl"/>
        </w:rPr>
      </w:pPr>
      <w:r w:rsidRPr="0079498E">
        <w:rPr>
          <w:rFonts w:ascii="Arial" w:eastAsia="Calibri" w:hAnsi="Arial" w:cs="Arial"/>
          <w:b/>
          <w:sz w:val="22"/>
          <w:lang w:val="es-ES_tradnl"/>
        </w:rPr>
        <w:t>SELECCIÓN OBJETIVA</w:t>
      </w:r>
      <w:r w:rsidR="00C978D4" w:rsidRPr="0079498E">
        <w:rPr>
          <w:rFonts w:ascii="Arial" w:eastAsia="Calibri" w:hAnsi="Arial" w:cs="Arial"/>
          <w:b/>
          <w:sz w:val="22"/>
          <w:lang w:val="es-ES_tradnl"/>
        </w:rPr>
        <w:t xml:space="preserve"> </w:t>
      </w:r>
      <w:r w:rsidR="00C978D4" w:rsidRPr="0079498E">
        <w:rPr>
          <w:rFonts w:ascii="Arial" w:eastAsia="Calibri" w:hAnsi="Arial" w:cs="Arial"/>
          <w:b/>
          <w:color w:val="000000" w:themeColor="text1"/>
          <w:sz w:val="22"/>
          <w:lang w:val="es-ES_tradnl"/>
        </w:rPr>
        <w:t>–</w:t>
      </w:r>
      <w:r w:rsidR="00C978D4" w:rsidRPr="0079498E">
        <w:rPr>
          <w:rFonts w:ascii="Arial" w:eastAsia="Calibri" w:hAnsi="Arial" w:cs="Arial"/>
          <w:b/>
          <w:sz w:val="22"/>
          <w:lang w:val="es-ES_tradnl"/>
        </w:rPr>
        <w:t xml:space="preserve"> </w:t>
      </w:r>
      <w:r w:rsidR="00003D39" w:rsidRPr="0079498E">
        <w:rPr>
          <w:rFonts w:ascii="Arial" w:eastAsia="Calibri" w:hAnsi="Arial" w:cs="Arial"/>
          <w:b/>
          <w:sz w:val="22"/>
          <w:lang w:val="es-ES_tradnl"/>
        </w:rPr>
        <w:t>Contratación estatal</w:t>
      </w:r>
      <w:r w:rsidR="00616D7F" w:rsidRPr="0079498E">
        <w:rPr>
          <w:rFonts w:ascii="Arial" w:eastAsia="Calibri" w:hAnsi="Arial" w:cs="Arial"/>
          <w:b/>
          <w:sz w:val="22"/>
          <w:lang w:val="es-ES_tradnl"/>
        </w:rPr>
        <w:t xml:space="preserve"> </w:t>
      </w:r>
      <w:r w:rsidR="00C978D4" w:rsidRPr="0079498E">
        <w:rPr>
          <w:rFonts w:ascii="Arial" w:eastAsia="Calibri" w:hAnsi="Arial" w:cs="Arial"/>
          <w:b/>
          <w:color w:val="000000" w:themeColor="text1"/>
          <w:sz w:val="22"/>
          <w:lang w:val="es-ES_tradnl"/>
        </w:rPr>
        <w:t xml:space="preserve">– </w:t>
      </w:r>
      <w:r w:rsidRPr="0079498E">
        <w:rPr>
          <w:rFonts w:ascii="Arial" w:eastAsia="Calibri" w:hAnsi="Arial" w:cs="Arial"/>
          <w:b/>
          <w:color w:val="000000" w:themeColor="text1"/>
          <w:sz w:val="22"/>
          <w:lang w:val="es-ES_tradnl"/>
        </w:rPr>
        <w:t>Concepto</w:t>
      </w:r>
    </w:p>
    <w:p w14:paraId="4AAB8DDD" w14:textId="537B898C" w:rsidR="00C978D4" w:rsidRPr="0079498E" w:rsidRDefault="00C978D4" w:rsidP="0099531F">
      <w:pPr>
        <w:jc w:val="both"/>
        <w:rPr>
          <w:rFonts w:ascii="Arial" w:eastAsia="Calibri" w:hAnsi="Arial" w:cs="Arial"/>
          <w:b/>
          <w:sz w:val="22"/>
          <w:lang w:val="es-ES_tradnl"/>
        </w:rPr>
      </w:pPr>
    </w:p>
    <w:p w14:paraId="33E10CCB" w14:textId="24027DD7" w:rsidR="00636F88" w:rsidRPr="0079498E" w:rsidRDefault="00AF6DEC" w:rsidP="0099531F">
      <w:pPr>
        <w:jc w:val="both"/>
        <w:rPr>
          <w:rFonts w:ascii="Arial" w:eastAsia="Calibri" w:hAnsi="Arial" w:cs="Arial"/>
          <w:sz w:val="20"/>
          <w:szCs w:val="20"/>
          <w:lang w:val="es-ES_tradnl"/>
        </w:rPr>
      </w:pPr>
      <w:r w:rsidRPr="0079498E">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79498E" w:rsidRDefault="00AF6DEC" w:rsidP="0099531F">
      <w:pPr>
        <w:jc w:val="both"/>
        <w:rPr>
          <w:rFonts w:ascii="Arial" w:eastAsia="Calibri" w:hAnsi="Arial" w:cs="Arial"/>
          <w:b/>
          <w:sz w:val="22"/>
          <w:lang w:val="es-ES_tradnl"/>
        </w:rPr>
      </w:pPr>
    </w:p>
    <w:p w14:paraId="73365DCF" w14:textId="63E2A713" w:rsidR="00272945" w:rsidRPr="0079498E" w:rsidRDefault="00B54215" w:rsidP="00272945">
      <w:pPr>
        <w:jc w:val="both"/>
        <w:rPr>
          <w:rFonts w:ascii="Arial" w:eastAsia="Calibri" w:hAnsi="Arial" w:cs="Arial"/>
          <w:b/>
          <w:sz w:val="22"/>
          <w:lang w:val="es-ES_tradnl"/>
        </w:rPr>
      </w:pPr>
      <w:r w:rsidRPr="0079498E">
        <w:rPr>
          <w:rFonts w:ascii="Arial" w:eastAsia="Calibri" w:hAnsi="Arial" w:cs="Arial"/>
          <w:b/>
          <w:sz w:val="22"/>
          <w:lang w:val="es-ES_tradnl"/>
        </w:rPr>
        <w:t>EMPATE</w:t>
      </w:r>
      <w:r w:rsidR="00272945" w:rsidRPr="0079498E">
        <w:rPr>
          <w:rFonts w:ascii="Arial" w:eastAsia="Calibri" w:hAnsi="Arial" w:cs="Arial"/>
          <w:b/>
          <w:sz w:val="22"/>
          <w:lang w:val="es-ES_tradnl"/>
        </w:rPr>
        <w:t xml:space="preserve"> </w:t>
      </w:r>
      <w:r w:rsidR="00272945" w:rsidRPr="0079498E">
        <w:rPr>
          <w:rFonts w:ascii="Arial" w:eastAsia="Calibri" w:hAnsi="Arial" w:cs="Arial"/>
          <w:b/>
          <w:color w:val="000000" w:themeColor="text1"/>
          <w:sz w:val="22"/>
          <w:lang w:val="es-ES_tradnl"/>
        </w:rPr>
        <w:t>–</w:t>
      </w:r>
      <w:r w:rsidR="00272945" w:rsidRPr="0079498E">
        <w:rPr>
          <w:rFonts w:ascii="Arial" w:eastAsia="Calibri" w:hAnsi="Arial" w:cs="Arial"/>
          <w:b/>
          <w:sz w:val="22"/>
          <w:lang w:val="es-ES_tradnl"/>
        </w:rPr>
        <w:t xml:space="preserve"> </w:t>
      </w:r>
      <w:r w:rsidRPr="0079498E">
        <w:rPr>
          <w:rFonts w:ascii="Arial" w:eastAsia="Calibri" w:hAnsi="Arial" w:cs="Arial"/>
          <w:b/>
          <w:sz w:val="22"/>
          <w:lang w:val="es-ES_tradnl"/>
        </w:rPr>
        <w:t>Procedimiento de selección</w:t>
      </w:r>
      <w:r w:rsidR="00272945" w:rsidRPr="0079498E">
        <w:rPr>
          <w:rFonts w:ascii="Arial" w:eastAsia="Calibri" w:hAnsi="Arial" w:cs="Arial"/>
          <w:b/>
          <w:sz w:val="22"/>
          <w:lang w:val="es-ES_tradnl"/>
        </w:rPr>
        <w:t xml:space="preserve"> </w:t>
      </w:r>
      <w:r w:rsidR="00272945" w:rsidRPr="0079498E">
        <w:rPr>
          <w:rFonts w:ascii="Arial" w:eastAsia="Calibri" w:hAnsi="Arial" w:cs="Arial"/>
          <w:b/>
          <w:color w:val="000000" w:themeColor="text1"/>
          <w:sz w:val="22"/>
          <w:lang w:val="es-ES_tradnl"/>
        </w:rPr>
        <w:t>– Concepto</w:t>
      </w:r>
    </w:p>
    <w:p w14:paraId="182F8CB9" w14:textId="246E5B50" w:rsidR="00272945" w:rsidRPr="0079498E" w:rsidRDefault="00272945" w:rsidP="0099531F">
      <w:pPr>
        <w:jc w:val="both"/>
        <w:rPr>
          <w:rFonts w:ascii="Arial" w:eastAsia="Calibri" w:hAnsi="Arial" w:cs="Arial"/>
          <w:b/>
          <w:sz w:val="22"/>
          <w:lang w:val="es-ES_tradnl"/>
        </w:rPr>
      </w:pPr>
    </w:p>
    <w:p w14:paraId="29DD8E0A" w14:textId="042C4C7A" w:rsidR="006F71F5" w:rsidRPr="0079498E" w:rsidRDefault="005C6D19" w:rsidP="005C6D19">
      <w:pPr>
        <w:jc w:val="both"/>
        <w:rPr>
          <w:rFonts w:ascii="Arial" w:hAnsi="Arial" w:cs="Arial"/>
          <w:noProof/>
          <w:color w:val="000000" w:themeColor="text1"/>
          <w:sz w:val="22"/>
          <w:lang w:val="es-ES_tradnl"/>
        </w:rPr>
      </w:pPr>
      <w:r w:rsidRPr="0079498E">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127EBF" w:rsidRDefault="005C6D19" w:rsidP="00DF71EA">
      <w:pPr>
        <w:jc w:val="both"/>
        <w:rPr>
          <w:rFonts w:ascii="Arial" w:eastAsia="Calibri" w:hAnsi="Arial" w:cs="Arial"/>
          <w:b/>
          <w:sz w:val="22"/>
          <w:highlight w:val="yellow"/>
          <w:lang w:val="es-ES_tradnl"/>
        </w:rPr>
      </w:pPr>
    </w:p>
    <w:p w14:paraId="04086EC5" w14:textId="5C2FA739" w:rsidR="00DF71EA" w:rsidRPr="0079498E" w:rsidRDefault="00D73881" w:rsidP="00DF71EA">
      <w:pPr>
        <w:jc w:val="both"/>
        <w:rPr>
          <w:rFonts w:ascii="Arial" w:eastAsia="Calibri" w:hAnsi="Arial" w:cs="Arial"/>
          <w:b/>
          <w:sz w:val="22"/>
          <w:lang w:val="es-ES_tradnl"/>
        </w:rPr>
      </w:pPr>
      <w:r w:rsidRPr="0079498E">
        <w:rPr>
          <w:rFonts w:ascii="Arial" w:eastAsia="Calibri" w:hAnsi="Arial" w:cs="Arial"/>
          <w:b/>
          <w:sz w:val="22"/>
          <w:lang w:val="es-ES_tradnl"/>
        </w:rPr>
        <w:t>FACTORES DE DESEMPATE</w:t>
      </w:r>
      <w:r w:rsidR="00DF71EA" w:rsidRPr="0079498E">
        <w:rPr>
          <w:rFonts w:ascii="Arial" w:eastAsia="Calibri" w:hAnsi="Arial" w:cs="Arial"/>
          <w:b/>
          <w:sz w:val="22"/>
          <w:lang w:val="es-ES_tradnl"/>
        </w:rPr>
        <w:t xml:space="preserve"> </w:t>
      </w:r>
      <w:r w:rsidR="00DF71EA" w:rsidRPr="0079498E">
        <w:rPr>
          <w:rFonts w:ascii="Arial" w:eastAsia="Calibri" w:hAnsi="Arial" w:cs="Arial"/>
          <w:b/>
          <w:color w:val="000000" w:themeColor="text1"/>
          <w:sz w:val="22"/>
          <w:lang w:val="es-ES_tradnl"/>
        </w:rPr>
        <w:t>–</w:t>
      </w:r>
      <w:r w:rsidR="00DF71EA" w:rsidRPr="0079498E">
        <w:rPr>
          <w:rFonts w:ascii="Arial" w:eastAsia="Calibri" w:hAnsi="Arial" w:cs="Arial"/>
          <w:b/>
          <w:sz w:val="22"/>
          <w:lang w:val="es-ES_tradnl"/>
        </w:rPr>
        <w:t xml:space="preserve"> </w:t>
      </w:r>
      <w:r w:rsidRPr="0079498E">
        <w:rPr>
          <w:rFonts w:ascii="Arial" w:eastAsia="Calibri" w:hAnsi="Arial" w:cs="Arial"/>
          <w:b/>
          <w:sz w:val="22"/>
          <w:lang w:val="es-ES_tradnl"/>
        </w:rPr>
        <w:t>Características</w:t>
      </w:r>
      <w:r w:rsidR="00DF71EA" w:rsidRPr="0079498E">
        <w:rPr>
          <w:rFonts w:ascii="Arial" w:eastAsia="Calibri" w:hAnsi="Arial" w:cs="Arial"/>
          <w:b/>
          <w:sz w:val="22"/>
          <w:lang w:val="es-ES_tradnl"/>
        </w:rPr>
        <w:t xml:space="preserve"> </w:t>
      </w:r>
      <w:r w:rsidR="00DF71EA" w:rsidRPr="0079498E">
        <w:rPr>
          <w:rFonts w:ascii="Arial" w:eastAsia="Calibri" w:hAnsi="Arial" w:cs="Arial"/>
          <w:b/>
          <w:color w:val="000000" w:themeColor="text1"/>
          <w:sz w:val="22"/>
          <w:lang w:val="es-ES_tradnl"/>
        </w:rPr>
        <w:t xml:space="preserve">– </w:t>
      </w:r>
      <w:r w:rsidRPr="0079498E">
        <w:rPr>
          <w:rFonts w:ascii="Arial" w:eastAsia="Calibri" w:hAnsi="Arial" w:cs="Arial"/>
          <w:b/>
          <w:color w:val="000000" w:themeColor="text1"/>
          <w:sz w:val="22"/>
          <w:lang w:val="es-ES_tradnl"/>
        </w:rPr>
        <w:t>Límites</w:t>
      </w:r>
    </w:p>
    <w:p w14:paraId="583F00A4" w14:textId="390EB1EB" w:rsidR="00DF71EA" w:rsidRPr="0079498E" w:rsidRDefault="00DF71EA" w:rsidP="00B95C30">
      <w:pPr>
        <w:spacing w:line="276" w:lineRule="auto"/>
        <w:jc w:val="both"/>
        <w:rPr>
          <w:rFonts w:ascii="Arial" w:hAnsi="Arial" w:cs="Arial"/>
          <w:noProof/>
          <w:color w:val="000000" w:themeColor="text1"/>
          <w:sz w:val="22"/>
          <w:lang w:val="es-ES_tradnl"/>
        </w:rPr>
      </w:pPr>
    </w:p>
    <w:p w14:paraId="66CA4DD9" w14:textId="52AF963D" w:rsidR="00D73881" w:rsidRPr="0079498E" w:rsidRDefault="005C6D19" w:rsidP="00D73881">
      <w:pPr>
        <w:jc w:val="both"/>
        <w:rPr>
          <w:rFonts w:ascii="Arial" w:eastAsia="Calibri" w:hAnsi="Arial" w:cs="Arial"/>
          <w:sz w:val="20"/>
          <w:szCs w:val="20"/>
          <w:lang w:val="es-ES_tradnl"/>
        </w:rPr>
      </w:pPr>
      <w:r w:rsidRPr="0079498E">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w:t>
      </w:r>
      <w:r w:rsidRPr="0079498E">
        <w:rPr>
          <w:rFonts w:ascii="Arial" w:eastAsia="Calibri" w:hAnsi="Arial" w:cs="Arial"/>
          <w:sz w:val="20"/>
          <w:szCs w:val="20"/>
          <w:lang w:val="es-ES_tradnl"/>
        </w:rPr>
        <w:lastRenderedPageBreak/>
        <w:t xml:space="preserve">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sidRPr="0079498E">
        <w:rPr>
          <w:rFonts w:ascii="Arial" w:eastAsia="Calibri" w:hAnsi="Arial" w:cs="Arial"/>
          <w:sz w:val="20"/>
          <w:szCs w:val="20"/>
          <w:lang w:val="es-ES_tradnl"/>
        </w:rPr>
        <w:t>2069</w:t>
      </w:r>
      <w:r w:rsidRPr="0079498E">
        <w:rPr>
          <w:rFonts w:ascii="Arial" w:eastAsia="Calibri" w:hAnsi="Arial" w:cs="Arial"/>
          <w:sz w:val="20"/>
          <w:szCs w:val="20"/>
          <w:lang w:val="es-ES_tradnl"/>
        </w:rPr>
        <w:t xml:space="preserve"> de 2020. La </w:t>
      </w:r>
      <w:r w:rsidR="000422EA" w:rsidRPr="0079498E">
        <w:rPr>
          <w:rFonts w:ascii="Arial" w:eastAsia="Calibri" w:hAnsi="Arial" w:cs="Arial"/>
          <w:sz w:val="20"/>
          <w:szCs w:val="20"/>
          <w:lang w:val="es-ES_tradnl"/>
        </w:rPr>
        <w:t>jurisprudencia</w:t>
      </w:r>
      <w:r w:rsidRPr="0079498E">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136CBDA3" w14:textId="77777777" w:rsidR="005C6D19" w:rsidRPr="0079498E" w:rsidRDefault="005C6D19" w:rsidP="00D73881">
      <w:pPr>
        <w:jc w:val="both"/>
        <w:rPr>
          <w:rFonts w:ascii="Arial" w:eastAsia="Calibri" w:hAnsi="Arial" w:cs="Arial"/>
          <w:sz w:val="20"/>
          <w:szCs w:val="20"/>
          <w:lang w:val="es-ES_tradnl"/>
        </w:rPr>
      </w:pPr>
    </w:p>
    <w:p w14:paraId="5204F243" w14:textId="3F3E942D" w:rsidR="00D73881" w:rsidRPr="0079498E" w:rsidRDefault="003D3F28" w:rsidP="00D73881">
      <w:pPr>
        <w:jc w:val="both"/>
        <w:rPr>
          <w:rFonts w:ascii="Arial" w:eastAsia="Calibri" w:hAnsi="Arial" w:cs="Arial"/>
          <w:sz w:val="20"/>
          <w:szCs w:val="20"/>
          <w:lang w:val="es-ES_tradnl"/>
        </w:rPr>
      </w:pPr>
      <w:r w:rsidRPr="0079498E">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00D73881" w:rsidRPr="0079498E">
        <w:rPr>
          <w:rFonts w:ascii="Arial" w:eastAsia="Calibri" w:hAnsi="Arial" w:cs="Arial"/>
          <w:sz w:val="20"/>
          <w:szCs w:val="20"/>
          <w:lang w:val="es-ES_tradnl"/>
        </w:rPr>
        <w:t xml:space="preserve"> </w:t>
      </w:r>
    </w:p>
    <w:p w14:paraId="03CC5C7E" w14:textId="460BCC05" w:rsidR="00D73881" w:rsidRPr="0079498E" w:rsidRDefault="00D73881" w:rsidP="00B95C30">
      <w:pPr>
        <w:spacing w:line="276" w:lineRule="auto"/>
        <w:jc w:val="both"/>
        <w:rPr>
          <w:rFonts w:ascii="Arial" w:hAnsi="Arial" w:cs="Arial"/>
          <w:noProof/>
          <w:color w:val="000000" w:themeColor="text1"/>
          <w:sz w:val="22"/>
          <w:lang w:val="es-ES_tradnl"/>
        </w:rPr>
      </w:pPr>
    </w:p>
    <w:p w14:paraId="7144E95B" w14:textId="6179FDBF" w:rsidR="00D73881" w:rsidRPr="0055053C" w:rsidRDefault="00D73881" w:rsidP="00D73881">
      <w:pPr>
        <w:jc w:val="both"/>
        <w:rPr>
          <w:rFonts w:ascii="Arial" w:eastAsia="Calibri" w:hAnsi="Arial" w:cs="Arial"/>
          <w:b/>
          <w:sz w:val="22"/>
          <w:lang w:val="es-ES_tradnl"/>
        </w:rPr>
      </w:pPr>
      <w:r w:rsidRPr="0055053C">
        <w:rPr>
          <w:rFonts w:ascii="Arial" w:eastAsia="Calibri" w:hAnsi="Arial" w:cs="Arial"/>
          <w:b/>
          <w:sz w:val="22"/>
          <w:lang w:val="es-ES_tradnl"/>
        </w:rPr>
        <w:t xml:space="preserve">LEY DE EMPRENDIMIENTO </w:t>
      </w:r>
      <w:r w:rsidRPr="0055053C">
        <w:rPr>
          <w:rFonts w:ascii="Arial" w:eastAsia="Calibri" w:hAnsi="Arial" w:cs="Arial"/>
          <w:b/>
          <w:color w:val="000000" w:themeColor="text1"/>
          <w:sz w:val="22"/>
          <w:lang w:val="es-ES_tradnl"/>
        </w:rPr>
        <w:t>–</w:t>
      </w:r>
      <w:r w:rsidRPr="0055053C">
        <w:rPr>
          <w:rFonts w:ascii="Arial" w:eastAsia="Calibri" w:hAnsi="Arial" w:cs="Arial"/>
          <w:b/>
          <w:sz w:val="22"/>
          <w:lang w:val="es-ES_tradnl"/>
        </w:rPr>
        <w:t xml:space="preserve"> Ley </w:t>
      </w:r>
      <w:r w:rsidR="007B209C" w:rsidRPr="0055053C">
        <w:rPr>
          <w:rFonts w:ascii="Arial" w:eastAsia="Calibri" w:hAnsi="Arial" w:cs="Arial"/>
          <w:b/>
          <w:sz w:val="22"/>
          <w:lang w:val="es-ES_tradnl"/>
        </w:rPr>
        <w:t>2069</w:t>
      </w:r>
      <w:r w:rsidRPr="0055053C">
        <w:rPr>
          <w:rFonts w:ascii="Arial" w:eastAsia="Calibri" w:hAnsi="Arial" w:cs="Arial"/>
          <w:b/>
          <w:sz w:val="22"/>
          <w:lang w:val="es-ES_tradnl"/>
        </w:rPr>
        <w:t xml:space="preserve"> de 2020 </w:t>
      </w:r>
      <w:r w:rsidRPr="0055053C">
        <w:rPr>
          <w:rFonts w:ascii="Arial" w:eastAsia="Calibri" w:hAnsi="Arial" w:cs="Arial"/>
          <w:b/>
          <w:color w:val="000000" w:themeColor="text1"/>
          <w:sz w:val="22"/>
          <w:lang w:val="es-ES_tradnl"/>
        </w:rPr>
        <w:t xml:space="preserve">– Vigencia </w:t>
      </w:r>
    </w:p>
    <w:p w14:paraId="0D3B8DEB" w14:textId="33C83BCF" w:rsidR="00D73881" w:rsidRPr="0055053C" w:rsidRDefault="00D73881" w:rsidP="00D73881">
      <w:pPr>
        <w:jc w:val="both"/>
        <w:rPr>
          <w:rFonts w:ascii="Arial" w:eastAsia="Calibri" w:hAnsi="Arial" w:cs="Arial"/>
          <w:b/>
          <w:sz w:val="22"/>
          <w:lang w:val="es-ES_tradnl"/>
        </w:rPr>
      </w:pPr>
    </w:p>
    <w:p w14:paraId="39668D0C" w14:textId="47082B69" w:rsidR="008410B1" w:rsidRPr="0055053C" w:rsidRDefault="008410B1" w:rsidP="008410B1">
      <w:pPr>
        <w:jc w:val="both"/>
        <w:rPr>
          <w:rFonts w:ascii="Arial" w:eastAsia="Calibri" w:hAnsi="Arial" w:cs="Arial"/>
          <w:sz w:val="20"/>
          <w:szCs w:val="20"/>
          <w:lang w:val="es-ES_tradnl"/>
        </w:rPr>
      </w:pPr>
      <w:r w:rsidRPr="0055053C">
        <w:rPr>
          <w:rFonts w:ascii="Arial" w:eastAsia="Calibri" w:hAnsi="Arial" w:cs="Arial"/>
          <w:sz w:val="20"/>
          <w:szCs w:val="20"/>
          <w:lang w:val="es-ES_tradnl"/>
        </w:rPr>
        <w:t xml:space="preserve">El 31 de diciembre de 2020 se promulgó la Ley </w:t>
      </w:r>
      <w:r w:rsidR="007B209C" w:rsidRPr="0055053C">
        <w:rPr>
          <w:rFonts w:ascii="Arial" w:eastAsia="Calibri" w:hAnsi="Arial" w:cs="Arial"/>
          <w:sz w:val="20"/>
          <w:szCs w:val="20"/>
          <w:lang w:val="es-ES_tradnl"/>
        </w:rPr>
        <w:t>2069</w:t>
      </w:r>
      <w:r w:rsidRPr="0055053C">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86BC4E6" w14:textId="77777777" w:rsidR="008410B1" w:rsidRPr="0055053C" w:rsidRDefault="008410B1" w:rsidP="008410B1">
      <w:pPr>
        <w:jc w:val="both"/>
        <w:rPr>
          <w:rFonts w:ascii="Arial" w:eastAsia="Calibri" w:hAnsi="Arial" w:cs="Arial"/>
          <w:sz w:val="20"/>
          <w:szCs w:val="20"/>
          <w:lang w:val="es-ES_tradnl"/>
        </w:rPr>
      </w:pPr>
    </w:p>
    <w:p w14:paraId="23AB3850" w14:textId="71F6214C" w:rsidR="008410B1" w:rsidRPr="0055053C" w:rsidRDefault="008410B1" w:rsidP="008410B1">
      <w:pPr>
        <w:jc w:val="both"/>
        <w:rPr>
          <w:rFonts w:ascii="Arial" w:eastAsia="Calibri" w:hAnsi="Arial" w:cs="Arial"/>
          <w:sz w:val="20"/>
          <w:szCs w:val="20"/>
          <w:lang w:val="es-ES_tradnl"/>
        </w:rPr>
      </w:pPr>
      <w:r w:rsidRPr="0055053C">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5053C">
        <w:rPr>
          <w:rFonts w:ascii="Arial" w:eastAsia="Calibri" w:hAnsi="Arial" w:cs="Arial"/>
          <w:sz w:val="20"/>
          <w:szCs w:val="20"/>
          <w:lang w:val="es-ES_tradnl"/>
        </w:rPr>
        <w:t>mipymes</w:t>
      </w:r>
      <w:proofErr w:type="spellEnd"/>
      <w:r w:rsidRPr="0055053C">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55053C">
        <w:rPr>
          <w:rFonts w:ascii="Arial" w:eastAsia="Calibri" w:hAnsi="Arial" w:cs="Arial"/>
          <w:sz w:val="20"/>
          <w:szCs w:val="20"/>
          <w:lang w:val="es-ES_tradnl"/>
        </w:rPr>
        <w:t>,</w:t>
      </w:r>
      <w:r w:rsidR="00B74EF8" w:rsidRPr="0055053C">
        <w:rPr>
          <w:rFonts w:ascii="Arial" w:eastAsia="Calibri" w:hAnsi="Arial" w:cs="Arial"/>
          <w:sz w:val="20"/>
          <w:szCs w:val="20"/>
          <w:lang w:val="es-ES_tradnl"/>
        </w:rPr>
        <w:t xml:space="preserve"> </w:t>
      </w:r>
      <w:r w:rsidRPr="0055053C">
        <w:rPr>
          <w:rFonts w:ascii="Arial" w:eastAsia="Calibri" w:hAnsi="Arial" w:cs="Arial"/>
          <w:sz w:val="20"/>
          <w:szCs w:val="20"/>
          <w:lang w:val="es-ES_tradnl"/>
        </w:rPr>
        <w:t>y se prevén medidas de educación para el emprendimiento y la innovación.</w:t>
      </w:r>
    </w:p>
    <w:p w14:paraId="7B24A529" w14:textId="77777777" w:rsidR="008410B1" w:rsidRPr="00127EBF" w:rsidRDefault="008410B1" w:rsidP="008410B1">
      <w:pPr>
        <w:jc w:val="both"/>
        <w:rPr>
          <w:rFonts w:ascii="Arial" w:eastAsia="Calibri" w:hAnsi="Arial" w:cs="Arial"/>
          <w:b/>
          <w:sz w:val="22"/>
          <w:highlight w:val="yellow"/>
          <w:lang w:val="es-ES_tradnl"/>
        </w:rPr>
      </w:pPr>
    </w:p>
    <w:p w14:paraId="5C894141" w14:textId="115E69FE" w:rsidR="00D73881" w:rsidRPr="0055053C" w:rsidRDefault="00D73881" w:rsidP="00D73881">
      <w:pPr>
        <w:jc w:val="both"/>
        <w:rPr>
          <w:rFonts w:ascii="Arial" w:eastAsia="Calibri" w:hAnsi="Arial" w:cs="Arial"/>
          <w:b/>
          <w:sz w:val="22"/>
          <w:lang w:val="es-ES_tradnl"/>
        </w:rPr>
      </w:pPr>
      <w:r w:rsidRPr="0055053C">
        <w:rPr>
          <w:rFonts w:ascii="Arial" w:eastAsia="Calibri" w:hAnsi="Arial" w:cs="Arial"/>
          <w:b/>
          <w:sz w:val="22"/>
          <w:lang w:val="es-ES_tradnl"/>
        </w:rPr>
        <w:t xml:space="preserve">FACTORES DE DESEMPATE </w:t>
      </w:r>
      <w:r w:rsidRPr="0055053C">
        <w:rPr>
          <w:rFonts w:ascii="Arial" w:eastAsia="Calibri" w:hAnsi="Arial" w:cs="Arial"/>
          <w:b/>
          <w:color w:val="000000" w:themeColor="text1"/>
          <w:sz w:val="22"/>
          <w:lang w:val="es-ES_tradnl"/>
        </w:rPr>
        <w:t>–</w:t>
      </w:r>
      <w:r w:rsidRPr="0055053C">
        <w:rPr>
          <w:rFonts w:ascii="Arial" w:eastAsia="Calibri" w:hAnsi="Arial" w:cs="Arial"/>
          <w:b/>
          <w:sz w:val="22"/>
          <w:lang w:val="es-ES_tradnl"/>
        </w:rPr>
        <w:t xml:space="preserve"> Ley </w:t>
      </w:r>
      <w:r w:rsidR="007B209C" w:rsidRPr="0055053C">
        <w:rPr>
          <w:rFonts w:ascii="Arial" w:eastAsia="Calibri" w:hAnsi="Arial" w:cs="Arial"/>
          <w:b/>
          <w:sz w:val="22"/>
          <w:lang w:val="es-ES_tradnl"/>
        </w:rPr>
        <w:t>2069</w:t>
      </w:r>
      <w:r w:rsidRPr="0055053C">
        <w:rPr>
          <w:rFonts w:ascii="Arial" w:eastAsia="Calibri" w:hAnsi="Arial" w:cs="Arial"/>
          <w:b/>
          <w:sz w:val="22"/>
          <w:lang w:val="es-ES_tradnl"/>
        </w:rPr>
        <w:t xml:space="preserve"> </w:t>
      </w:r>
      <w:r w:rsidRPr="0055053C">
        <w:rPr>
          <w:rFonts w:ascii="Arial" w:eastAsia="Calibri" w:hAnsi="Arial" w:cs="Arial"/>
          <w:b/>
          <w:color w:val="000000" w:themeColor="text1"/>
          <w:sz w:val="22"/>
          <w:lang w:val="es-ES_tradnl"/>
        </w:rPr>
        <w:t xml:space="preserve">– Artículo 35 – </w:t>
      </w:r>
      <w:r w:rsidR="0055053C" w:rsidRPr="0055053C">
        <w:rPr>
          <w:rFonts w:ascii="Arial" w:eastAsia="Calibri" w:hAnsi="Arial" w:cs="Arial"/>
          <w:b/>
          <w:color w:val="000000" w:themeColor="text1"/>
          <w:sz w:val="22"/>
          <w:lang w:val="es-ES_tradnl"/>
        </w:rPr>
        <w:t xml:space="preserve">Numeral </w:t>
      </w:r>
      <w:r w:rsidR="00813E0C">
        <w:rPr>
          <w:rFonts w:ascii="Arial" w:eastAsia="Calibri" w:hAnsi="Arial" w:cs="Arial"/>
          <w:b/>
          <w:color w:val="000000" w:themeColor="text1"/>
          <w:sz w:val="22"/>
          <w:lang w:val="es-ES_tradnl"/>
        </w:rPr>
        <w:t>2</w:t>
      </w:r>
      <w:r w:rsidR="009D70CD">
        <w:rPr>
          <w:rFonts w:ascii="Arial" w:eastAsia="Calibri" w:hAnsi="Arial" w:cs="Arial"/>
          <w:b/>
          <w:color w:val="000000" w:themeColor="text1"/>
          <w:sz w:val="22"/>
          <w:lang w:val="es-ES_tradnl"/>
        </w:rPr>
        <w:t xml:space="preserve"> </w:t>
      </w:r>
      <w:r w:rsidR="009D70CD" w:rsidRPr="0055053C">
        <w:rPr>
          <w:rFonts w:ascii="Arial" w:eastAsia="Calibri" w:hAnsi="Arial" w:cs="Arial"/>
          <w:b/>
          <w:color w:val="000000" w:themeColor="text1"/>
          <w:sz w:val="22"/>
          <w:lang w:val="es-ES_tradnl"/>
        </w:rPr>
        <w:t>–</w:t>
      </w:r>
      <w:r w:rsidR="009D70CD">
        <w:rPr>
          <w:rFonts w:ascii="Arial" w:eastAsia="Calibri" w:hAnsi="Arial" w:cs="Arial"/>
          <w:b/>
          <w:color w:val="000000" w:themeColor="text1"/>
          <w:sz w:val="22"/>
          <w:lang w:val="es-ES_tradnl"/>
        </w:rPr>
        <w:t xml:space="preserve"> Participación</w:t>
      </w:r>
    </w:p>
    <w:p w14:paraId="4D9EB4C1" w14:textId="20D03020" w:rsidR="00D73881" w:rsidRPr="00127EBF" w:rsidRDefault="00D73881" w:rsidP="00B95C30">
      <w:pPr>
        <w:spacing w:line="276" w:lineRule="auto"/>
        <w:jc w:val="both"/>
        <w:rPr>
          <w:rFonts w:ascii="Arial" w:hAnsi="Arial" w:cs="Arial"/>
          <w:noProof/>
          <w:color w:val="000000" w:themeColor="text1"/>
          <w:sz w:val="22"/>
          <w:highlight w:val="yellow"/>
          <w:lang w:val="es-ES_tradnl"/>
        </w:rPr>
      </w:pPr>
    </w:p>
    <w:p w14:paraId="588196AB" w14:textId="77777777" w:rsidR="009D70CD" w:rsidRPr="009D70CD" w:rsidRDefault="009D70CD" w:rsidP="009D70CD">
      <w:pPr>
        <w:jc w:val="both"/>
        <w:rPr>
          <w:rFonts w:ascii="Arial" w:eastAsia="Calibri" w:hAnsi="Arial" w:cs="Arial"/>
          <w:sz w:val="20"/>
          <w:szCs w:val="20"/>
          <w:lang w:val="es-ES_tradnl"/>
        </w:rPr>
      </w:pPr>
      <w:r w:rsidRPr="009D70CD">
        <w:rPr>
          <w:rFonts w:ascii="Arial" w:eastAsia="Calibri" w:hAnsi="Arial" w:cs="Arial"/>
          <w:sz w:val="20"/>
          <w:szCs w:val="20"/>
          <w:lang w:val="es-ES_tradnl"/>
        </w:rPr>
        <w:t>Teniendo en cuenta que participar debe entenderse –a menos que el reglamento disponga lo contrario– como tomar parte en la sociedad o proponente plural, de acuerdo al aporte en dinero o trabajo, esta Agencia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las mismas,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otorgue un alcance diferente al enunciado normativo.</w:t>
      </w:r>
    </w:p>
    <w:p w14:paraId="5B078637" w14:textId="77777777" w:rsidR="00B167C8" w:rsidRPr="00127EBF" w:rsidRDefault="00B167C8" w:rsidP="00B95C30">
      <w:pPr>
        <w:spacing w:line="276" w:lineRule="auto"/>
        <w:jc w:val="both"/>
        <w:rPr>
          <w:rFonts w:ascii="Arial" w:hAnsi="Arial" w:cs="Arial"/>
          <w:noProof/>
          <w:color w:val="000000" w:themeColor="text1"/>
          <w:sz w:val="22"/>
          <w:lang w:val="es-ES_tradnl"/>
        </w:rPr>
      </w:pPr>
    </w:p>
    <w:p w14:paraId="7DD48F49" w14:textId="316979B6" w:rsidR="00B95C30" w:rsidRPr="00127EBF" w:rsidRDefault="00B95C30" w:rsidP="00B95C30">
      <w:pPr>
        <w:spacing w:line="276" w:lineRule="auto"/>
        <w:jc w:val="both"/>
        <w:rPr>
          <w:rFonts w:ascii="Arial" w:hAnsi="Arial" w:cs="Arial"/>
          <w:b/>
          <w:bCs/>
          <w:noProof/>
          <w:color w:val="000000" w:themeColor="text1"/>
          <w:sz w:val="22"/>
          <w:lang w:val="es-ES_tradnl"/>
        </w:rPr>
      </w:pPr>
      <w:r w:rsidRPr="00127EBF">
        <w:rPr>
          <w:rFonts w:ascii="Arial" w:hAnsi="Arial" w:cs="Arial"/>
          <w:noProof/>
          <w:color w:val="000000" w:themeColor="text1"/>
          <w:sz w:val="22"/>
          <w:lang w:val="es-ES_tradnl"/>
        </w:rPr>
        <w:t xml:space="preserve">Bogotá D.C., </w:t>
      </w:r>
      <w:r w:rsidR="005C5674">
        <w:rPr>
          <w:rFonts w:ascii="Arial" w:hAnsi="Arial" w:cs="Arial"/>
          <w:b/>
          <w:bCs/>
          <w:noProof/>
          <w:color w:val="000000" w:themeColor="text1"/>
          <w:sz w:val="22"/>
          <w:lang w:val="es-ES_tradnl"/>
        </w:rPr>
        <w:t>26/04/2021 12:46:54</w:t>
      </w:r>
    </w:p>
    <w:p w14:paraId="1F928DBD" w14:textId="77777777" w:rsidR="00F53F4F" w:rsidRPr="00127EBF" w:rsidRDefault="00F53F4F" w:rsidP="00B95C30">
      <w:pPr>
        <w:spacing w:line="276" w:lineRule="auto"/>
        <w:jc w:val="both"/>
        <w:rPr>
          <w:rFonts w:ascii="Arial" w:eastAsia="Calibri" w:hAnsi="Arial" w:cs="Arial"/>
          <w:noProof/>
          <w:color w:val="000000" w:themeColor="text1"/>
          <w:sz w:val="22"/>
          <w:szCs w:val="22"/>
          <w:lang w:val="es-ES_tradnl"/>
        </w:rPr>
      </w:pPr>
    </w:p>
    <w:p w14:paraId="0B7A7877" w14:textId="69C09954" w:rsidR="005C5674" w:rsidRPr="005C5674" w:rsidRDefault="005C5674" w:rsidP="005C5674">
      <w:pPr>
        <w:jc w:val="right"/>
      </w:pPr>
      <w:r w:rsidRPr="005C5674">
        <w:fldChar w:fldCharType="begin"/>
      </w:r>
      <w:r w:rsidRPr="005C5674">
        <w:instrText xml:space="preserve"> INCLUDEPICTURE "/var/folders/5l/v1rdjm0x1x9416lmbj7_vjt40000gn/T/com.microsoft.Word/WebArchiveCopyPasteTempFiles/page1image1824224" \* MERGEFORMATINET </w:instrText>
      </w:r>
      <w:r w:rsidRPr="005C5674">
        <w:fldChar w:fldCharType="separate"/>
      </w:r>
      <w:r w:rsidRPr="005C5674">
        <w:rPr>
          <w:noProof/>
        </w:rPr>
        <w:drawing>
          <wp:inline distT="0" distB="0" distL="0" distR="0" wp14:anchorId="1F0E87BF" wp14:editId="32EA836C">
            <wp:extent cx="2400935" cy="607060"/>
            <wp:effectExtent l="0" t="0" r="0" b="2540"/>
            <wp:docPr id="4" name="Imagen 4" descr="page1image182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24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935" cy="607060"/>
                    </a:xfrm>
                    <a:prstGeom prst="rect">
                      <a:avLst/>
                    </a:prstGeom>
                    <a:noFill/>
                    <a:ln>
                      <a:noFill/>
                    </a:ln>
                  </pic:spPr>
                </pic:pic>
              </a:graphicData>
            </a:graphic>
          </wp:inline>
        </w:drawing>
      </w:r>
      <w:r w:rsidRPr="005C5674">
        <w:fldChar w:fldCharType="end"/>
      </w:r>
    </w:p>
    <w:p w14:paraId="708B07E1" w14:textId="07B72FB0" w:rsidR="00417C00" w:rsidRPr="00127EBF" w:rsidRDefault="00417C00" w:rsidP="00417C00">
      <w:pPr>
        <w:jc w:val="right"/>
        <w:rPr>
          <w:lang w:val="es-ES_tradnl"/>
        </w:rPr>
      </w:pPr>
    </w:p>
    <w:p w14:paraId="6A8A869B" w14:textId="514D7C5B" w:rsidR="00B95C30" w:rsidRPr="00127EBF" w:rsidRDefault="00B95C30" w:rsidP="00B95C30">
      <w:pPr>
        <w:jc w:val="both"/>
        <w:rPr>
          <w:rFonts w:ascii="Arial" w:hAnsi="Arial" w:cs="Arial"/>
          <w:b/>
          <w:color w:val="000000" w:themeColor="text1"/>
          <w:sz w:val="22"/>
          <w:lang w:val="es-ES_tradnl"/>
        </w:rPr>
      </w:pPr>
    </w:p>
    <w:p w14:paraId="24A88D3F" w14:textId="77777777" w:rsidR="00F53F4F" w:rsidRPr="00127EBF" w:rsidRDefault="00F53F4F" w:rsidP="00B95C30">
      <w:pPr>
        <w:jc w:val="both"/>
        <w:rPr>
          <w:rFonts w:ascii="Arial" w:hAnsi="Arial" w:cs="Arial"/>
          <w:b/>
          <w:color w:val="000000" w:themeColor="text1"/>
          <w:sz w:val="22"/>
          <w:lang w:val="es-ES_tradnl"/>
        </w:rPr>
      </w:pPr>
    </w:p>
    <w:p w14:paraId="5F5AE9EF" w14:textId="71FA55B7" w:rsidR="00B95C30" w:rsidRPr="00127EBF" w:rsidRDefault="00BE4FBF" w:rsidP="00B95C30">
      <w:pPr>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Señor</w:t>
      </w:r>
    </w:p>
    <w:p w14:paraId="3DCD58CE" w14:textId="7EE46137" w:rsidR="00B95C30" w:rsidRPr="00127EBF" w:rsidRDefault="00365536"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Guido Eduardo González Valencia</w:t>
      </w:r>
    </w:p>
    <w:p w14:paraId="09D4AEA8" w14:textId="658189A9" w:rsidR="00B95C30" w:rsidRPr="00127EBF" w:rsidRDefault="00716BB0" w:rsidP="00B95C30">
      <w:pPr>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Bogotá D.C.</w:t>
      </w:r>
    </w:p>
    <w:p w14:paraId="3B584A57" w14:textId="4528CA3D" w:rsidR="00F53F4F" w:rsidRPr="00127EBF" w:rsidRDefault="00F53F4F" w:rsidP="00B95C30">
      <w:pPr>
        <w:jc w:val="both"/>
        <w:rPr>
          <w:rFonts w:ascii="Arial" w:eastAsia="Calibri" w:hAnsi="Arial" w:cs="Arial"/>
          <w:color w:val="000000" w:themeColor="text1"/>
          <w:sz w:val="22"/>
          <w:lang w:val="es-ES_tradnl"/>
        </w:rPr>
      </w:pPr>
    </w:p>
    <w:p w14:paraId="48E36FCF" w14:textId="77777777" w:rsidR="00F53F4F" w:rsidRPr="00127EBF" w:rsidRDefault="00F53F4F" w:rsidP="00B95C30">
      <w:pPr>
        <w:jc w:val="both"/>
        <w:rPr>
          <w:rFonts w:ascii="Arial" w:eastAsia="Calibri" w:hAnsi="Arial" w:cs="Arial"/>
          <w:color w:val="000000" w:themeColor="text1"/>
          <w:sz w:val="22"/>
          <w:lang w:val="es-ES_tradnl"/>
        </w:rPr>
      </w:pPr>
    </w:p>
    <w:p w14:paraId="12E66182" w14:textId="549D4136" w:rsidR="00B95C30" w:rsidRPr="00127EBF" w:rsidRDefault="00F53F4F" w:rsidP="001D6CD2">
      <w:pPr>
        <w:rPr>
          <w:rFonts w:ascii="Arial" w:eastAsia="Calibri" w:hAnsi="Arial" w:cs="Arial"/>
          <w:b/>
          <w:bCs/>
          <w:color w:val="000000" w:themeColor="text1"/>
          <w:sz w:val="22"/>
          <w:lang w:val="es-ES_tradnl"/>
        </w:rPr>
      </w:pPr>
      <w:r w:rsidRPr="00127EBF">
        <w:rPr>
          <w:rFonts w:ascii="Arial" w:eastAsia="Calibri" w:hAnsi="Arial" w:cs="Arial"/>
          <w:b/>
          <w:bCs/>
          <w:color w:val="000000" w:themeColor="text1"/>
          <w:sz w:val="22"/>
          <w:lang w:val="es-ES_tradnl"/>
        </w:rPr>
        <w:t xml:space="preserve">                                            </w:t>
      </w:r>
      <w:r w:rsidR="00B95C30" w:rsidRPr="00666F41">
        <w:rPr>
          <w:rFonts w:ascii="Arial" w:eastAsia="Calibri" w:hAnsi="Arial" w:cs="Arial"/>
          <w:b/>
          <w:bCs/>
          <w:color w:val="000000" w:themeColor="text1"/>
          <w:sz w:val="22"/>
          <w:lang w:val="es-ES_tradnl"/>
        </w:rPr>
        <w:t xml:space="preserve">Concepto C ‒ </w:t>
      </w:r>
      <w:r w:rsidR="00666F41" w:rsidRPr="00666F41">
        <w:rPr>
          <w:rFonts w:ascii="Arial" w:eastAsia="Calibri" w:hAnsi="Arial" w:cs="Arial"/>
          <w:b/>
          <w:bCs/>
          <w:color w:val="000000" w:themeColor="text1"/>
          <w:sz w:val="22"/>
          <w:lang w:val="es-ES_tradnl"/>
        </w:rPr>
        <w:t>191</w:t>
      </w:r>
      <w:r w:rsidR="00B95C30" w:rsidRPr="00666F41">
        <w:rPr>
          <w:rFonts w:ascii="Arial" w:eastAsia="Calibri" w:hAnsi="Arial" w:cs="Arial"/>
          <w:b/>
          <w:bCs/>
          <w:color w:val="000000" w:themeColor="text1"/>
          <w:sz w:val="22"/>
          <w:lang w:val="es-ES_tradnl"/>
        </w:rPr>
        <w:t xml:space="preserve"> de 202</w:t>
      </w:r>
      <w:r w:rsidR="005E781C" w:rsidRPr="00666F41">
        <w:rPr>
          <w:rFonts w:ascii="Arial" w:eastAsia="Calibri" w:hAnsi="Arial" w:cs="Arial"/>
          <w:b/>
          <w:bCs/>
          <w:color w:val="000000" w:themeColor="text1"/>
          <w:sz w:val="22"/>
          <w:lang w:val="es-ES_tradnl"/>
        </w:rPr>
        <w:t>1</w:t>
      </w:r>
    </w:p>
    <w:p w14:paraId="1BD594F9" w14:textId="77777777" w:rsidR="00B95C30" w:rsidRPr="00127EB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127EBF" w14:paraId="19DFC051" w14:textId="77777777" w:rsidTr="008F4163">
        <w:tc>
          <w:tcPr>
            <w:tcW w:w="2689" w:type="dxa"/>
          </w:tcPr>
          <w:p w14:paraId="6BC0D1AC" w14:textId="77777777" w:rsidR="00B95C30" w:rsidRPr="00127EBF" w:rsidRDefault="00B95C30" w:rsidP="008F4163">
            <w:pPr>
              <w:jc w:val="both"/>
              <w:rPr>
                <w:rFonts w:ascii="Arial" w:eastAsia="Calibri" w:hAnsi="Arial" w:cs="Arial"/>
                <w:color w:val="000000" w:themeColor="text1"/>
                <w:sz w:val="22"/>
                <w:lang w:val="es-ES_tradnl"/>
              </w:rPr>
            </w:pPr>
            <w:r w:rsidRPr="00127EBF">
              <w:rPr>
                <w:rFonts w:ascii="Arial" w:eastAsia="Calibri" w:hAnsi="Arial" w:cs="Arial"/>
                <w:b/>
                <w:color w:val="000000" w:themeColor="text1"/>
                <w:sz w:val="22"/>
                <w:lang w:val="es-ES_tradnl"/>
              </w:rPr>
              <w:t>Temas:</w:t>
            </w:r>
            <w:r w:rsidRPr="00127EBF">
              <w:rPr>
                <w:rFonts w:ascii="Arial" w:eastAsia="Calibri" w:hAnsi="Arial" w:cs="Arial"/>
                <w:color w:val="000000" w:themeColor="text1"/>
                <w:sz w:val="22"/>
                <w:lang w:val="es-ES_tradnl"/>
              </w:rPr>
              <w:t xml:space="preserve">                                      </w:t>
            </w:r>
          </w:p>
        </w:tc>
        <w:tc>
          <w:tcPr>
            <w:tcW w:w="6237" w:type="dxa"/>
          </w:tcPr>
          <w:p w14:paraId="5F389CAF" w14:textId="7EC99894" w:rsidR="00B95C30" w:rsidRPr="009D70CD" w:rsidRDefault="0055053C" w:rsidP="008F4163">
            <w:pPr>
              <w:jc w:val="both"/>
              <w:rPr>
                <w:rFonts w:ascii="Arial" w:eastAsia="Calibri" w:hAnsi="Arial" w:cs="Arial"/>
                <w:color w:val="000000" w:themeColor="text1"/>
                <w:sz w:val="22"/>
                <w:lang w:val="es-ES_tradnl"/>
              </w:rPr>
            </w:pPr>
            <w:r w:rsidRPr="009D70CD">
              <w:rPr>
                <w:rFonts w:ascii="Arial" w:eastAsia="Calibri" w:hAnsi="Arial" w:cs="Arial"/>
                <w:bCs/>
                <w:sz w:val="22"/>
                <w:lang w:val="es-ES_tradnl"/>
              </w:rPr>
              <w:t>CONCEPTOS DE COLOMBIA COMPRA EFICIENTE – Obligatoriedad</w:t>
            </w:r>
            <w:r w:rsidR="00435FDD" w:rsidRPr="009D70CD">
              <w:rPr>
                <w:rFonts w:ascii="Arial" w:eastAsia="Calibri" w:hAnsi="Arial" w:cs="Arial"/>
                <w:bCs/>
                <w:sz w:val="22"/>
                <w:lang w:val="es-ES_tradnl"/>
              </w:rPr>
              <w:t xml:space="preserve"> / FUNCIÓN CONSULTIVA – Alcance / CONCEPTOS DE COLOMBIA COMPRA EFICIENTE – Revocación directa – Improcedencia / FUNCIÓN CONSULTIVA – Objeto / SELECCIÓN OBJETIVA – Contratación estatal – Concepto / EMPATE – Procedimiento de selección – Concepto /</w:t>
            </w:r>
            <w:r w:rsidR="00435FDD" w:rsidRPr="009D70CD">
              <w:t xml:space="preserve"> </w:t>
            </w:r>
            <w:r w:rsidR="00435FDD" w:rsidRPr="009D70CD">
              <w:rPr>
                <w:rFonts w:ascii="Arial" w:eastAsia="Calibri" w:hAnsi="Arial" w:cs="Arial"/>
                <w:bCs/>
                <w:sz w:val="22"/>
                <w:lang w:val="es-ES_tradnl"/>
              </w:rPr>
              <w:t xml:space="preserve">FACTORES DE DESEMPATE – Características – Límites / LEY DE EMPRENDIMIENTO – Ley 2069 de 2020 – Vigencia / </w:t>
            </w:r>
            <w:r w:rsidR="009D70CD" w:rsidRPr="009D70CD">
              <w:rPr>
                <w:rFonts w:ascii="Arial" w:eastAsia="Calibri" w:hAnsi="Arial" w:cs="Arial"/>
                <w:bCs/>
                <w:sz w:val="22"/>
                <w:lang w:val="es-ES_tradnl"/>
              </w:rPr>
              <w:t>FACTORES DE DESEMPATE – Ley 2069 – Artículo 35 – Numeral 2 – Participación.</w:t>
            </w:r>
          </w:p>
        </w:tc>
      </w:tr>
      <w:tr w:rsidR="00B95C30" w:rsidRPr="00127EBF" w14:paraId="27CD52AB" w14:textId="77777777" w:rsidTr="008F4163">
        <w:tc>
          <w:tcPr>
            <w:tcW w:w="2689" w:type="dxa"/>
          </w:tcPr>
          <w:p w14:paraId="37E195A1" w14:textId="1BA218D5" w:rsidR="00B95C30" w:rsidRPr="00127EBF" w:rsidRDefault="00B95C30" w:rsidP="008F4163">
            <w:pPr>
              <w:spacing w:before="120"/>
              <w:jc w:val="both"/>
              <w:rPr>
                <w:rFonts w:ascii="Arial" w:eastAsia="Calibri" w:hAnsi="Arial" w:cs="Arial"/>
                <w:b/>
                <w:color w:val="000000" w:themeColor="text1"/>
                <w:sz w:val="22"/>
                <w:lang w:val="es-ES_tradnl"/>
              </w:rPr>
            </w:pPr>
            <w:r w:rsidRPr="00127EBF">
              <w:rPr>
                <w:rFonts w:ascii="Arial" w:eastAsia="Calibri" w:hAnsi="Arial" w:cs="Arial"/>
                <w:b/>
                <w:color w:val="000000" w:themeColor="text1"/>
                <w:sz w:val="22"/>
                <w:lang w:val="es-ES_tradnl"/>
              </w:rPr>
              <w:t>Radicación:</w:t>
            </w:r>
            <w:r w:rsidRPr="00127EBF">
              <w:rPr>
                <w:rFonts w:ascii="Arial" w:eastAsia="Calibri" w:hAnsi="Arial" w:cs="Arial"/>
                <w:color w:val="000000" w:themeColor="text1"/>
                <w:sz w:val="22"/>
                <w:lang w:val="es-ES_tradnl"/>
              </w:rPr>
              <w:t xml:space="preserve">                              </w:t>
            </w:r>
          </w:p>
        </w:tc>
        <w:tc>
          <w:tcPr>
            <w:tcW w:w="6237" w:type="dxa"/>
          </w:tcPr>
          <w:p w14:paraId="09088B1B" w14:textId="3E8C9F24" w:rsidR="00B95C30" w:rsidRPr="00127EBF" w:rsidRDefault="00B95C30" w:rsidP="008F4163">
            <w:pPr>
              <w:spacing w:before="120"/>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 xml:space="preserve">Respuesta a consulta # </w:t>
            </w:r>
            <w:r w:rsidR="004908FA" w:rsidRPr="004908FA">
              <w:rPr>
                <w:rFonts w:ascii="Arial" w:eastAsia="Calibri" w:hAnsi="Arial" w:cs="Arial"/>
                <w:color w:val="000000" w:themeColor="text1"/>
                <w:sz w:val="22"/>
                <w:lang w:val="es-ES_tradnl"/>
              </w:rPr>
              <w:t>P20210316002199</w:t>
            </w:r>
          </w:p>
        </w:tc>
      </w:tr>
    </w:tbl>
    <w:p w14:paraId="61B55CA4" w14:textId="77777777" w:rsidR="00716BB0" w:rsidRPr="00127EBF" w:rsidRDefault="00716BB0" w:rsidP="003C3339">
      <w:pPr>
        <w:jc w:val="both"/>
        <w:rPr>
          <w:rFonts w:ascii="Arial" w:eastAsia="Calibri" w:hAnsi="Arial" w:cs="Arial"/>
          <w:color w:val="000000" w:themeColor="text1"/>
          <w:sz w:val="22"/>
          <w:lang w:val="es-ES_tradnl"/>
        </w:rPr>
      </w:pPr>
    </w:p>
    <w:p w14:paraId="4B9B5156" w14:textId="77777777" w:rsidR="00716BB0" w:rsidRPr="00127EBF" w:rsidRDefault="00716BB0" w:rsidP="003C3339">
      <w:pPr>
        <w:jc w:val="both"/>
        <w:rPr>
          <w:rFonts w:ascii="Arial" w:eastAsia="Calibri" w:hAnsi="Arial" w:cs="Arial"/>
          <w:color w:val="000000" w:themeColor="text1"/>
          <w:sz w:val="22"/>
          <w:lang w:val="es-ES_tradnl"/>
        </w:rPr>
      </w:pPr>
    </w:p>
    <w:p w14:paraId="1CF4AEA0" w14:textId="6594395E" w:rsidR="003C3339" w:rsidRPr="00127EBF" w:rsidRDefault="003C3339" w:rsidP="003C3339">
      <w:pPr>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Estimad</w:t>
      </w:r>
      <w:r w:rsidR="00810A15" w:rsidRPr="00127EBF">
        <w:rPr>
          <w:rFonts w:ascii="Arial" w:eastAsia="Calibri" w:hAnsi="Arial" w:cs="Arial"/>
          <w:color w:val="000000" w:themeColor="text1"/>
          <w:sz w:val="22"/>
          <w:lang w:val="es-ES_tradnl"/>
        </w:rPr>
        <w:t>o</w:t>
      </w:r>
      <w:r w:rsidRPr="00127EBF">
        <w:rPr>
          <w:rFonts w:ascii="Arial" w:eastAsia="Calibri" w:hAnsi="Arial" w:cs="Arial"/>
          <w:color w:val="000000" w:themeColor="text1"/>
          <w:sz w:val="22"/>
          <w:lang w:val="es-ES_tradnl"/>
        </w:rPr>
        <w:t xml:space="preserve"> </w:t>
      </w:r>
      <w:r w:rsidR="0063732C" w:rsidRPr="00127EBF">
        <w:rPr>
          <w:rFonts w:ascii="Arial" w:eastAsia="Calibri" w:hAnsi="Arial" w:cs="Arial"/>
          <w:color w:val="000000" w:themeColor="text1"/>
          <w:sz w:val="22"/>
          <w:lang w:val="es-ES_tradnl"/>
        </w:rPr>
        <w:t>señor</w:t>
      </w:r>
      <w:r w:rsidR="00BE4FBF" w:rsidRPr="00127EBF">
        <w:rPr>
          <w:rFonts w:ascii="Arial" w:eastAsia="Calibri" w:hAnsi="Arial" w:cs="Arial"/>
          <w:color w:val="000000" w:themeColor="text1"/>
          <w:sz w:val="22"/>
          <w:lang w:val="es-ES_tradnl"/>
        </w:rPr>
        <w:t xml:space="preserve"> </w:t>
      </w:r>
      <w:r w:rsidR="00E67F3A">
        <w:rPr>
          <w:rFonts w:ascii="Arial" w:eastAsia="Calibri" w:hAnsi="Arial" w:cs="Arial"/>
          <w:color w:val="000000" w:themeColor="text1"/>
          <w:sz w:val="22"/>
          <w:lang w:val="es-ES_tradnl"/>
        </w:rPr>
        <w:t>González</w:t>
      </w:r>
      <w:r w:rsidRPr="00127EBF">
        <w:rPr>
          <w:rFonts w:ascii="Arial" w:eastAsia="Calibri" w:hAnsi="Arial" w:cs="Arial"/>
          <w:color w:val="000000" w:themeColor="text1"/>
          <w:sz w:val="22"/>
          <w:lang w:val="es-ES_tradnl"/>
        </w:rPr>
        <w:t>:</w:t>
      </w:r>
    </w:p>
    <w:p w14:paraId="1EAE5543" w14:textId="77777777" w:rsidR="00DD5B04" w:rsidRPr="00127EBF" w:rsidRDefault="00DD5B04" w:rsidP="00DF76A2">
      <w:pPr>
        <w:jc w:val="both"/>
        <w:rPr>
          <w:rFonts w:ascii="Arial" w:eastAsia="Calibri" w:hAnsi="Arial" w:cs="Arial"/>
          <w:color w:val="000000" w:themeColor="text1"/>
          <w:sz w:val="22"/>
          <w:lang w:val="es-ES_tradnl"/>
        </w:rPr>
      </w:pPr>
    </w:p>
    <w:p w14:paraId="2109B2D3" w14:textId="32A329D8" w:rsidR="00DD5B04" w:rsidRPr="00127EBF" w:rsidRDefault="00DD5B04" w:rsidP="00DF76A2">
      <w:pPr>
        <w:spacing w:line="276" w:lineRule="auto"/>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127EBF">
        <w:rPr>
          <w:rFonts w:ascii="Arial" w:eastAsia="Calibri" w:hAnsi="Arial" w:cs="Arial"/>
          <w:color w:val="000000" w:themeColor="text1"/>
          <w:sz w:val="22"/>
          <w:lang w:val="es-ES_tradnl"/>
        </w:rPr>
        <w:t xml:space="preserve"> </w:t>
      </w:r>
      <w:r w:rsidRPr="00127EBF">
        <w:rPr>
          <w:rFonts w:ascii="Arial" w:eastAsia="Calibri" w:hAnsi="Arial" w:cs="Arial"/>
          <w:color w:val="000000" w:themeColor="text1"/>
          <w:sz w:val="22"/>
          <w:lang w:val="es-ES_tradnl"/>
        </w:rPr>
        <w:t xml:space="preserve">responde su consulta del </w:t>
      </w:r>
      <w:r w:rsidR="002C517B">
        <w:rPr>
          <w:rFonts w:ascii="Arial" w:eastAsia="Calibri" w:hAnsi="Arial" w:cs="Arial"/>
          <w:color w:val="000000" w:themeColor="text1"/>
          <w:sz w:val="22"/>
          <w:lang w:val="es-ES_tradnl"/>
        </w:rPr>
        <w:t>16</w:t>
      </w:r>
      <w:r w:rsidR="00FD4AF3" w:rsidRPr="00127EBF">
        <w:rPr>
          <w:rFonts w:ascii="Arial" w:eastAsia="Calibri" w:hAnsi="Arial" w:cs="Arial"/>
          <w:color w:val="000000" w:themeColor="text1"/>
          <w:sz w:val="22"/>
          <w:lang w:val="es-ES_tradnl"/>
        </w:rPr>
        <w:t xml:space="preserve"> de </w:t>
      </w:r>
      <w:r w:rsidR="000D2D08" w:rsidRPr="00127EBF">
        <w:rPr>
          <w:rFonts w:ascii="Arial" w:eastAsia="Calibri" w:hAnsi="Arial" w:cs="Arial"/>
          <w:color w:val="000000" w:themeColor="text1"/>
          <w:sz w:val="22"/>
          <w:lang w:val="es-ES_tradnl"/>
        </w:rPr>
        <w:t>marzo</w:t>
      </w:r>
      <w:r w:rsidRPr="00127EBF">
        <w:rPr>
          <w:rFonts w:ascii="Arial" w:eastAsia="Calibri" w:hAnsi="Arial" w:cs="Arial"/>
          <w:color w:val="000000" w:themeColor="text1"/>
          <w:sz w:val="22"/>
          <w:lang w:val="es-ES_tradnl"/>
        </w:rPr>
        <w:t xml:space="preserve"> del</w:t>
      </w:r>
      <w:r w:rsidR="007E74BF" w:rsidRPr="00127EBF">
        <w:rPr>
          <w:rFonts w:ascii="Arial" w:eastAsia="Calibri" w:hAnsi="Arial" w:cs="Arial"/>
          <w:color w:val="000000" w:themeColor="text1"/>
          <w:sz w:val="22"/>
          <w:lang w:val="es-ES_tradnl"/>
        </w:rPr>
        <w:t xml:space="preserve"> </w:t>
      </w:r>
      <w:r w:rsidRPr="00127EBF">
        <w:rPr>
          <w:rFonts w:ascii="Arial" w:eastAsia="Calibri" w:hAnsi="Arial" w:cs="Arial"/>
          <w:color w:val="000000" w:themeColor="text1"/>
          <w:sz w:val="22"/>
          <w:lang w:val="es-ES_tradnl"/>
        </w:rPr>
        <w:t>202</w:t>
      </w:r>
      <w:r w:rsidR="00FB0880" w:rsidRPr="00127EBF">
        <w:rPr>
          <w:rFonts w:ascii="Arial" w:eastAsia="Calibri" w:hAnsi="Arial" w:cs="Arial"/>
          <w:color w:val="000000" w:themeColor="text1"/>
          <w:sz w:val="22"/>
          <w:lang w:val="es-ES_tradnl"/>
        </w:rPr>
        <w:t>1</w:t>
      </w:r>
      <w:r w:rsidR="008C3C57" w:rsidRPr="00127EBF">
        <w:rPr>
          <w:rFonts w:ascii="Arial" w:eastAsia="Calibri" w:hAnsi="Arial" w:cs="Arial"/>
          <w:color w:val="000000" w:themeColor="text1"/>
          <w:sz w:val="22"/>
          <w:lang w:val="es-ES_tradnl"/>
        </w:rPr>
        <w:t>.</w:t>
      </w:r>
    </w:p>
    <w:p w14:paraId="0C1E0712" w14:textId="77777777" w:rsidR="00DD5B04" w:rsidRPr="00127EB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127EB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127EBF">
        <w:rPr>
          <w:rFonts w:ascii="Arial" w:eastAsia="Calibri" w:hAnsi="Arial" w:cs="Arial"/>
          <w:b/>
          <w:color w:val="000000" w:themeColor="text1"/>
          <w:sz w:val="22"/>
          <w:lang w:val="es-ES_tradnl"/>
        </w:rPr>
        <w:t xml:space="preserve">Problema planteado </w:t>
      </w:r>
    </w:p>
    <w:p w14:paraId="224B43D3" w14:textId="77777777" w:rsidR="00DD5B04" w:rsidRPr="00127EB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2F916187" w:rsidR="00443B55" w:rsidRPr="00127EBF" w:rsidRDefault="00DD5B04" w:rsidP="0099583D">
      <w:pPr>
        <w:spacing w:line="276" w:lineRule="auto"/>
        <w:jc w:val="both"/>
        <w:rPr>
          <w:rFonts w:ascii="Arial" w:hAnsi="Arial" w:cs="Arial"/>
          <w:color w:val="000000" w:themeColor="text1"/>
          <w:sz w:val="22"/>
          <w:lang w:val="es-ES_tradnl"/>
        </w:rPr>
      </w:pPr>
      <w:r w:rsidRPr="00127EBF">
        <w:rPr>
          <w:rFonts w:ascii="Arial" w:hAnsi="Arial" w:cs="Arial"/>
          <w:color w:val="000000" w:themeColor="text1"/>
          <w:sz w:val="22"/>
          <w:lang w:val="es-ES_tradnl"/>
        </w:rPr>
        <w:t xml:space="preserve">Usted </w:t>
      </w:r>
      <w:r w:rsidR="00B422C0" w:rsidRPr="00127EBF">
        <w:rPr>
          <w:rFonts w:ascii="Arial" w:hAnsi="Arial" w:cs="Arial"/>
          <w:color w:val="000000" w:themeColor="text1"/>
          <w:sz w:val="22"/>
          <w:lang w:val="es-ES_tradnl"/>
        </w:rPr>
        <w:t>formula</w:t>
      </w:r>
      <w:r w:rsidR="006D46A3" w:rsidRPr="00127EBF">
        <w:rPr>
          <w:rFonts w:ascii="Arial" w:hAnsi="Arial" w:cs="Arial"/>
          <w:color w:val="000000" w:themeColor="text1"/>
          <w:sz w:val="22"/>
          <w:lang w:val="es-ES_tradnl"/>
        </w:rPr>
        <w:t xml:space="preserve"> la siguiente</w:t>
      </w:r>
      <w:r w:rsidR="00A349FD">
        <w:rPr>
          <w:rFonts w:ascii="Arial" w:hAnsi="Arial" w:cs="Arial"/>
          <w:color w:val="000000" w:themeColor="text1"/>
          <w:sz w:val="22"/>
          <w:lang w:val="es-ES_tradnl"/>
        </w:rPr>
        <w:t xml:space="preserve"> consulta</w:t>
      </w:r>
      <w:r w:rsidR="00B422C0" w:rsidRPr="00127EBF">
        <w:rPr>
          <w:rFonts w:ascii="Arial" w:hAnsi="Arial" w:cs="Arial"/>
          <w:color w:val="000000" w:themeColor="text1"/>
          <w:sz w:val="22"/>
          <w:lang w:val="es-ES_tradnl"/>
        </w:rPr>
        <w:t>:</w:t>
      </w:r>
      <w:r w:rsidR="007E18DF" w:rsidRPr="00127EBF">
        <w:rPr>
          <w:rFonts w:ascii="Arial" w:hAnsi="Arial" w:cs="Arial"/>
          <w:color w:val="000000" w:themeColor="text1"/>
          <w:sz w:val="22"/>
          <w:lang w:val="es-ES_tradnl"/>
        </w:rPr>
        <w:t xml:space="preserve"> </w:t>
      </w:r>
    </w:p>
    <w:p w14:paraId="559EE20C" w14:textId="77777777" w:rsidR="00443B55" w:rsidRPr="00127EBF" w:rsidRDefault="00443B55" w:rsidP="0099583D">
      <w:pPr>
        <w:spacing w:line="276" w:lineRule="auto"/>
        <w:jc w:val="both"/>
        <w:rPr>
          <w:rFonts w:ascii="Arial" w:hAnsi="Arial" w:cs="Arial"/>
          <w:color w:val="000000" w:themeColor="text1"/>
          <w:sz w:val="22"/>
          <w:lang w:val="es-ES_tradnl"/>
        </w:rPr>
      </w:pPr>
    </w:p>
    <w:p w14:paraId="09F6F312" w14:textId="77777777" w:rsidR="0034741D" w:rsidRDefault="001C79A4" w:rsidP="00CD0778">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00CD0778" w:rsidRPr="00CD0778">
        <w:rPr>
          <w:rFonts w:ascii="Arial" w:hAnsi="Arial" w:cs="Arial"/>
          <w:color w:val="000000" w:themeColor="text1"/>
          <w:sz w:val="21"/>
          <w:szCs w:val="21"/>
          <w:lang w:val="es-ES_tradnl"/>
        </w:rPr>
        <w:t>me permito solicitarle se sirva aclarar el alcance de su interpretación del numeral 2 del artículo 35 de la Ley 2069 de 2020 efectuada en el oficio con radicado No. RS20210204000737 del 4 de febrero de 2021,</w:t>
      </w:r>
      <w:r w:rsidR="0034741D">
        <w:rPr>
          <w:rFonts w:ascii="Arial" w:hAnsi="Arial" w:cs="Arial"/>
          <w:color w:val="000000" w:themeColor="text1"/>
          <w:sz w:val="21"/>
          <w:szCs w:val="21"/>
          <w:lang w:val="es-ES_tradnl"/>
        </w:rPr>
        <w:t xml:space="preserve"> […]</w:t>
      </w:r>
    </w:p>
    <w:p w14:paraId="28C7D321" w14:textId="77777777" w:rsidR="0034741D" w:rsidRDefault="0034741D" w:rsidP="00CD0778">
      <w:pPr>
        <w:ind w:left="709" w:right="709"/>
        <w:jc w:val="both"/>
        <w:rPr>
          <w:rFonts w:ascii="Arial" w:hAnsi="Arial" w:cs="Arial"/>
          <w:color w:val="000000" w:themeColor="text1"/>
          <w:sz w:val="21"/>
          <w:szCs w:val="21"/>
          <w:lang w:val="es-ES_tradnl"/>
        </w:rPr>
      </w:pPr>
    </w:p>
    <w:p w14:paraId="0A6FB8C5" w14:textId="75513452" w:rsidR="0034741D" w:rsidRDefault="00DB32F4" w:rsidP="00CD0778">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0034741D">
        <w:rPr>
          <w:rFonts w:ascii="Arial" w:hAnsi="Arial" w:cs="Arial"/>
          <w:color w:val="000000" w:themeColor="text1"/>
          <w:sz w:val="21"/>
          <w:szCs w:val="21"/>
          <w:lang w:val="es-ES_tradnl"/>
        </w:rPr>
        <w:t>[…]</w:t>
      </w:r>
    </w:p>
    <w:p w14:paraId="3114940F" w14:textId="77777777" w:rsidR="0034741D" w:rsidRDefault="0034741D" w:rsidP="00CD0778">
      <w:pPr>
        <w:ind w:left="709" w:right="709"/>
        <w:jc w:val="both"/>
        <w:rPr>
          <w:rFonts w:ascii="Arial" w:hAnsi="Arial" w:cs="Arial"/>
          <w:color w:val="000000" w:themeColor="text1"/>
          <w:sz w:val="21"/>
          <w:szCs w:val="21"/>
          <w:lang w:val="es-ES_tradnl"/>
        </w:rPr>
      </w:pPr>
    </w:p>
    <w:p w14:paraId="79D0132C" w14:textId="14DA0F7D" w:rsidR="004275A7" w:rsidRPr="00127EBF" w:rsidRDefault="0034741D" w:rsidP="00CD0778">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34741D">
        <w:rPr>
          <w:rFonts w:ascii="Arial" w:hAnsi="Arial" w:cs="Arial"/>
          <w:color w:val="000000" w:themeColor="text1"/>
          <w:sz w:val="21"/>
          <w:szCs w:val="21"/>
          <w:lang w:val="es-ES_tradnl"/>
        </w:rPr>
        <w:t>Teniendo en cuenta que a nivel societario la participación puede ser directa, como accionista, o indirecta como beneficiario último, agradecemos establecer si en su criterio cualquiera de las dos condiciones sería válida en el marco de la aplicación del numeral 2 del artículo 35 de la Ley 2069 de 2020</w:t>
      </w:r>
      <w:r>
        <w:rPr>
          <w:rFonts w:ascii="Arial" w:hAnsi="Arial" w:cs="Arial"/>
          <w:color w:val="000000" w:themeColor="text1"/>
          <w:sz w:val="21"/>
          <w:szCs w:val="21"/>
          <w:lang w:val="es-ES_tradnl"/>
        </w:rPr>
        <w:t>»</w:t>
      </w:r>
      <w:r w:rsidR="001D7CBE" w:rsidRPr="00127EBF">
        <w:rPr>
          <w:rFonts w:ascii="Arial" w:hAnsi="Arial" w:cs="Arial"/>
          <w:color w:val="000000" w:themeColor="text1"/>
          <w:sz w:val="21"/>
          <w:szCs w:val="21"/>
          <w:lang w:val="es-ES_tradnl"/>
        </w:rPr>
        <w:t>.</w:t>
      </w:r>
    </w:p>
    <w:p w14:paraId="3830C92C" w14:textId="77777777" w:rsidR="00507066" w:rsidRPr="00127EBF" w:rsidRDefault="00507066" w:rsidP="00AD33A1">
      <w:pPr>
        <w:ind w:left="709" w:right="709"/>
        <w:jc w:val="both"/>
        <w:rPr>
          <w:rFonts w:ascii="Arial" w:hAnsi="Arial" w:cs="Arial"/>
          <w:color w:val="000000" w:themeColor="text1"/>
          <w:sz w:val="21"/>
          <w:szCs w:val="21"/>
          <w:lang w:val="es-ES_tradnl"/>
        </w:rPr>
      </w:pPr>
    </w:p>
    <w:p w14:paraId="124D2DCA" w14:textId="77777777" w:rsidR="00DD5B04" w:rsidRPr="00127EBF"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127EBF">
        <w:rPr>
          <w:rFonts w:ascii="Arial" w:eastAsia="Calibri" w:hAnsi="Arial" w:cs="Arial"/>
          <w:b/>
          <w:color w:val="000000" w:themeColor="text1"/>
          <w:sz w:val="22"/>
          <w:lang w:val="es-ES_tradnl"/>
        </w:rPr>
        <w:t>Consideraciones</w:t>
      </w:r>
    </w:p>
    <w:p w14:paraId="7D050D2E" w14:textId="77777777" w:rsidR="00435703" w:rsidRPr="00127EBF" w:rsidRDefault="00435703" w:rsidP="00DF76A2">
      <w:pPr>
        <w:spacing w:line="276" w:lineRule="auto"/>
        <w:jc w:val="both"/>
        <w:rPr>
          <w:rFonts w:ascii="Arial" w:eastAsia="Calibri" w:hAnsi="Arial" w:cs="Arial"/>
          <w:color w:val="000000" w:themeColor="text1"/>
          <w:sz w:val="22"/>
          <w:szCs w:val="22"/>
          <w:lang w:val="es-ES_tradnl"/>
        </w:rPr>
      </w:pPr>
    </w:p>
    <w:p w14:paraId="59E3093E" w14:textId="771477E9" w:rsidR="00A7795F" w:rsidRPr="00127EBF" w:rsidRDefault="008E30C4" w:rsidP="00271230">
      <w:pPr>
        <w:spacing w:line="276" w:lineRule="auto"/>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La Subdirección de Gestión Contractual responderá </w:t>
      </w:r>
      <w:r w:rsidR="00271230" w:rsidRPr="00127EBF">
        <w:rPr>
          <w:rFonts w:ascii="Arial" w:eastAsia="Calibri" w:hAnsi="Arial" w:cs="Arial"/>
          <w:color w:val="000000" w:themeColor="text1"/>
          <w:sz w:val="22"/>
          <w:szCs w:val="22"/>
          <w:lang w:val="es-ES_tradnl"/>
        </w:rPr>
        <w:t>la consulta</w:t>
      </w:r>
      <w:r w:rsidRPr="00127EBF">
        <w:rPr>
          <w:rFonts w:ascii="Arial" w:eastAsia="Calibri" w:hAnsi="Arial" w:cs="Arial"/>
          <w:color w:val="000000" w:themeColor="text1"/>
          <w:sz w:val="22"/>
          <w:szCs w:val="22"/>
          <w:lang w:val="es-ES_tradnl"/>
        </w:rPr>
        <w:t xml:space="preserve">, </w:t>
      </w:r>
      <w:r w:rsidR="00271230" w:rsidRPr="00127EBF">
        <w:rPr>
          <w:rFonts w:ascii="Arial" w:eastAsia="Calibri" w:hAnsi="Arial" w:cs="Arial"/>
          <w:color w:val="000000" w:themeColor="text1"/>
          <w:sz w:val="22"/>
          <w:szCs w:val="22"/>
          <w:lang w:val="es-ES_tradnl"/>
        </w:rPr>
        <w:t>luego de analizar los</w:t>
      </w:r>
      <w:r w:rsidR="00822EC4" w:rsidRPr="00127EBF">
        <w:rPr>
          <w:rFonts w:ascii="Arial" w:eastAsia="Calibri" w:hAnsi="Arial" w:cs="Arial"/>
          <w:color w:val="000000" w:themeColor="text1"/>
          <w:sz w:val="22"/>
          <w:szCs w:val="22"/>
          <w:lang w:val="es-ES_tradnl"/>
        </w:rPr>
        <w:t xml:space="preserve"> siguientes temas: </w:t>
      </w:r>
      <w:r w:rsidR="003A6994" w:rsidRPr="00127EBF">
        <w:rPr>
          <w:rFonts w:ascii="Arial" w:eastAsia="Calibri" w:hAnsi="Arial" w:cs="Arial"/>
          <w:color w:val="000000" w:themeColor="text1"/>
          <w:sz w:val="22"/>
          <w:szCs w:val="22"/>
          <w:lang w:val="es-ES_tradnl"/>
        </w:rPr>
        <w:t xml:space="preserve">i) </w:t>
      </w:r>
      <w:r w:rsidR="003A6994" w:rsidRPr="00127EBF">
        <w:rPr>
          <w:rFonts w:ascii="Arial" w:eastAsia="Calibri" w:hAnsi="Arial" w:cs="Arial"/>
          <w:sz w:val="22"/>
          <w:lang w:val="es-ES_tradnl"/>
        </w:rPr>
        <w:t>efecto jurídico</w:t>
      </w:r>
      <w:r w:rsidR="00910CA4" w:rsidRPr="00127EBF">
        <w:rPr>
          <w:rFonts w:ascii="Arial" w:eastAsia="Calibri" w:hAnsi="Arial" w:cs="Arial"/>
          <w:sz w:val="22"/>
          <w:lang w:val="es-ES_tradnl"/>
        </w:rPr>
        <w:t xml:space="preserve"> </w:t>
      </w:r>
      <w:r w:rsidR="003A6994" w:rsidRPr="00127EBF">
        <w:rPr>
          <w:rFonts w:ascii="Arial" w:eastAsia="Calibri" w:hAnsi="Arial" w:cs="Arial"/>
          <w:sz w:val="22"/>
          <w:lang w:val="es-ES_tradnl"/>
        </w:rPr>
        <w:t>de los conceptos emitidos por la Agencia Nacional de Contratación Pública – Colombia Compra Eficiente,</w:t>
      </w:r>
      <w:r w:rsidR="003A6994" w:rsidRPr="00127EBF">
        <w:rPr>
          <w:rFonts w:ascii="Arial" w:eastAsia="Calibri" w:hAnsi="Arial" w:cs="Arial"/>
          <w:color w:val="000000" w:themeColor="text1"/>
          <w:sz w:val="22"/>
          <w:szCs w:val="22"/>
          <w:lang w:val="es-ES_tradnl"/>
        </w:rPr>
        <w:t xml:space="preserve"> </w:t>
      </w:r>
      <w:r w:rsidR="00833ADA" w:rsidRPr="00127EBF">
        <w:rPr>
          <w:rFonts w:ascii="Arial" w:eastAsia="Calibri" w:hAnsi="Arial" w:cs="Arial"/>
          <w:color w:val="000000" w:themeColor="text1"/>
          <w:sz w:val="22"/>
          <w:szCs w:val="22"/>
          <w:lang w:val="es-ES_tradnl"/>
        </w:rPr>
        <w:t>i</w:t>
      </w:r>
      <w:r w:rsidR="003A6994" w:rsidRPr="00127EBF">
        <w:rPr>
          <w:rFonts w:ascii="Arial" w:eastAsia="Calibri" w:hAnsi="Arial" w:cs="Arial"/>
          <w:color w:val="000000" w:themeColor="text1"/>
          <w:sz w:val="22"/>
          <w:szCs w:val="22"/>
          <w:lang w:val="es-ES_tradnl"/>
        </w:rPr>
        <w:t>i</w:t>
      </w:r>
      <w:r w:rsidR="00833ADA" w:rsidRPr="00127EBF">
        <w:rPr>
          <w:rFonts w:ascii="Arial" w:eastAsia="Calibri" w:hAnsi="Arial" w:cs="Arial"/>
          <w:color w:val="000000" w:themeColor="text1"/>
          <w:sz w:val="22"/>
          <w:szCs w:val="22"/>
          <w:lang w:val="es-ES_tradnl"/>
        </w:rPr>
        <w:t xml:space="preserve">) definición de los criterios de desempate en la contratación estatal, </w:t>
      </w:r>
      <w:r w:rsidR="00822EC4" w:rsidRPr="00127EBF">
        <w:rPr>
          <w:rFonts w:ascii="Arial" w:eastAsia="Calibri" w:hAnsi="Arial" w:cs="Arial"/>
          <w:color w:val="000000" w:themeColor="text1"/>
          <w:sz w:val="22"/>
          <w:szCs w:val="22"/>
          <w:lang w:val="es-ES_tradnl"/>
        </w:rPr>
        <w:t>i</w:t>
      </w:r>
      <w:r w:rsidR="00833ADA" w:rsidRPr="00127EBF">
        <w:rPr>
          <w:rFonts w:ascii="Arial" w:eastAsia="Calibri" w:hAnsi="Arial" w:cs="Arial"/>
          <w:color w:val="000000" w:themeColor="text1"/>
          <w:sz w:val="22"/>
          <w:szCs w:val="22"/>
          <w:lang w:val="es-ES_tradnl"/>
        </w:rPr>
        <w:t>i</w:t>
      </w:r>
      <w:r w:rsidR="003A6994" w:rsidRPr="00127EBF">
        <w:rPr>
          <w:rFonts w:ascii="Arial" w:eastAsia="Calibri" w:hAnsi="Arial" w:cs="Arial"/>
          <w:color w:val="000000" w:themeColor="text1"/>
          <w:sz w:val="22"/>
          <w:szCs w:val="22"/>
          <w:lang w:val="es-ES_tradnl"/>
        </w:rPr>
        <w:t>i</w:t>
      </w:r>
      <w:r w:rsidR="00822EC4" w:rsidRPr="00127EBF">
        <w:rPr>
          <w:rFonts w:ascii="Arial" w:eastAsia="Calibri" w:hAnsi="Arial" w:cs="Arial"/>
          <w:color w:val="000000" w:themeColor="text1"/>
          <w:sz w:val="22"/>
          <w:szCs w:val="22"/>
          <w:lang w:val="es-ES_tradnl"/>
        </w:rPr>
        <w:t>)</w:t>
      </w:r>
      <w:r w:rsidR="00A12574" w:rsidRPr="00127EBF">
        <w:rPr>
          <w:rFonts w:ascii="Arial" w:eastAsia="Calibri" w:hAnsi="Arial" w:cs="Arial"/>
          <w:color w:val="000000" w:themeColor="text1"/>
          <w:sz w:val="22"/>
          <w:szCs w:val="22"/>
          <w:lang w:val="es-ES_tradnl"/>
        </w:rPr>
        <w:t xml:space="preserve"> vigencia y ámbito de aplicación de la Ley </w:t>
      </w:r>
      <w:r w:rsidR="007B209C" w:rsidRPr="00127EBF">
        <w:rPr>
          <w:rFonts w:ascii="Arial" w:eastAsia="Calibri" w:hAnsi="Arial" w:cs="Arial"/>
          <w:color w:val="000000" w:themeColor="text1"/>
          <w:sz w:val="22"/>
          <w:szCs w:val="22"/>
          <w:lang w:val="es-ES_tradnl"/>
        </w:rPr>
        <w:t>2069</w:t>
      </w:r>
      <w:r w:rsidR="00A12574" w:rsidRPr="00127EBF">
        <w:rPr>
          <w:rFonts w:ascii="Arial" w:eastAsia="Calibri" w:hAnsi="Arial" w:cs="Arial"/>
          <w:color w:val="000000" w:themeColor="text1"/>
          <w:sz w:val="22"/>
          <w:szCs w:val="22"/>
          <w:lang w:val="es-ES_tradnl"/>
        </w:rPr>
        <w:t xml:space="preserve"> de 2020 y</w:t>
      </w:r>
      <w:r w:rsidR="00833ADA" w:rsidRPr="00127EBF">
        <w:rPr>
          <w:rFonts w:ascii="Arial" w:eastAsia="Calibri" w:hAnsi="Arial" w:cs="Arial"/>
          <w:color w:val="000000" w:themeColor="text1"/>
          <w:sz w:val="22"/>
          <w:szCs w:val="22"/>
          <w:lang w:val="es-ES_tradnl"/>
        </w:rPr>
        <w:t xml:space="preserve"> </w:t>
      </w:r>
      <w:r w:rsidR="00523F41" w:rsidRPr="00127EBF">
        <w:rPr>
          <w:rFonts w:ascii="Arial" w:eastAsia="Calibri" w:hAnsi="Arial" w:cs="Arial"/>
          <w:color w:val="000000" w:themeColor="text1"/>
          <w:sz w:val="22"/>
          <w:szCs w:val="22"/>
          <w:lang w:val="es-ES_tradnl"/>
        </w:rPr>
        <w:t>i</w:t>
      </w:r>
      <w:r w:rsidR="003A6994" w:rsidRPr="00127EBF">
        <w:rPr>
          <w:rFonts w:ascii="Arial" w:eastAsia="Calibri" w:hAnsi="Arial" w:cs="Arial"/>
          <w:color w:val="000000" w:themeColor="text1"/>
          <w:sz w:val="22"/>
          <w:szCs w:val="22"/>
          <w:lang w:val="es-ES_tradnl"/>
        </w:rPr>
        <w:t>v</w:t>
      </w:r>
      <w:r w:rsidR="00523F41" w:rsidRPr="00127EBF">
        <w:rPr>
          <w:rFonts w:ascii="Arial" w:eastAsia="Calibri" w:hAnsi="Arial" w:cs="Arial"/>
          <w:color w:val="000000" w:themeColor="text1"/>
          <w:sz w:val="22"/>
          <w:szCs w:val="22"/>
          <w:lang w:val="es-ES_tradnl"/>
        </w:rPr>
        <w:t xml:space="preserve">) </w:t>
      </w:r>
      <w:r w:rsidR="003C4317" w:rsidRPr="00127EBF">
        <w:rPr>
          <w:rFonts w:ascii="Arial" w:eastAsia="Calibri" w:hAnsi="Arial" w:cs="Arial"/>
          <w:color w:val="000000" w:themeColor="text1"/>
          <w:sz w:val="22"/>
          <w:szCs w:val="22"/>
          <w:lang w:val="es-ES_tradnl"/>
        </w:rPr>
        <w:t xml:space="preserve">forma de </w:t>
      </w:r>
      <w:r w:rsidR="009D6909" w:rsidRPr="00127EBF">
        <w:rPr>
          <w:rFonts w:ascii="Arial" w:eastAsia="Calibri" w:hAnsi="Arial" w:cs="Arial"/>
          <w:color w:val="000000" w:themeColor="text1"/>
          <w:sz w:val="22"/>
          <w:szCs w:val="22"/>
          <w:lang w:val="es-ES_tradnl"/>
        </w:rPr>
        <w:t>acreditación de los factores de desempate</w:t>
      </w:r>
      <w:r w:rsidR="003C4317" w:rsidRPr="00127EBF">
        <w:rPr>
          <w:rFonts w:ascii="Arial" w:eastAsia="Calibri" w:hAnsi="Arial" w:cs="Arial"/>
          <w:color w:val="000000" w:themeColor="text1"/>
          <w:sz w:val="22"/>
          <w:szCs w:val="22"/>
          <w:lang w:val="es-ES_tradnl"/>
        </w:rPr>
        <w:t xml:space="preserve"> consagrados en el artículo 35 de la mencionada Ley</w:t>
      </w:r>
      <w:r w:rsidR="000677E6" w:rsidRPr="00127EBF">
        <w:rPr>
          <w:rFonts w:ascii="Arial" w:eastAsia="Calibri" w:hAnsi="Arial" w:cs="Arial"/>
          <w:color w:val="000000" w:themeColor="text1"/>
          <w:sz w:val="22"/>
          <w:szCs w:val="22"/>
          <w:lang w:val="es-ES_tradnl"/>
        </w:rPr>
        <w:t>.</w:t>
      </w:r>
    </w:p>
    <w:p w14:paraId="1144E6B3" w14:textId="6103C142" w:rsidR="00C8331F" w:rsidRPr="00127EBF"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E</w:t>
      </w:r>
      <w:r w:rsidR="00C8331F" w:rsidRPr="00127EBF">
        <w:rPr>
          <w:rFonts w:ascii="Arial" w:eastAsia="Calibri" w:hAnsi="Arial" w:cs="Arial"/>
          <w:color w:val="000000" w:themeColor="text1"/>
          <w:sz w:val="22"/>
          <w:szCs w:val="22"/>
          <w:lang w:val="es-ES_tradnl"/>
        </w:rPr>
        <w:t>s importante destacar que la Agencia Nacional de Contratación Pública</w:t>
      </w:r>
      <w:r w:rsidRPr="00127EBF">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127EBF">
        <w:rPr>
          <w:rFonts w:ascii="Arial" w:eastAsia="Calibri" w:hAnsi="Arial" w:cs="Arial"/>
          <w:color w:val="000000" w:themeColor="text1"/>
          <w:sz w:val="22"/>
          <w:szCs w:val="22"/>
          <w:lang w:val="es-ES_tradnl"/>
        </w:rPr>
        <w:t>,</w:t>
      </w:r>
      <w:r w:rsidR="0091310F" w:rsidRPr="00127EBF">
        <w:rPr>
          <w:rFonts w:ascii="Arial" w:eastAsia="Calibri" w:hAnsi="Arial" w:cs="Arial"/>
          <w:color w:val="000000" w:themeColor="text1"/>
          <w:sz w:val="22"/>
          <w:szCs w:val="22"/>
          <w:lang w:val="es-ES_tradnl"/>
        </w:rPr>
        <w:t xml:space="preserve"> en los conceptos C-285 del </w:t>
      </w:r>
      <w:r w:rsidR="00677212" w:rsidRPr="00127EBF">
        <w:rPr>
          <w:rFonts w:ascii="Arial" w:eastAsia="Calibri" w:hAnsi="Arial" w:cs="Arial"/>
          <w:color w:val="000000" w:themeColor="text1"/>
          <w:sz w:val="22"/>
          <w:szCs w:val="22"/>
          <w:lang w:val="es-ES_tradnl"/>
        </w:rPr>
        <w:t>4</w:t>
      </w:r>
      <w:r w:rsidR="0091310F" w:rsidRPr="00127EBF">
        <w:rPr>
          <w:rFonts w:ascii="Arial" w:eastAsia="Calibri" w:hAnsi="Arial" w:cs="Arial"/>
          <w:color w:val="000000" w:themeColor="text1"/>
          <w:sz w:val="22"/>
          <w:szCs w:val="22"/>
          <w:lang w:val="es-ES_tradnl"/>
        </w:rPr>
        <w:t xml:space="preserve"> de </w:t>
      </w:r>
      <w:r w:rsidR="00677212" w:rsidRPr="00127EBF">
        <w:rPr>
          <w:rFonts w:ascii="Arial" w:eastAsia="Calibri" w:hAnsi="Arial" w:cs="Arial"/>
          <w:color w:val="000000" w:themeColor="text1"/>
          <w:sz w:val="22"/>
          <w:szCs w:val="22"/>
          <w:lang w:val="es-ES_tradnl"/>
        </w:rPr>
        <w:t>mayo</w:t>
      </w:r>
      <w:r w:rsidR="0091310F" w:rsidRPr="00127EBF">
        <w:rPr>
          <w:rFonts w:ascii="Arial" w:eastAsia="Calibri" w:hAnsi="Arial" w:cs="Arial"/>
          <w:color w:val="000000" w:themeColor="text1"/>
          <w:sz w:val="22"/>
          <w:szCs w:val="22"/>
          <w:lang w:val="es-ES_tradnl"/>
        </w:rPr>
        <w:t xml:space="preserve"> de 2020, </w:t>
      </w:r>
      <w:r w:rsidR="006361C9" w:rsidRPr="00127EBF">
        <w:rPr>
          <w:rFonts w:ascii="Arial" w:eastAsia="Calibri" w:hAnsi="Arial" w:cs="Arial"/>
          <w:color w:val="000000" w:themeColor="text1"/>
          <w:sz w:val="22"/>
          <w:szCs w:val="22"/>
          <w:lang w:val="es-ES_tradnl"/>
        </w:rPr>
        <w:t xml:space="preserve">C-481 del </w:t>
      </w:r>
      <w:r w:rsidR="004060DC" w:rsidRPr="00127EBF">
        <w:rPr>
          <w:rFonts w:ascii="Arial" w:eastAsia="Calibri" w:hAnsi="Arial" w:cs="Arial"/>
          <w:color w:val="000000" w:themeColor="text1"/>
          <w:sz w:val="22"/>
          <w:szCs w:val="22"/>
          <w:lang w:val="es-ES_tradnl"/>
        </w:rPr>
        <w:t>27</w:t>
      </w:r>
      <w:r w:rsidR="00184219" w:rsidRPr="00127EBF">
        <w:rPr>
          <w:rFonts w:ascii="Arial" w:eastAsia="Calibri" w:hAnsi="Arial" w:cs="Arial"/>
          <w:color w:val="000000" w:themeColor="text1"/>
          <w:sz w:val="22"/>
          <w:szCs w:val="22"/>
          <w:lang w:val="es-ES_tradnl"/>
        </w:rPr>
        <w:t xml:space="preserve"> de julio de 2020</w:t>
      </w:r>
      <w:r w:rsidR="006606A4" w:rsidRPr="00127EBF">
        <w:rPr>
          <w:rFonts w:ascii="Arial" w:eastAsia="Calibri" w:hAnsi="Arial" w:cs="Arial"/>
          <w:color w:val="000000" w:themeColor="text1"/>
          <w:sz w:val="22"/>
          <w:szCs w:val="22"/>
          <w:lang w:val="es-ES_tradnl"/>
        </w:rPr>
        <w:t xml:space="preserve">, C-514 </w:t>
      </w:r>
      <w:r w:rsidR="002F7961" w:rsidRPr="00127EBF">
        <w:rPr>
          <w:rFonts w:ascii="Arial" w:eastAsia="Calibri" w:hAnsi="Arial" w:cs="Arial"/>
          <w:color w:val="000000" w:themeColor="text1"/>
          <w:sz w:val="22"/>
          <w:szCs w:val="22"/>
          <w:lang w:val="es-ES_tradnl"/>
        </w:rPr>
        <w:t xml:space="preserve">y C-535 </w:t>
      </w:r>
      <w:r w:rsidR="006606A4" w:rsidRPr="00127EBF">
        <w:rPr>
          <w:rFonts w:ascii="Arial" w:eastAsia="Calibri" w:hAnsi="Arial" w:cs="Arial"/>
          <w:color w:val="000000" w:themeColor="text1"/>
          <w:sz w:val="22"/>
          <w:szCs w:val="22"/>
          <w:lang w:val="es-ES_tradnl"/>
        </w:rPr>
        <w:t>del 26 de agosto de 2020</w:t>
      </w:r>
      <w:r w:rsidR="004060DC" w:rsidRPr="00127EBF">
        <w:rPr>
          <w:rFonts w:ascii="Arial" w:eastAsia="Calibri" w:hAnsi="Arial" w:cs="Arial"/>
          <w:color w:val="000000" w:themeColor="text1"/>
          <w:sz w:val="22"/>
          <w:szCs w:val="22"/>
          <w:lang w:val="es-ES_tradnl"/>
        </w:rPr>
        <w:t xml:space="preserve"> y </w:t>
      </w:r>
      <w:r w:rsidR="00F96079" w:rsidRPr="00127EBF">
        <w:rPr>
          <w:rFonts w:ascii="Arial" w:eastAsia="Calibri" w:hAnsi="Arial" w:cs="Arial"/>
          <w:color w:val="000000" w:themeColor="text1"/>
          <w:sz w:val="22"/>
          <w:szCs w:val="22"/>
          <w:lang w:val="es-ES_tradnl"/>
        </w:rPr>
        <w:t xml:space="preserve">C-556 del </w:t>
      </w:r>
      <w:r w:rsidR="00E820F4" w:rsidRPr="00127EBF">
        <w:rPr>
          <w:rFonts w:ascii="Arial" w:eastAsia="Calibri" w:hAnsi="Arial" w:cs="Arial"/>
          <w:color w:val="000000" w:themeColor="text1"/>
          <w:sz w:val="22"/>
          <w:szCs w:val="22"/>
          <w:lang w:val="es-ES_tradnl"/>
        </w:rPr>
        <w:t>31 de agosto de 2020</w:t>
      </w:r>
      <w:r w:rsidR="004060DC" w:rsidRPr="00127EBF">
        <w:rPr>
          <w:rFonts w:ascii="Arial" w:eastAsia="Calibri" w:hAnsi="Arial" w:cs="Arial"/>
          <w:color w:val="000000" w:themeColor="text1"/>
          <w:sz w:val="22"/>
          <w:szCs w:val="22"/>
          <w:lang w:val="es-ES_tradnl"/>
        </w:rPr>
        <w:t>.</w:t>
      </w:r>
      <w:r w:rsidR="002B2BDA" w:rsidRPr="00127EBF">
        <w:rPr>
          <w:rFonts w:ascii="Arial" w:eastAsia="Calibri" w:hAnsi="Arial" w:cs="Arial"/>
          <w:color w:val="000000" w:themeColor="text1"/>
          <w:sz w:val="22"/>
          <w:szCs w:val="22"/>
          <w:lang w:val="es-ES_tradnl"/>
        </w:rPr>
        <w:t xml:space="preserve"> </w:t>
      </w:r>
      <w:r w:rsidR="002B2BDA" w:rsidRPr="00127EBF">
        <w:rPr>
          <w:rFonts w:ascii="Arial" w:eastAsia="Calibri" w:hAnsi="Arial" w:cs="Arial"/>
          <w:bCs/>
          <w:color w:val="000000" w:themeColor="text1"/>
          <w:sz w:val="22"/>
          <w:lang w:val="es-ES_tradnl"/>
        </w:rPr>
        <w:t xml:space="preserve">Igualmente, </w:t>
      </w:r>
      <w:r w:rsidR="00822277" w:rsidRPr="00127EBF">
        <w:rPr>
          <w:rFonts w:ascii="Arial" w:eastAsia="Calibri" w:hAnsi="Arial" w:cs="Arial"/>
          <w:bCs/>
          <w:color w:val="000000" w:themeColor="text1"/>
          <w:sz w:val="22"/>
          <w:lang w:val="es-ES_tradnl"/>
        </w:rPr>
        <w:t xml:space="preserve">entre otros pronunciamientos, </w:t>
      </w:r>
      <w:r w:rsidR="002B2BDA" w:rsidRPr="00127EBF">
        <w:rPr>
          <w:rFonts w:ascii="Arial" w:eastAsia="Calibri" w:hAnsi="Arial" w:cs="Arial"/>
          <w:bCs/>
          <w:color w:val="000000" w:themeColor="text1"/>
          <w:sz w:val="22"/>
          <w:lang w:val="es-ES_tradnl"/>
        </w:rPr>
        <w:t xml:space="preserve">en los </w:t>
      </w:r>
      <w:r w:rsidR="00822277" w:rsidRPr="00127EBF">
        <w:rPr>
          <w:rFonts w:ascii="Arial" w:eastAsia="Calibri" w:hAnsi="Arial" w:cs="Arial"/>
          <w:bCs/>
          <w:color w:val="000000" w:themeColor="text1"/>
          <w:sz w:val="22"/>
          <w:lang w:val="es-ES_tradnl"/>
        </w:rPr>
        <w:t>c</w:t>
      </w:r>
      <w:r w:rsidR="002B2BDA" w:rsidRPr="00127EBF">
        <w:rPr>
          <w:rFonts w:ascii="Arial" w:eastAsia="Calibri" w:hAnsi="Arial" w:cs="Arial"/>
          <w:bCs/>
          <w:color w:val="000000" w:themeColor="text1"/>
          <w:sz w:val="22"/>
          <w:lang w:val="es-ES_tradnl"/>
        </w:rPr>
        <w:t>onceptos C-009, 012, 013, 015, 016, 026 del 4 de febrero de 2021, así como en los Conceptos C-006 del 5 de febrero de 2021 y C-043 del 9 de febrero de 2021, se analizaron algunos aspectos sobre la aplicación de la Ley de Emprendimiento</w:t>
      </w:r>
      <w:r w:rsidR="001763B2">
        <w:rPr>
          <w:rFonts w:ascii="Arial" w:eastAsia="Calibri" w:hAnsi="Arial" w:cs="Arial"/>
          <w:bCs/>
          <w:color w:val="000000" w:themeColor="text1"/>
          <w:sz w:val="22"/>
          <w:lang w:val="es-ES_tradnl"/>
        </w:rPr>
        <w:t xml:space="preserve"> y particularmente, sobre los factores de desempate previstos en el artículo 35 de la Ley 2069 de 2020</w:t>
      </w:r>
      <w:r w:rsidR="002B2BDA" w:rsidRPr="00127EBF">
        <w:rPr>
          <w:rFonts w:ascii="Arial" w:eastAsia="Calibri" w:hAnsi="Arial" w:cs="Arial"/>
          <w:bCs/>
          <w:color w:val="000000" w:themeColor="text1"/>
          <w:sz w:val="22"/>
          <w:lang w:val="es-ES_tradnl"/>
        </w:rPr>
        <w:t>.</w:t>
      </w:r>
      <w:r w:rsidR="00711313" w:rsidRPr="00127EBF">
        <w:rPr>
          <w:rFonts w:ascii="Arial" w:eastAsia="Calibri" w:hAnsi="Arial" w:cs="Arial"/>
          <w:bCs/>
          <w:color w:val="000000" w:themeColor="text1"/>
          <w:sz w:val="22"/>
          <w:lang w:val="es-ES_tradnl"/>
        </w:rPr>
        <w:t xml:space="preserve"> </w:t>
      </w:r>
      <w:r w:rsidR="004060DC" w:rsidRPr="00127EBF">
        <w:rPr>
          <w:rFonts w:ascii="Arial" w:eastAsia="Calibri" w:hAnsi="Arial" w:cs="Arial"/>
          <w:color w:val="000000" w:themeColor="text1"/>
          <w:sz w:val="22"/>
          <w:szCs w:val="22"/>
          <w:lang w:val="es-ES_tradnl"/>
        </w:rPr>
        <w:t xml:space="preserve">Algunas de las consideraciones </w:t>
      </w:r>
      <w:r w:rsidR="00A6144B" w:rsidRPr="00127EBF">
        <w:rPr>
          <w:rFonts w:ascii="Arial" w:eastAsia="Calibri" w:hAnsi="Arial" w:cs="Arial"/>
          <w:color w:val="000000" w:themeColor="text1"/>
          <w:sz w:val="22"/>
          <w:szCs w:val="22"/>
          <w:lang w:val="es-ES_tradnl"/>
        </w:rPr>
        <w:t>de estos</w:t>
      </w:r>
      <w:r w:rsidR="004060DC" w:rsidRPr="00127EBF">
        <w:rPr>
          <w:rFonts w:ascii="Arial" w:eastAsia="Calibri" w:hAnsi="Arial" w:cs="Arial"/>
          <w:color w:val="000000" w:themeColor="text1"/>
          <w:sz w:val="22"/>
          <w:szCs w:val="22"/>
          <w:lang w:val="es-ES_tradnl"/>
        </w:rPr>
        <w:t xml:space="preserve"> conceptos se </w:t>
      </w:r>
      <w:r w:rsidR="00F24BB1" w:rsidRPr="00127EBF">
        <w:rPr>
          <w:rFonts w:ascii="Arial" w:eastAsia="Calibri" w:hAnsi="Arial" w:cs="Arial"/>
          <w:color w:val="000000" w:themeColor="text1"/>
          <w:sz w:val="22"/>
          <w:szCs w:val="22"/>
          <w:lang w:val="es-ES_tradnl"/>
        </w:rPr>
        <w:t>reiteran</w:t>
      </w:r>
      <w:r w:rsidR="004060DC" w:rsidRPr="00127EBF">
        <w:rPr>
          <w:rFonts w:ascii="Arial" w:eastAsia="Calibri" w:hAnsi="Arial" w:cs="Arial"/>
          <w:color w:val="000000" w:themeColor="text1"/>
          <w:sz w:val="22"/>
          <w:szCs w:val="22"/>
          <w:lang w:val="es-ES_tradnl"/>
        </w:rPr>
        <w:t xml:space="preserve"> a continuación.</w:t>
      </w:r>
    </w:p>
    <w:p w14:paraId="331D0ECA" w14:textId="689DE24D" w:rsidR="003C4317" w:rsidRPr="00127EBF" w:rsidRDefault="003C4317" w:rsidP="00271230">
      <w:pPr>
        <w:spacing w:line="276" w:lineRule="auto"/>
        <w:jc w:val="both"/>
        <w:rPr>
          <w:rFonts w:ascii="Arial" w:eastAsia="Calibri" w:hAnsi="Arial" w:cs="Arial"/>
          <w:color w:val="000000" w:themeColor="text1"/>
          <w:sz w:val="22"/>
          <w:szCs w:val="22"/>
          <w:lang w:val="es-ES_tradnl"/>
        </w:rPr>
      </w:pPr>
    </w:p>
    <w:p w14:paraId="696E125D" w14:textId="0306F41E" w:rsidR="00377A98" w:rsidRPr="00127EBF" w:rsidRDefault="00377A98" w:rsidP="00377A98">
      <w:pPr>
        <w:tabs>
          <w:tab w:val="left" w:pos="426"/>
        </w:tabs>
        <w:spacing w:line="276" w:lineRule="auto"/>
        <w:jc w:val="both"/>
        <w:rPr>
          <w:rFonts w:ascii="Arial" w:eastAsia="Calibri" w:hAnsi="Arial" w:cs="Arial"/>
          <w:b/>
          <w:sz w:val="22"/>
          <w:lang w:val="es-ES_tradnl"/>
        </w:rPr>
      </w:pPr>
      <w:r w:rsidRPr="00127EBF">
        <w:rPr>
          <w:rFonts w:ascii="Arial" w:eastAsia="Calibri" w:hAnsi="Arial" w:cs="Arial"/>
          <w:b/>
          <w:sz w:val="22"/>
          <w:lang w:val="es-ES_tradnl"/>
        </w:rPr>
        <w:t>2.1. Efecto</w:t>
      </w:r>
      <w:r w:rsidR="00910CA4" w:rsidRPr="00127EBF">
        <w:rPr>
          <w:rFonts w:ascii="Arial" w:eastAsia="Calibri" w:hAnsi="Arial" w:cs="Arial"/>
          <w:b/>
          <w:sz w:val="22"/>
          <w:lang w:val="es-ES_tradnl"/>
        </w:rPr>
        <w:t xml:space="preserve"> jurídico</w:t>
      </w:r>
      <w:r w:rsidRPr="00127EBF">
        <w:rPr>
          <w:rFonts w:ascii="Arial" w:eastAsia="Calibri" w:hAnsi="Arial" w:cs="Arial"/>
          <w:b/>
          <w:sz w:val="22"/>
          <w:lang w:val="es-ES_tradnl"/>
        </w:rPr>
        <w:t xml:space="preserve"> de los conceptos emitidos por </w:t>
      </w:r>
      <w:r w:rsidR="00910CA4" w:rsidRPr="00127EBF">
        <w:rPr>
          <w:rFonts w:ascii="Arial" w:eastAsia="Calibri" w:hAnsi="Arial" w:cs="Arial"/>
          <w:b/>
          <w:sz w:val="22"/>
          <w:lang w:val="es-ES_tradnl"/>
        </w:rPr>
        <w:t xml:space="preserve">la Agencia Nacional de Contratación Pública – </w:t>
      </w:r>
      <w:r w:rsidRPr="00127EBF">
        <w:rPr>
          <w:rFonts w:ascii="Arial" w:eastAsia="Calibri" w:hAnsi="Arial" w:cs="Arial"/>
          <w:b/>
          <w:sz w:val="22"/>
          <w:lang w:val="es-ES_tradnl"/>
        </w:rPr>
        <w:t>Colombia Compra Eficiente</w:t>
      </w:r>
    </w:p>
    <w:p w14:paraId="3EC368E7" w14:textId="77777777" w:rsidR="00377A98" w:rsidRPr="00127EBF" w:rsidRDefault="00377A98" w:rsidP="00377A98">
      <w:pPr>
        <w:tabs>
          <w:tab w:val="left" w:pos="426"/>
        </w:tabs>
        <w:spacing w:line="276" w:lineRule="auto"/>
        <w:jc w:val="both"/>
        <w:rPr>
          <w:rFonts w:ascii="Arial" w:eastAsia="Calibri" w:hAnsi="Arial" w:cs="Arial"/>
          <w:b/>
          <w:sz w:val="22"/>
          <w:lang w:val="es-ES_tradnl"/>
        </w:rPr>
      </w:pPr>
    </w:p>
    <w:p w14:paraId="699C4E11" w14:textId="6265852F" w:rsidR="00377A98" w:rsidRPr="00127EBF" w:rsidRDefault="00377A98" w:rsidP="00377A98">
      <w:pPr>
        <w:tabs>
          <w:tab w:val="left" w:pos="426"/>
        </w:tabs>
        <w:spacing w:line="276" w:lineRule="auto"/>
        <w:jc w:val="both"/>
        <w:rPr>
          <w:rFonts w:ascii="Arial" w:eastAsia="Calibri" w:hAnsi="Arial" w:cs="Arial"/>
          <w:bCs/>
          <w:sz w:val="22"/>
          <w:lang w:val="es-ES_tradnl"/>
        </w:rPr>
      </w:pPr>
      <w:r w:rsidRPr="00127EBF">
        <w:rPr>
          <w:rFonts w:ascii="Arial" w:eastAsia="Calibri" w:hAnsi="Arial" w:cs="Arial"/>
          <w:bCs/>
          <w:sz w:val="22"/>
          <w:lang w:val="es-ES_tradnl"/>
        </w:rPr>
        <w:t>En ejercicio de las competencias consagradas en los artículos 3, numeral 5, 11, numeral 8, 12, numeral 6, y 13, numeral 4, del Decreto 4170 de 2011,</w:t>
      </w:r>
      <w:r w:rsidR="004F580A" w:rsidRPr="00127EBF">
        <w:rPr>
          <w:rFonts w:ascii="Arial" w:eastAsia="Calibri" w:hAnsi="Arial" w:cs="Arial"/>
          <w:bCs/>
          <w:sz w:val="22"/>
          <w:lang w:val="es-ES_tradnl"/>
        </w:rPr>
        <w:t xml:space="preserve"> </w:t>
      </w:r>
      <w:r w:rsidRPr="00127EBF">
        <w:rPr>
          <w:rFonts w:ascii="Arial" w:eastAsia="Calibri" w:hAnsi="Arial" w:cs="Arial"/>
          <w:bCs/>
          <w:sz w:val="22"/>
          <w:lang w:val="es-ES_tradnl"/>
        </w:rPr>
        <w:t xml:space="preserve">la Agencia Nacional de Contratación Pública – Colombia Compra Eficiente resuelve consultas sobre los asuntos de su competencia, esto es, sobre las </w:t>
      </w:r>
      <w:r w:rsidR="004F580A" w:rsidRPr="00127EBF">
        <w:rPr>
          <w:rFonts w:ascii="Arial" w:eastAsia="Calibri" w:hAnsi="Arial" w:cs="Arial"/>
          <w:bCs/>
          <w:sz w:val="22"/>
          <w:lang w:val="es-ES_tradnl"/>
        </w:rPr>
        <w:t>normas que conforman el sistema de compras y contratación pública</w:t>
      </w:r>
      <w:r w:rsidRPr="00127EBF">
        <w:rPr>
          <w:rFonts w:ascii="Arial" w:eastAsia="Calibri" w:hAnsi="Arial" w:cs="Arial"/>
          <w:bCs/>
          <w:sz w:val="22"/>
          <w:lang w:val="es-ES_tradnl"/>
        </w:rPr>
        <w:t>. Esta competencia consultiva se relaciona con el artículo 28 de la Ley 1437 de 2011, sustituido por el artículo 1 de la Ley 1755, que dispone lo siguiente:</w:t>
      </w:r>
    </w:p>
    <w:p w14:paraId="2C6BCE73" w14:textId="77777777" w:rsidR="00377A98" w:rsidRPr="00127EBF" w:rsidRDefault="00377A98" w:rsidP="00377A98">
      <w:pPr>
        <w:tabs>
          <w:tab w:val="left" w:pos="426"/>
        </w:tabs>
        <w:spacing w:line="276" w:lineRule="auto"/>
        <w:jc w:val="both"/>
        <w:rPr>
          <w:rFonts w:ascii="Arial" w:eastAsia="Calibri" w:hAnsi="Arial" w:cs="Arial"/>
          <w:bCs/>
          <w:sz w:val="22"/>
          <w:lang w:val="es-ES_tradnl"/>
        </w:rPr>
      </w:pPr>
    </w:p>
    <w:p w14:paraId="3EDBD750" w14:textId="77777777" w:rsidR="00377A98" w:rsidRPr="00127EBF" w:rsidRDefault="00377A98" w:rsidP="00377A98">
      <w:pPr>
        <w:tabs>
          <w:tab w:val="left" w:pos="426"/>
        </w:tabs>
        <w:ind w:left="709" w:right="709"/>
        <w:jc w:val="both"/>
        <w:rPr>
          <w:rFonts w:ascii="Arial" w:eastAsia="Calibri" w:hAnsi="Arial" w:cs="Arial"/>
          <w:bCs/>
          <w:sz w:val="21"/>
          <w:szCs w:val="21"/>
          <w:lang w:val="es-ES_tradnl"/>
        </w:rPr>
      </w:pPr>
      <w:r w:rsidRPr="00127EBF">
        <w:rPr>
          <w:rFonts w:ascii="Arial" w:eastAsia="Calibri" w:hAnsi="Arial" w:cs="Arial"/>
          <w:bCs/>
          <w:sz w:val="21"/>
          <w:szCs w:val="21"/>
          <w:lang w:val="es-ES_tradnl"/>
        </w:rPr>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14:paraId="12DFE11F" w14:textId="77777777" w:rsidR="00377A98" w:rsidRPr="00127EBF" w:rsidRDefault="00377A98" w:rsidP="00377A98">
      <w:pPr>
        <w:tabs>
          <w:tab w:val="left" w:pos="426"/>
        </w:tabs>
        <w:spacing w:line="276" w:lineRule="auto"/>
        <w:jc w:val="both"/>
        <w:rPr>
          <w:rFonts w:ascii="Arial" w:eastAsia="Calibri" w:hAnsi="Arial" w:cs="Arial"/>
          <w:bCs/>
          <w:sz w:val="22"/>
          <w:lang w:val="es-ES_tradnl"/>
        </w:rPr>
      </w:pPr>
    </w:p>
    <w:p w14:paraId="31CC198F" w14:textId="2748F2F4" w:rsidR="00377A98" w:rsidRPr="00127EBF" w:rsidRDefault="00377A98" w:rsidP="00377A98">
      <w:pPr>
        <w:tabs>
          <w:tab w:val="left" w:pos="709"/>
        </w:tabs>
        <w:spacing w:line="276" w:lineRule="auto"/>
        <w:jc w:val="both"/>
        <w:rPr>
          <w:rFonts w:ascii="Arial" w:eastAsia="Calibri" w:hAnsi="Arial" w:cs="Arial"/>
          <w:bCs/>
          <w:sz w:val="22"/>
          <w:lang w:val="es-ES_tradnl"/>
        </w:rPr>
      </w:pPr>
      <w:r w:rsidRPr="00127EBF">
        <w:rPr>
          <w:rFonts w:ascii="Arial" w:eastAsia="Calibri" w:hAnsi="Arial" w:cs="Arial"/>
          <w:bCs/>
          <w:sz w:val="22"/>
          <w:lang w:val="es-ES_tradnl"/>
        </w:rPr>
        <w:lastRenderedPageBreak/>
        <w:tab/>
        <w:t>La ley es clara cuando establece que los conceptos</w:t>
      </w:r>
      <w:r w:rsidR="00024A9E" w:rsidRPr="00127EBF">
        <w:rPr>
          <w:rFonts w:ascii="Arial" w:eastAsia="Calibri" w:hAnsi="Arial" w:cs="Arial"/>
          <w:bCs/>
          <w:sz w:val="22"/>
          <w:lang w:val="es-ES_tradnl"/>
        </w:rPr>
        <w:t>,</w:t>
      </w:r>
      <w:r w:rsidRPr="00127EBF">
        <w:rPr>
          <w:rFonts w:ascii="Arial" w:eastAsia="Calibri" w:hAnsi="Arial" w:cs="Arial"/>
          <w:bCs/>
          <w:sz w:val="22"/>
          <w:lang w:val="es-ES_tradnl"/>
        </w:rPr>
        <w:t xml:space="preserve"> emitidos por las autoridades al responder peticiones realizadas en ejercicio del derecho a formular consultas</w:t>
      </w:r>
      <w:r w:rsidR="00024A9E" w:rsidRPr="00127EBF">
        <w:rPr>
          <w:rFonts w:ascii="Arial" w:eastAsia="Calibri" w:hAnsi="Arial" w:cs="Arial"/>
          <w:bCs/>
          <w:sz w:val="22"/>
          <w:lang w:val="es-ES_tradnl"/>
        </w:rPr>
        <w:t>,</w:t>
      </w:r>
      <w:r w:rsidRPr="00127EBF">
        <w:rPr>
          <w:rFonts w:ascii="Arial" w:eastAsia="Calibri" w:hAnsi="Arial" w:cs="Arial"/>
          <w:bCs/>
          <w:sz w:val="22"/>
          <w:lang w:val="es-ES_tradnl"/>
        </w:rPr>
        <w:t xml:space="preserve"> no son de obligatorio cumplimiento o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p>
    <w:p w14:paraId="7DFD5EBC" w14:textId="77777777" w:rsidR="00377A98" w:rsidRPr="00127EBF" w:rsidRDefault="00377A98" w:rsidP="00377A98">
      <w:pPr>
        <w:tabs>
          <w:tab w:val="left" w:pos="709"/>
        </w:tabs>
        <w:spacing w:before="120" w:line="276" w:lineRule="auto"/>
        <w:jc w:val="both"/>
        <w:rPr>
          <w:rFonts w:ascii="Arial" w:eastAsia="Calibri" w:hAnsi="Arial" w:cs="Arial"/>
          <w:bCs/>
          <w:sz w:val="21"/>
          <w:szCs w:val="21"/>
          <w:lang w:val="es-ES_tradnl"/>
        </w:rPr>
      </w:pPr>
      <w:r w:rsidRPr="00127EBF">
        <w:rPr>
          <w:rFonts w:ascii="Arial" w:eastAsia="Calibri" w:hAnsi="Arial" w:cs="Arial"/>
          <w:bCs/>
          <w:sz w:val="22"/>
          <w:lang w:val="es-ES_tradnl"/>
        </w:rPr>
        <w:tab/>
        <w:t>Esta posición es compartida por varias entidades públicas que ejercen la misma función. Por ejemplo,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w:t>
      </w:r>
      <w:r w:rsidRPr="00127EBF">
        <w:rPr>
          <w:rStyle w:val="Refdenotaalpie"/>
          <w:rFonts w:ascii="Arial" w:eastAsia="Calibri" w:hAnsi="Arial" w:cs="Arial"/>
          <w:bCs/>
          <w:sz w:val="22"/>
          <w:lang w:val="es-ES_tradnl"/>
        </w:rPr>
        <w:footnoteReference w:id="2"/>
      </w:r>
      <w:r w:rsidRPr="00127EBF">
        <w:rPr>
          <w:rFonts w:ascii="Arial" w:eastAsia="Calibri" w:hAnsi="Arial" w:cs="Arial"/>
          <w:bCs/>
          <w:sz w:val="22"/>
          <w:lang w:val="es-ES_tradnl"/>
        </w:rPr>
        <w:t>. Igualmente, en concepto del año 2017</w:t>
      </w:r>
      <w:r w:rsidRPr="00127EBF">
        <w:rPr>
          <w:rStyle w:val="Refdenotaalpie"/>
          <w:rFonts w:ascii="Arial" w:eastAsia="Calibri" w:hAnsi="Arial" w:cs="Arial"/>
          <w:bCs/>
          <w:sz w:val="22"/>
          <w:lang w:val="es-ES_tradnl"/>
        </w:rPr>
        <w:footnoteReference w:id="3"/>
      </w:r>
      <w:r w:rsidRPr="00127EBF">
        <w:rPr>
          <w:rFonts w:ascii="Arial" w:eastAsia="Calibri" w:hAnsi="Arial" w:cs="Arial"/>
          <w:bCs/>
          <w:sz w:val="22"/>
          <w:lang w:val="es-ES_tradnl"/>
        </w:rPr>
        <w:t>,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p>
    <w:p w14:paraId="6347A267" w14:textId="77777777" w:rsidR="0078304D" w:rsidRDefault="00377A98" w:rsidP="00377A98">
      <w:pPr>
        <w:tabs>
          <w:tab w:val="left" w:pos="709"/>
        </w:tabs>
        <w:spacing w:before="120"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t xml:space="preserve">En términos generales, lo que se busca </w:t>
      </w:r>
      <w:r w:rsidR="00127EBF" w:rsidRPr="00127EBF">
        <w:rPr>
          <w:rFonts w:ascii="Arial" w:eastAsia="Calibri" w:hAnsi="Arial" w:cs="Arial"/>
          <w:bCs/>
          <w:sz w:val="22"/>
          <w:lang w:val="es-ES_tradnl"/>
        </w:rPr>
        <w:t xml:space="preserve">con el ejercicio de la función consultiva </w:t>
      </w:r>
      <w:r w:rsidRPr="00127EBF">
        <w:rPr>
          <w:rFonts w:ascii="Arial" w:eastAsia="Calibri" w:hAnsi="Arial" w:cs="Arial"/>
          <w:bCs/>
          <w:sz w:val="22"/>
          <w:lang w:val="es-ES_tradnl"/>
        </w:rPr>
        <w:t xml:space="preserve">es que la opinión jurídica de la </w:t>
      </w:r>
      <w:r w:rsidR="00127EBF">
        <w:rPr>
          <w:rFonts w:ascii="Arial" w:eastAsia="Calibri" w:hAnsi="Arial" w:cs="Arial"/>
          <w:bCs/>
          <w:sz w:val="22"/>
          <w:lang w:val="es-ES_tradnl"/>
        </w:rPr>
        <w:t>Agencia Nacional de Contratación Pública – Colombia Compra Eficiente</w:t>
      </w:r>
      <w:r w:rsidRPr="00127EBF">
        <w:rPr>
          <w:rFonts w:ascii="Arial" w:eastAsia="Calibri" w:hAnsi="Arial" w:cs="Arial"/>
          <w:bCs/>
          <w:sz w:val="22"/>
          <w:lang w:val="es-ES_tradnl"/>
        </w:rPr>
        <w:t xml:space="preserve"> </w:t>
      </w:r>
      <w:r w:rsidR="00707F27">
        <w:rPr>
          <w:rFonts w:ascii="Arial" w:eastAsia="Calibri" w:hAnsi="Arial" w:cs="Arial"/>
          <w:bCs/>
          <w:sz w:val="22"/>
          <w:lang w:val="es-ES_tradnl"/>
        </w:rPr>
        <w:t xml:space="preserve">sea un </w:t>
      </w:r>
      <w:r w:rsidRPr="00127EBF">
        <w:rPr>
          <w:rFonts w:ascii="Arial" w:eastAsia="Calibri" w:hAnsi="Arial" w:cs="Arial"/>
          <w:bCs/>
          <w:sz w:val="22"/>
          <w:lang w:val="es-ES_tradnl"/>
        </w:rPr>
        <w:t xml:space="preserve">criterio de orientación para </w:t>
      </w:r>
      <w:r w:rsidR="00707F27">
        <w:rPr>
          <w:rFonts w:ascii="Arial" w:eastAsia="Calibri" w:hAnsi="Arial" w:cs="Arial"/>
          <w:bCs/>
          <w:sz w:val="22"/>
          <w:lang w:val="es-ES_tradnl"/>
        </w:rPr>
        <w:t>los operadores jurídicos</w:t>
      </w:r>
      <w:r w:rsidRPr="00127EBF">
        <w:rPr>
          <w:rFonts w:ascii="Arial" w:eastAsia="Calibri" w:hAnsi="Arial" w:cs="Arial"/>
          <w:bCs/>
          <w:sz w:val="22"/>
          <w:lang w:val="es-ES_tradnl"/>
        </w:rPr>
        <w:t xml:space="preserve">, </w:t>
      </w:r>
      <w:r w:rsidR="008E399F">
        <w:rPr>
          <w:rFonts w:ascii="Arial" w:eastAsia="Calibri" w:hAnsi="Arial" w:cs="Arial"/>
          <w:bCs/>
          <w:sz w:val="22"/>
          <w:lang w:val="es-ES_tradnl"/>
        </w:rPr>
        <w:t xml:space="preserve">sin que ello suponga resolver un problema entre partes o asumir la </w:t>
      </w:r>
      <w:r w:rsidR="008E399F" w:rsidRPr="00235DCF">
        <w:rPr>
          <w:rFonts w:ascii="Arial" w:eastAsia="Calibri" w:hAnsi="Arial" w:cs="Arial"/>
          <w:bCs/>
          <w:i/>
          <w:iCs/>
          <w:sz w:val="22"/>
          <w:lang w:val="es-ES_tradnl"/>
        </w:rPr>
        <w:t>única</w:t>
      </w:r>
      <w:r w:rsidR="008E399F">
        <w:rPr>
          <w:rFonts w:ascii="Arial" w:eastAsia="Calibri" w:hAnsi="Arial" w:cs="Arial"/>
          <w:bCs/>
          <w:sz w:val="22"/>
          <w:lang w:val="es-ES_tradnl"/>
        </w:rPr>
        <w:t xml:space="preserve"> posible interpretación de una disposición normativa</w:t>
      </w:r>
      <w:r w:rsidRPr="00127EBF">
        <w:rPr>
          <w:rFonts w:ascii="Arial" w:eastAsia="Calibri" w:hAnsi="Arial" w:cs="Arial"/>
          <w:bCs/>
          <w:sz w:val="22"/>
          <w:lang w:val="es-ES_tradnl"/>
        </w:rPr>
        <w:t>.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127EBF">
        <w:rPr>
          <w:rStyle w:val="Refdenotaalpie"/>
          <w:rFonts w:ascii="Arial" w:eastAsia="Calibri" w:hAnsi="Arial" w:cs="Arial"/>
          <w:bCs/>
          <w:sz w:val="22"/>
          <w:lang w:val="es-ES_tradnl"/>
        </w:rPr>
        <w:footnoteReference w:id="4"/>
      </w:r>
      <w:r w:rsidR="0078304D">
        <w:rPr>
          <w:rFonts w:ascii="Arial" w:eastAsia="Calibri" w:hAnsi="Arial" w:cs="Arial"/>
          <w:bCs/>
          <w:sz w:val="22"/>
          <w:lang w:val="es-ES_tradnl"/>
        </w:rPr>
        <w:t>.</w:t>
      </w:r>
    </w:p>
    <w:p w14:paraId="34814298" w14:textId="19A64919" w:rsidR="00377A98" w:rsidRPr="00127EBF" w:rsidRDefault="00587B8B" w:rsidP="0078304D">
      <w:pPr>
        <w:tabs>
          <w:tab w:val="left" w:pos="709"/>
        </w:tabs>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Las</w:t>
      </w:r>
      <w:r w:rsidR="00377A98" w:rsidRPr="00127EBF">
        <w:rPr>
          <w:rFonts w:ascii="Arial" w:eastAsia="Calibri" w:hAnsi="Arial" w:cs="Arial"/>
          <w:bCs/>
          <w:sz w:val="22"/>
          <w:lang w:val="es-ES_tradnl"/>
        </w:rPr>
        <w:t xml:space="preserve"> autoridades que ejercen funciones consultivas </w:t>
      </w:r>
      <w:r>
        <w:rPr>
          <w:rFonts w:ascii="Arial" w:eastAsia="Calibri" w:hAnsi="Arial" w:cs="Arial"/>
          <w:bCs/>
          <w:sz w:val="22"/>
          <w:lang w:val="es-ES_tradnl"/>
        </w:rPr>
        <w:t>pueden expresar su interpretación de un precepto normativo</w:t>
      </w:r>
      <w:r w:rsidR="004A021B">
        <w:rPr>
          <w:rFonts w:ascii="Arial" w:eastAsia="Calibri" w:hAnsi="Arial" w:cs="Arial"/>
          <w:bCs/>
          <w:sz w:val="22"/>
          <w:lang w:val="es-ES_tradnl"/>
        </w:rPr>
        <w:t xml:space="preserve"> </w:t>
      </w:r>
      <w:r w:rsidR="00923A8A">
        <w:rPr>
          <w:rFonts w:ascii="Arial" w:eastAsia="Calibri" w:hAnsi="Arial" w:cs="Arial"/>
          <w:bCs/>
          <w:sz w:val="22"/>
          <w:lang w:val="es-ES_tradnl"/>
        </w:rPr>
        <w:t>que no excluye</w:t>
      </w:r>
      <w:r w:rsidR="00322119">
        <w:rPr>
          <w:rFonts w:ascii="Arial" w:eastAsia="Calibri" w:hAnsi="Arial" w:cs="Arial"/>
          <w:bCs/>
          <w:sz w:val="22"/>
          <w:lang w:val="es-ES_tradnl"/>
        </w:rPr>
        <w:t xml:space="preserve"> otras </w:t>
      </w:r>
      <w:r w:rsidR="004A021B">
        <w:rPr>
          <w:rFonts w:ascii="Arial" w:eastAsia="Calibri" w:hAnsi="Arial" w:cs="Arial"/>
          <w:bCs/>
          <w:sz w:val="22"/>
          <w:lang w:val="es-ES_tradnl"/>
        </w:rPr>
        <w:t>interpretaciones</w:t>
      </w:r>
      <w:r w:rsidR="00322119">
        <w:rPr>
          <w:rFonts w:ascii="Arial" w:eastAsia="Calibri" w:hAnsi="Arial" w:cs="Arial"/>
          <w:bCs/>
          <w:sz w:val="22"/>
          <w:lang w:val="es-ES_tradnl"/>
        </w:rPr>
        <w:t xml:space="preserve"> posibles, pues el derecho, como sistema normativo, es un lenguaje que</w:t>
      </w:r>
      <w:r w:rsidR="004A021B">
        <w:rPr>
          <w:rFonts w:ascii="Arial" w:eastAsia="Calibri" w:hAnsi="Arial" w:cs="Arial"/>
          <w:bCs/>
          <w:sz w:val="22"/>
          <w:lang w:val="es-ES_tradnl"/>
        </w:rPr>
        <w:t>,</w:t>
      </w:r>
      <w:r w:rsidR="00322119">
        <w:rPr>
          <w:rFonts w:ascii="Arial" w:eastAsia="Calibri" w:hAnsi="Arial" w:cs="Arial"/>
          <w:bCs/>
          <w:sz w:val="22"/>
          <w:lang w:val="es-ES_tradnl"/>
        </w:rPr>
        <w:t xml:space="preserve"> en ocasiones</w:t>
      </w:r>
      <w:r w:rsidR="004A021B">
        <w:rPr>
          <w:rFonts w:ascii="Arial" w:eastAsia="Calibri" w:hAnsi="Arial" w:cs="Arial"/>
          <w:bCs/>
          <w:sz w:val="22"/>
          <w:lang w:val="es-ES_tradnl"/>
        </w:rPr>
        <w:t>,</w:t>
      </w:r>
      <w:r w:rsidR="00322119">
        <w:rPr>
          <w:rFonts w:ascii="Arial" w:eastAsia="Calibri" w:hAnsi="Arial" w:cs="Arial"/>
          <w:bCs/>
          <w:sz w:val="22"/>
          <w:lang w:val="es-ES_tradnl"/>
        </w:rPr>
        <w:t xml:space="preserve"> se tiñe de vaguedad, en virtud de la utilización de conceptos jurídicos indeterminados</w:t>
      </w:r>
      <w:r w:rsidR="00377A98" w:rsidRPr="00127EBF">
        <w:rPr>
          <w:rFonts w:ascii="Arial" w:eastAsia="Calibri" w:hAnsi="Arial" w:cs="Arial"/>
          <w:bCs/>
          <w:sz w:val="22"/>
          <w:lang w:val="es-ES_tradnl"/>
        </w:rPr>
        <w:t>.</w:t>
      </w:r>
      <w:r w:rsidR="004A021B">
        <w:rPr>
          <w:rFonts w:ascii="Arial" w:eastAsia="Calibri" w:hAnsi="Arial" w:cs="Arial"/>
          <w:bCs/>
          <w:sz w:val="22"/>
          <w:lang w:val="es-ES_tradnl"/>
        </w:rPr>
        <w:t xml:space="preserve"> </w:t>
      </w:r>
      <w:r w:rsidR="00377A98" w:rsidRPr="00127EBF">
        <w:rPr>
          <w:rFonts w:ascii="Arial" w:eastAsia="Calibri" w:hAnsi="Arial" w:cs="Arial"/>
          <w:bCs/>
          <w:sz w:val="22"/>
          <w:lang w:val="es-ES_tradnl"/>
        </w:rPr>
        <w:t xml:space="preserve">Así, puede pasar, por ejemplo, que un ministerio considere que una norma debe entenderse en un sentido, pero que otra entidad, vinculada o adscrita a ese ministerio, entienda que la misma norma debe interpretarse de otra manera. Eso hace parte de la lógica deliberativa y </w:t>
      </w:r>
      <w:r w:rsidR="00377A98" w:rsidRPr="00127EBF">
        <w:rPr>
          <w:rFonts w:ascii="Arial" w:eastAsia="Calibri" w:hAnsi="Arial" w:cs="Arial"/>
          <w:bCs/>
          <w:sz w:val="22"/>
          <w:lang w:val="es-ES_tradnl"/>
        </w:rPr>
        <w:lastRenderedPageBreak/>
        <w:t>dialéctica del funcionamiento del Estado y</w:t>
      </w:r>
      <w:r w:rsidR="009639B3">
        <w:rPr>
          <w:rFonts w:ascii="Arial" w:eastAsia="Calibri" w:hAnsi="Arial" w:cs="Arial"/>
          <w:bCs/>
          <w:sz w:val="22"/>
          <w:lang w:val="es-ES_tradnl"/>
        </w:rPr>
        <w:t xml:space="preserve"> </w:t>
      </w:r>
      <w:r w:rsidR="00377A98" w:rsidRPr="00127EBF">
        <w:rPr>
          <w:rFonts w:ascii="Arial" w:eastAsia="Calibri" w:hAnsi="Arial" w:cs="Arial"/>
          <w:bCs/>
          <w:sz w:val="22"/>
          <w:lang w:val="es-ES_tradnl"/>
        </w:rPr>
        <w:t>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w:t>
      </w:r>
      <w:r w:rsidR="000C73DB">
        <w:rPr>
          <w:rFonts w:ascii="Arial" w:eastAsia="Calibri" w:hAnsi="Arial" w:cs="Arial"/>
          <w:bCs/>
          <w:sz w:val="22"/>
          <w:lang w:val="es-ES_tradnl"/>
        </w:rPr>
        <w:t>.</w:t>
      </w:r>
      <w:r w:rsidR="00377A98" w:rsidRPr="00127EBF">
        <w:rPr>
          <w:rFonts w:ascii="Arial" w:eastAsia="Calibri" w:hAnsi="Arial" w:cs="Arial"/>
          <w:bCs/>
          <w:sz w:val="22"/>
          <w:lang w:val="es-ES_tradnl"/>
        </w:rPr>
        <w:t xml:space="preserve"> </w:t>
      </w:r>
      <w:r w:rsidR="000C73DB">
        <w:rPr>
          <w:rFonts w:ascii="Arial" w:eastAsia="Calibri" w:hAnsi="Arial" w:cs="Arial"/>
          <w:bCs/>
          <w:sz w:val="22"/>
          <w:lang w:val="es-ES_tradnl"/>
        </w:rPr>
        <w:t>E</w:t>
      </w:r>
      <w:r w:rsidR="00377A98" w:rsidRPr="00127EBF">
        <w:rPr>
          <w:rFonts w:ascii="Arial" w:eastAsia="Calibri" w:hAnsi="Arial" w:cs="Arial"/>
          <w:bCs/>
          <w:sz w:val="22"/>
          <w:lang w:val="es-ES_tradnl"/>
        </w:rPr>
        <w:t xml:space="preserve">n otras palabras, los conceptos «no serán de obligatorio cumplimiento o ejecución». </w:t>
      </w:r>
    </w:p>
    <w:p w14:paraId="5DE491B1" w14:textId="7E9985A2" w:rsidR="00377A98" w:rsidRPr="00127EBF" w:rsidRDefault="00377A98" w:rsidP="00377A98">
      <w:pPr>
        <w:tabs>
          <w:tab w:val="left" w:pos="709"/>
        </w:tabs>
        <w:spacing w:before="120"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t>En similares términos, el artículo 112 de la Ley 1437 de 2011 establece, en relación con la Sala de Consulta y Servicio Civil, que «los conceptos de la Sala no serán vinculantes, salvo que la ley disponga lo contrario»</w:t>
      </w:r>
      <w:r w:rsidRPr="00127EBF">
        <w:rPr>
          <w:rStyle w:val="Refdenotaalpie"/>
          <w:rFonts w:ascii="Arial" w:eastAsia="Calibri" w:hAnsi="Arial" w:cs="Arial"/>
          <w:bCs/>
          <w:sz w:val="22"/>
          <w:lang w:val="es-ES_tradnl"/>
        </w:rPr>
        <w:footnoteReference w:id="5"/>
      </w:r>
      <w:r w:rsidRPr="00127EBF">
        <w:rPr>
          <w:rFonts w:ascii="Arial" w:eastAsia="Calibri" w:hAnsi="Arial" w:cs="Arial"/>
          <w:bCs/>
          <w:sz w:val="22"/>
          <w:lang w:val="es-ES_tradnl"/>
        </w:rPr>
        <w:t xml:space="preserve">. Se trata, </w:t>
      </w:r>
      <w:r w:rsidRPr="00127EBF">
        <w:rPr>
          <w:rFonts w:ascii="Arial" w:eastAsia="Calibri" w:hAnsi="Arial" w:cs="Arial"/>
          <w:bCs/>
          <w:i/>
          <w:iCs/>
          <w:sz w:val="22"/>
          <w:lang w:val="es-ES_tradnl"/>
        </w:rPr>
        <w:t xml:space="preserve">mutatis </w:t>
      </w:r>
      <w:proofErr w:type="spellStart"/>
      <w:r w:rsidRPr="00127EBF">
        <w:rPr>
          <w:rFonts w:ascii="Arial" w:eastAsia="Calibri" w:hAnsi="Arial" w:cs="Arial"/>
          <w:bCs/>
          <w:i/>
          <w:iCs/>
          <w:sz w:val="22"/>
          <w:lang w:val="es-ES_tradnl"/>
        </w:rPr>
        <w:t>mutandi</w:t>
      </w:r>
      <w:proofErr w:type="spellEnd"/>
      <w:r w:rsidRPr="00127EBF">
        <w:rPr>
          <w:rFonts w:ascii="Arial" w:eastAsia="Calibri" w:hAnsi="Arial" w:cs="Arial"/>
          <w:bCs/>
          <w:sz w:val="22"/>
          <w:lang w:val="es-ES_tradnl"/>
        </w:rPr>
        <w:t>,</w:t>
      </w:r>
      <w:r w:rsidRPr="00127EBF">
        <w:rPr>
          <w:rFonts w:ascii="Arial" w:eastAsia="Calibri" w:hAnsi="Arial" w:cs="Arial"/>
          <w:bCs/>
          <w:i/>
          <w:iCs/>
          <w:sz w:val="22"/>
          <w:lang w:val="es-ES_tradnl"/>
        </w:rPr>
        <w:t xml:space="preserve"> </w:t>
      </w:r>
      <w:r w:rsidRPr="00127EBF">
        <w:rPr>
          <w:rFonts w:ascii="Arial" w:eastAsia="Calibri" w:hAnsi="Arial" w:cs="Arial"/>
          <w:bCs/>
          <w:sz w:val="22"/>
          <w:lang w:val="es-ES_tradnl"/>
        </w:rPr>
        <w:t>del ejercicio de una función consultiva, cuyos efectos, por ende, serán los mismos: no vinculantes ni de obligatorio cumplimiento. En relación con el tema, la Sala de Consulta y Servicio Civil del Consejo de Estado</w:t>
      </w:r>
      <w:r w:rsidRPr="00127EBF">
        <w:rPr>
          <w:rStyle w:val="Refdenotaalpie"/>
          <w:rFonts w:ascii="Arial" w:eastAsia="Calibri" w:hAnsi="Arial" w:cs="Arial"/>
          <w:bCs/>
          <w:sz w:val="22"/>
          <w:lang w:val="es-ES_tradnl"/>
        </w:rPr>
        <w:footnoteReference w:id="6"/>
      </w:r>
      <w:r w:rsidRPr="00127EBF">
        <w:rPr>
          <w:rFonts w:ascii="Arial" w:eastAsia="Calibri" w:hAnsi="Arial" w:cs="Arial"/>
          <w:bCs/>
          <w:sz w:val="22"/>
          <w:lang w:val="es-ES_tradnl"/>
        </w:rPr>
        <w:t>, se pronunció en los siguientes términos:</w:t>
      </w:r>
    </w:p>
    <w:p w14:paraId="24B6104A" w14:textId="77777777" w:rsidR="00377A98" w:rsidRPr="00127EBF" w:rsidRDefault="00377A98" w:rsidP="00377A98">
      <w:pPr>
        <w:tabs>
          <w:tab w:val="left" w:pos="426"/>
        </w:tabs>
        <w:spacing w:line="276" w:lineRule="auto"/>
        <w:jc w:val="both"/>
        <w:rPr>
          <w:rFonts w:ascii="Arial" w:eastAsia="Calibri" w:hAnsi="Arial" w:cs="Arial"/>
          <w:bCs/>
          <w:sz w:val="22"/>
          <w:lang w:val="es-ES_tradnl"/>
        </w:rPr>
      </w:pPr>
    </w:p>
    <w:p w14:paraId="779BAA51" w14:textId="77777777" w:rsidR="00377A98" w:rsidRPr="00127EBF" w:rsidRDefault="00377A98" w:rsidP="00377A98">
      <w:pPr>
        <w:tabs>
          <w:tab w:val="left" w:pos="426"/>
        </w:tabs>
        <w:ind w:left="709" w:right="709"/>
        <w:jc w:val="both"/>
        <w:rPr>
          <w:rFonts w:ascii="Arial" w:eastAsia="Calibri" w:hAnsi="Arial" w:cs="Arial"/>
          <w:bCs/>
          <w:sz w:val="21"/>
          <w:szCs w:val="21"/>
          <w:lang w:val="es-ES_tradnl"/>
        </w:rPr>
      </w:pPr>
      <w:r w:rsidRPr="00127EBF">
        <w:rPr>
          <w:rFonts w:ascii="Arial" w:eastAsia="Calibri" w:hAnsi="Arial" w:cs="Arial"/>
          <w:bCs/>
          <w:sz w:val="21"/>
          <w:szCs w:val="21"/>
          <w:lang w:val="es-ES_tradnl"/>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14:paraId="29E1D18D" w14:textId="77777777" w:rsidR="00377A98" w:rsidRPr="00127EBF" w:rsidRDefault="00377A98" w:rsidP="00377A98">
      <w:pPr>
        <w:tabs>
          <w:tab w:val="left" w:pos="426"/>
        </w:tabs>
        <w:ind w:left="709" w:right="709"/>
        <w:jc w:val="both"/>
        <w:rPr>
          <w:rFonts w:ascii="Arial" w:eastAsia="Calibri" w:hAnsi="Arial" w:cs="Arial"/>
          <w:bCs/>
          <w:sz w:val="21"/>
          <w:szCs w:val="21"/>
          <w:lang w:val="es-ES_tradnl"/>
        </w:rPr>
      </w:pPr>
    </w:p>
    <w:p w14:paraId="5730C5E5" w14:textId="77777777" w:rsidR="00377A98" w:rsidRPr="00127EBF" w:rsidRDefault="00377A98" w:rsidP="00377A98">
      <w:pPr>
        <w:tabs>
          <w:tab w:val="left" w:pos="426"/>
        </w:tabs>
        <w:ind w:left="709" w:right="709"/>
        <w:jc w:val="both"/>
        <w:rPr>
          <w:rFonts w:ascii="Arial" w:eastAsia="Calibri" w:hAnsi="Arial" w:cs="Arial"/>
          <w:bCs/>
          <w:sz w:val="21"/>
          <w:szCs w:val="21"/>
          <w:lang w:val="es-ES_tradnl"/>
        </w:rPr>
      </w:pPr>
      <w:r w:rsidRPr="00127EBF">
        <w:rPr>
          <w:rFonts w:ascii="Arial" w:eastAsia="Calibri" w:hAnsi="Arial" w:cs="Arial"/>
          <w:bCs/>
          <w:sz w:val="21"/>
          <w:szCs w:val="21"/>
          <w:lang w:val="es-ES_tradnl"/>
        </w:rPr>
        <w:t>No se trata entonces de dar la razón a una u otra posición en temas controvertibles, sino de rendir un concepto jurídico que sirva a la Administración en la búsqueda del cumplimiento de las finalidades esenciales del Estado.</w:t>
      </w:r>
    </w:p>
    <w:p w14:paraId="0524BA76" w14:textId="77777777" w:rsidR="00377A98" w:rsidRPr="00127EBF" w:rsidRDefault="00377A98" w:rsidP="00377A98">
      <w:pPr>
        <w:tabs>
          <w:tab w:val="left" w:pos="426"/>
        </w:tabs>
        <w:spacing w:line="276" w:lineRule="auto"/>
        <w:jc w:val="both"/>
        <w:rPr>
          <w:rFonts w:ascii="Arial" w:eastAsia="Calibri" w:hAnsi="Arial" w:cs="Arial"/>
          <w:bCs/>
          <w:sz w:val="22"/>
          <w:lang w:val="es-ES_tradnl"/>
        </w:rPr>
      </w:pPr>
    </w:p>
    <w:p w14:paraId="6D11F34B" w14:textId="3DD5A01F" w:rsidR="00377A98" w:rsidRPr="00127EBF" w:rsidRDefault="00377A98" w:rsidP="00377A98">
      <w:pPr>
        <w:tabs>
          <w:tab w:val="left" w:pos="709"/>
        </w:tabs>
        <w:spacing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t>El ejercicio de la función consultiva del artículo 28 de la Ley 1437 de 2011 descarta la resolución de controversias en curso o de problemas cuyos efectos se concreten. Lo primero, debe manejarlo la propia entidad</w:t>
      </w:r>
      <w:r w:rsidR="00F728B5">
        <w:rPr>
          <w:rFonts w:ascii="Arial" w:eastAsia="Calibri" w:hAnsi="Arial" w:cs="Arial"/>
          <w:bCs/>
          <w:sz w:val="22"/>
          <w:lang w:val="es-ES_tradnl"/>
        </w:rPr>
        <w:t xml:space="preserve"> </w:t>
      </w:r>
      <w:r w:rsidRPr="00127EBF">
        <w:rPr>
          <w:rFonts w:ascii="Arial" w:eastAsia="Calibri" w:hAnsi="Arial" w:cs="Arial"/>
          <w:bCs/>
          <w:sz w:val="22"/>
          <w:lang w:val="es-ES_tradnl"/>
        </w:rPr>
        <w:t xml:space="preserve">ante la que se presenta el problema, y lo segundo el juez competente. En últimas, siempre que no exista una decisión judicial vinculante, los </w:t>
      </w:r>
      <w:r w:rsidRPr="00127EBF">
        <w:rPr>
          <w:rFonts w:ascii="Arial" w:eastAsia="Calibri" w:hAnsi="Arial" w:cs="Arial"/>
          <w:bCs/>
          <w:sz w:val="22"/>
          <w:lang w:val="es-ES_tradnl"/>
        </w:rPr>
        <w:lastRenderedPageBreak/>
        <w:t>destinatarios de la norma serán los que interpreten el ordenamiento jurídico. Así las cosas, a título de ejemplo, si una entidad considera que un término vence en un momento específico, habida cuenta de su lectura exegética de la norma respectiva, pero otra entiende que el término vence en otro momento, amparada en una lectura teleológica del ordenamiento jurídico, serán los destinatarios de dicha norma los que decidirán cuál es la interpretación por la que optan, claro está, sin perjuicio del posterior control judicial que podrá hacerse a solicitud de alguno de los interesados. No se trata, entonces, de jerarquías interpretativas sino de opiniones diferentes. El peso de la interpretación depende de la razonabilidad de los argumentos y de la inteligibilidad de la opinión</w:t>
      </w:r>
      <w:r w:rsidR="004010B4">
        <w:rPr>
          <w:rFonts w:ascii="Arial" w:eastAsia="Calibri" w:hAnsi="Arial" w:cs="Arial"/>
          <w:bCs/>
          <w:sz w:val="22"/>
          <w:lang w:val="es-ES_tradnl"/>
        </w:rPr>
        <w:t>.</w:t>
      </w:r>
    </w:p>
    <w:p w14:paraId="64AF6773" w14:textId="77777777" w:rsidR="00377A98" w:rsidRPr="00127EBF" w:rsidRDefault="00377A98" w:rsidP="00377A98">
      <w:pPr>
        <w:tabs>
          <w:tab w:val="left" w:pos="709"/>
        </w:tabs>
        <w:spacing w:before="120" w:after="120"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t>Otro asunto es que la entidad que lee la norma exegéticamente, luego de la decisión judicial, ejerza sus competencias desconociendo la interpretación del juez, como podría pasar, en el ejemplo propuesto, si la entidad rechaza por extemporáneo un recurso, omitiendo la lectura que los jueces hicieron con criterio de autoridad. Con todo, por la naturaleza de la función consultiva, es perfectamente válido que la misma entidad, a título de concepto, mantenga la opinión que no coincide con la judicial, porque la misma no es vinculante.</w:t>
      </w:r>
    </w:p>
    <w:p w14:paraId="54C75E7B" w14:textId="29778F1A" w:rsidR="00377A98" w:rsidRPr="00127EBF" w:rsidRDefault="00377A98" w:rsidP="00377A98">
      <w:pPr>
        <w:tabs>
          <w:tab w:val="left" w:pos="709"/>
        </w:tabs>
        <w:spacing w:before="120" w:line="276" w:lineRule="auto"/>
        <w:jc w:val="both"/>
        <w:rPr>
          <w:rFonts w:ascii="Arial" w:eastAsia="Calibri" w:hAnsi="Arial" w:cs="Arial"/>
          <w:bCs/>
          <w:sz w:val="22"/>
          <w:lang w:val="es-ES_tradnl"/>
        </w:rPr>
      </w:pPr>
      <w:r w:rsidRPr="00127EBF">
        <w:rPr>
          <w:rFonts w:ascii="Arial" w:eastAsia="Calibri" w:hAnsi="Arial" w:cs="Arial"/>
          <w:bCs/>
          <w:sz w:val="22"/>
          <w:lang w:val="es-ES_tradnl"/>
        </w:rPr>
        <w:tab/>
      </w:r>
      <w:bookmarkStart w:id="2" w:name="_Hlk42100007"/>
      <w:r w:rsidRPr="00127EBF">
        <w:rPr>
          <w:rFonts w:ascii="Arial" w:eastAsia="Calibri" w:hAnsi="Arial" w:cs="Arial"/>
          <w:bCs/>
          <w:sz w:val="22"/>
          <w:lang w:val="es-ES_tradnl"/>
        </w:rPr>
        <w:t>Así las cosas, Colombia Compra Eficiente considera que no hay lugar a acceder</w:t>
      </w:r>
      <w:r w:rsidR="00882047">
        <w:rPr>
          <w:rFonts w:ascii="Arial" w:eastAsia="Calibri" w:hAnsi="Arial" w:cs="Arial"/>
          <w:bCs/>
          <w:sz w:val="22"/>
          <w:lang w:val="es-ES_tradnl"/>
        </w:rPr>
        <w:t>, por ejemplo,</w:t>
      </w:r>
      <w:r w:rsidRPr="00127EBF">
        <w:rPr>
          <w:rFonts w:ascii="Arial" w:eastAsia="Calibri" w:hAnsi="Arial" w:cs="Arial"/>
          <w:bCs/>
          <w:sz w:val="22"/>
          <w:lang w:val="es-ES_tradnl"/>
        </w:rPr>
        <w:t xml:space="preserve"> a </w:t>
      </w:r>
      <w:r w:rsidR="00882047">
        <w:rPr>
          <w:rFonts w:ascii="Arial" w:eastAsia="Calibri" w:hAnsi="Arial" w:cs="Arial"/>
          <w:bCs/>
          <w:sz w:val="22"/>
          <w:lang w:val="es-ES_tradnl"/>
        </w:rPr>
        <w:t xml:space="preserve">solicitudes de </w:t>
      </w:r>
      <w:r w:rsidR="00882047">
        <w:rPr>
          <w:rFonts w:ascii="Arial" w:eastAsia="Calibri" w:hAnsi="Arial" w:cs="Arial"/>
          <w:bCs/>
          <w:i/>
          <w:iCs/>
          <w:sz w:val="22"/>
          <w:lang w:val="es-ES_tradnl"/>
        </w:rPr>
        <w:t>revocación directa</w:t>
      </w:r>
      <w:r w:rsidRPr="00127EBF">
        <w:rPr>
          <w:rFonts w:ascii="Arial" w:eastAsia="Calibri" w:hAnsi="Arial" w:cs="Arial"/>
          <w:bCs/>
          <w:sz w:val="22"/>
          <w:lang w:val="es-ES_tradnl"/>
        </w:rPr>
        <w:t xml:space="preserve"> de los conceptos, pues no son actos administrativos, no tienen efectos vinculantes en relación con una situación jurídica particular y concreta, y exponen un criterio que, aunque jurídicamente fundamentado, no representan</w:t>
      </w:r>
      <w:r w:rsidR="00882047">
        <w:rPr>
          <w:rFonts w:ascii="Arial" w:eastAsia="Calibri" w:hAnsi="Arial" w:cs="Arial"/>
          <w:bCs/>
          <w:sz w:val="22"/>
          <w:lang w:val="es-ES_tradnl"/>
        </w:rPr>
        <w:t xml:space="preserve"> necesariamente</w:t>
      </w:r>
      <w:r w:rsidRPr="00127EBF">
        <w:rPr>
          <w:rFonts w:ascii="Arial" w:eastAsia="Calibri" w:hAnsi="Arial" w:cs="Arial"/>
          <w:bCs/>
          <w:sz w:val="22"/>
          <w:lang w:val="es-ES_tradnl"/>
        </w:rPr>
        <w:t xml:space="preserve"> la </w:t>
      </w:r>
      <w:r w:rsidRPr="00882047">
        <w:rPr>
          <w:rFonts w:ascii="Arial" w:eastAsia="Calibri" w:hAnsi="Arial" w:cs="Arial"/>
          <w:bCs/>
          <w:i/>
          <w:iCs/>
          <w:sz w:val="22"/>
          <w:lang w:val="es-ES_tradnl"/>
        </w:rPr>
        <w:t>única</w:t>
      </w:r>
      <w:r w:rsidRPr="00127EBF">
        <w:rPr>
          <w:rFonts w:ascii="Arial" w:eastAsia="Calibri" w:hAnsi="Arial" w:cs="Arial"/>
          <w:bCs/>
          <w:sz w:val="22"/>
          <w:lang w:val="es-ES_tradnl"/>
        </w:rPr>
        <w:t xml:space="preserve"> interpretación válida del ordenamiento jurídico.</w:t>
      </w:r>
      <w:bookmarkEnd w:id="2"/>
      <w:r w:rsidR="00882047">
        <w:rPr>
          <w:rFonts w:ascii="Arial" w:eastAsia="Calibri" w:hAnsi="Arial" w:cs="Arial"/>
          <w:bCs/>
          <w:sz w:val="22"/>
          <w:lang w:val="es-ES_tradnl"/>
        </w:rPr>
        <w:t xml:space="preserve"> </w:t>
      </w:r>
      <w:r w:rsidRPr="00127EBF">
        <w:rPr>
          <w:rFonts w:ascii="Arial" w:eastAsia="Calibri" w:hAnsi="Arial" w:cs="Arial"/>
          <w:bCs/>
          <w:sz w:val="22"/>
          <w:lang w:val="es-ES_tradnl"/>
        </w:rPr>
        <w:t xml:space="preserve">Lo anterior no implica que la Agencia Nacional de Contratación Pública – Colombia Compra Eficiente considere inalterables sus posturas, pues, de ser necesario, podría replantear una tesis previamente expuesta, bajo estrictos estándares argumentativos, al emitir otro concepto, ya que, dada su falta de vinculatoriedad, la legitimación de sus posturas proviene de la fuerza de los argumentos. </w:t>
      </w:r>
    </w:p>
    <w:p w14:paraId="0BFFA51D" w14:textId="77777777" w:rsidR="00377A98" w:rsidRPr="00127EBF" w:rsidRDefault="00377A98" w:rsidP="00271230">
      <w:pPr>
        <w:spacing w:line="276" w:lineRule="auto"/>
        <w:jc w:val="both"/>
        <w:rPr>
          <w:rFonts w:ascii="Arial" w:eastAsia="Calibri" w:hAnsi="Arial" w:cs="Arial"/>
          <w:color w:val="000000" w:themeColor="text1"/>
          <w:sz w:val="22"/>
          <w:szCs w:val="22"/>
          <w:lang w:val="es-ES_tradnl"/>
        </w:rPr>
      </w:pPr>
    </w:p>
    <w:p w14:paraId="0F39B6EF" w14:textId="3E6F6A33" w:rsidR="005244FC" w:rsidRPr="00127EBF" w:rsidRDefault="005244FC" w:rsidP="005244FC">
      <w:pPr>
        <w:spacing w:line="276" w:lineRule="auto"/>
        <w:jc w:val="both"/>
        <w:rPr>
          <w:rFonts w:ascii="Arial" w:eastAsia="Calibri" w:hAnsi="Arial" w:cs="Arial"/>
          <w:b/>
          <w:bCs/>
          <w:color w:val="000000" w:themeColor="text1"/>
          <w:sz w:val="22"/>
          <w:szCs w:val="22"/>
          <w:lang w:val="es-ES_tradnl"/>
        </w:rPr>
      </w:pPr>
      <w:r w:rsidRPr="00127EBF">
        <w:rPr>
          <w:rFonts w:ascii="Arial" w:eastAsia="Calibri" w:hAnsi="Arial" w:cs="Arial"/>
          <w:b/>
          <w:bCs/>
          <w:color w:val="000000" w:themeColor="text1"/>
          <w:sz w:val="22"/>
          <w:szCs w:val="22"/>
          <w:lang w:val="es-ES_tradnl"/>
        </w:rPr>
        <w:t>2.</w:t>
      </w:r>
      <w:r w:rsidR="00045AD2" w:rsidRPr="00127EBF">
        <w:rPr>
          <w:rFonts w:ascii="Arial" w:eastAsia="Calibri" w:hAnsi="Arial" w:cs="Arial"/>
          <w:b/>
          <w:bCs/>
          <w:color w:val="000000" w:themeColor="text1"/>
          <w:sz w:val="22"/>
          <w:szCs w:val="22"/>
          <w:lang w:val="es-ES_tradnl"/>
        </w:rPr>
        <w:t>2</w:t>
      </w:r>
      <w:r w:rsidRPr="00127EBF">
        <w:rPr>
          <w:rFonts w:ascii="Arial" w:eastAsia="Calibri" w:hAnsi="Arial" w:cs="Arial"/>
          <w:b/>
          <w:bCs/>
          <w:color w:val="000000" w:themeColor="text1"/>
          <w:sz w:val="22"/>
          <w:szCs w:val="22"/>
          <w:lang w:val="es-ES_tradnl"/>
        </w:rPr>
        <w:t>. Factores de desempate en la contratación estatal: concepto y características</w:t>
      </w:r>
    </w:p>
    <w:p w14:paraId="342BA812" w14:textId="77777777" w:rsidR="005244FC" w:rsidRPr="00127EBF" w:rsidRDefault="005244FC" w:rsidP="005244FC">
      <w:pPr>
        <w:spacing w:line="276" w:lineRule="auto"/>
        <w:jc w:val="both"/>
        <w:rPr>
          <w:rFonts w:ascii="Arial" w:eastAsia="Calibri" w:hAnsi="Arial" w:cs="Arial"/>
          <w:color w:val="000000" w:themeColor="text1"/>
          <w:sz w:val="22"/>
          <w:szCs w:val="22"/>
          <w:lang w:val="es-ES_tradnl"/>
        </w:rPr>
      </w:pPr>
    </w:p>
    <w:p w14:paraId="09DB8BB1" w14:textId="77777777" w:rsidR="005244FC" w:rsidRPr="00127EBF" w:rsidRDefault="005244FC" w:rsidP="005244FC">
      <w:pPr>
        <w:spacing w:line="276" w:lineRule="auto"/>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w:t>
      </w:r>
      <w:r w:rsidRPr="00127EBF">
        <w:rPr>
          <w:rFonts w:ascii="Arial" w:eastAsia="Calibri" w:hAnsi="Arial" w:cs="Arial"/>
          <w:color w:val="000000" w:themeColor="text1"/>
          <w:sz w:val="22"/>
          <w:szCs w:val="22"/>
          <w:lang w:val="es-ES_tradnl"/>
        </w:rPr>
        <w:lastRenderedPageBreak/>
        <w:t>entre otros elementos que garanticen la escogencia de la mejor opción de negocio para la entidad estatal.</w:t>
      </w:r>
    </w:p>
    <w:p w14:paraId="468AADE9" w14:textId="77777777" w:rsidR="005244FC" w:rsidRPr="00127EBF"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513EAEB7" w14:textId="79130633" w:rsidR="005244FC" w:rsidRPr="00127EBF"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w:t>
      </w:r>
      <w:r w:rsidR="002742D0" w:rsidRPr="00127EBF">
        <w:rPr>
          <w:rFonts w:ascii="Arial" w:eastAsia="Calibri" w:hAnsi="Arial" w:cs="Arial"/>
          <w:color w:val="000000" w:themeColor="text1"/>
          <w:sz w:val="22"/>
          <w:szCs w:val="22"/>
          <w:lang w:val="es-ES_tradnl"/>
        </w:rPr>
        <w:t>encuentra</w:t>
      </w:r>
      <w:r w:rsidRPr="00127EBF">
        <w:rPr>
          <w:rFonts w:ascii="Arial" w:eastAsia="Calibri" w:hAnsi="Arial" w:cs="Arial"/>
          <w:color w:val="000000" w:themeColor="text1"/>
          <w:sz w:val="22"/>
          <w:szCs w:val="22"/>
          <w:lang w:val="es-ES_tradnl"/>
        </w:rPr>
        <w:t xml:space="preserve"> el artículo 35 de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de 2020. La </w:t>
      </w:r>
      <w:r w:rsidR="009B6863" w:rsidRPr="00127EBF">
        <w:rPr>
          <w:rFonts w:ascii="Arial" w:eastAsia="Calibri" w:hAnsi="Arial" w:cs="Arial"/>
          <w:color w:val="000000" w:themeColor="text1"/>
          <w:sz w:val="22"/>
          <w:szCs w:val="22"/>
          <w:lang w:val="es-ES_tradnl"/>
        </w:rPr>
        <w:t>jurisprudencia</w:t>
      </w:r>
      <w:r w:rsidRPr="00127EBF">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008C1918" w:rsidRPr="00127EBF">
        <w:rPr>
          <w:rStyle w:val="Refdenotaalpie"/>
          <w:rFonts w:ascii="Arial" w:hAnsi="Arial" w:cs="Arial"/>
          <w:sz w:val="21"/>
          <w:szCs w:val="21"/>
          <w:lang w:val="es-ES_tradnl"/>
        </w:rPr>
        <w:footnoteReference w:id="7"/>
      </w:r>
      <w:r w:rsidRPr="00127EBF">
        <w:rPr>
          <w:rFonts w:ascii="Arial" w:eastAsia="Calibri" w:hAnsi="Arial" w:cs="Arial"/>
          <w:color w:val="000000" w:themeColor="text1"/>
          <w:sz w:val="22"/>
          <w:szCs w:val="22"/>
          <w:lang w:val="es-ES_tradnl"/>
        </w:rPr>
        <w:t xml:space="preserve">. </w:t>
      </w:r>
    </w:p>
    <w:p w14:paraId="6CC191F9" w14:textId="77777777" w:rsidR="005244FC" w:rsidRPr="00127EBF"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127EBF">
        <w:rPr>
          <w:rStyle w:val="Refdenotaalpie"/>
          <w:rFonts w:ascii="Arial" w:eastAsia="Calibri" w:hAnsi="Arial" w:cs="Arial"/>
          <w:color w:val="000000" w:themeColor="text1"/>
          <w:sz w:val="22"/>
          <w:szCs w:val="22"/>
          <w:lang w:val="es-ES_tradnl"/>
        </w:rPr>
        <w:footnoteReference w:id="8"/>
      </w:r>
      <w:r w:rsidRPr="00127EBF">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127EBF">
        <w:rPr>
          <w:rStyle w:val="Refdenotaalpie"/>
          <w:rFonts w:ascii="Arial" w:eastAsia="Calibri" w:hAnsi="Arial" w:cs="Arial"/>
          <w:color w:val="000000" w:themeColor="text1"/>
          <w:sz w:val="22"/>
          <w:szCs w:val="22"/>
          <w:lang w:val="es-ES_tradnl"/>
        </w:rPr>
        <w:footnoteReference w:id="9"/>
      </w:r>
      <w:r w:rsidRPr="00127EBF">
        <w:rPr>
          <w:rFonts w:ascii="Arial" w:eastAsia="Calibri" w:hAnsi="Arial" w:cs="Arial"/>
          <w:color w:val="000000" w:themeColor="text1"/>
          <w:sz w:val="22"/>
          <w:szCs w:val="22"/>
          <w:lang w:val="es-ES_tradnl"/>
        </w:rPr>
        <w:t>.</w:t>
      </w:r>
    </w:p>
    <w:p w14:paraId="5909E216" w14:textId="77777777" w:rsidR="005244FC" w:rsidRPr="00127EBF"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lastRenderedPageBreak/>
        <w:t xml:space="preserve">Ahora bien, en cumplimiento de los principios de reciprocidad y de </w:t>
      </w:r>
      <w:r w:rsidRPr="00127EBF">
        <w:rPr>
          <w:rFonts w:ascii="Arial" w:eastAsia="Calibri" w:hAnsi="Arial" w:cs="Arial"/>
          <w:i/>
          <w:iCs/>
          <w:color w:val="000000" w:themeColor="text1"/>
          <w:sz w:val="22"/>
          <w:szCs w:val="22"/>
          <w:lang w:val="es-ES_tradnl"/>
        </w:rPr>
        <w:t xml:space="preserve">pacta </w:t>
      </w:r>
      <w:proofErr w:type="spellStart"/>
      <w:r w:rsidRPr="00127EBF">
        <w:rPr>
          <w:rFonts w:ascii="Arial" w:eastAsia="Calibri" w:hAnsi="Arial" w:cs="Arial"/>
          <w:i/>
          <w:iCs/>
          <w:color w:val="000000" w:themeColor="text1"/>
          <w:sz w:val="22"/>
          <w:szCs w:val="22"/>
          <w:lang w:val="es-ES_tradnl"/>
        </w:rPr>
        <w:t>sunt</w:t>
      </w:r>
      <w:proofErr w:type="spellEnd"/>
      <w:r w:rsidRPr="00127EBF">
        <w:rPr>
          <w:rFonts w:ascii="Arial" w:eastAsia="Calibri" w:hAnsi="Arial" w:cs="Arial"/>
          <w:i/>
          <w:iCs/>
          <w:color w:val="000000" w:themeColor="text1"/>
          <w:sz w:val="22"/>
          <w:szCs w:val="22"/>
          <w:lang w:val="es-ES_tradnl"/>
        </w:rPr>
        <w:t xml:space="preserve"> </w:t>
      </w:r>
      <w:proofErr w:type="spellStart"/>
      <w:r w:rsidRPr="00127EBF">
        <w:rPr>
          <w:rFonts w:ascii="Arial" w:eastAsia="Calibri" w:hAnsi="Arial" w:cs="Arial"/>
          <w:i/>
          <w:iCs/>
          <w:color w:val="000000" w:themeColor="text1"/>
          <w:sz w:val="22"/>
          <w:szCs w:val="22"/>
          <w:lang w:val="es-ES_tradnl"/>
        </w:rPr>
        <w:t>servanda</w:t>
      </w:r>
      <w:proofErr w:type="spellEnd"/>
      <w:r w:rsidRPr="00127EBF">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77777777" w:rsidR="005244FC" w:rsidRPr="00127EBF" w:rsidRDefault="005244FC" w:rsidP="005244FC">
      <w:pPr>
        <w:spacing w:line="276" w:lineRule="auto"/>
        <w:rPr>
          <w:rFonts w:ascii="Arial" w:eastAsia="Calibri" w:hAnsi="Arial" w:cs="Arial"/>
          <w:color w:val="000000" w:themeColor="text1"/>
          <w:sz w:val="22"/>
          <w:szCs w:val="22"/>
          <w:lang w:val="es-ES_tradnl"/>
        </w:rPr>
      </w:pPr>
    </w:p>
    <w:p w14:paraId="27D423AC" w14:textId="0233DF8B" w:rsidR="005244FC" w:rsidRPr="00127EBF" w:rsidRDefault="005244FC" w:rsidP="005244FC">
      <w:pPr>
        <w:spacing w:line="276" w:lineRule="auto"/>
        <w:jc w:val="both"/>
        <w:rPr>
          <w:rFonts w:ascii="Arial" w:eastAsia="Calibri" w:hAnsi="Arial" w:cs="Arial"/>
          <w:b/>
          <w:bCs/>
          <w:color w:val="000000" w:themeColor="text1"/>
          <w:sz w:val="22"/>
          <w:szCs w:val="22"/>
          <w:lang w:val="es-ES_tradnl"/>
        </w:rPr>
      </w:pPr>
      <w:r w:rsidRPr="00127EBF">
        <w:rPr>
          <w:rFonts w:ascii="Arial" w:eastAsia="Calibri" w:hAnsi="Arial" w:cs="Arial"/>
          <w:b/>
          <w:bCs/>
          <w:color w:val="000000" w:themeColor="text1"/>
          <w:sz w:val="22"/>
          <w:szCs w:val="22"/>
          <w:lang w:val="es-ES_tradnl"/>
        </w:rPr>
        <w:t>2.</w:t>
      </w:r>
      <w:r w:rsidR="00891AB1" w:rsidRPr="00127EBF">
        <w:rPr>
          <w:rFonts w:ascii="Arial" w:eastAsia="Calibri" w:hAnsi="Arial" w:cs="Arial"/>
          <w:b/>
          <w:bCs/>
          <w:color w:val="000000" w:themeColor="text1"/>
          <w:sz w:val="22"/>
          <w:szCs w:val="22"/>
          <w:lang w:val="es-ES_tradnl"/>
        </w:rPr>
        <w:t>3</w:t>
      </w:r>
      <w:r w:rsidRPr="00127EBF">
        <w:rPr>
          <w:rFonts w:ascii="Arial" w:eastAsia="Calibri" w:hAnsi="Arial" w:cs="Arial"/>
          <w:b/>
          <w:bCs/>
          <w:color w:val="000000" w:themeColor="text1"/>
          <w:sz w:val="22"/>
          <w:szCs w:val="22"/>
          <w:lang w:val="es-ES_tradnl"/>
        </w:rPr>
        <w:t xml:space="preserve">. Vigencia y ámbito de aplicación de la Ley </w:t>
      </w:r>
      <w:r w:rsidR="007B209C" w:rsidRPr="00127EBF">
        <w:rPr>
          <w:rFonts w:ascii="Arial" w:eastAsia="Calibri" w:hAnsi="Arial" w:cs="Arial"/>
          <w:b/>
          <w:bCs/>
          <w:color w:val="000000" w:themeColor="text1"/>
          <w:sz w:val="22"/>
          <w:szCs w:val="22"/>
          <w:lang w:val="es-ES_tradnl"/>
        </w:rPr>
        <w:t>2069</w:t>
      </w:r>
      <w:r w:rsidRPr="00127EBF">
        <w:rPr>
          <w:rFonts w:ascii="Arial" w:eastAsia="Calibri" w:hAnsi="Arial" w:cs="Arial"/>
          <w:b/>
          <w:bCs/>
          <w:color w:val="000000" w:themeColor="text1"/>
          <w:sz w:val="22"/>
          <w:szCs w:val="22"/>
          <w:lang w:val="es-ES_tradnl"/>
        </w:rPr>
        <w:t xml:space="preserve"> de 2020</w:t>
      </w:r>
    </w:p>
    <w:p w14:paraId="10695754" w14:textId="77777777" w:rsidR="005244FC" w:rsidRPr="00127EBF" w:rsidRDefault="005244FC" w:rsidP="005244FC">
      <w:pPr>
        <w:spacing w:line="276" w:lineRule="auto"/>
        <w:jc w:val="both"/>
        <w:rPr>
          <w:rFonts w:ascii="Arial" w:eastAsia="Calibri" w:hAnsi="Arial" w:cs="Arial"/>
          <w:color w:val="000000" w:themeColor="text1"/>
          <w:sz w:val="22"/>
          <w:szCs w:val="22"/>
          <w:lang w:val="es-ES_tradnl"/>
        </w:rPr>
      </w:pPr>
    </w:p>
    <w:p w14:paraId="20A72819" w14:textId="2E3C3547" w:rsidR="00116EC5" w:rsidRPr="00127EBF" w:rsidRDefault="00116EC5" w:rsidP="00116EC5">
      <w:pPr>
        <w:spacing w:line="276" w:lineRule="auto"/>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El 31 de diciembre de 2020 se promulgó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126B235" w14:textId="77777777" w:rsidR="00EA0455" w:rsidRPr="00127EBF" w:rsidRDefault="00EA0455" w:rsidP="00EA0455">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127EBF">
        <w:rPr>
          <w:rFonts w:ascii="Arial" w:eastAsia="Calibri" w:hAnsi="Arial" w:cs="Arial"/>
          <w:color w:val="000000" w:themeColor="text1"/>
          <w:sz w:val="22"/>
          <w:szCs w:val="22"/>
          <w:lang w:val="es-ES_tradnl"/>
        </w:rPr>
        <w:t>mipymes</w:t>
      </w:r>
      <w:proofErr w:type="spellEnd"/>
      <w:r w:rsidRPr="00127EBF">
        <w:rPr>
          <w:rFonts w:ascii="Arial" w:eastAsia="Calibri" w:hAnsi="Arial" w:cs="Arial"/>
          <w:color w:val="000000" w:themeColor="text1"/>
          <w:sz w:val="22"/>
          <w:szCs w:val="22"/>
          <w:lang w:val="es-ES_tradnl"/>
        </w:rPr>
        <w:t>–, mediante la racionalización y simplificación de los trámites y tarifas</w:t>
      </w:r>
      <w:r w:rsidRPr="00127EBF">
        <w:rPr>
          <w:rStyle w:val="Refdenotaalpie"/>
          <w:rFonts w:ascii="Arial" w:eastAsia="Calibri" w:hAnsi="Arial" w:cs="Arial"/>
          <w:color w:val="000000" w:themeColor="text1"/>
          <w:sz w:val="22"/>
          <w:szCs w:val="22"/>
          <w:lang w:val="es-ES_tradnl"/>
        </w:rPr>
        <w:footnoteReference w:id="10"/>
      </w:r>
      <w:r w:rsidRPr="00127EBF">
        <w:rPr>
          <w:rFonts w:ascii="Arial" w:eastAsia="Calibri" w:hAnsi="Arial" w:cs="Arial"/>
          <w:color w:val="000000" w:themeColor="text1"/>
          <w:sz w:val="22"/>
          <w:szCs w:val="22"/>
          <w:lang w:val="es-ES_tradnl"/>
        </w:rPr>
        <w:t>, así como incentivos a favor de aquellas dentro del sistema de compras y contratación pública</w:t>
      </w:r>
      <w:r w:rsidRPr="00127EBF">
        <w:rPr>
          <w:rStyle w:val="Refdenotaalpie"/>
          <w:rFonts w:ascii="Arial" w:eastAsia="Calibri" w:hAnsi="Arial" w:cs="Arial"/>
          <w:color w:val="000000" w:themeColor="text1"/>
          <w:sz w:val="22"/>
          <w:szCs w:val="22"/>
          <w:lang w:val="es-ES_tradnl"/>
        </w:rPr>
        <w:footnoteReference w:id="11"/>
      </w:r>
      <w:r w:rsidRPr="00127EBF">
        <w:rPr>
          <w:rFonts w:ascii="Arial" w:eastAsia="Calibri" w:hAnsi="Arial" w:cs="Arial"/>
          <w:color w:val="000000" w:themeColor="text1"/>
          <w:sz w:val="22"/>
          <w:szCs w:val="22"/>
          <w:lang w:val="es-ES_tradnl"/>
        </w:rPr>
        <w:t>. También se consagran mecanismos de acceso al financiamiento</w:t>
      </w:r>
      <w:r w:rsidRPr="00127EBF">
        <w:rPr>
          <w:rStyle w:val="Refdenotaalpie"/>
          <w:rFonts w:ascii="Arial" w:eastAsia="Calibri" w:hAnsi="Arial" w:cs="Arial"/>
          <w:color w:val="000000" w:themeColor="text1"/>
          <w:sz w:val="22"/>
          <w:szCs w:val="22"/>
          <w:lang w:val="es-ES_tradnl"/>
        </w:rPr>
        <w:footnoteReference w:id="12"/>
      </w:r>
      <w:r w:rsidRPr="00127EBF">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127EBF">
        <w:rPr>
          <w:rStyle w:val="Refdenotaalpie"/>
          <w:rFonts w:ascii="Arial" w:eastAsia="Calibri" w:hAnsi="Arial" w:cs="Arial"/>
          <w:color w:val="000000" w:themeColor="text1"/>
          <w:sz w:val="22"/>
          <w:szCs w:val="22"/>
          <w:lang w:val="es-ES_tradnl"/>
        </w:rPr>
        <w:footnoteReference w:id="13"/>
      </w:r>
      <w:r w:rsidRPr="00127EBF">
        <w:rPr>
          <w:rFonts w:ascii="Arial" w:eastAsia="Calibri" w:hAnsi="Arial" w:cs="Arial"/>
          <w:color w:val="000000" w:themeColor="text1"/>
          <w:sz w:val="22"/>
          <w:szCs w:val="22"/>
          <w:lang w:val="es-ES_tradnl"/>
        </w:rPr>
        <w:t xml:space="preserve"> y se prevén medidas de educación para el emprendimiento y la innovación</w:t>
      </w:r>
      <w:r w:rsidRPr="00127EBF">
        <w:rPr>
          <w:rStyle w:val="Refdenotaalpie"/>
          <w:rFonts w:ascii="Arial" w:eastAsia="Calibri" w:hAnsi="Arial" w:cs="Arial"/>
          <w:color w:val="000000" w:themeColor="text1"/>
          <w:sz w:val="22"/>
          <w:szCs w:val="22"/>
          <w:lang w:val="es-ES_tradnl"/>
        </w:rPr>
        <w:footnoteReference w:id="14"/>
      </w:r>
      <w:r w:rsidRPr="00127EBF">
        <w:rPr>
          <w:rFonts w:ascii="Arial" w:eastAsia="Calibri" w:hAnsi="Arial" w:cs="Arial"/>
          <w:color w:val="000000" w:themeColor="text1"/>
          <w:sz w:val="22"/>
          <w:szCs w:val="22"/>
          <w:lang w:val="es-ES_tradnl"/>
        </w:rPr>
        <w:t>.</w:t>
      </w:r>
    </w:p>
    <w:p w14:paraId="748F81E7" w14:textId="375224AD" w:rsidR="00EA0455" w:rsidRPr="00127EBF" w:rsidRDefault="00EA0455" w:rsidP="00EA0455">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lastRenderedPageBreak/>
        <w:t xml:space="preserve">Como se indicó, parte de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127EBF">
        <w:rPr>
          <w:rFonts w:ascii="Arial" w:eastAsia="Calibri" w:hAnsi="Arial" w:cs="Arial"/>
          <w:color w:val="000000" w:themeColor="text1"/>
          <w:sz w:val="22"/>
          <w:szCs w:val="22"/>
          <w:lang w:val="es-ES_tradnl"/>
        </w:rPr>
        <w:t>mipymes</w:t>
      </w:r>
      <w:proofErr w:type="spellEnd"/>
      <w:r w:rsidRPr="00127EBF">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127EBF">
        <w:rPr>
          <w:rFonts w:ascii="Arial" w:eastAsia="Calibri" w:hAnsi="Arial" w:cs="Arial"/>
          <w:color w:val="000000" w:themeColor="text1"/>
          <w:sz w:val="22"/>
          <w:szCs w:val="22"/>
          <w:lang w:val="es-ES_tradnl"/>
        </w:rPr>
        <w:t>mipymes</w:t>
      </w:r>
      <w:proofErr w:type="spellEnd"/>
      <w:r w:rsidRPr="00127EBF">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127EBF">
        <w:rPr>
          <w:rFonts w:ascii="Arial" w:eastAsia="Calibri" w:hAnsi="Arial" w:cs="Arial"/>
          <w:color w:val="000000" w:themeColor="text1"/>
          <w:sz w:val="22"/>
          <w:szCs w:val="22"/>
          <w:lang w:val="es-ES_tradnl"/>
        </w:rPr>
        <w:t>mipymes</w:t>
      </w:r>
      <w:proofErr w:type="spellEnd"/>
      <w:r w:rsidRPr="00127EBF">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76F598EA" w14:textId="77777777" w:rsidR="006C189C" w:rsidRPr="00127EBF" w:rsidRDefault="006C189C" w:rsidP="00833ADA">
      <w:pPr>
        <w:spacing w:line="276" w:lineRule="auto"/>
        <w:jc w:val="both"/>
        <w:rPr>
          <w:rFonts w:ascii="Arial" w:eastAsia="Calibri" w:hAnsi="Arial" w:cs="Arial"/>
          <w:color w:val="000000" w:themeColor="text1"/>
          <w:sz w:val="22"/>
          <w:szCs w:val="22"/>
          <w:lang w:val="es-ES_tradnl"/>
        </w:rPr>
      </w:pPr>
    </w:p>
    <w:p w14:paraId="2C2833A6" w14:textId="122D4F4D" w:rsidR="00833ADA" w:rsidRPr="00127EBF" w:rsidRDefault="00523F41" w:rsidP="00833ADA">
      <w:pPr>
        <w:spacing w:line="276" w:lineRule="auto"/>
        <w:jc w:val="both"/>
        <w:rPr>
          <w:rFonts w:ascii="Arial" w:eastAsia="Calibri" w:hAnsi="Arial" w:cs="Arial"/>
          <w:b/>
          <w:bCs/>
          <w:color w:val="000000" w:themeColor="text1"/>
          <w:sz w:val="22"/>
          <w:szCs w:val="22"/>
          <w:lang w:val="es-ES_tradnl"/>
        </w:rPr>
      </w:pPr>
      <w:r w:rsidRPr="00127EBF">
        <w:rPr>
          <w:rFonts w:ascii="Arial" w:eastAsia="Calibri" w:hAnsi="Arial" w:cs="Arial"/>
          <w:b/>
          <w:bCs/>
          <w:color w:val="000000" w:themeColor="text1"/>
          <w:sz w:val="22"/>
          <w:szCs w:val="22"/>
          <w:lang w:val="es-ES_tradnl"/>
        </w:rPr>
        <w:t>2.</w:t>
      </w:r>
      <w:r w:rsidR="00891AB1" w:rsidRPr="00127EBF">
        <w:rPr>
          <w:rFonts w:ascii="Arial" w:eastAsia="Calibri" w:hAnsi="Arial" w:cs="Arial"/>
          <w:b/>
          <w:bCs/>
          <w:color w:val="000000" w:themeColor="text1"/>
          <w:sz w:val="22"/>
          <w:szCs w:val="22"/>
          <w:lang w:val="es-ES_tradnl"/>
        </w:rPr>
        <w:t>4</w:t>
      </w:r>
      <w:r w:rsidRPr="00127EBF">
        <w:rPr>
          <w:rFonts w:ascii="Arial" w:eastAsia="Calibri" w:hAnsi="Arial" w:cs="Arial"/>
          <w:b/>
          <w:bCs/>
          <w:color w:val="000000" w:themeColor="text1"/>
          <w:sz w:val="22"/>
          <w:szCs w:val="22"/>
          <w:lang w:val="es-ES_tradnl"/>
        </w:rPr>
        <w:t>.</w:t>
      </w:r>
      <w:r w:rsidR="00833ADA" w:rsidRPr="00127EBF">
        <w:rPr>
          <w:rFonts w:ascii="Arial" w:eastAsia="Calibri" w:hAnsi="Arial" w:cs="Arial"/>
          <w:b/>
          <w:bCs/>
          <w:color w:val="000000" w:themeColor="text1"/>
          <w:sz w:val="22"/>
          <w:szCs w:val="22"/>
          <w:lang w:val="es-ES_tradnl"/>
        </w:rPr>
        <w:t xml:space="preserve"> Forma de acreditación de los factores de desempate consagrados en el artículo 35 de la</w:t>
      </w:r>
      <w:r w:rsidR="00755229" w:rsidRPr="00127EBF">
        <w:rPr>
          <w:rFonts w:ascii="Arial" w:eastAsia="Calibri" w:hAnsi="Arial" w:cs="Arial"/>
          <w:b/>
          <w:bCs/>
          <w:color w:val="000000" w:themeColor="text1"/>
          <w:sz w:val="22"/>
          <w:szCs w:val="22"/>
          <w:lang w:val="es-ES_tradnl"/>
        </w:rPr>
        <w:t xml:space="preserve"> Ley </w:t>
      </w:r>
      <w:r w:rsidR="007B209C" w:rsidRPr="00127EBF">
        <w:rPr>
          <w:rFonts w:ascii="Arial" w:eastAsia="Calibri" w:hAnsi="Arial" w:cs="Arial"/>
          <w:b/>
          <w:bCs/>
          <w:color w:val="000000" w:themeColor="text1"/>
          <w:sz w:val="22"/>
          <w:szCs w:val="22"/>
          <w:lang w:val="es-ES_tradnl"/>
        </w:rPr>
        <w:t>2069</w:t>
      </w:r>
      <w:r w:rsidR="00755229" w:rsidRPr="00127EBF">
        <w:rPr>
          <w:rFonts w:ascii="Arial" w:eastAsia="Calibri" w:hAnsi="Arial" w:cs="Arial"/>
          <w:b/>
          <w:bCs/>
          <w:color w:val="000000" w:themeColor="text1"/>
          <w:sz w:val="22"/>
          <w:szCs w:val="22"/>
          <w:lang w:val="es-ES_tradnl"/>
        </w:rPr>
        <w:t xml:space="preserve"> de 2020</w:t>
      </w:r>
      <w:r w:rsidR="006C2A74" w:rsidRPr="00127EBF">
        <w:rPr>
          <w:rFonts w:ascii="Arial" w:eastAsia="Calibri" w:hAnsi="Arial" w:cs="Arial"/>
          <w:b/>
          <w:bCs/>
          <w:color w:val="000000" w:themeColor="text1"/>
          <w:sz w:val="22"/>
          <w:szCs w:val="22"/>
          <w:lang w:val="es-ES_tradnl"/>
        </w:rPr>
        <w:t xml:space="preserve">. Análisis especial del </w:t>
      </w:r>
      <w:r w:rsidR="002D4380" w:rsidRPr="00127EBF">
        <w:rPr>
          <w:rFonts w:ascii="Arial" w:eastAsia="Calibri" w:hAnsi="Arial" w:cs="Arial"/>
          <w:b/>
          <w:bCs/>
          <w:color w:val="000000" w:themeColor="text1"/>
          <w:sz w:val="22"/>
          <w:szCs w:val="22"/>
          <w:lang w:val="es-ES_tradnl"/>
        </w:rPr>
        <w:t xml:space="preserve">numeral </w:t>
      </w:r>
      <w:r w:rsidR="008F7341">
        <w:rPr>
          <w:rFonts w:ascii="Arial" w:eastAsia="Calibri" w:hAnsi="Arial" w:cs="Arial"/>
          <w:b/>
          <w:bCs/>
          <w:color w:val="000000" w:themeColor="text1"/>
          <w:sz w:val="22"/>
          <w:szCs w:val="22"/>
          <w:lang w:val="es-ES_tradnl"/>
        </w:rPr>
        <w:t>2</w:t>
      </w:r>
    </w:p>
    <w:p w14:paraId="39B77F09" w14:textId="77777777" w:rsidR="00FC6DB9" w:rsidRPr="00127EBF" w:rsidRDefault="00FC6DB9" w:rsidP="00271230">
      <w:pPr>
        <w:spacing w:line="276" w:lineRule="auto"/>
        <w:jc w:val="both"/>
        <w:rPr>
          <w:rFonts w:ascii="Arial" w:eastAsia="Calibri" w:hAnsi="Arial" w:cs="Arial"/>
          <w:color w:val="000000" w:themeColor="text1"/>
          <w:sz w:val="22"/>
          <w:szCs w:val="22"/>
          <w:lang w:val="es-ES_tradnl"/>
        </w:rPr>
      </w:pPr>
    </w:p>
    <w:p w14:paraId="28246740" w14:textId="5396E4A3" w:rsidR="00BD3AF1" w:rsidRPr="00127EBF" w:rsidRDefault="00FC6DB9" w:rsidP="00271230">
      <w:pPr>
        <w:spacing w:line="276" w:lineRule="auto"/>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El artículo 35 de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de 2020</w:t>
      </w:r>
      <w:r w:rsidR="00486226" w:rsidRPr="00127EBF">
        <w:rPr>
          <w:rFonts w:ascii="Arial" w:eastAsia="Calibri" w:hAnsi="Arial" w:cs="Arial"/>
          <w:color w:val="000000" w:themeColor="text1"/>
          <w:sz w:val="22"/>
          <w:szCs w:val="22"/>
          <w:lang w:val="es-ES_tradnl"/>
        </w:rPr>
        <w:t xml:space="preserve"> modifica la regulación de los </w:t>
      </w:r>
      <w:r w:rsidR="008F4163" w:rsidRPr="00127EBF">
        <w:rPr>
          <w:rFonts w:ascii="Arial" w:eastAsia="Calibri" w:hAnsi="Arial" w:cs="Arial"/>
          <w:color w:val="000000" w:themeColor="text1"/>
          <w:sz w:val="22"/>
          <w:szCs w:val="22"/>
          <w:lang w:val="es-ES_tradnl"/>
        </w:rPr>
        <w:t>factores</w:t>
      </w:r>
      <w:r w:rsidR="00486226" w:rsidRPr="00127EBF">
        <w:rPr>
          <w:rFonts w:ascii="Arial" w:eastAsia="Calibri" w:hAnsi="Arial" w:cs="Arial"/>
          <w:color w:val="000000" w:themeColor="text1"/>
          <w:sz w:val="22"/>
          <w:szCs w:val="22"/>
          <w:lang w:val="es-ES_tradnl"/>
        </w:rPr>
        <w:t xml:space="preserve"> de</w:t>
      </w:r>
      <w:r w:rsidR="008F4163" w:rsidRPr="00127EBF">
        <w:rPr>
          <w:rFonts w:ascii="Arial" w:eastAsia="Calibri" w:hAnsi="Arial" w:cs="Arial"/>
          <w:color w:val="000000" w:themeColor="text1"/>
          <w:sz w:val="22"/>
          <w:szCs w:val="22"/>
          <w:lang w:val="es-ES_tradnl"/>
        </w:rPr>
        <w:t xml:space="preserve"> desempate en la contratación estatal. En consideración a que</w:t>
      </w:r>
      <w:r w:rsidR="006660F0" w:rsidRPr="00127EBF">
        <w:rPr>
          <w:rFonts w:ascii="Arial" w:eastAsia="Calibri" w:hAnsi="Arial" w:cs="Arial"/>
          <w:color w:val="000000" w:themeColor="text1"/>
          <w:sz w:val="22"/>
          <w:szCs w:val="22"/>
          <w:lang w:val="es-ES_tradnl"/>
        </w:rPr>
        <w:t xml:space="preserve"> en la consulta se solicita que la Agencia Nacional de Contratación Pública – Colombia Compra Eficiente</w:t>
      </w:r>
      <w:r w:rsidR="00B6040C" w:rsidRPr="00127EBF">
        <w:rPr>
          <w:rFonts w:ascii="Arial" w:eastAsia="Calibri" w:hAnsi="Arial" w:cs="Arial"/>
          <w:color w:val="000000" w:themeColor="text1"/>
          <w:sz w:val="22"/>
          <w:szCs w:val="22"/>
          <w:lang w:val="es-ES_tradnl"/>
        </w:rPr>
        <w:t xml:space="preserve"> </w:t>
      </w:r>
      <w:r w:rsidR="00087A64" w:rsidRPr="00127EBF">
        <w:rPr>
          <w:rFonts w:ascii="Arial" w:eastAsia="Calibri" w:hAnsi="Arial" w:cs="Arial"/>
          <w:color w:val="000000" w:themeColor="text1"/>
          <w:sz w:val="22"/>
          <w:szCs w:val="22"/>
          <w:lang w:val="es-ES_tradnl"/>
        </w:rPr>
        <w:t xml:space="preserve">efectúe </w:t>
      </w:r>
      <w:r w:rsidR="00707A2E" w:rsidRPr="00127EBF">
        <w:rPr>
          <w:rFonts w:ascii="Arial" w:eastAsia="Calibri" w:hAnsi="Arial" w:cs="Arial"/>
          <w:color w:val="000000" w:themeColor="text1"/>
          <w:sz w:val="22"/>
          <w:szCs w:val="22"/>
          <w:lang w:val="es-ES_tradnl"/>
        </w:rPr>
        <w:t xml:space="preserve">ciertas </w:t>
      </w:r>
      <w:r w:rsidR="00087A64" w:rsidRPr="00127EBF">
        <w:rPr>
          <w:rFonts w:ascii="Arial" w:eastAsia="Calibri" w:hAnsi="Arial" w:cs="Arial"/>
          <w:color w:val="000000" w:themeColor="text1"/>
          <w:sz w:val="22"/>
          <w:szCs w:val="22"/>
          <w:lang w:val="es-ES_tradnl"/>
        </w:rPr>
        <w:t>precisiones hermenéuticas sobre</w:t>
      </w:r>
      <w:r w:rsidR="00707A2E" w:rsidRPr="00127EBF">
        <w:rPr>
          <w:rFonts w:ascii="Arial" w:eastAsia="Calibri" w:hAnsi="Arial" w:cs="Arial"/>
          <w:color w:val="000000" w:themeColor="text1"/>
          <w:sz w:val="22"/>
          <w:szCs w:val="22"/>
          <w:lang w:val="es-ES_tradnl"/>
        </w:rPr>
        <w:t xml:space="preserve"> </w:t>
      </w:r>
      <w:r w:rsidR="00B425FE">
        <w:rPr>
          <w:rFonts w:ascii="Arial" w:eastAsia="Calibri" w:hAnsi="Arial" w:cs="Arial"/>
          <w:color w:val="000000" w:themeColor="text1"/>
          <w:sz w:val="22"/>
          <w:szCs w:val="22"/>
          <w:lang w:val="es-ES_tradnl"/>
        </w:rPr>
        <w:t xml:space="preserve">el numeral </w:t>
      </w:r>
      <w:r w:rsidR="00333350">
        <w:rPr>
          <w:rFonts w:ascii="Arial" w:eastAsia="Calibri" w:hAnsi="Arial" w:cs="Arial"/>
          <w:color w:val="000000" w:themeColor="text1"/>
          <w:sz w:val="22"/>
          <w:szCs w:val="22"/>
          <w:lang w:val="es-ES_tradnl"/>
        </w:rPr>
        <w:t>segundo</w:t>
      </w:r>
      <w:r w:rsidR="00707A2E" w:rsidRPr="00127EBF">
        <w:rPr>
          <w:rFonts w:ascii="Arial" w:eastAsia="Calibri" w:hAnsi="Arial" w:cs="Arial"/>
          <w:color w:val="000000" w:themeColor="text1"/>
          <w:sz w:val="22"/>
          <w:szCs w:val="22"/>
          <w:lang w:val="es-ES_tradnl"/>
        </w:rPr>
        <w:t xml:space="preserve"> de dicho artículo</w:t>
      </w:r>
      <w:r w:rsidR="00B6040C" w:rsidRPr="00127EBF">
        <w:rPr>
          <w:rFonts w:ascii="Arial" w:eastAsia="Calibri" w:hAnsi="Arial" w:cs="Arial"/>
          <w:color w:val="000000" w:themeColor="text1"/>
          <w:sz w:val="22"/>
          <w:szCs w:val="22"/>
          <w:lang w:val="es-ES_tradnl"/>
        </w:rPr>
        <w:t xml:space="preserve">, </w:t>
      </w:r>
      <w:r w:rsidR="00707A2E" w:rsidRPr="00127EBF">
        <w:rPr>
          <w:rFonts w:ascii="Arial" w:eastAsia="Calibri" w:hAnsi="Arial" w:cs="Arial"/>
          <w:color w:val="000000" w:themeColor="text1"/>
          <w:sz w:val="22"/>
          <w:szCs w:val="22"/>
          <w:lang w:val="es-ES_tradnl"/>
        </w:rPr>
        <w:t>la</w:t>
      </w:r>
      <w:r w:rsidR="00BE0CDF" w:rsidRPr="00127EBF">
        <w:rPr>
          <w:rFonts w:ascii="Arial" w:eastAsia="Calibri" w:hAnsi="Arial" w:cs="Arial"/>
          <w:color w:val="000000" w:themeColor="text1"/>
          <w:sz w:val="22"/>
          <w:szCs w:val="22"/>
          <w:lang w:val="es-ES_tradnl"/>
        </w:rPr>
        <w:t xml:space="preserve"> Subdirección de Gestión Contractual</w:t>
      </w:r>
      <w:r w:rsidR="00C438A2" w:rsidRPr="00127EBF">
        <w:rPr>
          <w:rFonts w:ascii="Arial" w:eastAsia="Calibri" w:hAnsi="Arial" w:cs="Arial"/>
          <w:color w:val="000000" w:themeColor="text1"/>
          <w:sz w:val="22"/>
          <w:szCs w:val="22"/>
          <w:lang w:val="es-ES_tradnl"/>
        </w:rPr>
        <w:t xml:space="preserve"> </w:t>
      </w:r>
      <w:r w:rsidR="00707A2E" w:rsidRPr="00127EBF">
        <w:rPr>
          <w:rFonts w:ascii="Arial" w:eastAsia="Calibri" w:hAnsi="Arial" w:cs="Arial"/>
          <w:color w:val="000000" w:themeColor="text1"/>
          <w:sz w:val="22"/>
          <w:szCs w:val="22"/>
          <w:lang w:val="es-ES_tradnl"/>
        </w:rPr>
        <w:t xml:space="preserve">se pronunciará sobre el </w:t>
      </w:r>
      <w:r w:rsidR="00AC5D9D" w:rsidRPr="00127EBF">
        <w:rPr>
          <w:rFonts w:ascii="Arial" w:eastAsia="Calibri" w:hAnsi="Arial" w:cs="Arial"/>
          <w:color w:val="000000" w:themeColor="text1"/>
          <w:sz w:val="22"/>
          <w:szCs w:val="22"/>
          <w:lang w:val="es-ES_tradnl"/>
        </w:rPr>
        <w:t>alcance</w:t>
      </w:r>
      <w:r w:rsidR="00707A2E" w:rsidRPr="00127EBF">
        <w:rPr>
          <w:rFonts w:ascii="Arial" w:eastAsia="Calibri" w:hAnsi="Arial" w:cs="Arial"/>
          <w:color w:val="000000" w:themeColor="text1"/>
          <w:sz w:val="22"/>
          <w:szCs w:val="22"/>
          <w:lang w:val="es-ES_tradnl"/>
        </w:rPr>
        <w:t xml:space="preserve"> que otorga a </w:t>
      </w:r>
      <w:r w:rsidR="00B425FE">
        <w:rPr>
          <w:rFonts w:ascii="Arial" w:eastAsia="Calibri" w:hAnsi="Arial" w:cs="Arial"/>
          <w:color w:val="000000" w:themeColor="text1"/>
          <w:sz w:val="22"/>
          <w:szCs w:val="22"/>
          <w:lang w:val="es-ES_tradnl"/>
        </w:rPr>
        <w:t>tal disposición</w:t>
      </w:r>
      <w:r w:rsidR="00BE0CDF" w:rsidRPr="00127EBF">
        <w:rPr>
          <w:rFonts w:ascii="Arial" w:eastAsia="Calibri" w:hAnsi="Arial" w:cs="Arial"/>
          <w:color w:val="000000" w:themeColor="text1"/>
          <w:sz w:val="22"/>
          <w:szCs w:val="22"/>
          <w:lang w:val="es-ES_tradnl"/>
        </w:rPr>
        <w:t xml:space="preserve">, sin pasar por alto la novedad de </w:t>
      </w:r>
      <w:r w:rsidR="00F92FC1" w:rsidRPr="00127EBF">
        <w:rPr>
          <w:rFonts w:ascii="Arial" w:eastAsia="Calibri" w:hAnsi="Arial" w:cs="Arial"/>
          <w:color w:val="000000" w:themeColor="text1"/>
          <w:sz w:val="22"/>
          <w:szCs w:val="22"/>
          <w:lang w:val="es-ES_tradnl"/>
        </w:rPr>
        <w:t xml:space="preserve">la Ley </w:t>
      </w:r>
      <w:r w:rsidR="007B209C" w:rsidRPr="00127EBF">
        <w:rPr>
          <w:rFonts w:ascii="Arial" w:eastAsia="Calibri" w:hAnsi="Arial" w:cs="Arial"/>
          <w:color w:val="000000" w:themeColor="text1"/>
          <w:sz w:val="22"/>
          <w:szCs w:val="22"/>
          <w:lang w:val="es-ES_tradnl"/>
        </w:rPr>
        <w:t>2069</w:t>
      </w:r>
      <w:r w:rsidR="00F92FC1" w:rsidRPr="00127EBF">
        <w:rPr>
          <w:rFonts w:ascii="Arial" w:eastAsia="Calibri" w:hAnsi="Arial" w:cs="Arial"/>
          <w:color w:val="000000" w:themeColor="text1"/>
          <w:sz w:val="22"/>
          <w:szCs w:val="22"/>
          <w:lang w:val="es-ES_tradnl"/>
        </w:rPr>
        <w:t xml:space="preserve"> de 2020</w:t>
      </w:r>
      <w:r w:rsidR="00963550" w:rsidRPr="00127EBF">
        <w:rPr>
          <w:rFonts w:ascii="Arial" w:eastAsia="Calibri" w:hAnsi="Arial" w:cs="Arial"/>
          <w:color w:val="000000" w:themeColor="text1"/>
          <w:sz w:val="22"/>
          <w:szCs w:val="22"/>
          <w:lang w:val="es-ES_tradnl"/>
        </w:rPr>
        <w:t xml:space="preserve"> –dada su reciente entrada en vigencia–</w:t>
      </w:r>
      <w:r w:rsidR="00BE0CDF" w:rsidRPr="00127EBF">
        <w:rPr>
          <w:rFonts w:ascii="Arial" w:eastAsia="Calibri" w:hAnsi="Arial" w:cs="Arial"/>
          <w:color w:val="000000" w:themeColor="text1"/>
          <w:sz w:val="22"/>
          <w:szCs w:val="22"/>
          <w:lang w:val="es-ES_tradnl"/>
        </w:rPr>
        <w:t xml:space="preserve"> y la ausencia de </w:t>
      </w:r>
      <w:r w:rsidR="00963550" w:rsidRPr="00127EBF">
        <w:rPr>
          <w:rFonts w:ascii="Arial" w:eastAsia="Calibri" w:hAnsi="Arial" w:cs="Arial"/>
          <w:color w:val="000000" w:themeColor="text1"/>
          <w:sz w:val="22"/>
          <w:szCs w:val="22"/>
          <w:lang w:val="es-ES_tradnl"/>
        </w:rPr>
        <w:t>pronunciamientos jurisprudenciales</w:t>
      </w:r>
      <w:r w:rsidR="00BE0CDF" w:rsidRPr="00127EBF">
        <w:rPr>
          <w:rFonts w:ascii="Arial" w:eastAsia="Calibri" w:hAnsi="Arial" w:cs="Arial"/>
          <w:color w:val="000000" w:themeColor="text1"/>
          <w:sz w:val="22"/>
          <w:szCs w:val="22"/>
          <w:lang w:val="es-ES_tradnl"/>
        </w:rPr>
        <w:t xml:space="preserve"> o estudios doctrinarios</w:t>
      </w:r>
      <w:r w:rsidR="00963550" w:rsidRPr="00127EBF">
        <w:rPr>
          <w:rFonts w:ascii="Arial" w:eastAsia="Calibri" w:hAnsi="Arial" w:cs="Arial"/>
          <w:color w:val="000000" w:themeColor="text1"/>
          <w:sz w:val="22"/>
          <w:szCs w:val="22"/>
          <w:lang w:val="es-ES_tradnl"/>
        </w:rPr>
        <w:t xml:space="preserve"> sobre el tema</w:t>
      </w:r>
      <w:r w:rsidR="00545997" w:rsidRPr="00127EBF">
        <w:rPr>
          <w:rFonts w:ascii="Arial" w:eastAsia="Calibri" w:hAnsi="Arial" w:cs="Arial"/>
          <w:color w:val="000000" w:themeColor="text1"/>
          <w:sz w:val="22"/>
          <w:szCs w:val="22"/>
          <w:lang w:val="es-ES_tradnl"/>
        </w:rPr>
        <w:t>, que seguramente contribuirán a decantar la interpretación de las normas en comento.</w:t>
      </w:r>
    </w:p>
    <w:p w14:paraId="3BBAF618" w14:textId="05EFE031" w:rsidR="005359BF" w:rsidRPr="00127EBF" w:rsidRDefault="005359BF" w:rsidP="005359BF">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Al respecto, </w:t>
      </w:r>
      <w:r w:rsidRPr="00127EBF">
        <w:rPr>
          <w:rFonts w:ascii="Arial" w:eastAsia="Calibri" w:hAnsi="Arial" w:cs="Arial"/>
          <w:sz w:val="22"/>
          <w:szCs w:val="22"/>
          <w:lang w:val="es-ES_tradnl"/>
        </w:rPr>
        <w:t>pese a que el parágrafo 3 dispone que el Gobierno Nacional podrá regular los supuestos en que concurran dos o más factores de desempate,</w:t>
      </w:r>
      <w:r w:rsidRPr="00127EBF">
        <w:rPr>
          <w:rFonts w:ascii="Arial" w:eastAsia="Calibri" w:hAnsi="Arial" w:cs="Arial"/>
          <w:color w:val="000000" w:themeColor="text1"/>
          <w:sz w:val="22"/>
          <w:szCs w:val="22"/>
          <w:lang w:val="es-ES_tradnl"/>
        </w:rPr>
        <w:t xml:space="preserve"> se considera que el artículo 35 de la Ley </w:t>
      </w:r>
      <w:r w:rsidR="00D75232"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5C13F501" w14:textId="77777777" w:rsidR="00B53D1A" w:rsidRPr="00127EBF" w:rsidRDefault="00BA482B" w:rsidP="00BD3AF1">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Por ejemplo, en lo que a las compras públicas se refiere, </w:t>
      </w:r>
      <w:r w:rsidR="00254AE9" w:rsidRPr="00127EBF">
        <w:rPr>
          <w:rFonts w:ascii="Arial" w:eastAsia="Calibri" w:hAnsi="Arial" w:cs="Arial"/>
          <w:color w:val="000000" w:themeColor="text1"/>
          <w:sz w:val="22"/>
          <w:szCs w:val="22"/>
          <w:lang w:val="es-ES_tradnl"/>
        </w:rPr>
        <w:t>el parágrafo primero del artículo</w:t>
      </w:r>
      <w:r w:rsidR="002E2C3F" w:rsidRPr="00127EBF">
        <w:rPr>
          <w:rFonts w:ascii="Arial" w:eastAsia="Calibri" w:hAnsi="Arial" w:cs="Arial"/>
          <w:color w:val="000000" w:themeColor="text1"/>
          <w:sz w:val="22"/>
          <w:szCs w:val="22"/>
          <w:lang w:val="es-ES_tradnl"/>
        </w:rPr>
        <w:t xml:space="preserve"> 30, que alude a la participación de </w:t>
      </w:r>
      <w:proofErr w:type="spellStart"/>
      <w:r w:rsidR="002E2C3F" w:rsidRPr="00127EBF">
        <w:rPr>
          <w:rFonts w:ascii="Arial" w:eastAsia="Calibri" w:hAnsi="Arial" w:cs="Arial"/>
          <w:color w:val="000000" w:themeColor="text1"/>
          <w:sz w:val="22"/>
          <w:szCs w:val="22"/>
          <w:lang w:val="es-ES_tradnl"/>
        </w:rPr>
        <w:t>mipymes</w:t>
      </w:r>
      <w:proofErr w:type="spellEnd"/>
      <w:r w:rsidR="002E2C3F" w:rsidRPr="00127EBF">
        <w:rPr>
          <w:rFonts w:ascii="Arial" w:eastAsia="Calibri" w:hAnsi="Arial" w:cs="Arial"/>
          <w:color w:val="000000" w:themeColor="text1"/>
          <w:sz w:val="22"/>
          <w:szCs w:val="22"/>
          <w:lang w:val="es-ES_tradnl"/>
        </w:rPr>
        <w:t xml:space="preserve"> en procedimientos de mínima cuantía, establece que</w:t>
      </w:r>
      <w:r w:rsidR="00985A66" w:rsidRPr="00127EBF">
        <w:rPr>
          <w:rFonts w:ascii="Arial" w:eastAsia="Calibri" w:hAnsi="Arial" w:cs="Arial"/>
          <w:color w:val="000000" w:themeColor="text1"/>
          <w:sz w:val="22"/>
          <w:szCs w:val="22"/>
          <w:lang w:val="es-ES_tradnl"/>
        </w:rPr>
        <w:t xml:space="preserve"> «Las particularidades del procedimiento aquí previsto, así como la posibilidad que tengan las entidades de realizar estas adquisiciones a </w:t>
      </w:r>
      <w:proofErr w:type="spellStart"/>
      <w:r w:rsidR="00691563" w:rsidRPr="00127EBF">
        <w:rPr>
          <w:rFonts w:ascii="Arial" w:eastAsia="Calibri" w:hAnsi="Arial" w:cs="Arial"/>
          <w:color w:val="000000" w:themeColor="text1"/>
          <w:sz w:val="22"/>
          <w:szCs w:val="22"/>
          <w:lang w:val="es-ES_tradnl"/>
        </w:rPr>
        <w:t>Mipymes</w:t>
      </w:r>
      <w:proofErr w:type="spellEnd"/>
      <w:r w:rsidR="00985A66" w:rsidRPr="00127EBF">
        <w:rPr>
          <w:rFonts w:ascii="Arial" w:eastAsia="Calibri" w:hAnsi="Arial" w:cs="Arial"/>
          <w:color w:val="000000" w:themeColor="text1"/>
          <w:sz w:val="22"/>
          <w:szCs w:val="22"/>
          <w:lang w:val="es-ES_tradnl"/>
        </w:rPr>
        <w:t xml:space="preserve"> o establecimientos que correspondan a la </w:t>
      </w:r>
      <w:r w:rsidR="00691563" w:rsidRPr="00127EBF">
        <w:rPr>
          <w:rFonts w:ascii="Arial" w:eastAsia="Calibri" w:hAnsi="Arial" w:cs="Arial"/>
          <w:color w:val="000000" w:themeColor="text1"/>
          <w:sz w:val="22"/>
          <w:szCs w:val="22"/>
          <w:lang w:val="es-ES_tradnl"/>
        </w:rPr>
        <w:t>definición</w:t>
      </w:r>
      <w:r w:rsidR="00985A66" w:rsidRPr="00127EBF">
        <w:rPr>
          <w:rFonts w:ascii="Arial" w:eastAsia="Calibri" w:hAnsi="Arial" w:cs="Arial"/>
          <w:color w:val="000000" w:themeColor="text1"/>
          <w:sz w:val="22"/>
          <w:szCs w:val="22"/>
          <w:lang w:val="es-ES_tradnl"/>
        </w:rPr>
        <w:t xml:space="preserve"> de "gran </w:t>
      </w:r>
      <w:r w:rsidR="00691563" w:rsidRPr="00127EBF">
        <w:rPr>
          <w:rFonts w:ascii="Arial" w:eastAsia="Calibri" w:hAnsi="Arial" w:cs="Arial"/>
          <w:color w:val="000000" w:themeColor="text1"/>
          <w:sz w:val="22"/>
          <w:szCs w:val="22"/>
          <w:lang w:val="es-ES_tradnl"/>
        </w:rPr>
        <w:t>almacén</w:t>
      </w:r>
      <w:r w:rsidR="00985A66" w:rsidRPr="00127EBF">
        <w:rPr>
          <w:rFonts w:ascii="Arial" w:eastAsia="Calibri" w:hAnsi="Arial" w:cs="Arial"/>
          <w:color w:val="000000" w:themeColor="text1"/>
          <w:sz w:val="22"/>
          <w:szCs w:val="22"/>
          <w:lang w:val="es-ES_tradnl"/>
        </w:rPr>
        <w:t xml:space="preserve">" </w:t>
      </w:r>
      <w:r w:rsidR="00787B1B" w:rsidRPr="00127EBF">
        <w:rPr>
          <w:rFonts w:ascii="Arial" w:eastAsia="Calibri" w:hAnsi="Arial" w:cs="Arial"/>
          <w:color w:val="000000" w:themeColor="text1"/>
          <w:sz w:val="22"/>
          <w:szCs w:val="22"/>
          <w:lang w:val="es-ES_tradnl"/>
        </w:rPr>
        <w:t>señalada</w:t>
      </w:r>
      <w:r w:rsidR="00985A66" w:rsidRPr="00127EBF">
        <w:rPr>
          <w:rFonts w:ascii="Arial" w:eastAsia="Calibri" w:hAnsi="Arial" w:cs="Arial"/>
          <w:color w:val="000000" w:themeColor="text1"/>
          <w:sz w:val="22"/>
          <w:szCs w:val="22"/>
          <w:lang w:val="es-ES_tradnl"/>
        </w:rPr>
        <w:t xml:space="preserve"> por la Superintendencia de Industria y Comercio, se </w:t>
      </w:r>
      <w:r w:rsidR="00691563" w:rsidRPr="00127EBF">
        <w:rPr>
          <w:rFonts w:ascii="Arial" w:eastAsia="Calibri" w:hAnsi="Arial" w:cs="Arial"/>
          <w:color w:val="000000" w:themeColor="text1"/>
          <w:sz w:val="22"/>
          <w:szCs w:val="22"/>
          <w:lang w:val="es-ES_tradnl"/>
        </w:rPr>
        <w:t>determinarán</w:t>
      </w:r>
      <w:r w:rsidR="00985A66" w:rsidRPr="00127EBF">
        <w:rPr>
          <w:rFonts w:ascii="Arial" w:eastAsia="Calibri" w:hAnsi="Arial" w:cs="Arial"/>
          <w:color w:val="000000" w:themeColor="text1"/>
          <w:sz w:val="22"/>
          <w:szCs w:val="22"/>
          <w:lang w:val="es-ES_tradnl"/>
        </w:rPr>
        <w:t xml:space="preserve"> en el reglamento que para el efecto expida el Gobierno Nacional</w:t>
      </w:r>
      <w:r w:rsidR="00691563" w:rsidRPr="00127EBF">
        <w:rPr>
          <w:rFonts w:ascii="Arial" w:eastAsia="Calibri" w:hAnsi="Arial" w:cs="Arial"/>
          <w:color w:val="000000" w:themeColor="text1"/>
          <w:sz w:val="22"/>
          <w:szCs w:val="22"/>
          <w:lang w:val="es-ES_tradnl"/>
        </w:rPr>
        <w:t>»</w:t>
      </w:r>
      <w:r w:rsidR="00985A66" w:rsidRPr="00127EBF">
        <w:rPr>
          <w:rFonts w:ascii="Arial" w:eastAsia="Calibri" w:hAnsi="Arial" w:cs="Arial"/>
          <w:color w:val="000000" w:themeColor="text1"/>
          <w:sz w:val="22"/>
          <w:szCs w:val="22"/>
          <w:lang w:val="es-ES_tradnl"/>
        </w:rPr>
        <w:t>.</w:t>
      </w:r>
      <w:r w:rsidR="00254AE9" w:rsidRPr="00127EBF">
        <w:rPr>
          <w:rFonts w:ascii="Arial" w:eastAsia="Calibri" w:hAnsi="Arial" w:cs="Arial"/>
          <w:color w:val="000000" w:themeColor="text1"/>
          <w:sz w:val="22"/>
          <w:szCs w:val="22"/>
          <w:lang w:val="es-ES_tradnl"/>
        </w:rPr>
        <w:t xml:space="preserve"> </w:t>
      </w:r>
      <w:r w:rsidR="00F73B82" w:rsidRPr="00127EBF">
        <w:rPr>
          <w:rFonts w:ascii="Arial" w:eastAsia="Calibri" w:hAnsi="Arial" w:cs="Arial"/>
          <w:color w:val="000000" w:themeColor="text1"/>
          <w:sz w:val="22"/>
          <w:szCs w:val="22"/>
          <w:lang w:val="es-ES_tradnl"/>
        </w:rPr>
        <w:t xml:space="preserve">En un sentido similar, el parágrafo segundo del mismo artículo expresa </w:t>
      </w:r>
      <w:r w:rsidR="00F73B82" w:rsidRPr="00127EBF">
        <w:rPr>
          <w:rFonts w:ascii="Arial" w:eastAsia="Calibri" w:hAnsi="Arial" w:cs="Arial"/>
          <w:color w:val="000000" w:themeColor="text1"/>
          <w:sz w:val="22"/>
          <w:szCs w:val="22"/>
          <w:lang w:val="es-ES_tradnl"/>
        </w:rPr>
        <w:lastRenderedPageBreak/>
        <w:t>que «</w:t>
      </w:r>
      <w:r w:rsidR="008B5C7C" w:rsidRPr="00127EBF">
        <w:rPr>
          <w:rFonts w:ascii="Arial" w:eastAsia="Calibri" w:hAnsi="Arial" w:cs="Arial"/>
          <w:color w:val="000000" w:themeColor="text1"/>
          <w:sz w:val="22"/>
          <w:szCs w:val="22"/>
          <w:lang w:val="es-ES_tradnl"/>
        </w:rPr>
        <w:t>La contratación a que se refiere el presente artículo se realizará exclusivamente con las reglas en él contempladas y en su reglamentación. […]».</w:t>
      </w:r>
      <w:r w:rsidR="007534AD" w:rsidRPr="00127EBF">
        <w:rPr>
          <w:rFonts w:ascii="Arial" w:eastAsia="Calibri" w:hAnsi="Arial" w:cs="Arial"/>
          <w:color w:val="000000" w:themeColor="text1"/>
          <w:sz w:val="22"/>
          <w:szCs w:val="22"/>
          <w:lang w:val="es-ES_tradnl"/>
        </w:rPr>
        <w:t xml:space="preserve"> </w:t>
      </w:r>
    </w:p>
    <w:p w14:paraId="64E70AB9" w14:textId="1FC7D22C" w:rsidR="00963550" w:rsidRPr="00127EBF" w:rsidRDefault="007534AD" w:rsidP="00BD3AF1">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Así mismo, el artículo 31, en el segundo inciso, </w:t>
      </w:r>
      <w:r w:rsidR="00685D37" w:rsidRPr="00127EBF">
        <w:rPr>
          <w:rFonts w:ascii="Arial" w:eastAsia="Calibri" w:hAnsi="Arial" w:cs="Arial"/>
          <w:color w:val="000000" w:themeColor="text1"/>
          <w:sz w:val="22"/>
          <w:szCs w:val="22"/>
          <w:lang w:val="es-ES_tradnl"/>
        </w:rPr>
        <w:t>determina que «El Gobierno Nacional reglamentará la definición de los criterios diferenciales, sobre reglas objetivas que podrán implementar las Entidades Estatales».</w:t>
      </w:r>
      <w:r w:rsidR="0006626E" w:rsidRPr="00127EBF">
        <w:rPr>
          <w:rFonts w:ascii="Arial" w:eastAsia="Calibri" w:hAnsi="Arial" w:cs="Arial"/>
          <w:color w:val="000000" w:themeColor="text1"/>
          <w:sz w:val="22"/>
          <w:szCs w:val="22"/>
          <w:lang w:val="es-ES_tradnl"/>
        </w:rPr>
        <w:t xml:space="preserve"> </w:t>
      </w:r>
      <w:r w:rsidR="00787B1B" w:rsidRPr="00127EBF">
        <w:rPr>
          <w:rFonts w:ascii="Arial" w:eastAsia="Calibri" w:hAnsi="Arial" w:cs="Arial"/>
          <w:color w:val="000000" w:themeColor="text1"/>
          <w:sz w:val="22"/>
          <w:szCs w:val="22"/>
          <w:lang w:val="es-ES_tradnl"/>
        </w:rPr>
        <w:t>Del mismo modo, el parágrafo primero del artículo 32 establece que «La definición de emprendimientos y empresas de mujeres se reglamentará por el gobierno nacional»</w:t>
      </w:r>
      <w:r w:rsidR="00FD72B1" w:rsidRPr="00127EBF">
        <w:rPr>
          <w:rFonts w:ascii="Arial" w:eastAsia="Calibri" w:hAnsi="Arial" w:cs="Arial"/>
          <w:color w:val="000000" w:themeColor="text1"/>
          <w:sz w:val="22"/>
          <w:szCs w:val="22"/>
          <w:lang w:val="es-ES_tradnl"/>
        </w:rPr>
        <w:t xml:space="preserve">, en tanto que el inciso cuarto del artículo 12 de la Ley 1150 de 2007, modificado por el artículo </w:t>
      </w:r>
      <w:r w:rsidR="00F13F51" w:rsidRPr="00127EBF">
        <w:rPr>
          <w:rFonts w:ascii="Arial" w:eastAsia="Calibri" w:hAnsi="Arial" w:cs="Arial"/>
          <w:color w:val="000000" w:themeColor="text1"/>
          <w:sz w:val="22"/>
          <w:szCs w:val="22"/>
          <w:lang w:val="es-ES_tradnl"/>
        </w:rPr>
        <w:t xml:space="preserve">34 de la Ley </w:t>
      </w:r>
      <w:r w:rsidR="007B209C" w:rsidRPr="00127EBF">
        <w:rPr>
          <w:rFonts w:ascii="Arial" w:eastAsia="Calibri" w:hAnsi="Arial" w:cs="Arial"/>
          <w:color w:val="000000" w:themeColor="text1"/>
          <w:sz w:val="22"/>
          <w:szCs w:val="22"/>
          <w:lang w:val="es-ES_tradnl"/>
        </w:rPr>
        <w:t>2069</w:t>
      </w:r>
      <w:r w:rsidR="00F13F51" w:rsidRPr="00127EBF">
        <w:rPr>
          <w:rFonts w:ascii="Arial" w:eastAsia="Calibri" w:hAnsi="Arial" w:cs="Arial"/>
          <w:color w:val="000000" w:themeColor="text1"/>
          <w:sz w:val="22"/>
          <w:szCs w:val="22"/>
          <w:lang w:val="es-ES_tradnl"/>
        </w:rPr>
        <w:t xml:space="preserve"> de 2020, </w:t>
      </w:r>
      <w:r w:rsidR="00CD02ED" w:rsidRPr="00127EBF">
        <w:rPr>
          <w:rFonts w:ascii="Arial" w:eastAsia="Calibri" w:hAnsi="Arial" w:cs="Arial"/>
          <w:color w:val="000000" w:themeColor="text1"/>
          <w:sz w:val="22"/>
          <w:szCs w:val="22"/>
          <w:lang w:val="es-ES_tradnl"/>
        </w:rPr>
        <w:t xml:space="preserve">indica que en los pliegos de condiciones las entidades estatales deben </w:t>
      </w:r>
      <w:r w:rsidR="00B1507C" w:rsidRPr="00127EBF">
        <w:rPr>
          <w:rFonts w:ascii="Arial" w:eastAsia="Calibri" w:hAnsi="Arial" w:cs="Arial"/>
          <w:color w:val="000000" w:themeColor="text1"/>
          <w:sz w:val="22"/>
          <w:szCs w:val="22"/>
          <w:lang w:val="es-ES_tradnl"/>
        </w:rPr>
        <w:t>prever mecanismos que garanticen la provisión de bienes y servicios por parte de sujetos de especial protección constitucional «</w:t>
      </w:r>
      <w:r w:rsidR="0017655B" w:rsidRPr="00127EBF">
        <w:rPr>
          <w:rFonts w:ascii="Arial" w:eastAsia="Calibri" w:hAnsi="Arial" w:cs="Arial"/>
          <w:color w:val="000000" w:themeColor="text1"/>
          <w:sz w:val="22"/>
          <w:szCs w:val="22"/>
          <w:lang w:val="es-ES_tradnl"/>
        </w:rPr>
        <w:t>[…] en las condiciones que señale el reglamento».</w:t>
      </w:r>
    </w:p>
    <w:p w14:paraId="6BE8E6DF" w14:textId="5B7E8D06" w:rsidR="002F24DA" w:rsidRPr="00127EBF" w:rsidRDefault="002F24DA" w:rsidP="00BD3AF1">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Lo</w:t>
      </w:r>
      <w:r w:rsidR="008E4CAE" w:rsidRPr="00127EBF">
        <w:rPr>
          <w:rFonts w:ascii="Arial" w:eastAsia="Calibri" w:hAnsi="Arial" w:cs="Arial"/>
          <w:color w:val="000000" w:themeColor="text1"/>
          <w:sz w:val="22"/>
          <w:szCs w:val="22"/>
          <w:lang w:val="es-ES_tradnl"/>
        </w:rPr>
        <w:t xml:space="preserve"> mismo no sucede con el artículo 35</w:t>
      </w:r>
      <w:r w:rsidR="00535B2F" w:rsidRPr="00127EBF">
        <w:rPr>
          <w:rFonts w:ascii="Arial" w:eastAsia="Calibri" w:hAnsi="Arial" w:cs="Arial"/>
          <w:sz w:val="22"/>
          <w:szCs w:val="22"/>
          <w:lang w:val="es-ES_tradnl"/>
        </w:rPr>
        <w:t xml:space="preserve">. En efecto, </w:t>
      </w:r>
      <w:r w:rsidR="00535B2F" w:rsidRPr="00127EBF">
        <w:rPr>
          <w:rFonts w:ascii="Arial" w:hAnsi="Arial" w:cs="Arial"/>
          <w:color w:val="000000" w:themeColor="text1"/>
          <w:sz w:val="22"/>
          <w:szCs w:val="22"/>
          <w:lang w:val="es-ES_tradnl"/>
        </w:rPr>
        <w:t>si bien los factores de desempate regulados en el artículo 35 deben aplicarse «</w:t>
      </w:r>
      <w:r w:rsidR="00535B2F" w:rsidRPr="00127EBF">
        <w:rPr>
          <w:rFonts w:ascii="Arial" w:hAnsi="Arial" w:cs="Arial"/>
          <w:lang w:val="es-ES_tradnl"/>
        </w:rPr>
        <w:t xml:space="preserve">[…] </w:t>
      </w:r>
      <w:r w:rsidR="00535B2F" w:rsidRPr="00127EBF">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535B2F" w:rsidRPr="00127EBF">
        <w:rPr>
          <w:rFonts w:ascii="Arial" w:eastAsia="Calibri" w:hAnsi="Arial" w:cs="Arial"/>
          <w:color w:val="000000" w:themeColor="text1"/>
          <w:sz w:val="22"/>
          <w:szCs w:val="22"/>
          <w:lang w:val="es-ES_tradnl"/>
        </w:rPr>
        <w:t xml:space="preserve"> </w:t>
      </w:r>
      <w:r w:rsidR="00287BDB" w:rsidRPr="00127EBF">
        <w:rPr>
          <w:rFonts w:ascii="Arial" w:eastAsia="Calibri" w:hAnsi="Arial" w:cs="Arial"/>
          <w:color w:val="000000" w:themeColor="text1"/>
          <w:sz w:val="22"/>
          <w:szCs w:val="22"/>
          <w:lang w:val="es-ES_tradnl"/>
        </w:rPr>
        <w:t xml:space="preserve"> </w:t>
      </w:r>
    </w:p>
    <w:p w14:paraId="32583269" w14:textId="243BE88E" w:rsidR="008E4CAE" w:rsidRPr="00127EBF" w:rsidRDefault="000A73E8" w:rsidP="00BD3AF1">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A continuación, el artículo en mención establece</w:t>
      </w:r>
      <w:r w:rsidR="00AB7A7A" w:rsidRPr="00127EBF">
        <w:rPr>
          <w:rFonts w:ascii="Arial" w:eastAsia="Calibri" w:hAnsi="Arial" w:cs="Arial"/>
          <w:color w:val="000000" w:themeColor="text1"/>
          <w:sz w:val="22"/>
          <w:szCs w:val="22"/>
          <w:lang w:val="es-ES_tradnl"/>
        </w:rPr>
        <w:t xml:space="preserve"> los factores de desempate que se deben seguir de manera sucesiva, sin indicar tampoco en cada </w:t>
      </w:r>
      <w:r w:rsidR="008E7497" w:rsidRPr="00127EBF">
        <w:rPr>
          <w:rFonts w:ascii="Arial" w:eastAsia="Calibri" w:hAnsi="Arial" w:cs="Arial"/>
          <w:color w:val="000000" w:themeColor="text1"/>
          <w:sz w:val="22"/>
          <w:szCs w:val="22"/>
          <w:lang w:val="es-ES_tradnl"/>
        </w:rPr>
        <w:t>numeral</w:t>
      </w:r>
      <w:r w:rsidR="00AB7A7A" w:rsidRPr="00127EBF">
        <w:rPr>
          <w:rFonts w:ascii="Arial" w:eastAsia="Calibri" w:hAnsi="Arial" w:cs="Arial"/>
          <w:color w:val="000000" w:themeColor="text1"/>
          <w:sz w:val="22"/>
          <w:szCs w:val="22"/>
          <w:lang w:val="es-ES_tradnl"/>
        </w:rPr>
        <w:t xml:space="preserve"> que su </w:t>
      </w:r>
      <w:r w:rsidR="00E514BA" w:rsidRPr="00127EBF">
        <w:rPr>
          <w:rFonts w:ascii="Arial" w:eastAsia="Calibri" w:hAnsi="Arial" w:cs="Arial"/>
          <w:color w:val="000000" w:themeColor="text1"/>
          <w:sz w:val="22"/>
          <w:szCs w:val="22"/>
          <w:lang w:val="es-ES_tradnl"/>
        </w:rPr>
        <w:t>eficacia depend</w:t>
      </w:r>
      <w:r w:rsidR="008E7497" w:rsidRPr="00127EBF">
        <w:rPr>
          <w:rFonts w:ascii="Arial" w:eastAsia="Calibri" w:hAnsi="Arial" w:cs="Arial"/>
          <w:color w:val="000000" w:themeColor="text1"/>
          <w:sz w:val="22"/>
          <w:szCs w:val="22"/>
          <w:lang w:val="es-ES_tradnl"/>
        </w:rPr>
        <w:t>a</w:t>
      </w:r>
      <w:r w:rsidR="00E514BA" w:rsidRPr="00127EBF">
        <w:rPr>
          <w:rFonts w:ascii="Arial" w:eastAsia="Calibri" w:hAnsi="Arial" w:cs="Arial"/>
          <w:color w:val="000000" w:themeColor="text1"/>
          <w:sz w:val="22"/>
          <w:szCs w:val="22"/>
          <w:lang w:val="es-ES_tradnl"/>
        </w:rPr>
        <w:t xml:space="preserve"> de lo que determine el reglamento. La única alusión que se </w:t>
      </w:r>
      <w:r w:rsidR="00B7762A" w:rsidRPr="00127EBF">
        <w:rPr>
          <w:rFonts w:ascii="Arial" w:eastAsia="Calibri" w:hAnsi="Arial" w:cs="Arial"/>
          <w:color w:val="000000" w:themeColor="text1"/>
          <w:sz w:val="22"/>
          <w:szCs w:val="22"/>
          <w:lang w:val="es-ES_tradnl"/>
        </w:rPr>
        <w:t>hace</w:t>
      </w:r>
      <w:r w:rsidR="00E514BA" w:rsidRPr="00127EBF">
        <w:rPr>
          <w:rFonts w:ascii="Arial" w:eastAsia="Calibri" w:hAnsi="Arial" w:cs="Arial"/>
          <w:color w:val="000000" w:themeColor="text1"/>
          <w:sz w:val="22"/>
          <w:szCs w:val="22"/>
          <w:lang w:val="es-ES_tradnl"/>
        </w:rPr>
        <w:t xml:space="preserve"> al reglamento</w:t>
      </w:r>
      <w:r w:rsidR="00B7762A" w:rsidRPr="00127EBF">
        <w:rPr>
          <w:rFonts w:ascii="Arial" w:eastAsia="Calibri" w:hAnsi="Arial" w:cs="Arial"/>
          <w:color w:val="000000" w:themeColor="text1"/>
          <w:sz w:val="22"/>
          <w:szCs w:val="22"/>
          <w:lang w:val="es-ES_tradnl"/>
        </w:rPr>
        <w:t xml:space="preserve"> se encuentra en el parágrafo tercero del artículo que se viene comentando, </w:t>
      </w:r>
      <w:r w:rsidR="00325AD9" w:rsidRPr="00127EBF">
        <w:rPr>
          <w:rFonts w:ascii="Arial" w:eastAsia="Calibri" w:hAnsi="Arial" w:cs="Arial"/>
          <w:color w:val="000000" w:themeColor="text1"/>
          <w:sz w:val="22"/>
          <w:szCs w:val="22"/>
          <w:lang w:val="es-ES_tradnl"/>
        </w:rPr>
        <w:t>no</w:t>
      </w:r>
      <w:r w:rsidR="00B7762A" w:rsidRPr="00127EBF">
        <w:rPr>
          <w:rFonts w:ascii="Arial" w:eastAsia="Calibri" w:hAnsi="Arial" w:cs="Arial"/>
          <w:color w:val="000000" w:themeColor="text1"/>
          <w:sz w:val="22"/>
          <w:szCs w:val="22"/>
          <w:lang w:val="es-ES_tradnl"/>
        </w:rPr>
        <w:t xml:space="preserve"> para condicionar la aplicación de todo</w:t>
      </w:r>
      <w:r w:rsidR="00A7549A" w:rsidRPr="00127EBF">
        <w:rPr>
          <w:rFonts w:ascii="Arial" w:eastAsia="Calibri" w:hAnsi="Arial" w:cs="Arial"/>
          <w:color w:val="000000" w:themeColor="text1"/>
          <w:sz w:val="22"/>
          <w:szCs w:val="22"/>
          <w:lang w:val="es-ES_tradnl"/>
        </w:rPr>
        <w:t xml:space="preserve"> lo dispuesto en aquel, sino para indicar que «</w:t>
      </w:r>
      <w:r w:rsidR="000A46FE" w:rsidRPr="00127EBF">
        <w:rPr>
          <w:rFonts w:ascii="Arial" w:eastAsia="Calibri" w:hAnsi="Arial" w:cs="Arial"/>
          <w:color w:val="000000" w:themeColor="text1"/>
          <w:sz w:val="22"/>
          <w:szCs w:val="22"/>
          <w:lang w:val="es-ES_tradnl"/>
        </w:rPr>
        <w:t xml:space="preserve">El Gobierno Nacional </w:t>
      </w:r>
      <w:r w:rsidR="000A46FE" w:rsidRPr="00127EBF">
        <w:rPr>
          <w:rFonts w:ascii="Arial" w:eastAsia="Calibri" w:hAnsi="Arial" w:cs="Arial"/>
          <w:i/>
          <w:iCs/>
          <w:color w:val="000000" w:themeColor="text1"/>
          <w:sz w:val="22"/>
          <w:szCs w:val="22"/>
          <w:lang w:val="es-ES_tradnl"/>
        </w:rPr>
        <w:t>podrá reglamentar</w:t>
      </w:r>
      <w:r w:rsidR="000A46FE" w:rsidRPr="00127EBF">
        <w:rPr>
          <w:rFonts w:ascii="Arial" w:eastAsia="Calibri" w:hAnsi="Arial" w:cs="Arial"/>
          <w:color w:val="000000" w:themeColor="text1"/>
          <w:sz w:val="22"/>
          <w:szCs w:val="22"/>
          <w:lang w:val="es-ES_tradnl"/>
        </w:rPr>
        <w:t xml:space="preserve"> la aplicación de factores de desempate en casos en que concurran dos o más de los factores aquí previstos»</w:t>
      </w:r>
      <w:r w:rsidR="002F24DA" w:rsidRPr="00127EBF">
        <w:rPr>
          <w:rFonts w:ascii="Arial" w:eastAsia="Calibri" w:hAnsi="Arial" w:cs="Arial"/>
          <w:color w:val="000000" w:themeColor="text1"/>
          <w:sz w:val="22"/>
          <w:szCs w:val="22"/>
          <w:lang w:val="es-ES_tradnl"/>
        </w:rPr>
        <w:t xml:space="preserve"> (Énfasis fuera de texto)</w:t>
      </w:r>
      <w:r w:rsidR="000A46FE" w:rsidRPr="00127EBF">
        <w:rPr>
          <w:rFonts w:ascii="Arial" w:eastAsia="Calibri" w:hAnsi="Arial" w:cs="Arial"/>
          <w:color w:val="000000" w:themeColor="text1"/>
          <w:sz w:val="22"/>
          <w:szCs w:val="22"/>
          <w:lang w:val="es-ES_tradnl"/>
        </w:rPr>
        <w:t>.</w:t>
      </w:r>
    </w:p>
    <w:p w14:paraId="295543E3" w14:textId="42268621" w:rsidR="005C06A5" w:rsidRPr="00127EBF" w:rsidRDefault="005C06A5" w:rsidP="005C06A5">
      <w:pPr>
        <w:spacing w:before="120"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w:t>
      </w:r>
      <w:r w:rsidR="003D15B3" w:rsidRPr="00127EBF">
        <w:rPr>
          <w:rFonts w:ascii="Arial" w:eastAsia="Calibri" w:hAnsi="Arial" w:cs="Arial"/>
          <w:color w:val="000000" w:themeColor="text1"/>
          <w:sz w:val="22"/>
          <w:szCs w:val="22"/>
          <w:lang w:val="es-ES_tradnl"/>
        </w:rPr>
        <w:t xml:space="preserve"> sin perjuicio de que el Gobierno Nacional ejerza la potestad reglamentaria para regular los casos en que concurren dos o más de los factores de desempate, </w:t>
      </w:r>
      <w:r w:rsidRPr="00127EBF">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6525352B" w14:textId="35D5E653" w:rsidR="00325AD9" w:rsidRPr="00127EBF" w:rsidRDefault="009F210A" w:rsidP="00BB606C">
      <w:pPr>
        <w:spacing w:before="120" w:line="276" w:lineRule="auto"/>
        <w:ind w:firstLine="709"/>
        <w:jc w:val="both"/>
        <w:rPr>
          <w:rFonts w:ascii="Arial"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Luego</w:t>
      </w:r>
      <w:r w:rsidR="00D82A7D" w:rsidRPr="00127EBF">
        <w:rPr>
          <w:rFonts w:ascii="Arial" w:eastAsia="Calibri" w:hAnsi="Arial" w:cs="Arial"/>
          <w:color w:val="000000" w:themeColor="text1"/>
          <w:sz w:val="22"/>
          <w:szCs w:val="22"/>
          <w:lang w:val="es-ES_tradnl"/>
        </w:rPr>
        <w:t xml:space="preserve"> de aclarar</w:t>
      </w:r>
      <w:r w:rsidR="00325AD9" w:rsidRPr="00127EBF">
        <w:rPr>
          <w:rFonts w:ascii="Arial" w:eastAsia="Calibri" w:hAnsi="Arial" w:cs="Arial"/>
          <w:color w:val="000000" w:themeColor="text1"/>
          <w:sz w:val="22"/>
          <w:szCs w:val="22"/>
          <w:lang w:val="es-ES_tradnl"/>
        </w:rPr>
        <w:t xml:space="preserve"> que el artículo 35 de la Ley </w:t>
      </w:r>
      <w:r w:rsidR="007B209C" w:rsidRPr="00127EBF">
        <w:rPr>
          <w:rFonts w:ascii="Arial" w:eastAsia="Calibri" w:hAnsi="Arial" w:cs="Arial"/>
          <w:color w:val="000000" w:themeColor="text1"/>
          <w:sz w:val="22"/>
          <w:szCs w:val="22"/>
          <w:lang w:val="es-ES_tradnl"/>
        </w:rPr>
        <w:t>2069</w:t>
      </w:r>
      <w:r w:rsidR="00325AD9" w:rsidRPr="00127EBF">
        <w:rPr>
          <w:rFonts w:ascii="Arial" w:eastAsia="Calibri" w:hAnsi="Arial" w:cs="Arial"/>
          <w:color w:val="000000" w:themeColor="text1"/>
          <w:sz w:val="22"/>
          <w:szCs w:val="22"/>
          <w:lang w:val="es-ES_tradnl"/>
        </w:rPr>
        <w:t xml:space="preserve"> de 2020 se encuentra vigente y que no requiere </w:t>
      </w:r>
      <w:r w:rsidR="00D82A7D" w:rsidRPr="00127EBF">
        <w:rPr>
          <w:rFonts w:ascii="Arial" w:eastAsia="Calibri" w:hAnsi="Arial" w:cs="Arial"/>
          <w:color w:val="000000" w:themeColor="text1"/>
          <w:sz w:val="22"/>
          <w:szCs w:val="22"/>
          <w:lang w:val="es-ES_tradnl"/>
        </w:rPr>
        <w:t>reglamentación</w:t>
      </w:r>
      <w:r w:rsidR="00325AD9" w:rsidRPr="00127EBF">
        <w:rPr>
          <w:rFonts w:ascii="Arial" w:eastAsia="Calibri" w:hAnsi="Arial" w:cs="Arial"/>
          <w:color w:val="000000" w:themeColor="text1"/>
          <w:sz w:val="22"/>
          <w:szCs w:val="22"/>
          <w:lang w:val="es-ES_tradnl"/>
        </w:rPr>
        <w:t xml:space="preserve"> previa para que </w:t>
      </w:r>
      <w:r w:rsidR="0041674B" w:rsidRPr="00127EBF">
        <w:rPr>
          <w:rFonts w:ascii="Arial" w:eastAsia="Calibri" w:hAnsi="Arial" w:cs="Arial"/>
          <w:color w:val="000000" w:themeColor="text1"/>
          <w:sz w:val="22"/>
          <w:szCs w:val="22"/>
          <w:lang w:val="es-ES_tradnl"/>
        </w:rPr>
        <w:t xml:space="preserve">sea exigible en los procedimientos de </w:t>
      </w:r>
      <w:r w:rsidR="0041674B" w:rsidRPr="00127EBF">
        <w:rPr>
          <w:rFonts w:ascii="Arial" w:eastAsia="Calibri" w:hAnsi="Arial" w:cs="Arial"/>
          <w:color w:val="000000" w:themeColor="text1"/>
          <w:sz w:val="22"/>
          <w:szCs w:val="22"/>
          <w:lang w:val="es-ES_tradnl"/>
        </w:rPr>
        <w:lastRenderedPageBreak/>
        <w:t xml:space="preserve">selección, es menester hacer referencia al objeto de </w:t>
      </w:r>
      <w:r w:rsidR="00A00F5E" w:rsidRPr="00127EBF">
        <w:rPr>
          <w:rFonts w:ascii="Arial" w:eastAsia="Calibri" w:hAnsi="Arial" w:cs="Arial"/>
          <w:color w:val="000000" w:themeColor="text1"/>
          <w:sz w:val="22"/>
          <w:szCs w:val="22"/>
          <w:lang w:val="es-ES_tradnl"/>
        </w:rPr>
        <w:t>la</w:t>
      </w:r>
      <w:r w:rsidR="0041674B" w:rsidRPr="00127EBF">
        <w:rPr>
          <w:rFonts w:ascii="Arial" w:eastAsia="Calibri" w:hAnsi="Arial" w:cs="Arial"/>
          <w:color w:val="000000" w:themeColor="text1"/>
          <w:sz w:val="22"/>
          <w:szCs w:val="22"/>
          <w:lang w:val="es-ES_tradnl"/>
        </w:rPr>
        <w:t xml:space="preserve"> consulta. En ella se </w:t>
      </w:r>
      <w:r w:rsidR="00625C65" w:rsidRPr="00127EBF">
        <w:rPr>
          <w:rFonts w:ascii="Arial" w:eastAsia="Calibri" w:hAnsi="Arial" w:cs="Arial"/>
          <w:color w:val="000000" w:themeColor="text1"/>
          <w:sz w:val="22"/>
          <w:szCs w:val="22"/>
          <w:lang w:val="es-ES_tradnl"/>
        </w:rPr>
        <w:t xml:space="preserve">solicita aclarar </w:t>
      </w:r>
      <w:r w:rsidR="0030257B" w:rsidRPr="00127EBF">
        <w:rPr>
          <w:rFonts w:ascii="Arial" w:eastAsia="Calibri" w:hAnsi="Arial" w:cs="Arial"/>
          <w:color w:val="000000" w:themeColor="text1"/>
          <w:sz w:val="22"/>
          <w:szCs w:val="22"/>
          <w:lang w:val="es-ES_tradnl"/>
        </w:rPr>
        <w:t xml:space="preserve">el sentido </w:t>
      </w:r>
      <w:r w:rsidR="00625C65" w:rsidRPr="00127EBF">
        <w:rPr>
          <w:rFonts w:ascii="Arial" w:eastAsia="Calibri" w:hAnsi="Arial" w:cs="Arial"/>
          <w:color w:val="000000" w:themeColor="text1"/>
          <w:sz w:val="22"/>
          <w:szCs w:val="22"/>
          <w:lang w:val="es-ES_tradnl"/>
        </w:rPr>
        <w:t>del</w:t>
      </w:r>
      <w:r w:rsidR="0030257B" w:rsidRPr="00127EBF">
        <w:rPr>
          <w:rFonts w:ascii="Arial" w:eastAsia="Calibri" w:hAnsi="Arial" w:cs="Arial"/>
          <w:color w:val="000000" w:themeColor="text1"/>
          <w:sz w:val="22"/>
          <w:szCs w:val="22"/>
          <w:lang w:val="es-ES_tradnl"/>
        </w:rPr>
        <w:t xml:space="preserve"> factor de desempate previsto en </w:t>
      </w:r>
      <w:r w:rsidR="00063B11" w:rsidRPr="00127EBF">
        <w:rPr>
          <w:rFonts w:ascii="Arial" w:eastAsia="Calibri" w:hAnsi="Arial" w:cs="Arial"/>
          <w:color w:val="000000" w:themeColor="text1"/>
          <w:sz w:val="22"/>
          <w:szCs w:val="22"/>
          <w:lang w:val="es-ES_tradnl"/>
        </w:rPr>
        <w:t>el</w:t>
      </w:r>
      <w:r w:rsidR="0030257B" w:rsidRPr="00127EBF">
        <w:rPr>
          <w:rFonts w:ascii="Arial" w:eastAsia="Calibri" w:hAnsi="Arial" w:cs="Arial"/>
          <w:color w:val="000000" w:themeColor="text1"/>
          <w:sz w:val="22"/>
          <w:szCs w:val="22"/>
          <w:lang w:val="es-ES_tradnl"/>
        </w:rPr>
        <w:t xml:space="preserve"> numeral</w:t>
      </w:r>
      <w:r w:rsidR="00063B11" w:rsidRPr="00127EBF">
        <w:rPr>
          <w:rFonts w:ascii="Arial" w:eastAsia="Calibri" w:hAnsi="Arial" w:cs="Arial"/>
          <w:color w:val="000000" w:themeColor="text1"/>
          <w:sz w:val="22"/>
          <w:szCs w:val="22"/>
          <w:lang w:val="es-ES_tradnl"/>
        </w:rPr>
        <w:t xml:space="preserve"> </w:t>
      </w:r>
      <w:r w:rsidR="001F1F00">
        <w:rPr>
          <w:rFonts w:ascii="Arial" w:eastAsia="Calibri" w:hAnsi="Arial" w:cs="Arial"/>
          <w:color w:val="000000" w:themeColor="text1"/>
          <w:sz w:val="22"/>
          <w:szCs w:val="22"/>
          <w:lang w:val="es-ES_tradnl"/>
        </w:rPr>
        <w:t>2</w:t>
      </w:r>
      <w:r w:rsidR="00063B11" w:rsidRPr="00127EBF">
        <w:rPr>
          <w:rFonts w:ascii="Arial" w:eastAsia="Calibri" w:hAnsi="Arial" w:cs="Arial"/>
          <w:color w:val="000000" w:themeColor="text1"/>
          <w:sz w:val="22"/>
          <w:szCs w:val="22"/>
          <w:lang w:val="es-ES_tradnl"/>
        </w:rPr>
        <w:t xml:space="preserve"> </w:t>
      </w:r>
      <w:r w:rsidR="009C2210" w:rsidRPr="00127EBF">
        <w:rPr>
          <w:rFonts w:ascii="Arial" w:eastAsia="Calibri" w:hAnsi="Arial" w:cs="Arial"/>
          <w:color w:val="000000" w:themeColor="text1"/>
          <w:sz w:val="22"/>
          <w:szCs w:val="22"/>
          <w:lang w:val="es-ES_tradnl"/>
        </w:rPr>
        <w:t>del artículo 35</w:t>
      </w:r>
      <w:r w:rsidR="00454DF8" w:rsidRPr="00127EBF">
        <w:rPr>
          <w:rFonts w:ascii="Arial" w:eastAsia="Calibri" w:hAnsi="Arial" w:cs="Arial"/>
          <w:color w:val="000000" w:themeColor="text1"/>
          <w:sz w:val="22"/>
          <w:szCs w:val="22"/>
          <w:lang w:val="es-ES_tradnl"/>
        </w:rPr>
        <w:t xml:space="preserve">. </w:t>
      </w:r>
      <w:r w:rsidR="00E073FC" w:rsidRPr="00127EBF">
        <w:rPr>
          <w:rFonts w:ascii="Arial" w:eastAsia="Calibri" w:hAnsi="Arial" w:cs="Arial"/>
          <w:color w:val="000000" w:themeColor="text1"/>
          <w:sz w:val="22"/>
          <w:szCs w:val="22"/>
          <w:lang w:val="es-ES_tradnl"/>
        </w:rPr>
        <w:t>La</w:t>
      </w:r>
      <w:r w:rsidR="00454DF8" w:rsidRPr="00127EBF">
        <w:rPr>
          <w:rFonts w:ascii="Arial" w:eastAsia="Calibri" w:hAnsi="Arial" w:cs="Arial"/>
          <w:color w:val="000000" w:themeColor="text1"/>
          <w:sz w:val="22"/>
          <w:szCs w:val="22"/>
          <w:lang w:val="es-ES_tradnl"/>
        </w:rPr>
        <w:t xml:space="preserve"> disposici</w:t>
      </w:r>
      <w:r w:rsidR="00063B11" w:rsidRPr="00127EBF">
        <w:rPr>
          <w:rFonts w:ascii="Arial" w:eastAsia="Calibri" w:hAnsi="Arial" w:cs="Arial"/>
          <w:color w:val="000000" w:themeColor="text1"/>
          <w:sz w:val="22"/>
          <w:szCs w:val="22"/>
          <w:lang w:val="es-ES_tradnl"/>
        </w:rPr>
        <w:t>ón</w:t>
      </w:r>
      <w:r w:rsidR="00454DF8" w:rsidRPr="00127EBF">
        <w:rPr>
          <w:rFonts w:ascii="Arial" w:eastAsia="Calibri" w:hAnsi="Arial" w:cs="Arial"/>
          <w:color w:val="000000" w:themeColor="text1"/>
          <w:sz w:val="22"/>
          <w:szCs w:val="22"/>
          <w:lang w:val="es-ES_tradnl"/>
        </w:rPr>
        <w:t xml:space="preserve"> normativa</w:t>
      </w:r>
      <w:r w:rsidR="00063B11" w:rsidRPr="00127EBF">
        <w:rPr>
          <w:rFonts w:ascii="Arial" w:eastAsia="Calibri" w:hAnsi="Arial" w:cs="Arial"/>
          <w:color w:val="000000" w:themeColor="text1"/>
          <w:sz w:val="22"/>
          <w:szCs w:val="22"/>
          <w:lang w:val="es-ES_tradnl"/>
        </w:rPr>
        <w:t xml:space="preserve"> </w:t>
      </w:r>
      <w:r w:rsidR="00E073FC" w:rsidRPr="00127EBF">
        <w:rPr>
          <w:rFonts w:ascii="Arial" w:eastAsia="Calibri" w:hAnsi="Arial" w:cs="Arial"/>
          <w:color w:val="000000" w:themeColor="text1"/>
          <w:sz w:val="22"/>
          <w:szCs w:val="22"/>
          <w:lang w:val="es-ES_tradnl"/>
        </w:rPr>
        <w:t>objeto de consulta</w:t>
      </w:r>
      <w:r w:rsidR="00063B11" w:rsidRPr="00127EBF">
        <w:rPr>
          <w:rFonts w:ascii="Arial" w:eastAsia="Calibri" w:hAnsi="Arial" w:cs="Arial"/>
          <w:color w:val="000000" w:themeColor="text1"/>
          <w:sz w:val="22"/>
          <w:szCs w:val="22"/>
          <w:lang w:val="es-ES_tradnl"/>
        </w:rPr>
        <w:t xml:space="preserve"> </w:t>
      </w:r>
      <w:r w:rsidR="00694E8B" w:rsidRPr="00127EBF">
        <w:rPr>
          <w:rFonts w:ascii="Arial" w:eastAsia="Calibri" w:hAnsi="Arial" w:cs="Arial"/>
          <w:color w:val="000000" w:themeColor="text1"/>
          <w:sz w:val="22"/>
          <w:szCs w:val="22"/>
          <w:lang w:val="es-ES_tradnl"/>
        </w:rPr>
        <w:t>está</w:t>
      </w:r>
      <w:r w:rsidR="00063B11" w:rsidRPr="00127EBF">
        <w:rPr>
          <w:rFonts w:ascii="Arial" w:eastAsia="Calibri" w:hAnsi="Arial" w:cs="Arial"/>
          <w:color w:val="000000" w:themeColor="text1"/>
          <w:sz w:val="22"/>
          <w:szCs w:val="22"/>
          <w:lang w:val="es-ES_tradnl"/>
        </w:rPr>
        <w:t xml:space="preserve"> </w:t>
      </w:r>
      <w:r w:rsidR="00694E8B" w:rsidRPr="00127EBF">
        <w:rPr>
          <w:rFonts w:ascii="Arial" w:eastAsia="Calibri" w:hAnsi="Arial" w:cs="Arial"/>
          <w:color w:val="000000" w:themeColor="text1"/>
          <w:sz w:val="22"/>
          <w:szCs w:val="22"/>
          <w:lang w:val="es-ES_tradnl"/>
        </w:rPr>
        <w:t>redactada de la siguiente manera</w:t>
      </w:r>
      <w:r w:rsidR="00BB606C" w:rsidRPr="00127EBF">
        <w:rPr>
          <w:rFonts w:ascii="Arial" w:hAnsi="Arial" w:cs="Arial"/>
          <w:color w:val="000000" w:themeColor="text1"/>
          <w:sz w:val="22"/>
          <w:szCs w:val="22"/>
          <w:lang w:val="es-ES_tradnl"/>
        </w:rPr>
        <w:t>:</w:t>
      </w:r>
      <w:r w:rsidR="00E073FC" w:rsidRPr="00127EBF">
        <w:rPr>
          <w:rFonts w:ascii="Arial" w:hAnsi="Arial" w:cs="Arial"/>
          <w:color w:val="000000" w:themeColor="text1"/>
          <w:sz w:val="22"/>
          <w:szCs w:val="22"/>
          <w:lang w:val="es-ES_tradnl"/>
        </w:rPr>
        <w:t xml:space="preserve"> </w:t>
      </w:r>
    </w:p>
    <w:p w14:paraId="0F63709A" w14:textId="74E372D9" w:rsidR="00BB606C" w:rsidRPr="00127EBF" w:rsidRDefault="00BB606C" w:rsidP="004B205A">
      <w:pPr>
        <w:spacing w:line="276" w:lineRule="auto"/>
        <w:ind w:firstLine="709"/>
        <w:jc w:val="both"/>
        <w:rPr>
          <w:rFonts w:ascii="Arial" w:hAnsi="Arial" w:cs="Arial"/>
          <w:color w:val="000000" w:themeColor="text1"/>
          <w:sz w:val="21"/>
          <w:szCs w:val="21"/>
          <w:lang w:val="es-ES_tradnl"/>
        </w:rPr>
      </w:pPr>
    </w:p>
    <w:p w14:paraId="0BC827BE" w14:textId="77777777" w:rsidR="00530458" w:rsidRPr="00127EBF" w:rsidRDefault="00530458" w:rsidP="00BB606C">
      <w:pPr>
        <w:ind w:left="709" w:right="709"/>
        <w:jc w:val="both"/>
        <w:rPr>
          <w:rFonts w:ascii="Arial" w:eastAsia="Calibri" w:hAnsi="Arial" w:cs="Arial"/>
          <w:color w:val="000000" w:themeColor="text1"/>
          <w:sz w:val="21"/>
          <w:szCs w:val="21"/>
          <w:lang w:val="es-ES_tradnl"/>
        </w:rPr>
      </w:pPr>
      <w:r w:rsidRPr="00127EBF">
        <w:rPr>
          <w:rFonts w:ascii="Arial" w:eastAsia="Calibri" w:hAnsi="Arial"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127EBF" w:rsidRDefault="00530458" w:rsidP="004B205A">
      <w:pPr>
        <w:spacing w:after="120"/>
        <w:ind w:left="709" w:right="709"/>
        <w:jc w:val="both"/>
        <w:rPr>
          <w:rFonts w:ascii="Arial" w:eastAsia="Calibri" w:hAnsi="Arial" w:cs="Arial"/>
          <w:color w:val="000000" w:themeColor="text1"/>
          <w:sz w:val="21"/>
          <w:szCs w:val="21"/>
          <w:lang w:val="es-ES_tradnl"/>
        </w:rPr>
      </w:pPr>
      <w:r w:rsidRPr="00127EBF">
        <w:rPr>
          <w:rFonts w:ascii="Arial" w:eastAsia="Calibri" w:hAnsi="Arial" w:cs="Arial"/>
          <w:color w:val="000000" w:themeColor="text1"/>
          <w:sz w:val="21"/>
          <w:szCs w:val="21"/>
          <w:lang w:val="es-ES_tradnl"/>
        </w:rPr>
        <w:t>[…]</w:t>
      </w:r>
    </w:p>
    <w:p w14:paraId="22CE685C" w14:textId="0BAFDCB6" w:rsidR="00766D49" w:rsidRPr="00127EBF" w:rsidRDefault="000C4951" w:rsidP="000C4951">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2. </w:t>
      </w:r>
      <w:r w:rsidRPr="000C4951">
        <w:rPr>
          <w:rFonts w:ascii="Arial" w:eastAsia="Calibri" w:hAnsi="Arial" w:cs="Arial"/>
          <w:color w:val="000000" w:themeColor="text1"/>
          <w:sz w:val="21"/>
          <w:szCs w:val="21"/>
          <w:lang w:val="es-ES_tradnl"/>
        </w:rPr>
        <w:t>Preferir la propuesta de la mujer cabeza de familia, mujeres víctimas de la</w:t>
      </w:r>
      <w:r>
        <w:rPr>
          <w:rFonts w:ascii="Arial" w:eastAsia="Calibri" w:hAnsi="Arial" w:cs="Arial"/>
          <w:color w:val="000000" w:themeColor="text1"/>
          <w:sz w:val="21"/>
          <w:szCs w:val="21"/>
          <w:lang w:val="es-ES_tradnl"/>
        </w:rPr>
        <w:t xml:space="preserve"> </w:t>
      </w:r>
      <w:r w:rsidRPr="000C4951">
        <w:rPr>
          <w:rFonts w:ascii="Arial" w:eastAsia="Calibri" w:hAnsi="Arial" w:cs="Arial"/>
          <w:color w:val="000000" w:themeColor="text1"/>
          <w:sz w:val="21"/>
          <w:szCs w:val="21"/>
          <w:lang w:val="es-ES_tradnl"/>
        </w:rPr>
        <w:t>violencia intrafamiliar o de la persona jurídica en la cual participe o participen</w:t>
      </w:r>
      <w:r>
        <w:rPr>
          <w:rFonts w:ascii="Arial" w:eastAsia="Calibri" w:hAnsi="Arial" w:cs="Arial"/>
          <w:color w:val="000000" w:themeColor="text1"/>
          <w:sz w:val="21"/>
          <w:szCs w:val="21"/>
          <w:lang w:val="es-ES_tradnl"/>
        </w:rPr>
        <w:t xml:space="preserve"> </w:t>
      </w:r>
      <w:r w:rsidRPr="000C4951">
        <w:rPr>
          <w:rFonts w:ascii="Arial" w:eastAsia="Calibri" w:hAnsi="Arial" w:cs="Arial"/>
          <w:color w:val="000000" w:themeColor="text1"/>
          <w:sz w:val="21"/>
          <w:szCs w:val="21"/>
          <w:lang w:val="es-ES_tradnl"/>
        </w:rPr>
        <w:t>mayoritariamente; o, la de un proponente plural constituido por mujeres</w:t>
      </w:r>
      <w:r>
        <w:rPr>
          <w:rFonts w:ascii="Arial" w:eastAsia="Calibri" w:hAnsi="Arial" w:cs="Arial"/>
          <w:color w:val="000000" w:themeColor="text1"/>
          <w:sz w:val="21"/>
          <w:szCs w:val="21"/>
          <w:lang w:val="es-ES_tradnl"/>
        </w:rPr>
        <w:t xml:space="preserve"> </w:t>
      </w:r>
      <w:r w:rsidRPr="000C4951">
        <w:rPr>
          <w:rFonts w:ascii="Arial" w:eastAsia="Calibri" w:hAnsi="Arial" w:cs="Arial"/>
          <w:color w:val="000000" w:themeColor="text1"/>
          <w:sz w:val="21"/>
          <w:szCs w:val="21"/>
          <w:lang w:val="es-ES_tradnl"/>
        </w:rPr>
        <w:t>cabeza</w:t>
      </w:r>
      <w:r>
        <w:rPr>
          <w:rFonts w:ascii="Arial" w:eastAsia="Calibri" w:hAnsi="Arial" w:cs="Arial"/>
          <w:color w:val="000000" w:themeColor="text1"/>
          <w:sz w:val="21"/>
          <w:szCs w:val="21"/>
          <w:lang w:val="es-ES_tradnl"/>
        </w:rPr>
        <w:t xml:space="preserve"> </w:t>
      </w:r>
      <w:r w:rsidRPr="000C4951">
        <w:rPr>
          <w:rFonts w:ascii="Arial" w:eastAsia="Calibri" w:hAnsi="Arial" w:cs="Arial"/>
          <w:color w:val="000000" w:themeColor="text1"/>
          <w:sz w:val="21"/>
          <w:szCs w:val="21"/>
          <w:lang w:val="es-ES_tradnl"/>
        </w:rPr>
        <w:t>de familia, mujeres víctimas de violencia intrafamiliar y/o personas</w:t>
      </w:r>
      <w:r>
        <w:rPr>
          <w:rFonts w:ascii="Arial" w:eastAsia="Calibri" w:hAnsi="Arial" w:cs="Arial"/>
          <w:color w:val="000000" w:themeColor="text1"/>
          <w:sz w:val="21"/>
          <w:szCs w:val="21"/>
          <w:lang w:val="es-ES_tradnl"/>
        </w:rPr>
        <w:t xml:space="preserve"> </w:t>
      </w:r>
      <w:r w:rsidRPr="000C4951">
        <w:rPr>
          <w:rFonts w:ascii="Arial" w:eastAsia="Calibri" w:hAnsi="Arial" w:cs="Arial"/>
          <w:color w:val="000000" w:themeColor="text1"/>
          <w:sz w:val="21"/>
          <w:szCs w:val="21"/>
          <w:lang w:val="es-ES_tradnl"/>
        </w:rPr>
        <w:t>jurídicas en las cuales participe o participen mayoritariamente.</w:t>
      </w:r>
    </w:p>
    <w:p w14:paraId="244771D8" w14:textId="099DCDCA" w:rsidR="0011359A" w:rsidRPr="00127EBF" w:rsidRDefault="0011359A" w:rsidP="00530458">
      <w:pPr>
        <w:ind w:left="709" w:right="709"/>
        <w:jc w:val="both"/>
        <w:rPr>
          <w:rFonts w:ascii="Arial" w:eastAsia="Calibri" w:hAnsi="Arial" w:cs="Arial"/>
          <w:color w:val="000000" w:themeColor="text1"/>
          <w:sz w:val="21"/>
          <w:szCs w:val="21"/>
          <w:lang w:val="es-ES_tradnl"/>
        </w:rPr>
      </w:pPr>
      <w:r w:rsidRPr="00127EBF">
        <w:rPr>
          <w:rFonts w:ascii="Arial" w:eastAsia="Calibri" w:hAnsi="Arial" w:cs="Arial"/>
          <w:color w:val="000000" w:themeColor="text1"/>
          <w:sz w:val="21"/>
          <w:szCs w:val="21"/>
          <w:lang w:val="es-ES_tradnl"/>
        </w:rPr>
        <w:t>[…].</w:t>
      </w:r>
    </w:p>
    <w:p w14:paraId="5E1207E2" w14:textId="74C55D63" w:rsidR="00766D49" w:rsidRPr="00127EBF" w:rsidRDefault="00766D49" w:rsidP="00BB606C">
      <w:pPr>
        <w:ind w:left="709" w:right="709"/>
        <w:jc w:val="both"/>
        <w:rPr>
          <w:rFonts w:ascii="Arial" w:eastAsia="Calibri" w:hAnsi="Arial" w:cs="Arial"/>
          <w:color w:val="000000" w:themeColor="text1"/>
          <w:sz w:val="21"/>
          <w:szCs w:val="21"/>
          <w:lang w:val="es-ES_tradnl"/>
        </w:rPr>
      </w:pPr>
    </w:p>
    <w:p w14:paraId="2D34285E" w14:textId="39E67306" w:rsidR="00CC4EF4" w:rsidRPr="00127EBF" w:rsidRDefault="00CC4EF4" w:rsidP="00CC4EF4">
      <w:pPr>
        <w:spacing w:line="276" w:lineRule="auto"/>
        <w:ind w:firstLine="709"/>
        <w:jc w:val="both"/>
        <w:rPr>
          <w:rFonts w:ascii="Arial" w:eastAsia="Calibri" w:hAnsi="Arial" w:cs="Arial"/>
          <w:color w:val="000000" w:themeColor="text1"/>
          <w:sz w:val="22"/>
          <w:szCs w:val="22"/>
          <w:lang w:val="es-ES_tradnl"/>
        </w:rPr>
      </w:pPr>
      <w:r w:rsidRPr="00127EBF">
        <w:rPr>
          <w:rFonts w:ascii="Arial" w:eastAsia="Calibri" w:hAnsi="Arial" w:cs="Arial"/>
          <w:color w:val="000000" w:themeColor="text1"/>
          <w:sz w:val="22"/>
          <w:szCs w:val="22"/>
          <w:lang w:val="es-ES_tradnl"/>
        </w:rPr>
        <w:t xml:space="preserve">Como se advierte, </w:t>
      </w:r>
      <w:r w:rsidR="00167C3F" w:rsidRPr="00127EBF">
        <w:rPr>
          <w:rFonts w:ascii="Arial" w:eastAsia="Calibri" w:hAnsi="Arial" w:cs="Arial"/>
          <w:color w:val="000000" w:themeColor="text1"/>
          <w:sz w:val="22"/>
          <w:szCs w:val="22"/>
          <w:lang w:val="es-ES_tradnl"/>
        </w:rPr>
        <w:t>este</w:t>
      </w:r>
      <w:r w:rsidRPr="00127EBF">
        <w:rPr>
          <w:rFonts w:ascii="Arial" w:eastAsia="Calibri" w:hAnsi="Arial" w:cs="Arial"/>
          <w:color w:val="000000" w:themeColor="text1"/>
          <w:sz w:val="22"/>
          <w:szCs w:val="22"/>
          <w:lang w:val="es-ES_tradnl"/>
        </w:rPr>
        <w:t xml:space="preserve"> numeral </w:t>
      </w:r>
      <w:bookmarkStart w:id="3" w:name="_Hlk62459524"/>
      <w:r w:rsidRPr="00127EBF">
        <w:rPr>
          <w:rFonts w:ascii="Arial" w:eastAsia="Calibri" w:hAnsi="Arial" w:cs="Arial"/>
          <w:color w:val="000000" w:themeColor="text1"/>
          <w:sz w:val="22"/>
          <w:szCs w:val="22"/>
          <w:lang w:val="es-ES_tradnl"/>
        </w:rPr>
        <w:t>no establece</w:t>
      </w:r>
      <w:r w:rsidR="00167C3F" w:rsidRPr="00127EBF">
        <w:rPr>
          <w:rFonts w:ascii="Arial" w:eastAsia="Calibri" w:hAnsi="Arial" w:cs="Arial"/>
          <w:color w:val="000000" w:themeColor="text1"/>
          <w:sz w:val="22"/>
          <w:szCs w:val="22"/>
          <w:lang w:val="es-ES_tradnl"/>
        </w:rPr>
        <w:t xml:space="preserve"> </w:t>
      </w:r>
      <w:r w:rsidRPr="00127EBF">
        <w:rPr>
          <w:rFonts w:ascii="Arial" w:eastAsia="Calibri" w:hAnsi="Arial" w:cs="Arial"/>
          <w:color w:val="000000" w:themeColor="text1"/>
          <w:sz w:val="22"/>
          <w:szCs w:val="22"/>
          <w:lang w:val="es-ES_tradnl"/>
        </w:rPr>
        <w:t xml:space="preserve">un medio específico para acreditar </w:t>
      </w:r>
      <w:r w:rsidR="00167C3F" w:rsidRPr="00127EBF">
        <w:rPr>
          <w:rFonts w:ascii="Arial" w:eastAsia="Calibri" w:hAnsi="Arial" w:cs="Arial"/>
          <w:color w:val="000000" w:themeColor="text1"/>
          <w:sz w:val="22"/>
          <w:szCs w:val="22"/>
          <w:lang w:val="es-ES_tradnl"/>
        </w:rPr>
        <w:t xml:space="preserve">la </w:t>
      </w:r>
      <w:r w:rsidRPr="00127EBF">
        <w:rPr>
          <w:rFonts w:ascii="Arial" w:eastAsia="Calibri" w:hAnsi="Arial" w:cs="Arial"/>
          <w:color w:val="000000" w:themeColor="text1"/>
          <w:sz w:val="22"/>
          <w:szCs w:val="22"/>
          <w:lang w:val="es-ES_tradnl"/>
        </w:rPr>
        <w:t xml:space="preserve">circunstancia a la que se refiere.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127EBF">
        <w:rPr>
          <w:rFonts w:ascii="Arial" w:eastAsia="Calibri" w:hAnsi="Arial" w:cs="Arial"/>
          <w:color w:val="000000" w:themeColor="text1"/>
          <w:sz w:val="22"/>
          <w:szCs w:val="22"/>
          <w:lang w:val="es-ES_tradnl"/>
        </w:rPr>
        <w:t>encuentra</w:t>
      </w:r>
      <w:r w:rsidRPr="00127EBF">
        <w:rPr>
          <w:rFonts w:ascii="Arial" w:eastAsia="Calibri" w:hAnsi="Arial" w:cs="Arial"/>
          <w:color w:val="000000" w:themeColor="text1"/>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127EBF">
        <w:rPr>
          <w:rFonts w:ascii="Arial" w:eastAsia="Calibri" w:hAnsi="Arial" w:cs="Arial"/>
          <w:color w:val="000000" w:themeColor="text1"/>
          <w:sz w:val="22"/>
          <w:szCs w:val="22"/>
          <w:lang w:val="es-ES_tradnl"/>
        </w:rPr>
        <w:t>2069</w:t>
      </w:r>
      <w:r w:rsidRPr="00127EBF">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3"/>
    <w:p w14:paraId="536381F9" w14:textId="77777777" w:rsidR="00516FD0" w:rsidRPr="005419DA" w:rsidRDefault="00516FD0" w:rsidP="00516FD0">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Así, en relación con el numeral 2 del artículo 35, como lo ha indicado la Corte Constitucional, «[…]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w:t>
      </w:r>
      <w:r w:rsidRPr="005419DA">
        <w:rPr>
          <w:rFonts w:ascii="Arial" w:eastAsia="Calibri" w:hAnsi="Arial" w:cs="Arial"/>
          <w:color w:val="000000" w:themeColor="text1"/>
          <w:sz w:val="22"/>
          <w:szCs w:val="22"/>
          <w:lang w:val="es-ES_tradnl"/>
        </w:rPr>
        <w:lastRenderedPageBreak/>
        <w:t>física, sensorial, síquica o mental»</w:t>
      </w:r>
      <w:r w:rsidRPr="005419DA">
        <w:rPr>
          <w:rStyle w:val="Refdenotaalpie"/>
          <w:rFonts w:ascii="Arial" w:eastAsia="Calibri" w:hAnsi="Arial" w:cs="Arial"/>
          <w:color w:val="000000" w:themeColor="text1"/>
          <w:sz w:val="22"/>
          <w:szCs w:val="22"/>
          <w:lang w:val="es-ES_tradnl"/>
        </w:rPr>
        <w:footnoteReference w:id="15"/>
      </w:r>
      <w:r w:rsidRPr="005419DA">
        <w:rPr>
          <w:rFonts w:ascii="Arial" w:eastAsia="Calibri" w:hAnsi="Arial" w:cs="Arial"/>
          <w:color w:val="000000" w:themeColor="text1"/>
          <w:sz w:val="22"/>
          <w:szCs w:val="22"/>
          <w:lang w:val="es-ES_tradnl"/>
        </w:rPr>
        <w:t>.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Pr="005419DA">
        <w:rPr>
          <w:rStyle w:val="Refdenotaalpie"/>
          <w:rFonts w:ascii="Arial" w:eastAsia="Calibri" w:hAnsi="Arial" w:cs="Arial"/>
          <w:color w:val="000000" w:themeColor="text1"/>
          <w:sz w:val="22"/>
          <w:szCs w:val="22"/>
          <w:lang w:val="es-ES_tradnl"/>
        </w:rPr>
        <w:footnoteReference w:id="16"/>
      </w:r>
      <w:r w:rsidRPr="005419DA">
        <w:rPr>
          <w:rFonts w:ascii="Arial" w:eastAsia="Calibri" w:hAnsi="Arial" w:cs="Arial"/>
          <w:color w:val="000000" w:themeColor="text1"/>
          <w:sz w:val="22"/>
          <w:szCs w:val="22"/>
          <w:lang w:val="es-ES_tradnl"/>
        </w:rPr>
        <w:t xml:space="preserve">. </w:t>
      </w:r>
    </w:p>
    <w:p w14:paraId="2B7E01AE" w14:textId="77777777" w:rsidR="00516FD0" w:rsidRPr="005419DA" w:rsidRDefault="00516FD0" w:rsidP="00516FD0">
      <w:pPr>
        <w:spacing w:before="120" w:line="276" w:lineRule="auto"/>
        <w:ind w:firstLine="709"/>
        <w:jc w:val="both"/>
        <w:rPr>
          <w:rFonts w:ascii="Arial" w:hAnsi="Arial" w:cs="Arial"/>
          <w:color w:val="000000" w:themeColor="text1"/>
          <w:sz w:val="22"/>
          <w:szCs w:val="22"/>
          <w:lang w:val="es-ES_tradnl"/>
        </w:rPr>
      </w:pPr>
      <w:bookmarkStart w:id="4" w:name="_Hlk62481891"/>
      <w:r w:rsidRPr="005419DA">
        <w:rPr>
          <w:rFonts w:ascii="Arial" w:hAnsi="Arial" w:cs="Arial"/>
          <w:color w:val="000000" w:themeColor="text1"/>
          <w:sz w:val="22"/>
          <w:szCs w:val="22"/>
          <w:lang w:val="es-ES_tradnl"/>
        </w:rPr>
        <w:t>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5419DA">
        <w:rPr>
          <w:rStyle w:val="Refdenotaalpie"/>
          <w:rFonts w:ascii="Arial" w:hAnsi="Arial" w:cs="Arial"/>
          <w:color w:val="000000" w:themeColor="text1"/>
          <w:sz w:val="22"/>
          <w:szCs w:val="22"/>
          <w:lang w:val="es-ES_tradnl"/>
        </w:rPr>
        <w:footnoteReference w:id="17"/>
      </w:r>
      <w:r w:rsidRPr="005419DA">
        <w:rPr>
          <w:rFonts w:ascii="Arial" w:hAnsi="Arial" w:cs="Arial"/>
          <w:color w:val="000000" w:themeColor="text1"/>
          <w:sz w:val="22"/>
          <w:szCs w:val="22"/>
          <w:lang w:val="es-ES_tradnl"/>
        </w:rPr>
        <w:t xml:space="preserve">. </w:t>
      </w:r>
    </w:p>
    <w:bookmarkEnd w:id="4"/>
    <w:p w14:paraId="1C1329FC" w14:textId="77777777" w:rsidR="00516FD0" w:rsidRPr="005419DA" w:rsidRDefault="00516FD0" w:rsidP="00516FD0">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5" w:name="_Hlk62482124"/>
      <w:r w:rsidRPr="005419DA">
        <w:rPr>
          <w:rFonts w:ascii="Arial" w:hAnsi="Arial" w:cs="Arial"/>
          <w:color w:val="000000" w:themeColor="text1"/>
          <w:sz w:val="22"/>
          <w:szCs w:val="22"/>
          <w:lang w:val="es-ES_tradnl"/>
        </w:rPr>
        <w:t>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5"/>
    <w:p w14:paraId="263E5DBF" w14:textId="77777777" w:rsidR="00516FD0" w:rsidRPr="005419DA" w:rsidRDefault="00516FD0" w:rsidP="00516FD0">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lastRenderedPageBreak/>
        <w:t xml:space="preserve">Ahora bien, el numeral 2 del artículo 35 de la Ley </w:t>
      </w:r>
      <w:r>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no establece que este factor de desempate únicamente puede aplicarse cuando en la persona jurídica existe participación mayoritaria </w:t>
      </w:r>
      <w:r w:rsidRPr="005419DA">
        <w:rPr>
          <w:rFonts w:ascii="Arial" w:hAnsi="Arial" w:cs="Arial"/>
          <w:i/>
          <w:iCs/>
          <w:color w:val="000000" w:themeColor="text1"/>
          <w:sz w:val="22"/>
          <w:szCs w:val="22"/>
          <w:lang w:val="es-ES_tradnl"/>
        </w:rPr>
        <w:t>solo</w:t>
      </w:r>
      <w:r w:rsidRPr="005419DA">
        <w:rPr>
          <w:rFonts w:ascii="Arial" w:hAnsi="Arial" w:cs="Arial"/>
          <w:color w:val="000000" w:themeColor="text1"/>
          <w:sz w:val="22"/>
          <w:szCs w:val="22"/>
          <w:lang w:val="es-ES_tradnl"/>
        </w:rPr>
        <w:t xml:space="preserve"> de mujeres cabeza de familia o </w:t>
      </w:r>
      <w:r w:rsidRPr="005419DA">
        <w:rPr>
          <w:rFonts w:ascii="Arial" w:hAnsi="Arial" w:cs="Arial"/>
          <w:i/>
          <w:iCs/>
          <w:color w:val="000000" w:themeColor="text1"/>
          <w:sz w:val="22"/>
          <w:szCs w:val="22"/>
          <w:lang w:val="es-ES_tradnl"/>
        </w:rPr>
        <w:t>solo</w:t>
      </w:r>
      <w:r w:rsidRPr="005419DA">
        <w:rPr>
          <w:rFonts w:ascii="Arial" w:hAnsi="Arial" w:cs="Arial"/>
          <w:color w:val="000000" w:themeColor="text1"/>
          <w:sz w:val="22"/>
          <w:szCs w:val="22"/>
          <w:lang w:val="es-ES_tradnl"/>
        </w:rPr>
        <w:t xml:space="preserve"> de mujeres víctimas de la violencia intrafamiliar. Lo que dispone es que se debe «Preferir la propuesta de la mujer cabeza de familia, mujeres víctimas de la violencia intrafamiliar o de la persona jurídica en la cual participe </w:t>
      </w:r>
      <w:r w:rsidRPr="005419DA">
        <w:rPr>
          <w:rFonts w:ascii="Arial" w:hAnsi="Arial" w:cs="Arial"/>
          <w:i/>
          <w:iCs/>
          <w:color w:val="000000" w:themeColor="text1"/>
          <w:sz w:val="22"/>
          <w:szCs w:val="22"/>
          <w:lang w:val="es-ES_tradnl"/>
        </w:rPr>
        <w:t>o participen</w:t>
      </w:r>
      <w:r w:rsidRPr="005419DA">
        <w:rPr>
          <w:rFonts w:ascii="Arial" w:hAnsi="Arial" w:cs="Arial"/>
          <w:color w:val="000000" w:themeColor="text1"/>
          <w:sz w:val="22"/>
          <w:szCs w:val="22"/>
          <w:lang w:val="es-ES_tradnl"/>
        </w:rPr>
        <w:t xml:space="preserve"> mayoritariamente; o, la de un proponente plural constituido por mujeres cabeza de familia, mujeres víctimas de violencia intrafamiliar y/o personas jurídicas en las cuales participe </w:t>
      </w:r>
      <w:r w:rsidRPr="005419DA">
        <w:rPr>
          <w:rFonts w:ascii="Arial" w:hAnsi="Arial" w:cs="Arial"/>
          <w:i/>
          <w:iCs/>
          <w:color w:val="000000" w:themeColor="text1"/>
          <w:sz w:val="22"/>
          <w:szCs w:val="22"/>
          <w:lang w:val="es-ES_tradnl"/>
        </w:rPr>
        <w:t xml:space="preserve">o participen </w:t>
      </w:r>
      <w:r w:rsidRPr="005419DA">
        <w:rPr>
          <w:rFonts w:ascii="Arial" w:hAnsi="Arial" w:cs="Arial"/>
          <w:color w:val="000000" w:themeColor="text1"/>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419F40E1" w14:textId="77777777" w:rsidR="00516FD0" w:rsidRPr="005419DA" w:rsidRDefault="00516FD0" w:rsidP="00516FD0">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Para poderse beneficiar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1588BF13" w14:textId="77777777" w:rsidR="00516FD0" w:rsidRPr="005419DA" w:rsidRDefault="00516FD0" w:rsidP="00516FD0">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El artículo 35, numeral 2, de la Ley </w:t>
      </w:r>
      <w:r>
        <w:rPr>
          <w:rFonts w:ascii="Arial" w:hAnsi="Arial" w:cs="Arial"/>
          <w:color w:val="000000" w:themeColor="text1"/>
          <w:sz w:val="22"/>
          <w:szCs w:val="22"/>
          <w:lang w:val="es-ES_tradnl"/>
        </w:rPr>
        <w:t>2069</w:t>
      </w:r>
      <w:r w:rsidRPr="005419DA">
        <w:rPr>
          <w:rFonts w:ascii="Arial" w:hAnsi="Arial" w:cs="Arial"/>
          <w:color w:val="000000" w:themeColor="text1"/>
          <w:sz w:val="22"/>
          <w:szCs w:val="22"/>
          <w:lang w:val="es-ES_tradnl"/>
        </w:rPr>
        <w:t xml:space="preserve">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que se indicara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3A16EC62" w14:textId="77777777" w:rsidR="00516FD0" w:rsidRPr="005419DA" w:rsidRDefault="00516FD0" w:rsidP="00516FD0">
      <w:pPr>
        <w:spacing w:before="120" w:line="276" w:lineRule="auto"/>
        <w:ind w:firstLine="709"/>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En tal sentido, teniendo en cuenta que no hay definición legal expresa, el Diccionario de la Lengua Española dice que «participar» es «Tener parte en una sociedad o negocio o ser socio de ellos»</w:t>
      </w:r>
      <w:r w:rsidRPr="005419DA">
        <w:rPr>
          <w:rStyle w:val="Refdenotaalpie"/>
          <w:rFonts w:ascii="Arial" w:hAnsi="Arial" w:cs="Arial"/>
          <w:color w:val="000000" w:themeColor="text1"/>
          <w:sz w:val="22"/>
          <w:szCs w:val="22"/>
          <w:lang w:val="es-ES_tradnl"/>
        </w:rPr>
        <w:footnoteReference w:id="18"/>
      </w:r>
      <w:r w:rsidRPr="005419DA">
        <w:rPr>
          <w:rFonts w:ascii="Arial" w:hAnsi="Arial" w:cs="Arial"/>
          <w:color w:val="000000" w:themeColor="text1"/>
          <w:sz w:val="22"/>
          <w:szCs w:val="22"/>
          <w:lang w:val="es-ES_tradnl"/>
        </w:rPr>
        <w:t xml:space="preserve">. Esta noción es acorde con el derecho societario, en el cual se indica 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 </w:t>
      </w:r>
    </w:p>
    <w:p w14:paraId="1C773316" w14:textId="77777777" w:rsidR="00516FD0" w:rsidRPr="005419DA" w:rsidRDefault="00516FD0" w:rsidP="00516FD0">
      <w:pPr>
        <w:spacing w:before="120" w:line="276" w:lineRule="auto"/>
        <w:ind w:firstLine="709"/>
        <w:jc w:val="both"/>
        <w:rPr>
          <w:rFonts w:ascii="Arial" w:hAnsi="Arial" w:cs="Arial"/>
          <w:color w:val="000000" w:themeColor="text1"/>
          <w:sz w:val="22"/>
          <w:szCs w:val="22"/>
          <w:lang w:val="es-ES_tradnl"/>
        </w:rPr>
      </w:pPr>
      <w:r w:rsidRPr="002060D6">
        <w:rPr>
          <w:rFonts w:ascii="Arial" w:hAnsi="Arial" w:cs="Arial"/>
          <w:color w:val="000000" w:themeColor="text1"/>
          <w:sz w:val="22"/>
          <w:szCs w:val="22"/>
          <w:lang w:val="es-ES_tradnl"/>
        </w:rPr>
        <w:t xml:space="preserve">Por lo tanto, de conformidad con el artículo 35, numeral 2 de la Ley </w:t>
      </w:r>
      <w:r>
        <w:rPr>
          <w:rFonts w:ascii="Arial" w:hAnsi="Arial" w:cs="Arial"/>
          <w:color w:val="000000" w:themeColor="text1"/>
          <w:sz w:val="22"/>
          <w:szCs w:val="22"/>
          <w:lang w:val="es-ES_tradnl"/>
        </w:rPr>
        <w:t>2069</w:t>
      </w:r>
      <w:r w:rsidRPr="002060D6">
        <w:rPr>
          <w:rFonts w:ascii="Arial" w:hAnsi="Arial" w:cs="Arial"/>
          <w:color w:val="000000" w:themeColor="text1"/>
          <w:sz w:val="22"/>
          <w:szCs w:val="22"/>
          <w:lang w:val="es-ES_tradnl"/>
        </w:rPr>
        <w:t xml:space="preserve"> de 2020, si en un procedimiento de selección se presenta una persona jurídica o proponente plural </w:t>
      </w:r>
      <w:r w:rsidRPr="002060D6">
        <w:rPr>
          <w:rFonts w:ascii="Arial" w:hAnsi="Arial" w:cs="Arial"/>
          <w:color w:val="000000" w:themeColor="text1"/>
          <w:sz w:val="22"/>
          <w:szCs w:val="22"/>
          <w:lang w:val="es-ES_tradnl"/>
        </w:rPr>
        <w:lastRenderedPageBreak/>
        <w:t>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w:t>
      </w:r>
      <w:r w:rsidRPr="005419DA">
        <w:rPr>
          <w:rFonts w:ascii="Arial" w:hAnsi="Arial" w:cs="Arial"/>
          <w:color w:val="000000" w:themeColor="text1"/>
          <w:sz w:val="22"/>
          <w:szCs w:val="22"/>
          <w:lang w:val="es-ES_tradnl"/>
        </w:rPr>
        <w:t xml:space="preserve"> </w:t>
      </w:r>
    </w:p>
    <w:p w14:paraId="23EF9169" w14:textId="77777777" w:rsidR="00516FD0" w:rsidRPr="005419DA" w:rsidRDefault="00516FD0" w:rsidP="00516FD0">
      <w:pPr>
        <w:spacing w:before="120" w:line="276" w:lineRule="auto"/>
        <w:ind w:firstLine="709"/>
        <w:jc w:val="both"/>
        <w:rPr>
          <w:rFonts w:ascii="Arial" w:hAnsi="Arial" w:cs="Arial"/>
          <w:color w:val="000000" w:themeColor="text1"/>
          <w:sz w:val="22"/>
          <w:szCs w:val="22"/>
          <w:lang w:val="es-ES_tradnl"/>
        </w:rPr>
      </w:pPr>
      <w:r w:rsidRPr="00C27556">
        <w:rPr>
          <w:rFonts w:ascii="Arial" w:hAnsi="Arial" w:cs="Arial"/>
          <w:color w:val="000000" w:themeColor="text1"/>
          <w:sz w:val="22"/>
          <w:szCs w:val="22"/>
          <w:lang w:val="es-ES_tradnl"/>
        </w:rPr>
        <w:t>Teniendo en cuenta que participar debe entenderse –a menos que el reglamento disponga lo contrario– como tomar parte en la sociedad o proponente plural, de acuerdo al aporte en dinero o trabajo, esta Agencia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las mismas,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otorgue un alcance diferente al enunciado normativo.</w:t>
      </w:r>
    </w:p>
    <w:p w14:paraId="50422463" w14:textId="5CD372F4" w:rsidR="0005355A" w:rsidRPr="00127EBF" w:rsidRDefault="0005355A" w:rsidP="0005355A">
      <w:pPr>
        <w:spacing w:before="120" w:line="276" w:lineRule="auto"/>
        <w:ind w:firstLine="709"/>
        <w:jc w:val="both"/>
        <w:rPr>
          <w:rFonts w:ascii="Arial" w:hAnsi="Arial" w:cs="Arial"/>
          <w:color w:val="000000" w:themeColor="text1"/>
          <w:sz w:val="22"/>
          <w:szCs w:val="22"/>
          <w:lang w:val="es-ES_tradnl"/>
        </w:rPr>
      </w:pPr>
      <w:r w:rsidRPr="00127EBF">
        <w:rPr>
          <w:rFonts w:ascii="Arial" w:eastAsia="Calibri" w:hAnsi="Arial" w:cs="Arial"/>
          <w:color w:val="000000" w:themeColor="text1"/>
          <w:sz w:val="22"/>
          <w:lang w:val="es-ES_tradnl"/>
        </w:rPr>
        <w:t>Los conceptos emitidos por la Agencia Nacional de Contratación Pública – Colombia Compra Eficiente contienen la interpretación de normas de carácter general en materia de compras y contratación pública. El fundamento para su expedición se encuentra en el numeral 8 del artículo 11 y el numeral 5 del artículo 3 del Decreto Ley 4170 de 2011. Tales conceptos no son actos administrativos, es decir, no son decisiones vinculantes u obligatorias, sino que están revestidos de la naturaleza que les confiere el artículo 230 de la Constitución Política y el artículo 28 de la Ley 1437 de 2011. En otras palabras, constituyen doctrina, y por lo tanto son criterios auxiliares para la interpretación y aplicación del derecho. De ahí que no sean obligatorios.</w:t>
      </w:r>
    </w:p>
    <w:p w14:paraId="25C29DD0" w14:textId="77777777" w:rsidR="00DF2D7F" w:rsidRDefault="0005355A" w:rsidP="00DF08B0">
      <w:pPr>
        <w:tabs>
          <w:tab w:val="left" w:pos="0"/>
        </w:tabs>
        <w:spacing w:before="120" w:line="276" w:lineRule="auto"/>
        <w:ind w:firstLine="709"/>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Por lo demás, la actividad hermenéutica que lleva a cabo la Agencia Nacional de Contratación Pública – Colombia Compra Eficiente considera las fuentes normativas de la contratación estatal para asignarles un sentido razonable. Cuando las disposiciones normativas han sido objeto de desarrollo reglamentario o de pronunciamiento judicial, la Agencia tiene en cuenta en los conceptos tales elementos, para construir su interpretación de las normas. Pero, cuando se trata de la definición o comprensión de palabras que no gozan de una delimitación conceptual efectuada por vía reglamentaria o jurisdiccional, Colombia Compra Eficiente deduce el significado que considera más adecuado y armónico con las demás normas que conforman el sistema jurídico de compras y contratación pública.</w:t>
      </w:r>
    </w:p>
    <w:p w14:paraId="147AC29C" w14:textId="128FEFD7" w:rsidR="0005355A" w:rsidRPr="00127EBF" w:rsidRDefault="0005355A" w:rsidP="00DF08B0">
      <w:pPr>
        <w:tabs>
          <w:tab w:val="left" w:pos="0"/>
        </w:tabs>
        <w:spacing w:before="120" w:line="276" w:lineRule="auto"/>
        <w:ind w:firstLine="709"/>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lastRenderedPageBreak/>
        <w:t xml:space="preserve">Esto último es lo que sucede con </w:t>
      </w:r>
      <w:r w:rsidR="00204A99">
        <w:rPr>
          <w:rFonts w:ascii="Arial" w:eastAsia="Calibri" w:hAnsi="Arial" w:cs="Arial"/>
          <w:color w:val="000000" w:themeColor="text1"/>
          <w:sz w:val="22"/>
          <w:lang w:val="es-ES_tradnl"/>
        </w:rPr>
        <w:t xml:space="preserve">el concepto de </w:t>
      </w:r>
      <w:r w:rsidR="00204A99">
        <w:rPr>
          <w:rFonts w:ascii="Arial" w:eastAsia="Calibri" w:hAnsi="Arial" w:cs="Arial"/>
          <w:i/>
          <w:iCs/>
          <w:color w:val="000000" w:themeColor="text1"/>
          <w:sz w:val="22"/>
          <w:lang w:val="es-ES_tradnl"/>
        </w:rPr>
        <w:t>participación</w:t>
      </w:r>
      <w:r w:rsidRPr="00127EBF">
        <w:rPr>
          <w:rFonts w:ascii="Arial" w:eastAsia="Calibri" w:hAnsi="Arial" w:cs="Arial"/>
          <w:color w:val="000000" w:themeColor="text1"/>
          <w:sz w:val="22"/>
          <w:lang w:val="es-ES_tradnl"/>
        </w:rPr>
        <w:t>, contenid</w:t>
      </w:r>
      <w:r w:rsidR="00204A99">
        <w:rPr>
          <w:rFonts w:ascii="Arial" w:eastAsia="Calibri" w:hAnsi="Arial" w:cs="Arial"/>
          <w:color w:val="000000" w:themeColor="text1"/>
          <w:sz w:val="22"/>
          <w:lang w:val="es-ES_tradnl"/>
        </w:rPr>
        <w:t>o</w:t>
      </w:r>
      <w:r w:rsidRPr="00127EBF">
        <w:rPr>
          <w:rFonts w:ascii="Arial" w:eastAsia="Calibri" w:hAnsi="Arial" w:cs="Arial"/>
          <w:color w:val="000000" w:themeColor="text1"/>
          <w:sz w:val="22"/>
          <w:lang w:val="es-ES_tradnl"/>
        </w:rPr>
        <w:t xml:space="preserve"> en el numeral </w:t>
      </w:r>
      <w:r w:rsidR="00204A99">
        <w:rPr>
          <w:rFonts w:ascii="Arial" w:eastAsia="Calibri" w:hAnsi="Arial" w:cs="Arial"/>
          <w:color w:val="000000" w:themeColor="text1"/>
          <w:sz w:val="22"/>
          <w:lang w:val="es-ES_tradnl"/>
        </w:rPr>
        <w:t>2</w:t>
      </w:r>
      <w:r w:rsidRPr="00127EBF">
        <w:rPr>
          <w:rFonts w:ascii="Arial" w:eastAsia="Calibri" w:hAnsi="Arial" w:cs="Arial"/>
          <w:color w:val="000000" w:themeColor="text1"/>
          <w:sz w:val="22"/>
          <w:lang w:val="es-ES_tradnl"/>
        </w:rPr>
        <w:t xml:space="preserve"> del artículo 35 de la Ley 2069 de 2020. Al ser una Ley recientemente expedida y no existir reglamentación, ni jurisprudencia, que haya acotado tal concepto, la Agencia realiza su interpretación </w:t>
      </w:r>
      <w:r w:rsidRPr="00127EBF">
        <w:rPr>
          <w:rFonts w:ascii="Arial" w:eastAsia="Calibri" w:hAnsi="Arial" w:cs="Arial"/>
          <w:i/>
          <w:iCs/>
          <w:color w:val="000000" w:themeColor="text1"/>
          <w:sz w:val="22"/>
          <w:lang w:val="es-ES_tradnl"/>
        </w:rPr>
        <w:t>prima facie</w:t>
      </w:r>
      <w:r w:rsidRPr="00127EBF">
        <w:rPr>
          <w:rFonts w:ascii="Arial" w:eastAsia="Calibri" w:hAnsi="Arial" w:cs="Arial"/>
          <w:color w:val="000000" w:themeColor="text1"/>
          <w:sz w:val="22"/>
          <w:lang w:val="es-ES_tradnl"/>
        </w:rPr>
        <w:t>. Sin embargo, se reitera, dicha interpretación no es vinculante, ni niega que pueda haber otras interpretaciones.</w:t>
      </w:r>
      <w:r w:rsidR="00204A99">
        <w:rPr>
          <w:rFonts w:ascii="Arial" w:eastAsia="Calibri" w:hAnsi="Arial" w:cs="Arial"/>
          <w:color w:val="000000" w:themeColor="text1"/>
          <w:sz w:val="22"/>
          <w:lang w:val="es-ES_tradnl"/>
        </w:rPr>
        <w:t xml:space="preserve"> En tal sentido, </w:t>
      </w:r>
      <w:r w:rsidR="00AD61FA">
        <w:rPr>
          <w:rFonts w:ascii="Arial" w:eastAsia="Calibri" w:hAnsi="Arial" w:cs="Arial"/>
          <w:color w:val="000000" w:themeColor="text1"/>
          <w:sz w:val="22"/>
          <w:lang w:val="es-ES_tradnl"/>
        </w:rPr>
        <w:t xml:space="preserve">Colombia Compra Eficiente entiende que cuando </w:t>
      </w:r>
      <w:r w:rsidR="008C4EB9">
        <w:rPr>
          <w:rFonts w:ascii="Arial" w:eastAsia="Calibri" w:hAnsi="Arial" w:cs="Arial"/>
          <w:color w:val="000000" w:themeColor="text1"/>
          <w:sz w:val="22"/>
          <w:lang w:val="es-ES_tradnl"/>
        </w:rPr>
        <w:t xml:space="preserve">el numeral 2 del artículo 35 </w:t>
      </w:r>
      <w:r w:rsidR="00A14168">
        <w:rPr>
          <w:rFonts w:ascii="Arial" w:eastAsia="Calibri" w:hAnsi="Arial" w:cs="Arial"/>
          <w:color w:val="000000" w:themeColor="text1"/>
          <w:sz w:val="22"/>
          <w:lang w:val="es-ES_tradnl"/>
        </w:rPr>
        <w:t>exige</w:t>
      </w:r>
      <w:r w:rsidR="008C4EB9">
        <w:rPr>
          <w:rFonts w:ascii="Arial" w:eastAsia="Calibri" w:hAnsi="Arial" w:cs="Arial"/>
          <w:color w:val="000000" w:themeColor="text1"/>
          <w:sz w:val="22"/>
          <w:lang w:val="es-ES_tradnl"/>
        </w:rPr>
        <w:t xml:space="preserve"> </w:t>
      </w:r>
      <w:r w:rsidR="00A14168">
        <w:rPr>
          <w:rFonts w:ascii="Arial" w:eastAsia="Calibri" w:hAnsi="Arial" w:cs="Arial"/>
          <w:color w:val="000000" w:themeColor="text1"/>
          <w:sz w:val="22"/>
          <w:lang w:val="es-ES_tradnl"/>
        </w:rPr>
        <w:t xml:space="preserve">la </w:t>
      </w:r>
      <w:r w:rsidR="00A14168" w:rsidRPr="004F639F">
        <w:rPr>
          <w:rFonts w:ascii="Arial" w:eastAsia="Calibri" w:hAnsi="Arial" w:cs="Arial"/>
          <w:i/>
          <w:iCs/>
          <w:color w:val="000000" w:themeColor="text1"/>
          <w:sz w:val="22"/>
          <w:lang w:val="es-ES_tradnl"/>
        </w:rPr>
        <w:t>participación</w:t>
      </w:r>
      <w:r w:rsidR="00A14168">
        <w:rPr>
          <w:rFonts w:ascii="Arial" w:eastAsia="Calibri" w:hAnsi="Arial" w:cs="Arial"/>
          <w:color w:val="000000" w:themeColor="text1"/>
          <w:sz w:val="22"/>
          <w:lang w:val="es-ES_tradnl"/>
        </w:rPr>
        <w:t xml:space="preserve"> mayoritaria de la mujer cabeza de familia</w:t>
      </w:r>
      <w:r w:rsidR="004D19F0">
        <w:rPr>
          <w:rFonts w:ascii="Arial" w:eastAsia="Calibri" w:hAnsi="Arial" w:cs="Arial"/>
          <w:color w:val="000000" w:themeColor="text1"/>
          <w:sz w:val="22"/>
          <w:lang w:val="es-ES_tradnl"/>
        </w:rPr>
        <w:t xml:space="preserve"> o </w:t>
      </w:r>
      <w:r w:rsidR="00A14168">
        <w:rPr>
          <w:rFonts w:ascii="Arial" w:eastAsia="Calibri" w:hAnsi="Arial" w:cs="Arial"/>
          <w:color w:val="000000" w:themeColor="text1"/>
          <w:sz w:val="22"/>
          <w:lang w:val="es-ES_tradnl"/>
        </w:rPr>
        <w:t>de las mujeres víctimas de la violencia intrafamiliar</w:t>
      </w:r>
      <w:r w:rsidR="004D19F0">
        <w:rPr>
          <w:rFonts w:ascii="Arial" w:eastAsia="Calibri" w:hAnsi="Arial" w:cs="Arial"/>
          <w:color w:val="000000" w:themeColor="text1"/>
          <w:sz w:val="22"/>
          <w:lang w:val="es-ES_tradnl"/>
        </w:rPr>
        <w:t xml:space="preserve">, </w:t>
      </w:r>
      <w:r w:rsidR="00923579">
        <w:rPr>
          <w:rFonts w:ascii="Arial" w:eastAsia="Calibri" w:hAnsi="Arial" w:cs="Arial"/>
          <w:color w:val="000000" w:themeColor="text1"/>
          <w:sz w:val="22"/>
          <w:lang w:val="es-ES_tradnl"/>
        </w:rPr>
        <w:t>para beneficiar con la aplicación de este factor de desempate a las personas jurídicas y a l</w:t>
      </w:r>
      <w:r w:rsidR="00A14168">
        <w:rPr>
          <w:rFonts w:ascii="Arial" w:eastAsia="Calibri" w:hAnsi="Arial" w:cs="Arial"/>
          <w:color w:val="000000" w:themeColor="text1"/>
          <w:sz w:val="22"/>
          <w:lang w:val="es-ES_tradnl"/>
        </w:rPr>
        <w:t>os proponentes plurales,</w:t>
      </w:r>
      <w:r w:rsidR="004D19F0">
        <w:rPr>
          <w:rFonts w:ascii="Arial" w:eastAsia="Calibri" w:hAnsi="Arial" w:cs="Arial"/>
          <w:color w:val="000000" w:themeColor="text1"/>
          <w:sz w:val="22"/>
          <w:lang w:val="es-ES_tradnl"/>
        </w:rPr>
        <w:t xml:space="preserve"> </w:t>
      </w:r>
      <w:r w:rsidR="00741C15">
        <w:rPr>
          <w:rFonts w:ascii="Arial" w:eastAsia="Calibri" w:hAnsi="Arial" w:cs="Arial"/>
          <w:color w:val="000000" w:themeColor="text1"/>
          <w:sz w:val="22"/>
          <w:lang w:val="es-ES_tradnl"/>
        </w:rPr>
        <w:t>el concepto de participación se refiere a</w:t>
      </w:r>
      <w:r w:rsidR="008E62E9">
        <w:rPr>
          <w:rFonts w:ascii="Arial" w:eastAsia="Calibri" w:hAnsi="Arial" w:cs="Arial"/>
          <w:color w:val="000000" w:themeColor="text1"/>
          <w:sz w:val="22"/>
          <w:lang w:val="es-ES_tradnl"/>
        </w:rPr>
        <w:t xml:space="preserve"> </w:t>
      </w:r>
      <w:r w:rsidR="008E62E9" w:rsidRPr="00C27556">
        <w:rPr>
          <w:rFonts w:ascii="Arial" w:hAnsi="Arial" w:cs="Arial"/>
          <w:color w:val="000000" w:themeColor="text1"/>
          <w:sz w:val="22"/>
          <w:szCs w:val="22"/>
          <w:lang w:val="es-ES_tradnl"/>
        </w:rPr>
        <w:t>tomar parte</w:t>
      </w:r>
      <w:r w:rsidR="00200A5C">
        <w:rPr>
          <w:rFonts w:ascii="Arial" w:hAnsi="Arial" w:cs="Arial"/>
          <w:color w:val="000000" w:themeColor="text1"/>
          <w:sz w:val="22"/>
          <w:szCs w:val="22"/>
          <w:lang w:val="es-ES_tradnl"/>
        </w:rPr>
        <w:t xml:space="preserve"> </w:t>
      </w:r>
      <w:r w:rsidR="00200A5C" w:rsidRPr="00200A5C">
        <w:rPr>
          <w:rFonts w:ascii="Arial" w:hAnsi="Arial" w:cs="Arial"/>
          <w:i/>
          <w:iCs/>
          <w:color w:val="000000" w:themeColor="text1"/>
          <w:sz w:val="22"/>
          <w:szCs w:val="22"/>
          <w:lang w:val="es-ES_tradnl"/>
        </w:rPr>
        <w:t>directa</w:t>
      </w:r>
      <w:r w:rsidR="008E62E9" w:rsidRPr="00C27556">
        <w:rPr>
          <w:rFonts w:ascii="Arial" w:hAnsi="Arial" w:cs="Arial"/>
          <w:color w:val="000000" w:themeColor="text1"/>
          <w:sz w:val="22"/>
          <w:szCs w:val="22"/>
          <w:lang w:val="es-ES_tradnl"/>
        </w:rPr>
        <w:t xml:space="preserve"> en la sociedad o proponente plural, de acuerdo al aporte en dinero o trabajo</w:t>
      </w:r>
      <w:r w:rsidR="008E62E9">
        <w:rPr>
          <w:rFonts w:ascii="Arial" w:hAnsi="Arial" w:cs="Arial"/>
          <w:color w:val="000000" w:themeColor="text1"/>
          <w:sz w:val="22"/>
          <w:szCs w:val="22"/>
          <w:lang w:val="es-ES_tradnl"/>
        </w:rPr>
        <w:t>.</w:t>
      </w:r>
      <w:r w:rsidR="00200A5C">
        <w:rPr>
          <w:rFonts w:ascii="Arial" w:eastAsia="Calibri" w:hAnsi="Arial" w:cs="Arial"/>
          <w:color w:val="000000" w:themeColor="text1"/>
          <w:sz w:val="22"/>
          <w:lang w:val="es-ES_tradnl"/>
        </w:rPr>
        <w:t xml:space="preserve"> </w:t>
      </w:r>
      <w:r w:rsidR="003D42CB">
        <w:rPr>
          <w:rFonts w:ascii="Arial" w:eastAsia="Calibri" w:hAnsi="Arial" w:cs="Arial"/>
          <w:color w:val="000000" w:themeColor="text1"/>
          <w:sz w:val="22"/>
          <w:lang w:val="es-ES_tradnl"/>
        </w:rPr>
        <w:t>Lo anterior por cuanto e</w:t>
      </w:r>
      <w:r w:rsidR="00200A5C">
        <w:rPr>
          <w:rFonts w:ascii="Arial" w:eastAsia="Calibri" w:hAnsi="Arial" w:cs="Arial"/>
          <w:color w:val="000000" w:themeColor="text1"/>
          <w:sz w:val="22"/>
          <w:lang w:val="es-ES_tradnl"/>
        </w:rPr>
        <w:t xml:space="preserve">l sentido de la Ley de </w:t>
      </w:r>
      <w:r w:rsidR="00200A5C" w:rsidRPr="00200A5C">
        <w:rPr>
          <w:rFonts w:ascii="Arial" w:eastAsia="Calibri" w:hAnsi="Arial" w:cs="Arial"/>
          <w:i/>
          <w:iCs/>
          <w:color w:val="000000" w:themeColor="text1"/>
          <w:sz w:val="22"/>
          <w:lang w:val="es-ES_tradnl"/>
        </w:rPr>
        <w:t>emprendimiento</w:t>
      </w:r>
      <w:r w:rsidR="00200A5C">
        <w:rPr>
          <w:rFonts w:ascii="Arial" w:eastAsia="Calibri" w:hAnsi="Arial" w:cs="Arial"/>
          <w:color w:val="000000" w:themeColor="text1"/>
          <w:sz w:val="22"/>
          <w:lang w:val="es-ES_tradnl"/>
        </w:rPr>
        <w:t xml:space="preserve"> es</w:t>
      </w:r>
      <w:r w:rsidR="00DF08B0">
        <w:rPr>
          <w:rFonts w:ascii="Arial" w:eastAsia="Calibri" w:hAnsi="Arial" w:cs="Arial"/>
          <w:color w:val="000000" w:themeColor="text1"/>
          <w:sz w:val="22"/>
          <w:lang w:val="es-ES_tradnl"/>
        </w:rPr>
        <w:t>, según el artículo 1,</w:t>
      </w:r>
      <w:r w:rsidR="00200A5C">
        <w:rPr>
          <w:rFonts w:ascii="Arial" w:eastAsia="Calibri" w:hAnsi="Arial" w:cs="Arial"/>
          <w:color w:val="000000" w:themeColor="text1"/>
          <w:sz w:val="22"/>
          <w:lang w:val="es-ES_tradnl"/>
        </w:rPr>
        <w:t xml:space="preserve"> </w:t>
      </w:r>
      <w:r w:rsidR="00DF08B0">
        <w:rPr>
          <w:rFonts w:ascii="Arial" w:eastAsia="Calibri" w:hAnsi="Arial" w:cs="Arial"/>
          <w:color w:val="000000" w:themeColor="text1"/>
          <w:sz w:val="22"/>
          <w:lang w:val="es-ES_tradnl"/>
        </w:rPr>
        <w:t>«</w:t>
      </w:r>
      <w:r w:rsidR="00DF08B0" w:rsidRPr="00DF08B0">
        <w:rPr>
          <w:rFonts w:ascii="Arial" w:eastAsia="Calibri" w:hAnsi="Arial" w:cs="Arial"/>
          <w:color w:val="000000" w:themeColor="text1"/>
          <w:sz w:val="22"/>
          <w:lang w:val="es-ES_tradnl"/>
        </w:rPr>
        <w:t>establecer un marc</w:t>
      </w:r>
      <w:r w:rsidR="003D42CB">
        <w:rPr>
          <w:rFonts w:ascii="Arial" w:eastAsia="Calibri" w:hAnsi="Arial" w:cs="Arial"/>
          <w:color w:val="000000" w:themeColor="text1"/>
          <w:sz w:val="22"/>
          <w:lang w:val="es-ES_tradnl"/>
        </w:rPr>
        <w:t>o</w:t>
      </w:r>
      <w:r w:rsidR="00DF08B0">
        <w:rPr>
          <w:rFonts w:ascii="Arial" w:eastAsia="Calibri" w:hAnsi="Arial" w:cs="Arial"/>
          <w:color w:val="000000" w:themeColor="text1"/>
          <w:sz w:val="22"/>
          <w:lang w:val="es-ES_tradnl"/>
        </w:rPr>
        <w:t xml:space="preserve"> </w:t>
      </w:r>
      <w:r w:rsidR="00DF08B0" w:rsidRPr="00DF08B0">
        <w:rPr>
          <w:rFonts w:ascii="Arial" w:eastAsia="Calibri" w:hAnsi="Arial" w:cs="Arial"/>
          <w:color w:val="000000" w:themeColor="text1"/>
          <w:sz w:val="22"/>
          <w:lang w:val="es-ES_tradnl"/>
        </w:rPr>
        <w:t>regulatorio que propicie el emprendimiento y el crecimiento, consolidación y</w:t>
      </w:r>
      <w:r w:rsidR="00DF08B0">
        <w:rPr>
          <w:rFonts w:ascii="Arial" w:eastAsia="Calibri" w:hAnsi="Arial" w:cs="Arial"/>
          <w:color w:val="000000" w:themeColor="text1"/>
          <w:sz w:val="22"/>
          <w:lang w:val="es-ES_tradnl"/>
        </w:rPr>
        <w:t xml:space="preserve"> </w:t>
      </w:r>
      <w:r w:rsidR="00DF08B0" w:rsidRPr="00DF08B0">
        <w:rPr>
          <w:rFonts w:ascii="Arial" w:eastAsia="Calibri" w:hAnsi="Arial" w:cs="Arial"/>
          <w:color w:val="000000" w:themeColor="text1"/>
          <w:sz w:val="22"/>
          <w:lang w:val="es-ES_tradnl"/>
        </w:rPr>
        <w:t>sostenibilidad de las empresas, con el</w:t>
      </w:r>
      <w:r w:rsidR="00DF08B0">
        <w:rPr>
          <w:rFonts w:ascii="Arial" w:eastAsia="Calibri" w:hAnsi="Arial" w:cs="Arial"/>
          <w:color w:val="000000" w:themeColor="text1"/>
          <w:sz w:val="22"/>
          <w:lang w:val="es-ES_tradnl"/>
        </w:rPr>
        <w:t xml:space="preserve"> </w:t>
      </w:r>
      <w:r w:rsidR="00DF08B0" w:rsidRPr="00DF08B0">
        <w:rPr>
          <w:rFonts w:ascii="Arial" w:eastAsia="Calibri" w:hAnsi="Arial" w:cs="Arial"/>
          <w:color w:val="000000" w:themeColor="text1"/>
          <w:sz w:val="22"/>
          <w:lang w:val="es-ES_tradnl"/>
        </w:rPr>
        <w:t>fin de aumentar el bienestar social y generar</w:t>
      </w:r>
      <w:r w:rsidR="00DF08B0">
        <w:rPr>
          <w:rFonts w:ascii="Arial" w:eastAsia="Calibri" w:hAnsi="Arial" w:cs="Arial"/>
          <w:color w:val="000000" w:themeColor="text1"/>
          <w:sz w:val="22"/>
          <w:lang w:val="es-ES_tradnl"/>
        </w:rPr>
        <w:t xml:space="preserve"> </w:t>
      </w:r>
      <w:r w:rsidR="00DF08B0" w:rsidRPr="00DF08B0">
        <w:rPr>
          <w:rFonts w:ascii="Arial" w:eastAsia="Calibri" w:hAnsi="Arial" w:cs="Arial"/>
          <w:color w:val="000000" w:themeColor="text1"/>
          <w:sz w:val="22"/>
          <w:lang w:val="es-ES_tradnl"/>
        </w:rPr>
        <w:t>equidad</w:t>
      </w:r>
      <w:r w:rsidR="00DF08B0">
        <w:rPr>
          <w:rFonts w:ascii="Arial" w:eastAsia="Calibri" w:hAnsi="Arial" w:cs="Arial"/>
          <w:color w:val="000000" w:themeColor="text1"/>
          <w:sz w:val="22"/>
          <w:lang w:val="es-ES_tradnl"/>
        </w:rPr>
        <w:t xml:space="preserve">». Por lo tanto, esta Agencia considera que la interpretación que más se aviene </w:t>
      </w:r>
      <w:r w:rsidR="00C32B26">
        <w:rPr>
          <w:rFonts w:ascii="Arial" w:eastAsia="Calibri" w:hAnsi="Arial" w:cs="Arial"/>
          <w:color w:val="000000" w:themeColor="text1"/>
          <w:sz w:val="22"/>
          <w:lang w:val="es-ES_tradnl"/>
        </w:rPr>
        <w:t>con</w:t>
      </w:r>
      <w:r w:rsidR="00DF08B0">
        <w:rPr>
          <w:rFonts w:ascii="Arial" w:eastAsia="Calibri" w:hAnsi="Arial" w:cs="Arial"/>
          <w:color w:val="000000" w:themeColor="text1"/>
          <w:sz w:val="22"/>
          <w:lang w:val="es-ES_tradnl"/>
        </w:rPr>
        <w:t xml:space="preserve"> este objetivo es comprender el concepto de participación</w:t>
      </w:r>
      <w:r w:rsidR="00A0181F">
        <w:rPr>
          <w:rFonts w:ascii="Arial" w:eastAsia="Calibri" w:hAnsi="Arial" w:cs="Arial"/>
          <w:color w:val="000000" w:themeColor="text1"/>
          <w:sz w:val="22"/>
          <w:lang w:val="es-ES_tradnl"/>
        </w:rPr>
        <w:t>, en el artículo 35, numeral 2, de la Ley 2069 de 2020</w:t>
      </w:r>
      <w:r w:rsidR="00D52E7B">
        <w:rPr>
          <w:rFonts w:ascii="Arial" w:eastAsia="Calibri" w:hAnsi="Arial" w:cs="Arial"/>
          <w:color w:val="000000" w:themeColor="text1"/>
          <w:sz w:val="22"/>
          <w:lang w:val="es-ES_tradnl"/>
        </w:rPr>
        <w:t xml:space="preserve"> </w:t>
      </w:r>
      <w:r w:rsidR="00077F5F">
        <w:rPr>
          <w:rFonts w:ascii="Arial" w:eastAsia="Calibri" w:hAnsi="Arial" w:cs="Arial"/>
          <w:color w:val="000000" w:themeColor="text1"/>
          <w:sz w:val="22"/>
          <w:lang w:val="es-ES_tradnl"/>
        </w:rPr>
        <w:t>como l</w:t>
      </w:r>
      <w:r w:rsidR="00DF2D7F">
        <w:rPr>
          <w:rFonts w:ascii="Arial" w:eastAsia="Calibri" w:hAnsi="Arial" w:cs="Arial"/>
          <w:color w:val="000000" w:themeColor="text1"/>
          <w:sz w:val="22"/>
          <w:lang w:val="es-ES_tradnl"/>
        </w:rPr>
        <w:t>a participación</w:t>
      </w:r>
      <w:r w:rsidR="00D52E7B">
        <w:rPr>
          <w:rFonts w:ascii="Arial" w:eastAsia="Calibri" w:hAnsi="Arial" w:cs="Arial"/>
          <w:color w:val="000000" w:themeColor="text1"/>
          <w:sz w:val="22"/>
          <w:lang w:val="es-ES_tradnl"/>
        </w:rPr>
        <w:t xml:space="preserve"> directa</w:t>
      </w:r>
      <w:r w:rsidR="00DF2D7F">
        <w:rPr>
          <w:rFonts w:ascii="Arial" w:eastAsia="Calibri" w:hAnsi="Arial" w:cs="Arial"/>
          <w:color w:val="000000" w:themeColor="text1"/>
          <w:sz w:val="22"/>
          <w:lang w:val="es-ES_tradnl"/>
        </w:rPr>
        <w:t xml:space="preserve"> </w:t>
      </w:r>
      <w:r w:rsidR="00DF2D7F">
        <w:rPr>
          <w:rFonts w:ascii="Arial" w:hAnsi="Arial" w:cs="Arial"/>
          <w:color w:val="000000" w:themeColor="text1"/>
          <w:sz w:val="22"/>
          <w:szCs w:val="22"/>
          <w:lang w:val="es-ES_tradnl"/>
        </w:rPr>
        <w:t>en</w:t>
      </w:r>
      <w:r w:rsidR="00DF2D7F" w:rsidRPr="005419DA">
        <w:rPr>
          <w:rFonts w:ascii="Arial" w:hAnsi="Arial" w:cs="Arial"/>
          <w:color w:val="000000" w:themeColor="text1"/>
          <w:sz w:val="22"/>
          <w:szCs w:val="22"/>
          <w:lang w:val="es-ES_tradnl"/>
        </w:rPr>
        <w:t xml:space="preserve"> las utilidades de la sociedad, </w:t>
      </w:r>
      <w:r w:rsidR="00DF2D7F">
        <w:rPr>
          <w:rFonts w:ascii="Arial" w:hAnsi="Arial" w:cs="Arial"/>
          <w:color w:val="000000" w:themeColor="text1"/>
          <w:sz w:val="22"/>
          <w:szCs w:val="22"/>
          <w:lang w:val="es-ES_tradnl"/>
        </w:rPr>
        <w:t>según la proporción accionaria</w:t>
      </w:r>
      <w:r w:rsidR="00DF2D7F" w:rsidRPr="005419DA">
        <w:rPr>
          <w:rFonts w:ascii="Arial" w:hAnsi="Arial" w:cs="Arial"/>
          <w:color w:val="000000" w:themeColor="text1"/>
          <w:sz w:val="22"/>
          <w:szCs w:val="22"/>
          <w:lang w:val="es-ES_tradnl"/>
        </w:rPr>
        <w:t xml:space="preserve"> –en las sociedades por acciones– o de acuerdo a la industria o trabajo personal del socio –como sucede usualmente en las sociedades de personas–</w:t>
      </w:r>
      <w:r w:rsidR="00DF2D7F">
        <w:rPr>
          <w:rFonts w:ascii="Arial" w:hAnsi="Arial" w:cs="Arial"/>
          <w:color w:val="000000" w:themeColor="text1"/>
          <w:sz w:val="22"/>
          <w:szCs w:val="22"/>
          <w:lang w:val="es-ES_tradnl"/>
        </w:rPr>
        <w:t>.</w:t>
      </w:r>
      <w:r w:rsidR="00C62AE8">
        <w:rPr>
          <w:rFonts w:ascii="Arial" w:eastAsia="Calibri" w:hAnsi="Arial" w:cs="Arial"/>
          <w:color w:val="000000" w:themeColor="text1"/>
          <w:sz w:val="22"/>
          <w:lang w:val="es-ES_tradnl"/>
        </w:rPr>
        <w:t xml:space="preserve"> </w:t>
      </w:r>
      <w:r w:rsidR="00200A5C">
        <w:rPr>
          <w:rFonts w:ascii="Arial" w:eastAsia="Calibri" w:hAnsi="Arial" w:cs="Arial"/>
          <w:color w:val="000000" w:themeColor="text1"/>
          <w:sz w:val="22"/>
          <w:lang w:val="es-ES_tradnl"/>
        </w:rPr>
        <w:t xml:space="preserve">  </w:t>
      </w:r>
    </w:p>
    <w:p w14:paraId="7E83BEFA" w14:textId="77777777" w:rsidR="0060009C" w:rsidRPr="00127EBF" w:rsidRDefault="0060009C" w:rsidP="00510DE9">
      <w:pPr>
        <w:tabs>
          <w:tab w:val="left" w:pos="0"/>
        </w:tabs>
        <w:jc w:val="both"/>
        <w:rPr>
          <w:rFonts w:ascii="Arial" w:eastAsia="Calibri" w:hAnsi="Arial" w:cs="Arial"/>
          <w:b/>
          <w:color w:val="000000" w:themeColor="text1"/>
          <w:sz w:val="22"/>
          <w:lang w:val="es-ES_tradnl"/>
        </w:rPr>
      </w:pPr>
    </w:p>
    <w:p w14:paraId="37CA9805" w14:textId="1F7C1907" w:rsidR="00DD5B04" w:rsidRPr="00127EBF" w:rsidRDefault="004177A6" w:rsidP="00510DE9">
      <w:pPr>
        <w:tabs>
          <w:tab w:val="left" w:pos="0"/>
        </w:tabs>
        <w:jc w:val="both"/>
        <w:rPr>
          <w:rFonts w:ascii="Arial" w:eastAsia="Calibri" w:hAnsi="Arial" w:cs="Arial"/>
          <w:b/>
          <w:color w:val="000000" w:themeColor="text1"/>
          <w:sz w:val="22"/>
          <w:lang w:val="es-ES_tradnl"/>
        </w:rPr>
      </w:pPr>
      <w:r w:rsidRPr="00127EBF">
        <w:rPr>
          <w:rFonts w:ascii="Arial" w:eastAsia="Calibri" w:hAnsi="Arial" w:cs="Arial"/>
          <w:b/>
          <w:color w:val="000000" w:themeColor="text1"/>
          <w:sz w:val="22"/>
          <w:lang w:val="es-ES_tradnl"/>
        </w:rPr>
        <w:t>3</w:t>
      </w:r>
      <w:r w:rsidR="00B011A9" w:rsidRPr="00127EBF">
        <w:rPr>
          <w:rFonts w:ascii="Arial" w:eastAsia="Calibri" w:hAnsi="Arial" w:cs="Arial"/>
          <w:b/>
          <w:color w:val="000000" w:themeColor="text1"/>
          <w:sz w:val="22"/>
          <w:lang w:val="es-ES_tradnl"/>
        </w:rPr>
        <w:t xml:space="preserve">. </w:t>
      </w:r>
      <w:r w:rsidR="00DD5B04" w:rsidRPr="00127EBF">
        <w:rPr>
          <w:rFonts w:ascii="Arial" w:eastAsia="Calibri" w:hAnsi="Arial" w:cs="Arial"/>
          <w:b/>
          <w:color w:val="000000" w:themeColor="text1"/>
          <w:sz w:val="22"/>
          <w:lang w:val="es-ES_tradnl"/>
        </w:rPr>
        <w:t>Respuesta</w:t>
      </w:r>
    </w:p>
    <w:p w14:paraId="0B74D5B8" w14:textId="5E91C0C4" w:rsidR="00C4581D" w:rsidRPr="00127EBF" w:rsidRDefault="00C4581D" w:rsidP="00510DE9">
      <w:pPr>
        <w:tabs>
          <w:tab w:val="left" w:pos="0"/>
        </w:tabs>
        <w:jc w:val="both"/>
        <w:rPr>
          <w:rFonts w:ascii="Arial" w:eastAsia="Calibri" w:hAnsi="Arial" w:cs="Arial"/>
          <w:color w:val="000000" w:themeColor="text1"/>
          <w:sz w:val="22"/>
          <w:lang w:val="es-ES_tradnl"/>
        </w:rPr>
      </w:pPr>
    </w:p>
    <w:p w14:paraId="189D1990" w14:textId="5DEA748A" w:rsidR="008056A2" w:rsidRPr="00127EBF" w:rsidRDefault="008056A2" w:rsidP="00510DE9">
      <w:pPr>
        <w:tabs>
          <w:tab w:val="left" w:pos="0"/>
        </w:tabs>
        <w:jc w:val="both"/>
        <w:rPr>
          <w:rFonts w:ascii="Arial" w:eastAsia="Calibri" w:hAnsi="Arial" w:cs="Arial"/>
          <w:color w:val="000000" w:themeColor="text1"/>
          <w:sz w:val="22"/>
          <w:lang w:val="es-ES_tradnl"/>
        </w:rPr>
      </w:pPr>
    </w:p>
    <w:p w14:paraId="72E798B5" w14:textId="77777777" w:rsidR="00296998" w:rsidRDefault="00296998" w:rsidP="00296998">
      <w:pPr>
        <w:ind w:left="709" w:right="709"/>
        <w:jc w:val="both"/>
        <w:rPr>
          <w:rFonts w:ascii="Arial" w:hAnsi="Arial" w:cs="Arial"/>
          <w:color w:val="000000" w:themeColor="text1"/>
          <w:sz w:val="21"/>
          <w:szCs w:val="21"/>
          <w:lang w:val="es-ES_tradnl"/>
        </w:rPr>
      </w:pPr>
      <w:r w:rsidRPr="00127EBF">
        <w:rPr>
          <w:rFonts w:ascii="Arial" w:hAnsi="Arial" w:cs="Arial"/>
          <w:color w:val="000000" w:themeColor="text1"/>
          <w:sz w:val="21"/>
          <w:szCs w:val="21"/>
          <w:lang w:val="es-ES_tradnl"/>
        </w:rPr>
        <w:t>«</w:t>
      </w:r>
      <w:r w:rsidRPr="00CD0778">
        <w:rPr>
          <w:rFonts w:ascii="Arial" w:hAnsi="Arial" w:cs="Arial"/>
          <w:color w:val="000000" w:themeColor="text1"/>
          <w:sz w:val="21"/>
          <w:szCs w:val="21"/>
          <w:lang w:val="es-ES_tradnl"/>
        </w:rPr>
        <w:t>me permito solicitarle se sirva aclarar el alcance de su interpretación del numeral 2 del artículo 35 de la Ley 2069 de 2020 efectuada en el oficio con radicado No. RS20210204000737 del 4 de febrero de 2021,</w:t>
      </w:r>
      <w:r>
        <w:rPr>
          <w:rFonts w:ascii="Arial" w:hAnsi="Arial" w:cs="Arial"/>
          <w:color w:val="000000" w:themeColor="text1"/>
          <w:sz w:val="21"/>
          <w:szCs w:val="21"/>
          <w:lang w:val="es-ES_tradnl"/>
        </w:rPr>
        <w:t xml:space="preserve"> […]</w:t>
      </w:r>
    </w:p>
    <w:p w14:paraId="39DA46A6" w14:textId="77777777" w:rsidR="00296998" w:rsidRDefault="00296998" w:rsidP="00296998">
      <w:pPr>
        <w:ind w:left="709" w:right="709"/>
        <w:jc w:val="both"/>
        <w:rPr>
          <w:rFonts w:ascii="Arial" w:hAnsi="Arial" w:cs="Arial"/>
          <w:color w:val="000000" w:themeColor="text1"/>
          <w:sz w:val="21"/>
          <w:szCs w:val="21"/>
          <w:lang w:val="es-ES_tradnl"/>
        </w:rPr>
      </w:pPr>
    </w:p>
    <w:p w14:paraId="05D5218E" w14:textId="77777777" w:rsidR="00296998" w:rsidRDefault="00296998" w:rsidP="00296998">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5C74F07E" w14:textId="77777777" w:rsidR="00296998" w:rsidRDefault="00296998" w:rsidP="00296998">
      <w:pPr>
        <w:ind w:left="709" w:right="709"/>
        <w:jc w:val="both"/>
        <w:rPr>
          <w:rFonts w:ascii="Arial" w:hAnsi="Arial" w:cs="Arial"/>
          <w:color w:val="000000" w:themeColor="text1"/>
          <w:sz w:val="21"/>
          <w:szCs w:val="21"/>
          <w:lang w:val="es-ES_tradnl"/>
        </w:rPr>
      </w:pPr>
    </w:p>
    <w:p w14:paraId="0D3AFC8D" w14:textId="77777777" w:rsidR="00296998" w:rsidRPr="00127EBF" w:rsidRDefault="00296998" w:rsidP="00296998">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34741D">
        <w:rPr>
          <w:rFonts w:ascii="Arial" w:hAnsi="Arial" w:cs="Arial"/>
          <w:color w:val="000000" w:themeColor="text1"/>
          <w:sz w:val="21"/>
          <w:szCs w:val="21"/>
          <w:lang w:val="es-ES_tradnl"/>
        </w:rPr>
        <w:t>Teniendo en cuenta que a nivel societario la participación puede ser directa, como accionista, o indirecta como beneficiario último, agradecemos establecer si en su criterio cualquiera de las dos condiciones sería válida en el marco de la aplicación del numeral 2 del artículo 35 de la Ley 2069 de 2020</w:t>
      </w:r>
      <w:r>
        <w:rPr>
          <w:rFonts w:ascii="Arial" w:hAnsi="Arial" w:cs="Arial"/>
          <w:color w:val="000000" w:themeColor="text1"/>
          <w:sz w:val="21"/>
          <w:szCs w:val="21"/>
          <w:lang w:val="es-ES_tradnl"/>
        </w:rPr>
        <w:t>»</w:t>
      </w:r>
      <w:r w:rsidRPr="00127EBF">
        <w:rPr>
          <w:rFonts w:ascii="Arial" w:hAnsi="Arial" w:cs="Arial"/>
          <w:color w:val="000000" w:themeColor="text1"/>
          <w:sz w:val="21"/>
          <w:szCs w:val="21"/>
          <w:lang w:val="es-ES_tradnl"/>
        </w:rPr>
        <w:t>.</w:t>
      </w:r>
    </w:p>
    <w:p w14:paraId="2BA987F6" w14:textId="77777777" w:rsidR="00D23EA4" w:rsidRDefault="00D23EA4" w:rsidP="00D23EA4">
      <w:pPr>
        <w:spacing w:line="276" w:lineRule="auto"/>
        <w:jc w:val="both"/>
        <w:rPr>
          <w:rFonts w:ascii="Arial" w:eastAsia="Calibri" w:hAnsi="Arial" w:cs="Arial"/>
          <w:color w:val="000000" w:themeColor="text1"/>
          <w:sz w:val="22"/>
          <w:lang w:val="es-ES_tradnl"/>
        </w:rPr>
      </w:pPr>
    </w:p>
    <w:p w14:paraId="73A4CC7A" w14:textId="49E685D8" w:rsidR="00D23EA4" w:rsidRPr="00127EBF" w:rsidRDefault="00D23EA4" w:rsidP="00D23EA4">
      <w:pPr>
        <w:spacing w:line="276" w:lineRule="auto"/>
        <w:jc w:val="both"/>
        <w:rPr>
          <w:rFonts w:ascii="Arial" w:hAnsi="Arial" w:cs="Arial"/>
          <w:color w:val="000000" w:themeColor="text1"/>
          <w:sz w:val="22"/>
          <w:szCs w:val="22"/>
          <w:lang w:val="es-ES_tradnl"/>
        </w:rPr>
      </w:pPr>
      <w:r w:rsidRPr="00127EBF">
        <w:rPr>
          <w:rFonts w:ascii="Arial" w:eastAsia="Calibri" w:hAnsi="Arial" w:cs="Arial"/>
          <w:color w:val="000000" w:themeColor="text1"/>
          <w:sz w:val="22"/>
          <w:lang w:val="es-ES_tradnl"/>
        </w:rPr>
        <w:t xml:space="preserve">Los conceptos emitidos por la Agencia Nacional de Contratación Pública – Colombia Compra Eficiente contienen la interpretación de normas de carácter general en materia de compras y contratación pública. El fundamento para su expedición se encuentra en el numeral 8 del artículo 11 y el numeral 5 del artículo 3 del Decreto Ley 4170 de 2011. Tales conceptos no son actos administrativos, es decir, no son decisiones vinculantes u obligatorias, sino que están revestidos de la naturaleza que les confiere el artículo 230 de la Constitución Política y el artículo 28 de la Ley 1437 de 2011. En otras palabras, </w:t>
      </w:r>
      <w:r w:rsidRPr="00127EBF">
        <w:rPr>
          <w:rFonts w:ascii="Arial" w:eastAsia="Calibri" w:hAnsi="Arial" w:cs="Arial"/>
          <w:color w:val="000000" w:themeColor="text1"/>
          <w:sz w:val="22"/>
          <w:lang w:val="es-ES_tradnl"/>
        </w:rPr>
        <w:lastRenderedPageBreak/>
        <w:t>constituyen doctrina, y por lo tanto son criterios auxiliares para la interpretación y aplicación del derecho. De ahí que no sean obligatorios.</w:t>
      </w:r>
    </w:p>
    <w:p w14:paraId="14454ECC" w14:textId="77777777" w:rsidR="00D23EA4" w:rsidRDefault="00D23EA4" w:rsidP="00D23EA4">
      <w:pPr>
        <w:tabs>
          <w:tab w:val="left" w:pos="0"/>
        </w:tabs>
        <w:spacing w:before="120" w:line="276" w:lineRule="auto"/>
        <w:ind w:firstLine="709"/>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Por lo demás, la actividad hermenéutica que lleva a cabo la Agencia Nacional de Contratación Pública – Colombia Compra Eficiente considera las fuentes normativas de la contratación estatal para asignarles un sentido razonable. Cuando las disposiciones normativas han sido objeto de desarrollo reglamentario o de pronunciamiento judicial, la Agencia tiene en cuenta en los conceptos tales elementos, para construir su interpretación de las normas. Pero, cuando se trata de la definición o comprensión de palabras que no gozan de una delimitación conceptual efectuada por vía reglamentaria o jurisdiccional, Colombia Compra Eficiente deduce el significado que considera más adecuado y armónico con las demás normas que conforman el sistema jurídico de compras y contratación pública.</w:t>
      </w:r>
    </w:p>
    <w:p w14:paraId="74BEF13E" w14:textId="41EC9FEE" w:rsidR="00955DFD" w:rsidRPr="00127EBF" w:rsidRDefault="00D23EA4" w:rsidP="00D23EA4">
      <w:pPr>
        <w:tabs>
          <w:tab w:val="left" w:pos="0"/>
        </w:tabs>
        <w:spacing w:before="120" w:line="276" w:lineRule="auto"/>
        <w:ind w:firstLine="709"/>
        <w:jc w:val="both"/>
        <w:rPr>
          <w:rFonts w:ascii="Arial" w:eastAsia="Calibri" w:hAnsi="Arial" w:cs="Arial"/>
          <w:color w:val="000000" w:themeColor="text1"/>
          <w:sz w:val="22"/>
          <w:lang w:val="es-ES_tradnl"/>
        </w:rPr>
      </w:pPr>
      <w:r w:rsidRPr="00127EBF">
        <w:rPr>
          <w:rFonts w:ascii="Arial" w:eastAsia="Calibri" w:hAnsi="Arial" w:cs="Arial"/>
          <w:color w:val="000000" w:themeColor="text1"/>
          <w:sz w:val="22"/>
          <w:lang w:val="es-ES_tradnl"/>
        </w:rPr>
        <w:t xml:space="preserve">Esto último es lo que sucede con </w:t>
      </w:r>
      <w:r>
        <w:rPr>
          <w:rFonts w:ascii="Arial" w:eastAsia="Calibri" w:hAnsi="Arial" w:cs="Arial"/>
          <w:color w:val="000000" w:themeColor="text1"/>
          <w:sz w:val="22"/>
          <w:lang w:val="es-ES_tradnl"/>
        </w:rPr>
        <w:t xml:space="preserve">el concepto de </w:t>
      </w:r>
      <w:r>
        <w:rPr>
          <w:rFonts w:ascii="Arial" w:eastAsia="Calibri" w:hAnsi="Arial" w:cs="Arial"/>
          <w:i/>
          <w:iCs/>
          <w:color w:val="000000" w:themeColor="text1"/>
          <w:sz w:val="22"/>
          <w:lang w:val="es-ES_tradnl"/>
        </w:rPr>
        <w:t>participación</w:t>
      </w:r>
      <w:r w:rsidRPr="00127EBF">
        <w:rPr>
          <w:rFonts w:ascii="Arial" w:eastAsia="Calibri" w:hAnsi="Arial" w:cs="Arial"/>
          <w:color w:val="000000" w:themeColor="text1"/>
          <w:sz w:val="22"/>
          <w:lang w:val="es-ES_tradnl"/>
        </w:rPr>
        <w:t>, contenid</w:t>
      </w:r>
      <w:r>
        <w:rPr>
          <w:rFonts w:ascii="Arial" w:eastAsia="Calibri" w:hAnsi="Arial" w:cs="Arial"/>
          <w:color w:val="000000" w:themeColor="text1"/>
          <w:sz w:val="22"/>
          <w:lang w:val="es-ES_tradnl"/>
        </w:rPr>
        <w:t>o</w:t>
      </w:r>
      <w:r w:rsidRPr="00127EBF">
        <w:rPr>
          <w:rFonts w:ascii="Arial" w:eastAsia="Calibri" w:hAnsi="Arial" w:cs="Arial"/>
          <w:color w:val="000000" w:themeColor="text1"/>
          <w:sz w:val="22"/>
          <w:lang w:val="es-ES_tradnl"/>
        </w:rPr>
        <w:t xml:space="preserve"> en el numeral </w:t>
      </w:r>
      <w:r>
        <w:rPr>
          <w:rFonts w:ascii="Arial" w:eastAsia="Calibri" w:hAnsi="Arial" w:cs="Arial"/>
          <w:color w:val="000000" w:themeColor="text1"/>
          <w:sz w:val="22"/>
          <w:lang w:val="es-ES_tradnl"/>
        </w:rPr>
        <w:t>2</w:t>
      </w:r>
      <w:r w:rsidRPr="00127EBF">
        <w:rPr>
          <w:rFonts w:ascii="Arial" w:eastAsia="Calibri" w:hAnsi="Arial" w:cs="Arial"/>
          <w:color w:val="000000" w:themeColor="text1"/>
          <w:sz w:val="22"/>
          <w:lang w:val="es-ES_tradnl"/>
        </w:rPr>
        <w:t xml:space="preserve"> del artículo 35 de la Ley 2069 de 2020. Al ser una Ley recientemente expedida y no existir reglamentación, ni jurisprudencia, que haya acotado tal concepto, la Agencia realiza su interpretación </w:t>
      </w:r>
      <w:r w:rsidRPr="00127EBF">
        <w:rPr>
          <w:rFonts w:ascii="Arial" w:eastAsia="Calibri" w:hAnsi="Arial" w:cs="Arial"/>
          <w:i/>
          <w:iCs/>
          <w:color w:val="000000" w:themeColor="text1"/>
          <w:sz w:val="22"/>
          <w:lang w:val="es-ES_tradnl"/>
        </w:rPr>
        <w:t>prima facie</w:t>
      </w:r>
      <w:r w:rsidRPr="00127EBF">
        <w:rPr>
          <w:rFonts w:ascii="Arial" w:eastAsia="Calibri" w:hAnsi="Arial" w:cs="Arial"/>
          <w:color w:val="000000" w:themeColor="text1"/>
          <w:sz w:val="22"/>
          <w:lang w:val="es-ES_tradnl"/>
        </w:rPr>
        <w:t>. Sin embargo, se reitera, dicha interpretación no es vinculante, ni niega que pueda haber otras interpretaciones.</w:t>
      </w:r>
      <w:r>
        <w:rPr>
          <w:rFonts w:ascii="Arial" w:eastAsia="Calibri" w:hAnsi="Arial" w:cs="Arial"/>
          <w:color w:val="000000" w:themeColor="text1"/>
          <w:sz w:val="22"/>
          <w:lang w:val="es-ES_tradnl"/>
        </w:rPr>
        <w:t xml:space="preserve"> En tal sentido, Colombia Compra Eficiente entiende que cuando el numeral 2 del artículo 35 exige la </w:t>
      </w:r>
      <w:r w:rsidRPr="004F639F">
        <w:rPr>
          <w:rFonts w:ascii="Arial" w:eastAsia="Calibri" w:hAnsi="Arial" w:cs="Arial"/>
          <w:i/>
          <w:iCs/>
          <w:color w:val="000000" w:themeColor="text1"/>
          <w:sz w:val="22"/>
          <w:lang w:val="es-ES_tradnl"/>
        </w:rPr>
        <w:t>participación</w:t>
      </w:r>
      <w:r>
        <w:rPr>
          <w:rFonts w:ascii="Arial" w:eastAsia="Calibri" w:hAnsi="Arial" w:cs="Arial"/>
          <w:color w:val="000000" w:themeColor="text1"/>
          <w:sz w:val="22"/>
          <w:lang w:val="es-ES_tradnl"/>
        </w:rPr>
        <w:t xml:space="preserve"> mayoritaria de la mujer cabeza de familia o de las mujeres víctimas de la violencia intrafamiliar, para beneficiar con la aplicación de este factor de desempate a las personas jurídicas y a los proponentes plurales, el concepto de participación se refiere a </w:t>
      </w:r>
      <w:r w:rsidRPr="00C27556">
        <w:rPr>
          <w:rFonts w:ascii="Arial" w:hAnsi="Arial" w:cs="Arial"/>
          <w:color w:val="000000" w:themeColor="text1"/>
          <w:sz w:val="22"/>
          <w:szCs w:val="22"/>
          <w:lang w:val="es-ES_tradnl"/>
        </w:rPr>
        <w:t>tomar parte</w:t>
      </w:r>
      <w:r>
        <w:rPr>
          <w:rFonts w:ascii="Arial" w:hAnsi="Arial" w:cs="Arial"/>
          <w:color w:val="000000" w:themeColor="text1"/>
          <w:sz w:val="22"/>
          <w:szCs w:val="22"/>
          <w:lang w:val="es-ES_tradnl"/>
        </w:rPr>
        <w:t xml:space="preserve"> </w:t>
      </w:r>
      <w:r w:rsidRPr="00200A5C">
        <w:rPr>
          <w:rFonts w:ascii="Arial" w:hAnsi="Arial" w:cs="Arial"/>
          <w:i/>
          <w:iCs/>
          <w:color w:val="000000" w:themeColor="text1"/>
          <w:sz w:val="22"/>
          <w:szCs w:val="22"/>
          <w:lang w:val="es-ES_tradnl"/>
        </w:rPr>
        <w:t>directa</w:t>
      </w:r>
      <w:r w:rsidRPr="00C27556">
        <w:rPr>
          <w:rFonts w:ascii="Arial" w:hAnsi="Arial" w:cs="Arial"/>
          <w:color w:val="000000" w:themeColor="text1"/>
          <w:sz w:val="22"/>
          <w:szCs w:val="22"/>
          <w:lang w:val="es-ES_tradnl"/>
        </w:rPr>
        <w:t xml:space="preserve"> en la sociedad o proponente plural, de acuerdo al aporte en dinero o trabajo</w:t>
      </w:r>
      <w:r>
        <w:rPr>
          <w:rFonts w:ascii="Arial" w:hAnsi="Arial" w:cs="Arial"/>
          <w:color w:val="000000" w:themeColor="text1"/>
          <w:sz w:val="22"/>
          <w:szCs w:val="22"/>
          <w:lang w:val="es-ES_tradnl"/>
        </w:rPr>
        <w:t>.</w:t>
      </w:r>
      <w:r>
        <w:rPr>
          <w:rFonts w:ascii="Arial" w:eastAsia="Calibri" w:hAnsi="Arial" w:cs="Arial"/>
          <w:color w:val="000000" w:themeColor="text1"/>
          <w:sz w:val="22"/>
          <w:lang w:val="es-ES_tradnl"/>
        </w:rPr>
        <w:t xml:space="preserve"> Lo anterior por cuanto el sentido de la Ley de </w:t>
      </w:r>
      <w:r w:rsidRPr="00200A5C">
        <w:rPr>
          <w:rFonts w:ascii="Arial" w:eastAsia="Calibri" w:hAnsi="Arial" w:cs="Arial"/>
          <w:i/>
          <w:iCs/>
          <w:color w:val="000000" w:themeColor="text1"/>
          <w:sz w:val="22"/>
          <w:lang w:val="es-ES_tradnl"/>
        </w:rPr>
        <w:t>emprendimiento</w:t>
      </w:r>
      <w:r>
        <w:rPr>
          <w:rFonts w:ascii="Arial" w:eastAsia="Calibri" w:hAnsi="Arial" w:cs="Arial"/>
          <w:color w:val="000000" w:themeColor="text1"/>
          <w:sz w:val="22"/>
          <w:lang w:val="es-ES_tradnl"/>
        </w:rPr>
        <w:t xml:space="preserve"> es, según el artículo 1, «</w:t>
      </w:r>
      <w:r w:rsidRPr="00DF08B0">
        <w:rPr>
          <w:rFonts w:ascii="Arial" w:eastAsia="Calibri" w:hAnsi="Arial" w:cs="Arial"/>
          <w:color w:val="000000" w:themeColor="text1"/>
          <w:sz w:val="22"/>
          <w:lang w:val="es-ES_tradnl"/>
        </w:rPr>
        <w:t>establecer un marc</w:t>
      </w:r>
      <w:r>
        <w:rPr>
          <w:rFonts w:ascii="Arial" w:eastAsia="Calibri" w:hAnsi="Arial" w:cs="Arial"/>
          <w:color w:val="000000" w:themeColor="text1"/>
          <w:sz w:val="22"/>
          <w:lang w:val="es-ES_tradnl"/>
        </w:rPr>
        <w:t xml:space="preserve">o </w:t>
      </w:r>
      <w:r w:rsidRPr="00DF08B0">
        <w:rPr>
          <w:rFonts w:ascii="Arial" w:eastAsia="Calibri" w:hAnsi="Arial" w:cs="Arial"/>
          <w:color w:val="000000" w:themeColor="text1"/>
          <w:sz w:val="22"/>
          <w:lang w:val="es-ES_tradnl"/>
        </w:rPr>
        <w:t>regulatorio que propicie el emprendimiento y el crecimiento, consolidación y</w:t>
      </w:r>
      <w:r>
        <w:rPr>
          <w:rFonts w:ascii="Arial" w:eastAsia="Calibri" w:hAnsi="Arial" w:cs="Arial"/>
          <w:color w:val="000000" w:themeColor="text1"/>
          <w:sz w:val="22"/>
          <w:lang w:val="es-ES_tradnl"/>
        </w:rPr>
        <w:t xml:space="preserve"> </w:t>
      </w:r>
      <w:r w:rsidRPr="00DF08B0">
        <w:rPr>
          <w:rFonts w:ascii="Arial" w:eastAsia="Calibri" w:hAnsi="Arial" w:cs="Arial"/>
          <w:color w:val="000000" w:themeColor="text1"/>
          <w:sz w:val="22"/>
          <w:lang w:val="es-ES_tradnl"/>
        </w:rPr>
        <w:t>sostenibilidad de las empresas, con el</w:t>
      </w:r>
      <w:r>
        <w:rPr>
          <w:rFonts w:ascii="Arial" w:eastAsia="Calibri" w:hAnsi="Arial" w:cs="Arial"/>
          <w:color w:val="000000" w:themeColor="text1"/>
          <w:sz w:val="22"/>
          <w:lang w:val="es-ES_tradnl"/>
        </w:rPr>
        <w:t xml:space="preserve"> </w:t>
      </w:r>
      <w:r w:rsidRPr="00DF08B0">
        <w:rPr>
          <w:rFonts w:ascii="Arial" w:eastAsia="Calibri" w:hAnsi="Arial" w:cs="Arial"/>
          <w:color w:val="000000" w:themeColor="text1"/>
          <w:sz w:val="22"/>
          <w:lang w:val="es-ES_tradnl"/>
        </w:rPr>
        <w:t>fin de aumentar el bienestar social y generar</w:t>
      </w:r>
      <w:r>
        <w:rPr>
          <w:rFonts w:ascii="Arial" w:eastAsia="Calibri" w:hAnsi="Arial" w:cs="Arial"/>
          <w:color w:val="000000" w:themeColor="text1"/>
          <w:sz w:val="22"/>
          <w:lang w:val="es-ES_tradnl"/>
        </w:rPr>
        <w:t xml:space="preserve"> </w:t>
      </w:r>
      <w:r w:rsidRPr="00DF08B0">
        <w:rPr>
          <w:rFonts w:ascii="Arial" w:eastAsia="Calibri" w:hAnsi="Arial" w:cs="Arial"/>
          <w:color w:val="000000" w:themeColor="text1"/>
          <w:sz w:val="22"/>
          <w:lang w:val="es-ES_tradnl"/>
        </w:rPr>
        <w:t>equidad</w:t>
      </w:r>
      <w:r>
        <w:rPr>
          <w:rFonts w:ascii="Arial" w:eastAsia="Calibri" w:hAnsi="Arial" w:cs="Arial"/>
          <w:color w:val="000000" w:themeColor="text1"/>
          <w:sz w:val="22"/>
          <w:lang w:val="es-ES_tradnl"/>
        </w:rPr>
        <w:t xml:space="preserve">». Por lo tanto, esta Agencia considera que la interpretación que más se aviene con este objetivo es comprender el concepto de participación, en el artículo 35, numeral 2, de la Ley 2069 de 2020 como la participación directa </w:t>
      </w:r>
      <w:r>
        <w:rPr>
          <w:rFonts w:ascii="Arial" w:hAnsi="Arial" w:cs="Arial"/>
          <w:color w:val="000000" w:themeColor="text1"/>
          <w:sz w:val="22"/>
          <w:szCs w:val="22"/>
          <w:lang w:val="es-ES_tradnl"/>
        </w:rPr>
        <w:t>en</w:t>
      </w:r>
      <w:r w:rsidRPr="005419DA">
        <w:rPr>
          <w:rFonts w:ascii="Arial" w:hAnsi="Arial" w:cs="Arial"/>
          <w:color w:val="000000" w:themeColor="text1"/>
          <w:sz w:val="22"/>
          <w:szCs w:val="22"/>
          <w:lang w:val="es-ES_tradnl"/>
        </w:rPr>
        <w:t xml:space="preserve"> las utilidades de la sociedad, </w:t>
      </w:r>
      <w:r>
        <w:rPr>
          <w:rFonts w:ascii="Arial" w:hAnsi="Arial" w:cs="Arial"/>
          <w:color w:val="000000" w:themeColor="text1"/>
          <w:sz w:val="22"/>
          <w:szCs w:val="22"/>
          <w:lang w:val="es-ES_tradnl"/>
        </w:rPr>
        <w:t>según la proporción accionaria</w:t>
      </w:r>
      <w:r w:rsidRPr="005419DA">
        <w:rPr>
          <w:rFonts w:ascii="Arial" w:hAnsi="Arial" w:cs="Arial"/>
          <w:color w:val="000000" w:themeColor="text1"/>
          <w:sz w:val="22"/>
          <w:szCs w:val="22"/>
          <w:lang w:val="es-ES_tradnl"/>
        </w:rPr>
        <w:t xml:space="preserve"> –en las sociedades por acciones– o de acuerdo a la industria o trabajo personal del socio –como sucede usualmente en las sociedades de personas–</w:t>
      </w:r>
      <w:r>
        <w:rPr>
          <w:rFonts w:ascii="Arial" w:hAnsi="Arial" w:cs="Arial"/>
          <w:color w:val="000000" w:themeColor="text1"/>
          <w:sz w:val="22"/>
          <w:szCs w:val="22"/>
          <w:lang w:val="es-ES_tradnl"/>
        </w:rPr>
        <w:t>.</w:t>
      </w:r>
      <w:r w:rsidR="00431D91" w:rsidRPr="00127EBF">
        <w:rPr>
          <w:rFonts w:ascii="Arial" w:eastAsia="Calibri" w:hAnsi="Arial" w:cs="Arial"/>
          <w:color w:val="000000" w:themeColor="text1"/>
          <w:sz w:val="22"/>
          <w:lang w:val="es-ES_tradnl"/>
        </w:rPr>
        <w:t xml:space="preserve"> </w:t>
      </w:r>
      <w:r w:rsidR="00007D87" w:rsidRPr="00127EBF">
        <w:rPr>
          <w:rFonts w:ascii="Arial" w:eastAsia="Calibri" w:hAnsi="Arial" w:cs="Arial"/>
          <w:color w:val="000000" w:themeColor="text1"/>
          <w:sz w:val="22"/>
          <w:lang w:val="es-ES_tradnl"/>
        </w:rPr>
        <w:t xml:space="preserve"> </w:t>
      </w:r>
      <w:r w:rsidR="00BF5660" w:rsidRPr="00127EBF">
        <w:rPr>
          <w:rFonts w:ascii="Arial" w:eastAsia="Calibri" w:hAnsi="Arial" w:cs="Arial"/>
          <w:color w:val="000000" w:themeColor="text1"/>
          <w:sz w:val="22"/>
          <w:lang w:val="es-ES_tradnl"/>
        </w:rPr>
        <w:t xml:space="preserve"> </w:t>
      </w:r>
      <w:r w:rsidR="00DE4B3F" w:rsidRPr="00127EBF">
        <w:rPr>
          <w:rFonts w:ascii="Arial" w:eastAsia="Calibri" w:hAnsi="Arial" w:cs="Arial"/>
          <w:color w:val="000000" w:themeColor="text1"/>
          <w:sz w:val="22"/>
          <w:lang w:val="es-ES_tradnl"/>
        </w:rPr>
        <w:t xml:space="preserve"> </w:t>
      </w:r>
    </w:p>
    <w:p w14:paraId="4656714E" w14:textId="77777777" w:rsidR="00D23EA4" w:rsidRDefault="00D23EA4" w:rsidP="00DF76A2">
      <w:pPr>
        <w:spacing w:line="276" w:lineRule="auto"/>
        <w:jc w:val="both"/>
        <w:rPr>
          <w:rFonts w:ascii="Arial" w:hAnsi="Arial" w:cs="Arial"/>
          <w:color w:val="000000" w:themeColor="text1"/>
          <w:sz w:val="22"/>
          <w:lang w:val="es-ES_tradnl"/>
        </w:rPr>
      </w:pPr>
    </w:p>
    <w:p w14:paraId="7B2C921D" w14:textId="2DC053AA" w:rsidR="00DD5B04" w:rsidRPr="00127EBF" w:rsidRDefault="00DD5B04" w:rsidP="00DF76A2">
      <w:pPr>
        <w:spacing w:line="276" w:lineRule="auto"/>
        <w:jc w:val="both"/>
        <w:rPr>
          <w:rFonts w:ascii="Arial" w:hAnsi="Arial" w:cs="Arial"/>
          <w:color w:val="000000" w:themeColor="text1"/>
          <w:sz w:val="22"/>
          <w:lang w:val="es-ES_tradnl"/>
        </w:rPr>
      </w:pPr>
      <w:r w:rsidRPr="00127EB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127EB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127EB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127EBF">
        <w:rPr>
          <w:rFonts w:ascii="Arial" w:hAnsi="Arial" w:cs="Arial"/>
          <w:color w:val="000000" w:themeColor="text1"/>
          <w:sz w:val="22"/>
          <w:szCs w:val="22"/>
          <w:lang w:val="es-ES_tradnl"/>
        </w:rPr>
        <w:t>Atentamente,</w:t>
      </w:r>
    </w:p>
    <w:p w14:paraId="692FC307" w14:textId="210AA6B5" w:rsidR="00921304" w:rsidRPr="00127EBF"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EB0E24D" w:rsidR="00921304" w:rsidRPr="00127EBF" w:rsidRDefault="002A7C7D"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lastRenderedPageBreak/>
        <w:drawing>
          <wp:inline distT="0" distB="0" distL="0" distR="0" wp14:anchorId="12E6A022" wp14:editId="3499EB14">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127EBF" w:rsidRDefault="00425C43" w:rsidP="00B37657">
      <w:pPr>
        <w:jc w:val="center"/>
        <w:rPr>
          <w:rFonts w:ascii="Arial" w:hAnsi="Arial" w:cs="Arial"/>
          <w:color w:val="000000" w:themeColor="text1"/>
          <w:sz w:val="18"/>
          <w:szCs w:val="20"/>
          <w:lang w:val="es-ES_tradnl" w:eastAsia="es-CO"/>
        </w:rPr>
      </w:pPr>
    </w:p>
    <w:p w14:paraId="49730030" w14:textId="217D35F3" w:rsidR="00DD5B04" w:rsidRPr="00127EBF"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127EBF" w14:paraId="0C7DC5F7" w14:textId="77777777" w:rsidTr="008F4163">
        <w:trPr>
          <w:trHeight w:val="315"/>
        </w:trPr>
        <w:tc>
          <w:tcPr>
            <w:tcW w:w="812" w:type="dxa"/>
            <w:vAlign w:val="center"/>
            <w:hideMark/>
          </w:tcPr>
          <w:p w14:paraId="5BDB1AC9" w14:textId="77777777"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Cristian Andrés Díaz Díez</w:t>
            </w:r>
          </w:p>
          <w:p w14:paraId="240C71FD" w14:textId="31312C95"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Contratista</w:t>
            </w:r>
            <w:r w:rsidR="00FF0050" w:rsidRPr="00127EBF">
              <w:rPr>
                <w:rFonts w:ascii="Arial" w:hAnsi="Arial" w:cs="Arial"/>
                <w:color w:val="000000" w:themeColor="text1"/>
                <w:sz w:val="16"/>
                <w:szCs w:val="16"/>
                <w:lang w:val="es-ES_tradnl" w:eastAsia="es-ES"/>
              </w:rPr>
              <w:t xml:space="preserve"> de la </w:t>
            </w:r>
            <w:r w:rsidRPr="00127EBF">
              <w:rPr>
                <w:rFonts w:ascii="Arial" w:hAnsi="Arial" w:cs="Arial"/>
                <w:color w:val="000000" w:themeColor="text1"/>
                <w:sz w:val="16"/>
                <w:szCs w:val="16"/>
                <w:lang w:val="es-ES_tradnl" w:eastAsia="es-ES"/>
              </w:rPr>
              <w:t>Subdirección de Gestión Contractual</w:t>
            </w:r>
          </w:p>
        </w:tc>
      </w:tr>
      <w:tr w:rsidR="00DD5B04" w:rsidRPr="00127EBF" w14:paraId="2F8FD650" w14:textId="77777777" w:rsidTr="008F4163">
        <w:trPr>
          <w:trHeight w:val="330"/>
        </w:trPr>
        <w:tc>
          <w:tcPr>
            <w:tcW w:w="812" w:type="dxa"/>
            <w:vAlign w:val="center"/>
            <w:hideMark/>
          </w:tcPr>
          <w:p w14:paraId="50203A0B" w14:textId="77777777"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AC1569" w14:textId="77777777" w:rsidR="00804C65" w:rsidRPr="00804C65" w:rsidRDefault="00804C65" w:rsidP="00804C65">
            <w:pPr>
              <w:jc w:val="both"/>
              <w:rPr>
                <w:rFonts w:ascii="Arial" w:hAnsi="Arial" w:cs="Arial"/>
                <w:color w:val="000000" w:themeColor="text1"/>
                <w:sz w:val="16"/>
                <w:szCs w:val="16"/>
                <w:lang w:val="es-ES_tradnl" w:eastAsia="es-ES"/>
              </w:rPr>
            </w:pPr>
            <w:r w:rsidRPr="00804C65">
              <w:rPr>
                <w:rFonts w:ascii="Arial" w:hAnsi="Arial" w:cs="Arial"/>
                <w:color w:val="000000" w:themeColor="text1"/>
                <w:sz w:val="16"/>
                <w:szCs w:val="16"/>
                <w:lang w:val="es-ES_tradnl" w:eastAsia="es-ES"/>
              </w:rPr>
              <w:t>Juan David Montoya Penagos</w:t>
            </w:r>
          </w:p>
          <w:p w14:paraId="130B3228" w14:textId="57BE0621" w:rsidR="00DD5B04" w:rsidRPr="00127EBF" w:rsidRDefault="00804C65" w:rsidP="00804C65">
            <w:pPr>
              <w:jc w:val="both"/>
              <w:rPr>
                <w:rFonts w:ascii="Arial" w:hAnsi="Arial" w:cs="Arial"/>
                <w:color w:val="000000" w:themeColor="text1"/>
                <w:sz w:val="16"/>
                <w:szCs w:val="16"/>
                <w:lang w:val="es-ES_tradnl" w:eastAsia="es-ES"/>
              </w:rPr>
            </w:pPr>
            <w:r w:rsidRPr="00804C65">
              <w:rPr>
                <w:rFonts w:ascii="Arial" w:hAnsi="Arial" w:cs="Arial"/>
                <w:color w:val="000000" w:themeColor="text1"/>
                <w:sz w:val="16"/>
                <w:szCs w:val="16"/>
                <w:lang w:val="es-ES_tradnl" w:eastAsia="es-ES"/>
              </w:rPr>
              <w:t>Gestor T1-15 de la Subdirección de Gestión Contractual</w:t>
            </w:r>
          </w:p>
        </w:tc>
      </w:tr>
      <w:tr w:rsidR="00DD5B04" w:rsidRPr="00127EBF" w14:paraId="0FCBCA4A" w14:textId="77777777" w:rsidTr="008F4163">
        <w:trPr>
          <w:trHeight w:val="300"/>
        </w:trPr>
        <w:tc>
          <w:tcPr>
            <w:tcW w:w="812" w:type="dxa"/>
            <w:vAlign w:val="center"/>
            <w:hideMark/>
          </w:tcPr>
          <w:p w14:paraId="3C1D943A" w14:textId="77777777"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127EBF" w:rsidRDefault="00C05A61"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 xml:space="preserve">Jorge </w:t>
            </w:r>
            <w:r w:rsidR="00647A36" w:rsidRPr="00127EBF">
              <w:rPr>
                <w:rFonts w:ascii="Arial" w:hAnsi="Arial" w:cs="Arial"/>
                <w:color w:val="000000" w:themeColor="text1"/>
                <w:sz w:val="16"/>
                <w:szCs w:val="16"/>
                <w:lang w:val="es-ES_tradnl" w:eastAsia="es-ES"/>
              </w:rPr>
              <w:t xml:space="preserve">Augusto </w:t>
            </w:r>
            <w:r w:rsidRPr="00127EBF">
              <w:rPr>
                <w:rFonts w:ascii="Arial" w:hAnsi="Arial" w:cs="Arial"/>
                <w:color w:val="000000" w:themeColor="text1"/>
                <w:sz w:val="16"/>
                <w:szCs w:val="16"/>
                <w:lang w:val="es-ES_tradnl" w:eastAsia="es-ES"/>
              </w:rPr>
              <w:t>Tirado Navarro</w:t>
            </w:r>
          </w:p>
          <w:p w14:paraId="1ADC483B" w14:textId="2E3B66D0" w:rsidR="00DD5B04" w:rsidRPr="00127EBF" w:rsidRDefault="00DD5B04" w:rsidP="00DF76A2">
            <w:pPr>
              <w:jc w:val="both"/>
              <w:rPr>
                <w:rFonts w:ascii="Arial" w:hAnsi="Arial" w:cs="Arial"/>
                <w:color w:val="000000" w:themeColor="text1"/>
                <w:sz w:val="16"/>
                <w:szCs w:val="16"/>
                <w:lang w:val="es-ES_tradnl" w:eastAsia="es-ES"/>
              </w:rPr>
            </w:pPr>
            <w:r w:rsidRPr="00127EBF">
              <w:rPr>
                <w:rFonts w:ascii="Arial" w:hAnsi="Arial" w:cs="Arial"/>
                <w:color w:val="000000" w:themeColor="text1"/>
                <w:sz w:val="16"/>
                <w:szCs w:val="16"/>
                <w:lang w:val="es-ES_tradnl" w:eastAsia="es-ES"/>
              </w:rPr>
              <w:t>Subdirector de Gestión Contractual</w:t>
            </w:r>
            <w:r w:rsidR="008201DE" w:rsidRPr="00127EBF">
              <w:rPr>
                <w:rFonts w:ascii="Arial" w:hAnsi="Arial" w:cs="Arial"/>
                <w:color w:val="000000" w:themeColor="text1"/>
                <w:sz w:val="16"/>
                <w:szCs w:val="16"/>
                <w:lang w:val="es-ES_tradnl" w:eastAsia="es-ES"/>
              </w:rPr>
              <w:t xml:space="preserve"> ANCP – CCE</w:t>
            </w:r>
          </w:p>
        </w:tc>
      </w:tr>
    </w:tbl>
    <w:p w14:paraId="35B56F46" w14:textId="77777777" w:rsidR="00746E08" w:rsidRPr="00127EBF" w:rsidRDefault="00746E08" w:rsidP="00215B8E">
      <w:pPr>
        <w:jc w:val="both"/>
        <w:rPr>
          <w:rFonts w:ascii="Arial" w:hAnsi="Arial" w:cs="Arial"/>
          <w:lang w:val="es-ES_tradnl"/>
        </w:rPr>
      </w:pPr>
    </w:p>
    <w:sectPr w:rsidR="00746E08" w:rsidRPr="00127EB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1EF00" w14:textId="77777777" w:rsidR="00CB3D2C" w:rsidRDefault="00CB3D2C">
      <w:r>
        <w:separator/>
      </w:r>
    </w:p>
  </w:endnote>
  <w:endnote w:type="continuationSeparator" w:id="0">
    <w:p w14:paraId="4B6A2FFB" w14:textId="77777777" w:rsidR="00CB3D2C" w:rsidRDefault="00CB3D2C">
      <w:r>
        <w:continuationSeparator/>
      </w:r>
    </w:p>
  </w:endnote>
  <w:endnote w:type="continuationNotice" w:id="1">
    <w:p w14:paraId="25360454" w14:textId="77777777" w:rsidR="00CB3D2C" w:rsidRDefault="00CB3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23D32" w14:textId="77777777" w:rsidR="00CB3D2C" w:rsidRDefault="00CB3D2C">
      <w:r>
        <w:separator/>
      </w:r>
    </w:p>
  </w:footnote>
  <w:footnote w:type="continuationSeparator" w:id="0">
    <w:p w14:paraId="36790BDF" w14:textId="77777777" w:rsidR="00CB3D2C" w:rsidRDefault="00CB3D2C">
      <w:r>
        <w:continuationSeparator/>
      </w:r>
    </w:p>
  </w:footnote>
  <w:footnote w:type="continuationNotice" w:id="1">
    <w:p w14:paraId="2D967264" w14:textId="77777777" w:rsidR="00CB3D2C" w:rsidRDefault="00CB3D2C"/>
  </w:footnote>
  <w:footnote w:id="2">
    <w:p w14:paraId="3FB0E2AD" w14:textId="77777777" w:rsidR="00377A98" w:rsidRDefault="00377A98" w:rsidP="00377A98">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Procuraduría Delegada para Asuntos Disciplinarios. Radicado PAD C-114-2014</w:t>
      </w:r>
      <w:r>
        <w:rPr>
          <w:rFonts w:ascii="Arial" w:hAnsi="Arial" w:cs="Arial"/>
          <w:sz w:val="19"/>
          <w:szCs w:val="19"/>
        </w:rPr>
        <w:t>.</w:t>
      </w:r>
    </w:p>
    <w:p w14:paraId="7FF4EBC6" w14:textId="77777777" w:rsidR="00377A98" w:rsidRPr="003A4125" w:rsidRDefault="00377A98" w:rsidP="00377A98">
      <w:pPr>
        <w:pStyle w:val="Textonotapie"/>
        <w:ind w:firstLine="709"/>
        <w:jc w:val="both"/>
        <w:rPr>
          <w:rFonts w:ascii="Arial" w:hAnsi="Arial" w:cs="Arial"/>
          <w:sz w:val="19"/>
          <w:szCs w:val="19"/>
        </w:rPr>
      </w:pPr>
    </w:p>
  </w:footnote>
  <w:footnote w:id="3">
    <w:p w14:paraId="7205FE77" w14:textId="1312301A" w:rsidR="00377A98" w:rsidRDefault="00377A98" w:rsidP="00377A98">
      <w:pPr>
        <w:pStyle w:val="Textonotapie"/>
        <w:ind w:firstLine="708"/>
        <w:rPr>
          <w:rFonts w:ascii="Arial" w:hAnsi="Arial" w:cs="Arial"/>
          <w:sz w:val="19"/>
          <w:szCs w:val="19"/>
        </w:rPr>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Pr>
          <w:rFonts w:ascii="Arial" w:hAnsi="Arial" w:cs="Arial"/>
          <w:sz w:val="19"/>
          <w:szCs w:val="19"/>
        </w:rPr>
        <w:t>.</w:t>
      </w:r>
    </w:p>
    <w:p w14:paraId="3BCC0C38" w14:textId="77777777" w:rsidR="00BD3FFE" w:rsidRDefault="00BD3FFE" w:rsidP="00377A98">
      <w:pPr>
        <w:pStyle w:val="Textonotapie"/>
        <w:ind w:firstLine="708"/>
      </w:pPr>
    </w:p>
  </w:footnote>
  <w:footnote w:id="4">
    <w:p w14:paraId="6B001F07" w14:textId="77777777" w:rsidR="00377A98" w:rsidRPr="008815AB" w:rsidRDefault="00377A98" w:rsidP="00377A98">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ARBOLEDA PERDONO, Enrique José. Comentarios al Nuevo Código de Procedimiento Administrativo y de lo Contencioso Administrativo (2ª ed.). Editorial Legis. Bogotá. 2012. p.59.</w:t>
      </w:r>
    </w:p>
  </w:footnote>
  <w:footnote w:id="5">
    <w:p w14:paraId="7EB33CDC" w14:textId="77777777" w:rsidR="00377A98" w:rsidRPr="008815AB" w:rsidRDefault="00377A98" w:rsidP="00377A98">
      <w:pPr>
        <w:pStyle w:val="Textonotapie"/>
        <w:ind w:firstLine="709"/>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w:t>
      </w:r>
      <w:r w:rsidRPr="008815AB">
        <w:rPr>
          <w:rFonts w:ascii="Arial" w:hAnsi="Arial" w:cs="Arial"/>
          <w:sz w:val="19"/>
          <w:szCs w:val="19"/>
        </w:rPr>
        <w:t xml:space="preserve">hipervínculo: </w:t>
      </w:r>
      <w:r w:rsidR="00F846CE">
        <w:fldChar w:fldCharType="begin"/>
      </w:r>
      <w:r w:rsidR="00F846CE">
        <w:instrText xml:space="preserve"> HYPERLINK "about:blank" </w:instrText>
      </w:r>
      <w:r w:rsidR="00F846CE">
        <w:fldChar w:fldCharType="separate"/>
      </w:r>
      <w:r w:rsidRPr="008815AB">
        <w:rPr>
          <w:rStyle w:val="Hipervnculo"/>
          <w:rFonts w:ascii="Arial" w:hAnsi="Arial" w:cs="Arial"/>
          <w:color w:val="auto"/>
          <w:sz w:val="19"/>
          <w:szCs w:val="19"/>
        </w:rPr>
        <w:t>https://issuu.com/estudiolegalhernandez/docs/ahb._funci__n_consultiva_y_consejo_</w:t>
      </w:r>
      <w:r w:rsidR="00F846CE">
        <w:rPr>
          <w:rStyle w:val="Hipervnculo"/>
          <w:rFonts w:ascii="Arial" w:hAnsi="Arial" w:cs="Arial"/>
          <w:color w:val="auto"/>
          <w:sz w:val="19"/>
          <w:szCs w:val="19"/>
        </w:rPr>
        <w:fldChar w:fldCharType="end"/>
      </w:r>
      <w:r w:rsidRPr="008815AB">
        <w:rPr>
          <w:rFonts w:ascii="Arial" w:hAnsi="Arial" w:cs="Arial"/>
          <w:sz w:val="19"/>
          <w:szCs w:val="19"/>
        </w:rPr>
        <w:t>.</w:t>
      </w:r>
    </w:p>
    <w:p w14:paraId="3D32C4B9" w14:textId="77777777" w:rsidR="00377A98" w:rsidRPr="008815AB" w:rsidRDefault="00377A98" w:rsidP="00377A98">
      <w:pPr>
        <w:pStyle w:val="Textonotapie"/>
        <w:ind w:firstLine="709"/>
        <w:jc w:val="both"/>
        <w:rPr>
          <w:rFonts w:ascii="Arial" w:hAnsi="Arial" w:cs="Arial"/>
          <w:sz w:val="19"/>
          <w:szCs w:val="19"/>
        </w:rPr>
      </w:pPr>
    </w:p>
  </w:footnote>
  <w:footnote w:id="6">
    <w:p w14:paraId="5FB1D056" w14:textId="77777777" w:rsidR="00377A98" w:rsidRPr="008815AB" w:rsidRDefault="00377A98" w:rsidP="00377A98">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w:t>
      </w:r>
      <w:r w:rsidRPr="008815AB">
        <w:rPr>
          <w:rFonts w:ascii="Arial" w:hAnsi="Arial" w:cs="Arial"/>
          <w:sz w:val="19"/>
          <w:szCs w:val="19"/>
        </w:rPr>
        <w:t>Consejo de Estado. Sala de Consulta y Servicio Civil. Concepto del 5 de octubre de 2009. Expediente 11001-03-06-000-2009-00049-00(1966). C.P. William Zambrano Cetina.</w:t>
      </w:r>
    </w:p>
  </w:footnote>
  <w:footnote w:id="7">
    <w:p w14:paraId="6CB661EA" w14:textId="77777777" w:rsidR="008C1918" w:rsidRPr="00EA10E4" w:rsidRDefault="008C1918" w:rsidP="008C1918">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2BD73BDB" w14:textId="77777777" w:rsidR="008C1918" w:rsidRPr="00EA10E4" w:rsidRDefault="008C1918" w:rsidP="008C1918">
      <w:pPr>
        <w:pStyle w:val="Textonotapie"/>
        <w:ind w:firstLine="709"/>
        <w:jc w:val="both"/>
        <w:rPr>
          <w:rFonts w:ascii="Arial" w:hAnsi="Arial" w:cs="Arial"/>
          <w:sz w:val="19"/>
          <w:szCs w:val="19"/>
          <w:lang w:val="es-ES"/>
        </w:rPr>
      </w:pPr>
    </w:p>
  </w:footnote>
  <w:footnote w:id="8">
    <w:p w14:paraId="2906F437" w14:textId="77777777" w:rsidR="005244FC" w:rsidRPr="008640C4" w:rsidRDefault="005244FC" w:rsidP="005244FC">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0AD3B7A1" w14:textId="77777777" w:rsidR="005244FC" w:rsidRPr="008640C4" w:rsidRDefault="005244FC" w:rsidP="005244FC">
      <w:pPr>
        <w:pStyle w:val="Textonotapie"/>
        <w:ind w:firstLine="709"/>
        <w:jc w:val="both"/>
        <w:rPr>
          <w:rFonts w:ascii="Arial" w:hAnsi="Arial" w:cs="Arial"/>
          <w:sz w:val="19"/>
          <w:szCs w:val="19"/>
          <w:lang w:val="es-ES"/>
        </w:rPr>
      </w:pPr>
    </w:p>
  </w:footnote>
  <w:footnote w:id="9">
    <w:p w14:paraId="77384033" w14:textId="77777777" w:rsidR="005244FC" w:rsidRPr="008640C4" w:rsidRDefault="005244FC" w:rsidP="005244FC">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403E4E1" w14:textId="77777777" w:rsidR="005244FC" w:rsidRPr="008640C4" w:rsidRDefault="005244FC" w:rsidP="005244FC">
      <w:pPr>
        <w:pStyle w:val="Textonotapie"/>
        <w:ind w:firstLine="709"/>
        <w:jc w:val="both"/>
        <w:rPr>
          <w:rFonts w:ascii="Arial" w:hAnsi="Arial" w:cs="Arial"/>
          <w:sz w:val="19"/>
          <w:szCs w:val="19"/>
          <w:lang w:val="es-CO"/>
        </w:rPr>
      </w:pPr>
    </w:p>
  </w:footnote>
  <w:footnote w:id="10">
    <w:p w14:paraId="4077756D"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41E0AFD6" w14:textId="77777777" w:rsidR="00EA0455" w:rsidRPr="008640C4" w:rsidRDefault="00EA0455" w:rsidP="00EA0455">
      <w:pPr>
        <w:pStyle w:val="Textonotapie"/>
        <w:ind w:firstLine="709"/>
        <w:jc w:val="both"/>
        <w:rPr>
          <w:rFonts w:ascii="Arial" w:hAnsi="Arial" w:cs="Arial"/>
          <w:sz w:val="19"/>
          <w:szCs w:val="19"/>
          <w:lang w:val="es-ES"/>
        </w:rPr>
      </w:pPr>
    </w:p>
  </w:footnote>
  <w:footnote w:id="11">
    <w:p w14:paraId="63C68B64"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52DE75AF" w14:textId="77777777" w:rsidR="00EA0455" w:rsidRPr="008640C4" w:rsidRDefault="00EA0455" w:rsidP="00EA0455">
      <w:pPr>
        <w:pStyle w:val="Textonotapie"/>
        <w:ind w:firstLine="709"/>
        <w:jc w:val="both"/>
        <w:rPr>
          <w:rFonts w:ascii="Arial" w:hAnsi="Arial" w:cs="Arial"/>
          <w:sz w:val="19"/>
          <w:szCs w:val="19"/>
          <w:lang w:val="es-ES"/>
        </w:rPr>
      </w:pPr>
    </w:p>
  </w:footnote>
  <w:footnote w:id="12">
    <w:p w14:paraId="3B55AC2B"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0BAAF2F" w14:textId="77777777" w:rsidR="00EA0455" w:rsidRPr="008640C4" w:rsidRDefault="00EA0455" w:rsidP="00EA0455">
      <w:pPr>
        <w:pStyle w:val="Textonotapie"/>
        <w:ind w:firstLine="709"/>
        <w:jc w:val="both"/>
        <w:rPr>
          <w:rFonts w:ascii="Arial" w:hAnsi="Arial" w:cs="Arial"/>
          <w:sz w:val="19"/>
          <w:szCs w:val="19"/>
          <w:lang w:val="es-ES"/>
        </w:rPr>
      </w:pPr>
    </w:p>
  </w:footnote>
  <w:footnote w:id="13">
    <w:p w14:paraId="74DF7570"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BA941F3" w14:textId="77777777" w:rsidR="00EA0455" w:rsidRPr="008640C4" w:rsidRDefault="00EA0455" w:rsidP="00EA0455">
      <w:pPr>
        <w:pStyle w:val="Textonotapie"/>
        <w:ind w:firstLine="709"/>
        <w:jc w:val="both"/>
        <w:rPr>
          <w:rFonts w:ascii="Arial" w:hAnsi="Arial" w:cs="Arial"/>
          <w:sz w:val="19"/>
          <w:szCs w:val="19"/>
          <w:lang w:val="es-ES"/>
        </w:rPr>
      </w:pPr>
    </w:p>
  </w:footnote>
  <w:footnote w:id="14">
    <w:p w14:paraId="6753CF48"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1543EC5A" w14:textId="77777777" w:rsidR="00EA0455" w:rsidRPr="008640C4" w:rsidRDefault="00EA0455" w:rsidP="00EA0455">
      <w:pPr>
        <w:pStyle w:val="Textonotapie"/>
        <w:ind w:firstLine="709"/>
        <w:jc w:val="both"/>
        <w:rPr>
          <w:rFonts w:ascii="Arial" w:hAnsi="Arial" w:cs="Arial"/>
          <w:sz w:val="19"/>
          <w:szCs w:val="19"/>
          <w:lang w:val="es-ES"/>
        </w:rPr>
      </w:pPr>
    </w:p>
  </w:footnote>
  <w:footnote w:id="15">
    <w:p w14:paraId="38AA2863" w14:textId="77777777" w:rsidR="00516FD0" w:rsidRPr="00EA10E4" w:rsidRDefault="00516FD0" w:rsidP="00516FD0">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 xml:space="preserve">Sentencia T-003 de 2018. Magistrada Ponente: Cristina Pardo </w:t>
      </w:r>
      <w:proofErr w:type="spellStart"/>
      <w:r w:rsidRPr="00EA10E4">
        <w:rPr>
          <w:rFonts w:ascii="Arial" w:hAnsi="Arial" w:cs="Arial"/>
          <w:sz w:val="19"/>
          <w:szCs w:val="19"/>
          <w:lang w:val="es-ES"/>
        </w:rPr>
        <w:t>Schlesinger</w:t>
      </w:r>
      <w:proofErr w:type="spellEnd"/>
      <w:r w:rsidRPr="00EA10E4">
        <w:rPr>
          <w:rFonts w:ascii="Arial" w:hAnsi="Arial" w:cs="Arial"/>
          <w:sz w:val="19"/>
          <w:szCs w:val="19"/>
          <w:lang w:val="es-ES"/>
        </w:rPr>
        <w:t>.</w:t>
      </w:r>
    </w:p>
    <w:p w14:paraId="72DC1D20" w14:textId="77777777" w:rsidR="00516FD0" w:rsidRPr="00EA10E4" w:rsidRDefault="00516FD0" w:rsidP="00516FD0">
      <w:pPr>
        <w:pStyle w:val="Textonotapie"/>
        <w:ind w:firstLine="709"/>
        <w:jc w:val="both"/>
        <w:rPr>
          <w:rFonts w:ascii="Arial" w:hAnsi="Arial" w:cs="Arial"/>
          <w:sz w:val="19"/>
          <w:szCs w:val="19"/>
          <w:lang w:val="es-CO"/>
        </w:rPr>
      </w:pPr>
    </w:p>
  </w:footnote>
  <w:footnote w:id="16">
    <w:p w14:paraId="0156598D" w14:textId="77777777" w:rsidR="00516FD0" w:rsidRPr="00EA10E4" w:rsidRDefault="00516FD0" w:rsidP="00516FD0">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Sentencia T-967 de 2014. Magistrada Ponente: Gloria Stella Ortiz Delgado.</w:t>
      </w:r>
    </w:p>
    <w:p w14:paraId="68B632B0" w14:textId="77777777" w:rsidR="00516FD0" w:rsidRPr="00EA10E4" w:rsidRDefault="00516FD0" w:rsidP="00516FD0">
      <w:pPr>
        <w:pStyle w:val="Textonotapie"/>
        <w:ind w:firstLine="709"/>
        <w:jc w:val="both"/>
        <w:rPr>
          <w:rFonts w:ascii="Arial" w:hAnsi="Arial" w:cs="Arial"/>
          <w:sz w:val="19"/>
          <w:szCs w:val="19"/>
          <w:lang w:val="es-CO"/>
        </w:rPr>
      </w:pPr>
    </w:p>
  </w:footnote>
  <w:footnote w:id="17">
    <w:p w14:paraId="30C37A2F" w14:textId="77777777" w:rsidR="00516FD0" w:rsidRPr="00EA10E4" w:rsidRDefault="00516FD0" w:rsidP="00516FD0">
      <w:pPr>
        <w:pStyle w:val="Textonotapie"/>
        <w:ind w:firstLine="709"/>
        <w:jc w:val="both"/>
        <w:rPr>
          <w:rFonts w:ascii="Arial" w:hAnsi="Arial" w:cs="Arial"/>
          <w:sz w:val="19"/>
          <w:szCs w:val="19"/>
          <w:lang w:val="es-CO"/>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8">
    <w:p w14:paraId="56331FC2" w14:textId="77777777" w:rsidR="00516FD0" w:rsidRPr="00EA10E4" w:rsidRDefault="00516FD0" w:rsidP="00516FD0">
      <w:pPr>
        <w:pStyle w:val="Textonotapie"/>
        <w:ind w:firstLine="709"/>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Diccionario de la Lengua Española. En: https://dle.rae.es/participar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D87"/>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4A9E"/>
    <w:rsid w:val="000255FA"/>
    <w:rsid w:val="00025D0A"/>
    <w:rsid w:val="000263F0"/>
    <w:rsid w:val="00026407"/>
    <w:rsid w:val="00026608"/>
    <w:rsid w:val="00027787"/>
    <w:rsid w:val="000278D2"/>
    <w:rsid w:val="00030DFB"/>
    <w:rsid w:val="00031364"/>
    <w:rsid w:val="000315E1"/>
    <w:rsid w:val="0003236E"/>
    <w:rsid w:val="0003339A"/>
    <w:rsid w:val="000341F2"/>
    <w:rsid w:val="00034C76"/>
    <w:rsid w:val="00035046"/>
    <w:rsid w:val="000351F2"/>
    <w:rsid w:val="00035768"/>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AD2"/>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2F96"/>
    <w:rsid w:val="0005355A"/>
    <w:rsid w:val="000536A7"/>
    <w:rsid w:val="000536E3"/>
    <w:rsid w:val="00053896"/>
    <w:rsid w:val="00053A00"/>
    <w:rsid w:val="0005474D"/>
    <w:rsid w:val="00055CB9"/>
    <w:rsid w:val="000560EC"/>
    <w:rsid w:val="00056F66"/>
    <w:rsid w:val="0005702F"/>
    <w:rsid w:val="00061010"/>
    <w:rsid w:val="00061D06"/>
    <w:rsid w:val="00062CDD"/>
    <w:rsid w:val="00062DB3"/>
    <w:rsid w:val="00063472"/>
    <w:rsid w:val="00063B11"/>
    <w:rsid w:val="000640AF"/>
    <w:rsid w:val="00064940"/>
    <w:rsid w:val="00064CAE"/>
    <w:rsid w:val="00064DB7"/>
    <w:rsid w:val="00064FA7"/>
    <w:rsid w:val="00065195"/>
    <w:rsid w:val="0006536C"/>
    <w:rsid w:val="0006626E"/>
    <w:rsid w:val="000677E6"/>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77F5F"/>
    <w:rsid w:val="0008017B"/>
    <w:rsid w:val="00080ACD"/>
    <w:rsid w:val="000811CB"/>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6A4"/>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951"/>
    <w:rsid w:val="000C4F49"/>
    <w:rsid w:val="000C5861"/>
    <w:rsid w:val="000C5BDE"/>
    <w:rsid w:val="000C639D"/>
    <w:rsid w:val="000C6C31"/>
    <w:rsid w:val="000C6DBC"/>
    <w:rsid w:val="000C6F79"/>
    <w:rsid w:val="000C73DB"/>
    <w:rsid w:val="000C7476"/>
    <w:rsid w:val="000C7480"/>
    <w:rsid w:val="000C7711"/>
    <w:rsid w:val="000C7AA2"/>
    <w:rsid w:val="000D0462"/>
    <w:rsid w:val="000D053D"/>
    <w:rsid w:val="000D0ED2"/>
    <w:rsid w:val="000D107D"/>
    <w:rsid w:val="000D13FD"/>
    <w:rsid w:val="000D1CEB"/>
    <w:rsid w:val="000D2563"/>
    <w:rsid w:val="000D25BF"/>
    <w:rsid w:val="000D2D08"/>
    <w:rsid w:val="000D2FE4"/>
    <w:rsid w:val="000D3FDC"/>
    <w:rsid w:val="000D490B"/>
    <w:rsid w:val="000D4E38"/>
    <w:rsid w:val="000D50DB"/>
    <w:rsid w:val="000D6288"/>
    <w:rsid w:val="000D728B"/>
    <w:rsid w:val="000D7541"/>
    <w:rsid w:val="000D75E1"/>
    <w:rsid w:val="000E09C9"/>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3131"/>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29BC"/>
    <w:rsid w:val="00103795"/>
    <w:rsid w:val="00103915"/>
    <w:rsid w:val="001039AA"/>
    <w:rsid w:val="00103EA0"/>
    <w:rsid w:val="00104149"/>
    <w:rsid w:val="00104F1C"/>
    <w:rsid w:val="001051E5"/>
    <w:rsid w:val="00105A74"/>
    <w:rsid w:val="00105ACB"/>
    <w:rsid w:val="00105AEF"/>
    <w:rsid w:val="00106259"/>
    <w:rsid w:val="001068EB"/>
    <w:rsid w:val="00107498"/>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6423"/>
    <w:rsid w:val="00127004"/>
    <w:rsid w:val="0012770B"/>
    <w:rsid w:val="00127AF2"/>
    <w:rsid w:val="00127EBF"/>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021F"/>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A5F"/>
    <w:rsid w:val="00165E5C"/>
    <w:rsid w:val="00166204"/>
    <w:rsid w:val="00166797"/>
    <w:rsid w:val="0016685F"/>
    <w:rsid w:val="0016712F"/>
    <w:rsid w:val="00167503"/>
    <w:rsid w:val="001676A9"/>
    <w:rsid w:val="00167A15"/>
    <w:rsid w:val="00167A50"/>
    <w:rsid w:val="00167C3F"/>
    <w:rsid w:val="00167D1A"/>
    <w:rsid w:val="00167DF5"/>
    <w:rsid w:val="00170001"/>
    <w:rsid w:val="00172198"/>
    <w:rsid w:val="00172612"/>
    <w:rsid w:val="00172817"/>
    <w:rsid w:val="001734E3"/>
    <w:rsid w:val="001742BF"/>
    <w:rsid w:val="001742E1"/>
    <w:rsid w:val="00175E49"/>
    <w:rsid w:val="001763B2"/>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449C"/>
    <w:rsid w:val="001B4AA2"/>
    <w:rsid w:val="001B4ADE"/>
    <w:rsid w:val="001B5530"/>
    <w:rsid w:val="001B5DAE"/>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56E9"/>
    <w:rsid w:val="001D6944"/>
    <w:rsid w:val="001D6CD2"/>
    <w:rsid w:val="001D796A"/>
    <w:rsid w:val="001D7A84"/>
    <w:rsid w:val="001D7C79"/>
    <w:rsid w:val="001D7CBE"/>
    <w:rsid w:val="001D7EFE"/>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349"/>
    <w:rsid w:val="001F1863"/>
    <w:rsid w:val="001F1F00"/>
    <w:rsid w:val="001F1F89"/>
    <w:rsid w:val="001F2356"/>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0A5C"/>
    <w:rsid w:val="00201508"/>
    <w:rsid w:val="00201AC4"/>
    <w:rsid w:val="00201F1E"/>
    <w:rsid w:val="00202761"/>
    <w:rsid w:val="0020299B"/>
    <w:rsid w:val="00202B2A"/>
    <w:rsid w:val="00202E44"/>
    <w:rsid w:val="002037AA"/>
    <w:rsid w:val="00203C9F"/>
    <w:rsid w:val="00203FE3"/>
    <w:rsid w:val="002042D8"/>
    <w:rsid w:val="00204515"/>
    <w:rsid w:val="00204A99"/>
    <w:rsid w:val="00204BF5"/>
    <w:rsid w:val="00204E6B"/>
    <w:rsid w:val="002053EF"/>
    <w:rsid w:val="002058D4"/>
    <w:rsid w:val="002060D6"/>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5DCF"/>
    <w:rsid w:val="00236016"/>
    <w:rsid w:val="00237065"/>
    <w:rsid w:val="00237589"/>
    <w:rsid w:val="0023758D"/>
    <w:rsid w:val="002375A7"/>
    <w:rsid w:val="0024019A"/>
    <w:rsid w:val="00240EC1"/>
    <w:rsid w:val="0024120F"/>
    <w:rsid w:val="0024131D"/>
    <w:rsid w:val="002415B8"/>
    <w:rsid w:val="00241B82"/>
    <w:rsid w:val="0024258E"/>
    <w:rsid w:val="0024296E"/>
    <w:rsid w:val="00242D5F"/>
    <w:rsid w:val="00242D62"/>
    <w:rsid w:val="002430D0"/>
    <w:rsid w:val="002431D7"/>
    <w:rsid w:val="00244058"/>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5DE7"/>
    <w:rsid w:val="0028663B"/>
    <w:rsid w:val="00286CEC"/>
    <w:rsid w:val="002870F9"/>
    <w:rsid w:val="002871A9"/>
    <w:rsid w:val="00287505"/>
    <w:rsid w:val="00287BDB"/>
    <w:rsid w:val="00290781"/>
    <w:rsid w:val="00291784"/>
    <w:rsid w:val="00291CC2"/>
    <w:rsid w:val="002920DF"/>
    <w:rsid w:val="002928A3"/>
    <w:rsid w:val="002929BB"/>
    <w:rsid w:val="00294368"/>
    <w:rsid w:val="00294B78"/>
    <w:rsid w:val="00295416"/>
    <w:rsid w:val="00295949"/>
    <w:rsid w:val="00295D7C"/>
    <w:rsid w:val="0029624A"/>
    <w:rsid w:val="00296922"/>
    <w:rsid w:val="00296998"/>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736"/>
    <w:rsid w:val="002A4B1C"/>
    <w:rsid w:val="002A55FE"/>
    <w:rsid w:val="002A625C"/>
    <w:rsid w:val="002A6AFB"/>
    <w:rsid w:val="002A733D"/>
    <w:rsid w:val="002A774A"/>
    <w:rsid w:val="002A7840"/>
    <w:rsid w:val="002A78F3"/>
    <w:rsid w:val="002A7C7D"/>
    <w:rsid w:val="002A7D84"/>
    <w:rsid w:val="002A7E5C"/>
    <w:rsid w:val="002A7F6D"/>
    <w:rsid w:val="002B0D83"/>
    <w:rsid w:val="002B108E"/>
    <w:rsid w:val="002B1342"/>
    <w:rsid w:val="002B1F83"/>
    <w:rsid w:val="002B27C8"/>
    <w:rsid w:val="002B2A7F"/>
    <w:rsid w:val="002B2BDA"/>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17B"/>
    <w:rsid w:val="002C5C2F"/>
    <w:rsid w:val="002C5D0F"/>
    <w:rsid w:val="002C60B9"/>
    <w:rsid w:val="002C6F77"/>
    <w:rsid w:val="002C704D"/>
    <w:rsid w:val="002C7658"/>
    <w:rsid w:val="002D0845"/>
    <w:rsid w:val="002D0933"/>
    <w:rsid w:val="002D1555"/>
    <w:rsid w:val="002D15B6"/>
    <w:rsid w:val="002D19BB"/>
    <w:rsid w:val="002D1A9B"/>
    <w:rsid w:val="002D1F51"/>
    <w:rsid w:val="002D20F8"/>
    <w:rsid w:val="002D22BD"/>
    <w:rsid w:val="002D22C5"/>
    <w:rsid w:val="002D302A"/>
    <w:rsid w:val="002D36C6"/>
    <w:rsid w:val="002D37C1"/>
    <w:rsid w:val="002D4380"/>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119"/>
    <w:rsid w:val="003227D3"/>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453"/>
    <w:rsid w:val="0033251B"/>
    <w:rsid w:val="00333350"/>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202"/>
    <w:rsid w:val="0034741D"/>
    <w:rsid w:val="0034778E"/>
    <w:rsid w:val="00347A5A"/>
    <w:rsid w:val="003501E2"/>
    <w:rsid w:val="00351E10"/>
    <w:rsid w:val="003533F4"/>
    <w:rsid w:val="003536F6"/>
    <w:rsid w:val="00353DD5"/>
    <w:rsid w:val="00353F36"/>
    <w:rsid w:val="00355131"/>
    <w:rsid w:val="00355F74"/>
    <w:rsid w:val="003560DB"/>
    <w:rsid w:val="003564DB"/>
    <w:rsid w:val="00356E79"/>
    <w:rsid w:val="00356F87"/>
    <w:rsid w:val="00357E83"/>
    <w:rsid w:val="00360CF3"/>
    <w:rsid w:val="00361A59"/>
    <w:rsid w:val="00363348"/>
    <w:rsid w:val="003636C9"/>
    <w:rsid w:val="00363857"/>
    <w:rsid w:val="00363D59"/>
    <w:rsid w:val="00363F08"/>
    <w:rsid w:val="003640F7"/>
    <w:rsid w:val="00365536"/>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77A98"/>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160"/>
    <w:rsid w:val="003A65A5"/>
    <w:rsid w:val="003A65AC"/>
    <w:rsid w:val="003A6994"/>
    <w:rsid w:val="003A72F5"/>
    <w:rsid w:val="003A78E5"/>
    <w:rsid w:val="003B0341"/>
    <w:rsid w:val="003B15F3"/>
    <w:rsid w:val="003B1961"/>
    <w:rsid w:val="003B1E57"/>
    <w:rsid w:val="003B1E5C"/>
    <w:rsid w:val="003B2EF3"/>
    <w:rsid w:val="003B30B0"/>
    <w:rsid w:val="003B48C4"/>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C76"/>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2CB"/>
    <w:rsid w:val="003D484D"/>
    <w:rsid w:val="003D49CB"/>
    <w:rsid w:val="003D5F1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08A"/>
    <w:rsid w:val="003F115C"/>
    <w:rsid w:val="003F153A"/>
    <w:rsid w:val="003F2EA1"/>
    <w:rsid w:val="003F300D"/>
    <w:rsid w:val="003F391F"/>
    <w:rsid w:val="003F4599"/>
    <w:rsid w:val="003F45E1"/>
    <w:rsid w:val="003F4F6C"/>
    <w:rsid w:val="003F559E"/>
    <w:rsid w:val="003F6181"/>
    <w:rsid w:val="003F6BFC"/>
    <w:rsid w:val="003F7343"/>
    <w:rsid w:val="00400002"/>
    <w:rsid w:val="00400054"/>
    <w:rsid w:val="004010B4"/>
    <w:rsid w:val="004016A3"/>
    <w:rsid w:val="00401B31"/>
    <w:rsid w:val="0040202B"/>
    <w:rsid w:val="0040219D"/>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FA"/>
    <w:rsid w:val="004275A7"/>
    <w:rsid w:val="00430186"/>
    <w:rsid w:val="00430F17"/>
    <w:rsid w:val="00431CC7"/>
    <w:rsid w:val="00431D91"/>
    <w:rsid w:val="0043260C"/>
    <w:rsid w:val="0043269A"/>
    <w:rsid w:val="00432E92"/>
    <w:rsid w:val="004333C2"/>
    <w:rsid w:val="00434787"/>
    <w:rsid w:val="00434C13"/>
    <w:rsid w:val="00434D8B"/>
    <w:rsid w:val="00435294"/>
    <w:rsid w:val="00435703"/>
    <w:rsid w:val="00435BD5"/>
    <w:rsid w:val="00435FDD"/>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61A"/>
    <w:rsid w:val="00455BD3"/>
    <w:rsid w:val="004567DA"/>
    <w:rsid w:val="00456970"/>
    <w:rsid w:val="00456BB1"/>
    <w:rsid w:val="00456CD4"/>
    <w:rsid w:val="00456DDB"/>
    <w:rsid w:val="00456E61"/>
    <w:rsid w:val="00457031"/>
    <w:rsid w:val="0045795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46"/>
    <w:rsid w:val="00470D73"/>
    <w:rsid w:val="00470D92"/>
    <w:rsid w:val="00471DF7"/>
    <w:rsid w:val="004734CF"/>
    <w:rsid w:val="00473E47"/>
    <w:rsid w:val="00473F33"/>
    <w:rsid w:val="0047586C"/>
    <w:rsid w:val="00475C5A"/>
    <w:rsid w:val="00475C9C"/>
    <w:rsid w:val="0047676B"/>
    <w:rsid w:val="0047773C"/>
    <w:rsid w:val="00477C5F"/>
    <w:rsid w:val="00480050"/>
    <w:rsid w:val="0048011C"/>
    <w:rsid w:val="004808DE"/>
    <w:rsid w:val="00480F9A"/>
    <w:rsid w:val="00481912"/>
    <w:rsid w:val="00481AC4"/>
    <w:rsid w:val="00481DC1"/>
    <w:rsid w:val="00482507"/>
    <w:rsid w:val="0048268A"/>
    <w:rsid w:val="00482A64"/>
    <w:rsid w:val="004835CA"/>
    <w:rsid w:val="00483690"/>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08FA"/>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0F"/>
    <w:rsid w:val="00496664"/>
    <w:rsid w:val="00496786"/>
    <w:rsid w:val="0049695B"/>
    <w:rsid w:val="00496D8F"/>
    <w:rsid w:val="00497463"/>
    <w:rsid w:val="004A021B"/>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9F0"/>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CF"/>
    <w:rsid w:val="004E3B71"/>
    <w:rsid w:val="004E405B"/>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80A"/>
    <w:rsid w:val="004F5930"/>
    <w:rsid w:val="004F5970"/>
    <w:rsid w:val="004F5F0C"/>
    <w:rsid w:val="004F6121"/>
    <w:rsid w:val="004F6161"/>
    <w:rsid w:val="004F639F"/>
    <w:rsid w:val="004F66BC"/>
    <w:rsid w:val="004F6C26"/>
    <w:rsid w:val="004F7AC9"/>
    <w:rsid w:val="0050062F"/>
    <w:rsid w:val="00500E74"/>
    <w:rsid w:val="0050160F"/>
    <w:rsid w:val="0050284E"/>
    <w:rsid w:val="0050306F"/>
    <w:rsid w:val="00503A17"/>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6FD0"/>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8C"/>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9B7"/>
    <w:rsid w:val="00545E30"/>
    <w:rsid w:val="00545EA3"/>
    <w:rsid w:val="00546C9B"/>
    <w:rsid w:val="00547378"/>
    <w:rsid w:val="00547BF6"/>
    <w:rsid w:val="00547FB3"/>
    <w:rsid w:val="0055053C"/>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564"/>
    <w:rsid w:val="005866C4"/>
    <w:rsid w:val="00587B8B"/>
    <w:rsid w:val="00590F1A"/>
    <w:rsid w:val="00591C03"/>
    <w:rsid w:val="00591E2A"/>
    <w:rsid w:val="005923C4"/>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259"/>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3B4"/>
    <w:rsid w:val="005B54CC"/>
    <w:rsid w:val="005B71BB"/>
    <w:rsid w:val="005B74AD"/>
    <w:rsid w:val="005B7E96"/>
    <w:rsid w:val="005C0429"/>
    <w:rsid w:val="005C06A5"/>
    <w:rsid w:val="005C084F"/>
    <w:rsid w:val="005C0EE9"/>
    <w:rsid w:val="005C0F84"/>
    <w:rsid w:val="005C169F"/>
    <w:rsid w:val="005C16A8"/>
    <w:rsid w:val="005C1716"/>
    <w:rsid w:val="005C1954"/>
    <w:rsid w:val="005C1C0B"/>
    <w:rsid w:val="005C2011"/>
    <w:rsid w:val="005C3EA3"/>
    <w:rsid w:val="005C44DE"/>
    <w:rsid w:val="005C5011"/>
    <w:rsid w:val="005C5241"/>
    <w:rsid w:val="005C529E"/>
    <w:rsid w:val="005C5674"/>
    <w:rsid w:val="005C57BA"/>
    <w:rsid w:val="005C5C52"/>
    <w:rsid w:val="005C5D3D"/>
    <w:rsid w:val="005C5F05"/>
    <w:rsid w:val="005C6186"/>
    <w:rsid w:val="005C6499"/>
    <w:rsid w:val="005C6587"/>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0F8"/>
    <w:rsid w:val="005D51F7"/>
    <w:rsid w:val="005D51FA"/>
    <w:rsid w:val="005D53E8"/>
    <w:rsid w:val="005D5A9D"/>
    <w:rsid w:val="005D5D15"/>
    <w:rsid w:val="005D6651"/>
    <w:rsid w:val="005D691D"/>
    <w:rsid w:val="005D6A72"/>
    <w:rsid w:val="005D6F38"/>
    <w:rsid w:val="005D6FA1"/>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76B"/>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C65"/>
    <w:rsid w:val="00625DF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2126"/>
    <w:rsid w:val="00642A32"/>
    <w:rsid w:val="00642B8E"/>
    <w:rsid w:val="00642F7C"/>
    <w:rsid w:val="006433D5"/>
    <w:rsid w:val="00643412"/>
    <w:rsid w:val="006440C7"/>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2F82"/>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6F41"/>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EA"/>
    <w:rsid w:val="006811C9"/>
    <w:rsid w:val="006812CE"/>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12A5"/>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A74"/>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6813"/>
    <w:rsid w:val="0070773F"/>
    <w:rsid w:val="00707A2E"/>
    <w:rsid w:val="00707ED3"/>
    <w:rsid w:val="00707F27"/>
    <w:rsid w:val="007101B7"/>
    <w:rsid w:val="00710668"/>
    <w:rsid w:val="00711019"/>
    <w:rsid w:val="007110F4"/>
    <w:rsid w:val="007112B1"/>
    <w:rsid w:val="0071130F"/>
    <w:rsid w:val="00711313"/>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3071"/>
    <w:rsid w:val="00734952"/>
    <w:rsid w:val="00734987"/>
    <w:rsid w:val="00734990"/>
    <w:rsid w:val="00734FF5"/>
    <w:rsid w:val="00735B78"/>
    <w:rsid w:val="00735DA7"/>
    <w:rsid w:val="00736700"/>
    <w:rsid w:val="007368B4"/>
    <w:rsid w:val="007378E0"/>
    <w:rsid w:val="0074040E"/>
    <w:rsid w:val="00740529"/>
    <w:rsid w:val="00740876"/>
    <w:rsid w:val="00741358"/>
    <w:rsid w:val="00741626"/>
    <w:rsid w:val="00741C15"/>
    <w:rsid w:val="00742332"/>
    <w:rsid w:val="00742886"/>
    <w:rsid w:val="00742A3A"/>
    <w:rsid w:val="00742DD2"/>
    <w:rsid w:val="007437C6"/>
    <w:rsid w:val="007441A2"/>
    <w:rsid w:val="00744E80"/>
    <w:rsid w:val="00745035"/>
    <w:rsid w:val="0074531C"/>
    <w:rsid w:val="00745547"/>
    <w:rsid w:val="007459D0"/>
    <w:rsid w:val="0074623A"/>
    <w:rsid w:val="00746420"/>
    <w:rsid w:val="00746457"/>
    <w:rsid w:val="007465DD"/>
    <w:rsid w:val="00746A60"/>
    <w:rsid w:val="00746E04"/>
    <w:rsid w:val="00746E08"/>
    <w:rsid w:val="00746E3D"/>
    <w:rsid w:val="007473B9"/>
    <w:rsid w:val="00747915"/>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2C9A"/>
    <w:rsid w:val="007734E4"/>
    <w:rsid w:val="0077380D"/>
    <w:rsid w:val="00773BC8"/>
    <w:rsid w:val="00774549"/>
    <w:rsid w:val="0077466F"/>
    <w:rsid w:val="00774E6B"/>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04D"/>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498E"/>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09C"/>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D7E73"/>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5476"/>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C65"/>
    <w:rsid w:val="008056A2"/>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E0C"/>
    <w:rsid w:val="00813F04"/>
    <w:rsid w:val="00814F1F"/>
    <w:rsid w:val="0081513E"/>
    <w:rsid w:val="00815823"/>
    <w:rsid w:val="00815DA5"/>
    <w:rsid w:val="00816221"/>
    <w:rsid w:val="008174F3"/>
    <w:rsid w:val="0081766B"/>
    <w:rsid w:val="008201DE"/>
    <w:rsid w:val="008205AC"/>
    <w:rsid w:val="00820705"/>
    <w:rsid w:val="00820CBF"/>
    <w:rsid w:val="00820FA8"/>
    <w:rsid w:val="008212FD"/>
    <w:rsid w:val="00821489"/>
    <w:rsid w:val="0082168D"/>
    <w:rsid w:val="008217B7"/>
    <w:rsid w:val="00822277"/>
    <w:rsid w:val="0082239B"/>
    <w:rsid w:val="0082292E"/>
    <w:rsid w:val="00822D06"/>
    <w:rsid w:val="00822EC4"/>
    <w:rsid w:val="0082348D"/>
    <w:rsid w:val="008236BE"/>
    <w:rsid w:val="008241CE"/>
    <w:rsid w:val="0082427A"/>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5AD"/>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59"/>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047"/>
    <w:rsid w:val="00882E39"/>
    <w:rsid w:val="00883559"/>
    <w:rsid w:val="008850EB"/>
    <w:rsid w:val="00885228"/>
    <w:rsid w:val="008857E3"/>
    <w:rsid w:val="00886DF2"/>
    <w:rsid w:val="00886FB9"/>
    <w:rsid w:val="00887057"/>
    <w:rsid w:val="00887080"/>
    <w:rsid w:val="00887C79"/>
    <w:rsid w:val="008908DC"/>
    <w:rsid w:val="0089107B"/>
    <w:rsid w:val="008910F9"/>
    <w:rsid w:val="008913CC"/>
    <w:rsid w:val="008914AE"/>
    <w:rsid w:val="008919CF"/>
    <w:rsid w:val="00891AB1"/>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0F89"/>
    <w:rsid w:val="008C11F0"/>
    <w:rsid w:val="008C1918"/>
    <w:rsid w:val="008C1DBA"/>
    <w:rsid w:val="008C24E7"/>
    <w:rsid w:val="008C2500"/>
    <w:rsid w:val="008C2CAC"/>
    <w:rsid w:val="008C3C57"/>
    <w:rsid w:val="008C3E2A"/>
    <w:rsid w:val="008C45BD"/>
    <w:rsid w:val="008C4B19"/>
    <w:rsid w:val="008C4EB9"/>
    <w:rsid w:val="008C62D4"/>
    <w:rsid w:val="008C6B89"/>
    <w:rsid w:val="008C6B97"/>
    <w:rsid w:val="008C7EF7"/>
    <w:rsid w:val="008D094D"/>
    <w:rsid w:val="008D18AA"/>
    <w:rsid w:val="008D1A2A"/>
    <w:rsid w:val="008D1ADE"/>
    <w:rsid w:val="008D3199"/>
    <w:rsid w:val="008D35D9"/>
    <w:rsid w:val="008D3B36"/>
    <w:rsid w:val="008D3B85"/>
    <w:rsid w:val="008D462D"/>
    <w:rsid w:val="008D5FEB"/>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99F"/>
    <w:rsid w:val="008E3BA4"/>
    <w:rsid w:val="008E3F17"/>
    <w:rsid w:val="008E44AB"/>
    <w:rsid w:val="008E4CAE"/>
    <w:rsid w:val="008E5179"/>
    <w:rsid w:val="008E57FE"/>
    <w:rsid w:val="008E62E9"/>
    <w:rsid w:val="008E6598"/>
    <w:rsid w:val="008E6F83"/>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341"/>
    <w:rsid w:val="008F7905"/>
    <w:rsid w:val="008F7989"/>
    <w:rsid w:val="00900912"/>
    <w:rsid w:val="00901F1D"/>
    <w:rsid w:val="009028E8"/>
    <w:rsid w:val="00902E5C"/>
    <w:rsid w:val="0090363E"/>
    <w:rsid w:val="00903788"/>
    <w:rsid w:val="009046E5"/>
    <w:rsid w:val="009047C5"/>
    <w:rsid w:val="00910683"/>
    <w:rsid w:val="00910CA4"/>
    <w:rsid w:val="00910E00"/>
    <w:rsid w:val="00910E04"/>
    <w:rsid w:val="009116CE"/>
    <w:rsid w:val="00911714"/>
    <w:rsid w:val="00911D04"/>
    <w:rsid w:val="00911EFF"/>
    <w:rsid w:val="0091310F"/>
    <w:rsid w:val="009132C3"/>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579"/>
    <w:rsid w:val="00923A8A"/>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39B3"/>
    <w:rsid w:val="00964138"/>
    <w:rsid w:val="009648D6"/>
    <w:rsid w:val="00964B3F"/>
    <w:rsid w:val="00964C98"/>
    <w:rsid w:val="00971441"/>
    <w:rsid w:val="00971555"/>
    <w:rsid w:val="009715D4"/>
    <w:rsid w:val="0097179A"/>
    <w:rsid w:val="00971B0A"/>
    <w:rsid w:val="00972156"/>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748"/>
    <w:rsid w:val="00987C77"/>
    <w:rsid w:val="00987FED"/>
    <w:rsid w:val="00990345"/>
    <w:rsid w:val="00990701"/>
    <w:rsid w:val="0099119C"/>
    <w:rsid w:val="0099137A"/>
    <w:rsid w:val="0099211C"/>
    <w:rsid w:val="00993013"/>
    <w:rsid w:val="009930AB"/>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35DC"/>
    <w:rsid w:val="009A38AB"/>
    <w:rsid w:val="009A39EE"/>
    <w:rsid w:val="009A3A33"/>
    <w:rsid w:val="009A3D47"/>
    <w:rsid w:val="009A4D63"/>
    <w:rsid w:val="009A5356"/>
    <w:rsid w:val="009A5468"/>
    <w:rsid w:val="009A55D8"/>
    <w:rsid w:val="009A5D99"/>
    <w:rsid w:val="009A608C"/>
    <w:rsid w:val="009A65A6"/>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0CD"/>
    <w:rsid w:val="009D7244"/>
    <w:rsid w:val="009D7ADB"/>
    <w:rsid w:val="009D7B33"/>
    <w:rsid w:val="009E0490"/>
    <w:rsid w:val="009E06C3"/>
    <w:rsid w:val="009E0703"/>
    <w:rsid w:val="009E1035"/>
    <w:rsid w:val="009E16DA"/>
    <w:rsid w:val="009E1CD4"/>
    <w:rsid w:val="009E2391"/>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1F"/>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D77"/>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168"/>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49FD"/>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31C"/>
    <w:rsid w:val="00A46574"/>
    <w:rsid w:val="00A47701"/>
    <w:rsid w:val="00A47849"/>
    <w:rsid w:val="00A500B1"/>
    <w:rsid w:val="00A52A53"/>
    <w:rsid w:val="00A52EE5"/>
    <w:rsid w:val="00A53037"/>
    <w:rsid w:val="00A532B9"/>
    <w:rsid w:val="00A5351D"/>
    <w:rsid w:val="00A53E79"/>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5F21"/>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1BA"/>
    <w:rsid w:val="00A7723B"/>
    <w:rsid w:val="00A773C3"/>
    <w:rsid w:val="00A7793C"/>
    <w:rsid w:val="00A7795F"/>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1FA"/>
    <w:rsid w:val="00AD6236"/>
    <w:rsid w:val="00AD69D5"/>
    <w:rsid w:val="00AD7619"/>
    <w:rsid w:val="00AD7770"/>
    <w:rsid w:val="00AE1772"/>
    <w:rsid w:val="00AE1990"/>
    <w:rsid w:val="00AE25E8"/>
    <w:rsid w:val="00AE2AD4"/>
    <w:rsid w:val="00AE2CA7"/>
    <w:rsid w:val="00AE2F1D"/>
    <w:rsid w:val="00AE4A7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B011A9"/>
    <w:rsid w:val="00B01BAF"/>
    <w:rsid w:val="00B024ED"/>
    <w:rsid w:val="00B026B8"/>
    <w:rsid w:val="00B02EB3"/>
    <w:rsid w:val="00B02F7C"/>
    <w:rsid w:val="00B02FCB"/>
    <w:rsid w:val="00B033F8"/>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5FE"/>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0F4D"/>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3FFE"/>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5660"/>
    <w:rsid w:val="00BF5C05"/>
    <w:rsid w:val="00BF6A12"/>
    <w:rsid w:val="00BF6FC6"/>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556"/>
    <w:rsid w:val="00C27D37"/>
    <w:rsid w:val="00C309E8"/>
    <w:rsid w:val="00C32017"/>
    <w:rsid w:val="00C32571"/>
    <w:rsid w:val="00C325CD"/>
    <w:rsid w:val="00C32B26"/>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C9A"/>
    <w:rsid w:val="00C52A10"/>
    <w:rsid w:val="00C52C68"/>
    <w:rsid w:val="00C52D98"/>
    <w:rsid w:val="00C52DA1"/>
    <w:rsid w:val="00C53D24"/>
    <w:rsid w:val="00C54640"/>
    <w:rsid w:val="00C547A6"/>
    <w:rsid w:val="00C54A3A"/>
    <w:rsid w:val="00C55322"/>
    <w:rsid w:val="00C55C32"/>
    <w:rsid w:val="00C56A67"/>
    <w:rsid w:val="00C56CC2"/>
    <w:rsid w:val="00C56D8D"/>
    <w:rsid w:val="00C57498"/>
    <w:rsid w:val="00C5763C"/>
    <w:rsid w:val="00C5780C"/>
    <w:rsid w:val="00C5796B"/>
    <w:rsid w:val="00C57C64"/>
    <w:rsid w:val="00C612C4"/>
    <w:rsid w:val="00C619A1"/>
    <w:rsid w:val="00C62370"/>
    <w:rsid w:val="00C62AE8"/>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1F65"/>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35CB"/>
    <w:rsid w:val="00CA41E7"/>
    <w:rsid w:val="00CA4A99"/>
    <w:rsid w:val="00CA4CCC"/>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3D2C"/>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97A"/>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0778"/>
    <w:rsid w:val="00CD0D32"/>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B81"/>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3B6"/>
    <w:rsid w:val="00D223E8"/>
    <w:rsid w:val="00D224E1"/>
    <w:rsid w:val="00D22DC8"/>
    <w:rsid w:val="00D23EA4"/>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6A"/>
    <w:rsid w:val="00D451E8"/>
    <w:rsid w:val="00D466C9"/>
    <w:rsid w:val="00D47275"/>
    <w:rsid w:val="00D517F6"/>
    <w:rsid w:val="00D51AB7"/>
    <w:rsid w:val="00D51E15"/>
    <w:rsid w:val="00D52B7E"/>
    <w:rsid w:val="00D52E2F"/>
    <w:rsid w:val="00D52E7B"/>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678"/>
    <w:rsid w:val="00D967CB"/>
    <w:rsid w:val="00D968D4"/>
    <w:rsid w:val="00D96EE0"/>
    <w:rsid w:val="00D97BD1"/>
    <w:rsid w:val="00D97EF0"/>
    <w:rsid w:val="00DA00C3"/>
    <w:rsid w:val="00DA01E9"/>
    <w:rsid w:val="00DA03CF"/>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00"/>
    <w:rsid w:val="00DB1AFF"/>
    <w:rsid w:val="00DB219A"/>
    <w:rsid w:val="00DB3165"/>
    <w:rsid w:val="00DB32F4"/>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AE4"/>
    <w:rsid w:val="00DD5B04"/>
    <w:rsid w:val="00DD5DAE"/>
    <w:rsid w:val="00DD5EC6"/>
    <w:rsid w:val="00DD605F"/>
    <w:rsid w:val="00DD6A79"/>
    <w:rsid w:val="00DD72A0"/>
    <w:rsid w:val="00DD735D"/>
    <w:rsid w:val="00DD7F7D"/>
    <w:rsid w:val="00DE0159"/>
    <w:rsid w:val="00DE064A"/>
    <w:rsid w:val="00DE082D"/>
    <w:rsid w:val="00DE1410"/>
    <w:rsid w:val="00DE1431"/>
    <w:rsid w:val="00DE20C6"/>
    <w:rsid w:val="00DE3119"/>
    <w:rsid w:val="00DE3C24"/>
    <w:rsid w:val="00DE3FF0"/>
    <w:rsid w:val="00DE4105"/>
    <w:rsid w:val="00DE4B3F"/>
    <w:rsid w:val="00DE4BEA"/>
    <w:rsid w:val="00DE5189"/>
    <w:rsid w:val="00DE7108"/>
    <w:rsid w:val="00DE78D1"/>
    <w:rsid w:val="00DE78FF"/>
    <w:rsid w:val="00DF0263"/>
    <w:rsid w:val="00DF08B0"/>
    <w:rsid w:val="00DF0EB4"/>
    <w:rsid w:val="00DF158B"/>
    <w:rsid w:val="00DF170E"/>
    <w:rsid w:val="00DF193C"/>
    <w:rsid w:val="00DF1E36"/>
    <w:rsid w:val="00DF236B"/>
    <w:rsid w:val="00DF258A"/>
    <w:rsid w:val="00DF2A91"/>
    <w:rsid w:val="00DF2D7F"/>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3FC"/>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E70"/>
    <w:rsid w:val="00E66087"/>
    <w:rsid w:val="00E66D79"/>
    <w:rsid w:val="00E66FF9"/>
    <w:rsid w:val="00E6706F"/>
    <w:rsid w:val="00E673A2"/>
    <w:rsid w:val="00E67856"/>
    <w:rsid w:val="00E679C8"/>
    <w:rsid w:val="00E67F3A"/>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825"/>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400"/>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113"/>
    <w:rsid w:val="00F23255"/>
    <w:rsid w:val="00F23393"/>
    <w:rsid w:val="00F23759"/>
    <w:rsid w:val="00F24644"/>
    <w:rsid w:val="00F24BB1"/>
    <w:rsid w:val="00F25947"/>
    <w:rsid w:val="00F262D6"/>
    <w:rsid w:val="00F26BCE"/>
    <w:rsid w:val="00F26F33"/>
    <w:rsid w:val="00F273D5"/>
    <w:rsid w:val="00F2748A"/>
    <w:rsid w:val="00F2786C"/>
    <w:rsid w:val="00F300A8"/>
    <w:rsid w:val="00F302C6"/>
    <w:rsid w:val="00F30400"/>
    <w:rsid w:val="00F3079E"/>
    <w:rsid w:val="00F31289"/>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8B5"/>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6CE"/>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DA2"/>
    <w:rsid w:val="00FA313F"/>
    <w:rsid w:val="00FA3414"/>
    <w:rsid w:val="00FA347A"/>
    <w:rsid w:val="00FA3CDE"/>
    <w:rsid w:val="00FA49B7"/>
    <w:rsid w:val="00FA5043"/>
    <w:rsid w:val="00FA60C1"/>
    <w:rsid w:val="00FA65A3"/>
    <w:rsid w:val="00FA6BCA"/>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4285130">
      <w:bodyDiv w:val="1"/>
      <w:marLeft w:val="0"/>
      <w:marRight w:val="0"/>
      <w:marTop w:val="0"/>
      <w:marBottom w:val="0"/>
      <w:divBdr>
        <w:top w:val="none" w:sz="0" w:space="0" w:color="auto"/>
        <w:left w:val="none" w:sz="0" w:space="0" w:color="auto"/>
        <w:bottom w:val="none" w:sz="0" w:space="0" w:color="auto"/>
        <w:right w:val="none" w:sz="0" w:space="0" w:color="auto"/>
      </w:divBdr>
      <w:divsChild>
        <w:div w:id="1882670075">
          <w:marLeft w:val="0"/>
          <w:marRight w:val="0"/>
          <w:marTop w:val="0"/>
          <w:marBottom w:val="0"/>
          <w:divBdr>
            <w:top w:val="none" w:sz="0" w:space="0" w:color="auto"/>
            <w:left w:val="none" w:sz="0" w:space="0" w:color="auto"/>
            <w:bottom w:val="none" w:sz="0" w:space="0" w:color="auto"/>
            <w:right w:val="none" w:sz="0" w:space="0" w:color="auto"/>
          </w:divBdr>
          <w:divsChild>
            <w:div w:id="609050276">
              <w:marLeft w:val="0"/>
              <w:marRight w:val="0"/>
              <w:marTop w:val="0"/>
              <w:marBottom w:val="0"/>
              <w:divBdr>
                <w:top w:val="none" w:sz="0" w:space="0" w:color="auto"/>
                <w:left w:val="none" w:sz="0" w:space="0" w:color="auto"/>
                <w:bottom w:val="none" w:sz="0" w:space="0" w:color="auto"/>
                <w:right w:val="none" w:sz="0" w:space="0" w:color="auto"/>
              </w:divBdr>
              <w:divsChild>
                <w:div w:id="5776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991118">
      <w:bodyDiv w:val="1"/>
      <w:marLeft w:val="0"/>
      <w:marRight w:val="0"/>
      <w:marTop w:val="0"/>
      <w:marBottom w:val="0"/>
      <w:divBdr>
        <w:top w:val="none" w:sz="0" w:space="0" w:color="auto"/>
        <w:left w:val="none" w:sz="0" w:space="0" w:color="auto"/>
        <w:bottom w:val="none" w:sz="0" w:space="0" w:color="auto"/>
        <w:right w:val="none" w:sz="0" w:space="0" w:color="auto"/>
      </w:divBdr>
    </w:div>
    <w:div w:id="460924416">
      <w:bodyDiv w:val="1"/>
      <w:marLeft w:val="0"/>
      <w:marRight w:val="0"/>
      <w:marTop w:val="0"/>
      <w:marBottom w:val="0"/>
      <w:divBdr>
        <w:top w:val="none" w:sz="0" w:space="0" w:color="auto"/>
        <w:left w:val="none" w:sz="0" w:space="0" w:color="auto"/>
        <w:bottom w:val="none" w:sz="0" w:space="0" w:color="auto"/>
        <w:right w:val="none" w:sz="0" w:space="0" w:color="auto"/>
      </w:divBdr>
      <w:divsChild>
        <w:div w:id="1294673723">
          <w:marLeft w:val="0"/>
          <w:marRight w:val="0"/>
          <w:marTop w:val="0"/>
          <w:marBottom w:val="0"/>
          <w:divBdr>
            <w:top w:val="none" w:sz="0" w:space="0" w:color="auto"/>
            <w:left w:val="none" w:sz="0" w:space="0" w:color="auto"/>
            <w:bottom w:val="none" w:sz="0" w:space="0" w:color="auto"/>
            <w:right w:val="none" w:sz="0" w:space="0" w:color="auto"/>
          </w:divBdr>
          <w:divsChild>
            <w:div w:id="983659597">
              <w:marLeft w:val="0"/>
              <w:marRight w:val="0"/>
              <w:marTop w:val="0"/>
              <w:marBottom w:val="0"/>
              <w:divBdr>
                <w:top w:val="none" w:sz="0" w:space="0" w:color="auto"/>
                <w:left w:val="none" w:sz="0" w:space="0" w:color="auto"/>
                <w:bottom w:val="none" w:sz="0" w:space="0" w:color="auto"/>
                <w:right w:val="none" w:sz="0" w:space="0" w:color="auto"/>
              </w:divBdr>
              <w:divsChild>
                <w:div w:id="9327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113988">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7163524">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5818666">
      <w:bodyDiv w:val="1"/>
      <w:marLeft w:val="0"/>
      <w:marRight w:val="0"/>
      <w:marTop w:val="0"/>
      <w:marBottom w:val="0"/>
      <w:divBdr>
        <w:top w:val="none" w:sz="0" w:space="0" w:color="auto"/>
        <w:left w:val="none" w:sz="0" w:space="0" w:color="auto"/>
        <w:bottom w:val="none" w:sz="0" w:space="0" w:color="auto"/>
        <w:right w:val="none" w:sz="0" w:space="0" w:color="auto"/>
      </w:divBdr>
      <w:divsChild>
        <w:div w:id="153843586">
          <w:marLeft w:val="0"/>
          <w:marRight w:val="0"/>
          <w:marTop w:val="0"/>
          <w:marBottom w:val="0"/>
          <w:divBdr>
            <w:top w:val="none" w:sz="0" w:space="0" w:color="auto"/>
            <w:left w:val="none" w:sz="0" w:space="0" w:color="auto"/>
            <w:bottom w:val="none" w:sz="0" w:space="0" w:color="auto"/>
            <w:right w:val="none" w:sz="0" w:space="0" w:color="auto"/>
          </w:divBdr>
          <w:divsChild>
            <w:div w:id="1852992203">
              <w:marLeft w:val="0"/>
              <w:marRight w:val="0"/>
              <w:marTop w:val="0"/>
              <w:marBottom w:val="0"/>
              <w:divBdr>
                <w:top w:val="none" w:sz="0" w:space="0" w:color="auto"/>
                <w:left w:val="none" w:sz="0" w:space="0" w:color="auto"/>
                <w:bottom w:val="none" w:sz="0" w:space="0" w:color="auto"/>
                <w:right w:val="none" w:sz="0" w:space="0" w:color="auto"/>
              </w:divBdr>
              <w:divsChild>
                <w:div w:id="7682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7900963">
      <w:bodyDiv w:val="1"/>
      <w:marLeft w:val="0"/>
      <w:marRight w:val="0"/>
      <w:marTop w:val="0"/>
      <w:marBottom w:val="0"/>
      <w:divBdr>
        <w:top w:val="none" w:sz="0" w:space="0" w:color="auto"/>
        <w:left w:val="none" w:sz="0" w:space="0" w:color="auto"/>
        <w:bottom w:val="none" w:sz="0" w:space="0" w:color="auto"/>
        <w:right w:val="none" w:sz="0" w:space="0" w:color="auto"/>
      </w:divBdr>
      <w:divsChild>
        <w:div w:id="1484813950">
          <w:marLeft w:val="0"/>
          <w:marRight w:val="0"/>
          <w:marTop w:val="0"/>
          <w:marBottom w:val="0"/>
          <w:divBdr>
            <w:top w:val="none" w:sz="0" w:space="0" w:color="auto"/>
            <w:left w:val="none" w:sz="0" w:space="0" w:color="auto"/>
            <w:bottom w:val="none" w:sz="0" w:space="0" w:color="auto"/>
            <w:right w:val="none" w:sz="0" w:space="0" w:color="auto"/>
          </w:divBdr>
          <w:divsChild>
            <w:div w:id="159128250">
              <w:marLeft w:val="0"/>
              <w:marRight w:val="0"/>
              <w:marTop w:val="0"/>
              <w:marBottom w:val="0"/>
              <w:divBdr>
                <w:top w:val="none" w:sz="0" w:space="0" w:color="auto"/>
                <w:left w:val="none" w:sz="0" w:space="0" w:color="auto"/>
                <w:bottom w:val="none" w:sz="0" w:space="0" w:color="auto"/>
                <w:right w:val="none" w:sz="0" w:space="0" w:color="auto"/>
              </w:divBdr>
              <w:divsChild>
                <w:div w:id="3973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205844">
      <w:bodyDiv w:val="1"/>
      <w:marLeft w:val="0"/>
      <w:marRight w:val="0"/>
      <w:marTop w:val="0"/>
      <w:marBottom w:val="0"/>
      <w:divBdr>
        <w:top w:val="none" w:sz="0" w:space="0" w:color="auto"/>
        <w:left w:val="none" w:sz="0" w:space="0" w:color="auto"/>
        <w:bottom w:val="none" w:sz="0" w:space="0" w:color="auto"/>
        <w:right w:val="none" w:sz="0" w:space="0" w:color="auto"/>
      </w:divBdr>
      <w:divsChild>
        <w:div w:id="1541820815">
          <w:marLeft w:val="0"/>
          <w:marRight w:val="0"/>
          <w:marTop w:val="0"/>
          <w:marBottom w:val="0"/>
          <w:divBdr>
            <w:top w:val="none" w:sz="0" w:space="0" w:color="auto"/>
            <w:left w:val="none" w:sz="0" w:space="0" w:color="auto"/>
            <w:bottom w:val="none" w:sz="0" w:space="0" w:color="auto"/>
            <w:right w:val="none" w:sz="0" w:space="0" w:color="auto"/>
          </w:divBdr>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369</TotalTime>
  <Pages>19</Pages>
  <Words>8006</Words>
  <Characters>44037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215</cp:revision>
  <cp:lastPrinted>2020-01-30T15:05:00Z</cp:lastPrinted>
  <dcterms:created xsi:type="dcterms:W3CDTF">2021-02-03T17:27:00Z</dcterms:created>
  <dcterms:modified xsi:type="dcterms:W3CDTF">2021-04-26T17:51:00Z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