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D649FD"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D649FD">
        <w:rPr>
          <w:rFonts w:ascii="Arial" w:hAnsi="Arial" w:cs="Arial"/>
          <w:bCs/>
          <w:color w:val="000000" w:themeColor="text1"/>
          <w:sz w:val="16"/>
          <w:szCs w:val="16"/>
          <w:lang w:val="es-ES_tradnl" w:eastAsia="es-ES"/>
        </w:rPr>
        <w:t>CCE-DES-FM-17</w:t>
      </w:r>
      <w:bookmarkEnd w:id="0"/>
      <w:bookmarkEnd w:id="1"/>
    </w:p>
    <w:p w14:paraId="55FBD910" w14:textId="77777777" w:rsidR="008536BB" w:rsidRPr="00D649FD"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D649FD" w:rsidRDefault="00272945" w:rsidP="00C978D4">
      <w:pPr>
        <w:jc w:val="both"/>
        <w:rPr>
          <w:rFonts w:ascii="Arial" w:eastAsia="Calibri" w:hAnsi="Arial" w:cs="Arial"/>
          <w:b/>
          <w:sz w:val="22"/>
          <w:lang w:val="es-ES_tradnl"/>
        </w:rPr>
      </w:pPr>
      <w:r w:rsidRPr="00D649FD">
        <w:rPr>
          <w:rFonts w:ascii="Arial" w:eastAsia="Calibri" w:hAnsi="Arial" w:cs="Arial"/>
          <w:b/>
          <w:sz w:val="22"/>
          <w:lang w:val="es-ES_tradnl"/>
        </w:rPr>
        <w:t>SELECCIÓN OBJETIVA</w:t>
      </w:r>
      <w:r w:rsidR="00C978D4" w:rsidRPr="00D649FD">
        <w:rPr>
          <w:rFonts w:ascii="Arial" w:eastAsia="Calibri" w:hAnsi="Arial" w:cs="Arial"/>
          <w:b/>
          <w:sz w:val="22"/>
          <w:lang w:val="es-ES_tradnl"/>
        </w:rPr>
        <w:t xml:space="preserve"> </w:t>
      </w:r>
      <w:r w:rsidR="00C978D4" w:rsidRPr="00D649FD">
        <w:rPr>
          <w:rFonts w:ascii="Arial" w:eastAsia="Calibri" w:hAnsi="Arial" w:cs="Arial"/>
          <w:b/>
          <w:color w:val="000000" w:themeColor="text1"/>
          <w:sz w:val="22"/>
          <w:lang w:val="es-ES_tradnl"/>
        </w:rPr>
        <w:t>–</w:t>
      </w:r>
      <w:r w:rsidR="00C978D4" w:rsidRPr="00D649FD">
        <w:rPr>
          <w:rFonts w:ascii="Arial" w:eastAsia="Calibri" w:hAnsi="Arial" w:cs="Arial"/>
          <w:b/>
          <w:sz w:val="22"/>
          <w:lang w:val="es-ES_tradnl"/>
        </w:rPr>
        <w:t xml:space="preserve"> </w:t>
      </w:r>
      <w:r w:rsidR="00003D39" w:rsidRPr="00D649FD">
        <w:rPr>
          <w:rFonts w:ascii="Arial" w:eastAsia="Calibri" w:hAnsi="Arial" w:cs="Arial"/>
          <w:b/>
          <w:sz w:val="22"/>
          <w:lang w:val="es-ES_tradnl"/>
        </w:rPr>
        <w:t>Contratación estatal</w:t>
      </w:r>
      <w:r w:rsidR="00616D7F" w:rsidRPr="00D649FD">
        <w:rPr>
          <w:rFonts w:ascii="Arial" w:eastAsia="Calibri" w:hAnsi="Arial" w:cs="Arial"/>
          <w:b/>
          <w:sz w:val="22"/>
          <w:lang w:val="es-ES_tradnl"/>
        </w:rPr>
        <w:t xml:space="preserve"> </w:t>
      </w:r>
      <w:r w:rsidR="00C978D4" w:rsidRPr="00D649FD">
        <w:rPr>
          <w:rFonts w:ascii="Arial" w:eastAsia="Calibri" w:hAnsi="Arial" w:cs="Arial"/>
          <w:b/>
          <w:color w:val="000000" w:themeColor="text1"/>
          <w:sz w:val="22"/>
          <w:lang w:val="es-ES_tradnl"/>
        </w:rPr>
        <w:t xml:space="preserve">– </w:t>
      </w:r>
      <w:r w:rsidRPr="00D649FD">
        <w:rPr>
          <w:rFonts w:ascii="Arial" w:eastAsia="Calibri" w:hAnsi="Arial" w:cs="Arial"/>
          <w:b/>
          <w:color w:val="000000" w:themeColor="text1"/>
          <w:sz w:val="22"/>
          <w:lang w:val="es-ES_tradnl"/>
        </w:rPr>
        <w:t>Concepto</w:t>
      </w:r>
    </w:p>
    <w:p w14:paraId="4AAB8DDD" w14:textId="537B898C" w:rsidR="00C978D4" w:rsidRPr="00D649FD" w:rsidRDefault="00C978D4" w:rsidP="0099531F">
      <w:pPr>
        <w:jc w:val="both"/>
        <w:rPr>
          <w:rFonts w:ascii="Arial" w:eastAsia="Calibri" w:hAnsi="Arial" w:cs="Arial"/>
          <w:b/>
          <w:sz w:val="22"/>
          <w:lang w:val="es-ES_tradnl"/>
        </w:rPr>
      </w:pPr>
    </w:p>
    <w:p w14:paraId="33E10CCB" w14:textId="24027DD7" w:rsidR="00636F88" w:rsidRPr="00D649FD" w:rsidRDefault="00AF6DEC" w:rsidP="0099531F">
      <w:pPr>
        <w:jc w:val="both"/>
        <w:rPr>
          <w:rFonts w:ascii="Arial" w:eastAsia="Calibri" w:hAnsi="Arial" w:cs="Arial"/>
          <w:sz w:val="20"/>
          <w:szCs w:val="20"/>
          <w:lang w:val="es-ES_tradnl"/>
        </w:rPr>
      </w:pPr>
      <w:r w:rsidRPr="00D649FD">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D649FD" w:rsidRDefault="00AF6DEC" w:rsidP="0099531F">
      <w:pPr>
        <w:jc w:val="both"/>
        <w:rPr>
          <w:rFonts w:ascii="Arial" w:eastAsia="Calibri" w:hAnsi="Arial" w:cs="Arial"/>
          <w:b/>
          <w:sz w:val="22"/>
          <w:lang w:val="es-ES_tradnl"/>
        </w:rPr>
      </w:pPr>
    </w:p>
    <w:p w14:paraId="73365DCF" w14:textId="63E2A713" w:rsidR="00272945" w:rsidRPr="00D649FD" w:rsidRDefault="00B54215" w:rsidP="00272945">
      <w:pPr>
        <w:jc w:val="both"/>
        <w:rPr>
          <w:rFonts w:ascii="Arial" w:eastAsia="Calibri" w:hAnsi="Arial" w:cs="Arial"/>
          <w:b/>
          <w:sz w:val="22"/>
          <w:lang w:val="es-ES_tradnl"/>
        </w:rPr>
      </w:pPr>
      <w:r w:rsidRPr="00D649FD">
        <w:rPr>
          <w:rFonts w:ascii="Arial" w:eastAsia="Calibri" w:hAnsi="Arial" w:cs="Arial"/>
          <w:b/>
          <w:sz w:val="22"/>
          <w:lang w:val="es-ES_tradnl"/>
        </w:rPr>
        <w:t>EMPATE</w:t>
      </w:r>
      <w:r w:rsidR="00272945" w:rsidRPr="00D649FD">
        <w:rPr>
          <w:rFonts w:ascii="Arial" w:eastAsia="Calibri" w:hAnsi="Arial" w:cs="Arial"/>
          <w:b/>
          <w:sz w:val="22"/>
          <w:lang w:val="es-ES_tradnl"/>
        </w:rPr>
        <w:t xml:space="preserve"> </w:t>
      </w:r>
      <w:r w:rsidR="00272945" w:rsidRPr="00D649FD">
        <w:rPr>
          <w:rFonts w:ascii="Arial" w:eastAsia="Calibri" w:hAnsi="Arial" w:cs="Arial"/>
          <w:b/>
          <w:color w:val="000000" w:themeColor="text1"/>
          <w:sz w:val="22"/>
          <w:lang w:val="es-ES_tradnl"/>
        </w:rPr>
        <w:t>–</w:t>
      </w:r>
      <w:r w:rsidR="00272945" w:rsidRPr="00D649FD">
        <w:rPr>
          <w:rFonts w:ascii="Arial" w:eastAsia="Calibri" w:hAnsi="Arial" w:cs="Arial"/>
          <w:b/>
          <w:sz w:val="22"/>
          <w:lang w:val="es-ES_tradnl"/>
        </w:rPr>
        <w:t xml:space="preserve"> </w:t>
      </w:r>
      <w:r w:rsidRPr="00D649FD">
        <w:rPr>
          <w:rFonts w:ascii="Arial" w:eastAsia="Calibri" w:hAnsi="Arial" w:cs="Arial"/>
          <w:b/>
          <w:sz w:val="22"/>
          <w:lang w:val="es-ES_tradnl"/>
        </w:rPr>
        <w:t>Procedimiento de selección</w:t>
      </w:r>
      <w:r w:rsidR="00272945" w:rsidRPr="00D649FD">
        <w:rPr>
          <w:rFonts w:ascii="Arial" w:eastAsia="Calibri" w:hAnsi="Arial" w:cs="Arial"/>
          <w:b/>
          <w:sz w:val="22"/>
          <w:lang w:val="es-ES_tradnl"/>
        </w:rPr>
        <w:t xml:space="preserve"> </w:t>
      </w:r>
      <w:r w:rsidR="00272945" w:rsidRPr="00D649FD">
        <w:rPr>
          <w:rFonts w:ascii="Arial" w:eastAsia="Calibri" w:hAnsi="Arial" w:cs="Arial"/>
          <w:b/>
          <w:color w:val="000000" w:themeColor="text1"/>
          <w:sz w:val="22"/>
          <w:lang w:val="es-ES_tradnl"/>
        </w:rPr>
        <w:t>– Concepto</w:t>
      </w:r>
    </w:p>
    <w:p w14:paraId="182F8CB9" w14:textId="246E5B50" w:rsidR="00272945" w:rsidRPr="00D649FD" w:rsidRDefault="00272945" w:rsidP="0099531F">
      <w:pPr>
        <w:jc w:val="both"/>
        <w:rPr>
          <w:rFonts w:ascii="Arial" w:eastAsia="Calibri" w:hAnsi="Arial" w:cs="Arial"/>
          <w:b/>
          <w:sz w:val="22"/>
          <w:lang w:val="es-ES_tradnl"/>
        </w:rPr>
      </w:pPr>
    </w:p>
    <w:p w14:paraId="29DD8E0A" w14:textId="042C4C7A" w:rsidR="006F71F5" w:rsidRPr="00D649FD" w:rsidRDefault="005C6D19" w:rsidP="005C6D19">
      <w:pPr>
        <w:jc w:val="both"/>
        <w:rPr>
          <w:rFonts w:ascii="Arial" w:hAnsi="Arial" w:cs="Arial"/>
          <w:noProof/>
          <w:color w:val="000000" w:themeColor="text1"/>
          <w:sz w:val="22"/>
          <w:lang w:val="es-ES_tradnl"/>
        </w:rPr>
      </w:pPr>
      <w:r w:rsidRPr="00D649FD">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D649FD" w:rsidRDefault="005C6D19" w:rsidP="00DF71EA">
      <w:pPr>
        <w:jc w:val="both"/>
        <w:rPr>
          <w:rFonts w:ascii="Arial" w:eastAsia="Calibri" w:hAnsi="Arial" w:cs="Arial"/>
          <w:b/>
          <w:sz w:val="22"/>
          <w:lang w:val="es-ES_tradnl"/>
        </w:rPr>
      </w:pPr>
    </w:p>
    <w:p w14:paraId="04086EC5" w14:textId="5C2FA739" w:rsidR="00DF71EA" w:rsidRPr="00D649FD" w:rsidRDefault="00D73881" w:rsidP="00DF71EA">
      <w:pPr>
        <w:jc w:val="both"/>
        <w:rPr>
          <w:rFonts w:ascii="Arial" w:eastAsia="Calibri" w:hAnsi="Arial" w:cs="Arial"/>
          <w:b/>
          <w:sz w:val="22"/>
          <w:lang w:val="es-ES_tradnl"/>
        </w:rPr>
      </w:pPr>
      <w:r w:rsidRPr="00D649FD">
        <w:rPr>
          <w:rFonts w:ascii="Arial" w:eastAsia="Calibri" w:hAnsi="Arial" w:cs="Arial"/>
          <w:b/>
          <w:sz w:val="22"/>
          <w:lang w:val="es-ES_tradnl"/>
        </w:rPr>
        <w:t>FACTORES DE DESEMPATE</w:t>
      </w:r>
      <w:r w:rsidR="00DF71EA" w:rsidRPr="00D649FD">
        <w:rPr>
          <w:rFonts w:ascii="Arial" w:eastAsia="Calibri" w:hAnsi="Arial" w:cs="Arial"/>
          <w:b/>
          <w:sz w:val="22"/>
          <w:lang w:val="es-ES_tradnl"/>
        </w:rPr>
        <w:t xml:space="preserve"> </w:t>
      </w:r>
      <w:r w:rsidR="00DF71EA" w:rsidRPr="00D649FD">
        <w:rPr>
          <w:rFonts w:ascii="Arial" w:eastAsia="Calibri" w:hAnsi="Arial" w:cs="Arial"/>
          <w:b/>
          <w:color w:val="000000" w:themeColor="text1"/>
          <w:sz w:val="22"/>
          <w:lang w:val="es-ES_tradnl"/>
        </w:rPr>
        <w:t>–</w:t>
      </w:r>
      <w:r w:rsidR="00DF71EA" w:rsidRPr="00D649FD">
        <w:rPr>
          <w:rFonts w:ascii="Arial" w:eastAsia="Calibri" w:hAnsi="Arial" w:cs="Arial"/>
          <w:b/>
          <w:sz w:val="22"/>
          <w:lang w:val="es-ES_tradnl"/>
        </w:rPr>
        <w:t xml:space="preserve"> </w:t>
      </w:r>
      <w:r w:rsidRPr="00D649FD">
        <w:rPr>
          <w:rFonts w:ascii="Arial" w:eastAsia="Calibri" w:hAnsi="Arial" w:cs="Arial"/>
          <w:b/>
          <w:sz w:val="22"/>
          <w:lang w:val="es-ES_tradnl"/>
        </w:rPr>
        <w:t>Características</w:t>
      </w:r>
      <w:r w:rsidR="00DF71EA" w:rsidRPr="00D649FD">
        <w:rPr>
          <w:rFonts w:ascii="Arial" w:eastAsia="Calibri" w:hAnsi="Arial" w:cs="Arial"/>
          <w:b/>
          <w:sz w:val="22"/>
          <w:lang w:val="es-ES_tradnl"/>
        </w:rPr>
        <w:t xml:space="preserve"> </w:t>
      </w:r>
      <w:r w:rsidR="00DF71EA" w:rsidRPr="00D649FD">
        <w:rPr>
          <w:rFonts w:ascii="Arial" w:eastAsia="Calibri" w:hAnsi="Arial" w:cs="Arial"/>
          <w:b/>
          <w:color w:val="000000" w:themeColor="text1"/>
          <w:sz w:val="22"/>
          <w:lang w:val="es-ES_tradnl"/>
        </w:rPr>
        <w:t xml:space="preserve">– </w:t>
      </w:r>
      <w:r w:rsidRPr="00D649FD">
        <w:rPr>
          <w:rFonts w:ascii="Arial" w:eastAsia="Calibri" w:hAnsi="Arial" w:cs="Arial"/>
          <w:b/>
          <w:color w:val="000000" w:themeColor="text1"/>
          <w:sz w:val="22"/>
          <w:lang w:val="es-ES_tradnl"/>
        </w:rPr>
        <w:t>Límites</w:t>
      </w:r>
    </w:p>
    <w:p w14:paraId="583F00A4" w14:textId="390EB1EB" w:rsidR="00DF71EA" w:rsidRPr="00D649FD" w:rsidRDefault="00DF71EA" w:rsidP="00B95C30">
      <w:pPr>
        <w:spacing w:line="276" w:lineRule="auto"/>
        <w:jc w:val="both"/>
        <w:rPr>
          <w:rFonts w:ascii="Arial" w:hAnsi="Arial" w:cs="Arial"/>
          <w:noProof/>
          <w:color w:val="000000" w:themeColor="text1"/>
          <w:sz w:val="22"/>
          <w:lang w:val="es-ES_tradnl"/>
        </w:rPr>
      </w:pPr>
    </w:p>
    <w:p w14:paraId="66CA4DD9" w14:textId="52AF963D" w:rsidR="00D73881" w:rsidRPr="00D649FD" w:rsidRDefault="005C6D19" w:rsidP="00D73881">
      <w:pPr>
        <w:jc w:val="both"/>
        <w:rPr>
          <w:rFonts w:ascii="Arial" w:eastAsia="Calibri" w:hAnsi="Arial" w:cs="Arial"/>
          <w:sz w:val="20"/>
          <w:szCs w:val="20"/>
          <w:lang w:val="es-ES_tradnl"/>
        </w:rPr>
      </w:pPr>
      <w:r w:rsidRPr="00D649FD">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D649FD">
        <w:rPr>
          <w:rFonts w:ascii="Arial" w:eastAsia="Calibri" w:hAnsi="Arial" w:cs="Arial"/>
          <w:sz w:val="20"/>
          <w:szCs w:val="20"/>
          <w:lang w:val="es-ES_tradnl"/>
        </w:rPr>
        <w:t>2069</w:t>
      </w:r>
      <w:r w:rsidRPr="00D649FD">
        <w:rPr>
          <w:rFonts w:ascii="Arial" w:eastAsia="Calibri" w:hAnsi="Arial" w:cs="Arial"/>
          <w:sz w:val="20"/>
          <w:szCs w:val="20"/>
          <w:lang w:val="es-ES_tradnl"/>
        </w:rPr>
        <w:t xml:space="preserve"> de 2020. La </w:t>
      </w:r>
      <w:r w:rsidR="000422EA" w:rsidRPr="00D649FD">
        <w:rPr>
          <w:rFonts w:ascii="Arial" w:eastAsia="Calibri" w:hAnsi="Arial" w:cs="Arial"/>
          <w:sz w:val="20"/>
          <w:szCs w:val="20"/>
          <w:lang w:val="es-ES_tradnl"/>
        </w:rPr>
        <w:t>jurisprudencia</w:t>
      </w:r>
      <w:r w:rsidRPr="00D649FD">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D649FD" w:rsidRDefault="005C6D19" w:rsidP="00D73881">
      <w:pPr>
        <w:jc w:val="both"/>
        <w:rPr>
          <w:rFonts w:ascii="Arial" w:eastAsia="Calibri" w:hAnsi="Arial" w:cs="Arial"/>
          <w:sz w:val="20"/>
          <w:szCs w:val="20"/>
          <w:lang w:val="es-ES_tradnl"/>
        </w:rPr>
      </w:pPr>
    </w:p>
    <w:p w14:paraId="5204F243" w14:textId="3F3E942D" w:rsidR="00D73881" w:rsidRPr="00D649FD" w:rsidRDefault="003D3F28" w:rsidP="00D73881">
      <w:pPr>
        <w:jc w:val="both"/>
        <w:rPr>
          <w:rFonts w:ascii="Arial" w:eastAsia="Calibri" w:hAnsi="Arial" w:cs="Arial"/>
          <w:sz w:val="20"/>
          <w:szCs w:val="20"/>
          <w:lang w:val="es-ES_tradnl"/>
        </w:rPr>
      </w:pPr>
      <w:r w:rsidRPr="00D649FD">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D649FD">
        <w:rPr>
          <w:rFonts w:ascii="Arial" w:eastAsia="Calibri" w:hAnsi="Arial" w:cs="Arial"/>
          <w:sz w:val="20"/>
          <w:szCs w:val="20"/>
          <w:lang w:val="es-ES_tradnl"/>
        </w:rPr>
        <w:t xml:space="preserve"> </w:t>
      </w:r>
    </w:p>
    <w:p w14:paraId="03CC5C7E" w14:textId="460BCC05" w:rsidR="00D73881" w:rsidRPr="00D649FD" w:rsidRDefault="00D73881" w:rsidP="00B95C30">
      <w:pPr>
        <w:spacing w:line="276" w:lineRule="auto"/>
        <w:jc w:val="both"/>
        <w:rPr>
          <w:rFonts w:ascii="Arial" w:hAnsi="Arial" w:cs="Arial"/>
          <w:noProof/>
          <w:color w:val="000000" w:themeColor="text1"/>
          <w:sz w:val="22"/>
          <w:lang w:val="es-ES_tradnl"/>
        </w:rPr>
      </w:pPr>
    </w:p>
    <w:p w14:paraId="0325B778" w14:textId="77777777" w:rsidR="00F6749F" w:rsidRPr="00D649FD" w:rsidRDefault="00F6749F" w:rsidP="00D73881">
      <w:pPr>
        <w:jc w:val="both"/>
        <w:rPr>
          <w:rFonts w:ascii="Arial" w:eastAsia="Calibri" w:hAnsi="Arial" w:cs="Arial"/>
          <w:b/>
          <w:sz w:val="22"/>
          <w:lang w:val="es-ES_tradnl"/>
        </w:rPr>
      </w:pPr>
    </w:p>
    <w:p w14:paraId="20087230" w14:textId="77777777" w:rsidR="00617D72" w:rsidRPr="00D649FD" w:rsidRDefault="00617D72" w:rsidP="00D73881">
      <w:pPr>
        <w:jc w:val="both"/>
        <w:rPr>
          <w:rFonts w:ascii="Arial" w:eastAsia="Calibri" w:hAnsi="Arial" w:cs="Arial"/>
          <w:b/>
          <w:sz w:val="22"/>
          <w:lang w:val="es-ES_tradnl"/>
        </w:rPr>
      </w:pPr>
    </w:p>
    <w:p w14:paraId="7144E95B" w14:textId="6179FDBF" w:rsidR="00D73881" w:rsidRPr="00D649FD" w:rsidRDefault="00D73881" w:rsidP="00D73881">
      <w:pPr>
        <w:jc w:val="both"/>
        <w:rPr>
          <w:rFonts w:ascii="Arial" w:eastAsia="Calibri" w:hAnsi="Arial" w:cs="Arial"/>
          <w:b/>
          <w:sz w:val="22"/>
          <w:lang w:val="es-ES_tradnl"/>
        </w:rPr>
      </w:pPr>
      <w:r w:rsidRPr="00D649FD">
        <w:rPr>
          <w:rFonts w:ascii="Arial" w:eastAsia="Calibri" w:hAnsi="Arial" w:cs="Arial"/>
          <w:b/>
          <w:sz w:val="22"/>
          <w:lang w:val="es-ES_tradnl"/>
        </w:rPr>
        <w:lastRenderedPageBreak/>
        <w:t xml:space="preserve">LEY DE EMPRENDIMIENTO </w:t>
      </w:r>
      <w:r w:rsidRPr="00D649FD">
        <w:rPr>
          <w:rFonts w:ascii="Arial" w:eastAsia="Calibri" w:hAnsi="Arial" w:cs="Arial"/>
          <w:b/>
          <w:color w:val="000000" w:themeColor="text1"/>
          <w:sz w:val="22"/>
          <w:lang w:val="es-ES_tradnl"/>
        </w:rPr>
        <w:t>–</w:t>
      </w:r>
      <w:r w:rsidRPr="00D649FD">
        <w:rPr>
          <w:rFonts w:ascii="Arial" w:eastAsia="Calibri" w:hAnsi="Arial" w:cs="Arial"/>
          <w:b/>
          <w:sz w:val="22"/>
          <w:lang w:val="es-ES_tradnl"/>
        </w:rPr>
        <w:t xml:space="preserve"> Ley </w:t>
      </w:r>
      <w:r w:rsidR="007B209C" w:rsidRPr="00D649FD">
        <w:rPr>
          <w:rFonts w:ascii="Arial" w:eastAsia="Calibri" w:hAnsi="Arial" w:cs="Arial"/>
          <w:b/>
          <w:sz w:val="22"/>
          <w:lang w:val="es-ES_tradnl"/>
        </w:rPr>
        <w:t>2069</w:t>
      </w:r>
      <w:r w:rsidRPr="00D649FD">
        <w:rPr>
          <w:rFonts w:ascii="Arial" w:eastAsia="Calibri" w:hAnsi="Arial" w:cs="Arial"/>
          <w:b/>
          <w:sz w:val="22"/>
          <w:lang w:val="es-ES_tradnl"/>
        </w:rPr>
        <w:t xml:space="preserve"> de 2020 </w:t>
      </w:r>
      <w:r w:rsidRPr="00D649FD">
        <w:rPr>
          <w:rFonts w:ascii="Arial" w:eastAsia="Calibri" w:hAnsi="Arial" w:cs="Arial"/>
          <w:b/>
          <w:color w:val="000000" w:themeColor="text1"/>
          <w:sz w:val="22"/>
          <w:lang w:val="es-ES_tradnl"/>
        </w:rPr>
        <w:t xml:space="preserve">– Vigencia </w:t>
      </w:r>
    </w:p>
    <w:p w14:paraId="0D3B8DEB" w14:textId="33C83BCF" w:rsidR="00D73881" w:rsidRPr="00D649FD" w:rsidRDefault="00D73881" w:rsidP="00D73881">
      <w:pPr>
        <w:jc w:val="both"/>
        <w:rPr>
          <w:rFonts w:ascii="Arial" w:eastAsia="Calibri" w:hAnsi="Arial" w:cs="Arial"/>
          <w:b/>
          <w:sz w:val="22"/>
          <w:lang w:val="es-ES_tradnl"/>
        </w:rPr>
      </w:pPr>
    </w:p>
    <w:p w14:paraId="39668D0C" w14:textId="47082B69" w:rsidR="008410B1" w:rsidRPr="00D649FD" w:rsidRDefault="008410B1" w:rsidP="008410B1">
      <w:pPr>
        <w:jc w:val="both"/>
        <w:rPr>
          <w:rFonts w:ascii="Arial" w:eastAsia="Calibri" w:hAnsi="Arial" w:cs="Arial"/>
          <w:sz w:val="20"/>
          <w:szCs w:val="20"/>
          <w:lang w:val="es-ES_tradnl"/>
        </w:rPr>
      </w:pPr>
      <w:r w:rsidRPr="00D649FD">
        <w:rPr>
          <w:rFonts w:ascii="Arial" w:eastAsia="Calibri" w:hAnsi="Arial" w:cs="Arial"/>
          <w:sz w:val="20"/>
          <w:szCs w:val="20"/>
          <w:lang w:val="es-ES_tradnl"/>
        </w:rPr>
        <w:t xml:space="preserve">El 31 de diciembre de 2020 se promulgó la Ley </w:t>
      </w:r>
      <w:r w:rsidR="007B209C" w:rsidRPr="00D649FD">
        <w:rPr>
          <w:rFonts w:ascii="Arial" w:eastAsia="Calibri" w:hAnsi="Arial" w:cs="Arial"/>
          <w:sz w:val="20"/>
          <w:szCs w:val="20"/>
          <w:lang w:val="es-ES_tradnl"/>
        </w:rPr>
        <w:t>2069</w:t>
      </w:r>
      <w:r w:rsidRPr="00D649FD">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D649FD" w:rsidRDefault="008410B1" w:rsidP="008410B1">
      <w:pPr>
        <w:jc w:val="both"/>
        <w:rPr>
          <w:rFonts w:ascii="Arial" w:eastAsia="Calibri" w:hAnsi="Arial" w:cs="Arial"/>
          <w:sz w:val="20"/>
          <w:szCs w:val="20"/>
          <w:lang w:val="es-ES_tradnl"/>
        </w:rPr>
      </w:pPr>
    </w:p>
    <w:p w14:paraId="23AB3850" w14:textId="71F6214C" w:rsidR="008410B1" w:rsidRPr="00D649FD" w:rsidRDefault="008410B1" w:rsidP="008410B1">
      <w:pPr>
        <w:jc w:val="both"/>
        <w:rPr>
          <w:rFonts w:ascii="Arial" w:eastAsia="Calibri" w:hAnsi="Arial" w:cs="Arial"/>
          <w:sz w:val="20"/>
          <w:szCs w:val="20"/>
          <w:lang w:val="es-ES_tradnl"/>
        </w:rPr>
      </w:pPr>
      <w:r w:rsidRPr="00D649FD">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D649FD">
        <w:rPr>
          <w:rFonts w:ascii="Arial" w:eastAsia="Calibri" w:hAnsi="Arial" w:cs="Arial"/>
          <w:sz w:val="20"/>
          <w:szCs w:val="20"/>
          <w:lang w:val="es-ES_tradnl"/>
        </w:rPr>
        <w:t>mipymes</w:t>
      </w:r>
      <w:proofErr w:type="spellEnd"/>
      <w:r w:rsidRPr="00D649FD">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D649FD">
        <w:rPr>
          <w:rFonts w:ascii="Arial" w:eastAsia="Calibri" w:hAnsi="Arial" w:cs="Arial"/>
          <w:sz w:val="20"/>
          <w:szCs w:val="20"/>
          <w:lang w:val="es-ES_tradnl"/>
        </w:rPr>
        <w:t>,</w:t>
      </w:r>
      <w:r w:rsidR="00B74EF8" w:rsidRPr="00D649FD">
        <w:rPr>
          <w:rFonts w:ascii="Arial" w:eastAsia="Calibri" w:hAnsi="Arial" w:cs="Arial"/>
          <w:sz w:val="20"/>
          <w:szCs w:val="20"/>
          <w:lang w:val="es-ES_tradnl"/>
        </w:rPr>
        <w:t xml:space="preserve"> </w:t>
      </w:r>
      <w:r w:rsidRPr="00D649FD">
        <w:rPr>
          <w:rFonts w:ascii="Arial" w:eastAsia="Calibri" w:hAnsi="Arial" w:cs="Arial"/>
          <w:sz w:val="20"/>
          <w:szCs w:val="20"/>
          <w:lang w:val="es-ES_tradnl"/>
        </w:rPr>
        <w:t>y se prevén medidas de educación para el emprendimiento y la innovación.</w:t>
      </w:r>
    </w:p>
    <w:p w14:paraId="7B24A529" w14:textId="77777777" w:rsidR="008410B1" w:rsidRPr="00D649FD" w:rsidRDefault="008410B1" w:rsidP="008410B1">
      <w:pPr>
        <w:jc w:val="both"/>
        <w:rPr>
          <w:rFonts w:ascii="Arial" w:eastAsia="Calibri" w:hAnsi="Arial" w:cs="Arial"/>
          <w:b/>
          <w:sz w:val="22"/>
          <w:lang w:val="es-ES_tradnl"/>
        </w:rPr>
      </w:pPr>
    </w:p>
    <w:p w14:paraId="5C894141" w14:textId="15F52C8C" w:rsidR="00D73881" w:rsidRPr="00D649FD" w:rsidRDefault="00D73881" w:rsidP="00D73881">
      <w:pPr>
        <w:jc w:val="both"/>
        <w:rPr>
          <w:rFonts w:ascii="Arial" w:eastAsia="Calibri" w:hAnsi="Arial" w:cs="Arial"/>
          <w:b/>
          <w:sz w:val="22"/>
          <w:lang w:val="es-ES_tradnl"/>
        </w:rPr>
      </w:pPr>
      <w:r w:rsidRPr="00D649FD">
        <w:rPr>
          <w:rFonts w:ascii="Arial" w:eastAsia="Calibri" w:hAnsi="Arial" w:cs="Arial"/>
          <w:b/>
          <w:sz w:val="22"/>
          <w:lang w:val="es-ES_tradnl"/>
        </w:rPr>
        <w:t xml:space="preserve">FACTORES DE DESEMPATE </w:t>
      </w:r>
      <w:r w:rsidRPr="00D649FD">
        <w:rPr>
          <w:rFonts w:ascii="Arial" w:eastAsia="Calibri" w:hAnsi="Arial" w:cs="Arial"/>
          <w:b/>
          <w:color w:val="000000" w:themeColor="text1"/>
          <w:sz w:val="22"/>
          <w:lang w:val="es-ES_tradnl"/>
        </w:rPr>
        <w:t>–</w:t>
      </w:r>
      <w:r w:rsidRPr="00D649FD">
        <w:rPr>
          <w:rFonts w:ascii="Arial" w:eastAsia="Calibri" w:hAnsi="Arial" w:cs="Arial"/>
          <w:b/>
          <w:sz w:val="22"/>
          <w:lang w:val="es-ES_tradnl"/>
        </w:rPr>
        <w:t xml:space="preserve"> Ley </w:t>
      </w:r>
      <w:r w:rsidR="007B209C" w:rsidRPr="00D649FD">
        <w:rPr>
          <w:rFonts w:ascii="Arial" w:eastAsia="Calibri" w:hAnsi="Arial" w:cs="Arial"/>
          <w:b/>
          <w:sz w:val="22"/>
          <w:lang w:val="es-ES_tradnl"/>
        </w:rPr>
        <w:t>2069</w:t>
      </w:r>
      <w:r w:rsidRPr="00D649FD">
        <w:rPr>
          <w:rFonts w:ascii="Arial" w:eastAsia="Calibri" w:hAnsi="Arial" w:cs="Arial"/>
          <w:b/>
          <w:sz w:val="22"/>
          <w:lang w:val="es-ES_tradnl"/>
        </w:rPr>
        <w:t xml:space="preserve"> </w:t>
      </w:r>
      <w:r w:rsidRPr="00D649FD">
        <w:rPr>
          <w:rFonts w:ascii="Arial" w:eastAsia="Calibri" w:hAnsi="Arial" w:cs="Arial"/>
          <w:b/>
          <w:color w:val="000000" w:themeColor="text1"/>
          <w:sz w:val="22"/>
          <w:lang w:val="es-ES_tradnl"/>
        </w:rPr>
        <w:t>– Artículo 35 – Acreditación</w:t>
      </w:r>
    </w:p>
    <w:p w14:paraId="4D9EB4C1" w14:textId="20D03020" w:rsidR="00D73881" w:rsidRPr="00D649FD" w:rsidRDefault="00D73881" w:rsidP="00B95C30">
      <w:pPr>
        <w:spacing w:line="276" w:lineRule="auto"/>
        <w:jc w:val="both"/>
        <w:rPr>
          <w:rFonts w:ascii="Arial" w:hAnsi="Arial" w:cs="Arial"/>
          <w:noProof/>
          <w:color w:val="000000" w:themeColor="text1"/>
          <w:sz w:val="22"/>
          <w:lang w:val="es-ES_tradnl"/>
        </w:rPr>
      </w:pPr>
    </w:p>
    <w:p w14:paraId="53B8D6C5" w14:textId="0CA39CFB" w:rsidR="003C5E8A" w:rsidRPr="00D649FD" w:rsidRDefault="00160C01" w:rsidP="003C5E8A">
      <w:pPr>
        <w:jc w:val="both"/>
        <w:rPr>
          <w:rFonts w:ascii="Arial" w:eastAsia="Calibri" w:hAnsi="Arial" w:cs="Arial"/>
          <w:sz w:val="20"/>
          <w:szCs w:val="20"/>
          <w:lang w:val="es-ES_tradnl"/>
        </w:rPr>
      </w:pPr>
      <w:r w:rsidRPr="00D649FD">
        <w:rPr>
          <w:rFonts w:ascii="Arial" w:eastAsia="Calibri" w:hAnsi="Arial" w:cs="Arial"/>
          <w:sz w:val="20"/>
          <w:szCs w:val="20"/>
          <w:lang w:val="es-ES_tradnl"/>
        </w:rPr>
        <w:t>[…]</w:t>
      </w:r>
      <w:r w:rsidR="00B02F7C" w:rsidRPr="00D649FD">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D649FD">
        <w:rPr>
          <w:rFonts w:ascii="Arial" w:eastAsia="Calibri" w:hAnsi="Arial" w:cs="Arial"/>
          <w:sz w:val="20"/>
          <w:szCs w:val="20"/>
          <w:lang w:val="es-ES_tradnl"/>
        </w:rPr>
        <w:t>2069</w:t>
      </w:r>
      <w:r w:rsidR="00B02F7C" w:rsidRPr="00D649FD">
        <w:rPr>
          <w:rFonts w:ascii="Arial" w:eastAsia="Calibri" w:hAnsi="Arial" w:cs="Arial"/>
          <w:sz w:val="20"/>
          <w:szCs w:val="20"/>
          <w:lang w:val="es-ES_tradnl"/>
        </w:rPr>
        <w:t xml:space="preserve"> de 2020 podría establecer los medios de prueba, así como las autoridades encargadas de certificar las circunstancias del artículo 35.</w:t>
      </w:r>
      <w:r w:rsidR="00D649FD" w:rsidRPr="00D649FD">
        <w:rPr>
          <w:rFonts w:ascii="Arial" w:eastAsia="Calibri" w:hAnsi="Arial" w:cs="Arial"/>
          <w:sz w:val="20"/>
          <w:szCs w:val="20"/>
          <w:lang w:val="es-ES_tradnl"/>
        </w:rPr>
        <w:t xml:space="preserve"> </w:t>
      </w:r>
      <w:r w:rsidR="00B02F7C" w:rsidRPr="00D649FD">
        <w:rPr>
          <w:rFonts w:ascii="Arial" w:eastAsia="Calibri" w:hAnsi="Arial" w:cs="Arial"/>
          <w:sz w:val="20"/>
          <w:szCs w:val="20"/>
          <w:lang w:val="es-ES_tradnl"/>
        </w:rPr>
        <w:t>Sin embargo, mientras ello no suceda, deberá aplicarse el criterio indicado con anterioridad.</w:t>
      </w:r>
    </w:p>
    <w:p w14:paraId="5B078637" w14:textId="77777777" w:rsidR="00B167C8" w:rsidRPr="00D649FD" w:rsidRDefault="00B167C8" w:rsidP="00B95C30">
      <w:pPr>
        <w:spacing w:line="276" w:lineRule="auto"/>
        <w:jc w:val="both"/>
        <w:rPr>
          <w:rFonts w:ascii="Arial" w:hAnsi="Arial" w:cs="Arial"/>
          <w:noProof/>
          <w:color w:val="000000" w:themeColor="text1"/>
          <w:sz w:val="22"/>
          <w:lang w:val="es-ES_tradnl"/>
        </w:rPr>
      </w:pPr>
    </w:p>
    <w:p w14:paraId="13C27EB7" w14:textId="77777777" w:rsidR="00B167C8" w:rsidRPr="00D649FD"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D649FD"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D649FD"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D649FD"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D649FD"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D649FD"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D649FD"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D649FD"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D649FD"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D649FD" w:rsidRDefault="00160C01" w:rsidP="00B95C30">
      <w:pPr>
        <w:spacing w:line="276" w:lineRule="auto"/>
        <w:jc w:val="both"/>
        <w:rPr>
          <w:rFonts w:ascii="Arial" w:hAnsi="Arial" w:cs="Arial"/>
          <w:noProof/>
          <w:color w:val="000000" w:themeColor="text1"/>
          <w:sz w:val="22"/>
          <w:lang w:val="es-ES_tradnl"/>
        </w:rPr>
      </w:pPr>
    </w:p>
    <w:p w14:paraId="12A9C41A" w14:textId="4533CEC5" w:rsidR="00F53F4F" w:rsidRPr="00D649FD" w:rsidRDefault="00F53F4F" w:rsidP="00B95C30">
      <w:pPr>
        <w:spacing w:line="276" w:lineRule="auto"/>
        <w:jc w:val="both"/>
        <w:rPr>
          <w:rFonts w:ascii="Arial" w:hAnsi="Arial" w:cs="Arial"/>
          <w:noProof/>
          <w:color w:val="000000" w:themeColor="text1"/>
          <w:sz w:val="22"/>
          <w:lang w:val="es-ES_tradnl"/>
        </w:rPr>
      </w:pPr>
    </w:p>
    <w:p w14:paraId="6F904836" w14:textId="77777777" w:rsidR="00DC2B50" w:rsidRPr="00D649FD" w:rsidRDefault="00DC2B50" w:rsidP="00B95C30">
      <w:pPr>
        <w:spacing w:line="276" w:lineRule="auto"/>
        <w:jc w:val="both"/>
        <w:rPr>
          <w:rFonts w:ascii="Arial" w:hAnsi="Arial" w:cs="Arial"/>
          <w:noProof/>
          <w:color w:val="000000" w:themeColor="text1"/>
          <w:sz w:val="22"/>
          <w:lang w:val="es-ES_tradnl"/>
        </w:rPr>
      </w:pPr>
    </w:p>
    <w:p w14:paraId="7DD48F49" w14:textId="18B61A58" w:rsidR="00B95C30" w:rsidRPr="00D649FD" w:rsidRDefault="00B95C30" w:rsidP="00B95C30">
      <w:pPr>
        <w:spacing w:line="276" w:lineRule="auto"/>
        <w:jc w:val="both"/>
        <w:rPr>
          <w:rFonts w:ascii="Arial" w:hAnsi="Arial" w:cs="Arial"/>
          <w:b/>
          <w:bCs/>
          <w:noProof/>
          <w:color w:val="000000" w:themeColor="text1"/>
          <w:sz w:val="22"/>
          <w:lang w:val="es-ES_tradnl"/>
        </w:rPr>
      </w:pPr>
      <w:r w:rsidRPr="00D649FD">
        <w:rPr>
          <w:rFonts w:ascii="Arial" w:hAnsi="Arial" w:cs="Arial"/>
          <w:noProof/>
          <w:color w:val="000000" w:themeColor="text1"/>
          <w:sz w:val="22"/>
          <w:lang w:val="es-ES_tradnl"/>
        </w:rPr>
        <w:t xml:space="preserve">Bogotá D.C., </w:t>
      </w:r>
      <w:r w:rsidR="00340CC6">
        <w:rPr>
          <w:rFonts w:ascii="Arial" w:hAnsi="Arial" w:cs="Arial"/>
          <w:b/>
          <w:color w:val="000000" w:themeColor="text1"/>
          <w:sz w:val="22"/>
          <w:lang w:val="es-ES_tradnl"/>
        </w:rPr>
        <w:t>03/05/2021 16:16:17</w:t>
      </w:r>
    </w:p>
    <w:p w14:paraId="1F928DBD" w14:textId="77777777" w:rsidR="00F53F4F" w:rsidRPr="00D649FD" w:rsidRDefault="00F53F4F" w:rsidP="00B95C30">
      <w:pPr>
        <w:spacing w:line="276" w:lineRule="auto"/>
        <w:jc w:val="both"/>
        <w:rPr>
          <w:rFonts w:ascii="Arial" w:eastAsia="Calibri" w:hAnsi="Arial" w:cs="Arial"/>
          <w:noProof/>
          <w:color w:val="000000" w:themeColor="text1"/>
          <w:sz w:val="22"/>
          <w:szCs w:val="22"/>
          <w:lang w:val="es-ES_tradnl"/>
        </w:rPr>
      </w:pPr>
    </w:p>
    <w:p w14:paraId="2C4E863B" w14:textId="43D0359D" w:rsidR="00340CC6" w:rsidRPr="00340CC6" w:rsidRDefault="00340CC6" w:rsidP="00340CC6">
      <w:pPr>
        <w:jc w:val="right"/>
      </w:pPr>
      <w:r w:rsidRPr="00340CC6">
        <w:fldChar w:fldCharType="begin"/>
      </w:r>
      <w:r w:rsidRPr="00340CC6">
        <w:instrText xml:space="preserve"> INCLUDEPICTURE "/var/folders/5l/v1rdjm0x1x9416lmbj7_vjt40000gn/T/com.microsoft.Word/WebArchiveCopyPasteTempFiles/page1image1721408" \* MERGEFORMATINET </w:instrText>
      </w:r>
      <w:r w:rsidRPr="00340CC6">
        <w:fldChar w:fldCharType="separate"/>
      </w:r>
      <w:r w:rsidRPr="00340CC6">
        <w:rPr>
          <w:noProof/>
        </w:rPr>
        <w:drawing>
          <wp:inline distT="0" distB="0" distL="0" distR="0" wp14:anchorId="11C421BA" wp14:editId="3F26852F">
            <wp:extent cx="2400300" cy="607060"/>
            <wp:effectExtent l="0" t="0" r="0" b="2540"/>
            <wp:docPr id="4" name="Imagen 4" descr="page1image172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21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07060"/>
                    </a:xfrm>
                    <a:prstGeom prst="rect">
                      <a:avLst/>
                    </a:prstGeom>
                    <a:noFill/>
                    <a:ln>
                      <a:noFill/>
                    </a:ln>
                  </pic:spPr>
                </pic:pic>
              </a:graphicData>
            </a:graphic>
          </wp:inline>
        </w:drawing>
      </w:r>
      <w:r w:rsidRPr="00340CC6">
        <w:fldChar w:fldCharType="end"/>
      </w:r>
    </w:p>
    <w:p w14:paraId="6A8A869B" w14:textId="514D7C5B" w:rsidR="00B95C30" w:rsidRPr="00D649FD" w:rsidRDefault="00B95C30" w:rsidP="00B95C30">
      <w:pPr>
        <w:jc w:val="both"/>
        <w:rPr>
          <w:rFonts w:ascii="Arial" w:hAnsi="Arial" w:cs="Arial"/>
          <w:b/>
          <w:color w:val="000000" w:themeColor="text1"/>
          <w:sz w:val="22"/>
          <w:lang w:val="es-ES_tradnl"/>
        </w:rPr>
      </w:pPr>
    </w:p>
    <w:p w14:paraId="24A88D3F" w14:textId="77777777" w:rsidR="00F53F4F" w:rsidRPr="00D649FD" w:rsidRDefault="00F53F4F" w:rsidP="00B95C30">
      <w:pPr>
        <w:jc w:val="both"/>
        <w:rPr>
          <w:rFonts w:ascii="Arial" w:hAnsi="Arial" w:cs="Arial"/>
          <w:b/>
          <w:color w:val="000000" w:themeColor="text1"/>
          <w:sz w:val="22"/>
          <w:lang w:val="es-ES_tradnl"/>
        </w:rPr>
      </w:pPr>
    </w:p>
    <w:p w14:paraId="5F5AE9EF" w14:textId="1BBEE93C" w:rsidR="00B95C30" w:rsidRPr="00D649FD" w:rsidRDefault="00BE4FBF" w:rsidP="00B95C30">
      <w:pPr>
        <w:jc w:val="both"/>
        <w:rPr>
          <w:rFonts w:ascii="Arial" w:eastAsia="Calibri" w:hAnsi="Arial" w:cs="Arial"/>
          <w:color w:val="000000" w:themeColor="text1"/>
          <w:sz w:val="22"/>
          <w:lang w:val="es-ES_tradnl"/>
        </w:rPr>
      </w:pPr>
      <w:r w:rsidRPr="00D649FD">
        <w:rPr>
          <w:rFonts w:ascii="Arial" w:eastAsia="Calibri" w:hAnsi="Arial" w:cs="Arial"/>
          <w:color w:val="000000" w:themeColor="text1"/>
          <w:sz w:val="22"/>
          <w:lang w:val="es-ES_tradnl"/>
        </w:rPr>
        <w:t>Señor</w:t>
      </w:r>
      <w:r w:rsidR="00013875" w:rsidRPr="00D649FD">
        <w:rPr>
          <w:rFonts w:ascii="Arial" w:eastAsia="Calibri" w:hAnsi="Arial" w:cs="Arial"/>
          <w:color w:val="000000" w:themeColor="text1"/>
          <w:sz w:val="22"/>
          <w:lang w:val="es-ES_tradnl"/>
        </w:rPr>
        <w:t>a</w:t>
      </w:r>
    </w:p>
    <w:p w14:paraId="3DCD58CE" w14:textId="66272BE3" w:rsidR="00B95C30" w:rsidRPr="00D649FD" w:rsidRDefault="00013875" w:rsidP="00B95C30">
      <w:pPr>
        <w:jc w:val="both"/>
        <w:rPr>
          <w:rFonts w:ascii="Arial" w:eastAsia="Calibri" w:hAnsi="Arial" w:cs="Arial"/>
          <w:b/>
          <w:color w:val="000000" w:themeColor="text1"/>
          <w:sz w:val="22"/>
          <w:lang w:val="es-ES_tradnl"/>
        </w:rPr>
      </w:pPr>
      <w:r w:rsidRPr="00D649FD">
        <w:rPr>
          <w:rFonts w:ascii="Arial" w:eastAsia="Calibri" w:hAnsi="Arial" w:cs="Arial"/>
          <w:b/>
          <w:color w:val="000000" w:themeColor="text1"/>
          <w:sz w:val="22"/>
          <w:lang w:val="es-ES_tradnl"/>
        </w:rPr>
        <w:t xml:space="preserve">Ximena Alexandra Pachón </w:t>
      </w:r>
      <w:proofErr w:type="spellStart"/>
      <w:r w:rsidRPr="00D649FD">
        <w:rPr>
          <w:rFonts w:ascii="Arial" w:eastAsia="Calibri" w:hAnsi="Arial" w:cs="Arial"/>
          <w:b/>
          <w:color w:val="000000" w:themeColor="text1"/>
          <w:sz w:val="22"/>
          <w:lang w:val="es-ES_tradnl"/>
        </w:rPr>
        <w:t>Anzola</w:t>
      </w:r>
      <w:proofErr w:type="spellEnd"/>
    </w:p>
    <w:p w14:paraId="09D4AEA8" w14:textId="658189A9" w:rsidR="00B95C30" w:rsidRPr="00D649FD" w:rsidRDefault="00716BB0" w:rsidP="00B95C30">
      <w:pPr>
        <w:jc w:val="both"/>
        <w:rPr>
          <w:rFonts w:ascii="Arial" w:eastAsia="Calibri" w:hAnsi="Arial" w:cs="Arial"/>
          <w:color w:val="000000" w:themeColor="text1"/>
          <w:sz w:val="22"/>
          <w:lang w:val="es-ES_tradnl"/>
        </w:rPr>
      </w:pPr>
      <w:r w:rsidRPr="00D649FD">
        <w:rPr>
          <w:rFonts w:ascii="Arial" w:eastAsia="Calibri" w:hAnsi="Arial" w:cs="Arial"/>
          <w:color w:val="000000" w:themeColor="text1"/>
          <w:sz w:val="22"/>
          <w:lang w:val="es-ES_tradnl"/>
        </w:rPr>
        <w:t>Bogotá D.C.</w:t>
      </w:r>
    </w:p>
    <w:p w14:paraId="3B584A57" w14:textId="4528CA3D" w:rsidR="00F53F4F" w:rsidRPr="00D649FD" w:rsidRDefault="00F53F4F" w:rsidP="00B95C30">
      <w:pPr>
        <w:jc w:val="both"/>
        <w:rPr>
          <w:rFonts w:ascii="Arial" w:eastAsia="Calibri" w:hAnsi="Arial" w:cs="Arial"/>
          <w:color w:val="000000" w:themeColor="text1"/>
          <w:sz w:val="22"/>
          <w:lang w:val="es-ES_tradnl"/>
        </w:rPr>
      </w:pPr>
    </w:p>
    <w:p w14:paraId="48E36FCF" w14:textId="77777777" w:rsidR="00F53F4F" w:rsidRPr="00D649FD" w:rsidRDefault="00F53F4F" w:rsidP="00B95C30">
      <w:pPr>
        <w:jc w:val="both"/>
        <w:rPr>
          <w:rFonts w:ascii="Arial" w:eastAsia="Calibri" w:hAnsi="Arial" w:cs="Arial"/>
          <w:color w:val="000000" w:themeColor="text1"/>
          <w:sz w:val="22"/>
          <w:lang w:val="es-ES_tradnl"/>
        </w:rPr>
      </w:pPr>
    </w:p>
    <w:p w14:paraId="12E66182" w14:textId="7C4A4DE3" w:rsidR="00B95C30" w:rsidRPr="00D649FD" w:rsidRDefault="00F53F4F" w:rsidP="001D6CD2">
      <w:pPr>
        <w:rPr>
          <w:rFonts w:ascii="Arial" w:eastAsia="Calibri" w:hAnsi="Arial" w:cs="Arial"/>
          <w:b/>
          <w:bCs/>
          <w:color w:val="000000" w:themeColor="text1"/>
          <w:sz w:val="22"/>
          <w:lang w:val="es-ES_tradnl"/>
        </w:rPr>
      </w:pPr>
      <w:r w:rsidRPr="00D649FD">
        <w:rPr>
          <w:rFonts w:ascii="Arial" w:eastAsia="Calibri" w:hAnsi="Arial" w:cs="Arial"/>
          <w:b/>
          <w:bCs/>
          <w:color w:val="000000" w:themeColor="text1"/>
          <w:sz w:val="22"/>
          <w:lang w:val="es-ES_tradnl"/>
        </w:rPr>
        <w:t xml:space="preserve">                                            </w:t>
      </w:r>
      <w:r w:rsidR="00B95C30" w:rsidRPr="00D649FD">
        <w:rPr>
          <w:rFonts w:ascii="Arial" w:eastAsia="Calibri" w:hAnsi="Arial" w:cs="Arial"/>
          <w:b/>
          <w:bCs/>
          <w:color w:val="000000" w:themeColor="text1"/>
          <w:sz w:val="22"/>
          <w:lang w:val="es-ES_tradnl"/>
        </w:rPr>
        <w:t xml:space="preserve">Concepto C ‒ </w:t>
      </w:r>
      <w:r w:rsidR="00AE114B" w:rsidRPr="00D649FD">
        <w:rPr>
          <w:rFonts w:ascii="Arial" w:eastAsia="Calibri" w:hAnsi="Arial" w:cs="Arial"/>
          <w:b/>
          <w:bCs/>
          <w:color w:val="000000" w:themeColor="text1"/>
          <w:sz w:val="22"/>
          <w:lang w:val="es-ES_tradnl"/>
        </w:rPr>
        <w:t>206</w:t>
      </w:r>
      <w:r w:rsidR="00B95C30" w:rsidRPr="00D649FD">
        <w:rPr>
          <w:rFonts w:ascii="Arial" w:eastAsia="Calibri" w:hAnsi="Arial" w:cs="Arial"/>
          <w:b/>
          <w:bCs/>
          <w:color w:val="000000" w:themeColor="text1"/>
          <w:sz w:val="22"/>
          <w:lang w:val="es-ES_tradnl"/>
        </w:rPr>
        <w:t xml:space="preserve"> de 202</w:t>
      </w:r>
      <w:r w:rsidR="005E781C" w:rsidRPr="00D649FD">
        <w:rPr>
          <w:rFonts w:ascii="Arial" w:eastAsia="Calibri" w:hAnsi="Arial" w:cs="Arial"/>
          <w:b/>
          <w:bCs/>
          <w:color w:val="000000" w:themeColor="text1"/>
          <w:sz w:val="22"/>
          <w:lang w:val="es-ES_tradnl"/>
        </w:rPr>
        <w:t>1</w:t>
      </w:r>
    </w:p>
    <w:p w14:paraId="1BD594F9" w14:textId="77777777" w:rsidR="00B95C30" w:rsidRPr="00D649FD"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649FD" w14:paraId="19DFC051" w14:textId="77777777" w:rsidTr="008F4163">
        <w:tc>
          <w:tcPr>
            <w:tcW w:w="2689" w:type="dxa"/>
          </w:tcPr>
          <w:p w14:paraId="6BC0D1AC" w14:textId="77777777" w:rsidR="00B95C30" w:rsidRPr="00D649FD" w:rsidRDefault="00B95C30" w:rsidP="008F4163">
            <w:pPr>
              <w:jc w:val="both"/>
              <w:rPr>
                <w:rFonts w:ascii="Arial" w:eastAsia="Calibri" w:hAnsi="Arial" w:cs="Arial"/>
                <w:color w:val="000000" w:themeColor="text1"/>
                <w:sz w:val="22"/>
                <w:lang w:val="es-ES_tradnl"/>
              </w:rPr>
            </w:pPr>
            <w:r w:rsidRPr="00D649FD">
              <w:rPr>
                <w:rFonts w:ascii="Arial" w:eastAsia="Calibri" w:hAnsi="Arial" w:cs="Arial"/>
                <w:b/>
                <w:color w:val="000000" w:themeColor="text1"/>
                <w:sz w:val="22"/>
                <w:lang w:val="es-ES_tradnl"/>
              </w:rPr>
              <w:t>Temas:</w:t>
            </w:r>
            <w:r w:rsidRPr="00D649FD">
              <w:rPr>
                <w:rFonts w:ascii="Arial" w:eastAsia="Calibri" w:hAnsi="Arial" w:cs="Arial"/>
                <w:color w:val="000000" w:themeColor="text1"/>
                <w:sz w:val="22"/>
                <w:lang w:val="es-ES_tradnl"/>
              </w:rPr>
              <w:t xml:space="preserve">                                      </w:t>
            </w:r>
          </w:p>
        </w:tc>
        <w:tc>
          <w:tcPr>
            <w:tcW w:w="6237" w:type="dxa"/>
          </w:tcPr>
          <w:p w14:paraId="5F389CAF" w14:textId="05951CF4" w:rsidR="00B95C30" w:rsidRPr="00D649FD" w:rsidRDefault="008B63FE" w:rsidP="008F4163">
            <w:pPr>
              <w:jc w:val="both"/>
              <w:rPr>
                <w:rFonts w:ascii="Arial" w:eastAsia="Calibri" w:hAnsi="Arial" w:cs="Arial"/>
                <w:color w:val="000000" w:themeColor="text1"/>
                <w:sz w:val="22"/>
                <w:lang w:val="es-ES_tradnl"/>
              </w:rPr>
            </w:pPr>
            <w:r w:rsidRPr="00D649FD">
              <w:rPr>
                <w:rFonts w:ascii="Arial" w:eastAsia="Calibri" w:hAnsi="Arial" w:cs="Arial"/>
                <w:bCs/>
                <w:sz w:val="22"/>
                <w:lang w:val="es-ES_tradnl"/>
              </w:rPr>
              <w:t xml:space="preserve">SELECCIÓN OBJETIVA – Contratación estatal – Concepto </w:t>
            </w:r>
            <w:r w:rsidR="00B95C30" w:rsidRPr="00D649FD">
              <w:rPr>
                <w:rFonts w:ascii="Arial" w:eastAsia="Calibri" w:hAnsi="Arial" w:cs="Arial"/>
                <w:bCs/>
                <w:sz w:val="22"/>
                <w:lang w:val="es-ES_tradnl"/>
              </w:rPr>
              <w:t>/</w:t>
            </w:r>
            <w:r w:rsidRPr="00D649FD">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D649FD">
              <w:rPr>
                <w:rFonts w:ascii="Arial" w:eastAsia="Calibri" w:hAnsi="Arial" w:cs="Arial"/>
                <w:bCs/>
                <w:sz w:val="22"/>
                <w:lang w:val="es-ES_tradnl"/>
              </w:rPr>
              <w:t>2069</w:t>
            </w:r>
            <w:r w:rsidRPr="00D649FD">
              <w:rPr>
                <w:rFonts w:ascii="Arial" w:eastAsia="Calibri" w:hAnsi="Arial" w:cs="Arial"/>
                <w:bCs/>
                <w:sz w:val="22"/>
                <w:lang w:val="es-ES_tradnl"/>
              </w:rPr>
              <w:t xml:space="preserve"> de 2020 – Vigencia / FACTORES DE DESEMPATE – Ley </w:t>
            </w:r>
            <w:r w:rsidR="007B209C" w:rsidRPr="00D649FD">
              <w:rPr>
                <w:rFonts w:ascii="Arial" w:eastAsia="Calibri" w:hAnsi="Arial" w:cs="Arial"/>
                <w:bCs/>
                <w:sz w:val="22"/>
                <w:lang w:val="es-ES_tradnl"/>
              </w:rPr>
              <w:t>2069</w:t>
            </w:r>
            <w:r w:rsidRPr="00D649FD">
              <w:rPr>
                <w:rFonts w:ascii="Arial" w:eastAsia="Calibri" w:hAnsi="Arial" w:cs="Arial"/>
                <w:bCs/>
                <w:sz w:val="22"/>
                <w:lang w:val="es-ES_tradnl"/>
              </w:rPr>
              <w:t xml:space="preserve"> – Artículo 35 – Acreditación</w:t>
            </w:r>
            <w:r w:rsidR="00B95C30" w:rsidRPr="00D649FD">
              <w:rPr>
                <w:rFonts w:ascii="Arial" w:eastAsia="Arial" w:hAnsi="Arial" w:cs="Arial"/>
                <w:sz w:val="22"/>
                <w:lang w:val="es-ES_tradnl"/>
              </w:rPr>
              <w:t>.</w:t>
            </w:r>
          </w:p>
        </w:tc>
      </w:tr>
      <w:tr w:rsidR="00B95C30" w:rsidRPr="00D649FD" w14:paraId="27CD52AB" w14:textId="77777777" w:rsidTr="008F4163">
        <w:tc>
          <w:tcPr>
            <w:tcW w:w="2689" w:type="dxa"/>
          </w:tcPr>
          <w:p w14:paraId="37E195A1" w14:textId="1BA218D5" w:rsidR="00B95C30" w:rsidRPr="00D649FD" w:rsidRDefault="00B95C30" w:rsidP="008F4163">
            <w:pPr>
              <w:spacing w:before="120"/>
              <w:jc w:val="both"/>
              <w:rPr>
                <w:rFonts w:ascii="Arial" w:eastAsia="Calibri" w:hAnsi="Arial" w:cs="Arial"/>
                <w:b/>
                <w:color w:val="000000" w:themeColor="text1"/>
                <w:sz w:val="22"/>
                <w:lang w:val="es-ES_tradnl"/>
              </w:rPr>
            </w:pPr>
            <w:r w:rsidRPr="00D649FD">
              <w:rPr>
                <w:rFonts w:ascii="Arial" w:eastAsia="Calibri" w:hAnsi="Arial" w:cs="Arial"/>
                <w:b/>
                <w:color w:val="000000" w:themeColor="text1"/>
                <w:sz w:val="22"/>
                <w:lang w:val="es-ES_tradnl"/>
              </w:rPr>
              <w:t>Radicación:</w:t>
            </w:r>
            <w:r w:rsidRPr="00D649FD">
              <w:rPr>
                <w:rFonts w:ascii="Arial" w:eastAsia="Calibri" w:hAnsi="Arial" w:cs="Arial"/>
                <w:color w:val="000000" w:themeColor="text1"/>
                <w:sz w:val="22"/>
                <w:lang w:val="es-ES_tradnl"/>
              </w:rPr>
              <w:t xml:space="preserve">                              </w:t>
            </w:r>
          </w:p>
        </w:tc>
        <w:tc>
          <w:tcPr>
            <w:tcW w:w="6237" w:type="dxa"/>
          </w:tcPr>
          <w:p w14:paraId="09088B1B" w14:textId="7632F8FB" w:rsidR="00B95C30" w:rsidRPr="00D649FD" w:rsidRDefault="00B95C30" w:rsidP="008F4163">
            <w:pPr>
              <w:spacing w:before="120"/>
              <w:jc w:val="both"/>
              <w:rPr>
                <w:rFonts w:ascii="Arial" w:eastAsia="Calibri" w:hAnsi="Arial" w:cs="Arial"/>
                <w:color w:val="000000" w:themeColor="text1"/>
                <w:sz w:val="22"/>
                <w:lang w:val="es-ES_tradnl"/>
              </w:rPr>
            </w:pPr>
            <w:r w:rsidRPr="00D649FD">
              <w:rPr>
                <w:rFonts w:ascii="Arial" w:eastAsia="Calibri" w:hAnsi="Arial" w:cs="Arial"/>
                <w:color w:val="000000" w:themeColor="text1"/>
                <w:sz w:val="22"/>
                <w:lang w:val="es-ES_tradnl"/>
              </w:rPr>
              <w:t xml:space="preserve">Respuesta a consulta # </w:t>
            </w:r>
            <w:r w:rsidR="000B2CFF" w:rsidRPr="00D649FD">
              <w:rPr>
                <w:rFonts w:ascii="Arial" w:eastAsia="Calibri" w:hAnsi="Arial" w:cs="Arial"/>
                <w:color w:val="000000" w:themeColor="text1"/>
                <w:sz w:val="22"/>
                <w:lang w:val="es-ES_tradnl"/>
              </w:rPr>
              <w:t>P20210320002343</w:t>
            </w:r>
          </w:p>
        </w:tc>
      </w:tr>
    </w:tbl>
    <w:p w14:paraId="61B55CA4" w14:textId="77777777" w:rsidR="00716BB0" w:rsidRPr="00D649FD" w:rsidRDefault="00716BB0" w:rsidP="003C3339">
      <w:pPr>
        <w:jc w:val="both"/>
        <w:rPr>
          <w:rFonts w:ascii="Arial" w:eastAsia="Calibri" w:hAnsi="Arial" w:cs="Arial"/>
          <w:color w:val="000000" w:themeColor="text1"/>
          <w:sz w:val="22"/>
          <w:lang w:val="es-ES_tradnl"/>
        </w:rPr>
      </w:pPr>
    </w:p>
    <w:p w14:paraId="4B9B5156" w14:textId="77777777" w:rsidR="00716BB0" w:rsidRPr="00D649FD" w:rsidRDefault="00716BB0" w:rsidP="003C3339">
      <w:pPr>
        <w:jc w:val="both"/>
        <w:rPr>
          <w:rFonts w:ascii="Arial" w:eastAsia="Calibri" w:hAnsi="Arial" w:cs="Arial"/>
          <w:color w:val="000000" w:themeColor="text1"/>
          <w:sz w:val="22"/>
          <w:lang w:val="es-ES_tradnl"/>
        </w:rPr>
      </w:pPr>
    </w:p>
    <w:p w14:paraId="1CF4AEA0" w14:textId="2B63892E" w:rsidR="003C3339" w:rsidRPr="00D649FD" w:rsidRDefault="003C3339" w:rsidP="003C3339">
      <w:pPr>
        <w:jc w:val="both"/>
        <w:rPr>
          <w:rFonts w:ascii="Arial" w:eastAsia="Calibri" w:hAnsi="Arial" w:cs="Arial"/>
          <w:color w:val="000000" w:themeColor="text1"/>
          <w:sz w:val="22"/>
          <w:lang w:val="es-ES_tradnl"/>
        </w:rPr>
      </w:pPr>
      <w:r w:rsidRPr="00D649FD">
        <w:rPr>
          <w:rFonts w:ascii="Arial" w:eastAsia="Calibri" w:hAnsi="Arial" w:cs="Arial"/>
          <w:color w:val="000000" w:themeColor="text1"/>
          <w:sz w:val="22"/>
          <w:lang w:val="es-ES_tradnl"/>
        </w:rPr>
        <w:t>Estimad</w:t>
      </w:r>
      <w:r w:rsidR="00824183" w:rsidRPr="00D649FD">
        <w:rPr>
          <w:rFonts w:ascii="Arial" w:eastAsia="Calibri" w:hAnsi="Arial" w:cs="Arial"/>
          <w:color w:val="000000" w:themeColor="text1"/>
          <w:sz w:val="22"/>
          <w:lang w:val="es-ES_tradnl"/>
        </w:rPr>
        <w:t>a</w:t>
      </w:r>
      <w:r w:rsidRPr="00D649FD">
        <w:rPr>
          <w:rFonts w:ascii="Arial" w:eastAsia="Calibri" w:hAnsi="Arial" w:cs="Arial"/>
          <w:color w:val="000000" w:themeColor="text1"/>
          <w:sz w:val="22"/>
          <w:lang w:val="es-ES_tradnl"/>
        </w:rPr>
        <w:t xml:space="preserve"> </w:t>
      </w:r>
      <w:r w:rsidR="0063732C" w:rsidRPr="00D649FD">
        <w:rPr>
          <w:rFonts w:ascii="Arial" w:eastAsia="Calibri" w:hAnsi="Arial" w:cs="Arial"/>
          <w:color w:val="000000" w:themeColor="text1"/>
          <w:sz w:val="22"/>
          <w:lang w:val="es-ES_tradnl"/>
        </w:rPr>
        <w:t>señor</w:t>
      </w:r>
      <w:r w:rsidR="00824183" w:rsidRPr="00D649FD">
        <w:rPr>
          <w:rFonts w:ascii="Arial" w:eastAsia="Calibri" w:hAnsi="Arial" w:cs="Arial"/>
          <w:color w:val="000000" w:themeColor="text1"/>
          <w:sz w:val="22"/>
          <w:lang w:val="es-ES_tradnl"/>
        </w:rPr>
        <w:t>a</w:t>
      </w:r>
      <w:r w:rsidR="00BE4FBF" w:rsidRPr="00D649FD">
        <w:rPr>
          <w:rFonts w:ascii="Arial" w:eastAsia="Calibri" w:hAnsi="Arial" w:cs="Arial"/>
          <w:color w:val="000000" w:themeColor="text1"/>
          <w:sz w:val="22"/>
          <w:lang w:val="es-ES_tradnl"/>
        </w:rPr>
        <w:t xml:space="preserve"> </w:t>
      </w:r>
      <w:r w:rsidR="00824183" w:rsidRPr="00D649FD">
        <w:rPr>
          <w:rFonts w:ascii="Arial" w:eastAsia="Calibri" w:hAnsi="Arial" w:cs="Arial"/>
          <w:color w:val="000000" w:themeColor="text1"/>
          <w:sz w:val="22"/>
          <w:lang w:val="es-ES_tradnl"/>
        </w:rPr>
        <w:t>Pachón</w:t>
      </w:r>
      <w:r w:rsidRPr="00D649FD">
        <w:rPr>
          <w:rFonts w:ascii="Arial" w:eastAsia="Calibri" w:hAnsi="Arial" w:cs="Arial"/>
          <w:color w:val="000000" w:themeColor="text1"/>
          <w:sz w:val="22"/>
          <w:lang w:val="es-ES_tradnl"/>
        </w:rPr>
        <w:t>:</w:t>
      </w:r>
    </w:p>
    <w:p w14:paraId="1EAE5543" w14:textId="77777777" w:rsidR="00DD5B04" w:rsidRPr="00D649FD" w:rsidRDefault="00DD5B04" w:rsidP="00DF76A2">
      <w:pPr>
        <w:jc w:val="both"/>
        <w:rPr>
          <w:rFonts w:ascii="Arial" w:eastAsia="Calibri" w:hAnsi="Arial" w:cs="Arial"/>
          <w:color w:val="000000" w:themeColor="text1"/>
          <w:sz w:val="22"/>
          <w:lang w:val="es-ES_tradnl"/>
        </w:rPr>
      </w:pPr>
    </w:p>
    <w:p w14:paraId="2109B2D3" w14:textId="499AFBA5" w:rsidR="00DD5B04" w:rsidRPr="00D649FD" w:rsidRDefault="00DD5B04" w:rsidP="00DF76A2">
      <w:pPr>
        <w:spacing w:line="276" w:lineRule="auto"/>
        <w:jc w:val="both"/>
        <w:rPr>
          <w:rFonts w:ascii="Arial" w:eastAsia="Calibri" w:hAnsi="Arial" w:cs="Arial"/>
          <w:color w:val="000000" w:themeColor="text1"/>
          <w:sz w:val="22"/>
          <w:lang w:val="es-ES_tradnl"/>
        </w:rPr>
      </w:pPr>
      <w:r w:rsidRPr="00D649FD">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DC2B50" w:rsidRPr="00D649FD">
        <w:rPr>
          <w:rFonts w:ascii="Arial" w:eastAsia="Calibri" w:hAnsi="Arial" w:cs="Arial"/>
          <w:color w:val="000000" w:themeColor="text1"/>
          <w:sz w:val="22"/>
          <w:lang w:val="es-ES_tradnl"/>
        </w:rPr>
        <w:t>–</w:t>
      </w:r>
      <w:r w:rsidRPr="00D649FD">
        <w:rPr>
          <w:rFonts w:ascii="Arial" w:eastAsia="Calibri" w:hAnsi="Arial" w:cs="Arial"/>
          <w:color w:val="000000" w:themeColor="text1"/>
          <w:sz w:val="22"/>
          <w:lang w:val="es-ES_tradnl"/>
        </w:rPr>
        <w:t xml:space="preserve"> Colombia Compra Eficiente</w:t>
      </w:r>
      <w:r w:rsidR="008C3C57" w:rsidRPr="00D649FD">
        <w:rPr>
          <w:rFonts w:ascii="Arial" w:eastAsia="Calibri" w:hAnsi="Arial" w:cs="Arial"/>
          <w:color w:val="000000" w:themeColor="text1"/>
          <w:sz w:val="22"/>
          <w:lang w:val="es-ES_tradnl"/>
        </w:rPr>
        <w:t xml:space="preserve"> </w:t>
      </w:r>
      <w:r w:rsidRPr="00D649FD">
        <w:rPr>
          <w:rFonts w:ascii="Arial" w:eastAsia="Calibri" w:hAnsi="Arial" w:cs="Arial"/>
          <w:color w:val="000000" w:themeColor="text1"/>
          <w:sz w:val="22"/>
          <w:lang w:val="es-ES_tradnl"/>
        </w:rPr>
        <w:t xml:space="preserve">responde su consulta del </w:t>
      </w:r>
      <w:r w:rsidR="00824183" w:rsidRPr="00D649FD">
        <w:rPr>
          <w:rFonts w:ascii="Arial" w:eastAsia="Calibri" w:hAnsi="Arial" w:cs="Arial"/>
          <w:color w:val="000000" w:themeColor="text1"/>
          <w:sz w:val="22"/>
          <w:lang w:val="es-ES_tradnl"/>
        </w:rPr>
        <w:t>20</w:t>
      </w:r>
      <w:r w:rsidR="00FD4AF3" w:rsidRPr="00D649FD">
        <w:rPr>
          <w:rFonts w:ascii="Arial" w:eastAsia="Calibri" w:hAnsi="Arial" w:cs="Arial"/>
          <w:color w:val="000000" w:themeColor="text1"/>
          <w:sz w:val="22"/>
          <w:lang w:val="es-ES_tradnl"/>
        </w:rPr>
        <w:t xml:space="preserve"> de </w:t>
      </w:r>
      <w:r w:rsidR="00824183" w:rsidRPr="00D649FD">
        <w:rPr>
          <w:rFonts w:ascii="Arial" w:eastAsia="Calibri" w:hAnsi="Arial" w:cs="Arial"/>
          <w:color w:val="000000" w:themeColor="text1"/>
          <w:sz w:val="22"/>
          <w:lang w:val="es-ES_tradnl"/>
        </w:rPr>
        <w:t>marzo</w:t>
      </w:r>
      <w:r w:rsidRPr="00D649FD">
        <w:rPr>
          <w:rFonts w:ascii="Arial" w:eastAsia="Calibri" w:hAnsi="Arial" w:cs="Arial"/>
          <w:color w:val="000000" w:themeColor="text1"/>
          <w:sz w:val="22"/>
          <w:lang w:val="es-ES_tradnl"/>
        </w:rPr>
        <w:t xml:space="preserve"> del</w:t>
      </w:r>
      <w:r w:rsidR="007E74BF" w:rsidRPr="00D649FD">
        <w:rPr>
          <w:rFonts w:ascii="Arial" w:eastAsia="Calibri" w:hAnsi="Arial" w:cs="Arial"/>
          <w:color w:val="000000" w:themeColor="text1"/>
          <w:sz w:val="22"/>
          <w:lang w:val="es-ES_tradnl"/>
        </w:rPr>
        <w:t xml:space="preserve"> </w:t>
      </w:r>
      <w:r w:rsidRPr="00D649FD">
        <w:rPr>
          <w:rFonts w:ascii="Arial" w:eastAsia="Calibri" w:hAnsi="Arial" w:cs="Arial"/>
          <w:color w:val="000000" w:themeColor="text1"/>
          <w:sz w:val="22"/>
          <w:lang w:val="es-ES_tradnl"/>
        </w:rPr>
        <w:t>202</w:t>
      </w:r>
      <w:r w:rsidR="00FB0880" w:rsidRPr="00D649FD">
        <w:rPr>
          <w:rFonts w:ascii="Arial" w:eastAsia="Calibri" w:hAnsi="Arial" w:cs="Arial"/>
          <w:color w:val="000000" w:themeColor="text1"/>
          <w:sz w:val="22"/>
          <w:lang w:val="es-ES_tradnl"/>
        </w:rPr>
        <w:t>1</w:t>
      </w:r>
      <w:r w:rsidR="008C3C57" w:rsidRPr="00D649FD">
        <w:rPr>
          <w:rFonts w:ascii="Arial" w:eastAsia="Calibri" w:hAnsi="Arial" w:cs="Arial"/>
          <w:color w:val="000000" w:themeColor="text1"/>
          <w:sz w:val="22"/>
          <w:lang w:val="es-ES_tradnl"/>
        </w:rPr>
        <w:t>.</w:t>
      </w:r>
    </w:p>
    <w:p w14:paraId="0C1E0712" w14:textId="77777777" w:rsidR="00DD5B04" w:rsidRPr="00D649F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649F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649FD">
        <w:rPr>
          <w:rFonts w:ascii="Arial" w:eastAsia="Calibri" w:hAnsi="Arial" w:cs="Arial"/>
          <w:b/>
          <w:color w:val="000000" w:themeColor="text1"/>
          <w:sz w:val="22"/>
          <w:lang w:val="es-ES_tradnl"/>
        </w:rPr>
        <w:t xml:space="preserve">Problema planteado </w:t>
      </w:r>
    </w:p>
    <w:p w14:paraId="224B43D3" w14:textId="77777777" w:rsidR="00DD5B04" w:rsidRPr="00D649F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E32D786" w:rsidR="00443B55" w:rsidRPr="00D649FD" w:rsidRDefault="00AF5433" w:rsidP="0099583D">
      <w:pPr>
        <w:spacing w:line="276" w:lineRule="auto"/>
        <w:jc w:val="both"/>
        <w:rPr>
          <w:rFonts w:ascii="Arial" w:hAnsi="Arial" w:cs="Arial"/>
          <w:color w:val="000000" w:themeColor="text1"/>
          <w:sz w:val="22"/>
          <w:lang w:val="es-ES_tradnl"/>
        </w:rPr>
      </w:pPr>
      <w:r w:rsidRPr="00D649FD">
        <w:rPr>
          <w:rFonts w:ascii="Arial" w:hAnsi="Arial" w:cs="Arial"/>
          <w:color w:val="000000" w:themeColor="text1"/>
          <w:sz w:val="22"/>
          <w:lang w:val="es-ES_tradnl"/>
        </w:rPr>
        <w:t>Respecto a</w:t>
      </w:r>
      <w:r w:rsidR="00FB0880" w:rsidRPr="00D649FD">
        <w:rPr>
          <w:rFonts w:ascii="Arial" w:hAnsi="Arial" w:cs="Arial"/>
          <w:color w:val="000000" w:themeColor="text1"/>
          <w:sz w:val="22"/>
          <w:lang w:val="es-ES_tradnl"/>
        </w:rPr>
        <w:t xml:space="preserve">l artículo 35 de la Ley </w:t>
      </w:r>
      <w:r w:rsidR="007B209C" w:rsidRPr="00D649FD">
        <w:rPr>
          <w:rFonts w:ascii="Arial" w:hAnsi="Arial" w:cs="Arial"/>
          <w:color w:val="000000" w:themeColor="text1"/>
          <w:sz w:val="22"/>
          <w:lang w:val="es-ES_tradnl"/>
        </w:rPr>
        <w:t>2069</w:t>
      </w:r>
      <w:r w:rsidR="00FB0880" w:rsidRPr="00D649FD">
        <w:rPr>
          <w:rFonts w:ascii="Arial" w:hAnsi="Arial" w:cs="Arial"/>
          <w:color w:val="000000" w:themeColor="text1"/>
          <w:sz w:val="22"/>
          <w:lang w:val="es-ES_tradnl"/>
        </w:rPr>
        <w:t xml:space="preserve"> de 2020</w:t>
      </w:r>
      <w:r w:rsidR="00716630" w:rsidRPr="00D649FD">
        <w:rPr>
          <w:rFonts w:ascii="Arial" w:hAnsi="Arial" w:cs="Arial"/>
          <w:color w:val="000000" w:themeColor="text1"/>
          <w:sz w:val="22"/>
          <w:lang w:val="es-ES_tradnl"/>
        </w:rPr>
        <w:t>, «Por medio de la cual se impulsa el emprendimiento en Colombia»</w:t>
      </w:r>
      <w:r w:rsidRPr="00D649FD">
        <w:rPr>
          <w:rFonts w:ascii="Arial" w:hAnsi="Arial" w:cs="Arial"/>
          <w:color w:val="000000" w:themeColor="text1"/>
          <w:sz w:val="22"/>
          <w:lang w:val="es-ES_tradnl"/>
        </w:rPr>
        <w:t>, usted realiza las siguientes preguntas</w:t>
      </w:r>
      <w:r w:rsidR="00B422C0" w:rsidRPr="00D649FD">
        <w:rPr>
          <w:rFonts w:ascii="Arial" w:hAnsi="Arial" w:cs="Arial"/>
          <w:color w:val="000000" w:themeColor="text1"/>
          <w:sz w:val="22"/>
          <w:lang w:val="es-ES_tradnl"/>
        </w:rPr>
        <w:t>:</w:t>
      </w:r>
      <w:r w:rsidR="007E18DF" w:rsidRPr="00D649FD">
        <w:rPr>
          <w:rFonts w:ascii="Arial" w:hAnsi="Arial" w:cs="Arial"/>
          <w:color w:val="000000" w:themeColor="text1"/>
          <w:sz w:val="22"/>
          <w:lang w:val="es-ES_tradnl"/>
        </w:rPr>
        <w:t xml:space="preserve"> </w:t>
      </w:r>
    </w:p>
    <w:p w14:paraId="559EE20C" w14:textId="77777777" w:rsidR="00443B55" w:rsidRPr="00D649FD" w:rsidRDefault="00443B55" w:rsidP="0099583D">
      <w:pPr>
        <w:spacing w:line="276" w:lineRule="auto"/>
        <w:jc w:val="both"/>
        <w:rPr>
          <w:rFonts w:ascii="Arial" w:hAnsi="Arial" w:cs="Arial"/>
          <w:color w:val="000000" w:themeColor="text1"/>
          <w:sz w:val="22"/>
          <w:lang w:val="es-ES_tradnl"/>
        </w:rPr>
      </w:pPr>
    </w:p>
    <w:p w14:paraId="0A739295" w14:textId="65902A02" w:rsidR="007B19DE" w:rsidRPr="00D649FD" w:rsidRDefault="001C79A4"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7B19DE" w:rsidRPr="00D649FD">
        <w:rPr>
          <w:rFonts w:ascii="Arial" w:hAnsi="Arial" w:cs="Arial"/>
          <w:color w:val="000000" w:themeColor="text1"/>
          <w:sz w:val="21"/>
          <w:szCs w:val="21"/>
          <w:lang w:val="es-ES_tradnl"/>
        </w:rPr>
        <w:t xml:space="preserve">1. Las entidades </w:t>
      </w:r>
      <w:proofErr w:type="spellStart"/>
      <w:r w:rsidR="007B19DE" w:rsidRPr="00D649FD">
        <w:rPr>
          <w:rFonts w:ascii="Arial" w:hAnsi="Arial" w:cs="Arial"/>
          <w:color w:val="000000" w:themeColor="text1"/>
          <w:sz w:val="21"/>
          <w:szCs w:val="21"/>
          <w:lang w:val="es-ES_tradnl"/>
        </w:rPr>
        <w:t>pblicas</w:t>
      </w:r>
      <w:proofErr w:type="spellEnd"/>
      <w:r w:rsidR="007B19DE" w:rsidRPr="00D649FD">
        <w:rPr>
          <w:rFonts w:ascii="Arial" w:hAnsi="Arial" w:cs="Arial"/>
          <w:color w:val="000000" w:themeColor="text1"/>
          <w:sz w:val="21"/>
          <w:szCs w:val="21"/>
          <w:lang w:val="es-ES_tradnl"/>
        </w:rPr>
        <w:t xml:space="preserve"> </w:t>
      </w:r>
      <w:proofErr w:type="spellStart"/>
      <w:r w:rsidR="007B19DE" w:rsidRPr="00D649FD">
        <w:rPr>
          <w:rFonts w:ascii="Arial" w:hAnsi="Arial" w:cs="Arial"/>
          <w:color w:val="000000" w:themeColor="text1"/>
          <w:sz w:val="21"/>
          <w:szCs w:val="21"/>
          <w:lang w:val="es-ES_tradnl"/>
        </w:rPr>
        <w:t>tendran</w:t>
      </w:r>
      <w:proofErr w:type="spellEnd"/>
      <w:r w:rsidR="007B19DE" w:rsidRPr="00D649FD">
        <w:rPr>
          <w:rFonts w:ascii="Arial" w:hAnsi="Arial" w:cs="Arial"/>
          <w:color w:val="000000" w:themeColor="text1"/>
          <w:sz w:val="21"/>
          <w:szCs w:val="21"/>
          <w:lang w:val="es-ES_tradnl"/>
        </w:rPr>
        <w:t xml:space="preserve"> la </w:t>
      </w:r>
      <w:proofErr w:type="spellStart"/>
      <w:r w:rsidR="007B19DE" w:rsidRPr="00D649FD">
        <w:rPr>
          <w:rFonts w:ascii="Arial" w:hAnsi="Arial" w:cs="Arial"/>
          <w:color w:val="000000" w:themeColor="text1"/>
          <w:sz w:val="21"/>
          <w:szCs w:val="21"/>
          <w:lang w:val="es-ES_tradnl"/>
        </w:rPr>
        <w:t>autonomica</w:t>
      </w:r>
      <w:proofErr w:type="spellEnd"/>
      <w:r w:rsidR="007B19DE" w:rsidRPr="00D649FD">
        <w:rPr>
          <w:rFonts w:ascii="Arial" w:hAnsi="Arial" w:cs="Arial"/>
          <w:color w:val="000000" w:themeColor="text1"/>
          <w:sz w:val="21"/>
          <w:szCs w:val="21"/>
          <w:lang w:val="es-ES_tradnl"/>
        </w:rPr>
        <w:t xml:space="preserve"> para disponer cualquiera de los 12 criterios </w:t>
      </w:r>
      <w:proofErr w:type="spellStart"/>
      <w:r w:rsidR="007B19DE" w:rsidRPr="00D649FD">
        <w:rPr>
          <w:rFonts w:ascii="Arial" w:hAnsi="Arial" w:cs="Arial"/>
          <w:color w:val="000000" w:themeColor="text1"/>
          <w:sz w:val="21"/>
          <w:szCs w:val="21"/>
          <w:lang w:val="es-ES_tradnl"/>
        </w:rPr>
        <w:t>asi</w:t>
      </w:r>
      <w:proofErr w:type="spellEnd"/>
      <w:r w:rsidR="007B19DE" w:rsidRPr="00D649FD">
        <w:rPr>
          <w:rFonts w:ascii="Arial" w:hAnsi="Arial" w:cs="Arial"/>
          <w:color w:val="000000" w:themeColor="text1"/>
          <w:sz w:val="21"/>
          <w:szCs w:val="21"/>
          <w:lang w:val="es-ES_tradnl"/>
        </w:rPr>
        <w:t>́ como establecer el orden de los mismos (sic)</w:t>
      </w:r>
    </w:p>
    <w:p w14:paraId="68E25043" w14:textId="77777777" w:rsidR="007B19DE" w:rsidRPr="00D649FD" w:rsidRDefault="007B19DE" w:rsidP="00A216F9">
      <w:pPr>
        <w:ind w:left="709" w:right="709"/>
        <w:jc w:val="both"/>
        <w:rPr>
          <w:rFonts w:ascii="Arial" w:hAnsi="Arial" w:cs="Arial"/>
          <w:color w:val="000000" w:themeColor="text1"/>
          <w:sz w:val="21"/>
          <w:szCs w:val="21"/>
          <w:lang w:val="es-ES_tradnl"/>
        </w:rPr>
      </w:pPr>
    </w:p>
    <w:p w14:paraId="3830C92C" w14:textId="6F0EEF90" w:rsidR="00507066" w:rsidRPr="00D649FD" w:rsidRDefault="007B19DE"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 xml:space="preserve">»2. Cuando se </w:t>
      </w:r>
      <w:proofErr w:type="spellStart"/>
      <w:r w:rsidRPr="00D649FD">
        <w:rPr>
          <w:rFonts w:ascii="Arial" w:hAnsi="Arial" w:cs="Arial"/>
          <w:color w:val="000000" w:themeColor="text1"/>
          <w:sz w:val="21"/>
          <w:szCs w:val="21"/>
          <w:lang w:val="es-ES_tradnl"/>
        </w:rPr>
        <w:t>establecio</w:t>
      </w:r>
      <w:proofErr w:type="spellEnd"/>
      <w:r w:rsidRPr="00D649FD">
        <w:rPr>
          <w:rFonts w:ascii="Arial" w:hAnsi="Arial" w:cs="Arial"/>
          <w:color w:val="000000" w:themeColor="text1"/>
          <w:sz w:val="21"/>
          <w:szCs w:val="21"/>
          <w:lang w:val="es-ES_tradnl"/>
        </w:rPr>
        <w:t xml:space="preserve">́ mujeres cabeza de familia como se establece que la mujer cumple con el criterio de ser cabeza de familia y cuando cumple una mujer </w:t>
      </w:r>
      <w:proofErr w:type="spellStart"/>
      <w:r w:rsidRPr="00D649FD">
        <w:rPr>
          <w:rFonts w:ascii="Arial" w:hAnsi="Arial" w:cs="Arial"/>
          <w:color w:val="000000" w:themeColor="text1"/>
          <w:sz w:val="21"/>
          <w:szCs w:val="21"/>
          <w:lang w:val="es-ES_tradnl"/>
        </w:rPr>
        <w:t>indígena</w:t>
      </w:r>
      <w:proofErr w:type="spellEnd"/>
      <w:r w:rsidRPr="00D649FD">
        <w:rPr>
          <w:rFonts w:ascii="Arial" w:hAnsi="Arial" w:cs="Arial"/>
          <w:color w:val="000000" w:themeColor="text1"/>
          <w:sz w:val="21"/>
          <w:szCs w:val="21"/>
          <w:lang w:val="es-ES_tradnl"/>
        </w:rPr>
        <w:t>.</w:t>
      </w:r>
      <w:r w:rsidR="0080548A" w:rsidRPr="00D649FD">
        <w:rPr>
          <w:rFonts w:ascii="Arial" w:hAnsi="Arial" w:cs="Arial"/>
          <w:color w:val="000000" w:themeColor="text1"/>
          <w:sz w:val="21"/>
          <w:szCs w:val="21"/>
          <w:lang w:val="es-ES_tradnl"/>
        </w:rPr>
        <w:t xml:space="preserve"> (sic)</w:t>
      </w:r>
    </w:p>
    <w:p w14:paraId="2B096BCA" w14:textId="2378DD41" w:rsidR="0080548A" w:rsidRPr="00D649FD" w:rsidRDefault="0080548A" w:rsidP="00A216F9">
      <w:pPr>
        <w:ind w:left="709" w:right="709"/>
        <w:jc w:val="both"/>
        <w:rPr>
          <w:rFonts w:ascii="Arial" w:hAnsi="Arial" w:cs="Arial"/>
          <w:color w:val="000000" w:themeColor="text1"/>
          <w:sz w:val="21"/>
          <w:szCs w:val="21"/>
          <w:lang w:val="es-ES_tradnl"/>
        </w:rPr>
      </w:pPr>
    </w:p>
    <w:p w14:paraId="353DA01F" w14:textId="6A80FABB" w:rsidR="0080548A" w:rsidRPr="00D649FD" w:rsidRDefault="0080548A"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lastRenderedPageBreak/>
        <w:t xml:space="preserve">»3. Para el caso del criterio 3 en donde se establece que la empresa que acredite el certificado de discapacidad </w:t>
      </w:r>
      <w:proofErr w:type="spellStart"/>
      <w:r w:rsidRPr="00D649FD">
        <w:rPr>
          <w:rFonts w:ascii="Arial" w:hAnsi="Arial" w:cs="Arial"/>
          <w:color w:val="000000" w:themeColor="text1"/>
          <w:sz w:val="21"/>
          <w:szCs w:val="21"/>
          <w:lang w:val="es-ES_tradnl"/>
        </w:rPr>
        <w:t>debera</w:t>
      </w:r>
      <w:proofErr w:type="spellEnd"/>
      <w:r w:rsidRPr="00D649FD">
        <w:rPr>
          <w:rFonts w:ascii="Arial" w:hAnsi="Arial" w:cs="Arial"/>
          <w:color w:val="000000" w:themeColor="text1"/>
          <w:sz w:val="21"/>
          <w:szCs w:val="21"/>
          <w:lang w:val="es-ES_tradnl"/>
        </w:rPr>
        <w:t xml:space="preserve">́ cumplir con el 25% de la experiencia acreditada en la oferta se </w:t>
      </w:r>
      <w:proofErr w:type="spellStart"/>
      <w:r w:rsidRPr="00D649FD">
        <w:rPr>
          <w:rFonts w:ascii="Arial" w:hAnsi="Arial" w:cs="Arial"/>
          <w:color w:val="000000" w:themeColor="text1"/>
          <w:sz w:val="21"/>
          <w:szCs w:val="21"/>
          <w:lang w:val="es-ES_tradnl"/>
        </w:rPr>
        <w:t>entendería</w:t>
      </w:r>
      <w:proofErr w:type="spellEnd"/>
      <w:r w:rsidRPr="00D649FD">
        <w:rPr>
          <w:rFonts w:ascii="Arial" w:hAnsi="Arial" w:cs="Arial"/>
          <w:color w:val="000000" w:themeColor="text1"/>
          <w:sz w:val="21"/>
          <w:szCs w:val="21"/>
          <w:lang w:val="es-ES_tradnl"/>
        </w:rPr>
        <w:t xml:space="preserve"> como la experiencia sumada entre habilitante y puntaje.</w:t>
      </w:r>
      <w:r w:rsidR="00A216F9" w:rsidRPr="00D649FD">
        <w:rPr>
          <w:rFonts w:ascii="Arial" w:hAnsi="Arial" w:cs="Arial"/>
          <w:color w:val="000000" w:themeColor="text1"/>
          <w:sz w:val="21"/>
          <w:szCs w:val="21"/>
          <w:lang w:val="es-ES_tradnl"/>
        </w:rPr>
        <w:t xml:space="preserve"> (sic)</w:t>
      </w:r>
    </w:p>
    <w:p w14:paraId="709F6C7C" w14:textId="77777777" w:rsidR="00A216F9" w:rsidRPr="00D649FD" w:rsidRDefault="00A216F9" w:rsidP="00A216F9">
      <w:pPr>
        <w:ind w:left="709" w:right="709"/>
        <w:jc w:val="both"/>
        <w:rPr>
          <w:rFonts w:ascii="Arial" w:hAnsi="Arial" w:cs="Arial"/>
          <w:color w:val="000000" w:themeColor="text1"/>
          <w:sz w:val="21"/>
          <w:szCs w:val="21"/>
          <w:lang w:val="es-ES_tradnl"/>
        </w:rPr>
      </w:pPr>
    </w:p>
    <w:p w14:paraId="183493B7" w14:textId="38049E65" w:rsidR="0080548A" w:rsidRPr="00D649FD" w:rsidRDefault="0000433A"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80548A" w:rsidRPr="00D649FD">
        <w:rPr>
          <w:rFonts w:ascii="Arial" w:hAnsi="Arial" w:cs="Arial"/>
          <w:color w:val="000000" w:themeColor="text1"/>
          <w:sz w:val="21"/>
          <w:szCs w:val="21"/>
          <w:lang w:val="es-ES_tradnl"/>
        </w:rPr>
        <w:t>4.</w:t>
      </w:r>
      <w:r w:rsidRPr="00D649FD">
        <w:rPr>
          <w:rFonts w:ascii="Arial" w:hAnsi="Arial" w:cs="Arial"/>
          <w:color w:val="000000" w:themeColor="text1"/>
          <w:sz w:val="21"/>
          <w:szCs w:val="21"/>
          <w:lang w:val="es-ES_tradnl"/>
        </w:rPr>
        <w:t xml:space="preserve"> </w:t>
      </w:r>
      <w:r w:rsidR="0080548A" w:rsidRPr="00D649FD">
        <w:rPr>
          <w:rFonts w:ascii="Arial" w:hAnsi="Arial" w:cs="Arial"/>
          <w:color w:val="000000" w:themeColor="text1"/>
          <w:sz w:val="21"/>
          <w:szCs w:val="21"/>
          <w:lang w:val="es-ES_tradnl"/>
        </w:rPr>
        <w:t xml:space="preserve">Cuando se menciona en el criterio de desempate 4 la palabra </w:t>
      </w:r>
      <w:proofErr w:type="spellStart"/>
      <w:r w:rsidR="0080548A" w:rsidRPr="00D649FD">
        <w:rPr>
          <w:rFonts w:ascii="Arial" w:hAnsi="Arial" w:cs="Arial"/>
          <w:color w:val="000000" w:themeColor="text1"/>
          <w:sz w:val="21"/>
          <w:szCs w:val="21"/>
          <w:lang w:val="es-ES_tradnl"/>
        </w:rPr>
        <w:t>vinculación</w:t>
      </w:r>
      <w:proofErr w:type="spellEnd"/>
      <w:r w:rsidR="0080548A" w:rsidRPr="00D649FD">
        <w:rPr>
          <w:rFonts w:ascii="Arial" w:hAnsi="Arial" w:cs="Arial"/>
          <w:color w:val="000000" w:themeColor="text1"/>
          <w:sz w:val="21"/>
          <w:szCs w:val="21"/>
          <w:lang w:val="es-ES_tradnl"/>
        </w:rPr>
        <w:t xml:space="preserve"> se refiere a contratos laborales o puede entenderse en </w:t>
      </w:r>
      <w:proofErr w:type="spellStart"/>
      <w:r w:rsidR="0080548A" w:rsidRPr="00D649FD">
        <w:rPr>
          <w:rFonts w:ascii="Arial" w:hAnsi="Arial" w:cs="Arial"/>
          <w:color w:val="000000" w:themeColor="text1"/>
          <w:sz w:val="21"/>
          <w:szCs w:val="21"/>
          <w:lang w:val="es-ES_tradnl"/>
        </w:rPr>
        <w:t>prestación</w:t>
      </w:r>
      <w:proofErr w:type="spellEnd"/>
      <w:r w:rsidR="0080548A" w:rsidRPr="00D649FD">
        <w:rPr>
          <w:rFonts w:ascii="Arial" w:hAnsi="Arial" w:cs="Arial"/>
          <w:color w:val="000000" w:themeColor="text1"/>
          <w:sz w:val="21"/>
          <w:szCs w:val="21"/>
          <w:lang w:val="es-ES_tradnl"/>
        </w:rPr>
        <w:t xml:space="preserve"> de servicios</w:t>
      </w:r>
      <w:r w:rsidR="00AE4E63" w:rsidRPr="00D649FD">
        <w:rPr>
          <w:rFonts w:ascii="Arial" w:hAnsi="Arial" w:cs="Arial"/>
          <w:color w:val="000000" w:themeColor="text1"/>
          <w:sz w:val="21"/>
          <w:szCs w:val="21"/>
          <w:lang w:val="es-ES_tradnl"/>
        </w:rPr>
        <w:t xml:space="preserve"> (sic)</w:t>
      </w:r>
    </w:p>
    <w:p w14:paraId="6C4958AE" w14:textId="77777777" w:rsidR="00A216F9" w:rsidRPr="00D649FD" w:rsidRDefault="00A216F9" w:rsidP="00A216F9">
      <w:pPr>
        <w:ind w:left="709" w:right="709"/>
        <w:jc w:val="both"/>
        <w:rPr>
          <w:rFonts w:ascii="Arial" w:hAnsi="Arial" w:cs="Arial"/>
          <w:color w:val="000000" w:themeColor="text1"/>
          <w:sz w:val="21"/>
          <w:szCs w:val="21"/>
          <w:lang w:val="es-ES_tradnl"/>
        </w:rPr>
      </w:pPr>
    </w:p>
    <w:p w14:paraId="34138DC7" w14:textId="49FDB635" w:rsidR="0080548A" w:rsidRPr="00D649FD" w:rsidRDefault="0000433A"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80548A" w:rsidRPr="00D649FD">
        <w:rPr>
          <w:rFonts w:ascii="Arial" w:hAnsi="Arial" w:cs="Arial"/>
          <w:color w:val="000000" w:themeColor="text1"/>
          <w:sz w:val="21"/>
          <w:szCs w:val="21"/>
          <w:lang w:val="es-ES_tradnl"/>
        </w:rPr>
        <w:t>5.</w:t>
      </w:r>
      <w:r w:rsidRPr="00D649FD">
        <w:rPr>
          <w:rFonts w:ascii="Arial" w:hAnsi="Arial" w:cs="Arial"/>
          <w:color w:val="000000" w:themeColor="text1"/>
          <w:sz w:val="21"/>
          <w:szCs w:val="21"/>
          <w:lang w:val="es-ES_tradnl"/>
        </w:rPr>
        <w:t xml:space="preserve"> </w:t>
      </w:r>
      <w:r w:rsidR="0080548A" w:rsidRPr="00D649FD">
        <w:rPr>
          <w:rFonts w:ascii="Arial" w:hAnsi="Arial" w:cs="Arial"/>
          <w:color w:val="000000" w:themeColor="text1"/>
          <w:sz w:val="21"/>
          <w:szCs w:val="21"/>
          <w:lang w:val="es-ES_tradnl"/>
        </w:rPr>
        <w:t xml:space="preserve">Cuando se menciona en el criterio de desempate 4 de personas mayores se entiende </w:t>
      </w:r>
      <w:proofErr w:type="spellStart"/>
      <w:r w:rsidR="0080548A" w:rsidRPr="00D649FD">
        <w:rPr>
          <w:rFonts w:ascii="Arial" w:hAnsi="Arial" w:cs="Arial"/>
          <w:color w:val="000000" w:themeColor="text1"/>
          <w:sz w:val="21"/>
          <w:szCs w:val="21"/>
          <w:lang w:val="es-ES_tradnl"/>
        </w:rPr>
        <w:t>pensión</w:t>
      </w:r>
      <w:proofErr w:type="spellEnd"/>
      <w:r w:rsidR="0080548A" w:rsidRPr="00D649FD">
        <w:rPr>
          <w:rFonts w:ascii="Arial" w:hAnsi="Arial" w:cs="Arial"/>
          <w:color w:val="000000" w:themeColor="text1"/>
          <w:sz w:val="21"/>
          <w:szCs w:val="21"/>
          <w:lang w:val="es-ES_tradnl"/>
        </w:rPr>
        <w:t xml:space="preserve"> de vejez?</w:t>
      </w:r>
      <w:r w:rsidR="00AE4E63" w:rsidRPr="00D649FD">
        <w:rPr>
          <w:rFonts w:ascii="Arial" w:hAnsi="Arial" w:cs="Arial"/>
          <w:color w:val="000000" w:themeColor="text1"/>
          <w:sz w:val="21"/>
          <w:szCs w:val="21"/>
          <w:lang w:val="es-ES_tradnl"/>
        </w:rPr>
        <w:t xml:space="preserve"> (sic)</w:t>
      </w:r>
    </w:p>
    <w:p w14:paraId="15F152D0" w14:textId="77777777" w:rsidR="00A216F9" w:rsidRPr="00D649FD" w:rsidRDefault="00A216F9" w:rsidP="00A216F9">
      <w:pPr>
        <w:ind w:left="709" w:right="709"/>
        <w:jc w:val="both"/>
        <w:rPr>
          <w:rFonts w:ascii="Arial" w:hAnsi="Arial" w:cs="Arial"/>
          <w:color w:val="000000" w:themeColor="text1"/>
          <w:sz w:val="21"/>
          <w:szCs w:val="21"/>
          <w:lang w:val="es-ES_tradnl"/>
        </w:rPr>
      </w:pPr>
    </w:p>
    <w:p w14:paraId="6D32CAE8" w14:textId="243D4D67" w:rsidR="0080548A" w:rsidRPr="00D649FD" w:rsidRDefault="0000433A"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80548A" w:rsidRPr="00D649FD">
        <w:rPr>
          <w:rFonts w:ascii="Arial" w:hAnsi="Arial" w:cs="Arial"/>
          <w:color w:val="000000" w:themeColor="text1"/>
          <w:sz w:val="21"/>
          <w:szCs w:val="21"/>
          <w:lang w:val="es-ES_tradnl"/>
        </w:rPr>
        <w:t xml:space="preserve">6. Cuando se menciona en el criterio de desempate 4 que las personas mayores que hayan cumplido con el requisito de edad se esta entendiendo que para los hombres se tiene una edad igual o superior de 62 </w:t>
      </w:r>
      <w:proofErr w:type="spellStart"/>
      <w:r w:rsidR="0080548A" w:rsidRPr="00D649FD">
        <w:rPr>
          <w:rFonts w:ascii="Arial" w:hAnsi="Arial" w:cs="Arial"/>
          <w:color w:val="000000" w:themeColor="text1"/>
          <w:sz w:val="21"/>
          <w:szCs w:val="21"/>
          <w:lang w:val="es-ES_tradnl"/>
        </w:rPr>
        <w:t>años</w:t>
      </w:r>
      <w:proofErr w:type="spellEnd"/>
      <w:r w:rsidR="0080548A" w:rsidRPr="00D649FD">
        <w:rPr>
          <w:rFonts w:ascii="Arial" w:hAnsi="Arial" w:cs="Arial"/>
          <w:color w:val="000000" w:themeColor="text1"/>
          <w:sz w:val="21"/>
          <w:szCs w:val="21"/>
          <w:lang w:val="es-ES_tradnl"/>
        </w:rPr>
        <w:t xml:space="preserve"> y para las mujeres de 57 </w:t>
      </w:r>
      <w:proofErr w:type="spellStart"/>
      <w:r w:rsidR="0080548A" w:rsidRPr="00D649FD">
        <w:rPr>
          <w:rFonts w:ascii="Arial" w:hAnsi="Arial" w:cs="Arial"/>
          <w:color w:val="000000" w:themeColor="text1"/>
          <w:sz w:val="21"/>
          <w:szCs w:val="21"/>
          <w:lang w:val="es-ES_tradnl"/>
        </w:rPr>
        <w:t>años</w:t>
      </w:r>
      <w:proofErr w:type="spellEnd"/>
      <w:r w:rsidR="00AE4E63" w:rsidRPr="00D649FD">
        <w:rPr>
          <w:rFonts w:ascii="Arial" w:hAnsi="Arial" w:cs="Arial"/>
          <w:color w:val="000000" w:themeColor="text1"/>
          <w:sz w:val="21"/>
          <w:szCs w:val="21"/>
          <w:lang w:val="es-ES_tradnl"/>
        </w:rPr>
        <w:t xml:space="preserve"> (sic)</w:t>
      </w:r>
    </w:p>
    <w:p w14:paraId="114C3D17" w14:textId="77777777" w:rsidR="00A216F9" w:rsidRPr="00D649FD" w:rsidRDefault="00A216F9" w:rsidP="00A216F9">
      <w:pPr>
        <w:ind w:left="709" w:right="709"/>
        <w:jc w:val="both"/>
        <w:rPr>
          <w:rFonts w:ascii="Arial" w:hAnsi="Arial" w:cs="Arial"/>
          <w:color w:val="000000" w:themeColor="text1"/>
          <w:sz w:val="21"/>
          <w:szCs w:val="21"/>
          <w:lang w:val="es-ES_tradnl"/>
        </w:rPr>
      </w:pPr>
    </w:p>
    <w:p w14:paraId="509F0849" w14:textId="74620F13" w:rsidR="0080548A" w:rsidRPr="00D649FD" w:rsidRDefault="0000433A"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80548A" w:rsidRPr="00D649FD">
        <w:rPr>
          <w:rFonts w:ascii="Arial" w:hAnsi="Arial" w:cs="Arial"/>
          <w:color w:val="000000" w:themeColor="text1"/>
          <w:sz w:val="21"/>
          <w:szCs w:val="21"/>
          <w:lang w:val="es-ES_tradnl"/>
        </w:rPr>
        <w:t>7.</w:t>
      </w:r>
      <w:r w:rsidRPr="00D649FD">
        <w:rPr>
          <w:rFonts w:ascii="Arial" w:hAnsi="Arial" w:cs="Arial"/>
          <w:color w:val="000000" w:themeColor="text1"/>
          <w:sz w:val="21"/>
          <w:szCs w:val="21"/>
          <w:lang w:val="es-ES_tradnl"/>
        </w:rPr>
        <w:t xml:space="preserve"> </w:t>
      </w:r>
      <w:r w:rsidR="0080548A" w:rsidRPr="00D649FD">
        <w:rPr>
          <w:rFonts w:ascii="Arial" w:hAnsi="Arial" w:cs="Arial"/>
          <w:color w:val="000000" w:themeColor="text1"/>
          <w:sz w:val="21"/>
          <w:szCs w:val="21"/>
          <w:lang w:val="es-ES_tradnl"/>
        </w:rPr>
        <w:t xml:space="preserve">En el criterio de desempate 6 se habla de </w:t>
      </w:r>
      <w:proofErr w:type="spellStart"/>
      <w:r w:rsidR="0080548A" w:rsidRPr="00D649FD">
        <w:rPr>
          <w:rFonts w:ascii="Arial" w:hAnsi="Arial" w:cs="Arial"/>
          <w:color w:val="000000" w:themeColor="text1"/>
          <w:sz w:val="21"/>
          <w:szCs w:val="21"/>
          <w:lang w:val="es-ES_tradnl"/>
        </w:rPr>
        <w:t>perosnas</w:t>
      </w:r>
      <w:proofErr w:type="spellEnd"/>
      <w:r w:rsidR="0080548A" w:rsidRPr="00D649FD">
        <w:rPr>
          <w:rFonts w:ascii="Arial" w:hAnsi="Arial" w:cs="Arial"/>
          <w:color w:val="000000" w:themeColor="text1"/>
          <w:sz w:val="21"/>
          <w:szCs w:val="21"/>
          <w:lang w:val="es-ES_tradnl"/>
        </w:rPr>
        <w:t xml:space="preserve"> en procesos de </w:t>
      </w:r>
      <w:proofErr w:type="spellStart"/>
      <w:r w:rsidR="0080548A" w:rsidRPr="00D649FD">
        <w:rPr>
          <w:rFonts w:ascii="Arial" w:hAnsi="Arial" w:cs="Arial"/>
          <w:color w:val="000000" w:themeColor="text1"/>
          <w:sz w:val="21"/>
          <w:szCs w:val="21"/>
          <w:lang w:val="es-ES_tradnl"/>
        </w:rPr>
        <w:t>reintegracion</w:t>
      </w:r>
      <w:proofErr w:type="spellEnd"/>
      <w:r w:rsidR="0080548A" w:rsidRPr="00D649FD">
        <w:rPr>
          <w:rFonts w:ascii="Arial" w:hAnsi="Arial" w:cs="Arial"/>
          <w:color w:val="000000" w:themeColor="text1"/>
          <w:sz w:val="21"/>
          <w:szCs w:val="21"/>
          <w:lang w:val="es-ES_tradnl"/>
        </w:rPr>
        <w:t xml:space="preserve"> o </w:t>
      </w:r>
      <w:proofErr w:type="spellStart"/>
      <w:r w:rsidR="0080548A" w:rsidRPr="00D649FD">
        <w:rPr>
          <w:rFonts w:ascii="Arial" w:hAnsi="Arial" w:cs="Arial"/>
          <w:color w:val="000000" w:themeColor="text1"/>
          <w:sz w:val="21"/>
          <w:szCs w:val="21"/>
          <w:lang w:val="es-ES_tradnl"/>
        </w:rPr>
        <w:t>reincoporracion</w:t>
      </w:r>
      <w:proofErr w:type="spellEnd"/>
      <w:r w:rsidR="0080548A" w:rsidRPr="00D649FD">
        <w:rPr>
          <w:rFonts w:ascii="Arial" w:hAnsi="Arial" w:cs="Arial"/>
          <w:color w:val="000000" w:themeColor="text1"/>
          <w:sz w:val="21"/>
          <w:szCs w:val="21"/>
          <w:lang w:val="es-ES_tradnl"/>
        </w:rPr>
        <w:t xml:space="preserve">. De esta manera solicito </w:t>
      </w:r>
      <w:proofErr w:type="spellStart"/>
      <w:r w:rsidR="0080548A" w:rsidRPr="00D649FD">
        <w:rPr>
          <w:rFonts w:ascii="Arial" w:hAnsi="Arial" w:cs="Arial"/>
          <w:color w:val="000000" w:themeColor="text1"/>
          <w:sz w:val="21"/>
          <w:szCs w:val="21"/>
          <w:lang w:val="es-ES_tradnl"/>
        </w:rPr>
        <w:t>acalarar</w:t>
      </w:r>
      <w:proofErr w:type="spellEnd"/>
      <w:r w:rsidR="0080548A" w:rsidRPr="00D649FD">
        <w:rPr>
          <w:rFonts w:ascii="Arial" w:hAnsi="Arial" w:cs="Arial"/>
          <w:color w:val="000000" w:themeColor="text1"/>
          <w:sz w:val="21"/>
          <w:szCs w:val="21"/>
          <w:lang w:val="es-ES_tradnl"/>
        </w:rPr>
        <w:t xml:space="preserve"> la diferencia de los aspectos</w:t>
      </w:r>
      <w:r w:rsidR="00AE4E63" w:rsidRPr="00D649FD">
        <w:rPr>
          <w:rFonts w:ascii="Arial" w:hAnsi="Arial" w:cs="Arial"/>
          <w:color w:val="000000" w:themeColor="text1"/>
          <w:sz w:val="21"/>
          <w:szCs w:val="21"/>
          <w:lang w:val="es-ES_tradnl"/>
        </w:rPr>
        <w:t xml:space="preserve"> (sic)</w:t>
      </w:r>
    </w:p>
    <w:p w14:paraId="36A97056" w14:textId="77777777" w:rsidR="00A216F9" w:rsidRPr="00D649FD" w:rsidRDefault="00A216F9" w:rsidP="00A216F9">
      <w:pPr>
        <w:ind w:left="709" w:right="709"/>
        <w:jc w:val="both"/>
        <w:rPr>
          <w:rFonts w:ascii="Arial" w:hAnsi="Arial" w:cs="Arial"/>
          <w:color w:val="000000" w:themeColor="text1"/>
          <w:sz w:val="21"/>
          <w:szCs w:val="21"/>
          <w:lang w:val="es-ES_tradnl"/>
        </w:rPr>
      </w:pPr>
    </w:p>
    <w:p w14:paraId="6ECCDB48" w14:textId="11AF5BEB" w:rsidR="0080548A" w:rsidRPr="00D649FD" w:rsidRDefault="0000433A" w:rsidP="00A216F9">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80548A" w:rsidRPr="00D649FD">
        <w:rPr>
          <w:rFonts w:ascii="Arial" w:hAnsi="Arial" w:cs="Arial"/>
          <w:color w:val="000000" w:themeColor="text1"/>
          <w:sz w:val="21"/>
          <w:szCs w:val="21"/>
          <w:lang w:val="es-ES_tradnl"/>
        </w:rPr>
        <w:t>8.</w:t>
      </w:r>
      <w:r w:rsidRPr="00D649FD">
        <w:rPr>
          <w:rFonts w:ascii="Arial" w:hAnsi="Arial" w:cs="Arial"/>
          <w:color w:val="000000" w:themeColor="text1"/>
          <w:sz w:val="21"/>
          <w:szCs w:val="21"/>
          <w:lang w:val="es-ES_tradnl"/>
        </w:rPr>
        <w:t xml:space="preserve"> </w:t>
      </w:r>
      <w:r w:rsidR="0080548A" w:rsidRPr="00D649FD">
        <w:rPr>
          <w:rFonts w:ascii="Arial" w:hAnsi="Arial" w:cs="Arial"/>
          <w:color w:val="000000" w:themeColor="text1"/>
          <w:sz w:val="21"/>
          <w:szCs w:val="21"/>
          <w:lang w:val="es-ES_tradnl"/>
        </w:rPr>
        <w:t xml:space="preserve">Para el criterio de desempate 6 quien debe certificar ese estado de </w:t>
      </w:r>
      <w:proofErr w:type="spellStart"/>
      <w:r w:rsidR="0080548A" w:rsidRPr="00D649FD">
        <w:rPr>
          <w:rFonts w:ascii="Arial" w:hAnsi="Arial" w:cs="Arial"/>
          <w:color w:val="000000" w:themeColor="text1"/>
          <w:sz w:val="21"/>
          <w:szCs w:val="21"/>
          <w:lang w:val="es-ES_tradnl"/>
        </w:rPr>
        <w:t>reintegración</w:t>
      </w:r>
      <w:proofErr w:type="spellEnd"/>
      <w:r w:rsidR="0080548A" w:rsidRPr="00D649FD">
        <w:rPr>
          <w:rFonts w:ascii="Arial" w:hAnsi="Arial" w:cs="Arial"/>
          <w:color w:val="000000" w:themeColor="text1"/>
          <w:sz w:val="21"/>
          <w:szCs w:val="21"/>
          <w:lang w:val="es-ES_tradnl"/>
        </w:rPr>
        <w:t xml:space="preserve"> o </w:t>
      </w:r>
      <w:proofErr w:type="spellStart"/>
      <w:r w:rsidR="0080548A" w:rsidRPr="00D649FD">
        <w:rPr>
          <w:rFonts w:ascii="Arial" w:hAnsi="Arial" w:cs="Arial"/>
          <w:color w:val="000000" w:themeColor="text1"/>
          <w:sz w:val="21"/>
          <w:szCs w:val="21"/>
          <w:lang w:val="es-ES_tradnl"/>
        </w:rPr>
        <w:t>reincorporación</w:t>
      </w:r>
      <w:proofErr w:type="spellEnd"/>
      <w:r w:rsidR="0080548A" w:rsidRPr="00D649FD">
        <w:rPr>
          <w:rFonts w:ascii="Arial" w:hAnsi="Arial" w:cs="Arial"/>
          <w:color w:val="000000" w:themeColor="text1"/>
          <w:sz w:val="21"/>
          <w:szCs w:val="21"/>
          <w:lang w:val="es-ES_tradnl"/>
        </w:rPr>
        <w:t xml:space="preserve"> para que sea valido ante un proceso de </w:t>
      </w:r>
      <w:proofErr w:type="spellStart"/>
      <w:r w:rsidR="0080548A" w:rsidRPr="00D649FD">
        <w:rPr>
          <w:rFonts w:ascii="Arial" w:hAnsi="Arial" w:cs="Arial"/>
          <w:color w:val="000000" w:themeColor="text1"/>
          <w:sz w:val="21"/>
          <w:szCs w:val="21"/>
          <w:lang w:val="es-ES_tradnl"/>
        </w:rPr>
        <w:t>contratación</w:t>
      </w:r>
      <w:proofErr w:type="spellEnd"/>
      <w:r w:rsidRPr="00D649FD">
        <w:rPr>
          <w:rFonts w:ascii="Arial" w:hAnsi="Arial" w:cs="Arial"/>
          <w:color w:val="000000" w:themeColor="text1"/>
          <w:sz w:val="21"/>
          <w:szCs w:val="21"/>
          <w:lang w:val="es-ES_tradnl"/>
        </w:rPr>
        <w:t xml:space="preserve"> (sic)</w:t>
      </w:r>
    </w:p>
    <w:p w14:paraId="571D4C0B" w14:textId="19FB1877" w:rsidR="0000433A" w:rsidRPr="00D649FD" w:rsidRDefault="0000433A" w:rsidP="00A216F9">
      <w:pPr>
        <w:ind w:left="709" w:right="709"/>
        <w:jc w:val="both"/>
        <w:rPr>
          <w:rFonts w:ascii="Arial" w:hAnsi="Arial" w:cs="Arial"/>
          <w:color w:val="000000" w:themeColor="text1"/>
          <w:sz w:val="21"/>
          <w:szCs w:val="21"/>
          <w:lang w:val="es-ES_tradnl"/>
        </w:rPr>
      </w:pPr>
    </w:p>
    <w:p w14:paraId="50E6583C" w14:textId="299BC3AE" w:rsidR="0000433A" w:rsidRPr="00D649FD" w:rsidRDefault="0000433A" w:rsidP="00A216F9">
      <w:pPr>
        <w:ind w:left="709" w:right="709"/>
        <w:jc w:val="both"/>
        <w:rPr>
          <w:rFonts w:ascii="Arial" w:hAnsi="Arial" w:cs="Arial"/>
          <w:color w:val="000000" w:themeColor="text1"/>
          <w:sz w:val="21"/>
          <w:szCs w:val="21"/>
        </w:rPr>
      </w:pPr>
      <w:r w:rsidRPr="00D649FD">
        <w:rPr>
          <w:rFonts w:ascii="Arial" w:hAnsi="Arial" w:cs="Arial"/>
          <w:color w:val="000000" w:themeColor="text1"/>
          <w:sz w:val="21"/>
          <w:szCs w:val="21"/>
          <w:lang w:val="es-ES_tradnl"/>
        </w:rPr>
        <w:t>»</w:t>
      </w:r>
      <w:r w:rsidRPr="00D649FD">
        <w:rPr>
          <w:rFonts w:ascii="Arial" w:hAnsi="Arial" w:cs="Arial"/>
          <w:color w:val="000000" w:themeColor="text1"/>
          <w:sz w:val="21"/>
          <w:szCs w:val="21"/>
        </w:rPr>
        <w:t>9. Para el criterio de desempate 7 en el literal (c) menciona que ninguno de las personas mencionadas puede ser empleado, socio o accionista del miembro del proponente plural. Entonces si no pueden ser empleados o socios como podrían participar de la figura plural?</w:t>
      </w:r>
      <w:r w:rsidR="007A603C" w:rsidRPr="00D649FD">
        <w:rPr>
          <w:rFonts w:ascii="Arial" w:hAnsi="Arial" w:cs="Arial"/>
          <w:color w:val="000000" w:themeColor="text1"/>
          <w:sz w:val="21"/>
          <w:szCs w:val="21"/>
        </w:rPr>
        <w:t xml:space="preserve"> (sic)</w:t>
      </w:r>
      <w:r w:rsidRPr="00D649FD">
        <w:rPr>
          <w:rFonts w:ascii="Arial" w:hAnsi="Arial" w:cs="Arial"/>
          <w:color w:val="000000" w:themeColor="text1"/>
          <w:sz w:val="21"/>
          <w:szCs w:val="21"/>
        </w:rPr>
        <w:t>»</w:t>
      </w:r>
    </w:p>
    <w:p w14:paraId="56A6C204" w14:textId="77777777" w:rsidR="00A216F9" w:rsidRPr="00D649FD" w:rsidRDefault="00A216F9" w:rsidP="004047F2">
      <w:pPr>
        <w:spacing w:line="276" w:lineRule="auto"/>
        <w:ind w:left="709" w:right="709"/>
        <w:jc w:val="both"/>
        <w:rPr>
          <w:rFonts w:ascii="Arial" w:hAnsi="Arial" w:cs="Arial"/>
          <w:color w:val="000000" w:themeColor="text1"/>
          <w:sz w:val="22"/>
          <w:szCs w:val="22"/>
        </w:rPr>
      </w:pPr>
    </w:p>
    <w:p w14:paraId="124D2DCA" w14:textId="77777777" w:rsidR="00DD5B04" w:rsidRPr="00D649F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649FD">
        <w:rPr>
          <w:rFonts w:ascii="Arial" w:eastAsia="Calibri" w:hAnsi="Arial" w:cs="Arial"/>
          <w:b/>
          <w:color w:val="000000" w:themeColor="text1"/>
          <w:sz w:val="22"/>
          <w:lang w:val="es-ES_tradnl"/>
        </w:rPr>
        <w:t>Consideraciones</w:t>
      </w:r>
    </w:p>
    <w:p w14:paraId="7D050D2E" w14:textId="77777777" w:rsidR="00435703" w:rsidRPr="00D649FD" w:rsidRDefault="00435703" w:rsidP="00DF76A2">
      <w:pPr>
        <w:spacing w:line="276" w:lineRule="auto"/>
        <w:jc w:val="both"/>
        <w:rPr>
          <w:rFonts w:ascii="Arial" w:eastAsia="Calibri" w:hAnsi="Arial" w:cs="Arial"/>
          <w:color w:val="000000" w:themeColor="text1"/>
          <w:sz w:val="22"/>
          <w:szCs w:val="22"/>
          <w:lang w:val="es-ES_tradnl"/>
        </w:rPr>
      </w:pPr>
    </w:p>
    <w:p w14:paraId="305BC2F1" w14:textId="44DC98F6" w:rsidR="003C4317" w:rsidRPr="00D649FD" w:rsidRDefault="008E30C4" w:rsidP="00271230">
      <w:pPr>
        <w:spacing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La Subdirección de Gestión Contractual responderá </w:t>
      </w:r>
      <w:r w:rsidR="00271230" w:rsidRPr="00D649FD">
        <w:rPr>
          <w:rFonts w:ascii="Arial" w:eastAsia="Calibri" w:hAnsi="Arial" w:cs="Arial"/>
          <w:color w:val="000000" w:themeColor="text1"/>
          <w:sz w:val="22"/>
          <w:szCs w:val="22"/>
          <w:lang w:val="es-ES_tradnl"/>
        </w:rPr>
        <w:t>la consulta</w:t>
      </w:r>
      <w:r w:rsidRPr="00D649FD">
        <w:rPr>
          <w:rFonts w:ascii="Arial" w:eastAsia="Calibri" w:hAnsi="Arial" w:cs="Arial"/>
          <w:color w:val="000000" w:themeColor="text1"/>
          <w:sz w:val="22"/>
          <w:szCs w:val="22"/>
          <w:lang w:val="es-ES_tradnl"/>
        </w:rPr>
        <w:t xml:space="preserve">, </w:t>
      </w:r>
      <w:r w:rsidR="00271230" w:rsidRPr="00D649FD">
        <w:rPr>
          <w:rFonts w:ascii="Arial" w:eastAsia="Calibri" w:hAnsi="Arial" w:cs="Arial"/>
          <w:color w:val="000000" w:themeColor="text1"/>
          <w:sz w:val="22"/>
          <w:szCs w:val="22"/>
          <w:lang w:val="es-ES_tradnl"/>
        </w:rPr>
        <w:t>luego de analizar los</w:t>
      </w:r>
      <w:r w:rsidR="00822EC4" w:rsidRPr="00D649FD">
        <w:rPr>
          <w:rFonts w:ascii="Arial" w:eastAsia="Calibri" w:hAnsi="Arial" w:cs="Arial"/>
          <w:color w:val="000000" w:themeColor="text1"/>
          <w:sz w:val="22"/>
          <w:szCs w:val="22"/>
          <w:lang w:val="es-ES_tradnl"/>
        </w:rPr>
        <w:t xml:space="preserve"> siguientes temas: </w:t>
      </w:r>
      <w:r w:rsidR="00833ADA" w:rsidRPr="00D649FD">
        <w:rPr>
          <w:rFonts w:ascii="Arial" w:eastAsia="Calibri" w:hAnsi="Arial" w:cs="Arial"/>
          <w:color w:val="000000" w:themeColor="text1"/>
          <w:sz w:val="22"/>
          <w:szCs w:val="22"/>
          <w:lang w:val="es-ES_tradnl"/>
        </w:rPr>
        <w:t xml:space="preserve">i) definición de los criterios de desempate en la contratación estatal, </w:t>
      </w:r>
      <w:r w:rsidR="00822EC4" w:rsidRPr="00D649FD">
        <w:rPr>
          <w:rFonts w:ascii="Arial" w:eastAsia="Calibri" w:hAnsi="Arial" w:cs="Arial"/>
          <w:color w:val="000000" w:themeColor="text1"/>
          <w:sz w:val="22"/>
          <w:szCs w:val="22"/>
          <w:lang w:val="es-ES_tradnl"/>
        </w:rPr>
        <w:t>i</w:t>
      </w:r>
      <w:r w:rsidR="00833ADA" w:rsidRPr="00D649FD">
        <w:rPr>
          <w:rFonts w:ascii="Arial" w:eastAsia="Calibri" w:hAnsi="Arial" w:cs="Arial"/>
          <w:color w:val="000000" w:themeColor="text1"/>
          <w:sz w:val="22"/>
          <w:szCs w:val="22"/>
          <w:lang w:val="es-ES_tradnl"/>
        </w:rPr>
        <w:t>i</w:t>
      </w:r>
      <w:r w:rsidR="00822EC4" w:rsidRPr="00D649FD">
        <w:rPr>
          <w:rFonts w:ascii="Arial" w:eastAsia="Calibri" w:hAnsi="Arial" w:cs="Arial"/>
          <w:color w:val="000000" w:themeColor="text1"/>
          <w:sz w:val="22"/>
          <w:szCs w:val="22"/>
          <w:lang w:val="es-ES_tradnl"/>
        </w:rPr>
        <w:t>)</w:t>
      </w:r>
      <w:r w:rsidR="00A12574" w:rsidRPr="00D649FD">
        <w:rPr>
          <w:rFonts w:ascii="Arial" w:eastAsia="Calibri" w:hAnsi="Arial" w:cs="Arial"/>
          <w:color w:val="000000" w:themeColor="text1"/>
          <w:sz w:val="22"/>
          <w:szCs w:val="22"/>
          <w:lang w:val="es-ES_tradnl"/>
        </w:rPr>
        <w:t xml:space="preserve"> vigencia y ámbito de aplicación de la Ley </w:t>
      </w:r>
      <w:r w:rsidR="007B209C" w:rsidRPr="00D649FD">
        <w:rPr>
          <w:rFonts w:ascii="Arial" w:eastAsia="Calibri" w:hAnsi="Arial" w:cs="Arial"/>
          <w:color w:val="000000" w:themeColor="text1"/>
          <w:sz w:val="22"/>
          <w:szCs w:val="22"/>
          <w:lang w:val="es-ES_tradnl"/>
        </w:rPr>
        <w:t>2069</w:t>
      </w:r>
      <w:r w:rsidR="00A12574" w:rsidRPr="00D649FD">
        <w:rPr>
          <w:rFonts w:ascii="Arial" w:eastAsia="Calibri" w:hAnsi="Arial" w:cs="Arial"/>
          <w:color w:val="000000" w:themeColor="text1"/>
          <w:sz w:val="22"/>
          <w:szCs w:val="22"/>
          <w:lang w:val="es-ES_tradnl"/>
        </w:rPr>
        <w:t xml:space="preserve"> de 2020 y</w:t>
      </w:r>
      <w:r w:rsidR="00833ADA" w:rsidRPr="00D649FD">
        <w:rPr>
          <w:rFonts w:ascii="Arial" w:eastAsia="Calibri" w:hAnsi="Arial" w:cs="Arial"/>
          <w:color w:val="000000" w:themeColor="text1"/>
          <w:sz w:val="22"/>
          <w:szCs w:val="22"/>
          <w:lang w:val="es-ES_tradnl"/>
        </w:rPr>
        <w:t xml:space="preserve"> </w:t>
      </w:r>
      <w:r w:rsidR="00523F41" w:rsidRPr="00D649FD">
        <w:rPr>
          <w:rFonts w:ascii="Arial" w:eastAsia="Calibri" w:hAnsi="Arial" w:cs="Arial"/>
          <w:color w:val="000000" w:themeColor="text1"/>
          <w:sz w:val="22"/>
          <w:szCs w:val="22"/>
          <w:lang w:val="es-ES_tradnl"/>
        </w:rPr>
        <w:t xml:space="preserve">iii) </w:t>
      </w:r>
      <w:r w:rsidR="003C4317" w:rsidRPr="00D649FD">
        <w:rPr>
          <w:rFonts w:ascii="Arial" w:eastAsia="Calibri" w:hAnsi="Arial" w:cs="Arial"/>
          <w:color w:val="000000" w:themeColor="text1"/>
          <w:sz w:val="22"/>
          <w:szCs w:val="22"/>
          <w:lang w:val="es-ES_tradnl"/>
        </w:rPr>
        <w:t xml:space="preserve">forma de </w:t>
      </w:r>
      <w:r w:rsidR="009D6909" w:rsidRPr="00D649FD">
        <w:rPr>
          <w:rFonts w:ascii="Arial" w:eastAsia="Calibri" w:hAnsi="Arial" w:cs="Arial"/>
          <w:color w:val="000000" w:themeColor="text1"/>
          <w:sz w:val="22"/>
          <w:szCs w:val="22"/>
          <w:lang w:val="es-ES_tradnl"/>
        </w:rPr>
        <w:t>acreditación de los factores de desempate</w:t>
      </w:r>
      <w:r w:rsidR="003C4317" w:rsidRPr="00D649FD">
        <w:rPr>
          <w:rFonts w:ascii="Arial" w:eastAsia="Calibri" w:hAnsi="Arial" w:cs="Arial"/>
          <w:color w:val="000000" w:themeColor="text1"/>
          <w:sz w:val="22"/>
          <w:szCs w:val="22"/>
          <w:lang w:val="es-ES_tradnl"/>
        </w:rPr>
        <w:t xml:space="preserve"> consagrados en el artículo 35 de la mencionada Ley.</w:t>
      </w:r>
    </w:p>
    <w:p w14:paraId="1144E6B3" w14:textId="249A5688" w:rsidR="00C8331F" w:rsidRPr="00D649FD" w:rsidRDefault="00EC1DAE" w:rsidP="00C8331F">
      <w:pPr>
        <w:spacing w:before="120" w:line="276" w:lineRule="auto"/>
        <w:ind w:firstLine="709"/>
        <w:jc w:val="both"/>
        <w:rPr>
          <w:rFonts w:ascii="Arial" w:eastAsia="Calibri" w:hAnsi="Arial" w:cs="Arial"/>
          <w:color w:val="000000" w:themeColor="text1"/>
          <w:sz w:val="22"/>
          <w:szCs w:val="22"/>
        </w:rPr>
      </w:pPr>
      <w:r w:rsidRPr="00D649FD">
        <w:rPr>
          <w:rFonts w:ascii="Arial" w:eastAsia="Calibri" w:hAnsi="Arial" w:cs="Arial"/>
          <w:color w:val="000000" w:themeColor="text1"/>
          <w:sz w:val="22"/>
          <w:szCs w:val="22"/>
          <w:lang w:val="es-ES_tradnl"/>
        </w:rPr>
        <w:t>E</w:t>
      </w:r>
      <w:r w:rsidR="00C8331F" w:rsidRPr="00D649FD">
        <w:rPr>
          <w:rFonts w:ascii="Arial" w:eastAsia="Calibri" w:hAnsi="Arial" w:cs="Arial"/>
          <w:color w:val="000000" w:themeColor="text1"/>
          <w:sz w:val="22"/>
          <w:szCs w:val="22"/>
          <w:lang w:val="es-ES_tradnl"/>
        </w:rPr>
        <w:t>s importante destacar que la Agencia Nacional de Contratación Pública</w:t>
      </w:r>
      <w:r w:rsidRPr="00D649FD">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D649FD">
        <w:rPr>
          <w:rFonts w:ascii="Arial" w:eastAsia="Calibri" w:hAnsi="Arial" w:cs="Arial"/>
          <w:color w:val="000000" w:themeColor="text1"/>
          <w:sz w:val="22"/>
          <w:szCs w:val="22"/>
          <w:lang w:val="es-ES_tradnl"/>
        </w:rPr>
        <w:t>,</w:t>
      </w:r>
      <w:r w:rsidR="0091310F" w:rsidRPr="00D649FD">
        <w:rPr>
          <w:rFonts w:ascii="Arial" w:eastAsia="Calibri" w:hAnsi="Arial" w:cs="Arial"/>
          <w:color w:val="000000" w:themeColor="text1"/>
          <w:sz w:val="22"/>
          <w:szCs w:val="22"/>
          <w:lang w:val="es-ES_tradnl"/>
        </w:rPr>
        <w:t xml:space="preserve"> en los conceptos C-285 del </w:t>
      </w:r>
      <w:r w:rsidR="00677212" w:rsidRPr="00D649FD">
        <w:rPr>
          <w:rFonts w:ascii="Arial" w:eastAsia="Calibri" w:hAnsi="Arial" w:cs="Arial"/>
          <w:color w:val="000000" w:themeColor="text1"/>
          <w:sz w:val="22"/>
          <w:szCs w:val="22"/>
          <w:lang w:val="es-ES_tradnl"/>
        </w:rPr>
        <w:t>4</w:t>
      </w:r>
      <w:r w:rsidR="0091310F" w:rsidRPr="00D649FD">
        <w:rPr>
          <w:rFonts w:ascii="Arial" w:eastAsia="Calibri" w:hAnsi="Arial" w:cs="Arial"/>
          <w:color w:val="000000" w:themeColor="text1"/>
          <w:sz w:val="22"/>
          <w:szCs w:val="22"/>
          <w:lang w:val="es-ES_tradnl"/>
        </w:rPr>
        <w:t xml:space="preserve"> de </w:t>
      </w:r>
      <w:r w:rsidR="00677212" w:rsidRPr="00D649FD">
        <w:rPr>
          <w:rFonts w:ascii="Arial" w:eastAsia="Calibri" w:hAnsi="Arial" w:cs="Arial"/>
          <w:color w:val="000000" w:themeColor="text1"/>
          <w:sz w:val="22"/>
          <w:szCs w:val="22"/>
          <w:lang w:val="es-ES_tradnl"/>
        </w:rPr>
        <w:t>mayo</w:t>
      </w:r>
      <w:r w:rsidR="0091310F" w:rsidRPr="00D649FD">
        <w:rPr>
          <w:rFonts w:ascii="Arial" w:eastAsia="Calibri" w:hAnsi="Arial" w:cs="Arial"/>
          <w:color w:val="000000" w:themeColor="text1"/>
          <w:sz w:val="22"/>
          <w:szCs w:val="22"/>
          <w:lang w:val="es-ES_tradnl"/>
        </w:rPr>
        <w:t xml:space="preserve"> de 2020, </w:t>
      </w:r>
      <w:r w:rsidR="006361C9" w:rsidRPr="00D649FD">
        <w:rPr>
          <w:rFonts w:ascii="Arial" w:eastAsia="Calibri" w:hAnsi="Arial" w:cs="Arial"/>
          <w:color w:val="000000" w:themeColor="text1"/>
          <w:sz w:val="22"/>
          <w:szCs w:val="22"/>
          <w:lang w:val="es-ES_tradnl"/>
        </w:rPr>
        <w:t xml:space="preserve">C-481 del </w:t>
      </w:r>
      <w:r w:rsidR="004060DC" w:rsidRPr="00D649FD">
        <w:rPr>
          <w:rFonts w:ascii="Arial" w:eastAsia="Calibri" w:hAnsi="Arial" w:cs="Arial"/>
          <w:color w:val="000000" w:themeColor="text1"/>
          <w:sz w:val="22"/>
          <w:szCs w:val="22"/>
          <w:lang w:val="es-ES_tradnl"/>
        </w:rPr>
        <w:t>27</w:t>
      </w:r>
      <w:r w:rsidR="00184219" w:rsidRPr="00D649FD">
        <w:rPr>
          <w:rFonts w:ascii="Arial" w:eastAsia="Calibri" w:hAnsi="Arial" w:cs="Arial"/>
          <w:color w:val="000000" w:themeColor="text1"/>
          <w:sz w:val="22"/>
          <w:szCs w:val="22"/>
          <w:lang w:val="es-ES_tradnl"/>
        </w:rPr>
        <w:t xml:space="preserve"> de julio de 2020</w:t>
      </w:r>
      <w:r w:rsidR="006606A4" w:rsidRPr="00D649FD">
        <w:rPr>
          <w:rFonts w:ascii="Arial" w:eastAsia="Calibri" w:hAnsi="Arial" w:cs="Arial"/>
          <w:color w:val="000000" w:themeColor="text1"/>
          <w:sz w:val="22"/>
          <w:szCs w:val="22"/>
          <w:lang w:val="es-ES_tradnl"/>
        </w:rPr>
        <w:t xml:space="preserve">, C-514 </w:t>
      </w:r>
      <w:r w:rsidR="002F7961" w:rsidRPr="00D649FD">
        <w:rPr>
          <w:rFonts w:ascii="Arial" w:eastAsia="Calibri" w:hAnsi="Arial" w:cs="Arial"/>
          <w:color w:val="000000" w:themeColor="text1"/>
          <w:sz w:val="22"/>
          <w:szCs w:val="22"/>
          <w:lang w:val="es-ES_tradnl"/>
        </w:rPr>
        <w:t xml:space="preserve">y C-535 </w:t>
      </w:r>
      <w:r w:rsidR="006606A4" w:rsidRPr="00D649FD">
        <w:rPr>
          <w:rFonts w:ascii="Arial" w:eastAsia="Calibri" w:hAnsi="Arial" w:cs="Arial"/>
          <w:color w:val="000000" w:themeColor="text1"/>
          <w:sz w:val="22"/>
          <w:szCs w:val="22"/>
          <w:lang w:val="es-ES_tradnl"/>
        </w:rPr>
        <w:t>del 26 de agosto de 2020</w:t>
      </w:r>
      <w:r w:rsidR="004060DC" w:rsidRPr="00D649FD">
        <w:rPr>
          <w:rFonts w:ascii="Arial" w:eastAsia="Calibri" w:hAnsi="Arial" w:cs="Arial"/>
          <w:color w:val="000000" w:themeColor="text1"/>
          <w:sz w:val="22"/>
          <w:szCs w:val="22"/>
          <w:lang w:val="es-ES_tradnl"/>
        </w:rPr>
        <w:t xml:space="preserve"> y </w:t>
      </w:r>
      <w:r w:rsidR="00F96079" w:rsidRPr="00D649FD">
        <w:rPr>
          <w:rFonts w:ascii="Arial" w:eastAsia="Calibri" w:hAnsi="Arial" w:cs="Arial"/>
          <w:color w:val="000000" w:themeColor="text1"/>
          <w:sz w:val="22"/>
          <w:szCs w:val="22"/>
          <w:lang w:val="es-ES_tradnl"/>
        </w:rPr>
        <w:t xml:space="preserve">C-556 del </w:t>
      </w:r>
      <w:r w:rsidR="00E820F4" w:rsidRPr="00D649FD">
        <w:rPr>
          <w:rFonts w:ascii="Arial" w:eastAsia="Calibri" w:hAnsi="Arial" w:cs="Arial"/>
          <w:color w:val="000000" w:themeColor="text1"/>
          <w:sz w:val="22"/>
          <w:szCs w:val="22"/>
          <w:lang w:val="es-ES_tradnl"/>
        </w:rPr>
        <w:t>31 de agosto de 2020</w:t>
      </w:r>
      <w:r w:rsidR="004060DC" w:rsidRPr="00D649FD">
        <w:rPr>
          <w:rFonts w:ascii="Arial" w:eastAsia="Calibri" w:hAnsi="Arial" w:cs="Arial"/>
          <w:color w:val="000000" w:themeColor="text1"/>
          <w:sz w:val="22"/>
          <w:szCs w:val="22"/>
          <w:lang w:val="es-ES_tradnl"/>
        </w:rPr>
        <w:t xml:space="preserve">. </w:t>
      </w:r>
      <w:r w:rsidR="001A04E2" w:rsidRPr="00D649FD">
        <w:rPr>
          <w:rFonts w:ascii="Arial" w:eastAsia="Calibri" w:hAnsi="Arial" w:cs="Arial"/>
          <w:color w:val="000000" w:themeColor="text1"/>
          <w:sz w:val="22"/>
          <w:szCs w:val="22"/>
          <w:lang w:val="es-ES_tradnl"/>
        </w:rPr>
        <w:t xml:space="preserve">De igual manera, en los conceptos C-009, C-012, C-013, C-015, C-016, C-026 del 04 de febrero de 2021, C-006 del 5 de febrero de 2021, C-043 del 9 de febrero de 2021,C-008 del 16 de febrero de 2021, C-081, C-087 y C-089 del 23 de febrero de 2021, C-044 del de marzo de 2021, C-056 del 8 de marzo de 2021 y C‒055 del 10 de marzo de 2021 se estudiaron los factores de desempate del artículo 35 de la Ley 2069 de 2020. </w:t>
      </w:r>
      <w:r w:rsidR="00C713BE" w:rsidRPr="00D649FD">
        <w:rPr>
          <w:rFonts w:ascii="Arial" w:eastAsia="Calibri" w:hAnsi="Arial" w:cs="Arial"/>
          <w:color w:val="000000" w:themeColor="text1"/>
          <w:sz w:val="22"/>
          <w:szCs w:val="22"/>
          <w:lang w:val="es-ES_tradnl"/>
        </w:rPr>
        <w:t>Algunas de las consideraciones de estos conceptos se reiteran a continuación:</w:t>
      </w:r>
      <w:r w:rsidR="001A04E2" w:rsidRPr="00D649FD">
        <w:rPr>
          <w:rFonts w:ascii="Arial" w:eastAsia="Calibri" w:hAnsi="Arial" w:cs="Arial"/>
          <w:color w:val="000000" w:themeColor="text1"/>
          <w:sz w:val="22"/>
          <w:szCs w:val="22"/>
          <w:lang w:val="es-ES_tradnl"/>
        </w:rPr>
        <w:t xml:space="preserve"> </w:t>
      </w:r>
    </w:p>
    <w:p w14:paraId="331D0ECA" w14:textId="77777777" w:rsidR="003C4317" w:rsidRPr="00D649FD" w:rsidRDefault="003C4317" w:rsidP="00271230">
      <w:pPr>
        <w:spacing w:line="276" w:lineRule="auto"/>
        <w:jc w:val="both"/>
        <w:rPr>
          <w:rFonts w:ascii="Arial" w:eastAsia="Calibri" w:hAnsi="Arial" w:cs="Arial"/>
          <w:color w:val="000000" w:themeColor="text1"/>
          <w:sz w:val="22"/>
          <w:szCs w:val="22"/>
          <w:lang w:val="es-ES_tradnl"/>
        </w:rPr>
      </w:pPr>
    </w:p>
    <w:p w14:paraId="0F39B6EF" w14:textId="77777777" w:rsidR="005244FC" w:rsidRPr="00D649FD" w:rsidRDefault="005244FC" w:rsidP="005244FC">
      <w:pPr>
        <w:spacing w:line="276" w:lineRule="auto"/>
        <w:jc w:val="both"/>
        <w:rPr>
          <w:rFonts w:ascii="Arial" w:eastAsia="Calibri" w:hAnsi="Arial" w:cs="Arial"/>
          <w:b/>
          <w:bCs/>
          <w:color w:val="000000" w:themeColor="text1"/>
          <w:sz w:val="22"/>
          <w:szCs w:val="22"/>
          <w:lang w:val="es-ES_tradnl"/>
        </w:rPr>
      </w:pPr>
      <w:r w:rsidRPr="00D649FD">
        <w:rPr>
          <w:rFonts w:ascii="Arial" w:eastAsia="Calibri" w:hAnsi="Arial" w:cs="Arial"/>
          <w:b/>
          <w:bCs/>
          <w:color w:val="000000" w:themeColor="text1"/>
          <w:sz w:val="22"/>
          <w:szCs w:val="22"/>
          <w:lang w:val="es-ES_tradnl"/>
        </w:rPr>
        <w:t>2.1. Factores de desempate en la contratación estatal: concepto y características</w:t>
      </w:r>
    </w:p>
    <w:p w14:paraId="342BA812" w14:textId="77777777" w:rsidR="005244FC" w:rsidRPr="00D649FD" w:rsidRDefault="005244FC" w:rsidP="005244FC">
      <w:pPr>
        <w:spacing w:line="276" w:lineRule="auto"/>
        <w:jc w:val="both"/>
        <w:rPr>
          <w:rFonts w:ascii="Arial" w:eastAsia="Calibri" w:hAnsi="Arial" w:cs="Arial"/>
          <w:color w:val="000000" w:themeColor="text1"/>
          <w:sz w:val="22"/>
          <w:szCs w:val="22"/>
          <w:lang w:val="es-ES_tradnl"/>
        </w:rPr>
      </w:pPr>
    </w:p>
    <w:p w14:paraId="09DB8BB1" w14:textId="77777777" w:rsidR="005244FC" w:rsidRPr="00D649FD" w:rsidRDefault="005244FC" w:rsidP="005244FC">
      <w:pPr>
        <w:spacing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77777777" w:rsidR="005244FC" w:rsidRPr="00D649FD"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13EAEB7" w14:textId="6021C43A" w:rsidR="005244FC" w:rsidRPr="00D649FD" w:rsidRDefault="00A62C95" w:rsidP="005244FC">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Sin embargo</w:t>
      </w:r>
      <w:r w:rsidR="005244FC" w:rsidRPr="00D649FD">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Pr="00D649FD">
        <w:rPr>
          <w:rFonts w:ascii="Arial" w:eastAsia="Calibri" w:hAnsi="Arial" w:cs="Arial"/>
          <w:color w:val="000000" w:themeColor="text1"/>
          <w:sz w:val="22"/>
          <w:szCs w:val="22"/>
          <w:lang w:val="es-ES_tradnl"/>
        </w:rPr>
        <w:t>, entre las que se cuenta</w:t>
      </w:r>
      <w:r w:rsidR="00594EA9" w:rsidRPr="00D649FD">
        <w:rPr>
          <w:rFonts w:ascii="Arial" w:eastAsia="Calibri" w:hAnsi="Arial" w:cs="Arial"/>
          <w:color w:val="000000" w:themeColor="text1"/>
          <w:sz w:val="22"/>
          <w:szCs w:val="22"/>
          <w:lang w:val="es-ES_tradnl"/>
        </w:rPr>
        <w:t>,</w:t>
      </w:r>
      <w:r w:rsidR="005244FC" w:rsidRPr="00D649FD">
        <w:rPr>
          <w:rFonts w:ascii="Arial" w:eastAsia="Calibri" w:hAnsi="Arial" w:cs="Arial"/>
          <w:color w:val="000000" w:themeColor="text1"/>
          <w:sz w:val="22"/>
          <w:szCs w:val="22"/>
          <w:lang w:val="es-ES_tradnl"/>
        </w:rPr>
        <w:t xml:space="preserve"> el artículo 35 de la Ley </w:t>
      </w:r>
      <w:r w:rsidR="007B209C" w:rsidRPr="00D649FD">
        <w:rPr>
          <w:rFonts w:ascii="Arial" w:eastAsia="Calibri" w:hAnsi="Arial" w:cs="Arial"/>
          <w:color w:val="000000" w:themeColor="text1"/>
          <w:sz w:val="22"/>
          <w:szCs w:val="22"/>
          <w:lang w:val="es-ES_tradnl"/>
        </w:rPr>
        <w:t>2069</w:t>
      </w:r>
      <w:r w:rsidR="005244FC" w:rsidRPr="00D649FD">
        <w:rPr>
          <w:rFonts w:ascii="Arial" w:eastAsia="Calibri" w:hAnsi="Arial" w:cs="Arial"/>
          <w:color w:val="000000" w:themeColor="text1"/>
          <w:sz w:val="22"/>
          <w:szCs w:val="22"/>
          <w:lang w:val="es-ES_tradnl"/>
        </w:rPr>
        <w:t xml:space="preserve"> de 2020. La </w:t>
      </w:r>
      <w:r w:rsidR="009B6863" w:rsidRPr="00D649FD">
        <w:rPr>
          <w:rFonts w:ascii="Arial" w:eastAsia="Calibri" w:hAnsi="Arial" w:cs="Arial"/>
          <w:color w:val="000000" w:themeColor="text1"/>
          <w:sz w:val="22"/>
          <w:szCs w:val="22"/>
          <w:lang w:val="es-ES_tradnl"/>
        </w:rPr>
        <w:t>jurisprudencia</w:t>
      </w:r>
      <w:r w:rsidR="005244FC" w:rsidRPr="00D649FD">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8C1918" w:rsidRPr="00D649FD">
        <w:rPr>
          <w:rStyle w:val="Refdenotaalpie"/>
          <w:rFonts w:ascii="Arial" w:hAnsi="Arial" w:cs="Arial"/>
          <w:sz w:val="21"/>
          <w:szCs w:val="21"/>
          <w:lang w:val="es-ES_tradnl"/>
        </w:rPr>
        <w:footnoteReference w:id="2"/>
      </w:r>
      <w:r w:rsidR="005244FC" w:rsidRPr="00D649FD">
        <w:rPr>
          <w:rFonts w:ascii="Arial" w:eastAsia="Calibri" w:hAnsi="Arial" w:cs="Arial"/>
          <w:color w:val="000000" w:themeColor="text1"/>
          <w:sz w:val="22"/>
          <w:szCs w:val="22"/>
          <w:lang w:val="es-ES_tradnl"/>
        </w:rPr>
        <w:t xml:space="preserve">. </w:t>
      </w:r>
    </w:p>
    <w:p w14:paraId="6CC191F9" w14:textId="35DB3DF0" w:rsidR="005244FC" w:rsidRPr="00D649FD"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lastRenderedPageBreak/>
        <w:t xml:space="preserve">En tal sentido, la Corte Constitucional explica que cuando la ley establece factores de desempate obligatorios, las entidades estatales no pueden inaplicarlos, porque ello </w:t>
      </w:r>
      <w:r w:rsidRPr="00D649FD">
        <w:rPr>
          <w:rFonts w:ascii="Arial" w:eastAsia="Calibri" w:hAnsi="Arial" w:cs="Arial"/>
          <w:color w:val="000000" w:themeColor="text1"/>
          <w:sz w:val="22"/>
          <w:szCs w:val="22"/>
          <w:lang w:val="es-ES_tradnl"/>
        </w:rPr>
        <w:t>podría vulnerar el principio de igualdad, especialmente, cuando algunos de estos criterios surgen como acciones afirmativas para ciertos sectores de la población</w:t>
      </w:r>
      <w:r w:rsidRPr="00D649FD">
        <w:rPr>
          <w:rStyle w:val="Refdenotaalpie"/>
          <w:rFonts w:ascii="Arial" w:eastAsia="Calibri" w:hAnsi="Arial" w:cs="Arial"/>
          <w:color w:val="000000" w:themeColor="text1"/>
          <w:sz w:val="22"/>
          <w:szCs w:val="22"/>
          <w:lang w:val="es-ES_tradnl"/>
        </w:rPr>
        <w:footnoteReference w:id="3"/>
      </w:r>
      <w:r w:rsidRPr="00D649FD">
        <w:rPr>
          <w:rFonts w:ascii="Arial" w:eastAsia="Calibri" w:hAnsi="Arial" w:cs="Arial"/>
          <w:color w:val="000000" w:themeColor="text1"/>
          <w:sz w:val="22"/>
          <w:szCs w:val="22"/>
          <w:lang w:val="es-ES_tradnl"/>
        </w:rPr>
        <w:t xml:space="preserve">. </w:t>
      </w:r>
      <w:r w:rsidR="00037B7D" w:rsidRPr="00D649FD">
        <w:rPr>
          <w:rFonts w:ascii="Arial" w:eastAsia="Calibri" w:hAnsi="Arial" w:cs="Arial"/>
          <w:color w:val="000000" w:themeColor="text1"/>
          <w:sz w:val="22"/>
          <w:szCs w:val="22"/>
          <w:lang w:val="es-ES_tradnl"/>
        </w:rPr>
        <w:t>M</w:t>
      </w:r>
      <w:r w:rsidRPr="00D649FD">
        <w:rPr>
          <w:rFonts w:ascii="Arial" w:eastAsia="Calibri" w:hAnsi="Arial" w:cs="Arial"/>
          <w:color w:val="000000" w:themeColor="text1"/>
          <w:sz w:val="22"/>
          <w:szCs w:val="22"/>
          <w:lang w:val="es-ES_tradnl"/>
        </w:rPr>
        <w:t>ás</w:t>
      </w:r>
      <w:r w:rsidR="00037B7D" w:rsidRPr="00D649FD">
        <w:rPr>
          <w:rFonts w:ascii="Arial" w:eastAsia="Calibri" w:hAnsi="Arial" w:cs="Arial"/>
          <w:color w:val="000000" w:themeColor="text1"/>
          <w:sz w:val="22"/>
          <w:szCs w:val="22"/>
          <w:lang w:val="es-ES_tradnl"/>
        </w:rPr>
        <w:t xml:space="preserve"> aún</w:t>
      </w:r>
      <w:r w:rsidRPr="00D649FD">
        <w:rPr>
          <w:rFonts w:ascii="Arial" w:eastAsia="Calibri" w:hAnsi="Arial" w:cs="Arial"/>
          <w:color w:val="000000" w:themeColor="text1"/>
          <w:sz w:val="22"/>
          <w:szCs w:val="22"/>
          <w:lang w:val="es-ES_tradnl"/>
        </w:rPr>
        <w:t>, el Consejo de Estado</w:t>
      </w:r>
      <w:r w:rsidR="00C639F2" w:rsidRPr="00D649FD">
        <w:rPr>
          <w:rFonts w:ascii="Arial" w:eastAsia="Calibri" w:hAnsi="Arial" w:cs="Arial"/>
          <w:color w:val="000000" w:themeColor="text1"/>
          <w:sz w:val="22"/>
          <w:szCs w:val="22"/>
          <w:lang w:val="es-ES_tradnl"/>
        </w:rPr>
        <w:t xml:space="preserve"> ha señalado </w:t>
      </w:r>
      <w:r w:rsidR="002C2C94" w:rsidRPr="00D649FD">
        <w:rPr>
          <w:rFonts w:ascii="Arial" w:eastAsia="Calibri" w:hAnsi="Arial" w:cs="Arial"/>
          <w:color w:val="000000" w:themeColor="text1"/>
          <w:sz w:val="22"/>
          <w:szCs w:val="22"/>
          <w:lang w:val="es-ES_tradnl"/>
        </w:rPr>
        <w:t>que contrariar</w:t>
      </w:r>
      <w:r w:rsidRPr="00D649FD">
        <w:rPr>
          <w:rFonts w:ascii="Arial" w:eastAsia="Calibri" w:hAnsi="Arial" w:cs="Arial"/>
          <w:color w:val="000000" w:themeColor="text1"/>
          <w:sz w:val="22"/>
          <w:szCs w:val="22"/>
          <w:lang w:val="es-ES_tradnl"/>
        </w:rPr>
        <w:t xml:space="preserve"> los factores de desempate genera la nulidad del contrato, conforme al artículo 44, inciso 1º de la Ley 80 de 1993</w:t>
      </w:r>
      <w:r w:rsidRPr="00D649FD">
        <w:rPr>
          <w:rStyle w:val="Refdenotaalpie"/>
          <w:rFonts w:ascii="Arial" w:eastAsia="Calibri" w:hAnsi="Arial" w:cs="Arial"/>
          <w:color w:val="000000" w:themeColor="text1"/>
          <w:sz w:val="22"/>
          <w:szCs w:val="22"/>
          <w:lang w:val="es-ES_tradnl"/>
        </w:rPr>
        <w:footnoteReference w:id="4"/>
      </w:r>
      <w:r w:rsidRPr="00D649FD">
        <w:rPr>
          <w:rFonts w:ascii="Arial" w:eastAsia="Calibri" w:hAnsi="Arial" w:cs="Arial"/>
          <w:color w:val="000000" w:themeColor="text1"/>
          <w:sz w:val="22"/>
          <w:szCs w:val="22"/>
          <w:lang w:val="es-ES_tradnl"/>
        </w:rPr>
        <w:t>.</w:t>
      </w:r>
    </w:p>
    <w:p w14:paraId="5909E216" w14:textId="77777777" w:rsidR="005244FC" w:rsidRPr="00D649FD"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Ahora bien, en cumplimiento de los principios de reciprocidad y de </w:t>
      </w:r>
      <w:r w:rsidRPr="00D649FD">
        <w:rPr>
          <w:rFonts w:ascii="Arial" w:eastAsia="Calibri" w:hAnsi="Arial" w:cs="Arial"/>
          <w:i/>
          <w:iCs/>
          <w:color w:val="000000" w:themeColor="text1"/>
          <w:sz w:val="22"/>
          <w:szCs w:val="22"/>
          <w:lang w:val="es-ES_tradnl"/>
        </w:rPr>
        <w:t xml:space="preserve">pacta </w:t>
      </w:r>
      <w:proofErr w:type="spellStart"/>
      <w:r w:rsidRPr="00D649FD">
        <w:rPr>
          <w:rFonts w:ascii="Arial" w:eastAsia="Calibri" w:hAnsi="Arial" w:cs="Arial"/>
          <w:i/>
          <w:iCs/>
          <w:color w:val="000000" w:themeColor="text1"/>
          <w:sz w:val="22"/>
          <w:szCs w:val="22"/>
          <w:lang w:val="es-ES_tradnl"/>
        </w:rPr>
        <w:t>sunt</w:t>
      </w:r>
      <w:proofErr w:type="spellEnd"/>
      <w:r w:rsidRPr="00D649FD">
        <w:rPr>
          <w:rFonts w:ascii="Arial" w:eastAsia="Calibri" w:hAnsi="Arial" w:cs="Arial"/>
          <w:i/>
          <w:iCs/>
          <w:color w:val="000000" w:themeColor="text1"/>
          <w:sz w:val="22"/>
          <w:szCs w:val="22"/>
          <w:lang w:val="es-ES_tradnl"/>
        </w:rPr>
        <w:t xml:space="preserve"> </w:t>
      </w:r>
      <w:proofErr w:type="spellStart"/>
      <w:r w:rsidRPr="00D649FD">
        <w:rPr>
          <w:rFonts w:ascii="Arial" w:eastAsia="Calibri" w:hAnsi="Arial" w:cs="Arial"/>
          <w:i/>
          <w:iCs/>
          <w:color w:val="000000" w:themeColor="text1"/>
          <w:sz w:val="22"/>
          <w:szCs w:val="22"/>
          <w:lang w:val="es-ES_tradnl"/>
        </w:rPr>
        <w:t>servanda</w:t>
      </w:r>
      <w:proofErr w:type="spellEnd"/>
      <w:r w:rsidRPr="00D649FD">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D649FD" w:rsidRDefault="005244FC" w:rsidP="005244FC">
      <w:pPr>
        <w:spacing w:line="276" w:lineRule="auto"/>
        <w:rPr>
          <w:rFonts w:ascii="Arial" w:eastAsia="Calibri" w:hAnsi="Arial" w:cs="Arial"/>
          <w:color w:val="000000" w:themeColor="text1"/>
          <w:sz w:val="22"/>
          <w:szCs w:val="22"/>
          <w:lang w:val="es-ES_tradnl"/>
        </w:rPr>
      </w:pPr>
    </w:p>
    <w:p w14:paraId="27D423AC" w14:textId="2D423006" w:rsidR="005244FC" w:rsidRPr="00D649FD" w:rsidRDefault="005244FC" w:rsidP="005244FC">
      <w:pPr>
        <w:spacing w:line="276" w:lineRule="auto"/>
        <w:jc w:val="both"/>
        <w:rPr>
          <w:rFonts w:ascii="Arial" w:eastAsia="Calibri" w:hAnsi="Arial" w:cs="Arial"/>
          <w:b/>
          <w:bCs/>
          <w:color w:val="000000" w:themeColor="text1"/>
          <w:sz w:val="22"/>
          <w:szCs w:val="22"/>
          <w:lang w:val="es-ES_tradnl"/>
        </w:rPr>
      </w:pPr>
      <w:r w:rsidRPr="00D649FD">
        <w:rPr>
          <w:rFonts w:ascii="Arial" w:eastAsia="Calibri" w:hAnsi="Arial" w:cs="Arial"/>
          <w:b/>
          <w:bCs/>
          <w:color w:val="000000" w:themeColor="text1"/>
          <w:sz w:val="22"/>
          <w:szCs w:val="22"/>
          <w:lang w:val="es-ES_tradnl"/>
        </w:rPr>
        <w:t xml:space="preserve">2.2. Vigencia y ámbito de aplicación de la Ley </w:t>
      </w:r>
      <w:r w:rsidR="007B209C" w:rsidRPr="00D649FD">
        <w:rPr>
          <w:rFonts w:ascii="Arial" w:eastAsia="Calibri" w:hAnsi="Arial" w:cs="Arial"/>
          <w:b/>
          <w:bCs/>
          <w:color w:val="000000" w:themeColor="text1"/>
          <w:sz w:val="22"/>
          <w:szCs w:val="22"/>
          <w:lang w:val="es-ES_tradnl"/>
        </w:rPr>
        <w:t>2069</w:t>
      </w:r>
      <w:r w:rsidRPr="00D649FD">
        <w:rPr>
          <w:rFonts w:ascii="Arial" w:eastAsia="Calibri" w:hAnsi="Arial" w:cs="Arial"/>
          <w:b/>
          <w:bCs/>
          <w:color w:val="000000" w:themeColor="text1"/>
          <w:sz w:val="22"/>
          <w:szCs w:val="22"/>
          <w:lang w:val="es-ES_tradnl"/>
        </w:rPr>
        <w:t xml:space="preserve"> de 2020</w:t>
      </w:r>
    </w:p>
    <w:p w14:paraId="10695754" w14:textId="77777777" w:rsidR="005244FC" w:rsidRPr="00D649FD" w:rsidRDefault="005244FC" w:rsidP="005244FC">
      <w:pPr>
        <w:spacing w:line="276" w:lineRule="auto"/>
        <w:jc w:val="both"/>
        <w:rPr>
          <w:rFonts w:ascii="Arial" w:eastAsia="Calibri" w:hAnsi="Arial" w:cs="Arial"/>
          <w:color w:val="000000" w:themeColor="text1"/>
          <w:sz w:val="22"/>
          <w:szCs w:val="22"/>
          <w:lang w:val="es-ES_tradnl"/>
        </w:rPr>
      </w:pPr>
    </w:p>
    <w:p w14:paraId="20A72819" w14:textId="2E3C3547" w:rsidR="00116EC5" w:rsidRPr="00D649FD" w:rsidRDefault="00116EC5" w:rsidP="00116EC5">
      <w:pPr>
        <w:spacing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El 31 de diciembre de 2020 se promulgó la Ley </w:t>
      </w:r>
      <w:r w:rsidR="007B209C"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617D616A" w:rsidR="00EA0455" w:rsidRPr="00D649FD"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En cuan</w:t>
      </w:r>
      <w:r w:rsidR="004A6BE4" w:rsidRPr="00D649FD">
        <w:rPr>
          <w:rFonts w:ascii="Arial" w:eastAsia="Calibri" w:hAnsi="Arial" w:cs="Arial"/>
          <w:color w:val="000000" w:themeColor="text1"/>
          <w:sz w:val="22"/>
          <w:szCs w:val="22"/>
          <w:lang w:val="es-ES_tradnl"/>
        </w:rPr>
        <w:t>t</w:t>
      </w:r>
      <w:r w:rsidRPr="00D649FD">
        <w:rPr>
          <w:rFonts w:ascii="Arial" w:eastAsia="Calibri" w:hAnsi="Arial" w:cs="Arial"/>
          <w:color w:val="000000" w:themeColor="text1"/>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D649FD">
        <w:rPr>
          <w:rFonts w:ascii="Arial" w:eastAsia="Calibri" w:hAnsi="Arial" w:cs="Arial"/>
          <w:color w:val="000000" w:themeColor="text1"/>
          <w:sz w:val="22"/>
          <w:szCs w:val="22"/>
          <w:lang w:val="es-ES_tradnl"/>
        </w:rPr>
        <w:lastRenderedPageBreak/>
        <w:t>mipymes</w:t>
      </w:r>
      <w:proofErr w:type="spellEnd"/>
      <w:r w:rsidRPr="00D649FD">
        <w:rPr>
          <w:rFonts w:ascii="Arial" w:eastAsia="Calibri" w:hAnsi="Arial" w:cs="Arial"/>
          <w:color w:val="000000" w:themeColor="text1"/>
          <w:sz w:val="22"/>
          <w:szCs w:val="22"/>
          <w:lang w:val="es-ES_tradnl"/>
        </w:rPr>
        <w:t>–, mediante la racionalización y simplificación de los trámites y tarifas</w:t>
      </w:r>
      <w:r w:rsidRPr="00D649FD">
        <w:rPr>
          <w:rStyle w:val="Refdenotaalpie"/>
          <w:rFonts w:ascii="Arial" w:eastAsia="Calibri" w:hAnsi="Arial" w:cs="Arial"/>
          <w:color w:val="000000" w:themeColor="text1"/>
          <w:sz w:val="22"/>
          <w:szCs w:val="22"/>
          <w:lang w:val="es-ES_tradnl"/>
        </w:rPr>
        <w:footnoteReference w:id="5"/>
      </w:r>
      <w:r w:rsidRPr="00D649FD">
        <w:rPr>
          <w:rFonts w:ascii="Arial" w:eastAsia="Calibri" w:hAnsi="Arial" w:cs="Arial"/>
          <w:color w:val="000000" w:themeColor="text1"/>
          <w:sz w:val="22"/>
          <w:szCs w:val="22"/>
          <w:lang w:val="es-ES_tradnl"/>
        </w:rPr>
        <w:t>, así como incentivos a favor de aquellas dentro del sistema de compras y contratación pública</w:t>
      </w:r>
      <w:r w:rsidRPr="00D649FD">
        <w:rPr>
          <w:rStyle w:val="Refdenotaalpie"/>
          <w:rFonts w:ascii="Arial" w:eastAsia="Calibri" w:hAnsi="Arial" w:cs="Arial"/>
          <w:color w:val="000000" w:themeColor="text1"/>
          <w:sz w:val="22"/>
          <w:szCs w:val="22"/>
          <w:lang w:val="es-ES_tradnl"/>
        </w:rPr>
        <w:footnoteReference w:id="6"/>
      </w:r>
      <w:r w:rsidRPr="00D649FD">
        <w:rPr>
          <w:rFonts w:ascii="Arial" w:eastAsia="Calibri" w:hAnsi="Arial" w:cs="Arial"/>
          <w:color w:val="000000" w:themeColor="text1"/>
          <w:sz w:val="22"/>
          <w:szCs w:val="22"/>
          <w:lang w:val="es-ES_tradnl"/>
        </w:rPr>
        <w:t xml:space="preserve">. </w:t>
      </w:r>
      <w:r w:rsidR="00536B49" w:rsidRPr="00D649FD">
        <w:rPr>
          <w:rFonts w:ascii="Arial" w:eastAsia="Calibri" w:hAnsi="Arial" w:cs="Arial"/>
          <w:color w:val="000000" w:themeColor="text1"/>
          <w:sz w:val="22"/>
          <w:szCs w:val="22"/>
          <w:lang w:val="es-ES_tradnl"/>
        </w:rPr>
        <w:t>De igual forma,</w:t>
      </w:r>
      <w:r w:rsidRPr="00D649FD">
        <w:rPr>
          <w:rFonts w:ascii="Arial" w:eastAsia="Calibri" w:hAnsi="Arial" w:cs="Arial"/>
          <w:color w:val="000000" w:themeColor="text1"/>
          <w:sz w:val="22"/>
          <w:szCs w:val="22"/>
          <w:lang w:val="es-ES_tradnl"/>
        </w:rPr>
        <w:t xml:space="preserve"> se consagran mecanismos de acceso al financiamiento</w:t>
      </w:r>
      <w:r w:rsidRPr="00D649FD">
        <w:rPr>
          <w:rStyle w:val="Refdenotaalpie"/>
          <w:rFonts w:ascii="Arial" w:eastAsia="Calibri" w:hAnsi="Arial" w:cs="Arial"/>
          <w:color w:val="000000" w:themeColor="text1"/>
          <w:sz w:val="22"/>
          <w:szCs w:val="22"/>
          <w:lang w:val="es-ES_tradnl"/>
        </w:rPr>
        <w:footnoteReference w:id="7"/>
      </w:r>
      <w:r w:rsidRPr="00D649FD">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D649FD">
        <w:rPr>
          <w:rStyle w:val="Refdenotaalpie"/>
          <w:rFonts w:ascii="Arial" w:eastAsia="Calibri" w:hAnsi="Arial" w:cs="Arial"/>
          <w:color w:val="000000" w:themeColor="text1"/>
          <w:sz w:val="22"/>
          <w:szCs w:val="22"/>
          <w:lang w:val="es-ES_tradnl"/>
        </w:rPr>
        <w:footnoteReference w:id="8"/>
      </w:r>
      <w:r w:rsidRPr="00D649FD">
        <w:rPr>
          <w:rFonts w:ascii="Arial" w:eastAsia="Calibri" w:hAnsi="Arial" w:cs="Arial"/>
          <w:color w:val="000000" w:themeColor="text1"/>
          <w:sz w:val="22"/>
          <w:szCs w:val="22"/>
          <w:lang w:val="es-ES_tradnl"/>
        </w:rPr>
        <w:t xml:space="preserve"> y se prevén medidas de educación para el emprendimiento y la innovación</w:t>
      </w:r>
      <w:r w:rsidRPr="00D649FD">
        <w:rPr>
          <w:rStyle w:val="Refdenotaalpie"/>
          <w:rFonts w:ascii="Arial" w:eastAsia="Calibri" w:hAnsi="Arial" w:cs="Arial"/>
          <w:color w:val="000000" w:themeColor="text1"/>
          <w:sz w:val="22"/>
          <w:szCs w:val="22"/>
          <w:lang w:val="es-ES_tradnl"/>
        </w:rPr>
        <w:footnoteReference w:id="9"/>
      </w:r>
      <w:r w:rsidRPr="00D649FD">
        <w:rPr>
          <w:rFonts w:ascii="Arial" w:eastAsia="Calibri" w:hAnsi="Arial" w:cs="Arial"/>
          <w:color w:val="000000" w:themeColor="text1"/>
          <w:sz w:val="22"/>
          <w:szCs w:val="22"/>
          <w:lang w:val="es-ES_tradnl"/>
        </w:rPr>
        <w:t>.</w:t>
      </w:r>
    </w:p>
    <w:p w14:paraId="748F81E7" w14:textId="49FF0F17" w:rsidR="00EA0455" w:rsidRPr="00D649FD"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Como se indicó, parte de la Ley </w:t>
      </w:r>
      <w:r w:rsidR="007B209C"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649FD">
        <w:rPr>
          <w:rFonts w:ascii="Arial" w:eastAsia="Calibri" w:hAnsi="Arial" w:cs="Arial"/>
          <w:color w:val="000000" w:themeColor="text1"/>
          <w:sz w:val="22"/>
          <w:szCs w:val="22"/>
          <w:lang w:val="es-ES_tradnl"/>
        </w:rPr>
        <w:t>mipymes</w:t>
      </w:r>
      <w:proofErr w:type="spellEnd"/>
      <w:r w:rsidRPr="00D649FD">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D649FD">
        <w:rPr>
          <w:rFonts w:ascii="Arial" w:eastAsia="Calibri" w:hAnsi="Arial" w:cs="Arial"/>
          <w:color w:val="000000" w:themeColor="text1"/>
          <w:sz w:val="22"/>
          <w:szCs w:val="22"/>
          <w:lang w:val="es-ES_tradnl"/>
        </w:rPr>
        <w:t>mipymes</w:t>
      </w:r>
      <w:proofErr w:type="spellEnd"/>
      <w:r w:rsidRPr="00D649FD">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D649FD">
        <w:rPr>
          <w:rFonts w:ascii="Arial" w:eastAsia="Calibri" w:hAnsi="Arial" w:cs="Arial"/>
          <w:color w:val="000000" w:themeColor="text1"/>
          <w:sz w:val="22"/>
          <w:szCs w:val="22"/>
          <w:lang w:val="es-ES_tradnl"/>
        </w:rPr>
        <w:t>mipymes</w:t>
      </w:r>
      <w:proofErr w:type="spellEnd"/>
      <w:r w:rsidRPr="00D649FD">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C713BE" w:rsidRPr="00D649FD">
        <w:rPr>
          <w:rFonts w:ascii="Arial" w:eastAsia="Calibri" w:hAnsi="Arial" w:cs="Arial"/>
          <w:color w:val="000000" w:themeColor="text1"/>
          <w:sz w:val="22"/>
          <w:szCs w:val="22"/>
          <w:lang w:val="es-ES_tradnl"/>
        </w:rPr>
        <w:t>l</w:t>
      </w:r>
      <w:r w:rsidRPr="00D649FD">
        <w:rPr>
          <w:rFonts w:ascii="Arial" w:eastAsia="Calibri" w:hAnsi="Arial" w:cs="Arial"/>
          <w:color w:val="000000" w:themeColor="text1"/>
          <w:sz w:val="22"/>
          <w:szCs w:val="22"/>
          <w:lang w:val="es-ES_tradnl"/>
        </w:rPr>
        <w:t xml:space="preserve">ey, a continuación se estudiará el contenido y alcance de dicha norma.  </w:t>
      </w:r>
    </w:p>
    <w:p w14:paraId="76F598EA" w14:textId="77777777" w:rsidR="006C189C" w:rsidRPr="00D649FD" w:rsidRDefault="006C189C" w:rsidP="00833ADA">
      <w:pPr>
        <w:spacing w:line="276" w:lineRule="auto"/>
        <w:jc w:val="both"/>
        <w:rPr>
          <w:rFonts w:ascii="Arial" w:eastAsia="Calibri" w:hAnsi="Arial" w:cs="Arial"/>
          <w:color w:val="000000" w:themeColor="text1"/>
          <w:sz w:val="22"/>
          <w:szCs w:val="22"/>
          <w:lang w:val="es-ES_tradnl"/>
        </w:rPr>
      </w:pPr>
    </w:p>
    <w:p w14:paraId="2C2833A6" w14:textId="27D918F3" w:rsidR="00833ADA" w:rsidRPr="00D649FD" w:rsidRDefault="00523F41" w:rsidP="00833ADA">
      <w:pPr>
        <w:spacing w:line="276" w:lineRule="auto"/>
        <w:jc w:val="both"/>
        <w:rPr>
          <w:rFonts w:ascii="Arial" w:eastAsia="Calibri" w:hAnsi="Arial" w:cs="Arial"/>
          <w:b/>
          <w:bCs/>
          <w:color w:val="000000" w:themeColor="text1"/>
          <w:sz w:val="22"/>
          <w:szCs w:val="22"/>
          <w:lang w:val="es-ES_tradnl"/>
        </w:rPr>
      </w:pPr>
      <w:r w:rsidRPr="00D649FD">
        <w:rPr>
          <w:rFonts w:ascii="Arial" w:eastAsia="Calibri" w:hAnsi="Arial" w:cs="Arial"/>
          <w:b/>
          <w:bCs/>
          <w:color w:val="000000" w:themeColor="text1"/>
          <w:sz w:val="22"/>
          <w:szCs w:val="22"/>
          <w:lang w:val="es-ES_tradnl"/>
        </w:rPr>
        <w:t>2.3.</w:t>
      </w:r>
      <w:r w:rsidR="00833ADA" w:rsidRPr="00D649FD">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D649FD">
        <w:rPr>
          <w:rFonts w:ascii="Arial" w:eastAsia="Calibri" w:hAnsi="Arial" w:cs="Arial"/>
          <w:b/>
          <w:bCs/>
          <w:color w:val="000000" w:themeColor="text1"/>
          <w:sz w:val="22"/>
          <w:szCs w:val="22"/>
          <w:lang w:val="es-ES_tradnl"/>
        </w:rPr>
        <w:t xml:space="preserve"> Ley </w:t>
      </w:r>
      <w:r w:rsidR="007B209C" w:rsidRPr="00D649FD">
        <w:rPr>
          <w:rFonts w:ascii="Arial" w:eastAsia="Calibri" w:hAnsi="Arial" w:cs="Arial"/>
          <w:b/>
          <w:bCs/>
          <w:color w:val="000000" w:themeColor="text1"/>
          <w:sz w:val="22"/>
          <w:szCs w:val="22"/>
          <w:lang w:val="es-ES_tradnl"/>
        </w:rPr>
        <w:t>2069</w:t>
      </w:r>
      <w:r w:rsidR="00755229" w:rsidRPr="00D649FD">
        <w:rPr>
          <w:rFonts w:ascii="Arial" w:eastAsia="Calibri" w:hAnsi="Arial" w:cs="Arial"/>
          <w:b/>
          <w:bCs/>
          <w:color w:val="000000" w:themeColor="text1"/>
          <w:sz w:val="22"/>
          <w:szCs w:val="22"/>
          <w:lang w:val="es-ES_tradnl"/>
        </w:rPr>
        <w:t xml:space="preserve"> de 2020</w:t>
      </w:r>
    </w:p>
    <w:p w14:paraId="39B77F09" w14:textId="77777777" w:rsidR="00FC6DB9" w:rsidRPr="00D649FD" w:rsidRDefault="00FC6DB9" w:rsidP="00271230">
      <w:pPr>
        <w:spacing w:line="276" w:lineRule="auto"/>
        <w:jc w:val="both"/>
        <w:rPr>
          <w:rFonts w:ascii="Arial" w:eastAsia="Calibri" w:hAnsi="Arial" w:cs="Arial"/>
          <w:color w:val="000000" w:themeColor="text1"/>
          <w:sz w:val="22"/>
          <w:szCs w:val="22"/>
          <w:lang w:val="es-ES_tradnl"/>
        </w:rPr>
      </w:pPr>
    </w:p>
    <w:p w14:paraId="28246740" w14:textId="2083DFF3" w:rsidR="00BD3AF1" w:rsidRPr="00D649FD" w:rsidRDefault="00FC6DB9" w:rsidP="00271230">
      <w:pPr>
        <w:spacing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El artículo 35 de la Ley </w:t>
      </w:r>
      <w:r w:rsidR="007B209C"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xml:space="preserve"> de 2020</w:t>
      </w:r>
      <w:r w:rsidR="00486226" w:rsidRPr="00D649FD">
        <w:rPr>
          <w:rFonts w:ascii="Arial" w:eastAsia="Calibri" w:hAnsi="Arial" w:cs="Arial"/>
          <w:color w:val="000000" w:themeColor="text1"/>
          <w:sz w:val="22"/>
          <w:szCs w:val="22"/>
          <w:lang w:val="es-ES_tradnl"/>
        </w:rPr>
        <w:t xml:space="preserve"> modifica la regulación de los </w:t>
      </w:r>
      <w:r w:rsidR="008F4163" w:rsidRPr="00D649FD">
        <w:rPr>
          <w:rFonts w:ascii="Arial" w:eastAsia="Calibri" w:hAnsi="Arial" w:cs="Arial"/>
          <w:color w:val="000000" w:themeColor="text1"/>
          <w:sz w:val="22"/>
          <w:szCs w:val="22"/>
          <w:lang w:val="es-ES_tradnl"/>
        </w:rPr>
        <w:t>factores</w:t>
      </w:r>
      <w:r w:rsidR="00486226" w:rsidRPr="00D649FD">
        <w:rPr>
          <w:rFonts w:ascii="Arial" w:eastAsia="Calibri" w:hAnsi="Arial" w:cs="Arial"/>
          <w:color w:val="000000" w:themeColor="text1"/>
          <w:sz w:val="22"/>
          <w:szCs w:val="22"/>
          <w:lang w:val="es-ES_tradnl"/>
        </w:rPr>
        <w:t xml:space="preserve"> de</w:t>
      </w:r>
      <w:r w:rsidR="008F4163" w:rsidRPr="00D649FD">
        <w:rPr>
          <w:rFonts w:ascii="Arial" w:eastAsia="Calibri" w:hAnsi="Arial" w:cs="Arial"/>
          <w:color w:val="000000" w:themeColor="text1"/>
          <w:sz w:val="22"/>
          <w:szCs w:val="22"/>
          <w:lang w:val="es-ES_tradnl"/>
        </w:rPr>
        <w:t xml:space="preserve"> desempate en la contratación estatal. En consideración a que</w:t>
      </w:r>
      <w:r w:rsidR="006660F0" w:rsidRPr="00D649FD">
        <w:rPr>
          <w:rFonts w:ascii="Arial" w:eastAsia="Calibri" w:hAnsi="Arial" w:cs="Arial"/>
          <w:color w:val="000000" w:themeColor="text1"/>
          <w:sz w:val="22"/>
          <w:szCs w:val="22"/>
          <w:lang w:val="es-ES_tradnl"/>
        </w:rPr>
        <w:t xml:space="preserve"> en la consulta se solicita que la Agencia Nacional de Contratación Pública – Colombia Compra Eficiente</w:t>
      </w:r>
      <w:r w:rsidR="00B6040C" w:rsidRPr="00D649FD">
        <w:rPr>
          <w:rFonts w:ascii="Arial" w:eastAsia="Calibri" w:hAnsi="Arial" w:cs="Arial"/>
          <w:color w:val="000000" w:themeColor="text1"/>
          <w:sz w:val="22"/>
          <w:szCs w:val="22"/>
          <w:lang w:val="es-ES_tradnl"/>
        </w:rPr>
        <w:t xml:space="preserve"> </w:t>
      </w:r>
      <w:r w:rsidR="00087A64" w:rsidRPr="00D649FD">
        <w:rPr>
          <w:rFonts w:ascii="Arial" w:eastAsia="Calibri" w:hAnsi="Arial" w:cs="Arial"/>
          <w:color w:val="000000" w:themeColor="text1"/>
          <w:sz w:val="22"/>
          <w:szCs w:val="22"/>
          <w:lang w:val="es-ES_tradnl"/>
        </w:rPr>
        <w:t xml:space="preserve">efectúe </w:t>
      </w:r>
      <w:r w:rsidR="00707A2E" w:rsidRPr="00D649FD">
        <w:rPr>
          <w:rFonts w:ascii="Arial" w:eastAsia="Calibri" w:hAnsi="Arial" w:cs="Arial"/>
          <w:color w:val="000000" w:themeColor="text1"/>
          <w:sz w:val="22"/>
          <w:szCs w:val="22"/>
          <w:lang w:val="es-ES_tradnl"/>
        </w:rPr>
        <w:t xml:space="preserve">ciertas </w:t>
      </w:r>
      <w:r w:rsidR="00087A64" w:rsidRPr="00D649FD">
        <w:rPr>
          <w:rFonts w:ascii="Arial" w:eastAsia="Calibri" w:hAnsi="Arial" w:cs="Arial"/>
          <w:color w:val="000000" w:themeColor="text1"/>
          <w:sz w:val="22"/>
          <w:szCs w:val="22"/>
          <w:lang w:val="es-ES_tradnl"/>
        </w:rPr>
        <w:t>precisiones hermenéuticas sobre</w:t>
      </w:r>
      <w:r w:rsidR="00707A2E" w:rsidRPr="00D649FD">
        <w:rPr>
          <w:rFonts w:ascii="Arial" w:eastAsia="Calibri" w:hAnsi="Arial" w:cs="Arial"/>
          <w:color w:val="000000" w:themeColor="text1"/>
          <w:sz w:val="22"/>
          <w:szCs w:val="22"/>
          <w:lang w:val="es-ES_tradnl"/>
        </w:rPr>
        <w:t xml:space="preserve"> algunos numerales de dicho artículo</w:t>
      </w:r>
      <w:r w:rsidR="00B6040C" w:rsidRPr="00D649FD">
        <w:rPr>
          <w:rFonts w:ascii="Arial" w:eastAsia="Calibri" w:hAnsi="Arial" w:cs="Arial"/>
          <w:color w:val="000000" w:themeColor="text1"/>
          <w:sz w:val="22"/>
          <w:szCs w:val="22"/>
          <w:lang w:val="es-ES_tradnl"/>
        </w:rPr>
        <w:t xml:space="preserve">, </w:t>
      </w:r>
      <w:r w:rsidR="00707A2E" w:rsidRPr="00D649FD">
        <w:rPr>
          <w:rFonts w:ascii="Arial" w:eastAsia="Calibri" w:hAnsi="Arial" w:cs="Arial"/>
          <w:color w:val="000000" w:themeColor="text1"/>
          <w:sz w:val="22"/>
          <w:szCs w:val="22"/>
          <w:lang w:val="es-ES_tradnl"/>
        </w:rPr>
        <w:t>la</w:t>
      </w:r>
      <w:r w:rsidR="00BE0CDF" w:rsidRPr="00D649FD">
        <w:rPr>
          <w:rFonts w:ascii="Arial" w:eastAsia="Calibri" w:hAnsi="Arial" w:cs="Arial"/>
          <w:color w:val="000000" w:themeColor="text1"/>
          <w:sz w:val="22"/>
          <w:szCs w:val="22"/>
          <w:lang w:val="es-ES_tradnl"/>
        </w:rPr>
        <w:t xml:space="preserve"> Subdirección de Gestión Contractual</w:t>
      </w:r>
      <w:r w:rsidR="00C438A2" w:rsidRPr="00D649FD">
        <w:rPr>
          <w:rFonts w:ascii="Arial" w:eastAsia="Calibri" w:hAnsi="Arial" w:cs="Arial"/>
          <w:color w:val="000000" w:themeColor="text1"/>
          <w:sz w:val="22"/>
          <w:szCs w:val="22"/>
          <w:lang w:val="es-ES_tradnl"/>
        </w:rPr>
        <w:t xml:space="preserve"> </w:t>
      </w:r>
      <w:r w:rsidR="00707A2E" w:rsidRPr="00D649FD">
        <w:rPr>
          <w:rFonts w:ascii="Arial" w:eastAsia="Calibri" w:hAnsi="Arial" w:cs="Arial"/>
          <w:color w:val="000000" w:themeColor="text1"/>
          <w:sz w:val="22"/>
          <w:szCs w:val="22"/>
          <w:lang w:val="es-ES_tradnl"/>
        </w:rPr>
        <w:t xml:space="preserve">se pronunciará sobre el </w:t>
      </w:r>
      <w:r w:rsidR="00AC5D9D" w:rsidRPr="00D649FD">
        <w:rPr>
          <w:rFonts w:ascii="Arial" w:eastAsia="Calibri" w:hAnsi="Arial" w:cs="Arial"/>
          <w:color w:val="000000" w:themeColor="text1"/>
          <w:sz w:val="22"/>
          <w:szCs w:val="22"/>
          <w:lang w:val="es-ES_tradnl"/>
        </w:rPr>
        <w:t>alcance</w:t>
      </w:r>
      <w:r w:rsidR="00707A2E" w:rsidRPr="00D649FD">
        <w:rPr>
          <w:rFonts w:ascii="Arial" w:eastAsia="Calibri" w:hAnsi="Arial" w:cs="Arial"/>
          <w:color w:val="000000" w:themeColor="text1"/>
          <w:sz w:val="22"/>
          <w:szCs w:val="22"/>
          <w:lang w:val="es-ES_tradnl"/>
        </w:rPr>
        <w:t xml:space="preserve"> que otorga a tales disposiciones</w:t>
      </w:r>
      <w:r w:rsidR="00BE0CDF" w:rsidRPr="00D649FD">
        <w:rPr>
          <w:rFonts w:ascii="Arial" w:eastAsia="Calibri" w:hAnsi="Arial" w:cs="Arial"/>
          <w:color w:val="000000" w:themeColor="text1"/>
          <w:sz w:val="22"/>
          <w:szCs w:val="22"/>
          <w:lang w:val="es-ES_tradnl"/>
        </w:rPr>
        <w:t xml:space="preserve">, sin pasar por alto la novedad de </w:t>
      </w:r>
      <w:r w:rsidR="00F92FC1" w:rsidRPr="00D649FD">
        <w:rPr>
          <w:rFonts w:ascii="Arial" w:eastAsia="Calibri" w:hAnsi="Arial" w:cs="Arial"/>
          <w:color w:val="000000" w:themeColor="text1"/>
          <w:sz w:val="22"/>
          <w:szCs w:val="22"/>
          <w:lang w:val="es-ES_tradnl"/>
        </w:rPr>
        <w:t xml:space="preserve">la Ley </w:t>
      </w:r>
      <w:r w:rsidR="007B209C" w:rsidRPr="00D649FD">
        <w:rPr>
          <w:rFonts w:ascii="Arial" w:eastAsia="Calibri" w:hAnsi="Arial" w:cs="Arial"/>
          <w:color w:val="000000" w:themeColor="text1"/>
          <w:sz w:val="22"/>
          <w:szCs w:val="22"/>
          <w:lang w:val="es-ES_tradnl"/>
        </w:rPr>
        <w:t>2069</w:t>
      </w:r>
      <w:r w:rsidR="00F92FC1" w:rsidRPr="00D649FD">
        <w:rPr>
          <w:rFonts w:ascii="Arial" w:eastAsia="Calibri" w:hAnsi="Arial" w:cs="Arial"/>
          <w:color w:val="000000" w:themeColor="text1"/>
          <w:sz w:val="22"/>
          <w:szCs w:val="22"/>
          <w:lang w:val="es-ES_tradnl"/>
        </w:rPr>
        <w:t xml:space="preserve"> de 2020</w:t>
      </w:r>
      <w:r w:rsidR="00963550" w:rsidRPr="00D649FD">
        <w:rPr>
          <w:rFonts w:ascii="Arial" w:eastAsia="Calibri" w:hAnsi="Arial" w:cs="Arial"/>
          <w:color w:val="000000" w:themeColor="text1"/>
          <w:sz w:val="22"/>
          <w:szCs w:val="22"/>
          <w:lang w:val="es-ES_tradnl"/>
        </w:rPr>
        <w:t xml:space="preserve"> –dada su reciente entrada en vigencia–</w:t>
      </w:r>
      <w:r w:rsidR="00BE0CDF" w:rsidRPr="00D649FD">
        <w:rPr>
          <w:rFonts w:ascii="Arial" w:eastAsia="Calibri" w:hAnsi="Arial" w:cs="Arial"/>
          <w:color w:val="000000" w:themeColor="text1"/>
          <w:sz w:val="22"/>
          <w:szCs w:val="22"/>
          <w:lang w:val="es-ES_tradnl"/>
        </w:rPr>
        <w:t xml:space="preserve"> y la ausencia de </w:t>
      </w:r>
      <w:r w:rsidR="00963550" w:rsidRPr="00D649FD">
        <w:rPr>
          <w:rFonts w:ascii="Arial" w:eastAsia="Calibri" w:hAnsi="Arial" w:cs="Arial"/>
          <w:color w:val="000000" w:themeColor="text1"/>
          <w:sz w:val="22"/>
          <w:szCs w:val="22"/>
          <w:lang w:val="es-ES_tradnl"/>
        </w:rPr>
        <w:t>pronunciamientos jurisprudenciales</w:t>
      </w:r>
      <w:r w:rsidR="00BE0CDF" w:rsidRPr="00D649FD">
        <w:rPr>
          <w:rFonts w:ascii="Arial" w:eastAsia="Calibri" w:hAnsi="Arial" w:cs="Arial"/>
          <w:color w:val="000000" w:themeColor="text1"/>
          <w:sz w:val="22"/>
          <w:szCs w:val="22"/>
          <w:lang w:val="es-ES_tradnl"/>
        </w:rPr>
        <w:t xml:space="preserve"> o estudios doctrinarios</w:t>
      </w:r>
      <w:r w:rsidR="00963550" w:rsidRPr="00D649FD">
        <w:rPr>
          <w:rFonts w:ascii="Arial" w:eastAsia="Calibri" w:hAnsi="Arial" w:cs="Arial"/>
          <w:color w:val="000000" w:themeColor="text1"/>
          <w:sz w:val="22"/>
          <w:szCs w:val="22"/>
          <w:lang w:val="es-ES_tradnl"/>
        </w:rPr>
        <w:t xml:space="preserve"> sobre el tema</w:t>
      </w:r>
      <w:r w:rsidR="00545997" w:rsidRPr="00D649FD">
        <w:rPr>
          <w:rFonts w:ascii="Arial" w:eastAsia="Calibri" w:hAnsi="Arial" w:cs="Arial"/>
          <w:color w:val="000000" w:themeColor="text1"/>
          <w:sz w:val="22"/>
          <w:szCs w:val="22"/>
          <w:lang w:val="es-ES_tradnl"/>
        </w:rPr>
        <w:t>, que seguramente contribuirán a decantar la interpretación de las normas en comento.</w:t>
      </w:r>
    </w:p>
    <w:p w14:paraId="3BBAF618" w14:textId="05EFE031" w:rsidR="005359BF" w:rsidRPr="00D649FD" w:rsidRDefault="005359BF" w:rsidP="005359BF">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lastRenderedPageBreak/>
        <w:t xml:space="preserve">Al respecto, </w:t>
      </w:r>
      <w:r w:rsidRPr="00D649FD">
        <w:rPr>
          <w:rFonts w:ascii="Arial" w:eastAsia="Calibri" w:hAnsi="Arial" w:cs="Arial"/>
          <w:sz w:val="22"/>
          <w:szCs w:val="22"/>
          <w:lang w:val="es-ES_tradnl"/>
        </w:rPr>
        <w:t>pese a que el parágrafo 3 dispone que el Gobierno Nacional podrá regular los supuestos en que concurran dos o más factores de desempate,</w:t>
      </w:r>
      <w:r w:rsidRPr="00D649FD">
        <w:rPr>
          <w:rFonts w:ascii="Arial" w:eastAsia="Calibri" w:hAnsi="Arial" w:cs="Arial"/>
          <w:color w:val="000000" w:themeColor="text1"/>
          <w:sz w:val="22"/>
          <w:szCs w:val="22"/>
          <w:lang w:val="es-ES_tradnl"/>
        </w:rPr>
        <w:t xml:space="preserve"> se considera que el artículo 35 de la Ley </w:t>
      </w:r>
      <w:r w:rsidR="00D75232"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5C13F501" w14:textId="77777777" w:rsidR="00B53D1A" w:rsidRPr="00D649FD" w:rsidRDefault="00BA482B" w:rsidP="00BD3AF1">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Por ejemplo, en lo que a las compras públicas se refiere, </w:t>
      </w:r>
      <w:r w:rsidR="00254AE9" w:rsidRPr="00D649FD">
        <w:rPr>
          <w:rFonts w:ascii="Arial" w:eastAsia="Calibri" w:hAnsi="Arial" w:cs="Arial"/>
          <w:color w:val="000000" w:themeColor="text1"/>
          <w:sz w:val="22"/>
          <w:szCs w:val="22"/>
          <w:lang w:val="es-ES_tradnl"/>
        </w:rPr>
        <w:t>el parágrafo primero del artículo</w:t>
      </w:r>
      <w:r w:rsidR="002E2C3F" w:rsidRPr="00D649FD">
        <w:rPr>
          <w:rFonts w:ascii="Arial" w:eastAsia="Calibri" w:hAnsi="Arial" w:cs="Arial"/>
          <w:color w:val="000000" w:themeColor="text1"/>
          <w:sz w:val="22"/>
          <w:szCs w:val="22"/>
          <w:lang w:val="es-ES_tradnl"/>
        </w:rPr>
        <w:t xml:space="preserve"> 30, que alude a la participación de </w:t>
      </w:r>
      <w:proofErr w:type="spellStart"/>
      <w:r w:rsidR="002E2C3F" w:rsidRPr="00D649FD">
        <w:rPr>
          <w:rFonts w:ascii="Arial" w:eastAsia="Calibri" w:hAnsi="Arial" w:cs="Arial"/>
          <w:color w:val="000000" w:themeColor="text1"/>
          <w:sz w:val="22"/>
          <w:szCs w:val="22"/>
          <w:lang w:val="es-ES_tradnl"/>
        </w:rPr>
        <w:t>mipymes</w:t>
      </w:r>
      <w:proofErr w:type="spellEnd"/>
      <w:r w:rsidR="002E2C3F" w:rsidRPr="00D649FD">
        <w:rPr>
          <w:rFonts w:ascii="Arial" w:eastAsia="Calibri" w:hAnsi="Arial" w:cs="Arial"/>
          <w:color w:val="000000" w:themeColor="text1"/>
          <w:sz w:val="22"/>
          <w:szCs w:val="22"/>
          <w:lang w:val="es-ES_tradnl"/>
        </w:rPr>
        <w:t xml:space="preserve"> en procedimientos de mínima cuantía, establece que</w:t>
      </w:r>
      <w:r w:rsidR="00985A66" w:rsidRPr="00D649FD">
        <w:rPr>
          <w:rFonts w:ascii="Arial" w:eastAsia="Calibri" w:hAnsi="Arial" w:cs="Arial"/>
          <w:color w:val="000000" w:themeColor="text1"/>
          <w:sz w:val="22"/>
          <w:szCs w:val="22"/>
          <w:lang w:val="es-ES_tradnl"/>
        </w:rPr>
        <w:t xml:space="preserve"> «Las particularidades del procedimiento aquí previsto, así como la posibilidad que tengan las entidades de realizar estas adquisiciones a </w:t>
      </w:r>
      <w:proofErr w:type="spellStart"/>
      <w:r w:rsidR="00691563" w:rsidRPr="00D649FD">
        <w:rPr>
          <w:rFonts w:ascii="Arial" w:eastAsia="Calibri" w:hAnsi="Arial" w:cs="Arial"/>
          <w:color w:val="000000" w:themeColor="text1"/>
          <w:sz w:val="22"/>
          <w:szCs w:val="22"/>
          <w:lang w:val="es-ES_tradnl"/>
        </w:rPr>
        <w:t>Mipymes</w:t>
      </w:r>
      <w:proofErr w:type="spellEnd"/>
      <w:r w:rsidR="00985A66" w:rsidRPr="00D649FD">
        <w:rPr>
          <w:rFonts w:ascii="Arial" w:eastAsia="Calibri" w:hAnsi="Arial" w:cs="Arial"/>
          <w:color w:val="000000" w:themeColor="text1"/>
          <w:sz w:val="22"/>
          <w:szCs w:val="22"/>
          <w:lang w:val="es-ES_tradnl"/>
        </w:rPr>
        <w:t xml:space="preserve"> o establecimientos que correspondan a la </w:t>
      </w:r>
      <w:r w:rsidR="00691563" w:rsidRPr="00D649FD">
        <w:rPr>
          <w:rFonts w:ascii="Arial" w:eastAsia="Calibri" w:hAnsi="Arial" w:cs="Arial"/>
          <w:color w:val="000000" w:themeColor="text1"/>
          <w:sz w:val="22"/>
          <w:szCs w:val="22"/>
          <w:lang w:val="es-ES_tradnl"/>
        </w:rPr>
        <w:t>definición</w:t>
      </w:r>
      <w:r w:rsidR="00985A66" w:rsidRPr="00D649FD">
        <w:rPr>
          <w:rFonts w:ascii="Arial" w:eastAsia="Calibri" w:hAnsi="Arial" w:cs="Arial"/>
          <w:color w:val="000000" w:themeColor="text1"/>
          <w:sz w:val="22"/>
          <w:szCs w:val="22"/>
          <w:lang w:val="es-ES_tradnl"/>
        </w:rPr>
        <w:t xml:space="preserve"> de "gran </w:t>
      </w:r>
      <w:r w:rsidR="00691563" w:rsidRPr="00D649FD">
        <w:rPr>
          <w:rFonts w:ascii="Arial" w:eastAsia="Calibri" w:hAnsi="Arial" w:cs="Arial"/>
          <w:color w:val="000000" w:themeColor="text1"/>
          <w:sz w:val="22"/>
          <w:szCs w:val="22"/>
          <w:lang w:val="es-ES_tradnl"/>
        </w:rPr>
        <w:t>almacén</w:t>
      </w:r>
      <w:r w:rsidR="00985A66" w:rsidRPr="00D649FD">
        <w:rPr>
          <w:rFonts w:ascii="Arial" w:eastAsia="Calibri" w:hAnsi="Arial" w:cs="Arial"/>
          <w:color w:val="000000" w:themeColor="text1"/>
          <w:sz w:val="22"/>
          <w:szCs w:val="22"/>
          <w:lang w:val="es-ES_tradnl"/>
        </w:rPr>
        <w:t xml:space="preserve">" </w:t>
      </w:r>
      <w:r w:rsidR="00787B1B" w:rsidRPr="00D649FD">
        <w:rPr>
          <w:rFonts w:ascii="Arial" w:eastAsia="Calibri" w:hAnsi="Arial" w:cs="Arial"/>
          <w:color w:val="000000" w:themeColor="text1"/>
          <w:sz w:val="22"/>
          <w:szCs w:val="22"/>
          <w:lang w:val="es-ES_tradnl"/>
        </w:rPr>
        <w:t>señalada</w:t>
      </w:r>
      <w:r w:rsidR="00985A66" w:rsidRPr="00D649FD">
        <w:rPr>
          <w:rFonts w:ascii="Arial" w:eastAsia="Calibri" w:hAnsi="Arial" w:cs="Arial"/>
          <w:color w:val="000000" w:themeColor="text1"/>
          <w:sz w:val="22"/>
          <w:szCs w:val="22"/>
          <w:lang w:val="es-ES_tradnl"/>
        </w:rPr>
        <w:t xml:space="preserve"> por la Superintendencia de Industria y Comercio, se </w:t>
      </w:r>
      <w:r w:rsidR="00691563" w:rsidRPr="00D649FD">
        <w:rPr>
          <w:rFonts w:ascii="Arial" w:eastAsia="Calibri" w:hAnsi="Arial" w:cs="Arial"/>
          <w:color w:val="000000" w:themeColor="text1"/>
          <w:sz w:val="22"/>
          <w:szCs w:val="22"/>
          <w:lang w:val="es-ES_tradnl"/>
        </w:rPr>
        <w:t>determinarán</w:t>
      </w:r>
      <w:r w:rsidR="00985A66" w:rsidRPr="00D649FD">
        <w:rPr>
          <w:rFonts w:ascii="Arial" w:eastAsia="Calibri" w:hAnsi="Arial" w:cs="Arial"/>
          <w:color w:val="000000" w:themeColor="text1"/>
          <w:sz w:val="22"/>
          <w:szCs w:val="22"/>
          <w:lang w:val="es-ES_tradnl"/>
        </w:rPr>
        <w:t xml:space="preserve"> en el reglamento que para el efecto expida el Gobierno Nacional</w:t>
      </w:r>
      <w:r w:rsidR="00691563" w:rsidRPr="00D649FD">
        <w:rPr>
          <w:rFonts w:ascii="Arial" w:eastAsia="Calibri" w:hAnsi="Arial" w:cs="Arial"/>
          <w:color w:val="000000" w:themeColor="text1"/>
          <w:sz w:val="22"/>
          <w:szCs w:val="22"/>
          <w:lang w:val="es-ES_tradnl"/>
        </w:rPr>
        <w:t>»</w:t>
      </w:r>
      <w:r w:rsidR="00985A66" w:rsidRPr="00D649FD">
        <w:rPr>
          <w:rFonts w:ascii="Arial" w:eastAsia="Calibri" w:hAnsi="Arial" w:cs="Arial"/>
          <w:color w:val="000000" w:themeColor="text1"/>
          <w:sz w:val="22"/>
          <w:szCs w:val="22"/>
          <w:lang w:val="es-ES_tradnl"/>
        </w:rPr>
        <w:t>.</w:t>
      </w:r>
      <w:r w:rsidR="00254AE9" w:rsidRPr="00D649FD">
        <w:rPr>
          <w:rFonts w:ascii="Arial" w:eastAsia="Calibri" w:hAnsi="Arial" w:cs="Arial"/>
          <w:color w:val="000000" w:themeColor="text1"/>
          <w:sz w:val="22"/>
          <w:szCs w:val="22"/>
          <w:lang w:val="es-ES_tradnl"/>
        </w:rPr>
        <w:t xml:space="preserve"> </w:t>
      </w:r>
      <w:r w:rsidR="00F73B82" w:rsidRPr="00D649FD">
        <w:rPr>
          <w:rFonts w:ascii="Arial" w:eastAsia="Calibri" w:hAnsi="Arial" w:cs="Arial"/>
          <w:color w:val="000000" w:themeColor="text1"/>
          <w:sz w:val="22"/>
          <w:szCs w:val="22"/>
          <w:lang w:val="es-ES_tradnl"/>
        </w:rPr>
        <w:t>En un sentido similar, el parágrafo segundo del mismo artículo expresa que «</w:t>
      </w:r>
      <w:r w:rsidR="008B5C7C" w:rsidRPr="00D649FD">
        <w:rPr>
          <w:rFonts w:ascii="Arial" w:eastAsia="Calibri" w:hAnsi="Arial" w:cs="Arial"/>
          <w:color w:val="000000" w:themeColor="text1"/>
          <w:sz w:val="22"/>
          <w:szCs w:val="22"/>
          <w:lang w:val="es-ES_tradnl"/>
        </w:rPr>
        <w:t>La contratación a que se refiere el presente artículo se realizará exclusivamente con las reglas en él contempladas y en su reglamentación. […]».</w:t>
      </w:r>
      <w:r w:rsidR="007534AD" w:rsidRPr="00D649FD">
        <w:rPr>
          <w:rFonts w:ascii="Arial" w:eastAsia="Calibri" w:hAnsi="Arial" w:cs="Arial"/>
          <w:color w:val="000000" w:themeColor="text1"/>
          <w:sz w:val="22"/>
          <w:szCs w:val="22"/>
          <w:lang w:val="es-ES_tradnl"/>
        </w:rPr>
        <w:t xml:space="preserve"> </w:t>
      </w:r>
    </w:p>
    <w:p w14:paraId="64E70AB9" w14:textId="1FC7D22C" w:rsidR="00963550" w:rsidRPr="00D649FD" w:rsidRDefault="007534AD" w:rsidP="00BD3AF1">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Así mismo, el artículo 31, en el segundo inciso, </w:t>
      </w:r>
      <w:r w:rsidR="00685D37" w:rsidRPr="00D649FD">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D649FD">
        <w:rPr>
          <w:rFonts w:ascii="Arial" w:eastAsia="Calibri" w:hAnsi="Arial" w:cs="Arial"/>
          <w:color w:val="000000" w:themeColor="text1"/>
          <w:sz w:val="22"/>
          <w:szCs w:val="22"/>
          <w:lang w:val="es-ES_tradnl"/>
        </w:rPr>
        <w:t xml:space="preserve"> </w:t>
      </w:r>
      <w:r w:rsidR="00787B1B" w:rsidRPr="00D649FD">
        <w:rPr>
          <w:rFonts w:ascii="Arial" w:eastAsia="Calibri" w:hAnsi="Arial" w:cs="Arial"/>
          <w:color w:val="000000" w:themeColor="text1"/>
          <w:sz w:val="22"/>
          <w:szCs w:val="22"/>
          <w:lang w:val="es-ES_tradnl"/>
        </w:rPr>
        <w:t>Del mismo modo, el parágrafo primero del artículo 32 establece que «La definición de emprendimientos y empresas de mujeres se reglamentará por el gobierno nacional»</w:t>
      </w:r>
      <w:r w:rsidR="00FD72B1" w:rsidRPr="00D649FD">
        <w:rPr>
          <w:rFonts w:ascii="Arial" w:eastAsia="Calibri" w:hAnsi="Arial" w:cs="Arial"/>
          <w:color w:val="000000" w:themeColor="text1"/>
          <w:sz w:val="22"/>
          <w:szCs w:val="22"/>
          <w:lang w:val="es-ES_tradnl"/>
        </w:rPr>
        <w:t xml:space="preserve">, en tanto que el inciso cuarto del artículo 12 de la Ley 1150 de 2007, modificado por el artículo </w:t>
      </w:r>
      <w:r w:rsidR="00F13F51" w:rsidRPr="00D649FD">
        <w:rPr>
          <w:rFonts w:ascii="Arial" w:eastAsia="Calibri" w:hAnsi="Arial" w:cs="Arial"/>
          <w:color w:val="000000" w:themeColor="text1"/>
          <w:sz w:val="22"/>
          <w:szCs w:val="22"/>
          <w:lang w:val="es-ES_tradnl"/>
        </w:rPr>
        <w:t xml:space="preserve">34 de la Ley </w:t>
      </w:r>
      <w:r w:rsidR="007B209C" w:rsidRPr="00D649FD">
        <w:rPr>
          <w:rFonts w:ascii="Arial" w:eastAsia="Calibri" w:hAnsi="Arial" w:cs="Arial"/>
          <w:color w:val="000000" w:themeColor="text1"/>
          <w:sz w:val="22"/>
          <w:szCs w:val="22"/>
          <w:lang w:val="es-ES_tradnl"/>
        </w:rPr>
        <w:t>2069</w:t>
      </w:r>
      <w:r w:rsidR="00F13F51" w:rsidRPr="00D649FD">
        <w:rPr>
          <w:rFonts w:ascii="Arial" w:eastAsia="Calibri" w:hAnsi="Arial" w:cs="Arial"/>
          <w:color w:val="000000" w:themeColor="text1"/>
          <w:sz w:val="22"/>
          <w:szCs w:val="22"/>
          <w:lang w:val="es-ES_tradnl"/>
        </w:rPr>
        <w:t xml:space="preserve"> de 2020, </w:t>
      </w:r>
      <w:r w:rsidR="00CD02ED" w:rsidRPr="00D649FD">
        <w:rPr>
          <w:rFonts w:ascii="Arial" w:eastAsia="Calibri" w:hAnsi="Arial" w:cs="Arial"/>
          <w:color w:val="000000" w:themeColor="text1"/>
          <w:sz w:val="22"/>
          <w:szCs w:val="22"/>
          <w:lang w:val="es-ES_tradnl"/>
        </w:rPr>
        <w:t xml:space="preserve">indica que en los pliegos de condiciones las entidades estatales deben </w:t>
      </w:r>
      <w:r w:rsidR="00B1507C" w:rsidRPr="00D649FD">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D649FD">
        <w:rPr>
          <w:rFonts w:ascii="Arial" w:eastAsia="Calibri" w:hAnsi="Arial" w:cs="Arial"/>
          <w:color w:val="000000" w:themeColor="text1"/>
          <w:sz w:val="22"/>
          <w:szCs w:val="22"/>
          <w:lang w:val="es-ES_tradnl"/>
        </w:rPr>
        <w:t>[…] en las condiciones que señale el reglamento».</w:t>
      </w:r>
    </w:p>
    <w:p w14:paraId="6BE8E6DF" w14:textId="5B7E8D06" w:rsidR="002F24DA" w:rsidRPr="00D649FD" w:rsidRDefault="002F24DA" w:rsidP="00BD3AF1">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Lo</w:t>
      </w:r>
      <w:r w:rsidR="008E4CAE" w:rsidRPr="00D649FD">
        <w:rPr>
          <w:rFonts w:ascii="Arial" w:eastAsia="Calibri" w:hAnsi="Arial" w:cs="Arial"/>
          <w:color w:val="000000" w:themeColor="text1"/>
          <w:sz w:val="22"/>
          <w:szCs w:val="22"/>
          <w:lang w:val="es-ES_tradnl"/>
        </w:rPr>
        <w:t xml:space="preserve"> mismo no sucede con el artículo 35</w:t>
      </w:r>
      <w:r w:rsidR="00535B2F" w:rsidRPr="00D649FD">
        <w:rPr>
          <w:rFonts w:ascii="Arial" w:eastAsia="Calibri" w:hAnsi="Arial" w:cs="Arial"/>
          <w:sz w:val="22"/>
          <w:szCs w:val="22"/>
          <w:lang w:val="es-ES_tradnl"/>
        </w:rPr>
        <w:t xml:space="preserve">. En efecto, </w:t>
      </w:r>
      <w:r w:rsidR="00535B2F" w:rsidRPr="00D649FD">
        <w:rPr>
          <w:rFonts w:ascii="Arial" w:hAnsi="Arial" w:cs="Arial"/>
          <w:color w:val="000000" w:themeColor="text1"/>
          <w:sz w:val="22"/>
          <w:szCs w:val="22"/>
          <w:lang w:val="es-ES_tradnl"/>
        </w:rPr>
        <w:t>si bien los factores de desempate regulados en el artículo 35 deben aplicarse «</w:t>
      </w:r>
      <w:r w:rsidR="00535B2F" w:rsidRPr="00D649FD">
        <w:rPr>
          <w:rFonts w:ascii="Arial" w:hAnsi="Arial" w:cs="Arial"/>
          <w:lang w:val="es-ES_tradnl"/>
        </w:rPr>
        <w:t xml:space="preserve">[…] </w:t>
      </w:r>
      <w:r w:rsidR="00535B2F" w:rsidRPr="00D649FD">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D649FD">
        <w:rPr>
          <w:rFonts w:ascii="Arial" w:eastAsia="Calibri" w:hAnsi="Arial" w:cs="Arial"/>
          <w:color w:val="000000" w:themeColor="text1"/>
          <w:sz w:val="22"/>
          <w:szCs w:val="22"/>
          <w:lang w:val="es-ES_tradnl"/>
        </w:rPr>
        <w:t xml:space="preserve"> </w:t>
      </w:r>
      <w:r w:rsidR="00287BDB" w:rsidRPr="00D649FD">
        <w:rPr>
          <w:rFonts w:ascii="Arial" w:eastAsia="Calibri" w:hAnsi="Arial" w:cs="Arial"/>
          <w:color w:val="000000" w:themeColor="text1"/>
          <w:sz w:val="22"/>
          <w:szCs w:val="22"/>
          <w:lang w:val="es-ES_tradnl"/>
        </w:rPr>
        <w:t xml:space="preserve"> </w:t>
      </w:r>
    </w:p>
    <w:p w14:paraId="32583269" w14:textId="243BE88E" w:rsidR="008E4CAE" w:rsidRPr="00D649FD" w:rsidRDefault="000A73E8" w:rsidP="00BD3AF1">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A continuación, el artículo en mención establece</w:t>
      </w:r>
      <w:r w:rsidR="00AB7A7A" w:rsidRPr="00D649FD">
        <w:rPr>
          <w:rFonts w:ascii="Arial" w:eastAsia="Calibri" w:hAnsi="Arial" w:cs="Arial"/>
          <w:color w:val="000000" w:themeColor="text1"/>
          <w:sz w:val="22"/>
          <w:szCs w:val="22"/>
          <w:lang w:val="es-ES_tradnl"/>
        </w:rPr>
        <w:t xml:space="preserve"> los factores de desempate que se deben seguir de manera sucesiva, sin indicar tampoco en cada </w:t>
      </w:r>
      <w:r w:rsidR="008E7497" w:rsidRPr="00D649FD">
        <w:rPr>
          <w:rFonts w:ascii="Arial" w:eastAsia="Calibri" w:hAnsi="Arial" w:cs="Arial"/>
          <w:color w:val="000000" w:themeColor="text1"/>
          <w:sz w:val="22"/>
          <w:szCs w:val="22"/>
          <w:lang w:val="es-ES_tradnl"/>
        </w:rPr>
        <w:t>numeral</w:t>
      </w:r>
      <w:r w:rsidR="00AB7A7A" w:rsidRPr="00D649FD">
        <w:rPr>
          <w:rFonts w:ascii="Arial" w:eastAsia="Calibri" w:hAnsi="Arial" w:cs="Arial"/>
          <w:color w:val="000000" w:themeColor="text1"/>
          <w:sz w:val="22"/>
          <w:szCs w:val="22"/>
          <w:lang w:val="es-ES_tradnl"/>
        </w:rPr>
        <w:t xml:space="preserve"> que su </w:t>
      </w:r>
      <w:r w:rsidR="00E514BA" w:rsidRPr="00D649FD">
        <w:rPr>
          <w:rFonts w:ascii="Arial" w:eastAsia="Calibri" w:hAnsi="Arial" w:cs="Arial"/>
          <w:color w:val="000000" w:themeColor="text1"/>
          <w:sz w:val="22"/>
          <w:szCs w:val="22"/>
          <w:lang w:val="es-ES_tradnl"/>
        </w:rPr>
        <w:t>eficacia depend</w:t>
      </w:r>
      <w:r w:rsidR="008E7497" w:rsidRPr="00D649FD">
        <w:rPr>
          <w:rFonts w:ascii="Arial" w:eastAsia="Calibri" w:hAnsi="Arial" w:cs="Arial"/>
          <w:color w:val="000000" w:themeColor="text1"/>
          <w:sz w:val="22"/>
          <w:szCs w:val="22"/>
          <w:lang w:val="es-ES_tradnl"/>
        </w:rPr>
        <w:t>a</w:t>
      </w:r>
      <w:r w:rsidR="00E514BA" w:rsidRPr="00D649FD">
        <w:rPr>
          <w:rFonts w:ascii="Arial" w:eastAsia="Calibri" w:hAnsi="Arial" w:cs="Arial"/>
          <w:color w:val="000000" w:themeColor="text1"/>
          <w:sz w:val="22"/>
          <w:szCs w:val="22"/>
          <w:lang w:val="es-ES_tradnl"/>
        </w:rPr>
        <w:t xml:space="preserve"> de lo que determine el reglamento. La única alusión que se </w:t>
      </w:r>
      <w:r w:rsidR="00B7762A" w:rsidRPr="00D649FD">
        <w:rPr>
          <w:rFonts w:ascii="Arial" w:eastAsia="Calibri" w:hAnsi="Arial" w:cs="Arial"/>
          <w:color w:val="000000" w:themeColor="text1"/>
          <w:sz w:val="22"/>
          <w:szCs w:val="22"/>
          <w:lang w:val="es-ES_tradnl"/>
        </w:rPr>
        <w:t>hace</w:t>
      </w:r>
      <w:r w:rsidR="00E514BA" w:rsidRPr="00D649FD">
        <w:rPr>
          <w:rFonts w:ascii="Arial" w:eastAsia="Calibri" w:hAnsi="Arial" w:cs="Arial"/>
          <w:color w:val="000000" w:themeColor="text1"/>
          <w:sz w:val="22"/>
          <w:szCs w:val="22"/>
          <w:lang w:val="es-ES_tradnl"/>
        </w:rPr>
        <w:t xml:space="preserve"> al reglamento</w:t>
      </w:r>
      <w:r w:rsidR="00B7762A" w:rsidRPr="00D649FD">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D649FD">
        <w:rPr>
          <w:rFonts w:ascii="Arial" w:eastAsia="Calibri" w:hAnsi="Arial" w:cs="Arial"/>
          <w:color w:val="000000" w:themeColor="text1"/>
          <w:sz w:val="22"/>
          <w:szCs w:val="22"/>
          <w:lang w:val="es-ES_tradnl"/>
        </w:rPr>
        <w:t>no</w:t>
      </w:r>
      <w:r w:rsidR="00B7762A" w:rsidRPr="00D649FD">
        <w:rPr>
          <w:rFonts w:ascii="Arial" w:eastAsia="Calibri" w:hAnsi="Arial" w:cs="Arial"/>
          <w:color w:val="000000" w:themeColor="text1"/>
          <w:sz w:val="22"/>
          <w:szCs w:val="22"/>
          <w:lang w:val="es-ES_tradnl"/>
        </w:rPr>
        <w:t xml:space="preserve"> para </w:t>
      </w:r>
      <w:r w:rsidR="00B7762A" w:rsidRPr="00D649FD">
        <w:rPr>
          <w:rFonts w:ascii="Arial" w:eastAsia="Calibri" w:hAnsi="Arial" w:cs="Arial"/>
          <w:color w:val="000000" w:themeColor="text1"/>
          <w:sz w:val="22"/>
          <w:szCs w:val="22"/>
          <w:lang w:val="es-ES_tradnl"/>
        </w:rPr>
        <w:lastRenderedPageBreak/>
        <w:t>condicionar la aplicación de todo</w:t>
      </w:r>
      <w:r w:rsidR="00A7549A" w:rsidRPr="00D649FD">
        <w:rPr>
          <w:rFonts w:ascii="Arial" w:eastAsia="Calibri" w:hAnsi="Arial" w:cs="Arial"/>
          <w:color w:val="000000" w:themeColor="text1"/>
          <w:sz w:val="22"/>
          <w:szCs w:val="22"/>
          <w:lang w:val="es-ES_tradnl"/>
        </w:rPr>
        <w:t xml:space="preserve"> lo dispuesto en aquel, sino para indicar que «</w:t>
      </w:r>
      <w:r w:rsidR="000A46FE" w:rsidRPr="00D649FD">
        <w:rPr>
          <w:rFonts w:ascii="Arial" w:eastAsia="Calibri" w:hAnsi="Arial" w:cs="Arial"/>
          <w:color w:val="000000" w:themeColor="text1"/>
          <w:sz w:val="22"/>
          <w:szCs w:val="22"/>
          <w:lang w:val="es-ES_tradnl"/>
        </w:rPr>
        <w:t xml:space="preserve">El Gobierno Nacional </w:t>
      </w:r>
      <w:r w:rsidR="000A46FE" w:rsidRPr="00D649FD">
        <w:rPr>
          <w:rFonts w:ascii="Arial" w:eastAsia="Calibri" w:hAnsi="Arial" w:cs="Arial"/>
          <w:i/>
          <w:iCs/>
          <w:color w:val="000000" w:themeColor="text1"/>
          <w:sz w:val="22"/>
          <w:szCs w:val="22"/>
          <w:lang w:val="es-ES_tradnl"/>
        </w:rPr>
        <w:t>podrá reglamentar</w:t>
      </w:r>
      <w:r w:rsidR="000A46FE" w:rsidRPr="00D649FD">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2F24DA" w:rsidRPr="00D649FD">
        <w:rPr>
          <w:rFonts w:ascii="Arial" w:eastAsia="Calibri" w:hAnsi="Arial" w:cs="Arial"/>
          <w:color w:val="000000" w:themeColor="text1"/>
          <w:sz w:val="22"/>
          <w:szCs w:val="22"/>
          <w:lang w:val="es-ES_tradnl"/>
        </w:rPr>
        <w:t xml:space="preserve"> (Énfasis fuera de texto)</w:t>
      </w:r>
      <w:r w:rsidR="000A46FE" w:rsidRPr="00D649FD">
        <w:rPr>
          <w:rFonts w:ascii="Arial" w:eastAsia="Calibri" w:hAnsi="Arial" w:cs="Arial"/>
          <w:color w:val="000000" w:themeColor="text1"/>
          <w:sz w:val="22"/>
          <w:szCs w:val="22"/>
          <w:lang w:val="es-ES_tradnl"/>
        </w:rPr>
        <w:t>.</w:t>
      </w:r>
    </w:p>
    <w:p w14:paraId="295543E3" w14:textId="42268621" w:rsidR="005C06A5" w:rsidRPr="00D649FD" w:rsidRDefault="005C06A5" w:rsidP="005C06A5">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w:t>
      </w:r>
      <w:r w:rsidR="003D15B3" w:rsidRPr="00D649FD">
        <w:rPr>
          <w:rFonts w:ascii="Arial" w:eastAsia="Calibri" w:hAnsi="Arial" w:cs="Arial"/>
          <w:color w:val="000000" w:themeColor="text1"/>
          <w:sz w:val="22"/>
          <w:szCs w:val="22"/>
          <w:lang w:val="es-ES_tradnl"/>
        </w:rPr>
        <w:t xml:space="preserve"> sin perjuicio de que el Gobierno Nacional ejerza la potestad reglamentaria para regular los casos en que concurren dos o más de los factores de desempate, </w:t>
      </w:r>
      <w:r w:rsidRPr="00D649FD">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7B209C"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1972C032" w:rsidR="00325AD9" w:rsidRPr="00D649FD" w:rsidRDefault="009F210A" w:rsidP="0035252F">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Luego</w:t>
      </w:r>
      <w:r w:rsidR="00D82A7D" w:rsidRPr="00D649FD">
        <w:rPr>
          <w:rFonts w:ascii="Arial" w:eastAsia="Calibri" w:hAnsi="Arial" w:cs="Arial"/>
          <w:color w:val="000000" w:themeColor="text1"/>
          <w:sz w:val="22"/>
          <w:szCs w:val="22"/>
          <w:lang w:val="es-ES_tradnl"/>
        </w:rPr>
        <w:t xml:space="preserve"> de aclarar</w:t>
      </w:r>
      <w:r w:rsidR="00325AD9" w:rsidRPr="00D649FD">
        <w:rPr>
          <w:rFonts w:ascii="Arial" w:eastAsia="Calibri" w:hAnsi="Arial" w:cs="Arial"/>
          <w:color w:val="000000" w:themeColor="text1"/>
          <w:sz w:val="22"/>
          <w:szCs w:val="22"/>
          <w:lang w:val="es-ES_tradnl"/>
        </w:rPr>
        <w:t xml:space="preserve"> que el artículo 35 de la Ley </w:t>
      </w:r>
      <w:r w:rsidR="007B209C" w:rsidRPr="00D649FD">
        <w:rPr>
          <w:rFonts w:ascii="Arial" w:eastAsia="Calibri" w:hAnsi="Arial" w:cs="Arial"/>
          <w:color w:val="000000" w:themeColor="text1"/>
          <w:sz w:val="22"/>
          <w:szCs w:val="22"/>
          <w:lang w:val="es-ES_tradnl"/>
        </w:rPr>
        <w:t>2069</w:t>
      </w:r>
      <w:r w:rsidR="00325AD9" w:rsidRPr="00D649FD">
        <w:rPr>
          <w:rFonts w:ascii="Arial" w:eastAsia="Calibri" w:hAnsi="Arial" w:cs="Arial"/>
          <w:color w:val="000000" w:themeColor="text1"/>
          <w:sz w:val="22"/>
          <w:szCs w:val="22"/>
          <w:lang w:val="es-ES_tradnl"/>
        </w:rPr>
        <w:t xml:space="preserve"> de 2020 se encuentra vigente y que no requiere </w:t>
      </w:r>
      <w:r w:rsidR="00D82A7D" w:rsidRPr="00D649FD">
        <w:rPr>
          <w:rFonts w:ascii="Arial" w:eastAsia="Calibri" w:hAnsi="Arial" w:cs="Arial"/>
          <w:color w:val="000000" w:themeColor="text1"/>
          <w:sz w:val="22"/>
          <w:szCs w:val="22"/>
          <w:lang w:val="es-ES_tradnl"/>
        </w:rPr>
        <w:t>reglamentación</w:t>
      </w:r>
      <w:r w:rsidR="00325AD9" w:rsidRPr="00D649FD">
        <w:rPr>
          <w:rFonts w:ascii="Arial" w:eastAsia="Calibri" w:hAnsi="Arial" w:cs="Arial"/>
          <w:color w:val="000000" w:themeColor="text1"/>
          <w:sz w:val="22"/>
          <w:szCs w:val="22"/>
          <w:lang w:val="es-ES_tradnl"/>
        </w:rPr>
        <w:t xml:space="preserve"> previa para que </w:t>
      </w:r>
      <w:r w:rsidR="0041674B" w:rsidRPr="00D649FD">
        <w:rPr>
          <w:rFonts w:ascii="Arial" w:eastAsia="Calibri" w:hAnsi="Arial" w:cs="Arial"/>
          <w:color w:val="000000" w:themeColor="text1"/>
          <w:sz w:val="22"/>
          <w:szCs w:val="22"/>
          <w:lang w:val="es-ES_tradnl"/>
        </w:rPr>
        <w:t xml:space="preserve">sea exigible en los procedimientos de selección, es menester hacer referencia al objeto de </w:t>
      </w:r>
      <w:r w:rsidR="00A00F5E" w:rsidRPr="00D649FD">
        <w:rPr>
          <w:rFonts w:ascii="Arial" w:eastAsia="Calibri" w:hAnsi="Arial" w:cs="Arial"/>
          <w:color w:val="000000" w:themeColor="text1"/>
          <w:sz w:val="22"/>
          <w:szCs w:val="22"/>
          <w:lang w:val="es-ES_tradnl"/>
        </w:rPr>
        <w:t>la</w:t>
      </w:r>
      <w:r w:rsidR="0041674B" w:rsidRPr="00D649FD">
        <w:rPr>
          <w:rFonts w:ascii="Arial" w:eastAsia="Calibri" w:hAnsi="Arial" w:cs="Arial"/>
          <w:color w:val="000000" w:themeColor="text1"/>
          <w:sz w:val="22"/>
          <w:szCs w:val="22"/>
          <w:lang w:val="es-ES_tradnl"/>
        </w:rPr>
        <w:t xml:space="preserve"> consulta. En ella se </w:t>
      </w:r>
      <w:r w:rsidR="00030DFB" w:rsidRPr="00D649FD">
        <w:rPr>
          <w:rFonts w:ascii="Arial" w:eastAsia="Calibri" w:hAnsi="Arial" w:cs="Arial"/>
          <w:color w:val="000000" w:themeColor="text1"/>
          <w:sz w:val="22"/>
          <w:szCs w:val="22"/>
          <w:lang w:val="es-ES_tradnl"/>
        </w:rPr>
        <w:t xml:space="preserve">formulan preguntas sobre </w:t>
      </w:r>
      <w:r w:rsidR="0030257B" w:rsidRPr="00D649FD">
        <w:rPr>
          <w:rFonts w:ascii="Arial" w:eastAsia="Calibri" w:hAnsi="Arial" w:cs="Arial"/>
          <w:color w:val="000000" w:themeColor="text1"/>
          <w:sz w:val="22"/>
          <w:szCs w:val="22"/>
          <w:lang w:val="es-ES_tradnl"/>
        </w:rPr>
        <w:t xml:space="preserve">el sentido y forma de acreditación de los factores de desempate previstos en los numerales 2, </w:t>
      </w:r>
      <w:r w:rsidR="0035252F" w:rsidRPr="00D649FD">
        <w:rPr>
          <w:rFonts w:ascii="Arial" w:eastAsia="Calibri" w:hAnsi="Arial" w:cs="Arial"/>
          <w:color w:val="000000" w:themeColor="text1"/>
          <w:sz w:val="22"/>
          <w:szCs w:val="22"/>
          <w:lang w:val="es-ES_tradnl"/>
        </w:rPr>
        <w:t>3, 4</w:t>
      </w:r>
      <w:r w:rsidR="007D2A8A" w:rsidRPr="00D649FD">
        <w:rPr>
          <w:rFonts w:ascii="Arial" w:eastAsia="Calibri" w:hAnsi="Arial" w:cs="Arial"/>
          <w:color w:val="000000" w:themeColor="text1"/>
          <w:sz w:val="22"/>
          <w:szCs w:val="22"/>
          <w:lang w:val="es-ES_tradnl"/>
        </w:rPr>
        <w:t>, 6 y 7</w:t>
      </w:r>
      <w:r w:rsidR="0035252F" w:rsidRPr="00D649FD">
        <w:rPr>
          <w:rFonts w:ascii="Arial" w:eastAsia="Calibri" w:hAnsi="Arial" w:cs="Arial"/>
          <w:color w:val="000000" w:themeColor="text1"/>
          <w:sz w:val="22"/>
          <w:szCs w:val="22"/>
          <w:lang w:val="es-ES_tradnl"/>
        </w:rPr>
        <w:t xml:space="preserve"> </w:t>
      </w:r>
      <w:r w:rsidR="009C2210" w:rsidRPr="00D649FD">
        <w:rPr>
          <w:rFonts w:ascii="Arial" w:eastAsia="Calibri" w:hAnsi="Arial" w:cs="Arial"/>
          <w:color w:val="000000" w:themeColor="text1"/>
          <w:sz w:val="22"/>
          <w:szCs w:val="22"/>
          <w:lang w:val="es-ES_tradnl"/>
        </w:rPr>
        <w:t>del artículo 35</w:t>
      </w:r>
      <w:r w:rsidR="00454DF8" w:rsidRPr="00D649FD">
        <w:rPr>
          <w:rFonts w:ascii="Arial" w:eastAsia="Calibri" w:hAnsi="Arial" w:cs="Arial"/>
          <w:color w:val="000000" w:themeColor="text1"/>
          <w:sz w:val="22"/>
          <w:szCs w:val="22"/>
          <w:lang w:val="es-ES_tradnl"/>
        </w:rPr>
        <w:t xml:space="preserve">. </w:t>
      </w:r>
      <w:r w:rsidR="00E073FC" w:rsidRPr="00D649FD">
        <w:rPr>
          <w:rFonts w:ascii="Arial" w:eastAsia="Calibri" w:hAnsi="Arial" w:cs="Arial"/>
          <w:color w:val="000000" w:themeColor="text1"/>
          <w:sz w:val="22"/>
          <w:szCs w:val="22"/>
          <w:lang w:val="es-ES_tradnl"/>
        </w:rPr>
        <w:t>Las</w:t>
      </w:r>
      <w:r w:rsidR="00454DF8" w:rsidRPr="00D649FD">
        <w:rPr>
          <w:rFonts w:ascii="Arial" w:eastAsia="Calibri" w:hAnsi="Arial" w:cs="Arial"/>
          <w:color w:val="000000" w:themeColor="text1"/>
          <w:sz w:val="22"/>
          <w:szCs w:val="22"/>
          <w:lang w:val="es-ES_tradnl"/>
        </w:rPr>
        <w:t xml:space="preserve"> disposiciones normativas</w:t>
      </w:r>
      <w:r w:rsidR="00E073FC" w:rsidRPr="00D649FD">
        <w:rPr>
          <w:rFonts w:ascii="Arial" w:eastAsia="Calibri" w:hAnsi="Arial" w:cs="Arial"/>
          <w:color w:val="000000" w:themeColor="text1"/>
          <w:sz w:val="22"/>
          <w:szCs w:val="22"/>
          <w:lang w:val="es-ES_tradnl"/>
        </w:rPr>
        <w:t>, objeto de consulta,</w:t>
      </w:r>
      <w:r w:rsidR="00694E8B" w:rsidRPr="00D649FD">
        <w:rPr>
          <w:rFonts w:ascii="Arial" w:eastAsia="Calibri" w:hAnsi="Arial" w:cs="Arial"/>
          <w:color w:val="000000" w:themeColor="text1"/>
          <w:sz w:val="22"/>
          <w:szCs w:val="22"/>
          <w:lang w:val="es-ES_tradnl"/>
        </w:rPr>
        <w:t xml:space="preserve"> están redactadas de la siguiente manera</w:t>
      </w:r>
      <w:r w:rsidR="00BB606C" w:rsidRPr="00D649FD">
        <w:rPr>
          <w:rFonts w:ascii="Arial" w:hAnsi="Arial" w:cs="Arial"/>
          <w:color w:val="000000" w:themeColor="text1"/>
          <w:sz w:val="22"/>
          <w:szCs w:val="22"/>
          <w:lang w:val="es-ES_tradnl"/>
        </w:rPr>
        <w:t>:</w:t>
      </w:r>
      <w:r w:rsidR="00E073FC" w:rsidRPr="00D649FD">
        <w:rPr>
          <w:rFonts w:ascii="Arial" w:hAnsi="Arial" w:cs="Arial"/>
          <w:color w:val="000000" w:themeColor="text1"/>
          <w:sz w:val="22"/>
          <w:szCs w:val="22"/>
          <w:lang w:val="es-ES_tradnl"/>
        </w:rPr>
        <w:t xml:space="preserve"> </w:t>
      </w:r>
    </w:p>
    <w:p w14:paraId="0F63709A" w14:textId="74E372D9" w:rsidR="00BB606C" w:rsidRPr="00D649FD"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D649FD" w:rsidRDefault="00530458" w:rsidP="008D1F95">
      <w:pPr>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D649FD" w:rsidRDefault="00530458" w:rsidP="004B205A">
      <w:pPr>
        <w:spacing w:after="120"/>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w:t>
      </w:r>
    </w:p>
    <w:p w14:paraId="55242CC7" w14:textId="36E152E9" w:rsidR="007D2A8A" w:rsidRPr="00D649FD" w:rsidRDefault="00BB606C" w:rsidP="00C0167E">
      <w:pPr>
        <w:spacing w:after="120"/>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18723BD" w14:textId="68642F66" w:rsidR="00C0167E" w:rsidRPr="00D649FD" w:rsidRDefault="007D2A8A" w:rsidP="00C0167E">
      <w:pPr>
        <w:spacing w:after="120"/>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3.</w:t>
      </w:r>
      <w:r w:rsidR="00C0167E" w:rsidRPr="00D649FD">
        <w:rPr>
          <w:rFonts w:ascii="Arial" w:eastAsia="Calibri" w:hAnsi="Arial" w:cs="Arial"/>
          <w:color w:val="000000" w:themeColor="text1"/>
          <w:sz w:val="21"/>
          <w:szCs w:val="21"/>
          <w:lang w:val="es-ES_tradnl"/>
        </w:rPr>
        <w:t xml:space="preserve"> </w:t>
      </w:r>
      <w:r w:rsidRPr="00D649FD">
        <w:rPr>
          <w:rFonts w:ascii="Arial" w:eastAsia="Calibri" w:hAnsi="Arial" w:cs="Arial"/>
          <w:color w:val="000000" w:themeColor="text1"/>
          <w:sz w:val="21"/>
          <w:szCs w:val="21"/>
          <w:lang w:val="es-ES_tradnl"/>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22CE685C" w14:textId="1E800D33" w:rsidR="00766D49" w:rsidRPr="00D649FD" w:rsidRDefault="00BB606C" w:rsidP="008D1F95">
      <w:pPr>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lastRenderedPageBreak/>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01CFDCDD" w14:textId="71555BF3" w:rsidR="00766D49" w:rsidRPr="00D649FD" w:rsidRDefault="00C0167E" w:rsidP="004B205A">
      <w:pPr>
        <w:spacing w:after="120"/>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w:t>
      </w:r>
    </w:p>
    <w:p w14:paraId="62100D4E" w14:textId="5AA76F70" w:rsidR="00530458" w:rsidRPr="00D649FD" w:rsidRDefault="00530458" w:rsidP="004B205A">
      <w:pPr>
        <w:spacing w:after="120"/>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6.</w:t>
      </w:r>
      <w:r w:rsidR="009D03B4" w:rsidRPr="00D649FD">
        <w:rPr>
          <w:rFonts w:ascii="Arial" w:eastAsia="Calibri" w:hAnsi="Arial" w:cs="Arial"/>
          <w:color w:val="000000" w:themeColor="text1"/>
          <w:sz w:val="21"/>
          <w:szCs w:val="21"/>
          <w:lang w:val="es-ES_tradnl"/>
        </w:rPr>
        <w:t xml:space="preserve"> </w:t>
      </w:r>
      <w:r w:rsidRPr="00D649FD">
        <w:rPr>
          <w:rFonts w:ascii="Arial" w:eastAsia="Calibri" w:hAnsi="Arial" w:cs="Arial"/>
          <w:color w:val="000000" w:themeColor="text1"/>
          <w:sz w:val="21"/>
          <w:szCs w:val="21"/>
          <w:lang w:val="es-ES_tradnl"/>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7A590C96" w14:textId="646B0FF9" w:rsidR="00530458" w:rsidRPr="00D649FD" w:rsidRDefault="00530458" w:rsidP="0050674C">
      <w:pPr>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244771D8" w14:textId="099DCDCA" w:rsidR="0011359A" w:rsidRPr="00D649FD" w:rsidRDefault="0011359A" w:rsidP="00530458">
      <w:pPr>
        <w:ind w:left="709" w:right="709"/>
        <w:jc w:val="both"/>
        <w:rPr>
          <w:rFonts w:ascii="Arial" w:eastAsia="Calibri" w:hAnsi="Arial" w:cs="Arial"/>
          <w:color w:val="000000" w:themeColor="text1"/>
          <w:sz w:val="21"/>
          <w:szCs w:val="21"/>
          <w:lang w:val="es-ES_tradnl"/>
        </w:rPr>
      </w:pPr>
      <w:r w:rsidRPr="00D649FD">
        <w:rPr>
          <w:rFonts w:ascii="Arial" w:eastAsia="Calibri" w:hAnsi="Arial" w:cs="Arial"/>
          <w:color w:val="000000" w:themeColor="text1"/>
          <w:sz w:val="21"/>
          <w:szCs w:val="21"/>
          <w:lang w:val="es-ES_tradnl"/>
        </w:rPr>
        <w:t>[…].</w:t>
      </w:r>
    </w:p>
    <w:p w14:paraId="5E1207E2" w14:textId="74C55D63" w:rsidR="00766D49" w:rsidRPr="00D649FD" w:rsidRDefault="00766D49" w:rsidP="00BB606C">
      <w:pPr>
        <w:ind w:left="709" w:right="709"/>
        <w:jc w:val="both"/>
        <w:rPr>
          <w:rFonts w:ascii="Arial" w:eastAsia="Calibri" w:hAnsi="Arial" w:cs="Arial"/>
          <w:color w:val="000000" w:themeColor="text1"/>
          <w:sz w:val="21"/>
          <w:szCs w:val="21"/>
          <w:lang w:val="es-ES_tradnl"/>
        </w:rPr>
      </w:pPr>
    </w:p>
    <w:p w14:paraId="2D34285E" w14:textId="35BEEE20" w:rsidR="00CC4EF4" w:rsidRPr="00D649FD" w:rsidRDefault="00CC4EF4" w:rsidP="00CC4EF4">
      <w:pPr>
        <w:spacing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Como se advierte, estos numerales </w:t>
      </w:r>
      <w:bookmarkStart w:id="2" w:name="_Hlk62459524"/>
      <w:r w:rsidRPr="00D649FD">
        <w:rPr>
          <w:rFonts w:ascii="Arial" w:eastAsia="Calibri" w:hAnsi="Arial"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D649FD">
        <w:rPr>
          <w:rFonts w:ascii="Arial" w:eastAsia="Calibri" w:hAnsi="Arial" w:cs="Arial"/>
          <w:color w:val="000000" w:themeColor="text1"/>
          <w:sz w:val="22"/>
          <w:szCs w:val="22"/>
          <w:lang w:val="es-ES_tradnl"/>
        </w:rPr>
        <w:t>encuentra</w:t>
      </w:r>
      <w:r w:rsidRPr="00D649FD">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5BDB94EE" w14:textId="6560A1CD" w:rsidR="00BD6D41" w:rsidRPr="00D649FD" w:rsidRDefault="004567DA" w:rsidP="00336CD9">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Así, en relación con el numeral 2 del artículo 35, como lo ha indicado la Corte Constitucional, </w:t>
      </w:r>
      <w:r w:rsidR="00974CBD" w:rsidRPr="00D649FD">
        <w:rPr>
          <w:rFonts w:ascii="Arial" w:eastAsia="Calibri" w:hAnsi="Arial" w:cs="Arial"/>
          <w:color w:val="000000" w:themeColor="text1"/>
          <w:sz w:val="22"/>
          <w:szCs w:val="22"/>
          <w:lang w:val="es-ES_tradnl"/>
        </w:rPr>
        <w:t xml:space="preserve">«[…]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w:t>
      </w:r>
      <w:r w:rsidR="00974CBD" w:rsidRPr="00D649FD">
        <w:rPr>
          <w:rFonts w:ascii="Arial" w:eastAsia="Calibri" w:hAnsi="Arial" w:cs="Arial"/>
          <w:color w:val="000000" w:themeColor="text1"/>
          <w:sz w:val="22"/>
          <w:szCs w:val="22"/>
          <w:lang w:val="es-ES_tradnl"/>
        </w:rPr>
        <w:lastRenderedPageBreak/>
        <w:t>pero no asuma la responsabilidad que le corresponde por motivos como la incapacidad física, sensorial, síquica o mental»</w:t>
      </w:r>
      <w:r w:rsidR="00974CBD" w:rsidRPr="00D649FD">
        <w:rPr>
          <w:rStyle w:val="Refdenotaalpie"/>
          <w:rFonts w:ascii="Arial" w:eastAsia="Calibri" w:hAnsi="Arial" w:cs="Arial"/>
          <w:color w:val="000000" w:themeColor="text1"/>
          <w:sz w:val="22"/>
          <w:szCs w:val="22"/>
          <w:lang w:val="es-ES_tradnl"/>
        </w:rPr>
        <w:footnoteReference w:id="10"/>
      </w:r>
      <w:r w:rsidR="00974CBD" w:rsidRPr="00D649FD">
        <w:rPr>
          <w:rFonts w:ascii="Arial" w:eastAsia="Calibri" w:hAnsi="Arial" w:cs="Arial"/>
          <w:color w:val="000000" w:themeColor="text1"/>
          <w:sz w:val="22"/>
          <w:szCs w:val="22"/>
          <w:lang w:val="es-ES_tradnl"/>
        </w:rPr>
        <w:t>.</w:t>
      </w:r>
      <w:r w:rsidR="0022609C" w:rsidRPr="00D649FD">
        <w:rPr>
          <w:rFonts w:ascii="Arial" w:eastAsia="Calibri" w:hAnsi="Arial" w:cs="Arial"/>
          <w:color w:val="000000" w:themeColor="text1"/>
          <w:sz w:val="22"/>
          <w:szCs w:val="22"/>
          <w:lang w:val="es-ES_tradnl"/>
        </w:rPr>
        <w:t xml:space="preserve"> El </w:t>
      </w:r>
      <w:r w:rsidR="002F40E2" w:rsidRPr="00D649FD">
        <w:rPr>
          <w:rFonts w:ascii="Arial" w:eastAsia="Calibri" w:hAnsi="Arial" w:cs="Arial"/>
          <w:color w:val="000000" w:themeColor="text1"/>
          <w:sz w:val="22"/>
          <w:szCs w:val="22"/>
          <w:lang w:val="es-ES_tradnl"/>
        </w:rPr>
        <w:t>proponente</w:t>
      </w:r>
      <w:r w:rsidR="0022609C" w:rsidRPr="00D649FD">
        <w:rPr>
          <w:rFonts w:ascii="Arial" w:eastAsia="Calibri" w:hAnsi="Arial" w:cs="Arial"/>
          <w:color w:val="000000" w:themeColor="text1"/>
          <w:sz w:val="22"/>
          <w:szCs w:val="22"/>
          <w:lang w:val="es-ES_tradnl"/>
        </w:rPr>
        <w:t xml:space="preserve"> también podrá acreditar que la</w:t>
      </w:r>
      <w:r w:rsidR="002F40E2" w:rsidRPr="00D649FD">
        <w:rPr>
          <w:rFonts w:ascii="Arial" w:eastAsia="Calibri" w:hAnsi="Arial" w:cs="Arial"/>
          <w:color w:val="000000" w:themeColor="text1"/>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D649FD">
        <w:rPr>
          <w:rStyle w:val="Refdenotaalpie"/>
          <w:rFonts w:ascii="Arial" w:eastAsia="Calibri" w:hAnsi="Arial" w:cs="Arial"/>
          <w:color w:val="000000" w:themeColor="text1"/>
          <w:sz w:val="22"/>
          <w:szCs w:val="22"/>
          <w:lang w:val="es-ES_tradnl"/>
        </w:rPr>
        <w:footnoteReference w:id="11"/>
      </w:r>
      <w:r w:rsidR="00F62227" w:rsidRPr="00D649FD">
        <w:rPr>
          <w:rFonts w:ascii="Arial" w:eastAsia="Calibri" w:hAnsi="Arial" w:cs="Arial"/>
          <w:color w:val="000000" w:themeColor="text1"/>
          <w:sz w:val="22"/>
          <w:szCs w:val="22"/>
          <w:lang w:val="es-ES_tradnl"/>
        </w:rPr>
        <w:t>.</w:t>
      </w:r>
      <w:r w:rsidR="007651EF" w:rsidRPr="00D649FD">
        <w:rPr>
          <w:rFonts w:ascii="Arial" w:eastAsia="Calibri" w:hAnsi="Arial" w:cs="Arial"/>
          <w:color w:val="000000" w:themeColor="text1"/>
          <w:sz w:val="22"/>
          <w:szCs w:val="22"/>
          <w:lang w:val="es-ES_tradnl"/>
        </w:rPr>
        <w:t xml:space="preserve"> </w:t>
      </w:r>
    </w:p>
    <w:p w14:paraId="27A795A3" w14:textId="77777777" w:rsidR="007E7657" w:rsidRPr="00D649FD" w:rsidRDefault="0093360C" w:rsidP="007E7657">
      <w:pPr>
        <w:spacing w:before="120" w:line="276" w:lineRule="auto"/>
        <w:ind w:firstLine="709"/>
        <w:jc w:val="both"/>
        <w:rPr>
          <w:rFonts w:ascii="Arial" w:hAnsi="Arial" w:cs="Arial"/>
          <w:color w:val="000000" w:themeColor="text1"/>
          <w:sz w:val="22"/>
          <w:szCs w:val="22"/>
          <w:lang w:val="es-ES_tradnl"/>
        </w:rPr>
      </w:pPr>
      <w:bookmarkStart w:id="3" w:name="_Hlk62481891"/>
      <w:r w:rsidRPr="00D649FD">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D649FD">
        <w:rPr>
          <w:rStyle w:val="Refdenotaalpie"/>
          <w:rFonts w:ascii="Arial" w:hAnsi="Arial" w:cs="Arial"/>
          <w:color w:val="000000" w:themeColor="text1"/>
          <w:sz w:val="22"/>
          <w:szCs w:val="22"/>
          <w:lang w:val="es-ES_tradnl"/>
        </w:rPr>
        <w:footnoteReference w:id="12"/>
      </w:r>
      <w:r w:rsidRPr="00D649FD">
        <w:rPr>
          <w:rFonts w:ascii="Arial" w:hAnsi="Arial" w:cs="Arial"/>
          <w:color w:val="000000" w:themeColor="text1"/>
          <w:sz w:val="22"/>
          <w:szCs w:val="22"/>
          <w:lang w:val="es-ES_tradnl"/>
        </w:rPr>
        <w:t>.</w:t>
      </w:r>
      <w:r w:rsidR="007E7657" w:rsidRPr="00D649FD">
        <w:rPr>
          <w:rFonts w:ascii="Arial" w:hAnsi="Arial" w:cs="Arial"/>
          <w:color w:val="000000" w:themeColor="text1"/>
          <w:sz w:val="22"/>
          <w:szCs w:val="22"/>
          <w:lang w:val="es-ES_tradnl"/>
        </w:rPr>
        <w:t xml:space="preserve"> </w:t>
      </w:r>
    </w:p>
    <w:bookmarkEnd w:id="3"/>
    <w:p w14:paraId="472C2CE9" w14:textId="649ECBE8" w:rsidR="0093360C" w:rsidRPr="00D649FD" w:rsidRDefault="007E7657" w:rsidP="007E7657">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Por su parte, el artículo 21 de la Ley 1257 de 2008</w:t>
      </w:r>
      <w:r w:rsidR="0044361F" w:rsidRPr="00D649FD">
        <w:rPr>
          <w:rFonts w:ascii="Arial" w:hAnsi="Arial" w:cs="Arial"/>
          <w:color w:val="000000" w:themeColor="text1"/>
          <w:sz w:val="22"/>
          <w:szCs w:val="22"/>
          <w:lang w:val="es-ES_tradnl"/>
        </w:rPr>
        <w:t>, p</w:t>
      </w:r>
      <w:r w:rsidRPr="00D649FD">
        <w:rPr>
          <w:rFonts w:ascii="Arial" w:hAnsi="Arial" w:cs="Arial"/>
          <w:color w:val="000000" w:themeColor="text1"/>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4" w:name="_Hlk62482124"/>
      <w:r w:rsidRPr="00D649FD">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14:paraId="210237BF" w14:textId="238D6CC9" w:rsidR="009D460F" w:rsidRPr="00D649FD" w:rsidRDefault="003A41C5" w:rsidP="003A41C5">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lastRenderedPageBreak/>
        <w:t>Ahora bien, el numeral 2 del artículo 35</w:t>
      </w:r>
      <w:r w:rsidR="0093360C" w:rsidRPr="00D649FD">
        <w:rPr>
          <w:rFonts w:ascii="Arial" w:hAnsi="Arial" w:cs="Arial"/>
          <w:color w:val="000000" w:themeColor="text1"/>
          <w:sz w:val="22"/>
          <w:szCs w:val="22"/>
          <w:lang w:val="es-ES_tradnl"/>
        </w:rPr>
        <w:t xml:space="preserve"> de la Ley </w:t>
      </w:r>
      <w:r w:rsidR="007B209C" w:rsidRPr="00D649FD">
        <w:rPr>
          <w:rFonts w:ascii="Arial" w:hAnsi="Arial" w:cs="Arial"/>
          <w:color w:val="000000" w:themeColor="text1"/>
          <w:sz w:val="22"/>
          <w:szCs w:val="22"/>
          <w:lang w:val="es-ES_tradnl"/>
        </w:rPr>
        <w:t>2069</w:t>
      </w:r>
      <w:r w:rsidR="0093360C" w:rsidRPr="00D649FD">
        <w:rPr>
          <w:rFonts w:ascii="Arial" w:hAnsi="Arial" w:cs="Arial"/>
          <w:color w:val="000000" w:themeColor="text1"/>
          <w:sz w:val="22"/>
          <w:szCs w:val="22"/>
          <w:lang w:val="es-ES_tradnl"/>
        </w:rPr>
        <w:t xml:space="preserve"> de 2020</w:t>
      </w:r>
      <w:r w:rsidRPr="00D649FD">
        <w:rPr>
          <w:rFonts w:ascii="Arial" w:hAnsi="Arial" w:cs="Arial"/>
          <w:color w:val="000000" w:themeColor="text1"/>
          <w:sz w:val="22"/>
          <w:szCs w:val="22"/>
          <w:lang w:val="es-ES_tradnl"/>
        </w:rPr>
        <w:t xml:space="preserve"> no establece que este factor de desempate únicamente puede aplicarse cuando en la persona jurídica existe participación mayoritaria </w:t>
      </w:r>
      <w:r w:rsidRPr="00D649FD">
        <w:rPr>
          <w:rFonts w:ascii="Arial" w:hAnsi="Arial" w:cs="Arial"/>
          <w:i/>
          <w:iCs/>
          <w:color w:val="000000" w:themeColor="text1"/>
          <w:sz w:val="22"/>
          <w:szCs w:val="22"/>
          <w:lang w:val="es-ES_tradnl"/>
        </w:rPr>
        <w:t>solo</w:t>
      </w:r>
      <w:r w:rsidRPr="00D649FD">
        <w:rPr>
          <w:rFonts w:ascii="Arial" w:hAnsi="Arial" w:cs="Arial"/>
          <w:color w:val="000000" w:themeColor="text1"/>
          <w:sz w:val="22"/>
          <w:szCs w:val="22"/>
          <w:lang w:val="es-ES_tradnl"/>
        </w:rPr>
        <w:t xml:space="preserve"> de mujeres cabeza de familia o </w:t>
      </w:r>
      <w:r w:rsidRPr="00D649FD">
        <w:rPr>
          <w:rFonts w:ascii="Arial" w:hAnsi="Arial" w:cs="Arial"/>
          <w:i/>
          <w:iCs/>
          <w:color w:val="000000" w:themeColor="text1"/>
          <w:sz w:val="22"/>
          <w:szCs w:val="22"/>
          <w:lang w:val="es-ES_tradnl"/>
        </w:rPr>
        <w:t>solo</w:t>
      </w:r>
      <w:r w:rsidRPr="00D649FD">
        <w:rPr>
          <w:rFonts w:ascii="Arial" w:hAnsi="Arial" w:cs="Arial"/>
          <w:color w:val="000000" w:themeColor="text1"/>
          <w:sz w:val="22"/>
          <w:szCs w:val="22"/>
          <w:lang w:val="es-ES_tradnl"/>
        </w:rPr>
        <w:t xml:space="preserve"> de mujeres víctimas de la violencia intrafamiliar. Lo que </w:t>
      </w:r>
      <w:r w:rsidR="0044361F" w:rsidRPr="00D649FD">
        <w:rPr>
          <w:rFonts w:ascii="Arial" w:hAnsi="Arial" w:cs="Arial"/>
          <w:color w:val="000000" w:themeColor="text1"/>
          <w:sz w:val="22"/>
          <w:szCs w:val="22"/>
          <w:lang w:val="es-ES_tradnl"/>
        </w:rPr>
        <w:t>dispone</w:t>
      </w:r>
      <w:r w:rsidRPr="00D649FD">
        <w:rPr>
          <w:rFonts w:ascii="Arial" w:hAnsi="Arial" w:cs="Arial"/>
          <w:color w:val="000000" w:themeColor="text1"/>
          <w:sz w:val="22"/>
          <w:szCs w:val="22"/>
          <w:lang w:val="es-ES_tradnl"/>
        </w:rPr>
        <w:t xml:space="preserve"> es que se debe «Preferir la propuesta de la mujer cabeza de familia, mujeres víctimas de la violencia intrafamiliar o de la persona jurídica en la cual participe </w:t>
      </w:r>
      <w:r w:rsidRPr="00D649FD">
        <w:rPr>
          <w:rFonts w:ascii="Arial" w:hAnsi="Arial" w:cs="Arial"/>
          <w:i/>
          <w:iCs/>
          <w:color w:val="000000" w:themeColor="text1"/>
          <w:sz w:val="22"/>
          <w:szCs w:val="22"/>
          <w:lang w:val="es-ES_tradnl"/>
        </w:rPr>
        <w:t>o participen</w:t>
      </w:r>
      <w:r w:rsidRPr="00D649FD">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D649FD">
        <w:rPr>
          <w:rFonts w:ascii="Arial" w:hAnsi="Arial" w:cs="Arial"/>
          <w:i/>
          <w:iCs/>
          <w:color w:val="000000" w:themeColor="text1"/>
          <w:sz w:val="22"/>
          <w:szCs w:val="22"/>
          <w:lang w:val="es-ES_tradnl"/>
        </w:rPr>
        <w:t xml:space="preserve">o participen </w:t>
      </w:r>
      <w:r w:rsidRPr="00D649FD">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D649FD" w:rsidRDefault="009D460F" w:rsidP="00B32E31">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3D12BF20" w:rsidR="00E5768D" w:rsidRPr="00D649FD" w:rsidRDefault="008A41F8" w:rsidP="00B32E31">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El artículo 35, numeral 2, de la Ley </w:t>
      </w:r>
      <w:r w:rsidR="007B209C" w:rsidRPr="00D649FD">
        <w:rPr>
          <w:rFonts w:ascii="Arial" w:hAnsi="Arial" w:cs="Arial"/>
          <w:color w:val="000000" w:themeColor="text1"/>
          <w:sz w:val="22"/>
          <w:szCs w:val="22"/>
          <w:lang w:val="es-ES_tradnl"/>
        </w:rPr>
        <w:t>2069</w:t>
      </w:r>
      <w:r w:rsidRPr="00D649FD">
        <w:rPr>
          <w:rFonts w:ascii="Arial" w:hAnsi="Arial" w:cs="Arial"/>
          <w:color w:val="000000" w:themeColor="text1"/>
          <w:sz w:val="22"/>
          <w:szCs w:val="22"/>
          <w:lang w:val="es-ES_tradnl"/>
        </w:rPr>
        <w:t xml:space="preserve"> de 2020</w:t>
      </w:r>
      <w:r w:rsidR="008510A1" w:rsidRPr="00D649FD">
        <w:rPr>
          <w:rFonts w:ascii="Arial" w:hAnsi="Arial" w:cs="Arial"/>
          <w:color w:val="000000" w:themeColor="text1"/>
          <w:sz w:val="22"/>
          <w:szCs w:val="22"/>
          <w:lang w:val="es-ES_tradnl"/>
        </w:rPr>
        <w:t xml:space="preserve"> </w:t>
      </w:r>
      <w:r w:rsidRPr="00D649FD">
        <w:rPr>
          <w:rFonts w:ascii="Arial" w:hAnsi="Arial" w:cs="Arial"/>
          <w:color w:val="000000" w:themeColor="text1"/>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00B237E6" w:rsidRPr="00D649FD">
        <w:rPr>
          <w:rFonts w:ascii="Arial" w:hAnsi="Arial" w:cs="Arial"/>
          <w:color w:val="000000" w:themeColor="text1"/>
          <w:sz w:val="22"/>
          <w:szCs w:val="22"/>
          <w:lang w:val="es-ES_tradnl"/>
        </w:rPr>
        <w:t>que se</w:t>
      </w:r>
      <w:r w:rsidRPr="00D649FD">
        <w:rPr>
          <w:rFonts w:ascii="Arial" w:hAnsi="Arial" w:cs="Arial"/>
          <w:color w:val="000000" w:themeColor="text1"/>
          <w:sz w:val="22"/>
          <w:szCs w:val="22"/>
          <w:lang w:val="es-ES_tradnl"/>
        </w:rPr>
        <w:t xml:space="preserve"> indicar</w:t>
      </w:r>
      <w:r w:rsidR="00B237E6" w:rsidRPr="00D649FD">
        <w:rPr>
          <w:rFonts w:ascii="Arial" w:hAnsi="Arial" w:cs="Arial"/>
          <w:color w:val="000000" w:themeColor="text1"/>
          <w:sz w:val="22"/>
          <w:szCs w:val="22"/>
          <w:lang w:val="es-ES_tradnl"/>
        </w:rPr>
        <w:t>a</w:t>
      </w:r>
      <w:r w:rsidRPr="00D649FD">
        <w:rPr>
          <w:rFonts w:ascii="Arial" w:hAnsi="Arial" w:cs="Arial"/>
          <w:color w:val="000000" w:themeColor="text1"/>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03EE1175" w:rsidR="00E070C1" w:rsidRPr="00D649FD" w:rsidRDefault="008A41F8" w:rsidP="00B32E31">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D649FD">
        <w:rPr>
          <w:rStyle w:val="Refdenotaalpie"/>
          <w:rFonts w:ascii="Arial" w:hAnsi="Arial" w:cs="Arial"/>
          <w:color w:val="000000" w:themeColor="text1"/>
          <w:sz w:val="22"/>
          <w:szCs w:val="22"/>
          <w:lang w:val="es-ES_tradnl"/>
        </w:rPr>
        <w:footnoteReference w:id="13"/>
      </w:r>
      <w:r w:rsidRPr="00D649FD">
        <w:rPr>
          <w:rFonts w:ascii="Arial" w:hAnsi="Arial" w:cs="Arial"/>
          <w:color w:val="000000" w:themeColor="text1"/>
          <w:sz w:val="22"/>
          <w:szCs w:val="22"/>
          <w:lang w:val="es-ES_tradnl"/>
        </w:rPr>
        <w:t>.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w:t>
      </w:r>
      <w:r w:rsidR="00E5768D" w:rsidRPr="00D649FD">
        <w:rPr>
          <w:rFonts w:ascii="Arial" w:hAnsi="Arial" w:cs="Arial"/>
          <w:color w:val="000000" w:themeColor="text1"/>
          <w:sz w:val="22"/>
          <w:szCs w:val="22"/>
          <w:lang w:val="es-ES_tradnl"/>
        </w:rPr>
        <w:t xml:space="preserve"> </w:t>
      </w:r>
    </w:p>
    <w:p w14:paraId="176EE98B" w14:textId="46A5C15B" w:rsidR="003B48C4" w:rsidRPr="00D649FD" w:rsidRDefault="003B48C4" w:rsidP="003B48C4">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Por lo tanto, de conformidad con el artículo 35, numeral 2 de la Ley </w:t>
      </w:r>
      <w:r w:rsidR="00D75232" w:rsidRPr="00D649FD">
        <w:rPr>
          <w:rFonts w:ascii="Arial" w:hAnsi="Arial" w:cs="Arial"/>
          <w:color w:val="000000" w:themeColor="text1"/>
          <w:sz w:val="22"/>
          <w:szCs w:val="22"/>
          <w:lang w:val="es-ES_tradnl"/>
        </w:rPr>
        <w:t>2069</w:t>
      </w:r>
      <w:r w:rsidRPr="00D649FD">
        <w:rPr>
          <w:rFonts w:ascii="Arial" w:hAnsi="Arial" w:cs="Arial"/>
          <w:color w:val="000000" w:themeColor="text1"/>
          <w:sz w:val="22"/>
          <w:szCs w:val="22"/>
          <w:lang w:val="es-ES_tradnl"/>
        </w:rPr>
        <w:t xml:space="preserve"> de 2020, si en un procedimiento de selección se presenta una persona jurídica o proponente plural </w:t>
      </w:r>
      <w:r w:rsidRPr="00D649FD">
        <w:rPr>
          <w:rFonts w:ascii="Arial" w:hAnsi="Arial" w:cs="Arial"/>
          <w:color w:val="000000" w:themeColor="text1"/>
          <w:sz w:val="22"/>
          <w:szCs w:val="22"/>
          <w:lang w:val="es-ES_tradnl"/>
        </w:rPr>
        <w:lastRenderedPageBreak/>
        <w:t xml:space="preserve">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519C3596" w:rsidR="00272E89" w:rsidRPr="00D649FD" w:rsidRDefault="00272E89" w:rsidP="00272E89">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Teniendo en cuenta que participar debe entenderse –a menos que el reglamento disponga lo contrario– como tomar parte en la sociedad o proponente plural, de acuerdo al aporte en dinero o trabajo, esta </w:t>
      </w:r>
      <w:r w:rsidR="00163E11" w:rsidRPr="00D649FD">
        <w:rPr>
          <w:rFonts w:ascii="Arial" w:hAnsi="Arial" w:cs="Arial"/>
          <w:color w:val="000000" w:themeColor="text1"/>
          <w:sz w:val="22"/>
          <w:szCs w:val="22"/>
          <w:lang w:val="es-ES_tradnl"/>
        </w:rPr>
        <w:t>Agencia</w:t>
      </w:r>
      <w:r w:rsidRPr="00D649FD">
        <w:rPr>
          <w:rFonts w:ascii="Arial" w:hAnsi="Arial" w:cs="Arial"/>
          <w:color w:val="000000" w:themeColor="text1"/>
          <w:sz w:val="22"/>
          <w:szCs w:val="22"/>
          <w:lang w:val="es-ES_tradnl"/>
        </w:rPr>
        <w:t xml:space="preserve">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w:t>
      </w:r>
      <w:r w:rsidRPr="00D649FD">
        <w:rPr>
          <w:rFonts w:ascii="Arial" w:hAnsi="Arial" w:cs="Arial"/>
          <w:color w:val="000000" w:themeColor="text1"/>
          <w:sz w:val="22"/>
          <w:szCs w:val="22"/>
          <w:lang w:val="es-ES_tradnl"/>
        </w:rPr>
        <w:t xml:space="preserve">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00420F50" w:rsidRPr="00D649FD">
        <w:rPr>
          <w:rFonts w:ascii="Arial" w:hAnsi="Arial" w:cs="Arial"/>
          <w:color w:val="000000" w:themeColor="text1"/>
          <w:sz w:val="22"/>
          <w:szCs w:val="22"/>
          <w:lang w:val="es-ES_tradnl"/>
        </w:rPr>
        <w:t>otorgue</w:t>
      </w:r>
      <w:r w:rsidRPr="00D649FD">
        <w:rPr>
          <w:rFonts w:ascii="Arial" w:hAnsi="Arial" w:cs="Arial"/>
          <w:color w:val="000000" w:themeColor="text1"/>
          <w:sz w:val="22"/>
          <w:szCs w:val="22"/>
          <w:lang w:val="es-ES_tradnl"/>
        </w:rPr>
        <w:t xml:space="preserve"> un alcance diferente al enunciado normativo.</w:t>
      </w:r>
    </w:p>
    <w:p w14:paraId="28B49DF7" w14:textId="77777777" w:rsidR="007C796C" w:rsidRPr="00D649FD" w:rsidRDefault="007C796C" w:rsidP="007C796C">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En armonía con lo previsto en el artículo 13, numerales 7 y 8, de la Ley 1618 de 2013, el numeral 3 del artículo 35 de la Ley 2069 de 2020 establece un factor de desempate que busca beneficiar a la población en situación de discapacidad. En tal sentido, indica que se preferirá la propuesta del oferente que acredite que por lo menos el diez por ciento (10%) de su nómina esté en condición de discapacidad. Además, dice que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w:t>
      </w:r>
      <w:r w:rsidRPr="00D649FD">
        <w:rPr>
          <w:lang w:val="es-ES_tradnl"/>
        </w:rPr>
        <w:t xml:space="preserve"> </w:t>
      </w:r>
      <w:r w:rsidRPr="00D649FD">
        <w:rPr>
          <w:rFonts w:ascii="Arial" w:hAnsi="Arial" w:cs="Arial"/>
          <w:color w:val="000000" w:themeColor="text1"/>
          <w:sz w:val="22"/>
          <w:szCs w:val="22"/>
          <w:lang w:val="es-ES_tradnl"/>
        </w:rPr>
        <w:t xml:space="preserve">consorcio, unión temporal o promesa de sociedad futura y aportar mínimo el veinticinco por ciento (25%) de la experiencia acreditada en la oferta». </w:t>
      </w:r>
    </w:p>
    <w:p w14:paraId="3E6826D5" w14:textId="58F1C126" w:rsidR="009238C3" w:rsidRPr="00D649FD" w:rsidRDefault="007C796C" w:rsidP="007C796C">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Significa que si la oferta se presenta por un consorcio, una unión temporal o una promesa de sociedad futura, quien debe acreditar que el diez por ciento (10%) de su nómina está en situación de discapacidad debe ser el integrante de la forma asociativa que reúna dos requisitos: i) que tenga una participación de, como mínimo, el veinticinco por ciento (25%) en el consorcio, unión temporal o promesa de sociedad futura y ii) que aporte por lo menos el veinticinco por ciento (25%) de la experiencia acreditada en la oferta. </w:t>
      </w:r>
      <w:r w:rsidR="00AE1B0D" w:rsidRPr="00D649FD">
        <w:rPr>
          <w:rFonts w:ascii="Arial" w:hAnsi="Arial" w:cs="Arial"/>
          <w:color w:val="000000" w:themeColor="text1"/>
          <w:sz w:val="22"/>
          <w:szCs w:val="22"/>
          <w:lang w:val="es-ES_tradnl"/>
        </w:rPr>
        <w:t>Sin embargo, l</w:t>
      </w:r>
      <w:r w:rsidRPr="00D649FD">
        <w:rPr>
          <w:rFonts w:ascii="Arial" w:hAnsi="Arial" w:cs="Arial"/>
          <w:color w:val="000000" w:themeColor="text1"/>
          <w:sz w:val="22"/>
          <w:szCs w:val="22"/>
          <w:lang w:val="es-ES_tradnl"/>
        </w:rPr>
        <w:t xml:space="preserve">a norma no distingue si la experiencia que debe hacer parte de dicho porcentaje </w:t>
      </w:r>
      <w:r w:rsidRPr="00D649FD">
        <w:rPr>
          <w:rFonts w:ascii="Arial" w:hAnsi="Arial" w:cs="Arial"/>
          <w:color w:val="000000" w:themeColor="text1"/>
          <w:sz w:val="22"/>
          <w:szCs w:val="22"/>
          <w:lang w:val="es-ES_tradnl"/>
        </w:rPr>
        <w:lastRenderedPageBreak/>
        <w:t xml:space="preserve">mínimo </w:t>
      </w:r>
      <w:r w:rsidR="0067183B" w:rsidRPr="00D649FD">
        <w:rPr>
          <w:rFonts w:ascii="Arial" w:hAnsi="Arial" w:cs="Arial"/>
          <w:color w:val="000000" w:themeColor="text1"/>
          <w:sz w:val="22"/>
          <w:szCs w:val="22"/>
          <w:lang w:val="es-ES_tradnl"/>
        </w:rPr>
        <w:t>es</w:t>
      </w:r>
      <w:r w:rsidRPr="00D649FD">
        <w:rPr>
          <w:rFonts w:ascii="Arial" w:hAnsi="Arial" w:cs="Arial"/>
          <w:color w:val="000000" w:themeColor="text1"/>
          <w:sz w:val="22"/>
          <w:szCs w:val="22"/>
          <w:lang w:val="es-ES_tradnl"/>
        </w:rPr>
        <w:t xml:space="preserve"> aquella que constituye requisito habilitante o criterio de calificación,</w:t>
      </w:r>
      <w:r w:rsidR="009238C3" w:rsidRPr="00D649FD">
        <w:rPr>
          <w:rFonts w:ascii="Arial" w:hAnsi="Arial" w:cs="Arial"/>
          <w:color w:val="000000" w:themeColor="text1"/>
          <w:sz w:val="22"/>
          <w:szCs w:val="22"/>
          <w:lang w:val="es-ES_tradnl"/>
        </w:rPr>
        <w:t xml:space="preserve"> pues </w:t>
      </w:r>
      <w:r w:rsidR="00AE1B0D" w:rsidRPr="00D649FD">
        <w:rPr>
          <w:rFonts w:ascii="Arial" w:hAnsi="Arial" w:cs="Arial"/>
          <w:color w:val="000000" w:themeColor="text1"/>
          <w:sz w:val="22"/>
          <w:szCs w:val="22"/>
          <w:lang w:val="es-ES_tradnl"/>
        </w:rPr>
        <w:t xml:space="preserve">la regulación de la materia </w:t>
      </w:r>
      <w:r w:rsidR="009238C3" w:rsidRPr="00D649FD">
        <w:rPr>
          <w:rFonts w:ascii="Arial" w:hAnsi="Arial" w:cs="Arial"/>
          <w:color w:val="000000" w:themeColor="text1"/>
          <w:sz w:val="22"/>
          <w:szCs w:val="22"/>
          <w:lang w:val="es-ES_tradnl"/>
        </w:rPr>
        <w:t xml:space="preserve">no llega a ese nivel de detalle. </w:t>
      </w:r>
    </w:p>
    <w:p w14:paraId="4CF4D783" w14:textId="77777777" w:rsidR="00E22F2C" w:rsidRPr="00D649FD" w:rsidRDefault="007C796C" w:rsidP="007C796C">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 </w:t>
      </w:r>
      <w:r w:rsidR="0067183B" w:rsidRPr="00D649FD">
        <w:rPr>
          <w:rFonts w:ascii="Arial" w:hAnsi="Arial" w:cs="Arial"/>
          <w:color w:val="000000" w:themeColor="text1"/>
          <w:sz w:val="22"/>
          <w:szCs w:val="22"/>
          <w:lang w:val="es-ES_tradnl"/>
        </w:rPr>
        <w:t xml:space="preserve">Teniendo en cuenta lo anterior, existen </w:t>
      </w:r>
      <w:r w:rsidR="00DB793B" w:rsidRPr="00D649FD">
        <w:rPr>
          <w:rFonts w:ascii="Arial" w:hAnsi="Arial" w:cs="Arial"/>
          <w:color w:val="000000" w:themeColor="text1"/>
          <w:sz w:val="22"/>
          <w:szCs w:val="22"/>
          <w:lang w:val="es-ES_tradnl"/>
        </w:rPr>
        <w:t>varios</w:t>
      </w:r>
      <w:r w:rsidR="0067183B" w:rsidRPr="00D649FD">
        <w:rPr>
          <w:rFonts w:ascii="Arial" w:hAnsi="Arial" w:cs="Arial"/>
          <w:color w:val="000000" w:themeColor="text1"/>
          <w:sz w:val="22"/>
          <w:szCs w:val="22"/>
          <w:lang w:val="es-ES_tradnl"/>
        </w:rPr>
        <w:t xml:space="preserve"> escenarios</w:t>
      </w:r>
      <w:r w:rsidR="009133E1" w:rsidRPr="00D649FD">
        <w:rPr>
          <w:rFonts w:ascii="Arial" w:hAnsi="Arial" w:cs="Arial"/>
          <w:color w:val="000000" w:themeColor="text1"/>
          <w:sz w:val="22"/>
          <w:szCs w:val="22"/>
          <w:lang w:val="es-ES_tradnl"/>
        </w:rPr>
        <w:t>. Por ejemplo, en un</w:t>
      </w:r>
      <w:r w:rsidR="00A52FC0" w:rsidRPr="00D649FD">
        <w:rPr>
          <w:rFonts w:ascii="Arial" w:hAnsi="Arial" w:cs="Arial"/>
          <w:color w:val="000000" w:themeColor="text1"/>
          <w:sz w:val="22"/>
          <w:szCs w:val="22"/>
          <w:lang w:val="es-ES_tradnl"/>
        </w:rPr>
        <w:t>a</w:t>
      </w:r>
      <w:r w:rsidR="009133E1" w:rsidRPr="00D649FD">
        <w:rPr>
          <w:rFonts w:ascii="Arial" w:hAnsi="Arial" w:cs="Arial"/>
          <w:color w:val="000000" w:themeColor="text1"/>
          <w:sz w:val="22"/>
          <w:szCs w:val="22"/>
          <w:lang w:val="es-ES_tradnl"/>
        </w:rPr>
        <w:t xml:space="preserve"> consultoría, es posible exigir una experiencia mínima habilitante</w:t>
      </w:r>
      <w:r w:rsidR="00DB793B" w:rsidRPr="00D649FD">
        <w:rPr>
          <w:rFonts w:ascii="Arial" w:hAnsi="Arial" w:cs="Arial"/>
          <w:color w:val="000000" w:themeColor="text1"/>
          <w:sz w:val="22"/>
          <w:szCs w:val="22"/>
          <w:lang w:val="es-ES_tradnl"/>
        </w:rPr>
        <w:t>,</w:t>
      </w:r>
      <w:r w:rsidR="00892597" w:rsidRPr="00D649FD">
        <w:rPr>
          <w:rFonts w:ascii="Arial" w:hAnsi="Arial" w:cs="Arial"/>
          <w:color w:val="000000" w:themeColor="text1"/>
          <w:sz w:val="22"/>
          <w:szCs w:val="22"/>
          <w:lang w:val="es-ES_tradnl"/>
        </w:rPr>
        <w:t xml:space="preserve"> </w:t>
      </w:r>
      <w:r w:rsidR="0097411D" w:rsidRPr="00D649FD">
        <w:rPr>
          <w:rFonts w:ascii="Arial" w:hAnsi="Arial" w:cs="Arial"/>
          <w:color w:val="000000" w:themeColor="text1"/>
          <w:sz w:val="22"/>
          <w:szCs w:val="22"/>
          <w:lang w:val="es-ES_tradnl"/>
        </w:rPr>
        <w:t>así como</w:t>
      </w:r>
      <w:r w:rsidR="00892597" w:rsidRPr="00D649FD">
        <w:rPr>
          <w:rFonts w:ascii="Arial" w:hAnsi="Arial" w:cs="Arial"/>
          <w:color w:val="000000" w:themeColor="text1"/>
          <w:sz w:val="22"/>
          <w:szCs w:val="22"/>
          <w:lang w:val="es-ES_tradnl"/>
        </w:rPr>
        <w:t xml:space="preserve"> evaluar la experiencia</w:t>
      </w:r>
      <w:r w:rsidR="00DB793B" w:rsidRPr="00D649FD">
        <w:rPr>
          <w:rFonts w:ascii="Arial" w:hAnsi="Arial" w:cs="Arial"/>
          <w:color w:val="000000" w:themeColor="text1"/>
          <w:sz w:val="22"/>
          <w:szCs w:val="22"/>
          <w:lang w:val="es-ES_tradnl"/>
        </w:rPr>
        <w:t xml:space="preserve"> </w:t>
      </w:r>
      <w:r w:rsidR="005C1569" w:rsidRPr="00D649FD">
        <w:rPr>
          <w:rFonts w:ascii="Arial" w:hAnsi="Arial" w:cs="Arial"/>
          <w:color w:val="000000" w:themeColor="text1"/>
          <w:sz w:val="22"/>
          <w:szCs w:val="22"/>
          <w:lang w:val="es-ES_tradnl"/>
        </w:rPr>
        <w:t xml:space="preserve">del proponente </w:t>
      </w:r>
      <w:r w:rsidR="00DB793B" w:rsidRPr="00D649FD">
        <w:rPr>
          <w:rFonts w:ascii="Arial" w:hAnsi="Arial" w:cs="Arial"/>
          <w:color w:val="000000" w:themeColor="text1"/>
          <w:sz w:val="22"/>
          <w:szCs w:val="22"/>
          <w:lang w:val="es-ES_tradnl"/>
        </w:rPr>
        <w:t xml:space="preserve">bien sea con los mismos contratos que se acreditó el requisito de participación o con otros totalmente </w:t>
      </w:r>
      <w:r w:rsidR="00E35CD8" w:rsidRPr="00D649FD">
        <w:rPr>
          <w:rFonts w:ascii="Arial" w:hAnsi="Arial" w:cs="Arial"/>
          <w:color w:val="000000" w:themeColor="text1"/>
          <w:sz w:val="22"/>
          <w:szCs w:val="22"/>
          <w:lang w:val="es-ES_tradnl"/>
        </w:rPr>
        <w:t>diferentes</w:t>
      </w:r>
      <w:r w:rsidR="004C5EEA" w:rsidRPr="00D649FD">
        <w:rPr>
          <w:rFonts w:ascii="Arial" w:hAnsi="Arial" w:cs="Arial"/>
          <w:color w:val="000000" w:themeColor="text1"/>
          <w:sz w:val="22"/>
          <w:szCs w:val="22"/>
          <w:lang w:val="es-ES_tradnl"/>
        </w:rPr>
        <w:t xml:space="preserve">. Las opciones podrían </w:t>
      </w:r>
      <w:r w:rsidR="00543111" w:rsidRPr="00D649FD">
        <w:rPr>
          <w:rFonts w:ascii="Arial" w:hAnsi="Arial" w:cs="Arial"/>
          <w:color w:val="000000" w:themeColor="text1"/>
          <w:sz w:val="22"/>
          <w:szCs w:val="22"/>
          <w:lang w:val="es-ES_tradnl"/>
        </w:rPr>
        <w:t>multiplicarse</w:t>
      </w:r>
      <w:r w:rsidR="004C5EEA" w:rsidRPr="00D649FD">
        <w:rPr>
          <w:rFonts w:ascii="Arial" w:hAnsi="Arial" w:cs="Arial"/>
          <w:color w:val="000000" w:themeColor="text1"/>
          <w:sz w:val="22"/>
          <w:szCs w:val="22"/>
          <w:lang w:val="es-ES_tradnl"/>
        </w:rPr>
        <w:t xml:space="preserve"> para entidades exceptuadas, especialmente, cuando también deben aplicar </w:t>
      </w:r>
      <w:r w:rsidR="00BD4764" w:rsidRPr="00D649FD">
        <w:rPr>
          <w:rFonts w:ascii="Arial" w:hAnsi="Arial" w:cs="Arial"/>
          <w:color w:val="000000" w:themeColor="text1"/>
          <w:sz w:val="22"/>
          <w:szCs w:val="22"/>
          <w:lang w:val="es-ES_tradnl"/>
        </w:rPr>
        <w:t>el</w:t>
      </w:r>
      <w:r w:rsidR="004C5EEA" w:rsidRPr="00D649FD">
        <w:rPr>
          <w:rFonts w:ascii="Arial" w:hAnsi="Arial" w:cs="Arial"/>
          <w:color w:val="000000" w:themeColor="text1"/>
          <w:sz w:val="22"/>
          <w:szCs w:val="22"/>
          <w:lang w:val="es-ES_tradnl"/>
        </w:rPr>
        <w:t xml:space="preserve"> factor</w:t>
      </w:r>
      <w:r w:rsidR="00BD4764" w:rsidRPr="00D649FD">
        <w:rPr>
          <w:rFonts w:ascii="Arial" w:hAnsi="Arial" w:cs="Arial"/>
          <w:color w:val="000000" w:themeColor="text1"/>
          <w:sz w:val="22"/>
          <w:szCs w:val="22"/>
          <w:lang w:val="es-ES_tradnl"/>
        </w:rPr>
        <w:t xml:space="preserve"> de desempate analizado. E</w:t>
      </w:r>
      <w:r w:rsidR="00543111" w:rsidRPr="00D649FD">
        <w:rPr>
          <w:rFonts w:ascii="Arial" w:hAnsi="Arial" w:cs="Arial"/>
          <w:color w:val="000000" w:themeColor="text1"/>
          <w:sz w:val="22"/>
          <w:szCs w:val="22"/>
          <w:lang w:val="es-ES_tradnl"/>
        </w:rPr>
        <w:t xml:space="preserve">n este escenario, </w:t>
      </w:r>
      <w:r w:rsidR="00CA0F39" w:rsidRPr="00D649FD">
        <w:rPr>
          <w:rFonts w:ascii="Arial" w:hAnsi="Arial" w:cs="Arial"/>
          <w:color w:val="000000" w:themeColor="text1"/>
          <w:sz w:val="22"/>
          <w:szCs w:val="22"/>
          <w:lang w:val="es-ES_tradnl"/>
        </w:rPr>
        <w:t xml:space="preserve">para una obra pública, </w:t>
      </w:r>
      <w:r w:rsidR="006B3895" w:rsidRPr="00D649FD">
        <w:rPr>
          <w:rFonts w:ascii="Arial" w:hAnsi="Arial" w:cs="Arial"/>
          <w:color w:val="000000" w:themeColor="text1"/>
          <w:sz w:val="22"/>
          <w:szCs w:val="22"/>
          <w:lang w:val="es-ES_tradnl"/>
        </w:rPr>
        <w:t>es posible que la experiencia general</w:t>
      </w:r>
      <w:r w:rsidR="009141DD" w:rsidRPr="00D649FD">
        <w:rPr>
          <w:rFonts w:ascii="Arial" w:hAnsi="Arial" w:cs="Arial"/>
          <w:color w:val="000000" w:themeColor="text1"/>
          <w:sz w:val="22"/>
          <w:szCs w:val="22"/>
          <w:lang w:val="es-ES_tradnl"/>
        </w:rPr>
        <w:t xml:space="preserve"> sea el requisito habilitante </w:t>
      </w:r>
      <w:r w:rsidR="000019B5" w:rsidRPr="00D649FD">
        <w:rPr>
          <w:rFonts w:ascii="Arial" w:hAnsi="Arial" w:cs="Arial"/>
          <w:color w:val="000000" w:themeColor="text1"/>
          <w:sz w:val="22"/>
          <w:szCs w:val="22"/>
          <w:lang w:val="es-ES_tradnl"/>
        </w:rPr>
        <w:t>calificando</w:t>
      </w:r>
      <w:r w:rsidR="009141DD" w:rsidRPr="00D649FD">
        <w:rPr>
          <w:rFonts w:ascii="Arial" w:hAnsi="Arial" w:cs="Arial"/>
          <w:color w:val="000000" w:themeColor="text1"/>
          <w:sz w:val="22"/>
          <w:szCs w:val="22"/>
          <w:lang w:val="es-ES_tradnl"/>
        </w:rPr>
        <w:t xml:space="preserve"> </w:t>
      </w:r>
      <w:r w:rsidR="00CA0F39" w:rsidRPr="00D649FD">
        <w:rPr>
          <w:rFonts w:ascii="Arial" w:hAnsi="Arial" w:cs="Arial"/>
          <w:color w:val="000000" w:themeColor="text1"/>
          <w:sz w:val="22"/>
          <w:szCs w:val="22"/>
          <w:lang w:val="es-ES_tradnl"/>
        </w:rPr>
        <w:t xml:space="preserve">la específica </w:t>
      </w:r>
      <w:r w:rsidR="009141DD" w:rsidRPr="00D649FD">
        <w:rPr>
          <w:rFonts w:ascii="Arial" w:hAnsi="Arial" w:cs="Arial"/>
          <w:color w:val="000000" w:themeColor="text1"/>
          <w:sz w:val="22"/>
          <w:szCs w:val="22"/>
          <w:lang w:val="es-ES_tradnl"/>
        </w:rPr>
        <w:t>con puntos</w:t>
      </w:r>
      <w:r w:rsidR="000019B5" w:rsidRPr="00D649FD">
        <w:rPr>
          <w:rFonts w:ascii="Arial" w:hAnsi="Arial" w:cs="Arial"/>
          <w:color w:val="000000" w:themeColor="text1"/>
          <w:sz w:val="22"/>
          <w:szCs w:val="22"/>
          <w:lang w:val="es-ES_tradnl"/>
        </w:rPr>
        <w:t>,</w:t>
      </w:r>
      <w:r w:rsidR="001C5832" w:rsidRPr="00D649FD">
        <w:rPr>
          <w:rFonts w:ascii="Arial" w:hAnsi="Arial" w:cs="Arial"/>
          <w:color w:val="000000" w:themeColor="text1"/>
          <w:sz w:val="22"/>
          <w:szCs w:val="22"/>
          <w:lang w:val="es-ES_tradnl"/>
        </w:rPr>
        <w:t xml:space="preserve"> </w:t>
      </w:r>
      <w:r w:rsidR="00211586" w:rsidRPr="00D649FD">
        <w:rPr>
          <w:rFonts w:ascii="Arial" w:hAnsi="Arial" w:cs="Arial"/>
          <w:color w:val="000000" w:themeColor="text1"/>
          <w:sz w:val="22"/>
          <w:szCs w:val="22"/>
          <w:lang w:val="es-ES_tradnl"/>
        </w:rPr>
        <w:t>la cual –como en el caso anterior– podría acreditarse</w:t>
      </w:r>
      <w:r w:rsidR="001C5832" w:rsidRPr="00D649FD">
        <w:rPr>
          <w:rFonts w:ascii="Arial" w:hAnsi="Arial" w:cs="Arial"/>
          <w:color w:val="000000" w:themeColor="text1"/>
          <w:sz w:val="22"/>
          <w:szCs w:val="22"/>
          <w:lang w:val="es-ES_tradnl"/>
        </w:rPr>
        <w:t xml:space="preserve"> con los mismos </w:t>
      </w:r>
      <w:r w:rsidR="00A52FC0" w:rsidRPr="00D649FD">
        <w:rPr>
          <w:rFonts w:ascii="Arial" w:hAnsi="Arial" w:cs="Arial"/>
          <w:color w:val="000000" w:themeColor="text1"/>
          <w:sz w:val="22"/>
          <w:szCs w:val="22"/>
          <w:lang w:val="es-ES_tradnl"/>
        </w:rPr>
        <w:t>contratos</w:t>
      </w:r>
      <w:r w:rsidR="00211586" w:rsidRPr="00D649FD">
        <w:rPr>
          <w:rFonts w:ascii="Arial" w:hAnsi="Arial" w:cs="Arial"/>
          <w:color w:val="000000" w:themeColor="text1"/>
          <w:sz w:val="22"/>
          <w:szCs w:val="22"/>
          <w:lang w:val="es-ES_tradnl"/>
        </w:rPr>
        <w:t xml:space="preserve"> que certificaron la primera</w:t>
      </w:r>
      <w:r w:rsidR="00A52FC0" w:rsidRPr="00D649FD">
        <w:rPr>
          <w:rFonts w:ascii="Arial" w:hAnsi="Arial" w:cs="Arial"/>
          <w:color w:val="000000" w:themeColor="text1"/>
          <w:sz w:val="22"/>
          <w:szCs w:val="22"/>
          <w:lang w:val="es-ES_tradnl"/>
        </w:rPr>
        <w:t xml:space="preserve"> o con otros totalmente diferentes</w:t>
      </w:r>
      <w:r w:rsidR="00CA0F39" w:rsidRPr="00D649FD">
        <w:rPr>
          <w:rFonts w:ascii="Arial" w:hAnsi="Arial" w:cs="Arial"/>
          <w:color w:val="000000" w:themeColor="text1"/>
          <w:sz w:val="22"/>
          <w:szCs w:val="22"/>
          <w:lang w:val="es-ES_tradnl"/>
        </w:rPr>
        <w:t xml:space="preserve">. </w:t>
      </w:r>
    </w:p>
    <w:p w14:paraId="54202058" w14:textId="4D8BB8E7" w:rsidR="0015685F" w:rsidRPr="00D649FD" w:rsidRDefault="00E42306" w:rsidP="007C796C">
      <w:pPr>
        <w:spacing w:before="120" w:line="276" w:lineRule="auto"/>
        <w:ind w:firstLine="709"/>
        <w:jc w:val="both"/>
        <w:rPr>
          <w:rFonts w:ascii="Arial" w:hAnsi="Arial" w:cs="Arial"/>
          <w:color w:val="000000" w:themeColor="text1"/>
          <w:sz w:val="22"/>
          <w:szCs w:val="22"/>
        </w:rPr>
      </w:pPr>
      <w:r w:rsidRPr="00D649FD">
        <w:rPr>
          <w:rFonts w:ascii="Arial" w:hAnsi="Arial" w:cs="Arial"/>
          <w:color w:val="000000" w:themeColor="text1"/>
          <w:sz w:val="22"/>
          <w:szCs w:val="22"/>
          <w:lang w:val="es-ES_tradnl"/>
        </w:rPr>
        <w:t>Desde esta perspectiva</w:t>
      </w:r>
      <w:r w:rsidR="002014F4" w:rsidRPr="00D649FD">
        <w:rPr>
          <w:rFonts w:ascii="Arial" w:hAnsi="Arial" w:cs="Arial"/>
          <w:color w:val="000000" w:themeColor="text1"/>
          <w:sz w:val="22"/>
          <w:szCs w:val="22"/>
          <w:lang w:val="es-ES_tradnl"/>
        </w:rPr>
        <w:t xml:space="preserve">, </w:t>
      </w:r>
      <w:r w:rsidR="00D41C1E" w:rsidRPr="00D649FD">
        <w:rPr>
          <w:rFonts w:ascii="Arial" w:hAnsi="Arial" w:cs="Arial"/>
          <w:color w:val="000000" w:themeColor="text1"/>
          <w:sz w:val="22"/>
          <w:szCs w:val="22"/>
        </w:rPr>
        <w:t>en función de la</w:t>
      </w:r>
      <w:r w:rsidR="00D25105" w:rsidRPr="00D649FD">
        <w:rPr>
          <w:rFonts w:ascii="Arial" w:hAnsi="Arial" w:cs="Arial"/>
          <w:color w:val="000000" w:themeColor="text1"/>
          <w:sz w:val="22"/>
          <w:szCs w:val="22"/>
        </w:rPr>
        <w:t>s</w:t>
      </w:r>
      <w:r w:rsidR="00D41C1E" w:rsidRPr="00D649FD">
        <w:rPr>
          <w:rFonts w:ascii="Arial" w:hAnsi="Arial" w:cs="Arial"/>
          <w:color w:val="000000" w:themeColor="text1"/>
          <w:sz w:val="22"/>
          <w:szCs w:val="22"/>
        </w:rPr>
        <w:t xml:space="preserve"> particularidades del proceso contractual</w:t>
      </w:r>
      <w:r w:rsidR="002014F4" w:rsidRPr="00D649FD">
        <w:rPr>
          <w:rFonts w:ascii="Arial" w:hAnsi="Arial" w:cs="Arial"/>
          <w:color w:val="000000" w:themeColor="text1"/>
          <w:sz w:val="22"/>
          <w:szCs w:val="22"/>
          <w:lang w:val="es-ES_tradnl"/>
        </w:rPr>
        <w:t xml:space="preserve">, la sumatoria </w:t>
      </w:r>
      <w:r w:rsidR="00BE3B0C" w:rsidRPr="00D649FD">
        <w:rPr>
          <w:rFonts w:ascii="Arial" w:hAnsi="Arial" w:cs="Arial"/>
          <w:color w:val="000000" w:themeColor="text1"/>
          <w:sz w:val="22"/>
          <w:szCs w:val="22"/>
          <w:lang w:val="es-ES_tradnl"/>
        </w:rPr>
        <w:t xml:space="preserve">o no de la experiencia habilitante y evaluable depende </w:t>
      </w:r>
      <w:r w:rsidR="003A4501" w:rsidRPr="00D649FD">
        <w:rPr>
          <w:rFonts w:ascii="Arial" w:hAnsi="Arial" w:cs="Arial"/>
          <w:color w:val="000000" w:themeColor="text1"/>
          <w:sz w:val="22"/>
          <w:szCs w:val="22"/>
          <w:lang w:val="es-ES_tradnl"/>
        </w:rPr>
        <w:t>del criterio</w:t>
      </w:r>
      <w:r w:rsidR="00BE3B0C" w:rsidRPr="00D649FD">
        <w:rPr>
          <w:rFonts w:ascii="Arial" w:hAnsi="Arial" w:cs="Arial"/>
          <w:color w:val="000000" w:themeColor="text1"/>
          <w:sz w:val="22"/>
          <w:szCs w:val="22"/>
          <w:lang w:val="es-ES_tradnl"/>
        </w:rPr>
        <w:t xml:space="preserve"> que adopte la entidad </w:t>
      </w:r>
      <w:r w:rsidR="003A4501" w:rsidRPr="00D649FD">
        <w:rPr>
          <w:rFonts w:ascii="Arial" w:hAnsi="Arial" w:cs="Arial"/>
          <w:color w:val="000000" w:themeColor="text1"/>
          <w:sz w:val="22"/>
          <w:szCs w:val="22"/>
          <w:lang w:val="es-ES_tradnl"/>
        </w:rPr>
        <w:t xml:space="preserve">en el pliego de condiciones o documento equivalente. </w:t>
      </w:r>
      <w:r w:rsidR="002E5332" w:rsidRPr="00D649FD">
        <w:rPr>
          <w:rFonts w:ascii="Arial" w:hAnsi="Arial" w:cs="Arial"/>
          <w:color w:val="000000" w:themeColor="text1"/>
          <w:sz w:val="22"/>
          <w:szCs w:val="22"/>
          <w:lang w:val="es-ES_tradnl"/>
        </w:rPr>
        <w:t>T</w:t>
      </w:r>
      <w:r w:rsidR="003A4501" w:rsidRPr="00D649FD">
        <w:rPr>
          <w:rFonts w:ascii="Arial" w:hAnsi="Arial" w:cs="Arial"/>
          <w:color w:val="000000" w:themeColor="text1"/>
          <w:sz w:val="22"/>
          <w:szCs w:val="22"/>
          <w:lang w:val="es-ES_tradnl"/>
        </w:rPr>
        <w:t xml:space="preserve">ratándose de sometidas, </w:t>
      </w:r>
      <w:r w:rsidR="007001FA" w:rsidRPr="00D649FD">
        <w:rPr>
          <w:rFonts w:ascii="Arial" w:hAnsi="Arial" w:cs="Arial"/>
          <w:color w:val="000000" w:themeColor="text1"/>
          <w:sz w:val="22"/>
          <w:szCs w:val="22"/>
          <w:lang w:val="es-ES_tradnl"/>
        </w:rPr>
        <w:t>esta</w:t>
      </w:r>
      <w:r w:rsidR="002E5332" w:rsidRPr="00D649FD">
        <w:rPr>
          <w:rFonts w:ascii="Arial" w:hAnsi="Arial" w:cs="Arial"/>
          <w:color w:val="000000" w:themeColor="text1"/>
          <w:sz w:val="22"/>
          <w:szCs w:val="22"/>
          <w:lang w:val="es-ES_tradnl"/>
        </w:rPr>
        <w:t xml:space="preserve"> idea se fundamenta en </w:t>
      </w:r>
      <w:r w:rsidR="00836915" w:rsidRPr="00D649FD">
        <w:rPr>
          <w:rFonts w:ascii="Arial" w:hAnsi="Arial" w:cs="Arial"/>
          <w:color w:val="000000" w:themeColor="text1"/>
          <w:sz w:val="22"/>
          <w:szCs w:val="22"/>
          <w:lang w:val="es-ES_tradnl"/>
        </w:rPr>
        <w:t xml:space="preserve">el numeral </w:t>
      </w:r>
      <w:r w:rsidR="00FB04EF" w:rsidRPr="00D649FD">
        <w:rPr>
          <w:rFonts w:ascii="Arial" w:hAnsi="Arial" w:cs="Arial"/>
          <w:color w:val="000000" w:themeColor="text1"/>
          <w:sz w:val="22"/>
          <w:szCs w:val="22"/>
          <w:lang w:val="es-ES_tradnl"/>
        </w:rPr>
        <w:t xml:space="preserve">el numeral 3 del </w:t>
      </w:r>
      <w:r w:rsidR="006E18D7" w:rsidRPr="00D649FD">
        <w:rPr>
          <w:rFonts w:ascii="Arial" w:hAnsi="Arial" w:cs="Arial"/>
          <w:color w:val="000000" w:themeColor="text1"/>
          <w:sz w:val="22"/>
          <w:szCs w:val="22"/>
          <w:lang w:val="es-ES_tradnl"/>
        </w:rPr>
        <w:t xml:space="preserve">artículo </w:t>
      </w:r>
      <w:r w:rsidR="00FB04EF" w:rsidRPr="00D649FD">
        <w:rPr>
          <w:rFonts w:ascii="Arial" w:hAnsi="Arial" w:cs="Arial"/>
          <w:color w:val="000000" w:themeColor="text1"/>
          <w:sz w:val="22"/>
          <w:szCs w:val="22"/>
        </w:rPr>
        <w:t>2.2.1.1.2.1.3</w:t>
      </w:r>
      <w:r w:rsidR="00FB04EF" w:rsidRPr="00D649FD">
        <w:rPr>
          <w:rFonts w:ascii="Arial" w:hAnsi="Arial" w:cs="Arial"/>
          <w:color w:val="000000" w:themeColor="text1"/>
          <w:sz w:val="22"/>
          <w:szCs w:val="22"/>
          <w:lang w:val="es-ES_tradnl"/>
        </w:rPr>
        <w:t xml:space="preserve"> del Decreto 1082 de 2015</w:t>
      </w:r>
      <w:r w:rsidR="006E18D7" w:rsidRPr="00D649FD">
        <w:rPr>
          <w:rFonts w:ascii="Arial" w:hAnsi="Arial" w:cs="Arial"/>
          <w:color w:val="000000" w:themeColor="text1"/>
          <w:sz w:val="22"/>
          <w:szCs w:val="22"/>
          <w:lang w:val="es-ES_tradnl"/>
        </w:rPr>
        <w:t>,</w:t>
      </w:r>
      <w:r w:rsidR="002E5332" w:rsidRPr="00D649FD">
        <w:rPr>
          <w:rFonts w:ascii="Arial" w:hAnsi="Arial" w:cs="Arial"/>
          <w:color w:val="000000" w:themeColor="text1"/>
          <w:sz w:val="22"/>
          <w:szCs w:val="22"/>
          <w:lang w:val="es-ES_tradnl"/>
        </w:rPr>
        <w:t xml:space="preserve"> el cual</w:t>
      </w:r>
      <w:r w:rsidR="006E18D7" w:rsidRPr="00D649FD">
        <w:rPr>
          <w:rFonts w:ascii="Arial" w:hAnsi="Arial" w:cs="Arial"/>
          <w:color w:val="000000" w:themeColor="text1"/>
          <w:sz w:val="22"/>
          <w:szCs w:val="22"/>
          <w:lang w:val="es-ES_tradnl"/>
        </w:rPr>
        <w:t xml:space="preserve"> dispone que los pliegos de condiciones regular</w:t>
      </w:r>
      <w:r w:rsidR="001906C7" w:rsidRPr="00D649FD">
        <w:rPr>
          <w:rFonts w:ascii="Arial" w:hAnsi="Arial" w:cs="Arial"/>
          <w:color w:val="000000" w:themeColor="text1"/>
          <w:sz w:val="22"/>
          <w:szCs w:val="22"/>
          <w:lang w:val="es-ES_tradnl"/>
        </w:rPr>
        <w:t>á</w:t>
      </w:r>
      <w:r w:rsidR="006E18D7" w:rsidRPr="00D649FD">
        <w:rPr>
          <w:rFonts w:ascii="Arial" w:hAnsi="Arial" w:cs="Arial"/>
          <w:color w:val="000000" w:themeColor="text1"/>
          <w:sz w:val="22"/>
          <w:szCs w:val="22"/>
          <w:lang w:val="es-ES_tradnl"/>
        </w:rPr>
        <w:t>n «</w:t>
      </w:r>
      <w:r w:rsidR="006E18D7" w:rsidRPr="00D649FD">
        <w:rPr>
          <w:rFonts w:ascii="Arial" w:hAnsi="Arial" w:cs="Arial"/>
          <w:color w:val="000000" w:themeColor="text1"/>
          <w:sz w:val="22"/>
          <w:szCs w:val="22"/>
        </w:rPr>
        <w:t>Los criterios de selección, incluyendo los factores de desempate y los incentivos cuando a ello haya lugar»</w:t>
      </w:r>
      <w:r w:rsidR="008A0142" w:rsidRPr="00D649FD">
        <w:rPr>
          <w:rFonts w:ascii="Arial" w:hAnsi="Arial" w:cs="Arial"/>
          <w:color w:val="000000" w:themeColor="text1"/>
          <w:sz w:val="22"/>
          <w:szCs w:val="22"/>
        </w:rPr>
        <w:t xml:space="preserve">. </w:t>
      </w:r>
      <w:r w:rsidR="002E5332" w:rsidRPr="00D649FD">
        <w:rPr>
          <w:rFonts w:ascii="Arial" w:hAnsi="Arial" w:cs="Arial"/>
          <w:color w:val="000000" w:themeColor="text1"/>
          <w:sz w:val="22"/>
          <w:szCs w:val="22"/>
        </w:rPr>
        <w:t>De esta manera</w:t>
      </w:r>
      <w:r w:rsidR="007001FA" w:rsidRPr="00D649FD">
        <w:rPr>
          <w:rFonts w:ascii="Arial" w:hAnsi="Arial" w:cs="Arial"/>
          <w:color w:val="000000" w:themeColor="text1"/>
          <w:sz w:val="22"/>
          <w:szCs w:val="22"/>
        </w:rPr>
        <w:t>,</w:t>
      </w:r>
      <w:r w:rsidR="002E5332" w:rsidRPr="00D649FD">
        <w:rPr>
          <w:rFonts w:ascii="Arial" w:hAnsi="Arial" w:cs="Arial"/>
          <w:color w:val="000000" w:themeColor="text1"/>
          <w:sz w:val="22"/>
          <w:szCs w:val="22"/>
        </w:rPr>
        <w:t xml:space="preserve"> el pliego </w:t>
      </w:r>
      <w:r w:rsidR="007001FA" w:rsidRPr="00D649FD">
        <w:rPr>
          <w:rFonts w:ascii="Arial" w:hAnsi="Arial" w:cs="Arial"/>
          <w:color w:val="000000" w:themeColor="text1"/>
          <w:sz w:val="22"/>
          <w:szCs w:val="22"/>
        </w:rPr>
        <w:t>puede</w:t>
      </w:r>
      <w:r w:rsidR="002E5332" w:rsidRPr="00D649FD">
        <w:rPr>
          <w:rFonts w:ascii="Arial" w:hAnsi="Arial" w:cs="Arial"/>
          <w:color w:val="000000" w:themeColor="text1"/>
          <w:sz w:val="22"/>
          <w:szCs w:val="22"/>
        </w:rPr>
        <w:t xml:space="preserve"> desarrollar </w:t>
      </w:r>
      <w:r w:rsidR="004D517A" w:rsidRPr="00D649FD">
        <w:rPr>
          <w:rFonts w:ascii="Arial" w:hAnsi="Arial" w:cs="Arial"/>
          <w:color w:val="000000" w:themeColor="text1"/>
          <w:sz w:val="22"/>
          <w:szCs w:val="22"/>
        </w:rPr>
        <w:t xml:space="preserve">los aspectos de detalle que no estén incluidos en la ley. </w:t>
      </w:r>
    </w:p>
    <w:p w14:paraId="70C09F85" w14:textId="59C889B2" w:rsidR="007C796C" w:rsidRPr="00D649FD" w:rsidRDefault="003D26AF" w:rsidP="007C796C">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rPr>
        <w:t>E</w:t>
      </w:r>
      <w:r w:rsidR="004D517A" w:rsidRPr="00D649FD">
        <w:rPr>
          <w:rFonts w:ascii="Arial" w:hAnsi="Arial" w:cs="Arial"/>
          <w:color w:val="000000" w:themeColor="text1"/>
          <w:sz w:val="22"/>
          <w:szCs w:val="22"/>
        </w:rPr>
        <w:t xml:space="preserve">l mismo criterio </w:t>
      </w:r>
      <w:r w:rsidR="007001FA" w:rsidRPr="00D649FD">
        <w:rPr>
          <w:rFonts w:ascii="Arial" w:hAnsi="Arial" w:cs="Arial"/>
          <w:color w:val="000000" w:themeColor="text1"/>
          <w:sz w:val="22"/>
          <w:szCs w:val="22"/>
        </w:rPr>
        <w:t>aplica</w:t>
      </w:r>
      <w:r w:rsidR="004D517A" w:rsidRPr="00D649FD">
        <w:rPr>
          <w:rFonts w:ascii="Arial" w:hAnsi="Arial" w:cs="Arial"/>
          <w:color w:val="000000" w:themeColor="text1"/>
          <w:sz w:val="22"/>
          <w:szCs w:val="22"/>
        </w:rPr>
        <w:t xml:space="preserve"> </w:t>
      </w:r>
      <w:r w:rsidR="00820908" w:rsidRPr="00D649FD">
        <w:rPr>
          <w:rFonts w:ascii="Arial" w:hAnsi="Arial" w:cs="Arial"/>
          <w:color w:val="000000" w:themeColor="text1"/>
          <w:sz w:val="22"/>
          <w:szCs w:val="22"/>
        </w:rPr>
        <w:t>en las exceptuadas para e</w:t>
      </w:r>
      <w:r w:rsidR="00C20443" w:rsidRPr="00D649FD">
        <w:rPr>
          <w:rFonts w:ascii="Arial" w:hAnsi="Arial" w:cs="Arial"/>
          <w:color w:val="000000" w:themeColor="text1"/>
          <w:sz w:val="22"/>
          <w:szCs w:val="22"/>
        </w:rPr>
        <w:t>l documento equivalente al pliego</w:t>
      </w:r>
      <w:r w:rsidR="00591488" w:rsidRPr="00D649FD">
        <w:rPr>
          <w:rFonts w:ascii="Arial" w:hAnsi="Arial" w:cs="Arial"/>
          <w:color w:val="000000" w:themeColor="text1"/>
          <w:sz w:val="22"/>
          <w:szCs w:val="22"/>
        </w:rPr>
        <w:t>, sin perjuicio de lo dispuesto en el manual de contratación</w:t>
      </w:r>
      <w:r w:rsidR="00B5748D" w:rsidRPr="00D649FD">
        <w:rPr>
          <w:rFonts w:ascii="Arial" w:hAnsi="Arial" w:cs="Arial"/>
          <w:color w:val="000000" w:themeColor="text1"/>
          <w:sz w:val="22"/>
          <w:szCs w:val="22"/>
        </w:rPr>
        <w:t xml:space="preserve">. Esto teniendo en cuenta que, conforme al artículo 13 de la Ley 1150 de 2007, </w:t>
      </w:r>
      <w:r w:rsidR="00B56704" w:rsidRPr="00D649FD">
        <w:rPr>
          <w:rFonts w:ascii="Arial" w:hAnsi="Arial" w:cs="Arial"/>
          <w:color w:val="000000" w:themeColor="text1"/>
          <w:sz w:val="22"/>
          <w:szCs w:val="22"/>
        </w:rPr>
        <w:t>las entidades</w:t>
      </w:r>
      <w:r w:rsidR="00F349E6" w:rsidRPr="00D649FD">
        <w:rPr>
          <w:rFonts w:ascii="Arial" w:hAnsi="Arial" w:cs="Arial"/>
          <w:color w:val="000000" w:themeColor="text1"/>
          <w:sz w:val="22"/>
          <w:szCs w:val="22"/>
        </w:rPr>
        <w:t xml:space="preserve"> excluidas de la Ley 80 de 1993</w:t>
      </w:r>
      <w:r w:rsidR="00B56704" w:rsidRPr="00D649FD">
        <w:rPr>
          <w:rFonts w:ascii="Arial" w:hAnsi="Arial" w:cs="Arial"/>
          <w:color w:val="000000" w:themeColor="text1"/>
          <w:sz w:val="22"/>
          <w:szCs w:val="22"/>
        </w:rPr>
        <w:t xml:space="preserve"> están sujetas a los principios de la función administrativa</w:t>
      </w:r>
      <w:r w:rsidR="00FC73C9" w:rsidRPr="00D649FD">
        <w:rPr>
          <w:rFonts w:ascii="Arial" w:hAnsi="Arial" w:cs="Arial"/>
          <w:color w:val="000000" w:themeColor="text1"/>
          <w:sz w:val="22"/>
          <w:szCs w:val="22"/>
        </w:rPr>
        <w:t xml:space="preserve">, por </w:t>
      </w:r>
      <w:r w:rsidR="00591488" w:rsidRPr="00D649FD">
        <w:rPr>
          <w:rFonts w:ascii="Arial" w:hAnsi="Arial" w:cs="Arial"/>
          <w:color w:val="000000" w:themeColor="text1"/>
          <w:sz w:val="22"/>
          <w:szCs w:val="22"/>
        </w:rPr>
        <w:t xml:space="preserve">lo </w:t>
      </w:r>
      <w:r w:rsidR="00FC73C9" w:rsidRPr="00D649FD">
        <w:rPr>
          <w:rFonts w:ascii="Arial" w:hAnsi="Arial" w:cs="Arial"/>
          <w:color w:val="000000" w:themeColor="text1"/>
          <w:sz w:val="22"/>
          <w:szCs w:val="22"/>
        </w:rPr>
        <w:t xml:space="preserve">que para garantizar la selección objetiva </w:t>
      </w:r>
      <w:r w:rsidR="00C60B83" w:rsidRPr="00D649FD">
        <w:rPr>
          <w:rFonts w:ascii="Arial" w:hAnsi="Arial" w:cs="Arial"/>
          <w:color w:val="000000" w:themeColor="text1"/>
          <w:sz w:val="22"/>
          <w:szCs w:val="22"/>
        </w:rPr>
        <w:t>también pueden concretar este aspecto</w:t>
      </w:r>
      <w:r w:rsidR="007237B8" w:rsidRPr="00D649FD">
        <w:rPr>
          <w:rFonts w:ascii="Arial" w:hAnsi="Arial" w:cs="Arial"/>
          <w:color w:val="000000" w:themeColor="text1"/>
          <w:sz w:val="22"/>
          <w:szCs w:val="22"/>
        </w:rPr>
        <w:t xml:space="preserve">, valorando la conveniencia de sumar o no </w:t>
      </w:r>
      <w:r w:rsidR="00820908" w:rsidRPr="00D649FD">
        <w:rPr>
          <w:rFonts w:ascii="Arial" w:hAnsi="Arial" w:cs="Arial"/>
          <w:color w:val="000000" w:themeColor="text1"/>
          <w:sz w:val="22"/>
          <w:szCs w:val="22"/>
        </w:rPr>
        <w:t>la experiencia habilitante y evaluable</w:t>
      </w:r>
      <w:r w:rsidR="007C796C" w:rsidRPr="00D649FD">
        <w:rPr>
          <w:rFonts w:ascii="Arial" w:hAnsi="Arial" w:cs="Arial"/>
          <w:color w:val="000000" w:themeColor="text1"/>
          <w:sz w:val="22"/>
          <w:szCs w:val="22"/>
          <w:lang w:val="es-ES_tradnl"/>
        </w:rPr>
        <w:t xml:space="preserve">. Sin embargo, </w:t>
      </w:r>
      <w:r w:rsidR="00C60B83" w:rsidRPr="00D649FD">
        <w:rPr>
          <w:rFonts w:ascii="Arial" w:hAnsi="Arial" w:cs="Arial"/>
          <w:color w:val="000000" w:themeColor="text1"/>
          <w:sz w:val="22"/>
          <w:szCs w:val="22"/>
          <w:lang w:val="es-ES_tradnl"/>
        </w:rPr>
        <w:t xml:space="preserve">se </w:t>
      </w:r>
      <w:r w:rsidR="007C796C" w:rsidRPr="00D649FD">
        <w:rPr>
          <w:rFonts w:ascii="Arial" w:hAnsi="Arial" w:cs="Arial"/>
          <w:color w:val="000000" w:themeColor="text1"/>
          <w:sz w:val="22"/>
          <w:szCs w:val="22"/>
          <w:lang w:val="es-ES_tradnl"/>
        </w:rPr>
        <w:t>advierte que este aspecto podría precisa</w:t>
      </w:r>
      <w:r w:rsidR="00C60B83" w:rsidRPr="00D649FD">
        <w:rPr>
          <w:rFonts w:ascii="Arial" w:hAnsi="Arial" w:cs="Arial"/>
          <w:color w:val="000000" w:themeColor="text1"/>
          <w:sz w:val="22"/>
          <w:szCs w:val="22"/>
          <w:lang w:val="es-ES_tradnl"/>
        </w:rPr>
        <w:t>rse</w:t>
      </w:r>
      <w:r w:rsidR="007C796C" w:rsidRPr="00D649FD">
        <w:rPr>
          <w:rFonts w:ascii="Arial" w:hAnsi="Arial" w:cs="Arial"/>
          <w:color w:val="000000" w:themeColor="text1"/>
          <w:sz w:val="22"/>
          <w:szCs w:val="22"/>
          <w:lang w:val="es-ES_tradnl"/>
        </w:rPr>
        <w:t xml:space="preserve"> en el decreto reglamentario que expida el gobierno nacional</w:t>
      </w:r>
      <w:r w:rsidR="0015685F" w:rsidRPr="00D649FD">
        <w:rPr>
          <w:rFonts w:ascii="Arial" w:hAnsi="Arial" w:cs="Arial"/>
          <w:color w:val="000000" w:themeColor="text1"/>
          <w:sz w:val="22"/>
          <w:szCs w:val="22"/>
          <w:lang w:val="es-ES_tradnl"/>
        </w:rPr>
        <w:t>.</w:t>
      </w:r>
      <w:r w:rsidR="00DC66D2" w:rsidRPr="00D649FD">
        <w:rPr>
          <w:rFonts w:ascii="Arial" w:hAnsi="Arial" w:cs="Arial"/>
          <w:color w:val="000000" w:themeColor="text1"/>
          <w:sz w:val="22"/>
          <w:szCs w:val="22"/>
          <w:lang w:val="es-ES_tradnl"/>
        </w:rPr>
        <w:t xml:space="preserve"> Si ello sucede</w:t>
      </w:r>
      <w:r w:rsidR="00470AD3" w:rsidRPr="00D649FD">
        <w:rPr>
          <w:rFonts w:ascii="Arial" w:hAnsi="Arial" w:cs="Arial"/>
          <w:color w:val="000000" w:themeColor="text1"/>
          <w:sz w:val="22"/>
          <w:szCs w:val="22"/>
          <w:lang w:val="es-ES_tradnl"/>
        </w:rPr>
        <w:t>,</w:t>
      </w:r>
      <w:r w:rsidR="0015685F" w:rsidRPr="00D649FD">
        <w:rPr>
          <w:rFonts w:ascii="Arial" w:hAnsi="Arial" w:cs="Arial"/>
          <w:color w:val="000000" w:themeColor="text1"/>
          <w:sz w:val="22"/>
          <w:szCs w:val="22"/>
          <w:lang w:val="es-ES_tradnl"/>
        </w:rPr>
        <w:t xml:space="preserve"> </w:t>
      </w:r>
      <w:r w:rsidR="007E1A10" w:rsidRPr="00D649FD">
        <w:rPr>
          <w:rFonts w:ascii="Arial" w:hAnsi="Arial" w:cs="Arial"/>
          <w:color w:val="000000" w:themeColor="text1"/>
          <w:sz w:val="22"/>
          <w:szCs w:val="22"/>
          <w:lang w:val="es-ES_tradnl"/>
        </w:rPr>
        <w:t>el criterio adoptado vincula</w:t>
      </w:r>
      <w:r w:rsidR="00470AD3" w:rsidRPr="00D649FD">
        <w:rPr>
          <w:rFonts w:ascii="Arial" w:hAnsi="Arial" w:cs="Arial"/>
          <w:color w:val="000000" w:themeColor="text1"/>
          <w:sz w:val="22"/>
          <w:szCs w:val="22"/>
          <w:lang w:val="es-ES_tradnl"/>
        </w:rPr>
        <w:t>rá</w:t>
      </w:r>
      <w:r w:rsidR="007E1A10" w:rsidRPr="00D649FD">
        <w:rPr>
          <w:rFonts w:ascii="Arial" w:hAnsi="Arial" w:cs="Arial"/>
          <w:color w:val="000000" w:themeColor="text1"/>
          <w:sz w:val="22"/>
          <w:szCs w:val="22"/>
          <w:lang w:val="es-ES_tradnl"/>
        </w:rPr>
        <w:t xml:space="preserve"> a todas las entidades</w:t>
      </w:r>
      <w:r w:rsidR="007237B8" w:rsidRPr="00D649FD">
        <w:rPr>
          <w:rFonts w:ascii="Arial" w:hAnsi="Arial" w:cs="Arial"/>
          <w:color w:val="000000" w:themeColor="text1"/>
          <w:sz w:val="22"/>
          <w:szCs w:val="22"/>
          <w:lang w:val="es-ES_tradnl"/>
        </w:rPr>
        <w:t xml:space="preserve"> que</w:t>
      </w:r>
      <w:r w:rsidR="007E1A10" w:rsidRPr="00D649FD">
        <w:rPr>
          <w:rFonts w:ascii="Arial" w:hAnsi="Arial" w:cs="Arial"/>
          <w:color w:val="000000" w:themeColor="text1"/>
          <w:sz w:val="22"/>
          <w:szCs w:val="22"/>
          <w:lang w:val="es-ES_tradnl"/>
        </w:rPr>
        <w:t xml:space="preserve"> </w:t>
      </w:r>
      <w:r w:rsidR="007237B8" w:rsidRPr="00D649FD">
        <w:rPr>
          <w:rFonts w:ascii="Arial" w:hAnsi="Arial" w:cs="Arial"/>
          <w:color w:val="000000" w:themeColor="text1"/>
          <w:sz w:val="22"/>
          <w:szCs w:val="22"/>
          <w:lang w:val="es-ES_tradnl"/>
        </w:rPr>
        <w:t>apliquen</w:t>
      </w:r>
      <w:r w:rsidR="00ED602E" w:rsidRPr="00D649FD">
        <w:rPr>
          <w:rFonts w:ascii="Arial" w:hAnsi="Arial" w:cs="Arial"/>
          <w:color w:val="000000" w:themeColor="text1"/>
          <w:sz w:val="22"/>
          <w:szCs w:val="22"/>
          <w:lang w:val="es-ES_tradnl"/>
        </w:rPr>
        <w:t xml:space="preserve"> este factor de desempate</w:t>
      </w:r>
      <w:r w:rsidR="007C796C" w:rsidRPr="00D649FD">
        <w:rPr>
          <w:rFonts w:ascii="Arial" w:hAnsi="Arial" w:cs="Arial"/>
          <w:color w:val="000000" w:themeColor="text1"/>
          <w:sz w:val="22"/>
          <w:szCs w:val="22"/>
          <w:lang w:val="es-ES_tradnl"/>
        </w:rPr>
        <w:t>.</w:t>
      </w:r>
    </w:p>
    <w:p w14:paraId="17D0FB07" w14:textId="09B30D8C" w:rsidR="009A39EE" w:rsidRPr="00D649FD" w:rsidRDefault="003D0A11" w:rsidP="00BD6D41">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sin perjuicio de lo que defina el reglamento,</w:t>
      </w:r>
      <w:r w:rsidR="006B3729" w:rsidRPr="00D649FD">
        <w:rPr>
          <w:rFonts w:ascii="Arial" w:eastAsia="Calibri" w:hAnsi="Arial" w:cs="Arial"/>
          <w:color w:val="000000" w:themeColor="text1"/>
          <w:sz w:val="22"/>
          <w:szCs w:val="22"/>
          <w:lang w:val="es-ES_tradnl"/>
        </w:rPr>
        <w:t xml:space="preserve"> también</w:t>
      </w:r>
      <w:r w:rsidRPr="00D649FD">
        <w:rPr>
          <w:rFonts w:ascii="Arial" w:eastAsia="Calibri" w:hAnsi="Arial" w:cs="Arial"/>
          <w:color w:val="000000" w:themeColor="text1"/>
          <w:sz w:val="22"/>
          <w:szCs w:val="22"/>
          <w:lang w:val="es-ES_tradnl"/>
        </w:rPr>
        <w:t xml:space="preserve"> existe la posibilidad de entender que esta causal aplica a todas las personas que </w:t>
      </w:r>
      <w:r w:rsidR="006B3729" w:rsidRPr="00D649FD">
        <w:rPr>
          <w:rFonts w:ascii="Arial" w:eastAsia="Calibri" w:hAnsi="Arial" w:cs="Arial"/>
          <w:color w:val="000000" w:themeColor="text1"/>
          <w:sz w:val="22"/>
          <w:szCs w:val="22"/>
          <w:lang w:val="es-ES_tradnl"/>
        </w:rPr>
        <w:t>–</w:t>
      </w:r>
      <w:r w:rsidRPr="00D649FD">
        <w:rPr>
          <w:rFonts w:ascii="Arial" w:eastAsia="Calibri" w:hAnsi="Arial" w:cs="Arial"/>
          <w:color w:val="000000" w:themeColor="text1"/>
          <w:sz w:val="22"/>
          <w:szCs w:val="22"/>
          <w:lang w:val="es-ES_tradnl"/>
        </w:rPr>
        <w:t xml:space="preserve">en el rango de edad correspondiente a cada </w:t>
      </w:r>
      <w:r w:rsidRPr="00D649FD">
        <w:rPr>
          <w:rFonts w:ascii="Arial" w:eastAsia="Calibri" w:hAnsi="Arial" w:cs="Arial"/>
          <w:color w:val="000000" w:themeColor="text1"/>
          <w:sz w:val="22"/>
          <w:szCs w:val="22"/>
          <w:lang w:val="es-ES_tradnl"/>
        </w:rPr>
        <w:lastRenderedPageBreak/>
        <w:t>género</w:t>
      </w:r>
      <w:r w:rsidR="006B3729" w:rsidRPr="00D649FD">
        <w:rPr>
          <w:rFonts w:ascii="Arial" w:eastAsia="Calibri" w:hAnsi="Arial" w:cs="Arial"/>
          <w:color w:val="000000" w:themeColor="text1"/>
          <w:sz w:val="22"/>
          <w:szCs w:val="22"/>
          <w:lang w:val="es-ES_tradnl"/>
        </w:rPr>
        <w:t>–</w:t>
      </w:r>
      <w:r w:rsidRPr="00D649FD">
        <w:rPr>
          <w:rFonts w:ascii="Arial" w:eastAsia="Calibri" w:hAnsi="Arial" w:cs="Arial"/>
          <w:color w:val="000000" w:themeColor="text1"/>
          <w:sz w:val="22"/>
          <w:szCs w:val="22"/>
          <w:lang w:val="es-ES_tradnl"/>
        </w:rPr>
        <w:t xml:space="preserve"> no han alcanzado la pensión,</w:t>
      </w:r>
      <w:r w:rsidR="006B3729" w:rsidRPr="00D649FD">
        <w:rPr>
          <w:rFonts w:ascii="Arial" w:eastAsia="Calibri" w:hAnsi="Arial" w:cs="Arial"/>
          <w:color w:val="000000" w:themeColor="text1"/>
          <w:sz w:val="22"/>
          <w:szCs w:val="22"/>
          <w:lang w:val="es-ES_tradnl"/>
        </w:rPr>
        <w:t xml:space="preserve"> interpretación que </w:t>
      </w:r>
      <w:r w:rsidR="00F90BCF" w:rsidRPr="00D649FD">
        <w:rPr>
          <w:rFonts w:ascii="Arial" w:eastAsia="Calibri" w:hAnsi="Arial" w:cs="Arial"/>
          <w:color w:val="000000" w:themeColor="text1"/>
          <w:sz w:val="22"/>
          <w:szCs w:val="22"/>
          <w:lang w:val="es-ES_tradnl"/>
        </w:rPr>
        <w:t>está mas ajustada</w:t>
      </w:r>
      <w:r w:rsidR="006B3729" w:rsidRPr="00D649FD">
        <w:rPr>
          <w:rFonts w:ascii="Arial" w:eastAsia="Calibri" w:hAnsi="Arial" w:cs="Arial"/>
          <w:color w:val="000000" w:themeColor="text1"/>
          <w:sz w:val="22"/>
          <w:szCs w:val="22"/>
          <w:lang w:val="es-ES_tradnl"/>
        </w:rPr>
        <w:t xml:space="preserve"> a</w:t>
      </w:r>
      <w:r w:rsidR="00303749" w:rsidRPr="00D649FD">
        <w:rPr>
          <w:rFonts w:ascii="Arial" w:eastAsia="Calibri" w:hAnsi="Arial" w:cs="Arial"/>
          <w:color w:val="000000" w:themeColor="text1"/>
          <w:sz w:val="22"/>
          <w:szCs w:val="22"/>
          <w:lang w:val="es-ES_tradnl"/>
        </w:rPr>
        <w:t>l principio de favorabilidad</w:t>
      </w:r>
      <w:r w:rsidR="0031713F" w:rsidRPr="00D649FD">
        <w:rPr>
          <w:rFonts w:ascii="Arial" w:eastAsia="Calibri" w:hAnsi="Arial" w:cs="Arial"/>
          <w:color w:val="000000" w:themeColor="text1"/>
          <w:sz w:val="22"/>
          <w:szCs w:val="22"/>
          <w:lang w:val="es-ES_tradnl"/>
        </w:rPr>
        <w:t>.</w:t>
      </w:r>
    </w:p>
    <w:p w14:paraId="659CE29C" w14:textId="6C6D0E1F" w:rsidR="00B24D9F" w:rsidRPr="00D649FD" w:rsidRDefault="00B24D9F" w:rsidP="00B24D9F">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002A625C" w:rsidRPr="00D649FD">
        <w:rPr>
          <w:rFonts w:ascii="Arial" w:hAnsi="Arial" w:cs="Arial"/>
          <w:color w:val="000000" w:themeColor="text1"/>
          <w:sz w:val="22"/>
          <w:szCs w:val="22"/>
          <w:lang w:val="es-ES_tradnl"/>
        </w:rPr>
        <w:t xml:space="preserve"> El reglamento podría establecer un método diferente, por ejemplo definiendo porcentajes, pero hasta ahora esto no ha sucedido.</w:t>
      </w:r>
    </w:p>
    <w:p w14:paraId="3917DFEC" w14:textId="50BEE673" w:rsidR="00B24D9F" w:rsidRPr="00D649FD" w:rsidRDefault="00446270" w:rsidP="00EF397D">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w:t>
      </w:r>
      <w:r w:rsidR="00E5768D" w:rsidRPr="00D649FD">
        <w:rPr>
          <w:rFonts w:ascii="Arial" w:hAnsi="Arial" w:cs="Arial"/>
          <w:color w:val="000000" w:themeColor="text1"/>
          <w:sz w:val="22"/>
          <w:szCs w:val="22"/>
          <w:lang w:val="es-ES_tradnl"/>
        </w:rPr>
        <w:t>se</w:t>
      </w:r>
      <w:r w:rsidRPr="00D649FD">
        <w:rPr>
          <w:rFonts w:ascii="Arial" w:hAnsi="Arial" w:cs="Arial"/>
          <w:color w:val="000000" w:themeColor="text1"/>
          <w:sz w:val="22"/>
          <w:szCs w:val="22"/>
          <w:lang w:val="es-ES_tradnl"/>
        </w:rPr>
        <w:t xml:space="preserve"> del factor de desempate.</w:t>
      </w:r>
      <w:r w:rsidR="002B0D83" w:rsidRPr="00D649FD">
        <w:rPr>
          <w:rFonts w:ascii="Arial" w:hAnsi="Arial" w:cs="Arial"/>
          <w:color w:val="000000" w:themeColor="text1"/>
          <w:sz w:val="22"/>
          <w:szCs w:val="22"/>
          <w:lang w:val="es-ES_tradnl"/>
        </w:rPr>
        <w:t xml:space="preserve"> La norma guarda silencio sobre la acreditación de la condición que da lugar </w:t>
      </w:r>
      <w:r w:rsidR="008E7471" w:rsidRPr="00D649FD">
        <w:rPr>
          <w:rFonts w:ascii="Arial" w:hAnsi="Arial" w:cs="Arial"/>
          <w:color w:val="000000" w:themeColor="text1"/>
          <w:sz w:val="22"/>
          <w:szCs w:val="22"/>
          <w:lang w:val="es-ES_tradnl"/>
        </w:rPr>
        <w:t>a</w:t>
      </w:r>
      <w:r w:rsidR="002B0D83" w:rsidRPr="00D649FD">
        <w:rPr>
          <w:rFonts w:ascii="Arial" w:hAnsi="Arial" w:cs="Arial"/>
          <w:color w:val="000000" w:themeColor="text1"/>
          <w:sz w:val="22"/>
          <w:szCs w:val="22"/>
          <w:lang w:val="es-ES_tradnl"/>
        </w:rPr>
        <w:t xml:space="preserve">l factor de desempate. Por tanto, esta </w:t>
      </w:r>
      <w:r w:rsidR="003658F2" w:rsidRPr="00D649FD">
        <w:rPr>
          <w:rFonts w:ascii="Arial" w:hAnsi="Arial" w:cs="Arial"/>
          <w:color w:val="000000" w:themeColor="text1"/>
          <w:sz w:val="22"/>
          <w:szCs w:val="22"/>
          <w:lang w:val="es-ES_tradnl"/>
        </w:rPr>
        <w:t>Agencia</w:t>
      </w:r>
      <w:r w:rsidR="002B0D83" w:rsidRPr="00D649FD">
        <w:rPr>
          <w:rFonts w:ascii="Arial" w:hAnsi="Arial" w:cs="Arial"/>
          <w:color w:val="000000" w:themeColor="text1"/>
          <w:sz w:val="22"/>
          <w:szCs w:val="22"/>
          <w:lang w:val="es-ES_tradnl"/>
        </w:rPr>
        <w:t xml:space="preserve"> considera que, sin perjuicio de que el reglamento que expida el gobierno nacional determine un medio de acreditación especial, existe libertad probatoria sobre el tema. En consecuencia, la entidad contratante puede determinar en el pliego de condiciones</w:t>
      </w:r>
      <w:r w:rsidR="007C7E15" w:rsidRPr="00D649FD">
        <w:rPr>
          <w:rFonts w:ascii="Arial" w:hAnsi="Arial" w:cs="Arial"/>
          <w:color w:val="000000" w:themeColor="text1"/>
          <w:sz w:val="22"/>
          <w:szCs w:val="22"/>
          <w:lang w:val="es-ES_tradnl"/>
        </w:rPr>
        <w:t xml:space="preserve"> o documento equivalente </w:t>
      </w:r>
      <w:r w:rsidR="002B0D83" w:rsidRPr="00D649FD">
        <w:rPr>
          <w:rFonts w:ascii="Arial" w:hAnsi="Arial" w:cs="Arial"/>
          <w:color w:val="000000" w:themeColor="text1"/>
          <w:sz w:val="22"/>
          <w:szCs w:val="22"/>
          <w:lang w:val="es-ES_tradnl"/>
        </w:rPr>
        <w:t xml:space="preserve">cuál será el medio </w:t>
      </w:r>
      <w:r w:rsidR="008E7471" w:rsidRPr="00D649FD">
        <w:rPr>
          <w:rFonts w:ascii="Arial" w:hAnsi="Arial" w:cs="Arial"/>
          <w:color w:val="000000" w:themeColor="text1"/>
          <w:sz w:val="22"/>
          <w:szCs w:val="22"/>
          <w:lang w:val="es-ES_tradnl"/>
        </w:rPr>
        <w:t>para</w:t>
      </w:r>
      <w:r w:rsidR="002B0D83" w:rsidRPr="00D649FD">
        <w:rPr>
          <w:rFonts w:ascii="Arial" w:hAnsi="Arial" w:cs="Arial"/>
          <w:color w:val="000000" w:themeColor="text1"/>
          <w:sz w:val="22"/>
          <w:szCs w:val="22"/>
          <w:lang w:val="es-ES_tradnl"/>
        </w:rPr>
        <w:t xml:space="preserve"> evidenciar la vinculación de las personas mayores por parte del oferente.</w:t>
      </w:r>
    </w:p>
    <w:p w14:paraId="469BADE2" w14:textId="0EC3CCE7" w:rsidR="00DB52D2" w:rsidRPr="00D649FD" w:rsidRDefault="00DB52D2" w:rsidP="00DB52D2">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w:t>
      </w:r>
      <w:r w:rsidR="00281885" w:rsidRPr="00D649FD">
        <w:rPr>
          <w:rFonts w:ascii="Arial" w:hAnsi="Arial" w:cs="Arial"/>
          <w:color w:val="000000" w:themeColor="text1"/>
          <w:sz w:val="22"/>
          <w:szCs w:val="22"/>
          <w:lang w:val="es-ES_tradnl"/>
        </w:rPr>
        <w:t>in</w:t>
      </w:r>
      <w:r w:rsidRPr="00D649FD">
        <w:rPr>
          <w:rFonts w:ascii="Arial" w:hAnsi="Arial" w:cs="Arial"/>
          <w:color w:val="000000" w:themeColor="text1"/>
          <w:sz w:val="22"/>
          <w:szCs w:val="22"/>
          <w:lang w:val="es-ES_tradnl"/>
        </w:rPr>
        <w:t>admisible la vinculación de dichas personas a través de otros tipos contractuales, como</w:t>
      </w:r>
      <w:r w:rsidR="005C5DB6" w:rsidRPr="00D649FD">
        <w:rPr>
          <w:rFonts w:ascii="Arial" w:hAnsi="Arial" w:cs="Arial"/>
          <w:color w:val="000000" w:themeColor="text1"/>
          <w:sz w:val="22"/>
          <w:szCs w:val="22"/>
          <w:lang w:val="es-ES_tradnl"/>
        </w:rPr>
        <w:t>,</w:t>
      </w:r>
      <w:r w:rsidRPr="00D649FD">
        <w:rPr>
          <w:rFonts w:ascii="Arial" w:hAnsi="Arial" w:cs="Arial"/>
          <w:color w:val="000000" w:themeColor="text1"/>
          <w:sz w:val="22"/>
          <w:szCs w:val="22"/>
          <w:lang w:val="es-ES_tradnl"/>
        </w:rPr>
        <w:t xml:space="preserve"> por ejemplo</w:t>
      </w:r>
      <w:r w:rsidR="005C5DB6" w:rsidRPr="00D649FD">
        <w:rPr>
          <w:rFonts w:ascii="Arial" w:hAnsi="Arial" w:cs="Arial"/>
          <w:color w:val="000000" w:themeColor="text1"/>
          <w:sz w:val="22"/>
          <w:szCs w:val="22"/>
          <w:lang w:val="es-ES_tradnl"/>
        </w:rPr>
        <w:t>,</w:t>
      </w:r>
      <w:r w:rsidRPr="00D649FD">
        <w:rPr>
          <w:rFonts w:ascii="Arial" w:hAnsi="Arial" w:cs="Arial"/>
          <w:color w:val="000000" w:themeColor="text1"/>
          <w:sz w:val="22"/>
          <w:szCs w:val="22"/>
          <w:lang w:val="es-ES_tradnl"/>
        </w:rPr>
        <w:t xml:space="preserve"> el contrato de prestación de servicios. </w:t>
      </w:r>
      <w:r w:rsidR="00DC7351" w:rsidRPr="00D649FD">
        <w:rPr>
          <w:rFonts w:ascii="Arial" w:hAnsi="Arial" w:cs="Arial"/>
          <w:color w:val="000000" w:themeColor="text1"/>
          <w:sz w:val="22"/>
          <w:szCs w:val="22"/>
          <w:lang w:val="es-ES_tradnl"/>
        </w:rPr>
        <w:t>Para estos efectos</w:t>
      </w:r>
      <w:r w:rsidR="00095251" w:rsidRPr="00D649FD">
        <w:rPr>
          <w:rFonts w:ascii="Arial" w:hAnsi="Arial" w:cs="Arial"/>
          <w:color w:val="000000" w:themeColor="text1"/>
          <w:sz w:val="22"/>
          <w:szCs w:val="22"/>
          <w:lang w:val="es-ES_tradnl"/>
        </w:rPr>
        <w:t xml:space="preserve">, la palabra </w:t>
      </w:r>
      <w:r w:rsidR="00DC7351" w:rsidRPr="00D649FD">
        <w:rPr>
          <w:rFonts w:ascii="Arial" w:hAnsi="Arial" w:cs="Arial"/>
          <w:color w:val="000000" w:themeColor="text1"/>
          <w:sz w:val="22"/>
          <w:szCs w:val="22"/>
          <w:lang w:val="es-ES_tradnl"/>
        </w:rPr>
        <w:t>«</w:t>
      </w:r>
      <w:r w:rsidR="00095251" w:rsidRPr="00D649FD">
        <w:rPr>
          <w:rFonts w:ascii="Arial" w:hAnsi="Arial" w:cs="Arial"/>
          <w:color w:val="000000" w:themeColor="text1"/>
          <w:sz w:val="22"/>
          <w:szCs w:val="22"/>
          <w:lang w:val="es-ES_tradnl"/>
        </w:rPr>
        <w:t>vinculación</w:t>
      </w:r>
      <w:r w:rsidR="00DC7351" w:rsidRPr="00D649FD">
        <w:rPr>
          <w:rFonts w:ascii="Arial" w:hAnsi="Arial" w:cs="Arial"/>
          <w:color w:val="000000" w:themeColor="text1"/>
          <w:sz w:val="22"/>
          <w:szCs w:val="22"/>
          <w:lang w:val="es-ES_tradnl"/>
        </w:rPr>
        <w:t>»</w:t>
      </w:r>
      <w:r w:rsidR="00095251" w:rsidRPr="00D649FD">
        <w:rPr>
          <w:rFonts w:ascii="Arial" w:hAnsi="Arial" w:cs="Arial"/>
          <w:color w:val="000000" w:themeColor="text1"/>
          <w:sz w:val="22"/>
          <w:szCs w:val="22"/>
          <w:lang w:val="es-ES_tradnl"/>
        </w:rPr>
        <w:t xml:space="preserve"> </w:t>
      </w:r>
      <w:r w:rsidR="00DC7351" w:rsidRPr="00D649FD">
        <w:rPr>
          <w:rFonts w:ascii="Arial" w:hAnsi="Arial" w:cs="Arial"/>
          <w:color w:val="000000" w:themeColor="text1"/>
          <w:sz w:val="22"/>
          <w:szCs w:val="22"/>
          <w:lang w:val="es-ES_tradnl"/>
        </w:rPr>
        <w:t>debe entenderse en concordancia con el parágrafo</w:t>
      </w:r>
      <w:r w:rsidR="00E15F83" w:rsidRPr="00D649FD">
        <w:rPr>
          <w:rFonts w:ascii="Arial" w:hAnsi="Arial" w:cs="Arial"/>
          <w:color w:val="000000" w:themeColor="text1"/>
          <w:sz w:val="22"/>
          <w:szCs w:val="22"/>
          <w:lang w:val="es-ES_tradnl"/>
        </w:rPr>
        <w:t xml:space="preserve"> 2 de la norma en comento, el cual dispone que «</w:t>
      </w:r>
      <w:r w:rsidR="00E15F83" w:rsidRPr="00D649FD">
        <w:rPr>
          <w:rFonts w:ascii="Arial" w:hAnsi="Arial" w:cs="Arial"/>
          <w:color w:val="000000" w:themeColor="text1"/>
          <w:sz w:val="22"/>
          <w:szCs w:val="22"/>
        </w:rPr>
        <w:t xml:space="preserve">Para los criterios enunciados que involucren la </w:t>
      </w:r>
      <w:r w:rsidR="00E15F83" w:rsidRPr="00D649FD">
        <w:rPr>
          <w:rFonts w:ascii="Arial" w:hAnsi="Arial" w:cs="Arial"/>
          <w:i/>
          <w:iCs/>
          <w:color w:val="000000" w:themeColor="text1"/>
          <w:sz w:val="22"/>
          <w:szCs w:val="22"/>
        </w:rPr>
        <w:t>vinculación de capital humano</w:t>
      </w:r>
      <w:r w:rsidR="00E15F83" w:rsidRPr="00D649FD">
        <w:rPr>
          <w:rFonts w:ascii="Arial" w:hAnsi="Arial" w:cs="Arial"/>
          <w:color w:val="000000" w:themeColor="text1"/>
          <w:sz w:val="22"/>
          <w:szCs w:val="22"/>
        </w:rPr>
        <w:t xml:space="preserve">, el oferente deberá acreditar una antigüedad igual o mayor a un año. Para los casos de constitución inferior a un año </w:t>
      </w:r>
      <w:r w:rsidR="00E15F83" w:rsidRPr="00D649FD">
        <w:rPr>
          <w:rFonts w:ascii="Arial" w:hAnsi="Arial" w:cs="Arial"/>
          <w:i/>
          <w:iCs/>
          <w:color w:val="000000" w:themeColor="text1"/>
          <w:sz w:val="22"/>
          <w:szCs w:val="22"/>
        </w:rPr>
        <w:t>se tendrá en cuenta a aquellos trabajadores</w:t>
      </w:r>
      <w:r w:rsidR="00E15F83" w:rsidRPr="00D649FD">
        <w:rPr>
          <w:rFonts w:ascii="Arial" w:hAnsi="Arial" w:cs="Arial"/>
          <w:color w:val="000000" w:themeColor="text1"/>
          <w:sz w:val="22"/>
          <w:szCs w:val="22"/>
        </w:rPr>
        <w:t xml:space="preserve"> que hayan estado vinculados desde el momento de constitución de la misma»</w:t>
      </w:r>
      <w:r w:rsidR="00926ECD" w:rsidRPr="00D649FD">
        <w:rPr>
          <w:rFonts w:ascii="Arial" w:hAnsi="Arial" w:cs="Arial"/>
          <w:color w:val="000000" w:themeColor="text1"/>
          <w:sz w:val="22"/>
          <w:szCs w:val="22"/>
        </w:rPr>
        <w:t xml:space="preserve"> (Énfasis fuera de texto)</w:t>
      </w:r>
      <w:r w:rsidR="00E15F83" w:rsidRPr="00D649FD">
        <w:rPr>
          <w:rFonts w:ascii="Arial" w:hAnsi="Arial" w:cs="Arial"/>
          <w:color w:val="000000" w:themeColor="text1"/>
          <w:sz w:val="22"/>
          <w:szCs w:val="22"/>
        </w:rPr>
        <w:t xml:space="preserve">. </w:t>
      </w:r>
      <w:r w:rsidR="00701E13" w:rsidRPr="00D649FD">
        <w:rPr>
          <w:rFonts w:ascii="Arial" w:hAnsi="Arial" w:cs="Arial"/>
          <w:color w:val="000000" w:themeColor="text1"/>
          <w:sz w:val="22"/>
          <w:szCs w:val="22"/>
        </w:rPr>
        <w:t xml:space="preserve">Como se observa la norma se refiere a la vinculación de trabajadores, lo cual excluye la posibilidad de acreditar el factor de desempate </w:t>
      </w:r>
      <w:r w:rsidR="00D4113E" w:rsidRPr="00D649FD">
        <w:rPr>
          <w:rFonts w:ascii="Arial" w:hAnsi="Arial" w:cs="Arial"/>
          <w:color w:val="000000" w:themeColor="text1"/>
          <w:sz w:val="22"/>
          <w:szCs w:val="22"/>
        </w:rPr>
        <w:t>con prestadores de servicios.</w:t>
      </w:r>
      <w:r w:rsidR="00701E13" w:rsidRPr="00D649FD">
        <w:rPr>
          <w:rFonts w:ascii="Arial" w:hAnsi="Arial" w:cs="Arial"/>
          <w:color w:val="000000" w:themeColor="text1"/>
          <w:sz w:val="22"/>
          <w:szCs w:val="22"/>
        </w:rPr>
        <w:t xml:space="preserve"> </w:t>
      </w:r>
      <w:r w:rsidR="00095251" w:rsidRPr="00D649FD">
        <w:rPr>
          <w:rFonts w:ascii="Arial" w:hAnsi="Arial" w:cs="Arial"/>
          <w:color w:val="000000" w:themeColor="text1"/>
          <w:sz w:val="22"/>
          <w:szCs w:val="22"/>
          <w:lang w:val="es-ES_tradnl"/>
        </w:rPr>
        <w:t xml:space="preserve"> </w:t>
      </w:r>
    </w:p>
    <w:p w14:paraId="18E7C7ED" w14:textId="77777777" w:rsidR="005C5DB6" w:rsidRPr="00D649FD" w:rsidRDefault="003709E8" w:rsidP="00C0167E">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 xml:space="preserve">Frente al numeral 6 del artículo 35 de la Ley </w:t>
      </w:r>
      <w:r w:rsidR="007B209C" w:rsidRPr="00D649FD">
        <w:rPr>
          <w:rFonts w:ascii="Arial" w:eastAsia="Calibri" w:hAnsi="Arial" w:cs="Arial"/>
          <w:color w:val="000000" w:themeColor="text1"/>
          <w:sz w:val="22"/>
          <w:szCs w:val="22"/>
          <w:lang w:val="es-ES_tradnl"/>
        </w:rPr>
        <w:t>2069</w:t>
      </w:r>
      <w:r w:rsidRPr="00D649FD">
        <w:rPr>
          <w:rFonts w:ascii="Arial" w:eastAsia="Calibri" w:hAnsi="Arial" w:cs="Arial"/>
          <w:color w:val="000000" w:themeColor="text1"/>
          <w:sz w:val="22"/>
          <w:szCs w:val="22"/>
          <w:lang w:val="es-ES_tradnl"/>
        </w:rPr>
        <w:t xml:space="preserve"> de 2020, que se refiere a las propuestas de «personas en proceso de reintegración o reincorporación», vale señalar que se trata de aquellas personas que hayan pertenecido a grupos al margen de la ley y que se </w:t>
      </w:r>
      <w:r w:rsidRPr="00D649FD">
        <w:rPr>
          <w:rFonts w:ascii="Arial" w:eastAsia="Calibri" w:hAnsi="Arial" w:cs="Arial"/>
          <w:color w:val="000000" w:themeColor="text1"/>
          <w:sz w:val="22"/>
          <w:szCs w:val="22"/>
          <w:lang w:val="es-ES_tradnl"/>
        </w:rPr>
        <w:lastRenderedPageBreak/>
        <w:t xml:space="preserve">encuentren en proceso de reintegración a la sociedad. </w:t>
      </w:r>
      <w:r w:rsidR="005C5DB6" w:rsidRPr="00D649FD">
        <w:rPr>
          <w:rFonts w:ascii="Arial" w:eastAsia="Calibri" w:hAnsi="Arial" w:cs="Arial"/>
          <w:color w:val="000000" w:themeColor="text1"/>
          <w:sz w:val="22"/>
          <w:szCs w:val="22"/>
          <w:lang w:val="es-ES_tradnl"/>
        </w:rPr>
        <w:t xml:space="preserve">Según la Agencia para la Reincorporación y la Normalización, «La Reintegración es una oferta de seis años y medio que el </w:t>
      </w:r>
      <w:r w:rsidR="005C5DB6" w:rsidRPr="00D649FD">
        <w:rPr>
          <w:rFonts w:ascii="Arial" w:eastAsia="Calibri" w:hAnsi="Arial" w:cs="Arial"/>
          <w:color w:val="000000" w:themeColor="text1"/>
          <w:sz w:val="22"/>
          <w:szCs w:val="22"/>
          <w:lang w:val="es-ES_tradnl"/>
        </w:rPr>
        <w:t>Estado colombiano, a través de la gestión que realiza la ARN, les ofrece a las personas desmovilizadas de los Grupos Armados Organizados al Margen de la Ley (GAOML), que no han cometido delitos de lesa humanidad, y que quieren reintegrarse a la vida social y económica»</w:t>
      </w:r>
      <w:r w:rsidR="005C5DB6" w:rsidRPr="00D649FD">
        <w:rPr>
          <w:rStyle w:val="Refdenotaalpie"/>
          <w:rFonts w:ascii="Arial" w:eastAsia="Calibri" w:hAnsi="Arial" w:cs="Arial"/>
          <w:color w:val="000000" w:themeColor="text1"/>
          <w:sz w:val="22"/>
          <w:szCs w:val="22"/>
          <w:lang w:val="es-ES_tradnl"/>
        </w:rPr>
        <w:footnoteReference w:id="14"/>
      </w:r>
      <w:r w:rsidR="005C5DB6" w:rsidRPr="00D649FD">
        <w:rPr>
          <w:rFonts w:ascii="Arial" w:eastAsia="Calibri" w:hAnsi="Arial" w:cs="Arial"/>
          <w:color w:val="000000" w:themeColor="text1"/>
          <w:sz w:val="22"/>
          <w:szCs w:val="22"/>
          <w:lang w:val="es-ES_tradnl"/>
        </w:rPr>
        <w:t>, mientras que «La Reincorporación es un proceso de estabilización socioeconómica de los excombatientes que entregaron sus armas, en el marco de la firma del Acuerdo Final entre el Estado y la Fuerzas Armadas Revolucionarias de Colombia - Ejército del Pueblo (</w:t>
      </w:r>
      <w:proofErr w:type="spellStart"/>
      <w:r w:rsidR="005C5DB6" w:rsidRPr="00D649FD">
        <w:rPr>
          <w:rFonts w:ascii="Arial" w:eastAsia="Calibri" w:hAnsi="Arial" w:cs="Arial"/>
          <w:color w:val="000000" w:themeColor="text1"/>
          <w:sz w:val="22"/>
          <w:szCs w:val="22"/>
          <w:lang w:val="es-ES_tradnl"/>
        </w:rPr>
        <w:t>Farc-Ep</w:t>
      </w:r>
      <w:proofErr w:type="spellEnd"/>
      <w:r w:rsidR="005C5DB6" w:rsidRPr="00D649FD">
        <w:rPr>
          <w:rFonts w:ascii="Arial" w:eastAsia="Calibri" w:hAnsi="Arial" w:cs="Arial"/>
          <w:color w:val="000000" w:themeColor="text1"/>
          <w:sz w:val="22"/>
          <w:szCs w:val="22"/>
          <w:lang w:val="es-ES_tradnl"/>
        </w:rPr>
        <w:t>)»</w:t>
      </w:r>
      <w:r w:rsidR="005C5DB6" w:rsidRPr="00D649FD">
        <w:rPr>
          <w:rStyle w:val="Refdenotaalpie"/>
          <w:rFonts w:ascii="Arial" w:eastAsia="Calibri" w:hAnsi="Arial" w:cs="Arial"/>
          <w:color w:val="000000" w:themeColor="text1"/>
          <w:sz w:val="22"/>
          <w:szCs w:val="22"/>
          <w:lang w:val="es-ES_tradnl"/>
        </w:rPr>
        <w:footnoteReference w:id="15"/>
      </w:r>
      <w:r w:rsidR="005C5DB6" w:rsidRPr="00D649FD">
        <w:rPr>
          <w:rFonts w:ascii="Arial" w:eastAsia="Calibri" w:hAnsi="Arial" w:cs="Arial"/>
          <w:color w:val="000000" w:themeColor="text1"/>
          <w:sz w:val="22"/>
          <w:szCs w:val="22"/>
          <w:lang w:val="es-ES_tradnl"/>
        </w:rPr>
        <w:t xml:space="preserve">. </w:t>
      </w:r>
    </w:p>
    <w:p w14:paraId="1F20FAEC" w14:textId="14BD7E03" w:rsidR="003709E8" w:rsidRPr="00D649FD" w:rsidRDefault="003709E8" w:rsidP="003709E8">
      <w:pPr>
        <w:spacing w:before="120" w:line="276" w:lineRule="auto"/>
        <w:ind w:firstLine="709"/>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La Agencia para la Reincorporación y la Normalización –ARN–, es la «</w:t>
      </w:r>
      <w:r w:rsidRPr="00D649FD">
        <w:rPr>
          <w:rFonts w:ascii="Arial" w:hAnsi="Arial" w:cs="Arial"/>
          <w:sz w:val="22"/>
          <w:szCs w:val="22"/>
          <w:lang w:val="es-ES_tradnl"/>
        </w:rPr>
        <w:t xml:space="preserve">[…] </w:t>
      </w:r>
      <w:r w:rsidRPr="00D649FD">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w:t>
      </w:r>
      <w:r w:rsidRPr="00D649FD">
        <w:rPr>
          <w:rStyle w:val="Refdenotaalpie"/>
          <w:rFonts w:ascii="Arial" w:eastAsia="Calibri" w:hAnsi="Arial" w:cs="Arial"/>
          <w:color w:val="000000" w:themeColor="text1"/>
          <w:sz w:val="22"/>
          <w:szCs w:val="22"/>
          <w:lang w:val="es-ES_tradnl"/>
        </w:rPr>
        <w:footnoteReference w:id="16"/>
      </w:r>
      <w:r w:rsidRPr="00D649FD">
        <w:rPr>
          <w:rFonts w:ascii="Arial" w:eastAsia="Calibri" w:hAnsi="Arial" w:cs="Arial"/>
          <w:color w:val="000000" w:themeColor="text1"/>
          <w:sz w:val="22"/>
          <w:szCs w:val="22"/>
          <w:lang w:val="es-ES_tradnl"/>
        </w:rPr>
        <w:t xml:space="preserve"> y, por tanto, ante ella se puede obtener información sobre la acreditación de dicha circunstancia.</w:t>
      </w:r>
    </w:p>
    <w:p w14:paraId="71E422D8" w14:textId="4497F2DC" w:rsidR="00B8101E" w:rsidRPr="00D649FD" w:rsidRDefault="00B8101E">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La </w:t>
      </w:r>
      <w:r w:rsidR="003658F2" w:rsidRPr="00D649FD">
        <w:rPr>
          <w:rFonts w:ascii="Arial" w:hAnsi="Arial" w:cs="Arial"/>
          <w:color w:val="000000" w:themeColor="text1"/>
          <w:sz w:val="22"/>
          <w:szCs w:val="22"/>
          <w:lang w:val="es-ES_tradnl"/>
        </w:rPr>
        <w:t>Agencia</w:t>
      </w:r>
      <w:r w:rsidRPr="00D649FD">
        <w:rPr>
          <w:rFonts w:ascii="Arial" w:hAnsi="Arial" w:cs="Arial"/>
          <w:color w:val="000000" w:themeColor="text1"/>
          <w:sz w:val="22"/>
          <w:szCs w:val="22"/>
          <w:lang w:val="es-ES_tradnl"/>
        </w:rPr>
        <w:t xml:space="preserve"> reitera que participar debe entenderse –a menos que el reglamento disponga lo contrario– como tomar parte en la sociedad o proponente plural, </w:t>
      </w:r>
      <w:r w:rsidR="00DD6FC5" w:rsidRPr="00D649FD">
        <w:rPr>
          <w:rFonts w:ascii="Arial" w:hAnsi="Arial" w:cs="Arial"/>
          <w:color w:val="000000" w:themeColor="text1"/>
          <w:sz w:val="22"/>
          <w:szCs w:val="22"/>
          <w:lang w:val="es-ES_tradnl"/>
        </w:rPr>
        <w:t>de acuerdo con el</w:t>
      </w:r>
      <w:r w:rsidRPr="00D649FD">
        <w:rPr>
          <w:rFonts w:ascii="Arial" w:hAnsi="Arial" w:cs="Arial"/>
          <w:color w:val="000000" w:themeColor="text1"/>
          <w:sz w:val="22"/>
          <w:szCs w:val="22"/>
          <w:lang w:val="es-ES_tradnl"/>
        </w:rPr>
        <w:t xml:space="preserve"> aporte en dinero o trabajo. Esta misma acepción aplica para lo establecido en el numeral 6 del artículo 35 de la Ley </w:t>
      </w:r>
      <w:r w:rsidR="007B209C" w:rsidRPr="00D649FD">
        <w:rPr>
          <w:rFonts w:ascii="Arial" w:hAnsi="Arial" w:cs="Arial"/>
          <w:color w:val="000000" w:themeColor="text1"/>
          <w:sz w:val="22"/>
          <w:szCs w:val="22"/>
          <w:lang w:val="es-ES_tradnl"/>
        </w:rPr>
        <w:t>2069</w:t>
      </w:r>
      <w:r w:rsidRPr="00D649FD">
        <w:rPr>
          <w:rFonts w:ascii="Arial" w:hAnsi="Arial" w:cs="Arial"/>
          <w:color w:val="000000" w:themeColor="text1"/>
          <w:sz w:val="22"/>
          <w:szCs w:val="22"/>
          <w:lang w:val="es-ES_tradnl"/>
        </w:rPr>
        <w:t xml:space="preserve"> de 2020. Como se observa, no es la planta de personal, sino la participación en la persona jurídica o en el proponente plural lo</w:t>
      </w:r>
      <w:r w:rsidR="00C23AB5" w:rsidRPr="00D649FD">
        <w:rPr>
          <w:rFonts w:ascii="Arial" w:hAnsi="Arial" w:cs="Arial"/>
          <w:color w:val="000000" w:themeColor="text1"/>
          <w:sz w:val="22"/>
          <w:szCs w:val="22"/>
          <w:lang w:val="es-ES_tradnl"/>
        </w:rPr>
        <w:t xml:space="preserve"> </w:t>
      </w:r>
      <w:r w:rsidRPr="00D649FD">
        <w:rPr>
          <w:rFonts w:ascii="Arial" w:hAnsi="Arial" w:cs="Arial"/>
          <w:color w:val="000000" w:themeColor="text1"/>
          <w:sz w:val="22"/>
          <w:szCs w:val="22"/>
          <w:lang w:val="es-ES_tradnl"/>
        </w:rPr>
        <w:t xml:space="preserve">que se tiene en cuenta. </w:t>
      </w:r>
      <w:r w:rsidR="007465DD" w:rsidRPr="00D649FD">
        <w:rPr>
          <w:rFonts w:ascii="Arial" w:hAnsi="Arial" w:cs="Arial"/>
          <w:color w:val="000000" w:themeColor="text1"/>
          <w:sz w:val="22"/>
          <w:szCs w:val="22"/>
          <w:lang w:val="es-ES_tradnl"/>
        </w:rPr>
        <w:t>Frente a la coexistencia de causales</w:t>
      </w:r>
      <w:r w:rsidRPr="00D649FD">
        <w:rPr>
          <w:rFonts w:ascii="Arial" w:hAnsi="Arial" w:cs="Arial"/>
          <w:color w:val="000000" w:themeColor="text1"/>
          <w:sz w:val="22"/>
          <w:szCs w:val="22"/>
          <w:lang w:val="es-ES_tradnl"/>
        </w:rPr>
        <w:t xml:space="preserve">, se debe aplicar lo que determina el parágrafo del artículo 35 de la mencionada Ley, según el cual «El Gobierno Nacional podrá reglamentar la aplicación de factores de desempate en casos en que concurran dos o más de los factores aquí previstos». </w:t>
      </w:r>
      <w:r w:rsidR="00683329" w:rsidRPr="00D649FD">
        <w:rPr>
          <w:rFonts w:ascii="Arial" w:hAnsi="Arial" w:cs="Arial"/>
          <w:color w:val="000000" w:themeColor="text1"/>
          <w:sz w:val="22"/>
          <w:szCs w:val="22"/>
          <w:lang w:val="es-ES_tradnl"/>
        </w:rPr>
        <w:t xml:space="preserve">En ausencia de esta reglamentación, conforme al inciso primero de la norma citada, las entidades deberán aplicar los factores de desempate en forma sucesiva y excluyente. </w:t>
      </w:r>
    </w:p>
    <w:p w14:paraId="5B320C85" w14:textId="0D154AA3" w:rsidR="00320C2A" w:rsidRPr="00D649FD" w:rsidRDefault="001F2C47" w:rsidP="00C96331">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En lo que respecta al numeral 7 del artículo 35 de la Ley </w:t>
      </w:r>
      <w:r w:rsidR="007B209C" w:rsidRPr="00D649FD">
        <w:rPr>
          <w:rFonts w:ascii="Arial" w:hAnsi="Arial" w:cs="Arial"/>
          <w:color w:val="000000" w:themeColor="text1"/>
          <w:sz w:val="22"/>
          <w:szCs w:val="22"/>
          <w:lang w:val="es-ES_tradnl"/>
        </w:rPr>
        <w:t>2069</w:t>
      </w:r>
      <w:r w:rsidRPr="00D649FD">
        <w:rPr>
          <w:rFonts w:ascii="Arial" w:hAnsi="Arial" w:cs="Arial"/>
          <w:color w:val="000000" w:themeColor="text1"/>
          <w:sz w:val="22"/>
          <w:szCs w:val="22"/>
          <w:lang w:val="es-ES_tradnl"/>
        </w:rPr>
        <w:t xml:space="preserve"> de 2020, y </w:t>
      </w:r>
      <w:r w:rsidR="00FD6675" w:rsidRPr="00D649FD">
        <w:rPr>
          <w:rFonts w:ascii="Arial" w:hAnsi="Arial" w:cs="Arial"/>
          <w:color w:val="000000" w:themeColor="text1"/>
          <w:sz w:val="22"/>
          <w:szCs w:val="22"/>
          <w:lang w:val="es-ES_tradnl"/>
        </w:rPr>
        <w:t>considerando</w:t>
      </w:r>
      <w:r w:rsidR="00435294" w:rsidRPr="00D649FD">
        <w:rPr>
          <w:rFonts w:ascii="Arial" w:hAnsi="Arial" w:cs="Arial"/>
          <w:color w:val="000000" w:themeColor="text1"/>
          <w:sz w:val="22"/>
          <w:szCs w:val="22"/>
          <w:lang w:val="es-ES_tradnl"/>
        </w:rPr>
        <w:t xml:space="preserve"> solo</w:t>
      </w:r>
      <w:r w:rsidR="00FD6675" w:rsidRPr="00D649FD">
        <w:rPr>
          <w:rFonts w:ascii="Arial" w:hAnsi="Arial" w:cs="Arial"/>
          <w:color w:val="000000" w:themeColor="text1"/>
          <w:sz w:val="22"/>
          <w:szCs w:val="22"/>
          <w:lang w:val="es-ES_tradnl"/>
        </w:rPr>
        <w:t xml:space="preserve"> las inquietudes formuladas en la consulta, debe aclararse que</w:t>
      </w:r>
      <w:r w:rsidR="00435294" w:rsidRPr="00D649FD">
        <w:rPr>
          <w:rFonts w:ascii="Arial" w:hAnsi="Arial" w:cs="Arial"/>
          <w:color w:val="000000" w:themeColor="text1"/>
          <w:sz w:val="22"/>
          <w:szCs w:val="22"/>
          <w:lang w:val="es-ES_tradnl"/>
        </w:rPr>
        <w:t>,</w:t>
      </w:r>
      <w:r w:rsidR="00FD6675" w:rsidRPr="00D649FD">
        <w:rPr>
          <w:rFonts w:ascii="Arial" w:hAnsi="Arial" w:cs="Arial"/>
          <w:color w:val="000000" w:themeColor="text1"/>
          <w:sz w:val="22"/>
          <w:szCs w:val="22"/>
          <w:lang w:val="es-ES_tradnl"/>
        </w:rPr>
        <w:t xml:space="preserve"> </w:t>
      </w:r>
      <w:r w:rsidR="00435294" w:rsidRPr="00D649FD">
        <w:rPr>
          <w:rFonts w:ascii="Arial" w:hAnsi="Arial" w:cs="Arial"/>
          <w:color w:val="000000" w:themeColor="text1"/>
          <w:sz w:val="22"/>
          <w:szCs w:val="22"/>
          <w:lang w:val="es-ES_tradnl"/>
        </w:rPr>
        <w:t xml:space="preserve">de acuerdo con el literal a), la oferta del proponente plural integrado por una persona jurídica solo es preferida –según dicho criterio de desempate–, i) si la participación de las mujeres cabeza de familia o personas en proceso de reincorporación o reintegración es mayoritaria, y si, además, ii) la persona jurídica participa por lo menos en un veinticinco por ciento (25%) en el proponente plural, verbigracia, en el consorcio o unión temporal. Una lectura detenida permite concluir </w:t>
      </w:r>
      <w:r w:rsidR="006E19DC" w:rsidRPr="00D649FD">
        <w:rPr>
          <w:rFonts w:ascii="Arial" w:hAnsi="Arial" w:cs="Arial"/>
          <w:color w:val="000000" w:themeColor="text1"/>
          <w:sz w:val="22"/>
          <w:szCs w:val="22"/>
          <w:lang w:val="es-ES_tradnl"/>
        </w:rPr>
        <w:t>la necesidad de</w:t>
      </w:r>
      <w:r w:rsidR="00435294" w:rsidRPr="00D649FD">
        <w:rPr>
          <w:rFonts w:ascii="Arial" w:hAnsi="Arial" w:cs="Arial"/>
          <w:color w:val="000000" w:themeColor="text1"/>
          <w:sz w:val="22"/>
          <w:szCs w:val="22"/>
          <w:lang w:val="es-ES_tradnl"/>
        </w:rPr>
        <w:t xml:space="preserve"> ambas condiciones.</w:t>
      </w:r>
      <w:r w:rsidR="00C96331" w:rsidRPr="00D649FD">
        <w:rPr>
          <w:rFonts w:ascii="Arial" w:hAnsi="Arial" w:cs="Arial"/>
          <w:color w:val="000000" w:themeColor="text1"/>
          <w:sz w:val="22"/>
          <w:szCs w:val="22"/>
          <w:lang w:val="es-ES_tradnl"/>
        </w:rPr>
        <w:t xml:space="preserve"> </w:t>
      </w:r>
      <w:r w:rsidR="006E19DC" w:rsidRPr="00D649FD">
        <w:rPr>
          <w:rFonts w:ascii="Arial" w:hAnsi="Arial" w:cs="Arial"/>
          <w:color w:val="000000" w:themeColor="text1"/>
          <w:sz w:val="22"/>
          <w:szCs w:val="22"/>
          <w:lang w:val="es-ES_tradnl"/>
        </w:rPr>
        <w:t>Incluso</w:t>
      </w:r>
      <w:r w:rsidR="00320C2A" w:rsidRPr="00D649FD">
        <w:rPr>
          <w:rFonts w:ascii="Arial" w:hAnsi="Arial" w:cs="Arial"/>
          <w:color w:val="000000" w:themeColor="text1"/>
          <w:sz w:val="22"/>
          <w:szCs w:val="22"/>
          <w:lang w:val="es-ES_tradnl"/>
        </w:rPr>
        <w:t>, el literal b)</w:t>
      </w:r>
      <w:r w:rsidR="006E19DC" w:rsidRPr="00D649FD">
        <w:rPr>
          <w:rFonts w:ascii="Arial" w:hAnsi="Arial" w:cs="Arial"/>
          <w:color w:val="000000" w:themeColor="text1"/>
          <w:sz w:val="22"/>
          <w:szCs w:val="22"/>
          <w:lang w:val="es-ES_tradnl"/>
        </w:rPr>
        <w:t xml:space="preserve"> agrega </w:t>
      </w:r>
      <w:r w:rsidR="00537136" w:rsidRPr="00D649FD">
        <w:rPr>
          <w:rFonts w:ascii="Arial" w:hAnsi="Arial" w:cs="Arial"/>
          <w:color w:val="000000" w:themeColor="text1"/>
          <w:sz w:val="22"/>
          <w:szCs w:val="22"/>
          <w:lang w:val="es-ES_tradnl"/>
        </w:rPr>
        <w:t>que este integrante debe aportar el veinticinco por ciento (25%) de la experiencia exigida</w:t>
      </w:r>
      <w:r w:rsidR="007717FF" w:rsidRPr="00D649FD">
        <w:rPr>
          <w:rFonts w:ascii="Arial" w:hAnsi="Arial" w:cs="Arial"/>
          <w:color w:val="000000" w:themeColor="text1"/>
          <w:sz w:val="22"/>
          <w:szCs w:val="22"/>
          <w:lang w:val="es-ES_tradnl"/>
        </w:rPr>
        <w:t>.</w:t>
      </w:r>
      <w:r w:rsidR="00537136" w:rsidRPr="00D649FD">
        <w:rPr>
          <w:rFonts w:ascii="Arial" w:hAnsi="Arial" w:cs="Arial"/>
          <w:color w:val="000000" w:themeColor="text1"/>
          <w:sz w:val="22"/>
          <w:szCs w:val="22"/>
          <w:lang w:val="es-ES_tradnl"/>
        </w:rPr>
        <w:t xml:space="preserve"> </w:t>
      </w:r>
      <w:r w:rsidR="00320C2A" w:rsidRPr="00D649FD">
        <w:rPr>
          <w:rFonts w:ascii="Arial" w:hAnsi="Arial" w:cs="Arial"/>
          <w:color w:val="000000" w:themeColor="text1"/>
          <w:sz w:val="22"/>
          <w:szCs w:val="22"/>
          <w:lang w:val="es-ES_tradnl"/>
        </w:rPr>
        <w:t xml:space="preserve"> </w:t>
      </w:r>
    </w:p>
    <w:p w14:paraId="5503C201" w14:textId="77777777" w:rsidR="00320C2A" w:rsidRPr="00D649FD" w:rsidRDefault="00320C2A" w:rsidP="00C96331">
      <w:pPr>
        <w:spacing w:before="120" w:line="276" w:lineRule="auto"/>
        <w:ind w:firstLine="709"/>
        <w:jc w:val="both"/>
        <w:rPr>
          <w:rFonts w:ascii="Arial" w:hAnsi="Arial" w:cs="Arial"/>
          <w:color w:val="000000" w:themeColor="text1"/>
          <w:sz w:val="22"/>
          <w:szCs w:val="22"/>
          <w:lang w:val="es-ES_tradnl"/>
        </w:rPr>
      </w:pPr>
    </w:p>
    <w:p w14:paraId="4EEE35E9" w14:textId="0840E9E9" w:rsidR="00092DC2" w:rsidRPr="00D649FD" w:rsidRDefault="007717FF" w:rsidP="00C96331">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Por su parte</w:t>
      </w:r>
      <w:r w:rsidR="00266316" w:rsidRPr="00D649FD">
        <w:rPr>
          <w:rFonts w:ascii="Arial" w:hAnsi="Arial" w:cs="Arial"/>
          <w:color w:val="000000" w:themeColor="text1"/>
          <w:sz w:val="22"/>
          <w:szCs w:val="22"/>
          <w:lang w:val="es-ES_tradnl"/>
        </w:rPr>
        <w:t xml:space="preserve">, lo que indica el literal c) del mismo numeral es que se debe preferir la oferta del proponente plural, si este cumple –entre varios requisitos– con la condición de que ni la madre cabeza de familia, ni la persona en proceso de reincorporación o reintegración, ni la persona jurídica, </w:t>
      </w:r>
      <w:r w:rsidR="00492844" w:rsidRPr="00D649FD">
        <w:rPr>
          <w:rFonts w:ascii="Arial" w:hAnsi="Arial" w:cs="Arial"/>
          <w:color w:val="000000" w:themeColor="text1"/>
          <w:sz w:val="22"/>
          <w:szCs w:val="22"/>
          <w:lang w:val="es-ES_tradnl"/>
        </w:rPr>
        <w:t>n</w:t>
      </w:r>
      <w:r w:rsidR="00266316" w:rsidRPr="00D649FD">
        <w:rPr>
          <w:rFonts w:ascii="Arial" w:hAnsi="Arial" w:cs="Arial"/>
          <w:color w:val="000000" w:themeColor="text1"/>
          <w:sz w:val="22"/>
          <w:szCs w:val="22"/>
          <w:lang w:val="es-ES_tradnl"/>
        </w:rPr>
        <w:t>i sus accionistas, socios o representantes legales «sean empleados, socios o accionistas de los miembros del proponente plural»</w:t>
      </w:r>
      <w:r w:rsidR="00491391" w:rsidRPr="00D649FD">
        <w:rPr>
          <w:rFonts w:ascii="Arial" w:hAnsi="Arial" w:cs="Arial"/>
          <w:color w:val="000000" w:themeColor="text1"/>
          <w:sz w:val="22"/>
          <w:szCs w:val="22"/>
          <w:lang w:val="es-ES_tradnl"/>
        </w:rPr>
        <w:t xml:space="preserve">. </w:t>
      </w:r>
      <w:r w:rsidR="005A4148" w:rsidRPr="00D649FD">
        <w:rPr>
          <w:rFonts w:ascii="Arial" w:hAnsi="Arial" w:cs="Arial"/>
          <w:color w:val="000000" w:themeColor="text1"/>
          <w:sz w:val="22"/>
          <w:szCs w:val="22"/>
          <w:lang w:val="es-ES_tradnl"/>
        </w:rPr>
        <w:t>Es decir, que no sean empleados, socios o accionistas de los integrantes del consorcio o la unión temporal, sin perjuicio de su participación en la estructura plural. Así, por ejemplo, la madre cabeza de familia no podrá ser empleada de la «sociedad A» con la que integra un consorcio, pero sí deberá tener una participación independiente en este y aportarle su experiencia, lo cual es bien diferente a ser socia, accionista o empleada de uno de los miembros de dicho proponente plural.</w:t>
      </w:r>
    </w:p>
    <w:p w14:paraId="70161A95" w14:textId="359C7982" w:rsidR="00C96331" w:rsidRPr="00D649FD" w:rsidRDefault="00C96331" w:rsidP="00C96331">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Además, se precisa que el numera</w:t>
      </w:r>
      <w:r w:rsidRPr="00D649FD">
        <w:rPr>
          <w:rFonts w:ascii="Arial" w:hAnsi="Arial" w:cs="Arial"/>
          <w:color w:val="000000" w:themeColor="text1"/>
          <w:sz w:val="22"/>
          <w:szCs w:val="22"/>
          <w:lang w:val="es-ES_tradnl"/>
        </w:rPr>
        <w:t xml:space="preserve">l 7 del artículo 35 de la Ley </w:t>
      </w:r>
      <w:r w:rsidR="007B209C" w:rsidRPr="00D649FD">
        <w:rPr>
          <w:rFonts w:ascii="Arial" w:hAnsi="Arial" w:cs="Arial"/>
          <w:color w:val="000000" w:themeColor="text1"/>
          <w:sz w:val="22"/>
          <w:szCs w:val="22"/>
          <w:lang w:val="es-ES_tradnl"/>
        </w:rPr>
        <w:t>2069</w:t>
      </w:r>
      <w:r w:rsidRPr="00D649FD">
        <w:rPr>
          <w:rFonts w:ascii="Arial" w:hAnsi="Arial" w:cs="Arial"/>
          <w:color w:val="000000" w:themeColor="text1"/>
          <w:sz w:val="22"/>
          <w:szCs w:val="22"/>
          <w:lang w:val="es-ES_tradnl"/>
        </w:rPr>
        <w:t xml:space="preserve"> de 2020, en efecto, tiene como sujeto del factor de desempate al proponente plural. Pero, si se observa lo establecido en los numerales 2 y 6, respectivamente, se advierte que en ellos se regula el supuesto de la persona jurídica que se presenta individualmente y en la cual participan mayoritariamente mujeres cabeza de familia o personas en proceso de reincorporación o reintegración.</w:t>
      </w:r>
    </w:p>
    <w:p w14:paraId="08005E80" w14:textId="77777777" w:rsidR="005F361A" w:rsidRPr="00D649FD" w:rsidRDefault="002A7D84" w:rsidP="00FD5443">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Finalmente, si bien los factores de desempate regulados en el artículo 35 deben aplicarse «</w:t>
      </w:r>
      <w:r w:rsidRPr="00D649FD">
        <w:rPr>
          <w:rFonts w:ascii="Arial" w:hAnsi="Arial" w:cs="Arial"/>
          <w:sz w:val="22"/>
          <w:szCs w:val="22"/>
          <w:lang w:val="es-ES_tradnl"/>
        </w:rPr>
        <w:t xml:space="preserve">[…] </w:t>
      </w:r>
      <w:r w:rsidRPr="00D649FD">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0A221ED7" w:rsidR="0016204B" w:rsidRPr="00D649FD" w:rsidRDefault="005F361A" w:rsidP="00AC4AD2">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S</w:t>
      </w:r>
      <w:r w:rsidR="00FD5443" w:rsidRPr="00D649FD">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D649FD">
        <w:rPr>
          <w:rFonts w:ascii="Arial" w:hAnsi="Arial" w:cs="Arial"/>
          <w:color w:val="000000" w:themeColor="text1"/>
          <w:sz w:val="22"/>
          <w:szCs w:val="22"/>
          <w:lang w:val="es-ES_tradnl"/>
        </w:rPr>
        <w:t>2069</w:t>
      </w:r>
      <w:r w:rsidR="00FD5443" w:rsidRPr="00D649FD">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D649FD">
        <w:rPr>
          <w:rFonts w:ascii="Arial" w:hAnsi="Arial" w:cs="Arial"/>
          <w:color w:val="000000" w:themeColor="text1"/>
          <w:sz w:val="22"/>
          <w:szCs w:val="22"/>
          <w:lang w:val="es-ES_tradnl"/>
        </w:rPr>
        <w:t xml:space="preserve"> </w:t>
      </w:r>
    </w:p>
    <w:p w14:paraId="7E83BEFA" w14:textId="77777777" w:rsidR="0060009C" w:rsidRPr="00D649FD"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D649FD" w:rsidRDefault="004177A6" w:rsidP="00510DE9">
      <w:pPr>
        <w:tabs>
          <w:tab w:val="left" w:pos="0"/>
        </w:tabs>
        <w:jc w:val="both"/>
        <w:rPr>
          <w:rFonts w:ascii="Arial" w:eastAsia="Calibri" w:hAnsi="Arial" w:cs="Arial"/>
          <w:b/>
          <w:color w:val="000000" w:themeColor="text1"/>
          <w:sz w:val="22"/>
          <w:lang w:val="es-ES_tradnl"/>
        </w:rPr>
      </w:pPr>
      <w:r w:rsidRPr="00D649FD">
        <w:rPr>
          <w:rFonts w:ascii="Arial" w:eastAsia="Calibri" w:hAnsi="Arial" w:cs="Arial"/>
          <w:b/>
          <w:color w:val="000000" w:themeColor="text1"/>
          <w:sz w:val="22"/>
          <w:lang w:val="es-ES_tradnl"/>
        </w:rPr>
        <w:t>3</w:t>
      </w:r>
      <w:r w:rsidR="00B011A9" w:rsidRPr="00D649FD">
        <w:rPr>
          <w:rFonts w:ascii="Arial" w:eastAsia="Calibri" w:hAnsi="Arial" w:cs="Arial"/>
          <w:b/>
          <w:color w:val="000000" w:themeColor="text1"/>
          <w:sz w:val="22"/>
          <w:lang w:val="es-ES_tradnl"/>
        </w:rPr>
        <w:t xml:space="preserve">. </w:t>
      </w:r>
      <w:r w:rsidR="00DD5B04" w:rsidRPr="00D649FD">
        <w:rPr>
          <w:rFonts w:ascii="Arial" w:eastAsia="Calibri" w:hAnsi="Arial" w:cs="Arial"/>
          <w:b/>
          <w:color w:val="000000" w:themeColor="text1"/>
          <w:sz w:val="22"/>
          <w:lang w:val="es-ES_tradnl"/>
        </w:rPr>
        <w:t>Respuesta</w:t>
      </w:r>
      <w:r w:rsidR="002A7D84" w:rsidRPr="00D649FD">
        <w:rPr>
          <w:rFonts w:ascii="Arial" w:eastAsia="Calibri" w:hAnsi="Arial" w:cs="Arial"/>
          <w:b/>
          <w:color w:val="000000" w:themeColor="text1"/>
          <w:sz w:val="22"/>
          <w:lang w:val="es-ES_tradnl"/>
        </w:rPr>
        <w:t>s</w:t>
      </w:r>
    </w:p>
    <w:p w14:paraId="0B74D5B8" w14:textId="3689AF3E" w:rsidR="00C4581D" w:rsidRPr="00D649FD" w:rsidRDefault="00C4581D" w:rsidP="00510DE9">
      <w:pPr>
        <w:tabs>
          <w:tab w:val="left" w:pos="0"/>
        </w:tabs>
        <w:jc w:val="both"/>
        <w:rPr>
          <w:rFonts w:ascii="Arial" w:eastAsia="Calibri" w:hAnsi="Arial" w:cs="Arial"/>
          <w:color w:val="000000" w:themeColor="text1"/>
          <w:sz w:val="22"/>
          <w:lang w:val="es-ES_tradnl"/>
        </w:rPr>
      </w:pPr>
    </w:p>
    <w:p w14:paraId="43A8E985" w14:textId="28BDB95B" w:rsidR="00D62088" w:rsidRPr="00D649FD" w:rsidRDefault="00D62088"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 xml:space="preserve">«1. Las entidades </w:t>
      </w:r>
      <w:proofErr w:type="spellStart"/>
      <w:r w:rsidRPr="00D649FD">
        <w:rPr>
          <w:rFonts w:ascii="Arial" w:hAnsi="Arial" w:cs="Arial"/>
          <w:color w:val="000000" w:themeColor="text1"/>
          <w:sz w:val="21"/>
          <w:szCs w:val="21"/>
          <w:lang w:val="es-ES_tradnl"/>
        </w:rPr>
        <w:t>pblicas</w:t>
      </w:r>
      <w:proofErr w:type="spellEnd"/>
      <w:r w:rsidRPr="00D649FD">
        <w:rPr>
          <w:rFonts w:ascii="Arial" w:hAnsi="Arial" w:cs="Arial"/>
          <w:color w:val="000000" w:themeColor="text1"/>
          <w:sz w:val="21"/>
          <w:szCs w:val="21"/>
          <w:lang w:val="es-ES_tradnl"/>
        </w:rPr>
        <w:t xml:space="preserve"> </w:t>
      </w:r>
      <w:proofErr w:type="spellStart"/>
      <w:r w:rsidRPr="00D649FD">
        <w:rPr>
          <w:rFonts w:ascii="Arial" w:hAnsi="Arial" w:cs="Arial"/>
          <w:color w:val="000000" w:themeColor="text1"/>
          <w:sz w:val="21"/>
          <w:szCs w:val="21"/>
          <w:lang w:val="es-ES_tradnl"/>
        </w:rPr>
        <w:t>tendran</w:t>
      </w:r>
      <w:proofErr w:type="spellEnd"/>
      <w:r w:rsidRPr="00D649FD">
        <w:rPr>
          <w:rFonts w:ascii="Arial" w:hAnsi="Arial" w:cs="Arial"/>
          <w:color w:val="000000" w:themeColor="text1"/>
          <w:sz w:val="21"/>
          <w:szCs w:val="21"/>
          <w:lang w:val="es-ES_tradnl"/>
        </w:rPr>
        <w:t xml:space="preserve"> la </w:t>
      </w:r>
      <w:proofErr w:type="spellStart"/>
      <w:r w:rsidRPr="00D649FD">
        <w:rPr>
          <w:rFonts w:ascii="Arial" w:hAnsi="Arial" w:cs="Arial"/>
          <w:color w:val="000000" w:themeColor="text1"/>
          <w:sz w:val="21"/>
          <w:szCs w:val="21"/>
          <w:lang w:val="es-ES_tradnl"/>
        </w:rPr>
        <w:t>autonomica</w:t>
      </w:r>
      <w:proofErr w:type="spellEnd"/>
      <w:r w:rsidRPr="00D649FD">
        <w:rPr>
          <w:rFonts w:ascii="Arial" w:hAnsi="Arial" w:cs="Arial"/>
          <w:color w:val="000000" w:themeColor="text1"/>
          <w:sz w:val="21"/>
          <w:szCs w:val="21"/>
          <w:lang w:val="es-ES_tradnl"/>
        </w:rPr>
        <w:t xml:space="preserve"> para disponer cualquiera de los 12 criterios </w:t>
      </w:r>
      <w:proofErr w:type="spellStart"/>
      <w:r w:rsidRPr="00D649FD">
        <w:rPr>
          <w:rFonts w:ascii="Arial" w:hAnsi="Arial" w:cs="Arial"/>
          <w:color w:val="000000" w:themeColor="text1"/>
          <w:sz w:val="21"/>
          <w:szCs w:val="21"/>
          <w:lang w:val="es-ES_tradnl"/>
        </w:rPr>
        <w:t>asi</w:t>
      </w:r>
      <w:proofErr w:type="spellEnd"/>
      <w:r w:rsidRPr="00D649FD">
        <w:rPr>
          <w:rFonts w:ascii="Arial" w:hAnsi="Arial" w:cs="Arial"/>
          <w:color w:val="000000" w:themeColor="text1"/>
          <w:sz w:val="21"/>
          <w:szCs w:val="21"/>
          <w:lang w:val="es-ES_tradnl"/>
        </w:rPr>
        <w:t>́ como establecer el orden de los mismos (sic)</w:t>
      </w:r>
      <w:r w:rsidR="00850B75" w:rsidRPr="00D649FD">
        <w:rPr>
          <w:rFonts w:ascii="Arial" w:hAnsi="Arial" w:cs="Arial"/>
          <w:color w:val="000000" w:themeColor="text1"/>
          <w:sz w:val="21"/>
          <w:szCs w:val="21"/>
          <w:lang w:val="es-ES_tradnl"/>
        </w:rPr>
        <w:t>»</w:t>
      </w:r>
      <w:r w:rsidR="00DF304D" w:rsidRPr="00D649FD">
        <w:rPr>
          <w:rFonts w:ascii="Arial" w:hAnsi="Arial" w:cs="Arial"/>
          <w:color w:val="000000" w:themeColor="text1"/>
          <w:sz w:val="21"/>
          <w:szCs w:val="21"/>
          <w:lang w:val="es-ES_tradnl"/>
        </w:rPr>
        <w:t>.</w:t>
      </w:r>
    </w:p>
    <w:p w14:paraId="421366F0" w14:textId="5AC10C85" w:rsidR="00D62088" w:rsidRPr="00D649FD" w:rsidRDefault="00D62088" w:rsidP="00850B75">
      <w:pPr>
        <w:ind w:right="709"/>
        <w:jc w:val="both"/>
        <w:rPr>
          <w:rFonts w:ascii="Arial" w:hAnsi="Arial" w:cs="Arial"/>
          <w:color w:val="000000" w:themeColor="text1"/>
          <w:sz w:val="21"/>
          <w:szCs w:val="21"/>
          <w:lang w:val="es-ES_tradnl"/>
        </w:rPr>
      </w:pPr>
    </w:p>
    <w:p w14:paraId="3B0A4400" w14:textId="3F83AA15" w:rsidR="00850B75" w:rsidRPr="00D649FD" w:rsidRDefault="00850B75" w:rsidP="00850B75">
      <w:pPr>
        <w:spacing w:line="276" w:lineRule="auto"/>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Los criterios de desempate </w:t>
      </w:r>
      <w:r w:rsidR="00DF304D" w:rsidRPr="00D649FD">
        <w:rPr>
          <w:rFonts w:ascii="Arial" w:hAnsi="Arial" w:cs="Arial"/>
          <w:color w:val="000000" w:themeColor="text1"/>
          <w:sz w:val="22"/>
          <w:szCs w:val="22"/>
          <w:lang w:val="es-ES_tradnl"/>
        </w:rPr>
        <w:t>d</w:t>
      </w:r>
      <w:r w:rsidRPr="00D649FD">
        <w:rPr>
          <w:rFonts w:ascii="Arial" w:hAnsi="Arial" w:cs="Arial"/>
          <w:color w:val="000000" w:themeColor="text1"/>
          <w:sz w:val="22"/>
          <w:szCs w:val="22"/>
          <w:lang w:val="es-ES_tradnl"/>
        </w:rPr>
        <w:t xml:space="preserve">el artículo 35 de la Ley 2069 de 2020 deben aplicarse </w:t>
      </w:r>
      <w:r w:rsidR="00AC7F29" w:rsidRPr="00D649FD">
        <w:rPr>
          <w:rFonts w:ascii="Arial" w:hAnsi="Arial" w:cs="Arial"/>
          <w:color w:val="000000" w:themeColor="text1"/>
          <w:sz w:val="22"/>
          <w:szCs w:val="22"/>
          <w:lang w:val="es-ES_tradnl"/>
        </w:rPr>
        <w:t>de la manera establecida en el primer inciso de dicha norma, es decir</w:t>
      </w:r>
      <w:r w:rsidR="00251E66" w:rsidRPr="00D649FD">
        <w:rPr>
          <w:rFonts w:ascii="Arial" w:hAnsi="Arial" w:cs="Arial"/>
          <w:color w:val="000000" w:themeColor="text1"/>
          <w:sz w:val="22"/>
          <w:szCs w:val="22"/>
          <w:lang w:val="es-ES_tradnl"/>
        </w:rPr>
        <w:t xml:space="preserve">, de </w:t>
      </w:r>
      <w:r w:rsidR="00737A4D" w:rsidRPr="00D649FD">
        <w:rPr>
          <w:rFonts w:ascii="Arial" w:hAnsi="Arial" w:cs="Arial"/>
          <w:color w:val="000000" w:themeColor="text1"/>
          <w:sz w:val="22"/>
          <w:szCs w:val="22"/>
          <w:lang w:val="es-ES_tradnl"/>
        </w:rPr>
        <w:t>forma</w:t>
      </w:r>
      <w:r w:rsidR="00251E66" w:rsidRPr="00D649FD">
        <w:rPr>
          <w:rFonts w:ascii="Arial" w:hAnsi="Arial" w:cs="Arial"/>
          <w:color w:val="000000" w:themeColor="text1"/>
          <w:sz w:val="22"/>
          <w:szCs w:val="22"/>
          <w:lang w:val="es-ES_tradnl"/>
        </w:rPr>
        <w:t xml:space="preserve"> reglada y no discrecional. En efecto</w:t>
      </w:r>
      <w:r w:rsidR="00380C7F" w:rsidRPr="00D649FD">
        <w:rPr>
          <w:rFonts w:ascii="Arial" w:hAnsi="Arial" w:cs="Arial"/>
          <w:color w:val="000000" w:themeColor="text1"/>
          <w:sz w:val="22"/>
          <w:szCs w:val="22"/>
          <w:lang w:val="es-ES_tradnl"/>
        </w:rPr>
        <w:t>, en el referido inciso se establece que «</w:t>
      </w:r>
      <w:r w:rsidR="00380C7F" w:rsidRPr="00D649FD">
        <w:rPr>
          <w:rFonts w:ascii="Arial" w:hAnsi="Arial" w:cs="Arial"/>
          <w:sz w:val="22"/>
          <w:szCs w:val="22"/>
        </w:rPr>
        <w:t xml:space="preserve">[…] </w:t>
      </w:r>
      <w:r w:rsidR="00380C7F" w:rsidRPr="00D649FD">
        <w:rPr>
          <w:rFonts w:ascii="Arial" w:hAnsi="Arial" w:cs="Arial"/>
          <w:color w:val="000000" w:themeColor="text1"/>
          <w:sz w:val="22"/>
          <w:szCs w:val="22"/>
          <w:lang w:val="es-ES_tradnl"/>
        </w:rPr>
        <w:t>el contratante deberá utilizar las siguientes reglas de forma sucesiva y excluyente para seleccionar al oferente favorecido, respetando en todo caso los compromisos internacionales vigentes».</w:t>
      </w:r>
      <w:r w:rsidR="004E67D0" w:rsidRPr="00D649FD">
        <w:rPr>
          <w:rFonts w:ascii="Arial" w:hAnsi="Arial" w:cs="Arial"/>
          <w:color w:val="000000" w:themeColor="text1"/>
          <w:sz w:val="22"/>
          <w:szCs w:val="22"/>
          <w:lang w:val="es-ES_tradnl"/>
        </w:rPr>
        <w:t xml:space="preserve"> Por lo tanto, las entidades</w:t>
      </w:r>
      <w:r w:rsidR="00737A4D" w:rsidRPr="00D649FD">
        <w:rPr>
          <w:rFonts w:ascii="Arial" w:hAnsi="Arial" w:cs="Arial"/>
          <w:color w:val="000000" w:themeColor="text1"/>
          <w:sz w:val="22"/>
          <w:szCs w:val="22"/>
          <w:lang w:val="es-ES_tradnl"/>
        </w:rPr>
        <w:t xml:space="preserve"> estatales</w:t>
      </w:r>
      <w:r w:rsidR="004E67D0" w:rsidRPr="00D649FD">
        <w:rPr>
          <w:rFonts w:ascii="Arial" w:hAnsi="Arial" w:cs="Arial"/>
          <w:color w:val="000000" w:themeColor="text1"/>
          <w:sz w:val="22"/>
          <w:szCs w:val="22"/>
          <w:lang w:val="es-ES_tradnl"/>
        </w:rPr>
        <w:t xml:space="preserve"> </w:t>
      </w:r>
      <w:r w:rsidR="00BC05B0" w:rsidRPr="00D649FD">
        <w:rPr>
          <w:rFonts w:ascii="Arial" w:hAnsi="Arial" w:cs="Arial"/>
          <w:color w:val="000000" w:themeColor="text1"/>
          <w:sz w:val="22"/>
          <w:szCs w:val="22"/>
          <w:lang w:val="es-ES_tradnl"/>
        </w:rPr>
        <w:t xml:space="preserve">carecen </w:t>
      </w:r>
      <w:r w:rsidR="004E67D0" w:rsidRPr="00D649FD">
        <w:rPr>
          <w:rFonts w:ascii="Arial" w:hAnsi="Arial" w:cs="Arial"/>
          <w:color w:val="000000" w:themeColor="text1"/>
          <w:sz w:val="22"/>
          <w:szCs w:val="22"/>
          <w:lang w:val="es-ES_tradnl"/>
        </w:rPr>
        <w:t xml:space="preserve">de autonomía para definir en el pliego de condiciones o en su documento equivalente </w:t>
      </w:r>
      <w:r w:rsidR="00AA1E3E" w:rsidRPr="00D649FD">
        <w:rPr>
          <w:rFonts w:ascii="Arial" w:hAnsi="Arial" w:cs="Arial"/>
          <w:color w:val="000000" w:themeColor="text1"/>
          <w:sz w:val="22"/>
          <w:szCs w:val="22"/>
          <w:lang w:val="es-ES_tradnl"/>
        </w:rPr>
        <w:t xml:space="preserve">los criterios de desempate aplicables. No pueden decir, por ejemplo, que solo se emplearán los factores </w:t>
      </w:r>
      <w:r w:rsidR="00737A4D" w:rsidRPr="00D649FD">
        <w:rPr>
          <w:rFonts w:ascii="Arial" w:hAnsi="Arial" w:cs="Arial"/>
          <w:color w:val="000000" w:themeColor="text1"/>
          <w:sz w:val="22"/>
          <w:szCs w:val="22"/>
          <w:lang w:val="es-ES_tradnl"/>
        </w:rPr>
        <w:t xml:space="preserve">previstos en los numerales </w:t>
      </w:r>
      <w:r w:rsidR="00AA1E3E" w:rsidRPr="00D649FD">
        <w:rPr>
          <w:rFonts w:ascii="Arial" w:hAnsi="Arial" w:cs="Arial"/>
          <w:color w:val="000000" w:themeColor="text1"/>
          <w:sz w:val="22"/>
          <w:szCs w:val="22"/>
          <w:lang w:val="es-ES_tradnl"/>
        </w:rPr>
        <w:t>2, 4 y 7, pues el legislador no les otorga tal facultad discrecional.</w:t>
      </w:r>
      <w:r w:rsidR="00737A4D" w:rsidRPr="00D649FD">
        <w:rPr>
          <w:rFonts w:ascii="Arial" w:hAnsi="Arial" w:cs="Arial"/>
          <w:color w:val="000000" w:themeColor="text1"/>
          <w:sz w:val="22"/>
          <w:szCs w:val="22"/>
          <w:lang w:val="es-ES_tradnl"/>
        </w:rPr>
        <w:t xml:space="preserve"> En consecuencia, deben </w:t>
      </w:r>
      <w:r w:rsidR="00BA35D9" w:rsidRPr="00D649FD">
        <w:rPr>
          <w:rFonts w:ascii="Arial" w:hAnsi="Arial" w:cs="Arial"/>
          <w:color w:val="000000" w:themeColor="text1"/>
          <w:sz w:val="22"/>
          <w:szCs w:val="22"/>
          <w:lang w:val="es-ES_tradnl"/>
        </w:rPr>
        <w:t>seguir estrictamente la metodología definida en el artículo 35 de la Ley 2069 de 2020.</w:t>
      </w:r>
      <w:r w:rsidR="00AA1E3E" w:rsidRPr="00D649FD">
        <w:rPr>
          <w:rFonts w:ascii="Arial" w:hAnsi="Arial" w:cs="Arial"/>
          <w:color w:val="000000" w:themeColor="text1"/>
          <w:sz w:val="22"/>
          <w:szCs w:val="22"/>
          <w:lang w:val="es-ES_tradnl"/>
        </w:rPr>
        <w:t xml:space="preserve"> </w:t>
      </w:r>
      <w:r w:rsidR="004E67D0" w:rsidRPr="00D649FD">
        <w:rPr>
          <w:rFonts w:ascii="Arial" w:hAnsi="Arial" w:cs="Arial"/>
          <w:color w:val="000000" w:themeColor="text1"/>
          <w:sz w:val="22"/>
          <w:szCs w:val="22"/>
          <w:lang w:val="es-ES_tradnl"/>
        </w:rPr>
        <w:t xml:space="preserve"> </w:t>
      </w:r>
      <w:r w:rsidR="00380C7F" w:rsidRPr="00D649FD">
        <w:rPr>
          <w:rFonts w:ascii="Arial" w:hAnsi="Arial" w:cs="Arial"/>
          <w:color w:val="000000" w:themeColor="text1"/>
          <w:sz w:val="22"/>
          <w:szCs w:val="22"/>
          <w:lang w:val="es-ES_tradnl"/>
        </w:rPr>
        <w:t xml:space="preserve">  </w:t>
      </w:r>
      <w:r w:rsidR="00251E66" w:rsidRPr="00D649FD">
        <w:rPr>
          <w:rFonts w:ascii="Arial" w:hAnsi="Arial" w:cs="Arial"/>
          <w:color w:val="000000" w:themeColor="text1"/>
          <w:sz w:val="22"/>
          <w:szCs w:val="22"/>
          <w:lang w:val="es-ES_tradnl"/>
        </w:rPr>
        <w:t xml:space="preserve"> </w:t>
      </w:r>
    </w:p>
    <w:p w14:paraId="6541F846" w14:textId="77777777" w:rsidR="00850B75" w:rsidRPr="00D649FD" w:rsidRDefault="00850B75" w:rsidP="00850B75">
      <w:pPr>
        <w:ind w:right="709"/>
        <w:jc w:val="both"/>
        <w:rPr>
          <w:rFonts w:ascii="Arial" w:hAnsi="Arial" w:cs="Arial"/>
          <w:color w:val="000000" w:themeColor="text1"/>
          <w:sz w:val="21"/>
          <w:szCs w:val="21"/>
          <w:lang w:val="es-ES_tradnl"/>
        </w:rPr>
      </w:pPr>
    </w:p>
    <w:p w14:paraId="7D60D3EF" w14:textId="6A2B0C25" w:rsidR="00D62088" w:rsidRPr="00D649FD" w:rsidRDefault="00DB177C"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2. Cuando se </w:t>
      </w:r>
      <w:proofErr w:type="spellStart"/>
      <w:r w:rsidR="00D62088" w:rsidRPr="00D649FD">
        <w:rPr>
          <w:rFonts w:ascii="Arial" w:hAnsi="Arial" w:cs="Arial"/>
          <w:color w:val="000000" w:themeColor="text1"/>
          <w:sz w:val="21"/>
          <w:szCs w:val="21"/>
          <w:lang w:val="es-ES_tradnl"/>
        </w:rPr>
        <w:t>establecio</w:t>
      </w:r>
      <w:proofErr w:type="spellEnd"/>
      <w:r w:rsidR="00D62088" w:rsidRPr="00D649FD">
        <w:rPr>
          <w:rFonts w:ascii="Arial" w:hAnsi="Arial" w:cs="Arial"/>
          <w:color w:val="000000" w:themeColor="text1"/>
          <w:sz w:val="21"/>
          <w:szCs w:val="21"/>
          <w:lang w:val="es-ES_tradnl"/>
        </w:rPr>
        <w:t xml:space="preserve">́ mujeres cabeza de familia como se establece que la mujer cumple con el criterio de ser cabeza de familia y cuando cumple una mujer </w:t>
      </w:r>
      <w:proofErr w:type="spellStart"/>
      <w:r w:rsidR="00D62088" w:rsidRPr="00D649FD">
        <w:rPr>
          <w:rFonts w:ascii="Arial" w:hAnsi="Arial" w:cs="Arial"/>
          <w:color w:val="000000" w:themeColor="text1"/>
          <w:sz w:val="21"/>
          <w:szCs w:val="21"/>
          <w:lang w:val="es-ES_tradnl"/>
        </w:rPr>
        <w:t>indígena</w:t>
      </w:r>
      <w:proofErr w:type="spellEnd"/>
      <w:r w:rsidR="00D62088" w:rsidRPr="00D649FD">
        <w:rPr>
          <w:rFonts w:ascii="Arial" w:hAnsi="Arial" w:cs="Arial"/>
          <w:color w:val="000000" w:themeColor="text1"/>
          <w:sz w:val="21"/>
          <w:szCs w:val="21"/>
          <w:lang w:val="es-ES_tradnl"/>
        </w:rPr>
        <w:t>. (sic)</w:t>
      </w:r>
      <w:r w:rsidRPr="00D649FD">
        <w:rPr>
          <w:rFonts w:ascii="Arial" w:hAnsi="Arial" w:cs="Arial"/>
          <w:color w:val="000000" w:themeColor="text1"/>
          <w:sz w:val="21"/>
          <w:szCs w:val="21"/>
          <w:lang w:val="es-ES_tradnl"/>
        </w:rPr>
        <w:t>»</w:t>
      </w:r>
    </w:p>
    <w:p w14:paraId="06AF745C" w14:textId="0979D319" w:rsidR="00D62088" w:rsidRPr="00D649FD" w:rsidRDefault="00D62088" w:rsidP="00D62088">
      <w:pPr>
        <w:ind w:left="709" w:right="709"/>
        <w:jc w:val="both"/>
        <w:rPr>
          <w:rFonts w:ascii="Arial" w:hAnsi="Arial" w:cs="Arial"/>
          <w:color w:val="000000" w:themeColor="text1"/>
          <w:sz w:val="21"/>
          <w:szCs w:val="21"/>
          <w:lang w:val="es-ES_tradnl"/>
        </w:rPr>
      </w:pPr>
    </w:p>
    <w:p w14:paraId="31B9FA80" w14:textId="77777777" w:rsidR="00190B04" w:rsidRPr="00D649FD" w:rsidRDefault="00190B04" w:rsidP="00190B04">
      <w:pPr>
        <w:spacing w:line="276" w:lineRule="auto"/>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p>
    <w:p w14:paraId="46CBBF11" w14:textId="77777777" w:rsidR="00190B04" w:rsidRPr="00D649FD" w:rsidRDefault="00190B04" w:rsidP="00190B04">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p>
    <w:p w14:paraId="116DBC5B" w14:textId="77777777" w:rsidR="00190B04" w:rsidRPr="00D649FD" w:rsidRDefault="00190B04" w:rsidP="00190B04">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w:t>
      </w:r>
      <w:r w:rsidRPr="00D649FD">
        <w:rPr>
          <w:rFonts w:ascii="Arial" w:hAnsi="Arial" w:cs="Arial"/>
          <w:color w:val="000000" w:themeColor="text1"/>
          <w:sz w:val="22"/>
          <w:szCs w:val="22"/>
          <w:lang w:val="es-ES_tradnl"/>
        </w:rPr>
        <w:lastRenderedPageBreak/>
        <w:t xml:space="preserve">mencionadas con anterioridad deben «[…] remitir todos los casos de violencia intrafamiliar a la Fiscalía General de la Nación para efectos de la investigación del delito de violencia </w:t>
      </w:r>
      <w:r w:rsidRPr="00D649FD">
        <w:rPr>
          <w:rFonts w:ascii="Arial" w:hAnsi="Arial" w:cs="Arial"/>
          <w:color w:val="000000" w:themeColor="text1"/>
          <w:sz w:val="22"/>
          <w:szCs w:val="22"/>
          <w:lang w:val="es-ES_tradnl"/>
        </w:rPr>
        <w:t>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14:paraId="21A428B2" w14:textId="77777777" w:rsidR="00190B04" w:rsidRPr="00D649FD" w:rsidRDefault="00190B04" w:rsidP="00D62088">
      <w:pPr>
        <w:ind w:left="709" w:right="709"/>
        <w:jc w:val="both"/>
        <w:rPr>
          <w:rFonts w:ascii="Arial" w:hAnsi="Arial" w:cs="Arial"/>
          <w:color w:val="000000" w:themeColor="text1"/>
          <w:sz w:val="21"/>
          <w:szCs w:val="21"/>
          <w:lang w:val="es-ES_tradnl"/>
        </w:rPr>
      </w:pPr>
    </w:p>
    <w:p w14:paraId="140F9CB4" w14:textId="6277E336" w:rsidR="00D62088" w:rsidRPr="00D649FD" w:rsidRDefault="007E6135"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3. Para el caso del criterio 3 en donde se establece que la empresa que acredite el certificado de discapacidad </w:t>
      </w:r>
      <w:proofErr w:type="spellStart"/>
      <w:r w:rsidR="00D62088" w:rsidRPr="00D649FD">
        <w:rPr>
          <w:rFonts w:ascii="Arial" w:hAnsi="Arial" w:cs="Arial"/>
          <w:color w:val="000000" w:themeColor="text1"/>
          <w:sz w:val="21"/>
          <w:szCs w:val="21"/>
          <w:lang w:val="es-ES_tradnl"/>
        </w:rPr>
        <w:t>debera</w:t>
      </w:r>
      <w:proofErr w:type="spellEnd"/>
      <w:r w:rsidR="00D62088" w:rsidRPr="00D649FD">
        <w:rPr>
          <w:rFonts w:ascii="Arial" w:hAnsi="Arial" w:cs="Arial"/>
          <w:color w:val="000000" w:themeColor="text1"/>
          <w:sz w:val="21"/>
          <w:szCs w:val="21"/>
          <w:lang w:val="es-ES_tradnl"/>
        </w:rPr>
        <w:t xml:space="preserve">́ cumplir con el 25% de la experiencia acreditada en la oferta se </w:t>
      </w:r>
      <w:proofErr w:type="spellStart"/>
      <w:r w:rsidR="00D62088" w:rsidRPr="00D649FD">
        <w:rPr>
          <w:rFonts w:ascii="Arial" w:hAnsi="Arial" w:cs="Arial"/>
          <w:color w:val="000000" w:themeColor="text1"/>
          <w:sz w:val="21"/>
          <w:szCs w:val="21"/>
          <w:lang w:val="es-ES_tradnl"/>
        </w:rPr>
        <w:t>entendería</w:t>
      </w:r>
      <w:proofErr w:type="spellEnd"/>
      <w:r w:rsidR="00D62088" w:rsidRPr="00D649FD">
        <w:rPr>
          <w:rFonts w:ascii="Arial" w:hAnsi="Arial" w:cs="Arial"/>
          <w:color w:val="000000" w:themeColor="text1"/>
          <w:sz w:val="21"/>
          <w:szCs w:val="21"/>
          <w:lang w:val="es-ES_tradnl"/>
        </w:rPr>
        <w:t xml:space="preserve"> como la experiencia sumada entre habilitante y puntaje</w:t>
      </w: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 (sic)</w:t>
      </w:r>
      <w:r w:rsidR="00AA6DE1" w:rsidRPr="00D649FD">
        <w:rPr>
          <w:rFonts w:ascii="Arial" w:hAnsi="Arial" w:cs="Arial"/>
          <w:color w:val="000000" w:themeColor="text1"/>
          <w:sz w:val="21"/>
          <w:szCs w:val="21"/>
          <w:lang w:val="es-ES_tradnl"/>
        </w:rPr>
        <w:t>.</w:t>
      </w:r>
    </w:p>
    <w:p w14:paraId="5D9733BC" w14:textId="77777777" w:rsidR="007C796C" w:rsidRPr="00D649FD" w:rsidRDefault="007C796C" w:rsidP="00F630AC">
      <w:pPr>
        <w:spacing w:line="276" w:lineRule="auto"/>
        <w:jc w:val="both"/>
        <w:rPr>
          <w:rFonts w:ascii="Arial" w:hAnsi="Arial" w:cs="Arial"/>
          <w:color w:val="000000" w:themeColor="text1"/>
          <w:sz w:val="22"/>
          <w:szCs w:val="22"/>
          <w:lang w:val="es-ES_tradnl"/>
        </w:rPr>
      </w:pPr>
    </w:p>
    <w:p w14:paraId="3706AF58" w14:textId="5AD94E21" w:rsidR="001F4F91" w:rsidRPr="00D649FD" w:rsidRDefault="00FF54D2" w:rsidP="00F630AC">
      <w:pPr>
        <w:spacing w:line="276" w:lineRule="auto"/>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E</w:t>
      </w:r>
      <w:r w:rsidR="00A807DA" w:rsidRPr="00D649FD">
        <w:rPr>
          <w:rFonts w:ascii="Arial" w:hAnsi="Arial" w:cs="Arial"/>
          <w:color w:val="000000" w:themeColor="text1"/>
          <w:sz w:val="22"/>
          <w:szCs w:val="22"/>
          <w:lang w:val="es-ES_tradnl"/>
        </w:rPr>
        <w:t xml:space="preserve">n armonía con lo previsto en el artículo </w:t>
      </w:r>
      <w:r w:rsidR="00836A50" w:rsidRPr="00D649FD">
        <w:rPr>
          <w:rFonts w:ascii="Arial" w:hAnsi="Arial" w:cs="Arial"/>
          <w:color w:val="000000" w:themeColor="text1"/>
          <w:sz w:val="22"/>
          <w:szCs w:val="22"/>
          <w:lang w:val="es-ES_tradnl"/>
        </w:rPr>
        <w:t>13, numerales 7 y 8, de la Ley 1618 de 201</w:t>
      </w:r>
      <w:r w:rsidR="00E47027" w:rsidRPr="00D649FD">
        <w:rPr>
          <w:rFonts w:ascii="Arial" w:hAnsi="Arial" w:cs="Arial"/>
          <w:color w:val="000000" w:themeColor="text1"/>
          <w:sz w:val="22"/>
          <w:szCs w:val="22"/>
          <w:lang w:val="es-ES_tradnl"/>
        </w:rPr>
        <w:t>3</w:t>
      </w:r>
      <w:r w:rsidR="00836A50" w:rsidRPr="00D649FD">
        <w:rPr>
          <w:rFonts w:ascii="Arial" w:hAnsi="Arial" w:cs="Arial"/>
          <w:color w:val="000000" w:themeColor="text1"/>
          <w:sz w:val="22"/>
          <w:szCs w:val="22"/>
          <w:lang w:val="es-ES_tradnl"/>
        </w:rPr>
        <w:t>, e</w:t>
      </w:r>
      <w:r w:rsidRPr="00D649FD">
        <w:rPr>
          <w:rFonts w:ascii="Arial" w:hAnsi="Arial" w:cs="Arial"/>
          <w:color w:val="000000" w:themeColor="text1"/>
          <w:sz w:val="22"/>
          <w:szCs w:val="22"/>
          <w:lang w:val="es-ES_tradnl"/>
        </w:rPr>
        <w:t>l numeral 3 del artículo 35</w:t>
      </w:r>
      <w:r w:rsidR="00E47027" w:rsidRPr="00D649FD">
        <w:rPr>
          <w:rFonts w:ascii="Arial" w:hAnsi="Arial" w:cs="Arial"/>
          <w:color w:val="000000" w:themeColor="text1"/>
          <w:sz w:val="22"/>
          <w:szCs w:val="22"/>
          <w:lang w:val="es-ES_tradnl"/>
        </w:rPr>
        <w:t xml:space="preserve"> de la Ley 2069 de 2020</w:t>
      </w:r>
      <w:r w:rsidRPr="00D649FD">
        <w:rPr>
          <w:rFonts w:ascii="Arial" w:hAnsi="Arial" w:cs="Arial"/>
          <w:color w:val="000000" w:themeColor="text1"/>
          <w:sz w:val="22"/>
          <w:szCs w:val="22"/>
          <w:lang w:val="es-ES_tradnl"/>
        </w:rPr>
        <w:t xml:space="preserve"> </w:t>
      </w:r>
      <w:r w:rsidR="000E4927" w:rsidRPr="00D649FD">
        <w:rPr>
          <w:rFonts w:ascii="Arial" w:hAnsi="Arial" w:cs="Arial"/>
          <w:color w:val="000000" w:themeColor="text1"/>
          <w:sz w:val="22"/>
          <w:szCs w:val="22"/>
          <w:lang w:val="es-ES_tradnl"/>
        </w:rPr>
        <w:t>establece un factor de desempate que busca beneficiar a la población en situación de discapacidad</w:t>
      </w:r>
      <w:r w:rsidR="003634D4" w:rsidRPr="00D649FD">
        <w:rPr>
          <w:rFonts w:ascii="Arial" w:hAnsi="Arial" w:cs="Arial"/>
          <w:color w:val="000000" w:themeColor="text1"/>
          <w:sz w:val="22"/>
          <w:szCs w:val="22"/>
          <w:lang w:val="es-ES_tradnl"/>
        </w:rPr>
        <w:t xml:space="preserve">. </w:t>
      </w:r>
      <w:r w:rsidR="002646A3" w:rsidRPr="00D649FD">
        <w:rPr>
          <w:rFonts w:ascii="Arial" w:hAnsi="Arial" w:cs="Arial"/>
          <w:color w:val="000000" w:themeColor="text1"/>
          <w:sz w:val="22"/>
          <w:szCs w:val="22"/>
          <w:lang w:val="es-ES_tradnl"/>
        </w:rPr>
        <w:t>En tal sentido, indica que se preferirá la propuesta del oferente que acredite</w:t>
      </w:r>
      <w:r w:rsidR="00D77D89" w:rsidRPr="00D649FD">
        <w:rPr>
          <w:rFonts w:ascii="Arial" w:hAnsi="Arial" w:cs="Arial"/>
          <w:color w:val="000000" w:themeColor="text1"/>
          <w:sz w:val="22"/>
          <w:szCs w:val="22"/>
          <w:lang w:val="es-ES_tradnl"/>
        </w:rPr>
        <w:t xml:space="preserve"> que por lo menos el diez por c</w:t>
      </w:r>
      <w:r w:rsidR="0058425C" w:rsidRPr="00D649FD">
        <w:rPr>
          <w:rFonts w:ascii="Arial" w:hAnsi="Arial" w:cs="Arial"/>
          <w:color w:val="000000" w:themeColor="text1"/>
          <w:sz w:val="22"/>
          <w:szCs w:val="22"/>
          <w:lang w:val="es-ES_tradnl"/>
        </w:rPr>
        <w:t>i</w:t>
      </w:r>
      <w:r w:rsidR="00D77D89" w:rsidRPr="00D649FD">
        <w:rPr>
          <w:rFonts w:ascii="Arial" w:hAnsi="Arial" w:cs="Arial"/>
          <w:color w:val="000000" w:themeColor="text1"/>
          <w:sz w:val="22"/>
          <w:szCs w:val="22"/>
          <w:lang w:val="es-ES_tradnl"/>
        </w:rPr>
        <w:t>ento (10%) de su nómina</w:t>
      </w:r>
      <w:r w:rsidR="004A3EEA" w:rsidRPr="00D649FD">
        <w:rPr>
          <w:rFonts w:ascii="Arial" w:hAnsi="Arial" w:cs="Arial"/>
          <w:color w:val="000000" w:themeColor="text1"/>
          <w:sz w:val="22"/>
          <w:szCs w:val="22"/>
          <w:lang w:val="es-ES_tradnl"/>
        </w:rPr>
        <w:t xml:space="preserve"> esté en condición de discapacidad.</w:t>
      </w:r>
      <w:r w:rsidR="000E4927" w:rsidRPr="00D649FD">
        <w:rPr>
          <w:rFonts w:ascii="Arial" w:hAnsi="Arial" w:cs="Arial"/>
          <w:color w:val="000000" w:themeColor="text1"/>
          <w:sz w:val="22"/>
          <w:szCs w:val="22"/>
          <w:lang w:val="es-ES_tradnl"/>
        </w:rPr>
        <w:t xml:space="preserve"> </w:t>
      </w:r>
      <w:r w:rsidR="004A3EEA" w:rsidRPr="00D649FD">
        <w:rPr>
          <w:rFonts w:ascii="Arial" w:hAnsi="Arial" w:cs="Arial"/>
          <w:color w:val="000000" w:themeColor="text1"/>
          <w:sz w:val="22"/>
          <w:szCs w:val="22"/>
          <w:lang w:val="es-ES_tradnl"/>
        </w:rPr>
        <w:t xml:space="preserve">Además, </w:t>
      </w:r>
      <w:r w:rsidR="00F630AC" w:rsidRPr="00D649FD">
        <w:rPr>
          <w:rFonts w:ascii="Arial" w:hAnsi="Arial" w:cs="Arial"/>
          <w:color w:val="000000" w:themeColor="text1"/>
          <w:sz w:val="22"/>
          <w:szCs w:val="22"/>
          <w:lang w:val="es-ES_tradnl"/>
        </w:rPr>
        <w:t>dice que «Si la oferta es presentada por un proponente plural, el integrante del oferente que acredite que el diez por ciento (10%) de su nómina está en condición de discapacidad en los términos del presente numeral, debe tener</w:t>
      </w:r>
      <w:r w:rsidR="00AD47C9" w:rsidRPr="00D649FD">
        <w:rPr>
          <w:rFonts w:ascii="Arial" w:hAnsi="Arial" w:cs="Arial"/>
          <w:color w:val="000000" w:themeColor="text1"/>
          <w:sz w:val="22"/>
          <w:szCs w:val="22"/>
          <w:lang w:val="es-ES_tradnl"/>
        </w:rPr>
        <w:t xml:space="preserve"> </w:t>
      </w:r>
      <w:r w:rsidR="00F630AC" w:rsidRPr="00D649FD">
        <w:rPr>
          <w:rFonts w:ascii="Arial" w:hAnsi="Arial" w:cs="Arial"/>
          <w:color w:val="000000" w:themeColor="text1"/>
          <w:sz w:val="22"/>
          <w:szCs w:val="22"/>
          <w:lang w:val="es-ES_tradnl"/>
        </w:rPr>
        <w:t>una participación de por lo menos el veinticinco por ciento (25%) en el</w:t>
      </w:r>
      <w:r w:rsidR="00F630AC" w:rsidRPr="00D649FD">
        <w:rPr>
          <w:lang w:val="es-ES_tradnl"/>
        </w:rPr>
        <w:t xml:space="preserve"> </w:t>
      </w:r>
      <w:r w:rsidR="00F630AC" w:rsidRPr="00D649FD">
        <w:rPr>
          <w:rFonts w:ascii="Arial" w:hAnsi="Arial" w:cs="Arial"/>
          <w:color w:val="000000" w:themeColor="text1"/>
          <w:sz w:val="22"/>
          <w:szCs w:val="22"/>
          <w:lang w:val="es-ES_tradnl"/>
        </w:rPr>
        <w:t>consorcio, unión temporal o promesa de sociedad futura y aportar mínimo el</w:t>
      </w:r>
      <w:r w:rsidR="00D37C5D" w:rsidRPr="00D649FD">
        <w:rPr>
          <w:rFonts w:ascii="Arial" w:hAnsi="Arial" w:cs="Arial"/>
          <w:color w:val="000000" w:themeColor="text1"/>
          <w:sz w:val="22"/>
          <w:szCs w:val="22"/>
          <w:lang w:val="es-ES_tradnl"/>
        </w:rPr>
        <w:t xml:space="preserve"> </w:t>
      </w:r>
      <w:r w:rsidR="00F630AC" w:rsidRPr="00D649FD">
        <w:rPr>
          <w:rFonts w:ascii="Arial" w:hAnsi="Arial" w:cs="Arial"/>
          <w:color w:val="000000" w:themeColor="text1"/>
          <w:sz w:val="22"/>
          <w:szCs w:val="22"/>
          <w:lang w:val="es-ES_tradnl"/>
        </w:rPr>
        <w:t>veinticinco por ciento (25%) de la experiencia acreditada en la oferta</w:t>
      </w:r>
      <w:r w:rsidR="00D37C5D" w:rsidRPr="00D649FD">
        <w:rPr>
          <w:rFonts w:ascii="Arial" w:hAnsi="Arial" w:cs="Arial"/>
          <w:color w:val="000000" w:themeColor="text1"/>
          <w:sz w:val="22"/>
          <w:szCs w:val="22"/>
          <w:lang w:val="es-ES_tradnl"/>
        </w:rPr>
        <w:t>»</w:t>
      </w:r>
      <w:r w:rsidR="00F630AC" w:rsidRPr="00D649FD">
        <w:rPr>
          <w:rFonts w:ascii="Arial" w:hAnsi="Arial" w:cs="Arial"/>
          <w:color w:val="000000" w:themeColor="text1"/>
          <w:sz w:val="22"/>
          <w:szCs w:val="22"/>
          <w:lang w:val="es-ES_tradnl"/>
        </w:rPr>
        <w:t>.</w:t>
      </w:r>
      <w:r w:rsidR="008C11D9" w:rsidRPr="00D649FD">
        <w:rPr>
          <w:rFonts w:ascii="Arial" w:hAnsi="Arial" w:cs="Arial"/>
          <w:color w:val="000000" w:themeColor="text1"/>
          <w:sz w:val="22"/>
          <w:szCs w:val="22"/>
          <w:lang w:val="es-ES_tradnl"/>
        </w:rPr>
        <w:t xml:space="preserve"> </w:t>
      </w:r>
    </w:p>
    <w:p w14:paraId="107DDD62" w14:textId="69FB10F0" w:rsidR="00DB177C" w:rsidRPr="00D649FD" w:rsidRDefault="001F4F91" w:rsidP="00532AB8">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 xml:space="preserve">Significa </w:t>
      </w:r>
      <w:r w:rsidR="008C11D9" w:rsidRPr="00D649FD">
        <w:rPr>
          <w:rFonts w:ascii="Arial" w:hAnsi="Arial" w:cs="Arial"/>
          <w:color w:val="000000" w:themeColor="text1"/>
          <w:sz w:val="22"/>
          <w:szCs w:val="22"/>
          <w:lang w:val="es-ES_tradnl"/>
        </w:rPr>
        <w:t xml:space="preserve">que si </w:t>
      </w:r>
      <w:r w:rsidR="005155E3" w:rsidRPr="00D649FD">
        <w:rPr>
          <w:rFonts w:ascii="Arial" w:hAnsi="Arial" w:cs="Arial"/>
          <w:color w:val="000000" w:themeColor="text1"/>
          <w:sz w:val="22"/>
          <w:szCs w:val="22"/>
          <w:lang w:val="es-ES_tradnl"/>
        </w:rPr>
        <w:t>la oferta se presenta por un</w:t>
      </w:r>
      <w:r w:rsidR="008C11D9" w:rsidRPr="00D649FD">
        <w:rPr>
          <w:rFonts w:ascii="Arial" w:hAnsi="Arial" w:cs="Arial"/>
          <w:color w:val="000000" w:themeColor="text1"/>
          <w:sz w:val="22"/>
          <w:szCs w:val="22"/>
          <w:lang w:val="es-ES_tradnl"/>
        </w:rPr>
        <w:t xml:space="preserve"> consorcio</w:t>
      </w:r>
      <w:r w:rsidR="00AD47C9" w:rsidRPr="00D649FD">
        <w:rPr>
          <w:rFonts w:ascii="Arial" w:hAnsi="Arial" w:cs="Arial"/>
          <w:color w:val="000000" w:themeColor="text1"/>
          <w:sz w:val="22"/>
          <w:szCs w:val="22"/>
          <w:lang w:val="es-ES_tradnl"/>
        </w:rPr>
        <w:t xml:space="preserve">, </w:t>
      </w:r>
      <w:r w:rsidR="005155E3" w:rsidRPr="00D649FD">
        <w:rPr>
          <w:rFonts w:ascii="Arial" w:hAnsi="Arial" w:cs="Arial"/>
          <w:color w:val="000000" w:themeColor="text1"/>
          <w:sz w:val="22"/>
          <w:szCs w:val="22"/>
          <w:lang w:val="es-ES_tradnl"/>
        </w:rPr>
        <w:t xml:space="preserve">una </w:t>
      </w:r>
      <w:r w:rsidR="008C11D9" w:rsidRPr="00D649FD">
        <w:rPr>
          <w:rFonts w:ascii="Arial" w:hAnsi="Arial" w:cs="Arial"/>
          <w:color w:val="000000" w:themeColor="text1"/>
          <w:sz w:val="22"/>
          <w:szCs w:val="22"/>
          <w:lang w:val="es-ES_tradnl"/>
        </w:rPr>
        <w:t>unión temporal</w:t>
      </w:r>
      <w:r w:rsidR="005155E3" w:rsidRPr="00D649FD">
        <w:rPr>
          <w:rFonts w:ascii="Arial" w:hAnsi="Arial" w:cs="Arial"/>
          <w:color w:val="000000" w:themeColor="text1"/>
          <w:sz w:val="22"/>
          <w:szCs w:val="22"/>
          <w:lang w:val="es-ES_tradnl"/>
        </w:rPr>
        <w:t xml:space="preserve"> </w:t>
      </w:r>
      <w:r w:rsidR="00F03A9C" w:rsidRPr="00D649FD">
        <w:rPr>
          <w:rFonts w:ascii="Arial" w:hAnsi="Arial" w:cs="Arial"/>
          <w:color w:val="000000" w:themeColor="text1"/>
          <w:sz w:val="22"/>
          <w:szCs w:val="22"/>
          <w:lang w:val="es-ES_tradnl"/>
        </w:rPr>
        <w:t xml:space="preserve">o una promesa de sociedad futura, quien debe acreditar que el </w:t>
      </w:r>
      <w:r w:rsidR="00D650F4" w:rsidRPr="00D649FD">
        <w:rPr>
          <w:rFonts w:ascii="Arial" w:hAnsi="Arial" w:cs="Arial"/>
          <w:color w:val="000000" w:themeColor="text1"/>
          <w:sz w:val="22"/>
          <w:szCs w:val="22"/>
          <w:lang w:val="es-ES_tradnl"/>
        </w:rPr>
        <w:t>diez por ciento (10%) de su nómina está en situación de discapacidad debe ser el integrante de la forma asociativa que</w:t>
      </w:r>
      <w:r w:rsidR="00AF776A" w:rsidRPr="00D649FD">
        <w:rPr>
          <w:rFonts w:ascii="Arial" w:hAnsi="Arial" w:cs="Arial"/>
          <w:color w:val="000000" w:themeColor="text1"/>
          <w:sz w:val="22"/>
          <w:szCs w:val="22"/>
          <w:lang w:val="es-ES_tradnl"/>
        </w:rPr>
        <w:t xml:space="preserve"> reúna dos requisitos: i) que</w:t>
      </w:r>
      <w:r w:rsidR="005172DA" w:rsidRPr="00D649FD">
        <w:rPr>
          <w:rFonts w:ascii="Arial" w:hAnsi="Arial" w:cs="Arial"/>
          <w:color w:val="000000" w:themeColor="text1"/>
          <w:sz w:val="22"/>
          <w:szCs w:val="22"/>
          <w:lang w:val="es-ES_tradnl"/>
        </w:rPr>
        <w:t xml:space="preserve"> tenga una participación</w:t>
      </w:r>
      <w:r w:rsidR="00AF776A" w:rsidRPr="00D649FD">
        <w:rPr>
          <w:rFonts w:ascii="Arial" w:hAnsi="Arial" w:cs="Arial"/>
          <w:color w:val="000000" w:themeColor="text1"/>
          <w:sz w:val="22"/>
          <w:szCs w:val="22"/>
          <w:lang w:val="es-ES_tradnl"/>
        </w:rPr>
        <w:t xml:space="preserve"> de, como mínimo, el veinticinco por ciento (25%) en el consorcio, unión temporal o promesa de sociedad futura y ii) </w:t>
      </w:r>
      <w:r w:rsidR="00840ECC" w:rsidRPr="00D649FD">
        <w:rPr>
          <w:rFonts w:ascii="Arial" w:hAnsi="Arial" w:cs="Arial"/>
          <w:color w:val="000000" w:themeColor="text1"/>
          <w:sz w:val="22"/>
          <w:szCs w:val="22"/>
          <w:lang w:val="es-ES_tradnl"/>
        </w:rPr>
        <w:t xml:space="preserve">que aporte </w:t>
      </w:r>
      <w:r w:rsidR="00303866" w:rsidRPr="00D649FD">
        <w:rPr>
          <w:rFonts w:ascii="Arial" w:hAnsi="Arial" w:cs="Arial"/>
          <w:color w:val="000000" w:themeColor="text1"/>
          <w:sz w:val="22"/>
          <w:szCs w:val="22"/>
          <w:lang w:val="es-ES_tradnl"/>
        </w:rPr>
        <w:t xml:space="preserve">por lo menos el veinticinco por ciento (25%) de la experiencia acreditada en la oferta. La norma no distingue si la experiencia que </w:t>
      </w:r>
      <w:r w:rsidR="00380FB6" w:rsidRPr="00D649FD">
        <w:rPr>
          <w:rFonts w:ascii="Arial" w:hAnsi="Arial" w:cs="Arial"/>
          <w:color w:val="000000" w:themeColor="text1"/>
          <w:sz w:val="22"/>
          <w:szCs w:val="22"/>
          <w:lang w:val="es-ES_tradnl"/>
        </w:rPr>
        <w:t>corresponde al</w:t>
      </w:r>
      <w:r w:rsidR="00303866" w:rsidRPr="00D649FD">
        <w:rPr>
          <w:rFonts w:ascii="Arial" w:hAnsi="Arial" w:cs="Arial"/>
          <w:color w:val="000000" w:themeColor="text1"/>
          <w:sz w:val="22"/>
          <w:szCs w:val="22"/>
          <w:lang w:val="es-ES_tradnl"/>
        </w:rPr>
        <w:t xml:space="preserve"> porcentaje</w:t>
      </w:r>
      <w:r w:rsidR="00083259" w:rsidRPr="00D649FD">
        <w:rPr>
          <w:rFonts w:ascii="Arial" w:hAnsi="Arial" w:cs="Arial"/>
          <w:color w:val="000000" w:themeColor="text1"/>
          <w:sz w:val="22"/>
          <w:szCs w:val="22"/>
          <w:lang w:val="es-ES_tradnl"/>
        </w:rPr>
        <w:t xml:space="preserve"> mínimo</w:t>
      </w:r>
      <w:r w:rsidR="00303866" w:rsidRPr="00D649FD">
        <w:rPr>
          <w:rFonts w:ascii="Arial" w:hAnsi="Arial" w:cs="Arial"/>
          <w:color w:val="000000" w:themeColor="text1"/>
          <w:sz w:val="22"/>
          <w:szCs w:val="22"/>
          <w:lang w:val="es-ES_tradnl"/>
        </w:rPr>
        <w:t xml:space="preserve"> debe ser </w:t>
      </w:r>
      <w:r w:rsidR="00083259" w:rsidRPr="00D649FD">
        <w:rPr>
          <w:rFonts w:ascii="Arial" w:hAnsi="Arial" w:cs="Arial"/>
          <w:color w:val="000000" w:themeColor="text1"/>
          <w:sz w:val="22"/>
          <w:szCs w:val="22"/>
          <w:lang w:val="es-ES_tradnl"/>
        </w:rPr>
        <w:t>aquella que constituye</w:t>
      </w:r>
      <w:r w:rsidR="00303866" w:rsidRPr="00D649FD">
        <w:rPr>
          <w:rFonts w:ascii="Arial" w:hAnsi="Arial" w:cs="Arial"/>
          <w:color w:val="000000" w:themeColor="text1"/>
          <w:sz w:val="22"/>
          <w:szCs w:val="22"/>
          <w:lang w:val="es-ES_tradnl"/>
        </w:rPr>
        <w:t xml:space="preserve"> requisito habilitante o</w:t>
      </w:r>
      <w:r w:rsidR="00083259" w:rsidRPr="00D649FD">
        <w:rPr>
          <w:rFonts w:ascii="Arial" w:hAnsi="Arial" w:cs="Arial"/>
          <w:color w:val="000000" w:themeColor="text1"/>
          <w:sz w:val="22"/>
          <w:szCs w:val="22"/>
          <w:lang w:val="es-ES_tradnl"/>
        </w:rPr>
        <w:t xml:space="preserve"> </w:t>
      </w:r>
      <w:r w:rsidR="00303866" w:rsidRPr="00D649FD">
        <w:rPr>
          <w:rFonts w:ascii="Arial" w:hAnsi="Arial" w:cs="Arial"/>
          <w:color w:val="000000" w:themeColor="text1"/>
          <w:sz w:val="22"/>
          <w:szCs w:val="22"/>
          <w:lang w:val="es-ES_tradnl"/>
        </w:rPr>
        <w:t xml:space="preserve">criterio de </w:t>
      </w:r>
      <w:r w:rsidR="00083259" w:rsidRPr="00D649FD">
        <w:rPr>
          <w:rFonts w:ascii="Arial" w:hAnsi="Arial" w:cs="Arial"/>
          <w:color w:val="000000" w:themeColor="text1"/>
          <w:sz w:val="22"/>
          <w:szCs w:val="22"/>
          <w:lang w:val="es-ES_tradnl"/>
        </w:rPr>
        <w:t>calificación</w:t>
      </w:r>
      <w:r w:rsidR="00A807DA" w:rsidRPr="00D649FD">
        <w:rPr>
          <w:rFonts w:ascii="Arial" w:hAnsi="Arial" w:cs="Arial"/>
          <w:color w:val="000000" w:themeColor="text1"/>
          <w:sz w:val="22"/>
          <w:szCs w:val="22"/>
          <w:lang w:val="es-ES_tradnl"/>
        </w:rPr>
        <w:t>,</w:t>
      </w:r>
      <w:r w:rsidR="00E54C6E" w:rsidRPr="00D649FD">
        <w:rPr>
          <w:rFonts w:ascii="Arial" w:hAnsi="Arial" w:cs="Arial"/>
          <w:color w:val="000000" w:themeColor="text1"/>
          <w:sz w:val="22"/>
          <w:szCs w:val="22"/>
          <w:lang w:val="es-ES_tradnl"/>
        </w:rPr>
        <w:t xml:space="preserve"> por lo que </w:t>
      </w:r>
      <w:r w:rsidR="00755CB0" w:rsidRPr="00D649FD">
        <w:rPr>
          <w:rFonts w:ascii="Arial" w:hAnsi="Arial" w:cs="Arial"/>
          <w:color w:val="000000" w:themeColor="text1"/>
          <w:sz w:val="22"/>
          <w:szCs w:val="22"/>
          <w:lang w:val="es-ES_tradnl"/>
        </w:rPr>
        <w:t>depende del criterio que adopte la entidad en el pliego de condiciones o documento equivalente</w:t>
      </w:r>
      <w:r w:rsidR="0086771A" w:rsidRPr="00D649FD">
        <w:rPr>
          <w:rFonts w:ascii="Arial" w:hAnsi="Arial" w:cs="Arial"/>
          <w:color w:val="000000" w:themeColor="text1"/>
          <w:sz w:val="22"/>
          <w:szCs w:val="22"/>
          <w:lang w:val="es-ES_tradnl"/>
        </w:rPr>
        <w:t xml:space="preserve"> de acuerdo a las particularidades del proceso contractual</w:t>
      </w:r>
      <w:r w:rsidR="009F7EB8" w:rsidRPr="00D649FD">
        <w:rPr>
          <w:rFonts w:ascii="Arial" w:hAnsi="Arial" w:cs="Arial"/>
          <w:color w:val="000000" w:themeColor="text1"/>
          <w:sz w:val="22"/>
          <w:szCs w:val="22"/>
          <w:lang w:val="es-ES_tradnl"/>
        </w:rPr>
        <w:t>.</w:t>
      </w:r>
      <w:r w:rsidR="00A807DA" w:rsidRPr="00D649FD">
        <w:rPr>
          <w:rFonts w:ascii="Arial" w:hAnsi="Arial" w:cs="Arial"/>
          <w:color w:val="000000" w:themeColor="text1"/>
          <w:sz w:val="22"/>
          <w:szCs w:val="22"/>
          <w:lang w:val="es-ES_tradnl"/>
        </w:rPr>
        <w:t xml:space="preserve"> </w:t>
      </w:r>
      <w:r w:rsidR="009F7EB8" w:rsidRPr="00D649FD">
        <w:rPr>
          <w:rFonts w:ascii="Arial" w:hAnsi="Arial" w:cs="Arial"/>
          <w:color w:val="000000" w:themeColor="text1"/>
          <w:sz w:val="22"/>
          <w:szCs w:val="22"/>
          <w:lang w:val="es-ES_tradnl"/>
        </w:rPr>
        <w:t xml:space="preserve">Sin embargo, advierte que este </w:t>
      </w:r>
      <w:r w:rsidR="00A807DA" w:rsidRPr="00D649FD">
        <w:rPr>
          <w:rFonts w:ascii="Arial" w:hAnsi="Arial" w:cs="Arial"/>
          <w:color w:val="000000" w:themeColor="text1"/>
          <w:sz w:val="22"/>
          <w:szCs w:val="22"/>
          <w:lang w:val="es-ES_tradnl"/>
        </w:rPr>
        <w:t>aspecto podría ser precisado en el decreto reglamentario que expida el gobierno nacional.</w:t>
      </w:r>
    </w:p>
    <w:p w14:paraId="35FB7078" w14:textId="77777777" w:rsidR="00D62088" w:rsidRPr="00D649FD" w:rsidRDefault="00D62088" w:rsidP="00E54C6E">
      <w:pPr>
        <w:ind w:right="709"/>
        <w:jc w:val="both"/>
        <w:rPr>
          <w:rFonts w:ascii="Arial" w:hAnsi="Arial" w:cs="Arial"/>
          <w:color w:val="000000" w:themeColor="text1"/>
          <w:sz w:val="21"/>
          <w:szCs w:val="21"/>
          <w:lang w:val="es-ES_tradnl"/>
        </w:rPr>
      </w:pPr>
    </w:p>
    <w:p w14:paraId="0A168596" w14:textId="628FEDFF" w:rsidR="00D62088" w:rsidRPr="00D649FD" w:rsidRDefault="00C70539"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4. Cuando se menciona en el criterio de desempate 4 la palabra </w:t>
      </w:r>
      <w:proofErr w:type="spellStart"/>
      <w:r w:rsidR="00D62088" w:rsidRPr="00D649FD">
        <w:rPr>
          <w:rFonts w:ascii="Arial" w:hAnsi="Arial" w:cs="Arial"/>
          <w:color w:val="000000" w:themeColor="text1"/>
          <w:sz w:val="21"/>
          <w:szCs w:val="21"/>
          <w:lang w:val="es-ES_tradnl"/>
        </w:rPr>
        <w:t>vinculación</w:t>
      </w:r>
      <w:proofErr w:type="spellEnd"/>
      <w:r w:rsidR="00D62088" w:rsidRPr="00D649FD">
        <w:rPr>
          <w:rFonts w:ascii="Arial" w:hAnsi="Arial" w:cs="Arial"/>
          <w:color w:val="000000" w:themeColor="text1"/>
          <w:sz w:val="21"/>
          <w:szCs w:val="21"/>
          <w:lang w:val="es-ES_tradnl"/>
        </w:rPr>
        <w:t xml:space="preserve"> se refiere a contratos laborales o puede entenderse en </w:t>
      </w:r>
      <w:proofErr w:type="spellStart"/>
      <w:r w:rsidR="00D62088" w:rsidRPr="00D649FD">
        <w:rPr>
          <w:rFonts w:ascii="Arial" w:hAnsi="Arial" w:cs="Arial"/>
          <w:color w:val="000000" w:themeColor="text1"/>
          <w:sz w:val="21"/>
          <w:szCs w:val="21"/>
          <w:lang w:val="es-ES_tradnl"/>
        </w:rPr>
        <w:t>prestación</w:t>
      </w:r>
      <w:proofErr w:type="spellEnd"/>
      <w:r w:rsidR="00D62088" w:rsidRPr="00D649FD">
        <w:rPr>
          <w:rFonts w:ascii="Arial" w:hAnsi="Arial" w:cs="Arial"/>
          <w:color w:val="000000" w:themeColor="text1"/>
          <w:sz w:val="21"/>
          <w:szCs w:val="21"/>
          <w:lang w:val="es-ES_tradnl"/>
        </w:rPr>
        <w:t xml:space="preserve"> de servicios (sic)</w:t>
      </w:r>
      <w:r w:rsidRPr="00D649FD">
        <w:rPr>
          <w:rFonts w:ascii="Arial" w:hAnsi="Arial" w:cs="Arial"/>
          <w:color w:val="000000" w:themeColor="text1"/>
          <w:sz w:val="21"/>
          <w:szCs w:val="21"/>
          <w:lang w:val="es-ES_tradnl"/>
        </w:rPr>
        <w:t>»</w:t>
      </w:r>
      <w:r w:rsidR="00EE311E" w:rsidRPr="00D649FD">
        <w:rPr>
          <w:rFonts w:ascii="Arial" w:hAnsi="Arial" w:cs="Arial"/>
          <w:color w:val="000000" w:themeColor="text1"/>
          <w:sz w:val="21"/>
          <w:szCs w:val="21"/>
          <w:lang w:val="es-ES_tradnl"/>
        </w:rPr>
        <w:t>.</w:t>
      </w:r>
    </w:p>
    <w:p w14:paraId="1D0F84BD" w14:textId="48AD777D" w:rsidR="00D62088" w:rsidRPr="00D649FD" w:rsidRDefault="00D62088" w:rsidP="00D62088">
      <w:pPr>
        <w:ind w:left="709" w:right="709"/>
        <w:jc w:val="both"/>
        <w:rPr>
          <w:rFonts w:ascii="Arial" w:hAnsi="Arial" w:cs="Arial"/>
          <w:color w:val="000000" w:themeColor="text1"/>
          <w:sz w:val="21"/>
          <w:szCs w:val="21"/>
          <w:lang w:val="es-ES_tradnl"/>
        </w:rPr>
      </w:pPr>
    </w:p>
    <w:p w14:paraId="588917FF" w14:textId="1D478BA2" w:rsidR="003E56AC" w:rsidRPr="00D649FD" w:rsidRDefault="003E56AC" w:rsidP="007742CB">
      <w:pPr>
        <w:spacing w:line="276" w:lineRule="auto"/>
        <w:jc w:val="both"/>
        <w:rPr>
          <w:rFonts w:ascii="Arial"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En relación con lo previsto en el numeral 4 del artículo 35 de la Ley 2069 de 2020,</w:t>
      </w:r>
      <w:r w:rsidR="007742CB" w:rsidRPr="00D649FD">
        <w:rPr>
          <w:rFonts w:ascii="Arial" w:eastAsia="Calibri" w:hAnsi="Arial" w:cs="Arial"/>
          <w:color w:val="000000" w:themeColor="text1"/>
          <w:sz w:val="22"/>
          <w:szCs w:val="22"/>
          <w:lang w:val="es-ES_tradnl"/>
        </w:rPr>
        <w:t xml:space="preserve"> </w:t>
      </w:r>
      <w:r w:rsidRPr="00D649FD">
        <w:rPr>
          <w:rFonts w:ascii="Arial" w:hAnsi="Arial" w:cs="Arial"/>
          <w:color w:val="000000" w:themeColor="text1"/>
          <w:sz w:val="22"/>
          <w:szCs w:val="22"/>
          <w:lang w:val="es-ES_tradnl"/>
        </w:rPr>
        <w:t xml:space="preserve">en dicho evento la regla de desempate se aplica a favor del «[…] oferente que acredite la vinculación en mayor proporción de personas mayores que no sean beneficiarios de la pensión de </w:t>
      </w:r>
      <w:r w:rsidRPr="00D649FD">
        <w:rPr>
          <w:rFonts w:ascii="Arial" w:hAnsi="Arial" w:cs="Arial"/>
          <w:color w:val="000000" w:themeColor="text1"/>
          <w:sz w:val="22"/>
          <w:szCs w:val="22"/>
          <w:lang w:val="es-ES_tradnl"/>
        </w:rPr>
        <w:lastRenderedPageBreak/>
        <w:t>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w:t>
      </w:r>
    </w:p>
    <w:p w14:paraId="6EF4742E" w14:textId="77777777" w:rsidR="00192AF3" w:rsidRPr="00D649FD" w:rsidRDefault="003E56AC" w:rsidP="00DC2072">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r w:rsidR="000A0B6F" w:rsidRPr="00D649FD">
        <w:rPr>
          <w:rFonts w:ascii="Arial" w:hAnsi="Arial" w:cs="Arial"/>
          <w:color w:val="000000" w:themeColor="text1"/>
          <w:sz w:val="22"/>
          <w:szCs w:val="22"/>
          <w:lang w:val="es-ES_tradnl"/>
        </w:rPr>
        <w:t xml:space="preserve"> </w:t>
      </w:r>
    </w:p>
    <w:p w14:paraId="5DEC03E0" w14:textId="1B7114CD" w:rsidR="00DC2072" w:rsidRPr="00D649FD" w:rsidRDefault="00EE311E" w:rsidP="00DC2072">
      <w:pPr>
        <w:spacing w:before="120" w:line="276" w:lineRule="auto"/>
        <w:ind w:firstLine="709"/>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w:t>
      </w:r>
      <w:r w:rsidRPr="00D649FD">
        <w:rPr>
          <w:rFonts w:ascii="Arial" w:hAnsi="Arial" w:cs="Arial"/>
          <w:color w:val="000000" w:themeColor="text1"/>
          <w:sz w:val="22"/>
          <w:szCs w:val="22"/>
        </w:rPr>
        <w:t xml:space="preserve">Para los criterios enunciados que involucren la </w:t>
      </w:r>
      <w:r w:rsidRPr="00D649FD">
        <w:rPr>
          <w:rFonts w:ascii="Arial" w:hAnsi="Arial" w:cs="Arial"/>
          <w:i/>
          <w:iCs/>
          <w:color w:val="000000" w:themeColor="text1"/>
          <w:sz w:val="22"/>
          <w:szCs w:val="22"/>
        </w:rPr>
        <w:t>vinculación de capital humano</w:t>
      </w:r>
      <w:r w:rsidRPr="00D649FD">
        <w:rPr>
          <w:rFonts w:ascii="Arial" w:hAnsi="Arial" w:cs="Arial"/>
          <w:color w:val="000000" w:themeColor="text1"/>
          <w:sz w:val="22"/>
          <w:szCs w:val="22"/>
        </w:rPr>
        <w:t xml:space="preserve">, el oferente deberá acreditar una antigüedad igual o mayor a un año. Para los casos de constitución inferior a un año </w:t>
      </w:r>
      <w:r w:rsidRPr="00D649FD">
        <w:rPr>
          <w:rFonts w:ascii="Arial" w:hAnsi="Arial" w:cs="Arial"/>
          <w:i/>
          <w:iCs/>
          <w:color w:val="000000" w:themeColor="text1"/>
          <w:sz w:val="22"/>
          <w:szCs w:val="22"/>
        </w:rPr>
        <w:t>se tendrá en cuenta a aquellos trabajadores</w:t>
      </w:r>
      <w:r w:rsidRPr="00D649FD">
        <w:rPr>
          <w:rFonts w:ascii="Arial" w:hAnsi="Arial" w:cs="Arial"/>
          <w:color w:val="000000" w:themeColor="text1"/>
          <w:sz w:val="22"/>
          <w:szCs w:val="22"/>
        </w:rPr>
        <w:t xml:space="preserve"> que hayan estado vinculados desde el momento de constitución de la misma» (Énfasis fuera de texto). Como se observa la norma se refiere a la vinculación de trabajadores, lo cual excluye la posibilidad de acreditar el factor de desempate con prestadores de servicios. </w:t>
      </w:r>
      <w:r w:rsidRPr="00D649FD">
        <w:rPr>
          <w:rFonts w:ascii="Arial" w:hAnsi="Arial" w:cs="Arial"/>
          <w:color w:val="000000" w:themeColor="text1"/>
          <w:sz w:val="22"/>
          <w:szCs w:val="22"/>
          <w:lang w:val="es-ES_tradnl"/>
        </w:rPr>
        <w:t xml:space="preserve"> </w:t>
      </w:r>
    </w:p>
    <w:p w14:paraId="41CDE1B5" w14:textId="7102AFA5" w:rsidR="003E56AC" w:rsidRPr="00D649FD" w:rsidRDefault="003E56AC" w:rsidP="002E61AE">
      <w:pPr>
        <w:ind w:right="709"/>
        <w:jc w:val="both"/>
        <w:rPr>
          <w:rFonts w:ascii="Arial" w:hAnsi="Arial" w:cs="Arial"/>
          <w:color w:val="000000" w:themeColor="text1"/>
          <w:sz w:val="21"/>
          <w:szCs w:val="21"/>
          <w:lang w:val="es-ES_tradnl"/>
        </w:rPr>
      </w:pPr>
    </w:p>
    <w:p w14:paraId="776417CE" w14:textId="7F615E12" w:rsidR="00D62088" w:rsidRPr="00D649FD" w:rsidRDefault="00EF41E8"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5. Cuando se menciona en el criterio de desempate 4 de personas mayores se entiende </w:t>
      </w:r>
      <w:proofErr w:type="spellStart"/>
      <w:r w:rsidR="00D62088" w:rsidRPr="00D649FD">
        <w:rPr>
          <w:rFonts w:ascii="Arial" w:hAnsi="Arial" w:cs="Arial"/>
          <w:color w:val="000000" w:themeColor="text1"/>
          <w:sz w:val="21"/>
          <w:szCs w:val="21"/>
          <w:lang w:val="es-ES_tradnl"/>
        </w:rPr>
        <w:t>pensión</w:t>
      </w:r>
      <w:proofErr w:type="spellEnd"/>
      <w:r w:rsidR="00D62088" w:rsidRPr="00D649FD">
        <w:rPr>
          <w:rFonts w:ascii="Arial" w:hAnsi="Arial" w:cs="Arial"/>
          <w:color w:val="000000" w:themeColor="text1"/>
          <w:sz w:val="21"/>
          <w:szCs w:val="21"/>
          <w:lang w:val="es-ES_tradnl"/>
        </w:rPr>
        <w:t xml:space="preserve"> de vejez?</w:t>
      </w:r>
      <w:r w:rsidR="002B3A3B"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 (sic)</w:t>
      </w:r>
      <w:r w:rsidR="00947D0D" w:rsidRPr="00D649FD">
        <w:rPr>
          <w:rFonts w:ascii="Arial" w:hAnsi="Arial" w:cs="Arial"/>
          <w:color w:val="000000" w:themeColor="text1"/>
          <w:sz w:val="21"/>
          <w:szCs w:val="21"/>
          <w:lang w:val="es-ES_tradnl"/>
        </w:rPr>
        <w:t>.</w:t>
      </w:r>
    </w:p>
    <w:p w14:paraId="55F22F2C" w14:textId="5CC495B9" w:rsidR="00D62088" w:rsidRPr="00D649FD" w:rsidRDefault="00D62088" w:rsidP="00D62088">
      <w:pPr>
        <w:ind w:left="709" w:right="709"/>
        <w:jc w:val="both"/>
        <w:rPr>
          <w:rFonts w:ascii="Arial" w:hAnsi="Arial" w:cs="Arial"/>
          <w:color w:val="000000" w:themeColor="text1"/>
          <w:sz w:val="21"/>
          <w:szCs w:val="21"/>
          <w:lang w:val="es-ES_tradnl"/>
        </w:rPr>
      </w:pPr>
    </w:p>
    <w:p w14:paraId="47089635" w14:textId="20A8303E" w:rsidR="00D62088" w:rsidRPr="00D649FD" w:rsidRDefault="002B3A3B"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6. Cuando se menciona en el criterio de desempate 4 que las personas mayores que hayan cumplido con el requisito de edad se esta entendiendo que para los hombres se tiene una edad igual o superior de 62 </w:t>
      </w:r>
      <w:proofErr w:type="spellStart"/>
      <w:r w:rsidR="00D62088" w:rsidRPr="00D649FD">
        <w:rPr>
          <w:rFonts w:ascii="Arial" w:hAnsi="Arial" w:cs="Arial"/>
          <w:color w:val="000000" w:themeColor="text1"/>
          <w:sz w:val="21"/>
          <w:szCs w:val="21"/>
          <w:lang w:val="es-ES_tradnl"/>
        </w:rPr>
        <w:t>años</w:t>
      </w:r>
      <w:proofErr w:type="spellEnd"/>
      <w:r w:rsidR="00D62088" w:rsidRPr="00D649FD">
        <w:rPr>
          <w:rFonts w:ascii="Arial" w:hAnsi="Arial" w:cs="Arial"/>
          <w:color w:val="000000" w:themeColor="text1"/>
          <w:sz w:val="21"/>
          <w:szCs w:val="21"/>
          <w:lang w:val="es-ES_tradnl"/>
        </w:rPr>
        <w:t xml:space="preserve"> y para las mujeres de 57 </w:t>
      </w:r>
      <w:proofErr w:type="spellStart"/>
      <w:r w:rsidR="00D62088" w:rsidRPr="00D649FD">
        <w:rPr>
          <w:rFonts w:ascii="Arial" w:hAnsi="Arial" w:cs="Arial"/>
          <w:color w:val="000000" w:themeColor="text1"/>
          <w:sz w:val="21"/>
          <w:szCs w:val="21"/>
          <w:lang w:val="es-ES_tradnl"/>
        </w:rPr>
        <w:t>años</w:t>
      </w:r>
      <w:proofErr w:type="spellEnd"/>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 (sic)</w:t>
      </w:r>
      <w:r w:rsidR="00BD5575" w:rsidRPr="00D649FD">
        <w:rPr>
          <w:rFonts w:ascii="Arial" w:hAnsi="Arial" w:cs="Arial"/>
          <w:color w:val="000000" w:themeColor="text1"/>
          <w:sz w:val="21"/>
          <w:szCs w:val="21"/>
          <w:lang w:val="es-ES_tradnl"/>
        </w:rPr>
        <w:t>.</w:t>
      </w:r>
    </w:p>
    <w:p w14:paraId="2F774652" w14:textId="6AA1F555" w:rsidR="00D62088" w:rsidRPr="00D649FD" w:rsidRDefault="00D62088" w:rsidP="00D62088">
      <w:pPr>
        <w:ind w:left="709" w:right="709"/>
        <w:jc w:val="both"/>
        <w:rPr>
          <w:rFonts w:ascii="Arial" w:hAnsi="Arial" w:cs="Arial"/>
          <w:color w:val="000000" w:themeColor="text1"/>
          <w:sz w:val="21"/>
          <w:szCs w:val="21"/>
          <w:lang w:val="es-ES_tradnl"/>
        </w:rPr>
      </w:pPr>
    </w:p>
    <w:p w14:paraId="5B4E3FA1" w14:textId="039D920B" w:rsidR="00436C94" w:rsidRPr="00D649FD" w:rsidRDefault="00BD5575" w:rsidP="00D649FD">
      <w:pPr>
        <w:spacing w:before="120"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lastRenderedPageBreak/>
        <w:t>En relación con el numeral 4 del artículo 35 de la Ley de Emprendimiento, cuando el legislador alude al concepto de «personas mayores» que no sean beneficiarias de la pensión de vejez, familiar o de sobrevivencia y que hayan cumplido la edad para obtenerla, una posible interpretación es entender</w:t>
      </w:r>
      <w:r w:rsidR="002633E6" w:rsidRPr="00D649FD">
        <w:rPr>
          <w:rFonts w:ascii="Arial" w:eastAsia="Calibri" w:hAnsi="Arial" w:cs="Arial"/>
          <w:color w:val="000000" w:themeColor="text1"/>
          <w:sz w:val="22"/>
          <w:szCs w:val="22"/>
          <w:lang w:val="es-ES_tradnl"/>
        </w:rPr>
        <w:t xml:space="preserve"> que</w:t>
      </w:r>
      <w:r w:rsidRPr="00D649FD">
        <w:rPr>
          <w:rFonts w:ascii="Arial" w:eastAsia="Calibri" w:hAnsi="Arial" w:cs="Arial"/>
          <w:color w:val="000000" w:themeColor="text1"/>
          <w:sz w:val="22"/>
          <w:szCs w:val="22"/>
          <w:lang w:val="es-ES_tradnl"/>
        </w:rPr>
        <w:t xml:space="preserve"> esta causal aplica a todas las personas que –en el rango de edad correspondiente a cada género– no han alcanzado la pensión.</w:t>
      </w:r>
      <w:r w:rsidR="00F9374B" w:rsidRPr="00D649FD">
        <w:rPr>
          <w:rFonts w:ascii="Arial" w:eastAsia="Calibri" w:hAnsi="Arial" w:cs="Arial"/>
          <w:color w:val="000000" w:themeColor="text1"/>
          <w:sz w:val="22"/>
          <w:szCs w:val="22"/>
          <w:lang w:val="es-ES_tradnl"/>
        </w:rPr>
        <w:t xml:space="preserve"> De esta manera, como </w:t>
      </w:r>
      <w:r w:rsidR="00C65E0D" w:rsidRPr="00D649FD">
        <w:rPr>
          <w:rFonts w:ascii="Arial" w:eastAsia="Calibri" w:hAnsi="Arial" w:cs="Arial"/>
          <w:color w:val="000000" w:themeColor="text1"/>
          <w:sz w:val="22"/>
          <w:szCs w:val="22"/>
          <w:lang w:val="es-ES_tradnl"/>
        </w:rPr>
        <w:t>dispone</w:t>
      </w:r>
      <w:r w:rsidR="00F9374B" w:rsidRPr="00D649FD">
        <w:rPr>
          <w:rFonts w:ascii="Arial" w:eastAsia="Calibri" w:hAnsi="Arial" w:cs="Arial"/>
          <w:color w:val="000000" w:themeColor="text1"/>
          <w:sz w:val="22"/>
          <w:szCs w:val="22"/>
          <w:lang w:val="es-ES_tradnl"/>
        </w:rPr>
        <w:t xml:space="preserve"> la causal, esta no se restringe a la </w:t>
      </w:r>
      <w:r w:rsidR="00417976" w:rsidRPr="00D649FD">
        <w:rPr>
          <w:rFonts w:ascii="Arial" w:eastAsia="Calibri" w:hAnsi="Arial" w:cs="Arial"/>
          <w:color w:val="000000" w:themeColor="text1"/>
          <w:sz w:val="22"/>
          <w:szCs w:val="22"/>
          <w:lang w:val="es-ES_tradnl"/>
        </w:rPr>
        <w:t>«</w:t>
      </w:r>
      <w:r w:rsidR="00F9374B" w:rsidRPr="00D649FD">
        <w:rPr>
          <w:rFonts w:ascii="Arial" w:eastAsia="Calibri" w:hAnsi="Arial" w:cs="Arial"/>
          <w:color w:val="000000" w:themeColor="text1"/>
          <w:sz w:val="22"/>
          <w:szCs w:val="22"/>
          <w:lang w:val="es-ES_tradnl"/>
        </w:rPr>
        <w:t>pensi</w:t>
      </w:r>
      <w:r w:rsidR="00417976" w:rsidRPr="00D649FD">
        <w:rPr>
          <w:rFonts w:ascii="Arial" w:eastAsia="Calibri" w:hAnsi="Arial" w:cs="Arial"/>
          <w:color w:val="000000" w:themeColor="text1"/>
          <w:sz w:val="22"/>
          <w:szCs w:val="22"/>
          <w:lang w:val="es-ES_tradnl"/>
        </w:rPr>
        <w:t>ón de vejez»</w:t>
      </w:r>
      <w:r w:rsidR="00D8295C" w:rsidRPr="00D649FD">
        <w:rPr>
          <w:rFonts w:ascii="Arial" w:eastAsia="Calibri" w:hAnsi="Arial" w:cs="Arial"/>
          <w:color w:val="000000" w:themeColor="text1"/>
          <w:sz w:val="22"/>
          <w:szCs w:val="22"/>
          <w:lang w:val="es-ES_tradnl"/>
        </w:rPr>
        <w:t xml:space="preserve"> sino que se extiende también a la «pensión familiar» y a la «pens</w:t>
      </w:r>
      <w:r w:rsidR="00C65E0D" w:rsidRPr="00D649FD">
        <w:rPr>
          <w:rFonts w:ascii="Arial" w:eastAsia="Calibri" w:hAnsi="Arial" w:cs="Arial"/>
          <w:color w:val="000000" w:themeColor="text1"/>
          <w:sz w:val="22"/>
          <w:szCs w:val="22"/>
          <w:lang w:val="es-ES_tradnl"/>
        </w:rPr>
        <w:t>ión de sobrevivencia».</w:t>
      </w:r>
    </w:p>
    <w:p w14:paraId="624DBCBB" w14:textId="77777777" w:rsidR="00436C94" w:rsidRPr="00D649FD" w:rsidRDefault="00436C94" w:rsidP="00D62088">
      <w:pPr>
        <w:ind w:left="709" w:right="709"/>
        <w:jc w:val="both"/>
        <w:rPr>
          <w:rFonts w:ascii="Arial" w:hAnsi="Arial" w:cs="Arial"/>
          <w:color w:val="000000" w:themeColor="text1"/>
          <w:sz w:val="21"/>
          <w:szCs w:val="21"/>
          <w:lang w:val="es-ES_tradnl"/>
        </w:rPr>
      </w:pPr>
    </w:p>
    <w:p w14:paraId="0DD1942E" w14:textId="719535FD" w:rsidR="00D62088" w:rsidRPr="00D649FD" w:rsidRDefault="00CF021C"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7. En el criterio de desempate 6 se habla de </w:t>
      </w:r>
      <w:proofErr w:type="spellStart"/>
      <w:r w:rsidR="00D62088" w:rsidRPr="00D649FD">
        <w:rPr>
          <w:rFonts w:ascii="Arial" w:hAnsi="Arial" w:cs="Arial"/>
          <w:color w:val="000000" w:themeColor="text1"/>
          <w:sz w:val="21"/>
          <w:szCs w:val="21"/>
          <w:lang w:val="es-ES_tradnl"/>
        </w:rPr>
        <w:t>perosnas</w:t>
      </w:r>
      <w:proofErr w:type="spellEnd"/>
      <w:r w:rsidR="00D62088" w:rsidRPr="00D649FD">
        <w:rPr>
          <w:rFonts w:ascii="Arial" w:hAnsi="Arial" w:cs="Arial"/>
          <w:color w:val="000000" w:themeColor="text1"/>
          <w:sz w:val="21"/>
          <w:szCs w:val="21"/>
          <w:lang w:val="es-ES_tradnl"/>
        </w:rPr>
        <w:t xml:space="preserve"> en procesos de </w:t>
      </w:r>
      <w:proofErr w:type="spellStart"/>
      <w:r w:rsidR="00D62088" w:rsidRPr="00D649FD">
        <w:rPr>
          <w:rFonts w:ascii="Arial" w:hAnsi="Arial" w:cs="Arial"/>
          <w:color w:val="000000" w:themeColor="text1"/>
          <w:sz w:val="21"/>
          <w:szCs w:val="21"/>
          <w:lang w:val="es-ES_tradnl"/>
        </w:rPr>
        <w:t>reintegracion</w:t>
      </w:r>
      <w:proofErr w:type="spellEnd"/>
      <w:r w:rsidR="00D62088" w:rsidRPr="00D649FD">
        <w:rPr>
          <w:rFonts w:ascii="Arial" w:hAnsi="Arial" w:cs="Arial"/>
          <w:color w:val="000000" w:themeColor="text1"/>
          <w:sz w:val="21"/>
          <w:szCs w:val="21"/>
          <w:lang w:val="es-ES_tradnl"/>
        </w:rPr>
        <w:t xml:space="preserve"> o </w:t>
      </w:r>
      <w:proofErr w:type="spellStart"/>
      <w:r w:rsidR="00D62088" w:rsidRPr="00D649FD">
        <w:rPr>
          <w:rFonts w:ascii="Arial" w:hAnsi="Arial" w:cs="Arial"/>
          <w:color w:val="000000" w:themeColor="text1"/>
          <w:sz w:val="21"/>
          <w:szCs w:val="21"/>
          <w:lang w:val="es-ES_tradnl"/>
        </w:rPr>
        <w:t>reincoporracion</w:t>
      </w:r>
      <w:proofErr w:type="spellEnd"/>
      <w:r w:rsidR="00D62088" w:rsidRPr="00D649FD">
        <w:rPr>
          <w:rFonts w:ascii="Arial" w:hAnsi="Arial" w:cs="Arial"/>
          <w:color w:val="000000" w:themeColor="text1"/>
          <w:sz w:val="21"/>
          <w:szCs w:val="21"/>
          <w:lang w:val="es-ES_tradnl"/>
        </w:rPr>
        <w:t xml:space="preserve">. De esta manera solicito </w:t>
      </w:r>
      <w:proofErr w:type="spellStart"/>
      <w:r w:rsidR="00D62088" w:rsidRPr="00D649FD">
        <w:rPr>
          <w:rFonts w:ascii="Arial" w:hAnsi="Arial" w:cs="Arial"/>
          <w:color w:val="000000" w:themeColor="text1"/>
          <w:sz w:val="21"/>
          <w:szCs w:val="21"/>
          <w:lang w:val="es-ES_tradnl"/>
        </w:rPr>
        <w:t>acalarar</w:t>
      </w:r>
      <w:proofErr w:type="spellEnd"/>
      <w:r w:rsidR="00D62088" w:rsidRPr="00D649FD">
        <w:rPr>
          <w:rFonts w:ascii="Arial" w:hAnsi="Arial" w:cs="Arial"/>
          <w:color w:val="000000" w:themeColor="text1"/>
          <w:sz w:val="21"/>
          <w:szCs w:val="21"/>
          <w:lang w:val="es-ES_tradnl"/>
        </w:rPr>
        <w:t xml:space="preserve"> la diferencia de los aspectos</w:t>
      </w:r>
      <w:r w:rsidR="00FA1C4A"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 (sic)</w:t>
      </w:r>
      <w:r w:rsidR="007429E2" w:rsidRPr="00D649FD">
        <w:rPr>
          <w:rFonts w:ascii="Arial" w:hAnsi="Arial" w:cs="Arial"/>
          <w:color w:val="000000" w:themeColor="text1"/>
          <w:sz w:val="21"/>
          <w:szCs w:val="21"/>
          <w:lang w:val="es-ES_tradnl"/>
        </w:rPr>
        <w:t>.</w:t>
      </w:r>
    </w:p>
    <w:p w14:paraId="3C2E5AC3" w14:textId="41F1FFB6" w:rsidR="00D62088" w:rsidRPr="00D649FD" w:rsidRDefault="00D62088" w:rsidP="00CF021C">
      <w:pPr>
        <w:ind w:right="709"/>
        <w:jc w:val="both"/>
        <w:rPr>
          <w:rFonts w:ascii="Arial" w:hAnsi="Arial" w:cs="Arial"/>
          <w:color w:val="000000" w:themeColor="text1"/>
          <w:sz w:val="21"/>
          <w:szCs w:val="21"/>
          <w:lang w:val="es-ES_tradnl"/>
        </w:rPr>
      </w:pPr>
    </w:p>
    <w:p w14:paraId="7BEBCD4B" w14:textId="7194A6FC" w:rsidR="00CF021C" w:rsidRPr="00D649FD" w:rsidRDefault="00CF021C" w:rsidP="00E43FCB">
      <w:pPr>
        <w:spacing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Frente al numeral 6 del artículo 35 de la Ley 2069 de 2020, que se refiere a las propuestas de «personas en proceso de reintegración o reincorporación», vale señalar que se trata de aquellas personas que hayan pertenecido a grupos al margen de la ley y que se encuentren en proceso de reintegración a la sociedad.</w:t>
      </w:r>
      <w:r w:rsidR="00EA7026" w:rsidRPr="00D649FD">
        <w:rPr>
          <w:rFonts w:ascii="Arial" w:eastAsia="Calibri" w:hAnsi="Arial" w:cs="Arial"/>
          <w:color w:val="000000" w:themeColor="text1"/>
          <w:sz w:val="22"/>
          <w:szCs w:val="22"/>
          <w:lang w:val="es-ES_tradnl"/>
        </w:rPr>
        <w:t xml:space="preserve"> </w:t>
      </w:r>
      <w:r w:rsidR="00D33EE9" w:rsidRPr="00D649FD">
        <w:rPr>
          <w:rFonts w:ascii="Arial" w:eastAsia="Calibri" w:hAnsi="Arial" w:cs="Arial"/>
          <w:color w:val="000000" w:themeColor="text1"/>
          <w:sz w:val="22"/>
          <w:szCs w:val="22"/>
          <w:lang w:val="es-ES_tradnl"/>
        </w:rPr>
        <w:t>Según la Agencia</w:t>
      </w:r>
      <w:r w:rsidR="00CF7675" w:rsidRPr="00D649FD">
        <w:rPr>
          <w:rFonts w:ascii="Arial" w:eastAsia="Calibri" w:hAnsi="Arial" w:cs="Arial"/>
          <w:color w:val="000000" w:themeColor="text1"/>
          <w:sz w:val="22"/>
          <w:szCs w:val="22"/>
          <w:lang w:val="es-ES_tradnl"/>
        </w:rPr>
        <w:t xml:space="preserve"> para la Reincorporación y la Normalización, </w:t>
      </w:r>
      <w:r w:rsidR="00EA7026" w:rsidRPr="00D649FD">
        <w:rPr>
          <w:rFonts w:ascii="Arial" w:eastAsia="Calibri" w:hAnsi="Arial" w:cs="Arial"/>
          <w:color w:val="000000" w:themeColor="text1"/>
          <w:sz w:val="22"/>
          <w:szCs w:val="22"/>
          <w:lang w:val="es-ES_tradnl"/>
        </w:rPr>
        <w:t>«La Reintegración es una oferta de seis años y medio que el Estado colombiano, a través de la gestión que realiza la ARN, les ofrece a las personas desmovilizadas de los Grupos Armados Organizados al Margen de la Ley (GAOML), que no han cometido delitos de lesa humanidad, y que quieren reintegrarse a la vida social y económica</w:t>
      </w:r>
      <w:r w:rsidR="00D33EE9" w:rsidRPr="00D649FD">
        <w:rPr>
          <w:rFonts w:ascii="Arial" w:eastAsia="Calibri" w:hAnsi="Arial" w:cs="Arial"/>
          <w:color w:val="000000" w:themeColor="text1"/>
          <w:sz w:val="22"/>
          <w:szCs w:val="22"/>
          <w:lang w:val="es-ES_tradnl"/>
        </w:rPr>
        <w:t>»</w:t>
      </w:r>
      <w:r w:rsidR="00D33EE9" w:rsidRPr="00D649FD">
        <w:rPr>
          <w:rStyle w:val="Refdenotaalpie"/>
          <w:rFonts w:ascii="Arial" w:eastAsia="Calibri" w:hAnsi="Arial" w:cs="Arial"/>
          <w:color w:val="000000" w:themeColor="text1"/>
          <w:sz w:val="22"/>
          <w:szCs w:val="22"/>
          <w:lang w:val="es-ES_tradnl"/>
        </w:rPr>
        <w:footnoteReference w:id="17"/>
      </w:r>
      <w:r w:rsidR="00CF7675" w:rsidRPr="00D649FD">
        <w:rPr>
          <w:rFonts w:ascii="Arial" w:eastAsia="Calibri" w:hAnsi="Arial" w:cs="Arial"/>
          <w:color w:val="000000" w:themeColor="text1"/>
          <w:sz w:val="22"/>
          <w:szCs w:val="22"/>
          <w:lang w:val="es-ES_tradnl"/>
        </w:rPr>
        <w:t xml:space="preserve">, mientras que </w:t>
      </w:r>
      <w:r w:rsidR="00A51906" w:rsidRPr="00D649FD">
        <w:rPr>
          <w:rFonts w:ascii="Arial" w:eastAsia="Calibri" w:hAnsi="Arial" w:cs="Arial"/>
          <w:color w:val="000000" w:themeColor="text1"/>
          <w:sz w:val="22"/>
          <w:szCs w:val="22"/>
          <w:lang w:val="es-ES_tradnl"/>
        </w:rPr>
        <w:t>«La Reincorporación es un proceso de estabilización socioeconómica de los excombatientes que entregaron sus armas, en el marco de la firma del Acuerdo Final entre el Estado y la Fuerzas Armadas Revolucionarias de Colombia - Ejército del Pueblo (</w:t>
      </w:r>
      <w:proofErr w:type="spellStart"/>
      <w:r w:rsidR="00A51906" w:rsidRPr="00D649FD">
        <w:rPr>
          <w:rFonts w:ascii="Arial" w:eastAsia="Calibri" w:hAnsi="Arial" w:cs="Arial"/>
          <w:color w:val="000000" w:themeColor="text1"/>
          <w:sz w:val="22"/>
          <w:szCs w:val="22"/>
          <w:lang w:val="es-ES_tradnl"/>
        </w:rPr>
        <w:t>Farc-Ep</w:t>
      </w:r>
      <w:proofErr w:type="spellEnd"/>
      <w:r w:rsidR="00A51906" w:rsidRPr="00D649FD">
        <w:rPr>
          <w:rFonts w:ascii="Arial" w:eastAsia="Calibri" w:hAnsi="Arial" w:cs="Arial"/>
          <w:color w:val="000000" w:themeColor="text1"/>
          <w:sz w:val="22"/>
          <w:szCs w:val="22"/>
          <w:lang w:val="es-ES_tradnl"/>
        </w:rPr>
        <w:t>)»</w:t>
      </w:r>
      <w:r w:rsidR="00A51906" w:rsidRPr="00D649FD">
        <w:rPr>
          <w:rStyle w:val="Refdenotaalpie"/>
          <w:rFonts w:ascii="Arial" w:eastAsia="Calibri" w:hAnsi="Arial" w:cs="Arial"/>
          <w:color w:val="000000" w:themeColor="text1"/>
          <w:sz w:val="22"/>
          <w:szCs w:val="22"/>
          <w:lang w:val="es-ES_tradnl"/>
        </w:rPr>
        <w:footnoteReference w:id="18"/>
      </w:r>
      <w:r w:rsidR="00A51906" w:rsidRPr="00D649FD">
        <w:rPr>
          <w:rFonts w:ascii="Arial" w:eastAsia="Calibri" w:hAnsi="Arial" w:cs="Arial"/>
          <w:color w:val="000000" w:themeColor="text1"/>
          <w:sz w:val="22"/>
          <w:szCs w:val="22"/>
          <w:lang w:val="es-ES_tradnl"/>
        </w:rPr>
        <w:t xml:space="preserve">. </w:t>
      </w:r>
    </w:p>
    <w:p w14:paraId="4BCDFBA1" w14:textId="77777777" w:rsidR="00E43FCB" w:rsidRPr="00D649FD" w:rsidRDefault="00E43FCB" w:rsidP="00D62088">
      <w:pPr>
        <w:ind w:left="709" w:right="709"/>
        <w:jc w:val="both"/>
        <w:rPr>
          <w:rFonts w:ascii="Arial" w:hAnsi="Arial" w:cs="Arial"/>
          <w:color w:val="000000" w:themeColor="text1"/>
          <w:sz w:val="21"/>
          <w:szCs w:val="21"/>
          <w:lang w:val="es-ES_tradnl"/>
        </w:rPr>
      </w:pPr>
    </w:p>
    <w:p w14:paraId="595CD191" w14:textId="6ED711AD" w:rsidR="00D62088" w:rsidRPr="00D649FD" w:rsidRDefault="00FA1C4A" w:rsidP="00D62088">
      <w:pPr>
        <w:ind w:left="709" w:right="709"/>
        <w:jc w:val="both"/>
        <w:rPr>
          <w:rFonts w:ascii="Arial" w:hAnsi="Arial" w:cs="Arial"/>
          <w:color w:val="000000" w:themeColor="text1"/>
          <w:sz w:val="21"/>
          <w:szCs w:val="21"/>
          <w:lang w:val="es-ES_tradnl"/>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8. Para el criterio de desempate 6 quien debe certificar ese estado de </w:t>
      </w:r>
      <w:proofErr w:type="spellStart"/>
      <w:r w:rsidR="00D62088" w:rsidRPr="00D649FD">
        <w:rPr>
          <w:rFonts w:ascii="Arial" w:hAnsi="Arial" w:cs="Arial"/>
          <w:color w:val="000000" w:themeColor="text1"/>
          <w:sz w:val="21"/>
          <w:szCs w:val="21"/>
          <w:lang w:val="es-ES_tradnl"/>
        </w:rPr>
        <w:t>reintegración</w:t>
      </w:r>
      <w:proofErr w:type="spellEnd"/>
      <w:r w:rsidR="00D62088" w:rsidRPr="00D649FD">
        <w:rPr>
          <w:rFonts w:ascii="Arial" w:hAnsi="Arial" w:cs="Arial"/>
          <w:color w:val="000000" w:themeColor="text1"/>
          <w:sz w:val="21"/>
          <w:szCs w:val="21"/>
          <w:lang w:val="es-ES_tradnl"/>
        </w:rPr>
        <w:t xml:space="preserve"> o </w:t>
      </w:r>
      <w:proofErr w:type="spellStart"/>
      <w:r w:rsidR="00D62088" w:rsidRPr="00D649FD">
        <w:rPr>
          <w:rFonts w:ascii="Arial" w:hAnsi="Arial" w:cs="Arial"/>
          <w:color w:val="000000" w:themeColor="text1"/>
          <w:sz w:val="21"/>
          <w:szCs w:val="21"/>
          <w:lang w:val="es-ES_tradnl"/>
        </w:rPr>
        <w:t>reincorporación</w:t>
      </w:r>
      <w:proofErr w:type="spellEnd"/>
      <w:r w:rsidR="00D62088" w:rsidRPr="00D649FD">
        <w:rPr>
          <w:rFonts w:ascii="Arial" w:hAnsi="Arial" w:cs="Arial"/>
          <w:color w:val="000000" w:themeColor="text1"/>
          <w:sz w:val="21"/>
          <w:szCs w:val="21"/>
          <w:lang w:val="es-ES_tradnl"/>
        </w:rPr>
        <w:t xml:space="preserve"> para que sea valido ante un proceso de </w:t>
      </w:r>
      <w:proofErr w:type="spellStart"/>
      <w:r w:rsidR="00D62088" w:rsidRPr="00D649FD">
        <w:rPr>
          <w:rFonts w:ascii="Arial" w:hAnsi="Arial" w:cs="Arial"/>
          <w:color w:val="000000" w:themeColor="text1"/>
          <w:sz w:val="21"/>
          <w:szCs w:val="21"/>
          <w:lang w:val="es-ES_tradnl"/>
        </w:rPr>
        <w:t>contratación</w:t>
      </w:r>
      <w:proofErr w:type="spellEnd"/>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lang w:val="es-ES_tradnl"/>
        </w:rPr>
        <w:t xml:space="preserve"> (sic)</w:t>
      </w:r>
    </w:p>
    <w:p w14:paraId="58E082A3" w14:textId="386A4D4E" w:rsidR="00D62088" w:rsidRPr="00D649FD" w:rsidRDefault="00D62088" w:rsidP="00CF021C">
      <w:pPr>
        <w:ind w:right="709"/>
        <w:jc w:val="both"/>
        <w:rPr>
          <w:rFonts w:ascii="Arial" w:hAnsi="Arial" w:cs="Arial"/>
          <w:color w:val="000000" w:themeColor="text1"/>
          <w:sz w:val="21"/>
          <w:szCs w:val="21"/>
          <w:lang w:val="es-ES_tradnl"/>
        </w:rPr>
      </w:pPr>
    </w:p>
    <w:p w14:paraId="51E2DA58" w14:textId="4EF861AC" w:rsidR="00CF021C" w:rsidRPr="00D649FD" w:rsidRDefault="00CF021C" w:rsidP="00CF021C">
      <w:pPr>
        <w:spacing w:line="276" w:lineRule="auto"/>
        <w:jc w:val="both"/>
        <w:rPr>
          <w:rFonts w:ascii="Arial" w:eastAsia="Calibri" w:hAnsi="Arial" w:cs="Arial"/>
          <w:color w:val="000000" w:themeColor="text1"/>
          <w:sz w:val="22"/>
          <w:szCs w:val="22"/>
          <w:lang w:val="es-ES_tradnl"/>
        </w:rPr>
      </w:pPr>
      <w:r w:rsidRPr="00D649FD">
        <w:rPr>
          <w:rFonts w:ascii="Arial" w:eastAsia="Calibri" w:hAnsi="Arial" w:cs="Arial"/>
          <w:color w:val="000000" w:themeColor="text1"/>
          <w:sz w:val="22"/>
          <w:szCs w:val="22"/>
          <w:lang w:val="es-ES_tradnl"/>
        </w:rPr>
        <w:t>La Agencia para la Reincorporación y la Normalización –ARN–, es la «</w:t>
      </w:r>
      <w:r w:rsidRPr="00D649FD">
        <w:rPr>
          <w:rFonts w:ascii="Arial" w:hAnsi="Arial" w:cs="Arial"/>
          <w:sz w:val="22"/>
          <w:szCs w:val="22"/>
          <w:lang w:val="es-ES_tradnl"/>
        </w:rPr>
        <w:t xml:space="preserve">[…] </w:t>
      </w:r>
      <w:r w:rsidRPr="00D649FD">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 y, por tanto, ante ella se puede obtener información sobre la acreditación de dicha circunstancia.</w:t>
      </w:r>
    </w:p>
    <w:p w14:paraId="61248A84" w14:textId="77777777" w:rsidR="00CF021C" w:rsidRPr="00D649FD" w:rsidRDefault="00CF021C" w:rsidP="00CF021C">
      <w:pPr>
        <w:ind w:right="709"/>
        <w:jc w:val="both"/>
        <w:rPr>
          <w:rFonts w:ascii="Arial" w:hAnsi="Arial" w:cs="Arial"/>
          <w:color w:val="000000" w:themeColor="text1"/>
          <w:sz w:val="21"/>
          <w:szCs w:val="21"/>
          <w:lang w:val="es-ES_tradnl"/>
        </w:rPr>
      </w:pPr>
    </w:p>
    <w:p w14:paraId="380094B0" w14:textId="16F208BF" w:rsidR="00D62088" w:rsidRPr="00D649FD" w:rsidRDefault="00BE792A" w:rsidP="00D62088">
      <w:pPr>
        <w:ind w:left="709" w:right="709"/>
        <w:jc w:val="both"/>
        <w:rPr>
          <w:rFonts w:ascii="Arial" w:hAnsi="Arial" w:cs="Arial"/>
          <w:color w:val="000000" w:themeColor="text1"/>
          <w:sz w:val="21"/>
          <w:szCs w:val="21"/>
        </w:rPr>
      </w:pPr>
      <w:r w:rsidRPr="00D649FD">
        <w:rPr>
          <w:rFonts w:ascii="Arial" w:hAnsi="Arial" w:cs="Arial"/>
          <w:color w:val="000000" w:themeColor="text1"/>
          <w:sz w:val="21"/>
          <w:szCs w:val="21"/>
          <w:lang w:val="es-ES_tradnl"/>
        </w:rPr>
        <w:t>«</w:t>
      </w:r>
      <w:r w:rsidR="00D62088" w:rsidRPr="00D649FD">
        <w:rPr>
          <w:rFonts w:ascii="Arial" w:hAnsi="Arial" w:cs="Arial"/>
          <w:color w:val="000000" w:themeColor="text1"/>
          <w:sz w:val="21"/>
          <w:szCs w:val="21"/>
        </w:rPr>
        <w:t>9. Para el criterio de desempate 7 en el literal (c) menciona que ninguno de las personas mencionadas puede ser empleado, socio o accionista del miembro del proponente plural. Entonces si no pueden ser empleados o socios como podrían participar de la figura plural? (sic)»</w:t>
      </w:r>
    </w:p>
    <w:p w14:paraId="5B14AFCB" w14:textId="68695C79" w:rsidR="00D62088" w:rsidRPr="00D649FD" w:rsidRDefault="00D62088" w:rsidP="00510DE9">
      <w:pPr>
        <w:tabs>
          <w:tab w:val="left" w:pos="0"/>
        </w:tabs>
        <w:jc w:val="both"/>
        <w:rPr>
          <w:rFonts w:ascii="Arial" w:eastAsia="Calibri" w:hAnsi="Arial" w:cs="Arial"/>
          <w:color w:val="000000" w:themeColor="text1"/>
          <w:sz w:val="22"/>
          <w:lang w:val="es-ES_tradnl"/>
        </w:rPr>
      </w:pPr>
    </w:p>
    <w:p w14:paraId="06596673" w14:textId="25380EEA" w:rsidR="0081154C" w:rsidRPr="00D649FD" w:rsidRDefault="003E528D" w:rsidP="00DF76A2">
      <w:pPr>
        <w:spacing w:line="276" w:lineRule="auto"/>
        <w:jc w:val="both"/>
        <w:rPr>
          <w:rFonts w:ascii="Arial" w:hAnsi="Arial" w:cs="Arial"/>
          <w:color w:val="000000" w:themeColor="text1"/>
          <w:sz w:val="22"/>
          <w:lang w:val="es-ES_tradnl"/>
        </w:rPr>
      </w:pPr>
      <w:r w:rsidRPr="00D649FD">
        <w:rPr>
          <w:rFonts w:ascii="Arial" w:hAnsi="Arial" w:cs="Arial"/>
          <w:color w:val="000000" w:themeColor="text1"/>
          <w:sz w:val="22"/>
          <w:szCs w:val="22"/>
          <w:lang w:val="es-ES_tradnl"/>
        </w:rPr>
        <w:t>E</w:t>
      </w:r>
      <w:r w:rsidR="00706321" w:rsidRPr="00D649FD">
        <w:rPr>
          <w:rFonts w:ascii="Arial" w:hAnsi="Arial" w:cs="Arial"/>
          <w:color w:val="000000" w:themeColor="text1"/>
          <w:sz w:val="22"/>
          <w:szCs w:val="22"/>
          <w:lang w:val="es-ES_tradnl"/>
        </w:rPr>
        <w:t xml:space="preserve">l </w:t>
      </w:r>
      <w:r w:rsidRPr="00D649FD">
        <w:rPr>
          <w:rFonts w:ascii="Arial" w:hAnsi="Arial" w:cs="Arial"/>
          <w:color w:val="000000" w:themeColor="text1"/>
          <w:sz w:val="22"/>
          <w:szCs w:val="22"/>
          <w:lang w:val="es-ES_tradnl"/>
        </w:rPr>
        <w:t xml:space="preserve">artículo 35, literal c) del numeral 7 de la Ley de Emprendimiento </w:t>
      </w:r>
      <w:r w:rsidR="001F066F" w:rsidRPr="00D649FD">
        <w:rPr>
          <w:rFonts w:ascii="Arial" w:hAnsi="Arial" w:cs="Arial"/>
          <w:color w:val="000000" w:themeColor="text1"/>
          <w:sz w:val="22"/>
          <w:szCs w:val="22"/>
          <w:lang w:val="es-ES_tradnl"/>
        </w:rPr>
        <w:t>dispone que</w:t>
      </w:r>
      <w:r w:rsidR="00706321" w:rsidRPr="00D649FD">
        <w:rPr>
          <w:rFonts w:ascii="Arial" w:hAnsi="Arial" w:cs="Arial"/>
          <w:color w:val="000000" w:themeColor="text1"/>
          <w:sz w:val="22"/>
          <w:szCs w:val="22"/>
          <w:lang w:val="es-ES_tradnl"/>
        </w:rPr>
        <w:t xml:space="preserve"> debe preferir</w:t>
      </w:r>
      <w:r w:rsidR="001F066F" w:rsidRPr="00D649FD">
        <w:rPr>
          <w:rFonts w:ascii="Arial" w:hAnsi="Arial" w:cs="Arial"/>
          <w:color w:val="000000" w:themeColor="text1"/>
          <w:sz w:val="22"/>
          <w:szCs w:val="22"/>
          <w:lang w:val="es-ES_tradnl"/>
        </w:rPr>
        <w:t>se</w:t>
      </w:r>
      <w:r w:rsidR="00706321" w:rsidRPr="00D649FD">
        <w:rPr>
          <w:rFonts w:ascii="Arial" w:hAnsi="Arial" w:cs="Arial"/>
          <w:color w:val="000000" w:themeColor="text1"/>
          <w:sz w:val="22"/>
          <w:szCs w:val="22"/>
          <w:lang w:val="es-ES_tradnl"/>
        </w:rPr>
        <w:t xml:space="preserve"> la oferta del proponente plural, si este cumple –entre </w:t>
      </w:r>
      <w:r w:rsidR="001F066F" w:rsidRPr="00D649FD">
        <w:rPr>
          <w:rFonts w:ascii="Arial" w:hAnsi="Arial" w:cs="Arial"/>
          <w:color w:val="000000" w:themeColor="text1"/>
          <w:sz w:val="22"/>
          <w:szCs w:val="22"/>
          <w:lang w:val="es-ES_tradnl"/>
        </w:rPr>
        <w:t>otros</w:t>
      </w:r>
      <w:r w:rsidR="00706321" w:rsidRPr="00D649FD">
        <w:rPr>
          <w:rFonts w:ascii="Arial" w:hAnsi="Arial" w:cs="Arial"/>
          <w:color w:val="000000" w:themeColor="text1"/>
          <w:sz w:val="22"/>
          <w:szCs w:val="22"/>
          <w:lang w:val="es-ES_tradnl"/>
        </w:rPr>
        <w:t xml:space="preserve"> requisitos– con la condición de que ni la madre cabeza de familia, ni la persona en proceso de reincorporación o reintegración, ni la persona jurídica, ni sus accionistas, socios o representantes legales «sean empleados, socios o accionistas de los miembros del proponente plural»</w:t>
      </w:r>
      <w:r w:rsidR="00173807" w:rsidRPr="00D649FD">
        <w:rPr>
          <w:rFonts w:ascii="Arial" w:hAnsi="Arial" w:cs="Arial"/>
          <w:color w:val="000000" w:themeColor="text1"/>
          <w:sz w:val="22"/>
          <w:szCs w:val="22"/>
          <w:lang w:val="es-ES_tradnl"/>
        </w:rPr>
        <w:t xml:space="preserve">. </w:t>
      </w:r>
      <w:bookmarkStart w:id="5" w:name="_Hlk70867475"/>
      <w:r w:rsidR="005A4148" w:rsidRPr="00D649FD">
        <w:rPr>
          <w:rFonts w:ascii="Arial" w:hAnsi="Arial" w:cs="Arial"/>
          <w:color w:val="000000" w:themeColor="text1"/>
          <w:sz w:val="22"/>
          <w:szCs w:val="22"/>
          <w:lang w:val="es-ES_tradnl"/>
        </w:rPr>
        <w:t>Es decir, que no sean empleados, socios o accionistas de los integrantes del consorcio o la unión temporal, sin perjuicio de su participación en la estructura plural. Así, por ejemplo, la madre cabeza de familia no podrá ser empleada de la «sociedad A» con la que integra un consorcio, pero sí deberá tener una participación independiente en este y aportarle su experiencia, lo cual es bien diferente a ser socia, accionista o empleada de uno de los miembros de dicho proponente plural.</w:t>
      </w:r>
      <w:bookmarkEnd w:id="5"/>
    </w:p>
    <w:p w14:paraId="52C8B9F6" w14:textId="77777777" w:rsidR="005A4148" w:rsidRPr="00D649FD" w:rsidRDefault="005A4148" w:rsidP="00D649FD">
      <w:pPr>
        <w:spacing w:after="120" w:line="276" w:lineRule="auto"/>
        <w:jc w:val="both"/>
        <w:rPr>
          <w:rFonts w:ascii="Arial" w:hAnsi="Arial" w:cs="Arial"/>
          <w:color w:val="000000" w:themeColor="text1"/>
          <w:sz w:val="22"/>
          <w:lang w:val="es-ES_tradnl"/>
        </w:rPr>
      </w:pPr>
    </w:p>
    <w:p w14:paraId="7B2C921D" w14:textId="6949E450" w:rsidR="00DD5B04" w:rsidRPr="00D649FD" w:rsidRDefault="00DD5B04" w:rsidP="00DF76A2">
      <w:pPr>
        <w:spacing w:line="276" w:lineRule="auto"/>
        <w:jc w:val="both"/>
        <w:rPr>
          <w:rFonts w:ascii="Arial" w:hAnsi="Arial" w:cs="Arial"/>
          <w:color w:val="000000" w:themeColor="text1"/>
          <w:sz w:val="22"/>
          <w:lang w:val="es-ES_tradnl"/>
        </w:rPr>
      </w:pPr>
      <w:r w:rsidRPr="00D649FD">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649F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D649F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649FD">
        <w:rPr>
          <w:rFonts w:ascii="Arial" w:hAnsi="Arial" w:cs="Arial"/>
          <w:color w:val="000000" w:themeColor="text1"/>
          <w:sz w:val="22"/>
          <w:szCs w:val="22"/>
          <w:lang w:val="es-ES_tradnl"/>
        </w:rPr>
        <w:t>Atentamente,</w:t>
      </w:r>
    </w:p>
    <w:p w14:paraId="692FC307" w14:textId="210AA6B5" w:rsidR="00921304" w:rsidRPr="00D649FD"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4C45575" w:rsidR="00921304" w:rsidRPr="00D649FD" w:rsidRDefault="0007436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B0F5939" wp14:editId="06DEB2F5">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D649FD" w:rsidRDefault="00425C43" w:rsidP="00B37657">
      <w:pPr>
        <w:jc w:val="center"/>
        <w:rPr>
          <w:rFonts w:ascii="Arial" w:hAnsi="Arial" w:cs="Arial"/>
          <w:color w:val="000000" w:themeColor="text1"/>
          <w:sz w:val="18"/>
          <w:szCs w:val="20"/>
          <w:lang w:val="es-ES_tradnl" w:eastAsia="es-CO"/>
        </w:rPr>
      </w:pPr>
    </w:p>
    <w:p w14:paraId="49730030" w14:textId="217D35F3" w:rsidR="00DD5B04" w:rsidRPr="00D649FD"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649FD" w14:paraId="0C7DC5F7" w14:textId="77777777" w:rsidTr="008F4163">
        <w:trPr>
          <w:trHeight w:val="315"/>
        </w:trPr>
        <w:tc>
          <w:tcPr>
            <w:tcW w:w="812" w:type="dxa"/>
            <w:vAlign w:val="center"/>
            <w:hideMark/>
          </w:tcPr>
          <w:p w14:paraId="5BDB1AC9" w14:textId="77777777" w:rsidR="00DD5B04" w:rsidRPr="00D649FD" w:rsidRDefault="00DD5B04"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D649FD" w:rsidRDefault="00DD5B04"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Cristian Andrés Díaz Díez</w:t>
            </w:r>
          </w:p>
          <w:p w14:paraId="240C71FD" w14:textId="31312C95" w:rsidR="00DD5B04" w:rsidRPr="00D649FD" w:rsidRDefault="00DD5B04"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Contratista</w:t>
            </w:r>
            <w:r w:rsidR="00FF0050" w:rsidRPr="00D649FD">
              <w:rPr>
                <w:rFonts w:ascii="Arial" w:hAnsi="Arial" w:cs="Arial"/>
                <w:color w:val="000000" w:themeColor="text1"/>
                <w:sz w:val="16"/>
                <w:szCs w:val="16"/>
                <w:lang w:val="es-ES_tradnl" w:eastAsia="es-ES"/>
              </w:rPr>
              <w:t xml:space="preserve"> de la </w:t>
            </w:r>
            <w:r w:rsidRPr="00D649FD">
              <w:rPr>
                <w:rFonts w:ascii="Arial" w:hAnsi="Arial" w:cs="Arial"/>
                <w:color w:val="000000" w:themeColor="text1"/>
                <w:sz w:val="16"/>
                <w:szCs w:val="16"/>
                <w:lang w:val="es-ES_tradnl" w:eastAsia="es-ES"/>
              </w:rPr>
              <w:t>Subdirección de Gestión Contractual</w:t>
            </w:r>
          </w:p>
        </w:tc>
      </w:tr>
      <w:tr w:rsidR="00DD5B04" w:rsidRPr="00D649FD" w14:paraId="2F8FD650" w14:textId="77777777" w:rsidTr="008F4163">
        <w:trPr>
          <w:trHeight w:val="330"/>
        </w:trPr>
        <w:tc>
          <w:tcPr>
            <w:tcW w:w="812" w:type="dxa"/>
            <w:vAlign w:val="center"/>
            <w:hideMark/>
          </w:tcPr>
          <w:p w14:paraId="50203A0B" w14:textId="77777777" w:rsidR="00DD5B04" w:rsidRPr="00D649FD" w:rsidRDefault="00DD5B04"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D649FD" w:rsidRDefault="007D231B" w:rsidP="00C05A61">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Juan David Montoya Penagos</w:t>
            </w:r>
          </w:p>
          <w:p w14:paraId="130B3228" w14:textId="259960A1" w:rsidR="00DD5B04" w:rsidRPr="00D649FD" w:rsidRDefault="00EF5CA8" w:rsidP="00C05A61">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Gestor T1</w:t>
            </w:r>
            <w:r w:rsidR="008201DE" w:rsidRPr="00D649FD">
              <w:rPr>
                <w:rFonts w:ascii="Arial" w:hAnsi="Arial" w:cs="Arial"/>
                <w:color w:val="000000" w:themeColor="text1"/>
                <w:sz w:val="16"/>
                <w:szCs w:val="16"/>
                <w:lang w:val="es-ES_tradnl" w:eastAsia="es-ES"/>
              </w:rPr>
              <w:t>-</w:t>
            </w:r>
            <w:r w:rsidRPr="00D649FD">
              <w:rPr>
                <w:rFonts w:ascii="Arial" w:hAnsi="Arial" w:cs="Arial"/>
                <w:color w:val="000000" w:themeColor="text1"/>
                <w:sz w:val="16"/>
                <w:szCs w:val="16"/>
                <w:lang w:val="es-ES_tradnl" w:eastAsia="es-ES"/>
              </w:rPr>
              <w:t>15</w:t>
            </w:r>
            <w:r w:rsidR="008201DE" w:rsidRPr="00D649FD">
              <w:rPr>
                <w:rFonts w:ascii="Arial" w:hAnsi="Arial" w:cs="Arial"/>
                <w:color w:val="000000" w:themeColor="text1"/>
                <w:sz w:val="16"/>
                <w:szCs w:val="16"/>
                <w:lang w:val="es-ES_tradnl" w:eastAsia="es-ES"/>
              </w:rPr>
              <w:t xml:space="preserve">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D649FD" w:rsidRDefault="00DD5B04"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649FD" w:rsidRDefault="00C05A61"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 xml:space="preserve">Jorge </w:t>
            </w:r>
            <w:r w:rsidR="00647A36" w:rsidRPr="00D649FD">
              <w:rPr>
                <w:rFonts w:ascii="Arial" w:hAnsi="Arial" w:cs="Arial"/>
                <w:color w:val="000000" w:themeColor="text1"/>
                <w:sz w:val="16"/>
                <w:szCs w:val="16"/>
                <w:lang w:val="es-ES_tradnl" w:eastAsia="es-ES"/>
              </w:rPr>
              <w:t xml:space="preserve">Augusto </w:t>
            </w:r>
            <w:r w:rsidRPr="00D649FD">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D649FD">
              <w:rPr>
                <w:rFonts w:ascii="Arial" w:hAnsi="Arial" w:cs="Arial"/>
                <w:color w:val="000000" w:themeColor="text1"/>
                <w:sz w:val="16"/>
                <w:szCs w:val="16"/>
                <w:lang w:val="es-ES_tradnl" w:eastAsia="es-ES"/>
              </w:rPr>
              <w:t>Subdirector de Gestión Contractual</w:t>
            </w:r>
            <w:r w:rsidR="008201DE" w:rsidRPr="00D649FD">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0DF3" w14:textId="77777777" w:rsidR="006C76D3" w:rsidRDefault="006C76D3">
      <w:r>
        <w:separator/>
      </w:r>
    </w:p>
  </w:endnote>
  <w:endnote w:type="continuationSeparator" w:id="0">
    <w:p w14:paraId="6BCCA336" w14:textId="77777777" w:rsidR="006C76D3" w:rsidRDefault="006C76D3">
      <w:r>
        <w:continuationSeparator/>
      </w:r>
    </w:p>
  </w:endnote>
  <w:endnote w:type="continuationNotice" w:id="1">
    <w:p w14:paraId="65D5BBF8" w14:textId="77777777" w:rsidR="006C76D3" w:rsidRDefault="006C7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88F1D" w14:textId="77777777" w:rsidR="006C76D3" w:rsidRDefault="006C76D3">
      <w:r>
        <w:separator/>
      </w:r>
    </w:p>
  </w:footnote>
  <w:footnote w:type="continuationSeparator" w:id="0">
    <w:p w14:paraId="27D57807" w14:textId="77777777" w:rsidR="006C76D3" w:rsidRDefault="006C76D3">
      <w:r>
        <w:continuationSeparator/>
      </w:r>
    </w:p>
  </w:footnote>
  <w:footnote w:type="continuationNotice" w:id="1">
    <w:p w14:paraId="62C23DD9" w14:textId="77777777" w:rsidR="006C76D3" w:rsidRDefault="006C76D3"/>
  </w:footnote>
  <w:footnote w:id="2">
    <w:p w14:paraId="6CB661EA" w14:textId="77777777" w:rsidR="008C1918" w:rsidRPr="00427BDA" w:rsidRDefault="008C1918"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427BDA" w:rsidRDefault="008C1918" w:rsidP="00427BDA">
      <w:pPr>
        <w:pStyle w:val="Textonotapie"/>
        <w:ind w:firstLine="709"/>
        <w:jc w:val="both"/>
        <w:rPr>
          <w:rFonts w:ascii="Arial" w:hAnsi="Arial" w:cs="Arial"/>
          <w:sz w:val="19"/>
          <w:szCs w:val="19"/>
          <w:lang w:val="es-ES"/>
        </w:rPr>
      </w:pPr>
    </w:p>
  </w:footnote>
  <w:footnote w:id="3">
    <w:p w14:paraId="2906F437" w14:textId="77777777" w:rsidR="005244FC" w:rsidRPr="00427BDA" w:rsidRDefault="005244FC"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0AD3B7A1" w14:textId="77777777" w:rsidR="005244FC" w:rsidRPr="00427BDA" w:rsidRDefault="005244FC" w:rsidP="00427BDA">
      <w:pPr>
        <w:pStyle w:val="Textonotapie"/>
        <w:ind w:firstLine="709"/>
        <w:jc w:val="both"/>
        <w:rPr>
          <w:rFonts w:ascii="Arial" w:hAnsi="Arial" w:cs="Arial"/>
          <w:sz w:val="19"/>
          <w:szCs w:val="19"/>
          <w:lang w:val="es-ES"/>
        </w:rPr>
      </w:pPr>
    </w:p>
  </w:footnote>
  <w:footnote w:id="4">
    <w:p w14:paraId="77384033" w14:textId="77777777" w:rsidR="005244FC" w:rsidRPr="00427BDA" w:rsidRDefault="005244FC"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427BDA" w:rsidRDefault="005244FC" w:rsidP="00427BDA">
      <w:pPr>
        <w:pStyle w:val="Textonotapie"/>
        <w:ind w:firstLine="709"/>
        <w:jc w:val="both"/>
        <w:rPr>
          <w:rFonts w:ascii="Arial" w:hAnsi="Arial" w:cs="Arial"/>
          <w:sz w:val="19"/>
          <w:szCs w:val="19"/>
          <w:lang w:val="es-CO"/>
        </w:rPr>
      </w:pPr>
    </w:p>
  </w:footnote>
  <w:footnote w:id="5">
    <w:p w14:paraId="4077756D" w14:textId="77777777" w:rsidR="00EA0455" w:rsidRPr="00427BDA" w:rsidRDefault="00EA0455"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41E0AFD6" w14:textId="77777777" w:rsidR="00EA0455" w:rsidRPr="00427BDA" w:rsidRDefault="00EA0455" w:rsidP="00427BDA">
      <w:pPr>
        <w:pStyle w:val="Textonotapie"/>
        <w:ind w:firstLine="709"/>
        <w:jc w:val="both"/>
        <w:rPr>
          <w:rFonts w:ascii="Arial" w:hAnsi="Arial" w:cs="Arial"/>
          <w:sz w:val="19"/>
          <w:szCs w:val="19"/>
          <w:lang w:val="es-ES"/>
        </w:rPr>
      </w:pPr>
    </w:p>
  </w:footnote>
  <w:footnote w:id="6">
    <w:p w14:paraId="63C68B64" w14:textId="77777777" w:rsidR="00EA0455" w:rsidRPr="00427BDA" w:rsidRDefault="00EA0455"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52DE75AF" w14:textId="77777777" w:rsidR="00EA0455" w:rsidRPr="00427BDA" w:rsidRDefault="00EA0455" w:rsidP="00427BDA">
      <w:pPr>
        <w:pStyle w:val="Textonotapie"/>
        <w:ind w:firstLine="709"/>
        <w:jc w:val="both"/>
        <w:rPr>
          <w:rFonts w:ascii="Arial" w:hAnsi="Arial" w:cs="Arial"/>
          <w:sz w:val="19"/>
          <w:szCs w:val="19"/>
          <w:lang w:val="es-ES"/>
        </w:rPr>
      </w:pPr>
    </w:p>
  </w:footnote>
  <w:footnote w:id="7">
    <w:p w14:paraId="3B55AC2B" w14:textId="77777777" w:rsidR="00EA0455" w:rsidRPr="00427BDA" w:rsidRDefault="00EA0455"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60BAAF2F" w14:textId="77777777" w:rsidR="00EA0455" w:rsidRPr="00427BDA" w:rsidRDefault="00EA0455" w:rsidP="00427BDA">
      <w:pPr>
        <w:pStyle w:val="Textonotapie"/>
        <w:ind w:firstLine="709"/>
        <w:jc w:val="both"/>
        <w:rPr>
          <w:rFonts w:ascii="Arial" w:hAnsi="Arial" w:cs="Arial"/>
          <w:sz w:val="19"/>
          <w:szCs w:val="19"/>
          <w:lang w:val="es-ES"/>
        </w:rPr>
      </w:pPr>
    </w:p>
  </w:footnote>
  <w:footnote w:id="8">
    <w:p w14:paraId="74DF7570" w14:textId="77777777" w:rsidR="00EA0455" w:rsidRPr="00427BDA" w:rsidRDefault="00EA0455"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3BA941F3" w14:textId="77777777" w:rsidR="00EA0455" w:rsidRPr="00427BDA" w:rsidRDefault="00EA0455" w:rsidP="00427BDA">
      <w:pPr>
        <w:pStyle w:val="Textonotapie"/>
        <w:ind w:firstLine="709"/>
        <w:jc w:val="both"/>
        <w:rPr>
          <w:rFonts w:ascii="Arial" w:hAnsi="Arial" w:cs="Arial"/>
          <w:sz w:val="19"/>
          <w:szCs w:val="19"/>
          <w:lang w:val="es-ES"/>
        </w:rPr>
      </w:pPr>
    </w:p>
  </w:footnote>
  <w:footnote w:id="9">
    <w:p w14:paraId="6753CF48" w14:textId="77777777" w:rsidR="00EA0455" w:rsidRPr="00427BDA" w:rsidRDefault="00EA0455"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1543EC5A" w14:textId="77777777" w:rsidR="00EA0455" w:rsidRPr="00427BDA" w:rsidRDefault="00EA0455" w:rsidP="00427BDA">
      <w:pPr>
        <w:pStyle w:val="Textonotapie"/>
        <w:ind w:firstLine="709"/>
        <w:jc w:val="both"/>
        <w:rPr>
          <w:rFonts w:ascii="Arial" w:hAnsi="Arial" w:cs="Arial"/>
          <w:sz w:val="19"/>
          <w:szCs w:val="19"/>
          <w:lang w:val="es-ES"/>
        </w:rPr>
      </w:pPr>
    </w:p>
  </w:footnote>
  <w:footnote w:id="10">
    <w:p w14:paraId="260D678A" w14:textId="1CD5D6B9" w:rsidR="00974CBD" w:rsidRPr="00427BDA" w:rsidRDefault="00974CBD"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0015623B" w:rsidRPr="00427BDA">
        <w:rPr>
          <w:rFonts w:ascii="Arial" w:hAnsi="Arial" w:cs="Arial"/>
          <w:sz w:val="19"/>
          <w:szCs w:val="19"/>
          <w:lang w:val="es-ES"/>
        </w:rPr>
        <w:t xml:space="preserve">Sentencia T-003 de 2018. Magistrada Ponente: Cristina Pardo </w:t>
      </w:r>
      <w:proofErr w:type="spellStart"/>
      <w:r w:rsidR="0015623B" w:rsidRPr="00427BDA">
        <w:rPr>
          <w:rFonts w:ascii="Arial" w:hAnsi="Arial" w:cs="Arial"/>
          <w:sz w:val="19"/>
          <w:szCs w:val="19"/>
          <w:lang w:val="es-ES"/>
        </w:rPr>
        <w:t>Schlesinger</w:t>
      </w:r>
      <w:proofErr w:type="spellEnd"/>
      <w:r w:rsidR="0015623B" w:rsidRPr="00427BDA">
        <w:rPr>
          <w:rFonts w:ascii="Arial" w:hAnsi="Arial" w:cs="Arial"/>
          <w:sz w:val="19"/>
          <w:szCs w:val="19"/>
          <w:lang w:val="es-ES"/>
        </w:rPr>
        <w:t>.</w:t>
      </w:r>
    </w:p>
    <w:p w14:paraId="529B3D57" w14:textId="77777777" w:rsidR="00F62227" w:rsidRPr="00427BDA" w:rsidRDefault="00F62227" w:rsidP="00427BDA">
      <w:pPr>
        <w:pStyle w:val="Textonotapie"/>
        <w:ind w:firstLine="709"/>
        <w:jc w:val="both"/>
        <w:rPr>
          <w:rFonts w:ascii="Arial" w:hAnsi="Arial" w:cs="Arial"/>
          <w:sz w:val="19"/>
          <w:szCs w:val="19"/>
          <w:lang w:val="es-CO"/>
        </w:rPr>
      </w:pPr>
    </w:p>
  </w:footnote>
  <w:footnote w:id="11">
    <w:p w14:paraId="3C693AC2" w14:textId="48BDDA13" w:rsidR="002F40E2" w:rsidRPr="00427BDA" w:rsidRDefault="002F40E2"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00F62227" w:rsidRPr="00427BDA">
        <w:rPr>
          <w:rFonts w:ascii="Arial" w:hAnsi="Arial" w:cs="Arial"/>
          <w:sz w:val="19"/>
          <w:szCs w:val="19"/>
          <w:lang w:val="es-ES"/>
        </w:rPr>
        <w:t>Sentencia T-967 de 2014. Magistrada Ponente: Gloria Stella Ortiz Delgado.</w:t>
      </w:r>
    </w:p>
    <w:p w14:paraId="3663EC63" w14:textId="77777777" w:rsidR="008E2BE6" w:rsidRPr="00427BDA" w:rsidRDefault="008E2BE6" w:rsidP="00427BDA">
      <w:pPr>
        <w:pStyle w:val="Textonotapie"/>
        <w:ind w:firstLine="709"/>
        <w:jc w:val="both"/>
        <w:rPr>
          <w:rFonts w:ascii="Arial" w:hAnsi="Arial" w:cs="Arial"/>
          <w:sz w:val="19"/>
          <w:szCs w:val="19"/>
          <w:lang w:val="es-CO"/>
        </w:rPr>
      </w:pPr>
    </w:p>
  </w:footnote>
  <w:footnote w:id="12">
    <w:p w14:paraId="6210057F" w14:textId="77777777" w:rsidR="0093360C" w:rsidRPr="00427BDA" w:rsidRDefault="0093360C" w:rsidP="00427BDA">
      <w:pPr>
        <w:pStyle w:val="Textonotapie"/>
        <w:ind w:firstLine="709"/>
        <w:jc w:val="both"/>
        <w:rPr>
          <w:rFonts w:ascii="Arial" w:hAnsi="Arial" w:cs="Arial"/>
          <w:sz w:val="19"/>
          <w:szCs w:val="19"/>
          <w:lang w:val="es-CO"/>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14:paraId="1BB84D39" w14:textId="77777777" w:rsidR="008A41F8" w:rsidRPr="00427BDA" w:rsidRDefault="008A41F8"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Diccionario de la Lengua Española. En: https://dle.rae.es/participar</w:t>
      </w:r>
    </w:p>
  </w:footnote>
  <w:footnote w:id="14">
    <w:p w14:paraId="47C59DF0" w14:textId="77777777" w:rsidR="005C5DB6" w:rsidRPr="00427BDA" w:rsidRDefault="005C5DB6" w:rsidP="005C5DB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http://www.reincorporacion.gov.co/es/la-reintegracion/Paginas/quees.aspx</w:t>
      </w:r>
    </w:p>
  </w:footnote>
  <w:footnote w:id="15">
    <w:p w14:paraId="0348DA7B" w14:textId="77777777" w:rsidR="005C5DB6" w:rsidRDefault="005C5DB6" w:rsidP="005C5DB6">
      <w:pPr>
        <w:pStyle w:val="Textonotapie"/>
        <w:ind w:firstLine="709"/>
        <w:jc w:val="both"/>
        <w:rPr>
          <w:rFonts w:ascii="Arial" w:hAnsi="Arial" w:cs="Arial"/>
          <w:sz w:val="19"/>
          <w:szCs w:val="19"/>
        </w:rPr>
      </w:pPr>
    </w:p>
    <w:p w14:paraId="1CF24F71" w14:textId="77777777" w:rsidR="005C5DB6" w:rsidRPr="00427BDA" w:rsidRDefault="005C5DB6" w:rsidP="005C5DB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http://www.reincorporacion.gov.co/es/reincorporacion/</w:t>
      </w:r>
    </w:p>
  </w:footnote>
  <w:footnote w:id="16">
    <w:p w14:paraId="7E53A2C8" w14:textId="77777777" w:rsidR="00CD6126" w:rsidRDefault="00CD6126" w:rsidP="00427BDA">
      <w:pPr>
        <w:pStyle w:val="Textonotapie"/>
        <w:ind w:firstLine="709"/>
        <w:jc w:val="both"/>
        <w:rPr>
          <w:rFonts w:ascii="Arial" w:hAnsi="Arial" w:cs="Arial"/>
          <w:sz w:val="19"/>
          <w:szCs w:val="19"/>
        </w:rPr>
      </w:pPr>
    </w:p>
    <w:p w14:paraId="713355FF" w14:textId="3C4D58C7" w:rsidR="003709E8" w:rsidRPr="00427BDA" w:rsidRDefault="003709E8"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http://www.reincorporacion.gov.co/es/agencia</w:t>
      </w:r>
    </w:p>
  </w:footnote>
  <w:footnote w:id="17">
    <w:p w14:paraId="0A121CA1" w14:textId="2B9C3AF9" w:rsidR="00D33EE9" w:rsidRPr="00427BDA" w:rsidRDefault="00D33EE9"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http://www.reincorporacion.gov.co/es/la-reintegracion/Paginas/quees.aspx</w:t>
      </w:r>
    </w:p>
  </w:footnote>
  <w:footnote w:id="18">
    <w:p w14:paraId="187C5902" w14:textId="77777777" w:rsidR="00427BDA" w:rsidRDefault="00427BDA" w:rsidP="00427BDA">
      <w:pPr>
        <w:pStyle w:val="Textonotapie"/>
        <w:ind w:firstLine="709"/>
        <w:jc w:val="both"/>
        <w:rPr>
          <w:rFonts w:ascii="Arial" w:hAnsi="Arial" w:cs="Arial"/>
          <w:sz w:val="19"/>
          <w:szCs w:val="19"/>
        </w:rPr>
      </w:pPr>
    </w:p>
    <w:p w14:paraId="25422566" w14:textId="44B96C4B" w:rsidR="00A51906" w:rsidRPr="00427BDA" w:rsidRDefault="00A51906"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http://www.reincorporacion.gov.co/es/reincorporacion/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7"/>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9B5"/>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37B7D"/>
    <w:rsid w:val="0004054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36D"/>
    <w:rsid w:val="000744D0"/>
    <w:rsid w:val="00074B2A"/>
    <w:rsid w:val="00074EEE"/>
    <w:rsid w:val="000753D5"/>
    <w:rsid w:val="00075B3E"/>
    <w:rsid w:val="00076456"/>
    <w:rsid w:val="00076BD9"/>
    <w:rsid w:val="0007779B"/>
    <w:rsid w:val="000777E7"/>
    <w:rsid w:val="0007790A"/>
    <w:rsid w:val="000779F2"/>
    <w:rsid w:val="0008017B"/>
    <w:rsid w:val="00080ACD"/>
    <w:rsid w:val="000811ED"/>
    <w:rsid w:val="00081D62"/>
    <w:rsid w:val="00082B74"/>
    <w:rsid w:val="00083099"/>
    <w:rsid w:val="00083259"/>
    <w:rsid w:val="00083EDC"/>
    <w:rsid w:val="000846CF"/>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2"/>
    <w:rsid w:val="00092DCA"/>
    <w:rsid w:val="00093851"/>
    <w:rsid w:val="000942EB"/>
    <w:rsid w:val="00095251"/>
    <w:rsid w:val="00095B70"/>
    <w:rsid w:val="0009617E"/>
    <w:rsid w:val="0009628D"/>
    <w:rsid w:val="0009670F"/>
    <w:rsid w:val="000970E4"/>
    <w:rsid w:val="000971DA"/>
    <w:rsid w:val="000979CF"/>
    <w:rsid w:val="000A03C8"/>
    <w:rsid w:val="000A05F2"/>
    <w:rsid w:val="000A06C4"/>
    <w:rsid w:val="000A0861"/>
    <w:rsid w:val="000A0B6F"/>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5781"/>
    <w:rsid w:val="000B5CB1"/>
    <w:rsid w:val="000B6BEB"/>
    <w:rsid w:val="000B75F4"/>
    <w:rsid w:val="000C0185"/>
    <w:rsid w:val="000C0F81"/>
    <w:rsid w:val="000C1192"/>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927"/>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638"/>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250"/>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6D6"/>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85F"/>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7FD"/>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3807"/>
    <w:rsid w:val="001742BF"/>
    <w:rsid w:val="001742E1"/>
    <w:rsid w:val="00175E49"/>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6C7"/>
    <w:rsid w:val="0019087A"/>
    <w:rsid w:val="00190B04"/>
    <w:rsid w:val="00191C5A"/>
    <w:rsid w:val="00191CEB"/>
    <w:rsid w:val="00191E63"/>
    <w:rsid w:val="00192AF3"/>
    <w:rsid w:val="00192D68"/>
    <w:rsid w:val="0019388B"/>
    <w:rsid w:val="00193ADE"/>
    <w:rsid w:val="00193B9A"/>
    <w:rsid w:val="001940ED"/>
    <w:rsid w:val="001946AE"/>
    <w:rsid w:val="001946D5"/>
    <w:rsid w:val="00194E8C"/>
    <w:rsid w:val="0019620D"/>
    <w:rsid w:val="001962EC"/>
    <w:rsid w:val="001963DD"/>
    <w:rsid w:val="001965DB"/>
    <w:rsid w:val="00196D01"/>
    <w:rsid w:val="00196DC9"/>
    <w:rsid w:val="00196E95"/>
    <w:rsid w:val="00197758"/>
    <w:rsid w:val="001A0236"/>
    <w:rsid w:val="001A04E2"/>
    <w:rsid w:val="001A0915"/>
    <w:rsid w:val="001A0AF8"/>
    <w:rsid w:val="001A0B0F"/>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5D3"/>
    <w:rsid w:val="001B5DAE"/>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83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66F"/>
    <w:rsid w:val="001F0806"/>
    <w:rsid w:val="001F0D15"/>
    <w:rsid w:val="001F0FA0"/>
    <w:rsid w:val="001F1349"/>
    <w:rsid w:val="001F1863"/>
    <w:rsid w:val="001F2356"/>
    <w:rsid w:val="001F2A68"/>
    <w:rsid w:val="001F2C47"/>
    <w:rsid w:val="001F4773"/>
    <w:rsid w:val="001F4F91"/>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4F4"/>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586"/>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69B1"/>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1E66"/>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3E6"/>
    <w:rsid w:val="00263A37"/>
    <w:rsid w:val="00264266"/>
    <w:rsid w:val="002646A3"/>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369"/>
    <w:rsid w:val="00281885"/>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2C94"/>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6EB3"/>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5332"/>
    <w:rsid w:val="002E61AE"/>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72C"/>
    <w:rsid w:val="002F7961"/>
    <w:rsid w:val="002F7B66"/>
    <w:rsid w:val="00300CB4"/>
    <w:rsid w:val="00300E24"/>
    <w:rsid w:val="0030257B"/>
    <w:rsid w:val="003033BA"/>
    <w:rsid w:val="00303749"/>
    <w:rsid w:val="00303866"/>
    <w:rsid w:val="00303C19"/>
    <w:rsid w:val="003043A3"/>
    <w:rsid w:val="0030462D"/>
    <w:rsid w:val="00304BD4"/>
    <w:rsid w:val="00304F54"/>
    <w:rsid w:val="0030500A"/>
    <w:rsid w:val="003052EB"/>
    <w:rsid w:val="00305FCB"/>
    <w:rsid w:val="003063C3"/>
    <w:rsid w:val="003069DC"/>
    <w:rsid w:val="00306A13"/>
    <w:rsid w:val="00306B44"/>
    <w:rsid w:val="00306C6C"/>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0C2A"/>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CC6"/>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E83"/>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3F2"/>
    <w:rsid w:val="003805DB"/>
    <w:rsid w:val="00380C7F"/>
    <w:rsid w:val="00380FB6"/>
    <w:rsid w:val="0038152A"/>
    <w:rsid w:val="0038245D"/>
    <w:rsid w:val="00382BAD"/>
    <w:rsid w:val="0038324A"/>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2A6"/>
    <w:rsid w:val="003A0878"/>
    <w:rsid w:val="003A1561"/>
    <w:rsid w:val="003A1D25"/>
    <w:rsid w:val="003A22A2"/>
    <w:rsid w:val="003A2447"/>
    <w:rsid w:val="003A2AA1"/>
    <w:rsid w:val="003A31A5"/>
    <w:rsid w:val="003A329A"/>
    <w:rsid w:val="003A3603"/>
    <w:rsid w:val="003A36AC"/>
    <w:rsid w:val="003A3851"/>
    <w:rsid w:val="003A39DD"/>
    <w:rsid w:val="003A40DB"/>
    <w:rsid w:val="003A4199"/>
    <w:rsid w:val="003A41C5"/>
    <w:rsid w:val="003A4501"/>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A11"/>
    <w:rsid w:val="003D0B98"/>
    <w:rsid w:val="003D0C3C"/>
    <w:rsid w:val="003D0DE5"/>
    <w:rsid w:val="003D1351"/>
    <w:rsid w:val="003D15B3"/>
    <w:rsid w:val="003D21C1"/>
    <w:rsid w:val="003D26AF"/>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8D"/>
    <w:rsid w:val="003E52C2"/>
    <w:rsid w:val="003E54B3"/>
    <w:rsid w:val="003E56AC"/>
    <w:rsid w:val="003E5780"/>
    <w:rsid w:val="003E5B9F"/>
    <w:rsid w:val="003E6072"/>
    <w:rsid w:val="003E60D6"/>
    <w:rsid w:val="003E6310"/>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7F2"/>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97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2FDA"/>
    <w:rsid w:val="00423D04"/>
    <w:rsid w:val="00423F9F"/>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5A7"/>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AD3"/>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09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391"/>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A6BE4"/>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571"/>
    <w:rsid w:val="004C2B27"/>
    <w:rsid w:val="004C3929"/>
    <w:rsid w:val="004C4160"/>
    <w:rsid w:val="004C5212"/>
    <w:rsid w:val="004C5EEA"/>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17A"/>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5E3"/>
    <w:rsid w:val="0051635C"/>
    <w:rsid w:val="00516C5B"/>
    <w:rsid w:val="005172DA"/>
    <w:rsid w:val="00517612"/>
    <w:rsid w:val="00517CFB"/>
    <w:rsid w:val="00517F85"/>
    <w:rsid w:val="0052002F"/>
    <w:rsid w:val="00520235"/>
    <w:rsid w:val="005203F6"/>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6053"/>
    <w:rsid w:val="005363C6"/>
    <w:rsid w:val="005369E6"/>
    <w:rsid w:val="00536B49"/>
    <w:rsid w:val="0053713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111"/>
    <w:rsid w:val="00543584"/>
    <w:rsid w:val="00543A9E"/>
    <w:rsid w:val="0054413A"/>
    <w:rsid w:val="00544288"/>
    <w:rsid w:val="005446BB"/>
    <w:rsid w:val="00544DA5"/>
    <w:rsid w:val="00544F43"/>
    <w:rsid w:val="00545997"/>
    <w:rsid w:val="00545E30"/>
    <w:rsid w:val="00545EA3"/>
    <w:rsid w:val="00546379"/>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0C9"/>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4233"/>
    <w:rsid w:val="0058425C"/>
    <w:rsid w:val="005842D0"/>
    <w:rsid w:val="005845FB"/>
    <w:rsid w:val="005855AE"/>
    <w:rsid w:val="00585829"/>
    <w:rsid w:val="00585CA8"/>
    <w:rsid w:val="00586412"/>
    <w:rsid w:val="005864B9"/>
    <w:rsid w:val="00586564"/>
    <w:rsid w:val="005866C4"/>
    <w:rsid w:val="00590F1A"/>
    <w:rsid w:val="00591488"/>
    <w:rsid w:val="00591C03"/>
    <w:rsid w:val="00591E2A"/>
    <w:rsid w:val="005923C4"/>
    <w:rsid w:val="0059397D"/>
    <w:rsid w:val="00593EA2"/>
    <w:rsid w:val="00593F75"/>
    <w:rsid w:val="005940A0"/>
    <w:rsid w:val="0059429A"/>
    <w:rsid w:val="00594CBE"/>
    <w:rsid w:val="00594EA9"/>
    <w:rsid w:val="00596AF7"/>
    <w:rsid w:val="00596CCE"/>
    <w:rsid w:val="005A1976"/>
    <w:rsid w:val="005A2120"/>
    <w:rsid w:val="005A2501"/>
    <w:rsid w:val="005A2C80"/>
    <w:rsid w:val="005A3066"/>
    <w:rsid w:val="005A3B35"/>
    <w:rsid w:val="005A3C4B"/>
    <w:rsid w:val="005A3E5A"/>
    <w:rsid w:val="005A4148"/>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56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DB6"/>
    <w:rsid w:val="005C5F05"/>
    <w:rsid w:val="005C6186"/>
    <w:rsid w:val="005C6269"/>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9EA"/>
    <w:rsid w:val="005E4B72"/>
    <w:rsid w:val="005E52C9"/>
    <w:rsid w:val="005E781C"/>
    <w:rsid w:val="005F2856"/>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0DF0"/>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5F7"/>
    <w:rsid w:val="0061186D"/>
    <w:rsid w:val="00612322"/>
    <w:rsid w:val="006123C0"/>
    <w:rsid w:val="006129AB"/>
    <w:rsid w:val="00613191"/>
    <w:rsid w:val="006133F9"/>
    <w:rsid w:val="006134B3"/>
    <w:rsid w:val="00613DE1"/>
    <w:rsid w:val="0061401F"/>
    <w:rsid w:val="00614166"/>
    <w:rsid w:val="00614721"/>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CAB"/>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79D"/>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183B"/>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729"/>
    <w:rsid w:val="006B3895"/>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DB3"/>
    <w:rsid w:val="006C37CA"/>
    <w:rsid w:val="006C39AE"/>
    <w:rsid w:val="006C40D2"/>
    <w:rsid w:val="006C4B85"/>
    <w:rsid w:val="006C4BBD"/>
    <w:rsid w:val="006C551E"/>
    <w:rsid w:val="006C5B15"/>
    <w:rsid w:val="006C5D32"/>
    <w:rsid w:val="006C5DCB"/>
    <w:rsid w:val="006C6475"/>
    <w:rsid w:val="006C70C4"/>
    <w:rsid w:val="006C741F"/>
    <w:rsid w:val="006C76D3"/>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8D7"/>
    <w:rsid w:val="006E19DC"/>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1FA"/>
    <w:rsid w:val="00700610"/>
    <w:rsid w:val="00700AD7"/>
    <w:rsid w:val="0070138A"/>
    <w:rsid w:val="0070157E"/>
    <w:rsid w:val="00701E13"/>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37B8"/>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626"/>
    <w:rsid w:val="00742332"/>
    <w:rsid w:val="00742886"/>
    <w:rsid w:val="007429E2"/>
    <w:rsid w:val="00742A3A"/>
    <w:rsid w:val="00742DD2"/>
    <w:rsid w:val="007437C6"/>
    <w:rsid w:val="007441A2"/>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CB0"/>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17FF"/>
    <w:rsid w:val="00772100"/>
    <w:rsid w:val="00772275"/>
    <w:rsid w:val="00772C9A"/>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603C"/>
    <w:rsid w:val="007A717B"/>
    <w:rsid w:val="007A7714"/>
    <w:rsid w:val="007B0302"/>
    <w:rsid w:val="007B0313"/>
    <w:rsid w:val="007B0854"/>
    <w:rsid w:val="007B0E48"/>
    <w:rsid w:val="007B19DE"/>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D19"/>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10"/>
    <w:rsid w:val="007E214A"/>
    <w:rsid w:val="007E238D"/>
    <w:rsid w:val="007E2C36"/>
    <w:rsid w:val="007E350D"/>
    <w:rsid w:val="007E3ACA"/>
    <w:rsid w:val="007E3F4A"/>
    <w:rsid w:val="007E4F0D"/>
    <w:rsid w:val="007E564D"/>
    <w:rsid w:val="007E5C4A"/>
    <w:rsid w:val="007E6135"/>
    <w:rsid w:val="007E64D4"/>
    <w:rsid w:val="007E66E9"/>
    <w:rsid w:val="007E69F2"/>
    <w:rsid w:val="007E7432"/>
    <w:rsid w:val="007E74BF"/>
    <w:rsid w:val="007E7657"/>
    <w:rsid w:val="007E7D2E"/>
    <w:rsid w:val="007F12EA"/>
    <w:rsid w:val="007F14D3"/>
    <w:rsid w:val="007F1814"/>
    <w:rsid w:val="007F1D9D"/>
    <w:rsid w:val="007F1E28"/>
    <w:rsid w:val="007F1F63"/>
    <w:rsid w:val="007F22A0"/>
    <w:rsid w:val="007F2902"/>
    <w:rsid w:val="007F2903"/>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48A"/>
    <w:rsid w:val="008059C6"/>
    <w:rsid w:val="00805AD7"/>
    <w:rsid w:val="00805BD6"/>
    <w:rsid w:val="00805DE3"/>
    <w:rsid w:val="00807C35"/>
    <w:rsid w:val="00807F35"/>
    <w:rsid w:val="00807F69"/>
    <w:rsid w:val="008100F7"/>
    <w:rsid w:val="00810206"/>
    <w:rsid w:val="0081022B"/>
    <w:rsid w:val="00810A15"/>
    <w:rsid w:val="0081154C"/>
    <w:rsid w:val="00811898"/>
    <w:rsid w:val="00811CDC"/>
    <w:rsid w:val="008124D8"/>
    <w:rsid w:val="00813A7B"/>
    <w:rsid w:val="00813F04"/>
    <w:rsid w:val="0081513E"/>
    <w:rsid w:val="00815DA5"/>
    <w:rsid w:val="00816221"/>
    <w:rsid w:val="008174F3"/>
    <w:rsid w:val="0081766B"/>
    <w:rsid w:val="008201DE"/>
    <w:rsid w:val="008205AC"/>
    <w:rsid w:val="00820705"/>
    <w:rsid w:val="00820908"/>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15"/>
    <w:rsid w:val="00836A50"/>
    <w:rsid w:val="00836E74"/>
    <w:rsid w:val="00836EAB"/>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B75"/>
    <w:rsid w:val="00850C79"/>
    <w:rsid w:val="00850D82"/>
    <w:rsid w:val="00850F79"/>
    <w:rsid w:val="0085100B"/>
    <w:rsid w:val="008510A1"/>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71A"/>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597"/>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142"/>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1CD3"/>
    <w:rsid w:val="008B263F"/>
    <w:rsid w:val="008B3045"/>
    <w:rsid w:val="008B47A6"/>
    <w:rsid w:val="008B5C7C"/>
    <w:rsid w:val="008B63FE"/>
    <w:rsid w:val="008B672C"/>
    <w:rsid w:val="008B7108"/>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1F95"/>
    <w:rsid w:val="008D3199"/>
    <w:rsid w:val="008D35D9"/>
    <w:rsid w:val="008D3B36"/>
    <w:rsid w:val="008D3B85"/>
    <w:rsid w:val="008D4268"/>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07A0D"/>
    <w:rsid w:val="00910683"/>
    <w:rsid w:val="00910E00"/>
    <w:rsid w:val="00910E04"/>
    <w:rsid w:val="009116CE"/>
    <w:rsid w:val="00911714"/>
    <w:rsid w:val="00911D04"/>
    <w:rsid w:val="00911EFF"/>
    <w:rsid w:val="0091310F"/>
    <w:rsid w:val="009133E1"/>
    <w:rsid w:val="009136D4"/>
    <w:rsid w:val="009141DD"/>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85A"/>
    <w:rsid w:val="00921E63"/>
    <w:rsid w:val="00923396"/>
    <w:rsid w:val="009238C3"/>
    <w:rsid w:val="00923F56"/>
    <w:rsid w:val="009242A6"/>
    <w:rsid w:val="00924770"/>
    <w:rsid w:val="00925346"/>
    <w:rsid w:val="00925743"/>
    <w:rsid w:val="0092579F"/>
    <w:rsid w:val="00926ECD"/>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5AF"/>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D0D"/>
    <w:rsid w:val="00947E6E"/>
    <w:rsid w:val="009512FA"/>
    <w:rsid w:val="009516A9"/>
    <w:rsid w:val="00951E57"/>
    <w:rsid w:val="00952350"/>
    <w:rsid w:val="00952505"/>
    <w:rsid w:val="00952B64"/>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11D"/>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EB8"/>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6F9"/>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500B1"/>
    <w:rsid w:val="00A51906"/>
    <w:rsid w:val="00A52A53"/>
    <w:rsid w:val="00A52EE5"/>
    <w:rsid w:val="00A52FC0"/>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2C95"/>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6D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C7F29"/>
    <w:rsid w:val="00AD09F7"/>
    <w:rsid w:val="00AD1EFA"/>
    <w:rsid w:val="00AD2072"/>
    <w:rsid w:val="00AD2DBD"/>
    <w:rsid w:val="00AD2FBF"/>
    <w:rsid w:val="00AD33A1"/>
    <w:rsid w:val="00AD340E"/>
    <w:rsid w:val="00AD455D"/>
    <w:rsid w:val="00AD463C"/>
    <w:rsid w:val="00AD47C9"/>
    <w:rsid w:val="00AD4F60"/>
    <w:rsid w:val="00AD5044"/>
    <w:rsid w:val="00AD5114"/>
    <w:rsid w:val="00AD6236"/>
    <w:rsid w:val="00AD69D5"/>
    <w:rsid w:val="00AD7619"/>
    <w:rsid w:val="00AD7770"/>
    <w:rsid w:val="00AE114B"/>
    <w:rsid w:val="00AE1772"/>
    <w:rsid w:val="00AE1990"/>
    <w:rsid w:val="00AE1B0D"/>
    <w:rsid w:val="00AE25E8"/>
    <w:rsid w:val="00AE2AD4"/>
    <w:rsid w:val="00AE2CA7"/>
    <w:rsid w:val="00AE2F1D"/>
    <w:rsid w:val="00AE4A7D"/>
    <w:rsid w:val="00AE4C81"/>
    <w:rsid w:val="00AE4E63"/>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433"/>
    <w:rsid w:val="00AF554B"/>
    <w:rsid w:val="00AF5C9B"/>
    <w:rsid w:val="00AF5D53"/>
    <w:rsid w:val="00AF5E2D"/>
    <w:rsid w:val="00AF644B"/>
    <w:rsid w:val="00AF69EB"/>
    <w:rsid w:val="00AF6CA6"/>
    <w:rsid w:val="00AF6DEC"/>
    <w:rsid w:val="00AF6EB6"/>
    <w:rsid w:val="00AF776A"/>
    <w:rsid w:val="00AF7796"/>
    <w:rsid w:val="00B011A9"/>
    <w:rsid w:val="00B01BAF"/>
    <w:rsid w:val="00B024ED"/>
    <w:rsid w:val="00B026B8"/>
    <w:rsid w:val="00B02EB3"/>
    <w:rsid w:val="00B02F7C"/>
    <w:rsid w:val="00B02FCB"/>
    <w:rsid w:val="00B033F8"/>
    <w:rsid w:val="00B03C1E"/>
    <w:rsid w:val="00B04400"/>
    <w:rsid w:val="00B04493"/>
    <w:rsid w:val="00B04835"/>
    <w:rsid w:val="00B05A55"/>
    <w:rsid w:val="00B05DE1"/>
    <w:rsid w:val="00B0659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87E"/>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704"/>
    <w:rsid w:val="00B56851"/>
    <w:rsid w:val="00B56D6E"/>
    <w:rsid w:val="00B572F7"/>
    <w:rsid w:val="00B5748D"/>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BC1"/>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5D9"/>
    <w:rsid w:val="00BA3982"/>
    <w:rsid w:val="00BA405F"/>
    <w:rsid w:val="00BA4771"/>
    <w:rsid w:val="00BA482B"/>
    <w:rsid w:val="00BA5027"/>
    <w:rsid w:val="00BA665B"/>
    <w:rsid w:val="00BA66B6"/>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5B0"/>
    <w:rsid w:val="00BC0F33"/>
    <w:rsid w:val="00BC14A7"/>
    <w:rsid w:val="00BC17CC"/>
    <w:rsid w:val="00BC200F"/>
    <w:rsid w:val="00BC209F"/>
    <w:rsid w:val="00BC24AD"/>
    <w:rsid w:val="00BC2898"/>
    <w:rsid w:val="00BC2928"/>
    <w:rsid w:val="00BC29BD"/>
    <w:rsid w:val="00BC2BB1"/>
    <w:rsid w:val="00BC34A3"/>
    <w:rsid w:val="00BC3FF9"/>
    <w:rsid w:val="00BC4834"/>
    <w:rsid w:val="00BC4A97"/>
    <w:rsid w:val="00BC5A25"/>
    <w:rsid w:val="00BC5FDD"/>
    <w:rsid w:val="00BC68B4"/>
    <w:rsid w:val="00BC71C4"/>
    <w:rsid w:val="00BC7277"/>
    <w:rsid w:val="00BD0140"/>
    <w:rsid w:val="00BD02CC"/>
    <w:rsid w:val="00BD088E"/>
    <w:rsid w:val="00BD0F18"/>
    <w:rsid w:val="00BD182E"/>
    <w:rsid w:val="00BD1A99"/>
    <w:rsid w:val="00BD2063"/>
    <w:rsid w:val="00BD2950"/>
    <w:rsid w:val="00BD337A"/>
    <w:rsid w:val="00BD33D9"/>
    <w:rsid w:val="00BD38C5"/>
    <w:rsid w:val="00BD3A6D"/>
    <w:rsid w:val="00BD3AF1"/>
    <w:rsid w:val="00BD3DEA"/>
    <w:rsid w:val="00BD3E97"/>
    <w:rsid w:val="00BD40E4"/>
    <w:rsid w:val="00BD4764"/>
    <w:rsid w:val="00BD52FE"/>
    <w:rsid w:val="00BD5575"/>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1A14"/>
    <w:rsid w:val="00BE26C0"/>
    <w:rsid w:val="00BE3442"/>
    <w:rsid w:val="00BE37CD"/>
    <w:rsid w:val="00BE3B0C"/>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9F5"/>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67E"/>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41F"/>
    <w:rsid w:val="00C165FC"/>
    <w:rsid w:val="00C16DCE"/>
    <w:rsid w:val="00C176D5"/>
    <w:rsid w:val="00C17D24"/>
    <w:rsid w:val="00C20443"/>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690A"/>
    <w:rsid w:val="00C3711C"/>
    <w:rsid w:val="00C37256"/>
    <w:rsid w:val="00C37A7B"/>
    <w:rsid w:val="00C37DC1"/>
    <w:rsid w:val="00C37FFE"/>
    <w:rsid w:val="00C40B50"/>
    <w:rsid w:val="00C419E3"/>
    <w:rsid w:val="00C419F4"/>
    <w:rsid w:val="00C41E6A"/>
    <w:rsid w:val="00C42150"/>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B83"/>
    <w:rsid w:val="00C612C4"/>
    <w:rsid w:val="00C619A1"/>
    <w:rsid w:val="00C62370"/>
    <w:rsid w:val="00C62BBB"/>
    <w:rsid w:val="00C6305F"/>
    <w:rsid w:val="00C6325B"/>
    <w:rsid w:val="00C639F2"/>
    <w:rsid w:val="00C63DDD"/>
    <w:rsid w:val="00C63E99"/>
    <w:rsid w:val="00C649B8"/>
    <w:rsid w:val="00C64A64"/>
    <w:rsid w:val="00C65151"/>
    <w:rsid w:val="00C657F4"/>
    <w:rsid w:val="00C6598D"/>
    <w:rsid w:val="00C65E0D"/>
    <w:rsid w:val="00C660FE"/>
    <w:rsid w:val="00C66119"/>
    <w:rsid w:val="00C66292"/>
    <w:rsid w:val="00C672A3"/>
    <w:rsid w:val="00C672F1"/>
    <w:rsid w:val="00C673D0"/>
    <w:rsid w:val="00C6742E"/>
    <w:rsid w:val="00C67B0B"/>
    <w:rsid w:val="00C67C0E"/>
    <w:rsid w:val="00C70012"/>
    <w:rsid w:val="00C70539"/>
    <w:rsid w:val="00C713BE"/>
    <w:rsid w:val="00C71E2A"/>
    <w:rsid w:val="00C7263A"/>
    <w:rsid w:val="00C733BA"/>
    <w:rsid w:val="00C742F6"/>
    <w:rsid w:val="00C760DC"/>
    <w:rsid w:val="00C77777"/>
    <w:rsid w:val="00C8082B"/>
    <w:rsid w:val="00C80C6B"/>
    <w:rsid w:val="00C81A88"/>
    <w:rsid w:val="00C81D46"/>
    <w:rsid w:val="00C82298"/>
    <w:rsid w:val="00C82DC7"/>
    <w:rsid w:val="00C8331F"/>
    <w:rsid w:val="00C833B4"/>
    <w:rsid w:val="00C8387A"/>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0F39"/>
    <w:rsid w:val="00CA1691"/>
    <w:rsid w:val="00CA312F"/>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6126"/>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21C"/>
    <w:rsid w:val="00CF1226"/>
    <w:rsid w:val="00CF1ABB"/>
    <w:rsid w:val="00CF1E1D"/>
    <w:rsid w:val="00CF24FE"/>
    <w:rsid w:val="00CF287F"/>
    <w:rsid w:val="00CF305E"/>
    <w:rsid w:val="00CF35D0"/>
    <w:rsid w:val="00CF3B57"/>
    <w:rsid w:val="00CF3D61"/>
    <w:rsid w:val="00CF3DD5"/>
    <w:rsid w:val="00CF43E7"/>
    <w:rsid w:val="00CF4AF7"/>
    <w:rsid w:val="00CF4D20"/>
    <w:rsid w:val="00CF73F8"/>
    <w:rsid w:val="00CF7675"/>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105"/>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13E"/>
    <w:rsid w:val="00D41858"/>
    <w:rsid w:val="00D41C1E"/>
    <w:rsid w:val="00D41EEB"/>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88"/>
    <w:rsid w:val="00D620A6"/>
    <w:rsid w:val="00D623C0"/>
    <w:rsid w:val="00D62BE6"/>
    <w:rsid w:val="00D63359"/>
    <w:rsid w:val="00D63706"/>
    <w:rsid w:val="00D63766"/>
    <w:rsid w:val="00D63912"/>
    <w:rsid w:val="00D63923"/>
    <w:rsid w:val="00D63B5F"/>
    <w:rsid w:val="00D6451B"/>
    <w:rsid w:val="00D649FD"/>
    <w:rsid w:val="00D64B57"/>
    <w:rsid w:val="00D650F4"/>
    <w:rsid w:val="00D65145"/>
    <w:rsid w:val="00D651A1"/>
    <w:rsid w:val="00D65DEA"/>
    <w:rsid w:val="00D6650F"/>
    <w:rsid w:val="00D66579"/>
    <w:rsid w:val="00D668FA"/>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77D89"/>
    <w:rsid w:val="00D8039E"/>
    <w:rsid w:val="00D8044C"/>
    <w:rsid w:val="00D805D6"/>
    <w:rsid w:val="00D8075E"/>
    <w:rsid w:val="00D80860"/>
    <w:rsid w:val="00D80D4C"/>
    <w:rsid w:val="00D8184D"/>
    <w:rsid w:val="00D81A7B"/>
    <w:rsid w:val="00D8223C"/>
    <w:rsid w:val="00D8295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3165"/>
    <w:rsid w:val="00DB4292"/>
    <w:rsid w:val="00DB5023"/>
    <w:rsid w:val="00DB52D2"/>
    <w:rsid w:val="00DB6E46"/>
    <w:rsid w:val="00DB7117"/>
    <w:rsid w:val="00DB7760"/>
    <w:rsid w:val="00DB793B"/>
    <w:rsid w:val="00DB7DD4"/>
    <w:rsid w:val="00DC00B4"/>
    <w:rsid w:val="00DC0954"/>
    <w:rsid w:val="00DC0DF8"/>
    <w:rsid w:val="00DC15BA"/>
    <w:rsid w:val="00DC18CD"/>
    <w:rsid w:val="00DC1A68"/>
    <w:rsid w:val="00DC2072"/>
    <w:rsid w:val="00DC2B50"/>
    <w:rsid w:val="00DC30B8"/>
    <w:rsid w:val="00DC478F"/>
    <w:rsid w:val="00DC61AC"/>
    <w:rsid w:val="00DC62E5"/>
    <w:rsid w:val="00DC66D2"/>
    <w:rsid w:val="00DC6D70"/>
    <w:rsid w:val="00DC6DAA"/>
    <w:rsid w:val="00DC6F33"/>
    <w:rsid w:val="00DC7349"/>
    <w:rsid w:val="00DC7351"/>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6FC5"/>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04D"/>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5F83"/>
    <w:rsid w:val="00E16382"/>
    <w:rsid w:val="00E1699C"/>
    <w:rsid w:val="00E16E75"/>
    <w:rsid w:val="00E1746D"/>
    <w:rsid w:val="00E2012A"/>
    <w:rsid w:val="00E205A2"/>
    <w:rsid w:val="00E20BA4"/>
    <w:rsid w:val="00E210D0"/>
    <w:rsid w:val="00E21887"/>
    <w:rsid w:val="00E21CC0"/>
    <w:rsid w:val="00E22F2C"/>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548"/>
    <w:rsid w:val="00E34E6C"/>
    <w:rsid w:val="00E353E2"/>
    <w:rsid w:val="00E35CD8"/>
    <w:rsid w:val="00E36345"/>
    <w:rsid w:val="00E36C86"/>
    <w:rsid w:val="00E36CEB"/>
    <w:rsid w:val="00E37A28"/>
    <w:rsid w:val="00E400C7"/>
    <w:rsid w:val="00E40430"/>
    <w:rsid w:val="00E40690"/>
    <w:rsid w:val="00E40AEB"/>
    <w:rsid w:val="00E40E82"/>
    <w:rsid w:val="00E41141"/>
    <w:rsid w:val="00E4143A"/>
    <w:rsid w:val="00E42306"/>
    <w:rsid w:val="00E424C8"/>
    <w:rsid w:val="00E4251D"/>
    <w:rsid w:val="00E427EF"/>
    <w:rsid w:val="00E43D00"/>
    <w:rsid w:val="00E43FCB"/>
    <w:rsid w:val="00E443B4"/>
    <w:rsid w:val="00E445E4"/>
    <w:rsid w:val="00E457CB"/>
    <w:rsid w:val="00E45D47"/>
    <w:rsid w:val="00E45DE4"/>
    <w:rsid w:val="00E45E63"/>
    <w:rsid w:val="00E47027"/>
    <w:rsid w:val="00E4759C"/>
    <w:rsid w:val="00E50A7B"/>
    <w:rsid w:val="00E50B0B"/>
    <w:rsid w:val="00E50C57"/>
    <w:rsid w:val="00E510FE"/>
    <w:rsid w:val="00E514BA"/>
    <w:rsid w:val="00E51ABD"/>
    <w:rsid w:val="00E51E25"/>
    <w:rsid w:val="00E5205B"/>
    <w:rsid w:val="00E521AE"/>
    <w:rsid w:val="00E52685"/>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87D0B"/>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026"/>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02E"/>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11E"/>
    <w:rsid w:val="00EE366D"/>
    <w:rsid w:val="00EE40A4"/>
    <w:rsid w:val="00EE5454"/>
    <w:rsid w:val="00EE59B5"/>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9E6"/>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BCF"/>
    <w:rsid w:val="00F90C4D"/>
    <w:rsid w:val="00F9167D"/>
    <w:rsid w:val="00F91CB2"/>
    <w:rsid w:val="00F927E8"/>
    <w:rsid w:val="00F9289C"/>
    <w:rsid w:val="00F92FC1"/>
    <w:rsid w:val="00F932D1"/>
    <w:rsid w:val="00F9374B"/>
    <w:rsid w:val="00F93DBC"/>
    <w:rsid w:val="00F93E41"/>
    <w:rsid w:val="00F94644"/>
    <w:rsid w:val="00F952E4"/>
    <w:rsid w:val="00F9537B"/>
    <w:rsid w:val="00F96079"/>
    <w:rsid w:val="00F963FC"/>
    <w:rsid w:val="00F97CF1"/>
    <w:rsid w:val="00FA015F"/>
    <w:rsid w:val="00FA0FAC"/>
    <w:rsid w:val="00FA10F7"/>
    <w:rsid w:val="00FA1C4A"/>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4E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699"/>
    <w:rsid w:val="00FC6A39"/>
    <w:rsid w:val="00FC6DB9"/>
    <w:rsid w:val="00FC73C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7961">
      <w:bodyDiv w:val="1"/>
      <w:marLeft w:val="0"/>
      <w:marRight w:val="0"/>
      <w:marTop w:val="0"/>
      <w:marBottom w:val="0"/>
      <w:divBdr>
        <w:top w:val="none" w:sz="0" w:space="0" w:color="auto"/>
        <w:left w:val="none" w:sz="0" w:space="0" w:color="auto"/>
        <w:bottom w:val="none" w:sz="0" w:space="0" w:color="auto"/>
        <w:right w:val="none" w:sz="0" w:space="0" w:color="auto"/>
      </w:divBdr>
      <w:divsChild>
        <w:div w:id="1931157724">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73</TotalTime>
  <Pages>22</Pages>
  <Words>9426</Words>
  <Characters>51849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30</cp:revision>
  <cp:lastPrinted>2020-01-30T15:05:00Z</cp:lastPrinted>
  <dcterms:created xsi:type="dcterms:W3CDTF">2021-05-03T19:36:00Z</dcterms:created>
  <dcterms:modified xsi:type="dcterms:W3CDTF">2021-05-03T21:19:00Z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