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0CA03BB4" w:rsidR="00DD5B04" w:rsidRPr="008C036D" w:rsidRDefault="002411DE" w:rsidP="00AA7A60">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p>
    <w:bookmarkEnd w:id="0"/>
    <w:bookmarkEnd w:id="1"/>
    <w:p w14:paraId="3CCB3D6C" w14:textId="77777777" w:rsidR="009D18F8" w:rsidRDefault="009D18F8" w:rsidP="00E548C3">
      <w:pPr>
        <w:jc w:val="both"/>
        <w:rPr>
          <w:rFonts w:ascii="Arial" w:eastAsia="Calibri" w:hAnsi="Arial" w:cs="Arial"/>
          <w:b/>
          <w:bCs/>
          <w:color w:val="000000" w:themeColor="text1"/>
          <w:sz w:val="22"/>
          <w:lang w:val="es-ES_tradnl"/>
        </w:rPr>
      </w:pPr>
    </w:p>
    <w:p w14:paraId="040F131D" w14:textId="1199F491" w:rsidR="00A329F8" w:rsidRDefault="00A329F8" w:rsidP="00A329F8">
      <w:pPr>
        <w:jc w:val="both"/>
        <w:rPr>
          <w:rFonts w:ascii="Arial" w:eastAsia="Calibri" w:hAnsi="Arial" w:cs="Arial"/>
          <w:b/>
          <w:bCs/>
          <w:color w:val="000000" w:themeColor="text1"/>
          <w:sz w:val="22"/>
          <w:szCs w:val="22"/>
          <w:lang w:val="es-ES_tradnl" w:eastAsia="en-US"/>
        </w:rPr>
      </w:pPr>
      <w:r>
        <w:rPr>
          <w:rFonts w:ascii="Arial" w:eastAsia="Calibri" w:hAnsi="Arial" w:cs="Arial"/>
          <w:b/>
          <w:bCs/>
          <w:color w:val="000000" w:themeColor="text1"/>
          <w:sz w:val="22"/>
          <w:lang w:val="es-ES_tradnl"/>
        </w:rPr>
        <w:t xml:space="preserve">INHABILIDADES ― Límites a la capacidad </w:t>
      </w:r>
    </w:p>
    <w:p w14:paraId="515CFAA7" w14:textId="77777777" w:rsidR="00A329F8" w:rsidRDefault="00A329F8" w:rsidP="00A329F8">
      <w:pPr>
        <w:jc w:val="both"/>
        <w:rPr>
          <w:rFonts w:ascii="Arial" w:eastAsia="Calibri" w:hAnsi="Arial" w:cs="Arial"/>
          <w:b/>
          <w:bCs/>
          <w:color w:val="000000" w:themeColor="text1"/>
          <w:sz w:val="20"/>
          <w:szCs w:val="20"/>
          <w:lang w:val="es-ES_tradnl"/>
        </w:rPr>
      </w:pPr>
    </w:p>
    <w:p w14:paraId="7708BE91" w14:textId="77777777" w:rsidR="00A329F8" w:rsidRDefault="00A329F8" w:rsidP="00A329F8">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En la contratación estatal, la </w:t>
      </w:r>
      <w:r>
        <w:rPr>
          <w:rFonts w:ascii="Arial" w:eastAsia="Calibri" w:hAnsi="Arial" w:cs="Arial"/>
          <w:i/>
          <w:iCs/>
          <w:color w:val="000000" w:themeColor="text1"/>
          <w:sz w:val="20"/>
          <w:szCs w:val="20"/>
          <w:lang w:val="es-ES_tradnl"/>
        </w:rPr>
        <w:t>capacidad</w:t>
      </w:r>
      <w:r>
        <w:rPr>
          <w:rFonts w:ascii="Arial" w:eastAsia="Calibri" w:hAnsi="Arial" w:cs="Arial"/>
          <w:color w:val="000000" w:themeColor="text1"/>
          <w:sz w:val="20"/>
          <w:szCs w:val="20"/>
          <w:lang w:val="es-ES_tradnl"/>
        </w:rPr>
        <w:t xml:space="preserve">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se destaca el régimen de inhabilidades e incompatibilidades como un conjunto de enunciados normativos que imponen restricciones para los sujetos que, eventualmente, pretendan participar en los procedimientos de selección o celebrar contratos con las entidades estatales.</w:t>
      </w:r>
    </w:p>
    <w:p w14:paraId="2583C214" w14:textId="77777777" w:rsidR="00A329F8" w:rsidRDefault="00A329F8" w:rsidP="00A329F8">
      <w:pPr>
        <w:jc w:val="both"/>
        <w:rPr>
          <w:rFonts w:ascii="Arial" w:eastAsia="Calibri" w:hAnsi="Arial" w:cs="Arial"/>
          <w:color w:val="000000" w:themeColor="text1"/>
          <w:sz w:val="20"/>
          <w:szCs w:val="20"/>
          <w:lang w:val="es-ES_tradnl"/>
        </w:rPr>
      </w:pPr>
    </w:p>
    <w:p w14:paraId="4AB9476A" w14:textId="20EF167B" w:rsidR="00A329F8" w:rsidRDefault="00A329F8" w:rsidP="00A329F8">
      <w:pPr>
        <w:jc w:val="both"/>
        <w:rPr>
          <w:rFonts w:ascii="Arial" w:eastAsia="Calibri" w:hAnsi="Arial" w:cs="Arial"/>
          <w:b/>
          <w:bCs/>
          <w:color w:val="000000" w:themeColor="text1"/>
          <w:sz w:val="22"/>
          <w:szCs w:val="22"/>
          <w:lang w:val="es-ES_tradnl"/>
        </w:rPr>
      </w:pPr>
      <w:r>
        <w:rPr>
          <w:rFonts w:ascii="Arial" w:eastAsia="Calibri" w:hAnsi="Arial" w:cs="Arial"/>
          <w:b/>
          <w:bCs/>
          <w:color w:val="000000" w:themeColor="text1"/>
          <w:sz w:val="22"/>
          <w:lang w:val="es-ES_tradnl"/>
        </w:rPr>
        <w:t xml:space="preserve">INHABILIDADES ― Concepto ― </w:t>
      </w:r>
      <w:r w:rsidR="00B15930">
        <w:rPr>
          <w:rFonts w:ascii="Arial" w:eastAsia="Calibri" w:hAnsi="Arial" w:cs="Arial"/>
          <w:b/>
          <w:bCs/>
          <w:color w:val="000000" w:themeColor="text1"/>
          <w:sz w:val="22"/>
          <w:lang w:val="es-ES_tradnl"/>
        </w:rPr>
        <w:t>Tipos</w:t>
      </w:r>
    </w:p>
    <w:p w14:paraId="40F598A8" w14:textId="77777777" w:rsidR="00A329F8" w:rsidRDefault="00A329F8" w:rsidP="00A329F8">
      <w:pPr>
        <w:jc w:val="both"/>
        <w:rPr>
          <w:rFonts w:ascii="Arial" w:eastAsia="Calibri" w:hAnsi="Arial" w:cs="Arial"/>
          <w:color w:val="000000" w:themeColor="text1"/>
          <w:sz w:val="20"/>
          <w:szCs w:val="20"/>
          <w:lang w:val="es-ES_tradnl"/>
        </w:rPr>
      </w:pPr>
    </w:p>
    <w:p w14:paraId="45D6D1F3" w14:textId="2B7301A3" w:rsidR="00B15930" w:rsidRDefault="00B15930" w:rsidP="00B15930">
      <w:pPr>
        <w:jc w:val="both"/>
        <w:rPr>
          <w:rFonts w:ascii="Arial" w:eastAsia="Calibri" w:hAnsi="Arial" w:cs="Arial"/>
          <w:color w:val="000000" w:themeColor="text1"/>
          <w:sz w:val="20"/>
          <w:szCs w:val="20"/>
          <w:lang w:val="es-ES_tradnl"/>
        </w:rPr>
      </w:pPr>
      <w:r w:rsidRPr="00B15930">
        <w:rPr>
          <w:rFonts w:ascii="Arial" w:eastAsia="Calibri" w:hAnsi="Arial" w:cs="Arial"/>
          <w:color w:val="000000" w:themeColor="text1"/>
          <w:sz w:val="20"/>
          <w:szCs w:val="20"/>
          <w:lang w:val="es-ES_tradnl"/>
        </w:rPr>
        <w:t xml:space="preserve">Las inhabilidades son prohibiciones para concurrir en los procedimientos de selección y para contratar con el Estado, que se derivan i) de la existencia de comportamientos reprochables de sanciones anteriormente impuestas, </w:t>
      </w:r>
      <w:proofErr w:type="spellStart"/>
      <w:r w:rsidRPr="00B15930">
        <w:rPr>
          <w:rFonts w:ascii="Arial" w:eastAsia="Calibri" w:hAnsi="Arial" w:cs="Arial"/>
          <w:color w:val="000000" w:themeColor="text1"/>
          <w:sz w:val="20"/>
          <w:szCs w:val="20"/>
          <w:lang w:val="es-ES_tradnl"/>
        </w:rPr>
        <w:t>ii</w:t>
      </w:r>
      <w:proofErr w:type="spellEnd"/>
      <w:r w:rsidRPr="00B15930">
        <w:rPr>
          <w:rFonts w:ascii="Arial" w:eastAsia="Calibri" w:hAnsi="Arial" w:cs="Arial"/>
          <w:color w:val="000000" w:themeColor="text1"/>
          <w:sz w:val="20"/>
          <w:szCs w:val="20"/>
          <w:lang w:val="es-ES_tradnl"/>
        </w:rPr>
        <w:t>) de vínculos personales relativos al parentesco o al estado civil</w:t>
      </w:r>
      <w:r w:rsidRPr="00B15930">
        <w:rPr>
          <w:rFonts w:ascii="Arial" w:eastAsia="Calibri" w:hAnsi="Arial" w:cs="Arial"/>
          <w:color w:val="000000" w:themeColor="text1"/>
          <w:sz w:val="20"/>
          <w:szCs w:val="20"/>
          <w:vertAlign w:val="superscript"/>
          <w:lang w:val="es-ES_tradnl"/>
        </w:rPr>
        <w:t xml:space="preserve"> </w:t>
      </w:r>
      <w:r w:rsidRPr="00B15930">
        <w:rPr>
          <w:rFonts w:ascii="Arial" w:eastAsia="Calibri" w:hAnsi="Arial" w:cs="Arial"/>
          <w:color w:val="000000" w:themeColor="text1"/>
          <w:sz w:val="20"/>
          <w:szCs w:val="20"/>
          <w:lang w:val="es-ES_tradnl"/>
        </w:rPr>
        <w:t xml:space="preserve">o </w:t>
      </w:r>
      <w:proofErr w:type="spellStart"/>
      <w:r w:rsidRPr="00B15930">
        <w:rPr>
          <w:rFonts w:ascii="Arial" w:eastAsia="Calibri" w:hAnsi="Arial" w:cs="Arial"/>
          <w:color w:val="000000" w:themeColor="text1"/>
          <w:sz w:val="20"/>
          <w:szCs w:val="20"/>
          <w:lang w:val="es-ES_tradnl"/>
        </w:rPr>
        <w:t>iii</w:t>
      </w:r>
      <w:proofErr w:type="spellEnd"/>
      <w:r w:rsidRPr="00B15930">
        <w:rPr>
          <w:rFonts w:ascii="Arial" w:eastAsia="Calibri" w:hAnsi="Arial" w:cs="Arial"/>
          <w:color w:val="000000" w:themeColor="text1"/>
          <w:sz w:val="20"/>
          <w:szCs w:val="20"/>
          <w:lang w:val="es-ES_tradnl"/>
        </w:rPr>
        <w:t>) de una actividad u oficio que se desempeñó en el pasado.</w:t>
      </w:r>
    </w:p>
    <w:p w14:paraId="76129BCF" w14:textId="77777777" w:rsidR="00B15930" w:rsidRPr="00B15930" w:rsidRDefault="00B15930" w:rsidP="00B15930">
      <w:pPr>
        <w:jc w:val="both"/>
        <w:rPr>
          <w:rFonts w:ascii="Arial" w:eastAsia="Calibri" w:hAnsi="Arial" w:cs="Arial"/>
          <w:color w:val="000000" w:themeColor="text1"/>
          <w:sz w:val="20"/>
          <w:szCs w:val="20"/>
          <w:lang w:val="es-ES_tradnl"/>
        </w:rPr>
      </w:pPr>
    </w:p>
    <w:p w14:paraId="28EE3522" w14:textId="14BEFC17" w:rsidR="00A329F8" w:rsidRDefault="00B15930" w:rsidP="00A329F8">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MX"/>
        </w:rPr>
        <w:t xml:space="preserve">[…] </w:t>
      </w:r>
      <w:r w:rsidRPr="00B15930">
        <w:rPr>
          <w:rFonts w:ascii="Arial" w:eastAsia="Calibri" w:hAnsi="Arial" w:cs="Arial"/>
          <w:color w:val="000000" w:themeColor="text1"/>
          <w:sz w:val="20"/>
          <w:szCs w:val="20"/>
          <w:lang w:val="es-MX"/>
        </w:rPr>
        <w:t>conviene acudir a la distinción que se ha trazado en torno a la fuente de las inhabilidades, las cuales han sido clasificadas en dos grupos</w:t>
      </w:r>
      <w:r>
        <w:rPr>
          <w:rFonts w:ascii="Arial" w:eastAsia="Calibri" w:hAnsi="Arial" w:cs="Arial"/>
          <w:color w:val="000000" w:themeColor="text1"/>
          <w:sz w:val="20"/>
          <w:szCs w:val="20"/>
          <w:lang w:val="es-MX"/>
        </w:rPr>
        <w:t xml:space="preserve"> </w:t>
      </w:r>
      <w:r w:rsidRPr="00B15930">
        <w:rPr>
          <w:rFonts w:ascii="Arial" w:eastAsia="Calibri" w:hAnsi="Arial" w:cs="Arial"/>
          <w:color w:val="000000" w:themeColor="text1"/>
          <w:sz w:val="20"/>
          <w:szCs w:val="20"/>
          <w:lang w:val="es-MX"/>
        </w:rPr>
        <w:t xml:space="preserve">i) inhabilidades-sanción y </w:t>
      </w:r>
      <w:proofErr w:type="spellStart"/>
      <w:r w:rsidRPr="00B15930">
        <w:rPr>
          <w:rFonts w:ascii="Arial" w:eastAsia="Calibri" w:hAnsi="Arial" w:cs="Arial"/>
          <w:color w:val="000000" w:themeColor="text1"/>
          <w:sz w:val="20"/>
          <w:szCs w:val="20"/>
          <w:lang w:val="es-MX"/>
        </w:rPr>
        <w:t>ii</w:t>
      </w:r>
      <w:proofErr w:type="spellEnd"/>
      <w:r w:rsidRPr="00B15930">
        <w:rPr>
          <w:rFonts w:ascii="Arial" w:eastAsia="Calibri" w:hAnsi="Arial" w:cs="Arial"/>
          <w:color w:val="000000" w:themeColor="text1"/>
          <w:sz w:val="20"/>
          <w:szCs w:val="20"/>
          <w:lang w:val="es-MX"/>
        </w:rPr>
        <w:t>) inhabilidades-requisito. En el primer grupo se encuentran las inhabilidades que surgen como consecuencia de un proceso sancionatorio, en los ámbitos penal, disciplinario, contravencional o de punición por indignidad política –pérdida de investidura–. En el segundo grupo están aquellas que no devienen de un proceso sancionatorio sino de condiciones propias de la persona y buscan garantizar la moralidad, la imparcialidad, la eficacia y la transparencia</w:t>
      </w:r>
      <w:r w:rsidRPr="00B15930">
        <w:rPr>
          <w:rFonts w:ascii="Arial" w:eastAsia="Calibri" w:hAnsi="Arial" w:cs="Arial"/>
          <w:color w:val="000000" w:themeColor="text1"/>
          <w:sz w:val="20"/>
          <w:szCs w:val="20"/>
          <w:lang w:val="es-ES_tradnl"/>
        </w:rPr>
        <w:t xml:space="preserve"> </w:t>
      </w:r>
    </w:p>
    <w:p w14:paraId="5579137F" w14:textId="77777777" w:rsidR="00A329F8" w:rsidRDefault="00A329F8" w:rsidP="00A329F8">
      <w:pPr>
        <w:jc w:val="both"/>
        <w:rPr>
          <w:rFonts w:ascii="Arial" w:eastAsia="Calibri" w:hAnsi="Arial" w:cs="Arial"/>
          <w:color w:val="000000" w:themeColor="text1"/>
          <w:sz w:val="20"/>
          <w:szCs w:val="20"/>
          <w:lang w:val="es-ES_tradnl"/>
        </w:rPr>
      </w:pPr>
    </w:p>
    <w:p w14:paraId="20EDC72E" w14:textId="5315EA77" w:rsidR="00A329F8" w:rsidRDefault="00A329F8" w:rsidP="00A329F8">
      <w:pPr>
        <w:jc w:val="both"/>
        <w:rPr>
          <w:rFonts w:ascii="Arial" w:eastAsia="Calibri" w:hAnsi="Arial" w:cs="Arial"/>
          <w:b/>
          <w:bCs/>
          <w:color w:val="000000" w:themeColor="text1"/>
          <w:sz w:val="22"/>
          <w:szCs w:val="22"/>
          <w:lang w:val="es-ES_tradnl"/>
        </w:rPr>
      </w:pPr>
      <w:r>
        <w:rPr>
          <w:rFonts w:ascii="Arial" w:eastAsia="Calibri" w:hAnsi="Arial" w:cs="Arial"/>
          <w:b/>
          <w:bCs/>
          <w:color w:val="000000" w:themeColor="text1"/>
          <w:sz w:val="22"/>
          <w:lang w:val="es-ES_tradnl"/>
        </w:rPr>
        <w:t xml:space="preserve">INHABILIDADES ― Interpretación restrictiva ― Principio </w:t>
      </w:r>
      <w:r>
        <w:rPr>
          <w:rFonts w:ascii="Arial" w:eastAsia="Calibri" w:hAnsi="Arial" w:cs="Arial"/>
          <w:b/>
          <w:bCs/>
          <w:i/>
          <w:iCs/>
          <w:color w:val="000000" w:themeColor="text1"/>
          <w:sz w:val="22"/>
          <w:lang w:val="es-ES_tradnl"/>
        </w:rPr>
        <w:t xml:space="preserve">pro </w:t>
      </w:r>
      <w:proofErr w:type="spellStart"/>
      <w:r>
        <w:rPr>
          <w:rFonts w:ascii="Arial" w:eastAsia="Calibri" w:hAnsi="Arial" w:cs="Arial"/>
          <w:b/>
          <w:bCs/>
          <w:i/>
          <w:iCs/>
          <w:color w:val="000000" w:themeColor="text1"/>
          <w:sz w:val="22"/>
          <w:lang w:val="es-ES_tradnl"/>
        </w:rPr>
        <w:t>libertate</w:t>
      </w:r>
      <w:proofErr w:type="spellEnd"/>
    </w:p>
    <w:p w14:paraId="5CFEF398" w14:textId="77777777" w:rsidR="00A329F8" w:rsidRDefault="00A329F8" w:rsidP="00A329F8">
      <w:pPr>
        <w:jc w:val="both"/>
        <w:rPr>
          <w:rFonts w:ascii="Arial" w:eastAsia="Calibri" w:hAnsi="Arial" w:cs="Arial"/>
          <w:color w:val="000000" w:themeColor="text1"/>
          <w:sz w:val="20"/>
          <w:szCs w:val="20"/>
          <w:lang w:val="es-ES_tradnl"/>
        </w:rPr>
      </w:pPr>
    </w:p>
    <w:p w14:paraId="3BD3FDCA" w14:textId="7DD9BE1E" w:rsidR="00A329F8" w:rsidRDefault="00A329F8" w:rsidP="00A329F8">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Pr>
          <w:rFonts w:ascii="Arial" w:eastAsia="Calibri" w:hAnsi="Arial" w:cs="Arial"/>
          <w:i/>
          <w:iCs/>
          <w:color w:val="000000" w:themeColor="text1"/>
          <w:sz w:val="20"/>
          <w:szCs w:val="20"/>
          <w:lang w:val="es-ES_tradnl"/>
        </w:rPr>
        <w:t>restrictiva</w:t>
      </w:r>
      <w:r>
        <w:rPr>
          <w:rFonts w:ascii="Arial" w:eastAsia="Calibri" w:hAnsi="Arial" w:cs="Arial"/>
          <w:color w:val="000000" w:themeColor="text1"/>
          <w:sz w:val="20"/>
          <w:szCs w:val="20"/>
          <w:lang w:val="es-ES_tradnl"/>
        </w:rPr>
        <w:t xml:space="preserve">,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w:t>
      </w:r>
    </w:p>
    <w:p w14:paraId="4EBBF39E" w14:textId="77777777" w:rsidR="00A329F8" w:rsidRDefault="00A329F8" w:rsidP="00A329F8">
      <w:pPr>
        <w:spacing w:after="120"/>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p>
    <w:p w14:paraId="1B7DC7F2" w14:textId="77777777" w:rsidR="00A329F8" w:rsidRDefault="00A329F8" w:rsidP="00A329F8">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Como se aprecia, el principio </w:t>
      </w:r>
      <w:r>
        <w:rPr>
          <w:rFonts w:ascii="Arial" w:eastAsia="Calibri" w:hAnsi="Arial" w:cs="Arial"/>
          <w:i/>
          <w:iCs/>
          <w:color w:val="000000" w:themeColor="text1"/>
          <w:sz w:val="20"/>
          <w:szCs w:val="20"/>
          <w:lang w:val="es-ES_tradnl"/>
        </w:rPr>
        <w:t xml:space="preserve">pro </w:t>
      </w:r>
      <w:proofErr w:type="spellStart"/>
      <w:r>
        <w:rPr>
          <w:rFonts w:ascii="Arial" w:eastAsia="Calibri" w:hAnsi="Arial" w:cs="Arial"/>
          <w:i/>
          <w:iCs/>
          <w:color w:val="000000" w:themeColor="text1"/>
          <w:sz w:val="20"/>
          <w:szCs w:val="20"/>
          <w:lang w:val="es-ES_tradnl"/>
        </w:rPr>
        <w:t>libertate</w:t>
      </w:r>
      <w:proofErr w:type="spellEnd"/>
      <w:r>
        <w:rPr>
          <w:rFonts w:ascii="Arial" w:eastAsia="Calibri" w:hAnsi="Arial" w:cs="Arial"/>
          <w:color w:val="000000" w:themeColor="text1"/>
          <w:sz w:val="20"/>
          <w:szCs w:val="20"/>
          <w:lang w:val="es-ES_tradnl"/>
        </w:rPr>
        <w:t xml:space="preserve"> es el que debe dirigir la interpretación de las disposiciones normativas que consagran restricciones de derechos, como sucede con las causales de inhabilidad e incompatibilidad en la contratación estatal.</w:t>
      </w:r>
    </w:p>
    <w:p w14:paraId="215D8E81" w14:textId="77777777" w:rsidR="00A329F8" w:rsidRDefault="00A329F8" w:rsidP="00E548C3">
      <w:pPr>
        <w:jc w:val="both"/>
        <w:rPr>
          <w:rFonts w:ascii="Arial" w:eastAsia="Calibri" w:hAnsi="Arial" w:cs="Arial"/>
          <w:b/>
          <w:bCs/>
          <w:color w:val="000000" w:themeColor="text1"/>
          <w:sz w:val="22"/>
          <w:lang w:val="es-ES_tradnl"/>
        </w:rPr>
      </w:pPr>
    </w:p>
    <w:p w14:paraId="6A3E940E" w14:textId="60C55C17" w:rsidR="00B15930" w:rsidRDefault="00B15930" w:rsidP="00B15930">
      <w:pPr>
        <w:jc w:val="both"/>
        <w:rPr>
          <w:rFonts w:ascii="Arial" w:eastAsia="Calibri" w:hAnsi="Arial" w:cs="Arial"/>
          <w:b/>
          <w:bCs/>
          <w:color w:val="000000" w:themeColor="text1"/>
          <w:sz w:val="22"/>
          <w:szCs w:val="22"/>
          <w:lang w:val="es-ES_tradnl" w:eastAsia="en-US"/>
        </w:rPr>
      </w:pPr>
      <w:r>
        <w:rPr>
          <w:rFonts w:ascii="Arial" w:eastAsia="Calibri" w:hAnsi="Arial" w:cs="Arial"/>
          <w:b/>
          <w:bCs/>
          <w:color w:val="000000" w:themeColor="text1"/>
          <w:sz w:val="22"/>
          <w:lang w:val="es-ES_tradnl"/>
        </w:rPr>
        <w:t xml:space="preserve">INHABILIDADES ― Ley 1296 de 2009 ― Alcance   </w:t>
      </w:r>
    </w:p>
    <w:p w14:paraId="0ED0B6DB" w14:textId="77777777" w:rsidR="00EC36B1" w:rsidRDefault="00EC36B1" w:rsidP="00EC36B1">
      <w:pPr>
        <w:jc w:val="both"/>
        <w:rPr>
          <w:rFonts w:ascii="Arial" w:eastAsia="Calibri" w:hAnsi="Arial" w:cs="Arial"/>
          <w:sz w:val="20"/>
          <w:szCs w:val="20"/>
          <w:lang w:val="es-ES_tradnl"/>
        </w:rPr>
      </w:pPr>
    </w:p>
    <w:p w14:paraId="6936BBD9" w14:textId="0A8B23B9" w:rsidR="00B15930" w:rsidRDefault="00B15930" w:rsidP="0081325C">
      <w:pPr>
        <w:jc w:val="both"/>
        <w:rPr>
          <w:rFonts w:ascii="Arial" w:eastAsia="Calibri" w:hAnsi="Arial" w:cs="Arial"/>
          <w:sz w:val="20"/>
          <w:szCs w:val="20"/>
          <w:lang w:val="es-ES_tradnl"/>
        </w:rPr>
      </w:pPr>
      <w:r w:rsidRPr="00B15930">
        <w:rPr>
          <w:rFonts w:ascii="Arial" w:eastAsia="Calibri" w:hAnsi="Arial" w:cs="Arial"/>
          <w:sz w:val="20"/>
          <w:szCs w:val="20"/>
          <w:lang w:val="es-ES_tradnl"/>
        </w:rPr>
        <w:t xml:space="preserve">El artículo 1° de la Ley 1296 de 2009, que modifica el inciso 3 del artículo 1° de la Ley 1148 de 2011, modificatorio del artículo 49 de la Ley 617 del 2000, establece que «Los cónyuges o compañeros permanentes de los gobernadores, diputados, alcaldes municipales y distritales, concejales municipales y distritales y sus parientes dentro del cuarto grado de consanguinidad, segundo de afinidad, o primero civil no podrán ser contratistas del respectivo departamento, distrito o municipio, o de sus entidades descentralizadas, ni directa, ni indirectamente». </w:t>
      </w:r>
    </w:p>
    <w:p w14:paraId="4218D493" w14:textId="77777777" w:rsidR="00B15930" w:rsidRDefault="00B15930" w:rsidP="0081325C">
      <w:pPr>
        <w:jc w:val="both"/>
        <w:rPr>
          <w:rFonts w:ascii="Arial" w:eastAsia="Calibri" w:hAnsi="Arial" w:cs="Arial"/>
          <w:sz w:val="20"/>
          <w:szCs w:val="20"/>
          <w:lang w:val="es-ES_tradnl"/>
        </w:rPr>
      </w:pPr>
    </w:p>
    <w:p w14:paraId="0EB49ABB" w14:textId="73D15E3A" w:rsidR="00B15930" w:rsidRDefault="00B15930" w:rsidP="0081325C">
      <w:pPr>
        <w:jc w:val="both"/>
        <w:rPr>
          <w:rFonts w:ascii="Arial" w:eastAsia="Calibri" w:hAnsi="Arial" w:cs="Arial"/>
          <w:sz w:val="20"/>
          <w:szCs w:val="20"/>
          <w:lang w:val="es-ES"/>
        </w:rPr>
      </w:pPr>
      <w:r w:rsidRPr="00B15930">
        <w:rPr>
          <w:rFonts w:ascii="Arial" w:eastAsia="Calibri" w:hAnsi="Arial" w:cs="Arial"/>
          <w:sz w:val="20"/>
          <w:szCs w:val="20"/>
          <w:lang w:val="es-ES_tradnl"/>
        </w:rPr>
        <w:t xml:space="preserve">la citada inhabilidad tiene fundamento en las relaciones familiares o de parentesco </w:t>
      </w:r>
      <w:r w:rsidRPr="00B15930">
        <w:rPr>
          <w:rFonts w:ascii="Arial" w:eastAsia="Calibri" w:hAnsi="Arial" w:cs="Arial"/>
          <w:sz w:val="20"/>
          <w:szCs w:val="20"/>
          <w:lang w:val="es-ES"/>
        </w:rPr>
        <w:t xml:space="preserve">con los servidores públicos que ostentan la calidad de gobernador, diputado, alcalde y concejal municipal o distrital. Esa circunstancia implica que esa causal de inhabilidad se instituyó, única y exclusivamente, con el propósito de limitar la capacidad para ser contratista del </w:t>
      </w:r>
      <w:r w:rsidRPr="00B15930">
        <w:rPr>
          <w:rFonts w:ascii="Arial" w:eastAsia="Calibri" w:hAnsi="Arial" w:cs="Arial"/>
          <w:sz w:val="20"/>
          <w:szCs w:val="20"/>
          <w:lang w:val="es-ES_tradnl"/>
        </w:rPr>
        <w:t>correspondiente departamento, distrito o municipio, o de sus entidades descentralizadas</w:t>
      </w:r>
      <w:r w:rsidRPr="00B15930">
        <w:rPr>
          <w:rFonts w:ascii="Arial" w:eastAsia="Calibri" w:hAnsi="Arial" w:cs="Arial"/>
          <w:sz w:val="20"/>
          <w:szCs w:val="20"/>
          <w:lang w:val="es-ES"/>
        </w:rPr>
        <w:t xml:space="preserve">, de acuerdo con la existencia de parentesco o familiaridad con aquellos servidores públicos. </w:t>
      </w:r>
    </w:p>
    <w:p w14:paraId="4D04BF7F" w14:textId="173E577F" w:rsidR="00B15930" w:rsidRPr="00B15930" w:rsidRDefault="00B15930" w:rsidP="0081325C">
      <w:pPr>
        <w:jc w:val="both"/>
        <w:rPr>
          <w:rFonts w:ascii="Arial" w:eastAsia="Calibri" w:hAnsi="Arial" w:cs="Arial"/>
          <w:sz w:val="20"/>
          <w:szCs w:val="20"/>
          <w:lang w:val="es-ES_tradnl"/>
        </w:rPr>
      </w:pPr>
      <w:r>
        <w:rPr>
          <w:rFonts w:ascii="Arial" w:eastAsia="Calibri" w:hAnsi="Arial" w:cs="Arial"/>
          <w:sz w:val="20"/>
          <w:szCs w:val="20"/>
          <w:lang w:val="es-ES_tradnl"/>
        </w:rPr>
        <w:t>[…]</w:t>
      </w:r>
    </w:p>
    <w:p w14:paraId="5CD8D379" w14:textId="14197796" w:rsidR="00B15930" w:rsidRPr="00B15930" w:rsidRDefault="00686A37" w:rsidP="00B15930">
      <w:pPr>
        <w:jc w:val="both"/>
        <w:rPr>
          <w:rFonts w:ascii="Arial" w:eastAsia="Calibri" w:hAnsi="Arial" w:cs="Arial"/>
          <w:sz w:val="20"/>
          <w:szCs w:val="20"/>
          <w:lang w:val="es-ES_tradnl"/>
        </w:rPr>
      </w:pPr>
      <w:r>
        <w:rPr>
          <w:rFonts w:ascii="Arial" w:eastAsia="Calibri" w:hAnsi="Arial" w:cs="Arial"/>
          <w:sz w:val="20"/>
          <w:szCs w:val="20"/>
          <w:lang w:val="es-ES_tradnl"/>
        </w:rPr>
        <w:t>L</w:t>
      </w:r>
      <w:r w:rsidR="00B15930" w:rsidRPr="00B15930">
        <w:rPr>
          <w:rFonts w:ascii="Arial" w:eastAsia="Calibri" w:hAnsi="Arial" w:cs="Arial"/>
          <w:sz w:val="20"/>
          <w:szCs w:val="20"/>
          <w:lang w:val="es-ES_tradnl"/>
        </w:rPr>
        <w:t xml:space="preserve">a inhabilidad de que trata el artículo 1° Ley 1296 de 2009 subsiste para los sujetos señalados mientras los gobernadores, diputados, alcaldes y concejales desempeñen dichos cargos. En consecuencia, ateniendo a la interpretación restrictiva de las inhabilidades, en caso de que los gobernadores, diputados, alcaldes y concejales dejen de ostentar tal calidad, se extinguiría para sus cónyuges o compañeros permanentes y parientes señalados la prohibición para contratar con el respectivo departamento, distrito o municipio, o de sus entidades descentralizadas. </w:t>
      </w:r>
    </w:p>
    <w:p w14:paraId="1EBBF7F6" w14:textId="77777777" w:rsidR="00EC36B1" w:rsidRDefault="00EC36B1" w:rsidP="00B95C30">
      <w:pPr>
        <w:jc w:val="both"/>
        <w:rPr>
          <w:rFonts w:ascii="Arial" w:eastAsia="Calibri" w:hAnsi="Arial" w:cs="Arial"/>
          <w:b/>
          <w:sz w:val="22"/>
          <w:lang w:val="es-ES_tradnl"/>
        </w:rPr>
      </w:pPr>
    </w:p>
    <w:p w14:paraId="3ABC6012" w14:textId="77777777" w:rsidR="00FB07AE" w:rsidRPr="00933447" w:rsidRDefault="00FB07AE">
      <w:pPr>
        <w:spacing w:after="200" w:line="276" w:lineRule="auto"/>
        <w:rPr>
          <w:rFonts w:ascii="Arial" w:hAnsi="Arial" w:cs="Arial"/>
          <w:noProof/>
          <w:color w:val="000000" w:themeColor="text1"/>
          <w:sz w:val="22"/>
        </w:rPr>
      </w:pPr>
      <w:bookmarkStart w:id="2" w:name="_Hlk66173765"/>
      <w:r w:rsidRPr="00933447">
        <w:rPr>
          <w:rFonts w:ascii="Arial" w:hAnsi="Arial" w:cs="Arial"/>
          <w:noProof/>
          <w:color w:val="000000" w:themeColor="text1"/>
          <w:sz w:val="22"/>
        </w:rPr>
        <w:br w:type="page"/>
      </w:r>
    </w:p>
    <w:p w14:paraId="7DD48F49" w14:textId="697C33B9" w:rsidR="00B95C30" w:rsidRDefault="00B95C30" w:rsidP="00C118DB">
      <w:pPr>
        <w:spacing w:line="276" w:lineRule="auto"/>
        <w:jc w:val="both"/>
        <w:rPr>
          <w:rFonts w:ascii="Arial" w:hAnsi="Arial" w:cs="Arial"/>
          <w:b/>
          <w:color w:val="000000" w:themeColor="text1"/>
          <w:sz w:val="22"/>
          <w:lang w:val="es-ES"/>
        </w:rPr>
      </w:pPr>
      <w:r w:rsidRPr="00933447">
        <w:rPr>
          <w:rFonts w:ascii="Arial" w:hAnsi="Arial" w:cs="Arial"/>
          <w:noProof/>
          <w:color w:val="000000" w:themeColor="text1"/>
          <w:sz w:val="22"/>
        </w:rPr>
        <w:lastRenderedPageBreak/>
        <w:t>Bogotá D.C.</w:t>
      </w:r>
      <w:bookmarkEnd w:id="2"/>
      <w:r w:rsidRPr="00933447">
        <w:rPr>
          <w:rFonts w:ascii="Arial" w:hAnsi="Arial" w:cs="Arial"/>
          <w:noProof/>
          <w:color w:val="000000" w:themeColor="text1"/>
          <w:sz w:val="22"/>
        </w:rPr>
        <w:t xml:space="preserve">, </w:t>
      </w:r>
      <w:r w:rsidR="00CE520F">
        <w:rPr>
          <w:rFonts w:ascii="Arial" w:hAnsi="Arial" w:cs="Arial"/>
          <w:b/>
          <w:color w:val="000000" w:themeColor="text1"/>
          <w:sz w:val="22"/>
        </w:rPr>
        <w:t>30/04/2021 Hora 14:35:34</w:t>
      </w:r>
    </w:p>
    <w:p w14:paraId="48F71C4D" w14:textId="77777777" w:rsidR="009D18F8" w:rsidRPr="00933447" w:rsidRDefault="009D18F8" w:rsidP="00C118DB">
      <w:pPr>
        <w:spacing w:line="276" w:lineRule="auto"/>
        <w:jc w:val="both"/>
        <w:rPr>
          <w:rFonts w:ascii="Arial" w:eastAsia="Calibri" w:hAnsi="Arial" w:cs="Arial"/>
          <w:noProof/>
          <w:color w:val="000000" w:themeColor="text1"/>
          <w:sz w:val="20"/>
        </w:rPr>
      </w:pPr>
    </w:p>
    <w:p w14:paraId="0B80DA6D" w14:textId="77777777" w:rsidR="006B47D2" w:rsidRPr="00933447" w:rsidRDefault="006B47D2" w:rsidP="00C118DB">
      <w:pPr>
        <w:spacing w:line="276" w:lineRule="auto"/>
        <w:jc w:val="both"/>
        <w:rPr>
          <w:rFonts w:ascii="Arial" w:eastAsia="Calibri" w:hAnsi="Arial" w:cs="Arial"/>
          <w:noProof/>
          <w:color w:val="000000" w:themeColor="text1"/>
          <w:sz w:val="20"/>
        </w:rPr>
      </w:pPr>
    </w:p>
    <w:p w14:paraId="5E89E106" w14:textId="1653FFAB" w:rsidR="00B95C30" w:rsidRPr="00933447" w:rsidRDefault="00CE520F" w:rsidP="00B95C30">
      <w:pPr>
        <w:spacing w:line="276" w:lineRule="auto"/>
        <w:jc w:val="right"/>
        <w:rPr>
          <w:rFonts w:ascii="Arial" w:hAnsi="Arial" w:cs="Arial"/>
          <w:b/>
          <w:noProof/>
          <w:color w:val="000000" w:themeColor="text1"/>
          <w:sz w:val="22"/>
          <w:szCs w:val="22"/>
        </w:rPr>
      </w:pPr>
      <w:r>
        <w:rPr>
          <w:noProof/>
        </w:rPr>
        <w:drawing>
          <wp:inline distT="0" distB="0" distL="0" distR="0" wp14:anchorId="2F840788" wp14:editId="3F6E409B">
            <wp:extent cx="2466975" cy="8382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3619" t="31697" r="30244" b="54417"/>
                    <a:stretch/>
                  </pic:blipFill>
                  <pic:spPr bwMode="auto">
                    <a:xfrm>
                      <a:off x="0" y="0"/>
                      <a:ext cx="2466975" cy="838200"/>
                    </a:xfrm>
                    <a:prstGeom prst="rect">
                      <a:avLst/>
                    </a:prstGeom>
                    <a:ln>
                      <a:noFill/>
                    </a:ln>
                    <a:extLst>
                      <a:ext uri="{53640926-AAD7-44D8-BBD7-CCE9431645EC}">
                        <a14:shadowObscured xmlns:a14="http://schemas.microsoft.com/office/drawing/2010/main"/>
                      </a:ext>
                    </a:extLst>
                  </pic:spPr>
                </pic:pic>
              </a:graphicData>
            </a:graphic>
          </wp:inline>
        </w:drawing>
      </w:r>
    </w:p>
    <w:p w14:paraId="6A8A869B" w14:textId="1743C007" w:rsidR="00B95C30" w:rsidRPr="00933447" w:rsidRDefault="00B95C30" w:rsidP="00B95C30">
      <w:pPr>
        <w:jc w:val="both"/>
        <w:rPr>
          <w:rFonts w:ascii="Arial" w:hAnsi="Arial" w:cs="Arial"/>
          <w:b/>
          <w:color w:val="000000" w:themeColor="text1"/>
          <w:sz w:val="22"/>
        </w:rPr>
      </w:pPr>
    </w:p>
    <w:p w14:paraId="1D2A79F4" w14:textId="77777777" w:rsidR="009D18F8" w:rsidRPr="00933447" w:rsidRDefault="009D18F8" w:rsidP="00B95C30">
      <w:pPr>
        <w:jc w:val="both"/>
        <w:rPr>
          <w:rFonts w:ascii="Arial" w:hAnsi="Arial" w:cs="Arial"/>
          <w:b/>
          <w:color w:val="000000" w:themeColor="text1"/>
          <w:sz w:val="22"/>
        </w:rPr>
      </w:pPr>
    </w:p>
    <w:p w14:paraId="5F5AE9EF" w14:textId="77777777" w:rsidR="00B95C30" w:rsidRPr="00E23980" w:rsidRDefault="00B95C30" w:rsidP="00B95C30">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p>
    <w:p w14:paraId="66C7949E" w14:textId="4489AC46" w:rsidR="00513AA0" w:rsidRDefault="00D72699"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Jesús</w:t>
      </w:r>
      <w:r w:rsidR="00E84F83">
        <w:rPr>
          <w:rFonts w:ascii="Arial" w:eastAsia="Calibri" w:hAnsi="Arial" w:cs="Arial"/>
          <w:b/>
          <w:color w:val="000000" w:themeColor="text1"/>
          <w:sz w:val="22"/>
          <w:lang w:val="es-ES_tradnl"/>
        </w:rPr>
        <w:t xml:space="preserve"> Alberto Cortes Forero </w:t>
      </w:r>
    </w:p>
    <w:p w14:paraId="09D4AEA8" w14:textId="21EF02A6" w:rsidR="00B95C30" w:rsidRPr="00E23980" w:rsidRDefault="00E84F83"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Tenjo, Cundinamarca</w:t>
      </w:r>
    </w:p>
    <w:p w14:paraId="24E8D2A9" w14:textId="327B5558" w:rsidR="00B95C30" w:rsidRDefault="00B95C30" w:rsidP="00B95C30">
      <w:pPr>
        <w:jc w:val="both"/>
        <w:rPr>
          <w:rFonts w:ascii="Arial" w:eastAsia="Calibri" w:hAnsi="Arial" w:cs="Arial"/>
          <w:color w:val="000000" w:themeColor="text1"/>
          <w:sz w:val="22"/>
          <w:lang w:val="es-ES_tradnl"/>
        </w:rPr>
      </w:pPr>
    </w:p>
    <w:p w14:paraId="4085D767" w14:textId="77777777" w:rsidR="009D18F8" w:rsidRPr="00E23980" w:rsidRDefault="009D18F8" w:rsidP="00B95C30">
      <w:pPr>
        <w:jc w:val="both"/>
        <w:rPr>
          <w:rFonts w:ascii="Arial" w:eastAsia="Calibri" w:hAnsi="Arial" w:cs="Arial"/>
          <w:color w:val="000000" w:themeColor="text1"/>
          <w:sz w:val="22"/>
          <w:lang w:val="es-ES_tradnl"/>
        </w:rPr>
      </w:pPr>
    </w:p>
    <w:p w14:paraId="08CF82B2" w14:textId="4B0BD6BF" w:rsidR="00B95C30" w:rsidRPr="00E23980" w:rsidRDefault="009D18F8" w:rsidP="0081325C">
      <w:pPr>
        <w:rPr>
          <w:rFonts w:ascii="Arial" w:eastAsia="Calibri" w:hAnsi="Arial" w:cs="Arial"/>
          <w:color w:val="000000" w:themeColor="text1"/>
          <w:sz w:val="22"/>
          <w:lang w:val="es-ES_tradnl"/>
        </w:rPr>
      </w:pPr>
      <w:r>
        <w:rPr>
          <w:rFonts w:ascii="Arial" w:eastAsia="Calibri" w:hAnsi="Arial" w:cs="Arial"/>
          <w:b/>
          <w:bCs/>
          <w:color w:val="000000" w:themeColor="text1"/>
          <w:sz w:val="22"/>
          <w:lang w:val="es-ES_tradnl"/>
        </w:rPr>
        <w:t xml:space="preserve">                                            </w:t>
      </w:r>
      <w:r w:rsidR="00E84F83">
        <w:rPr>
          <w:rFonts w:ascii="Arial" w:eastAsia="Calibri" w:hAnsi="Arial" w:cs="Arial"/>
          <w:b/>
          <w:bCs/>
          <w:color w:val="000000" w:themeColor="text1"/>
          <w:sz w:val="22"/>
          <w:lang w:val="es-ES_tradnl"/>
        </w:rPr>
        <w:t xml:space="preserve">Concepto C ‒ </w:t>
      </w:r>
      <w:r w:rsidR="007A2149">
        <w:rPr>
          <w:rFonts w:ascii="Arial" w:eastAsia="Calibri" w:hAnsi="Arial" w:cs="Arial"/>
          <w:b/>
          <w:bCs/>
          <w:color w:val="000000" w:themeColor="text1"/>
          <w:sz w:val="22"/>
          <w:lang w:val="es-ES_tradnl"/>
        </w:rPr>
        <w:t>190</w:t>
      </w:r>
      <w:r w:rsidR="00275FBF">
        <w:rPr>
          <w:rFonts w:ascii="Arial" w:eastAsia="Calibri" w:hAnsi="Arial" w:cs="Arial"/>
          <w:b/>
          <w:bCs/>
          <w:color w:val="000000" w:themeColor="text1"/>
          <w:sz w:val="22"/>
          <w:lang w:val="es-ES_tradnl"/>
        </w:rPr>
        <w:t xml:space="preserve"> 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2A07A1A5" w:rsidR="00B95C30" w:rsidRPr="00686A37" w:rsidRDefault="00686A37" w:rsidP="006E3D9D">
            <w:pPr>
              <w:jc w:val="both"/>
              <w:rPr>
                <w:rFonts w:ascii="Arial" w:eastAsia="Calibri" w:hAnsi="Arial" w:cs="Arial"/>
                <w:color w:val="000000" w:themeColor="text1"/>
                <w:sz w:val="20"/>
                <w:szCs w:val="20"/>
                <w:lang w:val="es-ES_tradnl"/>
              </w:rPr>
            </w:pPr>
            <w:r w:rsidRPr="00686A37">
              <w:rPr>
                <w:rFonts w:ascii="Arial" w:eastAsia="Calibri" w:hAnsi="Arial" w:cs="Arial"/>
                <w:color w:val="000000" w:themeColor="text1"/>
                <w:sz w:val="22"/>
                <w:lang w:val="es-ES_tradnl"/>
              </w:rPr>
              <w:t xml:space="preserve">INHABILIDADES ― Límites a la capacidad </w:t>
            </w:r>
            <w:r w:rsidR="00B95C30" w:rsidRPr="00686A37">
              <w:rPr>
                <w:rFonts w:ascii="Arial" w:eastAsia="Calibri" w:hAnsi="Arial" w:cs="Arial"/>
                <w:sz w:val="22"/>
                <w:lang w:val="es-ES_tradnl"/>
              </w:rPr>
              <w:t>/</w:t>
            </w:r>
            <w:r w:rsidR="002415B8" w:rsidRPr="00686A37">
              <w:rPr>
                <w:rFonts w:ascii="Arial" w:eastAsia="Calibri" w:hAnsi="Arial" w:cs="Arial"/>
                <w:sz w:val="22"/>
                <w:lang w:val="es-ES_tradnl"/>
              </w:rPr>
              <w:t xml:space="preserve"> </w:t>
            </w:r>
            <w:r w:rsidRPr="00686A37">
              <w:rPr>
                <w:rFonts w:ascii="Arial" w:eastAsia="Calibri" w:hAnsi="Arial" w:cs="Arial"/>
                <w:color w:val="000000" w:themeColor="text1"/>
                <w:sz w:val="22"/>
                <w:lang w:val="es-ES_tradnl"/>
              </w:rPr>
              <w:t xml:space="preserve">INHABILIDADES ― Concepto ― Tipos </w:t>
            </w:r>
            <w:r w:rsidR="002415B8" w:rsidRPr="00686A37">
              <w:rPr>
                <w:rFonts w:ascii="Arial" w:eastAsia="Calibri" w:hAnsi="Arial" w:cs="Arial"/>
                <w:sz w:val="22"/>
                <w:lang w:val="es-ES_tradnl"/>
              </w:rPr>
              <w:t xml:space="preserve">/ </w:t>
            </w:r>
            <w:r w:rsidRPr="00686A37">
              <w:rPr>
                <w:rFonts w:ascii="Arial" w:eastAsia="Calibri" w:hAnsi="Arial" w:cs="Arial"/>
                <w:color w:val="000000" w:themeColor="text1"/>
                <w:sz w:val="22"/>
                <w:lang w:val="es-ES_tradnl"/>
              </w:rPr>
              <w:t xml:space="preserve">INHABILIDADES ― Interpretación restrictiva ― Principio </w:t>
            </w:r>
            <w:r w:rsidRPr="00686A37">
              <w:rPr>
                <w:rFonts w:ascii="Arial" w:eastAsia="Calibri" w:hAnsi="Arial" w:cs="Arial"/>
                <w:i/>
                <w:iCs/>
                <w:color w:val="000000" w:themeColor="text1"/>
                <w:sz w:val="22"/>
                <w:lang w:val="es-ES_tradnl"/>
              </w:rPr>
              <w:t xml:space="preserve">pro </w:t>
            </w:r>
            <w:proofErr w:type="spellStart"/>
            <w:r w:rsidRPr="00686A37">
              <w:rPr>
                <w:rFonts w:ascii="Arial" w:eastAsia="Calibri" w:hAnsi="Arial" w:cs="Arial"/>
                <w:i/>
                <w:iCs/>
                <w:color w:val="000000" w:themeColor="text1"/>
                <w:sz w:val="22"/>
                <w:lang w:val="es-ES_tradnl"/>
              </w:rPr>
              <w:t>libertate</w:t>
            </w:r>
            <w:proofErr w:type="spellEnd"/>
            <w:r w:rsidRPr="00686A37">
              <w:rPr>
                <w:rFonts w:ascii="Arial" w:eastAsia="Calibri" w:hAnsi="Arial" w:cs="Arial"/>
                <w:i/>
                <w:iCs/>
                <w:color w:val="000000" w:themeColor="text1"/>
                <w:sz w:val="22"/>
                <w:lang w:val="es-ES_tradnl"/>
              </w:rPr>
              <w:t xml:space="preserve"> </w:t>
            </w:r>
            <w:r w:rsidR="006174FA" w:rsidRPr="00686A37">
              <w:rPr>
                <w:rFonts w:ascii="Arial" w:eastAsia="Calibri" w:hAnsi="Arial" w:cs="Arial"/>
                <w:sz w:val="22"/>
                <w:lang w:val="es-ES_tradnl"/>
              </w:rPr>
              <w:t xml:space="preserve">/ </w:t>
            </w:r>
            <w:r w:rsidRPr="00686A37">
              <w:rPr>
                <w:rFonts w:ascii="Arial" w:eastAsia="Calibri" w:hAnsi="Arial" w:cs="Arial"/>
                <w:color w:val="000000" w:themeColor="text1"/>
                <w:sz w:val="22"/>
                <w:lang w:val="es-ES_tradnl"/>
              </w:rPr>
              <w:t xml:space="preserve">INHABILIDADES ― Interpretación restrictiva ― Ley 1296 de 2009 ― Alcance  </w:t>
            </w:r>
          </w:p>
        </w:tc>
      </w:tr>
      <w:tr w:rsidR="00B95C30" w:rsidRPr="00E23980" w14:paraId="27CD52AB" w14:textId="77777777" w:rsidTr="00D15356">
        <w:tc>
          <w:tcPr>
            <w:tcW w:w="2689" w:type="dxa"/>
          </w:tcPr>
          <w:p w14:paraId="37E195A1" w14:textId="41F0D25F" w:rsidR="00B95C30" w:rsidRPr="00E23980" w:rsidRDefault="001068EB"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 </w:t>
            </w:r>
            <w:r w:rsidR="00B95C30" w:rsidRPr="00E23980">
              <w:rPr>
                <w:rFonts w:ascii="Arial" w:eastAsia="Calibri" w:hAnsi="Arial" w:cs="Arial"/>
                <w:b/>
                <w:color w:val="000000" w:themeColor="text1"/>
                <w:sz w:val="22"/>
                <w:lang w:val="es-ES_tradnl"/>
              </w:rPr>
              <w:t>Radicación:</w:t>
            </w:r>
            <w:r w:rsidR="00B95C30" w:rsidRPr="00E23980">
              <w:rPr>
                <w:rFonts w:ascii="Arial" w:eastAsia="Calibri" w:hAnsi="Arial" w:cs="Arial"/>
                <w:color w:val="000000" w:themeColor="text1"/>
                <w:sz w:val="22"/>
                <w:lang w:val="es-ES_tradnl"/>
              </w:rPr>
              <w:t xml:space="preserve">                              </w:t>
            </w:r>
          </w:p>
        </w:tc>
        <w:tc>
          <w:tcPr>
            <w:tcW w:w="6237" w:type="dxa"/>
          </w:tcPr>
          <w:p w14:paraId="09088B1B" w14:textId="1D746868"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427C77">
              <w:rPr>
                <w:rFonts w:ascii="Arial" w:eastAsia="Calibri" w:hAnsi="Arial" w:cs="Arial"/>
                <w:color w:val="000000" w:themeColor="text1"/>
                <w:sz w:val="22"/>
                <w:lang w:val="es-ES_tradnl"/>
              </w:rPr>
              <w:t>P</w:t>
            </w:r>
            <w:r w:rsidR="00E84F83" w:rsidRPr="00E84F83">
              <w:rPr>
                <w:rFonts w:ascii="Arial" w:eastAsia="Calibri" w:hAnsi="Arial" w:cs="Arial"/>
                <w:color w:val="000000" w:themeColor="text1"/>
                <w:sz w:val="22"/>
                <w:lang w:val="es-ES_tradnl"/>
              </w:rPr>
              <w:t>20210316002194</w:t>
            </w:r>
          </w:p>
        </w:tc>
      </w:tr>
    </w:tbl>
    <w:p w14:paraId="635FAA34" w14:textId="34115651" w:rsidR="006D69FA" w:rsidRDefault="006D69FA" w:rsidP="003C3339">
      <w:pPr>
        <w:jc w:val="both"/>
        <w:rPr>
          <w:rFonts w:ascii="Arial" w:eastAsia="Calibri" w:hAnsi="Arial" w:cs="Arial"/>
          <w:color w:val="000000" w:themeColor="text1"/>
          <w:sz w:val="22"/>
          <w:lang w:val="es-ES_tradnl"/>
        </w:rPr>
      </w:pPr>
    </w:p>
    <w:p w14:paraId="182935B9" w14:textId="77777777" w:rsidR="00427C77" w:rsidRDefault="00427C77" w:rsidP="003C3339">
      <w:pPr>
        <w:jc w:val="both"/>
        <w:rPr>
          <w:rFonts w:ascii="Arial" w:eastAsia="Calibri" w:hAnsi="Arial" w:cs="Arial"/>
          <w:color w:val="000000" w:themeColor="text1"/>
          <w:sz w:val="22"/>
          <w:lang w:val="es-ES_tradnl"/>
        </w:rPr>
      </w:pPr>
    </w:p>
    <w:p w14:paraId="1CF4AEA0" w14:textId="34AAA248"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Estimado señor </w:t>
      </w:r>
      <w:r w:rsidR="00E84F83">
        <w:rPr>
          <w:rFonts w:ascii="Arial" w:eastAsia="Calibri" w:hAnsi="Arial" w:cs="Arial"/>
          <w:color w:val="000000" w:themeColor="text1"/>
          <w:sz w:val="22"/>
          <w:lang w:val="es-ES_tradnl"/>
        </w:rPr>
        <w:t>Cortes</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1CC1F5BB"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E23980">
        <w:rPr>
          <w:rFonts w:ascii="Arial" w:eastAsia="Calibri" w:hAnsi="Arial" w:cs="Arial"/>
          <w:color w:val="000000" w:themeColor="text1"/>
          <w:sz w:val="22"/>
          <w:lang w:val="es-ES_tradnl"/>
        </w:rPr>
        <w:t>, a través de la Subdirección de Gestión Contractual,</w:t>
      </w:r>
      <w:r w:rsidRPr="00E23980">
        <w:rPr>
          <w:rFonts w:ascii="Arial" w:eastAsia="Calibri" w:hAnsi="Arial" w:cs="Arial"/>
          <w:color w:val="000000" w:themeColor="text1"/>
          <w:sz w:val="22"/>
          <w:lang w:val="es-ES_tradnl"/>
        </w:rPr>
        <w:t xml:space="preserve"> responde su consulta del </w:t>
      </w:r>
      <w:r w:rsidR="00E84F83">
        <w:rPr>
          <w:rFonts w:ascii="Arial" w:eastAsia="Calibri" w:hAnsi="Arial" w:cs="Arial"/>
          <w:color w:val="000000" w:themeColor="text1"/>
          <w:sz w:val="22"/>
          <w:lang w:val="es-ES_tradnl"/>
        </w:rPr>
        <w:t>16</w:t>
      </w:r>
      <w:r w:rsidR="00FD4AF3" w:rsidRPr="00E23980">
        <w:rPr>
          <w:rFonts w:ascii="Arial" w:eastAsia="Calibri" w:hAnsi="Arial" w:cs="Arial"/>
          <w:color w:val="000000" w:themeColor="text1"/>
          <w:sz w:val="22"/>
          <w:lang w:val="es-ES_tradnl"/>
        </w:rPr>
        <w:t xml:space="preserve"> de </w:t>
      </w:r>
      <w:r w:rsidR="00E84F83">
        <w:rPr>
          <w:rFonts w:ascii="Arial" w:eastAsia="Calibri" w:hAnsi="Arial" w:cs="Arial"/>
          <w:color w:val="000000" w:themeColor="text1"/>
          <w:sz w:val="22"/>
          <w:lang w:val="es-ES_tradnl"/>
        </w:rPr>
        <w:t>marzo</w:t>
      </w:r>
      <w:r w:rsidRPr="00E23980">
        <w:rPr>
          <w:rFonts w:ascii="Arial" w:eastAsia="Calibri" w:hAnsi="Arial" w:cs="Arial"/>
          <w:color w:val="000000" w:themeColor="text1"/>
          <w:sz w:val="22"/>
          <w:lang w:val="es-ES_tradnl"/>
        </w:rPr>
        <w:t xml:space="preserve"> 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6B47D2" w:rsidRDefault="00DD5B04" w:rsidP="00DF76A2">
      <w:pPr>
        <w:tabs>
          <w:tab w:val="left" w:pos="426"/>
        </w:tabs>
        <w:spacing w:line="276" w:lineRule="auto"/>
        <w:jc w:val="both"/>
        <w:rPr>
          <w:rFonts w:ascii="Arial" w:eastAsia="Calibri" w:hAnsi="Arial" w:cs="Arial"/>
          <w:b/>
          <w:color w:val="000000" w:themeColor="text1"/>
          <w:sz w:val="22"/>
          <w:szCs w:val="22"/>
          <w:lang w:val="es-ES_tradnl"/>
        </w:rPr>
      </w:pPr>
    </w:p>
    <w:p w14:paraId="5E8DF790" w14:textId="203A374E" w:rsidR="00E07AAA" w:rsidRDefault="00E84F83" w:rsidP="00E84F83">
      <w:pPr>
        <w:spacing w:line="276" w:lineRule="auto"/>
        <w:jc w:val="both"/>
        <w:rPr>
          <w:rFonts w:ascii="Arial" w:hAnsi="Arial" w:cs="Arial"/>
          <w:color w:val="000000" w:themeColor="text1"/>
          <w:sz w:val="22"/>
          <w:lang w:val="es-ES_tradnl"/>
        </w:rPr>
      </w:pPr>
      <w:r w:rsidRPr="00342184">
        <w:rPr>
          <w:rFonts w:ascii="Arial" w:eastAsia="Arial" w:hAnsi="Arial" w:cs="Arial"/>
          <w:color w:val="000000"/>
          <w:sz w:val="22"/>
          <w:szCs w:val="22"/>
        </w:rPr>
        <w:t>Uste</w:t>
      </w:r>
      <w:r>
        <w:rPr>
          <w:rFonts w:ascii="Arial" w:eastAsia="Arial" w:hAnsi="Arial" w:cs="Arial"/>
          <w:color w:val="000000"/>
          <w:sz w:val="22"/>
          <w:szCs w:val="22"/>
        </w:rPr>
        <w:t xml:space="preserve">d realiza la siguiente pregunta: </w:t>
      </w:r>
      <w:r w:rsidRPr="00E84F83">
        <w:rPr>
          <w:rFonts w:ascii="Arial" w:eastAsia="Arial" w:hAnsi="Arial" w:cs="Arial"/>
          <w:color w:val="000000"/>
          <w:sz w:val="22"/>
          <w:szCs w:val="22"/>
        </w:rPr>
        <w:t>«</w:t>
      </w:r>
      <w:r>
        <w:rPr>
          <w:rFonts w:ascii="Arial" w:eastAsia="Arial" w:hAnsi="Arial" w:cs="Arial"/>
          <w:color w:val="000000"/>
          <w:sz w:val="22"/>
          <w:szCs w:val="22"/>
        </w:rPr>
        <w:t>¿</w:t>
      </w:r>
      <w:r w:rsidRPr="00E84F83">
        <w:rPr>
          <w:rFonts w:ascii="Arial" w:eastAsia="Arial" w:hAnsi="Arial" w:cs="Arial"/>
          <w:color w:val="000000"/>
          <w:sz w:val="22"/>
          <w:szCs w:val="22"/>
        </w:rPr>
        <w:t xml:space="preserve">en </w:t>
      </w:r>
      <w:proofErr w:type="spellStart"/>
      <w:r w:rsidRPr="00E84F83">
        <w:rPr>
          <w:rFonts w:ascii="Arial" w:eastAsia="Arial" w:hAnsi="Arial" w:cs="Arial"/>
          <w:color w:val="000000"/>
          <w:sz w:val="22"/>
          <w:szCs w:val="22"/>
        </w:rPr>
        <w:t>que</w:t>
      </w:r>
      <w:proofErr w:type="spellEnd"/>
      <w:r w:rsidRPr="00E84F83">
        <w:rPr>
          <w:rFonts w:ascii="Arial" w:eastAsia="Arial" w:hAnsi="Arial" w:cs="Arial"/>
          <w:color w:val="000000"/>
          <w:sz w:val="22"/>
          <w:szCs w:val="22"/>
        </w:rPr>
        <w:t xml:space="preserve"> momento desaparece una inhabilidad según ley 1296/2009 y si persiste por algún tiempo?»</w:t>
      </w:r>
      <w:r>
        <w:rPr>
          <w:rFonts w:ascii="Arial" w:eastAsia="Arial" w:hAnsi="Arial" w:cs="Arial"/>
          <w:color w:val="000000"/>
          <w:sz w:val="22"/>
          <w:szCs w:val="22"/>
        </w:rPr>
        <w:t xml:space="preserve"> </w:t>
      </w:r>
    </w:p>
    <w:p w14:paraId="15273B68" w14:textId="77777777" w:rsidR="00827203" w:rsidRPr="00E23980" w:rsidRDefault="00827203" w:rsidP="00D40F8B">
      <w:pPr>
        <w:spacing w:line="276" w:lineRule="auto"/>
        <w:jc w:val="both"/>
        <w:rPr>
          <w:rFonts w:ascii="Arial" w:hAnsi="Arial" w:cs="Arial"/>
          <w:color w:val="000000" w:themeColor="text1"/>
          <w:sz w:val="22"/>
          <w:lang w:val="es-ES_tradnl"/>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64B238B6" w14:textId="573C52B2" w:rsidR="00E07AAA" w:rsidRPr="006B47D2" w:rsidRDefault="005C529E" w:rsidP="009E2A97">
      <w:pPr>
        <w:spacing w:line="276" w:lineRule="auto"/>
        <w:jc w:val="both"/>
        <w:rPr>
          <w:rFonts w:ascii="Arial" w:hAnsi="Arial" w:cs="Arial"/>
          <w:b/>
          <w:color w:val="000000" w:themeColor="text1"/>
          <w:sz w:val="22"/>
        </w:rPr>
      </w:pPr>
      <w:r w:rsidRPr="00E07AAA">
        <w:rPr>
          <w:rFonts w:ascii="Arial" w:hAnsi="Arial" w:cs="Arial"/>
          <w:color w:val="000000" w:themeColor="text1"/>
          <w:sz w:val="22"/>
          <w:lang w:val="es-ES_tradnl"/>
        </w:rPr>
        <w:t xml:space="preserve">Para </w:t>
      </w:r>
      <w:r w:rsidR="00540C4C" w:rsidRPr="00E07AAA">
        <w:rPr>
          <w:rFonts w:ascii="Arial" w:hAnsi="Arial" w:cs="Arial"/>
          <w:color w:val="000000" w:themeColor="text1"/>
          <w:sz w:val="22"/>
          <w:lang w:val="es-ES_tradnl"/>
        </w:rPr>
        <w:t>resolver</w:t>
      </w:r>
      <w:r w:rsidRPr="00E07AAA">
        <w:rPr>
          <w:rFonts w:ascii="Arial" w:hAnsi="Arial" w:cs="Arial"/>
          <w:color w:val="000000" w:themeColor="text1"/>
          <w:sz w:val="22"/>
          <w:lang w:val="es-ES_tradnl"/>
        </w:rPr>
        <w:t xml:space="preserve"> </w:t>
      </w:r>
      <w:r w:rsidR="00E07AAA" w:rsidRPr="00E07AAA">
        <w:rPr>
          <w:rFonts w:ascii="Arial" w:hAnsi="Arial" w:cs="Arial"/>
          <w:color w:val="000000" w:themeColor="text1"/>
          <w:sz w:val="22"/>
          <w:lang w:val="es-ES_tradnl"/>
        </w:rPr>
        <w:t>su consulta</w:t>
      </w:r>
      <w:r w:rsidR="007B303E" w:rsidRPr="00E07AAA">
        <w:rPr>
          <w:rFonts w:ascii="Arial" w:hAnsi="Arial" w:cs="Arial"/>
          <w:color w:val="000000" w:themeColor="text1"/>
          <w:sz w:val="22"/>
          <w:lang w:val="es-ES_tradnl"/>
        </w:rPr>
        <w:t>,</w:t>
      </w:r>
      <w:r w:rsidRPr="00E07AAA">
        <w:rPr>
          <w:rFonts w:ascii="Arial" w:hAnsi="Arial" w:cs="Arial"/>
          <w:color w:val="000000" w:themeColor="text1"/>
          <w:sz w:val="22"/>
          <w:lang w:val="es-ES_tradnl"/>
        </w:rPr>
        <w:t xml:space="preserve"> se analizarán los siguientes temas:</w:t>
      </w:r>
      <w:r w:rsidR="00910683" w:rsidRPr="00E07AAA">
        <w:rPr>
          <w:rFonts w:ascii="Arial" w:hAnsi="Arial" w:cs="Arial"/>
          <w:color w:val="000000" w:themeColor="text1"/>
          <w:sz w:val="22"/>
          <w:lang w:val="es-ES_tradnl"/>
        </w:rPr>
        <w:t xml:space="preserve"> </w:t>
      </w:r>
      <w:r w:rsidR="00B024ED" w:rsidRPr="00E07AAA">
        <w:rPr>
          <w:rFonts w:ascii="Arial" w:hAnsi="Arial" w:cs="Arial"/>
          <w:color w:val="000000" w:themeColor="text1"/>
          <w:sz w:val="22"/>
          <w:lang w:val="es-ES_tradnl"/>
        </w:rPr>
        <w:t>i</w:t>
      </w:r>
      <w:r w:rsidR="00D047E0" w:rsidRPr="00E07AAA">
        <w:rPr>
          <w:rFonts w:ascii="Arial" w:hAnsi="Arial" w:cs="Arial"/>
          <w:color w:val="000000" w:themeColor="text1"/>
          <w:sz w:val="22"/>
          <w:lang w:val="es-ES_tradnl"/>
        </w:rPr>
        <w:t>)</w:t>
      </w:r>
      <w:r w:rsidR="00834128" w:rsidRPr="00E07AAA">
        <w:rPr>
          <w:rFonts w:ascii="Arial" w:hAnsi="Arial" w:cs="Arial"/>
          <w:color w:val="000000" w:themeColor="text1"/>
          <w:sz w:val="22"/>
          <w:lang w:val="es-ES_tradnl"/>
        </w:rPr>
        <w:t xml:space="preserve"> </w:t>
      </w:r>
      <w:r w:rsidR="00E84F83" w:rsidRPr="00482616">
        <w:rPr>
          <w:rFonts w:ascii="Arial" w:hAnsi="Arial" w:cs="Arial"/>
          <w:sz w:val="22"/>
        </w:rPr>
        <w:t>el régimen de inhabilidades e incompatibilidades en la contratación estatal: un límite a la capacidad contractual. La interpretación restrictiva como criterio hermenéutico de los enunciados normati</w:t>
      </w:r>
      <w:r w:rsidR="00341BE2">
        <w:rPr>
          <w:rFonts w:ascii="Arial" w:hAnsi="Arial" w:cs="Arial"/>
          <w:sz w:val="22"/>
        </w:rPr>
        <w:t xml:space="preserve">vos gravosos </w:t>
      </w:r>
      <w:r w:rsidR="00E84F83">
        <w:rPr>
          <w:rFonts w:ascii="Arial" w:hAnsi="Arial" w:cs="Arial"/>
          <w:sz w:val="22"/>
        </w:rPr>
        <w:t>y</w:t>
      </w:r>
      <w:r w:rsidR="007A2149">
        <w:rPr>
          <w:rFonts w:ascii="Arial" w:hAnsi="Arial" w:cs="Arial"/>
          <w:sz w:val="22"/>
        </w:rPr>
        <w:t xml:space="preserve"> </w:t>
      </w:r>
      <w:proofErr w:type="spellStart"/>
      <w:r w:rsidR="008951D0" w:rsidRPr="00C36845">
        <w:rPr>
          <w:rFonts w:ascii="Arial" w:hAnsi="Arial" w:cs="Arial"/>
          <w:color w:val="000000" w:themeColor="text1"/>
          <w:sz w:val="22"/>
          <w:lang w:val="es-ES_tradnl"/>
        </w:rPr>
        <w:t>ii</w:t>
      </w:r>
      <w:proofErr w:type="spellEnd"/>
      <w:r w:rsidR="008951D0" w:rsidRPr="00C36845">
        <w:rPr>
          <w:rFonts w:ascii="Arial" w:hAnsi="Arial" w:cs="Arial"/>
          <w:color w:val="000000" w:themeColor="text1"/>
          <w:sz w:val="22"/>
          <w:lang w:val="es-ES_tradnl"/>
        </w:rPr>
        <w:t>)</w:t>
      </w:r>
      <w:r w:rsidR="006B47D2">
        <w:rPr>
          <w:rFonts w:ascii="Arial" w:hAnsi="Arial" w:cs="Arial"/>
          <w:color w:val="000000" w:themeColor="text1"/>
          <w:sz w:val="22"/>
          <w:lang w:val="es-ES_tradnl"/>
        </w:rPr>
        <w:t xml:space="preserve"> </w:t>
      </w:r>
      <w:r w:rsidR="00E84F83">
        <w:rPr>
          <w:rFonts w:ascii="Arial" w:hAnsi="Arial" w:cs="Arial"/>
          <w:color w:val="000000" w:themeColor="text1"/>
          <w:sz w:val="22"/>
          <w:lang w:val="es-ES_tradnl"/>
        </w:rPr>
        <w:t>el a</w:t>
      </w:r>
      <w:r w:rsidR="00E84F83" w:rsidRPr="00E84F83">
        <w:rPr>
          <w:rFonts w:ascii="Arial" w:hAnsi="Arial" w:cs="Arial"/>
          <w:color w:val="000000" w:themeColor="text1"/>
          <w:sz w:val="22"/>
          <w:lang w:val="es-ES_tradnl"/>
        </w:rPr>
        <w:t>lcance de la inhabilidad est</w:t>
      </w:r>
      <w:r w:rsidR="00E84F83">
        <w:rPr>
          <w:rFonts w:ascii="Arial" w:hAnsi="Arial" w:cs="Arial"/>
          <w:color w:val="000000" w:themeColor="text1"/>
          <w:sz w:val="22"/>
          <w:lang w:val="es-ES_tradnl"/>
        </w:rPr>
        <w:t>ablecida en la Ley 129</w:t>
      </w:r>
      <w:r w:rsidR="00F12774">
        <w:rPr>
          <w:rFonts w:ascii="Arial" w:hAnsi="Arial" w:cs="Arial"/>
          <w:color w:val="000000" w:themeColor="text1"/>
          <w:sz w:val="22"/>
          <w:lang w:val="es-ES_tradnl"/>
        </w:rPr>
        <w:t>6</w:t>
      </w:r>
      <w:r w:rsidR="00E84F83">
        <w:rPr>
          <w:rFonts w:ascii="Arial" w:hAnsi="Arial" w:cs="Arial"/>
          <w:color w:val="000000" w:themeColor="text1"/>
          <w:sz w:val="22"/>
          <w:lang w:val="es-ES_tradnl"/>
        </w:rPr>
        <w:t xml:space="preserve"> de 2009</w:t>
      </w:r>
      <w:r w:rsidR="007A2149">
        <w:rPr>
          <w:rFonts w:ascii="Arial" w:hAnsi="Arial" w:cs="Arial"/>
          <w:color w:val="000000" w:themeColor="text1"/>
          <w:sz w:val="22"/>
          <w:lang w:val="es-ES_tradnl"/>
        </w:rPr>
        <w:t>.</w:t>
      </w:r>
      <w:r w:rsidR="00E84F83">
        <w:rPr>
          <w:rFonts w:ascii="Arial" w:hAnsi="Arial" w:cs="Arial"/>
          <w:color w:val="000000" w:themeColor="text1"/>
          <w:sz w:val="22"/>
          <w:lang w:val="es-ES_tradnl"/>
        </w:rPr>
        <w:t xml:space="preserve"> </w:t>
      </w:r>
      <w:r w:rsidR="006B47D2">
        <w:rPr>
          <w:rFonts w:ascii="Arial" w:hAnsi="Arial" w:cs="Arial"/>
          <w:b/>
          <w:color w:val="000000" w:themeColor="text1"/>
          <w:sz w:val="22"/>
        </w:rPr>
        <w:t xml:space="preserve"> </w:t>
      </w:r>
    </w:p>
    <w:p w14:paraId="0E3FBB81" w14:textId="56BAA58D" w:rsidR="009E2A97" w:rsidRDefault="00E07AAA" w:rsidP="009E2A97">
      <w:pPr>
        <w:spacing w:before="120" w:line="276" w:lineRule="auto"/>
        <w:ind w:firstLine="709"/>
        <w:jc w:val="both"/>
        <w:rPr>
          <w:rFonts w:ascii="Arial" w:eastAsia="Arial" w:hAnsi="Arial" w:cs="Arial"/>
          <w:color w:val="000000"/>
          <w:sz w:val="22"/>
          <w:szCs w:val="22"/>
          <w:lang w:val="es-ES_tradnl" w:eastAsia="en-US"/>
        </w:rPr>
      </w:pPr>
      <w:r w:rsidRPr="00E07AAA">
        <w:rPr>
          <w:rFonts w:ascii="Arial" w:hAnsi="Arial" w:cs="Arial"/>
          <w:color w:val="000000" w:themeColor="text1"/>
          <w:sz w:val="22"/>
          <w:lang w:val="es-ES_tradnl"/>
        </w:rPr>
        <w:lastRenderedPageBreak/>
        <w:t>L</w:t>
      </w:r>
      <w:r w:rsidRPr="00222BE8">
        <w:rPr>
          <w:rFonts w:ascii="Arial" w:hAnsi="Arial" w:cs="Arial"/>
          <w:color w:val="000000" w:themeColor="text1"/>
          <w:sz w:val="22"/>
          <w:lang w:val="es-ES_tradnl"/>
        </w:rPr>
        <w:t>a Agencia Nacional de Contratación Públic</w:t>
      </w:r>
      <w:r w:rsidR="009E2A97">
        <w:rPr>
          <w:rFonts w:ascii="Arial" w:hAnsi="Arial" w:cs="Arial"/>
          <w:color w:val="000000" w:themeColor="text1"/>
          <w:sz w:val="22"/>
          <w:lang w:val="es-ES_tradnl"/>
        </w:rPr>
        <w:t xml:space="preserve">a </w:t>
      </w:r>
      <w:r w:rsidR="004A41B5">
        <w:rPr>
          <w:rFonts w:ascii="Arial" w:hAnsi="Arial" w:cs="Arial"/>
          <w:color w:val="000000" w:themeColor="text1"/>
          <w:sz w:val="22"/>
          <w:lang w:val="es-ES_tradnl"/>
        </w:rPr>
        <w:t>–</w:t>
      </w:r>
      <w:r w:rsidR="009E2A97">
        <w:rPr>
          <w:rFonts w:ascii="Arial" w:hAnsi="Arial" w:cs="Arial"/>
          <w:color w:val="000000" w:themeColor="text1"/>
          <w:sz w:val="22"/>
          <w:lang w:val="es-ES_tradnl"/>
        </w:rPr>
        <w:t xml:space="preserve"> Colombia Compra Eficiente</w:t>
      </w:r>
      <w:r w:rsidRPr="00222BE8">
        <w:rPr>
          <w:rFonts w:ascii="Arial" w:hAnsi="Arial" w:cs="Arial"/>
          <w:color w:val="000000" w:themeColor="text1"/>
          <w:sz w:val="22"/>
          <w:lang w:val="es-ES_tradnl"/>
        </w:rPr>
        <w:t xml:space="preserve"> </w:t>
      </w:r>
      <w:r w:rsidR="009E2A97">
        <w:rPr>
          <w:rFonts w:ascii="Arial" w:hAnsi="Arial" w:cs="Arial"/>
          <w:color w:val="000000" w:themeColor="text1"/>
          <w:sz w:val="22"/>
          <w:lang w:val="es-ES_tradnl"/>
        </w:rPr>
        <w:t>analizó desde una perspectiva general el régimen de inhabilidades e incompatibilidades en la contratación pública, en los</w:t>
      </w:r>
      <w:r w:rsidR="009E2A97" w:rsidRPr="009E2A97">
        <w:rPr>
          <w:rFonts w:ascii="Arial" w:eastAsiaTheme="minorHAnsi" w:hAnsi="Arial" w:cs="Arial"/>
          <w:color w:val="000000" w:themeColor="text1"/>
          <w:sz w:val="22"/>
          <w:szCs w:val="22"/>
          <w:lang w:val="es-ES_tradnl" w:eastAsia="en-US"/>
        </w:rPr>
        <w:t xml:space="preserve"> </w:t>
      </w:r>
      <w:r w:rsidR="009E2A97" w:rsidRPr="00601EFC">
        <w:rPr>
          <w:rFonts w:ascii="Arial" w:eastAsiaTheme="minorHAnsi" w:hAnsi="Arial" w:cs="Arial"/>
          <w:color w:val="000000" w:themeColor="text1"/>
          <w:sz w:val="22"/>
          <w:szCs w:val="22"/>
          <w:lang w:val="es-ES_tradnl" w:eastAsia="en-US"/>
        </w:rPr>
        <w:t>conceptos C–</w:t>
      </w:r>
      <w:r w:rsidR="00601EFC" w:rsidRPr="00601EFC">
        <w:rPr>
          <w:rFonts w:ascii="Arial" w:eastAsiaTheme="minorHAnsi" w:hAnsi="Arial" w:cs="Arial"/>
          <w:color w:val="000000" w:themeColor="text1"/>
          <w:sz w:val="22"/>
          <w:szCs w:val="22"/>
          <w:lang w:val="es-ES_tradnl" w:eastAsia="en-US"/>
        </w:rPr>
        <w:t>032 del 19</w:t>
      </w:r>
      <w:r w:rsidR="009E2A97" w:rsidRPr="00601EFC">
        <w:rPr>
          <w:rFonts w:ascii="Arial" w:eastAsiaTheme="minorHAnsi" w:hAnsi="Arial" w:cs="Arial"/>
          <w:color w:val="000000" w:themeColor="text1"/>
          <w:sz w:val="22"/>
          <w:szCs w:val="22"/>
          <w:lang w:val="es-ES_tradnl" w:eastAsia="en-US"/>
        </w:rPr>
        <w:t xml:space="preserve"> de febrero de 2020,</w:t>
      </w:r>
      <w:r w:rsidR="009E2A97" w:rsidRPr="009E2A97">
        <w:rPr>
          <w:rFonts w:ascii="Arial" w:eastAsiaTheme="minorHAnsi" w:hAnsi="Arial" w:cs="Arial"/>
          <w:color w:val="000000" w:themeColor="text1"/>
          <w:sz w:val="22"/>
          <w:szCs w:val="22"/>
          <w:lang w:val="es-ES_tradnl" w:eastAsia="en-US"/>
        </w:rPr>
        <w:t xml:space="preserve"> C-090 del 24 de febrero de 2020, C-125 del 3 de marzo de 2020, C-157 del 17 de marzo de 2020, C-273 del 21 de mayo de 2020, C-386 del 24 de julio de 2020, C-580 del 21 de septiembre de 2020, C-</w:t>
      </w:r>
      <w:r w:rsidR="008D5A78">
        <w:rPr>
          <w:rFonts w:ascii="Arial" w:eastAsiaTheme="minorHAnsi" w:hAnsi="Arial" w:cs="Arial"/>
          <w:color w:val="000000" w:themeColor="text1"/>
          <w:sz w:val="22"/>
          <w:szCs w:val="22"/>
          <w:lang w:val="es-ES_tradnl" w:eastAsia="en-US"/>
        </w:rPr>
        <w:t>650 del 10 de noviembre de 2020,</w:t>
      </w:r>
      <w:r w:rsidR="009E2A97" w:rsidRPr="009E2A97">
        <w:rPr>
          <w:rFonts w:ascii="Arial" w:eastAsiaTheme="minorHAnsi" w:hAnsi="Arial" w:cs="Arial"/>
          <w:color w:val="000000" w:themeColor="text1"/>
          <w:sz w:val="22"/>
          <w:szCs w:val="22"/>
          <w:lang w:val="es-ES_tradnl" w:eastAsia="en-US"/>
        </w:rPr>
        <w:t xml:space="preserve"> C-684 del 24 de noviembre de 2020</w:t>
      </w:r>
      <w:r w:rsidR="008D5A78">
        <w:rPr>
          <w:rFonts w:ascii="Arial" w:eastAsiaTheme="minorHAnsi" w:hAnsi="Arial" w:cs="Arial"/>
          <w:color w:val="000000" w:themeColor="text1"/>
          <w:sz w:val="22"/>
          <w:szCs w:val="22"/>
          <w:lang w:val="es-ES_tradnl" w:eastAsia="en-US"/>
        </w:rPr>
        <w:t xml:space="preserve"> y</w:t>
      </w:r>
      <w:r w:rsidR="007A2149">
        <w:rPr>
          <w:rFonts w:ascii="Arial" w:eastAsiaTheme="minorHAnsi" w:hAnsi="Arial" w:cs="Arial"/>
          <w:color w:val="000000" w:themeColor="text1"/>
          <w:sz w:val="22"/>
          <w:szCs w:val="22"/>
          <w:lang w:val="es-ES_tradnl" w:eastAsia="en-US"/>
        </w:rPr>
        <w:t xml:space="preserve"> C-</w:t>
      </w:r>
      <w:r w:rsidR="008D5A78">
        <w:rPr>
          <w:rFonts w:ascii="Arial" w:eastAsiaTheme="minorHAnsi" w:hAnsi="Arial" w:cs="Arial"/>
          <w:color w:val="000000" w:themeColor="text1"/>
          <w:sz w:val="22"/>
          <w:szCs w:val="22"/>
          <w:lang w:val="es-ES_tradnl" w:eastAsia="en-US"/>
        </w:rPr>
        <w:t>815 del 18 de febrero de 2021.</w:t>
      </w:r>
      <w:r w:rsidR="009E2A97" w:rsidRPr="009E2A97">
        <w:rPr>
          <w:rFonts w:ascii="Arial" w:eastAsiaTheme="minorHAnsi" w:hAnsi="Arial" w:cs="Arial"/>
          <w:color w:val="000000" w:themeColor="text1"/>
          <w:sz w:val="22"/>
          <w:szCs w:val="22"/>
          <w:lang w:val="es-ES_tradnl" w:eastAsia="en-US"/>
        </w:rPr>
        <w:t xml:space="preserve"> Las tesis expuestas en </w:t>
      </w:r>
      <w:r w:rsidR="004D40CF">
        <w:rPr>
          <w:rFonts w:ascii="Arial" w:eastAsiaTheme="minorHAnsi" w:hAnsi="Arial" w:cs="Arial"/>
          <w:color w:val="000000" w:themeColor="text1"/>
          <w:sz w:val="22"/>
          <w:szCs w:val="22"/>
          <w:lang w:val="es-ES_tradnl" w:eastAsia="en-US"/>
        </w:rPr>
        <w:t>dichos conceptos</w:t>
      </w:r>
      <w:r w:rsidR="009E2A97" w:rsidRPr="009E2A97">
        <w:rPr>
          <w:rFonts w:ascii="Arial" w:eastAsiaTheme="minorHAnsi" w:hAnsi="Arial" w:cs="Arial"/>
          <w:color w:val="000000" w:themeColor="text1"/>
          <w:sz w:val="22"/>
          <w:szCs w:val="22"/>
          <w:lang w:val="es-ES_tradnl" w:eastAsia="en-US"/>
        </w:rPr>
        <w:t xml:space="preserve"> se reiteran en lo pertinente.</w:t>
      </w:r>
    </w:p>
    <w:p w14:paraId="7BF6B464" w14:textId="77777777" w:rsidR="009E2A97" w:rsidRPr="009E2A97" w:rsidRDefault="009E2A97" w:rsidP="009E2A97">
      <w:pPr>
        <w:spacing w:line="276" w:lineRule="auto"/>
        <w:jc w:val="both"/>
        <w:rPr>
          <w:rFonts w:ascii="Arial" w:eastAsia="Arial" w:hAnsi="Arial" w:cs="Arial"/>
          <w:color w:val="000000"/>
          <w:sz w:val="22"/>
          <w:szCs w:val="22"/>
          <w:lang w:val="es-ES_tradnl" w:eastAsia="en-US"/>
        </w:rPr>
      </w:pPr>
    </w:p>
    <w:p w14:paraId="324C0313" w14:textId="5A341956" w:rsidR="00E84F83" w:rsidRPr="00E84F83" w:rsidRDefault="00E84F83" w:rsidP="00E84F83">
      <w:pPr>
        <w:spacing w:line="276" w:lineRule="auto"/>
        <w:jc w:val="both"/>
        <w:rPr>
          <w:rFonts w:ascii="Arial" w:eastAsia="Arial" w:hAnsi="Arial" w:cs="Arial"/>
          <w:b/>
          <w:color w:val="000000"/>
          <w:sz w:val="22"/>
          <w:szCs w:val="22"/>
          <w:lang w:val="es-ES_tradnl" w:eastAsia="en-US"/>
        </w:rPr>
      </w:pPr>
      <w:r w:rsidRPr="00E84F83">
        <w:rPr>
          <w:rFonts w:ascii="Arial" w:eastAsia="Arial" w:hAnsi="Arial" w:cs="Arial"/>
          <w:b/>
          <w:color w:val="000000"/>
          <w:sz w:val="22"/>
          <w:szCs w:val="22"/>
          <w:lang w:val="es-ES_tradnl" w:eastAsia="en-US"/>
        </w:rPr>
        <w:t>2.1. Régimen de inhabilidades e incompatibilidades en la contratación estatal: un límite a la capacidad contractual. La interpretación restrictiva como criterio hermenéutico de los e</w:t>
      </w:r>
      <w:r w:rsidR="00341BE2">
        <w:rPr>
          <w:rFonts w:ascii="Arial" w:eastAsia="Arial" w:hAnsi="Arial" w:cs="Arial"/>
          <w:b/>
          <w:color w:val="000000"/>
          <w:sz w:val="22"/>
          <w:szCs w:val="22"/>
          <w:lang w:val="es-ES_tradnl" w:eastAsia="en-US"/>
        </w:rPr>
        <w:t>nunciados normativos gravosos</w:t>
      </w:r>
    </w:p>
    <w:p w14:paraId="291EB630" w14:textId="77777777" w:rsidR="00E84F83" w:rsidRPr="00E84F83" w:rsidRDefault="00E84F83" w:rsidP="00E84F83">
      <w:pPr>
        <w:spacing w:line="276" w:lineRule="auto"/>
        <w:jc w:val="both"/>
        <w:rPr>
          <w:rFonts w:ascii="Arial" w:eastAsia="Arial" w:hAnsi="Arial" w:cs="Arial"/>
          <w:color w:val="000000"/>
          <w:sz w:val="22"/>
          <w:szCs w:val="22"/>
          <w:lang w:val="es-ES_tradnl" w:eastAsia="en-US"/>
        </w:rPr>
      </w:pPr>
    </w:p>
    <w:p w14:paraId="26EA4398" w14:textId="77777777" w:rsidR="00E84F83" w:rsidRPr="00E84F83" w:rsidRDefault="00E84F83" w:rsidP="009E2A97">
      <w:pPr>
        <w:spacing w:after="120" w:line="276" w:lineRule="auto"/>
        <w:jc w:val="both"/>
        <w:rPr>
          <w:rFonts w:ascii="Arial" w:eastAsia="Arial" w:hAnsi="Arial" w:cs="Arial"/>
          <w:color w:val="000000"/>
          <w:sz w:val="22"/>
          <w:szCs w:val="22"/>
          <w:lang w:val="es-ES_tradnl" w:eastAsia="en-US"/>
        </w:rPr>
      </w:pPr>
      <w:r w:rsidRPr="00E84F83">
        <w:rPr>
          <w:rFonts w:ascii="Arial" w:eastAsia="Arial" w:hAnsi="Arial" w:cs="Arial"/>
          <w:color w:val="000000"/>
          <w:sz w:val="22"/>
          <w:szCs w:val="22"/>
          <w:lang w:val="es-ES_tradnl" w:eastAsia="en-US"/>
        </w:rPr>
        <w:t xml:space="preserve">En la contratación estatal, la </w:t>
      </w:r>
      <w:r w:rsidRPr="00E84F83">
        <w:rPr>
          <w:rFonts w:ascii="Arial" w:eastAsia="Arial" w:hAnsi="Arial" w:cs="Arial"/>
          <w:i/>
          <w:iCs/>
          <w:color w:val="000000"/>
          <w:sz w:val="22"/>
          <w:szCs w:val="22"/>
          <w:lang w:val="es-ES_tradnl" w:eastAsia="en-US"/>
        </w:rPr>
        <w:t>capacidad</w:t>
      </w:r>
      <w:r w:rsidRPr="00E84F83">
        <w:rPr>
          <w:rFonts w:ascii="Arial" w:eastAsia="Arial" w:hAnsi="Arial" w:cs="Arial"/>
          <w:color w:val="000000"/>
          <w:sz w:val="22"/>
          <w:szCs w:val="22"/>
          <w:lang w:val="es-ES_tradnl" w:eastAsia="en-US"/>
        </w:rPr>
        <w:t xml:space="preserve"> </w:t>
      </w:r>
      <w:r w:rsidRPr="00E84F83">
        <w:rPr>
          <w:rFonts w:ascii="Arial" w:eastAsia="Arial" w:hAnsi="Arial" w:cs="Arial"/>
          <w:i/>
          <w:iCs/>
          <w:color w:val="000000"/>
          <w:sz w:val="22"/>
          <w:szCs w:val="22"/>
          <w:lang w:val="es-ES_tradnl" w:eastAsia="en-US"/>
        </w:rPr>
        <w:t>jurídica</w:t>
      </w:r>
      <w:r w:rsidRPr="00E84F83">
        <w:rPr>
          <w:rFonts w:ascii="Arial" w:eastAsia="Arial" w:hAnsi="Arial" w:cs="Arial"/>
          <w:color w:val="000000"/>
          <w:sz w:val="22"/>
          <w:szCs w:val="22"/>
          <w:lang w:val="es-ES_tradnl" w:eastAsia="en-US"/>
        </w:rPr>
        <w:t xml:space="preserve"> también es un requisito de validez de los contratos, tanto en el régimen de las entidades sujetas al Estatuto General de Contratación de la Administración Pública</w:t>
      </w:r>
      <w:r w:rsidRPr="00E84F83">
        <w:rPr>
          <w:rFonts w:ascii="Arial" w:eastAsia="Arial" w:hAnsi="Arial" w:cs="Arial"/>
          <w:color w:val="000000"/>
          <w:sz w:val="22"/>
          <w:szCs w:val="22"/>
          <w:vertAlign w:val="superscript"/>
          <w:lang w:val="es-ES_tradnl" w:eastAsia="en-US"/>
        </w:rPr>
        <w:footnoteReference w:id="2"/>
      </w:r>
      <w:r w:rsidRPr="00E84F83">
        <w:rPr>
          <w:rFonts w:ascii="Arial" w:eastAsia="Arial" w:hAnsi="Arial" w:cs="Arial"/>
          <w:color w:val="000000"/>
          <w:sz w:val="22"/>
          <w:szCs w:val="22"/>
          <w:lang w:val="es-ES_tradnl" w:eastAsia="en-US"/>
        </w:rPr>
        <w:t>, como en el de las entidades exceptuadas de aquel</w:t>
      </w:r>
      <w:r w:rsidRPr="00E84F83">
        <w:rPr>
          <w:rFonts w:ascii="Arial" w:eastAsia="Arial" w:hAnsi="Arial" w:cs="Arial"/>
          <w:color w:val="000000"/>
          <w:sz w:val="22"/>
          <w:szCs w:val="22"/>
          <w:vertAlign w:val="superscript"/>
          <w:lang w:val="es-ES_tradnl" w:eastAsia="en-US"/>
        </w:rPr>
        <w:footnoteReference w:id="3"/>
      </w:r>
      <w:r w:rsidRPr="00E84F83">
        <w:rPr>
          <w:rFonts w:ascii="Arial" w:eastAsia="Arial" w:hAnsi="Arial" w:cs="Arial"/>
          <w:color w:val="000000"/>
          <w:sz w:val="22"/>
          <w:szCs w:val="22"/>
          <w:lang w:val="es-ES_tradnl" w:eastAsia="en-US"/>
        </w:rPr>
        <w:t>. Si bien la regulación de la capacidad se integra por varias disposiciones y exigencias especiales –como el requisito de inscribirse, por regla general, en el Registro Único de Proponentes (RUP)–, se destaca el régimen de inhabilidades e incompatibilidades como un conjunto de enunciados normativos que imponen restricciones para los sujetos que, eventualmente, pretendan participar en los procedimientos de selección o celebrar contratos con las entidades estatales</w:t>
      </w:r>
      <w:r w:rsidRPr="00E84F83">
        <w:rPr>
          <w:rFonts w:ascii="Arial" w:eastAsia="Arial" w:hAnsi="Arial" w:cs="Arial"/>
          <w:color w:val="000000"/>
          <w:sz w:val="22"/>
          <w:szCs w:val="22"/>
          <w:vertAlign w:val="superscript"/>
          <w:lang w:val="es-ES_tradnl" w:eastAsia="en-US"/>
        </w:rPr>
        <w:footnoteReference w:id="4"/>
      </w:r>
      <w:r w:rsidRPr="00E84F83">
        <w:rPr>
          <w:rFonts w:ascii="Arial" w:eastAsia="Arial" w:hAnsi="Arial" w:cs="Arial"/>
          <w:color w:val="000000"/>
          <w:sz w:val="22"/>
          <w:szCs w:val="22"/>
          <w:lang w:val="es-ES_tradnl" w:eastAsia="en-US"/>
        </w:rPr>
        <w:t>.</w:t>
      </w:r>
    </w:p>
    <w:p w14:paraId="042FD765" w14:textId="77777777" w:rsidR="00E84F83" w:rsidRPr="00E84F83" w:rsidRDefault="00E84F83" w:rsidP="00E84F83">
      <w:pPr>
        <w:spacing w:after="120" w:line="276" w:lineRule="auto"/>
        <w:ind w:firstLine="720"/>
        <w:jc w:val="both"/>
        <w:rPr>
          <w:rFonts w:ascii="Arial" w:eastAsia="Arial" w:hAnsi="Arial" w:cs="Arial"/>
          <w:color w:val="000000"/>
          <w:sz w:val="22"/>
          <w:szCs w:val="22"/>
          <w:lang w:val="es-ES_tradnl" w:eastAsia="en-US"/>
        </w:rPr>
      </w:pPr>
      <w:bookmarkStart w:id="3" w:name="_Hlk67555212"/>
      <w:r w:rsidRPr="00E84F83">
        <w:rPr>
          <w:rFonts w:ascii="Arial" w:eastAsia="Arial" w:hAnsi="Arial" w:cs="Arial"/>
          <w:color w:val="000000"/>
          <w:sz w:val="22"/>
          <w:szCs w:val="22"/>
          <w:lang w:val="es-ES_tradnl" w:eastAsia="en-US"/>
        </w:rPr>
        <w:t xml:space="preserve">Las inhabilidades son prohibiciones para concurrir en los procedimientos de selección y para contratar con el Estado, que se derivan i) de la existencia de comportamientos reprochables de sanciones anteriormente impuestas, </w:t>
      </w:r>
      <w:proofErr w:type="spellStart"/>
      <w:r w:rsidRPr="00E84F83">
        <w:rPr>
          <w:rFonts w:ascii="Arial" w:eastAsia="Arial" w:hAnsi="Arial" w:cs="Arial"/>
          <w:color w:val="000000"/>
          <w:sz w:val="22"/>
          <w:szCs w:val="22"/>
          <w:lang w:val="es-ES_tradnl" w:eastAsia="en-US"/>
        </w:rPr>
        <w:t>ii</w:t>
      </w:r>
      <w:proofErr w:type="spellEnd"/>
      <w:r w:rsidRPr="00E84F83">
        <w:rPr>
          <w:rFonts w:ascii="Arial" w:eastAsia="Arial" w:hAnsi="Arial" w:cs="Arial"/>
          <w:color w:val="000000"/>
          <w:sz w:val="22"/>
          <w:szCs w:val="22"/>
          <w:lang w:val="es-ES_tradnl" w:eastAsia="en-US"/>
        </w:rPr>
        <w:t xml:space="preserve">) de vínculos </w:t>
      </w:r>
      <w:r w:rsidRPr="00E84F83">
        <w:rPr>
          <w:rFonts w:ascii="Arial" w:eastAsia="Arial" w:hAnsi="Arial" w:cs="Arial"/>
          <w:color w:val="000000"/>
          <w:sz w:val="22"/>
          <w:szCs w:val="22"/>
          <w:lang w:val="es-ES_tradnl" w:eastAsia="en-US"/>
        </w:rPr>
        <w:lastRenderedPageBreak/>
        <w:t>personales relativos al parentesco o al estado civil</w:t>
      </w:r>
      <w:r w:rsidRPr="00E84F83">
        <w:rPr>
          <w:rFonts w:ascii="Arial" w:eastAsia="Arial" w:hAnsi="Arial" w:cs="Arial"/>
          <w:color w:val="000000"/>
          <w:sz w:val="22"/>
          <w:szCs w:val="22"/>
          <w:vertAlign w:val="superscript"/>
          <w:lang w:val="es-ES_tradnl" w:eastAsia="en-US"/>
        </w:rPr>
        <w:t xml:space="preserve"> </w:t>
      </w:r>
      <w:r w:rsidRPr="00E84F83">
        <w:rPr>
          <w:rFonts w:ascii="Arial" w:eastAsia="Arial" w:hAnsi="Arial" w:cs="Arial"/>
          <w:color w:val="000000"/>
          <w:sz w:val="22"/>
          <w:szCs w:val="22"/>
          <w:lang w:val="es-ES_tradnl" w:eastAsia="en-US"/>
        </w:rPr>
        <w:t xml:space="preserve">o </w:t>
      </w:r>
      <w:proofErr w:type="spellStart"/>
      <w:r w:rsidRPr="00E84F83">
        <w:rPr>
          <w:rFonts w:ascii="Arial" w:eastAsia="Arial" w:hAnsi="Arial" w:cs="Arial"/>
          <w:color w:val="000000"/>
          <w:sz w:val="22"/>
          <w:szCs w:val="22"/>
          <w:lang w:val="es-ES_tradnl" w:eastAsia="en-US"/>
        </w:rPr>
        <w:t>iii</w:t>
      </w:r>
      <w:proofErr w:type="spellEnd"/>
      <w:r w:rsidRPr="00E84F83">
        <w:rPr>
          <w:rFonts w:ascii="Arial" w:eastAsia="Arial" w:hAnsi="Arial" w:cs="Arial"/>
          <w:color w:val="000000"/>
          <w:sz w:val="22"/>
          <w:szCs w:val="22"/>
          <w:lang w:val="es-ES_tradnl" w:eastAsia="en-US"/>
        </w:rPr>
        <w:t>) de una actividad u oficio que se desempeñó en el pasado.</w:t>
      </w:r>
    </w:p>
    <w:bookmarkEnd w:id="3"/>
    <w:p w14:paraId="3A66E182" w14:textId="77777777" w:rsidR="00E84F83" w:rsidRPr="00E84F83" w:rsidRDefault="00E84F83" w:rsidP="00E84F83">
      <w:pPr>
        <w:spacing w:after="120" w:line="276" w:lineRule="auto"/>
        <w:ind w:firstLine="720"/>
        <w:jc w:val="both"/>
        <w:rPr>
          <w:rFonts w:ascii="Arial" w:eastAsia="Arial" w:hAnsi="Arial" w:cs="Arial"/>
          <w:color w:val="000000"/>
          <w:sz w:val="22"/>
          <w:szCs w:val="22"/>
          <w:lang w:val="es-ES_tradnl" w:eastAsia="en-US"/>
        </w:rPr>
      </w:pPr>
      <w:r w:rsidRPr="00E84F83">
        <w:rPr>
          <w:rFonts w:ascii="Arial" w:eastAsia="Arial" w:hAnsi="Arial" w:cs="Arial"/>
          <w:color w:val="000000"/>
          <w:sz w:val="22"/>
          <w:szCs w:val="22"/>
          <w:lang w:val="es-ES_tradnl" w:eastAsia="en-US"/>
        </w:rPr>
        <w:t>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Por ello, como lo ha destacado la doctrina, las inhabilidades e incompatibilidades se han convertido en herramientas en la lucha contra la corrupción, adoptando paulatinamente un carácter sancionatorio o «</w:t>
      </w:r>
      <w:proofErr w:type="spellStart"/>
      <w:r w:rsidRPr="00E84F83">
        <w:rPr>
          <w:rFonts w:ascii="Arial" w:eastAsia="Arial" w:hAnsi="Arial" w:cs="Arial"/>
          <w:color w:val="000000"/>
          <w:sz w:val="22"/>
          <w:szCs w:val="22"/>
          <w:lang w:val="es-ES_tradnl" w:eastAsia="en-US"/>
        </w:rPr>
        <w:t>neopunitivo</w:t>
      </w:r>
      <w:proofErr w:type="spellEnd"/>
      <w:r w:rsidRPr="00E84F83">
        <w:rPr>
          <w:rFonts w:ascii="Arial" w:eastAsia="Arial" w:hAnsi="Arial" w:cs="Arial"/>
          <w:color w:val="000000"/>
          <w:sz w:val="22"/>
          <w:szCs w:val="22"/>
          <w:lang w:val="es-ES_tradnl" w:eastAsia="en-US"/>
        </w:rPr>
        <w:t>»</w:t>
      </w:r>
      <w:r w:rsidRPr="00E84F83">
        <w:rPr>
          <w:rFonts w:ascii="Arial" w:eastAsia="Arial" w:hAnsi="Arial" w:cs="Arial"/>
          <w:color w:val="000000"/>
          <w:sz w:val="22"/>
          <w:szCs w:val="22"/>
          <w:vertAlign w:val="superscript"/>
          <w:lang w:val="es-ES_tradnl" w:eastAsia="en-US"/>
        </w:rPr>
        <w:footnoteReference w:id="5"/>
      </w:r>
      <w:r w:rsidRPr="00E84F83">
        <w:rPr>
          <w:rFonts w:ascii="Arial" w:eastAsia="Arial" w:hAnsi="Arial" w:cs="Arial"/>
          <w:color w:val="000000"/>
          <w:sz w:val="22"/>
          <w:szCs w:val="22"/>
          <w:lang w:val="es-ES_tradnl" w:eastAsia="en-US"/>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17E60B53" w14:textId="77777777" w:rsidR="00E84F83" w:rsidRPr="00E84F83" w:rsidRDefault="00E84F83" w:rsidP="00E84F83">
      <w:pPr>
        <w:spacing w:after="120" w:line="276" w:lineRule="auto"/>
        <w:ind w:firstLine="720"/>
        <w:jc w:val="both"/>
        <w:rPr>
          <w:rFonts w:ascii="Arial" w:eastAsia="Arial" w:hAnsi="Arial" w:cs="Arial"/>
          <w:color w:val="000000"/>
          <w:sz w:val="22"/>
          <w:szCs w:val="22"/>
          <w:lang w:val="es-ES_tradnl" w:eastAsia="en-US"/>
        </w:rPr>
      </w:pPr>
      <w:r w:rsidRPr="00E84F83">
        <w:rPr>
          <w:rFonts w:ascii="Arial" w:eastAsia="Arial" w:hAnsi="Arial" w:cs="Arial"/>
          <w:color w:val="000000"/>
          <w:sz w:val="22"/>
          <w:szCs w:val="22"/>
          <w:lang w:val="es-ES_tradnl" w:eastAsia="en-US"/>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E84F83">
        <w:rPr>
          <w:rFonts w:ascii="Arial" w:eastAsia="Arial" w:hAnsi="Arial" w:cs="Arial"/>
          <w:i/>
          <w:iCs/>
          <w:color w:val="000000"/>
          <w:sz w:val="22"/>
          <w:szCs w:val="22"/>
          <w:lang w:val="es-ES_tradnl" w:eastAsia="en-US"/>
        </w:rPr>
        <w:t>restrictiva</w:t>
      </w:r>
      <w:r w:rsidRPr="00E84F83">
        <w:rPr>
          <w:rFonts w:ascii="Arial" w:eastAsia="Arial" w:hAnsi="Arial" w:cs="Arial"/>
          <w:color w:val="000000"/>
          <w:sz w:val="22"/>
          <w:szCs w:val="22"/>
          <w:vertAlign w:val="superscript"/>
          <w:lang w:val="es-ES_tradnl" w:eastAsia="en-US"/>
        </w:rPr>
        <w:footnoteReference w:id="6"/>
      </w:r>
      <w:r w:rsidRPr="00E84F83">
        <w:rPr>
          <w:rFonts w:ascii="Arial" w:eastAsia="Arial" w:hAnsi="Arial" w:cs="Arial"/>
          <w:color w:val="000000"/>
          <w:sz w:val="22"/>
          <w:szCs w:val="22"/>
          <w:lang w:val="es-ES_tradnl" w:eastAsia="en-US"/>
        </w:rPr>
        <w:t xml:space="preserve">. De admitirse una interpretación extensiva, tales enunciados normativos podrían contemplar múltiples supuestos indeterminados, adquiriendo un cariz subjetivo,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6F4D337C" w14:textId="77777777" w:rsidR="00E84F83" w:rsidRPr="00E84F83" w:rsidRDefault="00E84F83" w:rsidP="00E84F83">
      <w:pPr>
        <w:spacing w:line="276" w:lineRule="auto"/>
        <w:ind w:firstLine="720"/>
        <w:jc w:val="both"/>
        <w:rPr>
          <w:rFonts w:ascii="Arial" w:eastAsia="Arial" w:hAnsi="Arial" w:cs="Arial"/>
          <w:color w:val="000000"/>
          <w:sz w:val="22"/>
          <w:szCs w:val="22"/>
          <w:lang w:val="es-ES_tradnl" w:eastAsia="en-US"/>
        </w:rPr>
      </w:pPr>
      <w:r w:rsidRPr="00E84F83">
        <w:rPr>
          <w:rFonts w:ascii="Arial" w:eastAsia="Arial" w:hAnsi="Arial" w:cs="Arial"/>
          <w:color w:val="000000"/>
          <w:sz w:val="22"/>
          <w:szCs w:val="22"/>
          <w:lang w:val="es-ES_tradnl" w:eastAsia="en-US"/>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E84F83">
        <w:rPr>
          <w:rFonts w:ascii="Arial" w:eastAsia="Arial" w:hAnsi="Arial" w:cs="Arial"/>
          <w:color w:val="000000"/>
          <w:sz w:val="22"/>
          <w:szCs w:val="22"/>
          <w:vertAlign w:val="superscript"/>
          <w:lang w:val="es-ES_tradnl" w:eastAsia="en-US"/>
        </w:rPr>
        <w:footnoteReference w:id="7"/>
      </w:r>
      <w:r w:rsidRPr="00E84F83">
        <w:rPr>
          <w:rFonts w:ascii="Arial" w:eastAsia="Arial" w:hAnsi="Arial" w:cs="Arial"/>
          <w:color w:val="000000"/>
          <w:sz w:val="22"/>
          <w:szCs w:val="22"/>
          <w:lang w:val="es-ES_tradnl" w:eastAsia="en-US"/>
        </w:rPr>
        <w:t xml:space="preserve">. Por su parte, el Consejo de Estado también ha acogido este criterio, </w:t>
      </w:r>
      <w:r w:rsidRPr="00E84F83">
        <w:rPr>
          <w:rFonts w:ascii="Arial" w:eastAsia="Arial" w:hAnsi="Arial" w:cs="Arial"/>
          <w:color w:val="000000"/>
          <w:sz w:val="22"/>
          <w:szCs w:val="22"/>
          <w:lang w:val="es-ES_tradnl" w:eastAsia="en-US"/>
        </w:rPr>
        <w:lastRenderedPageBreak/>
        <w:t>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E84F83">
        <w:rPr>
          <w:rFonts w:ascii="Arial" w:eastAsia="Arial" w:hAnsi="Arial" w:cs="Arial"/>
          <w:color w:val="000000"/>
          <w:sz w:val="22"/>
          <w:szCs w:val="22"/>
          <w:vertAlign w:val="superscript"/>
          <w:lang w:val="es-ES_tradnl" w:eastAsia="en-US"/>
        </w:rPr>
        <w:footnoteReference w:id="8"/>
      </w:r>
      <w:r w:rsidRPr="00E84F83">
        <w:rPr>
          <w:rFonts w:ascii="Arial" w:eastAsia="Arial" w:hAnsi="Arial" w:cs="Arial"/>
          <w:color w:val="000000"/>
          <w:sz w:val="22"/>
          <w:szCs w:val="22"/>
          <w:lang w:val="es-ES_tradnl" w:eastAsia="en-US"/>
        </w:rPr>
        <w:t>. En tal sentido, la Sección Tercera ha señalado que:</w:t>
      </w:r>
    </w:p>
    <w:p w14:paraId="7FBD0F0F" w14:textId="77777777" w:rsidR="00E84F83" w:rsidRPr="00E84F83" w:rsidRDefault="00E84F83" w:rsidP="00E84F83">
      <w:pPr>
        <w:spacing w:line="276" w:lineRule="auto"/>
        <w:ind w:firstLine="720"/>
        <w:jc w:val="both"/>
        <w:rPr>
          <w:rFonts w:ascii="Arial" w:eastAsia="Arial" w:hAnsi="Arial" w:cs="Arial"/>
          <w:color w:val="000000"/>
          <w:sz w:val="22"/>
          <w:szCs w:val="22"/>
          <w:lang w:val="es-ES_tradnl" w:eastAsia="en-US"/>
        </w:rPr>
      </w:pPr>
    </w:p>
    <w:p w14:paraId="12F7ABC3" w14:textId="77777777" w:rsidR="00E84F83" w:rsidRPr="00E84F83" w:rsidRDefault="00E84F83" w:rsidP="00E84F83">
      <w:pPr>
        <w:ind w:left="709" w:right="709"/>
        <w:jc w:val="both"/>
        <w:rPr>
          <w:rFonts w:ascii="Arial" w:eastAsia="Arial" w:hAnsi="Arial" w:cs="Arial"/>
          <w:color w:val="000000"/>
          <w:sz w:val="21"/>
          <w:szCs w:val="21"/>
          <w:lang w:val="es-ES_tradnl" w:eastAsia="en-US"/>
        </w:rPr>
      </w:pPr>
      <w:r w:rsidRPr="00E84F83">
        <w:rPr>
          <w:rFonts w:ascii="Arial" w:eastAsia="Arial" w:hAnsi="Arial" w:cs="Arial"/>
          <w:color w:val="000000"/>
          <w:sz w:val="21"/>
          <w:szCs w:val="21"/>
          <w:lang w:val="es-ES_tradnl" w:eastAsia="en-US"/>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E84F83">
        <w:rPr>
          <w:rFonts w:ascii="Arial" w:eastAsia="Arial" w:hAnsi="Arial" w:cs="Arial"/>
          <w:color w:val="000000"/>
          <w:sz w:val="21"/>
          <w:szCs w:val="21"/>
          <w:vertAlign w:val="superscript"/>
          <w:lang w:val="es-ES_tradnl" w:eastAsia="en-US"/>
        </w:rPr>
        <w:footnoteReference w:id="9"/>
      </w:r>
      <w:r w:rsidRPr="00E84F83">
        <w:rPr>
          <w:rFonts w:ascii="Arial" w:eastAsia="Arial" w:hAnsi="Arial" w:cs="Arial"/>
          <w:color w:val="000000"/>
          <w:sz w:val="21"/>
          <w:szCs w:val="21"/>
          <w:lang w:val="es-ES_tradnl" w:eastAsia="en-US"/>
        </w:rPr>
        <w:t>.</w:t>
      </w:r>
    </w:p>
    <w:p w14:paraId="42850E50" w14:textId="77777777" w:rsidR="00E84F83" w:rsidRPr="00E84F83" w:rsidRDefault="00E84F83" w:rsidP="00E84F83">
      <w:pPr>
        <w:ind w:left="709" w:right="709"/>
        <w:jc w:val="both"/>
        <w:rPr>
          <w:rFonts w:ascii="Arial" w:eastAsia="Arial" w:hAnsi="Arial" w:cs="Arial"/>
          <w:color w:val="000000"/>
          <w:sz w:val="21"/>
          <w:szCs w:val="21"/>
          <w:lang w:val="es-ES_tradnl" w:eastAsia="en-US"/>
        </w:rPr>
      </w:pPr>
    </w:p>
    <w:p w14:paraId="0582EEEE" w14:textId="77777777" w:rsidR="00E84F83" w:rsidRPr="00E84F83" w:rsidRDefault="00E84F83" w:rsidP="00E84F83">
      <w:pPr>
        <w:spacing w:line="276" w:lineRule="auto"/>
        <w:ind w:firstLine="720"/>
        <w:jc w:val="both"/>
        <w:rPr>
          <w:rFonts w:ascii="Arial" w:eastAsia="Arial" w:hAnsi="Arial" w:cs="Arial"/>
          <w:color w:val="000000"/>
          <w:sz w:val="22"/>
          <w:szCs w:val="22"/>
          <w:lang w:val="es-ES_tradnl" w:eastAsia="en-US"/>
        </w:rPr>
      </w:pPr>
      <w:r w:rsidRPr="00E84F83">
        <w:rPr>
          <w:rFonts w:ascii="Arial" w:eastAsia="Arial" w:hAnsi="Arial" w:cs="Arial"/>
          <w:color w:val="000000"/>
          <w:sz w:val="22"/>
          <w:szCs w:val="22"/>
          <w:lang w:val="es-ES_tradnl" w:eastAsia="en-US"/>
        </w:rPr>
        <w:t>También ha dicho que:</w:t>
      </w:r>
    </w:p>
    <w:p w14:paraId="0B14C81A" w14:textId="77777777" w:rsidR="00E84F83" w:rsidRPr="00E84F83" w:rsidRDefault="00E84F83" w:rsidP="00E84F83">
      <w:pPr>
        <w:spacing w:line="276" w:lineRule="auto"/>
        <w:ind w:firstLine="720"/>
        <w:jc w:val="both"/>
        <w:rPr>
          <w:rFonts w:ascii="Arial" w:eastAsia="Arial" w:hAnsi="Arial" w:cs="Arial"/>
          <w:color w:val="000000"/>
          <w:sz w:val="22"/>
          <w:szCs w:val="22"/>
          <w:lang w:val="es-ES_tradnl" w:eastAsia="en-US"/>
        </w:rPr>
      </w:pPr>
    </w:p>
    <w:p w14:paraId="374D444B" w14:textId="77777777" w:rsidR="00E84F83" w:rsidRPr="00E84F83" w:rsidRDefault="00E84F83" w:rsidP="00E84F83">
      <w:pPr>
        <w:ind w:left="709" w:right="709"/>
        <w:jc w:val="both"/>
        <w:rPr>
          <w:rFonts w:ascii="Arial" w:eastAsia="Arial" w:hAnsi="Arial" w:cs="Arial"/>
          <w:color w:val="000000"/>
          <w:sz w:val="21"/>
          <w:szCs w:val="21"/>
          <w:lang w:val="es-ES_tradnl" w:eastAsia="en-US"/>
        </w:rPr>
      </w:pPr>
      <w:r w:rsidRPr="00E84F83">
        <w:rPr>
          <w:rFonts w:ascii="Arial" w:eastAsia="Arial" w:hAnsi="Arial" w:cs="Arial"/>
          <w:color w:val="000000"/>
          <w:sz w:val="21"/>
          <w:szCs w:val="21"/>
          <w:lang w:val="es-ES_tradnl" w:eastAsia="en-US"/>
        </w:rPr>
        <w:t xml:space="preserve">[…] la aplicación de estos preceptos exige una interpretación restrictiva, dado que según el principio hermenéutico pro </w:t>
      </w:r>
      <w:proofErr w:type="spellStart"/>
      <w:r w:rsidRPr="00E84F83">
        <w:rPr>
          <w:rFonts w:ascii="Arial" w:eastAsia="Arial" w:hAnsi="Arial" w:cs="Arial"/>
          <w:color w:val="000000"/>
          <w:sz w:val="21"/>
          <w:szCs w:val="21"/>
          <w:lang w:val="es-ES_tradnl" w:eastAsia="en-US"/>
        </w:rPr>
        <w:t>libertate</w:t>
      </w:r>
      <w:proofErr w:type="spellEnd"/>
      <w:r w:rsidRPr="00E84F83">
        <w:rPr>
          <w:rFonts w:ascii="Arial" w:eastAsia="Arial" w:hAnsi="Arial" w:cs="Arial"/>
          <w:color w:val="000000"/>
          <w:sz w:val="21"/>
          <w:szCs w:val="21"/>
          <w:lang w:val="es-ES_tradnl" w:eastAsia="en-US"/>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E84F83">
        <w:rPr>
          <w:rFonts w:ascii="Arial" w:eastAsia="Arial" w:hAnsi="Arial" w:cs="Arial"/>
          <w:color w:val="000000"/>
          <w:sz w:val="21"/>
          <w:szCs w:val="21"/>
          <w:vertAlign w:val="superscript"/>
          <w:lang w:val="es-ES_tradnl" w:eastAsia="en-US"/>
        </w:rPr>
        <w:footnoteReference w:id="10"/>
      </w:r>
      <w:r w:rsidRPr="00E84F83">
        <w:rPr>
          <w:rFonts w:ascii="Arial" w:eastAsia="Arial" w:hAnsi="Arial" w:cs="Arial"/>
          <w:color w:val="000000"/>
          <w:sz w:val="21"/>
          <w:szCs w:val="21"/>
          <w:lang w:val="es-ES_tradnl" w:eastAsia="en-US"/>
        </w:rPr>
        <w:t>.</w:t>
      </w:r>
    </w:p>
    <w:p w14:paraId="2A41C997" w14:textId="77777777" w:rsidR="00E84F83" w:rsidRPr="00E84F83" w:rsidRDefault="00E84F83" w:rsidP="00E84F83">
      <w:pPr>
        <w:ind w:left="709" w:right="709"/>
        <w:jc w:val="both"/>
        <w:rPr>
          <w:rFonts w:ascii="Arial" w:eastAsia="Arial" w:hAnsi="Arial" w:cs="Arial"/>
          <w:color w:val="000000"/>
          <w:sz w:val="21"/>
          <w:szCs w:val="21"/>
          <w:lang w:val="es-ES_tradnl" w:eastAsia="en-US"/>
        </w:rPr>
      </w:pPr>
    </w:p>
    <w:p w14:paraId="38DF5F40" w14:textId="77777777" w:rsidR="00E84F83" w:rsidRPr="00E84F83" w:rsidRDefault="00E84F83" w:rsidP="00E84F83">
      <w:pPr>
        <w:spacing w:line="276" w:lineRule="auto"/>
        <w:ind w:firstLine="720"/>
        <w:jc w:val="both"/>
        <w:rPr>
          <w:rFonts w:ascii="Arial" w:eastAsia="Calibri" w:hAnsi="Arial" w:cs="Arial"/>
          <w:color w:val="000000" w:themeColor="text1"/>
          <w:sz w:val="22"/>
          <w:lang w:val="es-ES" w:eastAsia="en-US"/>
        </w:rPr>
      </w:pPr>
      <w:r w:rsidRPr="00E84F83">
        <w:rPr>
          <w:rFonts w:ascii="Arial" w:eastAsia="Arial" w:hAnsi="Arial" w:cs="Arial"/>
          <w:color w:val="000000"/>
          <w:sz w:val="22"/>
          <w:szCs w:val="22"/>
          <w:lang w:val="es-ES_tradnl" w:eastAsia="en-US"/>
        </w:rPr>
        <w:t xml:space="preserve">Como se aprecia, el principio </w:t>
      </w:r>
      <w:r w:rsidRPr="00E84F83">
        <w:rPr>
          <w:rFonts w:ascii="Arial" w:eastAsia="Arial" w:hAnsi="Arial" w:cs="Arial"/>
          <w:i/>
          <w:iCs/>
          <w:color w:val="000000"/>
          <w:sz w:val="22"/>
          <w:szCs w:val="22"/>
          <w:lang w:val="es-ES_tradnl" w:eastAsia="en-US"/>
        </w:rPr>
        <w:t xml:space="preserve">pro </w:t>
      </w:r>
      <w:proofErr w:type="spellStart"/>
      <w:r w:rsidRPr="00E84F83">
        <w:rPr>
          <w:rFonts w:ascii="Arial" w:eastAsia="Arial" w:hAnsi="Arial" w:cs="Arial"/>
          <w:i/>
          <w:iCs/>
          <w:color w:val="000000"/>
          <w:sz w:val="22"/>
          <w:szCs w:val="22"/>
          <w:lang w:val="es-ES_tradnl" w:eastAsia="en-US"/>
        </w:rPr>
        <w:t>libertate</w:t>
      </w:r>
      <w:proofErr w:type="spellEnd"/>
      <w:r w:rsidRPr="00E84F83">
        <w:rPr>
          <w:rFonts w:ascii="Arial" w:eastAsia="Arial" w:hAnsi="Arial" w:cs="Arial"/>
          <w:color w:val="000000"/>
          <w:sz w:val="22"/>
          <w:szCs w:val="22"/>
          <w:lang w:val="es-ES_tradnl" w:eastAsia="en-US"/>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E84F83">
        <w:rPr>
          <w:rFonts w:ascii="Arial" w:eastAsiaTheme="minorHAnsi" w:hAnsi="Arial" w:cs="Arial"/>
          <w:color w:val="000000" w:themeColor="text1"/>
          <w:sz w:val="22"/>
          <w:szCs w:val="22"/>
          <w:lang w:val="es-MX" w:eastAsia="en-US"/>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p>
    <w:p w14:paraId="6C55F955" w14:textId="77777777" w:rsidR="00E84F83" w:rsidRPr="00E84F83" w:rsidRDefault="00E84F83" w:rsidP="00E84F83">
      <w:pPr>
        <w:tabs>
          <w:tab w:val="left" w:pos="1532"/>
        </w:tabs>
        <w:spacing w:line="276" w:lineRule="auto"/>
        <w:jc w:val="both"/>
        <w:rPr>
          <w:rFonts w:ascii="Arial" w:eastAsiaTheme="minorHAnsi" w:hAnsi="Arial" w:cs="Arial"/>
          <w:color w:val="000000" w:themeColor="text1"/>
          <w:sz w:val="22"/>
          <w:szCs w:val="22"/>
          <w:lang w:val="es-MX" w:eastAsia="en-US"/>
        </w:rPr>
      </w:pPr>
      <w:r w:rsidRPr="00E84F83">
        <w:rPr>
          <w:rFonts w:ascii="Arial" w:eastAsiaTheme="minorHAnsi" w:hAnsi="Arial" w:cs="Arial"/>
          <w:color w:val="000000" w:themeColor="text1"/>
          <w:szCs w:val="22"/>
          <w:lang w:val="es-MX" w:eastAsia="en-US"/>
        </w:rPr>
        <w:lastRenderedPageBreak/>
        <w:tab/>
      </w:r>
    </w:p>
    <w:p w14:paraId="394B1EFA" w14:textId="77777777" w:rsidR="00E84F83" w:rsidRPr="00E84F83" w:rsidRDefault="00E84F83" w:rsidP="00E84F83">
      <w:pPr>
        <w:ind w:left="709" w:right="709"/>
        <w:jc w:val="both"/>
        <w:rPr>
          <w:rFonts w:ascii="Arial" w:eastAsiaTheme="minorHAnsi" w:hAnsi="Arial" w:cs="Arial"/>
          <w:color w:val="000000" w:themeColor="text1"/>
          <w:sz w:val="21"/>
          <w:szCs w:val="21"/>
          <w:lang w:val="es-MX" w:eastAsia="en-US"/>
        </w:rPr>
      </w:pPr>
      <w:r w:rsidRPr="00E84F83">
        <w:rPr>
          <w:rFonts w:ascii="Arial" w:eastAsiaTheme="minorHAnsi" w:hAnsi="Arial" w:cs="Arial"/>
          <w:color w:val="000000" w:themeColor="text1"/>
          <w:sz w:val="21"/>
          <w:szCs w:val="21"/>
          <w:lang w:val="es-MX" w:eastAsia="en-US"/>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E84F83">
        <w:rPr>
          <w:rFonts w:ascii="Arial" w:eastAsiaTheme="minorHAnsi" w:hAnsi="Arial" w:cs="Arial"/>
          <w:color w:val="000000" w:themeColor="text1"/>
          <w:sz w:val="21"/>
          <w:szCs w:val="21"/>
          <w:lang w:val="es-MX" w:eastAsia="en-US"/>
        </w:rPr>
        <w:t>libertate</w:t>
      </w:r>
      <w:proofErr w:type="spellEnd"/>
      <w:r w:rsidRPr="00E84F83">
        <w:rPr>
          <w:rFonts w:ascii="Arial" w:eastAsiaTheme="minorHAnsi" w:hAnsi="Arial" w:cs="Arial"/>
          <w:color w:val="000000" w:themeColor="text1"/>
          <w:sz w:val="21"/>
          <w:szCs w:val="21"/>
          <w:lang w:val="es-MX" w:eastAsia="en-US"/>
        </w:rPr>
        <w:t xml:space="preserve">, sino el de legalidad, el que ordena que la función pública debe someterse estrictamente a lo que disponga la Constitución y la ley (CP art. 6). </w:t>
      </w:r>
    </w:p>
    <w:p w14:paraId="11F02248" w14:textId="77777777" w:rsidR="00E84F83" w:rsidRPr="00E84F83" w:rsidRDefault="00E84F83" w:rsidP="00E84F83">
      <w:pPr>
        <w:spacing w:after="120"/>
        <w:ind w:left="709" w:right="709"/>
        <w:jc w:val="both"/>
        <w:rPr>
          <w:rFonts w:ascii="Arial" w:eastAsiaTheme="minorHAnsi" w:hAnsi="Arial" w:cs="Arial"/>
          <w:color w:val="000000" w:themeColor="text1"/>
          <w:sz w:val="21"/>
          <w:szCs w:val="21"/>
          <w:lang w:val="es-MX" w:eastAsia="en-US"/>
        </w:rPr>
      </w:pPr>
      <w:r w:rsidRPr="00E84F83">
        <w:rPr>
          <w:rFonts w:ascii="Arial" w:eastAsiaTheme="minorHAnsi" w:hAnsi="Arial" w:cs="Arial"/>
          <w:color w:val="000000" w:themeColor="text1"/>
          <w:sz w:val="21"/>
          <w:szCs w:val="21"/>
          <w:lang w:val="es-MX" w:eastAsia="en-US"/>
        </w:rPr>
        <w:t>[…]</w:t>
      </w:r>
    </w:p>
    <w:p w14:paraId="445FE63E" w14:textId="77777777" w:rsidR="00E84F83" w:rsidRPr="00E84F83" w:rsidRDefault="00E84F83" w:rsidP="00E84F83">
      <w:pPr>
        <w:ind w:left="709" w:right="709"/>
        <w:jc w:val="both"/>
        <w:rPr>
          <w:rFonts w:ascii="Arial" w:eastAsiaTheme="minorHAnsi" w:hAnsi="Arial" w:cs="Arial"/>
          <w:color w:val="000000" w:themeColor="text1"/>
          <w:sz w:val="21"/>
          <w:szCs w:val="21"/>
          <w:lang w:val="es-MX" w:eastAsia="en-US"/>
        </w:rPr>
      </w:pPr>
      <w:r w:rsidRPr="00E84F83">
        <w:rPr>
          <w:rFonts w:ascii="Arial" w:eastAsiaTheme="minorHAnsi" w:hAnsi="Arial" w:cs="Arial"/>
          <w:color w:val="000000" w:themeColor="text1"/>
          <w:sz w:val="21"/>
          <w:szCs w:val="21"/>
          <w:lang w:val="es-MX" w:eastAsia="en-US"/>
        </w:rPr>
        <w:t xml:space="preserve">Se comprende con facilidad que el régimen de inhabilidades e </w:t>
      </w:r>
      <w:proofErr w:type="gramStart"/>
      <w:r w:rsidRPr="00E84F83">
        <w:rPr>
          <w:rFonts w:ascii="Arial" w:eastAsiaTheme="minorHAnsi" w:hAnsi="Arial" w:cs="Arial"/>
          <w:color w:val="000000" w:themeColor="text1"/>
          <w:sz w:val="21"/>
          <w:szCs w:val="21"/>
          <w:lang w:val="es-MX" w:eastAsia="en-US"/>
        </w:rPr>
        <w:t>incompatibilidades,</w:t>
      </w:r>
      <w:proofErr w:type="gramEnd"/>
      <w:r w:rsidRPr="00E84F83">
        <w:rPr>
          <w:rFonts w:ascii="Arial" w:eastAsiaTheme="minorHAnsi" w:hAnsi="Arial" w:cs="Arial"/>
          <w:color w:val="000000" w:themeColor="text1"/>
          <w:sz w:val="21"/>
          <w:szCs w:val="21"/>
          <w:lang w:val="es-MX" w:eastAsia="en-US"/>
        </w:rPr>
        <w:t xml:space="preserve"> corresponde a una materia de normal y obligada inclusión en un estatuto contractual. El legislador, a quien se ha confiado expedir el indicado estatuto, tiene, pues, competencia para establecerlo (CP art. 150)</w:t>
      </w:r>
      <w:r w:rsidRPr="00E84F83">
        <w:rPr>
          <w:rFonts w:ascii="Arial" w:eastAsiaTheme="minorHAnsi" w:hAnsi="Arial" w:cs="Arial"/>
          <w:color w:val="000000" w:themeColor="text1"/>
          <w:sz w:val="21"/>
          <w:szCs w:val="21"/>
          <w:vertAlign w:val="superscript"/>
          <w:lang w:val="es-MX" w:eastAsia="en-US"/>
        </w:rPr>
        <w:footnoteReference w:id="11"/>
      </w:r>
      <w:r w:rsidRPr="00E84F83">
        <w:rPr>
          <w:rFonts w:ascii="Arial" w:eastAsiaTheme="minorHAnsi" w:hAnsi="Arial" w:cs="Arial"/>
          <w:color w:val="000000" w:themeColor="text1"/>
          <w:sz w:val="21"/>
          <w:szCs w:val="21"/>
          <w:lang w:val="es-MX" w:eastAsia="en-US"/>
        </w:rPr>
        <w:t>.</w:t>
      </w:r>
    </w:p>
    <w:p w14:paraId="2E10BA4E" w14:textId="77777777" w:rsidR="00E84F83" w:rsidRPr="00E84F83" w:rsidRDefault="00E84F83" w:rsidP="00E84F83">
      <w:pPr>
        <w:spacing w:line="276" w:lineRule="auto"/>
        <w:jc w:val="both"/>
        <w:rPr>
          <w:rFonts w:ascii="Arial" w:eastAsiaTheme="minorHAnsi" w:hAnsi="Arial" w:cs="Arial"/>
          <w:color w:val="000000" w:themeColor="text1"/>
          <w:sz w:val="22"/>
          <w:szCs w:val="22"/>
          <w:lang w:val="es-ES" w:eastAsia="en-US"/>
        </w:rPr>
      </w:pPr>
    </w:p>
    <w:p w14:paraId="52C81DBF" w14:textId="77777777" w:rsidR="00E84F83" w:rsidRPr="00E84F83" w:rsidRDefault="00E84F83" w:rsidP="00E84F83">
      <w:pPr>
        <w:spacing w:after="120" w:line="276" w:lineRule="auto"/>
        <w:ind w:firstLine="709"/>
        <w:jc w:val="both"/>
        <w:rPr>
          <w:rFonts w:ascii="Arial" w:eastAsiaTheme="minorHAnsi" w:hAnsi="Arial" w:cs="Arial"/>
          <w:color w:val="000000" w:themeColor="text1"/>
          <w:sz w:val="22"/>
          <w:szCs w:val="22"/>
          <w:lang w:eastAsia="en-US"/>
        </w:rPr>
      </w:pPr>
      <w:r w:rsidRPr="00E84F83">
        <w:rPr>
          <w:rFonts w:ascii="Arial" w:eastAsiaTheme="minorHAnsi" w:hAnsi="Arial" w:cs="Arial"/>
          <w:color w:val="000000" w:themeColor="text1"/>
          <w:sz w:val="22"/>
          <w:szCs w:val="22"/>
          <w:lang w:val="es-MX" w:eastAsia="en-US"/>
        </w:rPr>
        <w:t>De igual forma, conviene acudir a la distinción que se ha trazado en torno a la fuente de las inhabilidades</w:t>
      </w:r>
      <w:bookmarkStart w:id="4" w:name="_Hlk67555152"/>
      <w:r w:rsidRPr="00E84F83">
        <w:rPr>
          <w:rFonts w:ascii="Arial" w:eastAsiaTheme="minorHAnsi" w:hAnsi="Arial" w:cs="Arial"/>
          <w:color w:val="000000" w:themeColor="text1"/>
          <w:sz w:val="22"/>
          <w:szCs w:val="22"/>
          <w:lang w:val="es-MX" w:eastAsia="en-US"/>
        </w:rPr>
        <w:t xml:space="preserve">, las cuales han sido clasificadas en dos grupos: i) inhabilidades-sanción y </w:t>
      </w:r>
      <w:proofErr w:type="spellStart"/>
      <w:r w:rsidRPr="00E84F83">
        <w:rPr>
          <w:rFonts w:ascii="Arial" w:eastAsiaTheme="minorHAnsi" w:hAnsi="Arial" w:cs="Arial"/>
          <w:color w:val="000000" w:themeColor="text1"/>
          <w:sz w:val="22"/>
          <w:szCs w:val="22"/>
          <w:lang w:val="es-MX" w:eastAsia="en-US"/>
        </w:rPr>
        <w:t>ii</w:t>
      </w:r>
      <w:proofErr w:type="spellEnd"/>
      <w:r w:rsidRPr="00E84F83">
        <w:rPr>
          <w:rFonts w:ascii="Arial" w:eastAsiaTheme="minorHAnsi" w:hAnsi="Arial" w:cs="Arial"/>
          <w:color w:val="000000" w:themeColor="text1"/>
          <w:sz w:val="22"/>
          <w:szCs w:val="22"/>
          <w:lang w:val="es-MX" w:eastAsia="en-US"/>
        </w:rPr>
        <w:t>) inhabilidades-requisito. En el primer grupo se encuentran las inhabilidades que surgen como consecuencia de un proceso sancionatorio, en los ámbitos penal, disciplinario, contravencional o de punición por indignidad política –pérdida de investidura–. En el segundo grupo están aquellas que no devienen de un proceso sancionatorio sino de condiciones propias de la persona y buscan garantizar la moralidad, la imparcialidad, la eficacia y la transparencia</w:t>
      </w:r>
      <w:bookmarkEnd w:id="4"/>
      <w:r w:rsidRPr="00E84F83">
        <w:rPr>
          <w:rFonts w:ascii="Arial" w:eastAsiaTheme="minorHAnsi" w:hAnsi="Arial" w:cs="Arial"/>
          <w:color w:val="000000" w:themeColor="text1"/>
          <w:sz w:val="22"/>
          <w:szCs w:val="22"/>
          <w:vertAlign w:val="superscript"/>
          <w:lang w:val="es-MX" w:eastAsia="en-US"/>
        </w:rPr>
        <w:footnoteReference w:id="12"/>
      </w:r>
      <w:r w:rsidRPr="00E84F83">
        <w:rPr>
          <w:rFonts w:ascii="Arial" w:eastAsiaTheme="minorHAnsi" w:hAnsi="Arial" w:cs="Arial"/>
          <w:color w:val="000000" w:themeColor="text1"/>
          <w:sz w:val="22"/>
          <w:szCs w:val="22"/>
          <w:lang w:val="es-MX" w:eastAsia="en-US"/>
        </w:rPr>
        <w:t xml:space="preserve">. </w:t>
      </w:r>
    </w:p>
    <w:p w14:paraId="622A194D" w14:textId="77777777" w:rsidR="00E84F83" w:rsidRPr="00E84F83" w:rsidRDefault="00E84F83" w:rsidP="00E84F83">
      <w:pPr>
        <w:spacing w:after="120" w:line="276" w:lineRule="auto"/>
        <w:ind w:firstLine="709"/>
        <w:jc w:val="both"/>
        <w:rPr>
          <w:rFonts w:ascii="Arial" w:eastAsiaTheme="minorHAnsi" w:hAnsi="Arial" w:cs="Arial"/>
          <w:color w:val="000000" w:themeColor="text1"/>
          <w:sz w:val="22"/>
          <w:szCs w:val="22"/>
          <w:lang w:val="es-ES" w:eastAsia="en-US"/>
        </w:rPr>
      </w:pPr>
      <w:r w:rsidRPr="00E84F83">
        <w:rPr>
          <w:rFonts w:ascii="Arial" w:eastAsiaTheme="minorHAnsi" w:hAnsi="Arial" w:cs="Arial"/>
          <w:color w:val="000000" w:themeColor="text1"/>
          <w:sz w:val="22"/>
          <w:szCs w:val="22"/>
          <w:lang w:val="es-ES" w:eastAsia="en-US"/>
        </w:rPr>
        <w:t>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A su turno,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En ambos eventos, la inhabilidad tiene como fuente una situación o un hecho propio del proponente –una conducta o una condición– y no de su oferta. La inhabilidad surge, entre otros, por su grado de parentesco o afinidad, por su condición de servidor público o porque sobre él existe una declaratoria de responsabilidad en firme –penal, disciplinaria o sancionatoria contractual–.</w:t>
      </w:r>
    </w:p>
    <w:p w14:paraId="041994EA" w14:textId="77777777" w:rsidR="00E84F83" w:rsidRDefault="00E84F83" w:rsidP="00E84F83">
      <w:pPr>
        <w:spacing w:after="120" w:line="276" w:lineRule="auto"/>
        <w:ind w:firstLine="720"/>
        <w:jc w:val="both"/>
        <w:rPr>
          <w:rFonts w:ascii="Arial" w:eastAsiaTheme="minorHAnsi" w:hAnsi="Arial" w:cs="Arial"/>
          <w:color w:val="000000" w:themeColor="text1"/>
          <w:sz w:val="22"/>
          <w:szCs w:val="22"/>
          <w:lang w:val="es-ES_tradnl" w:eastAsia="en-US"/>
        </w:rPr>
      </w:pPr>
      <w:r w:rsidRPr="00E84F83">
        <w:rPr>
          <w:rFonts w:ascii="Arial" w:eastAsiaTheme="minorHAnsi" w:hAnsi="Arial" w:cs="Arial"/>
          <w:color w:val="000000" w:themeColor="text1"/>
          <w:sz w:val="22"/>
          <w:szCs w:val="22"/>
          <w:lang w:val="es-ES_tradnl" w:eastAsia="en-US"/>
        </w:rPr>
        <w:lastRenderedPageBreak/>
        <w:t xml:space="preserve">Al margen de la clasificación mencionada, el carácter reconocidamente taxativo y restrictivo del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 </w:t>
      </w:r>
    </w:p>
    <w:p w14:paraId="75AD3E08" w14:textId="53DDCB94" w:rsidR="00341BE2" w:rsidRPr="00E84F83" w:rsidRDefault="00341BE2" w:rsidP="00933447">
      <w:pPr>
        <w:spacing w:line="276" w:lineRule="auto"/>
        <w:ind w:firstLine="720"/>
        <w:jc w:val="both"/>
        <w:rPr>
          <w:rFonts w:ascii="Arial" w:eastAsiaTheme="minorHAnsi" w:hAnsi="Arial" w:cs="Arial"/>
          <w:color w:val="000000" w:themeColor="text1"/>
          <w:sz w:val="22"/>
          <w:szCs w:val="22"/>
          <w:lang w:val="es-ES_tradnl" w:eastAsia="en-US"/>
        </w:rPr>
      </w:pPr>
      <w:r>
        <w:rPr>
          <w:rFonts w:ascii="Arial" w:eastAsiaTheme="minorHAnsi" w:hAnsi="Arial" w:cs="Arial"/>
          <w:color w:val="000000" w:themeColor="text1"/>
          <w:sz w:val="22"/>
          <w:szCs w:val="22"/>
          <w:lang w:val="es-ES_tradnl" w:eastAsia="en-US"/>
        </w:rPr>
        <w:t xml:space="preserve">En este sentido, la aplicación de las inhabilidades debe apegarse estrictamente a lo consagrado en la norma que la </w:t>
      </w:r>
      <w:r w:rsidR="007A2149">
        <w:rPr>
          <w:rFonts w:ascii="Arial" w:eastAsiaTheme="minorHAnsi" w:hAnsi="Arial" w:cs="Arial"/>
          <w:color w:val="000000" w:themeColor="text1"/>
          <w:sz w:val="22"/>
          <w:szCs w:val="22"/>
          <w:lang w:val="es-ES_tradnl" w:eastAsia="en-US"/>
        </w:rPr>
        <w:t>contempla</w:t>
      </w:r>
      <w:r>
        <w:rPr>
          <w:rFonts w:ascii="Arial" w:eastAsiaTheme="minorHAnsi" w:hAnsi="Arial" w:cs="Arial"/>
          <w:color w:val="000000" w:themeColor="text1"/>
          <w:sz w:val="22"/>
          <w:szCs w:val="22"/>
          <w:lang w:val="es-ES_tradnl" w:eastAsia="en-US"/>
        </w:rPr>
        <w:t>, de manera que no resulta procedente su extensión a otras situaciones o condiciones dif</w:t>
      </w:r>
      <w:r w:rsidR="008474AE">
        <w:rPr>
          <w:rFonts w:ascii="Arial" w:eastAsiaTheme="minorHAnsi" w:hAnsi="Arial" w:cs="Arial"/>
          <w:color w:val="000000" w:themeColor="text1"/>
          <w:sz w:val="22"/>
          <w:szCs w:val="22"/>
          <w:lang w:val="es-ES_tradnl" w:eastAsia="en-US"/>
        </w:rPr>
        <w:t xml:space="preserve">erente a las </w:t>
      </w:r>
      <w:r w:rsidR="00885107">
        <w:rPr>
          <w:rFonts w:ascii="Arial" w:eastAsiaTheme="minorHAnsi" w:hAnsi="Arial" w:cs="Arial"/>
          <w:color w:val="000000" w:themeColor="text1"/>
          <w:sz w:val="22"/>
          <w:szCs w:val="22"/>
          <w:lang w:val="es-ES_tradnl" w:eastAsia="en-US"/>
        </w:rPr>
        <w:t>establecidas</w:t>
      </w:r>
      <w:r>
        <w:rPr>
          <w:rFonts w:ascii="Arial" w:eastAsiaTheme="minorHAnsi" w:hAnsi="Arial" w:cs="Arial"/>
          <w:color w:val="000000" w:themeColor="text1"/>
          <w:sz w:val="22"/>
          <w:szCs w:val="22"/>
          <w:lang w:val="es-ES_tradnl" w:eastAsia="en-US"/>
        </w:rPr>
        <w:t xml:space="preserve">, en perjuicio de quienes aspiran a contratar con el Estado.  </w:t>
      </w:r>
    </w:p>
    <w:p w14:paraId="70AF43D1" w14:textId="77777777" w:rsidR="00E84F83" w:rsidRPr="00E84F83" w:rsidRDefault="00E84F83" w:rsidP="00933447">
      <w:pPr>
        <w:spacing w:line="276" w:lineRule="auto"/>
        <w:ind w:firstLine="708"/>
        <w:jc w:val="both"/>
        <w:rPr>
          <w:rFonts w:ascii="Arial" w:eastAsiaTheme="minorEastAsia" w:hAnsi="Arial" w:cs="Arial"/>
          <w:b/>
          <w:bCs/>
          <w:sz w:val="22"/>
          <w:szCs w:val="22"/>
          <w:lang w:eastAsia="en-US"/>
        </w:rPr>
      </w:pPr>
    </w:p>
    <w:p w14:paraId="4627D03B" w14:textId="516DECCF" w:rsidR="006771DF" w:rsidRPr="00AB70D1" w:rsidRDefault="008474AE" w:rsidP="006771DF">
      <w:pPr>
        <w:spacing w:line="276" w:lineRule="auto"/>
        <w:jc w:val="both"/>
        <w:rPr>
          <w:rFonts w:ascii="Arial" w:eastAsia="Calibri" w:hAnsi="Arial" w:cs="Arial"/>
          <w:b/>
          <w:bCs/>
          <w:sz w:val="22"/>
          <w:szCs w:val="22"/>
          <w:lang w:val="es-ES_tradnl" w:eastAsia="en-US"/>
        </w:rPr>
      </w:pPr>
      <w:r w:rsidRPr="00933447">
        <w:rPr>
          <w:rFonts w:ascii="Arial" w:eastAsia="Calibri" w:hAnsi="Arial" w:cs="Arial"/>
          <w:b/>
          <w:bCs/>
          <w:color w:val="000000"/>
          <w:sz w:val="22"/>
          <w:lang w:eastAsia="en-GB"/>
        </w:rPr>
        <w:t xml:space="preserve">2.2. </w:t>
      </w:r>
      <w:r w:rsidRPr="00AB70D1">
        <w:rPr>
          <w:rFonts w:ascii="Arial" w:hAnsi="Arial" w:cs="Arial"/>
          <w:b/>
          <w:color w:val="000000" w:themeColor="text1"/>
          <w:sz w:val="22"/>
          <w:lang w:val="es-ES_tradnl"/>
        </w:rPr>
        <w:t>Alcance de la inhabilidad establecida en la Ley 129</w:t>
      </w:r>
      <w:r w:rsidR="004A41B5" w:rsidRPr="00AB70D1">
        <w:rPr>
          <w:rFonts w:ascii="Arial" w:hAnsi="Arial" w:cs="Arial"/>
          <w:b/>
          <w:color w:val="000000" w:themeColor="text1"/>
          <w:sz w:val="22"/>
          <w:lang w:val="es-ES_tradnl"/>
        </w:rPr>
        <w:t>6</w:t>
      </w:r>
      <w:r w:rsidRPr="00AB70D1">
        <w:rPr>
          <w:rFonts w:ascii="Arial" w:hAnsi="Arial" w:cs="Arial"/>
          <w:b/>
          <w:color w:val="000000" w:themeColor="text1"/>
          <w:sz w:val="22"/>
          <w:lang w:val="es-ES_tradnl"/>
        </w:rPr>
        <w:t xml:space="preserve"> de 2009 </w:t>
      </w:r>
      <w:r w:rsidR="006771DF" w:rsidRPr="00AB70D1">
        <w:rPr>
          <w:rFonts w:ascii="Arial" w:eastAsia="Calibri" w:hAnsi="Arial" w:cs="Arial"/>
          <w:b/>
          <w:bCs/>
          <w:sz w:val="22"/>
          <w:szCs w:val="22"/>
          <w:lang w:val="es-ES_tradnl" w:eastAsia="en-US"/>
        </w:rPr>
        <w:t>y su interpretación restrictiva</w:t>
      </w:r>
    </w:p>
    <w:p w14:paraId="5716FC05" w14:textId="3B1CC33D" w:rsidR="00004556" w:rsidRPr="00AB70D1" w:rsidRDefault="00004556" w:rsidP="00D40F8B">
      <w:pPr>
        <w:tabs>
          <w:tab w:val="left" w:pos="0"/>
        </w:tabs>
        <w:spacing w:line="276" w:lineRule="auto"/>
        <w:jc w:val="both"/>
        <w:rPr>
          <w:rFonts w:ascii="Arial" w:eastAsia="Calibri" w:hAnsi="Arial" w:cs="Arial"/>
          <w:color w:val="000000" w:themeColor="text1"/>
          <w:sz w:val="22"/>
          <w:lang w:val="es-ES_tradnl"/>
        </w:rPr>
      </w:pPr>
    </w:p>
    <w:p w14:paraId="6DB620B3" w14:textId="71049DF4" w:rsidR="008474AE" w:rsidRPr="00AB70D1" w:rsidRDefault="00F00C62" w:rsidP="00D40F8B">
      <w:pPr>
        <w:tabs>
          <w:tab w:val="left" w:pos="0"/>
        </w:tabs>
        <w:spacing w:line="276" w:lineRule="auto"/>
        <w:jc w:val="both"/>
        <w:rPr>
          <w:rFonts w:ascii="Arial" w:eastAsia="Calibri" w:hAnsi="Arial" w:cs="Arial"/>
          <w:color w:val="000000" w:themeColor="text1"/>
          <w:sz w:val="22"/>
          <w:lang w:val="es-ES_tradnl"/>
        </w:rPr>
      </w:pPr>
      <w:bookmarkStart w:id="5" w:name="_Hlk67555479"/>
      <w:r w:rsidRPr="00AB70D1">
        <w:rPr>
          <w:rFonts w:ascii="Arial" w:eastAsia="Calibri" w:hAnsi="Arial" w:cs="Arial"/>
          <w:color w:val="000000" w:themeColor="text1"/>
          <w:sz w:val="22"/>
          <w:lang w:val="es-ES_tradnl"/>
        </w:rPr>
        <w:t xml:space="preserve">El artículo </w:t>
      </w:r>
      <w:r w:rsidR="006B5F51" w:rsidRPr="00AB70D1">
        <w:rPr>
          <w:rFonts w:ascii="Arial" w:eastAsia="Calibri" w:hAnsi="Arial" w:cs="Arial"/>
          <w:color w:val="000000" w:themeColor="text1"/>
          <w:sz w:val="22"/>
          <w:lang w:val="es-ES_tradnl"/>
        </w:rPr>
        <w:t>1</w:t>
      </w:r>
      <w:r w:rsidR="00885107" w:rsidRPr="00AB70D1">
        <w:rPr>
          <w:rFonts w:ascii="Arial" w:eastAsia="Calibri" w:hAnsi="Arial" w:cs="Arial"/>
          <w:color w:val="000000" w:themeColor="text1"/>
          <w:sz w:val="22"/>
          <w:lang w:val="es-ES_tradnl"/>
        </w:rPr>
        <w:t>°</w:t>
      </w:r>
      <w:r w:rsidR="006B5F51" w:rsidRPr="00AB70D1">
        <w:rPr>
          <w:rFonts w:ascii="Arial" w:eastAsia="Calibri" w:hAnsi="Arial" w:cs="Arial"/>
          <w:color w:val="000000" w:themeColor="text1"/>
          <w:sz w:val="22"/>
          <w:lang w:val="es-ES_tradnl"/>
        </w:rPr>
        <w:t xml:space="preserve"> </w:t>
      </w:r>
      <w:r w:rsidRPr="00AB70D1">
        <w:rPr>
          <w:rFonts w:ascii="Arial" w:eastAsia="Calibri" w:hAnsi="Arial" w:cs="Arial"/>
          <w:color w:val="000000" w:themeColor="text1"/>
          <w:sz w:val="22"/>
          <w:lang w:val="es-ES_tradnl"/>
        </w:rPr>
        <w:t>de la Ley 1296 de 2009, que modifica el inciso 3 del artículo 1</w:t>
      </w:r>
      <w:r w:rsidR="00885107" w:rsidRPr="00AB70D1">
        <w:rPr>
          <w:rFonts w:ascii="Arial" w:eastAsia="Calibri" w:hAnsi="Arial" w:cs="Arial"/>
          <w:color w:val="000000" w:themeColor="text1"/>
          <w:sz w:val="22"/>
          <w:lang w:val="es-ES_tradnl"/>
        </w:rPr>
        <w:t>°</w:t>
      </w:r>
      <w:r w:rsidRPr="00AB70D1">
        <w:rPr>
          <w:rFonts w:ascii="Arial" w:eastAsia="Calibri" w:hAnsi="Arial" w:cs="Arial"/>
          <w:color w:val="000000" w:themeColor="text1"/>
          <w:sz w:val="22"/>
          <w:lang w:val="es-ES_tradnl"/>
        </w:rPr>
        <w:t xml:space="preserve"> de la Ley 1148 de 2011</w:t>
      </w:r>
      <w:r w:rsidR="006B5F51" w:rsidRPr="00AB70D1">
        <w:rPr>
          <w:rFonts w:ascii="Arial" w:eastAsia="Calibri" w:hAnsi="Arial" w:cs="Arial"/>
          <w:color w:val="000000" w:themeColor="text1"/>
          <w:sz w:val="22"/>
          <w:lang w:val="es-ES_tradnl"/>
        </w:rPr>
        <w:t xml:space="preserve">, modificatorio del artículo 49 de la Ley 617 del 2000, </w:t>
      </w:r>
      <w:r w:rsidR="009A396F" w:rsidRPr="00AB70D1">
        <w:rPr>
          <w:rFonts w:ascii="Arial" w:eastAsia="Calibri" w:hAnsi="Arial" w:cs="Arial"/>
          <w:color w:val="000000" w:themeColor="text1"/>
          <w:sz w:val="22"/>
          <w:lang w:val="es-ES_tradnl"/>
        </w:rPr>
        <w:t>establece una inhabilidad para contratar con algunas entidades estatales, derivada de los aspectos propios de la persona, como es el parentesco o afinidad con determinado servidor público</w:t>
      </w:r>
      <w:r w:rsidR="00B51729" w:rsidRPr="00AB70D1">
        <w:rPr>
          <w:rFonts w:ascii="Arial" w:eastAsia="Calibri" w:hAnsi="Arial" w:cs="Arial"/>
          <w:color w:val="000000" w:themeColor="text1"/>
          <w:sz w:val="22"/>
          <w:lang w:val="es-ES_tradnl"/>
        </w:rPr>
        <w:t>. L</w:t>
      </w:r>
      <w:r w:rsidR="009A396F" w:rsidRPr="00AB70D1">
        <w:rPr>
          <w:rFonts w:ascii="Arial" w:eastAsia="Calibri" w:hAnsi="Arial" w:cs="Arial"/>
          <w:color w:val="000000" w:themeColor="text1"/>
          <w:sz w:val="22"/>
          <w:lang w:val="es-ES_tradnl"/>
        </w:rPr>
        <w:t xml:space="preserve">a norma señala que </w:t>
      </w:r>
      <w:r w:rsidR="009A396F" w:rsidRPr="00AB70D1">
        <w:rPr>
          <w:rFonts w:ascii="Arial" w:eastAsia="Arial" w:hAnsi="Arial" w:cs="Arial"/>
          <w:color w:val="000000"/>
          <w:sz w:val="22"/>
          <w:szCs w:val="22"/>
          <w:lang w:val="es-ES_tradnl" w:eastAsia="en-US"/>
        </w:rPr>
        <w:t>«</w:t>
      </w:r>
      <w:r w:rsidR="009A396F" w:rsidRPr="00AB70D1">
        <w:rPr>
          <w:rFonts w:ascii="Arial" w:eastAsia="Calibri" w:hAnsi="Arial" w:cs="Arial"/>
          <w:color w:val="000000" w:themeColor="text1"/>
          <w:sz w:val="22"/>
          <w:lang w:val="es-ES_tradnl"/>
        </w:rPr>
        <w:t>Los cónyuges o compañeros permanentes de los gobernadores, diputados, alcaldes municipales y distritales, concejales municipales y distritales y sus parientes dentro del cuarto grado de consanguinidad, segundo de afinidad, o primero civil no podrán ser contratistas del respectivo departamento, distrito o municipio, o de sus entidades descentralizadas, ni directa, ni indirectamente</w:t>
      </w:r>
      <w:r w:rsidR="009A396F" w:rsidRPr="00AB70D1">
        <w:rPr>
          <w:rFonts w:ascii="Arial" w:eastAsia="Calibri" w:hAnsi="Arial" w:cs="Arial"/>
          <w:color w:val="000000"/>
          <w:sz w:val="22"/>
          <w:lang w:val="es-ES_tradnl" w:eastAsia="en-GB"/>
        </w:rPr>
        <w:t xml:space="preserve">». </w:t>
      </w:r>
      <w:bookmarkEnd w:id="5"/>
    </w:p>
    <w:p w14:paraId="2476BAE4" w14:textId="2B1AD858" w:rsidR="00B51729" w:rsidRPr="00AB70D1" w:rsidRDefault="009A396F" w:rsidP="00B51729">
      <w:pPr>
        <w:tabs>
          <w:tab w:val="left" w:pos="0"/>
        </w:tabs>
        <w:spacing w:before="120" w:line="276" w:lineRule="auto"/>
        <w:ind w:firstLine="709"/>
        <w:jc w:val="both"/>
        <w:rPr>
          <w:rFonts w:ascii="Arial" w:eastAsia="Calibri" w:hAnsi="Arial" w:cs="Arial"/>
          <w:sz w:val="22"/>
          <w:lang w:val="es-ES_tradnl"/>
        </w:rPr>
      </w:pPr>
      <w:r w:rsidRPr="00AB70D1">
        <w:rPr>
          <w:rFonts w:ascii="Arial" w:eastAsia="Calibri" w:hAnsi="Arial" w:cs="Arial"/>
          <w:color w:val="000000" w:themeColor="text1"/>
          <w:sz w:val="22"/>
          <w:lang w:val="es-ES_tradnl"/>
        </w:rPr>
        <w:t>Según se observa, la citada inhabilidad tiene fundamento en las relaciones familiares o de parentesco</w:t>
      </w:r>
      <w:r w:rsidR="002650D6" w:rsidRPr="00AB70D1">
        <w:rPr>
          <w:rFonts w:ascii="Arial" w:eastAsia="Calibri" w:hAnsi="Arial" w:cs="Arial"/>
          <w:color w:val="000000" w:themeColor="text1"/>
          <w:sz w:val="22"/>
          <w:lang w:val="es-ES_tradnl"/>
        </w:rPr>
        <w:t xml:space="preserve"> </w:t>
      </w:r>
      <w:r w:rsidR="002650D6" w:rsidRPr="00AB70D1">
        <w:rPr>
          <w:rFonts w:ascii="Arial" w:eastAsia="Calibri" w:hAnsi="Arial" w:cs="Arial"/>
          <w:sz w:val="22"/>
          <w:szCs w:val="22"/>
          <w:lang w:val="es-ES" w:eastAsia="en-US"/>
        </w:rPr>
        <w:t xml:space="preserve">con </w:t>
      </w:r>
      <w:r w:rsidR="00951457" w:rsidRPr="00AB70D1">
        <w:rPr>
          <w:rFonts w:ascii="Arial" w:eastAsia="Calibri" w:hAnsi="Arial" w:cs="Arial"/>
          <w:sz w:val="22"/>
          <w:szCs w:val="22"/>
          <w:lang w:val="es-ES" w:eastAsia="en-US"/>
        </w:rPr>
        <w:t xml:space="preserve">los servidores públicos </w:t>
      </w:r>
      <w:r w:rsidR="00B51729" w:rsidRPr="00AB70D1">
        <w:rPr>
          <w:rFonts w:ascii="Arial" w:eastAsia="Calibri" w:hAnsi="Arial" w:cs="Arial"/>
          <w:sz w:val="22"/>
          <w:szCs w:val="22"/>
          <w:lang w:val="es-ES" w:eastAsia="en-US"/>
        </w:rPr>
        <w:t>que ostentan la</w:t>
      </w:r>
      <w:r w:rsidR="00951457" w:rsidRPr="00AB70D1">
        <w:rPr>
          <w:rFonts w:ascii="Arial" w:eastAsia="Calibri" w:hAnsi="Arial" w:cs="Arial"/>
          <w:sz w:val="22"/>
          <w:szCs w:val="22"/>
          <w:lang w:val="es-ES" w:eastAsia="en-US"/>
        </w:rPr>
        <w:t xml:space="preserve"> calidad de gobernador</w:t>
      </w:r>
      <w:r w:rsidR="004D261E" w:rsidRPr="00AB70D1">
        <w:rPr>
          <w:rFonts w:ascii="Arial" w:eastAsia="Calibri" w:hAnsi="Arial" w:cs="Arial"/>
          <w:sz w:val="22"/>
          <w:szCs w:val="22"/>
          <w:lang w:val="es-ES" w:eastAsia="en-US"/>
        </w:rPr>
        <w:t xml:space="preserve">, diputado, </w:t>
      </w:r>
      <w:r w:rsidR="00951457" w:rsidRPr="00AB70D1">
        <w:rPr>
          <w:rFonts w:ascii="Arial" w:eastAsia="Calibri" w:hAnsi="Arial" w:cs="Arial"/>
          <w:sz w:val="22"/>
          <w:szCs w:val="22"/>
          <w:lang w:val="es-ES" w:eastAsia="en-US"/>
        </w:rPr>
        <w:t>alcalde</w:t>
      </w:r>
      <w:r w:rsidR="002650D6" w:rsidRPr="00AB70D1">
        <w:rPr>
          <w:rFonts w:ascii="Arial" w:eastAsia="Calibri" w:hAnsi="Arial" w:cs="Arial"/>
          <w:sz w:val="22"/>
          <w:szCs w:val="22"/>
          <w:lang w:val="es-ES" w:eastAsia="en-US"/>
        </w:rPr>
        <w:t xml:space="preserve"> y concejal</w:t>
      </w:r>
      <w:r w:rsidR="00951457" w:rsidRPr="00AB70D1">
        <w:rPr>
          <w:rFonts w:ascii="Arial" w:eastAsia="Calibri" w:hAnsi="Arial" w:cs="Arial"/>
          <w:sz w:val="22"/>
          <w:szCs w:val="22"/>
          <w:lang w:val="es-ES" w:eastAsia="en-US"/>
        </w:rPr>
        <w:t xml:space="preserve"> municipal o distrital. Esa circunstancia implica que esa causal de inhabilidad se instituyó, única y exclusivamente, con el propósito de limitar </w:t>
      </w:r>
      <w:r w:rsidR="002650D6" w:rsidRPr="00AB70D1">
        <w:rPr>
          <w:rFonts w:ascii="Arial" w:eastAsia="Calibri" w:hAnsi="Arial" w:cs="Arial"/>
          <w:sz w:val="22"/>
          <w:szCs w:val="22"/>
          <w:lang w:val="es-ES" w:eastAsia="en-US"/>
        </w:rPr>
        <w:t xml:space="preserve">la capacidad para ser contratista </w:t>
      </w:r>
      <w:r w:rsidR="004D261E" w:rsidRPr="00AB70D1">
        <w:rPr>
          <w:rFonts w:ascii="Arial" w:eastAsia="Calibri" w:hAnsi="Arial" w:cs="Arial"/>
          <w:sz w:val="22"/>
          <w:szCs w:val="22"/>
          <w:lang w:val="es-ES" w:eastAsia="en-US"/>
        </w:rPr>
        <w:t xml:space="preserve">del </w:t>
      </w:r>
      <w:r w:rsidR="006B5F51" w:rsidRPr="00AB70D1">
        <w:rPr>
          <w:rFonts w:ascii="Arial" w:eastAsia="Calibri" w:hAnsi="Arial" w:cs="Arial"/>
          <w:color w:val="000000" w:themeColor="text1"/>
          <w:sz w:val="22"/>
          <w:lang w:val="es-ES_tradnl"/>
        </w:rPr>
        <w:t>correspondiente</w:t>
      </w:r>
      <w:r w:rsidR="004D261E" w:rsidRPr="00AB70D1">
        <w:rPr>
          <w:rFonts w:ascii="Arial" w:eastAsia="Calibri" w:hAnsi="Arial" w:cs="Arial"/>
          <w:color w:val="000000" w:themeColor="text1"/>
          <w:sz w:val="22"/>
          <w:lang w:val="es-ES_tradnl"/>
        </w:rPr>
        <w:t xml:space="preserve"> departamento, distrito o municipio, o de sus entidades descentralizadas</w:t>
      </w:r>
      <w:r w:rsidR="004D261E" w:rsidRPr="00AB70D1">
        <w:rPr>
          <w:rFonts w:ascii="Arial" w:eastAsia="Calibri" w:hAnsi="Arial" w:cs="Arial"/>
          <w:sz w:val="22"/>
          <w:szCs w:val="22"/>
          <w:lang w:val="es-ES" w:eastAsia="en-US"/>
        </w:rPr>
        <w:t>,</w:t>
      </w:r>
      <w:r w:rsidR="002650D6" w:rsidRPr="00AB70D1">
        <w:rPr>
          <w:rFonts w:ascii="Arial" w:eastAsia="Calibri" w:hAnsi="Arial" w:cs="Arial"/>
          <w:sz w:val="22"/>
          <w:szCs w:val="22"/>
          <w:lang w:val="es-ES" w:eastAsia="en-US"/>
        </w:rPr>
        <w:t xml:space="preserve"> de acuerdo con</w:t>
      </w:r>
      <w:r w:rsidR="004D261E" w:rsidRPr="00AB70D1">
        <w:rPr>
          <w:rFonts w:ascii="Arial" w:eastAsia="Calibri" w:hAnsi="Arial" w:cs="Arial"/>
          <w:sz w:val="22"/>
          <w:szCs w:val="22"/>
          <w:lang w:val="es-ES" w:eastAsia="en-US"/>
        </w:rPr>
        <w:t xml:space="preserve"> la exist</w:t>
      </w:r>
      <w:r w:rsidR="006A0A83" w:rsidRPr="00AB70D1">
        <w:rPr>
          <w:rFonts w:ascii="Arial" w:eastAsia="Calibri" w:hAnsi="Arial" w:cs="Arial"/>
          <w:sz w:val="22"/>
          <w:szCs w:val="22"/>
          <w:lang w:val="es-ES" w:eastAsia="en-US"/>
        </w:rPr>
        <w:t>encia de parentesco</w:t>
      </w:r>
      <w:r w:rsidR="003B659A" w:rsidRPr="00AB70D1">
        <w:rPr>
          <w:rFonts w:ascii="Arial" w:eastAsia="Calibri" w:hAnsi="Arial" w:cs="Arial"/>
          <w:sz w:val="22"/>
          <w:szCs w:val="22"/>
          <w:lang w:val="es-ES" w:eastAsia="en-US"/>
        </w:rPr>
        <w:t xml:space="preserve"> o familiaridad</w:t>
      </w:r>
      <w:r w:rsidR="006A0A83" w:rsidRPr="00AB70D1">
        <w:rPr>
          <w:rFonts w:ascii="Arial" w:eastAsia="Calibri" w:hAnsi="Arial" w:cs="Arial"/>
          <w:sz w:val="22"/>
          <w:szCs w:val="22"/>
          <w:lang w:val="es-ES" w:eastAsia="en-US"/>
        </w:rPr>
        <w:t xml:space="preserve"> </w:t>
      </w:r>
      <w:r w:rsidR="004D261E" w:rsidRPr="00AB70D1">
        <w:rPr>
          <w:rFonts w:ascii="Arial" w:eastAsia="Calibri" w:hAnsi="Arial" w:cs="Arial"/>
          <w:sz w:val="22"/>
          <w:szCs w:val="22"/>
          <w:lang w:val="es-ES" w:eastAsia="en-US"/>
        </w:rPr>
        <w:t xml:space="preserve">con aquellos servidores públicos. </w:t>
      </w:r>
      <w:r w:rsidR="00612628" w:rsidRPr="00AB70D1">
        <w:rPr>
          <w:rFonts w:ascii="Arial" w:eastAsia="Calibri" w:hAnsi="Arial" w:cs="Arial"/>
          <w:sz w:val="22"/>
          <w:lang w:val="es-ES_tradnl"/>
        </w:rPr>
        <w:t>En este sentido, l</w:t>
      </w:r>
      <w:r w:rsidR="004D261E" w:rsidRPr="00AB70D1">
        <w:rPr>
          <w:rFonts w:ascii="Arial" w:eastAsia="Calibri" w:hAnsi="Arial" w:cs="Arial"/>
          <w:sz w:val="22"/>
          <w:lang w:val="es-ES_tradnl"/>
        </w:rPr>
        <w:t>a Corte Constitucional analizó la consti</w:t>
      </w:r>
      <w:r w:rsidR="006B5F51" w:rsidRPr="00AB70D1">
        <w:rPr>
          <w:rFonts w:ascii="Arial" w:eastAsia="Calibri" w:hAnsi="Arial" w:cs="Arial"/>
          <w:sz w:val="22"/>
          <w:lang w:val="es-ES_tradnl"/>
        </w:rPr>
        <w:t>tucionalidad del artículo 1</w:t>
      </w:r>
      <w:r w:rsidR="00885107" w:rsidRPr="00AB70D1">
        <w:rPr>
          <w:rFonts w:ascii="Arial" w:eastAsia="Calibri" w:hAnsi="Arial" w:cs="Arial"/>
          <w:sz w:val="22"/>
          <w:lang w:val="es-ES_tradnl"/>
        </w:rPr>
        <w:t>°</w:t>
      </w:r>
      <w:r w:rsidR="006B5F51" w:rsidRPr="00AB70D1">
        <w:rPr>
          <w:rFonts w:ascii="Arial" w:eastAsia="Calibri" w:hAnsi="Arial" w:cs="Arial"/>
          <w:sz w:val="22"/>
          <w:lang w:val="es-ES_tradnl"/>
        </w:rPr>
        <w:t xml:space="preserve"> de la L</w:t>
      </w:r>
      <w:r w:rsidR="00B51729" w:rsidRPr="00AB70D1">
        <w:rPr>
          <w:rFonts w:ascii="Arial" w:eastAsia="Calibri" w:hAnsi="Arial" w:cs="Arial"/>
          <w:sz w:val="22"/>
          <w:lang w:val="es-ES_tradnl"/>
        </w:rPr>
        <w:t xml:space="preserve">ey 1296 2009 en los siguientes términos: </w:t>
      </w:r>
    </w:p>
    <w:p w14:paraId="3B1E618D" w14:textId="77777777" w:rsidR="00B51729" w:rsidRPr="00AB70D1" w:rsidRDefault="00B51729" w:rsidP="00B51729">
      <w:pPr>
        <w:tabs>
          <w:tab w:val="left" w:pos="0"/>
        </w:tabs>
        <w:spacing w:before="120" w:line="276" w:lineRule="auto"/>
        <w:ind w:firstLine="709"/>
        <w:jc w:val="both"/>
        <w:rPr>
          <w:rFonts w:ascii="Arial" w:eastAsia="Calibri" w:hAnsi="Arial" w:cs="Arial"/>
          <w:sz w:val="22"/>
          <w:lang w:val="es-ES_tradnl"/>
        </w:rPr>
      </w:pPr>
    </w:p>
    <w:p w14:paraId="3F8F7B15" w14:textId="1F820181" w:rsidR="00792AD0" w:rsidRPr="00AB70D1" w:rsidRDefault="006A0A83" w:rsidP="00612628">
      <w:pPr>
        <w:ind w:left="709" w:right="709"/>
        <w:jc w:val="both"/>
        <w:rPr>
          <w:rFonts w:ascii="Arial" w:eastAsia="Calibri" w:hAnsi="Arial" w:cs="Arial"/>
          <w:sz w:val="21"/>
          <w:szCs w:val="21"/>
          <w:lang w:val="es-ES_tradnl" w:eastAsia="en-US"/>
        </w:rPr>
      </w:pPr>
      <w:r w:rsidRPr="00AB70D1">
        <w:rPr>
          <w:rFonts w:ascii="Arial" w:eastAsia="Calibri" w:hAnsi="Arial" w:cs="Arial"/>
          <w:sz w:val="21"/>
          <w:szCs w:val="21"/>
          <w:lang w:eastAsia="en-US"/>
        </w:rPr>
        <w:t>[…] debe recordarse que la proporcionalidad de la inhabilidad demandada ya fue juzgada por esta Corte en la sentencia C-348 de 2004, en donde se concluyó que “</w:t>
      </w:r>
      <w:r w:rsidRPr="00AB70D1">
        <w:rPr>
          <w:rFonts w:ascii="Arial" w:eastAsia="Calibri" w:hAnsi="Arial" w:cs="Arial"/>
          <w:i/>
          <w:iCs/>
          <w:sz w:val="21"/>
          <w:szCs w:val="21"/>
          <w:lang w:eastAsia="en-US"/>
        </w:rPr>
        <w:t xml:space="preserve">Estas medidas constituyen igualmente un desarrollo legislativo razonable y proporcionado, como instrumento necesario e idóneo para el logro de los principios rectores de la actuación administrativa y garantizar que las actuaciones públicas estén despojadas de propósitos o intenciones ajenos al servicio público y al interés general. Lo que buscan las disposiciones demandadas es evitar, entre otros efectos, la injerencia indebida de los miembros de las corporaciones públicas en la gestión pública del orden territorial y a favor de sus allegados, lo cual no puede entenderse como una sanción </w:t>
      </w:r>
      <w:r w:rsidRPr="00AB70D1">
        <w:rPr>
          <w:rFonts w:ascii="Arial" w:eastAsia="Calibri" w:hAnsi="Arial" w:cs="Arial"/>
          <w:i/>
          <w:iCs/>
          <w:sz w:val="21"/>
          <w:szCs w:val="21"/>
          <w:lang w:eastAsia="en-US"/>
        </w:rPr>
        <w:lastRenderedPageBreak/>
        <w:t>legislativa a los parientes de los diputados y concejales. De tal suerte que las inhabilidades en referencia constituyen una garantía de imparcialidad, transparencia y moralidad de la gestión pública en los departamentos, distritos y municipios</w:t>
      </w:r>
      <w:r w:rsidRPr="00AB70D1">
        <w:rPr>
          <w:rFonts w:ascii="Arial" w:eastAsia="Calibri" w:hAnsi="Arial" w:cs="Arial"/>
          <w:sz w:val="21"/>
          <w:szCs w:val="21"/>
          <w:lang w:eastAsia="en-US"/>
        </w:rPr>
        <w:t>”</w:t>
      </w:r>
      <w:r w:rsidR="00B51729" w:rsidRPr="00AB70D1">
        <w:rPr>
          <w:rStyle w:val="Refdenotaalpie"/>
          <w:rFonts w:ascii="Arial" w:eastAsia="Calibri" w:hAnsi="Arial" w:cs="Arial"/>
          <w:sz w:val="21"/>
          <w:szCs w:val="21"/>
          <w:lang w:val="es-ES_tradnl" w:eastAsia="en-US"/>
        </w:rPr>
        <w:footnoteReference w:id="13"/>
      </w:r>
      <w:r w:rsidR="00B51729" w:rsidRPr="00AB70D1">
        <w:rPr>
          <w:rFonts w:ascii="Arial" w:eastAsia="Calibri" w:hAnsi="Arial" w:cs="Arial"/>
          <w:sz w:val="21"/>
          <w:szCs w:val="21"/>
          <w:lang w:val="es-ES_tradnl" w:eastAsia="en-US"/>
        </w:rPr>
        <w:t>.</w:t>
      </w:r>
    </w:p>
    <w:p w14:paraId="5980834F" w14:textId="77777777" w:rsidR="00612628" w:rsidRPr="00AB70D1" w:rsidRDefault="00612628" w:rsidP="00933447">
      <w:pPr>
        <w:ind w:left="709" w:right="709"/>
        <w:jc w:val="both"/>
        <w:rPr>
          <w:rFonts w:ascii="Arial" w:eastAsia="Calibri" w:hAnsi="Arial" w:cs="Arial"/>
          <w:sz w:val="21"/>
          <w:szCs w:val="21"/>
          <w:lang w:eastAsia="en-US"/>
        </w:rPr>
      </w:pPr>
    </w:p>
    <w:p w14:paraId="4EE88398" w14:textId="33A808BF" w:rsidR="002F1411" w:rsidRPr="00AB70D1" w:rsidRDefault="00792AD0" w:rsidP="00933447">
      <w:pPr>
        <w:tabs>
          <w:tab w:val="left" w:pos="0"/>
        </w:tabs>
        <w:spacing w:line="276" w:lineRule="auto"/>
        <w:ind w:firstLine="709"/>
        <w:jc w:val="both"/>
        <w:rPr>
          <w:rFonts w:ascii="Arial" w:eastAsia="Calibri" w:hAnsi="Arial" w:cs="Arial"/>
          <w:sz w:val="22"/>
          <w:szCs w:val="22"/>
          <w:lang w:val="es-ES_tradnl" w:eastAsia="en-US"/>
        </w:rPr>
      </w:pPr>
      <w:r w:rsidRPr="00AB70D1">
        <w:rPr>
          <w:rFonts w:ascii="Arial" w:eastAsia="Calibri" w:hAnsi="Arial" w:cs="Arial"/>
          <w:color w:val="000000" w:themeColor="text1"/>
          <w:sz w:val="22"/>
          <w:lang w:val="es-ES_tradnl"/>
        </w:rPr>
        <w:t>De lo anterior se desprende</w:t>
      </w:r>
      <w:r w:rsidR="00BC1B60" w:rsidRPr="00AB70D1">
        <w:rPr>
          <w:rFonts w:ascii="Arial" w:eastAsia="Calibri" w:hAnsi="Arial" w:cs="Arial"/>
          <w:color w:val="000000" w:themeColor="text1"/>
          <w:sz w:val="22"/>
          <w:lang w:val="es-ES_tradnl"/>
        </w:rPr>
        <w:t xml:space="preserve"> </w:t>
      </w:r>
      <w:r w:rsidRPr="00AB70D1">
        <w:rPr>
          <w:rFonts w:ascii="Arial" w:eastAsia="Calibri" w:hAnsi="Arial" w:cs="Arial"/>
          <w:color w:val="000000" w:themeColor="text1"/>
          <w:sz w:val="22"/>
          <w:lang w:val="es-ES_tradnl"/>
        </w:rPr>
        <w:t xml:space="preserve">que esta inhabilidad se sustenta en la necesidad de garantizar los principios </w:t>
      </w:r>
      <w:r w:rsidRPr="00AB70D1">
        <w:rPr>
          <w:rFonts w:ascii="Arial" w:eastAsia="Calibri" w:hAnsi="Arial" w:cs="Arial"/>
          <w:sz w:val="22"/>
          <w:szCs w:val="22"/>
          <w:lang w:val="es-ES_tradnl" w:eastAsia="en-US"/>
        </w:rPr>
        <w:t xml:space="preserve">constitucionales y el interés general, mediante la limitación de la capacidad de contratación de ciertas personas, con el fin de evitar que los servidores públicos </w:t>
      </w:r>
      <w:r w:rsidR="00E114E9" w:rsidRPr="00AB70D1">
        <w:rPr>
          <w:rFonts w:ascii="Arial" w:eastAsia="Calibri" w:hAnsi="Arial" w:cs="Arial"/>
          <w:sz w:val="22"/>
          <w:szCs w:val="22"/>
          <w:lang w:val="es-ES_tradnl" w:eastAsia="en-US"/>
        </w:rPr>
        <w:t>con determinadas calidades actúen en favor de aquellas, en virtud de su relaci</w:t>
      </w:r>
      <w:r w:rsidR="003B659A" w:rsidRPr="00AB70D1">
        <w:rPr>
          <w:rFonts w:ascii="Arial" w:eastAsia="Calibri" w:hAnsi="Arial" w:cs="Arial"/>
          <w:sz w:val="22"/>
          <w:szCs w:val="22"/>
          <w:lang w:val="es-ES_tradnl" w:eastAsia="en-US"/>
        </w:rPr>
        <w:t>ón de consanguinidad, afinidad o familiaridad.</w:t>
      </w:r>
      <w:r w:rsidR="00E114E9" w:rsidRPr="00AB70D1">
        <w:rPr>
          <w:rFonts w:ascii="Arial" w:eastAsia="Calibri" w:hAnsi="Arial" w:cs="Arial"/>
          <w:sz w:val="22"/>
          <w:szCs w:val="22"/>
          <w:lang w:val="es-ES_tradnl" w:eastAsia="en-US"/>
        </w:rPr>
        <w:t xml:space="preserve"> </w:t>
      </w:r>
    </w:p>
    <w:p w14:paraId="376EAD9B" w14:textId="70E21AF8" w:rsidR="007E74AD" w:rsidRPr="00AB70D1" w:rsidRDefault="005C3A60" w:rsidP="002F1411">
      <w:pPr>
        <w:tabs>
          <w:tab w:val="left" w:pos="0"/>
        </w:tabs>
        <w:spacing w:before="120" w:line="276" w:lineRule="auto"/>
        <w:ind w:firstLine="709"/>
        <w:jc w:val="both"/>
        <w:rPr>
          <w:rFonts w:ascii="Arial" w:eastAsia="Calibri" w:hAnsi="Arial" w:cs="Arial"/>
          <w:bCs/>
          <w:color w:val="000000"/>
          <w:sz w:val="22"/>
          <w:szCs w:val="22"/>
          <w:lang w:eastAsia="en-US"/>
        </w:rPr>
      </w:pPr>
      <w:r w:rsidRPr="00AB70D1">
        <w:rPr>
          <w:rFonts w:ascii="Arial" w:eastAsia="Calibri" w:hAnsi="Arial" w:cs="Arial"/>
          <w:sz w:val="22"/>
          <w:szCs w:val="22"/>
          <w:lang w:val="es-ES_tradnl" w:eastAsia="en-US"/>
        </w:rPr>
        <w:t xml:space="preserve">Sin </w:t>
      </w:r>
      <w:r w:rsidR="002F1411" w:rsidRPr="00AB70D1">
        <w:rPr>
          <w:rFonts w:ascii="Arial" w:eastAsia="Calibri" w:hAnsi="Arial" w:cs="Arial"/>
          <w:sz w:val="22"/>
          <w:szCs w:val="22"/>
          <w:lang w:val="es-ES_tradnl" w:eastAsia="en-US"/>
        </w:rPr>
        <w:t>embargo, d</w:t>
      </w:r>
      <w:r w:rsidR="00A159A9" w:rsidRPr="00AB70D1">
        <w:rPr>
          <w:rFonts w:ascii="Arial" w:eastAsia="Calibri" w:hAnsi="Arial" w:cs="Arial"/>
          <w:sz w:val="22"/>
          <w:szCs w:val="22"/>
          <w:lang w:val="es-ES_tradnl" w:eastAsia="en-US"/>
        </w:rPr>
        <w:t>e acuerdo con el alcance determinado por la Corte Constitucional,</w:t>
      </w:r>
      <w:r w:rsidRPr="00AB70D1">
        <w:rPr>
          <w:rFonts w:ascii="Arial" w:eastAsia="Calibri" w:hAnsi="Arial" w:cs="Arial"/>
          <w:sz w:val="22"/>
          <w:szCs w:val="22"/>
          <w:lang w:val="es-ES_tradnl" w:eastAsia="en-US"/>
        </w:rPr>
        <w:t xml:space="preserve"> </w:t>
      </w:r>
      <w:r w:rsidR="00A159A9" w:rsidRPr="00AB70D1">
        <w:rPr>
          <w:rFonts w:ascii="Arial" w:eastAsia="Calibri" w:hAnsi="Arial" w:cs="Arial"/>
          <w:sz w:val="22"/>
          <w:szCs w:val="22"/>
          <w:lang w:val="es-ES_tradnl" w:eastAsia="en-US"/>
        </w:rPr>
        <w:t>debe interpretarse</w:t>
      </w:r>
      <w:r w:rsidRPr="00AB70D1">
        <w:rPr>
          <w:rFonts w:ascii="Arial" w:eastAsia="Calibri" w:hAnsi="Arial" w:cs="Arial"/>
          <w:sz w:val="22"/>
          <w:szCs w:val="22"/>
          <w:lang w:val="es-ES_tradnl" w:eastAsia="en-US"/>
        </w:rPr>
        <w:t xml:space="preserve"> que esta limitación</w:t>
      </w:r>
      <w:r w:rsidR="002F1411" w:rsidRPr="00AB70D1">
        <w:rPr>
          <w:rFonts w:ascii="Arial" w:eastAsia="Calibri" w:hAnsi="Arial" w:cs="Arial"/>
          <w:sz w:val="22"/>
          <w:szCs w:val="22"/>
          <w:lang w:val="es-ES_tradnl" w:eastAsia="en-US"/>
        </w:rPr>
        <w:t xml:space="preserve"> a la capacidad de contratación</w:t>
      </w:r>
      <w:r w:rsidRPr="00AB70D1">
        <w:rPr>
          <w:rFonts w:ascii="Arial" w:eastAsia="Calibri" w:hAnsi="Arial" w:cs="Arial"/>
          <w:sz w:val="22"/>
          <w:szCs w:val="22"/>
          <w:lang w:val="es-ES_tradnl" w:eastAsia="en-US"/>
        </w:rPr>
        <w:t xml:space="preserve"> únicamente surte efecto </w:t>
      </w:r>
      <w:r w:rsidRPr="00AB70D1">
        <w:rPr>
          <w:rFonts w:ascii="Arial" w:eastAsia="Calibri" w:hAnsi="Arial" w:cs="Arial"/>
          <w:iCs/>
          <w:sz w:val="22"/>
          <w:szCs w:val="22"/>
          <w:lang w:eastAsia="en-US"/>
        </w:rPr>
        <w:t xml:space="preserve">dentro del ámbito territorial de competencias del respectivo </w:t>
      </w:r>
      <w:r w:rsidR="00C40D23" w:rsidRPr="00AB70D1">
        <w:rPr>
          <w:rFonts w:ascii="Arial" w:eastAsia="Calibri" w:hAnsi="Arial" w:cs="Arial"/>
          <w:bCs/>
          <w:color w:val="000000"/>
          <w:sz w:val="22"/>
          <w:szCs w:val="22"/>
          <w:lang w:eastAsia="en-US"/>
        </w:rPr>
        <w:t>gobernador, alcalde,</w:t>
      </w:r>
      <w:r w:rsidRPr="00AB70D1">
        <w:rPr>
          <w:rFonts w:ascii="Arial" w:eastAsia="Calibri" w:hAnsi="Arial" w:cs="Arial"/>
          <w:bCs/>
          <w:color w:val="000000"/>
          <w:sz w:val="22"/>
          <w:szCs w:val="22"/>
          <w:lang w:eastAsia="en-US"/>
        </w:rPr>
        <w:t xml:space="preserve"> diputado o concejal</w:t>
      </w:r>
      <w:r w:rsidR="00A159A9" w:rsidRPr="00AB70D1">
        <w:rPr>
          <w:rFonts w:ascii="Arial" w:eastAsia="Calibri" w:hAnsi="Arial" w:cs="Arial"/>
          <w:bCs/>
          <w:color w:val="000000"/>
          <w:sz w:val="22"/>
          <w:szCs w:val="22"/>
          <w:lang w:eastAsia="en-US"/>
        </w:rPr>
        <w:t>. E</w:t>
      </w:r>
      <w:r w:rsidR="007E497C" w:rsidRPr="00AB70D1">
        <w:rPr>
          <w:rFonts w:ascii="Arial" w:eastAsia="Calibri" w:hAnsi="Arial" w:cs="Arial"/>
          <w:bCs/>
          <w:color w:val="000000"/>
          <w:sz w:val="22"/>
          <w:szCs w:val="22"/>
          <w:lang w:eastAsia="en-US"/>
        </w:rPr>
        <w:t>sto significa</w:t>
      </w:r>
      <w:r w:rsidR="00A159A9" w:rsidRPr="00AB70D1">
        <w:rPr>
          <w:rFonts w:ascii="Arial" w:eastAsia="Calibri" w:hAnsi="Arial" w:cs="Arial"/>
          <w:bCs/>
          <w:color w:val="000000"/>
          <w:sz w:val="22"/>
          <w:szCs w:val="22"/>
          <w:lang w:eastAsia="en-US"/>
        </w:rPr>
        <w:t xml:space="preserve"> </w:t>
      </w:r>
      <w:r w:rsidR="003B659A" w:rsidRPr="00AB70D1">
        <w:rPr>
          <w:rFonts w:ascii="Arial" w:eastAsia="Calibri" w:hAnsi="Arial" w:cs="Arial"/>
          <w:bCs/>
          <w:color w:val="000000"/>
          <w:sz w:val="22"/>
          <w:szCs w:val="22"/>
          <w:lang w:eastAsia="en-US"/>
        </w:rPr>
        <w:t>que las personas señaladas en el artículo 1</w:t>
      </w:r>
      <w:r w:rsidR="00885107" w:rsidRPr="00AB70D1">
        <w:rPr>
          <w:rFonts w:ascii="Arial" w:eastAsia="Calibri" w:hAnsi="Arial" w:cs="Arial"/>
          <w:bCs/>
          <w:color w:val="000000"/>
          <w:sz w:val="22"/>
          <w:szCs w:val="22"/>
          <w:lang w:eastAsia="en-US"/>
        </w:rPr>
        <w:t>°</w:t>
      </w:r>
      <w:r w:rsidR="003B659A" w:rsidRPr="00AB70D1">
        <w:rPr>
          <w:rFonts w:ascii="Arial" w:eastAsia="Calibri" w:hAnsi="Arial" w:cs="Arial"/>
          <w:bCs/>
          <w:color w:val="000000"/>
          <w:sz w:val="22"/>
          <w:szCs w:val="22"/>
          <w:lang w:eastAsia="en-US"/>
        </w:rPr>
        <w:t xml:space="preserve"> de la Ley 1296 de 2009</w:t>
      </w:r>
      <w:r w:rsidR="00A159A9" w:rsidRPr="00AB70D1">
        <w:rPr>
          <w:rFonts w:ascii="Arial" w:eastAsia="Calibri" w:hAnsi="Arial" w:cs="Arial"/>
          <w:bCs/>
          <w:color w:val="000000"/>
          <w:sz w:val="22"/>
          <w:szCs w:val="22"/>
          <w:lang w:eastAsia="en-US"/>
        </w:rPr>
        <w:t xml:space="preserve"> no podrán contratar en el territorio en </w:t>
      </w:r>
      <w:r w:rsidR="007F157F" w:rsidRPr="00AB70D1">
        <w:rPr>
          <w:rFonts w:ascii="Arial" w:eastAsia="Calibri" w:hAnsi="Arial" w:cs="Arial"/>
          <w:bCs/>
          <w:color w:val="000000"/>
          <w:sz w:val="22"/>
          <w:szCs w:val="22"/>
          <w:lang w:eastAsia="en-US"/>
        </w:rPr>
        <w:t xml:space="preserve">el </w:t>
      </w:r>
      <w:r w:rsidR="00A159A9" w:rsidRPr="00AB70D1">
        <w:rPr>
          <w:rFonts w:ascii="Arial" w:eastAsia="Calibri" w:hAnsi="Arial" w:cs="Arial"/>
          <w:bCs/>
          <w:color w:val="000000"/>
          <w:sz w:val="22"/>
          <w:szCs w:val="22"/>
          <w:lang w:eastAsia="en-US"/>
        </w:rPr>
        <w:t xml:space="preserve">que su cónyuge o compañero permanente </w:t>
      </w:r>
      <w:r w:rsidR="007E497C" w:rsidRPr="00AB70D1">
        <w:rPr>
          <w:rFonts w:ascii="Arial" w:eastAsia="Calibri" w:hAnsi="Arial" w:cs="Arial"/>
          <w:bCs/>
          <w:color w:val="000000"/>
          <w:sz w:val="22"/>
          <w:szCs w:val="22"/>
          <w:lang w:eastAsia="en-US"/>
        </w:rPr>
        <w:t>o pariente dentro del</w:t>
      </w:r>
      <w:r w:rsidR="00A159A9" w:rsidRPr="00AB70D1">
        <w:rPr>
          <w:rFonts w:ascii="Arial" w:eastAsia="Calibri" w:hAnsi="Arial" w:cs="Arial"/>
          <w:bCs/>
          <w:color w:val="000000"/>
          <w:sz w:val="22"/>
          <w:szCs w:val="22"/>
          <w:lang w:eastAsia="en-US"/>
        </w:rPr>
        <w:t xml:space="preserve"> </w:t>
      </w:r>
      <w:r w:rsidR="007E497C" w:rsidRPr="00AB70D1">
        <w:rPr>
          <w:rFonts w:ascii="Arial" w:eastAsia="Calibri" w:hAnsi="Arial" w:cs="Arial"/>
          <w:color w:val="000000" w:themeColor="text1"/>
          <w:sz w:val="22"/>
          <w:lang w:val="es-ES_tradnl"/>
        </w:rPr>
        <w:t>cuarto grado de consanguinidad, segundo de afinidad, o primero civil</w:t>
      </w:r>
      <w:r w:rsidR="003B659A" w:rsidRPr="00AB70D1">
        <w:rPr>
          <w:rFonts w:ascii="Arial" w:eastAsia="Calibri" w:hAnsi="Arial" w:cs="Arial"/>
          <w:color w:val="000000" w:themeColor="text1"/>
          <w:sz w:val="22"/>
          <w:lang w:val="es-ES_tradnl"/>
        </w:rPr>
        <w:t>,</w:t>
      </w:r>
      <w:r w:rsidR="00C40D23" w:rsidRPr="00AB70D1">
        <w:rPr>
          <w:rFonts w:ascii="Arial" w:eastAsia="Calibri" w:hAnsi="Arial" w:cs="Arial"/>
          <w:color w:val="000000" w:themeColor="text1"/>
          <w:sz w:val="22"/>
          <w:lang w:val="es-ES_tradnl"/>
        </w:rPr>
        <w:t xml:space="preserve"> ejerza sus competencias como </w:t>
      </w:r>
      <w:r w:rsidR="007E497C" w:rsidRPr="00AB70D1">
        <w:rPr>
          <w:rFonts w:ascii="Arial" w:eastAsia="Calibri" w:hAnsi="Arial" w:cs="Arial"/>
          <w:color w:val="000000" w:themeColor="text1"/>
          <w:sz w:val="22"/>
          <w:lang w:val="es-ES_tradnl"/>
        </w:rPr>
        <w:t xml:space="preserve">gobernador o </w:t>
      </w:r>
      <w:r w:rsidR="007E497C" w:rsidRPr="00AB70D1">
        <w:rPr>
          <w:rFonts w:ascii="Arial" w:eastAsia="Calibri" w:hAnsi="Arial" w:cs="Arial"/>
          <w:sz w:val="22"/>
          <w:szCs w:val="22"/>
          <w:lang w:val="es-ES" w:eastAsia="en-US"/>
        </w:rPr>
        <w:t xml:space="preserve">diputado, </w:t>
      </w:r>
      <w:r w:rsidR="00C40D23" w:rsidRPr="00AB70D1">
        <w:rPr>
          <w:rFonts w:ascii="Arial" w:eastAsia="Calibri" w:hAnsi="Arial" w:cs="Arial"/>
          <w:sz w:val="22"/>
          <w:szCs w:val="22"/>
          <w:lang w:val="es-ES" w:eastAsia="en-US"/>
        </w:rPr>
        <w:t xml:space="preserve">o </w:t>
      </w:r>
      <w:r w:rsidR="007E497C" w:rsidRPr="00AB70D1">
        <w:rPr>
          <w:rFonts w:ascii="Arial" w:eastAsia="Calibri" w:hAnsi="Arial" w:cs="Arial"/>
          <w:sz w:val="22"/>
          <w:szCs w:val="22"/>
          <w:lang w:val="es-ES" w:eastAsia="en-US"/>
        </w:rPr>
        <w:t>alcalde</w:t>
      </w:r>
      <w:r w:rsidR="00C40D23" w:rsidRPr="00AB70D1">
        <w:rPr>
          <w:rFonts w:ascii="Arial" w:eastAsia="Calibri" w:hAnsi="Arial" w:cs="Arial"/>
          <w:sz w:val="22"/>
          <w:szCs w:val="22"/>
          <w:lang w:val="es-ES" w:eastAsia="en-US"/>
        </w:rPr>
        <w:t xml:space="preserve"> o </w:t>
      </w:r>
      <w:r w:rsidR="007E497C" w:rsidRPr="00AB70D1">
        <w:rPr>
          <w:rFonts w:ascii="Arial" w:eastAsia="Calibri" w:hAnsi="Arial" w:cs="Arial"/>
          <w:sz w:val="22"/>
          <w:szCs w:val="22"/>
          <w:lang w:val="es-ES" w:eastAsia="en-US"/>
        </w:rPr>
        <w:t>concejal municipal o distrital.</w:t>
      </w:r>
      <w:r w:rsidR="00C40D23" w:rsidRPr="00AB70D1">
        <w:rPr>
          <w:rFonts w:ascii="Arial" w:eastAsia="Calibri" w:hAnsi="Arial" w:cs="Arial"/>
          <w:bCs/>
          <w:color w:val="000000"/>
          <w:sz w:val="22"/>
          <w:szCs w:val="22"/>
          <w:lang w:eastAsia="en-US"/>
        </w:rPr>
        <w:t xml:space="preserve"> A</w:t>
      </w:r>
      <w:r w:rsidRPr="00AB70D1">
        <w:rPr>
          <w:rFonts w:ascii="Arial" w:eastAsia="Calibri" w:hAnsi="Arial" w:cs="Arial"/>
          <w:bCs/>
          <w:color w:val="000000"/>
          <w:sz w:val="22"/>
          <w:szCs w:val="22"/>
          <w:lang w:eastAsia="en-US"/>
        </w:rPr>
        <w:t xml:space="preserve">demás, </w:t>
      </w:r>
      <w:r w:rsidR="00C40D23" w:rsidRPr="00AB70D1">
        <w:rPr>
          <w:rFonts w:ascii="Arial" w:eastAsia="Calibri" w:hAnsi="Arial" w:cs="Arial"/>
          <w:bCs/>
          <w:color w:val="000000"/>
          <w:sz w:val="22"/>
          <w:szCs w:val="22"/>
          <w:lang w:eastAsia="en-US"/>
        </w:rPr>
        <w:t>la limitación señalada</w:t>
      </w:r>
      <w:r w:rsidR="00B343E2" w:rsidRPr="00AB70D1">
        <w:rPr>
          <w:rFonts w:ascii="Arial" w:eastAsia="Calibri" w:hAnsi="Arial" w:cs="Arial"/>
          <w:bCs/>
          <w:color w:val="000000"/>
          <w:sz w:val="22"/>
          <w:szCs w:val="22"/>
          <w:lang w:eastAsia="en-US"/>
        </w:rPr>
        <w:t>,</w:t>
      </w:r>
      <w:r w:rsidR="00C40D23" w:rsidRPr="00AB70D1">
        <w:rPr>
          <w:rFonts w:ascii="Arial" w:eastAsia="Calibri" w:hAnsi="Arial" w:cs="Arial"/>
          <w:bCs/>
          <w:color w:val="000000"/>
          <w:sz w:val="22"/>
          <w:szCs w:val="22"/>
          <w:lang w:eastAsia="en-US"/>
        </w:rPr>
        <w:t xml:space="preserve"> </w:t>
      </w:r>
      <w:r w:rsidR="00B343E2" w:rsidRPr="00AB70D1">
        <w:rPr>
          <w:rFonts w:ascii="Arial" w:eastAsia="Calibri" w:hAnsi="Arial" w:cs="Arial"/>
          <w:bCs/>
          <w:color w:val="000000"/>
          <w:sz w:val="22"/>
          <w:szCs w:val="22"/>
          <w:lang w:eastAsia="en-US"/>
        </w:rPr>
        <w:t xml:space="preserve">de acuerdo con lo expresado por la Corte Constitucional </w:t>
      </w:r>
      <w:r w:rsidR="00B343E2" w:rsidRPr="00933447">
        <w:rPr>
          <w:rFonts w:ascii="Arial" w:eastAsia="Calibri" w:hAnsi="Arial" w:cs="Arial"/>
          <w:color w:val="000000" w:themeColor="text1"/>
          <w:sz w:val="22"/>
          <w:lang w:val="es-ES_tradnl"/>
        </w:rPr>
        <w:t>«no se aplica a aquellos contratos por medio de los cuales la administración ofrece, en igualdad de condiciones, a todos los ciudadanos y personas, un determinado bien o servicio, en desarrollo de sus funciones constitucionales y legales»</w:t>
      </w:r>
      <w:r w:rsidR="00A159A9" w:rsidRPr="00933447">
        <w:rPr>
          <w:rFonts w:ascii="Arial" w:eastAsia="Calibri" w:hAnsi="Arial" w:cs="Arial"/>
          <w:color w:val="000000" w:themeColor="text1"/>
          <w:sz w:val="22"/>
          <w:lang w:val="es-ES_tradnl"/>
        </w:rPr>
        <w:t xml:space="preserve">. </w:t>
      </w:r>
      <w:r w:rsidR="007E74AD" w:rsidRPr="00933447">
        <w:rPr>
          <w:rFonts w:ascii="Arial" w:eastAsia="Calibri" w:hAnsi="Arial" w:cs="Arial"/>
          <w:color w:val="000000" w:themeColor="text1"/>
          <w:sz w:val="22"/>
          <w:lang w:val="es-ES_tradnl"/>
        </w:rPr>
        <w:t xml:space="preserve">Así </w:t>
      </w:r>
      <w:r w:rsidR="003B659A" w:rsidRPr="00933447">
        <w:rPr>
          <w:rFonts w:ascii="Arial" w:eastAsia="Calibri" w:hAnsi="Arial" w:cs="Arial"/>
          <w:color w:val="000000" w:themeColor="text1"/>
          <w:sz w:val="22"/>
          <w:lang w:val="es-ES_tradnl"/>
        </w:rPr>
        <w:t>lo</w:t>
      </w:r>
      <w:r w:rsidR="003B659A" w:rsidRPr="00AB70D1">
        <w:rPr>
          <w:rFonts w:ascii="Arial" w:eastAsia="Calibri" w:hAnsi="Arial" w:cs="Arial"/>
          <w:bCs/>
          <w:color w:val="000000"/>
          <w:sz w:val="22"/>
          <w:szCs w:val="22"/>
          <w:lang w:eastAsia="en-US"/>
        </w:rPr>
        <w:t xml:space="preserve"> precis</w:t>
      </w:r>
      <w:r w:rsidR="00885107" w:rsidRPr="00AB70D1">
        <w:rPr>
          <w:rFonts w:ascii="Arial" w:eastAsia="Calibri" w:hAnsi="Arial" w:cs="Arial"/>
          <w:bCs/>
          <w:color w:val="000000"/>
          <w:sz w:val="22"/>
          <w:szCs w:val="22"/>
          <w:lang w:eastAsia="en-US"/>
        </w:rPr>
        <w:t xml:space="preserve">ó </w:t>
      </w:r>
      <w:r w:rsidR="007E74AD" w:rsidRPr="00AB70D1">
        <w:rPr>
          <w:rFonts w:ascii="Arial" w:eastAsia="Calibri" w:hAnsi="Arial" w:cs="Arial"/>
          <w:bCs/>
          <w:color w:val="000000"/>
          <w:sz w:val="22"/>
          <w:szCs w:val="22"/>
          <w:lang w:eastAsia="en-US"/>
        </w:rPr>
        <w:t>la Corte Constitucional:</w:t>
      </w:r>
    </w:p>
    <w:p w14:paraId="4EA61B62" w14:textId="0EB680C6" w:rsidR="00BC1B60" w:rsidRPr="00AB70D1" w:rsidRDefault="00BC1B60" w:rsidP="00EB41F4">
      <w:pPr>
        <w:tabs>
          <w:tab w:val="left" w:pos="0"/>
        </w:tabs>
        <w:spacing w:line="276" w:lineRule="auto"/>
        <w:jc w:val="both"/>
        <w:rPr>
          <w:rFonts w:ascii="Arial" w:eastAsia="Calibri" w:hAnsi="Arial" w:cs="Arial"/>
          <w:bCs/>
          <w:color w:val="000000"/>
          <w:sz w:val="22"/>
          <w:szCs w:val="22"/>
          <w:lang w:eastAsia="en-US"/>
        </w:rPr>
      </w:pPr>
    </w:p>
    <w:p w14:paraId="4B66B7EC" w14:textId="44BCC523" w:rsidR="007E74AD" w:rsidRPr="00AB70D1" w:rsidRDefault="007E74AD" w:rsidP="007E74AD">
      <w:pPr>
        <w:spacing w:after="120"/>
        <w:ind w:left="709" w:right="709"/>
        <w:jc w:val="both"/>
        <w:rPr>
          <w:rFonts w:ascii="Arial" w:eastAsia="Calibri" w:hAnsi="Arial" w:cs="Arial"/>
          <w:sz w:val="21"/>
          <w:szCs w:val="21"/>
          <w:lang w:eastAsia="en-US"/>
        </w:rPr>
      </w:pPr>
      <w:r w:rsidRPr="00AB70D1">
        <w:rPr>
          <w:rFonts w:ascii="Arial" w:eastAsia="Calibri" w:hAnsi="Arial" w:cs="Arial"/>
          <w:sz w:val="21"/>
          <w:szCs w:val="21"/>
          <w:lang w:eastAsia="en-US"/>
        </w:rPr>
        <w:t xml:space="preserve">Empero, para garantizar la proporcionalidad, dicho fallo condicionó la </w:t>
      </w:r>
      <w:proofErr w:type="spellStart"/>
      <w:r w:rsidRPr="00AB70D1">
        <w:rPr>
          <w:rFonts w:ascii="Arial" w:eastAsia="Calibri" w:hAnsi="Arial" w:cs="Arial"/>
          <w:sz w:val="21"/>
          <w:szCs w:val="21"/>
          <w:lang w:eastAsia="en-US"/>
        </w:rPr>
        <w:t>exequibilidad</w:t>
      </w:r>
      <w:proofErr w:type="spellEnd"/>
      <w:r w:rsidRPr="00AB70D1">
        <w:rPr>
          <w:rFonts w:ascii="Arial" w:eastAsia="Calibri" w:hAnsi="Arial" w:cs="Arial"/>
          <w:sz w:val="21"/>
          <w:szCs w:val="21"/>
          <w:lang w:eastAsia="en-US"/>
        </w:rPr>
        <w:t xml:space="preserve"> de la norma en el entendido de que</w:t>
      </w:r>
      <w:r w:rsidRPr="00AB70D1">
        <w:rPr>
          <w:rFonts w:ascii="Arial" w:eastAsia="Calibri" w:hAnsi="Arial" w:cs="Arial"/>
          <w:i/>
          <w:iCs/>
          <w:sz w:val="21"/>
          <w:szCs w:val="21"/>
          <w:lang w:eastAsia="en-US"/>
        </w:rPr>
        <w:t> “las prohibiciones allí previstas surtan efectos únicamente dentro del ámbito territorial de competencias del respectivo diputado o concejal”. </w:t>
      </w:r>
      <w:r w:rsidRPr="00AB70D1">
        <w:rPr>
          <w:rFonts w:ascii="Arial" w:eastAsia="Calibri" w:hAnsi="Arial" w:cs="Arial"/>
          <w:sz w:val="21"/>
          <w:szCs w:val="21"/>
          <w:lang w:eastAsia="en-US"/>
        </w:rPr>
        <w:t>Además, decidió que “</w:t>
      </w:r>
      <w:r w:rsidRPr="00AB70D1">
        <w:rPr>
          <w:rFonts w:ascii="Arial" w:eastAsia="Calibri" w:hAnsi="Arial" w:cs="Arial"/>
          <w:i/>
          <w:iCs/>
          <w:sz w:val="21"/>
          <w:szCs w:val="21"/>
          <w:lang w:eastAsia="en-US"/>
        </w:rPr>
        <w:t>para evitar alcances irrazonables de las disposiciones acusadas, en el mismo sentido de lo señalado en la sentencia C-618 de 1997 </w:t>
      </w:r>
      <w:r w:rsidRPr="00AB70D1">
        <w:rPr>
          <w:rFonts w:ascii="Arial" w:eastAsia="Calibri" w:hAnsi="Arial" w:cs="Arial"/>
          <w:sz w:val="21"/>
          <w:szCs w:val="21"/>
          <w:lang w:eastAsia="en-US"/>
        </w:rPr>
        <w:t>(…),</w:t>
      </w:r>
      <w:r w:rsidRPr="00AB70D1">
        <w:rPr>
          <w:rFonts w:ascii="Arial" w:eastAsia="Calibri" w:hAnsi="Arial" w:cs="Arial"/>
          <w:i/>
          <w:iCs/>
          <w:sz w:val="21"/>
          <w:szCs w:val="21"/>
          <w:lang w:eastAsia="en-US"/>
        </w:rPr>
        <w:t> “la Corte entiende que la disposición acusada no se aplica a aquellos contratos por medio de los cuales la administración ofrece, en igualdad de condiciones, a todos los ciudadanos y personas, un determinado bien o servicio, en desarrollo de sus funciones constitucionales y legales, tal y como sucede por ejemplo con la prestación de los de los servicios públicos, pues en tal caso la inhabilidad sería totalmente irrazonable</w:t>
      </w:r>
      <w:r w:rsidRPr="00AB70D1">
        <w:rPr>
          <w:rFonts w:ascii="Arial" w:eastAsia="Calibri" w:hAnsi="Arial" w:cs="Arial"/>
          <w:sz w:val="21"/>
          <w:szCs w:val="21"/>
          <w:lang w:eastAsia="en-US"/>
        </w:rPr>
        <w:t>”</w:t>
      </w:r>
      <w:r w:rsidR="00885107" w:rsidRPr="00AB70D1">
        <w:rPr>
          <w:rStyle w:val="Refdenotaalpie"/>
          <w:rFonts w:ascii="Arial" w:eastAsia="Calibri" w:hAnsi="Arial" w:cs="Arial"/>
          <w:sz w:val="21"/>
          <w:szCs w:val="21"/>
          <w:lang w:eastAsia="en-US"/>
        </w:rPr>
        <w:footnoteReference w:id="14"/>
      </w:r>
      <w:r w:rsidRPr="00AB70D1">
        <w:rPr>
          <w:rFonts w:ascii="Arial" w:eastAsia="Calibri" w:hAnsi="Arial" w:cs="Arial"/>
          <w:sz w:val="21"/>
          <w:szCs w:val="21"/>
          <w:lang w:eastAsia="en-US"/>
        </w:rPr>
        <w:t xml:space="preserve">. </w:t>
      </w:r>
    </w:p>
    <w:p w14:paraId="4035C996" w14:textId="3796655F" w:rsidR="007E74AD" w:rsidRPr="00AB70D1" w:rsidRDefault="007E74AD" w:rsidP="007E74AD">
      <w:pPr>
        <w:spacing w:after="120"/>
        <w:ind w:left="709" w:right="709"/>
        <w:jc w:val="both"/>
        <w:rPr>
          <w:rFonts w:ascii="Arial" w:eastAsia="Calibri" w:hAnsi="Arial" w:cs="Arial"/>
          <w:sz w:val="21"/>
          <w:szCs w:val="21"/>
          <w:lang w:eastAsia="en-US"/>
        </w:rPr>
      </w:pPr>
      <w:r w:rsidRPr="00AB70D1">
        <w:rPr>
          <w:rFonts w:ascii="Arial" w:eastAsia="Calibri" w:hAnsi="Arial" w:cs="Arial"/>
          <w:sz w:val="21"/>
          <w:szCs w:val="21"/>
          <w:lang w:eastAsia="en-US"/>
        </w:rPr>
        <w:t xml:space="preserve">Dichas precisiones constitucionales introducidas por la sentencia C-348 de 2004 siguen surtiendo efectos, </w:t>
      </w:r>
      <w:proofErr w:type="gramStart"/>
      <w:r w:rsidRPr="00AB70D1">
        <w:rPr>
          <w:rFonts w:ascii="Arial" w:eastAsia="Calibri" w:hAnsi="Arial" w:cs="Arial"/>
          <w:sz w:val="21"/>
          <w:szCs w:val="21"/>
          <w:lang w:eastAsia="en-US"/>
        </w:rPr>
        <w:t>a pesar que</w:t>
      </w:r>
      <w:proofErr w:type="gramEnd"/>
      <w:r w:rsidRPr="00AB70D1">
        <w:rPr>
          <w:rFonts w:ascii="Arial" w:eastAsia="Calibri" w:hAnsi="Arial" w:cs="Arial"/>
          <w:sz w:val="21"/>
          <w:szCs w:val="21"/>
          <w:lang w:eastAsia="en-US"/>
        </w:rPr>
        <w:t xml:space="preserve"> la misma norma se encuentra ahora en </w:t>
      </w:r>
      <w:r w:rsidRPr="00AB70D1">
        <w:rPr>
          <w:rFonts w:ascii="Arial" w:eastAsia="Calibri" w:hAnsi="Arial" w:cs="Arial"/>
          <w:sz w:val="21"/>
          <w:szCs w:val="21"/>
          <w:lang w:eastAsia="en-US"/>
        </w:rPr>
        <w:lastRenderedPageBreak/>
        <w:t>una disposición diferente. Por lo tanto, no se hace necesario reiterar dichos condicionamientos, en la parte resolutiva de la presente sentencia</w:t>
      </w:r>
    </w:p>
    <w:p w14:paraId="1ADA1D27" w14:textId="77777777" w:rsidR="007E74AD" w:rsidRPr="00AB70D1" w:rsidRDefault="007E74AD" w:rsidP="007E74AD">
      <w:pPr>
        <w:tabs>
          <w:tab w:val="left" w:pos="0"/>
        </w:tabs>
        <w:spacing w:line="276" w:lineRule="auto"/>
        <w:ind w:firstLine="709"/>
        <w:jc w:val="both"/>
        <w:rPr>
          <w:rFonts w:ascii="Arial" w:eastAsia="Calibri" w:hAnsi="Arial" w:cs="Arial"/>
          <w:sz w:val="22"/>
          <w:szCs w:val="22"/>
          <w:lang w:val="es-ES_tradnl" w:eastAsia="en-US"/>
        </w:rPr>
      </w:pPr>
    </w:p>
    <w:p w14:paraId="0C204121" w14:textId="50C6A1C8" w:rsidR="00E114E9" w:rsidRPr="00AB70D1" w:rsidRDefault="005C3A60" w:rsidP="007E74AD">
      <w:pPr>
        <w:tabs>
          <w:tab w:val="left" w:pos="0"/>
        </w:tabs>
        <w:spacing w:line="276" w:lineRule="auto"/>
        <w:ind w:firstLine="709"/>
        <w:jc w:val="both"/>
        <w:rPr>
          <w:rFonts w:ascii="Arial" w:eastAsia="Calibri" w:hAnsi="Arial" w:cs="Arial"/>
          <w:sz w:val="22"/>
          <w:szCs w:val="22"/>
          <w:lang w:val="es-ES_tradnl" w:eastAsia="en-US"/>
        </w:rPr>
      </w:pPr>
      <w:r w:rsidRPr="00AB70D1">
        <w:rPr>
          <w:rFonts w:ascii="Arial" w:eastAsia="Calibri" w:hAnsi="Arial" w:cs="Arial"/>
          <w:sz w:val="22"/>
          <w:szCs w:val="22"/>
          <w:lang w:val="es-ES_tradnl" w:eastAsia="en-US"/>
        </w:rPr>
        <w:t>De esta manera</w:t>
      </w:r>
      <w:r w:rsidR="009E2156" w:rsidRPr="00AB70D1">
        <w:rPr>
          <w:rFonts w:ascii="Arial" w:eastAsia="Calibri" w:hAnsi="Arial" w:cs="Arial"/>
          <w:sz w:val="22"/>
          <w:szCs w:val="22"/>
          <w:lang w:val="es-ES_tradnl" w:eastAsia="en-US"/>
        </w:rPr>
        <w:t>, esta inhabilidad, como todas las demás contenidas en el ordenamiento jurídico, debe ser interpretada, según se explicó, de manera restrictiva</w:t>
      </w:r>
      <w:r w:rsidR="003B659A" w:rsidRPr="00AB70D1">
        <w:rPr>
          <w:rFonts w:ascii="Arial" w:eastAsia="Calibri" w:hAnsi="Arial" w:cs="Arial"/>
          <w:sz w:val="22"/>
          <w:szCs w:val="22"/>
          <w:lang w:val="es-ES_tradnl" w:eastAsia="en-US"/>
        </w:rPr>
        <w:t xml:space="preserve"> y</w:t>
      </w:r>
      <w:r w:rsidR="0008083A" w:rsidRPr="00AB70D1">
        <w:rPr>
          <w:rFonts w:ascii="Arial" w:eastAsia="Calibri" w:hAnsi="Arial" w:cs="Arial"/>
          <w:sz w:val="22"/>
          <w:szCs w:val="22"/>
          <w:lang w:val="es-ES_tradnl" w:eastAsia="en-US"/>
        </w:rPr>
        <w:t>,</w:t>
      </w:r>
      <w:r w:rsidR="003B659A" w:rsidRPr="00AB70D1">
        <w:rPr>
          <w:rFonts w:ascii="Arial" w:eastAsia="Calibri" w:hAnsi="Arial" w:cs="Arial"/>
          <w:sz w:val="22"/>
          <w:szCs w:val="22"/>
          <w:lang w:val="es-ES_tradnl" w:eastAsia="en-US"/>
        </w:rPr>
        <w:t xml:space="preserve"> por ello, </w:t>
      </w:r>
      <w:r w:rsidR="00BC1B60" w:rsidRPr="00AB70D1">
        <w:rPr>
          <w:rFonts w:ascii="Arial" w:eastAsia="Calibri" w:hAnsi="Arial" w:cs="Arial"/>
          <w:sz w:val="22"/>
          <w:szCs w:val="22"/>
          <w:lang w:val="es-ES_tradnl" w:eastAsia="en-US"/>
        </w:rPr>
        <w:t>su aplicaci</w:t>
      </w:r>
      <w:r w:rsidR="00FA5310" w:rsidRPr="00AB70D1">
        <w:rPr>
          <w:rFonts w:ascii="Arial" w:eastAsia="Calibri" w:hAnsi="Arial" w:cs="Arial"/>
          <w:sz w:val="22"/>
          <w:szCs w:val="22"/>
          <w:lang w:val="es-ES_tradnl" w:eastAsia="en-US"/>
        </w:rPr>
        <w:t>ón</w:t>
      </w:r>
      <w:r w:rsidR="003B659A" w:rsidRPr="00AB70D1">
        <w:rPr>
          <w:rFonts w:ascii="Arial" w:eastAsia="Calibri" w:hAnsi="Arial" w:cs="Arial"/>
          <w:sz w:val="22"/>
          <w:szCs w:val="22"/>
          <w:lang w:val="es-ES_tradnl" w:eastAsia="en-US"/>
        </w:rPr>
        <w:t xml:space="preserve"> y alcance</w:t>
      </w:r>
      <w:r w:rsidR="00FA5310" w:rsidRPr="00AB70D1">
        <w:rPr>
          <w:rFonts w:ascii="Arial" w:eastAsia="Calibri" w:hAnsi="Arial" w:cs="Arial"/>
          <w:sz w:val="22"/>
          <w:szCs w:val="22"/>
          <w:lang w:val="es-ES_tradnl" w:eastAsia="en-US"/>
        </w:rPr>
        <w:t xml:space="preserve"> debe circunscribirse </w:t>
      </w:r>
      <w:r w:rsidR="00BC1B60" w:rsidRPr="00AB70D1">
        <w:rPr>
          <w:rFonts w:ascii="Arial" w:eastAsia="Calibri" w:hAnsi="Arial" w:cs="Arial"/>
          <w:sz w:val="22"/>
          <w:szCs w:val="22"/>
          <w:lang w:val="es-ES_tradnl" w:eastAsia="en-US"/>
        </w:rPr>
        <w:t>a lo expresamente consagrado en la Ley y</w:t>
      </w:r>
      <w:r w:rsidRPr="00AB70D1">
        <w:rPr>
          <w:rFonts w:ascii="Arial" w:eastAsia="Calibri" w:hAnsi="Arial" w:cs="Arial"/>
          <w:sz w:val="22"/>
          <w:szCs w:val="22"/>
          <w:lang w:val="es-ES_tradnl" w:eastAsia="en-US"/>
        </w:rPr>
        <w:t xml:space="preserve"> en</w:t>
      </w:r>
      <w:r w:rsidR="00BC1B60" w:rsidRPr="00AB70D1">
        <w:rPr>
          <w:rFonts w:ascii="Arial" w:eastAsia="Calibri" w:hAnsi="Arial" w:cs="Arial"/>
          <w:sz w:val="22"/>
          <w:szCs w:val="22"/>
          <w:lang w:val="es-ES_tradnl" w:eastAsia="en-US"/>
        </w:rPr>
        <w:t xml:space="preserve"> la jurisprudencia. </w:t>
      </w:r>
    </w:p>
    <w:p w14:paraId="0940FC4E" w14:textId="5A9FB45D" w:rsidR="008168C9" w:rsidRPr="00AB70D1" w:rsidRDefault="003B659A" w:rsidP="008168C9">
      <w:pPr>
        <w:tabs>
          <w:tab w:val="left" w:pos="0"/>
        </w:tabs>
        <w:spacing w:before="120" w:line="276" w:lineRule="auto"/>
        <w:ind w:firstLine="709"/>
        <w:jc w:val="both"/>
        <w:rPr>
          <w:rFonts w:ascii="Arial" w:eastAsia="Calibri" w:hAnsi="Arial" w:cs="Arial"/>
          <w:color w:val="000000" w:themeColor="text1"/>
          <w:sz w:val="22"/>
          <w:lang w:val="es-ES_tradnl"/>
        </w:rPr>
      </w:pPr>
      <w:r w:rsidRPr="00AB70D1">
        <w:rPr>
          <w:rFonts w:ascii="Arial" w:eastAsia="Calibri" w:hAnsi="Arial" w:cs="Arial"/>
          <w:color w:val="000000" w:themeColor="text1"/>
          <w:sz w:val="22"/>
          <w:lang w:val="es-ES_tradnl"/>
        </w:rPr>
        <w:t>En este contexto, c</w:t>
      </w:r>
      <w:r w:rsidR="00332F65" w:rsidRPr="00AB70D1">
        <w:rPr>
          <w:rFonts w:ascii="Arial" w:eastAsia="Calibri" w:hAnsi="Arial" w:cs="Arial"/>
          <w:color w:val="000000" w:themeColor="text1"/>
          <w:sz w:val="22"/>
          <w:lang w:val="es-ES_tradnl"/>
        </w:rPr>
        <w:t xml:space="preserve">onforme se ha expuesto, </w:t>
      </w:r>
      <w:r w:rsidR="00BC1B60" w:rsidRPr="00AB70D1">
        <w:rPr>
          <w:rFonts w:ascii="Arial" w:eastAsia="Calibri" w:hAnsi="Arial" w:cs="Arial"/>
          <w:color w:val="000000" w:themeColor="text1"/>
          <w:sz w:val="22"/>
          <w:lang w:val="es-ES_tradnl"/>
        </w:rPr>
        <w:t xml:space="preserve">la situación de hecho que genera la inhabilidad </w:t>
      </w:r>
      <w:r w:rsidR="00A159A9" w:rsidRPr="00AB70D1">
        <w:rPr>
          <w:rFonts w:ascii="Arial" w:eastAsia="Calibri" w:hAnsi="Arial" w:cs="Arial"/>
          <w:color w:val="000000" w:themeColor="text1"/>
          <w:sz w:val="22"/>
          <w:lang w:val="es-ES_tradnl"/>
        </w:rPr>
        <w:t>contenida en el artículo 1 de la L</w:t>
      </w:r>
      <w:r w:rsidR="008168C9" w:rsidRPr="00AB70D1">
        <w:rPr>
          <w:rFonts w:ascii="Arial" w:eastAsia="Calibri" w:hAnsi="Arial" w:cs="Arial"/>
          <w:color w:val="000000" w:themeColor="text1"/>
          <w:sz w:val="22"/>
          <w:lang w:val="es-ES_tradnl"/>
        </w:rPr>
        <w:t xml:space="preserve">ey 1296 de 2009 </w:t>
      </w:r>
      <w:r w:rsidR="008168C9" w:rsidRPr="00AB70D1">
        <w:rPr>
          <w:rFonts w:ascii="Arial" w:eastAsia="Calibri" w:hAnsi="Arial" w:cs="Arial"/>
          <w:color w:val="000000"/>
          <w:sz w:val="22"/>
          <w:szCs w:val="22"/>
          <w:lang w:eastAsia="en-US"/>
        </w:rPr>
        <w:t xml:space="preserve">es el </w:t>
      </w:r>
      <w:r w:rsidR="004E3D1F" w:rsidRPr="00AB70D1">
        <w:rPr>
          <w:rFonts w:ascii="Arial" w:eastAsia="Calibri" w:hAnsi="Arial" w:cs="Arial"/>
          <w:bCs/>
          <w:color w:val="000000"/>
          <w:sz w:val="22"/>
          <w:szCs w:val="22"/>
          <w:lang w:eastAsia="en-US"/>
        </w:rPr>
        <w:t>parentesco dentro d</w:t>
      </w:r>
      <w:r w:rsidR="008168C9" w:rsidRPr="00AB70D1">
        <w:rPr>
          <w:rFonts w:ascii="Arial" w:eastAsia="Calibri" w:hAnsi="Arial" w:cs="Arial"/>
          <w:bCs/>
          <w:color w:val="000000"/>
          <w:sz w:val="22"/>
          <w:szCs w:val="22"/>
          <w:lang w:eastAsia="en-US"/>
        </w:rPr>
        <w:t xml:space="preserve">el cuarto grado de consanguinidad, segundo de afinidad, primero civil o estar ligados por matrimonio o unión permanente con los gobernadores, diputados, alcaldes o concejales. </w:t>
      </w:r>
    </w:p>
    <w:p w14:paraId="1F1FAA80" w14:textId="3BD7295B" w:rsidR="009E2156" w:rsidRPr="00AB70D1" w:rsidRDefault="0008083A" w:rsidP="008168C9">
      <w:pPr>
        <w:tabs>
          <w:tab w:val="left" w:pos="0"/>
        </w:tabs>
        <w:spacing w:before="120" w:line="276" w:lineRule="auto"/>
        <w:ind w:firstLine="709"/>
        <w:jc w:val="both"/>
        <w:rPr>
          <w:rFonts w:ascii="Arial" w:eastAsia="Calibri" w:hAnsi="Arial" w:cs="Arial"/>
          <w:color w:val="000000" w:themeColor="text1"/>
          <w:sz w:val="22"/>
          <w:lang w:val="es-ES_tradnl"/>
        </w:rPr>
      </w:pPr>
      <w:r w:rsidRPr="00AB70D1">
        <w:rPr>
          <w:rFonts w:ascii="Arial" w:eastAsia="Calibri" w:hAnsi="Arial" w:cs="Arial"/>
          <w:sz w:val="22"/>
          <w:szCs w:val="22"/>
          <w:lang w:val="es-ES_tradnl" w:eastAsia="en-US"/>
        </w:rPr>
        <w:t>En este sentido</w:t>
      </w:r>
      <w:r w:rsidR="007F157F" w:rsidRPr="00AB70D1">
        <w:rPr>
          <w:rFonts w:ascii="Arial" w:eastAsia="Calibri" w:hAnsi="Arial" w:cs="Arial"/>
          <w:sz w:val="22"/>
          <w:szCs w:val="22"/>
          <w:lang w:val="es-ES_tradnl" w:eastAsia="en-US"/>
        </w:rPr>
        <w:t>, l</w:t>
      </w:r>
      <w:r w:rsidR="009E2156" w:rsidRPr="00AB70D1">
        <w:rPr>
          <w:rFonts w:ascii="Arial" w:eastAsia="Calibri" w:hAnsi="Arial" w:cs="Arial"/>
          <w:sz w:val="22"/>
          <w:szCs w:val="22"/>
          <w:lang w:val="es-ES_tradnl" w:eastAsia="en-US"/>
        </w:rPr>
        <w:t xml:space="preserve">os cónyuges son aquellas personas vinculadas entre </w:t>
      </w:r>
      <w:r w:rsidR="00332F65" w:rsidRPr="00AB70D1">
        <w:rPr>
          <w:rFonts w:ascii="Arial" w:eastAsia="Calibri" w:hAnsi="Arial" w:cs="Arial"/>
          <w:sz w:val="22"/>
          <w:szCs w:val="22"/>
          <w:lang w:val="es-ES_tradnl" w:eastAsia="en-US"/>
        </w:rPr>
        <w:t>sí</w:t>
      </w:r>
      <w:r w:rsidR="009E2156" w:rsidRPr="00AB70D1">
        <w:rPr>
          <w:rFonts w:ascii="Arial" w:eastAsia="Calibri" w:hAnsi="Arial" w:cs="Arial"/>
          <w:sz w:val="22"/>
          <w:szCs w:val="22"/>
          <w:lang w:val="es-ES_tradnl" w:eastAsia="en-US"/>
        </w:rPr>
        <w:t xml:space="preserve"> a través del contrato de matrimonio</w:t>
      </w:r>
      <w:r w:rsidR="009E2156" w:rsidRPr="00AB70D1">
        <w:rPr>
          <w:rFonts w:ascii="Arial" w:eastAsia="Calibri" w:hAnsi="Arial" w:cs="Arial"/>
          <w:sz w:val="22"/>
          <w:szCs w:val="22"/>
          <w:vertAlign w:val="superscript"/>
          <w:lang w:val="es-ES_tradnl" w:eastAsia="en-US"/>
        </w:rPr>
        <w:footnoteReference w:id="15"/>
      </w:r>
      <w:r w:rsidR="009E2156" w:rsidRPr="00AB70D1">
        <w:rPr>
          <w:rFonts w:ascii="Arial" w:eastAsia="Calibri" w:hAnsi="Arial" w:cs="Arial"/>
          <w:sz w:val="22"/>
          <w:szCs w:val="22"/>
          <w:lang w:val="es-ES_tradnl" w:eastAsia="en-US"/>
        </w:rPr>
        <w:t>, que puede ser civil o religioso. Mientras que los compañeros permanentes son aquellas personas que integran una comunidad vida, sin estar casados, denominada unión marital de hecho</w:t>
      </w:r>
      <w:r w:rsidR="009E2156" w:rsidRPr="00AB70D1">
        <w:rPr>
          <w:rFonts w:ascii="Arial" w:eastAsia="Calibri" w:hAnsi="Arial" w:cs="Arial"/>
          <w:sz w:val="22"/>
          <w:szCs w:val="22"/>
          <w:vertAlign w:val="superscript"/>
          <w:lang w:val="es-ES_tradnl" w:eastAsia="en-US"/>
        </w:rPr>
        <w:footnoteReference w:id="16"/>
      </w:r>
      <w:r w:rsidR="009E2156" w:rsidRPr="00AB70D1">
        <w:rPr>
          <w:rFonts w:ascii="Arial" w:eastAsia="Calibri" w:hAnsi="Arial" w:cs="Arial"/>
          <w:sz w:val="22"/>
          <w:szCs w:val="22"/>
          <w:lang w:val="es-ES_tradnl" w:eastAsia="en-US"/>
        </w:rPr>
        <w:t>. Tratándose de compañeros permanentes, la Corte Constitucional extendió los efectos de la inhabilidad objeto de estudio a las parejas del mismo sexo, considerando la protección o salvaguarda del principio de igualdad, para lo cual explicó que:</w:t>
      </w:r>
    </w:p>
    <w:p w14:paraId="1CDCB729" w14:textId="77777777" w:rsidR="009E2156" w:rsidRPr="00AB70D1" w:rsidRDefault="009E2156" w:rsidP="009E2156">
      <w:pPr>
        <w:spacing w:line="276" w:lineRule="auto"/>
        <w:ind w:firstLine="709"/>
        <w:jc w:val="both"/>
        <w:rPr>
          <w:rFonts w:ascii="Arial" w:eastAsia="Calibri" w:hAnsi="Arial" w:cs="Arial"/>
          <w:sz w:val="22"/>
          <w:szCs w:val="22"/>
          <w:lang w:val="es-ES_tradnl" w:eastAsia="en-US"/>
        </w:rPr>
      </w:pPr>
    </w:p>
    <w:p w14:paraId="5A6B5E62" w14:textId="77777777" w:rsidR="009E2156" w:rsidRPr="00AB70D1" w:rsidRDefault="009E2156" w:rsidP="009E2156">
      <w:pPr>
        <w:spacing w:after="120"/>
        <w:ind w:left="709" w:right="709"/>
        <w:jc w:val="both"/>
        <w:rPr>
          <w:rFonts w:ascii="Arial" w:eastAsia="Calibri" w:hAnsi="Arial" w:cs="Arial"/>
          <w:sz w:val="21"/>
          <w:szCs w:val="21"/>
          <w:lang w:val="es-ES_tradnl" w:eastAsia="en-US"/>
        </w:rPr>
      </w:pPr>
      <w:r w:rsidRPr="00AB70D1">
        <w:rPr>
          <w:rFonts w:ascii="Arial" w:eastAsia="Calibri" w:hAnsi="Arial" w:cs="Arial"/>
          <w:sz w:val="21"/>
          <w:szCs w:val="21"/>
          <w:lang w:val="es-ES_tradnl" w:eastAsia="en-US"/>
        </w:rPr>
        <w:t>[…] la situación de los integrantes de las parejas homosexuales es asimilable a la de los compañeros permanentes y no se aprecia ninguna razón para establecer una diferencia de trato.</w:t>
      </w:r>
    </w:p>
    <w:p w14:paraId="6410C22C" w14:textId="77777777" w:rsidR="009E2156" w:rsidRPr="00AB70D1" w:rsidRDefault="009E2156" w:rsidP="009E2156">
      <w:pPr>
        <w:ind w:left="709" w:right="709"/>
        <w:jc w:val="both"/>
        <w:rPr>
          <w:rFonts w:ascii="Arial" w:eastAsia="Calibri" w:hAnsi="Arial" w:cs="Arial"/>
          <w:sz w:val="22"/>
          <w:szCs w:val="22"/>
          <w:lang w:val="es-ES_tradnl" w:eastAsia="en-US"/>
        </w:rPr>
      </w:pPr>
      <w:r w:rsidRPr="00AB70D1">
        <w:rPr>
          <w:rFonts w:ascii="Arial" w:eastAsia="Calibri" w:hAnsi="Arial" w:cs="Arial"/>
          <w:sz w:val="21"/>
          <w:szCs w:val="21"/>
          <w:lang w:val="es-ES_tradnl" w:eastAsia="en-US"/>
        </w:rPr>
        <w:t>Así, en la medida en que entre los integrantes de parejas del mismo sexo surge un vínculo especial, basado en relaciones de afecto y de apoyo mutuo, y siendo ese el criterio empleado por el legislador en las disposiciones demandadas, la exclusión injustificada de estas personas de entre los destinatarios de tales disposiciones resulta contraria a la Constitución por desconocer el principio de igualdad.</w:t>
      </w:r>
      <w:r w:rsidRPr="00AB70D1">
        <w:rPr>
          <w:rFonts w:ascii="Arial" w:eastAsia="Calibri" w:hAnsi="Arial" w:cs="Arial"/>
          <w:sz w:val="21"/>
          <w:szCs w:val="21"/>
          <w:vertAlign w:val="superscript"/>
          <w:lang w:val="es-ES_tradnl" w:eastAsia="en-US"/>
        </w:rPr>
        <w:footnoteReference w:id="17"/>
      </w:r>
    </w:p>
    <w:p w14:paraId="71F5F363" w14:textId="77777777" w:rsidR="009E2156" w:rsidRPr="00AB70D1" w:rsidRDefault="009E2156" w:rsidP="009E2156">
      <w:pPr>
        <w:ind w:firstLine="709"/>
        <w:jc w:val="both"/>
        <w:rPr>
          <w:rFonts w:ascii="Arial" w:eastAsia="Calibri" w:hAnsi="Arial" w:cs="Arial"/>
          <w:sz w:val="22"/>
          <w:szCs w:val="22"/>
          <w:lang w:val="es-ES_tradnl" w:eastAsia="en-US"/>
        </w:rPr>
      </w:pPr>
    </w:p>
    <w:p w14:paraId="376EFA9A" w14:textId="4B28EBBB" w:rsidR="009E2156" w:rsidRPr="00AB70D1" w:rsidRDefault="009E2156" w:rsidP="00EB41F4">
      <w:pPr>
        <w:spacing w:before="120" w:line="276" w:lineRule="auto"/>
        <w:ind w:firstLine="709"/>
        <w:jc w:val="both"/>
        <w:rPr>
          <w:rFonts w:ascii="Arial" w:eastAsia="Calibri" w:hAnsi="Arial" w:cs="Arial"/>
          <w:sz w:val="22"/>
          <w:szCs w:val="22"/>
          <w:lang w:val="es-ES_tradnl" w:eastAsia="en-US"/>
        </w:rPr>
      </w:pPr>
      <w:r w:rsidRPr="00AB70D1">
        <w:rPr>
          <w:rFonts w:ascii="Arial" w:eastAsia="Calibri" w:hAnsi="Arial" w:cs="Arial"/>
          <w:sz w:val="22"/>
          <w:szCs w:val="22"/>
          <w:lang w:val="es-ES_tradnl" w:eastAsia="en-US"/>
        </w:rPr>
        <w:t>De otra parte</w:t>
      </w:r>
      <w:r w:rsidR="0008083A" w:rsidRPr="00AB70D1">
        <w:rPr>
          <w:rFonts w:ascii="Arial" w:eastAsia="Calibri" w:hAnsi="Arial" w:cs="Arial"/>
          <w:sz w:val="22"/>
          <w:szCs w:val="22"/>
          <w:lang w:val="es-ES_tradnl" w:eastAsia="en-US"/>
        </w:rPr>
        <w:t>,</w:t>
      </w:r>
      <w:r w:rsidRPr="00AB70D1">
        <w:rPr>
          <w:rFonts w:ascii="Arial" w:eastAsia="Calibri" w:hAnsi="Arial" w:cs="Arial"/>
          <w:sz w:val="22"/>
          <w:szCs w:val="22"/>
          <w:lang w:val="es-ES_tradnl" w:eastAsia="en-US"/>
        </w:rPr>
        <w:t xml:space="preserve"> en relación </w:t>
      </w:r>
      <w:r w:rsidR="0008083A" w:rsidRPr="00AB70D1">
        <w:rPr>
          <w:rFonts w:ascii="Arial" w:eastAsia="Calibri" w:hAnsi="Arial" w:cs="Arial"/>
          <w:sz w:val="22"/>
          <w:szCs w:val="22"/>
          <w:lang w:val="es-ES_tradnl" w:eastAsia="en-US"/>
        </w:rPr>
        <w:t>con e</w:t>
      </w:r>
      <w:r w:rsidRPr="00AB70D1">
        <w:rPr>
          <w:rFonts w:ascii="Arial" w:eastAsia="Calibri" w:hAnsi="Arial" w:cs="Arial"/>
          <w:sz w:val="22"/>
          <w:szCs w:val="22"/>
          <w:lang w:val="es-ES_tradnl" w:eastAsia="en-US"/>
        </w:rPr>
        <w:t xml:space="preserve">l parentesco, conforme al Código Civil, este se clasifica en parentesco de consanguinidad o parentesco de afinidad. El parentesco de </w:t>
      </w:r>
      <w:r w:rsidRPr="00AB70D1">
        <w:rPr>
          <w:rFonts w:ascii="Arial" w:eastAsia="Calibri" w:hAnsi="Arial" w:cs="Arial"/>
          <w:sz w:val="22"/>
          <w:szCs w:val="22"/>
          <w:lang w:val="es-ES_tradnl" w:eastAsia="en-US"/>
        </w:rPr>
        <w:lastRenderedPageBreak/>
        <w:t>consanguinidad corresponde a la «[…] relación o conexión que existe entre las personas que descienden de un mismo tronco o raíz, o que están unidas por los vínculos de la sangre»</w:t>
      </w:r>
      <w:r w:rsidRPr="00AB70D1">
        <w:rPr>
          <w:rFonts w:ascii="Arial" w:eastAsia="Calibri" w:hAnsi="Arial" w:cs="Arial"/>
          <w:sz w:val="22"/>
          <w:szCs w:val="22"/>
          <w:vertAlign w:val="superscript"/>
          <w:lang w:val="es-ES_tradnl" w:eastAsia="en-US"/>
        </w:rPr>
        <w:footnoteReference w:id="18"/>
      </w:r>
      <w:r w:rsidRPr="00AB70D1">
        <w:rPr>
          <w:rFonts w:ascii="Arial" w:eastAsia="Calibri" w:hAnsi="Arial" w:cs="Arial"/>
          <w:sz w:val="22"/>
          <w:szCs w:val="22"/>
          <w:lang w:val="es-ES_tradnl" w:eastAsia="en-US"/>
        </w:rPr>
        <w:t>. El parentesco de afinidad se refiere a la relación surgida entre una persona y los consanguíneos de su esposo, esposa o compañeros permanentes, según el caso</w:t>
      </w:r>
      <w:r w:rsidRPr="00AB70D1">
        <w:rPr>
          <w:rFonts w:ascii="Arial" w:eastAsia="Calibri" w:hAnsi="Arial" w:cs="Arial"/>
          <w:sz w:val="22"/>
          <w:szCs w:val="22"/>
          <w:vertAlign w:val="superscript"/>
          <w:lang w:val="es-ES_tradnl" w:eastAsia="en-US"/>
        </w:rPr>
        <w:footnoteReference w:id="19"/>
      </w:r>
      <w:r w:rsidRPr="00AB70D1">
        <w:rPr>
          <w:rFonts w:ascii="Arial" w:eastAsia="Calibri" w:hAnsi="Arial" w:cs="Arial"/>
          <w:sz w:val="22"/>
          <w:szCs w:val="22"/>
          <w:lang w:val="es-ES_tradnl" w:eastAsia="en-US"/>
        </w:rPr>
        <w:t xml:space="preserve">. </w:t>
      </w:r>
    </w:p>
    <w:p w14:paraId="3E0B9210" w14:textId="4D0DCC9D" w:rsidR="00C56C6C" w:rsidRPr="00AB70D1" w:rsidRDefault="009E2156" w:rsidP="00EB41F4">
      <w:pPr>
        <w:spacing w:before="120" w:line="276" w:lineRule="auto"/>
        <w:ind w:firstLine="709"/>
        <w:jc w:val="both"/>
        <w:rPr>
          <w:rFonts w:ascii="Arial" w:hAnsi="Arial" w:cs="Arial"/>
          <w:sz w:val="22"/>
          <w:szCs w:val="22"/>
          <w:lang w:val="es-ES_tradnl" w:eastAsia="en-US"/>
        </w:rPr>
      </w:pPr>
      <w:r w:rsidRPr="00AB70D1">
        <w:rPr>
          <w:rFonts w:ascii="Arial" w:eastAsia="Calibri" w:hAnsi="Arial" w:cs="Arial"/>
          <w:sz w:val="22"/>
          <w:szCs w:val="22"/>
          <w:lang w:val="es-ES_tradnl" w:eastAsia="en-US"/>
        </w:rPr>
        <w:t>En cuanto a los grados del parentesco se refiere, ya sea de consanguinidad o de afinidad</w:t>
      </w:r>
      <w:r w:rsidRPr="00AB70D1">
        <w:rPr>
          <w:rFonts w:ascii="Arial" w:eastAsia="Calibri" w:hAnsi="Arial" w:cs="Arial"/>
          <w:sz w:val="22"/>
          <w:szCs w:val="22"/>
          <w:vertAlign w:val="superscript"/>
          <w:lang w:val="es-ES_tradnl" w:eastAsia="en-US"/>
        </w:rPr>
        <w:footnoteReference w:id="20"/>
      </w:r>
      <w:r w:rsidRPr="00AB70D1">
        <w:rPr>
          <w:rFonts w:ascii="Arial" w:eastAsia="Calibri" w:hAnsi="Arial" w:cs="Arial"/>
          <w:sz w:val="22"/>
          <w:szCs w:val="22"/>
          <w:lang w:val="es-ES_tradnl" w:eastAsia="en-US"/>
        </w:rPr>
        <w:t>, estos se cuentan en consideración al número de generaciones existentes entre las personas. De esta manera, esta causal de inhabilidad se configura, por ejemplo,</w:t>
      </w:r>
      <w:r w:rsidR="001B6EF1" w:rsidRPr="00AB70D1">
        <w:rPr>
          <w:rFonts w:ascii="Arial" w:eastAsia="Calibri" w:hAnsi="Arial" w:cs="Arial"/>
          <w:sz w:val="22"/>
          <w:szCs w:val="22"/>
          <w:lang w:val="es-ES_tradnl" w:eastAsia="en-US"/>
        </w:rPr>
        <w:t xml:space="preserve"> sin reducirse a ellos,</w:t>
      </w:r>
      <w:r w:rsidRPr="00AB70D1">
        <w:rPr>
          <w:rFonts w:ascii="Arial" w:eastAsia="Calibri" w:hAnsi="Arial" w:cs="Arial"/>
          <w:sz w:val="22"/>
          <w:szCs w:val="22"/>
          <w:lang w:val="es-ES_tradnl" w:eastAsia="en-US"/>
        </w:rPr>
        <w:t xml:space="preserve"> respecto de los </w:t>
      </w:r>
      <w:r w:rsidR="0078475D" w:rsidRPr="00AB70D1">
        <w:rPr>
          <w:rFonts w:ascii="Arial" w:eastAsia="Calibri" w:hAnsi="Arial" w:cs="Arial"/>
          <w:sz w:val="22"/>
          <w:szCs w:val="22"/>
          <w:lang w:val="es-ES_tradnl" w:eastAsia="en-US"/>
        </w:rPr>
        <w:t xml:space="preserve">padres, </w:t>
      </w:r>
      <w:r w:rsidRPr="00AB70D1">
        <w:rPr>
          <w:rFonts w:ascii="Arial" w:eastAsia="Calibri" w:hAnsi="Arial" w:cs="Arial"/>
          <w:sz w:val="22"/>
          <w:szCs w:val="22"/>
          <w:lang w:val="es-ES_tradnl" w:eastAsia="en-US"/>
        </w:rPr>
        <w:t>hermanos, abuelos</w:t>
      </w:r>
      <w:r w:rsidR="0078475D" w:rsidRPr="00AB70D1">
        <w:rPr>
          <w:rFonts w:ascii="Arial" w:eastAsia="Calibri" w:hAnsi="Arial" w:cs="Arial"/>
          <w:sz w:val="22"/>
          <w:szCs w:val="22"/>
          <w:lang w:val="es-ES_tradnl" w:eastAsia="en-US"/>
        </w:rPr>
        <w:t xml:space="preserve">, </w:t>
      </w:r>
      <w:r w:rsidRPr="00AB70D1">
        <w:rPr>
          <w:rFonts w:ascii="Arial" w:eastAsia="Calibri" w:hAnsi="Arial" w:cs="Arial"/>
          <w:sz w:val="22"/>
          <w:szCs w:val="22"/>
          <w:lang w:val="es-ES_tradnl" w:eastAsia="en-US"/>
        </w:rPr>
        <w:t>nietos</w:t>
      </w:r>
      <w:r w:rsidR="0078475D" w:rsidRPr="00AB70D1">
        <w:rPr>
          <w:rFonts w:ascii="Arial" w:eastAsia="Calibri" w:hAnsi="Arial" w:cs="Arial"/>
          <w:sz w:val="22"/>
          <w:szCs w:val="22"/>
          <w:lang w:val="es-ES_tradnl" w:eastAsia="en-US"/>
        </w:rPr>
        <w:t>, tíos y primos</w:t>
      </w:r>
      <w:r w:rsidR="001622A4" w:rsidRPr="00AB70D1">
        <w:rPr>
          <w:rFonts w:ascii="Arial" w:eastAsia="Calibri" w:hAnsi="Arial" w:cs="Arial"/>
          <w:sz w:val="22"/>
          <w:szCs w:val="22"/>
          <w:lang w:val="es-ES_tradnl" w:eastAsia="en-US"/>
        </w:rPr>
        <w:t xml:space="preserve">, </w:t>
      </w:r>
      <w:r w:rsidR="001B6EF1" w:rsidRPr="00AB70D1">
        <w:rPr>
          <w:rFonts w:ascii="Arial" w:eastAsia="Calibri" w:hAnsi="Arial" w:cs="Arial"/>
          <w:sz w:val="22"/>
          <w:szCs w:val="22"/>
          <w:lang w:val="es-ES_tradnl" w:eastAsia="en-US"/>
        </w:rPr>
        <w:t>y demás personas que se encuentren dentro del</w:t>
      </w:r>
      <w:r w:rsidR="0078475D" w:rsidRPr="00AB70D1">
        <w:rPr>
          <w:rFonts w:ascii="Arial" w:eastAsia="Calibri" w:hAnsi="Arial" w:cs="Arial"/>
          <w:sz w:val="22"/>
          <w:szCs w:val="22"/>
          <w:lang w:val="es-ES_tradnl" w:eastAsia="en-US"/>
        </w:rPr>
        <w:t xml:space="preserve"> cuarto</w:t>
      </w:r>
      <w:r w:rsidRPr="00AB70D1">
        <w:rPr>
          <w:rFonts w:ascii="Arial" w:eastAsia="Calibri" w:hAnsi="Arial" w:cs="Arial"/>
          <w:sz w:val="22"/>
          <w:szCs w:val="22"/>
          <w:lang w:val="es-ES_tradnl" w:eastAsia="en-US"/>
        </w:rPr>
        <w:t xml:space="preserve"> grado de consanguinidad. Mientras que</w:t>
      </w:r>
      <w:r w:rsidR="001622A4" w:rsidRPr="00AB70D1">
        <w:rPr>
          <w:rFonts w:ascii="Arial" w:eastAsia="Calibri" w:hAnsi="Arial" w:cs="Arial"/>
          <w:sz w:val="22"/>
          <w:szCs w:val="22"/>
          <w:lang w:val="es-ES_tradnl" w:eastAsia="en-US"/>
        </w:rPr>
        <w:t xml:space="preserve">, </w:t>
      </w:r>
      <w:r w:rsidR="001B6EF1" w:rsidRPr="00AB70D1">
        <w:rPr>
          <w:rFonts w:ascii="Arial" w:eastAsia="Calibri" w:hAnsi="Arial" w:cs="Arial"/>
          <w:sz w:val="22"/>
          <w:szCs w:val="22"/>
          <w:lang w:val="es-ES_tradnl" w:eastAsia="en-US"/>
        </w:rPr>
        <w:t>dentro d</w:t>
      </w:r>
      <w:r w:rsidR="001622A4" w:rsidRPr="00AB70D1">
        <w:rPr>
          <w:rFonts w:ascii="Arial" w:eastAsia="Calibri" w:hAnsi="Arial" w:cs="Arial"/>
          <w:sz w:val="22"/>
          <w:szCs w:val="22"/>
          <w:lang w:val="es-ES_tradnl" w:eastAsia="en-US"/>
        </w:rPr>
        <w:t>el</w:t>
      </w:r>
      <w:r w:rsidRPr="00AB70D1">
        <w:rPr>
          <w:rFonts w:ascii="Arial" w:eastAsia="Calibri" w:hAnsi="Arial" w:cs="Arial"/>
          <w:sz w:val="22"/>
          <w:szCs w:val="22"/>
          <w:lang w:val="es-ES_tradnl" w:eastAsia="en-US"/>
        </w:rPr>
        <w:t xml:space="preserve"> segundo grado de afinidad están</w:t>
      </w:r>
      <w:r w:rsidR="001B6EF1" w:rsidRPr="00AB70D1">
        <w:rPr>
          <w:rFonts w:ascii="Arial" w:eastAsia="Calibri" w:hAnsi="Arial" w:cs="Arial"/>
          <w:sz w:val="22"/>
          <w:szCs w:val="22"/>
          <w:lang w:val="es-ES_tradnl" w:eastAsia="en-US"/>
        </w:rPr>
        <w:t>, por ejemplo,</w:t>
      </w:r>
      <w:r w:rsidRPr="00AB70D1">
        <w:rPr>
          <w:rFonts w:ascii="Arial" w:eastAsia="Calibri" w:hAnsi="Arial" w:cs="Arial"/>
          <w:sz w:val="22"/>
          <w:szCs w:val="22"/>
          <w:lang w:val="es-ES_tradnl" w:eastAsia="en-US"/>
        </w:rPr>
        <w:t xml:space="preserve"> los</w:t>
      </w:r>
      <w:r w:rsidR="001622A4" w:rsidRPr="00AB70D1">
        <w:rPr>
          <w:rFonts w:ascii="Arial" w:eastAsia="Calibri" w:hAnsi="Arial" w:cs="Arial"/>
          <w:sz w:val="22"/>
          <w:szCs w:val="22"/>
          <w:lang w:val="es-ES_tradnl" w:eastAsia="en-US"/>
        </w:rPr>
        <w:t xml:space="preserve"> padres,</w:t>
      </w:r>
      <w:r w:rsidR="00C56C6C" w:rsidRPr="00AB70D1">
        <w:rPr>
          <w:rFonts w:ascii="Arial" w:eastAsia="Calibri" w:hAnsi="Arial" w:cs="Arial"/>
          <w:sz w:val="22"/>
          <w:szCs w:val="22"/>
          <w:lang w:val="es-ES_tradnl" w:eastAsia="en-US"/>
        </w:rPr>
        <w:t xml:space="preserve"> hijos,</w:t>
      </w:r>
      <w:r w:rsidRPr="00AB70D1">
        <w:rPr>
          <w:rFonts w:ascii="Arial" w:eastAsia="Calibri" w:hAnsi="Arial" w:cs="Arial"/>
          <w:sz w:val="22"/>
          <w:szCs w:val="22"/>
          <w:lang w:val="es-ES_tradnl" w:eastAsia="en-US"/>
        </w:rPr>
        <w:t xml:space="preserve"> hermanos (cuñados), abuelos y nietos del cónyuge o compañero(a) permanente.</w:t>
      </w:r>
      <w:r w:rsidR="00FF1072" w:rsidRPr="00AB70D1">
        <w:rPr>
          <w:rFonts w:ascii="Arial" w:eastAsia="Calibri" w:hAnsi="Arial" w:cs="Arial"/>
          <w:sz w:val="22"/>
          <w:szCs w:val="22"/>
          <w:lang w:val="es-ES_tradnl" w:eastAsia="en-US"/>
        </w:rPr>
        <w:t xml:space="preserve"> </w:t>
      </w:r>
      <w:r w:rsidR="003A1BD8" w:rsidRPr="00AB70D1">
        <w:rPr>
          <w:rFonts w:ascii="Arial" w:eastAsia="Calibri" w:hAnsi="Arial" w:cs="Arial"/>
          <w:sz w:val="22"/>
          <w:szCs w:val="22"/>
          <w:lang w:val="es-ES_tradnl" w:eastAsia="en-US"/>
        </w:rPr>
        <w:t>Respecto del</w:t>
      </w:r>
      <w:r w:rsidR="003A1BD8" w:rsidRPr="00AB70D1">
        <w:rPr>
          <w:rFonts w:ascii="Arial" w:hAnsi="Arial" w:cs="Arial"/>
          <w:color w:val="000000"/>
          <w:sz w:val="22"/>
          <w:szCs w:val="22"/>
        </w:rPr>
        <w:t xml:space="preserve"> parentesco c</w:t>
      </w:r>
      <w:r w:rsidR="00FF1072" w:rsidRPr="00AB70D1">
        <w:rPr>
          <w:rFonts w:ascii="Arial" w:hAnsi="Arial" w:cs="Arial"/>
          <w:color w:val="000000"/>
          <w:sz w:val="22"/>
          <w:szCs w:val="22"/>
        </w:rPr>
        <w:t>ivil</w:t>
      </w:r>
      <w:r w:rsidR="00C56C6C" w:rsidRPr="00AB70D1">
        <w:rPr>
          <w:rFonts w:ascii="Arial" w:hAnsi="Arial" w:cs="Arial"/>
          <w:color w:val="000000"/>
          <w:sz w:val="22"/>
          <w:szCs w:val="22"/>
        </w:rPr>
        <w:t xml:space="preserve">, el Código de la Infancia y de la Adolescencia señala que </w:t>
      </w:r>
      <w:r w:rsidR="00C56C6C" w:rsidRPr="00AB70D1">
        <w:rPr>
          <w:rFonts w:ascii="Arial" w:eastAsia="Calibri" w:hAnsi="Arial" w:cs="Arial"/>
          <w:sz w:val="22"/>
          <w:szCs w:val="22"/>
          <w:lang w:val="es-ES_tradnl" w:eastAsia="en-US"/>
        </w:rPr>
        <w:t>«</w:t>
      </w:r>
      <w:r w:rsidR="00C56C6C" w:rsidRPr="00AB70D1">
        <w:rPr>
          <w:rFonts w:ascii="Arial" w:hAnsi="Arial" w:cs="Arial"/>
          <w:color w:val="000000"/>
          <w:sz w:val="22"/>
          <w:szCs w:val="22"/>
        </w:rPr>
        <w:t>la adopción establece parentesco civil entre el adoptivo y el adoptante, que se extiende en todas las líneas y grados a los consanguíneos, adoptivos o afines de estos</w:t>
      </w:r>
      <w:r w:rsidR="00332F65" w:rsidRPr="00AB70D1">
        <w:rPr>
          <w:rStyle w:val="Refdenotaalpie"/>
          <w:rFonts w:ascii="Arial" w:hAnsi="Arial" w:cs="Arial"/>
          <w:color w:val="000000"/>
          <w:sz w:val="22"/>
          <w:szCs w:val="22"/>
        </w:rPr>
        <w:footnoteReference w:id="21"/>
      </w:r>
      <w:r w:rsidR="00C56C6C" w:rsidRPr="00AB70D1">
        <w:rPr>
          <w:rFonts w:ascii="Arial" w:eastAsia="Calibri" w:hAnsi="Arial" w:cs="Arial"/>
          <w:sz w:val="22"/>
          <w:szCs w:val="22"/>
          <w:lang w:val="es-ES_tradnl" w:eastAsia="en-US"/>
        </w:rPr>
        <w:t>»</w:t>
      </w:r>
      <w:r w:rsidR="00332F65" w:rsidRPr="00AB70D1">
        <w:rPr>
          <w:rFonts w:ascii="Arial" w:hAnsi="Arial" w:cs="Arial"/>
          <w:sz w:val="22"/>
          <w:szCs w:val="22"/>
          <w:lang w:val="es-ES_tradnl" w:eastAsia="en-US"/>
        </w:rPr>
        <w:t>, por tanto, se encuentran inmersos en esta situación</w:t>
      </w:r>
      <w:r w:rsidR="001B6EF1" w:rsidRPr="00AB70D1">
        <w:rPr>
          <w:rFonts w:ascii="Arial" w:hAnsi="Arial" w:cs="Arial"/>
          <w:sz w:val="22"/>
          <w:szCs w:val="22"/>
          <w:lang w:val="es-ES_tradnl" w:eastAsia="en-US"/>
        </w:rPr>
        <w:t>, por ejemplo,</w:t>
      </w:r>
      <w:r w:rsidR="00332F65" w:rsidRPr="00AB70D1">
        <w:rPr>
          <w:rFonts w:ascii="Arial" w:hAnsi="Arial" w:cs="Arial"/>
          <w:sz w:val="22"/>
          <w:szCs w:val="22"/>
          <w:lang w:val="es-ES_tradnl" w:eastAsia="en-US"/>
        </w:rPr>
        <w:t xml:space="preserve"> los hijos adoptivos. </w:t>
      </w:r>
    </w:p>
    <w:p w14:paraId="6BB24DD6" w14:textId="2C87E01B" w:rsidR="00180A15" w:rsidRPr="00AB70D1" w:rsidRDefault="00180A15" w:rsidP="00EB41F4">
      <w:pPr>
        <w:spacing w:before="120" w:line="276" w:lineRule="auto"/>
        <w:ind w:firstLine="709"/>
        <w:jc w:val="both"/>
        <w:rPr>
          <w:rFonts w:ascii="Arial" w:eastAsia="Calibri" w:hAnsi="Arial" w:cs="Arial"/>
          <w:bCs/>
          <w:color w:val="000000"/>
          <w:sz w:val="22"/>
          <w:szCs w:val="22"/>
          <w:lang w:eastAsia="en-US"/>
        </w:rPr>
      </w:pPr>
      <w:r w:rsidRPr="00AB70D1">
        <w:rPr>
          <w:rFonts w:ascii="Arial" w:eastAsia="Calibri" w:hAnsi="Arial" w:cs="Arial"/>
          <w:sz w:val="22"/>
          <w:szCs w:val="22"/>
          <w:lang w:val="es-ES_tradnl" w:eastAsia="en-US"/>
        </w:rPr>
        <w:t xml:space="preserve">Según se observa, </w:t>
      </w:r>
      <w:r w:rsidR="007F157F" w:rsidRPr="00AB70D1">
        <w:rPr>
          <w:rFonts w:ascii="Arial" w:eastAsia="Calibri" w:hAnsi="Arial" w:cs="Arial"/>
          <w:sz w:val="22"/>
          <w:szCs w:val="22"/>
          <w:lang w:val="es-ES_tradnl" w:eastAsia="en-US"/>
        </w:rPr>
        <w:t xml:space="preserve">la intención del legislador es clara en establecer como </w:t>
      </w:r>
      <w:r w:rsidR="00332F65" w:rsidRPr="00AB70D1">
        <w:rPr>
          <w:rFonts w:ascii="Arial" w:eastAsia="Calibri" w:hAnsi="Arial" w:cs="Arial"/>
          <w:sz w:val="22"/>
          <w:szCs w:val="22"/>
          <w:lang w:val="es-ES_tradnl" w:eastAsia="en-US"/>
        </w:rPr>
        <w:t>condicionante de la capacidad</w:t>
      </w:r>
      <w:r w:rsidR="007F157F" w:rsidRPr="00AB70D1">
        <w:rPr>
          <w:rFonts w:ascii="Arial" w:eastAsia="Calibri" w:hAnsi="Arial" w:cs="Arial"/>
          <w:sz w:val="22"/>
          <w:szCs w:val="22"/>
          <w:lang w:val="es-ES_tradnl" w:eastAsia="en-US"/>
        </w:rPr>
        <w:t xml:space="preserve"> para contratar de estas personas, su relación familiar o de parentesco con los gobernadores, </w:t>
      </w:r>
      <w:r w:rsidR="007F157F" w:rsidRPr="00AB70D1">
        <w:rPr>
          <w:rFonts w:ascii="Arial" w:eastAsia="Calibri" w:hAnsi="Arial" w:cs="Arial"/>
          <w:bCs/>
          <w:color w:val="000000"/>
          <w:sz w:val="22"/>
          <w:szCs w:val="22"/>
          <w:lang w:eastAsia="en-US"/>
        </w:rPr>
        <w:t>diputados, alcaldes o concejales, precisamente para evitar la injerencia</w:t>
      </w:r>
      <w:r w:rsidRPr="00AB70D1">
        <w:rPr>
          <w:rFonts w:ascii="Arial" w:eastAsia="Calibri" w:hAnsi="Arial" w:cs="Arial"/>
          <w:bCs/>
          <w:color w:val="000000"/>
          <w:sz w:val="22"/>
          <w:szCs w:val="22"/>
          <w:lang w:eastAsia="en-US"/>
        </w:rPr>
        <w:t xml:space="preserve"> indebida</w:t>
      </w:r>
      <w:r w:rsidR="007F157F" w:rsidRPr="00AB70D1">
        <w:rPr>
          <w:rFonts w:ascii="Arial" w:eastAsia="Calibri" w:hAnsi="Arial" w:cs="Arial"/>
          <w:bCs/>
          <w:color w:val="000000"/>
          <w:sz w:val="22"/>
          <w:szCs w:val="22"/>
          <w:lang w:eastAsia="en-US"/>
        </w:rPr>
        <w:t xml:space="preserve"> </w:t>
      </w:r>
      <w:r w:rsidR="00395EBC" w:rsidRPr="00AB70D1">
        <w:rPr>
          <w:rFonts w:ascii="Arial" w:eastAsia="Calibri" w:hAnsi="Arial" w:cs="Arial"/>
          <w:bCs/>
          <w:color w:val="000000"/>
          <w:sz w:val="22"/>
          <w:szCs w:val="22"/>
          <w:lang w:eastAsia="en-US"/>
        </w:rPr>
        <w:t xml:space="preserve">de estos </w:t>
      </w:r>
      <w:r w:rsidR="007F157F" w:rsidRPr="00AB70D1">
        <w:rPr>
          <w:rFonts w:ascii="Arial" w:eastAsia="Calibri" w:hAnsi="Arial" w:cs="Arial"/>
          <w:bCs/>
          <w:color w:val="000000"/>
          <w:sz w:val="22"/>
          <w:szCs w:val="22"/>
          <w:lang w:eastAsia="en-US"/>
        </w:rPr>
        <w:t xml:space="preserve">en la gestión </w:t>
      </w:r>
      <w:r w:rsidRPr="00AB70D1">
        <w:rPr>
          <w:rFonts w:ascii="Arial" w:eastAsia="Calibri" w:hAnsi="Arial" w:cs="Arial"/>
          <w:bCs/>
          <w:color w:val="000000"/>
          <w:sz w:val="22"/>
          <w:szCs w:val="22"/>
          <w:lang w:eastAsia="en-US"/>
        </w:rPr>
        <w:t xml:space="preserve">pública a favor de aquellos, teniendo en cuenta su cercanía. </w:t>
      </w:r>
    </w:p>
    <w:p w14:paraId="62486495" w14:textId="004DACFB" w:rsidR="00C56C6C" w:rsidRPr="00AB70D1" w:rsidRDefault="0018322D" w:rsidP="00EB41F4">
      <w:pPr>
        <w:spacing w:before="120" w:line="276" w:lineRule="auto"/>
        <w:ind w:firstLine="709"/>
        <w:jc w:val="both"/>
        <w:rPr>
          <w:rFonts w:ascii="Arial" w:eastAsia="Calibri" w:hAnsi="Arial" w:cs="Arial"/>
          <w:color w:val="000000" w:themeColor="text1"/>
          <w:sz w:val="22"/>
          <w:lang w:val="es-ES_tradnl"/>
        </w:rPr>
      </w:pPr>
      <w:r w:rsidRPr="00AB70D1">
        <w:rPr>
          <w:rFonts w:ascii="Arial" w:eastAsia="Calibri" w:hAnsi="Arial" w:cs="Arial"/>
          <w:bCs/>
          <w:color w:val="000000"/>
          <w:sz w:val="22"/>
          <w:szCs w:val="22"/>
          <w:lang w:eastAsia="en-US"/>
        </w:rPr>
        <w:t xml:space="preserve">Bajo estas consideraciones, </w:t>
      </w:r>
      <w:bookmarkStart w:id="6" w:name="_Hlk67555557"/>
      <w:r w:rsidRPr="00AB70D1">
        <w:rPr>
          <w:rFonts w:ascii="Arial" w:eastAsia="Calibri" w:hAnsi="Arial" w:cs="Arial"/>
          <w:bCs/>
          <w:color w:val="000000"/>
          <w:sz w:val="22"/>
          <w:szCs w:val="22"/>
          <w:lang w:eastAsia="en-US"/>
        </w:rPr>
        <w:t>la inhabilidad de que trata el artículo 1</w:t>
      </w:r>
      <w:r w:rsidR="005946B8" w:rsidRPr="00AB70D1">
        <w:rPr>
          <w:rFonts w:ascii="Arial" w:eastAsia="Calibri" w:hAnsi="Arial" w:cs="Arial"/>
          <w:bCs/>
          <w:color w:val="000000"/>
          <w:sz w:val="22"/>
          <w:szCs w:val="22"/>
          <w:lang w:eastAsia="en-US"/>
        </w:rPr>
        <w:t>°</w:t>
      </w:r>
      <w:r w:rsidRPr="00AB70D1">
        <w:rPr>
          <w:rFonts w:ascii="Arial" w:eastAsia="Calibri" w:hAnsi="Arial" w:cs="Arial"/>
          <w:sz w:val="22"/>
          <w:szCs w:val="22"/>
          <w:lang w:val="es-ES_tradnl" w:eastAsia="en-US"/>
        </w:rPr>
        <w:t xml:space="preserve"> Ley 1296 de 2009</w:t>
      </w:r>
      <w:r w:rsidRPr="00AB70D1">
        <w:rPr>
          <w:rFonts w:ascii="Arial" w:eastAsia="Calibri" w:hAnsi="Arial" w:cs="Arial"/>
          <w:bCs/>
          <w:color w:val="000000"/>
          <w:sz w:val="22"/>
          <w:szCs w:val="22"/>
          <w:lang w:eastAsia="en-US"/>
        </w:rPr>
        <w:t xml:space="preserve"> subsiste para los sujetos señalados mientras los gobernadores, diputados, alcaldes y concejales desempeñen dichos cargos. En consecuencia, aten</w:t>
      </w:r>
      <w:r w:rsidR="000B0928" w:rsidRPr="00AB70D1">
        <w:rPr>
          <w:rFonts w:ascii="Arial" w:eastAsia="Calibri" w:hAnsi="Arial" w:cs="Arial"/>
          <w:bCs/>
          <w:color w:val="000000"/>
          <w:sz w:val="22"/>
          <w:szCs w:val="22"/>
          <w:lang w:eastAsia="en-US"/>
        </w:rPr>
        <w:t>d</w:t>
      </w:r>
      <w:r w:rsidRPr="00AB70D1">
        <w:rPr>
          <w:rFonts w:ascii="Arial" w:eastAsia="Calibri" w:hAnsi="Arial" w:cs="Arial"/>
          <w:bCs/>
          <w:color w:val="000000"/>
          <w:sz w:val="22"/>
          <w:szCs w:val="22"/>
          <w:lang w:eastAsia="en-US"/>
        </w:rPr>
        <w:t>iendo a la interpretación restrictiva de las inhabilidades,</w:t>
      </w:r>
      <w:r w:rsidR="003B659A" w:rsidRPr="00AB70D1">
        <w:rPr>
          <w:rFonts w:ascii="Arial" w:eastAsia="Calibri" w:hAnsi="Arial" w:cs="Arial"/>
          <w:bCs/>
          <w:color w:val="000000"/>
          <w:sz w:val="22"/>
          <w:szCs w:val="22"/>
          <w:lang w:eastAsia="en-US"/>
        </w:rPr>
        <w:t xml:space="preserve"> </w:t>
      </w:r>
      <w:r w:rsidR="00F6189D" w:rsidRPr="00AB70D1">
        <w:rPr>
          <w:rFonts w:ascii="Arial" w:eastAsia="Calibri" w:hAnsi="Arial" w:cs="Arial"/>
          <w:bCs/>
          <w:color w:val="000000"/>
          <w:sz w:val="22"/>
          <w:szCs w:val="22"/>
          <w:lang w:eastAsia="en-US"/>
        </w:rPr>
        <w:t>en caso de que los gobernadores, diputados, alcaldes y concejales dejen de ostentar tal calidad</w:t>
      </w:r>
      <w:r w:rsidRPr="00AB70D1">
        <w:rPr>
          <w:rFonts w:ascii="Arial" w:eastAsia="Calibri" w:hAnsi="Arial" w:cs="Arial"/>
          <w:bCs/>
          <w:color w:val="000000"/>
          <w:sz w:val="22"/>
          <w:szCs w:val="22"/>
          <w:lang w:eastAsia="en-US"/>
        </w:rPr>
        <w:t xml:space="preserve">, </w:t>
      </w:r>
      <w:r w:rsidR="00F6189D" w:rsidRPr="00AB70D1">
        <w:rPr>
          <w:rFonts w:ascii="Arial" w:eastAsia="Calibri" w:hAnsi="Arial" w:cs="Arial"/>
          <w:bCs/>
          <w:color w:val="000000"/>
          <w:sz w:val="22"/>
          <w:szCs w:val="22"/>
          <w:lang w:eastAsia="en-US"/>
        </w:rPr>
        <w:t xml:space="preserve">se extinguiría para sus cónyuges o compañeros permanentes y parientes señalados la prohibición </w:t>
      </w:r>
      <w:r w:rsidRPr="00AB70D1">
        <w:rPr>
          <w:rFonts w:ascii="Arial" w:eastAsia="Calibri" w:hAnsi="Arial" w:cs="Arial"/>
          <w:bCs/>
          <w:color w:val="000000"/>
          <w:sz w:val="22"/>
          <w:szCs w:val="22"/>
          <w:lang w:eastAsia="en-US"/>
        </w:rPr>
        <w:t xml:space="preserve">para contratar </w:t>
      </w:r>
      <w:r w:rsidR="00F6189D" w:rsidRPr="00AB70D1">
        <w:rPr>
          <w:rFonts w:ascii="Arial" w:eastAsia="Calibri" w:hAnsi="Arial" w:cs="Arial"/>
          <w:color w:val="000000" w:themeColor="text1"/>
          <w:sz w:val="22"/>
          <w:lang w:val="es-ES_tradnl"/>
        </w:rPr>
        <w:t xml:space="preserve">con </w:t>
      </w:r>
      <w:r w:rsidR="005946B8" w:rsidRPr="00AB70D1">
        <w:rPr>
          <w:rFonts w:ascii="Arial" w:eastAsia="Calibri" w:hAnsi="Arial" w:cs="Arial"/>
          <w:color w:val="000000" w:themeColor="text1"/>
          <w:sz w:val="22"/>
          <w:lang w:val="es-ES_tradnl"/>
        </w:rPr>
        <w:t xml:space="preserve">el </w:t>
      </w:r>
      <w:r w:rsidR="00F6189D" w:rsidRPr="00AB70D1">
        <w:rPr>
          <w:rFonts w:ascii="Arial" w:eastAsia="Calibri" w:hAnsi="Arial" w:cs="Arial"/>
          <w:color w:val="000000" w:themeColor="text1"/>
          <w:sz w:val="22"/>
          <w:lang w:val="es-ES_tradnl"/>
        </w:rPr>
        <w:t xml:space="preserve">respectivo departamento, distrito o municipio, o de sus entidades descentralizadas. </w:t>
      </w:r>
    </w:p>
    <w:bookmarkEnd w:id="6"/>
    <w:p w14:paraId="26A080AD" w14:textId="74DAD1E6" w:rsidR="00F6189D" w:rsidRPr="00AB70D1" w:rsidRDefault="00395EBC" w:rsidP="00EB41F4">
      <w:pPr>
        <w:spacing w:before="120" w:line="276" w:lineRule="auto"/>
        <w:ind w:firstLine="720"/>
        <w:jc w:val="both"/>
        <w:rPr>
          <w:rFonts w:ascii="Arial" w:eastAsia="Calibri" w:hAnsi="Arial" w:cs="Arial"/>
          <w:bCs/>
          <w:color w:val="000000"/>
          <w:sz w:val="22"/>
          <w:szCs w:val="22"/>
          <w:lang w:eastAsia="en-US"/>
        </w:rPr>
      </w:pPr>
      <w:r w:rsidRPr="00AB70D1">
        <w:rPr>
          <w:rFonts w:ascii="Arial" w:eastAsia="Calibri" w:hAnsi="Arial" w:cs="Arial"/>
          <w:bCs/>
          <w:color w:val="000000"/>
          <w:sz w:val="22"/>
          <w:szCs w:val="22"/>
          <w:lang w:eastAsia="en-US"/>
        </w:rPr>
        <w:lastRenderedPageBreak/>
        <w:t>Ello es así por cuanto la norma no establece una extensión de la limitación para contratar una vez cese la calidad de gobernadores, diputados, alcaldes y concejales, como si lo hace respecto de otras inhabilidades</w:t>
      </w:r>
      <w:r w:rsidR="001B1588" w:rsidRPr="00AB70D1">
        <w:rPr>
          <w:rFonts w:ascii="Arial" w:eastAsia="Calibri" w:hAnsi="Arial" w:cs="Arial"/>
          <w:bCs/>
          <w:color w:val="000000"/>
          <w:sz w:val="22"/>
          <w:szCs w:val="22"/>
          <w:lang w:eastAsia="en-US"/>
        </w:rPr>
        <w:t xml:space="preserve"> o incompatibilidades</w:t>
      </w:r>
      <w:r w:rsidRPr="00AB70D1">
        <w:rPr>
          <w:rStyle w:val="Refdenotaalpie"/>
          <w:rFonts w:ascii="Arial" w:eastAsia="Calibri" w:hAnsi="Arial" w:cs="Arial"/>
          <w:bCs/>
          <w:color w:val="000000"/>
          <w:sz w:val="22"/>
          <w:szCs w:val="22"/>
          <w:lang w:eastAsia="en-US"/>
        </w:rPr>
        <w:footnoteReference w:id="22"/>
      </w:r>
      <w:r w:rsidRPr="00AB70D1">
        <w:rPr>
          <w:rFonts w:ascii="Arial" w:eastAsia="Calibri" w:hAnsi="Arial" w:cs="Arial"/>
          <w:bCs/>
          <w:color w:val="000000"/>
          <w:sz w:val="22"/>
          <w:szCs w:val="22"/>
          <w:lang w:eastAsia="en-US"/>
        </w:rPr>
        <w:t xml:space="preserve">. </w:t>
      </w:r>
      <w:r w:rsidR="00BF3714" w:rsidRPr="00AB70D1">
        <w:rPr>
          <w:rFonts w:ascii="Arial" w:eastAsia="Calibri" w:hAnsi="Arial" w:cs="Arial"/>
          <w:bCs/>
          <w:color w:val="000000"/>
          <w:sz w:val="22"/>
          <w:szCs w:val="22"/>
          <w:lang w:eastAsia="en-US"/>
        </w:rPr>
        <w:t xml:space="preserve">Además, debe agregarse que, atendiendo al propósito de la inhabilidad de garantizar los principios constitucionales y el interés general </w:t>
      </w:r>
      <w:r w:rsidR="00C3361D" w:rsidRPr="00AB70D1">
        <w:rPr>
          <w:rFonts w:ascii="Arial" w:eastAsia="Calibri" w:hAnsi="Arial" w:cs="Arial"/>
          <w:bCs/>
          <w:color w:val="000000"/>
          <w:sz w:val="22"/>
          <w:szCs w:val="22"/>
          <w:lang w:eastAsia="en-US"/>
        </w:rPr>
        <w:t>en relación con el ejercicio</w:t>
      </w:r>
      <w:r w:rsidR="00BF3714" w:rsidRPr="00AB70D1">
        <w:rPr>
          <w:rFonts w:ascii="Arial" w:eastAsia="Calibri" w:hAnsi="Arial" w:cs="Arial"/>
          <w:bCs/>
          <w:color w:val="000000"/>
          <w:sz w:val="22"/>
          <w:szCs w:val="22"/>
          <w:lang w:eastAsia="en-US"/>
        </w:rPr>
        <w:t xml:space="preserve"> de dichos cargos, </w:t>
      </w:r>
      <w:r w:rsidR="001B1588" w:rsidRPr="00AB70D1">
        <w:rPr>
          <w:rFonts w:ascii="Arial" w:eastAsia="Calibri" w:hAnsi="Arial" w:cs="Arial"/>
          <w:bCs/>
          <w:color w:val="000000"/>
          <w:sz w:val="22"/>
          <w:szCs w:val="22"/>
          <w:lang w:eastAsia="en-US"/>
        </w:rPr>
        <w:t xml:space="preserve">el legislador consideró que </w:t>
      </w:r>
      <w:r w:rsidR="00BF3714" w:rsidRPr="00AB70D1">
        <w:rPr>
          <w:rFonts w:ascii="Arial" w:eastAsia="Calibri" w:hAnsi="Arial" w:cs="Arial"/>
          <w:bCs/>
          <w:color w:val="000000"/>
          <w:sz w:val="22"/>
          <w:szCs w:val="22"/>
          <w:lang w:eastAsia="en-US"/>
        </w:rPr>
        <w:t xml:space="preserve">no sería proporcional ni razonable </w:t>
      </w:r>
      <w:proofErr w:type="gramStart"/>
      <w:r w:rsidR="00BF3714" w:rsidRPr="00AB70D1">
        <w:rPr>
          <w:rFonts w:ascii="Arial" w:eastAsia="Calibri" w:hAnsi="Arial" w:cs="Arial"/>
          <w:bCs/>
          <w:color w:val="000000"/>
          <w:sz w:val="22"/>
          <w:szCs w:val="22"/>
          <w:lang w:eastAsia="en-US"/>
        </w:rPr>
        <w:t>que</w:t>
      </w:r>
      <w:proofErr w:type="gramEnd"/>
      <w:r w:rsidR="00BF3714" w:rsidRPr="00AB70D1">
        <w:rPr>
          <w:rFonts w:ascii="Arial" w:eastAsia="Calibri" w:hAnsi="Arial" w:cs="Arial"/>
          <w:bCs/>
          <w:color w:val="000000"/>
          <w:sz w:val="22"/>
          <w:szCs w:val="22"/>
          <w:lang w:eastAsia="en-US"/>
        </w:rPr>
        <w:t xml:space="preserve"> fenecida la calidad de gobernador, diputado, alcalde o concejal, se </w:t>
      </w:r>
      <w:r w:rsidR="001B1588" w:rsidRPr="00AB70D1">
        <w:rPr>
          <w:rFonts w:ascii="Arial" w:eastAsia="Calibri" w:hAnsi="Arial" w:cs="Arial"/>
          <w:bCs/>
          <w:color w:val="000000"/>
          <w:sz w:val="22"/>
          <w:szCs w:val="22"/>
          <w:lang w:eastAsia="en-US"/>
        </w:rPr>
        <w:t xml:space="preserve">mantuviera </w:t>
      </w:r>
      <w:r w:rsidR="00C3361D" w:rsidRPr="00AB70D1">
        <w:rPr>
          <w:rFonts w:ascii="Arial" w:eastAsia="Calibri" w:hAnsi="Arial" w:cs="Arial"/>
          <w:bCs/>
          <w:color w:val="000000"/>
          <w:sz w:val="22"/>
          <w:szCs w:val="22"/>
          <w:lang w:eastAsia="en-US"/>
        </w:rPr>
        <w:t xml:space="preserve">para sus familiares o parientes una restricción para contratar. Como se explicó, las restricciones deben ser interpretadas </w:t>
      </w:r>
      <w:r w:rsidR="00C3361D" w:rsidRPr="00AB70D1">
        <w:rPr>
          <w:rFonts w:ascii="Arial" w:eastAsiaTheme="minorHAnsi" w:hAnsi="Arial" w:cs="Arial"/>
          <w:color w:val="000000" w:themeColor="text1"/>
          <w:sz w:val="22"/>
          <w:szCs w:val="22"/>
          <w:lang w:val="es-ES_tradnl" w:eastAsia="en-US"/>
        </w:rPr>
        <w:t xml:space="preserve">de forma que implique el menor sacrificio posible al derecho </w:t>
      </w:r>
      <w:r w:rsidR="001B1588" w:rsidRPr="00AB70D1">
        <w:rPr>
          <w:rFonts w:ascii="Arial" w:eastAsiaTheme="minorHAnsi" w:hAnsi="Arial" w:cs="Arial"/>
          <w:color w:val="000000" w:themeColor="text1"/>
          <w:sz w:val="22"/>
          <w:szCs w:val="22"/>
          <w:lang w:val="es-ES_tradnl" w:eastAsia="en-US"/>
        </w:rPr>
        <w:t xml:space="preserve">de libertad de empresa, concurrencia en los procedimientos de selección </w:t>
      </w:r>
      <w:r w:rsidR="00C3361D" w:rsidRPr="00AB70D1">
        <w:rPr>
          <w:rFonts w:ascii="Arial" w:eastAsiaTheme="minorHAnsi" w:hAnsi="Arial" w:cs="Arial"/>
          <w:color w:val="000000" w:themeColor="text1"/>
          <w:sz w:val="22"/>
          <w:szCs w:val="22"/>
          <w:lang w:val="es-ES_tradnl" w:eastAsia="en-US"/>
        </w:rPr>
        <w:t xml:space="preserve">y de reconocimiento de la personalidad jurídica de quienes aspiran a contratar con el Estado. </w:t>
      </w:r>
      <w:r w:rsidRPr="00AB70D1">
        <w:rPr>
          <w:rFonts w:ascii="Arial" w:eastAsia="Calibri" w:hAnsi="Arial" w:cs="Arial"/>
          <w:bCs/>
          <w:color w:val="000000"/>
          <w:sz w:val="22"/>
          <w:szCs w:val="22"/>
          <w:lang w:eastAsia="en-US"/>
        </w:rPr>
        <w:t xml:space="preserve"> </w:t>
      </w:r>
    </w:p>
    <w:p w14:paraId="44A5ADB3" w14:textId="77777777" w:rsidR="00686A37" w:rsidRPr="00AB70D1" w:rsidRDefault="00686A37" w:rsidP="00686A37">
      <w:pPr>
        <w:spacing w:line="276" w:lineRule="auto"/>
        <w:ind w:firstLine="720"/>
        <w:jc w:val="both"/>
        <w:rPr>
          <w:rFonts w:ascii="Arial" w:eastAsiaTheme="minorHAnsi" w:hAnsi="Arial" w:cs="Arial"/>
          <w:color w:val="000000" w:themeColor="text1"/>
          <w:sz w:val="22"/>
          <w:szCs w:val="22"/>
          <w:lang w:val="es-ES_tradnl" w:eastAsia="en-US"/>
        </w:rPr>
      </w:pPr>
    </w:p>
    <w:p w14:paraId="37CA9805" w14:textId="0F621D86" w:rsidR="00DD5B04" w:rsidRPr="00AB70D1" w:rsidRDefault="004177A6" w:rsidP="00510DE9">
      <w:pPr>
        <w:tabs>
          <w:tab w:val="left" w:pos="0"/>
        </w:tabs>
        <w:jc w:val="both"/>
        <w:rPr>
          <w:rFonts w:ascii="Arial" w:eastAsia="Calibri" w:hAnsi="Arial" w:cs="Arial"/>
          <w:b/>
          <w:color w:val="000000" w:themeColor="text1"/>
          <w:sz w:val="22"/>
          <w:lang w:val="es-ES_tradnl"/>
        </w:rPr>
      </w:pPr>
      <w:r w:rsidRPr="00AB70D1">
        <w:rPr>
          <w:rFonts w:ascii="Arial" w:eastAsia="Calibri" w:hAnsi="Arial" w:cs="Arial"/>
          <w:b/>
          <w:color w:val="000000" w:themeColor="text1"/>
          <w:sz w:val="22"/>
          <w:lang w:val="es-ES_tradnl"/>
        </w:rPr>
        <w:t>3</w:t>
      </w:r>
      <w:r w:rsidR="00B011A9" w:rsidRPr="00AB70D1">
        <w:rPr>
          <w:rFonts w:ascii="Arial" w:eastAsia="Calibri" w:hAnsi="Arial" w:cs="Arial"/>
          <w:b/>
          <w:color w:val="000000" w:themeColor="text1"/>
          <w:sz w:val="22"/>
          <w:lang w:val="es-ES_tradnl"/>
        </w:rPr>
        <w:t xml:space="preserve">. </w:t>
      </w:r>
      <w:r w:rsidR="00DD5B04" w:rsidRPr="00AB70D1">
        <w:rPr>
          <w:rFonts w:ascii="Arial" w:eastAsia="Calibri" w:hAnsi="Arial" w:cs="Arial"/>
          <w:b/>
          <w:color w:val="000000" w:themeColor="text1"/>
          <w:sz w:val="22"/>
          <w:lang w:val="es-ES_tradnl"/>
        </w:rPr>
        <w:t>Respuesta</w:t>
      </w:r>
    </w:p>
    <w:p w14:paraId="3C2B20C9" w14:textId="77777777" w:rsidR="007B18FD" w:rsidRPr="00AB70D1" w:rsidRDefault="007B18FD" w:rsidP="00861F0F">
      <w:pPr>
        <w:tabs>
          <w:tab w:val="left" w:pos="0"/>
        </w:tabs>
        <w:spacing w:line="276" w:lineRule="auto"/>
        <w:jc w:val="both"/>
        <w:rPr>
          <w:rFonts w:ascii="Arial" w:eastAsia="Calibri" w:hAnsi="Arial" w:cs="Arial"/>
          <w:b/>
          <w:color w:val="000000" w:themeColor="text1"/>
          <w:sz w:val="22"/>
          <w:lang w:val="es-ES_tradnl"/>
        </w:rPr>
      </w:pPr>
    </w:p>
    <w:p w14:paraId="6D30D7B9" w14:textId="51B89B97" w:rsidR="00C3361D" w:rsidRPr="00AB70D1" w:rsidRDefault="00227726" w:rsidP="00686A37">
      <w:pPr>
        <w:ind w:left="709" w:right="709"/>
        <w:jc w:val="both"/>
        <w:rPr>
          <w:rFonts w:ascii="Arial" w:hAnsi="Arial" w:cs="Arial"/>
          <w:color w:val="000000" w:themeColor="text1"/>
          <w:sz w:val="21"/>
          <w:szCs w:val="21"/>
          <w:lang w:val="es-ES_tradnl"/>
        </w:rPr>
      </w:pPr>
      <w:r w:rsidRPr="00AB70D1">
        <w:rPr>
          <w:rFonts w:ascii="Arial" w:hAnsi="Arial" w:cs="Arial"/>
          <w:color w:val="000000" w:themeColor="text1"/>
          <w:sz w:val="21"/>
          <w:szCs w:val="21"/>
        </w:rPr>
        <w:t>¿</w:t>
      </w:r>
      <w:r w:rsidR="00C3361D" w:rsidRPr="00AB70D1">
        <w:rPr>
          <w:rFonts w:ascii="Arial" w:hAnsi="Arial" w:cs="Arial"/>
          <w:color w:val="000000" w:themeColor="text1"/>
          <w:sz w:val="21"/>
          <w:szCs w:val="21"/>
        </w:rPr>
        <w:t>E</w:t>
      </w:r>
      <w:r w:rsidRPr="00AB70D1">
        <w:rPr>
          <w:rFonts w:ascii="Arial" w:hAnsi="Arial" w:cs="Arial"/>
          <w:color w:val="000000" w:themeColor="text1"/>
          <w:sz w:val="21"/>
          <w:szCs w:val="21"/>
        </w:rPr>
        <w:t xml:space="preserve">n qué momento desaparece una inhabilidad según ley 1296/2009 </w:t>
      </w:r>
      <w:r w:rsidR="00C3361D" w:rsidRPr="00AB70D1">
        <w:rPr>
          <w:rFonts w:ascii="Arial" w:hAnsi="Arial" w:cs="Arial"/>
          <w:color w:val="000000" w:themeColor="text1"/>
          <w:sz w:val="21"/>
          <w:szCs w:val="21"/>
        </w:rPr>
        <w:t>y si persiste por algún tiempo?</w:t>
      </w:r>
    </w:p>
    <w:p w14:paraId="3235CC65" w14:textId="77777777" w:rsidR="00686A37" w:rsidRPr="00AB70D1" w:rsidRDefault="00686A37" w:rsidP="00686A37">
      <w:pPr>
        <w:ind w:left="709" w:right="709"/>
        <w:jc w:val="both"/>
        <w:rPr>
          <w:rFonts w:ascii="Arial" w:hAnsi="Arial" w:cs="Arial"/>
          <w:color w:val="000000" w:themeColor="text1"/>
          <w:sz w:val="21"/>
          <w:szCs w:val="21"/>
          <w:lang w:val="es-ES_tradnl"/>
        </w:rPr>
      </w:pPr>
    </w:p>
    <w:p w14:paraId="07E5CF5D" w14:textId="0BA51245" w:rsidR="00C3361D" w:rsidRPr="00AB70D1" w:rsidRDefault="00C3361D" w:rsidP="00C3361D">
      <w:pPr>
        <w:spacing w:before="120" w:line="276" w:lineRule="auto"/>
        <w:jc w:val="both"/>
        <w:rPr>
          <w:rFonts w:ascii="Arial" w:eastAsiaTheme="minorHAnsi" w:hAnsi="Arial" w:cs="Arial"/>
          <w:sz w:val="22"/>
          <w:szCs w:val="22"/>
          <w:lang w:eastAsia="en-US"/>
        </w:rPr>
      </w:pPr>
      <w:r w:rsidRPr="00AB70D1">
        <w:rPr>
          <w:rFonts w:ascii="Arial" w:eastAsiaTheme="minorHAnsi" w:hAnsi="Arial" w:cs="Arial"/>
          <w:sz w:val="22"/>
          <w:szCs w:val="22"/>
          <w:lang w:eastAsia="en-US"/>
        </w:rPr>
        <w:t xml:space="preserve">De conformidad con el artículo 1° de la Ley </w:t>
      </w:r>
      <w:r w:rsidRPr="00AB70D1">
        <w:rPr>
          <w:rFonts w:ascii="Arial" w:eastAsiaTheme="minorHAnsi" w:hAnsi="Arial" w:cs="Arial"/>
          <w:bCs/>
          <w:sz w:val="22"/>
          <w:szCs w:val="22"/>
          <w:lang w:eastAsia="en-US"/>
        </w:rPr>
        <w:t>129</w:t>
      </w:r>
      <w:r w:rsidR="00933447">
        <w:rPr>
          <w:rFonts w:ascii="Arial" w:eastAsiaTheme="minorHAnsi" w:hAnsi="Arial" w:cs="Arial"/>
          <w:bCs/>
          <w:sz w:val="22"/>
          <w:szCs w:val="22"/>
          <w:lang w:eastAsia="en-US"/>
        </w:rPr>
        <w:t>6</w:t>
      </w:r>
      <w:r w:rsidRPr="00AB70D1">
        <w:rPr>
          <w:rFonts w:ascii="Arial" w:eastAsiaTheme="minorHAnsi" w:hAnsi="Arial" w:cs="Arial"/>
          <w:bCs/>
          <w:sz w:val="22"/>
          <w:szCs w:val="22"/>
          <w:lang w:eastAsia="en-US"/>
        </w:rPr>
        <w:t xml:space="preserve"> de 2009, modificatorio del inciso tercero del artículo 1 de la Ley 1148 de 2007</w:t>
      </w:r>
      <w:r w:rsidR="00576A42" w:rsidRPr="00AB70D1">
        <w:rPr>
          <w:rFonts w:ascii="Arial" w:eastAsiaTheme="minorHAnsi" w:hAnsi="Arial" w:cs="Arial"/>
          <w:bCs/>
          <w:sz w:val="22"/>
          <w:szCs w:val="22"/>
          <w:lang w:eastAsia="en-US"/>
        </w:rPr>
        <w:t>,</w:t>
      </w:r>
      <w:r w:rsidRPr="00AB70D1">
        <w:rPr>
          <w:rFonts w:ascii="Arial" w:eastAsiaTheme="minorHAnsi" w:hAnsi="Arial" w:cs="Arial"/>
          <w:bCs/>
          <w:sz w:val="22"/>
          <w:szCs w:val="22"/>
          <w:lang w:eastAsia="en-US"/>
        </w:rPr>
        <w:t xml:space="preserve"> el cual modificó el artículo 49 de la Ley 617 del 2000, los cónyuges o compañeros permanentes de los gobernadores, diputados, alcaldes municipales y distritales, concejales municipales y distritales y sus parientes dentro del cuarto grado de consanguinidad, segundo de afinidad, o primero civil no podrán ser contratistas del respectivo departamento, distrito o municipio, o de sus entidades descentralizadas, ni directa, ni indirectamente.</w:t>
      </w:r>
    </w:p>
    <w:p w14:paraId="58E4CC79" w14:textId="2A67BF64" w:rsidR="00C3361D" w:rsidRDefault="00EB41F4" w:rsidP="00612417">
      <w:pPr>
        <w:spacing w:before="120" w:line="276" w:lineRule="auto"/>
        <w:ind w:firstLine="709"/>
        <w:jc w:val="both"/>
        <w:rPr>
          <w:rFonts w:ascii="Arial" w:eastAsiaTheme="minorHAnsi" w:hAnsi="Arial" w:cs="Arial"/>
          <w:bCs/>
          <w:sz w:val="22"/>
          <w:szCs w:val="22"/>
          <w:lang w:eastAsia="en-US"/>
        </w:rPr>
      </w:pPr>
      <w:r w:rsidRPr="00AB70D1">
        <w:rPr>
          <w:rFonts w:ascii="Arial" w:eastAsiaTheme="minorHAnsi" w:hAnsi="Arial" w:cs="Arial"/>
          <w:sz w:val="22"/>
          <w:szCs w:val="22"/>
          <w:lang w:eastAsia="en-US"/>
        </w:rPr>
        <w:t>L</w:t>
      </w:r>
      <w:r w:rsidR="00C3361D" w:rsidRPr="00AB70D1">
        <w:rPr>
          <w:rFonts w:ascii="Arial" w:eastAsiaTheme="minorHAnsi" w:hAnsi="Arial" w:cs="Arial"/>
          <w:sz w:val="22"/>
          <w:szCs w:val="22"/>
          <w:lang w:eastAsia="en-US"/>
        </w:rPr>
        <w:t xml:space="preserve">a situación </w:t>
      </w:r>
      <w:r w:rsidR="00686A37" w:rsidRPr="00AB70D1">
        <w:rPr>
          <w:rFonts w:ascii="Arial" w:eastAsiaTheme="minorHAnsi" w:hAnsi="Arial" w:cs="Arial"/>
          <w:sz w:val="22"/>
          <w:szCs w:val="22"/>
          <w:lang w:eastAsia="en-US"/>
        </w:rPr>
        <w:t xml:space="preserve">de hecho </w:t>
      </w:r>
      <w:r w:rsidR="00C3361D" w:rsidRPr="00AB70D1">
        <w:rPr>
          <w:rFonts w:ascii="Arial" w:eastAsiaTheme="minorHAnsi" w:hAnsi="Arial" w:cs="Arial"/>
          <w:sz w:val="22"/>
          <w:szCs w:val="22"/>
          <w:lang w:eastAsia="en-US"/>
        </w:rPr>
        <w:t xml:space="preserve">que genera la inhabilidad de la norma citada es el </w:t>
      </w:r>
      <w:r w:rsidR="00C3361D" w:rsidRPr="00AB70D1">
        <w:rPr>
          <w:rFonts w:ascii="Arial" w:eastAsiaTheme="minorHAnsi" w:hAnsi="Arial" w:cs="Arial"/>
          <w:bCs/>
          <w:sz w:val="22"/>
          <w:szCs w:val="22"/>
          <w:lang w:eastAsia="en-US"/>
        </w:rPr>
        <w:t>parentesco hasta el cuarto grado de consanguinidad, segundo de afinidad, primero civil o estar ligados por matrimonio o unión permanente con los gobernadores, diputados, alcaldes y concejales. En este sentido, esta inhabilidad subsiste para los sujetos señalados mientras los gobernadores, diputados, alcaldes y concejales desempeñen dichos cargos. En consecuencia, aten</w:t>
      </w:r>
      <w:r w:rsidR="001169F3" w:rsidRPr="00AB70D1">
        <w:rPr>
          <w:rFonts w:ascii="Arial" w:eastAsiaTheme="minorHAnsi" w:hAnsi="Arial" w:cs="Arial"/>
          <w:bCs/>
          <w:sz w:val="22"/>
          <w:szCs w:val="22"/>
          <w:lang w:eastAsia="en-US"/>
        </w:rPr>
        <w:t>d</w:t>
      </w:r>
      <w:r w:rsidR="00C3361D" w:rsidRPr="00AB70D1">
        <w:rPr>
          <w:rFonts w:ascii="Arial" w:eastAsiaTheme="minorHAnsi" w:hAnsi="Arial" w:cs="Arial"/>
          <w:bCs/>
          <w:sz w:val="22"/>
          <w:szCs w:val="22"/>
          <w:lang w:eastAsia="en-US"/>
        </w:rPr>
        <w:t xml:space="preserve">iendo a la interpretación restrictiva de las inhabilidades, en caso de que </w:t>
      </w:r>
      <w:r w:rsidR="005946B8" w:rsidRPr="00AB70D1">
        <w:rPr>
          <w:rFonts w:ascii="Arial" w:eastAsiaTheme="minorHAnsi" w:hAnsi="Arial" w:cs="Arial"/>
          <w:bCs/>
          <w:sz w:val="22"/>
          <w:szCs w:val="22"/>
          <w:lang w:eastAsia="en-US"/>
        </w:rPr>
        <w:t>estos dejen de ostentar tal calidad</w:t>
      </w:r>
      <w:r w:rsidR="00C3361D" w:rsidRPr="00AB70D1">
        <w:rPr>
          <w:rFonts w:ascii="Arial" w:eastAsiaTheme="minorHAnsi" w:hAnsi="Arial" w:cs="Arial"/>
          <w:bCs/>
          <w:sz w:val="22"/>
          <w:szCs w:val="22"/>
          <w:lang w:eastAsia="en-US"/>
        </w:rPr>
        <w:t>,</w:t>
      </w:r>
      <w:r w:rsidR="005946B8" w:rsidRPr="00AB70D1">
        <w:rPr>
          <w:rFonts w:ascii="Arial" w:eastAsiaTheme="minorHAnsi" w:hAnsi="Arial" w:cs="Arial"/>
          <w:bCs/>
          <w:sz w:val="22"/>
          <w:szCs w:val="22"/>
          <w:lang w:eastAsia="en-US"/>
        </w:rPr>
        <w:t xml:space="preserve"> se extinguiría l</w:t>
      </w:r>
      <w:r w:rsidR="00C3361D" w:rsidRPr="00AB70D1">
        <w:rPr>
          <w:rFonts w:ascii="Arial" w:eastAsiaTheme="minorHAnsi" w:hAnsi="Arial" w:cs="Arial"/>
          <w:bCs/>
          <w:sz w:val="22"/>
          <w:szCs w:val="22"/>
          <w:lang w:eastAsia="en-US"/>
        </w:rPr>
        <w:t xml:space="preserve">a prohibición para contratar allí contemplada para sus cónyuges o compañeros permanentes y parientes señalados, </w:t>
      </w:r>
      <w:r w:rsidR="00461C03" w:rsidRPr="00AB70D1">
        <w:rPr>
          <w:rFonts w:ascii="Arial" w:eastAsiaTheme="minorHAnsi" w:hAnsi="Arial" w:cs="Arial"/>
          <w:bCs/>
          <w:sz w:val="22"/>
          <w:szCs w:val="22"/>
          <w:lang w:eastAsia="en-US"/>
        </w:rPr>
        <w:t xml:space="preserve">en la </w:t>
      </w:r>
      <w:r w:rsidR="00461C03" w:rsidRPr="00AB70D1">
        <w:rPr>
          <w:rFonts w:ascii="Arial" w:eastAsiaTheme="minorHAnsi" w:hAnsi="Arial" w:cs="Arial"/>
          <w:bCs/>
          <w:sz w:val="22"/>
          <w:szCs w:val="22"/>
          <w:lang w:eastAsia="en-US"/>
        </w:rPr>
        <w:lastRenderedPageBreak/>
        <w:t>medida en que</w:t>
      </w:r>
      <w:r w:rsidR="00C3361D" w:rsidRPr="00AB70D1">
        <w:rPr>
          <w:rFonts w:ascii="Arial" w:eastAsiaTheme="minorHAnsi" w:hAnsi="Arial" w:cs="Arial"/>
          <w:bCs/>
          <w:sz w:val="22"/>
          <w:szCs w:val="22"/>
          <w:lang w:eastAsia="en-US"/>
        </w:rPr>
        <w:t xml:space="preserve"> no se cumplirían los </w:t>
      </w:r>
      <w:r w:rsidR="00461C03" w:rsidRPr="00AB70D1">
        <w:rPr>
          <w:rFonts w:ascii="Arial" w:eastAsiaTheme="minorHAnsi" w:hAnsi="Arial" w:cs="Arial"/>
          <w:bCs/>
          <w:sz w:val="22"/>
          <w:szCs w:val="22"/>
          <w:lang w:eastAsia="en-US"/>
        </w:rPr>
        <w:t>supuestos</w:t>
      </w:r>
      <w:r w:rsidR="00C3361D" w:rsidRPr="00AB70D1">
        <w:rPr>
          <w:rFonts w:ascii="Arial" w:eastAsiaTheme="minorHAnsi" w:hAnsi="Arial" w:cs="Arial"/>
          <w:bCs/>
          <w:sz w:val="22"/>
          <w:szCs w:val="22"/>
          <w:lang w:eastAsia="en-US"/>
        </w:rPr>
        <w:t xml:space="preserve"> de hecho establecidos en este precepto normativo.</w:t>
      </w:r>
      <w:r w:rsidR="00576A42" w:rsidRPr="00AB70D1">
        <w:rPr>
          <w:rFonts w:ascii="Arial" w:eastAsiaTheme="minorHAnsi" w:hAnsi="Arial" w:cs="Arial"/>
          <w:bCs/>
          <w:sz w:val="22"/>
          <w:szCs w:val="22"/>
          <w:lang w:eastAsia="en-US"/>
        </w:rPr>
        <w:t xml:space="preserve"> Lo anterior, claro está, sin perjuicio de la posible aplicación de otras causales de inhabilidad o incompatibilidad establecidas en el ordenamiento jurídico, por lo que el análisis señalado se circunscribe al estudio particular de la inhabilidad puesta a consideración por el peticionario.</w:t>
      </w:r>
    </w:p>
    <w:p w14:paraId="5943F9A1" w14:textId="77777777" w:rsidR="00612417" w:rsidRPr="00C3361D" w:rsidRDefault="00612417" w:rsidP="00612417">
      <w:pPr>
        <w:spacing w:before="120" w:line="276" w:lineRule="auto"/>
        <w:ind w:firstLine="709"/>
        <w:jc w:val="both"/>
        <w:rPr>
          <w:rFonts w:ascii="Arial" w:eastAsiaTheme="minorHAnsi" w:hAnsi="Arial" w:cs="Arial"/>
          <w:bCs/>
          <w:sz w:val="22"/>
          <w:szCs w:val="22"/>
          <w:lang w:eastAsia="en-US"/>
        </w:rPr>
      </w:pPr>
    </w:p>
    <w:p w14:paraId="77EE5912" w14:textId="59329AC3" w:rsidR="00DD5B04" w:rsidRDefault="00DD5B04" w:rsidP="0081325C">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692FC307" w14:textId="317B51E8" w:rsidR="00921304"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349855C9" w14:textId="77777777" w:rsidR="00D40F8B" w:rsidRPr="00E23980" w:rsidRDefault="00D40F8B"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49730030" w14:textId="1386C3B5" w:rsidR="00DD5B04" w:rsidRDefault="00CE520F" w:rsidP="00D40F8B">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340EB552" wp14:editId="647BE9D4">
            <wp:extent cx="2514600" cy="1104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536305" cy="1114437"/>
                    </a:xfrm>
                    <a:prstGeom prst="rect">
                      <a:avLst/>
                    </a:prstGeom>
                  </pic:spPr>
                </pic:pic>
              </a:graphicData>
            </a:graphic>
          </wp:inline>
        </w:drawing>
      </w:r>
    </w:p>
    <w:p w14:paraId="0545B955" w14:textId="77777777" w:rsidR="00D40F8B" w:rsidRDefault="00D40F8B" w:rsidP="00D40F8B">
      <w:pPr>
        <w:pStyle w:val="NormalWeb"/>
        <w:spacing w:before="0" w:beforeAutospacing="0" w:after="0" w:afterAutospacing="0" w:line="276" w:lineRule="auto"/>
        <w:jc w:val="center"/>
        <w:rPr>
          <w:rFonts w:ascii="Arial" w:hAnsi="Arial" w:cs="Arial"/>
          <w:color w:val="000000" w:themeColor="text1"/>
          <w:sz w:val="22"/>
          <w:szCs w:val="22"/>
          <w:lang w:val="es-ES_tradnl"/>
        </w:rPr>
      </w:pPr>
    </w:p>
    <w:p w14:paraId="71818395" w14:textId="77777777" w:rsidR="00D40F8B" w:rsidRDefault="00D40F8B" w:rsidP="00D40F8B">
      <w:pPr>
        <w:pStyle w:val="NormalWeb"/>
        <w:spacing w:before="0" w:beforeAutospacing="0" w:after="0" w:afterAutospacing="0" w:line="276" w:lineRule="auto"/>
        <w:jc w:val="center"/>
        <w:rPr>
          <w:rFonts w:ascii="Arial" w:hAnsi="Arial" w:cs="Arial"/>
          <w:color w:val="000000" w:themeColor="text1"/>
          <w:sz w:val="22"/>
          <w:szCs w:val="22"/>
          <w:lang w:val="es-ES_tradnl"/>
        </w:rPr>
      </w:pPr>
    </w:p>
    <w:p w14:paraId="10A1E411" w14:textId="77777777" w:rsidR="00D40F8B" w:rsidRPr="00D40F8B" w:rsidRDefault="00D40F8B" w:rsidP="00D40F8B">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660415FC" w:rsidR="00F412DF" w:rsidRPr="005946B8" w:rsidRDefault="005946B8" w:rsidP="005946B8">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Sebastián Ramírez Grisales </w:t>
            </w:r>
          </w:p>
          <w:p w14:paraId="130B3228" w14:textId="128627BF" w:rsidR="00DD5B04" w:rsidRPr="00D40F8B" w:rsidRDefault="00F412DF" w:rsidP="00F412DF">
            <w:pPr>
              <w:jc w:val="both"/>
              <w:rPr>
                <w:rFonts w:ascii="Arial" w:hAnsi="Arial" w:cs="Arial"/>
                <w:color w:val="000000" w:themeColor="text1"/>
                <w:sz w:val="16"/>
                <w:szCs w:val="16"/>
                <w:lang w:val="es-ES_tradnl" w:eastAsia="es-ES"/>
              </w:rPr>
            </w:pPr>
            <w:r w:rsidRPr="00D40F8B">
              <w:rPr>
                <w:rFonts w:ascii="Arial" w:hAnsi="Arial" w:cs="Arial"/>
                <w:color w:val="000000"/>
                <w:sz w:val="16"/>
                <w:szCs w:val="16"/>
                <w:shd w:val="clear" w:color="auto" w:fill="FFFFFF"/>
              </w:rPr>
              <w:t>Gestor T1-15 de la </w:t>
            </w:r>
            <w:r w:rsidRPr="00D40F8B">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tbl>
    <w:p w14:paraId="35B56F46" w14:textId="77777777" w:rsidR="00746E08" w:rsidRPr="00E23980" w:rsidRDefault="00746E08" w:rsidP="00215B8E">
      <w:pPr>
        <w:jc w:val="both"/>
        <w:rPr>
          <w:rFonts w:ascii="Arial" w:hAnsi="Arial" w:cs="Arial"/>
          <w:lang w:val="es-ES_tradnl"/>
        </w:rPr>
      </w:pPr>
    </w:p>
    <w:sectPr w:rsidR="00746E08"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B057A" w14:textId="77777777" w:rsidR="009432F3" w:rsidRDefault="009432F3">
      <w:r>
        <w:separator/>
      </w:r>
    </w:p>
  </w:endnote>
  <w:endnote w:type="continuationSeparator" w:id="0">
    <w:p w14:paraId="02336E41" w14:textId="77777777" w:rsidR="009432F3" w:rsidRDefault="009432F3">
      <w:r>
        <w:continuationSeparator/>
      </w:r>
    </w:p>
  </w:endnote>
  <w:endnote w:type="continuationNotice" w:id="1">
    <w:p w14:paraId="0AB19940" w14:textId="77777777" w:rsidR="009432F3" w:rsidRDefault="00943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9E2A97" w:rsidRPr="008217B7" w:rsidRDefault="009E2A97"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1241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12417">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5FD1A7C9" w:rsidR="009E2A97" w:rsidRDefault="009E2A97"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9E2A97" w:rsidRDefault="009E2A97" w:rsidP="007B0854">
    <w:pPr>
      <w:pStyle w:val="Piedepgina"/>
      <w:jc w:val="center"/>
      <w:rPr>
        <w:lang w:val="es-ES"/>
      </w:rPr>
    </w:pPr>
  </w:p>
  <w:p w14:paraId="6C0EFC49" w14:textId="77777777" w:rsidR="009E2A97" w:rsidRPr="007B0854" w:rsidRDefault="009E2A9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6E92" w14:textId="77777777" w:rsidR="009432F3" w:rsidRDefault="009432F3">
      <w:r>
        <w:separator/>
      </w:r>
    </w:p>
  </w:footnote>
  <w:footnote w:type="continuationSeparator" w:id="0">
    <w:p w14:paraId="351F4FF8" w14:textId="77777777" w:rsidR="009432F3" w:rsidRDefault="009432F3">
      <w:r>
        <w:continuationSeparator/>
      </w:r>
    </w:p>
  </w:footnote>
  <w:footnote w:type="continuationNotice" w:id="1">
    <w:p w14:paraId="2D8D56CC" w14:textId="77777777" w:rsidR="009432F3" w:rsidRDefault="009432F3"/>
  </w:footnote>
  <w:footnote w:id="2">
    <w:p w14:paraId="185B1530" w14:textId="77777777" w:rsidR="009E2A97" w:rsidRPr="00C36C58" w:rsidRDefault="009E2A97" w:rsidP="00E84F83">
      <w:pPr>
        <w:pStyle w:val="Textonotapie"/>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794893B2" w14:textId="77777777" w:rsidR="009E2A97" w:rsidRPr="00C36C58" w:rsidRDefault="009E2A97" w:rsidP="00E84F83">
      <w:pPr>
        <w:pStyle w:val="Textonotapie"/>
        <w:ind w:firstLine="709"/>
        <w:jc w:val="both"/>
        <w:rPr>
          <w:rFonts w:ascii="Arial" w:eastAsia="Calibri" w:hAnsi="Arial" w:cs="Arial"/>
          <w:color w:val="000000" w:themeColor="text1"/>
          <w:sz w:val="19"/>
          <w:szCs w:val="19"/>
          <w:lang w:val="es-CO"/>
        </w:rPr>
      </w:pPr>
      <w:proofErr w:type="gramStart"/>
      <w:r w:rsidRPr="00C36C58">
        <w:rPr>
          <w:rFonts w:ascii="Arial" w:hAnsi="Arial" w:cs="Arial"/>
          <w:color w:val="000000" w:themeColor="text1"/>
          <w:sz w:val="19"/>
          <w:szCs w:val="19"/>
        </w:rPr>
        <w:t>»Las</w:t>
      </w:r>
      <w:proofErr w:type="gramEnd"/>
      <w:r w:rsidRPr="00C36C58">
        <w:rPr>
          <w:rFonts w:ascii="Arial" w:hAnsi="Arial" w:cs="Arial"/>
          <w:color w:val="000000" w:themeColor="text1"/>
          <w:sz w:val="19"/>
          <w:szCs w:val="19"/>
        </w:rPr>
        <w:t xml:space="preserve"> personas jurídicas nacionales y extranjeras deberán acreditar que su duración no será inferior a la del plazo del contrato y un año más».</w:t>
      </w:r>
    </w:p>
    <w:p w14:paraId="70571BE2" w14:textId="77777777" w:rsidR="009E2A97" w:rsidRPr="00C36C58" w:rsidRDefault="009E2A97" w:rsidP="00E84F83">
      <w:pPr>
        <w:pStyle w:val="Textonotapie"/>
        <w:ind w:firstLine="709"/>
        <w:jc w:val="both"/>
        <w:rPr>
          <w:rFonts w:ascii="Arial" w:hAnsi="Arial" w:cs="Arial"/>
          <w:color w:val="000000" w:themeColor="text1"/>
          <w:sz w:val="19"/>
          <w:szCs w:val="19"/>
        </w:rPr>
      </w:pPr>
    </w:p>
  </w:footnote>
  <w:footnote w:id="3">
    <w:p w14:paraId="58D58FA2" w14:textId="77777777" w:rsidR="009E2A97" w:rsidRPr="00C36C58" w:rsidRDefault="009E2A97" w:rsidP="00E84F83">
      <w:pPr>
        <w:pStyle w:val="Textonotapie"/>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El artículo 1502 del Código Civil prevé la capacidad legal como requisito para obligarse contractualmente, en los siguientes términos: «Para que una persona se obligue a otra por un acto o declaración de voluntad, es necesario:</w:t>
      </w:r>
    </w:p>
    <w:p w14:paraId="13F40E4C" w14:textId="77777777" w:rsidR="009E2A97" w:rsidRPr="00C36C58" w:rsidRDefault="009E2A97" w:rsidP="00E84F83">
      <w:pPr>
        <w:pStyle w:val="Textonotapie"/>
        <w:ind w:firstLine="709"/>
        <w:jc w:val="both"/>
        <w:rPr>
          <w:rFonts w:ascii="Arial" w:hAnsi="Arial" w:cs="Arial"/>
          <w:color w:val="000000" w:themeColor="text1"/>
          <w:sz w:val="19"/>
          <w:szCs w:val="19"/>
        </w:rPr>
      </w:pPr>
      <w:proofErr w:type="gramStart"/>
      <w:r w:rsidRPr="00C36C58">
        <w:rPr>
          <w:rFonts w:ascii="Arial" w:hAnsi="Arial" w:cs="Arial"/>
          <w:color w:val="000000" w:themeColor="text1"/>
          <w:sz w:val="19"/>
          <w:szCs w:val="19"/>
        </w:rPr>
        <w:t>»1o.</w:t>
      </w:r>
      <w:proofErr w:type="gramEnd"/>
      <w:r w:rsidRPr="00C36C58">
        <w:rPr>
          <w:rFonts w:ascii="Arial" w:hAnsi="Arial" w:cs="Arial"/>
          <w:color w:val="000000" w:themeColor="text1"/>
          <w:sz w:val="19"/>
          <w:szCs w:val="19"/>
        </w:rPr>
        <w:t>) que sea legalmente capaz.</w:t>
      </w:r>
    </w:p>
    <w:p w14:paraId="14D54849" w14:textId="77777777" w:rsidR="009E2A97" w:rsidRPr="00C36C58" w:rsidRDefault="009E2A97" w:rsidP="00E84F83">
      <w:pPr>
        <w:pStyle w:val="Textonotapie"/>
        <w:ind w:firstLine="709"/>
        <w:jc w:val="both"/>
        <w:rPr>
          <w:rFonts w:ascii="Arial" w:hAnsi="Arial" w:cs="Arial"/>
          <w:color w:val="000000" w:themeColor="text1"/>
          <w:sz w:val="19"/>
          <w:szCs w:val="19"/>
        </w:rPr>
      </w:pPr>
      <w:r w:rsidRPr="00C36C58">
        <w:rPr>
          <w:rFonts w:ascii="Arial" w:hAnsi="Arial" w:cs="Arial"/>
          <w:color w:val="000000" w:themeColor="text1"/>
          <w:sz w:val="19"/>
          <w:szCs w:val="19"/>
        </w:rPr>
        <w:t>[…]</w:t>
      </w:r>
    </w:p>
    <w:p w14:paraId="5542E7B8" w14:textId="77777777" w:rsidR="009E2A97" w:rsidRPr="00C36C58" w:rsidRDefault="009E2A97" w:rsidP="00E84F83">
      <w:pPr>
        <w:pStyle w:val="Textonotapie"/>
        <w:ind w:firstLine="709"/>
        <w:jc w:val="both"/>
        <w:rPr>
          <w:rFonts w:ascii="Arial" w:hAnsi="Arial" w:cs="Arial"/>
          <w:color w:val="000000" w:themeColor="text1"/>
          <w:sz w:val="19"/>
          <w:szCs w:val="19"/>
        </w:rPr>
      </w:pPr>
      <w:proofErr w:type="gramStart"/>
      <w:r w:rsidRPr="00C36C58">
        <w:rPr>
          <w:rFonts w:ascii="Arial" w:hAnsi="Arial" w:cs="Arial"/>
          <w:color w:val="000000" w:themeColor="text1"/>
          <w:sz w:val="19"/>
          <w:szCs w:val="19"/>
        </w:rPr>
        <w:t>»La</w:t>
      </w:r>
      <w:proofErr w:type="gramEnd"/>
      <w:r w:rsidRPr="00C36C58">
        <w:rPr>
          <w:rFonts w:ascii="Arial" w:hAnsi="Arial" w:cs="Arial"/>
          <w:color w:val="000000" w:themeColor="text1"/>
          <w:sz w:val="19"/>
          <w:szCs w:val="19"/>
        </w:rPr>
        <w:t xml:space="preserve"> capacidad legal de una persona consiste en poderse obligar por sí misma, sin el ministerio o la autorización de otra».</w:t>
      </w:r>
    </w:p>
    <w:p w14:paraId="02C05776" w14:textId="77777777" w:rsidR="009E2A97" w:rsidRPr="00C36C58" w:rsidRDefault="009E2A97" w:rsidP="00E84F83">
      <w:pPr>
        <w:pStyle w:val="Textonotapie"/>
        <w:ind w:firstLine="709"/>
        <w:jc w:val="both"/>
        <w:rPr>
          <w:rFonts w:ascii="Arial" w:hAnsi="Arial" w:cs="Arial"/>
          <w:color w:val="000000" w:themeColor="text1"/>
          <w:sz w:val="19"/>
          <w:szCs w:val="19"/>
        </w:rPr>
      </w:pPr>
    </w:p>
  </w:footnote>
  <w:footnote w:id="4">
    <w:p w14:paraId="27E806A3"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color w:val="000000" w:themeColor="text1"/>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C36C58">
        <w:rPr>
          <w:rFonts w:ascii="Arial" w:hAnsi="Arial" w:cs="Arial"/>
          <w:i/>
          <w:iCs/>
          <w:color w:val="000000" w:themeColor="text1"/>
          <w:sz w:val="19"/>
          <w:szCs w:val="19"/>
          <w:lang w:val="es-ES"/>
        </w:rPr>
        <w:t>el régimen de inhabilidades e incompatibilidades</w:t>
      </w:r>
      <w:r w:rsidRPr="00C36C58">
        <w:rPr>
          <w:rFonts w:ascii="Arial" w:hAnsi="Arial" w:cs="Arial"/>
          <w:color w:val="000000" w:themeColor="text1"/>
          <w:sz w:val="19"/>
          <w:szCs w:val="19"/>
          <w:lang w:val="es-ES"/>
        </w:rPr>
        <w:t xml:space="preserve"> (1) y la obligación de ciertos proponentes de inscribirse en el </w:t>
      </w:r>
      <w:r w:rsidRPr="00C36C58">
        <w:rPr>
          <w:rFonts w:ascii="Arial" w:hAnsi="Arial" w:cs="Arial"/>
          <w:i/>
          <w:iCs/>
          <w:color w:val="000000" w:themeColor="text1"/>
          <w:sz w:val="19"/>
          <w:szCs w:val="19"/>
          <w:lang w:val="es-ES"/>
        </w:rPr>
        <w:t>registro único</w:t>
      </w:r>
      <w:r w:rsidRPr="00C36C58">
        <w:rPr>
          <w:rFonts w:ascii="Arial" w:hAnsi="Arial" w:cs="Arial"/>
          <w:color w:val="000000" w:themeColor="text1"/>
          <w:sz w:val="19"/>
          <w:szCs w:val="19"/>
          <w:lang w:val="es-ES"/>
        </w:rPr>
        <w:t xml:space="preserve"> (2)» (BENAVIDES, José Luis. El contrato estatal. Entre el Derecho público y el Derecho privado. 2ª ed. Bogotá: Universidad Externado de Colombia, 2004. p. 278). </w:t>
      </w:r>
    </w:p>
    <w:p w14:paraId="0B535A9C"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p>
  </w:footnote>
  <w:footnote w:id="5">
    <w:p w14:paraId="17C7D06A"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color w:val="000000" w:themeColor="text1"/>
          <w:sz w:val="19"/>
          <w:szCs w:val="19"/>
          <w:lang w:val="es-ES"/>
        </w:rPr>
        <w:t xml:space="preserve">BARRETO MORENO, Antonio Alejandro. Inhabilidades de la contratación estatal, efectos y </w:t>
      </w:r>
      <w:proofErr w:type="spellStart"/>
      <w:r w:rsidRPr="00C36C58">
        <w:rPr>
          <w:rFonts w:ascii="Arial" w:hAnsi="Arial" w:cs="Arial"/>
          <w:color w:val="000000" w:themeColor="text1"/>
          <w:sz w:val="19"/>
          <w:szCs w:val="19"/>
          <w:lang w:val="es-ES"/>
        </w:rPr>
        <w:t>neopunitivismo</w:t>
      </w:r>
      <w:proofErr w:type="spellEnd"/>
      <w:r w:rsidRPr="00C36C58">
        <w:rPr>
          <w:rFonts w:ascii="Arial" w:hAnsi="Arial" w:cs="Arial"/>
          <w:color w:val="000000" w:themeColor="text1"/>
          <w:sz w:val="19"/>
          <w:szCs w:val="19"/>
          <w:lang w:val="es-ES"/>
        </w:rPr>
        <w:t xml:space="preserve"> en el Estatuto Anticorrupción. En: ALVIAR GARCÍA, Helena (Coordinadora). Nuevas tendencias del Derecho administrativo. Bogotá: Universidad de los Andes; Temis, 2016. pp. 63-99.</w:t>
      </w:r>
    </w:p>
    <w:p w14:paraId="67933FC2"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p>
  </w:footnote>
  <w:footnote w:id="6">
    <w:p w14:paraId="1701D9BC"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proofErr w:type="spellStart"/>
      <w:r w:rsidRPr="00C36C58">
        <w:rPr>
          <w:rFonts w:ascii="Arial" w:hAnsi="Arial" w:cs="Arial"/>
          <w:color w:val="000000" w:themeColor="text1"/>
          <w:sz w:val="19"/>
          <w:szCs w:val="19"/>
          <w:lang w:val="es-ES"/>
        </w:rPr>
        <w:t>Ibíd</w:t>
      </w:r>
      <w:proofErr w:type="spellEnd"/>
      <w:r w:rsidRPr="00C36C58">
        <w:rPr>
          <w:rFonts w:ascii="Arial" w:hAnsi="Arial" w:cs="Arial"/>
          <w:color w:val="000000" w:themeColor="text1"/>
          <w:sz w:val="19"/>
          <w:szCs w:val="19"/>
          <w:lang w:val="es-ES"/>
        </w:rPr>
        <w:t>., p. 69.</w:t>
      </w:r>
    </w:p>
    <w:p w14:paraId="3D0AB61F"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p>
  </w:footnote>
  <w:footnote w:id="7">
    <w:p w14:paraId="5EF99F46"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color w:val="000000" w:themeColor="text1"/>
          <w:sz w:val="19"/>
          <w:szCs w:val="19"/>
          <w:lang w:val="es-ES"/>
        </w:rPr>
        <w:t>Corte Constitucional. Sentencia T-1039 de 2006. Magistrado Ponente: Humberto Sierra Porto. La Corte ha mantenido este criterio en las sentencias: C-903 de 2008. Magistrado Ponente: Jaime Araujo Rentería; C-101 de 2018. Magistrada Ponente Gloria Stella Ortiz Delgado; entre otras.</w:t>
      </w:r>
    </w:p>
    <w:p w14:paraId="29601C5E"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p>
  </w:footnote>
  <w:footnote w:id="8">
    <w:p w14:paraId="672D171D"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color w:val="000000" w:themeColor="text1"/>
          <w:sz w:val="19"/>
          <w:szCs w:val="19"/>
          <w:lang w:val="es-ES"/>
        </w:rPr>
        <w:t xml:space="preserve">Consejo de Estado. Sala de Consulta y Servicio Civil. Concepto del 30 de abril de 2015. Expediente: 2251. Consejero Ponente: Álvaro </w:t>
      </w:r>
      <w:proofErr w:type="spellStart"/>
      <w:r w:rsidRPr="00C36C58">
        <w:rPr>
          <w:rFonts w:ascii="Arial" w:hAnsi="Arial" w:cs="Arial"/>
          <w:color w:val="000000" w:themeColor="text1"/>
          <w:sz w:val="19"/>
          <w:szCs w:val="19"/>
          <w:lang w:val="es-ES"/>
        </w:rPr>
        <w:t>Namén</w:t>
      </w:r>
      <w:proofErr w:type="spellEnd"/>
      <w:r w:rsidRPr="00C36C58">
        <w:rPr>
          <w:rFonts w:ascii="Arial" w:hAnsi="Arial" w:cs="Arial"/>
          <w:color w:val="000000" w:themeColor="text1"/>
          <w:sz w:val="19"/>
          <w:szCs w:val="19"/>
          <w:lang w:val="es-ES"/>
        </w:rPr>
        <w:t xml:space="preserve"> Vargas.</w:t>
      </w:r>
    </w:p>
    <w:p w14:paraId="47DCB2FD"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p>
  </w:footnote>
  <w:footnote w:id="9">
    <w:p w14:paraId="78CB6C9F" w14:textId="77777777" w:rsidR="009E2A97" w:rsidRPr="00C36C58" w:rsidRDefault="009E2A97" w:rsidP="00E84F83">
      <w:pPr>
        <w:pStyle w:val="Textonotapie"/>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Consejo de Estado. Sección Tercera. Subsección A. Sentencia del 24 de junio de 2015. </w:t>
      </w:r>
      <w:proofErr w:type="spellStart"/>
      <w:r w:rsidRPr="00C36C58">
        <w:rPr>
          <w:rFonts w:ascii="Arial" w:hAnsi="Arial" w:cs="Arial"/>
          <w:color w:val="000000" w:themeColor="text1"/>
          <w:sz w:val="19"/>
          <w:szCs w:val="19"/>
        </w:rPr>
        <w:t>Exp</w:t>
      </w:r>
      <w:proofErr w:type="spellEnd"/>
      <w:r w:rsidRPr="00C36C58">
        <w:rPr>
          <w:rFonts w:ascii="Arial" w:hAnsi="Arial" w:cs="Arial"/>
          <w:color w:val="000000" w:themeColor="text1"/>
          <w:sz w:val="19"/>
          <w:szCs w:val="19"/>
        </w:rPr>
        <w:t>. 40.635. Consejero Ponente: Hernán Andrade Rincón (E).</w:t>
      </w:r>
    </w:p>
    <w:p w14:paraId="2F13125D"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p>
  </w:footnote>
  <w:footnote w:id="10">
    <w:p w14:paraId="09B44458" w14:textId="77777777" w:rsidR="009E2A97" w:rsidRDefault="009E2A97" w:rsidP="00E84F83">
      <w:pPr>
        <w:pStyle w:val="Textonotapie"/>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Consejo de Estado. Sección Tercera. Subsección C. Sentencia del 22 de mayo de 2013. </w:t>
      </w:r>
      <w:proofErr w:type="spellStart"/>
      <w:r w:rsidRPr="00C36C58">
        <w:rPr>
          <w:rFonts w:ascii="Arial" w:hAnsi="Arial" w:cs="Arial"/>
          <w:color w:val="000000" w:themeColor="text1"/>
          <w:sz w:val="19"/>
          <w:szCs w:val="19"/>
        </w:rPr>
        <w:t>Exp</w:t>
      </w:r>
      <w:proofErr w:type="spellEnd"/>
      <w:r w:rsidRPr="00C36C58">
        <w:rPr>
          <w:rFonts w:ascii="Arial" w:hAnsi="Arial" w:cs="Arial"/>
          <w:color w:val="000000" w:themeColor="text1"/>
          <w:sz w:val="19"/>
          <w:szCs w:val="19"/>
        </w:rPr>
        <w:t xml:space="preserve">. 24.057. Consejera Ponente: Olga </w:t>
      </w:r>
      <w:proofErr w:type="spellStart"/>
      <w:r w:rsidRPr="00C36C58">
        <w:rPr>
          <w:rFonts w:ascii="Arial" w:hAnsi="Arial" w:cs="Arial"/>
          <w:color w:val="000000" w:themeColor="text1"/>
          <w:sz w:val="19"/>
          <w:szCs w:val="19"/>
        </w:rPr>
        <w:t>Melida</w:t>
      </w:r>
      <w:proofErr w:type="spellEnd"/>
      <w:r w:rsidRPr="00C36C58">
        <w:rPr>
          <w:rFonts w:ascii="Arial" w:hAnsi="Arial" w:cs="Arial"/>
          <w:color w:val="000000" w:themeColor="text1"/>
          <w:sz w:val="19"/>
          <w:szCs w:val="19"/>
        </w:rPr>
        <w:t xml:space="preserve"> Valle De </w:t>
      </w:r>
      <w:proofErr w:type="spellStart"/>
      <w:r w:rsidRPr="00C36C58">
        <w:rPr>
          <w:rFonts w:ascii="Arial" w:hAnsi="Arial" w:cs="Arial"/>
          <w:color w:val="000000" w:themeColor="text1"/>
          <w:sz w:val="19"/>
          <w:szCs w:val="19"/>
        </w:rPr>
        <w:t>De</w:t>
      </w:r>
      <w:proofErr w:type="spellEnd"/>
      <w:r w:rsidRPr="00C36C58">
        <w:rPr>
          <w:rFonts w:ascii="Arial" w:hAnsi="Arial" w:cs="Arial"/>
          <w:color w:val="000000" w:themeColor="text1"/>
          <w:sz w:val="19"/>
          <w:szCs w:val="19"/>
        </w:rPr>
        <w:t xml:space="preserve"> La Hoz.</w:t>
      </w:r>
    </w:p>
    <w:p w14:paraId="63AE8D2D"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p>
  </w:footnote>
  <w:footnote w:id="11">
    <w:p w14:paraId="3A6AF3CE" w14:textId="77777777" w:rsidR="009E2A97" w:rsidRPr="00C36C58" w:rsidRDefault="009E2A97" w:rsidP="00E84F83">
      <w:pPr>
        <w:pStyle w:val="Textonotapie"/>
        <w:ind w:firstLine="708"/>
        <w:jc w:val="both"/>
        <w:rPr>
          <w:rFonts w:ascii="Arial" w:hAnsi="Arial" w:cs="Arial"/>
          <w:color w:val="000000" w:themeColor="text1"/>
          <w:sz w:val="19"/>
          <w:szCs w:val="19"/>
          <w:lang w:val="es-CO"/>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i/>
          <w:iCs/>
          <w:color w:val="000000" w:themeColor="text1"/>
          <w:sz w:val="19"/>
          <w:szCs w:val="19"/>
        </w:rPr>
        <w:t>Ibid</w:t>
      </w:r>
      <w:r w:rsidRPr="00C36C58">
        <w:rPr>
          <w:rFonts w:ascii="Arial" w:hAnsi="Arial" w:cs="Arial"/>
          <w:color w:val="000000" w:themeColor="text1"/>
          <w:sz w:val="19"/>
          <w:szCs w:val="19"/>
        </w:rPr>
        <w:t xml:space="preserve">. </w:t>
      </w:r>
    </w:p>
    <w:p w14:paraId="3417F45D" w14:textId="77777777" w:rsidR="009E2A97" w:rsidRPr="00C36C58" w:rsidRDefault="009E2A97" w:rsidP="00E84F83">
      <w:pPr>
        <w:pStyle w:val="Textonotapie"/>
        <w:ind w:firstLine="708"/>
        <w:jc w:val="both"/>
        <w:rPr>
          <w:rFonts w:ascii="Arial" w:hAnsi="Arial" w:cs="Arial"/>
          <w:color w:val="000000" w:themeColor="text1"/>
          <w:sz w:val="19"/>
          <w:szCs w:val="19"/>
        </w:rPr>
      </w:pPr>
    </w:p>
  </w:footnote>
  <w:footnote w:id="12">
    <w:p w14:paraId="1606550D" w14:textId="7981E559" w:rsidR="009E2A97" w:rsidRDefault="009E2A97" w:rsidP="00E84F83">
      <w:pPr>
        <w:pStyle w:val="Textonotapie"/>
        <w:ind w:firstLine="708"/>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E520F">
        <w:rPr>
          <w:rFonts w:ascii="Arial" w:hAnsi="Arial" w:cs="Arial"/>
          <w:color w:val="000000" w:themeColor="text1"/>
          <w:sz w:val="19"/>
          <w:szCs w:val="19"/>
          <w:lang w:val="es-ES"/>
        </w:rPr>
        <w:t xml:space="preserve">  Cfr. </w:t>
      </w:r>
      <w:r w:rsidR="00D72699" w:rsidRPr="00CE520F">
        <w:rPr>
          <w:rFonts w:ascii="Arial" w:hAnsi="Arial" w:cs="Arial"/>
          <w:color w:val="000000" w:themeColor="text1"/>
          <w:sz w:val="19"/>
          <w:szCs w:val="19"/>
          <w:lang w:val="es-ES"/>
        </w:rPr>
        <w:t xml:space="preserve">Corte Constitucional. </w:t>
      </w:r>
      <w:r w:rsidRPr="00CE520F">
        <w:rPr>
          <w:rFonts w:ascii="Arial" w:hAnsi="Arial" w:cs="Arial"/>
          <w:color w:val="000000" w:themeColor="text1"/>
          <w:sz w:val="19"/>
          <w:szCs w:val="19"/>
          <w:lang w:val="es-ES"/>
        </w:rPr>
        <w:t xml:space="preserve">Sentencia C-780 de 2001. </w:t>
      </w:r>
      <w:r w:rsidRPr="00C36C58">
        <w:rPr>
          <w:rFonts w:ascii="Arial" w:hAnsi="Arial" w:cs="Arial"/>
          <w:color w:val="000000" w:themeColor="text1"/>
          <w:sz w:val="19"/>
          <w:szCs w:val="19"/>
        </w:rPr>
        <w:t>M.P. Jaime Córdoba Triviño.</w:t>
      </w:r>
    </w:p>
    <w:p w14:paraId="0BF98F38" w14:textId="77777777" w:rsidR="009E2A97" w:rsidRPr="00C36C58" w:rsidRDefault="009E2A97" w:rsidP="00E84F83">
      <w:pPr>
        <w:pStyle w:val="Textonotapie"/>
        <w:ind w:firstLine="708"/>
        <w:jc w:val="both"/>
        <w:rPr>
          <w:rFonts w:ascii="Arial" w:hAnsi="Arial" w:cs="Arial"/>
          <w:color w:val="000000" w:themeColor="text1"/>
          <w:sz w:val="19"/>
          <w:szCs w:val="19"/>
        </w:rPr>
      </w:pPr>
      <w:r w:rsidRPr="00C36C58">
        <w:rPr>
          <w:rFonts w:ascii="Arial" w:hAnsi="Arial" w:cs="Arial"/>
          <w:color w:val="000000" w:themeColor="text1"/>
          <w:sz w:val="19"/>
          <w:szCs w:val="19"/>
        </w:rPr>
        <w:t xml:space="preserve"> </w:t>
      </w:r>
    </w:p>
  </w:footnote>
  <w:footnote w:id="13">
    <w:p w14:paraId="36B96B29" w14:textId="1F45F4EC" w:rsidR="00B51729" w:rsidRDefault="00B51729" w:rsidP="00B51729">
      <w:pPr>
        <w:pStyle w:val="Textonotapie"/>
        <w:ind w:firstLine="709"/>
        <w:jc w:val="both"/>
        <w:rPr>
          <w:rFonts w:ascii="Arial" w:hAnsi="Arial" w:cs="Arial"/>
          <w:sz w:val="19"/>
          <w:szCs w:val="19"/>
        </w:rPr>
      </w:pPr>
      <w:r>
        <w:rPr>
          <w:rStyle w:val="Refdenotaalpie"/>
        </w:rPr>
        <w:footnoteRef/>
      </w:r>
      <w:r>
        <w:t xml:space="preserve"> </w:t>
      </w:r>
      <w:r w:rsidRPr="003B1E57">
        <w:rPr>
          <w:rFonts w:ascii="Arial" w:hAnsi="Arial" w:cs="Arial"/>
          <w:sz w:val="19"/>
          <w:szCs w:val="19"/>
        </w:rPr>
        <w:t>Corte Constitucional</w:t>
      </w:r>
      <w:r>
        <w:rPr>
          <w:rFonts w:ascii="Arial" w:hAnsi="Arial" w:cs="Arial"/>
          <w:sz w:val="19"/>
          <w:szCs w:val="19"/>
        </w:rPr>
        <w:t>. Sentencia C-106 del 31 de octubre de 2018. M.P. Alejandro Linares Cantillo.</w:t>
      </w:r>
    </w:p>
    <w:p w14:paraId="0FB450A4" w14:textId="77777777" w:rsidR="00B51729" w:rsidRPr="00B51729" w:rsidRDefault="00B51729" w:rsidP="00B51729">
      <w:pPr>
        <w:pStyle w:val="Textonotapie"/>
        <w:ind w:firstLine="709"/>
        <w:rPr>
          <w:lang w:val="es-CO"/>
        </w:rPr>
      </w:pPr>
    </w:p>
  </w:footnote>
  <w:footnote w:id="14">
    <w:p w14:paraId="2B578DDE" w14:textId="77777777" w:rsidR="00885107" w:rsidRDefault="00885107" w:rsidP="00885107">
      <w:pPr>
        <w:pStyle w:val="Textonotapie"/>
        <w:ind w:firstLine="709"/>
        <w:rPr>
          <w:rFonts w:ascii="Arial" w:hAnsi="Arial" w:cs="Arial"/>
          <w:sz w:val="19"/>
          <w:szCs w:val="19"/>
          <w:lang w:val="es-CO"/>
        </w:rPr>
      </w:pPr>
      <w:r>
        <w:rPr>
          <w:rStyle w:val="Refdenotaalpie"/>
        </w:rPr>
        <w:footnoteRef/>
      </w:r>
      <w:r w:rsidRPr="00885107">
        <w:rPr>
          <w:rFonts w:ascii="Arial" w:hAnsi="Arial" w:cs="Arial"/>
          <w:sz w:val="19"/>
          <w:szCs w:val="19"/>
        </w:rPr>
        <w:t xml:space="preserve"> </w:t>
      </w:r>
      <w:proofErr w:type="spellStart"/>
      <w:r w:rsidRPr="00885107">
        <w:rPr>
          <w:rFonts w:ascii="Arial" w:hAnsi="Arial" w:cs="Arial"/>
          <w:sz w:val="19"/>
          <w:szCs w:val="19"/>
          <w:lang w:val="es-CO"/>
        </w:rPr>
        <w:t>Ibídem</w:t>
      </w:r>
      <w:proofErr w:type="spellEnd"/>
    </w:p>
    <w:p w14:paraId="18E3B193" w14:textId="5D76A2FC" w:rsidR="00885107" w:rsidRPr="00885107" w:rsidRDefault="00885107" w:rsidP="00885107">
      <w:pPr>
        <w:pStyle w:val="Textonotapie"/>
        <w:ind w:firstLine="709"/>
        <w:rPr>
          <w:lang w:val="es-CO"/>
        </w:rPr>
      </w:pPr>
      <w:r>
        <w:rPr>
          <w:lang w:val="es-CO"/>
        </w:rPr>
        <w:t xml:space="preserve"> </w:t>
      </w:r>
    </w:p>
  </w:footnote>
  <w:footnote w:id="15">
    <w:p w14:paraId="1F58ED2F" w14:textId="77777777" w:rsidR="009E2156" w:rsidRPr="00E55B08" w:rsidRDefault="009E2156" w:rsidP="009E2156">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Código Civil: «Artículo 113. Definición. El matrimonio es un contrato solemne por el cual un hombre y una mujer se unen con el fin de vivir juntos, de procrear y de auxiliarse mutuamente».</w:t>
      </w:r>
    </w:p>
    <w:p w14:paraId="318FE051" w14:textId="77777777" w:rsidR="009E2156" w:rsidRPr="00E55B08" w:rsidRDefault="009E2156" w:rsidP="009E2156">
      <w:pPr>
        <w:pStyle w:val="Textonotapie"/>
        <w:ind w:firstLine="709"/>
        <w:jc w:val="both"/>
        <w:rPr>
          <w:rFonts w:ascii="Arial" w:hAnsi="Arial" w:cs="Arial"/>
          <w:sz w:val="19"/>
          <w:szCs w:val="19"/>
          <w:lang w:val="es-CO"/>
        </w:rPr>
      </w:pPr>
    </w:p>
  </w:footnote>
  <w:footnote w:id="16">
    <w:p w14:paraId="779D5EC3" w14:textId="77777777" w:rsidR="009E2156" w:rsidRPr="00E55B08" w:rsidRDefault="009E2156" w:rsidP="009E2156">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Ley 54 de 1990: «Artículo 1. A partir de la vigencia de la presente Ley y para todos los efectos civiles, se denomina Unión Marital de Hecho, la formada entre un hombre y una mujer, </w:t>
      </w:r>
      <w:proofErr w:type="gramStart"/>
      <w:r w:rsidRPr="00E55B08">
        <w:rPr>
          <w:rFonts w:ascii="Arial" w:hAnsi="Arial" w:cs="Arial"/>
          <w:sz w:val="19"/>
          <w:szCs w:val="19"/>
        </w:rPr>
        <w:t>que</w:t>
      </w:r>
      <w:proofErr w:type="gramEnd"/>
      <w:r w:rsidRPr="00E55B08">
        <w:rPr>
          <w:rFonts w:ascii="Arial" w:hAnsi="Arial" w:cs="Arial"/>
          <w:sz w:val="19"/>
          <w:szCs w:val="19"/>
        </w:rPr>
        <w:t xml:space="preserve"> sin estar casados, hacen una comunidad de vida permanente y singular.</w:t>
      </w:r>
    </w:p>
    <w:p w14:paraId="6B4948C9" w14:textId="77777777" w:rsidR="009E2156" w:rsidRPr="00E55B08" w:rsidRDefault="009E2156" w:rsidP="009E2156">
      <w:pPr>
        <w:pStyle w:val="Textonotapie"/>
        <w:ind w:firstLine="709"/>
        <w:jc w:val="both"/>
        <w:rPr>
          <w:rFonts w:ascii="Arial" w:hAnsi="Arial" w:cs="Arial"/>
          <w:sz w:val="19"/>
          <w:szCs w:val="19"/>
        </w:rPr>
      </w:pPr>
      <w:proofErr w:type="gramStart"/>
      <w:r w:rsidRPr="00E55B08">
        <w:rPr>
          <w:rFonts w:ascii="Arial" w:hAnsi="Arial" w:cs="Arial"/>
          <w:sz w:val="19"/>
          <w:szCs w:val="19"/>
        </w:rPr>
        <w:t>»Igualmente</w:t>
      </w:r>
      <w:proofErr w:type="gramEnd"/>
      <w:r w:rsidRPr="00E55B08">
        <w:rPr>
          <w:rFonts w:ascii="Arial" w:hAnsi="Arial" w:cs="Arial"/>
          <w:sz w:val="19"/>
          <w:szCs w:val="19"/>
        </w:rPr>
        <w:t>, y para todos los efectos civiles, se denominan compañero y compañera permanente, al hombre y la mujer que forman parte de la unión marital de hecho».</w:t>
      </w:r>
    </w:p>
    <w:p w14:paraId="757A413A" w14:textId="77777777" w:rsidR="009E2156" w:rsidRPr="00E55B08" w:rsidRDefault="009E2156" w:rsidP="009E2156">
      <w:pPr>
        <w:pStyle w:val="Textonotapie"/>
        <w:ind w:firstLine="709"/>
        <w:jc w:val="both"/>
        <w:rPr>
          <w:rFonts w:ascii="Arial" w:hAnsi="Arial" w:cs="Arial"/>
          <w:sz w:val="19"/>
          <w:szCs w:val="19"/>
          <w:lang w:val="es-CO"/>
        </w:rPr>
      </w:pPr>
    </w:p>
  </w:footnote>
  <w:footnote w:id="17">
    <w:p w14:paraId="6E2531CC" w14:textId="0422A8EB" w:rsidR="009E2156" w:rsidRPr="00933447" w:rsidRDefault="009E2156" w:rsidP="009E2156">
      <w:pPr>
        <w:pStyle w:val="Textonotapie"/>
        <w:ind w:firstLine="709"/>
        <w:jc w:val="both"/>
        <w:rPr>
          <w:rFonts w:ascii="Arial" w:hAnsi="Arial" w:cs="Arial"/>
          <w:sz w:val="19"/>
          <w:szCs w:val="19"/>
          <w:lang w:val="pt-BR"/>
        </w:rPr>
      </w:pPr>
      <w:r w:rsidRPr="00E55B08">
        <w:rPr>
          <w:rStyle w:val="Refdenotaalpie"/>
          <w:rFonts w:ascii="Arial" w:hAnsi="Arial" w:cs="Arial"/>
          <w:sz w:val="19"/>
          <w:szCs w:val="19"/>
        </w:rPr>
        <w:footnoteRef/>
      </w:r>
      <w:r w:rsidRPr="00933447">
        <w:rPr>
          <w:rFonts w:ascii="Arial" w:hAnsi="Arial" w:cs="Arial"/>
          <w:sz w:val="19"/>
          <w:szCs w:val="19"/>
          <w:lang w:val="pt-BR"/>
        </w:rPr>
        <w:t xml:space="preserve"> </w:t>
      </w:r>
      <w:r w:rsidR="00D72699" w:rsidRPr="00933447">
        <w:rPr>
          <w:rFonts w:ascii="Arial" w:hAnsi="Arial" w:cs="Arial"/>
          <w:sz w:val="19"/>
          <w:szCs w:val="19"/>
          <w:lang w:val="pt-BR"/>
        </w:rPr>
        <w:t>Corte Constitucional</w:t>
      </w:r>
      <w:r w:rsidRPr="00933447">
        <w:rPr>
          <w:rFonts w:ascii="Arial" w:hAnsi="Arial" w:cs="Arial"/>
          <w:sz w:val="19"/>
          <w:szCs w:val="19"/>
          <w:lang w:val="pt-BR"/>
        </w:rPr>
        <w:t>. Sentencia C-029 de 2009. M.P. Rodrigo Escobar Gil.</w:t>
      </w:r>
    </w:p>
    <w:p w14:paraId="23F45653" w14:textId="77777777" w:rsidR="009E2156" w:rsidRPr="00933447" w:rsidRDefault="009E2156" w:rsidP="009E2156">
      <w:pPr>
        <w:pStyle w:val="Textonotapie"/>
        <w:ind w:firstLine="709"/>
        <w:jc w:val="both"/>
        <w:rPr>
          <w:rFonts w:ascii="Arial" w:hAnsi="Arial" w:cs="Arial"/>
          <w:sz w:val="19"/>
          <w:szCs w:val="19"/>
          <w:lang w:val="pt-BR"/>
        </w:rPr>
      </w:pPr>
    </w:p>
  </w:footnote>
  <w:footnote w:id="18">
    <w:p w14:paraId="6FA06153" w14:textId="03F1268D" w:rsidR="009E2156" w:rsidRPr="00933447" w:rsidRDefault="009E2156" w:rsidP="009E2156">
      <w:pPr>
        <w:pStyle w:val="Textonotapie"/>
        <w:ind w:firstLine="709"/>
        <w:jc w:val="both"/>
        <w:rPr>
          <w:rFonts w:ascii="Arial" w:hAnsi="Arial" w:cs="Arial"/>
          <w:sz w:val="19"/>
          <w:szCs w:val="19"/>
          <w:lang w:val="pt-BR"/>
        </w:rPr>
      </w:pPr>
      <w:r w:rsidRPr="00E55B08">
        <w:rPr>
          <w:rStyle w:val="Refdenotaalpie"/>
          <w:rFonts w:ascii="Arial" w:hAnsi="Arial" w:cs="Arial"/>
          <w:sz w:val="19"/>
          <w:szCs w:val="19"/>
        </w:rPr>
        <w:footnoteRef/>
      </w:r>
      <w:r w:rsidRPr="00933447">
        <w:rPr>
          <w:rFonts w:ascii="Arial" w:hAnsi="Arial" w:cs="Arial"/>
          <w:sz w:val="19"/>
          <w:szCs w:val="19"/>
          <w:lang w:val="pt-BR"/>
        </w:rPr>
        <w:t xml:space="preserve"> Código Civil</w:t>
      </w:r>
      <w:r w:rsidR="0008083A" w:rsidRPr="00933447">
        <w:rPr>
          <w:rFonts w:ascii="Arial" w:hAnsi="Arial" w:cs="Arial"/>
          <w:sz w:val="19"/>
          <w:szCs w:val="19"/>
          <w:lang w:val="pt-BR"/>
        </w:rPr>
        <w:t>, a</w:t>
      </w:r>
      <w:r w:rsidRPr="00933447">
        <w:rPr>
          <w:rFonts w:ascii="Arial" w:hAnsi="Arial" w:cs="Arial"/>
          <w:sz w:val="19"/>
          <w:szCs w:val="19"/>
          <w:lang w:val="pt-BR"/>
        </w:rPr>
        <w:t>rtículo 36.</w:t>
      </w:r>
    </w:p>
    <w:p w14:paraId="76C2AFAD" w14:textId="77777777" w:rsidR="009E2156" w:rsidRPr="00933447" w:rsidRDefault="009E2156" w:rsidP="009E2156">
      <w:pPr>
        <w:pStyle w:val="Textonotapie"/>
        <w:ind w:firstLine="709"/>
        <w:jc w:val="both"/>
        <w:rPr>
          <w:rFonts w:ascii="Arial" w:hAnsi="Arial" w:cs="Arial"/>
          <w:sz w:val="19"/>
          <w:szCs w:val="19"/>
          <w:lang w:val="pt-BR"/>
        </w:rPr>
      </w:pPr>
    </w:p>
  </w:footnote>
  <w:footnote w:id="19">
    <w:p w14:paraId="25DA69E0" w14:textId="77777777" w:rsidR="009E2156" w:rsidRPr="00E55B08" w:rsidRDefault="009E2156" w:rsidP="009E2156">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933447">
        <w:rPr>
          <w:rFonts w:ascii="Arial" w:hAnsi="Arial" w:cs="Arial"/>
          <w:sz w:val="19"/>
          <w:szCs w:val="19"/>
          <w:lang w:val="pt-BR"/>
        </w:rPr>
        <w:t xml:space="preserve"> Código Civil: «Artículo 47. </w:t>
      </w:r>
      <w:r w:rsidRPr="00E55B08">
        <w:rPr>
          <w:rFonts w:ascii="Arial" w:hAnsi="Arial" w:cs="Arial"/>
          <w:sz w:val="19"/>
          <w:szCs w:val="19"/>
        </w:rPr>
        <w:t>Afinidad legítima. Afinidad legítima es la que existe entre una persona que está o ha estado casada y los consanguíneos legítimos de su marido o mujer […]».</w:t>
      </w:r>
    </w:p>
    <w:p w14:paraId="471C6AC0" w14:textId="77777777" w:rsidR="009E2156" w:rsidRPr="00E55B08" w:rsidRDefault="009E2156" w:rsidP="009E2156">
      <w:pPr>
        <w:pStyle w:val="Textonotapie"/>
        <w:ind w:firstLine="709"/>
        <w:jc w:val="both"/>
        <w:rPr>
          <w:rFonts w:ascii="Arial" w:hAnsi="Arial" w:cs="Arial"/>
          <w:sz w:val="19"/>
          <w:szCs w:val="19"/>
        </w:rPr>
      </w:pPr>
    </w:p>
  </w:footnote>
  <w:footnote w:id="20">
    <w:p w14:paraId="04E7881B" w14:textId="772C9381" w:rsidR="009E2156" w:rsidRPr="00E55B08" w:rsidRDefault="009E2156" w:rsidP="00332F65">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Código Civil: «Artículo 37. Grados de consanguinidad. Los grados de consanguinidad entre dos personas se cuentan por el número de generaciones. Así, el nieto está en segundo grado de consanguinidad con el abuelo, y dos primos hermanos en cuarto grado de consanguinidad entre sí».</w:t>
      </w:r>
    </w:p>
    <w:p w14:paraId="415D2EB4" w14:textId="77777777" w:rsidR="009E2156" w:rsidRPr="00E55B08" w:rsidRDefault="009E2156" w:rsidP="009E2156">
      <w:pPr>
        <w:pStyle w:val="Textonotapie"/>
        <w:ind w:firstLine="709"/>
        <w:jc w:val="both"/>
        <w:rPr>
          <w:rFonts w:ascii="Arial" w:hAnsi="Arial" w:cs="Arial"/>
          <w:sz w:val="19"/>
          <w:szCs w:val="19"/>
        </w:rPr>
      </w:pPr>
      <w:r w:rsidRPr="00E55B08">
        <w:rPr>
          <w:rFonts w:ascii="Arial" w:hAnsi="Arial" w:cs="Arial"/>
          <w:sz w:val="19"/>
          <w:szCs w:val="19"/>
        </w:rPr>
        <w:t>«Artículo 47. Afinidad legítima. […] La línea o grado de afinidad legítima de una persona con un consanguíneo de su marido o mujer, se califica por la línea o grado de consanguinidad legítima de dicho marido o mujer con el dicho consanguíneo […]».</w:t>
      </w:r>
    </w:p>
    <w:p w14:paraId="2ED58064" w14:textId="77777777" w:rsidR="009E2156" w:rsidRPr="00E55B08" w:rsidRDefault="009E2156" w:rsidP="009E2156">
      <w:pPr>
        <w:pStyle w:val="Textonotapie"/>
        <w:ind w:firstLine="709"/>
        <w:jc w:val="both"/>
        <w:rPr>
          <w:rFonts w:ascii="Arial" w:hAnsi="Arial" w:cs="Arial"/>
          <w:sz w:val="19"/>
          <w:szCs w:val="19"/>
          <w:lang w:val="es-CO"/>
        </w:rPr>
      </w:pPr>
    </w:p>
  </w:footnote>
  <w:footnote w:id="21">
    <w:p w14:paraId="62FC32AB" w14:textId="75D4B242" w:rsidR="00332F65" w:rsidRPr="00332F65" w:rsidRDefault="00332F65" w:rsidP="00332F65">
      <w:pPr>
        <w:pStyle w:val="Textonotapie"/>
        <w:ind w:firstLine="709"/>
        <w:rPr>
          <w:lang w:val="es-CO"/>
        </w:rPr>
      </w:pPr>
      <w:r>
        <w:rPr>
          <w:rStyle w:val="Refdenotaalpie"/>
        </w:rPr>
        <w:footnoteRef/>
      </w:r>
      <w:r>
        <w:t xml:space="preserve"> </w:t>
      </w:r>
      <w:r w:rsidRPr="00332F65">
        <w:rPr>
          <w:rFonts w:ascii="Arial" w:hAnsi="Arial" w:cs="Arial"/>
          <w:sz w:val="19"/>
          <w:szCs w:val="19"/>
        </w:rPr>
        <w:t>Artículo 64. Numeral 2.</w:t>
      </w:r>
      <w:r>
        <w:rPr>
          <w:lang w:val="es-CO"/>
        </w:rPr>
        <w:t xml:space="preserve"> </w:t>
      </w:r>
    </w:p>
  </w:footnote>
  <w:footnote w:id="22">
    <w:p w14:paraId="1561AE96" w14:textId="3B3E2BF6" w:rsidR="00395EBC" w:rsidRPr="00395EBC" w:rsidRDefault="00395EBC" w:rsidP="00395EBC">
      <w:pPr>
        <w:pStyle w:val="Textonotapie"/>
        <w:jc w:val="both"/>
        <w:rPr>
          <w:rFonts w:ascii="Arial" w:hAnsi="Arial" w:cs="Arial"/>
          <w:sz w:val="19"/>
          <w:szCs w:val="19"/>
          <w:lang w:val="es-CO"/>
        </w:rPr>
      </w:pPr>
      <w:r>
        <w:rPr>
          <w:rStyle w:val="Refdenotaalpie"/>
        </w:rPr>
        <w:footnoteRef/>
      </w:r>
      <w:r>
        <w:t xml:space="preserve"> </w:t>
      </w:r>
      <w:r w:rsidRPr="00395EBC">
        <w:rPr>
          <w:rFonts w:ascii="Arial" w:hAnsi="Arial" w:cs="Arial"/>
          <w:sz w:val="19"/>
          <w:szCs w:val="19"/>
          <w:lang w:val="es-CO"/>
        </w:rPr>
        <w:t xml:space="preserve">Por ejemplo, el literal k del numeral primero del artículo 8 de la Ley 80 de 1993 establece que </w:t>
      </w:r>
      <w:r w:rsidRPr="00DF1FDB">
        <w:rPr>
          <w:rFonts w:ascii="Arial" w:hAnsi="Arial" w:cs="Arial"/>
          <w:color w:val="000000" w:themeColor="text1"/>
          <w:sz w:val="22"/>
        </w:rPr>
        <w:t>«</w:t>
      </w:r>
      <w:r w:rsidRPr="00395EBC">
        <w:rPr>
          <w:rFonts w:ascii="Arial" w:hAnsi="Arial" w:cs="Arial"/>
          <w:sz w:val="19"/>
          <w:szCs w:val="19"/>
          <w:lang w:val="es-CO"/>
        </w:rPr>
        <w:t>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p>
    <w:p w14:paraId="7F384591" w14:textId="75894BB1" w:rsidR="00395EBC" w:rsidRPr="00395EBC" w:rsidRDefault="00395EBC" w:rsidP="00395EBC">
      <w:pPr>
        <w:pStyle w:val="Textonotapie"/>
        <w:ind w:firstLine="709"/>
        <w:jc w:val="both"/>
        <w:rPr>
          <w:lang w:val="es-CO"/>
        </w:rPr>
      </w:pPr>
      <w:proofErr w:type="gramStart"/>
      <w:r w:rsidRPr="00DF1FDB">
        <w:rPr>
          <w:rFonts w:ascii="Arial" w:hAnsi="Arial" w:cs="Arial"/>
          <w:color w:val="000000" w:themeColor="text1"/>
          <w:sz w:val="22"/>
        </w:rPr>
        <w:t>»</w:t>
      </w:r>
      <w:r w:rsidRPr="00BF3714">
        <w:rPr>
          <w:rFonts w:ascii="Arial" w:hAnsi="Arial" w:cs="Arial"/>
          <w:i/>
          <w:sz w:val="19"/>
          <w:szCs w:val="19"/>
          <w:lang w:val="es-CO"/>
        </w:rPr>
        <w:t>La</w:t>
      </w:r>
      <w:proofErr w:type="gramEnd"/>
      <w:r w:rsidRPr="00BF3714">
        <w:rPr>
          <w:rFonts w:ascii="Arial" w:hAnsi="Arial" w:cs="Arial"/>
          <w:i/>
          <w:sz w:val="19"/>
          <w:szCs w:val="19"/>
          <w:lang w:val="es-CO"/>
        </w:rPr>
        <w:t xml:space="preserve"> inhabilidad se extenderá por todo el período para el cual el candidato fue elegido</w:t>
      </w:r>
      <w:r w:rsidRPr="00395EBC">
        <w:rPr>
          <w:rFonts w:ascii="Arial" w:hAnsi="Arial" w:cs="Arial"/>
          <w:sz w:val="19"/>
          <w:szCs w:val="19"/>
          <w:lang w:val="es-CO"/>
        </w:rPr>
        <w:t>. Esta causal también operará para las personas que se encuentren dentro del segundo grado de consanguinidad, segundo de afinidad, o primero civil de la persona que ha financiado la campaña política.</w:t>
      </w:r>
      <w:r w:rsidRPr="00395EBC">
        <w:rPr>
          <w:rFonts w:ascii="Arial" w:hAnsi="Arial" w:cs="Arial"/>
          <w:color w:val="000000" w:themeColor="text1"/>
          <w:sz w:val="22"/>
        </w:rPr>
        <w:t xml:space="preserve"> </w:t>
      </w:r>
      <w:r>
        <w:rPr>
          <w:rFonts w:ascii="Arial" w:hAnsi="Arial" w:cs="Arial"/>
          <w:color w:val="000000" w:themeColor="text1"/>
          <w:sz w:val="22"/>
        </w:rPr>
        <w:t>[…]</w:t>
      </w:r>
      <w:r w:rsidRPr="00DF1FDB">
        <w:rPr>
          <w:rFonts w:ascii="Arial" w:hAnsi="Arial" w:cs="Arial"/>
          <w:color w:val="000000" w:themeColor="text1"/>
          <w:sz w:val="22"/>
        </w:rPr>
        <w:t>»</w:t>
      </w:r>
      <w:r w:rsidR="00BF3714">
        <w:rPr>
          <w:rFonts w:ascii="Arial" w:hAnsi="Arial" w:cs="Arial"/>
          <w:color w:val="000000" w:themeColor="text1"/>
          <w:sz w:val="22"/>
        </w:rPr>
        <w:t xml:space="preserve"> </w:t>
      </w:r>
      <w:r w:rsidR="00BF3714" w:rsidRPr="00BF3714">
        <w:rPr>
          <w:rFonts w:ascii="Arial" w:hAnsi="Arial" w:cs="Arial"/>
          <w:color w:val="000000" w:themeColor="text1"/>
          <w:sz w:val="19"/>
          <w:szCs w:val="19"/>
        </w:rPr>
        <w:t>[énfasis por fuera de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9E2A97" w:rsidRDefault="009E2A97">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18"/>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DAE"/>
    <w:rsid w:val="00024592"/>
    <w:rsid w:val="00024896"/>
    <w:rsid w:val="00026092"/>
    <w:rsid w:val="000263F0"/>
    <w:rsid w:val="00026407"/>
    <w:rsid w:val="000264F6"/>
    <w:rsid w:val="00026608"/>
    <w:rsid w:val="00027787"/>
    <w:rsid w:val="000278D2"/>
    <w:rsid w:val="00031384"/>
    <w:rsid w:val="000315E1"/>
    <w:rsid w:val="0003236E"/>
    <w:rsid w:val="0003339A"/>
    <w:rsid w:val="000341F2"/>
    <w:rsid w:val="00034651"/>
    <w:rsid w:val="000351F2"/>
    <w:rsid w:val="00036E03"/>
    <w:rsid w:val="000406DB"/>
    <w:rsid w:val="0004094D"/>
    <w:rsid w:val="00041029"/>
    <w:rsid w:val="0004149B"/>
    <w:rsid w:val="00041CA0"/>
    <w:rsid w:val="00041D48"/>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67D95"/>
    <w:rsid w:val="00070AF1"/>
    <w:rsid w:val="000714DE"/>
    <w:rsid w:val="0007254F"/>
    <w:rsid w:val="00073C30"/>
    <w:rsid w:val="00074305"/>
    <w:rsid w:val="00074B2A"/>
    <w:rsid w:val="00075B3E"/>
    <w:rsid w:val="00076456"/>
    <w:rsid w:val="0007779B"/>
    <w:rsid w:val="000777E7"/>
    <w:rsid w:val="0007790A"/>
    <w:rsid w:val="0008017B"/>
    <w:rsid w:val="0008083A"/>
    <w:rsid w:val="00080ACD"/>
    <w:rsid w:val="000811ED"/>
    <w:rsid w:val="00081284"/>
    <w:rsid w:val="00081D62"/>
    <w:rsid w:val="00082B74"/>
    <w:rsid w:val="00083099"/>
    <w:rsid w:val="00083EDC"/>
    <w:rsid w:val="00084B97"/>
    <w:rsid w:val="0008510E"/>
    <w:rsid w:val="000856DE"/>
    <w:rsid w:val="00085F17"/>
    <w:rsid w:val="00085FB3"/>
    <w:rsid w:val="0008686B"/>
    <w:rsid w:val="00086B2A"/>
    <w:rsid w:val="00086ED2"/>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5AAF"/>
    <w:rsid w:val="000A5F97"/>
    <w:rsid w:val="000A648E"/>
    <w:rsid w:val="000A73BB"/>
    <w:rsid w:val="000A7EF4"/>
    <w:rsid w:val="000B0928"/>
    <w:rsid w:val="000B0A15"/>
    <w:rsid w:val="000B103F"/>
    <w:rsid w:val="000B1437"/>
    <w:rsid w:val="000B1470"/>
    <w:rsid w:val="000B17E3"/>
    <w:rsid w:val="000B2B86"/>
    <w:rsid w:val="000B3051"/>
    <w:rsid w:val="000B419B"/>
    <w:rsid w:val="000B5781"/>
    <w:rsid w:val="000C0185"/>
    <w:rsid w:val="000C0F81"/>
    <w:rsid w:val="000C128D"/>
    <w:rsid w:val="000C17A3"/>
    <w:rsid w:val="000C1D4B"/>
    <w:rsid w:val="000C3260"/>
    <w:rsid w:val="000C3803"/>
    <w:rsid w:val="000C3B77"/>
    <w:rsid w:val="000C4F49"/>
    <w:rsid w:val="000C5861"/>
    <w:rsid w:val="000C639D"/>
    <w:rsid w:val="000C6C31"/>
    <w:rsid w:val="000C6DBC"/>
    <w:rsid w:val="000C6F79"/>
    <w:rsid w:val="000C7476"/>
    <w:rsid w:val="000C7711"/>
    <w:rsid w:val="000C7AA2"/>
    <w:rsid w:val="000D0462"/>
    <w:rsid w:val="000D053D"/>
    <w:rsid w:val="000D0ED2"/>
    <w:rsid w:val="000D1CEB"/>
    <w:rsid w:val="000D2563"/>
    <w:rsid w:val="000D25BF"/>
    <w:rsid w:val="000D3FDC"/>
    <w:rsid w:val="000D4115"/>
    <w:rsid w:val="000D4E38"/>
    <w:rsid w:val="000D50DB"/>
    <w:rsid w:val="000D6288"/>
    <w:rsid w:val="000D6CAF"/>
    <w:rsid w:val="000D7541"/>
    <w:rsid w:val="000D75E1"/>
    <w:rsid w:val="000E22CF"/>
    <w:rsid w:val="000E2977"/>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4403"/>
    <w:rsid w:val="000F4E17"/>
    <w:rsid w:val="000F622C"/>
    <w:rsid w:val="000F6578"/>
    <w:rsid w:val="000F70CD"/>
    <w:rsid w:val="000F7E8F"/>
    <w:rsid w:val="000F7FBB"/>
    <w:rsid w:val="001000FB"/>
    <w:rsid w:val="00102605"/>
    <w:rsid w:val="00102686"/>
    <w:rsid w:val="00102745"/>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69F3"/>
    <w:rsid w:val="001174C9"/>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D"/>
    <w:rsid w:val="00133AED"/>
    <w:rsid w:val="00134FF9"/>
    <w:rsid w:val="00135E88"/>
    <w:rsid w:val="0013695C"/>
    <w:rsid w:val="00136BF7"/>
    <w:rsid w:val="001378B9"/>
    <w:rsid w:val="00137FFA"/>
    <w:rsid w:val="00140109"/>
    <w:rsid w:val="0014029B"/>
    <w:rsid w:val="00140A4F"/>
    <w:rsid w:val="001413AB"/>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8E"/>
    <w:rsid w:val="00154A6F"/>
    <w:rsid w:val="00155D08"/>
    <w:rsid w:val="00156BE5"/>
    <w:rsid w:val="00157232"/>
    <w:rsid w:val="001601D1"/>
    <w:rsid w:val="00160401"/>
    <w:rsid w:val="00160D4E"/>
    <w:rsid w:val="00161E62"/>
    <w:rsid w:val="00161F1C"/>
    <w:rsid w:val="0016200B"/>
    <w:rsid w:val="001622A4"/>
    <w:rsid w:val="00163D7A"/>
    <w:rsid w:val="00164281"/>
    <w:rsid w:val="00167503"/>
    <w:rsid w:val="001676A9"/>
    <w:rsid w:val="00167A15"/>
    <w:rsid w:val="00167A50"/>
    <w:rsid w:val="00167DF5"/>
    <w:rsid w:val="00170001"/>
    <w:rsid w:val="00172198"/>
    <w:rsid w:val="00172612"/>
    <w:rsid w:val="00172817"/>
    <w:rsid w:val="001734E3"/>
    <w:rsid w:val="001742BF"/>
    <w:rsid w:val="00175E49"/>
    <w:rsid w:val="00177076"/>
    <w:rsid w:val="001805C1"/>
    <w:rsid w:val="00180A15"/>
    <w:rsid w:val="00180A2E"/>
    <w:rsid w:val="001813AF"/>
    <w:rsid w:val="001829CD"/>
    <w:rsid w:val="00182F01"/>
    <w:rsid w:val="0018322D"/>
    <w:rsid w:val="00184F27"/>
    <w:rsid w:val="0018519B"/>
    <w:rsid w:val="00185AFE"/>
    <w:rsid w:val="00185E78"/>
    <w:rsid w:val="00187177"/>
    <w:rsid w:val="00187443"/>
    <w:rsid w:val="00187ABD"/>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4DAF"/>
    <w:rsid w:val="001A66DF"/>
    <w:rsid w:val="001A67D0"/>
    <w:rsid w:val="001A7591"/>
    <w:rsid w:val="001A75B1"/>
    <w:rsid w:val="001B0366"/>
    <w:rsid w:val="001B0444"/>
    <w:rsid w:val="001B096B"/>
    <w:rsid w:val="001B0F9F"/>
    <w:rsid w:val="001B123C"/>
    <w:rsid w:val="001B1588"/>
    <w:rsid w:val="001B1A0D"/>
    <w:rsid w:val="001B1BF1"/>
    <w:rsid w:val="001B2456"/>
    <w:rsid w:val="001B449C"/>
    <w:rsid w:val="001B4AA2"/>
    <w:rsid w:val="001B4ADE"/>
    <w:rsid w:val="001B5EF8"/>
    <w:rsid w:val="001B6EF1"/>
    <w:rsid w:val="001C07C6"/>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7923"/>
    <w:rsid w:val="001D796A"/>
    <w:rsid w:val="001D7A84"/>
    <w:rsid w:val="001D7C79"/>
    <w:rsid w:val="001E109E"/>
    <w:rsid w:val="001E15F0"/>
    <w:rsid w:val="001E1CC4"/>
    <w:rsid w:val="001E1D38"/>
    <w:rsid w:val="001E4258"/>
    <w:rsid w:val="001E56FF"/>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6B6"/>
    <w:rsid w:val="0021792D"/>
    <w:rsid w:val="00217DB8"/>
    <w:rsid w:val="0022032A"/>
    <w:rsid w:val="002221CE"/>
    <w:rsid w:val="00222BE8"/>
    <w:rsid w:val="00223102"/>
    <w:rsid w:val="002232CB"/>
    <w:rsid w:val="00224022"/>
    <w:rsid w:val="002257D0"/>
    <w:rsid w:val="00226055"/>
    <w:rsid w:val="0022613F"/>
    <w:rsid w:val="00226236"/>
    <w:rsid w:val="002270C9"/>
    <w:rsid w:val="00227726"/>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5B8"/>
    <w:rsid w:val="00241618"/>
    <w:rsid w:val="00242D62"/>
    <w:rsid w:val="002431D7"/>
    <w:rsid w:val="00244058"/>
    <w:rsid w:val="00245718"/>
    <w:rsid w:val="00245E07"/>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0D6"/>
    <w:rsid w:val="002653A6"/>
    <w:rsid w:val="0026608D"/>
    <w:rsid w:val="002661F1"/>
    <w:rsid w:val="002663BA"/>
    <w:rsid w:val="00266CB5"/>
    <w:rsid w:val="002711A4"/>
    <w:rsid w:val="00271F13"/>
    <w:rsid w:val="00274DB5"/>
    <w:rsid w:val="00275BB1"/>
    <w:rsid w:val="00275FBF"/>
    <w:rsid w:val="00276373"/>
    <w:rsid w:val="00277933"/>
    <w:rsid w:val="00277F8D"/>
    <w:rsid w:val="00277FA7"/>
    <w:rsid w:val="00280F3D"/>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1784"/>
    <w:rsid w:val="002929BB"/>
    <w:rsid w:val="00294368"/>
    <w:rsid w:val="00294B78"/>
    <w:rsid w:val="00295360"/>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CC8"/>
    <w:rsid w:val="002A6AFB"/>
    <w:rsid w:val="002A733D"/>
    <w:rsid w:val="002A774A"/>
    <w:rsid w:val="002A7E5C"/>
    <w:rsid w:val="002A7F6D"/>
    <w:rsid w:val="002B1342"/>
    <w:rsid w:val="002B27C8"/>
    <w:rsid w:val="002B2A7F"/>
    <w:rsid w:val="002B330B"/>
    <w:rsid w:val="002B39BE"/>
    <w:rsid w:val="002B438C"/>
    <w:rsid w:val="002B48DB"/>
    <w:rsid w:val="002B4B34"/>
    <w:rsid w:val="002B541A"/>
    <w:rsid w:val="002B6407"/>
    <w:rsid w:val="002B6416"/>
    <w:rsid w:val="002B6459"/>
    <w:rsid w:val="002B73B0"/>
    <w:rsid w:val="002B7D9E"/>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B42"/>
    <w:rsid w:val="002D4DBA"/>
    <w:rsid w:val="002D5A1B"/>
    <w:rsid w:val="002D65BC"/>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618"/>
    <w:rsid w:val="002F1411"/>
    <w:rsid w:val="002F240B"/>
    <w:rsid w:val="002F2F50"/>
    <w:rsid w:val="002F30DF"/>
    <w:rsid w:val="002F3601"/>
    <w:rsid w:val="002F45F6"/>
    <w:rsid w:val="002F692F"/>
    <w:rsid w:val="002F7B66"/>
    <w:rsid w:val="00300CB4"/>
    <w:rsid w:val="00300E24"/>
    <w:rsid w:val="003033BA"/>
    <w:rsid w:val="003043A3"/>
    <w:rsid w:val="00304BD4"/>
    <w:rsid w:val="0030500A"/>
    <w:rsid w:val="0030517B"/>
    <w:rsid w:val="003052EB"/>
    <w:rsid w:val="00305FCB"/>
    <w:rsid w:val="003063C3"/>
    <w:rsid w:val="00306B44"/>
    <w:rsid w:val="00307C44"/>
    <w:rsid w:val="0031088E"/>
    <w:rsid w:val="00310D01"/>
    <w:rsid w:val="00311376"/>
    <w:rsid w:val="00311A1F"/>
    <w:rsid w:val="00311B47"/>
    <w:rsid w:val="00311D52"/>
    <w:rsid w:val="00312190"/>
    <w:rsid w:val="0031232F"/>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137B"/>
    <w:rsid w:val="00321BD6"/>
    <w:rsid w:val="00321FA3"/>
    <w:rsid w:val="0032240D"/>
    <w:rsid w:val="003227D3"/>
    <w:rsid w:val="00322937"/>
    <w:rsid w:val="00322A46"/>
    <w:rsid w:val="00322A84"/>
    <w:rsid w:val="00323881"/>
    <w:rsid w:val="00323B73"/>
    <w:rsid w:val="00325B4E"/>
    <w:rsid w:val="00325D98"/>
    <w:rsid w:val="0032682A"/>
    <w:rsid w:val="00327A5C"/>
    <w:rsid w:val="0033092C"/>
    <w:rsid w:val="0033122A"/>
    <w:rsid w:val="003315AC"/>
    <w:rsid w:val="00331932"/>
    <w:rsid w:val="00332F65"/>
    <w:rsid w:val="00333A88"/>
    <w:rsid w:val="00335B15"/>
    <w:rsid w:val="00335B21"/>
    <w:rsid w:val="00335D3F"/>
    <w:rsid w:val="00336104"/>
    <w:rsid w:val="00336729"/>
    <w:rsid w:val="0033726D"/>
    <w:rsid w:val="00337362"/>
    <w:rsid w:val="00337CA8"/>
    <w:rsid w:val="0034177C"/>
    <w:rsid w:val="00341BE2"/>
    <w:rsid w:val="00342345"/>
    <w:rsid w:val="00342C27"/>
    <w:rsid w:val="003430C8"/>
    <w:rsid w:val="003432C8"/>
    <w:rsid w:val="00343446"/>
    <w:rsid w:val="003434B3"/>
    <w:rsid w:val="00343536"/>
    <w:rsid w:val="00343EFB"/>
    <w:rsid w:val="00344760"/>
    <w:rsid w:val="0034680A"/>
    <w:rsid w:val="00346C62"/>
    <w:rsid w:val="0034778E"/>
    <w:rsid w:val="003501E2"/>
    <w:rsid w:val="00351E10"/>
    <w:rsid w:val="0035273A"/>
    <w:rsid w:val="003533F4"/>
    <w:rsid w:val="003536F6"/>
    <w:rsid w:val="00353DD5"/>
    <w:rsid w:val="00355131"/>
    <w:rsid w:val="00356438"/>
    <w:rsid w:val="00361A59"/>
    <w:rsid w:val="00363348"/>
    <w:rsid w:val="00363857"/>
    <w:rsid w:val="00363D59"/>
    <w:rsid w:val="003640F7"/>
    <w:rsid w:val="00365D3A"/>
    <w:rsid w:val="003664FF"/>
    <w:rsid w:val="00366BD2"/>
    <w:rsid w:val="003670B8"/>
    <w:rsid w:val="003704A3"/>
    <w:rsid w:val="003706F2"/>
    <w:rsid w:val="0037124F"/>
    <w:rsid w:val="00373827"/>
    <w:rsid w:val="0037401C"/>
    <w:rsid w:val="00374A1E"/>
    <w:rsid w:val="0037507B"/>
    <w:rsid w:val="00375C7C"/>
    <w:rsid w:val="00376548"/>
    <w:rsid w:val="00377027"/>
    <w:rsid w:val="00377135"/>
    <w:rsid w:val="00380272"/>
    <w:rsid w:val="00380576"/>
    <w:rsid w:val="003805DB"/>
    <w:rsid w:val="003813F4"/>
    <w:rsid w:val="0038152A"/>
    <w:rsid w:val="00382BAD"/>
    <w:rsid w:val="00384DF1"/>
    <w:rsid w:val="00384FF3"/>
    <w:rsid w:val="00386456"/>
    <w:rsid w:val="003865A9"/>
    <w:rsid w:val="00387642"/>
    <w:rsid w:val="00390F32"/>
    <w:rsid w:val="0039135E"/>
    <w:rsid w:val="0039319C"/>
    <w:rsid w:val="00393CAE"/>
    <w:rsid w:val="003945DC"/>
    <w:rsid w:val="003945F4"/>
    <w:rsid w:val="00394EB5"/>
    <w:rsid w:val="003953B4"/>
    <w:rsid w:val="00395EBC"/>
    <w:rsid w:val="0039615F"/>
    <w:rsid w:val="00396A29"/>
    <w:rsid w:val="00397FF0"/>
    <w:rsid w:val="003A0878"/>
    <w:rsid w:val="003A1561"/>
    <w:rsid w:val="003A1BD8"/>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EF3"/>
    <w:rsid w:val="003B4B1C"/>
    <w:rsid w:val="003B4CB2"/>
    <w:rsid w:val="003B534F"/>
    <w:rsid w:val="003B5391"/>
    <w:rsid w:val="003B659A"/>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4D9F"/>
    <w:rsid w:val="003C622C"/>
    <w:rsid w:val="003C73C7"/>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9BB"/>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CD"/>
    <w:rsid w:val="003E78DA"/>
    <w:rsid w:val="003E7A8B"/>
    <w:rsid w:val="003F0F7F"/>
    <w:rsid w:val="003F300D"/>
    <w:rsid w:val="003F391F"/>
    <w:rsid w:val="003F4599"/>
    <w:rsid w:val="003F45E1"/>
    <w:rsid w:val="003F4F6C"/>
    <w:rsid w:val="003F516A"/>
    <w:rsid w:val="003F559E"/>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2DCA"/>
    <w:rsid w:val="00423F9F"/>
    <w:rsid w:val="00425C43"/>
    <w:rsid w:val="00426C69"/>
    <w:rsid w:val="004273FA"/>
    <w:rsid w:val="00427C77"/>
    <w:rsid w:val="00430186"/>
    <w:rsid w:val="0043269A"/>
    <w:rsid w:val="004333C2"/>
    <w:rsid w:val="00433ACB"/>
    <w:rsid w:val="00434787"/>
    <w:rsid w:val="004347DA"/>
    <w:rsid w:val="00434C13"/>
    <w:rsid w:val="00436323"/>
    <w:rsid w:val="0043683F"/>
    <w:rsid w:val="00436F40"/>
    <w:rsid w:val="004370FA"/>
    <w:rsid w:val="00440096"/>
    <w:rsid w:val="004403DD"/>
    <w:rsid w:val="00440DB0"/>
    <w:rsid w:val="00440FAD"/>
    <w:rsid w:val="00441291"/>
    <w:rsid w:val="00441F4E"/>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4548"/>
    <w:rsid w:val="00454717"/>
    <w:rsid w:val="00455047"/>
    <w:rsid w:val="00455354"/>
    <w:rsid w:val="0045558D"/>
    <w:rsid w:val="00456970"/>
    <w:rsid w:val="00456BB1"/>
    <w:rsid w:val="00456DDB"/>
    <w:rsid w:val="00460915"/>
    <w:rsid w:val="00460946"/>
    <w:rsid w:val="004613D2"/>
    <w:rsid w:val="004614A9"/>
    <w:rsid w:val="00461C03"/>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70A6A"/>
    <w:rsid w:val="00470D92"/>
    <w:rsid w:val="004712D1"/>
    <w:rsid w:val="00471DF7"/>
    <w:rsid w:val="00471F6B"/>
    <w:rsid w:val="0047295C"/>
    <w:rsid w:val="00472D8E"/>
    <w:rsid w:val="004734CF"/>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43F9"/>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1B5"/>
    <w:rsid w:val="004A4301"/>
    <w:rsid w:val="004A4E65"/>
    <w:rsid w:val="004A58EE"/>
    <w:rsid w:val="004A59B7"/>
    <w:rsid w:val="004A623B"/>
    <w:rsid w:val="004A6A04"/>
    <w:rsid w:val="004A6A52"/>
    <w:rsid w:val="004B0F0B"/>
    <w:rsid w:val="004B2197"/>
    <w:rsid w:val="004B298A"/>
    <w:rsid w:val="004B578D"/>
    <w:rsid w:val="004B5BE7"/>
    <w:rsid w:val="004B5E2D"/>
    <w:rsid w:val="004B6C07"/>
    <w:rsid w:val="004B74D3"/>
    <w:rsid w:val="004B76D3"/>
    <w:rsid w:val="004B788E"/>
    <w:rsid w:val="004B7E5D"/>
    <w:rsid w:val="004C0DD8"/>
    <w:rsid w:val="004C22F7"/>
    <w:rsid w:val="004C2B27"/>
    <w:rsid w:val="004C3929"/>
    <w:rsid w:val="004C4DCB"/>
    <w:rsid w:val="004C5212"/>
    <w:rsid w:val="004C5EF0"/>
    <w:rsid w:val="004C7226"/>
    <w:rsid w:val="004C74C9"/>
    <w:rsid w:val="004C7D70"/>
    <w:rsid w:val="004D02F9"/>
    <w:rsid w:val="004D03FE"/>
    <w:rsid w:val="004D0446"/>
    <w:rsid w:val="004D0F95"/>
    <w:rsid w:val="004D106A"/>
    <w:rsid w:val="004D261E"/>
    <w:rsid w:val="004D31EE"/>
    <w:rsid w:val="004D36AF"/>
    <w:rsid w:val="004D3BD1"/>
    <w:rsid w:val="004D40CF"/>
    <w:rsid w:val="004D4BA1"/>
    <w:rsid w:val="004D584D"/>
    <w:rsid w:val="004D6826"/>
    <w:rsid w:val="004D688C"/>
    <w:rsid w:val="004E023F"/>
    <w:rsid w:val="004E0742"/>
    <w:rsid w:val="004E0C64"/>
    <w:rsid w:val="004E0F6B"/>
    <w:rsid w:val="004E1545"/>
    <w:rsid w:val="004E1F1C"/>
    <w:rsid w:val="004E2A35"/>
    <w:rsid w:val="004E3D1F"/>
    <w:rsid w:val="004E40CE"/>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5930"/>
    <w:rsid w:val="004F5970"/>
    <w:rsid w:val="004F5F0C"/>
    <w:rsid w:val="004F6121"/>
    <w:rsid w:val="004F6161"/>
    <w:rsid w:val="004F66BC"/>
    <w:rsid w:val="004F6C26"/>
    <w:rsid w:val="004F7AC9"/>
    <w:rsid w:val="0050062F"/>
    <w:rsid w:val="005012E2"/>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635C"/>
    <w:rsid w:val="00516C5B"/>
    <w:rsid w:val="00517612"/>
    <w:rsid w:val="00517CFB"/>
    <w:rsid w:val="00517F85"/>
    <w:rsid w:val="00520899"/>
    <w:rsid w:val="00520922"/>
    <w:rsid w:val="005209FC"/>
    <w:rsid w:val="005224E5"/>
    <w:rsid w:val="00523903"/>
    <w:rsid w:val="005239B6"/>
    <w:rsid w:val="00523C45"/>
    <w:rsid w:val="00524165"/>
    <w:rsid w:val="005246E7"/>
    <w:rsid w:val="00524FD2"/>
    <w:rsid w:val="00525621"/>
    <w:rsid w:val="00526431"/>
    <w:rsid w:val="005265D8"/>
    <w:rsid w:val="00527E57"/>
    <w:rsid w:val="00530405"/>
    <w:rsid w:val="00530522"/>
    <w:rsid w:val="005305E5"/>
    <w:rsid w:val="00530F38"/>
    <w:rsid w:val="00531F26"/>
    <w:rsid w:val="0053277C"/>
    <w:rsid w:val="005327C0"/>
    <w:rsid w:val="00533101"/>
    <w:rsid w:val="00533CA9"/>
    <w:rsid w:val="005346AD"/>
    <w:rsid w:val="00534EFB"/>
    <w:rsid w:val="00534F60"/>
    <w:rsid w:val="005357F1"/>
    <w:rsid w:val="00536053"/>
    <w:rsid w:val="005369E6"/>
    <w:rsid w:val="005371AC"/>
    <w:rsid w:val="00537672"/>
    <w:rsid w:val="0053772F"/>
    <w:rsid w:val="00537B77"/>
    <w:rsid w:val="00540C4C"/>
    <w:rsid w:val="00541571"/>
    <w:rsid w:val="0054275A"/>
    <w:rsid w:val="005428B8"/>
    <w:rsid w:val="00542BD7"/>
    <w:rsid w:val="00543084"/>
    <w:rsid w:val="0054413A"/>
    <w:rsid w:val="00544288"/>
    <w:rsid w:val="005446BB"/>
    <w:rsid w:val="00545E30"/>
    <w:rsid w:val="00545EA3"/>
    <w:rsid w:val="00546293"/>
    <w:rsid w:val="00546C9B"/>
    <w:rsid w:val="00547BF6"/>
    <w:rsid w:val="0055109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723"/>
    <w:rsid w:val="00567AB8"/>
    <w:rsid w:val="00570A26"/>
    <w:rsid w:val="00570D8D"/>
    <w:rsid w:val="0057221F"/>
    <w:rsid w:val="00572539"/>
    <w:rsid w:val="0057337D"/>
    <w:rsid w:val="00573504"/>
    <w:rsid w:val="00574708"/>
    <w:rsid w:val="00574D81"/>
    <w:rsid w:val="005756AA"/>
    <w:rsid w:val="00576233"/>
    <w:rsid w:val="0057696F"/>
    <w:rsid w:val="00576A42"/>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90F1A"/>
    <w:rsid w:val="00591C03"/>
    <w:rsid w:val="00591E2A"/>
    <w:rsid w:val="005923C4"/>
    <w:rsid w:val="00593F75"/>
    <w:rsid w:val="005940A0"/>
    <w:rsid w:val="0059429A"/>
    <w:rsid w:val="0059461B"/>
    <w:rsid w:val="005946B8"/>
    <w:rsid w:val="00596AF7"/>
    <w:rsid w:val="00596CCE"/>
    <w:rsid w:val="00597E38"/>
    <w:rsid w:val="005A1976"/>
    <w:rsid w:val="005A2120"/>
    <w:rsid w:val="005A2501"/>
    <w:rsid w:val="005A2C80"/>
    <w:rsid w:val="005A3066"/>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2011"/>
    <w:rsid w:val="005C3A60"/>
    <w:rsid w:val="005C3EA3"/>
    <w:rsid w:val="005C5011"/>
    <w:rsid w:val="005C529E"/>
    <w:rsid w:val="005C57BA"/>
    <w:rsid w:val="005C5C52"/>
    <w:rsid w:val="005C5D3D"/>
    <w:rsid w:val="005C5F05"/>
    <w:rsid w:val="005C7F3E"/>
    <w:rsid w:val="005D1051"/>
    <w:rsid w:val="005D2044"/>
    <w:rsid w:val="005D2917"/>
    <w:rsid w:val="005D2EB2"/>
    <w:rsid w:val="005D2F48"/>
    <w:rsid w:val="005D464B"/>
    <w:rsid w:val="005D466F"/>
    <w:rsid w:val="005D49F0"/>
    <w:rsid w:val="005D51FA"/>
    <w:rsid w:val="005D53E8"/>
    <w:rsid w:val="005D5A9D"/>
    <w:rsid w:val="005D6651"/>
    <w:rsid w:val="005D691D"/>
    <w:rsid w:val="005D6A72"/>
    <w:rsid w:val="005D73FD"/>
    <w:rsid w:val="005D749F"/>
    <w:rsid w:val="005D791B"/>
    <w:rsid w:val="005D7CF2"/>
    <w:rsid w:val="005D7F92"/>
    <w:rsid w:val="005E0D7B"/>
    <w:rsid w:val="005E1595"/>
    <w:rsid w:val="005E1F1D"/>
    <w:rsid w:val="005E273D"/>
    <w:rsid w:val="005E3278"/>
    <w:rsid w:val="005E363B"/>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1EFC"/>
    <w:rsid w:val="00602B45"/>
    <w:rsid w:val="00603499"/>
    <w:rsid w:val="006035F5"/>
    <w:rsid w:val="00603CC2"/>
    <w:rsid w:val="006047D1"/>
    <w:rsid w:val="00604A55"/>
    <w:rsid w:val="00605AC3"/>
    <w:rsid w:val="00606908"/>
    <w:rsid w:val="00607996"/>
    <w:rsid w:val="00607A37"/>
    <w:rsid w:val="00607E9F"/>
    <w:rsid w:val="0061085E"/>
    <w:rsid w:val="00611398"/>
    <w:rsid w:val="00612322"/>
    <w:rsid w:val="006123C0"/>
    <w:rsid w:val="00612417"/>
    <w:rsid w:val="00612628"/>
    <w:rsid w:val="00613191"/>
    <w:rsid w:val="006133F9"/>
    <w:rsid w:val="006134B3"/>
    <w:rsid w:val="00613DE1"/>
    <w:rsid w:val="0061401F"/>
    <w:rsid w:val="00614166"/>
    <w:rsid w:val="00614817"/>
    <w:rsid w:val="006149CC"/>
    <w:rsid w:val="006157A9"/>
    <w:rsid w:val="0061591D"/>
    <w:rsid w:val="00615ED0"/>
    <w:rsid w:val="0061604C"/>
    <w:rsid w:val="00616C2B"/>
    <w:rsid w:val="006174FA"/>
    <w:rsid w:val="006178D1"/>
    <w:rsid w:val="00620719"/>
    <w:rsid w:val="006212C9"/>
    <w:rsid w:val="00621D0C"/>
    <w:rsid w:val="00622470"/>
    <w:rsid w:val="00622725"/>
    <w:rsid w:val="006231AA"/>
    <w:rsid w:val="00623482"/>
    <w:rsid w:val="00623AC2"/>
    <w:rsid w:val="00625F38"/>
    <w:rsid w:val="006266D7"/>
    <w:rsid w:val="00626D42"/>
    <w:rsid w:val="00626EE3"/>
    <w:rsid w:val="006274AD"/>
    <w:rsid w:val="00627532"/>
    <w:rsid w:val="006302AA"/>
    <w:rsid w:val="006310C3"/>
    <w:rsid w:val="0063161E"/>
    <w:rsid w:val="00631BB5"/>
    <w:rsid w:val="00631DD0"/>
    <w:rsid w:val="00633DBF"/>
    <w:rsid w:val="00634122"/>
    <w:rsid w:val="006355B6"/>
    <w:rsid w:val="00635E32"/>
    <w:rsid w:val="006365DE"/>
    <w:rsid w:val="00636BE4"/>
    <w:rsid w:val="00637802"/>
    <w:rsid w:val="00637836"/>
    <w:rsid w:val="00637C26"/>
    <w:rsid w:val="00637F44"/>
    <w:rsid w:val="00640659"/>
    <w:rsid w:val="00641078"/>
    <w:rsid w:val="00641242"/>
    <w:rsid w:val="00642A32"/>
    <w:rsid w:val="006433D5"/>
    <w:rsid w:val="00646B20"/>
    <w:rsid w:val="00646D0F"/>
    <w:rsid w:val="0064708F"/>
    <w:rsid w:val="00647A36"/>
    <w:rsid w:val="00647DCC"/>
    <w:rsid w:val="00647EFA"/>
    <w:rsid w:val="00647F14"/>
    <w:rsid w:val="00650027"/>
    <w:rsid w:val="00651B9C"/>
    <w:rsid w:val="00651C47"/>
    <w:rsid w:val="00652854"/>
    <w:rsid w:val="00652E70"/>
    <w:rsid w:val="0065339A"/>
    <w:rsid w:val="00653469"/>
    <w:rsid w:val="00654A38"/>
    <w:rsid w:val="00655301"/>
    <w:rsid w:val="00655371"/>
    <w:rsid w:val="00655876"/>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1DF"/>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53E"/>
    <w:rsid w:val="00685E7B"/>
    <w:rsid w:val="00686551"/>
    <w:rsid w:val="00686A37"/>
    <w:rsid w:val="0068730C"/>
    <w:rsid w:val="00687504"/>
    <w:rsid w:val="00687A14"/>
    <w:rsid w:val="00687A8C"/>
    <w:rsid w:val="00690839"/>
    <w:rsid w:val="006908DB"/>
    <w:rsid w:val="00690DE9"/>
    <w:rsid w:val="00691DE9"/>
    <w:rsid w:val="00691EAA"/>
    <w:rsid w:val="00692245"/>
    <w:rsid w:val="00692FFA"/>
    <w:rsid w:val="00693772"/>
    <w:rsid w:val="00694160"/>
    <w:rsid w:val="00694C08"/>
    <w:rsid w:val="006959A5"/>
    <w:rsid w:val="00695C0C"/>
    <w:rsid w:val="00696A05"/>
    <w:rsid w:val="00697665"/>
    <w:rsid w:val="00697C9A"/>
    <w:rsid w:val="00697E68"/>
    <w:rsid w:val="006A0274"/>
    <w:rsid w:val="006A0A83"/>
    <w:rsid w:val="006A2A43"/>
    <w:rsid w:val="006A2BF1"/>
    <w:rsid w:val="006A2F9A"/>
    <w:rsid w:val="006A34E4"/>
    <w:rsid w:val="006A3A5A"/>
    <w:rsid w:val="006A44CF"/>
    <w:rsid w:val="006A457D"/>
    <w:rsid w:val="006A55EE"/>
    <w:rsid w:val="006A575B"/>
    <w:rsid w:val="006A59DE"/>
    <w:rsid w:val="006A6655"/>
    <w:rsid w:val="006A6BF9"/>
    <w:rsid w:val="006A7CB5"/>
    <w:rsid w:val="006A7FD0"/>
    <w:rsid w:val="006B025C"/>
    <w:rsid w:val="006B2534"/>
    <w:rsid w:val="006B2CB2"/>
    <w:rsid w:val="006B347D"/>
    <w:rsid w:val="006B3E19"/>
    <w:rsid w:val="006B4488"/>
    <w:rsid w:val="006B47D2"/>
    <w:rsid w:val="006B5F51"/>
    <w:rsid w:val="006B67AC"/>
    <w:rsid w:val="006B786A"/>
    <w:rsid w:val="006B7E4E"/>
    <w:rsid w:val="006C003A"/>
    <w:rsid w:val="006C2240"/>
    <w:rsid w:val="006C2454"/>
    <w:rsid w:val="006C2551"/>
    <w:rsid w:val="006C37CA"/>
    <w:rsid w:val="006C40D2"/>
    <w:rsid w:val="006C5B15"/>
    <w:rsid w:val="006C5D32"/>
    <w:rsid w:val="006C5DCB"/>
    <w:rsid w:val="006C70C4"/>
    <w:rsid w:val="006D04DA"/>
    <w:rsid w:val="006D10F6"/>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3D9D"/>
    <w:rsid w:val="006E437F"/>
    <w:rsid w:val="006E4D5B"/>
    <w:rsid w:val="006E602F"/>
    <w:rsid w:val="006E6720"/>
    <w:rsid w:val="006E68FA"/>
    <w:rsid w:val="006E7275"/>
    <w:rsid w:val="006E77B8"/>
    <w:rsid w:val="006E796C"/>
    <w:rsid w:val="006F15CC"/>
    <w:rsid w:val="006F4147"/>
    <w:rsid w:val="006F4315"/>
    <w:rsid w:val="006F458D"/>
    <w:rsid w:val="006F4A6D"/>
    <w:rsid w:val="006F4CB0"/>
    <w:rsid w:val="006F4F78"/>
    <w:rsid w:val="006F547E"/>
    <w:rsid w:val="006F5CCF"/>
    <w:rsid w:val="006F772B"/>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AA"/>
    <w:rsid w:val="00716CAD"/>
    <w:rsid w:val="00716F18"/>
    <w:rsid w:val="00717363"/>
    <w:rsid w:val="00717786"/>
    <w:rsid w:val="00717ACB"/>
    <w:rsid w:val="00721BFF"/>
    <w:rsid w:val="00722FD8"/>
    <w:rsid w:val="007236C4"/>
    <w:rsid w:val="00724635"/>
    <w:rsid w:val="0072554B"/>
    <w:rsid w:val="00725AFD"/>
    <w:rsid w:val="00726603"/>
    <w:rsid w:val="00727DDC"/>
    <w:rsid w:val="00730CD6"/>
    <w:rsid w:val="00730F74"/>
    <w:rsid w:val="0073114B"/>
    <w:rsid w:val="00734414"/>
    <w:rsid w:val="00734952"/>
    <w:rsid w:val="00734990"/>
    <w:rsid w:val="00734FF5"/>
    <w:rsid w:val="00735550"/>
    <w:rsid w:val="00735B78"/>
    <w:rsid w:val="00735DA7"/>
    <w:rsid w:val="007368B4"/>
    <w:rsid w:val="007378E0"/>
    <w:rsid w:val="00737C5C"/>
    <w:rsid w:val="00740529"/>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529"/>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8A8"/>
    <w:rsid w:val="00772275"/>
    <w:rsid w:val="007734E4"/>
    <w:rsid w:val="0077380D"/>
    <w:rsid w:val="00773BC8"/>
    <w:rsid w:val="00773EDD"/>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75D"/>
    <w:rsid w:val="00784FC4"/>
    <w:rsid w:val="00785BBB"/>
    <w:rsid w:val="00786FAD"/>
    <w:rsid w:val="007873C9"/>
    <w:rsid w:val="00787D90"/>
    <w:rsid w:val="00787F5E"/>
    <w:rsid w:val="00790164"/>
    <w:rsid w:val="007906E2"/>
    <w:rsid w:val="00790A24"/>
    <w:rsid w:val="00790A37"/>
    <w:rsid w:val="00790A60"/>
    <w:rsid w:val="0079146D"/>
    <w:rsid w:val="00791C32"/>
    <w:rsid w:val="00791FF0"/>
    <w:rsid w:val="007923D0"/>
    <w:rsid w:val="00792AD0"/>
    <w:rsid w:val="0079302C"/>
    <w:rsid w:val="007930D3"/>
    <w:rsid w:val="0079381F"/>
    <w:rsid w:val="00793B2E"/>
    <w:rsid w:val="007948F5"/>
    <w:rsid w:val="00795647"/>
    <w:rsid w:val="007963F6"/>
    <w:rsid w:val="00796418"/>
    <w:rsid w:val="00796E80"/>
    <w:rsid w:val="007979AD"/>
    <w:rsid w:val="00797A9C"/>
    <w:rsid w:val="007A0EAB"/>
    <w:rsid w:val="007A2149"/>
    <w:rsid w:val="007A2341"/>
    <w:rsid w:val="007A38A1"/>
    <w:rsid w:val="007A3967"/>
    <w:rsid w:val="007A3BBE"/>
    <w:rsid w:val="007A4766"/>
    <w:rsid w:val="007A5816"/>
    <w:rsid w:val="007A5947"/>
    <w:rsid w:val="007B0313"/>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EA2"/>
    <w:rsid w:val="007C097D"/>
    <w:rsid w:val="007C13FA"/>
    <w:rsid w:val="007C1672"/>
    <w:rsid w:val="007C312A"/>
    <w:rsid w:val="007C3570"/>
    <w:rsid w:val="007C3F3B"/>
    <w:rsid w:val="007C4241"/>
    <w:rsid w:val="007C55FF"/>
    <w:rsid w:val="007C6339"/>
    <w:rsid w:val="007C7C43"/>
    <w:rsid w:val="007C7F0D"/>
    <w:rsid w:val="007D1134"/>
    <w:rsid w:val="007D23F7"/>
    <w:rsid w:val="007D2566"/>
    <w:rsid w:val="007D2C18"/>
    <w:rsid w:val="007D2D74"/>
    <w:rsid w:val="007D3395"/>
    <w:rsid w:val="007D3693"/>
    <w:rsid w:val="007D3C6D"/>
    <w:rsid w:val="007D4332"/>
    <w:rsid w:val="007D481A"/>
    <w:rsid w:val="007D5648"/>
    <w:rsid w:val="007D58C5"/>
    <w:rsid w:val="007D5DE8"/>
    <w:rsid w:val="007D7CFC"/>
    <w:rsid w:val="007E0812"/>
    <w:rsid w:val="007E18DF"/>
    <w:rsid w:val="007E2A04"/>
    <w:rsid w:val="007E2C36"/>
    <w:rsid w:val="007E350D"/>
    <w:rsid w:val="007E497C"/>
    <w:rsid w:val="007E5C4A"/>
    <w:rsid w:val="007E64D4"/>
    <w:rsid w:val="007E66E9"/>
    <w:rsid w:val="007E69F2"/>
    <w:rsid w:val="007E7432"/>
    <w:rsid w:val="007E74AD"/>
    <w:rsid w:val="007E74BF"/>
    <w:rsid w:val="007F14D3"/>
    <w:rsid w:val="007F157F"/>
    <w:rsid w:val="007F1D9D"/>
    <w:rsid w:val="007F1E28"/>
    <w:rsid w:val="007F1F63"/>
    <w:rsid w:val="007F22A0"/>
    <w:rsid w:val="007F2F90"/>
    <w:rsid w:val="007F3320"/>
    <w:rsid w:val="007F392A"/>
    <w:rsid w:val="007F3AC1"/>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F9E"/>
    <w:rsid w:val="0080350F"/>
    <w:rsid w:val="00803700"/>
    <w:rsid w:val="00803D9D"/>
    <w:rsid w:val="008059C6"/>
    <w:rsid w:val="00805AD7"/>
    <w:rsid w:val="00805BD6"/>
    <w:rsid w:val="00805DE3"/>
    <w:rsid w:val="00807C35"/>
    <w:rsid w:val="00807F69"/>
    <w:rsid w:val="008100F7"/>
    <w:rsid w:val="00810206"/>
    <w:rsid w:val="00811898"/>
    <w:rsid w:val="008124D8"/>
    <w:rsid w:val="0081325C"/>
    <w:rsid w:val="00813A7B"/>
    <w:rsid w:val="00813F04"/>
    <w:rsid w:val="00814B72"/>
    <w:rsid w:val="00815DA5"/>
    <w:rsid w:val="00816221"/>
    <w:rsid w:val="008168C9"/>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23EC"/>
    <w:rsid w:val="0084332E"/>
    <w:rsid w:val="00843615"/>
    <w:rsid w:val="00843698"/>
    <w:rsid w:val="00843A4B"/>
    <w:rsid w:val="00843B57"/>
    <w:rsid w:val="00843B60"/>
    <w:rsid w:val="00843D33"/>
    <w:rsid w:val="00844D4F"/>
    <w:rsid w:val="00845AE3"/>
    <w:rsid w:val="008466A0"/>
    <w:rsid w:val="008474AE"/>
    <w:rsid w:val="00847535"/>
    <w:rsid w:val="00847B6D"/>
    <w:rsid w:val="0085092D"/>
    <w:rsid w:val="00850D82"/>
    <w:rsid w:val="00850F79"/>
    <w:rsid w:val="0085100B"/>
    <w:rsid w:val="0085304C"/>
    <w:rsid w:val="008548CA"/>
    <w:rsid w:val="00856C06"/>
    <w:rsid w:val="0085790B"/>
    <w:rsid w:val="00857C95"/>
    <w:rsid w:val="00857E78"/>
    <w:rsid w:val="00860AEF"/>
    <w:rsid w:val="0086122C"/>
    <w:rsid w:val="00861310"/>
    <w:rsid w:val="00861F0F"/>
    <w:rsid w:val="00861F53"/>
    <w:rsid w:val="0086289E"/>
    <w:rsid w:val="0086394E"/>
    <w:rsid w:val="00863F8A"/>
    <w:rsid w:val="00863FE3"/>
    <w:rsid w:val="00864241"/>
    <w:rsid w:val="0086468A"/>
    <w:rsid w:val="008650BE"/>
    <w:rsid w:val="0086633B"/>
    <w:rsid w:val="00866495"/>
    <w:rsid w:val="00866931"/>
    <w:rsid w:val="00867512"/>
    <w:rsid w:val="0087033C"/>
    <w:rsid w:val="00870B44"/>
    <w:rsid w:val="008715ED"/>
    <w:rsid w:val="008717D8"/>
    <w:rsid w:val="00871E3C"/>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68A"/>
    <w:rsid w:val="00881E64"/>
    <w:rsid w:val="00882E39"/>
    <w:rsid w:val="008850E3"/>
    <w:rsid w:val="008850EB"/>
    <w:rsid w:val="00885107"/>
    <w:rsid w:val="00886DF2"/>
    <w:rsid w:val="00886FB9"/>
    <w:rsid w:val="00887080"/>
    <w:rsid w:val="00887C79"/>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A23"/>
    <w:rsid w:val="008A2AF5"/>
    <w:rsid w:val="008A2B5A"/>
    <w:rsid w:val="008A3F9D"/>
    <w:rsid w:val="008A5474"/>
    <w:rsid w:val="008A5C9A"/>
    <w:rsid w:val="008A6A55"/>
    <w:rsid w:val="008A6DF0"/>
    <w:rsid w:val="008A6F6E"/>
    <w:rsid w:val="008A7888"/>
    <w:rsid w:val="008A796E"/>
    <w:rsid w:val="008B0862"/>
    <w:rsid w:val="008B088C"/>
    <w:rsid w:val="008B0F97"/>
    <w:rsid w:val="008B1BF5"/>
    <w:rsid w:val="008B263F"/>
    <w:rsid w:val="008B47A6"/>
    <w:rsid w:val="008B672C"/>
    <w:rsid w:val="008C036D"/>
    <w:rsid w:val="008C0743"/>
    <w:rsid w:val="008C0B4C"/>
    <w:rsid w:val="008C11F0"/>
    <w:rsid w:val="008C1587"/>
    <w:rsid w:val="008C1DBA"/>
    <w:rsid w:val="008C24E7"/>
    <w:rsid w:val="008C2500"/>
    <w:rsid w:val="008C2CAC"/>
    <w:rsid w:val="008C3E2A"/>
    <w:rsid w:val="008C3F42"/>
    <w:rsid w:val="008C45BD"/>
    <w:rsid w:val="008C4B19"/>
    <w:rsid w:val="008C568F"/>
    <w:rsid w:val="008C62D4"/>
    <w:rsid w:val="008C6B89"/>
    <w:rsid w:val="008D18AA"/>
    <w:rsid w:val="008D1A2A"/>
    <w:rsid w:val="008D29B1"/>
    <w:rsid w:val="008D35D9"/>
    <w:rsid w:val="008D3B85"/>
    <w:rsid w:val="008D462D"/>
    <w:rsid w:val="008D5A78"/>
    <w:rsid w:val="008D5C6E"/>
    <w:rsid w:val="008D66CA"/>
    <w:rsid w:val="008D69B1"/>
    <w:rsid w:val="008D7338"/>
    <w:rsid w:val="008E0012"/>
    <w:rsid w:val="008E0DF7"/>
    <w:rsid w:val="008E0FAD"/>
    <w:rsid w:val="008E1347"/>
    <w:rsid w:val="008E16E0"/>
    <w:rsid w:val="008E1C15"/>
    <w:rsid w:val="008E1C9A"/>
    <w:rsid w:val="008E28BD"/>
    <w:rsid w:val="008E29CA"/>
    <w:rsid w:val="008E38B4"/>
    <w:rsid w:val="008E3BA4"/>
    <w:rsid w:val="008E44AB"/>
    <w:rsid w:val="008E5179"/>
    <w:rsid w:val="008E6598"/>
    <w:rsid w:val="008E7214"/>
    <w:rsid w:val="008E7348"/>
    <w:rsid w:val="008E7884"/>
    <w:rsid w:val="008E7D6E"/>
    <w:rsid w:val="008F1056"/>
    <w:rsid w:val="008F2E8D"/>
    <w:rsid w:val="008F387B"/>
    <w:rsid w:val="008F3DD9"/>
    <w:rsid w:val="008F4814"/>
    <w:rsid w:val="008F4DA6"/>
    <w:rsid w:val="008F538E"/>
    <w:rsid w:val="008F5A20"/>
    <w:rsid w:val="008F5ABA"/>
    <w:rsid w:val="008F7905"/>
    <w:rsid w:val="008F7989"/>
    <w:rsid w:val="009026AF"/>
    <w:rsid w:val="009028E8"/>
    <w:rsid w:val="00902E5C"/>
    <w:rsid w:val="0090350D"/>
    <w:rsid w:val="009046E5"/>
    <w:rsid w:val="009047C5"/>
    <w:rsid w:val="00910683"/>
    <w:rsid w:val="00910E00"/>
    <w:rsid w:val="009116CE"/>
    <w:rsid w:val="00911714"/>
    <w:rsid w:val="00911A5B"/>
    <w:rsid w:val="009136D4"/>
    <w:rsid w:val="00914B9A"/>
    <w:rsid w:val="00914C3F"/>
    <w:rsid w:val="00914F33"/>
    <w:rsid w:val="009153F6"/>
    <w:rsid w:val="00915863"/>
    <w:rsid w:val="00915F23"/>
    <w:rsid w:val="00915FCE"/>
    <w:rsid w:val="00916AFE"/>
    <w:rsid w:val="00916FC8"/>
    <w:rsid w:val="009170D3"/>
    <w:rsid w:val="0091759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47"/>
    <w:rsid w:val="0093349A"/>
    <w:rsid w:val="009337B2"/>
    <w:rsid w:val="00933FCB"/>
    <w:rsid w:val="00934E69"/>
    <w:rsid w:val="00935D46"/>
    <w:rsid w:val="009367D5"/>
    <w:rsid w:val="00937401"/>
    <w:rsid w:val="009376FB"/>
    <w:rsid w:val="00937D6B"/>
    <w:rsid w:val="00940477"/>
    <w:rsid w:val="00940876"/>
    <w:rsid w:val="00940A53"/>
    <w:rsid w:val="00940F3C"/>
    <w:rsid w:val="009410E0"/>
    <w:rsid w:val="009432F3"/>
    <w:rsid w:val="009444B4"/>
    <w:rsid w:val="00944644"/>
    <w:rsid w:val="009460F9"/>
    <w:rsid w:val="00946A24"/>
    <w:rsid w:val="009470D4"/>
    <w:rsid w:val="00947337"/>
    <w:rsid w:val="009512FA"/>
    <w:rsid w:val="00951457"/>
    <w:rsid w:val="00951E57"/>
    <w:rsid w:val="00953018"/>
    <w:rsid w:val="009533E2"/>
    <w:rsid w:val="00953554"/>
    <w:rsid w:val="0095385A"/>
    <w:rsid w:val="00953928"/>
    <w:rsid w:val="0095780A"/>
    <w:rsid w:val="009579E4"/>
    <w:rsid w:val="00957AA4"/>
    <w:rsid w:val="00957ACB"/>
    <w:rsid w:val="00957F27"/>
    <w:rsid w:val="009609F0"/>
    <w:rsid w:val="00960BDB"/>
    <w:rsid w:val="0096147D"/>
    <w:rsid w:val="00961E5F"/>
    <w:rsid w:val="009625C6"/>
    <w:rsid w:val="009629B5"/>
    <w:rsid w:val="00962A50"/>
    <w:rsid w:val="009631BD"/>
    <w:rsid w:val="00964138"/>
    <w:rsid w:val="00964B3F"/>
    <w:rsid w:val="00964C98"/>
    <w:rsid w:val="00966214"/>
    <w:rsid w:val="00967DA0"/>
    <w:rsid w:val="00971441"/>
    <w:rsid w:val="009715D4"/>
    <w:rsid w:val="009739A9"/>
    <w:rsid w:val="00973AA2"/>
    <w:rsid w:val="0097494E"/>
    <w:rsid w:val="00974B58"/>
    <w:rsid w:val="009761ED"/>
    <w:rsid w:val="009801E7"/>
    <w:rsid w:val="0098022F"/>
    <w:rsid w:val="009810DE"/>
    <w:rsid w:val="009822D7"/>
    <w:rsid w:val="009827E6"/>
    <w:rsid w:val="00982F84"/>
    <w:rsid w:val="0098427D"/>
    <w:rsid w:val="00984567"/>
    <w:rsid w:val="00985102"/>
    <w:rsid w:val="009865D5"/>
    <w:rsid w:val="009876F2"/>
    <w:rsid w:val="00987C77"/>
    <w:rsid w:val="00990345"/>
    <w:rsid w:val="00990701"/>
    <w:rsid w:val="0099119C"/>
    <w:rsid w:val="0099137A"/>
    <w:rsid w:val="0099211C"/>
    <w:rsid w:val="00993B78"/>
    <w:rsid w:val="0099483A"/>
    <w:rsid w:val="00995119"/>
    <w:rsid w:val="009953AD"/>
    <w:rsid w:val="0099583D"/>
    <w:rsid w:val="00996992"/>
    <w:rsid w:val="00996E1E"/>
    <w:rsid w:val="00997392"/>
    <w:rsid w:val="0099747C"/>
    <w:rsid w:val="0099771C"/>
    <w:rsid w:val="009A01E4"/>
    <w:rsid w:val="009A0917"/>
    <w:rsid w:val="009A0A33"/>
    <w:rsid w:val="009A1351"/>
    <w:rsid w:val="009A2435"/>
    <w:rsid w:val="009A35DC"/>
    <w:rsid w:val="009A38AB"/>
    <w:rsid w:val="009A396F"/>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BDF"/>
    <w:rsid w:val="009D3736"/>
    <w:rsid w:val="009D4529"/>
    <w:rsid w:val="009D4B03"/>
    <w:rsid w:val="009D604F"/>
    <w:rsid w:val="009D61BB"/>
    <w:rsid w:val="009D6410"/>
    <w:rsid w:val="009D65FF"/>
    <w:rsid w:val="009D68BB"/>
    <w:rsid w:val="009D70C2"/>
    <w:rsid w:val="009D7ADB"/>
    <w:rsid w:val="009D7B33"/>
    <w:rsid w:val="009E0703"/>
    <w:rsid w:val="009E16DA"/>
    <w:rsid w:val="009E1CD4"/>
    <w:rsid w:val="009E2156"/>
    <w:rsid w:val="009E2391"/>
    <w:rsid w:val="009E2A97"/>
    <w:rsid w:val="009E476A"/>
    <w:rsid w:val="009E4E05"/>
    <w:rsid w:val="009E56FF"/>
    <w:rsid w:val="009E5CB1"/>
    <w:rsid w:val="009E5E56"/>
    <w:rsid w:val="009E61EA"/>
    <w:rsid w:val="009E6990"/>
    <w:rsid w:val="009E6FEE"/>
    <w:rsid w:val="009F060F"/>
    <w:rsid w:val="009F0781"/>
    <w:rsid w:val="009F0850"/>
    <w:rsid w:val="009F1BDF"/>
    <w:rsid w:val="009F1EAE"/>
    <w:rsid w:val="009F3513"/>
    <w:rsid w:val="009F369D"/>
    <w:rsid w:val="009F36FE"/>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9A9"/>
    <w:rsid w:val="00A15C19"/>
    <w:rsid w:val="00A16809"/>
    <w:rsid w:val="00A17769"/>
    <w:rsid w:val="00A17EA2"/>
    <w:rsid w:val="00A20264"/>
    <w:rsid w:val="00A20997"/>
    <w:rsid w:val="00A21454"/>
    <w:rsid w:val="00A22025"/>
    <w:rsid w:val="00A22498"/>
    <w:rsid w:val="00A22571"/>
    <w:rsid w:val="00A24560"/>
    <w:rsid w:val="00A25B0F"/>
    <w:rsid w:val="00A25BBB"/>
    <w:rsid w:val="00A25F8E"/>
    <w:rsid w:val="00A27F18"/>
    <w:rsid w:val="00A27FB6"/>
    <w:rsid w:val="00A30121"/>
    <w:rsid w:val="00A30368"/>
    <w:rsid w:val="00A3043A"/>
    <w:rsid w:val="00A30E02"/>
    <w:rsid w:val="00A30F6A"/>
    <w:rsid w:val="00A31C3E"/>
    <w:rsid w:val="00A3201C"/>
    <w:rsid w:val="00A329F8"/>
    <w:rsid w:val="00A34538"/>
    <w:rsid w:val="00A34677"/>
    <w:rsid w:val="00A3540F"/>
    <w:rsid w:val="00A35630"/>
    <w:rsid w:val="00A35914"/>
    <w:rsid w:val="00A36189"/>
    <w:rsid w:val="00A37E73"/>
    <w:rsid w:val="00A37FB6"/>
    <w:rsid w:val="00A4104A"/>
    <w:rsid w:val="00A41081"/>
    <w:rsid w:val="00A411CA"/>
    <w:rsid w:val="00A413AD"/>
    <w:rsid w:val="00A42096"/>
    <w:rsid w:val="00A426F3"/>
    <w:rsid w:val="00A42FDF"/>
    <w:rsid w:val="00A430A9"/>
    <w:rsid w:val="00A431FE"/>
    <w:rsid w:val="00A439E5"/>
    <w:rsid w:val="00A4497A"/>
    <w:rsid w:val="00A44BE8"/>
    <w:rsid w:val="00A44C96"/>
    <w:rsid w:val="00A44F54"/>
    <w:rsid w:val="00A45F9B"/>
    <w:rsid w:val="00A46574"/>
    <w:rsid w:val="00A467C4"/>
    <w:rsid w:val="00A500B1"/>
    <w:rsid w:val="00A52D3F"/>
    <w:rsid w:val="00A52EE5"/>
    <w:rsid w:val="00A53037"/>
    <w:rsid w:val="00A532B9"/>
    <w:rsid w:val="00A5351D"/>
    <w:rsid w:val="00A53E79"/>
    <w:rsid w:val="00A54031"/>
    <w:rsid w:val="00A5426D"/>
    <w:rsid w:val="00A54FC2"/>
    <w:rsid w:val="00A55122"/>
    <w:rsid w:val="00A56DE7"/>
    <w:rsid w:val="00A57EB2"/>
    <w:rsid w:val="00A6009E"/>
    <w:rsid w:val="00A60717"/>
    <w:rsid w:val="00A60B1F"/>
    <w:rsid w:val="00A61C60"/>
    <w:rsid w:val="00A62589"/>
    <w:rsid w:val="00A62C3A"/>
    <w:rsid w:val="00A63812"/>
    <w:rsid w:val="00A63DF7"/>
    <w:rsid w:val="00A64505"/>
    <w:rsid w:val="00A64DA9"/>
    <w:rsid w:val="00A668BA"/>
    <w:rsid w:val="00A66FA7"/>
    <w:rsid w:val="00A67E16"/>
    <w:rsid w:val="00A703CC"/>
    <w:rsid w:val="00A70C5C"/>
    <w:rsid w:val="00A71EA7"/>
    <w:rsid w:val="00A730AD"/>
    <w:rsid w:val="00A73855"/>
    <w:rsid w:val="00A73D64"/>
    <w:rsid w:val="00A74216"/>
    <w:rsid w:val="00A744B4"/>
    <w:rsid w:val="00A751E3"/>
    <w:rsid w:val="00A75504"/>
    <w:rsid w:val="00A75CD9"/>
    <w:rsid w:val="00A76438"/>
    <w:rsid w:val="00A77168"/>
    <w:rsid w:val="00A7723B"/>
    <w:rsid w:val="00A7793C"/>
    <w:rsid w:val="00A77D21"/>
    <w:rsid w:val="00A80085"/>
    <w:rsid w:val="00A8043B"/>
    <w:rsid w:val="00A81323"/>
    <w:rsid w:val="00A820CB"/>
    <w:rsid w:val="00A82342"/>
    <w:rsid w:val="00A83BEF"/>
    <w:rsid w:val="00A84443"/>
    <w:rsid w:val="00A8487F"/>
    <w:rsid w:val="00A849A3"/>
    <w:rsid w:val="00A84A0E"/>
    <w:rsid w:val="00A86E0B"/>
    <w:rsid w:val="00A90F12"/>
    <w:rsid w:val="00A93101"/>
    <w:rsid w:val="00A94293"/>
    <w:rsid w:val="00A9496E"/>
    <w:rsid w:val="00A949F0"/>
    <w:rsid w:val="00A94BDE"/>
    <w:rsid w:val="00A94FCA"/>
    <w:rsid w:val="00A95E4C"/>
    <w:rsid w:val="00A96C60"/>
    <w:rsid w:val="00A9740B"/>
    <w:rsid w:val="00A9766C"/>
    <w:rsid w:val="00A977F8"/>
    <w:rsid w:val="00A97C93"/>
    <w:rsid w:val="00AA08E7"/>
    <w:rsid w:val="00AA0A06"/>
    <w:rsid w:val="00AA1351"/>
    <w:rsid w:val="00AA1C84"/>
    <w:rsid w:val="00AA3D7B"/>
    <w:rsid w:val="00AA42A0"/>
    <w:rsid w:val="00AA442B"/>
    <w:rsid w:val="00AA46A4"/>
    <w:rsid w:val="00AA470B"/>
    <w:rsid w:val="00AA5779"/>
    <w:rsid w:val="00AA58A1"/>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79A"/>
    <w:rsid w:val="00AB70D1"/>
    <w:rsid w:val="00AB724B"/>
    <w:rsid w:val="00AB726C"/>
    <w:rsid w:val="00AB72B4"/>
    <w:rsid w:val="00AC02AA"/>
    <w:rsid w:val="00AC0537"/>
    <w:rsid w:val="00AC0A84"/>
    <w:rsid w:val="00AC2A0B"/>
    <w:rsid w:val="00AC2BEE"/>
    <w:rsid w:val="00AC2E53"/>
    <w:rsid w:val="00AC3904"/>
    <w:rsid w:val="00AC484F"/>
    <w:rsid w:val="00AC4B20"/>
    <w:rsid w:val="00AC56F2"/>
    <w:rsid w:val="00AC6886"/>
    <w:rsid w:val="00AC71C3"/>
    <w:rsid w:val="00AD1EFA"/>
    <w:rsid w:val="00AD2072"/>
    <w:rsid w:val="00AD2DBD"/>
    <w:rsid w:val="00AD2FBF"/>
    <w:rsid w:val="00AD455D"/>
    <w:rsid w:val="00AD463C"/>
    <w:rsid w:val="00AD46A2"/>
    <w:rsid w:val="00AD4F60"/>
    <w:rsid w:val="00AD5044"/>
    <w:rsid w:val="00AD5114"/>
    <w:rsid w:val="00AD6236"/>
    <w:rsid w:val="00AD7619"/>
    <w:rsid w:val="00AD7770"/>
    <w:rsid w:val="00AE1772"/>
    <w:rsid w:val="00AE1990"/>
    <w:rsid w:val="00AE25E8"/>
    <w:rsid w:val="00AE2AD4"/>
    <w:rsid w:val="00AE2CA7"/>
    <w:rsid w:val="00AE2F1D"/>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2735"/>
    <w:rsid w:val="00B129C6"/>
    <w:rsid w:val="00B13386"/>
    <w:rsid w:val="00B13533"/>
    <w:rsid w:val="00B13C48"/>
    <w:rsid w:val="00B13E35"/>
    <w:rsid w:val="00B13EC0"/>
    <w:rsid w:val="00B14102"/>
    <w:rsid w:val="00B14D32"/>
    <w:rsid w:val="00B1557C"/>
    <w:rsid w:val="00B155DC"/>
    <w:rsid w:val="00B15766"/>
    <w:rsid w:val="00B15930"/>
    <w:rsid w:val="00B1666A"/>
    <w:rsid w:val="00B1686D"/>
    <w:rsid w:val="00B1741D"/>
    <w:rsid w:val="00B17447"/>
    <w:rsid w:val="00B1771D"/>
    <w:rsid w:val="00B17B91"/>
    <w:rsid w:val="00B20209"/>
    <w:rsid w:val="00B203AF"/>
    <w:rsid w:val="00B203C9"/>
    <w:rsid w:val="00B2088D"/>
    <w:rsid w:val="00B208FF"/>
    <w:rsid w:val="00B22C58"/>
    <w:rsid w:val="00B22E22"/>
    <w:rsid w:val="00B22F5F"/>
    <w:rsid w:val="00B23813"/>
    <w:rsid w:val="00B23FD9"/>
    <w:rsid w:val="00B24591"/>
    <w:rsid w:val="00B245D5"/>
    <w:rsid w:val="00B24C36"/>
    <w:rsid w:val="00B24F94"/>
    <w:rsid w:val="00B25126"/>
    <w:rsid w:val="00B25A52"/>
    <w:rsid w:val="00B25B0A"/>
    <w:rsid w:val="00B25FC3"/>
    <w:rsid w:val="00B27026"/>
    <w:rsid w:val="00B27875"/>
    <w:rsid w:val="00B3008D"/>
    <w:rsid w:val="00B30E11"/>
    <w:rsid w:val="00B30EEB"/>
    <w:rsid w:val="00B31423"/>
    <w:rsid w:val="00B31710"/>
    <w:rsid w:val="00B323E0"/>
    <w:rsid w:val="00B32DC0"/>
    <w:rsid w:val="00B3346C"/>
    <w:rsid w:val="00B335E4"/>
    <w:rsid w:val="00B33C23"/>
    <w:rsid w:val="00B343E2"/>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729"/>
    <w:rsid w:val="00B5196C"/>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416D"/>
    <w:rsid w:val="00B64246"/>
    <w:rsid w:val="00B64EDB"/>
    <w:rsid w:val="00B65938"/>
    <w:rsid w:val="00B65C8A"/>
    <w:rsid w:val="00B65CE2"/>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423D"/>
    <w:rsid w:val="00B74D05"/>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7CC"/>
    <w:rsid w:val="00BC1B60"/>
    <w:rsid w:val="00BC229E"/>
    <w:rsid w:val="00BC2898"/>
    <w:rsid w:val="00BC2928"/>
    <w:rsid w:val="00BC2BB1"/>
    <w:rsid w:val="00BC34A3"/>
    <w:rsid w:val="00BC3FF9"/>
    <w:rsid w:val="00BC4834"/>
    <w:rsid w:val="00BC4A97"/>
    <w:rsid w:val="00BC5A25"/>
    <w:rsid w:val="00BC5FDD"/>
    <w:rsid w:val="00BC68B4"/>
    <w:rsid w:val="00BD0140"/>
    <w:rsid w:val="00BD02CC"/>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45DF"/>
    <w:rsid w:val="00BE4667"/>
    <w:rsid w:val="00BE47B2"/>
    <w:rsid w:val="00BE48C7"/>
    <w:rsid w:val="00BE4F66"/>
    <w:rsid w:val="00BE5238"/>
    <w:rsid w:val="00BE6074"/>
    <w:rsid w:val="00BE7257"/>
    <w:rsid w:val="00BF0169"/>
    <w:rsid w:val="00BF020D"/>
    <w:rsid w:val="00BF1DD2"/>
    <w:rsid w:val="00BF23A3"/>
    <w:rsid w:val="00BF2A7E"/>
    <w:rsid w:val="00BF3331"/>
    <w:rsid w:val="00BF3714"/>
    <w:rsid w:val="00BF3A45"/>
    <w:rsid w:val="00BF436F"/>
    <w:rsid w:val="00BF5723"/>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BDB"/>
    <w:rsid w:val="00C052C6"/>
    <w:rsid w:val="00C05A61"/>
    <w:rsid w:val="00C06CCF"/>
    <w:rsid w:val="00C108B8"/>
    <w:rsid w:val="00C11503"/>
    <w:rsid w:val="00C1159D"/>
    <w:rsid w:val="00C11683"/>
    <w:rsid w:val="00C118DB"/>
    <w:rsid w:val="00C1233E"/>
    <w:rsid w:val="00C125C1"/>
    <w:rsid w:val="00C12FB3"/>
    <w:rsid w:val="00C138BC"/>
    <w:rsid w:val="00C13D85"/>
    <w:rsid w:val="00C14639"/>
    <w:rsid w:val="00C14E82"/>
    <w:rsid w:val="00C14FF6"/>
    <w:rsid w:val="00C15A85"/>
    <w:rsid w:val="00C1641B"/>
    <w:rsid w:val="00C165FC"/>
    <w:rsid w:val="00C176D5"/>
    <w:rsid w:val="00C2082C"/>
    <w:rsid w:val="00C20EB0"/>
    <w:rsid w:val="00C21005"/>
    <w:rsid w:val="00C220B6"/>
    <w:rsid w:val="00C22D7C"/>
    <w:rsid w:val="00C22DDE"/>
    <w:rsid w:val="00C2338B"/>
    <w:rsid w:val="00C233CE"/>
    <w:rsid w:val="00C23661"/>
    <w:rsid w:val="00C237DD"/>
    <w:rsid w:val="00C238F4"/>
    <w:rsid w:val="00C23A99"/>
    <w:rsid w:val="00C245EE"/>
    <w:rsid w:val="00C24AE1"/>
    <w:rsid w:val="00C24B8D"/>
    <w:rsid w:val="00C24BD7"/>
    <w:rsid w:val="00C2561A"/>
    <w:rsid w:val="00C25813"/>
    <w:rsid w:val="00C27143"/>
    <w:rsid w:val="00C27490"/>
    <w:rsid w:val="00C27A55"/>
    <w:rsid w:val="00C27D37"/>
    <w:rsid w:val="00C302E5"/>
    <w:rsid w:val="00C309E8"/>
    <w:rsid w:val="00C31681"/>
    <w:rsid w:val="00C32017"/>
    <w:rsid w:val="00C325CD"/>
    <w:rsid w:val="00C3322E"/>
    <w:rsid w:val="00C3361D"/>
    <w:rsid w:val="00C337F5"/>
    <w:rsid w:val="00C33B90"/>
    <w:rsid w:val="00C34B5F"/>
    <w:rsid w:val="00C358D4"/>
    <w:rsid w:val="00C36785"/>
    <w:rsid w:val="00C36845"/>
    <w:rsid w:val="00C3711C"/>
    <w:rsid w:val="00C37256"/>
    <w:rsid w:val="00C37A7B"/>
    <w:rsid w:val="00C37FFE"/>
    <w:rsid w:val="00C40B50"/>
    <w:rsid w:val="00C40D23"/>
    <w:rsid w:val="00C41858"/>
    <w:rsid w:val="00C419E3"/>
    <w:rsid w:val="00C419F4"/>
    <w:rsid w:val="00C41E6A"/>
    <w:rsid w:val="00C42247"/>
    <w:rsid w:val="00C439BE"/>
    <w:rsid w:val="00C44E61"/>
    <w:rsid w:val="00C4539B"/>
    <w:rsid w:val="00C45466"/>
    <w:rsid w:val="00C455C1"/>
    <w:rsid w:val="00C4581D"/>
    <w:rsid w:val="00C47472"/>
    <w:rsid w:val="00C500F0"/>
    <w:rsid w:val="00C504A7"/>
    <w:rsid w:val="00C506C9"/>
    <w:rsid w:val="00C50A16"/>
    <w:rsid w:val="00C5122B"/>
    <w:rsid w:val="00C51C9A"/>
    <w:rsid w:val="00C51DE3"/>
    <w:rsid w:val="00C52C68"/>
    <w:rsid w:val="00C52D98"/>
    <w:rsid w:val="00C53D24"/>
    <w:rsid w:val="00C54640"/>
    <w:rsid w:val="00C547A6"/>
    <w:rsid w:val="00C54A3A"/>
    <w:rsid w:val="00C5503F"/>
    <w:rsid w:val="00C55C32"/>
    <w:rsid w:val="00C56A67"/>
    <w:rsid w:val="00C56C6C"/>
    <w:rsid w:val="00C56CC2"/>
    <w:rsid w:val="00C57498"/>
    <w:rsid w:val="00C5763C"/>
    <w:rsid w:val="00C5780C"/>
    <w:rsid w:val="00C5796B"/>
    <w:rsid w:val="00C6092D"/>
    <w:rsid w:val="00C619A1"/>
    <w:rsid w:val="00C62370"/>
    <w:rsid w:val="00C62545"/>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4284"/>
    <w:rsid w:val="00C84E33"/>
    <w:rsid w:val="00C85372"/>
    <w:rsid w:val="00C85FFC"/>
    <w:rsid w:val="00C861FC"/>
    <w:rsid w:val="00C86C87"/>
    <w:rsid w:val="00C9005E"/>
    <w:rsid w:val="00C90111"/>
    <w:rsid w:val="00C90CA9"/>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D050A"/>
    <w:rsid w:val="00CD205D"/>
    <w:rsid w:val="00CD2A22"/>
    <w:rsid w:val="00CD2B50"/>
    <w:rsid w:val="00CD4506"/>
    <w:rsid w:val="00CD520B"/>
    <w:rsid w:val="00CD592E"/>
    <w:rsid w:val="00CD5982"/>
    <w:rsid w:val="00CD5A1A"/>
    <w:rsid w:val="00CD7EFA"/>
    <w:rsid w:val="00CE020E"/>
    <w:rsid w:val="00CE0566"/>
    <w:rsid w:val="00CE1CD4"/>
    <w:rsid w:val="00CE2761"/>
    <w:rsid w:val="00CE314E"/>
    <w:rsid w:val="00CE3D5C"/>
    <w:rsid w:val="00CE3E14"/>
    <w:rsid w:val="00CE44C7"/>
    <w:rsid w:val="00CE520F"/>
    <w:rsid w:val="00CE53CC"/>
    <w:rsid w:val="00CE65A7"/>
    <w:rsid w:val="00CE68FE"/>
    <w:rsid w:val="00CE69CC"/>
    <w:rsid w:val="00CE6EC4"/>
    <w:rsid w:val="00CE7F26"/>
    <w:rsid w:val="00CF1226"/>
    <w:rsid w:val="00CF1ABB"/>
    <w:rsid w:val="00CF1E1D"/>
    <w:rsid w:val="00CF24FE"/>
    <w:rsid w:val="00CF35D0"/>
    <w:rsid w:val="00CF3DD5"/>
    <w:rsid w:val="00CF4AF7"/>
    <w:rsid w:val="00CF4D20"/>
    <w:rsid w:val="00CF6672"/>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8E9"/>
    <w:rsid w:val="00D0612A"/>
    <w:rsid w:val="00D1060D"/>
    <w:rsid w:val="00D10E7C"/>
    <w:rsid w:val="00D11182"/>
    <w:rsid w:val="00D1137B"/>
    <w:rsid w:val="00D11807"/>
    <w:rsid w:val="00D11DB3"/>
    <w:rsid w:val="00D12D82"/>
    <w:rsid w:val="00D1306E"/>
    <w:rsid w:val="00D134CD"/>
    <w:rsid w:val="00D14B5F"/>
    <w:rsid w:val="00D14E13"/>
    <w:rsid w:val="00D14F23"/>
    <w:rsid w:val="00D15356"/>
    <w:rsid w:val="00D16740"/>
    <w:rsid w:val="00D16A8B"/>
    <w:rsid w:val="00D16E39"/>
    <w:rsid w:val="00D17951"/>
    <w:rsid w:val="00D17AD8"/>
    <w:rsid w:val="00D2104A"/>
    <w:rsid w:val="00D21BB5"/>
    <w:rsid w:val="00D21FFC"/>
    <w:rsid w:val="00D223B6"/>
    <w:rsid w:val="00D223E8"/>
    <w:rsid w:val="00D22DC8"/>
    <w:rsid w:val="00D2522A"/>
    <w:rsid w:val="00D2531C"/>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5C93"/>
    <w:rsid w:val="00D373A8"/>
    <w:rsid w:val="00D37460"/>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50C39"/>
    <w:rsid w:val="00D51E15"/>
    <w:rsid w:val="00D52B7E"/>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699"/>
    <w:rsid w:val="00D728F5"/>
    <w:rsid w:val="00D72E9D"/>
    <w:rsid w:val="00D73249"/>
    <w:rsid w:val="00D73419"/>
    <w:rsid w:val="00D73CA9"/>
    <w:rsid w:val="00D7481A"/>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CC0"/>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7462"/>
    <w:rsid w:val="00DA7AD0"/>
    <w:rsid w:val="00DB02D7"/>
    <w:rsid w:val="00DB03CC"/>
    <w:rsid w:val="00DB12D4"/>
    <w:rsid w:val="00DB14F0"/>
    <w:rsid w:val="00DB1745"/>
    <w:rsid w:val="00DB1AFF"/>
    <w:rsid w:val="00DB219A"/>
    <w:rsid w:val="00DB3165"/>
    <w:rsid w:val="00DB4292"/>
    <w:rsid w:val="00DB6E46"/>
    <w:rsid w:val="00DB7117"/>
    <w:rsid w:val="00DB7760"/>
    <w:rsid w:val="00DB7DD4"/>
    <w:rsid w:val="00DC00B4"/>
    <w:rsid w:val="00DC0954"/>
    <w:rsid w:val="00DC15BA"/>
    <w:rsid w:val="00DC18CD"/>
    <w:rsid w:val="00DC1A68"/>
    <w:rsid w:val="00DC30B8"/>
    <w:rsid w:val="00DC32C6"/>
    <w:rsid w:val="00DC478F"/>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72A0"/>
    <w:rsid w:val="00DD735D"/>
    <w:rsid w:val="00DE0159"/>
    <w:rsid w:val="00DE064A"/>
    <w:rsid w:val="00DE082D"/>
    <w:rsid w:val="00DE1410"/>
    <w:rsid w:val="00DE19D7"/>
    <w:rsid w:val="00DE3119"/>
    <w:rsid w:val="00DE3FF0"/>
    <w:rsid w:val="00DE4105"/>
    <w:rsid w:val="00DE5189"/>
    <w:rsid w:val="00DE6230"/>
    <w:rsid w:val="00DE7108"/>
    <w:rsid w:val="00DE78D1"/>
    <w:rsid w:val="00DF0263"/>
    <w:rsid w:val="00DF0EB4"/>
    <w:rsid w:val="00DF1E36"/>
    <w:rsid w:val="00DF1FDB"/>
    <w:rsid w:val="00DF236B"/>
    <w:rsid w:val="00DF2A91"/>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951"/>
    <w:rsid w:val="00E03DB8"/>
    <w:rsid w:val="00E05E70"/>
    <w:rsid w:val="00E064BC"/>
    <w:rsid w:val="00E07225"/>
    <w:rsid w:val="00E07AAA"/>
    <w:rsid w:val="00E109DD"/>
    <w:rsid w:val="00E11229"/>
    <w:rsid w:val="00E114CA"/>
    <w:rsid w:val="00E114E9"/>
    <w:rsid w:val="00E11CF0"/>
    <w:rsid w:val="00E1397F"/>
    <w:rsid w:val="00E13AB8"/>
    <w:rsid w:val="00E1482E"/>
    <w:rsid w:val="00E16382"/>
    <w:rsid w:val="00E1699C"/>
    <w:rsid w:val="00E16E75"/>
    <w:rsid w:val="00E1746D"/>
    <w:rsid w:val="00E2012A"/>
    <w:rsid w:val="00E205A2"/>
    <w:rsid w:val="00E20BA4"/>
    <w:rsid w:val="00E23137"/>
    <w:rsid w:val="00E23980"/>
    <w:rsid w:val="00E241E9"/>
    <w:rsid w:val="00E257C3"/>
    <w:rsid w:val="00E25CB3"/>
    <w:rsid w:val="00E25DA4"/>
    <w:rsid w:val="00E26CB8"/>
    <w:rsid w:val="00E26FCF"/>
    <w:rsid w:val="00E27165"/>
    <w:rsid w:val="00E27226"/>
    <w:rsid w:val="00E3044A"/>
    <w:rsid w:val="00E31A4A"/>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3D00"/>
    <w:rsid w:val="00E445E4"/>
    <w:rsid w:val="00E457CB"/>
    <w:rsid w:val="00E45D47"/>
    <w:rsid w:val="00E45DE4"/>
    <w:rsid w:val="00E45E63"/>
    <w:rsid w:val="00E50A7B"/>
    <w:rsid w:val="00E50B0B"/>
    <w:rsid w:val="00E510FE"/>
    <w:rsid w:val="00E51E25"/>
    <w:rsid w:val="00E5205B"/>
    <w:rsid w:val="00E521AE"/>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7AF5"/>
    <w:rsid w:val="00E8029A"/>
    <w:rsid w:val="00E823F9"/>
    <w:rsid w:val="00E82C1F"/>
    <w:rsid w:val="00E83671"/>
    <w:rsid w:val="00E84A71"/>
    <w:rsid w:val="00E84F83"/>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6467"/>
    <w:rsid w:val="00E966DA"/>
    <w:rsid w:val="00E96948"/>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1F4"/>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060"/>
    <w:rsid w:val="00EC6B3E"/>
    <w:rsid w:val="00EC73DE"/>
    <w:rsid w:val="00EC7637"/>
    <w:rsid w:val="00EC7CF2"/>
    <w:rsid w:val="00ED046B"/>
    <w:rsid w:val="00ED046C"/>
    <w:rsid w:val="00ED053A"/>
    <w:rsid w:val="00ED1F03"/>
    <w:rsid w:val="00ED2D27"/>
    <w:rsid w:val="00ED3347"/>
    <w:rsid w:val="00ED3954"/>
    <w:rsid w:val="00ED43A2"/>
    <w:rsid w:val="00ED4967"/>
    <w:rsid w:val="00ED4EC8"/>
    <w:rsid w:val="00ED5140"/>
    <w:rsid w:val="00ED538C"/>
    <w:rsid w:val="00ED5771"/>
    <w:rsid w:val="00ED587F"/>
    <w:rsid w:val="00ED5964"/>
    <w:rsid w:val="00ED623F"/>
    <w:rsid w:val="00ED69BA"/>
    <w:rsid w:val="00ED72E9"/>
    <w:rsid w:val="00ED732E"/>
    <w:rsid w:val="00ED77F0"/>
    <w:rsid w:val="00ED7FBC"/>
    <w:rsid w:val="00EE0253"/>
    <w:rsid w:val="00EE0297"/>
    <w:rsid w:val="00EE1258"/>
    <w:rsid w:val="00EE13DA"/>
    <w:rsid w:val="00EE1668"/>
    <w:rsid w:val="00EE366D"/>
    <w:rsid w:val="00EE5454"/>
    <w:rsid w:val="00EE58B8"/>
    <w:rsid w:val="00EE59B5"/>
    <w:rsid w:val="00EE5FB7"/>
    <w:rsid w:val="00EE6A1A"/>
    <w:rsid w:val="00EE7B54"/>
    <w:rsid w:val="00EE7C88"/>
    <w:rsid w:val="00EE7C8B"/>
    <w:rsid w:val="00EF0209"/>
    <w:rsid w:val="00EF0EA4"/>
    <w:rsid w:val="00EF1E97"/>
    <w:rsid w:val="00EF2436"/>
    <w:rsid w:val="00EF2547"/>
    <w:rsid w:val="00EF2B2B"/>
    <w:rsid w:val="00EF2E1C"/>
    <w:rsid w:val="00EF2FD6"/>
    <w:rsid w:val="00EF3148"/>
    <w:rsid w:val="00EF326A"/>
    <w:rsid w:val="00EF427A"/>
    <w:rsid w:val="00EF45DF"/>
    <w:rsid w:val="00EF4952"/>
    <w:rsid w:val="00EF498F"/>
    <w:rsid w:val="00EF4A42"/>
    <w:rsid w:val="00EF510C"/>
    <w:rsid w:val="00EF55C4"/>
    <w:rsid w:val="00EF57BC"/>
    <w:rsid w:val="00EF59E5"/>
    <w:rsid w:val="00EF6784"/>
    <w:rsid w:val="00EF688A"/>
    <w:rsid w:val="00EF6A03"/>
    <w:rsid w:val="00EF6DC2"/>
    <w:rsid w:val="00EF7BF4"/>
    <w:rsid w:val="00F0030F"/>
    <w:rsid w:val="00F00674"/>
    <w:rsid w:val="00F00C62"/>
    <w:rsid w:val="00F01657"/>
    <w:rsid w:val="00F01E67"/>
    <w:rsid w:val="00F02744"/>
    <w:rsid w:val="00F02BFD"/>
    <w:rsid w:val="00F02D25"/>
    <w:rsid w:val="00F0435D"/>
    <w:rsid w:val="00F04580"/>
    <w:rsid w:val="00F04ECA"/>
    <w:rsid w:val="00F06E19"/>
    <w:rsid w:val="00F06F84"/>
    <w:rsid w:val="00F076E7"/>
    <w:rsid w:val="00F07AA1"/>
    <w:rsid w:val="00F105AE"/>
    <w:rsid w:val="00F10618"/>
    <w:rsid w:val="00F1108B"/>
    <w:rsid w:val="00F11768"/>
    <w:rsid w:val="00F11951"/>
    <w:rsid w:val="00F12262"/>
    <w:rsid w:val="00F12774"/>
    <w:rsid w:val="00F12AF8"/>
    <w:rsid w:val="00F12C52"/>
    <w:rsid w:val="00F148B7"/>
    <w:rsid w:val="00F14EA9"/>
    <w:rsid w:val="00F15505"/>
    <w:rsid w:val="00F15BFF"/>
    <w:rsid w:val="00F213A0"/>
    <w:rsid w:val="00F21A51"/>
    <w:rsid w:val="00F21D54"/>
    <w:rsid w:val="00F21EF4"/>
    <w:rsid w:val="00F23113"/>
    <w:rsid w:val="00F23255"/>
    <w:rsid w:val="00F23393"/>
    <w:rsid w:val="00F23759"/>
    <w:rsid w:val="00F24644"/>
    <w:rsid w:val="00F256FD"/>
    <w:rsid w:val="00F26F33"/>
    <w:rsid w:val="00F300A8"/>
    <w:rsid w:val="00F30400"/>
    <w:rsid w:val="00F3079E"/>
    <w:rsid w:val="00F314BB"/>
    <w:rsid w:val="00F320DD"/>
    <w:rsid w:val="00F33980"/>
    <w:rsid w:val="00F3399B"/>
    <w:rsid w:val="00F33C1A"/>
    <w:rsid w:val="00F3461B"/>
    <w:rsid w:val="00F346ED"/>
    <w:rsid w:val="00F34945"/>
    <w:rsid w:val="00F34E1E"/>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375"/>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189D"/>
    <w:rsid w:val="00F624A7"/>
    <w:rsid w:val="00F62AB6"/>
    <w:rsid w:val="00F65A3C"/>
    <w:rsid w:val="00F66282"/>
    <w:rsid w:val="00F67D8B"/>
    <w:rsid w:val="00F70961"/>
    <w:rsid w:val="00F70A8F"/>
    <w:rsid w:val="00F71397"/>
    <w:rsid w:val="00F72389"/>
    <w:rsid w:val="00F72516"/>
    <w:rsid w:val="00F72FB4"/>
    <w:rsid w:val="00F735E5"/>
    <w:rsid w:val="00F73E80"/>
    <w:rsid w:val="00F7469C"/>
    <w:rsid w:val="00F7492E"/>
    <w:rsid w:val="00F74945"/>
    <w:rsid w:val="00F749A3"/>
    <w:rsid w:val="00F74A04"/>
    <w:rsid w:val="00F74AE8"/>
    <w:rsid w:val="00F76C11"/>
    <w:rsid w:val="00F77021"/>
    <w:rsid w:val="00F77E61"/>
    <w:rsid w:val="00F815AC"/>
    <w:rsid w:val="00F83B33"/>
    <w:rsid w:val="00F83CAE"/>
    <w:rsid w:val="00F840BF"/>
    <w:rsid w:val="00F8415D"/>
    <w:rsid w:val="00F8427A"/>
    <w:rsid w:val="00F843DF"/>
    <w:rsid w:val="00F84899"/>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37B"/>
    <w:rsid w:val="00F963FC"/>
    <w:rsid w:val="00FA015F"/>
    <w:rsid w:val="00FA0FAC"/>
    <w:rsid w:val="00FA1DA2"/>
    <w:rsid w:val="00FA3414"/>
    <w:rsid w:val="00FA347A"/>
    <w:rsid w:val="00FA3CDE"/>
    <w:rsid w:val="00FA49B7"/>
    <w:rsid w:val="00FA5043"/>
    <w:rsid w:val="00FA5310"/>
    <w:rsid w:val="00FA6F8B"/>
    <w:rsid w:val="00FA7A30"/>
    <w:rsid w:val="00FB033F"/>
    <w:rsid w:val="00FB07AE"/>
    <w:rsid w:val="00FB12E3"/>
    <w:rsid w:val="00FB1570"/>
    <w:rsid w:val="00FB193B"/>
    <w:rsid w:val="00FB1FBC"/>
    <w:rsid w:val="00FB27B7"/>
    <w:rsid w:val="00FB3483"/>
    <w:rsid w:val="00FB35E3"/>
    <w:rsid w:val="00FB583C"/>
    <w:rsid w:val="00FB630E"/>
    <w:rsid w:val="00FB6738"/>
    <w:rsid w:val="00FB691B"/>
    <w:rsid w:val="00FB731C"/>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3508"/>
    <w:rsid w:val="00FD393C"/>
    <w:rsid w:val="00FD43BB"/>
    <w:rsid w:val="00FD4AF3"/>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072"/>
    <w:rsid w:val="00FF13D4"/>
    <w:rsid w:val="00FF2053"/>
    <w:rsid w:val="00FF3B3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1383693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20600215">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2511313">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4203285">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896">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2942791">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362288">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81705E1-FC84-4408-AAA0-02281986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13</Pages>
  <Words>4398</Words>
  <Characters>24194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2021-05-03T21:33:00Z</dcterms:created>
  <dcterms:modified xsi:type="dcterms:W3CDTF">2021-05-03T21:36:00Z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