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3DBA" w14:textId="77777777" w:rsidR="006348C0" w:rsidRDefault="006348C0" w:rsidP="00B050BC">
      <w:pPr>
        <w:spacing w:after="0" w:line="240" w:lineRule="auto"/>
        <w:rPr>
          <w:rFonts w:ascii="Arial" w:eastAsia="Calibri" w:hAnsi="Arial" w:cs="Arial"/>
          <w:lang w:val="pt-BR"/>
        </w:rPr>
      </w:pPr>
    </w:p>
    <w:p w14:paraId="4901E88C" w14:textId="65B141E7" w:rsidR="006A6894" w:rsidRDefault="006A6894" w:rsidP="00F602D2">
      <w:pPr>
        <w:spacing w:after="0"/>
        <w:jc w:val="both"/>
        <w:rPr>
          <w:rFonts w:ascii="Arial" w:eastAsia="Calibri" w:hAnsi="Arial" w:cs="Arial"/>
          <w:b/>
          <w:bCs/>
          <w:sz w:val="20"/>
          <w:szCs w:val="20"/>
        </w:rPr>
      </w:pPr>
      <w:r>
        <w:rPr>
          <w:rFonts w:ascii="Arial" w:eastAsia="Calibri" w:hAnsi="Arial" w:cs="Arial"/>
          <w:b/>
          <w:bCs/>
        </w:rPr>
        <w:t>DOCUMENTOS TIPO – Método de ponderación – Apertura de ofertas – Cambios – Hora límite</w:t>
      </w:r>
      <w:r>
        <w:rPr>
          <w:rFonts w:ascii="Arial" w:eastAsia="Arial" w:hAnsi="Arial" w:cs="Arial"/>
          <w:b/>
          <w:bCs/>
        </w:rPr>
        <w:t xml:space="preserve"> </w:t>
      </w:r>
    </w:p>
    <w:p w14:paraId="531E0920" w14:textId="77777777" w:rsidR="006348C0" w:rsidRPr="006A6894" w:rsidRDefault="006348C0" w:rsidP="00B050BC">
      <w:pPr>
        <w:spacing w:after="0" w:line="240" w:lineRule="auto"/>
        <w:rPr>
          <w:rFonts w:ascii="Arial" w:eastAsia="Calibri" w:hAnsi="Arial" w:cs="Arial"/>
        </w:rPr>
      </w:pPr>
    </w:p>
    <w:p w14:paraId="03CD0B18" w14:textId="77777777" w:rsidR="00CA4F10" w:rsidRPr="00931768" w:rsidRDefault="00CA4F10" w:rsidP="00F602D2">
      <w:pPr>
        <w:spacing w:after="120"/>
        <w:jc w:val="both"/>
        <w:rPr>
          <w:rFonts w:ascii="Arial" w:hAnsi="Arial" w:cs="Arial"/>
          <w:b/>
          <w:sz w:val="20"/>
          <w:szCs w:val="20"/>
        </w:rPr>
      </w:pPr>
      <w:r w:rsidRPr="00931768">
        <w:rPr>
          <w:rFonts w:ascii="Arial" w:hAnsi="Arial" w:cs="Arial"/>
          <w:sz w:val="20"/>
          <w:szCs w:val="20"/>
        </w:rPr>
        <w:t xml:space="preserve">El documento base expedido por la Resolución No. 240 de 2020, esencialmente, conserva el mecanismo para la determinación del método de ponderación de la oferta económica con base en la TRM publicada por la Superfinanciera. En ese sentido, el numeral 4.1.4 conserva los métodos de Mediana con valor absoluto, Media geométrica, Media aritmética baja y Menor valor, los cuales deben aplicarse de manera aleatoria según los centavos de la TRM publicada por la Superfinanciera. No obstante, dicho documento base introduce variaciones respecto de ciertos aspectos. </w:t>
      </w:r>
      <w:r w:rsidRPr="00931768">
        <w:rPr>
          <w:rFonts w:ascii="Arial" w:hAnsi="Arial" w:cs="Arial"/>
          <w:b/>
          <w:bCs/>
          <w:sz w:val="20"/>
          <w:szCs w:val="20"/>
        </w:rPr>
        <w:tab/>
      </w:r>
    </w:p>
    <w:p w14:paraId="6C2F413A" w14:textId="77777777" w:rsidR="00CA4F10" w:rsidRDefault="00CA4F10" w:rsidP="00F602D2">
      <w:pPr>
        <w:spacing w:after="120"/>
        <w:jc w:val="both"/>
        <w:rPr>
          <w:rFonts w:ascii="Arial" w:hAnsi="Arial" w:cs="Arial"/>
          <w:sz w:val="20"/>
          <w:szCs w:val="20"/>
        </w:rPr>
      </w:pPr>
      <w:r w:rsidRPr="00931768">
        <w:rPr>
          <w:rFonts w:ascii="Arial" w:hAnsi="Arial" w:cs="Arial"/>
          <w:sz w:val="20"/>
          <w:szCs w:val="20"/>
        </w:rPr>
        <w:t>En primer lugar, la aplicación diferencial de la TRM en virtud del uso de SECOP I y SECOP II desaparece, en la medida que el numeral 4.1.4 establece que la determinación del método de ponderación de las propuestas se realizará «de acuerdo con la TRM que rija al día hábil siguiente», sin establecer ningún condicionamiento al respecto.</w:t>
      </w:r>
    </w:p>
    <w:p w14:paraId="7B337DBF" w14:textId="1AD055E1" w:rsidR="00CA4F10" w:rsidRDefault="00CA4F10" w:rsidP="00F602D2">
      <w:pPr>
        <w:spacing w:after="120"/>
        <w:jc w:val="both"/>
        <w:rPr>
          <w:rFonts w:ascii="Arial" w:hAnsi="Arial" w:cs="Arial"/>
          <w:sz w:val="20"/>
          <w:szCs w:val="20"/>
        </w:rPr>
      </w:pPr>
      <w:r w:rsidRPr="00325B9A">
        <w:rPr>
          <w:rFonts w:ascii="Arial" w:hAnsi="Arial" w:cs="Arial"/>
          <w:sz w:val="20"/>
          <w:szCs w:val="20"/>
        </w:rPr>
        <w:t xml:space="preserve">De otra parte, el numeral 4.1.4 al regular el mecanismo de escogencia del método de ponderación, reglamenta aspectos propios del desarrollo de la apertura de los sobres contentivos de las ofertas económicas y del desarrollo de la audiencia de adjudicación, no contemplados en los numerales 2.4 y 2.6 del referido documento base. En particular, el numeral 4.1.4 establece que «la entidad debe finalizar la apertura de los sobres económicos hasta antes de las 3:00 pm», de tal manera que «la entidad no podrá abrir los sobres económicos teniendo conocimiento de la TRM que regirá al día hábil siguiente», la cual suele ser publicada por la Superfinanciera entre las 4:00 pm y las 6:00 pm. </w:t>
      </w:r>
    </w:p>
    <w:p w14:paraId="016BF88F" w14:textId="3B29E3E3" w:rsidR="00CA4F10" w:rsidRDefault="00CA4F10" w:rsidP="00F602D2">
      <w:pPr>
        <w:spacing w:after="0"/>
        <w:jc w:val="both"/>
        <w:rPr>
          <w:rFonts w:ascii="Arial" w:hAnsi="Arial" w:cs="Arial"/>
          <w:sz w:val="20"/>
          <w:szCs w:val="20"/>
        </w:rPr>
      </w:pPr>
      <w:r w:rsidRPr="00325B9A">
        <w:rPr>
          <w:rFonts w:ascii="Arial" w:hAnsi="Arial" w:cs="Arial"/>
          <w:sz w:val="20"/>
          <w:szCs w:val="20"/>
        </w:rPr>
        <w:t xml:space="preserve">Lo anterior indica que, en lo relativo a la apertura de los sobres contentivos de la oferta económica, la Versión 3 del aludido documento base mantiene la obligación de iniciar y finalizar la apertura de los sobres en un mismo día, en el que también deberá definirse el método de ponderación, pero estableciendo además que ello deberá llevarse a cabo antes de las 3:00 pm del respectivo día. </w:t>
      </w:r>
    </w:p>
    <w:p w14:paraId="5118439F" w14:textId="77777777" w:rsidR="00F602D2" w:rsidRPr="00325B9A" w:rsidRDefault="00F602D2" w:rsidP="00F602D2">
      <w:pPr>
        <w:spacing w:after="0"/>
        <w:jc w:val="both"/>
        <w:rPr>
          <w:rFonts w:ascii="Arial" w:hAnsi="Arial" w:cs="Arial"/>
          <w:sz w:val="20"/>
          <w:szCs w:val="20"/>
        </w:rPr>
      </w:pPr>
    </w:p>
    <w:p w14:paraId="7AAC08D9" w14:textId="73769171" w:rsidR="006348C0" w:rsidRDefault="0024197D" w:rsidP="00F602D2">
      <w:pPr>
        <w:spacing w:after="0" w:line="240" w:lineRule="auto"/>
        <w:jc w:val="both"/>
        <w:rPr>
          <w:rFonts w:ascii="Arial" w:eastAsia="Calibri" w:hAnsi="Arial" w:cs="Arial"/>
          <w:b/>
          <w:bCs/>
        </w:rPr>
      </w:pPr>
      <w:r w:rsidRPr="006525C9">
        <w:rPr>
          <w:rFonts w:ascii="Arial" w:eastAsia="Calibri" w:hAnsi="Arial" w:cs="Arial"/>
          <w:b/>
          <w:bCs/>
        </w:rPr>
        <w:t xml:space="preserve">DOCUMENTOS TIPO – </w:t>
      </w:r>
      <w:r w:rsidR="006525C9" w:rsidRPr="006525C9">
        <w:rPr>
          <w:rFonts w:ascii="Arial" w:eastAsia="Calibri" w:hAnsi="Arial" w:cs="Arial"/>
          <w:b/>
          <w:bCs/>
        </w:rPr>
        <w:t>Método de ponderación – SEC</w:t>
      </w:r>
      <w:r w:rsidR="006525C9">
        <w:rPr>
          <w:rFonts w:ascii="Arial" w:eastAsia="Calibri" w:hAnsi="Arial" w:cs="Arial"/>
          <w:b/>
          <w:bCs/>
        </w:rPr>
        <w:t xml:space="preserve">OP II </w:t>
      </w:r>
      <w:r w:rsidR="006525C9" w:rsidRPr="006525C9">
        <w:rPr>
          <w:rFonts w:ascii="Arial" w:eastAsia="Calibri" w:hAnsi="Arial" w:cs="Arial"/>
          <w:b/>
          <w:bCs/>
        </w:rPr>
        <w:t>–</w:t>
      </w:r>
      <w:r w:rsidR="006525C9">
        <w:rPr>
          <w:rFonts w:ascii="Arial" w:eastAsia="Calibri" w:hAnsi="Arial" w:cs="Arial"/>
          <w:b/>
          <w:bCs/>
        </w:rPr>
        <w:t xml:space="preserve"> Desencriptar sobres económicos</w:t>
      </w:r>
    </w:p>
    <w:p w14:paraId="066BA6C5" w14:textId="6AE98158" w:rsidR="00396B9B" w:rsidRDefault="00396B9B" w:rsidP="00F602D2">
      <w:pPr>
        <w:spacing w:after="0" w:line="240" w:lineRule="auto"/>
        <w:rPr>
          <w:rFonts w:ascii="Arial" w:eastAsia="Calibri" w:hAnsi="Arial" w:cs="Arial"/>
          <w:b/>
          <w:bCs/>
        </w:rPr>
      </w:pPr>
    </w:p>
    <w:p w14:paraId="52B7D778" w14:textId="79A09C79" w:rsidR="00396B9B" w:rsidRPr="00396B9B" w:rsidRDefault="00396B9B" w:rsidP="00477899">
      <w:pPr>
        <w:spacing w:after="120" w:line="240" w:lineRule="auto"/>
        <w:jc w:val="both"/>
        <w:rPr>
          <w:rFonts w:ascii="Arial" w:hAnsi="Arial" w:cs="Arial"/>
          <w:sz w:val="20"/>
          <w:szCs w:val="20"/>
        </w:rPr>
      </w:pPr>
      <w:r w:rsidRPr="00396B9B">
        <w:rPr>
          <w:rFonts w:ascii="Arial" w:hAnsi="Arial" w:cs="Arial"/>
          <w:sz w:val="20"/>
          <w:szCs w:val="20"/>
        </w:rPr>
        <w:t xml:space="preserve">[…] </w:t>
      </w:r>
      <w:r w:rsidR="00477899" w:rsidRPr="00477899">
        <w:rPr>
          <w:rFonts w:ascii="Arial" w:hAnsi="Arial" w:cs="Arial"/>
          <w:bCs/>
          <w:sz w:val="20"/>
          <w:szCs w:val="20"/>
        </w:rPr>
        <w:t>En los casos en que la desencriptada de la oferta económica se demora más de un día o, cuando supera la hora de las 3:00 p.m., la entidad aplicará la TRM del día hábil siguiente en que haga clic en el botón «Abrir sobres». Es importante señalar que, al ser la plataforma del SECOP II transaccional, las entidades no podrán modificar las ofertas económicas y, por tanto, lo importante es que al momento de oprimir el botón de «abrir sobres» no se conozca la TRM que define el método de ponderación de la oferta económica</w:t>
      </w:r>
      <w:r w:rsidR="00477899">
        <w:rPr>
          <w:rFonts w:ascii="Arial" w:hAnsi="Arial" w:cs="Arial"/>
          <w:bCs/>
          <w:sz w:val="20"/>
          <w:szCs w:val="20"/>
        </w:rPr>
        <w:t xml:space="preserve">. </w:t>
      </w:r>
    </w:p>
    <w:p w14:paraId="36B515F5" w14:textId="77777777" w:rsidR="00477899" w:rsidRPr="00477899" w:rsidRDefault="00477899" w:rsidP="00477899">
      <w:pPr>
        <w:jc w:val="both"/>
        <w:rPr>
          <w:rFonts w:ascii="Arial" w:hAnsi="Arial" w:cs="Arial"/>
          <w:sz w:val="20"/>
          <w:szCs w:val="20"/>
        </w:rPr>
      </w:pPr>
      <w:r w:rsidRPr="00477899">
        <w:rPr>
          <w:rFonts w:ascii="Arial" w:hAnsi="Arial" w:cs="Arial"/>
          <w:sz w:val="20"/>
          <w:szCs w:val="20"/>
        </w:rPr>
        <w:t xml:space="preserve">Bajo ese entendido, las entidades estatales al publicar sus procesos de contratación en la plataforma del SECOP II y, por tanto, para acoger las reglas definidas en el «Documento tipo» de licitación de obra pública de infraestructura de transporte y agua potable y saneamiento básico deberán dar clic en la opción «Abrir sobres» antes de las 3.00 P.M. De esta manera, se tendrá certeza que la entidad no conoce la TRM que regirá en ese día y, en consecuencia, no conocerá el método de ponderación de las ofertas económicas. Dicha </w:t>
      </w:r>
      <w:proofErr w:type="gramStart"/>
      <w:r w:rsidRPr="00477899">
        <w:rPr>
          <w:rFonts w:ascii="Arial" w:hAnsi="Arial" w:cs="Arial"/>
          <w:sz w:val="20"/>
          <w:szCs w:val="20"/>
        </w:rPr>
        <w:t>situación</w:t>
      </w:r>
      <w:proofErr w:type="gramEnd"/>
      <w:r w:rsidRPr="00477899">
        <w:rPr>
          <w:rFonts w:ascii="Arial" w:hAnsi="Arial" w:cs="Arial"/>
          <w:sz w:val="20"/>
          <w:szCs w:val="20"/>
        </w:rPr>
        <w:t xml:space="preserve"> por consiguiente, no afectará el principio de transparencia en los procesos de contratación. En este sentido, como se explicó en las consideraciones, la regla del numeral 4.1.4. consiste en establecer que la entidad iniciará la apertura de los sobres y definirá el método de ponderación de acuerdo con la TRM que rija el día hábil siguiente. Lo anterior, sin perjuicio de que allí se establezcan contenidos adicionales para garantizar la transparencia en la contratación estatal.</w:t>
      </w:r>
    </w:p>
    <w:p w14:paraId="7091A540" w14:textId="1E7D73C6" w:rsidR="00396B9B" w:rsidRDefault="00396B9B" w:rsidP="00B050BC">
      <w:pPr>
        <w:spacing w:after="0" w:line="240" w:lineRule="auto"/>
        <w:rPr>
          <w:rFonts w:ascii="Arial" w:eastAsia="Calibri" w:hAnsi="Arial" w:cs="Arial"/>
        </w:rPr>
      </w:pPr>
    </w:p>
    <w:p w14:paraId="4DCF3F95" w14:textId="22C70A00" w:rsidR="00396B9B" w:rsidRDefault="00396B9B" w:rsidP="00B050BC">
      <w:pPr>
        <w:spacing w:after="0" w:line="240" w:lineRule="auto"/>
        <w:rPr>
          <w:rFonts w:ascii="Arial" w:eastAsia="Calibri" w:hAnsi="Arial" w:cs="Arial"/>
        </w:rPr>
      </w:pPr>
    </w:p>
    <w:p w14:paraId="48D777CB" w14:textId="7D94243F" w:rsidR="00396B9B" w:rsidRDefault="00396B9B" w:rsidP="00B050BC">
      <w:pPr>
        <w:spacing w:after="0" w:line="240" w:lineRule="auto"/>
        <w:rPr>
          <w:rFonts w:ascii="Arial" w:eastAsia="Calibri" w:hAnsi="Arial" w:cs="Arial"/>
        </w:rPr>
      </w:pPr>
    </w:p>
    <w:p w14:paraId="49C4553A" w14:textId="77777777" w:rsidR="00F602D2" w:rsidRPr="00005BBF" w:rsidRDefault="00F602D2" w:rsidP="00B050BC">
      <w:pPr>
        <w:spacing w:after="0" w:line="240" w:lineRule="auto"/>
        <w:rPr>
          <w:rFonts w:ascii="Arial" w:eastAsia="Calibri" w:hAnsi="Arial" w:cs="Arial"/>
        </w:rPr>
      </w:pPr>
    </w:p>
    <w:p w14:paraId="7BC78142" w14:textId="77777777" w:rsidR="00D37AF5" w:rsidRDefault="00D37AF5" w:rsidP="00D37AF5">
      <w:pPr>
        <w:spacing w:after="0" w:line="240" w:lineRule="auto"/>
        <w:jc w:val="right"/>
        <w:rPr>
          <w:noProof/>
        </w:rPr>
      </w:pPr>
    </w:p>
    <w:p w14:paraId="57ED4B3C" w14:textId="4AF04EB6" w:rsidR="00D37AF5" w:rsidRDefault="00D37AF5" w:rsidP="00D37AF5">
      <w:pPr>
        <w:spacing w:after="0" w:line="240" w:lineRule="auto"/>
        <w:jc w:val="right"/>
        <w:rPr>
          <w:rFonts w:ascii="Arial" w:eastAsia="Calibri" w:hAnsi="Arial" w:cs="Arial"/>
          <w:lang w:val="pt-BR"/>
        </w:rPr>
      </w:pPr>
    </w:p>
    <w:p w14:paraId="61311FEA" w14:textId="77777777" w:rsidR="00D37AF5" w:rsidRDefault="00D37AF5" w:rsidP="00D37AF5">
      <w:pPr>
        <w:spacing w:after="0" w:line="240" w:lineRule="auto"/>
        <w:rPr>
          <w:rFonts w:ascii="Arial" w:eastAsia="Calibri" w:hAnsi="Arial" w:cs="Arial"/>
          <w:lang w:val="pt-BR"/>
        </w:rPr>
      </w:pPr>
    </w:p>
    <w:p w14:paraId="52183234" w14:textId="6ABE51E2" w:rsidR="00D37AF5" w:rsidRDefault="00085DBE" w:rsidP="00085DBE">
      <w:pPr>
        <w:spacing w:after="0" w:line="240" w:lineRule="auto"/>
        <w:jc w:val="right"/>
        <w:rPr>
          <w:rFonts w:ascii="Arial" w:eastAsia="Calibri" w:hAnsi="Arial" w:cs="Arial"/>
          <w:lang w:val="pt-BR"/>
        </w:rPr>
      </w:pPr>
      <w:r>
        <w:rPr>
          <w:noProof/>
        </w:rPr>
        <w:drawing>
          <wp:inline distT="0" distB="0" distL="0" distR="0" wp14:anchorId="22582D7C" wp14:editId="4F9DC122">
            <wp:extent cx="1860889" cy="424093"/>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1181" cy="465181"/>
                    </a:xfrm>
                    <a:prstGeom prst="rect">
                      <a:avLst/>
                    </a:prstGeom>
                  </pic:spPr>
                </pic:pic>
              </a:graphicData>
            </a:graphic>
          </wp:inline>
        </w:drawing>
      </w:r>
    </w:p>
    <w:p w14:paraId="225128F4" w14:textId="08248D9C" w:rsidR="00D37AF5" w:rsidRDefault="00D37AF5" w:rsidP="00D37AF5">
      <w:pPr>
        <w:spacing w:after="0" w:line="240" w:lineRule="auto"/>
        <w:rPr>
          <w:rFonts w:ascii="Arial" w:eastAsia="Calibri" w:hAnsi="Arial" w:cs="Arial"/>
          <w:lang w:val="pt-BR"/>
        </w:rPr>
      </w:pPr>
    </w:p>
    <w:p w14:paraId="7D595CF4" w14:textId="77777777" w:rsidR="00085DBE" w:rsidRDefault="00085DBE" w:rsidP="00D37AF5">
      <w:pPr>
        <w:spacing w:after="0" w:line="240" w:lineRule="auto"/>
        <w:rPr>
          <w:rFonts w:ascii="Arial" w:eastAsia="Calibri" w:hAnsi="Arial" w:cs="Arial"/>
          <w:lang w:val="pt-BR"/>
        </w:rPr>
      </w:pPr>
    </w:p>
    <w:p w14:paraId="222834C1" w14:textId="054AD16E" w:rsidR="00B050BC" w:rsidRPr="00833270" w:rsidRDefault="00B050BC" w:rsidP="00D37AF5">
      <w:pPr>
        <w:spacing w:after="0" w:line="240" w:lineRule="auto"/>
        <w:rPr>
          <w:rFonts w:ascii="Arial" w:eastAsia="Calibri" w:hAnsi="Arial" w:cs="Arial"/>
          <w:b/>
          <w:bCs/>
          <w:lang w:val="pt-BR"/>
        </w:rPr>
      </w:pPr>
      <w:r w:rsidRPr="00833270">
        <w:rPr>
          <w:rFonts w:ascii="Arial" w:eastAsia="Calibri" w:hAnsi="Arial" w:cs="Arial"/>
          <w:lang w:val="pt-BR"/>
        </w:rPr>
        <w:t xml:space="preserve">Bogotá D.C., </w:t>
      </w:r>
    </w:p>
    <w:p w14:paraId="7B7C8981" w14:textId="77777777" w:rsidR="00B050BC" w:rsidRPr="00833270" w:rsidRDefault="00B050BC" w:rsidP="00B050BC">
      <w:pPr>
        <w:spacing w:after="0" w:line="240" w:lineRule="auto"/>
        <w:rPr>
          <w:rFonts w:ascii="Arial" w:eastAsia="Calibri" w:hAnsi="Arial" w:cs="Arial"/>
          <w:b/>
          <w:bCs/>
          <w:lang w:val="pt-BR"/>
        </w:rPr>
      </w:pPr>
    </w:p>
    <w:p w14:paraId="73B41F4F" w14:textId="77777777" w:rsidR="00B050BC" w:rsidRPr="00833270" w:rsidRDefault="00B050BC" w:rsidP="00B050BC">
      <w:pPr>
        <w:spacing w:after="0" w:line="240" w:lineRule="auto"/>
        <w:rPr>
          <w:rFonts w:ascii="Arial" w:eastAsia="Calibri" w:hAnsi="Arial" w:cs="Arial"/>
          <w:lang w:val="pt-BR"/>
        </w:rPr>
      </w:pPr>
    </w:p>
    <w:p w14:paraId="602206DE" w14:textId="54B83AC1" w:rsidR="00B050BC" w:rsidRPr="00833270" w:rsidRDefault="00B050BC" w:rsidP="00B050BC">
      <w:pPr>
        <w:spacing w:after="0" w:line="240" w:lineRule="auto"/>
        <w:rPr>
          <w:rFonts w:ascii="Arial" w:eastAsia="Calibri" w:hAnsi="Arial" w:cs="Arial"/>
          <w:lang w:val="pt-BR"/>
        </w:rPr>
      </w:pPr>
      <w:proofErr w:type="spellStart"/>
      <w:r w:rsidRPr="00833270">
        <w:rPr>
          <w:rFonts w:ascii="Arial" w:eastAsia="Calibri" w:hAnsi="Arial" w:cs="Arial"/>
          <w:lang w:val="pt-BR"/>
        </w:rPr>
        <w:t>Señor</w:t>
      </w:r>
      <w:r w:rsidR="001564B1" w:rsidRPr="00833270">
        <w:rPr>
          <w:rFonts w:ascii="Arial" w:eastAsia="Calibri" w:hAnsi="Arial" w:cs="Arial"/>
          <w:lang w:val="pt-BR"/>
        </w:rPr>
        <w:t>a</w:t>
      </w:r>
      <w:proofErr w:type="spellEnd"/>
    </w:p>
    <w:p w14:paraId="146E6584" w14:textId="69DCA8F7" w:rsidR="00B050BC" w:rsidRPr="00833270" w:rsidRDefault="001564B1" w:rsidP="00B050BC">
      <w:pPr>
        <w:spacing w:after="0" w:line="240" w:lineRule="auto"/>
        <w:rPr>
          <w:rFonts w:ascii="Arial" w:eastAsia="Calibri" w:hAnsi="Arial" w:cs="Arial"/>
          <w:b/>
          <w:lang w:val="pt-BR"/>
        </w:rPr>
      </w:pPr>
      <w:r w:rsidRPr="00833270">
        <w:rPr>
          <w:rFonts w:ascii="Arial" w:eastAsia="Calibri" w:hAnsi="Arial" w:cs="Arial"/>
          <w:b/>
          <w:lang w:val="pt-BR"/>
        </w:rPr>
        <w:t xml:space="preserve">Daniela </w:t>
      </w:r>
      <w:proofErr w:type="spellStart"/>
      <w:r w:rsidRPr="00833270">
        <w:rPr>
          <w:rFonts w:ascii="Arial" w:eastAsia="Calibri" w:hAnsi="Arial" w:cs="Arial"/>
          <w:b/>
          <w:lang w:val="pt-BR"/>
        </w:rPr>
        <w:t>Robledo</w:t>
      </w:r>
      <w:proofErr w:type="spellEnd"/>
      <w:r w:rsidRPr="00833270">
        <w:rPr>
          <w:rFonts w:ascii="Arial" w:eastAsia="Calibri" w:hAnsi="Arial" w:cs="Arial"/>
          <w:b/>
          <w:lang w:val="pt-BR"/>
        </w:rPr>
        <w:t xml:space="preserve"> </w:t>
      </w:r>
      <w:proofErr w:type="spellStart"/>
      <w:r w:rsidRPr="00833270">
        <w:rPr>
          <w:rFonts w:ascii="Arial" w:eastAsia="Calibri" w:hAnsi="Arial" w:cs="Arial"/>
          <w:b/>
          <w:lang w:val="pt-BR"/>
        </w:rPr>
        <w:t>Giraldo</w:t>
      </w:r>
      <w:proofErr w:type="spellEnd"/>
    </w:p>
    <w:p w14:paraId="6A393DE3" w14:textId="60031136" w:rsidR="00B050BC" w:rsidRPr="00833270" w:rsidRDefault="00446F3E" w:rsidP="00B050BC">
      <w:pPr>
        <w:spacing w:after="0" w:line="240" w:lineRule="auto"/>
        <w:rPr>
          <w:rFonts w:ascii="Arial" w:eastAsia="Calibri" w:hAnsi="Arial" w:cs="Arial"/>
          <w:lang w:val="pt-BR"/>
        </w:rPr>
      </w:pPr>
      <w:r w:rsidRPr="00833270">
        <w:rPr>
          <w:rFonts w:ascii="Arial" w:eastAsia="Calibri" w:hAnsi="Arial" w:cs="Arial"/>
          <w:lang w:val="pt-BR"/>
        </w:rPr>
        <w:t>Pereira, Risaralda</w:t>
      </w:r>
      <w:r w:rsidR="00B050BC" w:rsidRPr="00833270">
        <w:rPr>
          <w:rFonts w:ascii="Arial" w:eastAsia="Calibri" w:hAnsi="Arial" w:cs="Arial"/>
          <w:lang w:val="pt-BR"/>
        </w:rPr>
        <w:t xml:space="preserve"> </w:t>
      </w:r>
    </w:p>
    <w:p w14:paraId="31080B80" w14:textId="7D5B8B34" w:rsidR="00B050BC" w:rsidRPr="000555EC" w:rsidRDefault="00B050BC" w:rsidP="00B050BC">
      <w:pPr>
        <w:spacing w:after="0" w:line="240" w:lineRule="auto"/>
        <w:jc w:val="center"/>
        <w:rPr>
          <w:rFonts w:ascii="Arial" w:eastAsia="Calibri" w:hAnsi="Arial" w:cs="Arial"/>
          <w:b/>
          <w:lang w:val="es-MX"/>
        </w:rPr>
      </w:pPr>
      <w:r w:rsidRPr="000555EC">
        <w:rPr>
          <w:rFonts w:ascii="Arial" w:eastAsia="Calibri" w:hAnsi="Arial" w:cs="Arial"/>
          <w:b/>
          <w:lang w:val="es-MX"/>
        </w:rPr>
        <w:t xml:space="preserve">Concepto C ─ </w:t>
      </w:r>
      <w:r>
        <w:rPr>
          <w:rFonts w:ascii="Arial" w:eastAsia="Calibri" w:hAnsi="Arial" w:cs="Arial"/>
          <w:b/>
          <w:lang w:val="es-MX"/>
        </w:rPr>
        <w:t>161</w:t>
      </w:r>
      <w:r w:rsidRPr="000555EC">
        <w:rPr>
          <w:rFonts w:ascii="Arial" w:eastAsia="Calibri" w:hAnsi="Arial" w:cs="Arial"/>
          <w:b/>
          <w:lang w:val="es-MX"/>
        </w:rPr>
        <w:t xml:space="preserve"> de 202</w:t>
      </w:r>
      <w:r>
        <w:rPr>
          <w:rFonts w:ascii="Arial" w:eastAsia="Calibri" w:hAnsi="Arial" w:cs="Arial"/>
          <w:b/>
          <w:lang w:val="es-MX"/>
        </w:rPr>
        <w:t>1</w:t>
      </w:r>
    </w:p>
    <w:p w14:paraId="1CAE05C5" w14:textId="77777777" w:rsidR="00B050BC" w:rsidRPr="000555EC" w:rsidRDefault="00B050BC" w:rsidP="00B050BC">
      <w:pPr>
        <w:spacing w:after="0" w:line="240" w:lineRule="auto"/>
        <w:rPr>
          <w:rFonts w:ascii="Arial" w:eastAsia="Calibri" w:hAnsi="Arial" w:cs="Arial"/>
          <w:lang w:val="es-MX"/>
        </w:rPr>
      </w:pPr>
    </w:p>
    <w:tbl>
      <w:tblPr>
        <w:tblStyle w:val="Tablaconcuadrcula1"/>
        <w:tblW w:w="8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35"/>
        <w:gridCol w:w="5880"/>
      </w:tblGrid>
      <w:tr w:rsidR="00B050BC" w:rsidRPr="000555EC" w14:paraId="428AA30D" w14:textId="77777777" w:rsidTr="00446F3E">
        <w:trPr>
          <w:trHeight w:val="556"/>
        </w:trPr>
        <w:tc>
          <w:tcPr>
            <w:tcW w:w="2535" w:type="dxa"/>
            <w:hideMark/>
          </w:tcPr>
          <w:p w14:paraId="7705DB7A" w14:textId="5BE8DCD6" w:rsidR="00B050BC" w:rsidRPr="000555EC" w:rsidRDefault="00B050BC" w:rsidP="00446F3E">
            <w:pPr>
              <w:spacing w:afterAutospacing="1"/>
              <w:rPr>
                <w:rFonts w:ascii="Arial" w:eastAsia="Calibri" w:hAnsi="Arial" w:cs="Arial"/>
                <w:szCs w:val="24"/>
                <w:lang w:val="es-MX" w:eastAsia="es-CO"/>
              </w:rPr>
            </w:pPr>
            <w:r w:rsidRPr="000555EC">
              <w:rPr>
                <w:rFonts w:ascii="Arial" w:eastAsia="Calibri" w:hAnsi="Arial" w:cs="Arial"/>
                <w:b/>
                <w:szCs w:val="24"/>
                <w:lang w:val="es-MX" w:eastAsia="es-CO"/>
              </w:rPr>
              <w:t>Temas:</w:t>
            </w:r>
            <w:r w:rsidRPr="000555EC">
              <w:rPr>
                <w:rFonts w:ascii="Arial" w:eastAsia="Calibri" w:hAnsi="Arial" w:cs="Arial"/>
                <w:szCs w:val="24"/>
                <w:lang w:val="es-MX" w:eastAsia="es-CO"/>
              </w:rPr>
              <w:t xml:space="preserve">                                      </w:t>
            </w:r>
          </w:p>
        </w:tc>
        <w:tc>
          <w:tcPr>
            <w:tcW w:w="5880" w:type="dxa"/>
            <w:hideMark/>
          </w:tcPr>
          <w:p w14:paraId="36C1C40B" w14:textId="69B0A40D" w:rsidR="00446F3E" w:rsidRPr="00705DA7" w:rsidRDefault="00705DA7" w:rsidP="00705DA7">
            <w:pPr>
              <w:jc w:val="both"/>
              <w:rPr>
                <w:rFonts w:ascii="Arial" w:eastAsia="Calibri" w:hAnsi="Arial" w:cs="Arial"/>
                <w:b/>
                <w:bCs/>
              </w:rPr>
            </w:pPr>
            <w:r w:rsidRPr="00705DA7">
              <w:rPr>
                <w:rFonts w:ascii="Arial" w:eastAsia="Calibri" w:hAnsi="Arial" w:cs="Arial"/>
                <w:bCs/>
                <w:lang w:val="es-MX"/>
              </w:rPr>
              <w:t xml:space="preserve">DOCUMENTOS TIPO – Método de ponderación – Apertura de ofertas – Cambios – Hora límite </w:t>
            </w:r>
            <w:r>
              <w:rPr>
                <w:rFonts w:ascii="Arial" w:eastAsia="Calibri" w:hAnsi="Arial" w:cs="Arial"/>
                <w:bCs/>
                <w:lang w:val="es-MX"/>
              </w:rPr>
              <w:t xml:space="preserve">/ </w:t>
            </w:r>
            <w:r w:rsidRPr="00705DA7">
              <w:rPr>
                <w:rFonts w:ascii="Arial" w:eastAsia="Calibri" w:hAnsi="Arial" w:cs="Arial"/>
              </w:rPr>
              <w:t>DOCUMENTOS TIPO – Método de ponderación – SECOP II – Desencriptar sobres económicos</w:t>
            </w:r>
          </w:p>
        </w:tc>
      </w:tr>
      <w:tr w:rsidR="00B050BC" w:rsidRPr="000555EC" w14:paraId="5DFDC15C" w14:textId="77777777" w:rsidTr="00446F3E">
        <w:trPr>
          <w:trHeight w:val="156"/>
        </w:trPr>
        <w:tc>
          <w:tcPr>
            <w:tcW w:w="2535" w:type="dxa"/>
            <w:hideMark/>
          </w:tcPr>
          <w:p w14:paraId="5B9E0762" w14:textId="77777777" w:rsidR="00B050BC" w:rsidRPr="000555EC" w:rsidRDefault="00B050BC" w:rsidP="00446F3E">
            <w:pPr>
              <w:spacing w:afterAutospacing="1"/>
              <w:rPr>
                <w:rFonts w:ascii="Arial" w:eastAsia="Calibri" w:hAnsi="Arial" w:cs="Arial"/>
                <w:b/>
                <w:szCs w:val="24"/>
                <w:lang w:val="es-MX" w:eastAsia="es-CO"/>
              </w:rPr>
            </w:pPr>
            <w:r w:rsidRPr="000555EC">
              <w:rPr>
                <w:rFonts w:ascii="Arial" w:eastAsia="Calibri" w:hAnsi="Arial" w:cs="Arial"/>
                <w:b/>
                <w:szCs w:val="24"/>
                <w:lang w:val="es-MX" w:eastAsia="es-CO"/>
              </w:rPr>
              <w:t>Radicación:</w:t>
            </w:r>
            <w:r w:rsidRPr="000555EC">
              <w:rPr>
                <w:rFonts w:ascii="Arial" w:eastAsia="Calibri" w:hAnsi="Arial" w:cs="Arial"/>
                <w:szCs w:val="24"/>
                <w:lang w:val="es-MX" w:eastAsia="es-CO"/>
              </w:rPr>
              <w:t xml:space="preserve">                              </w:t>
            </w:r>
          </w:p>
        </w:tc>
        <w:tc>
          <w:tcPr>
            <w:tcW w:w="5880" w:type="dxa"/>
            <w:hideMark/>
          </w:tcPr>
          <w:p w14:paraId="588E1663" w14:textId="43E30BDB" w:rsidR="00B050BC" w:rsidRPr="000555EC" w:rsidRDefault="00B050BC" w:rsidP="00446F3E">
            <w:pPr>
              <w:spacing w:afterAutospacing="1"/>
              <w:jc w:val="both"/>
              <w:rPr>
                <w:rFonts w:ascii="Arial" w:eastAsia="Calibri" w:hAnsi="Arial" w:cs="Arial"/>
                <w:szCs w:val="24"/>
                <w:lang w:val="es-MX" w:eastAsia="es-CO"/>
              </w:rPr>
            </w:pPr>
            <w:r w:rsidRPr="000555EC">
              <w:rPr>
                <w:rFonts w:ascii="Arial" w:eastAsia="Calibri" w:hAnsi="Arial" w:cs="Arial"/>
                <w:szCs w:val="24"/>
                <w:lang w:val="es-MX" w:eastAsia="es-CO"/>
              </w:rPr>
              <w:t xml:space="preserve">Respuesta a la consulta No </w:t>
            </w:r>
            <w:r w:rsidR="001564B1" w:rsidRPr="001564B1">
              <w:rPr>
                <w:rFonts w:ascii="Arial" w:eastAsia="Calibri" w:hAnsi="Arial" w:cs="Arial"/>
                <w:szCs w:val="24"/>
                <w:lang w:eastAsia="es-CO"/>
              </w:rPr>
              <w:t>P20210303001745</w:t>
            </w:r>
          </w:p>
        </w:tc>
      </w:tr>
    </w:tbl>
    <w:p w14:paraId="6AEFC7C0" w14:textId="77777777" w:rsidR="00B050BC" w:rsidRPr="000555EC" w:rsidRDefault="00B050BC" w:rsidP="00B050BC">
      <w:pPr>
        <w:spacing w:after="0" w:line="240" w:lineRule="auto"/>
        <w:jc w:val="both"/>
        <w:rPr>
          <w:rFonts w:ascii="Arial" w:eastAsia="Calibri" w:hAnsi="Arial" w:cs="Arial"/>
          <w:lang w:val="es-MX"/>
        </w:rPr>
      </w:pPr>
    </w:p>
    <w:p w14:paraId="0BCF0F15" w14:textId="174BB67F" w:rsidR="00B050BC" w:rsidRDefault="00B050BC" w:rsidP="00B050BC">
      <w:pPr>
        <w:spacing w:after="0" w:line="240" w:lineRule="auto"/>
        <w:jc w:val="both"/>
        <w:rPr>
          <w:rFonts w:ascii="Arial" w:eastAsia="Calibri" w:hAnsi="Arial" w:cs="Arial"/>
          <w:lang w:val="es-MX"/>
        </w:rPr>
      </w:pPr>
    </w:p>
    <w:p w14:paraId="4EA4E560" w14:textId="77777777" w:rsidR="00446F3E" w:rsidRPr="000555EC" w:rsidRDefault="00446F3E" w:rsidP="00B050BC">
      <w:pPr>
        <w:spacing w:after="0" w:line="240" w:lineRule="auto"/>
        <w:jc w:val="both"/>
        <w:rPr>
          <w:rFonts w:ascii="Arial" w:eastAsia="Calibri" w:hAnsi="Arial" w:cs="Arial"/>
          <w:lang w:val="es-MX"/>
        </w:rPr>
      </w:pPr>
    </w:p>
    <w:p w14:paraId="218255B3" w14:textId="3FF2A880" w:rsidR="00B050BC" w:rsidRPr="000555EC" w:rsidRDefault="00B050BC" w:rsidP="00B050BC">
      <w:pPr>
        <w:spacing w:after="0" w:line="240" w:lineRule="auto"/>
        <w:rPr>
          <w:rFonts w:ascii="Arial" w:eastAsia="Calibri" w:hAnsi="Arial" w:cs="Arial"/>
          <w:lang w:val="es-MX"/>
        </w:rPr>
      </w:pPr>
      <w:r w:rsidRPr="000555EC">
        <w:rPr>
          <w:rFonts w:ascii="Arial" w:eastAsia="Calibri" w:hAnsi="Arial" w:cs="Arial"/>
          <w:lang w:val="es-MX"/>
        </w:rPr>
        <w:t>Estimad</w:t>
      </w:r>
      <w:r w:rsidR="00446F3E">
        <w:rPr>
          <w:rFonts w:ascii="Arial" w:eastAsia="Calibri" w:hAnsi="Arial" w:cs="Arial"/>
          <w:lang w:val="es-MX"/>
        </w:rPr>
        <w:t>a</w:t>
      </w:r>
      <w:r w:rsidRPr="000555EC">
        <w:rPr>
          <w:rFonts w:ascii="Arial" w:eastAsia="Calibri" w:hAnsi="Arial" w:cs="Arial"/>
          <w:lang w:val="es-MX"/>
        </w:rPr>
        <w:t xml:space="preserve"> señor</w:t>
      </w:r>
      <w:r w:rsidR="00446F3E">
        <w:rPr>
          <w:rFonts w:ascii="Arial" w:eastAsia="Calibri" w:hAnsi="Arial" w:cs="Arial"/>
          <w:lang w:val="es-MX"/>
        </w:rPr>
        <w:t>a</w:t>
      </w:r>
      <w:r w:rsidRPr="000555EC">
        <w:rPr>
          <w:rFonts w:ascii="Arial" w:eastAsia="Calibri" w:hAnsi="Arial" w:cs="Arial"/>
          <w:lang w:val="es-MX"/>
        </w:rPr>
        <w:t xml:space="preserve"> </w:t>
      </w:r>
      <w:r w:rsidR="00446F3E">
        <w:rPr>
          <w:rFonts w:ascii="Arial" w:eastAsia="Calibri" w:hAnsi="Arial" w:cs="Arial"/>
          <w:lang w:val="es-MX"/>
        </w:rPr>
        <w:t>Robledo</w:t>
      </w:r>
      <w:r w:rsidR="00685CFF">
        <w:rPr>
          <w:rFonts w:ascii="Arial" w:eastAsia="Calibri" w:hAnsi="Arial" w:cs="Arial"/>
          <w:lang w:val="es-MX"/>
        </w:rPr>
        <w:t xml:space="preserve"> Giraldo</w:t>
      </w:r>
      <w:r w:rsidRPr="000555EC">
        <w:rPr>
          <w:rFonts w:ascii="Arial" w:eastAsia="Calibri" w:hAnsi="Arial" w:cs="Arial"/>
          <w:lang w:val="es-MX"/>
        </w:rPr>
        <w:t>:</w:t>
      </w:r>
    </w:p>
    <w:p w14:paraId="201E68EE" w14:textId="77777777" w:rsidR="00B050BC" w:rsidRPr="000555EC" w:rsidRDefault="00B050BC" w:rsidP="00B050BC">
      <w:pPr>
        <w:spacing w:after="0" w:line="240" w:lineRule="auto"/>
        <w:rPr>
          <w:rFonts w:ascii="Arial" w:eastAsia="Calibri" w:hAnsi="Arial" w:cs="Arial"/>
          <w:lang w:val="es-MX"/>
        </w:rPr>
      </w:pPr>
    </w:p>
    <w:p w14:paraId="49AC2F14" w14:textId="29AE3FBB" w:rsidR="00B050BC" w:rsidRPr="000555EC" w:rsidRDefault="00B050BC" w:rsidP="00B050BC">
      <w:pPr>
        <w:spacing w:after="0" w:line="276" w:lineRule="auto"/>
        <w:jc w:val="both"/>
        <w:rPr>
          <w:rFonts w:ascii="Arial" w:eastAsia="Calibri" w:hAnsi="Arial" w:cs="Arial"/>
          <w:lang w:val="es-MX"/>
        </w:rPr>
      </w:pPr>
      <w:r w:rsidRPr="000555EC">
        <w:rPr>
          <w:rFonts w:ascii="Arial" w:eastAsia="Calibri" w:hAnsi="Arial" w:cs="Arial"/>
          <w:lang w:val="es-MX"/>
        </w:rPr>
        <w:t xml:space="preserve">En ejercicio de la competencia otorgada por los artículos 11, numeral 8º, y 3º, numeral 5º, del Decreto Ley 4170 de 2011, la Agencia Nacional de Contratación Pública ― Colombia Compra Eficiente responde su consulta del </w:t>
      </w:r>
      <w:r w:rsidR="00446F3E">
        <w:rPr>
          <w:rFonts w:ascii="Arial" w:eastAsia="Calibri" w:hAnsi="Arial" w:cs="Arial"/>
          <w:lang w:val="es-MX"/>
        </w:rPr>
        <w:t>3</w:t>
      </w:r>
      <w:r>
        <w:rPr>
          <w:rFonts w:ascii="Arial" w:eastAsia="Calibri" w:hAnsi="Arial" w:cs="Arial"/>
          <w:lang w:val="es-MX"/>
        </w:rPr>
        <w:t xml:space="preserve"> </w:t>
      </w:r>
      <w:r w:rsidRPr="000555EC">
        <w:rPr>
          <w:rFonts w:ascii="Arial" w:eastAsia="Calibri" w:hAnsi="Arial" w:cs="Arial"/>
          <w:lang w:val="es-MX"/>
        </w:rPr>
        <w:t xml:space="preserve">de </w:t>
      </w:r>
      <w:r w:rsidR="00446F3E">
        <w:rPr>
          <w:rFonts w:ascii="Arial" w:eastAsia="Calibri" w:hAnsi="Arial" w:cs="Arial"/>
          <w:lang w:val="es-MX"/>
        </w:rPr>
        <w:t>marzo</w:t>
      </w:r>
      <w:r w:rsidRPr="000555EC">
        <w:rPr>
          <w:rFonts w:ascii="Arial" w:eastAsia="Calibri" w:hAnsi="Arial" w:cs="Arial"/>
          <w:lang w:val="es-MX"/>
        </w:rPr>
        <w:t xml:space="preserve"> de 202</w:t>
      </w:r>
      <w:r>
        <w:rPr>
          <w:rFonts w:ascii="Arial" w:eastAsia="Calibri" w:hAnsi="Arial" w:cs="Arial"/>
          <w:lang w:val="es-MX"/>
        </w:rPr>
        <w:t>1</w:t>
      </w:r>
      <w:r w:rsidRPr="000555EC">
        <w:rPr>
          <w:rFonts w:ascii="Arial" w:eastAsia="Calibri" w:hAnsi="Arial" w:cs="Arial"/>
          <w:lang w:val="es-MX"/>
        </w:rPr>
        <w:t xml:space="preserve">. </w:t>
      </w:r>
    </w:p>
    <w:p w14:paraId="6D96EA14" w14:textId="77777777" w:rsidR="00B050BC" w:rsidRPr="000555EC" w:rsidRDefault="00B050BC" w:rsidP="00B050BC">
      <w:pPr>
        <w:spacing w:after="0" w:line="276" w:lineRule="auto"/>
        <w:jc w:val="both"/>
        <w:rPr>
          <w:rFonts w:ascii="Arial" w:eastAsia="Calibri" w:hAnsi="Arial" w:cs="Arial"/>
          <w:lang w:val="es-MX"/>
        </w:rPr>
      </w:pPr>
    </w:p>
    <w:p w14:paraId="519EFCF9" w14:textId="04E67363" w:rsidR="00B050BC" w:rsidRDefault="00B050BC" w:rsidP="00005BBF">
      <w:pPr>
        <w:numPr>
          <w:ilvl w:val="0"/>
          <w:numId w:val="1"/>
        </w:numPr>
        <w:tabs>
          <w:tab w:val="left" w:pos="284"/>
        </w:tabs>
        <w:spacing w:after="0" w:line="276" w:lineRule="auto"/>
        <w:ind w:left="4757" w:hanging="4758"/>
        <w:jc w:val="both"/>
        <w:rPr>
          <w:rFonts w:ascii="Arial" w:eastAsia="Calibri" w:hAnsi="Arial" w:cs="Arial"/>
          <w:b/>
          <w:lang w:val="es-MX"/>
        </w:rPr>
      </w:pPr>
      <w:r w:rsidRPr="000555EC">
        <w:rPr>
          <w:rFonts w:ascii="Arial" w:eastAsia="Calibri" w:hAnsi="Arial" w:cs="Arial"/>
          <w:b/>
          <w:lang w:val="es-MX"/>
        </w:rPr>
        <w:t>Problema planteado</w:t>
      </w:r>
    </w:p>
    <w:p w14:paraId="17E53DA3" w14:textId="77777777" w:rsidR="00D429B3" w:rsidRPr="000555EC" w:rsidRDefault="00D429B3" w:rsidP="00005BBF">
      <w:pPr>
        <w:tabs>
          <w:tab w:val="left" w:pos="284"/>
        </w:tabs>
        <w:spacing w:after="0" w:line="276" w:lineRule="auto"/>
        <w:ind w:left="4757"/>
        <w:jc w:val="both"/>
        <w:rPr>
          <w:rFonts w:ascii="Arial" w:eastAsia="Calibri" w:hAnsi="Arial" w:cs="Arial"/>
          <w:b/>
          <w:lang w:val="es-MX"/>
        </w:rPr>
      </w:pPr>
    </w:p>
    <w:p w14:paraId="68F0DCFE" w14:textId="642054C5" w:rsidR="00685CFF" w:rsidRDefault="0015559E" w:rsidP="00005BBF">
      <w:pPr>
        <w:autoSpaceDE w:val="0"/>
        <w:autoSpaceDN w:val="0"/>
        <w:adjustRightInd w:val="0"/>
        <w:spacing w:after="0" w:line="276" w:lineRule="auto"/>
        <w:jc w:val="both"/>
        <w:rPr>
          <w:rFonts w:ascii="Arial" w:eastAsia="Calibri" w:hAnsi="Arial" w:cs="Arial"/>
          <w:szCs w:val="24"/>
        </w:rPr>
      </w:pPr>
      <w:r>
        <w:rPr>
          <w:rFonts w:ascii="Arial" w:eastAsia="Calibri" w:hAnsi="Arial" w:cs="Arial"/>
          <w:szCs w:val="24"/>
        </w:rPr>
        <w:t>La peticionaria</w:t>
      </w:r>
      <w:r w:rsidRPr="000555EC">
        <w:rPr>
          <w:rFonts w:ascii="Arial" w:eastAsia="Calibri" w:hAnsi="Arial" w:cs="Arial"/>
          <w:szCs w:val="24"/>
        </w:rPr>
        <w:t xml:space="preserve"> </w:t>
      </w:r>
      <w:r w:rsidR="00B050BC">
        <w:rPr>
          <w:rFonts w:ascii="Arial" w:eastAsia="Calibri" w:hAnsi="Arial" w:cs="Arial"/>
          <w:szCs w:val="24"/>
        </w:rPr>
        <w:t>plantea la siguiente</w:t>
      </w:r>
      <w:r w:rsidR="00446F3E">
        <w:rPr>
          <w:rFonts w:ascii="Arial" w:eastAsia="Calibri" w:hAnsi="Arial" w:cs="Arial"/>
          <w:szCs w:val="24"/>
        </w:rPr>
        <w:t xml:space="preserve"> problemática </w:t>
      </w:r>
      <w:r w:rsidR="00B050BC">
        <w:rPr>
          <w:rFonts w:ascii="Arial" w:eastAsia="Calibri" w:hAnsi="Arial" w:cs="Arial"/>
          <w:szCs w:val="24"/>
        </w:rPr>
        <w:t>en relación con l</w:t>
      </w:r>
      <w:r w:rsidR="00446F3E">
        <w:rPr>
          <w:rFonts w:ascii="Arial" w:eastAsia="Calibri" w:hAnsi="Arial" w:cs="Arial"/>
          <w:szCs w:val="24"/>
        </w:rPr>
        <w:t>a determinación del método de ponderación para</w:t>
      </w:r>
      <w:r w:rsidR="006D22E0">
        <w:rPr>
          <w:rFonts w:ascii="Arial" w:eastAsia="Calibri" w:hAnsi="Arial" w:cs="Arial"/>
          <w:szCs w:val="24"/>
        </w:rPr>
        <w:t xml:space="preserve"> </w:t>
      </w:r>
      <w:r w:rsidR="00446F3E">
        <w:rPr>
          <w:rFonts w:ascii="Arial" w:eastAsia="Calibri" w:hAnsi="Arial" w:cs="Arial"/>
          <w:szCs w:val="24"/>
        </w:rPr>
        <w:t>l</w:t>
      </w:r>
      <w:r w:rsidR="00B050BC">
        <w:rPr>
          <w:rFonts w:ascii="Arial" w:eastAsia="Calibri" w:hAnsi="Arial" w:cs="Arial"/>
          <w:szCs w:val="24"/>
        </w:rPr>
        <w:t>os documentos tipo de licitación de obra pública del sector de agua potable y saneamiento básico</w:t>
      </w:r>
      <w:r w:rsidR="00446F3E">
        <w:rPr>
          <w:rFonts w:ascii="Arial" w:eastAsia="Calibri" w:hAnsi="Arial" w:cs="Arial"/>
          <w:szCs w:val="24"/>
        </w:rPr>
        <w:t xml:space="preserve"> e infraestructura de transporte para los procesos adelantados en el SECOP II</w:t>
      </w:r>
      <w:r w:rsidR="00833270">
        <w:rPr>
          <w:rFonts w:ascii="Arial" w:eastAsia="Calibri" w:hAnsi="Arial" w:cs="Arial"/>
          <w:szCs w:val="24"/>
        </w:rPr>
        <w:t xml:space="preserve">. </w:t>
      </w:r>
      <w:r>
        <w:rPr>
          <w:rFonts w:ascii="Arial" w:eastAsia="Calibri" w:hAnsi="Arial" w:cs="Arial"/>
          <w:szCs w:val="24"/>
        </w:rPr>
        <w:t>En este sentido, en su petición indica lo siguiente</w:t>
      </w:r>
      <w:r w:rsidR="00A7090F">
        <w:rPr>
          <w:rFonts w:ascii="Arial" w:eastAsia="Calibri" w:hAnsi="Arial" w:cs="Arial"/>
          <w:szCs w:val="24"/>
        </w:rPr>
        <w:t>: «[…</w:t>
      </w:r>
      <w:r w:rsidR="002645CF">
        <w:rPr>
          <w:rFonts w:ascii="Arial" w:eastAsia="Calibri" w:hAnsi="Arial" w:cs="Arial"/>
          <w:szCs w:val="24"/>
        </w:rPr>
        <w:t>] a</w:t>
      </w:r>
      <w:r w:rsidR="002E6D70">
        <w:rPr>
          <w:rFonts w:ascii="Arial" w:eastAsia="Calibri" w:hAnsi="Arial" w:cs="Arial"/>
          <w:szCs w:val="24"/>
        </w:rPr>
        <w:t xml:space="preserve"> los últimos procesos </w:t>
      </w:r>
      <w:r w:rsidR="002645CF">
        <w:rPr>
          <w:rFonts w:ascii="Arial" w:eastAsia="Calibri" w:hAnsi="Arial" w:cs="Arial"/>
          <w:szCs w:val="24"/>
        </w:rPr>
        <w:t xml:space="preserve">de licitación pública que hemos </w:t>
      </w:r>
      <w:r w:rsidR="00F83674">
        <w:rPr>
          <w:rFonts w:ascii="Arial" w:eastAsia="Calibri" w:hAnsi="Arial" w:cs="Arial"/>
          <w:szCs w:val="24"/>
        </w:rPr>
        <w:t>publicado se han presentado más de 240 proponentes, por lo que la desencriptada</w:t>
      </w:r>
      <w:r w:rsidR="007601B3">
        <w:rPr>
          <w:rFonts w:ascii="Arial" w:eastAsia="Calibri" w:hAnsi="Arial" w:cs="Arial"/>
          <w:szCs w:val="24"/>
        </w:rPr>
        <w:t xml:space="preserve"> del sobre económico tarda hasta dos días, por esta razón </w:t>
      </w:r>
      <w:r w:rsidR="00DE3224">
        <w:rPr>
          <w:rFonts w:ascii="Arial" w:eastAsia="Calibri" w:hAnsi="Arial" w:cs="Arial"/>
          <w:szCs w:val="24"/>
        </w:rPr>
        <w:t xml:space="preserve">solicitamos aclarar si debemos tener en cuenta la TRM que se publica el día que le damos “abrir” al sobre económico o la que se publica el día que realmente se termina de desencriptar dicho sobre». </w:t>
      </w:r>
    </w:p>
    <w:p w14:paraId="7D465327" w14:textId="77777777" w:rsidR="00D429B3" w:rsidRDefault="00D429B3" w:rsidP="00005BBF">
      <w:pPr>
        <w:autoSpaceDE w:val="0"/>
        <w:autoSpaceDN w:val="0"/>
        <w:adjustRightInd w:val="0"/>
        <w:spacing w:after="0" w:line="276" w:lineRule="auto"/>
        <w:jc w:val="both"/>
        <w:rPr>
          <w:rFonts w:ascii="Arial" w:eastAsia="Calibri" w:hAnsi="Arial" w:cs="Arial"/>
          <w:szCs w:val="24"/>
        </w:rPr>
      </w:pPr>
    </w:p>
    <w:p w14:paraId="342E8D2C" w14:textId="0DF10D3C" w:rsidR="002832C0" w:rsidRDefault="002832C0" w:rsidP="00005BBF">
      <w:pPr>
        <w:pStyle w:val="Prrafodelista"/>
        <w:numPr>
          <w:ilvl w:val="0"/>
          <w:numId w:val="1"/>
        </w:numPr>
        <w:autoSpaceDE w:val="0"/>
        <w:autoSpaceDN w:val="0"/>
        <w:adjustRightInd w:val="0"/>
        <w:spacing w:after="0" w:line="276" w:lineRule="auto"/>
        <w:ind w:left="284" w:hanging="284"/>
        <w:contextualSpacing w:val="0"/>
        <w:jc w:val="both"/>
        <w:rPr>
          <w:rFonts w:ascii="Arial" w:eastAsia="Calibri" w:hAnsi="Arial" w:cs="Arial"/>
          <w:b/>
          <w:lang w:val="es-MX"/>
        </w:rPr>
      </w:pPr>
      <w:r w:rsidRPr="002832C0">
        <w:rPr>
          <w:rFonts w:ascii="Arial" w:eastAsia="Calibri" w:hAnsi="Arial" w:cs="Arial"/>
          <w:b/>
          <w:lang w:val="es-MX"/>
        </w:rPr>
        <w:t>Consideraciones</w:t>
      </w:r>
    </w:p>
    <w:p w14:paraId="73957941" w14:textId="77777777" w:rsidR="00D429B3" w:rsidRDefault="00D429B3" w:rsidP="00005BBF">
      <w:pPr>
        <w:pStyle w:val="Prrafodelista"/>
        <w:autoSpaceDE w:val="0"/>
        <w:autoSpaceDN w:val="0"/>
        <w:adjustRightInd w:val="0"/>
        <w:spacing w:after="0" w:line="276" w:lineRule="auto"/>
        <w:ind w:left="284"/>
        <w:contextualSpacing w:val="0"/>
        <w:jc w:val="both"/>
        <w:rPr>
          <w:rFonts w:ascii="Arial" w:eastAsia="Calibri" w:hAnsi="Arial" w:cs="Arial"/>
          <w:b/>
          <w:lang w:val="es-MX"/>
        </w:rPr>
      </w:pPr>
    </w:p>
    <w:p w14:paraId="2E0E186E" w14:textId="2B281B3D" w:rsidR="00621778" w:rsidRDefault="002832C0" w:rsidP="00005BBF">
      <w:pPr>
        <w:spacing w:after="0" w:line="276" w:lineRule="auto"/>
        <w:jc w:val="both"/>
        <w:rPr>
          <w:rFonts w:ascii="Arial" w:hAnsi="Arial" w:cs="Arial"/>
        </w:rPr>
      </w:pPr>
      <w:r w:rsidRPr="002832C0">
        <w:rPr>
          <w:rFonts w:ascii="Arial" w:eastAsia="Calibri" w:hAnsi="Arial" w:cs="Arial"/>
          <w:bCs/>
          <w:lang w:val="es-MX"/>
        </w:rPr>
        <w:t>Para</w:t>
      </w:r>
      <w:r>
        <w:rPr>
          <w:rFonts w:ascii="Arial" w:eastAsia="Calibri" w:hAnsi="Arial" w:cs="Arial"/>
          <w:bCs/>
          <w:lang w:val="es-MX"/>
        </w:rPr>
        <w:t xml:space="preserve"> responder su </w:t>
      </w:r>
      <w:r w:rsidR="0061255B">
        <w:rPr>
          <w:rFonts w:ascii="Arial" w:eastAsia="Calibri" w:hAnsi="Arial" w:cs="Arial"/>
          <w:bCs/>
          <w:lang w:val="es-MX"/>
        </w:rPr>
        <w:t xml:space="preserve">inquietud </w:t>
      </w:r>
      <w:r w:rsidR="00B958C0">
        <w:rPr>
          <w:rFonts w:ascii="Arial" w:eastAsia="Calibri" w:hAnsi="Arial" w:cs="Arial"/>
          <w:bCs/>
          <w:lang w:val="es-MX"/>
        </w:rPr>
        <w:t>se explicará</w:t>
      </w:r>
      <w:r w:rsidR="0031506A">
        <w:rPr>
          <w:rFonts w:ascii="Arial" w:eastAsia="Calibri" w:hAnsi="Arial" w:cs="Arial"/>
          <w:bCs/>
          <w:lang w:val="es-MX"/>
        </w:rPr>
        <w:t>n l</w:t>
      </w:r>
      <w:r w:rsidR="00B958C0">
        <w:rPr>
          <w:rFonts w:ascii="Arial" w:eastAsia="Calibri" w:hAnsi="Arial" w:cs="Arial"/>
          <w:bCs/>
          <w:lang w:val="es-MX"/>
        </w:rPr>
        <w:t>as reglas relacionadas con la definición de la TRM que determina el método de ponderación de las ofertas económicas</w:t>
      </w:r>
      <w:r w:rsidR="00AF602F">
        <w:rPr>
          <w:rFonts w:ascii="Arial" w:eastAsia="Calibri" w:hAnsi="Arial" w:cs="Arial"/>
          <w:bCs/>
          <w:lang w:val="es-MX"/>
        </w:rPr>
        <w:t xml:space="preserve"> en los documentos tipo de obra pública del sector de infraestructura de transporte y agua potable y saneamiento básico</w:t>
      </w:r>
      <w:r w:rsidR="00B958C0">
        <w:rPr>
          <w:rFonts w:ascii="Arial" w:eastAsia="Calibri" w:hAnsi="Arial" w:cs="Arial"/>
          <w:bCs/>
          <w:lang w:val="es-MX"/>
        </w:rPr>
        <w:t xml:space="preserve">. </w:t>
      </w:r>
      <w:r w:rsidR="00A578BA">
        <w:rPr>
          <w:rFonts w:ascii="Arial" w:eastAsia="Calibri" w:hAnsi="Arial" w:cs="Arial"/>
          <w:bCs/>
          <w:lang w:val="es-MX"/>
        </w:rPr>
        <w:t xml:space="preserve">Al respecto, </w:t>
      </w:r>
      <w:r w:rsidR="00A578BA">
        <w:rPr>
          <w:rFonts w:ascii="Arial" w:eastAsia="Calibri" w:hAnsi="Arial" w:cs="Arial"/>
        </w:rPr>
        <w:t>l</w:t>
      </w:r>
      <w:r w:rsidR="009A63E3">
        <w:rPr>
          <w:rFonts w:ascii="Arial" w:eastAsia="Calibri" w:hAnsi="Arial" w:cs="Arial"/>
        </w:rPr>
        <w:t xml:space="preserve">a Agencia </w:t>
      </w:r>
      <w:r w:rsidR="009A63E3">
        <w:rPr>
          <w:rFonts w:ascii="Arial" w:eastAsia="Calibri" w:hAnsi="Arial" w:cs="Arial"/>
          <w:bCs/>
        </w:rPr>
        <w:t>Nacional de Contratación Pública - Colombia Compra Eficiente, en ejercicio de la función consultiva se ha pronunciado sobre el tema relativo a la ponderación de la oferta económica en procedimientos contractuales regidos por los documentos tipo de obra pública de infraestructura de transporte</w:t>
      </w:r>
      <w:r w:rsidR="009A63E3">
        <w:t xml:space="preserve"> </w:t>
      </w:r>
      <w:r w:rsidR="009A63E3">
        <w:rPr>
          <w:rFonts w:ascii="Arial" w:eastAsia="Calibri" w:hAnsi="Arial" w:cs="Arial"/>
          <w:bCs/>
        </w:rPr>
        <w:t>en el concepto con radicado No.</w:t>
      </w:r>
      <w:r w:rsidR="009A63E3">
        <w:t xml:space="preserve"> </w:t>
      </w:r>
      <w:r w:rsidR="009A63E3">
        <w:rPr>
          <w:rFonts w:ascii="Arial" w:eastAsia="Calibri" w:hAnsi="Arial" w:cs="Arial"/>
          <w:bCs/>
        </w:rPr>
        <w:t xml:space="preserve">4202013000001564 del 18 de marzo de 2020, reiterado y desarrollado en los conceptos C-193 del 6 de abril de 2020, C-224 del 21 de abril de 2020, C-279 del 18 de </w:t>
      </w:r>
      <w:r w:rsidR="009A63E3">
        <w:rPr>
          <w:rFonts w:ascii="Arial" w:eastAsia="Calibri" w:hAnsi="Arial" w:cs="Arial"/>
          <w:bCs/>
        </w:rPr>
        <w:lastRenderedPageBreak/>
        <w:t xml:space="preserve">mayo de 2020, C-347 del 26 de mayo de 2020, C-412 del 17 de junio de 2020, C-349 del 23 de junio de 2020, C-423 del 23 de junio de 2020, C-424 del 23 de junio de 2020, C-472 del 14 de julio de 2020, C-386 del 24 de julio de 2020, C-482 del 27 de julio de 2020, C-490 del 28 de julio de 2020, C−382 del 30 de julio de 2020, C−385 del 30 de julio de 2020, C−431 del 09 de julio de 2020, C–679 del 23 de noviembre de 2020, C-810 del 08 de febrero de 2021, C- </w:t>
      </w:r>
      <w:r w:rsidR="00C44FB2">
        <w:rPr>
          <w:rFonts w:ascii="Arial" w:eastAsia="Calibri" w:hAnsi="Arial" w:cs="Arial"/>
          <w:bCs/>
        </w:rPr>
        <w:t>011 del 17 de febrero de 2021, C-</w:t>
      </w:r>
      <w:r w:rsidR="009A63E3">
        <w:rPr>
          <w:rFonts w:ascii="Arial" w:eastAsia="Calibri" w:hAnsi="Arial" w:cs="Arial"/>
          <w:bCs/>
        </w:rPr>
        <w:t>042</w:t>
      </w:r>
      <w:r w:rsidR="00A578BA">
        <w:rPr>
          <w:rFonts w:ascii="Arial" w:eastAsia="Calibri" w:hAnsi="Arial" w:cs="Arial"/>
          <w:bCs/>
        </w:rPr>
        <w:t xml:space="preserve"> del 03 de marzo de 221</w:t>
      </w:r>
      <w:r w:rsidR="00C44FB2">
        <w:rPr>
          <w:rFonts w:ascii="Arial" w:eastAsia="Calibri" w:hAnsi="Arial" w:cs="Arial"/>
          <w:bCs/>
        </w:rPr>
        <w:t xml:space="preserve"> y C-071 del 17 de marzo de 2021</w:t>
      </w:r>
      <w:r w:rsidR="00621778">
        <w:rPr>
          <w:rFonts w:ascii="Arial" w:eastAsia="Calibri" w:hAnsi="Arial" w:cs="Arial"/>
          <w:bCs/>
        </w:rPr>
        <w:t>.</w:t>
      </w:r>
      <w:r w:rsidR="00621778">
        <w:rPr>
          <w:rFonts w:ascii="Arial" w:hAnsi="Arial" w:cs="Arial"/>
        </w:rPr>
        <w:t xml:space="preserve"> En lo pertinente, las tesis expuestas en los conceptos mencionados se reiteran a continuación.</w:t>
      </w:r>
    </w:p>
    <w:p w14:paraId="3CA9BC37" w14:textId="77777777" w:rsidR="0015559E" w:rsidRPr="00B87900" w:rsidRDefault="0015559E" w:rsidP="00005BBF">
      <w:pPr>
        <w:spacing w:after="0" w:line="276" w:lineRule="auto"/>
        <w:jc w:val="both"/>
        <w:rPr>
          <w:rFonts w:ascii="Arial" w:eastAsia="Calibri" w:hAnsi="Arial" w:cs="Arial"/>
          <w:bCs/>
        </w:rPr>
      </w:pPr>
    </w:p>
    <w:p w14:paraId="1CC684D8" w14:textId="56A667A4" w:rsidR="00C44FB2" w:rsidRDefault="000176B6" w:rsidP="00005BBF">
      <w:pPr>
        <w:spacing w:after="0" w:line="276" w:lineRule="auto"/>
        <w:jc w:val="both"/>
        <w:rPr>
          <w:rFonts w:ascii="Arial" w:eastAsia="Calibri" w:hAnsi="Arial" w:cs="Arial"/>
          <w:b/>
        </w:rPr>
      </w:pPr>
      <w:r w:rsidRPr="00CA71E4">
        <w:rPr>
          <w:rFonts w:ascii="Arial" w:eastAsia="Calibri" w:hAnsi="Arial" w:cs="Arial"/>
          <w:b/>
        </w:rPr>
        <w:t xml:space="preserve">2.1 </w:t>
      </w:r>
      <w:r w:rsidR="00003C6B">
        <w:rPr>
          <w:rFonts w:ascii="Arial" w:eastAsia="Calibri" w:hAnsi="Arial" w:cs="Arial"/>
          <w:b/>
        </w:rPr>
        <w:t>Ponderación de la oferta económica en los Documentos</w:t>
      </w:r>
      <w:r w:rsidR="00003C6B">
        <w:rPr>
          <w:rFonts w:ascii="Arial" w:eastAsia="Calibri" w:hAnsi="Arial" w:cs="Arial"/>
          <w:bCs/>
        </w:rPr>
        <w:t xml:space="preserve"> </w:t>
      </w:r>
      <w:r w:rsidR="00003C6B" w:rsidRPr="00003C6B">
        <w:rPr>
          <w:rFonts w:ascii="Arial" w:eastAsia="Calibri" w:hAnsi="Arial" w:cs="Arial"/>
          <w:b/>
        </w:rPr>
        <w:t>Tipo</w:t>
      </w:r>
      <w:r w:rsidR="002122A6">
        <w:rPr>
          <w:rFonts w:ascii="Arial" w:eastAsia="Calibri" w:hAnsi="Arial" w:cs="Arial"/>
          <w:b/>
        </w:rPr>
        <w:t xml:space="preserve"> de licitación de obra pública de infraestructura de transporte</w:t>
      </w:r>
    </w:p>
    <w:p w14:paraId="48E2DA5D" w14:textId="77777777" w:rsidR="0015559E" w:rsidRDefault="0015559E" w:rsidP="00005BBF">
      <w:pPr>
        <w:spacing w:after="0" w:line="276" w:lineRule="auto"/>
        <w:jc w:val="both"/>
        <w:rPr>
          <w:rFonts w:ascii="Arial" w:eastAsia="Calibri" w:hAnsi="Arial" w:cs="Arial"/>
          <w:b/>
        </w:rPr>
      </w:pPr>
    </w:p>
    <w:p w14:paraId="1F9B28EB" w14:textId="77777777" w:rsidR="002122A6" w:rsidRPr="00BC1B2C" w:rsidRDefault="002122A6" w:rsidP="00005BBF">
      <w:pPr>
        <w:tabs>
          <w:tab w:val="left" w:pos="426"/>
        </w:tabs>
        <w:spacing w:after="120" w:line="276" w:lineRule="auto"/>
        <w:jc w:val="both"/>
        <w:rPr>
          <w:rFonts w:ascii="Arial" w:eastAsia="Calibri" w:hAnsi="Arial" w:cs="Arial"/>
          <w:b/>
        </w:rPr>
      </w:pPr>
      <w:r>
        <w:rPr>
          <w:rFonts w:ascii="Arial" w:hAnsi="Arial" w:cs="Arial"/>
        </w:rPr>
        <w:t xml:space="preserve">El </w:t>
      </w:r>
      <w:r>
        <w:rPr>
          <w:rFonts w:ascii="Arial" w:eastAsia="Calibri" w:hAnsi="Arial" w:cs="Arial"/>
        </w:rPr>
        <w:t>documento base expedido por la Resolución No. 240 de 2020, esencialmente, conserva el mecanismo para la determinación del método de ponderación de la oferta económica con base en la TRM publicada por la Superfinanciera. En ese sentido, el numeral 4.1.4 conserva los métodos de Mediana con valor absoluto, Media geométrica, Media aritmética baja y Menor valor, los cuales deben aplicarse de manera aleatoria según los centavos de la TRM publicada por la Superfinanciera</w:t>
      </w:r>
      <w:r>
        <w:rPr>
          <w:rStyle w:val="Refdenotaalpie"/>
          <w:rFonts w:ascii="Arial" w:eastAsia="Calibri" w:hAnsi="Arial" w:cs="Arial"/>
        </w:rPr>
        <w:footnoteReference w:id="1"/>
      </w:r>
      <w:r>
        <w:rPr>
          <w:rFonts w:ascii="Arial" w:eastAsia="Calibri" w:hAnsi="Arial" w:cs="Arial"/>
        </w:rPr>
        <w:t xml:space="preserve">. No obstante, dicho documento base introduce variaciones respecto de ciertos aspectos. </w:t>
      </w:r>
      <w:r>
        <w:rPr>
          <w:rFonts w:ascii="Arial" w:eastAsia="Calibri" w:hAnsi="Arial" w:cs="Arial"/>
          <w:b/>
          <w:bCs/>
        </w:rPr>
        <w:tab/>
      </w:r>
    </w:p>
    <w:p w14:paraId="1E7D8C06" w14:textId="77777777" w:rsidR="002122A6" w:rsidRDefault="002122A6" w:rsidP="002122A6">
      <w:pPr>
        <w:spacing w:after="120" w:line="276" w:lineRule="auto"/>
        <w:ind w:firstLine="708"/>
        <w:jc w:val="both"/>
        <w:rPr>
          <w:rFonts w:ascii="Arial" w:eastAsia="Calibri" w:hAnsi="Arial" w:cs="Arial"/>
        </w:rPr>
      </w:pPr>
      <w:r>
        <w:rPr>
          <w:rFonts w:ascii="Arial" w:eastAsia="Calibri" w:hAnsi="Arial" w:cs="Arial"/>
        </w:rPr>
        <w:t>En primer lugar, la aplicación diferencial de la TRM en virtud del uso de SECOP I y SECOP II desaparece, en la medida que el numeral 4.1.4 establece que la determinación</w:t>
      </w:r>
      <w:r>
        <w:t xml:space="preserve"> d</w:t>
      </w:r>
      <w:r>
        <w:rPr>
          <w:rFonts w:ascii="Arial" w:eastAsia="Calibri" w:hAnsi="Arial" w:cs="Arial"/>
        </w:rPr>
        <w:t>el método de ponderación de las propuestas se realizará «de acuerdo con la TRM que rija al día hábil siguiente», sin establecer ningún condicionamiento al respecto.</w:t>
      </w:r>
    </w:p>
    <w:p w14:paraId="5171950D" w14:textId="77777777" w:rsidR="002122A6" w:rsidRDefault="002122A6" w:rsidP="002122A6">
      <w:pPr>
        <w:spacing w:after="120" w:line="276" w:lineRule="auto"/>
        <w:ind w:firstLine="708"/>
        <w:jc w:val="both"/>
        <w:rPr>
          <w:rFonts w:ascii="Arial" w:hAnsi="Arial" w:cs="Arial"/>
        </w:rPr>
      </w:pPr>
      <w:r>
        <w:rPr>
          <w:rFonts w:ascii="Arial" w:eastAsia="Calibri" w:hAnsi="Arial" w:cs="Arial"/>
        </w:rPr>
        <w:t>De otra parte, el numeral 4.1.4 al regular el mecanismo de escogencia del método de ponderación, reglamenta aspectos propios del desarrollo de la apertura de los sobres contentivos de las ofertas económicas y del desarrollo de la audiencia de adjudicación, no contemplados en los numerales 2.4 y 2.6 del referido documento base</w:t>
      </w:r>
      <w:r>
        <w:rPr>
          <w:rStyle w:val="Refdenotaalpie"/>
          <w:rFonts w:ascii="Arial" w:eastAsia="Calibri" w:hAnsi="Arial" w:cs="Arial"/>
        </w:rPr>
        <w:footnoteReference w:id="2"/>
      </w:r>
      <w:r>
        <w:rPr>
          <w:rFonts w:ascii="Arial" w:eastAsia="Calibri" w:hAnsi="Arial" w:cs="Arial"/>
        </w:rPr>
        <w:t>. En particular, el numeral 4.1.4 establece que «la entidad debe finalizar la apertura de los sobres económicos hasta antes de las 3:00 pm», de tal manera que «</w:t>
      </w:r>
      <w:r>
        <w:rPr>
          <w:rFonts w:ascii="Arial" w:hAnsi="Arial" w:cs="Arial"/>
        </w:rPr>
        <w:t xml:space="preserve">la entidad no podrá abrir los sobres económicos teniendo conocimiento de la TRM que regirá al día hábil siguiente», la cual suele ser publicada por la Superfinanciera entre las 4:00 pm y las 6:00 pm. </w:t>
      </w:r>
    </w:p>
    <w:p w14:paraId="0D6FE985" w14:textId="77777777" w:rsidR="002122A6" w:rsidRDefault="002122A6" w:rsidP="002122A6">
      <w:pPr>
        <w:spacing w:after="120" w:line="276" w:lineRule="auto"/>
        <w:ind w:firstLine="708"/>
        <w:jc w:val="both"/>
        <w:rPr>
          <w:rFonts w:ascii="Arial" w:hAnsi="Arial" w:cs="Arial"/>
        </w:rPr>
      </w:pPr>
      <w:r>
        <w:rPr>
          <w:rFonts w:ascii="Arial" w:hAnsi="Arial" w:cs="Arial"/>
        </w:rPr>
        <w:t xml:space="preserve">Lo anterior indica que, en lo relativo a la apertura de los sobres contentivos de la oferta económica, la Versión 3 del aludido documento base mantiene la obligación de iniciar y finalizar la apertura de los sobres en un mismo día, en el que también deberá definirse el método de ponderación, pero estableciendo además que ello deberá llevarse a cabo antes de las 3:00 pm del respectivo día. </w:t>
      </w:r>
    </w:p>
    <w:p w14:paraId="195E45F8" w14:textId="4D03DE8E" w:rsidR="002122A6" w:rsidRDefault="002122A6" w:rsidP="002122A6">
      <w:pPr>
        <w:spacing w:after="120" w:line="276" w:lineRule="auto"/>
        <w:ind w:firstLine="708"/>
        <w:jc w:val="both"/>
        <w:rPr>
          <w:rFonts w:ascii="Arial" w:hAnsi="Arial" w:cs="Arial"/>
        </w:rPr>
      </w:pPr>
      <w:r>
        <w:rPr>
          <w:rFonts w:ascii="Arial" w:hAnsi="Arial" w:cs="Arial"/>
        </w:rPr>
        <w:t xml:space="preserve">En ese sentido, el numeral 4.1.4 establece que, para poder cumplir con estos supuestos, atendiendo las particularidades de cada proceso, la entidad podrá suspender la audiencia y reiniciarla cuando estime conveniente, de tal manera que la apertura de las ofertas económicas y la determinación del método de ponderación puedan ocurrir un mismo día, culminando la apertura antes de las 3:00 pm. </w:t>
      </w:r>
    </w:p>
    <w:p w14:paraId="3D8980FF" w14:textId="77777777" w:rsidR="00C521DA" w:rsidRDefault="002122A6" w:rsidP="002122A6">
      <w:pPr>
        <w:spacing w:after="120" w:line="276" w:lineRule="auto"/>
        <w:ind w:firstLine="709"/>
        <w:jc w:val="both"/>
        <w:rPr>
          <w:rFonts w:ascii="Arial" w:hAnsi="Arial" w:cs="Arial"/>
        </w:rPr>
      </w:pPr>
      <w:r>
        <w:rPr>
          <w:rFonts w:ascii="Arial" w:hAnsi="Arial" w:cs="Arial"/>
        </w:rPr>
        <w:t>Estos cambios en el mecanismo para definir de forma aleatoria el método de ponderación de las ofertas económicas, garantizan mayor transparencia en la ponderación respecto de la regulación instaurada por la Versión 2 de los referidos documentos tipo. Esto en la medida en que establecer una hora límite para la apertura de las ofertas garantiza que las entidades estatales no puedan, antes o durante la apertura de las ofertas, conocer la TRM que determinará el método de ponderación, comoquiera que esta sería publicada por la Superfinanciera en un momento posterior a la apertura de todas las ofertas económicas.</w:t>
      </w:r>
    </w:p>
    <w:p w14:paraId="50AF0CD7" w14:textId="287DDD75" w:rsidR="002122A6" w:rsidRDefault="00C521DA" w:rsidP="002122A6">
      <w:pPr>
        <w:spacing w:after="120" w:line="276" w:lineRule="auto"/>
        <w:ind w:firstLine="709"/>
        <w:jc w:val="both"/>
        <w:rPr>
          <w:rFonts w:ascii="Arial" w:hAnsi="Arial" w:cs="Arial"/>
        </w:rPr>
      </w:pPr>
      <w:r>
        <w:rPr>
          <w:rFonts w:ascii="Arial" w:hAnsi="Arial" w:cs="Arial"/>
        </w:rPr>
        <w:t xml:space="preserve">Por su parte, es importante resaltar que </w:t>
      </w:r>
      <w:r w:rsidR="00F360D0">
        <w:rPr>
          <w:rFonts w:ascii="Arial" w:hAnsi="Arial" w:cs="Arial"/>
        </w:rPr>
        <w:t xml:space="preserve">estas reglas relacionadas con la forma en la cual se determina la TRM que la entidad utilizará para determinar el método de ponderación de la oferta económica se replicaron en los documentos tipo del sector </w:t>
      </w:r>
      <w:r w:rsidR="00B727C9">
        <w:rPr>
          <w:rFonts w:ascii="Arial" w:hAnsi="Arial" w:cs="Arial"/>
        </w:rPr>
        <w:t xml:space="preserve">agua potable y saneamiento básico adoptados por las Resoluciones </w:t>
      </w:r>
      <w:r w:rsidR="00B21E38">
        <w:rPr>
          <w:rFonts w:ascii="Arial" w:hAnsi="Arial" w:cs="Arial"/>
        </w:rPr>
        <w:t xml:space="preserve">248 y 249 de 2020. </w:t>
      </w:r>
    </w:p>
    <w:p w14:paraId="3135284F" w14:textId="2CC9F9CF" w:rsidR="00264C86" w:rsidRDefault="0071354B" w:rsidP="00655CC0">
      <w:pPr>
        <w:spacing w:line="276" w:lineRule="auto"/>
        <w:ind w:firstLine="709"/>
        <w:jc w:val="both"/>
        <w:rPr>
          <w:rFonts w:ascii="Arial" w:hAnsi="Arial" w:cs="Arial"/>
        </w:rPr>
      </w:pPr>
      <w:r>
        <w:rPr>
          <w:rFonts w:ascii="Arial" w:hAnsi="Arial" w:cs="Arial"/>
        </w:rPr>
        <w:t>Conforme a lo</w:t>
      </w:r>
      <w:r w:rsidR="00B21E38">
        <w:rPr>
          <w:rFonts w:ascii="Arial" w:hAnsi="Arial" w:cs="Arial"/>
        </w:rPr>
        <w:t xml:space="preserve"> expuesto previamente</w:t>
      </w:r>
      <w:r>
        <w:rPr>
          <w:rFonts w:ascii="Arial" w:hAnsi="Arial" w:cs="Arial"/>
        </w:rPr>
        <w:t xml:space="preserve">, </w:t>
      </w:r>
      <w:r w:rsidR="00AA6243">
        <w:rPr>
          <w:rFonts w:ascii="Arial" w:hAnsi="Arial" w:cs="Arial"/>
        </w:rPr>
        <w:t xml:space="preserve">la TRM que la entidad utilizará para determinar el método de ponderación será el que rija el día </w:t>
      </w:r>
      <w:r w:rsidR="00655CC0">
        <w:rPr>
          <w:rFonts w:ascii="Arial" w:hAnsi="Arial" w:cs="Arial"/>
        </w:rPr>
        <w:t xml:space="preserve">hábil siguiente del día en que efectivamente sea la apertura del segundo sobre. </w:t>
      </w:r>
      <w:r w:rsidR="00264C86">
        <w:rPr>
          <w:rFonts w:ascii="Arial" w:hAnsi="Arial" w:cs="Arial"/>
        </w:rPr>
        <w:t xml:space="preserve">Ahora bien, </w:t>
      </w:r>
      <w:r w:rsidR="00655CC0">
        <w:rPr>
          <w:rFonts w:ascii="Arial" w:hAnsi="Arial" w:cs="Arial"/>
        </w:rPr>
        <w:t xml:space="preserve">el peticionario </w:t>
      </w:r>
      <w:r w:rsidR="00FA7941">
        <w:rPr>
          <w:rFonts w:ascii="Arial" w:hAnsi="Arial" w:cs="Arial"/>
        </w:rPr>
        <w:t>plantea la siguiente inquietud frente a los procesos publicados en el SECOP II: ¿Cuál es la TRM que rige</w:t>
      </w:r>
      <w:r w:rsidR="00444FDD">
        <w:rPr>
          <w:rFonts w:ascii="Arial" w:hAnsi="Arial" w:cs="Arial"/>
        </w:rPr>
        <w:t xml:space="preserve"> cuando la desencriptada de los sobres económicos se demora hasta dos días?</w:t>
      </w:r>
    </w:p>
    <w:p w14:paraId="6A36D098" w14:textId="7FA58C3E" w:rsidR="002122A6" w:rsidRDefault="0012150B" w:rsidP="00003C6B">
      <w:pPr>
        <w:spacing w:after="120" w:line="276" w:lineRule="auto"/>
        <w:jc w:val="both"/>
        <w:rPr>
          <w:rFonts w:ascii="Arial" w:eastAsia="Calibri" w:hAnsi="Arial" w:cs="Arial"/>
          <w:bCs/>
        </w:rPr>
      </w:pPr>
      <w:r>
        <w:rPr>
          <w:rFonts w:ascii="Arial" w:eastAsia="Calibri" w:hAnsi="Arial" w:cs="Arial"/>
          <w:b/>
        </w:rPr>
        <w:tab/>
      </w:r>
      <w:r w:rsidR="00D33686" w:rsidRPr="00181FF0">
        <w:rPr>
          <w:rFonts w:ascii="Arial" w:hAnsi="Arial" w:cs="Arial"/>
        </w:rPr>
        <w:t>Al respecto, es importante explicar</w:t>
      </w:r>
      <w:r w:rsidR="00CC5C01" w:rsidRPr="00181FF0">
        <w:rPr>
          <w:rFonts w:ascii="Arial" w:hAnsi="Arial" w:cs="Arial"/>
        </w:rPr>
        <w:t xml:space="preserve"> que e</w:t>
      </w:r>
      <w:r w:rsidR="00A83A7B" w:rsidRPr="00181FF0">
        <w:rPr>
          <w:rFonts w:ascii="Arial" w:hAnsi="Arial" w:cs="Arial"/>
        </w:rPr>
        <w:t xml:space="preserve">l </w:t>
      </w:r>
      <w:r w:rsidR="00B15D94" w:rsidRPr="00181FF0">
        <w:rPr>
          <w:rFonts w:ascii="Arial" w:hAnsi="Arial" w:cs="Arial"/>
        </w:rPr>
        <w:t>SECOP II es una plataforma transaccional que permite a las entidades estatales gestionar en línea todos los procesos de contratación. Esta herramienta dispone de cuentas para entidades estatales, proveedores y veedores, además de contar con la vista pública para cualquier tercero interesado en hacer seguimiento a la contratación pública. Desde sus cuentas, las entidades crean, evalúan, responden observaciones, adjudican procesos de contratación, y gestionan la fase de ejecución del contrato, hasta su liquidación y cierre del expediente contractual. Por ello, la apertura y publicación de las ofertas se realizará por medio de la plataforma, incluida</w:t>
      </w:r>
      <w:r w:rsidR="00CC5C01" w:rsidRPr="00181FF0">
        <w:rPr>
          <w:rFonts w:ascii="Arial" w:hAnsi="Arial" w:cs="Arial"/>
        </w:rPr>
        <w:t xml:space="preserve"> la </w:t>
      </w:r>
      <w:r w:rsidR="00B15D94" w:rsidRPr="00181FF0">
        <w:rPr>
          <w:rFonts w:ascii="Arial" w:hAnsi="Arial" w:cs="Arial"/>
        </w:rPr>
        <w:t>oferta económica.</w:t>
      </w:r>
      <w:r w:rsidR="00B15D94">
        <w:rPr>
          <w:rFonts w:ascii="Arial" w:eastAsia="Calibri" w:hAnsi="Arial" w:cs="Arial"/>
          <w:bCs/>
        </w:rPr>
        <w:t xml:space="preserve"> </w:t>
      </w:r>
    </w:p>
    <w:p w14:paraId="5B64D19F" w14:textId="0D023650" w:rsidR="00D97B70" w:rsidRDefault="00B15D94" w:rsidP="00003C6B">
      <w:pPr>
        <w:spacing w:after="120" w:line="276" w:lineRule="auto"/>
        <w:jc w:val="both"/>
        <w:rPr>
          <w:rFonts w:ascii="Arial" w:eastAsia="Calibri" w:hAnsi="Arial" w:cs="Arial"/>
          <w:bCs/>
        </w:rPr>
      </w:pPr>
      <w:r>
        <w:rPr>
          <w:rFonts w:ascii="Arial" w:eastAsia="Calibri" w:hAnsi="Arial" w:cs="Arial"/>
          <w:bCs/>
        </w:rPr>
        <w:tab/>
        <w:t xml:space="preserve">En ocasiones la plataforma del SECOP II se puede demorar en </w:t>
      </w:r>
      <w:r w:rsidR="00746BA7">
        <w:rPr>
          <w:rFonts w:ascii="Arial" w:eastAsia="Calibri" w:hAnsi="Arial" w:cs="Arial"/>
          <w:bCs/>
        </w:rPr>
        <w:t>desencriptar</w:t>
      </w:r>
      <w:r>
        <w:rPr>
          <w:rFonts w:ascii="Arial" w:eastAsia="Calibri" w:hAnsi="Arial" w:cs="Arial"/>
          <w:bCs/>
        </w:rPr>
        <w:t xml:space="preserve"> los sobres económicos </w:t>
      </w:r>
      <w:r w:rsidR="0023271E">
        <w:rPr>
          <w:rFonts w:ascii="Arial" w:eastAsia="Calibri" w:hAnsi="Arial" w:cs="Arial"/>
          <w:bCs/>
        </w:rPr>
        <w:t>y esto depende</w:t>
      </w:r>
      <w:r>
        <w:rPr>
          <w:rFonts w:ascii="Arial" w:eastAsia="Calibri" w:hAnsi="Arial" w:cs="Arial"/>
          <w:bCs/>
        </w:rPr>
        <w:t xml:space="preserve"> del número de oferentes que se presentan en los procesos de contratación. </w:t>
      </w:r>
      <w:r w:rsidR="00181FF0">
        <w:rPr>
          <w:rFonts w:ascii="Arial" w:eastAsia="Calibri" w:hAnsi="Arial" w:cs="Arial"/>
          <w:bCs/>
        </w:rPr>
        <w:t xml:space="preserve">En el caso planteado por el peticionario, es decir, cuando la desencriptada </w:t>
      </w:r>
      <w:r w:rsidR="00823097">
        <w:rPr>
          <w:rFonts w:ascii="Arial" w:eastAsia="Calibri" w:hAnsi="Arial" w:cs="Arial"/>
          <w:bCs/>
        </w:rPr>
        <w:t xml:space="preserve">de estas ofertas económicas </w:t>
      </w:r>
      <w:r w:rsidR="00181FF0">
        <w:rPr>
          <w:rFonts w:ascii="Arial" w:eastAsia="Calibri" w:hAnsi="Arial" w:cs="Arial"/>
          <w:bCs/>
        </w:rPr>
        <w:t>se demora hasta dos días</w:t>
      </w:r>
      <w:r w:rsidR="00E95017">
        <w:rPr>
          <w:rFonts w:ascii="Arial" w:eastAsia="Calibri" w:hAnsi="Arial" w:cs="Arial"/>
          <w:bCs/>
        </w:rPr>
        <w:t xml:space="preserve">, </w:t>
      </w:r>
      <w:r w:rsidR="00C95573">
        <w:rPr>
          <w:rFonts w:ascii="Arial" w:eastAsia="Calibri" w:hAnsi="Arial" w:cs="Arial"/>
          <w:bCs/>
        </w:rPr>
        <w:t xml:space="preserve">surge </w:t>
      </w:r>
      <w:r w:rsidR="00AF337B">
        <w:rPr>
          <w:rFonts w:ascii="Arial" w:eastAsia="Calibri" w:hAnsi="Arial" w:cs="Arial"/>
          <w:bCs/>
        </w:rPr>
        <w:t>el</w:t>
      </w:r>
      <w:r w:rsidR="00181FF0">
        <w:rPr>
          <w:rFonts w:ascii="Arial" w:eastAsia="Calibri" w:hAnsi="Arial" w:cs="Arial"/>
          <w:bCs/>
        </w:rPr>
        <w:t xml:space="preserve"> siguiente</w:t>
      </w:r>
      <w:r w:rsidR="00C95573">
        <w:rPr>
          <w:rFonts w:ascii="Arial" w:eastAsia="Calibri" w:hAnsi="Arial" w:cs="Arial"/>
          <w:bCs/>
        </w:rPr>
        <w:t xml:space="preserve"> </w:t>
      </w:r>
      <w:r w:rsidR="00AF337B">
        <w:rPr>
          <w:rFonts w:ascii="Arial" w:eastAsia="Calibri" w:hAnsi="Arial" w:cs="Arial"/>
          <w:bCs/>
        </w:rPr>
        <w:t>interrogante: ¿</w:t>
      </w:r>
      <w:r w:rsidR="00C95573">
        <w:rPr>
          <w:rFonts w:ascii="Arial" w:eastAsia="Calibri" w:hAnsi="Arial" w:cs="Arial"/>
          <w:bCs/>
        </w:rPr>
        <w:t>c</w:t>
      </w:r>
      <w:r w:rsidR="00371F29">
        <w:rPr>
          <w:rFonts w:ascii="Arial" w:eastAsia="Calibri" w:hAnsi="Arial" w:cs="Arial"/>
          <w:bCs/>
        </w:rPr>
        <w:t>uál es la TRM que va a regir en los procesos de contratación</w:t>
      </w:r>
      <w:r w:rsidR="00746BA7">
        <w:rPr>
          <w:rFonts w:ascii="Arial" w:eastAsia="Calibri" w:hAnsi="Arial" w:cs="Arial"/>
          <w:bCs/>
        </w:rPr>
        <w:t xml:space="preserve"> para efectos de definir el método de ponderación de las ofertas económicas</w:t>
      </w:r>
      <w:r w:rsidR="00371F29">
        <w:rPr>
          <w:rFonts w:ascii="Arial" w:eastAsia="Calibri" w:hAnsi="Arial" w:cs="Arial"/>
          <w:bCs/>
        </w:rPr>
        <w:t xml:space="preserve">, la </w:t>
      </w:r>
      <w:r w:rsidR="00746BA7">
        <w:rPr>
          <w:rFonts w:ascii="Arial" w:eastAsia="Calibri" w:hAnsi="Arial" w:cs="Arial"/>
        </w:rPr>
        <w:t>que rija al día hábil siguiente</w:t>
      </w:r>
      <w:r w:rsidR="00746BA7">
        <w:rPr>
          <w:rFonts w:ascii="Arial" w:eastAsia="Calibri" w:hAnsi="Arial" w:cs="Arial"/>
          <w:bCs/>
        </w:rPr>
        <w:t xml:space="preserve"> </w:t>
      </w:r>
      <w:r w:rsidR="00371F29">
        <w:rPr>
          <w:rFonts w:ascii="Arial" w:eastAsia="Calibri" w:hAnsi="Arial" w:cs="Arial"/>
          <w:bCs/>
        </w:rPr>
        <w:t>del día en que se</w:t>
      </w:r>
      <w:r w:rsidR="00181FF0">
        <w:rPr>
          <w:rFonts w:ascii="Arial" w:eastAsia="Calibri" w:hAnsi="Arial" w:cs="Arial"/>
          <w:bCs/>
        </w:rPr>
        <w:t xml:space="preserve"> oprime el botón de la apertura de los sobres </w:t>
      </w:r>
      <w:r w:rsidR="005F6468">
        <w:rPr>
          <w:rFonts w:ascii="Arial" w:eastAsia="Calibri" w:hAnsi="Arial" w:cs="Arial"/>
          <w:bCs/>
        </w:rPr>
        <w:t>o cuando efectivamente se abrieron los sobres económicos</w:t>
      </w:r>
      <w:r w:rsidR="00D97B70">
        <w:rPr>
          <w:rFonts w:ascii="Arial" w:eastAsia="Calibri" w:hAnsi="Arial" w:cs="Arial"/>
          <w:bCs/>
        </w:rPr>
        <w:t>?</w:t>
      </w:r>
    </w:p>
    <w:p w14:paraId="7AF96B87" w14:textId="1C6E483A" w:rsidR="009F7C63" w:rsidRDefault="00D97B70" w:rsidP="001B0E11">
      <w:pPr>
        <w:spacing w:after="120" w:line="276" w:lineRule="auto"/>
        <w:jc w:val="both"/>
        <w:rPr>
          <w:rFonts w:ascii="Arial" w:eastAsia="Calibri" w:hAnsi="Arial" w:cs="Arial"/>
          <w:bCs/>
        </w:rPr>
      </w:pPr>
      <w:r>
        <w:rPr>
          <w:rFonts w:ascii="Arial" w:eastAsia="Calibri" w:hAnsi="Arial" w:cs="Arial"/>
          <w:bCs/>
        </w:rPr>
        <w:tab/>
      </w:r>
      <w:r w:rsidR="005F6468">
        <w:rPr>
          <w:rFonts w:ascii="Arial" w:eastAsia="Calibri" w:hAnsi="Arial" w:cs="Arial"/>
          <w:bCs/>
        </w:rPr>
        <w:t xml:space="preserve"> </w:t>
      </w:r>
      <w:r w:rsidRPr="00005BBF">
        <w:rPr>
          <w:rFonts w:ascii="Arial" w:eastAsia="Calibri" w:hAnsi="Arial" w:cs="Arial"/>
          <w:bCs/>
        </w:rPr>
        <w:t xml:space="preserve">Frente a su inquietud, es importante </w:t>
      </w:r>
      <w:r w:rsidR="00CC203A" w:rsidRPr="00005BBF">
        <w:rPr>
          <w:rFonts w:ascii="Arial" w:eastAsia="Calibri" w:hAnsi="Arial" w:cs="Arial"/>
          <w:bCs/>
        </w:rPr>
        <w:t>aclar</w:t>
      </w:r>
      <w:r w:rsidRPr="00005BBF">
        <w:rPr>
          <w:rFonts w:ascii="Arial" w:eastAsia="Calibri" w:hAnsi="Arial" w:cs="Arial"/>
          <w:bCs/>
        </w:rPr>
        <w:t xml:space="preserve">ar que, </w:t>
      </w:r>
      <w:r w:rsidR="00A242ED" w:rsidRPr="00005BBF">
        <w:rPr>
          <w:rFonts w:ascii="Arial" w:eastAsia="Calibri" w:hAnsi="Arial" w:cs="Arial"/>
          <w:bCs/>
        </w:rPr>
        <w:t xml:space="preserve">de acuerdo con la </w:t>
      </w:r>
      <w:r w:rsidR="00746BA7">
        <w:rPr>
          <w:rFonts w:ascii="Arial" w:eastAsia="Calibri" w:hAnsi="Arial" w:cs="Arial"/>
          <w:bCs/>
        </w:rPr>
        <w:t>S</w:t>
      </w:r>
      <w:r w:rsidR="00A242ED" w:rsidRPr="00005BBF">
        <w:rPr>
          <w:rFonts w:ascii="Arial" w:eastAsia="Calibri" w:hAnsi="Arial" w:cs="Arial"/>
          <w:bCs/>
        </w:rPr>
        <w:t>ubdirección</w:t>
      </w:r>
      <w:r w:rsidR="00E73E32" w:rsidRPr="00005BBF">
        <w:rPr>
          <w:rFonts w:ascii="Arial" w:eastAsia="Calibri" w:hAnsi="Arial" w:cs="Arial"/>
          <w:bCs/>
        </w:rPr>
        <w:t xml:space="preserve"> de Información </w:t>
      </w:r>
      <w:r w:rsidR="001B0E11" w:rsidRPr="00005BBF">
        <w:rPr>
          <w:rFonts w:ascii="Arial" w:eastAsia="Calibri" w:hAnsi="Arial" w:cs="Arial"/>
          <w:bCs/>
        </w:rPr>
        <w:t xml:space="preserve">y Desarrollo Tecnológico </w:t>
      </w:r>
      <w:r w:rsidR="00746BA7">
        <w:rPr>
          <w:rFonts w:ascii="Arial" w:eastAsia="Calibri" w:hAnsi="Arial" w:cs="Arial"/>
          <w:bCs/>
        </w:rPr>
        <w:t>la demora en desencriptar las ofertas económicas se presenta en supuestos excepcionales en que se presenta una gran cantidad de oferentes en los procedimientos de selección</w:t>
      </w:r>
      <w:r w:rsidR="001B0E11" w:rsidRPr="00746BA7">
        <w:rPr>
          <w:rFonts w:ascii="Arial" w:eastAsia="Calibri" w:hAnsi="Arial" w:cs="Arial"/>
          <w:bCs/>
        </w:rPr>
        <w:t xml:space="preserve">. </w:t>
      </w:r>
      <w:r w:rsidR="00A242ED" w:rsidRPr="00746BA7">
        <w:rPr>
          <w:rFonts w:ascii="Arial" w:eastAsia="Calibri" w:hAnsi="Arial" w:cs="Arial"/>
          <w:bCs/>
        </w:rPr>
        <w:t xml:space="preserve"> </w:t>
      </w:r>
      <w:r w:rsidR="001B0E11" w:rsidRPr="00746BA7">
        <w:rPr>
          <w:rFonts w:ascii="Arial" w:eastAsia="Calibri" w:hAnsi="Arial" w:cs="Arial"/>
          <w:bCs/>
        </w:rPr>
        <w:t>En este</w:t>
      </w:r>
      <w:r w:rsidR="001B0E11">
        <w:rPr>
          <w:rFonts w:ascii="Arial" w:eastAsia="Calibri" w:hAnsi="Arial" w:cs="Arial"/>
          <w:bCs/>
        </w:rPr>
        <w:t xml:space="preserve"> sentido, en los casos </w:t>
      </w:r>
      <w:r w:rsidR="00E57779">
        <w:rPr>
          <w:rFonts w:ascii="Arial" w:eastAsia="Calibri" w:hAnsi="Arial" w:cs="Arial"/>
          <w:bCs/>
        </w:rPr>
        <w:t xml:space="preserve">en </w:t>
      </w:r>
      <w:r w:rsidR="001B0E11">
        <w:rPr>
          <w:rFonts w:ascii="Arial" w:eastAsia="Calibri" w:hAnsi="Arial" w:cs="Arial"/>
          <w:bCs/>
        </w:rPr>
        <w:t>que la desencriptada de</w:t>
      </w:r>
      <w:r w:rsidR="003770A0">
        <w:rPr>
          <w:rFonts w:ascii="Arial" w:eastAsia="Calibri" w:hAnsi="Arial" w:cs="Arial"/>
          <w:bCs/>
        </w:rPr>
        <w:t xml:space="preserve"> la oferta económica se demora más de un día </w:t>
      </w:r>
      <w:r w:rsidR="00F80B90">
        <w:rPr>
          <w:rFonts w:ascii="Arial" w:eastAsia="Calibri" w:hAnsi="Arial" w:cs="Arial"/>
          <w:bCs/>
        </w:rPr>
        <w:t>o</w:t>
      </w:r>
      <w:r w:rsidR="00CC3781">
        <w:rPr>
          <w:rFonts w:ascii="Arial" w:eastAsia="Calibri" w:hAnsi="Arial" w:cs="Arial"/>
          <w:bCs/>
        </w:rPr>
        <w:t>, cuando supera la hora de las 3:00 p.m.,</w:t>
      </w:r>
      <w:r w:rsidR="00746BA7">
        <w:rPr>
          <w:rFonts w:ascii="Arial" w:eastAsia="Calibri" w:hAnsi="Arial" w:cs="Arial"/>
          <w:bCs/>
        </w:rPr>
        <w:t xml:space="preserve"> pese a iniciarse con anterioridad el proceso de apertura,</w:t>
      </w:r>
      <w:r w:rsidR="00CC3781">
        <w:rPr>
          <w:rFonts w:ascii="Arial" w:eastAsia="Calibri" w:hAnsi="Arial" w:cs="Arial"/>
          <w:bCs/>
        </w:rPr>
        <w:t xml:space="preserve"> </w:t>
      </w:r>
      <w:r w:rsidR="007D20DD">
        <w:rPr>
          <w:rFonts w:ascii="Arial" w:eastAsia="Calibri" w:hAnsi="Arial" w:cs="Arial"/>
          <w:bCs/>
        </w:rPr>
        <w:t xml:space="preserve">la entidad aplicará la TRM del </w:t>
      </w:r>
      <w:r w:rsidR="00746BA7">
        <w:rPr>
          <w:rFonts w:ascii="Arial" w:eastAsia="Calibri" w:hAnsi="Arial" w:cs="Arial"/>
        </w:rPr>
        <w:t>día hábil siguiente</w:t>
      </w:r>
      <w:r w:rsidR="00746BA7">
        <w:rPr>
          <w:rFonts w:ascii="Arial" w:eastAsia="Calibri" w:hAnsi="Arial" w:cs="Arial"/>
          <w:bCs/>
        </w:rPr>
        <w:t xml:space="preserve"> del día </w:t>
      </w:r>
      <w:r w:rsidR="007D20DD">
        <w:rPr>
          <w:rFonts w:ascii="Arial" w:eastAsia="Calibri" w:hAnsi="Arial" w:cs="Arial"/>
          <w:bCs/>
        </w:rPr>
        <w:t xml:space="preserve">en que </w:t>
      </w:r>
      <w:r w:rsidR="003E3277">
        <w:rPr>
          <w:rFonts w:ascii="Arial" w:eastAsia="Calibri" w:hAnsi="Arial" w:cs="Arial"/>
          <w:bCs/>
        </w:rPr>
        <w:t xml:space="preserve">se </w:t>
      </w:r>
      <w:r w:rsidR="00FA7BAF">
        <w:rPr>
          <w:rFonts w:ascii="Arial" w:eastAsia="Calibri" w:hAnsi="Arial" w:cs="Arial"/>
          <w:bCs/>
        </w:rPr>
        <w:t>oprima</w:t>
      </w:r>
      <w:r w:rsidR="003E3277">
        <w:rPr>
          <w:rFonts w:ascii="Arial" w:eastAsia="Calibri" w:hAnsi="Arial" w:cs="Arial"/>
          <w:bCs/>
        </w:rPr>
        <w:t xml:space="preserve"> el botón </w:t>
      </w:r>
      <w:r w:rsidR="00660BB0">
        <w:rPr>
          <w:rFonts w:ascii="Arial" w:eastAsia="Calibri" w:hAnsi="Arial" w:cs="Arial"/>
          <w:bCs/>
        </w:rPr>
        <w:t>«A</w:t>
      </w:r>
      <w:r w:rsidR="00823097">
        <w:rPr>
          <w:rFonts w:ascii="Arial" w:eastAsia="Calibri" w:hAnsi="Arial" w:cs="Arial"/>
          <w:bCs/>
        </w:rPr>
        <w:t>brir</w:t>
      </w:r>
      <w:r w:rsidR="00660BB0">
        <w:rPr>
          <w:rFonts w:ascii="Arial" w:eastAsia="Calibri" w:hAnsi="Arial" w:cs="Arial"/>
          <w:bCs/>
        </w:rPr>
        <w:t xml:space="preserve"> sobres»</w:t>
      </w:r>
      <w:r w:rsidR="00746BA7">
        <w:rPr>
          <w:rFonts w:ascii="Arial" w:eastAsia="Calibri" w:hAnsi="Arial" w:cs="Arial"/>
          <w:bCs/>
        </w:rPr>
        <w:t>, debiendo iniciar el proceso de apertura, como se indicó, antes de esta hora</w:t>
      </w:r>
      <w:r w:rsidR="003817CC">
        <w:rPr>
          <w:rFonts w:ascii="Arial" w:eastAsia="Calibri" w:hAnsi="Arial" w:cs="Arial"/>
          <w:bCs/>
        </w:rPr>
        <w:t xml:space="preserve">. </w:t>
      </w:r>
      <w:r w:rsidR="00746BA7">
        <w:rPr>
          <w:rFonts w:ascii="Arial" w:eastAsia="Calibri" w:hAnsi="Arial" w:cs="Arial"/>
          <w:bCs/>
        </w:rPr>
        <w:t>En este sentido, e</w:t>
      </w:r>
      <w:r w:rsidR="003817CC">
        <w:rPr>
          <w:rFonts w:ascii="Arial" w:eastAsia="Calibri" w:hAnsi="Arial" w:cs="Arial"/>
          <w:bCs/>
        </w:rPr>
        <w:t xml:space="preserve">s importante señalar que al ser la plataforma del SECOP II transaccional, las entidades no podrán modificar </w:t>
      </w:r>
      <w:r w:rsidR="007C3923">
        <w:rPr>
          <w:rFonts w:ascii="Arial" w:eastAsia="Calibri" w:hAnsi="Arial" w:cs="Arial"/>
          <w:bCs/>
        </w:rPr>
        <w:t xml:space="preserve">las </w:t>
      </w:r>
      <w:r w:rsidR="003817CC">
        <w:rPr>
          <w:rFonts w:ascii="Arial" w:eastAsia="Calibri" w:hAnsi="Arial" w:cs="Arial"/>
          <w:bCs/>
        </w:rPr>
        <w:t>oferta</w:t>
      </w:r>
      <w:r w:rsidR="007C3923">
        <w:rPr>
          <w:rFonts w:ascii="Arial" w:eastAsia="Calibri" w:hAnsi="Arial" w:cs="Arial"/>
          <w:bCs/>
        </w:rPr>
        <w:t>s</w:t>
      </w:r>
      <w:r w:rsidR="003817CC">
        <w:rPr>
          <w:rFonts w:ascii="Arial" w:eastAsia="Calibri" w:hAnsi="Arial" w:cs="Arial"/>
          <w:bCs/>
        </w:rPr>
        <w:t xml:space="preserve"> económica</w:t>
      </w:r>
      <w:r w:rsidR="007C3923">
        <w:rPr>
          <w:rFonts w:ascii="Arial" w:eastAsia="Calibri" w:hAnsi="Arial" w:cs="Arial"/>
          <w:bCs/>
        </w:rPr>
        <w:t>s y</w:t>
      </w:r>
      <w:r w:rsidR="009D63B4">
        <w:rPr>
          <w:rFonts w:ascii="Arial" w:eastAsia="Calibri" w:hAnsi="Arial" w:cs="Arial"/>
          <w:bCs/>
        </w:rPr>
        <w:t>,</w:t>
      </w:r>
      <w:r w:rsidR="007C3923">
        <w:rPr>
          <w:rFonts w:ascii="Arial" w:eastAsia="Calibri" w:hAnsi="Arial" w:cs="Arial"/>
          <w:bCs/>
        </w:rPr>
        <w:t xml:space="preserve"> por tanto, lo importante es que al momento de </w:t>
      </w:r>
      <w:r w:rsidR="009D63B4">
        <w:rPr>
          <w:rFonts w:ascii="Arial" w:eastAsia="Calibri" w:hAnsi="Arial" w:cs="Arial"/>
          <w:bCs/>
        </w:rPr>
        <w:t xml:space="preserve">oprimir el botón </w:t>
      </w:r>
      <w:r w:rsidR="009F7C63">
        <w:rPr>
          <w:rFonts w:ascii="Arial" w:eastAsia="Calibri" w:hAnsi="Arial" w:cs="Arial"/>
          <w:bCs/>
        </w:rPr>
        <w:t xml:space="preserve">de </w:t>
      </w:r>
      <w:r w:rsidR="00E37DDD">
        <w:rPr>
          <w:rFonts w:ascii="Arial" w:eastAsia="Calibri" w:hAnsi="Arial" w:cs="Arial"/>
          <w:bCs/>
        </w:rPr>
        <w:t xml:space="preserve">«abrir </w:t>
      </w:r>
      <w:r w:rsidR="002C2778">
        <w:rPr>
          <w:rFonts w:ascii="Arial" w:eastAsia="Calibri" w:hAnsi="Arial" w:cs="Arial"/>
          <w:bCs/>
        </w:rPr>
        <w:t>sobres»</w:t>
      </w:r>
      <w:r w:rsidR="009F7C63">
        <w:rPr>
          <w:rFonts w:ascii="Arial" w:eastAsia="Calibri" w:hAnsi="Arial" w:cs="Arial"/>
          <w:bCs/>
        </w:rPr>
        <w:t xml:space="preserve"> no se conozca la TRM que define el método de ponderación de la oferta económica</w:t>
      </w:r>
      <w:r w:rsidR="007539F8">
        <w:rPr>
          <w:rFonts w:ascii="Arial" w:eastAsia="Calibri" w:hAnsi="Arial" w:cs="Arial"/>
          <w:bCs/>
        </w:rPr>
        <w:t xml:space="preserve">. </w:t>
      </w:r>
      <w:r w:rsidR="009F7C63">
        <w:rPr>
          <w:rFonts w:ascii="Arial" w:eastAsia="Calibri" w:hAnsi="Arial" w:cs="Arial"/>
          <w:bCs/>
        </w:rPr>
        <w:t xml:space="preserve"> </w:t>
      </w:r>
    </w:p>
    <w:p w14:paraId="7276CEC5" w14:textId="0FC7A227" w:rsidR="008D6CB0" w:rsidRDefault="008D6CB0" w:rsidP="001B0E11">
      <w:pPr>
        <w:spacing w:after="120" w:line="276" w:lineRule="auto"/>
        <w:jc w:val="both"/>
        <w:rPr>
          <w:rFonts w:ascii="Arial" w:eastAsia="Calibri" w:hAnsi="Arial" w:cs="Arial"/>
          <w:bCs/>
        </w:rPr>
      </w:pPr>
      <w:r>
        <w:rPr>
          <w:rFonts w:ascii="Arial" w:eastAsia="Calibri" w:hAnsi="Arial" w:cs="Arial"/>
          <w:bCs/>
        </w:rPr>
        <w:tab/>
      </w:r>
      <w:r w:rsidR="00C226E4">
        <w:rPr>
          <w:rFonts w:ascii="Arial" w:eastAsia="Calibri" w:hAnsi="Arial" w:cs="Arial"/>
          <w:bCs/>
        </w:rPr>
        <w:t>Además, l</w:t>
      </w:r>
      <w:r w:rsidR="001D0725">
        <w:rPr>
          <w:rFonts w:ascii="Arial" w:eastAsia="Calibri" w:hAnsi="Arial" w:cs="Arial"/>
          <w:bCs/>
        </w:rPr>
        <w:t xml:space="preserve">a postura anterior se </w:t>
      </w:r>
      <w:r>
        <w:rPr>
          <w:rFonts w:ascii="Arial" w:eastAsia="Calibri" w:hAnsi="Arial" w:cs="Arial"/>
          <w:bCs/>
        </w:rPr>
        <w:t>fundamenta en lo establecido en el numeral 4.1.4 del documento base que prescribe: «</w:t>
      </w:r>
      <w:r w:rsidRPr="00005BBF">
        <w:rPr>
          <w:rFonts w:ascii="Arial" w:eastAsia="Calibri" w:hAnsi="Arial" w:cs="Arial"/>
          <w:bCs/>
        </w:rPr>
        <w:t xml:space="preserve">El día de la audiencia efectiva de adjudicación, la entidad iniciará respondiendo y resolviendo las observaciones presentadas al informe de evaluación, de conformidad con el numeral 2.6. </w:t>
      </w:r>
      <w:r w:rsidRPr="00005BBF">
        <w:rPr>
          <w:rFonts w:ascii="Arial" w:eastAsia="Calibri" w:hAnsi="Arial" w:cs="Arial"/>
          <w:bCs/>
          <w:i/>
          <w:iCs/>
        </w:rPr>
        <w:t>Acto seguido, la entidad iniciará la apertura de los sobres de las ofertas económicas y definirá el método de ponderación de las propuestas de acuerdo con la TRM que rija al día hábil siguiente</w:t>
      </w:r>
      <w:r w:rsidRPr="00005BBF">
        <w:rPr>
          <w:rFonts w:ascii="Arial" w:eastAsia="Calibri" w:hAnsi="Arial" w:cs="Arial"/>
          <w:bCs/>
        </w:rPr>
        <w:t>; sin embargo, la entidad debe finalizar la apertura de los sobres económicos hasta antes de las 3:00 pm</w:t>
      </w:r>
      <w:r>
        <w:rPr>
          <w:rFonts w:ascii="Arial" w:eastAsia="Calibri" w:hAnsi="Arial" w:cs="Arial"/>
          <w:bCs/>
        </w:rPr>
        <w:t>». En efecto, la regla principal de este numeral consiste en establecer que la entidad iniciará la apertura de los sobre</w:t>
      </w:r>
      <w:r w:rsidR="005E52C6">
        <w:rPr>
          <w:rFonts w:ascii="Arial" w:eastAsia="Calibri" w:hAnsi="Arial" w:cs="Arial"/>
          <w:bCs/>
        </w:rPr>
        <w:t>s</w:t>
      </w:r>
      <w:r>
        <w:rPr>
          <w:rFonts w:ascii="Arial" w:eastAsia="Calibri" w:hAnsi="Arial" w:cs="Arial"/>
          <w:bCs/>
        </w:rPr>
        <w:t xml:space="preserve"> y definirá el método de ponderación de acuerdo con la TRM que rija el día hábil siguiente.</w:t>
      </w:r>
      <w:r w:rsidR="001D0725">
        <w:rPr>
          <w:rFonts w:ascii="Arial" w:eastAsia="Calibri" w:hAnsi="Arial" w:cs="Arial"/>
          <w:bCs/>
        </w:rPr>
        <w:t xml:space="preserve"> </w:t>
      </w:r>
      <w:r w:rsidR="00815289">
        <w:rPr>
          <w:rFonts w:ascii="Arial" w:eastAsia="Calibri" w:hAnsi="Arial" w:cs="Arial"/>
          <w:bCs/>
        </w:rPr>
        <w:t>Lo anterior, s</w:t>
      </w:r>
      <w:r w:rsidR="001D0725">
        <w:rPr>
          <w:rFonts w:ascii="Arial" w:eastAsia="Calibri" w:hAnsi="Arial" w:cs="Arial"/>
          <w:bCs/>
        </w:rPr>
        <w:t xml:space="preserve">in perjuicio de que establezca contenidos adicionales para garantizar la transparencia en la contratación estatal. </w:t>
      </w:r>
    </w:p>
    <w:p w14:paraId="0975288C" w14:textId="5754CBAC" w:rsidR="005F6468" w:rsidRPr="0012150B" w:rsidRDefault="00FB4B6E" w:rsidP="00984446">
      <w:pPr>
        <w:spacing w:after="120" w:line="276" w:lineRule="auto"/>
        <w:jc w:val="both"/>
        <w:rPr>
          <w:rFonts w:ascii="Arial" w:eastAsia="Calibri" w:hAnsi="Arial" w:cs="Arial"/>
          <w:bCs/>
        </w:rPr>
      </w:pPr>
      <w:r>
        <w:rPr>
          <w:rFonts w:ascii="Arial" w:eastAsia="Calibri" w:hAnsi="Arial" w:cs="Arial"/>
          <w:bCs/>
        </w:rPr>
        <w:tab/>
        <w:t>Bajo ese entendido, las entidades estatales al publicar sus procesos de contratación en la plataforma del SECOP II y</w:t>
      </w:r>
      <w:r w:rsidR="005F21F8">
        <w:rPr>
          <w:rFonts w:ascii="Arial" w:eastAsia="Calibri" w:hAnsi="Arial" w:cs="Arial"/>
          <w:bCs/>
        </w:rPr>
        <w:t xml:space="preserve">, por tanto, </w:t>
      </w:r>
      <w:r>
        <w:rPr>
          <w:rFonts w:ascii="Arial" w:eastAsia="Calibri" w:hAnsi="Arial" w:cs="Arial"/>
          <w:bCs/>
        </w:rPr>
        <w:t xml:space="preserve">para </w:t>
      </w:r>
      <w:r w:rsidR="001A005D">
        <w:rPr>
          <w:rFonts w:ascii="Arial" w:eastAsia="Calibri" w:hAnsi="Arial" w:cs="Arial"/>
          <w:bCs/>
        </w:rPr>
        <w:t xml:space="preserve">acoger las reglas definidas en el «Documento tipo» </w:t>
      </w:r>
      <w:r w:rsidR="001A005D" w:rsidRPr="001A005D">
        <w:rPr>
          <w:rFonts w:ascii="Arial" w:eastAsia="Calibri" w:hAnsi="Arial" w:cs="Arial"/>
          <w:bCs/>
        </w:rPr>
        <w:t>de</w:t>
      </w:r>
      <w:r w:rsidR="001A005D">
        <w:t xml:space="preserve"> </w:t>
      </w:r>
      <w:r w:rsidR="001A005D" w:rsidRPr="001A005D">
        <w:rPr>
          <w:rFonts w:ascii="Arial" w:eastAsia="Calibri" w:hAnsi="Arial" w:cs="Arial"/>
          <w:bCs/>
        </w:rPr>
        <w:t xml:space="preserve">licitación </w:t>
      </w:r>
      <w:r w:rsidR="001A005D">
        <w:rPr>
          <w:rFonts w:ascii="Arial" w:eastAsia="Calibri" w:hAnsi="Arial" w:cs="Arial"/>
          <w:bCs/>
        </w:rPr>
        <w:t xml:space="preserve">de obra pública de infraestructura de transporte </w:t>
      </w:r>
      <w:r w:rsidR="00984446">
        <w:rPr>
          <w:rFonts w:ascii="Arial" w:eastAsia="Calibri" w:hAnsi="Arial" w:cs="Arial"/>
          <w:bCs/>
        </w:rPr>
        <w:t xml:space="preserve">y agua potable y saneamiento básico deberán </w:t>
      </w:r>
      <w:r w:rsidR="00E21187">
        <w:rPr>
          <w:rFonts w:ascii="Arial" w:eastAsia="Calibri" w:hAnsi="Arial" w:cs="Arial"/>
          <w:bCs/>
        </w:rPr>
        <w:t>dar clic en «Abrir sobres»</w:t>
      </w:r>
      <w:r w:rsidR="00B6521B">
        <w:rPr>
          <w:rFonts w:ascii="Arial" w:eastAsia="Calibri" w:hAnsi="Arial" w:cs="Arial"/>
          <w:bCs/>
        </w:rPr>
        <w:t xml:space="preserve"> </w:t>
      </w:r>
      <w:r w:rsidR="00605C7E">
        <w:rPr>
          <w:rFonts w:ascii="Arial" w:eastAsia="Calibri" w:hAnsi="Arial" w:cs="Arial"/>
          <w:bCs/>
        </w:rPr>
        <w:t>antes de las 3.00 P.M. De esta manera, se tendrá certeza que la entidad no conoce la TRM que regirá en ese día, y</w:t>
      </w:r>
      <w:r w:rsidR="005C24D0">
        <w:rPr>
          <w:rFonts w:ascii="Arial" w:eastAsia="Calibri" w:hAnsi="Arial" w:cs="Arial"/>
          <w:bCs/>
        </w:rPr>
        <w:t>,</w:t>
      </w:r>
      <w:r w:rsidR="00605C7E">
        <w:rPr>
          <w:rFonts w:ascii="Arial" w:eastAsia="Calibri" w:hAnsi="Arial" w:cs="Arial"/>
          <w:bCs/>
        </w:rPr>
        <w:t xml:space="preserve"> en consecuencia, no conocerá el método de ponderación de esta oferta económica. </w:t>
      </w:r>
      <w:r w:rsidR="00815289">
        <w:rPr>
          <w:rFonts w:ascii="Arial" w:eastAsia="Calibri" w:hAnsi="Arial" w:cs="Arial"/>
          <w:bCs/>
        </w:rPr>
        <w:t>Dicha s</w:t>
      </w:r>
      <w:r w:rsidR="00605C7E">
        <w:rPr>
          <w:rFonts w:ascii="Arial" w:eastAsia="Calibri" w:hAnsi="Arial" w:cs="Arial"/>
          <w:bCs/>
        </w:rPr>
        <w:t xml:space="preserve">ituación, </w:t>
      </w:r>
      <w:r w:rsidR="00B957D5">
        <w:rPr>
          <w:rFonts w:ascii="Arial" w:eastAsia="Calibri" w:hAnsi="Arial" w:cs="Arial"/>
          <w:bCs/>
        </w:rPr>
        <w:t>por consiguiente</w:t>
      </w:r>
      <w:r w:rsidR="00605C7E">
        <w:rPr>
          <w:rFonts w:ascii="Arial" w:eastAsia="Calibri" w:hAnsi="Arial" w:cs="Arial"/>
          <w:bCs/>
        </w:rPr>
        <w:t>, no afectará el p</w:t>
      </w:r>
      <w:r w:rsidR="00ED6282">
        <w:rPr>
          <w:rFonts w:ascii="Arial" w:eastAsia="Calibri" w:hAnsi="Arial" w:cs="Arial"/>
          <w:bCs/>
        </w:rPr>
        <w:t>rinci</w:t>
      </w:r>
      <w:r w:rsidR="005C24D0">
        <w:rPr>
          <w:rFonts w:ascii="Arial" w:eastAsia="Calibri" w:hAnsi="Arial" w:cs="Arial"/>
          <w:bCs/>
        </w:rPr>
        <w:t xml:space="preserve">pio de transparencia en los procesos de contratación. </w:t>
      </w:r>
    </w:p>
    <w:p w14:paraId="400A718A" w14:textId="2E1E3D85" w:rsidR="00784AD6" w:rsidRDefault="005C24D0" w:rsidP="00B97589">
      <w:pPr>
        <w:autoSpaceDE w:val="0"/>
        <w:autoSpaceDN w:val="0"/>
        <w:adjustRightInd w:val="0"/>
        <w:spacing w:before="120" w:after="120" w:line="276" w:lineRule="auto"/>
        <w:jc w:val="both"/>
        <w:rPr>
          <w:rFonts w:ascii="Arial" w:eastAsia="Calibri" w:hAnsi="Arial" w:cs="Arial"/>
          <w:bCs/>
        </w:rPr>
      </w:pPr>
      <w:r>
        <w:rPr>
          <w:rFonts w:ascii="Arial" w:eastAsia="Calibri" w:hAnsi="Arial" w:cs="Arial"/>
          <w:bCs/>
        </w:rPr>
        <w:tab/>
        <w:t xml:space="preserve">Al respecto, es importante </w:t>
      </w:r>
      <w:r w:rsidR="00E14087">
        <w:rPr>
          <w:rFonts w:ascii="Arial" w:eastAsia="Calibri" w:hAnsi="Arial" w:cs="Arial"/>
          <w:bCs/>
        </w:rPr>
        <w:t xml:space="preserve">recordar que </w:t>
      </w:r>
      <w:r w:rsidR="00761B17">
        <w:rPr>
          <w:rFonts w:ascii="Arial" w:eastAsia="Calibri" w:hAnsi="Arial" w:cs="Arial"/>
          <w:bCs/>
        </w:rPr>
        <w:t>e</w:t>
      </w:r>
      <w:r w:rsidR="00B957D5">
        <w:rPr>
          <w:rFonts w:ascii="Arial" w:eastAsia="Calibri" w:hAnsi="Arial" w:cs="Arial"/>
          <w:bCs/>
        </w:rPr>
        <w:t xml:space="preserve">n la «Guía </w:t>
      </w:r>
      <w:r w:rsidR="007C0AB5">
        <w:rPr>
          <w:rFonts w:ascii="Arial" w:eastAsia="Calibri" w:hAnsi="Arial" w:cs="Arial"/>
          <w:bCs/>
        </w:rPr>
        <w:t xml:space="preserve">para hacer un proceso de contratación de Licitación Pública </w:t>
      </w:r>
      <w:r w:rsidR="00E456EA">
        <w:rPr>
          <w:rFonts w:ascii="Arial" w:eastAsia="Calibri" w:hAnsi="Arial" w:cs="Arial"/>
          <w:bCs/>
        </w:rPr>
        <w:t>(Obra pública) en el SECOP II»</w:t>
      </w:r>
      <w:r w:rsidR="00B02839">
        <w:rPr>
          <w:rStyle w:val="Refdenotaalpie"/>
          <w:rFonts w:ascii="Arial" w:eastAsia="Calibri" w:hAnsi="Arial" w:cs="Arial"/>
          <w:bCs/>
        </w:rPr>
        <w:footnoteReference w:id="3"/>
      </w:r>
      <w:r w:rsidR="00E456EA">
        <w:rPr>
          <w:rFonts w:ascii="Arial" w:eastAsia="Calibri" w:hAnsi="Arial" w:cs="Arial"/>
          <w:bCs/>
        </w:rPr>
        <w:t xml:space="preserve"> se explica la forma en la cual se abre el sobre económico en los procesos adelantados en el SECOP II. </w:t>
      </w:r>
      <w:r w:rsidR="00784AD6">
        <w:rPr>
          <w:rFonts w:ascii="Arial" w:eastAsia="Calibri" w:hAnsi="Arial" w:cs="Arial"/>
          <w:bCs/>
        </w:rPr>
        <w:t>De este modo</w:t>
      </w:r>
      <w:r w:rsidR="00836187">
        <w:rPr>
          <w:rFonts w:ascii="Arial" w:eastAsia="Calibri" w:hAnsi="Arial" w:cs="Arial"/>
          <w:bCs/>
        </w:rPr>
        <w:t xml:space="preserve">, </w:t>
      </w:r>
      <w:r w:rsidR="00784AD6">
        <w:rPr>
          <w:rFonts w:ascii="Arial" w:eastAsia="Calibri" w:hAnsi="Arial" w:cs="Arial"/>
          <w:bCs/>
        </w:rPr>
        <w:t>en primer lugar, desde el sobre 1 se admiten a los proveedores que cumplan con los requisitos habilitantes correspondientes y se excluye a aquellos que no hayan cumplido</w:t>
      </w:r>
      <w:r w:rsidR="00836187">
        <w:rPr>
          <w:rFonts w:ascii="Arial" w:eastAsia="Calibri" w:hAnsi="Arial" w:cs="Arial"/>
          <w:bCs/>
        </w:rPr>
        <w:t xml:space="preserve">. En segundo lugar, para abrir el sobre económico de los </w:t>
      </w:r>
      <w:r w:rsidR="007F3447">
        <w:rPr>
          <w:rFonts w:ascii="Arial" w:eastAsia="Calibri" w:hAnsi="Arial" w:cs="Arial"/>
          <w:bCs/>
        </w:rPr>
        <w:t>oferentes habilitados</w:t>
      </w:r>
      <w:r w:rsidR="00836187">
        <w:rPr>
          <w:rFonts w:ascii="Arial" w:eastAsia="Calibri" w:hAnsi="Arial" w:cs="Arial"/>
          <w:bCs/>
        </w:rPr>
        <w:t xml:space="preserve">, </w:t>
      </w:r>
      <w:r w:rsidR="008D6CB0">
        <w:rPr>
          <w:rFonts w:ascii="Arial" w:eastAsia="Calibri" w:hAnsi="Arial" w:cs="Arial"/>
          <w:bCs/>
        </w:rPr>
        <w:t xml:space="preserve">se hace </w:t>
      </w:r>
      <w:r w:rsidR="00836187">
        <w:rPr>
          <w:rFonts w:ascii="Arial" w:eastAsia="Calibri" w:hAnsi="Arial" w:cs="Arial"/>
          <w:bCs/>
        </w:rPr>
        <w:t xml:space="preserve">clic en «Iniciar» y luego en «abrir sobres». </w:t>
      </w:r>
      <w:r w:rsidR="007F3447">
        <w:rPr>
          <w:rFonts w:ascii="Arial" w:eastAsia="Calibri" w:hAnsi="Arial" w:cs="Arial"/>
          <w:bCs/>
        </w:rPr>
        <w:t xml:space="preserve">Por último, para actualizar la información de las ofertas de los proveedores con el contenido del sobre económico abierto, </w:t>
      </w:r>
      <w:r w:rsidR="008D6CB0">
        <w:rPr>
          <w:rFonts w:ascii="Arial" w:eastAsia="Calibri" w:hAnsi="Arial" w:cs="Arial"/>
          <w:bCs/>
        </w:rPr>
        <w:t xml:space="preserve">se ingresa </w:t>
      </w:r>
      <w:r w:rsidR="00847321">
        <w:rPr>
          <w:rFonts w:ascii="Arial" w:eastAsia="Calibri" w:hAnsi="Arial" w:cs="Arial"/>
          <w:bCs/>
        </w:rPr>
        <w:t>al panel de ofertas</w:t>
      </w:r>
      <w:r w:rsidR="008D6CB0">
        <w:rPr>
          <w:rFonts w:ascii="Arial" w:eastAsia="Calibri" w:hAnsi="Arial" w:cs="Arial"/>
          <w:bCs/>
        </w:rPr>
        <w:t>,</w:t>
      </w:r>
      <w:r w:rsidR="00847321">
        <w:rPr>
          <w:rFonts w:ascii="Arial" w:eastAsia="Calibri" w:hAnsi="Arial" w:cs="Arial"/>
          <w:bCs/>
        </w:rPr>
        <w:t xml:space="preserve"> primero </w:t>
      </w:r>
      <w:r w:rsidR="008D6CB0">
        <w:rPr>
          <w:rFonts w:ascii="Arial" w:eastAsia="Calibri" w:hAnsi="Arial" w:cs="Arial"/>
          <w:bCs/>
        </w:rPr>
        <w:t xml:space="preserve">haciendo </w:t>
      </w:r>
      <w:r w:rsidR="00847321">
        <w:rPr>
          <w:rFonts w:ascii="Arial" w:eastAsia="Calibri" w:hAnsi="Arial" w:cs="Arial"/>
          <w:bCs/>
        </w:rPr>
        <w:t>clic en «Publicar/ actualizar lista de oferentes» y luego en «Publi</w:t>
      </w:r>
      <w:r w:rsidR="00AE680D">
        <w:rPr>
          <w:rFonts w:ascii="Arial" w:eastAsia="Calibri" w:hAnsi="Arial" w:cs="Arial"/>
          <w:bCs/>
        </w:rPr>
        <w:t xml:space="preserve">car ofertas». </w:t>
      </w:r>
    </w:p>
    <w:p w14:paraId="084468F5" w14:textId="47611C79" w:rsidR="003269FB" w:rsidRDefault="003269FB" w:rsidP="00B97589">
      <w:pPr>
        <w:autoSpaceDE w:val="0"/>
        <w:autoSpaceDN w:val="0"/>
        <w:adjustRightInd w:val="0"/>
        <w:spacing w:before="120" w:after="120" w:line="276" w:lineRule="auto"/>
        <w:jc w:val="both"/>
        <w:rPr>
          <w:rFonts w:ascii="Arial" w:eastAsia="Calibri" w:hAnsi="Arial" w:cs="Arial"/>
          <w:bCs/>
        </w:rPr>
      </w:pPr>
      <w:r>
        <w:rPr>
          <w:rFonts w:ascii="Arial" w:eastAsia="Calibri" w:hAnsi="Arial" w:cs="Arial"/>
          <w:bCs/>
        </w:rPr>
        <w:tab/>
      </w:r>
      <w:r w:rsidR="00D91536">
        <w:rPr>
          <w:rFonts w:ascii="Arial" w:eastAsia="Calibri" w:hAnsi="Arial" w:cs="Arial"/>
          <w:bCs/>
        </w:rPr>
        <w:t>En otras palabras</w:t>
      </w:r>
      <w:r>
        <w:rPr>
          <w:rFonts w:ascii="Arial" w:eastAsia="Calibri" w:hAnsi="Arial" w:cs="Arial"/>
          <w:bCs/>
        </w:rPr>
        <w:t>, la apertura del sobre económico</w:t>
      </w:r>
      <w:r w:rsidR="008A37E1">
        <w:rPr>
          <w:rFonts w:ascii="Arial" w:eastAsia="Calibri" w:hAnsi="Arial" w:cs="Arial"/>
          <w:bCs/>
        </w:rPr>
        <w:t xml:space="preserve"> en la plataforma del SECOP II se </w:t>
      </w:r>
      <w:r w:rsidR="00761528">
        <w:rPr>
          <w:rFonts w:ascii="Arial" w:eastAsia="Calibri" w:hAnsi="Arial" w:cs="Arial"/>
          <w:bCs/>
        </w:rPr>
        <w:t>realiza en</w:t>
      </w:r>
      <w:r w:rsidR="00415AE2">
        <w:rPr>
          <w:rFonts w:ascii="Arial" w:eastAsia="Calibri" w:hAnsi="Arial" w:cs="Arial"/>
          <w:bCs/>
        </w:rPr>
        <w:t xml:space="preserve"> tres pasos: i) la habilitación de los </w:t>
      </w:r>
      <w:r w:rsidR="00D2789B">
        <w:rPr>
          <w:rFonts w:ascii="Arial" w:eastAsia="Calibri" w:hAnsi="Arial" w:cs="Arial"/>
          <w:bCs/>
        </w:rPr>
        <w:t xml:space="preserve">proveedores que cumplen las condiciones mínimas habilitantes </w:t>
      </w:r>
      <w:r w:rsidR="00CF129D">
        <w:rPr>
          <w:rFonts w:ascii="Arial" w:eastAsia="Calibri" w:hAnsi="Arial" w:cs="Arial"/>
          <w:bCs/>
        </w:rPr>
        <w:t xml:space="preserve">y la exclusión </w:t>
      </w:r>
      <w:r w:rsidR="00D91536">
        <w:rPr>
          <w:rFonts w:ascii="Arial" w:eastAsia="Calibri" w:hAnsi="Arial" w:cs="Arial"/>
          <w:bCs/>
        </w:rPr>
        <w:t>de aquellos que</w:t>
      </w:r>
      <w:r w:rsidR="00CF129D">
        <w:rPr>
          <w:rFonts w:ascii="Arial" w:eastAsia="Calibri" w:hAnsi="Arial" w:cs="Arial"/>
          <w:bCs/>
        </w:rPr>
        <w:t xml:space="preserve"> no cumplan estas exigencias mínimas, ii) la apertura del sobre económico que</w:t>
      </w:r>
      <w:r w:rsidR="00D91536">
        <w:rPr>
          <w:rFonts w:ascii="Arial" w:eastAsia="Calibri" w:hAnsi="Arial" w:cs="Arial"/>
          <w:bCs/>
        </w:rPr>
        <w:t>,</w:t>
      </w:r>
      <w:r w:rsidR="00CF129D">
        <w:rPr>
          <w:rFonts w:ascii="Arial" w:eastAsia="Calibri" w:hAnsi="Arial" w:cs="Arial"/>
          <w:bCs/>
        </w:rPr>
        <w:t xml:space="preserve"> en los términos de la plataforma del SECOP II </w:t>
      </w:r>
      <w:r w:rsidR="00D11C20">
        <w:rPr>
          <w:rFonts w:ascii="Arial" w:eastAsia="Calibri" w:hAnsi="Arial" w:cs="Arial"/>
          <w:bCs/>
        </w:rPr>
        <w:t xml:space="preserve">se refiere a </w:t>
      </w:r>
      <w:r w:rsidR="00CF129D">
        <w:rPr>
          <w:rFonts w:ascii="Arial" w:eastAsia="Calibri" w:hAnsi="Arial" w:cs="Arial"/>
          <w:bCs/>
        </w:rPr>
        <w:t>la «desencriptación» de estos sobres, y finalmente, iii) luego de abiertos los sobres económicos</w:t>
      </w:r>
      <w:r w:rsidR="00D11C20">
        <w:rPr>
          <w:rFonts w:ascii="Arial" w:eastAsia="Calibri" w:hAnsi="Arial" w:cs="Arial"/>
          <w:bCs/>
        </w:rPr>
        <w:t xml:space="preserve"> la publicación del contenido de estos sobres </w:t>
      </w:r>
      <w:r w:rsidR="00D91536">
        <w:rPr>
          <w:rFonts w:ascii="Arial" w:eastAsia="Calibri" w:hAnsi="Arial" w:cs="Arial"/>
          <w:bCs/>
        </w:rPr>
        <w:t xml:space="preserve">a cualquier interesado. </w:t>
      </w:r>
    </w:p>
    <w:p w14:paraId="0F73CE25" w14:textId="00D68E7F" w:rsidR="00D3716B" w:rsidRDefault="00AE680D" w:rsidP="00B97589">
      <w:pPr>
        <w:autoSpaceDE w:val="0"/>
        <w:autoSpaceDN w:val="0"/>
        <w:adjustRightInd w:val="0"/>
        <w:spacing w:before="120" w:after="120" w:line="276" w:lineRule="auto"/>
        <w:jc w:val="both"/>
        <w:rPr>
          <w:rFonts w:ascii="Arial" w:eastAsia="Calibri" w:hAnsi="Arial" w:cs="Arial"/>
          <w:bCs/>
        </w:rPr>
      </w:pPr>
      <w:r>
        <w:rPr>
          <w:rFonts w:ascii="Arial" w:eastAsia="Calibri" w:hAnsi="Arial" w:cs="Arial"/>
          <w:bCs/>
        </w:rPr>
        <w:tab/>
      </w:r>
      <w:r w:rsidR="00A80554">
        <w:rPr>
          <w:rFonts w:ascii="Arial" w:eastAsia="Calibri" w:hAnsi="Arial" w:cs="Arial"/>
          <w:bCs/>
        </w:rPr>
        <w:t>Ahora bien</w:t>
      </w:r>
      <w:r w:rsidR="002860F4">
        <w:rPr>
          <w:rFonts w:ascii="Arial" w:eastAsia="Calibri" w:hAnsi="Arial" w:cs="Arial"/>
          <w:bCs/>
        </w:rPr>
        <w:t>,</w:t>
      </w:r>
      <w:r w:rsidR="00A80554">
        <w:rPr>
          <w:rFonts w:ascii="Arial" w:eastAsia="Calibri" w:hAnsi="Arial" w:cs="Arial"/>
          <w:bCs/>
        </w:rPr>
        <w:t xml:space="preserve"> para acoger los lineamientos de los documentos tipo de obra pública de infraestructura de transporte y agua potable y saneamiento básico,</w:t>
      </w:r>
      <w:r w:rsidR="002860F4">
        <w:rPr>
          <w:rFonts w:ascii="Arial" w:eastAsia="Calibri" w:hAnsi="Arial" w:cs="Arial"/>
          <w:bCs/>
        </w:rPr>
        <w:t xml:space="preserve"> las entidades </w:t>
      </w:r>
      <w:r w:rsidR="00736704">
        <w:rPr>
          <w:rFonts w:ascii="Arial" w:eastAsia="Calibri" w:hAnsi="Arial" w:cs="Arial"/>
          <w:bCs/>
        </w:rPr>
        <w:t>estatales deberán oprimir el botón «</w:t>
      </w:r>
      <w:r w:rsidR="00FC6695">
        <w:rPr>
          <w:rFonts w:ascii="Arial" w:eastAsia="Calibri" w:hAnsi="Arial" w:cs="Arial"/>
          <w:bCs/>
        </w:rPr>
        <w:t>a</w:t>
      </w:r>
      <w:r w:rsidR="00736704">
        <w:rPr>
          <w:rFonts w:ascii="Arial" w:eastAsia="Calibri" w:hAnsi="Arial" w:cs="Arial"/>
          <w:bCs/>
        </w:rPr>
        <w:t>brir sobres» antes de las 3:00 p.m.</w:t>
      </w:r>
      <w:r w:rsidR="00FC6695">
        <w:rPr>
          <w:rFonts w:ascii="Arial" w:eastAsia="Calibri" w:hAnsi="Arial" w:cs="Arial"/>
          <w:bCs/>
        </w:rPr>
        <w:t>, y</w:t>
      </w:r>
      <w:r w:rsidR="00504788">
        <w:rPr>
          <w:rFonts w:ascii="Arial" w:eastAsia="Calibri" w:hAnsi="Arial" w:cs="Arial"/>
          <w:bCs/>
        </w:rPr>
        <w:t>,</w:t>
      </w:r>
      <w:r w:rsidR="00FC6695">
        <w:rPr>
          <w:rFonts w:ascii="Arial" w:eastAsia="Calibri" w:hAnsi="Arial" w:cs="Arial"/>
          <w:bCs/>
        </w:rPr>
        <w:t xml:space="preserve"> por tanto, la TRM que </w:t>
      </w:r>
      <w:r w:rsidR="008D6CB0">
        <w:rPr>
          <w:rFonts w:ascii="Arial" w:eastAsia="Calibri" w:hAnsi="Arial" w:cs="Arial"/>
          <w:bCs/>
        </w:rPr>
        <w:t xml:space="preserve">aplicará </w:t>
      </w:r>
      <w:r w:rsidR="00FC6695">
        <w:rPr>
          <w:rFonts w:ascii="Arial" w:eastAsia="Calibri" w:hAnsi="Arial" w:cs="Arial"/>
          <w:bCs/>
        </w:rPr>
        <w:t xml:space="preserve">será la que rija </w:t>
      </w:r>
      <w:r w:rsidR="00FF1538">
        <w:rPr>
          <w:rFonts w:ascii="Arial" w:eastAsia="Calibri" w:hAnsi="Arial" w:cs="Arial"/>
          <w:bCs/>
        </w:rPr>
        <w:t>al día hábil siguiente al momento en que la entidad oprim</w:t>
      </w:r>
      <w:r w:rsidR="00504788">
        <w:rPr>
          <w:rFonts w:ascii="Arial" w:eastAsia="Calibri" w:hAnsi="Arial" w:cs="Arial"/>
          <w:bCs/>
        </w:rPr>
        <w:t>a</w:t>
      </w:r>
      <w:r w:rsidR="00FF1538">
        <w:rPr>
          <w:rFonts w:ascii="Arial" w:eastAsia="Calibri" w:hAnsi="Arial" w:cs="Arial"/>
          <w:bCs/>
        </w:rPr>
        <w:t xml:space="preserve"> est</w:t>
      </w:r>
      <w:r w:rsidR="006348C0">
        <w:rPr>
          <w:rFonts w:ascii="Arial" w:eastAsia="Calibri" w:hAnsi="Arial" w:cs="Arial"/>
          <w:bCs/>
        </w:rPr>
        <w:t>a opción</w:t>
      </w:r>
      <w:r w:rsidR="00FF1538">
        <w:rPr>
          <w:rFonts w:ascii="Arial" w:eastAsia="Calibri" w:hAnsi="Arial" w:cs="Arial"/>
          <w:bCs/>
        </w:rPr>
        <w:t xml:space="preserve">. En el evento </w:t>
      </w:r>
      <w:r w:rsidR="008D6CB0">
        <w:rPr>
          <w:rFonts w:ascii="Arial" w:eastAsia="Calibri" w:hAnsi="Arial" w:cs="Arial"/>
          <w:bCs/>
        </w:rPr>
        <w:t xml:space="preserve">en </w:t>
      </w:r>
      <w:r w:rsidR="00FF1538">
        <w:rPr>
          <w:rFonts w:ascii="Arial" w:eastAsia="Calibri" w:hAnsi="Arial" w:cs="Arial"/>
          <w:bCs/>
        </w:rPr>
        <w:t xml:space="preserve">que la apertura efectiva de los sobres económicos </w:t>
      </w:r>
      <w:r w:rsidR="008D6CB0">
        <w:rPr>
          <w:rFonts w:ascii="Arial" w:eastAsia="Calibri" w:hAnsi="Arial" w:cs="Arial"/>
          <w:bCs/>
        </w:rPr>
        <w:t xml:space="preserve">finalice </w:t>
      </w:r>
      <w:r w:rsidR="00FF1538">
        <w:rPr>
          <w:rFonts w:ascii="Arial" w:eastAsia="Calibri" w:hAnsi="Arial" w:cs="Arial"/>
          <w:bCs/>
        </w:rPr>
        <w:t xml:space="preserve">después de las 3:00 p.m., o incluso </w:t>
      </w:r>
      <w:r w:rsidR="008D6CB0">
        <w:rPr>
          <w:rFonts w:ascii="Arial" w:eastAsia="Calibri" w:hAnsi="Arial" w:cs="Arial"/>
          <w:bCs/>
        </w:rPr>
        <w:t xml:space="preserve">esto se haga </w:t>
      </w:r>
      <w:r w:rsidR="00FF1538">
        <w:rPr>
          <w:rFonts w:ascii="Arial" w:eastAsia="Calibri" w:hAnsi="Arial" w:cs="Arial"/>
          <w:bCs/>
        </w:rPr>
        <w:t xml:space="preserve">al día siguiente en que se oprime el botón de «abrir sobres» seguirá rigiendo la TRM del día </w:t>
      </w:r>
      <w:r w:rsidR="00504788">
        <w:rPr>
          <w:rFonts w:ascii="Arial" w:eastAsia="Calibri" w:hAnsi="Arial" w:cs="Arial"/>
          <w:bCs/>
        </w:rPr>
        <w:t xml:space="preserve">en que efectivamente se dio la opción de abrir los sobres económicos. </w:t>
      </w:r>
      <w:r w:rsidR="007E4292">
        <w:rPr>
          <w:rFonts w:ascii="Arial" w:eastAsia="Calibri" w:hAnsi="Arial" w:cs="Arial"/>
          <w:bCs/>
        </w:rPr>
        <w:t xml:space="preserve">Lo anterior, debido a que, </w:t>
      </w:r>
      <w:r w:rsidR="00D3716B">
        <w:rPr>
          <w:rFonts w:ascii="Arial" w:eastAsia="Calibri" w:hAnsi="Arial" w:cs="Arial"/>
          <w:bCs/>
        </w:rPr>
        <w:t>la entidad no puede alterar el contenido de las ofertas económicas.</w:t>
      </w:r>
    </w:p>
    <w:p w14:paraId="2B757981" w14:textId="77777777" w:rsidR="000F0E25" w:rsidRDefault="000F0E25" w:rsidP="00005BBF">
      <w:pPr>
        <w:autoSpaceDE w:val="0"/>
        <w:autoSpaceDN w:val="0"/>
        <w:adjustRightInd w:val="0"/>
        <w:spacing w:after="0" w:line="276" w:lineRule="auto"/>
        <w:jc w:val="both"/>
        <w:rPr>
          <w:rFonts w:ascii="Arial" w:eastAsia="Calibri" w:hAnsi="Arial" w:cs="Arial"/>
          <w:bCs/>
        </w:rPr>
      </w:pPr>
    </w:p>
    <w:p w14:paraId="78101829" w14:textId="08277CF8" w:rsidR="00D3716B" w:rsidRPr="00D3716B" w:rsidRDefault="00D3716B" w:rsidP="00005BBF">
      <w:pPr>
        <w:pStyle w:val="Prrafodelista"/>
        <w:numPr>
          <w:ilvl w:val="0"/>
          <w:numId w:val="1"/>
        </w:numPr>
        <w:autoSpaceDE w:val="0"/>
        <w:autoSpaceDN w:val="0"/>
        <w:adjustRightInd w:val="0"/>
        <w:spacing w:after="0" w:line="276" w:lineRule="auto"/>
        <w:ind w:left="284" w:hanging="284"/>
        <w:contextualSpacing w:val="0"/>
        <w:rPr>
          <w:rFonts w:ascii="Arial" w:eastAsia="Calibri" w:hAnsi="Arial" w:cs="Arial"/>
          <w:b/>
        </w:rPr>
      </w:pPr>
      <w:r w:rsidRPr="00D3716B">
        <w:rPr>
          <w:rFonts w:ascii="Arial" w:eastAsia="Calibri" w:hAnsi="Arial" w:cs="Arial"/>
          <w:b/>
        </w:rPr>
        <w:t>Respuestas</w:t>
      </w:r>
    </w:p>
    <w:p w14:paraId="233E06BD" w14:textId="77777777" w:rsidR="000F0E25" w:rsidRDefault="000F0E25" w:rsidP="00005BBF">
      <w:pPr>
        <w:autoSpaceDE w:val="0"/>
        <w:autoSpaceDN w:val="0"/>
        <w:adjustRightInd w:val="0"/>
        <w:spacing w:after="0" w:line="240" w:lineRule="auto"/>
        <w:ind w:left="708" w:right="758"/>
        <w:jc w:val="both"/>
        <w:rPr>
          <w:rFonts w:ascii="Arial" w:eastAsia="Calibri" w:hAnsi="Arial" w:cs="Arial"/>
          <w:sz w:val="20"/>
        </w:rPr>
      </w:pPr>
    </w:p>
    <w:p w14:paraId="37D7340C" w14:textId="1D953497" w:rsidR="00DE3224" w:rsidRDefault="00D3716B" w:rsidP="00005BBF">
      <w:pPr>
        <w:autoSpaceDE w:val="0"/>
        <w:autoSpaceDN w:val="0"/>
        <w:adjustRightInd w:val="0"/>
        <w:spacing w:after="0" w:line="240" w:lineRule="auto"/>
        <w:ind w:left="708" w:right="758"/>
        <w:jc w:val="both"/>
        <w:rPr>
          <w:rFonts w:ascii="Arial" w:eastAsia="Calibri" w:hAnsi="Arial" w:cs="Arial"/>
          <w:sz w:val="20"/>
        </w:rPr>
      </w:pPr>
      <w:r w:rsidRPr="00D3716B">
        <w:rPr>
          <w:rFonts w:ascii="Arial" w:eastAsia="Calibri" w:hAnsi="Arial" w:cs="Arial"/>
          <w:sz w:val="20"/>
        </w:rPr>
        <w:t>«[…] a los últimos procesos de licitación pública que hemos publicado se han presentado más de 240 proponentes, por lo que la desencriptada del sobre económico tarda hasta dos días, por esta razón solicitamos aclarar si debemos tener en cuenta la TRM que se publica el día que le damos “abrir” al sobre económico o la que se publica el día que realmente se termina de desencriptar dicho sobre»</w:t>
      </w:r>
    </w:p>
    <w:p w14:paraId="000F339D" w14:textId="77777777" w:rsidR="000F0E25" w:rsidRPr="00D3716B" w:rsidRDefault="000F0E25" w:rsidP="00005BBF">
      <w:pPr>
        <w:autoSpaceDE w:val="0"/>
        <w:autoSpaceDN w:val="0"/>
        <w:adjustRightInd w:val="0"/>
        <w:spacing w:after="0" w:line="240" w:lineRule="auto"/>
        <w:ind w:left="708" w:right="758"/>
        <w:jc w:val="both"/>
        <w:rPr>
          <w:rFonts w:ascii="Arial" w:eastAsia="Calibri" w:hAnsi="Arial" w:cs="Arial"/>
          <w:sz w:val="20"/>
        </w:rPr>
      </w:pPr>
    </w:p>
    <w:p w14:paraId="5D839325" w14:textId="2BA7B1FF" w:rsidR="006348C0" w:rsidRDefault="00F45302" w:rsidP="006348C0">
      <w:pPr>
        <w:spacing w:after="120" w:line="276" w:lineRule="auto"/>
        <w:jc w:val="both"/>
        <w:rPr>
          <w:rFonts w:ascii="Arial" w:eastAsia="Calibri" w:hAnsi="Arial" w:cs="Arial"/>
          <w:bCs/>
        </w:rPr>
      </w:pPr>
      <w:r>
        <w:rPr>
          <w:rFonts w:ascii="Arial" w:eastAsia="Calibri" w:hAnsi="Arial" w:cs="Arial"/>
          <w:bCs/>
        </w:rPr>
        <w:t xml:space="preserve">En los casos en que la desencriptada de la oferta económica se demora más de un día o, </w:t>
      </w:r>
      <w:r w:rsidR="006348C0">
        <w:rPr>
          <w:rFonts w:ascii="Arial" w:eastAsia="Calibri" w:hAnsi="Arial" w:cs="Arial"/>
          <w:bCs/>
        </w:rPr>
        <w:t xml:space="preserve">cuando supera la hora de las 3:00 p.m., la entidad aplicará la TRM del día </w:t>
      </w:r>
      <w:r w:rsidR="000F0E25">
        <w:rPr>
          <w:rFonts w:ascii="Arial" w:eastAsia="Calibri" w:hAnsi="Arial" w:cs="Arial"/>
          <w:bCs/>
        </w:rPr>
        <w:t xml:space="preserve">hábil siguiente </w:t>
      </w:r>
      <w:r w:rsidR="006348C0">
        <w:rPr>
          <w:rFonts w:ascii="Arial" w:eastAsia="Calibri" w:hAnsi="Arial" w:cs="Arial"/>
          <w:bCs/>
        </w:rPr>
        <w:t xml:space="preserve">en que haga clic en el botón «Abrir sobres». Es importante señalar que, al ser la plataforma del SECOP II transaccional, las entidades no podrán modificar las ofertas económicas y, por tanto, lo importante es que al momento de oprimir el botón de «abrir sobres» no se conozca la TRM que define el método de ponderación de la oferta económica. </w:t>
      </w:r>
    </w:p>
    <w:p w14:paraId="1BB0CC48" w14:textId="3FC5F95C" w:rsidR="006348C0" w:rsidRDefault="006348C0" w:rsidP="006348C0">
      <w:pPr>
        <w:spacing w:after="120" w:line="276" w:lineRule="auto"/>
        <w:jc w:val="both"/>
        <w:rPr>
          <w:rFonts w:ascii="Arial" w:eastAsia="Calibri" w:hAnsi="Arial" w:cs="Arial"/>
          <w:bCs/>
        </w:rPr>
      </w:pPr>
      <w:r>
        <w:rPr>
          <w:rFonts w:ascii="Arial" w:eastAsia="Calibri" w:hAnsi="Arial" w:cs="Arial"/>
          <w:bCs/>
        </w:rPr>
        <w:tab/>
        <w:t xml:space="preserve">Bajo ese entendido, las entidades estatales al publicar sus procesos de contratación en la plataforma del SECOP II y, por tanto, para acoger las reglas definidas en el «Documento tipo» </w:t>
      </w:r>
      <w:r w:rsidRPr="001A005D">
        <w:rPr>
          <w:rFonts w:ascii="Arial" w:eastAsia="Calibri" w:hAnsi="Arial" w:cs="Arial"/>
          <w:bCs/>
        </w:rPr>
        <w:t>de</w:t>
      </w:r>
      <w:r>
        <w:t xml:space="preserve"> </w:t>
      </w:r>
      <w:r w:rsidRPr="001A005D">
        <w:rPr>
          <w:rFonts w:ascii="Arial" w:eastAsia="Calibri" w:hAnsi="Arial" w:cs="Arial"/>
          <w:bCs/>
        </w:rPr>
        <w:t xml:space="preserve">licitación </w:t>
      </w:r>
      <w:r>
        <w:rPr>
          <w:rFonts w:ascii="Arial" w:eastAsia="Calibri" w:hAnsi="Arial" w:cs="Arial"/>
          <w:bCs/>
        </w:rPr>
        <w:t>de obra pública de infraestructura de transporte y agua potable y saneamiento básico deberán dar clic en</w:t>
      </w:r>
      <w:r w:rsidR="000F0E25">
        <w:rPr>
          <w:rFonts w:ascii="Arial" w:eastAsia="Calibri" w:hAnsi="Arial" w:cs="Arial"/>
          <w:bCs/>
        </w:rPr>
        <w:t xml:space="preserve"> la opción</w:t>
      </w:r>
      <w:r>
        <w:rPr>
          <w:rFonts w:ascii="Arial" w:eastAsia="Calibri" w:hAnsi="Arial" w:cs="Arial"/>
          <w:bCs/>
        </w:rPr>
        <w:t xml:space="preserve"> «Abrir sobres» antes de las 3.00 P.M. De esta manera, se tendrá certeza que la entidad no conoce la TRM que regirá en ese día y, en consecuencia, no conocerá el método de ponderación de </w:t>
      </w:r>
      <w:r w:rsidR="005E52C6">
        <w:rPr>
          <w:rFonts w:ascii="Arial" w:eastAsia="Calibri" w:hAnsi="Arial" w:cs="Arial"/>
          <w:bCs/>
        </w:rPr>
        <w:t xml:space="preserve">las </w:t>
      </w:r>
      <w:r>
        <w:rPr>
          <w:rFonts w:ascii="Arial" w:eastAsia="Calibri" w:hAnsi="Arial" w:cs="Arial"/>
          <w:bCs/>
        </w:rPr>
        <w:t>oferta</w:t>
      </w:r>
      <w:r w:rsidR="005E52C6">
        <w:rPr>
          <w:rFonts w:ascii="Arial" w:eastAsia="Calibri" w:hAnsi="Arial" w:cs="Arial"/>
          <w:bCs/>
        </w:rPr>
        <w:t>s</w:t>
      </w:r>
      <w:r>
        <w:rPr>
          <w:rFonts w:ascii="Arial" w:eastAsia="Calibri" w:hAnsi="Arial" w:cs="Arial"/>
          <w:bCs/>
        </w:rPr>
        <w:t xml:space="preserve"> económica</w:t>
      </w:r>
      <w:r w:rsidR="005E52C6">
        <w:rPr>
          <w:rFonts w:ascii="Arial" w:eastAsia="Calibri" w:hAnsi="Arial" w:cs="Arial"/>
          <w:bCs/>
        </w:rPr>
        <w:t>s</w:t>
      </w:r>
      <w:r>
        <w:rPr>
          <w:rFonts w:ascii="Arial" w:eastAsia="Calibri" w:hAnsi="Arial" w:cs="Arial"/>
          <w:bCs/>
        </w:rPr>
        <w:t xml:space="preserve">. </w:t>
      </w:r>
      <w:r w:rsidR="003C7B53">
        <w:rPr>
          <w:rFonts w:ascii="Arial" w:eastAsia="Calibri" w:hAnsi="Arial" w:cs="Arial"/>
          <w:bCs/>
        </w:rPr>
        <w:t xml:space="preserve">Dicha </w:t>
      </w:r>
      <w:proofErr w:type="gramStart"/>
      <w:r w:rsidR="003C7B53">
        <w:rPr>
          <w:rFonts w:ascii="Arial" w:eastAsia="Calibri" w:hAnsi="Arial" w:cs="Arial"/>
          <w:bCs/>
        </w:rPr>
        <w:t>s</w:t>
      </w:r>
      <w:r>
        <w:rPr>
          <w:rFonts w:ascii="Arial" w:eastAsia="Calibri" w:hAnsi="Arial" w:cs="Arial"/>
          <w:bCs/>
        </w:rPr>
        <w:t>ituación</w:t>
      </w:r>
      <w:proofErr w:type="gramEnd"/>
      <w:r>
        <w:rPr>
          <w:rFonts w:ascii="Arial" w:eastAsia="Calibri" w:hAnsi="Arial" w:cs="Arial"/>
          <w:bCs/>
        </w:rPr>
        <w:t xml:space="preserve"> por consiguiente, no afectará el principio de transparencia en los procesos de contratación. </w:t>
      </w:r>
      <w:r w:rsidR="000F0E25">
        <w:rPr>
          <w:rFonts w:ascii="Arial" w:eastAsia="Calibri" w:hAnsi="Arial" w:cs="Arial"/>
          <w:bCs/>
        </w:rPr>
        <w:t>En este sentido, como se explicó en las consideraciones, la regla del numeral 4.1.4. consiste en establecer que la entidad iniciará la apertura de los sobre</w:t>
      </w:r>
      <w:r w:rsidR="005E52C6">
        <w:rPr>
          <w:rFonts w:ascii="Arial" w:eastAsia="Calibri" w:hAnsi="Arial" w:cs="Arial"/>
          <w:bCs/>
        </w:rPr>
        <w:t>s</w:t>
      </w:r>
      <w:r w:rsidR="000F0E25">
        <w:rPr>
          <w:rFonts w:ascii="Arial" w:eastAsia="Calibri" w:hAnsi="Arial" w:cs="Arial"/>
          <w:bCs/>
        </w:rPr>
        <w:t xml:space="preserve"> y definirá el método de ponderación de acuerdo con la TRM que rija el día hábil siguiente. </w:t>
      </w:r>
      <w:r w:rsidR="003C7B53">
        <w:rPr>
          <w:rFonts w:ascii="Arial" w:eastAsia="Calibri" w:hAnsi="Arial" w:cs="Arial"/>
          <w:bCs/>
        </w:rPr>
        <w:t>Lo anterior, s</w:t>
      </w:r>
      <w:r w:rsidR="000F0E25">
        <w:rPr>
          <w:rFonts w:ascii="Arial" w:eastAsia="Calibri" w:hAnsi="Arial" w:cs="Arial"/>
          <w:bCs/>
        </w:rPr>
        <w:t>in perjuicio de que allí se establezcan contenidos adicionales para garantizar la transparencia en la contratación estatal.</w:t>
      </w:r>
    </w:p>
    <w:p w14:paraId="668E34FF" w14:textId="77777777" w:rsidR="000F0E25" w:rsidRPr="0012150B" w:rsidRDefault="000F0E25" w:rsidP="006348C0">
      <w:pPr>
        <w:spacing w:after="120" w:line="276" w:lineRule="auto"/>
        <w:jc w:val="both"/>
        <w:rPr>
          <w:rFonts w:ascii="Arial" w:eastAsia="Calibri" w:hAnsi="Arial" w:cs="Arial"/>
          <w:bCs/>
        </w:rPr>
      </w:pPr>
    </w:p>
    <w:p w14:paraId="0B4E80E7" w14:textId="6899B7D3" w:rsidR="00D42EE6" w:rsidRDefault="001F20F5" w:rsidP="006348C0">
      <w:pPr>
        <w:spacing w:after="120" w:line="276" w:lineRule="auto"/>
        <w:jc w:val="both"/>
        <w:rPr>
          <w:rFonts w:ascii="Arial" w:eastAsia="Calibri" w:hAnsi="Arial" w:cs="Arial"/>
        </w:rPr>
      </w:pPr>
      <w:r w:rsidRPr="00502617">
        <w:rPr>
          <w:rFonts w:ascii="Arial" w:eastAsia="Calibri" w:hAnsi="Arial" w:cs="Arial"/>
        </w:rPr>
        <w:t>Este concepto tiene el alcance previsto en el artículo 28 del Código de Procedimiento Administrativo y de lo Contencioso Administrativo.</w:t>
      </w:r>
    </w:p>
    <w:p w14:paraId="567D80F9" w14:textId="77777777" w:rsidR="00D42EE6" w:rsidRDefault="00D42EE6" w:rsidP="00D42EE6">
      <w:pPr>
        <w:spacing w:line="276" w:lineRule="auto"/>
        <w:jc w:val="both"/>
        <w:rPr>
          <w:rFonts w:ascii="Arial" w:eastAsia="Calibri" w:hAnsi="Arial" w:cs="Arial"/>
        </w:rPr>
      </w:pPr>
    </w:p>
    <w:p w14:paraId="3738D943" w14:textId="77777777" w:rsidR="00D42EE6" w:rsidRDefault="00B946BC" w:rsidP="00D42EE6">
      <w:pPr>
        <w:spacing w:line="276" w:lineRule="auto"/>
        <w:jc w:val="both"/>
        <w:rPr>
          <w:rFonts w:ascii="Arial" w:eastAsia="Calibri" w:hAnsi="Arial" w:cs="Arial"/>
        </w:rPr>
      </w:pPr>
      <w:r w:rsidRPr="00502617">
        <w:rPr>
          <w:rFonts w:ascii="Arial" w:hAnsi="Arial" w:cs="Arial"/>
          <w:szCs w:val="20"/>
          <w:lang w:eastAsia="es-CO"/>
        </w:rPr>
        <w:t>Atentamente,</w:t>
      </w:r>
    </w:p>
    <w:p w14:paraId="619BD160" w14:textId="77777777" w:rsidR="00B946BC" w:rsidRPr="00502617" w:rsidRDefault="00B946BC" w:rsidP="00307CA3">
      <w:pPr>
        <w:spacing w:after="18"/>
        <w:rPr>
          <w:rFonts w:ascii="Arial" w:hAnsi="Arial" w:cs="Arial"/>
          <w:lang w:eastAsia="es-CO"/>
        </w:rPr>
      </w:pPr>
    </w:p>
    <w:p w14:paraId="38BF3F95" w14:textId="216C896E" w:rsidR="00D42EE6" w:rsidRDefault="00307CA3" w:rsidP="00307CA3">
      <w:pPr>
        <w:spacing w:after="18"/>
        <w:jc w:val="center"/>
        <w:rPr>
          <w:rFonts w:ascii="Arial" w:hAnsi="Arial" w:cs="Arial"/>
          <w:lang w:eastAsia="es-CO"/>
        </w:rPr>
      </w:pPr>
      <w:r>
        <w:rPr>
          <w:rFonts w:ascii="Arial" w:hAnsi="Arial" w:cs="Arial"/>
          <w:noProof/>
          <w:lang w:eastAsia="es-CO"/>
        </w:rPr>
        <w:drawing>
          <wp:inline distT="0" distB="0" distL="0" distR="0" wp14:anchorId="24D3D07C" wp14:editId="6CF1DB25">
            <wp:extent cx="2517775" cy="11156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5695"/>
                    </a:xfrm>
                    <a:prstGeom prst="rect">
                      <a:avLst/>
                    </a:prstGeom>
                    <a:noFill/>
                  </pic:spPr>
                </pic:pic>
              </a:graphicData>
            </a:graphic>
          </wp:inline>
        </w:drawing>
      </w:r>
    </w:p>
    <w:p w14:paraId="1EF8CC48" w14:textId="1DD4A609" w:rsidR="00D42EE6" w:rsidRDefault="00D42EE6" w:rsidP="00B946BC">
      <w:pPr>
        <w:spacing w:after="18"/>
        <w:jc w:val="center"/>
        <w:rPr>
          <w:rFonts w:ascii="Arial" w:hAnsi="Arial" w:cs="Arial"/>
          <w:lang w:eastAsia="es-CO"/>
        </w:rPr>
      </w:pPr>
    </w:p>
    <w:p w14:paraId="01F27978" w14:textId="77777777" w:rsidR="00D42EE6" w:rsidRPr="00502617" w:rsidRDefault="00D42EE6" w:rsidP="00B946BC">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B946BC" w:rsidRPr="00502617" w14:paraId="3883E0BE" w14:textId="77777777" w:rsidTr="00EF07BA">
        <w:trPr>
          <w:trHeight w:val="286"/>
        </w:trPr>
        <w:tc>
          <w:tcPr>
            <w:tcW w:w="886" w:type="dxa"/>
            <w:vAlign w:val="center"/>
            <w:hideMark/>
          </w:tcPr>
          <w:p w14:paraId="1301E091" w14:textId="77777777" w:rsidR="00B946BC" w:rsidRPr="00502617" w:rsidRDefault="00B946BC" w:rsidP="00EF07BA">
            <w:pPr>
              <w:rPr>
                <w:rFonts w:ascii="Arial" w:hAnsi="Arial" w:cs="Arial"/>
                <w:sz w:val="14"/>
                <w:szCs w:val="14"/>
                <w:lang w:eastAsia="es-ES"/>
              </w:rPr>
            </w:pPr>
            <w:r w:rsidRPr="00502617">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A10C5C2" w14:textId="77777777" w:rsidR="00B946BC" w:rsidRPr="00502617" w:rsidRDefault="00B946BC" w:rsidP="00EF07BA">
            <w:pPr>
              <w:rPr>
                <w:rFonts w:ascii="Arial" w:hAnsi="Arial" w:cs="Arial"/>
                <w:sz w:val="14"/>
                <w:szCs w:val="14"/>
                <w:lang w:eastAsia="es-ES"/>
              </w:rPr>
            </w:pPr>
            <w:r>
              <w:rPr>
                <w:rFonts w:ascii="Arial" w:hAnsi="Arial" w:cs="Arial"/>
                <w:sz w:val="14"/>
                <w:szCs w:val="14"/>
                <w:lang w:eastAsia="es-ES"/>
              </w:rPr>
              <w:t>Sara Milena Núñez Aldana</w:t>
            </w:r>
          </w:p>
          <w:p w14:paraId="007F8E54" w14:textId="77777777" w:rsidR="00B946BC" w:rsidRPr="00502617" w:rsidRDefault="00B946BC" w:rsidP="00EF07BA">
            <w:pPr>
              <w:rPr>
                <w:rFonts w:ascii="Arial" w:hAnsi="Arial" w:cs="Arial"/>
                <w:sz w:val="14"/>
                <w:szCs w:val="14"/>
                <w:lang w:eastAsia="es-ES"/>
              </w:rPr>
            </w:pPr>
            <w:r w:rsidRPr="00502617">
              <w:rPr>
                <w:rFonts w:ascii="Arial" w:hAnsi="Arial" w:cs="Arial"/>
                <w:sz w:val="14"/>
                <w:szCs w:val="14"/>
                <w:lang w:eastAsia="es-ES"/>
              </w:rPr>
              <w:t>Gestor T1-1</w:t>
            </w:r>
            <w:r>
              <w:rPr>
                <w:rFonts w:ascii="Arial" w:hAnsi="Arial" w:cs="Arial"/>
                <w:sz w:val="14"/>
                <w:szCs w:val="14"/>
                <w:lang w:eastAsia="es-ES"/>
              </w:rPr>
              <w:t>5</w:t>
            </w:r>
            <w:r w:rsidRPr="00502617">
              <w:rPr>
                <w:rFonts w:ascii="Arial" w:hAnsi="Arial" w:cs="Arial"/>
                <w:sz w:val="14"/>
                <w:szCs w:val="14"/>
                <w:lang w:eastAsia="es-ES"/>
              </w:rPr>
              <w:t xml:space="preserve"> de la Subdirección de Gestión Contractual</w:t>
            </w:r>
          </w:p>
        </w:tc>
      </w:tr>
      <w:tr w:rsidR="00B946BC" w:rsidRPr="00502617" w14:paraId="50DEEAF1" w14:textId="77777777" w:rsidTr="00EF07BA">
        <w:trPr>
          <w:trHeight w:val="299"/>
        </w:trPr>
        <w:tc>
          <w:tcPr>
            <w:tcW w:w="886" w:type="dxa"/>
            <w:vAlign w:val="center"/>
          </w:tcPr>
          <w:p w14:paraId="3651A3A7" w14:textId="77777777" w:rsidR="00B946BC" w:rsidRPr="00502617" w:rsidRDefault="00B946BC" w:rsidP="00EF07BA">
            <w:pPr>
              <w:rPr>
                <w:rFonts w:ascii="Arial" w:hAnsi="Arial" w:cs="Arial"/>
                <w:sz w:val="14"/>
                <w:szCs w:val="14"/>
                <w:lang w:eastAsia="es-ES"/>
              </w:rPr>
            </w:pPr>
            <w:r w:rsidRPr="00502617">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4C3B121A" w14:textId="75689EE0" w:rsidR="00B946BC" w:rsidRPr="00502617" w:rsidRDefault="00F804CE" w:rsidP="00EF07BA">
            <w:pPr>
              <w:rPr>
                <w:rFonts w:ascii="Arial" w:hAnsi="Arial" w:cs="Arial"/>
                <w:sz w:val="14"/>
                <w:szCs w:val="14"/>
                <w:lang w:eastAsia="es-ES"/>
              </w:rPr>
            </w:pPr>
            <w:r>
              <w:rPr>
                <w:rFonts w:ascii="Arial" w:hAnsi="Arial" w:cs="Arial"/>
                <w:sz w:val="14"/>
                <w:szCs w:val="14"/>
                <w:lang w:eastAsia="es-ES"/>
              </w:rPr>
              <w:t>Sebastián Ramirez Grisales</w:t>
            </w:r>
          </w:p>
          <w:p w14:paraId="1132471D" w14:textId="77777777" w:rsidR="00B946BC" w:rsidRPr="00502617" w:rsidRDefault="00B946BC" w:rsidP="00EF07BA">
            <w:pPr>
              <w:rPr>
                <w:rFonts w:ascii="Arial" w:hAnsi="Arial" w:cs="Arial"/>
                <w:sz w:val="14"/>
                <w:szCs w:val="14"/>
                <w:lang w:eastAsia="es-ES"/>
              </w:rPr>
            </w:pPr>
            <w:r w:rsidRPr="00502617">
              <w:rPr>
                <w:rFonts w:ascii="Arial" w:hAnsi="Arial" w:cs="Arial"/>
                <w:sz w:val="14"/>
                <w:szCs w:val="14"/>
                <w:lang w:eastAsia="es-ES"/>
              </w:rPr>
              <w:t xml:space="preserve">Gestor T1-15 de la Subdirección de Gestión Contractual  </w:t>
            </w:r>
          </w:p>
        </w:tc>
      </w:tr>
      <w:tr w:rsidR="00B946BC" w:rsidRPr="00502617" w14:paraId="5BC3D54C" w14:textId="77777777" w:rsidTr="00EF07BA">
        <w:trPr>
          <w:trHeight w:val="272"/>
        </w:trPr>
        <w:tc>
          <w:tcPr>
            <w:tcW w:w="886" w:type="dxa"/>
            <w:vAlign w:val="center"/>
            <w:hideMark/>
          </w:tcPr>
          <w:p w14:paraId="12E7FD5D" w14:textId="77777777" w:rsidR="00B946BC" w:rsidRPr="00502617" w:rsidRDefault="00B946BC" w:rsidP="00EF07BA">
            <w:pPr>
              <w:rPr>
                <w:rFonts w:ascii="Arial" w:hAnsi="Arial" w:cs="Arial"/>
                <w:sz w:val="14"/>
                <w:szCs w:val="14"/>
                <w:lang w:eastAsia="es-ES"/>
              </w:rPr>
            </w:pPr>
            <w:r w:rsidRPr="00502617">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68EF9C25" w14:textId="77777777" w:rsidR="00B946BC" w:rsidRPr="00502617" w:rsidRDefault="00B946BC" w:rsidP="00EF07BA">
            <w:pPr>
              <w:rPr>
                <w:rFonts w:ascii="Arial" w:hAnsi="Arial" w:cs="Arial"/>
                <w:sz w:val="14"/>
                <w:szCs w:val="14"/>
                <w:lang w:eastAsia="es-ES"/>
              </w:rPr>
            </w:pPr>
            <w:r w:rsidRPr="00502617">
              <w:rPr>
                <w:rFonts w:ascii="Arial" w:hAnsi="Arial" w:cs="Arial"/>
                <w:sz w:val="14"/>
                <w:szCs w:val="14"/>
                <w:lang w:eastAsia="es-ES"/>
              </w:rPr>
              <w:t>Jorge Augusto Tirado Navarro</w:t>
            </w:r>
          </w:p>
          <w:p w14:paraId="4B461C98" w14:textId="77777777" w:rsidR="00B946BC" w:rsidRPr="00502617" w:rsidRDefault="00B946BC" w:rsidP="00EF07BA">
            <w:pPr>
              <w:rPr>
                <w:rFonts w:ascii="Arial" w:hAnsi="Arial" w:cs="Arial"/>
                <w:sz w:val="14"/>
                <w:szCs w:val="14"/>
                <w:lang w:eastAsia="es-ES"/>
              </w:rPr>
            </w:pPr>
            <w:r w:rsidRPr="00502617">
              <w:rPr>
                <w:rFonts w:ascii="Arial" w:hAnsi="Arial" w:cs="Arial"/>
                <w:sz w:val="14"/>
                <w:szCs w:val="14"/>
                <w:lang w:eastAsia="es-ES"/>
              </w:rPr>
              <w:t>Subdirector de Gestión Contractual</w:t>
            </w:r>
          </w:p>
        </w:tc>
      </w:tr>
    </w:tbl>
    <w:p w14:paraId="02DABBE6" w14:textId="77777777" w:rsidR="00B946BC" w:rsidRPr="00502617" w:rsidRDefault="00B946BC" w:rsidP="00B946BC">
      <w:pPr>
        <w:rPr>
          <w:rFonts w:ascii="Arial" w:hAnsi="Arial" w:cs="Arial"/>
          <w:lang w:eastAsia="es-ES"/>
        </w:rPr>
      </w:pPr>
    </w:p>
    <w:p w14:paraId="1C6720A0" w14:textId="77777777" w:rsidR="00B946BC" w:rsidRPr="00502617" w:rsidRDefault="00B946BC" w:rsidP="00B946BC">
      <w:pPr>
        <w:rPr>
          <w:rFonts w:ascii="Arial" w:hAnsi="Arial" w:cs="Arial"/>
          <w:lang w:eastAsia="es-ES"/>
        </w:rPr>
      </w:pPr>
    </w:p>
    <w:p w14:paraId="71AA7FC5" w14:textId="77777777" w:rsidR="00B946BC" w:rsidRDefault="00B946BC" w:rsidP="00F45302">
      <w:pPr>
        <w:jc w:val="both"/>
      </w:pPr>
    </w:p>
    <w:sectPr w:rsidR="00B946B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5E00" w14:textId="77777777" w:rsidR="00B76F08" w:rsidRDefault="00B76F08" w:rsidP="002122A6">
      <w:pPr>
        <w:spacing w:after="0" w:line="240" w:lineRule="auto"/>
      </w:pPr>
      <w:r>
        <w:separator/>
      </w:r>
    </w:p>
  </w:endnote>
  <w:endnote w:type="continuationSeparator" w:id="0">
    <w:p w14:paraId="41CB8DA0" w14:textId="77777777" w:rsidR="00B76F08" w:rsidRDefault="00B76F08" w:rsidP="0021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Calibri">
    <w:altName w:val="Arial"/>
    <w:charset w:val="00"/>
    <w:family w:val="roman"/>
    <w:pitch w:val="default"/>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289B" w14:textId="77777777" w:rsidR="00F85CB5" w:rsidRPr="008217B7" w:rsidRDefault="000C7F55" w:rsidP="00F85CB5">
    <w:pPr>
      <w:pStyle w:val="Piedepgina"/>
      <w:jc w:val="right"/>
      <w:rPr>
        <w:rFonts w:ascii="Arial" w:hAnsi="Arial" w:cs="Arial"/>
        <w:color w:val="7F7F7F" w:themeColor="text1" w:themeTint="80"/>
        <w:sz w:val="16"/>
        <w:szCs w:val="16"/>
      </w:rPr>
    </w:pPr>
    <w:r>
      <w:rPr>
        <w:noProof/>
      </w:rPr>
      <w:drawing>
        <wp:inline distT="0" distB="0" distL="0" distR="0" wp14:anchorId="03561971" wp14:editId="191AC8C3">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r w:rsidR="00F85CB5">
      <w:tab/>
    </w:r>
    <w:r w:rsidR="00F85CB5" w:rsidRPr="008217B7">
      <w:rPr>
        <w:rFonts w:ascii="Arial" w:hAnsi="Arial" w:cs="Arial"/>
        <w:bCs/>
        <w:color w:val="7F7F7F" w:themeColor="text1" w:themeTint="80"/>
        <w:sz w:val="16"/>
        <w:szCs w:val="16"/>
      </w:rPr>
      <w:t xml:space="preserve">Página </w:t>
    </w:r>
    <w:r w:rsidR="00F85CB5" w:rsidRPr="00084B97">
      <w:rPr>
        <w:rFonts w:ascii="Arial" w:hAnsi="Arial" w:cs="Arial"/>
        <w:b/>
        <w:bCs/>
        <w:color w:val="7F7F7F" w:themeColor="text1" w:themeTint="80"/>
        <w:sz w:val="16"/>
        <w:szCs w:val="16"/>
      </w:rPr>
      <w:fldChar w:fldCharType="begin"/>
    </w:r>
    <w:r w:rsidR="00F85CB5" w:rsidRPr="00084B97">
      <w:rPr>
        <w:rFonts w:ascii="Arial" w:hAnsi="Arial" w:cs="Arial"/>
        <w:b/>
        <w:bCs/>
        <w:color w:val="7F7F7F" w:themeColor="text1" w:themeTint="80"/>
        <w:sz w:val="16"/>
        <w:szCs w:val="16"/>
      </w:rPr>
      <w:instrText>PAGE  \* Arabic  \* MERGEFORMAT</w:instrText>
    </w:r>
    <w:r w:rsidR="00F85CB5" w:rsidRPr="00084B97">
      <w:rPr>
        <w:rFonts w:ascii="Arial" w:hAnsi="Arial" w:cs="Arial"/>
        <w:b/>
        <w:bCs/>
        <w:color w:val="7F7F7F" w:themeColor="text1" w:themeTint="80"/>
        <w:sz w:val="16"/>
        <w:szCs w:val="16"/>
      </w:rPr>
      <w:fldChar w:fldCharType="separate"/>
    </w:r>
    <w:r w:rsidR="00F85CB5">
      <w:rPr>
        <w:rFonts w:ascii="Arial" w:hAnsi="Arial" w:cs="Arial"/>
        <w:b/>
        <w:bCs/>
        <w:color w:val="7F7F7F" w:themeColor="text1" w:themeTint="80"/>
        <w:sz w:val="16"/>
        <w:szCs w:val="16"/>
      </w:rPr>
      <w:t>5</w:t>
    </w:r>
    <w:r w:rsidR="00F85CB5" w:rsidRPr="00084B97">
      <w:rPr>
        <w:rFonts w:ascii="Arial" w:hAnsi="Arial" w:cs="Arial"/>
        <w:b/>
        <w:bCs/>
        <w:color w:val="7F7F7F" w:themeColor="text1" w:themeTint="80"/>
        <w:sz w:val="16"/>
        <w:szCs w:val="16"/>
      </w:rPr>
      <w:fldChar w:fldCharType="end"/>
    </w:r>
    <w:r w:rsidR="00F85CB5" w:rsidRPr="008217B7">
      <w:rPr>
        <w:rFonts w:ascii="Arial" w:hAnsi="Arial" w:cs="Arial"/>
        <w:color w:val="7F7F7F" w:themeColor="text1" w:themeTint="80"/>
        <w:sz w:val="16"/>
        <w:szCs w:val="16"/>
      </w:rPr>
      <w:t xml:space="preserve"> de </w:t>
    </w:r>
    <w:r w:rsidR="00F85CB5" w:rsidRPr="00084B97">
      <w:rPr>
        <w:rFonts w:ascii="Arial" w:hAnsi="Arial" w:cs="Arial"/>
        <w:b/>
        <w:bCs/>
        <w:color w:val="7F7F7F" w:themeColor="text1" w:themeTint="80"/>
        <w:sz w:val="16"/>
        <w:szCs w:val="16"/>
      </w:rPr>
      <w:fldChar w:fldCharType="begin"/>
    </w:r>
    <w:r w:rsidR="00F85CB5" w:rsidRPr="00084B97">
      <w:rPr>
        <w:rFonts w:ascii="Arial" w:hAnsi="Arial" w:cs="Arial"/>
        <w:b/>
        <w:bCs/>
        <w:color w:val="7F7F7F" w:themeColor="text1" w:themeTint="80"/>
        <w:sz w:val="16"/>
        <w:szCs w:val="16"/>
      </w:rPr>
      <w:instrText>NUMPAGES  \* Arabic  \* MERGEFORMAT</w:instrText>
    </w:r>
    <w:r w:rsidR="00F85CB5" w:rsidRPr="00084B97">
      <w:rPr>
        <w:rFonts w:ascii="Arial" w:hAnsi="Arial" w:cs="Arial"/>
        <w:b/>
        <w:bCs/>
        <w:color w:val="7F7F7F" w:themeColor="text1" w:themeTint="80"/>
        <w:sz w:val="16"/>
        <w:szCs w:val="16"/>
      </w:rPr>
      <w:fldChar w:fldCharType="separate"/>
    </w:r>
    <w:r w:rsidR="00F85CB5">
      <w:rPr>
        <w:rFonts w:ascii="Arial" w:hAnsi="Arial" w:cs="Arial"/>
        <w:b/>
        <w:bCs/>
        <w:color w:val="7F7F7F" w:themeColor="text1" w:themeTint="80"/>
        <w:sz w:val="16"/>
        <w:szCs w:val="16"/>
      </w:rPr>
      <w:t>31</w:t>
    </w:r>
    <w:r w:rsidR="00F85CB5" w:rsidRPr="00084B97">
      <w:rPr>
        <w:rFonts w:ascii="Arial" w:hAnsi="Arial" w:cs="Arial"/>
        <w:b/>
        <w:bCs/>
        <w:color w:val="7F7F7F" w:themeColor="text1" w:themeTint="80"/>
        <w:sz w:val="16"/>
        <w:szCs w:val="16"/>
      </w:rPr>
      <w:fldChar w:fldCharType="end"/>
    </w:r>
  </w:p>
  <w:p w14:paraId="1E7F5617" w14:textId="3F1AAAFC" w:rsidR="000C7F55" w:rsidRDefault="000C7F55" w:rsidP="00F85CB5">
    <w:pPr>
      <w:pStyle w:val="Piedepgina"/>
      <w:tabs>
        <w:tab w:val="clear" w:pos="8838"/>
        <w:tab w:val="left" w:pos="69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584C" w14:textId="77777777" w:rsidR="00B76F08" w:rsidRDefault="00B76F08" w:rsidP="002122A6">
      <w:pPr>
        <w:spacing w:after="0" w:line="240" w:lineRule="auto"/>
      </w:pPr>
      <w:r>
        <w:separator/>
      </w:r>
    </w:p>
  </w:footnote>
  <w:footnote w:type="continuationSeparator" w:id="0">
    <w:p w14:paraId="0BA7A367" w14:textId="77777777" w:rsidR="00B76F08" w:rsidRDefault="00B76F08" w:rsidP="002122A6">
      <w:pPr>
        <w:spacing w:after="0" w:line="240" w:lineRule="auto"/>
      </w:pPr>
      <w:r>
        <w:continuationSeparator/>
      </w:r>
    </w:p>
  </w:footnote>
  <w:footnote w:id="1">
    <w:p w14:paraId="355CC356" w14:textId="77777777" w:rsidR="002122A6" w:rsidRPr="00974813" w:rsidRDefault="002122A6" w:rsidP="00974813">
      <w:pPr>
        <w:pStyle w:val="Textonotapie"/>
        <w:ind w:firstLine="708"/>
        <w:jc w:val="both"/>
        <w:rPr>
          <w:rFonts w:ascii="Arial" w:hAnsi="Arial" w:cs="Arial"/>
          <w:sz w:val="19"/>
          <w:szCs w:val="19"/>
        </w:rPr>
      </w:pPr>
      <w:r w:rsidRPr="00974813">
        <w:rPr>
          <w:rStyle w:val="Refdenotaalpie"/>
          <w:rFonts w:ascii="Arial" w:hAnsi="Arial" w:cs="Arial"/>
          <w:sz w:val="19"/>
          <w:szCs w:val="19"/>
        </w:rPr>
        <w:footnoteRef/>
      </w:r>
      <w:r w:rsidRPr="00974813">
        <w:rPr>
          <w:rFonts w:ascii="Arial" w:hAnsi="Arial" w:cs="Arial"/>
          <w:sz w:val="19"/>
          <w:szCs w:val="19"/>
        </w:rPr>
        <w:t xml:space="preserve"> </w:t>
      </w:r>
      <w:bookmarkStart w:id="0" w:name="_Hlk62047233"/>
      <w:r w:rsidRPr="00974813">
        <w:rPr>
          <w:rFonts w:ascii="Arial" w:hAnsi="Arial" w:cs="Arial"/>
          <w:sz w:val="19"/>
          <w:szCs w:val="19"/>
        </w:rPr>
        <w:t xml:space="preserve">Resolución No. 240 de 2020. Documento Base: « </w:t>
      </w:r>
      <w:bookmarkEnd w:id="0"/>
      <w:r w:rsidRPr="00974813">
        <w:rPr>
          <w:rFonts w:ascii="Arial" w:hAnsi="Arial" w:cs="Arial"/>
          <w:sz w:val="19"/>
          <w:szCs w:val="19"/>
        </w:rPr>
        <w:t>4.1.4.</w:t>
      </w:r>
      <w:r w:rsidRPr="00974813">
        <w:rPr>
          <w:rFonts w:ascii="Arial" w:hAnsi="Arial" w:cs="Arial"/>
          <w:sz w:val="19"/>
          <w:szCs w:val="19"/>
        </w:rPr>
        <w:tab/>
        <w:t>DETERMINACIÓN DEL MÉTODO PARA LA PONDERACIÓN DE LA PROPUESTA ECONÓMICA</w:t>
      </w:r>
    </w:p>
    <w:p w14:paraId="42BE865F" w14:textId="77777777" w:rsidR="002122A6" w:rsidRPr="00974813" w:rsidRDefault="002122A6" w:rsidP="00974813">
      <w:pPr>
        <w:pStyle w:val="Textonotapie"/>
        <w:ind w:firstLine="708"/>
        <w:jc w:val="both"/>
        <w:rPr>
          <w:rFonts w:ascii="Arial" w:hAnsi="Arial" w:cs="Arial"/>
          <w:sz w:val="19"/>
          <w:szCs w:val="19"/>
        </w:rPr>
      </w:pPr>
      <w:r w:rsidRPr="00974813">
        <w:rPr>
          <w:rFonts w:ascii="Arial" w:hAnsi="Arial" w:cs="Arial"/>
          <w:sz w:val="19"/>
          <w:szCs w:val="19"/>
        </w:rPr>
        <w:t>[…]</w:t>
      </w:r>
    </w:p>
    <w:p w14:paraId="2235B2F8" w14:textId="77777777" w:rsidR="002122A6" w:rsidRPr="00974813" w:rsidRDefault="002122A6" w:rsidP="00974813">
      <w:pPr>
        <w:pStyle w:val="Textonotapie"/>
        <w:ind w:firstLine="708"/>
        <w:jc w:val="both"/>
        <w:rPr>
          <w:rFonts w:ascii="Arial" w:hAnsi="Arial" w:cs="Arial"/>
          <w:sz w:val="19"/>
          <w:szCs w:val="19"/>
        </w:rPr>
      </w:pPr>
      <w:proofErr w:type="gramStart"/>
      <w:r w:rsidRPr="00974813">
        <w:rPr>
          <w:rFonts w:ascii="Arial" w:hAnsi="Arial" w:cs="Arial"/>
          <w:sz w:val="19"/>
          <w:szCs w:val="19"/>
        </w:rPr>
        <w:t>»Para</w:t>
      </w:r>
      <w:proofErr w:type="gramEnd"/>
      <w:r w:rsidRPr="00974813">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w:t>
      </w:r>
      <w:hyperlink r:id="rId1" w:history="1">
        <w:r w:rsidRPr="00974813">
          <w:rPr>
            <w:rStyle w:val="Hipervnculo"/>
            <w:rFonts w:ascii="Arial" w:hAnsi="Arial" w:cs="Arial"/>
            <w:sz w:val="19"/>
            <w:szCs w:val="19"/>
          </w:rPr>
          <w:t>https://www.superfinanciera.gov.co/publicacion/60819</w:t>
        </w:r>
      </w:hyperlink>
      <w:r w:rsidRPr="00974813">
        <w:rPr>
          <w:rFonts w:ascii="Arial" w:hAnsi="Arial" w:cs="Arial"/>
          <w:sz w:val="19"/>
          <w:szCs w:val="19"/>
        </w:rPr>
        <w:t>)</w:t>
      </w:r>
    </w:p>
    <w:p w14:paraId="011FA060"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»El</w:t>
      </w:r>
      <w:proofErr w:type="gramEnd"/>
      <w:r w:rsidRPr="00974813">
        <w:rPr>
          <w:rFonts w:ascii="Arial" w:hAnsi="Arial" w:cs="Arial"/>
          <w:sz w:val="19"/>
          <w:szCs w:val="19"/>
        </w:rPr>
        <w:t xml:space="preserve">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355832E8"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»En</w:t>
      </w:r>
      <w:proofErr w:type="gramEnd"/>
      <w:r w:rsidRPr="00974813">
        <w:rPr>
          <w:rFonts w:ascii="Arial" w:hAnsi="Arial" w:cs="Arial"/>
          <w:sz w:val="19"/>
          <w:szCs w:val="19"/>
        </w:rPr>
        <w:t xml:space="preserve"> el evento que la entidad deba suspender la audiencia por cualquier motivo, se tendrá como método de ponderación el que rija el día hábil siguiente del día en que efectivamente realice la apertura del segundo sobre. </w:t>
      </w:r>
    </w:p>
    <w:p w14:paraId="13A5B252"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»En</w:t>
      </w:r>
      <w:proofErr w:type="gramEnd"/>
      <w:r w:rsidRPr="00974813">
        <w:rPr>
          <w:rFonts w:ascii="Arial" w:hAnsi="Arial" w:cs="Arial"/>
          <w:sz w:val="19"/>
          <w:szCs w:val="19"/>
        </w:rPr>
        <w:t xml:space="preserve">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56B6B011" w14:textId="77777777" w:rsidR="002122A6" w:rsidRPr="00974813" w:rsidRDefault="002122A6">
      <w:pPr>
        <w:pStyle w:val="Textonotapie"/>
        <w:ind w:firstLine="708"/>
        <w:jc w:val="both"/>
        <w:rPr>
          <w:rFonts w:ascii="Arial" w:hAnsi="Arial" w:cs="Arial"/>
          <w:sz w:val="19"/>
          <w:szCs w:val="19"/>
        </w:rPr>
      </w:pPr>
      <w:r w:rsidRPr="00974813">
        <w:rPr>
          <w:rFonts w:ascii="Arial" w:hAnsi="Arial" w:cs="Arial"/>
          <w:sz w:val="19"/>
          <w:szCs w:val="19"/>
        </w:rPr>
        <w:t>»[…]</w:t>
      </w:r>
    </w:p>
    <w:p w14:paraId="398D6E2E"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»El</w:t>
      </w:r>
      <w:proofErr w:type="gramEnd"/>
      <w:r w:rsidRPr="00974813">
        <w:rPr>
          <w:rFonts w:ascii="Arial" w:hAnsi="Arial" w:cs="Arial"/>
          <w:sz w:val="19"/>
          <w:szCs w:val="19"/>
        </w:rPr>
        <w:t xml:space="preserve">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934"/>
        <w:gridCol w:w="2503"/>
      </w:tblGrid>
      <w:tr w:rsidR="002122A6" w:rsidRPr="00974813" w14:paraId="34CC635C" w14:textId="77777777">
        <w:trPr>
          <w:trHeight w:val="20"/>
          <w:tblHeader/>
          <w:jc w:val="center"/>
        </w:trPr>
        <w:tc>
          <w:tcPr>
            <w:tcW w:w="2137"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1C8AF62" w14:textId="77777777" w:rsidR="002122A6" w:rsidRPr="00974813" w:rsidRDefault="002122A6" w:rsidP="00005BBF">
            <w:pPr>
              <w:spacing w:after="0" w:line="276" w:lineRule="auto"/>
              <w:jc w:val="both"/>
              <w:rPr>
                <w:rFonts w:ascii="Arial" w:eastAsia="Arial,Calibri" w:hAnsi="Arial" w:cs="Arial"/>
                <w:b/>
                <w:bCs/>
                <w:sz w:val="19"/>
                <w:szCs w:val="19"/>
              </w:rPr>
            </w:pPr>
            <w:r w:rsidRPr="00974813">
              <w:rPr>
                <w:rFonts w:ascii="Arial" w:hAnsi="Arial" w:cs="Arial"/>
                <w:b/>
                <w:bCs/>
                <w:sz w:val="19"/>
                <w:szCs w:val="19"/>
              </w:rPr>
              <w:t>Rango</w:t>
            </w:r>
            <w:r w:rsidRPr="00974813">
              <w:rPr>
                <w:rFonts w:ascii="Arial" w:eastAsia="Arial,Calibri" w:hAnsi="Arial" w:cs="Arial"/>
                <w:b/>
                <w:bCs/>
                <w:sz w:val="19"/>
                <w:szCs w:val="19"/>
              </w:rPr>
              <w:t xml:space="preserve"> </w:t>
            </w:r>
            <w:r w:rsidRPr="00974813">
              <w:rPr>
                <w:rFonts w:ascii="Arial" w:hAnsi="Arial" w:cs="Arial"/>
                <w:b/>
                <w:bCs/>
                <w:sz w:val="19"/>
                <w:szCs w:val="19"/>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AFCFFD2" w14:textId="77777777" w:rsidR="002122A6" w:rsidRPr="00974813" w:rsidRDefault="002122A6" w:rsidP="00005BBF">
            <w:pPr>
              <w:spacing w:after="0" w:line="276" w:lineRule="auto"/>
              <w:jc w:val="both"/>
              <w:rPr>
                <w:rFonts w:ascii="Arial" w:eastAsia="Arial,Calibri" w:hAnsi="Arial" w:cs="Arial"/>
                <w:b/>
                <w:bCs/>
                <w:sz w:val="19"/>
                <w:szCs w:val="19"/>
              </w:rPr>
            </w:pPr>
            <w:r w:rsidRPr="00974813">
              <w:rPr>
                <w:rFonts w:ascii="Arial" w:hAnsi="Arial" w:cs="Arial"/>
                <w:b/>
                <w:bCs/>
                <w:sz w:val="19"/>
                <w:szCs w:val="19"/>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26EEDE21" w14:textId="77777777" w:rsidR="002122A6" w:rsidRPr="00974813" w:rsidRDefault="002122A6" w:rsidP="00005BBF">
            <w:pPr>
              <w:spacing w:after="0" w:line="276" w:lineRule="auto"/>
              <w:jc w:val="both"/>
              <w:rPr>
                <w:rFonts w:ascii="Arial" w:eastAsia="Arial,Calibri" w:hAnsi="Arial" w:cs="Arial"/>
                <w:b/>
                <w:bCs/>
                <w:sz w:val="19"/>
                <w:szCs w:val="19"/>
              </w:rPr>
            </w:pPr>
            <w:r w:rsidRPr="00974813">
              <w:rPr>
                <w:rFonts w:ascii="Arial" w:hAnsi="Arial" w:cs="Arial"/>
                <w:b/>
                <w:bCs/>
                <w:sz w:val="19"/>
                <w:szCs w:val="19"/>
              </w:rPr>
              <w:t>Método</w:t>
            </w:r>
          </w:p>
        </w:tc>
      </w:tr>
      <w:tr w:rsidR="002122A6" w:rsidRPr="00974813" w14:paraId="71DC99A9" w14:textId="77777777">
        <w:trPr>
          <w:trHeight w:val="20"/>
          <w:jc w:val="center"/>
        </w:trPr>
        <w:tc>
          <w:tcPr>
            <w:tcW w:w="2137" w:type="dxa"/>
            <w:tcBorders>
              <w:top w:val="single" w:sz="4" w:space="0" w:color="auto"/>
              <w:left w:val="double" w:sz="4" w:space="0" w:color="auto"/>
              <w:bottom w:val="single" w:sz="4" w:space="0" w:color="auto"/>
              <w:right w:val="single" w:sz="4" w:space="0" w:color="auto"/>
            </w:tcBorders>
            <w:vAlign w:val="center"/>
            <w:hideMark/>
          </w:tcPr>
          <w:p w14:paraId="200C80AD"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AB12A2E" w14:textId="77777777" w:rsidR="002122A6" w:rsidRPr="00974813" w:rsidRDefault="002122A6" w:rsidP="00005BBF">
            <w:pPr>
              <w:spacing w:after="0" w:line="276" w:lineRule="auto"/>
              <w:jc w:val="both"/>
              <w:rPr>
                <w:rFonts w:ascii="Arial" w:eastAsia="Arial,Times New Roman" w:hAnsi="Arial" w:cs="Arial"/>
                <w:sz w:val="19"/>
                <w:szCs w:val="19"/>
                <w:lang w:val="es-ES" w:eastAsia="es-CO"/>
              </w:rPr>
            </w:pPr>
            <w:r w:rsidRPr="00974813">
              <w:rPr>
                <w:rFonts w:ascii="Arial" w:hAnsi="Arial" w:cs="Arial"/>
                <w:sz w:val="19"/>
                <w:szCs w:val="19"/>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9ABE0D2" w14:textId="77777777" w:rsidR="002122A6" w:rsidRPr="00974813" w:rsidRDefault="002122A6" w:rsidP="00005BBF">
            <w:pPr>
              <w:spacing w:after="0" w:line="276" w:lineRule="auto"/>
              <w:jc w:val="both"/>
              <w:rPr>
                <w:rFonts w:ascii="Arial" w:eastAsia="Arial,Times New Roman" w:hAnsi="Arial" w:cs="Arial"/>
                <w:sz w:val="19"/>
                <w:szCs w:val="19"/>
                <w:lang w:val="es-ES" w:eastAsia="es-CO"/>
              </w:rPr>
            </w:pPr>
            <w:r w:rsidRPr="00974813">
              <w:rPr>
                <w:rFonts w:ascii="Arial" w:hAnsi="Arial" w:cs="Arial"/>
                <w:sz w:val="19"/>
                <w:szCs w:val="19"/>
                <w:lang w:val="es-ES" w:eastAsia="es-CO"/>
              </w:rPr>
              <w:t>Mediana con valor absoluto</w:t>
            </w:r>
          </w:p>
        </w:tc>
      </w:tr>
      <w:tr w:rsidR="002122A6" w:rsidRPr="00974813" w14:paraId="10CD899C" w14:textId="77777777">
        <w:trPr>
          <w:trHeight w:val="41"/>
          <w:jc w:val="center"/>
        </w:trPr>
        <w:tc>
          <w:tcPr>
            <w:tcW w:w="2137" w:type="dxa"/>
            <w:tcBorders>
              <w:top w:val="single" w:sz="4" w:space="0" w:color="auto"/>
              <w:left w:val="double" w:sz="4" w:space="0" w:color="auto"/>
              <w:bottom w:val="single" w:sz="4" w:space="0" w:color="auto"/>
              <w:right w:val="single" w:sz="4" w:space="0" w:color="auto"/>
            </w:tcBorders>
            <w:vAlign w:val="center"/>
            <w:hideMark/>
          </w:tcPr>
          <w:p w14:paraId="36FFE7E3"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26FB886" w14:textId="77777777" w:rsidR="002122A6" w:rsidRPr="00974813" w:rsidRDefault="002122A6" w:rsidP="00005BBF">
            <w:pPr>
              <w:spacing w:after="0" w:line="276" w:lineRule="auto"/>
              <w:jc w:val="both"/>
              <w:rPr>
                <w:rFonts w:ascii="Arial" w:eastAsia="Arial,Times New Roman" w:hAnsi="Arial" w:cs="Arial"/>
                <w:sz w:val="19"/>
                <w:szCs w:val="19"/>
                <w:lang w:val="es-ES" w:eastAsia="es-CO"/>
              </w:rPr>
            </w:pPr>
            <w:r w:rsidRPr="00974813">
              <w:rPr>
                <w:rFonts w:ascii="Arial" w:eastAsia="Arial,Times New Roman" w:hAnsi="Arial" w:cs="Arial"/>
                <w:sz w:val="19"/>
                <w:szCs w:val="19"/>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306A3FA" w14:textId="77777777" w:rsidR="002122A6" w:rsidRPr="00974813" w:rsidRDefault="002122A6" w:rsidP="00005BBF">
            <w:pPr>
              <w:spacing w:after="0" w:line="276" w:lineRule="auto"/>
              <w:jc w:val="both"/>
              <w:rPr>
                <w:rFonts w:ascii="Arial" w:eastAsia="Arial,Times New Roman" w:hAnsi="Arial" w:cs="Arial"/>
                <w:sz w:val="19"/>
                <w:szCs w:val="19"/>
                <w:lang w:val="es-ES" w:eastAsia="es-CO"/>
              </w:rPr>
            </w:pPr>
            <w:r w:rsidRPr="00974813">
              <w:rPr>
                <w:rFonts w:ascii="Arial" w:hAnsi="Arial" w:cs="Arial"/>
                <w:sz w:val="19"/>
                <w:szCs w:val="19"/>
                <w:lang w:val="es-ES" w:eastAsia="es-CO"/>
              </w:rPr>
              <w:t>Media geométrica</w:t>
            </w:r>
          </w:p>
        </w:tc>
      </w:tr>
      <w:tr w:rsidR="002122A6" w:rsidRPr="00974813" w14:paraId="57AAEE6A" w14:textId="77777777">
        <w:trPr>
          <w:trHeight w:val="20"/>
          <w:jc w:val="center"/>
        </w:trPr>
        <w:tc>
          <w:tcPr>
            <w:tcW w:w="2137" w:type="dxa"/>
            <w:tcBorders>
              <w:top w:val="single" w:sz="4" w:space="0" w:color="auto"/>
              <w:left w:val="double" w:sz="4" w:space="0" w:color="auto"/>
              <w:bottom w:val="single" w:sz="4" w:space="0" w:color="auto"/>
              <w:right w:val="single" w:sz="4" w:space="0" w:color="auto"/>
            </w:tcBorders>
            <w:vAlign w:val="center"/>
            <w:hideMark/>
          </w:tcPr>
          <w:p w14:paraId="3824ECB4"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9996B8"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E380F2C"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Media aritmética baja</w:t>
            </w:r>
          </w:p>
        </w:tc>
      </w:tr>
      <w:tr w:rsidR="002122A6" w:rsidRPr="00974813" w14:paraId="1135B332" w14:textId="77777777">
        <w:trPr>
          <w:trHeight w:val="20"/>
          <w:jc w:val="center"/>
        </w:trPr>
        <w:tc>
          <w:tcPr>
            <w:tcW w:w="2137" w:type="dxa"/>
            <w:tcBorders>
              <w:top w:val="single" w:sz="4" w:space="0" w:color="auto"/>
              <w:left w:val="double" w:sz="4" w:space="0" w:color="auto"/>
              <w:bottom w:val="single" w:sz="4" w:space="0" w:color="auto"/>
              <w:right w:val="single" w:sz="4" w:space="0" w:color="auto"/>
            </w:tcBorders>
            <w:vAlign w:val="center"/>
            <w:hideMark/>
          </w:tcPr>
          <w:p w14:paraId="538933C5"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De 0.75 a 0.99</w:t>
            </w:r>
          </w:p>
        </w:tc>
        <w:tc>
          <w:tcPr>
            <w:tcW w:w="899" w:type="dxa"/>
            <w:tcBorders>
              <w:top w:val="single" w:sz="4" w:space="0" w:color="auto"/>
              <w:left w:val="single" w:sz="4" w:space="0" w:color="auto"/>
              <w:bottom w:val="single" w:sz="4" w:space="0" w:color="auto"/>
              <w:right w:val="single" w:sz="4" w:space="0" w:color="auto"/>
            </w:tcBorders>
            <w:vAlign w:val="center"/>
            <w:hideMark/>
          </w:tcPr>
          <w:p w14:paraId="5193EF8C"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4</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359A5AD" w14:textId="77777777" w:rsidR="002122A6" w:rsidRPr="00974813" w:rsidRDefault="002122A6" w:rsidP="00005BBF">
            <w:pPr>
              <w:spacing w:after="0" w:line="276" w:lineRule="auto"/>
              <w:jc w:val="both"/>
              <w:rPr>
                <w:rFonts w:ascii="Arial" w:hAnsi="Arial" w:cs="Arial"/>
                <w:sz w:val="19"/>
                <w:szCs w:val="19"/>
                <w:lang w:val="es-ES" w:eastAsia="es-CO"/>
              </w:rPr>
            </w:pPr>
            <w:r w:rsidRPr="00974813">
              <w:rPr>
                <w:rFonts w:ascii="Arial" w:hAnsi="Arial" w:cs="Arial"/>
                <w:sz w:val="19"/>
                <w:szCs w:val="19"/>
                <w:lang w:val="es-ES" w:eastAsia="es-CO"/>
              </w:rPr>
              <w:t>Menor valor</w:t>
            </w:r>
          </w:p>
        </w:tc>
      </w:tr>
    </w:tbl>
    <w:p w14:paraId="5428345E" w14:textId="169D48AD" w:rsidR="002122A6" w:rsidRDefault="002122A6" w:rsidP="00974813">
      <w:pPr>
        <w:pStyle w:val="Textonotapie"/>
        <w:ind w:firstLine="708"/>
        <w:jc w:val="both"/>
        <w:rPr>
          <w:rFonts w:ascii="Arial" w:hAnsi="Arial" w:cs="Arial"/>
          <w:sz w:val="19"/>
          <w:szCs w:val="19"/>
        </w:rPr>
      </w:pPr>
      <w:proofErr w:type="gramStart"/>
      <w:r w:rsidRPr="00974813">
        <w:rPr>
          <w:rFonts w:ascii="Arial" w:hAnsi="Arial" w:cs="Arial"/>
          <w:sz w:val="19"/>
          <w:szCs w:val="19"/>
        </w:rPr>
        <w:t>»Para</w:t>
      </w:r>
      <w:proofErr w:type="gramEnd"/>
      <w:r w:rsidRPr="00974813">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w:t>
      </w:r>
      <w:hyperlink r:id="rId2" w:history="1">
        <w:r w:rsidR="00974813" w:rsidRPr="00005BBF">
          <w:rPr>
            <w:rStyle w:val="Hipervnculo"/>
          </w:rPr>
          <w:t>https://www.superfinanciera.gov.co/publicacion/60819)»</w:t>
        </w:r>
      </w:hyperlink>
      <w:r w:rsidRPr="00974813">
        <w:rPr>
          <w:rFonts w:ascii="Arial" w:hAnsi="Arial" w:cs="Arial"/>
          <w:sz w:val="19"/>
          <w:szCs w:val="19"/>
        </w:rPr>
        <w:t xml:space="preserve">. </w:t>
      </w:r>
    </w:p>
    <w:p w14:paraId="511671FB" w14:textId="77777777" w:rsidR="00974813" w:rsidRPr="00974813" w:rsidRDefault="00974813">
      <w:pPr>
        <w:pStyle w:val="Textonotapie"/>
        <w:ind w:firstLine="708"/>
        <w:jc w:val="both"/>
        <w:rPr>
          <w:rFonts w:ascii="Arial" w:hAnsi="Arial" w:cs="Arial"/>
          <w:sz w:val="19"/>
          <w:szCs w:val="19"/>
        </w:rPr>
      </w:pPr>
    </w:p>
  </w:footnote>
  <w:footnote w:id="2">
    <w:p w14:paraId="256DE4A0" w14:textId="28FC235A" w:rsidR="002122A6" w:rsidRPr="000B6421" w:rsidRDefault="002122A6" w:rsidP="00005BBF">
      <w:pPr>
        <w:pStyle w:val="Ttulo2"/>
        <w:spacing w:before="0"/>
        <w:ind w:left="357"/>
        <w:jc w:val="both"/>
        <w:rPr>
          <w:rFonts w:ascii="Arial" w:hAnsi="Arial" w:cs="Arial"/>
          <w:color w:val="auto"/>
          <w:sz w:val="19"/>
          <w:szCs w:val="19"/>
        </w:rPr>
      </w:pPr>
      <w:r w:rsidRPr="00974813">
        <w:rPr>
          <w:rStyle w:val="Refdenotaalpie"/>
          <w:rFonts w:ascii="Arial" w:hAnsi="Arial" w:cs="Arial"/>
          <w:b/>
          <w:bCs/>
          <w:color w:val="auto"/>
          <w:sz w:val="19"/>
          <w:szCs w:val="19"/>
        </w:rPr>
        <w:footnoteRef/>
      </w:r>
      <w:r w:rsidRPr="00974813">
        <w:rPr>
          <w:rFonts w:ascii="Arial" w:hAnsi="Arial" w:cs="Arial"/>
          <w:b/>
          <w:bCs/>
          <w:color w:val="auto"/>
          <w:sz w:val="19"/>
          <w:szCs w:val="19"/>
        </w:rPr>
        <w:t xml:space="preserve"> </w:t>
      </w:r>
      <w:r w:rsidRPr="00005BBF">
        <w:rPr>
          <w:rFonts w:ascii="Arial" w:hAnsi="Arial" w:cs="Arial"/>
          <w:caps/>
          <w:color w:val="auto"/>
          <w:sz w:val="19"/>
          <w:szCs w:val="19"/>
        </w:rPr>
        <w:t xml:space="preserve">Resolución No. 240 de 2020. Documento Base: </w:t>
      </w:r>
      <w:r w:rsidRPr="00005BBF">
        <w:rPr>
          <w:rFonts w:ascii="Arial" w:hAnsi="Arial" w:cs="Arial"/>
          <w:color w:val="auto"/>
          <w:sz w:val="19"/>
          <w:szCs w:val="19"/>
        </w:rPr>
        <w:t xml:space="preserve">«2.4. </w:t>
      </w:r>
      <w:bookmarkStart w:id="1" w:name="_Toc57727263"/>
      <w:r w:rsidRPr="00005BBF">
        <w:rPr>
          <w:rFonts w:ascii="Arial" w:hAnsi="Arial" w:cs="Arial"/>
          <w:caps/>
          <w:color w:val="auto"/>
          <w:sz w:val="19"/>
          <w:szCs w:val="19"/>
        </w:rPr>
        <w:t>CIERRE DEL PROCESO Y APERTURA DE OFERTAS</w:t>
      </w:r>
      <w:bookmarkEnd w:id="1"/>
    </w:p>
    <w:p w14:paraId="03E885E0"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highlight w:val="lightGray"/>
        </w:rPr>
        <w:t>»[</w:t>
      </w:r>
      <w:proofErr w:type="gramEnd"/>
      <w:r w:rsidRPr="00974813">
        <w:rPr>
          <w:rFonts w:ascii="Arial" w:hAnsi="Arial" w:cs="Arial"/>
          <w:sz w:val="19"/>
          <w:szCs w:val="19"/>
          <w:highlight w:val="lightGray"/>
        </w:rPr>
        <w:t>Incluir para los procesos de contratación adelantados por SECOP I]</w:t>
      </w:r>
    </w:p>
    <w:p w14:paraId="0A649B40" w14:textId="77777777" w:rsidR="002122A6" w:rsidRPr="00974813" w:rsidRDefault="002122A6" w:rsidP="00005BBF">
      <w:pPr>
        <w:spacing w:after="0"/>
        <w:ind w:firstLine="708"/>
        <w:jc w:val="both"/>
        <w:rPr>
          <w:rFonts w:ascii="Arial" w:hAnsi="Arial" w:cs="Arial"/>
          <w:sz w:val="19"/>
          <w:szCs w:val="19"/>
        </w:rPr>
      </w:pPr>
      <w:r w:rsidRPr="00974813">
        <w:rPr>
          <w:rFonts w:ascii="Arial" w:hAnsi="Arial" w:cs="Arial"/>
          <w:sz w:val="19"/>
          <w:szCs w:val="19"/>
        </w:rPr>
        <w:t>[…]</w:t>
      </w:r>
    </w:p>
    <w:p w14:paraId="50A4948E"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»Un</w:t>
      </w:r>
      <w:proofErr w:type="gramEnd"/>
      <w:r w:rsidRPr="00974813">
        <w:rPr>
          <w:rFonts w:ascii="Arial" w:hAnsi="Arial" w:cs="Arial"/>
          <w:sz w:val="19"/>
          <w:szCs w:val="19"/>
        </w:rPr>
        <w:t xml:space="preserve">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en un lugar idóneo este sobre o la bolsa de seguridad para garantizar su seguridad. </w:t>
      </w:r>
    </w:p>
    <w:p w14:paraId="54E3EF2A"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»En</w:t>
      </w:r>
      <w:proofErr w:type="gramEnd"/>
      <w:r w:rsidRPr="00974813">
        <w:rPr>
          <w:rFonts w:ascii="Arial" w:hAnsi="Arial" w:cs="Arial"/>
          <w:sz w:val="19"/>
          <w:szCs w:val="19"/>
        </w:rPr>
        <w:t xml:space="preserve"> la apertura del Sobre No. 2, la entidad estatal permitirá tomar fotos a las ofertas económicas, si así lo solicita cualquier proponente </w:t>
      </w:r>
    </w:p>
    <w:p w14:paraId="475B0775" w14:textId="77777777" w:rsidR="002122A6" w:rsidRPr="00974813" w:rsidRDefault="002122A6" w:rsidP="00005BBF">
      <w:pPr>
        <w:spacing w:after="0"/>
        <w:ind w:firstLine="708"/>
        <w:jc w:val="both"/>
        <w:rPr>
          <w:rFonts w:ascii="Arial" w:hAnsi="Arial" w:cs="Arial"/>
          <w:sz w:val="19"/>
          <w:szCs w:val="19"/>
        </w:rPr>
      </w:pPr>
      <w:r w:rsidRPr="00974813">
        <w:rPr>
          <w:rFonts w:ascii="Arial" w:hAnsi="Arial" w:cs="Arial"/>
          <w:sz w:val="19"/>
          <w:szCs w:val="19"/>
        </w:rPr>
        <w:t>[…]</w:t>
      </w:r>
    </w:p>
    <w:p w14:paraId="0A39EE3F" w14:textId="77777777" w:rsidR="002122A6" w:rsidRPr="00974813" w:rsidRDefault="002122A6" w:rsidP="00005BBF">
      <w:pPr>
        <w:spacing w:after="0"/>
        <w:ind w:firstLine="708"/>
        <w:jc w:val="both"/>
        <w:rPr>
          <w:rFonts w:ascii="Arial" w:hAnsi="Arial" w:cs="Arial"/>
          <w:sz w:val="19"/>
          <w:szCs w:val="19"/>
        </w:rPr>
      </w:pPr>
      <w:r w:rsidRPr="00974813">
        <w:rPr>
          <w:rFonts w:ascii="Arial" w:hAnsi="Arial" w:cs="Arial"/>
          <w:sz w:val="19"/>
          <w:szCs w:val="19"/>
        </w:rPr>
        <w:t>»2.6.</w:t>
      </w:r>
      <w:r w:rsidRPr="00974813">
        <w:rPr>
          <w:rFonts w:ascii="Arial" w:hAnsi="Arial" w:cs="Arial"/>
          <w:sz w:val="19"/>
          <w:szCs w:val="19"/>
        </w:rPr>
        <w:tab/>
        <w:t>AUDIENCIA EFECTIVA DE ADJUDICACIÓN</w:t>
      </w:r>
    </w:p>
    <w:p w14:paraId="6B759916"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»En</w:t>
      </w:r>
      <w:proofErr w:type="gramEnd"/>
      <w:r w:rsidRPr="00974813">
        <w:rPr>
          <w:rFonts w:ascii="Arial" w:hAnsi="Arial" w:cs="Arial"/>
          <w:sz w:val="19"/>
          <w:szCs w:val="19"/>
        </w:rPr>
        <w:t xml:space="preserve"> la fecha establecida en el Anexo 2 – Cronograma, la entidad procederá a la instalación y desarrollo de la audiencia efectiva de adjudicación, sin perjuicio de la utilización de los medios virtuales que garanticen la participación y la interacción de los interesados con la entidad contratante.</w:t>
      </w:r>
    </w:p>
    <w:p w14:paraId="197ED5A9"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»Al</w:t>
      </w:r>
      <w:proofErr w:type="gramEnd"/>
      <w:r w:rsidRPr="00974813">
        <w:rPr>
          <w:rFonts w:ascii="Arial" w:hAnsi="Arial" w:cs="Arial"/>
          <w:sz w:val="19"/>
          <w:szCs w:val="19"/>
        </w:rPr>
        <w:t xml:space="preserve">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31D760D4"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»Resueltas</w:t>
      </w:r>
      <w:proofErr w:type="gramEnd"/>
      <w:r w:rsidRPr="00974813">
        <w:rPr>
          <w:rFonts w:ascii="Arial" w:hAnsi="Arial" w:cs="Arial"/>
          <w:sz w:val="19"/>
          <w:szCs w:val="19"/>
        </w:rPr>
        <w:t xml:space="preserve"> las observaciones frente al informe de evaluación, en caso de que haya lugar a ello, la entidad procederá a dar apertura al Sobre 2 de los proponentes habilitados y evaluará la oferta económica a través del mecanismo escogido mediante el método aleatorio que resulte aplicable de conformidad con lo establecido en el numeral 4.1. del presente pliego de condiciones. Posteriormente, se correrá traslado a los proponentes habilitados solo para la revisión del aspecto económico y se definirá el orden de elegibilidad. </w:t>
      </w:r>
    </w:p>
    <w:p w14:paraId="2EAA73D7" w14:textId="77777777" w:rsidR="002122A6" w:rsidRPr="00974813" w:rsidRDefault="002122A6" w:rsidP="00005BBF">
      <w:pPr>
        <w:spacing w:after="0"/>
        <w:ind w:firstLine="708"/>
        <w:jc w:val="both"/>
        <w:rPr>
          <w:rFonts w:ascii="Arial" w:hAnsi="Arial" w:cs="Arial"/>
          <w:sz w:val="19"/>
          <w:szCs w:val="19"/>
        </w:rPr>
      </w:pPr>
      <w:proofErr w:type="gramStart"/>
      <w:r w:rsidRPr="00974813">
        <w:rPr>
          <w:rFonts w:ascii="Arial" w:hAnsi="Arial" w:cs="Arial"/>
          <w:sz w:val="19"/>
          <w:szCs w:val="19"/>
        </w:rPr>
        <w:t>»El</w:t>
      </w:r>
      <w:proofErr w:type="gramEnd"/>
      <w:r w:rsidRPr="00974813">
        <w:rPr>
          <w:rFonts w:ascii="Arial" w:hAnsi="Arial" w:cs="Arial"/>
          <w:sz w:val="19"/>
          <w:szCs w:val="19"/>
        </w:rPr>
        <w:t xml:space="preserve"> orden de elegibilidad se establecerá a través de la sumatoria de los puntajes obtenidos por las propuestas para cada uno de los criterios establecidos en el “CAPÍTULO IV” y ordenados de mayor a menor […]».</w:t>
      </w:r>
    </w:p>
    <w:p w14:paraId="5C2ADC3D" w14:textId="77777777" w:rsidR="002122A6" w:rsidRPr="00974813" w:rsidRDefault="002122A6">
      <w:pPr>
        <w:pStyle w:val="Textonotapie"/>
        <w:ind w:firstLine="708"/>
        <w:jc w:val="both"/>
        <w:rPr>
          <w:rFonts w:ascii="Arial" w:hAnsi="Arial" w:cs="Arial"/>
          <w:sz w:val="19"/>
          <w:szCs w:val="19"/>
        </w:rPr>
      </w:pPr>
    </w:p>
  </w:footnote>
  <w:footnote w:id="3">
    <w:p w14:paraId="2E785005" w14:textId="15E57A1B" w:rsidR="00B02839" w:rsidRPr="00005BBF" w:rsidRDefault="00B02839">
      <w:pPr>
        <w:pStyle w:val="Textonotapie"/>
        <w:ind w:firstLine="708"/>
        <w:jc w:val="both"/>
        <w:rPr>
          <w:rFonts w:ascii="Arial" w:hAnsi="Arial" w:cs="Arial"/>
          <w:sz w:val="19"/>
          <w:szCs w:val="19"/>
        </w:rPr>
      </w:pPr>
      <w:r w:rsidRPr="00005BBF">
        <w:rPr>
          <w:rStyle w:val="Refdenotaalpie"/>
          <w:rFonts w:ascii="Arial" w:hAnsi="Arial" w:cs="Arial"/>
          <w:sz w:val="19"/>
          <w:szCs w:val="19"/>
        </w:rPr>
        <w:footnoteRef/>
      </w:r>
      <w:r w:rsidRPr="00005BBF">
        <w:rPr>
          <w:rFonts w:ascii="Arial" w:hAnsi="Arial" w:cs="Arial"/>
          <w:sz w:val="19"/>
          <w:szCs w:val="19"/>
        </w:rPr>
        <w:t xml:space="preserve"> La mencionada Guía se encuentra publicada en el siguiente </w:t>
      </w:r>
      <w:proofErr w:type="gramStart"/>
      <w:r w:rsidRPr="00005BBF">
        <w:rPr>
          <w:rFonts w:ascii="Arial" w:hAnsi="Arial" w:cs="Arial"/>
          <w:sz w:val="19"/>
          <w:szCs w:val="19"/>
        </w:rPr>
        <w:t>link</w:t>
      </w:r>
      <w:proofErr w:type="gramEnd"/>
      <w:r w:rsidRPr="00005BBF">
        <w:rPr>
          <w:rFonts w:ascii="Arial" w:hAnsi="Arial" w:cs="Arial"/>
          <w:sz w:val="19"/>
          <w:szCs w:val="19"/>
        </w:rPr>
        <w:t>:</w:t>
      </w:r>
      <w:r w:rsidR="0019601D" w:rsidRPr="00005BBF">
        <w:rPr>
          <w:rFonts w:ascii="Arial" w:hAnsi="Arial" w:cs="Arial"/>
          <w:sz w:val="19"/>
          <w:szCs w:val="19"/>
        </w:rPr>
        <w:t xml:space="preserve"> </w:t>
      </w:r>
      <w:hyperlink r:id="rId3" w:history="1">
        <w:r w:rsidR="0019601D" w:rsidRPr="00005BBF">
          <w:rPr>
            <w:rStyle w:val="Hipervnculo"/>
            <w:rFonts w:ascii="Arial" w:hAnsi="Arial" w:cs="Arial"/>
            <w:sz w:val="19"/>
            <w:szCs w:val="19"/>
          </w:rPr>
          <w:t>https://www.colombiacompra.gov.co/sites/cce_public/files/cce_step/20190820guiamslicitacionpublicaobraentidadestatalv9.pdf</w:t>
        </w:r>
      </w:hyperlink>
      <w:r w:rsidR="0019601D" w:rsidRPr="00005BBF">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0C31" w14:textId="107B4EFE" w:rsidR="00ED74B4" w:rsidRDefault="00ED74B4">
    <w:pPr>
      <w:pStyle w:val="Encabezado"/>
    </w:pPr>
    <w:r>
      <w:rPr>
        <w:noProof/>
        <w:lang w:val="en-US"/>
      </w:rPr>
      <w:drawing>
        <wp:anchor distT="0" distB="0" distL="114300" distR="114300" simplePos="0" relativeHeight="251659264" behindDoc="1" locked="0" layoutInCell="1" allowOverlap="1" wp14:anchorId="65922B95" wp14:editId="787B4B29">
          <wp:simplePos x="0" y="0"/>
          <wp:positionH relativeFrom="column">
            <wp:posOffset>4283010</wp:posOffset>
          </wp:positionH>
          <wp:positionV relativeFrom="paragraph">
            <wp:posOffset>-171572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BC"/>
    <w:rsid w:val="00003C6B"/>
    <w:rsid w:val="00005BBF"/>
    <w:rsid w:val="000176B6"/>
    <w:rsid w:val="00085DBE"/>
    <w:rsid w:val="000B1405"/>
    <w:rsid w:val="000B6421"/>
    <w:rsid w:val="000C7F55"/>
    <w:rsid w:val="000D3AF3"/>
    <w:rsid w:val="000F0E25"/>
    <w:rsid w:val="0012150B"/>
    <w:rsid w:val="00126FD1"/>
    <w:rsid w:val="0015559E"/>
    <w:rsid w:val="001564B1"/>
    <w:rsid w:val="00181FF0"/>
    <w:rsid w:val="0019601D"/>
    <w:rsid w:val="001A005D"/>
    <w:rsid w:val="001B0E11"/>
    <w:rsid w:val="001C2AF9"/>
    <w:rsid w:val="001D0725"/>
    <w:rsid w:val="001F20F5"/>
    <w:rsid w:val="00206A01"/>
    <w:rsid w:val="002122A6"/>
    <w:rsid w:val="00222DCE"/>
    <w:rsid w:val="0023271E"/>
    <w:rsid w:val="0024197D"/>
    <w:rsid w:val="002645CF"/>
    <w:rsid w:val="00264C86"/>
    <w:rsid w:val="002832C0"/>
    <w:rsid w:val="002860F4"/>
    <w:rsid w:val="002C2778"/>
    <w:rsid w:val="002E6D70"/>
    <w:rsid w:val="003000EA"/>
    <w:rsid w:val="00307CA3"/>
    <w:rsid w:val="0031506A"/>
    <w:rsid w:val="003269FB"/>
    <w:rsid w:val="00371F29"/>
    <w:rsid w:val="003770A0"/>
    <w:rsid w:val="003817CC"/>
    <w:rsid w:val="00396B9B"/>
    <w:rsid w:val="003C1A74"/>
    <w:rsid w:val="003C7B53"/>
    <w:rsid w:val="003D66EF"/>
    <w:rsid w:val="003E3277"/>
    <w:rsid w:val="00415AE2"/>
    <w:rsid w:val="00444FDD"/>
    <w:rsid w:val="00446F3E"/>
    <w:rsid w:val="00477899"/>
    <w:rsid w:val="00487742"/>
    <w:rsid w:val="00504788"/>
    <w:rsid w:val="005431A9"/>
    <w:rsid w:val="00577FF5"/>
    <w:rsid w:val="005C24D0"/>
    <w:rsid w:val="005D128C"/>
    <w:rsid w:val="005E52C6"/>
    <w:rsid w:val="005F21F8"/>
    <w:rsid w:val="005F6468"/>
    <w:rsid w:val="00605C7E"/>
    <w:rsid w:val="0061255B"/>
    <w:rsid w:val="00621778"/>
    <w:rsid w:val="006348C0"/>
    <w:rsid w:val="006525C9"/>
    <w:rsid w:val="00655CC0"/>
    <w:rsid w:val="00660BB0"/>
    <w:rsid w:val="00685CFF"/>
    <w:rsid w:val="006A6894"/>
    <w:rsid w:val="006D22E0"/>
    <w:rsid w:val="00705DA7"/>
    <w:rsid w:val="0071354B"/>
    <w:rsid w:val="007254AA"/>
    <w:rsid w:val="00731B8B"/>
    <w:rsid w:val="00736704"/>
    <w:rsid w:val="007435D6"/>
    <w:rsid w:val="00746BA7"/>
    <w:rsid w:val="007539F8"/>
    <w:rsid w:val="007601B3"/>
    <w:rsid w:val="00761528"/>
    <w:rsid w:val="00761B17"/>
    <w:rsid w:val="00784AD6"/>
    <w:rsid w:val="00793CD2"/>
    <w:rsid w:val="007C0AB5"/>
    <w:rsid w:val="007C3923"/>
    <w:rsid w:val="007D20DD"/>
    <w:rsid w:val="007E4292"/>
    <w:rsid w:val="007F3447"/>
    <w:rsid w:val="00815289"/>
    <w:rsid w:val="00823097"/>
    <w:rsid w:val="00833270"/>
    <w:rsid w:val="00836187"/>
    <w:rsid w:val="00847321"/>
    <w:rsid w:val="008A37E1"/>
    <w:rsid w:val="008B0EC5"/>
    <w:rsid w:val="008B1F13"/>
    <w:rsid w:val="008D5A7A"/>
    <w:rsid w:val="008D6CB0"/>
    <w:rsid w:val="00930739"/>
    <w:rsid w:val="00974813"/>
    <w:rsid w:val="00984446"/>
    <w:rsid w:val="009A63E3"/>
    <w:rsid w:val="009D63B4"/>
    <w:rsid w:val="009F7C63"/>
    <w:rsid w:val="00A242ED"/>
    <w:rsid w:val="00A578BA"/>
    <w:rsid w:val="00A7090F"/>
    <w:rsid w:val="00A80554"/>
    <w:rsid w:val="00A83A7B"/>
    <w:rsid w:val="00AA6243"/>
    <w:rsid w:val="00AE680D"/>
    <w:rsid w:val="00AF26CE"/>
    <w:rsid w:val="00AF337B"/>
    <w:rsid w:val="00AF602F"/>
    <w:rsid w:val="00B00F26"/>
    <w:rsid w:val="00B02839"/>
    <w:rsid w:val="00B050BC"/>
    <w:rsid w:val="00B15D94"/>
    <w:rsid w:val="00B21E38"/>
    <w:rsid w:val="00B2699A"/>
    <w:rsid w:val="00B272FB"/>
    <w:rsid w:val="00B413DC"/>
    <w:rsid w:val="00B6521B"/>
    <w:rsid w:val="00B727C9"/>
    <w:rsid w:val="00B76F08"/>
    <w:rsid w:val="00B87900"/>
    <w:rsid w:val="00B92A38"/>
    <w:rsid w:val="00B946BC"/>
    <w:rsid w:val="00B957D5"/>
    <w:rsid w:val="00B958C0"/>
    <w:rsid w:val="00B97589"/>
    <w:rsid w:val="00B97882"/>
    <w:rsid w:val="00BB365E"/>
    <w:rsid w:val="00C1297A"/>
    <w:rsid w:val="00C226E4"/>
    <w:rsid w:val="00C44FB2"/>
    <w:rsid w:val="00C521DA"/>
    <w:rsid w:val="00C95573"/>
    <w:rsid w:val="00CA4F10"/>
    <w:rsid w:val="00CA71E4"/>
    <w:rsid w:val="00CB73A5"/>
    <w:rsid w:val="00CC203A"/>
    <w:rsid w:val="00CC3781"/>
    <w:rsid w:val="00CC5C01"/>
    <w:rsid w:val="00CF129D"/>
    <w:rsid w:val="00D11C20"/>
    <w:rsid w:val="00D2789B"/>
    <w:rsid w:val="00D33686"/>
    <w:rsid w:val="00D3716B"/>
    <w:rsid w:val="00D37AF5"/>
    <w:rsid w:val="00D429B3"/>
    <w:rsid w:val="00D42EE6"/>
    <w:rsid w:val="00D713F6"/>
    <w:rsid w:val="00D820CB"/>
    <w:rsid w:val="00D91536"/>
    <w:rsid w:val="00D97B70"/>
    <w:rsid w:val="00DE3224"/>
    <w:rsid w:val="00E14087"/>
    <w:rsid w:val="00E21187"/>
    <w:rsid w:val="00E37DDD"/>
    <w:rsid w:val="00E456EA"/>
    <w:rsid w:val="00E57779"/>
    <w:rsid w:val="00E73E32"/>
    <w:rsid w:val="00E95017"/>
    <w:rsid w:val="00ED6282"/>
    <w:rsid w:val="00ED69C5"/>
    <w:rsid w:val="00ED74B4"/>
    <w:rsid w:val="00EF2A35"/>
    <w:rsid w:val="00F360D0"/>
    <w:rsid w:val="00F45302"/>
    <w:rsid w:val="00F5032B"/>
    <w:rsid w:val="00F602D2"/>
    <w:rsid w:val="00F804CE"/>
    <w:rsid w:val="00F80B90"/>
    <w:rsid w:val="00F83674"/>
    <w:rsid w:val="00F85CB5"/>
    <w:rsid w:val="00FA5BAB"/>
    <w:rsid w:val="00FA7941"/>
    <w:rsid w:val="00FA7BAF"/>
    <w:rsid w:val="00FB3922"/>
    <w:rsid w:val="00FB4B6E"/>
    <w:rsid w:val="00FC6695"/>
    <w:rsid w:val="00FF134B"/>
    <w:rsid w:val="00FF153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CE78F"/>
  <w15:chartTrackingRefBased/>
  <w15:docId w15:val="{86474485-C470-4263-A5D0-5A7DD3CC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BC"/>
  </w:style>
  <w:style w:type="paragraph" w:styleId="Ttulo2">
    <w:name w:val="heading 2"/>
    <w:basedOn w:val="Normal"/>
    <w:next w:val="Normal"/>
    <w:link w:val="Ttulo2Car"/>
    <w:uiPriority w:val="9"/>
    <w:semiHidden/>
    <w:unhideWhenUsed/>
    <w:qFormat/>
    <w:rsid w:val="002122A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B0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0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32C0"/>
    <w:pPr>
      <w:ind w:left="720"/>
      <w:contextualSpacing/>
    </w:pPr>
  </w:style>
  <w:style w:type="character" w:customStyle="1" w:styleId="Ttulo2Car">
    <w:name w:val="Título 2 Car"/>
    <w:basedOn w:val="Fuentedeprrafopredeter"/>
    <w:link w:val="Ttulo2"/>
    <w:uiPriority w:val="9"/>
    <w:semiHidden/>
    <w:rsid w:val="002122A6"/>
    <w:rPr>
      <w:rFonts w:asciiTheme="majorHAnsi" w:eastAsiaTheme="majorEastAsia" w:hAnsiTheme="majorHAnsi" w:cstheme="majorBidi"/>
      <w:color w:val="2F5496" w:themeColor="accent1" w:themeShade="BF"/>
      <w:sz w:val="26"/>
      <w:szCs w:val="26"/>
      <w:lang w:val="es-MX"/>
    </w:rPr>
  </w:style>
  <w:style w:type="character" w:styleId="Hipervnculo">
    <w:name w:val="Hyperlink"/>
    <w:basedOn w:val="Fuentedeprrafopredeter"/>
    <w:uiPriority w:val="99"/>
    <w:unhideWhenUsed/>
    <w:rsid w:val="002122A6"/>
    <w:rPr>
      <w:color w:val="0563C1" w:themeColor="hyperlink"/>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122A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122A6"/>
    <w:pPr>
      <w:spacing w:after="0" w:line="240" w:lineRule="auto"/>
    </w:pPr>
    <w:rPr>
      <w:sz w:val="20"/>
      <w:szCs w:val="20"/>
      <w:lang w:val="es-MX"/>
    </w:rPr>
  </w:style>
  <w:style w:type="character" w:customStyle="1" w:styleId="TextonotapieCar1">
    <w:name w:val="Texto nota pie Car1"/>
    <w:basedOn w:val="Fuentedeprrafopredeter"/>
    <w:uiPriority w:val="99"/>
    <w:semiHidden/>
    <w:rsid w:val="002122A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2122A6"/>
    <w:rPr>
      <w:vertAlign w:val="superscript"/>
    </w:rPr>
  </w:style>
  <w:style w:type="paragraph" w:styleId="Encabezado">
    <w:name w:val="header"/>
    <w:basedOn w:val="Normal"/>
    <w:link w:val="EncabezadoCar"/>
    <w:uiPriority w:val="99"/>
    <w:unhideWhenUsed/>
    <w:rsid w:val="00ED7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4B4"/>
  </w:style>
  <w:style w:type="paragraph" w:styleId="Piedepgina">
    <w:name w:val="footer"/>
    <w:basedOn w:val="Normal"/>
    <w:link w:val="PiedepginaCar"/>
    <w:uiPriority w:val="99"/>
    <w:unhideWhenUsed/>
    <w:rsid w:val="00ED7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4B4"/>
  </w:style>
  <w:style w:type="character" w:styleId="Refdecomentario">
    <w:name w:val="annotation reference"/>
    <w:basedOn w:val="Fuentedeprrafopredeter"/>
    <w:uiPriority w:val="99"/>
    <w:semiHidden/>
    <w:unhideWhenUsed/>
    <w:rsid w:val="00FF134B"/>
    <w:rPr>
      <w:sz w:val="16"/>
      <w:szCs w:val="16"/>
    </w:rPr>
  </w:style>
  <w:style w:type="paragraph" w:styleId="Textocomentario">
    <w:name w:val="annotation text"/>
    <w:basedOn w:val="Normal"/>
    <w:link w:val="TextocomentarioCar"/>
    <w:uiPriority w:val="99"/>
    <w:unhideWhenUsed/>
    <w:rsid w:val="00FF134B"/>
    <w:pPr>
      <w:spacing w:line="240" w:lineRule="auto"/>
    </w:pPr>
    <w:rPr>
      <w:sz w:val="20"/>
      <w:szCs w:val="20"/>
    </w:rPr>
  </w:style>
  <w:style w:type="character" w:customStyle="1" w:styleId="TextocomentarioCar">
    <w:name w:val="Texto comentario Car"/>
    <w:basedOn w:val="Fuentedeprrafopredeter"/>
    <w:link w:val="Textocomentario"/>
    <w:uiPriority w:val="99"/>
    <w:rsid w:val="00FF134B"/>
    <w:rPr>
      <w:sz w:val="20"/>
      <w:szCs w:val="20"/>
    </w:rPr>
  </w:style>
  <w:style w:type="paragraph" w:styleId="Asuntodelcomentario">
    <w:name w:val="annotation subject"/>
    <w:basedOn w:val="Textocomentario"/>
    <w:next w:val="Textocomentario"/>
    <w:link w:val="AsuntodelcomentarioCar"/>
    <w:uiPriority w:val="99"/>
    <w:semiHidden/>
    <w:unhideWhenUsed/>
    <w:rsid w:val="00FF134B"/>
    <w:rPr>
      <w:b/>
      <w:bCs/>
    </w:rPr>
  </w:style>
  <w:style w:type="character" w:customStyle="1" w:styleId="AsuntodelcomentarioCar">
    <w:name w:val="Asunto del comentario Car"/>
    <w:basedOn w:val="TextocomentarioCar"/>
    <w:link w:val="Asuntodelcomentario"/>
    <w:uiPriority w:val="99"/>
    <w:semiHidden/>
    <w:rsid w:val="00FF134B"/>
    <w:rPr>
      <w:b/>
      <w:bCs/>
      <w:sz w:val="20"/>
      <w:szCs w:val="20"/>
    </w:rPr>
  </w:style>
  <w:style w:type="character" w:styleId="Mencinsinresolver">
    <w:name w:val="Unresolved Mention"/>
    <w:basedOn w:val="Fuentedeprrafopredeter"/>
    <w:uiPriority w:val="99"/>
    <w:semiHidden/>
    <w:unhideWhenUsed/>
    <w:rsid w:val="0019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step/20190820guiamslicitacionpublicaobraentidadestatalv9.pdf" TargetMode="External"/><Relationship Id="rId2" Type="http://schemas.openxmlformats.org/officeDocument/2006/relationships/hyperlink" Target="https://www.superfinanciera.gov.co/publicacion/60819)" TargetMode="External"/><Relationship Id="rId1" Type="http://schemas.openxmlformats.org/officeDocument/2006/relationships/hyperlink" Target="https://www.superfinanciera.gov.co/publicacion/60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034AC-19FE-4364-A848-14C85E1447C5}">
  <ds:schemaRefs>
    <ds:schemaRef ds:uri="http://schemas.openxmlformats.org/officeDocument/2006/bibliography"/>
  </ds:schemaRefs>
</ds:datastoreItem>
</file>

<file path=customXml/itemProps2.xml><?xml version="1.0" encoding="utf-8"?>
<ds:datastoreItem xmlns:ds="http://schemas.openxmlformats.org/officeDocument/2006/customXml" ds:itemID="{3377DC6A-2599-400D-BE94-34648B15C63C}">
  <ds:schemaRefs>
    <ds:schemaRef ds:uri="http://www.w3.org/XML/1998/namespace"/>
    <ds:schemaRef ds:uri="http://schemas.microsoft.com/office/infopath/2007/PartnerControls"/>
    <ds:schemaRef ds:uri="http://schemas.microsoft.com/office/2006/documentManagement/types"/>
    <ds:schemaRef ds:uri="http://purl.org/dc/elements/1.1/"/>
    <ds:schemaRef ds:uri="9d85dbaf-23eb-4e57-a637-93dcacc8b1a1"/>
    <ds:schemaRef ds:uri="http://purl.org/dc/dcmitype/"/>
    <ds:schemaRef ds:uri="a6cb9e4b-f1d1-4245-83ec-6cad768d538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18970C6-C0C6-4854-9350-D67EE75B18B5}">
  <ds:schemaRefs>
    <ds:schemaRef ds:uri="http://schemas.microsoft.com/sharepoint/v3/contenttype/forms"/>
  </ds:schemaRefs>
</ds:datastoreItem>
</file>

<file path=customXml/itemProps4.xml><?xml version="1.0" encoding="utf-8"?>
<ds:datastoreItem xmlns:ds="http://schemas.openxmlformats.org/officeDocument/2006/customXml" ds:itemID="{5959CEA4-D199-4990-9FBE-4928B9AC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2900</Words>
  <Characters>15952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Sara Milena Nuñez Aldana</cp:lastModifiedBy>
  <cp:revision>6</cp:revision>
  <dcterms:created xsi:type="dcterms:W3CDTF">2021-04-19T22:03:00Z</dcterms:created>
  <dcterms:modified xsi:type="dcterms:W3CDTF">2021-04-19T22:07:00Z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