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9D0D6" w14:textId="77777777" w:rsidR="00410548" w:rsidRPr="0045129A" w:rsidRDefault="00410548" w:rsidP="00410548">
      <w:pPr>
        <w:jc w:val="right"/>
        <w:rPr>
          <w:rFonts w:ascii="Arial" w:hAnsi="Arial" w:cs="Arial"/>
          <w:b/>
          <w:sz w:val="16"/>
          <w:szCs w:val="16"/>
          <w:lang w:eastAsia="es-ES"/>
        </w:rPr>
      </w:pPr>
      <w:bookmarkStart w:id="0" w:name="_Hlk28946138"/>
      <w:bookmarkStart w:id="1" w:name="_Hlk29548183"/>
      <w:r w:rsidRPr="00F16BC8">
        <w:rPr>
          <w:rFonts w:ascii="Arial" w:hAnsi="Arial" w:cs="Arial"/>
          <w:b/>
          <w:sz w:val="21"/>
          <w:szCs w:val="21"/>
          <w:lang w:eastAsia="es-ES"/>
        </w:rPr>
        <w:tab/>
      </w:r>
      <w:r w:rsidRPr="0045129A">
        <w:rPr>
          <w:rFonts w:ascii="Arial" w:hAnsi="Arial" w:cs="Arial"/>
          <w:b/>
          <w:sz w:val="16"/>
          <w:szCs w:val="16"/>
          <w:lang w:eastAsia="es-ES"/>
        </w:rPr>
        <w:t>CCE-DES-FM-17</w:t>
      </w:r>
    </w:p>
    <w:bookmarkEnd w:id="0"/>
    <w:bookmarkEnd w:id="1"/>
    <w:p w14:paraId="0116C0A5" w14:textId="77777777" w:rsidR="00410548" w:rsidRPr="0045129A" w:rsidRDefault="00410548" w:rsidP="00410548">
      <w:pPr>
        <w:jc w:val="both"/>
        <w:rPr>
          <w:rFonts w:ascii="Arial" w:hAnsi="Arial" w:cs="Arial"/>
          <w:sz w:val="20"/>
          <w:szCs w:val="20"/>
        </w:rPr>
      </w:pPr>
    </w:p>
    <w:p w14:paraId="70DF23AA" w14:textId="3D90BA9A" w:rsidR="00410548" w:rsidRPr="0045129A" w:rsidRDefault="00410548" w:rsidP="00410548">
      <w:pPr>
        <w:jc w:val="both"/>
        <w:rPr>
          <w:rFonts w:ascii="Arial" w:eastAsia="Calibri" w:hAnsi="Arial" w:cs="Arial"/>
          <w:b/>
          <w:sz w:val="22"/>
        </w:rPr>
      </w:pPr>
      <w:r w:rsidRPr="0045129A">
        <w:rPr>
          <w:rFonts w:ascii="Arial" w:eastAsia="Calibri" w:hAnsi="Arial" w:cs="Arial"/>
          <w:b/>
          <w:sz w:val="22"/>
        </w:rPr>
        <w:t xml:space="preserve">DOCUMENTOS TIPO </w:t>
      </w:r>
      <w:r w:rsidRPr="0045129A">
        <w:rPr>
          <w:rFonts w:ascii="Arial" w:eastAsia="Calibri" w:hAnsi="Arial" w:cs="Arial"/>
          <w:b/>
          <w:sz w:val="22"/>
        </w:rPr>
        <w:softHyphen/>
        <w:t xml:space="preserve">– Versión 3 – Acreditación experiencia – </w:t>
      </w:r>
      <w:r w:rsidR="00A32007" w:rsidRPr="0045129A">
        <w:rPr>
          <w:rFonts w:ascii="Arial" w:eastAsia="Calibri" w:hAnsi="Arial" w:cs="Arial"/>
          <w:b/>
          <w:sz w:val="22"/>
        </w:rPr>
        <w:t>Número</w:t>
      </w:r>
      <w:r w:rsidR="00422495" w:rsidRPr="0045129A">
        <w:rPr>
          <w:rFonts w:ascii="Arial" w:eastAsia="Calibri" w:hAnsi="Arial" w:cs="Arial"/>
          <w:b/>
          <w:sz w:val="22"/>
        </w:rPr>
        <w:t xml:space="preserve"> de </w:t>
      </w:r>
      <w:r w:rsidR="00A32007" w:rsidRPr="0045129A">
        <w:rPr>
          <w:rFonts w:ascii="Arial" w:eastAsia="Calibri" w:hAnsi="Arial" w:cs="Arial"/>
          <w:b/>
          <w:sz w:val="22"/>
        </w:rPr>
        <w:t>contratos –</w:t>
      </w:r>
      <w:r w:rsidR="00422495" w:rsidRPr="0045129A">
        <w:rPr>
          <w:rFonts w:ascii="Arial" w:eastAsia="Calibri" w:hAnsi="Arial" w:cs="Arial"/>
          <w:b/>
          <w:sz w:val="22"/>
        </w:rPr>
        <w:t xml:space="preserve"> </w:t>
      </w:r>
      <w:r w:rsidR="006F7E0A" w:rsidRPr="0045129A">
        <w:rPr>
          <w:rFonts w:ascii="Arial" w:eastAsia="Calibri" w:hAnsi="Arial" w:cs="Arial"/>
          <w:b/>
          <w:sz w:val="22"/>
        </w:rPr>
        <w:t>Información a acreditarse – Documentos válidos</w:t>
      </w:r>
    </w:p>
    <w:p w14:paraId="3B681A08" w14:textId="77777777" w:rsidR="00410548" w:rsidRPr="0045129A" w:rsidRDefault="00410548" w:rsidP="00410548">
      <w:pPr>
        <w:jc w:val="both"/>
        <w:rPr>
          <w:rFonts w:ascii="Arial" w:eastAsia="Calibri" w:hAnsi="Arial" w:cs="Arial"/>
          <w:b/>
          <w:sz w:val="22"/>
        </w:rPr>
      </w:pPr>
    </w:p>
    <w:p w14:paraId="0350DCCB" w14:textId="50D5204B" w:rsidR="00422495" w:rsidRPr="0045129A" w:rsidRDefault="00422495" w:rsidP="00422495">
      <w:pPr>
        <w:jc w:val="both"/>
        <w:rPr>
          <w:rFonts w:ascii="Arial" w:hAnsi="Arial" w:cs="Arial"/>
          <w:sz w:val="20"/>
          <w:szCs w:val="20"/>
        </w:rPr>
      </w:pPr>
      <w:r w:rsidRPr="0045129A">
        <w:rPr>
          <w:rFonts w:ascii="Arial" w:hAnsi="Arial" w:cs="Arial"/>
          <w:sz w:val="20"/>
          <w:szCs w:val="20"/>
        </w:rPr>
        <w:t xml:space="preserve">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3.5.1 del Documento Base. </w:t>
      </w:r>
    </w:p>
    <w:p w14:paraId="1B44D0CA" w14:textId="77777777" w:rsidR="00422495" w:rsidRPr="0045129A" w:rsidRDefault="00422495" w:rsidP="00422495">
      <w:pPr>
        <w:jc w:val="both"/>
        <w:rPr>
          <w:rFonts w:ascii="Arial" w:hAnsi="Arial" w:cs="Arial"/>
          <w:sz w:val="20"/>
          <w:szCs w:val="20"/>
        </w:rPr>
      </w:pPr>
    </w:p>
    <w:p w14:paraId="4546EC40" w14:textId="78A43B01" w:rsidR="00410548" w:rsidRPr="0045129A" w:rsidRDefault="00422495" w:rsidP="00422495">
      <w:pPr>
        <w:jc w:val="both"/>
        <w:rPr>
          <w:rFonts w:ascii="Arial" w:hAnsi="Arial" w:cs="Arial"/>
          <w:sz w:val="20"/>
          <w:szCs w:val="20"/>
        </w:rPr>
      </w:pPr>
      <w:r w:rsidRPr="0045129A">
        <w:rPr>
          <w:rFonts w:ascii="Arial" w:hAnsi="Arial" w:cs="Arial"/>
          <w:sz w:val="20"/>
          <w:szCs w:val="20"/>
        </w:rPr>
        <w:t>Respecto de cada uno de estos contratos, conforme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 . Si bien de conformidad con el artículo 6 de la Ley 1150 de 2007 el requisito habilitante de experiencia debe ser acreditado mediante el RUP, en la medida que este no registra toda la información relacionada en el numeral 3.5.5, los proponentes deberán recurrir a los documentos 3.5.6 para acreditar dicha información</w:t>
      </w:r>
      <w:r w:rsidR="004807D6" w:rsidRPr="0045129A">
        <w:rPr>
          <w:rFonts w:ascii="Arial" w:hAnsi="Arial" w:cs="Arial"/>
          <w:sz w:val="20"/>
          <w:szCs w:val="20"/>
        </w:rPr>
        <w:t>.</w:t>
      </w:r>
    </w:p>
    <w:p w14:paraId="0ADE3C06" w14:textId="22012E9E" w:rsidR="001E5FE7" w:rsidRPr="0045129A" w:rsidRDefault="001E5FE7" w:rsidP="001E5FE7">
      <w:pPr>
        <w:jc w:val="both"/>
        <w:rPr>
          <w:rFonts w:ascii="Arial" w:hAnsi="Arial" w:cs="Arial"/>
          <w:sz w:val="20"/>
          <w:szCs w:val="20"/>
        </w:rPr>
      </w:pPr>
    </w:p>
    <w:p w14:paraId="22661813" w14:textId="2F2BBC91" w:rsidR="001E5FE7" w:rsidRPr="0045129A" w:rsidRDefault="001E5FE7" w:rsidP="001E5FE7">
      <w:pPr>
        <w:jc w:val="both"/>
        <w:rPr>
          <w:rFonts w:ascii="Arial" w:hAnsi="Arial" w:cs="Arial"/>
          <w:sz w:val="20"/>
          <w:szCs w:val="20"/>
        </w:rPr>
      </w:pPr>
      <w:r w:rsidRPr="0045129A">
        <w:rPr>
          <w:rFonts w:ascii="Arial" w:eastAsia="Calibri" w:hAnsi="Arial" w:cs="Arial"/>
          <w:b/>
          <w:sz w:val="22"/>
        </w:rPr>
        <w:t xml:space="preserve">DOCUMENTOS TIPO </w:t>
      </w:r>
      <w:r w:rsidRPr="0045129A">
        <w:rPr>
          <w:rFonts w:ascii="Arial" w:eastAsia="Calibri" w:hAnsi="Arial" w:cs="Arial"/>
          <w:b/>
          <w:sz w:val="22"/>
        </w:rPr>
        <w:softHyphen/>
        <w:t xml:space="preserve">– </w:t>
      </w:r>
      <w:r w:rsidR="008E7DC9" w:rsidRPr="0045129A">
        <w:rPr>
          <w:rFonts w:ascii="Arial" w:eastAsia="Calibri" w:hAnsi="Arial" w:cs="Arial"/>
          <w:b/>
          <w:sz w:val="22"/>
        </w:rPr>
        <w:t>Infraestructura de transporte –</w:t>
      </w:r>
      <w:r w:rsidR="002A2DFC" w:rsidRPr="0045129A">
        <w:rPr>
          <w:rFonts w:ascii="Arial" w:eastAsia="Calibri" w:hAnsi="Arial" w:cs="Arial"/>
          <w:b/>
          <w:sz w:val="22"/>
        </w:rPr>
        <w:t xml:space="preserve"> Documento Base – Numeral 1.10 – </w:t>
      </w:r>
      <w:r w:rsidR="008E7DC9" w:rsidRPr="0045129A">
        <w:rPr>
          <w:rFonts w:ascii="Arial" w:eastAsia="Calibri" w:hAnsi="Arial" w:cs="Arial"/>
          <w:b/>
          <w:sz w:val="22"/>
        </w:rPr>
        <w:t xml:space="preserve">Anexo 3 – Glosario – </w:t>
      </w:r>
      <w:r w:rsidR="002A2DFC" w:rsidRPr="0045129A">
        <w:rPr>
          <w:rFonts w:ascii="Arial" w:eastAsia="Calibri" w:hAnsi="Arial" w:cs="Arial"/>
          <w:b/>
          <w:sz w:val="22"/>
        </w:rPr>
        <w:t>Interpretación – Evaluación de experiencia</w:t>
      </w:r>
    </w:p>
    <w:p w14:paraId="0C668101" w14:textId="77777777" w:rsidR="001E5FE7" w:rsidRPr="0045129A" w:rsidRDefault="001E5FE7" w:rsidP="001E5FE7">
      <w:pPr>
        <w:jc w:val="both"/>
        <w:rPr>
          <w:rFonts w:ascii="Arial" w:hAnsi="Arial" w:cs="Arial"/>
          <w:sz w:val="20"/>
          <w:szCs w:val="20"/>
        </w:rPr>
      </w:pPr>
    </w:p>
    <w:p w14:paraId="4C36B889" w14:textId="782B6DA3" w:rsidR="005D17F4" w:rsidRPr="0045129A" w:rsidRDefault="001E5FE7" w:rsidP="005D17F4">
      <w:pPr>
        <w:jc w:val="both"/>
        <w:rPr>
          <w:rFonts w:ascii="Arial" w:hAnsi="Arial" w:cs="Arial"/>
          <w:sz w:val="20"/>
          <w:szCs w:val="20"/>
        </w:rPr>
      </w:pPr>
      <w:r w:rsidRPr="6D9B2F7F">
        <w:rPr>
          <w:rFonts w:ascii="Arial" w:hAnsi="Arial" w:cs="Arial"/>
          <w:sz w:val="20"/>
          <w:szCs w:val="20"/>
        </w:rPr>
        <w:t xml:space="preserve">[…] </w:t>
      </w:r>
      <w:r w:rsidR="005D17F4" w:rsidRPr="6D9B2F7F">
        <w:rPr>
          <w:rFonts w:ascii="Arial" w:hAnsi="Arial" w:cs="Arial"/>
          <w:sz w:val="20"/>
          <w:szCs w:val="20"/>
        </w:rPr>
        <w:t xml:space="preserve">las expresiones contenidas en los documentos tipo de infraestructura de transporte deben ser interpretadas conforme indica el numeral 1.10 del Documento Base. Dicho numeral, establece que tales expresiones deben interpretarse conforme a las definiciones establecidas en el «Anexo 3 – Glosario», la Ley 1682 de 2013 y el Decreto 1082 de 2015. Esto supone implica que, para la evaluación de los requisitos de experiencia estandarizados por la «Matriz 1 – Experiencia», deberá observarse los dispuesto en el «Anexo 3 – Glosario», la Ley 1682 de 2013 y el Decreto 1082 de 2015. Esto significa que, por ejemplo, en el caso de requisitos que se refieran a las actividades de construcción, mejoramiento o rehabilitación, la entidad debe verificar que lo acreditado por el proponente se ajuste a las definiciones establecidas los numerales 2.62, 2.70 y 2.72 del «Anexo 3 – Glosario», el artículo 12 de la Ley 1682 de 2013 y, particularmente, en el caso del mejoramiento, los artículos 2.2.2.5.1.1, 2.2.2.5.2.1, 2.2.2.5.3.1, 2.2.2.5.3.2 o 2.2.2.5.4.1 del Decreto 1076 de 2015. De acuerdo con esto, por ejemplo, para determinar si un proponente cumple con el requisito de experiencia general, la entidad debe verificar que los contratos que aporta efectivamente hayan implicado labores de construcción, mejoramiento o rehabilitación que correspondan a las definiciones establecidas por las referidas normas y anexo. </w:t>
      </w:r>
    </w:p>
    <w:p w14:paraId="7FBD9D7F" w14:textId="77777777" w:rsidR="005D17F4" w:rsidRPr="0045129A" w:rsidRDefault="005D17F4" w:rsidP="005D17F4">
      <w:pPr>
        <w:jc w:val="both"/>
        <w:rPr>
          <w:rFonts w:ascii="Arial" w:hAnsi="Arial" w:cs="Arial"/>
          <w:sz w:val="20"/>
          <w:szCs w:val="20"/>
        </w:rPr>
      </w:pPr>
    </w:p>
    <w:p w14:paraId="094BF59E" w14:textId="097AD458" w:rsidR="00E664FF" w:rsidRPr="0045129A" w:rsidRDefault="005D17F4" w:rsidP="005D17F4">
      <w:pPr>
        <w:jc w:val="both"/>
        <w:rPr>
          <w:rFonts w:ascii="Arial" w:hAnsi="Arial" w:cs="Arial"/>
          <w:sz w:val="20"/>
          <w:szCs w:val="20"/>
        </w:rPr>
      </w:pPr>
      <w:r w:rsidRPr="0045129A">
        <w:rPr>
          <w:rFonts w:ascii="Arial" w:hAnsi="Arial" w:cs="Arial"/>
          <w:sz w:val="20"/>
          <w:szCs w:val="20"/>
        </w:rPr>
        <w:t>Respecto de cada uno de los contratos que se aporten para cumplir con el requisito de experiencia, los proponentes deberán acreditar la información relacionada en los numerales 3.5.5 de las versiones 2 y 3 del Documento Base licitación de obra pública, según corresponda. Además del RUP, los proponentes podrán emplear los documentos señalados en los numerales 3.5.6 de estos documentos base. En tales documentos, la entidad deberá verificar el cumplimiento del requisito de experiencia estudiando la referida información, la para lo cual deberá determinar que lo acreditado corresponda materialmente con la actividad establecida a modo de requisito de experiencia, para lo que deberá tener en cuenta las nociones pertinentes del «Anexo 3 – Glosario» y la Ley 1682 de 2013 – así como el Decreto 1076 de 2015 en el caso de actividades de mejoramiento–.</w:t>
      </w:r>
    </w:p>
    <w:p w14:paraId="25121797" w14:textId="77777777" w:rsidR="002A2DFC" w:rsidRPr="0045129A" w:rsidRDefault="002A2DFC" w:rsidP="005D17F4">
      <w:pPr>
        <w:jc w:val="both"/>
        <w:rPr>
          <w:rFonts w:ascii="Arial" w:eastAsia="Calibri" w:hAnsi="Arial" w:cs="Arial"/>
          <w:b/>
          <w:sz w:val="22"/>
        </w:rPr>
      </w:pPr>
    </w:p>
    <w:p w14:paraId="64A48B00" w14:textId="77777777" w:rsidR="00DA6660" w:rsidRPr="0045129A" w:rsidRDefault="008E7DC9" w:rsidP="00DA6660">
      <w:pPr>
        <w:tabs>
          <w:tab w:val="left" w:pos="6189"/>
        </w:tabs>
        <w:jc w:val="both"/>
        <w:rPr>
          <w:rFonts w:ascii="Arial" w:eastAsia="Calibri" w:hAnsi="Arial" w:cs="Arial"/>
          <w:b/>
          <w:sz w:val="22"/>
        </w:rPr>
      </w:pPr>
      <w:r w:rsidRPr="0045129A">
        <w:rPr>
          <w:rFonts w:ascii="Arial" w:eastAsia="Calibri" w:hAnsi="Arial" w:cs="Arial"/>
          <w:b/>
          <w:sz w:val="22"/>
        </w:rPr>
        <w:t xml:space="preserve">DOCUMENTOS TIPO </w:t>
      </w:r>
      <w:r w:rsidRPr="0045129A">
        <w:rPr>
          <w:rFonts w:ascii="Arial" w:eastAsia="Calibri" w:hAnsi="Arial" w:cs="Arial"/>
          <w:b/>
          <w:sz w:val="22"/>
        </w:rPr>
        <w:softHyphen/>
        <w:t>– Infraestructura de transporte –</w:t>
      </w:r>
      <w:r w:rsidR="00E664FF" w:rsidRPr="0045129A">
        <w:rPr>
          <w:rFonts w:ascii="Arial" w:eastAsia="Calibri" w:hAnsi="Arial" w:cs="Arial"/>
          <w:b/>
          <w:sz w:val="22"/>
        </w:rPr>
        <w:t xml:space="preserve"> Bienes o servicios adicionales</w:t>
      </w:r>
      <w:r w:rsidR="00DA6660" w:rsidRPr="0045129A">
        <w:rPr>
          <w:rFonts w:ascii="Arial" w:eastAsia="Calibri" w:hAnsi="Arial" w:cs="Arial"/>
          <w:b/>
          <w:sz w:val="22"/>
        </w:rPr>
        <w:t xml:space="preserve"> </w:t>
      </w:r>
      <w:r w:rsidR="00E664FF" w:rsidRPr="0045129A">
        <w:rPr>
          <w:rFonts w:ascii="Arial" w:eastAsia="Calibri" w:hAnsi="Arial" w:cs="Arial"/>
          <w:b/>
          <w:sz w:val="22"/>
        </w:rPr>
        <w:t>–</w:t>
      </w:r>
      <w:r w:rsidR="00DA6660" w:rsidRPr="0045129A">
        <w:rPr>
          <w:rFonts w:ascii="Arial" w:eastAsia="Calibri" w:hAnsi="Arial" w:cs="Arial"/>
          <w:b/>
          <w:sz w:val="22"/>
        </w:rPr>
        <w:t xml:space="preserve"> Experiencia adicional</w:t>
      </w:r>
    </w:p>
    <w:p w14:paraId="2C29AFF8" w14:textId="5EE3CFB7" w:rsidR="008E7DC9" w:rsidRPr="0045129A" w:rsidRDefault="00E664FF" w:rsidP="00DA6660">
      <w:pPr>
        <w:tabs>
          <w:tab w:val="left" w:pos="6189"/>
        </w:tabs>
        <w:jc w:val="both"/>
        <w:rPr>
          <w:rFonts w:ascii="Arial" w:hAnsi="Arial" w:cs="Arial"/>
          <w:sz w:val="22"/>
        </w:rPr>
      </w:pPr>
      <w:r w:rsidRPr="0045129A">
        <w:rPr>
          <w:rFonts w:ascii="Arial" w:eastAsia="Calibri" w:hAnsi="Arial" w:cs="Arial"/>
          <w:b/>
          <w:sz w:val="22"/>
        </w:rPr>
        <w:tab/>
      </w:r>
    </w:p>
    <w:p w14:paraId="79E2F0C8" w14:textId="606B237A" w:rsidR="001E5FE7" w:rsidRPr="0045129A" w:rsidRDefault="002A2DFC" w:rsidP="00410548">
      <w:pPr>
        <w:jc w:val="both"/>
        <w:rPr>
          <w:rFonts w:ascii="Arial" w:hAnsi="Arial" w:cs="Arial"/>
          <w:sz w:val="20"/>
          <w:szCs w:val="20"/>
        </w:rPr>
      </w:pPr>
      <w:r w:rsidRPr="0045129A">
        <w:rPr>
          <w:rFonts w:ascii="Arial" w:hAnsi="Arial" w:cs="Arial"/>
          <w:sz w:val="20"/>
          <w:szCs w:val="20"/>
        </w:rPr>
        <w:t>La posibilidad de adicionar los requisitos de experiencia establecidos en la Matriz 1 respecto de obras de infraestructura de transporte se encuentra proscrita en virtud de la regla de inalterabilidad establecida en el artículo 2.2.1.2.6.1.4. del Decreto 1082 de 2015 y 3 de la Resolución No. 240 de 2020. Sin embargo, en virtud del artículo 2.2.1.2.6.1.5. del Decreto 1082 y 4 de la Resolución No. 240 de 2020, resulta posible que las entidades configuren requisitos de experiencia adicional siguiendo los parámetros establecidos en dicho artículo, cuando el objeto principal correspondiente a intervención de infraestructura de transporte se contrata en conjunto con bienes y servicios adicionales a esta.  No obstante, dicho requisito es adicional a los establecidos según la Matriz 1, y solo sirve a evaluar la idoneidad del proponente en lo relativo a los bienes y obras adicionales a la obra pública de infraestructura de transporte</w:t>
      </w:r>
    </w:p>
    <w:p w14:paraId="093CF736" w14:textId="77777777" w:rsidR="002A2DFC" w:rsidRPr="0045129A" w:rsidRDefault="002A2DFC" w:rsidP="00410548">
      <w:pPr>
        <w:jc w:val="both"/>
        <w:rPr>
          <w:rFonts w:ascii="Arial" w:eastAsia="Calibri" w:hAnsi="Arial" w:cs="Arial"/>
          <w:b/>
          <w:sz w:val="22"/>
        </w:rPr>
      </w:pPr>
    </w:p>
    <w:p w14:paraId="7C093677" w14:textId="1C818082" w:rsidR="00944030" w:rsidRPr="0045129A" w:rsidRDefault="00410548" w:rsidP="00410548">
      <w:pPr>
        <w:jc w:val="both"/>
        <w:rPr>
          <w:rFonts w:ascii="Arial" w:eastAsia="Calibri" w:hAnsi="Arial" w:cs="Arial"/>
          <w:b/>
          <w:sz w:val="22"/>
        </w:rPr>
      </w:pPr>
      <w:r w:rsidRPr="0045129A">
        <w:rPr>
          <w:rFonts w:ascii="Arial" w:eastAsia="Calibri" w:hAnsi="Arial" w:cs="Arial"/>
          <w:b/>
          <w:sz w:val="22"/>
        </w:rPr>
        <w:t xml:space="preserve">DOCUMENTOS TIPO </w:t>
      </w:r>
      <w:r w:rsidRPr="0045129A">
        <w:rPr>
          <w:rFonts w:ascii="Arial" w:eastAsia="Calibri" w:hAnsi="Arial" w:cs="Arial"/>
          <w:b/>
          <w:sz w:val="22"/>
        </w:rPr>
        <w:softHyphen/>
        <w:t>–– Acreditación experiencia –</w:t>
      </w:r>
      <w:r w:rsidR="00944030" w:rsidRPr="0045129A">
        <w:rPr>
          <w:rFonts w:ascii="Arial" w:eastAsia="Calibri" w:hAnsi="Arial" w:cs="Arial"/>
          <w:b/>
          <w:sz w:val="22"/>
        </w:rPr>
        <w:t xml:space="preserve"> </w:t>
      </w:r>
      <w:r w:rsidR="002A2DFC" w:rsidRPr="0045129A">
        <w:rPr>
          <w:rFonts w:ascii="Arial" w:eastAsia="Calibri" w:hAnsi="Arial" w:cs="Arial"/>
          <w:b/>
          <w:sz w:val="22"/>
        </w:rPr>
        <w:t xml:space="preserve">Formato 3 </w:t>
      </w:r>
      <w:r w:rsidR="00865A20" w:rsidRPr="0045129A">
        <w:rPr>
          <w:rFonts w:ascii="Arial" w:eastAsia="Calibri" w:hAnsi="Arial" w:cs="Arial"/>
          <w:b/>
          <w:sz w:val="22"/>
        </w:rPr>
        <w:t>– Número de contratos – Subsanabilidad – Contratos diferentes de los inicialmente aportados – Circunstancias – Posterioridad al cierre</w:t>
      </w:r>
    </w:p>
    <w:p w14:paraId="66013831" w14:textId="57D5946E" w:rsidR="004E2C8B" w:rsidRPr="0045129A" w:rsidRDefault="004E2C8B" w:rsidP="00410548">
      <w:pPr>
        <w:jc w:val="both"/>
        <w:rPr>
          <w:rFonts w:ascii="Arial" w:eastAsia="Calibri" w:hAnsi="Arial" w:cs="Arial"/>
          <w:b/>
          <w:sz w:val="22"/>
        </w:rPr>
      </w:pPr>
    </w:p>
    <w:p w14:paraId="18313F40" w14:textId="58937B7F" w:rsidR="002A2DFC" w:rsidRPr="0045129A" w:rsidRDefault="002A2DFC" w:rsidP="002A2DFC">
      <w:pPr>
        <w:jc w:val="both"/>
        <w:rPr>
          <w:rFonts w:ascii="Arial" w:hAnsi="Arial" w:cs="Arial"/>
          <w:sz w:val="20"/>
          <w:szCs w:val="20"/>
        </w:rPr>
      </w:pPr>
      <w:r w:rsidRPr="6D9B2F7F">
        <w:rPr>
          <w:rFonts w:ascii="Arial" w:hAnsi="Arial" w:cs="Arial"/>
          <w:sz w:val="20"/>
          <w:szCs w:val="20"/>
        </w:rPr>
        <w:t xml:space="preserve">[…]  en virtud de lo dispuesto en el literal C del numeral 3.5.1 del Documento Base de licitación de obra pública de infraestructura de transporte – versión 2, equivalente al literal C del numeral 3.5.2 del Documento Base de la versión 3, pueden acreditar el requisito de experiencia exigible conforme a la Matriz 1, con mínimo uno (1) y máximo seis (6) contratos.  En virtud de lo dispuestos en los numerales 3.5.7 y 3.5.8 de tales documentos base, dependiendo del </w:t>
      </w:r>
      <w:r w:rsidR="00A9308A" w:rsidRPr="6D9B2F7F">
        <w:rPr>
          <w:rFonts w:ascii="Arial" w:hAnsi="Arial" w:cs="Arial"/>
          <w:sz w:val="20"/>
          <w:szCs w:val="20"/>
        </w:rPr>
        <w:t>número</w:t>
      </w:r>
      <w:r w:rsidRPr="6D9B2F7F">
        <w:rPr>
          <w:rFonts w:ascii="Arial" w:hAnsi="Arial" w:cs="Arial"/>
          <w:sz w:val="20"/>
          <w:szCs w:val="20"/>
        </w:rPr>
        <w:t xml:space="preserve"> de contratos que emplee el proponente para cumplir con el requisito de experiencia deberá acreditar un valor equivalente a determinado porcentaje del presupuesto oficial.</w:t>
      </w:r>
      <w:r w:rsidR="18CE553C" w:rsidRPr="6D9B2F7F">
        <w:rPr>
          <w:rFonts w:ascii="Arial" w:hAnsi="Arial" w:cs="Arial"/>
          <w:sz w:val="20"/>
          <w:szCs w:val="20"/>
        </w:rPr>
        <w:t xml:space="preserve"> </w:t>
      </w:r>
      <w:r w:rsidRPr="6D9B2F7F">
        <w:rPr>
          <w:rFonts w:ascii="Arial" w:hAnsi="Arial" w:cs="Arial"/>
          <w:sz w:val="20"/>
          <w:szCs w:val="20"/>
        </w:rPr>
        <w:t xml:space="preserve">Para evaluar lo anterior, la entidad solo podrá tener en cuenta los contratos que efectivamente cumplen con el requisito de experiencia estandarizado por la Matriz 1, por lo que los contratos que no correspondan con dicho requisito y sus valores, no son susceptibles de ser tenidos en cuenta de cara al cumplimiento en lo dispuesto en los numerales 3.5.7 y 3.5.8 de los respectivos documentos base. De no superarse el valor exigido por estos numerales, no será posible que el proponente se habilite en lo que la experiencia se refiere. </w:t>
      </w:r>
    </w:p>
    <w:p w14:paraId="24274E9B" w14:textId="77777777" w:rsidR="002A2DFC" w:rsidRPr="0045129A" w:rsidRDefault="002A2DFC" w:rsidP="002A2DFC">
      <w:pPr>
        <w:jc w:val="both"/>
        <w:rPr>
          <w:rFonts w:ascii="Arial" w:hAnsi="Arial" w:cs="Arial"/>
          <w:sz w:val="20"/>
          <w:szCs w:val="20"/>
        </w:rPr>
      </w:pPr>
    </w:p>
    <w:p w14:paraId="038F5512" w14:textId="55A0A434" w:rsidR="00944030" w:rsidRPr="0045129A" w:rsidRDefault="002A2DFC" w:rsidP="002A2DFC">
      <w:pPr>
        <w:jc w:val="both"/>
        <w:rPr>
          <w:rFonts w:ascii="Arial" w:eastAsia="Calibri" w:hAnsi="Arial" w:cs="Arial"/>
          <w:b/>
          <w:sz w:val="20"/>
          <w:szCs w:val="20"/>
        </w:rPr>
      </w:pPr>
      <w:r w:rsidRPr="0045129A">
        <w:rPr>
          <w:rFonts w:ascii="Arial" w:hAnsi="Arial" w:cs="Arial"/>
          <w:sz w:val="20"/>
          <w:szCs w:val="20"/>
        </w:rPr>
        <w:t xml:space="preserve">No obstante, considerando que la experiencia en el marco de procesos de licitación de obra pública de infraestructura de transporte es un requisito habilitante no requerido para la comparación de ofertas, los documentos relativos a su acreditación son </w:t>
      </w:r>
      <w:r w:rsidR="00A9308A" w:rsidRPr="0045129A">
        <w:rPr>
          <w:rFonts w:ascii="Arial" w:hAnsi="Arial" w:cs="Arial"/>
          <w:sz w:val="20"/>
          <w:szCs w:val="20"/>
        </w:rPr>
        <w:t>susceptibles</w:t>
      </w:r>
      <w:r w:rsidRPr="0045129A">
        <w:rPr>
          <w:rFonts w:ascii="Arial" w:hAnsi="Arial" w:cs="Arial"/>
          <w:sz w:val="20"/>
          <w:szCs w:val="20"/>
        </w:rPr>
        <w:t xml:space="preserve"> de ser subsanados en los términos del </w:t>
      </w:r>
      <w:r w:rsidR="00A9308A" w:rsidRPr="0045129A">
        <w:rPr>
          <w:rFonts w:ascii="Arial" w:hAnsi="Arial" w:cs="Arial"/>
          <w:sz w:val="20"/>
          <w:szCs w:val="20"/>
        </w:rPr>
        <w:t>parágrafo</w:t>
      </w:r>
      <w:r w:rsidRPr="0045129A">
        <w:rPr>
          <w:rFonts w:ascii="Arial" w:hAnsi="Arial" w:cs="Arial"/>
          <w:sz w:val="20"/>
          <w:szCs w:val="20"/>
        </w:rPr>
        <w:t xml:space="preserve"> 1 del artículo 5 de la Ley 1150 de 2007 y el numeral 1.6 del Documento Base. Esto implica que, en los casos en los que la entidad contratante determine que los documentos inicialmente aportados por el proponente para demostrar que cumple con el requisito de experiencia no lo demuestran, debe requerir al proponente para que los subsane hasta el término de traslado del informe de evaluación. En respuesta a tal requerimiento, resulta válido que el proponente opte por demostrar información relativa a contratos diferentes a los inicialmente aportados. Sin embargo, para que dicha subsanación sea válida es necesario que estos contratos hayan finalizado su ejecución antes de la fecha de cierre para la presentación de ofertas, ya que de conformidad con el </w:t>
      </w:r>
      <w:r w:rsidR="00A9308A" w:rsidRPr="0045129A">
        <w:rPr>
          <w:rFonts w:ascii="Arial" w:hAnsi="Arial" w:cs="Arial"/>
          <w:sz w:val="20"/>
          <w:szCs w:val="20"/>
        </w:rPr>
        <w:t>parágrafo</w:t>
      </w:r>
      <w:r w:rsidRPr="0045129A">
        <w:rPr>
          <w:rFonts w:ascii="Arial" w:hAnsi="Arial" w:cs="Arial"/>
          <w:sz w:val="20"/>
          <w:szCs w:val="20"/>
        </w:rPr>
        <w:t xml:space="preserve"> 1 del artículo 5 de la Ley 1150, no es permitido subsanar acreditando circunstancias posteriores al cierre.</w:t>
      </w:r>
    </w:p>
    <w:p w14:paraId="69014BB1" w14:textId="71C1C400" w:rsidR="009F0116" w:rsidRPr="0045129A" w:rsidRDefault="009F0116" w:rsidP="00410548">
      <w:pPr>
        <w:jc w:val="both"/>
        <w:rPr>
          <w:rFonts w:ascii="Arial" w:eastAsia="Calibri" w:hAnsi="Arial" w:cs="Arial"/>
          <w:b/>
          <w:sz w:val="22"/>
        </w:rPr>
      </w:pPr>
    </w:p>
    <w:p w14:paraId="31893A1F" w14:textId="7887967E" w:rsidR="009F0116" w:rsidRPr="0045129A" w:rsidRDefault="009F0116" w:rsidP="00410548">
      <w:pPr>
        <w:jc w:val="both"/>
        <w:rPr>
          <w:rFonts w:ascii="Arial" w:eastAsia="Calibri" w:hAnsi="Arial" w:cs="Arial"/>
          <w:b/>
          <w:sz w:val="22"/>
        </w:rPr>
      </w:pPr>
    </w:p>
    <w:p w14:paraId="04A55ACF" w14:textId="56997490" w:rsidR="009F0116" w:rsidRPr="0045129A" w:rsidRDefault="009F0116" w:rsidP="00410548">
      <w:pPr>
        <w:jc w:val="both"/>
        <w:rPr>
          <w:rFonts w:ascii="Arial" w:eastAsia="Calibri" w:hAnsi="Arial" w:cs="Arial"/>
          <w:b/>
          <w:sz w:val="22"/>
        </w:rPr>
      </w:pPr>
    </w:p>
    <w:p w14:paraId="5819AF73" w14:textId="6C6CA145" w:rsidR="009F0116" w:rsidRPr="0045129A" w:rsidRDefault="009F0116" w:rsidP="00410548">
      <w:pPr>
        <w:jc w:val="both"/>
        <w:rPr>
          <w:rFonts w:ascii="Arial" w:eastAsia="Calibri" w:hAnsi="Arial" w:cs="Arial"/>
          <w:b/>
          <w:sz w:val="22"/>
        </w:rPr>
      </w:pPr>
    </w:p>
    <w:p w14:paraId="1E73D3BF" w14:textId="5C8F0DA4" w:rsidR="009F0116" w:rsidRPr="0045129A" w:rsidRDefault="009F0116" w:rsidP="00410548">
      <w:pPr>
        <w:jc w:val="both"/>
        <w:rPr>
          <w:rFonts w:ascii="Arial" w:eastAsia="Calibri" w:hAnsi="Arial" w:cs="Arial"/>
          <w:b/>
          <w:sz w:val="22"/>
        </w:rPr>
      </w:pPr>
    </w:p>
    <w:p w14:paraId="770B42D0" w14:textId="060F1788" w:rsidR="009F0116" w:rsidRPr="0045129A" w:rsidRDefault="009F0116" w:rsidP="00410548">
      <w:pPr>
        <w:jc w:val="both"/>
        <w:rPr>
          <w:rFonts w:ascii="Arial" w:eastAsia="Calibri" w:hAnsi="Arial" w:cs="Arial"/>
          <w:b/>
          <w:sz w:val="22"/>
        </w:rPr>
      </w:pPr>
    </w:p>
    <w:p w14:paraId="0C067A86" w14:textId="6F973068" w:rsidR="009F0116" w:rsidRPr="0045129A" w:rsidRDefault="009F0116" w:rsidP="00410548">
      <w:pPr>
        <w:jc w:val="both"/>
        <w:rPr>
          <w:rFonts w:ascii="Arial" w:eastAsia="Calibri" w:hAnsi="Arial" w:cs="Arial"/>
          <w:b/>
          <w:sz w:val="22"/>
        </w:rPr>
      </w:pPr>
    </w:p>
    <w:p w14:paraId="25EF598B" w14:textId="1D70FF4B" w:rsidR="00865A20" w:rsidRPr="0045129A" w:rsidRDefault="2B5D4386" w:rsidP="6D9B2F7F">
      <w:pPr>
        <w:jc w:val="right"/>
      </w:pPr>
      <w:r>
        <w:rPr>
          <w:noProof/>
        </w:rPr>
        <w:drawing>
          <wp:inline distT="0" distB="0" distL="0" distR="0" wp14:anchorId="04014426" wp14:editId="3FADDCC7">
            <wp:extent cx="2552700" cy="733425"/>
            <wp:effectExtent l="0" t="0" r="0" b="0"/>
            <wp:docPr id="1117610333" name="Picture 111761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52700" cy="733425"/>
                    </a:xfrm>
                    <a:prstGeom prst="rect">
                      <a:avLst/>
                    </a:prstGeom>
                  </pic:spPr>
                </pic:pic>
              </a:graphicData>
            </a:graphic>
          </wp:inline>
        </w:drawing>
      </w:r>
    </w:p>
    <w:p w14:paraId="5D95B687" w14:textId="085CB1FC" w:rsidR="00865A20" w:rsidRPr="0045129A" w:rsidRDefault="00865A20" w:rsidP="6D9B2F7F">
      <w:pPr>
        <w:jc w:val="right"/>
        <w:rPr>
          <w:rFonts w:ascii="Arial" w:eastAsia="Calibri" w:hAnsi="Arial" w:cs="Arial"/>
          <w:szCs w:val="24"/>
        </w:rPr>
      </w:pPr>
    </w:p>
    <w:p w14:paraId="2C4B4BCF" w14:textId="3091B48E" w:rsidR="00865A20" w:rsidRPr="0045129A" w:rsidRDefault="00A710F6" w:rsidP="00410548">
      <w:pPr>
        <w:rPr>
          <w:rFonts w:ascii="Arial" w:eastAsia="Calibri" w:hAnsi="Arial" w:cs="Arial"/>
          <w:sz w:val="22"/>
          <w:szCs w:val="20"/>
        </w:rPr>
      </w:pPr>
      <w:r w:rsidRPr="00A710F6">
        <w:rPr>
          <w:rFonts w:ascii="Arial" w:eastAsia="Calibri" w:hAnsi="Arial" w:cs="Arial"/>
          <w:sz w:val="22"/>
          <w:szCs w:val="20"/>
        </w:rPr>
        <w:t>Bogotá, 12 Abril 2021</w:t>
      </w:r>
    </w:p>
    <w:p w14:paraId="4C0E9FEA" w14:textId="77777777" w:rsidR="00865A20" w:rsidRPr="0045129A" w:rsidRDefault="00865A20" w:rsidP="00410548">
      <w:pPr>
        <w:rPr>
          <w:rFonts w:ascii="Arial" w:eastAsia="Calibri" w:hAnsi="Arial" w:cs="Arial"/>
          <w:sz w:val="22"/>
          <w:szCs w:val="20"/>
        </w:rPr>
      </w:pPr>
    </w:p>
    <w:p w14:paraId="25028B8F" w14:textId="0A94952D" w:rsidR="00865A20" w:rsidRPr="0045129A" w:rsidRDefault="00865A20" w:rsidP="00410548">
      <w:pPr>
        <w:rPr>
          <w:rFonts w:ascii="Arial" w:eastAsia="Calibri" w:hAnsi="Arial" w:cs="Arial"/>
          <w:sz w:val="22"/>
        </w:rPr>
      </w:pPr>
    </w:p>
    <w:p w14:paraId="3219A5F9" w14:textId="77777777" w:rsidR="00865A20" w:rsidRPr="0045129A" w:rsidRDefault="00865A20" w:rsidP="00410548">
      <w:pPr>
        <w:rPr>
          <w:rFonts w:ascii="Arial" w:eastAsia="Calibri" w:hAnsi="Arial" w:cs="Arial"/>
          <w:sz w:val="22"/>
        </w:rPr>
      </w:pPr>
    </w:p>
    <w:p w14:paraId="2D82B633" w14:textId="77777777" w:rsidR="00865A20" w:rsidRPr="0045129A" w:rsidRDefault="00865A20" w:rsidP="00410548">
      <w:pPr>
        <w:rPr>
          <w:rFonts w:ascii="Arial" w:eastAsia="Calibri" w:hAnsi="Arial" w:cs="Arial"/>
          <w:sz w:val="22"/>
        </w:rPr>
      </w:pPr>
    </w:p>
    <w:p w14:paraId="4BA04FCC" w14:textId="6DB0AA50" w:rsidR="00410548" w:rsidRPr="0045129A" w:rsidRDefault="00410548" w:rsidP="00410548">
      <w:pPr>
        <w:rPr>
          <w:rFonts w:ascii="Arial" w:eastAsia="Calibri" w:hAnsi="Arial" w:cs="Arial"/>
          <w:sz w:val="22"/>
        </w:rPr>
      </w:pPr>
      <w:r w:rsidRPr="0045129A">
        <w:rPr>
          <w:rFonts w:ascii="Arial" w:eastAsia="Calibri" w:hAnsi="Arial" w:cs="Arial"/>
          <w:sz w:val="22"/>
        </w:rPr>
        <w:t>Señor</w:t>
      </w:r>
      <w:r w:rsidR="00A14F6B" w:rsidRPr="0045129A">
        <w:rPr>
          <w:rFonts w:ascii="Arial" w:eastAsia="Calibri" w:hAnsi="Arial" w:cs="Arial"/>
          <w:sz w:val="22"/>
        </w:rPr>
        <w:t>a</w:t>
      </w:r>
      <w:r w:rsidRPr="0045129A">
        <w:rPr>
          <w:rFonts w:ascii="Arial" w:eastAsia="Calibri" w:hAnsi="Arial" w:cs="Arial"/>
          <w:sz w:val="22"/>
        </w:rPr>
        <w:t xml:space="preserve"> </w:t>
      </w:r>
    </w:p>
    <w:p w14:paraId="247A0483" w14:textId="077F64F3" w:rsidR="006C061A" w:rsidRPr="0045129A" w:rsidRDefault="00770C96" w:rsidP="00410548">
      <w:pPr>
        <w:rPr>
          <w:rFonts w:ascii="Arial" w:eastAsia="Calibri" w:hAnsi="Arial" w:cs="Arial"/>
          <w:b/>
          <w:sz w:val="22"/>
        </w:rPr>
      </w:pPr>
      <w:r w:rsidRPr="0045129A">
        <w:rPr>
          <w:rFonts w:ascii="Arial" w:eastAsia="Calibri" w:hAnsi="Arial" w:cs="Arial"/>
          <w:b/>
          <w:sz w:val="22"/>
        </w:rPr>
        <w:t>Luisa Alejandra Bernal Pineda</w:t>
      </w:r>
    </w:p>
    <w:p w14:paraId="3A94D94E" w14:textId="07D3732F" w:rsidR="006B2049" w:rsidRPr="0045129A" w:rsidRDefault="00770C96" w:rsidP="00410548">
      <w:pPr>
        <w:rPr>
          <w:rFonts w:ascii="Arial" w:eastAsia="Calibri" w:hAnsi="Arial" w:cs="Arial"/>
          <w:sz w:val="22"/>
        </w:rPr>
      </w:pPr>
      <w:r w:rsidRPr="0045129A">
        <w:rPr>
          <w:rFonts w:ascii="Arial" w:eastAsia="Calibri" w:hAnsi="Arial" w:cs="Arial"/>
          <w:sz w:val="22"/>
        </w:rPr>
        <w:t xml:space="preserve">Bogotá D.C. </w:t>
      </w:r>
    </w:p>
    <w:p w14:paraId="18CD9928" w14:textId="3A2F1066" w:rsidR="00410548" w:rsidRPr="0045129A" w:rsidRDefault="00410548" w:rsidP="00410548">
      <w:pPr>
        <w:rPr>
          <w:rFonts w:ascii="Arial" w:eastAsia="Calibri" w:hAnsi="Arial" w:cs="Arial"/>
          <w:sz w:val="22"/>
        </w:rPr>
      </w:pPr>
      <w:r w:rsidRPr="0045129A">
        <w:rPr>
          <w:rFonts w:ascii="Arial" w:eastAsia="Calibri" w:hAnsi="Arial" w:cs="Arial"/>
          <w:sz w:val="22"/>
        </w:rPr>
        <w:t xml:space="preserve"> </w:t>
      </w:r>
    </w:p>
    <w:p w14:paraId="2279613C" w14:textId="24F2E7E4" w:rsidR="00410548" w:rsidRPr="0045129A" w:rsidRDefault="00410548" w:rsidP="00410548">
      <w:pPr>
        <w:jc w:val="center"/>
        <w:rPr>
          <w:rFonts w:ascii="Arial" w:eastAsia="Calibri" w:hAnsi="Arial" w:cs="Arial"/>
          <w:b/>
          <w:sz w:val="22"/>
        </w:rPr>
      </w:pPr>
      <w:r w:rsidRPr="0045129A">
        <w:rPr>
          <w:rFonts w:ascii="Arial" w:eastAsia="Calibri" w:hAnsi="Arial" w:cs="Arial"/>
          <w:b/>
          <w:sz w:val="22"/>
        </w:rPr>
        <w:t xml:space="preserve">Concepto C – </w:t>
      </w:r>
      <w:r w:rsidR="00965E79" w:rsidRPr="0045129A">
        <w:rPr>
          <w:rFonts w:ascii="Arial" w:eastAsia="Calibri" w:hAnsi="Arial" w:cs="Arial"/>
          <w:b/>
          <w:sz w:val="22"/>
        </w:rPr>
        <w:t>152</w:t>
      </w:r>
      <w:r w:rsidRPr="0045129A">
        <w:rPr>
          <w:rFonts w:ascii="Arial" w:eastAsia="Calibri" w:hAnsi="Arial" w:cs="Arial"/>
          <w:b/>
          <w:sz w:val="22"/>
        </w:rPr>
        <w:t xml:space="preserve"> de 2021</w:t>
      </w:r>
    </w:p>
    <w:p w14:paraId="2593FC23" w14:textId="77777777" w:rsidR="00410548" w:rsidRPr="0045129A" w:rsidRDefault="00410548" w:rsidP="00410548">
      <w:pPr>
        <w:rPr>
          <w:rFonts w:ascii="Arial" w:eastAsia="Calibri" w:hAnsi="Arial" w:cs="Arial"/>
          <w:sz w:val="22"/>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16BC8" w:rsidRPr="0045129A" w14:paraId="55C54D80" w14:textId="77777777" w:rsidTr="00DB4246">
        <w:trPr>
          <w:trHeight w:val="1651"/>
        </w:trPr>
        <w:tc>
          <w:tcPr>
            <w:tcW w:w="2689" w:type="dxa"/>
            <w:hideMark/>
          </w:tcPr>
          <w:p w14:paraId="393C8D2D" w14:textId="77777777" w:rsidR="00410548" w:rsidRPr="0045129A" w:rsidRDefault="00410548" w:rsidP="00DB4246">
            <w:pPr>
              <w:rPr>
                <w:rFonts w:ascii="Arial" w:eastAsia="Calibri" w:hAnsi="Arial" w:cs="Arial"/>
                <w:sz w:val="22"/>
              </w:rPr>
            </w:pPr>
            <w:r w:rsidRPr="0045129A">
              <w:rPr>
                <w:rFonts w:ascii="Arial" w:eastAsia="Calibri" w:hAnsi="Arial" w:cs="Arial"/>
                <w:b/>
                <w:sz w:val="22"/>
              </w:rPr>
              <w:t>Temas:</w:t>
            </w:r>
            <w:r w:rsidRPr="0045129A">
              <w:rPr>
                <w:rFonts w:ascii="Arial" w:eastAsia="Calibri" w:hAnsi="Arial" w:cs="Arial"/>
                <w:sz w:val="22"/>
              </w:rPr>
              <w:t xml:space="preserve">           </w:t>
            </w:r>
          </w:p>
          <w:p w14:paraId="6300D59B" w14:textId="77777777" w:rsidR="00410548" w:rsidRPr="0045129A" w:rsidRDefault="00410548" w:rsidP="00DB4246">
            <w:pPr>
              <w:rPr>
                <w:rFonts w:ascii="Arial" w:eastAsia="Calibri" w:hAnsi="Arial" w:cs="Arial"/>
                <w:sz w:val="22"/>
              </w:rPr>
            </w:pPr>
            <w:r w:rsidRPr="0045129A">
              <w:rPr>
                <w:rFonts w:ascii="Arial" w:eastAsia="Calibri" w:hAnsi="Arial" w:cs="Arial"/>
                <w:sz w:val="22"/>
              </w:rPr>
              <w:t xml:space="preserve">                           </w:t>
            </w:r>
          </w:p>
        </w:tc>
        <w:tc>
          <w:tcPr>
            <w:tcW w:w="6237" w:type="dxa"/>
            <w:hideMark/>
          </w:tcPr>
          <w:p w14:paraId="18F3A31D" w14:textId="5118E5A5" w:rsidR="00904CB3" w:rsidRPr="0045129A" w:rsidRDefault="00865A20" w:rsidP="0045129A">
            <w:pPr>
              <w:jc w:val="both"/>
              <w:rPr>
                <w:rFonts w:ascii="Arial" w:eastAsia="Calibri" w:hAnsi="Arial" w:cs="Arial"/>
                <w:sz w:val="22"/>
              </w:rPr>
            </w:pPr>
            <w:r w:rsidRPr="0045129A">
              <w:rPr>
                <w:rFonts w:ascii="Arial" w:eastAsia="Calibri" w:hAnsi="Arial" w:cs="Arial"/>
                <w:sz w:val="22"/>
              </w:rPr>
              <w:t>DOCUMENTOS TIPO – Versión 3 – Acreditación experiencia – Número de contratos – Información a acreditarse – Documentos válidos / DOCUMENTOS TIPO – Infraestructura de transporte – Documento Base – Numeral 1.10 – Anexo 3 – Glosario – Interpretación – Evaluación de experiencia / DOCUMENTOS TIPO – Infraestructura de transporte – Bienes o servicios adicionales – Experiencia adicional / DOCUMENTOS TIPO – Acreditación experiencia – Formato 3 – Número de contratos – Subsanabilidad – Contratos diferentes de los inicialmente aportados – Circunstancias – Posterioridad al cierre</w:t>
            </w:r>
          </w:p>
        </w:tc>
      </w:tr>
      <w:tr w:rsidR="00410548" w:rsidRPr="0045129A" w14:paraId="4C96BF0C" w14:textId="77777777" w:rsidTr="00DB4246">
        <w:trPr>
          <w:trHeight w:val="465"/>
        </w:trPr>
        <w:tc>
          <w:tcPr>
            <w:tcW w:w="2689" w:type="dxa"/>
            <w:hideMark/>
          </w:tcPr>
          <w:p w14:paraId="0D3B09A9" w14:textId="77777777" w:rsidR="00410548" w:rsidRPr="0045129A" w:rsidRDefault="00410548" w:rsidP="00DB4246">
            <w:pPr>
              <w:rPr>
                <w:rFonts w:ascii="Arial" w:eastAsia="Calibri" w:hAnsi="Arial" w:cs="Arial"/>
                <w:b/>
                <w:sz w:val="22"/>
              </w:rPr>
            </w:pPr>
            <w:r w:rsidRPr="0045129A">
              <w:rPr>
                <w:rFonts w:ascii="Arial" w:eastAsia="Calibri" w:hAnsi="Arial" w:cs="Arial"/>
                <w:b/>
                <w:sz w:val="22"/>
              </w:rPr>
              <w:t>Radicación:</w:t>
            </w:r>
            <w:r w:rsidRPr="0045129A">
              <w:rPr>
                <w:rFonts w:ascii="Arial" w:eastAsia="Calibri" w:hAnsi="Arial" w:cs="Arial"/>
                <w:sz w:val="22"/>
              </w:rPr>
              <w:t xml:space="preserve">                              </w:t>
            </w:r>
          </w:p>
        </w:tc>
        <w:tc>
          <w:tcPr>
            <w:tcW w:w="6237" w:type="dxa"/>
            <w:hideMark/>
          </w:tcPr>
          <w:p w14:paraId="2CEE49EC" w14:textId="0552E8C3" w:rsidR="00410548" w:rsidRPr="0045129A" w:rsidRDefault="00410548" w:rsidP="00D95773">
            <w:pPr>
              <w:spacing w:line="276" w:lineRule="auto"/>
              <w:jc w:val="both"/>
              <w:rPr>
                <w:rFonts w:ascii="Arial" w:eastAsia="Calibri" w:hAnsi="Arial" w:cs="Arial"/>
                <w:sz w:val="22"/>
              </w:rPr>
            </w:pPr>
            <w:r w:rsidRPr="0045129A">
              <w:rPr>
                <w:rFonts w:ascii="Arial" w:eastAsia="Calibri" w:hAnsi="Arial" w:cs="Arial"/>
                <w:sz w:val="22"/>
              </w:rPr>
              <w:t xml:space="preserve">Respuesta a la consulta No </w:t>
            </w:r>
            <w:r w:rsidR="00A14F6B" w:rsidRPr="0045129A">
              <w:rPr>
                <w:rFonts w:ascii="Arial" w:eastAsia="Calibri" w:hAnsi="Arial" w:cs="Arial"/>
                <w:sz w:val="22"/>
              </w:rPr>
              <w:t>P20210225001564</w:t>
            </w:r>
          </w:p>
        </w:tc>
      </w:tr>
    </w:tbl>
    <w:p w14:paraId="4E2C00CE" w14:textId="77777777" w:rsidR="00410548" w:rsidRPr="0045129A" w:rsidRDefault="00410548" w:rsidP="00410548">
      <w:pPr>
        <w:jc w:val="both"/>
        <w:rPr>
          <w:rFonts w:ascii="Arial" w:eastAsia="Calibri" w:hAnsi="Arial" w:cs="Arial"/>
          <w:sz w:val="22"/>
        </w:rPr>
      </w:pPr>
    </w:p>
    <w:p w14:paraId="0927C9B0" w14:textId="77777777" w:rsidR="00410548" w:rsidRPr="0045129A" w:rsidRDefault="00410548" w:rsidP="00410548">
      <w:pPr>
        <w:jc w:val="both"/>
        <w:rPr>
          <w:rFonts w:ascii="Arial" w:eastAsia="Calibri" w:hAnsi="Arial" w:cs="Arial"/>
          <w:sz w:val="22"/>
        </w:rPr>
      </w:pPr>
    </w:p>
    <w:p w14:paraId="56711929" w14:textId="3295472D" w:rsidR="00410548" w:rsidRPr="0045129A" w:rsidRDefault="00410548" w:rsidP="00410548">
      <w:pPr>
        <w:rPr>
          <w:rFonts w:ascii="Arial" w:eastAsia="Calibri" w:hAnsi="Arial" w:cs="Arial"/>
          <w:sz w:val="22"/>
        </w:rPr>
      </w:pPr>
      <w:r w:rsidRPr="0045129A">
        <w:rPr>
          <w:rFonts w:ascii="Arial" w:eastAsia="Calibri" w:hAnsi="Arial" w:cs="Arial"/>
          <w:sz w:val="22"/>
        </w:rPr>
        <w:t>Estimad</w:t>
      </w:r>
      <w:r w:rsidR="00A14F6B" w:rsidRPr="0045129A">
        <w:rPr>
          <w:rFonts w:ascii="Arial" w:eastAsia="Calibri" w:hAnsi="Arial" w:cs="Arial"/>
          <w:sz w:val="22"/>
        </w:rPr>
        <w:t>a</w:t>
      </w:r>
      <w:r w:rsidRPr="0045129A">
        <w:rPr>
          <w:rFonts w:ascii="Arial" w:eastAsia="Calibri" w:hAnsi="Arial" w:cs="Arial"/>
          <w:sz w:val="22"/>
        </w:rPr>
        <w:t xml:space="preserve"> señor</w:t>
      </w:r>
      <w:r w:rsidR="00A14F6B" w:rsidRPr="0045129A">
        <w:rPr>
          <w:rFonts w:ascii="Arial" w:eastAsia="Calibri" w:hAnsi="Arial" w:cs="Arial"/>
          <w:sz w:val="22"/>
        </w:rPr>
        <w:t>a</w:t>
      </w:r>
      <w:r w:rsidRPr="0045129A">
        <w:rPr>
          <w:rFonts w:ascii="Arial" w:eastAsia="Calibri" w:hAnsi="Arial" w:cs="Arial"/>
          <w:sz w:val="22"/>
        </w:rPr>
        <w:t xml:space="preserve"> </w:t>
      </w:r>
      <w:r w:rsidR="00A14F6B" w:rsidRPr="0045129A">
        <w:rPr>
          <w:rFonts w:ascii="Arial" w:eastAsia="Calibri" w:hAnsi="Arial" w:cs="Arial"/>
          <w:sz w:val="22"/>
        </w:rPr>
        <w:t>Bernal</w:t>
      </w:r>
      <w:r w:rsidRPr="0045129A">
        <w:rPr>
          <w:rFonts w:ascii="Arial" w:eastAsia="Calibri" w:hAnsi="Arial" w:cs="Arial"/>
          <w:sz w:val="22"/>
        </w:rPr>
        <w:t>:</w:t>
      </w:r>
    </w:p>
    <w:p w14:paraId="4BDF2AE3" w14:textId="77777777" w:rsidR="00410548" w:rsidRPr="0045129A" w:rsidRDefault="00410548" w:rsidP="00410548">
      <w:pPr>
        <w:rPr>
          <w:rFonts w:ascii="Arial" w:eastAsia="Calibri" w:hAnsi="Arial" w:cs="Arial"/>
          <w:sz w:val="22"/>
        </w:rPr>
      </w:pPr>
    </w:p>
    <w:p w14:paraId="4B7D1D02" w14:textId="33C22DB5" w:rsidR="00410548" w:rsidRPr="0045129A" w:rsidRDefault="00410548" w:rsidP="00410548">
      <w:pPr>
        <w:spacing w:line="276" w:lineRule="auto"/>
        <w:jc w:val="both"/>
        <w:rPr>
          <w:rFonts w:ascii="Arial" w:eastAsia="Calibri" w:hAnsi="Arial" w:cs="Arial"/>
          <w:sz w:val="22"/>
        </w:rPr>
      </w:pPr>
      <w:r w:rsidRPr="0045129A">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640819" w:rsidRPr="0045129A">
        <w:rPr>
          <w:rFonts w:ascii="Arial" w:eastAsia="Calibri" w:hAnsi="Arial" w:cs="Arial"/>
          <w:sz w:val="22"/>
        </w:rPr>
        <w:t>2</w:t>
      </w:r>
      <w:r w:rsidR="00123708" w:rsidRPr="0045129A">
        <w:rPr>
          <w:rFonts w:ascii="Arial" w:eastAsia="Calibri" w:hAnsi="Arial" w:cs="Arial"/>
          <w:sz w:val="22"/>
        </w:rPr>
        <w:t xml:space="preserve">4 </w:t>
      </w:r>
      <w:r w:rsidRPr="0045129A">
        <w:rPr>
          <w:rFonts w:ascii="Arial" w:eastAsia="Calibri" w:hAnsi="Arial" w:cs="Arial"/>
          <w:sz w:val="22"/>
        </w:rPr>
        <w:t xml:space="preserve">de </w:t>
      </w:r>
      <w:r w:rsidR="00123708" w:rsidRPr="0045129A">
        <w:rPr>
          <w:rFonts w:ascii="Arial" w:eastAsia="Calibri" w:hAnsi="Arial" w:cs="Arial"/>
          <w:sz w:val="22"/>
        </w:rPr>
        <w:t>febre</w:t>
      </w:r>
      <w:r w:rsidRPr="0045129A">
        <w:rPr>
          <w:rFonts w:ascii="Arial" w:eastAsia="Calibri" w:hAnsi="Arial" w:cs="Arial"/>
          <w:sz w:val="22"/>
        </w:rPr>
        <w:t xml:space="preserve">ro de 2021. </w:t>
      </w:r>
    </w:p>
    <w:p w14:paraId="19CEA7B3" w14:textId="77777777" w:rsidR="00410548" w:rsidRPr="0045129A" w:rsidRDefault="00410548" w:rsidP="00410548">
      <w:pPr>
        <w:spacing w:line="276" w:lineRule="auto"/>
        <w:jc w:val="both"/>
        <w:rPr>
          <w:rFonts w:ascii="Arial" w:eastAsia="Calibri" w:hAnsi="Arial" w:cs="Arial"/>
          <w:sz w:val="22"/>
        </w:rPr>
      </w:pPr>
    </w:p>
    <w:p w14:paraId="28044CEE" w14:textId="77777777" w:rsidR="00410548" w:rsidRPr="0045129A" w:rsidRDefault="00410548" w:rsidP="00410548">
      <w:pPr>
        <w:pStyle w:val="ListParagraph"/>
        <w:numPr>
          <w:ilvl w:val="0"/>
          <w:numId w:val="1"/>
        </w:numPr>
        <w:tabs>
          <w:tab w:val="left" w:pos="284"/>
        </w:tabs>
        <w:spacing w:line="276" w:lineRule="auto"/>
        <w:ind w:left="0" w:firstLine="0"/>
        <w:jc w:val="both"/>
        <w:rPr>
          <w:rFonts w:ascii="Arial" w:eastAsia="Calibri" w:hAnsi="Arial" w:cs="Arial"/>
          <w:b/>
          <w:sz w:val="22"/>
        </w:rPr>
      </w:pPr>
      <w:r w:rsidRPr="0045129A">
        <w:rPr>
          <w:rFonts w:ascii="Arial" w:eastAsia="Calibri" w:hAnsi="Arial" w:cs="Arial"/>
          <w:b/>
          <w:sz w:val="22"/>
        </w:rPr>
        <w:t xml:space="preserve">Problemas planteados </w:t>
      </w:r>
    </w:p>
    <w:p w14:paraId="48080434" w14:textId="2D4E237C" w:rsidR="00410548" w:rsidRPr="0045129A" w:rsidRDefault="00AF2F5A" w:rsidP="008B2B8A">
      <w:pPr>
        <w:pStyle w:val="Default"/>
        <w:spacing w:before="120" w:line="276" w:lineRule="auto"/>
        <w:jc w:val="both"/>
        <w:rPr>
          <w:rFonts w:eastAsia="Calibri"/>
          <w:color w:val="auto"/>
          <w:sz w:val="22"/>
        </w:rPr>
      </w:pPr>
      <w:r w:rsidRPr="0045129A">
        <w:rPr>
          <w:rFonts w:eastAsia="Calibri"/>
          <w:color w:val="auto"/>
          <w:sz w:val="22"/>
        </w:rPr>
        <w:t>La peticionaria</w:t>
      </w:r>
      <w:r w:rsidR="00891050" w:rsidRPr="0045129A">
        <w:rPr>
          <w:rFonts w:eastAsia="Calibri"/>
          <w:color w:val="auto"/>
          <w:sz w:val="22"/>
        </w:rPr>
        <w:t xml:space="preserve"> </w:t>
      </w:r>
      <w:r w:rsidR="0028129E" w:rsidRPr="0045129A">
        <w:rPr>
          <w:rFonts w:eastAsia="Calibri"/>
          <w:color w:val="auto"/>
          <w:sz w:val="22"/>
        </w:rPr>
        <w:t xml:space="preserve">realiza consulta referida a los </w:t>
      </w:r>
      <w:r w:rsidR="00D3001C" w:rsidRPr="0045129A">
        <w:rPr>
          <w:rFonts w:eastAsia="Calibri"/>
          <w:color w:val="auto"/>
          <w:sz w:val="22"/>
        </w:rPr>
        <w:t>documentos tipo de</w:t>
      </w:r>
      <w:r w:rsidR="00AB7EF3" w:rsidRPr="0045129A">
        <w:rPr>
          <w:rFonts w:eastAsia="Calibri"/>
          <w:color w:val="auto"/>
          <w:sz w:val="22"/>
        </w:rPr>
        <w:t xml:space="preserve"> </w:t>
      </w:r>
      <w:r w:rsidR="00FD55D9" w:rsidRPr="0045129A">
        <w:rPr>
          <w:rFonts w:eastAsia="Calibri"/>
          <w:color w:val="auto"/>
          <w:sz w:val="22"/>
        </w:rPr>
        <w:t>licitación de obra pública infraestructura</w:t>
      </w:r>
      <w:r w:rsidR="00D3001C" w:rsidRPr="0045129A">
        <w:rPr>
          <w:rFonts w:eastAsia="Calibri"/>
          <w:color w:val="auto"/>
          <w:sz w:val="22"/>
        </w:rPr>
        <w:t xml:space="preserve"> de transporte</w:t>
      </w:r>
      <w:r w:rsidR="00FD55D9" w:rsidRPr="0045129A">
        <w:rPr>
          <w:rFonts w:eastAsia="Calibri"/>
          <w:color w:val="auto"/>
          <w:sz w:val="22"/>
        </w:rPr>
        <w:t xml:space="preserve"> – versión </w:t>
      </w:r>
      <w:r w:rsidR="00222D8B" w:rsidRPr="0045129A">
        <w:rPr>
          <w:rFonts w:eastAsia="Calibri"/>
          <w:color w:val="auto"/>
          <w:sz w:val="22"/>
        </w:rPr>
        <w:t>3</w:t>
      </w:r>
      <w:r w:rsidR="00D3001C" w:rsidRPr="0045129A">
        <w:rPr>
          <w:rFonts w:eastAsia="Calibri"/>
          <w:color w:val="auto"/>
          <w:sz w:val="22"/>
        </w:rPr>
        <w:t>.</w:t>
      </w:r>
      <w:r w:rsidR="008E3E65" w:rsidRPr="0045129A">
        <w:rPr>
          <w:rFonts w:eastAsia="Calibri"/>
          <w:color w:val="auto"/>
          <w:sz w:val="22"/>
        </w:rPr>
        <w:t xml:space="preserve"> </w:t>
      </w:r>
      <w:r w:rsidRPr="0045129A">
        <w:rPr>
          <w:rFonts w:eastAsia="Calibri"/>
          <w:color w:val="auto"/>
          <w:sz w:val="22"/>
        </w:rPr>
        <w:t xml:space="preserve">Por un lado, indaga en torno al alcance de algunas definiciones contenidas en el «Anexo 3 – Glosario», como los proyectos de construcción, mejoramiento, rehabilitación, mantenimiento y sobre la posibilidad de exigir experiencia adicional aplicando las mismas. </w:t>
      </w:r>
      <w:r w:rsidR="008E3E65" w:rsidRPr="0045129A">
        <w:rPr>
          <w:rFonts w:eastAsia="Calibri"/>
          <w:color w:val="auto"/>
          <w:sz w:val="22"/>
        </w:rPr>
        <w:t>Al respecto indaga:</w:t>
      </w:r>
    </w:p>
    <w:p w14:paraId="1913D375" w14:textId="77777777" w:rsidR="008B2B8A" w:rsidRPr="0045129A" w:rsidRDefault="008B2B8A" w:rsidP="008B2B8A">
      <w:pPr>
        <w:autoSpaceDE w:val="0"/>
        <w:autoSpaceDN w:val="0"/>
        <w:adjustRightInd w:val="0"/>
        <w:ind w:left="709" w:right="709"/>
        <w:jc w:val="both"/>
        <w:rPr>
          <w:rFonts w:ascii="Arial" w:hAnsi="Arial" w:cs="Arial"/>
          <w:sz w:val="21"/>
          <w:szCs w:val="21"/>
          <w:lang w:val="es-CO"/>
        </w:rPr>
      </w:pPr>
    </w:p>
    <w:p w14:paraId="340F0F16" w14:textId="59272378" w:rsidR="00AA02A4" w:rsidRPr="0045129A" w:rsidRDefault="008B2B8A" w:rsidP="00B42527">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w:t>
      </w:r>
      <w:r w:rsidR="00FD55D9" w:rsidRPr="0045129A">
        <w:rPr>
          <w:rFonts w:ascii="Arial" w:hAnsi="Arial" w:cs="Arial"/>
          <w:sz w:val="21"/>
          <w:szCs w:val="21"/>
          <w:lang w:val="es-CO"/>
        </w:rPr>
        <w:t xml:space="preserve"> </w:t>
      </w:r>
      <w:r w:rsidR="00AA02A4" w:rsidRPr="0045129A">
        <w:rPr>
          <w:rFonts w:ascii="Arial" w:hAnsi="Arial" w:cs="Arial"/>
          <w:sz w:val="21"/>
          <w:szCs w:val="21"/>
          <w:lang w:val="es-CO"/>
        </w:rPr>
        <w:t>Para efectos de la calificación de la experiencia general contenida en la matriz ¿Puede una entidad estatal adicionar la Matriz 1 – Experiencia con actividades específicas que están contenidas en las definiciones del Anexo 3 – Glosario?</w:t>
      </w:r>
    </w:p>
    <w:p w14:paraId="5C1301D0" w14:textId="77777777" w:rsidR="00AA02A4" w:rsidRPr="0045129A" w:rsidRDefault="00AA02A4" w:rsidP="00B42527">
      <w:pPr>
        <w:autoSpaceDE w:val="0"/>
        <w:autoSpaceDN w:val="0"/>
        <w:adjustRightInd w:val="0"/>
        <w:ind w:left="709" w:right="709"/>
        <w:jc w:val="both"/>
        <w:rPr>
          <w:rFonts w:ascii="Arial" w:eastAsia="Wingdings-Regular" w:hAnsi="Arial" w:cs="Arial"/>
          <w:sz w:val="21"/>
          <w:szCs w:val="21"/>
          <w:lang w:val="es-CO"/>
        </w:rPr>
      </w:pPr>
    </w:p>
    <w:p w14:paraId="03FD0F82" w14:textId="2B0E6188" w:rsidR="00AA02A4" w:rsidRPr="0045129A" w:rsidRDefault="270F394C" w:rsidP="00B42527">
      <w:pPr>
        <w:autoSpaceDE w:val="0"/>
        <w:autoSpaceDN w:val="0"/>
        <w:adjustRightInd w:val="0"/>
        <w:ind w:left="709" w:right="709"/>
        <w:jc w:val="both"/>
        <w:rPr>
          <w:rFonts w:ascii="Arial" w:hAnsi="Arial" w:cs="Arial"/>
          <w:sz w:val="21"/>
          <w:szCs w:val="21"/>
          <w:lang w:val="es-CO"/>
        </w:rPr>
      </w:pPr>
      <w:r w:rsidRPr="6D9B2F7F">
        <w:rPr>
          <w:rFonts w:ascii="Arial" w:hAnsi="Arial" w:cs="Arial"/>
          <w:sz w:val="21"/>
          <w:szCs w:val="21"/>
          <w:lang w:val="es-CO"/>
        </w:rPr>
        <w:t>En</w:t>
      </w:r>
      <w:r w:rsidR="005F63D8" w:rsidRPr="6D9B2F7F">
        <w:rPr>
          <w:rFonts w:ascii="Arial" w:hAnsi="Arial" w:cs="Arial"/>
          <w:sz w:val="21"/>
          <w:szCs w:val="21"/>
          <w:lang w:val="es-CO"/>
        </w:rPr>
        <w:t xml:space="preserve"> </w:t>
      </w:r>
      <w:r w:rsidRPr="6D9B2F7F">
        <w:rPr>
          <w:rFonts w:ascii="Arial" w:hAnsi="Arial" w:cs="Arial"/>
          <w:sz w:val="21"/>
          <w:szCs w:val="21"/>
          <w:lang w:val="es-CO"/>
        </w:rPr>
        <w:t>caso</w:t>
      </w:r>
      <w:r w:rsidR="005F63D8" w:rsidRPr="6D9B2F7F">
        <w:rPr>
          <w:rFonts w:ascii="Arial" w:hAnsi="Arial" w:cs="Arial"/>
          <w:sz w:val="21"/>
          <w:szCs w:val="21"/>
          <w:lang w:val="es-CO"/>
        </w:rPr>
        <w:t xml:space="preserve"> </w:t>
      </w:r>
      <w:r w:rsidRPr="6D9B2F7F">
        <w:rPr>
          <w:rFonts w:ascii="Arial" w:hAnsi="Arial" w:cs="Arial"/>
          <w:sz w:val="21"/>
          <w:szCs w:val="21"/>
          <w:lang w:val="es-CO"/>
        </w:rPr>
        <w:t>que</w:t>
      </w:r>
      <w:r w:rsidR="00AA02A4" w:rsidRPr="6D9B2F7F">
        <w:rPr>
          <w:rFonts w:ascii="Arial" w:hAnsi="Arial" w:cs="Arial"/>
          <w:sz w:val="21"/>
          <w:szCs w:val="21"/>
          <w:lang w:val="es-CO"/>
        </w:rPr>
        <w:t xml:space="preserve"> la respuesta anterior sea afirmativa ¿Puede exigir que en los documentos adicionales para acreditar la experiencia (certificaciones, actas de</w:t>
      </w:r>
      <w:r w:rsidR="005F63D8" w:rsidRPr="6D9B2F7F">
        <w:rPr>
          <w:rFonts w:ascii="Arial" w:hAnsi="Arial" w:cs="Arial"/>
          <w:sz w:val="21"/>
          <w:szCs w:val="21"/>
          <w:lang w:val="es-CO"/>
        </w:rPr>
        <w:t xml:space="preserve"> </w:t>
      </w:r>
      <w:r w:rsidR="00AA02A4" w:rsidRPr="6D9B2F7F">
        <w:rPr>
          <w:rFonts w:ascii="Arial" w:hAnsi="Arial" w:cs="Arial"/>
          <w:sz w:val="21"/>
          <w:szCs w:val="21"/>
          <w:lang w:val="es-CO"/>
        </w:rPr>
        <w:t xml:space="preserve">liquidación, sabanas de obra etc), contengan </w:t>
      </w:r>
      <w:r w:rsidR="00AA02A4" w:rsidRPr="6D9B2F7F">
        <w:rPr>
          <w:rFonts w:ascii="Arial" w:hAnsi="Arial" w:cs="Arial"/>
          <w:b/>
          <w:bCs/>
          <w:sz w:val="21"/>
          <w:szCs w:val="21"/>
          <w:lang w:val="es-CO"/>
        </w:rPr>
        <w:t xml:space="preserve">LITERALMENTE </w:t>
      </w:r>
      <w:r w:rsidR="00AA02A4" w:rsidRPr="6D9B2F7F">
        <w:rPr>
          <w:rFonts w:ascii="Arial" w:hAnsi="Arial" w:cs="Arial"/>
          <w:sz w:val="21"/>
          <w:szCs w:val="21"/>
          <w:lang w:val="es-CO"/>
        </w:rPr>
        <w:t>la ejecución de las</w:t>
      </w:r>
      <w:r w:rsidR="005F63D8" w:rsidRPr="6D9B2F7F">
        <w:rPr>
          <w:rFonts w:ascii="Arial" w:hAnsi="Arial" w:cs="Arial"/>
          <w:sz w:val="21"/>
          <w:szCs w:val="21"/>
          <w:lang w:val="es-CO"/>
        </w:rPr>
        <w:t xml:space="preserve"> </w:t>
      </w:r>
      <w:r w:rsidR="00AA02A4" w:rsidRPr="6D9B2F7F">
        <w:rPr>
          <w:rFonts w:ascii="Arial" w:hAnsi="Arial" w:cs="Arial"/>
          <w:sz w:val="21"/>
          <w:szCs w:val="21"/>
          <w:lang w:val="es-CO"/>
        </w:rPr>
        <w:t>actividades específicas contenidas en el Anexo 3 – Glosario?</w:t>
      </w:r>
    </w:p>
    <w:p w14:paraId="18203988" w14:textId="77777777" w:rsidR="00AA02A4" w:rsidRPr="0045129A" w:rsidRDefault="00AA02A4" w:rsidP="00B42527">
      <w:pPr>
        <w:autoSpaceDE w:val="0"/>
        <w:autoSpaceDN w:val="0"/>
        <w:adjustRightInd w:val="0"/>
        <w:ind w:left="709" w:right="709"/>
        <w:jc w:val="both"/>
        <w:rPr>
          <w:rFonts w:ascii="Arial" w:eastAsia="Wingdings-Regular" w:hAnsi="Arial" w:cs="Arial"/>
          <w:sz w:val="21"/>
          <w:szCs w:val="21"/>
          <w:lang w:val="es-CO"/>
        </w:rPr>
      </w:pPr>
    </w:p>
    <w:p w14:paraId="16171A40" w14:textId="29B4048B" w:rsidR="002B7A08" w:rsidRPr="0045129A" w:rsidRDefault="00AA02A4" w:rsidP="00B42527">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 xml:space="preserve">¿Solicitar la acreditación de actividades específicas contenidas en el Anexo 3 – Glosario, diferentes a las condiciones establecidas en la Matriz 1- Experiencia, constituye una </w:t>
      </w:r>
      <w:r w:rsidR="005F63D8" w:rsidRPr="0045129A">
        <w:rPr>
          <w:rFonts w:ascii="Arial" w:hAnsi="Arial" w:cs="Arial"/>
          <w:sz w:val="21"/>
          <w:szCs w:val="21"/>
          <w:lang w:val="es-CO"/>
        </w:rPr>
        <w:t>c</w:t>
      </w:r>
      <w:r w:rsidRPr="0045129A">
        <w:rPr>
          <w:rFonts w:ascii="Arial" w:hAnsi="Arial" w:cs="Arial"/>
          <w:sz w:val="21"/>
          <w:szCs w:val="21"/>
          <w:lang w:val="es-CO"/>
        </w:rPr>
        <w:t>odificación, adición o alteración de los documentos tipo?</w:t>
      </w:r>
    </w:p>
    <w:p w14:paraId="0218F4FA" w14:textId="6844F69D" w:rsidR="008E2B38" w:rsidRPr="0045129A" w:rsidRDefault="008E2B38" w:rsidP="00B42527">
      <w:pPr>
        <w:autoSpaceDE w:val="0"/>
        <w:autoSpaceDN w:val="0"/>
        <w:adjustRightInd w:val="0"/>
        <w:ind w:left="709" w:right="709"/>
        <w:jc w:val="both"/>
        <w:rPr>
          <w:rFonts w:ascii="Arial" w:hAnsi="Arial" w:cs="Arial"/>
          <w:sz w:val="21"/>
          <w:szCs w:val="21"/>
          <w:lang w:val="es-CO"/>
        </w:rPr>
      </w:pPr>
    </w:p>
    <w:p w14:paraId="38B5D4FB" w14:textId="7E4519D3" w:rsidR="00B42527" w:rsidRPr="0045129A" w:rsidRDefault="00AF2F5A" w:rsidP="00AF2F5A">
      <w:pPr>
        <w:autoSpaceDE w:val="0"/>
        <w:autoSpaceDN w:val="0"/>
        <w:adjustRightInd w:val="0"/>
        <w:spacing w:line="276" w:lineRule="auto"/>
        <w:ind w:right="49" w:firstLine="708"/>
        <w:jc w:val="both"/>
        <w:rPr>
          <w:rFonts w:ascii="Arial" w:hAnsi="Arial" w:cs="Arial"/>
          <w:sz w:val="22"/>
          <w:lang w:val="es-CO"/>
        </w:rPr>
      </w:pPr>
      <w:r w:rsidRPr="0045129A">
        <w:rPr>
          <w:rFonts w:ascii="Arial" w:hAnsi="Arial" w:cs="Arial"/>
          <w:sz w:val="22"/>
          <w:lang w:val="es-CO"/>
        </w:rPr>
        <w:t>De otro lado, la consulta está dirigida a esclarecer la posibilidad de subsanar la acreditación del requisito de experiencia, particularmente, en relación con la regla del numeral 3.5.7 del Documento Base. Al respecto indaga:</w:t>
      </w:r>
    </w:p>
    <w:p w14:paraId="66B6D07E" w14:textId="7BD9716C" w:rsidR="00B42527" w:rsidRPr="0045129A" w:rsidRDefault="00B42527" w:rsidP="00B42527">
      <w:pPr>
        <w:autoSpaceDE w:val="0"/>
        <w:autoSpaceDN w:val="0"/>
        <w:adjustRightInd w:val="0"/>
        <w:ind w:left="709" w:right="709"/>
        <w:jc w:val="both"/>
        <w:rPr>
          <w:rFonts w:ascii="Arial" w:hAnsi="Arial" w:cs="Arial"/>
          <w:sz w:val="21"/>
          <w:szCs w:val="21"/>
          <w:lang w:val="es-CO"/>
        </w:rPr>
      </w:pPr>
    </w:p>
    <w:p w14:paraId="5A796D70" w14:textId="28841999" w:rsidR="008E2B38" w:rsidRPr="0045129A" w:rsidRDefault="00C72AC6" w:rsidP="00B42527">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En caso de que</w:t>
      </w:r>
      <w:r w:rsidR="008E2B38" w:rsidRPr="0045129A">
        <w:rPr>
          <w:rFonts w:ascii="Arial" w:hAnsi="Arial" w:cs="Arial"/>
          <w:sz w:val="21"/>
          <w:szCs w:val="21"/>
          <w:lang w:val="es-CO"/>
        </w:rPr>
        <w:t xml:space="preserve"> en el informe preliminar de evaluación se evidencie que uno de los</w:t>
      </w:r>
      <w:r w:rsidR="00045034" w:rsidRPr="0045129A">
        <w:rPr>
          <w:rFonts w:ascii="Arial" w:hAnsi="Arial" w:cs="Arial"/>
          <w:sz w:val="21"/>
          <w:szCs w:val="21"/>
          <w:lang w:val="es-CO"/>
        </w:rPr>
        <w:t xml:space="preserve"> </w:t>
      </w:r>
      <w:r w:rsidR="008E2B38" w:rsidRPr="0045129A">
        <w:rPr>
          <w:rFonts w:ascii="Arial" w:hAnsi="Arial" w:cs="Arial"/>
          <w:sz w:val="21"/>
          <w:szCs w:val="21"/>
          <w:lang w:val="es-CO"/>
        </w:rPr>
        <w:t xml:space="preserve">contratos no cumple con la experiencia requerida ¿Se podría </w:t>
      </w:r>
      <w:r w:rsidR="008E2B38" w:rsidRPr="0045129A">
        <w:rPr>
          <w:rFonts w:ascii="Arial" w:hAnsi="Arial" w:cs="Arial"/>
          <w:b/>
          <w:bCs/>
          <w:sz w:val="21"/>
          <w:szCs w:val="21"/>
          <w:lang w:val="es-CO"/>
        </w:rPr>
        <w:t>REEMPLAZAR</w:t>
      </w:r>
      <w:r w:rsidR="00045034" w:rsidRPr="0045129A">
        <w:rPr>
          <w:rFonts w:ascii="Arial" w:hAnsi="Arial" w:cs="Arial"/>
          <w:b/>
          <w:bCs/>
          <w:sz w:val="21"/>
          <w:szCs w:val="21"/>
          <w:lang w:val="es-CO"/>
        </w:rPr>
        <w:t xml:space="preserve"> </w:t>
      </w:r>
      <w:r w:rsidR="008E2B38" w:rsidRPr="0045129A">
        <w:rPr>
          <w:rFonts w:ascii="Arial" w:hAnsi="Arial" w:cs="Arial"/>
          <w:sz w:val="21"/>
          <w:szCs w:val="21"/>
          <w:lang w:val="es-CO"/>
        </w:rPr>
        <w:t>dicho contrato por otro, aclarando a la entidad que se trata de un reemplazo y</w:t>
      </w:r>
      <w:r w:rsidR="00045034" w:rsidRPr="0045129A">
        <w:rPr>
          <w:rFonts w:ascii="Arial" w:hAnsi="Arial" w:cs="Arial"/>
          <w:sz w:val="21"/>
          <w:szCs w:val="21"/>
          <w:lang w:val="es-CO"/>
        </w:rPr>
        <w:t xml:space="preserve"> </w:t>
      </w:r>
      <w:r w:rsidR="008E2B38" w:rsidRPr="0045129A">
        <w:rPr>
          <w:rFonts w:ascii="Arial" w:hAnsi="Arial" w:cs="Arial"/>
          <w:sz w:val="21"/>
          <w:szCs w:val="21"/>
          <w:lang w:val="es-CO"/>
        </w:rPr>
        <w:t>no de un contrato adicional que se incluya en la sumatoria de contratos</w:t>
      </w:r>
      <w:r w:rsidR="00045034" w:rsidRPr="0045129A">
        <w:rPr>
          <w:rFonts w:ascii="Arial" w:hAnsi="Arial" w:cs="Arial"/>
          <w:sz w:val="21"/>
          <w:szCs w:val="21"/>
          <w:lang w:val="es-CO"/>
        </w:rPr>
        <w:t xml:space="preserve"> </w:t>
      </w:r>
      <w:r w:rsidR="008E2B38" w:rsidRPr="0045129A">
        <w:rPr>
          <w:rFonts w:ascii="Arial" w:hAnsi="Arial" w:cs="Arial"/>
          <w:sz w:val="21"/>
          <w:szCs w:val="21"/>
          <w:lang w:val="es-CO"/>
        </w:rPr>
        <w:t>aportados?</w:t>
      </w:r>
    </w:p>
    <w:p w14:paraId="6ED6B947" w14:textId="77777777" w:rsidR="00C72AC6" w:rsidRPr="0045129A" w:rsidRDefault="00C72AC6" w:rsidP="00B42527">
      <w:pPr>
        <w:autoSpaceDE w:val="0"/>
        <w:autoSpaceDN w:val="0"/>
        <w:adjustRightInd w:val="0"/>
        <w:ind w:left="709" w:right="709"/>
        <w:jc w:val="both"/>
        <w:rPr>
          <w:rFonts w:ascii="Arial" w:hAnsi="Arial" w:cs="Arial"/>
          <w:sz w:val="21"/>
          <w:szCs w:val="21"/>
          <w:lang w:val="es-CO"/>
        </w:rPr>
      </w:pPr>
    </w:p>
    <w:p w14:paraId="6B42515D" w14:textId="06D75B07" w:rsidR="008E2B38" w:rsidRPr="0045129A" w:rsidRDefault="008E2B38" w:rsidP="00B42527">
      <w:pPr>
        <w:autoSpaceDE w:val="0"/>
        <w:autoSpaceDN w:val="0"/>
        <w:adjustRightInd w:val="0"/>
        <w:ind w:left="709" w:right="709"/>
        <w:jc w:val="both"/>
        <w:rPr>
          <w:rFonts w:ascii="Arial" w:hAnsi="Arial" w:cs="Arial"/>
          <w:i/>
          <w:iCs/>
          <w:sz w:val="21"/>
          <w:szCs w:val="21"/>
          <w:lang w:val="es-CO"/>
        </w:rPr>
      </w:pPr>
      <w:r w:rsidRPr="0045129A">
        <w:rPr>
          <w:rFonts w:ascii="Arial" w:hAnsi="Arial" w:cs="Arial"/>
          <w:sz w:val="21"/>
          <w:szCs w:val="21"/>
          <w:lang w:val="es-CO"/>
        </w:rPr>
        <w:t xml:space="preserve">Para efectos de aplicar la tabla contenida en el numeral </w:t>
      </w:r>
      <w:r w:rsidRPr="0045129A">
        <w:rPr>
          <w:rFonts w:ascii="Arial" w:hAnsi="Arial" w:cs="Arial"/>
          <w:i/>
          <w:iCs/>
          <w:sz w:val="21"/>
          <w:szCs w:val="21"/>
          <w:lang w:val="es-CO"/>
        </w:rPr>
        <w:t>3.5.7 RELACIÓN DE LOS</w:t>
      </w:r>
      <w:r w:rsidR="00045034" w:rsidRPr="0045129A">
        <w:rPr>
          <w:rFonts w:ascii="Arial" w:hAnsi="Arial" w:cs="Arial"/>
          <w:i/>
          <w:iCs/>
          <w:sz w:val="21"/>
          <w:szCs w:val="21"/>
          <w:lang w:val="es-CO"/>
        </w:rPr>
        <w:t xml:space="preserve"> </w:t>
      </w:r>
      <w:r w:rsidRPr="0045129A">
        <w:rPr>
          <w:rFonts w:ascii="Arial" w:hAnsi="Arial" w:cs="Arial"/>
          <w:i/>
          <w:iCs/>
          <w:sz w:val="21"/>
          <w:szCs w:val="21"/>
          <w:lang w:val="es-CO"/>
        </w:rPr>
        <w:t>CONTRATOS FRENTE AL PRESUPUESTO OFICIAL. ¿La sumatoria de los valores</w:t>
      </w:r>
      <w:r w:rsidR="00045034" w:rsidRPr="0045129A">
        <w:rPr>
          <w:rFonts w:ascii="Arial" w:hAnsi="Arial" w:cs="Arial"/>
          <w:i/>
          <w:iCs/>
          <w:sz w:val="21"/>
          <w:szCs w:val="21"/>
          <w:lang w:val="es-CO"/>
        </w:rPr>
        <w:t xml:space="preserve"> </w:t>
      </w:r>
      <w:r w:rsidRPr="0045129A">
        <w:rPr>
          <w:rFonts w:ascii="Arial" w:hAnsi="Arial" w:cs="Arial"/>
          <w:i/>
          <w:iCs/>
          <w:sz w:val="21"/>
          <w:szCs w:val="21"/>
          <w:lang w:val="es-CO"/>
        </w:rPr>
        <w:t>totales ejecutados en smmlv es solamente respecto de los contratos que cumplen</w:t>
      </w:r>
      <w:r w:rsidR="00045034" w:rsidRPr="0045129A">
        <w:rPr>
          <w:rFonts w:ascii="Arial" w:hAnsi="Arial" w:cs="Arial"/>
          <w:i/>
          <w:iCs/>
          <w:sz w:val="21"/>
          <w:szCs w:val="21"/>
          <w:lang w:val="es-CO"/>
        </w:rPr>
        <w:t xml:space="preserve"> </w:t>
      </w:r>
      <w:r w:rsidRPr="0045129A">
        <w:rPr>
          <w:rFonts w:ascii="Arial" w:hAnsi="Arial" w:cs="Arial"/>
          <w:i/>
          <w:iCs/>
          <w:sz w:val="21"/>
          <w:szCs w:val="21"/>
          <w:lang w:val="es-CO"/>
        </w:rPr>
        <w:t>la experiencia?</w:t>
      </w:r>
    </w:p>
    <w:p w14:paraId="3F94348A" w14:textId="77777777" w:rsidR="00045034" w:rsidRPr="0045129A" w:rsidRDefault="00045034" w:rsidP="00B42527">
      <w:pPr>
        <w:autoSpaceDE w:val="0"/>
        <w:autoSpaceDN w:val="0"/>
        <w:adjustRightInd w:val="0"/>
        <w:ind w:left="709" w:right="709"/>
        <w:jc w:val="both"/>
        <w:rPr>
          <w:rFonts w:ascii="Arial" w:hAnsi="Arial" w:cs="Arial"/>
          <w:i/>
          <w:iCs/>
          <w:sz w:val="21"/>
          <w:szCs w:val="21"/>
          <w:lang w:val="es-CO"/>
        </w:rPr>
      </w:pPr>
    </w:p>
    <w:p w14:paraId="0D09C20B" w14:textId="3D8990B4" w:rsidR="008E2B38" w:rsidRPr="0045129A" w:rsidRDefault="008E2B38" w:rsidP="00B42527">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Por ejemplo, en el caso que se aporte 3 contratos y luego del informe preliminar</w:t>
      </w:r>
      <w:r w:rsidR="00045034" w:rsidRPr="0045129A">
        <w:rPr>
          <w:rFonts w:ascii="Arial" w:hAnsi="Arial" w:cs="Arial"/>
          <w:sz w:val="21"/>
          <w:szCs w:val="21"/>
          <w:lang w:val="es-CO"/>
        </w:rPr>
        <w:t xml:space="preserve"> </w:t>
      </w:r>
      <w:r w:rsidRPr="0045129A">
        <w:rPr>
          <w:rFonts w:ascii="Arial" w:hAnsi="Arial" w:cs="Arial"/>
          <w:sz w:val="21"/>
          <w:szCs w:val="21"/>
          <w:lang w:val="es-CO"/>
        </w:rPr>
        <w:t>se evidencie que uno de esos contratos no cumple con la experiencia requerida.</w:t>
      </w:r>
    </w:p>
    <w:p w14:paraId="0E6572F9" w14:textId="4B9158BB" w:rsidR="008E2B38" w:rsidRPr="0045129A" w:rsidRDefault="008E2B38" w:rsidP="00B42527">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 xml:space="preserve">¿Qué porcentaje respecto del PO se debe aplicar: </w:t>
      </w:r>
      <w:r w:rsidRPr="0045129A">
        <w:rPr>
          <w:rFonts w:ascii="Arial" w:hAnsi="Arial" w:cs="Arial"/>
          <w:b/>
          <w:bCs/>
          <w:sz w:val="21"/>
          <w:szCs w:val="21"/>
          <w:lang w:val="es-CO"/>
        </w:rPr>
        <w:t xml:space="preserve">a) </w:t>
      </w:r>
      <w:r w:rsidRPr="0045129A">
        <w:rPr>
          <w:rFonts w:ascii="Arial" w:hAnsi="Arial" w:cs="Arial"/>
          <w:sz w:val="21"/>
          <w:szCs w:val="21"/>
          <w:lang w:val="es-CO"/>
        </w:rPr>
        <w:t>como si se aportaran dos</w:t>
      </w:r>
      <w:r w:rsidR="00045034" w:rsidRPr="0045129A">
        <w:rPr>
          <w:rFonts w:ascii="Arial" w:hAnsi="Arial" w:cs="Arial"/>
          <w:sz w:val="21"/>
          <w:szCs w:val="21"/>
          <w:lang w:val="es-CO"/>
        </w:rPr>
        <w:t xml:space="preserve"> contratos que son los válidos o </w:t>
      </w:r>
      <w:r w:rsidR="00045034" w:rsidRPr="0045129A">
        <w:rPr>
          <w:rFonts w:ascii="Arial" w:hAnsi="Arial" w:cs="Arial"/>
          <w:b/>
          <w:bCs/>
          <w:sz w:val="21"/>
          <w:szCs w:val="21"/>
          <w:lang w:val="es-CO"/>
        </w:rPr>
        <w:t xml:space="preserve">b) </w:t>
      </w:r>
      <w:r w:rsidR="00045034" w:rsidRPr="0045129A">
        <w:rPr>
          <w:rFonts w:ascii="Arial" w:hAnsi="Arial" w:cs="Arial"/>
          <w:sz w:val="21"/>
          <w:szCs w:val="21"/>
          <w:lang w:val="es-CO"/>
        </w:rPr>
        <w:t>en todo caso se tendría en cuenta el tercer</w:t>
      </w:r>
      <w:r w:rsidR="00B42527" w:rsidRPr="0045129A">
        <w:rPr>
          <w:rFonts w:ascii="Arial" w:hAnsi="Arial" w:cs="Arial"/>
          <w:sz w:val="21"/>
          <w:szCs w:val="21"/>
          <w:lang w:val="es-CO"/>
        </w:rPr>
        <w:t xml:space="preserve"> </w:t>
      </w:r>
      <w:r w:rsidR="00045034" w:rsidRPr="0045129A">
        <w:rPr>
          <w:rFonts w:ascii="Arial" w:hAnsi="Arial" w:cs="Arial"/>
          <w:sz w:val="21"/>
          <w:szCs w:val="21"/>
          <w:lang w:val="es-CO"/>
        </w:rPr>
        <w:t>contrato aun cuando este no cumple?»</w:t>
      </w:r>
      <w:r w:rsidR="00865A20" w:rsidRPr="0045129A">
        <w:rPr>
          <w:rFonts w:ascii="Arial" w:hAnsi="Arial" w:cs="Arial"/>
          <w:sz w:val="21"/>
          <w:szCs w:val="21"/>
          <w:lang w:val="es-CO"/>
        </w:rPr>
        <w:t>.</w:t>
      </w:r>
    </w:p>
    <w:p w14:paraId="23C5DB2B" w14:textId="77777777" w:rsidR="00AA02A4" w:rsidRPr="0045129A" w:rsidRDefault="00AA02A4" w:rsidP="008B2B8A">
      <w:pPr>
        <w:autoSpaceDE w:val="0"/>
        <w:autoSpaceDN w:val="0"/>
        <w:adjustRightInd w:val="0"/>
        <w:ind w:left="709" w:right="709"/>
        <w:jc w:val="both"/>
        <w:rPr>
          <w:rFonts w:ascii="Arial" w:hAnsi="Arial" w:cs="Arial"/>
          <w:sz w:val="21"/>
          <w:szCs w:val="21"/>
          <w:lang w:val="es-CO"/>
        </w:rPr>
      </w:pPr>
    </w:p>
    <w:p w14:paraId="755CA554" w14:textId="77777777" w:rsidR="00410548" w:rsidRPr="0045129A" w:rsidRDefault="00410548" w:rsidP="00410548">
      <w:pPr>
        <w:pStyle w:val="ListParagraph"/>
        <w:numPr>
          <w:ilvl w:val="0"/>
          <w:numId w:val="1"/>
        </w:numPr>
        <w:tabs>
          <w:tab w:val="left" w:pos="426"/>
        </w:tabs>
        <w:spacing w:line="276" w:lineRule="auto"/>
        <w:ind w:left="284" w:hanging="284"/>
        <w:jc w:val="both"/>
        <w:rPr>
          <w:rFonts w:ascii="Arial" w:eastAsia="Calibri" w:hAnsi="Arial" w:cs="Arial"/>
          <w:b/>
          <w:sz w:val="22"/>
        </w:rPr>
      </w:pPr>
      <w:r w:rsidRPr="0045129A">
        <w:rPr>
          <w:rFonts w:ascii="Arial" w:eastAsia="Calibri" w:hAnsi="Arial" w:cs="Arial"/>
          <w:b/>
          <w:sz w:val="22"/>
        </w:rPr>
        <w:t>Consideraciones</w:t>
      </w:r>
    </w:p>
    <w:p w14:paraId="7E3F8937" w14:textId="77777777" w:rsidR="00410548" w:rsidRPr="0045129A" w:rsidRDefault="00410548" w:rsidP="00410548">
      <w:pPr>
        <w:spacing w:line="276" w:lineRule="auto"/>
        <w:jc w:val="both"/>
        <w:rPr>
          <w:rFonts w:ascii="Arial" w:hAnsi="Arial" w:cs="Arial"/>
          <w:sz w:val="18"/>
          <w:szCs w:val="18"/>
        </w:rPr>
      </w:pPr>
    </w:p>
    <w:p w14:paraId="667FED01" w14:textId="1735D1C3" w:rsidR="00410548" w:rsidRPr="0045129A" w:rsidRDefault="00410548" w:rsidP="00410548">
      <w:pPr>
        <w:spacing w:after="120" w:line="276" w:lineRule="auto"/>
        <w:jc w:val="both"/>
        <w:rPr>
          <w:rFonts w:ascii="Arial" w:eastAsia="Calibri" w:hAnsi="Arial" w:cs="Arial"/>
          <w:sz w:val="22"/>
        </w:rPr>
      </w:pPr>
      <w:r w:rsidRPr="0045129A">
        <w:rPr>
          <w:rFonts w:ascii="Arial" w:eastAsia="Calibri" w:hAnsi="Arial" w:cs="Arial"/>
          <w:sz w:val="22"/>
        </w:rPr>
        <w:t xml:space="preserve">De conformidad con la competencia consultiva otorgada por el numeral 5 del artículo 3 y el numeral 8 del artículo 11 del Decreto </w:t>
      </w:r>
      <w:r w:rsidR="005A095C" w:rsidRPr="0045129A">
        <w:rPr>
          <w:rFonts w:ascii="Arial" w:eastAsia="Calibri" w:hAnsi="Arial" w:cs="Arial"/>
          <w:sz w:val="22"/>
        </w:rPr>
        <w:t xml:space="preserve">Ley </w:t>
      </w:r>
      <w:r w:rsidRPr="0045129A">
        <w:rPr>
          <w:rFonts w:ascii="Arial" w:eastAsia="Calibri" w:hAnsi="Arial" w:cs="Arial"/>
          <w:sz w:val="22"/>
        </w:rPr>
        <w:t xml:space="preserve">4170 de 2011, la Agencia Nacional de Contratación Pública está facultada para atender solicitudes relacionadas con temas contractuales, pero solo para «absolver consultas sobre la aplicación de normas de carácter general». En este orden de ideas, la Agencia no tiene atribuciones para resolver casos particulares, ni para validar hipótesis o actuaciones. En tales términos, se procederá a absolver la solicitud de consulta de conformidad con </w:t>
      </w:r>
      <w:r w:rsidR="00C53388" w:rsidRPr="0045129A">
        <w:rPr>
          <w:rFonts w:ascii="Arial" w:eastAsia="Calibri" w:hAnsi="Arial" w:cs="Arial"/>
          <w:sz w:val="22"/>
        </w:rPr>
        <w:t xml:space="preserve">los </w:t>
      </w:r>
      <w:r w:rsidRPr="0045129A">
        <w:rPr>
          <w:rFonts w:ascii="Arial" w:eastAsia="Calibri" w:hAnsi="Arial" w:cs="Arial"/>
          <w:sz w:val="22"/>
        </w:rPr>
        <w:t>interrogante</w:t>
      </w:r>
      <w:r w:rsidR="00C53388" w:rsidRPr="0045129A">
        <w:rPr>
          <w:rFonts w:ascii="Arial" w:eastAsia="Calibri" w:hAnsi="Arial" w:cs="Arial"/>
          <w:sz w:val="22"/>
        </w:rPr>
        <w:t>s</w:t>
      </w:r>
      <w:r w:rsidRPr="0045129A">
        <w:rPr>
          <w:rFonts w:ascii="Arial" w:eastAsia="Calibri" w:hAnsi="Arial" w:cs="Arial"/>
          <w:sz w:val="22"/>
        </w:rPr>
        <w:t xml:space="preserve"> arriba precisado</w:t>
      </w:r>
      <w:r w:rsidR="00C53388" w:rsidRPr="0045129A">
        <w:rPr>
          <w:rFonts w:ascii="Arial" w:eastAsia="Calibri" w:hAnsi="Arial" w:cs="Arial"/>
          <w:sz w:val="22"/>
        </w:rPr>
        <w:t>s</w:t>
      </w:r>
      <w:r w:rsidRPr="0045129A">
        <w:rPr>
          <w:rFonts w:ascii="Arial" w:eastAsia="Calibri" w:hAnsi="Arial" w:cs="Arial"/>
          <w:sz w:val="22"/>
        </w:rPr>
        <w:t xml:space="preserve">, explicando la postura de la Agencia sobre la aplicación de las normas relevantes para situaciones como las </w:t>
      </w:r>
      <w:r w:rsidR="00222D8B" w:rsidRPr="0045129A">
        <w:rPr>
          <w:rFonts w:ascii="Arial" w:eastAsia="Calibri" w:hAnsi="Arial" w:cs="Arial"/>
          <w:sz w:val="22"/>
        </w:rPr>
        <w:t xml:space="preserve">expuestas </w:t>
      </w:r>
      <w:r w:rsidRPr="0045129A">
        <w:rPr>
          <w:rFonts w:ascii="Arial" w:eastAsia="Calibri" w:hAnsi="Arial" w:cs="Arial"/>
          <w:sz w:val="22"/>
        </w:rPr>
        <w:t xml:space="preserve">por el peticionario, con el alcance </w:t>
      </w:r>
      <w:r w:rsidR="00222D8B" w:rsidRPr="0045129A">
        <w:rPr>
          <w:rFonts w:ascii="Arial" w:eastAsia="Calibri" w:hAnsi="Arial" w:cs="Arial"/>
          <w:sz w:val="22"/>
        </w:rPr>
        <w:t>establecido en</w:t>
      </w:r>
      <w:r w:rsidRPr="0045129A">
        <w:rPr>
          <w:rFonts w:ascii="Arial" w:eastAsia="Calibri" w:hAnsi="Arial" w:cs="Arial"/>
          <w:sz w:val="22"/>
        </w:rPr>
        <w:t xml:space="preserve"> el artículo 28 del Código de Procedimiento Administrativo y de lo Contencioso Administrativo.</w:t>
      </w:r>
    </w:p>
    <w:p w14:paraId="1FCA0F45" w14:textId="06BCE6CE" w:rsidR="00E81E00" w:rsidRPr="0045129A" w:rsidRDefault="00410548" w:rsidP="001B40E3">
      <w:pPr>
        <w:spacing w:line="276" w:lineRule="auto"/>
        <w:ind w:firstLine="709"/>
        <w:jc w:val="both"/>
        <w:rPr>
          <w:rFonts w:ascii="Arial" w:hAnsi="Arial" w:cs="Arial"/>
          <w:sz w:val="22"/>
        </w:rPr>
      </w:pPr>
      <w:r w:rsidRPr="0045129A">
        <w:rPr>
          <w:rFonts w:ascii="Arial" w:hAnsi="Arial" w:cs="Arial"/>
          <w:sz w:val="22"/>
        </w:rPr>
        <w:t xml:space="preserve">Para responder </w:t>
      </w:r>
      <w:r w:rsidR="001A1F6B" w:rsidRPr="0045129A">
        <w:rPr>
          <w:rFonts w:ascii="Arial" w:hAnsi="Arial" w:cs="Arial"/>
          <w:sz w:val="22"/>
        </w:rPr>
        <w:t>l</w:t>
      </w:r>
      <w:r w:rsidR="00810A4D" w:rsidRPr="0045129A">
        <w:rPr>
          <w:rFonts w:ascii="Arial" w:hAnsi="Arial" w:cs="Arial"/>
          <w:sz w:val="22"/>
        </w:rPr>
        <w:t xml:space="preserve">os anteriores </w:t>
      </w:r>
      <w:r w:rsidR="005A095C" w:rsidRPr="0045129A">
        <w:rPr>
          <w:rFonts w:ascii="Arial" w:hAnsi="Arial" w:cs="Arial"/>
          <w:sz w:val="22"/>
        </w:rPr>
        <w:t xml:space="preserve">cuestionamientos, </w:t>
      </w:r>
      <w:r w:rsidRPr="0045129A">
        <w:rPr>
          <w:rFonts w:ascii="Arial" w:hAnsi="Arial" w:cs="Arial"/>
          <w:sz w:val="22"/>
        </w:rPr>
        <w:t>relacionad</w:t>
      </w:r>
      <w:r w:rsidR="00810A4D" w:rsidRPr="0045129A">
        <w:rPr>
          <w:rFonts w:ascii="Arial" w:hAnsi="Arial" w:cs="Arial"/>
          <w:sz w:val="22"/>
        </w:rPr>
        <w:t>o</w:t>
      </w:r>
      <w:r w:rsidRPr="0045129A">
        <w:rPr>
          <w:rFonts w:ascii="Arial" w:hAnsi="Arial" w:cs="Arial"/>
          <w:sz w:val="22"/>
        </w:rPr>
        <w:t xml:space="preserve">s con los documentos tipo de licitación de obra pública de infraestructura de transporte – versión 3, </w:t>
      </w:r>
      <w:r w:rsidR="00810A4D" w:rsidRPr="0045129A">
        <w:rPr>
          <w:rFonts w:ascii="Arial" w:hAnsi="Arial" w:cs="Arial"/>
          <w:sz w:val="22"/>
        </w:rPr>
        <w:t xml:space="preserve">se </w:t>
      </w:r>
      <w:r w:rsidR="003876F0" w:rsidRPr="0045129A">
        <w:rPr>
          <w:rFonts w:ascii="Arial" w:hAnsi="Arial" w:cs="Arial"/>
          <w:sz w:val="22"/>
        </w:rPr>
        <w:t>desarrollarán</w:t>
      </w:r>
      <w:r w:rsidR="00810A4D" w:rsidRPr="0045129A">
        <w:rPr>
          <w:rFonts w:ascii="Arial" w:hAnsi="Arial" w:cs="Arial"/>
          <w:sz w:val="22"/>
        </w:rPr>
        <w:t xml:space="preserve"> los siguientes acápites: i</w:t>
      </w:r>
      <w:r w:rsidR="00E81E00" w:rsidRPr="0045129A">
        <w:t xml:space="preserve"> ) </w:t>
      </w:r>
      <w:r w:rsidR="00865A20" w:rsidRPr="0045129A">
        <w:rPr>
          <w:rFonts w:ascii="Arial" w:hAnsi="Arial" w:cs="Arial"/>
          <w:sz w:val="22"/>
        </w:rPr>
        <w:t>el alcance del «Anexo 3 – Glosario» en el marco de los documentos tipo de infraestructura de transporte</w:t>
      </w:r>
      <w:r w:rsidR="00C10D77" w:rsidRPr="0045129A">
        <w:rPr>
          <w:rFonts w:ascii="Arial" w:hAnsi="Arial" w:cs="Arial"/>
          <w:sz w:val="22"/>
        </w:rPr>
        <w:t xml:space="preserve">; ii) </w:t>
      </w:r>
      <w:r w:rsidR="00F16BC8" w:rsidRPr="0045129A">
        <w:rPr>
          <w:rFonts w:ascii="Arial" w:hAnsi="Arial" w:cs="Arial"/>
          <w:sz w:val="22"/>
        </w:rPr>
        <w:t xml:space="preserve">acreditación y evaluación de los requisitos de experiencia </w:t>
      </w:r>
      <w:r w:rsidR="00303C89" w:rsidRPr="0045129A">
        <w:rPr>
          <w:rFonts w:ascii="Arial" w:hAnsi="Arial" w:cs="Arial"/>
          <w:sz w:val="22"/>
        </w:rPr>
        <w:t xml:space="preserve">en procesos adelantados con documentos tipo de infraestructura de transporte; </w:t>
      </w:r>
      <w:r w:rsidR="00E81E00" w:rsidRPr="0045129A">
        <w:rPr>
          <w:rFonts w:ascii="Arial" w:hAnsi="Arial" w:cs="Arial"/>
          <w:sz w:val="22"/>
        </w:rPr>
        <w:t xml:space="preserve">y iii) </w:t>
      </w:r>
      <w:r w:rsidR="009E6B54" w:rsidRPr="0045129A">
        <w:rPr>
          <w:rFonts w:ascii="Arial" w:hAnsi="Arial" w:cs="Arial"/>
          <w:sz w:val="22"/>
        </w:rPr>
        <w:t>e</w:t>
      </w:r>
      <w:r w:rsidR="00F16BC8" w:rsidRPr="0045129A">
        <w:rPr>
          <w:rFonts w:ascii="Arial" w:hAnsi="Arial" w:cs="Arial"/>
          <w:sz w:val="22"/>
        </w:rPr>
        <w:t xml:space="preserve">l número de contratos para acreditar la experiencia, su relación con el valor del presupuesto oficial y la posibilidad de subsanar </w:t>
      </w:r>
      <w:r w:rsidR="009E6B54" w:rsidRPr="0045129A">
        <w:rPr>
          <w:rFonts w:ascii="Arial" w:hAnsi="Arial" w:cs="Arial"/>
          <w:sz w:val="22"/>
        </w:rPr>
        <w:t>la información d</w:t>
      </w:r>
      <w:r w:rsidR="00F16BC8" w:rsidRPr="0045129A">
        <w:rPr>
          <w:rFonts w:ascii="Arial" w:hAnsi="Arial" w:cs="Arial"/>
          <w:sz w:val="22"/>
        </w:rPr>
        <w:t>el «Formato 3 – Experiencia».</w:t>
      </w:r>
    </w:p>
    <w:p w14:paraId="516A3F61" w14:textId="77777777" w:rsidR="00F16BC8" w:rsidRPr="0045129A" w:rsidRDefault="00F16BC8" w:rsidP="00E74568">
      <w:pPr>
        <w:spacing w:line="276" w:lineRule="auto"/>
        <w:ind w:firstLine="708"/>
        <w:jc w:val="both"/>
        <w:rPr>
          <w:rFonts w:ascii="Arial" w:hAnsi="Arial" w:cs="Arial"/>
          <w:sz w:val="22"/>
        </w:rPr>
      </w:pPr>
    </w:p>
    <w:p w14:paraId="4AF0B164" w14:textId="77777777" w:rsidR="00410548" w:rsidRPr="0045129A" w:rsidRDefault="00410548" w:rsidP="00410548">
      <w:pPr>
        <w:spacing w:line="276" w:lineRule="auto"/>
        <w:jc w:val="both"/>
        <w:rPr>
          <w:rFonts w:ascii="Arial" w:hAnsi="Arial" w:cs="Arial"/>
          <w:b/>
          <w:bCs/>
          <w:sz w:val="22"/>
        </w:rPr>
      </w:pPr>
      <w:r w:rsidRPr="0045129A">
        <w:rPr>
          <w:rFonts w:ascii="Arial" w:hAnsi="Arial" w:cs="Arial"/>
          <w:b/>
          <w:bCs/>
          <w:sz w:val="22"/>
        </w:rPr>
        <w:t>2.1</w:t>
      </w:r>
      <w:r w:rsidR="0064206D" w:rsidRPr="0045129A">
        <w:rPr>
          <w:rFonts w:ascii="Arial" w:hAnsi="Arial" w:cs="Arial"/>
          <w:b/>
          <w:bCs/>
          <w:sz w:val="22"/>
        </w:rPr>
        <w:t>.</w:t>
      </w:r>
      <w:r w:rsidRPr="0045129A">
        <w:rPr>
          <w:rFonts w:ascii="Arial" w:hAnsi="Arial" w:cs="Arial"/>
          <w:b/>
          <w:bCs/>
          <w:sz w:val="22"/>
        </w:rPr>
        <w:t xml:space="preserve"> </w:t>
      </w:r>
      <w:r w:rsidR="008C7EDA" w:rsidRPr="0045129A">
        <w:rPr>
          <w:rFonts w:ascii="Arial" w:hAnsi="Arial" w:cs="Arial"/>
          <w:b/>
          <w:bCs/>
          <w:sz w:val="22"/>
        </w:rPr>
        <w:t>El</w:t>
      </w:r>
      <w:r w:rsidR="00FD55D9" w:rsidRPr="0045129A">
        <w:rPr>
          <w:rFonts w:ascii="Arial" w:hAnsi="Arial" w:cs="Arial"/>
          <w:b/>
          <w:bCs/>
          <w:sz w:val="22"/>
        </w:rPr>
        <w:t xml:space="preserve"> alcance del </w:t>
      </w:r>
      <w:r w:rsidR="008C7EDA" w:rsidRPr="0045129A">
        <w:rPr>
          <w:rFonts w:ascii="Arial" w:hAnsi="Arial" w:cs="Arial"/>
          <w:b/>
          <w:bCs/>
          <w:sz w:val="22"/>
        </w:rPr>
        <w:t>«Anexo 3 – Glosario»</w:t>
      </w:r>
      <w:r w:rsidR="00FD55D9" w:rsidRPr="0045129A">
        <w:rPr>
          <w:rFonts w:ascii="Arial" w:hAnsi="Arial" w:cs="Arial"/>
          <w:b/>
          <w:bCs/>
          <w:sz w:val="22"/>
        </w:rPr>
        <w:t xml:space="preserve"> en el marco de los documentos tipo de infraestructura de transporte</w:t>
      </w:r>
      <w:r w:rsidR="008C7EDA" w:rsidRPr="0045129A">
        <w:rPr>
          <w:rFonts w:ascii="Arial" w:hAnsi="Arial" w:cs="Arial"/>
          <w:b/>
          <w:bCs/>
          <w:sz w:val="22"/>
        </w:rPr>
        <w:t xml:space="preserve"> </w:t>
      </w:r>
    </w:p>
    <w:p w14:paraId="0ED21C0D" w14:textId="4C4391D8" w:rsidR="00410548" w:rsidRPr="0045129A" w:rsidRDefault="00410548" w:rsidP="00410548">
      <w:pPr>
        <w:spacing w:line="276" w:lineRule="auto"/>
        <w:jc w:val="both"/>
        <w:rPr>
          <w:rFonts w:ascii="Arial" w:hAnsi="Arial" w:cs="Arial"/>
          <w:b/>
          <w:bCs/>
          <w:sz w:val="22"/>
        </w:rPr>
      </w:pPr>
    </w:p>
    <w:p w14:paraId="06F457B6" w14:textId="17EF32D2" w:rsidR="00AB0AC9" w:rsidRPr="0045129A" w:rsidRDefault="00E51859" w:rsidP="00E51859">
      <w:pPr>
        <w:spacing w:line="276" w:lineRule="auto"/>
        <w:jc w:val="both"/>
        <w:rPr>
          <w:rFonts w:ascii="Arial" w:hAnsi="Arial" w:cs="Arial"/>
          <w:sz w:val="22"/>
        </w:rPr>
      </w:pPr>
      <w:r w:rsidRPr="0045129A">
        <w:rPr>
          <w:rFonts w:ascii="Arial" w:hAnsi="Arial" w:cs="Arial"/>
          <w:sz w:val="22"/>
        </w:rPr>
        <w:t>E</w:t>
      </w:r>
      <w:r w:rsidR="005A22D0" w:rsidRPr="0045129A">
        <w:rPr>
          <w:rFonts w:ascii="Arial" w:hAnsi="Arial" w:cs="Arial"/>
          <w:sz w:val="22"/>
        </w:rPr>
        <w:t xml:space="preserve">l numeral </w:t>
      </w:r>
      <w:r w:rsidR="00AB0AC9" w:rsidRPr="0045129A">
        <w:rPr>
          <w:rFonts w:ascii="Arial" w:hAnsi="Arial" w:cs="Arial"/>
          <w:sz w:val="22"/>
        </w:rPr>
        <w:t>1.10</w:t>
      </w:r>
      <w:r w:rsidR="00570E65" w:rsidRPr="0045129A">
        <w:rPr>
          <w:rFonts w:ascii="Arial" w:hAnsi="Arial" w:cs="Arial"/>
          <w:sz w:val="22"/>
        </w:rPr>
        <w:t xml:space="preserve"> del Documento Base de licitación de obra pública de infraestructura de transporte – versión 3</w:t>
      </w:r>
      <w:r w:rsidRPr="0045129A">
        <w:rPr>
          <w:rFonts w:ascii="Arial" w:hAnsi="Arial" w:cs="Arial"/>
          <w:sz w:val="22"/>
        </w:rPr>
        <w:t xml:space="preserve"> </w:t>
      </w:r>
      <w:r w:rsidR="00ED58CC" w:rsidRPr="0045129A">
        <w:rPr>
          <w:rFonts w:ascii="Arial" w:hAnsi="Arial" w:cs="Arial"/>
          <w:sz w:val="22"/>
        </w:rPr>
        <w:t>establece</w:t>
      </w:r>
      <w:r w:rsidRPr="0045129A">
        <w:rPr>
          <w:rFonts w:ascii="Arial" w:hAnsi="Arial" w:cs="Arial"/>
          <w:sz w:val="22"/>
        </w:rPr>
        <w:t>,</w:t>
      </w:r>
      <w:r w:rsidR="00ED58CC" w:rsidRPr="0045129A">
        <w:rPr>
          <w:rFonts w:ascii="Arial" w:hAnsi="Arial" w:cs="Arial"/>
          <w:sz w:val="22"/>
        </w:rPr>
        <w:t xml:space="preserve"> respecto de la terminología empleada en estos documentos tipo</w:t>
      </w:r>
      <w:r w:rsidRPr="0045129A">
        <w:rPr>
          <w:rFonts w:ascii="Arial" w:hAnsi="Arial" w:cs="Arial"/>
          <w:sz w:val="22"/>
        </w:rPr>
        <w:t>,</w:t>
      </w:r>
      <w:r w:rsidR="00ED58CC" w:rsidRPr="0045129A">
        <w:rPr>
          <w:rFonts w:ascii="Arial" w:hAnsi="Arial" w:cs="Arial"/>
          <w:sz w:val="22"/>
        </w:rPr>
        <w:t xml:space="preserve"> que «[…] </w:t>
      </w:r>
      <w:r w:rsidR="00AB0AC9" w:rsidRPr="0045129A">
        <w:rPr>
          <w:rFonts w:ascii="Arial" w:hAnsi="Arial" w:cs="Arial"/>
          <w:sz w:val="22"/>
        </w:rPr>
        <w:t xml:space="preserve">a menos que expresamente se estipule de otra manera, los términos deben entenderse de acuerdo con la definición contenida en el artículo 2.2.1.1.1.3.1 del Decreto 1082 de 2015, la Ley 1682 de 2013 y el Anexo 3 </w:t>
      </w:r>
      <w:r w:rsidR="00420CE1" w:rsidRPr="0045129A">
        <w:rPr>
          <w:rFonts w:ascii="Arial" w:hAnsi="Arial" w:cs="Arial"/>
          <w:sz w:val="22"/>
        </w:rPr>
        <w:t>–</w:t>
      </w:r>
      <w:r w:rsidR="00AB0AC9" w:rsidRPr="0045129A">
        <w:rPr>
          <w:rFonts w:ascii="Arial" w:hAnsi="Arial" w:cs="Arial"/>
          <w:sz w:val="22"/>
        </w:rPr>
        <w:t xml:space="preserve"> Glosario</w:t>
      </w:r>
      <w:r w:rsidR="00420CE1" w:rsidRPr="0045129A">
        <w:rPr>
          <w:rFonts w:ascii="Arial" w:hAnsi="Arial" w:cs="Arial"/>
          <w:sz w:val="22"/>
        </w:rPr>
        <w:t xml:space="preserve">». </w:t>
      </w:r>
      <w:r w:rsidR="00170C2F" w:rsidRPr="0045129A">
        <w:rPr>
          <w:rFonts w:ascii="Arial" w:hAnsi="Arial" w:cs="Arial"/>
          <w:sz w:val="22"/>
        </w:rPr>
        <w:t>En particular, s</w:t>
      </w:r>
      <w:r w:rsidR="00420CE1" w:rsidRPr="0045129A">
        <w:rPr>
          <w:rFonts w:ascii="Arial" w:hAnsi="Arial" w:cs="Arial"/>
          <w:sz w:val="22"/>
        </w:rPr>
        <w:t>obre la</w:t>
      </w:r>
      <w:r w:rsidR="00FA1FCC" w:rsidRPr="0045129A">
        <w:rPr>
          <w:rFonts w:ascii="Arial" w:hAnsi="Arial" w:cs="Arial"/>
          <w:sz w:val="22"/>
        </w:rPr>
        <w:t>s</w:t>
      </w:r>
      <w:r w:rsidR="00420CE1" w:rsidRPr="0045129A">
        <w:rPr>
          <w:rFonts w:ascii="Arial" w:hAnsi="Arial" w:cs="Arial"/>
          <w:sz w:val="22"/>
        </w:rPr>
        <w:t xml:space="preserve"> noci</w:t>
      </w:r>
      <w:r w:rsidR="00FA1FCC" w:rsidRPr="0045129A">
        <w:rPr>
          <w:rFonts w:ascii="Arial" w:hAnsi="Arial" w:cs="Arial"/>
          <w:sz w:val="22"/>
        </w:rPr>
        <w:t xml:space="preserve">ones de </w:t>
      </w:r>
      <w:r w:rsidR="00FA1FCC" w:rsidRPr="0045129A">
        <w:rPr>
          <w:rFonts w:ascii="Arial" w:hAnsi="Arial" w:cs="Arial"/>
          <w:i/>
          <w:iCs/>
          <w:sz w:val="22"/>
        </w:rPr>
        <w:t>Proyectos de Construcción</w:t>
      </w:r>
      <w:r w:rsidR="00A969D3" w:rsidRPr="0045129A">
        <w:rPr>
          <w:rFonts w:ascii="Arial" w:hAnsi="Arial" w:cs="Arial"/>
          <w:sz w:val="22"/>
        </w:rPr>
        <w:t xml:space="preserve">, </w:t>
      </w:r>
      <w:r w:rsidR="00420CE1" w:rsidRPr="0045129A">
        <w:rPr>
          <w:rFonts w:ascii="Arial" w:hAnsi="Arial" w:cs="Arial"/>
          <w:i/>
          <w:iCs/>
          <w:sz w:val="22"/>
        </w:rPr>
        <w:t>Proyecto</w:t>
      </w:r>
      <w:r w:rsidR="00676E41" w:rsidRPr="0045129A">
        <w:rPr>
          <w:rFonts w:ascii="Arial" w:hAnsi="Arial" w:cs="Arial"/>
          <w:i/>
          <w:iCs/>
          <w:sz w:val="22"/>
        </w:rPr>
        <w:t>s</w:t>
      </w:r>
      <w:r w:rsidR="00420CE1" w:rsidRPr="0045129A">
        <w:rPr>
          <w:rFonts w:ascii="Arial" w:hAnsi="Arial" w:cs="Arial"/>
          <w:i/>
          <w:iCs/>
          <w:sz w:val="22"/>
        </w:rPr>
        <w:t xml:space="preserve"> de Mejoramiento</w:t>
      </w:r>
      <w:r w:rsidR="00A969D3" w:rsidRPr="0045129A">
        <w:rPr>
          <w:rFonts w:ascii="Arial" w:hAnsi="Arial" w:cs="Arial"/>
          <w:sz w:val="22"/>
        </w:rPr>
        <w:t xml:space="preserve"> y </w:t>
      </w:r>
      <w:r w:rsidR="00A969D3" w:rsidRPr="0045129A">
        <w:rPr>
          <w:rFonts w:ascii="Arial" w:hAnsi="Arial" w:cs="Arial"/>
          <w:i/>
          <w:iCs/>
          <w:sz w:val="22"/>
        </w:rPr>
        <w:t>Pro</w:t>
      </w:r>
      <w:r w:rsidR="00170C2F" w:rsidRPr="0045129A">
        <w:rPr>
          <w:rFonts w:ascii="Arial" w:hAnsi="Arial" w:cs="Arial"/>
          <w:i/>
          <w:iCs/>
          <w:sz w:val="22"/>
        </w:rPr>
        <w:t>yectos de rehabilitación</w:t>
      </w:r>
      <w:r w:rsidR="001A48CC" w:rsidRPr="0045129A">
        <w:rPr>
          <w:rFonts w:ascii="Arial" w:hAnsi="Arial" w:cs="Arial"/>
          <w:sz w:val="22"/>
        </w:rPr>
        <w:t xml:space="preserve"> </w:t>
      </w:r>
      <w:r w:rsidR="00327DA2" w:rsidRPr="0045129A">
        <w:rPr>
          <w:rFonts w:ascii="Arial" w:hAnsi="Arial" w:cs="Arial"/>
          <w:sz w:val="22"/>
        </w:rPr>
        <w:t>una</w:t>
      </w:r>
      <w:r w:rsidR="00FA1FCC" w:rsidRPr="0045129A">
        <w:rPr>
          <w:rFonts w:ascii="Arial" w:hAnsi="Arial" w:cs="Arial"/>
          <w:sz w:val="22"/>
        </w:rPr>
        <w:t>s</w:t>
      </w:r>
      <w:r w:rsidR="00327DA2" w:rsidRPr="0045129A">
        <w:rPr>
          <w:rFonts w:ascii="Arial" w:hAnsi="Arial" w:cs="Arial"/>
          <w:sz w:val="22"/>
        </w:rPr>
        <w:t xml:space="preserve"> de las actividades que deben por regla general contratarse </w:t>
      </w:r>
      <w:r w:rsidR="001A48CC" w:rsidRPr="0045129A">
        <w:rPr>
          <w:rFonts w:ascii="Arial" w:hAnsi="Arial" w:cs="Arial"/>
          <w:sz w:val="22"/>
        </w:rPr>
        <w:t>aplicando documentos tipo, l</w:t>
      </w:r>
      <w:r w:rsidR="00FA1FCC" w:rsidRPr="0045129A">
        <w:rPr>
          <w:rFonts w:ascii="Arial" w:hAnsi="Arial" w:cs="Arial"/>
          <w:sz w:val="22"/>
        </w:rPr>
        <w:t>os</w:t>
      </w:r>
      <w:r w:rsidR="001A48CC" w:rsidRPr="0045129A">
        <w:rPr>
          <w:rFonts w:ascii="Arial" w:hAnsi="Arial" w:cs="Arial"/>
          <w:sz w:val="22"/>
        </w:rPr>
        <w:t xml:space="preserve"> numeral</w:t>
      </w:r>
      <w:r w:rsidR="00FA1FCC" w:rsidRPr="0045129A">
        <w:rPr>
          <w:rFonts w:ascii="Arial" w:hAnsi="Arial" w:cs="Arial"/>
          <w:sz w:val="22"/>
        </w:rPr>
        <w:t>es</w:t>
      </w:r>
      <w:r w:rsidR="001A48CC" w:rsidRPr="0045129A">
        <w:rPr>
          <w:rFonts w:ascii="Arial" w:hAnsi="Arial" w:cs="Arial"/>
          <w:sz w:val="22"/>
        </w:rPr>
        <w:t xml:space="preserve"> </w:t>
      </w:r>
      <w:r w:rsidR="00FA1FCC" w:rsidRPr="0045129A">
        <w:rPr>
          <w:rFonts w:ascii="Arial" w:hAnsi="Arial" w:cs="Arial"/>
          <w:sz w:val="22"/>
        </w:rPr>
        <w:t>2.62</w:t>
      </w:r>
      <w:r w:rsidR="007E1111" w:rsidRPr="0045129A">
        <w:rPr>
          <w:rFonts w:ascii="Arial" w:hAnsi="Arial" w:cs="Arial"/>
          <w:sz w:val="22"/>
        </w:rPr>
        <w:t>,</w:t>
      </w:r>
      <w:r w:rsidR="00FA1FCC" w:rsidRPr="0045129A">
        <w:rPr>
          <w:rFonts w:ascii="Arial" w:hAnsi="Arial" w:cs="Arial"/>
          <w:sz w:val="22"/>
        </w:rPr>
        <w:t xml:space="preserve"> </w:t>
      </w:r>
      <w:r w:rsidR="001A48CC" w:rsidRPr="0045129A">
        <w:rPr>
          <w:rFonts w:ascii="Arial" w:hAnsi="Arial" w:cs="Arial"/>
          <w:sz w:val="22"/>
        </w:rPr>
        <w:t>2.70</w:t>
      </w:r>
      <w:r w:rsidR="007E1111" w:rsidRPr="0045129A">
        <w:rPr>
          <w:rFonts w:ascii="Arial" w:hAnsi="Arial" w:cs="Arial"/>
          <w:sz w:val="22"/>
        </w:rPr>
        <w:t xml:space="preserve"> y 2.72</w:t>
      </w:r>
      <w:r w:rsidR="001A48CC" w:rsidRPr="0045129A">
        <w:rPr>
          <w:rFonts w:ascii="Arial" w:hAnsi="Arial" w:cs="Arial"/>
          <w:sz w:val="22"/>
        </w:rPr>
        <w:t xml:space="preserve"> del «Anexo 3 – Glosario» establece</w:t>
      </w:r>
      <w:r w:rsidR="00FD55D9" w:rsidRPr="0045129A">
        <w:rPr>
          <w:rFonts w:ascii="Arial" w:hAnsi="Arial" w:cs="Arial"/>
          <w:sz w:val="22"/>
        </w:rPr>
        <w:t>n</w:t>
      </w:r>
      <w:r w:rsidR="001A48CC" w:rsidRPr="0045129A">
        <w:rPr>
          <w:rFonts w:ascii="Arial" w:hAnsi="Arial" w:cs="Arial"/>
          <w:sz w:val="22"/>
        </w:rPr>
        <w:t xml:space="preserve">: </w:t>
      </w:r>
    </w:p>
    <w:p w14:paraId="47C4DC13" w14:textId="663BA27C" w:rsidR="008C42DE" w:rsidRPr="0045129A" w:rsidRDefault="008C42DE" w:rsidP="00ED58CC">
      <w:pPr>
        <w:spacing w:line="276" w:lineRule="auto"/>
        <w:jc w:val="both"/>
        <w:rPr>
          <w:rFonts w:ascii="Arial" w:eastAsia="Times New Roman" w:hAnsi="Arial" w:cs="Arial"/>
          <w:bCs/>
          <w:sz w:val="20"/>
          <w:szCs w:val="20"/>
          <w:lang w:val="es-CO" w:eastAsia="es-ES"/>
        </w:rPr>
      </w:pPr>
    </w:p>
    <w:p w14:paraId="18D56A3B" w14:textId="20764CAE" w:rsidR="008C42DE" w:rsidRPr="0045129A" w:rsidRDefault="008C42DE" w:rsidP="0045129A">
      <w:pPr>
        <w:spacing w:after="120"/>
        <w:ind w:left="709" w:right="709"/>
        <w:jc w:val="both"/>
        <w:rPr>
          <w:rFonts w:ascii="Arial" w:eastAsia="Times New Roman" w:hAnsi="Arial" w:cs="Arial"/>
          <w:bCs/>
          <w:sz w:val="20"/>
          <w:szCs w:val="20"/>
          <w:lang w:val="es-CO" w:eastAsia="es-ES"/>
        </w:rPr>
      </w:pPr>
      <w:r w:rsidRPr="0045129A">
        <w:rPr>
          <w:rFonts w:ascii="Arial" w:eastAsia="Times New Roman" w:hAnsi="Arial" w:cs="Arial"/>
          <w:bCs/>
          <w:sz w:val="20"/>
          <w:szCs w:val="20"/>
          <w:lang w:val="es-CO" w:eastAsia="es-ES"/>
        </w:rPr>
        <w:t>2.62</w:t>
      </w:r>
      <w:r w:rsidRPr="0045129A">
        <w:rPr>
          <w:rFonts w:ascii="Arial" w:eastAsia="Times New Roman" w:hAnsi="Arial" w:cs="Arial"/>
          <w:bCs/>
          <w:sz w:val="20"/>
          <w:szCs w:val="20"/>
          <w:lang w:val="es-CO" w:eastAsia="es-ES"/>
        </w:rPr>
        <w:tab/>
        <w:t>Proyectos de construcción: Es toda construcción de una infraestructura, sea o no que el sitio sobre el que se construye estuvo previamente ocupado</w:t>
      </w:r>
    </w:p>
    <w:p w14:paraId="7390FDD6" w14:textId="14BC5F9C" w:rsidR="008C42DE" w:rsidRPr="0045129A" w:rsidRDefault="008C42DE" w:rsidP="0045129A">
      <w:pPr>
        <w:spacing w:after="120"/>
        <w:ind w:left="709" w:right="709"/>
        <w:jc w:val="both"/>
        <w:rPr>
          <w:rFonts w:ascii="Arial" w:eastAsia="Times New Roman" w:hAnsi="Arial" w:cs="Arial"/>
          <w:bCs/>
          <w:sz w:val="20"/>
          <w:szCs w:val="20"/>
          <w:lang w:val="es-CO" w:eastAsia="es-ES"/>
        </w:rPr>
      </w:pPr>
      <w:r w:rsidRPr="0045129A">
        <w:rPr>
          <w:rFonts w:ascii="Arial" w:eastAsia="Times New Roman" w:hAnsi="Arial" w:cs="Arial"/>
          <w:bCs/>
          <w:sz w:val="20"/>
          <w:szCs w:val="20"/>
          <w:lang w:val="es-CO" w:eastAsia="es-ES"/>
        </w:rPr>
        <w:t>[…]</w:t>
      </w:r>
    </w:p>
    <w:p w14:paraId="236FAAE9" w14:textId="77777777" w:rsidR="00D60486" w:rsidRPr="0045129A" w:rsidRDefault="002860AF" w:rsidP="0045129A">
      <w:pPr>
        <w:pStyle w:val="Invias-VietaNumerada"/>
        <w:numPr>
          <w:ilvl w:val="1"/>
          <w:numId w:val="11"/>
        </w:numPr>
        <w:autoSpaceDE w:val="0"/>
        <w:autoSpaceDN w:val="0"/>
        <w:adjustRightInd w:val="0"/>
        <w:spacing w:before="0"/>
        <w:ind w:left="709" w:right="709" w:hanging="12"/>
        <w:rPr>
          <w:rFonts w:ascii="Arial" w:hAnsi="Arial" w:cs="Arial"/>
          <w:i/>
          <w:iCs/>
          <w:sz w:val="20"/>
          <w:szCs w:val="20"/>
          <w:u w:val="single"/>
          <w:lang w:val="es-CO"/>
        </w:rPr>
      </w:pPr>
      <w:r w:rsidRPr="0045129A">
        <w:rPr>
          <w:rFonts w:ascii="Arial" w:hAnsi="Arial" w:cs="Arial"/>
          <w:bCs/>
          <w:sz w:val="20"/>
          <w:szCs w:val="20"/>
          <w:lang w:val="es-CO"/>
        </w:rPr>
        <w:t>Proyectos de mejoramiento:</w:t>
      </w:r>
      <w:r w:rsidRPr="0045129A">
        <w:rPr>
          <w:rFonts w:ascii="Arial" w:hAnsi="Arial" w:cs="Arial"/>
          <w:b/>
          <w:sz w:val="20"/>
          <w:szCs w:val="20"/>
          <w:lang w:val="es-CO"/>
        </w:rPr>
        <w:t xml:space="preserve"> </w:t>
      </w:r>
      <w:r w:rsidRPr="0045129A">
        <w:rPr>
          <w:rFonts w:ascii="Arial" w:hAnsi="Arial" w:cs="Arial"/>
          <w:sz w:val="20"/>
          <w:szCs w:val="20"/>
          <w:lang w:val="es-CO"/>
        </w:rPr>
        <w:t xml:space="preserve">Es el cambio de especificaciones y dimensiones de la obra; para lo cual, se hace necesaria la construcción de obras en infraestructura ya existente, que permitan una adecuación de la obra a los niveles de servicio requeridos por las condiciones actuales y proyectadas. </w:t>
      </w:r>
      <w:r w:rsidRPr="0045129A">
        <w:rPr>
          <w:rFonts w:ascii="Arial" w:hAnsi="Arial" w:cs="Arial"/>
          <w:i/>
          <w:iCs/>
          <w:sz w:val="20"/>
          <w:szCs w:val="20"/>
          <w:u w:val="single"/>
          <w:lang w:val="es-CO"/>
        </w:rPr>
        <w:t>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r w:rsidRPr="0045129A">
        <w:rPr>
          <w:rFonts w:ascii="Arial" w:hAnsi="Arial" w:cs="Arial"/>
          <w:i/>
          <w:iCs/>
          <w:sz w:val="20"/>
          <w:szCs w:val="20"/>
          <w:lang w:val="es-CO"/>
        </w:rPr>
        <w:t>.</w:t>
      </w:r>
      <w:r w:rsidR="001A48CC" w:rsidRPr="0045129A">
        <w:rPr>
          <w:rFonts w:ascii="Arial" w:hAnsi="Arial" w:cs="Arial"/>
          <w:i/>
          <w:iCs/>
          <w:sz w:val="20"/>
          <w:szCs w:val="20"/>
          <w:lang w:val="es-CO"/>
        </w:rPr>
        <w:t xml:space="preserve"> </w:t>
      </w:r>
    </w:p>
    <w:p w14:paraId="7EEF0B64" w14:textId="0867B097" w:rsidR="00D60486" w:rsidRPr="0045129A" w:rsidRDefault="00A969D3" w:rsidP="0045129A">
      <w:pPr>
        <w:pStyle w:val="Invias-VietaNumerada"/>
        <w:autoSpaceDE w:val="0"/>
        <w:autoSpaceDN w:val="0"/>
        <w:adjustRightInd w:val="0"/>
        <w:spacing w:before="0"/>
        <w:ind w:left="709" w:right="709"/>
        <w:rPr>
          <w:rFonts w:ascii="Arial" w:hAnsi="Arial" w:cs="Arial"/>
          <w:sz w:val="20"/>
          <w:szCs w:val="20"/>
          <w:u w:val="single"/>
          <w:lang w:val="es-CO"/>
        </w:rPr>
      </w:pPr>
      <w:r w:rsidRPr="0045129A">
        <w:rPr>
          <w:rFonts w:ascii="Arial" w:hAnsi="Arial" w:cs="Arial"/>
          <w:sz w:val="20"/>
          <w:szCs w:val="20"/>
          <w:u w:val="single"/>
          <w:lang w:val="es-CO"/>
        </w:rPr>
        <w:t>[…]</w:t>
      </w:r>
    </w:p>
    <w:p w14:paraId="44706335" w14:textId="0CEE4AB4" w:rsidR="002860AF" w:rsidRPr="0045129A" w:rsidRDefault="00D60486" w:rsidP="0045129A">
      <w:pPr>
        <w:pStyle w:val="Invias-VietaNumerada"/>
        <w:autoSpaceDE w:val="0"/>
        <w:autoSpaceDN w:val="0"/>
        <w:adjustRightInd w:val="0"/>
        <w:spacing w:before="0" w:after="0"/>
        <w:ind w:left="709" w:right="709"/>
        <w:rPr>
          <w:rFonts w:ascii="Arial" w:hAnsi="Arial" w:cs="Arial"/>
          <w:i/>
          <w:iCs/>
          <w:sz w:val="20"/>
          <w:szCs w:val="20"/>
          <w:u w:val="single"/>
          <w:lang w:val="es-CO"/>
        </w:rPr>
      </w:pPr>
      <w:r w:rsidRPr="0045129A">
        <w:rPr>
          <w:rFonts w:ascii="Arial" w:hAnsi="Arial" w:cs="Arial"/>
          <w:sz w:val="20"/>
          <w:szCs w:val="20"/>
          <w:lang w:val="es-CO"/>
        </w:rPr>
        <w:t>2.72</w:t>
      </w:r>
      <w:r w:rsidRPr="0045129A">
        <w:rPr>
          <w:rFonts w:ascii="Arial" w:hAnsi="Arial" w:cs="Arial"/>
          <w:sz w:val="20"/>
          <w:szCs w:val="20"/>
          <w:lang w:val="es-CO"/>
        </w:rPr>
        <w:tab/>
        <w:t xml:space="preserve">Proyectos de rehabilitación: Son las actividades que tienen por objeto reconstruir o recuperar las condiciones estructurales y funcionales iniciales de la obra de manera que se cumplan las especificaciones técnicas con que fue diseñada. Para este proceso deben comprender como mínimo las actividades de construcción de capas granulares para estructura de pavimento y construcción de superficie de rodadura en concreto asfáltico o hidráulico. No serán tenidas en cuenta las actividades de mantenimiento periódico ni de mantenimiento rutinario, tales como parcheos, bacheos, sello de fisuras, desmonte y limpieza. </w:t>
      </w:r>
      <w:r w:rsidR="001A48CC" w:rsidRPr="0045129A">
        <w:rPr>
          <w:rFonts w:ascii="Arial" w:hAnsi="Arial" w:cs="Arial"/>
          <w:sz w:val="20"/>
          <w:szCs w:val="20"/>
          <w:lang w:val="es-CO"/>
        </w:rPr>
        <w:t>[énfasis fuera de texto]</w:t>
      </w:r>
    </w:p>
    <w:p w14:paraId="603D769B" w14:textId="5F625EFF" w:rsidR="002860AF" w:rsidRPr="0045129A" w:rsidRDefault="002860AF" w:rsidP="00410548">
      <w:pPr>
        <w:spacing w:line="276" w:lineRule="auto"/>
        <w:jc w:val="both"/>
        <w:rPr>
          <w:rFonts w:ascii="Arial" w:hAnsi="Arial" w:cs="Arial"/>
          <w:b/>
          <w:bCs/>
          <w:sz w:val="22"/>
        </w:rPr>
      </w:pPr>
    </w:p>
    <w:p w14:paraId="5BE35798" w14:textId="3D1026AE" w:rsidR="001A48CC" w:rsidRPr="0045129A" w:rsidRDefault="00704D8B" w:rsidP="006D0DD7">
      <w:pPr>
        <w:spacing w:after="120" w:line="276" w:lineRule="auto"/>
        <w:ind w:firstLine="709"/>
        <w:jc w:val="both"/>
        <w:rPr>
          <w:rFonts w:ascii="Arial" w:hAnsi="Arial" w:cs="Arial"/>
          <w:sz w:val="22"/>
        </w:rPr>
      </w:pPr>
      <w:r w:rsidRPr="0045129A">
        <w:rPr>
          <w:rFonts w:ascii="Arial" w:hAnsi="Arial" w:cs="Arial"/>
          <w:sz w:val="22"/>
        </w:rPr>
        <w:t xml:space="preserve">Como se aprecia, la definición de </w:t>
      </w:r>
      <w:r w:rsidRPr="0045129A">
        <w:rPr>
          <w:rFonts w:ascii="Arial" w:hAnsi="Arial" w:cs="Arial"/>
          <w:i/>
          <w:iCs/>
          <w:sz w:val="22"/>
        </w:rPr>
        <w:t>Proyectos de construcción</w:t>
      </w:r>
      <w:r w:rsidR="00E379B6" w:rsidRPr="0045129A">
        <w:rPr>
          <w:rFonts w:ascii="Arial" w:hAnsi="Arial" w:cs="Arial"/>
          <w:i/>
          <w:iCs/>
          <w:sz w:val="22"/>
        </w:rPr>
        <w:t xml:space="preserve"> </w:t>
      </w:r>
      <w:r w:rsidR="00E379B6" w:rsidRPr="0045129A">
        <w:rPr>
          <w:rFonts w:ascii="Arial" w:hAnsi="Arial" w:cs="Arial"/>
          <w:sz w:val="22"/>
        </w:rPr>
        <w:t xml:space="preserve">aplica a toda construcción de </w:t>
      </w:r>
      <w:r w:rsidR="00896E25" w:rsidRPr="0045129A">
        <w:rPr>
          <w:rFonts w:ascii="Arial" w:hAnsi="Arial" w:cs="Arial"/>
          <w:sz w:val="22"/>
        </w:rPr>
        <w:t xml:space="preserve">infraestructura nueva, </w:t>
      </w:r>
      <w:r w:rsidR="00BB7083" w:rsidRPr="0045129A">
        <w:rPr>
          <w:rFonts w:ascii="Arial" w:hAnsi="Arial" w:cs="Arial"/>
          <w:sz w:val="22"/>
        </w:rPr>
        <w:t>independiente de que se realicen</w:t>
      </w:r>
      <w:r w:rsidR="00D622C5" w:rsidRPr="0045129A">
        <w:rPr>
          <w:rFonts w:ascii="Arial" w:hAnsi="Arial" w:cs="Arial"/>
          <w:sz w:val="22"/>
        </w:rPr>
        <w:t xml:space="preserve"> o no</w:t>
      </w:r>
      <w:r w:rsidR="00BB7083" w:rsidRPr="0045129A">
        <w:rPr>
          <w:rFonts w:ascii="Arial" w:hAnsi="Arial" w:cs="Arial"/>
          <w:sz w:val="22"/>
        </w:rPr>
        <w:t xml:space="preserve"> en sitios previament</w:t>
      </w:r>
      <w:r w:rsidR="00D622C5" w:rsidRPr="0045129A">
        <w:rPr>
          <w:rFonts w:ascii="Arial" w:hAnsi="Arial" w:cs="Arial"/>
          <w:sz w:val="22"/>
        </w:rPr>
        <w:t xml:space="preserve">e ocupados. </w:t>
      </w:r>
      <w:r w:rsidR="006C6346" w:rsidRPr="0045129A">
        <w:rPr>
          <w:rFonts w:ascii="Arial" w:hAnsi="Arial" w:cs="Arial"/>
          <w:sz w:val="22"/>
        </w:rPr>
        <w:t xml:space="preserve">Por otra parte, </w:t>
      </w:r>
      <w:r w:rsidR="00E62C13" w:rsidRPr="0045129A">
        <w:rPr>
          <w:rFonts w:ascii="Arial" w:hAnsi="Arial" w:cs="Arial"/>
          <w:sz w:val="22"/>
        </w:rPr>
        <w:t>la</w:t>
      </w:r>
      <w:r w:rsidR="00E12B15" w:rsidRPr="0045129A">
        <w:rPr>
          <w:rFonts w:ascii="Arial" w:hAnsi="Arial" w:cs="Arial"/>
          <w:sz w:val="22"/>
        </w:rPr>
        <w:t>s</w:t>
      </w:r>
      <w:r w:rsidR="00E62C13" w:rsidRPr="0045129A">
        <w:rPr>
          <w:rFonts w:ascii="Arial" w:hAnsi="Arial" w:cs="Arial"/>
          <w:sz w:val="22"/>
        </w:rPr>
        <w:t xml:space="preserve"> definici</w:t>
      </w:r>
      <w:r w:rsidR="00E12B15" w:rsidRPr="0045129A">
        <w:rPr>
          <w:rFonts w:ascii="Arial" w:hAnsi="Arial" w:cs="Arial"/>
          <w:sz w:val="22"/>
        </w:rPr>
        <w:t>ones</w:t>
      </w:r>
      <w:r w:rsidR="008F2840" w:rsidRPr="0045129A">
        <w:rPr>
          <w:rFonts w:ascii="Arial" w:hAnsi="Arial" w:cs="Arial"/>
          <w:sz w:val="22"/>
        </w:rPr>
        <w:t xml:space="preserve"> de </w:t>
      </w:r>
      <w:r w:rsidR="008F2840" w:rsidRPr="0045129A">
        <w:rPr>
          <w:rFonts w:ascii="Arial" w:hAnsi="Arial" w:cs="Arial"/>
          <w:i/>
          <w:iCs/>
          <w:sz w:val="22"/>
        </w:rPr>
        <w:t xml:space="preserve">Proyectos de </w:t>
      </w:r>
      <w:r w:rsidR="00E12B15" w:rsidRPr="0045129A">
        <w:rPr>
          <w:rFonts w:ascii="Arial" w:hAnsi="Arial" w:cs="Arial"/>
          <w:i/>
          <w:iCs/>
          <w:sz w:val="22"/>
        </w:rPr>
        <w:t>m</w:t>
      </w:r>
      <w:r w:rsidR="008F2840" w:rsidRPr="0045129A">
        <w:rPr>
          <w:rFonts w:ascii="Arial" w:hAnsi="Arial" w:cs="Arial"/>
          <w:i/>
          <w:iCs/>
          <w:sz w:val="22"/>
        </w:rPr>
        <w:t>ejoramiento</w:t>
      </w:r>
      <w:r w:rsidR="00E12B15" w:rsidRPr="0045129A">
        <w:rPr>
          <w:rFonts w:ascii="Arial" w:hAnsi="Arial" w:cs="Arial"/>
          <w:sz w:val="22"/>
        </w:rPr>
        <w:t xml:space="preserve"> y </w:t>
      </w:r>
      <w:r w:rsidR="00E12B15" w:rsidRPr="0045129A">
        <w:rPr>
          <w:rFonts w:ascii="Arial" w:hAnsi="Arial" w:cs="Arial"/>
          <w:i/>
          <w:iCs/>
          <w:sz w:val="22"/>
        </w:rPr>
        <w:t>Proyectos de rehabilitación</w:t>
      </w:r>
      <w:r w:rsidR="008F2840" w:rsidRPr="0045129A">
        <w:rPr>
          <w:rFonts w:ascii="Arial" w:hAnsi="Arial" w:cs="Arial"/>
          <w:sz w:val="22"/>
        </w:rPr>
        <w:t xml:space="preserve"> </w:t>
      </w:r>
      <w:r w:rsidR="004C101A" w:rsidRPr="0045129A">
        <w:rPr>
          <w:rFonts w:ascii="Arial" w:hAnsi="Arial" w:cs="Arial"/>
          <w:sz w:val="22"/>
        </w:rPr>
        <w:t>transcrita</w:t>
      </w:r>
      <w:r w:rsidR="00E12B15" w:rsidRPr="0045129A">
        <w:rPr>
          <w:rFonts w:ascii="Arial" w:hAnsi="Arial" w:cs="Arial"/>
          <w:sz w:val="22"/>
        </w:rPr>
        <w:t>s</w:t>
      </w:r>
      <w:r w:rsidR="004C101A" w:rsidRPr="0045129A">
        <w:rPr>
          <w:rFonts w:ascii="Arial" w:hAnsi="Arial" w:cs="Arial"/>
          <w:sz w:val="22"/>
        </w:rPr>
        <w:t xml:space="preserve"> </w:t>
      </w:r>
      <w:r w:rsidR="00CA5FC1" w:rsidRPr="0045129A">
        <w:rPr>
          <w:rFonts w:ascii="Arial" w:hAnsi="Arial" w:cs="Arial"/>
          <w:sz w:val="22"/>
        </w:rPr>
        <w:t>hace</w:t>
      </w:r>
      <w:r w:rsidR="00E12B15" w:rsidRPr="0045129A">
        <w:rPr>
          <w:rFonts w:ascii="Arial" w:hAnsi="Arial" w:cs="Arial"/>
          <w:sz w:val="22"/>
        </w:rPr>
        <w:t xml:space="preserve">n </w:t>
      </w:r>
      <w:r w:rsidR="00CA5FC1" w:rsidRPr="0045129A">
        <w:rPr>
          <w:rFonts w:ascii="Arial" w:hAnsi="Arial" w:cs="Arial"/>
          <w:sz w:val="22"/>
        </w:rPr>
        <w:t>alusión a diferentes actividades que involucran este tipo de proyect</w:t>
      </w:r>
      <w:r w:rsidR="00CD625D" w:rsidRPr="0045129A">
        <w:rPr>
          <w:rFonts w:ascii="Arial" w:hAnsi="Arial" w:cs="Arial"/>
          <w:sz w:val="22"/>
        </w:rPr>
        <w:t xml:space="preserve">os, estableciendo la idea según la cual, para que </w:t>
      </w:r>
      <w:r w:rsidR="00E12B15" w:rsidRPr="0045129A">
        <w:rPr>
          <w:rFonts w:ascii="Arial" w:hAnsi="Arial" w:cs="Arial"/>
          <w:sz w:val="22"/>
        </w:rPr>
        <w:t>sean considerados como tales</w:t>
      </w:r>
      <w:r w:rsidR="004C101A" w:rsidRPr="0045129A">
        <w:rPr>
          <w:rFonts w:ascii="Arial" w:hAnsi="Arial" w:cs="Arial"/>
          <w:sz w:val="22"/>
        </w:rPr>
        <w:t>, debe</w:t>
      </w:r>
      <w:r w:rsidR="00E12B15" w:rsidRPr="0045129A">
        <w:rPr>
          <w:rFonts w:ascii="Arial" w:hAnsi="Arial" w:cs="Arial"/>
          <w:sz w:val="22"/>
        </w:rPr>
        <w:t>n</w:t>
      </w:r>
      <w:r w:rsidR="001A5E8A" w:rsidRPr="0045129A">
        <w:rPr>
          <w:rFonts w:ascii="Arial" w:hAnsi="Arial" w:cs="Arial"/>
          <w:sz w:val="22"/>
        </w:rPr>
        <w:t xml:space="preserve"> comprender </w:t>
      </w:r>
      <w:r w:rsidR="0020200F" w:rsidRPr="0045129A">
        <w:rPr>
          <w:rFonts w:ascii="Arial" w:hAnsi="Arial" w:cs="Arial"/>
          <w:sz w:val="22"/>
        </w:rPr>
        <w:t>dichas</w:t>
      </w:r>
      <w:r w:rsidR="004C27ED" w:rsidRPr="0045129A">
        <w:rPr>
          <w:rFonts w:ascii="Arial" w:hAnsi="Arial" w:cs="Arial"/>
          <w:sz w:val="22"/>
        </w:rPr>
        <w:t xml:space="preserve"> </w:t>
      </w:r>
      <w:r w:rsidR="001A5E8A" w:rsidRPr="0045129A">
        <w:rPr>
          <w:rFonts w:ascii="Arial" w:hAnsi="Arial" w:cs="Arial"/>
          <w:sz w:val="22"/>
        </w:rPr>
        <w:t xml:space="preserve">actividades. Al respecto se aclara que cuando la definición </w:t>
      </w:r>
      <w:r w:rsidR="00D01C60" w:rsidRPr="0045129A">
        <w:rPr>
          <w:rFonts w:ascii="Arial" w:hAnsi="Arial" w:cs="Arial"/>
          <w:sz w:val="22"/>
        </w:rPr>
        <w:t xml:space="preserve">usa la expresión </w:t>
      </w:r>
      <w:r w:rsidR="008F10F3" w:rsidRPr="0045129A">
        <w:rPr>
          <w:rFonts w:ascii="Arial" w:hAnsi="Arial" w:cs="Arial"/>
          <w:sz w:val="22"/>
        </w:rPr>
        <w:t xml:space="preserve">«[…] debe comprender como </w:t>
      </w:r>
      <w:r w:rsidR="00D01C60" w:rsidRPr="0045129A">
        <w:rPr>
          <w:rFonts w:ascii="Arial" w:hAnsi="Arial" w:cs="Arial"/>
          <w:sz w:val="22"/>
        </w:rPr>
        <w:t>mínimo</w:t>
      </w:r>
      <w:r w:rsidR="008F10F3" w:rsidRPr="0045129A">
        <w:rPr>
          <w:rFonts w:ascii="Arial" w:hAnsi="Arial" w:cs="Arial"/>
          <w:sz w:val="22"/>
        </w:rPr>
        <w:t xml:space="preserve"> las actividades […]</w:t>
      </w:r>
      <w:r w:rsidR="00D01C60" w:rsidRPr="0045129A">
        <w:rPr>
          <w:rFonts w:ascii="Arial" w:hAnsi="Arial" w:cs="Arial"/>
          <w:sz w:val="22"/>
        </w:rPr>
        <w:t>»</w:t>
      </w:r>
      <w:r w:rsidR="004E5034" w:rsidRPr="0045129A">
        <w:rPr>
          <w:rFonts w:ascii="Arial" w:hAnsi="Arial" w:cs="Arial"/>
          <w:sz w:val="22"/>
        </w:rPr>
        <w:t>,</w:t>
      </w:r>
      <w:r w:rsidR="00DE5660" w:rsidRPr="0045129A">
        <w:rPr>
          <w:rFonts w:ascii="Arial" w:hAnsi="Arial" w:cs="Arial"/>
          <w:sz w:val="22"/>
        </w:rPr>
        <w:t xml:space="preserve"> a lo que apunta es que </w:t>
      </w:r>
      <w:r w:rsidR="004C27ED" w:rsidRPr="0045129A">
        <w:rPr>
          <w:rFonts w:ascii="Arial" w:hAnsi="Arial" w:cs="Arial"/>
          <w:sz w:val="22"/>
        </w:rPr>
        <w:t>los</w:t>
      </w:r>
      <w:r w:rsidR="00DE5660" w:rsidRPr="0045129A">
        <w:rPr>
          <w:rFonts w:ascii="Arial" w:hAnsi="Arial" w:cs="Arial"/>
          <w:sz w:val="22"/>
        </w:rPr>
        <w:t xml:space="preserve"> pro</w:t>
      </w:r>
      <w:r w:rsidR="00DD3792" w:rsidRPr="0045129A">
        <w:rPr>
          <w:rFonts w:ascii="Arial" w:hAnsi="Arial" w:cs="Arial"/>
          <w:sz w:val="22"/>
        </w:rPr>
        <w:t>yecto</w:t>
      </w:r>
      <w:r w:rsidR="004C27ED" w:rsidRPr="0045129A">
        <w:rPr>
          <w:rFonts w:ascii="Arial" w:hAnsi="Arial" w:cs="Arial"/>
          <w:sz w:val="22"/>
        </w:rPr>
        <w:t>s</w:t>
      </w:r>
      <w:r w:rsidR="00DD3792" w:rsidRPr="0045129A">
        <w:rPr>
          <w:rFonts w:ascii="Arial" w:hAnsi="Arial" w:cs="Arial"/>
          <w:sz w:val="22"/>
        </w:rPr>
        <w:t xml:space="preserve"> implique</w:t>
      </w:r>
      <w:r w:rsidR="004C27ED" w:rsidRPr="0045129A">
        <w:rPr>
          <w:rFonts w:ascii="Arial" w:hAnsi="Arial" w:cs="Arial"/>
          <w:sz w:val="22"/>
        </w:rPr>
        <w:t>n</w:t>
      </w:r>
      <w:r w:rsidR="00DD3792" w:rsidRPr="0045129A">
        <w:rPr>
          <w:rFonts w:ascii="Arial" w:hAnsi="Arial" w:cs="Arial"/>
          <w:sz w:val="22"/>
        </w:rPr>
        <w:t xml:space="preserve"> al menos la realización de </w:t>
      </w:r>
      <w:r w:rsidR="0020200F" w:rsidRPr="0045129A">
        <w:rPr>
          <w:rFonts w:ascii="Arial" w:hAnsi="Arial" w:cs="Arial"/>
          <w:sz w:val="22"/>
        </w:rPr>
        <w:t>una</w:t>
      </w:r>
      <w:r w:rsidR="00DD3792" w:rsidRPr="0045129A">
        <w:rPr>
          <w:rFonts w:ascii="Arial" w:hAnsi="Arial" w:cs="Arial"/>
          <w:sz w:val="22"/>
        </w:rPr>
        <w:t xml:space="preserve"> de las actividades allí aludidas, esto es,</w:t>
      </w:r>
      <w:r w:rsidR="004C27ED" w:rsidRPr="0045129A">
        <w:rPr>
          <w:rFonts w:ascii="Arial" w:hAnsi="Arial" w:cs="Arial"/>
          <w:sz w:val="22"/>
        </w:rPr>
        <w:t xml:space="preserve"> en el caso de</w:t>
      </w:r>
      <w:r w:rsidR="00CC791E" w:rsidRPr="0045129A">
        <w:rPr>
          <w:rFonts w:ascii="Arial" w:hAnsi="Arial" w:cs="Arial"/>
          <w:sz w:val="22"/>
        </w:rPr>
        <w:t xml:space="preserve"> los </w:t>
      </w:r>
      <w:r w:rsidR="00CC791E" w:rsidRPr="0045129A">
        <w:rPr>
          <w:rFonts w:ascii="Arial" w:hAnsi="Arial" w:cs="Arial"/>
          <w:i/>
          <w:iCs/>
          <w:sz w:val="22"/>
        </w:rPr>
        <w:t>Proyectos de mejoramiento</w:t>
      </w:r>
      <w:r w:rsidR="00CC791E" w:rsidRPr="0045129A">
        <w:rPr>
          <w:rFonts w:ascii="Arial" w:hAnsi="Arial" w:cs="Arial"/>
          <w:sz w:val="22"/>
        </w:rPr>
        <w:t>,</w:t>
      </w:r>
      <w:r w:rsidR="00DD3792" w:rsidRPr="0045129A">
        <w:rPr>
          <w:rFonts w:ascii="Arial" w:hAnsi="Arial" w:cs="Arial"/>
          <w:sz w:val="22"/>
        </w:rPr>
        <w:t xml:space="preserve"> </w:t>
      </w:r>
      <w:r w:rsidR="00E67565" w:rsidRPr="0045129A">
        <w:rPr>
          <w:rFonts w:ascii="Arial" w:hAnsi="Arial" w:cs="Arial"/>
          <w:sz w:val="22"/>
        </w:rPr>
        <w:t>rectificación (alineamiento horizontal y vertical), ampliación de la sección de la vía,</w:t>
      </w:r>
      <w:r w:rsidR="00DD3792" w:rsidRPr="0045129A">
        <w:rPr>
          <w:rFonts w:ascii="Arial" w:hAnsi="Arial" w:cs="Arial"/>
          <w:sz w:val="22"/>
        </w:rPr>
        <w:t xml:space="preserve"> construcción de obras de drenaje, construcción de capas granulares para estructura de pavimento y construcción de superficie de rodadura en concreto asfáltico o hidráulico</w:t>
      </w:r>
      <w:r w:rsidR="00765646" w:rsidRPr="0045129A">
        <w:rPr>
          <w:rFonts w:ascii="Arial" w:hAnsi="Arial" w:cs="Arial"/>
          <w:sz w:val="22"/>
        </w:rPr>
        <w:t>.</w:t>
      </w:r>
      <w:r w:rsidR="00CC791E" w:rsidRPr="0045129A">
        <w:rPr>
          <w:rFonts w:ascii="Arial" w:hAnsi="Arial" w:cs="Arial"/>
          <w:sz w:val="22"/>
        </w:rPr>
        <w:t xml:space="preserve"> </w:t>
      </w:r>
      <w:r w:rsidR="00765646" w:rsidRPr="0045129A">
        <w:rPr>
          <w:rFonts w:ascii="Arial" w:hAnsi="Arial" w:cs="Arial"/>
          <w:sz w:val="22"/>
        </w:rPr>
        <w:t xml:space="preserve">Esto quiere decir que, </w:t>
      </w:r>
      <w:r w:rsidR="0020200F" w:rsidRPr="0045129A">
        <w:rPr>
          <w:rFonts w:ascii="Arial" w:hAnsi="Arial" w:cs="Arial"/>
          <w:sz w:val="22"/>
        </w:rPr>
        <w:t xml:space="preserve">para que </w:t>
      </w:r>
      <w:r w:rsidR="00765646" w:rsidRPr="0045129A">
        <w:rPr>
          <w:rFonts w:ascii="Arial" w:hAnsi="Arial" w:cs="Arial"/>
          <w:sz w:val="22"/>
        </w:rPr>
        <w:t>un</w:t>
      </w:r>
      <w:r w:rsidR="007C0CF6" w:rsidRPr="0045129A">
        <w:rPr>
          <w:rFonts w:ascii="Arial" w:hAnsi="Arial" w:cs="Arial"/>
          <w:sz w:val="22"/>
        </w:rPr>
        <w:t xml:space="preserve"> que un proyecto dirigido a intervenir infraestructura de transporte sea considerado de </w:t>
      </w:r>
      <w:r w:rsidR="007C0CF6" w:rsidRPr="0045129A">
        <w:rPr>
          <w:rFonts w:ascii="Arial" w:hAnsi="Arial" w:cs="Arial"/>
          <w:i/>
          <w:iCs/>
          <w:sz w:val="22"/>
        </w:rPr>
        <w:t>mejoramiento</w:t>
      </w:r>
      <w:r w:rsidR="002B2022" w:rsidRPr="0045129A">
        <w:rPr>
          <w:rFonts w:ascii="Arial" w:hAnsi="Arial" w:cs="Arial"/>
          <w:sz w:val="22"/>
        </w:rPr>
        <w:t xml:space="preserve"> o de rehabilitación, </w:t>
      </w:r>
      <w:r w:rsidR="007C0CF6" w:rsidRPr="0045129A">
        <w:rPr>
          <w:rFonts w:ascii="Arial" w:hAnsi="Arial" w:cs="Arial"/>
          <w:sz w:val="22"/>
        </w:rPr>
        <w:t>se requiere que comprenda al menos alguna de las</w:t>
      </w:r>
      <w:r w:rsidR="006D0DD7" w:rsidRPr="0045129A">
        <w:rPr>
          <w:rFonts w:ascii="Arial" w:hAnsi="Arial" w:cs="Arial"/>
          <w:sz w:val="22"/>
        </w:rPr>
        <w:t xml:space="preserve"> actividades</w:t>
      </w:r>
      <w:r w:rsidR="002B2022" w:rsidRPr="0045129A">
        <w:rPr>
          <w:rFonts w:ascii="Arial" w:hAnsi="Arial" w:cs="Arial"/>
          <w:sz w:val="22"/>
        </w:rPr>
        <w:t xml:space="preserve"> señaladas en las aludidas definiciones. </w:t>
      </w:r>
    </w:p>
    <w:p w14:paraId="4AA20C3A" w14:textId="395DB479" w:rsidR="0099586C" w:rsidRPr="0045129A" w:rsidRDefault="006D0DD7" w:rsidP="00D74D38">
      <w:pPr>
        <w:spacing w:line="276" w:lineRule="auto"/>
        <w:ind w:firstLine="709"/>
        <w:jc w:val="both"/>
        <w:rPr>
          <w:rFonts w:ascii="Arial" w:hAnsi="Arial" w:cs="Arial"/>
          <w:sz w:val="22"/>
        </w:rPr>
      </w:pPr>
      <w:r w:rsidRPr="0045129A">
        <w:rPr>
          <w:rFonts w:ascii="Arial" w:hAnsi="Arial" w:cs="Arial"/>
          <w:sz w:val="22"/>
        </w:rPr>
        <w:t xml:space="preserve">No obstante, </w:t>
      </w:r>
      <w:r w:rsidR="00AB0C91" w:rsidRPr="0045129A">
        <w:rPr>
          <w:rFonts w:ascii="Arial" w:hAnsi="Arial" w:cs="Arial"/>
          <w:sz w:val="22"/>
        </w:rPr>
        <w:t>las definiciones</w:t>
      </w:r>
      <w:r w:rsidR="00353683" w:rsidRPr="0045129A">
        <w:rPr>
          <w:rFonts w:ascii="Arial" w:hAnsi="Arial" w:cs="Arial"/>
          <w:sz w:val="22"/>
        </w:rPr>
        <w:t xml:space="preserve"> de </w:t>
      </w:r>
      <w:r w:rsidR="00353683" w:rsidRPr="0045129A">
        <w:rPr>
          <w:rFonts w:ascii="Arial" w:hAnsi="Arial" w:cs="Arial"/>
          <w:i/>
          <w:iCs/>
          <w:sz w:val="22"/>
        </w:rPr>
        <w:t>Proyectos de Construcción</w:t>
      </w:r>
      <w:r w:rsidR="00170C2F" w:rsidRPr="0045129A">
        <w:rPr>
          <w:rFonts w:ascii="Arial" w:hAnsi="Arial" w:cs="Arial"/>
          <w:sz w:val="22"/>
        </w:rPr>
        <w:t xml:space="preserve">, </w:t>
      </w:r>
      <w:r w:rsidR="00353683" w:rsidRPr="0045129A">
        <w:rPr>
          <w:rFonts w:ascii="Arial" w:hAnsi="Arial" w:cs="Arial"/>
          <w:i/>
          <w:iCs/>
          <w:sz w:val="22"/>
        </w:rPr>
        <w:t xml:space="preserve">Proyectos de </w:t>
      </w:r>
      <w:r w:rsidR="0019150A" w:rsidRPr="0045129A">
        <w:rPr>
          <w:rFonts w:ascii="Arial" w:hAnsi="Arial" w:cs="Arial"/>
          <w:i/>
          <w:iCs/>
          <w:sz w:val="22"/>
        </w:rPr>
        <w:t>Mejoramiento</w:t>
      </w:r>
      <w:r w:rsidR="00170C2F" w:rsidRPr="0045129A">
        <w:rPr>
          <w:rFonts w:ascii="Arial" w:hAnsi="Arial" w:cs="Arial"/>
          <w:i/>
          <w:iCs/>
          <w:sz w:val="22"/>
        </w:rPr>
        <w:t xml:space="preserve"> </w:t>
      </w:r>
      <w:r w:rsidR="00170C2F" w:rsidRPr="0045129A">
        <w:rPr>
          <w:rFonts w:ascii="Arial" w:hAnsi="Arial" w:cs="Arial"/>
          <w:sz w:val="22"/>
        </w:rPr>
        <w:t>y</w:t>
      </w:r>
      <w:r w:rsidR="00170C2F" w:rsidRPr="0045129A">
        <w:rPr>
          <w:rFonts w:ascii="Arial" w:hAnsi="Arial" w:cs="Arial"/>
          <w:i/>
          <w:iCs/>
          <w:sz w:val="22"/>
        </w:rPr>
        <w:t xml:space="preserve"> Proyectos de Rehabilitación</w:t>
      </w:r>
      <w:r w:rsidR="0019150A" w:rsidRPr="0045129A">
        <w:rPr>
          <w:rFonts w:ascii="Arial" w:hAnsi="Arial" w:cs="Arial"/>
          <w:i/>
          <w:iCs/>
          <w:sz w:val="22"/>
        </w:rPr>
        <w:t xml:space="preserve">, </w:t>
      </w:r>
      <w:r w:rsidR="0019150A" w:rsidRPr="0045129A">
        <w:rPr>
          <w:rFonts w:ascii="Arial" w:hAnsi="Arial" w:cs="Arial"/>
          <w:sz w:val="22"/>
        </w:rPr>
        <w:t>a</w:t>
      </w:r>
      <w:r w:rsidR="00353683" w:rsidRPr="0045129A">
        <w:rPr>
          <w:rFonts w:ascii="Arial" w:hAnsi="Arial" w:cs="Arial"/>
          <w:sz w:val="22"/>
        </w:rPr>
        <w:t xml:space="preserve"> efectos de aplicar los </w:t>
      </w:r>
      <w:r w:rsidR="00FC213B" w:rsidRPr="0045129A">
        <w:rPr>
          <w:rFonts w:ascii="Arial" w:hAnsi="Arial" w:cs="Arial"/>
          <w:sz w:val="22"/>
        </w:rPr>
        <w:t>documentos tipo de infraestructura de transporte, no se encuentran únicamente determinadas por el Anex</w:t>
      </w:r>
      <w:r w:rsidR="00782632" w:rsidRPr="0045129A">
        <w:rPr>
          <w:rFonts w:ascii="Arial" w:hAnsi="Arial" w:cs="Arial"/>
          <w:sz w:val="22"/>
        </w:rPr>
        <w:t xml:space="preserve">o 3. De hecho, </w:t>
      </w:r>
      <w:r w:rsidRPr="0045129A">
        <w:rPr>
          <w:rFonts w:ascii="Arial" w:hAnsi="Arial" w:cs="Arial"/>
          <w:sz w:val="22"/>
        </w:rPr>
        <w:t>la</w:t>
      </w:r>
      <w:r w:rsidR="00125377" w:rsidRPr="0045129A">
        <w:rPr>
          <w:rFonts w:ascii="Arial" w:hAnsi="Arial" w:cs="Arial"/>
          <w:sz w:val="22"/>
        </w:rPr>
        <w:t>s</w:t>
      </w:r>
      <w:r w:rsidRPr="0045129A">
        <w:rPr>
          <w:rFonts w:ascii="Arial" w:hAnsi="Arial" w:cs="Arial"/>
          <w:sz w:val="22"/>
        </w:rPr>
        <w:t xml:space="preserve"> </w:t>
      </w:r>
      <w:r w:rsidR="002D3318" w:rsidRPr="0045129A">
        <w:rPr>
          <w:rFonts w:ascii="Arial" w:hAnsi="Arial" w:cs="Arial"/>
          <w:sz w:val="22"/>
        </w:rPr>
        <w:t>actividades catalogada</w:t>
      </w:r>
      <w:r w:rsidR="00125377" w:rsidRPr="0045129A">
        <w:rPr>
          <w:rFonts w:ascii="Arial" w:hAnsi="Arial" w:cs="Arial"/>
          <w:sz w:val="22"/>
        </w:rPr>
        <w:t>s</w:t>
      </w:r>
      <w:r w:rsidR="002D3318" w:rsidRPr="0045129A">
        <w:rPr>
          <w:rFonts w:ascii="Arial" w:hAnsi="Arial" w:cs="Arial"/>
          <w:sz w:val="22"/>
        </w:rPr>
        <w:t xml:space="preserve"> </w:t>
      </w:r>
      <w:r w:rsidRPr="0045129A">
        <w:rPr>
          <w:rFonts w:ascii="Arial" w:hAnsi="Arial" w:cs="Arial"/>
          <w:sz w:val="22"/>
        </w:rPr>
        <w:t>de</w:t>
      </w:r>
      <w:r w:rsidR="002D3318" w:rsidRPr="0045129A">
        <w:rPr>
          <w:rFonts w:ascii="Arial" w:hAnsi="Arial" w:cs="Arial"/>
          <w:sz w:val="22"/>
        </w:rPr>
        <w:t>ntro de la</w:t>
      </w:r>
      <w:r w:rsidR="00125377" w:rsidRPr="0045129A">
        <w:rPr>
          <w:rFonts w:ascii="Arial" w:hAnsi="Arial" w:cs="Arial"/>
          <w:sz w:val="22"/>
        </w:rPr>
        <w:t xml:space="preserve"> anterior </w:t>
      </w:r>
      <w:r w:rsidR="001C0567" w:rsidRPr="0045129A">
        <w:rPr>
          <w:rFonts w:ascii="Arial" w:hAnsi="Arial" w:cs="Arial"/>
          <w:sz w:val="22"/>
        </w:rPr>
        <w:t>definición</w:t>
      </w:r>
      <w:r w:rsidR="00782632" w:rsidRPr="0045129A">
        <w:rPr>
          <w:rFonts w:ascii="Arial" w:hAnsi="Arial" w:cs="Arial"/>
          <w:sz w:val="22"/>
        </w:rPr>
        <w:t xml:space="preserve"> de</w:t>
      </w:r>
      <w:r w:rsidR="0019150A" w:rsidRPr="0045129A">
        <w:rPr>
          <w:rFonts w:ascii="Arial" w:hAnsi="Arial" w:cs="Arial"/>
          <w:sz w:val="22"/>
        </w:rPr>
        <w:t>l numeral 2.70</w:t>
      </w:r>
      <w:r w:rsidR="0019150A" w:rsidRPr="0045129A">
        <w:rPr>
          <w:rFonts w:ascii="Arial" w:hAnsi="Arial" w:cs="Arial"/>
          <w:i/>
          <w:iCs/>
          <w:sz w:val="22"/>
        </w:rPr>
        <w:t xml:space="preserve"> </w:t>
      </w:r>
      <w:r w:rsidR="00125377" w:rsidRPr="0045129A">
        <w:rPr>
          <w:rFonts w:ascii="Arial" w:hAnsi="Arial" w:cs="Arial"/>
          <w:sz w:val="22"/>
        </w:rPr>
        <w:t>no son las únicas que</w:t>
      </w:r>
      <w:r w:rsidR="001C0567" w:rsidRPr="0045129A">
        <w:rPr>
          <w:rFonts w:ascii="Arial" w:hAnsi="Arial" w:cs="Arial"/>
          <w:sz w:val="22"/>
        </w:rPr>
        <w:t xml:space="preserve"> ubican un proyecto </w:t>
      </w:r>
      <w:r w:rsidR="009A7D2B" w:rsidRPr="0045129A">
        <w:rPr>
          <w:rFonts w:ascii="Arial" w:hAnsi="Arial" w:cs="Arial"/>
          <w:sz w:val="22"/>
        </w:rPr>
        <w:t>dentro de la categoría de mejoramiento. Esto</w:t>
      </w:r>
      <w:r w:rsidR="009E6B54" w:rsidRPr="0045129A">
        <w:rPr>
          <w:rFonts w:ascii="Arial" w:hAnsi="Arial" w:cs="Arial"/>
          <w:sz w:val="22"/>
        </w:rPr>
        <w:t>,</w:t>
      </w:r>
      <w:r w:rsidR="009A7D2B" w:rsidRPr="0045129A">
        <w:rPr>
          <w:rFonts w:ascii="Arial" w:hAnsi="Arial" w:cs="Arial"/>
          <w:sz w:val="22"/>
        </w:rPr>
        <w:t xml:space="preserve"> comoquiera que, la</w:t>
      </w:r>
      <w:r w:rsidR="0019150A" w:rsidRPr="0045129A">
        <w:rPr>
          <w:rFonts w:ascii="Arial" w:hAnsi="Arial" w:cs="Arial"/>
          <w:sz w:val="22"/>
        </w:rPr>
        <w:t>s</w:t>
      </w:r>
      <w:r w:rsidR="009A7D2B" w:rsidRPr="0045129A">
        <w:rPr>
          <w:rFonts w:ascii="Arial" w:hAnsi="Arial" w:cs="Arial"/>
          <w:sz w:val="22"/>
        </w:rPr>
        <w:t xml:space="preserve"> definici</w:t>
      </w:r>
      <w:r w:rsidR="0019150A" w:rsidRPr="0045129A">
        <w:rPr>
          <w:rFonts w:ascii="Arial" w:hAnsi="Arial" w:cs="Arial"/>
          <w:sz w:val="22"/>
        </w:rPr>
        <w:t>ones</w:t>
      </w:r>
      <w:r w:rsidR="009A7D2B" w:rsidRPr="0045129A">
        <w:rPr>
          <w:rFonts w:ascii="Arial" w:hAnsi="Arial" w:cs="Arial"/>
          <w:sz w:val="22"/>
        </w:rPr>
        <w:t xml:space="preserve"> de </w:t>
      </w:r>
      <w:r w:rsidR="0019150A" w:rsidRPr="0045129A">
        <w:rPr>
          <w:rFonts w:ascii="Arial" w:hAnsi="Arial" w:cs="Arial"/>
          <w:i/>
          <w:iCs/>
          <w:sz w:val="22"/>
        </w:rPr>
        <w:t>construcción</w:t>
      </w:r>
      <w:r w:rsidR="00170C2F" w:rsidRPr="0045129A">
        <w:rPr>
          <w:rFonts w:ascii="Arial" w:hAnsi="Arial" w:cs="Arial"/>
          <w:i/>
          <w:iCs/>
          <w:sz w:val="22"/>
        </w:rPr>
        <w:t>,</w:t>
      </w:r>
      <w:r w:rsidR="00F37698" w:rsidRPr="0045129A">
        <w:rPr>
          <w:rFonts w:ascii="Arial" w:hAnsi="Arial" w:cs="Arial"/>
          <w:i/>
          <w:iCs/>
          <w:sz w:val="22"/>
        </w:rPr>
        <w:t xml:space="preserve"> mejoramiento</w:t>
      </w:r>
      <w:r w:rsidR="00170C2F" w:rsidRPr="0045129A">
        <w:rPr>
          <w:rFonts w:ascii="Arial" w:hAnsi="Arial" w:cs="Arial"/>
          <w:i/>
          <w:iCs/>
          <w:sz w:val="22"/>
        </w:rPr>
        <w:t xml:space="preserve"> </w:t>
      </w:r>
      <w:r w:rsidR="00170C2F" w:rsidRPr="0045129A">
        <w:rPr>
          <w:rFonts w:ascii="Arial" w:hAnsi="Arial" w:cs="Arial"/>
          <w:sz w:val="22"/>
        </w:rPr>
        <w:t xml:space="preserve">y </w:t>
      </w:r>
      <w:r w:rsidR="00170C2F" w:rsidRPr="0045129A">
        <w:rPr>
          <w:rFonts w:ascii="Arial" w:hAnsi="Arial" w:cs="Arial"/>
          <w:i/>
          <w:iCs/>
          <w:sz w:val="22"/>
        </w:rPr>
        <w:t>rehabilitación</w:t>
      </w:r>
      <w:r w:rsidR="0019150A" w:rsidRPr="0045129A">
        <w:rPr>
          <w:rFonts w:ascii="Arial" w:hAnsi="Arial" w:cs="Arial"/>
          <w:i/>
          <w:iCs/>
          <w:sz w:val="22"/>
        </w:rPr>
        <w:t xml:space="preserve"> </w:t>
      </w:r>
      <w:r w:rsidR="0019150A" w:rsidRPr="0045129A">
        <w:rPr>
          <w:rFonts w:ascii="Arial" w:hAnsi="Arial" w:cs="Arial"/>
          <w:sz w:val="22"/>
        </w:rPr>
        <w:t xml:space="preserve">son </w:t>
      </w:r>
      <w:r w:rsidR="00F37698" w:rsidRPr="0045129A">
        <w:rPr>
          <w:rFonts w:ascii="Arial" w:hAnsi="Arial" w:cs="Arial"/>
          <w:sz w:val="22"/>
        </w:rPr>
        <w:t>asunto</w:t>
      </w:r>
      <w:r w:rsidR="0019150A" w:rsidRPr="0045129A">
        <w:rPr>
          <w:rFonts w:ascii="Arial" w:hAnsi="Arial" w:cs="Arial"/>
          <w:sz w:val="22"/>
        </w:rPr>
        <w:t>s</w:t>
      </w:r>
      <w:r w:rsidR="00F37698" w:rsidRPr="0045129A">
        <w:rPr>
          <w:rFonts w:ascii="Arial" w:hAnsi="Arial" w:cs="Arial"/>
          <w:sz w:val="22"/>
        </w:rPr>
        <w:t xml:space="preserve"> de</w:t>
      </w:r>
      <w:r w:rsidR="0019150A" w:rsidRPr="0045129A">
        <w:rPr>
          <w:rFonts w:ascii="Arial" w:hAnsi="Arial" w:cs="Arial"/>
          <w:sz w:val="22"/>
        </w:rPr>
        <w:t xml:space="preserve"> </w:t>
      </w:r>
      <w:r w:rsidR="00F37698" w:rsidRPr="0045129A">
        <w:rPr>
          <w:rFonts w:ascii="Arial" w:hAnsi="Arial" w:cs="Arial"/>
          <w:sz w:val="22"/>
        </w:rPr>
        <w:t>l</w:t>
      </w:r>
      <w:r w:rsidR="0019150A" w:rsidRPr="0045129A">
        <w:rPr>
          <w:rFonts w:ascii="Arial" w:hAnsi="Arial" w:cs="Arial"/>
          <w:sz w:val="22"/>
        </w:rPr>
        <w:t>os</w:t>
      </w:r>
      <w:r w:rsidR="00F37698" w:rsidRPr="0045129A">
        <w:rPr>
          <w:rFonts w:ascii="Arial" w:hAnsi="Arial" w:cs="Arial"/>
          <w:sz w:val="22"/>
        </w:rPr>
        <w:t xml:space="preserve"> que se ha ocupado la </w:t>
      </w:r>
      <w:r w:rsidR="003636D5" w:rsidRPr="0045129A">
        <w:rPr>
          <w:rFonts w:ascii="Arial" w:hAnsi="Arial" w:cs="Arial"/>
          <w:sz w:val="22"/>
        </w:rPr>
        <w:t xml:space="preserve">normativa legal y reglamentaria en materia de infraestructura de transporte. </w:t>
      </w:r>
      <w:r w:rsidR="004F0943" w:rsidRPr="0045129A">
        <w:rPr>
          <w:rFonts w:ascii="Arial" w:hAnsi="Arial" w:cs="Arial"/>
          <w:sz w:val="22"/>
        </w:rPr>
        <w:t xml:space="preserve">Al respecto, el artículo 12 </w:t>
      </w:r>
      <w:r w:rsidR="00D74CBE" w:rsidRPr="0045129A">
        <w:rPr>
          <w:rFonts w:ascii="Arial" w:hAnsi="Arial" w:cs="Arial"/>
          <w:sz w:val="22"/>
        </w:rPr>
        <w:t>de la Ley 1682 de 2013</w:t>
      </w:r>
      <w:r w:rsidR="0070664D" w:rsidRPr="0045129A">
        <w:rPr>
          <w:rFonts w:ascii="Arial" w:hAnsi="Arial" w:cs="Arial"/>
          <w:sz w:val="22"/>
        </w:rPr>
        <w:t xml:space="preserve"> establece: </w:t>
      </w:r>
    </w:p>
    <w:p w14:paraId="3254E3CA" w14:textId="77777777" w:rsidR="0099586C" w:rsidRPr="0045129A" w:rsidRDefault="0099586C" w:rsidP="00D74D38">
      <w:pPr>
        <w:ind w:left="709" w:right="709"/>
        <w:jc w:val="both"/>
        <w:rPr>
          <w:rStyle w:val="Strong"/>
          <w:rFonts w:ascii="Arial" w:hAnsi="Arial" w:cs="Arial"/>
          <w:b w:val="0"/>
          <w:bCs w:val="0"/>
          <w:sz w:val="20"/>
          <w:szCs w:val="20"/>
        </w:rPr>
      </w:pPr>
    </w:p>
    <w:p w14:paraId="7EED908B" w14:textId="3B788DEA" w:rsidR="00FA5873" w:rsidRPr="0045129A" w:rsidRDefault="0099586C" w:rsidP="00F94819">
      <w:pPr>
        <w:spacing w:after="120"/>
        <w:ind w:left="709" w:right="709"/>
        <w:jc w:val="both"/>
        <w:rPr>
          <w:rFonts w:ascii="Arial" w:hAnsi="Arial" w:cs="Arial"/>
          <w:sz w:val="20"/>
          <w:szCs w:val="20"/>
        </w:rPr>
      </w:pPr>
      <w:r w:rsidRPr="0045129A">
        <w:rPr>
          <w:rStyle w:val="Strong"/>
          <w:rFonts w:ascii="Arial" w:hAnsi="Arial" w:cs="Arial"/>
          <w:b w:val="0"/>
          <w:bCs w:val="0"/>
          <w:sz w:val="20"/>
          <w:szCs w:val="20"/>
        </w:rPr>
        <w:t>Artículo 12.</w:t>
      </w:r>
      <w:r w:rsidRPr="0045129A">
        <w:rPr>
          <w:rFonts w:ascii="Arial" w:hAnsi="Arial" w:cs="Arial"/>
          <w:sz w:val="20"/>
          <w:szCs w:val="20"/>
        </w:rPr>
        <w:t> En lo que se refiere a la infraestructura de transporte terrestre, aeronáutica, aeroportuaria y acuática, se tendrán en cuenta las siguientes definiciones: </w:t>
      </w:r>
    </w:p>
    <w:p w14:paraId="1AE91922" w14:textId="3BCF51D6" w:rsidR="0034229B" w:rsidRPr="0045129A" w:rsidRDefault="0034229B">
      <w:pPr>
        <w:spacing w:after="120"/>
        <w:ind w:left="709" w:right="709"/>
        <w:jc w:val="both"/>
        <w:rPr>
          <w:rFonts w:ascii="Arial" w:hAnsi="Arial" w:cs="Arial"/>
          <w:sz w:val="20"/>
          <w:szCs w:val="20"/>
        </w:rPr>
      </w:pPr>
      <w:r w:rsidRPr="0045129A">
        <w:rPr>
          <w:rFonts w:ascii="Arial" w:hAnsi="Arial" w:cs="Arial"/>
          <w:sz w:val="20"/>
          <w:szCs w:val="20"/>
        </w:rPr>
        <w:t>[…]</w:t>
      </w:r>
    </w:p>
    <w:p w14:paraId="745B9FD4" w14:textId="71748516" w:rsidR="00FA5873" w:rsidRPr="0045129A" w:rsidRDefault="00FA5873">
      <w:pPr>
        <w:spacing w:after="120"/>
        <w:ind w:left="709" w:right="709"/>
        <w:jc w:val="both"/>
        <w:rPr>
          <w:rFonts w:ascii="Arial" w:hAnsi="Arial" w:cs="Arial"/>
          <w:sz w:val="20"/>
          <w:szCs w:val="20"/>
        </w:rPr>
      </w:pPr>
      <w:r w:rsidRPr="0045129A">
        <w:rPr>
          <w:rFonts w:ascii="Arial" w:hAnsi="Arial" w:cs="Arial"/>
          <w:sz w:val="20"/>
          <w:szCs w:val="20"/>
        </w:rPr>
        <w:t>Construcción. Son aquellas obras nuevas que incluyen el levantamiento o armado de algún tipo de infraestructura de transporte.</w:t>
      </w:r>
    </w:p>
    <w:p w14:paraId="3EB077B3" w14:textId="5E8160C0" w:rsidR="00FA5873" w:rsidRPr="0045129A" w:rsidRDefault="00FA5873">
      <w:pPr>
        <w:spacing w:after="120"/>
        <w:ind w:right="709" w:firstLine="708"/>
        <w:jc w:val="both"/>
        <w:rPr>
          <w:rFonts w:ascii="Arial" w:hAnsi="Arial" w:cs="Arial"/>
          <w:sz w:val="20"/>
          <w:szCs w:val="20"/>
        </w:rPr>
      </w:pPr>
      <w:r w:rsidRPr="0045129A">
        <w:rPr>
          <w:rFonts w:ascii="Arial" w:hAnsi="Arial" w:cs="Arial"/>
          <w:sz w:val="20"/>
          <w:szCs w:val="20"/>
        </w:rPr>
        <w:t>[…]</w:t>
      </w:r>
    </w:p>
    <w:p w14:paraId="26AAF7A4" w14:textId="4108DE97" w:rsidR="00F83583" w:rsidRPr="0045129A" w:rsidRDefault="0070664D" w:rsidP="0045129A">
      <w:pPr>
        <w:spacing w:after="120"/>
        <w:ind w:left="709" w:right="709"/>
        <w:jc w:val="both"/>
        <w:rPr>
          <w:rFonts w:ascii="Arial" w:hAnsi="Arial" w:cs="Arial"/>
          <w:sz w:val="20"/>
          <w:szCs w:val="20"/>
        </w:rPr>
      </w:pPr>
      <w:r w:rsidRPr="0045129A">
        <w:rPr>
          <w:rFonts w:ascii="Arial" w:hAnsi="Arial" w:cs="Arial"/>
          <w:sz w:val="20"/>
          <w:szCs w:val="20"/>
        </w:rPr>
        <w:t>Mejoramiento. Cambios en una infraestructura de transporte con el propósito de mejorar sus especificaciones técnicas iniciales</w:t>
      </w:r>
      <w:r w:rsidR="00D74D38" w:rsidRPr="0045129A">
        <w:rPr>
          <w:rFonts w:ascii="Arial" w:hAnsi="Arial" w:cs="Arial"/>
          <w:sz w:val="20"/>
          <w:szCs w:val="20"/>
        </w:rPr>
        <w:t>. Estas actividades están sujetas a reglamentación dentro de los ciento veinte (120) días calendario siguientes. </w:t>
      </w:r>
    </w:p>
    <w:p w14:paraId="0B3F308D" w14:textId="1F16691C" w:rsidR="00156BD3" w:rsidRPr="0045129A" w:rsidRDefault="00245B0C" w:rsidP="0045129A">
      <w:pPr>
        <w:spacing w:after="120"/>
        <w:ind w:left="709" w:right="709"/>
        <w:jc w:val="both"/>
        <w:rPr>
          <w:rFonts w:ascii="Arial" w:hAnsi="Arial" w:cs="Arial"/>
          <w:sz w:val="20"/>
          <w:szCs w:val="20"/>
        </w:rPr>
      </w:pPr>
      <w:r w:rsidRPr="0045129A">
        <w:rPr>
          <w:rFonts w:ascii="Arial" w:hAnsi="Arial" w:cs="Arial"/>
          <w:sz w:val="20"/>
          <w:szCs w:val="20"/>
        </w:rPr>
        <w:t>[…]</w:t>
      </w:r>
    </w:p>
    <w:p w14:paraId="0CD77CBE" w14:textId="77777777" w:rsidR="00245B0C" w:rsidRPr="0045129A" w:rsidRDefault="00245B0C" w:rsidP="00245B0C">
      <w:pPr>
        <w:ind w:left="709" w:right="709"/>
        <w:jc w:val="both"/>
        <w:rPr>
          <w:rFonts w:ascii="Arial" w:hAnsi="Arial" w:cs="Arial"/>
          <w:sz w:val="20"/>
          <w:szCs w:val="20"/>
        </w:rPr>
      </w:pPr>
      <w:r w:rsidRPr="0045129A">
        <w:rPr>
          <w:rFonts w:ascii="Arial" w:hAnsi="Arial" w:cs="Arial"/>
          <w:sz w:val="20"/>
          <w:szCs w:val="20"/>
        </w:rPr>
        <w:t>Rehabilitación. Reconstrucción de una infraestructura de transporte para devolverla al estado inicial para la cual fue construida.</w:t>
      </w:r>
    </w:p>
    <w:p w14:paraId="3A44CE2E" w14:textId="77777777" w:rsidR="0099586C" w:rsidRPr="0045129A" w:rsidRDefault="0099586C" w:rsidP="00D74D38">
      <w:pPr>
        <w:spacing w:line="276" w:lineRule="auto"/>
        <w:ind w:firstLine="709"/>
        <w:jc w:val="both"/>
        <w:rPr>
          <w:rFonts w:ascii="Arial" w:hAnsi="Arial" w:cs="Arial"/>
          <w:sz w:val="22"/>
        </w:rPr>
      </w:pPr>
    </w:p>
    <w:p w14:paraId="6EA31A59" w14:textId="2FA8BF3F" w:rsidR="0034229B" w:rsidRPr="0045129A" w:rsidRDefault="00304A37" w:rsidP="00537CE7">
      <w:pPr>
        <w:spacing w:after="120" w:line="276" w:lineRule="auto"/>
        <w:ind w:firstLine="709"/>
        <w:jc w:val="both"/>
        <w:rPr>
          <w:rFonts w:ascii="Arial" w:hAnsi="Arial" w:cs="Arial"/>
          <w:sz w:val="22"/>
        </w:rPr>
      </w:pPr>
      <w:r w:rsidRPr="0045129A">
        <w:rPr>
          <w:rFonts w:ascii="Arial" w:hAnsi="Arial" w:cs="Arial"/>
          <w:sz w:val="22"/>
        </w:rPr>
        <w:t xml:space="preserve">La definición de </w:t>
      </w:r>
      <w:r w:rsidRPr="0045129A">
        <w:rPr>
          <w:rFonts w:ascii="Arial" w:hAnsi="Arial" w:cs="Arial"/>
          <w:i/>
          <w:iCs/>
          <w:sz w:val="22"/>
        </w:rPr>
        <w:t>construcción</w:t>
      </w:r>
      <w:r w:rsidR="00AD3D64" w:rsidRPr="0045129A">
        <w:rPr>
          <w:rFonts w:ascii="Arial" w:hAnsi="Arial" w:cs="Arial"/>
          <w:i/>
          <w:iCs/>
          <w:sz w:val="22"/>
        </w:rPr>
        <w:t xml:space="preserve"> </w:t>
      </w:r>
      <w:r w:rsidR="00AD3D64" w:rsidRPr="0045129A">
        <w:rPr>
          <w:rFonts w:ascii="Arial" w:hAnsi="Arial" w:cs="Arial"/>
          <w:sz w:val="22"/>
        </w:rPr>
        <w:t xml:space="preserve">introducida por el artículo en cita, </w:t>
      </w:r>
      <w:r w:rsidR="00142F3E" w:rsidRPr="0045129A">
        <w:rPr>
          <w:rFonts w:ascii="Arial" w:hAnsi="Arial" w:cs="Arial"/>
          <w:sz w:val="22"/>
        </w:rPr>
        <w:t>si bien no</w:t>
      </w:r>
      <w:r w:rsidR="005F7C07" w:rsidRPr="0045129A">
        <w:rPr>
          <w:rFonts w:ascii="Arial" w:hAnsi="Arial" w:cs="Arial"/>
          <w:sz w:val="22"/>
        </w:rPr>
        <w:t xml:space="preserve"> coincide plenamente</w:t>
      </w:r>
      <w:r w:rsidR="00142F3E" w:rsidRPr="0045129A">
        <w:rPr>
          <w:rFonts w:ascii="Arial" w:hAnsi="Arial" w:cs="Arial"/>
          <w:sz w:val="22"/>
        </w:rPr>
        <w:t xml:space="preserve"> </w:t>
      </w:r>
      <w:r w:rsidR="005F7C07" w:rsidRPr="0045129A">
        <w:rPr>
          <w:rFonts w:ascii="Arial" w:hAnsi="Arial" w:cs="Arial"/>
          <w:sz w:val="22"/>
        </w:rPr>
        <w:t xml:space="preserve">con la redacción del </w:t>
      </w:r>
      <w:r w:rsidR="00D96057" w:rsidRPr="0045129A">
        <w:rPr>
          <w:rFonts w:ascii="Arial" w:hAnsi="Arial" w:cs="Arial"/>
          <w:sz w:val="22"/>
        </w:rPr>
        <w:t xml:space="preserve">numeral 2.62 del </w:t>
      </w:r>
      <w:r w:rsidR="001F6081" w:rsidRPr="0045129A">
        <w:rPr>
          <w:rFonts w:ascii="Arial" w:hAnsi="Arial" w:cs="Arial"/>
          <w:sz w:val="22"/>
        </w:rPr>
        <w:t>Anexo 3, s</w:t>
      </w:r>
      <w:r w:rsidR="009E6B54" w:rsidRPr="0045129A">
        <w:rPr>
          <w:rFonts w:ascii="Arial" w:hAnsi="Arial" w:cs="Arial"/>
          <w:sz w:val="22"/>
        </w:rPr>
        <w:t>í</w:t>
      </w:r>
      <w:r w:rsidR="001F6081" w:rsidRPr="0045129A">
        <w:rPr>
          <w:rFonts w:ascii="Arial" w:hAnsi="Arial" w:cs="Arial"/>
          <w:sz w:val="22"/>
        </w:rPr>
        <w:t xml:space="preserve"> lo hace desde el punto de vista</w:t>
      </w:r>
      <w:r w:rsidR="005F7C07" w:rsidRPr="0045129A">
        <w:rPr>
          <w:rFonts w:ascii="Arial" w:hAnsi="Arial" w:cs="Arial"/>
          <w:sz w:val="22"/>
        </w:rPr>
        <w:t xml:space="preserve"> conceptual, en la medida en que ambos catalogan como </w:t>
      </w:r>
      <w:r w:rsidR="005F7C07" w:rsidRPr="0045129A">
        <w:rPr>
          <w:rFonts w:ascii="Arial" w:hAnsi="Arial" w:cs="Arial"/>
          <w:i/>
          <w:iCs/>
          <w:sz w:val="22"/>
        </w:rPr>
        <w:t xml:space="preserve">construcción </w:t>
      </w:r>
      <w:r w:rsidR="005F7C07" w:rsidRPr="0045129A">
        <w:rPr>
          <w:rFonts w:ascii="Arial" w:hAnsi="Arial" w:cs="Arial"/>
          <w:sz w:val="22"/>
        </w:rPr>
        <w:t xml:space="preserve">o </w:t>
      </w:r>
      <w:r w:rsidR="005F7C07" w:rsidRPr="0045129A">
        <w:rPr>
          <w:rFonts w:ascii="Arial" w:hAnsi="Arial" w:cs="Arial"/>
          <w:i/>
          <w:iCs/>
          <w:sz w:val="22"/>
        </w:rPr>
        <w:t>Proyecto de construcción</w:t>
      </w:r>
      <w:r w:rsidR="005F7C07" w:rsidRPr="0045129A">
        <w:rPr>
          <w:rFonts w:ascii="Arial" w:hAnsi="Arial" w:cs="Arial"/>
          <w:sz w:val="22"/>
        </w:rPr>
        <w:t xml:space="preserve"> </w:t>
      </w:r>
      <w:r w:rsidR="00F603E8" w:rsidRPr="0045129A">
        <w:rPr>
          <w:rFonts w:ascii="Arial" w:hAnsi="Arial" w:cs="Arial"/>
          <w:sz w:val="22"/>
        </w:rPr>
        <w:t>la realización de obras nuevas tendientes al levantamiento de infraestructura nueva</w:t>
      </w:r>
      <w:r w:rsidR="00B218B4" w:rsidRPr="0045129A">
        <w:rPr>
          <w:rFonts w:ascii="Arial" w:hAnsi="Arial" w:cs="Arial"/>
          <w:sz w:val="22"/>
        </w:rPr>
        <w:t xml:space="preserve">, esto es, diferente de la ya existente. </w:t>
      </w:r>
      <w:r w:rsidR="00C37EAD" w:rsidRPr="0045129A">
        <w:rPr>
          <w:rFonts w:ascii="Arial" w:hAnsi="Arial" w:cs="Arial"/>
          <w:sz w:val="22"/>
        </w:rPr>
        <w:t>Si bien l</w:t>
      </w:r>
      <w:r w:rsidR="002C22C4" w:rsidRPr="0045129A">
        <w:rPr>
          <w:rFonts w:ascii="Arial" w:hAnsi="Arial" w:cs="Arial"/>
          <w:sz w:val="22"/>
        </w:rPr>
        <w:t xml:space="preserve">a definición de </w:t>
      </w:r>
      <w:r w:rsidR="002C22C4" w:rsidRPr="0045129A">
        <w:rPr>
          <w:rFonts w:ascii="Arial" w:hAnsi="Arial" w:cs="Arial"/>
          <w:i/>
          <w:iCs/>
          <w:sz w:val="22"/>
        </w:rPr>
        <w:t>construcción</w:t>
      </w:r>
      <w:r w:rsidR="002C22C4" w:rsidRPr="0045129A">
        <w:rPr>
          <w:rFonts w:ascii="Arial" w:hAnsi="Arial" w:cs="Arial"/>
          <w:sz w:val="22"/>
        </w:rPr>
        <w:t xml:space="preserve"> no alude a la realización de la misma sobre un sitio previamente ocupado, </w:t>
      </w:r>
      <w:r w:rsidR="00152640" w:rsidRPr="0045129A">
        <w:rPr>
          <w:rFonts w:ascii="Arial" w:hAnsi="Arial" w:cs="Arial"/>
          <w:sz w:val="22"/>
        </w:rPr>
        <w:t>la ausencia de t</w:t>
      </w:r>
      <w:r w:rsidR="0035229F" w:rsidRPr="0045129A">
        <w:rPr>
          <w:rFonts w:ascii="Arial" w:hAnsi="Arial" w:cs="Arial"/>
          <w:sz w:val="22"/>
        </w:rPr>
        <w:t xml:space="preserve">al referencia indica la inexistencia de </w:t>
      </w:r>
      <w:r w:rsidR="006B59B8" w:rsidRPr="0045129A">
        <w:rPr>
          <w:rFonts w:ascii="Arial" w:hAnsi="Arial" w:cs="Arial"/>
          <w:sz w:val="22"/>
        </w:rPr>
        <w:t>un</w:t>
      </w:r>
      <w:r w:rsidR="0035229F" w:rsidRPr="0045129A">
        <w:rPr>
          <w:rFonts w:ascii="Arial" w:hAnsi="Arial" w:cs="Arial"/>
          <w:sz w:val="22"/>
        </w:rPr>
        <w:t xml:space="preserve"> condicionamiento</w:t>
      </w:r>
      <w:r w:rsidR="006B59B8" w:rsidRPr="0045129A">
        <w:rPr>
          <w:rFonts w:ascii="Arial" w:hAnsi="Arial" w:cs="Arial"/>
          <w:sz w:val="22"/>
        </w:rPr>
        <w:t xml:space="preserve"> en relación con la ocupación del sitio en el que se lleva a cabo</w:t>
      </w:r>
      <w:r w:rsidR="0035229F" w:rsidRPr="0045129A">
        <w:rPr>
          <w:rFonts w:ascii="Arial" w:hAnsi="Arial" w:cs="Arial"/>
          <w:sz w:val="22"/>
        </w:rPr>
        <w:t xml:space="preserve">, </w:t>
      </w:r>
      <w:r w:rsidR="00DC50C4" w:rsidRPr="0045129A">
        <w:rPr>
          <w:rFonts w:ascii="Arial" w:hAnsi="Arial" w:cs="Arial"/>
          <w:sz w:val="22"/>
        </w:rPr>
        <w:t xml:space="preserve">lo cual coincide con la definición del numeral 2.62 en la que </w:t>
      </w:r>
      <w:r w:rsidR="003A5B9B" w:rsidRPr="0045129A">
        <w:rPr>
          <w:rFonts w:ascii="Arial" w:hAnsi="Arial" w:cs="Arial"/>
          <w:sz w:val="22"/>
        </w:rPr>
        <w:t xml:space="preserve">se hizo expresa la </w:t>
      </w:r>
      <w:r w:rsidR="00173D24" w:rsidRPr="0045129A">
        <w:rPr>
          <w:rFonts w:ascii="Arial" w:hAnsi="Arial" w:cs="Arial"/>
          <w:sz w:val="22"/>
        </w:rPr>
        <w:t xml:space="preserve">irrelevancia de que </w:t>
      </w:r>
      <w:r w:rsidR="00705960" w:rsidRPr="0045129A">
        <w:rPr>
          <w:rFonts w:ascii="Arial" w:hAnsi="Arial" w:cs="Arial"/>
          <w:sz w:val="22"/>
        </w:rPr>
        <w:t xml:space="preserve">el proyecto se lleve </w:t>
      </w:r>
      <w:r w:rsidR="008E5706" w:rsidRPr="0045129A">
        <w:rPr>
          <w:rFonts w:ascii="Arial" w:hAnsi="Arial" w:cs="Arial"/>
          <w:sz w:val="22"/>
        </w:rPr>
        <w:t xml:space="preserve">o no </w:t>
      </w:r>
      <w:r w:rsidR="00705960" w:rsidRPr="0045129A">
        <w:rPr>
          <w:rFonts w:ascii="Arial" w:hAnsi="Arial" w:cs="Arial"/>
          <w:sz w:val="22"/>
        </w:rPr>
        <w:t>a cabo en un sitio</w:t>
      </w:r>
      <w:r w:rsidR="0037142C" w:rsidRPr="0045129A">
        <w:rPr>
          <w:rFonts w:ascii="Arial" w:hAnsi="Arial" w:cs="Arial"/>
          <w:sz w:val="22"/>
        </w:rPr>
        <w:t xml:space="preserve"> previamente</w:t>
      </w:r>
      <w:r w:rsidR="00705960" w:rsidRPr="0045129A">
        <w:rPr>
          <w:rFonts w:ascii="Arial" w:hAnsi="Arial" w:cs="Arial"/>
          <w:sz w:val="22"/>
        </w:rPr>
        <w:t xml:space="preserve"> ocupado para catalogarlo como de construcción. </w:t>
      </w:r>
    </w:p>
    <w:p w14:paraId="3698037A" w14:textId="77777777" w:rsidR="002F5B8B" w:rsidRPr="0045129A" w:rsidRDefault="001F48CC" w:rsidP="00537CE7">
      <w:pPr>
        <w:spacing w:after="120" w:line="276" w:lineRule="auto"/>
        <w:ind w:firstLine="709"/>
        <w:jc w:val="both"/>
        <w:rPr>
          <w:rFonts w:ascii="Arial" w:hAnsi="Arial" w:cs="Arial"/>
          <w:sz w:val="22"/>
        </w:rPr>
      </w:pPr>
      <w:r w:rsidRPr="0045129A">
        <w:rPr>
          <w:rFonts w:ascii="Arial" w:hAnsi="Arial" w:cs="Arial"/>
          <w:sz w:val="22"/>
        </w:rPr>
        <w:t xml:space="preserve">Asimismo, la definición de </w:t>
      </w:r>
      <w:r w:rsidRPr="0045129A">
        <w:rPr>
          <w:rFonts w:ascii="Arial" w:hAnsi="Arial" w:cs="Arial"/>
          <w:i/>
          <w:iCs/>
          <w:sz w:val="22"/>
        </w:rPr>
        <w:t>rehabilitación</w:t>
      </w:r>
      <w:r w:rsidR="00B72B04" w:rsidRPr="0045129A">
        <w:rPr>
          <w:rFonts w:ascii="Arial" w:hAnsi="Arial" w:cs="Arial"/>
          <w:i/>
          <w:iCs/>
          <w:sz w:val="22"/>
        </w:rPr>
        <w:t xml:space="preserve">, </w:t>
      </w:r>
      <w:r w:rsidR="00B72B04" w:rsidRPr="0045129A">
        <w:rPr>
          <w:rFonts w:ascii="Arial" w:hAnsi="Arial" w:cs="Arial"/>
          <w:sz w:val="22"/>
        </w:rPr>
        <w:t xml:space="preserve">a pesar de no guardar identidad plena con la redacción del numeral 2.72, coincide en asociar tal actividad con la </w:t>
      </w:r>
      <w:r w:rsidR="005C448E" w:rsidRPr="0045129A">
        <w:rPr>
          <w:rFonts w:ascii="Arial" w:hAnsi="Arial" w:cs="Arial"/>
          <w:sz w:val="22"/>
        </w:rPr>
        <w:t xml:space="preserve">reconstrucción de infraestructura de transporte, con el propósito de retornar a esta las condiciones técnicas iniciales </w:t>
      </w:r>
      <w:r w:rsidR="00A27C75" w:rsidRPr="0045129A">
        <w:rPr>
          <w:rFonts w:ascii="Arial" w:hAnsi="Arial" w:cs="Arial"/>
          <w:sz w:val="22"/>
        </w:rPr>
        <w:t xml:space="preserve">con las que fue construida. En ese sentido, </w:t>
      </w:r>
      <w:r w:rsidR="007A4D08" w:rsidRPr="0045129A">
        <w:rPr>
          <w:rFonts w:ascii="Arial" w:hAnsi="Arial" w:cs="Arial"/>
          <w:sz w:val="22"/>
        </w:rPr>
        <w:t xml:space="preserve">el numeral 2.72 enlista una serie de actividades que </w:t>
      </w:r>
      <w:r w:rsidR="00CE37D3" w:rsidRPr="0045129A">
        <w:rPr>
          <w:rFonts w:ascii="Arial" w:hAnsi="Arial" w:cs="Arial"/>
          <w:sz w:val="22"/>
        </w:rPr>
        <w:t xml:space="preserve">requiere un proyecto para ser considerado como de </w:t>
      </w:r>
      <w:r w:rsidR="00CE37D3" w:rsidRPr="0045129A">
        <w:rPr>
          <w:rFonts w:ascii="Arial" w:hAnsi="Arial" w:cs="Arial"/>
          <w:i/>
          <w:iCs/>
          <w:sz w:val="22"/>
        </w:rPr>
        <w:t>rehabilitación</w:t>
      </w:r>
      <w:r w:rsidR="00CE37D3" w:rsidRPr="0045129A">
        <w:rPr>
          <w:rFonts w:ascii="Arial" w:hAnsi="Arial" w:cs="Arial"/>
          <w:sz w:val="22"/>
        </w:rPr>
        <w:t xml:space="preserve">, </w:t>
      </w:r>
      <w:r w:rsidR="00831F6D" w:rsidRPr="0045129A">
        <w:rPr>
          <w:rFonts w:ascii="Arial" w:hAnsi="Arial" w:cs="Arial"/>
          <w:sz w:val="22"/>
        </w:rPr>
        <w:t xml:space="preserve">de las cuales, conforme se estableció </w:t>
      </w:r>
      <w:r w:rsidR="00831F6D" w:rsidRPr="0045129A">
        <w:rPr>
          <w:rFonts w:ascii="Arial" w:hAnsi="Arial" w:cs="Arial"/>
          <w:i/>
          <w:iCs/>
          <w:sz w:val="22"/>
        </w:rPr>
        <w:t>ut supra</w:t>
      </w:r>
      <w:r w:rsidR="00831F6D" w:rsidRPr="0045129A">
        <w:rPr>
          <w:rFonts w:ascii="Arial" w:hAnsi="Arial" w:cs="Arial"/>
          <w:sz w:val="22"/>
        </w:rPr>
        <w:t xml:space="preserve">, basta con una para ubicar el proyecto en tal </w:t>
      </w:r>
      <w:r w:rsidR="00BD0847" w:rsidRPr="0045129A">
        <w:rPr>
          <w:rFonts w:ascii="Arial" w:hAnsi="Arial" w:cs="Arial"/>
          <w:sz w:val="22"/>
        </w:rPr>
        <w:t xml:space="preserve">categoría. </w:t>
      </w:r>
    </w:p>
    <w:p w14:paraId="789CBACC" w14:textId="70B628E9" w:rsidR="001F48CC" w:rsidRPr="0045129A" w:rsidRDefault="00BD0847" w:rsidP="00537CE7">
      <w:pPr>
        <w:spacing w:after="120" w:line="276" w:lineRule="auto"/>
        <w:ind w:firstLine="709"/>
        <w:jc w:val="both"/>
        <w:rPr>
          <w:rFonts w:ascii="Arial" w:hAnsi="Arial" w:cs="Arial"/>
          <w:sz w:val="22"/>
        </w:rPr>
      </w:pPr>
      <w:r w:rsidRPr="0045129A">
        <w:rPr>
          <w:rFonts w:ascii="Arial" w:hAnsi="Arial" w:cs="Arial"/>
          <w:sz w:val="22"/>
        </w:rPr>
        <w:t xml:space="preserve">Si bien estas actividades </w:t>
      </w:r>
      <w:r w:rsidR="001D60ED" w:rsidRPr="0045129A">
        <w:rPr>
          <w:rFonts w:ascii="Arial" w:hAnsi="Arial" w:cs="Arial"/>
          <w:sz w:val="22"/>
        </w:rPr>
        <w:t xml:space="preserve">de «[…] construcción de capas granulares para estructura de pavimento y construcción de superficie de rodadura en concreto asfáltico o hidráulico» </w:t>
      </w:r>
      <w:r w:rsidRPr="0045129A">
        <w:rPr>
          <w:rFonts w:ascii="Arial" w:hAnsi="Arial" w:cs="Arial"/>
          <w:sz w:val="22"/>
        </w:rPr>
        <w:t xml:space="preserve">no son referidas por la Ley 1682 de 2013, </w:t>
      </w:r>
      <w:r w:rsidR="00A46755" w:rsidRPr="0045129A">
        <w:rPr>
          <w:rFonts w:ascii="Arial" w:hAnsi="Arial" w:cs="Arial"/>
          <w:sz w:val="22"/>
        </w:rPr>
        <w:t xml:space="preserve">las mismas corresponden con la definición de rehabilitación que esta establece, en la medida en que </w:t>
      </w:r>
      <w:r w:rsidR="001D60ED" w:rsidRPr="0045129A">
        <w:rPr>
          <w:rFonts w:ascii="Arial" w:hAnsi="Arial" w:cs="Arial"/>
          <w:sz w:val="22"/>
        </w:rPr>
        <w:t>ambas</w:t>
      </w:r>
      <w:r w:rsidR="00A46755" w:rsidRPr="0045129A">
        <w:rPr>
          <w:rFonts w:ascii="Arial" w:hAnsi="Arial" w:cs="Arial"/>
          <w:sz w:val="22"/>
        </w:rPr>
        <w:t xml:space="preserve"> son </w:t>
      </w:r>
      <w:r w:rsidR="00535798" w:rsidRPr="0045129A">
        <w:rPr>
          <w:rFonts w:ascii="Arial" w:hAnsi="Arial" w:cs="Arial"/>
          <w:sz w:val="22"/>
        </w:rPr>
        <w:t xml:space="preserve">tendientes a la </w:t>
      </w:r>
      <w:r w:rsidR="001D60ED" w:rsidRPr="0045129A">
        <w:rPr>
          <w:rFonts w:ascii="Arial" w:hAnsi="Arial" w:cs="Arial"/>
          <w:sz w:val="22"/>
        </w:rPr>
        <w:t xml:space="preserve">reconstrucción de las condiciones </w:t>
      </w:r>
      <w:r w:rsidR="002F5B8B" w:rsidRPr="0045129A">
        <w:rPr>
          <w:rFonts w:ascii="Arial" w:hAnsi="Arial" w:cs="Arial"/>
          <w:sz w:val="22"/>
        </w:rPr>
        <w:t>iniciales de la obra. Por otro lado, la exclusión de las actividades</w:t>
      </w:r>
      <w:r w:rsidR="00B50152" w:rsidRPr="0045129A">
        <w:rPr>
          <w:rFonts w:ascii="Arial" w:hAnsi="Arial" w:cs="Arial"/>
          <w:sz w:val="22"/>
        </w:rPr>
        <w:t xml:space="preserve"> de</w:t>
      </w:r>
      <w:r w:rsidR="002F5B8B" w:rsidRPr="0045129A">
        <w:rPr>
          <w:rFonts w:ascii="Arial" w:hAnsi="Arial" w:cs="Arial"/>
          <w:sz w:val="22"/>
        </w:rPr>
        <w:t xml:space="preserve"> </w:t>
      </w:r>
      <w:r w:rsidR="002F5B8B" w:rsidRPr="0045129A">
        <w:rPr>
          <w:rFonts w:ascii="Arial" w:hAnsi="Arial" w:cs="Arial"/>
          <w:i/>
          <w:iCs/>
          <w:sz w:val="22"/>
        </w:rPr>
        <w:t>mantenimiento periódico</w:t>
      </w:r>
      <w:r w:rsidR="002F5B8B" w:rsidRPr="0045129A">
        <w:rPr>
          <w:rFonts w:ascii="Arial" w:hAnsi="Arial" w:cs="Arial"/>
          <w:sz w:val="22"/>
        </w:rPr>
        <w:t xml:space="preserve"> </w:t>
      </w:r>
      <w:r w:rsidR="00B50152" w:rsidRPr="0045129A">
        <w:rPr>
          <w:rFonts w:ascii="Arial" w:hAnsi="Arial" w:cs="Arial"/>
          <w:sz w:val="22"/>
        </w:rPr>
        <w:t xml:space="preserve">y </w:t>
      </w:r>
      <w:r w:rsidR="002F5B8B" w:rsidRPr="0045129A">
        <w:rPr>
          <w:rFonts w:ascii="Arial" w:hAnsi="Arial" w:cs="Arial"/>
          <w:i/>
          <w:iCs/>
          <w:sz w:val="22"/>
        </w:rPr>
        <w:t>mantenimiento rutinario</w:t>
      </w:r>
      <w:r w:rsidR="00B50152" w:rsidRPr="0045129A">
        <w:rPr>
          <w:rFonts w:ascii="Arial" w:hAnsi="Arial" w:cs="Arial"/>
          <w:sz w:val="22"/>
        </w:rPr>
        <w:t xml:space="preserve"> del ámbito de la definición de </w:t>
      </w:r>
      <w:r w:rsidR="00D44A71" w:rsidRPr="0045129A">
        <w:rPr>
          <w:rFonts w:ascii="Arial" w:hAnsi="Arial" w:cs="Arial"/>
          <w:sz w:val="22"/>
        </w:rPr>
        <w:t>rehabilitación</w:t>
      </w:r>
      <w:r w:rsidR="00B50152" w:rsidRPr="0045129A">
        <w:rPr>
          <w:rFonts w:ascii="Arial" w:hAnsi="Arial" w:cs="Arial"/>
          <w:sz w:val="22"/>
        </w:rPr>
        <w:t xml:space="preserve"> se debe a que tales actividades </w:t>
      </w:r>
      <w:r w:rsidR="00D44A71" w:rsidRPr="0045129A">
        <w:rPr>
          <w:rFonts w:ascii="Arial" w:hAnsi="Arial" w:cs="Arial"/>
          <w:sz w:val="22"/>
        </w:rPr>
        <w:t xml:space="preserve">tienen sus propias definiciones en el ámbito de la normativa de la infraestructura de transporte, que les </w:t>
      </w:r>
      <w:r w:rsidR="00036F15" w:rsidRPr="0045129A">
        <w:rPr>
          <w:rFonts w:ascii="Arial" w:hAnsi="Arial" w:cs="Arial"/>
          <w:sz w:val="22"/>
        </w:rPr>
        <w:t xml:space="preserve">atribuyen alcances </w:t>
      </w:r>
      <w:r w:rsidR="00D605DE" w:rsidRPr="0045129A">
        <w:rPr>
          <w:rFonts w:ascii="Arial" w:hAnsi="Arial" w:cs="Arial"/>
          <w:sz w:val="22"/>
        </w:rPr>
        <w:t>y nivel técnico</w:t>
      </w:r>
      <w:r w:rsidR="0047013F" w:rsidRPr="0045129A">
        <w:rPr>
          <w:rFonts w:ascii="Arial" w:hAnsi="Arial" w:cs="Arial"/>
          <w:sz w:val="22"/>
        </w:rPr>
        <w:t>s</w:t>
      </w:r>
      <w:r w:rsidR="00D605DE" w:rsidRPr="0045129A">
        <w:rPr>
          <w:rFonts w:ascii="Arial" w:hAnsi="Arial" w:cs="Arial"/>
          <w:sz w:val="22"/>
        </w:rPr>
        <w:t xml:space="preserve"> </w:t>
      </w:r>
      <w:r w:rsidR="00036F15" w:rsidRPr="0045129A">
        <w:rPr>
          <w:rFonts w:ascii="Arial" w:hAnsi="Arial" w:cs="Arial"/>
          <w:sz w:val="22"/>
        </w:rPr>
        <w:t>disimiles</w:t>
      </w:r>
      <w:r w:rsidR="00833DB2" w:rsidRPr="0045129A">
        <w:rPr>
          <w:rFonts w:ascii="Arial" w:hAnsi="Arial" w:cs="Arial"/>
          <w:sz w:val="22"/>
        </w:rPr>
        <w:t xml:space="preserve"> que coinciden con la</w:t>
      </w:r>
      <w:r w:rsidR="002C7D94" w:rsidRPr="0045129A">
        <w:rPr>
          <w:rFonts w:ascii="Arial" w:hAnsi="Arial" w:cs="Arial"/>
          <w:sz w:val="22"/>
        </w:rPr>
        <w:t xml:space="preserve"> actividad de rehabilitación</w:t>
      </w:r>
      <w:r w:rsidR="00036F15" w:rsidRPr="0045129A">
        <w:rPr>
          <w:rStyle w:val="FootnoteReference"/>
          <w:rFonts w:ascii="Arial" w:hAnsi="Arial" w:cs="Arial"/>
          <w:sz w:val="22"/>
        </w:rPr>
        <w:footnoteReference w:id="1"/>
      </w:r>
      <w:r w:rsidR="002C7D94" w:rsidRPr="0045129A">
        <w:rPr>
          <w:rFonts w:ascii="Arial" w:hAnsi="Arial" w:cs="Arial"/>
          <w:sz w:val="22"/>
        </w:rPr>
        <w:t>.</w:t>
      </w:r>
      <w:r w:rsidR="00036F15" w:rsidRPr="0045129A">
        <w:rPr>
          <w:rFonts w:ascii="Arial" w:hAnsi="Arial" w:cs="Arial"/>
          <w:sz w:val="22"/>
        </w:rPr>
        <w:t xml:space="preserve"> </w:t>
      </w:r>
    </w:p>
    <w:p w14:paraId="0A6D44E2" w14:textId="6B58EC2F" w:rsidR="0034229B" w:rsidRPr="0045129A" w:rsidRDefault="002E46F4" w:rsidP="00537CE7">
      <w:pPr>
        <w:spacing w:after="120" w:line="276" w:lineRule="auto"/>
        <w:ind w:firstLine="709"/>
        <w:jc w:val="both"/>
        <w:rPr>
          <w:rFonts w:ascii="Arial" w:hAnsi="Arial" w:cs="Arial"/>
          <w:sz w:val="22"/>
        </w:rPr>
      </w:pPr>
      <w:r w:rsidRPr="0045129A">
        <w:rPr>
          <w:rFonts w:ascii="Arial" w:hAnsi="Arial" w:cs="Arial"/>
          <w:sz w:val="22"/>
        </w:rPr>
        <w:t xml:space="preserve">Por </w:t>
      </w:r>
      <w:r w:rsidR="00012A57" w:rsidRPr="0045129A">
        <w:rPr>
          <w:rFonts w:ascii="Arial" w:hAnsi="Arial" w:cs="Arial"/>
          <w:sz w:val="22"/>
        </w:rPr>
        <w:t>otro lado, la</w:t>
      </w:r>
      <w:r w:rsidR="00A07F9A" w:rsidRPr="0045129A">
        <w:rPr>
          <w:rFonts w:ascii="Arial" w:hAnsi="Arial" w:cs="Arial"/>
          <w:sz w:val="22"/>
        </w:rPr>
        <w:t xml:space="preserve"> interpretación de</w:t>
      </w:r>
      <w:r w:rsidR="00012A57" w:rsidRPr="0045129A">
        <w:rPr>
          <w:rFonts w:ascii="Arial" w:hAnsi="Arial" w:cs="Arial"/>
          <w:sz w:val="22"/>
        </w:rPr>
        <w:t xml:space="preserve"> </w:t>
      </w:r>
      <w:r w:rsidR="00A07F9A" w:rsidRPr="0045129A">
        <w:rPr>
          <w:rFonts w:ascii="Arial" w:hAnsi="Arial" w:cs="Arial"/>
          <w:sz w:val="22"/>
        </w:rPr>
        <w:t xml:space="preserve">la </w:t>
      </w:r>
      <w:r w:rsidR="00012A57" w:rsidRPr="0045129A">
        <w:rPr>
          <w:rFonts w:ascii="Arial" w:hAnsi="Arial" w:cs="Arial"/>
          <w:sz w:val="22"/>
        </w:rPr>
        <w:t xml:space="preserve">definición de </w:t>
      </w:r>
      <w:r w:rsidR="00012A57" w:rsidRPr="0045129A">
        <w:rPr>
          <w:rFonts w:ascii="Arial" w:hAnsi="Arial" w:cs="Arial"/>
          <w:i/>
          <w:iCs/>
          <w:sz w:val="22"/>
        </w:rPr>
        <w:t>mejoramiento</w:t>
      </w:r>
      <w:r w:rsidR="0047013F" w:rsidRPr="0045129A">
        <w:rPr>
          <w:rFonts w:ascii="Arial" w:hAnsi="Arial" w:cs="Arial"/>
          <w:i/>
          <w:iCs/>
          <w:sz w:val="22"/>
        </w:rPr>
        <w:t>,</w:t>
      </w:r>
      <w:r w:rsidR="00A07F9A" w:rsidRPr="0045129A">
        <w:rPr>
          <w:rFonts w:ascii="Arial" w:hAnsi="Arial" w:cs="Arial"/>
          <w:sz w:val="22"/>
        </w:rPr>
        <w:t xml:space="preserve"> en relación con la del numeral</w:t>
      </w:r>
      <w:r w:rsidR="00A804B7" w:rsidRPr="0045129A">
        <w:rPr>
          <w:rFonts w:ascii="Arial" w:hAnsi="Arial" w:cs="Arial"/>
          <w:sz w:val="22"/>
        </w:rPr>
        <w:t xml:space="preserve"> 2.70 del Anexo 3, requiere de un mayor análisis. </w:t>
      </w:r>
      <w:r w:rsidR="00951CE2" w:rsidRPr="0045129A">
        <w:rPr>
          <w:rFonts w:ascii="Arial" w:hAnsi="Arial" w:cs="Arial"/>
          <w:sz w:val="22"/>
        </w:rPr>
        <w:t xml:space="preserve">En principio, ambas definiciones coinciden </w:t>
      </w:r>
      <w:r w:rsidR="0012471D" w:rsidRPr="0045129A">
        <w:rPr>
          <w:rFonts w:ascii="Arial" w:hAnsi="Arial" w:cs="Arial"/>
          <w:sz w:val="22"/>
        </w:rPr>
        <w:t xml:space="preserve">en identificar como </w:t>
      </w:r>
      <w:r w:rsidR="0012471D" w:rsidRPr="0045129A">
        <w:rPr>
          <w:rFonts w:ascii="Arial" w:hAnsi="Arial" w:cs="Arial"/>
          <w:i/>
          <w:iCs/>
          <w:sz w:val="22"/>
        </w:rPr>
        <w:t>mejoramiento</w:t>
      </w:r>
      <w:r w:rsidR="0012471D" w:rsidRPr="0045129A">
        <w:rPr>
          <w:rFonts w:ascii="Arial" w:hAnsi="Arial" w:cs="Arial"/>
          <w:sz w:val="22"/>
        </w:rPr>
        <w:t xml:space="preserve"> y </w:t>
      </w:r>
      <w:r w:rsidR="0012471D" w:rsidRPr="0045129A">
        <w:rPr>
          <w:rFonts w:ascii="Arial" w:hAnsi="Arial" w:cs="Arial"/>
          <w:i/>
          <w:iCs/>
          <w:sz w:val="22"/>
        </w:rPr>
        <w:t>Proyecto de mejoramiento</w:t>
      </w:r>
      <w:r w:rsidR="0012471D" w:rsidRPr="0045129A">
        <w:rPr>
          <w:rFonts w:ascii="Arial" w:hAnsi="Arial" w:cs="Arial"/>
          <w:sz w:val="22"/>
        </w:rPr>
        <w:t xml:space="preserve"> las actividades tendientes al cambio de las especificaciones té</w:t>
      </w:r>
      <w:r w:rsidR="00962A54" w:rsidRPr="0045129A">
        <w:rPr>
          <w:rFonts w:ascii="Arial" w:hAnsi="Arial" w:cs="Arial"/>
          <w:sz w:val="22"/>
        </w:rPr>
        <w:t xml:space="preserve">cnicas de </w:t>
      </w:r>
      <w:r w:rsidR="00241A76" w:rsidRPr="0045129A">
        <w:rPr>
          <w:rFonts w:ascii="Arial" w:hAnsi="Arial" w:cs="Arial"/>
          <w:sz w:val="22"/>
        </w:rPr>
        <w:t xml:space="preserve">la </w:t>
      </w:r>
      <w:r w:rsidR="00962A54" w:rsidRPr="0045129A">
        <w:rPr>
          <w:rFonts w:ascii="Arial" w:hAnsi="Arial" w:cs="Arial"/>
          <w:sz w:val="22"/>
        </w:rPr>
        <w:t>infraestructura</w:t>
      </w:r>
      <w:r w:rsidR="00241A76" w:rsidRPr="0045129A">
        <w:rPr>
          <w:rFonts w:ascii="Arial" w:hAnsi="Arial" w:cs="Arial"/>
          <w:sz w:val="22"/>
        </w:rPr>
        <w:t xml:space="preserve"> existente</w:t>
      </w:r>
      <w:r w:rsidR="00D853F5" w:rsidRPr="0045129A">
        <w:rPr>
          <w:rFonts w:ascii="Arial" w:hAnsi="Arial" w:cs="Arial"/>
          <w:sz w:val="22"/>
        </w:rPr>
        <w:t>, siendo más especifico el Anexo 3</w:t>
      </w:r>
      <w:r w:rsidR="00B32CC6" w:rsidRPr="0045129A">
        <w:rPr>
          <w:rFonts w:ascii="Arial" w:hAnsi="Arial" w:cs="Arial"/>
          <w:sz w:val="22"/>
        </w:rPr>
        <w:t xml:space="preserve">, al aludir a </w:t>
      </w:r>
      <w:r w:rsidR="00401026" w:rsidRPr="0045129A">
        <w:rPr>
          <w:rFonts w:ascii="Arial" w:hAnsi="Arial" w:cs="Arial"/>
          <w:sz w:val="22"/>
        </w:rPr>
        <w:t xml:space="preserve">que la pertinencia del desarrollo del </w:t>
      </w:r>
      <w:r w:rsidR="00401026" w:rsidRPr="0045129A">
        <w:rPr>
          <w:rFonts w:ascii="Arial" w:hAnsi="Arial" w:cs="Arial"/>
          <w:i/>
          <w:iCs/>
          <w:sz w:val="22"/>
        </w:rPr>
        <w:t>Proyecto de mejoramiento</w:t>
      </w:r>
      <w:r w:rsidR="00401026" w:rsidRPr="0045129A">
        <w:rPr>
          <w:rFonts w:ascii="Arial" w:hAnsi="Arial" w:cs="Arial"/>
          <w:sz w:val="22"/>
        </w:rPr>
        <w:t xml:space="preserve"> surge de la necesidad de adecuar la infraestructura </w:t>
      </w:r>
      <w:r w:rsidR="00F003B2" w:rsidRPr="0045129A">
        <w:rPr>
          <w:rFonts w:ascii="Arial" w:hAnsi="Arial" w:cs="Arial"/>
          <w:sz w:val="22"/>
        </w:rPr>
        <w:t xml:space="preserve">al requerimiento de los </w:t>
      </w:r>
      <w:r w:rsidR="00401026" w:rsidRPr="0045129A">
        <w:rPr>
          <w:rFonts w:ascii="Arial" w:hAnsi="Arial" w:cs="Arial"/>
          <w:sz w:val="22"/>
        </w:rPr>
        <w:t xml:space="preserve">niveles actuales </w:t>
      </w:r>
      <w:r w:rsidR="00F003B2" w:rsidRPr="0045129A">
        <w:rPr>
          <w:rFonts w:ascii="Arial" w:hAnsi="Arial" w:cs="Arial"/>
          <w:sz w:val="22"/>
        </w:rPr>
        <w:t xml:space="preserve">o proyectados de servicio. No obstante, tal mayor especificidad </w:t>
      </w:r>
      <w:r w:rsidR="0059265C" w:rsidRPr="0045129A">
        <w:rPr>
          <w:rFonts w:ascii="Arial" w:hAnsi="Arial" w:cs="Arial"/>
          <w:sz w:val="22"/>
        </w:rPr>
        <w:t>no genera una contrariedad con lo dispuesto en el artículo 12 de la Ley 1682 de 2013</w:t>
      </w:r>
      <w:r w:rsidR="00844DB0" w:rsidRPr="0045129A">
        <w:rPr>
          <w:rFonts w:ascii="Arial" w:hAnsi="Arial" w:cs="Arial"/>
          <w:sz w:val="22"/>
        </w:rPr>
        <w:t>, en la medida</w:t>
      </w:r>
      <w:r w:rsidR="002C7D94" w:rsidRPr="0045129A">
        <w:rPr>
          <w:rFonts w:ascii="Arial" w:hAnsi="Arial" w:cs="Arial"/>
          <w:sz w:val="22"/>
        </w:rPr>
        <w:t xml:space="preserve"> en</w:t>
      </w:r>
      <w:r w:rsidR="00844DB0" w:rsidRPr="0045129A">
        <w:rPr>
          <w:rFonts w:ascii="Arial" w:hAnsi="Arial" w:cs="Arial"/>
          <w:sz w:val="22"/>
        </w:rPr>
        <w:t xml:space="preserve"> que la definición de este es más general y no contiene condicionamientos</w:t>
      </w:r>
      <w:r w:rsidR="00F73ED6" w:rsidRPr="0045129A">
        <w:rPr>
          <w:rFonts w:ascii="Arial" w:hAnsi="Arial" w:cs="Arial"/>
          <w:sz w:val="22"/>
        </w:rPr>
        <w:t xml:space="preserve">, por lo que puede interpretarse que la definición del numeral 2.70 se encuentra dentro del ámbito de la definición </w:t>
      </w:r>
      <w:r w:rsidR="00863B79" w:rsidRPr="0045129A">
        <w:rPr>
          <w:rFonts w:ascii="Arial" w:hAnsi="Arial" w:cs="Arial"/>
          <w:sz w:val="22"/>
        </w:rPr>
        <w:t xml:space="preserve">de </w:t>
      </w:r>
      <w:r w:rsidR="00863B79" w:rsidRPr="0045129A">
        <w:rPr>
          <w:rFonts w:ascii="Arial" w:hAnsi="Arial" w:cs="Arial"/>
          <w:i/>
          <w:iCs/>
          <w:sz w:val="22"/>
        </w:rPr>
        <w:t xml:space="preserve">mejoramiento </w:t>
      </w:r>
      <w:r w:rsidR="00863B79" w:rsidRPr="0045129A">
        <w:rPr>
          <w:rFonts w:ascii="Arial" w:hAnsi="Arial" w:cs="Arial"/>
          <w:sz w:val="22"/>
        </w:rPr>
        <w:t>de la referida Ley.</w:t>
      </w:r>
    </w:p>
    <w:p w14:paraId="40C89D19" w14:textId="78F93C00" w:rsidR="00537CE7" w:rsidRPr="0045129A" w:rsidRDefault="00FC08EB" w:rsidP="00537CE7">
      <w:pPr>
        <w:spacing w:after="120" w:line="276" w:lineRule="auto"/>
        <w:ind w:firstLine="709"/>
        <w:jc w:val="both"/>
        <w:rPr>
          <w:rFonts w:ascii="Arial" w:hAnsi="Arial" w:cs="Arial"/>
          <w:b/>
          <w:bCs/>
          <w:sz w:val="22"/>
        </w:rPr>
      </w:pPr>
      <w:r w:rsidRPr="0045129A">
        <w:rPr>
          <w:rFonts w:ascii="Arial" w:hAnsi="Arial" w:cs="Arial"/>
          <w:sz w:val="22"/>
        </w:rPr>
        <w:t xml:space="preserve">Sin embargo, </w:t>
      </w:r>
      <w:r w:rsidR="00185346" w:rsidRPr="0045129A">
        <w:rPr>
          <w:rFonts w:ascii="Arial" w:hAnsi="Arial" w:cs="Arial"/>
          <w:sz w:val="22"/>
        </w:rPr>
        <w:t xml:space="preserve">en cuanto a las actividades </w:t>
      </w:r>
      <w:r w:rsidR="00277002" w:rsidRPr="0045129A">
        <w:rPr>
          <w:rFonts w:ascii="Arial" w:hAnsi="Arial" w:cs="Arial"/>
          <w:sz w:val="22"/>
        </w:rPr>
        <w:t xml:space="preserve">susceptibles de ser </w:t>
      </w:r>
      <w:r w:rsidR="00185346" w:rsidRPr="0045129A">
        <w:rPr>
          <w:rFonts w:ascii="Arial" w:hAnsi="Arial" w:cs="Arial"/>
          <w:sz w:val="22"/>
        </w:rPr>
        <w:t xml:space="preserve">catalogas como </w:t>
      </w:r>
      <w:r w:rsidR="00185346" w:rsidRPr="0045129A">
        <w:rPr>
          <w:rFonts w:ascii="Arial" w:hAnsi="Arial" w:cs="Arial"/>
          <w:i/>
          <w:iCs/>
          <w:sz w:val="22"/>
        </w:rPr>
        <w:t>mejoramiento</w:t>
      </w:r>
      <w:r w:rsidR="001F0B25" w:rsidRPr="0045129A">
        <w:rPr>
          <w:rFonts w:ascii="Arial" w:hAnsi="Arial" w:cs="Arial"/>
          <w:sz w:val="22"/>
        </w:rPr>
        <w:t xml:space="preserve">, no existe una total correspondencia entre lo dispuesto en </w:t>
      </w:r>
      <w:r w:rsidR="002E01CD" w:rsidRPr="0045129A">
        <w:rPr>
          <w:rFonts w:ascii="Arial" w:hAnsi="Arial" w:cs="Arial"/>
          <w:sz w:val="22"/>
        </w:rPr>
        <w:t xml:space="preserve">el artículo 12 de </w:t>
      </w:r>
      <w:r w:rsidR="00303C89" w:rsidRPr="0045129A">
        <w:rPr>
          <w:rFonts w:ascii="Arial" w:hAnsi="Arial" w:cs="Arial"/>
          <w:sz w:val="22"/>
        </w:rPr>
        <w:t>la Ley</w:t>
      </w:r>
      <w:r w:rsidR="001F0B25" w:rsidRPr="0045129A">
        <w:rPr>
          <w:rFonts w:ascii="Arial" w:hAnsi="Arial" w:cs="Arial"/>
          <w:sz w:val="22"/>
        </w:rPr>
        <w:t xml:space="preserve"> 1682 de 2013 y el Anexo 3</w:t>
      </w:r>
      <w:r w:rsidR="00EF601F" w:rsidRPr="0045129A">
        <w:rPr>
          <w:rFonts w:ascii="Arial" w:hAnsi="Arial" w:cs="Arial"/>
          <w:sz w:val="22"/>
        </w:rPr>
        <w:t xml:space="preserve">, en la medida que </w:t>
      </w:r>
      <w:r w:rsidR="00F9274E" w:rsidRPr="0045129A">
        <w:rPr>
          <w:rFonts w:ascii="Arial" w:hAnsi="Arial" w:cs="Arial"/>
          <w:sz w:val="22"/>
        </w:rPr>
        <w:t xml:space="preserve">dicha ley </w:t>
      </w:r>
      <w:r w:rsidR="006972F8" w:rsidRPr="0045129A">
        <w:rPr>
          <w:rFonts w:ascii="Arial" w:hAnsi="Arial" w:cs="Arial"/>
          <w:sz w:val="22"/>
        </w:rPr>
        <w:t>determinó</w:t>
      </w:r>
      <w:r w:rsidR="002E01CD" w:rsidRPr="0045129A">
        <w:rPr>
          <w:rFonts w:ascii="Arial" w:hAnsi="Arial" w:cs="Arial"/>
          <w:sz w:val="22"/>
        </w:rPr>
        <w:t xml:space="preserve"> que las mismas deb</w:t>
      </w:r>
      <w:r w:rsidR="00E66773" w:rsidRPr="0045129A">
        <w:rPr>
          <w:rFonts w:ascii="Arial" w:hAnsi="Arial" w:cs="Arial"/>
          <w:sz w:val="22"/>
        </w:rPr>
        <w:t>ía</w:t>
      </w:r>
      <w:r w:rsidR="002E01CD" w:rsidRPr="0045129A">
        <w:rPr>
          <w:rFonts w:ascii="Arial" w:hAnsi="Arial" w:cs="Arial"/>
          <w:sz w:val="22"/>
        </w:rPr>
        <w:t xml:space="preserve">n ser objeto de reglamentación, estableciendo incluso un plazo para </w:t>
      </w:r>
      <w:r w:rsidR="00E66773" w:rsidRPr="0045129A">
        <w:rPr>
          <w:rFonts w:ascii="Arial" w:hAnsi="Arial" w:cs="Arial"/>
          <w:sz w:val="22"/>
        </w:rPr>
        <w:t>ello</w:t>
      </w:r>
      <w:r w:rsidR="002E01CD" w:rsidRPr="0045129A">
        <w:rPr>
          <w:rFonts w:ascii="Arial" w:hAnsi="Arial" w:cs="Arial"/>
          <w:sz w:val="22"/>
        </w:rPr>
        <w:t>.</w:t>
      </w:r>
      <w:r w:rsidR="002E1130" w:rsidRPr="0045129A">
        <w:rPr>
          <w:rFonts w:ascii="Arial" w:hAnsi="Arial" w:cs="Arial"/>
          <w:sz w:val="22"/>
        </w:rPr>
        <w:t xml:space="preserve"> </w:t>
      </w:r>
      <w:r w:rsidR="00F83583" w:rsidRPr="0045129A">
        <w:rPr>
          <w:rFonts w:ascii="Arial" w:hAnsi="Arial" w:cs="Arial"/>
          <w:sz w:val="22"/>
        </w:rPr>
        <w:t>En concordancia con esto, el artículo 44</w:t>
      </w:r>
      <w:r w:rsidR="008C296F" w:rsidRPr="0045129A">
        <w:rPr>
          <w:rFonts w:ascii="Arial" w:hAnsi="Arial" w:cs="Arial"/>
          <w:sz w:val="22"/>
        </w:rPr>
        <w:t xml:space="preserve"> de la Ley 1682 de 2013, atribuy</w:t>
      </w:r>
      <w:r w:rsidR="002C7D94" w:rsidRPr="0045129A">
        <w:rPr>
          <w:rFonts w:ascii="Arial" w:hAnsi="Arial" w:cs="Arial"/>
          <w:sz w:val="22"/>
        </w:rPr>
        <w:t>ó</w:t>
      </w:r>
      <w:r w:rsidR="008C296F" w:rsidRPr="0045129A">
        <w:rPr>
          <w:rFonts w:ascii="Arial" w:hAnsi="Arial" w:cs="Arial"/>
          <w:sz w:val="22"/>
        </w:rPr>
        <w:t xml:space="preserve"> al Gobierno Nacional, conformado por los Ministerios de Transporte y Ambiente, en coordinación con la Autoridad Nacional de Licencias Ambientales, la competencia para reglamentar </w:t>
      </w:r>
      <w:r w:rsidR="007A64D8" w:rsidRPr="0045129A">
        <w:rPr>
          <w:rFonts w:ascii="Arial" w:hAnsi="Arial" w:cs="Arial"/>
          <w:sz w:val="22"/>
        </w:rPr>
        <w:t>el listado de actividades de mejoramiento en proyectos de infraestructura de transporte</w:t>
      </w:r>
      <w:r w:rsidR="007A64D8" w:rsidRPr="0045129A">
        <w:rPr>
          <w:rStyle w:val="FootnoteReference"/>
          <w:rFonts w:ascii="Arial" w:hAnsi="Arial" w:cs="Arial"/>
          <w:sz w:val="22"/>
        </w:rPr>
        <w:footnoteReference w:id="2"/>
      </w:r>
      <w:r w:rsidR="007A64D8" w:rsidRPr="0045129A">
        <w:rPr>
          <w:rFonts w:ascii="Arial" w:hAnsi="Arial" w:cs="Arial"/>
          <w:sz w:val="22"/>
        </w:rPr>
        <w:t>.</w:t>
      </w:r>
      <w:r w:rsidR="00EA0F3A" w:rsidRPr="0045129A">
        <w:rPr>
          <w:rFonts w:ascii="Arial" w:hAnsi="Arial" w:cs="Arial"/>
          <w:sz w:val="22"/>
        </w:rPr>
        <w:t xml:space="preserve"> Dicha competencia fue ejercida mediante la expedición del Decreto 769 de 2014, en </w:t>
      </w:r>
      <w:r w:rsidR="000C4D06" w:rsidRPr="0045129A">
        <w:rPr>
          <w:rFonts w:ascii="Arial" w:hAnsi="Arial" w:cs="Arial"/>
          <w:sz w:val="22"/>
        </w:rPr>
        <w:t>cuyo artículo 1</w:t>
      </w:r>
      <w:r w:rsidR="00EA0F3A" w:rsidRPr="0045129A">
        <w:rPr>
          <w:rFonts w:ascii="Arial" w:hAnsi="Arial" w:cs="Arial"/>
          <w:sz w:val="22"/>
        </w:rPr>
        <w:t xml:space="preserve"> se enlistaron una serie de actividades </w:t>
      </w:r>
      <w:r w:rsidR="00AB5D62" w:rsidRPr="0045129A">
        <w:rPr>
          <w:rFonts w:ascii="Arial" w:hAnsi="Arial" w:cs="Arial"/>
          <w:sz w:val="22"/>
        </w:rPr>
        <w:t xml:space="preserve">consideradas de mejoramiento, las cuales fueron agrupadas en </w:t>
      </w:r>
      <w:r w:rsidR="00EB0D9C" w:rsidRPr="0045129A">
        <w:rPr>
          <w:rFonts w:ascii="Arial" w:hAnsi="Arial" w:cs="Arial"/>
          <w:sz w:val="22"/>
        </w:rPr>
        <w:t xml:space="preserve">los siguientes </w:t>
      </w:r>
      <w:r w:rsidR="00AB5D62" w:rsidRPr="0045129A">
        <w:rPr>
          <w:rFonts w:ascii="Arial" w:hAnsi="Arial" w:cs="Arial"/>
          <w:sz w:val="22"/>
        </w:rPr>
        <w:t xml:space="preserve">literales referidos a cada uno de los </w:t>
      </w:r>
      <w:r w:rsidR="00205369" w:rsidRPr="0045129A">
        <w:rPr>
          <w:rFonts w:ascii="Arial" w:hAnsi="Arial" w:cs="Arial"/>
          <w:sz w:val="22"/>
        </w:rPr>
        <w:t>modos</w:t>
      </w:r>
      <w:r w:rsidR="00AB5D62" w:rsidRPr="0045129A">
        <w:rPr>
          <w:rFonts w:ascii="Arial" w:hAnsi="Arial" w:cs="Arial"/>
          <w:sz w:val="22"/>
        </w:rPr>
        <w:t xml:space="preserve"> de infraestructura </w:t>
      </w:r>
      <w:r w:rsidR="00EB0D9C" w:rsidRPr="0045129A">
        <w:rPr>
          <w:rFonts w:ascii="Arial" w:hAnsi="Arial" w:cs="Arial"/>
          <w:sz w:val="22"/>
        </w:rPr>
        <w:t>vial</w:t>
      </w:r>
      <w:r w:rsidR="00D952C4" w:rsidRPr="0045129A">
        <w:rPr>
          <w:rFonts w:ascii="Arial" w:hAnsi="Arial" w:cs="Arial"/>
          <w:sz w:val="22"/>
        </w:rPr>
        <w:t xml:space="preserve">: </w:t>
      </w:r>
      <w:r w:rsidR="00702786" w:rsidRPr="0045129A">
        <w:rPr>
          <w:rStyle w:val="Strong"/>
          <w:rFonts w:ascii="Arial" w:hAnsi="Arial" w:cs="Arial"/>
          <w:b w:val="0"/>
          <w:bCs w:val="0"/>
          <w:sz w:val="22"/>
        </w:rPr>
        <w:t>A. Modo terrestre-</w:t>
      </w:r>
      <w:r w:rsidR="00A6385A" w:rsidRPr="0045129A">
        <w:rPr>
          <w:rStyle w:val="Strong"/>
          <w:rFonts w:ascii="Arial" w:hAnsi="Arial" w:cs="Arial"/>
          <w:b w:val="0"/>
          <w:bCs w:val="0"/>
          <w:sz w:val="22"/>
        </w:rPr>
        <w:t>carretero;</w:t>
      </w:r>
      <w:r w:rsidR="00A6385A" w:rsidRPr="0045129A">
        <w:rPr>
          <w:rFonts w:ascii="Arial" w:hAnsi="Arial" w:cs="Arial"/>
          <w:b/>
          <w:bCs/>
          <w:sz w:val="22"/>
        </w:rPr>
        <w:t xml:space="preserve"> </w:t>
      </w:r>
      <w:r w:rsidR="00A6385A" w:rsidRPr="0045129A">
        <w:rPr>
          <w:rFonts w:ascii="Arial" w:hAnsi="Arial" w:cs="Arial"/>
          <w:sz w:val="22"/>
        </w:rPr>
        <w:t>B.</w:t>
      </w:r>
      <w:r w:rsidR="00BC5DB0" w:rsidRPr="0045129A">
        <w:rPr>
          <w:rStyle w:val="Strong"/>
          <w:rFonts w:ascii="Arial" w:hAnsi="Arial" w:cs="Arial"/>
          <w:b w:val="0"/>
          <w:bCs w:val="0"/>
          <w:sz w:val="22"/>
        </w:rPr>
        <w:t xml:space="preserve"> Modo terrestre-férreo</w:t>
      </w:r>
      <w:r w:rsidR="00A6385A" w:rsidRPr="0045129A">
        <w:rPr>
          <w:rStyle w:val="Strong"/>
          <w:rFonts w:ascii="Arial" w:hAnsi="Arial" w:cs="Arial"/>
          <w:b w:val="0"/>
          <w:bCs w:val="0"/>
          <w:sz w:val="22"/>
        </w:rPr>
        <w:t>;</w:t>
      </w:r>
      <w:r w:rsidR="00BC5DB0" w:rsidRPr="0045129A">
        <w:rPr>
          <w:rFonts w:ascii="Arial" w:hAnsi="Arial" w:cs="Arial"/>
          <w:b/>
          <w:bCs/>
          <w:sz w:val="22"/>
        </w:rPr>
        <w:t> </w:t>
      </w:r>
      <w:r w:rsidR="00BC5DB0" w:rsidRPr="0045129A">
        <w:rPr>
          <w:rStyle w:val="Strong"/>
          <w:rFonts w:ascii="Arial" w:hAnsi="Arial" w:cs="Arial"/>
          <w:b w:val="0"/>
          <w:bCs w:val="0"/>
          <w:sz w:val="22"/>
        </w:rPr>
        <w:t>C. Modo acuático-fluvial y Modo acuático de infraestructura portuaria</w:t>
      </w:r>
      <w:r w:rsidR="00BC5DB0" w:rsidRPr="0045129A">
        <w:rPr>
          <w:rFonts w:ascii="Arial" w:hAnsi="Arial" w:cs="Arial"/>
          <w:b/>
          <w:bCs/>
          <w:sz w:val="22"/>
        </w:rPr>
        <w:t> </w:t>
      </w:r>
      <w:r w:rsidR="002E5716" w:rsidRPr="0045129A">
        <w:rPr>
          <w:rFonts w:ascii="Arial" w:hAnsi="Arial" w:cs="Arial"/>
          <w:sz w:val="22"/>
        </w:rPr>
        <w:t>y D.</w:t>
      </w:r>
      <w:r w:rsidR="006C1CA2" w:rsidRPr="0045129A">
        <w:rPr>
          <w:rFonts w:ascii="Arial" w:hAnsi="Arial" w:cs="Arial"/>
          <w:b/>
          <w:bCs/>
          <w:sz w:val="22"/>
        </w:rPr>
        <w:t> </w:t>
      </w:r>
      <w:r w:rsidR="006C1CA2" w:rsidRPr="0045129A">
        <w:rPr>
          <w:rStyle w:val="Strong"/>
          <w:rFonts w:ascii="Arial" w:hAnsi="Arial" w:cs="Arial"/>
          <w:b w:val="0"/>
          <w:bCs w:val="0"/>
          <w:sz w:val="22"/>
        </w:rPr>
        <w:t>Modo Aéreo</w:t>
      </w:r>
      <w:r w:rsidR="00D952C4" w:rsidRPr="0045129A">
        <w:rPr>
          <w:rFonts w:ascii="Arial" w:hAnsi="Arial" w:cs="Arial"/>
          <w:b/>
          <w:bCs/>
          <w:sz w:val="22"/>
        </w:rPr>
        <w:t>.</w:t>
      </w:r>
    </w:p>
    <w:p w14:paraId="23206708" w14:textId="4A168F2E" w:rsidR="00C07E20" w:rsidRPr="0045129A" w:rsidRDefault="0019072B" w:rsidP="00537CE7">
      <w:pPr>
        <w:spacing w:after="120" w:line="276" w:lineRule="auto"/>
        <w:ind w:firstLine="709"/>
        <w:jc w:val="both"/>
        <w:rPr>
          <w:rFonts w:ascii="Arial" w:hAnsi="Arial" w:cs="Arial"/>
          <w:sz w:val="22"/>
        </w:rPr>
      </w:pPr>
      <w:r w:rsidRPr="0045129A">
        <w:rPr>
          <w:rFonts w:ascii="Arial" w:hAnsi="Arial" w:cs="Arial"/>
          <w:sz w:val="22"/>
        </w:rPr>
        <w:t xml:space="preserve">Actividades como la construcción de obras de drenaje y </w:t>
      </w:r>
      <w:r w:rsidR="00265EC2" w:rsidRPr="0045129A">
        <w:rPr>
          <w:rFonts w:ascii="Arial" w:hAnsi="Arial" w:cs="Arial"/>
          <w:sz w:val="22"/>
        </w:rPr>
        <w:t>r</w:t>
      </w:r>
      <w:r w:rsidR="000E1286" w:rsidRPr="0045129A">
        <w:rPr>
          <w:rFonts w:ascii="Arial" w:hAnsi="Arial" w:cs="Arial"/>
          <w:sz w:val="22"/>
        </w:rPr>
        <w:t>ectificación</w:t>
      </w:r>
      <w:r w:rsidR="003473CF" w:rsidRPr="0045129A">
        <w:rPr>
          <w:rFonts w:ascii="Arial" w:hAnsi="Arial" w:cs="Arial"/>
          <w:sz w:val="22"/>
        </w:rPr>
        <w:t xml:space="preserve">, referidas en el numeral 2.70 del Anexo 3, aparecen enlistadas dentro del literal A, del </w:t>
      </w:r>
      <w:r w:rsidR="00905AE8" w:rsidRPr="0045129A">
        <w:rPr>
          <w:rFonts w:ascii="Arial" w:hAnsi="Arial" w:cs="Arial"/>
          <w:sz w:val="22"/>
        </w:rPr>
        <w:t>artículo 1 del Decreto 769 de 2014, hoy compilado en el artículo</w:t>
      </w:r>
      <w:r w:rsidR="00474C32" w:rsidRPr="0045129A">
        <w:rPr>
          <w:rFonts w:ascii="Arial" w:hAnsi="Arial" w:cs="Arial"/>
          <w:sz w:val="22"/>
        </w:rPr>
        <w:t xml:space="preserve"> 2.2.2.5.1.1. del Decreto 1076 de 2015</w:t>
      </w:r>
      <w:r w:rsidR="00905AE8" w:rsidRPr="0045129A">
        <w:rPr>
          <w:rFonts w:ascii="Arial" w:hAnsi="Arial" w:cs="Arial"/>
          <w:sz w:val="22"/>
        </w:rPr>
        <w:t xml:space="preserve"> </w:t>
      </w:r>
      <w:r w:rsidR="003473CF" w:rsidRPr="0045129A">
        <w:rPr>
          <w:rFonts w:ascii="Arial" w:hAnsi="Arial" w:cs="Arial"/>
          <w:sz w:val="22"/>
        </w:rPr>
        <w:t>–numerales 6 y 18–</w:t>
      </w:r>
      <w:r w:rsidR="00AE5CD3" w:rsidRPr="0045129A">
        <w:rPr>
          <w:rFonts w:ascii="Arial" w:hAnsi="Arial" w:cs="Arial"/>
          <w:sz w:val="22"/>
        </w:rPr>
        <w:t>, referente a</w:t>
      </w:r>
      <w:r w:rsidR="00596D18" w:rsidRPr="0045129A">
        <w:rPr>
          <w:rFonts w:ascii="Arial" w:hAnsi="Arial" w:cs="Arial"/>
          <w:sz w:val="22"/>
        </w:rPr>
        <w:t>l</w:t>
      </w:r>
      <w:r w:rsidR="00AE5CD3" w:rsidRPr="0045129A">
        <w:rPr>
          <w:rFonts w:ascii="Arial" w:hAnsi="Arial" w:cs="Arial"/>
          <w:sz w:val="22"/>
        </w:rPr>
        <w:t xml:space="preserve"> </w:t>
      </w:r>
      <w:r w:rsidR="00205369" w:rsidRPr="0045129A">
        <w:rPr>
          <w:rFonts w:ascii="Arial" w:hAnsi="Arial" w:cs="Arial"/>
          <w:i/>
          <w:iCs/>
          <w:sz w:val="22"/>
        </w:rPr>
        <w:t>M</w:t>
      </w:r>
      <w:r w:rsidR="00205369" w:rsidRPr="0045129A">
        <w:rPr>
          <w:rStyle w:val="Emphasis"/>
          <w:rFonts w:ascii="Arial" w:hAnsi="Arial" w:cs="Arial"/>
          <w:sz w:val="22"/>
        </w:rPr>
        <w:t>odo Terrestre-Carretero</w:t>
      </w:r>
      <w:r w:rsidR="00205369" w:rsidRPr="0045129A">
        <w:rPr>
          <w:rFonts w:ascii="Arial" w:hAnsi="Arial" w:cs="Arial"/>
          <w:sz w:val="22"/>
        </w:rPr>
        <w:t>.</w:t>
      </w:r>
      <w:r w:rsidR="00C07E20" w:rsidRPr="0045129A">
        <w:rPr>
          <w:rFonts w:ascii="Arial" w:hAnsi="Arial" w:cs="Arial"/>
          <w:sz w:val="22"/>
        </w:rPr>
        <w:t xml:space="preserve"> </w:t>
      </w:r>
      <w:r w:rsidR="00FE0F91" w:rsidRPr="0045129A">
        <w:rPr>
          <w:rFonts w:ascii="Arial" w:hAnsi="Arial" w:cs="Arial"/>
          <w:sz w:val="22"/>
        </w:rPr>
        <w:t>Sin embarg</w:t>
      </w:r>
      <w:r w:rsidR="00FD091E" w:rsidRPr="0045129A">
        <w:rPr>
          <w:rFonts w:ascii="Arial" w:hAnsi="Arial" w:cs="Arial"/>
          <w:sz w:val="22"/>
        </w:rPr>
        <w:t xml:space="preserve">o, </w:t>
      </w:r>
      <w:r w:rsidR="00280938" w:rsidRPr="0045129A">
        <w:rPr>
          <w:rFonts w:ascii="Arial" w:hAnsi="Arial" w:cs="Arial"/>
          <w:sz w:val="22"/>
        </w:rPr>
        <w:t>en este último artículo se refieren</w:t>
      </w:r>
      <w:r w:rsidR="00573F58" w:rsidRPr="0045129A">
        <w:rPr>
          <w:rFonts w:ascii="Arial" w:hAnsi="Arial" w:cs="Arial"/>
          <w:sz w:val="22"/>
        </w:rPr>
        <w:t>, entre otras</w:t>
      </w:r>
      <w:r w:rsidR="00FD091E" w:rsidRPr="0045129A">
        <w:rPr>
          <w:rFonts w:ascii="Arial" w:hAnsi="Arial" w:cs="Arial"/>
          <w:sz w:val="22"/>
        </w:rPr>
        <w:t>, actividades como</w:t>
      </w:r>
      <w:r w:rsidR="00573F58" w:rsidRPr="0045129A">
        <w:rPr>
          <w:rFonts w:ascii="Arial" w:hAnsi="Arial" w:cs="Arial"/>
          <w:sz w:val="22"/>
        </w:rPr>
        <w:t xml:space="preserve"> </w:t>
      </w:r>
      <w:r w:rsidR="00DE6B61" w:rsidRPr="0045129A">
        <w:rPr>
          <w:rFonts w:ascii="Arial" w:hAnsi="Arial" w:cs="Arial"/>
          <w:sz w:val="22"/>
        </w:rPr>
        <w:t xml:space="preserve">la </w:t>
      </w:r>
      <w:r w:rsidR="00573F58" w:rsidRPr="0045129A">
        <w:rPr>
          <w:rFonts w:ascii="Arial" w:hAnsi="Arial" w:cs="Arial"/>
          <w:sz w:val="22"/>
        </w:rPr>
        <w:t xml:space="preserve">construcción de andenes y paraderos, ampliación de separadores centrales, construcción de túneles falsos en vías y </w:t>
      </w:r>
      <w:r w:rsidR="005F2089" w:rsidRPr="0045129A">
        <w:rPr>
          <w:rFonts w:ascii="Arial" w:hAnsi="Arial" w:cs="Arial"/>
          <w:sz w:val="22"/>
        </w:rPr>
        <w:t>c</w:t>
      </w:r>
      <w:r w:rsidR="00573F58" w:rsidRPr="0045129A">
        <w:rPr>
          <w:rFonts w:ascii="Arial" w:hAnsi="Arial" w:cs="Arial"/>
          <w:sz w:val="22"/>
        </w:rPr>
        <w:t>onstrucción de corredores de servicio en túneles</w:t>
      </w:r>
      <w:r w:rsidR="005F2089" w:rsidRPr="0045129A">
        <w:rPr>
          <w:rFonts w:ascii="Arial" w:hAnsi="Arial" w:cs="Arial"/>
          <w:sz w:val="22"/>
        </w:rPr>
        <w:t xml:space="preserve">, las cuales no aparecen enlistadas </w:t>
      </w:r>
      <w:r w:rsidR="006D208D" w:rsidRPr="0045129A">
        <w:rPr>
          <w:rFonts w:ascii="Arial" w:hAnsi="Arial" w:cs="Arial"/>
          <w:sz w:val="22"/>
        </w:rPr>
        <w:t>de el numeral 2.70 del Anexo 3</w:t>
      </w:r>
      <w:r w:rsidR="00EE133A" w:rsidRPr="0045129A">
        <w:rPr>
          <w:rFonts w:ascii="Arial" w:hAnsi="Arial" w:cs="Arial"/>
          <w:sz w:val="22"/>
        </w:rPr>
        <w:t xml:space="preserve">, lo que no significa que su contratación esté </w:t>
      </w:r>
      <w:r w:rsidR="00445EA7" w:rsidRPr="0045129A">
        <w:rPr>
          <w:rFonts w:ascii="Arial" w:hAnsi="Arial" w:cs="Arial"/>
          <w:sz w:val="22"/>
        </w:rPr>
        <w:t>excluida</w:t>
      </w:r>
      <w:r w:rsidR="00EE133A" w:rsidRPr="0045129A">
        <w:rPr>
          <w:rFonts w:ascii="Arial" w:hAnsi="Arial" w:cs="Arial"/>
          <w:sz w:val="22"/>
        </w:rPr>
        <w:t xml:space="preserve"> del ámbito de aplicación de los documentos tipo de infraestructura de transporte.</w:t>
      </w:r>
      <w:r w:rsidR="006D208D" w:rsidRPr="0045129A">
        <w:rPr>
          <w:rFonts w:ascii="Arial" w:hAnsi="Arial" w:cs="Arial"/>
          <w:sz w:val="22"/>
        </w:rPr>
        <w:t xml:space="preserve"> </w:t>
      </w:r>
    </w:p>
    <w:p w14:paraId="58F6AEF1" w14:textId="06C941DA" w:rsidR="007530D2" w:rsidRPr="0045129A" w:rsidRDefault="00EE133A" w:rsidP="00E412EB">
      <w:pPr>
        <w:spacing w:after="120" w:line="276" w:lineRule="auto"/>
        <w:ind w:firstLine="709"/>
        <w:jc w:val="both"/>
        <w:rPr>
          <w:rFonts w:ascii="Arial" w:hAnsi="Arial" w:cs="Arial"/>
          <w:sz w:val="22"/>
        </w:rPr>
      </w:pPr>
      <w:r w:rsidRPr="0045129A">
        <w:rPr>
          <w:rFonts w:ascii="Arial" w:hAnsi="Arial" w:cs="Arial"/>
          <w:sz w:val="22"/>
        </w:rPr>
        <w:t xml:space="preserve">Al respecto, debe precisarse que, </w:t>
      </w:r>
      <w:r w:rsidR="00DF136E" w:rsidRPr="0045129A">
        <w:rPr>
          <w:rFonts w:ascii="Arial" w:hAnsi="Arial" w:cs="Arial"/>
          <w:sz w:val="22"/>
        </w:rPr>
        <w:t xml:space="preserve">en materia de infraestructura de transporte, la Ley 1682 de 2013, constituye </w:t>
      </w:r>
      <w:r w:rsidR="00C50A1E" w:rsidRPr="0045129A">
        <w:rPr>
          <w:rFonts w:ascii="Arial" w:hAnsi="Arial" w:cs="Arial"/>
          <w:sz w:val="22"/>
        </w:rPr>
        <w:t>el principal instrumento normativo de cara a determinar qu</w:t>
      </w:r>
      <w:r w:rsidR="00E66773" w:rsidRPr="0045129A">
        <w:rPr>
          <w:rFonts w:ascii="Arial" w:hAnsi="Arial" w:cs="Arial"/>
          <w:sz w:val="22"/>
        </w:rPr>
        <w:t>é</w:t>
      </w:r>
      <w:r w:rsidR="00C50A1E" w:rsidRPr="0045129A">
        <w:rPr>
          <w:rFonts w:ascii="Arial" w:hAnsi="Arial" w:cs="Arial"/>
          <w:sz w:val="22"/>
        </w:rPr>
        <w:t xml:space="preserve"> constituye infraestructura de transporte, así como las actividades </w:t>
      </w:r>
      <w:r w:rsidR="00323682" w:rsidRPr="0045129A">
        <w:rPr>
          <w:rFonts w:ascii="Arial" w:hAnsi="Arial" w:cs="Arial"/>
          <w:sz w:val="22"/>
        </w:rPr>
        <w:t>que implican su intervención y que</w:t>
      </w:r>
      <w:r w:rsidR="00E66773" w:rsidRPr="0045129A">
        <w:rPr>
          <w:rFonts w:ascii="Arial" w:hAnsi="Arial" w:cs="Arial"/>
          <w:sz w:val="22"/>
        </w:rPr>
        <w:t>,</w:t>
      </w:r>
      <w:r w:rsidR="00323682" w:rsidRPr="0045129A">
        <w:rPr>
          <w:rFonts w:ascii="Arial" w:hAnsi="Arial" w:cs="Arial"/>
          <w:sz w:val="22"/>
        </w:rPr>
        <w:t xml:space="preserve"> por tanto</w:t>
      </w:r>
      <w:r w:rsidR="00E66773" w:rsidRPr="0045129A">
        <w:rPr>
          <w:rFonts w:ascii="Arial" w:hAnsi="Arial" w:cs="Arial"/>
          <w:sz w:val="22"/>
        </w:rPr>
        <w:t>,</w:t>
      </w:r>
      <w:r w:rsidR="00323682" w:rsidRPr="0045129A">
        <w:rPr>
          <w:rFonts w:ascii="Arial" w:hAnsi="Arial" w:cs="Arial"/>
          <w:sz w:val="22"/>
        </w:rPr>
        <w:t xml:space="preserve"> deben ser contratadas aplicando documentos tipo. En ese sentido,</w:t>
      </w:r>
      <w:r w:rsidR="007530D2" w:rsidRPr="0045129A">
        <w:rPr>
          <w:rFonts w:ascii="Arial" w:hAnsi="Arial" w:cs="Arial"/>
          <w:sz w:val="22"/>
        </w:rPr>
        <w:t xml:space="preserve"> </w:t>
      </w:r>
      <w:r w:rsidR="00E66773" w:rsidRPr="0045129A">
        <w:rPr>
          <w:rFonts w:ascii="Arial" w:hAnsi="Arial" w:cs="Arial"/>
          <w:sz w:val="22"/>
        </w:rPr>
        <w:t xml:space="preserve">el </w:t>
      </w:r>
      <w:r w:rsidR="007530D2" w:rsidRPr="0045129A">
        <w:rPr>
          <w:rFonts w:ascii="Arial" w:hAnsi="Arial" w:cs="Arial"/>
          <w:sz w:val="22"/>
        </w:rPr>
        <w:t xml:space="preserve">legislador atribuyó al </w:t>
      </w:r>
      <w:r w:rsidR="000A66C8" w:rsidRPr="0045129A">
        <w:rPr>
          <w:rFonts w:ascii="Arial" w:hAnsi="Arial" w:cs="Arial"/>
          <w:sz w:val="22"/>
        </w:rPr>
        <w:t xml:space="preserve">Gobierno Nacional la competencia para definir lo que debe ser entendido como proyecto de mejoramiento de infraestructura de transporte, </w:t>
      </w:r>
      <w:r w:rsidR="008D4B86" w:rsidRPr="0045129A">
        <w:rPr>
          <w:rFonts w:ascii="Arial" w:hAnsi="Arial" w:cs="Arial"/>
          <w:sz w:val="22"/>
        </w:rPr>
        <w:t xml:space="preserve">al encargarle la </w:t>
      </w:r>
      <w:r w:rsidR="00E66773" w:rsidRPr="0045129A">
        <w:rPr>
          <w:rFonts w:ascii="Arial" w:hAnsi="Arial" w:cs="Arial"/>
          <w:sz w:val="22"/>
        </w:rPr>
        <w:t xml:space="preserve">competencia para </w:t>
      </w:r>
      <w:r w:rsidR="008D4B86" w:rsidRPr="0045129A">
        <w:rPr>
          <w:rFonts w:ascii="Arial" w:hAnsi="Arial" w:cs="Arial"/>
          <w:sz w:val="22"/>
        </w:rPr>
        <w:t>expedi</w:t>
      </w:r>
      <w:r w:rsidR="00E66773" w:rsidRPr="0045129A">
        <w:rPr>
          <w:rFonts w:ascii="Arial" w:hAnsi="Arial" w:cs="Arial"/>
          <w:sz w:val="22"/>
        </w:rPr>
        <w:t>r</w:t>
      </w:r>
      <w:r w:rsidR="008D4B86" w:rsidRPr="0045129A">
        <w:rPr>
          <w:rFonts w:ascii="Arial" w:hAnsi="Arial" w:cs="Arial"/>
          <w:sz w:val="22"/>
        </w:rPr>
        <w:t xml:space="preserve"> la norma reglamentaria que enlistara la</w:t>
      </w:r>
      <w:r w:rsidR="00EF65B7" w:rsidRPr="0045129A">
        <w:rPr>
          <w:rFonts w:ascii="Arial" w:hAnsi="Arial" w:cs="Arial"/>
          <w:sz w:val="22"/>
        </w:rPr>
        <w:t>s actividades que suponen tal tipo de intervención, las cual</w:t>
      </w:r>
      <w:r w:rsidR="006C619E" w:rsidRPr="0045129A">
        <w:rPr>
          <w:rFonts w:ascii="Arial" w:hAnsi="Arial" w:cs="Arial"/>
          <w:sz w:val="22"/>
        </w:rPr>
        <w:t xml:space="preserve">es son determinantes para </w:t>
      </w:r>
      <w:r w:rsidR="00445EA7" w:rsidRPr="0045129A">
        <w:rPr>
          <w:rFonts w:ascii="Arial" w:hAnsi="Arial" w:cs="Arial"/>
          <w:sz w:val="22"/>
        </w:rPr>
        <w:t>establecer</w:t>
      </w:r>
      <w:r w:rsidR="006C619E" w:rsidRPr="0045129A">
        <w:rPr>
          <w:rFonts w:ascii="Arial" w:hAnsi="Arial" w:cs="Arial"/>
          <w:sz w:val="22"/>
        </w:rPr>
        <w:t xml:space="preserve"> qu</w:t>
      </w:r>
      <w:r w:rsidR="00E66773" w:rsidRPr="0045129A">
        <w:rPr>
          <w:rFonts w:ascii="Arial" w:hAnsi="Arial" w:cs="Arial"/>
          <w:sz w:val="22"/>
        </w:rPr>
        <w:t>é</w:t>
      </w:r>
      <w:r w:rsidR="006C619E" w:rsidRPr="0045129A">
        <w:rPr>
          <w:rFonts w:ascii="Arial" w:hAnsi="Arial" w:cs="Arial"/>
          <w:sz w:val="22"/>
        </w:rPr>
        <w:t xml:space="preserve"> constituye un </w:t>
      </w:r>
      <w:r w:rsidR="00445EA7" w:rsidRPr="0045129A">
        <w:rPr>
          <w:rFonts w:ascii="Arial" w:hAnsi="Arial" w:cs="Arial"/>
          <w:i/>
          <w:iCs/>
          <w:sz w:val="22"/>
        </w:rPr>
        <w:t>P</w:t>
      </w:r>
      <w:r w:rsidR="006C619E" w:rsidRPr="0045129A">
        <w:rPr>
          <w:rFonts w:ascii="Arial" w:hAnsi="Arial" w:cs="Arial"/>
          <w:i/>
          <w:iCs/>
          <w:sz w:val="22"/>
        </w:rPr>
        <w:t>royecto de mejoramiento</w:t>
      </w:r>
      <w:r w:rsidR="006C619E" w:rsidRPr="0045129A">
        <w:rPr>
          <w:rFonts w:ascii="Arial" w:hAnsi="Arial" w:cs="Arial"/>
          <w:sz w:val="22"/>
        </w:rPr>
        <w:t xml:space="preserve"> de cara la aplicación de los documentos </w:t>
      </w:r>
      <w:r w:rsidR="008554B4" w:rsidRPr="0045129A">
        <w:rPr>
          <w:rFonts w:ascii="Arial" w:hAnsi="Arial" w:cs="Arial"/>
          <w:sz w:val="22"/>
        </w:rPr>
        <w:t xml:space="preserve">tipo de </w:t>
      </w:r>
      <w:r w:rsidR="00E66773" w:rsidRPr="0045129A">
        <w:rPr>
          <w:rFonts w:ascii="Arial" w:hAnsi="Arial" w:cs="Arial"/>
          <w:sz w:val="22"/>
        </w:rPr>
        <w:t xml:space="preserve">infraestructura </w:t>
      </w:r>
      <w:r w:rsidR="008554B4" w:rsidRPr="0045129A">
        <w:rPr>
          <w:rFonts w:ascii="Arial" w:hAnsi="Arial" w:cs="Arial"/>
          <w:sz w:val="22"/>
        </w:rPr>
        <w:t xml:space="preserve">transporte. </w:t>
      </w:r>
      <w:r w:rsidR="00E81E2B" w:rsidRPr="0045129A">
        <w:rPr>
          <w:rFonts w:ascii="Arial" w:hAnsi="Arial" w:cs="Arial"/>
          <w:sz w:val="22"/>
        </w:rPr>
        <w:t xml:space="preserve"> </w:t>
      </w:r>
    </w:p>
    <w:p w14:paraId="70EFECEF" w14:textId="77777777" w:rsidR="009A0B8E" w:rsidRPr="0045129A" w:rsidRDefault="008554B4" w:rsidP="002E60E0">
      <w:pPr>
        <w:spacing w:after="120" w:line="276" w:lineRule="auto"/>
        <w:ind w:firstLine="709"/>
        <w:jc w:val="both"/>
        <w:rPr>
          <w:rFonts w:ascii="Arial" w:hAnsi="Arial" w:cs="Arial"/>
          <w:sz w:val="22"/>
        </w:rPr>
      </w:pPr>
      <w:r w:rsidRPr="0045129A">
        <w:rPr>
          <w:rFonts w:ascii="Arial" w:hAnsi="Arial" w:cs="Arial"/>
          <w:sz w:val="22"/>
        </w:rPr>
        <w:t>En ese sentido, la</w:t>
      </w:r>
      <w:r w:rsidR="00A74241" w:rsidRPr="0045129A">
        <w:rPr>
          <w:rFonts w:ascii="Arial" w:hAnsi="Arial" w:cs="Arial"/>
          <w:sz w:val="22"/>
        </w:rPr>
        <w:t>s</w:t>
      </w:r>
      <w:r w:rsidRPr="0045129A">
        <w:rPr>
          <w:rFonts w:ascii="Arial" w:hAnsi="Arial" w:cs="Arial"/>
          <w:sz w:val="22"/>
        </w:rPr>
        <w:t xml:space="preserve"> noci</w:t>
      </w:r>
      <w:r w:rsidR="00A74241" w:rsidRPr="0045129A">
        <w:rPr>
          <w:rFonts w:ascii="Arial" w:hAnsi="Arial" w:cs="Arial"/>
          <w:sz w:val="22"/>
        </w:rPr>
        <w:t>ones</w:t>
      </w:r>
      <w:r w:rsidRPr="0045129A">
        <w:rPr>
          <w:rFonts w:ascii="Arial" w:hAnsi="Arial" w:cs="Arial"/>
          <w:sz w:val="22"/>
        </w:rPr>
        <w:t xml:space="preserve"> de</w:t>
      </w:r>
      <w:r w:rsidR="00032557" w:rsidRPr="0045129A">
        <w:rPr>
          <w:rFonts w:ascii="Arial" w:hAnsi="Arial" w:cs="Arial"/>
          <w:sz w:val="22"/>
        </w:rPr>
        <w:t xml:space="preserve"> las actividades que suponen intervenciones de la infraestructura de transporte, como, por ejemplo,</w:t>
      </w:r>
      <w:r w:rsidRPr="0045129A">
        <w:rPr>
          <w:rFonts w:ascii="Arial" w:hAnsi="Arial" w:cs="Arial"/>
          <w:sz w:val="22"/>
        </w:rPr>
        <w:t xml:space="preserve"> </w:t>
      </w:r>
      <w:r w:rsidR="00A74241" w:rsidRPr="0045129A">
        <w:rPr>
          <w:rFonts w:ascii="Arial" w:hAnsi="Arial" w:cs="Arial"/>
          <w:i/>
          <w:iCs/>
          <w:sz w:val="22"/>
        </w:rPr>
        <w:t>Proyectos de construcción</w:t>
      </w:r>
      <w:r w:rsidR="00032557" w:rsidRPr="0045129A">
        <w:rPr>
          <w:rFonts w:ascii="Arial" w:hAnsi="Arial" w:cs="Arial"/>
          <w:sz w:val="22"/>
        </w:rPr>
        <w:t xml:space="preserve">, </w:t>
      </w:r>
      <w:r w:rsidR="00A74241" w:rsidRPr="0045129A">
        <w:rPr>
          <w:rFonts w:ascii="Arial" w:hAnsi="Arial" w:cs="Arial"/>
          <w:i/>
          <w:iCs/>
          <w:sz w:val="22"/>
        </w:rPr>
        <w:t>P</w:t>
      </w:r>
      <w:r w:rsidRPr="0045129A">
        <w:rPr>
          <w:rFonts w:ascii="Arial" w:hAnsi="Arial" w:cs="Arial"/>
          <w:i/>
          <w:iCs/>
          <w:sz w:val="22"/>
        </w:rPr>
        <w:t>royecto</w:t>
      </w:r>
      <w:r w:rsidR="00A74241" w:rsidRPr="0045129A">
        <w:rPr>
          <w:rFonts w:ascii="Arial" w:hAnsi="Arial" w:cs="Arial"/>
          <w:i/>
          <w:iCs/>
          <w:sz w:val="22"/>
        </w:rPr>
        <w:t>s</w:t>
      </w:r>
      <w:r w:rsidRPr="0045129A">
        <w:rPr>
          <w:rFonts w:ascii="Arial" w:hAnsi="Arial" w:cs="Arial"/>
          <w:i/>
          <w:iCs/>
          <w:sz w:val="22"/>
        </w:rPr>
        <w:t xml:space="preserve"> de mejoramiento</w:t>
      </w:r>
      <w:r w:rsidR="00F81D72" w:rsidRPr="0045129A">
        <w:rPr>
          <w:rFonts w:ascii="Arial" w:hAnsi="Arial" w:cs="Arial"/>
          <w:i/>
          <w:iCs/>
          <w:sz w:val="22"/>
        </w:rPr>
        <w:t xml:space="preserve"> </w:t>
      </w:r>
      <w:r w:rsidR="00F81D72" w:rsidRPr="0045129A">
        <w:rPr>
          <w:rFonts w:ascii="Arial" w:hAnsi="Arial" w:cs="Arial"/>
          <w:sz w:val="22"/>
        </w:rPr>
        <w:t>y</w:t>
      </w:r>
      <w:r w:rsidR="00F81D72" w:rsidRPr="0045129A">
        <w:rPr>
          <w:rFonts w:ascii="Arial" w:hAnsi="Arial" w:cs="Arial"/>
          <w:i/>
          <w:iCs/>
          <w:sz w:val="22"/>
        </w:rPr>
        <w:t xml:space="preserve"> Proyectos de rehabilitación</w:t>
      </w:r>
      <w:r w:rsidR="00537702" w:rsidRPr="0045129A">
        <w:rPr>
          <w:rFonts w:ascii="Arial" w:hAnsi="Arial" w:cs="Arial"/>
          <w:sz w:val="22"/>
        </w:rPr>
        <w:t xml:space="preserve">, en el marco de los documentos tipo de dicho sector, </w:t>
      </w:r>
      <w:r w:rsidR="00F21B45" w:rsidRPr="0045129A">
        <w:rPr>
          <w:rFonts w:ascii="Arial" w:hAnsi="Arial" w:cs="Arial"/>
          <w:sz w:val="22"/>
        </w:rPr>
        <w:t>se encuentra</w:t>
      </w:r>
      <w:r w:rsidR="00A74241" w:rsidRPr="0045129A">
        <w:rPr>
          <w:rFonts w:ascii="Arial" w:hAnsi="Arial" w:cs="Arial"/>
          <w:sz w:val="22"/>
        </w:rPr>
        <w:t>n</w:t>
      </w:r>
      <w:r w:rsidR="00F21B45" w:rsidRPr="0045129A">
        <w:rPr>
          <w:rFonts w:ascii="Arial" w:hAnsi="Arial" w:cs="Arial"/>
          <w:sz w:val="22"/>
        </w:rPr>
        <w:t xml:space="preserve"> determinada</w:t>
      </w:r>
      <w:r w:rsidR="00A74241" w:rsidRPr="0045129A">
        <w:rPr>
          <w:rFonts w:ascii="Arial" w:hAnsi="Arial" w:cs="Arial"/>
          <w:sz w:val="22"/>
        </w:rPr>
        <w:t>s</w:t>
      </w:r>
      <w:r w:rsidR="00310C7B" w:rsidRPr="0045129A">
        <w:rPr>
          <w:rFonts w:ascii="Arial" w:hAnsi="Arial" w:cs="Arial"/>
          <w:sz w:val="22"/>
        </w:rPr>
        <w:t>, en primera medida,</w:t>
      </w:r>
      <w:r w:rsidRPr="0045129A">
        <w:rPr>
          <w:rFonts w:ascii="Arial" w:hAnsi="Arial" w:cs="Arial"/>
          <w:sz w:val="22"/>
        </w:rPr>
        <w:t xml:space="preserve"> por </w:t>
      </w:r>
      <w:r w:rsidR="00310C7B" w:rsidRPr="0045129A">
        <w:rPr>
          <w:rFonts w:ascii="Arial" w:hAnsi="Arial" w:cs="Arial"/>
          <w:sz w:val="22"/>
        </w:rPr>
        <w:t xml:space="preserve">lo dispuesto en la Ley 1682 de 2013 y normas que la reglamentan. Particularmente, los referidos proyectos se encuentran asociados a las </w:t>
      </w:r>
      <w:r w:rsidR="00537702" w:rsidRPr="0045129A">
        <w:rPr>
          <w:rFonts w:ascii="Arial" w:hAnsi="Arial" w:cs="Arial"/>
          <w:sz w:val="22"/>
        </w:rPr>
        <w:t>definici</w:t>
      </w:r>
      <w:r w:rsidR="00A74241" w:rsidRPr="0045129A">
        <w:rPr>
          <w:rFonts w:ascii="Arial" w:hAnsi="Arial" w:cs="Arial"/>
          <w:sz w:val="22"/>
        </w:rPr>
        <w:t>ones</w:t>
      </w:r>
      <w:r w:rsidRPr="0045129A">
        <w:rPr>
          <w:rFonts w:ascii="Arial" w:hAnsi="Arial" w:cs="Arial"/>
          <w:sz w:val="22"/>
        </w:rPr>
        <w:t xml:space="preserve"> </w:t>
      </w:r>
      <w:r w:rsidR="00445EA7" w:rsidRPr="0045129A">
        <w:rPr>
          <w:rFonts w:ascii="Arial" w:hAnsi="Arial" w:cs="Arial"/>
          <w:sz w:val="22"/>
        </w:rPr>
        <w:t xml:space="preserve">de </w:t>
      </w:r>
      <w:r w:rsidR="00A74241" w:rsidRPr="0045129A">
        <w:rPr>
          <w:rFonts w:ascii="Arial" w:hAnsi="Arial" w:cs="Arial"/>
          <w:i/>
          <w:iCs/>
          <w:sz w:val="22"/>
        </w:rPr>
        <w:t>construcción</w:t>
      </w:r>
      <w:r w:rsidR="00310C7B" w:rsidRPr="0045129A">
        <w:rPr>
          <w:rFonts w:ascii="Arial" w:hAnsi="Arial" w:cs="Arial"/>
          <w:sz w:val="22"/>
        </w:rPr>
        <w:t>,</w:t>
      </w:r>
      <w:r w:rsidR="00A74241" w:rsidRPr="0045129A">
        <w:rPr>
          <w:rFonts w:ascii="Arial" w:hAnsi="Arial" w:cs="Arial"/>
          <w:sz w:val="22"/>
        </w:rPr>
        <w:t xml:space="preserve"> </w:t>
      </w:r>
      <w:r w:rsidR="00445EA7" w:rsidRPr="0045129A">
        <w:rPr>
          <w:rFonts w:ascii="Arial" w:hAnsi="Arial" w:cs="Arial"/>
          <w:i/>
          <w:iCs/>
          <w:sz w:val="22"/>
        </w:rPr>
        <w:t>mejoramient</w:t>
      </w:r>
      <w:r w:rsidR="00A74241" w:rsidRPr="0045129A">
        <w:rPr>
          <w:rFonts w:ascii="Arial" w:hAnsi="Arial" w:cs="Arial"/>
          <w:i/>
          <w:iCs/>
          <w:sz w:val="22"/>
        </w:rPr>
        <w:t>o</w:t>
      </w:r>
      <w:r w:rsidR="00310C7B" w:rsidRPr="0045129A">
        <w:rPr>
          <w:rFonts w:ascii="Arial" w:hAnsi="Arial" w:cs="Arial"/>
          <w:i/>
          <w:iCs/>
          <w:sz w:val="22"/>
        </w:rPr>
        <w:t xml:space="preserve"> </w:t>
      </w:r>
      <w:r w:rsidR="00310C7B" w:rsidRPr="0045129A">
        <w:rPr>
          <w:rFonts w:ascii="Arial" w:hAnsi="Arial" w:cs="Arial"/>
          <w:sz w:val="22"/>
        </w:rPr>
        <w:t xml:space="preserve">y </w:t>
      </w:r>
      <w:r w:rsidR="00310C7B" w:rsidRPr="0045129A">
        <w:rPr>
          <w:rFonts w:ascii="Arial" w:hAnsi="Arial" w:cs="Arial"/>
          <w:i/>
          <w:iCs/>
          <w:sz w:val="22"/>
        </w:rPr>
        <w:t>rehabilitación</w:t>
      </w:r>
      <w:r w:rsidR="00A74241" w:rsidRPr="0045129A">
        <w:rPr>
          <w:rFonts w:ascii="Arial" w:hAnsi="Arial" w:cs="Arial"/>
          <w:sz w:val="22"/>
        </w:rPr>
        <w:t xml:space="preserve"> </w:t>
      </w:r>
      <w:r w:rsidRPr="0045129A">
        <w:rPr>
          <w:rFonts w:ascii="Arial" w:hAnsi="Arial" w:cs="Arial"/>
          <w:sz w:val="22"/>
        </w:rPr>
        <w:t>del artículo 12 de la Ley 1</w:t>
      </w:r>
      <w:r w:rsidR="00537702" w:rsidRPr="0045129A">
        <w:rPr>
          <w:rFonts w:ascii="Arial" w:hAnsi="Arial" w:cs="Arial"/>
          <w:sz w:val="22"/>
        </w:rPr>
        <w:t>682 de 2013</w:t>
      </w:r>
      <w:r w:rsidR="006C628B" w:rsidRPr="0045129A">
        <w:rPr>
          <w:rFonts w:ascii="Arial" w:hAnsi="Arial" w:cs="Arial"/>
          <w:sz w:val="22"/>
        </w:rPr>
        <w:t xml:space="preserve">. </w:t>
      </w:r>
    </w:p>
    <w:p w14:paraId="1C64681E" w14:textId="1DD90FB2" w:rsidR="00494267" w:rsidRPr="0045129A" w:rsidRDefault="004F68B7" w:rsidP="002E60E0">
      <w:pPr>
        <w:spacing w:after="120" w:line="276" w:lineRule="auto"/>
        <w:ind w:firstLine="709"/>
        <w:jc w:val="both"/>
        <w:rPr>
          <w:rFonts w:ascii="Arial" w:hAnsi="Arial" w:cs="Arial"/>
          <w:sz w:val="22"/>
        </w:rPr>
      </w:pPr>
      <w:r w:rsidRPr="0045129A">
        <w:rPr>
          <w:rFonts w:ascii="Arial" w:hAnsi="Arial" w:cs="Arial"/>
          <w:sz w:val="22"/>
        </w:rPr>
        <w:t>Conforme a lo expuesto, l</w:t>
      </w:r>
      <w:r w:rsidR="007D7C80" w:rsidRPr="0045129A">
        <w:rPr>
          <w:rFonts w:ascii="Arial" w:hAnsi="Arial" w:cs="Arial"/>
          <w:sz w:val="22"/>
        </w:rPr>
        <w:t xml:space="preserve">as definiciones de </w:t>
      </w:r>
      <w:r w:rsidR="007D7C80" w:rsidRPr="0045129A">
        <w:rPr>
          <w:rFonts w:ascii="Arial" w:hAnsi="Arial" w:cs="Arial"/>
          <w:i/>
          <w:iCs/>
          <w:sz w:val="22"/>
        </w:rPr>
        <w:t>construcción</w:t>
      </w:r>
      <w:r w:rsidR="007D7C80" w:rsidRPr="0045129A">
        <w:rPr>
          <w:rFonts w:ascii="Arial" w:hAnsi="Arial" w:cs="Arial"/>
          <w:sz w:val="22"/>
        </w:rPr>
        <w:t xml:space="preserve"> y </w:t>
      </w:r>
      <w:r w:rsidR="007D7C80" w:rsidRPr="0045129A">
        <w:rPr>
          <w:rFonts w:ascii="Arial" w:hAnsi="Arial" w:cs="Arial"/>
          <w:i/>
          <w:iCs/>
          <w:sz w:val="22"/>
        </w:rPr>
        <w:t>rehabilitación</w:t>
      </w:r>
      <w:r w:rsidRPr="0045129A">
        <w:rPr>
          <w:rFonts w:ascii="Arial" w:hAnsi="Arial" w:cs="Arial"/>
          <w:sz w:val="22"/>
        </w:rPr>
        <w:t xml:space="preserve"> del artículo 12 de la Ley 1682 de 2013, son concordantes con las nociones de los numerales 2.62 y 2.72 del Anexo 3</w:t>
      </w:r>
      <w:r w:rsidR="00C50E51" w:rsidRPr="0045129A">
        <w:rPr>
          <w:rFonts w:ascii="Arial" w:hAnsi="Arial" w:cs="Arial"/>
          <w:sz w:val="22"/>
        </w:rPr>
        <w:t>,</w:t>
      </w:r>
      <w:r w:rsidR="00494267" w:rsidRPr="0045129A">
        <w:rPr>
          <w:rFonts w:ascii="Arial" w:hAnsi="Arial" w:cs="Arial"/>
          <w:sz w:val="22"/>
        </w:rPr>
        <w:t xml:space="preserve"> </w:t>
      </w:r>
      <w:r w:rsidR="00090B39" w:rsidRPr="0045129A">
        <w:rPr>
          <w:rFonts w:ascii="Arial" w:hAnsi="Arial" w:cs="Arial"/>
          <w:sz w:val="22"/>
        </w:rPr>
        <w:t>no habiendo contradicciones conceptuales entre las mismas</w:t>
      </w:r>
      <w:r w:rsidR="008571A9" w:rsidRPr="0045129A">
        <w:rPr>
          <w:rFonts w:ascii="Arial" w:hAnsi="Arial" w:cs="Arial"/>
          <w:sz w:val="22"/>
        </w:rPr>
        <w:t>, máxime considerado</w:t>
      </w:r>
      <w:r w:rsidR="00090B39" w:rsidRPr="0045129A">
        <w:rPr>
          <w:rFonts w:ascii="Arial" w:hAnsi="Arial" w:cs="Arial"/>
          <w:sz w:val="22"/>
        </w:rPr>
        <w:t xml:space="preserve"> que las últimas son expedidas </w:t>
      </w:r>
      <w:r w:rsidR="00A87399" w:rsidRPr="0045129A">
        <w:rPr>
          <w:rFonts w:ascii="Arial" w:hAnsi="Arial" w:cs="Arial"/>
          <w:sz w:val="22"/>
        </w:rPr>
        <w:t xml:space="preserve">como desarrollo de las primeras, las cuales constituyen una norma de mayor jerarquía. </w:t>
      </w:r>
      <w:r w:rsidR="008571A9" w:rsidRPr="0045129A">
        <w:rPr>
          <w:rFonts w:ascii="Arial" w:hAnsi="Arial" w:cs="Arial"/>
          <w:sz w:val="22"/>
        </w:rPr>
        <w:t>Por otra parte,</w:t>
      </w:r>
      <w:r w:rsidR="00A87399" w:rsidRPr="0045129A">
        <w:rPr>
          <w:rFonts w:ascii="Arial" w:hAnsi="Arial" w:cs="Arial"/>
          <w:sz w:val="22"/>
        </w:rPr>
        <w:t xml:space="preserve"> al no haber una acotación legal o reglamentaria previa de l</w:t>
      </w:r>
      <w:r w:rsidR="00F51B08" w:rsidRPr="0045129A">
        <w:rPr>
          <w:rFonts w:ascii="Arial" w:hAnsi="Arial" w:cs="Arial"/>
          <w:sz w:val="22"/>
        </w:rPr>
        <w:t>as actividades</w:t>
      </w:r>
      <w:r w:rsidR="00A87399" w:rsidRPr="0045129A">
        <w:rPr>
          <w:rFonts w:ascii="Arial" w:hAnsi="Arial" w:cs="Arial"/>
          <w:sz w:val="22"/>
        </w:rPr>
        <w:t xml:space="preserve"> que se considera</w:t>
      </w:r>
      <w:r w:rsidR="00F51B08" w:rsidRPr="0045129A">
        <w:rPr>
          <w:rFonts w:ascii="Arial" w:hAnsi="Arial" w:cs="Arial"/>
          <w:sz w:val="22"/>
        </w:rPr>
        <w:t>n</w:t>
      </w:r>
      <w:r w:rsidR="00A87399" w:rsidRPr="0045129A">
        <w:rPr>
          <w:rFonts w:ascii="Arial" w:hAnsi="Arial" w:cs="Arial"/>
          <w:sz w:val="22"/>
        </w:rPr>
        <w:t xml:space="preserve"> </w:t>
      </w:r>
      <w:r w:rsidR="00A87399" w:rsidRPr="0045129A">
        <w:rPr>
          <w:rFonts w:ascii="Arial" w:hAnsi="Arial" w:cs="Arial"/>
          <w:i/>
          <w:iCs/>
          <w:sz w:val="22"/>
        </w:rPr>
        <w:t>rehabilitación</w:t>
      </w:r>
      <w:r w:rsidR="00A87399" w:rsidRPr="0045129A">
        <w:rPr>
          <w:rFonts w:ascii="Arial" w:hAnsi="Arial" w:cs="Arial"/>
          <w:sz w:val="22"/>
        </w:rPr>
        <w:t xml:space="preserve"> en el marco de la infraestructura de transporte, lo que hace el numeral 2.72 es enlistar las actividades susceptibles de ser consideradas como </w:t>
      </w:r>
      <w:r w:rsidR="00795F1B" w:rsidRPr="0045129A">
        <w:rPr>
          <w:rFonts w:ascii="Arial" w:hAnsi="Arial" w:cs="Arial"/>
          <w:i/>
          <w:iCs/>
          <w:sz w:val="22"/>
        </w:rPr>
        <w:t>Proyecto de rehabilitación</w:t>
      </w:r>
      <w:r w:rsidR="00795F1B" w:rsidRPr="0045129A">
        <w:rPr>
          <w:rFonts w:ascii="Arial" w:hAnsi="Arial" w:cs="Arial"/>
          <w:sz w:val="22"/>
        </w:rPr>
        <w:t xml:space="preserve">, </w:t>
      </w:r>
      <w:r w:rsidR="008571A9" w:rsidRPr="0045129A">
        <w:rPr>
          <w:rFonts w:ascii="Arial" w:hAnsi="Arial" w:cs="Arial"/>
          <w:sz w:val="22"/>
        </w:rPr>
        <w:t>a efectos de  aplica</w:t>
      </w:r>
      <w:r w:rsidR="001E7411" w:rsidRPr="0045129A">
        <w:rPr>
          <w:rFonts w:ascii="Arial" w:hAnsi="Arial" w:cs="Arial"/>
          <w:sz w:val="22"/>
        </w:rPr>
        <w:t>r</w:t>
      </w:r>
      <w:r w:rsidR="008571A9" w:rsidRPr="0045129A">
        <w:rPr>
          <w:rFonts w:ascii="Arial" w:hAnsi="Arial" w:cs="Arial"/>
          <w:sz w:val="22"/>
        </w:rPr>
        <w:t xml:space="preserve"> los documentos tipo</w:t>
      </w:r>
      <w:r w:rsidR="001E7411" w:rsidRPr="0045129A">
        <w:rPr>
          <w:rFonts w:ascii="Arial" w:hAnsi="Arial" w:cs="Arial"/>
          <w:sz w:val="22"/>
        </w:rPr>
        <w:t xml:space="preserve">, las cuales se ubican técnicamente dentro de la definición de </w:t>
      </w:r>
      <w:r w:rsidR="001E7411" w:rsidRPr="0045129A">
        <w:rPr>
          <w:rFonts w:ascii="Arial" w:hAnsi="Arial" w:cs="Arial"/>
          <w:i/>
          <w:iCs/>
          <w:sz w:val="22"/>
        </w:rPr>
        <w:t>rehabilitación</w:t>
      </w:r>
      <w:r w:rsidR="001E7411" w:rsidRPr="0045129A">
        <w:rPr>
          <w:rFonts w:ascii="Arial" w:hAnsi="Arial" w:cs="Arial"/>
          <w:sz w:val="22"/>
        </w:rPr>
        <w:t xml:space="preserve"> del artículo 12 </w:t>
      </w:r>
      <w:r w:rsidR="001E7411" w:rsidRPr="0045129A">
        <w:rPr>
          <w:rFonts w:ascii="Arial" w:hAnsi="Arial" w:cs="Arial"/>
          <w:i/>
          <w:iCs/>
          <w:sz w:val="22"/>
        </w:rPr>
        <w:t>Ibídem,</w:t>
      </w:r>
      <w:r w:rsidR="00F51B08" w:rsidRPr="0045129A">
        <w:rPr>
          <w:rFonts w:ascii="Arial" w:hAnsi="Arial" w:cs="Arial"/>
          <w:sz w:val="22"/>
        </w:rPr>
        <w:t xml:space="preserve"> realizándose una acotación que</w:t>
      </w:r>
      <w:r w:rsidR="001E7411" w:rsidRPr="0045129A">
        <w:rPr>
          <w:rFonts w:ascii="Arial" w:hAnsi="Arial" w:cs="Arial"/>
          <w:sz w:val="22"/>
        </w:rPr>
        <w:t xml:space="preserve"> resulta obligatoria en virtud de lo dispuesto en el parágrafo séptimo del artículo 2 de la Ley 1150 de 2007, modificado por la Ley 2022 de 2020</w:t>
      </w:r>
      <w:r w:rsidR="00F51B08" w:rsidRPr="0045129A">
        <w:rPr>
          <w:rFonts w:ascii="Arial" w:hAnsi="Arial" w:cs="Arial"/>
          <w:sz w:val="22"/>
        </w:rPr>
        <w:t xml:space="preserve">. </w:t>
      </w:r>
    </w:p>
    <w:p w14:paraId="75530B01" w14:textId="2B69FEE5" w:rsidR="00A70D55" w:rsidRPr="0045129A" w:rsidRDefault="0067093D" w:rsidP="002E60E0">
      <w:pPr>
        <w:spacing w:after="120" w:line="276" w:lineRule="auto"/>
        <w:ind w:firstLine="709"/>
        <w:jc w:val="both"/>
        <w:rPr>
          <w:rStyle w:val="Emphasis"/>
          <w:rFonts w:ascii="Arial" w:hAnsi="Arial" w:cs="Arial"/>
          <w:b/>
          <w:bCs/>
          <w:i w:val="0"/>
          <w:iCs w:val="0"/>
          <w:sz w:val="22"/>
        </w:rPr>
      </w:pPr>
      <w:r w:rsidRPr="0045129A">
        <w:rPr>
          <w:rFonts w:ascii="Arial" w:hAnsi="Arial" w:cs="Arial"/>
          <w:sz w:val="22"/>
        </w:rPr>
        <w:t xml:space="preserve"> </w:t>
      </w:r>
      <w:r w:rsidR="007D7C80" w:rsidRPr="0045129A">
        <w:rPr>
          <w:rFonts w:ascii="Arial" w:hAnsi="Arial" w:cs="Arial"/>
          <w:sz w:val="22"/>
        </w:rPr>
        <w:t xml:space="preserve"> </w:t>
      </w:r>
      <w:r w:rsidR="00813EFD" w:rsidRPr="0045129A">
        <w:rPr>
          <w:rFonts w:ascii="Arial" w:hAnsi="Arial" w:cs="Arial"/>
          <w:sz w:val="22"/>
        </w:rPr>
        <w:t>En cuanto a la</w:t>
      </w:r>
      <w:r w:rsidR="00307EE3" w:rsidRPr="0045129A">
        <w:rPr>
          <w:rFonts w:ascii="Arial" w:hAnsi="Arial" w:cs="Arial"/>
          <w:sz w:val="22"/>
        </w:rPr>
        <w:t xml:space="preserve"> definición de </w:t>
      </w:r>
      <w:r w:rsidR="00307EE3" w:rsidRPr="0045129A">
        <w:rPr>
          <w:rFonts w:ascii="Arial" w:hAnsi="Arial" w:cs="Arial"/>
          <w:i/>
          <w:iCs/>
          <w:sz w:val="22"/>
        </w:rPr>
        <w:t>mejoramiento</w:t>
      </w:r>
      <w:r w:rsidR="00813EFD" w:rsidRPr="0045129A">
        <w:rPr>
          <w:rFonts w:ascii="Arial" w:hAnsi="Arial" w:cs="Arial"/>
          <w:i/>
          <w:iCs/>
          <w:sz w:val="22"/>
        </w:rPr>
        <w:t xml:space="preserve">, </w:t>
      </w:r>
      <w:r w:rsidR="00813EFD" w:rsidRPr="0045129A">
        <w:rPr>
          <w:rFonts w:ascii="Arial" w:hAnsi="Arial" w:cs="Arial"/>
          <w:sz w:val="22"/>
        </w:rPr>
        <w:t>es claro que la misma fue introd</w:t>
      </w:r>
      <w:r w:rsidR="00D914F9" w:rsidRPr="0045129A">
        <w:rPr>
          <w:rFonts w:ascii="Arial" w:hAnsi="Arial" w:cs="Arial"/>
          <w:sz w:val="22"/>
        </w:rPr>
        <w:t>ucida por la referida ley, pero</w:t>
      </w:r>
      <w:r w:rsidR="006C628B" w:rsidRPr="0045129A">
        <w:rPr>
          <w:rFonts w:ascii="Arial" w:hAnsi="Arial" w:cs="Arial"/>
          <w:sz w:val="22"/>
        </w:rPr>
        <w:t xml:space="preserve"> fue desarrollada por el</w:t>
      </w:r>
      <w:r w:rsidR="00E81E2B" w:rsidRPr="0045129A">
        <w:rPr>
          <w:rFonts w:ascii="Arial" w:hAnsi="Arial" w:cs="Arial"/>
          <w:sz w:val="22"/>
        </w:rPr>
        <w:t xml:space="preserve"> art</w:t>
      </w:r>
      <w:r w:rsidR="00A177B0" w:rsidRPr="0045129A">
        <w:rPr>
          <w:rFonts w:ascii="Arial" w:hAnsi="Arial" w:cs="Arial"/>
          <w:sz w:val="22"/>
        </w:rPr>
        <w:t>ículo 1 del Decreto 769 de 2014, hoy compilado en el Decreto 1076 de 2015</w:t>
      </w:r>
      <w:r w:rsidR="007530D2" w:rsidRPr="0045129A">
        <w:rPr>
          <w:rFonts w:ascii="Arial" w:hAnsi="Arial" w:cs="Arial"/>
          <w:sz w:val="22"/>
        </w:rPr>
        <w:t xml:space="preserve">, en los </w:t>
      </w:r>
      <w:r w:rsidR="00A177B0" w:rsidRPr="0045129A">
        <w:rPr>
          <w:rFonts w:ascii="Arial" w:hAnsi="Arial" w:cs="Arial"/>
          <w:sz w:val="22"/>
        </w:rPr>
        <w:t xml:space="preserve">artículos </w:t>
      </w:r>
      <w:r w:rsidR="005C2E15" w:rsidRPr="0045129A">
        <w:rPr>
          <w:rStyle w:val="Strong"/>
          <w:rFonts w:ascii="Arial" w:hAnsi="Arial" w:cs="Arial"/>
          <w:b w:val="0"/>
          <w:bCs w:val="0"/>
          <w:sz w:val="22"/>
        </w:rPr>
        <w:t>2.2.2.5.1.1</w:t>
      </w:r>
      <w:r w:rsidR="00D124DA" w:rsidRPr="0045129A">
        <w:rPr>
          <w:rStyle w:val="Strong"/>
          <w:rFonts w:ascii="Arial" w:hAnsi="Arial" w:cs="Arial"/>
          <w:sz w:val="22"/>
        </w:rPr>
        <w:t>–</w:t>
      </w:r>
      <w:r w:rsidR="005C2E15" w:rsidRPr="0045129A">
        <w:rPr>
          <w:rStyle w:val="Emphasis"/>
          <w:rFonts w:ascii="Arial" w:hAnsi="Arial" w:cs="Arial"/>
          <w:i w:val="0"/>
          <w:iCs w:val="0"/>
          <w:sz w:val="22"/>
        </w:rPr>
        <w:t>Modo Terrestre-Carretero</w:t>
      </w:r>
      <w:r w:rsidR="00D124DA" w:rsidRPr="0045129A">
        <w:rPr>
          <w:rStyle w:val="Emphasis"/>
          <w:rFonts w:ascii="Arial" w:hAnsi="Arial" w:cs="Arial"/>
          <w:i w:val="0"/>
          <w:iCs w:val="0"/>
          <w:sz w:val="22"/>
        </w:rPr>
        <w:t>–,</w:t>
      </w:r>
      <w:r w:rsidR="00893821" w:rsidRPr="0045129A">
        <w:rPr>
          <w:rStyle w:val="Emphasis"/>
          <w:rFonts w:ascii="Arial" w:hAnsi="Arial" w:cs="Arial"/>
          <w:b/>
          <w:bCs/>
          <w:i w:val="0"/>
          <w:iCs w:val="0"/>
          <w:sz w:val="22"/>
        </w:rPr>
        <w:t xml:space="preserve"> </w:t>
      </w:r>
      <w:r w:rsidR="005C2E15" w:rsidRPr="0045129A">
        <w:rPr>
          <w:rStyle w:val="Strong"/>
          <w:rFonts w:ascii="Arial" w:hAnsi="Arial" w:cs="Arial"/>
          <w:b w:val="0"/>
          <w:bCs w:val="0"/>
          <w:sz w:val="22"/>
        </w:rPr>
        <w:t>2.2.2.5.2.1 </w:t>
      </w:r>
      <w:r w:rsidR="00893821" w:rsidRPr="0045129A">
        <w:rPr>
          <w:rStyle w:val="Strong"/>
          <w:rFonts w:ascii="Arial" w:hAnsi="Arial" w:cs="Arial"/>
          <w:sz w:val="22"/>
        </w:rPr>
        <w:t>–</w:t>
      </w:r>
      <w:r w:rsidR="005C2E15" w:rsidRPr="0045129A">
        <w:rPr>
          <w:rStyle w:val="Emphasis"/>
          <w:rFonts w:ascii="Arial" w:hAnsi="Arial" w:cs="Arial"/>
          <w:i w:val="0"/>
          <w:iCs w:val="0"/>
          <w:sz w:val="22"/>
        </w:rPr>
        <w:t>Modo Terrestre-Férreo</w:t>
      </w:r>
      <w:r w:rsidR="00893821" w:rsidRPr="0045129A">
        <w:rPr>
          <w:rStyle w:val="Emphasis"/>
          <w:rFonts w:ascii="Arial" w:hAnsi="Arial" w:cs="Arial"/>
          <w:i w:val="0"/>
          <w:iCs w:val="0"/>
          <w:sz w:val="22"/>
        </w:rPr>
        <w:t>–,</w:t>
      </w:r>
      <w:r w:rsidR="00893821" w:rsidRPr="0045129A">
        <w:rPr>
          <w:rStyle w:val="Emphasis"/>
          <w:rFonts w:ascii="Arial" w:hAnsi="Arial" w:cs="Arial"/>
          <w:b/>
          <w:bCs/>
          <w:i w:val="0"/>
          <w:iCs w:val="0"/>
          <w:sz w:val="22"/>
        </w:rPr>
        <w:t xml:space="preserve"> </w:t>
      </w:r>
      <w:r w:rsidR="00E01D21" w:rsidRPr="0045129A">
        <w:rPr>
          <w:rStyle w:val="Emphasis"/>
          <w:rFonts w:ascii="Arial" w:hAnsi="Arial" w:cs="Arial"/>
          <w:i w:val="0"/>
          <w:iCs w:val="0"/>
          <w:sz w:val="22"/>
        </w:rPr>
        <w:t>2.2.2.5.3.1 –Modo Acuático-Fluvial y Modo Acuático de Infraestructura Portuaria–,</w:t>
      </w:r>
      <w:r w:rsidR="00E412EB" w:rsidRPr="0045129A">
        <w:rPr>
          <w:rStyle w:val="Emphasis"/>
          <w:rFonts w:ascii="Arial" w:hAnsi="Arial" w:cs="Arial"/>
          <w:i w:val="0"/>
          <w:iCs w:val="0"/>
          <w:sz w:val="22"/>
        </w:rPr>
        <w:t xml:space="preserve"> 2.2.2.5.3.2 –Modo acuático-infraestructura portuaria– y </w:t>
      </w:r>
      <w:r w:rsidR="00E81E2B" w:rsidRPr="0045129A">
        <w:rPr>
          <w:rStyle w:val="Emphasis"/>
          <w:rFonts w:ascii="Arial" w:hAnsi="Arial" w:cs="Arial"/>
          <w:i w:val="0"/>
          <w:iCs w:val="0"/>
          <w:sz w:val="22"/>
        </w:rPr>
        <w:t>2.2.2.5.4.1 –Modo Aéreo–</w:t>
      </w:r>
      <w:r w:rsidR="006C628B" w:rsidRPr="0045129A">
        <w:rPr>
          <w:rStyle w:val="Emphasis"/>
          <w:rFonts w:ascii="Arial" w:hAnsi="Arial" w:cs="Arial"/>
          <w:b/>
          <w:bCs/>
          <w:i w:val="0"/>
          <w:iCs w:val="0"/>
          <w:sz w:val="22"/>
        </w:rPr>
        <w:t xml:space="preserve">. </w:t>
      </w:r>
      <w:r w:rsidR="00D914F9" w:rsidRPr="0045129A">
        <w:rPr>
          <w:rStyle w:val="Emphasis"/>
          <w:rFonts w:ascii="Arial" w:hAnsi="Arial" w:cs="Arial"/>
          <w:b/>
          <w:bCs/>
          <w:i w:val="0"/>
          <w:iCs w:val="0"/>
          <w:sz w:val="22"/>
        </w:rPr>
        <w:t xml:space="preserve"> </w:t>
      </w:r>
      <w:r w:rsidR="00D914F9" w:rsidRPr="0045129A">
        <w:rPr>
          <w:rStyle w:val="Emphasis"/>
          <w:rFonts w:ascii="Arial" w:hAnsi="Arial" w:cs="Arial"/>
          <w:i w:val="0"/>
          <w:iCs w:val="0"/>
          <w:sz w:val="22"/>
        </w:rPr>
        <w:t xml:space="preserve">En ese sentido, las actividades que </w:t>
      </w:r>
      <w:r w:rsidR="00C5558F" w:rsidRPr="0045129A">
        <w:rPr>
          <w:rStyle w:val="Emphasis"/>
          <w:rFonts w:ascii="Arial" w:hAnsi="Arial" w:cs="Arial"/>
          <w:i w:val="0"/>
          <w:iCs w:val="0"/>
          <w:sz w:val="22"/>
        </w:rPr>
        <w:t xml:space="preserve">se consideran </w:t>
      </w:r>
      <w:r w:rsidR="00C5558F" w:rsidRPr="0045129A">
        <w:rPr>
          <w:rStyle w:val="Emphasis"/>
          <w:rFonts w:ascii="Arial" w:hAnsi="Arial" w:cs="Arial"/>
          <w:sz w:val="22"/>
        </w:rPr>
        <w:t>Proyectos de mejoramiento</w:t>
      </w:r>
      <w:r w:rsidR="00C5558F" w:rsidRPr="0045129A">
        <w:rPr>
          <w:rStyle w:val="Emphasis"/>
          <w:rFonts w:ascii="Arial" w:hAnsi="Arial" w:cs="Arial"/>
          <w:i w:val="0"/>
          <w:iCs w:val="0"/>
          <w:sz w:val="22"/>
        </w:rPr>
        <w:t xml:space="preserve"> no son solo las relacionadas en </w:t>
      </w:r>
      <w:r w:rsidR="00746719" w:rsidRPr="0045129A">
        <w:rPr>
          <w:rStyle w:val="Emphasis"/>
          <w:rFonts w:ascii="Arial" w:hAnsi="Arial" w:cs="Arial"/>
          <w:i w:val="0"/>
          <w:iCs w:val="0"/>
          <w:sz w:val="22"/>
        </w:rPr>
        <w:t xml:space="preserve">el numeral 2.70 del Anexo 3, sino todas aquellas enlistadas en los referidos artículos del Decreto 1076 de 2015. </w:t>
      </w:r>
    </w:p>
    <w:p w14:paraId="19AEC667" w14:textId="2B3BD623" w:rsidR="002E60E0" w:rsidRPr="0045129A" w:rsidRDefault="002E60E0" w:rsidP="00BB7BDB">
      <w:pPr>
        <w:spacing w:after="120" w:line="276" w:lineRule="auto"/>
        <w:ind w:firstLine="709"/>
        <w:jc w:val="both"/>
        <w:rPr>
          <w:rStyle w:val="Emphasis"/>
          <w:rFonts w:ascii="Arial" w:hAnsi="Arial" w:cs="Arial"/>
          <w:i w:val="0"/>
          <w:iCs w:val="0"/>
          <w:sz w:val="22"/>
        </w:rPr>
      </w:pPr>
      <w:r w:rsidRPr="0045129A">
        <w:rPr>
          <w:rStyle w:val="Emphasis"/>
          <w:rFonts w:ascii="Arial" w:hAnsi="Arial" w:cs="Arial"/>
          <w:i w:val="0"/>
          <w:iCs w:val="0"/>
          <w:sz w:val="22"/>
        </w:rPr>
        <w:t>Esta</w:t>
      </w:r>
      <w:r w:rsidR="00F51B08" w:rsidRPr="0045129A">
        <w:rPr>
          <w:rStyle w:val="Emphasis"/>
          <w:rFonts w:ascii="Arial" w:hAnsi="Arial" w:cs="Arial"/>
          <w:i w:val="0"/>
          <w:iCs w:val="0"/>
          <w:sz w:val="22"/>
        </w:rPr>
        <w:t>s</w:t>
      </w:r>
      <w:r w:rsidRPr="0045129A">
        <w:rPr>
          <w:rStyle w:val="Emphasis"/>
          <w:rFonts w:ascii="Arial" w:hAnsi="Arial" w:cs="Arial"/>
          <w:i w:val="0"/>
          <w:iCs w:val="0"/>
          <w:sz w:val="22"/>
        </w:rPr>
        <w:t xml:space="preserve"> consideraci</w:t>
      </w:r>
      <w:r w:rsidR="00F51B08" w:rsidRPr="0045129A">
        <w:rPr>
          <w:rStyle w:val="Emphasis"/>
          <w:rFonts w:ascii="Arial" w:hAnsi="Arial" w:cs="Arial"/>
          <w:i w:val="0"/>
          <w:iCs w:val="0"/>
          <w:sz w:val="22"/>
        </w:rPr>
        <w:t>o</w:t>
      </w:r>
      <w:r w:rsidRPr="0045129A">
        <w:rPr>
          <w:rStyle w:val="Emphasis"/>
          <w:rFonts w:ascii="Arial" w:hAnsi="Arial" w:cs="Arial"/>
          <w:i w:val="0"/>
          <w:iCs w:val="0"/>
          <w:sz w:val="22"/>
        </w:rPr>
        <w:t>n</w:t>
      </w:r>
      <w:r w:rsidR="00F51B08" w:rsidRPr="0045129A">
        <w:rPr>
          <w:rStyle w:val="Emphasis"/>
          <w:rFonts w:ascii="Arial" w:hAnsi="Arial" w:cs="Arial"/>
          <w:i w:val="0"/>
          <w:iCs w:val="0"/>
          <w:sz w:val="22"/>
        </w:rPr>
        <w:t>es</w:t>
      </w:r>
      <w:r w:rsidRPr="0045129A">
        <w:rPr>
          <w:rStyle w:val="Emphasis"/>
          <w:rFonts w:ascii="Arial" w:hAnsi="Arial" w:cs="Arial"/>
          <w:i w:val="0"/>
          <w:iCs w:val="0"/>
          <w:sz w:val="22"/>
        </w:rPr>
        <w:t xml:space="preserve"> </w:t>
      </w:r>
      <w:r w:rsidR="00F51B08" w:rsidRPr="0045129A">
        <w:rPr>
          <w:rStyle w:val="Emphasis"/>
          <w:rFonts w:ascii="Arial" w:hAnsi="Arial" w:cs="Arial"/>
          <w:i w:val="0"/>
          <w:iCs w:val="0"/>
          <w:sz w:val="22"/>
        </w:rPr>
        <w:t>son</w:t>
      </w:r>
      <w:r w:rsidRPr="0045129A">
        <w:rPr>
          <w:rStyle w:val="Emphasis"/>
          <w:rFonts w:ascii="Arial" w:hAnsi="Arial" w:cs="Arial"/>
          <w:i w:val="0"/>
          <w:iCs w:val="0"/>
          <w:sz w:val="22"/>
        </w:rPr>
        <w:t xml:space="preserve"> relevante</w:t>
      </w:r>
      <w:r w:rsidR="00F51B08" w:rsidRPr="0045129A">
        <w:rPr>
          <w:rStyle w:val="Emphasis"/>
          <w:rFonts w:ascii="Arial" w:hAnsi="Arial" w:cs="Arial"/>
          <w:i w:val="0"/>
          <w:iCs w:val="0"/>
          <w:sz w:val="22"/>
        </w:rPr>
        <w:t>s</w:t>
      </w:r>
      <w:r w:rsidR="005D0099" w:rsidRPr="0045129A">
        <w:rPr>
          <w:rStyle w:val="Emphasis"/>
          <w:rFonts w:ascii="Arial" w:hAnsi="Arial" w:cs="Arial"/>
          <w:i w:val="0"/>
          <w:iCs w:val="0"/>
          <w:sz w:val="22"/>
        </w:rPr>
        <w:t xml:space="preserve"> a efectos de aplicar </w:t>
      </w:r>
      <w:r w:rsidR="00026814" w:rsidRPr="0045129A">
        <w:rPr>
          <w:rStyle w:val="Emphasis"/>
          <w:rFonts w:ascii="Arial" w:hAnsi="Arial" w:cs="Arial"/>
          <w:i w:val="0"/>
          <w:iCs w:val="0"/>
          <w:sz w:val="22"/>
        </w:rPr>
        <w:t>los documentos tipo de infraestructura de transporte</w:t>
      </w:r>
      <w:r w:rsidRPr="0045129A">
        <w:rPr>
          <w:rStyle w:val="Emphasis"/>
          <w:rFonts w:ascii="Arial" w:hAnsi="Arial" w:cs="Arial"/>
          <w:i w:val="0"/>
          <w:iCs w:val="0"/>
          <w:sz w:val="22"/>
        </w:rPr>
        <w:t xml:space="preserve">, principalmente, respecto de </w:t>
      </w:r>
      <w:r w:rsidR="00F55ADA" w:rsidRPr="0045129A">
        <w:rPr>
          <w:rStyle w:val="Emphasis"/>
          <w:rFonts w:ascii="Arial" w:hAnsi="Arial" w:cs="Arial"/>
          <w:i w:val="0"/>
          <w:iCs w:val="0"/>
          <w:sz w:val="22"/>
        </w:rPr>
        <w:t xml:space="preserve">dos aspectos. En primer lugar, para determinar </w:t>
      </w:r>
      <w:r w:rsidR="00A423EF" w:rsidRPr="0045129A">
        <w:rPr>
          <w:rStyle w:val="Emphasis"/>
          <w:rFonts w:ascii="Arial" w:hAnsi="Arial" w:cs="Arial"/>
          <w:i w:val="0"/>
          <w:iCs w:val="0"/>
          <w:sz w:val="22"/>
        </w:rPr>
        <w:t xml:space="preserve">su </w:t>
      </w:r>
      <w:r w:rsidR="00F55ADA" w:rsidRPr="0045129A">
        <w:rPr>
          <w:rStyle w:val="Emphasis"/>
          <w:rFonts w:ascii="Arial" w:hAnsi="Arial" w:cs="Arial"/>
          <w:i w:val="0"/>
          <w:iCs w:val="0"/>
          <w:sz w:val="22"/>
        </w:rPr>
        <w:t>ámbito de aplicación</w:t>
      </w:r>
      <w:r w:rsidR="00ED64DA" w:rsidRPr="0045129A">
        <w:rPr>
          <w:rStyle w:val="Emphasis"/>
          <w:rFonts w:ascii="Arial" w:hAnsi="Arial" w:cs="Arial"/>
          <w:i w:val="0"/>
          <w:iCs w:val="0"/>
          <w:sz w:val="22"/>
        </w:rPr>
        <w:t xml:space="preserve">. </w:t>
      </w:r>
      <w:r w:rsidR="00FD0E43" w:rsidRPr="0045129A">
        <w:rPr>
          <w:rStyle w:val="Emphasis"/>
          <w:rFonts w:ascii="Arial" w:hAnsi="Arial" w:cs="Arial"/>
          <w:i w:val="0"/>
          <w:iCs w:val="0"/>
          <w:sz w:val="22"/>
        </w:rPr>
        <w:t xml:space="preserve">En ese sentido, se aclara que, </w:t>
      </w:r>
      <w:r w:rsidR="0081777C" w:rsidRPr="0045129A">
        <w:rPr>
          <w:rStyle w:val="Emphasis"/>
          <w:rFonts w:ascii="Arial" w:hAnsi="Arial" w:cs="Arial"/>
          <w:i w:val="0"/>
          <w:iCs w:val="0"/>
          <w:sz w:val="22"/>
        </w:rPr>
        <w:t xml:space="preserve">al constituir actividades de mejoramiento las enlistadas en el Decreto 1076 de 2015, </w:t>
      </w:r>
      <w:r w:rsidR="00ED64DA" w:rsidRPr="0045129A">
        <w:rPr>
          <w:rStyle w:val="Emphasis"/>
          <w:rFonts w:ascii="Arial" w:hAnsi="Arial" w:cs="Arial"/>
          <w:i w:val="0"/>
          <w:iCs w:val="0"/>
          <w:sz w:val="22"/>
        </w:rPr>
        <w:t>las mismas</w:t>
      </w:r>
      <w:r w:rsidR="00BB7BDB" w:rsidRPr="0045129A">
        <w:rPr>
          <w:rStyle w:val="Emphasis"/>
          <w:rFonts w:ascii="Arial" w:hAnsi="Arial" w:cs="Arial"/>
          <w:sz w:val="22"/>
        </w:rPr>
        <w:t xml:space="preserve"> </w:t>
      </w:r>
      <w:r w:rsidR="00BB7BDB" w:rsidRPr="0045129A">
        <w:rPr>
          <w:rStyle w:val="Emphasis"/>
          <w:rFonts w:ascii="Arial" w:hAnsi="Arial" w:cs="Arial"/>
          <w:i w:val="0"/>
          <w:iCs w:val="0"/>
          <w:sz w:val="22"/>
        </w:rPr>
        <w:t>deben ser contratadas</w:t>
      </w:r>
      <w:r w:rsidR="000F2151" w:rsidRPr="0045129A">
        <w:rPr>
          <w:rStyle w:val="Emphasis"/>
          <w:rFonts w:ascii="Arial" w:hAnsi="Arial" w:cs="Arial"/>
          <w:i w:val="0"/>
          <w:iCs w:val="0"/>
          <w:sz w:val="22"/>
        </w:rPr>
        <w:t xml:space="preserve"> por las entidades estatales </w:t>
      </w:r>
      <w:r w:rsidR="00ED64DA" w:rsidRPr="0045129A">
        <w:rPr>
          <w:rStyle w:val="Emphasis"/>
          <w:rFonts w:ascii="Arial" w:hAnsi="Arial" w:cs="Arial"/>
          <w:i w:val="0"/>
          <w:iCs w:val="0"/>
          <w:sz w:val="22"/>
        </w:rPr>
        <w:t>–</w:t>
      </w:r>
      <w:r w:rsidR="000F2151" w:rsidRPr="0045129A">
        <w:rPr>
          <w:rStyle w:val="Emphasis"/>
          <w:rFonts w:ascii="Arial" w:hAnsi="Arial" w:cs="Arial"/>
          <w:i w:val="0"/>
          <w:iCs w:val="0"/>
          <w:sz w:val="22"/>
        </w:rPr>
        <w:t>sometidas al Estatuto General de Contratación de la Administración Pública</w:t>
      </w:r>
      <w:r w:rsidR="00ED64DA" w:rsidRPr="0045129A">
        <w:rPr>
          <w:rStyle w:val="Emphasis"/>
          <w:rFonts w:ascii="Arial" w:hAnsi="Arial" w:cs="Arial"/>
          <w:i w:val="0"/>
          <w:iCs w:val="0"/>
          <w:sz w:val="22"/>
        </w:rPr>
        <w:t>–</w:t>
      </w:r>
      <w:r w:rsidR="000F2151" w:rsidRPr="0045129A">
        <w:rPr>
          <w:rStyle w:val="Emphasis"/>
          <w:rFonts w:ascii="Arial" w:hAnsi="Arial" w:cs="Arial"/>
          <w:i w:val="0"/>
          <w:iCs w:val="0"/>
          <w:sz w:val="22"/>
        </w:rPr>
        <w:t>,</w:t>
      </w:r>
      <w:r w:rsidR="00BB7BDB" w:rsidRPr="0045129A">
        <w:rPr>
          <w:rStyle w:val="Emphasis"/>
          <w:rFonts w:ascii="Arial" w:hAnsi="Arial" w:cs="Arial"/>
          <w:i w:val="0"/>
          <w:iCs w:val="0"/>
          <w:sz w:val="22"/>
        </w:rPr>
        <w:t xml:space="preserve"> </w:t>
      </w:r>
      <w:r w:rsidR="009F2938" w:rsidRPr="0045129A">
        <w:rPr>
          <w:rStyle w:val="Emphasis"/>
          <w:rFonts w:ascii="Arial" w:hAnsi="Arial" w:cs="Arial"/>
          <w:i w:val="0"/>
          <w:iCs w:val="0"/>
          <w:sz w:val="22"/>
        </w:rPr>
        <w:t xml:space="preserve">aplicando los documentos tipo de infraestructura de transporte que correspondan. Conforme a esto, </w:t>
      </w:r>
      <w:r w:rsidR="004D5483" w:rsidRPr="0045129A">
        <w:rPr>
          <w:rStyle w:val="Emphasis"/>
          <w:rFonts w:ascii="Arial" w:hAnsi="Arial" w:cs="Arial"/>
          <w:i w:val="0"/>
          <w:iCs w:val="0"/>
          <w:sz w:val="22"/>
        </w:rPr>
        <w:t>cuando se requiera contratar un</w:t>
      </w:r>
      <w:r w:rsidR="00A17D58" w:rsidRPr="0045129A">
        <w:rPr>
          <w:rStyle w:val="Emphasis"/>
          <w:rFonts w:ascii="Arial" w:hAnsi="Arial" w:cs="Arial"/>
          <w:i w:val="0"/>
          <w:iCs w:val="0"/>
          <w:sz w:val="22"/>
        </w:rPr>
        <w:t>a</w:t>
      </w:r>
      <w:r w:rsidR="004D5483" w:rsidRPr="0045129A">
        <w:rPr>
          <w:rStyle w:val="Emphasis"/>
          <w:rFonts w:ascii="Arial" w:hAnsi="Arial" w:cs="Arial"/>
          <w:i w:val="0"/>
          <w:iCs w:val="0"/>
          <w:sz w:val="22"/>
        </w:rPr>
        <w:t xml:space="preserve"> actividad de mejoramiento de infraestructura vial,</w:t>
      </w:r>
      <w:r w:rsidR="005C4677" w:rsidRPr="0045129A">
        <w:rPr>
          <w:rStyle w:val="Emphasis"/>
          <w:rFonts w:ascii="Arial" w:hAnsi="Arial" w:cs="Arial"/>
          <w:i w:val="0"/>
          <w:iCs w:val="0"/>
          <w:sz w:val="22"/>
        </w:rPr>
        <w:t xml:space="preserve"> </w:t>
      </w:r>
      <w:r w:rsidR="004D5483" w:rsidRPr="0045129A">
        <w:rPr>
          <w:rStyle w:val="Emphasis"/>
          <w:rFonts w:ascii="Arial" w:hAnsi="Arial" w:cs="Arial"/>
          <w:i w:val="0"/>
          <w:iCs w:val="0"/>
          <w:sz w:val="22"/>
        </w:rPr>
        <w:t>independientemente de que est</w:t>
      </w:r>
      <w:r w:rsidR="00ED64DA" w:rsidRPr="0045129A">
        <w:rPr>
          <w:rStyle w:val="Emphasis"/>
          <w:rFonts w:ascii="Arial" w:hAnsi="Arial" w:cs="Arial"/>
          <w:i w:val="0"/>
          <w:iCs w:val="0"/>
          <w:sz w:val="22"/>
        </w:rPr>
        <w:t>é</w:t>
      </w:r>
      <w:r w:rsidR="004D5483" w:rsidRPr="0045129A">
        <w:rPr>
          <w:rStyle w:val="Emphasis"/>
          <w:rFonts w:ascii="Arial" w:hAnsi="Arial" w:cs="Arial"/>
          <w:i w:val="0"/>
          <w:iCs w:val="0"/>
          <w:sz w:val="22"/>
        </w:rPr>
        <w:t xml:space="preserve"> </w:t>
      </w:r>
      <w:r w:rsidR="005C4677" w:rsidRPr="0045129A">
        <w:rPr>
          <w:rStyle w:val="Emphasis"/>
          <w:rFonts w:ascii="Arial" w:hAnsi="Arial" w:cs="Arial"/>
          <w:i w:val="0"/>
          <w:iCs w:val="0"/>
          <w:sz w:val="22"/>
        </w:rPr>
        <w:t xml:space="preserve">o no referida en el concepto de </w:t>
      </w:r>
      <w:r w:rsidR="005C4677" w:rsidRPr="0045129A">
        <w:rPr>
          <w:rStyle w:val="Emphasis"/>
          <w:rFonts w:ascii="Arial" w:hAnsi="Arial" w:cs="Arial"/>
          <w:sz w:val="22"/>
        </w:rPr>
        <w:t>Proyecto de mejoramiento</w:t>
      </w:r>
      <w:r w:rsidR="005C4677" w:rsidRPr="0045129A">
        <w:rPr>
          <w:rStyle w:val="Emphasis"/>
          <w:rFonts w:ascii="Arial" w:hAnsi="Arial" w:cs="Arial"/>
          <w:i w:val="0"/>
          <w:iCs w:val="0"/>
          <w:sz w:val="22"/>
        </w:rPr>
        <w:t xml:space="preserve"> del Anexo 3</w:t>
      </w:r>
      <w:r w:rsidR="009603DD" w:rsidRPr="0045129A">
        <w:rPr>
          <w:rStyle w:val="Emphasis"/>
          <w:rFonts w:ascii="Arial" w:hAnsi="Arial" w:cs="Arial"/>
          <w:i w:val="0"/>
          <w:iCs w:val="0"/>
          <w:sz w:val="22"/>
        </w:rPr>
        <w:t xml:space="preserve">, siempre que se encuentre </w:t>
      </w:r>
      <w:r w:rsidR="000503AA" w:rsidRPr="0045129A">
        <w:rPr>
          <w:rStyle w:val="Emphasis"/>
          <w:rFonts w:ascii="Arial" w:hAnsi="Arial" w:cs="Arial"/>
          <w:i w:val="0"/>
          <w:iCs w:val="0"/>
          <w:sz w:val="22"/>
        </w:rPr>
        <w:t>dentro de las enlistadas por</w:t>
      </w:r>
      <w:r w:rsidR="009603DD" w:rsidRPr="0045129A">
        <w:rPr>
          <w:rStyle w:val="Emphasis"/>
          <w:rFonts w:ascii="Arial" w:hAnsi="Arial" w:cs="Arial"/>
          <w:i w:val="0"/>
          <w:iCs w:val="0"/>
          <w:sz w:val="22"/>
        </w:rPr>
        <w:t xml:space="preserve"> los</w:t>
      </w:r>
      <w:r w:rsidR="000503AA" w:rsidRPr="0045129A">
        <w:rPr>
          <w:rStyle w:val="Emphasis"/>
          <w:rFonts w:ascii="Arial" w:hAnsi="Arial" w:cs="Arial"/>
          <w:i w:val="0"/>
          <w:iCs w:val="0"/>
          <w:sz w:val="22"/>
        </w:rPr>
        <w:t xml:space="preserve"> art</w:t>
      </w:r>
      <w:r w:rsidR="00686EC9" w:rsidRPr="0045129A">
        <w:rPr>
          <w:rStyle w:val="Emphasis"/>
          <w:rFonts w:ascii="Arial" w:hAnsi="Arial" w:cs="Arial"/>
          <w:i w:val="0"/>
          <w:iCs w:val="0"/>
          <w:sz w:val="22"/>
        </w:rPr>
        <w:t>ículos</w:t>
      </w:r>
      <w:r w:rsidR="009603DD" w:rsidRPr="0045129A">
        <w:rPr>
          <w:rStyle w:val="Emphasis"/>
          <w:rFonts w:ascii="Arial" w:hAnsi="Arial" w:cs="Arial"/>
          <w:i w:val="0"/>
          <w:iCs w:val="0"/>
          <w:sz w:val="22"/>
        </w:rPr>
        <w:t xml:space="preserve"> </w:t>
      </w:r>
      <w:r w:rsidR="009603DD" w:rsidRPr="0045129A">
        <w:rPr>
          <w:rStyle w:val="Strong"/>
          <w:rFonts w:ascii="Arial" w:hAnsi="Arial" w:cs="Arial"/>
          <w:b w:val="0"/>
          <w:bCs w:val="0"/>
          <w:sz w:val="22"/>
        </w:rPr>
        <w:t>2.2.2.5.1.1</w:t>
      </w:r>
      <w:r w:rsidR="009603DD" w:rsidRPr="0045129A">
        <w:rPr>
          <w:rStyle w:val="Emphasis"/>
          <w:rFonts w:ascii="Arial" w:hAnsi="Arial" w:cs="Arial"/>
          <w:i w:val="0"/>
          <w:iCs w:val="0"/>
          <w:sz w:val="22"/>
        </w:rPr>
        <w:t>,</w:t>
      </w:r>
      <w:r w:rsidR="009603DD" w:rsidRPr="0045129A">
        <w:rPr>
          <w:rStyle w:val="Emphasis"/>
          <w:rFonts w:ascii="Arial" w:hAnsi="Arial" w:cs="Arial"/>
          <w:b/>
          <w:bCs/>
          <w:i w:val="0"/>
          <w:iCs w:val="0"/>
          <w:sz w:val="22"/>
        </w:rPr>
        <w:t xml:space="preserve"> </w:t>
      </w:r>
      <w:r w:rsidR="009603DD" w:rsidRPr="0045129A">
        <w:rPr>
          <w:rStyle w:val="Strong"/>
          <w:rFonts w:ascii="Arial" w:hAnsi="Arial" w:cs="Arial"/>
          <w:b w:val="0"/>
          <w:bCs w:val="0"/>
          <w:sz w:val="22"/>
        </w:rPr>
        <w:t>2.2.2.5.2.1</w:t>
      </w:r>
      <w:r w:rsidR="009603DD" w:rsidRPr="0045129A">
        <w:rPr>
          <w:rStyle w:val="Emphasis"/>
          <w:rFonts w:ascii="Arial" w:hAnsi="Arial" w:cs="Arial"/>
          <w:i w:val="0"/>
          <w:iCs w:val="0"/>
          <w:sz w:val="22"/>
        </w:rPr>
        <w:t>,</w:t>
      </w:r>
      <w:r w:rsidR="009603DD" w:rsidRPr="0045129A">
        <w:rPr>
          <w:rStyle w:val="Emphasis"/>
          <w:rFonts w:ascii="Arial" w:hAnsi="Arial" w:cs="Arial"/>
          <w:b/>
          <w:bCs/>
          <w:i w:val="0"/>
          <w:iCs w:val="0"/>
          <w:sz w:val="22"/>
        </w:rPr>
        <w:t xml:space="preserve"> </w:t>
      </w:r>
      <w:r w:rsidR="009603DD" w:rsidRPr="0045129A">
        <w:rPr>
          <w:rStyle w:val="Emphasis"/>
          <w:rFonts w:ascii="Arial" w:hAnsi="Arial" w:cs="Arial"/>
          <w:i w:val="0"/>
          <w:iCs w:val="0"/>
          <w:sz w:val="22"/>
        </w:rPr>
        <w:t>2.2.2.5.3.1, 2.2.2.5.3.2 o 2.2.2.5.4.1</w:t>
      </w:r>
      <w:r w:rsidR="00686EC9" w:rsidRPr="0045129A">
        <w:rPr>
          <w:rStyle w:val="Emphasis"/>
          <w:rFonts w:ascii="Arial" w:hAnsi="Arial" w:cs="Arial"/>
          <w:i w:val="0"/>
          <w:iCs w:val="0"/>
          <w:sz w:val="22"/>
        </w:rPr>
        <w:t xml:space="preserve"> del Decreto 1076 de 2015, </w:t>
      </w:r>
      <w:r w:rsidR="00A17D58" w:rsidRPr="0045129A">
        <w:rPr>
          <w:rStyle w:val="Emphasis"/>
          <w:rFonts w:ascii="Arial" w:hAnsi="Arial" w:cs="Arial"/>
          <w:i w:val="0"/>
          <w:iCs w:val="0"/>
          <w:sz w:val="22"/>
        </w:rPr>
        <w:t xml:space="preserve">su contratación deberá </w:t>
      </w:r>
      <w:r w:rsidR="009E545F" w:rsidRPr="0045129A">
        <w:rPr>
          <w:rStyle w:val="Emphasis"/>
          <w:rFonts w:ascii="Arial" w:hAnsi="Arial" w:cs="Arial"/>
          <w:i w:val="0"/>
          <w:iCs w:val="0"/>
          <w:sz w:val="22"/>
        </w:rPr>
        <w:t>llevarse</w:t>
      </w:r>
      <w:r w:rsidR="00A17D58" w:rsidRPr="0045129A">
        <w:rPr>
          <w:rStyle w:val="Emphasis"/>
          <w:rFonts w:ascii="Arial" w:hAnsi="Arial" w:cs="Arial"/>
          <w:i w:val="0"/>
          <w:iCs w:val="0"/>
          <w:sz w:val="22"/>
        </w:rPr>
        <w:t xml:space="preserve"> a cabo aplicando documentos tipo de infraestructura de transporte.</w:t>
      </w:r>
    </w:p>
    <w:p w14:paraId="6B99B7AE" w14:textId="25E5036A" w:rsidR="00577989" w:rsidRPr="0045129A" w:rsidRDefault="009E545F" w:rsidP="00ED64DA">
      <w:pPr>
        <w:spacing w:after="120" w:line="276" w:lineRule="auto"/>
        <w:ind w:firstLine="709"/>
        <w:jc w:val="both"/>
        <w:rPr>
          <w:rStyle w:val="Emphasis"/>
          <w:rFonts w:ascii="Arial" w:hAnsi="Arial" w:cs="Arial"/>
          <w:i w:val="0"/>
          <w:iCs w:val="0"/>
          <w:sz w:val="22"/>
        </w:rPr>
      </w:pPr>
      <w:r w:rsidRPr="0045129A">
        <w:rPr>
          <w:rStyle w:val="Emphasis"/>
          <w:rFonts w:ascii="Arial" w:hAnsi="Arial" w:cs="Arial"/>
          <w:i w:val="0"/>
          <w:iCs w:val="0"/>
          <w:sz w:val="22"/>
        </w:rPr>
        <w:t>Por otro lado,</w:t>
      </w:r>
      <w:r w:rsidR="00A17D58" w:rsidRPr="0045129A">
        <w:rPr>
          <w:rStyle w:val="Emphasis"/>
          <w:rFonts w:ascii="Arial" w:hAnsi="Arial" w:cs="Arial"/>
          <w:i w:val="0"/>
          <w:iCs w:val="0"/>
          <w:sz w:val="22"/>
        </w:rPr>
        <w:t xml:space="preserve"> </w:t>
      </w:r>
      <w:r w:rsidRPr="0045129A">
        <w:rPr>
          <w:rStyle w:val="Emphasis"/>
          <w:rFonts w:ascii="Arial" w:hAnsi="Arial" w:cs="Arial"/>
          <w:i w:val="0"/>
          <w:iCs w:val="0"/>
          <w:sz w:val="22"/>
        </w:rPr>
        <w:t xml:space="preserve">el </w:t>
      </w:r>
      <w:r w:rsidR="00A17D58" w:rsidRPr="0045129A">
        <w:rPr>
          <w:rStyle w:val="Emphasis"/>
          <w:rFonts w:ascii="Arial" w:hAnsi="Arial" w:cs="Arial"/>
          <w:i w:val="0"/>
          <w:iCs w:val="0"/>
          <w:sz w:val="22"/>
        </w:rPr>
        <w:t>segundo aspecto tiene que ver con la evaluación de la experiencia.</w:t>
      </w:r>
      <w:r w:rsidRPr="0045129A">
        <w:rPr>
          <w:rStyle w:val="Emphasis"/>
          <w:rFonts w:ascii="Arial" w:hAnsi="Arial" w:cs="Arial"/>
          <w:i w:val="0"/>
          <w:iCs w:val="0"/>
          <w:sz w:val="22"/>
        </w:rPr>
        <w:t xml:space="preserve"> En ese sentido,</w:t>
      </w:r>
      <w:r w:rsidR="00761C18" w:rsidRPr="0045129A">
        <w:rPr>
          <w:rStyle w:val="Emphasis"/>
          <w:rFonts w:ascii="Arial" w:hAnsi="Arial" w:cs="Arial"/>
          <w:i w:val="0"/>
          <w:iCs w:val="0"/>
          <w:sz w:val="22"/>
        </w:rPr>
        <w:t xml:space="preserve"> la definición de </w:t>
      </w:r>
      <w:r w:rsidR="00761C18" w:rsidRPr="0045129A">
        <w:rPr>
          <w:rStyle w:val="Emphasis"/>
          <w:rFonts w:ascii="Arial" w:hAnsi="Arial" w:cs="Arial"/>
          <w:sz w:val="22"/>
        </w:rPr>
        <w:t>Proyecto de Construcción</w:t>
      </w:r>
      <w:r w:rsidR="002D75D8" w:rsidRPr="0045129A">
        <w:rPr>
          <w:rStyle w:val="Emphasis"/>
          <w:rFonts w:ascii="Arial" w:hAnsi="Arial" w:cs="Arial"/>
          <w:i w:val="0"/>
          <w:iCs w:val="0"/>
          <w:sz w:val="22"/>
        </w:rPr>
        <w:t xml:space="preserve"> del artículo 12 de la 1683 y el numeral 2.62 del Anexo 3</w:t>
      </w:r>
      <w:r w:rsidR="00A423EF" w:rsidRPr="0045129A">
        <w:rPr>
          <w:rStyle w:val="Emphasis"/>
          <w:rFonts w:ascii="Arial" w:hAnsi="Arial" w:cs="Arial"/>
          <w:i w:val="0"/>
          <w:iCs w:val="0"/>
          <w:sz w:val="22"/>
        </w:rPr>
        <w:t>;</w:t>
      </w:r>
      <w:r w:rsidR="002D75D8" w:rsidRPr="0045129A">
        <w:rPr>
          <w:rStyle w:val="Emphasis"/>
          <w:rFonts w:ascii="Arial" w:hAnsi="Arial" w:cs="Arial"/>
          <w:i w:val="0"/>
          <w:iCs w:val="0"/>
          <w:sz w:val="22"/>
        </w:rPr>
        <w:t xml:space="preserve"> </w:t>
      </w:r>
      <w:r w:rsidRPr="0045129A">
        <w:rPr>
          <w:rStyle w:val="Emphasis"/>
          <w:rFonts w:ascii="Arial" w:hAnsi="Arial" w:cs="Arial"/>
          <w:i w:val="0"/>
          <w:iCs w:val="0"/>
          <w:sz w:val="22"/>
        </w:rPr>
        <w:t>la noci</w:t>
      </w:r>
      <w:r w:rsidR="00761C18" w:rsidRPr="0045129A">
        <w:rPr>
          <w:rStyle w:val="Emphasis"/>
          <w:rFonts w:ascii="Arial" w:hAnsi="Arial" w:cs="Arial"/>
          <w:i w:val="0"/>
          <w:iCs w:val="0"/>
          <w:sz w:val="22"/>
        </w:rPr>
        <w:t>ón</w:t>
      </w:r>
      <w:r w:rsidRPr="0045129A">
        <w:rPr>
          <w:rStyle w:val="Emphasis"/>
          <w:rFonts w:ascii="Arial" w:hAnsi="Arial" w:cs="Arial"/>
          <w:i w:val="0"/>
          <w:iCs w:val="0"/>
          <w:sz w:val="22"/>
        </w:rPr>
        <w:t xml:space="preserve"> de </w:t>
      </w:r>
      <w:r w:rsidRPr="0045129A">
        <w:rPr>
          <w:rStyle w:val="Emphasis"/>
          <w:rFonts w:ascii="Arial" w:hAnsi="Arial" w:cs="Arial"/>
          <w:sz w:val="22"/>
        </w:rPr>
        <w:t>Proyecto de mejoramiento</w:t>
      </w:r>
      <w:r w:rsidRPr="0045129A">
        <w:rPr>
          <w:rStyle w:val="Emphasis"/>
          <w:rFonts w:ascii="Arial" w:hAnsi="Arial" w:cs="Arial"/>
          <w:i w:val="0"/>
          <w:iCs w:val="0"/>
          <w:sz w:val="22"/>
        </w:rPr>
        <w:t xml:space="preserve"> </w:t>
      </w:r>
      <w:r w:rsidR="00F44D26" w:rsidRPr="0045129A">
        <w:rPr>
          <w:rStyle w:val="Emphasis"/>
          <w:rFonts w:ascii="Arial" w:hAnsi="Arial" w:cs="Arial"/>
          <w:i w:val="0"/>
          <w:iCs w:val="0"/>
          <w:sz w:val="22"/>
        </w:rPr>
        <w:t>establecida por los aludidos artículos de la Ley 1682 de 2013 y el Decreto 1076 de 2015</w:t>
      </w:r>
      <w:r w:rsidR="00867AC2" w:rsidRPr="0045129A">
        <w:rPr>
          <w:rStyle w:val="Emphasis"/>
          <w:rFonts w:ascii="Arial" w:hAnsi="Arial" w:cs="Arial"/>
          <w:i w:val="0"/>
          <w:iCs w:val="0"/>
          <w:sz w:val="22"/>
        </w:rPr>
        <w:t>;</w:t>
      </w:r>
      <w:r w:rsidR="008D2706" w:rsidRPr="0045129A">
        <w:rPr>
          <w:rStyle w:val="Emphasis"/>
          <w:rFonts w:ascii="Arial" w:hAnsi="Arial" w:cs="Arial"/>
          <w:i w:val="0"/>
          <w:iCs w:val="0"/>
          <w:sz w:val="22"/>
        </w:rPr>
        <w:t xml:space="preserve"> </w:t>
      </w:r>
      <w:r w:rsidR="00F51B08" w:rsidRPr="0045129A">
        <w:rPr>
          <w:rStyle w:val="Emphasis"/>
          <w:rFonts w:ascii="Arial" w:hAnsi="Arial" w:cs="Arial"/>
          <w:i w:val="0"/>
          <w:iCs w:val="0"/>
          <w:sz w:val="22"/>
        </w:rPr>
        <w:t xml:space="preserve">así como las actividades </w:t>
      </w:r>
      <w:r w:rsidR="00F77A16" w:rsidRPr="0045129A">
        <w:rPr>
          <w:rStyle w:val="Emphasis"/>
          <w:rFonts w:ascii="Arial" w:hAnsi="Arial" w:cs="Arial"/>
          <w:i w:val="0"/>
          <w:iCs w:val="0"/>
          <w:sz w:val="22"/>
        </w:rPr>
        <w:t xml:space="preserve">que </w:t>
      </w:r>
      <w:r w:rsidR="002D75D8" w:rsidRPr="0045129A">
        <w:rPr>
          <w:rStyle w:val="Emphasis"/>
          <w:rFonts w:ascii="Arial" w:hAnsi="Arial" w:cs="Arial"/>
          <w:i w:val="0"/>
          <w:iCs w:val="0"/>
          <w:sz w:val="22"/>
        </w:rPr>
        <w:t>a</w:t>
      </w:r>
      <w:r w:rsidR="00F77A16" w:rsidRPr="0045129A">
        <w:rPr>
          <w:rStyle w:val="Emphasis"/>
          <w:rFonts w:ascii="Arial" w:hAnsi="Arial" w:cs="Arial"/>
          <w:i w:val="0"/>
          <w:iCs w:val="0"/>
          <w:sz w:val="22"/>
        </w:rPr>
        <w:t xml:space="preserve">barca un </w:t>
      </w:r>
      <w:r w:rsidR="00F77A16" w:rsidRPr="0045129A">
        <w:rPr>
          <w:rStyle w:val="Emphasis"/>
          <w:rFonts w:ascii="Arial" w:hAnsi="Arial" w:cs="Arial"/>
          <w:sz w:val="22"/>
        </w:rPr>
        <w:t>Proyecto de rehabilitación</w:t>
      </w:r>
      <w:r w:rsidR="00867AC2" w:rsidRPr="0045129A">
        <w:rPr>
          <w:rStyle w:val="Emphasis"/>
          <w:rFonts w:ascii="Arial" w:hAnsi="Arial" w:cs="Arial"/>
          <w:sz w:val="22"/>
        </w:rPr>
        <w:t>,</w:t>
      </w:r>
      <w:r w:rsidR="00F77A16" w:rsidRPr="0045129A">
        <w:rPr>
          <w:rStyle w:val="Emphasis"/>
          <w:rFonts w:ascii="Arial" w:hAnsi="Arial" w:cs="Arial"/>
          <w:i w:val="0"/>
          <w:iCs w:val="0"/>
          <w:sz w:val="22"/>
        </w:rPr>
        <w:t xml:space="preserve"> según el numeral 2.72 del Anexo 3, </w:t>
      </w:r>
      <w:r w:rsidR="009B3052" w:rsidRPr="0045129A">
        <w:rPr>
          <w:rStyle w:val="Emphasis"/>
          <w:rFonts w:ascii="Arial" w:hAnsi="Arial" w:cs="Arial"/>
          <w:i w:val="0"/>
          <w:iCs w:val="0"/>
          <w:sz w:val="22"/>
        </w:rPr>
        <w:t>condiciona</w:t>
      </w:r>
      <w:r w:rsidR="00F77A16" w:rsidRPr="0045129A">
        <w:rPr>
          <w:rStyle w:val="Emphasis"/>
          <w:rFonts w:ascii="Arial" w:hAnsi="Arial" w:cs="Arial"/>
          <w:i w:val="0"/>
          <w:iCs w:val="0"/>
          <w:sz w:val="22"/>
        </w:rPr>
        <w:t>n</w:t>
      </w:r>
      <w:r w:rsidR="009B3052" w:rsidRPr="0045129A">
        <w:rPr>
          <w:rStyle w:val="Emphasis"/>
          <w:rFonts w:ascii="Arial" w:hAnsi="Arial" w:cs="Arial"/>
          <w:i w:val="0"/>
          <w:iCs w:val="0"/>
          <w:sz w:val="22"/>
        </w:rPr>
        <w:t xml:space="preserve"> lo que se puede tener en cuenta como </w:t>
      </w:r>
      <w:r w:rsidR="002D75D8" w:rsidRPr="0045129A">
        <w:rPr>
          <w:rStyle w:val="Emphasis"/>
          <w:rFonts w:ascii="Arial" w:hAnsi="Arial" w:cs="Arial"/>
          <w:sz w:val="22"/>
        </w:rPr>
        <w:t>construcción</w:t>
      </w:r>
      <w:r w:rsidR="002D75D8" w:rsidRPr="0045129A">
        <w:rPr>
          <w:rStyle w:val="Emphasis"/>
          <w:rFonts w:ascii="Arial" w:hAnsi="Arial" w:cs="Arial"/>
          <w:i w:val="0"/>
          <w:iCs w:val="0"/>
          <w:sz w:val="22"/>
        </w:rPr>
        <w:t xml:space="preserve">, </w:t>
      </w:r>
      <w:r w:rsidR="009B3052" w:rsidRPr="0045129A">
        <w:rPr>
          <w:rStyle w:val="Emphasis"/>
          <w:rFonts w:ascii="Arial" w:hAnsi="Arial" w:cs="Arial"/>
          <w:sz w:val="22"/>
        </w:rPr>
        <w:t>mejoramiento</w:t>
      </w:r>
      <w:r w:rsidR="002D75D8" w:rsidRPr="0045129A">
        <w:rPr>
          <w:rStyle w:val="Emphasis"/>
          <w:rFonts w:ascii="Arial" w:hAnsi="Arial" w:cs="Arial"/>
          <w:i w:val="0"/>
          <w:iCs w:val="0"/>
          <w:sz w:val="22"/>
        </w:rPr>
        <w:t xml:space="preserve"> o </w:t>
      </w:r>
      <w:r w:rsidR="002D75D8" w:rsidRPr="0045129A">
        <w:rPr>
          <w:rStyle w:val="Emphasis"/>
          <w:rFonts w:ascii="Arial" w:hAnsi="Arial" w:cs="Arial"/>
          <w:sz w:val="22"/>
        </w:rPr>
        <w:t>rehabilitación</w:t>
      </w:r>
      <w:r w:rsidR="009B3052" w:rsidRPr="0045129A">
        <w:rPr>
          <w:rStyle w:val="Emphasis"/>
          <w:rFonts w:ascii="Arial" w:hAnsi="Arial" w:cs="Arial"/>
          <w:i w:val="0"/>
          <w:iCs w:val="0"/>
          <w:sz w:val="22"/>
        </w:rPr>
        <w:t xml:space="preserve"> </w:t>
      </w:r>
      <w:r w:rsidR="00467260" w:rsidRPr="0045129A">
        <w:rPr>
          <w:rStyle w:val="Emphasis"/>
          <w:rFonts w:ascii="Arial" w:hAnsi="Arial" w:cs="Arial"/>
          <w:i w:val="0"/>
          <w:iCs w:val="0"/>
          <w:sz w:val="22"/>
        </w:rPr>
        <w:t xml:space="preserve">en el marco de </w:t>
      </w:r>
      <w:r w:rsidR="009B3052" w:rsidRPr="0045129A">
        <w:rPr>
          <w:rStyle w:val="Emphasis"/>
          <w:rFonts w:ascii="Arial" w:hAnsi="Arial" w:cs="Arial"/>
          <w:i w:val="0"/>
          <w:iCs w:val="0"/>
          <w:sz w:val="22"/>
        </w:rPr>
        <w:t>la valoración de experiencia</w:t>
      </w:r>
      <w:r w:rsidR="00577989" w:rsidRPr="0045129A">
        <w:rPr>
          <w:rStyle w:val="Emphasis"/>
          <w:rFonts w:ascii="Arial" w:hAnsi="Arial" w:cs="Arial"/>
          <w:i w:val="0"/>
          <w:iCs w:val="0"/>
          <w:sz w:val="22"/>
        </w:rPr>
        <w:t xml:space="preserve">. Esto supone, que el desarrollo de cualquier actividad </w:t>
      </w:r>
      <w:r w:rsidR="001244C5" w:rsidRPr="0045129A">
        <w:rPr>
          <w:rStyle w:val="Emphasis"/>
          <w:rFonts w:ascii="Arial" w:hAnsi="Arial" w:cs="Arial"/>
          <w:i w:val="0"/>
          <w:iCs w:val="0"/>
          <w:sz w:val="22"/>
        </w:rPr>
        <w:t>tendiente a la construcción de infraestructura nueva</w:t>
      </w:r>
      <w:r w:rsidR="004662AB" w:rsidRPr="0045129A">
        <w:rPr>
          <w:rStyle w:val="Emphasis"/>
          <w:rFonts w:ascii="Arial" w:hAnsi="Arial" w:cs="Arial"/>
          <w:i w:val="0"/>
          <w:iCs w:val="0"/>
          <w:sz w:val="22"/>
        </w:rPr>
        <w:t xml:space="preserve"> </w:t>
      </w:r>
      <w:r w:rsidR="006E61EF" w:rsidRPr="0045129A">
        <w:rPr>
          <w:rStyle w:val="Emphasis"/>
          <w:rFonts w:ascii="Arial" w:hAnsi="Arial" w:cs="Arial"/>
          <w:i w:val="0"/>
          <w:iCs w:val="0"/>
          <w:sz w:val="22"/>
        </w:rPr>
        <w:t>dota a quien la</w:t>
      </w:r>
      <w:r w:rsidR="00484A5C" w:rsidRPr="0045129A">
        <w:rPr>
          <w:rStyle w:val="Emphasis"/>
          <w:rFonts w:ascii="Arial" w:hAnsi="Arial" w:cs="Arial"/>
          <w:i w:val="0"/>
          <w:iCs w:val="0"/>
          <w:sz w:val="22"/>
        </w:rPr>
        <w:t xml:space="preserve"> realiza</w:t>
      </w:r>
      <w:r w:rsidR="006E61EF" w:rsidRPr="0045129A">
        <w:rPr>
          <w:rStyle w:val="Emphasis"/>
          <w:rFonts w:ascii="Arial" w:hAnsi="Arial" w:cs="Arial"/>
          <w:i w:val="0"/>
          <w:iCs w:val="0"/>
          <w:sz w:val="22"/>
        </w:rPr>
        <w:t xml:space="preserve"> de experiencia en construcción, así como el desarrollo de </w:t>
      </w:r>
      <w:r w:rsidR="00E154C2" w:rsidRPr="0045129A">
        <w:rPr>
          <w:rStyle w:val="Emphasis"/>
          <w:rFonts w:ascii="Arial" w:hAnsi="Arial" w:cs="Arial"/>
          <w:i w:val="0"/>
          <w:iCs w:val="0"/>
          <w:sz w:val="22"/>
        </w:rPr>
        <w:t xml:space="preserve">cualquiera de las </w:t>
      </w:r>
      <w:r w:rsidR="006E61EF" w:rsidRPr="0045129A">
        <w:rPr>
          <w:rStyle w:val="Emphasis"/>
          <w:rFonts w:ascii="Arial" w:hAnsi="Arial" w:cs="Arial"/>
          <w:i w:val="0"/>
          <w:iCs w:val="0"/>
          <w:sz w:val="22"/>
        </w:rPr>
        <w:t xml:space="preserve">actividades </w:t>
      </w:r>
      <w:r w:rsidR="00E154C2" w:rsidRPr="0045129A">
        <w:rPr>
          <w:rStyle w:val="Emphasis"/>
          <w:rFonts w:ascii="Arial" w:hAnsi="Arial" w:cs="Arial"/>
          <w:i w:val="0"/>
          <w:iCs w:val="0"/>
          <w:sz w:val="22"/>
        </w:rPr>
        <w:t xml:space="preserve">enlistadas en el los artículo pertinentes del Decreto 1076 de </w:t>
      </w:r>
      <w:r w:rsidR="00484A5C" w:rsidRPr="0045129A">
        <w:rPr>
          <w:rStyle w:val="Emphasis"/>
          <w:rFonts w:ascii="Arial" w:hAnsi="Arial" w:cs="Arial"/>
          <w:i w:val="0"/>
          <w:iCs w:val="0"/>
          <w:sz w:val="22"/>
        </w:rPr>
        <w:t xml:space="preserve">2015 hace </w:t>
      </w:r>
      <w:r w:rsidR="006778B9" w:rsidRPr="0045129A">
        <w:rPr>
          <w:rStyle w:val="Emphasis"/>
          <w:rFonts w:ascii="Arial" w:hAnsi="Arial" w:cs="Arial"/>
          <w:i w:val="0"/>
          <w:iCs w:val="0"/>
          <w:sz w:val="22"/>
        </w:rPr>
        <w:t xml:space="preserve">que </w:t>
      </w:r>
      <w:r w:rsidR="00484A5C" w:rsidRPr="0045129A">
        <w:rPr>
          <w:rStyle w:val="Emphasis"/>
          <w:rFonts w:ascii="Arial" w:hAnsi="Arial" w:cs="Arial"/>
          <w:i w:val="0"/>
          <w:iCs w:val="0"/>
          <w:sz w:val="22"/>
        </w:rPr>
        <w:t xml:space="preserve">quien las desarrolla </w:t>
      </w:r>
      <w:r w:rsidR="006778B9" w:rsidRPr="0045129A">
        <w:rPr>
          <w:rStyle w:val="Emphasis"/>
          <w:rFonts w:ascii="Arial" w:hAnsi="Arial" w:cs="Arial"/>
          <w:i w:val="0"/>
          <w:iCs w:val="0"/>
          <w:sz w:val="22"/>
        </w:rPr>
        <w:t>ob</w:t>
      </w:r>
      <w:r w:rsidR="00484A5C" w:rsidRPr="0045129A">
        <w:rPr>
          <w:rStyle w:val="Emphasis"/>
          <w:rFonts w:ascii="Arial" w:hAnsi="Arial" w:cs="Arial"/>
          <w:i w:val="0"/>
          <w:iCs w:val="0"/>
          <w:sz w:val="22"/>
        </w:rPr>
        <w:t>tenga experiencia en mejoramiento y la realizaci</w:t>
      </w:r>
      <w:r w:rsidR="006778B9" w:rsidRPr="0045129A">
        <w:rPr>
          <w:rStyle w:val="Emphasis"/>
          <w:rFonts w:ascii="Arial" w:hAnsi="Arial" w:cs="Arial"/>
          <w:i w:val="0"/>
          <w:iCs w:val="0"/>
          <w:sz w:val="22"/>
        </w:rPr>
        <w:t xml:space="preserve">ón de </w:t>
      </w:r>
      <w:r w:rsidR="00C2255A" w:rsidRPr="0045129A">
        <w:rPr>
          <w:rStyle w:val="Emphasis"/>
          <w:rFonts w:ascii="Arial" w:hAnsi="Arial" w:cs="Arial"/>
          <w:i w:val="0"/>
          <w:iCs w:val="0"/>
          <w:sz w:val="22"/>
        </w:rPr>
        <w:t>actividades como</w:t>
      </w:r>
      <w:r w:rsidR="00867AC2" w:rsidRPr="0045129A">
        <w:rPr>
          <w:rStyle w:val="Emphasis"/>
          <w:rFonts w:ascii="Arial" w:hAnsi="Arial" w:cs="Arial"/>
          <w:i w:val="0"/>
          <w:iCs w:val="0"/>
          <w:sz w:val="22"/>
        </w:rPr>
        <w:t>, por ejemplo,</w:t>
      </w:r>
      <w:r w:rsidR="00C2255A" w:rsidRPr="0045129A">
        <w:rPr>
          <w:rStyle w:val="Emphasis"/>
          <w:rFonts w:ascii="Arial" w:hAnsi="Arial" w:cs="Arial"/>
          <w:i w:val="0"/>
          <w:iCs w:val="0"/>
          <w:sz w:val="22"/>
        </w:rPr>
        <w:t xml:space="preserve"> construcción de capas granulares para estructura de pavimento y construcción</w:t>
      </w:r>
      <w:r w:rsidR="00476AC7" w:rsidRPr="0045129A">
        <w:rPr>
          <w:rStyle w:val="Emphasis"/>
          <w:rFonts w:ascii="Arial" w:hAnsi="Arial" w:cs="Arial"/>
          <w:i w:val="0"/>
          <w:iCs w:val="0"/>
          <w:sz w:val="22"/>
        </w:rPr>
        <w:t>,</w:t>
      </w:r>
      <w:r w:rsidR="00C2255A" w:rsidRPr="0045129A">
        <w:rPr>
          <w:rStyle w:val="Emphasis"/>
          <w:rFonts w:ascii="Arial" w:hAnsi="Arial" w:cs="Arial"/>
          <w:i w:val="0"/>
          <w:iCs w:val="0"/>
          <w:sz w:val="22"/>
        </w:rPr>
        <w:t xml:space="preserve"> </w:t>
      </w:r>
      <w:r w:rsidR="00795BE2" w:rsidRPr="0045129A">
        <w:rPr>
          <w:rStyle w:val="Emphasis"/>
          <w:rFonts w:ascii="Arial" w:hAnsi="Arial" w:cs="Arial"/>
          <w:i w:val="0"/>
          <w:iCs w:val="0"/>
          <w:sz w:val="22"/>
        </w:rPr>
        <w:t>al ser típicas de</w:t>
      </w:r>
      <w:r w:rsidR="00C2255A" w:rsidRPr="0045129A">
        <w:rPr>
          <w:rStyle w:val="Emphasis"/>
          <w:rFonts w:ascii="Arial" w:hAnsi="Arial" w:cs="Arial"/>
          <w:i w:val="0"/>
          <w:iCs w:val="0"/>
          <w:sz w:val="22"/>
        </w:rPr>
        <w:t xml:space="preserve"> rehabilitación</w:t>
      </w:r>
      <w:r w:rsidR="00795BE2" w:rsidRPr="0045129A">
        <w:rPr>
          <w:rStyle w:val="Emphasis"/>
          <w:rFonts w:ascii="Arial" w:hAnsi="Arial" w:cs="Arial"/>
          <w:i w:val="0"/>
          <w:iCs w:val="0"/>
          <w:sz w:val="22"/>
        </w:rPr>
        <w:t xml:space="preserve"> dotan a quien las realiza de experiencia en dicho ámbito.</w:t>
      </w:r>
    </w:p>
    <w:p w14:paraId="0CFCED6D" w14:textId="5DC0D1D9" w:rsidR="00A17D58" w:rsidRPr="0045129A" w:rsidRDefault="004662AB" w:rsidP="00ED64DA">
      <w:pPr>
        <w:spacing w:after="120" w:line="276" w:lineRule="auto"/>
        <w:ind w:firstLine="709"/>
        <w:jc w:val="both"/>
        <w:rPr>
          <w:rStyle w:val="Emphasis"/>
          <w:rFonts w:ascii="Arial" w:hAnsi="Arial" w:cs="Arial"/>
          <w:i w:val="0"/>
          <w:iCs w:val="0"/>
          <w:sz w:val="22"/>
        </w:rPr>
      </w:pPr>
      <w:r w:rsidRPr="0045129A">
        <w:rPr>
          <w:rStyle w:val="Emphasis"/>
          <w:rFonts w:ascii="Arial" w:hAnsi="Arial" w:cs="Arial"/>
          <w:i w:val="0"/>
          <w:iCs w:val="0"/>
          <w:sz w:val="22"/>
        </w:rPr>
        <w:t xml:space="preserve">Esto quiere decir que, </w:t>
      </w:r>
      <w:r w:rsidR="00082780" w:rsidRPr="0045129A">
        <w:rPr>
          <w:rStyle w:val="Emphasis"/>
          <w:rFonts w:ascii="Arial" w:hAnsi="Arial" w:cs="Arial"/>
          <w:i w:val="0"/>
          <w:iCs w:val="0"/>
          <w:sz w:val="22"/>
        </w:rPr>
        <w:t xml:space="preserve">para determinar si un proponente tiene </w:t>
      </w:r>
      <w:r w:rsidR="00C756F9" w:rsidRPr="0045129A">
        <w:rPr>
          <w:rStyle w:val="Emphasis"/>
          <w:rFonts w:ascii="Arial" w:hAnsi="Arial" w:cs="Arial"/>
          <w:i w:val="0"/>
          <w:iCs w:val="0"/>
          <w:sz w:val="22"/>
        </w:rPr>
        <w:t xml:space="preserve">o no </w:t>
      </w:r>
      <w:r w:rsidR="00082780" w:rsidRPr="0045129A">
        <w:rPr>
          <w:rStyle w:val="Emphasis"/>
          <w:rFonts w:ascii="Arial" w:hAnsi="Arial" w:cs="Arial"/>
          <w:i w:val="0"/>
          <w:iCs w:val="0"/>
          <w:sz w:val="22"/>
        </w:rPr>
        <w:t xml:space="preserve">experiencia en mejoramiento de determinado tipo de infraestructura, </w:t>
      </w:r>
      <w:r w:rsidR="00C756F9" w:rsidRPr="0045129A">
        <w:rPr>
          <w:rStyle w:val="Emphasis"/>
          <w:rFonts w:ascii="Arial" w:hAnsi="Arial" w:cs="Arial"/>
          <w:i w:val="0"/>
          <w:iCs w:val="0"/>
          <w:sz w:val="22"/>
        </w:rPr>
        <w:t xml:space="preserve">a la entidad le corresponde verificar que el desarrollo de los contratos acreditados haya </w:t>
      </w:r>
      <w:r w:rsidR="000A2893" w:rsidRPr="0045129A">
        <w:rPr>
          <w:rStyle w:val="Emphasis"/>
          <w:rFonts w:ascii="Arial" w:hAnsi="Arial" w:cs="Arial"/>
          <w:i w:val="0"/>
          <w:iCs w:val="0"/>
          <w:sz w:val="22"/>
        </w:rPr>
        <w:t xml:space="preserve">involucrado </w:t>
      </w:r>
      <w:r w:rsidR="00867AC2" w:rsidRPr="0045129A">
        <w:rPr>
          <w:rStyle w:val="Emphasis"/>
          <w:rFonts w:ascii="Arial" w:hAnsi="Arial" w:cs="Arial"/>
          <w:i w:val="0"/>
          <w:iCs w:val="0"/>
          <w:sz w:val="22"/>
        </w:rPr>
        <w:t xml:space="preserve">efectivamente </w:t>
      </w:r>
      <w:r w:rsidR="000A2893" w:rsidRPr="0045129A">
        <w:rPr>
          <w:rStyle w:val="Emphasis"/>
          <w:rFonts w:ascii="Arial" w:hAnsi="Arial" w:cs="Arial"/>
          <w:i w:val="0"/>
          <w:iCs w:val="0"/>
          <w:sz w:val="22"/>
        </w:rPr>
        <w:t xml:space="preserve">la ejecución de alguna de las actividades señaladas en los artículos </w:t>
      </w:r>
      <w:r w:rsidR="000A2893" w:rsidRPr="0045129A">
        <w:rPr>
          <w:rStyle w:val="Strong"/>
          <w:rFonts w:ascii="Arial" w:hAnsi="Arial" w:cs="Arial"/>
          <w:b w:val="0"/>
          <w:bCs w:val="0"/>
          <w:sz w:val="22"/>
        </w:rPr>
        <w:t>2.2.2.5.1.1</w:t>
      </w:r>
      <w:r w:rsidR="000A2893" w:rsidRPr="0045129A">
        <w:rPr>
          <w:rStyle w:val="Emphasis"/>
          <w:rFonts w:ascii="Arial" w:hAnsi="Arial" w:cs="Arial"/>
          <w:i w:val="0"/>
          <w:iCs w:val="0"/>
          <w:sz w:val="22"/>
        </w:rPr>
        <w:t>,</w:t>
      </w:r>
      <w:r w:rsidR="000A2893" w:rsidRPr="0045129A">
        <w:rPr>
          <w:rStyle w:val="Emphasis"/>
          <w:rFonts w:ascii="Arial" w:hAnsi="Arial" w:cs="Arial"/>
          <w:b/>
          <w:bCs/>
          <w:i w:val="0"/>
          <w:iCs w:val="0"/>
          <w:sz w:val="22"/>
        </w:rPr>
        <w:t xml:space="preserve"> </w:t>
      </w:r>
      <w:r w:rsidR="000A2893" w:rsidRPr="0045129A">
        <w:rPr>
          <w:rStyle w:val="Strong"/>
          <w:rFonts w:ascii="Arial" w:hAnsi="Arial" w:cs="Arial"/>
          <w:b w:val="0"/>
          <w:bCs w:val="0"/>
          <w:sz w:val="22"/>
        </w:rPr>
        <w:t>2.2.2.5.2.1</w:t>
      </w:r>
      <w:r w:rsidR="000A2893" w:rsidRPr="0045129A">
        <w:rPr>
          <w:rStyle w:val="Emphasis"/>
          <w:rFonts w:ascii="Arial" w:hAnsi="Arial" w:cs="Arial"/>
          <w:i w:val="0"/>
          <w:iCs w:val="0"/>
          <w:sz w:val="22"/>
        </w:rPr>
        <w:t>,</w:t>
      </w:r>
      <w:r w:rsidR="000A2893" w:rsidRPr="0045129A">
        <w:rPr>
          <w:rStyle w:val="Emphasis"/>
          <w:rFonts w:ascii="Arial" w:hAnsi="Arial" w:cs="Arial"/>
          <w:b/>
          <w:bCs/>
          <w:i w:val="0"/>
          <w:iCs w:val="0"/>
          <w:sz w:val="22"/>
        </w:rPr>
        <w:t xml:space="preserve"> </w:t>
      </w:r>
      <w:r w:rsidR="000A2893" w:rsidRPr="0045129A">
        <w:rPr>
          <w:rStyle w:val="Emphasis"/>
          <w:rFonts w:ascii="Arial" w:hAnsi="Arial" w:cs="Arial"/>
          <w:i w:val="0"/>
          <w:iCs w:val="0"/>
          <w:sz w:val="22"/>
        </w:rPr>
        <w:t xml:space="preserve">2.2.2.5.3.1, 2.2.2.5.3.2 o 2.2.2.5.4.1 </w:t>
      </w:r>
      <w:r w:rsidR="000A2893" w:rsidRPr="0045129A">
        <w:rPr>
          <w:rStyle w:val="Emphasis"/>
          <w:rFonts w:ascii="Arial" w:hAnsi="Arial" w:cs="Arial"/>
          <w:sz w:val="22"/>
        </w:rPr>
        <w:t>Ibídem</w:t>
      </w:r>
      <w:r w:rsidR="000A2893" w:rsidRPr="0045129A">
        <w:rPr>
          <w:rStyle w:val="Emphasis"/>
          <w:rFonts w:ascii="Arial" w:hAnsi="Arial" w:cs="Arial"/>
          <w:i w:val="0"/>
          <w:iCs w:val="0"/>
          <w:sz w:val="22"/>
        </w:rPr>
        <w:t xml:space="preserve">. </w:t>
      </w:r>
      <w:r w:rsidR="00795BE2" w:rsidRPr="0045129A">
        <w:rPr>
          <w:rStyle w:val="Emphasis"/>
          <w:rFonts w:ascii="Arial" w:hAnsi="Arial" w:cs="Arial"/>
          <w:i w:val="0"/>
          <w:iCs w:val="0"/>
          <w:sz w:val="22"/>
        </w:rPr>
        <w:t xml:space="preserve">Del mismo modo, para determinar si un proponente tiene experiencia en rehabilitación, deberá verificarse que </w:t>
      </w:r>
      <w:r w:rsidR="0034287A" w:rsidRPr="0045129A">
        <w:rPr>
          <w:rStyle w:val="Emphasis"/>
          <w:rFonts w:ascii="Arial" w:hAnsi="Arial" w:cs="Arial"/>
          <w:i w:val="0"/>
          <w:iCs w:val="0"/>
          <w:sz w:val="22"/>
        </w:rPr>
        <w:t xml:space="preserve">con los contratos aportados haya ejecutado las actividades de </w:t>
      </w:r>
      <w:r w:rsidR="0034287A" w:rsidRPr="0045129A">
        <w:rPr>
          <w:rFonts w:ascii="Arial" w:hAnsi="Arial" w:cs="Arial"/>
          <w:sz w:val="22"/>
        </w:rPr>
        <w:t>construcción de capas granulares para estructura de pavimento y construcción de superficie de rodadura en concreto asfáltico o hidráulico, referidas en el numeral 2.72 del Anexo 3.</w:t>
      </w:r>
    </w:p>
    <w:p w14:paraId="148EF5CD" w14:textId="493F5197" w:rsidR="00FC46DA" w:rsidRPr="0045129A" w:rsidRDefault="008B2B8A" w:rsidP="005C565D">
      <w:pPr>
        <w:spacing w:after="120" w:line="276" w:lineRule="auto"/>
        <w:ind w:firstLine="709"/>
        <w:jc w:val="both"/>
        <w:rPr>
          <w:rStyle w:val="Emphasis"/>
          <w:rFonts w:ascii="Arial" w:hAnsi="Arial" w:cs="Arial"/>
          <w:i w:val="0"/>
          <w:iCs w:val="0"/>
          <w:sz w:val="22"/>
        </w:rPr>
      </w:pPr>
      <w:r w:rsidRPr="0045129A">
        <w:rPr>
          <w:rStyle w:val="Emphasis"/>
          <w:rFonts w:ascii="Arial" w:hAnsi="Arial" w:cs="Arial"/>
          <w:i w:val="0"/>
          <w:iCs w:val="0"/>
          <w:sz w:val="22"/>
        </w:rPr>
        <w:t>Conforme a</w:t>
      </w:r>
      <w:r w:rsidR="007001EC" w:rsidRPr="0045129A">
        <w:rPr>
          <w:rStyle w:val="Emphasis"/>
          <w:rFonts w:ascii="Arial" w:hAnsi="Arial" w:cs="Arial"/>
          <w:i w:val="0"/>
          <w:iCs w:val="0"/>
          <w:sz w:val="22"/>
        </w:rPr>
        <w:t xml:space="preserve"> lo anterior</w:t>
      </w:r>
      <w:r w:rsidRPr="0045129A">
        <w:rPr>
          <w:rStyle w:val="Emphasis"/>
          <w:rFonts w:ascii="Arial" w:hAnsi="Arial" w:cs="Arial"/>
          <w:i w:val="0"/>
          <w:iCs w:val="0"/>
          <w:sz w:val="22"/>
        </w:rPr>
        <w:t xml:space="preserve">, </w:t>
      </w:r>
      <w:r w:rsidR="007001EC" w:rsidRPr="0045129A">
        <w:rPr>
          <w:rStyle w:val="Emphasis"/>
          <w:rFonts w:ascii="Arial" w:hAnsi="Arial" w:cs="Arial"/>
          <w:i w:val="0"/>
          <w:iCs w:val="0"/>
          <w:sz w:val="22"/>
        </w:rPr>
        <w:t xml:space="preserve">la referencias a </w:t>
      </w:r>
      <w:r w:rsidR="003A4FFE" w:rsidRPr="0045129A">
        <w:rPr>
          <w:rStyle w:val="Emphasis"/>
          <w:rFonts w:ascii="Arial" w:hAnsi="Arial" w:cs="Arial"/>
          <w:sz w:val="22"/>
        </w:rPr>
        <w:t>Proyectos de Construcción</w:t>
      </w:r>
      <w:r w:rsidR="0034287A" w:rsidRPr="0045129A">
        <w:rPr>
          <w:rStyle w:val="Emphasis"/>
          <w:rFonts w:ascii="Arial" w:hAnsi="Arial" w:cs="Arial"/>
          <w:sz w:val="22"/>
        </w:rPr>
        <w:t xml:space="preserve">, </w:t>
      </w:r>
      <w:r w:rsidR="007001EC" w:rsidRPr="0045129A">
        <w:rPr>
          <w:rStyle w:val="Emphasis"/>
          <w:rFonts w:ascii="Arial" w:hAnsi="Arial" w:cs="Arial"/>
          <w:sz w:val="22"/>
        </w:rPr>
        <w:t>Proyectos de Mejoramiento</w:t>
      </w:r>
      <w:r w:rsidR="0034287A" w:rsidRPr="0045129A">
        <w:rPr>
          <w:rStyle w:val="Emphasis"/>
          <w:rFonts w:ascii="Arial" w:hAnsi="Arial" w:cs="Arial"/>
          <w:i w:val="0"/>
          <w:iCs w:val="0"/>
          <w:sz w:val="22"/>
        </w:rPr>
        <w:t xml:space="preserve">, </w:t>
      </w:r>
      <w:r w:rsidR="0034287A" w:rsidRPr="0045129A">
        <w:rPr>
          <w:rStyle w:val="Emphasis"/>
          <w:rFonts w:ascii="Arial" w:hAnsi="Arial" w:cs="Arial"/>
          <w:sz w:val="22"/>
        </w:rPr>
        <w:t>Proyectos de rehabilitación,</w:t>
      </w:r>
      <w:r w:rsidR="0034287A" w:rsidRPr="0045129A">
        <w:rPr>
          <w:rStyle w:val="Emphasis"/>
          <w:rFonts w:ascii="Arial" w:hAnsi="Arial" w:cs="Arial"/>
          <w:i w:val="0"/>
          <w:iCs w:val="0"/>
          <w:sz w:val="22"/>
        </w:rPr>
        <w:t xml:space="preserve"> así como otras similares, </w:t>
      </w:r>
      <w:r w:rsidR="000431F1" w:rsidRPr="0045129A">
        <w:rPr>
          <w:rStyle w:val="Emphasis"/>
          <w:rFonts w:ascii="Arial" w:hAnsi="Arial" w:cs="Arial"/>
          <w:i w:val="0"/>
          <w:iCs w:val="0"/>
          <w:sz w:val="22"/>
        </w:rPr>
        <w:t>contenidas en los documentos tipo de infraestructura de transporte,</w:t>
      </w:r>
      <w:r w:rsidR="005C565D" w:rsidRPr="0045129A">
        <w:rPr>
          <w:rStyle w:val="Emphasis"/>
          <w:rFonts w:ascii="Arial" w:hAnsi="Arial" w:cs="Arial"/>
          <w:sz w:val="22"/>
        </w:rPr>
        <w:t xml:space="preserve"> </w:t>
      </w:r>
      <w:r w:rsidR="00BB2F59" w:rsidRPr="0045129A">
        <w:rPr>
          <w:rStyle w:val="Emphasis"/>
          <w:rFonts w:ascii="Arial" w:hAnsi="Arial" w:cs="Arial"/>
          <w:i w:val="0"/>
          <w:iCs w:val="0"/>
          <w:sz w:val="22"/>
        </w:rPr>
        <w:t>debe</w:t>
      </w:r>
      <w:r w:rsidR="0034287A" w:rsidRPr="0045129A">
        <w:rPr>
          <w:rStyle w:val="Emphasis"/>
          <w:rFonts w:ascii="Arial" w:hAnsi="Arial" w:cs="Arial"/>
          <w:i w:val="0"/>
          <w:iCs w:val="0"/>
          <w:sz w:val="22"/>
        </w:rPr>
        <w:t>n</w:t>
      </w:r>
      <w:r w:rsidR="00BB2F59" w:rsidRPr="0045129A">
        <w:rPr>
          <w:rStyle w:val="Emphasis"/>
          <w:rFonts w:ascii="Arial" w:hAnsi="Arial" w:cs="Arial"/>
          <w:i w:val="0"/>
          <w:iCs w:val="0"/>
          <w:sz w:val="22"/>
        </w:rPr>
        <w:t xml:space="preserve"> ser </w:t>
      </w:r>
      <w:r w:rsidR="000431F1" w:rsidRPr="0045129A">
        <w:rPr>
          <w:rStyle w:val="Emphasis"/>
          <w:rFonts w:ascii="Arial" w:hAnsi="Arial" w:cs="Arial"/>
          <w:i w:val="0"/>
          <w:iCs w:val="0"/>
          <w:sz w:val="22"/>
        </w:rPr>
        <w:t>interpretadas</w:t>
      </w:r>
      <w:r w:rsidR="00BB2F59" w:rsidRPr="0045129A">
        <w:rPr>
          <w:rStyle w:val="Emphasis"/>
          <w:rFonts w:ascii="Arial" w:hAnsi="Arial" w:cs="Arial"/>
          <w:i w:val="0"/>
          <w:iCs w:val="0"/>
          <w:sz w:val="22"/>
        </w:rPr>
        <w:t xml:space="preserve"> conforme a l</w:t>
      </w:r>
      <w:r w:rsidR="000E1797" w:rsidRPr="0045129A">
        <w:rPr>
          <w:rStyle w:val="Emphasis"/>
          <w:rFonts w:ascii="Arial" w:hAnsi="Arial" w:cs="Arial"/>
          <w:i w:val="0"/>
          <w:iCs w:val="0"/>
          <w:sz w:val="22"/>
        </w:rPr>
        <w:t>o dispuesto en</w:t>
      </w:r>
      <w:r w:rsidR="00F55874" w:rsidRPr="0045129A">
        <w:rPr>
          <w:rStyle w:val="Emphasis"/>
          <w:rFonts w:ascii="Arial" w:hAnsi="Arial" w:cs="Arial"/>
          <w:i w:val="0"/>
          <w:iCs w:val="0"/>
          <w:sz w:val="22"/>
        </w:rPr>
        <w:t xml:space="preserve"> </w:t>
      </w:r>
      <w:r w:rsidR="000E51DD" w:rsidRPr="0045129A">
        <w:rPr>
          <w:rStyle w:val="Emphasis"/>
          <w:rFonts w:ascii="Arial" w:hAnsi="Arial" w:cs="Arial"/>
          <w:i w:val="0"/>
          <w:iCs w:val="0"/>
          <w:sz w:val="22"/>
        </w:rPr>
        <w:t xml:space="preserve">la </w:t>
      </w:r>
      <w:r w:rsidR="00BB2F59" w:rsidRPr="0045129A">
        <w:rPr>
          <w:rStyle w:val="Emphasis"/>
          <w:rFonts w:ascii="Arial" w:hAnsi="Arial" w:cs="Arial"/>
          <w:i w:val="0"/>
          <w:iCs w:val="0"/>
          <w:sz w:val="22"/>
        </w:rPr>
        <w:t>Ley 1682 de 2013</w:t>
      </w:r>
      <w:r w:rsidR="000E1797" w:rsidRPr="0045129A">
        <w:rPr>
          <w:rStyle w:val="Emphasis"/>
          <w:rFonts w:ascii="Arial" w:hAnsi="Arial" w:cs="Arial"/>
          <w:i w:val="0"/>
          <w:iCs w:val="0"/>
          <w:sz w:val="22"/>
        </w:rPr>
        <w:t xml:space="preserve"> y</w:t>
      </w:r>
      <w:r w:rsidR="00316C70" w:rsidRPr="0045129A">
        <w:rPr>
          <w:rStyle w:val="Emphasis"/>
          <w:rFonts w:ascii="Arial" w:hAnsi="Arial" w:cs="Arial"/>
          <w:i w:val="0"/>
          <w:iCs w:val="0"/>
          <w:sz w:val="22"/>
        </w:rPr>
        <w:t xml:space="preserve"> en el Anexo 3</w:t>
      </w:r>
      <w:r w:rsidR="000E51DD" w:rsidRPr="0045129A">
        <w:rPr>
          <w:rStyle w:val="Emphasis"/>
          <w:rFonts w:ascii="Arial" w:hAnsi="Arial" w:cs="Arial"/>
          <w:i w:val="0"/>
          <w:iCs w:val="0"/>
          <w:sz w:val="22"/>
        </w:rPr>
        <w:t>. Particularmente, en el caso de las activid</w:t>
      </w:r>
      <w:r w:rsidR="00D7665B" w:rsidRPr="0045129A">
        <w:rPr>
          <w:rStyle w:val="Emphasis"/>
          <w:rFonts w:ascii="Arial" w:hAnsi="Arial" w:cs="Arial"/>
          <w:i w:val="0"/>
          <w:iCs w:val="0"/>
          <w:sz w:val="22"/>
        </w:rPr>
        <w:t xml:space="preserve">ades catalogadas como mejoramiento, </w:t>
      </w:r>
      <w:r w:rsidR="00FE527B" w:rsidRPr="0045129A">
        <w:rPr>
          <w:rStyle w:val="Emphasis"/>
          <w:rFonts w:ascii="Arial" w:hAnsi="Arial" w:cs="Arial"/>
          <w:i w:val="0"/>
          <w:iCs w:val="0"/>
          <w:sz w:val="22"/>
        </w:rPr>
        <w:t xml:space="preserve">las mismas </w:t>
      </w:r>
      <w:r w:rsidR="00D7665B" w:rsidRPr="0045129A">
        <w:rPr>
          <w:rStyle w:val="Emphasis"/>
          <w:rFonts w:ascii="Arial" w:hAnsi="Arial" w:cs="Arial"/>
          <w:i w:val="0"/>
          <w:iCs w:val="0"/>
          <w:sz w:val="22"/>
        </w:rPr>
        <w:t>debe</w:t>
      </w:r>
      <w:r w:rsidR="00FE527B" w:rsidRPr="0045129A">
        <w:rPr>
          <w:rStyle w:val="Emphasis"/>
          <w:rFonts w:ascii="Arial" w:hAnsi="Arial" w:cs="Arial"/>
          <w:i w:val="0"/>
          <w:iCs w:val="0"/>
          <w:sz w:val="22"/>
        </w:rPr>
        <w:t>n</w:t>
      </w:r>
      <w:r w:rsidR="00D7665B" w:rsidRPr="0045129A">
        <w:rPr>
          <w:rStyle w:val="Emphasis"/>
          <w:rFonts w:ascii="Arial" w:hAnsi="Arial" w:cs="Arial"/>
          <w:i w:val="0"/>
          <w:iCs w:val="0"/>
          <w:sz w:val="22"/>
        </w:rPr>
        <w:t xml:space="preserve"> ser establecidas a la luz</w:t>
      </w:r>
      <w:r w:rsidR="00BB2F59" w:rsidRPr="0045129A">
        <w:rPr>
          <w:rStyle w:val="Emphasis"/>
          <w:rFonts w:ascii="Arial" w:hAnsi="Arial" w:cs="Arial"/>
          <w:i w:val="0"/>
          <w:iCs w:val="0"/>
          <w:sz w:val="22"/>
        </w:rPr>
        <w:t xml:space="preserve"> el Decreto 1076 de 201</w:t>
      </w:r>
      <w:r w:rsidR="002F4571" w:rsidRPr="0045129A">
        <w:rPr>
          <w:rStyle w:val="Emphasis"/>
          <w:rFonts w:ascii="Arial" w:hAnsi="Arial" w:cs="Arial"/>
          <w:i w:val="0"/>
          <w:iCs w:val="0"/>
          <w:sz w:val="22"/>
        </w:rPr>
        <w:t>5</w:t>
      </w:r>
      <w:r w:rsidR="00CF2C3B" w:rsidRPr="0045129A">
        <w:rPr>
          <w:rStyle w:val="Emphasis"/>
          <w:rFonts w:ascii="Arial" w:hAnsi="Arial" w:cs="Arial"/>
          <w:i w:val="0"/>
          <w:iCs w:val="0"/>
          <w:sz w:val="22"/>
        </w:rPr>
        <w:t xml:space="preserve">, </w:t>
      </w:r>
      <w:r w:rsidR="00DD647A" w:rsidRPr="0045129A">
        <w:rPr>
          <w:rStyle w:val="Emphasis"/>
          <w:rFonts w:ascii="Arial" w:hAnsi="Arial" w:cs="Arial"/>
          <w:i w:val="0"/>
          <w:iCs w:val="0"/>
          <w:sz w:val="22"/>
        </w:rPr>
        <w:t xml:space="preserve">el cual contempla más actividades </w:t>
      </w:r>
      <w:r w:rsidR="00B727D5" w:rsidRPr="0045129A">
        <w:rPr>
          <w:rStyle w:val="Emphasis"/>
          <w:rFonts w:ascii="Arial" w:hAnsi="Arial" w:cs="Arial"/>
          <w:i w:val="0"/>
          <w:iCs w:val="0"/>
          <w:sz w:val="22"/>
        </w:rPr>
        <w:t xml:space="preserve">que las sugeridas </w:t>
      </w:r>
      <w:r w:rsidR="00867AC2" w:rsidRPr="0045129A">
        <w:rPr>
          <w:rStyle w:val="Emphasis"/>
          <w:rFonts w:ascii="Arial" w:hAnsi="Arial" w:cs="Arial"/>
          <w:i w:val="0"/>
          <w:iCs w:val="0"/>
          <w:sz w:val="22"/>
        </w:rPr>
        <w:t xml:space="preserve">en </w:t>
      </w:r>
      <w:r w:rsidR="00CF2C3B" w:rsidRPr="0045129A">
        <w:rPr>
          <w:rStyle w:val="Emphasis"/>
          <w:rFonts w:ascii="Arial" w:hAnsi="Arial" w:cs="Arial"/>
          <w:i w:val="0"/>
          <w:iCs w:val="0"/>
          <w:sz w:val="22"/>
        </w:rPr>
        <w:t xml:space="preserve">la redacción del numeral 2.70 del Anexo 3. </w:t>
      </w:r>
    </w:p>
    <w:p w14:paraId="6631F55C" w14:textId="1B00D8B9" w:rsidR="00FC46DA" w:rsidRPr="0045129A" w:rsidRDefault="00B727D5" w:rsidP="00B727D5">
      <w:pPr>
        <w:spacing w:line="276" w:lineRule="auto"/>
        <w:ind w:firstLine="709"/>
        <w:jc w:val="both"/>
        <w:rPr>
          <w:rStyle w:val="Emphasis"/>
          <w:rFonts w:ascii="Arial" w:hAnsi="Arial" w:cs="Arial"/>
          <w:i w:val="0"/>
          <w:iCs w:val="0"/>
          <w:sz w:val="22"/>
        </w:rPr>
      </w:pPr>
      <w:r w:rsidRPr="0045129A">
        <w:rPr>
          <w:rStyle w:val="Emphasis"/>
          <w:rFonts w:ascii="Arial" w:hAnsi="Arial" w:cs="Arial"/>
          <w:i w:val="0"/>
          <w:iCs w:val="0"/>
          <w:sz w:val="22"/>
        </w:rPr>
        <w:t>En ese sentido, l</w:t>
      </w:r>
      <w:r w:rsidR="00FC46DA" w:rsidRPr="0045129A">
        <w:rPr>
          <w:rStyle w:val="Emphasis"/>
          <w:rFonts w:ascii="Arial" w:hAnsi="Arial" w:cs="Arial"/>
          <w:i w:val="0"/>
          <w:iCs w:val="0"/>
          <w:sz w:val="22"/>
        </w:rPr>
        <w:t>a</w:t>
      </w:r>
      <w:r w:rsidR="0034287A" w:rsidRPr="0045129A">
        <w:rPr>
          <w:rStyle w:val="Emphasis"/>
          <w:rFonts w:ascii="Arial" w:hAnsi="Arial" w:cs="Arial"/>
          <w:i w:val="0"/>
          <w:iCs w:val="0"/>
          <w:sz w:val="22"/>
        </w:rPr>
        <w:t>s</w:t>
      </w:r>
      <w:r w:rsidR="00FC46DA" w:rsidRPr="0045129A">
        <w:rPr>
          <w:rStyle w:val="Emphasis"/>
          <w:rFonts w:ascii="Arial" w:hAnsi="Arial" w:cs="Arial"/>
          <w:i w:val="0"/>
          <w:iCs w:val="0"/>
          <w:sz w:val="22"/>
        </w:rPr>
        <w:t xml:space="preserve"> noc</w:t>
      </w:r>
      <w:r w:rsidR="00316C70" w:rsidRPr="0045129A">
        <w:rPr>
          <w:rStyle w:val="Emphasis"/>
          <w:rFonts w:ascii="Arial" w:hAnsi="Arial" w:cs="Arial"/>
          <w:i w:val="0"/>
          <w:iCs w:val="0"/>
          <w:sz w:val="22"/>
        </w:rPr>
        <w:t>iones</w:t>
      </w:r>
      <w:r w:rsidR="00FC46DA" w:rsidRPr="0045129A">
        <w:rPr>
          <w:rStyle w:val="Emphasis"/>
          <w:rFonts w:ascii="Arial" w:hAnsi="Arial" w:cs="Arial"/>
          <w:i w:val="0"/>
          <w:iCs w:val="0"/>
          <w:sz w:val="22"/>
        </w:rPr>
        <w:t xml:space="preserve"> </w:t>
      </w:r>
      <w:r w:rsidR="002C0CC9" w:rsidRPr="0045129A">
        <w:rPr>
          <w:rStyle w:val="Emphasis"/>
          <w:rFonts w:ascii="Arial" w:hAnsi="Arial" w:cs="Arial"/>
          <w:i w:val="0"/>
          <w:iCs w:val="0"/>
          <w:sz w:val="22"/>
        </w:rPr>
        <w:t>de los diferentes tipos de proyectos que involucran intervención de infraestructura de transporte</w:t>
      </w:r>
      <w:r w:rsidR="00FC35DD" w:rsidRPr="0045129A">
        <w:rPr>
          <w:rStyle w:val="Emphasis"/>
          <w:rFonts w:ascii="Arial" w:hAnsi="Arial" w:cs="Arial"/>
          <w:i w:val="0"/>
          <w:iCs w:val="0"/>
          <w:sz w:val="22"/>
        </w:rPr>
        <w:t xml:space="preserve"> </w:t>
      </w:r>
      <w:r w:rsidR="002C0CC9" w:rsidRPr="0045129A">
        <w:rPr>
          <w:rStyle w:val="Emphasis"/>
          <w:rFonts w:ascii="Arial" w:hAnsi="Arial" w:cs="Arial"/>
          <w:i w:val="0"/>
          <w:iCs w:val="0"/>
          <w:sz w:val="22"/>
        </w:rPr>
        <w:t xml:space="preserve">contenidas en </w:t>
      </w:r>
      <w:r w:rsidR="00FC46DA" w:rsidRPr="0045129A">
        <w:rPr>
          <w:rStyle w:val="Emphasis"/>
          <w:rFonts w:ascii="Arial" w:hAnsi="Arial" w:cs="Arial"/>
          <w:i w:val="0"/>
          <w:iCs w:val="0"/>
          <w:sz w:val="22"/>
        </w:rPr>
        <w:t>el Anexo 3</w:t>
      </w:r>
      <w:r w:rsidR="00FC35DD" w:rsidRPr="0045129A">
        <w:rPr>
          <w:rStyle w:val="Emphasis"/>
          <w:rFonts w:ascii="Arial" w:hAnsi="Arial" w:cs="Arial"/>
          <w:i w:val="0"/>
          <w:iCs w:val="0"/>
          <w:sz w:val="22"/>
        </w:rPr>
        <w:t>,</w:t>
      </w:r>
      <w:r w:rsidR="00FC46DA" w:rsidRPr="0045129A">
        <w:rPr>
          <w:rStyle w:val="Emphasis"/>
          <w:rFonts w:ascii="Arial" w:hAnsi="Arial" w:cs="Arial"/>
          <w:i w:val="0"/>
          <w:iCs w:val="0"/>
          <w:sz w:val="22"/>
        </w:rPr>
        <w:t xml:space="preserve"> </w:t>
      </w:r>
      <w:r w:rsidR="00867AC2" w:rsidRPr="0045129A">
        <w:rPr>
          <w:rStyle w:val="Emphasis"/>
          <w:rFonts w:ascii="Arial" w:hAnsi="Arial" w:cs="Arial"/>
          <w:i w:val="0"/>
          <w:iCs w:val="0"/>
          <w:sz w:val="22"/>
        </w:rPr>
        <w:t xml:space="preserve">deben </w:t>
      </w:r>
      <w:r w:rsidR="00AA773A" w:rsidRPr="0045129A">
        <w:rPr>
          <w:rStyle w:val="Emphasis"/>
          <w:rFonts w:ascii="Arial" w:hAnsi="Arial" w:cs="Arial"/>
          <w:i w:val="0"/>
          <w:iCs w:val="0"/>
          <w:sz w:val="22"/>
        </w:rPr>
        <w:t xml:space="preserve">articularse con lo dispuesto </w:t>
      </w:r>
      <w:r w:rsidR="003D5429" w:rsidRPr="0045129A">
        <w:rPr>
          <w:rStyle w:val="Emphasis"/>
          <w:rFonts w:ascii="Arial" w:hAnsi="Arial" w:cs="Arial"/>
          <w:i w:val="0"/>
          <w:iCs w:val="0"/>
          <w:sz w:val="22"/>
        </w:rPr>
        <w:t xml:space="preserve">en </w:t>
      </w:r>
      <w:r w:rsidR="002C0CC9" w:rsidRPr="0045129A">
        <w:rPr>
          <w:rStyle w:val="Emphasis"/>
          <w:rFonts w:ascii="Arial" w:hAnsi="Arial" w:cs="Arial"/>
          <w:i w:val="0"/>
          <w:iCs w:val="0"/>
          <w:sz w:val="22"/>
        </w:rPr>
        <w:t>la</w:t>
      </w:r>
      <w:r w:rsidR="003D5429" w:rsidRPr="0045129A">
        <w:rPr>
          <w:rStyle w:val="Emphasis"/>
          <w:rFonts w:ascii="Arial" w:hAnsi="Arial" w:cs="Arial"/>
          <w:i w:val="0"/>
          <w:iCs w:val="0"/>
          <w:sz w:val="22"/>
        </w:rPr>
        <w:t xml:space="preserve"> Ley 1682 de 2013</w:t>
      </w:r>
      <w:r w:rsidR="000E1797" w:rsidRPr="0045129A">
        <w:rPr>
          <w:rStyle w:val="Emphasis"/>
          <w:rFonts w:ascii="Arial" w:hAnsi="Arial" w:cs="Arial"/>
          <w:i w:val="0"/>
          <w:iCs w:val="0"/>
          <w:sz w:val="22"/>
        </w:rPr>
        <w:t xml:space="preserve">, </w:t>
      </w:r>
      <w:r w:rsidR="003D5429" w:rsidRPr="0045129A">
        <w:rPr>
          <w:rStyle w:val="Emphasis"/>
          <w:rFonts w:ascii="Arial" w:hAnsi="Arial" w:cs="Arial"/>
          <w:i w:val="0"/>
          <w:iCs w:val="0"/>
          <w:sz w:val="22"/>
        </w:rPr>
        <w:t>respecto de la</w:t>
      </w:r>
      <w:r w:rsidR="002C0CC9" w:rsidRPr="0045129A">
        <w:rPr>
          <w:rStyle w:val="Emphasis"/>
          <w:rFonts w:ascii="Arial" w:hAnsi="Arial" w:cs="Arial"/>
          <w:i w:val="0"/>
          <w:iCs w:val="0"/>
          <w:sz w:val="22"/>
        </w:rPr>
        <w:t>s</w:t>
      </w:r>
      <w:r w:rsidR="003D5429" w:rsidRPr="0045129A">
        <w:rPr>
          <w:rStyle w:val="Emphasis"/>
          <w:rFonts w:ascii="Arial" w:hAnsi="Arial" w:cs="Arial"/>
          <w:i w:val="0"/>
          <w:iCs w:val="0"/>
          <w:sz w:val="22"/>
        </w:rPr>
        <w:t xml:space="preserve"> actividad</w:t>
      </w:r>
      <w:r w:rsidR="002C0CC9" w:rsidRPr="0045129A">
        <w:rPr>
          <w:rStyle w:val="Emphasis"/>
          <w:rFonts w:ascii="Arial" w:hAnsi="Arial" w:cs="Arial"/>
          <w:i w:val="0"/>
          <w:iCs w:val="0"/>
          <w:sz w:val="22"/>
        </w:rPr>
        <w:t>es</w:t>
      </w:r>
      <w:r w:rsidR="003D5429" w:rsidRPr="0045129A">
        <w:rPr>
          <w:rStyle w:val="Emphasis"/>
          <w:rFonts w:ascii="Arial" w:hAnsi="Arial" w:cs="Arial"/>
          <w:i w:val="0"/>
          <w:iCs w:val="0"/>
          <w:sz w:val="22"/>
        </w:rPr>
        <w:t xml:space="preserve"> </w:t>
      </w:r>
      <w:r w:rsidR="002C0CC9" w:rsidRPr="0045129A">
        <w:rPr>
          <w:rStyle w:val="Emphasis"/>
          <w:rFonts w:ascii="Arial" w:hAnsi="Arial" w:cs="Arial"/>
          <w:i w:val="0"/>
          <w:iCs w:val="0"/>
          <w:sz w:val="22"/>
        </w:rPr>
        <w:t>con las que se relaci</w:t>
      </w:r>
      <w:r w:rsidR="00FC35DD" w:rsidRPr="0045129A">
        <w:rPr>
          <w:rStyle w:val="Emphasis"/>
          <w:rFonts w:ascii="Arial" w:hAnsi="Arial" w:cs="Arial"/>
          <w:i w:val="0"/>
          <w:iCs w:val="0"/>
          <w:sz w:val="22"/>
        </w:rPr>
        <w:t>onan. Esto supone que</w:t>
      </w:r>
      <w:r w:rsidR="00EF7B67" w:rsidRPr="0045129A">
        <w:rPr>
          <w:rStyle w:val="Emphasis"/>
          <w:rFonts w:ascii="Arial" w:hAnsi="Arial" w:cs="Arial"/>
          <w:i w:val="0"/>
          <w:iCs w:val="0"/>
          <w:sz w:val="22"/>
        </w:rPr>
        <w:t>, por ejempl</w:t>
      </w:r>
      <w:r w:rsidR="00AA773A" w:rsidRPr="0045129A">
        <w:rPr>
          <w:rStyle w:val="Emphasis"/>
          <w:rFonts w:ascii="Arial" w:hAnsi="Arial" w:cs="Arial"/>
          <w:i w:val="0"/>
          <w:iCs w:val="0"/>
          <w:sz w:val="22"/>
        </w:rPr>
        <w:t>o,</w:t>
      </w:r>
      <w:r w:rsidR="00FC35DD" w:rsidRPr="0045129A">
        <w:rPr>
          <w:rStyle w:val="Emphasis"/>
          <w:rFonts w:ascii="Arial" w:hAnsi="Arial" w:cs="Arial"/>
          <w:i w:val="0"/>
          <w:iCs w:val="0"/>
          <w:sz w:val="22"/>
        </w:rPr>
        <w:t xml:space="preserve"> para determinar el alcance de </w:t>
      </w:r>
      <w:r w:rsidR="00E95E59" w:rsidRPr="0045129A">
        <w:rPr>
          <w:rStyle w:val="Emphasis"/>
          <w:rFonts w:ascii="Arial" w:hAnsi="Arial" w:cs="Arial"/>
          <w:i w:val="0"/>
          <w:iCs w:val="0"/>
          <w:sz w:val="22"/>
        </w:rPr>
        <w:t>lo que</w:t>
      </w:r>
      <w:r w:rsidR="00AA773A" w:rsidRPr="0045129A">
        <w:rPr>
          <w:rStyle w:val="Emphasis"/>
          <w:rFonts w:ascii="Arial" w:hAnsi="Arial" w:cs="Arial"/>
          <w:i w:val="0"/>
          <w:iCs w:val="0"/>
          <w:sz w:val="22"/>
        </w:rPr>
        <w:t xml:space="preserve"> constituyen</w:t>
      </w:r>
      <w:r w:rsidR="00E95E59" w:rsidRPr="0045129A">
        <w:rPr>
          <w:rStyle w:val="Emphasis"/>
          <w:rFonts w:ascii="Arial" w:hAnsi="Arial" w:cs="Arial"/>
          <w:i w:val="0"/>
          <w:iCs w:val="0"/>
          <w:sz w:val="22"/>
        </w:rPr>
        <w:t xml:space="preserve"> </w:t>
      </w:r>
      <w:r w:rsidR="00E95E59" w:rsidRPr="0045129A">
        <w:rPr>
          <w:rStyle w:val="Emphasis"/>
          <w:rFonts w:ascii="Arial" w:hAnsi="Arial" w:cs="Arial"/>
          <w:sz w:val="22"/>
        </w:rPr>
        <w:t>Proyectos de Construcción, Proyectos de Mejoramiento</w:t>
      </w:r>
      <w:r w:rsidR="00E95E59" w:rsidRPr="0045129A">
        <w:rPr>
          <w:rStyle w:val="Emphasis"/>
          <w:rFonts w:ascii="Arial" w:hAnsi="Arial" w:cs="Arial"/>
          <w:i w:val="0"/>
          <w:iCs w:val="0"/>
          <w:sz w:val="22"/>
        </w:rPr>
        <w:t xml:space="preserve">, </w:t>
      </w:r>
      <w:r w:rsidR="00E95E59" w:rsidRPr="0045129A">
        <w:rPr>
          <w:rStyle w:val="Emphasis"/>
          <w:rFonts w:ascii="Arial" w:hAnsi="Arial" w:cs="Arial"/>
          <w:sz w:val="22"/>
        </w:rPr>
        <w:t xml:space="preserve">Proyectos de rehabilitación, </w:t>
      </w:r>
      <w:r w:rsidR="00E95E59" w:rsidRPr="0045129A">
        <w:rPr>
          <w:rStyle w:val="Emphasis"/>
          <w:rFonts w:ascii="Arial" w:hAnsi="Arial" w:cs="Arial"/>
          <w:i w:val="0"/>
          <w:iCs w:val="0"/>
          <w:sz w:val="22"/>
        </w:rPr>
        <w:t>deba acudirse</w:t>
      </w:r>
      <w:r w:rsidR="00A32320" w:rsidRPr="0045129A">
        <w:rPr>
          <w:rStyle w:val="Emphasis"/>
          <w:rFonts w:ascii="Arial" w:hAnsi="Arial" w:cs="Arial"/>
          <w:i w:val="0"/>
          <w:iCs w:val="0"/>
          <w:sz w:val="22"/>
        </w:rPr>
        <w:t xml:space="preserve"> a las nociones del Anexo 3, así como</w:t>
      </w:r>
      <w:r w:rsidR="00E95E59" w:rsidRPr="0045129A">
        <w:rPr>
          <w:rStyle w:val="Emphasis"/>
          <w:rFonts w:ascii="Arial" w:hAnsi="Arial" w:cs="Arial"/>
          <w:i w:val="0"/>
          <w:iCs w:val="0"/>
          <w:sz w:val="22"/>
        </w:rPr>
        <w:t xml:space="preserve"> a lo dispuesto sobre las actividades de </w:t>
      </w:r>
      <w:r w:rsidR="00E95E59" w:rsidRPr="0045129A">
        <w:rPr>
          <w:rStyle w:val="Emphasis"/>
          <w:rFonts w:ascii="Arial" w:hAnsi="Arial" w:cs="Arial"/>
          <w:sz w:val="22"/>
        </w:rPr>
        <w:t>construcción</w:t>
      </w:r>
      <w:r w:rsidR="00E95E59" w:rsidRPr="0045129A">
        <w:rPr>
          <w:rStyle w:val="Emphasis"/>
          <w:rFonts w:ascii="Arial" w:hAnsi="Arial" w:cs="Arial"/>
          <w:i w:val="0"/>
          <w:iCs w:val="0"/>
          <w:sz w:val="22"/>
        </w:rPr>
        <w:t xml:space="preserve">, </w:t>
      </w:r>
      <w:r w:rsidR="00201875" w:rsidRPr="0045129A">
        <w:rPr>
          <w:rStyle w:val="Emphasis"/>
          <w:rFonts w:ascii="Arial" w:hAnsi="Arial" w:cs="Arial"/>
          <w:sz w:val="22"/>
        </w:rPr>
        <w:t xml:space="preserve">mejoramiento </w:t>
      </w:r>
      <w:r w:rsidR="00201875" w:rsidRPr="0045129A">
        <w:rPr>
          <w:rStyle w:val="Emphasis"/>
          <w:rFonts w:ascii="Arial" w:hAnsi="Arial" w:cs="Arial"/>
          <w:i w:val="0"/>
          <w:iCs w:val="0"/>
          <w:sz w:val="22"/>
        </w:rPr>
        <w:t xml:space="preserve">y </w:t>
      </w:r>
      <w:r w:rsidR="00201875" w:rsidRPr="0045129A">
        <w:rPr>
          <w:rStyle w:val="Emphasis"/>
          <w:rFonts w:ascii="Arial" w:hAnsi="Arial" w:cs="Arial"/>
          <w:sz w:val="22"/>
        </w:rPr>
        <w:t>rehabilitación</w:t>
      </w:r>
      <w:r w:rsidR="00AA773A" w:rsidRPr="0045129A">
        <w:rPr>
          <w:rStyle w:val="Emphasis"/>
          <w:rFonts w:ascii="Arial" w:hAnsi="Arial" w:cs="Arial"/>
          <w:i w:val="0"/>
          <w:iCs w:val="0"/>
          <w:sz w:val="22"/>
        </w:rPr>
        <w:t xml:space="preserve"> </w:t>
      </w:r>
      <w:r w:rsidR="00CC516B" w:rsidRPr="0045129A">
        <w:rPr>
          <w:rStyle w:val="Emphasis"/>
          <w:rFonts w:ascii="Arial" w:hAnsi="Arial" w:cs="Arial"/>
          <w:i w:val="0"/>
          <w:iCs w:val="0"/>
          <w:sz w:val="22"/>
        </w:rPr>
        <w:t>en el artículo 12 de</w:t>
      </w:r>
      <w:r w:rsidR="00AA773A" w:rsidRPr="0045129A">
        <w:rPr>
          <w:rStyle w:val="Emphasis"/>
          <w:rFonts w:ascii="Arial" w:hAnsi="Arial" w:cs="Arial"/>
          <w:i w:val="0"/>
          <w:iCs w:val="0"/>
          <w:sz w:val="22"/>
        </w:rPr>
        <w:t xml:space="preserve"> la Ley 1682 de 2013</w:t>
      </w:r>
      <w:r w:rsidR="00867AC2" w:rsidRPr="0045129A">
        <w:rPr>
          <w:rStyle w:val="Emphasis"/>
          <w:rFonts w:ascii="Arial" w:hAnsi="Arial" w:cs="Arial"/>
          <w:i w:val="0"/>
          <w:iCs w:val="0"/>
          <w:sz w:val="22"/>
        </w:rPr>
        <w:t xml:space="preserve"> y su reglamentación.</w:t>
      </w:r>
    </w:p>
    <w:p w14:paraId="5C860AC6" w14:textId="77777777" w:rsidR="00B727D5" w:rsidRPr="0045129A" w:rsidRDefault="00B727D5" w:rsidP="00F16BC8">
      <w:pPr>
        <w:ind w:firstLine="709"/>
        <w:jc w:val="both"/>
        <w:rPr>
          <w:rStyle w:val="Emphasis"/>
          <w:rFonts w:ascii="Arial" w:hAnsi="Arial" w:cs="Arial"/>
          <w:i w:val="0"/>
          <w:iCs w:val="0"/>
          <w:sz w:val="22"/>
        </w:rPr>
      </w:pPr>
    </w:p>
    <w:p w14:paraId="22BCE805" w14:textId="14A4B5E5" w:rsidR="00E121D5" w:rsidRPr="0045129A" w:rsidRDefault="00E121D5" w:rsidP="00E121D5">
      <w:pPr>
        <w:spacing w:line="276" w:lineRule="auto"/>
        <w:jc w:val="both"/>
        <w:rPr>
          <w:rFonts w:ascii="Arial" w:hAnsi="Arial" w:cs="Arial"/>
          <w:b/>
          <w:bCs/>
          <w:sz w:val="22"/>
        </w:rPr>
      </w:pPr>
      <w:r w:rsidRPr="0045129A">
        <w:rPr>
          <w:rFonts w:ascii="Arial" w:hAnsi="Arial" w:cs="Arial"/>
          <w:b/>
          <w:bCs/>
          <w:sz w:val="22"/>
        </w:rPr>
        <w:t xml:space="preserve">2.2. </w:t>
      </w:r>
      <w:bookmarkStart w:id="2" w:name="_Hlk66720321"/>
      <w:r w:rsidR="00DA6660" w:rsidRPr="0045129A">
        <w:rPr>
          <w:rFonts w:ascii="Arial" w:hAnsi="Arial" w:cs="Arial"/>
          <w:b/>
          <w:bCs/>
          <w:sz w:val="22"/>
        </w:rPr>
        <w:t>Acreditación y</w:t>
      </w:r>
      <w:r w:rsidRPr="0045129A">
        <w:rPr>
          <w:rFonts w:ascii="Arial" w:hAnsi="Arial" w:cs="Arial"/>
          <w:b/>
          <w:bCs/>
          <w:sz w:val="22"/>
        </w:rPr>
        <w:t xml:space="preserve"> </w:t>
      </w:r>
      <w:r w:rsidR="00DA6660" w:rsidRPr="0045129A">
        <w:rPr>
          <w:rFonts w:ascii="Arial" w:hAnsi="Arial" w:cs="Arial"/>
          <w:b/>
          <w:bCs/>
          <w:sz w:val="22"/>
        </w:rPr>
        <w:t xml:space="preserve">evaluación de </w:t>
      </w:r>
      <w:r w:rsidRPr="0045129A">
        <w:rPr>
          <w:rFonts w:ascii="Arial" w:hAnsi="Arial" w:cs="Arial"/>
          <w:b/>
          <w:bCs/>
          <w:sz w:val="22"/>
        </w:rPr>
        <w:t>los requisitos de experiencia</w:t>
      </w:r>
      <w:r w:rsidR="00DA6660" w:rsidRPr="0045129A">
        <w:rPr>
          <w:rFonts w:ascii="Arial" w:hAnsi="Arial" w:cs="Arial"/>
          <w:b/>
          <w:bCs/>
          <w:sz w:val="22"/>
        </w:rPr>
        <w:t xml:space="preserve"> </w:t>
      </w:r>
      <w:bookmarkEnd w:id="2"/>
      <w:r w:rsidR="00303C89" w:rsidRPr="0045129A">
        <w:rPr>
          <w:rFonts w:ascii="Arial" w:hAnsi="Arial" w:cs="Arial"/>
          <w:b/>
          <w:bCs/>
          <w:sz w:val="22"/>
        </w:rPr>
        <w:t>en procesos adelantados con documentos tipo de infraestructura de transporte</w:t>
      </w:r>
    </w:p>
    <w:p w14:paraId="4973DB01" w14:textId="77777777" w:rsidR="002860AF" w:rsidRPr="0045129A" w:rsidRDefault="002860AF" w:rsidP="00F16BC8">
      <w:pPr>
        <w:jc w:val="both"/>
        <w:rPr>
          <w:rFonts w:ascii="Arial" w:hAnsi="Arial" w:cs="Arial"/>
          <w:b/>
          <w:bCs/>
          <w:sz w:val="22"/>
        </w:rPr>
      </w:pPr>
    </w:p>
    <w:p w14:paraId="6AD8AA40" w14:textId="65AB1D61" w:rsidR="00F27E47" w:rsidRPr="0045129A" w:rsidRDefault="00410548" w:rsidP="00410548">
      <w:pPr>
        <w:spacing w:after="120" w:line="276" w:lineRule="auto"/>
        <w:ind w:right="51"/>
        <w:jc w:val="both"/>
        <w:rPr>
          <w:rFonts w:ascii="Arial" w:hAnsi="Arial" w:cs="Arial"/>
          <w:sz w:val="22"/>
        </w:rPr>
      </w:pPr>
      <w:r w:rsidRPr="0045129A">
        <w:rPr>
          <w:rFonts w:ascii="Arial" w:hAnsi="Arial" w:cs="Arial"/>
          <w:sz w:val="22"/>
        </w:rPr>
        <w:t xml:space="preserve">La Agencia Nacional de Contratación Pública – Colombia Compra Eficiente expidió </w:t>
      </w:r>
      <w:r w:rsidR="009C469F" w:rsidRPr="0045129A">
        <w:rPr>
          <w:rFonts w:ascii="Arial" w:hAnsi="Arial" w:cs="Arial"/>
          <w:sz w:val="22"/>
        </w:rPr>
        <w:t>la Resolución No. 045 del 14 de febrero de 2020, «Por la cual se actualizan los documentos tipo para los procesos de licitación de obra pública de infraestructura de transporte», desarrollando la versión 2 de los mismos</w:t>
      </w:r>
      <w:r w:rsidR="00A373CC" w:rsidRPr="0045129A">
        <w:rPr>
          <w:rFonts w:ascii="Arial" w:hAnsi="Arial" w:cs="Arial"/>
          <w:sz w:val="22"/>
        </w:rPr>
        <w:t xml:space="preserve">, aplicables a los </w:t>
      </w:r>
      <w:r w:rsidR="00C72059" w:rsidRPr="0045129A">
        <w:rPr>
          <w:rFonts w:ascii="Arial" w:hAnsi="Arial" w:cs="Arial"/>
          <w:sz w:val="22"/>
        </w:rPr>
        <w:t>procedimientos cuyo</w:t>
      </w:r>
      <w:r w:rsidR="00F27E47" w:rsidRPr="0045129A">
        <w:rPr>
          <w:rFonts w:ascii="Arial" w:hAnsi="Arial" w:cs="Arial"/>
          <w:sz w:val="22"/>
        </w:rPr>
        <w:t>s</w:t>
      </w:r>
      <w:r w:rsidR="00C72059" w:rsidRPr="0045129A">
        <w:rPr>
          <w:rFonts w:ascii="Arial" w:hAnsi="Arial" w:cs="Arial"/>
          <w:sz w:val="22"/>
        </w:rPr>
        <w:t xml:space="preserve"> aviso</w:t>
      </w:r>
      <w:r w:rsidR="00F27E47" w:rsidRPr="0045129A">
        <w:rPr>
          <w:rFonts w:ascii="Arial" w:hAnsi="Arial" w:cs="Arial"/>
          <w:sz w:val="22"/>
        </w:rPr>
        <w:t>s</w:t>
      </w:r>
      <w:r w:rsidR="00C72059" w:rsidRPr="0045129A">
        <w:rPr>
          <w:rFonts w:ascii="Arial" w:hAnsi="Arial" w:cs="Arial"/>
          <w:sz w:val="22"/>
        </w:rPr>
        <w:t xml:space="preserve"> de convocatoria </w:t>
      </w:r>
      <w:r w:rsidR="00F27E47" w:rsidRPr="0045129A">
        <w:rPr>
          <w:rFonts w:ascii="Arial" w:hAnsi="Arial" w:cs="Arial"/>
          <w:sz w:val="22"/>
        </w:rPr>
        <w:t>se publiquen a partir del 10 de marzo de 2020.</w:t>
      </w:r>
      <w:r w:rsidR="00C72059" w:rsidRPr="0045129A">
        <w:rPr>
          <w:rFonts w:ascii="Arial" w:hAnsi="Arial" w:cs="Arial"/>
          <w:sz w:val="22"/>
        </w:rPr>
        <w:t xml:space="preserve"> </w:t>
      </w:r>
      <w:r w:rsidR="009C469F" w:rsidRPr="0045129A">
        <w:rPr>
          <w:rFonts w:ascii="Arial" w:hAnsi="Arial" w:cs="Arial"/>
          <w:sz w:val="22"/>
        </w:rPr>
        <w:t xml:space="preserve"> Mas recientemente se expidió</w:t>
      </w:r>
      <w:r w:rsidR="00F27E47" w:rsidRPr="0045129A">
        <w:rPr>
          <w:rFonts w:ascii="Arial" w:hAnsi="Arial" w:cs="Arial"/>
          <w:sz w:val="22"/>
        </w:rPr>
        <w:t xml:space="preserve"> </w:t>
      </w:r>
      <w:r w:rsidRPr="0045129A">
        <w:rPr>
          <w:rFonts w:ascii="Arial" w:hAnsi="Arial" w:cs="Arial"/>
          <w:sz w:val="22"/>
        </w:rPr>
        <w:t>la Resolución No. 240 del 27 de noviembre de 2020,</w:t>
      </w:r>
      <w:r w:rsidR="00F27E47" w:rsidRPr="0045129A">
        <w:rPr>
          <w:rFonts w:ascii="Arial" w:hAnsi="Arial" w:cs="Arial"/>
          <w:sz w:val="22"/>
        </w:rPr>
        <w:t xml:space="preserve"> que nuevamente actualizó los documentos tipo de licitación de obra pública de infraestructura de transporte, implementando la versión 3 de los mismos</w:t>
      </w:r>
      <w:r w:rsidR="007265F3" w:rsidRPr="0045129A">
        <w:rPr>
          <w:rFonts w:ascii="Arial" w:hAnsi="Arial" w:cs="Arial"/>
          <w:sz w:val="22"/>
        </w:rPr>
        <w:t>.</w:t>
      </w:r>
    </w:p>
    <w:p w14:paraId="2D8AE695" w14:textId="790AC0A5" w:rsidR="00410548" w:rsidRPr="0045129A" w:rsidRDefault="00410548" w:rsidP="00410548">
      <w:pPr>
        <w:spacing w:after="120" w:line="276" w:lineRule="auto"/>
        <w:ind w:right="51"/>
        <w:jc w:val="both"/>
        <w:rPr>
          <w:rFonts w:ascii="Arial" w:hAnsi="Arial" w:cs="Arial"/>
          <w:sz w:val="22"/>
        </w:rPr>
      </w:pPr>
      <w:r w:rsidRPr="0045129A">
        <w:rPr>
          <w:rFonts w:ascii="Arial" w:hAnsi="Arial" w:cs="Arial"/>
          <w:sz w:val="22"/>
        </w:rPr>
        <w:t xml:space="preserve"> </w:t>
      </w:r>
      <w:r w:rsidR="007265F3" w:rsidRPr="0045129A">
        <w:rPr>
          <w:rFonts w:ascii="Arial" w:hAnsi="Arial" w:cs="Arial"/>
          <w:sz w:val="22"/>
        </w:rPr>
        <w:tab/>
      </w:r>
      <w:r w:rsidRPr="0045129A">
        <w:rPr>
          <w:rFonts w:ascii="Arial" w:hAnsi="Arial" w:cs="Arial"/>
          <w:sz w:val="22"/>
        </w:rPr>
        <w:t>En el Documento Base adoptado</w:t>
      </w:r>
      <w:r w:rsidR="007265F3" w:rsidRPr="0045129A">
        <w:rPr>
          <w:rFonts w:ascii="Arial" w:hAnsi="Arial" w:cs="Arial"/>
          <w:sz w:val="22"/>
        </w:rPr>
        <w:t xml:space="preserve"> por esta última</w:t>
      </w:r>
      <w:r w:rsidRPr="0045129A">
        <w:rPr>
          <w:rFonts w:ascii="Arial" w:hAnsi="Arial" w:cs="Arial"/>
          <w:sz w:val="22"/>
        </w:rPr>
        <w:t xml:space="preserve"> resolución se creó el numeral «3.5.1 Determinación de los requisitos mínimos de experiencia según la Matriz 1 – Experiencia», en el cual la entidad debe justifica</w:t>
      </w:r>
      <w:r w:rsidR="005A095C" w:rsidRPr="0045129A">
        <w:rPr>
          <w:rFonts w:ascii="Arial" w:hAnsi="Arial" w:cs="Arial"/>
          <w:sz w:val="22"/>
        </w:rPr>
        <w:t>r</w:t>
      </w:r>
      <w:r w:rsidRPr="0045129A">
        <w:rPr>
          <w:rFonts w:ascii="Arial" w:hAnsi="Arial" w:cs="Arial"/>
          <w:sz w:val="22"/>
        </w:rPr>
        <w:t xml:space="preserve">, expresa y suficientemente la complejidad del proyecto, determinando si es de baja, media o alta complejidad, y en función de ello implementar alguna de  las variantes de la «Matriz 1 – Experiencia», ya sea la de proyectos de baja–media, o la </w:t>
      </w:r>
      <w:r w:rsidR="005A095C" w:rsidRPr="0045129A">
        <w:rPr>
          <w:rFonts w:ascii="Arial" w:hAnsi="Arial" w:cs="Arial"/>
          <w:sz w:val="22"/>
        </w:rPr>
        <w:t xml:space="preserve">elaborada </w:t>
      </w:r>
      <w:r w:rsidRPr="0045129A">
        <w:rPr>
          <w:rFonts w:ascii="Arial" w:hAnsi="Arial" w:cs="Arial"/>
          <w:sz w:val="22"/>
        </w:rPr>
        <w:t>para proyectos de alta complejidad técnica. En otras palabras, a partir de la actualización de los documentos tipo de licitación de obra pública de infraestructura de transporte – versión 3 se crean dos Matrices de experiencia: i)</w:t>
      </w:r>
      <w:r w:rsidR="005A095C" w:rsidRPr="0045129A">
        <w:rPr>
          <w:rFonts w:ascii="Arial" w:hAnsi="Arial" w:cs="Arial"/>
          <w:sz w:val="22"/>
        </w:rPr>
        <w:t xml:space="preserve"> </w:t>
      </w:r>
      <w:r w:rsidR="00025B83" w:rsidRPr="0045129A">
        <w:rPr>
          <w:rFonts w:ascii="Arial" w:hAnsi="Arial" w:cs="Arial"/>
          <w:sz w:val="22"/>
        </w:rPr>
        <w:t>para proyectos</w:t>
      </w:r>
      <w:r w:rsidRPr="0045129A">
        <w:rPr>
          <w:rFonts w:ascii="Arial" w:hAnsi="Arial" w:cs="Arial"/>
          <w:sz w:val="22"/>
        </w:rPr>
        <w:t xml:space="preserve"> de baja o media complejidad </w:t>
      </w:r>
      <w:r w:rsidR="002103E2" w:rsidRPr="0045129A">
        <w:rPr>
          <w:rFonts w:ascii="Arial" w:hAnsi="Arial" w:cs="Arial"/>
          <w:sz w:val="22"/>
        </w:rPr>
        <w:t xml:space="preserve">técnica </w:t>
      </w:r>
      <w:r w:rsidRPr="0045129A">
        <w:rPr>
          <w:rFonts w:ascii="Arial" w:hAnsi="Arial" w:cs="Arial"/>
          <w:sz w:val="22"/>
        </w:rPr>
        <w:t>y ii)</w:t>
      </w:r>
      <w:r w:rsidR="005A095C" w:rsidRPr="0045129A">
        <w:rPr>
          <w:rFonts w:ascii="Arial" w:hAnsi="Arial" w:cs="Arial"/>
          <w:sz w:val="22"/>
        </w:rPr>
        <w:t xml:space="preserve"> para</w:t>
      </w:r>
      <w:r w:rsidRPr="0045129A">
        <w:rPr>
          <w:rFonts w:ascii="Arial" w:hAnsi="Arial" w:cs="Arial"/>
          <w:sz w:val="22"/>
        </w:rPr>
        <w:t xml:space="preserve"> proyectos de alta complejidad</w:t>
      </w:r>
      <w:r w:rsidR="002103E2" w:rsidRPr="0045129A">
        <w:rPr>
          <w:rFonts w:ascii="Arial" w:hAnsi="Arial" w:cs="Arial"/>
          <w:sz w:val="22"/>
        </w:rPr>
        <w:t xml:space="preserve"> técnica</w:t>
      </w:r>
      <w:r w:rsidRPr="0045129A">
        <w:rPr>
          <w:rFonts w:ascii="Arial" w:hAnsi="Arial" w:cs="Arial"/>
          <w:sz w:val="22"/>
        </w:rPr>
        <w:t xml:space="preserve">. </w:t>
      </w:r>
    </w:p>
    <w:p w14:paraId="44BC9D06" w14:textId="0A86E224" w:rsidR="00410548" w:rsidRPr="0045129A" w:rsidRDefault="00410548" w:rsidP="00410548">
      <w:pPr>
        <w:spacing w:after="120" w:line="276" w:lineRule="auto"/>
        <w:ind w:right="51"/>
        <w:jc w:val="both"/>
        <w:rPr>
          <w:rFonts w:ascii="Arial" w:hAnsi="Arial" w:cs="Arial"/>
          <w:sz w:val="22"/>
        </w:rPr>
      </w:pPr>
      <w:r w:rsidRPr="0045129A">
        <w:rPr>
          <w:rFonts w:ascii="Arial" w:hAnsi="Arial" w:cs="Arial"/>
          <w:sz w:val="22"/>
        </w:rPr>
        <w:tab/>
        <w:t xml:space="preserve">Sin perjuicio de la implementación de este cambio, el método para determinar los requisitos de experiencia estandarizados a partir de la Matriz 1 sigue siendo el mismo que en las versiones anteriores, con la salvedad de que ahora, antes de proceder </w:t>
      </w:r>
      <w:r w:rsidR="005A095C" w:rsidRPr="0045129A">
        <w:rPr>
          <w:rFonts w:ascii="Arial" w:hAnsi="Arial" w:cs="Arial"/>
          <w:sz w:val="22"/>
        </w:rPr>
        <w:t xml:space="preserve">a </w:t>
      </w:r>
      <w:r w:rsidRPr="0045129A">
        <w:rPr>
          <w:rFonts w:ascii="Arial" w:hAnsi="Arial" w:cs="Arial"/>
          <w:sz w:val="22"/>
        </w:rPr>
        <w:t xml:space="preserve">acotar el requisito a exigirse, la entidad debe determinar </w:t>
      </w:r>
      <w:r w:rsidR="004609C3" w:rsidRPr="0045129A">
        <w:rPr>
          <w:rFonts w:ascii="Arial" w:hAnsi="Arial" w:cs="Arial"/>
          <w:sz w:val="22"/>
        </w:rPr>
        <w:t xml:space="preserve">y justificar </w:t>
      </w:r>
      <w:r w:rsidRPr="0045129A">
        <w:rPr>
          <w:rFonts w:ascii="Arial" w:hAnsi="Arial" w:cs="Arial"/>
          <w:sz w:val="22"/>
        </w:rPr>
        <w:t>si el proyecto es de media</w:t>
      </w:r>
      <w:r w:rsidR="00F94819" w:rsidRPr="0045129A">
        <w:rPr>
          <w:rFonts w:ascii="Arial" w:hAnsi="Arial" w:cs="Arial"/>
          <w:sz w:val="22"/>
        </w:rPr>
        <w:t>-</w:t>
      </w:r>
      <w:r w:rsidRPr="0045129A">
        <w:rPr>
          <w:rFonts w:ascii="Arial" w:hAnsi="Arial" w:cs="Arial"/>
          <w:sz w:val="22"/>
        </w:rPr>
        <w:t xml:space="preserve">baja o alta complejidad </w:t>
      </w:r>
      <w:r w:rsidR="004609C3" w:rsidRPr="0045129A">
        <w:rPr>
          <w:rFonts w:ascii="Arial" w:hAnsi="Arial" w:cs="Arial"/>
          <w:sz w:val="22"/>
        </w:rPr>
        <w:t xml:space="preserve">técnica </w:t>
      </w:r>
      <w:r w:rsidRPr="0045129A">
        <w:rPr>
          <w:rFonts w:ascii="Arial" w:hAnsi="Arial" w:cs="Arial"/>
          <w:sz w:val="22"/>
        </w:rPr>
        <w:t xml:space="preserve">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533965BF" w14:textId="77777777"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5C0143B3" w14:textId="43906934"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a) Establecer si</w:t>
      </w:r>
      <w:r w:rsidR="005A095C" w:rsidRPr="0045129A">
        <w:rPr>
          <w:rFonts w:ascii="Arial" w:hAnsi="Arial" w:cs="Arial"/>
          <w:sz w:val="22"/>
        </w:rPr>
        <w:t xml:space="preserve"> se</w:t>
      </w:r>
      <w:r w:rsidRPr="0045129A">
        <w:rPr>
          <w:rFonts w:ascii="Arial" w:hAnsi="Arial" w:cs="Arial"/>
          <w:sz w:val="22"/>
        </w:rPr>
        <w:t xml:space="preserve"> trata de un proyecto de complejidad baja-media o alta, y en función de ello establecer la Matriz 1 aplicable</w:t>
      </w:r>
      <w:r w:rsidR="005A095C" w:rsidRPr="0045129A">
        <w:rPr>
          <w:rFonts w:ascii="Arial" w:hAnsi="Arial" w:cs="Arial"/>
          <w:sz w:val="22"/>
        </w:rPr>
        <w:t>.</w:t>
      </w:r>
    </w:p>
    <w:p w14:paraId="378F18C6" w14:textId="77777777"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07B6293E" w14:textId="77777777"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 xml:space="preserve">c) Definido el tipo de infraestructura, identificar la </w:t>
      </w:r>
      <w:r w:rsidRPr="0045129A">
        <w:rPr>
          <w:rFonts w:ascii="Arial" w:eastAsia="Calibri" w:hAnsi="Arial" w:cs="Arial"/>
          <w:sz w:val="22"/>
        </w:rPr>
        <w:t>«</w:t>
      </w:r>
      <w:r w:rsidRPr="0045129A">
        <w:rPr>
          <w:rFonts w:ascii="Arial" w:hAnsi="Arial" w:cs="Arial"/>
          <w:sz w:val="22"/>
        </w:rPr>
        <w:t>ACTIVIDAD A CONTRATAR</w:t>
      </w:r>
      <w:r w:rsidRPr="0045129A">
        <w:rPr>
          <w:rFonts w:ascii="Arial" w:eastAsia="Calibri" w:hAnsi="Arial" w:cs="Arial"/>
          <w:sz w:val="22"/>
        </w:rPr>
        <w:t>»</w:t>
      </w:r>
      <w:r w:rsidRPr="0045129A">
        <w:rPr>
          <w:rFonts w:ascii="Arial" w:hAnsi="Arial" w:cs="Arial"/>
          <w:sz w:val="22"/>
        </w:rPr>
        <w:t xml:space="preserve"> acorde con la Matriz 1. </w:t>
      </w:r>
    </w:p>
    <w:p w14:paraId="7258E3AC" w14:textId="77777777"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 xml:space="preserve">c) Identificar el rango en el cual se encuentra el Proceso de Contratación de acuerdo con el presupuesto oficial. </w:t>
      </w:r>
    </w:p>
    <w:p w14:paraId="57232782" w14:textId="77777777" w:rsidR="00410548" w:rsidRPr="0045129A" w:rsidRDefault="00410548" w:rsidP="00410548">
      <w:pPr>
        <w:spacing w:before="120" w:after="120" w:line="276" w:lineRule="auto"/>
        <w:ind w:firstLine="709"/>
        <w:jc w:val="both"/>
        <w:rPr>
          <w:rFonts w:ascii="Arial" w:hAnsi="Arial" w:cs="Arial"/>
          <w:sz w:val="22"/>
        </w:rPr>
      </w:pPr>
      <w:r w:rsidRPr="0045129A">
        <w:rPr>
          <w:rFonts w:ascii="Arial" w:hAnsi="Arial" w:cs="Arial"/>
          <w:sz w:val="22"/>
        </w:rPr>
        <w:t xml:space="preserve">d) Identificar la </w:t>
      </w:r>
      <w:r w:rsidRPr="0045129A">
        <w:rPr>
          <w:rFonts w:ascii="Arial" w:eastAsia="Calibri" w:hAnsi="Arial" w:cs="Arial"/>
          <w:sz w:val="22"/>
        </w:rPr>
        <w:t>«</w:t>
      </w:r>
      <w:r w:rsidRPr="0045129A">
        <w:rPr>
          <w:rFonts w:ascii="Arial" w:hAnsi="Arial" w:cs="Arial"/>
          <w:sz w:val="22"/>
        </w:rPr>
        <w:t>experiencia general</w:t>
      </w:r>
      <w:r w:rsidRPr="0045129A">
        <w:rPr>
          <w:rFonts w:ascii="Arial" w:eastAsia="Calibri" w:hAnsi="Arial" w:cs="Arial"/>
          <w:sz w:val="22"/>
        </w:rPr>
        <w:t>»</w:t>
      </w:r>
      <w:r w:rsidRPr="0045129A">
        <w:rPr>
          <w:rFonts w:ascii="Arial" w:hAnsi="Arial" w:cs="Arial"/>
          <w:sz w:val="22"/>
        </w:rPr>
        <w:t xml:space="preserve"> exigible acorde con la Matriz 1 teniendo en cuenta la actividad a contratar y el rango de la cuantía del Proceso de Contratación. </w:t>
      </w:r>
    </w:p>
    <w:p w14:paraId="28FA9C88" w14:textId="77777777" w:rsidR="00BB070D" w:rsidRPr="0045129A" w:rsidRDefault="00410548" w:rsidP="00410548">
      <w:pPr>
        <w:spacing w:after="120" w:line="276" w:lineRule="auto"/>
        <w:ind w:firstLine="709"/>
        <w:jc w:val="both"/>
        <w:rPr>
          <w:rFonts w:ascii="Arial" w:hAnsi="Arial" w:cs="Arial"/>
          <w:sz w:val="22"/>
        </w:rPr>
      </w:pPr>
      <w:r w:rsidRPr="0045129A">
        <w:rPr>
          <w:rFonts w:ascii="Arial" w:hAnsi="Arial" w:cs="Arial"/>
          <w:sz w:val="22"/>
        </w:rPr>
        <w:t xml:space="preserve">e) Identificar la </w:t>
      </w:r>
      <w:r w:rsidRPr="0045129A">
        <w:rPr>
          <w:rFonts w:ascii="Arial" w:eastAsia="Calibri" w:hAnsi="Arial" w:cs="Arial"/>
          <w:sz w:val="22"/>
        </w:rPr>
        <w:t>«</w:t>
      </w:r>
      <w:r w:rsidRPr="0045129A">
        <w:rPr>
          <w:rFonts w:ascii="Arial" w:hAnsi="Arial" w:cs="Arial"/>
          <w:sz w:val="22"/>
        </w:rPr>
        <w:t>experiencia específica</w:t>
      </w:r>
      <w:r w:rsidRPr="0045129A">
        <w:rPr>
          <w:rFonts w:ascii="Arial" w:eastAsia="Calibri" w:hAnsi="Arial" w:cs="Arial"/>
          <w:sz w:val="22"/>
        </w:rPr>
        <w:t>»</w:t>
      </w:r>
      <w:r w:rsidRPr="0045129A">
        <w:rPr>
          <w:rFonts w:ascii="Arial" w:hAnsi="Arial" w:cs="Arial"/>
          <w:sz w:val="22"/>
        </w:rPr>
        <w:t xml:space="preserve"> exigible y el porcentaje de dimensionamiento que se puede solicitar acorde con la longitud a ejecutar, de acuerdo con la cuantía del proceso de contratación. Cuando en la </w:t>
      </w:r>
      <w:r w:rsidRPr="0045129A">
        <w:rPr>
          <w:rFonts w:ascii="Arial" w:eastAsia="Calibri" w:hAnsi="Arial" w:cs="Arial"/>
          <w:sz w:val="22"/>
        </w:rPr>
        <w:t>«</w:t>
      </w:r>
      <w:r w:rsidRPr="0045129A">
        <w:rPr>
          <w:rFonts w:ascii="Arial" w:hAnsi="Arial" w:cs="Arial"/>
          <w:sz w:val="22"/>
        </w:rPr>
        <w:t>experiencia específica</w:t>
      </w:r>
      <w:r w:rsidRPr="0045129A">
        <w:rPr>
          <w:rFonts w:ascii="Arial" w:eastAsia="Calibri" w:hAnsi="Arial" w:cs="Arial"/>
          <w:sz w:val="22"/>
        </w:rPr>
        <w:t>»</w:t>
      </w:r>
      <w:r w:rsidRPr="0045129A">
        <w:rPr>
          <w:rFonts w:ascii="Arial" w:hAnsi="Arial" w:cs="Arial"/>
          <w:sz w:val="22"/>
        </w:rPr>
        <w:t xml:space="preserve"> se indiquen las siglas </w:t>
      </w:r>
      <w:r w:rsidRPr="0045129A">
        <w:rPr>
          <w:rFonts w:ascii="Arial" w:hAnsi="Arial" w:cs="Arial"/>
          <w:i/>
          <w:iCs/>
          <w:sz w:val="22"/>
        </w:rPr>
        <w:t>N.A</w:t>
      </w:r>
      <w:r w:rsidRPr="0045129A">
        <w:rPr>
          <w:rFonts w:ascii="Arial" w:hAnsi="Arial" w:cs="Arial"/>
          <w:sz w:val="22"/>
        </w:rPr>
        <w:t xml:space="preserve"> significa que la entidad estatal no puede exigir a los proponentes experiencia específica en los procesos de contratación. </w:t>
      </w:r>
    </w:p>
    <w:p w14:paraId="7AAF80F6" w14:textId="010D91F3" w:rsidR="00410548" w:rsidRPr="0045129A" w:rsidRDefault="00AC02B2" w:rsidP="00410548">
      <w:pPr>
        <w:spacing w:after="120" w:line="276" w:lineRule="auto"/>
        <w:ind w:firstLine="709"/>
        <w:jc w:val="both"/>
        <w:rPr>
          <w:rFonts w:ascii="Arial" w:hAnsi="Arial" w:cs="Arial"/>
          <w:sz w:val="22"/>
        </w:rPr>
      </w:pPr>
      <w:r w:rsidRPr="0045129A">
        <w:rPr>
          <w:rFonts w:ascii="Arial" w:hAnsi="Arial" w:cs="Arial"/>
          <w:sz w:val="22"/>
        </w:rPr>
        <w:t xml:space="preserve">f) </w:t>
      </w:r>
      <w:r w:rsidR="00592931" w:rsidRPr="0045129A">
        <w:rPr>
          <w:rFonts w:ascii="Arial" w:hAnsi="Arial" w:cs="Arial"/>
          <w:sz w:val="22"/>
        </w:rPr>
        <w:t xml:space="preserve">Establecidos los requisitos de experiencia exigibles, la entidad deberá consignarlos en los apartados grises entre corchetes del </w:t>
      </w:r>
      <w:r w:rsidR="001232A6" w:rsidRPr="0045129A">
        <w:rPr>
          <w:rFonts w:ascii="Arial" w:hAnsi="Arial" w:cs="Arial"/>
          <w:sz w:val="22"/>
        </w:rPr>
        <w:t xml:space="preserve">literal </w:t>
      </w:r>
      <w:r w:rsidR="00BB070D" w:rsidRPr="0045129A">
        <w:rPr>
          <w:rFonts w:ascii="Arial" w:hAnsi="Arial" w:cs="Arial"/>
          <w:sz w:val="22"/>
        </w:rPr>
        <w:t xml:space="preserve">A del numeral 3.5.2 del Documento Base, </w:t>
      </w:r>
      <w:r w:rsidR="0014664B" w:rsidRPr="0045129A">
        <w:rPr>
          <w:rFonts w:ascii="Arial" w:hAnsi="Arial" w:cs="Arial"/>
          <w:sz w:val="22"/>
        </w:rPr>
        <w:t>para que</w:t>
      </w:r>
      <w:r w:rsidR="00BB070D" w:rsidRPr="0045129A">
        <w:rPr>
          <w:rFonts w:ascii="Arial" w:hAnsi="Arial" w:cs="Arial"/>
          <w:sz w:val="22"/>
        </w:rPr>
        <w:t xml:space="preserve"> los oferentes puedan conocer </w:t>
      </w:r>
      <w:r w:rsidRPr="0045129A">
        <w:rPr>
          <w:rFonts w:ascii="Arial" w:hAnsi="Arial" w:cs="Arial"/>
          <w:sz w:val="22"/>
        </w:rPr>
        <w:t xml:space="preserve">los requisitos de experiencia general y especifica </w:t>
      </w:r>
      <w:r w:rsidR="0014664B" w:rsidRPr="0045129A">
        <w:rPr>
          <w:rFonts w:ascii="Arial" w:hAnsi="Arial" w:cs="Arial"/>
          <w:sz w:val="22"/>
        </w:rPr>
        <w:t xml:space="preserve">exigidos </w:t>
      </w:r>
      <w:r w:rsidRPr="0045129A">
        <w:rPr>
          <w:rFonts w:ascii="Arial" w:hAnsi="Arial" w:cs="Arial"/>
          <w:sz w:val="22"/>
        </w:rPr>
        <w:t>por la entidad.</w:t>
      </w:r>
    </w:p>
    <w:p w14:paraId="39F35C4C" w14:textId="77777777"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 xml:space="preserve"> Varios de los requisitos de experiencia general y especifica contemplados en la Matriz 1 exigen que los contratos que se aporten para acreditarlos den cuenta de la ejecución de cierto porcentaje de dimensionamiento respecto del proyecto ofertado, o un porcentaje del presupuesto oficial del mismo. </w:t>
      </w:r>
    </w:p>
    <w:p w14:paraId="48289E0F" w14:textId="5DC610BF" w:rsidR="00410548" w:rsidRPr="0045129A" w:rsidRDefault="0014664B" w:rsidP="00CE42FC">
      <w:pPr>
        <w:spacing w:before="120" w:after="120" w:line="276" w:lineRule="auto"/>
        <w:ind w:firstLine="709"/>
        <w:jc w:val="both"/>
        <w:rPr>
          <w:rFonts w:ascii="Arial" w:hAnsi="Arial" w:cs="Arial"/>
          <w:sz w:val="22"/>
        </w:rPr>
      </w:pPr>
      <w:r w:rsidRPr="0045129A">
        <w:rPr>
          <w:rFonts w:ascii="Arial" w:hAnsi="Arial" w:cs="Arial"/>
          <w:sz w:val="22"/>
        </w:rPr>
        <w:t>E</w:t>
      </w:r>
      <w:r w:rsidR="00410548" w:rsidRPr="0045129A">
        <w:rPr>
          <w:rFonts w:ascii="Arial" w:hAnsi="Arial" w:cs="Arial"/>
          <w:sz w:val="22"/>
        </w:rPr>
        <w:t>l dimensionamiento</w:t>
      </w:r>
      <w:r w:rsidRPr="0045129A">
        <w:rPr>
          <w:rFonts w:ascii="Arial" w:hAnsi="Arial" w:cs="Arial"/>
          <w:sz w:val="22"/>
        </w:rPr>
        <w:t xml:space="preserve"> supone que </w:t>
      </w:r>
      <w:r w:rsidR="00410548" w:rsidRPr="0045129A">
        <w:rPr>
          <w:rFonts w:ascii="Arial" w:hAnsi="Arial" w:cs="Arial"/>
          <w:sz w:val="22"/>
        </w:rPr>
        <w:t xml:space="preserve">la experiencia a exigirse estará determinada por la longitud </w:t>
      </w:r>
      <w:r w:rsidRPr="0045129A">
        <w:rPr>
          <w:rFonts w:ascii="Arial" w:hAnsi="Arial" w:cs="Arial"/>
          <w:sz w:val="22"/>
        </w:rPr>
        <w:t xml:space="preserve">–u otra magnitud– </w:t>
      </w:r>
      <w:r w:rsidR="00410548" w:rsidRPr="0045129A">
        <w:rPr>
          <w:rFonts w:ascii="Arial" w:hAnsi="Arial" w:cs="Arial"/>
          <w:sz w:val="22"/>
        </w:rPr>
        <w:t>que se pretende intervenir, de tal manera que a quienes estén interesados en participar se le exigirá</w:t>
      </w:r>
      <w:r w:rsidRPr="0045129A">
        <w:rPr>
          <w:rFonts w:ascii="Arial" w:hAnsi="Arial" w:cs="Arial"/>
          <w:sz w:val="22"/>
        </w:rPr>
        <w:t>, por ejemplo,</w:t>
      </w:r>
      <w:r w:rsidR="00410548" w:rsidRPr="0045129A">
        <w:rPr>
          <w:rFonts w:ascii="Arial" w:hAnsi="Arial" w:cs="Arial"/>
          <w:sz w:val="22"/>
        </w:rPr>
        <w:t xml:space="preserve"> acreditar experiencia específica en proyectos en donde hayan intervenido un porcentaje de dicha longitud establecida en kilómetros (km) en la Matriz 1. Del mismo modo, cuando se exijan requisitos en función del porcentaje del presupuesto oficial, el valor de el o los contratos que se aporten deberán igualar o superar la equivalencia del porcentaje exigible expresado en SMMLV.</w:t>
      </w:r>
    </w:p>
    <w:p w14:paraId="24F07828" w14:textId="26F7C474" w:rsidR="00CE42FC" w:rsidRPr="0045129A" w:rsidRDefault="00C14015" w:rsidP="00CE42FC">
      <w:pPr>
        <w:spacing w:after="120" w:line="276" w:lineRule="auto"/>
        <w:ind w:right="51" w:firstLine="708"/>
        <w:jc w:val="both"/>
        <w:rPr>
          <w:rFonts w:ascii="Arial" w:hAnsi="Arial" w:cs="Arial"/>
          <w:sz w:val="22"/>
        </w:rPr>
      </w:pPr>
      <w:r w:rsidRPr="0045129A">
        <w:rPr>
          <w:rFonts w:ascii="Arial" w:hAnsi="Arial" w:cs="Arial"/>
          <w:sz w:val="22"/>
        </w:rPr>
        <w:t>P</w:t>
      </w:r>
      <w:r w:rsidR="0032443C" w:rsidRPr="0045129A">
        <w:rPr>
          <w:rFonts w:ascii="Arial" w:hAnsi="Arial" w:cs="Arial"/>
          <w:sz w:val="22"/>
        </w:rPr>
        <w:t>ara que un proponente pueda habilitarse</w:t>
      </w:r>
      <w:r w:rsidR="00E452BF" w:rsidRPr="0045129A">
        <w:rPr>
          <w:rFonts w:ascii="Arial" w:hAnsi="Arial" w:cs="Arial"/>
          <w:sz w:val="22"/>
        </w:rPr>
        <w:t xml:space="preserve"> en lo referente a la experiencia </w:t>
      </w:r>
      <w:r w:rsidR="00E931D4" w:rsidRPr="0045129A">
        <w:rPr>
          <w:rFonts w:ascii="Arial" w:hAnsi="Arial" w:cs="Arial"/>
          <w:sz w:val="22"/>
        </w:rPr>
        <w:t xml:space="preserve">debe </w:t>
      </w:r>
      <w:r w:rsidR="00804567" w:rsidRPr="0045129A">
        <w:rPr>
          <w:rFonts w:ascii="Arial" w:hAnsi="Arial" w:cs="Arial"/>
          <w:sz w:val="22"/>
        </w:rPr>
        <w:t>demostrar</w:t>
      </w:r>
      <w:r w:rsidR="005C056B" w:rsidRPr="0045129A">
        <w:rPr>
          <w:rFonts w:ascii="Arial" w:hAnsi="Arial" w:cs="Arial"/>
          <w:sz w:val="22"/>
        </w:rPr>
        <w:t xml:space="preserve"> haber ejecutado en los contratos con los que </w:t>
      </w:r>
      <w:r w:rsidR="00820175" w:rsidRPr="0045129A">
        <w:rPr>
          <w:rFonts w:ascii="Arial" w:hAnsi="Arial" w:cs="Arial"/>
          <w:sz w:val="22"/>
        </w:rPr>
        <w:t xml:space="preserve">la </w:t>
      </w:r>
      <w:r w:rsidR="005C056B" w:rsidRPr="0045129A">
        <w:rPr>
          <w:rFonts w:ascii="Arial" w:hAnsi="Arial" w:cs="Arial"/>
          <w:sz w:val="22"/>
        </w:rPr>
        <w:t>acredita</w:t>
      </w:r>
      <w:r w:rsidR="00D95D12" w:rsidRPr="0045129A">
        <w:rPr>
          <w:rFonts w:ascii="Arial" w:hAnsi="Arial" w:cs="Arial"/>
          <w:sz w:val="22"/>
        </w:rPr>
        <w:t>, determinado porcentaje del presupuesto oficial</w:t>
      </w:r>
      <w:r w:rsidR="00820175" w:rsidRPr="0045129A">
        <w:rPr>
          <w:rFonts w:ascii="Arial" w:hAnsi="Arial" w:cs="Arial"/>
          <w:sz w:val="22"/>
        </w:rPr>
        <w:t>, lo</w:t>
      </w:r>
      <w:r w:rsidR="00837CCC" w:rsidRPr="0045129A">
        <w:rPr>
          <w:rFonts w:ascii="Arial" w:hAnsi="Arial" w:cs="Arial"/>
          <w:sz w:val="22"/>
        </w:rPr>
        <w:t xml:space="preserve"> </w:t>
      </w:r>
      <w:r w:rsidR="00820175" w:rsidRPr="0045129A">
        <w:rPr>
          <w:rFonts w:ascii="Arial" w:hAnsi="Arial" w:cs="Arial"/>
          <w:sz w:val="22"/>
        </w:rPr>
        <w:t>cual</w:t>
      </w:r>
      <w:r w:rsidR="0014664B" w:rsidRPr="0045129A">
        <w:rPr>
          <w:rFonts w:ascii="Arial" w:hAnsi="Arial" w:cs="Arial"/>
          <w:sz w:val="22"/>
        </w:rPr>
        <w:t>,</w:t>
      </w:r>
      <w:r w:rsidR="00820175" w:rsidRPr="0045129A">
        <w:rPr>
          <w:rFonts w:ascii="Arial" w:hAnsi="Arial" w:cs="Arial"/>
          <w:sz w:val="22"/>
        </w:rPr>
        <w:t xml:space="preserve"> de conformidad con los literales C y D del numeral 3.5.2 podrá</w:t>
      </w:r>
      <w:r w:rsidR="00837CCC" w:rsidRPr="0045129A">
        <w:rPr>
          <w:rFonts w:ascii="Arial" w:hAnsi="Arial" w:cs="Arial"/>
          <w:sz w:val="22"/>
        </w:rPr>
        <w:t xml:space="preserve"> demostrar</w:t>
      </w:r>
      <w:r w:rsidR="00820175" w:rsidRPr="0045129A">
        <w:rPr>
          <w:rFonts w:ascii="Arial" w:hAnsi="Arial" w:cs="Arial"/>
          <w:sz w:val="22"/>
        </w:rPr>
        <w:t xml:space="preserve"> </w:t>
      </w:r>
      <w:r w:rsidR="00837CCC" w:rsidRPr="0045129A">
        <w:rPr>
          <w:rFonts w:ascii="Arial" w:hAnsi="Arial" w:cs="Arial"/>
          <w:sz w:val="22"/>
        </w:rPr>
        <w:t>con</w:t>
      </w:r>
      <w:r w:rsidR="00CE42FC" w:rsidRPr="0045129A">
        <w:rPr>
          <w:rFonts w:ascii="Arial" w:hAnsi="Arial" w:cs="Arial"/>
          <w:sz w:val="22"/>
        </w:rPr>
        <w:t xml:space="preserve">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w:t>
      </w:r>
      <w:r w:rsidR="00563AE3" w:rsidRPr="0045129A">
        <w:rPr>
          <w:rFonts w:ascii="Arial" w:hAnsi="Arial" w:cs="Arial"/>
          <w:sz w:val="22"/>
        </w:rPr>
        <w:t xml:space="preserve"> establecido en el numeral 3.5.8</w:t>
      </w:r>
      <w:r w:rsidR="00CE42FC" w:rsidRPr="0045129A">
        <w:rPr>
          <w:rFonts w:ascii="Arial" w:hAnsi="Arial" w:cs="Arial"/>
          <w:sz w:val="22"/>
        </w:rPr>
        <w:t>, cuya verificación se hará con base en la sumatoria de los valores totales ejecutados de los contratos que cumplan con los requisitos establecidos en el pliego de condiciones.</w:t>
      </w:r>
      <w:r w:rsidR="00C8663B" w:rsidRPr="0045129A">
        <w:rPr>
          <w:rFonts w:ascii="Arial" w:hAnsi="Arial" w:cs="Arial"/>
          <w:sz w:val="22"/>
        </w:rPr>
        <w:t xml:space="preserve"> </w:t>
      </w:r>
      <w:r w:rsidR="00716AFE" w:rsidRPr="0045129A">
        <w:rPr>
          <w:rFonts w:ascii="Arial" w:hAnsi="Arial" w:cs="Arial"/>
          <w:sz w:val="22"/>
        </w:rPr>
        <w:t>Mediante estos</w:t>
      </w:r>
      <w:r w:rsidR="00C8663B" w:rsidRPr="0045129A">
        <w:rPr>
          <w:rFonts w:ascii="Arial" w:hAnsi="Arial" w:cs="Arial"/>
          <w:sz w:val="22"/>
        </w:rPr>
        <w:t xml:space="preserve"> </w:t>
      </w:r>
      <w:r w:rsidR="00BA115A" w:rsidRPr="0045129A">
        <w:rPr>
          <w:rFonts w:ascii="Arial" w:hAnsi="Arial" w:cs="Arial"/>
          <w:sz w:val="22"/>
        </w:rPr>
        <w:t xml:space="preserve">contratos además deberá </w:t>
      </w:r>
      <w:r w:rsidR="00716AFE" w:rsidRPr="0045129A">
        <w:rPr>
          <w:rFonts w:ascii="Arial" w:hAnsi="Arial" w:cs="Arial"/>
          <w:sz w:val="22"/>
        </w:rPr>
        <w:t>demostrarse</w:t>
      </w:r>
      <w:r w:rsidR="00FD49BB" w:rsidRPr="0045129A">
        <w:rPr>
          <w:rFonts w:ascii="Arial" w:hAnsi="Arial" w:cs="Arial"/>
          <w:sz w:val="22"/>
        </w:rPr>
        <w:t xml:space="preserve"> que la experiencia satisface</w:t>
      </w:r>
      <w:r w:rsidR="00BA115A" w:rsidRPr="0045129A">
        <w:rPr>
          <w:rFonts w:ascii="Arial" w:hAnsi="Arial" w:cs="Arial"/>
          <w:sz w:val="22"/>
        </w:rPr>
        <w:t xml:space="preserve"> las </w:t>
      </w:r>
      <w:r w:rsidR="00903CAC" w:rsidRPr="0045129A">
        <w:rPr>
          <w:rFonts w:ascii="Arial" w:hAnsi="Arial" w:cs="Arial"/>
          <w:sz w:val="22"/>
        </w:rPr>
        <w:t>particularidades del requisito de experiencia determinad</w:t>
      </w:r>
      <w:r w:rsidR="00FD49BB" w:rsidRPr="0045129A">
        <w:rPr>
          <w:rFonts w:ascii="Arial" w:hAnsi="Arial" w:cs="Arial"/>
          <w:sz w:val="22"/>
        </w:rPr>
        <w:t>a</w:t>
      </w:r>
      <w:r w:rsidR="00903CAC" w:rsidRPr="0045129A">
        <w:rPr>
          <w:rFonts w:ascii="Arial" w:hAnsi="Arial" w:cs="Arial"/>
          <w:sz w:val="22"/>
        </w:rPr>
        <w:t>s por la Matriz 1 y el numeral 3.5.1 del Documento Base.</w:t>
      </w:r>
      <w:r w:rsidR="00CE42FC" w:rsidRPr="0045129A">
        <w:rPr>
          <w:rFonts w:ascii="Arial" w:hAnsi="Arial" w:cs="Arial"/>
          <w:sz w:val="22"/>
        </w:rPr>
        <w:t xml:space="preserve"> </w:t>
      </w:r>
    </w:p>
    <w:p w14:paraId="383E68BA" w14:textId="1056E1BB" w:rsidR="00CE42FC" w:rsidRPr="0045129A" w:rsidRDefault="00CE42FC" w:rsidP="00CE42FC">
      <w:pPr>
        <w:spacing w:after="120" w:line="276" w:lineRule="auto"/>
        <w:ind w:right="51" w:firstLine="708"/>
        <w:jc w:val="both"/>
        <w:rPr>
          <w:rFonts w:ascii="Arial" w:hAnsi="Arial" w:cs="Arial"/>
          <w:sz w:val="22"/>
        </w:rPr>
      </w:pPr>
      <w:r w:rsidRPr="0045129A">
        <w:rPr>
          <w:rFonts w:ascii="Arial" w:hAnsi="Arial" w:cs="Arial"/>
          <w:sz w:val="22"/>
        </w:rPr>
        <w:t xml:space="preserve">Respecto de cada uno de estos contratos, conforme </w:t>
      </w:r>
      <w:r w:rsidR="0014664B" w:rsidRPr="0045129A">
        <w:rPr>
          <w:rFonts w:ascii="Arial" w:hAnsi="Arial" w:cs="Arial"/>
          <w:sz w:val="22"/>
        </w:rPr>
        <w:t xml:space="preserve">lo </w:t>
      </w:r>
      <w:r w:rsidRPr="0045129A">
        <w:rPr>
          <w:rFonts w:ascii="Arial" w:hAnsi="Arial" w:cs="Arial"/>
          <w:sz w:val="22"/>
        </w:rPr>
        <w:t>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w:t>
      </w:r>
      <w:r w:rsidRPr="0045129A">
        <w:rPr>
          <w:rStyle w:val="FootnoteReference"/>
          <w:rFonts w:ascii="Arial" w:hAnsi="Arial" w:cs="Arial"/>
          <w:sz w:val="22"/>
        </w:rPr>
        <w:footnoteReference w:id="3"/>
      </w:r>
      <w:r w:rsidRPr="0045129A">
        <w:rPr>
          <w:rFonts w:ascii="Arial" w:hAnsi="Arial" w:cs="Arial"/>
          <w:sz w:val="22"/>
        </w:rPr>
        <w:t xml:space="preserve">. Si bien de conformidad con el artículo 6 de la Ley 1150 de 2007 el requisito habilitante de experiencia debe ser acreditado mediante el RUP, en la medida que este no registra toda la información relacionada en el numeral 3.5.5, los proponentes deberán recurrir a los documentos </w:t>
      </w:r>
      <w:r w:rsidR="0014664B" w:rsidRPr="0045129A">
        <w:rPr>
          <w:rFonts w:ascii="Arial" w:hAnsi="Arial" w:cs="Arial"/>
          <w:sz w:val="22"/>
        </w:rPr>
        <w:t xml:space="preserve">del numeral </w:t>
      </w:r>
      <w:r w:rsidRPr="0045129A">
        <w:rPr>
          <w:rFonts w:ascii="Arial" w:hAnsi="Arial" w:cs="Arial"/>
          <w:sz w:val="22"/>
        </w:rPr>
        <w:t>3.5.6 para acreditar dicha información</w:t>
      </w:r>
      <w:r w:rsidR="003E148B" w:rsidRPr="0045129A">
        <w:rPr>
          <w:rStyle w:val="FootnoteReference"/>
          <w:rFonts w:ascii="Arial" w:hAnsi="Arial" w:cs="Arial"/>
          <w:sz w:val="22"/>
        </w:rPr>
        <w:footnoteReference w:id="4"/>
      </w:r>
      <w:r w:rsidRPr="0045129A">
        <w:rPr>
          <w:rFonts w:ascii="Arial" w:hAnsi="Arial" w:cs="Arial"/>
          <w:sz w:val="22"/>
        </w:rPr>
        <w:t>.</w:t>
      </w:r>
    </w:p>
    <w:p w14:paraId="701E7FFF" w14:textId="739E23A4" w:rsidR="003D77AA" w:rsidRPr="0045129A" w:rsidRDefault="0031525B" w:rsidP="00B73468">
      <w:pPr>
        <w:spacing w:after="120" w:line="276" w:lineRule="auto"/>
        <w:ind w:right="51" w:firstLine="708"/>
        <w:jc w:val="both"/>
        <w:rPr>
          <w:rFonts w:ascii="Arial" w:hAnsi="Arial" w:cs="Arial"/>
          <w:sz w:val="22"/>
        </w:rPr>
      </w:pPr>
      <w:r w:rsidRPr="0045129A">
        <w:rPr>
          <w:rFonts w:ascii="Arial" w:hAnsi="Arial" w:cs="Arial"/>
          <w:sz w:val="22"/>
        </w:rPr>
        <w:t>Conforme a lo anterior,</w:t>
      </w:r>
      <w:r w:rsidR="00910D83" w:rsidRPr="0045129A">
        <w:rPr>
          <w:rFonts w:ascii="Arial" w:hAnsi="Arial" w:cs="Arial"/>
          <w:sz w:val="22"/>
        </w:rPr>
        <w:t xml:space="preserve"> la Matriz 1 propende por la estandarización de los requisitos habilitantes</w:t>
      </w:r>
      <w:r w:rsidR="000C5695" w:rsidRPr="0045129A">
        <w:rPr>
          <w:rFonts w:ascii="Arial" w:hAnsi="Arial" w:cs="Arial"/>
          <w:sz w:val="22"/>
        </w:rPr>
        <w:t xml:space="preserve">, para lo cual establece unos requisitos de experiencia general para cada </w:t>
      </w:r>
      <w:r w:rsidR="00FD5B5F" w:rsidRPr="0045129A">
        <w:rPr>
          <w:rFonts w:ascii="Arial" w:hAnsi="Arial" w:cs="Arial"/>
          <w:sz w:val="22"/>
        </w:rPr>
        <w:t>una</w:t>
      </w:r>
      <w:r w:rsidR="000C5695" w:rsidRPr="0045129A">
        <w:rPr>
          <w:rFonts w:ascii="Arial" w:hAnsi="Arial" w:cs="Arial"/>
          <w:sz w:val="22"/>
        </w:rPr>
        <w:t xml:space="preserve"> de l</w:t>
      </w:r>
      <w:r w:rsidR="00A25BD0" w:rsidRPr="0045129A">
        <w:rPr>
          <w:rFonts w:ascii="Arial" w:hAnsi="Arial" w:cs="Arial"/>
          <w:sz w:val="22"/>
        </w:rPr>
        <w:t xml:space="preserve">as actividades que contempla, </w:t>
      </w:r>
      <w:r w:rsidR="00B73468" w:rsidRPr="0045129A">
        <w:rPr>
          <w:rFonts w:ascii="Arial" w:hAnsi="Arial" w:cs="Arial"/>
          <w:sz w:val="22"/>
        </w:rPr>
        <w:t>y</w:t>
      </w:r>
      <w:r w:rsidR="00A25BD0" w:rsidRPr="0045129A">
        <w:rPr>
          <w:rFonts w:ascii="Arial" w:hAnsi="Arial" w:cs="Arial"/>
          <w:sz w:val="22"/>
        </w:rPr>
        <w:t xml:space="preserve"> unos requisitos de experiencia espec</w:t>
      </w:r>
      <w:r w:rsidR="00F94819" w:rsidRPr="0045129A">
        <w:rPr>
          <w:rFonts w:ascii="Arial" w:hAnsi="Arial" w:cs="Arial"/>
          <w:sz w:val="22"/>
        </w:rPr>
        <w:t>í</w:t>
      </w:r>
      <w:r w:rsidR="00A25BD0" w:rsidRPr="0045129A">
        <w:rPr>
          <w:rFonts w:ascii="Arial" w:hAnsi="Arial" w:cs="Arial"/>
          <w:sz w:val="22"/>
        </w:rPr>
        <w:t>fica determinables a partir del monto del presupuesto oficial de proceso</w:t>
      </w:r>
      <w:r w:rsidRPr="0045129A">
        <w:rPr>
          <w:rFonts w:ascii="Arial" w:hAnsi="Arial" w:cs="Arial"/>
          <w:sz w:val="22"/>
        </w:rPr>
        <w:t xml:space="preserve"> de contratación y el alcance físico de la obra</w:t>
      </w:r>
      <w:r w:rsidR="00DF5764" w:rsidRPr="0045129A">
        <w:rPr>
          <w:rFonts w:ascii="Arial" w:hAnsi="Arial" w:cs="Arial"/>
          <w:sz w:val="22"/>
        </w:rPr>
        <w:t>. Al respecto, se pone de presente que los requisitos de experi</w:t>
      </w:r>
      <w:r w:rsidR="00826866" w:rsidRPr="0045129A">
        <w:rPr>
          <w:rFonts w:ascii="Arial" w:hAnsi="Arial" w:cs="Arial"/>
          <w:sz w:val="22"/>
        </w:rPr>
        <w:t>encia establecidos por la Matriz 1, son inalterables y de obligatoria observancia para las entidades</w:t>
      </w:r>
      <w:r w:rsidR="00B773D6" w:rsidRPr="0045129A">
        <w:rPr>
          <w:rFonts w:ascii="Arial" w:hAnsi="Arial" w:cs="Arial"/>
          <w:sz w:val="22"/>
        </w:rPr>
        <w:t xml:space="preserve">, por lo que estas, en principio, no pueden exigir </w:t>
      </w:r>
      <w:r w:rsidR="00D23987" w:rsidRPr="0045129A">
        <w:rPr>
          <w:rFonts w:ascii="Arial" w:hAnsi="Arial" w:cs="Arial"/>
          <w:sz w:val="22"/>
        </w:rPr>
        <w:t xml:space="preserve">requisitos de </w:t>
      </w:r>
      <w:r w:rsidR="00B773D6" w:rsidRPr="0045129A">
        <w:rPr>
          <w:rFonts w:ascii="Arial" w:hAnsi="Arial" w:cs="Arial"/>
          <w:sz w:val="22"/>
        </w:rPr>
        <w:t>experiencia</w:t>
      </w:r>
      <w:r w:rsidR="00D23987" w:rsidRPr="0045129A">
        <w:rPr>
          <w:rFonts w:ascii="Arial" w:hAnsi="Arial" w:cs="Arial"/>
          <w:sz w:val="22"/>
        </w:rPr>
        <w:t xml:space="preserve"> distintos a los que surgen de </w:t>
      </w:r>
      <w:r w:rsidR="00B73468" w:rsidRPr="0045129A">
        <w:rPr>
          <w:rFonts w:ascii="Arial" w:hAnsi="Arial" w:cs="Arial"/>
          <w:sz w:val="22"/>
        </w:rPr>
        <w:t>la</w:t>
      </w:r>
      <w:r w:rsidR="000D39F0" w:rsidRPr="0045129A">
        <w:rPr>
          <w:rFonts w:ascii="Arial" w:hAnsi="Arial" w:cs="Arial"/>
          <w:sz w:val="22"/>
        </w:rPr>
        <w:t xml:space="preserve"> aplicación</w:t>
      </w:r>
      <w:r w:rsidR="00B73468" w:rsidRPr="0045129A">
        <w:rPr>
          <w:rFonts w:ascii="Arial" w:hAnsi="Arial" w:cs="Arial"/>
          <w:sz w:val="22"/>
        </w:rPr>
        <w:t xml:space="preserve"> de la </w:t>
      </w:r>
      <w:r w:rsidR="00B51546" w:rsidRPr="0045129A">
        <w:rPr>
          <w:rFonts w:ascii="Arial" w:hAnsi="Arial" w:cs="Arial"/>
          <w:sz w:val="22"/>
        </w:rPr>
        <w:t>m</w:t>
      </w:r>
      <w:r w:rsidR="00B73468" w:rsidRPr="0045129A">
        <w:rPr>
          <w:rFonts w:ascii="Arial" w:hAnsi="Arial" w:cs="Arial"/>
          <w:sz w:val="22"/>
        </w:rPr>
        <w:t>atriz</w:t>
      </w:r>
      <w:r w:rsidR="000D39F0" w:rsidRPr="0045129A">
        <w:rPr>
          <w:rStyle w:val="FootnoteReference"/>
          <w:rFonts w:ascii="Arial" w:hAnsi="Arial" w:cs="Arial"/>
          <w:sz w:val="22"/>
        </w:rPr>
        <w:footnoteReference w:id="5"/>
      </w:r>
      <w:r w:rsidR="00B51546" w:rsidRPr="0045129A">
        <w:rPr>
          <w:rFonts w:ascii="Arial" w:hAnsi="Arial" w:cs="Arial"/>
          <w:sz w:val="22"/>
        </w:rPr>
        <w:t>.</w:t>
      </w:r>
      <w:r w:rsidR="00B773D6" w:rsidRPr="0045129A">
        <w:rPr>
          <w:rFonts w:ascii="Arial" w:hAnsi="Arial" w:cs="Arial"/>
          <w:sz w:val="22"/>
        </w:rPr>
        <w:t xml:space="preserve"> </w:t>
      </w:r>
    </w:p>
    <w:p w14:paraId="1C1B184B" w14:textId="727DAFE4" w:rsidR="00980F03" w:rsidRPr="0045129A" w:rsidRDefault="00980F03" w:rsidP="00B73468">
      <w:pPr>
        <w:spacing w:after="120" w:line="276" w:lineRule="auto"/>
        <w:ind w:right="51" w:firstLine="708"/>
        <w:jc w:val="both"/>
        <w:rPr>
          <w:rFonts w:ascii="Arial" w:hAnsi="Arial" w:cs="Arial"/>
          <w:sz w:val="22"/>
        </w:rPr>
      </w:pPr>
      <w:r w:rsidRPr="0045129A">
        <w:rPr>
          <w:rFonts w:ascii="Arial" w:hAnsi="Arial" w:cs="Arial"/>
          <w:sz w:val="22"/>
        </w:rPr>
        <w:t>Ahora bien, el grueso de los requisitos de experiencia general contemplados por la Matr</w:t>
      </w:r>
      <w:r w:rsidR="00805972" w:rsidRPr="0045129A">
        <w:rPr>
          <w:rFonts w:ascii="Arial" w:hAnsi="Arial" w:cs="Arial"/>
          <w:sz w:val="22"/>
        </w:rPr>
        <w:t xml:space="preserve">iz </w:t>
      </w:r>
      <w:r w:rsidR="00ED1637" w:rsidRPr="0045129A">
        <w:rPr>
          <w:rFonts w:ascii="Arial" w:hAnsi="Arial" w:cs="Arial"/>
          <w:sz w:val="22"/>
        </w:rPr>
        <w:t>1 consisten en exigir del proponente haber ejecutado determinadas actividades</w:t>
      </w:r>
      <w:r w:rsidR="00EF65A4" w:rsidRPr="0045129A">
        <w:rPr>
          <w:rFonts w:ascii="Arial" w:hAnsi="Arial" w:cs="Arial"/>
          <w:sz w:val="22"/>
        </w:rPr>
        <w:t xml:space="preserve"> respecto de un tipo espec</w:t>
      </w:r>
      <w:r w:rsidR="00F94819" w:rsidRPr="0045129A">
        <w:rPr>
          <w:rFonts w:ascii="Arial" w:hAnsi="Arial" w:cs="Arial"/>
          <w:sz w:val="22"/>
        </w:rPr>
        <w:t>í</w:t>
      </w:r>
      <w:r w:rsidR="00EF65A4" w:rsidRPr="0045129A">
        <w:rPr>
          <w:rFonts w:ascii="Arial" w:hAnsi="Arial" w:cs="Arial"/>
          <w:sz w:val="22"/>
        </w:rPr>
        <w:t>fico de infraestructura. Así, por ejemplo, la Matriz 1 para proyectos de complejidad media–baja</w:t>
      </w:r>
      <w:r w:rsidR="00052F79" w:rsidRPr="0045129A">
        <w:rPr>
          <w:rFonts w:ascii="Arial" w:hAnsi="Arial" w:cs="Arial"/>
          <w:sz w:val="22"/>
        </w:rPr>
        <w:t>, adoptada por la Resolución No. 240 de 2020, establece como requisito de experiencia general</w:t>
      </w:r>
      <w:r w:rsidR="00934904" w:rsidRPr="0045129A">
        <w:rPr>
          <w:rFonts w:ascii="Arial" w:hAnsi="Arial" w:cs="Arial"/>
          <w:sz w:val="22"/>
        </w:rPr>
        <w:t xml:space="preserve"> </w:t>
      </w:r>
      <w:r w:rsidR="005A145F" w:rsidRPr="0045129A">
        <w:rPr>
          <w:rFonts w:ascii="Arial" w:hAnsi="Arial" w:cs="Arial"/>
          <w:sz w:val="22"/>
        </w:rPr>
        <w:t>«CONSTRUCCIÓN O MEJORAMIENTO EN PAVIMENTO ASFALTICO O CONCRETO HIDRÁULICO DE VÍAS PRIMARIAS O SECUNDARIAS O VIAS URBANAS O PISTAS DE AEROPUERTOS</w:t>
      </w:r>
      <w:r w:rsidR="004D5C61" w:rsidRPr="0045129A">
        <w:rPr>
          <w:rFonts w:ascii="Arial" w:hAnsi="Arial" w:cs="Arial"/>
          <w:sz w:val="22"/>
        </w:rPr>
        <w:t>»,</w:t>
      </w:r>
      <w:r w:rsidR="00934904" w:rsidRPr="0045129A">
        <w:rPr>
          <w:rFonts w:ascii="Arial" w:hAnsi="Arial" w:cs="Arial"/>
          <w:sz w:val="22"/>
        </w:rPr>
        <w:t xml:space="preserve"> para la actividad «1.2 PROYECTOS DE MEJORAMIENTO DE VÍAS»–primarias o secundarias–. </w:t>
      </w:r>
      <w:r w:rsidR="00F94819" w:rsidRPr="0045129A">
        <w:rPr>
          <w:rFonts w:ascii="Arial" w:hAnsi="Arial" w:cs="Arial"/>
          <w:sz w:val="22"/>
        </w:rPr>
        <w:t xml:space="preserve">Aquel </w:t>
      </w:r>
      <w:r w:rsidR="00934904" w:rsidRPr="0045129A">
        <w:rPr>
          <w:rFonts w:ascii="Arial" w:hAnsi="Arial" w:cs="Arial"/>
          <w:sz w:val="22"/>
        </w:rPr>
        <w:t xml:space="preserve">será el requisito de experiencia general que deberá consignar –sin alteraciones– en </w:t>
      </w:r>
      <w:r w:rsidR="00176214" w:rsidRPr="0045129A">
        <w:rPr>
          <w:rFonts w:ascii="Arial" w:hAnsi="Arial" w:cs="Arial"/>
          <w:sz w:val="22"/>
        </w:rPr>
        <w:t>el literal A del numeral 3.5.2 del Docu</w:t>
      </w:r>
      <w:r w:rsidR="00993111" w:rsidRPr="0045129A">
        <w:rPr>
          <w:rFonts w:ascii="Arial" w:hAnsi="Arial" w:cs="Arial"/>
          <w:sz w:val="22"/>
        </w:rPr>
        <w:t>mento B</w:t>
      </w:r>
      <w:r w:rsidR="00F15BDF" w:rsidRPr="0045129A">
        <w:rPr>
          <w:rFonts w:ascii="Arial" w:hAnsi="Arial" w:cs="Arial"/>
          <w:sz w:val="22"/>
        </w:rPr>
        <w:t xml:space="preserve">ase </w:t>
      </w:r>
      <w:r w:rsidR="002F2C29" w:rsidRPr="0045129A">
        <w:rPr>
          <w:rFonts w:ascii="Arial" w:hAnsi="Arial" w:cs="Arial"/>
          <w:sz w:val="22"/>
        </w:rPr>
        <w:t>junto con la experiencia espec</w:t>
      </w:r>
      <w:r w:rsidR="00F94819" w:rsidRPr="0045129A">
        <w:rPr>
          <w:rFonts w:ascii="Arial" w:hAnsi="Arial" w:cs="Arial"/>
          <w:sz w:val="22"/>
        </w:rPr>
        <w:t>í</w:t>
      </w:r>
      <w:r w:rsidR="002F2C29" w:rsidRPr="0045129A">
        <w:rPr>
          <w:rFonts w:ascii="Arial" w:hAnsi="Arial" w:cs="Arial"/>
          <w:sz w:val="22"/>
        </w:rPr>
        <w:t xml:space="preserve">fica. </w:t>
      </w:r>
    </w:p>
    <w:p w14:paraId="30A5379A" w14:textId="30114FCE" w:rsidR="00FE3CA0" w:rsidRPr="0045129A" w:rsidRDefault="00FE3CA0" w:rsidP="00B73468">
      <w:pPr>
        <w:spacing w:after="120" w:line="276" w:lineRule="auto"/>
        <w:ind w:right="51" w:firstLine="708"/>
        <w:jc w:val="both"/>
        <w:rPr>
          <w:rFonts w:ascii="Arial" w:hAnsi="Arial" w:cs="Arial"/>
          <w:sz w:val="22"/>
        </w:rPr>
      </w:pPr>
      <w:r w:rsidRPr="0045129A">
        <w:rPr>
          <w:rFonts w:ascii="Arial" w:hAnsi="Arial" w:cs="Arial"/>
          <w:sz w:val="22"/>
        </w:rPr>
        <w:t xml:space="preserve">Ahora bien, </w:t>
      </w:r>
      <w:r w:rsidR="00393348" w:rsidRPr="0045129A">
        <w:rPr>
          <w:rFonts w:ascii="Arial" w:hAnsi="Arial" w:cs="Arial"/>
          <w:sz w:val="22"/>
        </w:rPr>
        <w:t>en cuanto a la actividad de mejoramiento establecida en el anterior requisito de experiencia general, así como en otros de la Matriz 1, resulta indispensable tener</w:t>
      </w:r>
      <w:r w:rsidR="008745B5" w:rsidRPr="0045129A">
        <w:rPr>
          <w:rFonts w:ascii="Arial" w:hAnsi="Arial" w:cs="Arial"/>
          <w:sz w:val="22"/>
        </w:rPr>
        <w:t xml:space="preserve"> en cuenta lo explicado en el numeral 2.1 del</w:t>
      </w:r>
      <w:r w:rsidR="00E9665C" w:rsidRPr="0045129A">
        <w:rPr>
          <w:rFonts w:ascii="Arial" w:hAnsi="Arial" w:cs="Arial"/>
          <w:sz w:val="22"/>
        </w:rPr>
        <w:t xml:space="preserve"> presente concepto. La interpretación de </w:t>
      </w:r>
      <w:r w:rsidR="000767C8" w:rsidRPr="0045129A">
        <w:rPr>
          <w:rFonts w:ascii="Arial" w:hAnsi="Arial" w:cs="Arial"/>
          <w:sz w:val="22"/>
        </w:rPr>
        <w:t>lo que se considera mejoramiento a efectos de</w:t>
      </w:r>
      <w:r w:rsidR="00046A76" w:rsidRPr="0045129A">
        <w:rPr>
          <w:rFonts w:ascii="Arial" w:hAnsi="Arial" w:cs="Arial"/>
          <w:sz w:val="22"/>
        </w:rPr>
        <w:t xml:space="preserve"> cumplir con estos requisitos de experiencia, se encuentra determinada</w:t>
      </w:r>
      <w:r w:rsidR="00671553" w:rsidRPr="0045129A">
        <w:rPr>
          <w:rFonts w:ascii="Arial" w:hAnsi="Arial" w:cs="Arial"/>
          <w:sz w:val="22"/>
        </w:rPr>
        <w:t xml:space="preserve"> tanto por el numeral 2.</w:t>
      </w:r>
      <w:r w:rsidR="00651D6B" w:rsidRPr="0045129A">
        <w:rPr>
          <w:rFonts w:ascii="Arial" w:hAnsi="Arial" w:cs="Arial"/>
          <w:sz w:val="22"/>
        </w:rPr>
        <w:t xml:space="preserve">70 del Anexo 3, como </w:t>
      </w:r>
      <w:r w:rsidR="002B08B6" w:rsidRPr="0045129A">
        <w:rPr>
          <w:rFonts w:ascii="Arial" w:hAnsi="Arial" w:cs="Arial"/>
          <w:sz w:val="22"/>
        </w:rPr>
        <w:t>por definición del artículo 12 de la Ley 1682 de 2013</w:t>
      </w:r>
      <w:r w:rsidR="009732C2" w:rsidRPr="0045129A">
        <w:rPr>
          <w:rFonts w:ascii="Arial" w:hAnsi="Arial" w:cs="Arial"/>
          <w:sz w:val="22"/>
        </w:rPr>
        <w:t xml:space="preserve"> y el artículo 1 del Decreto 769 de </w:t>
      </w:r>
      <w:r w:rsidR="00F34A97" w:rsidRPr="0045129A">
        <w:rPr>
          <w:rFonts w:ascii="Arial" w:hAnsi="Arial" w:cs="Arial"/>
          <w:sz w:val="22"/>
        </w:rPr>
        <w:t xml:space="preserve">2014, compilado en el Decreto 1076 de 2015. </w:t>
      </w:r>
      <w:r w:rsidR="00F9457E" w:rsidRPr="0045129A">
        <w:rPr>
          <w:rFonts w:ascii="Arial" w:hAnsi="Arial" w:cs="Arial"/>
          <w:sz w:val="22"/>
        </w:rPr>
        <w:t>En ese sentido, cuando un requisito de experiencia contempla la actividad de mejoramiento</w:t>
      </w:r>
      <w:r w:rsidR="002209C5" w:rsidRPr="0045129A">
        <w:rPr>
          <w:rFonts w:ascii="Arial" w:hAnsi="Arial" w:cs="Arial"/>
          <w:sz w:val="22"/>
        </w:rPr>
        <w:t>, debe entenderse que se refiere a cambios en la infraestructura de transporte existentes concretados a partir d</w:t>
      </w:r>
      <w:r w:rsidR="0025609A" w:rsidRPr="0045129A">
        <w:rPr>
          <w:rFonts w:ascii="Arial" w:hAnsi="Arial" w:cs="Arial"/>
          <w:sz w:val="22"/>
        </w:rPr>
        <w:t xml:space="preserve">el desarrollo de las actividades enlistadas en </w:t>
      </w:r>
      <w:r w:rsidR="00856045" w:rsidRPr="0045129A">
        <w:rPr>
          <w:rFonts w:ascii="Arial" w:hAnsi="Arial" w:cs="Arial"/>
          <w:sz w:val="22"/>
        </w:rPr>
        <w:t>el Decreto 1076 de 2015</w:t>
      </w:r>
      <w:r w:rsidR="00651D6B" w:rsidRPr="0045129A">
        <w:rPr>
          <w:rFonts w:ascii="Arial" w:hAnsi="Arial" w:cs="Arial"/>
          <w:sz w:val="22"/>
        </w:rPr>
        <w:t xml:space="preserve">, bastando la acreditación de alguna de las actividades referidas para que </w:t>
      </w:r>
      <w:r w:rsidR="002666FA" w:rsidRPr="0045129A">
        <w:rPr>
          <w:rFonts w:ascii="Arial" w:hAnsi="Arial" w:cs="Arial"/>
          <w:sz w:val="22"/>
        </w:rPr>
        <w:t>establecer que se tiene experiencia en mejoramiento.</w:t>
      </w:r>
    </w:p>
    <w:p w14:paraId="109F5487" w14:textId="73DBCAE3" w:rsidR="00930A48" w:rsidRPr="0045129A" w:rsidRDefault="00856045" w:rsidP="00930A48">
      <w:pPr>
        <w:spacing w:after="120" w:line="276" w:lineRule="auto"/>
        <w:ind w:firstLine="709"/>
        <w:jc w:val="both"/>
        <w:rPr>
          <w:rStyle w:val="Emphasis"/>
          <w:rFonts w:ascii="Arial" w:hAnsi="Arial" w:cs="Arial"/>
          <w:i w:val="0"/>
          <w:iCs w:val="0"/>
          <w:sz w:val="22"/>
        </w:rPr>
      </w:pPr>
      <w:r w:rsidRPr="0045129A">
        <w:rPr>
          <w:rFonts w:ascii="Arial" w:hAnsi="Arial" w:cs="Arial"/>
          <w:sz w:val="22"/>
        </w:rPr>
        <w:t xml:space="preserve">Lo anterior supone </w:t>
      </w:r>
      <w:r w:rsidR="00B77A7E" w:rsidRPr="0045129A">
        <w:rPr>
          <w:rFonts w:ascii="Arial" w:hAnsi="Arial" w:cs="Arial"/>
          <w:sz w:val="22"/>
        </w:rPr>
        <w:t>que</w:t>
      </w:r>
      <w:r w:rsidR="00432F59" w:rsidRPr="0045129A">
        <w:rPr>
          <w:rFonts w:ascii="Arial" w:hAnsi="Arial" w:cs="Arial"/>
          <w:sz w:val="22"/>
        </w:rPr>
        <w:t>,</w:t>
      </w:r>
      <w:r w:rsidR="00B77A7E" w:rsidRPr="0045129A">
        <w:rPr>
          <w:rFonts w:ascii="Arial" w:hAnsi="Arial" w:cs="Arial"/>
          <w:sz w:val="22"/>
        </w:rPr>
        <w:t xml:space="preserve"> para establecer</w:t>
      </w:r>
      <w:r w:rsidR="00DC7365" w:rsidRPr="0045129A">
        <w:rPr>
          <w:rFonts w:ascii="Arial" w:hAnsi="Arial" w:cs="Arial"/>
          <w:sz w:val="22"/>
        </w:rPr>
        <w:t xml:space="preserve"> si un contrato aportado por un proponente </w:t>
      </w:r>
      <w:r w:rsidR="00432F59" w:rsidRPr="0045129A">
        <w:rPr>
          <w:rFonts w:ascii="Arial" w:hAnsi="Arial" w:cs="Arial"/>
          <w:sz w:val="22"/>
        </w:rPr>
        <w:t>es válido para acreditar que el mismo tiene experiencia en mejoramiento,</w:t>
      </w:r>
      <w:r w:rsidR="0017608E" w:rsidRPr="0045129A">
        <w:rPr>
          <w:rFonts w:ascii="Arial" w:hAnsi="Arial" w:cs="Arial"/>
          <w:sz w:val="22"/>
        </w:rPr>
        <w:t xml:space="preserve"> de cara al cumplimiento de los requisitos de experiencia general que contemplan dicha actividad, </w:t>
      </w:r>
      <w:r w:rsidR="00B77A7E" w:rsidRPr="0045129A">
        <w:rPr>
          <w:rFonts w:ascii="Arial" w:hAnsi="Arial" w:cs="Arial"/>
          <w:sz w:val="22"/>
        </w:rPr>
        <w:t>basta con verificar</w:t>
      </w:r>
      <w:r w:rsidR="007D08DC" w:rsidRPr="0045129A">
        <w:rPr>
          <w:rFonts w:ascii="Arial" w:hAnsi="Arial" w:cs="Arial"/>
          <w:sz w:val="22"/>
        </w:rPr>
        <w:t xml:space="preserve">: i) </w:t>
      </w:r>
      <w:r w:rsidR="005121A5" w:rsidRPr="0045129A">
        <w:rPr>
          <w:rFonts w:ascii="Arial" w:hAnsi="Arial" w:cs="Arial"/>
          <w:sz w:val="22"/>
        </w:rPr>
        <w:t xml:space="preserve">que el o los </w:t>
      </w:r>
      <w:r w:rsidR="007D08DC" w:rsidRPr="0045129A">
        <w:rPr>
          <w:rFonts w:ascii="Arial" w:hAnsi="Arial" w:cs="Arial"/>
          <w:sz w:val="22"/>
        </w:rPr>
        <w:t>contrato</w:t>
      </w:r>
      <w:r w:rsidR="005121A5" w:rsidRPr="0045129A">
        <w:rPr>
          <w:rFonts w:ascii="Arial" w:hAnsi="Arial" w:cs="Arial"/>
          <w:sz w:val="22"/>
        </w:rPr>
        <w:t>s</w:t>
      </w:r>
      <w:r w:rsidR="007D08DC" w:rsidRPr="0045129A">
        <w:rPr>
          <w:rFonts w:ascii="Arial" w:hAnsi="Arial" w:cs="Arial"/>
          <w:sz w:val="22"/>
        </w:rPr>
        <w:t xml:space="preserve"> </w:t>
      </w:r>
      <w:r w:rsidR="005121A5" w:rsidRPr="0045129A">
        <w:rPr>
          <w:rFonts w:ascii="Arial" w:hAnsi="Arial" w:cs="Arial"/>
          <w:sz w:val="22"/>
        </w:rPr>
        <w:t xml:space="preserve">acreditados </w:t>
      </w:r>
      <w:r w:rsidR="005268E0" w:rsidRPr="0045129A">
        <w:rPr>
          <w:rFonts w:ascii="Arial" w:hAnsi="Arial" w:cs="Arial"/>
          <w:sz w:val="22"/>
        </w:rPr>
        <w:t>haya</w:t>
      </w:r>
      <w:r w:rsidR="005121A5" w:rsidRPr="0045129A">
        <w:rPr>
          <w:rFonts w:ascii="Arial" w:hAnsi="Arial" w:cs="Arial"/>
          <w:sz w:val="22"/>
        </w:rPr>
        <w:t>n</w:t>
      </w:r>
      <w:r w:rsidR="005268E0" w:rsidRPr="0045129A">
        <w:rPr>
          <w:rFonts w:ascii="Arial" w:hAnsi="Arial" w:cs="Arial"/>
          <w:sz w:val="22"/>
        </w:rPr>
        <w:t xml:space="preserve"> </w:t>
      </w:r>
      <w:r w:rsidR="00E57200" w:rsidRPr="0045129A">
        <w:rPr>
          <w:rFonts w:ascii="Arial" w:hAnsi="Arial" w:cs="Arial"/>
          <w:sz w:val="22"/>
        </w:rPr>
        <w:t>implicado</w:t>
      </w:r>
      <w:r w:rsidR="005268E0" w:rsidRPr="0045129A">
        <w:rPr>
          <w:rFonts w:ascii="Arial" w:hAnsi="Arial" w:cs="Arial"/>
          <w:sz w:val="22"/>
        </w:rPr>
        <w:t xml:space="preserve"> la intervención de alguno de los tipos de infraestructura </w:t>
      </w:r>
      <w:r w:rsidR="00D87825" w:rsidRPr="0045129A">
        <w:rPr>
          <w:rFonts w:ascii="Arial" w:hAnsi="Arial" w:cs="Arial"/>
          <w:sz w:val="22"/>
        </w:rPr>
        <w:t>considerados en el requisito</w:t>
      </w:r>
      <w:r w:rsidR="005121A5" w:rsidRPr="0045129A">
        <w:rPr>
          <w:rFonts w:ascii="Arial" w:hAnsi="Arial" w:cs="Arial"/>
          <w:sz w:val="22"/>
        </w:rPr>
        <w:t xml:space="preserve"> de experiencia general</w:t>
      </w:r>
      <w:r w:rsidR="00D87825" w:rsidRPr="0045129A">
        <w:rPr>
          <w:rFonts w:ascii="Arial" w:hAnsi="Arial" w:cs="Arial"/>
          <w:sz w:val="22"/>
        </w:rPr>
        <w:t xml:space="preserve"> –en el</w:t>
      </w:r>
      <w:r w:rsidR="005121A5" w:rsidRPr="0045129A">
        <w:rPr>
          <w:rFonts w:ascii="Arial" w:hAnsi="Arial" w:cs="Arial"/>
          <w:sz w:val="22"/>
        </w:rPr>
        <w:t xml:space="preserve"> anterior</w:t>
      </w:r>
      <w:r w:rsidR="00D87825" w:rsidRPr="0045129A">
        <w:rPr>
          <w:rFonts w:ascii="Arial" w:hAnsi="Arial" w:cs="Arial"/>
          <w:sz w:val="22"/>
        </w:rPr>
        <w:t xml:space="preserve"> ejemplo: «[…]</w:t>
      </w:r>
      <w:r w:rsidR="00E57200" w:rsidRPr="0045129A">
        <w:rPr>
          <w:rFonts w:ascii="Arial" w:hAnsi="Arial" w:cs="Arial"/>
          <w:sz w:val="22"/>
        </w:rPr>
        <w:t xml:space="preserve"> </w:t>
      </w:r>
      <w:r w:rsidR="00D87825" w:rsidRPr="0045129A">
        <w:rPr>
          <w:rFonts w:ascii="Arial" w:hAnsi="Arial" w:cs="Arial"/>
          <w:sz w:val="22"/>
        </w:rPr>
        <w:t>VÍAS PRIMARIAS O SECUNDARIAS O VIAS URBANAS O PISTAS DE AEROPUERTOS</w:t>
      </w:r>
      <w:r w:rsidR="005121A5" w:rsidRPr="0045129A">
        <w:rPr>
          <w:rFonts w:ascii="Arial" w:hAnsi="Arial" w:cs="Arial"/>
          <w:sz w:val="22"/>
        </w:rPr>
        <w:t xml:space="preserve">»– y ii) </w:t>
      </w:r>
      <w:r w:rsidR="00B77A7E" w:rsidRPr="0045129A">
        <w:rPr>
          <w:rFonts w:ascii="Arial" w:hAnsi="Arial" w:cs="Arial"/>
          <w:sz w:val="22"/>
        </w:rPr>
        <w:t xml:space="preserve">que </w:t>
      </w:r>
      <w:r w:rsidR="0069615A" w:rsidRPr="0045129A">
        <w:rPr>
          <w:rFonts w:ascii="Arial" w:hAnsi="Arial" w:cs="Arial"/>
          <w:sz w:val="22"/>
        </w:rPr>
        <w:t xml:space="preserve">el </w:t>
      </w:r>
      <w:r w:rsidR="00903CBF" w:rsidRPr="0045129A">
        <w:rPr>
          <w:rFonts w:ascii="Arial" w:hAnsi="Arial" w:cs="Arial"/>
          <w:sz w:val="22"/>
        </w:rPr>
        <w:t xml:space="preserve">mejoramiento haya consistido </w:t>
      </w:r>
      <w:r w:rsidR="00930A48" w:rsidRPr="0045129A">
        <w:rPr>
          <w:rFonts w:ascii="Arial" w:hAnsi="Arial" w:cs="Arial"/>
          <w:sz w:val="22"/>
        </w:rPr>
        <w:t xml:space="preserve">en el </w:t>
      </w:r>
      <w:r w:rsidR="00876AB2" w:rsidRPr="0045129A">
        <w:rPr>
          <w:rFonts w:ascii="Arial" w:hAnsi="Arial" w:cs="Arial"/>
          <w:sz w:val="22"/>
        </w:rPr>
        <w:t xml:space="preserve">cambio de especificaciones técnicas de infraestructura existente mediante el </w:t>
      </w:r>
      <w:r w:rsidR="00930A48" w:rsidRPr="0045129A">
        <w:rPr>
          <w:rFonts w:ascii="Arial" w:hAnsi="Arial" w:cs="Arial"/>
          <w:sz w:val="22"/>
        </w:rPr>
        <w:t xml:space="preserve">desarrollo de alguna las actividades enlistadas en los artículos </w:t>
      </w:r>
      <w:r w:rsidR="0085261E" w:rsidRPr="0045129A">
        <w:rPr>
          <w:rFonts w:ascii="Arial" w:hAnsi="Arial" w:cs="Arial"/>
          <w:sz w:val="22"/>
        </w:rPr>
        <w:t>2</w:t>
      </w:r>
      <w:r w:rsidR="00930A48" w:rsidRPr="0045129A">
        <w:rPr>
          <w:rStyle w:val="Strong"/>
          <w:rFonts w:ascii="Arial" w:hAnsi="Arial" w:cs="Arial"/>
          <w:b w:val="0"/>
          <w:bCs w:val="0"/>
          <w:sz w:val="22"/>
        </w:rPr>
        <w:t>.2.2.5.1.1</w:t>
      </w:r>
      <w:r w:rsidR="00930A48" w:rsidRPr="0045129A">
        <w:rPr>
          <w:rStyle w:val="Emphasis"/>
          <w:rFonts w:ascii="Arial" w:hAnsi="Arial" w:cs="Arial"/>
          <w:i w:val="0"/>
          <w:iCs w:val="0"/>
          <w:sz w:val="22"/>
        </w:rPr>
        <w:t>,</w:t>
      </w:r>
      <w:r w:rsidR="00930A48" w:rsidRPr="0045129A">
        <w:rPr>
          <w:rStyle w:val="Emphasis"/>
          <w:rFonts w:ascii="Arial" w:hAnsi="Arial" w:cs="Arial"/>
          <w:b/>
          <w:bCs/>
          <w:i w:val="0"/>
          <w:iCs w:val="0"/>
          <w:sz w:val="22"/>
        </w:rPr>
        <w:t xml:space="preserve"> </w:t>
      </w:r>
      <w:r w:rsidR="00930A48" w:rsidRPr="0045129A">
        <w:rPr>
          <w:rStyle w:val="Strong"/>
          <w:rFonts w:ascii="Arial" w:hAnsi="Arial" w:cs="Arial"/>
          <w:b w:val="0"/>
          <w:bCs w:val="0"/>
          <w:sz w:val="22"/>
        </w:rPr>
        <w:t>2.2.2.5.2.1</w:t>
      </w:r>
      <w:r w:rsidR="00930A48" w:rsidRPr="0045129A">
        <w:rPr>
          <w:rStyle w:val="Emphasis"/>
          <w:rFonts w:ascii="Arial" w:hAnsi="Arial" w:cs="Arial"/>
          <w:i w:val="0"/>
          <w:iCs w:val="0"/>
          <w:sz w:val="22"/>
        </w:rPr>
        <w:t>,</w:t>
      </w:r>
      <w:r w:rsidR="00930A48" w:rsidRPr="0045129A">
        <w:rPr>
          <w:rStyle w:val="Emphasis"/>
          <w:rFonts w:ascii="Arial" w:hAnsi="Arial" w:cs="Arial"/>
          <w:b/>
          <w:bCs/>
          <w:i w:val="0"/>
          <w:iCs w:val="0"/>
          <w:sz w:val="22"/>
        </w:rPr>
        <w:t xml:space="preserve"> </w:t>
      </w:r>
      <w:r w:rsidR="00930A48" w:rsidRPr="0045129A">
        <w:rPr>
          <w:rStyle w:val="Emphasis"/>
          <w:rFonts w:ascii="Arial" w:hAnsi="Arial" w:cs="Arial"/>
          <w:i w:val="0"/>
          <w:iCs w:val="0"/>
          <w:sz w:val="22"/>
        </w:rPr>
        <w:t>2.2.2.5.3.1, 2.2.2.5.3.2 o 2.2.2.5.4.1 del Decreto 10</w:t>
      </w:r>
      <w:r w:rsidR="00DC422F" w:rsidRPr="0045129A">
        <w:rPr>
          <w:rStyle w:val="Emphasis"/>
          <w:rFonts w:ascii="Arial" w:hAnsi="Arial" w:cs="Arial"/>
          <w:i w:val="0"/>
          <w:iCs w:val="0"/>
          <w:sz w:val="22"/>
        </w:rPr>
        <w:t>76</w:t>
      </w:r>
      <w:r w:rsidR="00930A48" w:rsidRPr="0045129A">
        <w:rPr>
          <w:rStyle w:val="Emphasis"/>
          <w:rFonts w:ascii="Arial" w:hAnsi="Arial" w:cs="Arial"/>
          <w:i w:val="0"/>
          <w:iCs w:val="0"/>
          <w:sz w:val="22"/>
        </w:rPr>
        <w:t xml:space="preserve"> de 2015</w:t>
      </w:r>
      <w:r w:rsidR="00DC422F" w:rsidRPr="0045129A">
        <w:rPr>
          <w:rStyle w:val="Emphasis"/>
          <w:rFonts w:ascii="Arial" w:hAnsi="Arial" w:cs="Arial"/>
          <w:i w:val="0"/>
          <w:iCs w:val="0"/>
          <w:sz w:val="22"/>
        </w:rPr>
        <w:t xml:space="preserve">. En ese sentido, </w:t>
      </w:r>
      <w:r w:rsidR="008F0F4D" w:rsidRPr="0045129A">
        <w:rPr>
          <w:rStyle w:val="Emphasis"/>
          <w:rFonts w:ascii="Arial" w:hAnsi="Arial" w:cs="Arial"/>
          <w:i w:val="0"/>
          <w:iCs w:val="0"/>
          <w:sz w:val="22"/>
        </w:rPr>
        <w:t xml:space="preserve">para establecer si un proponente </w:t>
      </w:r>
      <w:r w:rsidR="006760B1" w:rsidRPr="0045129A">
        <w:rPr>
          <w:rStyle w:val="Emphasis"/>
          <w:rFonts w:ascii="Arial" w:hAnsi="Arial" w:cs="Arial"/>
          <w:i w:val="0"/>
          <w:iCs w:val="0"/>
          <w:sz w:val="22"/>
        </w:rPr>
        <w:t xml:space="preserve">tiene experiencia en mejoramiento debe demostrar que </w:t>
      </w:r>
      <w:r w:rsidR="00651D06" w:rsidRPr="0045129A">
        <w:rPr>
          <w:rStyle w:val="Emphasis"/>
          <w:rFonts w:ascii="Arial" w:hAnsi="Arial" w:cs="Arial"/>
          <w:i w:val="0"/>
          <w:iCs w:val="0"/>
          <w:sz w:val="22"/>
        </w:rPr>
        <w:t>ha ejecutado al menos alguna de las actividades enlistadas en los mencionados artículos del Decreto 1076 de 2015</w:t>
      </w:r>
      <w:r w:rsidR="00891A4E" w:rsidRPr="0045129A">
        <w:rPr>
          <w:rStyle w:val="Emphasis"/>
          <w:rFonts w:ascii="Arial" w:hAnsi="Arial" w:cs="Arial"/>
          <w:i w:val="0"/>
          <w:iCs w:val="0"/>
          <w:sz w:val="22"/>
        </w:rPr>
        <w:t xml:space="preserve">, sin que sea necesario </w:t>
      </w:r>
      <w:r w:rsidR="00C36E4C" w:rsidRPr="0045129A">
        <w:rPr>
          <w:rStyle w:val="Emphasis"/>
          <w:rFonts w:ascii="Arial" w:hAnsi="Arial" w:cs="Arial"/>
          <w:i w:val="0"/>
          <w:iCs w:val="0"/>
          <w:sz w:val="22"/>
        </w:rPr>
        <w:t xml:space="preserve">acreditar </w:t>
      </w:r>
      <w:r w:rsidR="00812FC1" w:rsidRPr="0045129A">
        <w:rPr>
          <w:rStyle w:val="Emphasis"/>
          <w:rFonts w:ascii="Arial" w:hAnsi="Arial" w:cs="Arial"/>
          <w:i w:val="0"/>
          <w:iCs w:val="0"/>
          <w:sz w:val="22"/>
        </w:rPr>
        <w:t>todas</w:t>
      </w:r>
      <w:r w:rsidR="00C36E4C" w:rsidRPr="0045129A">
        <w:rPr>
          <w:rStyle w:val="Emphasis"/>
          <w:rFonts w:ascii="Arial" w:hAnsi="Arial" w:cs="Arial"/>
          <w:i w:val="0"/>
          <w:iCs w:val="0"/>
          <w:sz w:val="22"/>
        </w:rPr>
        <w:t xml:space="preserve"> las actividades enlistadas o las establecidas en el numeral 2.70 del Anexo 3.</w:t>
      </w:r>
    </w:p>
    <w:p w14:paraId="10C04228" w14:textId="72B8CE51" w:rsidR="004103D2" w:rsidRPr="0045129A" w:rsidRDefault="00AB0604" w:rsidP="004103D2">
      <w:pPr>
        <w:spacing w:after="120" w:line="276" w:lineRule="auto"/>
        <w:ind w:firstLine="709"/>
        <w:jc w:val="both"/>
        <w:rPr>
          <w:rStyle w:val="Emphasis"/>
          <w:rFonts w:ascii="Arial" w:hAnsi="Arial" w:cs="Arial"/>
          <w:i w:val="0"/>
          <w:iCs w:val="0"/>
          <w:sz w:val="22"/>
        </w:rPr>
      </w:pPr>
      <w:r w:rsidRPr="0045129A">
        <w:rPr>
          <w:rStyle w:val="Emphasis"/>
          <w:rFonts w:ascii="Arial" w:hAnsi="Arial" w:cs="Arial"/>
          <w:i w:val="0"/>
          <w:iCs w:val="0"/>
          <w:sz w:val="22"/>
        </w:rPr>
        <w:t>Teniendo en cuenta lo anterior</w:t>
      </w:r>
      <w:r w:rsidR="002861D8" w:rsidRPr="0045129A">
        <w:rPr>
          <w:rStyle w:val="Emphasis"/>
          <w:rFonts w:ascii="Arial" w:hAnsi="Arial" w:cs="Arial"/>
          <w:i w:val="0"/>
          <w:iCs w:val="0"/>
          <w:sz w:val="22"/>
        </w:rPr>
        <w:t xml:space="preserve">, respecto </w:t>
      </w:r>
      <w:r w:rsidR="00F94819" w:rsidRPr="0045129A">
        <w:rPr>
          <w:rStyle w:val="Emphasis"/>
          <w:rFonts w:ascii="Arial" w:hAnsi="Arial" w:cs="Arial"/>
          <w:i w:val="0"/>
          <w:iCs w:val="0"/>
          <w:sz w:val="22"/>
        </w:rPr>
        <w:t>a</w:t>
      </w:r>
      <w:r w:rsidR="00812FC1" w:rsidRPr="0045129A">
        <w:rPr>
          <w:rStyle w:val="Emphasis"/>
          <w:rFonts w:ascii="Arial" w:hAnsi="Arial" w:cs="Arial"/>
          <w:i w:val="0"/>
          <w:iCs w:val="0"/>
          <w:sz w:val="22"/>
        </w:rPr>
        <w:t>l primer interrogante</w:t>
      </w:r>
      <w:r w:rsidR="00870E9A" w:rsidRPr="0045129A">
        <w:rPr>
          <w:rStyle w:val="Emphasis"/>
          <w:rFonts w:ascii="Arial" w:hAnsi="Arial" w:cs="Arial"/>
          <w:i w:val="0"/>
          <w:iCs w:val="0"/>
          <w:sz w:val="22"/>
        </w:rPr>
        <w:t>, debe aclararse que los requisitos de experiencia de la Matriz 1</w:t>
      </w:r>
      <w:r w:rsidR="002666FA" w:rsidRPr="0045129A">
        <w:rPr>
          <w:rStyle w:val="Emphasis"/>
          <w:rFonts w:ascii="Arial" w:hAnsi="Arial" w:cs="Arial"/>
          <w:i w:val="0"/>
          <w:iCs w:val="0"/>
          <w:sz w:val="22"/>
        </w:rPr>
        <w:t xml:space="preserve"> deben interpretarse conforme </w:t>
      </w:r>
      <w:r w:rsidR="00F94819" w:rsidRPr="0045129A">
        <w:rPr>
          <w:rStyle w:val="Emphasis"/>
          <w:rFonts w:ascii="Arial" w:hAnsi="Arial" w:cs="Arial"/>
          <w:i w:val="0"/>
          <w:iCs w:val="0"/>
          <w:sz w:val="22"/>
        </w:rPr>
        <w:t xml:space="preserve">con lo establecido </w:t>
      </w:r>
      <w:r w:rsidR="002666FA" w:rsidRPr="0045129A">
        <w:rPr>
          <w:rStyle w:val="Emphasis"/>
          <w:rFonts w:ascii="Arial" w:hAnsi="Arial" w:cs="Arial"/>
          <w:i w:val="0"/>
          <w:iCs w:val="0"/>
          <w:sz w:val="22"/>
        </w:rPr>
        <w:t xml:space="preserve">el numeral 1.10 del Documento Base, esto es, conforme </w:t>
      </w:r>
      <w:r w:rsidR="00F94819" w:rsidRPr="0045129A">
        <w:rPr>
          <w:rStyle w:val="Emphasis"/>
          <w:rFonts w:ascii="Arial" w:hAnsi="Arial" w:cs="Arial"/>
          <w:i w:val="0"/>
          <w:iCs w:val="0"/>
          <w:sz w:val="22"/>
        </w:rPr>
        <w:t xml:space="preserve">con </w:t>
      </w:r>
      <w:r w:rsidR="002666FA" w:rsidRPr="0045129A">
        <w:rPr>
          <w:rStyle w:val="Emphasis"/>
          <w:rFonts w:ascii="Arial" w:hAnsi="Arial" w:cs="Arial"/>
          <w:i w:val="0"/>
          <w:iCs w:val="0"/>
          <w:sz w:val="22"/>
        </w:rPr>
        <w:t>la Ley 1682 de 2013</w:t>
      </w:r>
      <w:r w:rsidR="004103D2" w:rsidRPr="0045129A">
        <w:rPr>
          <w:rStyle w:val="Emphasis"/>
          <w:rFonts w:ascii="Arial" w:hAnsi="Arial" w:cs="Arial"/>
          <w:i w:val="0"/>
          <w:iCs w:val="0"/>
          <w:sz w:val="22"/>
        </w:rPr>
        <w:t>, el Decreto 1082 de 2015 y el Anexo 3. En ese sentido, cuando, por ejemplo, la Matriz 1 alude</w:t>
      </w:r>
      <w:r w:rsidR="005525C8" w:rsidRPr="0045129A">
        <w:rPr>
          <w:rStyle w:val="Emphasis"/>
          <w:rFonts w:ascii="Arial" w:hAnsi="Arial" w:cs="Arial"/>
          <w:i w:val="0"/>
          <w:iCs w:val="0"/>
          <w:sz w:val="22"/>
        </w:rPr>
        <w:t xml:space="preserve"> </w:t>
      </w:r>
      <w:r w:rsidR="004103D2" w:rsidRPr="0045129A">
        <w:rPr>
          <w:rStyle w:val="Emphasis"/>
          <w:rFonts w:ascii="Arial" w:hAnsi="Arial" w:cs="Arial"/>
          <w:i w:val="0"/>
          <w:iCs w:val="0"/>
          <w:sz w:val="22"/>
        </w:rPr>
        <w:t xml:space="preserve">a la </w:t>
      </w:r>
      <w:r w:rsidR="005525C8" w:rsidRPr="0045129A">
        <w:rPr>
          <w:rStyle w:val="Emphasis"/>
          <w:rFonts w:ascii="Arial" w:hAnsi="Arial" w:cs="Arial"/>
          <w:i w:val="0"/>
          <w:iCs w:val="0"/>
          <w:sz w:val="22"/>
        </w:rPr>
        <w:t xml:space="preserve">actividad de </w:t>
      </w:r>
      <w:r w:rsidR="005525C8" w:rsidRPr="0045129A">
        <w:rPr>
          <w:rStyle w:val="Emphasis"/>
          <w:rFonts w:ascii="Arial" w:hAnsi="Arial" w:cs="Arial"/>
          <w:sz w:val="22"/>
        </w:rPr>
        <w:t>mejoramiento</w:t>
      </w:r>
      <w:r w:rsidR="005525C8" w:rsidRPr="0045129A">
        <w:rPr>
          <w:rStyle w:val="Emphasis"/>
          <w:rFonts w:ascii="Arial" w:hAnsi="Arial" w:cs="Arial"/>
          <w:i w:val="0"/>
          <w:iCs w:val="0"/>
          <w:sz w:val="22"/>
        </w:rPr>
        <w:t xml:space="preserve">, </w:t>
      </w:r>
      <w:r w:rsidR="00440C5D" w:rsidRPr="0045129A">
        <w:rPr>
          <w:rStyle w:val="Emphasis"/>
          <w:rFonts w:ascii="Arial" w:hAnsi="Arial" w:cs="Arial"/>
          <w:i w:val="0"/>
          <w:iCs w:val="0"/>
          <w:sz w:val="22"/>
        </w:rPr>
        <w:t>tales referencias involucran todas las actividades consideradas como mejoramiento por el</w:t>
      </w:r>
      <w:r w:rsidR="003660B5" w:rsidRPr="0045129A">
        <w:rPr>
          <w:rStyle w:val="Emphasis"/>
          <w:rFonts w:ascii="Arial" w:hAnsi="Arial" w:cs="Arial"/>
          <w:i w:val="0"/>
          <w:iCs w:val="0"/>
          <w:sz w:val="22"/>
        </w:rPr>
        <w:t xml:space="preserve"> Anexo 3 y el </w:t>
      </w:r>
      <w:r w:rsidR="00440C5D" w:rsidRPr="0045129A">
        <w:rPr>
          <w:rStyle w:val="Emphasis"/>
          <w:rFonts w:ascii="Arial" w:hAnsi="Arial" w:cs="Arial"/>
          <w:i w:val="0"/>
          <w:iCs w:val="0"/>
          <w:sz w:val="22"/>
        </w:rPr>
        <w:t>Decreto 1076 de 2015</w:t>
      </w:r>
      <w:r w:rsidR="003660B5" w:rsidRPr="0045129A">
        <w:rPr>
          <w:rStyle w:val="Emphasis"/>
          <w:rFonts w:ascii="Arial" w:hAnsi="Arial" w:cs="Arial"/>
          <w:i w:val="0"/>
          <w:iCs w:val="0"/>
          <w:sz w:val="22"/>
        </w:rPr>
        <w:t>.</w:t>
      </w:r>
      <w:r w:rsidR="0078033A" w:rsidRPr="0045129A">
        <w:rPr>
          <w:rStyle w:val="Emphasis"/>
          <w:rFonts w:ascii="Arial" w:hAnsi="Arial" w:cs="Arial"/>
          <w:i w:val="0"/>
          <w:iCs w:val="0"/>
          <w:sz w:val="22"/>
        </w:rPr>
        <w:t xml:space="preserve"> </w:t>
      </w:r>
    </w:p>
    <w:p w14:paraId="53349E50" w14:textId="36CFE5B3" w:rsidR="003C4EF1" w:rsidRPr="0045129A" w:rsidRDefault="003C6B98" w:rsidP="004103D2">
      <w:pPr>
        <w:spacing w:after="120" w:line="276" w:lineRule="auto"/>
        <w:ind w:firstLine="709"/>
        <w:jc w:val="both"/>
        <w:rPr>
          <w:rStyle w:val="Emphasis"/>
          <w:rFonts w:ascii="Arial" w:hAnsi="Arial" w:cs="Arial"/>
          <w:i w:val="0"/>
          <w:iCs w:val="0"/>
          <w:sz w:val="22"/>
        </w:rPr>
      </w:pPr>
      <w:r w:rsidRPr="0045129A">
        <w:rPr>
          <w:rStyle w:val="Emphasis"/>
          <w:rFonts w:ascii="Arial" w:hAnsi="Arial" w:cs="Arial"/>
          <w:i w:val="0"/>
          <w:iCs w:val="0"/>
          <w:sz w:val="22"/>
        </w:rPr>
        <w:t xml:space="preserve">Por otro lado, es </w:t>
      </w:r>
      <w:r w:rsidR="002C3632" w:rsidRPr="0045129A">
        <w:rPr>
          <w:rStyle w:val="Emphasis"/>
          <w:rFonts w:ascii="Arial" w:hAnsi="Arial" w:cs="Arial"/>
          <w:i w:val="0"/>
          <w:iCs w:val="0"/>
          <w:sz w:val="22"/>
        </w:rPr>
        <w:t>pertinente</w:t>
      </w:r>
      <w:r w:rsidRPr="0045129A">
        <w:rPr>
          <w:rStyle w:val="Emphasis"/>
          <w:rFonts w:ascii="Arial" w:hAnsi="Arial" w:cs="Arial"/>
          <w:i w:val="0"/>
          <w:iCs w:val="0"/>
          <w:sz w:val="22"/>
        </w:rPr>
        <w:t xml:space="preserve"> </w:t>
      </w:r>
      <w:r w:rsidR="00F94819" w:rsidRPr="0045129A">
        <w:rPr>
          <w:rStyle w:val="Emphasis"/>
          <w:rFonts w:ascii="Arial" w:hAnsi="Arial" w:cs="Arial"/>
          <w:i w:val="0"/>
          <w:iCs w:val="0"/>
          <w:sz w:val="22"/>
        </w:rPr>
        <w:t>recordar</w:t>
      </w:r>
      <w:r w:rsidRPr="0045129A">
        <w:rPr>
          <w:rStyle w:val="Emphasis"/>
          <w:rFonts w:ascii="Arial" w:hAnsi="Arial" w:cs="Arial"/>
          <w:i w:val="0"/>
          <w:iCs w:val="0"/>
          <w:sz w:val="22"/>
        </w:rPr>
        <w:t xml:space="preserve"> </w:t>
      </w:r>
      <w:r w:rsidR="002C34EF" w:rsidRPr="0045129A">
        <w:rPr>
          <w:rStyle w:val="Emphasis"/>
          <w:rFonts w:ascii="Arial" w:hAnsi="Arial" w:cs="Arial"/>
          <w:i w:val="0"/>
          <w:iCs w:val="0"/>
          <w:sz w:val="22"/>
        </w:rPr>
        <w:t>lo</w:t>
      </w:r>
      <w:r w:rsidRPr="0045129A">
        <w:rPr>
          <w:rStyle w:val="Emphasis"/>
          <w:rFonts w:ascii="Arial" w:hAnsi="Arial" w:cs="Arial"/>
          <w:i w:val="0"/>
          <w:iCs w:val="0"/>
          <w:sz w:val="22"/>
        </w:rPr>
        <w:t xml:space="preserve"> dispuestos</w:t>
      </w:r>
      <w:r w:rsidR="002C3632" w:rsidRPr="0045129A">
        <w:rPr>
          <w:rStyle w:val="Emphasis"/>
          <w:rFonts w:ascii="Arial" w:hAnsi="Arial" w:cs="Arial"/>
          <w:i w:val="0"/>
          <w:iCs w:val="0"/>
          <w:sz w:val="22"/>
        </w:rPr>
        <w:t xml:space="preserve"> en los</w:t>
      </w:r>
      <w:r w:rsidR="003C4EF1" w:rsidRPr="0045129A">
        <w:rPr>
          <w:rStyle w:val="Emphasis"/>
          <w:rFonts w:ascii="Arial" w:hAnsi="Arial" w:cs="Arial"/>
          <w:i w:val="0"/>
          <w:iCs w:val="0"/>
          <w:sz w:val="22"/>
        </w:rPr>
        <w:t xml:space="preserve"> artículo</w:t>
      </w:r>
      <w:r w:rsidR="002C34EF" w:rsidRPr="0045129A">
        <w:rPr>
          <w:rStyle w:val="Emphasis"/>
          <w:rFonts w:ascii="Arial" w:hAnsi="Arial" w:cs="Arial"/>
          <w:i w:val="0"/>
          <w:iCs w:val="0"/>
          <w:sz w:val="22"/>
        </w:rPr>
        <w:t>s</w:t>
      </w:r>
      <w:r w:rsidR="003C4EF1" w:rsidRPr="0045129A">
        <w:rPr>
          <w:rStyle w:val="Emphasis"/>
          <w:rFonts w:ascii="Arial" w:hAnsi="Arial" w:cs="Arial"/>
          <w:i w:val="0"/>
          <w:iCs w:val="0"/>
          <w:sz w:val="22"/>
        </w:rPr>
        <w:t xml:space="preserve"> 2.2.1.2.6.1.4. del Decreto 1082 de 2015</w:t>
      </w:r>
      <w:r w:rsidR="002C34EF" w:rsidRPr="0045129A">
        <w:rPr>
          <w:rStyle w:val="Emphasis"/>
          <w:rFonts w:ascii="Arial" w:hAnsi="Arial" w:cs="Arial"/>
          <w:i w:val="0"/>
          <w:iCs w:val="0"/>
          <w:sz w:val="22"/>
        </w:rPr>
        <w:t xml:space="preserve"> y </w:t>
      </w:r>
      <w:r w:rsidR="00F94819" w:rsidRPr="0045129A">
        <w:rPr>
          <w:rStyle w:val="Emphasis"/>
          <w:rFonts w:ascii="Arial" w:hAnsi="Arial" w:cs="Arial"/>
          <w:i w:val="0"/>
          <w:iCs w:val="0"/>
          <w:sz w:val="22"/>
        </w:rPr>
        <w:t xml:space="preserve">el artículo </w:t>
      </w:r>
      <w:r w:rsidR="002C34EF" w:rsidRPr="0045129A">
        <w:rPr>
          <w:rStyle w:val="Emphasis"/>
          <w:rFonts w:ascii="Arial" w:hAnsi="Arial" w:cs="Arial"/>
          <w:i w:val="0"/>
          <w:iCs w:val="0"/>
          <w:sz w:val="22"/>
        </w:rPr>
        <w:t>3 de la Resolución No. 240 de 2020,</w:t>
      </w:r>
      <w:r w:rsidR="003C4EF1" w:rsidRPr="0045129A">
        <w:rPr>
          <w:rStyle w:val="Emphasis"/>
          <w:rFonts w:ascii="Arial" w:hAnsi="Arial" w:cs="Arial"/>
          <w:i w:val="0"/>
          <w:iCs w:val="0"/>
          <w:sz w:val="22"/>
        </w:rPr>
        <w:t xml:space="preserve"> </w:t>
      </w:r>
      <w:r w:rsidR="002C3632" w:rsidRPr="0045129A">
        <w:rPr>
          <w:rStyle w:val="Emphasis"/>
          <w:rFonts w:ascii="Arial" w:hAnsi="Arial" w:cs="Arial"/>
          <w:i w:val="0"/>
          <w:iCs w:val="0"/>
          <w:sz w:val="22"/>
        </w:rPr>
        <w:t xml:space="preserve">que, para el procedimiento de licitación pública, </w:t>
      </w:r>
      <w:r w:rsidR="003C4EF1" w:rsidRPr="0045129A">
        <w:rPr>
          <w:rStyle w:val="Emphasis"/>
          <w:rFonts w:ascii="Arial" w:hAnsi="Arial" w:cs="Arial"/>
          <w:i w:val="0"/>
          <w:iCs w:val="0"/>
          <w:sz w:val="22"/>
        </w:rPr>
        <w:t>establece</w:t>
      </w:r>
      <w:r w:rsidR="002C34EF" w:rsidRPr="0045129A">
        <w:rPr>
          <w:rStyle w:val="Emphasis"/>
          <w:rFonts w:ascii="Arial" w:hAnsi="Arial" w:cs="Arial"/>
          <w:i w:val="0"/>
          <w:iCs w:val="0"/>
          <w:sz w:val="22"/>
        </w:rPr>
        <w:t>n</w:t>
      </w:r>
      <w:r w:rsidR="003C4EF1" w:rsidRPr="0045129A">
        <w:rPr>
          <w:rStyle w:val="Emphasis"/>
          <w:rFonts w:ascii="Arial" w:hAnsi="Arial" w:cs="Arial"/>
          <w:i w:val="0"/>
          <w:iCs w:val="0"/>
          <w:sz w:val="22"/>
        </w:rPr>
        <w:t xml:space="preserv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adoptados en ejercicio del artículo 4 de la Ley 1882 de 2018, </w:t>
      </w:r>
      <w:r w:rsidR="00F94819" w:rsidRPr="0045129A">
        <w:rPr>
          <w:rStyle w:val="Emphasis"/>
          <w:rFonts w:ascii="Arial" w:hAnsi="Arial" w:cs="Arial"/>
          <w:i w:val="0"/>
          <w:iCs w:val="0"/>
          <w:sz w:val="22"/>
        </w:rPr>
        <w:t xml:space="preserve">modificado por el artículo 1 de la Ley 2022 de 2020 </w:t>
      </w:r>
      <w:r w:rsidR="003C4EF1" w:rsidRPr="0045129A">
        <w:rPr>
          <w:rStyle w:val="Emphasis"/>
          <w:rFonts w:ascii="Arial" w:hAnsi="Arial" w:cs="Arial"/>
          <w:i w:val="0"/>
          <w:iCs w:val="0"/>
          <w:sz w:val="22"/>
        </w:rPr>
        <w:t>son de obligatorio cumplimiento para las entidades sometidas al Estatuto General de Contratación de la Administración Pública que adelanten procesos que deban regirse por su contenido, por lo que no pueden variarse los requisitos fijados en ellos.</w:t>
      </w:r>
    </w:p>
    <w:p w14:paraId="413B3DC3" w14:textId="60ABC9A2" w:rsidR="000866CE" w:rsidRPr="0045129A" w:rsidRDefault="0078033A" w:rsidP="004103D2">
      <w:pPr>
        <w:spacing w:after="120" w:line="276" w:lineRule="auto"/>
        <w:ind w:firstLine="709"/>
        <w:jc w:val="both"/>
        <w:rPr>
          <w:rStyle w:val="Emphasis"/>
          <w:rFonts w:ascii="Arial" w:hAnsi="Arial" w:cs="Arial"/>
          <w:i w:val="0"/>
          <w:iCs w:val="0"/>
          <w:sz w:val="22"/>
        </w:rPr>
      </w:pPr>
      <w:r w:rsidRPr="0045129A">
        <w:rPr>
          <w:rStyle w:val="Emphasis"/>
          <w:rFonts w:ascii="Arial" w:hAnsi="Arial" w:cs="Arial"/>
          <w:i w:val="0"/>
          <w:iCs w:val="0"/>
          <w:sz w:val="22"/>
        </w:rPr>
        <w:t>La entidad, en virtud de la regla de inalterabilidad de los documentos tipo tiene vedado alterar los requisitos de experiencia general</w:t>
      </w:r>
      <w:r w:rsidR="00190243" w:rsidRPr="0045129A">
        <w:rPr>
          <w:rStyle w:val="Emphasis"/>
          <w:rFonts w:ascii="Arial" w:hAnsi="Arial" w:cs="Arial"/>
          <w:i w:val="0"/>
          <w:iCs w:val="0"/>
          <w:sz w:val="22"/>
        </w:rPr>
        <w:t xml:space="preserve"> estandarizado, ni siquiera para aplicar conceptos o definiciones </w:t>
      </w:r>
      <w:r w:rsidR="0044215A" w:rsidRPr="0045129A">
        <w:rPr>
          <w:rStyle w:val="Emphasis"/>
          <w:rFonts w:ascii="Arial" w:hAnsi="Arial" w:cs="Arial"/>
          <w:i w:val="0"/>
          <w:iCs w:val="0"/>
          <w:sz w:val="22"/>
        </w:rPr>
        <w:t xml:space="preserve">establecidas en el Anexo 3, máxime cuando las mismas, al igual que las introducidas por la Ley 1682 de 2013, </w:t>
      </w:r>
      <w:r w:rsidR="00451183" w:rsidRPr="0045129A">
        <w:rPr>
          <w:rStyle w:val="Emphasis"/>
          <w:rFonts w:ascii="Arial" w:hAnsi="Arial" w:cs="Arial"/>
          <w:i w:val="0"/>
          <w:iCs w:val="0"/>
          <w:sz w:val="22"/>
        </w:rPr>
        <w:t>están incorporada</w:t>
      </w:r>
      <w:r w:rsidR="005747A8" w:rsidRPr="0045129A">
        <w:rPr>
          <w:rStyle w:val="Emphasis"/>
          <w:rFonts w:ascii="Arial" w:hAnsi="Arial" w:cs="Arial"/>
          <w:i w:val="0"/>
          <w:iCs w:val="0"/>
          <w:sz w:val="22"/>
        </w:rPr>
        <w:t xml:space="preserve">s </w:t>
      </w:r>
      <w:r w:rsidR="00661BE0" w:rsidRPr="0045129A">
        <w:rPr>
          <w:rStyle w:val="Emphasis"/>
          <w:rFonts w:ascii="Arial" w:hAnsi="Arial" w:cs="Arial"/>
          <w:i w:val="0"/>
          <w:iCs w:val="0"/>
          <w:sz w:val="22"/>
        </w:rPr>
        <w:t xml:space="preserve">a </w:t>
      </w:r>
      <w:r w:rsidR="005747A8" w:rsidRPr="0045129A">
        <w:rPr>
          <w:rStyle w:val="Emphasis"/>
          <w:rFonts w:ascii="Arial" w:hAnsi="Arial" w:cs="Arial"/>
          <w:i w:val="0"/>
          <w:iCs w:val="0"/>
          <w:sz w:val="22"/>
        </w:rPr>
        <w:t xml:space="preserve">los documentos tipo por conducto del mandato interpretativo establecido en el </w:t>
      </w:r>
      <w:r w:rsidR="00535E57" w:rsidRPr="0045129A">
        <w:rPr>
          <w:rStyle w:val="Emphasis"/>
          <w:rFonts w:ascii="Arial" w:hAnsi="Arial" w:cs="Arial"/>
          <w:i w:val="0"/>
          <w:iCs w:val="0"/>
          <w:sz w:val="22"/>
        </w:rPr>
        <w:t>numeral 1.10 del Documento Base. Esto significa que</w:t>
      </w:r>
      <w:r w:rsidR="000866CE" w:rsidRPr="0045129A">
        <w:rPr>
          <w:rStyle w:val="Emphasis"/>
          <w:rFonts w:ascii="Arial" w:hAnsi="Arial" w:cs="Arial"/>
          <w:i w:val="0"/>
          <w:iCs w:val="0"/>
          <w:sz w:val="22"/>
        </w:rPr>
        <w:t xml:space="preserve"> modificar el requisito de experiencia general</w:t>
      </w:r>
      <w:r w:rsidR="00535E57" w:rsidRPr="0045129A">
        <w:rPr>
          <w:rStyle w:val="Emphasis"/>
          <w:rFonts w:ascii="Arial" w:hAnsi="Arial" w:cs="Arial"/>
          <w:i w:val="0"/>
          <w:iCs w:val="0"/>
          <w:sz w:val="22"/>
        </w:rPr>
        <w:t xml:space="preserve"> </w:t>
      </w:r>
      <w:r w:rsidR="000866CE" w:rsidRPr="0045129A">
        <w:rPr>
          <w:rStyle w:val="Emphasis"/>
          <w:rFonts w:ascii="Arial" w:hAnsi="Arial" w:cs="Arial"/>
          <w:i w:val="0"/>
          <w:iCs w:val="0"/>
          <w:sz w:val="22"/>
        </w:rPr>
        <w:t xml:space="preserve">para </w:t>
      </w:r>
      <w:r w:rsidR="00535E57" w:rsidRPr="0045129A">
        <w:rPr>
          <w:rStyle w:val="Emphasis"/>
          <w:rFonts w:ascii="Arial" w:hAnsi="Arial" w:cs="Arial"/>
          <w:i w:val="0"/>
          <w:iCs w:val="0"/>
          <w:sz w:val="22"/>
        </w:rPr>
        <w:t xml:space="preserve">adicionar </w:t>
      </w:r>
      <w:r w:rsidR="000866CE" w:rsidRPr="0045129A">
        <w:rPr>
          <w:rStyle w:val="Emphasis"/>
          <w:rFonts w:ascii="Arial" w:hAnsi="Arial" w:cs="Arial"/>
          <w:i w:val="0"/>
          <w:iCs w:val="0"/>
          <w:sz w:val="22"/>
        </w:rPr>
        <w:t>actividades establecidas dentro de conceptos establecidos en el Anexo 3, no solo se encuentra prohibido</w:t>
      </w:r>
      <w:r w:rsidR="00BA3CCD" w:rsidRPr="0045129A">
        <w:rPr>
          <w:rStyle w:val="Emphasis"/>
          <w:rFonts w:ascii="Arial" w:hAnsi="Arial" w:cs="Arial"/>
          <w:i w:val="0"/>
          <w:iCs w:val="0"/>
          <w:sz w:val="22"/>
        </w:rPr>
        <w:t>, sino que además es innecesario</w:t>
      </w:r>
      <w:r w:rsidR="00C24773" w:rsidRPr="0045129A">
        <w:rPr>
          <w:rStyle w:val="Emphasis"/>
          <w:rFonts w:ascii="Arial" w:hAnsi="Arial" w:cs="Arial"/>
          <w:i w:val="0"/>
          <w:iCs w:val="0"/>
          <w:sz w:val="22"/>
        </w:rPr>
        <w:t xml:space="preserve">. </w:t>
      </w:r>
    </w:p>
    <w:p w14:paraId="2DCFB25E" w14:textId="65167EAE" w:rsidR="00453B02" w:rsidRPr="0045129A" w:rsidRDefault="003E6C00" w:rsidP="00000215">
      <w:pPr>
        <w:spacing w:after="120" w:line="276" w:lineRule="auto"/>
        <w:ind w:right="51" w:firstLine="708"/>
        <w:jc w:val="both"/>
        <w:rPr>
          <w:rFonts w:ascii="Arial" w:eastAsia="Calibri" w:hAnsi="Arial" w:cs="Arial"/>
          <w:sz w:val="22"/>
        </w:rPr>
      </w:pPr>
      <w:r w:rsidRPr="0045129A">
        <w:rPr>
          <w:rFonts w:ascii="Arial" w:hAnsi="Arial" w:cs="Arial"/>
          <w:sz w:val="22"/>
        </w:rPr>
        <w:t xml:space="preserve">Por otro lado, </w:t>
      </w:r>
      <w:r w:rsidR="006E090B" w:rsidRPr="0045129A">
        <w:rPr>
          <w:rFonts w:ascii="Arial" w:hAnsi="Arial" w:cs="Arial"/>
          <w:sz w:val="22"/>
        </w:rPr>
        <w:t xml:space="preserve">es menester aclarar que </w:t>
      </w:r>
      <w:r w:rsidRPr="0045129A">
        <w:rPr>
          <w:rFonts w:ascii="Arial" w:hAnsi="Arial" w:cs="Arial"/>
          <w:sz w:val="22"/>
        </w:rPr>
        <w:t>la posibilidad de exigir experiencia adicional a la est</w:t>
      </w:r>
      <w:r w:rsidR="006E090B" w:rsidRPr="0045129A">
        <w:rPr>
          <w:rFonts w:ascii="Arial" w:hAnsi="Arial" w:cs="Arial"/>
          <w:sz w:val="22"/>
        </w:rPr>
        <w:t>andarizada por la Matriz 1, se encuentra li</w:t>
      </w:r>
      <w:r w:rsidR="00261759" w:rsidRPr="0045129A">
        <w:rPr>
          <w:rFonts w:ascii="Arial" w:hAnsi="Arial" w:cs="Arial"/>
          <w:sz w:val="22"/>
        </w:rPr>
        <w:t xml:space="preserve">mitada a los bienes y servicios adicionales a la </w:t>
      </w:r>
      <w:r w:rsidR="00C23C6C" w:rsidRPr="0045129A">
        <w:rPr>
          <w:rFonts w:ascii="Arial" w:hAnsi="Arial" w:cs="Arial"/>
          <w:sz w:val="22"/>
        </w:rPr>
        <w:t>obra pública de infraestructura de transporte. Esta posibilidad surge cuando en el marco de la contratación de una de las actividades enlistadas en la Matriz 1</w:t>
      </w:r>
      <w:r w:rsidR="006220D3" w:rsidRPr="0045129A">
        <w:rPr>
          <w:rFonts w:ascii="Arial" w:hAnsi="Arial" w:cs="Arial"/>
          <w:sz w:val="22"/>
        </w:rPr>
        <w:t>, se requiere también contratar unos bienes y servicios adicionales cuya contratación, en principio, se encuentra excluida de la aplicación de los documentos tipo de infraestructura de transporte</w:t>
      </w:r>
      <w:r w:rsidR="00000215" w:rsidRPr="0045129A">
        <w:rPr>
          <w:rFonts w:ascii="Arial" w:hAnsi="Arial" w:cs="Arial"/>
          <w:sz w:val="22"/>
        </w:rPr>
        <w:t xml:space="preserve">. Ante estos supuestos debe aplicarse </w:t>
      </w:r>
      <w:r w:rsidR="002C34EF" w:rsidRPr="0045129A">
        <w:rPr>
          <w:rFonts w:ascii="Arial" w:eastAsia="Calibri" w:hAnsi="Arial" w:cs="Arial"/>
          <w:sz w:val="22"/>
        </w:rPr>
        <w:t>los dispuesto en el a</w:t>
      </w:r>
      <w:r w:rsidR="00453B02" w:rsidRPr="0045129A">
        <w:rPr>
          <w:rFonts w:ascii="Arial" w:eastAsia="Calibri" w:hAnsi="Arial" w:cs="Arial"/>
          <w:sz w:val="22"/>
        </w:rPr>
        <w:t>rtículo</w:t>
      </w:r>
      <w:r w:rsidR="00937668" w:rsidRPr="0045129A">
        <w:rPr>
          <w:rFonts w:ascii="Arial" w:eastAsia="Calibri" w:hAnsi="Arial" w:cs="Arial"/>
          <w:sz w:val="22"/>
        </w:rPr>
        <w:t xml:space="preserve"> </w:t>
      </w:r>
      <w:r w:rsidR="006A375B" w:rsidRPr="0045129A">
        <w:rPr>
          <w:rFonts w:ascii="Arial" w:eastAsia="Calibri" w:hAnsi="Arial" w:cs="Arial"/>
          <w:sz w:val="22"/>
        </w:rPr>
        <w:t>4</w:t>
      </w:r>
      <w:r w:rsidR="00AE7CC7" w:rsidRPr="0045129A">
        <w:rPr>
          <w:rFonts w:ascii="Arial" w:eastAsia="Calibri" w:hAnsi="Arial" w:cs="Arial"/>
          <w:sz w:val="22"/>
        </w:rPr>
        <w:t xml:space="preserve"> de la Resolución No. 240 de 2020</w:t>
      </w:r>
      <w:r w:rsidR="00000215" w:rsidRPr="0045129A">
        <w:rPr>
          <w:rFonts w:ascii="Arial" w:eastAsia="Calibri" w:hAnsi="Arial" w:cs="Arial"/>
          <w:sz w:val="22"/>
        </w:rPr>
        <w:t xml:space="preserve">, </w:t>
      </w:r>
      <w:r w:rsidR="003F55B8" w:rsidRPr="0045129A">
        <w:rPr>
          <w:rFonts w:ascii="Arial" w:eastAsia="Calibri" w:hAnsi="Arial" w:cs="Arial"/>
          <w:sz w:val="22"/>
        </w:rPr>
        <w:t>el cual establece</w:t>
      </w:r>
      <w:r w:rsidR="00000215" w:rsidRPr="0045129A">
        <w:rPr>
          <w:rFonts w:ascii="Arial" w:eastAsia="Calibri" w:hAnsi="Arial" w:cs="Arial"/>
          <w:sz w:val="22"/>
        </w:rPr>
        <w:t xml:space="preserve"> que tales bienes y servicios deben también ser </w:t>
      </w:r>
      <w:r w:rsidR="00D87AB8" w:rsidRPr="0045129A">
        <w:rPr>
          <w:rFonts w:ascii="Arial" w:eastAsia="Calibri" w:hAnsi="Arial" w:cs="Arial"/>
          <w:sz w:val="22"/>
        </w:rPr>
        <w:t>contratados emplea</w:t>
      </w:r>
      <w:r w:rsidR="002C34EF" w:rsidRPr="0045129A">
        <w:rPr>
          <w:rFonts w:ascii="Arial" w:eastAsia="Calibri" w:hAnsi="Arial" w:cs="Arial"/>
          <w:sz w:val="22"/>
        </w:rPr>
        <w:t>n</w:t>
      </w:r>
      <w:r w:rsidR="00D87AB8" w:rsidRPr="0045129A">
        <w:rPr>
          <w:rFonts w:ascii="Arial" w:eastAsia="Calibri" w:hAnsi="Arial" w:cs="Arial"/>
          <w:sz w:val="22"/>
        </w:rPr>
        <w:t>do los documentos tipo, constituyendo aspectos adicionales del objeto contractual principal consistente en la intervención de la infraestructura de transporte</w:t>
      </w:r>
      <w:r w:rsidR="006A375B" w:rsidRPr="0045129A">
        <w:rPr>
          <w:rStyle w:val="FootnoteReference"/>
          <w:rFonts w:ascii="Arial" w:eastAsia="Calibri" w:hAnsi="Arial" w:cs="Arial"/>
          <w:sz w:val="22"/>
        </w:rPr>
        <w:footnoteReference w:id="6"/>
      </w:r>
      <w:r w:rsidR="00453B02" w:rsidRPr="0045129A">
        <w:rPr>
          <w:rFonts w:ascii="Arial" w:eastAsia="Calibri" w:hAnsi="Arial" w:cs="Arial"/>
          <w:sz w:val="22"/>
        </w:rPr>
        <w:t>. Esta norma prevé</w:t>
      </w:r>
      <w:r w:rsidR="00DC33AA" w:rsidRPr="0045129A">
        <w:rPr>
          <w:rFonts w:ascii="Arial" w:eastAsia="Calibri" w:hAnsi="Arial" w:cs="Arial"/>
          <w:sz w:val="22"/>
        </w:rPr>
        <w:t xml:space="preserve"> que en estos</w:t>
      </w:r>
      <w:r w:rsidR="00453B02" w:rsidRPr="0045129A">
        <w:rPr>
          <w:rFonts w:ascii="Arial" w:eastAsia="Calibri" w:hAnsi="Arial" w:cs="Arial"/>
          <w:sz w:val="22"/>
        </w:rPr>
        <w:t xml:space="preserve"> eventos</w:t>
      </w:r>
      <w:r w:rsidR="00892C10" w:rsidRPr="0045129A">
        <w:rPr>
          <w:rFonts w:ascii="Arial" w:eastAsia="Calibri" w:hAnsi="Arial" w:cs="Arial"/>
          <w:sz w:val="22"/>
        </w:rPr>
        <w:t xml:space="preserve"> </w:t>
      </w:r>
      <w:r w:rsidR="00453B02" w:rsidRPr="0045129A">
        <w:rPr>
          <w:rFonts w:ascii="Arial" w:eastAsia="Calibri" w:hAnsi="Arial" w:cs="Arial"/>
          <w:sz w:val="22"/>
        </w:rPr>
        <w:t>la entidad puede incluir experiencia adicional para evaluar la idoneidad respecto de los bienes o servicios ajenos a la obra pública.</w:t>
      </w:r>
    </w:p>
    <w:p w14:paraId="13FA9ABD" w14:textId="2B06CFF9" w:rsidR="00453B02" w:rsidRPr="0045129A" w:rsidRDefault="00453B02" w:rsidP="00453B02">
      <w:pPr>
        <w:spacing w:after="120" w:line="276" w:lineRule="auto"/>
        <w:ind w:firstLine="708"/>
        <w:jc w:val="both"/>
        <w:rPr>
          <w:rFonts w:ascii="Arial" w:eastAsia="Calibri" w:hAnsi="Arial" w:cs="Arial"/>
          <w:sz w:val="22"/>
        </w:rPr>
      </w:pPr>
      <w:r w:rsidRPr="0045129A">
        <w:rPr>
          <w:rFonts w:ascii="Arial" w:eastAsia="Calibri" w:hAnsi="Arial" w:cs="Arial"/>
          <w:sz w:val="22"/>
        </w:rPr>
        <w:t>No obstante,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p>
    <w:p w14:paraId="100F0F4B" w14:textId="2530A5D5" w:rsidR="00006637" w:rsidRPr="0045129A" w:rsidRDefault="00453B02" w:rsidP="00006637">
      <w:pPr>
        <w:spacing w:after="120" w:line="276" w:lineRule="auto"/>
        <w:ind w:firstLine="708"/>
        <w:jc w:val="both"/>
        <w:rPr>
          <w:rFonts w:ascii="Arial" w:eastAsia="Calibri" w:hAnsi="Arial" w:cs="Arial"/>
          <w:sz w:val="22"/>
        </w:rPr>
      </w:pPr>
      <w:r w:rsidRPr="0045129A">
        <w:rPr>
          <w:rFonts w:ascii="Arial" w:eastAsia="Calibri" w:hAnsi="Arial" w:cs="Arial"/>
          <w:sz w:val="22"/>
        </w:rPr>
        <w:t>La entidad que opte por solicitar experiencia adicional en desarrollo de esta</w:t>
      </w:r>
      <w:r w:rsidR="002C34EF" w:rsidRPr="0045129A">
        <w:rPr>
          <w:rFonts w:ascii="Arial" w:eastAsia="Calibri" w:hAnsi="Arial" w:cs="Arial"/>
          <w:sz w:val="22"/>
        </w:rPr>
        <w:t>s</w:t>
      </w:r>
      <w:r w:rsidRPr="0045129A">
        <w:rPr>
          <w:rFonts w:ascii="Arial" w:eastAsia="Calibri" w:hAnsi="Arial" w:cs="Arial"/>
          <w:sz w:val="22"/>
        </w:rPr>
        <w:t xml:space="preserve"> norma</w:t>
      </w:r>
      <w:r w:rsidR="002C34EF" w:rsidRPr="0045129A">
        <w:rPr>
          <w:rFonts w:ascii="Arial" w:eastAsia="Calibri" w:hAnsi="Arial" w:cs="Arial"/>
          <w:sz w:val="22"/>
        </w:rPr>
        <w:t>s</w:t>
      </w:r>
      <w:r w:rsidRPr="0045129A">
        <w:rPr>
          <w:rFonts w:ascii="Arial" w:eastAsia="Calibri" w:hAnsi="Arial" w:cs="Arial"/>
          <w:sz w:val="22"/>
        </w:rPr>
        <w:t xml:space="preserve"> debe evidenciar en los documentos del proceso que agotó estos parámetros. Para ello, debe justificar en los estudios y documentos previos como parte del deber 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 </w:t>
      </w:r>
    </w:p>
    <w:p w14:paraId="501E9A2B" w14:textId="117B73BF" w:rsidR="00006637" w:rsidRPr="0045129A" w:rsidRDefault="00006637" w:rsidP="00006637">
      <w:pPr>
        <w:spacing w:after="120" w:line="276" w:lineRule="auto"/>
        <w:ind w:firstLine="708"/>
        <w:jc w:val="both"/>
        <w:rPr>
          <w:rFonts w:ascii="Arial" w:eastAsia="Calibri" w:hAnsi="Arial" w:cs="Arial"/>
          <w:sz w:val="22"/>
        </w:rPr>
      </w:pPr>
      <w:r w:rsidRPr="0045129A">
        <w:rPr>
          <w:rFonts w:ascii="Arial" w:eastAsia="Calibri" w:hAnsi="Arial" w:cs="Arial"/>
          <w:sz w:val="22"/>
        </w:rPr>
        <w:t xml:space="preserve">Conforme se </w:t>
      </w:r>
      <w:r w:rsidR="00B675EE" w:rsidRPr="0045129A">
        <w:rPr>
          <w:rFonts w:ascii="Arial" w:eastAsia="Calibri" w:hAnsi="Arial" w:cs="Arial"/>
          <w:sz w:val="22"/>
        </w:rPr>
        <w:t xml:space="preserve">desprende </w:t>
      </w:r>
      <w:r w:rsidR="003F55B8" w:rsidRPr="0045129A">
        <w:rPr>
          <w:rFonts w:ascii="Arial" w:eastAsia="Calibri" w:hAnsi="Arial" w:cs="Arial"/>
          <w:sz w:val="22"/>
        </w:rPr>
        <w:t>d</w:t>
      </w:r>
      <w:r w:rsidR="002C34EF" w:rsidRPr="0045129A">
        <w:rPr>
          <w:rFonts w:ascii="Arial" w:eastAsia="Calibri" w:hAnsi="Arial" w:cs="Arial"/>
          <w:sz w:val="22"/>
        </w:rPr>
        <w:t>el</w:t>
      </w:r>
      <w:r w:rsidR="00B675EE" w:rsidRPr="0045129A">
        <w:rPr>
          <w:rFonts w:ascii="Arial" w:eastAsia="Calibri" w:hAnsi="Arial" w:cs="Arial"/>
          <w:sz w:val="22"/>
        </w:rPr>
        <w:t xml:space="preserve"> artículo 4 de la Resolución No. 240 de 2020, la formulación de requisitos habilitantes </w:t>
      </w:r>
      <w:r w:rsidR="0063642E" w:rsidRPr="0045129A">
        <w:rPr>
          <w:rFonts w:ascii="Arial" w:eastAsia="Calibri" w:hAnsi="Arial" w:cs="Arial"/>
          <w:sz w:val="22"/>
        </w:rPr>
        <w:t>para los bienes o servicios adicionales a la obra pública de infraestructura de transporte</w:t>
      </w:r>
      <w:r w:rsidR="007C799D" w:rsidRPr="0045129A">
        <w:rPr>
          <w:rFonts w:ascii="Arial" w:eastAsia="Calibri" w:hAnsi="Arial" w:cs="Arial"/>
          <w:sz w:val="22"/>
        </w:rPr>
        <w:t xml:space="preserve"> solo se encuentra limitada por el seguimiento de los anteriores parámetros. Asimismo, los requisitos que formule la entidad </w:t>
      </w:r>
      <w:r w:rsidR="00CD131E" w:rsidRPr="0045129A">
        <w:rPr>
          <w:rFonts w:ascii="Arial" w:eastAsia="Calibri" w:hAnsi="Arial" w:cs="Arial"/>
          <w:sz w:val="22"/>
        </w:rPr>
        <w:t xml:space="preserve">son adicionales a los que surjan de </w:t>
      </w:r>
      <w:r w:rsidR="003F55B8" w:rsidRPr="0045129A">
        <w:rPr>
          <w:rFonts w:ascii="Arial" w:eastAsia="Calibri" w:hAnsi="Arial" w:cs="Arial"/>
          <w:sz w:val="22"/>
        </w:rPr>
        <w:t xml:space="preserve">aplicar </w:t>
      </w:r>
      <w:r w:rsidR="00CD131E" w:rsidRPr="0045129A">
        <w:rPr>
          <w:rFonts w:ascii="Arial" w:eastAsia="Calibri" w:hAnsi="Arial" w:cs="Arial"/>
          <w:sz w:val="22"/>
        </w:rPr>
        <w:t xml:space="preserve">la Matriz 1 respecto del objeto principal del objeto de contratación, </w:t>
      </w:r>
      <w:r w:rsidR="00751141" w:rsidRPr="0045129A">
        <w:rPr>
          <w:rFonts w:ascii="Arial" w:eastAsia="Calibri" w:hAnsi="Arial" w:cs="Arial"/>
          <w:sz w:val="22"/>
        </w:rPr>
        <w:t xml:space="preserve">y solo servirán </w:t>
      </w:r>
      <w:r w:rsidR="003F55B8" w:rsidRPr="0045129A">
        <w:rPr>
          <w:rFonts w:ascii="Arial" w:eastAsia="Calibri" w:hAnsi="Arial" w:cs="Arial"/>
          <w:sz w:val="22"/>
        </w:rPr>
        <w:t>para</w:t>
      </w:r>
      <w:r w:rsidR="00751141" w:rsidRPr="0045129A">
        <w:rPr>
          <w:rFonts w:ascii="Arial" w:eastAsia="Calibri" w:hAnsi="Arial" w:cs="Arial"/>
          <w:sz w:val="22"/>
        </w:rPr>
        <w:t xml:space="preserve"> verificar la idoneidad de los proponentes en relación con los bienes y servicios adicionales a la obra pública de infraestructura de transporte. </w:t>
      </w:r>
    </w:p>
    <w:p w14:paraId="16F4A104" w14:textId="3BE09CCA" w:rsidR="00C23778" w:rsidRPr="0045129A" w:rsidRDefault="00C23778" w:rsidP="00A26CFD">
      <w:pPr>
        <w:spacing w:line="276" w:lineRule="auto"/>
        <w:ind w:firstLine="708"/>
        <w:jc w:val="both"/>
        <w:rPr>
          <w:rFonts w:ascii="Arial" w:eastAsia="Calibri" w:hAnsi="Arial" w:cs="Arial"/>
          <w:sz w:val="22"/>
        </w:rPr>
      </w:pPr>
      <w:r w:rsidRPr="0045129A">
        <w:rPr>
          <w:rFonts w:ascii="Arial" w:eastAsia="Calibri" w:hAnsi="Arial" w:cs="Arial"/>
          <w:sz w:val="22"/>
        </w:rPr>
        <w:t>Respecto de</w:t>
      </w:r>
      <w:r w:rsidR="003255C9" w:rsidRPr="0045129A">
        <w:rPr>
          <w:rFonts w:ascii="Arial" w:eastAsia="Calibri" w:hAnsi="Arial" w:cs="Arial"/>
          <w:sz w:val="22"/>
        </w:rPr>
        <w:t xml:space="preserve"> la posibilidad de usar definiciones del Anexo 3 para configurar </w:t>
      </w:r>
      <w:r w:rsidR="00E71FBA" w:rsidRPr="0045129A">
        <w:rPr>
          <w:rFonts w:ascii="Arial" w:eastAsia="Calibri" w:hAnsi="Arial" w:cs="Arial"/>
          <w:sz w:val="22"/>
        </w:rPr>
        <w:t>requisitos de experiencia adicional, no se advierte la existencia de res</w:t>
      </w:r>
      <w:r w:rsidR="00DC6CF2" w:rsidRPr="0045129A">
        <w:rPr>
          <w:rFonts w:ascii="Arial" w:eastAsia="Calibri" w:hAnsi="Arial" w:cs="Arial"/>
          <w:sz w:val="22"/>
        </w:rPr>
        <w:t>tricción o prohibición</w:t>
      </w:r>
      <w:r w:rsidR="00E71FBA" w:rsidRPr="0045129A">
        <w:rPr>
          <w:rFonts w:ascii="Arial" w:eastAsia="Calibri" w:hAnsi="Arial" w:cs="Arial"/>
          <w:sz w:val="22"/>
        </w:rPr>
        <w:t xml:space="preserve"> alguna </w:t>
      </w:r>
      <w:r w:rsidR="00DC6CF2" w:rsidRPr="0045129A">
        <w:rPr>
          <w:rFonts w:ascii="Arial" w:eastAsia="Calibri" w:hAnsi="Arial" w:cs="Arial"/>
          <w:sz w:val="22"/>
        </w:rPr>
        <w:t>que lo impida</w:t>
      </w:r>
      <w:r w:rsidR="003F55B8" w:rsidRPr="0045129A">
        <w:rPr>
          <w:rFonts w:ascii="Arial" w:eastAsia="Calibri" w:hAnsi="Arial" w:cs="Arial"/>
          <w:sz w:val="22"/>
        </w:rPr>
        <w:t>; sin embargo, ello solo se podrá realizar conforme</w:t>
      </w:r>
      <w:r w:rsidR="00DC6CF2" w:rsidRPr="0045129A">
        <w:rPr>
          <w:rFonts w:ascii="Arial" w:eastAsia="Calibri" w:hAnsi="Arial" w:cs="Arial"/>
          <w:sz w:val="22"/>
        </w:rPr>
        <w:t xml:space="preserve"> a los parámetros del artículo 4 de la Resolución No. 240 de 2020</w:t>
      </w:r>
      <w:r w:rsidR="003F55B8" w:rsidRPr="0045129A">
        <w:rPr>
          <w:rFonts w:ascii="Arial" w:eastAsia="Calibri" w:hAnsi="Arial" w:cs="Arial"/>
          <w:sz w:val="22"/>
        </w:rPr>
        <w:t>, de acuerdo con lo explicado</w:t>
      </w:r>
      <w:r w:rsidR="00DC6CF2" w:rsidRPr="0045129A">
        <w:rPr>
          <w:rFonts w:ascii="Arial" w:eastAsia="Calibri" w:hAnsi="Arial" w:cs="Arial"/>
          <w:sz w:val="22"/>
        </w:rPr>
        <w:t xml:space="preserve">. </w:t>
      </w:r>
      <w:r w:rsidR="003F55B8" w:rsidRPr="0045129A">
        <w:rPr>
          <w:rFonts w:ascii="Arial" w:eastAsia="Calibri" w:hAnsi="Arial" w:cs="Arial"/>
          <w:sz w:val="22"/>
        </w:rPr>
        <w:t>En todo caso</w:t>
      </w:r>
      <w:r w:rsidR="00DC6CF2" w:rsidRPr="0045129A">
        <w:rPr>
          <w:rFonts w:ascii="Arial" w:eastAsia="Calibri" w:hAnsi="Arial" w:cs="Arial"/>
          <w:sz w:val="22"/>
        </w:rPr>
        <w:t xml:space="preserve">, se itera, </w:t>
      </w:r>
      <w:r w:rsidR="007F3A1C" w:rsidRPr="0045129A">
        <w:rPr>
          <w:rFonts w:ascii="Arial" w:eastAsia="Calibri" w:hAnsi="Arial" w:cs="Arial"/>
          <w:sz w:val="22"/>
        </w:rPr>
        <w:t xml:space="preserve">tal requisito de experiencia establecido por la entidad solo podrá aplicarse a la evaluación de experiencia </w:t>
      </w:r>
      <w:r w:rsidR="00B8350B" w:rsidRPr="0045129A">
        <w:rPr>
          <w:rFonts w:ascii="Arial" w:eastAsia="Calibri" w:hAnsi="Arial" w:cs="Arial"/>
          <w:sz w:val="22"/>
        </w:rPr>
        <w:t>respecto de los bienes y servicios adicionales a la obra pública de infraestructura de transporte.</w:t>
      </w:r>
    </w:p>
    <w:p w14:paraId="44D67472" w14:textId="77777777" w:rsidR="00A26CFD" w:rsidRPr="0045129A" w:rsidRDefault="00A26CFD" w:rsidP="00F16BC8">
      <w:pPr>
        <w:jc w:val="both"/>
        <w:rPr>
          <w:rFonts w:ascii="Arial" w:hAnsi="Arial" w:cs="Arial"/>
          <w:b/>
          <w:bCs/>
          <w:sz w:val="22"/>
        </w:rPr>
      </w:pPr>
    </w:p>
    <w:p w14:paraId="00EBF18D" w14:textId="184CD4B3" w:rsidR="003E0052" w:rsidRPr="0045129A" w:rsidRDefault="003E0052" w:rsidP="00730CFE">
      <w:pPr>
        <w:spacing w:line="276" w:lineRule="auto"/>
        <w:jc w:val="both"/>
        <w:rPr>
          <w:rFonts w:ascii="Arial" w:hAnsi="Arial" w:cs="Arial"/>
          <w:b/>
          <w:bCs/>
          <w:sz w:val="22"/>
        </w:rPr>
      </w:pPr>
      <w:r w:rsidRPr="0045129A">
        <w:rPr>
          <w:rFonts w:ascii="Arial" w:hAnsi="Arial" w:cs="Arial"/>
          <w:b/>
          <w:bCs/>
          <w:sz w:val="22"/>
        </w:rPr>
        <w:t>2.</w:t>
      </w:r>
      <w:r w:rsidR="00A26CFD" w:rsidRPr="0045129A">
        <w:rPr>
          <w:rFonts w:ascii="Arial" w:hAnsi="Arial" w:cs="Arial"/>
          <w:b/>
          <w:bCs/>
          <w:sz w:val="22"/>
        </w:rPr>
        <w:t>3</w:t>
      </w:r>
      <w:r w:rsidRPr="0045129A">
        <w:rPr>
          <w:rFonts w:ascii="Arial" w:hAnsi="Arial" w:cs="Arial"/>
          <w:b/>
          <w:bCs/>
          <w:sz w:val="22"/>
        </w:rPr>
        <w:t xml:space="preserve">. </w:t>
      </w:r>
      <w:r w:rsidR="007E6329" w:rsidRPr="0045129A">
        <w:rPr>
          <w:rFonts w:ascii="Arial" w:hAnsi="Arial" w:cs="Arial"/>
          <w:b/>
          <w:bCs/>
          <w:sz w:val="22"/>
        </w:rPr>
        <w:t xml:space="preserve"> </w:t>
      </w:r>
      <w:r w:rsidR="00297782" w:rsidRPr="0045129A">
        <w:rPr>
          <w:rFonts w:ascii="Arial" w:hAnsi="Arial" w:cs="Arial"/>
          <w:b/>
          <w:bCs/>
          <w:sz w:val="22"/>
        </w:rPr>
        <w:t>El número de contratos para</w:t>
      </w:r>
      <w:r w:rsidR="00323E02" w:rsidRPr="0045129A">
        <w:rPr>
          <w:rFonts w:ascii="Arial" w:hAnsi="Arial" w:cs="Arial"/>
          <w:b/>
          <w:bCs/>
          <w:sz w:val="22"/>
        </w:rPr>
        <w:t xml:space="preserve"> acreditar la experiencia, su relación con el</w:t>
      </w:r>
      <w:r w:rsidR="00E71E62" w:rsidRPr="0045129A">
        <w:rPr>
          <w:rFonts w:ascii="Arial" w:hAnsi="Arial" w:cs="Arial"/>
          <w:b/>
          <w:bCs/>
          <w:sz w:val="22"/>
        </w:rPr>
        <w:t xml:space="preserve"> valor del</w:t>
      </w:r>
      <w:r w:rsidR="00323E02" w:rsidRPr="0045129A">
        <w:rPr>
          <w:rFonts w:ascii="Arial" w:hAnsi="Arial" w:cs="Arial"/>
          <w:b/>
          <w:bCs/>
          <w:sz w:val="22"/>
        </w:rPr>
        <w:t xml:space="preserve"> presupuesto oficial y la posibilidad de subsanar </w:t>
      </w:r>
      <w:r w:rsidR="00D802FF" w:rsidRPr="0045129A">
        <w:rPr>
          <w:rFonts w:ascii="Arial" w:hAnsi="Arial" w:cs="Arial"/>
          <w:b/>
          <w:bCs/>
          <w:sz w:val="22"/>
        </w:rPr>
        <w:t>la información d</w:t>
      </w:r>
      <w:r w:rsidR="00323E02" w:rsidRPr="0045129A">
        <w:rPr>
          <w:rFonts w:ascii="Arial" w:hAnsi="Arial" w:cs="Arial"/>
          <w:b/>
          <w:bCs/>
          <w:sz w:val="22"/>
        </w:rPr>
        <w:t>el «Formato 3 – Experiencia»</w:t>
      </w:r>
    </w:p>
    <w:p w14:paraId="2F1A1E23" w14:textId="77777777" w:rsidR="00297782" w:rsidRPr="0045129A" w:rsidRDefault="00297782" w:rsidP="00F16BC8">
      <w:pPr>
        <w:jc w:val="both"/>
        <w:rPr>
          <w:rFonts w:ascii="Arial" w:hAnsi="Arial" w:cs="Arial"/>
          <w:sz w:val="22"/>
        </w:rPr>
      </w:pPr>
    </w:p>
    <w:p w14:paraId="7BC15C97" w14:textId="12E32549" w:rsidR="00297782" w:rsidRPr="0045129A" w:rsidRDefault="00297782" w:rsidP="00297782">
      <w:pPr>
        <w:spacing w:line="276" w:lineRule="auto"/>
        <w:jc w:val="both"/>
        <w:rPr>
          <w:rFonts w:ascii="Arial" w:hAnsi="Arial" w:cs="Arial"/>
          <w:sz w:val="22"/>
        </w:rPr>
      </w:pPr>
      <w:r w:rsidRPr="0045129A">
        <w:rPr>
          <w:rFonts w:ascii="Arial" w:hAnsi="Arial" w:cs="Arial"/>
          <w:sz w:val="22"/>
        </w:rPr>
        <w:t xml:space="preserve">De acuerdo con las condiciones fijadas en los «Documentos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Así se desprende del literal C, del numeral 3.5.1 del Documento Base adoptado por la Resolución No. 045 de 2020, que indica: </w:t>
      </w:r>
    </w:p>
    <w:p w14:paraId="4409FAA0" w14:textId="77777777" w:rsidR="00297782" w:rsidRPr="0045129A" w:rsidRDefault="00297782" w:rsidP="00297782">
      <w:pPr>
        <w:spacing w:line="276" w:lineRule="auto"/>
        <w:ind w:left="709" w:right="709"/>
        <w:jc w:val="both"/>
        <w:rPr>
          <w:rFonts w:ascii="Arial" w:hAnsi="Arial" w:cs="Arial"/>
          <w:sz w:val="22"/>
        </w:rPr>
      </w:pPr>
    </w:p>
    <w:p w14:paraId="4DE0AA02" w14:textId="77777777" w:rsidR="00297782" w:rsidRPr="0045129A" w:rsidRDefault="00297782" w:rsidP="00297782">
      <w:pPr>
        <w:spacing w:after="120"/>
        <w:ind w:left="709" w:right="709"/>
        <w:jc w:val="both"/>
        <w:rPr>
          <w:rFonts w:ascii="Arial" w:hAnsi="Arial" w:cs="Arial"/>
          <w:sz w:val="21"/>
          <w:szCs w:val="21"/>
        </w:rPr>
      </w:pPr>
      <w:r w:rsidRPr="0045129A">
        <w:rPr>
          <w:rFonts w:ascii="Arial" w:hAnsi="Arial" w:cs="Arial"/>
          <w:sz w:val="21"/>
          <w:szCs w:val="21"/>
        </w:rPr>
        <w:t>3.5.1.</w:t>
      </w:r>
      <w:r w:rsidRPr="0045129A">
        <w:rPr>
          <w:rFonts w:ascii="Arial" w:hAnsi="Arial" w:cs="Arial"/>
          <w:sz w:val="21"/>
          <w:szCs w:val="21"/>
        </w:rPr>
        <w:tab/>
        <w:t xml:space="preserve">CARACTERÍSTICAS DE LOS CONTRATOS PRESENTADOS PARA ACREDITAR LA EXPERIENCIA EXIGIDA </w:t>
      </w:r>
    </w:p>
    <w:p w14:paraId="3EE6FF6B" w14:textId="77777777" w:rsidR="00297782" w:rsidRPr="0045129A" w:rsidRDefault="00297782" w:rsidP="00297782">
      <w:pPr>
        <w:ind w:left="709" w:right="709"/>
        <w:jc w:val="both"/>
        <w:rPr>
          <w:rFonts w:ascii="Arial" w:hAnsi="Arial" w:cs="Arial"/>
          <w:sz w:val="21"/>
          <w:szCs w:val="21"/>
        </w:rPr>
      </w:pPr>
      <w:r w:rsidRPr="0045129A">
        <w:rPr>
          <w:rFonts w:ascii="Arial" w:hAnsi="Arial" w:cs="Arial"/>
          <w:sz w:val="21"/>
          <w:szCs w:val="21"/>
        </w:rPr>
        <w:t>Los contratos para acreditar la experiencia exigida deberán cumplir las siguientes características:</w:t>
      </w:r>
    </w:p>
    <w:p w14:paraId="3EE18CE7" w14:textId="77777777" w:rsidR="00297782" w:rsidRPr="0045129A" w:rsidRDefault="00297782" w:rsidP="00297782">
      <w:pPr>
        <w:spacing w:after="120"/>
        <w:ind w:firstLine="709"/>
        <w:jc w:val="both"/>
        <w:rPr>
          <w:rFonts w:ascii="Arial" w:hAnsi="Arial" w:cs="Arial"/>
          <w:sz w:val="21"/>
          <w:szCs w:val="21"/>
        </w:rPr>
      </w:pPr>
      <w:r w:rsidRPr="0045129A">
        <w:rPr>
          <w:rFonts w:ascii="Arial" w:hAnsi="Arial" w:cs="Arial"/>
          <w:sz w:val="21"/>
          <w:szCs w:val="21"/>
        </w:rPr>
        <w:t>[…]</w:t>
      </w:r>
    </w:p>
    <w:p w14:paraId="6DE75C5F" w14:textId="77777777" w:rsidR="00297782" w:rsidRPr="0045129A" w:rsidRDefault="00297782" w:rsidP="00297782">
      <w:pPr>
        <w:ind w:left="709" w:right="709"/>
        <w:jc w:val="both"/>
        <w:rPr>
          <w:rFonts w:ascii="Arial" w:hAnsi="Arial" w:cs="Arial"/>
          <w:sz w:val="21"/>
          <w:szCs w:val="21"/>
        </w:rPr>
      </w:pPr>
      <w:r w:rsidRPr="0045129A">
        <w:rPr>
          <w:rFonts w:ascii="Arial" w:hAnsi="Arial" w:cs="Arial"/>
          <w:sz w:val="21"/>
          <w:szCs w:val="21"/>
        </w:rPr>
        <w:t>C.</w:t>
      </w:r>
      <w:r w:rsidRPr="0045129A">
        <w:rPr>
          <w:rFonts w:ascii="Arial" w:hAnsi="Arial" w:cs="Arial"/>
          <w:sz w:val="21"/>
          <w:szCs w:val="21"/>
        </w:rPr>
        <w:tab/>
        <w:t>El Proponente podrá acreditar la experiencia con mínimo uno (1) y máximo seis (6) contratos, los cuales serán evaluados teniendo en cuenta la tabla establecida en el numeral 3.5.7 del Pliego de Condiciones, así como el contenido establecido en la Matriz 1 – Experiencia. [En los Procesos estructurados por lotes, el Proponente podrá aportar mínimo uno (1) y máximo seis (6) contratos para cada uno de los lotes o podrá aportar los mismos para todos los lotes]</w:t>
      </w:r>
    </w:p>
    <w:p w14:paraId="5FCF9C46" w14:textId="77777777" w:rsidR="00297782" w:rsidRPr="0045129A" w:rsidRDefault="00297782" w:rsidP="00297782">
      <w:pPr>
        <w:spacing w:line="276" w:lineRule="auto"/>
        <w:ind w:firstLine="708"/>
        <w:jc w:val="both"/>
        <w:rPr>
          <w:rFonts w:ascii="Arial" w:hAnsi="Arial" w:cs="Arial"/>
          <w:sz w:val="22"/>
        </w:rPr>
      </w:pPr>
    </w:p>
    <w:p w14:paraId="3AAB1BB2" w14:textId="77777777" w:rsidR="00297782" w:rsidRPr="0045129A" w:rsidRDefault="00297782" w:rsidP="00297782">
      <w:pPr>
        <w:spacing w:line="276" w:lineRule="auto"/>
        <w:ind w:firstLine="708"/>
        <w:jc w:val="both"/>
        <w:rPr>
          <w:rFonts w:ascii="Arial" w:hAnsi="Arial" w:cs="Arial"/>
          <w:sz w:val="22"/>
        </w:rPr>
      </w:pPr>
      <w:r w:rsidRPr="0045129A">
        <w:rPr>
          <w:rFonts w:ascii="Arial" w:hAnsi="Arial" w:cs="Arial"/>
          <w:sz w:val="22"/>
        </w:rPr>
        <w:t>Esta particularidad se mantiene en el literal D del numeral 3.5.2 del Documento Base adoptado por la Resolución No. 240 de 2020</w:t>
      </w:r>
      <w:r w:rsidRPr="0045129A">
        <w:rPr>
          <w:rStyle w:val="FootnoteReference"/>
          <w:rFonts w:ascii="Arial" w:hAnsi="Arial" w:cs="Arial"/>
          <w:sz w:val="22"/>
        </w:rPr>
        <w:footnoteReference w:id="7"/>
      </w:r>
      <w:r w:rsidRPr="0045129A">
        <w:rPr>
          <w:rFonts w:ascii="Arial" w:hAnsi="Arial" w:cs="Arial"/>
          <w:sz w:val="22"/>
        </w:rPr>
        <w:t>. En esta medida, para efectos de la versión 2 y 3 de los documentos tipo de licitación de obra pública de infraestructura de transporte, los proponentes deben acreditar el requisito de experiencia presentando entre uno y seis contratos</w:t>
      </w:r>
      <w:r w:rsidRPr="0045129A">
        <w:rPr>
          <w:rStyle w:val="FootnoteReference"/>
          <w:rFonts w:ascii="Arial" w:hAnsi="Arial" w:cs="Arial"/>
          <w:sz w:val="22"/>
        </w:rPr>
        <w:footnoteReference w:id="8"/>
      </w:r>
      <w:r w:rsidRPr="0045129A">
        <w:rPr>
          <w:rFonts w:ascii="Arial" w:hAnsi="Arial" w:cs="Arial"/>
          <w:sz w:val="22"/>
        </w:rPr>
        <w:t xml:space="preserve">. </w:t>
      </w:r>
    </w:p>
    <w:p w14:paraId="51525594" w14:textId="72D91B39" w:rsidR="00297782" w:rsidRPr="0045129A" w:rsidRDefault="00297782" w:rsidP="00297782">
      <w:pPr>
        <w:spacing w:before="120" w:line="276" w:lineRule="auto"/>
        <w:ind w:firstLine="708"/>
        <w:jc w:val="both"/>
        <w:rPr>
          <w:rFonts w:ascii="Arial" w:hAnsi="Arial" w:cs="Arial"/>
          <w:sz w:val="22"/>
        </w:rPr>
      </w:pPr>
      <w:r w:rsidRPr="0045129A">
        <w:rPr>
          <w:rFonts w:ascii="Arial" w:hAnsi="Arial" w:cs="Arial"/>
          <w:sz w:val="22"/>
        </w:rPr>
        <w:t xml:space="preserve"> Ahora bien, conforme indica el literal transcrito, los contratos aportados por los proponentes deberán evaluarse conforme a la tabla del numeral 3.5.7. Dicho numeral, en la </w:t>
      </w:r>
      <w:r w:rsidR="00596A86" w:rsidRPr="0045129A">
        <w:rPr>
          <w:rFonts w:ascii="Arial" w:hAnsi="Arial" w:cs="Arial"/>
          <w:sz w:val="22"/>
        </w:rPr>
        <w:t>v</w:t>
      </w:r>
      <w:r w:rsidRPr="0045129A">
        <w:rPr>
          <w:rFonts w:ascii="Arial" w:hAnsi="Arial" w:cs="Arial"/>
          <w:sz w:val="22"/>
        </w:rPr>
        <w:t xml:space="preserve">ersión </w:t>
      </w:r>
      <w:r w:rsidR="00596A86" w:rsidRPr="0045129A">
        <w:rPr>
          <w:rFonts w:ascii="Arial" w:hAnsi="Arial" w:cs="Arial"/>
          <w:sz w:val="22"/>
        </w:rPr>
        <w:t>2</w:t>
      </w:r>
      <w:r w:rsidRPr="0045129A">
        <w:rPr>
          <w:rFonts w:ascii="Arial" w:hAnsi="Arial" w:cs="Arial"/>
          <w:sz w:val="22"/>
        </w:rPr>
        <w:t xml:space="preserve"> del Documento Base de licitación de obra pública de infraestructura de transporte dispone lo siguiente: </w:t>
      </w:r>
    </w:p>
    <w:p w14:paraId="5EA9E767" w14:textId="77777777" w:rsidR="00297782" w:rsidRPr="0045129A" w:rsidRDefault="00297782" w:rsidP="00297782">
      <w:pPr>
        <w:spacing w:line="276" w:lineRule="auto"/>
        <w:ind w:firstLine="708"/>
        <w:jc w:val="both"/>
        <w:rPr>
          <w:rFonts w:ascii="Arial" w:hAnsi="Arial" w:cs="Arial"/>
          <w:sz w:val="22"/>
        </w:rPr>
      </w:pPr>
    </w:p>
    <w:p w14:paraId="371F560D" w14:textId="77777777" w:rsidR="00297782" w:rsidRPr="0045129A" w:rsidRDefault="00297782" w:rsidP="00297782">
      <w:pPr>
        <w:pStyle w:val="InviasNormal"/>
        <w:spacing w:before="0"/>
        <w:ind w:left="709" w:right="709"/>
        <w:outlineLvl w:val="2"/>
        <w:rPr>
          <w:rFonts w:ascii="Arial" w:eastAsia="Arial" w:hAnsi="Arial" w:cs="Arial"/>
          <w:color w:val="auto"/>
          <w:sz w:val="21"/>
          <w:szCs w:val="21"/>
          <w:lang w:val="es-CO"/>
        </w:rPr>
      </w:pPr>
      <w:bookmarkStart w:id="3" w:name="_Ref533083945"/>
      <w:bookmarkStart w:id="4" w:name="_Toc49416222"/>
      <w:r w:rsidRPr="0045129A">
        <w:rPr>
          <w:rFonts w:ascii="Arial" w:eastAsia="Arial" w:hAnsi="Arial" w:cs="Arial"/>
          <w:color w:val="auto"/>
          <w:sz w:val="21"/>
          <w:szCs w:val="21"/>
          <w:lang w:val="es-CO"/>
        </w:rPr>
        <w:t>3.5.7. RELACIÓN DE LOS CONTRATOS FRENTE AL PRESUPUESTO OFICIAL</w:t>
      </w:r>
      <w:bookmarkEnd w:id="3"/>
      <w:bookmarkEnd w:id="4"/>
      <w:r w:rsidRPr="0045129A">
        <w:rPr>
          <w:rFonts w:ascii="Arial" w:eastAsia="Arial" w:hAnsi="Arial" w:cs="Arial"/>
          <w:color w:val="auto"/>
          <w:sz w:val="21"/>
          <w:szCs w:val="21"/>
          <w:lang w:val="es-CO"/>
        </w:rPr>
        <w:t xml:space="preserve"> </w:t>
      </w:r>
    </w:p>
    <w:p w14:paraId="4834FF52" w14:textId="77777777" w:rsidR="00297782" w:rsidRPr="0045129A" w:rsidRDefault="00297782" w:rsidP="00297782">
      <w:pPr>
        <w:ind w:left="709" w:right="709"/>
        <w:jc w:val="both"/>
        <w:rPr>
          <w:rFonts w:ascii="Arial" w:eastAsia="Arial" w:hAnsi="Arial" w:cs="Arial"/>
          <w:sz w:val="21"/>
          <w:szCs w:val="21"/>
          <w:lang w:val="es-ES"/>
        </w:rPr>
      </w:pPr>
      <w:r w:rsidRPr="0045129A">
        <w:rPr>
          <w:rFonts w:ascii="Arial" w:hAnsi="Arial" w:cs="Arial"/>
          <w:sz w:val="21"/>
          <w:szCs w:val="21"/>
          <w:lang w:val="es-ES"/>
        </w:rPr>
        <w:t>La</w:t>
      </w:r>
      <w:r w:rsidRPr="0045129A">
        <w:rPr>
          <w:rFonts w:ascii="Arial" w:eastAsia="Arial" w:hAnsi="Arial" w:cs="Arial"/>
          <w:sz w:val="21"/>
          <w:szCs w:val="21"/>
          <w:lang w:val="es-ES"/>
        </w:rPr>
        <w:t xml:space="preserve"> </w:t>
      </w:r>
      <w:r w:rsidRPr="0045129A">
        <w:rPr>
          <w:rFonts w:ascii="Arial" w:hAnsi="Arial" w:cs="Arial"/>
          <w:sz w:val="21"/>
          <w:szCs w:val="21"/>
          <w:lang w:val="es-ES"/>
        </w:rPr>
        <w:t>verificación del número de contratos para acreditar la experiencia</w:t>
      </w:r>
      <w:r w:rsidRPr="0045129A">
        <w:rPr>
          <w:rFonts w:ascii="Arial" w:eastAsia="Arial" w:hAnsi="Arial" w:cs="Arial"/>
          <w:sz w:val="21"/>
          <w:szCs w:val="21"/>
          <w:lang w:val="es-ES"/>
        </w:rPr>
        <w:t xml:space="preserve"> </w:t>
      </w:r>
      <w:r w:rsidRPr="0045129A">
        <w:rPr>
          <w:rFonts w:ascii="Arial" w:hAnsi="Arial" w:cs="Arial"/>
          <w:sz w:val="21"/>
          <w:szCs w:val="21"/>
          <w:lang w:val="es-ES"/>
        </w:rPr>
        <w:t>se</w:t>
      </w:r>
      <w:r w:rsidRPr="0045129A">
        <w:rPr>
          <w:rFonts w:ascii="Arial" w:eastAsia="Arial" w:hAnsi="Arial" w:cs="Arial"/>
          <w:sz w:val="21"/>
          <w:szCs w:val="21"/>
          <w:lang w:val="es-ES"/>
        </w:rPr>
        <w:t xml:space="preserve"> </w:t>
      </w:r>
      <w:r w:rsidRPr="0045129A">
        <w:rPr>
          <w:rFonts w:ascii="Arial" w:hAnsi="Arial" w:cs="Arial"/>
          <w:sz w:val="21"/>
          <w:szCs w:val="21"/>
          <w:lang w:val="es-ES"/>
        </w:rPr>
        <w:t>realizará</w:t>
      </w:r>
      <w:r w:rsidRPr="0045129A">
        <w:rPr>
          <w:rFonts w:ascii="Arial" w:eastAsia="Arial" w:hAnsi="Arial" w:cs="Arial"/>
          <w:sz w:val="21"/>
          <w:szCs w:val="21"/>
          <w:lang w:val="es-ES"/>
        </w:rPr>
        <w:t xml:space="preserve"> </w:t>
      </w:r>
      <w:r w:rsidRPr="0045129A">
        <w:rPr>
          <w:rFonts w:ascii="Arial" w:hAnsi="Arial" w:cs="Arial"/>
          <w:sz w:val="21"/>
          <w:szCs w:val="21"/>
          <w:lang w:val="es-ES"/>
        </w:rPr>
        <w:t>de</w:t>
      </w:r>
      <w:r w:rsidRPr="0045129A">
        <w:rPr>
          <w:rFonts w:ascii="Arial" w:eastAsia="Arial" w:hAnsi="Arial" w:cs="Arial"/>
          <w:sz w:val="21"/>
          <w:szCs w:val="21"/>
          <w:lang w:val="es-ES"/>
        </w:rPr>
        <w:t xml:space="preserve"> </w:t>
      </w:r>
      <w:r w:rsidRPr="0045129A">
        <w:rPr>
          <w:rFonts w:ascii="Arial" w:hAnsi="Arial" w:cs="Arial"/>
          <w:sz w:val="21"/>
          <w:szCs w:val="21"/>
          <w:lang w:val="es-ES"/>
        </w:rPr>
        <w:t>la</w:t>
      </w:r>
      <w:r w:rsidRPr="0045129A">
        <w:rPr>
          <w:rFonts w:ascii="Arial" w:eastAsia="Arial" w:hAnsi="Arial" w:cs="Arial"/>
          <w:sz w:val="21"/>
          <w:szCs w:val="21"/>
          <w:lang w:val="es-ES"/>
        </w:rPr>
        <w:t xml:space="preserve"> </w:t>
      </w:r>
      <w:r w:rsidRPr="0045129A">
        <w:rPr>
          <w:rFonts w:ascii="Arial" w:hAnsi="Arial" w:cs="Arial"/>
          <w:sz w:val="21"/>
          <w:szCs w:val="21"/>
          <w:lang w:val="es-ES"/>
        </w:rPr>
        <w:t>siguiente</w:t>
      </w:r>
      <w:r w:rsidRPr="0045129A">
        <w:rPr>
          <w:rFonts w:ascii="Arial" w:eastAsia="Arial" w:hAnsi="Arial" w:cs="Arial"/>
          <w:sz w:val="21"/>
          <w:szCs w:val="21"/>
          <w:lang w:val="es-ES"/>
        </w:rPr>
        <w:t xml:space="preserve"> </w:t>
      </w:r>
      <w:r w:rsidRPr="0045129A">
        <w:rPr>
          <w:rFonts w:ascii="Arial" w:hAnsi="Arial" w:cs="Arial"/>
          <w:sz w:val="21"/>
          <w:szCs w:val="21"/>
          <w:lang w:val="es-ES"/>
        </w:rPr>
        <w:t>manera:</w:t>
      </w:r>
    </w:p>
    <w:p w14:paraId="3433DB62" w14:textId="77777777" w:rsidR="00297782" w:rsidRPr="0045129A" w:rsidRDefault="00297782" w:rsidP="00297782">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F16BC8" w:rsidRPr="0045129A" w14:paraId="7C2D4859" w14:textId="77777777" w:rsidTr="00DB4246">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44741C56" w14:textId="77777777" w:rsidR="00297782" w:rsidRPr="0045129A" w:rsidRDefault="00297782" w:rsidP="00DB4246">
            <w:pPr>
              <w:ind w:left="-85" w:right="-48"/>
              <w:jc w:val="center"/>
              <w:rPr>
                <w:rFonts w:ascii="Arial" w:eastAsia="Arial" w:hAnsi="Arial" w:cs="Arial"/>
                <w:b/>
                <w:bCs/>
                <w:color w:val="FFFFFF" w:themeColor="background1"/>
                <w:sz w:val="16"/>
                <w:szCs w:val="16"/>
                <w:lang w:val="es-ES"/>
              </w:rPr>
            </w:pPr>
            <w:r w:rsidRPr="0045129A">
              <w:rPr>
                <w:rFonts w:ascii="Arial" w:hAnsi="Arial" w:cs="Arial"/>
                <w:b/>
                <w:bCs/>
                <w:color w:val="FFFFFF" w:themeColor="background1"/>
                <w:sz w:val="16"/>
                <w:szCs w:val="16"/>
                <w:lang w:val="es-ES"/>
              </w:rPr>
              <w:t>Número</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de</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contratos</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con</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los</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cuales</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el</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Proponente</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cumple</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la</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experiencia</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56FF200" w14:textId="77777777" w:rsidR="00297782" w:rsidRPr="0045129A" w:rsidRDefault="00297782" w:rsidP="00DB4246">
            <w:pPr>
              <w:ind w:left="-27" w:right="30"/>
              <w:jc w:val="center"/>
              <w:rPr>
                <w:rFonts w:ascii="Arial" w:eastAsia="Arial" w:hAnsi="Arial" w:cs="Arial"/>
                <w:b/>
                <w:bCs/>
                <w:color w:val="FFFFFF" w:themeColor="background1"/>
                <w:sz w:val="16"/>
                <w:szCs w:val="16"/>
                <w:lang w:val="es-ES"/>
              </w:rPr>
            </w:pPr>
            <w:r w:rsidRPr="0045129A">
              <w:rPr>
                <w:rFonts w:ascii="Arial" w:hAnsi="Arial" w:cs="Arial"/>
                <w:b/>
                <w:bCs/>
                <w:color w:val="FFFFFF" w:themeColor="background1"/>
                <w:sz w:val="16"/>
                <w:szCs w:val="16"/>
                <w:lang w:val="es-ES"/>
              </w:rPr>
              <w:t>Valor</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mínimo</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a</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certificar</w:t>
            </w:r>
          </w:p>
          <w:p w14:paraId="22A3ACEA" w14:textId="77777777" w:rsidR="00297782" w:rsidRPr="0045129A" w:rsidRDefault="00297782" w:rsidP="00DB4246">
            <w:pPr>
              <w:ind w:left="-27" w:right="30"/>
              <w:jc w:val="center"/>
              <w:rPr>
                <w:rFonts w:ascii="Arial" w:eastAsia="Arial" w:hAnsi="Arial" w:cs="Arial"/>
                <w:b/>
                <w:bCs/>
                <w:color w:val="FFFFFF" w:themeColor="background1"/>
                <w:sz w:val="16"/>
                <w:szCs w:val="16"/>
                <w:lang w:val="es-ES"/>
              </w:rPr>
            </w:pPr>
            <w:r w:rsidRPr="0045129A">
              <w:rPr>
                <w:rFonts w:ascii="Arial" w:hAnsi="Arial" w:cs="Arial"/>
                <w:b/>
                <w:bCs/>
                <w:color w:val="FFFFFF" w:themeColor="background1"/>
                <w:sz w:val="16"/>
                <w:szCs w:val="16"/>
                <w:lang w:val="es-ES"/>
              </w:rPr>
              <w:t>(como</w:t>
            </w:r>
            <w:r w:rsidRPr="0045129A">
              <w:rPr>
                <w:rFonts w:ascii="Arial" w:eastAsia="Arial" w:hAnsi="Arial" w:cs="Arial"/>
                <w:b/>
                <w:bCs/>
                <w:color w:val="FFFFFF" w:themeColor="background1"/>
                <w:sz w:val="16"/>
                <w:szCs w:val="16"/>
                <w:lang w:val="es-ES"/>
              </w:rPr>
              <w:t xml:space="preserve"> % </w:t>
            </w:r>
            <w:r w:rsidRPr="0045129A">
              <w:rPr>
                <w:rFonts w:ascii="Arial" w:hAnsi="Arial" w:cs="Arial"/>
                <w:b/>
                <w:bCs/>
                <w:color w:val="FFFFFF" w:themeColor="background1"/>
                <w:sz w:val="16"/>
                <w:szCs w:val="16"/>
                <w:lang w:val="es-ES"/>
              </w:rPr>
              <w:t>del</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Presupuesto</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Oficial</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de</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obra</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expresado</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en</w:t>
            </w:r>
            <w:r w:rsidRPr="0045129A">
              <w:rPr>
                <w:rFonts w:ascii="Arial" w:eastAsia="Arial" w:hAnsi="Arial" w:cs="Arial"/>
                <w:b/>
                <w:bCs/>
                <w:color w:val="FFFFFF" w:themeColor="background1"/>
                <w:sz w:val="16"/>
                <w:szCs w:val="16"/>
                <w:lang w:val="es-ES"/>
              </w:rPr>
              <w:t xml:space="preserve"> </w:t>
            </w:r>
            <w:r w:rsidRPr="0045129A">
              <w:rPr>
                <w:rFonts w:ascii="Arial" w:hAnsi="Arial" w:cs="Arial"/>
                <w:b/>
                <w:bCs/>
                <w:color w:val="FFFFFF" w:themeColor="background1"/>
                <w:sz w:val="16"/>
                <w:szCs w:val="16"/>
                <w:lang w:val="es-ES"/>
              </w:rPr>
              <w:t>SMMLV)</w:t>
            </w:r>
          </w:p>
        </w:tc>
      </w:tr>
      <w:tr w:rsidR="00F16BC8" w:rsidRPr="0045129A" w14:paraId="6DF42341" w14:textId="77777777" w:rsidTr="00DB4246">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03D7923" w14:textId="77777777" w:rsidR="00297782" w:rsidRPr="0045129A" w:rsidRDefault="00297782" w:rsidP="00DB4246">
            <w:pPr>
              <w:ind w:left="709" w:right="709"/>
              <w:jc w:val="center"/>
              <w:rPr>
                <w:rFonts w:ascii="Arial" w:eastAsia="Arial" w:hAnsi="Arial" w:cs="Arial"/>
                <w:sz w:val="16"/>
                <w:szCs w:val="16"/>
                <w:lang w:val="es-ES"/>
              </w:rPr>
            </w:pPr>
            <w:r w:rsidRPr="0045129A">
              <w:rPr>
                <w:rFonts w:ascii="Arial" w:hAnsi="Arial" w:cs="Arial"/>
                <w:sz w:val="16"/>
                <w:szCs w:val="16"/>
                <w:lang w:val="es-ES"/>
              </w:rPr>
              <w:t>De</w:t>
            </w:r>
            <w:r w:rsidRPr="0045129A">
              <w:rPr>
                <w:rFonts w:ascii="Arial" w:eastAsia="Arial" w:hAnsi="Arial" w:cs="Arial"/>
                <w:sz w:val="16"/>
                <w:szCs w:val="16"/>
                <w:lang w:val="es-ES"/>
              </w:rPr>
              <w:t xml:space="preserve"> </w:t>
            </w:r>
            <w:r w:rsidRPr="0045129A">
              <w:rPr>
                <w:rFonts w:ascii="Arial" w:hAnsi="Arial" w:cs="Arial"/>
                <w:sz w:val="16"/>
                <w:szCs w:val="16"/>
                <w:lang w:val="es-ES"/>
              </w:rPr>
              <w:t>1</w:t>
            </w:r>
            <w:r w:rsidRPr="0045129A">
              <w:rPr>
                <w:rFonts w:ascii="Arial" w:eastAsia="Arial" w:hAnsi="Arial" w:cs="Arial"/>
                <w:sz w:val="16"/>
                <w:szCs w:val="16"/>
                <w:lang w:val="es-ES"/>
              </w:rPr>
              <w:t xml:space="preserve"> </w:t>
            </w:r>
            <w:r w:rsidRPr="0045129A">
              <w:rPr>
                <w:rFonts w:ascii="Arial" w:hAnsi="Arial" w:cs="Arial"/>
                <w:sz w:val="16"/>
                <w:szCs w:val="16"/>
                <w:lang w:val="es-ES"/>
              </w:rPr>
              <w:t>hasta</w:t>
            </w:r>
            <w:r w:rsidRPr="0045129A">
              <w:rPr>
                <w:rFonts w:ascii="Arial" w:eastAsia="Arial" w:hAnsi="Arial" w:cs="Arial"/>
                <w:sz w:val="16"/>
                <w:szCs w:val="16"/>
                <w:lang w:val="es-ES"/>
              </w:rPr>
              <w:t xml:space="preserve"> </w:t>
            </w:r>
            <w:r w:rsidRPr="0045129A">
              <w:rPr>
                <w:rFonts w:ascii="Arial"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015D28D5" w14:textId="77777777" w:rsidR="00297782" w:rsidRPr="0045129A" w:rsidRDefault="00297782" w:rsidP="00DB4246">
            <w:pPr>
              <w:ind w:left="709" w:right="709"/>
              <w:jc w:val="center"/>
              <w:rPr>
                <w:rFonts w:ascii="Arial" w:eastAsia="Arial" w:hAnsi="Arial" w:cs="Arial"/>
                <w:sz w:val="16"/>
                <w:szCs w:val="16"/>
                <w:lang w:val="es-ES"/>
              </w:rPr>
            </w:pPr>
            <w:r w:rsidRPr="0045129A">
              <w:rPr>
                <w:rFonts w:ascii="Arial" w:hAnsi="Arial" w:cs="Arial"/>
                <w:sz w:val="16"/>
                <w:szCs w:val="16"/>
                <w:lang w:val="es-ES"/>
              </w:rPr>
              <w:t>75%</w:t>
            </w:r>
          </w:p>
        </w:tc>
      </w:tr>
      <w:tr w:rsidR="00F16BC8" w:rsidRPr="0045129A" w14:paraId="6839B83A" w14:textId="77777777" w:rsidTr="00DB4246">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49F97770" w14:textId="77777777" w:rsidR="00297782" w:rsidRPr="0045129A" w:rsidRDefault="00297782" w:rsidP="00DB4246">
            <w:pPr>
              <w:ind w:left="709" w:right="709"/>
              <w:jc w:val="center"/>
              <w:rPr>
                <w:rFonts w:ascii="Arial" w:eastAsia="Arial" w:hAnsi="Arial" w:cs="Arial"/>
                <w:sz w:val="16"/>
                <w:szCs w:val="16"/>
                <w:lang w:val="es-ES"/>
              </w:rPr>
            </w:pPr>
            <w:r w:rsidRPr="0045129A">
              <w:rPr>
                <w:rFonts w:ascii="Arial" w:hAnsi="Arial" w:cs="Arial"/>
                <w:sz w:val="16"/>
                <w:szCs w:val="16"/>
                <w:lang w:val="es-ES"/>
              </w:rPr>
              <w:t>De</w:t>
            </w:r>
            <w:r w:rsidRPr="0045129A">
              <w:rPr>
                <w:rFonts w:ascii="Arial" w:eastAsia="Arial" w:hAnsi="Arial" w:cs="Arial"/>
                <w:sz w:val="16"/>
                <w:szCs w:val="16"/>
                <w:lang w:val="es-ES"/>
              </w:rPr>
              <w:t xml:space="preserve"> </w:t>
            </w:r>
            <w:r w:rsidRPr="0045129A">
              <w:rPr>
                <w:rFonts w:ascii="Arial" w:hAnsi="Arial" w:cs="Arial"/>
                <w:sz w:val="16"/>
                <w:szCs w:val="16"/>
                <w:lang w:val="es-ES"/>
              </w:rPr>
              <w:t>3</w:t>
            </w:r>
            <w:r w:rsidRPr="0045129A">
              <w:rPr>
                <w:rFonts w:ascii="Arial" w:eastAsia="Arial" w:hAnsi="Arial" w:cs="Arial"/>
                <w:sz w:val="16"/>
                <w:szCs w:val="16"/>
                <w:lang w:val="es-ES"/>
              </w:rPr>
              <w:t xml:space="preserve"> </w:t>
            </w:r>
            <w:r w:rsidRPr="0045129A">
              <w:rPr>
                <w:rFonts w:ascii="Arial" w:hAnsi="Arial" w:cs="Arial"/>
                <w:sz w:val="16"/>
                <w:szCs w:val="16"/>
                <w:lang w:val="es-ES"/>
              </w:rPr>
              <w:t>hasta</w:t>
            </w:r>
            <w:r w:rsidRPr="0045129A">
              <w:rPr>
                <w:rFonts w:ascii="Arial" w:eastAsia="Arial" w:hAnsi="Arial" w:cs="Arial"/>
                <w:sz w:val="16"/>
                <w:szCs w:val="16"/>
                <w:lang w:val="es-ES"/>
              </w:rPr>
              <w:t xml:space="preserve"> </w:t>
            </w:r>
            <w:r w:rsidRPr="0045129A">
              <w:rPr>
                <w:rFonts w:ascii="Arial"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0267EE9D" w14:textId="77777777" w:rsidR="00297782" w:rsidRPr="0045129A" w:rsidRDefault="00297782" w:rsidP="00DB4246">
            <w:pPr>
              <w:ind w:left="709" w:right="709"/>
              <w:jc w:val="center"/>
              <w:rPr>
                <w:rFonts w:ascii="Arial" w:eastAsia="Arial" w:hAnsi="Arial" w:cs="Arial"/>
                <w:sz w:val="16"/>
                <w:szCs w:val="16"/>
                <w:lang w:val="es-ES"/>
              </w:rPr>
            </w:pPr>
            <w:r w:rsidRPr="0045129A">
              <w:rPr>
                <w:rFonts w:ascii="Arial" w:hAnsi="Arial" w:cs="Arial"/>
                <w:sz w:val="16"/>
                <w:szCs w:val="16"/>
                <w:lang w:val="es-ES"/>
              </w:rPr>
              <w:t>120%</w:t>
            </w:r>
          </w:p>
        </w:tc>
      </w:tr>
      <w:tr w:rsidR="00F16BC8" w:rsidRPr="0045129A" w14:paraId="6853C357" w14:textId="77777777" w:rsidTr="00DB4246">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095D75F2" w14:textId="77777777" w:rsidR="00297782" w:rsidRPr="0045129A" w:rsidRDefault="00297782" w:rsidP="00DB4246">
            <w:pPr>
              <w:ind w:left="709" w:right="709"/>
              <w:jc w:val="center"/>
              <w:rPr>
                <w:rFonts w:ascii="Arial" w:eastAsia="Arial" w:hAnsi="Arial" w:cs="Arial"/>
                <w:sz w:val="16"/>
                <w:szCs w:val="16"/>
                <w:lang w:val="es-ES"/>
              </w:rPr>
            </w:pPr>
            <w:r w:rsidRPr="0045129A">
              <w:rPr>
                <w:rFonts w:ascii="Arial" w:hAnsi="Arial" w:cs="Arial"/>
                <w:sz w:val="16"/>
                <w:szCs w:val="16"/>
                <w:lang w:val="es-ES"/>
              </w:rPr>
              <w:t>De</w:t>
            </w:r>
            <w:r w:rsidRPr="0045129A">
              <w:rPr>
                <w:rFonts w:ascii="Arial" w:eastAsia="Arial" w:hAnsi="Arial" w:cs="Arial"/>
                <w:sz w:val="16"/>
                <w:szCs w:val="16"/>
                <w:lang w:val="es-ES"/>
              </w:rPr>
              <w:t xml:space="preserve"> </w:t>
            </w:r>
            <w:r w:rsidRPr="0045129A">
              <w:rPr>
                <w:rFonts w:ascii="Arial" w:hAnsi="Arial" w:cs="Arial"/>
                <w:sz w:val="16"/>
                <w:szCs w:val="16"/>
                <w:lang w:val="es-ES"/>
              </w:rPr>
              <w:t>5</w:t>
            </w:r>
            <w:r w:rsidRPr="0045129A">
              <w:rPr>
                <w:rFonts w:ascii="Arial" w:eastAsia="Arial" w:hAnsi="Arial" w:cs="Arial"/>
                <w:sz w:val="16"/>
                <w:szCs w:val="16"/>
                <w:lang w:val="es-ES"/>
              </w:rPr>
              <w:t xml:space="preserve"> </w:t>
            </w:r>
            <w:r w:rsidRPr="0045129A">
              <w:rPr>
                <w:rFonts w:ascii="Arial" w:hAnsi="Arial" w:cs="Arial"/>
                <w:sz w:val="16"/>
                <w:szCs w:val="16"/>
                <w:lang w:val="es-ES"/>
              </w:rPr>
              <w:t>hasta</w:t>
            </w:r>
            <w:r w:rsidRPr="0045129A">
              <w:rPr>
                <w:rFonts w:ascii="Arial" w:eastAsia="Arial" w:hAnsi="Arial" w:cs="Arial"/>
                <w:sz w:val="16"/>
                <w:szCs w:val="16"/>
                <w:lang w:val="es-ES"/>
              </w:rPr>
              <w:t xml:space="preserve"> </w:t>
            </w:r>
            <w:r w:rsidRPr="0045129A">
              <w:rPr>
                <w:rFonts w:ascii="Arial"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61828C78" w14:textId="77777777" w:rsidR="00297782" w:rsidRPr="0045129A" w:rsidRDefault="00297782" w:rsidP="00DB4246">
            <w:pPr>
              <w:ind w:left="709" w:right="709"/>
              <w:jc w:val="center"/>
              <w:rPr>
                <w:rFonts w:ascii="Arial" w:eastAsia="Arial" w:hAnsi="Arial" w:cs="Arial"/>
                <w:sz w:val="16"/>
                <w:szCs w:val="16"/>
                <w:lang w:val="es-ES"/>
              </w:rPr>
            </w:pPr>
            <w:r w:rsidRPr="0045129A">
              <w:rPr>
                <w:rFonts w:ascii="Arial" w:hAnsi="Arial" w:cs="Arial"/>
                <w:sz w:val="16"/>
                <w:szCs w:val="16"/>
                <w:lang w:val="es-ES"/>
              </w:rPr>
              <w:t>150%</w:t>
            </w:r>
          </w:p>
        </w:tc>
      </w:tr>
    </w:tbl>
    <w:p w14:paraId="7079C216" w14:textId="77777777" w:rsidR="00297782" w:rsidRPr="0045129A" w:rsidRDefault="00297782" w:rsidP="00297782">
      <w:pPr>
        <w:ind w:left="709" w:right="709"/>
        <w:jc w:val="both"/>
        <w:rPr>
          <w:rFonts w:ascii="Arial" w:hAnsi="Arial" w:cs="Arial"/>
          <w:sz w:val="21"/>
          <w:szCs w:val="21"/>
          <w:lang w:val="es-ES_tradnl"/>
        </w:rPr>
      </w:pPr>
    </w:p>
    <w:p w14:paraId="0A17ABE6" w14:textId="77777777" w:rsidR="00297782" w:rsidRPr="0045129A" w:rsidRDefault="00297782" w:rsidP="00297782">
      <w:pPr>
        <w:spacing w:after="120"/>
        <w:ind w:left="709" w:right="709"/>
        <w:jc w:val="both"/>
        <w:rPr>
          <w:rFonts w:ascii="Arial" w:hAnsi="Arial" w:cs="Arial"/>
          <w:sz w:val="21"/>
          <w:szCs w:val="21"/>
          <w:lang w:val="es-ES_tradnl"/>
        </w:rPr>
      </w:pPr>
      <w:r w:rsidRPr="0045129A">
        <w:rPr>
          <w:rFonts w:ascii="Arial" w:hAnsi="Arial" w:cs="Arial"/>
          <w:sz w:val="21"/>
          <w:szCs w:val="21"/>
          <w:lang w:val="es-ES"/>
        </w:rPr>
        <w:t>La</w:t>
      </w:r>
      <w:r w:rsidRPr="0045129A">
        <w:rPr>
          <w:rFonts w:ascii="Arial" w:eastAsia="Arial" w:hAnsi="Arial" w:cs="Arial"/>
          <w:sz w:val="21"/>
          <w:szCs w:val="21"/>
          <w:lang w:val="es-ES"/>
        </w:rPr>
        <w:t xml:space="preserve"> </w:t>
      </w:r>
      <w:r w:rsidRPr="0045129A">
        <w:rPr>
          <w:rFonts w:ascii="Arial" w:hAnsi="Arial" w:cs="Arial"/>
          <w:sz w:val="21"/>
          <w:szCs w:val="21"/>
          <w:lang w:val="es-ES"/>
        </w:rPr>
        <w:t>verificación</w:t>
      </w:r>
      <w:r w:rsidRPr="0045129A">
        <w:rPr>
          <w:rFonts w:ascii="Arial" w:eastAsia="Arial" w:hAnsi="Arial" w:cs="Arial"/>
          <w:sz w:val="21"/>
          <w:szCs w:val="21"/>
          <w:lang w:val="es-ES"/>
        </w:rPr>
        <w:t xml:space="preserve"> </w:t>
      </w:r>
      <w:r w:rsidRPr="0045129A">
        <w:rPr>
          <w:rFonts w:ascii="Arial" w:hAnsi="Arial" w:cs="Arial"/>
          <w:sz w:val="21"/>
          <w:szCs w:val="21"/>
          <w:lang w:val="es-ES"/>
        </w:rPr>
        <w:t>se</w:t>
      </w:r>
      <w:r w:rsidRPr="0045129A">
        <w:rPr>
          <w:rFonts w:ascii="Arial" w:eastAsia="Arial" w:hAnsi="Arial" w:cs="Arial"/>
          <w:sz w:val="21"/>
          <w:szCs w:val="21"/>
          <w:lang w:val="es-ES"/>
        </w:rPr>
        <w:t xml:space="preserve"> </w:t>
      </w:r>
      <w:r w:rsidRPr="0045129A">
        <w:rPr>
          <w:rFonts w:ascii="Arial" w:hAnsi="Arial" w:cs="Arial"/>
          <w:sz w:val="21"/>
          <w:szCs w:val="21"/>
          <w:lang w:val="es-ES"/>
        </w:rPr>
        <w:t>hará</w:t>
      </w:r>
      <w:r w:rsidRPr="0045129A">
        <w:rPr>
          <w:rFonts w:ascii="Arial" w:eastAsia="Arial" w:hAnsi="Arial" w:cs="Arial"/>
          <w:sz w:val="21"/>
          <w:szCs w:val="21"/>
          <w:lang w:val="es-ES"/>
        </w:rPr>
        <w:t xml:space="preserve"> </w:t>
      </w:r>
      <w:r w:rsidRPr="0045129A">
        <w:rPr>
          <w:rFonts w:ascii="Arial" w:hAnsi="Arial" w:cs="Arial"/>
          <w:sz w:val="21"/>
          <w:szCs w:val="21"/>
          <w:lang w:val="es-ES"/>
        </w:rPr>
        <w:t>con</w:t>
      </w:r>
      <w:r w:rsidRPr="0045129A">
        <w:rPr>
          <w:rFonts w:ascii="Arial" w:eastAsia="Arial" w:hAnsi="Arial" w:cs="Arial"/>
          <w:sz w:val="21"/>
          <w:szCs w:val="21"/>
          <w:lang w:val="es-ES"/>
        </w:rPr>
        <w:t xml:space="preserve"> </w:t>
      </w:r>
      <w:r w:rsidRPr="0045129A">
        <w:rPr>
          <w:rFonts w:ascii="Arial" w:hAnsi="Arial" w:cs="Arial"/>
          <w:sz w:val="21"/>
          <w:szCs w:val="21"/>
          <w:lang w:val="es-ES"/>
        </w:rPr>
        <w:t>base</w:t>
      </w:r>
      <w:r w:rsidRPr="0045129A">
        <w:rPr>
          <w:rFonts w:ascii="Arial" w:eastAsia="Arial" w:hAnsi="Arial" w:cs="Arial"/>
          <w:sz w:val="21"/>
          <w:szCs w:val="21"/>
          <w:lang w:val="es-ES"/>
        </w:rPr>
        <w:t xml:space="preserve"> </w:t>
      </w:r>
      <w:r w:rsidRPr="0045129A">
        <w:rPr>
          <w:rFonts w:ascii="Arial" w:hAnsi="Arial" w:cs="Arial"/>
          <w:sz w:val="21"/>
          <w:szCs w:val="21"/>
          <w:lang w:val="es-ES"/>
        </w:rPr>
        <w:t>en</w:t>
      </w:r>
      <w:r w:rsidRPr="0045129A">
        <w:rPr>
          <w:rFonts w:ascii="Arial" w:eastAsia="Arial" w:hAnsi="Arial" w:cs="Arial"/>
          <w:sz w:val="21"/>
          <w:szCs w:val="21"/>
          <w:lang w:val="es-ES"/>
        </w:rPr>
        <w:t xml:space="preserve"> </w:t>
      </w:r>
      <w:r w:rsidRPr="0045129A">
        <w:rPr>
          <w:rFonts w:ascii="Arial" w:hAnsi="Arial" w:cs="Arial"/>
          <w:sz w:val="21"/>
          <w:szCs w:val="21"/>
          <w:lang w:val="es-ES"/>
        </w:rPr>
        <w:t>la</w:t>
      </w:r>
      <w:r w:rsidRPr="0045129A">
        <w:rPr>
          <w:rFonts w:ascii="Arial" w:eastAsia="Arial" w:hAnsi="Arial" w:cs="Arial"/>
          <w:sz w:val="21"/>
          <w:szCs w:val="21"/>
          <w:lang w:val="es-ES"/>
        </w:rPr>
        <w:t xml:space="preserve"> </w:t>
      </w:r>
      <w:r w:rsidRPr="0045129A">
        <w:rPr>
          <w:rFonts w:ascii="Arial" w:hAnsi="Arial" w:cs="Arial"/>
          <w:sz w:val="21"/>
          <w:szCs w:val="21"/>
          <w:lang w:val="es-ES"/>
        </w:rPr>
        <w:t>sumatoria</w:t>
      </w:r>
      <w:r w:rsidRPr="0045129A">
        <w:rPr>
          <w:rFonts w:ascii="Arial" w:eastAsia="Arial" w:hAnsi="Arial" w:cs="Arial"/>
          <w:sz w:val="21"/>
          <w:szCs w:val="21"/>
          <w:lang w:val="es-ES"/>
        </w:rPr>
        <w:t xml:space="preserve"> </w:t>
      </w:r>
      <w:r w:rsidRPr="0045129A">
        <w:rPr>
          <w:rFonts w:ascii="Arial" w:hAnsi="Arial" w:cs="Arial"/>
          <w:sz w:val="21"/>
          <w:szCs w:val="21"/>
          <w:lang w:val="es-ES"/>
        </w:rPr>
        <w:t>de</w:t>
      </w:r>
      <w:r w:rsidRPr="0045129A">
        <w:rPr>
          <w:rFonts w:ascii="Arial" w:eastAsia="Arial" w:hAnsi="Arial" w:cs="Arial"/>
          <w:sz w:val="21"/>
          <w:szCs w:val="21"/>
          <w:lang w:val="es-ES"/>
        </w:rPr>
        <w:t xml:space="preserve"> </w:t>
      </w:r>
      <w:r w:rsidRPr="0045129A">
        <w:rPr>
          <w:rFonts w:ascii="Arial" w:hAnsi="Arial" w:cs="Arial"/>
          <w:sz w:val="21"/>
          <w:szCs w:val="21"/>
          <w:lang w:val="es-ES"/>
        </w:rPr>
        <w:t>los</w:t>
      </w:r>
      <w:r w:rsidRPr="0045129A">
        <w:rPr>
          <w:rFonts w:ascii="Arial" w:eastAsia="Arial" w:hAnsi="Arial" w:cs="Arial"/>
          <w:sz w:val="21"/>
          <w:szCs w:val="21"/>
          <w:lang w:val="es-ES"/>
        </w:rPr>
        <w:t xml:space="preserve"> </w:t>
      </w:r>
      <w:r w:rsidRPr="0045129A">
        <w:rPr>
          <w:rFonts w:ascii="Arial" w:hAnsi="Arial" w:cs="Arial"/>
          <w:sz w:val="21"/>
          <w:szCs w:val="21"/>
          <w:lang w:val="es-ES"/>
        </w:rPr>
        <w:t>valores</w:t>
      </w:r>
      <w:r w:rsidRPr="0045129A">
        <w:rPr>
          <w:rFonts w:ascii="Arial" w:eastAsia="Arial" w:hAnsi="Arial" w:cs="Arial"/>
          <w:sz w:val="21"/>
          <w:szCs w:val="21"/>
          <w:lang w:val="es-ES"/>
        </w:rPr>
        <w:t xml:space="preserve"> </w:t>
      </w:r>
      <w:r w:rsidRPr="0045129A">
        <w:rPr>
          <w:rFonts w:ascii="Arial" w:hAnsi="Arial" w:cs="Arial"/>
          <w:sz w:val="21"/>
          <w:szCs w:val="21"/>
          <w:lang w:val="es-ES"/>
        </w:rPr>
        <w:t>totales</w:t>
      </w:r>
      <w:r w:rsidRPr="0045129A">
        <w:rPr>
          <w:rFonts w:ascii="Arial" w:eastAsia="Arial" w:hAnsi="Arial" w:cs="Arial"/>
          <w:sz w:val="21"/>
          <w:szCs w:val="21"/>
          <w:lang w:val="es-ES"/>
        </w:rPr>
        <w:t xml:space="preserve"> </w:t>
      </w:r>
      <w:r w:rsidRPr="0045129A">
        <w:rPr>
          <w:rFonts w:ascii="Arial" w:hAnsi="Arial" w:cs="Arial"/>
          <w:sz w:val="21"/>
          <w:szCs w:val="21"/>
          <w:lang w:val="es-ES"/>
        </w:rPr>
        <w:t>ejecutados</w:t>
      </w:r>
      <w:r w:rsidRPr="0045129A">
        <w:rPr>
          <w:rFonts w:ascii="Arial" w:eastAsia="Arial" w:hAnsi="Arial" w:cs="Arial"/>
          <w:sz w:val="21"/>
          <w:szCs w:val="21"/>
          <w:lang w:val="es-ES"/>
        </w:rPr>
        <w:t xml:space="preserve"> </w:t>
      </w:r>
      <w:r w:rsidRPr="0045129A">
        <w:rPr>
          <w:rFonts w:ascii="Arial" w:hAnsi="Arial" w:cs="Arial"/>
          <w:sz w:val="21"/>
          <w:szCs w:val="21"/>
          <w:lang w:val="es-ES"/>
        </w:rPr>
        <w:t>(incluido</w:t>
      </w:r>
      <w:r w:rsidRPr="0045129A">
        <w:rPr>
          <w:rFonts w:ascii="Arial" w:eastAsia="Arial" w:hAnsi="Arial" w:cs="Arial"/>
          <w:sz w:val="21"/>
          <w:szCs w:val="21"/>
          <w:lang w:val="es-ES"/>
        </w:rPr>
        <w:t xml:space="preserve"> </w:t>
      </w:r>
      <w:r w:rsidRPr="0045129A">
        <w:rPr>
          <w:rFonts w:ascii="Arial" w:hAnsi="Arial" w:cs="Arial"/>
          <w:sz w:val="21"/>
          <w:szCs w:val="21"/>
          <w:lang w:val="es-ES"/>
        </w:rPr>
        <w:t>IVA)</w:t>
      </w:r>
      <w:r w:rsidRPr="0045129A">
        <w:rPr>
          <w:rFonts w:ascii="Arial" w:eastAsia="Arial" w:hAnsi="Arial" w:cs="Arial"/>
          <w:sz w:val="21"/>
          <w:szCs w:val="21"/>
          <w:lang w:val="es-ES"/>
        </w:rPr>
        <w:t xml:space="preserve"> </w:t>
      </w:r>
      <w:r w:rsidRPr="0045129A">
        <w:rPr>
          <w:rFonts w:ascii="Arial" w:hAnsi="Arial" w:cs="Arial"/>
          <w:sz w:val="21"/>
          <w:szCs w:val="21"/>
          <w:lang w:val="es-ES"/>
        </w:rPr>
        <w:t>en</w:t>
      </w:r>
      <w:r w:rsidRPr="0045129A">
        <w:rPr>
          <w:rFonts w:ascii="Arial" w:eastAsia="Arial" w:hAnsi="Arial" w:cs="Arial"/>
          <w:sz w:val="21"/>
          <w:szCs w:val="21"/>
          <w:lang w:val="es-ES"/>
        </w:rPr>
        <w:t xml:space="preserve"> </w:t>
      </w:r>
      <w:r w:rsidRPr="0045129A">
        <w:rPr>
          <w:rFonts w:ascii="Arial" w:hAnsi="Arial" w:cs="Arial"/>
          <w:sz w:val="21"/>
          <w:szCs w:val="21"/>
          <w:lang w:val="es-ES"/>
        </w:rPr>
        <w:t>SMMLV</w:t>
      </w:r>
      <w:r w:rsidRPr="0045129A">
        <w:rPr>
          <w:rFonts w:ascii="Arial" w:eastAsia="Arial" w:hAnsi="Arial" w:cs="Arial"/>
          <w:sz w:val="21"/>
          <w:szCs w:val="21"/>
          <w:lang w:val="es-ES"/>
        </w:rPr>
        <w:t xml:space="preserve"> </w:t>
      </w:r>
      <w:r w:rsidRPr="0045129A">
        <w:rPr>
          <w:rFonts w:ascii="Arial" w:hAnsi="Arial" w:cs="Arial"/>
          <w:sz w:val="21"/>
          <w:szCs w:val="21"/>
          <w:lang w:val="es-ES"/>
        </w:rPr>
        <w:t>de</w:t>
      </w:r>
      <w:r w:rsidRPr="0045129A">
        <w:rPr>
          <w:rFonts w:ascii="Arial" w:eastAsia="Arial" w:hAnsi="Arial" w:cs="Arial"/>
          <w:sz w:val="21"/>
          <w:szCs w:val="21"/>
          <w:lang w:val="es-ES"/>
        </w:rPr>
        <w:t xml:space="preserve"> </w:t>
      </w:r>
      <w:r w:rsidRPr="0045129A">
        <w:rPr>
          <w:rFonts w:ascii="Arial" w:hAnsi="Arial" w:cs="Arial"/>
          <w:sz w:val="21"/>
          <w:szCs w:val="21"/>
          <w:lang w:val="es-ES"/>
        </w:rPr>
        <w:t>los</w:t>
      </w:r>
      <w:r w:rsidRPr="0045129A">
        <w:rPr>
          <w:rFonts w:ascii="Arial" w:eastAsia="Arial" w:hAnsi="Arial" w:cs="Arial"/>
          <w:sz w:val="21"/>
          <w:szCs w:val="21"/>
          <w:lang w:val="es-ES"/>
        </w:rPr>
        <w:t xml:space="preserve"> </w:t>
      </w:r>
      <w:r w:rsidRPr="0045129A">
        <w:rPr>
          <w:rFonts w:ascii="Arial" w:hAnsi="Arial" w:cs="Arial"/>
          <w:sz w:val="21"/>
          <w:szCs w:val="21"/>
          <w:lang w:val="es-ES"/>
        </w:rPr>
        <w:t>contratos</w:t>
      </w:r>
      <w:r w:rsidRPr="0045129A">
        <w:rPr>
          <w:rFonts w:ascii="Arial" w:eastAsia="Arial" w:hAnsi="Arial" w:cs="Arial"/>
          <w:sz w:val="21"/>
          <w:szCs w:val="21"/>
          <w:lang w:val="es-ES"/>
        </w:rPr>
        <w:t xml:space="preserve"> </w:t>
      </w:r>
      <w:r w:rsidRPr="0045129A">
        <w:rPr>
          <w:rFonts w:ascii="Arial" w:hAnsi="Arial" w:cs="Arial"/>
          <w:sz w:val="21"/>
          <w:szCs w:val="21"/>
          <w:lang w:val="es-ES"/>
        </w:rPr>
        <w:t>que</w:t>
      </w:r>
      <w:r w:rsidRPr="0045129A">
        <w:rPr>
          <w:rFonts w:ascii="Arial" w:eastAsia="Arial" w:hAnsi="Arial" w:cs="Arial"/>
          <w:sz w:val="21"/>
          <w:szCs w:val="21"/>
          <w:lang w:val="es-ES"/>
        </w:rPr>
        <w:t xml:space="preserve"> </w:t>
      </w:r>
      <w:r w:rsidRPr="0045129A">
        <w:rPr>
          <w:rFonts w:ascii="Arial" w:hAnsi="Arial" w:cs="Arial"/>
          <w:sz w:val="21"/>
          <w:szCs w:val="21"/>
          <w:lang w:val="es-ES"/>
        </w:rPr>
        <w:t>cumplan</w:t>
      </w:r>
      <w:r w:rsidRPr="0045129A">
        <w:rPr>
          <w:rFonts w:ascii="Arial" w:eastAsia="Arial" w:hAnsi="Arial" w:cs="Arial"/>
          <w:sz w:val="21"/>
          <w:szCs w:val="21"/>
          <w:lang w:val="es-ES"/>
        </w:rPr>
        <w:t xml:space="preserve"> </w:t>
      </w:r>
      <w:r w:rsidRPr="0045129A">
        <w:rPr>
          <w:rFonts w:ascii="Arial" w:hAnsi="Arial" w:cs="Arial"/>
          <w:sz w:val="21"/>
          <w:szCs w:val="21"/>
          <w:lang w:val="es-ES"/>
        </w:rPr>
        <w:t>con</w:t>
      </w:r>
      <w:r w:rsidRPr="0045129A">
        <w:rPr>
          <w:rFonts w:ascii="Arial" w:eastAsia="Arial" w:hAnsi="Arial" w:cs="Arial"/>
          <w:sz w:val="21"/>
          <w:szCs w:val="21"/>
          <w:lang w:val="es-ES"/>
        </w:rPr>
        <w:t xml:space="preserve"> </w:t>
      </w:r>
      <w:r w:rsidRPr="0045129A">
        <w:rPr>
          <w:rFonts w:ascii="Arial" w:hAnsi="Arial" w:cs="Arial"/>
          <w:sz w:val="21"/>
          <w:szCs w:val="21"/>
          <w:lang w:val="es-ES"/>
        </w:rPr>
        <w:t>los</w:t>
      </w:r>
      <w:r w:rsidRPr="0045129A">
        <w:rPr>
          <w:rFonts w:ascii="Arial" w:eastAsia="Arial" w:hAnsi="Arial" w:cs="Arial"/>
          <w:sz w:val="21"/>
          <w:szCs w:val="21"/>
          <w:lang w:val="es-ES"/>
        </w:rPr>
        <w:t xml:space="preserve"> </w:t>
      </w:r>
      <w:r w:rsidRPr="0045129A">
        <w:rPr>
          <w:rFonts w:ascii="Arial" w:hAnsi="Arial" w:cs="Arial"/>
          <w:sz w:val="21"/>
          <w:szCs w:val="21"/>
          <w:lang w:val="es-ES"/>
        </w:rPr>
        <w:t>requisitos</w:t>
      </w:r>
      <w:r w:rsidRPr="0045129A">
        <w:rPr>
          <w:rFonts w:ascii="Arial" w:eastAsia="Arial" w:hAnsi="Arial" w:cs="Arial"/>
          <w:sz w:val="21"/>
          <w:szCs w:val="21"/>
          <w:lang w:val="es-ES"/>
        </w:rPr>
        <w:t xml:space="preserve"> </w:t>
      </w:r>
      <w:r w:rsidRPr="0045129A">
        <w:rPr>
          <w:rFonts w:ascii="Arial" w:hAnsi="Arial" w:cs="Arial"/>
          <w:sz w:val="21"/>
          <w:szCs w:val="21"/>
          <w:lang w:val="es-ES"/>
        </w:rPr>
        <w:t>establecidos</w:t>
      </w:r>
      <w:r w:rsidRPr="0045129A">
        <w:rPr>
          <w:rFonts w:ascii="Arial" w:eastAsia="Arial" w:hAnsi="Arial" w:cs="Arial"/>
          <w:sz w:val="21"/>
          <w:szCs w:val="21"/>
          <w:lang w:val="es-ES"/>
        </w:rPr>
        <w:t xml:space="preserve"> </w:t>
      </w:r>
      <w:r w:rsidRPr="0045129A">
        <w:rPr>
          <w:rFonts w:ascii="Arial" w:hAnsi="Arial" w:cs="Arial"/>
          <w:sz w:val="21"/>
          <w:szCs w:val="21"/>
          <w:lang w:val="es-ES"/>
        </w:rPr>
        <w:t>en</w:t>
      </w:r>
      <w:r w:rsidRPr="0045129A">
        <w:rPr>
          <w:rFonts w:ascii="Arial" w:eastAsia="Arial" w:hAnsi="Arial" w:cs="Arial"/>
          <w:sz w:val="21"/>
          <w:szCs w:val="21"/>
          <w:lang w:val="es-ES"/>
        </w:rPr>
        <w:t xml:space="preserve"> </w:t>
      </w:r>
      <w:r w:rsidRPr="0045129A">
        <w:rPr>
          <w:rFonts w:ascii="Arial" w:hAnsi="Arial" w:cs="Arial"/>
          <w:sz w:val="21"/>
          <w:szCs w:val="21"/>
          <w:lang w:val="es-ES"/>
        </w:rPr>
        <w:t>este</w:t>
      </w:r>
      <w:r w:rsidRPr="0045129A">
        <w:rPr>
          <w:rFonts w:ascii="Arial" w:eastAsia="Arial" w:hAnsi="Arial" w:cs="Arial"/>
          <w:sz w:val="21"/>
          <w:szCs w:val="21"/>
          <w:lang w:val="es-ES"/>
        </w:rPr>
        <w:t xml:space="preserve"> </w:t>
      </w:r>
      <w:r w:rsidRPr="0045129A">
        <w:rPr>
          <w:rFonts w:ascii="Arial" w:hAnsi="Arial" w:cs="Arial"/>
          <w:sz w:val="21"/>
          <w:szCs w:val="21"/>
          <w:lang w:val="es-ES"/>
        </w:rPr>
        <w:t>Pliego</w:t>
      </w:r>
      <w:r w:rsidRPr="0045129A">
        <w:rPr>
          <w:rFonts w:ascii="Arial" w:eastAsia="Arial" w:hAnsi="Arial" w:cs="Arial"/>
          <w:sz w:val="21"/>
          <w:szCs w:val="21"/>
          <w:lang w:val="es-ES"/>
        </w:rPr>
        <w:t xml:space="preserve"> </w:t>
      </w:r>
      <w:r w:rsidRPr="0045129A">
        <w:rPr>
          <w:rFonts w:ascii="Arial" w:hAnsi="Arial" w:cs="Arial"/>
          <w:sz w:val="21"/>
          <w:szCs w:val="21"/>
          <w:lang w:val="es-ES"/>
        </w:rPr>
        <w:t>de</w:t>
      </w:r>
      <w:r w:rsidRPr="0045129A">
        <w:rPr>
          <w:rFonts w:ascii="Arial" w:eastAsia="Arial" w:hAnsi="Arial" w:cs="Arial"/>
          <w:sz w:val="21"/>
          <w:szCs w:val="21"/>
          <w:lang w:val="es-ES"/>
        </w:rPr>
        <w:t xml:space="preserve"> </w:t>
      </w:r>
      <w:r w:rsidRPr="0045129A">
        <w:rPr>
          <w:rFonts w:ascii="Arial" w:hAnsi="Arial" w:cs="Arial"/>
          <w:sz w:val="21"/>
          <w:szCs w:val="21"/>
          <w:lang w:val="es-ES"/>
        </w:rPr>
        <w:t>Condiciones</w:t>
      </w:r>
      <w:r w:rsidRPr="0045129A">
        <w:rPr>
          <w:rFonts w:ascii="Arial" w:eastAsia="Arial" w:hAnsi="Arial" w:cs="Arial"/>
          <w:sz w:val="21"/>
          <w:szCs w:val="21"/>
          <w:lang w:val="es-ES"/>
        </w:rPr>
        <w:t>.</w:t>
      </w:r>
    </w:p>
    <w:p w14:paraId="492A4B3B" w14:textId="77777777" w:rsidR="00297782" w:rsidRPr="0045129A" w:rsidRDefault="00297782" w:rsidP="00297782">
      <w:pPr>
        <w:spacing w:after="120"/>
        <w:ind w:left="709" w:right="709"/>
        <w:jc w:val="both"/>
        <w:rPr>
          <w:rFonts w:ascii="Arial" w:hAnsi="Arial" w:cs="Arial"/>
          <w:sz w:val="21"/>
          <w:szCs w:val="21"/>
          <w:lang w:val="es-ES_tradnl"/>
        </w:rPr>
      </w:pPr>
      <w:r w:rsidRPr="0045129A">
        <w:rPr>
          <w:rFonts w:ascii="Arial" w:hAnsi="Arial" w:cs="Arial"/>
          <w:sz w:val="21"/>
          <w:szCs w:val="21"/>
          <w:lang w:val="es-ES"/>
        </w:rPr>
        <w:t>El Proponente cumple el requisito de experiencia si</w:t>
      </w:r>
      <w:r w:rsidRPr="0045129A">
        <w:rPr>
          <w:rFonts w:ascii="Arial" w:eastAsia="Arial" w:hAnsi="Arial" w:cs="Arial"/>
          <w:sz w:val="21"/>
          <w:szCs w:val="21"/>
          <w:lang w:val="es-ES"/>
        </w:rPr>
        <w:t xml:space="preserve"> </w:t>
      </w:r>
      <w:r w:rsidRPr="0045129A">
        <w:rPr>
          <w:rFonts w:ascii="Arial" w:hAnsi="Arial" w:cs="Arial"/>
          <w:sz w:val="21"/>
          <w:szCs w:val="21"/>
          <w:lang w:val="es-ES"/>
        </w:rPr>
        <w:t>la</w:t>
      </w:r>
      <w:r w:rsidRPr="0045129A">
        <w:rPr>
          <w:rFonts w:ascii="Arial" w:eastAsia="Arial" w:hAnsi="Arial" w:cs="Arial"/>
          <w:sz w:val="21"/>
          <w:szCs w:val="21"/>
          <w:lang w:val="es-ES"/>
        </w:rPr>
        <w:t xml:space="preserve"> </w:t>
      </w:r>
      <w:r w:rsidRPr="0045129A">
        <w:rPr>
          <w:rFonts w:ascii="Arial" w:hAnsi="Arial" w:cs="Arial"/>
          <w:sz w:val="21"/>
          <w:szCs w:val="21"/>
          <w:lang w:val="es-ES"/>
        </w:rPr>
        <w:t>sumatoria</w:t>
      </w:r>
      <w:r w:rsidRPr="0045129A">
        <w:rPr>
          <w:rFonts w:ascii="Arial" w:eastAsia="Arial" w:hAnsi="Arial" w:cs="Arial"/>
          <w:sz w:val="21"/>
          <w:szCs w:val="21"/>
          <w:lang w:val="es-ES"/>
        </w:rPr>
        <w:t xml:space="preserve"> </w:t>
      </w:r>
      <w:r w:rsidRPr="0045129A">
        <w:rPr>
          <w:rFonts w:ascii="Arial" w:hAnsi="Arial" w:cs="Arial"/>
          <w:sz w:val="21"/>
          <w:szCs w:val="21"/>
          <w:lang w:val="es-ES"/>
        </w:rPr>
        <w:t>de</w:t>
      </w:r>
      <w:r w:rsidRPr="0045129A">
        <w:rPr>
          <w:rFonts w:ascii="Arial" w:eastAsia="Arial" w:hAnsi="Arial" w:cs="Arial"/>
          <w:sz w:val="21"/>
          <w:szCs w:val="21"/>
          <w:lang w:val="es-ES"/>
        </w:rPr>
        <w:t xml:space="preserve"> </w:t>
      </w:r>
      <w:r w:rsidRPr="0045129A">
        <w:rPr>
          <w:rFonts w:ascii="Arial" w:hAnsi="Arial" w:cs="Arial"/>
          <w:sz w:val="21"/>
          <w:szCs w:val="21"/>
          <w:lang w:val="es-ES"/>
        </w:rPr>
        <w:t>los valores totales ejecutados</w:t>
      </w:r>
      <w:r w:rsidRPr="0045129A">
        <w:rPr>
          <w:rFonts w:ascii="Arial" w:eastAsia="Arial" w:hAnsi="Arial" w:cs="Arial"/>
          <w:sz w:val="21"/>
          <w:szCs w:val="21"/>
          <w:lang w:val="es-ES"/>
        </w:rPr>
        <w:t xml:space="preserve"> </w:t>
      </w:r>
      <w:r w:rsidRPr="0045129A">
        <w:rPr>
          <w:rFonts w:ascii="Arial" w:hAnsi="Arial" w:cs="Arial"/>
          <w:sz w:val="21"/>
          <w:szCs w:val="21"/>
          <w:lang w:val="es-ES"/>
        </w:rPr>
        <w:t>(incluido</w:t>
      </w:r>
      <w:r w:rsidRPr="0045129A">
        <w:rPr>
          <w:rFonts w:ascii="Arial" w:eastAsia="Arial" w:hAnsi="Arial" w:cs="Arial"/>
          <w:sz w:val="21"/>
          <w:szCs w:val="21"/>
          <w:lang w:val="es-ES"/>
        </w:rPr>
        <w:t xml:space="preserve"> </w:t>
      </w:r>
      <w:r w:rsidRPr="0045129A">
        <w:rPr>
          <w:rFonts w:ascii="Arial" w:hAnsi="Arial" w:cs="Arial"/>
          <w:sz w:val="21"/>
          <w:szCs w:val="21"/>
          <w:lang w:val="es-ES"/>
        </w:rPr>
        <w:t>IVA)</w:t>
      </w:r>
      <w:r w:rsidRPr="0045129A">
        <w:rPr>
          <w:rFonts w:ascii="Arial" w:eastAsia="Arial" w:hAnsi="Arial" w:cs="Arial"/>
          <w:sz w:val="21"/>
          <w:szCs w:val="21"/>
          <w:lang w:val="es-ES"/>
        </w:rPr>
        <w:t xml:space="preserve"> </w:t>
      </w:r>
      <w:r w:rsidRPr="0045129A">
        <w:rPr>
          <w:rFonts w:ascii="Arial" w:hAnsi="Arial" w:cs="Arial"/>
          <w:sz w:val="21"/>
          <w:szCs w:val="21"/>
          <w:lang w:val="es-ES"/>
        </w:rPr>
        <w:t>de</w:t>
      </w:r>
      <w:r w:rsidRPr="0045129A">
        <w:rPr>
          <w:rFonts w:ascii="Arial" w:eastAsia="Arial" w:hAnsi="Arial" w:cs="Arial"/>
          <w:sz w:val="21"/>
          <w:szCs w:val="21"/>
          <w:lang w:val="es-ES"/>
        </w:rPr>
        <w:t xml:space="preserve"> </w:t>
      </w:r>
      <w:r w:rsidRPr="0045129A">
        <w:rPr>
          <w:rFonts w:ascii="Arial" w:hAnsi="Arial" w:cs="Arial"/>
          <w:sz w:val="21"/>
          <w:szCs w:val="21"/>
          <w:lang w:val="es-ES"/>
        </w:rPr>
        <w:t>los</w:t>
      </w:r>
      <w:r w:rsidRPr="0045129A">
        <w:rPr>
          <w:rFonts w:ascii="Arial" w:eastAsia="Arial" w:hAnsi="Arial" w:cs="Arial"/>
          <w:sz w:val="21"/>
          <w:szCs w:val="21"/>
          <w:lang w:val="es-ES"/>
        </w:rPr>
        <w:t xml:space="preserve"> </w:t>
      </w:r>
      <w:r w:rsidRPr="0045129A">
        <w:rPr>
          <w:rFonts w:ascii="Arial" w:hAnsi="Arial" w:cs="Arial"/>
          <w:sz w:val="21"/>
          <w:szCs w:val="21"/>
          <w:lang w:val="es-ES"/>
        </w:rPr>
        <w:t>contratos</w:t>
      </w:r>
      <w:r w:rsidRPr="0045129A">
        <w:rPr>
          <w:rFonts w:ascii="Arial" w:eastAsia="Arial" w:hAnsi="Arial" w:cs="Arial"/>
          <w:sz w:val="21"/>
          <w:szCs w:val="21"/>
          <w:lang w:val="es-ES"/>
        </w:rPr>
        <w:t xml:space="preserve"> </w:t>
      </w:r>
      <w:r w:rsidRPr="0045129A">
        <w:rPr>
          <w:rFonts w:ascii="Arial" w:hAnsi="Arial" w:cs="Arial"/>
          <w:sz w:val="21"/>
          <w:szCs w:val="21"/>
          <w:lang w:val="es-ES"/>
        </w:rPr>
        <w:t>expresados</w:t>
      </w:r>
      <w:r w:rsidRPr="0045129A">
        <w:rPr>
          <w:rFonts w:ascii="Arial" w:eastAsia="Arial" w:hAnsi="Arial" w:cs="Arial"/>
          <w:sz w:val="21"/>
          <w:szCs w:val="21"/>
          <w:lang w:val="es-ES"/>
        </w:rPr>
        <w:t xml:space="preserve"> </w:t>
      </w:r>
      <w:r w:rsidRPr="0045129A">
        <w:rPr>
          <w:rFonts w:ascii="Arial" w:hAnsi="Arial" w:cs="Arial"/>
          <w:sz w:val="21"/>
          <w:szCs w:val="21"/>
          <w:lang w:val="es-ES"/>
        </w:rPr>
        <w:t>en</w:t>
      </w:r>
      <w:r w:rsidRPr="0045129A">
        <w:rPr>
          <w:rFonts w:ascii="Arial" w:eastAsia="Arial" w:hAnsi="Arial" w:cs="Arial"/>
          <w:sz w:val="21"/>
          <w:szCs w:val="21"/>
          <w:lang w:val="es-ES"/>
        </w:rPr>
        <w:t xml:space="preserve"> </w:t>
      </w:r>
      <w:r w:rsidRPr="0045129A">
        <w:rPr>
          <w:rFonts w:ascii="Arial" w:hAnsi="Arial" w:cs="Arial"/>
          <w:sz w:val="21"/>
          <w:szCs w:val="21"/>
          <w:lang w:val="es-ES"/>
        </w:rPr>
        <w:t>SMMLV</w:t>
      </w:r>
      <w:r w:rsidRPr="0045129A">
        <w:rPr>
          <w:rFonts w:ascii="Arial" w:eastAsia="Arial" w:hAnsi="Arial" w:cs="Arial"/>
          <w:sz w:val="21"/>
          <w:szCs w:val="21"/>
          <w:lang w:val="es-ES"/>
        </w:rPr>
        <w:t xml:space="preserve"> </w:t>
      </w:r>
      <w:r w:rsidRPr="0045129A">
        <w:rPr>
          <w:rFonts w:ascii="Arial" w:hAnsi="Arial" w:cs="Arial"/>
          <w:sz w:val="21"/>
          <w:szCs w:val="21"/>
          <w:lang w:val="es-ES"/>
        </w:rPr>
        <w:t>es</w:t>
      </w:r>
      <w:r w:rsidRPr="0045129A">
        <w:rPr>
          <w:rFonts w:ascii="Arial" w:eastAsia="Arial" w:hAnsi="Arial" w:cs="Arial"/>
          <w:sz w:val="21"/>
          <w:szCs w:val="21"/>
          <w:lang w:val="es-ES"/>
        </w:rPr>
        <w:t xml:space="preserve"> </w:t>
      </w:r>
      <w:r w:rsidRPr="0045129A">
        <w:rPr>
          <w:rFonts w:ascii="Arial" w:hAnsi="Arial" w:cs="Arial"/>
          <w:sz w:val="21"/>
          <w:szCs w:val="21"/>
          <w:lang w:val="es-ES"/>
        </w:rPr>
        <w:t>mayor</w:t>
      </w:r>
      <w:r w:rsidRPr="0045129A">
        <w:rPr>
          <w:rFonts w:ascii="Arial" w:eastAsia="Arial" w:hAnsi="Arial" w:cs="Arial"/>
          <w:sz w:val="21"/>
          <w:szCs w:val="21"/>
          <w:lang w:val="es-ES"/>
        </w:rPr>
        <w:t xml:space="preserve"> </w:t>
      </w:r>
      <w:r w:rsidRPr="0045129A">
        <w:rPr>
          <w:rFonts w:ascii="Arial" w:hAnsi="Arial" w:cs="Arial"/>
          <w:sz w:val="21"/>
          <w:szCs w:val="21"/>
          <w:lang w:val="es-ES"/>
        </w:rPr>
        <w:t>o</w:t>
      </w:r>
      <w:r w:rsidRPr="0045129A">
        <w:rPr>
          <w:rFonts w:ascii="Arial" w:eastAsia="Arial" w:hAnsi="Arial" w:cs="Arial"/>
          <w:sz w:val="21"/>
          <w:szCs w:val="21"/>
          <w:lang w:val="es-ES"/>
        </w:rPr>
        <w:t xml:space="preserve"> </w:t>
      </w:r>
      <w:r w:rsidRPr="0045129A">
        <w:rPr>
          <w:rFonts w:ascii="Arial" w:hAnsi="Arial" w:cs="Arial"/>
          <w:sz w:val="21"/>
          <w:szCs w:val="21"/>
          <w:lang w:val="es-ES"/>
        </w:rPr>
        <w:t>igual</w:t>
      </w:r>
      <w:r w:rsidRPr="0045129A">
        <w:rPr>
          <w:rFonts w:ascii="Arial" w:eastAsia="Arial" w:hAnsi="Arial" w:cs="Arial"/>
          <w:sz w:val="21"/>
          <w:szCs w:val="21"/>
          <w:lang w:val="es-ES"/>
        </w:rPr>
        <w:t xml:space="preserve"> </w:t>
      </w:r>
      <w:r w:rsidRPr="0045129A">
        <w:rPr>
          <w:rFonts w:ascii="Arial" w:hAnsi="Arial" w:cs="Arial"/>
          <w:sz w:val="21"/>
          <w:szCs w:val="21"/>
          <w:lang w:val="es-ES"/>
        </w:rPr>
        <w:t>al</w:t>
      </w:r>
      <w:r w:rsidRPr="0045129A">
        <w:rPr>
          <w:rFonts w:ascii="Arial" w:eastAsia="Arial" w:hAnsi="Arial" w:cs="Arial"/>
          <w:sz w:val="21"/>
          <w:szCs w:val="21"/>
          <w:lang w:val="es-ES"/>
        </w:rPr>
        <w:t xml:space="preserve"> </w:t>
      </w:r>
      <w:r w:rsidRPr="0045129A">
        <w:rPr>
          <w:rFonts w:ascii="Arial" w:hAnsi="Arial" w:cs="Arial"/>
          <w:sz w:val="21"/>
          <w:szCs w:val="21"/>
          <w:lang w:val="es-ES"/>
        </w:rPr>
        <w:t>valor</w:t>
      </w:r>
      <w:r w:rsidRPr="0045129A">
        <w:rPr>
          <w:rFonts w:ascii="Arial" w:eastAsia="Arial" w:hAnsi="Arial" w:cs="Arial"/>
          <w:sz w:val="21"/>
          <w:szCs w:val="21"/>
          <w:lang w:val="es-ES"/>
        </w:rPr>
        <w:t xml:space="preserve"> </w:t>
      </w:r>
      <w:r w:rsidRPr="0045129A">
        <w:rPr>
          <w:rFonts w:ascii="Arial" w:hAnsi="Arial" w:cs="Arial"/>
          <w:sz w:val="21"/>
          <w:szCs w:val="21"/>
          <w:lang w:val="es-ES"/>
        </w:rPr>
        <w:t>mínimo</w:t>
      </w:r>
      <w:r w:rsidRPr="0045129A">
        <w:rPr>
          <w:rFonts w:ascii="Arial" w:eastAsia="Arial" w:hAnsi="Arial" w:cs="Arial"/>
          <w:sz w:val="21"/>
          <w:szCs w:val="21"/>
          <w:lang w:val="es-ES"/>
        </w:rPr>
        <w:t xml:space="preserve"> </w:t>
      </w:r>
      <w:r w:rsidRPr="0045129A">
        <w:rPr>
          <w:rFonts w:ascii="Arial" w:hAnsi="Arial" w:cs="Arial"/>
          <w:sz w:val="21"/>
          <w:szCs w:val="21"/>
          <w:lang w:val="es-ES"/>
        </w:rPr>
        <w:t>a</w:t>
      </w:r>
      <w:r w:rsidRPr="0045129A">
        <w:rPr>
          <w:rFonts w:ascii="Arial" w:eastAsia="Arial" w:hAnsi="Arial" w:cs="Arial"/>
          <w:sz w:val="21"/>
          <w:szCs w:val="21"/>
          <w:lang w:val="es-ES"/>
        </w:rPr>
        <w:t xml:space="preserve"> </w:t>
      </w:r>
      <w:r w:rsidRPr="0045129A">
        <w:rPr>
          <w:rFonts w:ascii="Arial" w:hAnsi="Arial" w:cs="Arial"/>
          <w:sz w:val="21"/>
          <w:szCs w:val="21"/>
          <w:lang w:val="es-ES"/>
        </w:rPr>
        <w:t>certificar</w:t>
      </w:r>
      <w:r w:rsidRPr="0045129A">
        <w:rPr>
          <w:rFonts w:ascii="Arial" w:eastAsia="Arial" w:hAnsi="Arial" w:cs="Arial"/>
          <w:sz w:val="21"/>
          <w:szCs w:val="21"/>
          <w:lang w:val="es-ES"/>
        </w:rPr>
        <w:t xml:space="preserve"> </w:t>
      </w:r>
      <w:r w:rsidRPr="0045129A">
        <w:rPr>
          <w:rFonts w:ascii="Arial" w:hAnsi="Arial" w:cs="Arial"/>
          <w:sz w:val="21"/>
          <w:szCs w:val="21"/>
          <w:lang w:val="es-ES"/>
        </w:rPr>
        <w:t>establecido</w:t>
      </w:r>
      <w:r w:rsidRPr="0045129A">
        <w:rPr>
          <w:rFonts w:ascii="Arial" w:eastAsia="Arial" w:hAnsi="Arial" w:cs="Arial"/>
          <w:sz w:val="21"/>
          <w:szCs w:val="21"/>
          <w:lang w:val="es-ES"/>
        </w:rPr>
        <w:t xml:space="preserve"> </w:t>
      </w:r>
      <w:r w:rsidRPr="0045129A">
        <w:rPr>
          <w:rFonts w:ascii="Arial" w:hAnsi="Arial" w:cs="Arial"/>
          <w:sz w:val="21"/>
          <w:szCs w:val="21"/>
          <w:lang w:val="es-ES"/>
        </w:rPr>
        <w:t>en</w:t>
      </w:r>
      <w:r w:rsidRPr="0045129A">
        <w:rPr>
          <w:rFonts w:ascii="Arial" w:eastAsia="Arial" w:hAnsi="Arial" w:cs="Arial"/>
          <w:sz w:val="21"/>
          <w:szCs w:val="21"/>
          <w:lang w:val="es-ES"/>
        </w:rPr>
        <w:t xml:space="preserve"> </w:t>
      </w:r>
      <w:r w:rsidRPr="0045129A">
        <w:rPr>
          <w:rFonts w:ascii="Arial" w:hAnsi="Arial" w:cs="Arial"/>
          <w:sz w:val="21"/>
          <w:szCs w:val="21"/>
          <w:lang w:val="es-ES"/>
        </w:rPr>
        <w:t>la</w:t>
      </w:r>
      <w:r w:rsidRPr="0045129A">
        <w:rPr>
          <w:rFonts w:ascii="Arial" w:eastAsia="Arial" w:hAnsi="Arial" w:cs="Arial"/>
          <w:sz w:val="21"/>
          <w:szCs w:val="21"/>
          <w:lang w:val="es-ES"/>
        </w:rPr>
        <w:t xml:space="preserve"> </w:t>
      </w:r>
      <w:r w:rsidRPr="0045129A">
        <w:rPr>
          <w:rFonts w:ascii="Arial" w:hAnsi="Arial" w:cs="Arial"/>
          <w:sz w:val="21"/>
          <w:szCs w:val="21"/>
          <w:lang w:val="es-ES"/>
        </w:rPr>
        <w:t>tabla</w:t>
      </w:r>
      <w:r w:rsidRPr="0045129A">
        <w:rPr>
          <w:rFonts w:ascii="Arial" w:eastAsia="Arial" w:hAnsi="Arial" w:cs="Arial"/>
          <w:sz w:val="21"/>
          <w:szCs w:val="21"/>
          <w:lang w:val="es-ES"/>
        </w:rPr>
        <w:t xml:space="preserve"> </w:t>
      </w:r>
      <w:r w:rsidRPr="0045129A">
        <w:rPr>
          <w:rFonts w:ascii="Arial" w:hAnsi="Arial" w:cs="Arial"/>
          <w:sz w:val="21"/>
          <w:szCs w:val="21"/>
          <w:lang w:val="es-ES"/>
        </w:rPr>
        <w:t>anterior</w:t>
      </w:r>
      <w:r w:rsidRPr="0045129A">
        <w:rPr>
          <w:rFonts w:ascii="Arial" w:eastAsia="Arial" w:hAnsi="Arial" w:cs="Arial"/>
          <w:sz w:val="21"/>
          <w:szCs w:val="21"/>
          <w:lang w:val="es-ES"/>
        </w:rPr>
        <w:t>.</w:t>
      </w:r>
    </w:p>
    <w:p w14:paraId="7694E482" w14:textId="77777777" w:rsidR="00297782" w:rsidRPr="0045129A" w:rsidRDefault="00297782" w:rsidP="00297782">
      <w:pPr>
        <w:ind w:left="709" w:right="709"/>
        <w:jc w:val="both"/>
        <w:rPr>
          <w:rFonts w:ascii="Arial" w:hAnsi="Arial" w:cs="Arial"/>
          <w:sz w:val="21"/>
          <w:szCs w:val="21"/>
          <w:lang w:val="es-ES"/>
        </w:rPr>
      </w:pPr>
      <w:r w:rsidRPr="0045129A">
        <w:rPr>
          <w:rFonts w:ascii="Arial" w:hAnsi="Arial" w:cs="Arial"/>
          <w:sz w:val="21"/>
          <w:szCs w:val="21"/>
          <w:lang w:val="es-ES"/>
        </w:rPr>
        <w:t>En</w:t>
      </w:r>
      <w:r w:rsidRPr="0045129A">
        <w:rPr>
          <w:rFonts w:ascii="Arial" w:eastAsia="Arial" w:hAnsi="Arial" w:cs="Arial"/>
          <w:sz w:val="21"/>
          <w:szCs w:val="21"/>
          <w:lang w:val="es-ES"/>
        </w:rPr>
        <w:t xml:space="preserve"> </w:t>
      </w:r>
      <w:r w:rsidRPr="0045129A">
        <w:rPr>
          <w:rFonts w:ascii="Arial" w:hAnsi="Arial" w:cs="Arial"/>
          <w:sz w:val="21"/>
          <w:szCs w:val="21"/>
          <w:lang w:val="es-ES"/>
        </w:rPr>
        <w:t>caso</w:t>
      </w:r>
      <w:r w:rsidRPr="0045129A">
        <w:rPr>
          <w:rFonts w:ascii="Arial" w:eastAsia="Arial" w:hAnsi="Arial" w:cs="Arial"/>
          <w:sz w:val="21"/>
          <w:szCs w:val="21"/>
          <w:lang w:val="es-ES"/>
        </w:rPr>
        <w:t xml:space="preserve"> </w:t>
      </w:r>
      <w:r w:rsidRPr="0045129A">
        <w:rPr>
          <w:rFonts w:ascii="Arial" w:hAnsi="Arial" w:cs="Arial"/>
          <w:sz w:val="21"/>
          <w:szCs w:val="21"/>
          <w:lang w:val="es-ES"/>
        </w:rPr>
        <w:t>de</w:t>
      </w:r>
      <w:r w:rsidRPr="0045129A">
        <w:rPr>
          <w:rFonts w:ascii="Arial" w:eastAsia="Arial" w:hAnsi="Arial" w:cs="Arial"/>
          <w:sz w:val="21"/>
          <w:szCs w:val="21"/>
          <w:lang w:val="es-ES"/>
        </w:rPr>
        <w:t xml:space="preserve"> </w:t>
      </w:r>
      <w:r w:rsidRPr="0045129A">
        <w:rPr>
          <w:rFonts w:ascii="Arial" w:hAnsi="Arial" w:cs="Arial"/>
          <w:sz w:val="21"/>
          <w:szCs w:val="21"/>
          <w:lang w:val="es-ES"/>
        </w:rPr>
        <w:t>que</w:t>
      </w:r>
      <w:r w:rsidRPr="0045129A">
        <w:rPr>
          <w:rFonts w:ascii="Arial" w:eastAsia="Arial" w:hAnsi="Arial" w:cs="Arial"/>
          <w:sz w:val="21"/>
          <w:szCs w:val="21"/>
          <w:lang w:val="es-ES"/>
        </w:rPr>
        <w:t xml:space="preserve"> </w:t>
      </w:r>
      <w:r w:rsidRPr="0045129A">
        <w:rPr>
          <w:rFonts w:ascii="Arial" w:hAnsi="Arial" w:cs="Arial"/>
          <w:sz w:val="21"/>
          <w:szCs w:val="21"/>
          <w:lang w:val="es-ES"/>
        </w:rPr>
        <w:t>el</w:t>
      </w:r>
      <w:r w:rsidRPr="0045129A">
        <w:rPr>
          <w:rFonts w:ascii="Arial" w:eastAsia="Arial" w:hAnsi="Arial" w:cs="Arial"/>
          <w:sz w:val="21"/>
          <w:szCs w:val="21"/>
          <w:lang w:val="es-ES"/>
        </w:rPr>
        <w:t xml:space="preserve"> </w:t>
      </w:r>
      <w:r w:rsidRPr="0045129A">
        <w:rPr>
          <w:rFonts w:ascii="Arial" w:hAnsi="Arial" w:cs="Arial"/>
          <w:sz w:val="21"/>
          <w:szCs w:val="21"/>
          <w:lang w:val="es-ES"/>
        </w:rPr>
        <w:t>número</w:t>
      </w:r>
      <w:r w:rsidRPr="0045129A">
        <w:rPr>
          <w:rFonts w:ascii="Arial" w:eastAsia="Arial" w:hAnsi="Arial" w:cs="Arial"/>
          <w:sz w:val="21"/>
          <w:szCs w:val="21"/>
          <w:lang w:val="es-ES"/>
        </w:rPr>
        <w:t xml:space="preserve"> </w:t>
      </w:r>
      <w:r w:rsidRPr="0045129A">
        <w:rPr>
          <w:rFonts w:ascii="Arial" w:hAnsi="Arial" w:cs="Arial"/>
          <w:sz w:val="21"/>
          <w:szCs w:val="21"/>
          <w:lang w:val="es-ES"/>
        </w:rPr>
        <w:t>de</w:t>
      </w:r>
      <w:r w:rsidRPr="0045129A">
        <w:rPr>
          <w:rFonts w:ascii="Arial" w:eastAsia="Arial" w:hAnsi="Arial" w:cs="Arial"/>
          <w:sz w:val="21"/>
          <w:szCs w:val="21"/>
          <w:lang w:val="es-ES"/>
        </w:rPr>
        <w:t xml:space="preserve"> </w:t>
      </w:r>
      <w:r w:rsidRPr="0045129A">
        <w:rPr>
          <w:rFonts w:ascii="Arial" w:hAnsi="Arial" w:cs="Arial"/>
          <w:sz w:val="21"/>
          <w:szCs w:val="21"/>
          <w:lang w:val="es-ES"/>
        </w:rPr>
        <w:t>contratos</w:t>
      </w:r>
      <w:r w:rsidRPr="0045129A">
        <w:rPr>
          <w:rFonts w:ascii="Arial" w:eastAsia="Arial" w:hAnsi="Arial" w:cs="Arial"/>
          <w:sz w:val="21"/>
          <w:szCs w:val="21"/>
          <w:lang w:val="es-ES"/>
        </w:rPr>
        <w:t xml:space="preserve"> </w:t>
      </w:r>
      <w:r w:rsidRPr="0045129A">
        <w:rPr>
          <w:rFonts w:ascii="Arial" w:hAnsi="Arial" w:cs="Arial"/>
          <w:sz w:val="21"/>
          <w:szCs w:val="21"/>
          <w:lang w:val="es-ES"/>
        </w:rPr>
        <w:t>con</w:t>
      </w:r>
      <w:r w:rsidRPr="0045129A">
        <w:rPr>
          <w:rFonts w:ascii="Arial" w:eastAsia="Arial" w:hAnsi="Arial" w:cs="Arial"/>
          <w:sz w:val="21"/>
          <w:szCs w:val="21"/>
          <w:lang w:val="es-ES"/>
        </w:rPr>
        <w:t xml:space="preserve"> </w:t>
      </w:r>
      <w:r w:rsidRPr="0045129A">
        <w:rPr>
          <w:rFonts w:ascii="Arial" w:hAnsi="Arial" w:cs="Arial"/>
          <w:sz w:val="21"/>
          <w:szCs w:val="21"/>
          <w:lang w:val="es-ES"/>
        </w:rPr>
        <w:t>los</w:t>
      </w:r>
      <w:r w:rsidRPr="0045129A">
        <w:rPr>
          <w:rFonts w:ascii="Arial" w:eastAsia="Arial" w:hAnsi="Arial" w:cs="Arial"/>
          <w:sz w:val="21"/>
          <w:szCs w:val="21"/>
          <w:lang w:val="es-ES"/>
        </w:rPr>
        <w:t xml:space="preserve"> </w:t>
      </w:r>
      <w:r w:rsidRPr="0045129A">
        <w:rPr>
          <w:rFonts w:ascii="Arial" w:hAnsi="Arial" w:cs="Arial"/>
          <w:sz w:val="21"/>
          <w:szCs w:val="21"/>
          <w:lang w:val="es-ES"/>
        </w:rPr>
        <w:t>cuales</w:t>
      </w:r>
      <w:r w:rsidRPr="0045129A">
        <w:rPr>
          <w:rFonts w:ascii="Arial" w:eastAsia="Arial" w:hAnsi="Arial" w:cs="Arial"/>
          <w:sz w:val="21"/>
          <w:szCs w:val="21"/>
          <w:lang w:val="es-ES"/>
        </w:rPr>
        <w:t xml:space="preserve"> </w:t>
      </w:r>
      <w:r w:rsidRPr="0045129A">
        <w:rPr>
          <w:rFonts w:ascii="Arial" w:hAnsi="Arial" w:cs="Arial"/>
          <w:sz w:val="21"/>
          <w:szCs w:val="21"/>
          <w:lang w:val="es-ES"/>
        </w:rPr>
        <w:t>el</w:t>
      </w:r>
      <w:r w:rsidRPr="0045129A">
        <w:rPr>
          <w:rFonts w:ascii="Arial" w:eastAsia="Arial" w:hAnsi="Arial" w:cs="Arial"/>
          <w:sz w:val="21"/>
          <w:szCs w:val="21"/>
          <w:lang w:val="es-ES"/>
        </w:rPr>
        <w:t xml:space="preserve"> </w:t>
      </w:r>
      <w:r w:rsidRPr="0045129A">
        <w:rPr>
          <w:rFonts w:ascii="Arial" w:hAnsi="Arial" w:cs="Arial"/>
          <w:sz w:val="21"/>
          <w:szCs w:val="21"/>
          <w:lang w:val="es-ES"/>
        </w:rPr>
        <w:t>Proponente</w:t>
      </w:r>
      <w:r w:rsidRPr="0045129A">
        <w:rPr>
          <w:rFonts w:ascii="Arial" w:eastAsia="Arial" w:hAnsi="Arial" w:cs="Arial"/>
          <w:sz w:val="21"/>
          <w:szCs w:val="21"/>
          <w:lang w:val="es-ES"/>
        </w:rPr>
        <w:t xml:space="preserve"> </w:t>
      </w:r>
      <w:r w:rsidRPr="0045129A">
        <w:rPr>
          <w:rFonts w:ascii="Arial" w:hAnsi="Arial" w:cs="Arial"/>
          <w:sz w:val="21"/>
          <w:szCs w:val="21"/>
          <w:lang w:val="es-ES"/>
        </w:rPr>
        <w:t>acredita</w:t>
      </w:r>
      <w:r w:rsidRPr="0045129A">
        <w:rPr>
          <w:rFonts w:ascii="Arial" w:eastAsia="Arial" w:hAnsi="Arial" w:cs="Arial"/>
          <w:sz w:val="21"/>
          <w:szCs w:val="21"/>
          <w:lang w:val="es-ES"/>
        </w:rPr>
        <w:t xml:space="preserve"> </w:t>
      </w:r>
      <w:r w:rsidRPr="0045129A">
        <w:rPr>
          <w:rFonts w:ascii="Arial" w:hAnsi="Arial" w:cs="Arial"/>
          <w:sz w:val="21"/>
          <w:szCs w:val="21"/>
          <w:lang w:val="es-ES"/>
        </w:rPr>
        <w:t>la</w:t>
      </w:r>
      <w:r w:rsidRPr="0045129A">
        <w:rPr>
          <w:rFonts w:ascii="Arial" w:eastAsia="Arial" w:hAnsi="Arial" w:cs="Arial"/>
          <w:sz w:val="21"/>
          <w:szCs w:val="21"/>
          <w:lang w:val="es-ES"/>
        </w:rPr>
        <w:t xml:space="preserve"> </w:t>
      </w:r>
      <w:r w:rsidRPr="0045129A">
        <w:rPr>
          <w:rFonts w:ascii="Arial" w:hAnsi="Arial" w:cs="Arial"/>
          <w:sz w:val="21"/>
          <w:szCs w:val="21"/>
          <w:lang w:val="es-ES"/>
        </w:rPr>
        <w:t>experiencia</w:t>
      </w:r>
      <w:r w:rsidRPr="0045129A">
        <w:rPr>
          <w:rFonts w:ascii="Arial" w:eastAsia="Arial" w:hAnsi="Arial" w:cs="Arial"/>
          <w:sz w:val="21"/>
          <w:szCs w:val="21"/>
          <w:lang w:val="es-ES"/>
        </w:rPr>
        <w:t xml:space="preserve"> </w:t>
      </w:r>
      <w:r w:rsidRPr="0045129A">
        <w:rPr>
          <w:rFonts w:ascii="Arial" w:hAnsi="Arial" w:cs="Arial"/>
          <w:sz w:val="21"/>
          <w:szCs w:val="21"/>
          <w:lang w:val="es-ES"/>
        </w:rPr>
        <w:t>no</w:t>
      </w:r>
      <w:r w:rsidRPr="0045129A">
        <w:rPr>
          <w:rFonts w:ascii="Arial" w:eastAsia="Arial" w:hAnsi="Arial" w:cs="Arial"/>
          <w:sz w:val="21"/>
          <w:szCs w:val="21"/>
          <w:lang w:val="es-ES"/>
        </w:rPr>
        <w:t xml:space="preserve"> </w:t>
      </w:r>
      <w:r w:rsidRPr="0045129A">
        <w:rPr>
          <w:rFonts w:ascii="Arial" w:hAnsi="Arial" w:cs="Arial"/>
          <w:sz w:val="21"/>
          <w:szCs w:val="21"/>
          <w:lang w:val="es-ES"/>
        </w:rPr>
        <w:t>satisfaga</w:t>
      </w:r>
      <w:r w:rsidRPr="0045129A">
        <w:rPr>
          <w:rFonts w:ascii="Arial" w:eastAsia="Arial" w:hAnsi="Arial" w:cs="Arial"/>
          <w:sz w:val="21"/>
          <w:szCs w:val="21"/>
          <w:lang w:val="es-ES"/>
        </w:rPr>
        <w:t xml:space="preserve"> </w:t>
      </w:r>
      <w:r w:rsidRPr="0045129A">
        <w:rPr>
          <w:rFonts w:ascii="Arial" w:hAnsi="Arial" w:cs="Arial"/>
          <w:sz w:val="21"/>
          <w:szCs w:val="21"/>
          <w:lang w:val="es-ES"/>
        </w:rPr>
        <w:t>el</w:t>
      </w:r>
      <w:r w:rsidRPr="0045129A">
        <w:rPr>
          <w:rFonts w:ascii="Arial" w:eastAsia="Arial" w:hAnsi="Arial" w:cs="Arial"/>
          <w:sz w:val="21"/>
          <w:szCs w:val="21"/>
          <w:lang w:val="es-ES"/>
        </w:rPr>
        <w:t xml:space="preserve"> </w:t>
      </w:r>
      <w:r w:rsidRPr="0045129A">
        <w:rPr>
          <w:rFonts w:ascii="Arial" w:hAnsi="Arial" w:cs="Arial"/>
          <w:sz w:val="21"/>
          <w:szCs w:val="21"/>
          <w:lang w:val="es-ES"/>
        </w:rPr>
        <w:t>porcentaje</w:t>
      </w:r>
      <w:r w:rsidRPr="0045129A">
        <w:rPr>
          <w:rFonts w:ascii="Arial" w:eastAsia="Arial" w:hAnsi="Arial" w:cs="Arial"/>
          <w:sz w:val="21"/>
          <w:szCs w:val="21"/>
          <w:lang w:val="es-ES"/>
        </w:rPr>
        <w:t xml:space="preserve"> </w:t>
      </w:r>
      <w:r w:rsidRPr="0045129A">
        <w:rPr>
          <w:rFonts w:ascii="Arial" w:hAnsi="Arial" w:cs="Arial"/>
          <w:sz w:val="21"/>
          <w:szCs w:val="21"/>
          <w:lang w:val="es-ES"/>
        </w:rPr>
        <w:t>mínimo</w:t>
      </w:r>
      <w:r w:rsidRPr="0045129A">
        <w:rPr>
          <w:rFonts w:ascii="Arial" w:eastAsia="Arial" w:hAnsi="Arial" w:cs="Arial"/>
          <w:sz w:val="21"/>
          <w:szCs w:val="21"/>
          <w:lang w:val="es-ES"/>
        </w:rPr>
        <w:t xml:space="preserve"> </w:t>
      </w:r>
      <w:r w:rsidRPr="0045129A">
        <w:rPr>
          <w:rFonts w:ascii="Arial" w:hAnsi="Arial" w:cs="Arial"/>
          <w:sz w:val="21"/>
          <w:szCs w:val="21"/>
          <w:lang w:val="es-ES"/>
        </w:rPr>
        <w:t>a</w:t>
      </w:r>
      <w:r w:rsidRPr="0045129A">
        <w:rPr>
          <w:rFonts w:ascii="Arial" w:eastAsia="Arial" w:hAnsi="Arial" w:cs="Arial"/>
          <w:sz w:val="21"/>
          <w:szCs w:val="21"/>
          <w:lang w:val="es-ES"/>
        </w:rPr>
        <w:t xml:space="preserve"> </w:t>
      </w:r>
      <w:r w:rsidRPr="0045129A">
        <w:rPr>
          <w:rFonts w:ascii="Arial" w:hAnsi="Arial" w:cs="Arial"/>
          <w:sz w:val="21"/>
          <w:szCs w:val="21"/>
          <w:lang w:val="es-ES"/>
        </w:rPr>
        <w:t>certificar</w:t>
      </w:r>
      <w:r w:rsidRPr="0045129A">
        <w:rPr>
          <w:rFonts w:ascii="Arial" w:eastAsia="Arial" w:hAnsi="Arial" w:cs="Arial"/>
          <w:sz w:val="21"/>
          <w:szCs w:val="21"/>
          <w:lang w:val="es-ES"/>
        </w:rPr>
        <w:t xml:space="preserve"> </w:t>
      </w:r>
      <w:r w:rsidRPr="0045129A">
        <w:rPr>
          <w:rFonts w:ascii="Arial" w:hAnsi="Arial" w:cs="Arial"/>
          <w:sz w:val="21"/>
          <w:szCs w:val="21"/>
          <w:lang w:val="es-ES"/>
        </w:rPr>
        <w:t>establecido</w:t>
      </w:r>
      <w:r w:rsidRPr="0045129A">
        <w:rPr>
          <w:rFonts w:ascii="Arial" w:eastAsia="Arial" w:hAnsi="Arial" w:cs="Arial"/>
          <w:sz w:val="21"/>
          <w:szCs w:val="21"/>
          <w:lang w:val="es-ES"/>
        </w:rPr>
        <w:t xml:space="preserve"> </w:t>
      </w:r>
      <w:r w:rsidRPr="0045129A">
        <w:rPr>
          <w:rFonts w:ascii="Arial" w:hAnsi="Arial" w:cs="Arial"/>
          <w:sz w:val="21"/>
          <w:szCs w:val="21"/>
          <w:lang w:val="es-ES"/>
        </w:rPr>
        <w:t>en</w:t>
      </w:r>
      <w:r w:rsidRPr="0045129A">
        <w:rPr>
          <w:rFonts w:ascii="Arial" w:eastAsia="Arial" w:hAnsi="Arial" w:cs="Arial"/>
          <w:sz w:val="21"/>
          <w:szCs w:val="21"/>
          <w:lang w:val="es-ES"/>
        </w:rPr>
        <w:t xml:space="preserve"> </w:t>
      </w:r>
      <w:r w:rsidRPr="0045129A">
        <w:rPr>
          <w:rFonts w:ascii="Arial" w:hAnsi="Arial" w:cs="Arial"/>
          <w:sz w:val="21"/>
          <w:szCs w:val="21"/>
          <w:lang w:val="es-ES"/>
        </w:rPr>
        <w:t>la</w:t>
      </w:r>
      <w:r w:rsidRPr="0045129A">
        <w:rPr>
          <w:rFonts w:ascii="Arial" w:eastAsia="Arial" w:hAnsi="Arial" w:cs="Arial"/>
          <w:sz w:val="21"/>
          <w:szCs w:val="21"/>
          <w:lang w:val="es-ES"/>
        </w:rPr>
        <w:t xml:space="preserve"> </w:t>
      </w:r>
      <w:r w:rsidRPr="0045129A">
        <w:rPr>
          <w:rFonts w:ascii="Arial" w:hAnsi="Arial" w:cs="Arial"/>
          <w:sz w:val="21"/>
          <w:szCs w:val="21"/>
          <w:lang w:val="es-ES"/>
        </w:rPr>
        <w:t>tabla anterior,</w:t>
      </w:r>
      <w:r w:rsidRPr="0045129A">
        <w:rPr>
          <w:rFonts w:ascii="Arial" w:eastAsia="Arial" w:hAnsi="Arial" w:cs="Arial"/>
          <w:sz w:val="21"/>
          <w:szCs w:val="21"/>
          <w:lang w:val="es-ES"/>
        </w:rPr>
        <w:t xml:space="preserve"> </w:t>
      </w:r>
      <w:r w:rsidRPr="0045129A">
        <w:rPr>
          <w:rFonts w:ascii="Arial" w:hAnsi="Arial" w:cs="Arial"/>
          <w:sz w:val="21"/>
          <w:szCs w:val="21"/>
          <w:lang w:val="es-ES"/>
        </w:rPr>
        <w:t>se</w:t>
      </w:r>
      <w:r w:rsidRPr="0045129A">
        <w:rPr>
          <w:rFonts w:ascii="Arial" w:eastAsia="Arial" w:hAnsi="Arial" w:cs="Arial"/>
          <w:sz w:val="21"/>
          <w:szCs w:val="21"/>
          <w:lang w:val="es-ES"/>
        </w:rPr>
        <w:t xml:space="preserve"> </w:t>
      </w:r>
      <w:r w:rsidRPr="0045129A">
        <w:rPr>
          <w:rFonts w:ascii="Arial" w:hAnsi="Arial" w:cs="Arial"/>
          <w:sz w:val="21"/>
          <w:szCs w:val="21"/>
          <w:lang w:val="es-ES"/>
        </w:rPr>
        <w:t>calificará</w:t>
      </w:r>
      <w:r w:rsidRPr="0045129A">
        <w:rPr>
          <w:rFonts w:ascii="Arial" w:eastAsia="Arial" w:hAnsi="Arial" w:cs="Arial"/>
          <w:sz w:val="21"/>
          <w:szCs w:val="21"/>
          <w:lang w:val="es-ES"/>
        </w:rPr>
        <w:t xml:space="preserve"> </w:t>
      </w:r>
      <w:r w:rsidRPr="0045129A">
        <w:rPr>
          <w:rFonts w:ascii="Arial" w:hAnsi="Arial" w:cs="Arial"/>
          <w:sz w:val="21"/>
          <w:szCs w:val="21"/>
          <w:lang w:val="es-ES"/>
        </w:rPr>
        <w:t>la</w:t>
      </w:r>
      <w:r w:rsidRPr="0045129A">
        <w:rPr>
          <w:rFonts w:ascii="Arial" w:eastAsia="Arial" w:hAnsi="Arial" w:cs="Arial"/>
          <w:sz w:val="21"/>
          <w:szCs w:val="21"/>
          <w:lang w:val="es-ES"/>
        </w:rPr>
        <w:t xml:space="preserve"> </w:t>
      </w:r>
      <w:r w:rsidRPr="0045129A">
        <w:rPr>
          <w:rFonts w:ascii="Arial" w:hAnsi="Arial" w:cs="Arial"/>
          <w:sz w:val="21"/>
          <w:szCs w:val="21"/>
          <w:lang w:val="es-ES"/>
        </w:rPr>
        <w:t>propuesta</w:t>
      </w:r>
      <w:r w:rsidRPr="0045129A">
        <w:rPr>
          <w:rFonts w:ascii="Arial" w:eastAsia="Arial" w:hAnsi="Arial" w:cs="Arial"/>
          <w:sz w:val="21"/>
          <w:szCs w:val="21"/>
          <w:lang w:val="es-ES"/>
        </w:rPr>
        <w:t xml:space="preserve"> </w:t>
      </w:r>
      <w:r w:rsidRPr="0045129A">
        <w:rPr>
          <w:rFonts w:ascii="Arial" w:hAnsi="Arial" w:cs="Arial"/>
          <w:sz w:val="21"/>
          <w:szCs w:val="21"/>
          <w:lang w:val="es-ES"/>
        </w:rPr>
        <w:t>como</w:t>
      </w:r>
      <w:r w:rsidRPr="0045129A">
        <w:rPr>
          <w:rFonts w:ascii="Arial" w:eastAsia="Arial" w:hAnsi="Arial" w:cs="Arial"/>
          <w:sz w:val="21"/>
          <w:szCs w:val="21"/>
          <w:lang w:val="es-ES"/>
        </w:rPr>
        <w:t xml:space="preserve"> </w:t>
      </w:r>
      <w:r w:rsidRPr="0045129A">
        <w:rPr>
          <w:rFonts w:ascii="Arial" w:hAnsi="Arial" w:cs="Arial"/>
          <w:sz w:val="21"/>
          <w:szCs w:val="21"/>
          <w:lang w:val="es-ES"/>
        </w:rPr>
        <w:t>no</w:t>
      </w:r>
      <w:r w:rsidRPr="0045129A">
        <w:rPr>
          <w:rFonts w:ascii="Arial" w:eastAsia="Arial" w:hAnsi="Arial" w:cs="Arial"/>
          <w:sz w:val="21"/>
          <w:szCs w:val="21"/>
          <w:lang w:val="es-ES"/>
        </w:rPr>
        <w:t xml:space="preserve"> </w:t>
      </w:r>
      <w:r w:rsidRPr="0045129A">
        <w:rPr>
          <w:rFonts w:ascii="Arial" w:hAnsi="Arial" w:cs="Arial"/>
          <w:sz w:val="21"/>
          <w:szCs w:val="21"/>
          <w:lang w:val="es-ES"/>
        </w:rPr>
        <w:t>hábil y el Proponente podrá subsanarla en los términos establecidos en la sección 1.6.</w:t>
      </w:r>
    </w:p>
    <w:p w14:paraId="490F3368" w14:textId="77777777" w:rsidR="00297782" w:rsidRPr="0045129A" w:rsidRDefault="00297782" w:rsidP="00297782">
      <w:pPr>
        <w:spacing w:line="276" w:lineRule="auto"/>
        <w:ind w:firstLine="708"/>
        <w:jc w:val="both"/>
        <w:rPr>
          <w:rFonts w:ascii="Arial" w:hAnsi="Arial" w:cs="Arial"/>
          <w:sz w:val="22"/>
        </w:rPr>
      </w:pPr>
      <w:r w:rsidRPr="0045129A">
        <w:rPr>
          <w:rFonts w:ascii="Arial" w:hAnsi="Arial" w:cs="Arial"/>
          <w:sz w:val="22"/>
        </w:rPr>
        <w:t xml:space="preserve"> </w:t>
      </w:r>
    </w:p>
    <w:p w14:paraId="6733F113" w14:textId="77777777" w:rsidR="00297782" w:rsidRPr="0045129A" w:rsidRDefault="00297782" w:rsidP="00297782">
      <w:pPr>
        <w:spacing w:after="120" w:line="276" w:lineRule="auto"/>
        <w:ind w:firstLine="709"/>
        <w:jc w:val="both"/>
        <w:rPr>
          <w:rFonts w:ascii="Arial" w:hAnsi="Arial" w:cs="Arial"/>
          <w:sz w:val="22"/>
          <w:shd w:val="clear" w:color="auto" w:fill="FFFFFF"/>
        </w:rPr>
      </w:pPr>
      <w:r w:rsidRPr="0045129A">
        <w:rPr>
          <w:rFonts w:ascii="Arial" w:hAnsi="Arial" w:cs="Arial"/>
          <w:sz w:val="22"/>
        </w:rPr>
        <w:t xml:space="preserve">Como se observa,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Para tales efectos, se </w:t>
      </w:r>
      <w:r w:rsidRPr="0045129A">
        <w:rPr>
          <w:rFonts w:ascii="Arial" w:hAnsi="Arial" w:cs="Arial"/>
          <w:sz w:val="22"/>
          <w:shd w:val="clear" w:color="auto" w:fill="FFFFFF"/>
        </w:rPr>
        <w:t>establecen unas relaciones entre el número de contratos usados para acreditar la experiencia, los valores ejecutados en estos y un valor porcentual mínimo del presupuesto oficial de la obra ofertada que deben superar para que la experiencia sea válida y, en consecuencia, los proponentes puedan habilitarse en lo que a este requisito se refiere.</w:t>
      </w:r>
    </w:p>
    <w:p w14:paraId="4EB44D01" w14:textId="32EBD590" w:rsidR="00297782" w:rsidRPr="0045129A" w:rsidRDefault="00297782" w:rsidP="00297782">
      <w:pPr>
        <w:tabs>
          <w:tab w:val="left" w:pos="426"/>
        </w:tabs>
        <w:spacing w:after="120" w:line="276" w:lineRule="auto"/>
        <w:jc w:val="both"/>
        <w:rPr>
          <w:rFonts w:ascii="Arial" w:hAnsi="Arial" w:cs="Arial"/>
          <w:sz w:val="22"/>
          <w:shd w:val="clear" w:color="auto" w:fill="FFFFFF"/>
        </w:rPr>
      </w:pPr>
      <w:r w:rsidRPr="0045129A">
        <w:rPr>
          <w:rFonts w:ascii="Arial" w:hAnsi="Arial" w:cs="Arial"/>
          <w:sz w:val="22"/>
          <w:shd w:val="clear" w:color="auto" w:fill="FFFFFF"/>
        </w:rPr>
        <w:tab/>
      </w:r>
      <w:r w:rsidRPr="0045129A">
        <w:rPr>
          <w:rFonts w:ascii="Arial" w:hAnsi="Arial" w:cs="Arial"/>
          <w:sz w:val="22"/>
          <w:shd w:val="clear" w:color="auto" w:fill="FFFFFF"/>
        </w:rPr>
        <w:tab/>
        <w:t>De esta manera se determina que para quienes acrediten experiencia mediante 1 o 2 contratos, la sumatoria de los valores ejecutados en estos</w:t>
      </w:r>
      <w:r w:rsidR="00D802FF" w:rsidRPr="0045129A">
        <w:rPr>
          <w:rFonts w:ascii="Arial" w:hAnsi="Arial" w:cs="Arial"/>
          <w:sz w:val="22"/>
          <w:shd w:val="clear" w:color="auto" w:fill="FFFFFF"/>
        </w:rPr>
        <w:t xml:space="preserve"> </w:t>
      </w:r>
      <w:r w:rsidRPr="0045129A">
        <w:rPr>
          <w:rFonts w:ascii="Arial" w:hAnsi="Arial" w:cs="Arial"/>
          <w:sz w:val="22"/>
          <w:shd w:val="clear" w:color="auto" w:fill="FFFFFF"/>
        </w:rPr>
        <w:t>–incluido IVA– debe ser superior</w:t>
      </w:r>
      <w:r w:rsidR="00D802FF" w:rsidRPr="0045129A">
        <w:rPr>
          <w:rFonts w:ascii="Arial" w:hAnsi="Arial" w:cs="Arial"/>
          <w:sz w:val="22"/>
          <w:shd w:val="clear" w:color="auto" w:fill="FFFFFF"/>
        </w:rPr>
        <w:t>es</w:t>
      </w:r>
      <w:r w:rsidRPr="0045129A">
        <w:rPr>
          <w:rFonts w:ascii="Arial" w:hAnsi="Arial" w:cs="Arial"/>
          <w:sz w:val="22"/>
          <w:shd w:val="clear" w:color="auto" w:fill="FFFFFF"/>
        </w:rPr>
        <w:t xml:space="preserve"> al 75% del valor del presupuesto oficial. Por otra parte, si la acredita mediante 3 a 4 contratos, la sumatoria de los valores ejecutados debe ser superior al 120% del valor del presupuesto oficial. Finalmente, si la acredita con 5 a 6 contratos, la sumatoria de los valores ejecutados</w:t>
      </w:r>
      <w:r w:rsidRPr="0045129A" w:rsidDel="00B42975">
        <w:rPr>
          <w:rFonts w:ascii="Arial" w:hAnsi="Arial" w:cs="Arial"/>
          <w:sz w:val="22"/>
          <w:shd w:val="clear" w:color="auto" w:fill="FFFFFF"/>
        </w:rPr>
        <w:t xml:space="preserve"> </w:t>
      </w:r>
      <w:r w:rsidRPr="0045129A">
        <w:rPr>
          <w:rFonts w:ascii="Arial" w:hAnsi="Arial" w:cs="Arial"/>
          <w:sz w:val="22"/>
          <w:shd w:val="clear" w:color="auto" w:fill="FFFFFF"/>
        </w:rPr>
        <w:t xml:space="preserve">debe ser superior al 150% del valor del presupuesto oficial. </w:t>
      </w:r>
    </w:p>
    <w:p w14:paraId="75FAF6CD" w14:textId="55D9F931" w:rsidR="00297782" w:rsidRPr="0045129A" w:rsidRDefault="00297782" w:rsidP="00297782">
      <w:pPr>
        <w:tabs>
          <w:tab w:val="left" w:pos="426"/>
        </w:tabs>
        <w:spacing w:after="120" w:line="276" w:lineRule="auto"/>
        <w:jc w:val="both"/>
        <w:rPr>
          <w:rFonts w:ascii="Arial" w:hAnsi="Arial" w:cs="Arial"/>
          <w:sz w:val="22"/>
          <w:shd w:val="clear" w:color="auto" w:fill="FFFFFF"/>
        </w:rPr>
      </w:pPr>
      <w:r w:rsidRPr="0045129A">
        <w:rPr>
          <w:rFonts w:ascii="Arial" w:hAnsi="Arial" w:cs="Arial"/>
          <w:sz w:val="22"/>
          <w:shd w:val="clear" w:color="auto" w:fill="FFFFFF"/>
        </w:rPr>
        <w:tab/>
      </w:r>
      <w:r w:rsidRPr="0045129A">
        <w:rPr>
          <w:rFonts w:ascii="Arial" w:hAnsi="Arial" w:cs="Arial"/>
          <w:sz w:val="22"/>
          <w:shd w:val="clear" w:color="auto" w:fill="FFFFFF"/>
        </w:rPr>
        <w:tab/>
        <w:t xml:space="preserve">Conforme a esto, el número de los contratos para acreditar la experiencia condiciona el valor mínimo que deben certificar para el correspondiente requisito habilitante. Si una vez sumados los valores ejecutados de los contratos aportados, el resultado es inferior al valor porcentual aplicable a la cantidad de contratos empleados, no es posible habilitar al proponente.  </w:t>
      </w:r>
    </w:p>
    <w:p w14:paraId="26399F13" w14:textId="147C468B" w:rsidR="00B51267" w:rsidRPr="0045129A" w:rsidRDefault="00B51267" w:rsidP="00297782">
      <w:pPr>
        <w:tabs>
          <w:tab w:val="left" w:pos="426"/>
        </w:tabs>
        <w:spacing w:after="120" w:line="276" w:lineRule="auto"/>
        <w:jc w:val="both"/>
        <w:rPr>
          <w:rFonts w:ascii="Arial" w:hAnsi="Arial" w:cs="Arial"/>
          <w:sz w:val="22"/>
          <w:shd w:val="clear" w:color="auto" w:fill="FFFFFF"/>
        </w:rPr>
      </w:pPr>
      <w:r w:rsidRPr="0045129A">
        <w:rPr>
          <w:rFonts w:ascii="Arial" w:hAnsi="Arial" w:cs="Arial"/>
          <w:sz w:val="22"/>
          <w:shd w:val="clear" w:color="auto" w:fill="FFFFFF"/>
        </w:rPr>
        <w:tab/>
      </w:r>
      <w:r w:rsidRPr="0045129A">
        <w:rPr>
          <w:rFonts w:ascii="Arial" w:hAnsi="Arial" w:cs="Arial"/>
          <w:sz w:val="22"/>
          <w:shd w:val="clear" w:color="auto" w:fill="FFFFFF"/>
        </w:rPr>
        <w:tab/>
      </w:r>
      <w:r w:rsidR="00D802FF" w:rsidRPr="0045129A">
        <w:rPr>
          <w:rFonts w:ascii="Arial" w:hAnsi="Arial" w:cs="Arial"/>
          <w:sz w:val="22"/>
          <w:shd w:val="clear" w:color="auto" w:fill="FFFFFF"/>
        </w:rPr>
        <w:t>Para</w:t>
      </w:r>
      <w:r w:rsidRPr="0045129A">
        <w:rPr>
          <w:rFonts w:ascii="Arial" w:hAnsi="Arial" w:cs="Arial"/>
          <w:sz w:val="22"/>
          <w:shd w:val="clear" w:color="auto" w:fill="FFFFFF"/>
        </w:rPr>
        <w:t xml:space="preserve"> determinar si la sumatoria de los valores de los contratos </w:t>
      </w:r>
      <w:r w:rsidR="0036472F" w:rsidRPr="0045129A">
        <w:rPr>
          <w:rFonts w:ascii="Arial" w:hAnsi="Arial" w:cs="Arial"/>
          <w:sz w:val="22"/>
          <w:shd w:val="clear" w:color="auto" w:fill="FFFFFF"/>
        </w:rPr>
        <w:t>empleados por el proponente satisfacen el porcentaje del presupuesto oficial</w:t>
      </w:r>
      <w:r w:rsidR="000576B2" w:rsidRPr="0045129A">
        <w:rPr>
          <w:rFonts w:ascii="Arial" w:hAnsi="Arial" w:cs="Arial"/>
          <w:sz w:val="22"/>
          <w:shd w:val="clear" w:color="auto" w:fill="FFFFFF"/>
        </w:rPr>
        <w:t xml:space="preserve"> aplicable, solo podrán ser tenidos en cuenta los contratos que cumplen con el requisito de experiencia general estandarizado por la Matriz 1. </w:t>
      </w:r>
      <w:r w:rsidR="007466FD" w:rsidRPr="0045129A">
        <w:rPr>
          <w:rFonts w:ascii="Arial" w:hAnsi="Arial" w:cs="Arial"/>
          <w:sz w:val="22"/>
          <w:shd w:val="clear" w:color="auto" w:fill="FFFFFF"/>
        </w:rPr>
        <w:t>Esto significa que, para determinar</w:t>
      </w:r>
      <w:r w:rsidR="00BD7EEE" w:rsidRPr="0045129A">
        <w:rPr>
          <w:rFonts w:ascii="Arial" w:hAnsi="Arial" w:cs="Arial"/>
          <w:sz w:val="22"/>
          <w:shd w:val="clear" w:color="auto" w:fill="FFFFFF"/>
        </w:rPr>
        <w:t xml:space="preserve"> el número de contratos y</w:t>
      </w:r>
      <w:r w:rsidR="007466FD" w:rsidRPr="0045129A">
        <w:rPr>
          <w:rFonts w:ascii="Arial" w:hAnsi="Arial" w:cs="Arial"/>
          <w:sz w:val="22"/>
          <w:shd w:val="clear" w:color="auto" w:fill="FFFFFF"/>
        </w:rPr>
        <w:t xml:space="preserve"> </w:t>
      </w:r>
      <w:r w:rsidR="000F4487" w:rsidRPr="0045129A">
        <w:rPr>
          <w:rFonts w:ascii="Arial" w:hAnsi="Arial" w:cs="Arial"/>
          <w:sz w:val="22"/>
          <w:shd w:val="clear" w:color="auto" w:fill="FFFFFF"/>
        </w:rPr>
        <w:t>la sumatoria de SMLMV válidamente acreditada por el proponente, la entidad</w:t>
      </w:r>
      <w:r w:rsidR="007466FD" w:rsidRPr="0045129A">
        <w:rPr>
          <w:rFonts w:ascii="Arial" w:hAnsi="Arial" w:cs="Arial"/>
          <w:sz w:val="22"/>
          <w:shd w:val="clear" w:color="auto" w:fill="FFFFFF"/>
        </w:rPr>
        <w:t xml:space="preserve"> </w:t>
      </w:r>
      <w:r w:rsidR="000F4487" w:rsidRPr="0045129A">
        <w:rPr>
          <w:rFonts w:ascii="Arial" w:hAnsi="Arial" w:cs="Arial"/>
          <w:sz w:val="22"/>
          <w:shd w:val="clear" w:color="auto" w:fill="FFFFFF"/>
        </w:rPr>
        <w:t xml:space="preserve">debe descontar </w:t>
      </w:r>
      <w:r w:rsidR="00417322" w:rsidRPr="0045129A">
        <w:rPr>
          <w:rFonts w:ascii="Arial" w:hAnsi="Arial" w:cs="Arial"/>
          <w:sz w:val="22"/>
          <w:shd w:val="clear" w:color="auto" w:fill="FFFFFF"/>
        </w:rPr>
        <w:t>los contratos que no cumplen con el requisito de experiencia y sus valores</w:t>
      </w:r>
      <w:r w:rsidR="00EE6030" w:rsidRPr="0045129A">
        <w:rPr>
          <w:rFonts w:ascii="Arial" w:hAnsi="Arial" w:cs="Arial"/>
          <w:sz w:val="22"/>
          <w:shd w:val="clear" w:color="auto" w:fill="FFFFFF"/>
        </w:rPr>
        <w:t>. Tal proceder puede causar un impacto negativo para el proponente, en la medida que al descontarse tales contratos y sus valores</w:t>
      </w:r>
      <w:r w:rsidR="00435ECD" w:rsidRPr="0045129A">
        <w:rPr>
          <w:rFonts w:ascii="Arial" w:hAnsi="Arial" w:cs="Arial"/>
          <w:sz w:val="22"/>
          <w:shd w:val="clear" w:color="auto" w:fill="FFFFFF"/>
        </w:rPr>
        <w:t xml:space="preserve">, </w:t>
      </w:r>
      <w:r w:rsidR="00456A93" w:rsidRPr="0045129A">
        <w:rPr>
          <w:rFonts w:ascii="Arial" w:hAnsi="Arial" w:cs="Arial"/>
          <w:sz w:val="22"/>
          <w:shd w:val="clear" w:color="auto" w:fill="FFFFFF"/>
        </w:rPr>
        <w:t>es posible</w:t>
      </w:r>
      <w:r w:rsidR="00435ECD" w:rsidRPr="0045129A">
        <w:rPr>
          <w:rFonts w:ascii="Arial" w:hAnsi="Arial" w:cs="Arial"/>
          <w:sz w:val="22"/>
          <w:shd w:val="clear" w:color="auto" w:fill="FFFFFF"/>
        </w:rPr>
        <w:t xml:space="preserve"> que la entidad determine que </w:t>
      </w:r>
      <w:r w:rsidR="00456A93" w:rsidRPr="0045129A">
        <w:rPr>
          <w:rFonts w:ascii="Arial" w:hAnsi="Arial" w:cs="Arial"/>
          <w:sz w:val="22"/>
          <w:shd w:val="clear" w:color="auto" w:fill="FFFFFF"/>
        </w:rPr>
        <w:t xml:space="preserve">el proponente </w:t>
      </w:r>
      <w:r w:rsidR="00435ECD" w:rsidRPr="0045129A">
        <w:rPr>
          <w:rFonts w:ascii="Arial" w:hAnsi="Arial" w:cs="Arial"/>
          <w:sz w:val="22"/>
          <w:shd w:val="clear" w:color="auto" w:fill="FFFFFF"/>
        </w:rPr>
        <w:t xml:space="preserve">no cumple con el requisito de experiencia exigido, respecto del valor equivalente a un porcentaje del valor del presupuesto, que se requiere que </w:t>
      </w:r>
      <w:r w:rsidR="00456A93" w:rsidRPr="0045129A">
        <w:rPr>
          <w:rFonts w:ascii="Arial" w:hAnsi="Arial" w:cs="Arial"/>
          <w:sz w:val="22"/>
          <w:shd w:val="clear" w:color="auto" w:fill="FFFFFF"/>
        </w:rPr>
        <w:t>se</w:t>
      </w:r>
      <w:r w:rsidR="00435ECD" w:rsidRPr="0045129A">
        <w:rPr>
          <w:rFonts w:ascii="Arial" w:hAnsi="Arial" w:cs="Arial"/>
          <w:sz w:val="22"/>
          <w:shd w:val="clear" w:color="auto" w:fill="FFFFFF"/>
        </w:rPr>
        <w:t xml:space="preserve"> acredit</w:t>
      </w:r>
      <w:r w:rsidR="00456A93" w:rsidRPr="0045129A">
        <w:rPr>
          <w:rFonts w:ascii="Arial" w:hAnsi="Arial" w:cs="Arial"/>
          <w:sz w:val="22"/>
          <w:shd w:val="clear" w:color="auto" w:fill="FFFFFF"/>
        </w:rPr>
        <w:t xml:space="preserve">ar </w:t>
      </w:r>
      <w:r w:rsidR="00435ECD" w:rsidRPr="0045129A">
        <w:rPr>
          <w:rFonts w:ascii="Arial" w:hAnsi="Arial" w:cs="Arial"/>
          <w:sz w:val="22"/>
          <w:shd w:val="clear" w:color="auto" w:fill="FFFFFF"/>
        </w:rPr>
        <w:t xml:space="preserve">con los </w:t>
      </w:r>
      <w:r w:rsidR="00456A93" w:rsidRPr="0045129A">
        <w:rPr>
          <w:rFonts w:ascii="Arial" w:hAnsi="Arial" w:cs="Arial"/>
          <w:sz w:val="22"/>
          <w:shd w:val="clear" w:color="auto" w:fill="FFFFFF"/>
        </w:rPr>
        <w:t xml:space="preserve">contratos con los que se demuestra la experiencia. </w:t>
      </w:r>
    </w:p>
    <w:p w14:paraId="4AA58CD4" w14:textId="25009559" w:rsidR="007726E5" w:rsidRPr="0045129A" w:rsidRDefault="007726E5" w:rsidP="00456A93">
      <w:pPr>
        <w:spacing w:after="120" w:line="276" w:lineRule="auto"/>
        <w:ind w:right="51" w:firstLine="708"/>
        <w:jc w:val="both"/>
        <w:rPr>
          <w:rFonts w:ascii="Arial" w:hAnsi="Arial" w:cs="Arial"/>
          <w:sz w:val="22"/>
        </w:rPr>
      </w:pPr>
      <w:r w:rsidRPr="0045129A">
        <w:rPr>
          <w:rFonts w:ascii="Arial" w:hAnsi="Arial" w:cs="Arial"/>
          <w:sz w:val="22"/>
        </w:rPr>
        <w:t>La experiencia en el marco de procesos de selección adelantados con documentos tipo es un requisito habilitante no sujeto a puntaje, por lo tanto, no requerido para la comparación de ofertas. Esto, significa que los documentos referentes a la acreditación de la experiencia son subsanables en los términos del parágrafo 1 del artículo 5 de la Ley 1150 de 2007</w:t>
      </w:r>
      <w:r w:rsidR="00780149" w:rsidRPr="0045129A">
        <w:rPr>
          <w:rStyle w:val="FootnoteReference"/>
          <w:rFonts w:ascii="Arial" w:hAnsi="Arial" w:cs="Arial"/>
          <w:sz w:val="22"/>
        </w:rPr>
        <w:footnoteReference w:id="9"/>
      </w:r>
      <w:r w:rsidR="00780149" w:rsidRPr="0045129A">
        <w:rPr>
          <w:rFonts w:ascii="Arial" w:hAnsi="Arial" w:cs="Arial"/>
          <w:sz w:val="22"/>
          <w:vertAlign w:val="superscript"/>
        </w:rPr>
        <w:t>-</w:t>
      </w:r>
      <w:r w:rsidR="00B616DB" w:rsidRPr="0045129A">
        <w:rPr>
          <w:rStyle w:val="FootnoteReference"/>
          <w:rFonts w:ascii="Arial" w:hAnsi="Arial" w:cs="Arial"/>
          <w:sz w:val="22"/>
        </w:rPr>
        <w:footnoteReference w:id="10"/>
      </w:r>
      <w:r w:rsidRPr="0045129A">
        <w:rPr>
          <w:rFonts w:ascii="Arial" w:hAnsi="Arial" w:cs="Arial"/>
          <w:sz w:val="22"/>
        </w:rPr>
        <w:t>, conforme se establece en el numeral 1.6 del Documento Base</w:t>
      </w:r>
      <w:r w:rsidRPr="0045129A">
        <w:rPr>
          <w:rStyle w:val="FootnoteReference"/>
          <w:rFonts w:ascii="Arial" w:hAnsi="Arial" w:cs="Arial"/>
          <w:sz w:val="22"/>
        </w:rPr>
        <w:footnoteReference w:id="11"/>
      </w:r>
      <w:r w:rsidRPr="0045129A">
        <w:rPr>
          <w:rFonts w:ascii="Arial" w:hAnsi="Arial" w:cs="Arial"/>
          <w:sz w:val="22"/>
        </w:rPr>
        <w:t xml:space="preserve">.  </w:t>
      </w:r>
    </w:p>
    <w:p w14:paraId="4C187CA7" w14:textId="7EAAF7B1" w:rsidR="007726E5" w:rsidRPr="0045129A" w:rsidRDefault="007726E5" w:rsidP="007726E5">
      <w:pPr>
        <w:pStyle w:val="paragraph"/>
        <w:spacing w:before="0" w:beforeAutospacing="0" w:after="120" w:afterAutospacing="0" w:line="276" w:lineRule="auto"/>
        <w:jc w:val="both"/>
        <w:textAlignment w:val="baseline"/>
        <w:rPr>
          <w:rFonts w:ascii="Arial" w:hAnsi="Arial" w:cs="Arial"/>
          <w:sz w:val="22"/>
        </w:rPr>
      </w:pPr>
      <w:r w:rsidRPr="0045129A">
        <w:rPr>
          <w:rFonts w:ascii="Arial" w:hAnsi="Arial" w:cs="Arial"/>
          <w:sz w:val="22"/>
        </w:rPr>
        <w:tab/>
        <w:t>De acuerdo con esto, cuando los contratos y documentos aportados para acreditar la experiencia no cumplen con el requisito</w:t>
      </w:r>
      <w:r w:rsidR="005B4A56" w:rsidRPr="0045129A">
        <w:rPr>
          <w:rFonts w:ascii="Arial" w:hAnsi="Arial" w:cs="Arial"/>
          <w:sz w:val="22"/>
        </w:rPr>
        <w:t xml:space="preserve"> habilitante</w:t>
      </w:r>
      <w:r w:rsidRPr="0045129A">
        <w:rPr>
          <w:rFonts w:ascii="Arial" w:hAnsi="Arial" w:cs="Arial"/>
          <w:sz w:val="22"/>
        </w:rPr>
        <w:t>, la entidad contratante debe requerir al proponente para que subsane. Al responder tal requerimiento, es jurídicamente viable que el proponente aporte documentos relativos a otros contratos, distintos de los en principio descartados por la entidad estatal. Sin embargo, para que dicha subsanación sea válida, de conformidad con el parágrafo 1 de la Ley 1150 de 2007 y el literal D del numeral 3.5.</w:t>
      </w:r>
      <w:r w:rsidR="00D764E9" w:rsidRPr="0045129A">
        <w:rPr>
          <w:rFonts w:ascii="Arial" w:hAnsi="Arial" w:cs="Arial"/>
          <w:sz w:val="22"/>
        </w:rPr>
        <w:t>1 –3.</w:t>
      </w:r>
      <w:r w:rsidR="0043370E" w:rsidRPr="0045129A">
        <w:rPr>
          <w:rFonts w:ascii="Arial" w:hAnsi="Arial" w:cs="Arial"/>
          <w:sz w:val="22"/>
        </w:rPr>
        <w:t>5.2 en la versión 3–</w:t>
      </w:r>
      <w:r w:rsidRPr="0045129A">
        <w:rPr>
          <w:rFonts w:ascii="Arial" w:hAnsi="Arial" w:cs="Arial"/>
          <w:sz w:val="22"/>
        </w:rPr>
        <w:t xml:space="preserve"> del Documento Base, es necesario que dichos contratos hayan terminado antes de la fecha de cierre del proceso de selección, ya que de lo contrario constituirán una circunstancia ocurrida con posterioridad al cierre</w:t>
      </w:r>
      <w:r w:rsidR="00F605EE" w:rsidRPr="0045129A">
        <w:rPr>
          <w:rFonts w:ascii="Arial" w:hAnsi="Arial" w:cs="Arial"/>
          <w:sz w:val="22"/>
        </w:rPr>
        <w:t>, lo cual constituye una limitación a la posibilidad de subsanar</w:t>
      </w:r>
      <w:r w:rsidR="006B0546" w:rsidRPr="0045129A">
        <w:rPr>
          <w:rStyle w:val="FootnoteReference"/>
          <w:rFonts w:ascii="Arial" w:hAnsi="Arial" w:cs="Arial"/>
          <w:sz w:val="22"/>
        </w:rPr>
        <w:footnoteReference w:id="12"/>
      </w:r>
      <w:r w:rsidR="00F605EE" w:rsidRPr="0045129A">
        <w:rPr>
          <w:rFonts w:ascii="Arial" w:hAnsi="Arial" w:cs="Arial"/>
          <w:sz w:val="22"/>
        </w:rPr>
        <w:t>.</w:t>
      </w:r>
    </w:p>
    <w:p w14:paraId="6272F220" w14:textId="6AD0B535" w:rsidR="007726E5" w:rsidRPr="0045129A" w:rsidRDefault="007726E5" w:rsidP="007726E5">
      <w:pPr>
        <w:pStyle w:val="paragraph"/>
        <w:spacing w:before="0" w:beforeAutospacing="0" w:after="0" w:afterAutospacing="0" w:line="276" w:lineRule="auto"/>
        <w:jc w:val="both"/>
        <w:textAlignment w:val="baseline"/>
        <w:rPr>
          <w:rFonts w:ascii="Arial" w:hAnsi="Arial" w:cs="Arial"/>
          <w:sz w:val="22"/>
        </w:rPr>
      </w:pPr>
      <w:r w:rsidRPr="0045129A">
        <w:rPr>
          <w:rFonts w:ascii="Arial" w:hAnsi="Arial" w:cs="Arial"/>
          <w:sz w:val="22"/>
        </w:rPr>
        <w:tab/>
        <w:t>No sobra agrega</w:t>
      </w:r>
      <w:r w:rsidR="0043370E" w:rsidRPr="0045129A">
        <w:rPr>
          <w:rFonts w:ascii="Arial" w:hAnsi="Arial" w:cs="Arial"/>
          <w:sz w:val="22"/>
        </w:rPr>
        <w:t>r</w:t>
      </w:r>
      <w:r w:rsidRPr="0045129A">
        <w:rPr>
          <w:rFonts w:ascii="Arial" w:hAnsi="Arial" w:cs="Arial"/>
          <w:sz w:val="22"/>
        </w:rPr>
        <w:t xml:space="preserve"> que, al responder el requerimiento de subsanación con información relativa a contratos diferentes a los inicialmente acreditados, el proponente deberá cumplir con todos los requisitos e información requerida por el numeral 3.5 del Documento Base. Esto no solo supone aportar el </w:t>
      </w:r>
      <w:r w:rsidR="0043370E" w:rsidRPr="0045129A">
        <w:rPr>
          <w:rFonts w:ascii="Arial" w:hAnsi="Arial" w:cs="Arial"/>
          <w:sz w:val="22"/>
        </w:rPr>
        <w:t>«</w:t>
      </w:r>
      <w:r w:rsidRPr="0045129A">
        <w:rPr>
          <w:rFonts w:ascii="Arial" w:hAnsi="Arial" w:cs="Arial"/>
          <w:sz w:val="22"/>
        </w:rPr>
        <w:t>Formato 3 – Experiencia</w:t>
      </w:r>
      <w:r w:rsidR="0043370E" w:rsidRPr="0045129A">
        <w:rPr>
          <w:rFonts w:ascii="Arial" w:hAnsi="Arial" w:cs="Arial"/>
          <w:sz w:val="22"/>
        </w:rPr>
        <w:t>»</w:t>
      </w:r>
      <w:r w:rsidRPr="0045129A">
        <w:rPr>
          <w:rFonts w:ascii="Arial" w:hAnsi="Arial" w:cs="Arial"/>
          <w:sz w:val="22"/>
        </w:rPr>
        <w:t xml:space="preserve"> modificado con la información de los nuevos contratos, sino también acreditar toda la información a la que se refiere el numeral 3.5.5, para lo cual podrá emplear los documentos </w:t>
      </w:r>
      <w:r w:rsidR="005B4A56" w:rsidRPr="0045129A">
        <w:rPr>
          <w:rFonts w:ascii="Arial" w:hAnsi="Arial" w:cs="Arial"/>
          <w:sz w:val="22"/>
        </w:rPr>
        <w:t xml:space="preserve">de que trata el numeral </w:t>
      </w:r>
      <w:r w:rsidRPr="0045129A">
        <w:rPr>
          <w:rFonts w:ascii="Arial" w:hAnsi="Arial" w:cs="Arial"/>
          <w:sz w:val="22"/>
        </w:rPr>
        <w:t xml:space="preserve">3.5.6. Si al aportar los nuevos contratos el proponente no cumple con las reglas de acreditación, o los contratos no corresponden con el requisito de experiencia, la entidad deberá rechazar la oferta.  </w:t>
      </w:r>
    </w:p>
    <w:p w14:paraId="43A03E70" w14:textId="77777777" w:rsidR="00E81E00" w:rsidRPr="0045129A" w:rsidRDefault="00E81E00" w:rsidP="000D0EC1">
      <w:pPr>
        <w:ind w:firstLine="709"/>
        <w:jc w:val="both"/>
        <w:rPr>
          <w:rFonts w:ascii="Arial" w:hAnsi="Arial" w:cs="Arial"/>
          <w:sz w:val="22"/>
        </w:rPr>
      </w:pPr>
    </w:p>
    <w:p w14:paraId="5F8D1C69" w14:textId="552476BB" w:rsidR="001527BD" w:rsidRPr="0045129A" w:rsidRDefault="001527BD" w:rsidP="001527BD">
      <w:pPr>
        <w:pStyle w:val="ListParagraph"/>
        <w:numPr>
          <w:ilvl w:val="0"/>
          <w:numId w:val="1"/>
        </w:numPr>
        <w:spacing w:line="276" w:lineRule="auto"/>
        <w:ind w:left="284" w:hanging="284"/>
        <w:jc w:val="both"/>
        <w:rPr>
          <w:rFonts w:ascii="Arial" w:hAnsi="Arial" w:cs="Arial"/>
          <w:b/>
          <w:bCs/>
          <w:sz w:val="22"/>
        </w:rPr>
      </w:pPr>
      <w:r w:rsidRPr="0045129A">
        <w:rPr>
          <w:rFonts w:ascii="Arial" w:hAnsi="Arial" w:cs="Arial"/>
          <w:b/>
          <w:bCs/>
          <w:sz w:val="22"/>
        </w:rPr>
        <w:t>Respuesta</w:t>
      </w:r>
    </w:p>
    <w:p w14:paraId="72EBCBB5" w14:textId="43C12458" w:rsidR="00A32007" w:rsidRPr="0045129A" w:rsidRDefault="00A32007" w:rsidP="000D0EC1">
      <w:pPr>
        <w:jc w:val="both"/>
        <w:rPr>
          <w:rFonts w:ascii="Arial" w:hAnsi="Arial" w:cs="Arial"/>
          <w:sz w:val="22"/>
        </w:rPr>
      </w:pPr>
    </w:p>
    <w:p w14:paraId="5F998F77" w14:textId="77777777" w:rsidR="0041053A" w:rsidRPr="0045129A" w:rsidRDefault="0041053A" w:rsidP="0041053A">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 Para efectos de la calificación de la experiencia general contenida en la matriz ¿Puede una entidad estatal adicionar la Matriz 1 – Experiencia con actividades específicas que están contenidas en las definiciones del Anexo 3 – Glosario?</w:t>
      </w:r>
    </w:p>
    <w:p w14:paraId="2121BFE5" w14:textId="77777777" w:rsidR="0041053A" w:rsidRPr="0045129A" w:rsidRDefault="0041053A" w:rsidP="0041053A">
      <w:pPr>
        <w:autoSpaceDE w:val="0"/>
        <w:autoSpaceDN w:val="0"/>
        <w:adjustRightInd w:val="0"/>
        <w:ind w:left="709" w:right="709"/>
        <w:jc w:val="both"/>
        <w:rPr>
          <w:rFonts w:ascii="Arial" w:eastAsia="Wingdings-Regular" w:hAnsi="Arial" w:cs="Arial"/>
          <w:sz w:val="21"/>
          <w:szCs w:val="21"/>
          <w:lang w:val="es-CO"/>
        </w:rPr>
      </w:pPr>
    </w:p>
    <w:p w14:paraId="26CB6ABE" w14:textId="77777777" w:rsidR="0041053A" w:rsidRPr="0045129A" w:rsidRDefault="0041053A" w:rsidP="0041053A">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 xml:space="preserve">En caso que la respuesta anterior sea afirmativa ¿Puede exigir que en los documentos adicionales para acreditar la experiencia (certificaciones, actas de liquidación, sabanas de obra etc), contengan </w:t>
      </w:r>
      <w:r w:rsidRPr="0045129A">
        <w:rPr>
          <w:rFonts w:ascii="Arial" w:hAnsi="Arial" w:cs="Arial"/>
          <w:b/>
          <w:bCs/>
          <w:sz w:val="21"/>
          <w:szCs w:val="21"/>
          <w:lang w:val="es-CO"/>
        </w:rPr>
        <w:t xml:space="preserve">LITERALMENTE </w:t>
      </w:r>
      <w:r w:rsidRPr="0045129A">
        <w:rPr>
          <w:rFonts w:ascii="Arial" w:hAnsi="Arial" w:cs="Arial"/>
          <w:sz w:val="21"/>
          <w:szCs w:val="21"/>
          <w:lang w:val="es-CO"/>
        </w:rPr>
        <w:t>la ejecución de las actividades específicas contenidas en el Anexo 3 – Glosario?</w:t>
      </w:r>
    </w:p>
    <w:p w14:paraId="64CAB77D" w14:textId="77777777" w:rsidR="0041053A" w:rsidRPr="0045129A" w:rsidRDefault="0041053A" w:rsidP="0041053A">
      <w:pPr>
        <w:autoSpaceDE w:val="0"/>
        <w:autoSpaceDN w:val="0"/>
        <w:adjustRightInd w:val="0"/>
        <w:ind w:left="709" w:right="709"/>
        <w:jc w:val="both"/>
        <w:rPr>
          <w:rFonts w:ascii="Arial" w:eastAsia="Wingdings-Regular" w:hAnsi="Arial" w:cs="Arial"/>
          <w:sz w:val="21"/>
          <w:szCs w:val="21"/>
          <w:lang w:val="es-CO"/>
        </w:rPr>
      </w:pPr>
    </w:p>
    <w:p w14:paraId="4FEE26A7" w14:textId="7E4DB240" w:rsidR="0041053A" w:rsidRPr="0045129A" w:rsidRDefault="0041053A" w:rsidP="0041053A">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¿Solicitar la acreditación de actividades específicas contenidas en el Anexo 3 – Glosario, diferentes a las condiciones establecidas en la Matriz 1- Experiencia, constituye una  codificación, adición o alteración de los documentos tipo?»</w:t>
      </w:r>
    </w:p>
    <w:p w14:paraId="02551446" w14:textId="77777777" w:rsidR="003716D7" w:rsidRPr="0045129A" w:rsidRDefault="003716D7" w:rsidP="003716D7">
      <w:pPr>
        <w:autoSpaceDE w:val="0"/>
        <w:autoSpaceDN w:val="0"/>
        <w:adjustRightInd w:val="0"/>
        <w:ind w:left="709" w:right="709"/>
        <w:rPr>
          <w:rFonts w:ascii="Arial" w:hAnsi="Arial" w:cs="Arial"/>
          <w:sz w:val="21"/>
          <w:szCs w:val="21"/>
          <w:lang w:val="es-CO"/>
        </w:rPr>
      </w:pPr>
    </w:p>
    <w:p w14:paraId="1DFFCD1F" w14:textId="0947638D" w:rsidR="00387394" w:rsidRPr="0045129A" w:rsidRDefault="00FD6309" w:rsidP="00CF7A0A">
      <w:pPr>
        <w:spacing w:after="120" w:line="276" w:lineRule="auto"/>
        <w:jc w:val="both"/>
        <w:rPr>
          <w:rFonts w:ascii="Arial" w:hAnsi="Arial" w:cs="Arial"/>
          <w:sz w:val="22"/>
        </w:rPr>
      </w:pPr>
      <w:r w:rsidRPr="0045129A">
        <w:rPr>
          <w:rFonts w:ascii="Arial" w:hAnsi="Arial" w:cs="Arial"/>
          <w:sz w:val="22"/>
        </w:rPr>
        <w:t>De acuerdo con</w:t>
      </w:r>
      <w:r w:rsidR="00B619B4" w:rsidRPr="0045129A">
        <w:rPr>
          <w:rFonts w:ascii="Arial" w:hAnsi="Arial" w:cs="Arial"/>
          <w:sz w:val="22"/>
        </w:rPr>
        <w:t xml:space="preserve"> lo expuesto, </w:t>
      </w:r>
      <w:r w:rsidR="003B3A6C" w:rsidRPr="0045129A">
        <w:rPr>
          <w:rFonts w:ascii="Arial" w:hAnsi="Arial" w:cs="Arial"/>
          <w:sz w:val="22"/>
        </w:rPr>
        <w:t>l</w:t>
      </w:r>
      <w:r w:rsidR="00387394" w:rsidRPr="0045129A">
        <w:rPr>
          <w:rFonts w:ascii="Arial" w:hAnsi="Arial" w:cs="Arial"/>
          <w:sz w:val="22"/>
        </w:rPr>
        <w:t xml:space="preserve">as expresiones contenidas en </w:t>
      </w:r>
      <w:r w:rsidR="00EB3537" w:rsidRPr="0045129A">
        <w:rPr>
          <w:rFonts w:ascii="Arial" w:hAnsi="Arial" w:cs="Arial"/>
          <w:sz w:val="22"/>
        </w:rPr>
        <w:t xml:space="preserve">los documentos tipo de infraestructura de transporte </w:t>
      </w:r>
      <w:r w:rsidR="00387394" w:rsidRPr="0045129A">
        <w:rPr>
          <w:rFonts w:ascii="Arial" w:hAnsi="Arial" w:cs="Arial"/>
          <w:sz w:val="22"/>
        </w:rPr>
        <w:t xml:space="preserve">deben </w:t>
      </w:r>
      <w:r w:rsidRPr="0045129A">
        <w:rPr>
          <w:rFonts w:ascii="Arial" w:hAnsi="Arial" w:cs="Arial"/>
          <w:sz w:val="22"/>
        </w:rPr>
        <w:t>interpretarse</w:t>
      </w:r>
      <w:r w:rsidR="00387394" w:rsidRPr="0045129A">
        <w:rPr>
          <w:rFonts w:ascii="Arial" w:hAnsi="Arial" w:cs="Arial"/>
          <w:sz w:val="22"/>
        </w:rPr>
        <w:t xml:space="preserve"> conforme indica el numeral </w:t>
      </w:r>
      <w:r w:rsidR="00EB3537" w:rsidRPr="0045129A">
        <w:rPr>
          <w:rFonts w:ascii="Arial" w:hAnsi="Arial" w:cs="Arial"/>
          <w:sz w:val="22"/>
        </w:rPr>
        <w:t>1.10 del Documento Base.</w:t>
      </w:r>
      <w:r w:rsidR="00E54F73" w:rsidRPr="0045129A">
        <w:rPr>
          <w:rFonts w:ascii="Arial" w:hAnsi="Arial" w:cs="Arial"/>
          <w:sz w:val="22"/>
        </w:rPr>
        <w:t xml:space="preserve"> Dicho numeral, establece que tales </w:t>
      </w:r>
      <w:r w:rsidR="00244BCF" w:rsidRPr="0045129A">
        <w:rPr>
          <w:rFonts w:ascii="Arial" w:hAnsi="Arial" w:cs="Arial"/>
          <w:sz w:val="22"/>
        </w:rPr>
        <w:t>expresiones</w:t>
      </w:r>
      <w:r w:rsidR="00E54F73" w:rsidRPr="0045129A">
        <w:rPr>
          <w:rFonts w:ascii="Arial" w:hAnsi="Arial" w:cs="Arial"/>
          <w:sz w:val="22"/>
        </w:rPr>
        <w:t xml:space="preserve"> deben interpretarse conforme a las definiciones establecidas en el «Anexo 3 – Glosario», la Ley 1682 de 2013 y el Decreto 1082 de 2015. </w:t>
      </w:r>
    </w:p>
    <w:p w14:paraId="57EE19C6" w14:textId="12C2D212" w:rsidR="00CF7A0A" w:rsidRPr="0045129A" w:rsidRDefault="00F617B9" w:rsidP="00FA3B8D">
      <w:pPr>
        <w:spacing w:after="120" w:line="276" w:lineRule="auto"/>
        <w:jc w:val="both"/>
        <w:rPr>
          <w:rFonts w:ascii="Arial" w:hAnsi="Arial" w:cs="Arial"/>
          <w:sz w:val="22"/>
        </w:rPr>
      </w:pPr>
      <w:r w:rsidRPr="0045129A">
        <w:rPr>
          <w:rFonts w:ascii="Arial" w:hAnsi="Arial" w:cs="Arial"/>
          <w:sz w:val="22"/>
        </w:rPr>
        <w:tab/>
      </w:r>
      <w:r w:rsidR="003B3A6C" w:rsidRPr="0045129A">
        <w:rPr>
          <w:rFonts w:ascii="Arial" w:hAnsi="Arial" w:cs="Arial"/>
          <w:sz w:val="22"/>
        </w:rPr>
        <w:t xml:space="preserve"> </w:t>
      </w:r>
      <w:r w:rsidR="000224DA" w:rsidRPr="0045129A">
        <w:rPr>
          <w:rFonts w:ascii="Arial" w:hAnsi="Arial" w:cs="Arial"/>
          <w:sz w:val="22"/>
        </w:rPr>
        <w:t xml:space="preserve">Esto implica que, para la evaluación de los requisitos de experiencia </w:t>
      </w:r>
      <w:r w:rsidR="00DA6AAB" w:rsidRPr="0045129A">
        <w:rPr>
          <w:rFonts w:ascii="Arial" w:hAnsi="Arial" w:cs="Arial"/>
          <w:sz w:val="22"/>
        </w:rPr>
        <w:t>estandarizados por la «Matriz 1 – Experiencia»</w:t>
      </w:r>
      <w:r w:rsidR="001C3668" w:rsidRPr="0045129A">
        <w:rPr>
          <w:rFonts w:ascii="Arial" w:hAnsi="Arial" w:cs="Arial"/>
          <w:sz w:val="22"/>
        </w:rPr>
        <w:t>, deberá observarse los dispuesto en el «Anexo 3 – Glosario», la Ley 1682 de 2013 y el Decreto 1082 de 2015. Esto significa que, por ejemplo, en el caso de requisitos que se refieran a las actividades de construcción</w:t>
      </w:r>
      <w:r w:rsidR="00B45A0D" w:rsidRPr="0045129A">
        <w:rPr>
          <w:rFonts w:ascii="Arial" w:hAnsi="Arial" w:cs="Arial"/>
          <w:sz w:val="22"/>
        </w:rPr>
        <w:t>,</w:t>
      </w:r>
      <w:r w:rsidR="001C3668" w:rsidRPr="0045129A">
        <w:rPr>
          <w:rFonts w:ascii="Arial" w:hAnsi="Arial" w:cs="Arial"/>
          <w:sz w:val="22"/>
        </w:rPr>
        <w:t xml:space="preserve"> mejoramiento</w:t>
      </w:r>
      <w:r w:rsidR="00B45A0D" w:rsidRPr="0045129A">
        <w:rPr>
          <w:rFonts w:ascii="Arial" w:hAnsi="Arial" w:cs="Arial"/>
          <w:sz w:val="22"/>
        </w:rPr>
        <w:t xml:space="preserve"> o rehabilitación</w:t>
      </w:r>
      <w:r w:rsidR="001C3668" w:rsidRPr="0045129A">
        <w:rPr>
          <w:rFonts w:ascii="Arial" w:hAnsi="Arial" w:cs="Arial"/>
          <w:sz w:val="22"/>
        </w:rPr>
        <w:t>, l</w:t>
      </w:r>
      <w:r w:rsidR="00B45A0D" w:rsidRPr="0045129A">
        <w:rPr>
          <w:rFonts w:ascii="Arial" w:hAnsi="Arial" w:cs="Arial"/>
          <w:sz w:val="22"/>
        </w:rPr>
        <w:t>a entidad debe verificar que lo acreditado por el proponente se ajuste a las definiciones establecidas los numerales 2.62, 2.70 y 2.72</w:t>
      </w:r>
      <w:r w:rsidR="00A707ED" w:rsidRPr="0045129A">
        <w:rPr>
          <w:rFonts w:ascii="Arial" w:hAnsi="Arial" w:cs="Arial"/>
          <w:sz w:val="22"/>
        </w:rPr>
        <w:t xml:space="preserve"> del</w:t>
      </w:r>
      <w:r w:rsidR="00B45A0D" w:rsidRPr="0045129A">
        <w:rPr>
          <w:rFonts w:ascii="Arial" w:hAnsi="Arial" w:cs="Arial"/>
          <w:sz w:val="22"/>
        </w:rPr>
        <w:t xml:space="preserve"> «Anexo 3 – Glosario», el artículo 12 de la Ley 1682 de 2013</w:t>
      </w:r>
      <w:r w:rsidR="00A707ED" w:rsidRPr="0045129A">
        <w:rPr>
          <w:rFonts w:ascii="Arial" w:hAnsi="Arial" w:cs="Arial"/>
          <w:sz w:val="22"/>
        </w:rPr>
        <w:t xml:space="preserve"> y, particularmente, en el caso del mejoramiento, </w:t>
      </w:r>
      <w:r w:rsidR="004C1BEC" w:rsidRPr="0045129A">
        <w:rPr>
          <w:rFonts w:ascii="Arial" w:hAnsi="Arial" w:cs="Arial"/>
          <w:sz w:val="22"/>
        </w:rPr>
        <w:t>los artículos 2.2.2.5.1.1, 2.2.2.5.2.1, 2.2.2.5.3.1, 2.2.2.5.3.2 o 2.2.2.5.4.1 del Decreto 1076 de 2015.</w:t>
      </w:r>
      <w:r w:rsidR="00FA3B8D" w:rsidRPr="0045129A">
        <w:rPr>
          <w:rFonts w:ascii="Arial" w:hAnsi="Arial" w:cs="Arial"/>
          <w:sz w:val="22"/>
        </w:rPr>
        <w:t xml:space="preserve"> </w:t>
      </w:r>
      <w:r w:rsidR="001A3C41" w:rsidRPr="0045129A">
        <w:rPr>
          <w:rFonts w:ascii="Arial" w:hAnsi="Arial" w:cs="Arial"/>
          <w:sz w:val="22"/>
        </w:rPr>
        <w:t xml:space="preserve">De acuerdo con esto, </w:t>
      </w:r>
      <w:r w:rsidR="005C78CC" w:rsidRPr="0045129A">
        <w:rPr>
          <w:rFonts w:ascii="Arial" w:hAnsi="Arial" w:cs="Arial"/>
          <w:sz w:val="22"/>
        </w:rPr>
        <w:t xml:space="preserve">por ejemplo, </w:t>
      </w:r>
      <w:r w:rsidR="001A3C41" w:rsidRPr="0045129A">
        <w:rPr>
          <w:rFonts w:ascii="Arial" w:hAnsi="Arial" w:cs="Arial"/>
          <w:sz w:val="22"/>
        </w:rPr>
        <w:t>para determinar si un proponente cumple con el requisito de experiencia general</w:t>
      </w:r>
      <w:r w:rsidR="00BF731F" w:rsidRPr="0045129A">
        <w:rPr>
          <w:rFonts w:ascii="Arial" w:hAnsi="Arial" w:cs="Arial"/>
          <w:sz w:val="22"/>
        </w:rPr>
        <w:t xml:space="preserve">, la entidad debe verificar que los contratos que aporta efectivamente </w:t>
      </w:r>
      <w:r w:rsidR="00FC095D" w:rsidRPr="0045129A">
        <w:rPr>
          <w:rFonts w:ascii="Arial" w:hAnsi="Arial" w:cs="Arial"/>
          <w:sz w:val="22"/>
        </w:rPr>
        <w:t xml:space="preserve">hayan implicado labores de </w:t>
      </w:r>
      <w:r w:rsidR="00FC095D" w:rsidRPr="0045129A">
        <w:rPr>
          <w:rFonts w:ascii="Arial" w:hAnsi="Arial" w:cs="Arial"/>
          <w:i/>
          <w:iCs/>
          <w:sz w:val="22"/>
        </w:rPr>
        <w:t>construcción</w:t>
      </w:r>
      <w:r w:rsidR="00B5666F" w:rsidRPr="0045129A">
        <w:rPr>
          <w:rFonts w:ascii="Arial" w:hAnsi="Arial" w:cs="Arial"/>
          <w:i/>
          <w:iCs/>
          <w:sz w:val="22"/>
        </w:rPr>
        <w:t>,</w:t>
      </w:r>
      <w:r w:rsidR="00FC095D" w:rsidRPr="0045129A">
        <w:rPr>
          <w:rFonts w:ascii="Arial" w:hAnsi="Arial" w:cs="Arial"/>
          <w:sz w:val="22"/>
        </w:rPr>
        <w:t xml:space="preserve"> </w:t>
      </w:r>
      <w:r w:rsidR="00FC095D" w:rsidRPr="0045129A">
        <w:rPr>
          <w:rFonts w:ascii="Arial" w:hAnsi="Arial" w:cs="Arial"/>
          <w:i/>
          <w:iCs/>
          <w:sz w:val="22"/>
        </w:rPr>
        <w:t>mejoramiento</w:t>
      </w:r>
      <w:r w:rsidR="00B5666F" w:rsidRPr="0045129A">
        <w:rPr>
          <w:rFonts w:ascii="Arial" w:hAnsi="Arial" w:cs="Arial"/>
          <w:sz w:val="22"/>
        </w:rPr>
        <w:t xml:space="preserve"> o </w:t>
      </w:r>
      <w:r w:rsidR="00B5666F" w:rsidRPr="0045129A">
        <w:rPr>
          <w:rFonts w:ascii="Arial" w:hAnsi="Arial" w:cs="Arial"/>
          <w:i/>
          <w:iCs/>
          <w:sz w:val="22"/>
        </w:rPr>
        <w:t>rehabilitación</w:t>
      </w:r>
      <w:r w:rsidR="00FC095D" w:rsidRPr="0045129A">
        <w:rPr>
          <w:rFonts w:ascii="Arial" w:hAnsi="Arial" w:cs="Arial"/>
          <w:sz w:val="22"/>
        </w:rPr>
        <w:t xml:space="preserve"> que correspondan a las definiciones establecidas por las referidas normas y anexo. </w:t>
      </w:r>
    </w:p>
    <w:p w14:paraId="715725F1" w14:textId="5701B8B5" w:rsidR="00F43555" w:rsidRPr="0045129A" w:rsidRDefault="00E71E62" w:rsidP="00BA7508">
      <w:pPr>
        <w:spacing w:after="120" w:line="276" w:lineRule="auto"/>
        <w:jc w:val="both"/>
        <w:rPr>
          <w:rFonts w:ascii="Arial" w:hAnsi="Arial" w:cs="Arial"/>
          <w:sz w:val="22"/>
        </w:rPr>
      </w:pPr>
      <w:r w:rsidRPr="0045129A">
        <w:rPr>
          <w:rFonts w:ascii="Arial" w:hAnsi="Arial" w:cs="Arial"/>
          <w:sz w:val="22"/>
        </w:rPr>
        <w:tab/>
      </w:r>
      <w:r w:rsidR="003F1C1F" w:rsidRPr="0045129A">
        <w:rPr>
          <w:rFonts w:ascii="Arial" w:hAnsi="Arial" w:cs="Arial"/>
          <w:sz w:val="22"/>
        </w:rPr>
        <w:t xml:space="preserve">Respecto de cada uno de los contratos que se </w:t>
      </w:r>
      <w:r w:rsidR="00C7341D" w:rsidRPr="0045129A">
        <w:rPr>
          <w:rFonts w:ascii="Arial" w:hAnsi="Arial" w:cs="Arial"/>
          <w:sz w:val="22"/>
        </w:rPr>
        <w:t>aporten para cumplir con</w:t>
      </w:r>
      <w:r w:rsidR="003F1C1F" w:rsidRPr="0045129A">
        <w:rPr>
          <w:rFonts w:ascii="Arial" w:hAnsi="Arial" w:cs="Arial"/>
          <w:sz w:val="22"/>
        </w:rPr>
        <w:t xml:space="preserve"> </w:t>
      </w:r>
      <w:r w:rsidRPr="0045129A">
        <w:rPr>
          <w:rFonts w:ascii="Arial" w:hAnsi="Arial" w:cs="Arial"/>
          <w:sz w:val="22"/>
        </w:rPr>
        <w:t xml:space="preserve">el requisito de </w:t>
      </w:r>
      <w:r w:rsidR="00C0578C" w:rsidRPr="0045129A">
        <w:rPr>
          <w:rFonts w:ascii="Arial" w:hAnsi="Arial" w:cs="Arial"/>
          <w:sz w:val="22"/>
        </w:rPr>
        <w:t>experiencia, los proponentes deberán acreditar</w:t>
      </w:r>
      <w:r w:rsidR="003E66AB" w:rsidRPr="0045129A">
        <w:rPr>
          <w:rFonts w:ascii="Arial" w:hAnsi="Arial" w:cs="Arial"/>
          <w:sz w:val="22"/>
        </w:rPr>
        <w:t xml:space="preserve"> </w:t>
      </w:r>
      <w:r w:rsidR="00C0578C" w:rsidRPr="0045129A">
        <w:rPr>
          <w:rFonts w:ascii="Arial" w:hAnsi="Arial" w:cs="Arial"/>
          <w:sz w:val="22"/>
        </w:rPr>
        <w:t>la informaci</w:t>
      </w:r>
      <w:r w:rsidR="00CA5669" w:rsidRPr="0045129A">
        <w:rPr>
          <w:rFonts w:ascii="Arial" w:hAnsi="Arial" w:cs="Arial"/>
          <w:sz w:val="22"/>
        </w:rPr>
        <w:t>ón relacionada en</w:t>
      </w:r>
      <w:r w:rsidR="00044ACD" w:rsidRPr="0045129A">
        <w:rPr>
          <w:rFonts w:ascii="Arial" w:hAnsi="Arial" w:cs="Arial"/>
          <w:sz w:val="22"/>
        </w:rPr>
        <w:t xml:space="preserve"> los</w:t>
      </w:r>
      <w:r w:rsidR="00CA5669" w:rsidRPr="0045129A">
        <w:rPr>
          <w:rFonts w:ascii="Arial" w:hAnsi="Arial" w:cs="Arial"/>
          <w:sz w:val="22"/>
        </w:rPr>
        <w:t xml:space="preserve"> </w:t>
      </w:r>
      <w:r w:rsidR="003E66AB" w:rsidRPr="0045129A">
        <w:rPr>
          <w:rFonts w:ascii="Arial" w:hAnsi="Arial" w:cs="Arial"/>
          <w:sz w:val="22"/>
        </w:rPr>
        <w:t>numeral</w:t>
      </w:r>
      <w:r w:rsidR="00044ACD" w:rsidRPr="0045129A">
        <w:rPr>
          <w:rFonts w:ascii="Arial" w:hAnsi="Arial" w:cs="Arial"/>
          <w:sz w:val="22"/>
        </w:rPr>
        <w:t>es</w:t>
      </w:r>
      <w:r w:rsidR="003E66AB" w:rsidRPr="0045129A">
        <w:rPr>
          <w:rFonts w:ascii="Arial" w:hAnsi="Arial" w:cs="Arial"/>
          <w:sz w:val="22"/>
        </w:rPr>
        <w:t xml:space="preserve"> 3.5.5</w:t>
      </w:r>
      <w:r w:rsidR="00AB3C45" w:rsidRPr="0045129A">
        <w:rPr>
          <w:rFonts w:ascii="Arial" w:hAnsi="Arial" w:cs="Arial"/>
          <w:sz w:val="22"/>
        </w:rPr>
        <w:t xml:space="preserve"> de</w:t>
      </w:r>
      <w:r w:rsidR="00CA5669" w:rsidRPr="0045129A">
        <w:rPr>
          <w:rFonts w:ascii="Arial" w:hAnsi="Arial" w:cs="Arial"/>
          <w:sz w:val="22"/>
        </w:rPr>
        <w:t xml:space="preserve"> </w:t>
      </w:r>
      <w:r w:rsidR="00AB3C45" w:rsidRPr="0045129A">
        <w:rPr>
          <w:rFonts w:ascii="Arial" w:hAnsi="Arial" w:cs="Arial"/>
          <w:sz w:val="22"/>
        </w:rPr>
        <w:t>l</w:t>
      </w:r>
      <w:r w:rsidR="00CA5669" w:rsidRPr="0045129A">
        <w:rPr>
          <w:rFonts w:ascii="Arial" w:hAnsi="Arial" w:cs="Arial"/>
          <w:sz w:val="22"/>
        </w:rPr>
        <w:t>a</w:t>
      </w:r>
      <w:r w:rsidR="00044ACD" w:rsidRPr="0045129A">
        <w:rPr>
          <w:rFonts w:ascii="Arial" w:hAnsi="Arial" w:cs="Arial"/>
          <w:sz w:val="22"/>
        </w:rPr>
        <w:t>s</w:t>
      </w:r>
      <w:r w:rsidR="00CA5669" w:rsidRPr="0045129A">
        <w:rPr>
          <w:rFonts w:ascii="Arial" w:hAnsi="Arial" w:cs="Arial"/>
          <w:sz w:val="22"/>
        </w:rPr>
        <w:t xml:space="preserve"> versi</w:t>
      </w:r>
      <w:r w:rsidR="00611BBF" w:rsidRPr="0045129A">
        <w:rPr>
          <w:rFonts w:ascii="Arial" w:hAnsi="Arial" w:cs="Arial"/>
          <w:sz w:val="22"/>
        </w:rPr>
        <w:t>ones</w:t>
      </w:r>
      <w:r w:rsidR="00CA5669" w:rsidRPr="0045129A">
        <w:rPr>
          <w:rFonts w:ascii="Arial" w:hAnsi="Arial" w:cs="Arial"/>
          <w:sz w:val="22"/>
        </w:rPr>
        <w:t xml:space="preserve"> 2</w:t>
      </w:r>
      <w:r w:rsidR="00611BBF" w:rsidRPr="0045129A">
        <w:rPr>
          <w:rFonts w:ascii="Arial" w:hAnsi="Arial" w:cs="Arial"/>
          <w:sz w:val="22"/>
        </w:rPr>
        <w:t xml:space="preserve"> y 3</w:t>
      </w:r>
      <w:r w:rsidR="00CA5669" w:rsidRPr="0045129A">
        <w:rPr>
          <w:rFonts w:ascii="Arial" w:hAnsi="Arial" w:cs="Arial"/>
          <w:sz w:val="22"/>
        </w:rPr>
        <w:t xml:space="preserve"> del</w:t>
      </w:r>
      <w:r w:rsidR="00AB3C45" w:rsidRPr="0045129A">
        <w:rPr>
          <w:rFonts w:ascii="Arial" w:hAnsi="Arial" w:cs="Arial"/>
          <w:sz w:val="22"/>
        </w:rPr>
        <w:t xml:space="preserve"> Documento Base</w:t>
      </w:r>
      <w:r w:rsidR="00CA5669" w:rsidRPr="0045129A">
        <w:rPr>
          <w:rFonts w:ascii="Arial" w:hAnsi="Arial" w:cs="Arial"/>
          <w:sz w:val="22"/>
        </w:rPr>
        <w:t xml:space="preserve"> licitación de obra pública</w:t>
      </w:r>
      <w:r w:rsidR="00611BBF" w:rsidRPr="0045129A">
        <w:rPr>
          <w:rFonts w:ascii="Arial" w:hAnsi="Arial" w:cs="Arial"/>
          <w:sz w:val="22"/>
        </w:rPr>
        <w:t xml:space="preserve">, según corresponda. Además del RUP, los proponentes podrán emplear los documentos </w:t>
      </w:r>
      <w:r w:rsidR="00044ACD" w:rsidRPr="0045129A">
        <w:rPr>
          <w:rFonts w:ascii="Arial" w:hAnsi="Arial" w:cs="Arial"/>
          <w:sz w:val="22"/>
        </w:rPr>
        <w:t>señalados</w:t>
      </w:r>
      <w:r w:rsidR="00611BBF" w:rsidRPr="0045129A">
        <w:rPr>
          <w:rFonts w:ascii="Arial" w:hAnsi="Arial" w:cs="Arial"/>
          <w:sz w:val="22"/>
        </w:rPr>
        <w:t xml:space="preserve"> en los numerales 3.5.6 de estos d</w:t>
      </w:r>
      <w:r w:rsidR="00044ACD" w:rsidRPr="0045129A">
        <w:rPr>
          <w:rFonts w:ascii="Arial" w:hAnsi="Arial" w:cs="Arial"/>
          <w:sz w:val="22"/>
        </w:rPr>
        <w:t xml:space="preserve">ocumentos base. </w:t>
      </w:r>
      <w:r w:rsidR="00C0231A" w:rsidRPr="0045129A">
        <w:rPr>
          <w:rFonts w:ascii="Arial" w:hAnsi="Arial" w:cs="Arial"/>
          <w:sz w:val="22"/>
        </w:rPr>
        <w:t>En tales documentos,</w:t>
      </w:r>
      <w:r w:rsidR="0081521B" w:rsidRPr="0045129A">
        <w:rPr>
          <w:rFonts w:ascii="Arial" w:hAnsi="Arial" w:cs="Arial"/>
          <w:sz w:val="22"/>
        </w:rPr>
        <w:t xml:space="preserve"> </w:t>
      </w:r>
      <w:r w:rsidR="00B43F1A" w:rsidRPr="0045129A">
        <w:rPr>
          <w:rFonts w:ascii="Arial" w:hAnsi="Arial" w:cs="Arial"/>
          <w:sz w:val="22"/>
        </w:rPr>
        <w:t xml:space="preserve">la entidad deberá verificar el cumplimiento del requisito de experiencia </w:t>
      </w:r>
      <w:r w:rsidR="0081521B" w:rsidRPr="0045129A">
        <w:rPr>
          <w:rFonts w:ascii="Arial" w:hAnsi="Arial" w:cs="Arial"/>
          <w:sz w:val="22"/>
        </w:rPr>
        <w:t xml:space="preserve">estudiando la referida información, </w:t>
      </w:r>
      <w:r w:rsidR="00B43F1A" w:rsidRPr="0045129A">
        <w:rPr>
          <w:rFonts w:ascii="Arial" w:hAnsi="Arial" w:cs="Arial"/>
          <w:sz w:val="22"/>
        </w:rPr>
        <w:t>para lo cual</w:t>
      </w:r>
      <w:r w:rsidR="0081521B" w:rsidRPr="0045129A">
        <w:rPr>
          <w:rFonts w:ascii="Arial" w:hAnsi="Arial" w:cs="Arial"/>
          <w:sz w:val="22"/>
        </w:rPr>
        <w:t xml:space="preserve"> deberá determinar </w:t>
      </w:r>
      <w:r w:rsidR="00C63A8A" w:rsidRPr="0045129A">
        <w:rPr>
          <w:rFonts w:ascii="Arial" w:hAnsi="Arial" w:cs="Arial"/>
          <w:sz w:val="22"/>
        </w:rPr>
        <w:t>que</w:t>
      </w:r>
      <w:r w:rsidR="0081521B" w:rsidRPr="0045129A">
        <w:rPr>
          <w:rFonts w:ascii="Arial" w:hAnsi="Arial" w:cs="Arial"/>
          <w:sz w:val="22"/>
        </w:rPr>
        <w:t xml:space="preserve"> lo acreditado</w:t>
      </w:r>
      <w:r w:rsidR="00C63A8A" w:rsidRPr="0045129A">
        <w:rPr>
          <w:rFonts w:ascii="Arial" w:hAnsi="Arial" w:cs="Arial"/>
          <w:sz w:val="22"/>
        </w:rPr>
        <w:t xml:space="preserve"> corresponda materialmente con la actividad establecida a modo de requisito de experiencia, para lo </w:t>
      </w:r>
      <w:r w:rsidR="00B43F1A" w:rsidRPr="0045129A">
        <w:rPr>
          <w:rFonts w:ascii="Arial" w:hAnsi="Arial" w:cs="Arial"/>
          <w:sz w:val="22"/>
        </w:rPr>
        <w:t>que deberá tener en cuenta las nociones</w:t>
      </w:r>
      <w:r w:rsidR="00C63A8A" w:rsidRPr="0045129A">
        <w:rPr>
          <w:rFonts w:ascii="Arial" w:hAnsi="Arial" w:cs="Arial"/>
          <w:sz w:val="22"/>
        </w:rPr>
        <w:t xml:space="preserve"> </w:t>
      </w:r>
      <w:r w:rsidR="00B43F1A" w:rsidRPr="0045129A">
        <w:rPr>
          <w:rFonts w:ascii="Arial" w:hAnsi="Arial" w:cs="Arial"/>
          <w:sz w:val="22"/>
        </w:rPr>
        <w:t>pertinentes del</w:t>
      </w:r>
      <w:r w:rsidR="00C63A8A" w:rsidRPr="0045129A">
        <w:rPr>
          <w:rFonts w:ascii="Arial" w:hAnsi="Arial" w:cs="Arial"/>
          <w:sz w:val="22"/>
        </w:rPr>
        <w:t xml:space="preserve"> «Anexo 3 – Glosario» y la Ley 1682 de 2013 – así como el Decreto 1076 de 2015 en el caso de actividades de mejoramiento–</w:t>
      </w:r>
      <w:r w:rsidR="00FD6309" w:rsidRPr="0045129A">
        <w:rPr>
          <w:rFonts w:ascii="Arial" w:hAnsi="Arial" w:cs="Arial"/>
          <w:sz w:val="22"/>
        </w:rPr>
        <w:t>, tal como se explicó</w:t>
      </w:r>
      <w:r w:rsidR="00097123" w:rsidRPr="0045129A">
        <w:rPr>
          <w:rFonts w:ascii="Arial" w:hAnsi="Arial" w:cs="Arial"/>
          <w:sz w:val="22"/>
        </w:rPr>
        <w:t xml:space="preserve">. </w:t>
      </w:r>
    </w:p>
    <w:p w14:paraId="5851A68F" w14:textId="43FEAF55" w:rsidR="00E71E62" w:rsidRPr="0045129A" w:rsidRDefault="00097123" w:rsidP="00F43555">
      <w:pPr>
        <w:spacing w:after="120" w:line="276" w:lineRule="auto"/>
        <w:ind w:firstLine="708"/>
        <w:jc w:val="both"/>
        <w:rPr>
          <w:rFonts w:ascii="Arial" w:hAnsi="Arial" w:cs="Arial"/>
          <w:sz w:val="22"/>
        </w:rPr>
      </w:pPr>
      <w:r w:rsidRPr="0045129A">
        <w:rPr>
          <w:rFonts w:ascii="Arial" w:hAnsi="Arial" w:cs="Arial"/>
          <w:sz w:val="22"/>
        </w:rPr>
        <w:t xml:space="preserve">Al respecto, resulta irrelevante que los documentos aportados </w:t>
      </w:r>
      <w:r w:rsidR="00F43555" w:rsidRPr="0045129A">
        <w:rPr>
          <w:rFonts w:ascii="Arial" w:hAnsi="Arial" w:cs="Arial"/>
          <w:sz w:val="22"/>
        </w:rPr>
        <w:t xml:space="preserve">por el proponente </w:t>
      </w:r>
      <w:r w:rsidRPr="0045129A">
        <w:rPr>
          <w:rFonts w:ascii="Arial" w:hAnsi="Arial" w:cs="Arial"/>
          <w:sz w:val="22"/>
        </w:rPr>
        <w:t xml:space="preserve">literalmente </w:t>
      </w:r>
      <w:r w:rsidR="00707C02" w:rsidRPr="0045129A">
        <w:rPr>
          <w:rFonts w:ascii="Arial" w:hAnsi="Arial" w:cs="Arial"/>
          <w:sz w:val="22"/>
        </w:rPr>
        <w:t xml:space="preserve">coincidan con </w:t>
      </w:r>
      <w:r w:rsidR="00F43555" w:rsidRPr="0045129A">
        <w:rPr>
          <w:rFonts w:ascii="Arial" w:hAnsi="Arial" w:cs="Arial"/>
          <w:sz w:val="22"/>
        </w:rPr>
        <w:t>la formulación del</w:t>
      </w:r>
      <w:r w:rsidR="00707C02" w:rsidRPr="0045129A">
        <w:rPr>
          <w:rFonts w:ascii="Arial" w:hAnsi="Arial" w:cs="Arial"/>
          <w:sz w:val="22"/>
        </w:rPr>
        <w:t xml:space="preserve"> requisito de experiencia</w:t>
      </w:r>
      <w:r w:rsidR="00B4456D" w:rsidRPr="0045129A">
        <w:rPr>
          <w:rFonts w:ascii="Arial" w:hAnsi="Arial" w:cs="Arial"/>
          <w:sz w:val="22"/>
        </w:rPr>
        <w:t xml:space="preserve"> establecida en la Matriz 1</w:t>
      </w:r>
      <w:r w:rsidR="00C7341D" w:rsidRPr="0045129A">
        <w:rPr>
          <w:rFonts w:ascii="Arial" w:hAnsi="Arial" w:cs="Arial"/>
          <w:sz w:val="22"/>
        </w:rPr>
        <w:t>, siempre que se acredite que lo efectivamente ejecutado corresponde con las nociones del «Anexo 3 – Glosario»</w:t>
      </w:r>
      <w:r w:rsidR="00FD6309" w:rsidRPr="0045129A">
        <w:rPr>
          <w:rFonts w:ascii="Arial" w:hAnsi="Arial" w:cs="Arial"/>
          <w:sz w:val="22"/>
        </w:rPr>
        <w:t>,</w:t>
      </w:r>
      <w:r w:rsidR="00C7341D" w:rsidRPr="0045129A">
        <w:rPr>
          <w:rFonts w:ascii="Arial" w:hAnsi="Arial" w:cs="Arial"/>
          <w:sz w:val="22"/>
        </w:rPr>
        <w:t xml:space="preserve"> la Ley 1682 de 2013 </w:t>
      </w:r>
      <w:r w:rsidR="00FD6309" w:rsidRPr="0045129A">
        <w:rPr>
          <w:rFonts w:ascii="Arial" w:hAnsi="Arial" w:cs="Arial"/>
          <w:sz w:val="22"/>
        </w:rPr>
        <w:t xml:space="preserve">‒y su reglamentación‒ </w:t>
      </w:r>
      <w:r w:rsidR="00B4456D" w:rsidRPr="0045129A">
        <w:rPr>
          <w:rFonts w:ascii="Arial" w:hAnsi="Arial" w:cs="Arial"/>
          <w:sz w:val="22"/>
        </w:rPr>
        <w:t xml:space="preserve">que sean aplicables </w:t>
      </w:r>
      <w:r w:rsidR="00C7341D" w:rsidRPr="0045129A">
        <w:rPr>
          <w:rFonts w:ascii="Arial" w:hAnsi="Arial" w:cs="Arial"/>
          <w:sz w:val="22"/>
        </w:rPr>
        <w:t>al respectivo requisito.</w:t>
      </w:r>
      <w:r w:rsidR="00F43555" w:rsidRPr="0045129A">
        <w:rPr>
          <w:rFonts w:ascii="Arial" w:hAnsi="Arial" w:cs="Arial"/>
          <w:sz w:val="22"/>
        </w:rPr>
        <w:t xml:space="preserve"> </w:t>
      </w:r>
      <w:r w:rsidR="00E96C71" w:rsidRPr="0045129A">
        <w:rPr>
          <w:rFonts w:ascii="Arial" w:hAnsi="Arial" w:cs="Arial"/>
          <w:sz w:val="22"/>
        </w:rPr>
        <w:t xml:space="preserve">En ese sentido, no es procedente descartar experiencia </w:t>
      </w:r>
      <w:r w:rsidR="00366492" w:rsidRPr="0045129A">
        <w:rPr>
          <w:rFonts w:ascii="Arial" w:hAnsi="Arial" w:cs="Arial"/>
          <w:sz w:val="22"/>
        </w:rPr>
        <w:t xml:space="preserve">o requerir su subsanación </w:t>
      </w:r>
      <w:r w:rsidR="009362E2" w:rsidRPr="0045129A">
        <w:rPr>
          <w:rFonts w:ascii="Arial" w:hAnsi="Arial" w:cs="Arial"/>
          <w:sz w:val="22"/>
        </w:rPr>
        <w:t xml:space="preserve">porque los documentos que </w:t>
      </w:r>
      <w:r w:rsidR="00366492" w:rsidRPr="0045129A">
        <w:rPr>
          <w:rFonts w:ascii="Arial" w:hAnsi="Arial" w:cs="Arial"/>
          <w:sz w:val="22"/>
        </w:rPr>
        <w:t>la</w:t>
      </w:r>
      <w:r w:rsidR="009362E2" w:rsidRPr="0045129A">
        <w:rPr>
          <w:rFonts w:ascii="Arial" w:hAnsi="Arial" w:cs="Arial"/>
          <w:sz w:val="22"/>
        </w:rPr>
        <w:t xml:space="preserve"> acreditan no c</w:t>
      </w:r>
      <w:r w:rsidR="00366492" w:rsidRPr="0045129A">
        <w:rPr>
          <w:rFonts w:ascii="Arial" w:hAnsi="Arial" w:cs="Arial"/>
          <w:sz w:val="22"/>
        </w:rPr>
        <w:t>oincidan</w:t>
      </w:r>
      <w:r w:rsidR="009362E2" w:rsidRPr="0045129A">
        <w:rPr>
          <w:rFonts w:ascii="Arial" w:hAnsi="Arial" w:cs="Arial"/>
          <w:sz w:val="22"/>
        </w:rPr>
        <w:t xml:space="preserve"> literalmente con lo dispuesto en la Matriz 1 o el Anexo 3, cuando </w:t>
      </w:r>
      <w:r w:rsidR="00366492" w:rsidRPr="0045129A">
        <w:rPr>
          <w:rFonts w:ascii="Arial" w:hAnsi="Arial" w:cs="Arial"/>
          <w:sz w:val="22"/>
        </w:rPr>
        <w:t xml:space="preserve">se pueda colegir que </w:t>
      </w:r>
      <w:r w:rsidR="00834F4B" w:rsidRPr="0045129A">
        <w:rPr>
          <w:rFonts w:ascii="Arial" w:hAnsi="Arial" w:cs="Arial"/>
          <w:sz w:val="22"/>
        </w:rPr>
        <w:t>materialmente las actividades verificadas se ajustan conceptualmente con lo dispuesto en el referido</w:t>
      </w:r>
      <w:r w:rsidR="005736C0" w:rsidRPr="0045129A">
        <w:rPr>
          <w:rFonts w:ascii="Arial" w:hAnsi="Arial" w:cs="Arial"/>
          <w:sz w:val="22"/>
        </w:rPr>
        <w:t xml:space="preserve"> anexo o la Ley 168</w:t>
      </w:r>
      <w:r w:rsidR="00FD6309" w:rsidRPr="0045129A">
        <w:rPr>
          <w:rFonts w:ascii="Arial" w:hAnsi="Arial" w:cs="Arial"/>
          <w:sz w:val="22"/>
        </w:rPr>
        <w:t>2</w:t>
      </w:r>
      <w:r w:rsidR="005736C0" w:rsidRPr="0045129A">
        <w:rPr>
          <w:rFonts w:ascii="Arial" w:hAnsi="Arial" w:cs="Arial"/>
          <w:sz w:val="22"/>
        </w:rPr>
        <w:t xml:space="preserve"> de 2013. </w:t>
      </w:r>
      <w:r w:rsidR="00834F4B" w:rsidRPr="0045129A">
        <w:rPr>
          <w:rFonts w:ascii="Arial" w:hAnsi="Arial" w:cs="Arial"/>
          <w:sz w:val="22"/>
        </w:rPr>
        <w:t xml:space="preserve"> </w:t>
      </w:r>
    </w:p>
    <w:p w14:paraId="2EA71A81" w14:textId="32200C2F" w:rsidR="00D04E0C" w:rsidRPr="0045129A" w:rsidRDefault="00D04E0C" w:rsidP="001A3C41">
      <w:pPr>
        <w:spacing w:line="276" w:lineRule="auto"/>
        <w:ind w:firstLine="708"/>
        <w:jc w:val="both"/>
        <w:rPr>
          <w:rFonts w:ascii="Arial" w:hAnsi="Arial" w:cs="Arial"/>
          <w:sz w:val="22"/>
        </w:rPr>
      </w:pPr>
      <w:r w:rsidRPr="0045129A">
        <w:rPr>
          <w:rFonts w:ascii="Arial" w:hAnsi="Arial" w:cs="Arial"/>
          <w:sz w:val="22"/>
        </w:rPr>
        <w:t>La</w:t>
      </w:r>
      <w:r w:rsidR="000F3CBC" w:rsidRPr="0045129A">
        <w:rPr>
          <w:rFonts w:ascii="Arial" w:hAnsi="Arial" w:cs="Arial"/>
          <w:sz w:val="22"/>
        </w:rPr>
        <w:t xml:space="preserve"> posibilidad de adicionar los requisitos de experiencia </w:t>
      </w:r>
      <w:r w:rsidR="000E4924" w:rsidRPr="0045129A">
        <w:rPr>
          <w:rFonts w:ascii="Arial" w:hAnsi="Arial" w:cs="Arial"/>
          <w:sz w:val="22"/>
        </w:rPr>
        <w:t>establecidos en la Matriz 1</w:t>
      </w:r>
      <w:r w:rsidR="000F3CBC" w:rsidRPr="0045129A">
        <w:rPr>
          <w:rFonts w:ascii="Arial" w:hAnsi="Arial" w:cs="Arial"/>
          <w:sz w:val="22"/>
        </w:rPr>
        <w:t xml:space="preserve"> respecto de obras de infraestructura de transporte se encuentra proscrita en virtud de</w:t>
      </w:r>
      <w:r w:rsidR="002D5B02" w:rsidRPr="0045129A">
        <w:rPr>
          <w:rFonts w:ascii="Arial" w:hAnsi="Arial" w:cs="Arial"/>
          <w:sz w:val="22"/>
        </w:rPr>
        <w:t xml:space="preserve"> la regla de inalterabilidad establecida en el artículo</w:t>
      </w:r>
      <w:r w:rsidR="00FA3B8D" w:rsidRPr="0045129A">
        <w:rPr>
          <w:rFonts w:ascii="Arial" w:hAnsi="Arial" w:cs="Arial"/>
          <w:sz w:val="22"/>
        </w:rPr>
        <w:t xml:space="preserve"> </w:t>
      </w:r>
      <w:r w:rsidR="002D5B02" w:rsidRPr="0045129A">
        <w:rPr>
          <w:rFonts w:ascii="Arial" w:hAnsi="Arial" w:cs="Arial"/>
          <w:sz w:val="22"/>
        </w:rPr>
        <w:t>3 de la Resolución No. 240 de 2020</w:t>
      </w:r>
      <w:r w:rsidR="000E4924" w:rsidRPr="0045129A">
        <w:rPr>
          <w:rFonts w:ascii="Arial" w:hAnsi="Arial" w:cs="Arial"/>
          <w:sz w:val="22"/>
        </w:rPr>
        <w:t xml:space="preserve">. Sin embargo, en virtud del artículo 4 de la </w:t>
      </w:r>
      <w:r w:rsidR="00FD6309" w:rsidRPr="0045129A">
        <w:rPr>
          <w:rFonts w:ascii="Arial" w:hAnsi="Arial" w:cs="Arial"/>
          <w:sz w:val="22"/>
        </w:rPr>
        <w:t>misma Resolución</w:t>
      </w:r>
      <w:r w:rsidR="000E4924" w:rsidRPr="0045129A">
        <w:rPr>
          <w:rFonts w:ascii="Arial" w:hAnsi="Arial" w:cs="Arial"/>
          <w:sz w:val="22"/>
        </w:rPr>
        <w:t xml:space="preserve">, resulta posible que las entidades configuren requisitos de experiencia adicional siguiendo los parámetros establecidos en dicho artículo, </w:t>
      </w:r>
      <w:r w:rsidR="00BC2BFD" w:rsidRPr="0045129A">
        <w:rPr>
          <w:rFonts w:ascii="Arial" w:hAnsi="Arial" w:cs="Arial"/>
          <w:sz w:val="22"/>
        </w:rPr>
        <w:t xml:space="preserve">cuando el objeto principal correspondiente a intervención de infraestructura de </w:t>
      </w:r>
      <w:r w:rsidR="0065623E" w:rsidRPr="0045129A">
        <w:rPr>
          <w:rFonts w:ascii="Arial" w:hAnsi="Arial" w:cs="Arial"/>
          <w:sz w:val="22"/>
        </w:rPr>
        <w:t>transporte</w:t>
      </w:r>
      <w:r w:rsidR="00BC2BFD" w:rsidRPr="0045129A">
        <w:rPr>
          <w:rFonts w:ascii="Arial" w:hAnsi="Arial" w:cs="Arial"/>
          <w:sz w:val="22"/>
        </w:rPr>
        <w:t xml:space="preserve"> se contrata en conjunto con bienes y servicios adicionales a </w:t>
      </w:r>
      <w:r w:rsidR="00E77764" w:rsidRPr="0045129A">
        <w:rPr>
          <w:rFonts w:ascii="Arial" w:hAnsi="Arial" w:cs="Arial"/>
          <w:sz w:val="22"/>
        </w:rPr>
        <w:t>esta</w:t>
      </w:r>
      <w:r w:rsidR="00BC2BFD" w:rsidRPr="0045129A">
        <w:rPr>
          <w:rFonts w:ascii="Arial" w:hAnsi="Arial" w:cs="Arial"/>
          <w:sz w:val="22"/>
        </w:rPr>
        <w:t xml:space="preserve">. No obstante, dicho requisito </w:t>
      </w:r>
      <w:r w:rsidR="0065623E" w:rsidRPr="0045129A">
        <w:rPr>
          <w:rFonts w:ascii="Arial" w:hAnsi="Arial" w:cs="Arial"/>
          <w:sz w:val="22"/>
        </w:rPr>
        <w:t>es adicional a los establecidos según la Matriz 1, y solo sirve a evaluar la idoneidad del proponente en lo relativo a los bienes y obras adicionales a la obra pública de infraestructura de transporte.</w:t>
      </w:r>
    </w:p>
    <w:p w14:paraId="0BA6F38A" w14:textId="1ED9BA5E" w:rsidR="006A5150" w:rsidRPr="0045129A" w:rsidRDefault="006A5150" w:rsidP="007A5087">
      <w:pPr>
        <w:spacing w:line="276" w:lineRule="auto"/>
        <w:jc w:val="both"/>
        <w:rPr>
          <w:rFonts w:ascii="Arial" w:hAnsi="Arial" w:cs="Arial"/>
          <w:sz w:val="22"/>
        </w:rPr>
      </w:pPr>
    </w:p>
    <w:p w14:paraId="1943A128" w14:textId="11EFB52E" w:rsidR="001E46D6" w:rsidRPr="0045129A" w:rsidRDefault="001E46D6" w:rsidP="001E46D6">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 xml:space="preserve">«[…] En caso de que en el informe preliminar de evaluación se evidencie que uno de los contratos no cumple con la experiencia requerida ¿Se podría </w:t>
      </w:r>
      <w:r w:rsidRPr="0045129A">
        <w:rPr>
          <w:rFonts w:ascii="Arial" w:hAnsi="Arial" w:cs="Arial"/>
          <w:b/>
          <w:bCs/>
          <w:sz w:val="21"/>
          <w:szCs w:val="21"/>
          <w:lang w:val="es-CO"/>
        </w:rPr>
        <w:t xml:space="preserve">REEMPLAZAR </w:t>
      </w:r>
      <w:r w:rsidRPr="0045129A">
        <w:rPr>
          <w:rFonts w:ascii="Arial" w:hAnsi="Arial" w:cs="Arial"/>
          <w:sz w:val="21"/>
          <w:szCs w:val="21"/>
          <w:lang w:val="es-CO"/>
        </w:rPr>
        <w:t>dicho contrato por otro, aclarando a la entidad que se trata de un reemplazo y no de un contrato adicional que se incluya en la sumatoria de contratos aportados?</w:t>
      </w:r>
    </w:p>
    <w:p w14:paraId="528A41D0" w14:textId="77777777" w:rsidR="001E46D6" w:rsidRPr="0045129A" w:rsidRDefault="001E46D6" w:rsidP="001E46D6">
      <w:pPr>
        <w:autoSpaceDE w:val="0"/>
        <w:autoSpaceDN w:val="0"/>
        <w:adjustRightInd w:val="0"/>
        <w:ind w:left="709" w:right="709"/>
        <w:jc w:val="both"/>
        <w:rPr>
          <w:rFonts w:ascii="Arial" w:hAnsi="Arial" w:cs="Arial"/>
          <w:sz w:val="21"/>
          <w:szCs w:val="21"/>
          <w:lang w:val="es-CO"/>
        </w:rPr>
      </w:pPr>
    </w:p>
    <w:p w14:paraId="1D0BB0F1" w14:textId="77777777" w:rsidR="001E46D6" w:rsidRPr="0045129A" w:rsidRDefault="001E46D6" w:rsidP="001E46D6">
      <w:pPr>
        <w:autoSpaceDE w:val="0"/>
        <w:autoSpaceDN w:val="0"/>
        <w:adjustRightInd w:val="0"/>
        <w:ind w:left="709" w:right="709"/>
        <w:jc w:val="both"/>
        <w:rPr>
          <w:rFonts w:ascii="Arial" w:hAnsi="Arial" w:cs="Arial"/>
          <w:i/>
          <w:iCs/>
          <w:sz w:val="21"/>
          <w:szCs w:val="21"/>
          <w:lang w:val="es-CO"/>
        </w:rPr>
      </w:pPr>
      <w:r w:rsidRPr="0045129A">
        <w:rPr>
          <w:rFonts w:ascii="Arial" w:hAnsi="Arial" w:cs="Arial"/>
          <w:sz w:val="21"/>
          <w:szCs w:val="21"/>
          <w:lang w:val="es-CO"/>
        </w:rPr>
        <w:t xml:space="preserve">Para efectos de aplicar la tabla contenida en el numeral </w:t>
      </w:r>
      <w:r w:rsidRPr="0045129A">
        <w:rPr>
          <w:rFonts w:ascii="Arial" w:hAnsi="Arial" w:cs="Arial"/>
          <w:i/>
          <w:iCs/>
          <w:sz w:val="21"/>
          <w:szCs w:val="21"/>
          <w:lang w:val="es-CO"/>
        </w:rPr>
        <w:t>3.5.7 RELACIÓN DE LOS CONTRATOS FRENTE AL PRESUPUESTO OFICIAL. ¿La sumatoria de los valores totales ejecutados en smmlv es solamente respecto de los contratos que cumplen la experiencia?</w:t>
      </w:r>
    </w:p>
    <w:p w14:paraId="648FC200" w14:textId="77777777" w:rsidR="001E46D6" w:rsidRPr="0045129A" w:rsidRDefault="001E46D6" w:rsidP="001E46D6">
      <w:pPr>
        <w:autoSpaceDE w:val="0"/>
        <w:autoSpaceDN w:val="0"/>
        <w:adjustRightInd w:val="0"/>
        <w:ind w:left="709" w:right="709"/>
        <w:jc w:val="both"/>
        <w:rPr>
          <w:rFonts w:ascii="Arial" w:hAnsi="Arial" w:cs="Arial"/>
          <w:i/>
          <w:iCs/>
          <w:sz w:val="21"/>
          <w:szCs w:val="21"/>
          <w:lang w:val="es-CO"/>
        </w:rPr>
      </w:pPr>
    </w:p>
    <w:p w14:paraId="7A125988" w14:textId="77777777" w:rsidR="001E46D6" w:rsidRPr="0045129A" w:rsidRDefault="001E46D6" w:rsidP="001E46D6">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Por ejemplo, en el caso que se aporte 3 contratos y luego del informe preliminar se evidencie que uno de esos contratos no cumple con la experiencia requerida.</w:t>
      </w:r>
    </w:p>
    <w:p w14:paraId="2D01A6F3" w14:textId="77777777" w:rsidR="001E46D6" w:rsidRPr="0045129A" w:rsidRDefault="001E46D6" w:rsidP="001E46D6">
      <w:pPr>
        <w:autoSpaceDE w:val="0"/>
        <w:autoSpaceDN w:val="0"/>
        <w:adjustRightInd w:val="0"/>
        <w:ind w:left="709" w:right="709"/>
        <w:jc w:val="both"/>
        <w:rPr>
          <w:rFonts w:ascii="Arial" w:hAnsi="Arial" w:cs="Arial"/>
          <w:sz w:val="21"/>
          <w:szCs w:val="21"/>
          <w:lang w:val="es-CO"/>
        </w:rPr>
      </w:pPr>
      <w:r w:rsidRPr="0045129A">
        <w:rPr>
          <w:rFonts w:ascii="Arial" w:hAnsi="Arial" w:cs="Arial"/>
          <w:sz w:val="21"/>
          <w:szCs w:val="21"/>
          <w:lang w:val="es-CO"/>
        </w:rPr>
        <w:t xml:space="preserve">¿Qué porcentaje respecto del PO se debe aplicar: </w:t>
      </w:r>
      <w:r w:rsidRPr="0045129A">
        <w:rPr>
          <w:rFonts w:ascii="Arial" w:hAnsi="Arial" w:cs="Arial"/>
          <w:b/>
          <w:bCs/>
          <w:sz w:val="21"/>
          <w:szCs w:val="21"/>
          <w:lang w:val="es-CO"/>
        </w:rPr>
        <w:t xml:space="preserve">a) </w:t>
      </w:r>
      <w:r w:rsidRPr="0045129A">
        <w:rPr>
          <w:rFonts w:ascii="Arial" w:hAnsi="Arial" w:cs="Arial"/>
          <w:sz w:val="21"/>
          <w:szCs w:val="21"/>
          <w:lang w:val="es-CO"/>
        </w:rPr>
        <w:t xml:space="preserve">como si se aportaran dos contratos que son los válidos o </w:t>
      </w:r>
      <w:r w:rsidRPr="0045129A">
        <w:rPr>
          <w:rFonts w:ascii="Arial" w:hAnsi="Arial" w:cs="Arial"/>
          <w:b/>
          <w:bCs/>
          <w:sz w:val="21"/>
          <w:szCs w:val="21"/>
          <w:lang w:val="es-CO"/>
        </w:rPr>
        <w:t xml:space="preserve">b) </w:t>
      </w:r>
      <w:r w:rsidRPr="0045129A">
        <w:rPr>
          <w:rFonts w:ascii="Arial" w:hAnsi="Arial" w:cs="Arial"/>
          <w:sz w:val="21"/>
          <w:szCs w:val="21"/>
          <w:lang w:val="es-CO"/>
        </w:rPr>
        <w:t>en todo caso se tendría en cuenta el tercer contrato aun cuando este no cumple?»</w:t>
      </w:r>
    </w:p>
    <w:p w14:paraId="21CF7BB2" w14:textId="2FC92372" w:rsidR="006A5150" w:rsidRPr="0045129A" w:rsidRDefault="006A5150" w:rsidP="007A5087">
      <w:pPr>
        <w:spacing w:line="276" w:lineRule="auto"/>
        <w:jc w:val="both"/>
        <w:rPr>
          <w:rFonts w:ascii="Arial" w:hAnsi="Arial" w:cs="Arial"/>
          <w:sz w:val="22"/>
        </w:rPr>
      </w:pPr>
    </w:p>
    <w:p w14:paraId="72E034E0" w14:textId="5C4FEDCD" w:rsidR="001E46D6" w:rsidRPr="0045129A" w:rsidRDefault="007A5087" w:rsidP="007A5087">
      <w:pPr>
        <w:spacing w:after="120" w:line="276" w:lineRule="auto"/>
        <w:jc w:val="both"/>
        <w:rPr>
          <w:rFonts w:ascii="Arial" w:hAnsi="Arial" w:cs="Arial"/>
          <w:sz w:val="22"/>
        </w:rPr>
      </w:pPr>
      <w:r w:rsidRPr="0045129A">
        <w:rPr>
          <w:rFonts w:ascii="Arial" w:hAnsi="Arial" w:cs="Arial"/>
          <w:sz w:val="22"/>
        </w:rPr>
        <w:t>De conformidad</w:t>
      </w:r>
      <w:r w:rsidR="008B3563" w:rsidRPr="0045129A">
        <w:rPr>
          <w:rFonts w:ascii="Arial" w:hAnsi="Arial" w:cs="Arial"/>
          <w:sz w:val="22"/>
        </w:rPr>
        <w:t xml:space="preserve"> con lo expuesto, </w:t>
      </w:r>
      <w:r w:rsidR="00DB3186" w:rsidRPr="0045129A">
        <w:rPr>
          <w:rFonts w:ascii="Arial" w:hAnsi="Arial" w:cs="Arial"/>
          <w:sz w:val="22"/>
        </w:rPr>
        <w:t xml:space="preserve">en virtud de lo dispuesto en el literal </w:t>
      </w:r>
      <w:r w:rsidR="00FE3D42" w:rsidRPr="0045129A">
        <w:rPr>
          <w:rFonts w:ascii="Arial" w:hAnsi="Arial" w:cs="Arial"/>
          <w:sz w:val="22"/>
        </w:rPr>
        <w:t xml:space="preserve">C del numeral 3.5.1 del Documento Base de licitación de obra pública de infraestructura de transporte – versión 2, equivalente al literal C del numeral 3.5.2 del </w:t>
      </w:r>
      <w:r w:rsidR="00CC33B3" w:rsidRPr="0045129A">
        <w:rPr>
          <w:rFonts w:ascii="Arial" w:hAnsi="Arial" w:cs="Arial"/>
          <w:sz w:val="22"/>
        </w:rPr>
        <w:t xml:space="preserve">Documento Base de la versión 3, </w:t>
      </w:r>
      <w:r w:rsidR="00DD723A" w:rsidRPr="0045129A">
        <w:rPr>
          <w:rFonts w:ascii="Arial" w:hAnsi="Arial" w:cs="Arial"/>
          <w:sz w:val="22"/>
        </w:rPr>
        <w:t xml:space="preserve">los proponentes </w:t>
      </w:r>
      <w:r w:rsidR="0064176D" w:rsidRPr="0045129A">
        <w:rPr>
          <w:rFonts w:ascii="Arial" w:hAnsi="Arial" w:cs="Arial"/>
          <w:sz w:val="22"/>
        </w:rPr>
        <w:t>pu</w:t>
      </w:r>
      <w:r w:rsidR="008E272D" w:rsidRPr="0045129A">
        <w:rPr>
          <w:rFonts w:ascii="Arial" w:hAnsi="Arial" w:cs="Arial"/>
          <w:sz w:val="22"/>
        </w:rPr>
        <w:t>e</w:t>
      </w:r>
      <w:r w:rsidR="0064176D" w:rsidRPr="0045129A">
        <w:rPr>
          <w:rFonts w:ascii="Arial" w:hAnsi="Arial" w:cs="Arial"/>
          <w:sz w:val="22"/>
        </w:rPr>
        <w:t>den acreditar</w:t>
      </w:r>
      <w:r w:rsidR="00812799" w:rsidRPr="0045129A">
        <w:rPr>
          <w:rFonts w:ascii="Arial" w:hAnsi="Arial" w:cs="Arial"/>
          <w:sz w:val="22"/>
        </w:rPr>
        <w:t xml:space="preserve"> el requisito de experiencia exigible conforme a la Matriz 1,</w:t>
      </w:r>
      <w:r w:rsidR="0064176D" w:rsidRPr="0045129A">
        <w:rPr>
          <w:rFonts w:ascii="Arial" w:hAnsi="Arial" w:cs="Arial"/>
          <w:sz w:val="22"/>
        </w:rPr>
        <w:t xml:space="preserve"> con mínimo uno (1) y máximo seis (6) contratos</w:t>
      </w:r>
      <w:r w:rsidR="008E272D" w:rsidRPr="0045129A">
        <w:rPr>
          <w:rFonts w:ascii="Arial" w:hAnsi="Arial" w:cs="Arial"/>
          <w:sz w:val="22"/>
        </w:rPr>
        <w:t>.  En virtud de lo dispuesto en los numerales 3.5.7 y 3.5.8 de tales documentos base</w:t>
      </w:r>
      <w:r w:rsidR="00B25AF0" w:rsidRPr="0045129A">
        <w:rPr>
          <w:rFonts w:ascii="Arial" w:hAnsi="Arial" w:cs="Arial"/>
          <w:sz w:val="22"/>
        </w:rPr>
        <w:t>, dependiendo del n</w:t>
      </w:r>
      <w:r w:rsidR="00DD723A" w:rsidRPr="0045129A">
        <w:rPr>
          <w:rFonts w:ascii="Arial" w:hAnsi="Arial" w:cs="Arial"/>
          <w:sz w:val="22"/>
        </w:rPr>
        <w:t>ú</w:t>
      </w:r>
      <w:r w:rsidR="00B25AF0" w:rsidRPr="0045129A">
        <w:rPr>
          <w:rFonts w:ascii="Arial" w:hAnsi="Arial" w:cs="Arial"/>
          <w:sz w:val="22"/>
        </w:rPr>
        <w:t xml:space="preserve">mero de contratos que emplee el proponente para cumplir con el requisito de experiencia </w:t>
      </w:r>
      <w:r w:rsidR="000F4643" w:rsidRPr="0045129A">
        <w:rPr>
          <w:rFonts w:ascii="Arial" w:hAnsi="Arial" w:cs="Arial"/>
          <w:sz w:val="22"/>
        </w:rPr>
        <w:t>deberá acreditar un valor equivalente a determinado porcentaje del presupuesto oficial</w:t>
      </w:r>
      <w:r w:rsidR="00B738D6" w:rsidRPr="0045129A">
        <w:rPr>
          <w:rFonts w:ascii="Arial" w:hAnsi="Arial" w:cs="Arial"/>
          <w:sz w:val="22"/>
        </w:rPr>
        <w:t xml:space="preserve">. </w:t>
      </w:r>
    </w:p>
    <w:p w14:paraId="34CC16CE" w14:textId="42A05EBC" w:rsidR="00B738D6" w:rsidRPr="0045129A" w:rsidRDefault="00B738D6" w:rsidP="007A5087">
      <w:pPr>
        <w:spacing w:after="120" w:line="276" w:lineRule="auto"/>
        <w:jc w:val="both"/>
        <w:rPr>
          <w:rFonts w:ascii="Arial" w:hAnsi="Arial" w:cs="Arial"/>
          <w:sz w:val="22"/>
        </w:rPr>
      </w:pPr>
      <w:r w:rsidRPr="0045129A">
        <w:rPr>
          <w:rFonts w:ascii="Arial" w:hAnsi="Arial" w:cs="Arial"/>
          <w:sz w:val="22"/>
        </w:rPr>
        <w:tab/>
        <w:t xml:space="preserve">Para evaluar lo anterior, la entidad solo podrá tener en cuenta los contratos que efectivamente cumplen con </w:t>
      </w:r>
      <w:r w:rsidR="00F85B70" w:rsidRPr="0045129A">
        <w:rPr>
          <w:rFonts w:ascii="Arial" w:hAnsi="Arial" w:cs="Arial"/>
          <w:sz w:val="22"/>
        </w:rPr>
        <w:t xml:space="preserve">el requisito de experiencia estandarizado por la Matriz 1, por lo que los contratos que no correspondan con dicho requisito y sus valores, no son susceptibles de ser tenidos en cuenta </w:t>
      </w:r>
      <w:r w:rsidR="00055F5C" w:rsidRPr="0045129A">
        <w:rPr>
          <w:rFonts w:ascii="Arial" w:hAnsi="Arial" w:cs="Arial"/>
          <w:sz w:val="22"/>
        </w:rPr>
        <w:t>para cumplir</w:t>
      </w:r>
      <w:r w:rsidR="00F85B70" w:rsidRPr="0045129A">
        <w:rPr>
          <w:rFonts w:ascii="Arial" w:hAnsi="Arial" w:cs="Arial"/>
          <w:sz w:val="22"/>
        </w:rPr>
        <w:t xml:space="preserve"> lo dispuesto en los numerales 3.5.7 y 3.5.8 de los respectivos documentos base. De no </w:t>
      </w:r>
      <w:r w:rsidR="00F17578" w:rsidRPr="0045129A">
        <w:rPr>
          <w:rFonts w:ascii="Arial" w:hAnsi="Arial" w:cs="Arial"/>
          <w:sz w:val="22"/>
        </w:rPr>
        <w:t xml:space="preserve">superarse el valor exigido </w:t>
      </w:r>
      <w:r w:rsidR="00C007F9" w:rsidRPr="0045129A">
        <w:rPr>
          <w:rFonts w:ascii="Arial" w:hAnsi="Arial" w:cs="Arial"/>
          <w:sz w:val="22"/>
        </w:rPr>
        <w:t xml:space="preserve">por </w:t>
      </w:r>
      <w:r w:rsidR="00F17578" w:rsidRPr="0045129A">
        <w:rPr>
          <w:rFonts w:ascii="Arial" w:hAnsi="Arial" w:cs="Arial"/>
          <w:sz w:val="22"/>
        </w:rPr>
        <w:t>estos numerales</w:t>
      </w:r>
      <w:r w:rsidR="00C007F9" w:rsidRPr="0045129A">
        <w:rPr>
          <w:rFonts w:ascii="Arial" w:hAnsi="Arial" w:cs="Arial"/>
          <w:sz w:val="22"/>
        </w:rPr>
        <w:t>,</w:t>
      </w:r>
      <w:r w:rsidR="00F17578" w:rsidRPr="0045129A">
        <w:rPr>
          <w:rFonts w:ascii="Arial" w:hAnsi="Arial" w:cs="Arial"/>
          <w:sz w:val="22"/>
        </w:rPr>
        <w:t xml:space="preserve"> no será posible que el proponente se habilite </w:t>
      </w:r>
      <w:r w:rsidR="00324B19" w:rsidRPr="0045129A">
        <w:rPr>
          <w:rFonts w:ascii="Arial" w:hAnsi="Arial" w:cs="Arial"/>
          <w:sz w:val="22"/>
        </w:rPr>
        <w:t>en relación con la experiencia</w:t>
      </w:r>
      <w:r w:rsidR="00F17578" w:rsidRPr="0045129A">
        <w:rPr>
          <w:rFonts w:ascii="Arial" w:hAnsi="Arial" w:cs="Arial"/>
          <w:sz w:val="22"/>
        </w:rPr>
        <w:t xml:space="preserve">. </w:t>
      </w:r>
    </w:p>
    <w:p w14:paraId="579C0D69" w14:textId="0968BE08" w:rsidR="00B2367F" w:rsidRPr="0045129A" w:rsidRDefault="000F7CA0" w:rsidP="00B2367F">
      <w:pPr>
        <w:spacing w:after="120" w:line="276" w:lineRule="auto"/>
        <w:ind w:firstLine="708"/>
        <w:jc w:val="both"/>
        <w:rPr>
          <w:rFonts w:ascii="Arial" w:hAnsi="Arial" w:cs="Arial"/>
          <w:noProof/>
          <w:sz w:val="22"/>
          <w:lang w:val="es-CO"/>
        </w:rPr>
      </w:pPr>
      <w:r w:rsidRPr="0045129A">
        <w:rPr>
          <w:rFonts w:ascii="Arial" w:hAnsi="Arial" w:cs="Arial"/>
          <w:noProof/>
          <w:sz w:val="22"/>
          <w:lang w:val="es-CO"/>
        </w:rPr>
        <w:t>De otro lado</w:t>
      </w:r>
      <w:r w:rsidR="00B2367F" w:rsidRPr="0045129A">
        <w:rPr>
          <w:rFonts w:ascii="Arial" w:hAnsi="Arial" w:cs="Arial"/>
          <w:noProof/>
          <w:sz w:val="22"/>
          <w:lang w:val="es-CO"/>
        </w:rPr>
        <w:t>,</w:t>
      </w:r>
      <w:r w:rsidR="0060378F" w:rsidRPr="0045129A">
        <w:rPr>
          <w:rFonts w:ascii="Arial" w:hAnsi="Arial" w:cs="Arial"/>
          <w:noProof/>
          <w:sz w:val="22"/>
          <w:lang w:val="es-CO"/>
        </w:rPr>
        <w:t xml:space="preserve"> </w:t>
      </w:r>
      <w:r w:rsidR="00B2367F" w:rsidRPr="0045129A">
        <w:rPr>
          <w:rFonts w:ascii="Arial" w:hAnsi="Arial" w:cs="Arial"/>
          <w:noProof/>
          <w:sz w:val="22"/>
          <w:lang w:val="es-CO"/>
        </w:rPr>
        <w:t xml:space="preserve">considerando que la </w:t>
      </w:r>
      <w:r w:rsidR="0060378F" w:rsidRPr="0045129A">
        <w:rPr>
          <w:rFonts w:ascii="Arial" w:hAnsi="Arial" w:cs="Arial"/>
          <w:noProof/>
          <w:sz w:val="22"/>
          <w:lang w:val="es-CO"/>
        </w:rPr>
        <w:t>experiencia en el marco de procesos de licitación de obra pública de infraestructura de transporte es un requisito habilitante no requerido para la comparación de ofertas</w:t>
      </w:r>
      <w:r w:rsidR="00B2367F" w:rsidRPr="0045129A">
        <w:rPr>
          <w:rFonts w:ascii="Arial" w:hAnsi="Arial" w:cs="Arial"/>
          <w:noProof/>
          <w:sz w:val="22"/>
          <w:lang w:val="es-CO"/>
        </w:rPr>
        <w:t>,</w:t>
      </w:r>
      <w:r w:rsidR="0060378F" w:rsidRPr="0045129A">
        <w:rPr>
          <w:rFonts w:ascii="Arial" w:hAnsi="Arial" w:cs="Arial"/>
          <w:noProof/>
          <w:sz w:val="22"/>
          <w:lang w:val="es-CO"/>
        </w:rPr>
        <w:t xml:space="preserve"> los documentos relativos a su acreditación son suceptibles de ser subsanados en los términos del páragrafo 1 del  artículo 5 de la Ley 1150 de 2007 y el numeral 1.6 del Documento Base.</w:t>
      </w:r>
      <w:r w:rsidR="00B2367F" w:rsidRPr="0045129A">
        <w:rPr>
          <w:rFonts w:ascii="Arial" w:hAnsi="Arial" w:cs="Arial"/>
          <w:noProof/>
          <w:sz w:val="22"/>
          <w:lang w:val="es-CO"/>
        </w:rPr>
        <w:t xml:space="preserve"> </w:t>
      </w:r>
      <w:r w:rsidR="0060378F" w:rsidRPr="0045129A">
        <w:rPr>
          <w:rFonts w:ascii="Arial" w:hAnsi="Arial" w:cs="Arial"/>
          <w:noProof/>
          <w:sz w:val="22"/>
          <w:lang w:val="es-CO"/>
        </w:rPr>
        <w:t xml:space="preserve">Esto implica que, en los casos en los que la entidad contratante determine que los documentos inicialmente aportados por el proponente para demostrar que cumple con el requisito de experiencia no lo demuestran, debe requerir al proponente para que los subsane hasta el término de traslado del informe de evaluación. </w:t>
      </w:r>
    </w:p>
    <w:p w14:paraId="0699F035" w14:textId="124EE87D" w:rsidR="0060378F" w:rsidRPr="0045129A" w:rsidRDefault="0060378F" w:rsidP="00B4456D">
      <w:pPr>
        <w:spacing w:line="276" w:lineRule="auto"/>
        <w:ind w:firstLine="708"/>
        <w:jc w:val="both"/>
        <w:rPr>
          <w:rFonts w:ascii="Arial" w:hAnsi="Arial" w:cs="Arial"/>
          <w:noProof/>
          <w:sz w:val="22"/>
          <w:lang w:val="es-CO"/>
        </w:rPr>
      </w:pPr>
      <w:r w:rsidRPr="0045129A">
        <w:rPr>
          <w:rFonts w:ascii="Arial" w:hAnsi="Arial" w:cs="Arial"/>
          <w:noProof/>
          <w:sz w:val="22"/>
          <w:lang w:val="es-CO"/>
        </w:rPr>
        <w:t>En respuesta a tal requerimiento, resulta válido que el proponente opte por demostrar información relativa a contratos diferentes a los inicialmente aportados. Sin embargo, para que dicha subsanación sea válida es necesario que estos contratos h</w:t>
      </w:r>
      <w:r w:rsidRPr="0045129A">
        <w:rPr>
          <w:rFonts w:ascii="Arial" w:hAnsi="Arial" w:cs="Arial"/>
          <w:noProof/>
          <w:sz w:val="22"/>
          <w:lang w:val="es-ES_tradnl"/>
        </w:rPr>
        <w:t>ayan finalizado su ejecución antes de la fecha de cierre para la presentación de ofertas</w:t>
      </w:r>
      <w:r w:rsidRPr="0045129A">
        <w:rPr>
          <w:rFonts w:ascii="Arial" w:hAnsi="Arial" w:cs="Arial"/>
          <w:noProof/>
          <w:sz w:val="22"/>
          <w:lang w:val="es-CO"/>
        </w:rPr>
        <w:t xml:space="preserve">, ya que de conformidad con el paragrafo 1 del artículo 5 de la Ley 1150, no es permitido subsanar acreditando circunstancias </w:t>
      </w:r>
      <w:r w:rsidR="00DD723A" w:rsidRPr="0045129A">
        <w:rPr>
          <w:rFonts w:ascii="Arial" w:hAnsi="Arial" w:cs="Arial"/>
          <w:noProof/>
          <w:sz w:val="22"/>
          <w:lang w:val="es-CO"/>
        </w:rPr>
        <w:t>ocurridas con posterioridad al cierre del proceso</w:t>
      </w:r>
      <w:r w:rsidRPr="0045129A">
        <w:rPr>
          <w:rFonts w:ascii="Arial" w:hAnsi="Arial" w:cs="Arial"/>
          <w:noProof/>
          <w:sz w:val="22"/>
          <w:lang w:val="es-CO"/>
        </w:rPr>
        <w:t>. </w:t>
      </w:r>
    </w:p>
    <w:p w14:paraId="4056BBAB" w14:textId="15632058" w:rsidR="000D0EC1" w:rsidRPr="0045129A" w:rsidRDefault="00C24767" w:rsidP="0060378F">
      <w:pPr>
        <w:ind w:left="709" w:right="709"/>
        <w:jc w:val="both"/>
        <w:rPr>
          <w:rFonts w:ascii="Arial" w:hAnsi="Arial" w:cs="Arial"/>
          <w:sz w:val="22"/>
        </w:rPr>
      </w:pPr>
      <w:r w:rsidRPr="0045129A">
        <w:rPr>
          <w:rFonts w:ascii="Arial" w:eastAsia="Calibri" w:hAnsi="Arial" w:cs="Arial"/>
          <w:sz w:val="22"/>
        </w:rPr>
        <w:tab/>
      </w:r>
    </w:p>
    <w:p w14:paraId="2EB79B8A" w14:textId="6824FEEA" w:rsidR="00DF2638" w:rsidRPr="0045129A" w:rsidRDefault="00DF2638" w:rsidP="00DF2638">
      <w:pPr>
        <w:spacing w:line="276" w:lineRule="auto"/>
        <w:jc w:val="both"/>
        <w:rPr>
          <w:rFonts w:ascii="Arial" w:eastAsia="Calibri" w:hAnsi="Arial" w:cs="Arial"/>
          <w:sz w:val="22"/>
        </w:rPr>
      </w:pPr>
      <w:r w:rsidRPr="0045129A">
        <w:rPr>
          <w:rFonts w:ascii="Arial" w:eastAsia="Calibri" w:hAnsi="Arial" w:cs="Arial"/>
          <w:sz w:val="22"/>
        </w:rPr>
        <w:t>Este concepto tiene el alcance previsto en el artículo 28 del Código de Procedimiento Administrativo y de lo Contencioso Administrativo.</w:t>
      </w:r>
    </w:p>
    <w:p w14:paraId="54D6CECE" w14:textId="25CCD145" w:rsidR="00DF2638" w:rsidRPr="0045129A" w:rsidRDefault="00DF2638" w:rsidP="00DF2638">
      <w:pPr>
        <w:spacing w:line="276" w:lineRule="auto"/>
        <w:rPr>
          <w:rFonts w:ascii="Arial" w:hAnsi="Arial" w:cs="Arial"/>
          <w:lang w:eastAsia="es-CO"/>
        </w:rPr>
      </w:pPr>
      <w:bookmarkStart w:id="6" w:name="_Hlk50370367"/>
    </w:p>
    <w:bookmarkEnd w:id="6"/>
    <w:p w14:paraId="4FC8A53A" w14:textId="09596FD2" w:rsidR="00DF2638" w:rsidRPr="0045129A" w:rsidRDefault="00DF2638" w:rsidP="00DF2638">
      <w:pPr>
        <w:spacing w:line="276" w:lineRule="auto"/>
        <w:rPr>
          <w:rFonts w:ascii="Arial" w:hAnsi="Arial" w:cs="Arial"/>
          <w:sz w:val="22"/>
          <w:szCs w:val="20"/>
          <w:lang w:eastAsia="es-CO"/>
        </w:rPr>
      </w:pPr>
      <w:r w:rsidRPr="0045129A">
        <w:rPr>
          <w:rFonts w:ascii="Arial" w:hAnsi="Arial" w:cs="Arial"/>
          <w:sz w:val="22"/>
          <w:szCs w:val="20"/>
          <w:lang w:eastAsia="es-CO"/>
        </w:rPr>
        <w:t>Atentamente,</w:t>
      </w:r>
    </w:p>
    <w:p w14:paraId="773AF1C9" w14:textId="00918F05" w:rsidR="002F6640" w:rsidRPr="0045129A" w:rsidRDefault="002F6640" w:rsidP="00DF2638">
      <w:pPr>
        <w:spacing w:line="276" w:lineRule="auto"/>
        <w:rPr>
          <w:rFonts w:ascii="Arial" w:hAnsi="Arial" w:cs="Arial"/>
          <w:sz w:val="22"/>
          <w:szCs w:val="20"/>
          <w:lang w:eastAsia="es-CO"/>
        </w:rPr>
      </w:pPr>
    </w:p>
    <w:p w14:paraId="40927934" w14:textId="3D851178" w:rsidR="002F6640" w:rsidRPr="0045129A" w:rsidRDefault="009020F8" w:rsidP="009020F8">
      <w:pPr>
        <w:spacing w:line="276" w:lineRule="auto"/>
        <w:jc w:val="center"/>
        <w:rPr>
          <w:rFonts w:ascii="Arial" w:hAnsi="Arial" w:cs="Arial"/>
          <w:sz w:val="22"/>
          <w:szCs w:val="20"/>
          <w:lang w:eastAsia="es-CO"/>
        </w:rPr>
      </w:pPr>
      <w:r>
        <w:rPr>
          <w:noProof/>
        </w:rPr>
        <w:drawing>
          <wp:inline distT="0" distB="0" distL="0" distR="0" wp14:anchorId="34FBF46C" wp14:editId="3C00BBBF">
            <wp:extent cx="2514600" cy="1114425"/>
            <wp:effectExtent l="0" t="0" r="0" b="0"/>
            <wp:docPr id="1469252213" name="Imagen 146925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69252213"/>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C906C8D" w14:textId="7D7A3159" w:rsidR="002F6640" w:rsidRPr="0045129A" w:rsidRDefault="002F6640" w:rsidP="00DF2638">
      <w:pPr>
        <w:spacing w:line="276" w:lineRule="auto"/>
        <w:rPr>
          <w:rFonts w:ascii="Arial" w:hAnsi="Arial" w:cs="Arial"/>
          <w:sz w:val="22"/>
          <w:szCs w:val="20"/>
          <w:lang w:eastAsia="es-CO"/>
        </w:rPr>
      </w:pPr>
    </w:p>
    <w:p w14:paraId="2009F22C" w14:textId="77777777" w:rsidR="002F6640" w:rsidRPr="0045129A" w:rsidRDefault="002F6640" w:rsidP="00DF2638">
      <w:pPr>
        <w:spacing w:line="276" w:lineRule="auto"/>
        <w:rPr>
          <w:rFonts w:ascii="Arial" w:hAnsi="Arial" w:cs="Arial"/>
          <w:sz w:val="22"/>
          <w:szCs w:val="20"/>
        </w:rPr>
      </w:pPr>
    </w:p>
    <w:tbl>
      <w:tblPr>
        <w:tblStyle w:val="Tablaconcuadrcula1"/>
        <w:tblpPr w:leftFromText="141" w:rightFromText="141" w:vertAnchor="text" w:horzAnchor="margin"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F16BC8" w:rsidRPr="0045129A" w14:paraId="2C2CB244" w14:textId="77777777" w:rsidTr="002F6640">
        <w:trPr>
          <w:trHeight w:val="286"/>
        </w:trPr>
        <w:tc>
          <w:tcPr>
            <w:tcW w:w="886" w:type="dxa"/>
            <w:vAlign w:val="center"/>
            <w:hideMark/>
          </w:tcPr>
          <w:p w14:paraId="48D28BCE"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504A2E62"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Alejandro Sarmiento Cantillo</w:t>
            </w:r>
          </w:p>
          <w:p w14:paraId="48E2498E"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Gestor T1-11 de la Subdirección de Gestión Contractual</w:t>
            </w:r>
          </w:p>
        </w:tc>
      </w:tr>
      <w:tr w:rsidR="00F16BC8" w:rsidRPr="0045129A" w14:paraId="7B22F4FC" w14:textId="77777777" w:rsidTr="002F6640">
        <w:trPr>
          <w:trHeight w:val="286"/>
        </w:trPr>
        <w:tc>
          <w:tcPr>
            <w:tcW w:w="886" w:type="dxa"/>
            <w:vMerge w:val="restart"/>
            <w:vAlign w:val="center"/>
          </w:tcPr>
          <w:p w14:paraId="49BFA0D6"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Revisaron:</w:t>
            </w:r>
          </w:p>
        </w:tc>
        <w:tc>
          <w:tcPr>
            <w:tcW w:w="4003" w:type="dxa"/>
            <w:tcBorders>
              <w:top w:val="nil"/>
              <w:left w:val="nil"/>
              <w:bottom w:val="dotted" w:sz="4" w:space="0" w:color="7F7F7F"/>
              <w:right w:val="nil"/>
            </w:tcBorders>
            <w:vAlign w:val="center"/>
          </w:tcPr>
          <w:p w14:paraId="578A0C2E"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Karlo Fernández Cala</w:t>
            </w:r>
          </w:p>
          <w:p w14:paraId="660223C4"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Gestor T1-15 de la Dirección General</w:t>
            </w:r>
          </w:p>
        </w:tc>
      </w:tr>
      <w:tr w:rsidR="00F16BC8" w:rsidRPr="0045129A" w14:paraId="7AC63B07" w14:textId="77777777" w:rsidTr="002F6640">
        <w:trPr>
          <w:trHeight w:val="299"/>
        </w:trPr>
        <w:tc>
          <w:tcPr>
            <w:tcW w:w="886" w:type="dxa"/>
            <w:vMerge/>
            <w:vAlign w:val="center"/>
          </w:tcPr>
          <w:p w14:paraId="071D5F23" w14:textId="77777777" w:rsidR="002F6640" w:rsidRPr="0045129A" w:rsidRDefault="002F6640" w:rsidP="002F6640">
            <w:pPr>
              <w:rPr>
                <w:rFonts w:ascii="Arial" w:hAnsi="Arial" w:cs="Arial"/>
                <w:sz w:val="14"/>
                <w:szCs w:val="14"/>
                <w:lang w:eastAsia="es-ES"/>
              </w:rPr>
            </w:pPr>
          </w:p>
        </w:tc>
        <w:tc>
          <w:tcPr>
            <w:tcW w:w="4003" w:type="dxa"/>
            <w:tcBorders>
              <w:top w:val="dotted" w:sz="4" w:space="0" w:color="7F7F7F"/>
              <w:left w:val="nil"/>
              <w:bottom w:val="dotted" w:sz="4" w:space="0" w:color="7F7F7F"/>
              <w:right w:val="nil"/>
            </w:tcBorders>
            <w:vAlign w:val="center"/>
          </w:tcPr>
          <w:p w14:paraId="0CD7714C" w14:textId="30C33282" w:rsidR="002F6640" w:rsidRPr="0045129A" w:rsidRDefault="00575C88" w:rsidP="002F6640">
            <w:pPr>
              <w:rPr>
                <w:rFonts w:ascii="Arial" w:hAnsi="Arial" w:cs="Arial"/>
                <w:sz w:val="14"/>
                <w:szCs w:val="14"/>
                <w:lang w:eastAsia="es-ES"/>
              </w:rPr>
            </w:pPr>
            <w:r w:rsidRPr="0045129A">
              <w:rPr>
                <w:rFonts w:ascii="Arial" w:hAnsi="Arial" w:cs="Arial"/>
                <w:sz w:val="14"/>
                <w:szCs w:val="14"/>
                <w:lang w:eastAsia="es-ES"/>
              </w:rPr>
              <w:t>Sebastián Ramí</w:t>
            </w:r>
            <w:r w:rsidR="00481E49" w:rsidRPr="0045129A">
              <w:rPr>
                <w:rFonts w:ascii="Arial" w:hAnsi="Arial" w:cs="Arial"/>
                <w:sz w:val="14"/>
                <w:szCs w:val="14"/>
                <w:lang w:eastAsia="es-ES"/>
              </w:rPr>
              <w:t>rez Grisales</w:t>
            </w:r>
          </w:p>
          <w:p w14:paraId="40223133"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 xml:space="preserve">Gestor T1-15 de la Subdirección de Gestión Contractual  </w:t>
            </w:r>
          </w:p>
        </w:tc>
      </w:tr>
      <w:tr w:rsidR="00F16BC8" w:rsidRPr="00F16BC8" w14:paraId="6A5341FF" w14:textId="77777777" w:rsidTr="002F6640">
        <w:trPr>
          <w:trHeight w:val="272"/>
        </w:trPr>
        <w:tc>
          <w:tcPr>
            <w:tcW w:w="886" w:type="dxa"/>
            <w:vAlign w:val="center"/>
            <w:hideMark/>
          </w:tcPr>
          <w:p w14:paraId="21D38304"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A55F383"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Jorge Augusto Tirado Navarro</w:t>
            </w:r>
          </w:p>
          <w:p w14:paraId="5E6BD83B" w14:textId="77777777" w:rsidR="002F6640" w:rsidRPr="00F16BC8" w:rsidRDefault="002F6640" w:rsidP="002F6640">
            <w:pPr>
              <w:rPr>
                <w:rFonts w:ascii="Arial" w:hAnsi="Arial" w:cs="Arial"/>
                <w:sz w:val="14"/>
                <w:szCs w:val="14"/>
                <w:lang w:eastAsia="es-ES"/>
              </w:rPr>
            </w:pPr>
            <w:r w:rsidRPr="0045129A">
              <w:rPr>
                <w:rFonts w:ascii="Arial" w:hAnsi="Arial" w:cs="Arial"/>
                <w:sz w:val="14"/>
                <w:szCs w:val="14"/>
                <w:lang w:eastAsia="es-ES"/>
              </w:rPr>
              <w:t>Subdirector de Gestión Contractual</w:t>
            </w:r>
          </w:p>
        </w:tc>
      </w:tr>
    </w:tbl>
    <w:p w14:paraId="5F778D97" w14:textId="77777777" w:rsidR="00DF2638" w:rsidRPr="00F16BC8" w:rsidRDefault="00DF2638" w:rsidP="00DF2638">
      <w:pPr>
        <w:jc w:val="both"/>
        <w:rPr>
          <w:rFonts w:ascii="Arial" w:hAnsi="Arial" w:cs="Arial"/>
          <w:lang w:eastAsia="es-CO"/>
        </w:rPr>
      </w:pPr>
    </w:p>
    <w:p w14:paraId="087FCCCD" w14:textId="77777777" w:rsidR="00DF2638" w:rsidRPr="00F16BC8" w:rsidRDefault="00DF2638" w:rsidP="00DF2638">
      <w:pPr>
        <w:spacing w:after="18"/>
        <w:jc w:val="center"/>
        <w:rPr>
          <w:rFonts w:ascii="Arial" w:hAnsi="Arial" w:cs="Arial"/>
          <w:lang w:eastAsia="es-CO"/>
        </w:rPr>
      </w:pPr>
    </w:p>
    <w:p w14:paraId="29E07A03" w14:textId="77777777" w:rsidR="00DF2638" w:rsidRPr="00F16BC8" w:rsidRDefault="00DF2638" w:rsidP="00DF2638">
      <w:pPr>
        <w:spacing w:after="18"/>
        <w:jc w:val="center"/>
        <w:rPr>
          <w:rFonts w:ascii="Arial" w:hAnsi="Arial" w:cs="Arial"/>
          <w:lang w:eastAsia="es-CO"/>
        </w:rPr>
      </w:pPr>
    </w:p>
    <w:p w14:paraId="1D9C75A2" w14:textId="77777777" w:rsidR="00DF2638" w:rsidRPr="00F16BC8" w:rsidRDefault="00DF2638" w:rsidP="00DF2638">
      <w:pPr>
        <w:spacing w:after="18"/>
        <w:jc w:val="center"/>
        <w:rPr>
          <w:rFonts w:ascii="Arial" w:hAnsi="Arial" w:cs="Arial"/>
          <w:lang w:eastAsia="es-CO"/>
        </w:rPr>
      </w:pPr>
    </w:p>
    <w:p w14:paraId="25957266" w14:textId="77777777" w:rsidR="00232A00" w:rsidRPr="00F16BC8" w:rsidRDefault="00232A00">
      <w:pPr>
        <w:tabs>
          <w:tab w:val="left" w:pos="7938"/>
          <w:tab w:val="left" w:pos="8080"/>
        </w:tabs>
        <w:spacing w:line="276" w:lineRule="auto"/>
        <w:ind w:right="900"/>
        <w:jc w:val="both"/>
        <w:rPr>
          <w:rFonts w:ascii="Arial" w:hAnsi="Arial" w:cs="Arial"/>
          <w:sz w:val="22"/>
        </w:rPr>
      </w:pPr>
    </w:p>
    <w:sectPr w:rsidR="00232A00" w:rsidRPr="00F16BC8" w:rsidSect="000D0EC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31DC1" w14:textId="77777777" w:rsidR="0066398A" w:rsidRDefault="0066398A" w:rsidP="00410548">
      <w:r>
        <w:separator/>
      </w:r>
    </w:p>
  </w:endnote>
  <w:endnote w:type="continuationSeparator" w:id="0">
    <w:p w14:paraId="6B31D21E" w14:textId="77777777" w:rsidR="0066398A" w:rsidRDefault="0066398A" w:rsidP="0041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charset w:val="00"/>
    <w:family w:val="swiss"/>
    <w:pitch w:val="variable"/>
    <w:sig w:usb0="00000287" w:usb1="00000800" w:usb2="00000000" w:usb3="00000000" w:csb0="0000009F" w:csb1="00000000"/>
  </w:font>
  <w:font w:name="Wingdings-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03C40" w14:textId="77777777" w:rsidR="0066398A" w:rsidRDefault="0066398A" w:rsidP="00410548">
      <w:r>
        <w:separator/>
      </w:r>
    </w:p>
  </w:footnote>
  <w:footnote w:type="continuationSeparator" w:id="0">
    <w:p w14:paraId="6C749A8C" w14:textId="77777777" w:rsidR="0066398A" w:rsidRDefault="0066398A" w:rsidP="00410548">
      <w:r>
        <w:continuationSeparator/>
      </w:r>
    </w:p>
  </w:footnote>
  <w:footnote w:id="1">
    <w:p w14:paraId="15B89CC1" w14:textId="7839C3FF" w:rsidR="00833DB2" w:rsidRPr="0045129A" w:rsidRDefault="00036F15" w:rsidP="0041053A">
      <w:pPr>
        <w:pStyle w:val="FootnoteText"/>
        <w:ind w:firstLine="708"/>
        <w:jc w:val="both"/>
        <w:rPr>
          <w:rFonts w:ascii="Arial" w:hAnsi="Arial" w:cs="Arial"/>
          <w:color w:val="000000" w:themeColor="text1"/>
          <w:sz w:val="19"/>
          <w:szCs w:val="19"/>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El </w:t>
      </w:r>
      <w:r w:rsidR="0047013F" w:rsidRPr="0045129A">
        <w:rPr>
          <w:rFonts w:ascii="Arial" w:hAnsi="Arial" w:cs="Arial"/>
          <w:color w:val="000000" w:themeColor="text1"/>
          <w:sz w:val="19"/>
          <w:szCs w:val="19"/>
        </w:rPr>
        <w:t>a</w:t>
      </w:r>
      <w:r w:rsidRPr="0045129A">
        <w:rPr>
          <w:rFonts w:ascii="Arial" w:hAnsi="Arial" w:cs="Arial"/>
          <w:color w:val="000000" w:themeColor="text1"/>
          <w:sz w:val="19"/>
          <w:szCs w:val="19"/>
        </w:rPr>
        <w:t>rtículo 12 de la Ley 1</w:t>
      </w:r>
      <w:r w:rsidR="00833DB2" w:rsidRPr="0045129A">
        <w:rPr>
          <w:rFonts w:ascii="Arial" w:hAnsi="Arial" w:cs="Arial"/>
          <w:color w:val="000000" w:themeColor="text1"/>
          <w:sz w:val="19"/>
          <w:szCs w:val="19"/>
        </w:rPr>
        <w:t xml:space="preserve">682 de 2013, por un lado, define que el </w:t>
      </w:r>
      <w:r w:rsidR="00833DB2" w:rsidRPr="0045129A">
        <w:rPr>
          <w:rFonts w:ascii="Arial" w:hAnsi="Arial" w:cs="Arial"/>
          <w:i/>
          <w:iCs/>
          <w:color w:val="000000" w:themeColor="text1"/>
          <w:sz w:val="19"/>
          <w:szCs w:val="19"/>
        </w:rPr>
        <w:t>mantenimiento periódico</w:t>
      </w:r>
      <w:r w:rsidR="00833DB2" w:rsidRPr="0045129A">
        <w:rPr>
          <w:rFonts w:ascii="Arial" w:hAnsi="Arial" w:cs="Arial"/>
          <w:color w:val="000000" w:themeColor="text1"/>
          <w:sz w:val="19"/>
          <w:szCs w:val="19"/>
        </w:rPr>
        <w:t xml:space="preserve"> «[…]Comprende la realización de actividades de conservación a intervalos variables, destinados primordialmente a recuperar los deterioros ocasionados por el uso o por fenómenos naturales o agentes externos». El mismo artículo establece que   </w:t>
      </w:r>
      <w:r w:rsidR="00833DB2" w:rsidRPr="0045129A">
        <w:rPr>
          <w:rFonts w:ascii="Arial" w:hAnsi="Arial" w:cs="Arial"/>
          <w:i/>
          <w:iCs/>
          <w:color w:val="000000" w:themeColor="text1"/>
          <w:sz w:val="19"/>
          <w:szCs w:val="19"/>
        </w:rPr>
        <w:t>mantenimiento rutinario</w:t>
      </w:r>
      <w:r w:rsidR="00833DB2" w:rsidRPr="0045129A">
        <w:rPr>
          <w:rFonts w:ascii="Arial" w:hAnsi="Arial" w:cs="Arial"/>
          <w:color w:val="000000" w:themeColor="text1"/>
          <w:sz w:val="19"/>
          <w:szCs w:val="19"/>
        </w:rPr>
        <w:t> «Se refiere a la conservación continua (a intervalos menores de un año) con el fin de mantener las condiciones óptimas para el tránsito y uso adecuado de la infraestructura de transporte».</w:t>
      </w:r>
    </w:p>
    <w:p w14:paraId="4B1B689A" w14:textId="5322F770" w:rsidR="00036F15" w:rsidRPr="0045129A" w:rsidRDefault="00036F15" w:rsidP="0041053A">
      <w:pPr>
        <w:pStyle w:val="FootnoteText"/>
        <w:ind w:firstLine="708"/>
        <w:rPr>
          <w:rFonts w:ascii="Arial" w:hAnsi="Arial" w:cs="Arial"/>
          <w:color w:val="000000" w:themeColor="text1"/>
          <w:sz w:val="19"/>
          <w:szCs w:val="19"/>
          <w:lang w:val="es-CO"/>
        </w:rPr>
      </w:pPr>
      <w:r w:rsidRPr="0045129A">
        <w:rPr>
          <w:rFonts w:ascii="Arial" w:hAnsi="Arial" w:cs="Arial"/>
          <w:color w:val="000000" w:themeColor="text1"/>
          <w:sz w:val="19"/>
          <w:szCs w:val="19"/>
        </w:rPr>
        <w:t xml:space="preserve"> </w:t>
      </w:r>
    </w:p>
  </w:footnote>
  <w:footnote w:id="2">
    <w:p w14:paraId="522CCD0C" w14:textId="3820773E" w:rsidR="00713339" w:rsidRPr="0045129A" w:rsidRDefault="007A64D8" w:rsidP="0041053A">
      <w:pPr>
        <w:pStyle w:val="NormalWeb"/>
        <w:spacing w:before="0" w:beforeAutospacing="0" w:after="0" w:afterAutospacing="0"/>
        <w:ind w:firstLine="708"/>
        <w:jc w:val="both"/>
        <w:rPr>
          <w:rFonts w:ascii="Arial" w:hAnsi="Arial" w:cs="Arial"/>
          <w:color w:val="000000" w:themeColor="text1"/>
          <w:sz w:val="19"/>
          <w:szCs w:val="19"/>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w:t>
      </w:r>
      <w:r w:rsidR="00713339" w:rsidRPr="0045129A">
        <w:rPr>
          <w:rFonts w:ascii="Arial" w:hAnsi="Arial" w:cs="Arial"/>
          <w:color w:val="000000" w:themeColor="text1"/>
          <w:sz w:val="19"/>
          <w:szCs w:val="19"/>
        </w:rPr>
        <w:t>Ley 1682 de 2013 «</w:t>
      </w:r>
      <w:r w:rsidR="00713339" w:rsidRPr="0045129A">
        <w:rPr>
          <w:rStyle w:val="Strong"/>
          <w:rFonts w:ascii="Arial" w:hAnsi="Arial" w:cs="Arial"/>
          <w:b w:val="0"/>
          <w:bCs w:val="0"/>
          <w:color w:val="000000" w:themeColor="text1"/>
          <w:sz w:val="19"/>
          <w:szCs w:val="19"/>
        </w:rPr>
        <w:t>Artículo 44.</w:t>
      </w:r>
      <w:r w:rsidR="00713339" w:rsidRPr="0045129A">
        <w:rPr>
          <w:rFonts w:ascii="Arial" w:hAnsi="Arial" w:cs="Arial"/>
          <w:color w:val="000000" w:themeColor="text1"/>
          <w:sz w:val="19"/>
          <w:szCs w:val="19"/>
        </w:rPr>
        <w:t> Los siguientes Proyectos de Infraestructura de Transporte no requerirán Licencia Ambiental: </w:t>
      </w:r>
    </w:p>
    <w:p w14:paraId="288ACDF3" w14:textId="1BF95507" w:rsidR="00713339" w:rsidRPr="0045129A" w:rsidRDefault="00713339" w:rsidP="0041053A">
      <w:pPr>
        <w:pStyle w:val="NormalWeb"/>
        <w:spacing w:before="0" w:beforeAutospacing="0" w:after="0" w:afterAutospacing="0"/>
        <w:jc w:val="both"/>
        <w:rPr>
          <w:rFonts w:ascii="Arial" w:hAnsi="Arial" w:cs="Arial"/>
          <w:color w:val="000000" w:themeColor="text1"/>
          <w:sz w:val="19"/>
          <w:szCs w:val="19"/>
        </w:rPr>
      </w:pPr>
      <w:r w:rsidRPr="0045129A">
        <w:rPr>
          <w:rFonts w:ascii="Arial" w:hAnsi="Arial" w:cs="Arial"/>
          <w:color w:val="000000" w:themeColor="text1"/>
          <w:sz w:val="19"/>
          <w:szCs w:val="19"/>
        </w:rPr>
        <w:t>  </w:t>
      </w:r>
      <w:r w:rsidR="00AC21D2" w:rsidRPr="0045129A">
        <w:rPr>
          <w:rFonts w:ascii="Arial" w:hAnsi="Arial" w:cs="Arial"/>
          <w:color w:val="000000" w:themeColor="text1"/>
          <w:sz w:val="19"/>
          <w:szCs w:val="19"/>
        </w:rPr>
        <w:tab/>
      </w:r>
      <w:r w:rsidRPr="0045129A">
        <w:rPr>
          <w:rFonts w:ascii="Arial" w:hAnsi="Arial" w:cs="Arial"/>
          <w:color w:val="000000" w:themeColor="text1"/>
          <w:sz w:val="19"/>
          <w:szCs w:val="19"/>
        </w:rPr>
        <w:t>»a) Proyectos de mantenimiento; </w:t>
      </w:r>
    </w:p>
    <w:p w14:paraId="0B54F13E" w14:textId="216004B8" w:rsidR="00713339" w:rsidRPr="0045129A" w:rsidRDefault="00713339" w:rsidP="0041053A">
      <w:pPr>
        <w:pStyle w:val="NormalWeb"/>
        <w:spacing w:before="0" w:beforeAutospacing="0" w:after="0" w:afterAutospacing="0"/>
        <w:jc w:val="both"/>
        <w:rPr>
          <w:rFonts w:ascii="Arial" w:hAnsi="Arial" w:cs="Arial"/>
          <w:color w:val="000000" w:themeColor="text1"/>
          <w:sz w:val="19"/>
          <w:szCs w:val="19"/>
        </w:rPr>
      </w:pPr>
      <w:r w:rsidRPr="0045129A">
        <w:rPr>
          <w:rFonts w:ascii="Arial" w:hAnsi="Arial" w:cs="Arial"/>
          <w:color w:val="000000" w:themeColor="text1"/>
          <w:sz w:val="19"/>
          <w:szCs w:val="19"/>
        </w:rPr>
        <w:t>  </w:t>
      </w:r>
      <w:r w:rsidR="00AC21D2" w:rsidRPr="0045129A">
        <w:rPr>
          <w:rFonts w:ascii="Arial" w:hAnsi="Arial" w:cs="Arial"/>
          <w:color w:val="000000" w:themeColor="text1"/>
          <w:sz w:val="19"/>
          <w:szCs w:val="19"/>
        </w:rPr>
        <w:tab/>
      </w:r>
      <w:r w:rsidRPr="0045129A">
        <w:rPr>
          <w:rFonts w:ascii="Arial" w:hAnsi="Arial" w:cs="Arial"/>
          <w:color w:val="000000" w:themeColor="text1"/>
          <w:sz w:val="19"/>
          <w:szCs w:val="19"/>
        </w:rPr>
        <w:t>»b) Proyectos de rehabilitación; </w:t>
      </w:r>
    </w:p>
    <w:p w14:paraId="1E56E7F4" w14:textId="22B822B8" w:rsidR="00713339" w:rsidRPr="0045129A" w:rsidRDefault="00713339" w:rsidP="0041053A">
      <w:pPr>
        <w:pStyle w:val="NormalWeb"/>
        <w:spacing w:before="0" w:beforeAutospacing="0" w:after="0" w:afterAutospacing="0"/>
        <w:jc w:val="both"/>
        <w:rPr>
          <w:rFonts w:ascii="Arial" w:hAnsi="Arial" w:cs="Arial"/>
          <w:color w:val="000000" w:themeColor="text1"/>
          <w:sz w:val="19"/>
          <w:szCs w:val="19"/>
        </w:rPr>
      </w:pPr>
      <w:r w:rsidRPr="0045129A">
        <w:rPr>
          <w:rFonts w:ascii="Arial" w:hAnsi="Arial" w:cs="Arial"/>
          <w:color w:val="000000" w:themeColor="text1"/>
          <w:sz w:val="19"/>
          <w:szCs w:val="19"/>
        </w:rPr>
        <w:t>  </w:t>
      </w:r>
      <w:r w:rsidRPr="0045129A">
        <w:rPr>
          <w:rFonts w:ascii="Arial" w:hAnsi="Arial" w:cs="Arial"/>
          <w:color w:val="000000" w:themeColor="text1"/>
          <w:sz w:val="19"/>
          <w:szCs w:val="19"/>
        </w:rPr>
        <w:tab/>
        <w:t>»c) Proyectos de mejoramiento. </w:t>
      </w:r>
    </w:p>
    <w:p w14:paraId="21B28E1B" w14:textId="7BA1D344" w:rsidR="00713339" w:rsidRPr="0045129A" w:rsidRDefault="00713339" w:rsidP="0041053A">
      <w:pPr>
        <w:pStyle w:val="NormalWeb"/>
        <w:spacing w:before="0" w:beforeAutospacing="0" w:after="0" w:afterAutospacing="0"/>
        <w:jc w:val="both"/>
        <w:rPr>
          <w:rFonts w:ascii="Arial" w:hAnsi="Arial" w:cs="Arial"/>
          <w:color w:val="000000" w:themeColor="text1"/>
          <w:sz w:val="19"/>
          <w:szCs w:val="19"/>
        </w:rPr>
      </w:pPr>
      <w:r w:rsidRPr="0045129A">
        <w:rPr>
          <w:rFonts w:ascii="Arial" w:hAnsi="Arial" w:cs="Arial"/>
          <w:color w:val="000000" w:themeColor="text1"/>
          <w:sz w:val="19"/>
          <w:szCs w:val="19"/>
        </w:rPr>
        <w:t>  </w:t>
      </w:r>
      <w:r w:rsidR="00AC21D2" w:rsidRPr="0045129A">
        <w:rPr>
          <w:rFonts w:ascii="Arial" w:hAnsi="Arial" w:cs="Arial"/>
          <w:color w:val="000000" w:themeColor="text1"/>
          <w:sz w:val="19"/>
          <w:szCs w:val="19"/>
        </w:rPr>
        <w:tab/>
      </w:r>
      <w:r w:rsidRPr="0045129A">
        <w:rPr>
          <w:rFonts w:ascii="Arial" w:hAnsi="Arial" w:cs="Arial"/>
          <w:color w:val="000000" w:themeColor="text1"/>
          <w:sz w:val="19"/>
          <w:szCs w:val="19"/>
        </w:rPr>
        <w:t>»Para el debido cumplimiento de la presente disposición, el Gobierno Nacional, que para estos efectos se entiende conformado por los Ministerios de Transporte y Ambiente, en coordinación con la Autoridad Nacional de Licencias Ambientales, reglamentará en un término máximo de noventa (90) días calendario, a partir de la fecha de expedición de esta ley, el listado de actividades de mejoramiento en proyectos de infraestructura de transporte. </w:t>
      </w:r>
    </w:p>
    <w:p w14:paraId="3E945F5A" w14:textId="6DFAB0AD" w:rsidR="007A64D8" w:rsidRPr="0045129A" w:rsidRDefault="00713339" w:rsidP="0041053A">
      <w:pPr>
        <w:pStyle w:val="NormalWeb"/>
        <w:spacing w:before="0" w:beforeAutospacing="0" w:after="0" w:afterAutospacing="0"/>
        <w:ind w:firstLine="708"/>
        <w:jc w:val="both"/>
        <w:rPr>
          <w:rFonts w:ascii="Arial" w:hAnsi="Arial" w:cs="Arial"/>
          <w:color w:val="000000" w:themeColor="text1"/>
          <w:sz w:val="19"/>
          <w:szCs w:val="19"/>
        </w:rPr>
      </w:pPr>
      <w:r w:rsidRPr="0045129A">
        <w:rPr>
          <w:rStyle w:val="Strong"/>
          <w:rFonts w:ascii="Arial" w:hAnsi="Arial" w:cs="Arial"/>
          <w:b w:val="0"/>
          <w:bCs w:val="0"/>
          <w:color w:val="000000" w:themeColor="text1"/>
          <w:sz w:val="19"/>
          <w:szCs w:val="19"/>
        </w:rPr>
        <w:t>»Parágrafo</w:t>
      </w:r>
      <w:r w:rsidRPr="0045129A">
        <w:rPr>
          <w:rStyle w:val="Strong"/>
          <w:rFonts w:ascii="Arial" w:hAnsi="Arial" w:cs="Arial"/>
          <w:color w:val="000000" w:themeColor="text1"/>
          <w:sz w:val="19"/>
          <w:szCs w:val="19"/>
        </w:rPr>
        <w:t>.</w:t>
      </w:r>
      <w:r w:rsidRPr="0045129A">
        <w:rPr>
          <w:rFonts w:ascii="Arial" w:hAnsi="Arial" w:cs="Arial"/>
          <w:color w:val="000000" w:themeColor="text1"/>
          <w:sz w:val="19"/>
          <w:szCs w:val="19"/>
        </w:rPr>
        <w:t> En el evento que una o más actividades de mejoramiento requiera permisos o autorizaciones ambientales, la entidad pública responsable del proyecto de infraestructura de transporte o quien haga sus veces, deberá tramitarlos y obtenerlos, cuando a ello haya lugar». </w:t>
      </w:r>
    </w:p>
  </w:footnote>
  <w:footnote w:id="3">
    <w:p w14:paraId="4D448B60"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Agencia Nacional de Contratación Pública – Colombia Compra Eficiente. Resolución No. 240 de 2020. Documento Base: «3.5.5.</w:t>
      </w:r>
      <w:r w:rsidRPr="0045129A">
        <w:rPr>
          <w:rFonts w:ascii="Arial" w:hAnsi="Arial" w:cs="Arial"/>
          <w:color w:val="000000" w:themeColor="text1"/>
          <w:sz w:val="19"/>
          <w:szCs w:val="19"/>
        </w:rPr>
        <w:tab/>
        <w:t>ACREDITACIÓN DE LA EXPERIENCIA REQUERIDA</w:t>
      </w:r>
    </w:p>
    <w:p w14:paraId="59A3B99D"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 xml:space="preserve">»Los proponentes acreditarán para cada uno de los contratos aportados la siguiente información mediante alguno de los documentos señalados en la sección 3.5.5 del pliego de condiciones: </w:t>
      </w:r>
    </w:p>
    <w:p w14:paraId="7914B0C5"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»A.</w:t>
      </w:r>
      <w:r w:rsidRPr="0045129A">
        <w:rPr>
          <w:rFonts w:ascii="Arial" w:hAnsi="Arial" w:cs="Arial"/>
          <w:color w:val="000000" w:themeColor="text1"/>
          <w:sz w:val="19"/>
          <w:szCs w:val="19"/>
        </w:rPr>
        <w:tab/>
        <w:t>Contratante</w:t>
      </w:r>
    </w:p>
    <w:p w14:paraId="29CE759F"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»B.</w:t>
      </w:r>
      <w:r w:rsidRPr="0045129A">
        <w:rPr>
          <w:rFonts w:ascii="Arial" w:hAnsi="Arial" w:cs="Arial"/>
          <w:color w:val="000000" w:themeColor="text1"/>
          <w:sz w:val="19"/>
          <w:szCs w:val="19"/>
        </w:rPr>
        <w:tab/>
        <w:t>Objeto del contrato</w:t>
      </w:r>
    </w:p>
    <w:p w14:paraId="70831892"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»C.</w:t>
      </w:r>
      <w:r w:rsidRPr="0045129A">
        <w:rPr>
          <w:rFonts w:ascii="Arial" w:hAnsi="Arial" w:cs="Arial"/>
          <w:color w:val="000000" w:themeColor="text1"/>
          <w:sz w:val="19"/>
          <w:szCs w:val="19"/>
        </w:rPr>
        <w:tab/>
        <w:t>Principales actividades ejecutadas</w:t>
      </w:r>
    </w:p>
    <w:p w14:paraId="705281A3"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»D.</w:t>
      </w:r>
      <w:r w:rsidRPr="0045129A">
        <w:rPr>
          <w:rFonts w:ascii="Arial" w:hAnsi="Arial" w:cs="Arial"/>
          <w:color w:val="000000" w:themeColor="text1"/>
          <w:sz w:val="19"/>
          <w:szCs w:val="19"/>
        </w:rPr>
        <w:tab/>
        <w:t>Las longitudes, volúmenes, dimensiones, tipologías y demás condiciones de experiencia establecidas en la Matriz 1 – Experiencia, si aplica.</w:t>
      </w:r>
    </w:p>
    <w:p w14:paraId="284439EF"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»E.</w:t>
      </w:r>
      <w:r w:rsidRPr="0045129A">
        <w:rPr>
          <w:rFonts w:ascii="Arial" w:hAnsi="Arial" w:cs="Arial"/>
          <w:color w:val="000000" w:themeColor="text1"/>
          <w:sz w:val="19"/>
          <w:szCs w:val="19"/>
        </w:rPr>
        <w:tab/>
        <w:t xml:space="preserve">La fecha de iniciación de la ejecución del contrato: Esta fecha es diferente a la de suscripción del contrato, a menos que de los documentos del numeral 3.5.5 de forma expresa así se determine. </w:t>
      </w:r>
    </w:p>
    <w:p w14:paraId="5C6F5911"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»Si en los documentos válidos aportados para la acreditación de experiencia solo se evidencia fecha (mes, año) de suscripción y/o inicio del contrato: se tendrá en cuenta el último día del mes que se encuentre señalado en la certificación.</w:t>
      </w:r>
    </w:p>
    <w:p w14:paraId="36B8D9D0"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»F.</w:t>
      </w:r>
      <w:r w:rsidRPr="0045129A">
        <w:rPr>
          <w:rFonts w:ascii="Arial" w:hAnsi="Arial" w:cs="Arial"/>
          <w:color w:val="000000" w:themeColor="text1"/>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6C88C4F8" w14:textId="77777777" w:rsidR="00CE42FC" w:rsidRPr="0045129A" w:rsidRDefault="00CE42FC" w:rsidP="0041053A">
      <w:pPr>
        <w:pStyle w:val="FootnoteText"/>
        <w:jc w:val="both"/>
        <w:rPr>
          <w:rFonts w:ascii="Arial" w:hAnsi="Arial" w:cs="Arial"/>
          <w:color w:val="000000" w:themeColor="text1"/>
          <w:sz w:val="19"/>
          <w:szCs w:val="19"/>
        </w:rPr>
      </w:pPr>
      <w:r w:rsidRPr="0045129A">
        <w:rPr>
          <w:rFonts w:ascii="Arial" w:hAnsi="Arial" w:cs="Arial"/>
          <w:color w:val="000000" w:themeColor="text1"/>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55F95813"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»G.</w:t>
      </w:r>
      <w:r w:rsidRPr="0045129A">
        <w:rPr>
          <w:rFonts w:ascii="Arial" w:hAnsi="Arial" w:cs="Arial"/>
          <w:color w:val="000000" w:themeColor="text1"/>
          <w:sz w:val="19"/>
          <w:szCs w:val="19"/>
        </w:rPr>
        <w:tab/>
        <w:t>Nombre y cargo de la persona que expide la certificación.</w:t>
      </w:r>
    </w:p>
    <w:p w14:paraId="59B4C604"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»H.</w:t>
      </w:r>
      <w:r w:rsidRPr="0045129A">
        <w:rPr>
          <w:rFonts w:ascii="Arial" w:hAnsi="Arial" w:cs="Arial"/>
          <w:color w:val="000000" w:themeColor="text1"/>
          <w:sz w:val="19"/>
          <w:szCs w:val="19"/>
        </w:rPr>
        <w:tab/>
        <w:t>El porcentaje de participación del integrante del contratista plural.</w:t>
      </w:r>
    </w:p>
    <w:p w14:paraId="071D5DA0" w14:textId="77777777" w:rsidR="00CE42FC" w:rsidRPr="0045129A" w:rsidRDefault="00CE42F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»I.</w:t>
      </w:r>
      <w:r w:rsidRPr="0045129A">
        <w:rPr>
          <w:rFonts w:ascii="Arial" w:hAnsi="Arial" w:cs="Arial"/>
          <w:color w:val="000000" w:themeColor="text1"/>
          <w:sz w:val="19"/>
          <w:szCs w:val="19"/>
        </w:rPr>
        <w:tab/>
        <w:t>El porcentaje de participación en el valor ejecutado en el caso de contratistas plurales».</w:t>
      </w:r>
    </w:p>
  </w:footnote>
  <w:footnote w:id="4">
    <w:p w14:paraId="66D86904" w14:textId="77777777" w:rsidR="00486942" w:rsidRPr="0045129A" w:rsidRDefault="00486942" w:rsidP="0041053A">
      <w:pPr>
        <w:pStyle w:val="FootnoteText"/>
        <w:ind w:firstLine="708"/>
        <w:rPr>
          <w:rFonts w:ascii="Arial" w:hAnsi="Arial" w:cs="Arial"/>
          <w:color w:val="000000" w:themeColor="text1"/>
          <w:sz w:val="19"/>
          <w:szCs w:val="19"/>
        </w:rPr>
      </w:pPr>
    </w:p>
    <w:p w14:paraId="030FF2F4" w14:textId="062A52DF" w:rsidR="00B44F2F" w:rsidRPr="0045129A" w:rsidRDefault="003E148B" w:rsidP="0041053A">
      <w:pPr>
        <w:pStyle w:val="FootnoteText"/>
        <w:ind w:firstLine="708"/>
        <w:jc w:val="both"/>
        <w:rPr>
          <w:rFonts w:ascii="Arial" w:hAnsi="Arial" w:cs="Arial"/>
          <w:color w:val="000000" w:themeColor="text1"/>
          <w:sz w:val="19"/>
          <w:szCs w:val="19"/>
        </w:rPr>
      </w:pPr>
      <w:r w:rsidRPr="0045129A">
        <w:rPr>
          <w:rStyle w:val="FootnoteReference"/>
          <w:rFonts w:ascii="Arial" w:hAnsi="Arial" w:cs="Arial"/>
          <w:color w:val="000000" w:themeColor="text1"/>
          <w:sz w:val="19"/>
          <w:szCs w:val="19"/>
        </w:rPr>
        <w:footnoteRef/>
      </w:r>
      <w:r w:rsidR="00486942" w:rsidRPr="0045129A">
        <w:rPr>
          <w:rFonts w:ascii="Arial" w:hAnsi="Arial" w:cs="Arial"/>
          <w:color w:val="000000" w:themeColor="text1"/>
          <w:sz w:val="19"/>
          <w:szCs w:val="19"/>
        </w:rPr>
        <w:t xml:space="preserve"> Agencia Nacional de Contratación Pública – Colombia Compra Eficiente. Resolución No. 240 de 2020. Documento Base: «</w:t>
      </w:r>
      <w:r w:rsidR="00B44F2F" w:rsidRPr="0045129A">
        <w:rPr>
          <w:rFonts w:ascii="Arial" w:hAnsi="Arial" w:cs="Arial"/>
          <w:color w:val="000000" w:themeColor="text1"/>
          <w:sz w:val="19"/>
          <w:szCs w:val="19"/>
        </w:rPr>
        <w:t>3.5.6.</w:t>
      </w:r>
      <w:r w:rsidR="00B44F2F" w:rsidRPr="0045129A">
        <w:rPr>
          <w:rFonts w:ascii="Arial" w:hAnsi="Arial" w:cs="Arial"/>
          <w:color w:val="000000" w:themeColor="text1"/>
          <w:sz w:val="19"/>
          <w:szCs w:val="19"/>
        </w:rPr>
        <w:tab/>
        <w:t>DOCUMENTOS VÁLIDOS PARA LA ACREDITACIÓN DE LA EXPERIENCIA REQUERIDA</w:t>
      </w:r>
    </w:p>
    <w:p w14:paraId="15E81FBC" w14:textId="07B12439" w:rsidR="00B44F2F" w:rsidRPr="0045129A" w:rsidRDefault="00B86A5C"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w:t>
      </w:r>
      <w:r w:rsidR="00B44F2F" w:rsidRPr="0045129A">
        <w:rPr>
          <w:rFonts w:ascii="Arial" w:hAnsi="Arial" w:cs="Arial"/>
          <w:color w:val="000000" w:themeColor="text1"/>
          <w:sz w:val="19"/>
          <w:szCs w:val="19"/>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05161F68" w14:textId="24806FDE" w:rsidR="00B44F2F" w:rsidRPr="0045129A" w:rsidRDefault="00B44F2F"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»A.</w:t>
      </w:r>
      <w:r w:rsidRPr="0045129A">
        <w:rPr>
          <w:rFonts w:ascii="Arial" w:hAnsi="Arial" w:cs="Arial"/>
          <w:color w:val="000000" w:themeColor="text1"/>
          <w:sz w:val="19"/>
          <w:szCs w:val="19"/>
        </w:rPr>
        <w:tab/>
        <w:t>Acta de liquidación</w:t>
      </w:r>
    </w:p>
    <w:p w14:paraId="1CADE38E" w14:textId="1317C77A" w:rsidR="00B44F2F" w:rsidRPr="0045129A" w:rsidRDefault="00B44F2F"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»B.</w:t>
      </w:r>
      <w:r w:rsidRPr="0045129A">
        <w:rPr>
          <w:rFonts w:ascii="Arial" w:hAnsi="Arial" w:cs="Arial"/>
          <w:color w:val="000000" w:themeColor="text1"/>
          <w:sz w:val="19"/>
          <w:szCs w:val="19"/>
        </w:rPr>
        <w:tab/>
        <w:t xml:space="preserve">Acta de entrega, terminación, final o de recibo definitivo. </w:t>
      </w:r>
    </w:p>
    <w:p w14:paraId="4562AEFE" w14:textId="469B1F53" w:rsidR="00B44F2F" w:rsidRPr="0045129A" w:rsidRDefault="00B44F2F"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»C.</w:t>
      </w:r>
      <w:r w:rsidRPr="0045129A">
        <w:rPr>
          <w:rFonts w:ascii="Arial" w:hAnsi="Arial" w:cs="Arial"/>
          <w:color w:val="000000" w:themeColor="text1"/>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3017C2E9" w14:textId="73AAED5D" w:rsidR="00B44F2F" w:rsidRPr="0045129A" w:rsidRDefault="00B44F2F"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»D.</w:t>
      </w:r>
      <w:r w:rsidRPr="0045129A">
        <w:rPr>
          <w:rFonts w:ascii="Arial" w:hAnsi="Arial" w:cs="Arial"/>
          <w:color w:val="000000" w:themeColor="text1"/>
          <w:sz w:val="19"/>
          <w:szCs w:val="19"/>
        </w:rPr>
        <w:tab/>
        <w:t>Acta de inicio o la orden de inicio. La misma sólo será válida para efectos de acreditar la fecha de inicio.</w:t>
      </w:r>
    </w:p>
    <w:p w14:paraId="1A9E8D50" w14:textId="12C3358B" w:rsidR="00B44F2F" w:rsidRPr="0045129A" w:rsidRDefault="00B44F2F"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»E.</w:t>
      </w:r>
      <w:r w:rsidRPr="0045129A">
        <w:rPr>
          <w:rFonts w:ascii="Arial" w:hAnsi="Arial" w:cs="Arial"/>
          <w:color w:val="000000" w:themeColor="text1"/>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4F9FEBC9" w14:textId="26E0A268" w:rsidR="00B44F2F" w:rsidRPr="0045129A" w:rsidRDefault="00B44F2F"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 xml:space="preserve">»Para efectos de acreditación de experiencia entre particulares, el proponente deberá aportar adicionalmente alguno de los documentos que se describen a continuación: </w:t>
      </w:r>
    </w:p>
    <w:p w14:paraId="452560ED" w14:textId="760E8A68" w:rsidR="00B44F2F" w:rsidRPr="0045129A" w:rsidRDefault="00B44F2F"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»A.</w:t>
      </w:r>
      <w:r w:rsidRPr="0045129A">
        <w:rPr>
          <w:rFonts w:ascii="Arial" w:hAnsi="Arial" w:cs="Arial"/>
          <w:color w:val="000000" w:themeColor="text1"/>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55CE83DB" w14:textId="656E2BB3" w:rsidR="003E148B" w:rsidRPr="0045129A" w:rsidRDefault="00B44F2F"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w:t>
      </w:r>
      <w:r w:rsidRPr="0045129A">
        <w:rPr>
          <w:rFonts w:ascii="Arial" w:hAnsi="Arial" w:cs="Arial"/>
          <w:color w:val="000000" w:themeColor="text1"/>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45129A">
        <w:rPr>
          <w:rFonts w:ascii="Arial" w:hAnsi="Arial" w:cs="Arial"/>
          <w:color w:val="000000" w:themeColor="text1"/>
          <w:sz w:val="19"/>
          <w:szCs w:val="19"/>
        </w:rPr>
        <w:t>».</w:t>
      </w:r>
      <w:r w:rsidR="003E148B" w:rsidRPr="0045129A">
        <w:rPr>
          <w:rFonts w:ascii="Arial" w:hAnsi="Arial" w:cs="Arial"/>
          <w:color w:val="000000" w:themeColor="text1"/>
          <w:sz w:val="19"/>
          <w:szCs w:val="19"/>
        </w:rPr>
        <w:t xml:space="preserve"> </w:t>
      </w:r>
    </w:p>
    <w:p w14:paraId="4E8F553B" w14:textId="77777777" w:rsidR="00F775BD" w:rsidRPr="0045129A" w:rsidRDefault="00F775BD" w:rsidP="0041053A">
      <w:pPr>
        <w:pStyle w:val="FootnoteText"/>
        <w:ind w:firstLine="708"/>
        <w:jc w:val="both"/>
        <w:rPr>
          <w:rFonts w:ascii="Arial" w:hAnsi="Arial" w:cs="Arial"/>
          <w:color w:val="000000" w:themeColor="text1"/>
          <w:sz w:val="19"/>
          <w:szCs w:val="19"/>
        </w:rPr>
      </w:pPr>
    </w:p>
  </w:footnote>
  <w:footnote w:id="5">
    <w:p w14:paraId="4BD90F5E" w14:textId="77777777" w:rsidR="00A1693B" w:rsidRPr="0045129A" w:rsidRDefault="000D39F0" w:rsidP="0041053A">
      <w:pPr>
        <w:pStyle w:val="FootnoteText"/>
        <w:ind w:firstLine="709"/>
        <w:jc w:val="both"/>
        <w:rPr>
          <w:rFonts w:ascii="Arial" w:hAnsi="Arial" w:cs="Arial"/>
          <w:b/>
          <w:bCs/>
          <w:color w:val="000000" w:themeColor="text1"/>
          <w:sz w:val="19"/>
          <w:szCs w:val="19"/>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w:t>
      </w:r>
      <w:r w:rsidR="00D661A7" w:rsidRPr="0045129A">
        <w:rPr>
          <w:rFonts w:ascii="Arial" w:hAnsi="Arial" w:cs="Arial"/>
          <w:color w:val="000000" w:themeColor="text1"/>
          <w:sz w:val="19"/>
          <w:szCs w:val="19"/>
        </w:rPr>
        <w:t>En materia del procedimiento de licitación pública, el Decreto 1082 de 2015 establece: «</w:t>
      </w:r>
      <w:r w:rsidRPr="0045129A">
        <w:rPr>
          <w:rStyle w:val="Strong"/>
          <w:rFonts w:ascii="Arial" w:hAnsi="Arial" w:cs="Arial"/>
          <w:b w:val="0"/>
          <w:bCs w:val="0"/>
          <w:color w:val="000000" w:themeColor="text1"/>
          <w:sz w:val="19"/>
          <w:szCs w:val="19"/>
        </w:rPr>
        <w:t>2.2.1.2.6.1.4. Inalterabilidad de los Documentos Tipo</w:t>
      </w:r>
      <w:r w:rsidRPr="0045129A">
        <w:rPr>
          <w:rFonts w:ascii="Arial" w:hAnsi="Arial" w:cs="Arial"/>
          <w:b/>
          <w:bCs/>
          <w:color w:val="000000" w:themeColor="text1"/>
          <w:sz w:val="19"/>
          <w:szCs w:val="19"/>
        </w:rPr>
        <w:t xml:space="preserve">. </w:t>
      </w:r>
      <w:r w:rsidRPr="0045129A">
        <w:rPr>
          <w:rFonts w:ascii="Arial" w:hAnsi="Arial" w:cs="Arial"/>
          <w:color w:val="000000" w:themeColor="text1"/>
          <w:sz w:val="19"/>
          <w:szCs w:val="19"/>
        </w:rPr>
        <w:t>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00D661A7" w:rsidRPr="0045129A">
        <w:rPr>
          <w:rFonts w:ascii="Arial" w:hAnsi="Arial" w:cs="Arial"/>
          <w:color w:val="000000" w:themeColor="text1"/>
          <w:sz w:val="19"/>
          <w:szCs w:val="19"/>
        </w:rPr>
        <w:t>»</w:t>
      </w:r>
      <w:r w:rsidRPr="0045129A">
        <w:rPr>
          <w:rFonts w:ascii="Arial" w:hAnsi="Arial" w:cs="Arial"/>
          <w:color w:val="000000" w:themeColor="text1"/>
          <w:sz w:val="19"/>
          <w:szCs w:val="19"/>
        </w:rPr>
        <w:t>.</w:t>
      </w:r>
      <w:r w:rsidRPr="0045129A">
        <w:rPr>
          <w:rFonts w:ascii="Arial" w:hAnsi="Arial" w:cs="Arial"/>
          <w:b/>
          <w:bCs/>
          <w:color w:val="000000" w:themeColor="text1"/>
          <w:sz w:val="19"/>
          <w:szCs w:val="19"/>
        </w:rPr>
        <w:t> </w:t>
      </w:r>
    </w:p>
    <w:p w14:paraId="6B61521F" w14:textId="42A194DF" w:rsidR="00D661A7" w:rsidRPr="0045129A" w:rsidRDefault="00D661A7" w:rsidP="0041053A">
      <w:pPr>
        <w:pStyle w:val="FootnoteText"/>
        <w:ind w:firstLine="709"/>
        <w:jc w:val="both"/>
        <w:rPr>
          <w:rFonts w:ascii="Arial" w:hAnsi="Arial" w:cs="Arial"/>
          <w:color w:val="000000" w:themeColor="text1"/>
          <w:sz w:val="19"/>
          <w:szCs w:val="19"/>
        </w:rPr>
      </w:pPr>
      <w:r w:rsidRPr="0045129A">
        <w:rPr>
          <w:rFonts w:ascii="Arial" w:hAnsi="Arial" w:cs="Arial"/>
          <w:color w:val="000000" w:themeColor="text1"/>
          <w:sz w:val="19"/>
          <w:szCs w:val="19"/>
        </w:rPr>
        <w:t>En el mismo sentido, la Resolución No. 240 de 2020, a través de la cual esta Agencia expidió los documentos tipo de licitación de obra pública de infraestructura de transporte – versión 3, señala: «Artículo 3. Inalterabilidad de los Documentos Tipo. Las entidades estatales contratantes no podrán incluir o modificar dentro de los documentos del proceso de selección las condiciones habilitantes, los factores técnicos y económicos de escogencia y los sistemas de ponderación distintos a los señalados en los Documentos Tipo».</w:t>
      </w:r>
    </w:p>
  </w:footnote>
  <w:footnote w:id="6">
    <w:p w14:paraId="763EF2F0" w14:textId="740AFD5B" w:rsidR="006A375B" w:rsidRPr="0045129A" w:rsidRDefault="006A375B" w:rsidP="0041053A">
      <w:pPr>
        <w:pStyle w:val="FootnoteText"/>
        <w:ind w:firstLine="708"/>
        <w:jc w:val="both"/>
        <w:rPr>
          <w:rFonts w:ascii="Arial" w:hAnsi="Arial" w:cs="Arial"/>
          <w:color w:val="000000" w:themeColor="text1"/>
          <w:sz w:val="19"/>
          <w:szCs w:val="19"/>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w:t>
      </w:r>
      <w:r w:rsidR="00A1693B" w:rsidRPr="0045129A">
        <w:rPr>
          <w:rFonts w:ascii="Arial" w:hAnsi="Arial" w:cs="Arial"/>
          <w:color w:val="000000" w:themeColor="text1"/>
          <w:sz w:val="19"/>
          <w:szCs w:val="19"/>
        </w:rPr>
        <w:t>Agencia Nacional de Contratación Pública – Colombia Compra Eficiente. Resolución No. 240 de 2020: «</w:t>
      </w:r>
      <w:r w:rsidRPr="0045129A">
        <w:rPr>
          <w:rFonts w:ascii="Arial" w:hAnsi="Arial" w:cs="Arial"/>
          <w:color w:val="000000" w:themeColor="text1"/>
          <w:sz w:val="19"/>
          <w:szCs w:val="19"/>
        </w:rPr>
        <w:t xml:space="preserve">Articulo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38099EA4" w14:textId="77777777" w:rsidR="006A375B" w:rsidRPr="0045129A" w:rsidRDefault="006A375B"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4B8D97DE" w14:textId="77777777" w:rsidR="006A375B" w:rsidRPr="0045129A" w:rsidRDefault="006A375B"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 xml:space="preserve">»2. Conservar los requisitos exigidos en los Documentos Tipo. </w:t>
      </w:r>
    </w:p>
    <w:p w14:paraId="77F5DDCF" w14:textId="77777777" w:rsidR="006A375B" w:rsidRPr="0045129A" w:rsidRDefault="006A375B"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 xml:space="preserve">»3. Abstenerse de pedir experiencia exclusiva con entidades estatales, experiencia previa en un territorio específico, limitada en el tiempo o que incluya volúmenes o cantidades de obra específica. </w:t>
      </w:r>
    </w:p>
    <w:p w14:paraId="2E991765" w14:textId="16075E7A" w:rsidR="006A375B" w:rsidRDefault="006A375B"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 xml:space="preserve">»4. Clasificar la experiencia requerida solo hasta el tercer nivel del Clasificador de Bienes y Servicios e incluir exclusivamente los códigos que estén relacionados directamente con el objeto a contratar». </w:t>
      </w:r>
    </w:p>
    <w:p w14:paraId="33C02D43" w14:textId="77777777" w:rsidR="003F55B8" w:rsidRPr="0045129A" w:rsidRDefault="003F55B8" w:rsidP="0041053A">
      <w:pPr>
        <w:pStyle w:val="FootnoteText"/>
        <w:ind w:firstLine="708"/>
        <w:jc w:val="both"/>
        <w:rPr>
          <w:rFonts w:ascii="Arial" w:hAnsi="Arial" w:cs="Arial"/>
          <w:color w:val="000000" w:themeColor="text1"/>
          <w:sz w:val="19"/>
          <w:szCs w:val="19"/>
        </w:rPr>
      </w:pPr>
    </w:p>
  </w:footnote>
  <w:footnote w:id="7">
    <w:p w14:paraId="74E4DD48" w14:textId="77777777" w:rsidR="00297782" w:rsidRPr="0045129A" w:rsidRDefault="00297782" w:rsidP="0041053A">
      <w:pPr>
        <w:pStyle w:val="FootnoteText"/>
        <w:ind w:firstLine="708"/>
        <w:jc w:val="both"/>
        <w:rPr>
          <w:rFonts w:ascii="Arial" w:hAnsi="Arial" w:cs="Arial"/>
          <w:color w:val="000000" w:themeColor="text1"/>
          <w:sz w:val="19"/>
          <w:szCs w:val="19"/>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Agencia Nacional de Contratación Pública – Colombia Compra Eficiente. Resolución No. 240 de 2020. Documento Base: «3.5.2. CARACTERÍSTICAS DE LOS CONTRATOS PRESENTADOS PARA ACREDITAR LA EXPERIENCIA EXIGIDA </w:t>
      </w:r>
    </w:p>
    <w:p w14:paraId="0B0A1BE7" w14:textId="77777777" w:rsidR="00297782" w:rsidRPr="0045129A" w:rsidRDefault="00297782"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 xml:space="preserve">»Los contratos para acreditar la experiencia exigida deberán cumplir las siguientes características: </w:t>
      </w:r>
    </w:p>
    <w:p w14:paraId="1DDD336E" w14:textId="77777777" w:rsidR="00297782" w:rsidRPr="0045129A" w:rsidRDefault="00297782"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w:t>
      </w:r>
    </w:p>
    <w:p w14:paraId="4A0AB384" w14:textId="77777777" w:rsidR="00297782" w:rsidRPr="0045129A" w:rsidRDefault="00297782"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»C.</w:t>
      </w:r>
      <w:r w:rsidRPr="0045129A">
        <w:rPr>
          <w:rFonts w:ascii="Arial" w:hAnsi="Arial" w:cs="Arial"/>
          <w:color w:val="000000" w:themeColor="text1"/>
          <w:sz w:val="19"/>
          <w:szCs w:val="19"/>
        </w:rPr>
        <w:tab/>
        <w:t>El proponente podrá acreditar la experiencia con mínimo uno (1) y máximo seis (6) contratos, los cuales serán evaluados teniendo en cuenta la tabla establecida en el numeral 3.5.7 del pliego de condiciones, así como el contenido establecido en la Matriz 1 – Experiencia. [En los procesos estructurados por lotes, el proponente podrá aportar mínimo uno (1) y máximo seis (6) contratos para cada uno de los lotes o podrá aportar los mismos para todos los lotes]».</w:t>
      </w:r>
    </w:p>
    <w:p w14:paraId="17959D68" w14:textId="77777777" w:rsidR="00297782" w:rsidRPr="0045129A" w:rsidRDefault="00297782" w:rsidP="0041053A">
      <w:pPr>
        <w:pStyle w:val="FootnoteText"/>
        <w:rPr>
          <w:rFonts w:ascii="Arial" w:hAnsi="Arial" w:cs="Arial"/>
          <w:color w:val="000000" w:themeColor="text1"/>
          <w:sz w:val="19"/>
          <w:szCs w:val="19"/>
          <w:lang w:val="es-CO"/>
        </w:rPr>
      </w:pPr>
    </w:p>
  </w:footnote>
  <w:footnote w:id="8">
    <w:p w14:paraId="61C45913" w14:textId="5B20FD81" w:rsidR="00297782" w:rsidRPr="0045129A" w:rsidRDefault="00297782" w:rsidP="0041053A">
      <w:pPr>
        <w:pStyle w:val="FootnoteText"/>
        <w:ind w:firstLine="708"/>
        <w:jc w:val="both"/>
        <w:rPr>
          <w:rFonts w:ascii="Arial" w:hAnsi="Arial" w:cs="Arial"/>
          <w:color w:val="000000" w:themeColor="text1"/>
          <w:sz w:val="19"/>
          <w:szCs w:val="19"/>
          <w:lang w:val="es-CO"/>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Se aprovecha la oportunidad para precisar que, en el literal D del numeral 3.5.2 de la Versión 3 del Documento Base de licitación de obra pública de infraestructura de transporte, adoptado por la Resolución No. 240 de 2020, se incurrió en una imprecisión al hacer referencia al numeral 3.5.7– referente a subcontratos– en la medida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sub-numeral adicional el numeral 3 de la última versión que término </w:t>
      </w:r>
      <w:r w:rsidR="00D802FF">
        <w:rPr>
          <w:rFonts w:ascii="Arial" w:hAnsi="Arial" w:cs="Arial"/>
          <w:color w:val="000000" w:themeColor="text1"/>
          <w:sz w:val="19"/>
          <w:szCs w:val="19"/>
        </w:rPr>
        <w:t>moviendo</w:t>
      </w:r>
      <w:r w:rsidR="00D802FF" w:rsidRPr="0045129A">
        <w:rPr>
          <w:rFonts w:ascii="Arial" w:hAnsi="Arial" w:cs="Arial"/>
          <w:color w:val="000000" w:themeColor="text1"/>
          <w:sz w:val="19"/>
          <w:szCs w:val="19"/>
        </w:rPr>
        <w:t xml:space="preserve"> </w:t>
      </w:r>
      <w:r w:rsidRPr="0045129A">
        <w:rPr>
          <w:rFonts w:ascii="Arial" w:hAnsi="Arial" w:cs="Arial"/>
          <w:color w:val="000000" w:themeColor="text1"/>
          <w:sz w:val="19"/>
          <w:szCs w:val="19"/>
        </w:rPr>
        <w:t>la «RELACIÓN DE LOS CONTRATOS FRENTE AL PRESUPUESTO OFICIAL» al numeral 3.5.8.</w:t>
      </w:r>
    </w:p>
  </w:footnote>
  <w:footnote w:id="9">
    <w:p w14:paraId="11AD3A75" w14:textId="595A0797" w:rsidR="00780149" w:rsidRPr="0045129A" w:rsidRDefault="00780149" w:rsidP="0041053A">
      <w:pPr>
        <w:pStyle w:val="FootnoteText"/>
        <w:ind w:firstLine="708"/>
        <w:jc w:val="both"/>
        <w:rPr>
          <w:rFonts w:ascii="Arial" w:hAnsi="Arial" w:cs="Arial"/>
          <w:color w:val="000000" w:themeColor="text1"/>
          <w:sz w:val="19"/>
          <w:szCs w:val="19"/>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w:t>
      </w:r>
      <w:r w:rsidR="000F5854" w:rsidRPr="0045129A">
        <w:rPr>
          <w:rFonts w:ascii="Arial" w:hAnsi="Arial" w:cs="Arial"/>
          <w:color w:val="000000" w:themeColor="text1"/>
          <w:sz w:val="19"/>
          <w:szCs w:val="19"/>
        </w:rPr>
        <w:t xml:space="preserve">Dispone el referido </w:t>
      </w:r>
      <w:r w:rsidR="00863CB3" w:rsidRPr="0045129A">
        <w:rPr>
          <w:rFonts w:ascii="Arial" w:hAnsi="Arial" w:cs="Arial"/>
          <w:color w:val="000000" w:themeColor="text1"/>
          <w:sz w:val="19"/>
          <w:szCs w:val="19"/>
        </w:rPr>
        <w:t xml:space="preserve">parágrafo: </w:t>
      </w:r>
      <w:r w:rsidR="000F5854" w:rsidRPr="0045129A">
        <w:rPr>
          <w:rFonts w:ascii="Arial" w:hAnsi="Arial" w:cs="Arial"/>
          <w:color w:val="000000" w:themeColor="text1"/>
          <w:sz w:val="19"/>
          <w:szCs w:val="19"/>
        </w:rPr>
        <w:t>«</w:t>
      </w:r>
      <w:r w:rsidRPr="0045129A">
        <w:rPr>
          <w:rFonts w:ascii="Arial" w:hAnsi="Arial" w:cs="Arial"/>
          <w:color w:val="000000" w:themeColor="text1"/>
          <w:sz w:val="19"/>
          <w:szCs w:val="19"/>
        </w:rPr>
        <w:t xml:space="preserve">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44DB284" w14:textId="3467DEEA" w:rsidR="00780149" w:rsidRPr="0045129A" w:rsidRDefault="000F5854" w:rsidP="0041053A">
      <w:pPr>
        <w:pStyle w:val="FootnoteText"/>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w:t>
      </w:r>
      <w:r w:rsidR="00780149" w:rsidRPr="0045129A">
        <w:rPr>
          <w:rFonts w:ascii="Arial" w:hAnsi="Arial" w:cs="Arial"/>
          <w:color w:val="000000" w:themeColor="text1"/>
          <w:sz w:val="19"/>
          <w:szCs w:val="19"/>
        </w:rPr>
        <w:t>Durante el término otorgado para subsanar las ofertas, los proponentes no podrán acreditar circunstancias ocurridas con posterioridad al cierre del proceso</w:t>
      </w:r>
      <w:r w:rsidRPr="0045129A">
        <w:rPr>
          <w:rFonts w:ascii="Arial" w:hAnsi="Arial" w:cs="Arial"/>
          <w:color w:val="000000" w:themeColor="text1"/>
          <w:sz w:val="19"/>
          <w:szCs w:val="19"/>
        </w:rPr>
        <w:t>»</w:t>
      </w:r>
      <w:r w:rsidR="00780149" w:rsidRPr="0045129A">
        <w:rPr>
          <w:rFonts w:ascii="Arial" w:hAnsi="Arial" w:cs="Arial"/>
          <w:color w:val="000000" w:themeColor="text1"/>
          <w:sz w:val="19"/>
          <w:szCs w:val="19"/>
        </w:rPr>
        <w:t>.</w:t>
      </w:r>
    </w:p>
    <w:p w14:paraId="0FDF859C" w14:textId="77777777" w:rsidR="000F5854" w:rsidRPr="0045129A" w:rsidRDefault="000F5854" w:rsidP="0041053A">
      <w:pPr>
        <w:pStyle w:val="FootnoteText"/>
        <w:ind w:firstLine="708"/>
        <w:rPr>
          <w:rFonts w:ascii="Arial" w:hAnsi="Arial" w:cs="Arial"/>
          <w:color w:val="000000" w:themeColor="text1"/>
          <w:sz w:val="19"/>
          <w:szCs w:val="19"/>
          <w:lang w:val="es-CO"/>
        </w:rPr>
      </w:pPr>
    </w:p>
  </w:footnote>
  <w:footnote w:id="10">
    <w:p w14:paraId="4303C568" w14:textId="1BAA1F0C" w:rsidR="00B616DB" w:rsidRPr="0045129A" w:rsidRDefault="00B616DB" w:rsidP="0041053A">
      <w:pPr>
        <w:pStyle w:val="FootnoteText"/>
        <w:ind w:firstLine="708"/>
        <w:jc w:val="both"/>
        <w:rPr>
          <w:rFonts w:ascii="Arial" w:hAnsi="Arial" w:cs="Arial"/>
          <w:color w:val="000000" w:themeColor="text1"/>
          <w:sz w:val="19"/>
          <w:szCs w:val="19"/>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Sobre la aplicación de la regla de subsanabilidad dispuesta en el parágrafo 1 del artículo 5 de la Ley 1150 de 2007, modificada por la Ley 1882 de 2018, esta Agencia </w:t>
      </w:r>
      <w:r w:rsidR="00D802FF">
        <w:rPr>
          <w:rFonts w:ascii="Arial" w:hAnsi="Arial" w:cs="Arial"/>
          <w:color w:val="000000" w:themeColor="text1"/>
          <w:sz w:val="19"/>
          <w:szCs w:val="19"/>
        </w:rPr>
        <w:t>se pronunció</w:t>
      </w:r>
      <w:r w:rsidR="005B4A56">
        <w:rPr>
          <w:rFonts w:ascii="Arial" w:hAnsi="Arial" w:cs="Arial"/>
          <w:color w:val="000000" w:themeColor="text1"/>
          <w:sz w:val="19"/>
          <w:szCs w:val="19"/>
        </w:rPr>
        <w:t>, entre otros,</w:t>
      </w:r>
      <w:r w:rsidR="00D802FF">
        <w:rPr>
          <w:rFonts w:ascii="Arial" w:hAnsi="Arial" w:cs="Arial"/>
          <w:color w:val="000000" w:themeColor="text1"/>
          <w:sz w:val="19"/>
          <w:szCs w:val="19"/>
        </w:rPr>
        <w:t xml:space="preserve"> </w:t>
      </w:r>
      <w:r w:rsidRPr="0045129A">
        <w:rPr>
          <w:rFonts w:ascii="Arial" w:hAnsi="Arial" w:cs="Arial"/>
          <w:color w:val="000000" w:themeColor="text1"/>
          <w:sz w:val="19"/>
          <w:szCs w:val="19"/>
        </w:rPr>
        <w:t xml:space="preserve">en los conceptos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y C-595 del 21 de septiembre de 2020.  </w:t>
      </w:r>
    </w:p>
    <w:p w14:paraId="1F4AF8D5" w14:textId="77777777" w:rsidR="00715FD6" w:rsidRPr="0045129A" w:rsidRDefault="00715FD6" w:rsidP="0041053A">
      <w:pPr>
        <w:pStyle w:val="FootnoteText"/>
        <w:ind w:firstLine="708"/>
        <w:jc w:val="both"/>
        <w:rPr>
          <w:rFonts w:ascii="Arial" w:hAnsi="Arial" w:cs="Arial"/>
          <w:color w:val="000000" w:themeColor="text1"/>
          <w:sz w:val="19"/>
          <w:szCs w:val="19"/>
          <w:lang w:val="es-CO"/>
        </w:rPr>
      </w:pPr>
    </w:p>
  </w:footnote>
  <w:footnote w:id="11">
    <w:p w14:paraId="6EBF9F32" w14:textId="2FA0A770" w:rsidR="007726E5" w:rsidRPr="0045129A" w:rsidRDefault="007726E5" w:rsidP="0041053A">
      <w:pPr>
        <w:pStyle w:val="Heading2"/>
        <w:numPr>
          <w:ilvl w:val="0"/>
          <w:numId w:val="0"/>
        </w:numPr>
        <w:spacing w:after="0" w:line="240" w:lineRule="auto"/>
        <w:ind w:firstLine="708"/>
        <w:rPr>
          <w:rFonts w:cs="Arial"/>
          <w:b w:val="0"/>
          <w:bCs/>
          <w:sz w:val="19"/>
          <w:szCs w:val="19"/>
        </w:rPr>
      </w:pPr>
      <w:r w:rsidRPr="0045129A">
        <w:rPr>
          <w:rStyle w:val="FootnoteReference"/>
          <w:rFonts w:cs="Arial"/>
          <w:b w:val="0"/>
          <w:bCs/>
          <w:sz w:val="19"/>
          <w:szCs w:val="19"/>
        </w:rPr>
        <w:footnoteRef/>
      </w:r>
      <w:r w:rsidRPr="0045129A">
        <w:rPr>
          <w:rFonts w:cs="Arial"/>
          <w:b w:val="0"/>
          <w:bCs/>
          <w:sz w:val="19"/>
          <w:szCs w:val="19"/>
        </w:rPr>
        <w:t xml:space="preserve"> </w:t>
      </w:r>
      <w:bookmarkStart w:id="5" w:name="_Toc57727242"/>
      <w:r w:rsidR="00474A2F" w:rsidRPr="0045129A">
        <w:rPr>
          <w:rFonts w:cs="Arial"/>
          <w:b w:val="0"/>
          <w:bCs/>
          <w:caps w:val="0"/>
          <w:sz w:val="19"/>
          <w:szCs w:val="19"/>
        </w:rPr>
        <w:t>Agencia Nacional de Contratación Pública – Colombia Compra Eficiente</w:t>
      </w:r>
      <w:r w:rsidRPr="0045129A">
        <w:rPr>
          <w:rFonts w:cs="Arial"/>
          <w:b w:val="0"/>
          <w:bCs/>
          <w:sz w:val="19"/>
          <w:szCs w:val="19"/>
        </w:rPr>
        <w:t>.</w:t>
      </w:r>
      <w:r w:rsidR="00474A2F" w:rsidRPr="0045129A">
        <w:rPr>
          <w:rFonts w:cs="Arial"/>
          <w:b w:val="0"/>
          <w:bCs/>
          <w:sz w:val="19"/>
          <w:szCs w:val="19"/>
        </w:rPr>
        <w:t xml:space="preserve"> </w:t>
      </w:r>
      <w:r w:rsidR="00474A2F" w:rsidRPr="0045129A">
        <w:rPr>
          <w:rFonts w:cs="Arial"/>
          <w:b w:val="0"/>
          <w:bCs/>
          <w:caps w:val="0"/>
          <w:sz w:val="19"/>
          <w:szCs w:val="19"/>
        </w:rPr>
        <w:t>Resolución No</w:t>
      </w:r>
      <w:r w:rsidRPr="0045129A">
        <w:rPr>
          <w:rFonts w:cs="Arial"/>
          <w:b w:val="0"/>
          <w:bCs/>
          <w:sz w:val="19"/>
          <w:szCs w:val="19"/>
        </w:rPr>
        <w:t xml:space="preserve">. 240 </w:t>
      </w:r>
      <w:r w:rsidR="00474A2F" w:rsidRPr="0045129A">
        <w:rPr>
          <w:rFonts w:cs="Arial"/>
          <w:b w:val="0"/>
          <w:bCs/>
          <w:caps w:val="0"/>
          <w:sz w:val="19"/>
          <w:szCs w:val="19"/>
        </w:rPr>
        <w:t>de</w:t>
      </w:r>
      <w:r w:rsidRPr="0045129A">
        <w:rPr>
          <w:rFonts w:cs="Arial"/>
          <w:b w:val="0"/>
          <w:bCs/>
          <w:sz w:val="19"/>
          <w:szCs w:val="19"/>
        </w:rPr>
        <w:t xml:space="preserve"> 2020. </w:t>
      </w:r>
      <w:r w:rsidR="00474A2F" w:rsidRPr="0045129A">
        <w:rPr>
          <w:rFonts w:cs="Arial"/>
          <w:b w:val="0"/>
          <w:bCs/>
          <w:caps w:val="0"/>
          <w:sz w:val="19"/>
          <w:szCs w:val="19"/>
        </w:rPr>
        <w:t>Documento Base</w:t>
      </w:r>
      <w:r w:rsidRPr="0045129A">
        <w:rPr>
          <w:rFonts w:cs="Arial"/>
          <w:b w:val="0"/>
          <w:bCs/>
          <w:sz w:val="19"/>
          <w:szCs w:val="19"/>
        </w:rPr>
        <w:t>: «1.6. REGLAS DE SUBSANABILIDAD, EXPLICACIONES Y ACLARACIONES</w:t>
      </w:r>
      <w:bookmarkEnd w:id="5"/>
      <w:r w:rsidR="00317145" w:rsidRPr="0045129A">
        <w:rPr>
          <w:rFonts w:cs="Arial"/>
          <w:b w:val="0"/>
          <w:bCs/>
          <w:sz w:val="19"/>
          <w:szCs w:val="19"/>
        </w:rPr>
        <w:t>»</w:t>
      </w:r>
    </w:p>
    <w:p w14:paraId="484B3EBE" w14:textId="77777777" w:rsidR="007726E5" w:rsidRPr="0045129A" w:rsidRDefault="007726E5" w:rsidP="0041053A">
      <w:pPr>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09B2E95A" w14:textId="77777777" w:rsidR="007726E5" w:rsidRPr="0045129A" w:rsidRDefault="007726E5" w:rsidP="0041053A">
      <w:pPr>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 xml:space="preserve">»En caso de ser necesario, la entidad debe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2FAECB82" w14:textId="77777777" w:rsidR="007726E5" w:rsidRPr="0045129A" w:rsidRDefault="007726E5" w:rsidP="0041053A">
      <w:pPr>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 xml:space="preserve">»En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5FC1FB56" w14:textId="77777777" w:rsidR="007726E5" w:rsidRPr="0045129A" w:rsidRDefault="007726E5" w:rsidP="0041053A">
      <w:pPr>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»En los procesos adelantados en el SECOP I, las subsanaciones, explicaciones y aclaraciones se presentarán por cualquier medio: en físico, entre las horas de atención al público; o por correo electrónico hasta las 11:59 p. m. del día establecido en el cronograma. Los adelantados en el SECOP II se subsanarán por medio de mensajes, en la forma prevista en la plataforma.</w:t>
      </w:r>
    </w:p>
    <w:p w14:paraId="2FD40C87" w14:textId="77777777" w:rsidR="007726E5" w:rsidRPr="0045129A" w:rsidRDefault="007726E5" w:rsidP="0041053A">
      <w:pPr>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»Todos aquellos requisitos de la oferta que afecten la asignación de puntaje, incluyendo los necesarios para acreditar requisitos de desempate, no son subsanables, por lo que los mismos deben ser aportados por los proponentes desde la presentación de la oferta. No obstante, pueden ser aclarados o ser objeto de explicación.</w:t>
      </w:r>
    </w:p>
    <w:p w14:paraId="74F15B4D" w14:textId="77777777" w:rsidR="007726E5" w:rsidRPr="0045129A" w:rsidRDefault="007726E5" w:rsidP="0041053A">
      <w:pPr>
        <w:ind w:firstLine="708"/>
        <w:jc w:val="both"/>
        <w:rPr>
          <w:rFonts w:ascii="Arial" w:hAnsi="Arial" w:cs="Arial"/>
          <w:color w:val="000000" w:themeColor="text1"/>
          <w:sz w:val="19"/>
          <w:szCs w:val="19"/>
        </w:rPr>
      </w:pPr>
      <w:r w:rsidRPr="0045129A">
        <w:rPr>
          <w:rFonts w:ascii="Arial" w:hAnsi="Arial" w:cs="Arial"/>
          <w:color w:val="000000" w:themeColor="text1"/>
          <w:sz w:val="19"/>
          <w:szCs w:val="19"/>
        </w:rPr>
        <w:t>»En virtud del principio de buena fe, los proponentes que presenten observaciones al Proceso o a las ofertas y conductas de los demás oferentes deberán justificar y demostrar su procedencia y oportunidad».</w:t>
      </w:r>
    </w:p>
    <w:p w14:paraId="6A488504" w14:textId="77777777" w:rsidR="007726E5" w:rsidRPr="0045129A" w:rsidRDefault="007726E5" w:rsidP="0041053A">
      <w:pPr>
        <w:pStyle w:val="FootnoteText"/>
        <w:rPr>
          <w:rFonts w:ascii="Arial" w:hAnsi="Arial" w:cs="Arial"/>
          <w:color w:val="000000" w:themeColor="text1"/>
          <w:sz w:val="19"/>
          <w:szCs w:val="19"/>
          <w:lang w:val="es-CO"/>
        </w:rPr>
      </w:pPr>
    </w:p>
  </w:footnote>
  <w:footnote w:id="12">
    <w:p w14:paraId="5DF8B1FC" w14:textId="088E3EB6" w:rsidR="006B0546" w:rsidRPr="0047013F" w:rsidRDefault="006B0546" w:rsidP="0041053A">
      <w:pPr>
        <w:ind w:firstLine="709"/>
        <w:jc w:val="both"/>
        <w:rPr>
          <w:rFonts w:ascii="Arial" w:eastAsia="Calibri" w:hAnsi="Arial" w:cs="Arial"/>
          <w:color w:val="000000" w:themeColor="text1"/>
          <w:sz w:val="19"/>
          <w:szCs w:val="19"/>
          <w:lang w:val="es-ES_tradnl"/>
        </w:rPr>
      </w:pPr>
      <w:r w:rsidRPr="0045129A">
        <w:rPr>
          <w:rStyle w:val="FootnoteReference"/>
          <w:rFonts w:ascii="Arial" w:hAnsi="Arial" w:cs="Arial"/>
          <w:color w:val="000000" w:themeColor="text1"/>
          <w:sz w:val="19"/>
          <w:szCs w:val="19"/>
        </w:rPr>
        <w:footnoteRef/>
      </w:r>
      <w:r w:rsidRPr="0045129A">
        <w:rPr>
          <w:rFonts w:ascii="Arial" w:hAnsi="Arial" w:cs="Arial"/>
          <w:color w:val="000000" w:themeColor="text1"/>
          <w:sz w:val="19"/>
          <w:szCs w:val="19"/>
        </w:rPr>
        <w:t xml:space="preserve"> </w:t>
      </w:r>
      <w:r w:rsidR="00445BD3" w:rsidRPr="0045129A">
        <w:rPr>
          <w:rFonts w:ascii="Arial" w:hAnsi="Arial" w:cs="Arial"/>
          <w:color w:val="000000" w:themeColor="text1"/>
          <w:sz w:val="19"/>
          <w:szCs w:val="19"/>
        </w:rPr>
        <w:t>Sobre lo que constit</w:t>
      </w:r>
      <w:r w:rsidR="004D03FF" w:rsidRPr="0045129A">
        <w:rPr>
          <w:rFonts w:ascii="Arial" w:hAnsi="Arial" w:cs="Arial"/>
          <w:color w:val="000000" w:themeColor="text1"/>
          <w:sz w:val="19"/>
          <w:szCs w:val="19"/>
        </w:rPr>
        <w:t xml:space="preserve">uyen </w:t>
      </w:r>
      <w:r w:rsidR="004D03FF" w:rsidRPr="00F94819">
        <w:rPr>
          <w:rFonts w:ascii="Arial" w:eastAsia="Calibri" w:hAnsi="Arial" w:cs="Arial"/>
          <w:i/>
          <w:iCs/>
          <w:color w:val="000000" w:themeColor="text1"/>
          <w:sz w:val="19"/>
          <w:szCs w:val="19"/>
          <w:lang w:val="es-ES_tradnl"/>
        </w:rPr>
        <w:t>«circunstancias ocurridas con posterioridad al cierre del proceso»</w:t>
      </w:r>
      <w:r w:rsidR="004D03FF" w:rsidRPr="00706F63">
        <w:rPr>
          <w:rFonts w:ascii="Arial" w:eastAsia="Calibri" w:hAnsi="Arial" w:cs="Arial"/>
          <w:color w:val="000000" w:themeColor="text1"/>
          <w:sz w:val="19"/>
          <w:szCs w:val="19"/>
          <w:lang w:val="es-ES_tradnl"/>
        </w:rPr>
        <w:t xml:space="preserve"> se pronunció esta Agencia en el concepto CU-060 del </w:t>
      </w:r>
      <w:r w:rsidR="008066AC" w:rsidRPr="00706F63">
        <w:rPr>
          <w:rFonts w:ascii="Arial" w:eastAsia="Calibri" w:hAnsi="Arial" w:cs="Arial"/>
          <w:color w:val="000000" w:themeColor="text1"/>
          <w:sz w:val="19"/>
          <w:szCs w:val="19"/>
          <w:lang w:val="es-ES_tradnl"/>
        </w:rPr>
        <w:t xml:space="preserve">24 de febrero de 2020 en el siguiente sentido: </w:t>
      </w:r>
      <w:r w:rsidR="00445BD3" w:rsidRPr="0045129A">
        <w:rPr>
          <w:rFonts w:ascii="Arial" w:hAnsi="Arial" w:cs="Arial"/>
          <w:color w:val="000000" w:themeColor="text1"/>
          <w:sz w:val="19"/>
          <w:szCs w:val="19"/>
        </w:rPr>
        <w:t>«</w:t>
      </w:r>
      <w:r w:rsidRPr="00F94819">
        <w:rPr>
          <w:rFonts w:ascii="Arial" w:eastAsia="Calibri" w:hAnsi="Arial" w:cs="Arial"/>
          <w:color w:val="000000" w:themeColor="text1"/>
          <w:sz w:val="19"/>
          <w:szCs w:val="19"/>
          <w:lang w:val="es-ES_tradnl"/>
        </w:rPr>
        <w:t>De conformidad con el artículo 5 de la Ley 1882 de 2018, lo subsanable es la prueba de todas las circunstancias ocurridas antes del vencimiento del término</w:t>
      </w:r>
      <w:r w:rsidRPr="0047013F">
        <w:rPr>
          <w:rFonts w:ascii="Arial" w:eastAsia="Calibri" w:hAnsi="Arial" w:cs="Arial"/>
          <w:color w:val="000000" w:themeColor="text1"/>
          <w:sz w:val="19"/>
          <w:szCs w:val="19"/>
          <w:lang w:val="es-ES_tradnl"/>
        </w:rPr>
        <w:t xml:space="preserve">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28D0F52D" w14:textId="54088669" w:rsidR="006B0546" w:rsidRPr="0047013F" w:rsidRDefault="008066AC" w:rsidP="0041053A">
      <w:pPr>
        <w:ind w:firstLine="709"/>
        <w:jc w:val="both"/>
        <w:rPr>
          <w:rFonts w:ascii="Arial" w:eastAsia="Calibri" w:hAnsi="Arial" w:cs="Arial"/>
          <w:color w:val="000000" w:themeColor="text1"/>
          <w:sz w:val="19"/>
          <w:szCs w:val="19"/>
          <w:lang w:val="es-ES_tradnl"/>
        </w:rPr>
      </w:pPr>
      <w:r w:rsidRPr="0047013F">
        <w:rPr>
          <w:rFonts w:ascii="Arial" w:eastAsia="Calibri" w:hAnsi="Arial" w:cs="Arial"/>
          <w:color w:val="000000" w:themeColor="text1"/>
          <w:sz w:val="19"/>
          <w:szCs w:val="19"/>
          <w:lang w:val="es-ES_tradnl"/>
        </w:rPr>
        <w:t>»</w:t>
      </w:r>
      <w:r w:rsidR="006B0546" w:rsidRPr="0047013F">
        <w:rPr>
          <w:rFonts w:ascii="Arial" w:eastAsia="Calibri" w:hAnsi="Arial" w:cs="Arial"/>
          <w:color w:val="000000" w:themeColor="text1"/>
          <w:sz w:val="19"/>
          <w:szCs w:val="19"/>
          <w:lang w:val="es-ES_tradnl"/>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6D08FA4E" w14:textId="0DAFC4CE" w:rsidR="00445BD3" w:rsidRPr="0047013F" w:rsidRDefault="008066AC" w:rsidP="0041053A">
      <w:pPr>
        <w:ind w:firstLine="709"/>
        <w:jc w:val="both"/>
        <w:rPr>
          <w:rFonts w:ascii="Arial" w:eastAsia="Calibri" w:hAnsi="Arial" w:cs="Arial"/>
          <w:color w:val="000000" w:themeColor="text1"/>
          <w:sz w:val="19"/>
          <w:szCs w:val="19"/>
          <w:lang w:val="es-ES_tradnl"/>
        </w:rPr>
      </w:pPr>
      <w:r w:rsidRPr="0047013F">
        <w:rPr>
          <w:rFonts w:ascii="Arial" w:eastAsia="Calibri" w:hAnsi="Arial" w:cs="Arial"/>
          <w:color w:val="000000" w:themeColor="text1"/>
          <w:sz w:val="19"/>
          <w:szCs w:val="19"/>
          <w:lang w:val="es-ES_tradnl"/>
        </w:rPr>
        <w:t>»</w:t>
      </w:r>
      <w:r w:rsidR="00445BD3" w:rsidRPr="0047013F">
        <w:rPr>
          <w:rFonts w:ascii="Arial" w:eastAsia="Calibri" w:hAnsi="Arial" w:cs="Arial"/>
          <w:color w:val="000000" w:themeColor="text1"/>
          <w:sz w:val="19"/>
          <w:szCs w:val="19"/>
          <w:lang w:val="es-ES_tradnl"/>
        </w:rPr>
        <w:t>[…]</w:t>
      </w:r>
    </w:p>
    <w:p w14:paraId="5D9E4DF5" w14:textId="2B1DC9C3" w:rsidR="006B0546" w:rsidRPr="0047013F" w:rsidRDefault="008066AC" w:rsidP="0041053A">
      <w:pPr>
        <w:ind w:firstLine="709"/>
        <w:jc w:val="both"/>
        <w:rPr>
          <w:rFonts w:ascii="Arial" w:eastAsia="Calibri" w:hAnsi="Arial" w:cs="Arial"/>
          <w:color w:val="000000" w:themeColor="text1"/>
          <w:sz w:val="19"/>
          <w:szCs w:val="19"/>
          <w:lang w:val="es-ES_tradnl"/>
        </w:rPr>
      </w:pPr>
      <w:r w:rsidRPr="0047013F">
        <w:rPr>
          <w:rFonts w:ascii="Arial" w:eastAsia="Calibri" w:hAnsi="Arial" w:cs="Arial"/>
          <w:color w:val="000000" w:themeColor="text1"/>
          <w:sz w:val="19"/>
          <w:szCs w:val="19"/>
          <w:lang w:val="es-ES_tradnl"/>
        </w:rPr>
        <w:t>»</w:t>
      </w:r>
      <w:r w:rsidR="006B0546" w:rsidRPr="0047013F">
        <w:rPr>
          <w:rFonts w:ascii="Arial" w:eastAsia="Calibri" w:hAnsi="Arial" w:cs="Arial"/>
          <w:color w:val="000000" w:themeColor="text1"/>
          <w:sz w:val="19"/>
          <w:szCs w:val="19"/>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1D21A4D2" w14:textId="30D1F6C9" w:rsidR="006B0546" w:rsidRPr="0047013F" w:rsidRDefault="008066AC" w:rsidP="0041053A">
      <w:pPr>
        <w:ind w:firstLine="709"/>
        <w:jc w:val="both"/>
        <w:rPr>
          <w:rFonts w:ascii="Arial" w:eastAsia="Calibri" w:hAnsi="Arial" w:cs="Arial"/>
          <w:color w:val="000000" w:themeColor="text1"/>
          <w:sz w:val="19"/>
          <w:szCs w:val="19"/>
          <w:lang w:val="es-ES_tradnl"/>
        </w:rPr>
      </w:pPr>
      <w:r w:rsidRPr="0047013F">
        <w:rPr>
          <w:rFonts w:ascii="Arial" w:eastAsia="Calibri" w:hAnsi="Arial" w:cs="Arial"/>
          <w:color w:val="000000" w:themeColor="text1"/>
          <w:sz w:val="19"/>
          <w:szCs w:val="19"/>
          <w:lang w:val="es-ES_tradnl"/>
        </w:rPr>
        <w:t>»</w:t>
      </w:r>
      <w:r w:rsidR="006B0546" w:rsidRPr="0047013F">
        <w:rPr>
          <w:rFonts w:ascii="Arial" w:eastAsia="Calibri" w:hAnsi="Arial" w:cs="Arial"/>
          <w:color w:val="000000" w:themeColor="text1"/>
          <w:sz w:val="19"/>
          <w:szCs w:val="19"/>
          <w:lang w:val="es-ES_tradnl"/>
        </w:rPr>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6B0546" w:rsidRPr="00F94819">
        <w:rPr>
          <w:rFonts w:ascii="Arial" w:eastAsia="Calibri" w:hAnsi="Arial" w:cs="Arial"/>
          <w:color w:val="000000" w:themeColor="text1"/>
          <w:sz w:val="19"/>
          <w:szCs w:val="19"/>
          <w:vertAlign w:val="superscript"/>
          <w:lang w:val="es-ES_tradnl"/>
        </w:rPr>
        <w:footnoteRef/>
      </w:r>
      <w:r w:rsidR="006B0546" w:rsidRPr="00F94819">
        <w:rPr>
          <w:rFonts w:ascii="Arial" w:eastAsia="Calibri" w:hAnsi="Arial" w:cs="Arial"/>
          <w:color w:val="000000" w:themeColor="text1"/>
          <w:sz w:val="19"/>
          <w:szCs w:val="19"/>
          <w:lang w:val="es-ES_tradnl"/>
        </w:rPr>
        <w:t>. En tal sentido, esta Subdirección, en concepto emitido en respuesta a la Consulta 4201912000007418 del 30 de octubre de 2019,</w:t>
      </w:r>
      <w:r w:rsidR="006B0546" w:rsidRPr="0047013F">
        <w:rPr>
          <w:rFonts w:ascii="Arial" w:eastAsia="Calibri" w:hAnsi="Arial" w:cs="Arial"/>
          <w:color w:val="000000" w:themeColor="text1"/>
          <w:sz w:val="19"/>
          <w:szCs w:val="19"/>
          <w:lang w:val="es-ES_tradnl"/>
        </w:rPr>
        <w:t xml:space="preserve">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r w:rsidR="00445BD3" w:rsidRPr="0047013F">
        <w:rPr>
          <w:rFonts w:ascii="Arial" w:eastAsia="Calibri" w:hAnsi="Arial" w:cs="Arial"/>
          <w:color w:val="000000" w:themeColor="text1"/>
          <w:sz w:val="19"/>
          <w:szCs w:val="19"/>
          <w:lang w:val="es-ES_tradnl"/>
        </w:rPr>
        <w:t>»</w:t>
      </w:r>
      <w:r w:rsidR="006B0546" w:rsidRPr="0047013F">
        <w:rPr>
          <w:rFonts w:ascii="Arial" w:eastAsia="Calibri" w:hAnsi="Arial" w:cs="Arial"/>
          <w:color w:val="000000" w:themeColor="text1"/>
          <w:sz w:val="19"/>
          <w:szCs w:val="19"/>
          <w:lang w:val="es-ES_tradnl"/>
        </w:rPr>
        <w:t>.</w:t>
      </w:r>
    </w:p>
    <w:p w14:paraId="791B8927" w14:textId="2EBCC696" w:rsidR="006B0546" w:rsidRPr="0045129A" w:rsidRDefault="006B0546" w:rsidP="0041053A">
      <w:pPr>
        <w:pStyle w:val="FootnoteText"/>
        <w:rPr>
          <w:rFonts w:ascii="Arial" w:hAnsi="Arial" w:cs="Arial"/>
          <w:color w:val="000000" w:themeColor="text1"/>
          <w:sz w:val="19"/>
          <w:szCs w:val="19"/>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A4CCA"/>
    <w:multiLevelType w:val="hybridMultilevel"/>
    <w:tmpl w:val="04DAA176"/>
    <w:lvl w:ilvl="0" w:tplc="0812D6FC">
      <w:start w:val="5"/>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E0E7276"/>
    <w:multiLevelType w:val="hybridMultilevel"/>
    <w:tmpl w:val="F77868D2"/>
    <w:lvl w:ilvl="0" w:tplc="8A2C245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C6E6B30"/>
    <w:multiLevelType w:val="hybridMultilevel"/>
    <w:tmpl w:val="E9E0D7CA"/>
    <w:lvl w:ilvl="0" w:tplc="4E06D5E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D5529E0"/>
    <w:multiLevelType w:val="multilevel"/>
    <w:tmpl w:val="22A6AAD4"/>
    <w:lvl w:ilvl="0">
      <w:start w:val="2"/>
      <w:numFmt w:val="decimal"/>
      <w:lvlText w:val="%1."/>
      <w:lvlJc w:val="left"/>
      <w:pPr>
        <w:ind w:left="435" w:hanging="435"/>
      </w:pPr>
      <w:rPr>
        <w:rFonts w:hint="default"/>
        <w:b/>
      </w:rPr>
    </w:lvl>
    <w:lvl w:ilvl="1">
      <w:start w:val="70"/>
      <w:numFmt w:val="decimal"/>
      <w:lvlText w:val="%1.%2."/>
      <w:lvlJc w:val="left"/>
      <w:pPr>
        <w:ind w:left="1221" w:hanging="435"/>
      </w:pPr>
      <w:rPr>
        <w:rFonts w:hint="default"/>
        <w:b w:val="0"/>
        <w:bCs/>
        <w:i w:val="0"/>
        <w:iCs w:val="0"/>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5796" w:hanging="108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7728" w:hanging="1440"/>
      </w:pPr>
      <w:rPr>
        <w:rFonts w:hint="default"/>
        <w:b/>
      </w:rPr>
    </w:lvl>
  </w:abstractNum>
  <w:abstractNum w:abstractNumId="5"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CF3233"/>
    <w:multiLevelType w:val="hybridMultilevel"/>
    <w:tmpl w:val="1CAC5526"/>
    <w:lvl w:ilvl="0" w:tplc="D4D80F94">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8"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884C7C"/>
    <w:multiLevelType w:val="hybridMultilevel"/>
    <w:tmpl w:val="01CA07C6"/>
    <w:lvl w:ilvl="0" w:tplc="8498590E">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10" w15:restartNumberingAfterBreak="0">
    <w:nsid w:val="6E61470F"/>
    <w:multiLevelType w:val="hybridMultilevel"/>
    <w:tmpl w:val="A8D2EF3A"/>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E013AD6"/>
    <w:multiLevelType w:val="hybridMultilevel"/>
    <w:tmpl w:val="0C8A5A40"/>
    <w:lvl w:ilvl="0" w:tplc="064E3E22">
      <w:start w:val="1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1"/>
  </w:num>
  <w:num w:numId="6">
    <w:abstractNumId w:val="10"/>
  </w:num>
  <w:num w:numId="7">
    <w:abstractNumId w:val="2"/>
  </w:num>
  <w:num w:numId="8">
    <w:abstractNumId w:val="9"/>
  </w:num>
  <w:num w:numId="9">
    <w:abstractNumId w:val="7"/>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48"/>
    <w:rsid w:val="00000215"/>
    <w:rsid w:val="00000763"/>
    <w:rsid w:val="0000081D"/>
    <w:rsid w:val="00002FC6"/>
    <w:rsid w:val="00006637"/>
    <w:rsid w:val="00011D84"/>
    <w:rsid w:val="000127CE"/>
    <w:rsid w:val="00012A57"/>
    <w:rsid w:val="00014A40"/>
    <w:rsid w:val="00020023"/>
    <w:rsid w:val="00022230"/>
    <w:rsid w:val="000224DA"/>
    <w:rsid w:val="0002268A"/>
    <w:rsid w:val="00025B83"/>
    <w:rsid w:val="00026814"/>
    <w:rsid w:val="00026955"/>
    <w:rsid w:val="000270F3"/>
    <w:rsid w:val="00032557"/>
    <w:rsid w:val="00033E56"/>
    <w:rsid w:val="00036F15"/>
    <w:rsid w:val="000410F2"/>
    <w:rsid w:val="00042F47"/>
    <w:rsid w:val="000431F1"/>
    <w:rsid w:val="00044ACD"/>
    <w:rsid w:val="00045034"/>
    <w:rsid w:val="000458A6"/>
    <w:rsid w:val="00046A76"/>
    <w:rsid w:val="00047028"/>
    <w:rsid w:val="000503AA"/>
    <w:rsid w:val="00052F79"/>
    <w:rsid w:val="000530F6"/>
    <w:rsid w:val="00055F5C"/>
    <w:rsid w:val="000565F6"/>
    <w:rsid w:val="000576B2"/>
    <w:rsid w:val="00060244"/>
    <w:rsid w:val="000747D8"/>
    <w:rsid w:val="000767C8"/>
    <w:rsid w:val="0007686B"/>
    <w:rsid w:val="00081F6E"/>
    <w:rsid w:val="00082780"/>
    <w:rsid w:val="00085EB2"/>
    <w:rsid w:val="000866CE"/>
    <w:rsid w:val="00086BBE"/>
    <w:rsid w:val="00090B39"/>
    <w:rsid w:val="0009174B"/>
    <w:rsid w:val="0009323D"/>
    <w:rsid w:val="00097123"/>
    <w:rsid w:val="000A2893"/>
    <w:rsid w:val="000A328D"/>
    <w:rsid w:val="000A4EEA"/>
    <w:rsid w:val="000A52B1"/>
    <w:rsid w:val="000A55B7"/>
    <w:rsid w:val="000A62CA"/>
    <w:rsid w:val="000A66C8"/>
    <w:rsid w:val="000B6073"/>
    <w:rsid w:val="000B65BC"/>
    <w:rsid w:val="000C043E"/>
    <w:rsid w:val="000C4A5C"/>
    <w:rsid w:val="000C4D06"/>
    <w:rsid w:val="000C5695"/>
    <w:rsid w:val="000D0EC1"/>
    <w:rsid w:val="000D39F0"/>
    <w:rsid w:val="000D4449"/>
    <w:rsid w:val="000D6CAB"/>
    <w:rsid w:val="000E1286"/>
    <w:rsid w:val="000E1797"/>
    <w:rsid w:val="000E3A95"/>
    <w:rsid w:val="000E3E20"/>
    <w:rsid w:val="000E4924"/>
    <w:rsid w:val="000E51DD"/>
    <w:rsid w:val="000E5798"/>
    <w:rsid w:val="000E5886"/>
    <w:rsid w:val="000F01F1"/>
    <w:rsid w:val="000F2151"/>
    <w:rsid w:val="000F27BD"/>
    <w:rsid w:val="000F29FC"/>
    <w:rsid w:val="000F3CBC"/>
    <w:rsid w:val="000F4487"/>
    <w:rsid w:val="000F4643"/>
    <w:rsid w:val="000F4BFE"/>
    <w:rsid w:val="000F5854"/>
    <w:rsid w:val="000F5C45"/>
    <w:rsid w:val="000F6CC2"/>
    <w:rsid w:val="000F7CA0"/>
    <w:rsid w:val="001049F0"/>
    <w:rsid w:val="0011000B"/>
    <w:rsid w:val="00112645"/>
    <w:rsid w:val="001140ED"/>
    <w:rsid w:val="00114C4D"/>
    <w:rsid w:val="00120E3E"/>
    <w:rsid w:val="001232A6"/>
    <w:rsid w:val="00123708"/>
    <w:rsid w:val="001244C5"/>
    <w:rsid w:val="0012471D"/>
    <w:rsid w:val="0012477B"/>
    <w:rsid w:val="00125377"/>
    <w:rsid w:val="00125D2A"/>
    <w:rsid w:val="00126570"/>
    <w:rsid w:val="00142F3E"/>
    <w:rsid w:val="0014664B"/>
    <w:rsid w:val="00146996"/>
    <w:rsid w:val="00147606"/>
    <w:rsid w:val="00150F53"/>
    <w:rsid w:val="00152640"/>
    <w:rsid w:val="001527BD"/>
    <w:rsid w:val="00155917"/>
    <w:rsid w:val="00156BD3"/>
    <w:rsid w:val="0015721C"/>
    <w:rsid w:val="001605D3"/>
    <w:rsid w:val="00161B65"/>
    <w:rsid w:val="001644DA"/>
    <w:rsid w:val="0016628A"/>
    <w:rsid w:val="00170C2F"/>
    <w:rsid w:val="00171A04"/>
    <w:rsid w:val="00173D24"/>
    <w:rsid w:val="0017608E"/>
    <w:rsid w:val="00176214"/>
    <w:rsid w:val="001776A5"/>
    <w:rsid w:val="00185346"/>
    <w:rsid w:val="00186971"/>
    <w:rsid w:val="00190243"/>
    <w:rsid w:val="00190407"/>
    <w:rsid w:val="0019072B"/>
    <w:rsid w:val="0019150A"/>
    <w:rsid w:val="001927C2"/>
    <w:rsid w:val="00192BF7"/>
    <w:rsid w:val="00193678"/>
    <w:rsid w:val="0019554C"/>
    <w:rsid w:val="00196E72"/>
    <w:rsid w:val="001A170A"/>
    <w:rsid w:val="001A1F6B"/>
    <w:rsid w:val="001A3C41"/>
    <w:rsid w:val="001A48CC"/>
    <w:rsid w:val="001A5E8A"/>
    <w:rsid w:val="001A6C92"/>
    <w:rsid w:val="001B1DE6"/>
    <w:rsid w:val="001B40E3"/>
    <w:rsid w:val="001B5378"/>
    <w:rsid w:val="001B73CF"/>
    <w:rsid w:val="001C0567"/>
    <w:rsid w:val="001C2CD8"/>
    <w:rsid w:val="001C3648"/>
    <w:rsid w:val="001C3668"/>
    <w:rsid w:val="001C6D47"/>
    <w:rsid w:val="001D1139"/>
    <w:rsid w:val="001D3A49"/>
    <w:rsid w:val="001D4DB6"/>
    <w:rsid w:val="001D5B2E"/>
    <w:rsid w:val="001D60ED"/>
    <w:rsid w:val="001E2CCC"/>
    <w:rsid w:val="001E39C4"/>
    <w:rsid w:val="001E46D6"/>
    <w:rsid w:val="001E4979"/>
    <w:rsid w:val="001E5FE7"/>
    <w:rsid w:val="001E7411"/>
    <w:rsid w:val="001F0B25"/>
    <w:rsid w:val="001F219A"/>
    <w:rsid w:val="001F48CC"/>
    <w:rsid w:val="001F6081"/>
    <w:rsid w:val="001F6929"/>
    <w:rsid w:val="001F7285"/>
    <w:rsid w:val="00200FE1"/>
    <w:rsid w:val="00201616"/>
    <w:rsid w:val="00201875"/>
    <w:rsid w:val="0020200F"/>
    <w:rsid w:val="00205369"/>
    <w:rsid w:val="002103E2"/>
    <w:rsid w:val="00210809"/>
    <w:rsid w:val="00214F1F"/>
    <w:rsid w:val="002159DA"/>
    <w:rsid w:val="00216748"/>
    <w:rsid w:val="002209C5"/>
    <w:rsid w:val="00222D8B"/>
    <w:rsid w:val="00227078"/>
    <w:rsid w:val="00232642"/>
    <w:rsid w:val="00232A00"/>
    <w:rsid w:val="002351EC"/>
    <w:rsid w:val="0023617A"/>
    <w:rsid w:val="00241A76"/>
    <w:rsid w:val="00244BCF"/>
    <w:rsid w:val="00245B0C"/>
    <w:rsid w:val="00246C58"/>
    <w:rsid w:val="00247D0A"/>
    <w:rsid w:val="0025131E"/>
    <w:rsid w:val="0025162F"/>
    <w:rsid w:val="002521A9"/>
    <w:rsid w:val="002522D8"/>
    <w:rsid w:val="0025609A"/>
    <w:rsid w:val="0025697D"/>
    <w:rsid w:val="00261759"/>
    <w:rsid w:val="00265D8F"/>
    <w:rsid w:val="00265EC2"/>
    <w:rsid w:val="002666FA"/>
    <w:rsid w:val="00267F2A"/>
    <w:rsid w:val="0027380E"/>
    <w:rsid w:val="0027694C"/>
    <w:rsid w:val="00276E01"/>
    <w:rsid w:val="00277002"/>
    <w:rsid w:val="00280938"/>
    <w:rsid w:val="0028129E"/>
    <w:rsid w:val="002860AF"/>
    <w:rsid w:val="002861D8"/>
    <w:rsid w:val="00292604"/>
    <w:rsid w:val="00296B10"/>
    <w:rsid w:val="00297782"/>
    <w:rsid w:val="00297846"/>
    <w:rsid w:val="002A0D9B"/>
    <w:rsid w:val="002A2DFC"/>
    <w:rsid w:val="002A2F32"/>
    <w:rsid w:val="002B08B6"/>
    <w:rsid w:val="002B2022"/>
    <w:rsid w:val="002B325B"/>
    <w:rsid w:val="002B6BBE"/>
    <w:rsid w:val="002B7A08"/>
    <w:rsid w:val="002B7C10"/>
    <w:rsid w:val="002C0CC9"/>
    <w:rsid w:val="002C12DF"/>
    <w:rsid w:val="002C22C4"/>
    <w:rsid w:val="002C34EF"/>
    <w:rsid w:val="002C3632"/>
    <w:rsid w:val="002C7D94"/>
    <w:rsid w:val="002D3318"/>
    <w:rsid w:val="002D5B02"/>
    <w:rsid w:val="002D75D8"/>
    <w:rsid w:val="002E01CD"/>
    <w:rsid w:val="002E1130"/>
    <w:rsid w:val="002E2051"/>
    <w:rsid w:val="002E46F4"/>
    <w:rsid w:val="002E5161"/>
    <w:rsid w:val="002E5716"/>
    <w:rsid w:val="002E60E0"/>
    <w:rsid w:val="002F2C29"/>
    <w:rsid w:val="002F4571"/>
    <w:rsid w:val="002F5B8B"/>
    <w:rsid w:val="002F6640"/>
    <w:rsid w:val="003025AD"/>
    <w:rsid w:val="00303C89"/>
    <w:rsid w:val="00304A37"/>
    <w:rsid w:val="00307EE3"/>
    <w:rsid w:val="00310C7B"/>
    <w:rsid w:val="003143C1"/>
    <w:rsid w:val="003149A2"/>
    <w:rsid w:val="003151A7"/>
    <w:rsid w:val="0031525B"/>
    <w:rsid w:val="00316C70"/>
    <w:rsid w:val="00317145"/>
    <w:rsid w:val="00317FE1"/>
    <w:rsid w:val="00323682"/>
    <w:rsid w:val="00323E02"/>
    <w:rsid w:val="0032443C"/>
    <w:rsid w:val="00324B19"/>
    <w:rsid w:val="003255C9"/>
    <w:rsid w:val="00327DA2"/>
    <w:rsid w:val="003317F1"/>
    <w:rsid w:val="00333613"/>
    <w:rsid w:val="00335DF9"/>
    <w:rsid w:val="0034229B"/>
    <w:rsid w:val="00342544"/>
    <w:rsid w:val="0034287A"/>
    <w:rsid w:val="00345D94"/>
    <w:rsid w:val="00345F3B"/>
    <w:rsid w:val="003473CF"/>
    <w:rsid w:val="00347F01"/>
    <w:rsid w:val="0035229F"/>
    <w:rsid w:val="00353683"/>
    <w:rsid w:val="003576A9"/>
    <w:rsid w:val="003603B2"/>
    <w:rsid w:val="003636D5"/>
    <w:rsid w:val="0036472F"/>
    <w:rsid w:val="003660B5"/>
    <w:rsid w:val="00366492"/>
    <w:rsid w:val="0037142C"/>
    <w:rsid w:val="003716D7"/>
    <w:rsid w:val="00371D41"/>
    <w:rsid w:val="0038089B"/>
    <w:rsid w:val="00380F36"/>
    <w:rsid w:val="003817BF"/>
    <w:rsid w:val="0038503A"/>
    <w:rsid w:val="00387394"/>
    <w:rsid w:val="003876F0"/>
    <w:rsid w:val="00387A0E"/>
    <w:rsid w:val="00393348"/>
    <w:rsid w:val="003A4FFE"/>
    <w:rsid w:val="003A5B9B"/>
    <w:rsid w:val="003A65D2"/>
    <w:rsid w:val="003B2F11"/>
    <w:rsid w:val="003B3A6C"/>
    <w:rsid w:val="003B6BBE"/>
    <w:rsid w:val="003C260C"/>
    <w:rsid w:val="003C4EF1"/>
    <w:rsid w:val="003C549C"/>
    <w:rsid w:val="003C6B98"/>
    <w:rsid w:val="003C7269"/>
    <w:rsid w:val="003D389E"/>
    <w:rsid w:val="003D5429"/>
    <w:rsid w:val="003D77AA"/>
    <w:rsid w:val="003D780D"/>
    <w:rsid w:val="003E0052"/>
    <w:rsid w:val="003E07E4"/>
    <w:rsid w:val="003E12DF"/>
    <w:rsid w:val="003E148B"/>
    <w:rsid w:val="003E66AB"/>
    <w:rsid w:val="003E6C00"/>
    <w:rsid w:val="003F1C1F"/>
    <w:rsid w:val="003F55B8"/>
    <w:rsid w:val="003F5935"/>
    <w:rsid w:val="003F753E"/>
    <w:rsid w:val="00401026"/>
    <w:rsid w:val="0040149B"/>
    <w:rsid w:val="00403977"/>
    <w:rsid w:val="00404EB3"/>
    <w:rsid w:val="004072CC"/>
    <w:rsid w:val="004103D2"/>
    <w:rsid w:val="0041053A"/>
    <w:rsid w:val="00410548"/>
    <w:rsid w:val="00415CA0"/>
    <w:rsid w:val="00416B9D"/>
    <w:rsid w:val="00417322"/>
    <w:rsid w:val="00420CE1"/>
    <w:rsid w:val="004220A8"/>
    <w:rsid w:val="00422495"/>
    <w:rsid w:val="00432F59"/>
    <w:rsid w:val="0043370E"/>
    <w:rsid w:val="00435ECD"/>
    <w:rsid w:val="00440C5D"/>
    <w:rsid w:val="00441348"/>
    <w:rsid w:val="0044215A"/>
    <w:rsid w:val="00442271"/>
    <w:rsid w:val="00445BD3"/>
    <w:rsid w:val="00445EA7"/>
    <w:rsid w:val="00451183"/>
    <w:rsid w:val="0045129A"/>
    <w:rsid w:val="00451A10"/>
    <w:rsid w:val="00453B02"/>
    <w:rsid w:val="004549A2"/>
    <w:rsid w:val="004549E4"/>
    <w:rsid w:val="00454D8E"/>
    <w:rsid w:val="0045551B"/>
    <w:rsid w:val="00455DD2"/>
    <w:rsid w:val="00456A93"/>
    <w:rsid w:val="004609C3"/>
    <w:rsid w:val="004626D4"/>
    <w:rsid w:val="004662AB"/>
    <w:rsid w:val="004666A0"/>
    <w:rsid w:val="00466922"/>
    <w:rsid w:val="00467260"/>
    <w:rsid w:val="0047013F"/>
    <w:rsid w:val="004731A1"/>
    <w:rsid w:val="004742A9"/>
    <w:rsid w:val="00474A2F"/>
    <w:rsid w:val="00474C32"/>
    <w:rsid w:val="00476762"/>
    <w:rsid w:val="00476AC7"/>
    <w:rsid w:val="004807D6"/>
    <w:rsid w:val="00481E49"/>
    <w:rsid w:val="00484A5C"/>
    <w:rsid w:val="00486222"/>
    <w:rsid w:val="00486942"/>
    <w:rsid w:val="00487E09"/>
    <w:rsid w:val="0049047E"/>
    <w:rsid w:val="00491724"/>
    <w:rsid w:val="00493AAD"/>
    <w:rsid w:val="00494267"/>
    <w:rsid w:val="004A16F6"/>
    <w:rsid w:val="004A70F0"/>
    <w:rsid w:val="004A7260"/>
    <w:rsid w:val="004B0B56"/>
    <w:rsid w:val="004B1599"/>
    <w:rsid w:val="004B2CD0"/>
    <w:rsid w:val="004B49DA"/>
    <w:rsid w:val="004B5419"/>
    <w:rsid w:val="004B76EA"/>
    <w:rsid w:val="004C101A"/>
    <w:rsid w:val="004C1BEC"/>
    <w:rsid w:val="004C27ED"/>
    <w:rsid w:val="004D03FF"/>
    <w:rsid w:val="004D1E82"/>
    <w:rsid w:val="004D5483"/>
    <w:rsid w:val="004D5C61"/>
    <w:rsid w:val="004E2C8B"/>
    <w:rsid w:val="004E2D43"/>
    <w:rsid w:val="004E3492"/>
    <w:rsid w:val="004E5034"/>
    <w:rsid w:val="004E6DE6"/>
    <w:rsid w:val="004E6F3B"/>
    <w:rsid w:val="004F0943"/>
    <w:rsid w:val="004F09A2"/>
    <w:rsid w:val="004F1520"/>
    <w:rsid w:val="004F2AEC"/>
    <w:rsid w:val="004F68B7"/>
    <w:rsid w:val="004F6B17"/>
    <w:rsid w:val="004F7C93"/>
    <w:rsid w:val="00504511"/>
    <w:rsid w:val="00504959"/>
    <w:rsid w:val="00505D1D"/>
    <w:rsid w:val="005121A5"/>
    <w:rsid w:val="005152A5"/>
    <w:rsid w:val="0052117A"/>
    <w:rsid w:val="0052416F"/>
    <w:rsid w:val="005268E0"/>
    <w:rsid w:val="00531152"/>
    <w:rsid w:val="00535798"/>
    <w:rsid w:val="00535E57"/>
    <w:rsid w:val="00537702"/>
    <w:rsid w:val="00537CE7"/>
    <w:rsid w:val="00540859"/>
    <w:rsid w:val="00543859"/>
    <w:rsid w:val="00544CA9"/>
    <w:rsid w:val="00552161"/>
    <w:rsid w:val="005525C8"/>
    <w:rsid w:val="00552C13"/>
    <w:rsid w:val="00557E40"/>
    <w:rsid w:val="0056315E"/>
    <w:rsid w:val="00563AE3"/>
    <w:rsid w:val="00564CA8"/>
    <w:rsid w:val="00564DF9"/>
    <w:rsid w:val="00570E65"/>
    <w:rsid w:val="00572753"/>
    <w:rsid w:val="00572AC3"/>
    <w:rsid w:val="005736C0"/>
    <w:rsid w:val="00573F58"/>
    <w:rsid w:val="005747A8"/>
    <w:rsid w:val="00575C88"/>
    <w:rsid w:val="00577989"/>
    <w:rsid w:val="005916EB"/>
    <w:rsid w:val="0059265C"/>
    <w:rsid w:val="00592931"/>
    <w:rsid w:val="005934A5"/>
    <w:rsid w:val="00594D23"/>
    <w:rsid w:val="00596A86"/>
    <w:rsid w:val="00596D18"/>
    <w:rsid w:val="005A03BA"/>
    <w:rsid w:val="005A095C"/>
    <w:rsid w:val="005A145F"/>
    <w:rsid w:val="005A1B4C"/>
    <w:rsid w:val="005A22D0"/>
    <w:rsid w:val="005A737F"/>
    <w:rsid w:val="005B024B"/>
    <w:rsid w:val="005B0E00"/>
    <w:rsid w:val="005B3CFC"/>
    <w:rsid w:val="005B4625"/>
    <w:rsid w:val="005B4A56"/>
    <w:rsid w:val="005C056B"/>
    <w:rsid w:val="005C1582"/>
    <w:rsid w:val="005C2E15"/>
    <w:rsid w:val="005C3176"/>
    <w:rsid w:val="005C448E"/>
    <w:rsid w:val="005C4677"/>
    <w:rsid w:val="005C565D"/>
    <w:rsid w:val="005C78CC"/>
    <w:rsid w:val="005D0099"/>
    <w:rsid w:val="005D170F"/>
    <w:rsid w:val="005D17F4"/>
    <w:rsid w:val="005D2581"/>
    <w:rsid w:val="005D30CF"/>
    <w:rsid w:val="005D44D8"/>
    <w:rsid w:val="005D4987"/>
    <w:rsid w:val="005D5320"/>
    <w:rsid w:val="005D62AD"/>
    <w:rsid w:val="005E21F0"/>
    <w:rsid w:val="005E2316"/>
    <w:rsid w:val="005E28EA"/>
    <w:rsid w:val="005E409D"/>
    <w:rsid w:val="005E42EB"/>
    <w:rsid w:val="005E4F05"/>
    <w:rsid w:val="005F2089"/>
    <w:rsid w:val="005F2B43"/>
    <w:rsid w:val="005F43FA"/>
    <w:rsid w:val="005F581E"/>
    <w:rsid w:val="005F63D8"/>
    <w:rsid w:val="005F6FF4"/>
    <w:rsid w:val="005F7C07"/>
    <w:rsid w:val="00602A56"/>
    <w:rsid w:val="0060378F"/>
    <w:rsid w:val="00605ABE"/>
    <w:rsid w:val="00611BBF"/>
    <w:rsid w:val="006220D3"/>
    <w:rsid w:val="00630EF3"/>
    <w:rsid w:val="006329C3"/>
    <w:rsid w:val="0063642E"/>
    <w:rsid w:val="00640819"/>
    <w:rsid w:val="0064176D"/>
    <w:rsid w:val="0064206D"/>
    <w:rsid w:val="0064349A"/>
    <w:rsid w:val="00651D06"/>
    <w:rsid w:val="00651D6B"/>
    <w:rsid w:val="00653E73"/>
    <w:rsid w:val="0065623E"/>
    <w:rsid w:val="00661BDB"/>
    <w:rsid w:val="00661BE0"/>
    <w:rsid w:val="0066398A"/>
    <w:rsid w:val="0066563F"/>
    <w:rsid w:val="006669E9"/>
    <w:rsid w:val="00666E21"/>
    <w:rsid w:val="0067093D"/>
    <w:rsid w:val="00670E88"/>
    <w:rsid w:val="00671553"/>
    <w:rsid w:val="006734BE"/>
    <w:rsid w:val="0067355F"/>
    <w:rsid w:val="00674BA8"/>
    <w:rsid w:val="006760B1"/>
    <w:rsid w:val="00676E41"/>
    <w:rsid w:val="006778B9"/>
    <w:rsid w:val="00677E27"/>
    <w:rsid w:val="00677FC3"/>
    <w:rsid w:val="006820CD"/>
    <w:rsid w:val="00686EC9"/>
    <w:rsid w:val="00687BA9"/>
    <w:rsid w:val="00687EAF"/>
    <w:rsid w:val="00692A58"/>
    <w:rsid w:val="0069334F"/>
    <w:rsid w:val="00695648"/>
    <w:rsid w:val="00695738"/>
    <w:rsid w:val="0069615A"/>
    <w:rsid w:val="006972F8"/>
    <w:rsid w:val="006A1DC7"/>
    <w:rsid w:val="006A375B"/>
    <w:rsid w:val="006A5150"/>
    <w:rsid w:val="006B0546"/>
    <w:rsid w:val="006B2049"/>
    <w:rsid w:val="006B4707"/>
    <w:rsid w:val="006B59B8"/>
    <w:rsid w:val="006B5AE8"/>
    <w:rsid w:val="006C061A"/>
    <w:rsid w:val="006C1CA2"/>
    <w:rsid w:val="006C619E"/>
    <w:rsid w:val="006C628B"/>
    <w:rsid w:val="006C6346"/>
    <w:rsid w:val="006D0DD7"/>
    <w:rsid w:val="006D208D"/>
    <w:rsid w:val="006D3FD6"/>
    <w:rsid w:val="006E08C6"/>
    <w:rsid w:val="006E090B"/>
    <w:rsid w:val="006E366F"/>
    <w:rsid w:val="006E4915"/>
    <w:rsid w:val="006E5DF1"/>
    <w:rsid w:val="006E61EF"/>
    <w:rsid w:val="006E626A"/>
    <w:rsid w:val="006F24BC"/>
    <w:rsid w:val="006F7E0A"/>
    <w:rsid w:val="007001EC"/>
    <w:rsid w:val="00702786"/>
    <w:rsid w:val="00704D8B"/>
    <w:rsid w:val="00705038"/>
    <w:rsid w:val="00705960"/>
    <w:rsid w:val="0070664D"/>
    <w:rsid w:val="00706F63"/>
    <w:rsid w:val="00707C02"/>
    <w:rsid w:val="00713339"/>
    <w:rsid w:val="00715810"/>
    <w:rsid w:val="00715FD6"/>
    <w:rsid w:val="00716AFE"/>
    <w:rsid w:val="00720C76"/>
    <w:rsid w:val="007241ED"/>
    <w:rsid w:val="007265F3"/>
    <w:rsid w:val="00727063"/>
    <w:rsid w:val="00730CFE"/>
    <w:rsid w:val="00734F96"/>
    <w:rsid w:val="00737718"/>
    <w:rsid w:val="00742CD5"/>
    <w:rsid w:val="007463CD"/>
    <w:rsid w:val="007466FD"/>
    <w:rsid w:val="00746719"/>
    <w:rsid w:val="00750F05"/>
    <w:rsid w:val="00751141"/>
    <w:rsid w:val="007530D2"/>
    <w:rsid w:val="00754A0D"/>
    <w:rsid w:val="00755F0C"/>
    <w:rsid w:val="007573CC"/>
    <w:rsid w:val="00760A6E"/>
    <w:rsid w:val="007619D2"/>
    <w:rsid w:val="00761C18"/>
    <w:rsid w:val="007647DC"/>
    <w:rsid w:val="00765466"/>
    <w:rsid w:val="00765646"/>
    <w:rsid w:val="00766336"/>
    <w:rsid w:val="00770A54"/>
    <w:rsid w:val="00770C96"/>
    <w:rsid w:val="007726E5"/>
    <w:rsid w:val="0077538D"/>
    <w:rsid w:val="00775CC1"/>
    <w:rsid w:val="00780149"/>
    <w:rsid w:val="0078033A"/>
    <w:rsid w:val="00782632"/>
    <w:rsid w:val="00784A37"/>
    <w:rsid w:val="00785B05"/>
    <w:rsid w:val="00785D88"/>
    <w:rsid w:val="0078650D"/>
    <w:rsid w:val="007870E3"/>
    <w:rsid w:val="00787564"/>
    <w:rsid w:val="0078790D"/>
    <w:rsid w:val="0079057E"/>
    <w:rsid w:val="00791CA8"/>
    <w:rsid w:val="00795776"/>
    <w:rsid w:val="00795BE2"/>
    <w:rsid w:val="00795F1B"/>
    <w:rsid w:val="007A1CB5"/>
    <w:rsid w:val="007A3E03"/>
    <w:rsid w:val="007A4D08"/>
    <w:rsid w:val="007A5087"/>
    <w:rsid w:val="007A58A5"/>
    <w:rsid w:val="007A5C34"/>
    <w:rsid w:val="007A64D8"/>
    <w:rsid w:val="007A65AD"/>
    <w:rsid w:val="007A7C13"/>
    <w:rsid w:val="007B08E1"/>
    <w:rsid w:val="007B1772"/>
    <w:rsid w:val="007B2F7C"/>
    <w:rsid w:val="007B34D3"/>
    <w:rsid w:val="007B69F3"/>
    <w:rsid w:val="007C0CF6"/>
    <w:rsid w:val="007C799D"/>
    <w:rsid w:val="007D08DC"/>
    <w:rsid w:val="007D25EB"/>
    <w:rsid w:val="007D4E8C"/>
    <w:rsid w:val="007D7C80"/>
    <w:rsid w:val="007E1111"/>
    <w:rsid w:val="007E138A"/>
    <w:rsid w:val="007E35E5"/>
    <w:rsid w:val="007E38CC"/>
    <w:rsid w:val="007E4B23"/>
    <w:rsid w:val="007E5433"/>
    <w:rsid w:val="007E55FB"/>
    <w:rsid w:val="007E6329"/>
    <w:rsid w:val="007F093F"/>
    <w:rsid w:val="007F3A1C"/>
    <w:rsid w:val="008007F0"/>
    <w:rsid w:val="00804567"/>
    <w:rsid w:val="00805972"/>
    <w:rsid w:val="008066AC"/>
    <w:rsid w:val="008066CA"/>
    <w:rsid w:val="00810A4D"/>
    <w:rsid w:val="00812554"/>
    <w:rsid w:val="00812799"/>
    <w:rsid w:val="00812FC1"/>
    <w:rsid w:val="00813EFD"/>
    <w:rsid w:val="0081521B"/>
    <w:rsid w:val="00815A8D"/>
    <w:rsid w:val="0081777C"/>
    <w:rsid w:val="00820175"/>
    <w:rsid w:val="0082074F"/>
    <w:rsid w:val="00825498"/>
    <w:rsid w:val="00826866"/>
    <w:rsid w:val="00831F6D"/>
    <w:rsid w:val="008333C9"/>
    <w:rsid w:val="00833DB2"/>
    <w:rsid w:val="00834F4B"/>
    <w:rsid w:val="00837CCC"/>
    <w:rsid w:val="00842E10"/>
    <w:rsid w:val="00844DB0"/>
    <w:rsid w:val="008452A7"/>
    <w:rsid w:val="00847743"/>
    <w:rsid w:val="00847B11"/>
    <w:rsid w:val="0085261E"/>
    <w:rsid w:val="0085400C"/>
    <w:rsid w:val="008554B4"/>
    <w:rsid w:val="00856045"/>
    <w:rsid w:val="008571A9"/>
    <w:rsid w:val="00857F2F"/>
    <w:rsid w:val="00863B79"/>
    <w:rsid w:val="00863CB3"/>
    <w:rsid w:val="00865A20"/>
    <w:rsid w:val="00866A31"/>
    <w:rsid w:val="00867AC2"/>
    <w:rsid w:val="00870E9A"/>
    <w:rsid w:val="00872597"/>
    <w:rsid w:val="008728EF"/>
    <w:rsid w:val="008745B5"/>
    <w:rsid w:val="0087596D"/>
    <w:rsid w:val="00876AB2"/>
    <w:rsid w:val="00884C3E"/>
    <w:rsid w:val="0088502E"/>
    <w:rsid w:val="00890BF8"/>
    <w:rsid w:val="00891050"/>
    <w:rsid w:val="00891A4E"/>
    <w:rsid w:val="00892C10"/>
    <w:rsid w:val="00893821"/>
    <w:rsid w:val="00896E25"/>
    <w:rsid w:val="008A0F87"/>
    <w:rsid w:val="008A1BB9"/>
    <w:rsid w:val="008A3FE0"/>
    <w:rsid w:val="008B0510"/>
    <w:rsid w:val="008B2B8A"/>
    <w:rsid w:val="008B3563"/>
    <w:rsid w:val="008C0075"/>
    <w:rsid w:val="008C00F1"/>
    <w:rsid w:val="008C26D5"/>
    <w:rsid w:val="008C296F"/>
    <w:rsid w:val="008C2D00"/>
    <w:rsid w:val="008C395F"/>
    <w:rsid w:val="008C42DE"/>
    <w:rsid w:val="008C68C2"/>
    <w:rsid w:val="008C7520"/>
    <w:rsid w:val="008C7EDA"/>
    <w:rsid w:val="008D088A"/>
    <w:rsid w:val="008D2297"/>
    <w:rsid w:val="008D2706"/>
    <w:rsid w:val="008D2EBF"/>
    <w:rsid w:val="008D4B86"/>
    <w:rsid w:val="008D542F"/>
    <w:rsid w:val="008D7440"/>
    <w:rsid w:val="008D79B4"/>
    <w:rsid w:val="008DA1DF"/>
    <w:rsid w:val="008E1CD0"/>
    <w:rsid w:val="008E272D"/>
    <w:rsid w:val="008E283A"/>
    <w:rsid w:val="008E2B38"/>
    <w:rsid w:val="008E3E65"/>
    <w:rsid w:val="008E5706"/>
    <w:rsid w:val="008E572D"/>
    <w:rsid w:val="008E7DC9"/>
    <w:rsid w:val="008F049C"/>
    <w:rsid w:val="008F0F4D"/>
    <w:rsid w:val="008F10F3"/>
    <w:rsid w:val="008F2748"/>
    <w:rsid w:val="008F2840"/>
    <w:rsid w:val="008F31F9"/>
    <w:rsid w:val="009020F8"/>
    <w:rsid w:val="00903CAC"/>
    <w:rsid w:val="00903CBF"/>
    <w:rsid w:val="00904CB3"/>
    <w:rsid w:val="00905AE8"/>
    <w:rsid w:val="00905F6B"/>
    <w:rsid w:val="00910D83"/>
    <w:rsid w:val="009246C0"/>
    <w:rsid w:val="00930A48"/>
    <w:rsid w:val="00933AF9"/>
    <w:rsid w:val="0093440A"/>
    <w:rsid w:val="00934904"/>
    <w:rsid w:val="009362E2"/>
    <w:rsid w:val="00937668"/>
    <w:rsid w:val="00940E67"/>
    <w:rsid w:val="009414EF"/>
    <w:rsid w:val="00941D5D"/>
    <w:rsid w:val="00944030"/>
    <w:rsid w:val="00945B70"/>
    <w:rsid w:val="009479CF"/>
    <w:rsid w:val="00950D32"/>
    <w:rsid w:val="00951AC6"/>
    <w:rsid w:val="00951CE2"/>
    <w:rsid w:val="009554D3"/>
    <w:rsid w:val="009576C1"/>
    <w:rsid w:val="00957F44"/>
    <w:rsid w:val="009603DD"/>
    <w:rsid w:val="00961B44"/>
    <w:rsid w:val="00961D9E"/>
    <w:rsid w:val="00962A54"/>
    <w:rsid w:val="00963255"/>
    <w:rsid w:val="00965E79"/>
    <w:rsid w:val="00967DC1"/>
    <w:rsid w:val="009732C2"/>
    <w:rsid w:val="0097731E"/>
    <w:rsid w:val="00980F03"/>
    <w:rsid w:val="009814E3"/>
    <w:rsid w:val="00983E4C"/>
    <w:rsid w:val="00992E81"/>
    <w:rsid w:val="00993111"/>
    <w:rsid w:val="00993B59"/>
    <w:rsid w:val="0099586C"/>
    <w:rsid w:val="009A0B8E"/>
    <w:rsid w:val="009A0FD4"/>
    <w:rsid w:val="009A11D7"/>
    <w:rsid w:val="009A326C"/>
    <w:rsid w:val="009A7D2B"/>
    <w:rsid w:val="009A7D4E"/>
    <w:rsid w:val="009B3052"/>
    <w:rsid w:val="009B3972"/>
    <w:rsid w:val="009B76E3"/>
    <w:rsid w:val="009C0948"/>
    <w:rsid w:val="009C469F"/>
    <w:rsid w:val="009C4EE9"/>
    <w:rsid w:val="009C639C"/>
    <w:rsid w:val="009D103E"/>
    <w:rsid w:val="009D2DF4"/>
    <w:rsid w:val="009E545F"/>
    <w:rsid w:val="009E62B9"/>
    <w:rsid w:val="009E6B54"/>
    <w:rsid w:val="009E6DD3"/>
    <w:rsid w:val="009F0116"/>
    <w:rsid w:val="009F2938"/>
    <w:rsid w:val="009F2D33"/>
    <w:rsid w:val="009F5559"/>
    <w:rsid w:val="009F77CB"/>
    <w:rsid w:val="00A07917"/>
    <w:rsid w:val="00A07F9A"/>
    <w:rsid w:val="00A13939"/>
    <w:rsid w:val="00A14880"/>
    <w:rsid w:val="00A14F6B"/>
    <w:rsid w:val="00A160CF"/>
    <w:rsid w:val="00A165DA"/>
    <w:rsid w:val="00A1693B"/>
    <w:rsid w:val="00A177B0"/>
    <w:rsid w:val="00A17D58"/>
    <w:rsid w:val="00A20700"/>
    <w:rsid w:val="00A21E37"/>
    <w:rsid w:val="00A24EE3"/>
    <w:rsid w:val="00A25BD0"/>
    <w:rsid w:val="00A26CFD"/>
    <w:rsid w:val="00A26E7F"/>
    <w:rsid w:val="00A27C75"/>
    <w:rsid w:val="00A32007"/>
    <w:rsid w:val="00A32320"/>
    <w:rsid w:val="00A325F9"/>
    <w:rsid w:val="00A35A44"/>
    <w:rsid w:val="00A373CC"/>
    <w:rsid w:val="00A423EF"/>
    <w:rsid w:val="00A4359A"/>
    <w:rsid w:val="00A439EC"/>
    <w:rsid w:val="00A43B46"/>
    <w:rsid w:val="00A46755"/>
    <w:rsid w:val="00A57770"/>
    <w:rsid w:val="00A605D1"/>
    <w:rsid w:val="00A60864"/>
    <w:rsid w:val="00A621BA"/>
    <w:rsid w:val="00A62ED2"/>
    <w:rsid w:val="00A63061"/>
    <w:rsid w:val="00A6385A"/>
    <w:rsid w:val="00A63CE7"/>
    <w:rsid w:val="00A707ED"/>
    <w:rsid w:val="00A70ABD"/>
    <w:rsid w:val="00A70D55"/>
    <w:rsid w:val="00A710F6"/>
    <w:rsid w:val="00A72F28"/>
    <w:rsid w:val="00A74241"/>
    <w:rsid w:val="00A772CD"/>
    <w:rsid w:val="00A804B7"/>
    <w:rsid w:val="00A8377F"/>
    <w:rsid w:val="00A87399"/>
    <w:rsid w:val="00A913C0"/>
    <w:rsid w:val="00A9308A"/>
    <w:rsid w:val="00A95859"/>
    <w:rsid w:val="00A969D3"/>
    <w:rsid w:val="00AA02A4"/>
    <w:rsid w:val="00AA2AB4"/>
    <w:rsid w:val="00AA6041"/>
    <w:rsid w:val="00AA773A"/>
    <w:rsid w:val="00AB0604"/>
    <w:rsid w:val="00AB0AC9"/>
    <w:rsid w:val="00AB0C91"/>
    <w:rsid w:val="00AB24C4"/>
    <w:rsid w:val="00AB3C45"/>
    <w:rsid w:val="00AB5D62"/>
    <w:rsid w:val="00AB7996"/>
    <w:rsid w:val="00AB7EF3"/>
    <w:rsid w:val="00AC02B2"/>
    <w:rsid w:val="00AC21D2"/>
    <w:rsid w:val="00AC418D"/>
    <w:rsid w:val="00AC68DE"/>
    <w:rsid w:val="00AD04F0"/>
    <w:rsid w:val="00AD08CE"/>
    <w:rsid w:val="00AD12C0"/>
    <w:rsid w:val="00AD3712"/>
    <w:rsid w:val="00AD3C75"/>
    <w:rsid w:val="00AD3D64"/>
    <w:rsid w:val="00AD6603"/>
    <w:rsid w:val="00AE05A6"/>
    <w:rsid w:val="00AE5CD3"/>
    <w:rsid w:val="00AE61AB"/>
    <w:rsid w:val="00AE7CC7"/>
    <w:rsid w:val="00AF2F5A"/>
    <w:rsid w:val="00B00652"/>
    <w:rsid w:val="00B01631"/>
    <w:rsid w:val="00B021D0"/>
    <w:rsid w:val="00B029F5"/>
    <w:rsid w:val="00B0433E"/>
    <w:rsid w:val="00B07C03"/>
    <w:rsid w:val="00B11E6A"/>
    <w:rsid w:val="00B13704"/>
    <w:rsid w:val="00B218B4"/>
    <w:rsid w:val="00B2367F"/>
    <w:rsid w:val="00B23B41"/>
    <w:rsid w:val="00B241B4"/>
    <w:rsid w:val="00B245B6"/>
    <w:rsid w:val="00B25AF0"/>
    <w:rsid w:val="00B260C1"/>
    <w:rsid w:val="00B32CC6"/>
    <w:rsid w:val="00B34FD1"/>
    <w:rsid w:val="00B35F6D"/>
    <w:rsid w:val="00B36949"/>
    <w:rsid w:val="00B3778C"/>
    <w:rsid w:val="00B40044"/>
    <w:rsid w:val="00B42527"/>
    <w:rsid w:val="00B43F1A"/>
    <w:rsid w:val="00B4456D"/>
    <w:rsid w:val="00B44F2F"/>
    <w:rsid w:val="00B45A0D"/>
    <w:rsid w:val="00B4603D"/>
    <w:rsid w:val="00B4699D"/>
    <w:rsid w:val="00B50152"/>
    <w:rsid w:val="00B51267"/>
    <w:rsid w:val="00B51546"/>
    <w:rsid w:val="00B534CB"/>
    <w:rsid w:val="00B54117"/>
    <w:rsid w:val="00B54541"/>
    <w:rsid w:val="00B548E4"/>
    <w:rsid w:val="00B55622"/>
    <w:rsid w:val="00B5666F"/>
    <w:rsid w:val="00B616DB"/>
    <w:rsid w:val="00B6194B"/>
    <w:rsid w:val="00B619B4"/>
    <w:rsid w:val="00B675EE"/>
    <w:rsid w:val="00B67718"/>
    <w:rsid w:val="00B707E8"/>
    <w:rsid w:val="00B712F3"/>
    <w:rsid w:val="00B7137E"/>
    <w:rsid w:val="00B727D5"/>
    <w:rsid w:val="00B72B04"/>
    <w:rsid w:val="00B73468"/>
    <w:rsid w:val="00B738D6"/>
    <w:rsid w:val="00B75FEC"/>
    <w:rsid w:val="00B76933"/>
    <w:rsid w:val="00B773D6"/>
    <w:rsid w:val="00B77A7E"/>
    <w:rsid w:val="00B80FDC"/>
    <w:rsid w:val="00B82072"/>
    <w:rsid w:val="00B8350B"/>
    <w:rsid w:val="00B84A09"/>
    <w:rsid w:val="00B85A97"/>
    <w:rsid w:val="00B85B1B"/>
    <w:rsid w:val="00B86A5C"/>
    <w:rsid w:val="00B90DA7"/>
    <w:rsid w:val="00BA115A"/>
    <w:rsid w:val="00BA1507"/>
    <w:rsid w:val="00BA1FE1"/>
    <w:rsid w:val="00BA23C3"/>
    <w:rsid w:val="00BA3CCD"/>
    <w:rsid w:val="00BA7508"/>
    <w:rsid w:val="00BB070D"/>
    <w:rsid w:val="00BB2F59"/>
    <w:rsid w:val="00BB7083"/>
    <w:rsid w:val="00BB7310"/>
    <w:rsid w:val="00BB7BDB"/>
    <w:rsid w:val="00BC0216"/>
    <w:rsid w:val="00BC12A1"/>
    <w:rsid w:val="00BC1FD7"/>
    <w:rsid w:val="00BC268F"/>
    <w:rsid w:val="00BC2BFD"/>
    <w:rsid w:val="00BC5DB0"/>
    <w:rsid w:val="00BC6573"/>
    <w:rsid w:val="00BD0847"/>
    <w:rsid w:val="00BD0FC2"/>
    <w:rsid w:val="00BD20A5"/>
    <w:rsid w:val="00BD50B2"/>
    <w:rsid w:val="00BD7EEE"/>
    <w:rsid w:val="00BE1B4F"/>
    <w:rsid w:val="00BE1F59"/>
    <w:rsid w:val="00BE1F8F"/>
    <w:rsid w:val="00BE5AC2"/>
    <w:rsid w:val="00BE74DB"/>
    <w:rsid w:val="00BF284B"/>
    <w:rsid w:val="00BF5ADE"/>
    <w:rsid w:val="00BF731F"/>
    <w:rsid w:val="00C007F9"/>
    <w:rsid w:val="00C019F3"/>
    <w:rsid w:val="00C01E7E"/>
    <w:rsid w:val="00C01F18"/>
    <w:rsid w:val="00C0231A"/>
    <w:rsid w:val="00C0578C"/>
    <w:rsid w:val="00C07E20"/>
    <w:rsid w:val="00C107D7"/>
    <w:rsid w:val="00C10CF1"/>
    <w:rsid w:val="00C10D77"/>
    <w:rsid w:val="00C14015"/>
    <w:rsid w:val="00C15636"/>
    <w:rsid w:val="00C169F8"/>
    <w:rsid w:val="00C2255A"/>
    <w:rsid w:val="00C23778"/>
    <w:rsid w:val="00C23C6C"/>
    <w:rsid w:val="00C24767"/>
    <w:rsid w:val="00C24773"/>
    <w:rsid w:val="00C308F3"/>
    <w:rsid w:val="00C319EE"/>
    <w:rsid w:val="00C34A2F"/>
    <w:rsid w:val="00C35046"/>
    <w:rsid w:val="00C36E4C"/>
    <w:rsid w:val="00C37EAD"/>
    <w:rsid w:val="00C45CB7"/>
    <w:rsid w:val="00C50A1E"/>
    <w:rsid w:val="00C50E51"/>
    <w:rsid w:val="00C53388"/>
    <w:rsid w:val="00C551A7"/>
    <w:rsid w:val="00C5558F"/>
    <w:rsid w:val="00C55926"/>
    <w:rsid w:val="00C63A8A"/>
    <w:rsid w:val="00C7086F"/>
    <w:rsid w:val="00C72059"/>
    <w:rsid w:val="00C72AC6"/>
    <w:rsid w:val="00C72BB5"/>
    <w:rsid w:val="00C7341D"/>
    <w:rsid w:val="00C751F1"/>
    <w:rsid w:val="00C756F9"/>
    <w:rsid w:val="00C75AA4"/>
    <w:rsid w:val="00C8097E"/>
    <w:rsid w:val="00C82C7D"/>
    <w:rsid w:val="00C8563D"/>
    <w:rsid w:val="00C8663B"/>
    <w:rsid w:val="00C964DC"/>
    <w:rsid w:val="00CA27C8"/>
    <w:rsid w:val="00CA37ED"/>
    <w:rsid w:val="00CA5669"/>
    <w:rsid w:val="00CA5FC1"/>
    <w:rsid w:val="00CB1E96"/>
    <w:rsid w:val="00CB49D7"/>
    <w:rsid w:val="00CB537A"/>
    <w:rsid w:val="00CC304C"/>
    <w:rsid w:val="00CC33B3"/>
    <w:rsid w:val="00CC516B"/>
    <w:rsid w:val="00CC791E"/>
    <w:rsid w:val="00CD0353"/>
    <w:rsid w:val="00CD0DF5"/>
    <w:rsid w:val="00CD131E"/>
    <w:rsid w:val="00CD1D0A"/>
    <w:rsid w:val="00CD1F2A"/>
    <w:rsid w:val="00CD625D"/>
    <w:rsid w:val="00CD6A2A"/>
    <w:rsid w:val="00CE0DA9"/>
    <w:rsid w:val="00CE37D3"/>
    <w:rsid w:val="00CE42FC"/>
    <w:rsid w:val="00CE433E"/>
    <w:rsid w:val="00CE7EFF"/>
    <w:rsid w:val="00CF2C3B"/>
    <w:rsid w:val="00CF63DB"/>
    <w:rsid w:val="00CF72FE"/>
    <w:rsid w:val="00CF7A0A"/>
    <w:rsid w:val="00D008CA"/>
    <w:rsid w:val="00D01C60"/>
    <w:rsid w:val="00D04670"/>
    <w:rsid w:val="00D04E0C"/>
    <w:rsid w:val="00D06519"/>
    <w:rsid w:val="00D124DA"/>
    <w:rsid w:val="00D22722"/>
    <w:rsid w:val="00D23672"/>
    <w:rsid w:val="00D23987"/>
    <w:rsid w:val="00D26761"/>
    <w:rsid w:val="00D3001C"/>
    <w:rsid w:val="00D31935"/>
    <w:rsid w:val="00D33DDA"/>
    <w:rsid w:val="00D35266"/>
    <w:rsid w:val="00D354A6"/>
    <w:rsid w:val="00D36975"/>
    <w:rsid w:val="00D40E07"/>
    <w:rsid w:val="00D4243C"/>
    <w:rsid w:val="00D43CA3"/>
    <w:rsid w:val="00D44A71"/>
    <w:rsid w:val="00D44AC0"/>
    <w:rsid w:val="00D45E48"/>
    <w:rsid w:val="00D46216"/>
    <w:rsid w:val="00D4727D"/>
    <w:rsid w:val="00D51540"/>
    <w:rsid w:val="00D540D1"/>
    <w:rsid w:val="00D600E5"/>
    <w:rsid w:val="00D60486"/>
    <w:rsid w:val="00D604AD"/>
    <w:rsid w:val="00D605DE"/>
    <w:rsid w:val="00D622C5"/>
    <w:rsid w:val="00D65576"/>
    <w:rsid w:val="00D661A7"/>
    <w:rsid w:val="00D67649"/>
    <w:rsid w:val="00D73F9E"/>
    <w:rsid w:val="00D74CBE"/>
    <w:rsid w:val="00D74D38"/>
    <w:rsid w:val="00D764E9"/>
    <w:rsid w:val="00D7665B"/>
    <w:rsid w:val="00D76E15"/>
    <w:rsid w:val="00D77F49"/>
    <w:rsid w:val="00D802FF"/>
    <w:rsid w:val="00D808D3"/>
    <w:rsid w:val="00D817D4"/>
    <w:rsid w:val="00D853F5"/>
    <w:rsid w:val="00D87825"/>
    <w:rsid w:val="00D87AB8"/>
    <w:rsid w:val="00D914F9"/>
    <w:rsid w:val="00D9154D"/>
    <w:rsid w:val="00D93EDF"/>
    <w:rsid w:val="00D952C4"/>
    <w:rsid w:val="00D95773"/>
    <w:rsid w:val="00D95D12"/>
    <w:rsid w:val="00D96057"/>
    <w:rsid w:val="00DA09D6"/>
    <w:rsid w:val="00DA6660"/>
    <w:rsid w:val="00DA6AAB"/>
    <w:rsid w:val="00DB03FF"/>
    <w:rsid w:val="00DB21A4"/>
    <w:rsid w:val="00DB3186"/>
    <w:rsid w:val="00DB4246"/>
    <w:rsid w:val="00DB579A"/>
    <w:rsid w:val="00DB7908"/>
    <w:rsid w:val="00DC2881"/>
    <w:rsid w:val="00DC33AA"/>
    <w:rsid w:val="00DC422F"/>
    <w:rsid w:val="00DC50C4"/>
    <w:rsid w:val="00DC6CF2"/>
    <w:rsid w:val="00DC7365"/>
    <w:rsid w:val="00DC7E72"/>
    <w:rsid w:val="00DC7FA5"/>
    <w:rsid w:val="00DD0F60"/>
    <w:rsid w:val="00DD179C"/>
    <w:rsid w:val="00DD1F0A"/>
    <w:rsid w:val="00DD279D"/>
    <w:rsid w:val="00DD3792"/>
    <w:rsid w:val="00DD647A"/>
    <w:rsid w:val="00DD723A"/>
    <w:rsid w:val="00DE5660"/>
    <w:rsid w:val="00DE5F2F"/>
    <w:rsid w:val="00DE6B61"/>
    <w:rsid w:val="00DE7C70"/>
    <w:rsid w:val="00DF136E"/>
    <w:rsid w:val="00DF2638"/>
    <w:rsid w:val="00DF510B"/>
    <w:rsid w:val="00DF5764"/>
    <w:rsid w:val="00DF6D09"/>
    <w:rsid w:val="00E01D21"/>
    <w:rsid w:val="00E03081"/>
    <w:rsid w:val="00E03CD5"/>
    <w:rsid w:val="00E0484A"/>
    <w:rsid w:val="00E0686C"/>
    <w:rsid w:val="00E107C3"/>
    <w:rsid w:val="00E121D5"/>
    <w:rsid w:val="00E12B15"/>
    <w:rsid w:val="00E154C2"/>
    <w:rsid w:val="00E162E0"/>
    <w:rsid w:val="00E215FE"/>
    <w:rsid w:val="00E2228C"/>
    <w:rsid w:val="00E3775E"/>
    <w:rsid w:val="00E379B6"/>
    <w:rsid w:val="00E37DB1"/>
    <w:rsid w:val="00E412EB"/>
    <w:rsid w:val="00E42DDD"/>
    <w:rsid w:val="00E452BF"/>
    <w:rsid w:val="00E51859"/>
    <w:rsid w:val="00E5222D"/>
    <w:rsid w:val="00E54F73"/>
    <w:rsid w:val="00E561D1"/>
    <w:rsid w:val="00E57200"/>
    <w:rsid w:val="00E62C13"/>
    <w:rsid w:val="00E6443F"/>
    <w:rsid w:val="00E656E4"/>
    <w:rsid w:val="00E664FF"/>
    <w:rsid w:val="00E66773"/>
    <w:rsid w:val="00E66ED3"/>
    <w:rsid w:val="00E67565"/>
    <w:rsid w:val="00E71E62"/>
    <w:rsid w:val="00E71FBA"/>
    <w:rsid w:val="00E7289A"/>
    <w:rsid w:val="00E74568"/>
    <w:rsid w:val="00E77764"/>
    <w:rsid w:val="00E81E00"/>
    <w:rsid w:val="00E81E2B"/>
    <w:rsid w:val="00E85125"/>
    <w:rsid w:val="00E90CF0"/>
    <w:rsid w:val="00E913AE"/>
    <w:rsid w:val="00E931D4"/>
    <w:rsid w:val="00E95E59"/>
    <w:rsid w:val="00E96256"/>
    <w:rsid w:val="00E9665C"/>
    <w:rsid w:val="00E96C71"/>
    <w:rsid w:val="00EA0F3A"/>
    <w:rsid w:val="00EA4CB3"/>
    <w:rsid w:val="00EA7224"/>
    <w:rsid w:val="00EB0D9C"/>
    <w:rsid w:val="00EB3537"/>
    <w:rsid w:val="00EB5FB1"/>
    <w:rsid w:val="00EB61D2"/>
    <w:rsid w:val="00EB61DC"/>
    <w:rsid w:val="00EB65F8"/>
    <w:rsid w:val="00EB7FF8"/>
    <w:rsid w:val="00EC3A03"/>
    <w:rsid w:val="00EC69A9"/>
    <w:rsid w:val="00ED1637"/>
    <w:rsid w:val="00ED3FE8"/>
    <w:rsid w:val="00ED58CC"/>
    <w:rsid w:val="00ED64DA"/>
    <w:rsid w:val="00ED7BDB"/>
    <w:rsid w:val="00EE133A"/>
    <w:rsid w:val="00EE6030"/>
    <w:rsid w:val="00EF1EC9"/>
    <w:rsid w:val="00EF601F"/>
    <w:rsid w:val="00EF65A4"/>
    <w:rsid w:val="00EF65B7"/>
    <w:rsid w:val="00EF6628"/>
    <w:rsid w:val="00EF684B"/>
    <w:rsid w:val="00EF7B67"/>
    <w:rsid w:val="00F003B2"/>
    <w:rsid w:val="00F03EF6"/>
    <w:rsid w:val="00F053D4"/>
    <w:rsid w:val="00F05F52"/>
    <w:rsid w:val="00F077D6"/>
    <w:rsid w:val="00F1028A"/>
    <w:rsid w:val="00F15BDF"/>
    <w:rsid w:val="00F16794"/>
    <w:rsid w:val="00F16BC8"/>
    <w:rsid w:val="00F17578"/>
    <w:rsid w:val="00F17BD0"/>
    <w:rsid w:val="00F21B45"/>
    <w:rsid w:val="00F26E83"/>
    <w:rsid w:val="00F27E47"/>
    <w:rsid w:val="00F27F61"/>
    <w:rsid w:val="00F30F9C"/>
    <w:rsid w:val="00F322F8"/>
    <w:rsid w:val="00F33D52"/>
    <w:rsid w:val="00F3446C"/>
    <w:rsid w:val="00F34A97"/>
    <w:rsid w:val="00F35ACA"/>
    <w:rsid w:val="00F3687E"/>
    <w:rsid w:val="00F37698"/>
    <w:rsid w:val="00F40EF7"/>
    <w:rsid w:val="00F41F46"/>
    <w:rsid w:val="00F4336D"/>
    <w:rsid w:val="00F43555"/>
    <w:rsid w:val="00F44D26"/>
    <w:rsid w:val="00F46640"/>
    <w:rsid w:val="00F51B08"/>
    <w:rsid w:val="00F54547"/>
    <w:rsid w:val="00F55874"/>
    <w:rsid w:val="00F55ADA"/>
    <w:rsid w:val="00F603E8"/>
    <w:rsid w:val="00F605EE"/>
    <w:rsid w:val="00F6069D"/>
    <w:rsid w:val="00F617B9"/>
    <w:rsid w:val="00F62626"/>
    <w:rsid w:val="00F6331E"/>
    <w:rsid w:val="00F637E5"/>
    <w:rsid w:val="00F67B39"/>
    <w:rsid w:val="00F7376A"/>
    <w:rsid w:val="00F73ED6"/>
    <w:rsid w:val="00F74CD4"/>
    <w:rsid w:val="00F775BD"/>
    <w:rsid w:val="00F77A16"/>
    <w:rsid w:val="00F81D72"/>
    <w:rsid w:val="00F83583"/>
    <w:rsid w:val="00F85B70"/>
    <w:rsid w:val="00F8626C"/>
    <w:rsid w:val="00F9274E"/>
    <w:rsid w:val="00F9457E"/>
    <w:rsid w:val="00F94819"/>
    <w:rsid w:val="00F94CEA"/>
    <w:rsid w:val="00FA1BE7"/>
    <w:rsid w:val="00FA1FCC"/>
    <w:rsid w:val="00FA3786"/>
    <w:rsid w:val="00FA3B8D"/>
    <w:rsid w:val="00FA41C3"/>
    <w:rsid w:val="00FA582E"/>
    <w:rsid w:val="00FA5873"/>
    <w:rsid w:val="00FA66B1"/>
    <w:rsid w:val="00FB52F3"/>
    <w:rsid w:val="00FB5687"/>
    <w:rsid w:val="00FB5DEC"/>
    <w:rsid w:val="00FB6483"/>
    <w:rsid w:val="00FC08EB"/>
    <w:rsid w:val="00FC095D"/>
    <w:rsid w:val="00FC10A9"/>
    <w:rsid w:val="00FC1D32"/>
    <w:rsid w:val="00FC213B"/>
    <w:rsid w:val="00FC35DD"/>
    <w:rsid w:val="00FC46DA"/>
    <w:rsid w:val="00FC4C74"/>
    <w:rsid w:val="00FD091E"/>
    <w:rsid w:val="00FD0E43"/>
    <w:rsid w:val="00FD2D36"/>
    <w:rsid w:val="00FD39D4"/>
    <w:rsid w:val="00FD49BB"/>
    <w:rsid w:val="00FD55D9"/>
    <w:rsid w:val="00FD5B5F"/>
    <w:rsid w:val="00FD6309"/>
    <w:rsid w:val="00FE0EE0"/>
    <w:rsid w:val="00FE0F91"/>
    <w:rsid w:val="00FE2740"/>
    <w:rsid w:val="00FE3CA0"/>
    <w:rsid w:val="00FE3D42"/>
    <w:rsid w:val="00FE527B"/>
    <w:rsid w:val="00FF11A0"/>
    <w:rsid w:val="01C0FEEC"/>
    <w:rsid w:val="01CB1686"/>
    <w:rsid w:val="0205F5DB"/>
    <w:rsid w:val="1039BEBE"/>
    <w:rsid w:val="16A7D152"/>
    <w:rsid w:val="185A7B0E"/>
    <w:rsid w:val="18CE553C"/>
    <w:rsid w:val="1A900480"/>
    <w:rsid w:val="270F394C"/>
    <w:rsid w:val="2896CFE1"/>
    <w:rsid w:val="2B5D4386"/>
    <w:rsid w:val="2DD47AC0"/>
    <w:rsid w:val="2EF470EC"/>
    <w:rsid w:val="2F73724F"/>
    <w:rsid w:val="35579705"/>
    <w:rsid w:val="39163148"/>
    <w:rsid w:val="39BC784E"/>
    <w:rsid w:val="39E975D0"/>
    <w:rsid w:val="51E5040B"/>
    <w:rsid w:val="54BF1CF9"/>
    <w:rsid w:val="5C3B49CD"/>
    <w:rsid w:val="64B7B8AB"/>
    <w:rsid w:val="6C064F8A"/>
    <w:rsid w:val="6C412EDF"/>
    <w:rsid w:val="6D9B2F7F"/>
    <w:rsid w:val="72720539"/>
    <w:rsid w:val="72B6FC28"/>
    <w:rsid w:val="73184C3F"/>
    <w:rsid w:val="74F22323"/>
    <w:rsid w:val="751F20A5"/>
    <w:rsid w:val="7590E245"/>
    <w:rsid w:val="7F756667"/>
    <w:rsid w:val="7FBA5D5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33F2"/>
  <w15:chartTrackingRefBased/>
  <w15:docId w15:val="{C82A9577-D2C6-4100-99B1-6A7DDC6A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E7"/>
    <w:pPr>
      <w:spacing w:after="0" w:line="240" w:lineRule="auto"/>
    </w:pPr>
    <w:rPr>
      <w:sz w:val="24"/>
      <w:lang w:val="es-MX"/>
    </w:rPr>
  </w:style>
  <w:style w:type="paragraph" w:styleId="Heading2">
    <w:name w:val="heading 2"/>
    <w:basedOn w:val="Normal"/>
    <w:next w:val="Normal"/>
    <w:link w:val="Heading2Char"/>
    <w:uiPriority w:val="9"/>
    <w:unhideWhenUsed/>
    <w:qFormat/>
    <w:rsid w:val="0052117A"/>
    <w:pPr>
      <w:keepNext/>
      <w:keepLines/>
      <w:numPr>
        <w:ilvl w:val="1"/>
        <w:numId w:val="3"/>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Heading3">
    <w:name w:val="heading 3"/>
    <w:basedOn w:val="Normal"/>
    <w:next w:val="Normal"/>
    <w:link w:val="Heading3Char"/>
    <w:uiPriority w:val="9"/>
    <w:unhideWhenUsed/>
    <w:qFormat/>
    <w:rsid w:val="0052117A"/>
    <w:pPr>
      <w:keepNext/>
      <w:keepLines/>
      <w:numPr>
        <w:ilvl w:val="2"/>
        <w:numId w:val="3"/>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ListParagraphChar"/>
    <w:uiPriority w:val="34"/>
    <w:qFormat/>
    <w:rsid w:val="00410548"/>
    <w:pPr>
      <w:ind w:left="720"/>
      <w:contextualSpacing/>
    </w:pPr>
  </w:style>
  <w:style w:type="paragraph" w:styleId="NormalWeb">
    <w:name w:val="Normal (Web)"/>
    <w:basedOn w:val="Normal"/>
    <w:link w:val="NormalWebChar"/>
    <w:uiPriority w:val="99"/>
    <w:unhideWhenUsed/>
    <w:rsid w:val="0041054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41054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FootnoteTextChar"/>
    <w:uiPriority w:val="99"/>
    <w:unhideWhenUsed/>
    <w:qFormat/>
    <w:rsid w:val="00410548"/>
    <w:rPr>
      <w:sz w:val="20"/>
      <w:szCs w:val="20"/>
    </w:rPr>
  </w:style>
  <w:style w:type="character" w:customStyle="1" w:styleId="TextonotapieCar1">
    <w:name w:val="Texto nota pie Car1"/>
    <w:basedOn w:val="DefaultParagraphFont"/>
    <w:uiPriority w:val="99"/>
    <w:semiHidden/>
    <w:rsid w:val="00410548"/>
    <w:rPr>
      <w:sz w:val="20"/>
      <w:szCs w:val="20"/>
      <w:lang w:val="es-MX"/>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410548"/>
    <w:rPr>
      <w:sz w:val="24"/>
      <w:lang w:val="es-MX"/>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
    <w:basedOn w:val="DefaultParagraphFont"/>
    <w:uiPriority w:val="99"/>
    <w:unhideWhenUsed/>
    <w:qFormat/>
    <w:rsid w:val="00410548"/>
    <w:rPr>
      <w:vertAlign w:val="superscript"/>
    </w:rPr>
  </w:style>
  <w:style w:type="paragraph" w:customStyle="1" w:styleId="Default">
    <w:name w:val="Default"/>
    <w:rsid w:val="00410548"/>
    <w:pPr>
      <w:autoSpaceDE w:val="0"/>
      <w:autoSpaceDN w:val="0"/>
      <w:adjustRightInd w:val="0"/>
      <w:spacing w:after="0" w:line="240" w:lineRule="auto"/>
    </w:pPr>
    <w:rPr>
      <w:rFonts w:ascii="Arial" w:hAnsi="Arial" w:cs="Arial"/>
      <w:color w:val="000000"/>
      <w:sz w:val="24"/>
      <w:szCs w:val="24"/>
    </w:rPr>
  </w:style>
  <w:style w:type="character" w:customStyle="1" w:styleId="NormalWebChar">
    <w:name w:val="Normal (Web) Char"/>
    <w:link w:val="NormalWeb"/>
    <w:uiPriority w:val="99"/>
    <w:rsid w:val="00410548"/>
    <w:rPr>
      <w:rFonts w:ascii="Times New Roman" w:eastAsia="Times New Roman" w:hAnsi="Times New Roman" w:cs="Times New Roman"/>
      <w:sz w:val="24"/>
      <w:szCs w:val="24"/>
      <w:lang w:eastAsia="es-CO"/>
    </w:rPr>
  </w:style>
  <w:style w:type="character" w:customStyle="1" w:styleId="normaltextrun">
    <w:name w:val="normaltextrun"/>
    <w:basedOn w:val="DefaultParagraphFont"/>
    <w:rsid w:val="00A26E7F"/>
  </w:style>
  <w:style w:type="character" w:styleId="CommentReference">
    <w:name w:val="annotation reference"/>
    <w:basedOn w:val="DefaultParagraphFont"/>
    <w:uiPriority w:val="99"/>
    <w:semiHidden/>
    <w:unhideWhenUsed/>
    <w:rsid w:val="008E283A"/>
    <w:rPr>
      <w:sz w:val="16"/>
      <w:szCs w:val="16"/>
    </w:rPr>
  </w:style>
  <w:style w:type="paragraph" w:styleId="CommentText">
    <w:name w:val="annotation text"/>
    <w:basedOn w:val="Normal"/>
    <w:link w:val="CommentTextChar"/>
    <w:uiPriority w:val="99"/>
    <w:unhideWhenUsed/>
    <w:rsid w:val="008E283A"/>
    <w:rPr>
      <w:sz w:val="20"/>
      <w:szCs w:val="20"/>
    </w:rPr>
  </w:style>
  <w:style w:type="character" w:customStyle="1" w:styleId="CommentTextChar">
    <w:name w:val="Comment Text Char"/>
    <w:basedOn w:val="DefaultParagraphFont"/>
    <w:link w:val="CommentText"/>
    <w:uiPriority w:val="99"/>
    <w:rsid w:val="008E283A"/>
    <w:rPr>
      <w:sz w:val="20"/>
      <w:szCs w:val="20"/>
      <w:lang w:val="es-MX"/>
    </w:rPr>
  </w:style>
  <w:style w:type="paragraph" w:styleId="CommentSubject">
    <w:name w:val="annotation subject"/>
    <w:basedOn w:val="CommentText"/>
    <w:next w:val="CommentText"/>
    <w:link w:val="CommentSubjectChar"/>
    <w:uiPriority w:val="99"/>
    <w:semiHidden/>
    <w:unhideWhenUsed/>
    <w:rsid w:val="008E283A"/>
    <w:rPr>
      <w:b/>
      <w:bCs/>
    </w:rPr>
  </w:style>
  <w:style w:type="character" w:customStyle="1" w:styleId="CommentSubjectChar">
    <w:name w:val="Comment Subject Char"/>
    <w:basedOn w:val="CommentTextChar"/>
    <w:link w:val="CommentSubject"/>
    <w:uiPriority w:val="99"/>
    <w:semiHidden/>
    <w:rsid w:val="008E283A"/>
    <w:rPr>
      <w:b/>
      <w:bCs/>
      <w:sz w:val="20"/>
      <w:szCs w:val="20"/>
      <w:lang w:val="es-MX"/>
    </w:rPr>
  </w:style>
  <w:style w:type="character" w:customStyle="1" w:styleId="Heading2Char">
    <w:name w:val="Heading 2 Char"/>
    <w:basedOn w:val="DefaultParagraphFont"/>
    <w:link w:val="Heading2"/>
    <w:uiPriority w:val="9"/>
    <w:rsid w:val="0052117A"/>
    <w:rPr>
      <w:rFonts w:ascii="Arial" w:eastAsiaTheme="majorEastAsia" w:hAnsi="Arial" w:cstheme="majorBidi"/>
      <w:b/>
      <w:caps/>
      <w:color w:val="000000" w:themeColor="text1"/>
      <w:sz w:val="20"/>
      <w:szCs w:val="26"/>
      <w:lang w:val="es-MX"/>
    </w:rPr>
  </w:style>
  <w:style w:type="character" w:customStyle="1" w:styleId="Heading3Char">
    <w:name w:val="Heading 3 Char"/>
    <w:basedOn w:val="DefaultParagraphFont"/>
    <w:link w:val="Heading3"/>
    <w:uiPriority w:val="9"/>
    <w:rsid w:val="0052117A"/>
    <w:rPr>
      <w:rFonts w:ascii="Arial" w:eastAsiaTheme="majorEastAsia" w:hAnsi="Arial" w:cstheme="majorBidi"/>
      <w:b/>
      <w:caps/>
      <w:color w:val="000000" w:themeColor="text1"/>
      <w:sz w:val="20"/>
      <w:szCs w:val="24"/>
    </w:rPr>
  </w:style>
  <w:style w:type="table" w:customStyle="1" w:styleId="Tablaconcuadrcula1">
    <w:name w:val="Tabla con cuadrícula1"/>
    <w:basedOn w:val="TableNormal"/>
    <w:next w:val="TableGrid"/>
    <w:uiPriority w:val="59"/>
    <w:rsid w:val="00DF263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ias-VietaNumeradaCar">
    <w:name w:val="Invias-Viñeta Numerada Car"/>
    <w:link w:val="Invias-VietaNumerada"/>
    <w:uiPriority w:val="99"/>
    <w:locked/>
    <w:rsid w:val="002860AF"/>
    <w:rPr>
      <w:rFonts w:ascii="Arial Narrow" w:eastAsia="Times New Roman" w:hAnsi="Arial Narrow" w:cs="Times New Roman"/>
      <w:sz w:val="24"/>
      <w:szCs w:val="24"/>
      <w:lang w:val="en-US" w:eastAsia="es-ES"/>
    </w:rPr>
  </w:style>
  <w:style w:type="paragraph" w:customStyle="1" w:styleId="Invias-VietaNumerada">
    <w:name w:val="Invias-Viñeta Numerada"/>
    <w:next w:val="Normal"/>
    <w:link w:val="Invias-VietaNumeradaCar"/>
    <w:uiPriority w:val="99"/>
    <w:qFormat/>
    <w:rsid w:val="002860AF"/>
    <w:pPr>
      <w:spacing w:before="240" w:after="120" w:line="240" w:lineRule="auto"/>
      <w:jc w:val="both"/>
    </w:pPr>
    <w:rPr>
      <w:rFonts w:ascii="Arial Narrow" w:eastAsia="Times New Roman" w:hAnsi="Arial Narrow" w:cs="Times New Roman"/>
      <w:sz w:val="24"/>
      <w:szCs w:val="24"/>
      <w:lang w:val="en-US" w:eastAsia="es-ES"/>
    </w:rPr>
  </w:style>
  <w:style w:type="character" w:styleId="Strong">
    <w:name w:val="Strong"/>
    <w:basedOn w:val="DefaultParagraphFont"/>
    <w:uiPriority w:val="22"/>
    <w:qFormat/>
    <w:rsid w:val="00713339"/>
    <w:rPr>
      <w:b/>
      <w:bCs/>
    </w:rPr>
  </w:style>
  <w:style w:type="character" w:styleId="Emphasis">
    <w:name w:val="Emphasis"/>
    <w:basedOn w:val="DefaultParagraphFont"/>
    <w:uiPriority w:val="20"/>
    <w:qFormat/>
    <w:rsid w:val="00205369"/>
    <w:rPr>
      <w:i/>
      <w:iCs/>
    </w:rPr>
  </w:style>
  <w:style w:type="paragraph" w:customStyle="1" w:styleId="InviasNormal">
    <w:name w:val="Invias Normal"/>
    <w:basedOn w:val="Normal"/>
    <w:link w:val="InviasNormalCar"/>
    <w:qFormat/>
    <w:rsid w:val="0029778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297782"/>
    <w:rPr>
      <w:rFonts w:ascii="Arial Narrow" w:eastAsia="Times New Roman" w:hAnsi="Arial Narrow" w:cs="Times New Roman"/>
      <w:color w:val="3B3838" w:themeColor="background2" w:themeShade="40"/>
      <w:sz w:val="24"/>
      <w:szCs w:val="24"/>
      <w:lang w:val="x-none" w:eastAsia="es-ES"/>
    </w:rPr>
  </w:style>
  <w:style w:type="paragraph" w:customStyle="1" w:styleId="paragraph">
    <w:name w:val="paragraph"/>
    <w:basedOn w:val="Normal"/>
    <w:rsid w:val="007726E5"/>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31604">
      <w:bodyDiv w:val="1"/>
      <w:marLeft w:val="0"/>
      <w:marRight w:val="0"/>
      <w:marTop w:val="0"/>
      <w:marBottom w:val="0"/>
      <w:divBdr>
        <w:top w:val="none" w:sz="0" w:space="0" w:color="auto"/>
        <w:left w:val="none" w:sz="0" w:space="0" w:color="auto"/>
        <w:bottom w:val="none" w:sz="0" w:space="0" w:color="auto"/>
        <w:right w:val="none" w:sz="0" w:space="0" w:color="auto"/>
      </w:divBdr>
    </w:div>
    <w:div w:id="237133028">
      <w:bodyDiv w:val="1"/>
      <w:marLeft w:val="0"/>
      <w:marRight w:val="0"/>
      <w:marTop w:val="0"/>
      <w:marBottom w:val="0"/>
      <w:divBdr>
        <w:top w:val="none" w:sz="0" w:space="0" w:color="auto"/>
        <w:left w:val="none" w:sz="0" w:space="0" w:color="auto"/>
        <w:bottom w:val="none" w:sz="0" w:space="0" w:color="auto"/>
        <w:right w:val="none" w:sz="0" w:space="0" w:color="auto"/>
      </w:divBdr>
    </w:div>
    <w:div w:id="317728928">
      <w:bodyDiv w:val="1"/>
      <w:marLeft w:val="0"/>
      <w:marRight w:val="0"/>
      <w:marTop w:val="0"/>
      <w:marBottom w:val="0"/>
      <w:divBdr>
        <w:top w:val="none" w:sz="0" w:space="0" w:color="auto"/>
        <w:left w:val="none" w:sz="0" w:space="0" w:color="auto"/>
        <w:bottom w:val="none" w:sz="0" w:space="0" w:color="auto"/>
        <w:right w:val="none" w:sz="0" w:space="0" w:color="auto"/>
      </w:divBdr>
    </w:div>
    <w:div w:id="494564691">
      <w:bodyDiv w:val="1"/>
      <w:marLeft w:val="0"/>
      <w:marRight w:val="0"/>
      <w:marTop w:val="0"/>
      <w:marBottom w:val="0"/>
      <w:divBdr>
        <w:top w:val="none" w:sz="0" w:space="0" w:color="auto"/>
        <w:left w:val="none" w:sz="0" w:space="0" w:color="auto"/>
        <w:bottom w:val="none" w:sz="0" w:space="0" w:color="auto"/>
        <w:right w:val="none" w:sz="0" w:space="0" w:color="auto"/>
      </w:divBdr>
    </w:div>
    <w:div w:id="521167852">
      <w:bodyDiv w:val="1"/>
      <w:marLeft w:val="0"/>
      <w:marRight w:val="0"/>
      <w:marTop w:val="0"/>
      <w:marBottom w:val="0"/>
      <w:divBdr>
        <w:top w:val="none" w:sz="0" w:space="0" w:color="auto"/>
        <w:left w:val="none" w:sz="0" w:space="0" w:color="auto"/>
        <w:bottom w:val="none" w:sz="0" w:space="0" w:color="auto"/>
        <w:right w:val="none" w:sz="0" w:space="0" w:color="auto"/>
      </w:divBdr>
    </w:div>
    <w:div w:id="950359390">
      <w:bodyDiv w:val="1"/>
      <w:marLeft w:val="0"/>
      <w:marRight w:val="0"/>
      <w:marTop w:val="0"/>
      <w:marBottom w:val="0"/>
      <w:divBdr>
        <w:top w:val="none" w:sz="0" w:space="0" w:color="auto"/>
        <w:left w:val="none" w:sz="0" w:space="0" w:color="auto"/>
        <w:bottom w:val="none" w:sz="0" w:space="0" w:color="auto"/>
        <w:right w:val="none" w:sz="0" w:space="0" w:color="auto"/>
      </w:divBdr>
    </w:div>
    <w:div w:id="1084836439">
      <w:bodyDiv w:val="1"/>
      <w:marLeft w:val="0"/>
      <w:marRight w:val="0"/>
      <w:marTop w:val="0"/>
      <w:marBottom w:val="0"/>
      <w:divBdr>
        <w:top w:val="none" w:sz="0" w:space="0" w:color="auto"/>
        <w:left w:val="none" w:sz="0" w:space="0" w:color="auto"/>
        <w:bottom w:val="none" w:sz="0" w:space="0" w:color="auto"/>
        <w:right w:val="none" w:sz="0" w:space="0" w:color="auto"/>
      </w:divBdr>
    </w:div>
    <w:div w:id="1125198203">
      <w:bodyDiv w:val="1"/>
      <w:marLeft w:val="0"/>
      <w:marRight w:val="0"/>
      <w:marTop w:val="0"/>
      <w:marBottom w:val="0"/>
      <w:divBdr>
        <w:top w:val="none" w:sz="0" w:space="0" w:color="auto"/>
        <w:left w:val="none" w:sz="0" w:space="0" w:color="auto"/>
        <w:bottom w:val="none" w:sz="0" w:space="0" w:color="auto"/>
        <w:right w:val="none" w:sz="0" w:space="0" w:color="auto"/>
      </w:divBdr>
    </w:div>
    <w:div w:id="1222055984">
      <w:bodyDiv w:val="1"/>
      <w:marLeft w:val="0"/>
      <w:marRight w:val="0"/>
      <w:marTop w:val="0"/>
      <w:marBottom w:val="0"/>
      <w:divBdr>
        <w:top w:val="none" w:sz="0" w:space="0" w:color="auto"/>
        <w:left w:val="none" w:sz="0" w:space="0" w:color="auto"/>
        <w:bottom w:val="none" w:sz="0" w:space="0" w:color="auto"/>
        <w:right w:val="none" w:sz="0" w:space="0" w:color="auto"/>
      </w:divBdr>
    </w:div>
    <w:div w:id="1464419683">
      <w:bodyDiv w:val="1"/>
      <w:marLeft w:val="0"/>
      <w:marRight w:val="0"/>
      <w:marTop w:val="0"/>
      <w:marBottom w:val="0"/>
      <w:divBdr>
        <w:top w:val="none" w:sz="0" w:space="0" w:color="auto"/>
        <w:left w:val="none" w:sz="0" w:space="0" w:color="auto"/>
        <w:bottom w:val="none" w:sz="0" w:space="0" w:color="auto"/>
        <w:right w:val="none" w:sz="0" w:space="0" w:color="auto"/>
      </w:divBdr>
    </w:div>
    <w:div w:id="1793354619">
      <w:bodyDiv w:val="1"/>
      <w:marLeft w:val="0"/>
      <w:marRight w:val="0"/>
      <w:marTop w:val="0"/>
      <w:marBottom w:val="0"/>
      <w:divBdr>
        <w:top w:val="none" w:sz="0" w:space="0" w:color="auto"/>
        <w:left w:val="none" w:sz="0" w:space="0" w:color="auto"/>
        <w:bottom w:val="none" w:sz="0" w:space="0" w:color="auto"/>
        <w:right w:val="none" w:sz="0" w:space="0" w:color="auto"/>
      </w:divBdr>
    </w:div>
    <w:div w:id="1860854940">
      <w:bodyDiv w:val="1"/>
      <w:marLeft w:val="0"/>
      <w:marRight w:val="0"/>
      <w:marTop w:val="0"/>
      <w:marBottom w:val="0"/>
      <w:divBdr>
        <w:top w:val="none" w:sz="0" w:space="0" w:color="auto"/>
        <w:left w:val="none" w:sz="0" w:space="0" w:color="auto"/>
        <w:bottom w:val="none" w:sz="0" w:space="0" w:color="auto"/>
        <w:right w:val="none" w:sz="0" w:space="0" w:color="auto"/>
      </w:divBdr>
    </w:div>
    <w:div w:id="1875919278">
      <w:bodyDiv w:val="1"/>
      <w:marLeft w:val="0"/>
      <w:marRight w:val="0"/>
      <w:marTop w:val="0"/>
      <w:marBottom w:val="0"/>
      <w:divBdr>
        <w:top w:val="none" w:sz="0" w:space="0" w:color="auto"/>
        <w:left w:val="none" w:sz="0" w:space="0" w:color="auto"/>
        <w:bottom w:val="none" w:sz="0" w:space="0" w:color="auto"/>
        <w:right w:val="none" w:sz="0" w:space="0" w:color="auto"/>
      </w:divBdr>
    </w:div>
    <w:div w:id="19105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76E68-82B6-466A-9CE8-9AFA2ED62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DDB6F-0B17-49E3-BA38-FB7D71E45B05}">
  <ds:schemaRefs>
    <ds:schemaRef ds:uri="http://schemas.openxmlformats.org/officeDocument/2006/bibliography"/>
  </ds:schemaRefs>
</ds:datastoreItem>
</file>

<file path=customXml/itemProps3.xml><?xml version="1.0" encoding="utf-8"?>
<ds:datastoreItem xmlns:ds="http://schemas.openxmlformats.org/officeDocument/2006/customXml" ds:itemID="{5D4BF772-2AF3-4C7F-8A66-3160FB8C9B4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C22FDF1-D039-4F39-85FD-BE2CCAB33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9385</Words>
  <Characters>53495</Characters>
  <Application>Microsoft Office Word</Application>
  <DocSecurity>4</DocSecurity>
  <Lines>445</Lines>
  <Paragraphs>125</Paragraphs>
  <ScaleCrop>false</ScaleCrop>
  <Company/>
  <LinksUpToDate>false</LinksUpToDate>
  <CharactersWithSpaces>62755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Nasly Yeana Mosquera Rivas</cp:lastModifiedBy>
  <cp:revision>4</cp:revision>
  <dcterms:created xsi:type="dcterms:W3CDTF">2021-04-21T15:10:00Z</dcterms:created>
  <dcterms:modified xsi:type="dcterms:W3CDTF">2021-05-10T15:47:00Z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