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EC32" w14:textId="77777777" w:rsidR="00B47E9C" w:rsidRPr="005419DA" w:rsidRDefault="00B47E9C" w:rsidP="00B47E9C">
      <w:pPr>
        <w:jc w:val="right"/>
        <w:rPr>
          <w:rFonts w:ascii="Arial" w:eastAsia="Calibri" w:hAnsi="Arial" w:cs="Arial"/>
          <w:b/>
          <w:color w:val="000000" w:themeColor="text1"/>
          <w:sz w:val="20"/>
          <w:szCs w:val="20"/>
          <w:lang w:val="es-ES_tradnl"/>
        </w:rPr>
      </w:pPr>
      <w:bookmarkStart w:id="0" w:name="_Hlk28946138"/>
      <w:bookmarkStart w:id="1" w:name="_Hlk29548183"/>
      <w:r w:rsidRPr="005419DA">
        <w:rPr>
          <w:rFonts w:ascii="Arial" w:hAnsi="Arial" w:cs="Arial"/>
          <w:bCs/>
          <w:color w:val="000000" w:themeColor="text1"/>
          <w:sz w:val="16"/>
          <w:szCs w:val="16"/>
          <w:lang w:val="es-ES_tradnl" w:eastAsia="es-ES"/>
        </w:rPr>
        <w:t>CCE-DES-FM-17</w:t>
      </w:r>
      <w:bookmarkEnd w:id="0"/>
      <w:bookmarkEnd w:id="1"/>
    </w:p>
    <w:p w14:paraId="541BB2D0" w14:textId="77777777" w:rsidR="009F4FCF" w:rsidRDefault="009F4FCF" w:rsidP="00996F42">
      <w:pPr>
        <w:jc w:val="both"/>
        <w:rPr>
          <w:rFonts w:ascii="Arial" w:eastAsia="Calibri" w:hAnsi="Arial" w:cs="Arial"/>
          <w:b/>
          <w:color w:val="000000" w:themeColor="text1"/>
        </w:rPr>
      </w:pPr>
      <w:bookmarkStart w:id="2" w:name="_Hlk69145016"/>
      <w:bookmarkStart w:id="3" w:name="_Hlk69144045"/>
    </w:p>
    <w:p w14:paraId="5CD2FE41" w14:textId="6C5A026B" w:rsidR="00996F42" w:rsidRPr="004127B5" w:rsidRDefault="00996F42" w:rsidP="00996F42">
      <w:pPr>
        <w:jc w:val="both"/>
        <w:rPr>
          <w:rFonts w:ascii="Arial" w:eastAsia="Calibri" w:hAnsi="Arial" w:cs="Arial"/>
          <w:b/>
          <w:color w:val="000000" w:themeColor="text1"/>
        </w:rPr>
      </w:pPr>
      <w:r w:rsidRPr="004127B5">
        <w:rPr>
          <w:rFonts w:ascii="Arial" w:eastAsia="Calibri" w:hAnsi="Arial" w:cs="Arial"/>
          <w:b/>
          <w:color w:val="000000" w:themeColor="text1"/>
        </w:rPr>
        <w:t xml:space="preserve">LEY DE EMPRENDIMIENTO – Finalidad </w:t>
      </w:r>
    </w:p>
    <w:p w14:paraId="2570EDCA" w14:textId="77777777" w:rsidR="00996F42" w:rsidRPr="004127B5" w:rsidRDefault="00996F42" w:rsidP="00996F42">
      <w:pPr>
        <w:jc w:val="both"/>
        <w:rPr>
          <w:rFonts w:ascii="Arial" w:eastAsia="Calibri" w:hAnsi="Arial" w:cs="Arial"/>
          <w:color w:val="000000" w:themeColor="text1"/>
          <w:sz w:val="20"/>
          <w:szCs w:val="20"/>
        </w:rPr>
      </w:pPr>
    </w:p>
    <w:bookmarkEnd w:id="2"/>
    <w:p w14:paraId="785F209E" w14:textId="77777777" w:rsidR="00996F42" w:rsidRPr="004127B5" w:rsidRDefault="00996F42" w:rsidP="00996F42">
      <w:pPr>
        <w:tabs>
          <w:tab w:val="left" w:pos="709"/>
        </w:tabs>
        <w:jc w:val="both"/>
        <w:rPr>
          <w:rFonts w:ascii="Arial" w:eastAsia="Calibri" w:hAnsi="Arial" w:cs="Arial"/>
          <w:bCs/>
          <w:color w:val="000000" w:themeColor="text1"/>
          <w:sz w:val="20"/>
          <w:szCs w:val="20"/>
        </w:rPr>
      </w:pPr>
      <w:r w:rsidRPr="004127B5">
        <w:rPr>
          <w:rFonts w:ascii="Arial" w:eastAsia="Calibri" w:hAnsi="Arial" w:cs="Arial"/>
          <w:bCs/>
          <w:color w:val="000000" w:themeColor="text1"/>
          <w:sz w:val="20"/>
          <w:szCs w:val="20"/>
        </w:rPr>
        <w:t xml:space="preserve">El pasado 31 de diciembre, en congruencia con el «Pacto por el emprendimiento, la formalización y la productividad» del Plan Nacional de Desarrollo 2018-2022, el </w:t>
      </w:r>
      <w:proofErr w:type="gramStart"/>
      <w:r w:rsidRPr="004127B5">
        <w:rPr>
          <w:rFonts w:ascii="Arial" w:eastAsia="Calibri" w:hAnsi="Arial" w:cs="Arial"/>
          <w:bCs/>
          <w:color w:val="000000" w:themeColor="text1"/>
          <w:sz w:val="20"/>
          <w:szCs w:val="20"/>
        </w:rPr>
        <w:t>Presidente</w:t>
      </w:r>
      <w:proofErr w:type="gramEnd"/>
      <w:r w:rsidRPr="004127B5">
        <w:rPr>
          <w:rFonts w:ascii="Arial" w:eastAsia="Calibri" w:hAnsi="Arial" w:cs="Arial"/>
          <w:bCs/>
          <w:color w:val="000000" w:themeColor="text1"/>
          <w:sz w:val="20"/>
          <w:szCs w:val="20"/>
        </w:rPr>
        <w:t xml:space="preserve"> de la República sancionó la Ley 2069 de 2020 para impulsar el nacimiento de nuevas empresas que incentiven la generación de empleo en país. Esta ley busca generar la reactivación de la economía y fomentar la actividad emprendedora, y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p>
    <w:p w14:paraId="74733D1D" w14:textId="77777777" w:rsidR="00996F42" w:rsidRPr="004127B5" w:rsidRDefault="00996F42" w:rsidP="00996F42">
      <w:pPr>
        <w:jc w:val="both"/>
        <w:rPr>
          <w:rFonts w:ascii="Arial" w:eastAsia="Calibri" w:hAnsi="Arial" w:cs="Arial"/>
          <w:b/>
          <w:color w:val="000000" w:themeColor="text1"/>
          <w:sz w:val="20"/>
          <w:szCs w:val="20"/>
        </w:rPr>
      </w:pPr>
    </w:p>
    <w:p w14:paraId="03FC7B26" w14:textId="77777777" w:rsidR="00996F42" w:rsidRPr="004127B5" w:rsidRDefault="00996F42" w:rsidP="00996F42">
      <w:pPr>
        <w:jc w:val="both"/>
        <w:rPr>
          <w:rFonts w:ascii="Arial" w:eastAsia="Calibri" w:hAnsi="Arial" w:cs="Arial"/>
          <w:b/>
          <w:lang w:val="es-ES_tradnl"/>
        </w:rPr>
      </w:pPr>
      <w:bookmarkStart w:id="4" w:name="_Hlk69145025"/>
      <w:r w:rsidRPr="004127B5">
        <w:rPr>
          <w:rFonts w:ascii="Arial" w:eastAsia="Calibri" w:hAnsi="Arial" w:cs="Arial"/>
          <w:b/>
          <w:lang w:val="es-ES_tradnl"/>
        </w:rPr>
        <w:t xml:space="preserve">PROMOCIÓN DEL DESARROLLO </w:t>
      </w:r>
      <w:r w:rsidRPr="004127B5">
        <w:rPr>
          <w:rFonts w:ascii="Arial" w:eastAsia="Calibri" w:hAnsi="Arial" w:cs="Arial"/>
          <w:b/>
          <w:color w:val="000000" w:themeColor="text1"/>
          <w:lang w:val="es-ES_tradnl"/>
        </w:rPr>
        <w:t>– Contratación estatal –</w:t>
      </w:r>
      <w:r w:rsidRPr="004127B5">
        <w:rPr>
          <w:rFonts w:ascii="Arial" w:eastAsia="Calibri" w:hAnsi="Arial" w:cs="Arial"/>
          <w:b/>
          <w:lang w:val="es-ES_tradnl"/>
        </w:rPr>
        <w:t xml:space="preserve"> Ley 2069 </w:t>
      </w:r>
      <w:r w:rsidRPr="004127B5">
        <w:rPr>
          <w:rFonts w:ascii="Arial" w:eastAsia="Calibri" w:hAnsi="Arial" w:cs="Arial"/>
          <w:b/>
          <w:color w:val="000000" w:themeColor="text1"/>
          <w:lang w:val="es-ES_tradnl"/>
        </w:rPr>
        <w:t>– Artículo 34 – Subrogación − A</w:t>
      </w:r>
      <w:r w:rsidRPr="004127B5">
        <w:rPr>
          <w:rFonts w:ascii="Arial" w:eastAsia="Calibri" w:hAnsi="Arial" w:cs="Arial"/>
          <w:b/>
          <w:color w:val="000000" w:themeColor="text1"/>
          <w:sz w:val="22"/>
          <w:szCs w:val="22"/>
          <w:lang w:val="es-ES_tradnl"/>
        </w:rPr>
        <w:t xml:space="preserve">rtículo 12 </w:t>
      </w:r>
      <w:r w:rsidRPr="004127B5">
        <w:rPr>
          <w:rFonts w:ascii="Arial" w:eastAsia="Calibri" w:hAnsi="Arial" w:cs="Arial"/>
          <w:b/>
          <w:color w:val="000000" w:themeColor="text1"/>
          <w:lang w:val="es-ES_tradnl"/>
        </w:rPr>
        <w:t xml:space="preserve">− </w:t>
      </w:r>
      <w:r w:rsidRPr="004127B5">
        <w:rPr>
          <w:rFonts w:ascii="Arial" w:eastAsia="Calibri" w:hAnsi="Arial" w:cs="Arial"/>
          <w:b/>
          <w:color w:val="000000" w:themeColor="text1"/>
          <w:sz w:val="22"/>
          <w:szCs w:val="22"/>
          <w:lang w:val="es-ES_tradnl"/>
        </w:rPr>
        <w:t>Ley 1150 de 2007</w:t>
      </w:r>
    </w:p>
    <w:bookmarkEnd w:id="4"/>
    <w:p w14:paraId="080D0CCB" w14:textId="77777777" w:rsidR="00996F42" w:rsidRDefault="00996F42" w:rsidP="00996F42">
      <w:pPr>
        <w:jc w:val="both"/>
        <w:rPr>
          <w:rFonts w:ascii="Arial" w:eastAsia="Calibri" w:hAnsi="Arial" w:cs="Arial"/>
          <w:sz w:val="20"/>
          <w:szCs w:val="20"/>
          <w:lang w:val="es-ES_tradnl"/>
        </w:rPr>
      </w:pPr>
    </w:p>
    <w:p w14:paraId="77B06CC2" w14:textId="77777777" w:rsidR="00996F42" w:rsidRPr="004127B5" w:rsidRDefault="00996F42" w:rsidP="00996F42">
      <w:pPr>
        <w:spacing w:after="120"/>
        <w:jc w:val="both"/>
        <w:rPr>
          <w:rFonts w:ascii="Arial" w:eastAsia="Calibri" w:hAnsi="Arial" w:cs="Arial"/>
          <w:color w:val="000000" w:themeColor="text1"/>
          <w:sz w:val="20"/>
          <w:szCs w:val="20"/>
          <w:lang w:val="es-ES_tradnl"/>
        </w:rPr>
      </w:pPr>
      <w:r w:rsidRPr="004127B5">
        <w:rPr>
          <w:rFonts w:ascii="Arial" w:eastAsia="Calibri" w:hAnsi="Arial" w:cs="Arial"/>
          <w:bCs/>
          <w:color w:val="000000" w:themeColor="text1"/>
          <w:sz w:val="20"/>
          <w:szCs w:val="20"/>
        </w:rPr>
        <w:t>El artículo 34 de la ley 2069 de 2020</w:t>
      </w:r>
      <w:r w:rsidRPr="004127B5">
        <w:rPr>
          <w:rFonts w:ascii="Arial" w:eastAsia="Calibri" w:hAnsi="Arial" w:cs="Arial"/>
          <w:bCs/>
          <w:i/>
          <w:iCs/>
          <w:color w:val="000000" w:themeColor="text1"/>
          <w:sz w:val="20"/>
          <w:szCs w:val="20"/>
        </w:rPr>
        <w:t xml:space="preserve">, </w:t>
      </w:r>
      <w:r w:rsidRPr="004127B5">
        <w:rPr>
          <w:rFonts w:ascii="Arial" w:eastAsia="Calibri" w:hAnsi="Arial" w:cs="Arial"/>
          <w:bCs/>
          <w:color w:val="000000" w:themeColor="text1"/>
          <w:sz w:val="20"/>
          <w:szCs w:val="20"/>
        </w:rPr>
        <w:t>modifica el artículo 12 de la Ley 1150 de 2007, el cual regula la promoción del desarrollo en la contratación pública. Inicialmente, la redacción de la Ley 1150 fue modificada por el artículo 32 de la Ley 1450 de 2011, pero esta última quedó derogada con la expedición de la Ley de Emprendimiento.</w:t>
      </w:r>
      <w:r w:rsidRPr="004127B5">
        <w:rPr>
          <w:rFonts w:ascii="Arial" w:eastAsia="Calibri" w:hAnsi="Arial" w:cs="Arial"/>
          <w:color w:val="000000" w:themeColor="text1"/>
          <w:sz w:val="20"/>
          <w:szCs w:val="20"/>
          <w:lang w:val="es-ES_tradnl"/>
        </w:rPr>
        <w:t xml:space="preserve"> En este sentido, frente al artículo 12 de la ley 1150 de 2007, se produjo el fenómeno de la subrogación […].</w:t>
      </w:r>
    </w:p>
    <w:p w14:paraId="46494457" w14:textId="77777777" w:rsidR="00996F42" w:rsidRPr="004127B5" w:rsidRDefault="00996F42" w:rsidP="00996F42">
      <w:pPr>
        <w:spacing w:after="120"/>
        <w:jc w:val="both"/>
        <w:rPr>
          <w:rFonts w:ascii="Arial" w:eastAsia="Calibri" w:hAnsi="Arial" w:cs="Arial"/>
          <w:color w:val="000000" w:themeColor="text1"/>
          <w:sz w:val="20"/>
          <w:szCs w:val="20"/>
          <w:lang w:val="es-ES_tradnl"/>
        </w:rPr>
      </w:pPr>
      <w:r w:rsidRPr="004127B5">
        <w:rPr>
          <w:rFonts w:ascii="Arial" w:eastAsia="Calibri" w:hAnsi="Arial" w:cs="Arial"/>
          <w:color w:val="000000" w:themeColor="text1"/>
          <w:sz w:val="20"/>
          <w:szCs w:val="20"/>
          <w:lang w:val="es-ES_tradnl"/>
        </w:rPr>
        <w:t>[…]</w:t>
      </w:r>
    </w:p>
    <w:p w14:paraId="03CF8CCF" w14:textId="77777777" w:rsidR="00996F42" w:rsidRPr="004127B5" w:rsidRDefault="00996F42" w:rsidP="00996F42">
      <w:pPr>
        <w:jc w:val="both"/>
        <w:rPr>
          <w:rFonts w:ascii="Arial" w:hAnsi="Arial" w:cs="Arial"/>
          <w:noProof/>
          <w:color w:val="000000" w:themeColor="text1"/>
          <w:sz w:val="20"/>
          <w:szCs w:val="20"/>
          <w:lang w:val="es-ES_tradnl"/>
        </w:rPr>
      </w:pPr>
      <w:r w:rsidRPr="004127B5">
        <w:rPr>
          <w:rFonts w:ascii="Arial" w:eastAsia="Calibri" w:hAnsi="Arial" w:cs="Arial"/>
          <w:color w:val="000000" w:themeColor="text1"/>
          <w:sz w:val="20"/>
          <w:szCs w:val="20"/>
          <w:lang w:val="es-ES_tradnl"/>
        </w:rPr>
        <w:t>En ese sentido, el artículo 12 de la Ley 1150 de 2007 fue subrogado por el artículo 34 de la Ley 2069 de 2020, porque este contiene una regulación diferente de la promoción del desarrollo en la contratación estatal. Además, en el primer inciso del artículo 34 de la Ley 2069 de 2020 se dispone claramente: «Modifíquese el artículo 12 de la Ley 1150 de 2007, el cual quedará así». Esto significa que la voluntad del legislador no estuvo dirigida a reformar el artículo 12 de la Ley 1150 de 2007, sino a modificarlo completamente, sustituyéndolo por uno nuevo […]</w:t>
      </w:r>
    </w:p>
    <w:p w14:paraId="4C599473" w14:textId="77777777" w:rsidR="00996F42" w:rsidRDefault="00996F42" w:rsidP="00996F42">
      <w:pPr>
        <w:spacing w:line="276" w:lineRule="auto"/>
        <w:ind w:firstLine="709"/>
        <w:jc w:val="both"/>
        <w:rPr>
          <w:rFonts w:ascii="Arial" w:hAnsi="Arial" w:cs="Arial"/>
          <w:color w:val="000000"/>
          <w:bdr w:val="none" w:sz="0" w:space="0" w:color="auto" w:frame="1"/>
        </w:rPr>
      </w:pPr>
    </w:p>
    <w:p w14:paraId="23A0E2E9" w14:textId="77777777" w:rsidR="00996F42" w:rsidRPr="004127B5" w:rsidRDefault="00996F42" w:rsidP="00996F42">
      <w:pPr>
        <w:jc w:val="both"/>
        <w:rPr>
          <w:rFonts w:ascii="Arial" w:eastAsia="Calibri" w:hAnsi="Arial" w:cs="Arial"/>
          <w:b/>
          <w:bCs/>
          <w:color w:val="000000" w:themeColor="text1"/>
          <w:lang w:val="es-ES_tradnl"/>
        </w:rPr>
      </w:pPr>
      <w:bookmarkStart w:id="5" w:name="_Hlk69145038"/>
      <w:r>
        <w:rPr>
          <w:rFonts w:ascii="Arial" w:hAnsi="Arial" w:cs="Arial"/>
          <w:b/>
          <w:bCs/>
          <w:color w:val="000000"/>
          <w:bdr w:val="none" w:sz="0" w:space="0" w:color="auto" w:frame="1"/>
        </w:rPr>
        <w:t xml:space="preserve">LEY 2069 DE 2020 </w:t>
      </w:r>
      <w:r w:rsidRPr="004127B5">
        <w:rPr>
          <w:rFonts w:ascii="Arial" w:hAnsi="Arial" w:cs="Arial"/>
          <w:b/>
          <w:bCs/>
          <w:color w:val="000000"/>
          <w:bdr w:val="none" w:sz="0" w:space="0" w:color="auto" w:frame="1"/>
        </w:rPr>
        <w:t xml:space="preserve">– Artículo 34 – Decreto 1082 de 2015 – Artículo </w:t>
      </w:r>
      <w:r w:rsidRPr="004127B5">
        <w:rPr>
          <w:rFonts w:ascii="Arial" w:eastAsia="Calibri" w:hAnsi="Arial" w:cs="Arial"/>
          <w:b/>
          <w:bCs/>
          <w:color w:val="000000" w:themeColor="text1"/>
          <w:sz w:val="22"/>
          <w:szCs w:val="22"/>
          <w:lang w:val="es-ES_tradnl"/>
        </w:rPr>
        <w:t>2.2.1.2.4.2.2</w:t>
      </w:r>
      <w:r w:rsidRPr="004127B5">
        <w:rPr>
          <w:rFonts w:ascii="Arial" w:eastAsia="Calibri" w:hAnsi="Arial" w:cs="Arial"/>
          <w:b/>
          <w:bCs/>
          <w:color w:val="000000" w:themeColor="text1"/>
          <w:lang w:val="es-ES_tradnl"/>
        </w:rPr>
        <w:t xml:space="preserve"> – Convocatorias limitadas a </w:t>
      </w:r>
      <w:proofErr w:type="spellStart"/>
      <w:r w:rsidRPr="004127B5">
        <w:rPr>
          <w:rFonts w:ascii="Arial" w:eastAsia="Calibri" w:hAnsi="Arial" w:cs="Arial"/>
          <w:b/>
          <w:bCs/>
          <w:color w:val="000000" w:themeColor="text1"/>
          <w:lang w:val="es-ES_tradnl"/>
        </w:rPr>
        <w:t>mipymes</w:t>
      </w:r>
      <w:proofErr w:type="spellEnd"/>
      <w:r w:rsidRPr="004127B5">
        <w:rPr>
          <w:rFonts w:ascii="Arial" w:eastAsia="Calibri" w:hAnsi="Arial" w:cs="Arial"/>
          <w:b/>
          <w:bCs/>
          <w:color w:val="000000" w:themeColor="text1"/>
          <w:lang w:val="es-ES_tradnl"/>
        </w:rPr>
        <w:t xml:space="preserve"> – Perdida de fuerza ejecutoria</w:t>
      </w:r>
    </w:p>
    <w:bookmarkEnd w:id="5"/>
    <w:p w14:paraId="6E2DC408" w14:textId="77777777" w:rsidR="00996F42" w:rsidRPr="004127B5" w:rsidRDefault="00996F42" w:rsidP="00996F42">
      <w:pPr>
        <w:jc w:val="both"/>
        <w:rPr>
          <w:rFonts w:ascii="Arial" w:hAnsi="Arial" w:cs="Arial"/>
          <w:color w:val="000000"/>
          <w:sz w:val="20"/>
          <w:szCs w:val="20"/>
          <w:bdr w:val="none" w:sz="0" w:space="0" w:color="auto" w:frame="1"/>
        </w:rPr>
      </w:pPr>
    </w:p>
    <w:p w14:paraId="6CC65A5E" w14:textId="77777777" w:rsidR="00996F42" w:rsidRPr="004127B5" w:rsidRDefault="00996F42" w:rsidP="00996F42">
      <w:pPr>
        <w:jc w:val="both"/>
        <w:rPr>
          <w:rFonts w:ascii="Arial" w:hAnsi="Arial" w:cs="Arial"/>
          <w:color w:val="000000"/>
          <w:sz w:val="20"/>
          <w:szCs w:val="20"/>
          <w:bdr w:val="none" w:sz="0" w:space="0" w:color="auto" w:frame="1"/>
        </w:rPr>
      </w:pPr>
      <w:r w:rsidRPr="004127B5">
        <w:rPr>
          <w:rFonts w:ascii="Arial" w:hAnsi="Arial" w:cs="Arial"/>
          <w:color w:val="000000"/>
          <w:sz w:val="20"/>
          <w:szCs w:val="20"/>
          <w:bdr w:val="none" w:sz="0" w:space="0" w:color="auto" w:frame="1"/>
        </w:rPr>
        <w:t xml:space="preserve">Por otro lado, el artículo 34 de la Ley 2069 de 2020 señala que el gobierno nacional debe definir las condiciones y montos para que se puedan realizar convocatorias limitadas a </w:t>
      </w:r>
      <w:proofErr w:type="spellStart"/>
      <w:r w:rsidRPr="004127B5">
        <w:rPr>
          <w:rFonts w:ascii="Arial" w:hAnsi="Arial" w:cs="Arial"/>
          <w:color w:val="000000"/>
          <w:sz w:val="20"/>
          <w:szCs w:val="20"/>
          <w:bdr w:val="none" w:sz="0" w:space="0" w:color="auto" w:frame="1"/>
        </w:rPr>
        <w:t>mipymes</w:t>
      </w:r>
      <w:proofErr w:type="spellEnd"/>
      <w:r w:rsidRPr="004127B5">
        <w:rPr>
          <w:rFonts w:ascii="Arial" w:hAnsi="Arial" w:cs="Arial"/>
          <w:color w:val="000000"/>
          <w:sz w:val="20"/>
          <w:szCs w:val="20"/>
          <w:bdr w:val="none" w:sz="0" w:space="0" w:color="auto" w:frame="1"/>
        </w:rPr>
        <w:t xml:space="preserve">. </w:t>
      </w:r>
      <w:r w:rsidRPr="004127B5">
        <w:rPr>
          <w:rFonts w:ascii="Arial" w:hAnsi="Arial" w:cs="Arial"/>
          <w:color w:val="000000"/>
          <w:sz w:val="20"/>
          <w:szCs w:val="20"/>
        </w:rPr>
        <w:t xml:space="preserve">En este sentido, al producirse la mencionada subrogación –que incluye el cambio de los requisitos para las convocatorias limitadas a </w:t>
      </w:r>
      <w:proofErr w:type="spellStart"/>
      <w:r w:rsidRPr="004127B5">
        <w:rPr>
          <w:rFonts w:ascii="Arial" w:hAnsi="Arial" w:cs="Arial"/>
          <w:color w:val="000000"/>
          <w:sz w:val="20"/>
          <w:szCs w:val="20"/>
        </w:rPr>
        <w:t>mipymes</w:t>
      </w:r>
      <w:proofErr w:type="spellEnd"/>
      <w:r w:rsidRPr="004127B5">
        <w:rPr>
          <w:rFonts w:ascii="Arial" w:hAnsi="Arial" w:cs="Arial"/>
          <w:color w:val="000000"/>
          <w:sz w:val="20"/>
          <w:szCs w:val="20"/>
        </w:rPr>
        <w:t xml:space="preserve">–, se genera el decaimiento –pérdida de fuerza ejecutoria– de los artículos 2.2.1.2.4.2.2., 2.2.1.2.4.2.3. y 2.2.1.2.4.2.4. del Decreto 1082 de 2015. Lo anterior, por cuanto, al desaparecer –por subrogación– el fundamento normativo de tales disposiciones reglamentarias, y al oponerse, en cuanto a sus requisitos, al artículo 34 de la Ley 2069 de 2020, dichas normas han perdido vigencia. Además, estas normas reglamentaban las convocatorias limitadas a </w:t>
      </w:r>
      <w:proofErr w:type="spellStart"/>
      <w:r w:rsidRPr="004127B5">
        <w:rPr>
          <w:rFonts w:ascii="Arial" w:hAnsi="Arial" w:cs="Arial"/>
          <w:color w:val="000000"/>
          <w:sz w:val="20"/>
          <w:szCs w:val="20"/>
        </w:rPr>
        <w:t>mipymes</w:t>
      </w:r>
      <w:proofErr w:type="spellEnd"/>
      <w:r w:rsidRPr="004127B5">
        <w:rPr>
          <w:rFonts w:ascii="Arial" w:hAnsi="Arial" w:cs="Arial"/>
          <w:color w:val="000000"/>
          <w:sz w:val="20"/>
          <w:szCs w:val="20"/>
        </w:rPr>
        <w:t xml:space="preserve"> solo en tres procedimientos de selección –licitación pública, selección abreviada y concurso de méritos–, lo cual se opone al contenido del artículo 34 cuando prescribe que el gobierno nacional debe definir las condiciones y montos para que dichas convocatorias limitadas a </w:t>
      </w:r>
      <w:proofErr w:type="spellStart"/>
      <w:r w:rsidRPr="004127B5">
        <w:rPr>
          <w:rFonts w:ascii="Arial" w:hAnsi="Arial" w:cs="Arial"/>
          <w:color w:val="000000"/>
          <w:sz w:val="20"/>
          <w:szCs w:val="20"/>
        </w:rPr>
        <w:t>miymes</w:t>
      </w:r>
      <w:proofErr w:type="spellEnd"/>
      <w:r w:rsidRPr="004127B5">
        <w:rPr>
          <w:rFonts w:ascii="Arial" w:hAnsi="Arial" w:cs="Arial"/>
          <w:color w:val="000000"/>
          <w:sz w:val="20"/>
          <w:szCs w:val="20"/>
        </w:rPr>
        <w:t xml:space="preserve"> operen en los </w:t>
      </w:r>
      <w:r w:rsidRPr="004127B5">
        <w:rPr>
          <w:rFonts w:ascii="Arial" w:hAnsi="Arial" w:cs="Arial"/>
          <w:i/>
          <w:iCs/>
          <w:color w:val="000000"/>
          <w:sz w:val="20"/>
          <w:szCs w:val="20"/>
        </w:rPr>
        <w:t>procesos de contratación</w:t>
      </w:r>
      <w:r w:rsidRPr="004127B5">
        <w:rPr>
          <w:rFonts w:ascii="Arial" w:hAnsi="Arial" w:cs="Arial"/>
          <w:color w:val="000000"/>
          <w:sz w:val="20"/>
          <w:szCs w:val="20"/>
        </w:rPr>
        <w:t> –sin distinguir–.</w:t>
      </w:r>
    </w:p>
    <w:p w14:paraId="1085C4E8" w14:textId="77777777" w:rsidR="00996F42" w:rsidRPr="004127B5" w:rsidRDefault="00996F42" w:rsidP="00996F42">
      <w:pPr>
        <w:spacing w:before="120"/>
        <w:jc w:val="both"/>
        <w:rPr>
          <w:rFonts w:ascii="Arial" w:eastAsia="Calibri" w:hAnsi="Arial" w:cs="Arial"/>
          <w:color w:val="000000" w:themeColor="text1"/>
          <w:sz w:val="20"/>
          <w:szCs w:val="20"/>
          <w:lang w:val="es-ES_tradnl"/>
        </w:rPr>
      </w:pPr>
      <w:r w:rsidRPr="004127B5">
        <w:rPr>
          <w:rFonts w:ascii="Arial" w:eastAsia="Calibri" w:hAnsi="Arial" w:cs="Arial"/>
          <w:color w:val="000000" w:themeColor="text1"/>
          <w:sz w:val="20"/>
          <w:szCs w:val="20"/>
          <w:lang w:val="es-ES_tradnl"/>
        </w:rPr>
        <w:t xml:space="preserve">Luego de explicar las reglas incluidas en la nueva regulación de la promoción del desarrollo en la contratación estatal, previstas en el artículo 34 de la Ley 2069 de 2020, y habiendo aclarado que dicha norma modificó el artículo 12 de la Ley 1150 de 2007, </w:t>
      </w:r>
      <w:r w:rsidRPr="004127B5">
        <w:rPr>
          <w:rFonts w:ascii="Arial" w:eastAsia="Calibri" w:hAnsi="Arial" w:cs="Arial"/>
          <w:bCs/>
          <w:sz w:val="20"/>
          <w:szCs w:val="20"/>
        </w:rPr>
        <w:t>para efectos de la consulta</w:t>
      </w:r>
      <w:r w:rsidRPr="004127B5">
        <w:rPr>
          <w:rFonts w:ascii="Arial" w:eastAsia="Calibri" w:hAnsi="Arial" w:cs="Arial"/>
          <w:color w:val="000000" w:themeColor="text1"/>
          <w:sz w:val="20"/>
          <w:szCs w:val="20"/>
          <w:lang w:val="es-ES_tradnl"/>
        </w:rPr>
        <w:t xml:space="preserve"> conviene preguntarse qué sucede con la vigencia del artículo 2.2.1.2.4.2.2. del Decreto 1082 de 2015, que hasta la expedición de la Ley 2069 de 2020, regulaba las convocatorias limitadas a </w:t>
      </w:r>
      <w:proofErr w:type="spellStart"/>
      <w:r w:rsidRPr="004127B5">
        <w:rPr>
          <w:rFonts w:ascii="Arial" w:eastAsia="Calibri" w:hAnsi="Arial" w:cs="Arial"/>
          <w:color w:val="000000" w:themeColor="text1"/>
          <w:sz w:val="20"/>
          <w:szCs w:val="20"/>
          <w:lang w:val="es-ES_tradnl"/>
        </w:rPr>
        <w:t>mipymes</w:t>
      </w:r>
      <w:proofErr w:type="spellEnd"/>
      <w:r w:rsidRPr="004127B5">
        <w:rPr>
          <w:rFonts w:ascii="Arial" w:eastAsia="Calibri" w:hAnsi="Arial" w:cs="Arial"/>
          <w:color w:val="000000" w:themeColor="text1"/>
          <w:sz w:val="20"/>
          <w:szCs w:val="20"/>
          <w:lang w:val="es-ES_tradnl"/>
        </w:rPr>
        <w:t>. C</w:t>
      </w:r>
      <w:proofErr w:type="spellStart"/>
      <w:r w:rsidRPr="004127B5">
        <w:rPr>
          <w:rFonts w:ascii="Arial" w:eastAsia="Calibri" w:hAnsi="Arial" w:cs="Arial"/>
          <w:bCs/>
          <w:sz w:val="20"/>
          <w:szCs w:val="20"/>
        </w:rPr>
        <w:t>onforme</w:t>
      </w:r>
      <w:proofErr w:type="spellEnd"/>
      <w:r w:rsidRPr="004127B5">
        <w:rPr>
          <w:rFonts w:ascii="Arial" w:eastAsia="Calibri" w:hAnsi="Arial" w:cs="Arial"/>
          <w:bCs/>
          <w:sz w:val="20"/>
          <w:szCs w:val="20"/>
        </w:rPr>
        <w:t xml:space="preserve"> a lo explicado en el Concepto C-043 del 9 de febrero de 2020</w:t>
      </w:r>
      <w:r w:rsidRPr="004127B5">
        <w:rPr>
          <w:rFonts w:ascii="Arial" w:eastAsia="Calibri" w:hAnsi="Arial" w:cs="Arial"/>
          <w:color w:val="000000" w:themeColor="text1"/>
          <w:sz w:val="20"/>
          <w:szCs w:val="20"/>
          <w:lang w:val="es-ES_tradnl"/>
        </w:rPr>
        <w:t xml:space="preserve">, dicho artículo del Decreto </w:t>
      </w:r>
      <w:r w:rsidRPr="004127B5">
        <w:rPr>
          <w:rFonts w:ascii="Arial" w:eastAsia="Calibri" w:hAnsi="Arial" w:cs="Arial"/>
          <w:color w:val="000000" w:themeColor="text1"/>
          <w:sz w:val="20"/>
          <w:szCs w:val="20"/>
          <w:lang w:val="es-ES_tradnl"/>
        </w:rPr>
        <w:lastRenderedPageBreak/>
        <w:t xml:space="preserve">reglamentario no está vigente, porque su contenido es contrario al del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76DFBC63" w14:textId="77777777" w:rsidR="00996F42" w:rsidRPr="004127B5" w:rsidRDefault="00996F42" w:rsidP="00996F42">
      <w:pPr>
        <w:spacing w:before="120"/>
        <w:jc w:val="both"/>
        <w:rPr>
          <w:rFonts w:ascii="Arial" w:eastAsia="Calibri" w:hAnsi="Arial" w:cs="Arial"/>
          <w:color w:val="000000" w:themeColor="text1"/>
          <w:sz w:val="20"/>
          <w:szCs w:val="20"/>
          <w:lang w:val="es-ES_tradnl"/>
        </w:rPr>
      </w:pPr>
      <w:r w:rsidRPr="004127B5">
        <w:rPr>
          <w:rFonts w:ascii="Arial" w:eastAsia="Calibri" w:hAnsi="Arial" w:cs="Arial"/>
          <w:color w:val="000000" w:themeColor="text1"/>
          <w:sz w:val="20"/>
          <w:szCs w:val="20"/>
          <w:lang w:val="es-ES_tradnl"/>
        </w:rPr>
        <w:t xml:space="preserve">Además de que el artículo 2.2.1.2.4.2.2. del Decreto 1082 de 2015 perdió el fundamento legal, su contenido es contrario al nuevo artículo 12 de la Ley 1150 de 2007, modificado por el artículo 34 de la Ley 2069 de 2020. En efecto, este último artículo no consagra las mismas exigencias para las convocatorias limitadas a </w:t>
      </w:r>
      <w:proofErr w:type="spellStart"/>
      <w:r w:rsidRPr="004127B5">
        <w:rPr>
          <w:rFonts w:ascii="Arial" w:eastAsia="Calibri" w:hAnsi="Arial" w:cs="Arial"/>
          <w:color w:val="000000" w:themeColor="text1"/>
          <w:sz w:val="20"/>
          <w:szCs w:val="20"/>
          <w:lang w:val="es-ES_tradnl"/>
        </w:rPr>
        <w:t>mipymes</w:t>
      </w:r>
      <w:proofErr w:type="spellEnd"/>
      <w:r w:rsidRPr="004127B5">
        <w:rPr>
          <w:rFonts w:ascii="Arial" w:eastAsia="Calibri" w:hAnsi="Arial" w:cs="Arial"/>
          <w:color w:val="000000" w:themeColor="text1"/>
          <w:sz w:val="20"/>
          <w:szCs w:val="20"/>
          <w:lang w:val="es-ES_tradnl"/>
        </w:rPr>
        <w:t xml:space="preserve">. Concretamente, no incluye todos los requisitos que, hasta la </w:t>
      </w:r>
      <w:proofErr w:type="gramStart"/>
      <w:r w:rsidRPr="004127B5">
        <w:rPr>
          <w:rFonts w:ascii="Arial" w:eastAsia="Calibri" w:hAnsi="Arial" w:cs="Arial"/>
          <w:color w:val="000000" w:themeColor="text1"/>
          <w:sz w:val="20"/>
          <w:szCs w:val="20"/>
          <w:lang w:val="es-ES_tradnl"/>
        </w:rPr>
        <w:t>entrada en vigencia</w:t>
      </w:r>
      <w:proofErr w:type="gramEnd"/>
      <w:r w:rsidRPr="004127B5">
        <w:rPr>
          <w:rFonts w:ascii="Arial" w:eastAsia="Calibri" w:hAnsi="Arial" w:cs="Arial"/>
          <w:color w:val="000000" w:themeColor="text1"/>
          <w:sz w:val="20"/>
          <w:szCs w:val="20"/>
          <w:lang w:val="es-ES_tradnl"/>
        </w:rPr>
        <w:t xml:space="preserve"> de la Ley 2069 de 2020, establecía el artículo 2.2.1.2.4.2.2. del Decreto 1082 de 2015. Esta norma indicaba en su primer inciso que la entidad estatal solo podía limitar la convocatoria a las </w:t>
      </w:r>
      <w:proofErr w:type="spellStart"/>
      <w:r w:rsidRPr="004127B5">
        <w:rPr>
          <w:rFonts w:ascii="Arial" w:eastAsia="Calibri" w:hAnsi="Arial" w:cs="Arial"/>
          <w:color w:val="000000" w:themeColor="text1"/>
          <w:sz w:val="20"/>
          <w:szCs w:val="20"/>
          <w:lang w:val="es-ES_tradnl"/>
        </w:rPr>
        <w:t>mipymes</w:t>
      </w:r>
      <w:proofErr w:type="spellEnd"/>
      <w:r w:rsidRPr="004127B5">
        <w:rPr>
          <w:rFonts w:ascii="Arial" w:eastAsia="Calibri" w:hAnsi="Arial" w:cs="Arial"/>
          <w:color w:val="000000" w:themeColor="text1"/>
          <w:sz w:val="20"/>
          <w:szCs w:val="20"/>
          <w:lang w:val="es-ES_tradnl"/>
        </w:rPr>
        <w:t xml:space="preserve"> nacionales si se trataba de procesos de selección de licitación pública, selección abreviada y concursos de méritos. Por su parte, tal restricción no se encuentra en el artículo 34 de la Ley 2069 de 2020.</w:t>
      </w:r>
    </w:p>
    <w:p w14:paraId="35B373BA" w14:textId="77777777" w:rsidR="00B47E9C" w:rsidRPr="00A6662C" w:rsidRDefault="00B47E9C" w:rsidP="00B47E9C">
      <w:pPr>
        <w:jc w:val="both"/>
        <w:rPr>
          <w:rFonts w:ascii="Arial" w:eastAsia="Calibri" w:hAnsi="Arial" w:cs="Arial"/>
          <w:sz w:val="20"/>
          <w:szCs w:val="20"/>
          <w:lang w:val="es-ES_tradnl"/>
        </w:rPr>
      </w:pPr>
    </w:p>
    <w:p w14:paraId="43854C30" w14:textId="77777777" w:rsidR="00B47E9C" w:rsidRPr="005419DA" w:rsidRDefault="00B47E9C" w:rsidP="00B47E9C">
      <w:pPr>
        <w:spacing w:line="276" w:lineRule="auto"/>
        <w:jc w:val="both"/>
        <w:rPr>
          <w:rFonts w:ascii="Arial" w:hAnsi="Arial" w:cs="Arial"/>
          <w:noProof/>
          <w:color w:val="000000" w:themeColor="text1"/>
          <w:sz w:val="22"/>
          <w:lang w:val="es-ES_tradnl"/>
        </w:rPr>
      </w:pPr>
    </w:p>
    <w:p w14:paraId="6BC89511" w14:textId="743255EB" w:rsidR="00B47E9C" w:rsidRDefault="00B47E9C" w:rsidP="00B47E9C">
      <w:pPr>
        <w:spacing w:line="276" w:lineRule="auto"/>
        <w:jc w:val="both"/>
        <w:rPr>
          <w:rFonts w:ascii="Arial" w:hAnsi="Arial" w:cs="Arial"/>
          <w:noProof/>
          <w:color w:val="000000" w:themeColor="text1"/>
          <w:sz w:val="22"/>
          <w:lang w:val="es-ES_tradnl"/>
        </w:rPr>
      </w:pPr>
    </w:p>
    <w:bookmarkEnd w:id="3"/>
    <w:p w14:paraId="4A170325" w14:textId="6FE07622" w:rsidR="00B75FC3" w:rsidRDefault="00B75FC3" w:rsidP="00B47E9C">
      <w:pPr>
        <w:spacing w:line="276" w:lineRule="auto"/>
        <w:jc w:val="both"/>
        <w:rPr>
          <w:rFonts w:ascii="Arial" w:hAnsi="Arial" w:cs="Arial"/>
          <w:noProof/>
          <w:color w:val="000000" w:themeColor="text1"/>
          <w:sz w:val="22"/>
          <w:lang w:val="es-ES_tradnl"/>
        </w:rPr>
      </w:pPr>
    </w:p>
    <w:p w14:paraId="1120F270" w14:textId="38015E5F" w:rsidR="00B75FC3" w:rsidRDefault="00B75FC3" w:rsidP="00B47E9C">
      <w:pPr>
        <w:spacing w:line="276" w:lineRule="auto"/>
        <w:jc w:val="both"/>
        <w:rPr>
          <w:rFonts w:ascii="Arial" w:hAnsi="Arial" w:cs="Arial"/>
          <w:noProof/>
          <w:color w:val="000000" w:themeColor="text1"/>
          <w:sz w:val="22"/>
          <w:lang w:val="es-ES_tradnl"/>
        </w:rPr>
      </w:pPr>
    </w:p>
    <w:p w14:paraId="278E3862" w14:textId="1615C139" w:rsidR="00B75FC3" w:rsidRDefault="00B75FC3" w:rsidP="00B47E9C">
      <w:pPr>
        <w:spacing w:line="276" w:lineRule="auto"/>
        <w:jc w:val="both"/>
        <w:rPr>
          <w:rFonts w:ascii="Arial" w:hAnsi="Arial" w:cs="Arial"/>
          <w:noProof/>
          <w:color w:val="000000" w:themeColor="text1"/>
          <w:sz w:val="22"/>
          <w:lang w:val="es-ES_tradnl"/>
        </w:rPr>
      </w:pPr>
    </w:p>
    <w:p w14:paraId="5BA27555" w14:textId="027C1E9E" w:rsidR="00B75FC3" w:rsidRDefault="00B75FC3" w:rsidP="00B47E9C">
      <w:pPr>
        <w:spacing w:line="276" w:lineRule="auto"/>
        <w:jc w:val="both"/>
        <w:rPr>
          <w:rFonts w:ascii="Arial" w:hAnsi="Arial" w:cs="Arial"/>
          <w:noProof/>
          <w:color w:val="000000" w:themeColor="text1"/>
          <w:sz w:val="22"/>
          <w:lang w:val="es-ES_tradnl"/>
        </w:rPr>
      </w:pPr>
    </w:p>
    <w:p w14:paraId="6EAF339D" w14:textId="525C1249" w:rsidR="00B75FC3" w:rsidRDefault="00B75FC3" w:rsidP="00B47E9C">
      <w:pPr>
        <w:spacing w:line="276" w:lineRule="auto"/>
        <w:jc w:val="both"/>
        <w:rPr>
          <w:rFonts w:ascii="Arial" w:hAnsi="Arial" w:cs="Arial"/>
          <w:noProof/>
          <w:color w:val="000000" w:themeColor="text1"/>
          <w:sz w:val="22"/>
          <w:lang w:val="es-ES_tradnl"/>
        </w:rPr>
      </w:pPr>
    </w:p>
    <w:p w14:paraId="31365BDA" w14:textId="0D6E922A" w:rsidR="00B75FC3" w:rsidRDefault="00B75FC3" w:rsidP="00B47E9C">
      <w:pPr>
        <w:spacing w:line="276" w:lineRule="auto"/>
        <w:jc w:val="both"/>
        <w:rPr>
          <w:rFonts w:ascii="Arial" w:hAnsi="Arial" w:cs="Arial"/>
          <w:noProof/>
          <w:color w:val="000000" w:themeColor="text1"/>
          <w:sz w:val="22"/>
          <w:lang w:val="es-ES_tradnl"/>
        </w:rPr>
      </w:pPr>
    </w:p>
    <w:p w14:paraId="65EA122C" w14:textId="5FC815AC" w:rsidR="00B75FC3" w:rsidRDefault="00B75FC3" w:rsidP="00B47E9C">
      <w:pPr>
        <w:spacing w:line="276" w:lineRule="auto"/>
        <w:jc w:val="both"/>
        <w:rPr>
          <w:rFonts w:ascii="Arial" w:hAnsi="Arial" w:cs="Arial"/>
          <w:noProof/>
          <w:color w:val="000000" w:themeColor="text1"/>
          <w:sz w:val="22"/>
          <w:lang w:val="es-ES_tradnl"/>
        </w:rPr>
      </w:pPr>
    </w:p>
    <w:p w14:paraId="19F452B6" w14:textId="4D15C0D2" w:rsidR="00B75FC3" w:rsidRDefault="00B75FC3" w:rsidP="00B47E9C">
      <w:pPr>
        <w:spacing w:line="276" w:lineRule="auto"/>
        <w:jc w:val="both"/>
        <w:rPr>
          <w:rFonts w:ascii="Arial" w:hAnsi="Arial" w:cs="Arial"/>
          <w:noProof/>
          <w:color w:val="000000" w:themeColor="text1"/>
          <w:sz w:val="22"/>
          <w:lang w:val="es-ES_tradnl"/>
        </w:rPr>
      </w:pPr>
    </w:p>
    <w:p w14:paraId="569314AD" w14:textId="638D0943" w:rsidR="00B75FC3" w:rsidRDefault="00B75FC3" w:rsidP="00B47E9C">
      <w:pPr>
        <w:spacing w:line="276" w:lineRule="auto"/>
        <w:jc w:val="both"/>
        <w:rPr>
          <w:rFonts w:ascii="Arial" w:hAnsi="Arial" w:cs="Arial"/>
          <w:noProof/>
          <w:color w:val="000000" w:themeColor="text1"/>
          <w:sz w:val="22"/>
          <w:lang w:val="es-ES_tradnl"/>
        </w:rPr>
      </w:pPr>
    </w:p>
    <w:p w14:paraId="34A93611" w14:textId="5A8C0523" w:rsidR="00B75FC3" w:rsidRDefault="00B75FC3" w:rsidP="00B47E9C">
      <w:pPr>
        <w:spacing w:line="276" w:lineRule="auto"/>
        <w:jc w:val="both"/>
        <w:rPr>
          <w:rFonts w:ascii="Arial" w:hAnsi="Arial" w:cs="Arial"/>
          <w:noProof/>
          <w:color w:val="000000" w:themeColor="text1"/>
          <w:sz w:val="22"/>
          <w:lang w:val="es-ES_tradnl"/>
        </w:rPr>
      </w:pPr>
    </w:p>
    <w:p w14:paraId="48ADFD2F" w14:textId="55D6DC60" w:rsidR="00B75FC3" w:rsidRDefault="00B75FC3" w:rsidP="00B47E9C">
      <w:pPr>
        <w:spacing w:line="276" w:lineRule="auto"/>
        <w:jc w:val="both"/>
        <w:rPr>
          <w:rFonts w:ascii="Arial" w:hAnsi="Arial" w:cs="Arial"/>
          <w:noProof/>
          <w:color w:val="000000" w:themeColor="text1"/>
          <w:sz w:val="22"/>
          <w:lang w:val="es-ES_tradnl"/>
        </w:rPr>
      </w:pPr>
    </w:p>
    <w:p w14:paraId="2ED122B9" w14:textId="282DD080" w:rsidR="00B75FC3" w:rsidRDefault="00B75FC3" w:rsidP="00B47E9C">
      <w:pPr>
        <w:spacing w:line="276" w:lineRule="auto"/>
        <w:jc w:val="both"/>
        <w:rPr>
          <w:rFonts w:ascii="Arial" w:hAnsi="Arial" w:cs="Arial"/>
          <w:noProof/>
          <w:color w:val="000000" w:themeColor="text1"/>
          <w:sz w:val="22"/>
          <w:lang w:val="es-ES_tradnl"/>
        </w:rPr>
      </w:pPr>
    </w:p>
    <w:p w14:paraId="00A4884F" w14:textId="430DEEF4" w:rsidR="00B75FC3" w:rsidRDefault="00B75FC3" w:rsidP="00B47E9C">
      <w:pPr>
        <w:spacing w:line="276" w:lineRule="auto"/>
        <w:jc w:val="both"/>
        <w:rPr>
          <w:rFonts w:ascii="Arial" w:hAnsi="Arial" w:cs="Arial"/>
          <w:noProof/>
          <w:color w:val="000000" w:themeColor="text1"/>
          <w:sz w:val="22"/>
          <w:lang w:val="es-ES_tradnl"/>
        </w:rPr>
      </w:pPr>
    </w:p>
    <w:p w14:paraId="0894DF96" w14:textId="52522D5F" w:rsidR="00B75FC3" w:rsidRDefault="00B75FC3" w:rsidP="00B47E9C">
      <w:pPr>
        <w:spacing w:line="276" w:lineRule="auto"/>
        <w:jc w:val="both"/>
        <w:rPr>
          <w:rFonts w:ascii="Arial" w:hAnsi="Arial" w:cs="Arial"/>
          <w:noProof/>
          <w:color w:val="000000" w:themeColor="text1"/>
          <w:sz w:val="22"/>
          <w:lang w:val="es-ES_tradnl"/>
        </w:rPr>
      </w:pPr>
    </w:p>
    <w:p w14:paraId="35A371F9" w14:textId="5A583CD7" w:rsidR="00B75FC3" w:rsidRDefault="00B75FC3" w:rsidP="00B47E9C">
      <w:pPr>
        <w:spacing w:line="276" w:lineRule="auto"/>
        <w:jc w:val="both"/>
        <w:rPr>
          <w:rFonts w:ascii="Arial" w:hAnsi="Arial" w:cs="Arial"/>
          <w:noProof/>
          <w:color w:val="000000" w:themeColor="text1"/>
          <w:sz w:val="22"/>
          <w:lang w:val="es-ES_tradnl"/>
        </w:rPr>
      </w:pPr>
    </w:p>
    <w:p w14:paraId="0622E6B7" w14:textId="03F9AF75" w:rsidR="00B75FC3" w:rsidRDefault="00B75FC3" w:rsidP="00B47E9C">
      <w:pPr>
        <w:spacing w:line="276" w:lineRule="auto"/>
        <w:jc w:val="both"/>
        <w:rPr>
          <w:rFonts w:ascii="Arial" w:hAnsi="Arial" w:cs="Arial"/>
          <w:noProof/>
          <w:color w:val="000000" w:themeColor="text1"/>
          <w:sz w:val="22"/>
          <w:lang w:val="es-ES_tradnl"/>
        </w:rPr>
      </w:pPr>
    </w:p>
    <w:p w14:paraId="1CCCDF17" w14:textId="7A97490C" w:rsidR="00B75FC3" w:rsidRDefault="00B75FC3" w:rsidP="00B47E9C">
      <w:pPr>
        <w:spacing w:line="276" w:lineRule="auto"/>
        <w:jc w:val="both"/>
        <w:rPr>
          <w:rFonts w:ascii="Arial" w:hAnsi="Arial" w:cs="Arial"/>
          <w:noProof/>
          <w:color w:val="000000" w:themeColor="text1"/>
          <w:sz w:val="22"/>
          <w:lang w:val="es-ES_tradnl"/>
        </w:rPr>
      </w:pPr>
    </w:p>
    <w:p w14:paraId="18DA4D71" w14:textId="09D9BA1A" w:rsidR="00B75FC3" w:rsidRDefault="00B75FC3" w:rsidP="00B47E9C">
      <w:pPr>
        <w:spacing w:line="276" w:lineRule="auto"/>
        <w:jc w:val="both"/>
        <w:rPr>
          <w:rFonts w:ascii="Arial" w:hAnsi="Arial" w:cs="Arial"/>
          <w:noProof/>
          <w:color w:val="000000" w:themeColor="text1"/>
          <w:sz w:val="22"/>
          <w:lang w:val="es-ES_tradnl"/>
        </w:rPr>
      </w:pPr>
    </w:p>
    <w:p w14:paraId="00C526F4" w14:textId="26741843" w:rsidR="00B75FC3" w:rsidRDefault="00B75FC3" w:rsidP="00B47E9C">
      <w:pPr>
        <w:spacing w:line="276" w:lineRule="auto"/>
        <w:jc w:val="both"/>
        <w:rPr>
          <w:rFonts w:ascii="Arial" w:hAnsi="Arial" w:cs="Arial"/>
          <w:noProof/>
          <w:color w:val="000000" w:themeColor="text1"/>
          <w:sz w:val="22"/>
          <w:lang w:val="es-ES_tradnl"/>
        </w:rPr>
      </w:pPr>
    </w:p>
    <w:p w14:paraId="4ED38FF7" w14:textId="2546E2F7" w:rsidR="00B75FC3" w:rsidRDefault="00B75FC3" w:rsidP="00B47E9C">
      <w:pPr>
        <w:spacing w:line="276" w:lineRule="auto"/>
        <w:jc w:val="both"/>
        <w:rPr>
          <w:rFonts w:ascii="Arial" w:hAnsi="Arial" w:cs="Arial"/>
          <w:noProof/>
          <w:color w:val="000000" w:themeColor="text1"/>
          <w:sz w:val="22"/>
          <w:lang w:val="es-ES_tradnl"/>
        </w:rPr>
      </w:pPr>
    </w:p>
    <w:p w14:paraId="2B7DF300" w14:textId="19E0159A" w:rsidR="00B75FC3" w:rsidRDefault="00B75FC3" w:rsidP="00B47E9C">
      <w:pPr>
        <w:spacing w:line="276" w:lineRule="auto"/>
        <w:jc w:val="both"/>
        <w:rPr>
          <w:rFonts w:ascii="Arial" w:hAnsi="Arial" w:cs="Arial"/>
          <w:noProof/>
          <w:color w:val="000000" w:themeColor="text1"/>
          <w:sz w:val="22"/>
          <w:lang w:val="es-ES_tradnl"/>
        </w:rPr>
      </w:pPr>
    </w:p>
    <w:p w14:paraId="44A97D2D" w14:textId="35340515" w:rsidR="00B75FC3" w:rsidRDefault="00B75FC3" w:rsidP="00B47E9C">
      <w:pPr>
        <w:spacing w:line="276" w:lineRule="auto"/>
        <w:jc w:val="both"/>
        <w:rPr>
          <w:rFonts w:ascii="Arial" w:hAnsi="Arial" w:cs="Arial"/>
          <w:noProof/>
          <w:color w:val="000000" w:themeColor="text1"/>
          <w:sz w:val="22"/>
          <w:lang w:val="es-ES_tradnl"/>
        </w:rPr>
      </w:pPr>
    </w:p>
    <w:p w14:paraId="27B3D963" w14:textId="39A76DE0" w:rsidR="00B75FC3" w:rsidRDefault="00B75FC3" w:rsidP="00B47E9C">
      <w:pPr>
        <w:spacing w:line="276" w:lineRule="auto"/>
        <w:jc w:val="both"/>
        <w:rPr>
          <w:rFonts w:ascii="Arial" w:hAnsi="Arial" w:cs="Arial"/>
          <w:noProof/>
          <w:color w:val="000000" w:themeColor="text1"/>
          <w:sz w:val="22"/>
          <w:lang w:val="es-ES_tradnl"/>
        </w:rPr>
      </w:pPr>
    </w:p>
    <w:p w14:paraId="672F0C14" w14:textId="12EF5613" w:rsidR="00B75FC3" w:rsidRDefault="00B75FC3" w:rsidP="00B47E9C">
      <w:pPr>
        <w:spacing w:line="276" w:lineRule="auto"/>
        <w:jc w:val="both"/>
        <w:rPr>
          <w:rFonts w:ascii="Arial" w:hAnsi="Arial" w:cs="Arial"/>
          <w:noProof/>
          <w:color w:val="000000" w:themeColor="text1"/>
          <w:sz w:val="22"/>
          <w:lang w:val="es-ES_tradnl"/>
        </w:rPr>
      </w:pPr>
    </w:p>
    <w:p w14:paraId="02C5E595" w14:textId="7D052DF6" w:rsidR="00B75FC3" w:rsidRDefault="00B75FC3" w:rsidP="00B47E9C">
      <w:pPr>
        <w:spacing w:line="276" w:lineRule="auto"/>
        <w:jc w:val="both"/>
        <w:rPr>
          <w:rFonts w:ascii="Arial" w:hAnsi="Arial" w:cs="Arial"/>
          <w:noProof/>
          <w:color w:val="000000" w:themeColor="text1"/>
          <w:sz w:val="22"/>
          <w:lang w:val="es-ES_tradnl"/>
        </w:rPr>
      </w:pPr>
    </w:p>
    <w:p w14:paraId="4AC13659" w14:textId="77777777" w:rsidR="00B75FC3" w:rsidRPr="005419DA" w:rsidRDefault="00B75FC3" w:rsidP="00B47E9C">
      <w:pPr>
        <w:spacing w:line="276" w:lineRule="auto"/>
        <w:jc w:val="both"/>
        <w:rPr>
          <w:rFonts w:ascii="Arial" w:hAnsi="Arial" w:cs="Arial"/>
          <w:noProof/>
          <w:color w:val="000000" w:themeColor="text1"/>
          <w:sz w:val="22"/>
          <w:lang w:val="es-ES_tradnl"/>
        </w:rPr>
      </w:pPr>
    </w:p>
    <w:p w14:paraId="090B9FE5" w14:textId="77777777" w:rsidR="00B47E9C" w:rsidRPr="005419DA" w:rsidRDefault="00B47E9C" w:rsidP="00B47E9C">
      <w:pPr>
        <w:spacing w:line="276" w:lineRule="auto"/>
        <w:jc w:val="both"/>
        <w:rPr>
          <w:rFonts w:ascii="Arial" w:hAnsi="Arial" w:cs="Arial"/>
          <w:noProof/>
          <w:color w:val="000000" w:themeColor="text1"/>
          <w:sz w:val="22"/>
          <w:lang w:val="es-ES_tradnl"/>
        </w:rPr>
      </w:pPr>
    </w:p>
    <w:p w14:paraId="1E01CB44" w14:textId="77777777" w:rsidR="00B47E9C" w:rsidRPr="005419DA" w:rsidRDefault="00B47E9C" w:rsidP="00B47E9C">
      <w:pPr>
        <w:spacing w:line="276" w:lineRule="auto"/>
        <w:jc w:val="both"/>
        <w:rPr>
          <w:rFonts w:ascii="Arial" w:hAnsi="Arial" w:cs="Arial"/>
          <w:noProof/>
          <w:color w:val="000000" w:themeColor="text1"/>
          <w:sz w:val="22"/>
          <w:lang w:val="es-ES_tradnl"/>
        </w:rPr>
      </w:pPr>
    </w:p>
    <w:p w14:paraId="0125E532" w14:textId="77777777" w:rsidR="002931E2" w:rsidRDefault="002931E2" w:rsidP="00B47E9C">
      <w:pPr>
        <w:spacing w:line="276" w:lineRule="auto"/>
        <w:textAlignment w:val="baseline"/>
        <w:rPr>
          <w:rFonts w:ascii="Arial" w:hAnsi="Arial" w:cs="Arial"/>
          <w:sz w:val="22"/>
          <w:szCs w:val="22"/>
          <w:lang w:eastAsia="es-CO"/>
        </w:rPr>
      </w:pPr>
    </w:p>
    <w:p w14:paraId="4067DD15" w14:textId="2AF5BF8E" w:rsidR="00B47E9C" w:rsidRPr="005419DA" w:rsidRDefault="00B57F82" w:rsidP="00B57F82">
      <w:pPr>
        <w:jc w:val="right"/>
        <w:rPr>
          <w:rFonts w:ascii="Arial" w:hAnsi="Arial" w:cs="Arial"/>
          <w:b/>
          <w:color w:val="000000" w:themeColor="text1"/>
          <w:sz w:val="22"/>
          <w:lang w:val="es-ES_tradnl"/>
        </w:rPr>
      </w:pPr>
      <w:bookmarkStart w:id="6" w:name="_Hlk69147030"/>
      <w:r>
        <w:rPr>
          <w:noProof/>
        </w:rPr>
        <w:drawing>
          <wp:inline distT="0" distB="0" distL="0" distR="0" wp14:anchorId="30C2754A" wp14:editId="0409DC2C">
            <wp:extent cx="3098165" cy="935083"/>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6227" t="49882" r="5960" b="29820"/>
                    <a:stretch/>
                  </pic:blipFill>
                  <pic:spPr bwMode="auto">
                    <a:xfrm>
                      <a:off x="0" y="0"/>
                      <a:ext cx="3117916" cy="941044"/>
                    </a:xfrm>
                    <a:prstGeom prst="rect">
                      <a:avLst/>
                    </a:prstGeom>
                    <a:ln>
                      <a:noFill/>
                    </a:ln>
                    <a:extLst>
                      <a:ext uri="{53640926-AAD7-44D8-BBD7-CCE9431645EC}">
                        <a14:shadowObscured xmlns:a14="http://schemas.microsoft.com/office/drawing/2010/main"/>
                      </a:ext>
                    </a:extLst>
                  </pic:spPr>
                </pic:pic>
              </a:graphicData>
            </a:graphic>
          </wp:inline>
        </w:drawing>
      </w:r>
    </w:p>
    <w:p w14:paraId="67F33E70" w14:textId="79AF47EB" w:rsidR="00B57F82" w:rsidRPr="00F92DCC" w:rsidRDefault="00B57F82" w:rsidP="00B47E9C">
      <w:pPr>
        <w:jc w:val="both"/>
        <w:rPr>
          <w:rFonts w:ascii="Arial" w:hAnsi="Arial" w:cs="Arial"/>
          <w:b/>
          <w:color w:val="000000" w:themeColor="text1"/>
          <w:sz w:val="22"/>
          <w:szCs w:val="22"/>
          <w:lang w:val="es-ES_tradnl"/>
        </w:rPr>
      </w:pPr>
    </w:p>
    <w:p w14:paraId="5466FE87" w14:textId="4E2A9013" w:rsidR="00B57F82" w:rsidRPr="00F92DCC" w:rsidRDefault="00F92DCC" w:rsidP="00B47E9C">
      <w:pPr>
        <w:jc w:val="both"/>
        <w:rPr>
          <w:rFonts w:ascii="Arial" w:hAnsi="Arial" w:cs="Arial"/>
          <w:sz w:val="22"/>
          <w:szCs w:val="22"/>
        </w:rPr>
      </w:pPr>
      <w:r w:rsidRPr="00F92DCC">
        <w:rPr>
          <w:rFonts w:ascii="Arial" w:hAnsi="Arial" w:cs="Arial"/>
          <w:sz w:val="22"/>
          <w:szCs w:val="22"/>
        </w:rPr>
        <w:t xml:space="preserve">Bogotá, 12 </w:t>
      </w:r>
      <w:proofErr w:type="gramStart"/>
      <w:r w:rsidRPr="00F92DCC">
        <w:rPr>
          <w:rFonts w:ascii="Arial" w:hAnsi="Arial" w:cs="Arial"/>
          <w:sz w:val="22"/>
          <w:szCs w:val="22"/>
        </w:rPr>
        <w:t>Abril</w:t>
      </w:r>
      <w:proofErr w:type="gramEnd"/>
      <w:r w:rsidRPr="00F92DCC">
        <w:rPr>
          <w:rFonts w:ascii="Arial" w:hAnsi="Arial" w:cs="Arial"/>
          <w:sz w:val="22"/>
          <w:szCs w:val="22"/>
        </w:rPr>
        <w:t xml:space="preserve"> 2021</w:t>
      </w:r>
    </w:p>
    <w:p w14:paraId="51E6176C" w14:textId="77777777" w:rsidR="00F92DCC" w:rsidRPr="005419DA" w:rsidRDefault="00F92DCC" w:rsidP="00B47E9C">
      <w:pPr>
        <w:jc w:val="both"/>
        <w:rPr>
          <w:rFonts w:ascii="Arial" w:hAnsi="Arial" w:cs="Arial"/>
          <w:b/>
          <w:color w:val="000000" w:themeColor="text1"/>
          <w:sz w:val="22"/>
          <w:lang w:val="es-ES_tradnl"/>
        </w:rPr>
      </w:pPr>
    </w:p>
    <w:p w14:paraId="73FF23EF" w14:textId="5842D6E0" w:rsidR="00B47E9C" w:rsidRPr="005419DA" w:rsidRDefault="00B47E9C" w:rsidP="00B47E9C">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Señor</w:t>
      </w:r>
      <w:r>
        <w:rPr>
          <w:rFonts w:ascii="Arial" w:eastAsia="Calibri" w:hAnsi="Arial" w:cs="Arial"/>
          <w:color w:val="000000" w:themeColor="text1"/>
          <w:sz w:val="22"/>
          <w:lang w:val="es-ES_tradnl"/>
        </w:rPr>
        <w:t>a</w:t>
      </w:r>
    </w:p>
    <w:p w14:paraId="0447B08B" w14:textId="69101178" w:rsidR="00B47E9C" w:rsidRPr="00071A76" w:rsidRDefault="00B47E9C" w:rsidP="00B47E9C">
      <w:pPr>
        <w:jc w:val="both"/>
        <w:rPr>
          <w:rFonts w:ascii="Arial" w:hAnsi="Arial" w:cs="Arial"/>
          <w:b/>
          <w:bCs/>
          <w:sz w:val="22"/>
          <w:szCs w:val="22"/>
        </w:rPr>
      </w:pPr>
      <w:r w:rsidRPr="00071A76">
        <w:rPr>
          <w:rFonts w:ascii="Arial" w:hAnsi="Arial" w:cs="Arial"/>
          <w:b/>
          <w:bCs/>
          <w:sz w:val="22"/>
          <w:szCs w:val="22"/>
        </w:rPr>
        <w:t>Deysi Alejandra Castro Beltrán</w:t>
      </w:r>
    </w:p>
    <w:p w14:paraId="45A36131" w14:textId="52CD05BB" w:rsidR="00B47E9C" w:rsidRPr="005419DA" w:rsidRDefault="00071A76" w:rsidP="00B47E9C">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San Gil, Santander</w:t>
      </w:r>
    </w:p>
    <w:p w14:paraId="27D45BFC" w14:textId="77777777" w:rsidR="00B47E9C" w:rsidRPr="005419DA" w:rsidRDefault="00B47E9C" w:rsidP="00B47E9C">
      <w:pPr>
        <w:jc w:val="both"/>
        <w:rPr>
          <w:rFonts w:ascii="Arial" w:eastAsia="Calibri" w:hAnsi="Arial" w:cs="Arial"/>
          <w:color w:val="000000" w:themeColor="text1"/>
          <w:sz w:val="22"/>
          <w:lang w:val="es-ES_tradnl"/>
        </w:rPr>
      </w:pPr>
    </w:p>
    <w:p w14:paraId="18D99B74" w14:textId="77777777" w:rsidR="00B47E9C" w:rsidRPr="005419DA" w:rsidRDefault="00B47E9C" w:rsidP="00B47E9C">
      <w:pPr>
        <w:jc w:val="both"/>
        <w:rPr>
          <w:rFonts w:ascii="Arial" w:eastAsia="Calibri" w:hAnsi="Arial" w:cs="Arial"/>
          <w:color w:val="000000" w:themeColor="text1"/>
          <w:sz w:val="22"/>
          <w:lang w:val="es-ES_tradnl"/>
        </w:rPr>
      </w:pPr>
    </w:p>
    <w:p w14:paraId="6F2D80DD" w14:textId="181618C2" w:rsidR="00B47E9C" w:rsidRPr="005419DA" w:rsidRDefault="00B47E9C" w:rsidP="00B47E9C">
      <w:pPr>
        <w:rPr>
          <w:rFonts w:ascii="Arial" w:eastAsia="Calibri" w:hAnsi="Arial" w:cs="Arial"/>
          <w:b/>
          <w:bCs/>
          <w:color w:val="000000" w:themeColor="text1"/>
          <w:sz w:val="22"/>
          <w:lang w:val="es-ES_tradnl"/>
        </w:rPr>
      </w:pPr>
      <w:r w:rsidRPr="005419DA">
        <w:rPr>
          <w:rFonts w:ascii="Arial" w:eastAsia="Calibri" w:hAnsi="Arial" w:cs="Arial"/>
          <w:b/>
          <w:bCs/>
          <w:color w:val="000000" w:themeColor="text1"/>
          <w:sz w:val="22"/>
          <w:lang w:val="es-ES_tradnl"/>
        </w:rPr>
        <w:t xml:space="preserve">                                            Concepto C ‒ </w:t>
      </w:r>
      <w:r w:rsidR="00071A76">
        <w:rPr>
          <w:rFonts w:ascii="Arial" w:eastAsia="Calibri" w:hAnsi="Arial" w:cs="Arial"/>
          <w:b/>
          <w:bCs/>
          <w:color w:val="000000" w:themeColor="text1"/>
          <w:sz w:val="22"/>
          <w:lang w:val="es-ES_tradnl"/>
        </w:rPr>
        <w:t>151</w:t>
      </w:r>
      <w:r>
        <w:rPr>
          <w:rFonts w:ascii="Arial" w:eastAsia="Calibri" w:hAnsi="Arial" w:cs="Arial"/>
          <w:b/>
          <w:bCs/>
          <w:color w:val="000000" w:themeColor="text1"/>
          <w:sz w:val="22"/>
          <w:lang w:val="es-ES_tradnl"/>
        </w:rPr>
        <w:t xml:space="preserve"> </w:t>
      </w:r>
      <w:r w:rsidRPr="005419DA">
        <w:rPr>
          <w:rFonts w:ascii="Arial" w:eastAsia="Calibri" w:hAnsi="Arial" w:cs="Arial"/>
          <w:b/>
          <w:bCs/>
          <w:color w:val="000000" w:themeColor="text1"/>
          <w:sz w:val="22"/>
          <w:lang w:val="es-ES_tradnl"/>
        </w:rPr>
        <w:t>de 2021</w:t>
      </w:r>
    </w:p>
    <w:p w14:paraId="3FB58251" w14:textId="77777777" w:rsidR="00B47E9C" w:rsidRPr="005419DA" w:rsidRDefault="00B47E9C" w:rsidP="00B47E9C">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47E9C" w:rsidRPr="005419DA" w14:paraId="0BC299B2" w14:textId="77777777" w:rsidTr="002F4377">
        <w:tc>
          <w:tcPr>
            <w:tcW w:w="2689" w:type="dxa"/>
          </w:tcPr>
          <w:p w14:paraId="315523C9" w14:textId="77777777" w:rsidR="00B47E9C" w:rsidRPr="005419DA" w:rsidRDefault="00B47E9C" w:rsidP="002F4377">
            <w:pPr>
              <w:jc w:val="both"/>
              <w:rPr>
                <w:rFonts w:ascii="Arial" w:eastAsia="Calibri" w:hAnsi="Arial" w:cs="Arial"/>
                <w:color w:val="000000" w:themeColor="text1"/>
                <w:sz w:val="22"/>
                <w:lang w:val="es-ES_tradnl"/>
              </w:rPr>
            </w:pPr>
            <w:r w:rsidRPr="005419DA">
              <w:rPr>
                <w:rFonts w:ascii="Arial" w:eastAsia="Calibri" w:hAnsi="Arial" w:cs="Arial"/>
                <w:b/>
                <w:color w:val="000000" w:themeColor="text1"/>
                <w:sz w:val="22"/>
                <w:lang w:val="es-ES_tradnl"/>
              </w:rPr>
              <w:t>Temas:</w:t>
            </w:r>
            <w:r w:rsidRPr="005419DA">
              <w:rPr>
                <w:rFonts w:ascii="Arial" w:eastAsia="Calibri" w:hAnsi="Arial" w:cs="Arial"/>
                <w:color w:val="000000" w:themeColor="text1"/>
                <w:sz w:val="22"/>
                <w:lang w:val="es-ES_tradnl"/>
              </w:rPr>
              <w:t xml:space="preserve">                                      </w:t>
            </w:r>
          </w:p>
        </w:tc>
        <w:tc>
          <w:tcPr>
            <w:tcW w:w="6237" w:type="dxa"/>
          </w:tcPr>
          <w:p w14:paraId="19090F8E" w14:textId="77777777" w:rsidR="00996F42" w:rsidRPr="00121A61" w:rsidRDefault="00996F42" w:rsidP="00996F42">
            <w:pPr>
              <w:jc w:val="both"/>
              <w:rPr>
                <w:rFonts w:ascii="Arial" w:eastAsia="Calibri" w:hAnsi="Arial" w:cs="Arial"/>
                <w:bCs/>
                <w:color w:val="000000" w:themeColor="text1"/>
                <w:sz w:val="22"/>
                <w:szCs w:val="22"/>
                <w:lang w:val="es-ES_tradnl"/>
              </w:rPr>
            </w:pPr>
            <w:r w:rsidRPr="004127B5">
              <w:rPr>
                <w:rFonts w:ascii="Arial" w:eastAsia="Calibri" w:hAnsi="Arial" w:cs="Arial"/>
                <w:bCs/>
                <w:color w:val="000000" w:themeColor="text1"/>
                <w:sz w:val="22"/>
                <w:szCs w:val="22"/>
              </w:rPr>
              <w:t xml:space="preserve">LEY DE EMPRENDIMIENTO – Finalidad </w:t>
            </w:r>
            <w:r w:rsidRPr="00121A61">
              <w:rPr>
                <w:rFonts w:ascii="Arial" w:eastAsia="Calibri" w:hAnsi="Arial" w:cs="Arial"/>
                <w:bCs/>
                <w:color w:val="000000" w:themeColor="text1"/>
                <w:sz w:val="22"/>
                <w:szCs w:val="22"/>
              </w:rPr>
              <w:t xml:space="preserve">/ </w:t>
            </w:r>
            <w:r w:rsidRPr="004127B5">
              <w:rPr>
                <w:rFonts w:ascii="Arial" w:eastAsia="Calibri" w:hAnsi="Arial" w:cs="Arial"/>
                <w:bCs/>
                <w:sz w:val="22"/>
                <w:szCs w:val="22"/>
                <w:lang w:val="es-ES_tradnl"/>
              </w:rPr>
              <w:t xml:space="preserve">PROMOCIÓN DEL DESARROLLO </w:t>
            </w:r>
            <w:r w:rsidRPr="004127B5">
              <w:rPr>
                <w:rFonts w:ascii="Arial" w:eastAsia="Calibri" w:hAnsi="Arial" w:cs="Arial"/>
                <w:bCs/>
                <w:color w:val="000000" w:themeColor="text1"/>
                <w:sz w:val="22"/>
                <w:szCs w:val="22"/>
                <w:lang w:val="es-ES_tradnl"/>
              </w:rPr>
              <w:t>– Contratación estatal –</w:t>
            </w:r>
            <w:r w:rsidRPr="004127B5">
              <w:rPr>
                <w:rFonts w:ascii="Arial" w:eastAsia="Calibri" w:hAnsi="Arial" w:cs="Arial"/>
                <w:bCs/>
                <w:sz w:val="22"/>
                <w:szCs w:val="22"/>
                <w:lang w:val="es-ES_tradnl"/>
              </w:rPr>
              <w:t xml:space="preserve"> Ley 2069 </w:t>
            </w:r>
            <w:r w:rsidRPr="004127B5">
              <w:rPr>
                <w:rFonts w:ascii="Arial" w:eastAsia="Calibri" w:hAnsi="Arial" w:cs="Arial"/>
                <w:bCs/>
                <w:color w:val="000000" w:themeColor="text1"/>
                <w:sz w:val="22"/>
                <w:szCs w:val="22"/>
                <w:lang w:val="es-ES_tradnl"/>
              </w:rPr>
              <w:t>– Artículo 34 – Subrogación</w:t>
            </w:r>
            <w:r w:rsidRPr="00121A61">
              <w:rPr>
                <w:rFonts w:ascii="Arial" w:eastAsia="Calibri" w:hAnsi="Arial" w:cs="Arial"/>
                <w:bCs/>
                <w:color w:val="000000" w:themeColor="text1"/>
                <w:sz w:val="22"/>
                <w:szCs w:val="22"/>
                <w:lang w:val="es-ES_tradnl"/>
              </w:rPr>
              <w:t xml:space="preserve"> − Artículo 12 − Ley 1150 de 2007 / </w:t>
            </w:r>
            <w:r w:rsidRPr="00121A61">
              <w:rPr>
                <w:rFonts w:ascii="Arial" w:hAnsi="Arial" w:cs="Arial"/>
                <w:bCs/>
                <w:color w:val="000000"/>
                <w:sz w:val="22"/>
                <w:szCs w:val="22"/>
                <w:bdr w:val="none" w:sz="0" w:space="0" w:color="auto" w:frame="1"/>
              </w:rPr>
              <w:t xml:space="preserve">LEY 2069 DE 2020 – Artículo 34 – Decreto 1082 de 2015 – Artículo </w:t>
            </w:r>
            <w:r w:rsidRPr="00121A61">
              <w:rPr>
                <w:rFonts w:ascii="Arial" w:eastAsia="Calibri" w:hAnsi="Arial" w:cs="Arial"/>
                <w:bCs/>
                <w:color w:val="000000" w:themeColor="text1"/>
                <w:sz w:val="22"/>
                <w:szCs w:val="22"/>
                <w:lang w:val="es-ES_tradnl"/>
              </w:rPr>
              <w:t xml:space="preserve">2.2.1.2.4.2.2 – Convocatorias limitadas a </w:t>
            </w:r>
            <w:proofErr w:type="spellStart"/>
            <w:r w:rsidRPr="00121A61">
              <w:rPr>
                <w:rFonts w:ascii="Arial" w:eastAsia="Calibri" w:hAnsi="Arial" w:cs="Arial"/>
                <w:bCs/>
                <w:color w:val="000000" w:themeColor="text1"/>
                <w:sz w:val="22"/>
                <w:szCs w:val="22"/>
                <w:lang w:val="es-ES_tradnl"/>
              </w:rPr>
              <w:t>mipymes</w:t>
            </w:r>
            <w:proofErr w:type="spellEnd"/>
            <w:r w:rsidRPr="00121A61">
              <w:rPr>
                <w:rFonts w:ascii="Arial" w:eastAsia="Calibri" w:hAnsi="Arial" w:cs="Arial"/>
                <w:bCs/>
                <w:color w:val="000000" w:themeColor="text1"/>
                <w:sz w:val="22"/>
                <w:szCs w:val="22"/>
                <w:lang w:val="es-ES_tradnl"/>
              </w:rPr>
              <w:t xml:space="preserve"> – Perdida de fuerza ejecutoria</w:t>
            </w:r>
          </w:p>
          <w:p w14:paraId="2A4A9F00" w14:textId="4170A224" w:rsidR="00B47E9C" w:rsidRPr="0027683D" w:rsidRDefault="00B47E9C" w:rsidP="002F4377">
            <w:pPr>
              <w:jc w:val="both"/>
              <w:rPr>
                <w:rFonts w:ascii="Arial" w:eastAsia="Calibri" w:hAnsi="Arial" w:cs="Arial"/>
                <w:color w:val="000000" w:themeColor="text1"/>
                <w:sz w:val="22"/>
                <w:lang w:val="es-ES_tradnl"/>
              </w:rPr>
            </w:pPr>
          </w:p>
        </w:tc>
      </w:tr>
      <w:tr w:rsidR="00B47E9C" w:rsidRPr="005419DA" w14:paraId="6A321B48" w14:textId="77777777" w:rsidTr="002F4377">
        <w:tc>
          <w:tcPr>
            <w:tcW w:w="2689" w:type="dxa"/>
          </w:tcPr>
          <w:p w14:paraId="438EFB36" w14:textId="77777777" w:rsidR="00B47E9C" w:rsidRPr="005419DA" w:rsidRDefault="00B47E9C" w:rsidP="002F4377">
            <w:pPr>
              <w:spacing w:before="12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Radicación:</w:t>
            </w:r>
            <w:r w:rsidRPr="005419DA">
              <w:rPr>
                <w:rFonts w:ascii="Arial" w:eastAsia="Calibri" w:hAnsi="Arial" w:cs="Arial"/>
                <w:color w:val="000000" w:themeColor="text1"/>
                <w:sz w:val="22"/>
                <w:lang w:val="es-ES_tradnl"/>
              </w:rPr>
              <w:t xml:space="preserve">                              </w:t>
            </w:r>
          </w:p>
        </w:tc>
        <w:tc>
          <w:tcPr>
            <w:tcW w:w="6237" w:type="dxa"/>
          </w:tcPr>
          <w:p w14:paraId="5F480D46" w14:textId="6ABE3C63" w:rsidR="00B47E9C" w:rsidRPr="005419DA" w:rsidRDefault="00B47E9C" w:rsidP="002F4377">
            <w:pPr>
              <w:spacing w:before="120"/>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 xml:space="preserve">Respuesta a consulta # </w:t>
            </w:r>
            <w:r w:rsidR="00071A76" w:rsidRPr="00071A76">
              <w:rPr>
                <w:rFonts w:ascii="Arial" w:eastAsia="Calibri" w:hAnsi="Arial" w:cs="Arial"/>
                <w:color w:val="000000" w:themeColor="text1"/>
                <w:sz w:val="22"/>
                <w:lang w:val="es-ES_tradnl"/>
              </w:rPr>
              <w:t>P20210225001563</w:t>
            </w:r>
          </w:p>
        </w:tc>
      </w:tr>
    </w:tbl>
    <w:p w14:paraId="5AF9885C" w14:textId="77777777" w:rsidR="00811071" w:rsidRPr="005419DA" w:rsidRDefault="00811071" w:rsidP="00B47E9C">
      <w:pPr>
        <w:jc w:val="both"/>
        <w:rPr>
          <w:rFonts w:ascii="Arial" w:eastAsia="Calibri" w:hAnsi="Arial" w:cs="Arial"/>
          <w:color w:val="000000" w:themeColor="text1"/>
          <w:sz w:val="22"/>
          <w:lang w:val="es-ES_tradnl"/>
        </w:rPr>
      </w:pPr>
    </w:p>
    <w:p w14:paraId="0F8E82C2" w14:textId="7F87AE00" w:rsidR="00B47E9C" w:rsidRPr="005419DA" w:rsidRDefault="00B47E9C" w:rsidP="00B47E9C">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Estimad</w:t>
      </w:r>
      <w:r w:rsidR="00071A76">
        <w:rPr>
          <w:rFonts w:ascii="Arial" w:eastAsia="Calibri" w:hAnsi="Arial" w:cs="Arial"/>
          <w:color w:val="000000" w:themeColor="text1"/>
          <w:sz w:val="22"/>
          <w:lang w:val="es-ES_tradnl"/>
        </w:rPr>
        <w:t>a</w:t>
      </w:r>
      <w:r w:rsidRPr="005419DA">
        <w:rPr>
          <w:rFonts w:ascii="Arial" w:eastAsia="Calibri" w:hAnsi="Arial" w:cs="Arial"/>
          <w:color w:val="000000" w:themeColor="text1"/>
          <w:sz w:val="22"/>
          <w:lang w:val="es-ES_tradnl"/>
        </w:rPr>
        <w:t xml:space="preserve"> señor</w:t>
      </w:r>
      <w:r w:rsidR="00B146EB">
        <w:rPr>
          <w:rFonts w:ascii="Arial" w:eastAsia="Calibri" w:hAnsi="Arial" w:cs="Arial"/>
          <w:color w:val="000000" w:themeColor="text1"/>
          <w:sz w:val="22"/>
          <w:lang w:val="es-ES_tradnl"/>
        </w:rPr>
        <w:t>a</w:t>
      </w:r>
      <w:r w:rsidR="00071A76">
        <w:rPr>
          <w:rFonts w:ascii="Arial" w:eastAsia="Calibri" w:hAnsi="Arial" w:cs="Arial"/>
          <w:color w:val="000000" w:themeColor="text1"/>
          <w:sz w:val="22"/>
          <w:lang w:val="es-ES_tradnl"/>
        </w:rPr>
        <w:t xml:space="preserve"> </w:t>
      </w:r>
      <w:r w:rsidR="00071A76" w:rsidRPr="00071A76">
        <w:rPr>
          <w:rFonts w:ascii="Arial" w:hAnsi="Arial" w:cs="Arial"/>
          <w:sz w:val="22"/>
          <w:szCs w:val="22"/>
        </w:rPr>
        <w:t>Castro Beltrán</w:t>
      </w:r>
      <w:r w:rsidRPr="00071A76">
        <w:rPr>
          <w:rFonts w:ascii="Arial" w:eastAsia="Calibri" w:hAnsi="Arial" w:cs="Arial"/>
          <w:color w:val="000000" w:themeColor="text1"/>
          <w:sz w:val="22"/>
          <w:lang w:val="es-ES_tradnl"/>
        </w:rPr>
        <w:t>:</w:t>
      </w:r>
    </w:p>
    <w:p w14:paraId="693B0558" w14:textId="77777777" w:rsidR="00B47E9C" w:rsidRPr="005419DA" w:rsidRDefault="00B47E9C" w:rsidP="00B47E9C">
      <w:pPr>
        <w:jc w:val="both"/>
        <w:rPr>
          <w:rFonts w:ascii="Arial" w:eastAsia="Calibri" w:hAnsi="Arial" w:cs="Arial"/>
          <w:color w:val="000000" w:themeColor="text1"/>
          <w:sz w:val="22"/>
          <w:lang w:val="es-ES_tradnl"/>
        </w:rPr>
      </w:pPr>
    </w:p>
    <w:p w14:paraId="1848FC01" w14:textId="6AC7CDF1" w:rsidR="00B47E9C" w:rsidRPr="005419DA" w:rsidRDefault="00B47E9C" w:rsidP="00B47E9C">
      <w:pPr>
        <w:spacing w:line="276" w:lineRule="auto"/>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071A76">
        <w:rPr>
          <w:rFonts w:ascii="Arial" w:eastAsia="Calibri" w:hAnsi="Arial" w:cs="Arial"/>
          <w:color w:val="000000" w:themeColor="text1"/>
          <w:sz w:val="22"/>
          <w:lang w:val="es-ES_tradnl"/>
        </w:rPr>
        <w:t>24</w:t>
      </w:r>
      <w:r w:rsidRPr="005419DA">
        <w:rPr>
          <w:rFonts w:ascii="Arial" w:eastAsia="Calibri" w:hAnsi="Arial" w:cs="Arial"/>
          <w:color w:val="000000" w:themeColor="text1"/>
          <w:sz w:val="22"/>
          <w:lang w:val="es-ES_tradnl"/>
        </w:rPr>
        <w:t xml:space="preserve"> de </w:t>
      </w:r>
      <w:r>
        <w:rPr>
          <w:rFonts w:ascii="Arial" w:eastAsia="Calibri" w:hAnsi="Arial" w:cs="Arial"/>
          <w:color w:val="000000" w:themeColor="text1"/>
          <w:sz w:val="22"/>
          <w:lang w:val="es-ES_tradnl"/>
        </w:rPr>
        <w:t>febrero</w:t>
      </w:r>
      <w:r w:rsidRPr="005419DA">
        <w:rPr>
          <w:rFonts w:ascii="Arial" w:eastAsia="Calibri" w:hAnsi="Arial" w:cs="Arial"/>
          <w:color w:val="000000" w:themeColor="text1"/>
          <w:sz w:val="22"/>
          <w:lang w:val="es-ES_tradnl"/>
        </w:rPr>
        <w:t xml:space="preserve"> del 2021.</w:t>
      </w:r>
    </w:p>
    <w:p w14:paraId="42F86F94" w14:textId="77777777" w:rsidR="00B47E9C" w:rsidRPr="005419DA" w:rsidRDefault="00B47E9C" w:rsidP="00B47E9C">
      <w:pPr>
        <w:spacing w:line="276" w:lineRule="auto"/>
        <w:jc w:val="both"/>
        <w:rPr>
          <w:rFonts w:ascii="Arial" w:eastAsia="Calibri" w:hAnsi="Arial" w:cs="Arial"/>
          <w:b/>
          <w:color w:val="000000" w:themeColor="text1"/>
          <w:sz w:val="22"/>
          <w:lang w:val="es-ES_tradnl"/>
        </w:rPr>
      </w:pPr>
    </w:p>
    <w:p w14:paraId="4FDD69F7" w14:textId="77777777" w:rsidR="00B47E9C" w:rsidRPr="005419DA" w:rsidRDefault="00B47E9C" w:rsidP="00B47E9C">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 xml:space="preserve">Problema planteado </w:t>
      </w:r>
    </w:p>
    <w:p w14:paraId="7C370377" w14:textId="77777777" w:rsidR="00B47E9C" w:rsidRPr="005419DA" w:rsidRDefault="00B47E9C" w:rsidP="00B47E9C">
      <w:pPr>
        <w:tabs>
          <w:tab w:val="left" w:pos="426"/>
        </w:tabs>
        <w:spacing w:line="276" w:lineRule="auto"/>
        <w:jc w:val="both"/>
        <w:rPr>
          <w:rFonts w:ascii="Arial" w:eastAsia="Calibri" w:hAnsi="Arial" w:cs="Arial"/>
          <w:b/>
          <w:color w:val="000000" w:themeColor="text1"/>
          <w:sz w:val="22"/>
          <w:lang w:val="es-ES_tradnl"/>
        </w:rPr>
      </w:pPr>
    </w:p>
    <w:p w14:paraId="3C8D30D8" w14:textId="453F49E6" w:rsidR="00B47E9C" w:rsidRDefault="00071A76" w:rsidP="00071A76">
      <w:pPr>
        <w:spacing w:line="276" w:lineRule="auto"/>
        <w:jc w:val="both"/>
        <w:rPr>
          <w:rFonts w:ascii="Arial" w:hAnsi="Arial" w:cs="Arial"/>
          <w:sz w:val="22"/>
          <w:szCs w:val="22"/>
        </w:rPr>
      </w:pPr>
      <w:bookmarkStart w:id="7" w:name="_Hlk49352499"/>
      <w:bookmarkStart w:id="8" w:name="_Hlk41142281"/>
      <w:bookmarkStart w:id="9" w:name="_Hlk41043439"/>
      <w:r w:rsidRPr="00071A76">
        <w:rPr>
          <w:rFonts w:ascii="Arial" w:eastAsia="Calibri" w:hAnsi="Arial" w:cs="Arial"/>
          <w:color w:val="000000" w:themeColor="text1"/>
          <w:sz w:val="22"/>
          <w:szCs w:val="22"/>
        </w:rPr>
        <w:t xml:space="preserve">En relación con </w:t>
      </w:r>
      <w:r w:rsidR="00B146EB">
        <w:rPr>
          <w:rFonts w:ascii="Arial" w:eastAsia="Calibri" w:hAnsi="Arial" w:cs="Arial"/>
          <w:color w:val="000000" w:themeColor="text1"/>
          <w:sz w:val="22"/>
          <w:szCs w:val="22"/>
        </w:rPr>
        <w:t xml:space="preserve">el artículo 34 de </w:t>
      </w:r>
      <w:r w:rsidRPr="00071A76">
        <w:rPr>
          <w:rFonts w:ascii="Arial" w:eastAsia="Calibri" w:hAnsi="Arial" w:cs="Arial"/>
          <w:color w:val="000000" w:themeColor="text1"/>
          <w:sz w:val="22"/>
          <w:szCs w:val="22"/>
        </w:rPr>
        <w:t xml:space="preserve">la Ley </w:t>
      </w:r>
      <w:r w:rsidR="00811071">
        <w:rPr>
          <w:rFonts w:ascii="Arial" w:eastAsia="Calibri" w:hAnsi="Arial" w:cs="Arial"/>
          <w:color w:val="000000" w:themeColor="text1"/>
          <w:sz w:val="22"/>
          <w:szCs w:val="22"/>
        </w:rPr>
        <w:t>de Emprendimiento</w:t>
      </w:r>
      <w:r w:rsidRPr="00071A76">
        <w:rPr>
          <w:rFonts w:ascii="Arial" w:eastAsia="Calibri" w:hAnsi="Arial" w:cs="Arial"/>
          <w:color w:val="000000" w:themeColor="text1"/>
          <w:sz w:val="22"/>
          <w:szCs w:val="22"/>
        </w:rPr>
        <w:t>, usted realiza la siguiente pregunta</w:t>
      </w:r>
      <w:bookmarkEnd w:id="7"/>
      <w:bookmarkEnd w:id="8"/>
      <w:bookmarkEnd w:id="9"/>
      <w:r w:rsidRPr="00071A76">
        <w:rPr>
          <w:rFonts w:ascii="Arial" w:eastAsia="Calibri" w:hAnsi="Arial" w:cs="Arial"/>
          <w:color w:val="000000" w:themeColor="text1"/>
          <w:sz w:val="22"/>
          <w:szCs w:val="22"/>
        </w:rPr>
        <w:t>: «[…]</w:t>
      </w:r>
      <w:r w:rsidRPr="00071A76">
        <w:rPr>
          <w:rFonts w:ascii="Arial" w:hAnsi="Arial" w:cs="Arial"/>
          <w:sz w:val="22"/>
          <w:szCs w:val="22"/>
        </w:rPr>
        <w:t xml:space="preserve"> actualmente es procedente que las entidades estatales efectúen convocatorias públicas limitadas a </w:t>
      </w:r>
      <w:proofErr w:type="spellStart"/>
      <w:r w:rsidRPr="00071A76">
        <w:rPr>
          <w:rFonts w:ascii="Arial" w:hAnsi="Arial" w:cs="Arial"/>
          <w:sz w:val="22"/>
          <w:szCs w:val="22"/>
        </w:rPr>
        <w:t>mipymes</w:t>
      </w:r>
      <w:proofErr w:type="spellEnd"/>
      <w:r w:rsidRPr="00071A76">
        <w:rPr>
          <w:rFonts w:ascii="Arial" w:hAnsi="Arial" w:cs="Arial"/>
          <w:sz w:val="22"/>
          <w:szCs w:val="22"/>
        </w:rPr>
        <w:t xml:space="preserve"> a la luz de lo dispuesto en el decreto 1082 de 2015 o si es necesario esperar la reglamentación que indica el artículo 34 de la ley 2069 de 2020».</w:t>
      </w:r>
    </w:p>
    <w:p w14:paraId="64DF8380" w14:textId="77777777" w:rsidR="00071A76" w:rsidRPr="00071A76" w:rsidRDefault="00071A76" w:rsidP="00071A76">
      <w:pPr>
        <w:spacing w:line="276" w:lineRule="auto"/>
        <w:jc w:val="both"/>
        <w:rPr>
          <w:rFonts w:ascii="Arial" w:eastAsia="Calibri" w:hAnsi="Arial" w:cs="Arial"/>
          <w:b/>
          <w:bCs/>
          <w:color w:val="000000" w:themeColor="text1"/>
          <w:sz w:val="22"/>
          <w:szCs w:val="22"/>
          <w:lang w:val="es-ES_tradnl"/>
        </w:rPr>
      </w:pPr>
    </w:p>
    <w:p w14:paraId="50DE4E62" w14:textId="77777777" w:rsidR="00071A76" w:rsidRDefault="00071A76" w:rsidP="00071A76">
      <w:pPr>
        <w:pStyle w:val="Prrafodelista"/>
        <w:numPr>
          <w:ilvl w:val="0"/>
          <w:numId w:val="2"/>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7B71D3F9" w14:textId="77777777" w:rsidR="00071A76" w:rsidRPr="001D59C7" w:rsidRDefault="00071A76" w:rsidP="00071A76">
      <w:pPr>
        <w:tabs>
          <w:tab w:val="left" w:pos="426"/>
        </w:tabs>
        <w:spacing w:line="276" w:lineRule="auto"/>
        <w:jc w:val="both"/>
        <w:rPr>
          <w:rFonts w:ascii="Arial" w:eastAsia="Calibri" w:hAnsi="Arial" w:cs="Arial"/>
          <w:bCs/>
          <w:color w:val="000000" w:themeColor="text1"/>
          <w:sz w:val="22"/>
        </w:rPr>
      </w:pPr>
    </w:p>
    <w:p w14:paraId="58DDF782" w14:textId="778D0A28" w:rsidR="00071A76" w:rsidRPr="00DD3337" w:rsidRDefault="007B5332" w:rsidP="00DD3337">
      <w:pPr>
        <w:tabs>
          <w:tab w:val="left" w:pos="709"/>
        </w:tabs>
        <w:spacing w:after="120" w:line="276" w:lineRule="auto"/>
        <w:jc w:val="both"/>
        <w:rPr>
          <w:rFonts w:ascii="Arial" w:eastAsia="Calibri" w:hAnsi="Arial" w:cs="Arial"/>
          <w:color w:val="000000" w:themeColor="text1"/>
          <w:sz w:val="22"/>
        </w:rPr>
      </w:pPr>
      <w:r w:rsidRPr="00DD3337">
        <w:rPr>
          <w:rFonts w:ascii="Arial" w:eastAsia="Calibri" w:hAnsi="Arial" w:cs="Arial"/>
          <w:color w:val="000000" w:themeColor="text1"/>
          <w:sz w:val="22"/>
          <w:szCs w:val="22"/>
          <w:lang w:val="es-ES_tradnl"/>
        </w:rPr>
        <w:t>La Subdirección de Gestión Contractual responderá la consulta, luego de analizar los siguientes temas: i)</w:t>
      </w:r>
      <w:r w:rsidR="00DD3337" w:rsidRPr="00DD3337">
        <w:rPr>
          <w:rFonts w:ascii="Arial" w:eastAsia="Calibri" w:hAnsi="Arial" w:cs="Arial"/>
          <w:color w:val="000000" w:themeColor="text1"/>
          <w:sz w:val="22"/>
        </w:rPr>
        <w:t xml:space="preserve"> Impacto de la Ley 2069 de 2020 en la contratación estatal,</w:t>
      </w:r>
      <w:r w:rsidRPr="00DD3337">
        <w:rPr>
          <w:rFonts w:ascii="Arial" w:eastAsia="Calibri" w:hAnsi="Arial" w:cs="Arial"/>
          <w:color w:val="000000" w:themeColor="text1"/>
          <w:sz w:val="22"/>
          <w:szCs w:val="22"/>
          <w:lang w:val="es-ES_tradnl"/>
        </w:rPr>
        <w:t xml:space="preserve"> </w:t>
      </w:r>
      <w:proofErr w:type="spellStart"/>
      <w:r w:rsidRPr="00DD3337">
        <w:rPr>
          <w:rFonts w:ascii="Arial" w:eastAsia="Calibri" w:hAnsi="Arial" w:cs="Arial"/>
          <w:color w:val="000000" w:themeColor="text1"/>
          <w:sz w:val="22"/>
          <w:szCs w:val="22"/>
          <w:lang w:val="es-ES_tradnl"/>
        </w:rPr>
        <w:t>ii</w:t>
      </w:r>
      <w:proofErr w:type="spellEnd"/>
      <w:r w:rsidRPr="00DD3337">
        <w:rPr>
          <w:rFonts w:ascii="Arial" w:eastAsia="Calibri" w:hAnsi="Arial" w:cs="Arial"/>
          <w:color w:val="000000" w:themeColor="text1"/>
          <w:sz w:val="22"/>
          <w:szCs w:val="22"/>
          <w:lang w:val="es-ES_tradnl"/>
        </w:rPr>
        <w:t>) la nueva regulación de la promoción del desarrollo en la contratación estatal en el artículo 34 de la Ley 2069 de 2020</w:t>
      </w:r>
      <w:r w:rsidR="00DD3337" w:rsidRPr="00DD3337">
        <w:rPr>
          <w:rFonts w:ascii="Arial" w:eastAsia="Calibri" w:hAnsi="Arial" w:cs="Arial"/>
          <w:color w:val="000000" w:themeColor="text1"/>
          <w:sz w:val="22"/>
          <w:szCs w:val="22"/>
          <w:lang w:val="es-ES_tradnl"/>
        </w:rPr>
        <w:t xml:space="preserve"> y</w:t>
      </w:r>
      <w:r w:rsidRPr="00DD3337">
        <w:rPr>
          <w:rFonts w:ascii="Arial" w:eastAsia="Calibri" w:hAnsi="Arial" w:cs="Arial"/>
          <w:color w:val="000000" w:themeColor="text1"/>
          <w:sz w:val="22"/>
          <w:szCs w:val="22"/>
          <w:lang w:val="es-ES_tradnl"/>
        </w:rPr>
        <w:t xml:space="preserve"> subrogación del artículo 12 de la Ley 1150 de 2007</w:t>
      </w:r>
      <w:r w:rsidR="00DD3337" w:rsidRPr="00DD3337">
        <w:rPr>
          <w:rFonts w:ascii="Arial" w:eastAsia="Calibri" w:hAnsi="Arial" w:cs="Arial"/>
          <w:color w:val="000000" w:themeColor="text1"/>
          <w:sz w:val="22"/>
          <w:szCs w:val="22"/>
          <w:lang w:val="es-ES_tradnl"/>
        </w:rPr>
        <w:t xml:space="preserve"> y </w:t>
      </w:r>
      <w:proofErr w:type="spellStart"/>
      <w:r w:rsidR="00DD3337" w:rsidRPr="00DD3337">
        <w:rPr>
          <w:rFonts w:ascii="Arial" w:eastAsia="Calibri" w:hAnsi="Arial" w:cs="Arial"/>
          <w:color w:val="000000" w:themeColor="text1"/>
          <w:sz w:val="22"/>
          <w:szCs w:val="22"/>
          <w:lang w:val="es-ES_tradnl"/>
        </w:rPr>
        <w:t>iii</w:t>
      </w:r>
      <w:proofErr w:type="spellEnd"/>
      <w:r w:rsidR="00DD3337" w:rsidRPr="00DD3337">
        <w:rPr>
          <w:rFonts w:ascii="Arial" w:eastAsia="Calibri" w:hAnsi="Arial" w:cs="Arial"/>
          <w:color w:val="000000" w:themeColor="text1"/>
          <w:sz w:val="22"/>
          <w:szCs w:val="22"/>
          <w:lang w:val="es-ES_tradnl"/>
        </w:rPr>
        <w:t xml:space="preserve">) </w:t>
      </w:r>
      <w:r w:rsidR="00B146EB">
        <w:rPr>
          <w:rFonts w:ascii="Arial" w:eastAsia="Calibri" w:hAnsi="Arial" w:cs="Arial"/>
          <w:color w:val="000000" w:themeColor="text1"/>
          <w:sz w:val="22"/>
          <w:szCs w:val="22"/>
          <w:lang w:val="es-ES_tradnl"/>
        </w:rPr>
        <w:t xml:space="preserve">la </w:t>
      </w:r>
      <w:r w:rsidR="00DD3337" w:rsidRPr="00DD3337">
        <w:rPr>
          <w:rFonts w:ascii="Arial" w:eastAsia="Calibri" w:hAnsi="Arial" w:cs="Arial"/>
          <w:color w:val="000000" w:themeColor="text1"/>
          <w:sz w:val="22"/>
        </w:rPr>
        <w:t xml:space="preserve">Intervención </w:t>
      </w:r>
      <w:r w:rsidR="00DD3337" w:rsidRPr="00DD3337">
        <w:rPr>
          <w:rFonts w:ascii="Arial" w:eastAsia="Calibri" w:hAnsi="Arial" w:cs="Arial"/>
          <w:color w:val="000000" w:themeColor="text1"/>
          <w:sz w:val="22"/>
        </w:rPr>
        <w:lastRenderedPageBreak/>
        <w:t>necesaria del reglamento para la efectividad del artículo 34 de la Ley 2069 de 2020 en el sistema de compras públicas.</w:t>
      </w:r>
    </w:p>
    <w:p w14:paraId="566D2066" w14:textId="11A8599B" w:rsidR="00071A76" w:rsidRDefault="00071A76" w:rsidP="00B146EB">
      <w:pPr>
        <w:tabs>
          <w:tab w:val="left" w:pos="426"/>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Pr>
          <w:rFonts w:ascii="Arial" w:eastAsia="Calibri" w:hAnsi="Arial" w:cs="Arial"/>
          <w:bCs/>
          <w:color w:val="000000" w:themeColor="text1"/>
          <w:sz w:val="22"/>
        </w:rPr>
        <w:tab/>
      </w:r>
      <w:r w:rsidRPr="001D59C7">
        <w:rPr>
          <w:rFonts w:ascii="Arial" w:eastAsia="Calibri" w:hAnsi="Arial" w:cs="Arial"/>
          <w:bCs/>
          <w:color w:val="000000" w:themeColor="text1"/>
          <w:sz w:val="22"/>
        </w:rPr>
        <w:t xml:space="preserve">La Agencia Nacional de Contratación Pública – Colombia Compra Eficiente, en los Conceptos </w:t>
      </w:r>
      <w:r w:rsidRPr="00183A65">
        <w:rPr>
          <w:rFonts w:ascii="Arial" w:eastAsia="Calibri" w:hAnsi="Arial" w:cs="Arial"/>
          <w:bCs/>
          <w:color w:val="000000" w:themeColor="text1"/>
          <w:sz w:val="22"/>
        </w:rPr>
        <w:t>C</w:t>
      </w:r>
      <w:r>
        <w:rPr>
          <w:rFonts w:ascii="Arial" w:eastAsia="Calibri" w:hAnsi="Arial" w:cs="Arial"/>
          <w:bCs/>
          <w:color w:val="000000" w:themeColor="text1"/>
          <w:sz w:val="22"/>
        </w:rPr>
        <w:t>-</w:t>
      </w:r>
      <w:r w:rsidRPr="00183A65">
        <w:rPr>
          <w:rFonts w:ascii="Arial" w:eastAsia="Calibri" w:hAnsi="Arial" w:cs="Arial"/>
          <w:bCs/>
          <w:color w:val="000000" w:themeColor="text1"/>
          <w:sz w:val="22"/>
        </w:rPr>
        <w:t>514 del 26 de agosto de 2020, C</w:t>
      </w:r>
      <w:r>
        <w:rPr>
          <w:rFonts w:ascii="Arial" w:eastAsia="Calibri" w:hAnsi="Arial" w:cs="Arial"/>
          <w:bCs/>
          <w:color w:val="000000" w:themeColor="text1"/>
          <w:sz w:val="22"/>
        </w:rPr>
        <w:t>-</w:t>
      </w:r>
      <w:r w:rsidRPr="00183A65">
        <w:rPr>
          <w:rFonts w:ascii="Arial" w:eastAsia="Calibri" w:hAnsi="Arial" w:cs="Arial"/>
          <w:bCs/>
          <w:color w:val="000000" w:themeColor="text1"/>
          <w:sz w:val="22"/>
        </w:rPr>
        <w:t>516 del 26 de agosto de 2020, C</w:t>
      </w:r>
      <w:r>
        <w:rPr>
          <w:rFonts w:ascii="Arial" w:eastAsia="Calibri" w:hAnsi="Arial" w:cs="Arial"/>
          <w:bCs/>
          <w:color w:val="000000" w:themeColor="text1"/>
          <w:sz w:val="22"/>
        </w:rPr>
        <w:t>-</w:t>
      </w:r>
      <w:r w:rsidRPr="00183A65">
        <w:rPr>
          <w:rFonts w:ascii="Arial" w:eastAsia="Calibri" w:hAnsi="Arial" w:cs="Arial"/>
          <w:bCs/>
          <w:color w:val="000000" w:themeColor="text1"/>
          <w:sz w:val="22"/>
        </w:rPr>
        <w:t>535 del 26 de agosto de 2020, C</w:t>
      </w:r>
      <w:r>
        <w:rPr>
          <w:rFonts w:ascii="Arial" w:eastAsia="Calibri" w:hAnsi="Arial" w:cs="Arial"/>
          <w:bCs/>
          <w:color w:val="000000" w:themeColor="text1"/>
          <w:sz w:val="22"/>
        </w:rPr>
        <w:t>-</w:t>
      </w:r>
      <w:r w:rsidRPr="00183A65">
        <w:rPr>
          <w:rFonts w:ascii="Arial" w:eastAsia="Calibri" w:hAnsi="Arial" w:cs="Arial"/>
          <w:bCs/>
          <w:color w:val="000000" w:themeColor="text1"/>
          <w:sz w:val="22"/>
        </w:rPr>
        <w:t>537 del 26 de agosto de 2020, C-538 del 26 de agosto de 2020, C</w:t>
      </w:r>
      <w:r>
        <w:rPr>
          <w:rFonts w:ascii="Arial" w:eastAsia="Calibri" w:hAnsi="Arial" w:cs="Arial"/>
          <w:bCs/>
          <w:color w:val="000000" w:themeColor="text1"/>
          <w:sz w:val="22"/>
        </w:rPr>
        <w:t>-</w:t>
      </w:r>
      <w:r w:rsidRPr="00183A65">
        <w:rPr>
          <w:rFonts w:ascii="Arial" w:eastAsia="Calibri" w:hAnsi="Arial" w:cs="Arial"/>
          <w:bCs/>
          <w:color w:val="000000" w:themeColor="text1"/>
          <w:sz w:val="22"/>
        </w:rPr>
        <w:t>568 del 26 de agosto de 2020, C</w:t>
      </w:r>
      <w:r>
        <w:rPr>
          <w:rFonts w:ascii="Arial" w:eastAsia="Calibri" w:hAnsi="Arial" w:cs="Arial"/>
          <w:bCs/>
          <w:color w:val="000000" w:themeColor="text1"/>
          <w:sz w:val="22"/>
        </w:rPr>
        <w:t>-</w:t>
      </w:r>
      <w:r w:rsidRPr="00183A65">
        <w:rPr>
          <w:rFonts w:ascii="Arial" w:eastAsia="Calibri" w:hAnsi="Arial" w:cs="Arial"/>
          <w:bCs/>
          <w:color w:val="000000" w:themeColor="text1"/>
          <w:sz w:val="22"/>
        </w:rPr>
        <w:t>572 del 27 de agosto de 2020</w:t>
      </w:r>
      <w:r>
        <w:rPr>
          <w:rFonts w:ascii="Arial" w:eastAsia="Calibri" w:hAnsi="Arial" w:cs="Arial"/>
          <w:bCs/>
          <w:color w:val="000000" w:themeColor="text1"/>
          <w:sz w:val="22"/>
        </w:rPr>
        <w:t xml:space="preserve">, </w:t>
      </w:r>
      <w:r w:rsidRPr="00183A65">
        <w:rPr>
          <w:rFonts w:ascii="Arial" w:eastAsia="Calibri" w:hAnsi="Arial" w:cs="Arial"/>
          <w:bCs/>
          <w:color w:val="000000" w:themeColor="text1"/>
          <w:sz w:val="22"/>
        </w:rPr>
        <w:t>C-582 del 28 de agosto de 2020</w:t>
      </w:r>
      <w:r>
        <w:rPr>
          <w:rFonts w:ascii="Arial" w:eastAsia="Calibri" w:hAnsi="Arial" w:cs="Arial"/>
          <w:bCs/>
          <w:color w:val="000000" w:themeColor="text1"/>
          <w:sz w:val="22"/>
        </w:rPr>
        <w:t xml:space="preserve"> y C-551 del 24 de septiembre de 2020</w:t>
      </w:r>
      <w:r w:rsidRPr="001D59C7">
        <w:rPr>
          <w:rFonts w:ascii="Arial" w:eastAsia="Calibri" w:hAnsi="Arial" w:cs="Arial"/>
          <w:bCs/>
          <w:color w:val="000000" w:themeColor="text1"/>
          <w:sz w:val="22"/>
        </w:rPr>
        <w:t xml:space="preserve">, explicó la </w:t>
      </w:r>
      <w:r>
        <w:rPr>
          <w:rFonts w:ascii="Arial" w:eastAsia="Calibri" w:hAnsi="Arial" w:cs="Arial"/>
          <w:bCs/>
          <w:color w:val="000000" w:themeColor="text1"/>
          <w:sz w:val="22"/>
        </w:rPr>
        <w:t>relación entre la ley y el reglamento, de manera que si bien, por regla general, la primera rige a partir de su promulgación, excepcionalmente esta requiere desarrollo reglamentario como una condición previa para su aplicación</w:t>
      </w:r>
      <w:r w:rsidRPr="001D59C7">
        <w:rPr>
          <w:rFonts w:ascii="Arial" w:eastAsia="Calibri" w:hAnsi="Arial" w:cs="Arial"/>
          <w:bCs/>
          <w:color w:val="000000" w:themeColor="text1"/>
          <w:sz w:val="22"/>
        </w:rPr>
        <w:t>.</w:t>
      </w:r>
      <w:r>
        <w:rPr>
          <w:rFonts w:ascii="Arial" w:eastAsia="Calibri" w:hAnsi="Arial" w:cs="Arial"/>
          <w:bCs/>
          <w:color w:val="000000" w:themeColor="text1"/>
          <w:sz w:val="22"/>
        </w:rPr>
        <w:t xml:space="preserve"> Igualmente, en los Conceptos C-009, 012, 013, 015, 016, 026 del 4 de febrero de 2021, así como en los Conceptos C-006 del 5 de febrero de 2021, </w:t>
      </w:r>
      <w:r w:rsidR="002E341D">
        <w:rPr>
          <w:rFonts w:ascii="Arial" w:eastAsia="Calibri" w:hAnsi="Arial" w:cs="Arial"/>
          <w:color w:val="000000" w:themeColor="text1"/>
          <w:sz w:val="22"/>
          <w:szCs w:val="22"/>
          <w:lang w:val="es-ES_tradnl"/>
        </w:rPr>
        <w:t xml:space="preserve">C-028, C-029 del 23 de febrero de 2021 </w:t>
      </w:r>
      <w:r>
        <w:rPr>
          <w:rFonts w:ascii="Arial" w:eastAsia="Calibri" w:hAnsi="Arial" w:cs="Arial"/>
          <w:bCs/>
          <w:color w:val="000000" w:themeColor="text1"/>
          <w:sz w:val="22"/>
        </w:rPr>
        <w:t xml:space="preserve">se analizaron algunos aspectos sobre la aplicación de la Ley de Emprendimiento. </w:t>
      </w:r>
      <w:r w:rsidR="00AA6764">
        <w:rPr>
          <w:rFonts w:ascii="Arial" w:eastAsia="Calibri" w:hAnsi="Arial" w:cs="Arial"/>
          <w:color w:val="000000" w:themeColor="text1"/>
          <w:sz w:val="22"/>
          <w:szCs w:val="22"/>
          <w:lang w:val="es-ES_tradnl"/>
        </w:rPr>
        <w:t>Asimismo</w:t>
      </w:r>
      <w:r w:rsidR="00DD3337" w:rsidRPr="00D17E59">
        <w:rPr>
          <w:rFonts w:ascii="Arial" w:eastAsia="Calibri" w:hAnsi="Arial" w:cs="Arial"/>
          <w:color w:val="000000" w:themeColor="text1"/>
          <w:sz w:val="22"/>
          <w:szCs w:val="22"/>
          <w:lang w:val="es-ES_tradnl"/>
        </w:rPr>
        <w:t>, se expidi</w:t>
      </w:r>
      <w:r w:rsidR="00DD3337">
        <w:rPr>
          <w:rFonts w:ascii="Arial" w:eastAsia="Calibri" w:hAnsi="Arial" w:cs="Arial"/>
          <w:color w:val="000000" w:themeColor="text1"/>
          <w:sz w:val="22"/>
          <w:szCs w:val="22"/>
          <w:lang w:val="es-ES_tradnl"/>
        </w:rPr>
        <w:t xml:space="preserve">eron </w:t>
      </w:r>
      <w:r w:rsidR="00DD3337" w:rsidRPr="002A674A">
        <w:rPr>
          <w:rFonts w:ascii="Arial" w:eastAsia="Calibri" w:hAnsi="Arial" w:cs="Arial"/>
          <w:color w:val="000000" w:themeColor="text1"/>
          <w:sz w:val="22"/>
          <w:szCs w:val="22"/>
          <w:lang w:val="es-ES_tradnl"/>
        </w:rPr>
        <w:t>los Concepto</w:t>
      </w:r>
      <w:r w:rsidR="003D6569" w:rsidRPr="002A674A">
        <w:rPr>
          <w:rFonts w:ascii="Arial" w:eastAsia="Calibri" w:hAnsi="Arial" w:cs="Arial"/>
          <w:color w:val="000000" w:themeColor="text1"/>
          <w:sz w:val="22"/>
          <w:szCs w:val="22"/>
          <w:lang w:val="es-ES_tradnl"/>
        </w:rPr>
        <w:t>s</w:t>
      </w:r>
      <w:r w:rsidR="00DD3337" w:rsidRPr="002A674A">
        <w:rPr>
          <w:rFonts w:ascii="Arial" w:eastAsia="Calibri" w:hAnsi="Arial" w:cs="Arial"/>
          <w:color w:val="000000" w:themeColor="text1"/>
          <w:sz w:val="22"/>
          <w:szCs w:val="22"/>
          <w:lang w:val="es-ES_tradnl"/>
        </w:rPr>
        <w:t xml:space="preserve"> C-043 del 9 de febrero de 2021,</w:t>
      </w:r>
      <w:r w:rsidR="00DD3337">
        <w:rPr>
          <w:rFonts w:ascii="Arial" w:eastAsia="Calibri" w:hAnsi="Arial" w:cs="Arial"/>
          <w:color w:val="000000" w:themeColor="text1"/>
          <w:sz w:val="22"/>
          <w:szCs w:val="22"/>
          <w:lang w:val="es-ES_tradnl"/>
        </w:rPr>
        <w:t xml:space="preserve"> C-005 del 16 de febrero</w:t>
      </w:r>
      <w:r w:rsidR="001F6B8A">
        <w:rPr>
          <w:rFonts w:ascii="Arial" w:eastAsia="Calibri" w:hAnsi="Arial" w:cs="Arial"/>
          <w:color w:val="000000" w:themeColor="text1"/>
          <w:sz w:val="22"/>
          <w:szCs w:val="22"/>
          <w:lang w:val="es-ES_tradnl"/>
        </w:rPr>
        <w:t xml:space="preserve">, </w:t>
      </w:r>
      <w:r w:rsidR="00DD3337">
        <w:rPr>
          <w:rFonts w:ascii="Arial" w:eastAsia="Calibri" w:hAnsi="Arial" w:cs="Arial"/>
          <w:color w:val="000000" w:themeColor="text1"/>
          <w:sz w:val="22"/>
          <w:szCs w:val="22"/>
          <w:lang w:val="es-ES_tradnl"/>
        </w:rPr>
        <w:t>C-081</w:t>
      </w:r>
      <w:r w:rsidR="001F6B8A">
        <w:rPr>
          <w:rFonts w:ascii="Arial" w:eastAsia="Calibri" w:hAnsi="Arial" w:cs="Arial"/>
          <w:color w:val="000000" w:themeColor="text1"/>
          <w:sz w:val="22"/>
          <w:szCs w:val="22"/>
          <w:lang w:val="es-ES_tradnl"/>
        </w:rPr>
        <w:t xml:space="preserve"> y</w:t>
      </w:r>
      <w:r w:rsidR="00DD3337">
        <w:rPr>
          <w:rFonts w:ascii="Arial" w:eastAsia="Calibri" w:hAnsi="Arial" w:cs="Arial"/>
          <w:color w:val="000000" w:themeColor="text1"/>
          <w:sz w:val="22"/>
          <w:szCs w:val="22"/>
          <w:lang w:val="es-ES_tradnl"/>
        </w:rPr>
        <w:t xml:space="preserve"> C-087 del 23 de febrero,</w:t>
      </w:r>
      <w:r w:rsidR="00DD3337" w:rsidRPr="00D17E59">
        <w:rPr>
          <w:rFonts w:ascii="Arial" w:eastAsia="Calibri" w:hAnsi="Arial" w:cs="Arial"/>
          <w:color w:val="000000" w:themeColor="text1"/>
          <w:sz w:val="22"/>
          <w:szCs w:val="22"/>
          <w:lang w:val="es-ES_tradnl"/>
        </w:rPr>
        <w:t xml:space="preserve"> en el que se estudió la vigencia del artículo 12 de la Ley 1150 de 2007</w:t>
      </w:r>
      <w:r w:rsidR="00B146EB">
        <w:rPr>
          <w:rFonts w:ascii="Arial" w:eastAsia="Calibri" w:hAnsi="Arial" w:cs="Arial"/>
          <w:color w:val="000000" w:themeColor="text1"/>
          <w:sz w:val="22"/>
          <w:szCs w:val="22"/>
          <w:lang w:val="es-ES_tradnl"/>
        </w:rPr>
        <w:t xml:space="preserve"> y la necesidad de reglamento. </w:t>
      </w:r>
      <w:r>
        <w:rPr>
          <w:rFonts w:ascii="Arial" w:eastAsia="Calibri" w:hAnsi="Arial" w:cs="Arial"/>
          <w:bCs/>
          <w:color w:val="000000" w:themeColor="text1"/>
          <w:sz w:val="22"/>
        </w:rPr>
        <w:t>En lo pertinente, l</w:t>
      </w:r>
      <w:r w:rsidRPr="001D59C7">
        <w:rPr>
          <w:rFonts w:ascii="Arial" w:eastAsia="Calibri" w:hAnsi="Arial" w:cs="Arial"/>
          <w:bCs/>
          <w:color w:val="000000" w:themeColor="text1"/>
          <w:sz w:val="22"/>
        </w:rPr>
        <w:t>a tesis desarrollada en estos conceptos se reitera a continuación:</w:t>
      </w:r>
    </w:p>
    <w:p w14:paraId="169B52DD" w14:textId="77777777" w:rsidR="007B5332" w:rsidRDefault="007B5332" w:rsidP="00B146EB">
      <w:pPr>
        <w:spacing w:line="276" w:lineRule="auto"/>
        <w:jc w:val="both"/>
        <w:rPr>
          <w:rFonts w:ascii="Arial" w:eastAsia="Calibri" w:hAnsi="Arial" w:cs="Arial"/>
          <w:b/>
          <w:bCs/>
          <w:color w:val="000000" w:themeColor="text1"/>
          <w:sz w:val="22"/>
          <w:szCs w:val="22"/>
          <w:lang w:val="es-ES_tradnl"/>
        </w:rPr>
      </w:pPr>
    </w:p>
    <w:p w14:paraId="586F3B4C" w14:textId="77777777" w:rsidR="002E341D" w:rsidRDefault="002E341D" w:rsidP="00B146EB">
      <w:pPr>
        <w:tabs>
          <w:tab w:val="left" w:pos="426"/>
        </w:tabs>
        <w:spacing w:line="276" w:lineRule="auto"/>
        <w:jc w:val="both"/>
        <w:rPr>
          <w:rFonts w:ascii="Arial" w:eastAsia="Calibri" w:hAnsi="Arial" w:cs="Arial"/>
          <w:b/>
          <w:color w:val="000000" w:themeColor="text1"/>
          <w:sz w:val="22"/>
        </w:rPr>
      </w:pPr>
      <w:r w:rsidRPr="00A148CF">
        <w:rPr>
          <w:rFonts w:ascii="Arial" w:eastAsia="Calibri" w:hAnsi="Arial" w:cs="Arial"/>
          <w:b/>
          <w:color w:val="000000" w:themeColor="text1"/>
          <w:sz w:val="22"/>
        </w:rPr>
        <w:t xml:space="preserve">2.1. </w:t>
      </w:r>
      <w:r>
        <w:rPr>
          <w:rFonts w:ascii="Arial" w:eastAsia="Calibri" w:hAnsi="Arial" w:cs="Arial"/>
          <w:b/>
          <w:color w:val="000000" w:themeColor="text1"/>
          <w:sz w:val="22"/>
        </w:rPr>
        <w:t xml:space="preserve">Impacto de la </w:t>
      </w:r>
      <w:r w:rsidRPr="00BF26A3">
        <w:rPr>
          <w:rFonts w:ascii="Arial" w:eastAsia="Calibri" w:hAnsi="Arial" w:cs="Arial"/>
          <w:b/>
          <w:color w:val="000000" w:themeColor="text1"/>
          <w:sz w:val="22"/>
        </w:rPr>
        <w:t>Ley 2069 de 2020</w:t>
      </w:r>
      <w:r>
        <w:rPr>
          <w:rFonts w:ascii="Arial" w:eastAsia="Calibri" w:hAnsi="Arial" w:cs="Arial"/>
          <w:b/>
          <w:color w:val="000000" w:themeColor="text1"/>
          <w:sz w:val="22"/>
        </w:rPr>
        <w:t xml:space="preserve"> en la contratación estatal</w:t>
      </w:r>
    </w:p>
    <w:p w14:paraId="3E42B8F6" w14:textId="77777777" w:rsidR="002E341D" w:rsidRDefault="002E341D" w:rsidP="002E341D">
      <w:pPr>
        <w:tabs>
          <w:tab w:val="left" w:pos="426"/>
        </w:tabs>
        <w:spacing w:line="276" w:lineRule="auto"/>
        <w:jc w:val="both"/>
        <w:rPr>
          <w:rFonts w:ascii="Arial" w:eastAsia="Calibri" w:hAnsi="Arial" w:cs="Arial"/>
          <w:b/>
          <w:color w:val="000000" w:themeColor="text1"/>
          <w:sz w:val="22"/>
        </w:rPr>
      </w:pPr>
    </w:p>
    <w:p w14:paraId="20BE93DB" w14:textId="0A9B9399" w:rsidR="002E341D" w:rsidRPr="00F52D84" w:rsidRDefault="002E341D" w:rsidP="002E341D">
      <w:pPr>
        <w:tabs>
          <w:tab w:val="left" w:pos="709"/>
        </w:tabs>
        <w:spacing w:after="120" w:line="276" w:lineRule="auto"/>
        <w:jc w:val="both"/>
        <w:rPr>
          <w:rFonts w:ascii="Arial" w:eastAsia="Calibri" w:hAnsi="Arial" w:cs="Arial"/>
          <w:bCs/>
          <w:color w:val="000000" w:themeColor="text1"/>
          <w:sz w:val="21"/>
          <w:szCs w:val="21"/>
        </w:rPr>
      </w:pPr>
      <w:bookmarkStart w:id="10" w:name="_Hlk63883948"/>
      <w:bookmarkStart w:id="11" w:name="_Hlk69144089"/>
      <w:r w:rsidRPr="00911EA3">
        <w:rPr>
          <w:rFonts w:ascii="Arial" w:eastAsia="Calibri" w:hAnsi="Arial" w:cs="Arial"/>
          <w:bCs/>
          <w:color w:val="000000" w:themeColor="text1"/>
          <w:sz w:val="22"/>
        </w:rPr>
        <w:t>El pasado 31 de diciembre,</w:t>
      </w:r>
      <w:r>
        <w:rPr>
          <w:rFonts w:ascii="Arial" w:eastAsia="Calibri" w:hAnsi="Arial" w:cs="Arial"/>
          <w:bCs/>
          <w:color w:val="000000" w:themeColor="text1"/>
          <w:sz w:val="22"/>
        </w:rPr>
        <w:t xml:space="preserve"> en congruencia con el «</w:t>
      </w:r>
      <w:r w:rsidRPr="00173A9E">
        <w:rPr>
          <w:rFonts w:ascii="Arial" w:eastAsia="Calibri" w:hAnsi="Arial" w:cs="Arial"/>
          <w:bCs/>
          <w:color w:val="000000" w:themeColor="text1"/>
          <w:sz w:val="22"/>
        </w:rPr>
        <w:t>Pacto por el emprendimiento, la formalización y la productividad</w:t>
      </w:r>
      <w:r>
        <w:rPr>
          <w:rFonts w:ascii="Arial" w:eastAsia="Calibri" w:hAnsi="Arial" w:cs="Arial"/>
          <w:bCs/>
          <w:color w:val="000000" w:themeColor="text1"/>
          <w:sz w:val="22"/>
        </w:rPr>
        <w:t xml:space="preserve">» del Plan Nacional de Desarrollo </w:t>
      </w:r>
      <w:r w:rsidRPr="00173A9E">
        <w:rPr>
          <w:rFonts w:ascii="Arial" w:eastAsia="Calibri" w:hAnsi="Arial" w:cs="Arial"/>
          <w:bCs/>
          <w:color w:val="000000" w:themeColor="text1"/>
          <w:sz w:val="22"/>
        </w:rPr>
        <w:t>2018-2022</w:t>
      </w:r>
      <w:r>
        <w:rPr>
          <w:rFonts w:ascii="Arial" w:eastAsia="Calibri" w:hAnsi="Arial" w:cs="Arial"/>
          <w:bCs/>
          <w:color w:val="000000" w:themeColor="text1"/>
          <w:sz w:val="22"/>
        </w:rPr>
        <w:t>,</w:t>
      </w:r>
      <w:r w:rsidRPr="00911EA3">
        <w:rPr>
          <w:rFonts w:ascii="Arial" w:eastAsia="Calibri" w:hAnsi="Arial" w:cs="Arial"/>
          <w:bCs/>
          <w:color w:val="000000" w:themeColor="text1"/>
          <w:sz w:val="22"/>
        </w:rPr>
        <w:t xml:space="preserve"> el </w:t>
      </w:r>
      <w:proofErr w:type="gramStart"/>
      <w:r w:rsidRPr="00911EA3">
        <w:rPr>
          <w:rFonts w:ascii="Arial" w:eastAsia="Calibri" w:hAnsi="Arial" w:cs="Arial"/>
          <w:bCs/>
          <w:color w:val="000000" w:themeColor="text1"/>
          <w:sz w:val="22"/>
        </w:rPr>
        <w:t>Presidente</w:t>
      </w:r>
      <w:proofErr w:type="gramEnd"/>
      <w:r w:rsidRPr="00911EA3">
        <w:rPr>
          <w:rFonts w:ascii="Arial" w:eastAsia="Calibri" w:hAnsi="Arial" w:cs="Arial"/>
          <w:bCs/>
          <w:color w:val="000000" w:themeColor="text1"/>
          <w:sz w:val="22"/>
        </w:rPr>
        <w:t xml:space="preserve"> de la República sancionó la Ley 206</w:t>
      </w:r>
      <w:r>
        <w:rPr>
          <w:rFonts w:ascii="Arial" w:eastAsia="Calibri" w:hAnsi="Arial" w:cs="Arial"/>
          <w:bCs/>
          <w:color w:val="000000" w:themeColor="text1"/>
          <w:sz w:val="22"/>
        </w:rPr>
        <w:t>9</w:t>
      </w:r>
      <w:r w:rsidRPr="00911EA3">
        <w:rPr>
          <w:rFonts w:ascii="Arial" w:eastAsia="Calibri" w:hAnsi="Arial" w:cs="Arial"/>
          <w:bCs/>
          <w:color w:val="000000" w:themeColor="text1"/>
          <w:sz w:val="22"/>
        </w:rPr>
        <w:t xml:space="preserve"> de 2020 para impulsar el nacimiento de nuevas empresas que incentiven la generación de empleo en país.</w:t>
      </w:r>
      <w:r>
        <w:rPr>
          <w:rFonts w:ascii="Arial" w:eastAsia="Calibri" w:hAnsi="Arial" w:cs="Arial"/>
          <w:bCs/>
          <w:color w:val="000000" w:themeColor="text1"/>
          <w:sz w:val="22"/>
        </w:rPr>
        <w:t xml:space="preserve"> </w:t>
      </w:r>
      <w:r w:rsidR="00811071">
        <w:rPr>
          <w:rFonts w:ascii="Arial" w:eastAsia="Calibri" w:hAnsi="Arial" w:cs="Arial"/>
          <w:bCs/>
          <w:color w:val="000000" w:themeColor="text1"/>
          <w:sz w:val="22"/>
        </w:rPr>
        <w:t>Esta</w:t>
      </w:r>
      <w:r>
        <w:rPr>
          <w:rFonts w:ascii="Arial" w:eastAsia="Calibri" w:hAnsi="Arial" w:cs="Arial"/>
          <w:bCs/>
          <w:color w:val="000000" w:themeColor="text1"/>
          <w:sz w:val="22"/>
        </w:rPr>
        <w:t xml:space="preserve"> </w:t>
      </w:r>
      <w:r w:rsidR="00811071">
        <w:rPr>
          <w:rFonts w:ascii="Arial" w:eastAsia="Calibri" w:hAnsi="Arial" w:cs="Arial"/>
          <w:bCs/>
          <w:color w:val="000000" w:themeColor="text1"/>
          <w:sz w:val="22"/>
        </w:rPr>
        <w:t>l</w:t>
      </w:r>
      <w:r>
        <w:rPr>
          <w:rFonts w:ascii="Arial" w:eastAsia="Calibri" w:hAnsi="Arial" w:cs="Arial"/>
          <w:bCs/>
          <w:color w:val="000000" w:themeColor="text1"/>
          <w:sz w:val="22"/>
        </w:rPr>
        <w:t>ey busca generar la reactivación de la economía y fomentar la actividad emprendedora, y tiene como uno de sus propósitos propiciar</w:t>
      </w:r>
      <w:r w:rsidRPr="0075749C">
        <w:rPr>
          <w:rFonts w:ascii="Arial" w:eastAsia="Calibri" w:hAnsi="Arial" w:cs="Arial"/>
          <w:bCs/>
          <w:color w:val="000000" w:themeColor="text1"/>
          <w:sz w:val="22"/>
        </w:rPr>
        <w:t xml:space="preserve"> un entorno para ayudar al crecimiento</w:t>
      </w:r>
      <w:r>
        <w:rPr>
          <w:rFonts w:ascii="Arial" w:eastAsia="Calibri" w:hAnsi="Arial" w:cs="Arial"/>
          <w:bCs/>
          <w:color w:val="000000" w:themeColor="text1"/>
          <w:sz w:val="22"/>
        </w:rPr>
        <w:t>, consolidación y sostenibilidad</w:t>
      </w:r>
      <w:r w:rsidRPr="0075749C">
        <w:rPr>
          <w:rFonts w:ascii="Arial" w:eastAsia="Calibri" w:hAnsi="Arial" w:cs="Arial"/>
          <w:bCs/>
          <w:color w:val="000000" w:themeColor="text1"/>
          <w:sz w:val="22"/>
        </w:rPr>
        <w:t xml:space="preserve"> de esas iniciativas, </w:t>
      </w:r>
      <w:r>
        <w:rPr>
          <w:rFonts w:ascii="Arial" w:eastAsia="Calibri" w:hAnsi="Arial" w:cs="Arial"/>
          <w:bCs/>
          <w:color w:val="000000" w:themeColor="text1"/>
          <w:sz w:val="22"/>
        </w:rPr>
        <w:t xml:space="preserve">generando mayor </w:t>
      </w:r>
      <w:r w:rsidRPr="0075749C">
        <w:rPr>
          <w:rFonts w:ascii="Arial" w:eastAsia="Calibri" w:hAnsi="Arial" w:cs="Arial"/>
          <w:bCs/>
          <w:color w:val="000000" w:themeColor="text1"/>
          <w:sz w:val="22"/>
        </w:rPr>
        <w:t>desarrollo social</w:t>
      </w:r>
      <w:r>
        <w:rPr>
          <w:rFonts w:ascii="Arial" w:eastAsia="Calibri" w:hAnsi="Arial" w:cs="Arial"/>
          <w:bCs/>
          <w:color w:val="000000" w:themeColor="text1"/>
          <w:sz w:val="22"/>
        </w:rPr>
        <w:t>, creación</w:t>
      </w:r>
      <w:r w:rsidRPr="0075749C">
        <w:rPr>
          <w:rFonts w:ascii="Arial" w:eastAsia="Calibri" w:hAnsi="Arial" w:cs="Arial"/>
          <w:bCs/>
          <w:color w:val="000000" w:themeColor="text1"/>
          <w:sz w:val="22"/>
        </w:rPr>
        <w:t xml:space="preserve"> de las empresas y mejoras </w:t>
      </w:r>
      <w:r>
        <w:rPr>
          <w:rFonts w:ascii="Arial" w:eastAsia="Calibri" w:hAnsi="Arial" w:cs="Arial"/>
          <w:bCs/>
          <w:color w:val="000000" w:themeColor="text1"/>
          <w:sz w:val="22"/>
        </w:rPr>
        <w:t>tanto en</w:t>
      </w:r>
      <w:r w:rsidRPr="0075749C">
        <w:rPr>
          <w:rFonts w:ascii="Arial" w:eastAsia="Calibri" w:hAnsi="Arial" w:cs="Arial"/>
          <w:bCs/>
          <w:color w:val="000000" w:themeColor="text1"/>
          <w:sz w:val="22"/>
        </w:rPr>
        <w:t xml:space="preserve"> la productividad </w:t>
      </w:r>
      <w:r>
        <w:rPr>
          <w:rFonts w:ascii="Arial" w:eastAsia="Calibri" w:hAnsi="Arial" w:cs="Arial"/>
          <w:bCs/>
          <w:color w:val="000000" w:themeColor="text1"/>
          <w:sz w:val="22"/>
        </w:rPr>
        <w:t xml:space="preserve">como en la </w:t>
      </w:r>
      <w:r w:rsidRPr="0075749C">
        <w:rPr>
          <w:rFonts w:ascii="Arial" w:eastAsia="Calibri" w:hAnsi="Arial" w:cs="Arial"/>
          <w:bCs/>
          <w:color w:val="000000" w:themeColor="text1"/>
          <w:sz w:val="22"/>
        </w:rPr>
        <w:t>competitividad</w:t>
      </w:r>
      <w:r>
        <w:rPr>
          <w:rStyle w:val="Refdenotaalpie"/>
          <w:rFonts w:ascii="Arial" w:eastAsia="Calibri" w:hAnsi="Arial" w:cs="Arial"/>
          <w:bCs/>
          <w:color w:val="000000" w:themeColor="text1"/>
          <w:sz w:val="22"/>
        </w:rPr>
        <w:footnoteReference w:id="1"/>
      </w:r>
      <w:r w:rsidRPr="0075749C">
        <w:rPr>
          <w:rFonts w:ascii="Arial" w:eastAsia="Calibri" w:hAnsi="Arial" w:cs="Arial"/>
          <w:bCs/>
          <w:color w:val="000000" w:themeColor="text1"/>
          <w:sz w:val="22"/>
        </w:rPr>
        <w:t>.</w:t>
      </w:r>
      <w:r>
        <w:rPr>
          <w:rFonts w:ascii="Arial" w:eastAsia="Calibri" w:hAnsi="Arial" w:cs="Arial"/>
          <w:bCs/>
          <w:color w:val="000000" w:themeColor="text1"/>
          <w:sz w:val="22"/>
        </w:rPr>
        <w:t xml:space="preserve"> De esta manera, la ley en comento también concreta la </w:t>
      </w:r>
      <w:bookmarkStart w:id="12" w:name="_Hlk63692496"/>
      <w:r>
        <w:rPr>
          <w:rFonts w:ascii="Arial" w:eastAsia="Calibri" w:hAnsi="Arial" w:cs="Arial"/>
          <w:bCs/>
          <w:color w:val="000000" w:themeColor="text1"/>
          <w:sz w:val="22"/>
        </w:rPr>
        <w:t>«Política de formalización empresarial»</w:t>
      </w:r>
      <w:bookmarkEnd w:id="12"/>
      <w:r>
        <w:rPr>
          <w:rFonts w:ascii="Arial" w:eastAsia="Calibri" w:hAnsi="Arial" w:cs="Arial"/>
          <w:bCs/>
          <w:color w:val="000000" w:themeColor="text1"/>
          <w:sz w:val="22"/>
        </w:rPr>
        <w:t xml:space="preserve"> del Documento CONPES 3956 del 8 de enero de 2019</w:t>
      </w:r>
      <w:r w:rsidRPr="00AA2812">
        <w:rPr>
          <w:rStyle w:val="Refdenotaalpie"/>
          <w:rFonts w:ascii="Arial" w:eastAsia="Calibri" w:hAnsi="Arial" w:cs="Arial"/>
          <w:bCs/>
          <w:color w:val="000000" w:themeColor="text1"/>
          <w:sz w:val="22"/>
        </w:rPr>
        <w:footnoteReference w:id="2"/>
      </w:r>
      <w:r w:rsidRPr="00AA2812">
        <w:rPr>
          <w:rFonts w:ascii="Arial" w:eastAsia="Calibri" w:hAnsi="Arial" w:cs="Arial"/>
          <w:bCs/>
          <w:color w:val="000000" w:themeColor="text1"/>
          <w:sz w:val="22"/>
        </w:rPr>
        <w:t>.</w:t>
      </w:r>
      <w:bookmarkEnd w:id="10"/>
    </w:p>
    <w:bookmarkEnd w:id="11"/>
    <w:p w14:paraId="4A3AEDE8" w14:textId="77777777" w:rsidR="002E341D" w:rsidRDefault="002E341D" w:rsidP="002E341D">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lastRenderedPageBreak/>
        <w:tab/>
        <w:t>Por ello, la ley impulsa medidas para i) reducir</w:t>
      </w:r>
      <w:r w:rsidRPr="00F52D84">
        <w:rPr>
          <w:rFonts w:ascii="Arial" w:eastAsia="Calibri" w:hAnsi="Arial" w:cs="Arial"/>
          <w:bCs/>
          <w:color w:val="000000" w:themeColor="text1"/>
          <w:sz w:val="22"/>
        </w:rPr>
        <w:t xml:space="preserve"> cargas y trámites para los emprendedores del país</w:t>
      </w:r>
      <w:r>
        <w:rPr>
          <w:rFonts w:ascii="Arial" w:eastAsia="Calibri" w:hAnsi="Arial" w:cs="Arial"/>
          <w:bCs/>
          <w:color w:val="000000" w:themeColor="text1"/>
          <w:sz w:val="22"/>
        </w:rPr>
        <w:t xml:space="preserve">; </w:t>
      </w:r>
      <w:proofErr w:type="spellStart"/>
      <w:r>
        <w:rPr>
          <w:rFonts w:ascii="Arial" w:eastAsia="Calibri" w:hAnsi="Arial" w:cs="Arial"/>
          <w:bCs/>
          <w:color w:val="000000" w:themeColor="text1"/>
          <w:sz w:val="22"/>
        </w:rPr>
        <w:t>ii</w:t>
      </w:r>
      <w:proofErr w:type="spellEnd"/>
      <w:r>
        <w:rPr>
          <w:rFonts w:ascii="Arial" w:eastAsia="Calibri" w:hAnsi="Arial" w:cs="Arial"/>
          <w:bCs/>
          <w:color w:val="000000" w:themeColor="text1"/>
          <w:sz w:val="22"/>
        </w:rPr>
        <w:t xml:space="preserve">) facilitar su acceso al </w:t>
      </w:r>
      <w:r w:rsidRPr="00321F81">
        <w:rPr>
          <w:rFonts w:ascii="Arial" w:eastAsia="Calibri" w:hAnsi="Arial" w:cs="Arial"/>
          <w:bCs/>
          <w:color w:val="000000" w:themeColor="text1"/>
          <w:sz w:val="22"/>
        </w:rPr>
        <w:t>sistema de compras y contratación pública</w:t>
      </w:r>
      <w:r>
        <w:rPr>
          <w:rFonts w:ascii="Arial" w:eastAsia="Calibri" w:hAnsi="Arial" w:cs="Arial"/>
          <w:bCs/>
          <w:color w:val="000000" w:themeColor="text1"/>
          <w:sz w:val="22"/>
        </w:rPr>
        <w:t xml:space="preserve">; </w:t>
      </w:r>
      <w:proofErr w:type="spellStart"/>
      <w:r>
        <w:rPr>
          <w:rFonts w:ascii="Arial" w:eastAsia="Calibri" w:hAnsi="Arial" w:cs="Arial"/>
          <w:bCs/>
          <w:color w:val="000000" w:themeColor="text1"/>
          <w:sz w:val="22"/>
        </w:rPr>
        <w:t>iii</w:t>
      </w:r>
      <w:proofErr w:type="spellEnd"/>
      <w:r>
        <w:rPr>
          <w:rFonts w:ascii="Arial" w:eastAsia="Calibri" w:hAnsi="Arial" w:cs="Arial"/>
          <w:bCs/>
          <w:color w:val="000000" w:themeColor="text1"/>
          <w:sz w:val="22"/>
        </w:rPr>
        <w:t>) incentivar el</w:t>
      </w:r>
      <w:r w:rsidRPr="00321F81">
        <w:rPr>
          <w:rFonts w:ascii="Arial" w:eastAsia="Calibri" w:hAnsi="Arial" w:cs="Arial"/>
          <w:bCs/>
          <w:color w:val="000000" w:themeColor="text1"/>
          <w:sz w:val="22"/>
        </w:rPr>
        <w:t xml:space="preserve"> crecimiento</w:t>
      </w:r>
      <w:r>
        <w:rPr>
          <w:rFonts w:ascii="Arial" w:eastAsia="Calibri" w:hAnsi="Arial" w:cs="Arial"/>
          <w:bCs/>
          <w:color w:val="000000" w:themeColor="text1"/>
          <w:sz w:val="22"/>
        </w:rPr>
        <w:t xml:space="preserve"> económico</w:t>
      </w:r>
      <w:r w:rsidRPr="00321F81">
        <w:rPr>
          <w:rFonts w:ascii="Arial" w:eastAsia="Calibri" w:hAnsi="Arial" w:cs="Arial"/>
          <w:bCs/>
          <w:color w:val="000000" w:themeColor="text1"/>
          <w:sz w:val="22"/>
        </w:rPr>
        <w:t xml:space="preserve"> con la llegada de más actores al ecosistema de inversión y financiación</w:t>
      </w:r>
      <w:r>
        <w:rPr>
          <w:rFonts w:ascii="Arial" w:eastAsia="Calibri" w:hAnsi="Arial" w:cs="Arial"/>
          <w:bCs/>
          <w:color w:val="000000" w:themeColor="text1"/>
          <w:sz w:val="22"/>
        </w:rPr>
        <w:t xml:space="preserve">; </w:t>
      </w:r>
      <w:proofErr w:type="spellStart"/>
      <w:r>
        <w:rPr>
          <w:rFonts w:ascii="Arial" w:eastAsia="Calibri" w:hAnsi="Arial" w:cs="Arial"/>
          <w:bCs/>
          <w:color w:val="000000" w:themeColor="text1"/>
          <w:sz w:val="22"/>
        </w:rPr>
        <w:t>iv</w:t>
      </w:r>
      <w:proofErr w:type="spellEnd"/>
      <w:r>
        <w:rPr>
          <w:rFonts w:ascii="Arial" w:eastAsia="Calibri" w:hAnsi="Arial" w:cs="Arial"/>
          <w:bCs/>
          <w:color w:val="000000" w:themeColor="text1"/>
          <w:sz w:val="22"/>
        </w:rPr>
        <w:t>) f</w:t>
      </w:r>
      <w:r w:rsidRPr="00321F81">
        <w:rPr>
          <w:rFonts w:ascii="Arial" w:eastAsia="Calibri" w:hAnsi="Arial" w:cs="Arial"/>
          <w:bCs/>
          <w:color w:val="000000" w:themeColor="text1"/>
          <w:sz w:val="22"/>
        </w:rPr>
        <w:t>ocaliza</w:t>
      </w:r>
      <w:r>
        <w:rPr>
          <w:rFonts w:ascii="Arial" w:eastAsia="Calibri" w:hAnsi="Arial" w:cs="Arial"/>
          <w:bCs/>
          <w:color w:val="000000" w:themeColor="text1"/>
          <w:sz w:val="22"/>
        </w:rPr>
        <w:t>r</w:t>
      </w:r>
      <w:r w:rsidRPr="00321F81">
        <w:rPr>
          <w:rFonts w:ascii="Arial" w:eastAsia="Calibri" w:hAnsi="Arial" w:cs="Arial"/>
          <w:bCs/>
          <w:color w:val="000000" w:themeColor="text1"/>
          <w:sz w:val="22"/>
        </w:rPr>
        <w:t xml:space="preserve"> esfuerzos, optimizar la gestión de recursos e incentivar una visión integral del desarrollo productivo</w:t>
      </w:r>
      <w:r>
        <w:rPr>
          <w:rFonts w:ascii="Arial" w:eastAsia="Calibri" w:hAnsi="Arial" w:cs="Arial"/>
          <w:bCs/>
          <w:color w:val="000000" w:themeColor="text1"/>
          <w:sz w:val="22"/>
        </w:rPr>
        <w:t xml:space="preserve"> a través del fortalecimiento institucional; v) f</w:t>
      </w:r>
      <w:r w:rsidRPr="00321F81">
        <w:rPr>
          <w:rFonts w:ascii="Arial" w:eastAsia="Calibri" w:hAnsi="Arial" w:cs="Arial"/>
          <w:bCs/>
          <w:color w:val="000000" w:themeColor="text1"/>
          <w:sz w:val="22"/>
        </w:rPr>
        <w:t>acilitar la apropiación del emprendimiento y la cultura emprendedora en la juventud colombiana</w:t>
      </w:r>
      <w:r>
        <w:rPr>
          <w:rFonts w:ascii="Arial" w:eastAsia="Calibri" w:hAnsi="Arial" w:cs="Arial"/>
          <w:bCs/>
          <w:color w:val="000000" w:themeColor="text1"/>
          <w:sz w:val="22"/>
        </w:rPr>
        <w:t>; así como vi) o</w:t>
      </w:r>
      <w:r w:rsidRPr="00321F81">
        <w:rPr>
          <w:rFonts w:ascii="Arial" w:eastAsia="Calibri" w:hAnsi="Arial" w:cs="Arial"/>
          <w:bCs/>
          <w:color w:val="000000" w:themeColor="text1"/>
          <w:sz w:val="22"/>
        </w:rPr>
        <w:t>torgar beneficios para emprendedores,</w:t>
      </w:r>
      <w:r>
        <w:rPr>
          <w:rFonts w:ascii="Arial" w:eastAsia="Calibri" w:hAnsi="Arial" w:cs="Arial"/>
          <w:bCs/>
          <w:color w:val="000000" w:themeColor="text1"/>
          <w:sz w:val="22"/>
        </w:rPr>
        <w:t xml:space="preserve"> especialmente, estableciendo un enfoque diferencial respecto a los miembros de las poblaciones más vulnerables,</w:t>
      </w:r>
      <w:r w:rsidRPr="00321F81">
        <w:rPr>
          <w:rFonts w:ascii="Arial" w:eastAsia="Calibri" w:hAnsi="Arial" w:cs="Arial"/>
          <w:bCs/>
          <w:color w:val="000000" w:themeColor="text1"/>
          <w:sz w:val="22"/>
        </w:rPr>
        <w:t xml:space="preserve"> que les permita avanzar en su actividad y </w:t>
      </w:r>
      <w:r>
        <w:rPr>
          <w:rFonts w:ascii="Arial" w:eastAsia="Calibri" w:hAnsi="Arial" w:cs="Arial"/>
          <w:bCs/>
          <w:color w:val="000000" w:themeColor="text1"/>
          <w:sz w:val="22"/>
        </w:rPr>
        <w:t>desarrollar</w:t>
      </w:r>
      <w:r w:rsidRPr="00321F81">
        <w:rPr>
          <w:rFonts w:ascii="Arial" w:eastAsia="Calibri" w:hAnsi="Arial" w:cs="Arial"/>
          <w:bCs/>
          <w:color w:val="000000" w:themeColor="text1"/>
          <w:sz w:val="22"/>
        </w:rPr>
        <w:t xml:space="preserve"> </w:t>
      </w:r>
      <w:r>
        <w:rPr>
          <w:rFonts w:ascii="Arial" w:eastAsia="Calibri" w:hAnsi="Arial" w:cs="Arial"/>
          <w:bCs/>
          <w:color w:val="000000" w:themeColor="text1"/>
          <w:sz w:val="22"/>
        </w:rPr>
        <w:t>sus iniciativas</w:t>
      </w:r>
      <w:r>
        <w:rPr>
          <w:rStyle w:val="Refdenotaalpie"/>
          <w:rFonts w:ascii="Arial" w:eastAsia="Calibri" w:hAnsi="Arial" w:cs="Arial"/>
          <w:bCs/>
          <w:color w:val="000000" w:themeColor="text1"/>
          <w:sz w:val="22"/>
        </w:rPr>
        <w:footnoteReference w:id="3"/>
      </w:r>
      <w:r w:rsidRPr="00321F81">
        <w:rPr>
          <w:rFonts w:ascii="Arial" w:eastAsia="Calibri" w:hAnsi="Arial" w:cs="Arial"/>
          <w:bCs/>
          <w:color w:val="000000" w:themeColor="text1"/>
          <w:sz w:val="22"/>
        </w:rPr>
        <w:t>.</w:t>
      </w:r>
    </w:p>
    <w:p w14:paraId="51C5C3B5" w14:textId="12A36F16" w:rsidR="002E341D" w:rsidRDefault="002E341D" w:rsidP="002E341D">
      <w:pPr>
        <w:tabs>
          <w:tab w:val="left" w:pos="709"/>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8522D4">
        <w:rPr>
          <w:rFonts w:ascii="Arial" w:eastAsia="Calibri" w:hAnsi="Arial" w:cs="Arial"/>
          <w:bCs/>
          <w:color w:val="000000" w:themeColor="text1"/>
          <w:sz w:val="22"/>
        </w:rPr>
        <w:t>Así las cosas</w:t>
      </w:r>
      <w:r>
        <w:rPr>
          <w:rFonts w:ascii="Arial" w:eastAsia="Calibri" w:hAnsi="Arial" w:cs="Arial"/>
          <w:bCs/>
          <w:color w:val="000000" w:themeColor="text1"/>
          <w:sz w:val="22"/>
        </w:rPr>
        <w:t xml:space="preserve">, </w:t>
      </w:r>
      <w:bookmarkStart w:id="14" w:name="_Hlk63848566"/>
      <w:r>
        <w:rPr>
          <w:rFonts w:ascii="Arial" w:eastAsia="Calibri" w:hAnsi="Arial" w:cs="Arial"/>
          <w:bCs/>
          <w:color w:val="000000" w:themeColor="text1"/>
          <w:sz w:val="22"/>
        </w:rPr>
        <w:t>los artículos 30, 31, 32, 33, 34, 35 y 36 de la Ley 2069 de 2020</w:t>
      </w:r>
      <w:bookmarkEnd w:id="14"/>
      <w:r>
        <w:rPr>
          <w:rFonts w:ascii="Arial" w:eastAsia="Calibri" w:hAnsi="Arial" w:cs="Arial"/>
          <w:bCs/>
          <w:color w:val="000000" w:themeColor="text1"/>
          <w:sz w:val="22"/>
        </w:rPr>
        <w:t xml:space="preserve"> crean </w:t>
      </w:r>
      <w:r w:rsidRPr="009C7248">
        <w:rPr>
          <w:rFonts w:ascii="Arial" w:eastAsia="Calibri" w:hAnsi="Arial" w:cs="Arial"/>
          <w:bCs/>
          <w:color w:val="000000" w:themeColor="text1"/>
          <w:sz w:val="22"/>
        </w:rPr>
        <w:t>una serie de incentivos para las personas interesadas en celebrar contratos con el Estado</w:t>
      </w:r>
      <w:r>
        <w:rPr>
          <w:rFonts w:ascii="Arial" w:eastAsia="Calibri" w:hAnsi="Arial" w:cs="Arial"/>
          <w:bCs/>
          <w:color w:val="000000" w:themeColor="text1"/>
          <w:sz w:val="22"/>
        </w:rPr>
        <w:t xml:space="preserve">. Particularmente, conforme a la exposición de motivos, </w:t>
      </w:r>
      <w:r w:rsidRPr="00EA3C76">
        <w:rPr>
          <w:rFonts w:ascii="Arial" w:eastAsia="Calibri" w:hAnsi="Arial" w:cs="Arial"/>
          <w:bCs/>
          <w:color w:val="000000" w:themeColor="text1"/>
          <w:sz w:val="22"/>
        </w:rPr>
        <w:t>«</w:t>
      </w:r>
      <w:r w:rsidRPr="00EA3C76">
        <w:rPr>
          <w:rFonts w:ascii="Arial" w:hAnsi="Arial" w:cs="Arial"/>
          <w:sz w:val="22"/>
        </w:rPr>
        <w:t xml:space="preserve">[…] </w:t>
      </w:r>
      <w:r w:rsidRPr="00EA3C76">
        <w:rPr>
          <w:rFonts w:ascii="Arial" w:eastAsia="Calibri" w:hAnsi="Arial" w:cs="Arial"/>
          <w:bCs/>
          <w:color w:val="000000" w:themeColor="text1"/>
          <w:sz w:val="22"/>
        </w:rPr>
        <w:t xml:space="preserve">propone facilitar el acceso de las </w:t>
      </w:r>
      <w:proofErr w:type="spellStart"/>
      <w:r w:rsidRPr="00EA3C76">
        <w:rPr>
          <w:rFonts w:ascii="Arial" w:eastAsia="Calibri" w:hAnsi="Arial" w:cs="Arial"/>
          <w:bCs/>
          <w:color w:val="000000" w:themeColor="text1"/>
          <w:sz w:val="22"/>
        </w:rPr>
        <w:t>Mipymes</w:t>
      </w:r>
      <w:proofErr w:type="spellEnd"/>
      <w:r w:rsidRPr="00EA3C76">
        <w:rPr>
          <w:rFonts w:ascii="Arial" w:eastAsia="Calibri" w:hAnsi="Arial" w:cs="Arial"/>
          <w:bCs/>
          <w:color w:val="000000" w:themeColor="text1"/>
          <w:sz w:val="22"/>
        </w:rPr>
        <w:t xml:space="preserve"> a la modalidad de contratación de mínima cuantía, la limitación de estos procesos a </w:t>
      </w:r>
      <w:proofErr w:type="spellStart"/>
      <w:r w:rsidRPr="00EA3C76">
        <w:rPr>
          <w:rFonts w:ascii="Arial" w:eastAsia="Calibri" w:hAnsi="Arial" w:cs="Arial"/>
          <w:bCs/>
          <w:color w:val="000000" w:themeColor="text1"/>
          <w:sz w:val="22"/>
        </w:rPr>
        <w:t>Mipymes</w:t>
      </w:r>
      <w:proofErr w:type="spellEnd"/>
      <w:r w:rsidRPr="00EA3C76">
        <w:rPr>
          <w:rFonts w:ascii="Arial" w:eastAsia="Calibri" w:hAnsi="Arial" w:cs="Arial"/>
          <w:bCs/>
          <w:color w:val="000000" w:themeColor="text1"/>
          <w:sz w:val="22"/>
        </w:rPr>
        <w:t xml:space="preserve">, define la posibilidad de establecer criterios diferenciales a favor de las </w:t>
      </w:r>
      <w:proofErr w:type="spellStart"/>
      <w:r w:rsidRPr="00EA3C76">
        <w:rPr>
          <w:rFonts w:ascii="Arial" w:eastAsia="Calibri" w:hAnsi="Arial" w:cs="Arial"/>
          <w:bCs/>
          <w:color w:val="000000" w:themeColor="text1"/>
          <w:sz w:val="22"/>
        </w:rPr>
        <w:t>Mipymes</w:t>
      </w:r>
      <w:proofErr w:type="spellEnd"/>
      <w:r w:rsidRPr="00EA3C76">
        <w:rPr>
          <w:rFonts w:ascii="Arial" w:eastAsia="Calibri" w:hAnsi="Arial" w:cs="Arial"/>
          <w:bCs/>
          <w:color w:val="000000" w:themeColor="text1"/>
          <w:sz w:val="22"/>
        </w:rPr>
        <w:t xml:space="preserve"> en los procesos de contratación pública, amplía el ámbito de aplicación de las medidas de compras públicas a entidades que hoy están excluidas, establece la creación de un sistema de información e indicadores para evaluar la efectividad de las medidas adoptadas y define la inclusión de factores de desempate en los procesos de contratación pública que priorizan este segmento</w:t>
      </w:r>
      <w:r>
        <w:rPr>
          <w:rFonts w:ascii="Arial" w:eastAsia="Calibri" w:hAnsi="Arial" w:cs="Arial"/>
          <w:bCs/>
          <w:color w:val="000000" w:themeColor="text1"/>
          <w:sz w:val="22"/>
        </w:rPr>
        <w:t>»</w:t>
      </w:r>
      <w:r>
        <w:rPr>
          <w:rStyle w:val="Refdenotaalpie"/>
          <w:rFonts w:ascii="Arial" w:eastAsia="Calibri" w:hAnsi="Arial" w:cs="Arial"/>
          <w:bCs/>
          <w:color w:val="000000" w:themeColor="text1"/>
          <w:sz w:val="22"/>
        </w:rPr>
        <w:footnoteReference w:id="4"/>
      </w:r>
      <w:r w:rsidRPr="00EA3C76">
        <w:rPr>
          <w:rFonts w:ascii="Arial" w:eastAsia="Calibri" w:hAnsi="Arial" w:cs="Arial"/>
          <w:bCs/>
          <w:color w:val="000000" w:themeColor="text1"/>
          <w:sz w:val="22"/>
        </w:rPr>
        <w:t>.</w:t>
      </w:r>
      <w:r>
        <w:rPr>
          <w:rFonts w:ascii="Arial" w:eastAsia="Calibri" w:hAnsi="Arial" w:cs="Arial"/>
          <w:bCs/>
          <w:color w:val="000000" w:themeColor="text1"/>
          <w:sz w:val="22"/>
        </w:rPr>
        <w:t xml:space="preserve"> </w:t>
      </w:r>
    </w:p>
    <w:p w14:paraId="4F1421FF" w14:textId="77777777" w:rsidR="006E7C82" w:rsidRDefault="006E7C82" w:rsidP="006E7C82">
      <w:pPr>
        <w:spacing w:line="276" w:lineRule="auto"/>
        <w:jc w:val="both"/>
        <w:rPr>
          <w:rFonts w:ascii="Arial" w:eastAsia="Calibri" w:hAnsi="Arial" w:cs="Arial"/>
          <w:bCs/>
          <w:color w:val="000000" w:themeColor="text1"/>
          <w:sz w:val="22"/>
        </w:rPr>
      </w:pPr>
    </w:p>
    <w:p w14:paraId="36BB48A1" w14:textId="3D17FD85" w:rsidR="006E7C82" w:rsidRPr="00D17E59" w:rsidRDefault="006E7C82" w:rsidP="006E7C82">
      <w:pPr>
        <w:spacing w:line="276" w:lineRule="auto"/>
        <w:jc w:val="both"/>
        <w:rPr>
          <w:rFonts w:ascii="Arial" w:eastAsia="Calibri" w:hAnsi="Arial" w:cs="Arial"/>
          <w:b/>
          <w:bCs/>
          <w:color w:val="000000" w:themeColor="text1"/>
          <w:sz w:val="22"/>
          <w:szCs w:val="22"/>
          <w:lang w:val="es-ES_tradnl"/>
        </w:rPr>
      </w:pPr>
      <w:r w:rsidRPr="00D17E59">
        <w:rPr>
          <w:rFonts w:ascii="Arial" w:eastAsia="Calibri" w:hAnsi="Arial" w:cs="Arial"/>
          <w:b/>
          <w:bCs/>
          <w:color w:val="000000" w:themeColor="text1"/>
          <w:sz w:val="22"/>
          <w:szCs w:val="22"/>
          <w:lang w:val="es-ES_tradnl"/>
        </w:rPr>
        <w:t>2.2. Nueva regulación de la promoción del desarrollo en la contratación estatal en el artículo 34 de la Ley 2069 de 2020. Subrogación del artículo 12 de la Ley 1150 de 2007</w:t>
      </w:r>
      <w:r w:rsidR="008522D4">
        <w:rPr>
          <w:rFonts w:ascii="Arial" w:eastAsia="Calibri" w:hAnsi="Arial" w:cs="Arial"/>
          <w:b/>
          <w:bCs/>
          <w:color w:val="000000" w:themeColor="text1"/>
          <w:sz w:val="22"/>
          <w:szCs w:val="22"/>
          <w:lang w:val="es-ES_tradnl"/>
        </w:rPr>
        <w:t>.</w:t>
      </w:r>
    </w:p>
    <w:p w14:paraId="224B1D99" w14:textId="77777777" w:rsidR="006E7C82" w:rsidRDefault="006E7C82" w:rsidP="006E7C82">
      <w:pPr>
        <w:spacing w:line="276" w:lineRule="auto"/>
        <w:jc w:val="both"/>
        <w:rPr>
          <w:rFonts w:ascii="Arial" w:eastAsia="Calibri" w:hAnsi="Arial" w:cs="Arial"/>
          <w:bCs/>
          <w:color w:val="000000" w:themeColor="text1"/>
          <w:sz w:val="22"/>
        </w:rPr>
      </w:pPr>
    </w:p>
    <w:p w14:paraId="1A58F7EA" w14:textId="52690755" w:rsidR="006140D7" w:rsidRPr="00D17E59" w:rsidRDefault="007F547F" w:rsidP="006E7C82">
      <w:pPr>
        <w:spacing w:line="276" w:lineRule="auto"/>
        <w:jc w:val="both"/>
        <w:rPr>
          <w:rFonts w:ascii="Arial" w:eastAsia="Calibri" w:hAnsi="Arial" w:cs="Arial"/>
          <w:color w:val="000000" w:themeColor="text1"/>
          <w:sz w:val="22"/>
          <w:szCs w:val="22"/>
          <w:lang w:val="es-ES_tradnl"/>
        </w:rPr>
      </w:pPr>
      <w:bookmarkStart w:id="15" w:name="_Hlk69144376"/>
      <w:r>
        <w:rPr>
          <w:rFonts w:ascii="Arial" w:eastAsia="Calibri" w:hAnsi="Arial" w:cs="Arial"/>
          <w:bCs/>
          <w:color w:val="000000" w:themeColor="text1"/>
          <w:sz w:val="22"/>
        </w:rPr>
        <w:t xml:space="preserve">El artículo </w:t>
      </w:r>
      <w:r w:rsidRPr="007F547F">
        <w:rPr>
          <w:rFonts w:ascii="Arial" w:eastAsia="Calibri" w:hAnsi="Arial" w:cs="Arial"/>
          <w:bCs/>
          <w:color w:val="000000" w:themeColor="text1"/>
          <w:sz w:val="22"/>
        </w:rPr>
        <w:t>34 de la ley 2069 de 2020</w:t>
      </w:r>
      <w:r>
        <w:rPr>
          <w:rFonts w:ascii="Arial" w:eastAsia="Calibri" w:hAnsi="Arial" w:cs="Arial"/>
          <w:bCs/>
          <w:i/>
          <w:iCs/>
          <w:color w:val="000000" w:themeColor="text1"/>
          <w:sz w:val="22"/>
        </w:rPr>
        <w:t xml:space="preserve">, </w:t>
      </w:r>
      <w:r>
        <w:rPr>
          <w:rFonts w:ascii="Arial" w:eastAsia="Calibri" w:hAnsi="Arial" w:cs="Arial"/>
          <w:bCs/>
          <w:color w:val="000000" w:themeColor="text1"/>
          <w:sz w:val="22"/>
        </w:rPr>
        <w:t xml:space="preserve">modifica </w:t>
      </w:r>
      <w:r w:rsidRPr="005455D7">
        <w:rPr>
          <w:rFonts w:ascii="Arial" w:eastAsia="Calibri" w:hAnsi="Arial" w:cs="Arial"/>
          <w:bCs/>
          <w:color w:val="000000" w:themeColor="text1"/>
          <w:sz w:val="22"/>
        </w:rPr>
        <w:t xml:space="preserve">el artículo </w:t>
      </w:r>
      <w:r>
        <w:rPr>
          <w:rFonts w:ascii="Arial" w:eastAsia="Calibri" w:hAnsi="Arial" w:cs="Arial"/>
          <w:bCs/>
          <w:color w:val="000000" w:themeColor="text1"/>
          <w:sz w:val="22"/>
        </w:rPr>
        <w:t>1</w:t>
      </w:r>
      <w:r w:rsidRPr="005455D7">
        <w:rPr>
          <w:rFonts w:ascii="Arial" w:eastAsia="Calibri" w:hAnsi="Arial" w:cs="Arial"/>
          <w:bCs/>
          <w:color w:val="000000" w:themeColor="text1"/>
          <w:sz w:val="22"/>
        </w:rPr>
        <w:t>2 de la Ley 1150 de 2007</w:t>
      </w:r>
      <w:r>
        <w:rPr>
          <w:rFonts w:ascii="Arial" w:eastAsia="Calibri" w:hAnsi="Arial" w:cs="Arial"/>
          <w:bCs/>
          <w:color w:val="000000" w:themeColor="text1"/>
          <w:sz w:val="22"/>
        </w:rPr>
        <w:t>, el cual regula la p</w:t>
      </w:r>
      <w:r w:rsidRPr="00B459BE">
        <w:rPr>
          <w:rFonts w:ascii="Arial" w:eastAsia="Calibri" w:hAnsi="Arial" w:cs="Arial"/>
          <w:bCs/>
          <w:color w:val="000000" w:themeColor="text1"/>
          <w:sz w:val="22"/>
        </w:rPr>
        <w:t>romoción del desarrollo en la contratación pública</w:t>
      </w:r>
      <w:r>
        <w:rPr>
          <w:rFonts w:ascii="Arial" w:eastAsia="Calibri" w:hAnsi="Arial" w:cs="Arial"/>
          <w:bCs/>
          <w:color w:val="000000" w:themeColor="text1"/>
          <w:sz w:val="22"/>
        </w:rPr>
        <w:t xml:space="preserve">. Inicialmente, la redacción de la Ley 1150 fue modificada por el artículo </w:t>
      </w:r>
      <w:r w:rsidRPr="00F40A01">
        <w:rPr>
          <w:rFonts w:ascii="Arial" w:eastAsia="Calibri" w:hAnsi="Arial" w:cs="Arial"/>
          <w:bCs/>
          <w:color w:val="000000" w:themeColor="text1"/>
          <w:sz w:val="22"/>
        </w:rPr>
        <w:t>32 de la Ley 1450 de 2011</w:t>
      </w:r>
      <w:r>
        <w:rPr>
          <w:rFonts w:ascii="Arial" w:eastAsia="Calibri" w:hAnsi="Arial" w:cs="Arial"/>
          <w:bCs/>
          <w:color w:val="000000" w:themeColor="text1"/>
          <w:sz w:val="22"/>
        </w:rPr>
        <w:t>, pero esta última quedó derogada con la expedición de la Ley de Emprendimiento.</w:t>
      </w:r>
      <w:r w:rsidR="006140D7" w:rsidRPr="006140D7">
        <w:rPr>
          <w:rFonts w:ascii="Arial" w:eastAsia="Calibri" w:hAnsi="Arial" w:cs="Arial"/>
          <w:color w:val="000000" w:themeColor="text1"/>
          <w:sz w:val="22"/>
          <w:szCs w:val="22"/>
          <w:lang w:val="es-ES_tradnl"/>
        </w:rPr>
        <w:t xml:space="preserve"> </w:t>
      </w:r>
      <w:r w:rsidR="006140D7" w:rsidRPr="00D17E59">
        <w:rPr>
          <w:rFonts w:ascii="Arial" w:eastAsia="Calibri" w:hAnsi="Arial" w:cs="Arial"/>
          <w:color w:val="000000" w:themeColor="text1"/>
          <w:sz w:val="22"/>
          <w:szCs w:val="22"/>
          <w:lang w:val="es-ES_tradnl"/>
        </w:rPr>
        <w:t xml:space="preserve">En este sentido, frente </w:t>
      </w:r>
      <w:r w:rsidR="006140D7">
        <w:rPr>
          <w:rFonts w:ascii="Arial" w:eastAsia="Calibri" w:hAnsi="Arial" w:cs="Arial"/>
          <w:color w:val="000000" w:themeColor="text1"/>
          <w:sz w:val="22"/>
          <w:szCs w:val="22"/>
          <w:lang w:val="es-ES_tradnl"/>
        </w:rPr>
        <w:t xml:space="preserve">al artículo 12 de la ley 1150 de 2007, </w:t>
      </w:r>
      <w:r w:rsidR="006140D7" w:rsidRPr="00D17E59">
        <w:rPr>
          <w:rFonts w:ascii="Arial" w:eastAsia="Calibri" w:hAnsi="Arial" w:cs="Arial"/>
          <w:color w:val="000000" w:themeColor="text1"/>
          <w:sz w:val="22"/>
          <w:szCs w:val="22"/>
          <w:lang w:val="es-ES_tradnl"/>
        </w:rPr>
        <w:t>se produjo el fenómeno de la subrogación</w:t>
      </w:r>
      <w:bookmarkEnd w:id="15"/>
      <w:r w:rsidR="006140D7" w:rsidRPr="00D17E59">
        <w:rPr>
          <w:rFonts w:ascii="Arial" w:eastAsia="Calibri" w:hAnsi="Arial" w:cs="Arial"/>
          <w:color w:val="000000" w:themeColor="text1"/>
          <w:sz w:val="22"/>
          <w:szCs w:val="22"/>
          <w:lang w:val="es-ES_tradnl"/>
        </w:rPr>
        <w:t xml:space="preserve">, el cual ha sido explicado por la Corte Constitucional en los siguientes términos: </w:t>
      </w:r>
    </w:p>
    <w:p w14:paraId="622B9E34" w14:textId="77777777" w:rsidR="006140D7" w:rsidRPr="00D17E59" w:rsidRDefault="006140D7" w:rsidP="006140D7">
      <w:pPr>
        <w:spacing w:line="276" w:lineRule="auto"/>
        <w:ind w:left="709" w:right="709"/>
        <w:jc w:val="both"/>
        <w:rPr>
          <w:rFonts w:ascii="Arial" w:eastAsia="Calibri" w:hAnsi="Arial" w:cs="Arial"/>
          <w:color w:val="000000" w:themeColor="text1"/>
          <w:sz w:val="21"/>
          <w:szCs w:val="21"/>
          <w:lang w:val="es-ES_tradnl"/>
        </w:rPr>
      </w:pPr>
    </w:p>
    <w:p w14:paraId="3E6114B2" w14:textId="77777777" w:rsidR="006140D7" w:rsidRPr="00D17E59" w:rsidRDefault="006140D7" w:rsidP="006140D7">
      <w:pPr>
        <w:ind w:left="709" w:right="709"/>
        <w:jc w:val="both"/>
        <w:rPr>
          <w:rFonts w:ascii="Arial" w:eastAsia="Calibri" w:hAnsi="Arial" w:cs="Arial"/>
          <w:color w:val="000000" w:themeColor="text1"/>
          <w:sz w:val="21"/>
          <w:szCs w:val="21"/>
          <w:lang w:val="es-ES_tradnl"/>
        </w:rPr>
      </w:pPr>
      <w:r w:rsidRPr="00D17E59">
        <w:rPr>
          <w:rFonts w:ascii="Arial" w:eastAsia="Calibri" w:hAnsi="Arial" w:cs="Arial"/>
          <w:color w:val="000000" w:themeColor="text1"/>
          <w:sz w:val="21"/>
          <w:szCs w:val="21"/>
          <w:lang w:val="es-ES_tradnl"/>
        </w:rPr>
        <w:t xml:space="preserve">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w:t>
      </w:r>
      <w:r w:rsidRPr="00D17E59">
        <w:rPr>
          <w:rFonts w:ascii="Arial" w:eastAsia="Calibri" w:hAnsi="Arial" w:cs="Arial"/>
          <w:color w:val="000000" w:themeColor="text1"/>
          <w:sz w:val="21"/>
          <w:szCs w:val="21"/>
          <w:lang w:val="es-ES_tradnl"/>
        </w:rPr>
        <w:lastRenderedPageBreak/>
        <w:t>subrogación puede incluir la reproducción de apartes normativos provenientes del texto legal que se subroga</w:t>
      </w:r>
      <w:r w:rsidRPr="00D17E59">
        <w:rPr>
          <w:rStyle w:val="Refdenotaalpie"/>
          <w:rFonts w:ascii="Arial" w:eastAsia="Calibri" w:hAnsi="Arial" w:cs="Arial"/>
          <w:color w:val="000000" w:themeColor="text1"/>
          <w:sz w:val="21"/>
          <w:szCs w:val="21"/>
          <w:lang w:val="es-ES_tradnl"/>
        </w:rPr>
        <w:footnoteReference w:id="5"/>
      </w:r>
      <w:r w:rsidRPr="00D17E59">
        <w:rPr>
          <w:rFonts w:ascii="Arial" w:eastAsia="Calibri" w:hAnsi="Arial" w:cs="Arial"/>
          <w:color w:val="000000" w:themeColor="text1"/>
          <w:sz w:val="21"/>
          <w:szCs w:val="21"/>
          <w:lang w:val="es-ES_tradnl"/>
        </w:rPr>
        <w:t>.</w:t>
      </w:r>
    </w:p>
    <w:p w14:paraId="2D63C868" w14:textId="77777777" w:rsidR="006140D7" w:rsidRPr="00D17E59" w:rsidRDefault="006140D7" w:rsidP="006140D7">
      <w:pPr>
        <w:spacing w:line="276" w:lineRule="auto"/>
        <w:ind w:firstLine="709"/>
        <w:jc w:val="both"/>
        <w:rPr>
          <w:rFonts w:ascii="Arial" w:eastAsia="Calibri" w:hAnsi="Arial" w:cs="Arial"/>
          <w:color w:val="000000" w:themeColor="text1"/>
          <w:sz w:val="22"/>
          <w:szCs w:val="22"/>
          <w:lang w:val="es-ES_tradnl"/>
        </w:rPr>
      </w:pPr>
    </w:p>
    <w:p w14:paraId="680C0C27" w14:textId="48C9ED90" w:rsidR="006140D7" w:rsidRPr="00D17E59" w:rsidRDefault="006140D7" w:rsidP="006140D7">
      <w:pPr>
        <w:spacing w:after="120" w:line="276" w:lineRule="auto"/>
        <w:ind w:firstLine="709"/>
        <w:jc w:val="both"/>
        <w:rPr>
          <w:rFonts w:ascii="Arial" w:eastAsia="Calibri" w:hAnsi="Arial" w:cs="Arial"/>
          <w:color w:val="000000" w:themeColor="text1"/>
          <w:sz w:val="22"/>
          <w:szCs w:val="22"/>
          <w:lang w:val="es-ES_tradnl"/>
        </w:rPr>
      </w:pPr>
      <w:bookmarkStart w:id="16" w:name="_Hlk69144130"/>
      <w:r w:rsidRPr="00D17E59">
        <w:rPr>
          <w:rFonts w:ascii="Arial" w:eastAsia="Calibri" w:hAnsi="Arial" w:cs="Arial"/>
          <w:color w:val="000000" w:themeColor="text1"/>
          <w:sz w:val="22"/>
          <w:szCs w:val="22"/>
          <w:lang w:val="es-ES_tradnl"/>
        </w:rPr>
        <w:t>La subrogación es, entonces, una forma de derogación de l</w:t>
      </w:r>
      <w:r w:rsidR="00BE1784">
        <w:rPr>
          <w:rFonts w:ascii="Arial" w:eastAsia="Calibri" w:hAnsi="Arial" w:cs="Arial"/>
          <w:color w:val="000000" w:themeColor="text1"/>
          <w:sz w:val="22"/>
          <w:szCs w:val="22"/>
          <w:lang w:val="es-ES_tradnl"/>
        </w:rPr>
        <w:t>as</w:t>
      </w:r>
      <w:r w:rsidRPr="00D17E59">
        <w:rPr>
          <w:rFonts w:ascii="Arial" w:eastAsia="Calibri" w:hAnsi="Arial" w:cs="Arial"/>
          <w:color w:val="000000" w:themeColor="text1"/>
          <w:sz w:val="22"/>
          <w:szCs w:val="22"/>
          <w:lang w:val="es-ES_tradnl"/>
        </w:rPr>
        <w:t xml:space="preserve"> norma</w:t>
      </w:r>
      <w:r w:rsidR="00BE1784">
        <w:rPr>
          <w:rFonts w:ascii="Arial" w:eastAsia="Calibri" w:hAnsi="Arial" w:cs="Arial"/>
          <w:color w:val="000000" w:themeColor="text1"/>
          <w:sz w:val="22"/>
          <w:szCs w:val="22"/>
          <w:lang w:val="es-ES_tradnl"/>
        </w:rPr>
        <w:t>s jurídicas</w:t>
      </w:r>
      <w:r w:rsidRPr="00D17E59">
        <w:rPr>
          <w:rFonts w:ascii="Arial" w:eastAsia="Calibri" w:hAnsi="Arial" w:cs="Arial"/>
          <w:color w:val="000000" w:themeColor="text1"/>
          <w:sz w:val="22"/>
          <w:szCs w:val="22"/>
          <w:lang w:val="es-ES_tradnl"/>
        </w:rPr>
        <w:t>,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03C162AE" w14:textId="5A0311B8" w:rsidR="006140D7" w:rsidRDefault="006140D7" w:rsidP="006140D7">
      <w:pPr>
        <w:tabs>
          <w:tab w:val="left" w:pos="709"/>
        </w:tabs>
        <w:spacing w:line="276" w:lineRule="auto"/>
        <w:jc w:val="both"/>
        <w:rPr>
          <w:rFonts w:ascii="Arial" w:eastAsia="Calibri" w:hAnsi="Arial" w:cs="Arial"/>
          <w:bCs/>
          <w:color w:val="000000" w:themeColor="text1"/>
          <w:sz w:val="22"/>
        </w:rPr>
      </w:pPr>
      <w:r>
        <w:rPr>
          <w:rFonts w:ascii="Arial" w:eastAsia="Calibri" w:hAnsi="Arial" w:cs="Arial"/>
          <w:color w:val="000000" w:themeColor="text1"/>
          <w:sz w:val="22"/>
          <w:szCs w:val="22"/>
          <w:lang w:val="es-ES_tradnl"/>
        </w:rPr>
        <w:tab/>
      </w:r>
      <w:r w:rsidR="008522D4">
        <w:rPr>
          <w:rFonts w:ascii="Arial" w:eastAsia="Calibri" w:hAnsi="Arial" w:cs="Arial"/>
          <w:color w:val="000000" w:themeColor="text1"/>
          <w:sz w:val="22"/>
          <w:szCs w:val="22"/>
          <w:lang w:val="es-ES_tradnl"/>
        </w:rPr>
        <w:t>En ese sentido</w:t>
      </w:r>
      <w:r>
        <w:rPr>
          <w:rFonts w:ascii="Arial" w:eastAsia="Calibri" w:hAnsi="Arial" w:cs="Arial"/>
          <w:color w:val="000000" w:themeColor="text1"/>
          <w:sz w:val="22"/>
          <w:szCs w:val="22"/>
          <w:lang w:val="es-ES_tradnl"/>
        </w:rPr>
        <w:t>, e</w:t>
      </w:r>
      <w:r w:rsidRPr="00D17E59">
        <w:rPr>
          <w:rFonts w:ascii="Arial" w:eastAsia="Calibri" w:hAnsi="Arial" w:cs="Arial"/>
          <w:color w:val="000000" w:themeColor="text1"/>
          <w:sz w:val="22"/>
          <w:szCs w:val="22"/>
          <w:lang w:val="es-ES_tradnl"/>
        </w:rPr>
        <w:t xml:space="preserve">l artículo 12 de la Ley 1150 de 2007 fue subrogado por el artículo 34 de la Ley 2069 de 2020, porque este contiene una regulación diferente de la promoción del desarrollo en la contratación estatal. Además, en el primer inciso del artículo 34 de la Ley 2069 de 2020 se </w:t>
      </w:r>
      <w:r w:rsidR="00811071">
        <w:rPr>
          <w:rFonts w:ascii="Arial" w:eastAsia="Calibri" w:hAnsi="Arial" w:cs="Arial"/>
          <w:color w:val="000000" w:themeColor="text1"/>
          <w:sz w:val="22"/>
          <w:szCs w:val="22"/>
          <w:lang w:val="es-ES_tradnl"/>
        </w:rPr>
        <w:t>dispone</w:t>
      </w:r>
      <w:r w:rsidR="00811071" w:rsidRPr="00D17E59">
        <w:rPr>
          <w:rFonts w:ascii="Arial" w:eastAsia="Calibri" w:hAnsi="Arial" w:cs="Arial"/>
          <w:color w:val="000000" w:themeColor="text1"/>
          <w:sz w:val="22"/>
          <w:szCs w:val="22"/>
          <w:lang w:val="es-ES_tradnl"/>
        </w:rPr>
        <w:t xml:space="preserve"> </w:t>
      </w:r>
      <w:r w:rsidRPr="00D17E59">
        <w:rPr>
          <w:rFonts w:ascii="Arial" w:eastAsia="Calibri" w:hAnsi="Arial" w:cs="Arial"/>
          <w:color w:val="000000" w:themeColor="text1"/>
          <w:sz w:val="22"/>
          <w:szCs w:val="22"/>
          <w:lang w:val="es-ES_tradnl"/>
        </w:rPr>
        <w:t>claramente: «Modifíquese el artículo 12 de la Ley 1150 de 2007, el cual quedará así». Esto significa que la voluntad del legislador no estuvo dirigida a reforma</w:t>
      </w:r>
      <w:r w:rsidR="00811071">
        <w:rPr>
          <w:rFonts w:ascii="Arial" w:eastAsia="Calibri" w:hAnsi="Arial" w:cs="Arial"/>
          <w:color w:val="000000" w:themeColor="text1"/>
          <w:sz w:val="22"/>
          <w:szCs w:val="22"/>
          <w:lang w:val="es-ES_tradnl"/>
        </w:rPr>
        <w:t xml:space="preserve">r </w:t>
      </w:r>
      <w:r w:rsidRPr="00D17E59">
        <w:rPr>
          <w:rFonts w:ascii="Arial" w:eastAsia="Calibri" w:hAnsi="Arial" w:cs="Arial"/>
          <w:color w:val="000000" w:themeColor="text1"/>
          <w:sz w:val="22"/>
          <w:szCs w:val="22"/>
          <w:lang w:val="es-ES_tradnl"/>
        </w:rPr>
        <w:t>el artículo 12 de la Ley 1150 de 2007, sino a modificarlo completamente, sustituyéndolo por uno nuevo</w:t>
      </w:r>
      <w:bookmarkEnd w:id="16"/>
      <w:r w:rsidRPr="00D17E59">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 xml:space="preserve"> </w:t>
      </w:r>
      <w:r w:rsidR="0022324A">
        <w:rPr>
          <w:rFonts w:ascii="Arial" w:eastAsia="Calibri" w:hAnsi="Arial" w:cs="Arial"/>
          <w:color w:val="000000" w:themeColor="text1"/>
          <w:sz w:val="22"/>
          <w:szCs w:val="22"/>
          <w:lang w:val="es-ES_tradnl"/>
        </w:rPr>
        <w:t>Al respecto</w:t>
      </w:r>
      <w:r>
        <w:rPr>
          <w:rFonts w:ascii="Arial" w:eastAsia="Calibri" w:hAnsi="Arial" w:cs="Arial"/>
          <w:bCs/>
          <w:color w:val="000000" w:themeColor="text1"/>
          <w:sz w:val="22"/>
        </w:rPr>
        <w:t xml:space="preserve">, la norma dispone lo siguiente:   </w:t>
      </w:r>
    </w:p>
    <w:p w14:paraId="2CF3523A" w14:textId="77777777" w:rsidR="006140D7" w:rsidRDefault="006140D7" w:rsidP="006140D7">
      <w:pPr>
        <w:tabs>
          <w:tab w:val="left" w:pos="709"/>
        </w:tabs>
        <w:spacing w:line="276" w:lineRule="auto"/>
        <w:jc w:val="both"/>
        <w:rPr>
          <w:rFonts w:ascii="Arial" w:eastAsia="Calibri" w:hAnsi="Arial" w:cs="Arial"/>
          <w:bCs/>
          <w:color w:val="000000" w:themeColor="text1"/>
          <w:sz w:val="22"/>
        </w:rPr>
      </w:pPr>
    </w:p>
    <w:p w14:paraId="0DA64A93" w14:textId="77777777" w:rsidR="006140D7" w:rsidRPr="008522D4" w:rsidRDefault="006140D7" w:rsidP="008522D4">
      <w:pPr>
        <w:tabs>
          <w:tab w:val="left" w:pos="1276"/>
        </w:tabs>
        <w:spacing w:after="120"/>
        <w:ind w:left="709" w:right="709"/>
        <w:jc w:val="both"/>
        <w:rPr>
          <w:rFonts w:ascii="Arial" w:eastAsia="Calibri" w:hAnsi="Arial" w:cs="Arial"/>
          <w:bCs/>
          <w:i/>
          <w:iCs/>
          <w:color w:val="000000" w:themeColor="text1"/>
          <w:sz w:val="21"/>
          <w:szCs w:val="21"/>
        </w:rPr>
      </w:pPr>
      <w:r w:rsidRPr="00D3555B">
        <w:rPr>
          <w:rFonts w:ascii="Arial" w:eastAsia="Calibri" w:hAnsi="Arial" w:cs="Arial"/>
          <w:bCs/>
          <w:color w:val="000000" w:themeColor="text1"/>
          <w:sz w:val="21"/>
          <w:szCs w:val="21"/>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D3555B">
        <w:rPr>
          <w:rFonts w:ascii="Arial" w:eastAsia="Calibri" w:hAnsi="Arial" w:cs="Arial"/>
          <w:bCs/>
          <w:i/>
          <w:iCs/>
          <w:color w:val="000000" w:themeColor="text1"/>
          <w:sz w:val="21"/>
          <w:szCs w:val="21"/>
        </w:rPr>
        <w:t>indistintamente de su régimen de contratación, los patrimonios autónomos constituidos por Entidades Estatales y los particulares que ejecuten recursos públicos,</w:t>
      </w:r>
      <w:r w:rsidRPr="00D3555B">
        <w:rPr>
          <w:rFonts w:ascii="Arial" w:eastAsia="Calibri" w:hAnsi="Arial" w:cs="Arial"/>
          <w:bCs/>
          <w:color w:val="000000" w:themeColor="text1"/>
          <w:sz w:val="21"/>
          <w:szCs w:val="21"/>
        </w:rPr>
        <w:t xml:space="preserve"> adopten en beneficio de las </w:t>
      </w:r>
      <w:proofErr w:type="spellStart"/>
      <w:r w:rsidRPr="00D3555B">
        <w:rPr>
          <w:rFonts w:ascii="Arial" w:eastAsia="Calibri" w:hAnsi="Arial" w:cs="Arial"/>
          <w:bCs/>
          <w:color w:val="000000" w:themeColor="text1"/>
          <w:sz w:val="21"/>
          <w:szCs w:val="21"/>
        </w:rPr>
        <w:t>Mipyme</w:t>
      </w:r>
      <w:proofErr w:type="spellEnd"/>
      <w:r w:rsidRPr="00D3555B">
        <w:rPr>
          <w:rFonts w:ascii="Arial" w:eastAsia="Calibri" w:hAnsi="Arial" w:cs="Arial"/>
          <w:bCs/>
          <w:color w:val="000000" w:themeColor="text1"/>
          <w:sz w:val="21"/>
          <w:szCs w:val="21"/>
        </w:rPr>
        <w:t xml:space="preserve">, convocatorias limitadas a estas en las que, previo a la Resolución de apertura del proceso respectivo, se haya manifestado el interés </w:t>
      </w:r>
      <w:r w:rsidRPr="00D3555B">
        <w:rPr>
          <w:rFonts w:ascii="Arial" w:eastAsia="Calibri" w:hAnsi="Arial" w:cs="Arial"/>
          <w:bCs/>
          <w:i/>
          <w:iCs/>
          <w:color w:val="000000" w:themeColor="text1"/>
          <w:sz w:val="21"/>
          <w:szCs w:val="21"/>
        </w:rPr>
        <w:t xml:space="preserve">de por lo menos dos (2) </w:t>
      </w:r>
      <w:proofErr w:type="spellStart"/>
      <w:r w:rsidRPr="00D3555B">
        <w:rPr>
          <w:rFonts w:ascii="Arial" w:eastAsia="Calibri" w:hAnsi="Arial" w:cs="Arial"/>
          <w:bCs/>
          <w:i/>
          <w:iCs/>
          <w:color w:val="000000" w:themeColor="text1"/>
          <w:sz w:val="21"/>
          <w:szCs w:val="21"/>
        </w:rPr>
        <w:t>Mipyme</w:t>
      </w:r>
      <w:proofErr w:type="spellEnd"/>
      <w:r w:rsidRPr="008522D4">
        <w:rPr>
          <w:rFonts w:ascii="Arial" w:eastAsia="Calibri" w:hAnsi="Arial" w:cs="Arial"/>
          <w:bCs/>
          <w:i/>
          <w:iCs/>
          <w:color w:val="000000" w:themeColor="text1"/>
          <w:sz w:val="21"/>
          <w:szCs w:val="21"/>
        </w:rPr>
        <w:t>.</w:t>
      </w:r>
    </w:p>
    <w:p w14:paraId="3F87922A" w14:textId="77777777" w:rsidR="006140D7" w:rsidRPr="00D3555B" w:rsidRDefault="006140D7" w:rsidP="006140D7">
      <w:pPr>
        <w:tabs>
          <w:tab w:val="left" w:pos="1276"/>
        </w:tabs>
        <w:spacing w:after="120"/>
        <w:ind w:left="709" w:right="709"/>
        <w:jc w:val="both"/>
        <w:rPr>
          <w:rFonts w:ascii="Arial" w:eastAsia="Calibri" w:hAnsi="Arial" w:cs="Arial"/>
          <w:bCs/>
          <w:color w:val="000000" w:themeColor="text1"/>
          <w:sz w:val="21"/>
          <w:szCs w:val="21"/>
        </w:rPr>
      </w:pPr>
      <w:r w:rsidRPr="008522D4">
        <w:rPr>
          <w:rFonts w:ascii="Arial" w:eastAsia="Calibri" w:hAnsi="Arial" w:cs="Arial"/>
          <w:bCs/>
          <w:i/>
          <w:iCs/>
          <w:color w:val="000000" w:themeColor="text1"/>
          <w:sz w:val="21"/>
          <w:szCs w:val="21"/>
        </w:rPr>
        <w:t>Asimismo, el</w:t>
      </w:r>
      <w:r w:rsidRPr="00D3555B">
        <w:rPr>
          <w:rFonts w:ascii="Arial" w:eastAsia="Calibri" w:hAnsi="Arial" w:cs="Arial"/>
          <w:bCs/>
          <w:color w:val="000000" w:themeColor="text1"/>
          <w:sz w:val="21"/>
          <w:szCs w:val="21"/>
        </w:rPr>
        <w:t xml:space="preserve"> reglamento podrá establecer condiciones preferenciales en favor de la oferta de bienes y servicios producidos por las </w:t>
      </w:r>
      <w:proofErr w:type="spellStart"/>
      <w:r w:rsidRPr="00D3555B">
        <w:rPr>
          <w:rFonts w:ascii="Arial" w:eastAsia="Calibri" w:hAnsi="Arial" w:cs="Arial"/>
          <w:bCs/>
          <w:color w:val="000000" w:themeColor="text1"/>
          <w:sz w:val="21"/>
          <w:szCs w:val="21"/>
        </w:rPr>
        <w:t>Mipyme</w:t>
      </w:r>
      <w:proofErr w:type="spellEnd"/>
      <w:r w:rsidRPr="00D3555B">
        <w:rPr>
          <w:rFonts w:ascii="Arial" w:eastAsia="Calibri" w:hAnsi="Arial" w:cs="Arial"/>
          <w:bCs/>
          <w:color w:val="000000" w:themeColor="text1"/>
          <w:sz w:val="21"/>
          <w:szCs w:val="21"/>
        </w:rPr>
        <w:t>, respetando los montos y las condiciones contenidas en los compromisos internacionales vigentes</w:t>
      </w:r>
      <w:r w:rsidRPr="00D3555B">
        <w:rPr>
          <w:rFonts w:ascii="Arial" w:eastAsia="Calibri" w:hAnsi="Arial" w:cs="Arial"/>
          <w:bCs/>
          <w:i/>
          <w:iCs/>
          <w:color w:val="000000" w:themeColor="text1"/>
          <w:sz w:val="21"/>
          <w:szCs w:val="21"/>
        </w:rPr>
        <w:t>, cuando sean aplicables</w:t>
      </w:r>
      <w:r w:rsidRPr="00D3555B">
        <w:rPr>
          <w:rFonts w:ascii="Arial" w:eastAsia="Calibri" w:hAnsi="Arial" w:cs="Arial"/>
          <w:bCs/>
          <w:color w:val="000000" w:themeColor="text1"/>
          <w:sz w:val="21"/>
          <w:szCs w:val="21"/>
        </w:rPr>
        <w:t>.</w:t>
      </w:r>
    </w:p>
    <w:p w14:paraId="68DEEECE" w14:textId="6C68076B" w:rsidR="006E7C82" w:rsidRPr="006E7C82" w:rsidRDefault="006140D7" w:rsidP="006E7C82">
      <w:pPr>
        <w:tabs>
          <w:tab w:val="left" w:pos="1276"/>
        </w:tabs>
        <w:spacing w:after="120"/>
        <w:ind w:left="709" w:right="709"/>
        <w:jc w:val="both"/>
        <w:rPr>
          <w:rFonts w:ascii="Arial" w:eastAsia="Calibri" w:hAnsi="Arial" w:cs="Arial"/>
          <w:bCs/>
          <w:i/>
          <w:iCs/>
          <w:color w:val="000000" w:themeColor="text1"/>
          <w:sz w:val="21"/>
          <w:szCs w:val="21"/>
        </w:rPr>
      </w:pPr>
      <w:r w:rsidRPr="00D3555B">
        <w:rPr>
          <w:rFonts w:ascii="Arial" w:eastAsia="Calibri" w:hAnsi="Arial" w:cs="Arial"/>
          <w:bCs/>
          <w:color w:val="000000" w:themeColor="text1"/>
          <w:sz w:val="21"/>
          <w:szCs w:val="21"/>
        </w:rPr>
        <w:t xml:space="preserve">En todo caso, se deberá garantizar la satisfacción de las condiciones técnicas y económicas </w:t>
      </w:r>
      <w:r w:rsidRPr="006E7C82">
        <w:rPr>
          <w:rFonts w:ascii="Arial" w:eastAsia="Calibri" w:hAnsi="Arial" w:cs="Arial"/>
          <w:bCs/>
          <w:i/>
          <w:iCs/>
          <w:color w:val="000000" w:themeColor="text1"/>
          <w:sz w:val="21"/>
          <w:szCs w:val="21"/>
        </w:rPr>
        <w:t>requeridas en el Proceso de Contratación</w:t>
      </w:r>
      <w:r w:rsidRPr="006E7C82">
        <w:rPr>
          <w:rFonts w:eastAsia="Calibri"/>
          <w:i/>
          <w:iCs/>
        </w:rPr>
        <w:footnoteReference w:id="6"/>
      </w:r>
      <w:r w:rsidRPr="006E7C82">
        <w:rPr>
          <w:rFonts w:ascii="Arial" w:eastAsia="Calibri" w:hAnsi="Arial" w:cs="Arial"/>
          <w:bCs/>
          <w:i/>
          <w:iCs/>
          <w:color w:val="000000" w:themeColor="text1"/>
          <w:sz w:val="21"/>
          <w:szCs w:val="21"/>
        </w:rPr>
        <w:t>. (Énfasis fuera de texto)</w:t>
      </w:r>
    </w:p>
    <w:p w14:paraId="7972EDD9" w14:textId="14565C9C" w:rsidR="006E7C82" w:rsidRPr="006E7C82" w:rsidRDefault="006E7C82" w:rsidP="00DD3337">
      <w:pPr>
        <w:tabs>
          <w:tab w:val="left" w:pos="1276"/>
        </w:tabs>
        <w:ind w:left="709" w:right="709"/>
        <w:jc w:val="both"/>
        <w:rPr>
          <w:rFonts w:ascii="Arial" w:eastAsia="Calibri" w:hAnsi="Arial" w:cs="Arial"/>
          <w:bCs/>
          <w:color w:val="000000" w:themeColor="text1"/>
          <w:sz w:val="21"/>
          <w:szCs w:val="21"/>
        </w:rPr>
      </w:pPr>
      <w:r w:rsidRPr="006E7C82">
        <w:rPr>
          <w:rFonts w:ascii="Arial" w:eastAsia="Calibri" w:hAnsi="Arial" w:cs="Arial"/>
          <w:bCs/>
          <w:i/>
          <w:iCs/>
          <w:color w:val="000000" w:themeColor="text1"/>
          <w:sz w:val="21"/>
          <w:szCs w:val="21"/>
        </w:rPr>
        <w:lastRenderedPageBreak/>
        <w:t>De igual forma</w:t>
      </w:r>
      <w:r w:rsidRPr="006E7C82">
        <w:rPr>
          <w:rFonts w:ascii="Arial" w:hAnsi="Arial" w:cs="Arial"/>
          <w:sz w:val="21"/>
          <w:szCs w:val="21"/>
        </w:rPr>
        <w:t>,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313B3439" w14:textId="08354701" w:rsidR="006140D7" w:rsidRPr="00D17E59" w:rsidRDefault="006140D7" w:rsidP="00DD3337">
      <w:pPr>
        <w:spacing w:line="276" w:lineRule="auto"/>
        <w:ind w:firstLine="709"/>
        <w:jc w:val="both"/>
        <w:rPr>
          <w:rFonts w:ascii="Arial" w:eastAsia="Calibri" w:hAnsi="Arial" w:cs="Arial"/>
          <w:color w:val="000000" w:themeColor="text1"/>
          <w:sz w:val="22"/>
          <w:szCs w:val="22"/>
          <w:lang w:val="es-ES_tradnl"/>
        </w:rPr>
      </w:pPr>
    </w:p>
    <w:p w14:paraId="79D3AD6A" w14:textId="5BA95085" w:rsidR="00DF6328" w:rsidRDefault="00DF6328" w:rsidP="00DD3337">
      <w:pPr>
        <w:spacing w:after="120" w:line="276" w:lineRule="auto"/>
        <w:ind w:firstLine="709"/>
        <w:jc w:val="both"/>
        <w:rPr>
          <w:rFonts w:ascii="Arial" w:hAnsi="Arial" w:cs="Arial"/>
          <w:color w:val="000000"/>
          <w:sz w:val="22"/>
          <w:szCs w:val="22"/>
          <w:bdr w:val="none" w:sz="0" w:space="0" w:color="auto" w:frame="1"/>
        </w:rPr>
      </w:pPr>
      <w:bookmarkStart w:id="18" w:name="_Hlk69144591"/>
      <w:r w:rsidRPr="00D17E59">
        <w:rPr>
          <w:rFonts w:ascii="Arial" w:eastAsia="Calibri" w:hAnsi="Arial" w:cs="Arial"/>
          <w:color w:val="000000" w:themeColor="text1"/>
          <w:sz w:val="22"/>
          <w:szCs w:val="22"/>
          <w:lang w:val="es-ES_tradnl"/>
        </w:rPr>
        <w:t>Así</w:t>
      </w:r>
      <w:r w:rsidRPr="00D17E59">
        <w:rPr>
          <w:rFonts w:ascii="Arial" w:hAnsi="Arial" w:cs="Arial"/>
          <w:color w:val="000000"/>
          <w:sz w:val="22"/>
          <w:szCs w:val="22"/>
          <w:bdr w:val="none" w:sz="0" w:space="0" w:color="auto" w:frame="1"/>
        </w:rPr>
        <w:t xml:space="preserve">, el artículo 34 de la Ley 2069 de 2020 cambia requisitos esenciales para que pueda haber convocatorias limitadas a </w:t>
      </w:r>
      <w:proofErr w:type="spellStart"/>
      <w:r w:rsidRPr="00D17E59">
        <w:rPr>
          <w:rFonts w:ascii="Arial" w:hAnsi="Arial" w:cs="Arial"/>
          <w:color w:val="000000"/>
          <w:sz w:val="22"/>
          <w:szCs w:val="22"/>
          <w:bdr w:val="none" w:sz="0" w:space="0" w:color="auto" w:frame="1"/>
        </w:rPr>
        <w:t>mipymes</w:t>
      </w:r>
      <w:proofErr w:type="spellEnd"/>
      <w:r w:rsidRPr="00D17E59">
        <w:rPr>
          <w:rFonts w:ascii="Arial" w:hAnsi="Arial" w:cs="Arial"/>
          <w:color w:val="000000"/>
          <w:sz w:val="22"/>
          <w:szCs w:val="22"/>
          <w:bdr w:val="none" w:sz="0" w:space="0" w:color="auto" w:frame="1"/>
        </w:rPr>
        <w:t xml:space="preserve">: i) </w:t>
      </w:r>
      <w:r w:rsidR="004D2CF5">
        <w:rPr>
          <w:rFonts w:ascii="Arial" w:hAnsi="Arial" w:cs="Arial"/>
          <w:color w:val="000000"/>
          <w:sz w:val="22"/>
          <w:szCs w:val="22"/>
          <w:bdr w:val="none" w:sz="0" w:space="0" w:color="auto" w:frame="1"/>
        </w:rPr>
        <w:t>dispone</w:t>
      </w:r>
      <w:r w:rsidRPr="00D17E59">
        <w:rPr>
          <w:rFonts w:ascii="Arial" w:hAnsi="Arial" w:cs="Arial"/>
          <w:color w:val="000000"/>
          <w:sz w:val="22"/>
          <w:szCs w:val="22"/>
          <w:bdr w:val="none" w:sz="0" w:space="0" w:color="auto" w:frame="1"/>
        </w:rPr>
        <w:t xml:space="preserve"> que estas deben desarrollarse independientemente del régimen de contratación de la entidad estatal –es decir, también deben efectuarlas las entidades estatales exceptuadas del Estatuto General de Contratación de la Administración Pública o que se rigen por derecho privado–</w:t>
      </w:r>
      <w:r w:rsidR="004D2CF5">
        <w:rPr>
          <w:rFonts w:ascii="Arial" w:hAnsi="Arial" w:cs="Arial"/>
          <w:color w:val="000000"/>
          <w:sz w:val="22"/>
          <w:szCs w:val="22"/>
          <w:bdr w:val="none" w:sz="0" w:space="0" w:color="auto" w:frame="1"/>
        </w:rPr>
        <w:t>;</w:t>
      </w:r>
      <w:r w:rsidRPr="00D17E59">
        <w:rPr>
          <w:rFonts w:ascii="Arial" w:hAnsi="Arial" w:cs="Arial"/>
          <w:color w:val="000000"/>
          <w:sz w:val="22"/>
          <w:szCs w:val="22"/>
          <w:bdr w:val="none" w:sz="0" w:space="0" w:color="auto" w:frame="1"/>
        </w:rPr>
        <w:t xml:space="preserve"> </w:t>
      </w:r>
      <w:proofErr w:type="spellStart"/>
      <w:r w:rsidRPr="00D17E59">
        <w:rPr>
          <w:rFonts w:ascii="Arial" w:hAnsi="Arial" w:cs="Arial"/>
          <w:color w:val="000000"/>
          <w:sz w:val="22"/>
          <w:szCs w:val="22"/>
          <w:bdr w:val="none" w:sz="0" w:space="0" w:color="auto" w:frame="1"/>
        </w:rPr>
        <w:t>ii</w:t>
      </w:r>
      <w:proofErr w:type="spellEnd"/>
      <w:r w:rsidRPr="00D17E59">
        <w:rPr>
          <w:rFonts w:ascii="Arial" w:hAnsi="Arial" w:cs="Arial"/>
          <w:color w:val="000000"/>
          <w:sz w:val="22"/>
          <w:szCs w:val="22"/>
          <w:bdr w:val="none" w:sz="0" w:space="0" w:color="auto" w:frame="1"/>
        </w:rPr>
        <w:t xml:space="preserve">) </w:t>
      </w:r>
      <w:r w:rsidR="004D2CF5">
        <w:rPr>
          <w:rFonts w:ascii="Arial" w:hAnsi="Arial" w:cs="Arial"/>
          <w:color w:val="000000"/>
          <w:sz w:val="22"/>
          <w:szCs w:val="22"/>
          <w:bdr w:val="none" w:sz="0" w:space="0" w:color="auto" w:frame="1"/>
        </w:rPr>
        <w:t>s</w:t>
      </w:r>
      <w:r w:rsidRPr="00D17E59">
        <w:rPr>
          <w:rFonts w:ascii="Arial" w:hAnsi="Arial" w:cs="Arial"/>
          <w:color w:val="000000"/>
          <w:sz w:val="22"/>
          <w:szCs w:val="22"/>
          <w:bdr w:val="none" w:sz="0" w:space="0" w:color="auto" w:frame="1"/>
        </w:rPr>
        <w:t>eñala que los patrimonios autónomos constituidos por entidades estatales y los particulares que ejecuten recursos públicos también son destinatarios de esta exigencia</w:t>
      </w:r>
      <w:r w:rsidR="004D2CF5">
        <w:rPr>
          <w:rFonts w:ascii="Arial" w:hAnsi="Arial" w:cs="Arial"/>
          <w:color w:val="000000"/>
          <w:sz w:val="22"/>
          <w:szCs w:val="22"/>
          <w:bdr w:val="none" w:sz="0" w:space="0" w:color="auto" w:frame="1"/>
        </w:rPr>
        <w:t>;</w:t>
      </w:r>
      <w:r w:rsidRPr="00D17E59">
        <w:rPr>
          <w:rFonts w:ascii="Arial" w:hAnsi="Arial" w:cs="Arial"/>
          <w:color w:val="000000"/>
          <w:sz w:val="22"/>
          <w:szCs w:val="22"/>
          <w:bdr w:val="none" w:sz="0" w:space="0" w:color="auto" w:frame="1"/>
        </w:rPr>
        <w:t xml:space="preserve"> </w:t>
      </w:r>
      <w:proofErr w:type="spellStart"/>
      <w:r w:rsidRPr="00D17E59">
        <w:rPr>
          <w:rFonts w:ascii="Arial" w:hAnsi="Arial" w:cs="Arial"/>
          <w:color w:val="000000"/>
          <w:sz w:val="22"/>
          <w:szCs w:val="22"/>
          <w:bdr w:val="none" w:sz="0" w:space="0" w:color="auto" w:frame="1"/>
        </w:rPr>
        <w:t>iii</w:t>
      </w:r>
      <w:proofErr w:type="spellEnd"/>
      <w:r w:rsidRPr="00D17E59">
        <w:rPr>
          <w:rFonts w:ascii="Arial" w:hAnsi="Arial" w:cs="Arial"/>
          <w:color w:val="000000"/>
          <w:sz w:val="22"/>
          <w:szCs w:val="22"/>
          <w:bdr w:val="none" w:sz="0" w:space="0" w:color="auto" w:frame="1"/>
        </w:rPr>
        <w:t xml:space="preserve">) </w:t>
      </w:r>
      <w:r w:rsidR="004D2CF5">
        <w:rPr>
          <w:rFonts w:ascii="Arial" w:hAnsi="Arial" w:cs="Arial"/>
          <w:color w:val="000000"/>
          <w:sz w:val="22"/>
          <w:szCs w:val="22"/>
          <w:bdr w:val="none" w:sz="0" w:space="0" w:color="auto" w:frame="1"/>
        </w:rPr>
        <w:t>i</w:t>
      </w:r>
      <w:r w:rsidRPr="00D17E59">
        <w:rPr>
          <w:rFonts w:ascii="Arial" w:hAnsi="Arial" w:cs="Arial"/>
          <w:color w:val="000000"/>
          <w:sz w:val="22"/>
          <w:szCs w:val="22"/>
          <w:bdr w:val="none" w:sz="0" w:space="0" w:color="auto" w:frame="1"/>
        </w:rPr>
        <w:t xml:space="preserve">ndica que para que pueda haber convocatorias limitadas a </w:t>
      </w:r>
      <w:proofErr w:type="spellStart"/>
      <w:r w:rsidRPr="00D17E59">
        <w:rPr>
          <w:rFonts w:ascii="Arial" w:hAnsi="Arial" w:cs="Arial"/>
          <w:color w:val="000000"/>
          <w:sz w:val="22"/>
          <w:szCs w:val="22"/>
          <w:bdr w:val="none" w:sz="0" w:space="0" w:color="auto" w:frame="1"/>
        </w:rPr>
        <w:t>mipymes</w:t>
      </w:r>
      <w:proofErr w:type="spellEnd"/>
      <w:r w:rsidRPr="00D17E59">
        <w:rPr>
          <w:rFonts w:ascii="Arial" w:hAnsi="Arial" w:cs="Arial"/>
          <w:color w:val="000000"/>
          <w:sz w:val="22"/>
          <w:szCs w:val="22"/>
          <w:bdr w:val="none" w:sz="0" w:space="0" w:color="auto" w:frame="1"/>
        </w:rPr>
        <w:t>, dos (2) de ellas deben manifestar su interés –mientras que el artículo 12 de la Ley 1150 de 2007 no establecía un número mínimo y el Decreto 1082 de 2015 exigía tres (3)–.</w:t>
      </w:r>
    </w:p>
    <w:p w14:paraId="7D560780" w14:textId="0982F1A2" w:rsidR="00DF6328" w:rsidRPr="00D17E59" w:rsidRDefault="00DF6328" w:rsidP="00DD3337">
      <w:pPr>
        <w:tabs>
          <w:tab w:val="left" w:pos="709"/>
        </w:tabs>
        <w:spacing w:after="120" w:line="276" w:lineRule="auto"/>
        <w:jc w:val="both"/>
        <w:rPr>
          <w:rFonts w:ascii="Arial" w:hAnsi="Arial" w:cs="Arial"/>
          <w:color w:val="000000"/>
          <w:sz w:val="22"/>
          <w:szCs w:val="22"/>
          <w:bdr w:val="none" w:sz="0" w:space="0" w:color="auto" w:frame="1"/>
        </w:rPr>
      </w:pPr>
      <w:r>
        <w:rPr>
          <w:rFonts w:ascii="Arial" w:eastAsia="Calibri" w:hAnsi="Arial" w:cs="Arial"/>
          <w:bCs/>
          <w:color w:val="000000" w:themeColor="text1"/>
          <w:sz w:val="22"/>
        </w:rPr>
        <w:tab/>
      </w:r>
      <w:r w:rsidR="006E7C82" w:rsidRPr="006E7C82">
        <w:rPr>
          <w:rFonts w:ascii="Arial" w:eastAsia="Calibri" w:hAnsi="Arial" w:cs="Arial"/>
          <w:bCs/>
          <w:color w:val="000000" w:themeColor="text1"/>
          <w:sz w:val="22"/>
        </w:rPr>
        <w:t xml:space="preserve">De igual forma, </w:t>
      </w:r>
      <w:r w:rsidR="006E7C82" w:rsidRPr="006E7C82">
        <w:rPr>
          <w:rFonts w:ascii="Arial" w:hAnsi="Arial" w:cs="Arial"/>
          <w:color w:val="000000"/>
          <w:sz w:val="22"/>
          <w:szCs w:val="22"/>
          <w:bdr w:val="none" w:sz="0" w:space="0" w:color="auto" w:frame="1"/>
        </w:rPr>
        <w:t>el artículo 34 de la Ley 2069 de 2020</w:t>
      </w:r>
      <w:r w:rsidRPr="006E7C82">
        <w:rPr>
          <w:rFonts w:ascii="Arial" w:eastAsia="Calibri" w:hAnsi="Arial" w:cs="Arial"/>
          <w:bCs/>
          <w:color w:val="000000" w:themeColor="text1"/>
          <w:sz w:val="22"/>
        </w:rPr>
        <w:t>, alude a la necesidad del desarrollo reglamentario posterior, por lo que no es posible aplicarla directamente desde la fecha de su expedición. Lo propio sucede cuando la norma dispone que «[…]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 Esto significa que los mecanismos de fomento requieren un desarrollo posterior para su aplicación en los procedimientos contractuales.</w:t>
      </w:r>
    </w:p>
    <w:p w14:paraId="20C36A0E" w14:textId="7F7C9C3B" w:rsidR="00DF6328" w:rsidRPr="00D17E59" w:rsidRDefault="00DF6328" w:rsidP="00DF6328">
      <w:pPr>
        <w:spacing w:after="120" w:line="276" w:lineRule="auto"/>
        <w:ind w:firstLine="709"/>
        <w:jc w:val="both"/>
        <w:rPr>
          <w:rFonts w:ascii="Arial" w:hAnsi="Arial" w:cs="Arial"/>
          <w:color w:val="000000"/>
          <w:sz w:val="22"/>
          <w:szCs w:val="22"/>
          <w:bdr w:val="none" w:sz="0" w:space="0" w:color="auto" w:frame="1"/>
        </w:rPr>
      </w:pPr>
      <w:r w:rsidRPr="00D17E59">
        <w:rPr>
          <w:rFonts w:ascii="Arial" w:hAnsi="Arial" w:cs="Arial"/>
          <w:color w:val="000000"/>
          <w:sz w:val="22"/>
          <w:szCs w:val="22"/>
          <w:bdr w:val="none" w:sz="0" w:space="0" w:color="auto" w:frame="1"/>
        </w:rPr>
        <w:t xml:space="preserve">Por otro lado, el artículo 34 de la Ley 2069 de 2020 señala que el gobierno nacional debe definir las condiciones y montos para que se puedan realizar convocatorias limitadas a </w:t>
      </w:r>
      <w:proofErr w:type="spellStart"/>
      <w:r w:rsidRPr="00D17E59">
        <w:rPr>
          <w:rFonts w:ascii="Arial" w:hAnsi="Arial" w:cs="Arial"/>
          <w:color w:val="000000"/>
          <w:sz w:val="22"/>
          <w:szCs w:val="22"/>
          <w:bdr w:val="none" w:sz="0" w:space="0" w:color="auto" w:frame="1"/>
        </w:rPr>
        <w:t>mipymes</w:t>
      </w:r>
      <w:proofErr w:type="spellEnd"/>
      <w:r w:rsidRPr="00D17E59">
        <w:rPr>
          <w:rFonts w:ascii="Arial" w:hAnsi="Arial" w:cs="Arial"/>
          <w:color w:val="000000"/>
          <w:sz w:val="22"/>
          <w:szCs w:val="22"/>
          <w:bdr w:val="none" w:sz="0" w:space="0" w:color="auto" w:frame="1"/>
        </w:rPr>
        <w:t xml:space="preserve">. </w:t>
      </w:r>
      <w:r w:rsidRPr="00D17E59">
        <w:rPr>
          <w:rFonts w:ascii="Arial" w:hAnsi="Arial" w:cs="Arial"/>
          <w:color w:val="000000"/>
          <w:sz w:val="22"/>
          <w:szCs w:val="22"/>
        </w:rPr>
        <w:t xml:space="preserve">En este sentido, al producirse la mencionada subrogación –que incluye el cambio de los requisitos para las convocatorias limitadas a </w:t>
      </w:r>
      <w:proofErr w:type="spellStart"/>
      <w:r w:rsidRPr="00D17E59">
        <w:rPr>
          <w:rFonts w:ascii="Arial" w:hAnsi="Arial" w:cs="Arial"/>
          <w:color w:val="000000"/>
          <w:sz w:val="22"/>
          <w:szCs w:val="22"/>
        </w:rPr>
        <w:t>mipymes</w:t>
      </w:r>
      <w:proofErr w:type="spellEnd"/>
      <w:r w:rsidRPr="00D17E59">
        <w:rPr>
          <w:rFonts w:ascii="Arial" w:hAnsi="Arial" w:cs="Arial"/>
          <w:color w:val="000000"/>
          <w:sz w:val="22"/>
          <w:szCs w:val="22"/>
        </w:rPr>
        <w:t xml:space="preserve">–, se genera el decaimiento –pérdida de fuerza ejecutoria– de los artículos 2.2.1.2.4.2.2., 2.2.1.2.4.2.3. y 2.2.1.2.4.2.4. del Decreto 1082 de 2015. Lo anterior, por cuanto, al desaparecer –por subrogación– el fundamento normativo de tales disposiciones reglamentarias, y al oponerse, en cuanto a sus requisitos, al artículo 34 de la Ley 2069 de 2020, dichas normas han perdido vigencia. Además, estas normas reglamentaban las convocatorias limitadas a </w:t>
      </w:r>
      <w:proofErr w:type="spellStart"/>
      <w:r w:rsidRPr="00D17E59">
        <w:rPr>
          <w:rFonts w:ascii="Arial" w:hAnsi="Arial" w:cs="Arial"/>
          <w:color w:val="000000"/>
          <w:sz w:val="22"/>
          <w:szCs w:val="22"/>
        </w:rPr>
        <w:t>mipymes</w:t>
      </w:r>
      <w:proofErr w:type="spellEnd"/>
      <w:r w:rsidRPr="00D17E59">
        <w:rPr>
          <w:rFonts w:ascii="Arial" w:hAnsi="Arial" w:cs="Arial"/>
          <w:color w:val="000000"/>
          <w:sz w:val="22"/>
          <w:szCs w:val="22"/>
        </w:rPr>
        <w:t xml:space="preserve"> solo en tres procedimientos de selección –licitación pública, selección abreviada </w:t>
      </w:r>
      <w:r w:rsidRPr="00D17E59">
        <w:rPr>
          <w:rFonts w:ascii="Arial" w:hAnsi="Arial" w:cs="Arial"/>
          <w:color w:val="000000"/>
          <w:sz w:val="22"/>
          <w:szCs w:val="22"/>
        </w:rPr>
        <w:lastRenderedPageBreak/>
        <w:t>y concurso de méritos–, lo cual se opone al contenido del artículo 34</w:t>
      </w:r>
      <w:r w:rsidR="004D2CF5">
        <w:rPr>
          <w:rFonts w:ascii="Arial" w:hAnsi="Arial" w:cs="Arial"/>
          <w:color w:val="000000"/>
          <w:sz w:val="22"/>
          <w:szCs w:val="22"/>
        </w:rPr>
        <w:t xml:space="preserve"> cuando prescribe</w:t>
      </w:r>
      <w:r w:rsidRPr="00D17E59">
        <w:rPr>
          <w:rFonts w:ascii="Arial" w:hAnsi="Arial" w:cs="Arial"/>
          <w:color w:val="000000"/>
          <w:sz w:val="22"/>
          <w:szCs w:val="22"/>
        </w:rPr>
        <w:t xml:space="preserve"> que el gobierno nacional debe definir las condiciones y montos para que dichas convocatorias limitadas a </w:t>
      </w:r>
      <w:proofErr w:type="spellStart"/>
      <w:r w:rsidRPr="00D17E59">
        <w:rPr>
          <w:rFonts w:ascii="Arial" w:hAnsi="Arial" w:cs="Arial"/>
          <w:color w:val="000000"/>
          <w:sz w:val="22"/>
          <w:szCs w:val="22"/>
        </w:rPr>
        <w:t>miymes</w:t>
      </w:r>
      <w:proofErr w:type="spellEnd"/>
      <w:r w:rsidRPr="00D17E59">
        <w:rPr>
          <w:rFonts w:ascii="Arial" w:hAnsi="Arial" w:cs="Arial"/>
          <w:color w:val="000000"/>
          <w:sz w:val="22"/>
          <w:szCs w:val="22"/>
        </w:rPr>
        <w:t xml:space="preserve"> operen en los </w:t>
      </w:r>
      <w:r w:rsidRPr="00D17E59">
        <w:rPr>
          <w:rFonts w:ascii="Arial" w:hAnsi="Arial" w:cs="Arial"/>
          <w:i/>
          <w:iCs/>
          <w:color w:val="000000"/>
          <w:sz w:val="22"/>
          <w:szCs w:val="22"/>
        </w:rPr>
        <w:t>procesos de contratación</w:t>
      </w:r>
      <w:r w:rsidRPr="00D17E59">
        <w:rPr>
          <w:rFonts w:ascii="Arial" w:hAnsi="Arial" w:cs="Arial"/>
          <w:color w:val="000000"/>
          <w:sz w:val="22"/>
          <w:szCs w:val="22"/>
        </w:rPr>
        <w:t> –sin distinguir–.</w:t>
      </w:r>
    </w:p>
    <w:p w14:paraId="58AA34AB" w14:textId="28ED3966" w:rsidR="00DF6328" w:rsidRPr="00D17E59" w:rsidRDefault="00DF6328" w:rsidP="00DF6328">
      <w:pPr>
        <w:spacing w:before="120" w:line="276" w:lineRule="auto"/>
        <w:ind w:firstLine="709"/>
        <w:jc w:val="both"/>
        <w:rPr>
          <w:rFonts w:ascii="Arial" w:eastAsia="Calibri" w:hAnsi="Arial" w:cs="Arial"/>
          <w:color w:val="000000" w:themeColor="text1"/>
          <w:sz w:val="22"/>
          <w:szCs w:val="22"/>
          <w:lang w:val="es-ES_tradnl"/>
        </w:rPr>
      </w:pPr>
      <w:r w:rsidRPr="006E7C82">
        <w:rPr>
          <w:rFonts w:ascii="Arial" w:eastAsia="Calibri" w:hAnsi="Arial" w:cs="Arial"/>
          <w:color w:val="000000" w:themeColor="text1"/>
          <w:sz w:val="22"/>
          <w:szCs w:val="22"/>
          <w:lang w:val="es-ES_tradnl"/>
        </w:rPr>
        <w:t xml:space="preserve">Luego de explicar las reglas incluidas en la nueva regulación de la promoción del desarrollo en la contratación estatal, previstas en el artículo 34 de la Ley 2069 de 2020, y habiendo aclarado que dicha norma modificó el artículo 12 de la Ley 1150 de 2007, </w:t>
      </w:r>
      <w:r w:rsidRPr="006E7C82">
        <w:rPr>
          <w:rFonts w:ascii="Arial" w:eastAsia="Calibri" w:hAnsi="Arial" w:cs="Arial"/>
          <w:bCs/>
          <w:sz w:val="22"/>
        </w:rPr>
        <w:t>para efectos de la consulta</w:t>
      </w:r>
      <w:r w:rsidRPr="006E7C82">
        <w:rPr>
          <w:rFonts w:ascii="Arial" w:eastAsia="Calibri" w:hAnsi="Arial" w:cs="Arial"/>
          <w:color w:val="000000" w:themeColor="text1"/>
          <w:sz w:val="22"/>
          <w:szCs w:val="22"/>
          <w:lang w:val="es-ES_tradnl"/>
        </w:rPr>
        <w:t xml:space="preserve"> conviene preguntarse qué sucede con la vigencia del artículo 2.2.1.2.4.2.2. del Decreto 1082 de 2015, que hasta la expedición de la Ley 2069 de 2020, </w:t>
      </w:r>
      <w:r w:rsidR="00811071">
        <w:rPr>
          <w:rFonts w:ascii="Arial" w:eastAsia="Calibri" w:hAnsi="Arial" w:cs="Arial"/>
          <w:color w:val="000000" w:themeColor="text1"/>
          <w:sz w:val="22"/>
          <w:szCs w:val="22"/>
          <w:lang w:val="es-ES_tradnl"/>
        </w:rPr>
        <w:t>regulaba</w:t>
      </w:r>
      <w:r w:rsidR="00811071" w:rsidRPr="006E7C82">
        <w:rPr>
          <w:rFonts w:ascii="Arial" w:eastAsia="Calibri" w:hAnsi="Arial" w:cs="Arial"/>
          <w:color w:val="000000" w:themeColor="text1"/>
          <w:sz w:val="22"/>
          <w:szCs w:val="22"/>
          <w:lang w:val="es-ES_tradnl"/>
        </w:rPr>
        <w:t xml:space="preserve"> </w:t>
      </w:r>
      <w:r w:rsidRPr="006E7C82">
        <w:rPr>
          <w:rFonts w:ascii="Arial" w:eastAsia="Calibri" w:hAnsi="Arial" w:cs="Arial"/>
          <w:color w:val="000000" w:themeColor="text1"/>
          <w:sz w:val="22"/>
          <w:szCs w:val="22"/>
          <w:lang w:val="es-ES_tradnl"/>
        </w:rPr>
        <w:t xml:space="preserve">las convocatorias limitadas a </w:t>
      </w:r>
      <w:proofErr w:type="spellStart"/>
      <w:r w:rsidRPr="006E7C82">
        <w:rPr>
          <w:rFonts w:ascii="Arial" w:eastAsia="Calibri" w:hAnsi="Arial" w:cs="Arial"/>
          <w:color w:val="000000" w:themeColor="text1"/>
          <w:sz w:val="22"/>
          <w:szCs w:val="22"/>
          <w:lang w:val="es-ES_tradnl"/>
        </w:rPr>
        <w:t>mipymes</w:t>
      </w:r>
      <w:proofErr w:type="spellEnd"/>
      <w:r w:rsidRPr="006E7C82">
        <w:rPr>
          <w:rFonts w:ascii="Arial" w:eastAsia="Calibri" w:hAnsi="Arial" w:cs="Arial"/>
          <w:color w:val="000000" w:themeColor="text1"/>
          <w:sz w:val="22"/>
          <w:szCs w:val="22"/>
          <w:lang w:val="es-ES_tradnl"/>
        </w:rPr>
        <w:t>.</w:t>
      </w:r>
      <w:r w:rsidRPr="006E7C82">
        <w:rPr>
          <w:rFonts w:ascii="Arial" w:eastAsia="Calibri" w:hAnsi="Arial" w:cs="Arial"/>
          <w:color w:val="000000" w:themeColor="text1"/>
          <w:sz w:val="22"/>
          <w:lang w:val="es-ES_tradnl"/>
        </w:rPr>
        <w:t xml:space="preserve"> C</w:t>
      </w:r>
      <w:proofErr w:type="spellStart"/>
      <w:r w:rsidRPr="006E7C82">
        <w:rPr>
          <w:rFonts w:ascii="Arial" w:eastAsia="Calibri" w:hAnsi="Arial" w:cs="Arial"/>
          <w:bCs/>
          <w:sz w:val="22"/>
        </w:rPr>
        <w:t>onforme</w:t>
      </w:r>
      <w:proofErr w:type="spellEnd"/>
      <w:r w:rsidRPr="006E7C82">
        <w:rPr>
          <w:rFonts w:ascii="Arial" w:eastAsia="Calibri" w:hAnsi="Arial" w:cs="Arial"/>
          <w:bCs/>
          <w:sz w:val="22"/>
        </w:rPr>
        <w:t xml:space="preserve"> a lo explicado en el Concepto C-043 del 9 de febrero de 2020</w:t>
      </w:r>
      <w:r w:rsidRPr="006E7C82">
        <w:rPr>
          <w:rFonts w:ascii="Arial" w:eastAsia="Calibri" w:hAnsi="Arial" w:cs="Arial"/>
          <w:color w:val="000000" w:themeColor="text1"/>
          <w:sz w:val="22"/>
          <w:szCs w:val="22"/>
          <w:lang w:val="es-ES_tradnl"/>
        </w:rPr>
        <w:t>,</w:t>
      </w:r>
      <w:r w:rsidRPr="00D17E59">
        <w:rPr>
          <w:rFonts w:ascii="Arial" w:eastAsia="Calibri" w:hAnsi="Arial" w:cs="Arial"/>
          <w:color w:val="000000" w:themeColor="text1"/>
          <w:sz w:val="22"/>
          <w:szCs w:val="22"/>
          <w:lang w:val="es-ES_tradnl"/>
        </w:rPr>
        <w:t xml:space="preserve"> dicho artículo del Decreto reglamentario no está vigente, porque su contenido es contrario al del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14B36F59" w14:textId="77777777" w:rsidR="00DF6328" w:rsidRPr="00D17E59" w:rsidRDefault="00DF6328" w:rsidP="00DF6328">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Si los decretos reglamentarios que profiere el </w:t>
      </w:r>
      <w:proofErr w:type="gramStart"/>
      <w:r w:rsidRPr="00D17E59">
        <w:rPr>
          <w:rFonts w:ascii="Arial" w:eastAsia="Calibri" w:hAnsi="Arial" w:cs="Arial"/>
          <w:color w:val="000000" w:themeColor="text1"/>
          <w:sz w:val="22"/>
          <w:szCs w:val="22"/>
          <w:lang w:val="es-ES_tradnl"/>
        </w:rPr>
        <w:t>Presidente</w:t>
      </w:r>
      <w:proofErr w:type="gramEnd"/>
      <w:r w:rsidRPr="00D17E59">
        <w:rPr>
          <w:rFonts w:ascii="Arial" w:eastAsia="Calibri" w:hAnsi="Arial" w:cs="Arial"/>
          <w:color w:val="000000" w:themeColor="text1"/>
          <w:sz w:val="22"/>
          <w:szCs w:val="22"/>
          <w:lang w:val="es-ES_tradnl"/>
        </w:rPr>
        <w:t xml:space="preserv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42C35A09" w14:textId="2FBFC8AF" w:rsidR="00DF6328" w:rsidRPr="00D17E59" w:rsidRDefault="00DF6328" w:rsidP="00DF6328">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Además de que el artículo 2.2.1.2.4.2.2. del Decreto 1082 de 2015 perdió el fundamento legal, su contenido es contrario al nuevo artículo 12 de la Ley 1150 de 2007, modificado por el artículo 34 de la Ley 2069 de 2020. En efecto, este último artículo no consagra las mismas exigencias para las convocatorias limitadas a </w:t>
      </w:r>
      <w:proofErr w:type="spellStart"/>
      <w:r w:rsidRPr="00D17E59">
        <w:rPr>
          <w:rFonts w:ascii="Arial" w:eastAsia="Calibri" w:hAnsi="Arial" w:cs="Arial"/>
          <w:color w:val="000000" w:themeColor="text1"/>
          <w:sz w:val="22"/>
          <w:szCs w:val="22"/>
          <w:lang w:val="es-ES_tradnl"/>
        </w:rPr>
        <w:t>mipymes</w:t>
      </w:r>
      <w:proofErr w:type="spellEnd"/>
      <w:r w:rsidRPr="00D17E59">
        <w:rPr>
          <w:rFonts w:ascii="Arial" w:eastAsia="Calibri" w:hAnsi="Arial" w:cs="Arial"/>
          <w:color w:val="000000" w:themeColor="text1"/>
          <w:sz w:val="22"/>
          <w:szCs w:val="22"/>
          <w:lang w:val="es-ES_tradnl"/>
        </w:rPr>
        <w:t xml:space="preserve">. Concretamente, no incluye todos los requisitos que, hasta la </w:t>
      </w:r>
      <w:proofErr w:type="gramStart"/>
      <w:r w:rsidRPr="00D17E59">
        <w:rPr>
          <w:rFonts w:ascii="Arial" w:eastAsia="Calibri" w:hAnsi="Arial" w:cs="Arial"/>
          <w:color w:val="000000" w:themeColor="text1"/>
          <w:sz w:val="22"/>
          <w:szCs w:val="22"/>
          <w:lang w:val="es-ES_tradnl"/>
        </w:rPr>
        <w:t>entrada en vigencia</w:t>
      </w:r>
      <w:proofErr w:type="gramEnd"/>
      <w:r w:rsidRPr="00D17E59">
        <w:rPr>
          <w:rFonts w:ascii="Arial" w:eastAsia="Calibri" w:hAnsi="Arial" w:cs="Arial"/>
          <w:color w:val="000000" w:themeColor="text1"/>
          <w:sz w:val="22"/>
          <w:szCs w:val="22"/>
          <w:lang w:val="es-ES_tradnl"/>
        </w:rPr>
        <w:t xml:space="preserve"> de la Ley 2069 de 2020, establecía el artículo 2.2.1.2.4.2.2. del Decreto 1082 de 2015. Esta norma indicaba en su primer inciso que la entidad estatal solo podía limitar la convocatoria a las </w:t>
      </w:r>
      <w:proofErr w:type="spellStart"/>
      <w:r w:rsidRPr="00D17E59">
        <w:rPr>
          <w:rFonts w:ascii="Arial" w:eastAsia="Calibri" w:hAnsi="Arial" w:cs="Arial"/>
          <w:color w:val="000000" w:themeColor="text1"/>
          <w:sz w:val="22"/>
          <w:szCs w:val="22"/>
          <w:lang w:val="es-ES_tradnl"/>
        </w:rPr>
        <w:t>mipymes</w:t>
      </w:r>
      <w:proofErr w:type="spellEnd"/>
      <w:r w:rsidRPr="00D17E59">
        <w:rPr>
          <w:rFonts w:ascii="Arial" w:eastAsia="Calibri" w:hAnsi="Arial" w:cs="Arial"/>
          <w:color w:val="000000" w:themeColor="text1"/>
          <w:sz w:val="22"/>
          <w:szCs w:val="22"/>
          <w:lang w:val="es-ES_tradnl"/>
        </w:rPr>
        <w:t xml:space="preserve"> nacionales si se trataba de procesos de selección de licitación pública, selección abreviada y concursos de méritos. Por su parte, tal restricción no se encuentra en el artículo 34 de la Ley 2069 de 2020.</w:t>
      </w:r>
    </w:p>
    <w:p w14:paraId="5B61E7A8" w14:textId="77777777" w:rsidR="00DF6328" w:rsidRPr="00D17E59" w:rsidRDefault="00DF6328" w:rsidP="00DF6328">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Adicionalmente, el numeral 1 del artículo 2.2.1.2.4.2.2. del Decreto 1082 de 2015 exigía que el valor del proceso de contratación en el que pretendiera limitarse la convocatoria a </w:t>
      </w:r>
      <w:proofErr w:type="spellStart"/>
      <w:r w:rsidRPr="00D17E59">
        <w:rPr>
          <w:rFonts w:ascii="Arial" w:eastAsia="Calibri" w:hAnsi="Arial" w:cs="Arial"/>
          <w:color w:val="000000" w:themeColor="text1"/>
          <w:sz w:val="22"/>
          <w:szCs w:val="22"/>
          <w:lang w:val="es-ES_tradnl"/>
        </w:rPr>
        <w:t>mipymes</w:t>
      </w:r>
      <w:proofErr w:type="spellEnd"/>
      <w:r w:rsidRPr="00D17E59">
        <w:rPr>
          <w:rFonts w:ascii="Arial" w:eastAsia="Calibri" w:hAnsi="Arial" w:cs="Arial"/>
          <w:color w:val="000000" w:themeColor="text1"/>
          <w:sz w:val="22"/>
          <w:szCs w:val="22"/>
          <w:lang w:val="es-ES_tradnl"/>
        </w:rPr>
        <w:t xml:space="preserve"> fuera «[…] menor a ciento veinticinco mil dólares de los Estados Unidos de América (US$125.000), liquidados con la tasa de cambio que para el efecto </w:t>
      </w:r>
      <w:r w:rsidRPr="00D17E59">
        <w:rPr>
          <w:rFonts w:ascii="Arial" w:eastAsia="Calibri" w:hAnsi="Arial" w:cs="Arial"/>
          <w:color w:val="000000" w:themeColor="text1"/>
          <w:sz w:val="22"/>
          <w:szCs w:val="22"/>
          <w:lang w:val="es-ES_tradnl"/>
        </w:rPr>
        <w:lastRenderedPageBreak/>
        <w:t>determina cada dos años el Ministerio de Comercio, Industria y Turismo». Este requisito tampoco se observa en el artículo 34 de la Ley 2069 de 2020.</w:t>
      </w:r>
    </w:p>
    <w:p w14:paraId="5600F072" w14:textId="77777777" w:rsidR="00DF6328" w:rsidRPr="00D17E59" w:rsidRDefault="00DF6328" w:rsidP="00DF6328">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A lo anterior debe agregarse que mientras la nueva disposición legal indica que la convocatoria limitada a </w:t>
      </w:r>
      <w:proofErr w:type="spellStart"/>
      <w:r w:rsidRPr="00D17E59">
        <w:rPr>
          <w:rFonts w:ascii="Arial" w:eastAsia="Calibri" w:hAnsi="Arial" w:cs="Arial"/>
          <w:color w:val="000000" w:themeColor="text1"/>
          <w:sz w:val="22"/>
          <w:szCs w:val="22"/>
          <w:lang w:val="es-ES_tradnl"/>
        </w:rPr>
        <w:t>mipymes</w:t>
      </w:r>
      <w:proofErr w:type="spellEnd"/>
      <w:r w:rsidRPr="00D17E59">
        <w:rPr>
          <w:rFonts w:ascii="Arial" w:eastAsia="Calibri" w:hAnsi="Arial" w:cs="Arial"/>
          <w:color w:val="000000" w:themeColor="text1"/>
          <w:sz w:val="22"/>
          <w:szCs w:val="22"/>
          <w:lang w:val="es-ES_tradnl"/>
        </w:rPr>
        <w:t xml:space="preserve"> debe hacerse cuando por lo menos </w:t>
      </w:r>
      <w:r w:rsidRPr="00D17E59">
        <w:rPr>
          <w:rFonts w:ascii="Arial" w:eastAsia="Calibri" w:hAnsi="Arial" w:cs="Arial"/>
          <w:i/>
          <w:iCs/>
          <w:color w:val="000000" w:themeColor="text1"/>
          <w:sz w:val="22"/>
          <w:szCs w:val="22"/>
          <w:lang w:val="es-ES_tradnl"/>
        </w:rPr>
        <w:t>dos (2)</w:t>
      </w:r>
      <w:r w:rsidRPr="00D17E59">
        <w:rPr>
          <w:rFonts w:ascii="Arial" w:eastAsia="Calibri" w:hAnsi="Arial" w:cs="Arial"/>
          <w:color w:val="000000" w:themeColor="text1"/>
          <w:sz w:val="22"/>
          <w:szCs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D17E59">
        <w:rPr>
          <w:rFonts w:ascii="Arial" w:eastAsia="Calibri" w:hAnsi="Arial" w:cs="Arial"/>
          <w:i/>
          <w:iCs/>
          <w:color w:val="000000" w:themeColor="text1"/>
          <w:sz w:val="22"/>
          <w:szCs w:val="22"/>
          <w:lang w:val="es-ES_tradnl"/>
        </w:rPr>
        <w:t>tres (3)</w:t>
      </w:r>
      <w:r w:rsidRPr="00D17E59">
        <w:rPr>
          <w:rFonts w:ascii="Arial" w:eastAsia="Calibri" w:hAnsi="Arial" w:cs="Arial"/>
          <w:color w:val="000000" w:themeColor="text1"/>
          <w:sz w:val="22"/>
          <w:szCs w:val="22"/>
          <w:lang w:val="es-ES_tradnl"/>
        </w:rPr>
        <w:t xml:space="preserve"> </w:t>
      </w:r>
      <w:proofErr w:type="spellStart"/>
      <w:r w:rsidRPr="00D17E59">
        <w:rPr>
          <w:rFonts w:ascii="Arial" w:eastAsia="Calibri" w:hAnsi="Arial" w:cs="Arial"/>
          <w:color w:val="000000" w:themeColor="text1"/>
          <w:sz w:val="22"/>
          <w:szCs w:val="22"/>
          <w:lang w:val="es-ES_tradnl"/>
        </w:rPr>
        <w:t>mipymes</w:t>
      </w:r>
      <w:proofErr w:type="spellEnd"/>
      <w:r w:rsidRPr="00D17E59">
        <w:rPr>
          <w:rFonts w:ascii="Arial" w:eastAsia="Calibri" w:hAnsi="Arial" w:cs="Arial"/>
          <w:color w:val="000000" w:themeColor="text1"/>
          <w:sz w:val="22"/>
          <w:szCs w:val="22"/>
          <w:lang w:val="es-ES_tradnl"/>
        </w:rPr>
        <w:t>, a más tardar un día hábil antes de la apertura del proceso de selección.</w:t>
      </w:r>
    </w:p>
    <w:p w14:paraId="7D152C23" w14:textId="77777777" w:rsidR="00DF6328" w:rsidRPr="00D17E59" w:rsidRDefault="00DF6328" w:rsidP="00DF6328">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Las diferencias evidenciadas son suficientes para mostrar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w:t>
      </w:r>
      <w:proofErr w:type="spellStart"/>
      <w:r w:rsidRPr="00D17E59">
        <w:rPr>
          <w:rFonts w:ascii="Arial" w:eastAsia="Calibri" w:hAnsi="Arial" w:cs="Arial"/>
          <w:color w:val="000000" w:themeColor="text1"/>
          <w:sz w:val="22"/>
          <w:szCs w:val="22"/>
          <w:lang w:val="es-ES_tradnl"/>
        </w:rPr>
        <w:t>esta</w:t>
      </w:r>
      <w:proofErr w:type="spellEnd"/>
      <w:r w:rsidRPr="00D17E59">
        <w:rPr>
          <w:rFonts w:ascii="Arial" w:eastAsia="Calibri" w:hAnsi="Arial" w:cs="Arial"/>
          <w:color w:val="000000" w:themeColor="text1"/>
          <w:sz w:val="22"/>
          <w:szCs w:val="22"/>
          <w:lang w:val="es-ES_tradnl"/>
        </w:rPr>
        <w:t xml:space="preserve"> «deroga […] todas las disposiciones que le sean contrarias». Entonces, puede afirmarse que, además del decaimiento del artículo 2.2.1.2.4.2.2. del Decreto 1082 de 2015, debe entenderse derogado.</w:t>
      </w:r>
    </w:p>
    <w:p w14:paraId="304B3C0B" w14:textId="77777777" w:rsidR="00DF6328" w:rsidRPr="00D17E59" w:rsidRDefault="00DF6328" w:rsidP="00DF6328">
      <w:pPr>
        <w:spacing w:before="120" w:line="276" w:lineRule="auto"/>
        <w:ind w:firstLine="709"/>
        <w:jc w:val="both"/>
        <w:rPr>
          <w:rFonts w:ascii="Arial" w:eastAsia="Calibri" w:hAnsi="Arial" w:cs="Arial"/>
          <w:color w:val="000000" w:themeColor="text1"/>
          <w:sz w:val="22"/>
          <w:szCs w:val="22"/>
          <w:lang w:val="es-ES_tradnl"/>
        </w:rPr>
      </w:pPr>
      <w:r w:rsidRPr="00D17E59">
        <w:rPr>
          <w:rFonts w:ascii="Arial" w:eastAsia="Calibri" w:hAnsi="Arial" w:cs="Arial"/>
          <w:color w:val="000000" w:themeColor="text1"/>
          <w:sz w:val="22"/>
          <w:szCs w:val="22"/>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D17E59">
        <w:rPr>
          <w:rFonts w:ascii="Arial" w:eastAsia="Calibri" w:hAnsi="Arial" w:cs="Arial"/>
          <w:color w:val="000000" w:themeColor="text1"/>
          <w:sz w:val="22"/>
          <w:szCs w:val="22"/>
          <w:lang w:val="es-ES_tradnl"/>
        </w:rPr>
        <w:t>mipymes</w:t>
      </w:r>
      <w:proofErr w:type="spellEnd"/>
      <w:r w:rsidRPr="00D17E59">
        <w:rPr>
          <w:rFonts w:ascii="Arial" w:eastAsia="Calibri" w:hAnsi="Arial" w:cs="Arial"/>
          <w:color w:val="000000" w:themeColor="text1"/>
          <w:sz w:val="22"/>
          <w:szCs w:val="22"/>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D17E59">
        <w:rPr>
          <w:rFonts w:ascii="Arial" w:eastAsia="Calibri" w:hAnsi="Arial" w:cs="Arial"/>
          <w:color w:val="000000" w:themeColor="text1"/>
          <w:sz w:val="22"/>
          <w:szCs w:val="22"/>
          <w:lang w:val="es-ES_tradnl"/>
        </w:rPr>
        <w:t>mipymes</w:t>
      </w:r>
      <w:proofErr w:type="spellEnd"/>
      <w:r w:rsidRPr="00D17E59">
        <w:rPr>
          <w:rFonts w:ascii="Arial" w:eastAsia="Calibri" w:hAnsi="Arial" w:cs="Arial"/>
          <w:color w:val="000000" w:themeColor="text1"/>
          <w:sz w:val="22"/>
          <w:szCs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D17E59">
        <w:rPr>
          <w:rFonts w:ascii="Arial" w:eastAsia="Calibri" w:hAnsi="Arial" w:cs="Arial"/>
          <w:color w:val="000000" w:themeColor="text1"/>
          <w:sz w:val="22"/>
          <w:szCs w:val="22"/>
          <w:lang w:val="es-ES_tradnl"/>
        </w:rPr>
        <w:t>mipymes</w:t>
      </w:r>
      <w:proofErr w:type="spellEnd"/>
      <w:r w:rsidRPr="00D17E59">
        <w:rPr>
          <w:rFonts w:ascii="Arial" w:eastAsia="Calibri" w:hAnsi="Arial" w:cs="Arial"/>
          <w:color w:val="000000" w:themeColor="text1"/>
          <w:sz w:val="22"/>
          <w:szCs w:val="22"/>
          <w:lang w:val="es-ES_tradnl"/>
        </w:rPr>
        <w:t xml:space="preserve">, pues al tenor del artículo 34 de la Ley 2069 de 2020, la eficacia de esta norma quedó condicionada a la expedición del decreto reglamentario que fije las condiciones de su operatividad.    </w:t>
      </w:r>
    </w:p>
    <w:bookmarkEnd w:id="18"/>
    <w:p w14:paraId="55D7CC4E" w14:textId="14E4EE68" w:rsidR="002E341D" w:rsidRDefault="002E341D"/>
    <w:p w14:paraId="27CA1491" w14:textId="77777777" w:rsidR="00B146EB" w:rsidRPr="00406750" w:rsidRDefault="00B146EB" w:rsidP="00B146EB">
      <w:pPr>
        <w:tabs>
          <w:tab w:val="left" w:pos="0"/>
        </w:tabs>
        <w:jc w:val="both"/>
        <w:rPr>
          <w:rFonts w:ascii="Arial" w:eastAsia="Calibri" w:hAnsi="Arial" w:cs="Arial"/>
          <w:b/>
          <w:sz w:val="22"/>
          <w:lang w:val="es-ES_tradnl"/>
        </w:rPr>
      </w:pPr>
      <w:r w:rsidRPr="00406750">
        <w:rPr>
          <w:rFonts w:ascii="Arial" w:eastAsia="Calibri" w:hAnsi="Arial" w:cs="Arial"/>
          <w:b/>
          <w:sz w:val="22"/>
          <w:lang w:val="es-ES_tradnl"/>
        </w:rPr>
        <w:t>3. Respuesta</w:t>
      </w:r>
    </w:p>
    <w:p w14:paraId="2D9AD42A" w14:textId="1128B989" w:rsidR="00B146EB" w:rsidRDefault="00B146EB"/>
    <w:p w14:paraId="7CF1DE76" w14:textId="4F9AA9AF" w:rsidR="008522D4" w:rsidRPr="008522D4" w:rsidRDefault="008522D4" w:rsidP="008522D4">
      <w:pPr>
        <w:ind w:left="709" w:right="709"/>
        <w:jc w:val="both"/>
        <w:rPr>
          <w:rFonts w:ascii="Arial" w:hAnsi="Arial" w:cs="Arial"/>
          <w:sz w:val="21"/>
          <w:szCs w:val="21"/>
        </w:rPr>
      </w:pPr>
      <w:r w:rsidRPr="008522D4">
        <w:rPr>
          <w:rFonts w:ascii="Arial" w:eastAsia="Calibri" w:hAnsi="Arial" w:cs="Arial"/>
          <w:color w:val="000000" w:themeColor="text1"/>
          <w:sz w:val="21"/>
          <w:szCs w:val="21"/>
        </w:rPr>
        <w:t>«[…]</w:t>
      </w:r>
      <w:r w:rsidRPr="008522D4">
        <w:rPr>
          <w:rFonts w:ascii="Arial" w:hAnsi="Arial" w:cs="Arial"/>
          <w:sz w:val="21"/>
          <w:szCs w:val="21"/>
        </w:rPr>
        <w:t xml:space="preserve"> actualmente es procedente que las entidades estatales efectúen convocatorias públicas limitadas a </w:t>
      </w:r>
      <w:proofErr w:type="spellStart"/>
      <w:r w:rsidRPr="008522D4">
        <w:rPr>
          <w:rFonts w:ascii="Arial" w:hAnsi="Arial" w:cs="Arial"/>
          <w:sz w:val="21"/>
          <w:szCs w:val="21"/>
        </w:rPr>
        <w:t>mipymes</w:t>
      </w:r>
      <w:proofErr w:type="spellEnd"/>
      <w:r w:rsidRPr="008522D4">
        <w:rPr>
          <w:rFonts w:ascii="Arial" w:hAnsi="Arial" w:cs="Arial"/>
          <w:sz w:val="21"/>
          <w:szCs w:val="21"/>
        </w:rPr>
        <w:t xml:space="preserve"> a la luz de lo dispuesto en el decreto 1082 de 2015 o si es necesario esperar la reglamentación que indica el artículo 34 de la ley 2069 de 2020».</w:t>
      </w:r>
    </w:p>
    <w:p w14:paraId="62626827" w14:textId="5233CEDA" w:rsidR="00B146EB" w:rsidRDefault="00B146EB"/>
    <w:p w14:paraId="3BD28F01" w14:textId="212AEE14" w:rsidR="008522D4" w:rsidRPr="008979E1" w:rsidRDefault="008522D4" w:rsidP="00D73B07">
      <w:pPr>
        <w:spacing w:after="120" w:line="276" w:lineRule="auto"/>
        <w:jc w:val="both"/>
        <w:rPr>
          <w:rFonts w:ascii="Arial" w:eastAsia="Calibri" w:hAnsi="Arial" w:cs="Arial"/>
          <w:color w:val="000000"/>
          <w:sz w:val="22"/>
          <w:lang w:val="es-ES_tradnl"/>
        </w:rPr>
      </w:pPr>
      <w:proofErr w:type="gramStart"/>
      <w:r>
        <w:rPr>
          <w:rFonts w:ascii="Arial" w:eastAsia="Calibri" w:hAnsi="Arial" w:cs="Arial"/>
          <w:color w:val="000000"/>
          <w:sz w:val="22"/>
          <w:lang w:val="es-ES_tradnl"/>
        </w:rPr>
        <w:t>De acuerdo a</w:t>
      </w:r>
      <w:proofErr w:type="gramEnd"/>
      <w:r>
        <w:rPr>
          <w:rFonts w:ascii="Arial" w:eastAsia="Calibri" w:hAnsi="Arial" w:cs="Arial"/>
          <w:color w:val="000000"/>
          <w:sz w:val="22"/>
          <w:lang w:val="es-ES_tradnl"/>
        </w:rPr>
        <w:t xml:space="preserve"> las consideraciones </w:t>
      </w:r>
      <w:r w:rsidR="003B3F50">
        <w:rPr>
          <w:rFonts w:ascii="Arial" w:eastAsia="Calibri" w:hAnsi="Arial" w:cs="Arial"/>
          <w:color w:val="000000"/>
          <w:sz w:val="22"/>
          <w:lang w:val="es-ES_tradnl"/>
        </w:rPr>
        <w:t>expuestas</w:t>
      </w:r>
      <w:r w:rsidRPr="008979E1">
        <w:rPr>
          <w:rFonts w:ascii="Arial" w:eastAsia="Calibri" w:hAnsi="Arial" w:cs="Arial"/>
          <w:color w:val="000000"/>
          <w:sz w:val="22"/>
          <w:lang w:val="es-ES_tradnl"/>
        </w:rPr>
        <w:t>,</w:t>
      </w:r>
      <w:r w:rsidR="00D73B07">
        <w:rPr>
          <w:rFonts w:ascii="Arial" w:eastAsia="Calibri" w:hAnsi="Arial" w:cs="Arial"/>
          <w:color w:val="000000"/>
          <w:sz w:val="22"/>
          <w:lang w:val="es-ES_tradnl"/>
        </w:rPr>
        <w:t xml:space="preserve"> y para responder la primera parte de su pregunta,</w:t>
      </w:r>
      <w:r w:rsidRPr="008979E1">
        <w:rPr>
          <w:rFonts w:ascii="Arial" w:eastAsia="Calibri" w:hAnsi="Arial" w:cs="Arial"/>
          <w:color w:val="000000"/>
          <w:sz w:val="22"/>
          <w:lang w:val="es-ES_tradnl"/>
        </w:rPr>
        <w:t xml:space="preserve"> puede concluir</w:t>
      </w:r>
      <w:r>
        <w:rPr>
          <w:rFonts w:ascii="Arial" w:eastAsia="Calibri" w:hAnsi="Arial" w:cs="Arial"/>
          <w:color w:val="000000"/>
          <w:sz w:val="22"/>
          <w:lang w:val="es-ES_tradnl"/>
        </w:rPr>
        <w:t>se</w:t>
      </w:r>
      <w:r w:rsidRPr="008979E1">
        <w:rPr>
          <w:rFonts w:ascii="Arial" w:eastAsia="Calibri" w:hAnsi="Arial" w:cs="Arial"/>
          <w:color w:val="000000"/>
          <w:sz w:val="22"/>
          <w:lang w:val="es-ES_tradnl"/>
        </w:rPr>
        <w:t xml:space="preserve"> que, además de la pérdida de fuerza ejecutoria del artículo 2.2.1.2.4.2.2. del Decreto 1082 de 2015, por la desaparición de su fundamento de derecho, </w:t>
      </w:r>
      <w:r w:rsidRPr="008979E1">
        <w:rPr>
          <w:rFonts w:ascii="Arial" w:eastAsia="Calibri" w:hAnsi="Arial" w:cs="Arial"/>
          <w:color w:val="000000"/>
          <w:sz w:val="22"/>
          <w:lang w:val="es-ES_tradnl"/>
        </w:rPr>
        <w:lastRenderedPageBreak/>
        <w:t xml:space="preserve">se advierte una manifiesta oposición entre dicho enunciado normativo y el nuevo contenido del artículo 12 de la Ley 1150 de 2007, modificado por el artículo 34 de la Ley 2069 de 2020. </w:t>
      </w:r>
      <w:r w:rsidR="00B75FC3">
        <w:rPr>
          <w:rFonts w:ascii="Arial" w:eastAsia="Calibri" w:hAnsi="Arial" w:cs="Arial"/>
          <w:color w:val="000000"/>
          <w:sz w:val="22"/>
          <w:lang w:val="es-ES_tradnl"/>
        </w:rPr>
        <w:t>Así las cosas, a</w:t>
      </w:r>
      <w:r w:rsidRPr="008979E1">
        <w:rPr>
          <w:rFonts w:ascii="Arial" w:eastAsia="Calibri" w:hAnsi="Arial" w:cs="Arial"/>
          <w:color w:val="000000"/>
          <w:sz w:val="22"/>
          <w:lang w:val="es-ES_tradnl"/>
        </w:rPr>
        <w:t>nte esta contradicción, debe aplicar</w:t>
      </w:r>
      <w:r>
        <w:rPr>
          <w:rFonts w:ascii="Arial" w:eastAsia="Calibri" w:hAnsi="Arial" w:cs="Arial"/>
          <w:color w:val="000000"/>
          <w:sz w:val="22"/>
          <w:lang w:val="es-ES_tradnl"/>
        </w:rPr>
        <w:t>se</w:t>
      </w:r>
      <w:r w:rsidRPr="008979E1">
        <w:rPr>
          <w:rFonts w:ascii="Arial" w:eastAsia="Calibri" w:hAnsi="Arial" w:cs="Arial"/>
          <w:color w:val="000000"/>
          <w:sz w:val="22"/>
          <w:lang w:val="es-ES_tradnl"/>
        </w:rPr>
        <w:t xml:space="preserve"> la consecuencia jurídica prevista en el artículo 84 de la Ley 2069 de 2020, según la cual </w:t>
      </w:r>
      <w:proofErr w:type="spellStart"/>
      <w:r w:rsidRPr="008979E1">
        <w:rPr>
          <w:rFonts w:ascii="Arial" w:eastAsia="Calibri" w:hAnsi="Arial" w:cs="Arial"/>
          <w:color w:val="000000"/>
          <w:sz w:val="22"/>
          <w:lang w:val="es-ES_tradnl"/>
        </w:rPr>
        <w:t>esta</w:t>
      </w:r>
      <w:proofErr w:type="spellEnd"/>
      <w:r w:rsidRPr="008979E1">
        <w:rPr>
          <w:rFonts w:ascii="Arial" w:eastAsia="Calibri" w:hAnsi="Arial" w:cs="Arial"/>
          <w:color w:val="000000"/>
          <w:sz w:val="22"/>
          <w:lang w:val="es-ES_tradnl"/>
        </w:rPr>
        <w:t xml:space="preserve"> «deroga […] todas las disposiciones que le sean contrarias». </w:t>
      </w:r>
      <w:r w:rsidR="003B3F50">
        <w:rPr>
          <w:rFonts w:ascii="Arial" w:eastAsia="Calibri" w:hAnsi="Arial" w:cs="Arial"/>
          <w:color w:val="000000"/>
          <w:sz w:val="22"/>
          <w:lang w:val="es-ES_tradnl"/>
        </w:rPr>
        <w:t>Por ello</w:t>
      </w:r>
      <w:r w:rsidRPr="008979E1">
        <w:rPr>
          <w:rFonts w:ascii="Arial" w:eastAsia="Calibri" w:hAnsi="Arial" w:cs="Arial"/>
          <w:color w:val="000000"/>
          <w:sz w:val="22"/>
          <w:lang w:val="es-ES_tradnl"/>
        </w:rPr>
        <w:t xml:space="preserve">, puede afirmarse que, además del decaimiento del artículo 2.2.1.2.4.2.2. del Decreto 1082 de 2015, </w:t>
      </w:r>
      <w:r>
        <w:rPr>
          <w:rFonts w:ascii="Arial" w:eastAsia="Calibri" w:hAnsi="Arial" w:cs="Arial"/>
          <w:color w:val="000000"/>
          <w:sz w:val="22"/>
          <w:lang w:val="es-ES_tradnl"/>
        </w:rPr>
        <w:t xml:space="preserve">esa disposición </w:t>
      </w:r>
      <w:r w:rsidRPr="008979E1">
        <w:rPr>
          <w:rFonts w:ascii="Arial" w:eastAsia="Calibri" w:hAnsi="Arial" w:cs="Arial"/>
          <w:color w:val="000000"/>
          <w:sz w:val="22"/>
          <w:lang w:val="es-ES_tradnl"/>
        </w:rPr>
        <w:t>debe entenderse derogad</w:t>
      </w:r>
      <w:r>
        <w:rPr>
          <w:rFonts w:ascii="Arial" w:eastAsia="Calibri" w:hAnsi="Arial" w:cs="Arial"/>
          <w:color w:val="000000"/>
          <w:sz w:val="22"/>
          <w:lang w:val="es-ES_tradnl"/>
        </w:rPr>
        <w:t>a</w:t>
      </w:r>
      <w:r w:rsidRPr="008979E1">
        <w:rPr>
          <w:rFonts w:ascii="Arial" w:eastAsia="Calibri" w:hAnsi="Arial" w:cs="Arial"/>
          <w:color w:val="000000"/>
          <w:sz w:val="22"/>
          <w:lang w:val="es-ES_tradnl"/>
        </w:rPr>
        <w:t>.</w:t>
      </w:r>
    </w:p>
    <w:p w14:paraId="17C4FFA5" w14:textId="1F02D374" w:rsidR="008522D4" w:rsidRDefault="00B75FC3" w:rsidP="008522D4">
      <w:pPr>
        <w:spacing w:before="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 xml:space="preserve">Ahora bien, en cuanto a la </w:t>
      </w:r>
      <w:r w:rsidR="00D73B07">
        <w:rPr>
          <w:rFonts w:ascii="Arial" w:eastAsia="Calibri" w:hAnsi="Arial" w:cs="Arial"/>
          <w:color w:val="000000"/>
          <w:sz w:val="22"/>
          <w:lang w:val="es-ES_tradnl"/>
        </w:rPr>
        <w:t xml:space="preserve">necesidad de </w:t>
      </w:r>
      <w:r>
        <w:rPr>
          <w:rFonts w:ascii="Arial" w:eastAsia="Calibri" w:hAnsi="Arial" w:cs="Arial"/>
          <w:color w:val="000000"/>
          <w:sz w:val="22"/>
          <w:lang w:val="es-ES_tradnl"/>
        </w:rPr>
        <w:t xml:space="preserve">reglamentación del artículo 34 </w:t>
      </w:r>
      <w:r w:rsidR="00D73B07" w:rsidRPr="008979E1">
        <w:rPr>
          <w:rFonts w:ascii="Arial" w:eastAsia="Calibri" w:hAnsi="Arial" w:cs="Arial"/>
          <w:color w:val="000000"/>
          <w:sz w:val="22"/>
          <w:lang w:val="es-ES_tradnl"/>
        </w:rPr>
        <w:t>de la Ley 2069</w:t>
      </w:r>
      <w:r w:rsidR="00D73B07">
        <w:rPr>
          <w:rFonts w:ascii="Arial" w:eastAsia="Calibri" w:hAnsi="Arial" w:cs="Arial"/>
          <w:color w:val="000000"/>
          <w:sz w:val="22"/>
          <w:lang w:val="es-ES_tradnl"/>
        </w:rPr>
        <w:t>, dicho artículo</w:t>
      </w:r>
      <w:r w:rsidR="008522D4" w:rsidRPr="008979E1">
        <w:rPr>
          <w:rFonts w:ascii="Arial" w:eastAsia="Calibri" w:hAnsi="Arial" w:cs="Arial"/>
          <w:color w:val="000000"/>
          <w:sz w:val="22"/>
          <w:lang w:val="es-ES_tradnl"/>
        </w:rPr>
        <w:t xml:space="preserve">, reiteradamente, señala que el gobierno nacional debe definir las condiciones para la aplicación de las reglas recientemente expedidas, que permitan llevar a cabo las convocatorias limitadas a </w:t>
      </w:r>
      <w:proofErr w:type="spellStart"/>
      <w:r w:rsidR="008522D4" w:rsidRPr="008979E1">
        <w:rPr>
          <w:rFonts w:ascii="Arial" w:eastAsia="Calibri" w:hAnsi="Arial" w:cs="Arial"/>
          <w:color w:val="000000"/>
          <w:sz w:val="22"/>
          <w:lang w:val="es-ES_tradnl"/>
        </w:rPr>
        <w:t>mipymes</w:t>
      </w:r>
      <w:proofErr w:type="spellEnd"/>
      <w:r w:rsidR="008522D4" w:rsidRPr="008979E1">
        <w:rPr>
          <w:rFonts w:ascii="Arial" w:eastAsia="Calibri" w:hAnsi="Arial" w:cs="Arial"/>
          <w:color w:val="000000"/>
          <w:sz w:val="22"/>
          <w:lang w:val="es-ES_tradnl"/>
        </w:rPr>
        <w:t xml:space="preserve">, lo cual demuestra la voluntad legislativa de establecer la necesidad de una nueva reglamentación de dicha materia. </w:t>
      </w:r>
    </w:p>
    <w:p w14:paraId="7B900E17" w14:textId="15153748" w:rsidR="008522D4" w:rsidRDefault="008522D4" w:rsidP="008522D4">
      <w:pPr>
        <w:spacing w:before="120" w:line="276" w:lineRule="auto"/>
        <w:ind w:firstLine="709"/>
        <w:jc w:val="both"/>
        <w:rPr>
          <w:rFonts w:ascii="Arial" w:eastAsia="Calibri" w:hAnsi="Arial" w:cs="Arial"/>
          <w:color w:val="000000"/>
          <w:sz w:val="22"/>
          <w:lang w:val="es-ES_tradnl"/>
        </w:rPr>
      </w:pPr>
      <w:r w:rsidRPr="008979E1">
        <w:rPr>
          <w:rFonts w:ascii="Arial" w:eastAsia="Calibri" w:hAnsi="Arial" w:cs="Arial"/>
          <w:color w:val="000000"/>
          <w:sz w:val="22"/>
          <w:lang w:val="es-ES_tradnl"/>
        </w:rPr>
        <w:t xml:space="preserve">En tal sentido, el gobierno nacional podría, mediante el decreto reglamentario que expida, definir nuevas condiciones y montos para las convocatorias limitadas a </w:t>
      </w:r>
      <w:proofErr w:type="spellStart"/>
      <w:r w:rsidRPr="008979E1">
        <w:rPr>
          <w:rFonts w:ascii="Arial" w:eastAsia="Calibri" w:hAnsi="Arial" w:cs="Arial"/>
          <w:color w:val="000000"/>
          <w:sz w:val="22"/>
          <w:lang w:val="es-ES_tradnl"/>
        </w:rPr>
        <w:t>mipymes</w:t>
      </w:r>
      <w:proofErr w:type="spellEnd"/>
      <w:r w:rsidRPr="008979E1">
        <w:rPr>
          <w:rFonts w:ascii="Arial" w:eastAsia="Calibri" w:hAnsi="Arial" w:cs="Arial"/>
          <w:color w:val="000000"/>
          <w:sz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8979E1">
        <w:rPr>
          <w:rFonts w:ascii="Arial" w:eastAsia="Calibri" w:hAnsi="Arial" w:cs="Arial"/>
          <w:color w:val="000000"/>
          <w:sz w:val="22"/>
          <w:lang w:val="es-ES_tradnl"/>
        </w:rPr>
        <w:t>mipymes</w:t>
      </w:r>
      <w:proofErr w:type="spellEnd"/>
      <w:r w:rsidRPr="008979E1">
        <w:rPr>
          <w:rFonts w:ascii="Arial" w:eastAsia="Calibri" w:hAnsi="Arial" w:cs="Arial"/>
          <w:color w:val="000000"/>
          <w:sz w:val="22"/>
          <w:lang w:val="es-ES_tradnl"/>
        </w:rPr>
        <w:t xml:space="preserve">, pues al tenor del artículo 34 de la Ley 2069 de 2020, la eficacia de esta norma quedó condicionada a la expedición del decreto reglamentario que fije las condiciones </w:t>
      </w:r>
      <w:r w:rsidR="003B3F50">
        <w:rPr>
          <w:rFonts w:ascii="Arial" w:eastAsia="Calibri" w:hAnsi="Arial" w:cs="Arial"/>
          <w:color w:val="000000"/>
          <w:sz w:val="22"/>
          <w:lang w:val="es-ES_tradnl"/>
        </w:rPr>
        <w:t>para</w:t>
      </w:r>
      <w:r w:rsidRPr="008979E1">
        <w:rPr>
          <w:rFonts w:ascii="Arial" w:eastAsia="Calibri" w:hAnsi="Arial" w:cs="Arial"/>
          <w:color w:val="000000"/>
          <w:sz w:val="22"/>
          <w:lang w:val="es-ES_tradnl"/>
        </w:rPr>
        <w:t xml:space="preserve"> su </w:t>
      </w:r>
      <w:r w:rsidR="003B3F50">
        <w:rPr>
          <w:rFonts w:ascii="Arial" w:eastAsia="Calibri" w:hAnsi="Arial" w:cs="Arial"/>
          <w:color w:val="000000"/>
          <w:sz w:val="22"/>
          <w:lang w:val="es-ES_tradnl"/>
        </w:rPr>
        <w:t>aplicación</w:t>
      </w:r>
      <w:r w:rsidRPr="008979E1">
        <w:rPr>
          <w:rFonts w:ascii="Arial" w:eastAsia="Calibri" w:hAnsi="Arial" w:cs="Arial"/>
          <w:color w:val="000000"/>
          <w:sz w:val="22"/>
          <w:lang w:val="es-ES_tradnl"/>
        </w:rPr>
        <w:t xml:space="preserve">.   </w:t>
      </w:r>
    </w:p>
    <w:p w14:paraId="23914E42" w14:textId="77777777" w:rsidR="008522D4" w:rsidRDefault="008522D4" w:rsidP="008522D4">
      <w:pPr>
        <w:spacing w:before="120" w:line="276" w:lineRule="auto"/>
        <w:ind w:firstLine="709"/>
        <w:jc w:val="both"/>
        <w:rPr>
          <w:rFonts w:ascii="Arial" w:eastAsia="Calibri" w:hAnsi="Arial" w:cs="Arial"/>
          <w:color w:val="000000"/>
          <w:sz w:val="22"/>
          <w:lang w:val="es-ES_tradnl"/>
        </w:rPr>
      </w:pPr>
    </w:p>
    <w:p w14:paraId="6E1BE1CF" w14:textId="77777777" w:rsidR="008522D4" w:rsidRPr="00D17E59" w:rsidRDefault="008522D4" w:rsidP="008522D4">
      <w:pPr>
        <w:spacing w:line="276" w:lineRule="auto"/>
        <w:jc w:val="both"/>
        <w:rPr>
          <w:rFonts w:ascii="Arial" w:hAnsi="Arial" w:cs="Arial"/>
          <w:color w:val="000000" w:themeColor="text1"/>
          <w:sz w:val="22"/>
          <w:lang w:val="es-ES_tradnl"/>
        </w:rPr>
      </w:pPr>
      <w:r w:rsidRPr="00D17E59">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3EB2B810" w14:textId="77777777" w:rsidR="008522D4" w:rsidRPr="00D17E59" w:rsidRDefault="008522D4" w:rsidP="008522D4">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94C0D02" w14:textId="77777777" w:rsidR="008522D4" w:rsidRPr="00D17E59" w:rsidRDefault="008522D4" w:rsidP="008522D4">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17E59">
        <w:rPr>
          <w:rFonts w:ascii="Arial" w:hAnsi="Arial" w:cs="Arial"/>
          <w:color w:val="000000" w:themeColor="text1"/>
          <w:sz w:val="22"/>
          <w:szCs w:val="22"/>
          <w:lang w:val="es-ES_tradnl"/>
        </w:rPr>
        <w:t>Atentamente,</w:t>
      </w:r>
    </w:p>
    <w:p w14:paraId="259C05B5" w14:textId="77777777" w:rsidR="008522D4" w:rsidRPr="00D17E59" w:rsidRDefault="008522D4" w:rsidP="008522D4">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B3350C4" w14:textId="06961E87" w:rsidR="008522D4" w:rsidRDefault="00C62A0F" w:rsidP="00C62A0F">
      <w:pPr>
        <w:spacing w:before="120" w:line="276" w:lineRule="auto"/>
        <w:ind w:firstLine="709"/>
        <w:jc w:val="center"/>
        <w:rPr>
          <w:rFonts w:ascii="Arial" w:eastAsia="Calibri" w:hAnsi="Arial" w:cs="Arial"/>
          <w:color w:val="000000"/>
          <w:sz w:val="22"/>
          <w:lang w:val="es-ES_tradnl"/>
        </w:rPr>
      </w:pPr>
      <w:r>
        <w:rPr>
          <w:rFonts w:ascii="Arial" w:hAnsi="Arial" w:cs="Arial"/>
          <w:noProof/>
          <w:color w:val="000000" w:themeColor="text1"/>
          <w:sz w:val="18"/>
          <w:szCs w:val="20"/>
        </w:rPr>
        <w:drawing>
          <wp:inline distT="0" distB="0" distL="0" distR="0" wp14:anchorId="481DDCD6" wp14:editId="3CADD5A2">
            <wp:extent cx="2047297" cy="905774"/>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1427F6EC" w14:textId="77777777" w:rsidR="008522D4" w:rsidRPr="00007A77" w:rsidRDefault="008522D4" w:rsidP="008522D4">
      <w:pPr>
        <w:spacing w:line="276" w:lineRule="auto"/>
        <w:rPr>
          <w:rFonts w:ascii="Arial" w:hAnsi="Arial" w:cs="Arial"/>
          <w:color w:val="000000" w:themeColor="text1"/>
          <w:sz w:val="22"/>
          <w:lang w:val="es-ES_tradnl" w:eastAsia="es-CO"/>
        </w:rPr>
      </w:pPr>
    </w:p>
    <w:p w14:paraId="5C3866BE" w14:textId="3D83DBDA" w:rsidR="008522D4" w:rsidRPr="00007A77" w:rsidRDefault="008522D4" w:rsidP="008522D4">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522D4" w:rsidRPr="00007A77" w14:paraId="43E6C316" w14:textId="77777777" w:rsidTr="002F4377">
        <w:trPr>
          <w:trHeight w:val="315"/>
        </w:trPr>
        <w:tc>
          <w:tcPr>
            <w:tcW w:w="812" w:type="dxa"/>
            <w:vAlign w:val="center"/>
            <w:hideMark/>
          </w:tcPr>
          <w:p w14:paraId="7ACA6AE6" w14:textId="77777777" w:rsidR="008522D4" w:rsidRPr="00007A77" w:rsidRDefault="008522D4" w:rsidP="002F4377">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273FEA1" w14:textId="77777777" w:rsidR="008522D4" w:rsidRDefault="008522D4" w:rsidP="002F4377">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Carlos Mario Castrillón Endo</w:t>
            </w:r>
          </w:p>
          <w:p w14:paraId="76FC30BD" w14:textId="77777777" w:rsidR="008522D4" w:rsidRPr="00007A77" w:rsidRDefault="008522D4" w:rsidP="002F4377">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Contratista de la Subdirección de Gestión Contractual</w:t>
            </w:r>
          </w:p>
        </w:tc>
      </w:tr>
      <w:tr w:rsidR="008522D4" w:rsidRPr="00007A77" w14:paraId="04BB76A4" w14:textId="77777777" w:rsidTr="002F4377">
        <w:trPr>
          <w:trHeight w:val="330"/>
        </w:trPr>
        <w:tc>
          <w:tcPr>
            <w:tcW w:w="812" w:type="dxa"/>
            <w:vAlign w:val="center"/>
            <w:hideMark/>
          </w:tcPr>
          <w:p w14:paraId="06D709B9" w14:textId="77777777" w:rsidR="008522D4" w:rsidRPr="00007A77" w:rsidRDefault="008522D4" w:rsidP="002F4377">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023959B" w14:textId="77777777" w:rsidR="001F6B8A" w:rsidRPr="00FD6C6E" w:rsidRDefault="001F6B8A" w:rsidP="00FD6C6E">
            <w:pPr>
              <w:spacing w:line="276" w:lineRule="auto"/>
              <w:rPr>
                <w:rFonts w:ascii="Arial" w:hAnsi="Arial" w:cs="Arial"/>
                <w:color w:val="000000" w:themeColor="text1"/>
                <w:sz w:val="16"/>
                <w:szCs w:val="16"/>
                <w:lang w:val="es-ES_tradnl" w:eastAsia="es-ES"/>
              </w:rPr>
            </w:pPr>
            <w:r w:rsidRPr="00FD6C6E">
              <w:rPr>
                <w:rFonts w:ascii="Arial" w:hAnsi="Arial" w:cs="Arial"/>
                <w:color w:val="000000" w:themeColor="text1"/>
                <w:sz w:val="16"/>
                <w:szCs w:val="16"/>
                <w:lang w:val="es-ES_tradnl" w:eastAsia="es-ES"/>
              </w:rPr>
              <w:t>Juan David Montoya Penagos</w:t>
            </w:r>
          </w:p>
          <w:p w14:paraId="5084764E" w14:textId="668C9D11" w:rsidR="008522D4" w:rsidRPr="00007A77" w:rsidRDefault="001F6B8A" w:rsidP="002F4377">
            <w:pPr>
              <w:spacing w:line="276" w:lineRule="auto"/>
              <w:rPr>
                <w:rFonts w:ascii="Arial" w:hAnsi="Arial" w:cs="Arial"/>
                <w:color w:val="000000" w:themeColor="text1"/>
                <w:sz w:val="16"/>
                <w:szCs w:val="16"/>
                <w:lang w:val="es-ES_tradnl" w:eastAsia="es-ES"/>
              </w:rPr>
            </w:pPr>
            <w:r w:rsidRPr="00FD6C6E">
              <w:rPr>
                <w:rFonts w:ascii="Arial" w:hAnsi="Arial" w:cs="Arial"/>
                <w:color w:val="000000" w:themeColor="text1"/>
                <w:sz w:val="16"/>
                <w:szCs w:val="16"/>
                <w:lang w:val="es-ES_tradnl" w:eastAsia="es-ES"/>
              </w:rPr>
              <w:t>Gestor T1-15 de la Subdirección de Gestión Contractual</w:t>
            </w:r>
            <w:r>
              <w:rPr>
                <w:rFonts w:ascii="Arial" w:hAnsi="Arial" w:cs="Arial"/>
                <w:sz w:val="14"/>
                <w:szCs w:val="14"/>
                <w:lang w:eastAsia="es-ES"/>
              </w:rPr>
              <w:t xml:space="preserve">  </w:t>
            </w:r>
          </w:p>
        </w:tc>
      </w:tr>
      <w:tr w:rsidR="008522D4" w:rsidRPr="000C7C28" w14:paraId="2C2502E7" w14:textId="77777777" w:rsidTr="002F4377">
        <w:trPr>
          <w:trHeight w:val="300"/>
        </w:trPr>
        <w:tc>
          <w:tcPr>
            <w:tcW w:w="812" w:type="dxa"/>
            <w:vAlign w:val="center"/>
            <w:hideMark/>
          </w:tcPr>
          <w:p w14:paraId="26C33610" w14:textId="77777777" w:rsidR="008522D4" w:rsidRPr="00007A77" w:rsidRDefault="008522D4" w:rsidP="002F4377">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9FDDE67" w14:textId="77777777" w:rsidR="008522D4" w:rsidRDefault="008522D4" w:rsidP="002F437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Jorge Augusto Tirado Navarro</w:t>
            </w:r>
          </w:p>
          <w:p w14:paraId="0B49E00D" w14:textId="0F862651" w:rsidR="008522D4" w:rsidRPr="000C7C28" w:rsidRDefault="008522D4" w:rsidP="002F4377">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Subdirector de Gestión Contractual</w:t>
            </w:r>
            <w:r w:rsidR="00884D9B">
              <w:rPr>
                <w:rFonts w:ascii="Arial" w:hAnsi="Arial" w:cs="Arial"/>
                <w:color w:val="000000" w:themeColor="text1"/>
                <w:sz w:val="16"/>
                <w:szCs w:val="16"/>
                <w:lang w:val="es-ES_tradnl" w:eastAsia="es-ES"/>
              </w:rPr>
              <w:t xml:space="preserve"> ANCP – CCE</w:t>
            </w:r>
          </w:p>
        </w:tc>
      </w:tr>
      <w:bookmarkEnd w:id="6"/>
    </w:tbl>
    <w:p w14:paraId="289373EA" w14:textId="77777777" w:rsidR="008522D4" w:rsidRDefault="008522D4"/>
    <w:sectPr w:rsidR="008522D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BCB9" w14:textId="77777777" w:rsidR="002B7C33" w:rsidRDefault="002B7C33" w:rsidP="00DF6328">
      <w:r>
        <w:separator/>
      </w:r>
    </w:p>
  </w:endnote>
  <w:endnote w:type="continuationSeparator" w:id="0">
    <w:p w14:paraId="019098A5" w14:textId="77777777" w:rsidR="002B7C33" w:rsidRDefault="002B7C33" w:rsidP="00DF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BD4" w14:textId="77777777" w:rsidR="008522D4" w:rsidRDefault="008522D4" w:rsidP="008522D4">
    <w:pPr>
      <w:pStyle w:val="Sinespaciado"/>
      <w:jc w:val="right"/>
      <w:rPr>
        <w:rFonts w:ascii="Arial" w:hAnsi="Arial" w:cs="Arial"/>
        <w:sz w:val="18"/>
        <w:szCs w:val="18"/>
      </w:rPr>
    </w:pPr>
  </w:p>
  <w:p w14:paraId="033D1ED7" w14:textId="77777777" w:rsidR="008522D4" w:rsidRPr="008217B7" w:rsidRDefault="008522D4" w:rsidP="008522D4">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5AD4C1C5" w14:textId="77777777" w:rsidR="008522D4" w:rsidRDefault="008522D4" w:rsidP="008522D4">
    <w:pPr>
      <w:pStyle w:val="Piedepgina"/>
      <w:jc w:val="center"/>
      <w:rPr>
        <w:lang w:val="es-ES"/>
      </w:rPr>
    </w:pPr>
    <w:r>
      <w:rPr>
        <w:noProof/>
        <w:lang w:val="es-ES_tradnl"/>
      </w:rPr>
      <w:drawing>
        <wp:inline distT="0" distB="0" distL="0" distR="0" wp14:anchorId="656D1906" wp14:editId="2565D5EB">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C3E0" w14:textId="77777777" w:rsidR="002B7C33" w:rsidRDefault="002B7C33" w:rsidP="00DF6328">
      <w:r>
        <w:separator/>
      </w:r>
    </w:p>
  </w:footnote>
  <w:footnote w:type="continuationSeparator" w:id="0">
    <w:p w14:paraId="65CEB38D" w14:textId="77777777" w:rsidR="002B7C33" w:rsidRDefault="002B7C33" w:rsidP="00DF6328">
      <w:r>
        <w:continuationSeparator/>
      </w:r>
    </w:p>
  </w:footnote>
  <w:footnote w:id="1">
    <w:p w14:paraId="2AF1DC35" w14:textId="77777777" w:rsidR="002E341D" w:rsidRPr="00BD4E32" w:rsidRDefault="002E341D" w:rsidP="002E341D">
      <w:pPr>
        <w:pStyle w:val="Textonotapie"/>
        <w:ind w:firstLine="708"/>
        <w:jc w:val="both"/>
        <w:rPr>
          <w:rFonts w:ascii="Arial" w:hAnsi="Arial" w:cs="Arial"/>
          <w:sz w:val="19"/>
          <w:szCs w:val="19"/>
        </w:rPr>
      </w:pPr>
      <w:r w:rsidRPr="00BD4E32">
        <w:rPr>
          <w:rStyle w:val="Refdenotaalpie"/>
          <w:rFonts w:ascii="Arial" w:hAnsi="Arial" w:cs="Arial"/>
          <w:sz w:val="19"/>
          <w:szCs w:val="19"/>
        </w:rPr>
        <w:footnoteRef/>
      </w:r>
      <w:r w:rsidRPr="00BD4E32">
        <w:rPr>
          <w:rFonts w:ascii="Arial" w:hAnsi="Arial" w:cs="Arial"/>
          <w:sz w:val="19"/>
          <w:szCs w:val="19"/>
        </w:rPr>
        <w:t xml:space="preserve"> </w:t>
      </w:r>
      <w:r>
        <w:rPr>
          <w:rFonts w:ascii="Arial" w:hAnsi="Arial" w:cs="Arial"/>
          <w:sz w:val="19"/>
          <w:szCs w:val="19"/>
        </w:rPr>
        <w:t>Conforme al artículo 1 de la Ley 2064 de 2020, «</w:t>
      </w:r>
      <w:r w:rsidRPr="00BD4E32">
        <w:rPr>
          <w:rFonts w:ascii="Arial" w:hAnsi="Arial" w:cs="Arial"/>
          <w:sz w:val="19"/>
          <w:szCs w:val="19"/>
        </w:rPr>
        <w:t>La presente Ley tiene por objeto establecer un marco regulatorio que propicie el emprendimiento y el crecimiento, consolidación y sostenibilidad de las empresas, con el fin de aumentar el bienestar social y generar equidad.</w:t>
      </w:r>
    </w:p>
    <w:p w14:paraId="1B99B4D9" w14:textId="77777777" w:rsidR="002E341D" w:rsidRDefault="002E341D" w:rsidP="002E341D">
      <w:pPr>
        <w:pStyle w:val="Textonotapie"/>
        <w:ind w:firstLine="708"/>
        <w:jc w:val="both"/>
        <w:rPr>
          <w:rFonts w:ascii="Arial" w:hAnsi="Arial" w:cs="Arial"/>
          <w:sz w:val="19"/>
          <w:szCs w:val="19"/>
        </w:rPr>
      </w:pPr>
      <w:proofErr w:type="gramStart"/>
      <w:r>
        <w:rPr>
          <w:rFonts w:ascii="Arial" w:hAnsi="Arial" w:cs="Arial"/>
          <w:sz w:val="19"/>
          <w:szCs w:val="19"/>
        </w:rPr>
        <w:t>»</w:t>
      </w:r>
      <w:r w:rsidRPr="00BD4E32">
        <w:rPr>
          <w:rFonts w:ascii="Arial" w:hAnsi="Arial" w:cs="Arial"/>
          <w:sz w:val="19"/>
          <w:szCs w:val="19"/>
        </w:rPr>
        <w:t>Dicho</w:t>
      </w:r>
      <w:proofErr w:type="gramEnd"/>
      <w:r w:rsidRPr="00BD4E32">
        <w:rPr>
          <w:rFonts w:ascii="Arial" w:hAnsi="Arial" w:cs="Arial"/>
          <w:sz w:val="19"/>
          <w:szCs w:val="19"/>
        </w:rPr>
        <w:t xml:space="preserve"> marco delineará un enfoque regionalizado de acuerdo a las realidades socioeconómicos de cada región</w:t>
      </w:r>
      <w:r>
        <w:rPr>
          <w:rFonts w:ascii="Arial" w:hAnsi="Arial" w:cs="Arial"/>
          <w:sz w:val="19"/>
          <w:szCs w:val="19"/>
        </w:rPr>
        <w:t>»</w:t>
      </w:r>
      <w:r w:rsidRPr="00BD4E32">
        <w:rPr>
          <w:rFonts w:ascii="Arial" w:hAnsi="Arial" w:cs="Arial"/>
          <w:sz w:val="19"/>
          <w:szCs w:val="19"/>
        </w:rPr>
        <w:t>.</w:t>
      </w:r>
    </w:p>
    <w:p w14:paraId="72BBA945" w14:textId="77777777" w:rsidR="002E341D" w:rsidRPr="00BD4E32" w:rsidRDefault="002E341D" w:rsidP="002E341D">
      <w:pPr>
        <w:pStyle w:val="Textonotapie"/>
        <w:ind w:firstLine="708"/>
        <w:jc w:val="both"/>
        <w:rPr>
          <w:rFonts w:ascii="Arial" w:hAnsi="Arial" w:cs="Arial"/>
          <w:sz w:val="19"/>
          <w:szCs w:val="19"/>
          <w:lang w:val="es-ES"/>
        </w:rPr>
      </w:pPr>
    </w:p>
  </w:footnote>
  <w:footnote w:id="2">
    <w:p w14:paraId="24599E00" w14:textId="77777777" w:rsidR="002E341D" w:rsidRPr="00F52D84" w:rsidRDefault="002E341D" w:rsidP="002E341D">
      <w:pPr>
        <w:pStyle w:val="Textonotapie"/>
        <w:ind w:firstLine="708"/>
        <w:jc w:val="both"/>
        <w:rPr>
          <w:rFonts w:ascii="Arial" w:hAnsi="Arial" w:cs="Arial"/>
          <w:bCs/>
          <w:sz w:val="19"/>
          <w:szCs w:val="19"/>
        </w:rPr>
      </w:pPr>
      <w:r w:rsidRPr="00AA2812">
        <w:rPr>
          <w:rStyle w:val="Refdenotaalpie"/>
          <w:rFonts w:ascii="Arial" w:hAnsi="Arial" w:cs="Arial"/>
          <w:sz w:val="19"/>
          <w:szCs w:val="19"/>
        </w:rPr>
        <w:footnoteRef/>
      </w:r>
      <w:r w:rsidRPr="00AA2812">
        <w:rPr>
          <w:rFonts w:ascii="Arial" w:hAnsi="Arial" w:cs="Arial"/>
          <w:sz w:val="19"/>
          <w:szCs w:val="19"/>
        </w:rPr>
        <w:t xml:space="preserve"> </w:t>
      </w:r>
      <w:r>
        <w:rPr>
          <w:rFonts w:ascii="Arial" w:hAnsi="Arial" w:cs="Arial"/>
          <w:bCs/>
          <w:sz w:val="19"/>
          <w:szCs w:val="19"/>
        </w:rPr>
        <w:t xml:space="preserve">Esta política </w:t>
      </w:r>
      <w:r w:rsidRPr="00AA2812">
        <w:rPr>
          <w:rFonts w:ascii="Arial" w:hAnsi="Arial" w:cs="Arial"/>
          <w:bCs/>
          <w:sz w:val="19"/>
          <w:szCs w:val="19"/>
        </w:rPr>
        <w:t>se justifica en la medida que:</w:t>
      </w:r>
      <w:r>
        <w:rPr>
          <w:rFonts w:ascii="Arial" w:hAnsi="Arial" w:cs="Arial"/>
          <w:bCs/>
          <w:sz w:val="19"/>
          <w:szCs w:val="19"/>
        </w:rPr>
        <w:t xml:space="preserve"> «</w:t>
      </w:r>
      <w:r w:rsidRPr="00AA2812">
        <w:rPr>
          <w:rFonts w:ascii="Arial" w:hAnsi="Arial" w:cs="Arial"/>
          <w:bCs/>
          <w:sz w:val="19"/>
          <w:szCs w:val="19"/>
        </w:rPr>
        <w:t>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w:t>
      </w:r>
      <w:r>
        <w:rPr>
          <w:rFonts w:ascii="Arial" w:hAnsi="Arial" w:cs="Arial"/>
          <w:bCs/>
          <w:sz w:val="19"/>
          <w:szCs w:val="19"/>
        </w:rPr>
        <w:t xml:space="preserve">» (Cfr. </w:t>
      </w:r>
      <w:r w:rsidRPr="00AA2812">
        <w:rPr>
          <w:rFonts w:ascii="Arial" w:hAnsi="Arial" w:cs="Arial"/>
          <w:sz w:val="19"/>
          <w:szCs w:val="19"/>
        </w:rPr>
        <w:t>CONSEJO NACIONAL DE POLÍTICA ECONÓMICA Y SOCIAL</w:t>
      </w:r>
      <w:r>
        <w:rPr>
          <w:rFonts w:ascii="Arial" w:hAnsi="Arial" w:cs="Arial"/>
          <w:sz w:val="19"/>
          <w:szCs w:val="19"/>
        </w:rPr>
        <w:t xml:space="preserve">. </w:t>
      </w:r>
      <w:r w:rsidRPr="00AA2812">
        <w:rPr>
          <w:rFonts w:ascii="Arial" w:hAnsi="Arial" w:cs="Arial"/>
          <w:sz w:val="19"/>
          <w:szCs w:val="19"/>
        </w:rPr>
        <w:t>Documento 3956 del 8 de enero de 2019</w:t>
      </w:r>
      <w:r>
        <w:rPr>
          <w:rFonts w:ascii="Arial" w:hAnsi="Arial" w:cs="Arial"/>
          <w:sz w:val="19"/>
          <w:szCs w:val="19"/>
        </w:rPr>
        <w:t xml:space="preserve">: </w:t>
      </w:r>
      <w:r w:rsidRPr="00AA2812">
        <w:rPr>
          <w:rFonts w:ascii="Arial" w:hAnsi="Arial" w:cs="Arial"/>
          <w:sz w:val="19"/>
          <w:szCs w:val="19"/>
        </w:rPr>
        <w:t>«Política de formalización empresarial»</w:t>
      </w:r>
      <w:r>
        <w:rPr>
          <w:rFonts w:ascii="Arial" w:hAnsi="Arial" w:cs="Arial"/>
          <w:sz w:val="19"/>
          <w:szCs w:val="19"/>
        </w:rPr>
        <w:t xml:space="preserve">. Archivo consultado el 8 de febrero de 2021 en la página web </w:t>
      </w:r>
      <w:hyperlink r:id="rId1" w:history="1">
        <w:r w:rsidRPr="00DB0616">
          <w:rPr>
            <w:rStyle w:val="Hipervnculo"/>
            <w:rFonts w:ascii="Arial" w:hAnsi="Arial" w:cs="Arial"/>
            <w:sz w:val="19"/>
            <w:szCs w:val="19"/>
          </w:rPr>
          <w:t>https://colaboracion.dnp.gov.co/CDT/Conpes/Econ%C3%B3micos/3956.pdf</w:t>
        </w:r>
      </w:hyperlink>
      <w:r>
        <w:rPr>
          <w:rFonts w:ascii="Arial" w:hAnsi="Arial" w:cs="Arial"/>
          <w:sz w:val="19"/>
          <w:szCs w:val="19"/>
        </w:rPr>
        <w:t xml:space="preserve">).  </w:t>
      </w:r>
    </w:p>
    <w:p w14:paraId="1D0F2910" w14:textId="77777777" w:rsidR="002E341D" w:rsidRPr="00AA2812" w:rsidRDefault="002E341D" w:rsidP="002E341D">
      <w:pPr>
        <w:pStyle w:val="Textonotapie"/>
        <w:ind w:firstLine="708"/>
        <w:jc w:val="both"/>
        <w:rPr>
          <w:rFonts w:ascii="Arial" w:hAnsi="Arial" w:cs="Arial"/>
          <w:sz w:val="19"/>
          <w:szCs w:val="19"/>
          <w:lang w:val="es-ES"/>
        </w:rPr>
      </w:pPr>
    </w:p>
  </w:footnote>
  <w:footnote w:id="3">
    <w:p w14:paraId="69A71417" w14:textId="77777777" w:rsidR="002E341D" w:rsidRPr="00A1541C" w:rsidRDefault="002E341D" w:rsidP="002E341D">
      <w:pPr>
        <w:pStyle w:val="Textonotapie"/>
        <w:ind w:firstLine="708"/>
        <w:jc w:val="both"/>
        <w:rPr>
          <w:rFonts w:ascii="Arial" w:hAnsi="Arial" w:cs="Arial"/>
          <w:sz w:val="19"/>
          <w:szCs w:val="19"/>
          <w:lang w:val="es-ES"/>
        </w:rPr>
      </w:pPr>
      <w:r w:rsidRPr="00A1541C">
        <w:rPr>
          <w:rStyle w:val="Refdenotaalpie"/>
          <w:rFonts w:ascii="Arial" w:hAnsi="Arial" w:cs="Arial"/>
          <w:sz w:val="19"/>
          <w:szCs w:val="19"/>
        </w:rPr>
        <w:footnoteRef/>
      </w:r>
      <w:r>
        <w:rPr>
          <w:rFonts w:ascii="Arial" w:hAnsi="Arial" w:cs="Arial"/>
          <w:sz w:val="19"/>
          <w:szCs w:val="19"/>
        </w:rPr>
        <w:t xml:space="preserve"> </w:t>
      </w:r>
      <w:bookmarkStart w:id="13" w:name="_Hlk63862868"/>
      <w:r>
        <w:rPr>
          <w:rFonts w:ascii="Arial" w:hAnsi="Arial" w:cs="Arial"/>
          <w:sz w:val="19"/>
          <w:szCs w:val="19"/>
        </w:rPr>
        <w:t xml:space="preserve">CONGRESO DE LA REPÚBLICA. Gaceta No. 670 del 11 de agosto de 2020. Exposición de motivos del Proyecto de Ley No. 122 de 2020 Cámara. p. 13. </w:t>
      </w:r>
    </w:p>
    <w:bookmarkEnd w:id="13"/>
  </w:footnote>
  <w:footnote w:id="4">
    <w:p w14:paraId="49BAA8EC" w14:textId="77777777" w:rsidR="002E341D" w:rsidRDefault="002E341D" w:rsidP="002E341D">
      <w:pPr>
        <w:pStyle w:val="Textonotapie"/>
        <w:ind w:firstLine="708"/>
        <w:jc w:val="both"/>
        <w:rPr>
          <w:rFonts w:ascii="Arial" w:hAnsi="Arial" w:cs="Arial"/>
          <w:sz w:val="19"/>
          <w:szCs w:val="19"/>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p w14:paraId="18EF3529" w14:textId="77777777" w:rsidR="002E341D" w:rsidRPr="00F32C99" w:rsidRDefault="002E341D" w:rsidP="002E341D">
      <w:pPr>
        <w:pStyle w:val="Textonotapie"/>
        <w:ind w:firstLine="708"/>
        <w:jc w:val="both"/>
        <w:rPr>
          <w:rFonts w:ascii="Arial" w:hAnsi="Arial" w:cs="Arial"/>
          <w:sz w:val="19"/>
          <w:szCs w:val="19"/>
          <w:lang w:val="es-ES"/>
        </w:rPr>
      </w:pPr>
    </w:p>
  </w:footnote>
  <w:footnote w:id="5">
    <w:p w14:paraId="444EFAAF" w14:textId="77777777" w:rsidR="006140D7" w:rsidRPr="001F29DD" w:rsidRDefault="006140D7" w:rsidP="006140D7">
      <w:pPr>
        <w:ind w:firstLine="709"/>
        <w:jc w:val="both"/>
        <w:rPr>
          <w:rFonts w:ascii="Arial" w:eastAsiaTheme="minorHAnsi" w:hAnsi="Arial" w:cs="Arial"/>
          <w:sz w:val="19"/>
          <w:szCs w:val="19"/>
          <w:lang w:val="es-ES" w:eastAsia="en-U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 xml:space="preserve">Corte Constitucional. Sentencia C-502 de 2012. Magistrada Ponente: </w:t>
      </w:r>
      <w:r w:rsidRPr="001F29DD">
        <w:rPr>
          <w:rFonts w:ascii="Arial" w:eastAsiaTheme="minorHAnsi" w:hAnsi="Arial" w:cs="Arial"/>
          <w:sz w:val="19"/>
          <w:szCs w:val="19"/>
          <w:lang w:val="es-ES" w:eastAsia="en-US"/>
        </w:rPr>
        <w:t>Adriana Mar</w:t>
      </w:r>
      <w:r>
        <w:rPr>
          <w:rFonts w:ascii="Arial" w:eastAsiaTheme="minorHAnsi" w:hAnsi="Arial" w:cs="Arial"/>
          <w:sz w:val="19"/>
          <w:szCs w:val="19"/>
          <w:lang w:val="es-ES" w:eastAsia="en-US"/>
        </w:rPr>
        <w:t>í</w:t>
      </w:r>
      <w:r w:rsidRPr="001F29DD">
        <w:rPr>
          <w:rFonts w:ascii="Arial" w:eastAsiaTheme="minorHAnsi" w:hAnsi="Arial" w:cs="Arial"/>
          <w:sz w:val="19"/>
          <w:szCs w:val="19"/>
          <w:lang w:val="es-ES" w:eastAsia="en-US"/>
        </w:rPr>
        <w:t>a Guillén Arango</w:t>
      </w:r>
      <w:r>
        <w:rPr>
          <w:rFonts w:ascii="Arial" w:eastAsiaTheme="minorHAnsi" w:hAnsi="Arial" w:cs="Arial"/>
          <w:sz w:val="19"/>
          <w:szCs w:val="19"/>
          <w:lang w:val="es-ES" w:eastAsia="en-US"/>
        </w:rPr>
        <w:t>.</w:t>
      </w:r>
    </w:p>
    <w:p w14:paraId="24F3D90D" w14:textId="77777777" w:rsidR="006140D7" w:rsidRPr="001F29DD" w:rsidRDefault="006140D7" w:rsidP="006140D7">
      <w:pPr>
        <w:pStyle w:val="Textonotapie"/>
        <w:ind w:firstLine="709"/>
        <w:jc w:val="both"/>
        <w:rPr>
          <w:rFonts w:ascii="Arial" w:hAnsi="Arial" w:cs="Arial"/>
          <w:sz w:val="19"/>
          <w:szCs w:val="19"/>
          <w:lang w:val="es-ES"/>
        </w:rPr>
      </w:pPr>
      <w:r w:rsidRPr="001F29DD">
        <w:rPr>
          <w:rFonts w:ascii="Arial" w:hAnsi="Arial" w:cs="Arial"/>
          <w:sz w:val="19"/>
          <w:szCs w:val="19"/>
          <w:lang w:val="es-ES"/>
        </w:rPr>
        <w:t xml:space="preserve"> </w:t>
      </w:r>
    </w:p>
  </w:footnote>
  <w:footnote w:id="6">
    <w:p w14:paraId="7EF19B9F" w14:textId="77777777" w:rsidR="006140D7" w:rsidRPr="004C0463" w:rsidRDefault="006140D7" w:rsidP="006140D7">
      <w:pPr>
        <w:pStyle w:val="Textonotapie"/>
        <w:ind w:firstLine="708"/>
        <w:jc w:val="both"/>
        <w:rPr>
          <w:rFonts w:ascii="Arial" w:hAnsi="Arial" w:cs="Arial"/>
          <w:sz w:val="19"/>
          <w:szCs w:val="19"/>
        </w:rPr>
      </w:pPr>
      <w:r w:rsidRPr="004C0463">
        <w:rPr>
          <w:rStyle w:val="Refdenotaalpie"/>
          <w:rFonts w:ascii="Arial" w:hAnsi="Arial" w:cs="Arial"/>
          <w:sz w:val="19"/>
          <w:szCs w:val="19"/>
        </w:rPr>
        <w:footnoteRef/>
      </w:r>
      <w:r w:rsidRPr="004C0463">
        <w:rPr>
          <w:rFonts w:ascii="Arial" w:hAnsi="Arial" w:cs="Arial"/>
          <w:sz w:val="19"/>
          <w:szCs w:val="19"/>
        </w:rPr>
        <w:t xml:space="preserve"> </w:t>
      </w:r>
      <w:r>
        <w:rPr>
          <w:rFonts w:ascii="Arial" w:hAnsi="Arial" w:cs="Arial"/>
          <w:sz w:val="19"/>
          <w:szCs w:val="19"/>
        </w:rPr>
        <w:t>En los demás incisos, ambas normas tienen una redacción similar cuando prescriben que: «</w:t>
      </w:r>
      <w:r w:rsidRPr="004C0463">
        <w:rPr>
          <w:rFonts w:ascii="Arial" w:hAnsi="Arial" w:cs="Arial"/>
          <w:sz w:val="19"/>
          <w:szCs w:val="19"/>
        </w:rPr>
        <w:t xml:space="preserve">De igual forma, en los pliegos de condiciones </w:t>
      </w:r>
      <w:bookmarkStart w:id="17" w:name="_Hlk63844516"/>
      <w:r w:rsidRPr="004C0463">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17"/>
      <w:r w:rsidRPr="004C0463">
        <w:rPr>
          <w:rFonts w:ascii="Arial" w:hAnsi="Arial" w:cs="Arial"/>
          <w:sz w:val="19"/>
          <w:szCs w:val="19"/>
        </w:rPr>
        <w:t>; siempre que se garanticen las condiciones de calidad y cumplimiento del objeto contractual</w:t>
      </w:r>
      <w:r>
        <w:rPr>
          <w:rFonts w:ascii="Arial" w:hAnsi="Arial" w:cs="Arial"/>
          <w:sz w:val="19"/>
          <w:szCs w:val="19"/>
        </w:rPr>
        <w:t>.</w:t>
      </w:r>
    </w:p>
    <w:p w14:paraId="15EC0DB0" w14:textId="77777777" w:rsidR="006140D7" w:rsidRPr="004C0463" w:rsidRDefault="006140D7" w:rsidP="006140D7">
      <w:pPr>
        <w:pStyle w:val="Textonotapie"/>
        <w:ind w:firstLine="708"/>
        <w:jc w:val="both"/>
        <w:rPr>
          <w:rFonts w:ascii="Arial" w:hAnsi="Arial" w:cs="Arial"/>
          <w:sz w:val="19"/>
          <w:szCs w:val="19"/>
        </w:rPr>
      </w:pPr>
      <w:proofErr w:type="gramStart"/>
      <w:r>
        <w:rPr>
          <w:rFonts w:ascii="Arial" w:hAnsi="Arial" w:cs="Arial"/>
          <w:sz w:val="19"/>
          <w:szCs w:val="19"/>
        </w:rPr>
        <w:t>»</w:t>
      </w:r>
      <w:r w:rsidRPr="004C0463">
        <w:rPr>
          <w:rFonts w:ascii="Arial" w:hAnsi="Arial" w:cs="Arial"/>
          <w:sz w:val="19"/>
          <w:szCs w:val="19"/>
        </w:rPr>
        <w:t>Parágrafo</w:t>
      </w:r>
      <w:proofErr w:type="gramEnd"/>
      <w:r w:rsidRPr="004C0463">
        <w:rPr>
          <w:rFonts w:ascii="Arial" w:hAnsi="Arial" w:cs="Arial"/>
          <w:sz w:val="19"/>
          <w:szCs w:val="19"/>
        </w:rPr>
        <w:t xml:space="preserve"> 1°. En los procesos de selección que se desarrollen con base en el primer inciso, las entidades podrán realizar las convocatorias limitadas que beneficien a las </w:t>
      </w:r>
      <w:proofErr w:type="spellStart"/>
      <w:r w:rsidRPr="004C0463">
        <w:rPr>
          <w:rFonts w:ascii="Arial" w:hAnsi="Arial" w:cs="Arial"/>
          <w:sz w:val="19"/>
          <w:szCs w:val="19"/>
        </w:rPr>
        <w:t>Mipymes</w:t>
      </w:r>
      <w:proofErr w:type="spellEnd"/>
      <w:r w:rsidRPr="004C0463">
        <w:rPr>
          <w:rFonts w:ascii="Arial" w:hAnsi="Arial" w:cs="Arial"/>
          <w:sz w:val="19"/>
          <w:szCs w:val="19"/>
        </w:rPr>
        <w:t xml:space="preserve"> del ámbito municipal o departamental correspondiente al de la ejecución del contrato.</w:t>
      </w:r>
    </w:p>
    <w:p w14:paraId="1BD5D435" w14:textId="77777777" w:rsidR="006140D7" w:rsidRPr="004C0463" w:rsidRDefault="006140D7" w:rsidP="006140D7">
      <w:pPr>
        <w:pStyle w:val="Textonotapie"/>
        <w:ind w:firstLine="708"/>
        <w:jc w:val="both"/>
        <w:rPr>
          <w:rFonts w:ascii="Arial" w:hAnsi="Arial" w:cs="Arial"/>
          <w:sz w:val="19"/>
          <w:szCs w:val="19"/>
        </w:rPr>
      </w:pPr>
      <w:proofErr w:type="gramStart"/>
      <w:r>
        <w:rPr>
          <w:rFonts w:ascii="Arial" w:hAnsi="Arial" w:cs="Arial"/>
          <w:sz w:val="19"/>
          <w:szCs w:val="19"/>
        </w:rPr>
        <w:t>»</w:t>
      </w:r>
      <w:r w:rsidRPr="004C0463">
        <w:rPr>
          <w:rFonts w:ascii="Arial" w:hAnsi="Arial" w:cs="Arial"/>
          <w:sz w:val="19"/>
          <w:szCs w:val="19"/>
        </w:rPr>
        <w:t>Parágrafo</w:t>
      </w:r>
      <w:proofErr w:type="gramEnd"/>
      <w:r w:rsidRPr="004C0463">
        <w:rPr>
          <w:rFonts w:ascii="Arial" w:hAnsi="Arial" w:cs="Arial"/>
          <w:sz w:val="19"/>
          <w:szCs w:val="19"/>
        </w:rPr>
        <w:t xml:space="preserve"> 2°. Sin perjuicio de lo dispuesto en los artículos 5 y 6 de la Ley 1150 de 2007, para que las </w:t>
      </w:r>
      <w:proofErr w:type="spellStart"/>
      <w:r w:rsidRPr="004C0463">
        <w:rPr>
          <w:rFonts w:ascii="Arial" w:hAnsi="Arial" w:cs="Arial"/>
          <w:sz w:val="19"/>
          <w:szCs w:val="19"/>
        </w:rPr>
        <w:t>Mipymes</w:t>
      </w:r>
      <w:proofErr w:type="spellEnd"/>
      <w:r w:rsidRPr="004C0463">
        <w:rPr>
          <w:rFonts w:ascii="Arial" w:hAnsi="Arial" w:cs="Arial"/>
          <w:sz w:val="19"/>
          <w:szCs w:val="19"/>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53AC2BA" w14:textId="77777777" w:rsidR="006140D7" w:rsidRPr="004C0463" w:rsidRDefault="006140D7" w:rsidP="006140D7">
      <w:pPr>
        <w:pStyle w:val="Textonotapie"/>
        <w:ind w:firstLine="708"/>
        <w:jc w:val="both"/>
        <w:rPr>
          <w:rFonts w:ascii="Arial" w:hAnsi="Arial" w:cs="Arial"/>
          <w:sz w:val="19"/>
          <w:szCs w:val="19"/>
          <w:lang w:val="es-ES"/>
        </w:rPr>
      </w:pPr>
      <w:proofErr w:type="gramStart"/>
      <w:r>
        <w:rPr>
          <w:rFonts w:ascii="Arial" w:hAnsi="Arial" w:cs="Arial"/>
          <w:sz w:val="19"/>
          <w:szCs w:val="19"/>
        </w:rPr>
        <w:t>»</w:t>
      </w:r>
      <w:r w:rsidRPr="004C0463">
        <w:rPr>
          <w:rFonts w:ascii="Arial" w:hAnsi="Arial" w:cs="Arial"/>
          <w:sz w:val="19"/>
          <w:szCs w:val="19"/>
        </w:rPr>
        <w:t>Parágrafo</w:t>
      </w:r>
      <w:proofErr w:type="gramEnd"/>
      <w:r w:rsidRPr="004C0463">
        <w:rPr>
          <w:rFonts w:ascii="Arial" w:hAnsi="Arial" w:cs="Arial"/>
          <w:sz w:val="19"/>
          <w:szCs w:val="19"/>
        </w:rPr>
        <w:t xml:space="preserve"> 3°. En la ejecución de los contratos a que se refiere el presente artículo, las entidades y los contratistas, deberán observar lo dispuesto en los artículos 90 a 95 de la Ley 418 de 1997 y las normas que la modifiquen, adicionen o subroguen.</w:t>
      </w:r>
      <w:r>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2A8F" w14:textId="4D2BF1B6" w:rsidR="008522D4" w:rsidRDefault="008522D4" w:rsidP="008522D4">
    <w:pPr>
      <w:pStyle w:val="Encabezado"/>
    </w:pPr>
    <w:r>
      <w:rPr>
        <w:noProof/>
        <w:lang w:val="es-ES_tradnl"/>
      </w:rPr>
      <w:drawing>
        <wp:anchor distT="0" distB="0" distL="114300" distR="114300" simplePos="0" relativeHeight="251659264" behindDoc="1" locked="0" layoutInCell="1" allowOverlap="1" wp14:anchorId="336974F6" wp14:editId="49C28733">
          <wp:simplePos x="0" y="0"/>
          <wp:positionH relativeFrom="margin">
            <wp:align>right</wp:align>
          </wp:positionH>
          <wp:positionV relativeFrom="paragraph">
            <wp:posOffset>-155575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327BD8" w14:textId="458CFF53" w:rsidR="008522D4" w:rsidRDefault="008522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28"/>
    <w:rsid w:val="00071A76"/>
    <w:rsid w:val="000E75E1"/>
    <w:rsid w:val="001F6B8A"/>
    <w:rsid w:val="00204E8D"/>
    <w:rsid w:val="0022324A"/>
    <w:rsid w:val="002931E2"/>
    <w:rsid w:val="002A674A"/>
    <w:rsid w:val="002B7C33"/>
    <w:rsid w:val="002E341D"/>
    <w:rsid w:val="00322487"/>
    <w:rsid w:val="003255AD"/>
    <w:rsid w:val="003B3F50"/>
    <w:rsid w:val="003D6569"/>
    <w:rsid w:val="00427614"/>
    <w:rsid w:val="004A7370"/>
    <w:rsid w:val="004D2CF5"/>
    <w:rsid w:val="00524167"/>
    <w:rsid w:val="006140D7"/>
    <w:rsid w:val="0066416F"/>
    <w:rsid w:val="0067729C"/>
    <w:rsid w:val="006E7C82"/>
    <w:rsid w:val="007B5332"/>
    <w:rsid w:val="007F547F"/>
    <w:rsid w:val="00811071"/>
    <w:rsid w:val="00820D20"/>
    <w:rsid w:val="008522D4"/>
    <w:rsid w:val="00865143"/>
    <w:rsid w:val="00884D9B"/>
    <w:rsid w:val="00996F42"/>
    <w:rsid w:val="009F4FCF"/>
    <w:rsid w:val="00A26462"/>
    <w:rsid w:val="00AA6764"/>
    <w:rsid w:val="00AF392D"/>
    <w:rsid w:val="00B146EB"/>
    <w:rsid w:val="00B47E9C"/>
    <w:rsid w:val="00B57F82"/>
    <w:rsid w:val="00B75FC3"/>
    <w:rsid w:val="00B94CA6"/>
    <w:rsid w:val="00BE1784"/>
    <w:rsid w:val="00C62A0F"/>
    <w:rsid w:val="00D368A7"/>
    <w:rsid w:val="00D73B07"/>
    <w:rsid w:val="00DD3337"/>
    <w:rsid w:val="00DF6328"/>
    <w:rsid w:val="00F756B0"/>
    <w:rsid w:val="00F92DCC"/>
    <w:rsid w:val="00F978ED"/>
    <w:rsid w:val="00FD6C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4B84"/>
  <w15:chartTrackingRefBased/>
  <w15:docId w15:val="{A92D392D-730B-4F67-8E73-AF2FD9D9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328"/>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F632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F6328"/>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DF6328"/>
    <w:rPr>
      <w:rFonts w:ascii="Times New Roman" w:eastAsia="Times New Roman" w:hAnsi="Times New Roman" w:cs="Times New Roman"/>
      <w:sz w:val="20"/>
      <w:szCs w:val="20"/>
      <w:lang w:eastAsia="es-ES_tradnl"/>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DF6328"/>
    <w:rPr>
      <w:vertAlign w:val="superscript"/>
    </w:rPr>
  </w:style>
  <w:style w:type="paragraph" w:customStyle="1" w:styleId="Appelnotedebasde">
    <w:name w:val="Appel note de bas de..."/>
    <w:basedOn w:val="Normal"/>
    <w:link w:val="Refdenotaalpie"/>
    <w:uiPriority w:val="99"/>
    <w:rsid w:val="00DF6328"/>
    <w:pPr>
      <w:spacing w:after="160" w:line="240" w:lineRule="exact"/>
    </w:pPr>
    <w:rPr>
      <w:rFonts w:asciiTheme="minorHAnsi" w:eastAsiaTheme="minorHAnsi" w:hAnsiTheme="minorHAnsi" w:cstheme="minorBidi"/>
      <w:sz w:val="22"/>
      <w:szCs w:val="22"/>
      <w:vertAlign w:val="superscript"/>
      <w:lang w:eastAsia="en-US"/>
    </w:rPr>
  </w:style>
  <w:style w:type="table" w:styleId="Tablaconcuadrcula">
    <w:name w:val="Table Grid"/>
    <w:basedOn w:val="Tablanormal"/>
    <w:uiPriority w:val="39"/>
    <w:rsid w:val="00B47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B47E9C"/>
    <w:pPr>
      <w:ind w:left="720"/>
      <w:contextualSpacing/>
    </w:pPr>
    <w:rPr>
      <w:rFonts w:asciiTheme="minorHAnsi" w:eastAsiaTheme="minorHAnsi" w:hAnsiTheme="minorHAnsi" w:cstheme="minorBidi"/>
      <w:szCs w:val="22"/>
      <w:lang w:val="es-MX"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47E9C"/>
    <w:rPr>
      <w:sz w:val="24"/>
      <w:lang w:val="es-MX"/>
    </w:rPr>
  </w:style>
  <w:style w:type="character" w:styleId="Hipervnculo">
    <w:name w:val="Hyperlink"/>
    <w:basedOn w:val="Fuentedeprrafopredeter"/>
    <w:uiPriority w:val="99"/>
    <w:unhideWhenUsed/>
    <w:rsid w:val="002E341D"/>
    <w:rPr>
      <w:color w:val="0563C1" w:themeColor="hyperlink"/>
      <w:u w:val="single"/>
    </w:rPr>
  </w:style>
  <w:style w:type="paragraph" w:styleId="Encabezado">
    <w:name w:val="header"/>
    <w:basedOn w:val="Normal"/>
    <w:link w:val="EncabezadoCar"/>
    <w:uiPriority w:val="99"/>
    <w:unhideWhenUsed/>
    <w:rsid w:val="008522D4"/>
    <w:pPr>
      <w:tabs>
        <w:tab w:val="center" w:pos="4419"/>
        <w:tab w:val="right" w:pos="8838"/>
      </w:tabs>
    </w:pPr>
  </w:style>
  <w:style w:type="character" w:customStyle="1" w:styleId="EncabezadoCar">
    <w:name w:val="Encabezado Car"/>
    <w:basedOn w:val="Fuentedeprrafopredeter"/>
    <w:link w:val="Encabezado"/>
    <w:uiPriority w:val="99"/>
    <w:rsid w:val="008522D4"/>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8522D4"/>
    <w:pPr>
      <w:tabs>
        <w:tab w:val="center" w:pos="4419"/>
        <w:tab w:val="right" w:pos="8838"/>
      </w:tabs>
    </w:pPr>
  </w:style>
  <w:style w:type="character" w:customStyle="1" w:styleId="PiedepginaCar">
    <w:name w:val="Pie de página Car"/>
    <w:basedOn w:val="Fuentedeprrafopredeter"/>
    <w:link w:val="Piedepgina"/>
    <w:uiPriority w:val="99"/>
    <w:rsid w:val="008522D4"/>
    <w:rPr>
      <w:rFonts w:ascii="Times New Roman" w:eastAsia="Times New Roman" w:hAnsi="Times New Roman" w:cs="Times New Roman"/>
      <w:sz w:val="24"/>
      <w:szCs w:val="24"/>
      <w:lang w:eastAsia="es-ES_tradnl"/>
    </w:rPr>
  </w:style>
  <w:style w:type="paragraph" w:styleId="Sinespaciado">
    <w:name w:val="No Spacing"/>
    <w:aliases w:val="No Indent"/>
    <w:uiPriority w:val="3"/>
    <w:qFormat/>
    <w:rsid w:val="008522D4"/>
    <w:pPr>
      <w:spacing w:after="0" w:line="240" w:lineRule="auto"/>
    </w:pPr>
    <w:rPr>
      <w:sz w:val="24"/>
      <w:lang w:val="es-MX"/>
    </w:rPr>
  </w:style>
  <w:style w:type="paragraph" w:styleId="NormalWeb">
    <w:name w:val="Normal (Web)"/>
    <w:basedOn w:val="Normal"/>
    <w:link w:val="NormalWebCar"/>
    <w:uiPriority w:val="99"/>
    <w:unhideWhenUsed/>
    <w:rsid w:val="008522D4"/>
    <w:pPr>
      <w:spacing w:before="100" w:beforeAutospacing="1" w:after="100" w:afterAutospacing="1"/>
    </w:pPr>
    <w:rPr>
      <w:lang w:eastAsia="es-CO"/>
    </w:rPr>
  </w:style>
  <w:style w:type="character" w:customStyle="1" w:styleId="NormalWebCar">
    <w:name w:val="Normal (Web) Car"/>
    <w:link w:val="NormalWeb"/>
    <w:uiPriority w:val="99"/>
    <w:rsid w:val="008522D4"/>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11071"/>
    <w:rPr>
      <w:sz w:val="16"/>
      <w:szCs w:val="16"/>
    </w:rPr>
  </w:style>
  <w:style w:type="paragraph" w:styleId="Textocomentario">
    <w:name w:val="annotation text"/>
    <w:basedOn w:val="Normal"/>
    <w:link w:val="TextocomentarioCar"/>
    <w:uiPriority w:val="99"/>
    <w:semiHidden/>
    <w:unhideWhenUsed/>
    <w:rsid w:val="00811071"/>
    <w:rPr>
      <w:sz w:val="20"/>
      <w:szCs w:val="20"/>
    </w:rPr>
  </w:style>
  <w:style w:type="character" w:customStyle="1" w:styleId="TextocomentarioCar">
    <w:name w:val="Texto comentario Car"/>
    <w:basedOn w:val="Fuentedeprrafopredeter"/>
    <w:link w:val="Textocomentario"/>
    <w:uiPriority w:val="99"/>
    <w:semiHidden/>
    <w:rsid w:val="0081107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811071"/>
    <w:rPr>
      <w:b/>
      <w:bCs/>
    </w:rPr>
  </w:style>
  <w:style w:type="character" w:customStyle="1" w:styleId="AsuntodelcomentarioCar">
    <w:name w:val="Asunto del comentario Car"/>
    <w:basedOn w:val="TextocomentarioCar"/>
    <w:link w:val="Asuntodelcomentario"/>
    <w:uiPriority w:val="99"/>
    <w:semiHidden/>
    <w:rsid w:val="00811071"/>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16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5B43651-7418-4D53-AEE7-4BD6912F2D4A}"/>
</file>

<file path=customXml/itemProps2.xml><?xml version="1.0" encoding="utf-8"?>
<ds:datastoreItem xmlns:ds="http://schemas.openxmlformats.org/officeDocument/2006/customXml" ds:itemID="{BB86DEE1-ACF7-4BC3-B63F-C4E51A6ECA2E}"/>
</file>

<file path=customXml/itemProps3.xml><?xml version="1.0" encoding="utf-8"?>
<ds:datastoreItem xmlns:ds="http://schemas.openxmlformats.org/officeDocument/2006/customXml" ds:itemID="{581D7104-2F13-4499-B4DF-18A3ED75AC67}"/>
</file>

<file path=docProps/app.xml><?xml version="1.0" encoding="utf-8"?>
<Properties xmlns="http://schemas.openxmlformats.org/officeDocument/2006/extended-properties" xmlns:vt="http://schemas.openxmlformats.org/officeDocument/2006/docPropsVTypes">
  <Template>Normal</Template>
  <TotalTime>1</TotalTime>
  <Pages>10</Pages>
  <Words>3925</Words>
  <Characters>21590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3</cp:revision>
  <dcterms:created xsi:type="dcterms:W3CDTF">2021-05-06T13:08:00Z</dcterms:created>
  <dcterms:modified xsi:type="dcterms:W3CDTF">2021-05-06T13:08:00Z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