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A6ED" w14:textId="77777777" w:rsidR="00C4589F" w:rsidRPr="00C4589F" w:rsidRDefault="00C4589F" w:rsidP="00C4589F">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C4589F">
        <w:rPr>
          <w:rFonts w:ascii="Arial" w:eastAsia="Times New Roman" w:hAnsi="Arial" w:cs="Arial"/>
          <w:bCs/>
          <w:color w:val="000000"/>
          <w:sz w:val="16"/>
          <w:szCs w:val="16"/>
          <w:lang w:val="es-ES_tradnl" w:eastAsia="es-ES"/>
        </w:rPr>
        <w:t>CCE-DES-FM-17</w:t>
      </w:r>
      <w:bookmarkEnd w:id="0"/>
      <w:bookmarkEnd w:id="1"/>
    </w:p>
    <w:p w14:paraId="0DECCF9B" w14:textId="77777777" w:rsidR="00C4589F" w:rsidRPr="00C4589F" w:rsidRDefault="00C4589F" w:rsidP="00C4589F">
      <w:pPr>
        <w:spacing w:after="0" w:line="276" w:lineRule="auto"/>
        <w:jc w:val="both"/>
        <w:rPr>
          <w:rFonts w:ascii="Arial" w:eastAsia="Times New Roman" w:hAnsi="Arial" w:cs="Arial"/>
          <w:noProof/>
          <w:color w:val="000000"/>
          <w:szCs w:val="24"/>
          <w:lang w:val="es-ES_tradnl" w:eastAsia="es-ES_tradnl"/>
        </w:rPr>
      </w:pPr>
    </w:p>
    <w:p w14:paraId="50E52A60" w14:textId="77777777" w:rsidR="00C4589F" w:rsidRPr="00C4589F" w:rsidRDefault="00C4589F" w:rsidP="00C4589F">
      <w:pPr>
        <w:spacing w:after="0" w:line="240" w:lineRule="auto"/>
        <w:jc w:val="both"/>
        <w:rPr>
          <w:rFonts w:ascii="Arial" w:eastAsia="Calibri" w:hAnsi="Arial" w:cs="Arial"/>
          <w:b/>
          <w:szCs w:val="24"/>
          <w:lang w:val="es-ES_tradnl" w:eastAsia="es-ES_tradnl"/>
        </w:rPr>
      </w:pPr>
      <w:bookmarkStart w:id="2" w:name="_Hlk67491171"/>
      <w:r w:rsidRPr="00C4589F">
        <w:rPr>
          <w:rFonts w:ascii="Arial" w:eastAsia="Calibri" w:hAnsi="Arial" w:cs="Arial"/>
          <w:b/>
          <w:szCs w:val="24"/>
          <w:lang w:val="es-ES_tradnl" w:eastAsia="es-ES_tradnl"/>
        </w:rPr>
        <w:t xml:space="preserve">SELECCIÓN OBJETIVA </w:t>
      </w:r>
      <w:r w:rsidRPr="00C4589F">
        <w:rPr>
          <w:rFonts w:ascii="Arial" w:eastAsia="Calibri" w:hAnsi="Arial" w:cs="Arial"/>
          <w:b/>
          <w:color w:val="000000"/>
          <w:szCs w:val="24"/>
          <w:lang w:val="es-ES_tradnl" w:eastAsia="es-ES_tradnl"/>
        </w:rPr>
        <w:t>–</w:t>
      </w:r>
      <w:r w:rsidRPr="00C4589F">
        <w:rPr>
          <w:rFonts w:ascii="Arial" w:eastAsia="Calibri" w:hAnsi="Arial" w:cs="Arial"/>
          <w:b/>
          <w:szCs w:val="24"/>
          <w:lang w:val="es-ES_tradnl" w:eastAsia="es-ES_tradnl"/>
        </w:rPr>
        <w:t xml:space="preserve"> Contratación estatal </w:t>
      </w:r>
      <w:r w:rsidRPr="00C4589F">
        <w:rPr>
          <w:rFonts w:ascii="Arial" w:eastAsia="Calibri" w:hAnsi="Arial" w:cs="Arial"/>
          <w:b/>
          <w:color w:val="000000"/>
          <w:szCs w:val="24"/>
          <w:lang w:val="es-ES_tradnl" w:eastAsia="es-ES_tradnl"/>
        </w:rPr>
        <w:t>– Concepto</w:t>
      </w:r>
    </w:p>
    <w:bookmarkEnd w:id="2"/>
    <w:p w14:paraId="02978024" w14:textId="221741C1" w:rsidR="00C4589F" w:rsidRPr="00C4589F" w:rsidRDefault="00B64066" w:rsidP="00B64066">
      <w:pPr>
        <w:tabs>
          <w:tab w:val="left" w:pos="2235"/>
        </w:tabs>
        <w:spacing w:after="0" w:line="240" w:lineRule="auto"/>
        <w:jc w:val="both"/>
        <w:rPr>
          <w:rFonts w:ascii="Arial" w:eastAsia="Calibri" w:hAnsi="Arial" w:cs="Arial"/>
          <w:b/>
          <w:szCs w:val="24"/>
          <w:lang w:val="es-ES_tradnl" w:eastAsia="es-ES_tradnl"/>
        </w:rPr>
      </w:pPr>
      <w:r>
        <w:rPr>
          <w:rFonts w:ascii="Arial" w:eastAsia="Calibri" w:hAnsi="Arial" w:cs="Arial"/>
          <w:b/>
          <w:szCs w:val="24"/>
          <w:lang w:val="es-ES_tradnl" w:eastAsia="es-ES_tradnl"/>
        </w:rPr>
        <w:tab/>
      </w:r>
    </w:p>
    <w:p w14:paraId="1325E363" w14:textId="77777777" w:rsidR="007D1C30" w:rsidRPr="007D1C30" w:rsidRDefault="007D1C30" w:rsidP="007D1C30">
      <w:pPr>
        <w:spacing w:after="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7D1C30">
        <w:rPr>
          <w:rFonts w:ascii="Arial" w:eastAsia="Calibri" w:hAnsi="Arial" w:cs="Arial"/>
          <w:color w:val="000000"/>
          <w:sz w:val="20"/>
          <w:szCs w:val="20"/>
          <w:lang w:val="es-ES_tradnl" w:eastAsia="es-ES_tradnl"/>
        </w:rPr>
        <w:t>equivalentes,</w:t>
      </w:r>
      <w:proofErr w:type="gramEnd"/>
      <w:r w:rsidRPr="007D1C30">
        <w:rPr>
          <w:rFonts w:ascii="Arial" w:eastAsia="Calibri" w:hAnsi="Arial" w:cs="Arial"/>
          <w:color w:val="000000"/>
          <w:sz w:val="20"/>
          <w:szCs w:val="20"/>
          <w:lang w:val="es-ES_tradnl" w:eastAsia="es-ES_tradnl"/>
        </w:rPr>
        <w:t xml:space="preserve"> tendrán en cuenta criterios como la experiencia y la capacidad jurídica, financiera y de organización, entre otros elementos que garanticen la escogencia de la mejor opción de negocio para la entidad estatal.</w:t>
      </w:r>
    </w:p>
    <w:p w14:paraId="0417017D" w14:textId="77777777" w:rsidR="00C4589F" w:rsidRPr="00C4589F" w:rsidRDefault="00C4589F" w:rsidP="007D1C30">
      <w:pPr>
        <w:spacing w:after="0" w:line="240" w:lineRule="auto"/>
        <w:jc w:val="both"/>
        <w:rPr>
          <w:rFonts w:ascii="Arial" w:eastAsia="Calibri" w:hAnsi="Arial" w:cs="Arial"/>
          <w:b/>
          <w:szCs w:val="24"/>
          <w:lang w:val="es-ES_tradnl" w:eastAsia="es-ES_tradnl"/>
        </w:rPr>
      </w:pPr>
    </w:p>
    <w:p w14:paraId="01A0B806" w14:textId="77777777" w:rsidR="00C4589F" w:rsidRPr="00C4589F" w:rsidRDefault="00C4589F" w:rsidP="007D1C30">
      <w:pPr>
        <w:spacing w:after="0" w:line="240" w:lineRule="auto"/>
        <w:jc w:val="both"/>
        <w:rPr>
          <w:rFonts w:ascii="Arial" w:eastAsia="Calibri" w:hAnsi="Arial" w:cs="Arial"/>
          <w:b/>
          <w:szCs w:val="24"/>
          <w:lang w:val="es-ES_tradnl" w:eastAsia="es-ES_tradnl"/>
        </w:rPr>
      </w:pPr>
      <w:bookmarkStart w:id="3" w:name="_Hlk67491186"/>
      <w:r w:rsidRPr="00C4589F">
        <w:rPr>
          <w:rFonts w:ascii="Arial" w:eastAsia="Calibri" w:hAnsi="Arial" w:cs="Arial"/>
          <w:b/>
          <w:szCs w:val="24"/>
          <w:lang w:val="es-ES_tradnl" w:eastAsia="es-ES_tradnl"/>
        </w:rPr>
        <w:t xml:space="preserve">EMPATE </w:t>
      </w:r>
      <w:r w:rsidRPr="00C4589F">
        <w:rPr>
          <w:rFonts w:ascii="Arial" w:eastAsia="Calibri" w:hAnsi="Arial" w:cs="Arial"/>
          <w:b/>
          <w:color w:val="000000"/>
          <w:szCs w:val="24"/>
          <w:lang w:val="es-ES_tradnl" w:eastAsia="es-ES_tradnl"/>
        </w:rPr>
        <w:t>–</w:t>
      </w:r>
      <w:r w:rsidRPr="00C4589F">
        <w:rPr>
          <w:rFonts w:ascii="Arial" w:eastAsia="Calibri" w:hAnsi="Arial" w:cs="Arial"/>
          <w:b/>
          <w:szCs w:val="24"/>
          <w:lang w:val="es-ES_tradnl" w:eastAsia="es-ES_tradnl"/>
        </w:rPr>
        <w:t xml:space="preserve"> Procedimiento de selección </w:t>
      </w:r>
      <w:r w:rsidRPr="00C4589F">
        <w:rPr>
          <w:rFonts w:ascii="Arial" w:eastAsia="Calibri" w:hAnsi="Arial" w:cs="Arial"/>
          <w:b/>
          <w:color w:val="000000"/>
          <w:szCs w:val="24"/>
          <w:lang w:val="es-ES_tradnl" w:eastAsia="es-ES_tradnl"/>
        </w:rPr>
        <w:t>– Concepto</w:t>
      </w:r>
    </w:p>
    <w:bookmarkEnd w:id="3"/>
    <w:p w14:paraId="0DC07B6D" w14:textId="77777777" w:rsidR="00C4589F" w:rsidRPr="00C4589F" w:rsidRDefault="00C4589F" w:rsidP="007D1C30">
      <w:pPr>
        <w:spacing w:after="0" w:line="240" w:lineRule="auto"/>
        <w:jc w:val="both"/>
        <w:rPr>
          <w:rFonts w:ascii="Arial" w:eastAsia="Calibri" w:hAnsi="Arial" w:cs="Arial"/>
          <w:b/>
          <w:szCs w:val="24"/>
          <w:lang w:val="es-ES_tradnl" w:eastAsia="es-ES_tradnl"/>
        </w:rPr>
      </w:pPr>
    </w:p>
    <w:p w14:paraId="02A15EFF" w14:textId="77777777" w:rsidR="007D1C30" w:rsidRPr="007D1C30" w:rsidRDefault="007D1C30" w:rsidP="007D1C30">
      <w:pPr>
        <w:spacing w:after="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734B0AC4" w14:textId="77777777" w:rsidR="00C4589F" w:rsidRPr="00C4589F" w:rsidRDefault="00C4589F" w:rsidP="007D1C30">
      <w:pPr>
        <w:spacing w:after="0" w:line="276" w:lineRule="auto"/>
        <w:jc w:val="both"/>
        <w:rPr>
          <w:rFonts w:ascii="Arial" w:eastAsia="Times New Roman" w:hAnsi="Arial" w:cs="Arial"/>
          <w:noProof/>
          <w:color w:val="000000"/>
          <w:szCs w:val="24"/>
          <w:lang w:val="es-ES_tradnl" w:eastAsia="es-ES_tradnl"/>
        </w:rPr>
      </w:pPr>
    </w:p>
    <w:p w14:paraId="20E8EC81" w14:textId="02722A0A" w:rsidR="00C4589F" w:rsidRPr="00C4589F" w:rsidRDefault="00C4589F" w:rsidP="007D1C30">
      <w:pPr>
        <w:spacing w:after="0" w:line="240" w:lineRule="auto"/>
        <w:jc w:val="both"/>
        <w:rPr>
          <w:rFonts w:ascii="Arial" w:eastAsia="Calibri" w:hAnsi="Arial" w:cs="Arial"/>
          <w:b/>
          <w:szCs w:val="24"/>
          <w:lang w:val="es-ES_tradnl" w:eastAsia="es-ES_tradnl"/>
        </w:rPr>
      </w:pPr>
      <w:bookmarkStart w:id="4" w:name="_Hlk67491199"/>
      <w:r w:rsidRPr="00C4589F">
        <w:rPr>
          <w:rFonts w:ascii="Arial" w:eastAsia="Calibri" w:hAnsi="Arial" w:cs="Arial"/>
          <w:b/>
          <w:szCs w:val="24"/>
          <w:lang w:val="es-ES_tradnl" w:eastAsia="es-ES_tradnl"/>
        </w:rPr>
        <w:t xml:space="preserve">FACTORES DE DESEMPATE </w:t>
      </w:r>
      <w:r w:rsidRPr="00C4589F">
        <w:rPr>
          <w:rFonts w:ascii="Arial" w:eastAsia="Calibri" w:hAnsi="Arial" w:cs="Arial"/>
          <w:b/>
          <w:color w:val="000000"/>
          <w:szCs w:val="24"/>
          <w:lang w:val="es-ES_tradnl" w:eastAsia="es-ES_tradnl"/>
        </w:rPr>
        <w:t>–</w:t>
      </w:r>
      <w:r w:rsidRPr="00C4589F">
        <w:rPr>
          <w:rFonts w:ascii="Arial" w:eastAsia="Calibri" w:hAnsi="Arial" w:cs="Arial"/>
          <w:b/>
          <w:szCs w:val="24"/>
          <w:lang w:val="es-ES_tradnl" w:eastAsia="es-ES_tradnl"/>
        </w:rPr>
        <w:t xml:space="preserve"> </w:t>
      </w:r>
      <w:r w:rsidR="00DF019A" w:rsidRPr="00C4589F">
        <w:rPr>
          <w:rFonts w:ascii="Arial" w:eastAsia="Calibri" w:hAnsi="Arial" w:cs="Arial"/>
          <w:b/>
          <w:szCs w:val="24"/>
          <w:lang w:val="es-ES_tradnl" w:eastAsia="es-ES_tradnl"/>
        </w:rPr>
        <w:t xml:space="preserve">Características </w:t>
      </w:r>
      <w:r w:rsidR="00DF019A" w:rsidRPr="00C4589F">
        <w:rPr>
          <w:rFonts w:ascii="Arial" w:eastAsia="Calibri" w:hAnsi="Arial" w:cs="Arial"/>
          <w:b/>
          <w:color w:val="000000"/>
          <w:szCs w:val="24"/>
          <w:lang w:val="es-ES_tradnl" w:eastAsia="es-ES_tradnl"/>
        </w:rPr>
        <w:t>– Límites</w:t>
      </w:r>
    </w:p>
    <w:bookmarkEnd w:id="4"/>
    <w:p w14:paraId="22C5C88A" w14:textId="77777777" w:rsidR="00C4589F" w:rsidRPr="00C4589F" w:rsidRDefault="00C4589F" w:rsidP="007D1C30">
      <w:pPr>
        <w:spacing w:after="0" w:line="276" w:lineRule="auto"/>
        <w:jc w:val="both"/>
        <w:rPr>
          <w:rFonts w:ascii="Arial" w:eastAsia="Times New Roman" w:hAnsi="Arial" w:cs="Arial"/>
          <w:noProof/>
          <w:color w:val="000000"/>
          <w:szCs w:val="24"/>
          <w:lang w:val="es-ES_tradnl" w:eastAsia="es-ES_tradnl"/>
        </w:rPr>
      </w:pPr>
    </w:p>
    <w:p w14:paraId="3C251C3E" w14:textId="02C2CDB9" w:rsidR="007D1C30" w:rsidRPr="007D1C30" w:rsidRDefault="007D1C30" w:rsidP="007D1C30">
      <w:pPr>
        <w:spacing w:after="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76B943B2" w14:textId="6801FE0F" w:rsidR="007D1C30" w:rsidRPr="007D1C30" w:rsidRDefault="007D1C30" w:rsidP="007D1C30">
      <w:pPr>
        <w:spacing w:before="120" w:after="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En tal sentido, la Corte Constitucional explica que cuando la ley establece factores de desempate obligatorios, las entidades estatales no pueden </w:t>
      </w:r>
      <w:proofErr w:type="spellStart"/>
      <w:r w:rsidRPr="007D1C30">
        <w:rPr>
          <w:rFonts w:ascii="Arial" w:eastAsia="Calibri" w:hAnsi="Arial" w:cs="Arial"/>
          <w:color w:val="000000"/>
          <w:sz w:val="20"/>
          <w:szCs w:val="20"/>
          <w:lang w:val="es-ES_tradnl" w:eastAsia="es-ES_tradnl"/>
        </w:rPr>
        <w:t>inaplicarlos</w:t>
      </w:r>
      <w:proofErr w:type="spellEnd"/>
      <w:r w:rsidRPr="007D1C30">
        <w:rPr>
          <w:rFonts w:ascii="Arial" w:eastAsia="Calibri" w:hAnsi="Arial" w:cs="Arial"/>
          <w:color w:val="000000"/>
          <w:sz w:val="20"/>
          <w:szCs w:val="20"/>
          <w:lang w:val="es-ES_tradnl" w:eastAsia="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266ED65" w14:textId="77777777" w:rsidR="00C4589F" w:rsidRPr="00C4589F" w:rsidRDefault="00C4589F" w:rsidP="00693535">
      <w:pPr>
        <w:spacing w:after="0" w:line="240" w:lineRule="auto"/>
        <w:jc w:val="both"/>
        <w:rPr>
          <w:rFonts w:ascii="Arial" w:eastAsia="Calibri" w:hAnsi="Arial" w:cs="Arial"/>
          <w:b/>
          <w:szCs w:val="24"/>
          <w:lang w:val="es-ES_tradnl" w:eastAsia="es-ES_tradnl"/>
        </w:rPr>
      </w:pPr>
    </w:p>
    <w:p w14:paraId="41ADF53D" w14:textId="77777777" w:rsidR="00C4589F" w:rsidRPr="00C4589F" w:rsidRDefault="00C4589F" w:rsidP="00693535">
      <w:pPr>
        <w:spacing w:after="0" w:line="240" w:lineRule="auto"/>
        <w:jc w:val="both"/>
        <w:rPr>
          <w:rFonts w:ascii="Arial" w:eastAsia="Calibri" w:hAnsi="Arial" w:cs="Arial"/>
          <w:b/>
          <w:szCs w:val="24"/>
          <w:lang w:val="es-ES_tradnl" w:eastAsia="es-ES_tradnl"/>
        </w:rPr>
      </w:pPr>
      <w:bookmarkStart w:id="5" w:name="_Hlk67491213"/>
      <w:r w:rsidRPr="00C4589F">
        <w:rPr>
          <w:rFonts w:ascii="Arial" w:eastAsia="Calibri" w:hAnsi="Arial" w:cs="Arial"/>
          <w:b/>
          <w:szCs w:val="24"/>
          <w:lang w:val="es-ES_tradnl" w:eastAsia="es-ES_tradnl"/>
        </w:rPr>
        <w:t xml:space="preserve">LEY DE EMPRENDIMIENTO </w:t>
      </w:r>
      <w:r w:rsidRPr="00C4589F">
        <w:rPr>
          <w:rFonts w:ascii="Arial" w:eastAsia="Calibri" w:hAnsi="Arial" w:cs="Arial"/>
          <w:b/>
          <w:color w:val="000000"/>
          <w:szCs w:val="24"/>
          <w:lang w:val="es-ES_tradnl" w:eastAsia="es-ES_tradnl"/>
        </w:rPr>
        <w:t>–</w:t>
      </w:r>
      <w:r w:rsidRPr="00C4589F">
        <w:rPr>
          <w:rFonts w:ascii="Arial" w:eastAsia="Calibri" w:hAnsi="Arial" w:cs="Arial"/>
          <w:b/>
          <w:szCs w:val="24"/>
          <w:lang w:val="es-ES_tradnl" w:eastAsia="es-ES_tradnl"/>
        </w:rPr>
        <w:t xml:space="preserve"> Ley 2069 de 2020 </w:t>
      </w:r>
      <w:r w:rsidRPr="00C4589F">
        <w:rPr>
          <w:rFonts w:ascii="Arial" w:eastAsia="Calibri" w:hAnsi="Arial" w:cs="Arial"/>
          <w:b/>
          <w:color w:val="000000"/>
          <w:szCs w:val="24"/>
          <w:lang w:val="es-ES_tradnl" w:eastAsia="es-ES_tradnl"/>
        </w:rPr>
        <w:t xml:space="preserve">– Vigencia </w:t>
      </w:r>
    </w:p>
    <w:bookmarkEnd w:id="5"/>
    <w:p w14:paraId="49A5EBD2" w14:textId="77777777" w:rsidR="00C4589F" w:rsidRPr="00C4589F" w:rsidRDefault="00C4589F" w:rsidP="00C4589F">
      <w:pPr>
        <w:spacing w:after="0" w:line="240" w:lineRule="auto"/>
        <w:jc w:val="both"/>
        <w:rPr>
          <w:rFonts w:ascii="Arial" w:eastAsia="Calibri" w:hAnsi="Arial" w:cs="Arial"/>
          <w:b/>
          <w:szCs w:val="24"/>
          <w:lang w:val="es-ES_tradnl" w:eastAsia="es-ES_tradnl"/>
        </w:rPr>
      </w:pPr>
    </w:p>
    <w:p w14:paraId="4A1F2E43" w14:textId="77777777" w:rsidR="007D1C30" w:rsidRPr="007D1C30" w:rsidRDefault="007D1C30" w:rsidP="007D1C30">
      <w:pPr>
        <w:spacing w:after="12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El 31 de diciembre de 2020 se promulgó la Ley 2069, «Por medio de la cual se impulsa el emprendimiento en Colombia». De acuerdo con el artículo 84 de dicho cuerpo normativo, «La </w:t>
      </w:r>
      <w:r w:rsidRPr="007D1C30">
        <w:rPr>
          <w:rFonts w:ascii="Arial" w:eastAsia="Calibri" w:hAnsi="Arial" w:cs="Arial"/>
          <w:color w:val="000000"/>
          <w:sz w:val="20"/>
          <w:szCs w:val="20"/>
          <w:lang w:val="es-ES_tradnl" w:eastAsia="es-ES_tradnl"/>
        </w:rPr>
        <w:lastRenderedPageBreak/>
        <w:t>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E1F4D7C" w14:textId="714861C8" w:rsidR="00C4589F" w:rsidRDefault="007D1C30" w:rsidP="007D1C30">
      <w:pPr>
        <w:spacing w:after="0" w:line="240" w:lineRule="auto"/>
        <w:jc w:val="both"/>
        <w:rPr>
          <w:rFonts w:ascii="Arial" w:eastAsia="Calibri" w:hAnsi="Arial" w:cs="Arial"/>
          <w:color w:val="000000"/>
          <w:sz w:val="20"/>
          <w:szCs w:val="20"/>
          <w:lang w:val="es-ES_tradnl" w:eastAsia="es-ES_tradnl"/>
        </w:rPr>
      </w:pPr>
      <w:r w:rsidRPr="007D1C30">
        <w:rPr>
          <w:rFonts w:ascii="Arial" w:eastAsia="Calibri" w:hAnsi="Arial" w:cs="Arial"/>
          <w:color w:val="000000"/>
          <w:sz w:val="20"/>
          <w:szCs w:val="20"/>
          <w:lang w:val="es-ES_tradnl" w:eastAsia="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D1C30">
        <w:rPr>
          <w:rFonts w:ascii="Arial" w:eastAsia="Calibri" w:hAnsi="Arial" w:cs="Arial"/>
          <w:color w:val="000000"/>
          <w:sz w:val="20"/>
          <w:szCs w:val="20"/>
          <w:lang w:val="es-ES_tradnl" w:eastAsia="es-ES_tradnl"/>
        </w:rPr>
        <w:t>de acuerdo a</w:t>
      </w:r>
      <w:proofErr w:type="gramEnd"/>
      <w:r w:rsidRPr="007D1C30">
        <w:rPr>
          <w:rFonts w:ascii="Arial" w:eastAsia="Calibri" w:hAnsi="Arial" w:cs="Arial"/>
          <w:color w:val="000000"/>
          <w:sz w:val="20"/>
          <w:szCs w:val="20"/>
          <w:lang w:val="es-ES_tradnl" w:eastAsia="es-ES_tradnl"/>
        </w:rPr>
        <w:t xml:space="preserve"> las realidades socioeconómicas de cada región». En desarrollo de esta finalidad, se establecen medidas de apoyo para las micro, pequeñas y medianas empresas –</w:t>
      </w:r>
      <w:proofErr w:type="spellStart"/>
      <w:r w:rsidRPr="007D1C30">
        <w:rPr>
          <w:rFonts w:ascii="Arial" w:eastAsia="Calibri" w:hAnsi="Arial" w:cs="Arial"/>
          <w:color w:val="000000"/>
          <w:sz w:val="20"/>
          <w:szCs w:val="20"/>
          <w:lang w:val="es-ES_tradnl" w:eastAsia="es-ES_tradnl"/>
        </w:rPr>
        <w:t>mipymes</w:t>
      </w:r>
      <w:proofErr w:type="spellEnd"/>
      <w:r w:rsidRPr="007D1C30">
        <w:rPr>
          <w:rFonts w:ascii="Arial" w:eastAsia="Calibri" w:hAnsi="Arial" w:cs="Arial"/>
          <w:color w:val="000000"/>
          <w:sz w:val="20"/>
          <w:szCs w:val="20"/>
          <w:lang w:val="es-ES_tradnl" w:eastAsia="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5BE7382" w14:textId="77777777" w:rsidR="007D1C30" w:rsidRPr="007D1C30" w:rsidRDefault="007D1C30" w:rsidP="007D1C30">
      <w:pPr>
        <w:spacing w:after="0" w:line="240" w:lineRule="auto"/>
        <w:jc w:val="both"/>
        <w:rPr>
          <w:rFonts w:ascii="Arial" w:eastAsia="Calibri" w:hAnsi="Arial" w:cs="Arial"/>
          <w:b/>
          <w:sz w:val="20"/>
          <w:szCs w:val="20"/>
          <w:lang w:val="es-ES_tradnl" w:eastAsia="es-ES_tradnl"/>
        </w:rPr>
      </w:pPr>
    </w:p>
    <w:p w14:paraId="51EC663D" w14:textId="77777777" w:rsidR="00C4589F" w:rsidRPr="00C4589F" w:rsidRDefault="00C4589F" w:rsidP="007D1C30">
      <w:pPr>
        <w:spacing w:after="0" w:line="240" w:lineRule="auto"/>
        <w:jc w:val="both"/>
        <w:rPr>
          <w:rFonts w:ascii="Arial" w:eastAsia="Calibri" w:hAnsi="Arial" w:cs="Arial"/>
          <w:b/>
          <w:szCs w:val="24"/>
          <w:lang w:val="es-ES_tradnl" w:eastAsia="es-ES_tradnl"/>
        </w:rPr>
      </w:pPr>
      <w:bookmarkStart w:id="6" w:name="_Hlk67491223"/>
      <w:r w:rsidRPr="00C4589F">
        <w:rPr>
          <w:rFonts w:ascii="Arial" w:eastAsia="Calibri" w:hAnsi="Arial" w:cs="Arial"/>
          <w:b/>
          <w:szCs w:val="24"/>
          <w:lang w:val="es-ES_tradnl" w:eastAsia="es-ES_tradnl"/>
        </w:rPr>
        <w:t xml:space="preserve">DECRETO 1082 DE 2015 </w:t>
      </w:r>
      <w:r w:rsidRPr="00C4589F">
        <w:rPr>
          <w:rFonts w:ascii="Arial" w:eastAsia="Calibri" w:hAnsi="Arial" w:cs="Arial"/>
          <w:b/>
          <w:color w:val="000000"/>
          <w:szCs w:val="24"/>
          <w:lang w:val="es-ES_tradnl" w:eastAsia="es-ES_tradnl"/>
        </w:rPr>
        <w:t>–</w:t>
      </w:r>
      <w:r w:rsidRPr="00C4589F">
        <w:rPr>
          <w:rFonts w:ascii="Arial" w:eastAsia="Calibri" w:hAnsi="Arial" w:cs="Arial"/>
          <w:b/>
          <w:szCs w:val="24"/>
          <w:lang w:val="es-ES_tradnl" w:eastAsia="es-ES_tradnl"/>
        </w:rPr>
        <w:t xml:space="preserve"> Artículo 2.2.1.1.2.2.9. </w:t>
      </w:r>
      <w:r w:rsidRPr="00C4589F">
        <w:rPr>
          <w:rFonts w:ascii="Arial" w:eastAsia="Calibri" w:hAnsi="Arial" w:cs="Arial"/>
          <w:b/>
          <w:color w:val="000000"/>
          <w:szCs w:val="24"/>
          <w:lang w:val="es-ES_tradnl" w:eastAsia="es-ES_tradnl"/>
        </w:rPr>
        <w:t>– Derogatoria – Decaimiento</w:t>
      </w:r>
    </w:p>
    <w:bookmarkEnd w:id="6"/>
    <w:p w14:paraId="751B03FB" w14:textId="77777777" w:rsidR="00C4589F" w:rsidRPr="00C4589F" w:rsidRDefault="00C4589F" w:rsidP="007D1C30">
      <w:pPr>
        <w:spacing w:after="0" w:line="276" w:lineRule="auto"/>
        <w:jc w:val="both"/>
        <w:rPr>
          <w:rFonts w:ascii="Arial" w:eastAsia="Times New Roman" w:hAnsi="Arial" w:cs="Arial"/>
          <w:noProof/>
          <w:color w:val="000000"/>
          <w:szCs w:val="24"/>
          <w:lang w:val="es-ES_tradnl" w:eastAsia="es-ES_tradnl"/>
        </w:rPr>
      </w:pPr>
    </w:p>
    <w:p w14:paraId="525152F0" w14:textId="32673586" w:rsidR="007D1C30" w:rsidRPr="005F6C9A" w:rsidRDefault="007D1C30" w:rsidP="005F6C9A">
      <w:pPr>
        <w:spacing w:after="120" w:line="240" w:lineRule="auto"/>
        <w:jc w:val="both"/>
        <w:rPr>
          <w:rFonts w:ascii="Arial" w:eastAsia="Times New Roman" w:hAnsi="Arial" w:cs="Arial"/>
          <w:color w:val="000000"/>
          <w:sz w:val="20"/>
          <w:szCs w:val="20"/>
          <w:lang w:val="es-ES_tradnl" w:eastAsia="es-ES_tradnl"/>
        </w:rPr>
      </w:pPr>
      <w:r w:rsidRPr="005F6C9A">
        <w:rPr>
          <w:rFonts w:ascii="Arial" w:eastAsia="Times New Roman" w:hAnsi="Arial" w:cs="Arial"/>
          <w:color w:val="000000"/>
          <w:sz w:val="20"/>
          <w:szCs w:val="20"/>
          <w:lang w:val="es-ES_tradnl" w:eastAsia="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4649801B" w14:textId="6EDD9845" w:rsidR="00C4589F" w:rsidRPr="005F6C9A" w:rsidRDefault="007D1C30" w:rsidP="005F6C9A">
      <w:pPr>
        <w:spacing w:after="0" w:line="240" w:lineRule="auto"/>
        <w:jc w:val="both"/>
        <w:rPr>
          <w:rFonts w:ascii="Arial" w:eastAsia="Times New Roman" w:hAnsi="Arial" w:cs="Arial"/>
          <w:color w:val="000000"/>
          <w:sz w:val="20"/>
          <w:szCs w:val="20"/>
          <w:lang w:val="es-ES_tradnl" w:eastAsia="es-ES_tradnl"/>
        </w:rPr>
      </w:pPr>
      <w:r w:rsidRPr="005F6C9A">
        <w:rPr>
          <w:rFonts w:ascii="Arial" w:eastAsia="Times New Roman" w:hAnsi="Arial" w:cs="Arial"/>
          <w:color w:val="000000"/>
          <w:sz w:val="20"/>
          <w:szCs w:val="20"/>
          <w:lang w:val="es-ES_tradnl" w:eastAsia="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5F6C9A">
        <w:rPr>
          <w:rFonts w:ascii="Arial" w:eastAsia="Times New Roman" w:hAnsi="Arial" w:cs="Arial"/>
          <w:i/>
          <w:iCs/>
          <w:color w:val="000000"/>
          <w:sz w:val="20"/>
          <w:szCs w:val="20"/>
          <w:lang w:val="es-ES_tradnl" w:eastAsia="es-ES_tradnl"/>
        </w:rPr>
        <w:t>secundum</w:t>
      </w:r>
      <w:proofErr w:type="spellEnd"/>
      <w:r w:rsidRPr="005F6C9A">
        <w:rPr>
          <w:rFonts w:ascii="Arial" w:eastAsia="Times New Roman" w:hAnsi="Arial" w:cs="Arial"/>
          <w:i/>
          <w:iCs/>
          <w:color w:val="000000"/>
          <w:sz w:val="20"/>
          <w:szCs w:val="20"/>
          <w:lang w:val="es-ES_tradnl" w:eastAsia="es-ES_tradnl"/>
        </w:rPr>
        <w:t xml:space="preserve"> </w:t>
      </w:r>
      <w:proofErr w:type="spellStart"/>
      <w:r w:rsidRPr="005F6C9A">
        <w:rPr>
          <w:rFonts w:ascii="Arial" w:eastAsia="Times New Roman" w:hAnsi="Arial" w:cs="Arial"/>
          <w:i/>
          <w:iCs/>
          <w:color w:val="000000"/>
          <w:sz w:val="20"/>
          <w:szCs w:val="20"/>
          <w:lang w:val="es-ES_tradnl" w:eastAsia="es-ES_tradnl"/>
        </w:rPr>
        <w:t>legem</w:t>
      </w:r>
      <w:proofErr w:type="spellEnd"/>
      <w:r w:rsidRPr="005F6C9A">
        <w:rPr>
          <w:rFonts w:ascii="Arial" w:eastAsia="Times New Roman" w:hAnsi="Arial" w:cs="Arial"/>
          <w:color w:val="000000"/>
          <w:sz w:val="20"/>
          <w:szCs w:val="20"/>
          <w:lang w:val="es-ES_tradnl" w:eastAsia="es-ES_tradnl"/>
        </w:rPr>
        <w:t xml:space="preserve"> –es decir, que desarrolla una norma de mayor jerarquía–, la expedición de una ley en sentido formal –es decir, una fuente que condiciona el contenido de este último–, hace que la disposición reglamentaria decaiga.   </w:t>
      </w:r>
    </w:p>
    <w:p w14:paraId="46277D70" w14:textId="77777777" w:rsidR="007D1C30" w:rsidRPr="005F6C9A" w:rsidRDefault="007D1C30" w:rsidP="005F6C9A">
      <w:pPr>
        <w:spacing w:after="0" w:line="240" w:lineRule="auto"/>
        <w:jc w:val="both"/>
        <w:rPr>
          <w:rFonts w:ascii="Arial" w:eastAsia="Times New Roman" w:hAnsi="Arial" w:cs="Arial"/>
          <w:color w:val="000000"/>
          <w:sz w:val="20"/>
          <w:szCs w:val="20"/>
          <w:lang w:val="es-ES_tradnl" w:eastAsia="es-ES_tradnl"/>
        </w:rPr>
      </w:pPr>
    </w:p>
    <w:p w14:paraId="662BBB16" w14:textId="7FE901C3" w:rsidR="00C4589F" w:rsidRDefault="00C4589F" w:rsidP="005F6C9A">
      <w:pPr>
        <w:spacing w:after="0" w:line="240" w:lineRule="auto"/>
        <w:jc w:val="both"/>
        <w:rPr>
          <w:rFonts w:ascii="Arial" w:eastAsia="Calibri" w:hAnsi="Arial" w:cs="Arial"/>
          <w:b/>
          <w:szCs w:val="24"/>
          <w:lang w:val="es-ES_tradnl" w:eastAsia="es-ES_tradnl"/>
        </w:rPr>
      </w:pPr>
      <w:bookmarkStart w:id="7" w:name="_Hlk67491235"/>
      <w:r w:rsidRPr="00C4589F">
        <w:rPr>
          <w:rFonts w:ascii="Arial" w:eastAsia="Calibri" w:hAnsi="Arial" w:cs="Arial"/>
          <w:b/>
          <w:szCs w:val="24"/>
          <w:lang w:val="es-ES_tradnl" w:eastAsia="es-ES_tradnl"/>
        </w:rPr>
        <w:t xml:space="preserve">DECRETO 1082 DE 2015 </w:t>
      </w:r>
      <w:r w:rsidRPr="00C4589F">
        <w:rPr>
          <w:rFonts w:ascii="Arial" w:eastAsia="Calibri" w:hAnsi="Arial" w:cs="Arial"/>
          <w:b/>
          <w:color w:val="000000"/>
          <w:szCs w:val="24"/>
          <w:lang w:val="es-ES_tradnl" w:eastAsia="es-ES_tradnl"/>
        </w:rPr>
        <w:t>–</w:t>
      </w:r>
      <w:r w:rsidR="002B479B">
        <w:rPr>
          <w:rFonts w:ascii="Arial" w:eastAsia="Calibri" w:hAnsi="Arial" w:cs="Arial"/>
          <w:b/>
          <w:color w:val="000000"/>
          <w:szCs w:val="24"/>
          <w:lang w:val="es-ES_tradnl" w:eastAsia="es-ES_tradnl"/>
        </w:rPr>
        <w:t xml:space="preserve"> Factores de desempate – Derogatoria – Artículo 35 </w:t>
      </w:r>
      <w:r w:rsidR="00714C93">
        <w:rPr>
          <w:rFonts w:ascii="Arial" w:eastAsia="Calibri" w:hAnsi="Arial" w:cs="Arial"/>
          <w:b/>
          <w:color w:val="000000"/>
          <w:szCs w:val="24"/>
          <w:lang w:val="es-ES_tradnl" w:eastAsia="es-ES_tradnl"/>
        </w:rPr>
        <w:t xml:space="preserve">− </w:t>
      </w:r>
      <w:r w:rsidR="00714C93" w:rsidRPr="00C4589F">
        <w:rPr>
          <w:rFonts w:ascii="Arial" w:eastAsia="Calibri" w:hAnsi="Arial" w:cs="Arial"/>
          <w:b/>
          <w:szCs w:val="24"/>
          <w:lang w:val="es-ES_tradnl" w:eastAsia="es-ES_tradnl"/>
        </w:rPr>
        <w:t xml:space="preserve">Ley 2069 de 2020 </w:t>
      </w:r>
      <w:r w:rsidR="00714C93">
        <w:rPr>
          <w:rFonts w:ascii="Arial" w:eastAsia="Calibri" w:hAnsi="Arial" w:cs="Arial"/>
          <w:b/>
          <w:szCs w:val="24"/>
          <w:lang w:val="es-ES_tradnl" w:eastAsia="es-ES_tradnl"/>
        </w:rPr>
        <w:t>– Subasta inversa – Mínima cuantía</w:t>
      </w:r>
    </w:p>
    <w:bookmarkEnd w:id="7"/>
    <w:p w14:paraId="28F582DD" w14:textId="77777777" w:rsidR="00714C93" w:rsidRDefault="00714C93" w:rsidP="005F6C9A">
      <w:pPr>
        <w:spacing w:after="0" w:line="240" w:lineRule="auto"/>
        <w:jc w:val="both"/>
        <w:rPr>
          <w:rFonts w:ascii="Arial" w:eastAsia="Times New Roman" w:hAnsi="Arial" w:cs="Arial"/>
          <w:color w:val="000000"/>
          <w:sz w:val="20"/>
          <w:szCs w:val="20"/>
          <w:lang w:val="es-ES_tradnl" w:eastAsia="es-ES_tradnl"/>
        </w:rPr>
      </w:pPr>
    </w:p>
    <w:p w14:paraId="5A9D0CC2" w14:textId="5F97CE11" w:rsidR="005F6C9A" w:rsidRPr="005F6C9A" w:rsidRDefault="005F6C9A" w:rsidP="005F6C9A">
      <w:pPr>
        <w:spacing w:after="0" w:line="240" w:lineRule="auto"/>
        <w:jc w:val="both"/>
        <w:rPr>
          <w:rFonts w:ascii="Arial" w:eastAsia="Times New Roman" w:hAnsi="Arial" w:cs="Arial"/>
          <w:color w:val="000000"/>
          <w:sz w:val="20"/>
          <w:szCs w:val="20"/>
          <w:lang w:val="es-ES_tradnl" w:eastAsia="es-ES_tradnl"/>
        </w:rPr>
      </w:pPr>
      <w:r w:rsidRPr="005F6C9A">
        <w:rPr>
          <w:rFonts w:ascii="Arial" w:eastAsia="Times New Roman" w:hAnsi="Arial" w:cs="Arial"/>
          <w:color w:val="000000" w:themeColor="text1"/>
          <w:sz w:val="20"/>
          <w:szCs w:val="20"/>
          <w:lang w:val="es-ES_tradnl" w:eastAsia="es-ES_tradnl"/>
        </w:rPr>
        <w:t xml:space="preserve">Lo expuesto en los dos (2) párrafos precedentes también aplica </w:t>
      </w:r>
      <w:r w:rsidRPr="005F6C9A">
        <w:rPr>
          <w:rFonts w:ascii="Arial" w:eastAsia="Times New Roman" w:hAnsi="Arial" w:cs="Arial"/>
          <w:i/>
          <w:iCs/>
          <w:color w:val="000000" w:themeColor="text1"/>
          <w:sz w:val="20"/>
          <w:szCs w:val="20"/>
          <w:lang w:val="es-ES_tradnl" w:eastAsia="es-ES_tradnl"/>
        </w:rPr>
        <w:t>mutatis mutandis</w:t>
      </w:r>
      <w:r w:rsidRPr="005F6C9A">
        <w:rPr>
          <w:rFonts w:ascii="Arial" w:eastAsia="Times New Roman" w:hAnsi="Arial" w:cs="Arial"/>
          <w:color w:val="000000" w:themeColor="text1"/>
          <w:sz w:val="20"/>
          <w:szCs w:val="20"/>
          <w:lang w:val="es-ES_tradnl" w:eastAsia="es-ES_tradnl"/>
        </w:rPr>
        <w:t xml:space="preserve"> a los factores de desempate previstos en el Decreto Único Reglamentario del Sector Administrativo de Planeación Nacional, para los procedimientos de subasta inversa y mínima cuantía. Así las cosas</w:t>
      </w:r>
      <w:r w:rsidRPr="005F6C9A">
        <w:rPr>
          <w:rFonts w:ascii="Arial" w:eastAsia="Times New Roman" w:hAnsi="Arial" w:cs="Arial"/>
          <w:color w:val="000000"/>
          <w:sz w:val="20"/>
          <w:szCs w:val="20"/>
          <w:lang w:val="es-ES_tradnl" w:eastAsia="es-ES_tradnl"/>
        </w:rPr>
        <w:t>, el legislador estableció en el primer inciso del artículo 35 de la ley 2069 de 2020, que los factores de desempate regulados en esta norma aplican en todos los procesos de selección, desarrollados tanto por las entidades sometidas al Estatuto General de Contratación de la Administración Pública, como por las exceptuadas de este. En efecto, este inciso dispone lo siguiente […]</w:t>
      </w:r>
    </w:p>
    <w:p w14:paraId="55FF470A" w14:textId="57A19AE2" w:rsidR="005F6C9A" w:rsidRPr="005F6C9A" w:rsidRDefault="005F6C9A" w:rsidP="005F6C9A">
      <w:pPr>
        <w:spacing w:after="0" w:line="240" w:lineRule="auto"/>
        <w:ind w:left="709" w:right="709"/>
        <w:jc w:val="both"/>
        <w:rPr>
          <w:rFonts w:ascii="Arial" w:eastAsia="Times New Roman" w:hAnsi="Arial" w:cs="Arial"/>
          <w:color w:val="000000"/>
          <w:sz w:val="20"/>
          <w:szCs w:val="20"/>
          <w:lang w:val="es-ES_tradnl" w:eastAsia="es-ES_tradnl"/>
        </w:rPr>
      </w:pPr>
    </w:p>
    <w:p w14:paraId="53BED407" w14:textId="782F14A7" w:rsidR="005F6C9A" w:rsidRPr="005F6C9A" w:rsidRDefault="005F6C9A" w:rsidP="005F6C9A">
      <w:pPr>
        <w:spacing w:after="120" w:line="240" w:lineRule="auto"/>
        <w:jc w:val="both"/>
        <w:rPr>
          <w:rFonts w:ascii="Arial" w:eastAsia="Times New Roman" w:hAnsi="Arial" w:cs="Arial"/>
          <w:color w:val="000000"/>
          <w:sz w:val="20"/>
          <w:szCs w:val="20"/>
          <w:lang w:val="es-ES_tradnl" w:eastAsia="es-ES_tradnl"/>
        </w:rPr>
      </w:pPr>
      <w:r w:rsidRPr="005F6C9A">
        <w:rPr>
          <w:rFonts w:ascii="Arial" w:eastAsia="Times New Roman" w:hAnsi="Arial" w:cs="Arial"/>
          <w:color w:val="000000"/>
          <w:sz w:val="20"/>
          <w:szCs w:val="20"/>
          <w:lang w:val="es-ES_tradnl" w:eastAsia="es-ES_tradnl"/>
        </w:rPr>
        <w:t xml:space="preserve">[…] puede afirmarse que el numeral 9 del artículo 2.2.1.2.1.2.2. del Decreto 1082 de 2015 también ha perdido fuerza ejecutoria con la vigencia del artículo 35 de la Ley 2069 de 2020, que contiene una regulación nueva y completa de los factores de desempate que aplican en los procesos de selección, </w:t>
      </w:r>
      <w:r w:rsidRPr="005F6C9A">
        <w:rPr>
          <w:rFonts w:ascii="Arial" w:eastAsia="Times New Roman" w:hAnsi="Arial" w:cs="Arial"/>
          <w:color w:val="000000"/>
          <w:sz w:val="20"/>
          <w:szCs w:val="20"/>
          <w:lang w:val="es-ES_tradnl" w:eastAsia="es-ES_tradnl"/>
        </w:rPr>
        <w:lastRenderedPageBreak/>
        <w:t>sin distinguir las modalidades contractuales en las que rigen estos criterios. Por tal razón,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51172714" w14:textId="413851B0" w:rsidR="005F6C9A" w:rsidRPr="005F6C9A" w:rsidRDefault="005F6C9A" w:rsidP="005F6C9A">
      <w:pPr>
        <w:spacing w:after="120" w:line="240" w:lineRule="auto"/>
        <w:jc w:val="both"/>
        <w:rPr>
          <w:rFonts w:ascii="Arial" w:eastAsia="Times New Roman" w:hAnsi="Arial" w:cs="Arial"/>
          <w:color w:val="000000"/>
          <w:sz w:val="20"/>
          <w:szCs w:val="20"/>
          <w:lang w:val="es-ES_tradnl" w:eastAsia="es-ES_tradnl"/>
        </w:rPr>
      </w:pPr>
      <w:r w:rsidRPr="005F6C9A">
        <w:rPr>
          <w:rFonts w:ascii="Arial" w:hAnsi="Arial" w:cs="Arial"/>
          <w:color w:val="000000" w:themeColor="text1"/>
          <w:sz w:val="20"/>
          <w:szCs w:val="20"/>
          <w:lang w:val="es-ES_tradnl"/>
        </w:rPr>
        <w:t xml:space="preserve"> […]</w:t>
      </w:r>
    </w:p>
    <w:p w14:paraId="52D292CA" w14:textId="6DBFC729" w:rsidR="005F6C9A" w:rsidRPr="005F6C9A" w:rsidRDefault="005F6C9A" w:rsidP="005F6C9A">
      <w:pPr>
        <w:spacing w:after="120" w:line="240" w:lineRule="auto"/>
        <w:jc w:val="both"/>
        <w:rPr>
          <w:rFonts w:ascii="Arial" w:eastAsia="Times New Roman" w:hAnsi="Arial" w:cs="Arial"/>
          <w:color w:val="000000" w:themeColor="text1"/>
          <w:sz w:val="20"/>
          <w:szCs w:val="20"/>
          <w:lang w:val="es-ES_tradnl" w:eastAsia="es-ES_tradnl"/>
        </w:rPr>
      </w:pPr>
      <w:r w:rsidRPr="005F6C9A">
        <w:rPr>
          <w:rFonts w:ascii="Arial" w:eastAsia="Times New Roman" w:hAnsi="Arial" w:cs="Arial"/>
          <w:color w:val="000000" w:themeColor="text1"/>
          <w:sz w:val="20"/>
          <w:szCs w:val="20"/>
          <w:lang w:val="es-ES_tradnl" w:eastAsia="es-ES_tradnl"/>
        </w:rPr>
        <w:t xml:space="preserve">Tratándose de los factores de desempate, la intención del legislador es que el artículo 35 de la Ley de Emprendimiento sea una norma transversal al sistema de compras y contratación pública Particularmente, </w:t>
      </w:r>
      <w:r w:rsidRPr="005F6C9A">
        <w:rPr>
          <w:rFonts w:ascii="Arial" w:eastAsia="Calibri" w:hAnsi="Arial" w:cs="Arial"/>
          <w:bCs/>
          <w:color w:val="000000" w:themeColor="text1"/>
          <w:sz w:val="20"/>
          <w:szCs w:val="20"/>
          <w:lang w:eastAsia="es-ES_tradnl"/>
        </w:rPr>
        <w:t>conforme a la exposición de motivos, la ley «</w:t>
      </w:r>
      <w:r w:rsidRPr="005F6C9A">
        <w:rPr>
          <w:rFonts w:ascii="Arial" w:eastAsia="Times New Roman" w:hAnsi="Arial" w:cs="Arial"/>
          <w:sz w:val="20"/>
          <w:szCs w:val="20"/>
          <w:lang w:eastAsia="es-ES_tradnl"/>
        </w:rPr>
        <w:t xml:space="preserve">[…] </w:t>
      </w:r>
      <w:r w:rsidRPr="005F6C9A">
        <w:rPr>
          <w:rFonts w:ascii="Arial" w:eastAsia="Calibri" w:hAnsi="Arial" w:cs="Arial"/>
          <w:bCs/>
          <w:color w:val="000000" w:themeColor="text1"/>
          <w:sz w:val="20"/>
          <w:szCs w:val="20"/>
          <w:lang w:eastAsia="es-ES_tradnl"/>
        </w:rPr>
        <w:t xml:space="preserve">propone facilitar el acceso de las </w:t>
      </w:r>
      <w:proofErr w:type="spellStart"/>
      <w:r w:rsidRPr="005F6C9A">
        <w:rPr>
          <w:rFonts w:ascii="Arial" w:eastAsia="Calibri" w:hAnsi="Arial" w:cs="Arial"/>
          <w:bCs/>
          <w:color w:val="000000" w:themeColor="text1"/>
          <w:sz w:val="20"/>
          <w:szCs w:val="20"/>
          <w:lang w:eastAsia="es-ES_tradnl"/>
        </w:rPr>
        <w:t>Mipymes</w:t>
      </w:r>
      <w:proofErr w:type="spellEnd"/>
      <w:r w:rsidRPr="005F6C9A">
        <w:rPr>
          <w:rFonts w:ascii="Arial" w:eastAsia="Calibri" w:hAnsi="Arial" w:cs="Arial"/>
          <w:bCs/>
          <w:color w:val="000000" w:themeColor="text1"/>
          <w:sz w:val="20"/>
          <w:szCs w:val="20"/>
          <w:lang w:eastAsia="es-ES_tradnl"/>
        </w:rPr>
        <w:t xml:space="preserve"> a la modalidad de contratación de mínima cuantía, la limitación de estos procesos a </w:t>
      </w:r>
      <w:proofErr w:type="spellStart"/>
      <w:r w:rsidRPr="005F6C9A">
        <w:rPr>
          <w:rFonts w:ascii="Arial" w:eastAsia="Calibri" w:hAnsi="Arial" w:cs="Arial"/>
          <w:bCs/>
          <w:color w:val="000000" w:themeColor="text1"/>
          <w:sz w:val="20"/>
          <w:szCs w:val="20"/>
          <w:lang w:eastAsia="es-ES_tradnl"/>
        </w:rPr>
        <w:t>Mipymes</w:t>
      </w:r>
      <w:proofErr w:type="spellEnd"/>
      <w:r w:rsidRPr="005F6C9A">
        <w:rPr>
          <w:rFonts w:ascii="Arial" w:eastAsia="Calibri" w:hAnsi="Arial" w:cs="Arial"/>
          <w:bCs/>
          <w:color w:val="000000" w:themeColor="text1"/>
          <w:sz w:val="20"/>
          <w:szCs w:val="20"/>
          <w:lang w:eastAsia="es-ES_tradnl"/>
        </w:rPr>
        <w:t xml:space="preserve">, […] y </w:t>
      </w:r>
      <w:r w:rsidRPr="005F6C9A">
        <w:rPr>
          <w:rFonts w:ascii="Arial" w:eastAsia="Calibri" w:hAnsi="Arial" w:cs="Arial"/>
          <w:bCs/>
          <w:i/>
          <w:iCs/>
          <w:color w:val="000000" w:themeColor="text1"/>
          <w:sz w:val="20"/>
          <w:szCs w:val="20"/>
          <w:lang w:eastAsia="es-ES_tradnl"/>
        </w:rPr>
        <w:t>define la inclusión de factores de desempate en los procesos de contratación pública que priorizan este segmento</w:t>
      </w:r>
      <w:r w:rsidRPr="005F6C9A">
        <w:rPr>
          <w:rFonts w:ascii="Arial" w:eastAsia="Calibri" w:hAnsi="Arial" w:cs="Arial"/>
          <w:bCs/>
          <w:color w:val="000000" w:themeColor="text1"/>
          <w:sz w:val="20"/>
          <w:szCs w:val="20"/>
          <w:lang w:eastAsia="es-ES_tradnl"/>
        </w:rPr>
        <w:t xml:space="preserve">» (Énfasis fuera de texto). En esta medida, carece de sentido que los criterios de desempate sean inaplicables a la mínima cuantía, cuando la regla revista en el artículo citado obliga a todas las entidades exceptuadas sin consideración al valor del presupuesto oficial estimado. Teniendo en cuenta lo anterior, se concluye que el artículo </w:t>
      </w:r>
      <w:r w:rsidRPr="005F6C9A">
        <w:rPr>
          <w:rFonts w:ascii="Arial" w:eastAsia="Times New Roman" w:hAnsi="Arial" w:cs="Arial"/>
          <w:color w:val="000000" w:themeColor="text1"/>
          <w:sz w:val="20"/>
          <w:szCs w:val="20"/>
          <w:lang w:val="es-ES_tradnl" w:eastAsia="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Pr="005F6C9A">
        <w:rPr>
          <w:rFonts w:ascii="Arial" w:eastAsia="Calibri" w:hAnsi="Arial" w:cs="Arial"/>
          <w:bCs/>
          <w:color w:val="000000" w:themeColor="text1"/>
          <w:sz w:val="20"/>
          <w:szCs w:val="20"/>
          <w:lang w:eastAsia="es-ES_tradnl"/>
        </w:rPr>
        <w:t xml:space="preserve">   </w:t>
      </w:r>
      <w:r w:rsidRPr="005F6C9A">
        <w:rPr>
          <w:rFonts w:ascii="Arial" w:eastAsia="Times New Roman" w:hAnsi="Arial" w:cs="Arial"/>
          <w:color w:val="000000" w:themeColor="text1"/>
          <w:sz w:val="20"/>
          <w:szCs w:val="20"/>
          <w:lang w:val="es-ES_tradnl" w:eastAsia="es-ES_tradnl"/>
        </w:rPr>
        <w:t xml:space="preserve">     </w:t>
      </w:r>
    </w:p>
    <w:p w14:paraId="735632BC" w14:textId="77777777" w:rsidR="005F6C9A" w:rsidRPr="005F6C9A" w:rsidRDefault="005F6C9A" w:rsidP="005F6C9A">
      <w:pPr>
        <w:spacing w:after="0" w:line="240" w:lineRule="auto"/>
        <w:jc w:val="both"/>
        <w:rPr>
          <w:rFonts w:ascii="Arial" w:hAnsi="Arial" w:cs="Arial"/>
          <w:color w:val="000000" w:themeColor="text1"/>
          <w:sz w:val="20"/>
          <w:szCs w:val="20"/>
          <w:lang w:val="es-ES_tradnl"/>
        </w:rPr>
      </w:pPr>
      <w:r w:rsidRPr="005F6C9A">
        <w:rPr>
          <w:rFonts w:ascii="Arial" w:eastAsia="Times New Roman" w:hAnsi="Arial" w:cs="Arial"/>
          <w:color w:val="000000" w:themeColor="text1"/>
          <w:sz w:val="20"/>
          <w:szCs w:val="20"/>
          <w:lang w:val="es-ES_tradnl" w:eastAsia="es-ES_tradnl"/>
        </w:rPr>
        <w:t xml:space="preserve">Ahora bien, </w:t>
      </w:r>
      <w:r w:rsidRPr="005F6C9A">
        <w:rPr>
          <w:rFonts w:ascii="Arial" w:eastAsia="Times New Roman" w:hAnsi="Arial" w:cs="Arial"/>
          <w:color w:val="000000"/>
          <w:sz w:val="20"/>
          <w:szCs w:val="20"/>
          <w:lang w:val="es-ES_tradnl" w:eastAsia="es-ES_tradnl"/>
        </w:rPr>
        <w:t>el Congreso de la República hizo obligatoria la aplicación de los factores de desempate previstos en el artículo 35 de la Ley 2069 de 2020 a todos «</w:t>
      </w:r>
      <w:r w:rsidRPr="005F6C9A">
        <w:rPr>
          <w:rFonts w:ascii="Arial" w:eastAsia="Times New Roman" w:hAnsi="Arial" w:cs="Arial"/>
          <w:sz w:val="20"/>
          <w:szCs w:val="20"/>
          <w:lang w:eastAsia="es-ES_tradnl"/>
        </w:rPr>
        <w:t xml:space="preserve">[…] </w:t>
      </w:r>
      <w:r w:rsidRPr="005F6C9A">
        <w:rPr>
          <w:rFonts w:ascii="Arial" w:eastAsia="Times New Roman" w:hAnsi="Arial" w:cs="Arial"/>
          <w:color w:val="000000"/>
          <w:sz w:val="20"/>
          <w:szCs w:val="20"/>
          <w:lang w:val="es-ES_tradnl" w:eastAsia="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r w:rsidRPr="005F6C9A">
        <w:rPr>
          <w:rFonts w:ascii="Arial" w:hAnsi="Arial" w:cs="Arial"/>
          <w:color w:val="000000" w:themeColor="text1"/>
          <w:sz w:val="20"/>
          <w:szCs w:val="20"/>
          <w:lang w:val="es-ES_tradnl"/>
        </w:rPr>
        <w:t xml:space="preserve">por lo que se presenta tanto la derogación como el decaimiento de los criterios de desempate previstos en el Decreto 1082 de 2015 para estas modalidades de selección. </w:t>
      </w:r>
      <w:r w:rsidRPr="005F6C9A">
        <w:rPr>
          <w:rFonts w:ascii="Arial" w:eastAsia="Calibri" w:hAnsi="Arial" w:cs="Arial"/>
          <w:bCs/>
          <w:color w:val="000000" w:themeColor="text1"/>
          <w:sz w:val="20"/>
          <w:szCs w:val="20"/>
        </w:rPr>
        <w:t xml:space="preserve">   </w:t>
      </w:r>
      <w:r w:rsidRPr="005F6C9A">
        <w:rPr>
          <w:rFonts w:ascii="Arial" w:hAnsi="Arial" w:cs="Arial"/>
          <w:color w:val="000000" w:themeColor="text1"/>
          <w:sz w:val="20"/>
          <w:szCs w:val="20"/>
          <w:lang w:val="es-ES_tradnl"/>
        </w:rPr>
        <w:t xml:space="preserve"> </w:t>
      </w:r>
    </w:p>
    <w:p w14:paraId="3DA466BB" w14:textId="77777777" w:rsidR="00C4589F" w:rsidRPr="005F6C9A" w:rsidRDefault="00C4589F" w:rsidP="005F6C9A">
      <w:pPr>
        <w:spacing w:after="0" w:line="240" w:lineRule="auto"/>
        <w:jc w:val="both"/>
        <w:rPr>
          <w:rFonts w:ascii="Arial" w:eastAsia="Times New Roman" w:hAnsi="Arial" w:cs="Arial"/>
          <w:noProof/>
          <w:color w:val="000000"/>
          <w:sz w:val="20"/>
          <w:szCs w:val="20"/>
          <w:lang w:val="es-ES_tradnl" w:eastAsia="es-ES_tradnl"/>
        </w:rPr>
      </w:pPr>
      <w:r w:rsidRPr="005F6C9A">
        <w:rPr>
          <w:rFonts w:ascii="Arial" w:eastAsia="Calibri" w:hAnsi="Arial" w:cs="Arial"/>
          <w:sz w:val="20"/>
          <w:szCs w:val="20"/>
          <w:lang w:val="es-ES_tradnl" w:eastAsia="es-ES_tradnl"/>
        </w:rPr>
        <w:br w:type="page"/>
      </w:r>
    </w:p>
    <w:p w14:paraId="71A093A1" w14:textId="77777777" w:rsidR="00504AE6" w:rsidRDefault="00504AE6" w:rsidP="007D1C30">
      <w:pPr>
        <w:spacing w:after="0"/>
        <w:rPr>
          <w:rFonts w:ascii="Arial" w:hAnsi="Arial" w:cs="Arial"/>
          <w:szCs w:val="20"/>
        </w:rPr>
      </w:pPr>
      <w:bookmarkStart w:id="8" w:name="_Hlk64030265"/>
    </w:p>
    <w:p w14:paraId="6B0702BB" w14:textId="10D1C667" w:rsidR="00504AE6" w:rsidRDefault="00C64B04" w:rsidP="00C64B04">
      <w:pPr>
        <w:spacing w:after="0"/>
        <w:jc w:val="right"/>
        <w:rPr>
          <w:rFonts w:ascii="Arial" w:hAnsi="Arial" w:cs="Arial"/>
          <w:szCs w:val="20"/>
        </w:rPr>
      </w:pPr>
      <w:r>
        <w:rPr>
          <w:noProof/>
        </w:rPr>
        <w:drawing>
          <wp:inline distT="0" distB="0" distL="0" distR="0" wp14:anchorId="5AB52114" wp14:editId="71C2D6ED">
            <wp:extent cx="2610534" cy="76775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296" t="33908" r="13338" b="50731"/>
                    <a:stretch/>
                  </pic:blipFill>
                  <pic:spPr bwMode="auto">
                    <a:xfrm>
                      <a:off x="0" y="0"/>
                      <a:ext cx="2657796" cy="781651"/>
                    </a:xfrm>
                    <a:prstGeom prst="rect">
                      <a:avLst/>
                    </a:prstGeom>
                    <a:ln>
                      <a:noFill/>
                    </a:ln>
                    <a:extLst>
                      <a:ext uri="{53640926-AAD7-44D8-BBD7-CCE9431645EC}">
                        <a14:shadowObscured xmlns:a14="http://schemas.microsoft.com/office/drawing/2010/main"/>
                      </a:ext>
                    </a:extLst>
                  </pic:spPr>
                </pic:pic>
              </a:graphicData>
            </a:graphic>
          </wp:inline>
        </w:drawing>
      </w:r>
    </w:p>
    <w:bookmarkEnd w:id="8"/>
    <w:p w14:paraId="5B820F0C" w14:textId="04F9A5EF" w:rsidR="00D519B1" w:rsidRDefault="00D519B1" w:rsidP="00325FDD">
      <w:pPr>
        <w:spacing w:after="0" w:line="240" w:lineRule="auto"/>
        <w:jc w:val="right"/>
        <w:rPr>
          <w:rFonts w:ascii="Arial" w:eastAsia="Calibri" w:hAnsi="Arial" w:cs="Arial"/>
          <w:color w:val="000000"/>
          <w:szCs w:val="24"/>
          <w:lang w:val="es-ES_tradnl" w:eastAsia="es-ES_tradnl"/>
        </w:rPr>
      </w:pPr>
    </w:p>
    <w:p w14:paraId="6044E4B0" w14:textId="0AE3D91E" w:rsidR="00325FDD" w:rsidRPr="00C64B04" w:rsidRDefault="00C64B04" w:rsidP="00C4589F">
      <w:pPr>
        <w:spacing w:after="0" w:line="240" w:lineRule="auto"/>
        <w:jc w:val="both"/>
        <w:rPr>
          <w:rFonts w:ascii="Arial" w:hAnsi="Arial" w:cs="Arial"/>
        </w:rPr>
      </w:pPr>
      <w:r w:rsidRPr="00C64B04">
        <w:rPr>
          <w:rFonts w:ascii="Arial" w:hAnsi="Arial" w:cs="Arial"/>
        </w:rPr>
        <w:t xml:space="preserve">Bogotá, 04 </w:t>
      </w:r>
      <w:proofErr w:type="gramStart"/>
      <w:r w:rsidRPr="00C64B04">
        <w:rPr>
          <w:rFonts w:ascii="Arial" w:hAnsi="Arial" w:cs="Arial"/>
        </w:rPr>
        <w:t>Mayo</w:t>
      </w:r>
      <w:proofErr w:type="gramEnd"/>
      <w:r w:rsidRPr="00C64B04">
        <w:rPr>
          <w:rFonts w:ascii="Arial" w:hAnsi="Arial" w:cs="Arial"/>
        </w:rPr>
        <w:t xml:space="preserve"> 2021</w:t>
      </w:r>
    </w:p>
    <w:p w14:paraId="620CFD2F" w14:textId="77777777" w:rsidR="00C64B04" w:rsidRDefault="00C64B04" w:rsidP="00C4589F">
      <w:pPr>
        <w:spacing w:after="0" w:line="240" w:lineRule="auto"/>
        <w:jc w:val="both"/>
        <w:rPr>
          <w:rFonts w:ascii="Arial" w:eastAsia="Calibri" w:hAnsi="Arial" w:cs="Arial"/>
          <w:color w:val="000000"/>
          <w:szCs w:val="24"/>
          <w:lang w:val="es-ES_tradnl" w:eastAsia="es-ES_tradnl"/>
        </w:rPr>
      </w:pPr>
    </w:p>
    <w:p w14:paraId="6179C34C" w14:textId="27881B60" w:rsidR="00C4589F" w:rsidRPr="00C4589F" w:rsidRDefault="00C4589F" w:rsidP="00C4589F">
      <w:pPr>
        <w:spacing w:after="0" w:line="240" w:lineRule="auto"/>
        <w:jc w:val="both"/>
        <w:rPr>
          <w:rFonts w:ascii="Arial" w:eastAsia="Calibri" w:hAnsi="Arial" w:cs="Arial"/>
          <w:color w:val="000000"/>
          <w:szCs w:val="24"/>
          <w:lang w:val="es-ES_tradnl" w:eastAsia="es-ES_tradnl"/>
        </w:rPr>
      </w:pPr>
      <w:r w:rsidRPr="00C4589F">
        <w:rPr>
          <w:rFonts w:ascii="Arial" w:eastAsia="Calibri" w:hAnsi="Arial" w:cs="Arial"/>
          <w:color w:val="000000"/>
          <w:szCs w:val="24"/>
          <w:lang w:val="es-ES_tradnl" w:eastAsia="es-ES_tradnl"/>
        </w:rPr>
        <w:t>Señor</w:t>
      </w:r>
    </w:p>
    <w:p w14:paraId="76E18D91" w14:textId="70C6878E" w:rsidR="00C4589F" w:rsidRDefault="00C4589F" w:rsidP="00C4589F">
      <w:pPr>
        <w:spacing w:after="0" w:line="240" w:lineRule="auto"/>
        <w:jc w:val="both"/>
        <w:rPr>
          <w:rFonts w:ascii="Arial" w:hAnsi="Arial" w:cs="Arial"/>
          <w:b/>
          <w:bCs/>
        </w:rPr>
      </w:pPr>
      <w:r w:rsidRPr="00C4589F">
        <w:rPr>
          <w:rFonts w:ascii="Arial" w:hAnsi="Arial" w:cs="Arial"/>
          <w:b/>
          <w:bCs/>
        </w:rPr>
        <w:t>Nilton Javier Caicedo Vidal</w:t>
      </w:r>
    </w:p>
    <w:p w14:paraId="0B4B4827" w14:textId="1EBB6BAD" w:rsidR="00C4589F" w:rsidRPr="00C4589F" w:rsidRDefault="00C4589F" w:rsidP="00C4589F">
      <w:pPr>
        <w:spacing w:after="0" w:line="240" w:lineRule="auto"/>
        <w:jc w:val="both"/>
        <w:rPr>
          <w:rFonts w:ascii="Arial" w:eastAsia="Calibri" w:hAnsi="Arial" w:cs="Arial"/>
          <w:color w:val="000000"/>
          <w:szCs w:val="24"/>
          <w:lang w:val="es-ES_tradnl" w:eastAsia="es-ES_tradnl"/>
        </w:rPr>
      </w:pPr>
      <w:r w:rsidRPr="00C4589F">
        <w:rPr>
          <w:rFonts w:ascii="Arial" w:hAnsi="Arial" w:cs="Arial"/>
        </w:rPr>
        <w:t>Cali, Valle del Cauca</w:t>
      </w:r>
    </w:p>
    <w:p w14:paraId="4600EAE3" w14:textId="2451FBBF" w:rsidR="00C4589F" w:rsidRDefault="00C4589F" w:rsidP="00C4589F">
      <w:pPr>
        <w:spacing w:after="0" w:line="240" w:lineRule="auto"/>
        <w:jc w:val="both"/>
        <w:rPr>
          <w:rFonts w:ascii="Arial" w:eastAsia="Calibri" w:hAnsi="Arial" w:cs="Arial"/>
          <w:color w:val="000000"/>
          <w:szCs w:val="24"/>
          <w:lang w:val="es-ES_tradnl" w:eastAsia="es-ES_tradnl"/>
        </w:rPr>
      </w:pPr>
    </w:p>
    <w:p w14:paraId="2C3FE001" w14:textId="77777777" w:rsidR="00C4589F" w:rsidRPr="00C4589F" w:rsidRDefault="00C4589F" w:rsidP="00C4589F">
      <w:pPr>
        <w:spacing w:after="0" w:line="240" w:lineRule="auto"/>
        <w:jc w:val="both"/>
        <w:rPr>
          <w:rFonts w:ascii="Arial" w:eastAsia="Calibri" w:hAnsi="Arial" w:cs="Arial"/>
          <w:color w:val="000000"/>
          <w:szCs w:val="24"/>
          <w:lang w:val="es-ES_tradnl" w:eastAsia="es-ES_tradnl"/>
        </w:rPr>
      </w:pPr>
    </w:p>
    <w:p w14:paraId="29816287" w14:textId="32E91870" w:rsidR="00C4589F" w:rsidRPr="00C4589F" w:rsidRDefault="00C4589F" w:rsidP="00C4589F">
      <w:pPr>
        <w:spacing w:after="0" w:line="240" w:lineRule="auto"/>
        <w:rPr>
          <w:rFonts w:ascii="Arial" w:eastAsia="Calibri" w:hAnsi="Arial" w:cs="Arial"/>
          <w:b/>
          <w:bCs/>
          <w:color w:val="000000"/>
          <w:szCs w:val="24"/>
          <w:lang w:val="es-ES_tradnl" w:eastAsia="es-ES_tradnl"/>
        </w:rPr>
      </w:pPr>
      <w:r w:rsidRPr="00C4589F">
        <w:rPr>
          <w:rFonts w:ascii="Arial" w:eastAsia="Calibri" w:hAnsi="Arial" w:cs="Arial"/>
          <w:b/>
          <w:bCs/>
          <w:color w:val="000000"/>
          <w:szCs w:val="24"/>
          <w:lang w:val="es-ES_tradnl" w:eastAsia="es-ES_tradnl"/>
        </w:rPr>
        <w:t xml:space="preserve">                                       </w:t>
      </w:r>
      <w:r w:rsidR="00B631DF">
        <w:rPr>
          <w:rFonts w:ascii="Arial" w:eastAsia="Calibri" w:hAnsi="Arial" w:cs="Arial"/>
          <w:b/>
          <w:bCs/>
          <w:color w:val="000000"/>
          <w:szCs w:val="24"/>
          <w:lang w:val="es-ES_tradnl" w:eastAsia="es-ES_tradnl"/>
        </w:rPr>
        <w:t xml:space="preserve"> </w:t>
      </w:r>
      <w:r w:rsidRPr="00C4589F">
        <w:rPr>
          <w:rFonts w:ascii="Arial" w:eastAsia="Calibri" w:hAnsi="Arial" w:cs="Arial"/>
          <w:b/>
          <w:bCs/>
          <w:color w:val="000000"/>
          <w:szCs w:val="24"/>
          <w:lang w:val="es-ES_tradnl" w:eastAsia="es-ES_tradnl"/>
        </w:rPr>
        <w:t xml:space="preserve">Concepto C ‒ </w:t>
      </w:r>
      <w:r>
        <w:rPr>
          <w:rFonts w:ascii="Arial" w:eastAsia="Calibri" w:hAnsi="Arial" w:cs="Arial"/>
          <w:b/>
          <w:bCs/>
          <w:color w:val="000000"/>
          <w:szCs w:val="24"/>
          <w:lang w:val="es-ES_tradnl" w:eastAsia="es-ES_tradnl"/>
        </w:rPr>
        <w:t>195</w:t>
      </w:r>
      <w:r w:rsidRPr="00C4589F">
        <w:rPr>
          <w:rFonts w:ascii="Arial" w:eastAsia="Calibri" w:hAnsi="Arial" w:cs="Arial"/>
          <w:b/>
          <w:bCs/>
          <w:color w:val="000000"/>
          <w:szCs w:val="24"/>
          <w:lang w:val="es-ES_tradnl" w:eastAsia="es-ES_tradnl"/>
        </w:rPr>
        <w:t xml:space="preserve"> de 2021</w:t>
      </w:r>
    </w:p>
    <w:p w14:paraId="63AD988D" w14:textId="77777777" w:rsidR="00C4589F" w:rsidRPr="00C4589F" w:rsidRDefault="00C4589F" w:rsidP="00C4589F">
      <w:pPr>
        <w:spacing w:after="0" w:line="240" w:lineRule="auto"/>
        <w:jc w:val="both"/>
        <w:rPr>
          <w:rFonts w:ascii="Arial" w:eastAsia="Calibri" w:hAnsi="Arial" w:cs="Arial"/>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C4589F" w:rsidRPr="00C4589F" w14:paraId="5EA2D997" w14:textId="77777777" w:rsidTr="00F744D8">
        <w:tc>
          <w:tcPr>
            <w:tcW w:w="2410" w:type="dxa"/>
          </w:tcPr>
          <w:p w14:paraId="15C24C51" w14:textId="77777777" w:rsidR="00C4589F" w:rsidRPr="00C4589F" w:rsidRDefault="00C4589F" w:rsidP="00C4589F">
            <w:pPr>
              <w:jc w:val="both"/>
              <w:rPr>
                <w:rFonts w:ascii="Arial" w:eastAsia="Calibri" w:hAnsi="Arial" w:cs="Arial"/>
                <w:color w:val="000000"/>
                <w:szCs w:val="24"/>
                <w:lang w:val="es-ES_tradnl" w:eastAsia="es-ES_tradnl"/>
              </w:rPr>
            </w:pPr>
            <w:r w:rsidRPr="00C4589F">
              <w:rPr>
                <w:rFonts w:ascii="Arial" w:eastAsia="Calibri" w:hAnsi="Arial" w:cs="Arial"/>
                <w:b/>
                <w:color w:val="000000"/>
                <w:szCs w:val="24"/>
                <w:lang w:val="es-ES_tradnl" w:eastAsia="es-ES_tradnl"/>
              </w:rPr>
              <w:t>Temas:</w:t>
            </w:r>
            <w:r w:rsidRPr="00C4589F">
              <w:rPr>
                <w:rFonts w:ascii="Arial" w:eastAsia="Calibri" w:hAnsi="Arial" w:cs="Arial"/>
                <w:color w:val="000000"/>
                <w:szCs w:val="24"/>
                <w:lang w:val="es-ES_tradnl" w:eastAsia="es-ES_tradnl"/>
              </w:rPr>
              <w:t xml:space="preserve">                                      </w:t>
            </w:r>
          </w:p>
        </w:tc>
        <w:tc>
          <w:tcPr>
            <w:tcW w:w="6516" w:type="dxa"/>
          </w:tcPr>
          <w:p w14:paraId="59F672E6" w14:textId="335B483F" w:rsidR="00D519B1" w:rsidRPr="00C4589F" w:rsidRDefault="00F744D8" w:rsidP="00F744D8">
            <w:pPr>
              <w:jc w:val="both"/>
              <w:rPr>
                <w:rFonts w:ascii="Arial" w:eastAsia="Calibri" w:hAnsi="Arial" w:cs="Arial"/>
                <w:color w:val="000000"/>
                <w:szCs w:val="24"/>
                <w:lang w:val="es-ES_tradnl" w:eastAsia="es-ES_tradnl"/>
              </w:rPr>
            </w:pPr>
            <w:r w:rsidRPr="004D5245">
              <w:rPr>
                <w:rFonts w:ascii="Arial" w:eastAsia="Calibri" w:hAnsi="Arial" w:cs="Arial"/>
                <w:bCs/>
                <w:szCs w:val="24"/>
                <w:lang w:val="es-ES_tradnl" w:eastAsia="es-ES_tradnl"/>
              </w:rPr>
              <w:t xml:space="preserve">SELECCIÓN OBJETIVA </w:t>
            </w:r>
            <w:r w:rsidRPr="004D5245">
              <w:rPr>
                <w:rFonts w:ascii="Arial" w:eastAsia="Calibri" w:hAnsi="Arial" w:cs="Arial"/>
                <w:bCs/>
                <w:color w:val="000000"/>
                <w:szCs w:val="24"/>
                <w:lang w:val="es-ES_tradnl" w:eastAsia="es-ES_tradnl"/>
              </w:rPr>
              <w:t>–</w:t>
            </w:r>
            <w:r w:rsidRPr="004D5245">
              <w:rPr>
                <w:rFonts w:ascii="Arial" w:eastAsia="Calibri" w:hAnsi="Arial" w:cs="Arial"/>
                <w:bCs/>
                <w:szCs w:val="24"/>
                <w:lang w:val="es-ES_tradnl" w:eastAsia="es-ES_tradnl"/>
              </w:rPr>
              <w:t xml:space="preserve"> Contratación estatal </w:t>
            </w:r>
            <w:r w:rsidRPr="004D5245">
              <w:rPr>
                <w:rFonts w:ascii="Arial" w:eastAsia="Calibri" w:hAnsi="Arial" w:cs="Arial"/>
                <w:bCs/>
                <w:color w:val="000000"/>
                <w:szCs w:val="24"/>
                <w:lang w:val="es-ES_tradnl" w:eastAsia="es-ES_tradnl"/>
              </w:rPr>
              <w:t>– Concepto</w:t>
            </w:r>
            <w:r w:rsidRPr="004D5245">
              <w:rPr>
                <w:rFonts w:ascii="Arial" w:eastAsia="Calibri" w:hAnsi="Arial" w:cs="Arial"/>
                <w:bCs/>
                <w:szCs w:val="24"/>
                <w:lang w:val="es-ES_tradnl" w:eastAsia="es-ES_tradnl"/>
              </w:rPr>
              <w:t xml:space="preserve"> / EMPATE </w:t>
            </w:r>
            <w:r w:rsidRPr="004D5245">
              <w:rPr>
                <w:rFonts w:ascii="Arial" w:eastAsia="Calibri" w:hAnsi="Arial" w:cs="Arial"/>
                <w:bCs/>
                <w:color w:val="000000"/>
                <w:szCs w:val="24"/>
                <w:lang w:val="es-ES_tradnl" w:eastAsia="es-ES_tradnl"/>
              </w:rPr>
              <w:t>–</w:t>
            </w:r>
            <w:r w:rsidRPr="004D5245">
              <w:rPr>
                <w:rFonts w:ascii="Arial" w:eastAsia="Calibri" w:hAnsi="Arial" w:cs="Arial"/>
                <w:bCs/>
                <w:szCs w:val="24"/>
                <w:lang w:val="es-ES_tradnl" w:eastAsia="es-ES_tradnl"/>
              </w:rPr>
              <w:t xml:space="preserve"> Procedimiento de selección </w:t>
            </w:r>
            <w:r w:rsidRPr="004D5245">
              <w:rPr>
                <w:rFonts w:ascii="Arial" w:eastAsia="Calibri" w:hAnsi="Arial" w:cs="Arial"/>
                <w:bCs/>
                <w:color w:val="000000"/>
                <w:szCs w:val="24"/>
                <w:lang w:val="es-ES_tradnl" w:eastAsia="es-ES_tradnl"/>
              </w:rPr>
              <w:t>– Concepto</w:t>
            </w:r>
            <w:r w:rsidRPr="004D5245">
              <w:rPr>
                <w:rFonts w:ascii="Arial" w:eastAsia="Calibri" w:hAnsi="Arial" w:cs="Arial"/>
                <w:bCs/>
                <w:szCs w:val="24"/>
                <w:lang w:val="es-ES_tradnl" w:eastAsia="es-ES_tradnl"/>
              </w:rPr>
              <w:t xml:space="preserve"> / FACTORES DE DESEMPATE </w:t>
            </w:r>
            <w:r w:rsidRPr="004D5245">
              <w:rPr>
                <w:rFonts w:ascii="Arial" w:eastAsia="Calibri" w:hAnsi="Arial" w:cs="Arial"/>
                <w:bCs/>
                <w:color w:val="000000"/>
                <w:szCs w:val="24"/>
                <w:lang w:val="es-ES_tradnl" w:eastAsia="es-ES_tradnl"/>
              </w:rPr>
              <w:t>–</w:t>
            </w:r>
            <w:r w:rsidRPr="004D5245">
              <w:rPr>
                <w:rFonts w:ascii="Arial" w:eastAsia="Calibri" w:hAnsi="Arial" w:cs="Arial"/>
                <w:bCs/>
                <w:szCs w:val="24"/>
                <w:lang w:val="es-ES_tradnl" w:eastAsia="es-ES_tradnl"/>
              </w:rPr>
              <w:t xml:space="preserve"> Características </w:t>
            </w:r>
            <w:r w:rsidRPr="004D5245">
              <w:rPr>
                <w:rFonts w:ascii="Arial" w:eastAsia="Calibri" w:hAnsi="Arial" w:cs="Arial"/>
                <w:bCs/>
                <w:color w:val="000000"/>
                <w:szCs w:val="24"/>
                <w:lang w:val="es-ES_tradnl" w:eastAsia="es-ES_tradnl"/>
              </w:rPr>
              <w:t>– Límites</w:t>
            </w:r>
            <w:r w:rsidRPr="004D5245">
              <w:rPr>
                <w:rFonts w:ascii="Arial" w:eastAsia="Calibri" w:hAnsi="Arial" w:cs="Arial"/>
                <w:bCs/>
                <w:szCs w:val="24"/>
                <w:lang w:val="es-ES_tradnl" w:eastAsia="es-ES_tradnl"/>
              </w:rPr>
              <w:t xml:space="preserve"> / LEY DE EMPRENDIMIENTO </w:t>
            </w:r>
            <w:r w:rsidRPr="004D5245">
              <w:rPr>
                <w:rFonts w:ascii="Arial" w:eastAsia="Calibri" w:hAnsi="Arial" w:cs="Arial"/>
                <w:bCs/>
                <w:color w:val="000000"/>
                <w:szCs w:val="24"/>
                <w:lang w:val="es-ES_tradnl" w:eastAsia="es-ES_tradnl"/>
              </w:rPr>
              <w:t>–</w:t>
            </w:r>
            <w:r w:rsidRPr="004D5245">
              <w:rPr>
                <w:rFonts w:ascii="Arial" w:eastAsia="Calibri" w:hAnsi="Arial" w:cs="Arial"/>
                <w:bCs/>
                <w:szCs w:val="24"/>
                <w:lang w:val="es-ES_tradnl" w:eastAsia="es-ES_tradnl"/>
              </w:rPr>
              <w:t xml:space="preserve"> Ley 2069 de 2020 </w:t>
            </w:r>
            <w:r w:rsidRPr="004D5245">
              <w:rPr>
                <w:rFonts w:ascii="Arial" w:eastAsia="Calibri" w:hAnsi="Arial" w:cs="Arial"/>
                <w:bCs/>
                <w:color w:val="000000"/>
                <w:szCs w:val="24"/>
                <w:lang w:val="es-ES_tradnl" w:eastAsia="es-ES_tradnl"/>
              </w:rPr>
              <w:t xml:space="preserve">– Vigencia </w:t>
            </w:r>
            <w:r w:rsidRPr="004D5245">
              <w:rPr>
                <w:rFonts w:ascii="Arial" w:eastAsia="Calibri" w:hAnsi="Arial" w:cs="Arial"/>
                <w:bCs/>
                <w:szCs w:val="24"/>
                <w:lang w:val="es-ES_tradnl" w:eastAsia="es-ES_tradnl"/>
              </w:rPr>
              <w:t xml:space="preserve">/ DECRETO 1082 DE 2015 </w:t>
            </w:r>
            <w:r w:rsidRPr="004D5245">
              <w:rPr>
                <w:rFonts w:ascii="Arial" w:eastAsia="Calibri" w:hAnsi="Arial" w:cs="Arial"/>
                <w:bCs/>
                <w:color w:val="000000"/>
                <w:szCs w:val="24"/>
                <w:lang w:val="es-ES_tradnl" w:eastAsia="es-ES_tradnl"/>
              </w:rPr>
              <w:t>–</w:t>
            </w:r>
            <w:r w:rsidRPr="004D5245">
              <w:rPr>
                <w:rFonts w:ascii="Arial" w:eastAsia="Calibri" w:hAnsi="Arial" w:cs="Arial"/>
                <w:bCs/>
                <w:szCs w:val="24"/>
                <w:lang w:val="es-ES_tradnl" w:eastAsia="es-ES_tradnl"/>
              </w:rPr>
              <w:t xml:space="preserve"> Artículo 2.2.1.1.2.2.9. </w:t>
            </w:r>
            <w:r w:rsidRPr="004D5245">
              <w:rPr>
                <w:rFonts w:ascii="Arial" w:eastAsia="Calibri" w:hAnsi="Arial" w:cs="Arial"/>
                <w:bCs/>
                <w:color w:val="000000"/>
                <w:szCs w:val="24"/>
                <w:lang w:val="es-ES_tradnl" w:eastAsia="es-ES_tradnl"/>
              </w:rPr>
              <w:t xml:space="preserve">– Derogatoria – Decaimiento / </w:t>
            </w:r>
            <w:r w:rsidRPr="004D5245">
              <w:rPr>
                <w:rFonts w:ascii="Arial" w:eastAsia="Calibri" w:hAnsi="Arial" w:cs="Arial"/>
                <w:bCs/>
                <w:szCs w:val="24"/>
                <w:lang w:val="es-ES_tradnl" w:eastAsia="es-ES_tradnl"/>
              </w:rPr>
              <w:t xml:space="preserve">DECRETO 1082 DE 2015 </w:t>
            </w:r>
            <w:r w:rsidRPr="004D5245">
              <w:rPr>
                <w:rFonts w:ascii="Arial" w:eastAsia="Calibri" w:hAnsi="Arial" w:cs="Arial"/>
                <w:bCs/>
                <w:color w:val="000000"/>
                <w:szCs w:val="24"/>
                <w:lang w:val="es-ES_tradnl" w:eastAsia="es-ES_tradnl"/>
              </w:rPr>
              <w:t xml:space="preserve">– Factores de desempate – Derogatoria – Artículo 35 − </w:t>
            </w:r>
            <w:r w:rsidRPr="004D5245">
              <w:rPr>
                <w:rFonts w:ascii="Arial" w:eastAsia="Calibri" w:hAnsi="Arial" w:cs="Arial"/>
                <w:bCs/>
                <w:szCs w:val="24"/>
                <w:lang w:val="es-ES_tradnl" w:eastAsia="es-ES_tradnl"/>
              </w:rPr>
              <w:t>Ley 2069 de 2020 – Subasta inversa – Mínima cuantía</w:t>
            </w:r>
          </w:p>
        </w:tc>
      </w:tr>
      <w:tr w:rsidR="00C4589F" w:rsidRPr="00C4589F" w14:paraId="62E7F8DC" w14:textId="77777777" w:rsidTr="00F744D8">
        <w:tc>
          <w:tcPr>
            <w:tcW w:w="2410" w:type="dxa"/>
          </w:tcPr>
          <w:p w14:paraId="28824F3F" w14:textId="77777777" w:rsidR="00C4589F" w:rsidRPr="00C4589F" w:rsidRDefault="00C4589F" w:rsidP="00C4589F">
            <w:pPr>
              <w:spacing w:before="120"/>
              <w:jc w:val="both"/>
              <w:rPr>
                <w:rFonts w:ascii="Arial" w:eastAsia="Calibri" w:hAnsi="Arial" w:cs="Arial"/>
                <w:b/>
                <w:color w:val="000000"/>
                <w:szCs w:val="24"/>
                <w:lang w:val="es-ES_tradnl" w:eastAsia="es-ES_tradnl"/>
              </w:rPr>
            </w:pPr>
            <w:r w:rsidRPr="00C4589F">
              <w:rPr>
                <w:rFonts w:ascii="Arial" w:eastAsia="Calibri" w:hAnsi="Arial" w:cs="Arial"/>
                <w:b/>
                <w:color w:val="000000"/>
                <w:szCs w:val="24"/>
                <w:lang w:val="es-ES_tradnl" w:eastAsia="es-ES_tradnl"/>
              </w:rPr>
              <w:t>Radicación:</w:t>
            </w:r>
            <w:r w:rsidRPr="00C4589F">
              <w:rPr>
                <w:rFonts w:ascii="Arial" w:eastAsia="Calibri" w:hAnsi="Arial" w:cs="Arial"/>
                <w:color w:val="000000"/>
                <w:szCs w:val="24"/>
                <w:lang w:val="es-ES_tradnl" w:eastAsia="es-ES_tradnl"/>
              </w:rPr>
              <w:t xml:space="preserve">                              </w:t>
            </w:r>
          </w:p>
        </w:tc>
        <w:tc>
          <w:tcPr>
            <w:tcW w:w="6516" w:type="dxa"/>
          </w:tcPr>
          <w:p w14:paraId="33230E4A" w14:textId="2D005E8D" w:rsidR="00C4589F" w:rsidRPr="00C4589F" w:rsidRDefault="00C4589F" w:rsidP="00C4589F">
            <w:pPr>
              <w:spacing w:before="120"/>
              <w:jc w:val="both"/>
              <w:rPr>
                <w:rFonts w:ascii="Arial" w:eastAsia="Calibri" w:hAnsi="Arial" w:cs="Arial"/>
                <w:color w:val="000000"/>
                <w:szCs w:val="24"/>
                <w:lang w:val="es-ES_tradnl" w:eastAsia="es-ES_tradnl"/>
              </w:rPr>
            </w:pPr>
            <w:r w:rsidRPr="00C4589F">
              <w:rPr>
                <w:rFonts w:ascii="Arial" w:eastAsia="Calibri" w:hAnsi="Arial" w:cs="Arial"/>
                <w:color w:val="000000"/>
                <w:szCs w:val="24"/>
                <w:lang w:val="es-ES_tradnl" w:eastAsia="es-ES_tradnl"/>
              </w:rPr>
              <w:t>Respuesta a consulta # P20210318002270</w:t>
            </w:r>
          </w:p>
        </w:tc>
      </w:tr>
    </w:tbl>
    <w:p w14:paraId="19B89F93" w14:textId="77777777" w:rsidR="00B631DF" w:rsidRDefault="00B631DF" w:rsidP="00C4589F">
      <w:pPr>
        <w:spacing w:after="0" w:line="240" w:lineRule="auto"/>
        <w:jc w:val="both"/>
        <w:rPr>
          <w:rFonts w:ascii="Arial" w:eastAsia="Calibri" w:hAnsi="Arial" w:cs="Arial"/>
          <w:color w:val="000000"/>
          <w:szCs w:val="24"/>
          <w:lang w:val="es-ES_tradnl" w:eastAsia="es-ES_tradnl"/>
        </w:rPr>
      </w:pPr>
    </w:p>
    <w:p w14:paraId="3E109A4D" w14:textId="77777777" w:rsidR="00B631DF" w:rsidRDefault="00B631DF" w:rsidP="00C4589F">
      <w:pPr>
        <w:spacing w:after="0" w:line="240" w:lineRule="auto"/>
        <w:jc w:val="both"/>
        <w:rPr>
          <w:rFonts w:ascii="Arial" w:eastAsia="Calibri" w:hAnsi="Arial" w:cs="Arial"/>
          <w:color w:val="000000"/>
          <w:szCs w:val="24"/>
          <w:lang w:val="es-ES_tradnl" w:eastAsia="es-ES_tradnl"/>
        </w:rPr>
      </w:pPr>
    </w:p>
    <w:p w14:paraId="7842F0CD" w14:textId="5ACE794E" w:rsidR="00C4589F" w:rsidRPr="00C4589F" w:rsidRDefault="00C4589F" w:rsidP="00C4589F">
      <w:pPr>
        <w:spacing w:after="0" w:line="240" w:lineRule="auto"/>
        <w:jc w:val="both"/>
        <w:rPr>
          <w:rFonts w:ascii="Arial" w:eastAsia="Calibri" w:hAnsi="Arial" w:cs="Arial"/>
          <w:color w:val="000000"/>
          <w:szCs w:val="24"/>
          <w:lang w:val="es-ES_tradnl" w:eastAsia="es-ES_tradnl"/>
        </w:rPr>
      </w:pPr>
      <w:r w:rsidRPr="00C4589F">
        <w:rPr>
          <w:rFonts w:ascii="Arial" w:eastAsia="Calibri" w:hAnsi="Arial" w:cs="Arial"/>
          <w:color w:val="000000"/>
          <w:szCs w:val="24"/>
          <w:lang w:val="es-ES_tradnl" w:eastAsia="es-ES_tradnl"/>
        </w:rPr>
        <w:t>Estimad</w:t>
      </w:r>
      <w:r>
        <w:rPr>
          <w:rFonts w:ascii="Arial" w:eastAsia="Calibri" w:hAnsi="Arial" w:cs="Arial"/>
          <w:color w:val="000000"/>
          <w:szCs w:val="24"/>
          <w:lang w:val="es-ES_tradnl" w:eastAsia="es-ES_tradnl"/>
        </w:rPr>
        <w:t>o</w:t>
      </w:r>
      <w:r w:rsidRPr="00C4589F">
        <w:rPr>
          <w:rFonts w:ascii="Arial" w:eastAsia="Calibri" w:hAnsi="Arial" w:cs="Arial"/>
          <w:color w:val="000000"/>
          <w:szCs w:val="24"/>
          <w:lang w:val="es-ES_tradnl" w:eastAsia="es-ES_tradnl"/>
        </w:rPr>
        <w:t xml:space="preserve"> señor </w:t>
      </w:r>
      <w:r w:rsidRPr="00C4589F">
        <w:rPr>
          <w:rFonts w:ascii="Arial" w:hAnsi="Arial" w:cs="Arial"/>
        </w:rPr>
        <w:t>Caicedo Vidal</w:t>
      </w:r>
      <w:r w:rsidRPr="00C4589F">
        <w:rPr>
          <w:rFonts w:ascii="Arial" w:eastAsia="Calibri" w:hAnsi="Arial" w:cs="Arial"/>
          <w:color w:val="000000"/>
          <w:szCs w:val="24"/>
          <w:lang w:val="es-ES_tradnl" w:eastAsia="es-ES_tradnl"/>
        </w:rPr>
        <w:t>:</w:t>
      </w:r>
    </w:p>
    <w:p w14:paraId="3B1CE35B" w14:textId="77777777" w:rsidR="00C4589F" w:rsidRPr="00C4589F" w:rsidRDefault="00C4589F" w:rsidP="00C4589F">
      <w:pPr>
        <w:spacing w:after="0" w:line="240" w:lineRule="auto"/>
        <w:jc w:val="both"/>
        <w:rPr>
          <w:rFonts w:ascii="Arial" w:eastAsia="Calibri" w:hAnsi="Arial" w:cs="Arial"/>
          <w:color w:val="000000"/>
          <w:szCs w:val="24"/>
          <w:lang w:val="es-ES_tradnl" w:eastAsia="es-ES_tradnl"/>
        </w:rPr>
      </w:pPr>
    </w:p>
    <w:p w14:paraId="5E4AEFB3" w14:textId="65F20C64" w:rsidR="00C4589F" w:rsidRPr="00C4589F" w:rsidRDefault="00C4589F" w:rsidP="00C4589F">
      <w:pPr>
        <w:spacing w:after="0" w:line="276" w:lineRule="auto"/>
        <w:jc w:val="both"/>
        <w:rPr>
          <w:rFonts w:ascii="Arial" w:eastAsia="Calibri" w:hAnsi="Arial" w:cs="Arial"/>
          <w:color w:val="000000"/>
          <w:szCs w:val="24"/>
          <w:lang w:val="es-ES_tradnl" w:eastAsia="es-ES_tradnl"/>
        </w:rPr>
      </w:pPr>
      <w:r w:rsidRPr="00C4589F">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szCs w:val="24"/>
          <w:lang w:val="es-ES_tradnl" w:eastAsia="es-ES_tradnl"/>
        </w:rPr>
        <w:t>18</w:t>
      </w:r>
      <w:r w:rsidRPr="00C4589F">
        <w:rPr>
          <w:rFonts w:ascii="Arial" w:eastAsia="Calibri" w:hAnsi="Arial" w:cs="Arial"/>
          <w:color w:val="000000"/>
          <w:szCs w:val="24"/>
          <w:lang w:val="es-ES_tradnl" w:eastAsia="es-ES_tradnl"/>
        </w:rPr>
        <w:t xml:space="preserve"> de </w:t>
      </w:r>
      <w:r>
        <w:rPr>
          <w:rFonts w:ascii="Arial" w:eastAsia="Calibri" w:hAnsi="Arial" w:cs="Arial"/>
          <w:color w:val="000000"/>
          <w:szCs w:val="24"/>
          <w:lang w:val="es-ES_tradnl" w:eastAsia="es-ES_tradnl"/>
        </w:rPr>
        <w:t xml:space="preserve">marzo </w:t>
      </w:r>
      <w:r w:rsidRPr="00C4589F">
        <w:rPr>
          <w:rFonts w:ascii="Arial" w:eastAsia="Calibri" w:hAnsi="Arial" w:cs="Arial"/>
          <w:color w:val="000000"/>
          <w:szCs w:val="24"/>
          <w:lang w:val="es-ES_tradnl" w:eastAsia="es-ES_tradnl"/>
        </w:rPr>
        <w:t>del 2021.</w:t>
      </w:r>
    </w:p>
    <w:p w14:paraId="7BDA9777" w14:textId="77777777" w:rsidR="00C4589F" w:rsidRPr="00C4589F" w:rsidRDefault="00C4589F" w:rsidP="00C4589F">
      <w:pPr>
        <w:spacing w:after="0" w:line="276" w:lineRule="auto"/>
        <w:jc w:val="both"/>
        <w:rPr>
          <w:rFonts w:ascii="Arial" w:eastAsia="Calibri" w:hAnsi="Arial" w:cs="Arial"/>
          <w:b/>
          <w:color w:val="000000"/>
          <w:szCs w:val="24"/>
          <w:lang w:val="es-ES_tradnl" w:eastAsia="es-ES_tradnl"/>
        </w:rPr>
      </w:pPr>
    </w:p>
    <w:p w14:paraId="0BF1B096" w14:textId="380D4275" w:rsidR="00C4589F" w:rsidRPr="00C4589F" w:rsidRDefault="00C4589F" w:rsidP="00C4589F">
      <w:pPr>
        <w:pStyle w:val="Sinespaciado"/>
        <w:rPr>
          <w:rFonts w:ascii="Arial" w:hAnsi="Arial" w:cs="Arial"/>
          <w:b/>
          <w:bCs/>
          <w:lang w:val="es-ES_tradnl"/>
        </w:rPr>
      </w:pPr>
      <w:r w:rsidRPr="00C4589F">
        <w:rPr>
          <w:rFonts w:ascii="Arial" w:hAnsi="Arial" w:cs="Arial"/>
          <w:b/>
          <w:bCs/>
          <w:lang w:val="es-ES_tradnl"/>
        </w:rPr>
        <w:t xml:space="preserve">1. Problema planteado </w:t>
      </w:r>
    </w:p>
    <w:p w14:paraId="521023D0" w14:textId="77777777" w:rsidR="00C4589F" w:rsidRPr="00C4589F" w:rsidRDefault="00C4589F" w:rsidP="00C4589F">
      <w:pPr>
        <w:tabs>
          <w:tab w:val="left" w:pos="426"/>
        </w:tabs>
        <w:spacing w:after="0" w:line="276" w:lineRule="auto"/>
        <w:jc w:val="both"/>
        <w:rPr>
          <w:rFonts w:ascii="Arial" w:eastAsia="Calibri" w:hAnsi="Arial" w:cs="Arial"/>
          <w:b/>
          <w:color w:val="000000"/>
          <w:szCs w:val="24"/>
          <w:lang w:val="es-ES_tradnl" w:eastAsia="es-ES_tradnl"/>
        </w:rPr>
      </w:pPr>
    </w:p>
    <w:p w14:paraId="27E17B29" w14:textId="26B59118" w:rsidR="00C4589F" w:rsidRPr="00C4589F" w:rsidRDefault="000A608E" w:rsidP="0071286F">
      <w:pPr>
        <w:spacing w:after="0" w:line="276" w:lineRule="auto"/>
        <w:jc w:val="both"/>
        <w:rPr>
          <w:rFonts w:ascii="Arial" w:eastAsia="Times New Roman" w:hAnsi="Arial" w:cs="Arial"/>
          <w:color w:val="000000"/>
          <w:szCs w:val="24"/>
          <w:lang w:val="es-ES_tradnl" w:eastAsia="es-ES_tradnl"/>
        </w:rPr>
      </w:pPr>
      <w:r w:rsidRPr="00754407">
        <w:rPr>
          <w:rFonts w:ascii="Arial" w:hAnsi="Arial" w:cs="Arial"/>
          <w:color w:val="000000" w:themeColor="text1"/>
          <w:lang w:val="es-ES_tradnl"/>
        </w:rPr>
        <w:t xml:space="preserve">Respecto </w:t>
      </w:r>
      <w:r w:rsidRPr="00833D45">
        <w:rPr>
          <w:rFonts w:ascii="Arial" w:hAnsi="Arial" w:cs="Arial"/>
          <w:color w:val="000000" w:themeColor="text1"/>
          <w:lang w:val="es-ES_tradnl"/>
        </w:rPr>
        <w:t>a los factores de desempate de</w:t>
      </w:r>
      <w:r w:rsidR="00C4589F" w:rsidRPr="00C4589F">
        <w:rPr>
          <w:rFonts w:ascii="Arial" w:eastAsia="Times New Roman" w:hAnsi="Arial" w:cs="Arial"/>
          <w:color w:val="000000"/>
          <w:szCs w:val="24"/>
          <w:lang w:val="es-ES_tradnl" w:eastAsia="es-ES_tradnl"/>
        </w:rPr>
        <w:t xml:space="preserve">l artículo 35 de la </w:t>
      </w:r>
      <w:r w:rsidR="00C4589F" w:rsidRPr="00621A7F">
        <w:rPr>
          <w:rFonts w:ascii="Arial" w:eastAsia="Times New Roman" w:hAnsi="Arial" w:cs="Arial"/>
          <w:color w:val="000000"/>
          <w:szCs w:val="24"/>
          <w:lang w:val="es-ES_tradnl" w:eastAsia="es-ES_tradnl"/>
        </w:rPr>
        <w:t>Ley 2069 de 2020, «Por medio de la cual se impulsa el emprendimiento en Colombia»</w:t>
      </w:r>
      <w:r>
        <w:rPr>
          <w:rFonts w:ascii="Arial" w:eastAsia="Times New Roman" w:hAnsi="Arial" w:cs="Arial"/>
          <w:color w:val="000000"/>
          <w:szCs w:val="24"/>
          <w:lang w:val="es-ES_tradnl" w:eastAsia="es-ES_tradnl"/>
        </w:rPr>
        <w:t xml:space="preserve">, usted realiza la </w:t>
      </w:r>
      <w:proofErr w:type="gramStart"/>
      <w:r>
        <w:rPr>
          <w:rFonts w:ascii="Arial" w:eastAsia="Times New Roman" w:hAnsi="Arial" w:cs="Arial"/>
          <w:color w:val="000000"/>
          <w:szCs w:val="24"/>
          <w:lang w:val="es-ES_tradnl" w:eastAsia="es-ES_tradnl"/>
        </w:rPr>
        <w:t>siguiente preguntas</w:t>
      </w:r>
      <w:proofErr w:type="gramEnd"/>
      <w:r w:rsidR="00C4589F" w:rsidRPr="00621A7F">
        <w:rPr>
          <w:rFonts w:ascii="Arial" w:eastAsia="Times New Roman" w:hAnsi="Arial" w:cs="Arial"/>
          <w:color w:val="000000"/>
          <w:szCs w:val="24"/>
          <w:lang w:val="es-ES_tradnl" w:eastAsia="es-ES_tradnl"/>
        </w:rPr>
        <w:t xml:space="preserve">: </w:t>
      </w:r>
      <w:r w:rsidR="0021692F" w:rsidRPr="00621A7F">
        <w:rPr>
          <w:rFonts w:ascii="Arial" w:eastAsia="Times New Roman" w:hAnsi="Arial" w:cs="Arial"/>
          <w:color w:val="000000"/>
          <w:szCs w:val="24"/>
          <w:lang w:val="es-ES_tradnl" w:eastAsia="es-ES_tradnl"/>
        </w:rPr>
        <w:t>i) «</w:t>
      </w:r>
      <w:r w:rsidR="0021692F" w:rsidRPr="00621A7F">
        <w:rPr>
          <w:rFonts w:ascii="Arial" w:hAnsi="Arial" w:cs="Arial"/>
        </w:rPr>
        <w:t xml:space="preserve">¿Los factores de desempate del artículo 35 de la Ley 2069 de 2020, son aplicables a los procesos de mínima cuantía y la subasta inversa o continúa con los factores de desempate señalados en el Decreto 1082 de 2015?» </w:t>
      </w:r>
      <w:proofErr w:type="spellStart"/>
      <w:r w:rsidR="0021692F" w:rsidRPr="00621A7F">
        <w:rPr>
          <w:rFonts w:ascii="Arial" w:hAnsi="Arial" w:cs="Arial"/>
        </w:rPr>
        <w:t>ii</w:t>
      </w:r>
      <w:proofErr w:type="spellEnd"/>
      <w:r w:rsidR="0021692F" w:rsidRPr="00621A7F">
        <w:rPr>
          <w:rFonts w:ascii="Arial" w:hAnsi="Arial" w:cs="Arial"/>
        </w:rPr>
        <w:t>)</w:t>
      </w:r>
      <w:r w:rsidR="00C32A35" w:rsidRPr="00621A7F">
        <w:rPr>
          <w:rFonts w:ascii="Arial" w:hAnsi="Arial" w:cs="Arial"/>
        </w:rPr>
        <w:t xml:space="preserve"> </w:t>
      </w:r>
      <w:r w:rsidR="0021692F" w:rsidRPr="00621A7F">
        <w:rPr>
          <w:rFonts w:ascii="Arial" w:hAnsi="Arial" w:cs="Arial"/>
        </w:rPr>
        <w:t>«¿En el caso anterior, no?»</w:t>
      </w:r>
      <w:r w:rsidR="0071286F" w:rsidRPr="00621A7F">
        <w:rPr>
          <w:rFonts w:ascii="Arial" w:hAnsi="Arial" w:cs="Arial"/>
        </w:rPr>
        <w:t>.</w:t>
      </w:r>
      <w:r w:rsidR="0071286F">
        <w:rPr>
          <w:rFonts w:ascii="Arial" w:hAnsi="Arial" w:cs="Arial"/>
        </w:rPr>
        <w:t xml:space="preserve"> </w:t>
      </w:r>
    </w:p>
    <w:p w14:paraId="3CCBB75B" w14:textId="77777777" w:rsidR="0071286F" w:rsidRDefault="0071286F" w:rsidP="0071286F">
      <w:pPr>
        <w:pStyle w:val="Sinespaciado"/>
        <w:rPr>
          <w:rFonts w:ascii="Arial" w:hAnsi="Arial" w:cs="Arial"/>
          <w:b/>
          <w:bCs/>
          <w:lang w:val="es-ES_tradnl"/>
        </w:rPr>
      </w:pPr>
    </w:p>
    <w:p w14:paraId="103E905D" w14:textId="7BD53128" w:rsidR="00C4589F" w:rsidRPr="00ED56F7" w:rsidRDefault="00ED56F7" w:rsidP="0071286F">
      <w:pPr>
        <w:pStyle w:val="Sinespaciado"/>
        <w:rPr>
          <w:rFonts w:ascii="Arial" w:hAnsi="Arial" w:cs="Arial"/>
          <w:b/>
          <w:bCs/>
          <w:lang w:val="es-ES_tradnl"/>
        </w:rPr>
      </w:pPr>
      <w:r w:rsidRPr="00ED56F7">
        <w:rPr>
          <w:rFonts w:ascii="Arial" w:hAnsi="Arial" w:cs="Arial"/>
          <w:b/>
          <w:bCs/>
          <w:lang w:val="es-ES_tradnl"/>
        </w:rPr>
        <w:t xml:space="preserve">1. </w:t>
      </w:r>
      <w:r w:rsidR="00C4589F" w:rsidRPr="00ED56F7">
        <w:rPr>
          <w:rFonts w:ascii="Arial" w:hAnsi="Arial" w:cs="Arial"/>
          <w:b/>
          <w:bCs/>
          <w:lang w:val="es-ES_tradnl"/>
        </w:rPr>
        <w:t>Consideraciones</w:t>
      </w:r>
    </w:p>
    <w:p w14:paraId="4B3509AA" w14:textId="77777777" w:rsidR="00C4589F" w:rsidRPr="00C4589F" w:rsidRDefault="00C4589F" w:rsidP="00C4589F">
      <w:pPr>
        <w:spacing w:after="0" w:line="276" w:lineRule="auto"/>
        <w:jc w:val="both"/>
        <w:rPr>
          <w:rFonts w:ascii="Arial" w:eastAsia="Calibri" w:hAnsi="Arial" w:cs="Arial"/>
          <w:color w:val="000000"/>
          <w:lang w:val="es-ES_tradnl" w:eastAsia="es-ES_tradnl"/>
        </w:rPr>
      </w:pPr>
    </w:p>
    <w:p w14:paraId="18D39EDD" w14:textId="731EE098" w:rsidR="00DE4750" w:rsidRDefault="00C4589F" w:rsidP="00DE4750">
      <w:pPr>
        <w:spacing w:after="120" w:line="276" w:lineRule="auto"/>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La Agencia Nacional de Contratación Pública – Colombia Compra Eficiente responderá la consulta, luego de analizar los siguientes temas: i) definición de los criterios de desempate </w:t>
      </w:r>
      <w:r w:rsidRPr="00C4589F">
        <w:rPr>
          <w:rFonts w:ascii="Arial" w:eastAsia="Calibri" w:hAnsi="Arial" w:cs="Arial"/>
          <w:color w:val="000000"/>
          <w:lang w:val="es-ES_tradnl" w:eastAsia="es-ES_tradnl"/>
        </w:rPr>
        <w:lastRenderedPageBreak/>
        <w:t xml:space="preserve">en la contratación estatal, </w:t>
      </w:r>
      <w:proofErr w:type="spellStart"/>
      <w:r w:rsidRPr="00C4589F">
        <w:rPr>
          <w:rFonts w:ascii="Arial" w:eastAsia="Calibri" w:hAnsi="Arial" w:cs="Arial"/>
          <w:color w:val="000000"/>
          <w:lang w:val="es-ES_tradnl" w:eastAsia="es-ES_tradnl"/>
        </w:rPr>
        <w:t>ii</w:t>
      </w:r>
      <w:proofErr w:type="spellEnd"/>
      <w:r w:rsidRPr="00C4589F">
        <w:rPr>
          <w:rFonts w:ascii="Arial" w:eastAsia="Calibri" w:hAnsi="Arial" w:cs="Arial"/>
          <w:color w:val="000000"/>
          <w:lang w:val="es-ES_tradnl" w:eastAsia="es-ES_tradnl"/>
        </w:rPr>
        <w:t xml:space="preserve">) vigencia y ámbito de aplicación de la Ley 2069 de 2020 y </w:t>
      </w:r>
      <w:proofErr w:type="spellStart"/>
      <w:r w:rsidRPr="00C4589F">
        <w:rPr>
          <w:rFonts w:ascii="Arial" w:eastAsia="Calibri" w:hAnsi="Arial" w:cs="Arial"/>
          <w:color w:val="000000"/>
          <w:lang w:val="es-ES_tradnl" w:eastAsia="es-ES_tradnl"/>
        </w:rPr>
        <w:t>iii</w:t>
      </w:r>
      <w:proofErr w:type="spellEnd"/>
      <w:r w:rsidRPr="00C4589F">
        <w:rPr>
          <w:rFonts w:ascii="Arial" w:eastAsia="Calibri" w:hAnsi="Arial" w:cs="Arial"/>
          <w:color w:val="000000"/>
          <w:lang w:val="es-ES_tradnl" w:eastAsia="es-ES_tradnl"/>
        </w:rPr>
        <w:t>)</w:t>
      </w:r>
      <w:r w:rsidR="0023499C" w:rsidRPr="0023499C">
        <w:rPr>
          <w:rFonts w:ascii="Arial" w:eastAsia="Calibri" w:hAnsi="Arial" w:cs="Arial"/>
          <w:b/>
          <w:bCs/>
          <w:color w:val="000000" w:themeColor="text1"/>
          <w:lang w:val="es-ES_tradnl"/>
        </w:rPr>
        <w:t xml:space="preserve"> </w:t>
      </w:r>
      <w:r w:rsidR="006F34B1" w:rsidRPr="006F34B1">
        <w:rPr>
          <w:rFonts w:ascii="Arial" w:eastAsia="Calibri" w:hAnsi="Arial" w:cs="Arial"/>
          <w:bCs/>
          <w:color w:val="000000" w:themeColor="text1"/>
          <w:lang w:val="es-ES_tradnl"/>
        </w:rPr>
        <w:t>d</w:t>
      </w:r>
      <w:r w:rsidR="0023499C" w:rsidRPr="006F34B1">
        <w:rPr>
          <w:rFonts w:ascii="Arial" w:eastAsia="Calibri" w:hAnsi="Arial" w:cs="Arial"/>
          <w:bCs/>
          <w:color w:val="000000" w:themeColor="text1"/>
          <w:lang w:val="es-ES_tradnl"/>
        </w:rPr>
        <w:t>erogatoria producida por el artículo 35 de la Ley 2069 de 2020 a los factores de desempate del Decreto 1082</w:t>
      </w:r>
      <w:r w:rsidR="0023499C" w:rsidRPr="000A43B0">
        <w:rPr>
          <w:rFonts w:ascii="Arial" w:eastAsia="Calibri" w:hAnsi="Arial" w:cs="Arial"/>
          <w:b/>
          <w:bCs/>
          <w:color w:val="000000" w:themeColor="text1"/>
          <w:lang w:val="es-ES_tradnl"/>
        </w:rPr>
        <w:t xml:space="preserve"> </w:t>
      </w:r>
      <w:r w:rsidR="0023499C" w:rsidRPr="006F34B1">
        <w:rPr>
          <w:rFonts w:ascii="Arial" w:eastAsia="Calibri" w:hAnsi="Arial" w:cs="Arial"/>
          <w:bCs/>
          <w:color w:val="000000" w:themeColor="text1"/>
          <w:lang w:val="es-ES_tradnl"/>
        </w:rPr>
        <w:t>de 2015</w:t>
      </w:r>
      <w:r w:rsidRPr="00C4589F">
        <w:rPr>
          <w:rFonts w:ascii="Arial" w:eastAsia="Calibri" w:hAnsi="Arial" w:cs="Arial"/>
          <w:color w:val="000000"/>
          <w:lang w:val="es-ES_tradnl" w:eastAsia="es-ES_tradnl"/>
        </w:rPr>
        <w:t>, revisando lo que sucede en el caso de la subasta inversa</w:t>
      </w:r>
      <w:r w:rsidR="00DE4750">
        <w:rPr>
          <w:rFonts w:ascii="Arial" w:eastAsia="Calibri" w:hAnsi="Arial" w:cs="Arial"/>
          <w:color w:val="000000"/>
          <w:lang w:val="es-ES_tradnl" w:eastAsia="es-ES_tradnl"/>
        </w:rPr>
        <w:t xml:space="preserve"> y mínima cuantía.</w:t>
      </w:r>
    </w:p>
    <w:p w14:paraId="6FCB7030" w14:textId="15D56F74" w:rsidR="00A77579" w:rsidRDefault="00B40540" w:rsidP="00A77579">
      <w:pPr>
        <w:spacing w:after="120"/>
        <w:ind w:firstLine="709"/>
        <w:jc w:val="both"/>
        <w:rPr>
          <w:rFonts w:ascii="Arial" w:eastAsia="Calibri" w:hAnsi="Arial" w:cs="Arial"/>
          <w:color w:val="000000"/>
          <w:lang w:val="es-ES_tradnl" w:eastAsia="es-ES_tradnl"/>
        </w:rPr>
      </w:pPr>
      <w:r w:rsidRPr="000F486C">
        <w:rPr>
          <w:rFonts w:ascii="Arial" w:eastAsia="Calibri" w:hAnsi="Arial" w:cs="Arial"/>
          <w:bCs/>
          <w:color w:val="000000" w:themeColor="text1"/>
        </w:rPr>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onceptos C-009,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012,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013,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015,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016, </w:t>
      </w:r>
      <w:r w:rsidR="00A77579">
        <w:rPr>
          <w:rFonts w:ascii="Arial" w:eastAsia="Calibri" w:hAnsi="Arial" w:cs="Arial"/>
          <w:bCs/>
          <w:color w:val="000000" w:themeColor="text1"/>
        </w:rPr>
        <w:t>C-</w:t>
      </w:r>
      <w:r w:rsidRPr="000F486C">
        <w:rPr>
          <w:rFonts w:ascii="Arial" w:eastAsia="Calibri" w:hAnsi="Arial" w:cs="Arial"/>
          <w:bCs/>
          <w:color w:val="000000" w:themeColor="text1"/>
        </w:rPr>
        <w:t xml:space="preserve">026 del 4 de febrero de 2021, así como en los Conceptos C-006 del 5 de febrero de 2021, C-043 del 9 de febrero de 2021, </w:t>
      </w:r>
      <w:r w:rsidRPr="000F486C">
        <w:rPr>
          <w:rFonts w:ascii="Arial" w:eastAsia="Calibri" w:hAnsi="Arial" w:cs="Arial"/>
          <w:color w:val="000000" w:themeColor="text1"/>
          <w:lang w:val="es-ES_tradnl"/>
        </w:rPr>
        <w:t xml:space="preserve">C-028, C-029 del 23 de febrero de 2021, C-040 del 2 de marzo de 2021, </w:t>
      </w:r>
      <w:r w:rsidRPr="000F486C">
        <w:rPr>
          <w:rFonts w:ascii="Arial" w:hAnsi="Arial" w:cs="Arial"/>
        </w:rPr>
        <w:t>C-056 del 8 de marzo de 2021, C-058, C-061 del 11 de marzo de 2021, C-069 del 12 de marzo de 2021, C-081, C-087</w:t>
      </w:r>
      <w:r>
        <w:rPr>
          <w:rFonts w:ascii="Arial" w:hAnsi="Arial" w:cs="Arial"/>
        </w:rPr>
        <w:t xml:space="preserve"> </w:t>
      </w:r>
      <w:r w:rsidRPr="000F486C">
        <w:rPr>
          <w:rFonts w:ascii="Arial" w:hAnsi="Arial" w:cs="Arial"/>
        </w:rPr>
        <w:t>del 24 de marzo de 2021, C-137, C-139</w:t>
      </w:r>
      <w:r>
        <w:rPr>
          <w:rFonts w:ascii="Arial" w:hAnsi="Arial" w:cs="Arial"/>
        </w:rPr>
        <w:t xml:space="preserve"> </w:t>
      </w:r>
      <w:r w:rsidRPr="000F486C">
        <w:rPr>
          <w:rFonts w:ascii="Arial" w:hAnsi="Arial" w:cs="Arial"/>
        </w:rPr>
        <w:t xml:space="preserve">del 15 de abril de 2021, C-160 del 20 de abril de 2021, C-162, C-165 del 13 de abril de 2021 y C-176 del 19 de abril de 2021, </w:t>
      </w:r>
      <w:r w:rsidRPr="000F486C">
        <w:rPr>
          <w:rFonts w:ascii="Arial" w:eastAsia="Calibri" w:hAnsi="Arial" w:cs="Arial"/>
          <w:bCs/>
          <w:color w:val="000000" w:themeColor="text1"/>
        </w:rPr>
        <w:t>se analizaron algunos aspectos sobre la aplicación de la Ley de Emprendimiento</w:t>
      </w:r>
      <w:r w:rsidRPr="000F486C">
        <w:rPr>
          <w:rFonts w:ascii="Arial" w:eastAsia="Calibri" w:hAnsi="Arial" w:cs="Arial"/>
          <w:color w:val="000000"/>
          <w:lang w:val="es-ES_tradnl" w:eastAsia="es-ES_tradnl"/>
        </w:rPr>
        <w:t>.</w:t>
      </w:r>
    </w:p>
    <w:p w14:paraId="67D2B5E0" w14:textId="20F4F0ED" w:rsidR="00B40540" w:rsidRPr="000F486C" w:rsidRDefault="00B40540" w:rsidP="00A77579">
      <w:pPr>
        <w:spacing w:after="120"/>
        <w:ind w:firstLine="709"/>
        <w:jc w:val="both"/>
        <w:rPr>
          <w:rFonts w:ascii="Arial" w:eastAsia="Calibri" w:hAnsi="Arial" w:cs="Arial"/>
          <w:color w:val="000000"/>
          <w:lang w:val="es-ES_tradnl" w:eastAsia="es-ES_tradnl"/>
        </w:rPr>
      </w:pPr>
      <w:r w:rsidRPr="000F486C">
        <w:rPr>
          <w:rFonts w:ascii="Arial" w:eastAsia="Calibri" w:hAnsi="Arial" w:cs="Arial"/>
          <w:color w:val="000000"/>
          <w:lang w:val="es-ES_tradnl" w:eastAsia="es-ES_tradnl"/>
        </w:rPr>
        <w:t xml:space="preserve"> Por otra parte en el concepto C-098 del 23 de febrero de 2021, se analizó la aplicación de los factores de desempate del artículo 35 de la Ley 2069 de 2021, al procedimiento de selección de subasta inversa, lo propio se hizo </w:t>
      </w:r>
      <w:r>
        <w:rPr>
          <w:rFonts w:ascii="Arial" w:eastAsia="Calibri" w:hAnsi="Arial" w:cs="Arial"/>
          <w:color w:val="000000"/>
          <w:lang w:val="es-ES_tradnl" w:eastAsia="es-ES_tradnl"/>
        </w:rPr>
        <w:t xml:space="preserve">en los </w:t>
      </w:r>
      <w:r w:rsidRPr="000F486C">
        <w:rPr>
          <w:rFonts w:ascii="Arial" w:eastAsia="Calibri" w:hAnsi="Arial" w:cs="Arial"/>
          <w:color w:val="000000"/>
          <w:lang w:val="es-ES_tradnl" w:eastAsia="es-ES_tradnl"/>
        </w:rPr>
        <w:t>concepto</w:t>
      </w:r>
      <w:r>
        <w:rPr>
          <w:rFonts w:ascii="Arial" w:eastAsia="Calibri" w:hAnsi="Arial" w:cs="Arial"/>
          <w:color w:val="000000"/>
          <w:lang w:val="es-ES_tradnl" w:eastAsia="es-ES_tradnl"/>
        </w:rPr>
        <w:t>s</w:t>
      </w:r>
      <w:r w:rsidRPr="000F486C">
        <w:rPr>
          <w:rFonts w:ascii="Arial" w:eastAsia="Calibri" w:hAnsi="Arial" w:cs="Arial"/>
          <w:color w:val="000000"/>
          <w:lang w:val="es-ES_tradnl" w:eastAsia="es-ES_tradnl"/>
        </w:rPr>
        <w:t xml:space="preserve"> C-007 del 16 de febrero de 2021, </w:t>
      </w:r>
      <w:r w:rsidRPr="000F486C">
        <w:rPr>
          <w:rFonts w:ascii="Arial" w:hAnsi="Arial" w:cs="Arial"/>
        </w:rPr>
        <w:t xml:space="preserve">C-127 del 6 de abril de 2021, C-138 del 7 de abril de 2021, C-158 del 15 de abril de 2021, C-163, </w:t>
      </w:r>
      <w:r w:rsidR="00BE13B4">
        <w:rPr>
          <w:rFonts w:ascii="Arial" w:hAnsi="Arial" w:cs="Arial"/>
        </w:rPr>
        <w:t>C-</w:t>
      </w:r>
      <w:r w:rsidRPr="000F486C">
        <w:rPr>
          <w:rFonts w:ascii="Arial" w:hAnsi="Arial" w:cs="Arial"/>
        </w:rPr>
        <w:t xml:space="preserve">164 del 19 de abril de 2021, </w:t>
      </w:r>
      <w:r w:rsidRPr="000F486C">
        <w:rPr>
          <w:rFonts w:ascii="Arial" w:eastAsia="Calibri" w:hAnsi="Arial" w:cs="Arial"/>
          <w:color w:val="000000"/>
          <w:lang w:val="es-ES_tradnl" w:eastAsia="es-ES_tradnl"/>
        </w:rPr>
        <w:t xml:space="preserve">en cuanto a la aplicación de los factores de desempate del artículo en mención a los procedimientos de mínima cuantía, por último en los conceptos C-101 del 24 de marzo de 2021 y </w:t>
      </w:r>
      <w:r w:rsidRPr="000F486C">
        <w:rPr>
          <w:rFonts w:ascii="Arial" w:hAnsi="Arial" w:cs="Arial"/>
        </w:rPr>
        <w:t xml:space="preserve">C-117 del 26 de marzo de 2021, </w:t>
      </w:r>
      <w:r w:rsidRPr="000F486C">
        <w:rPr>
          <w:rFonts w:ascii="Arial" w:eastAsia="Calibri" w:hAnsi="Arial" w:cs="Arial"/>
          <w:color w:val="000000"/>
          <w:lang w:val="es-ES_tradnl" w:eastAsia="es-ES_tradnl"/>
        </w:rPr>
        <w:t>se analizó la aplicación de los factores de desempate del artículo 35 de la Ley 2069 de 2020, en los procedimientos de subasta inversa y mínima cuantía. Algunas de las consideraciones de estos conceptos en lo pertinente, se reiteran a continuación.</w:t>
      </w:r>
    </w:p>
    <w:p w14:paraId="2A9D008A" w14:textId="77777777" w:rsidR="00C4589F" w:rsidRPr="00C4589F" w:rsidRDefault="00C4589F" w:rsidP="007D1C30">
      <w:pPr>
        <w:spacing w:after="0" w:line="276" w:lineRule="auto"/>
        <w:jc w:val="both"/>
        <w:rPr>
          <w:rFonts w:ascii="Arial" w:eastAsia="Calibri" w:hAnsi="Arial" w:cs="Arial"/>
          <w:color w:val="000000"/>
          <w:lang w:val="es-ES_tradnl" w:eastAsia="es-ES_tradnl"/>
        </w:rPr>
      </w:pPr>
    </w:p>
    <w:p w14:paraId="642A68BA" w14:textId="77777777" w:rsidR="00C4589F" w:rsidRPr="00C4589F" w:rsidRDefault="00C4589F" w:rsidP="007D1C30">
      <w:pPr>
        <w:spacing w:after="0" w:line="276" w:lineRule="auto"/>
        <w:jc w:val="both"/>
        <w:rPr>
          <w:rFonts w:ascii="Arial" w:eastAsia="Calibri" w:hAnsi="Arial" w:cs="Arial"/>
          <w:b/>
          <w:bCs/>
          <w:color w:val="000000"/>
          <w:lang w:val="es-ES_tradnl" w:eastAsia="es-ES_tradnl"/>
        </w:rPr>
      </w:pPr>
      <w:r w:rsidRPr="00C4589F">
        <w:rPr>
          <w:rFonts w:ascii="Arial" w:eastAsia="Calibri" w:hAnsi="Arial" w:cs="Arial"/>
          <w:b/>
          <w:bCs/>
          <w:color w:val="000000"/>
          <w:lang w:val="es-ES_tradnl" w:eastAsia="es-ES_tradnl"/>
        </w:rPr>
        <w:t>2.1. Factores de desempate en la contratación estatal: concepto y características</w:t>
      </w:r>
    </w:p>
    <w:p w14:paraId="4A00830F" w14:textId="77777777" w:rsidR="00C4589F" w:rsidRPr="00C4589F" w:rsidRDefault="00C4589F" w:rsidP="00C4589F">
      <w:pPr>
        <w:spacing w:after="0" w:line="276" w:lineRule="auto"/>
        <w:jc w:val="both"/>
        <w:rPr>
          <w:rFonts w:ascii="Arial" w:eastAsia="Calibri" w:hAnsi="Arial" w:cs="Arial"/>
          <w:color w:val="000000"/>
          <w:lang w:val="es-ES_tradnl" w:eastAsia="es-ES_tradnl"/>
        </w:rPr>
      </w:pPr>
    </w:p>
    <w:p w14:paraId="10B0A7F9" w14:textId="77777777" w:rsidR="00C4589F" w:rsidRPr="00C4589F" w:rsidRDefault="00C4589F" w:rsidP="00C4589F">
      <w:pPr>
        <w:spacing w:after="0" w:line="276" w:lineRule="auto"/>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C4589F">
        <w:rPr>
          <w:rFonts w:ascii="Arial" w:eastAsia="Calibri" w:hAnsi="Arial" w:cs="Arial"/>
          <w:color w:val="000000"/>
          <w:lang w:val="es-ES_tradnl" w:eastAsia="es-ES_tradnl"/>
        </w:rPr>
        <w:t>equivalentes,</w:t>
      </w:r>
      <w:proofErr w:type="gramEnd"/>
      <w:r w:rsidRPr="00C4589F">
        <w:rPr>
          <w:rFonts w:ascii="Arial" w:eastAsia="Calibri" w:hAnsi="Arial" w:cs="Arial"/>
          <w:color w:val="000000"/>
          <w:lang w:val="es-ES_tradnl" w:eastAsia="es-ES_tradnl"/>
        </w:rPr>
        <w:t xml:space="preserve"> tendrán en cuenta criterios como la experiencia y la capacidad jurídica, financiera y de organización, </w:t>
      </w:r>
      <w:r w:rsidRPr="00C4589F">
        <w:rPr>
          <w:rFonts w:ascii="Arial" w:eastAsia="Calibri" w:hAnsi="Arial" w:cs="Arial"/>
          <w:color w:val="000000"/>
          <w:lang w:val="es-ES_tradnl" w:eastAsia="es-ES_tradnl"/>
        </w:rPr>
        <w:lastRenderedPageBreak/>
        <w:t>entre otros elementos que garanticen la escogencia de la mejor opción de negocio para la entidad estatal.</w:t>
      </w:r>
    </w:p>
    <w:p w14:paraId="6428C6E8"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B63AF1E" w14:textId="1545C386" w:rsidR="00C4589F" w:rsidRPr="00C4589F" w:rsidRDefault="00E210CB" w:rsidP="00C4589F">
      <w:pPr>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Sin embargo</w:t>
      </w:r>
      <w:r w:rsidR="00C4589F" w:rsidRPr="00C4589F">
        <w:rPr>
          <w:rFonts w:ascii="Arial" w:eastAsia="Calibri" w:hAnsi="Arial" w:cs="Arial"/>
          <w:color w:val="000000"/>
          <w:lang w:val="es-ES_tradnl" w:eastAsia="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lang w:val="es-ES_tradnl" w:eastAsia="es-ES_tradnl"/>
        </w:rPr>
        <w:t>, entre las que se cuenta</w:t>
      </w:r>
      <w:r w:rsidR="00C4589F" w:rsidRPr="00C4589F">
        <w:rPr>
          <w:rFonts w:ascii="Arial" w:eastAsia="Calibri" w:hAnsi="Arial" w:cs="Arial"/>
          <w:color w:val="000000"/>
          <w:lang w:val="es-ES_tradnl" w:eastAsia="es-ES_tradnl"/>
        </w:rPr>
        <w:t xml:space="preserve"> el artículo 35 de la Ley 2069 de 2020. La jurisprudencia comparte la idea de que los criterios de desempate deben estar establecidos de antemano y constituyen un límite a la discrecionalidad administrativa en los procedimientos de selección</w:t>
      </w:r>
      <w:r w:rsidR="00C4589F" w:rsidRPr="00C4589F">
        <w:rPr>
          <w:rFonts w:ascii="Arial" w:eastAsia="Times New Roman" w:hAnsi="Arial" w:cs="Arial"/>
          <w:sz w:val="21"/>
          <w:szCs w:val="21"/>
          <w:vertAlign w:val="superscript"/>
          <w:lang w:val="es-ES_tradnl" w:eastAsia="es-ES_tradnl"/>
        </w:rPr>
        <w:footnoteReference w:id="1"/>
      </w:r>
      <w:r w:rsidR="00C4589F" w:rsidRPr="00C4589F">
        <w:rPr>
          <w:rFonts w:ascii="Arial" w:eastAsia="Calibri" w:hAnsi="Arial" w:cs="Arial"/>
          <w:color w:val="000000"/>
          <w:lang w:val="es-ES_tradnl" w:eastAsia="es-ES_tradnl"/>
        </w:rPr>
        <w:t xml:space="preserve">. </w:t>
      </w:r>
    </w:p>
    <w:p w14:paraId="0A41B68B" w14:textId="14DE13EA"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En tal sentido, la Corte Constitucional explica que cuando la ley establece factores de desempate obligatorios, las entidades estatales no pueden </w:t>
      </w:r>
      <w:proofErr w:type="spellStart"/>
      <w:r w:rsidRPr="00C4589F">
        <w:rPr>
          <w:rFonts w:ascii="Arial" w:eastAsia="Calibri" w:hAnsi="Arial" w:cs="Arial"/>
          <w:color w:val="000000"/>
          <w:lang w:val="es-ES_tradnl" w:eastAsia="es-ES_tradnl"/>
        </w:rPr>
        <w:t>inaplicarlos</w:t>
      </w:r>
      <w:proofErr w:type="spellEnd"/>
      <w:r w:rsidRPr="00C4589F">
        <w:rPr>
          <w:rFonts w:ascii="Arial" w:eastAsia="Calibri" w:hAnsi="Arial" w:cs="Arial"/>
          <w:color w:val="000000"/>
          <w:lang w:val="es-ES_tradnl" w:eastAsia="es-ES_tradnl"/>
        </w:rPr>
        <w:t>, porque ello podría vulnerar el principio de igualdad, especialmente, cuando algunos de estos criterios surgen como acciones afirmativas para ciertos sectores de la población</w:t>
      </w:r>
      <w:r w:rsidRPr="00C4589F">
        <w:rPr>
          <w:rFonts w:ascii="Arial" w:eastAsia="Calibri" w:hAnsi="Arial" w:cs="Arial"/>
          <w:color w:val="000000"/>
          <w:vertAlign w:val="superscript"/>
          <w:lang w:val="es-ES_tradnl" w:eastAsia="es-ES_tradnl"/>
        </w:rPr>
        <w:footnoteReference w:id="2"/>
      </w:r>
      <w:r w:rsidRPr="00C4589F">
        <w:rPr>
          <w:rFonts w:ascii="Arial" w:eastAsia="Calibri" w:hAnsi="Arial" w:cs="Arial"/>
          <w:color w:val="000000"/>
          <w:lang w:val="es-ES_tradnl" w:eastAsia="es-ES_tradnl"/>
        </w:rPr>
        <w:t xml:space="preserve">. </w:t>
      </w:r>
      <w:r w:rsidR="00A466E7">
        <w:rPr>
          <w:rFonts w:ascii="Arial" w:eastAsia="Calibri" w:hAnsi="Arial" w:cs="Arial"/>
          <w:color w:val="000000"/>
          <w:lang w:val="es-ES_tradnl" w:eastAsia="es-ES_tradnl"/>
        </w:rPr>
        <w:t>M</w:t>
      </w:r>
      <w:r w:rsidRPr="00C4589F">
        <w:rPr>
          <w:rFonts w:ascii="Arial" w:eastAsia="Calibri" w:hAnsi="Arial" w:cs="Arial"/>
          <w:color w:val="000000"/>
          <w:lang w:val="es-ES_tradnl" w:eastAsia="es-ES_tradnl"/>
        </w:rPr>
        <w:t>ás</w:t>
      </w:r>
      <w:r w:rsidR="00A466E7">
        <w:rPr>
          <w:rFonts w:ascii="Arial" w:eastAsia="Calibri" w:hAnsi="Arial" w:cs="Arial"/>
          <w:color w:val="000000"/>
          <w:lang w:val="es-ES_tradnl" w:eastAsia="es-ES_tradnl"/>
        </w:rPr>
        <w:t xml:space="preserve"> aún</w:t>
      </w:r>
      <w:r w:rsidRPr="00C4589F">
        <w:rPr>
          <w:rFonts w:ascii="Arial" w:eastAsia="Calibri" w:hAnsi="Arial" w:cs="Arial"/>
          <w:color w:val="000000"/>
          <w:lang w:val="es-ES_tradnl" w:eastAsia="es-ES_tradnl"/>
        </w:rPr>
        <w:t>, el Consejo de Estado</w:t>
      </w:r>
      <w:r w:rsidR="00A466E7">
        <w:rPr>
          <w:rFonts w:ascii="Arial" w:eastAsia="Calibri" w:hAnsi="Arial" w:cs="Arial"/>
          <w:color w:val="000000"/>
          <w:lang w:val="es-ES_tradnl" w:eastAsia="es-ES_tradnl"/>
        </w:rPr>
        <w:t xml:space="preserve"> ha señalado que contrariar</w:t>
      </w:r>
      <w:r w:rsidRPr="00C4589F">
        <w:rPr>
          <w:rFonts w:ascii="Arial" w:eastAsia="Calibri" w:hAnsi="Arial" w:cs="Arial"/>
          <w:color w:val="000000"/>
          <w:lang w:val="es-ES_tradnl" w:eastAsia="es-ES_tradnl"/>
        </w:rPr>
        <w:t xml:space="preserve"> los factores de desempate genera la nulidad del contrato, conforme al artículo 44, inciso 1º de la Ley 80 de 1993</w:t>
      </w:r>
      <w:r w:rsidRPr="00C4589F">
        <w:rPr>
          <w:rFonts w:ascii="Arial" w:eastAsia="Calibri" w:hAnsi="Arial" w:cs="Arial"/>
          <w:color w:val="000000"/>
          <w:vertAlign w:val="superscript"/>
          <w:lang w:val="es-ES_tradnl" w:eastAsia="es-ES_tradnl"/>
        </w:rPr>
        <w:footnoteReference w:id="3"/>
      </w:r>
      <w:r w:rsidRPr="00C4589F">
        <w:rPr>
          <w:rFonts w:ascii="Arial" w:eastAsia="Calibri" w:hAnsi="Arial" w:cs="Arial"/>
          <w:color w:val="000000"/>
          <w:lang w:val="es-ES_tradnl" w:eastAsia="es-ES_tradnl"/>
        </w:rPr>
        <w:t>.</w:t>
      </w:r>
    </w:p>
    <w:p w14:paraId="16049F28"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lastRenderedPageBreak/>
        <w:t xml:space="preserve">Ahora bien, en cumplimiento de los principios de reciprocidad y de </w:t>
      </w:r>
      <w:r w:rsidRPr="00C4589F">
        <w:rPr>
          <w:rFonts w:ascii="Arial" w:eastAsia="Calibri" w:hAnsi="Arial" w:cs="Arial"/>
          <w:i/>
          <w:iCs/>
          <w:color w:val="000000"/>
          <w:lang w:val="es-ES_tradnl" w:eastAsia="es-ES_tradnl"/>
        </w:rPr>
        <w:t xml:space="preserve">pacta sunt </w:t>
      </w:r>
      <w:proofErr w:type="spellStart"/>
      <w:r w:rsidRPr="00C4589F">
        <w:rPr>
          <w:rFonts w:ascii="Arial" w:eastAsia="Calibri" w:hAnsi="Arial" w:cs="Arial"/>
          <w:i/>
          <w:iCs/>
          <w:color w:val="000000"/>
          <w:lang w:val="es-ES_tradnl" w:eastAsia="es-ES_tradnl"/>
        </w:rPr>
        <w:t>servanda</w:t>
      </w:r>
      <w:proofErr w:type="spellEnd"/>
      <w:r w:rsidRPr="00C4589F">
        <w:rPr>
          <w:rFonts w:ascii="Arial" w:eastAsia="Calibri" w:hAnsi="Arial" w:cs="Arial"/>
          <w:color w:val="000000"/>
          <w:lang w:val="es-ES_tradnl" w:eastAsia="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315A6F68" w14:textId="77777777" w:rsidR="00C4589F" w:rsidRPr="00C4589F" w:rsidRDefault="00C4589F" w:rsidP="00C4589F">
      <w:pPr>
        <w:spacing w:after="0" w:line="276" w:lineRule="auto"/>
        <w:jc w:val="both"/>
        <w:rPr>
          <w:rFonts w:ascii="Arial" w:eastAsia="Calibri" w:hAnsi="Arial" w:cs="Arial"/>
          <w:b/>
          <w:bCs/>
          <w:color w:val="000000"/>
          <w:lang w:val="es-ES_tradnl" w:eastAsia="es-ES_tradnl"/>
        </w:rPr>
      </w:pPr>
    </w:p>
    <w:p w14:paraId="7570B009" w14:textId="77777777" w:rsidR="00C4589F" w:rsidRPr="00C4589F" w:rsidRDefault="00C4589F" w:rsidP="00C4589F">
      <w:pPr>
        <w:spacing w:after="0" w:line="276" w:lineRule="auto"/>
        <w:jc w:val="both"/>
        <w:rPr>
          <w:rFonts w:ascii="Arial" w:eastAsia="Calibri" w:hAnsi="Arial" w:cs="Arial"/>
          <w:b/>
          <w:bCs/>
          <w:color w:val="000000"/>
          <w:lang w:val="es-ES_tradnl" w:eastAsia="es-ES_tradnl"/>
        </w:rPr>
      </w:pPr>
      <w:r w:rsidRPr="00C4589F">
        <w:rPr>
          <w:rFonts w:ascii="Arial" w:eastAsia="Calibri" w:hAnsi="Arial" w:cs="Arial"/>
          <w:b/>
          <w:bCs/>
          <w:color w:val="000000"/>
          <w:lang w:val="es-ES_tradnl" w:eastAsia="es-ES_tradnl"/>
        </w:rPr>
        <w:t>2.2. Vigencia y ámbito de aplicación de la Ley 2069 de 2020</w:t>
      </w:r>
    </w:p>
    <w:p w14:paraId="7F1E3F81" w14:textId="77777777" w:rsidR="00C4589F" w:rsidRPr="00C4589F" w:rsidRDefault="00C4589F" w:rsidP="00C4589F">
      <w:pPr>
        <w:spacing w:after="0" w:line="276" w:lineRule="auto"/>
        <w:jc w:val="both"/>
        <w:rPr>
          <w:rFonts w:ascii="Arial" w:eastAsia="Calibri" w:hAnsi="Arial" w:cs="Arial"/>
          <w:color w:val="000000"/>
          <w:lang w:val="es-ES_tradnl" w:eastAsia="es-ES_tradnl"/>
        </w:rPr>
      </w:pPr>
    </w:p>
    <w:p w14:paraId="467729FB" w14:textId="26AEACD6" w:rsidR="00C4589F" w:rsidRPr="00C4589F" w:rsidRDefault="00C4589F" w:rsidP="00C4589F">
      <w:pPr>
        <w:spacing w:after="0" w:line="276" w:lineRule="auto"/>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825A83">
        <w:rPr>
          <w:rFonts w:ascii="Arial" w:eastAsia="Calibri" w:hAnsi="Arial" w:cs="Arial"/>
          <w:color w:val="000000"/>
          <w:lang w:val="es-ES_tradnl" w:eastAsia="es-ES_tradnl"/>
        </w:rPr>
        <w:t>l</w:t>
      </w:r>
      <w:r w:rsidRPr="00C4589F">
        <w:rPr>
          <w:rFonts w:ascii="Arial" w:eastAsia="Calibri" w:hAnsi="Arial" w:cs="Arial"/>
          <w:color w:val="000000"/>
          <w:lang w:val="es-ES_tradnl" w:eastAsia="es-ES_tradnl"/>
        </w:rPr>
        <w:t>ey.</w:t>
      </w:r>
    </w:p>
    <w:p w14:paraId="64924E3C" w14:textId="480B2F44" w:rsidR="00C4589F" w:rsidRPr="00C4589F" w:rsidRDefault="00C4589F" w:rsidP="00693535">
      <w:pPr>
        <w:spacing w:before="120" w:after="12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En cuan</w:t>
      </w:r>
      <w:r w:rsidR="00180FCD">
        <w:rPr>
          <w:rFonts w:ascii="Arial" w:eastAsia="Calibri" w:hAnsi="Arial" w:cs="Arial"/>
          <w:color w:val="000000"/>
          <w:lang w:val="es-ES_tradnl" w:eastAsia="es-ES_tradnl"/>
        </w:rPr>
        <w:t>t</w:t>
      </w:r>
      <w:r w:rsidRPr="00C4589F">
        <w:rPr>
          <w:rFonts w:ascii="Arial" w:eastAsia="Calibri" w:hAnsi="Arial" w:cs="Arial"/>
          <w:color w:val="000000"/>
          <w:lang w:val="es-ES_tradnl" w:eastAsia="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C4589F">
        <w:rPr>
          <w:rFonts w:ascii="Arial" w:eastAsia="Calibri" w:hAnsi="Arial" w:cs="Arial"/>
          <w:color w:val="000000"/>
          <w:lang w:val="es-ES_tradnl" w:eastAsia="es-ES_tradnl"/>
        </w:rPr>
        <w:t>de acuerdo a</w:t>
      </w:r>
      <w:proofErr w:type="gramEnd"/>
      <w:r w:rsidRPr="00C4589F">
        <w:rPr>
          <w:rFonts w:ascii="Arial" w:eastAsia="Calibri" w:hAnsi="Arial" w:cs="Arial"/>
          <w:color w:val="000000"/>
          <w:lang w:val="es-ES_tradnl" w:eastAsia="es-ES_tradnl"/>
        </w:rPr>
        <w:t xml:space="preserve"> las realidades socioeconómicas de cada región». En desarrollo de esta finalidad, se establecen medidas de apoyo para las micro, pequeñas y medianas empresas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mediante la racionalización y simplificación de los trámites y tarifas</w:t>
      </w:r>
      <w:r w:rsidRPr="00C4589F">
        <w:rPr>
          <w:rFonts w:ascii="Arial" w:eastAsia="Calibri" w:hAnsi="Arial" w:cs="Arial"/>
          <w:color w:val="000000"/>
          <w:vertAlign w:val="superscript"/>
          <w:lang w:val="es-ES_tradnl" w:eastAsia="es-ES_tradnl"/>
        </w:rPr>
        <w:footnoteReference w:id="4"/>
      </w:r>
      <w:r w:rsidRPr="00C4589F">
        <w:rPr>
          <w:rFonts w:ascii="Arial" w:eastAsia="Calibri" w:hAnsi="Arial" w:cs="Arial"/>
          <w:color w:val="000000"/>
          <w:lang w:val="es-ES_tradnl" w:eastAsia="es-ES_tradnl"/>
        </w:rPr>
        <w:t>, así como incentivos a favor de aquellas dentro del sistema de compras y contratación pública</w:t>
      </w:r>
      <w:r w:rsidRPr="00C4589F">
        <w:rPr>
          <w:rFonts w:ascii="Arial" w:eastAsia="Calibri" w:hAnsi="Arial" w:cs="Arial"/>
          <w:color w:val="000000"/>
          <w:vertAlign w:val="superscript"/>
          <w:lang w:val="es-ES_tradnl" w:eastAsia="es-ES_tradnl"/>
        </w:rPr>
        <w:footnoteReference w:id="5"/>
      </w:r>
      <w:r w:rsidRPr="00C4589F">
        <w:rPr>
          <w:rFonts w:ascii="Arial" w:eastAsia="Calibri" w:hAnsi="Arial" w:cs="Arial"/>
          <w:color w:val="000000"/>
          <w:lang w:val="es-ES_tradnl" w:eastAsia="es-ES_tradnl"/>
        </w:rPr>
        <w:t xml:space="preserve">. </w:t>
      </w:r>
      <w:r w:rsidR="00D9199A">
        <w:rPr>
          <w:rFonts w:ascii="Arial" w:eastAsia="Calibri" w:hAnsi="Arial" w:cs="Arial"/>
          <w:color w:val="000000"/>
          <w:lang w:val="es-ES_tradnl" w:eastAsia="es-ES_tradnl"/>
        </w:rPr>
        <w:t xml:space="preserve">De igual forma, </w:t>
      </w:r>
      <w:r w:rsidRPr="00C4589F">
        <w:rPr>
          <w:rFonts w:ascii="Arial" w:eastAsia="Calibri" w:hAnsi="Arial" w:cs="Arial"/>
          <w:color w:val="000000"/>
          <w:lang w:val="es-ES_tradnl" w:eastAsia="es-ES_tradnl"/>
        </w:rPr>
        <w:t>se consagran mecanismos de acceso al financiamiento</w:t>
      </w:r>
      <w:r w:rsidRPr="00C4589F">
        <w:rPr>
          <w:rFonts w:ascii="Arial" w:eastAsia="Calibri" w:hAnsi="Arial" w:cs="Arial"/>
          <w:color w:val="000000"/>
          <w:vertAlign w:val="superscript"/>
          <w:lang w:val="es-ES_tradnl" w:eastAsia="es-ES_tradnl"/>
        </w:rPr>
        <w:footnoteReference w:id="6"/>
      </w:r>
      <w:r w:rsidRPr="00C4589F">
        <w:rPr>
          <w:rFonts w:ascii="Arial" w:eastAsia="Calibri" w:hAnsi="Arial" w:cs="Arial"/>
          <w:color w:val="000000"/>
          <w:lang w:val="es-ES_tradnl" w:eastAsia="es-ES_tradnl"/>
        </w:rPr>
        <w:t>, se unifican las fuentes de emprendimiento y de desarrollo empresarial, para fortalecer y promover los distintos sectores de la economía</w:t>
      </w:r>
      <w:r w:rsidRPr="00C4589F">
        <w:rPr>
          <w:rFonts w:ascii="Arial" w:eastAsia="Calibri" w:hAnsi="Arial" w:cs="Arial"/>
          <w:color w:val="000000"/>
          <w:vertAlign w:val="superscript"/>
          <w:lang w:val="es-ES_tradnl" w:eastAsia="es-ES_tradnl"/>
        </w:rPr>
        <w:footnoteReference w:id="7"/>
      </w:r>
      <w:r w:rsidRPr="00C4589F">
        <w:rPr>
          <w:rFonts w:ascii="Arial" w:eastAsia="Calibri" w:hAnsi="Arial" w:cs="Arial"/>
          <w:color w:val="000000"/>
          <w:lang w:val="es-ES_tradnl" w:eastAsia="es-ES_tradnl"/>
        </w:rPr>
        <w:t xml:space="preserve"> y se prevén medidas de educación para el emprendimiento y la innovación</w:t>
      </w:r>
      <w:r w:rsidRPr="00C4589F">
        <w:rPr>
          <w:rFonts w:ascii="Arial" w:eastAsia="Calibri" w:hAnsi="Arial" w:cs="Arial"/>
          <w:color w:val="000000"/>
          <w:vertAlign w:val="superscript"/>
          <w:lang w:val="es-ES_tradnl" w:eastAsia="es-ES_tradnl"/>
        </w:rPr>
        <w:footnoteReference w:id="8"/>
      </w:r>
      <w:r w:rsidRPr="00C4589F">
        <w:rPr>
          <w:rFonts w:ascii="Arial" w:eastAsia="Calibri" w:hAnsi="Arial" w:cs="Arial"/>
          <w:color w:val="000000"/>
          <w:lang w:val="es-ES_tradnl" w:eastAsia="es-ES_tradnl"/>
        </w:rPr>
        <w:t>.</w:t>
      </w:r>
    </w:p>
    <w:p w14:paraId="5BD03BA5" w14:textId="702118AB" w:rsidR="00C4589F" w:rsidRPr="00C4589F" w:rsidRDefault="00C4589F" w:rsidP="00693535">
      <w:pPr>
        <w:spacing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w:t>
      </w:r>
      <w:r w:rsidRPr="00C4589F">
        <w:rPr>
          <w:rFonts w:ascii="Arial" w:eastAsia="Calibri" w:hAnsi="Arial" w:cs="Arial"/>
          <w:color w:val="000000"/>
          <w:lang w:val="es-ES_tradnl" w:eastAsia="es-ES_tradnl"/>
        </w:rPr>
        <w:lastRenderedPageBreak/>
        <w:t xml:space="preserve">consagran: i) reglas sobre la participación de las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xml:space="preserve"> en el procedimiento de mínima cuantía, </w:t>
      </w:r>
      <w:proofErr w:type="spellStart"/>
      <w:r w:rsidRPr="00C4589F">
        <w:rPr>
          <w:rFonts w:ascii="Arial" w:eastAsia="Calibri" w:hAnsi="Arial" w:cs="Arial"/>
          <w:color w:val="000000"/>
          <w:lang w:val="es-ES_tradnl" w:eastAsia="es-ES_tradnl"/>
        </w:rPr>
        <w:t>ii</w:t>
      </w:r>
      <w:proofErr w:type="spellEnd"/>
      <w:r w:rsidRPr="00C4589F">
        <w:rPr>
          <w:rFonts w:ascii="Arial" w:eastAsia="Calibri" w:hAnsi="Arial" w:cs="Arial"/>
          <w:color w:val="000000"/>
          <w:lang w:val="es-ES_tradnl" w:eastAsia="es-ES_tradnl"/>
        </w:rPr>
        <w:t xml:space="preserve">) criterios diferenciales para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xml:space="preserve"> en el sistema de compras públicas, </w:t>
      </w:r>
      <w:proofErr w:type="spellStart"/>
      <w:r w:rsidRPr="00C4589F">
        <w:rPr>
          <w:rFonts w:ascii="Arial" w:eastAsia="Calibri" w:hAnsi="Arial" w:cs="Arial"/>
          <w:color w:val="000000"/>
          <w:lang w:val="es-ES_tradnl" w:eastAsia="es-ES_tradnl"/>
        </w:rPr>
        <w:t>iii</w:t>
      </w:r>
      <w:proofErr w:type="spellEnd"/>
      <w:r w:rsidRPr="00C4589F">
        <w:rPr>
          <w:rFonts w:ascii="Arial" w:eastAsia="Calibri" w:hAnsi="Arial" w:cs="Arial"/>
          <w:color w:val="000000"/>
          <w:lang w:val="es-ES_tradnl" w:eastAsia="es-ES_tradnl"/>
        </w:rPr>
        <w:t xml:space="preserve">) criterios diferenciales para emprendimientos y empresas de mujeres en el sistema de compras públicas, </w:t>
      </w:r>
      <w:proofErr w:type="spellStart"/>
      <w:r w:rsidRPr="00C4589F">
        <w:rPr>
          <w:rFonts w:ascii="Arial" w:eastAsia="Calibri" w:hAnsi="Arial" w:cs="Arial"/>
          <w:color w:val="000000"/>
          <w:lang w:val="es-ES_tradnl" w:eastAsia="es-ES_tradnl"/>
        </w:rPr>
        <w:t>iv</w:t>
      </w:r>
      <w:proofErr w:type="spellEnd"/>
      <w:r w:rsidRPr="00C4589F">
        <w:rPr>
          <w:rFonts w:ascii="Arial" w:eastAsia="Calibri" w:hAnsi="Arial" w:cs="Arial"/>
          <w:color w:val="000000"/>
          <w:lang w:val="es-ES_tradnl" w:eastAsia="es-ES_tradnl"/>
        </w:rPr>
        <w:t xml:space="preserve">) promoción del acceso de las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917298">
        <w:rPr>
          <w:rFonts w:ascii="Arial" w:eastAsia="Calibri" w:hAnsi="Arial" w:cs="Arial"/>
          <w:color w:val="000000"/>
          <w:lang w:val="es-ES_tradnl" w:eastAsia="es-ES_tradnl"/>
        </w:rPr>
        <w:t>l</w:t>
      </w:r>
      <w:r w:rsidRPr="00C4589F">
        <w:rPr>
          <w:rFonts w:ascii="Arial" w:eastAsia="Calibri" w:hAnsi="Arial" w:cs="Arial"/>
          <w:color w:val="000000"/>
          <w:lang w:val="es-ES_tradnl" w:eastAsia="es-ES_tradnl"/>
        </w:rPr>
        <w:t xml:space="preserve">ey, a </w:t>
      </w:r>
      <w:proofErr w:type="gramStart"/>
      <w:r w:rsidRPr="00C4589F">
        <w:rPr>
          <w:rFonts w:ascii="Arial" w:eastAsia="Calibri" w:hAnsi="Arial" w:cs="Arial"/>
          <w:color w:val="000000"/>
          <w:lang w:val="es-ES_tradnl" w:eastAsia="es-ES_tradnl"/>
        </w:rPr>
        <w:t>continuación</w:t>
      </w:r>
      <w:proofErr w:type="gramEnd"/>
      <w:r w:rsidRPr="00C4589F">
        <w:rPr>
          <w:rFonts w:ascii="Arial" w:eastAsia="Calibri" w:hAnsi="Arial" w:cs="Arial"/>
          <w:color w:val="000000"/>
          <w:lang w:val="es-ES_tradnl" w:eastAsia="es-ES_tradnl"/>
        </w:rPr>
        <w:t xml:space="preserve"> se estudiará el contenido y alcance de dicha norma.  </w:t>
      </w:r>
    </w:p>
    <w:p w14:paraId="5E8D1FB4" w14:textId="77777777" w:rsidR="00C4589F" w:rsidRPr="00C4589F" w:rsidRDefault="00C4589F" w:rsidP="00693535">
      <w:pPr>
        <w:spacing w:after="0" w:line="276" w:lineRule="auto"/>
        <w:jc w:val="both"/>
        <w:rPr>
          <w:rFonts w:ascii="Arial" w:eastAsia="Calibri" w:hAnsi="Arial" w:cs="Arial"/>
          <w:b/>
          <w:bCs/>
          <w:color w:val="000000"/>
          <w:lang w:val="es-ES_tradnl" w:eastAsia="es-ES_tradnl"/>
        </w:rPr>
      </w:pPr>
    </w:p>
    <w:p w14:paraId="67061268" w14:textId="40BC5793" w:rsidR="00C4589F" w:rsidRPr="006F34B1" w:rsidRDefault="00C4589F" w:rsidP="00693535">
      <w:pPr>
        <w:spacing w:after="0" w:line="276" w:lineRule="auto"/>
        <w:jc w:val="both"/>
        <w:rPr>
          <w:rFonts w:ascii="Arial" w:eastAsia="Calibri" w:hAnsi="Arial" w:cs="Arial"/>
          <w:b/>
          <w:bCs/>
          <w:color w:val="000000"/>
          <w:lang w:val="es-ES_tradnl" w:eastAsia="es-ES_tradnl"/>
        </w:rPr>
      </w:pPr>
      <w:r w:rsidRPr="006F34B1">
        <w:rPr>
          <w:rFonts w:ascii="Arial" w:eastAsia="Calibri" w:hAnsi="Arial" w:cs="Arial"/>
          <w:b/>
          <w:bCs/>
          <w:color w:val="000000"/>
          <w:lang w:val="es-ES_tradnl" w:eastAsia="es-ES_tradnl"/>
        </w:rPr>
        <w:t>2.3.</w:t>
      </w:r>
      <w:r w:rsidR="006F34B1" w:rsidRPr="006F34B1">
        <w:rPr>
          <w:rFonts w:ascii="Arial" w:eastAsia="Calibri" w:hAnsi="Arial" w:cs="Arial"/>
          <w:b/>
          <w:bCs/>
          <w:color w:val="000000" w:themeColor="text1"/>
          <w:lang w:val="es-ES_tradnl"/>
        </w:rPr>
        <w:t xml:space="preserve"> Derogatoria producida por el artículo 35 de la Ley 2069 de 2020 a los factores de desempate del Decreto 1082 de 2015</w:t>
      </w:r>
      <w:r w:rsidR="00825A83">
        <w:rPr>
          <w:rFonts w:ascii="Arial" w:eastAsia="Calibri" w:hAnsi="Arial" w:cs="Arial"/>
          <w:b/>
          <w:bCs/>
          <w:color w:val="000000" w:themeColor="text1"/>
          <w:lang w:val="es-ES_tradnl"/>
        </w:rPr>
        <w:t>: especial referencia a</w:t>
      </w:r>
      <w:r w:rsidRPr="006F34B1">
        <w:rPr>
          <w:rFonts w:ascii="Arial" w:eastAsia="Calibri" w:hAnsi="Arial" w:cs="Arial"/>
          <w:b/>
          <w:bCs/>
          <w:color w:val="000000"/>
          <w:lang w:val="es-ES_tradnl" w:eastAsia="es-ES_tradnl"/>
        </w:rPr>
        <w:t xml:space="preserve"> la subasta inversa</w:t>
      </w:r>
      <w:r w:rsidR="006F34B1" w:rsidRPr="006F34B1">
        <w:rPr>
          <w:rFonts w:ascii="Arial" w:eastAsia="Calibri" w:hAnsi="Arial" w:cs="Arial"/>
          <w:b/>
          <w:bCs/>
          <w:color w:val="000000"/>
          <w:lang w:val="es-ES_tradnl" w:eastAsia="es-ES_tradnl"/>
        </w:rPr>
        <w:t xml:space="preserve"> y la mínima cuantía. </w:t>
      </w:r>
    </w:p>
    <w:p w14:paraId="6EFD0DB3" w14:textId="77777777" w:rsidR="00C4589F" w:rsidRPr="00C4589F" w:rsidRDefault="00C4589F" w:rsidP="006F34B1">
      <w:pPr>
        <w:spacing w:after="0" w:line="276" w:lineRule="auto"/>
        <w:jc w:val="both"/>
        <w:rPr>
          <w:rFonts w:ascii="Arial" w:eastAsia="Calibri" w:hAnsi="Arial" w:cs="Arial"/>
          <w:color w:val="000000"/>
          <w:lang w:val="es-ES_tradnl" w:eastAsia="es-ES_tradnl"/>
        </w:rPr>
      </w:pPr>
    </w:p>
    <w:p w14:paraId="7D0377C5" w14:textId="1E11B38D" w:rsidR="00C4589F" w:rsidRPr="00C4589F" w:rsidRDefault="00C4589F" w:rsidP="00C4589F">
      <w:pPr>
        <w:spacing w:after="0" w:line="276" w:lineRule="auto"/>
        <w:jc w:val="both"/>
        <w:rPr>
          <w:rFonts w:ascii="Arial" w:eastAsia="Calibri" w:hAnsi="Arial" w:cs="Arial"/>
          <w:color w:val="000000"/>
          <w:lang w:val="es-ES_tradnl" w:eastAsia="es-ES_tradnl"/>
        </w:rPr>
      </w:pPr>
      <w:bookmarkStart w:id="9" w:name="_Hlk67490464"/>
      <w:r w:rsidRPr="00C4589F">
        <w:rPr>
          <w:rFonts w:ascii="Arial" w:eastAsia="Calibri" w:hAnsi="Arial" w:cs="Arial"/>
          <w:color w:val="000000"/>
          <w:lang w:val="es-ES_tradnl" w:eastAsia="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a los procesos de selección abreviada por subasta inversa</w:t>
      </w:r>
      <w:r w:rsidR="006F34B1">
        <w:rPr>
          <w:rFonts w:ascii="Arial" w:eastAsia="Calibri" w:hAnsi="Arial" w:cs="Arial"/>
          <w:color w:val="000000"/>
          <w:lang w:val="es-ES_tradnl" w:eastAsia="es-ES_tradnl"/>
        </w:rPr>
        <w:t xml:space="preserve"> y los </w:t>
      </w:r>
      <w:r w:rsidR="00EA3A59">
        <w:rPr>
          <w:rFonts w:ascii="Arial" w:eastAsia="Calibri" w:hAnsi="Arial" w:cs="Arial"/>
          <w:color w:val="000000"/>
          <w:lang w:val="es-ES_tradnl" w:eastAsia="es-ES_tradnl"/>
        </w:rPr>
        <w:t xml:space="preserve">procedimientos </w:t>
      </w:r>
      <w:r w:rsidR="006F34B1">
        <w:rPr>
          <w:rFonts w:ascii="Arial" w:eastAsia="Calibri" w:hAnsi="Arial" w:cs="Arial"/>
          <w:color w:val="000000"/>
          <w:lang w:val="es-ES_tradnl" w:eastAsia="es-ES_tradnl"/>
        </w:rPr>
        <w:t>de mínima cuantía</w:t>
      </w:r>
      <w:r w:rsidRPr="00C4589F">
        <w:rPr>
          <w:rFonts w:ascii="Arial" w:eastAsia="Calibri" w:hAnsi="Arial" w:cs="Arial"/>
          <w:color w:val="000000"/>
          <w:lang w:val="es-ES_tradnl" w:eastAsia="es-ES_tradnl"/>
        </w:rPr>
        <w:t>,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0916C891" w14:textId="14787B32"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Al respecto, </w:t>
      </w:r>
      <w:r w:rsidRPr="00C4589F">
        <w:rPr>
          <w:rFonts w:ascii="Arial" w:eastAsia="Calibri" w:hAnsi="Arial" w:cs="Arial"/>
          <w:lang w:val="es-ES_tradnl" w:eastAsia="es-ES_tradnl"/>
        </w:rPr>
        <w:t>pese a que el parágrafo 3 dispone que el Gobierno Nacional podrá regular los supuestos en que concurran dos o más factores de desempate,</w:t>
      </w:r>
      <w:r w:rsidRPr="00C4589F">
        <w:rPr>
          <w:rFonts w:ascii="Arial" w:eastAsia="Calibri" w:hAnsi="Arial" w:cs="Arial"/>
          <w:color w:val="000000"/>
          <w:lang w:val="es-ES_tradnl" w:eastAsia="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w:t>
      </w:r>
      <w:r w:rsidR="00825A83">
        <w:rPr>
          <w:rFonts w:ascii="Arial" w:eastAsia="Calibri" w:hAnsi="Arial" w:cs="Arial"/>
          <w:color w:val="000000"/>
          <w:lang w:val="es-ES_tradnl" w:eastAsia="es-ES_tradnl"/>
        </w:rPr>
        <w:t>l</w:t>
      </w:r>
      <w:r w:rsidRPr="00C4589F">
        <w:rPr>
          <w:rFonts w:ascii="Arial" w:eastAsia="Calibri" w:hAnsi="Arial" w:cs="Arial"/>
          <w:color w:val="000000"/>
          <w:lang w:val="es-ES_tradnl" w:eastAsia="es-ES_tradnl"/>
        </w:rPr>
        <w:t xml:space="preserve">ey. </w:t>
      </w:r>
    </w:p>
    <w:p w14:paraId="4A1909DD"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Por ejemplo, en lo que a las compras públicas se refiere, el parágrafo primero del artículo 30, que alude a la participación de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xml:space="preserve"> en procedimientos de mínima cuantía, establece que «Las particularidades del procedimiento aquí previsto, así como la posibilidad que tengan las entidades de realizar estas adquisiciones a </w:t>
      </w:r>
      <w:proofErr w:type="spellStart"/>
      <w:r w:rsidRPr="00C4589F">
        <w:rPr>
          <w:rFonts w:ascii="Arial" w:eastAsia="Calibri" w:hAnsi="Arial" w:cs="Arial"/>
          <w:color w:val="000000"/>
          <w:lang w:val="es-ES_tradnl" w:eastAsia="es-ES_tradnl"/>
        </w:rPr>
        <w:t>Mipymes</w:t>
      </w:r>
      <w:proofErr w:type="spellEnd"/>
      <w:r w:rsidRPr="00C4589F">
        <w:rPr>
          <w:rFonts w:ascii="Arial" w:eastAsia="Calibri" w:hAnsi="Arial" w:cs="Arial"/>
          <w:color w:val="000000"/>
          <w:lang w:val="es-ES_tradnl" w:eastAsia="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3D9C3D0D"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lastRenderedPageBreak/>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2DDEE66D" w14:textId="77777777" w:rsidR="00C4589F" w:rsidRPr="00C4589F" w:rsidRDefault="00C4589F" w:rsidP="00C4589F">
      <w:pPr>
        <w:spacing w:before="120" w:after="0" w:line="276" w:lineRule="auto"/>
        <w:ind w:firstLine="708"/>
        <w:jc w:val="both"/>
        <w:rPr>
          <w:rFonts w:ascii="Arial" w:eastAsia="Calibri" w:hAnsi="Arial" w:cs="Arial"/>
          <w:lang w:val="es-ES_tradnl" w:eastAsia="es-ES_tradnl"/>
        </w:rPr>
      </w:pPr>
      <w:r w:rsidRPr="00C4589F">
        <w:rPr>
          <w:rFonts w:ascii="Arial" w:eastAsia="Calibri" w:hAnsi="Arial" w:cs="Arial"/>
          <w:color w:val="000000"/>
          <w:lang w:val="es-ES_tradnl" w:eastAsia="es-ES_tradnl"/>
        </w:rPr>
        <w:t xml:space="preserve">Lo mismo no sucede con el artículo 35. </w:t>
      </w:r>
      <w:r w:rsidRPr="00C4589F">
        <w:rPr>
          <w:rFonts w:ascii="Arial" w:eastAsia="Calibri" w:hAnsi="Arial" w:cs="Arial"/>
          <w:lang w:val="es-ES_tradnl" w:eastAsia="es-ES_tradnl"/>
        </w:rPr>
        <w:t xml:space="preserve">En efecto, </w:t>
      </w:r>
      <w:r w:rsidRPr="00C4589F">
        <w:rPr>
          <w:rFonts w:ascii="Arial" w:eastAsia="Times New Roman" w:hAnsi="Arial" w:cs="Arial"/>
          <w:color w:val="000000"/>
          <w:lang w:val="es-ES_tradnl" w:eastAsia="es-ES_tradnl"/>
        </w:rPr>
        <w:t>si bien los factores de desempate regulados en el artículo 35 deben aplicarse «</w:t>
      </w:r>
      <w:r w:rsidRPr="00C4589F">
        <w:rPr>
          <w:rFonts w:ascii="Arial" w:eastAsia="Times New Roman" w:hAnsi="Arial" w:cs="Arial"/>
          <w:sz w:val="24"/>
          <w:szCs w:val="24"/>
          <w:lang w:val="es-ES_tradnl" w:eastAsia="es-ES_tradnl"/>
        </w:rPr>
        <w:t xml:space="preserve">[…] </w:t>
      </w:r>
      <w:r w:rsidRPr="00C4589F">
        <w:rPr>
          <w:rFonts w:ascii="Arial" w:eastAsia="Times New Roman" w:hAnsi="Arial" w:cs="Arial"/>
          <w:color w:val="000000"/>
          <w:lang w:val="es-ES_tradnl" w:eastAsia="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C4589F">
        <w:rPr>
          <w:rFonts w:ascii="Arial" w:eastAsia="Calibri" w:hAnsi="Arial" w:cs="Arial"/>
          <w:color w:val="000000"/>
          <w:lang w:val="es-ES_tradnl" w:eastAsia="es-ES_tradnl"/>
        </w:rPr>
        <w:t xml:space="preserve"> </w:t>
      </w:r>
    </w:p>
    <w:p w14:paraId="5B3AC11B"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C4589F">
        <w:rPr>
          <w:rFonts w:ascii="Arial" w:eastAsia="Calibri" w:hAnsi="Arial" w:cs="Arial"/>
          <w:i/>
          <w:iCs/>
          <w:color w:val="000000"/>
          <w:lang w:val="es-ES_tradnl" w:eastAsia="es-ES_tradnl"/>
        </w:rPr>
        <w:t>podrá reglamentar</w:t>
      </w:r>
      <w:r w:rsidRPr="00C4589F">
        <w:rPr>
          <w:rFonts w:ascii="Arial" w:eastAsia="Calibri" w:hAnsi="Arial" w:cs="Arial"/>
          <w:color w:val="000000"/>
          <w:lang w:val="es-ES_tradnl" w:eastAsia="es-ES_tradnl"/>
        </w:rPr>
        <w:t xml:space="preserve"> la aplicación de factores de desempate en casos en que concurran dos o más de los factores aquí previstos» (Énfasis fuera de texto).</w:t>
      </w:r>
    </w:p>
    <w:p w14:paraId="780F1D05" w14:textId="77777777" w:rsidR="00C4589F" w:rsidRPr="00C4589F" w:rsidRDefault="00C4589F" w:rsidP="00C4589F">
      <w:pPr>
        <w:spacing w:before="120" w:after="0" w:line="276" w:lineRule="auto"/>
        <w:ind w:firstLine="709"/>
        <w:jc w:val="both"/>
        <w:rPr>
          <w:rFonts w:ascii="Arial" w:eastAsia="Calibri" w:hAnsi="Arial" w:cs="Arial"/>
          <w:color w:val="000000"/>
          <w:lang w:val="es-ES_tradnl" w:eastAsia="es-ES_tradnl"/>
        </w:rPr>
      </w:pPr>
      <w:r w:rsidRPr="00C4589F">
        <w:rPr>
          <w:rFonts w:ascii="Arial" w:eastAsia="Calibri" w:hAnsi="Arial" w:cs="Arial"/>
          <w:color w:val="000000"/>
          <w:lang w:val="es-ES_tradnl" w:eastAsia="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6D93E73" w14:textId="77777777" w:rsidR="00C4589F" w:rsidRDefault="00C4589F" w:rsidP="00C4589F">
      <w:pPr>
        <w:spacing w:before="120" w:after="0" w:line="276" w:lineRule="auto"/>
        <w:ind w:firstLine="709"/>
        <w:jc w:val="both"/>
        <w:rPr>
          <w:rFonts w:ascii="Arial" w:eastAsia="Times New Roman" w:hAnsi="Arial" w:cs="Arial"/>
          <w:color w:val="000000"/>
          <w:lang w:val="es-ES_tradnl" w:eastAsia="es-ES_tradnl"/>
        </w:rPr>
      </w:pPr>
      <w:r w:rsidRPr="00C4589F">
        <w:rPr>
          <w:rFonts w:ascii="Arial" w:eastAsia="Times New Roman" w:hAnsi="Arial" w:cs="Arial"/>
          <w:color w:val="000000"/>
          <w:lang w:val="es-ES_tradnl" w:eastAsia="es-ES_tradnl"/>
        </w:rPr>
        <w:t xml:space="preserve">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w:t>
      </w:r>
      <w:r w:rsidRPr="00C4589F">
        <w:rPr>
          <w:rFonts w:ascii="Arial" w:eastAsia="Times New Roman" w:hAnsi="Arial" w:cs="Arial"/>
          <w:color w:val="000000"/>
          <w:lang w:val="es-ES_tradnl" w:eastAsia="es-ES_tradnl"/>
        </w:rPr>
        <w:lastRenderedPageBreak/>
        <w:t>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5DD13D9D" w14:textId="6D1AEA01" w:rsidR="00FE3FCA" w:rsidRPr="00FE3FCA" w:rsidRDefault="00FE3FCA" w:rsidP="00FE3FCA">
      <w:pPr>
        <w:spacing w:before="120" w:after="0" w:line="276" w:lineRule="auto"/>
        <w:ind w:firstLine="709"/>
        <w:jc w:val="both"/>
        <w:rPr>
          <w:rFonts w:ascii="Arial" w:eastAsia="Times New Roman" w:hAnsi="Arial" w:cs="Arial"/>
          <w:color w:val="000000"/>
          <w:lang w:val="es-ES_tradnl" w:eastAsia="es-ES_tradnl"/>
        </w:rPr>
      </w:pPr>
      <w:r w:rsidRPr="00FE3FCA">
        <w:rPr>
          <w:rFonts w:ascii="Arial" w:eastAsia="Times New Roman" w:hAnsi="Arial" w:cs="Arial"/>
          <w:color w:val="000000"/>
          <w:lang w:val="es-ES_tradnl" w:eastAsia="es-ES_tradnl"/>
        </w:rPr>
        <w:t>Ahora bien, hasta la promulgación de la Ley 2069 de 2020, el artículo 2.2.1.1.2.2.9. del Decreto 1082 de 2015 regulaba los factores de desempate que debían aplicarse en los procesos de selección</w:t>
      </w:r>
      <w:r w:rsidRPr="00FE3FCA">
        <w:rPr>
          <w:rFonts w:ascii="Arial" w:eastAsia="Times New Roman" w:hAnsi="Arial" w:cs="Arial"/>
          <w:color w:val="000000"/>
          <w:vertAlign w:val="superscript"/>
          <w:lang w:val="es-ES_tradnl" w:eastAsia="es-ES_tradnl"/>
        </w:rPr>
        <w:footnoteReference w:id="9"/>
      </w:r>
      <w:r w:rsidRPr="00FE3FCA">
        <w:rPr>
          <w:rFonts w:ascii="Arial" w:eastAsia="Times New Roman" w:hAnsi="Arial" w:cs="Arial"/>
          <w:color w:val="000000"/>
          <w:lang w:val="es-ES_tradnl" w:eastAsia="es-ES_tradnl"/>
        </w:rPr>
        <w:t xml:space="preserve">. En criterio de esta Agencia, dicha norma debe entenderse derogada por el artículo 35 de la Ley 2069 de 2020. Ello no solo porque el artículo 84 </w:t>
      </w:r>
      <w:r w:rsidR="00C91858">
        <w:rPr>
          <w:rFonts w:ascii="Arial" w:eastAsia="Times New Roman" w:hAnsi="Arial" w:cs="Arial"/>
          <w:color w:val="000000"/>
          <w:lang w:val="es-ES_tradnl" w:eastAsia="es-ES_tradnl"/>
        </w:rPr>
        <w:t>dispone</w:t>
      </w:r>
      <w:r w:rsidRPr="00FE3FCA">
        <w:rPr>
          <w:rFonts w:ascii="Arial" w:eastAsia="Times New Roman" w:hAnsi="Arial" w:cs="Arial"/>
          <w:color w:val="000000"/>
          <w:lang w:val="es-ES_tradnl" w:eastAsia="es-ES_tradnl"/>
        </w:rPr>
        <w:t xml:space="preserv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3F358E25" w14:textId="77777777" w:rsidR="00FE3FCA" w:rsidRPr="00FE3FCA" w:rsidRDefault="00FE3FCA" w:rsidP="00FE3FCA">
      <w:pPr>
        <w:spacing w:before="120" w:after="0" w:line="276" w:lineRule="auto"/>
        <w:ind w:firstLine="709"/>
        <w:jc w:val="both"/>
        <w:rPr>
          <w:rFonts w:ascii="Arial" w:eastAsia="Times New Roman" w:hAnsi="Arial" w:cs="Arial"/>
          <w:color w:val="000000"/>
          <w:lang w:val="es-ES_tradnl" w:eastAsia="es-ES_tradnl"/>
        </w:rPr>
      </w:pPr>
      <w:r w:rsidRPr="00FE3FCA">
        <w:rPr>
          <w:rFonts w:ascii="Arial" w:eastAsia="Times New Roman" w:hAnsi="Arial" w:cs="Arial"/>
          <w:color w:val="000000"/>
          <w:lang w:val="es-ES_tradnl" w:eastAsia="es-ES_tradnl"/>
        </w:rPr>
        <w:t xml:space="preserve">Un argumento adicional para sostener esta tesis tiene que ver con el fenómeno de la pérdida de fuerza ejecutoria –o decaimiento– de los actos administrativos, regulado en el </w:t>
      </w:r>
      <w:r w:rsidRPr="00FE3FCA">
        <w:rPr>
          <w:rFonts w:ascii="Arial" w:eastAsia="Times New Roman" w:hAnsi="Arial" w:cs="Arial"/>
          <w:color w:val="000000"/>
          <w:lang w:val="es-ES_tradnl" w:eastAsia="es-ES_tradnl"/>
        </w:rPr>
        <w:lastRenderedPageBreak/>
        <w:t xml:space="preserve">numeral 2 del artículo 91 de la Ley 1437 de 2011. Esta norma señala que los actos administrativos pierden fuerza ejecutoria «Cuando desaparezcan sus fundamentos de hecho o de derecho». </w:t>
      </w:r>
      <w:bookmarkStart w:id="10" w:name="_Hlk62546732"/>
      <w:r w:rsidRPr="00FE3FCA">
        <w:rPr>
          <w:rFonts w:ascii="Arial" w:eastAsia="Times New Roman" w:hAnsi="Arial" w:cs="Arial"/>
          <w:color w:val="000000"/>
          <w:lang w:val="es-ES_tradnl" w:eastAsia="es-ES_tradnl"/>
        </w:rPr>
        <w:t xml:space="preserve">Dado que el Decreto 1082 de 2015 es un reglamento </w:t>
      </w:r>
      <w:proofErr w:type="spellStart"/>
      <w:r w:rsidRPr="00FE3FCA">
        <w:rPr>
          <w:rFonts w:ascii="Arial" w:eastAsia="Times New Roman" w:hAnsi="Arial" w:cs="Arial"/>
          <w:i/>
          <w:iCs/>
          <w:color w:val="000000"/>
          <w:lang w:val="es-ES_tradnl" w:eastAsia="es-ES_tradnl"/>
        </w:rPr>
        <w:t>secundum</w:t>
      </w:r>
      <w:proofErr w:type="spellEnd"/>
      <w:r w:rsidRPr="00FE3FCA">
        <w:rPr>
          <w:rFonts w:ascii="Arial" w:eastAsia="Times New Roman" w:hAnsi="Arial" w:cs="Arial"/>
          <w:i/>
          <w:iCs/>
          <w:color w:val="000000"/>
          <w:lang w:val="es-ES_tradnl" w:eastAsia="es-ES_tradnl"/>
        </w:rPr>
        <w:t xml:space="preserve"> </w:t>
      </w:r>
      <w:proofErr w:type="spellStart"/>
      <w:r w:rsidRPr="00FE3FCA">
        <w:rPr>
          <w:rFonts w:ascii="Arial" w:eastAsia="Times New Roman" w:hAnsi="Arial" w:cs="Arial"/>
          <w:i/>
          <w:iCs/>
          <w:color w:val="000000"/>
          <w:lang w:val="es-ES_tradnl" w:eastAsia="es-ES_tradnl"/>
        </w:rPr>
        <w:t>legem</w:t>
      </w:r>
      <w:proofErr w:type="spellEnd"/>
      <w:r w:rsidRPr="00FE3FCA">
        <w:rPr>
          <w:rFonts w:ascii="Arial" w:eastAsia="Times New Roman" w:hAnsi="Arial" w:cs="Arial"/>
          <w:color w:val="000000"/>
          <w:lang w:val="es-ES_tradnl" w:eastAsia="es-ES_tradnl"/>
        </w:rPr>
        <w:t xml:space="preserve"> –es decir, que desarrolla una norma de mayor jerarquía–, la expedición de una ley en sentido formal –es decir, una fuente que condiciona el contenido de este último–, hace que la disposición reglamentaria decaiga</w:t>
      </w:r>
      <w:bookmarkEnd w:id="10"/>
      <w:r w:rsidRPr="00FE3FCA">
        <w:rPr>
          <w:rFonts w:ascii="Arial" w:eastAsia="Times New Roman" w:hAnsi="Arial" w:cs="Arial"/>
          <w:color w:val="000000"/>
          <w:lang w:val="es-ES_tradnl" w:eastAsia="es-ES_tradnl"/>
        </w:rPr>
        <w:t xml:space="preserve">.   </w:t>
      </w:r>
    </w:p>
    <w:p w14:paraId="0A7946EF" w14:textId="7E85B60B" w:rsidR="00C4589F" w:rsidRPr="00C4589F" w:rsidRDefault="00C4589F" w:rsidP="00C4589F">
      <w:pPr>
        <w:spacing w:before="120" w:after="0" w:line="276" w:lineRule="auto"/>
        <w:ind w:firstLine="709"/>
        <w:jc w:val="both"/>
        <w:rPr>
          <w:rFonts w:ascii="Arial" w:eastAsia="Times New Roman" w:hAnsi="Arial" w:cs="Arial"/>
          <w:color w:val="000000"/>
          <w:lang w:val="es-ES_tradnl" w:eastAsia="es-ES_tradnl"/>
        </w:rPr>
      </w:pPr>
      <w:r w:rsidRPr="00C4589F">
        <w:rPr>
          <w:rFonts w:ascii="Arial" w:eastAsia="Times New Roman" w:hAnsi="Arial" w:cs="Arial"/>
          <w:color w:val="000000" w:themeColor="text1"/>
          <w:lang w:val="es-ES_tradnl" w:eastAsia="es-ES_tradnl"/>
        </w:rPr>
        <w:t xml:space="preserve">Lo expuesto en los dos (2) párrafos precedentes también aplica </w:t>
      </w:r>
      <w:r w:rsidRPr="00C4589F">
        <w:rPr>
          <w:rFonts w:ascii="Arial" w:eastAsia="Times New Roman" w:hAnsi="Arial" w:cs="Arial"/>
          <w:i/>
          <w:iCs/>
          <w:color w:val="000000" w:themeColor="text1"/>
          <w:lang w:val="es-ES_tradnl" w:eastAsia="es-ES_tradnl"/>
        </w:rPr>
        <w:t>mutatis mutandis</w:t>
      </w:r>
      <w:r w:rsidRPr="00C4589F">
        <w:rPr>
          <w:rFonts w:ascii="Arial" w:eastAsia="Times New Roman" w:hAnsi="Arial" w:cs="Arial"/>
          <w:color w:val="000000" w:themeColor="text1"/>
          <w:lang w:val="es-ES_tradnl" w:eastAsia="es-ES_tradnl"/>
        </w:rPr>
        <w:t xml:space="preserve"> a los factores de desempate previstos en el Decreto Único Reglamentario del Sector Administrativo de Planeación Nacional, para los procedimientos de subasta inversa y mínima cuantía. Así las cosas</w:t>
      </w:r>
      <w:r w:rsidRPr="00C4589F">
        <w:rPr>
          <w:rFonts w:ascii="Arial" w:eastAsia="Times New Roman" w:hAnsi="Arial" w:cs="Arial"/>
          <w:color w:val="000000"/>
          <w:lang w:val="es-ES_tradnl" w:eastAsia="es-ES_tradnl"/>
        </w:rPr>
        <w:t xml:space="preserve">, el legislador estableció en el primer inciso del artículo 35 de la ley 2069 de 2020, que los factores de desempate regulados en esta norma aplican en todos los procesos de selección, desarrollados tanto por las entidades sometidas al Estatuto General de Contratación de la Administración Pública, como por las exceptuadas de este. En efecto, </w:t>
      </w:r>
      <w:r w:rsidR="00A52EC8">
        <w:rPr>
          <w:rFonts w:ascii="Arial" w:eastAsia="Times New Roman" w:hAnsi="Arial" w:cs="Arial"/>
          <w:color w:val="000000"/>
          <w:lang w:val="es-ES_tradnl" w:eastAsia="es-ES_tradnl"/>
        </w:rPr>
        <w:t>este</w:t>
      </w:r>
      <w:r w:rsidRPr="00C4589F">
        <w:rPr>
          <w:rFonts w:ascii="Arial" w:eastAsia="Times New Roman" w:hAnsi="Arial" w:cs="Arial"/>
          <w:color w:val="000000"/>
          <w:lang w:val="es-ES_tradnl" w:eastAsia="es-ES_tradnl"/>
        </w:rPr>
        <w:t xml:space="preserve"> inciso </w:t>
      </w:r>
      <w:r w:rsidR="00A52EC8">
        <w:rPr>
          <w:rFonts w:ascii="Arial" w:eastAsia="Times New Roman" w:hAnsi="Arial" w:cs="Arial"/>
          <w:color w:val="000000"/>
          <w:lang w:val="es-ES_tradnl" w:eastAsia="es-ES_tradnl"/>
        </w:rPr>
        <w:t>dispone</w:t>
      </w:r>
      <w:r w:rsidRPr="00C4589F">
        <w:rPr>
          <w:rFonts w:ascii="Arial" w:eastAsia="Times New Roman" w:hAnsi="Arial" w:cs="Arial"/>
          <w:color w:val="000000"/>
          <w:lang w:val="es-ES_tradnl" w:eastAsia="es-ES_tradnl"/>
        </w:rPr>
        <w:t xml:space="preserve"> lo siguiente: </w:t>
      </w:r>
    </w:p>
    <w:p w14:paraId="69A305B4" w14:textId="77777777" w:rsidR="00C4589F" w:rsidRPr="00C4589F" w:rsidRDefault="00C4589F" w:rsidP="00C4589F">
      <w:pPr>
        <w:spacing w:after="0" w:line="240" w:lineRule="auto"/>
        <w:ind w:left="709" w:right="709"/>
        <w:jc w:val="both"/>
        <w:rPr>
          <w:rFonts w:ascii="Arial" w:eastAsia="Times New Roman" w:hAnsi="Arial" w:cs="Arial"/>
          <w:color w:val="000000"/>
          <w:sz w:val="21"/>
          <w:szCs w:val="21"/>
          <w:lang w:val="es-ES_tradnl" w:eastAsia="es-ES_tradnl"/>
        </w:rPr>
      </w:pPr>
    </w:p>
    <w:p w14:paraId="2E1EC427" w14:textId="77777777" w:rsidR="00C4589F" w:rsidRPr="00C4589F" w:rsidRDefault="00C4589F" w:rsidP="00C4589F">
      <w:pPr>
        <w:spacing w:after="0" w:line="240" w:lineRule="auto"/>
        <w:ind w:left="709" w:right="709"/>
        <w:jc w:val="both"/>
        <w:rPr>
          <w:rFonts w:ascii="Arial" w:eastAsia="Times New Roman" w:hAnsi="Arial" w:cs="Arial"/>
          <w:color w:val="000000"/>
          <w:sz w:val="21"/>
          <w:szCs w:val="21"/>
          <w:lang w:val="es-ES_tradnl" w:eastAsia="es-ES_tradnl"/>
        </w:rPr>
      </w:pPr>
      <w:r w:rsidRPr="00C4589F">
        <w:rPr>
          <w:rFonts w:ascii="Arial" w:eastAsia="Times New Roman" w:hAnsi="Arial" w:cs="Arial"/>
          <w:color w:val="000000"/>
          <w:sz w:val="21"/>
          <w:szCs w:val="21"/>
          <w:lang w:val="es-ES_tradnl" w:eastAsia="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w:t>
      </w:r>
    </w:p>
    <w:p w14:paraId="6D57C603" w14:textId="77777777" w:rsidR="00C4589F" w:rsidRPr="00C4589F" w:rsidRDefault="00C4589F" w:rsidP="00C4589F">
      <w:pPr>
        <w:spacing w:after="0" w:line="276" w:lineRule="auto"/>
        <w:ind w:firstLine="709"/>
        <w:jc w:val="both"/>
        <w:rPr>
          <w:rFonts w:ascii="Arial" w:eastAsia="Times New Roman" w:hAnsi="Arial" w:cs="Arial"/>
          <w:color w:val="000000"/>
          <w:lang w:val="es-ES_tradnl" w:eastAsia="es-ES_tradnl"/>
        </w:rPr>
      </w:pPr>
    </w:p>
    <w:p w14:paraId="5B54439F" w14:textId="2423494D" w:rsidR="00C4589F" w:rsidRPr="00C4589F" w:rsidRDefault="00A52EC8" w:rsidP="00C4589F">
      <w:pPr>
        <w:spacing w:after="0" w:line="276" w:lineRule="auto"/>
        <w:ind w:firstLine="709"/>
        <w:jc w:val="both"/>
        <w:rPr>
          <w:rFonts w:ascii="Arial" w:eastAsia="Times New Roman" w:hAnsi="Arial" w:cs="Arial"/>
          <w:color w:val="000000"/>
          <w:lang w:val="es-ES_tradnl" w:eastAsia="es-ES_tradnl"/>
        </w:rPr>
      </w:pPr>
      <w:r>
        <w:rPr>
          <w:rFonts w:ascii="Arial" w:eastAsia="Times New Roman" w:hAnsi="Arial" w:cs="Arial"/>
          <w:color w:val="000000"/>
          <w:lang w:val="es-ES_tradnl" w:eastAsia="es-ES_tradnl"/>
        </w:rPr>
        <w:t>De acuerdo con</w:t>
      </w:r>
      <w:r w:rsidR="00C4589F" w:rsidRPr="00C4589F">
        <w:rPr>
          <w:rFonts w:ascii="Arial" w:eastAsia="Times New Roman" w:hAnsi="Arial" w:cs="Arial"/>
          <w:color w:val="000000"/>
          <w:lang w:val="es-ES_tradnl" w:eastAsia="es-ES_tradnl"/>
        </w:rPr>
        <w:t xml:space="preserve"> la norma transcrita, en cuanto al procedimiento de selección de subasta inversa surge la inquietud de si el artículo 35 de la Ley 2069 de 2020 ha producido también el decaimiento del numeral 9 del artículo 2.2.1.2.1.2.2. del Decreto 1082 de 2015, según el cual «Si al terminar la subasta inversa hay empate, la Entidad Estatal debe seleccionar al oferente que presentó el menor precio inicial. En caso de persistir el empate la Entidad Estatal debe aplicar las reglas del numeral 1 al 5 del artículo 2.2.1.1.2.2.9 del presente decreto».</w:t>
      </w:r>
    </w:p>
    <w:p w14:paraId="4AB2FF35" w14:textId="4E34DC46" w:rsidR="00C4589F" w:rsidRDefault="00C4589F" w:rsidP="00C4589F">
      <w:pPr>
        <w:spacing w:before="120" w:after="0" w:line="276" w:lineRule="auto"/>
        <w:ind w:firstLine="709"/>
        <w:jc w:val="both"/>
        <w:rPr>
          <w:rFonts w:ascii="Arial" w:eastAsia="Times New Roman" w:hAnsi="Arial" w:cs="Arial"/>
          <w:color w:val="000000"/>
          <w:lang w:val="es-ES_tradnl" w:eastAsia="es-ES_tradnl"/>
        </w:rPr>
      </w:pPr>
      <w:r w:rsidRPr="00C4589F">
        <w:rPr>
          <w:rFonts w:ascii="Arial" w:eastAsia="Times New Roman" w:hAnsi="Arial" w:cs="Arial"/>
          <w:color w:val="000000"/>
          <w:lang w:val="es-ES_tradnl" w:eastAsia="es-ES_tradnl"/>
        </w:rPr>
        <w:t xml:space="preserve">Con fundamento en la argumentación </w:t>
      </w:r>
      <w:r w:rsidR="00355EE4">
        <w:rPr>
          <w:rFonts w:ascii="Arial" w:eastAsia="Times New Roman" w:hAnsi="Arial" w:cs="Arial"/>
          <w:color w:val="000000"/>
          <w:lang w:val="es-ES_tradnl" w:eastAsia="es-ES_tradnl"/>
        </w:rPr>
        <w:t>precedente</w:t>
      </w:r>
      <w:r w:rsidRPr="00C4589F">
        <w:rPr>
          <w:rFonts w:ascii="Arial" w:eastAsia="Times New Roman" w:hAnsi="Arial" w:cs="Arial"/>
          <w:color w:val="000000"/>
          <w:lang w:val="es-ES_tradnl" w:eastAsia="es-ES_tradnl"/>
        </w:rPr>
        <w:t>, puede afirmar</w:t>
      </w:r>
      <w:r w:rsidR="00355EE4">
        <w:rPr>
          <w:rFonts w:ascii="Arial" w:eastAsia="Times New Roman" w:hAnsi="Arial" w:cs="Arial"/>
          <w:color w:val="000000"/>
          <w:lang w:val="es-ES_tradnl" w:eastAsia="es-ES_tradnl"/>
        </w:rPr>
        <w:t>se</w:t>
      </w:r>
      <w:r w:rsidRPr="00C4589F">
        <w:rPr>
          <w:rFonts w:ascii="Arial" w:eastAsia="Times New Roman" w:hAnsi="Arial" w:cs="Arial"/>
          <w:color w:val="000000"/>
          <w:lang w:val="es-ES_tradnl" w:eastAsia="es-ES_tradnl"/>
        </w:rPr>
        <w:t xml:space="preserve"> que el numeral 9 del artículo 2.2.1.2.1.2.2. del Decreto 1082 de 2015</w:t>
      </w:r>
      <w:r w:rsidR="00355EE4">
        <w:rPr>
          <w:rFonts w:ascii="Arial" w:eastAsia="Times New Roman" w:hAnsi="Arial" w:cs="Arial"/>
          <w:color w:val="000000"/>
          <w:lang w:val="es-ES_tradnl" w:eastAsia="es-ES_tradnl"/>
        </w:rPr>
        <w:t xml:space="preserve"> también</w:t>
      </w:r>
      <w:r w:rsidRPr="00C4589F">
        <w:rPr>
          <w:rFonts w:ascii="Arial" w:eastAsia="Times New Roman" w:hAnsi="Arial" w:cs="Arial"/>
          <w:color w:val="000000"/>
          <w:lang w:val="es-ES_tradnl" w:eastAsia="es-ES_tradnl"/>
        </w:rPr>
        <w:t xml:space="preserve"> ha perdido fuerza ejecutoria </w:t>
      </w:r>
      <w:r w:rsidR="00D155FC">
        <w:rPr>
          <w:rFonts w:ascii="Arial" w:eastAsia="Times New Roman" w:hAnsi="Arial" w:cs="Arial"/>
          <w:color w:val="000000"/>
          <w:lang w:val="es-ES_tradnl" w:eastAsia="es-ES_tradnl"/>
        </w:rPr>
        <w:t>con</w:t>
      </w:r>
      <w:r w:rsidRPr="00C4589F">
        <w:rPr>
          <w:rFonts w:ascii="Arial" w:eastAsia="Times New Roman" w:hAnsi="Arial" w:cs="Arial"/>
          <w:color w:val="000000"/>
          <w:lang w:val="es-ES_tradnl" w:eastAsia="es-ES_tradnl"/>
        </w:rPr>
        <w:t xml:space="preserve"> la vigencia del artículo 35 de la Ley 2069 de 2020, que contiene una regulación nueva y completa de los factores de desempate que aplica</w:t>
      </w:r>
      <w:r w:rsidR="006561FF">
        <w:rPr>
          <w:rFonts w:ascii="Arial" w:eastAsia="Times New Roman" w:hAnsi="Arial" w:cs="Arial"/>
          <w:color w:val="000000"/>
          <w:lang w:val="es-ES_tradnl" w:eastAsia="es-ES_tradnl"/>
        </w:rPr>
        <w:t>n</w:t>
      </w:r>
      <w:r w:rsidRPr="00C4589F">
        <w:rPr>
          <w:rFonts w:ascii="Arial" w:eastAsia="Times New Roman" w:hAnsi="Arial" w:cs="Arial"/>
          <w:color w:val="000000"/>
          <w:lang w:val="es-ES_tradnl" w:eastAsia="es-ES_tradnl"/>
        </w:rPr>
        <w:t xml:space="preserve"> en los procesos de selección, sin distinguir las modalidades contractuales en las que rigen estos criterios. Por tal razón,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2F65B23D" w14:textId="77777777" w:rsidR="00682DE3" w:rsidRDefault="00682DE3" w:rsidP="00682DE3">
      <w:pPr>
        <w:spacing w:before="120" w:after="120" w:line="276" w:lineRule="auto"/>
        <w:ind w:firstLine="709"/>
        <w:jc w:val="both"/>
        <w:rPr>
          <w:rFonts w:ascii="Arial" w:hAnsi="Arial" w:cs="Arial"/>
          <w:color w:val="000000" w:themeColor="text1"/>
          <w:lang w:val="es-ES_tradnl"/>
        </w:rPr>
      </w:pPr>
      <w:bookmarkStart w:id="11" w:name="_Hlk64445869"/>
      <w:r w:rsidRPr="00337B9F">
        <w:rPr>
          <w:rFonts w:ascii="Arial" w:hAnsi="Arial" w:cs="Arial"/>
          <w:color w:val="000000" w:themeColor="text1"/>
          <w:lang w:val="es-ES_tradnl"/>
        </w:rPr>
        <w:t xml:space="preserve">Esta afirmación se sustenta en el criterio </w:t>
      </w:r>
      <w:r w:rsidRPr="00337B9F">
        <w:rPr>
          <w:rFonts w:ascii="Arial" w:hAnsi="Arial" w:cs="Arial"/>
          <w:i/>
          <w:iCs/>
          <w:color w:val="000000" w:themeColor="text1"/>
          <w:lang w:val="es-ES_tradnl"/>
        </w:rPr>
        <w:t xml:space="preserve">Lex posterior </w:t>
      </w:r>
      <w:proofErr w:type="spellStart"/>
      <w:r w:rsidRPr="00337B9F">
        <w:rPr>
          <w:rFonts w:ascii="Arial" w:hAnsi="Arial" w:cs="Arial"/>
          <w:i/>
          <w:iCs/>
          <w:color w:val="000000" w:themeColor="text1"/>
          <w:lang w:val="es-ES_tradnl"/>
        </w:rPr>
        <w:t>derogat</w:t>
      </w:r>
      <w:proofErr w:type="spellEnd"/>
      <w:r w:rsidRPr="00337B9F">
        <w:rPr>
          <w:rFonts w:ascii="Arial" w:hAnsi="Arial" w:cs="Arial"/>
          <w:i/>
          <w:iCs/>
          <w:color w:val="000000" w:themeColor="text1"/>
          <w:lang w:val="es-ES_tradnl"/>
        </w:rPr>
        <w:t xml:space="preserve"> priori</w:t>
      </w:r>
      <w:r w:rsidRPr="00337B9F">
        <w:rPr>
          <w:rFonts w:ascii="Arial" w:hAnsi="Arial" w:cs="Arial"/>
          <w:color w:val="000000" w:themeColor="text1"/>
          <w:lang w:val="es-ES_tradnl"/>
        </w:rPr>
        <w:t xml:space="preserve">, cuya aplicación se encuentran prevista en el artículo 2 de la ley 153 de 1887. Además, con el fin de descartar </w:t>
      </w:r>
      <w:r w:rsidRPr="00337B9F">
        <w:rPr>
          <w:rFonts w:ascii="Arial" w:hAnsi="Arial" w:cs="Arial"/>
          <w:color w:val="000000" w:themeColor="text1"/>
          <w:lang w:val="es-ES_tradnl"/>
        </w:rPr>
        <w:lastRenderedPageBreak/>
        <w:t>la aplicación criterio de especialidad, la jurisprudencia constitucional explica que este criterio no es aplicable cuando se trata de preceptos de distinta jerarquía</w:t>
      </w:r>
      <w:r w:rsidRPr="00337B9F">
        <w:rPr>
          <w:rStyle w:val="Refdenotaalpie"/>
          <w:rFonts w:ascii="Arial" w:hAnsi="Arial" w:cs="Arial"/>
          <w:color w:val="000000" w:themeColor="text1"/>
          <w:lang w:val="es-ES_tradnl"/>
        </w:rPr>
        <w:footnoteReference w:id="10"/>
      </w:r>
      <w:r w:rsidRPr="00337B9F">
        <w:rPr>
          <w:rFonts w:ascii="Arial" w:hAnsi="Arial" w:cs="Arial"/>
          <w:color w:val="000000" w:themeColor="text1"/>
          <w:lang w:val="es-ES_tradnl"/>
        </w:rPr>
        <w:t xml:space="preserve">. Esta situación se presenta en este caso, pues la Ley 2069 de 2020 tiene una jerarquía superior al Decreto 1082 de 2015 en el ordenamiento jurídico. </w:t>
      </w:r>
      <w:bookmarkEnd w:id="11"/>
    </w:p>
    <w:p w14:paraId="2AB8606A" w14:textId="226247B5" w:rsidR="00C34D66" w:rsidRPr="00337B9F" w:rsidRDefault="00C34D66" w:rsidP="00682DE3">
      <w:pPr>
        <w:spacing w:before="120" w:after="120" w:line="276" w:lineRule="auto"/>
        <w:ind w:firstLine="709"/>
        <w:jc w:val="both"/>
        <w:rPr>
          <w:rFonts w:ascii="Arial" w:hAnsi="Arial" w:cs="Arial"/>
          <w:color w:val="000000" w:themeColor="text1"/>
          <w:lang w:val="es-ES_tradnl"/>
        </w:rPr>
      </w:pPr>
      <w:r w:rsidRPr="00337B9F">
        <w:rPr>
          <w:rFonts w:ascii="Arial" w:hAnsi="Arial" w:cs="Arial"/>
          <w:color w:val="000000" w:themeColor="text1"/>
          <w:lang w:val="es-ES_tradnl"/>
        </w:rPr>
        <w:t xml:space="preserve">Por otro lado, la explicación de la derogatoria producida por la Ley de Emprendimiento sobre los factores de desempate del proceso de mínima cuantía requiere un análisis adicional, </w:t>
      </w:r>
      <w:r>
        <w:rPr>
          <w:rFonts w:ascii="Arial" w:hAnsi="Arial" w:cs="Arial"/>
          <w:color w:val="000000" w:themeColor="text1"/>
          <w:lang w:val="es-ES_tradnl"/>
        </w:rPr>
        <w:t xml:space="preserve">pues </w:t>
      </w:r>
      <w:r w:rsidR="00C4589F" w:rsidRPr="00C4589F">
        <w:rPr>
          <w:rFonts w:ascii="Arial" w:eastAsia="Times New Roman" w:hAnsi="Arial" w:cs="Arial"/>
          <w:color w:val="000000" w:themeColor="text1"/>
          <w:lang w:val="es-ES_tradnl" w:eastAsia="es-ES_tradnl"/>
        </w:rPr>
        <w:t xml:space="preserve">el parágrafo 2 del artículo 30 de la Ley de Emprendimiento dispone que «La contratación a que se refiere el presente artículo se realizará exclusivamente con las reglas en él contempladas y en su reglamentación </w:t>
      </w:r>
      <w:r w:rsidR="00C4589F" w:rsidRPr="006B06DA">
        <w:rPr>
          <w:rFonts w:ascii="Arial" w:eastAsia="Times New Roman" w:hAnsi="Arial" w:cs="Arial"/>
          <w:color w:val="000000" w:themeColor="text1"/>
          <w:lang w:val="es-ES_tradnl" w:eastAsia="es-ES_tradnl"/>
        </w:rPr>
        <w:t xml:space="preserve">[…]», </w:t>
      </w:r>
      <w:r w:rsidRPr="00337B9F">
        <w:rPr>
          <w:rFonts w:ascii="Arial" w:hAnsi="Arial" w:cs="Arial"/>
          <w:color w:val="000000" w:themeColor="text1"/>
          <w:lang w:val="es-ES_tradnl"/>
        </w:rPr>
        <w:t>lo que podría llevar a concluir que los procesos de mínima cuantía se rigen exclusivamente por las reglas del artículo 30 de la Ley 2069 de 2020 y lo reglamentado en el decreto 1082 de 2015.</w:t>
      </w:r>
    </w:p>
    <w:p w14:paraId="13E113AA" w14:textId="5E2732FB" w:rsidR="00C4589F" w:rsidRPr="00C4589F" w:rsidRDefault="00C34D66" w:rsidP="00C4589F">
      <w:pPr>
        <w:spacing w:before="120" w:after="0" w:line="276" w:lineRule="auto"/>
        <w:ind w:firstLine="709"/>
        <w:jc w:val="both"/>
        <w:rPr>
          <w:rFonts w:ascii="Arial" w:eastAsia="Times New Roman" w:hAnsi="Arial" w:cs="Arial"/>
          <w:color w:val="000000" w:themeColor="text1"/>
          <w:lang w:val="es-ES_tradnl" w:eastAsia="es-ES_tradnl"/>
        </w:rPr>
      </w:pPr>
      <w:r>
        <w:rPr>
          <w:rFonts w:ascii="Arial" w:eastAsia="Times New Roman" w:hAnsi="Arial" w:cs="Arial"/>
          <w:color w:val="000000" w:themeColor="text1"/>
          <w:lang w:val="es-ES_tradnl" w:eastAsia="es-ES_tradnl"/>
        </w:rPr>
        <w:t>No obstante</w:t>
      </w:r>
      <w:r w:rsidR="00C4589F" w:rsidRPr="00C4589F">
        <w:rPr>
          <w:rFonts w:ascii="Arial" w:eastAsia="Times New Roman" w:hAnsi="Arial" w:cs="Arial"/>
          <w:color w:val="000000" w:themeColor="text1"/>
          <w:lang w:val="es-ES_tradnl" w:eastAsia="es-ES_tradnl"/>
        </w:rPr>
        <w:t xml:space="preserv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3CBC1402" w14:textId="77777777" w:rsidR="00C4589F" w:rsidRPr="00C4589F" w:rsidRDefault="00C4589F" w:rsidP="00C4589F">
      <w:pPr>
        <w:spacing w:before="120" w:after="0" w:line="276" w:lineRule="auto"/>
        <w:ind w:firstLine="709"/>
        <w:jc w:val="both"/>
        <w:rPr>
          <w:rFonts w:ascii="Arial" w:eastAsia="Times New Roman" w:hAnsi="Arial" w:cs="Arial"/>
          <w:color w:val="000000" w:themeColor="text1"/>
          <w:lang w:val="es-ES_tradnl" w:eastAsia="es-ES_tradnl"/>
        </w:rPr>
      </w:pPr>
      <w:r w:rsidRPr="00C4589F">
        <w:rPr>
          <w:rFonts w:ascii="Arial" w:eastAsia="Times New Roman" w:hAnsi="Arial" w:cs="Arial"/>
          <w:color w:val="000000" w:themeColor="text1"/>
          <w:lang w:val="es-ES_tradnl" w:eastAsia="es-ES_tradnl"/>
        </w:rPr>
        <w:t xml:space="preserve">Además, aunque el artículo 5.1 de la Ley 57 de 1887 consagra la regla </w:t>
      </w:r>
      <w:r w:rsidRPr="00C4589F">
        <w:rPr>
          <w:rFonts w:ascii="Arial" w:eastAsia="Times New Roman" w:hAnsi="Arial" w:cs="Arial"/>
          <w:i/>
          <w:iCs/>
          <w:color w:val="000000" w:themeColor="text1"/>
          <w:lang w:val="es-ES_tradnl" w:eastAsia="es-ES_tradnl"/>
        </w:rPr>
        <w:t xml:space="preserve">lex </w:t>
      </w:r>
      <w:proofErr w:type="spellStart"/>
      <w:r w:rsidRPr="00C4589F">
        <w:rPr>
          <w:rFonts w:ascii="Arial" w:eastAsia="Times New Roman" w:hAnsi="Arial" w:cs="Arial"/>
          <w:i/>
          <w:iCs/>
          <w:color w:val="000000" w:themeColor="text1"/>
          <w:lang w:val="es-ES_tradnl" w:eastAsia="es-ES_tradnl"/>
        </w:rPr>
        <w:t>specialis</w:t>
      </w:r>
      <w:proofErr w:type="spellEnd"/>
      <w:r w:rsidRPr="00C4589F">
        <w:rPr>
          <w:rFonts w:ascii="Arial" w:eastAsia="Times New Roman" w:hAnsi="Arial" w:cs="Arial"/>
          <w:i/>
          <w:iCs/>
          <w:color w:val="000000" w:themeColor="text1"/>
          <w:lang w:val="es-ES_tradnl" w:eastAsia="es-ES_tradnl"/>
        </w:rPr>
        <w:t xml:space="preserve"> </w:t>
      </w:r>
      <w:proofErr w:type="spellStart"/>
      <w:r w:rsidRPr="00C4589F">
        <w:rPr>
          <w:rFonts w:ascii="Arial" w:eastAsia="Times New Roman" w:hAnsi="Arial" w:cs="Arial"/>
          <w:i/>
          <w:iCs/>
          <w:color w:val="000000" w:themeColor="text1"/>
          <w:lang w:val="es-ES_tradnl" w:eastAsia="es-ES_tradnl"/>
        </w:rPr>
        <w:t>derogat</w:t>
      </w:r>
      <w:proofErr w:type="spellEnd"/>
      <w:r w:rsidRPr="00C4589F">
        <w:rPr>
          <w:rFonts w:ascii="Arial" w:eastAsia="Times New Roman" w:hAnsi="Arial" w:cs="Arial"/>
          <w:i/>
          <w:iCs/>
          <w:color w:val="000000" w:themeColor="text1"/>
          <w:lang w:val="es-ES_tradnl" w:eastAsia="es-ES_tradnl"/>
        </w:rPr>
        <w:t xml:space="preserve"> </w:t>
      </w:r>
      <w:proofErr w:type="spellStart"/>
      <w:r w:rsidRPr="00C4589F">
        <w:rPr>
          <w:rFonts w:ascii="Arial" w:eastAsia="Times New Roman" w:hAnsi="Arial" w:cs="Arial"/>
          <w:i/>
          <w:iCs/>
          <w:color w:val="000000" w:themeColor="text1"/>
          <w:lang w:val="es-ES_tradnl" w:eastAsia="es-ES_tradnl"/>
        </w:rPr>
        <w:t>legi</w:t>
      </w:r>
      <w:proofErr w:type="spellEnd"/>
      <w:r w:rsidRPr="00C4589F">
        <w:rPr>
          <w:rFonts w:ascii="Arial" w:eastAsia="Times New Roman" w:hAnsi="Arial" w:cs="Arial"/>
          <w:i/>
          <w:iCs/>
          <w:color w:val="000000" w:themeColor="text1"/>
          <w:lang w:val="es-ES_tradnl" w:eastAsia="es-ES_tradnl"/>
        </w:rPr>
        <w:t xml:space="preserve"> </w:t>
      </w:r>
      <w:proofErr w:type="spellStart"/>
      <w:r w:rsidRPr="00C4589F">
        <w:rPr>
          <w:rFonts w:ascii="Arial" w:eastAsia="Times New Roman" w:hAnsi="Arial" w:cs="Arial"/>
          <w:i/>
          <w:iCs/>
          <w:color w:val="000000" w:themeColor="text1"/>
          <w:lang w:val="es-ES_tradnl" w:eastAsia="es-ES_tradnl"/>
        </w:rPr>
        <w:t>generali</w:t>
      </w:r>
      <w:proofErr w:type="spellEnd"/>
      <w:r w:rsidRPr="00C4589F">
        <w:rPr>
          <w:rFonts w:ascii="Arial" w:eastAsia="Times New Roman" w:hAnsi="Arial" w:cs="Arial"/>
          <w:color w:val="000000" w:themeColor="text1"/>
          <w:vertAlign w:val="superscript"/>
          <w:lang w:val="es-ES_tradnl" w:eastAsia="es-ES_tradnl"/>
        </w:rPr>
        <w:footnoteReference w:id="11"/>
      </w:r>
      <w:r w:rsidRPr="00C4589F">
        <w:rPr>
          <w:rFonts w:ascii="Arial" w:eastAsia="Times New Roman" w:hAnsi="Arial" w:cs="Arial"/>
          <w:color w:val="000000" w:themeColor="text1"/>
          <w:lang w:val="es-ES_tradnl" w:eastAsia="es-ES_tradnl"/>
        </w:rPr>
        <w:t xml:space="preserve">, este criterio para la resolución de antinomias carece de aplicación </w:t>
      </w:r>
      <w:r w:rsidRPr="00C4589F">
        <w:rPr>
          <w:rFonts w:ascii="Arial" w:eastAsia="Times New Roman" w:hAnsi="Arial" w:cs="Arial"/>
          <w:color w:val="000000" w:themeColor="text1"/>
          <w:lang w:val="es-ES_tradnl" w:eastAsia="es-ES_tradnl"/>
        </w:rPr>
        <w:lastRenderedPageBreak/>
        <w:t>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C4589F">
        <w:rPr>
          <w:rFonts w:ascii="Arial" w:eastAsia="Times New Roman" w:hAnsi="Arial" w:cs="Arial"/>
          <w:color w:val="000000" w:themeColor="text1"/>
          <w:vertAlign w:val="superscript"/>
          <w:lang w:val="es-ES_tradnl" w:eastAsia="es-ES_tradnl"/>
        </w:rPr>
        <w:footnoteReference w:id="12"/>
      </w:r>
      <w:r w:rsidRPr="00C4589F">
        <w:rPr>
          <w:rFonts w:ascii="Arial" w:eastAsia="Times New Roman" w:hAnsi="Arial" w:cs="Arial"/>
          <w:color w:val="000000" w:themeColor="text1"/>
          <w:lang w:val="es-ES_tradnl" w:eastAsia="es-ES_tradnl"/>
        </w:rPr>
        <w:t xml:space="preserve">. Al respecto, la doctrina considera que: </w:t>
      </w:r>
    </w:p>
    <w:p w14:paraId="165873DC" w14:textId="77777777" w:rsidR="00C4589F" w:rsidRPr="00C4589F" w:rsidRDefault="00C4589F" w:rsidP="00C4589F">
      <w:pPr>
        <w:spacing w:after="0" w:line="276" w:lineRule="auto"/>
        <w:ind w:firstLine="709"/>
        <w:jc w:val="both"/>
        <w:rPr>
          <w:rFonts w:ascii="Arial" w:eastAsia="Times New Roman" w:hAnsi="Arial" w:cs="Arial"/>
          <w:color w:val="000000" w:themeColor="text1"/>
          <w:lang w:val="es-ES_tradnl" w:eastAsia="es-ES_tradnl"/>
        </w:rPr>
      </w:pPr>
      <w:r w:rsidRPr="00C4589F">
        <w:rPr>
          <w:rFonts w:ascii="Arial" w:eastAsia="Times New Roman" w:hAnsi="Arial" w:cs="Arial"/>
          <w:color w:val="000000" w:themeColor="text1"/>
          <w:lang w:val="es-ES_tradnl" w:eastAsia="es-ES_tradnl"/>
        </w:rPr>
        <w:t xml:space="preserve">  </w:t>
      </w:r>
    </w:p>
    <w:p w14:paraId="5A617E4F" w14:textId="77777777" w:rsidR="00C4589F" w:rsidRPr="00C4589F" w:rsidRDefault="00C4589F" w:rsidP="00C4589F">
      <w:pPr>
        <w:spacing w:after="0" w:line="240" w:lineRule="auto"/>
        <w:ind w:left="709" w:right="758"/>
        <w:jc w:val="both"/>
        <w:rPr>
          <w:rFonts w:ascii="Arial" w:eastAsia="Times New Roman" w:hAnsi="Arial" w:cs="Arial"/>
          <w:color w:val="000000" w:themeColor="text1"/>
          <w:sz w:val="21"/>
          <w:szCs w:val="21"/>
          <w:lang w:val="es-ES_tradnl" w:eastAsia="es-ES_tradnl"/>
        </w:rPr>
      </w:pPr>
      <w:r w:rsidRPr="00C4589F">
        <w:rPr>
          <w:rFonts w:ascii="Arial" w:eastAsia="Times New Roman" w:hAnsi="Arial" w:cs="Arial"/>
          <w:color w:val="000000" w:themeColor="text1"/>
          <w:sz w:val="21"/>
          <w:szCs w:val="21"/>
          <w:lang w:eastAsia="es-ES_tradnl"/>
        </w:rPr>
        <w:t xml:space="preserve">[…] la preferencia por la norma especial sobre la norma posterior no puede tener jamás un valor absoluto, porque razones de orden teleológico pueden impeler a dar prioridad a la </w:t>
      </w:r>
      <w:r w:rsidRPr="00C4589F">
        <w:rPr>
          <w:rFonts w:ascii="Arial" w:eastAsia="Times New Roman" w:hAnsi="Arial" w:cs="Arial"/>
          <w:i/>
          <w:iCs/>
          <w:color w:val="000000" w:themeColor="text1"/>
          <w:sz w:val="21"/>
          <w:szCs w:val="21"/>
          <w:lang w:eastAsia="es-ES_tradnl"/>
        </w:rPr>
        <w:t xml:space="preserve">lex posterior </w:t>
      </w:r>
      <w:proofErr w:type="spellStart"/>
      <w:r w:rsidRPr="00C4589F">
        <w:rPr>
          <w:rFonts w:ascii="Arial" w:eastAsia="Times New Roman" w:hAnsi="Arial" w:cs="Arial"/>
          <w:i/>
          <w:iCs/>
          <w:color w:val="000000" w:themeColor="text1"/>
          <w:sz w:val="21"/>
          <w:szCs w:val="21"/>
          <w:lang w:eastAsia="es-ES_tradnl"/>
        </w:rPr>
        <w:t>generalis</w:t>
      </w:r>
      <w:proofErr w:type="spellEnd"/>
      <w:r w:rsidRPr="00C4589F">
        <w:rPr>
          <w:rFonts w:ascii="Arial" w:eastAsia="Times New Roman" w:hAnsi="Arial" w:cs="Arial"/>
          <w:color w:val="000000" w:themeColor="text1"/>
          <w:sz w:val="21"/>
          <w:szCs w:val="21"/>
          <w:lang w:eastAsia="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C4589F">
        <w:rPr>
          <w:rFonts w:ascii="Arial" w:eastAsia="Times New Roman" w:hAnsi="Arial" w:cs="Arial"/>
          <w:i/>
          <w:iCs/>
          <w:color w:val="000000" w:themeColor="text1"/>
          <w:sz w:val="21"/>
          <w:szCs w:val="21"/>
          <w:lang w:eastAsia="es-ES_tradnl"/>
        </w:rPr>
        <w:t xml:space="preserve">lex posterior </w:t>
      </w:r>
      <w:proofErr w:type="spellStart"/>
      <w:r w:rsidRPr="00C4589F">
        <w:rPr>
          <w:rFonts w:ascii="Arial" w:eastAsia="Times New Roman" w:hAnsi="Arial" w:cs="Arial"/>
          <w:i/>
          <w:iCs/>
          <w:color w:val="000000" w:themeColor="text1"/>
          <w:sz w:val="21"/>
          <w:szCs w:val="21"/>
          <w:lang w:eastAsia="es-ES_tradnl"/>
        </w:rPr>
        <w:t>generalis</w:t>
      </w:r>
      <w:proofErr w:type="spellEnd"/>
      <w:r w:rsidRPr="00C4589F">
        <w:rPr>
          <w:rFonts w:ascii="Arial" w:eastAsia="Times New Roman" w:hAnsi="Arial" w:cs="Arial"/>
          <w:i/>
          <w:iCs/>
          <w:color w:val="000000" w:themeColor="text1"/>
          <w:sz w:val="21"/>
          <w:szCs w:val="21"/>
          <w:lang w:eastAsia="es-ES_tradnl"/>
        </w:rPr>
        <w:t xml:space="preserve"> non </w:t>
      </w:r>
      <w:proofErr w:type="spellStart"/>
      <w:r w:rsidRPr="00C4589F">
        <w:rPr>
          <w:rFonts w:ascii="Arial" w:eastAsia="Times New Roman" w:hAnsi="Arial" w:cs="Arial"/>
          <w:i/>
          <w:iCs/>
          <w:color w:val="000000" w:themeColor="text1"/>
          <w:sz w:val="21"/>
          <w:szCs w:val="21"/>
          <w:lang w:eastAsia="es-ES_tradnl"/>
        </w:rPr>
        <w:t>derogat</w:t>
      </w:r>
      <w:proofErr w:type="spellEnd"/>
      <w:r w:rsidRPr="00C4589F">
        <w:rPr>
          <w:rFonts w:ascii="Arial" w:eastAsia="Times New Roman" w:hAnsi="Arial" w:cs="Arial"/>
          <w:i/>
          <w:iCs/>
          <w:color w:val="000000" w:themeColor="text1"/>
          <w:sz w:val="21"/>
          <w:szCs w:val="21"/>
          <w:lang w:eastAsia="es-ES_tradnl"/>
        </w:rPr>
        <w:t xml:space="preserve"> </w:t>
      </w:r>
      <w:proofErr w:type="spellStart"/>
      <w:r w:rsidRPr="00C4589F">
        <w:rPr>
          <w:rFonts w:ascii="Arial" w:eastAsia="Times New Roman" w:hAnsi="Arial" w:cs="Arial"/>
          <w:i/>
          <w:iCs/>
          <w:color w:val="000000" w:themeColor="text1"/>
          <w:sz w:val="21"/>
          <w:szCs w:val="21"/>
          <w:lang w:eastAsia="es-ES_tradnl"/>
        </w:rPr>
        <w:t>legi</w:t>
      </w:r>
      <w:proofErr w:type="spellEnd"/>
      <w:r w:rsidRPr="00C4589F">
        <w:rPr>
          <w:rFonts w:ascii="Arial" w:eastAsia="Times New Roman" w:hAnsi="Arial" w:cs="Arial"/>
          <w:i/>
          <w:iCs/>
          <w:color w:val="000000" w:themeColor="text1"/>
          <w:sz w:val="21"/>
          <w:szCs w:val="21"/>
          <w:lang w:eastAsia="es-ES_tradnl"/>
        </w:rPr>
        <w:t xml:space="preserve"> priori </w:t>
      </w:r>
      <w:proofErr w:type="spellStart"/>
      <w:r w:rsidRPr="00C4589F">
        <w:rPr>
          <w:rFonts w:ascii="Arial" w:eastAsia="Times New Roman" w:hAnsi="Arial" w:cs="Arial"/>
          <w:i/>
          <w:iCs/>
          <w:color w:val="000000" w:themeColor="text1"/>
          <w:sz w:val="21"/>
          <w:szCs w:val="21"/>
          <w:lang w:eastAsia="es-ES_tradnl"/>
        </w:rPr>
        <w:t>speciali</w:t>
      </w:r>
      <w:proofErr w:type="spellEnd"/>
      <w:r w:rsidRPr="00C4589F">
        <w:rPr>
          <w:rFonts w:ascii="Arial" w:eastAsia="Times New Roman" w:hAnsi="Arial" w:cs="Arial"/>
          <w:color w:val="000000" w:themeColor="text1"/>
          <w:sz w:val="21"/>
          <w:szCs w:val="21"/>
          <w:lang w:eastAsia="es-ES_tradnl"/>
        </w:rPr>
        <w:t xml:space="preserve"> opera como una mera presunción hermenéutica, que puede ser destruida por una clara </w:t>
      </w:r>
      <w:proofErr w:type="spellStart"/>
      <w:r w:rsidRPr="00C4589F">
        <w:rPr>
          <w:rFonts w:ascii="Arial" w:eastAsia="Times New Roman" w:hAnsi="Arial" w:cs="Arial"/>
          <w:i/>
          <w:iCs/>
          <w:color w:val="000000" w:themeColor="text1"/>
          <w:sz w:val="21"/>
          <w:szCs w:val="21"/>
          <w:lang w:eastAsia="es-ES_tradnl"/>
        </w:rPr>
        <w:t>voluntas</w:t>
      </w:r>
      <w:proofErr w:type="spellEnd"/>
      <w:r w:rsidRPr="00C4589F">
        <w:rPr>
          <w:rFonts w:ascii="Arial" w:eastAsia="Times New Roman" w:hAnsi="Arial" w:cs="Arial"/>
          <w:i/>
          <w:iCs/>
          <w:color w:val="000000" w:themeColor="text1"/>
          <w:sz w:val="21"/>
          <w:szCs w:val="21"/>
          <w:lang w:eastAsia="es-ES_tradnl"/>
        </w:rPr>
        <w:t xml:space="preserve"> </w:t>
      </w:r>
      <w:proofErr w:type="spellStart"/>
      <w:r w:rsidRPr="00C4589F">
        <w:rPr>
          <w:rFonts w:ascii="Arial" w:eastAsia="Times New Roman" w:hAnsi="Arial" w:cs="Arial"/>
          <w:i/>
          <w:iCs/>
          <w:color w:val="000000" w:themeColor="text1"/>
          <w:sz w:val="21"/>
          <w:szCs w:val="21"/>
          <w:lang w:eastAsia="es-ES_tradnl"/>
        </w:rPr>
        <w:t>legis</w:t>
      </w:r>
      <w:proofErr w:type="spellEnd"/>
      <w:r w:rsidRPr="00C4589F">
        <w:rPr>
          <w:rFonts w:ascii="Arial" w:eastAsia="Times New Roman" w:hAnsi="Arial" w:cs="Arial"/>
          <w:color w:val="000000" w:themeColor="text1"/>
          <w:sz w:val="21"/>
          <w:szCs w:val="21"/>
          <w:lang w:eastAsia="es-ES_tradnl"/>
        </w:rPr>
        <w:t xml:space="preserve"> de sentido contrario</w:t>
      </w:r>
      <w:r w:rsidRPr="00C4589F">
        <w:rPr>
          <w:rFonts w:ascii="Arial" w:eastAsia="Times New Roman" w:hAnsi="Arial" w:cs="Arial"/>
          <w:color w:val="000000" w:themeColor="text1"/>
          <w:sz w:val="21"/>
          <w:szCs w:val="21"/>
          <w:vertAlign w:val="superscript"/>
          <w:lang w:eastAsia="es-ES_tradnl"/>
        </w:rPr>
        <w:footnoteReference w:id="13"/>
      </w:r>
      <w:r w:rsidRPr="00C4589F">
        <w:rPr>
          <w:rFonts w:ascii="Arial" w:eastAsia="Times New Roman" w:hAnsi="Arial" w:cs="Arial"/>
          <w:color w:val="000000" w:themeColor="text1"/>
          <w:sz w:val="21"/>
          <w:szCs w:val="21"/>
          <w:lang w:eastAsia="es-ES_tradnl"/>
        </w:rPr>
        <w:t>.</w:t>
      </w:r>
      <w:r w:rsidRPr="00C4589F">
        <w:rPr>
          <w:rFonts w:ascii="Arial" w:eastAsia="Times New Roman" w:hAnsi="Arial" w:cs="Arial"/>
          <w:color w:val="000000" w:themeColor="text1"/>
          <w:sz w:val="21"/>
          <w:szCs w:val="21"/>
          <w:lang w:val="es-ES_tradnl" w:eastAsia="es-ES_tradnl"/>
        </w:rPr>
        <w:t xml:space="preserve"> </w:t>
      </w:r>
    </w:p>
    <w:p w14:paraId="69379029" w14:textId="77777777" w:rsidR="00C4589F" w:rsidRPr="007D1C30" w:rsidRDefault="00C4589F" w:rsidP="007D1C30">
      <w:pPr>
        <w:spacing w:after="0" w:line="276" w:lineRule="auto"/>
        <w:ind w:firstLine="709"/>
        <w:jc w:val="both"/>
        <w:rPr>
          <w:rFonts w:ascii="Arial" w:eastAsia="Times New Roman" w:hAnsi="Arial" w:cs="Arial"/>
          <w:color w:val="000000"/>
          <w:lang w:val="es-ES_tradnl" w:eastAsia="es-ES_tradnl"/>
        </w:rPr>
      </w:pPr>
    </w:p>
    <w:p w14:paraId="13A27194" w14:textId="77777777" w:rsidR="00C4589F" w:rsidRPr="00C4589F" w:rsidRDefault="00C4589F" w:rsidP="00C4589F">
      <w:pPr>
        <w:spacing w:after="120" w:line="276" w:lineRule="auto"/>
        <w:ind w:firstLine="709"/>
        <w:jc w:val="both"/>
        <w:rPr>
          <w:rFonts w:ascii="Arial" w:eastAsia="Times New Roman" w:hAnsi="Arial" w:cs="Arial"/>
          <w:color w:val="000000" w:themeColor="text1"/>
          <w:lang w:val="es-ES_tradnl" w:eastAsia="es-ES_tradnl"/>
        </w:rPr>
      </w:pPr>
      <w:r w:rsidRPr="00C4589F">
        <w:rPr>
          <w:rFonts w:ascii="Arial" w:eastAsia="Times New Roman" w:hAnsi="Arial" w:cs="Arial"/>
          <w:color w:val="000000" w:themeColor="text1"/>
          <w:lang w:val="es-ES_tradnl" w:eastAsia="es-ES_tradnl"/>
        </w:rPr>
        <w:t xml:space="preserve">Tratándose de los factores de desempate, la intención del legislador es que el artículo 35 de la Ley de Emprendimiento sea una norma transversal al sistema de compras y contratación pública Particularmente, </w:t>
      </w:r>
      <w:r w:rsidRPr="00C4589F">
        <w:rPr>
          <w:rFonts w:ascii="Arial" w:eastAsia="Calibri" w:hAnsi="Arial" w:cs="Arial"/>
          <w:bCs/>
          <w:color w:val="000000" w:themeColor="text1"/>
          <w:szCs w:val="24"/>
          <w:lang w:eastAsia="es-ES_tradnl"/>
        </w:rPr>
        <w:t>conforme a la exposición de motivos, la ley «</w:t>
      </w:r>
      <w:r w:rsidRPr="00C4589F">
        <w:rPr>
          <w:rFonts w:ascii="Arial" w:eastAsia="Times New Roman" w:hAnsi="Arial" w:cs="Arial"/>
          <w:szCs w:val="24"/>
          <w:lang w:eastAsia="es-ES_tradnl"/>
        </w:rPr>
        <w:t xml:space="preserve">[…] </w:t>
      </w:r>
      <w:r w:rsidRPr="00C4589F">
        <w:rPr>
          <w:rFonts w:ascii="Arial" w:eastAsia="Calibri" w:hAnsi="Arial" w:cs="Arial"/>
          <w:bCs/>
          <w:color w:val="000000" w:themeColor="text1"/>
          <w:szCs w:val="24"/>
          <w:lang w:eastAsia="es-ES_tradnl"/>
        </w:rPr>
        <w:t xml:space="preserve">propone facilitar el acceso de las </w:t>
      </w:r>
      <w:proofErr w:type="spellStart"/>
      <w:r w:rsidRPr="00C4589F">
        <w:rPr>
          <w:rFonts w:ascii="Arial" w:eastAsia="Calibri" w:hAnsi="Arial" w:cs="Arial"/>
          <w:bCs/>
          <w:color w:val="000000" w:themeColor="text1"/>
          <w:szCs w:val="24"/>
          <w:lang w:eastAsia="es-ES_tradnl"/>
        </w:rPr>
        <w:t>Mipymes</w:t>
      </w:r>
      <w:proofErr w:type="spellEnd"/>
      <w:r w:rsidRPr="00C4589F">
        <w:rPr>
          <w:rFonts w:ascii="Arial" w:eastAsia="Calibri" w:hAnsi="Arial" w:cs="Arial"/>
          <w:bCs/>
          <w:color w:val="000000" w:themeColor="text1"/>
          <w:szCs w:val="24"/>
          <w:lang w:eastAsia="es-ES_tradnl"/>
        </w:rPr>
        <w:t xml:space="preserve"> a la modalidad de contratación de mínima cuantía, la limitación de estos procesos a </w:t>
      </w:r>
      <w:proofErr w:type="spellStart"/>
      <w:r w:rsidRPr="00C4589F">
        <w:rPr>
          <w:rFonts w:ascii="Arial" w:eastAsia="Calibri" w:hAnsi="Arial" w:cs="Arial"/>
          <w:bCs/>
          <w:color w:val="000000" w:themeColor="text1"/>
          <w:szCs w:val="24"/>
          <w:lang w:eastAsia="es-ES_tradnl"/>
        </w:rPr>
        <w:t>Mipymes</w:t>
      </w:r>
      <w:proofErr w:type="spellEnd"/>
      <w:r w:rsidRPr="00C4589F">
        <w:rPr>
          <w:rFonts w:ascii="Arial" w:eastAsia="Calibri" w:hAnsi="Arial" w:cs="Arial"/>
          <w:bCs/>
          <w:color w:val="000000" w:themeColor="text1"/>
          <w:szCs w:val="24"/>
          <w:lang w:eastAsia="es-ES_tradnl"/>
        </w:rPr>
        <w:t xml:space="preserve">, […] y </w:t>
      </w:r>
      <w:r w:rsidRPr="00C4589F">
        <w:rPr>
          <w:rFonts w:ascii="Arial" w:eastAsia="Calibri" w:hAnsi="Arial" w:cs="Arial"/>
          <w:bCs/>
          <w:i/>
          <w:iCs/>
          <w:color w:val="000000" w:themeColor="text1"/>
          <w:szCs w:val="24"/>
          <w:lang w:eastAsia="es-ES_tradnl"/>
        </w:rPr>
        <w:t>define la inclusión de factores de desempate en los procesos de contratación pública que priorizan este segmento</w:t>
      </w:r>
      <w:r w:rsidRPr="00C4589F">
        <w:rPr>
          <w:rFonts w:ascii="Arial" w:eastAsia="Calibri" w:hAnsi="Arial" w:cs="Arial"/>
          <w:bCs/>
          <w:color w:val="000000" w:themeColor="text1"/>
          <w:szCs w:val="24"/>
          <w:lang w:eastAsia="es-ES_tradnl"/>
        </w:rPr>
        <w:t>» (Énfasis fuera de texto)</w:t>
      </w:r>
      <w:r w:rsidRPr="00C4589F">
        <w:rPr>
          <w:rFonts w:ascii="Arial" w:eastAsia="Calibri" w:hAnsi="Arial" w:cs="Arial"/>
          <w:bCs/>
          <w:color w:val="000000" w:themeColor="text1"/>
          <w:szCs w:val="24"/>
          <w:vertAlign w:val="superscript"/>
          <w:lang w:eastAsia="es-ES_tradnl"/>
        </w:rPr>
        <w:footnoteReference w:id="14"/>
      </w:r>
      <w:r w:rsidRPr="00C4589F">
        <w:rPr>
          <w:rFonts w:ascii="Arial" w:eastAsia="Calibri" w:hAnsi="Arial" w:cs="Arial"/>
          <w:bCs/>
          <w:color w:val="000000" w:themeColor="text1"/>
          <w:szCs w:val="24"/>
          <w:lang w:eastAsia="es-ES_tradnl"/>
        </w:rPr>
        <w:t xml:space="preserve">. En esta medida, carece de sentido que los criterios de desempate sean inaplicables a la mínima cuantía, cuando la regla revista en el artículo citado obliga a todas las entidades exceptuadas sin consideración al valor del presupuesto oficial estimado. Teniendo en cuenta lo anterior, se concluye que el artículo </w:t>
      </w:r>
      <w:r w:rsidRPr="00C4589F">
        <w:rPr>
          <w:rFonts w:ascii="Arial" w:eastAsia="Times New Roman" w:hAnsi="Arial" w:cs="Arial"/>
          <w:color w:val="000000" w:themeColor="text1"/>
          <w:lang w:val="es-ES_tradnl" w:eastAsia="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Pr="00C4589F">
        <w:rPr>
          <w:rFonts w:ascii="Arial" w:eastAsia="Calibri" w:hAnsi="Arial" w:cs="Arial"/>
          <w:bCs/>
          <w:color w:val="000000" w:themeColor="text1"/>
          <w:szCs w:val="24"/>
          <w:lang w:eastAsia="es-ES_tradnl"/>
        </w:rPr>
        <w:t xml:space="preserve">   </w:t>
      </w:r>
      <w:r w:rsidRPr="00C4589F">
        <w:rPr>
          <w:rFonts w:ascii="Arial" w:eastAsia="Times New Roman" w:hAnsi="Arial" w:cs="Arial"/>
          <w:color w:val="000000" w:themeColor="text1"/>
          <w:lang w:val="es-ES_tradnl" w:eastAsia="es-ES_tradnl"/>
        </w:rPr>
        <w:t xml:space="preserve">     </w:t>
      </w:r>
    </w:p>
    <w:p w14:paraId="4BFF5244" w14:textId="7DFDA1FD" w:rsidR="00D519B1" w:rsidRDefault="00621A7F" w:rsidP="002B479B">
      <w:pPr>
        <w:spacing w:after="0" w:line="276" w:lineRule="auto"/>
        <w:ind w:firstLine="708"/>
        <w:jc w:val="both"/>
        <w:rPr>
          <w:rFonts w:ascii="Arial" w:hAnsi="Arial" w:cs="Arial"/>
          <w:color w:val="000000" w:themeColor="text1"/>
          <w:lang w:val="es-ES_tradnl"/>
        </w:rPr>
      </w:pPr>
      <w:r w:rsidRPr="00C4589F">
        <w:rPr>
          <w:rFonts w:ascii="Arial" w:eastAsia="Times New Roman" w:hAnsi="Arial" w:cs="Arial"/>
          <w:color w:val="000000" w:themeColor="text1"/>
          <w:lang w:val="es-ES_tradnl" w:eastAsia="es-ES_tradnl"/>
        </w:rPr>
        <w:t xml:space="preserve">Ahora bien, </w:t>
      </w:r>
      <w:r w:rsidRPr="00C4589F">
        <w:rPr>
          <w:rFonts w:ascii="Arial" w:eastAsia="Times New Roman" w:hAnsi="Arial" w:cs="Arial"/>
          <w:color w:val="000000"/>
          <w:lang w:val="es-ES_tradnl" w:eastAsia="es-ES_tradnl"/>
        </w:rPr>
        <w:t>el Congreso de la República hizo obligatoria la aplicación de los factores de desempate previstos en el artículo 35 de la Ley 2069 de 2020 a todos «</w:t>
      </w:r>
      <w:r w:rsidRPr="00C4589F">
        <w:rPr>
          <w:rFonts w:ascii="Arial" w:eastAsia="Times New Roman" w:hAnsi="Arial" w:cs="Arial"/>
          <w:lang w:eastAsia="es-ES_tradnl"/>
        </w:rPr>
        <w:t xml:space="preserve">[…] </w:t>
      </w:r>
      <w:r w:rsidRPr="00C4589F">
        <w:rPr>
          <w:rFonts w:ascii="Arial" w:eastAsia="Times New Roman" w:hAnsi="Arial" w:cs="Arial"/>
          <w:color w:val="000000"/>
          <w:lang w:val="es-ES_tradnl" w:eastAsia="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r w:rsidR="00C34D66" w:rsidRPr="00337B9F">
        <w:rPr>
          <w:rFonts w:ascii="Arial" w:hAnsi="Arial" w:cs="Arial"/>
          <w:color w:val="000000" w:themeColor="text1"/>
          <w:lang w:val="es-ES_tradnl"/>
        </w:rPr>
        <w:t xml:space="preserve">por lo que se </w:t>
      </w:r>
      <w:r w:rsidR="00C34D66" w:rsidRPr="00337B9F">
        <w:rPr>
          <w:rFonts w:ascii="Arial" w:hAnsi="Arial" w:cs="Arial"/>
          <w:color w:val="000000" w:themeColor="text1"/>
          <w:lang w:val="es-ES_tradnl"/>
        </w:rPr>
        <w:lastRenderedPageBreak/>
        <w:t xml:space="preserve">presenta tanto la derogación como el decaimiento de los criterios de desempate previstos en el Decreto 1082 de 2015 para estas modalidades de selección. </w:t>
      </w:r>
      <w:r w:rsidR="00C34D66" w:rsidRPr="00337B9F">
        <w:rPr>
          <w:rFonts w:ascii="Arial" w:eastAsia="Calibri" w:hAnsi="Arial" w:cs="Arial"/>
          <w:bCs/>
          <w:color w:val="000000" w:themeColor="text1"/>
        </w:rPr>
        <w:t xml:space="preserve">   </w:t>
      </w:r>
      <w:r w:rsidR="00C34D66" w:rsidRPr="00337B9F">
        <w:rPr>
          <w:rFonts w:ascii="Arial" w:hAnsi="Arial" w:cs="Arial"/>
          <w:color w:val="000000" w:themeColor="text1"/>
          <w:lang w:val="es-ES_tradnl"/>
        </w:rPr>
        <w:t xml:space="preserve"> </w:t>
      </w:r>
    </w:p>
    <w:p w14:paraId="43E74592" w14:textId="7A59397C" w:rsidR="00C34D66" w:rsidRPr="00337B9F" w:rsidRDefault="00C34D66" w:rsidP="002B479B">
      <w:pPr>
        <w:spacing w:after="0" w:line="276" w:lineRule="auto"/>
        <w:ind w:firstLine="708"/>
        <w:jc w:val="both"/>
        <w:rPr>
          <w:rFonts w:ascii="Arial" w:eastAsia="Calibri" w:hAnsi="Arial" w:cs="Arial"/>
          <w:bCs/>
          <w:color w:val="000000" w:themeColor="text1"/>
        </w:rPr>
      </w:pPr>
      <w:r w:rsidRPr="00337B9F">
        <w:rPr>
          <w:rFonts w:ascii="Arial" w:hAnsi="Arial" w:cs="Arial"/>
          <w:color w:val="000000" w:themeColor="text1"/>
          <w:lang w:val="es-ES_tradnl"/>
        </w:rPr>
        <w:t xml:space="preserve">    </w:t>
      </w:r>
    </w:p>
    <w:bookmarkEnd w:id="9"/>
    <w:p w14:paraId="12D675C6" w14:textId="77777777" w:rsidR="00C4589F" w:rsidRPr="00C4589F" w:rsidRDefault="00C4589F" w:rsidP="002B479B">
      <w:pPr>
        <w:tabs>
          <w:tab w:val="left" w:pos="0"/>
        </w:tabs>
        <w:spacing w:after="0" w:line="240" w:lineRule="auto"/>
        <w:jc w:val="both"/>
        <w:rPr>
          <w:rFonts w:ascii="Arial" w:eastAsia="Calibri" w:hAnsi="Arial" w:cs="Arial"/>
          <w:b/>
          <w:color w:val="000000"/>
          <w:szCs w:val="24"/>
          <w:lang w:val="es-ES_tradnl" w:eastAsia="es-ES_tradnl"/>
        </w:rPr>
      </w:pPr>
      <w:r w:rsidRPr="00C4589F">
        <w:rPr>
          <w:rFonts w:ascii="Arial" w:eastAsia="Calibri" w:hAnsi="Arial" w:cs="Arial"/>
          <w:b/>
          <w:color w:val="000000"/>
          <w:szCs w:val="24"/>
          <w:lang w:val="es-ES_tradnl" w:eastAsia="es-ES_tradnl"/>
        </w:rPr>
        <w:t>3. Respuestas</w:t>
      </w:r>
    </w:p>
    <w:p w14:paraId="4870E4E7" w14:textId="77777777" w:rsidR="00C4589F" w:rsidRPr="00C4589F" w:rsidRDefault="00C4589F" w:rsidP="00C4589F">
      <w:pPr>
        <w:tabs>
          <w:tab w:val="left" w:pos="0"/>
        </w:tabs>
        <w:spacing w:after="0" w:line="240" w:lineRule="auto"/>
        <w:jc w:val="both"/>
        <w:rPr>
          <w:rFonts w:ascii="Arial" w:eastAsia="Calibri" w:hAnsi="Arial" w:cs="Arial"/>
          <w:color w:val="000000"/>
          <w:szCs w:val="24"/>
          <w:lang w:val="es-ES_tradnl" w:eastAsia="es-ES_tradnl"/>
        </w:rPr>
      </w:pPr>
    </w:p>
    <w:p w14:paraId="5151A797" w14:textId="7DDAC2CB" w:rsidR="00621A7F" w:rsidRPr="00621A7F" w:rsidRDefault="00621A7F" w:rsidP="00621A7F">
      <w:pPr>
        <w:spacing w:after="120" w:line="240" w:lineRule="auto"/>
        <w:ind w:left="709" w:right="709"/>
        <w:jc w:val="both"/>
        <w:rPr>
          <w:rFonts w:ascii="Arial" w:hAnsi="Arial" w:cs="Arial"/>
          <w:sz w:val="21"/>
          <w:szCs w:val="21"/>
        </w:rPr>
      </w:pPr>
      <w:r w:rsidRPr="00621A7F">
        <w:rPr>
          <w:rFonts w:ascii="Arial" w:eastAsia="Times New Roman" w:hAnsi="Arial" w:cs="Arial"/>
          <w:color w:val="000000"/>
          <w:sz w:val="21"/>
          <w:szCs w:val="21"/>
          <w:lang w:val="es-ES_tradnl" w:eastAsia="es-ES_tradnl"/>
        </w:rPr>
        <w:t>i) «</w:t>
      </w:r>
      <w:r w:rsidRPr="00621A7F">
        <w:rPr>
          <w:rFonts w:ascii="Arial" w:hAnsi="Arial" w:cs="Arial"/>
          <w:sz w:val="21"/>
          <w:szCs w:val="21"/>
        </w:rPr>
        <w:t>¿Los factores de desempate del artículo 35 de la Ley 2069 de 2020, son aplicables a los procesos de mínima cuantía y la subasta inversa o continúa con los factores de desempate señalados en el Decreto 1082 de 2015?»</w:t>
      </w:r>
      <w:r w:rsidR="00F1395A">
        <w:rPr>
          <w:rFonts w:ascii="Arial" w:hAnsi="Arial" w:cs="Arial"/>
          <w:sz w:val="21"/>
          <w:szCs w:val="21"/>
        </w:rPr>
        <w:t>.</w:t>
      </w:r>
      <w:r w:rsidRPr="00621A7F">
        <w:rPr>
          <w:rFonts w:ascii="Arial" w:hAnsi="Arial" w:cs="Arial"/>
          <w:sz w:val="21"/>
          <w:szCs w:val="21"/>
        </w:rPr>
        <w:t xml:space="preserve"> </w:t>
      </w:r>
    </w:p>
    <w:p w14:paraId="44CB964B" w14:textId="05F3064E" w:rsidR="00621A7F" w:rsidRPr="00621A7F" w:rsidRDefault="00621A7F" w:rsidP="00D519B1">
      <w:pPr>
        <w:spacing w:after="0" w:line="240" w:lineRule="auto"/>
        <w:ind w:left="709" w:right="709"/>
        <w:jc w:val="both"/>
        <w:rPr>
          <w:rFonts w:ascii="Arial" w:eastAsia="Times New Roman" w:hAnsi="Arial" w:cs="Arial"/>
          <w:color w:val="000000"/>
          <w:sz w:val="21"/>
          <w:szCs w:val="21"/>
          <w:lang w:val="es-ES_tradnl" w:eastAsia="es-ES_tradnl"/>
        </w:rPr>
      </w:pPr>
      <w:proofErr w:type="spellStart"/>
      <w:r w:rsidRPr="00621A7F">
        <w:rPr>
          <w:rFonts w:ascii="Arial" w:hAnsi="Arial" w:cs="Arial"/>
          <w:sz w:val="21"/>
          <w:szCs w:val="21"/>
        </w:rPr>
        <w:t>ii</w:t>
      </w:r>
      <w:proofErr w:type="spellEnd"/>
      <w:r w:rsidRPr="00621A7F">
        <w:rPr>
          <w:rFonts w:ascii="Arial" w:hAnsi="Arial" w:cs="Arial"/>
          <w:sz w:val="21"/>
          <w:szCs w:val="21"/>
        </w:rPr>
        <w:t xml:space="preserve">) «¿En el caso anterior, </w:t>
      </w:r>
      <w:proofErr w:type="gramStart"/>
      <w:r w:rsidRPr="00621A7F">
        <w:rPr>
          <w:rFonts w:ascii="Arial" w:hAnsi="Arial" w:cs="Arial"/>
          <w:sz w:val="21"/>
          <w:szCs w:val="21"/>
        </w:rPr>
        <w:t>no?</w:t>
      </w:r>
      <w:proofErr w:type="gramEnd"/>
      <w:r w:rsidRPr="00621A7F">
        <w:rPr>
          <w:rFonts w:ascii="Arial" w:hAnsi="Arial" w:cs="Arial"/>
          <w:sz w:val="21"/>
          <w:szCs w:val="21"/>
        </w:rPr>
        <w:t xml:space="preserve">». </w:t>
      </w:r>
    </w:p>
    <w:p w14:paraId="5A3A57F8" w14:textId="77777777" w:rsidR="00C4589F" w:rsidRPr="00C4589F" w:rsidRDefault="00C4589F" w:rsidP="00D519B1">
      <w:pPr>
        <w:spacing w:after="0" w:line="276" w:lineRule="auto"/>
        <w:jc w:val="both"/>
        <w:rPr>
          <w:rFonts w:ascii="Arial" w:eastAsia="Calibri" w:hAnsi="Arial" w:cs="Arial"/>
          <w:color w:val="000000"/>
          <w:lang w:val="es-ES_tradnl" w:eastAsia="es-ES_tradnl"/>
        </w:rPr>
      </w:pPr>
    </w:p>
    <w:p w14:paraId="734FBCA7" w14:textId="765F9652" w:rsidR="00EF7422" w:rsidRDefault="00C4589F" w:rsidP="007D1C30">
      <w:pPr>
        <w:spacing w:after="120" w:line="276" w:lineRule="auto"/>
        <w:jc w:val="both"/>
        <w:rPr>
          <w:rFonts w:ascii="Arial" w:eastAsia="Times New Roman" w:hAnsi="Arial" w:cs="Arial"/>
          <w:color w:val="000000"/>
          <w:lang w:val="es-ES_tradnl" w:eastAsia="es-ES_tradnl"/>
        </w:rPr>
      </w:pPr>
      <w:r w:rsidRPr="00C4589F">
        <w:rPr>
          <w:rFonts w:ascii="Arial" w:eastAsia="Calibri" w:hAnsi="Arial" w:cs="Arial"/>
          <w:color w:val="000000"/>
          <w:lang w:val="es-ES_tradnl" w:eastAsia="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C4589F" w:rsidDel="0018007F">
        <w:rPr>
          <w:rFonts w:ascii="Arial" w:eastAsia="Calibri" w:hAnsi="Arial" w:cs="Arial"/>
          <w:color w:val="000000"/>
          <w:lang w:val="es-ES_tradnl" w:eastAsia="es-ES_tradnl"/>
        </w:rPr>
        <w:t xml:space="preserve"> </w:t>
      </w:r>
      <w:r w:rsidRPr="00C4589F">
        <w:rPr>
          <w:rFonts w:ascii="Arial" w:eastAsia="Calibri" w:hAnsi="Arial" w:cs="Arial"/>
          <w:color w:val="000000"/>
          <w:lang w:val="es-ES_tradnl" w:eastAsia="es-ES_tradnl"/>
        </w:rPr>
        <w:t>son aplicables a todas las entidades estatales, independientemente de su régimen de contratación.</w:t>
      </w:r>
      <w:r w:rsidR="00196668">
        <w:rPr>
          <w:rFonts w:ascii="Arial" w:eastAsia="Times New Roman" w:hAnsi="Arial" w:cs="Arial"/>
          <w:color w:val="000000"/>
          <w:lang w:val="es-ES_tradnl" w:eastAsia="es-ES_tradnl"/>
        </w:rPr>
        <w:t xml:space="preserve"> Ahora bien, e</w:t>
      </w:r>
      <w:r w:rsidRPr="00C4589F">
        <w:rPr>
          <w:rFonts w:ascii="Arial" w:eastAsia="Times New Roman" w:hAnsi="Arial" w:cs="Arial"/>
          <w:color w:val="000000"/>
          <w:lang w:val="es-ES_tradnl" w:eastAsia="es-ES_tradnl"/>
        </w:rPr>
        <w:t>n cuanto a la subasta inversa, surge la inquietud de si el artículo 35 de la Ley 2069 de 2020 ha producido también el decaimiento del numeral 9 del artículo 2.2.1.2.1.2.2. del Decreto 1082 de 2015, según el cual «Si al terminar la subasta inversa hay empate, la Entidad Estatal debe seleccionar al oferente que presentó el menor precio inicial. En caso de persistir el empate la Entidad Estatal debe aplicar las reglas del numeral 1 al 5 del artículo 2.2.1.1.2.2.9 del presente decreto».</w:t>
      </w:r>
      <w:r w:rsidR="00D433C0">
        <w:rPr>
          <w:rFonts w:ascii="Arial" w:eastAsia="Times New Roman" w:hAnsi="Arial" w:cs="Arial"/>
          <w:color w:val="000000"/>
          <w:lang w:val="es-ES_tradnl" w:eastAsia="es-ES_tradnl"/>
        </w:rPr>
        <w:t xml:space="preserve"> </w:t>
      </w:r>
    </w:p>
    <w:p w14:paraId="1F5A7AC5" w14:textId="089EBF13" w:rsidR="00621A7F" w:rsidRDefault="00EF7422" w:rsidP="007D1C30">
      <w:pPr>
        <w:spacing w:after="0" w:line="276" w:lineRule="auto"/>
        <w:ind w:firstLine="708"/>
        <w:jc w:val="both"/>
        <w:rPr>
          <w:rFonts w:ascii="Arial" w:eastAsia="Times New Roman" w:hAnsi="Arial" w:cs="Arial"/>
          <w:color w:val="000000"/>
          <w:lang w:val="es-ES_tradnl" w:eastAsia="es-ES_tradnl"/>
        </w:rPr>
      </w:pPr>
      <w:r>
        <w:rPr>
          <w:rFonts w:ascii="Arial" w:eastAsia="Times New Roman" w:hAnsi="Arial" w:cs="Arial"/>
          <w:color w:val="000000"/>
          <w:lang w:val="es-ES_tradnl" w:eastAsia="es-ES_tradnl"/>
        </w:rPr>
        <w:t>Al respecto</w:t>
      </w:r>
      <w:r w:rsidR="00C4589F" w:rsidRPr="00C4589F">
        <w:rPr>
          <w:rFonts w:ascii="Arial" w:eastAsia="Times New Roman" w:hAnsi="Arial" w:cs="Arial"/>
          <w:color w:val="000000"/>
          <w:lang w:val="es-ES_tradnl" w:eastAsia="es-ES_tradnl"/>
        </w:rPr>
        <w:t>, puede afirmar</w:t>
      </w:r>
      <w:r>
        <w:rPr>
          <w:rFonts w:ascii="Arial" w:eastAsia="Times New Roman" w:hAnsi="Arial" w:cs="Arial"/>
          <w:color w:val="000000"/>
          <w:lang w:val="es-ES_tradnl" w:eastAsia="es-ES_tradnl"/>
        </w:rPr>
        <w:t>se</w:t>
      </w:r>
      <w:r w:rsidR="00C4589F" w:rsidRPr="00C4589F">
        <w:rPr>
          <w:rFonts w:ascii="Arial" w:eastAsia="Times New Roman" w:hAnsi="Arial" w:cs="Arial"/>
          <w:color w:val="000000"/>
          <w:lang w:val="es-ES_tradnl" w:eastAsia="es-ES_tradnl"/>
        </w:rPr>
        <w:t xml:space="preserve"> que el numeral 9 del artículo 2.2.1.2.1.2.2 del Decreto 1082 de 2015 ha perdido igualmente fuerza ejecutoria en virtud de la </w:t>
      </w:r>
      <w:proofErr w:type="gramStart"/>
      <w:r w:rsidR="00C4589F" w:rsidRPr="00C4589F">
        <w:rPr>
          <w:rFonts w:ascii="Arial" w:eastAsia="Times New Roman" w:hAnsi="Arial" w:cs="Arial"/>
          <w:color w:val="000000"/>
          <w:lang w:val="es-ES_tradnl" w:eastAsia="es-ES_tradnl"/>
        </w:rPr>
        <w:t>entrada en vigencia</w:t>
      </w:r>
      <w:proofErr w:type="gramEnd"/>
      <w:r w:rsidR="00C4589F" w:rsidRPr="00C4589F">
        <w:rPr>
          <w:rFonts w:ascii="Arial" w:eastAsia="Times New Roman" w:hAnsi="Arial" w:cs="Arial"/>
          <w:color w:val="000000"/>
          <w:lang w:val="es-ES_tradnl" w:eastAsia="es-ES_tradnl"/>
        </w:rPr>
        <w:t xml:space="preserve"> del artículo 35 de la Ley 2069 de 2020, que contiene una regulación nueva y completa de los factores de desempate que se deben aplicar en los procesos de selección, sin distinguir las modalidades contractuales en las que rigen estos criterios. </w:t>
      </w:r>
      <w:r w:rsidR="00D433C0">
        <w:rPr>
          <w:rFonts w:ascii="Arial" w:eastAsia="Times New Roman" w:hAnsi="Arial" w:cs="Arial"/>
          <w:color w:val="000000"/>
          <w:lang w:val="es-ES_tradnl" w:eastAsia="es-ES_tradnl"/>
        </w:rPr>
        <w:t>Por lo anterior</w:t>
      </w:r>
      <w:r w:rsidR="00621A7F" w:rsidRPr="00C4589F">
        <w:rPr>
          <w:rFonts w:ascii="Arial" w:eastAsia="Times New Roman" w:hAnsi="Arial" w:cs="Arial"/>
          <w:color w:val="000000"/>
          <w:lang w:val="es-ES_tradnl" w:eastAsia="es-ES_tradnl"/>
        </w:rPr>
        <w:t>,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7F7233A4" w14:textId="34AC4AE1" w:rsidR="00621A7F" w:rsidRPr="00C4589F" w:rsidRDefault="00F95F48">
      <w:pPr>
        <w:spacing w:before="120" w:after="120" w:line="276" w:lineRule="auto"/>
        <w:ind w:firstLine="709"/>
        <w:jc w:val="both"/>
        <w:rPr>
          <w:rFonts w:ascii="Arial" w:eastAsia="Times New Roman" w:hAnsi="Arial" w:cs="Arial"/>
          <w:color w:val="000000"/>
          <w:sz w:val="21"/>
          <w:szCs w:val="21"/>
          <w:lang w:val="es-ES_tradnl" w:eastAsia="es-ES_tradnl"/>
        </w:rPr>
      </w:pPr>
      <w:r>
        <w:rPr>
          <w:rFonts w:ascii="Arial" w:eastAsia="Times New Roman" w:hAnsi="Arial" w:cs="Arial"/>
          <w:color w:val="000000" w:themeColor="text1"/>
          <w:lang w:val="es-ES_tradnl" w:eastAsia="es-ES_tradnl"/>
        </w:rPr>
        <w:t>Por otra parte</w:t>
      </w:r>
      <w:r w:rsidR="00621A7F" w:rsidRPr="00C4589F">
        <w:rPr>
          <w:rFonts w:ascii="Arial" w:eastAsia="Times New Roman" w:hAnsi="Arial" w:cs="Arial"/>
          <w:color w:val="000000" w:themeColor="text1"/>
          <w:lang w:val="es-ES_tradnl" w:eastAsia="es-ES_tradnl"/>
        </w:rPr>
        <w:t xml:space="preserve">, en relación con el procedimiento de mínima cuantía, si bien el parágrafo 2 del artículo 30 de la Ley de Emprendimiento dispone que «La contratación a que se refiere el presente artículo se realizará exclusivamente con las reglas en él contempladas y en su reglamentación </w:t>
      </w:r>
      <w:r w:rsidR="00621A7F" w:rsidRPr="006B06DA">
        <w:rPr>
          <w:rFonts w:ascii="Arial" w:eastAsia="Times New Roman" w:hAnsi="Arial" w:cs="Arial"/>
          <w:color w:val="000000" w:themeColor="text1"/>
          <w:lang w:val="es-ES_tradnl" w:eastAsia="es-ES_tradnl"/>
        </w:rPr>
        <w:t xml:space="preserve">[…]», </w:t>
      </w:r>
      <w:r w:rsidR="002B479B" w:rsidRPr="00337B9F">
        <w:rPr>
          <w:rFonts w:ascii="Arial" w:hAnsi="Arial" w:cs="Arial"/>
          <w:color w:val="000000" w:themeColor="text1"/>
          <w:lang w:val="es-ES_tradnl"/>
        </w:rPr>
        <w:t>lo que podría llevar a concluir que los procesos de mínima cuantía se rigen exclusivamente por las reglas del artículo 30 de la Ley 2069 de 2020 y lo reglamentado en el decreto 1082 de 2015</w:t>
      </w:r>
      <w:r w:rsidR="002B479B">
        <w:rPr>
          <w:rFonts w:ascii="Arial" w:hAnsi="Arial" w:cs="Arial"/>
          <w:color w:val="000000" w:themeColor="text1"/>
          <w:lang w:val="es-ES_tradnl"/>
        </w:rPr>
        <w:t xml:space="preserve">, </w:t>
      </w:r>
      <w:r w:rsidR="002B479B">
        <w:rPr>
          <w:rFonts w:ascii="Arial" w:eastAsia="Times New Roman" w:hAnsi="Arial" w:cs="Arial"/>
          <w:color w:val="000000" w:themeColor="text1"/>
          <w:lang w:val="es-ES_tradnl" w:eastAsia="es-ES_tradnl"/>
        </w:rPr>
        <w:t>t</w:t>
      </w:r>
      <w:r w:rsidR="00621A7F" w:rsidRPr="00C4589F">
        <w:rPr>
          <w:rFonts w:ascii="Arial" w:eastAsia="Times New Roman" w:hAnsi="Arial" w:cs="Arial"/>
          <w:color w:val="000000" w:themeColor="text1"/>
          <w:lang w:val="es-ES_tradnl" w:eastAsia="es-ES_tradnl"/>
        </w:rPr>
        <w:t>ratándose de los factores de desempate, la intención del legislador es que el artículo 35 de la Ley de Emprendimiento sea una norma transversal al sistema de</w:t>
      </w:r>
      <w:r w:rsidR="00D433C0">
        <w:rPr>
          <w:rFonts w:ascii="Arial" w:eastAsia="Times New Roman" w:hAnsi="Arial" w:cs="Arial"/>
          <w:color w:val="000000" w:themeColor="text1"/>
          <w:lang w:val="es-ES_tradnl" w:eastAsia="es-ES_tradnl"/>
        </w:rPr>
        <w:t xml:space="preserve"> compras y contratación pública, e</w:t>
      </w:r>
      <w:r w:rsidR="00621A7F" w:rsidRPr="00C4589F">
        <w:rPr>
          <w:rFonts w:ascii="Arial" w:eastAsia="Calibri" w:hAnsi="Arial" w:cs="Arial"/>
          <w:bCs/>
          <w:color w:val="000000" w:themeColor="text1"/>
          <w:szCs w:val="24"/>
          <w:lang w:eastAsia="es-ES_tradnl"/>
        </w:rPr>
        <w:t xml:space="preserve">n esta medida, carece de sentido que los criterios de desempate sean inaplicables a la mínima cuantía, cuando la regla revista en el artículo citado obliga a todas las entidades exceptuadas sin consideración al valor del presupuesto oficial estimado. Teniendo en cuenta lo anterior, se </w:t>
      </w:r>
      <w:r w:rsidR="00621A7F" w:rsidRPr="00C4589F">
        <w:rPr>
          <w:rFonts w:ascii="Arial" w:eastAsia="Calibri" w:hAnsi="Arial" w:cs="Arial"/>
          <w:bCs/>
          <w:color w:val="000000" w:themeColor="text1"/>
          <w:szCs w:val="24"/>
          <w:lang w:eastAsia="es-ES_tradnl"/>
        </w:rPr>
        <w:lastRenderedPageBreak/>
        <w:t xml:space="preserve">concluye que el artículo </w:t>
      </w:r>
      <w:r w:rsidR="00621A7F" w:rsidRPr="00C4589F">
        <w:rPr>
          <w:rFonts w:ascii="Arial" w:eastAsia="Times New Roman" w:hAnsi="Arial" w:cs="Arial"/>
          <w:color w:val="000000" w:themeColor="text1"/>
          <w:lang w:val="es-ES_tradnl" w:eastAsia="es-ES_tradnl"/>
        </w:rPr>
        <w:t>35 de la Ley 2069 de 2020 es aplicable al procedimiento de mínima cuantía, por lo que se presenta tanto la derogación como el decaimiento de los criterios</w:t>
      </w:r>
      <w:r>
        <w:rPr>
          <w:rFonts w:ascii="Arial" w:eastAsia="Times New Roman" w:hAnsi="Arial" w:cs="Arial"/>
          <w:color w:val="000000" w:themeColor="text1"/>
          <w:lang w:val="es-ES_tradnl" w:eastAsia="es-ES_tradnl"/>
        </w:rPr>
        <w:t xml:space="preserve"> </w:t>
      </w:r>
      <w:r>
        <w:rPr>
          <w:rFonts w:ascii="Arial" w:hAnsi="Arial" w:cs="Arial"/>
          <w:color w:val="000000" w:themeColor="text1"/>
          <w:lang w:val="es-ES_tradnl"/>
        </w:rPr>
        <w:t>de desempate previstos en el Decreto 1082 de 2015 para este procedimiento de selección.</w:t>
      </w:r>
    </w:p>
    <w:p w14:paraId="64D4382F" w14:textId="2C9A161F" w:rsidR="00621A7F" w:rsidRPr="00C4589F" w:rsidRDefault="00681693" w:rsidP="00621A7F">
      <w:pPr>
        <w:spacing w:before="120" w:after="0" w:line="276" w:lineRule="auto"/>
        <w:ind w:firstLine="709"/>
        <w:jc w:val="both"/>
        <w:rPr>
          <w:rFonts w:ascii="Arial" w:eastAsia="Times New Roman" w:hAnsi="Arial" w:cs="Arial"/>
          <w:color w:val="000000"/>
          <w:lang w:val="es-ES_tradnl" w:eastAsia="es-ES_tradnl"/>
        </w:rPr>
      </w:pPr>
      <w:r>
        <w:rPr>
          <w:rFonts w:ascii="Arial" w:eastAsia="Times New Roman" w:hAnsi="Arial" w:cs="Arial"/>
          <w:color w:val="000000" w:themeColor="text1"/>
          <w:lang w:val="es-ES_tradnl" w:eastAsia="es-ES_tradnl"/>
        </w:rPr>
        <w:t>Así las cosas</w:t>
      </w:r>
      <w:r w:rsidR="00621A7F" w:rsidRPr="00C4589F">
        <w:rPr>
          <w:rFonts w:ascii="Arial" w:eastAsia="Times New Roman" w:hAnsi="Arial" w:cs="Arial"/>
          <w:color w:val="000000"/>
          <w:lang w:val="es-ES_tradnl" w:eastAsia="es-ES_tradnl"/>
        </w:rPr>
        <w:t>, el Congreso de la República hizo obligatoria la aplicación de los factores de desempate previstos en el artículo 35 de la Ley 2069 de 2020 a todos «</w:t>
      </w:r>
      <w:r w:rsidR="00621A7F" w:rsidRPr="00C4589F">
        <w:rPr>
          <w:rFonts w:ascii="Arial" w:eastAsia="Times New Roman" w:hAnsi="Arial" w:cs="Arial"/>
          <w:lang w:eastAsia="es-ES_tradnl"/>
        </w:rPr>
        <w:t xml:space="preserve">[…] </w:t>
      </w:r>
      <w:r w:rsidR="00621A7F" w:rsidRPr="00C4589F">
        <w:rPr>
          <w:rFonts w:ascii="Arial" w:eastAsia="Times New Roman" w:hAnsi="Arial" w:cs="Arial"/>
          <w:color w:val="000000"/>
          <w:lang w:val="es-ES_tradnl" w:eastAsia="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p>
    <w:p w14:paraId="141F3554" w14:textId="77777777" w:rsidR="00C4589F" w:rsidRPr="00C4589F" w:rsidRDefault="00C4589F" w:rsidP="007D1C30">
      <w:pPr>
        <w:spacing w:after="120" w:line="276" w:lineRule="auto"/>
        <w:jc w:val="both"/>
        <w:rPr>
          <w:rFonts w:ascii="Arial" w:eastAsia="Times New Roman" w:hAnsi="Arial" w:cs="Arial"/>
          <w:color w:val="000000"/>
          <w:szCs w:val="24"/>
          <w:lang w:val="es-ES_tradnl" w:eastAsia="es-ES_tradnl"/>
        </w:rPr>
      </w:pPr>
    </w:p>
    <w:p w14:paraId="0C4D81B4" w14:textId="77777777" w:rsidR="00C4589F" w:rsidRPr="00C4589F" w:rsidRDefault="00C4589F" w:rsidP="00C4589F">
      <w:pPr>
        <w:spacing w:after="0" w:line="276" w:lineRule="auto"/>
        <w:jc w:val="both"/>
        <w:rPr>
          <w:rFonts w:ascii="Arial" w:eastAsia="Times New Roman" w:hAnsi="Arial" w:cs="Arial"/>
          <w:color w:val="000000"/>
          <w:szCs w:val="24"/>
          <w:lang w:val="es-ES_tradnl" w:eastAsia="es-ES_tradnl"/>
        </w:rPr>
      </w:pPr>
      <w:r w:rsidRPr="00C4589F">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147593FC" w14:textId="77777777" w:rsidR="00C4589F" w:rsidRPr="00C4589F" w:rsidRDefault="00C4589F" w:rsidP="00C4589F">
      <w:pPr>
        <w:spacing w:after="0" w:line="276" w:lineRule="auto"/>
        <w:jc w:val="both"/>
        <w:rPr>
          <w:rFonts w:ascii="Arial" w:eastAsia="Times New Roman" w:hAnsi="Arial" w:cs="Arial"/>
          <w:color w:val="000000"/>
          <w:lang w:val="es-ES_tradnl" w:eastAsia="es-CO"/>
        </w:rPr>
      </w:pPr>
    </w:p>
    <w:p w14:paraId="7DBAE9DC" w14:textId="77777777" w:rsidR="00C4589F" w:rsidRPr="00C4589F" w:rsidRDefault="00C4589F" w:rsidP="00C4589F">
      <w:pPr>
        <w:spacing w:after="0" w:line="276" w:lineRule="auto"/>
        <w:jc w:val="both"/>
        <w:rPr>
          <w:rFonts w:ascii="Arial" w:eastAsia="Times New Roman" w:hAnsi="Arial" w:cs="Arial"/>
          <w:color w:val="000000"/>
          <w:lang w:val="es-ES_tradnl" w:eastAsia="es-CO"/>
        </w:rPr>
      </w:pPr>
      <w:r w:rsidRPr="00C4589F">
        <w:rPr>
          <w:rFonts w:ascii="Arial" w:eastAsia="Times New Roman" w:hAnsi="Arial" w:cs="Arial"/>
          <w:color w:val="000000"/>
          <w:lang w:val="es-ES_tradnl" w:eastAsia="es-CO"/>
        </w:rPr>
        <w:t>Atentamente,</w:t>
      </w:r>
    </w:p>
    <w:p w14:paraId="01CDC9C8" w14:textId="77777777" w:rsidR="00C4589F" w:rsidRPr="00C4589F" w:rsidRDefault="00C4589F" w:rsidP="00C4589F">
      <w:pPr>
        <w:spacing w:after="0" w:line="276" w:lineRule="auto"/>
        <w:jc w:val="both"/>
        <w:rPr>
          <w:rFonts w:ascii="Arial" w:eastAsia="Times New Roman" w:hAnsi="Arial" w:cs="Arial"/>
          <w:color w:val="000000" w:themeColor="text1"/>
          <w:lang w:val="es-ES_tradnl" w:eastAsia="es-CO"/>
        </w:rPr>
      </w:pPr>
    </w:p>
    <w:p w14:paraId="4EC29ED9" w14:textId="3C63DCDB" w:rsidR="00C4589F" w:rsidRDefault="0045764A" w:rsidP="00C4589F">
      <w:pPr>
        <w:spacing w:after="0" w:line="276" w:lineRule="auto"/>
        <w:jc w:val="center"/>
        <w:rPr>
          <w:rFonts w:ascii="Arial" w:eastAsia="Times New Roman"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0C10A785" wp14:editId="75F74A9E">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E1C8AF5" w14:textId="77777777" w:rsidR="0045764A" w:rsidRPr="00C4589F" w:rsidRDefault="0045764A" w:rsidP="00C4589F">
      <w:pPr>
        <w:spacing w:after="0" w:line="276" w:lineRule="auto"/>
        <w:jc w:val="center"/>
        <w:rPr>
          <w:rFonts w:ascii="Arial" w:eastAsia="Times New Roman" w:hAnsi="Arial" w:cs="Arial"/>
          <w:color w:val="000000" w:themeColor="text1"/>
          <w:sz w:val="18"/>
          <w:szCs w:val="20"/>
          <w:lang w:val="es-ES_tradnl" w:eastAsia="es-CO"/>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4589F" w:rsidRPr="00C4589F" w14:paraId="14EF4FDB" w14:textId="77777777" w:rsidTr="00293024">
        <w:trPr>
          <w:trHeight w:val="315"/>
        </w:trPr>
        <w:tc>
          <w:tcPr>
            <w:tcW w:w="812" w:type="dxa"/>
            <w:vAlign w:val="center"/>
            <w:hideMark/>
          </w:tcPr>
          <w:p w14:paraId="1B54D695"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0B8E441"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Carlos Mario Castrillón Endo</w:t>
            </w:r>
          </w:p>
          <w:p w14:paraId="70194815"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Contratista de la Subdirección de Gestión Contractual</w:t>
            </w:r>
          </w:p>
        </w:tc>
      </w:tr>
      <w:tr w:rsidR="00C4589F" w:rsidRPr="00C4589F" w14:paraId="56B2E3F6" w14:textId="77777777" w:rsidTr="00293024">
        <w:trPr>
          <w:trHeight w:val="330"/>
        </w:trPr>
        <w:tc>
          <w:tcPr>
            <w:tcW w:w="812" w:type="dxa"/>
            <w:vAlign w:val="center"/>
            <w:hideMark/>
          </w:tcPr>
          <w:p w14:paraId="3BD752B6"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8CD4E7" w14:textId="77777777" w:rsidR="00C4589F" w:rsidRPr="00C4589F" w:rsidRDefault="00C4589F" w:rsidP="00C4589F">
            <w:pPr>
              <w:rPr>
                <w:rFonts w:ascii="Arial" w:eastAsia="Times New Roman" w:hAnsi="Arial" w:cs="Arial"/>
                <w:sz w:val="16"/>
                <w:szCs w:val="16"/>
                <w:lang w:val="es-ES_tradnl" w:eastAsia="es-ES"/>
              </w:rPr>
            </w:pPr>
            <w:r w:rsidRPr="00C4589F">
              <w:rPr>
                <w:rFonts w:ascii="Arial" w:eastAsia="Times New Roman" w:hAnsi="Arial" w:cs="Arial"/>
                <w:sz w:val="16"/>
                <w:szCs w:val="16"/>
                <w:lang w:val="es-ES_tradnl" w:eastAsia="es-ES"/>
              </w:rPr>
              <w:t xml:space="preserve">Juan David Montoya Penagos </w:t>
            </w:r>
          </w:p>
          <w:p w14:paraId="0BD07205" w14:textId="77777777" w:rsidR="00C4589F" w:rsidRPr="00C4589F" w:rsidRDefault="00C4589F" w:rsidP="00C4589F">
            <w:pPr>
              <w:rPr>
                <w:rFonts w:ascii="Arial" w:eastAsia="Times New Roman" w:hAnsi="Arial" w:cs="Arial"/>
                <w:color w:val="000000" w:themeColor="text1"/>
                <w:sz w:val="16"/>
                <w:szCs w:val="16"/>
                <w:lang w:val="es-ES_tradnl" w:eastAsia="es-ES"/>
              </w:rPr>
            </w:pPr>
            <w:r w:rsidRPr="00C4589F">
              <w:rPr>
                <w:rFonts w:ascii="Arial" w:eastAsia="Times New Roman" w:hAnsi="Arial" w:cs="Arial"/>
                <w:sz w:val="16"/>
                <w:szCs w:val="16"/>
                <w:lang w:val="es-ES_tradnl" w:eastAsia="es-ES"/>
              </w:rPr>
              <w:t>Gestor T1-15 de la Subdirección de Gestión Contractual</w:t>
            </w:r>
          </w:p>
        </w:tc>
      </w:tr>
      <w:tr w:rsidR="00C4589F" w:rsidRPr="00C4589F" w14:paraId="042F05C6" w14:textId="77777777" w:rsidTr="00293024">
        <w:trPr>
          <w:trHeight w:val="300"/>
        </w:trPr>
        <w:tc>
          <w:tcPr>
            <w:tcW w:w="812" w:type="dxa"/>
            <w:vAlign w:val="center"/>
            <w:hideMark/>
          </w:tcPr>
          <w:p w14:paraId="27E02C69"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147C07" w14:textId="77777777" w:rsidR="00C4589F" w:rsidRPr="00C4589F" w:rsidRDefault="00C4589F" w:rsidP="00C4589F">
            <w:pPr>
              <w:rPr>
                <w:rFonts w:ascii="Arial" w:eastAsia="Times New Roman" w:hAnsi="Arial" w:cs="Arial"/>
                <w:color w:val="000000" w:themeColor="text1"/>
                <w:sz w:val="16"/>
                <w:szCs w:val="16"/>
                <w:lang w:val="es-ES" w:eastAsia="es-ES"/>
              </w:rPr>
            </w:pPr>
            <w:r w:rsidRPr="00C4589F">
              <w:rPr>
                <w:rFonts w:ascii="Arial" w:eastAsia="Times New Roman" w:hAnsi="Arial" w:cs="Arial"/>
                <w:color w:val="000000" w:themeColor="text1"/>
                <w:sz w:val="16"/>
                <w:szCs w:val="16"/>
                <w:lang w:val="es-ES" w:eastAsia="es-ES"/>
              </w:rPr>
              <w:t>Jorge Augusto Tirado Navarro</w:t>
            </w:r>
          </w:p>
          <w:p w14:paraId="52E7081C" w14:textId="77777777" w:rsidR="00C4589F" w:rsidRPr="00C4589F" w:rsidRDefault="00C4589F" w:rsidP="00C4589F">
            <w:pPr>
              <w:spacing w:line="276" w:lineRule="auto"/>
              <w:rPr>
                <w:rFonts w:ascii="Arial" w:eastAsia="Times New Roman" w:hAnsi="Arial" w:cs="Arial"/>
                <w:color w:val="000000" w:themeColor="text1"/>
                <w:sz w:val="16"/>
                <w:szCs w:val="16"/>
                <w:lang w:val="es-ES_tradnl" w:eastAsia="es-ES"/>
              </w:rPr>
            </w:pPr>
            <w:r w:rsidRPr="00C4589F">
              <w:rPr>
                <w:rFonts w:ascii="Arial" w:eastAsia="Times New Roman" w:hAnsi="Arial" w:cs="Arial"/>
                <w:color w:val="000000" w:themeColor="text1"/>
                <w:sz w:val="16"/>
                <w:szCs w:val="16"/>
                <w:lang w:val="es-ES_tradnl" w:eastAsia="es-ES"/>
              </w:rPr>
              <w:t>Subdirector de Gestión Contractual</w:t>
            </w:r>
          </w:p>
        </w:tc>
      </w:tr>
    </w:tbl>
    <w:p w14:paraId="1AFD2A1D" w14:textId="77777777" w:rsidR="00C4589F" w:rsidRPr="00C4589F" w:rsidRDefault="00C4589F" w:rsidP="00C4589F">
      <w:pPr>
        <w:spacing w:after="0" w:line="240" w:lineRule="auto"/>
        <w:rPr>
          <w:rFonts w:ascii="Times New Roman" w:eastAsia="Times New Roman" w:hAnsi="Times New Roman" w:cs="Times New Roman"/>
          <w:sz w:val="24"/>
          <w:szCs w:val="24"/>
          <w:lang w:eastAsia="es-ES_tradnl"/>
        </w:rPr>
      </w:pPr>
    </w:p>
    <w:p w14:paraId="1E710009" w14:textId="77777777" w:rsidR="003255AD" w:rsidRDefault="003255AD"/>
    <w:sectPr w:rsidR="003255AD"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F491" w14:textId="77777777" w:rsidR="001924E7" w:rsidRDefault="001924E7" w:rsidP="00C4589F">
      <w:pPr>
        <w:spacing w:after="0" w:line="240" w:lineRule="auto"/>
      </w:pPr>
      <w:r>
        <w:separator/>
      </w:r>
    </w:p>
  </w:endnote>
  <w:endnote w:type="continuationSeparator" w:id="0">
    <w:p w14:paraId="277B4482" w14:textId="77777777" w:rsidR="001924E7" w:rsidRDefault="001924E7" w:rsidP="00C4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A18D" w14:textId="77777777" w:rsidR="00D519B1" w:rsidRDefault="00D519B1" w:rsidP="00FE42ED">
    <w:pPr>
      <w:pStyle w:val="Piedepgina"/>
      <w:jc w:val="right"/>
      <w:rPr>
        <w:rFonts w:ascii="Arial" w:hAnsi="Arial" w:cs="Arial"/>
        <w:bCs/>
        <w:color w:val="7F7F7F"/>
        <w:sz w:val="16"/>
        <w:szCs w:val="16"/>
      </w:rPr>
    </w:pPr>
  </w:p>
  <w:p w14:paraId="76455989" w14:textId="3CD98463" w:rsidR="008F4163" w:rsidRPr="00C4589F" w:rsidRDefault="003F7377" w:rsidP="00FE42ED">
    <w:pPr>
      <w:pStyle w:val="Piedepgina"/>
      <w:jc w:val="right"/>
      <w:rPr>
        <w:rFonts w:ascii="Arial" w:hAnsi="Arial" w:cs="Arial"/>
        <w:color w:val="7F7F7F"/>
        <w:sz w:val="16"/>
        <w:szCs w:val="16"/>
      </w:rPr>
    </w:pPr>
    <w:r w:rsidRPr="00C4589F">
      <w:rPr>
        <w:rFonts w:ascii="Arial" w:hAnsi="Arial" w:cs="Arial"/>
        <w:bCs/>
        <w:color w:val="7F7F7F"/>
        <w:sz w:val="16"/>
        <w:szCs w:val="16"/>
      </w:rPr>
      <w:t xml:space="preserve">Página </w:t>
    </w:r>
    <w:r w:rsidRPr="00C4589F">
      <w:rPr>
        <w:rFonts w:ascii="Arial" w:hAnsi="Arial" w:cs="Arial"/>
        <w:b/>
        <w:bCs/>
        <w:color w:val="7F7F7F"/>
        <w:sz w:val="16"/>
        <w:szCs w:val="16"/>
      </w:rPr>
      <w:fldChar w:fldCharType="begin"/>
    </w:r>
    <w:r w:rsidRPr="00C4589F">
      <w:rPr>
        <w:rFonts w:ascii="Arial" w:hAnsi="Arial" w:cs="Arial"/>
        <w:b/>
        <w:bCs/>
        <w:color w:val="7F7F7F"/>
        <w:sz w:val="16"/>
        <w:szCs w:val="16"/>
      </w:rPr>
      <w:instrText>PAGE  \* Arabic  \* MERGEFORMAT</w:instrText>
    </w:r>
    <w:r w:rsidRPr="00C4589F">
      <w:rPr>
        <w:rFonts w:ascii="Arial" w:hAnsi="Arial" w:cs="Arial"/>
        <w:b/>
        <w:bCs/>
        <w:color w:val="7F7F7F"/>
        <w:sz w:val="16"/>
        <w:szCs w:val="16"/>
      </w:rPr>
      <w:fldChar w:fldCharType="separate"/>
    </w:r>
    <w:r w:rsidR="009135AB">
      <w:rPr>
        <w:rFonts w:ascii="Arial" w:hAnsi="Arial" w:cs="Arial"/>
        <w:b/>
        <w:bCs/>
        <w:noProof/>
        <w:color w:val="7F7F7F"/>
        <w:sz w:val="16"/>
        <w:szCs w:val="16"/>
      </w:rPr>
      <w:t>12</w:t>
    </w:r>
    <w:r w:rsidRPr="00C4589F">
      <w:rPr>
        <w:rFonts w:ascii="Arial" w:hAnsi="Arial" w:cs="Arial"/>
        <w:b/>
        <w:bCs/>
        <w:color w:val="7F7F7F"/>
        <w:sz w:val="16"/>
        <w:szCs w:val="16"/>
      </w:rPr>
      <w:fldChar w:fldCharType="end"/>
    </w:r>
    <w:r w:rsidRPr="00C4589F">
      <w:rPr>
        <w:rFonts w:ascii="Arial" w:hAnsi="Arial" w:cs="Arial"/>
        <w:color w:val="7F7F7F"/>
        <w:sz w:val="16"/>
        <w:szCs w:val="16"/>
      </w:rPr>
      <w:t xml:space="preserve"> de </w:t>
    </w:r>
    <w:r w:rsidRPr="00C4589F">
      <w:rPr>
        <w:rFonts w:ascii="Arial" w:hAnsi="Arial" w:cs="Arial"/>
        <w:b/>
        <w:bCs/>
        <w:color w:val="7F7F7F"/>
        <w:sz w:val="16"/>
        <w:szCs w:val="16"/>
      </w:rPr>
      <w:fldChar w:fldCharType="begin"/>
    </w:r>
    <w:r w:rsidRPr="00C4589F">
      <w:rPr>
        <w:rFonts w:ascii="Arial" w:hAnsi="Arial" w:cs="Arial"/>
        <w:b/>
        <w:bCs/>
        <w:color w:val="7F7F7F"/>
        <w:sz w:val="16"/>
        <w:szCs w:val="16"/>
      </w:rPr>
      <w:instrText>NUMPAGES  \* Arabic  \* MERGEFORMAT</w:instrText>
    </w:r>
    <w:r w:rsidRPr="00C4589F">
      <w:rPr>
        <w:rFonts w:ascii="Arial" w:hAnsi="Arial" w:cs="Arial"/>
        <w:b/>
        <w:bCs/>
        <w:color w:val="7F7F7F"/>
        <w:sz w:val="16"/>
        <w:szCs w:val="16"/>
      </w:rPr>
      <w:fldChar w:fldCharType="separate"/>
    </w:r>
    <w:r w:rsidR="009135AB">
      <w:rPr>
        <w:rFonts w:ascii="Arial" w:hAnsi="Arial" w:cs="Arial"/>
        <w:b/>
        <w:bCs/>
        <w:noProof/>
        <w:color w:val="7F7F7F"/>
        <w:sz w:val="16"/>
        <w:szCs w:val="16"/>
      </w:rPr>
      <w:t>15</w:t>
    </w:r>
    <w:r w:rsidRPr="00C4589F">
      <w:rPr>
        <w:rFonts w:ascii="Arial" w:hAnsi="Arial" w:cs="Arial"/>
        <w:b/>
        <w:bCs/>
        <w:color w:val="7F7F7F"/>
        <w:sz w:val="16"/>
        <w:szCs w:val="16"/>
      </w:rPr>
      <w:fldChar w:fldCharType="end"/>
    </w:r>
  </w:p>
  <w:p w14:paraId="5D88DC5D" w14:textId="77777777" w:rsidR="008F4163" w:rsidRDefault="003F7377" w:rsidP="00322937">
    <w:pPr>
      <w:pStyle w:val="Piedepgina"/>
      <w:jc w:val="center"/>
      <w:rPr>
        <w:lang w:val="es-ES"/>
      </w:rPr>
    </w:pPr>
    <w:r>
      <w:rPr>
        <w:noProof/>
        <w:lang w:eastAsia="es-CO"/>
      </w:rPr>
      <w:drawing>
        <wp:inline distT="0" distB="0" distL="0" distR="0" wp14:anchorId="604F3D32" wp14:editId="5AEB9FC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67AB339" w14:textId="77777777" w:rsidR="008F4163" w:rsidRDefault="00664E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BE2C" w14:textId="77777777" w:rsidR="001924E7" w:rsidRDefault="001924E7" w:rsidP="00C4589F">
      <w:pPr>
        <w:spacing w:after="0" w:line="240" w:lineRule="auto"/>
      </w:pPr>
      <w:r>
        <w:separator/>
      </w:r>
    </w:p>
  </w:footnote>
  <w:footnote w:type="continuationSeparator" w:id="0">
    <w:p w14:paraId="173127D2" w14:textId="77777777" w:rsidR="001924E7" w:rsidRDefault="001924E7" w:rsidP="00C4589F">
      <w:pPr>
        <w:spacing w:after="0" w:line="240" w:lineRule="auto"/>
      </w:pPr>
      <w:r>
        <w:continuationSeparator/>
      </w:r>
    </w:p>
  </w:footnote>
  <w:footnote w:id="1">
    <w:p w14:paraId="1EFC323E"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4C2042F9" w14:textId="77777777" w:rsidR="00C4589F" w:rsidRPr="009E020C" w:rsidRDefault="00C4589F" w:rsidP="00C4589F">
      <w:pPr>
        <w:pStyle w:val="Car1"/>
        <w:ind w:firstLine="709"/>
        <w:jc w:val="both"/>
        <w:rPr>
          <w:rFonts w:ascii="Arial" w:hAnsi="Arial" w:cs="Arial"/>
          <w:sz w:val="19"/>
          <w:szCs w:val="19"/>
          <w:lang w:val="es-ES"/>
        </w:rPr>
      </w:pPr>
    </w:p>
  </w:footnote>
  <w:footnote w:id="2">
    <w:p w14:paraId="0CB62B1E"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43A0DD83" w14:textId="77777777" w:rsidR="00C4589F" w:rsidRPr="009E020C" w:rsidRDefault="00C4589F" w:rsidP="00C4589F">
      <w:pPr>
        <w:pStyle w:val="Car1"/>
        <w:ind w:firstLine="709"/>
        <w:jc w:val="both"/>
        <w:rPr>
          <w:rFonts w:ascii="Arial" w:hAnsi="Arial" w:cs="Arial"/>
          <w:sz w:val="19"/>
          <w:szCs w:val="19"/>
          <w:lang w:val="es-ES"/>
        </w:rPr>
      </w:pPr>
    </w:p>
  </w:footnote>
  <w:footnote w:id="3">
    <w:p w14:paraId="0D5ECC99"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08DBD38A" w14:textId="77777777" w:rsidR="00C4589F" w:rsidRPr="009E020C" w:rsidRDefault="00C4589F" w:rsidP="00C4589F">
      <w:pPr>
        <w:pStyle w:val="Car1"/>
        <w:ind w:firstLine="709"/>
        <w:jc w:val="both"/>
        <w:rPr>
          <w:rFonts w:ascii="Arial" w:hAnsi="Arial" w:cs="Arial"/>
          <w:sz w:val="19"/>
          <w:szCs w:val="19"/>
          <w:lang w:val="es-CO"/>
        </w:rPr>
      </w:pPr>
    </w:p>
  </w:footnote>
  <w:footnote w:id="4">
    <w:p w14:paraId="744F1352"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2 al 29.</w:t>
      </w:r>
    </w:p>
    <w:p w14:paraId="18A527DA" w14:textId="77777777" w:rsidR="00C4589F" w:rsidRPr="009E020C" w:rsidRDefault="00C4589F" w:rsidP="00C4589F">
      <w:pPr>
        <w:pStyle w:val="Car1"/>
        <w:ind w:firstLine="709"/>
        <w:jc w:val="both"/>
        <w:rPr>
          <w:rFonts w:ascii="Arial" w:hAnsi="Arial" w:cs="Arial"/>
          <w:sz w:val="19"/>
          <w:szCs w:val="19"/>
          <w:lang w:val="es-ES"/>
        </w:rPr>
      </w:pPr>
    </w:p>
  </w:footnote>
  <w:footnote w:id="5">
    <w:p w14:paraId="12F6A1CD"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30 al 36.</w:t>
      </w:r>
    </w:p>
    <w:p w14:paraId="1AA9F384" w14:textId="77777777" w:rsidR="00C4589F" w:rsidRPr="009E020C" w:rsidRDefault="00C4589F" w:rsidP="00C4589F">
      <w:pPr>
        <w:pStyle w:val="Car1"/>
        <w:ind w:firstLine="709"/>
        <w:jc w:val="both"/>
        <w:rPr>
          <w:rFonts w:ascii="Arial" w:hAnsi="Arial" w:cs="Arial"/>
          <w:sz w:val="19"/>
          <w:szCs w:val="19"/>
          <w:lang w:val="es-ES"/>
        </w:rPr>
      </w:pPr>
    </w:p>
  </w:footnote>
  <w:footnote w:id="6">
    <w:p w14:paraId="04EFD1B8"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37 al 45.</w:t>
      </w:r>
    </w:p>
    <w:p w14:paraId="7F4D2D3F" w14:textId="77777777" w:rsidR="00C4589F" w:rsidRPr="009E020C" w:rsidRDefault="00C4589F" w:rsidP="00C4589F">
      <w:pPr>
        <w:pStyle w:val="Car1"/>
        <w:ind w:firstLine="709"/>
        <w:jc w:val="both"/>
        <w:rPr>
          <w:rFonts w:ascii="Arial" w:hAnsi="Arial" w:cs="Arial"/>
          <w:sz w:val="19"/>
          <w:szCs w:val="19"/>
          <w:lang w:val="es-ES"/>
        </w:rPr>
      </w:pPr>
    </w:p>
  </w:footnote>
  <w:footnote w:id="7">
    <w:p w14:paraId="4ECDCCF0"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46 al 73.</w:t>
      </w:r>
    </w:p>
    <w:p w14:paraId="483BE130" w14:textId="77777777" w:rsidR="00C4589F" w:rsidRPr="009E020C" w:rsidRDefault="00C4589F" w:rsidP="00C4589F">
      <w:pPr>
        <w:pStyle w:val="Car1"/>
        <w:ind w:firstLine="709"/>
        <w:jc w:val="both"/>
        <w:rPr>
          <w:rFonts w:ascii="Arial" w:hAnsi="Arial" w:cs="Arial"/>
          <w:sz w:val="19"/>
          <w:szCs w:val="19"/>
          <w:lang w:val="es-ES"/>
        </w:rPr>
      </w:pPr>
    </w:p>
  </w:footnote>
  <w:footnote w:id="8">
    <w:p w14:paraId="3C3ACBA6" w14:textId="77777777" w:rsidR="00C4589F" w:rsidRPr="009E020C" w:rsidRDefault="00C4589F" w:rsidP="00C4589F">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Artículos 74 al 83.</w:t>
      </w:r>
    </w:p>
    <w:p w14:paraId="36A377A5" w14:textId="77777777" w:rsidR="00C4589F" w:rsidRPr="009E020C" w:rsidRDefault="00C4589F" w:rsidP="00C4589F">
      <w:pPr>
        <w:pStyle w:val="Car1"/>
        <w:ind w:firstLine="709"/>
        <w:jc w:val="both"/>
        <w:rPr>
          <w:rFonts w:ascii="Arial" w:hAnsi="Arial" w:cs="Arial"/>
          <w:sz w:val="19"/>
          <w:szCs w:val="19"/>
          <w:lang w:val="es-ES"/>
        </w:rPr>
      </w:pPr>
    </w:p>
  </w:footnote>
  <w:footnote w:id="9">
    <w:p w14:paraId="049B00AE" w14:textId="77777777" w:rsidR="00FE3FCA" w:rsidRPr="0064696D" w:rsidRDefault="00FE3FCA" w:rsidP="00FE3FCA">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4975C184" w14:textId="77777777" w:rsidR="00FE3FCA" w:rsidRPr="0064696D" w:rsidRDefault="00FE3FCA" w:rsidP="00FE3FCA">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Pr="0064696D">
        <w:rPr>
          <w:rFonts w:ascii="Arial" w:hAnsi="Arial" w:cs="Arial"/>
          <w:sz w:val="19"/>
          <w:szCs w:val="19"/>
          <w:lang w:val="es-ES"/>
        </w:rPr>
        <w:t>Si</w:t>
      </w:r>
      <w:proofErr w:type="gramEnd"/>
      <w:r w:rsidRPr="0064696D">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458DC888" w14:textId="77777777" w:rsidR="00FE3FCA" w:rsidRPr="0064696D" w:rsidRDefault="00FE3FCA" w:rsidP="00FE3FCA">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1.</w:t>
      </w:r>
      <w:r>
        <w:rPr>
          <w:rFonts w:ascii="Arial" w:hAnsi="Arial" w:cs="Arial"/>
          <w:sz w:val="19"/>
          <w:szCs w:val="19"/>
          <w:lang w:val="es-ES"/>
        </w:rPr>
        <w:t xml:space="preserve"> </w:t>
      </w:r>
      <w:r w:rsidRPr="0064696D">
        <w:rPr>
          <w:rFonts w:ascii="Arial" w:hAnsi="Arial" w:cs="Arial"/>
          <w:sz w:val="19"/>
          <w:szCs w:val="19"/>
          <w:lang w:val="es-ES"/>
        </w:rPr>
        <w:t>Preferir la oferta de bienes o servicios nacionales frente a la oferta de bienes o servicios extranjeros.</w:t>
      </w:r>
    </w:p>
    <w:p w14:paraId="6B52F29A" w14:textId="77777777" w:rsidR="00FE3FCA" w:rsidRPr="0064696D" w:rsidRDefault="00FE3FCA" w:rsidP="00FE3FCA">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2.</w:t>
      </w:r>
      <w:r>
        <w:rPr>
          <w:rFonts w:ascii="Arial" w:hAnsi="Arial" w:cs="Arial"/>
          <w:sz w:val="19"/>
          <w:szCs w:val="19"/>
          <w:lang w:val="es-ES"/>
        </w:rPr>
        <w:t xml:space="preserve"> </w:t>
      </w:r>
      <w:r w:rsidRPr="0064696D">
        <w:rPr>
          <w:rFonts w:ascii="Arial" w:hAnsi="Arial" w:cs="Arial"/>
          <w:sz w:val="19"/>
          <w:szCs w:val="19"/>
          <w:lang w:val="es-ES"/>
        </w:rPr>
        <w:t xml:space="preserve">Preferir las ofertas presentada por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w:t>
      </w:r>
    </w:p>
    <w:p w14:paraId="6831FF0B" w14:textId="77777777" w:rsidR="00FE3FCA" w:rsidRPr="0064696D" w:rsidRDefault="00FE3FCA" w:rsidP="00FE3FCA">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3.</w:t>
      </w:r>
      <w:r>
        <w:rPr>
          <w:rFonts w:ascii="Arial" w:hAnsi="Arial" w:cs="Arial"/>
          <w:sz w:val="19"/>
          <w:szCs w:val="19"/>
          <w:lang w:val="es-ES"/>
        </w:rPr>
        <w:t xml:space="preserve"> </w:t>
      </w:r>
      <w:r w:rsidRPr="0064696D">
        <w:rPr>
          <w:rFonts w:ascii="Arial" w:hAnsi="Arial" w:cs="Arial"/>
          <w:sz w:val="19"/>
          <w:szCs w:val="19"/>
          <w:lang w:val="es-ES"/>
        </w:rPr>
        <w:t xml:space="preserve">Preferir la oferta presentada por un consorcio, unión temporal o promesa de sociedad futura siempre que: (a) esté conformado por al menos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 que tenga una participación de por lo menos el veinticinco por ciento (25%); (b)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aporte mínimo el veinticinco por ciento (25%) de la experiencia acreditada en la oferta; y (c) ni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ni sus accionistas, socios o representantes legales sean empleados, socios o accionistas de los miembros del consorcio, unión temporal o promesa de sociedad futura.</w:t>
      </w:r>
    </w:p>
    <w:p w14:paraId="611247FF" w14:textId="77777777" w:rsidR="00FE3FCA" w:rsidRPr="0064696D" w:rsidRDefault="00FE3FCA" w:rsidP="00FE3FCA">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4.</w:t>
      </w:r>
      <w:r>
        <w:rPr>
          <w:rFonts w:ascii="Arial" w:hAnsi="Arial" w:cs="Arial"/>
          <w:sz w:val="19"/>
          <w:szCs w:val="19"/>
          <w:lang w:val="es-ES"/>
        </w:rPr>
        <w:t xml:space="preserve"> </w:t>
      </w:r>
      <w:r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560FD45" w14:textId="77777777" w:rsidR="00FE3FCA" w:rsidRPr="0064696D" w:rsidRDefault="00FE3FCA" w:rsidP="00FE3FCA">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Pr>
          <w:rFonts w:ascii="Arial" w:hAnsi="Arial" w:cs="Arial"/>
          <w:sz w:val="19"/>
          <w:szCs w:val="19"/>
          <w:lang w:val="es-ES"/>
        </w:rPr>
        <w:t>5.</w:t>
      </w:r>
      <w:r>
        <w:rPr>
          <w:rFonts w:ascii="Arial" w:hAnsi="Arial" w:cs="Arial"/>
          <w:sz w:val="19"/>
          <w:szCs w:val="19"/>
          <w:lang w:val="es-ES"/>
        </w:rPr>
        <w:t xml:space="preserve"> </w:t>
      </w:r>
      <w:r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Pr>
          <w:rFonts w:ascii="Arial" w:hAnsi="Arial" w:cs="Arial"/>
          <w:sz w:val="19"/>
          <w:szCs w:val="19"/>
          <w:lang w:val="es-ES"/>
        </w:rPr>
        <w:t>.</w:t>
      </w:r>
    </w:p>
  </w:footnote>
  <w:footnote w:id="10">
    <w:p w14:paraId="0D08E50E" w14:textId="77777777" w:rsidR="00682DE3" w:rsidRDefault="00682DE3" w:rsidP="00682DE3">
      <w:pPr>
        <w:pStyle w:val="Textonotapie"/>
        <w:ind w:firstLine="708"/>
        <w:jc w:val="both"/>
        <w:rPr>
          <w:rFonts w:ascii="Arial" w:hAnsi="Arial" w:cs="Arial"/>
          <w:sz w:val="19"/>
          <w:szCs w:val="19"/>
        </w:rPr>
      </w:pPr>
      <w:r w:rsidRPr="00833821">
        <w:rPr>
          <w:rStyle w:val="Refdenotaalpie"/>
          <w:rFonts w:ascii="Arial" w:hAnsi="Arial" w:cs="Arial"/>
          <w:sz w:val="19"/>
          <w:szCs w:val="19"/>
        </w:rPr>
        <w:footnoteRef/>
      </w:r>
      <w:r w:rsidRPr="00833821">
        <w:rPr>
          <w:rFonts w:ascii="Arial" w:hAnsi="Arial" w:cs="Arial"/>
          <w:sz w:val="19"/>
          <w:szCs w:val="19"/>
        </w:rPr>
        <w:t xml:space="preserve"> Corte Cons</w:t>
      </w:r>
      <w:r>
        <w:rPr>
          <w:rFonts w:ascii="Arial" w:hAnsi="Arial" w:cs="Arial"/>
          <w:sz w:val="19"/>
          <w:szCs w:val="19"/>
        </w:rPr>
        <w:t xml:space="preserve">titucional. Sentencia </w:t>
      </w:r>
      <w:r w:rsidRPr="00833821">
        <w:rPr>
          <w:rFonts w:ascii="Arial" w:hAnsi="Arial" w:cs="Arial"/>
          <w:sz w:val="19"/>
          <w:szCs w:val="19"/>
        </w:rPr>
        <w:t>C-439</w:t>
      </w:r>
      <w:r>
        <w:rPr>
          <w:rFonts w:ascii="Arial" w:hAnsi="Arial" w:cs="Arial"/>
          <w:sz w:val="19"/>
          <w:szCs w:val="19"/>
        </w:rPr>
        <w:t xml:space="preserve"> del 17 de agosto de 20</w:t>
      </w:r>
      <w:r w:rsidRPr="00833821">
        <w:rPr>
          <w:rFonts w:ascii="Arial" w:hAnsi="Arial" w:cs="Arial"/>
          <w:sz w:val="19"/>
          <w:szCs w:val="19"/>
        </w:rPr>
        <w:t>16</w:t>
      </w:r>
      <w:r>
        <w:rPr>
          <w:rFonts w:ascii="Arial" w:hAnsi="Arial" w:cs="Arial"/>
          <w:sz w:val="19"/>
          <w:szCs w:val="19"/>
        </w:rPr>
        <w:t xml:space="preserve">. Magistrado Ponente: Luis Guillermo Guerrero Pérez: </w:t>
      </w:r>
      <w:r w:rsidRPr="00833821">
        <w:rPr>
          <w:rFonts w:ascii="Arial" w:hAnsi="Arial" w:cs="Arial"/>
          <w:sz w:val="19"/>
          <w:szCs w:val="19"/>
        </w:rPr>
        <w:t>«En relación con este último punto, la propia jurisprudencia constitucional ha destacado que el principio de especialidad se aplica entre normas de igual jerarquía, sin que dicho principio tenga cabida entre preceptos de distinta jerarquía, como ocurre entre una la ley ordinaria y una ley estatutaria, o entre la Constitución y la ley en general, pues en tales eventos es claro que prevalece y se aplica siempre la norma superior</w:t>
      </w:r>
      <w:r w:rsidRPr="00F175E1">
        <w:rPr>
          <w:rFonts w:ascii="Arial" w:hAnsi="Arial" w:cs="Arial"/>
          <w:sz w:val="19"/>
          <w:szCs w:val="19"/>
        </w:rPr>
        <w:t>»</w:t>
      </w:r>
      <w:r>
        <w:rPr>
          <w:rFonts w:ascii="Arial" w:hAnsi="Arial" w:cs="Arial"/>
          <w:sz w:val="19"/>
          <w:szCs w:val="19"/>
        </w:rPr>
        <w:t>.</w:t>
      </w:r>
    </w:p>
    <w:p w14:paraId="2947F1A6" w14:textId="77777777" w:rsidR="00682DE3" w:rsidRPr="00833821" w:rsidRDefault="00682DE3" w:rsidP="00682DE3">
      <w:pPr>
        <w:pStyle w:val="Textonotapie"/>
        <w:ind w:firstLine="708"/>
        <w:jc w:val="both"/>
      </w:pPr>
    </w:p>
  </w:footnote>
  <w:footnote w:id="11">
    <w:p w14:paraId="5E05C038" w14:textId="77777777" w:rsidR="00C4589F" w:rsidRPr="00F175E1" w:rsidRDefault="00C4589F" w:rsidP="00C4589F">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1DAC1065" w14:textId="77777777" w:rsidR="00C4589F" w:rsidRPr="00F175E1" w:rsidRDefault="00C4589F" w:rsidP="00C4589F">
      <w:pPr>
        <w:ind w:firstLine="708"/>
        <w:jc w:val="both"/>
        <w:rPr>
          <w:rFonts w:ascii="Arial" w:hAnsi="Arial" w:cs="Arial"/>
          <w:sz w:val="19"/>
          <w:szCs w:val="19"/>
        </w:rPr>
      </w:pPr>
      <w:proofErr w:type="gramStart"/>
      <w:r w:rsidRPr="00F175E1">
        <w:rPr>
          <w:rFonts w:ascii="Arial" w:hAnsi="Arial" w:cs="Arial"/>
          <w:sz w:val="19"/>
          <w:szCs w:val="19"/>
        </w:rPr>
        <w:t>»Si</w:t>
      </w:r>
      <w:proofErr w:type="gramEnd"/>
      <w:r w:rsidRPr="00F175E1">
        <w:rPr>
          <w:rFonts w:ascii="Arial" w:hAnsi="Arial" w:cs="Arial"/>
          <w:sz w:val="19"/>
          <w:szCs w:val="19"/>
        </w:rPr>
        <w:t xml:space="preserve"> en los Códigos que se adoptan se hallaren algunas disposiciones incompatibles entre sí, se observarán en su aplicación las reglas siguientes: </w:t>
      </w:r>
    </w:p>
    <w:p w14:paraId="6CFDA351" w14:textId="77777777" w:rsidR="00C4589F" w:rsidRPr="00F175E1" w:rsidRDefault="00C4589F" w:rsidP="00C4589F">
      <w:pPr>
        <w:ind w:firstLine="708"/>
        <w:jc w:val="both"/>
        <w:rPr>
          <w:rFonts w:ascii="Arial" w:hAnsi="Arial" w:cs="Arial"/>
          <w:sz w:val="19"/>
          <w:szCs w:val="19"/>
        </w:rPr>
      </w:pPr>
      <w:proofErr w:type="gramStart"/>
      <w:r w:rsidRPr="00F175E1">
        <w:rPr>
          <w:rFonts w:ascii="Arial" w:hAnsi="Arial" w:cs="Arial"/>
          <w:sz w:val="19"/>
          <w:szCs w:val="19"/>
        </w:rPr>
        <w:t>»1ª</w:t>
      </w:r>
      <w:proofErr w:type="gramEnd"/>
      <w:r w:rsidRPr="00F175E1">
        <w:rPr>
          <w:rFonts w:ascii="Arial" w:hAnsi="Arial" w:cs="Arial"/>
          <w:sz w:val="19"/>
          <w:szCs w:val="19"/>
        </w:rPr>
        <w:t xml:space="preserve"> La disposición relativa a un asunto especial prefiere a la que tenga carácter general; </w:t>
      </w:r>
    </w:p>
    <w:p w14:paraId="1F4B0BCB" w14:textId="1C99735D" w:rsidR="00C4589F" w:rsidRPr="00D56A53" w:rsidRDefault="00C4589F" w:rsidP="00C4589F">
      <w:pPr>
        <w:ind w:firstLine="708"/>
        <w:jc w:val="both"/>
        <w:rPr>
          <w:rFonts w:ascii="Arial" w:hAnsi="Arial" w:cs="Arial"/>
          <w:sz w:val="19"/>
          <w:szCs w:val="19"/>
        </w:rPr>
      </w:pPr>
      <w:proofErr w:type="gramStart"/>
      <w:r w:rsidRPr="00F175E1">
        <w:rPr>
          <w:rFonts w:ascii="Arial" w:hAnsi="Arial" w:cs="Arial"/>
          <w:sz w:val="19"/>
          <w:szCs w:val="19"/>
        </w:rPr>
        <w:t>»2ª</w:t>
      </w:r>
      <w:proofErr w:type="gramEnd"/>
      <w:r w:rsidRPr="00F175E1">
        <w:rPr>
          <w:rFonts w:ascii="Arial" w:hAnsi="Arial" w:cs="Arial"/>
          <w:sz w:val="19"/>
          <w:szCs w:val="19"/>
        </w:rPr>
        <w:t xml:space="preserve"> Cuando las disposiciones tengan una misma especialidad </w:t>
      </w:r>
      <w:r>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footnote>
  <w:footnote w:id="12">
    <w:p w14:paraId="1D102ABD" w14:textId="77777777" w:rsidR="00C4589F" w:rsidRPr="00231293" w:rsidRDefault="00C4589F" w:rsidP="00C4589F">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 xml:space="preserve">GUASTINI, </w:t>
      </w:r>
      <w:proofErr w:type="spellStart"/>
      <w:r w:rsidRPr="00231293">
        <w:rPr>
          <w:rFonts w:ascii="Arial" w:hAnsi="Arial" w:cs="Arial"/>
          <w:sz w:val="19"/>
          <w:szCs w:val="19"/>
        </w:rPr>
        <w:t>Riccardo</w:t>
      </w:r>
      <w:proofErr w:type="spellEnd"/>
      <w:r>
        <w:rPr>
          <w:rFonts w:ascii="Arial" w:hAnsi="Arial" w:cs="Arial"/>
          <w:sz w:val="19"/>
          <w:szCs w:val="19"/>
        </w:rPr>
        <w:t>. Interpretar y argumentar. Madrid: Centro de Estudios Constitucionales, 2014. p. 134.</w:t>
      </w:r>
    </w:p>
  </w:footnote>
  <w:footnote w:id="13">
    <w:p w14:paraId="10444CC9" w14:textId="77777777" w:rsidR="00C4589F" w:rsidRPr="00FF5E27" w:rsidRDefault="00C4589F" w:rsidP="00C4589F">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 xml:space="preserve">DÍEZ-PICAZO, Luis María. La derogación de las leyes. Madrid: Editorial </w:t>
      </w:r>
      <w:proofErr w:type="spellStart"/>
      <w:r>
        <w:rPr>
          <w:rFonts w:ascii="Arial" w:hAnsi="Arial" w:cs="Arial"/>
          <w:sz w:val="19"/>
          <w:szCs w:val="19"/>
        </w:rPr>
        <w:t>Civita</w:t>
      </w:r>
      <w:proofErr w:type="spellEnd"/>
      <w:r>
        <w:rPr>
          <w:rFonts w:ascii="Arial" w:hAnsi="Arial" w:cs="Arial"/>
          <w:sz w:val="19"/>
          <w:szCs w:val="19"/>
        </w:rPr>
        <w:t>, 1990. p. 363.</w:t>
      </w:r>
    </w:p>
  </w:footnote>
  <w:footnote w:id="14">
    <w:p w14:paraId="2742705F" w14:textId="77777777" w:rsidR="00C4589F" w:rsidRDefault="00C4589F" w:rsidP="00C4589F">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3ADDAC93" w14:textId="77777777" w:rsidR="00C4589F" w:rsidRPr="00F32C99" w:rsidRDefault="00C4589F" w:rsidP="00C4589F">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68E0" w14:textId="77777777" w:rsidR="008F4163" w:rsidRDefault="003F7377">
    <w:pPr>
      <w:pStyle w:val="Encabezado"/>
    </w:pPr>
    <w:r>
      <w:rPr>
        <w:noProof/>
        <w:lang w:eastAsia="es-CO"/>
      </w:rPr>
      <w:drawing>
        <wp:anchor distT="0" distB="0" distL="114300" distR="114300" simplePos="0" relativeHeight="251659264" behindDoc="1" locked="0" layoutInCell="1" allowOverlap="1" wp14:anchorId="7DCDC13C" wp14:editId="597B0A8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25C0CB4"/>
    <w:multiLevelType w:val="hybridMultilevel"/>
    <w:tmpl w:val="ACEC5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1B66BD"/>
    <w:multiLevelType w:val="hybridMultilevel"/>
    <w:tmpl w:val="1958C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DB0D1B"/>
    <w:multiLevelType w:val="hybridMultilevel"/>
    <w:tmpl w:val="D4985C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8D91084"/>
    <w:multiLevelType w:val="hybridMultilevel"/>
    <w:tmpl w:val="1CBEF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9F"/>
    <w:rsid w:val="000A608E"/>
    <w:rsid w:val="00180FCD"/>
    <w:rsid w:val="001924E7"/>
    <w:rsid w:val="00196668"/>
    <w:rsid w:val="0021692F"/>
    <w:rsid w:val="0023499C"/>
    <w:rsid w:val="002B479B"/>
    <w:rsid w:val="003255AD"/>
    <w:rsid w:val="00325FDD"/>
    <w:rsid w:val="00355EE4"/>
    <w:rsid w:val="003F7377"/>
    <w:rsid w:val="0045764A"/>
    <w:rsid w:val="004E55F5"/>
    <w:rsid w:val="00504AE6"/>
    <w:rsid w:val="005A3D7C"/>
    <w:rsid w:val="005F6C9A"/>
    <w:rsid w:val="00621A7F"/>
    <w:rsid w:val="006561FF"/>
    <w:rsid w:val="0066416F"/>
    <w:rsid w:val="00664EA8"/>
    <w:rsid w:val="00681693"/>
    <w:rsid w:val="00682DE3"/>
    <w:rsid w:val="00693535"/>
    <w:rsid w:val="006B06DA"/>
    <w:rsid w:val="006F34B1"/>
    <w:rsid w:val="0071286F"/>
    <w:rsid w:val="00714C93"/>
    <w:rsid w:val="00762950"/>
    <w:rsid w:val="007D1C30"/>
    <w:rsid w:val="00825A83"/>
    <w:rsid w:val="009135AB"/>
    <w:rsid w:val="00917298"/>
    <w:rsid w:val="00960B87"/>
    <w:rsid w:val="00974B5F"/>
    <w:rsid w:val="00A466E7"/>
    <w:rsid w:val="00A52EC8"/>
    <w:rsid w:val="00A77579"/>
    <w:rsid w:val="00B40540"/>
    <w:rsid w:val="00B631DF"/>
    <w:rsid w:val="00B64066"/>
    <w:rsid w:val="00B93361"/>
    <w:rsid w:val="00BE13B4"/>
    <w:rsid w:val="00BE202B"/>
    <w:rsid w:val="00C32A35"/>
    <w:rsid w:val="00C34D66"/>
    <w:rsid w:val="00C4589F"/>
    <w:rsid w:val="00C53A71"/>
    <w:rsid w:val="00C64B04"/>
    <w:rsid w:val="00C91858"/>
    <w:rsid w:val="00D155FC"/>
    <w:rsid w:val="00D433C0"/>
    <w:rsid w:val="00D519B1"/>
    <w:rsid w:val="00D9199A"/>
    <w:rsid w:val="00DE4750"/>
    <w:rsid w:val="00DF019A"/>
    <w:rsid w:val="00E210CB"/>
    <w:rsid w:val="00E55214"/>
    <w:rsid w:val="00EA0693"/>
    <w:rsid w:val="00EA3A59"/>
    <w:rsid w:val="00EC6FEF"/>
    <w:rsid w:val="00ED56F7"/>
    <w:rsid w:val="00EF7422"/>
    <w:rsid w:val="00F1395A"/>
    <w:rsid w:val="00F57A7C"/>
    <w:rsid w:val="00F744D8"/>
    <w:rsid w:val="00F95F48"/>
    <w:rsid w:val="00FD2EBE"/>
    <w:rsid w:val="00FE3FCA"/>
    <w:rsid w:val="00FE4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C6E8"/>
  <w15:chartTrackingRefBased/>
  <w15:docId w15:val="{69D58477-C4A8-40D0-A057-FC392BCA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458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89F"/>
  </w:style>
  <w:style w:type="paragraph" w:styleId="Encabezado">
    <w:name w:val="header"/>
    <w:basedOn w:val="Normal"/>
    <w:link w:val="EncabezadoCar"/>
    <w:uiPriority w:val="99"/>
    <w:unhideWhenUsed/>
    <w:rsid w:val="00C458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89F"/>
  </w:style>
  <w:style w:type="paragraph" w:styleId="Sinespaciado">
    <w:name w:val="No Spacing"/>
    <w:uiPriority w:val="1"/>
    <w:qFormat/>
    <w:rsid w:val="00C4589F"/>
    <w:pPr>
      <w:spacing w:after="0" w:line="240" w:lineRule="auto"/>
    </w:pPr>
  </w:style>
  <w:style w:type="table" w:styleId="Tablaconcuadrcula">
    <w:name w:val="Table Grid"/>
    <w:basedOn w:val="Tablanormal"/>
    <w:uiPriority w:val="59"/>
    <w:rsid w:val="00C4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4589F"/>
    <w:rPr>
      <w:sz w:val="20"/>
      <w:szCs w:val="20"/>
      <w:lang w:val="es-MX"/>
    </w:rPr>
  </w:style>
  <w:style w:type="paragraph" w:customStyle="1" w:styleId="Car1">
    <w:name w:val="Car1"/>
    <w:basedOn w:val="Normal"/>
    <w:next w:val="Textonotapie"/>
    <w:uiPriority w:val="99"/>
    <w:unhideWhenUsed/>
    <w:qFormat/>
    <w:rsid w:val="00C4589F"/>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4589F"/>
    <w:rPr>
      <w:vertAlign w:val="superscript"/>
    </w:rPr>
  </w:style>
  <w:style w:type="paragraph" w:customStyle="1" w:styleId="Appelnotedebasde">
    <w:name w:val="Appel note de bas de..."/>
    <w:basedOn w:val="Normal"/>
    <w:link w:val="Refdenotaalpie"/>
    <w:uiPriority w:val="99"/>
    <w:rsid w:val="00C4589F"/>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4589F"/>
    <w:pPr>
      <w:spacing w:after="0" w:line="240" w:lineRule="auto"/>
    </w:pPr>
    <w:rPr>
      <w:sz w:val="20"/>
      <w:szCs w:val="20"/>
      <w:lang w:val="es-MX"/>
    </w:rPr>
  </w:style>
  <w:style w:type="character" w:customStyle="1" w:styleId="TextonotapieCar1">
    <w:name w:val="Texto nota pie Car1"/>
    <w:basedOn w:val="Fuentedeprrafopredeter"/>
    <w:uiPriority w:val="99"/>
    <w:semiHidden/>
    <w:rsid w:val="00C4589F"/>
    <w:rPr>
      <w:sz w:val="20"/>
      <w:szCs w:val="20"/>
    </w:rPr>
  </w:style>
  <w:style w:type="table" w:customStyle="1" w:styleId="Tablaconcuadrcula1">
    <w:name w:val="Tabla con cuadrícula1"/>
    <w:basedOn w:val="Tablanormal"/>
    <w:next w:val="Tablaconcuadrcula"/>
    <w:uiPriority w:val="39"/>
    <w:rsid w:val="00C458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56F7"/>
    <w:pPr>
      <w:ind w:left="720"/>
      <w:contextualSpacing/>
    </w:pPr>
  </w:style>
  <w:style w:type="character" w:styleId="Refdecomentario">
    <w:name w:val="annotation reference"/>
    <w:basedOn w:val="Fuentedeprrafopredeter"/>
    <w:uiPriority w:val="99"/>
    <w:semiHidden/>
    <w:unhideWhenUsed/>
    <w:rsid w:val="00EA0693"/>
    <w:rPr>
      <w:sz w:val="16"/>
      <w:szCs w:val="16"/>
    </w:rPr>
  </w:style>
  <w:style w:type="paragraph" w:styleId="Textocomentario">
    <w:name w:val="annotation text"/>
    <w:basedOn w:val="Normal"/>
    <w:link w:val="TextocomentarioCar"/>
    <w:uiPriority w:val="99"/>
    <w:unhideWhenUsed/>
    <w:rsid w:val="00EA0693"/>
    <w:pPr>
      <w:spacing w:line="240" w:lineRule="auto"/>
    </w:pPr>
    <w:rPr>
      <w:sz w:val="20"/>
      <w:szCs w:val="20"/>
    </w:rPr>
  </w:style>
  <w:style w:type="character" w:customStyle="1" w:styleId="TextocomentarioCar">
    <w:name w:val="Texto comentario Car"/>
    <w:basedOn w:val="Fuentedeprrafopredeter"/>
    <w:link w:val="Textocomentario"/>
    <w:uiPriority w:val="99"/>
    <w:rsid w:val="00EA0693"/>
    <w:rPr>
      <w:sz w:val="20"/>
      <w:szCs w:val="20"/>
    </w:rPr>
  </w:style>
  <w:style w:type="paragraph" w:styleId="Asuntodelcomentario">
    <w:name w:val="annotation subject"/>
    <w:basedOn w:val="Textocomentario"/>
    <w:next w:val="Textocomentario"/>
    <w:link w:val="AsuntodelcomentarioCar"/>
    <w:uiPriority w:val="99"/>
    <w:semiHidden/>
    <w:unhideWhenUsed/>
    <w:rsid w:val="00EA0693"/>
    <w:rPr>
      <w:b/>
      <w:bCs/>
    </w:rPr>
  </w:style>
  <w:style w:type="character" w:customStyle="1" w:styleId="AsuntodelcomentarioCar">
    <w:name w:val="Asunto del comentario Car"/>
    <w:basedOn w:val="TextocomentarioCar"/>
    <w:link w:val="Asuntodelcomentario"/>
    <w:uiPriority w:val="99"/>
    <w:semiHidden/>
    <w:rsid w:val="00EA0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52787">
      <w:bodyDiv w:val="1"/>
      <w:marLeft w:val="0"/>
      <w:marRight w:val="0"/>
      <w:marTop w:val="0"/>
      <w:marBottom w:val="0"/>
      <w:divBdr>
        <w:top w:val="none" w:sz="0" w:space="0" w:color="auto"/>
        <w:left w:val="none" w:sz="0" w:space="0" w:color="auto"/>
        <w:bottom w:val="none" w:sz="0" w:space="0" w:color="auto"/>
        <w:right w:val="none" w:sz="0" w:space="0" w:color="auto"/>
      </w:divBdr>
      <w:divsChild>
        <w:div w:id="896821524">
          <w:marLeft w:val="0"/>
          <w:marRight w:val="0"/>
          <w:marTop w:val="0"/>
          <w:marBottom w:val="0"/>
          <w:divBdr>
            <w:top w:val="none" w:sz="0" w:space="0" w:color="auto"/>
            <w:left w:val="none" w:sz="0" w:space="0" w:color="auto"/>
            <w:bottom w:val="none" w:sz="0" w:space="0" w:color="auto"/>
            <w:right w:val="none" w:sz="0" w:space="0" w:color="auto"/>
          </w:divBdr>
        </w:div>
        <w:div w:id="96851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BCB5B18-147B-4D19-A1C7-3FD227044406}">
  <ds:schemaRefs>
    <ds:schemaRef ds:uri="http://schemas.openxmlformats.org/officeDocument/2006/bibliography"/>
  </ds:schemaRefs>
</ds:datastoreItem>
</file>

<file path=customXml/itemProps2.xml><?xml version="1.0" encoding="utf-8"?>
<ds:datastoreItem xmlns:ds="http://schemas.openxmlformats.org/officeDocument/2006/customXml" ds:itemID="{77BE5F82-9D56-4750-A675-5D8303083738}"/>
</file>

<file path=customXml/itemProps3.xml><?xml version="1.0" encoding="utf-8"?>
<ds:datastoreItem xmlns:ds="http://schemas.openxmlformats.org/officeDocument/2006/customXml" ds:itemID="{331C8E9C-F187-4874-9D8C-BA1E46D3681C}"/>
</file>

<file path=customXml/itemProps4.xml><?xml version="1.0" encoding="utf-8"?>
<ds:datastoreItem xmlns:ds="http://schemas.openxmlformats.org/officeDocument/2006/customXml" ds:itemID="{07542A10-C6DE-49AE-A247-DDD2888B7932}"/>
</file>

<file path=docProps/app.xml><?xml version="1.0" encoding="utf-8"?>
<Properties xmlns="http://schemas.openxmlformats.org/officeDocument/2006/extended-properties" xmlns:vt="http://schemas.openxmlformats.org/officeDocument/2006/docPropsVTypes">
  <Template>Normal</Template>
  <TotalTime>1</TotalTime>
  <Pages>15</Pages>
  <Words>6144</Words>
  <Characters>33795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Carlos Mario Castrillón Endo</cp:lastModifiedBy>
  <cp:revision>2</cp:revision>
  <dcterms:created xsi:type="dcterms:W3CDTF">2021-05-06T14:01:00Z</dcterms:created>
  <dcterms:modified xsi:type="dcterms:W3CDTF">2021-05-06T14:01:00Z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