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A36636"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A36636">
        <w:rPr>
          <w:rFonts w:ascii="Arial" w:hAnsi="Arial" w:cs="Arial"/>
          <w:bCs/>
          <w:color w:val="000000" w:themeColor="text1"/>
          <w:sz w:val="16"/>
          <w:szCs w:val="16"/>
          <w:lang w:val="es-ES_tradnl" w:eastAsia="es-ES"/>
        </w:rPr>
        <w:t>CCE-DES-FM-17</w:t>
      </w:r>
      <w:bookmarkEnd w:id="0"/>
      <w:bookmarkEnd w:id="1"/>
    </w:p>
    <w:p w14:paraId="55FBD910" w14:textId="77777777" w:rsidR="008536BB" w:rsidRPr="00A36636" w:rsidRDefault="008536BB" w:rsidP="00B95C30">
      <w:pPr>
        <w:spacing w:line="276" w:lineRule="auto"/>
        <w:jc w:val="both"/>
        <w:rPr>
          <w:rFonts w:ascii="Arial" w:hAnsi="Arial" w:cs="Arial"/>
          <w:noProof/>
          <w:color w:val="000000" w:themeColor="text1"/>
          <w:sz w:val="22"/>
          <w:lang w:val="es-ES_tradnl"/>
        </w:rPr>
      </w:pPr>
    </w:p>
    <w:p w14:paraId="6A654097" w14:textId="523CAACE" w:rsidR="00C978D4" w:rsidRPr="00A36636" w:rsidRDefault="00272945" w:rsidP="00C978D4">
      <w:pPr>
        <w:jc w:val="both"/>
        <w:rPr>
          <w:rFonts w:ascii="Arial" w:eastAsia="Calibri" w:hAnsi="Arial" w:cs="Arial"/>
          <w:b/>
          <w:sz w:val="22"/>
          <w:lang w:val="es-ES_tradnl"/>
        </w:rPr>
      </w:pPr>
      <w:r w:rsidRPr="00A36636">
        <w:rPr>
          <w:rFonts w:ascii="Arial" w:eastAsia="Calibri" w:hAnsi="Arial" w:cs="Arial"/>
          <w:b/>
          <w:sz w:val="22"/>
          <w:lang w:val="es-ES_tradnl"/>
        </w:rPr>
        <w:t>SELECCIÓN OBJETIVA</w:t>
      </w:r>
      <w:r w:rsidR="00C978D4" w:rsidRPr="00A36636">
        <w:rPr>
          <w:rFonts w:ascii="Arial" w:eastAsia="Calibri" w:hAnsi="Arial" w:cs="Arial"/>
          <w:b/>
          <w:sz w:val="22"/>
          <w:lang w:val="es-ES_tradnl"/>
        </w:rPr>
        <w:t xml:space="preserve"> </w:t>
      </w:r>
      <w:r w:rsidR="00C978D4" w:rsidRPr="00A36636">
        <w:rPr>
          <w:rFonts w:ascii="Arial" w:eastAsia="Calibri" w:hAnsi="Arial" w:cs="Arial"/>
          <w:b/>
          <w:color w:val="000000" w:themeColor="text1"/>
          <w:sz w:val="22"/>
          <w:lang w:val="es-ES_tradnl"/>
        </w:rPr>
        <w:t>–</w:t>
      </w:r>
      <w:r w:rsidR="00C978D4" w:rsidRPr="00A36636">
        <w:rPr>
          <w:rFonts w:ascii="Arial" w:eastAsia="Calibri" w:hAnsi="Arial" w:cs="Arial"/>
          <w:b/>
          <w:sz w:val="22"/>
          <w:lang w:val="es-ES_tradnl"/>
        </w:rPr>
        <w:t xml:space="preserve"> </w:t>
      </w:r>
      <w:r w:rsidR="00003D39" w:rsidRPr="00A36636">
        <w:rPr>
          <w:rFonts w:ascii="Arial" w:eastAsia="Calibri" w:hAnsi="Arial" w:cs="Arial"/>
          <w:b/>
          <w:sz w:val="22"/>
          <w:lang w:val="es-ES_tradnl"/>
        </w:rPr>
        <w:t>Contratación estatal</w:t>
      </w:r>
      <w:r w:rsidR="00616D7F" w:rsidRPr="00A36636">
        <w:rPr>
          <w:rFonts w:ascii="Arial" w:eastAsia="Calibri" w:hAnsi="Arial" w:cs="Arial"/>
          <w:b/>
          <w:sz w:val="22"/>
          <w:lang w:val="es-ES_tradnl"/>
        </w:rPr>
        <w:t xml:space="preserve"> </w:t>
      </w:r>
      <w:r w:rsidR="00C978D4" w:rsidRPr="00A36636">
        <w:rPr>
          <w:rFonts w:ascii="Arial" w:eastAsia="Calibri" w:hAnsi="Arial" w:cs="Arial"/>
          <w:b/>
          <w:color w:val="000000" w:themeColor="text1"/>
          <w:sz w:val="22"/>
          <w:lang w:val="es-ES_tradnl"/>
        </w:rPr>
        <w:t xml:space="preserve">– </w:t>
      </w:r>
      <w:r w:rsidRPr="00A36636">
        <w:rPr>
          <w:rFonts w:ascii="Arial" w:eastAsia="Calibri" w:hAnsi="Arial" w:cs="Arial"/>
          <w:b/>
          <w:color w:val="000000" w:themeColor="text1"/>
          <w:sz w:val="22"/>
          <w:lang w:val="es-ES_tradnl"/>
        </w:rPr>
        <w:t>Concepto</w:t>
      </w:r>
    </w:p>
    <w:p w14:paraId="4AAB8DDD" w14:textId="537B898C" w:rsidR="00C978D4" w:rsidRPr="00A36636" w:rsidRDefault="00C978D4" w:rsidP="0099531F">
      <w:pPr>
        <w:jc w:val="both"/>
        <w:rPr>
          <w:rFonts w:ascii="Arial" w:eastAsia="Calibri" w:hAnsi="Arial" w:cs="Arial"/>
          <w:b/>
          <w:sz w:val="22"/>
          <w:lang w:val="es-ES_tradnl"/>
        </w:rPr>
      </w:pPr>
    </w:p>
    <w:p w14:paraId="33E10CCB" w14:textId="24027DD7" w:rsidR="00636F88" w:rsidRPr="00A36636" w:rsidRDefault="00AF6DEC" w:rsidP="0099531F">
      <w:pPr>
        <w:jc w:val="both"/>
        <w:rPr>
          <w:rFonts w:ascii="Arial" w:eastAsia="Calibri" w:hAnsi="Arial" w:cs="Arial"/>
          <w:sz w:val="20"/>
          <w:szCs w:val="20"/>
          <w:lang w:val="es-ES_tradnl"/>
        </w:rPr>
      </w:pPr>
      <w:r w:rsidRPr="00A36636">
        <w:rPr>
          <w:rFonts w:ascii="Arial" w:eastAsia="Calibri" w:hAnsi="Arial"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0EA25C4D" w14:textId="77777777" w:rsidR="00AF6DEC" w:rsidRPr="00A36636" w:rsidRDefault="00AF6DEC" w:rsidP="0099531F">
      <w:pPr>
        <w:jc w:val="both"/>
        <w:rPr>
          <w:rFonts w:ascii="Arial" w:eastAsia="Calibri" w:hAnsi="Arial" w:cs="Arial"/>
          <w:b/>
          <w:sz w:val="22"/>
          <w:lang w:val="es-ES_tradnl"/>
        </w:rPr>
      </w:pPr>
    </w:p>
    <w:p w14:paraId="73365DCF" w14:textId="63E2A713" w:rsidR="00272945" w:rsidRPr="00A36636" w:rsidRDefault="00B54215" w:rsidP="00272945">
      <w:pPr>
        <w:jc w:val="both"/>
        <w:rPr>
          <w:rFonts w:ascii="Arial" w:eastAsia="Calibri" w:hAnsi="Arial" w:cs="Arial"/>
          <w:b/>
          <w:sz w:val="22"/>
          <w:lang w:val="es-ES_tradnl"/>
        </w:rPr>
      </w:pPr>
      <w:r w:rsidRPr="00A36636">
        <w:rPr>
          <w:rFonts w:ascii="Arial" w:eastAsia="Calibri" w:hAnsi="Arial" w:cs="Arial"/>
          <w:b/>
          <w:sz w:val="22"/>
          <w:lang w:val="es-ES_tradnl"/>
        </w:rPr>
        <w:t>EMPATE</w:t>
      </w:r>
      <w:r w:rsidR="00272945" w:rsidRPr="00A36636">
        <w:rPr>
          <w:rFonts w:ascii="Arial" w:eastAsia="Calibri" w:hAnsi="Arial" w:cs="Arial"/>
          <w:b/>
          <w:sz w:val="22"/>
          <w:lang w:val="es-ES_tradnl"/>
        </w:rPr>
        <w:t xml:space="preserve"> </w:t>
      </w:r>
      <w:r w:rsidR="00272945" w:rsidRPr="00A36636">
        <w:rPr>
          <w:rFonts w:ascii="Arial" w:eastAsia="Calibri" w:hAnsi="Arial" w:cs="Arial"/>
          <w:b/>
          <w:color w:val="000000" w:themeColor="text1"/>
          <w:sz w:val="22"/>
          <w:lang w:val="es-ES_tradnl"/>
        </w:rPr>
        <w:t>–</w:t>
      </w:r>
      <w:r w:rsidR="00272945" w:rsidRPr="00A36636">
        <w:rPr>
          <w:rFonts w:ascii="Arial" w:eastAsia="Calibri" w:hAnsi="Arial" w:cs="Arial"/>
          <w:b/>
          <w:sz w:val="22"/>
          <w:lang w:val="es-ES_tradnl"/>
        </w:rPr>
        <w:t xml:space="preserve"> </w:t>
      </w:r>
      <w:r w:rsidRPr="00A36636">
        <w:rPr>
          <w:rFonts w:ascii="Arial" w:eastAsia="Calibri" w:hAnsi="Arial" w:cs="Arial"/>
          <w:b/>
          <w:sz w:val="22"/>
          <w:lang w:val="es-ES_tradnl"/>
        </w:rPr>
        <w:t>Procedimiento de selección</w:t>
      </w:r>
      <w:r w:rsidR="00272945" w:rsidRPr="00A36636">
        <w:rPr>
          <w:rFonts w:ascii="Arial" w:eastAsia="Calibri" w:hAnsi="Arial" w:cs="Arial"/>
          <w:b/>
          <w:sz w:val="22"/>
          <w:lang w:val="es-ES_tradnl"/>
        </w:rPr>
        <w:t xml:space="preserve"> </w:t>
      </w:r>
      <w:r w:rsidR="00272945" w:rsidRPr="00A36636">
        <w:rPr>
          <w:rFonts w:ascii="Arial" w:eastAsia="Calibri" w:hAnsi="Arial" w:cs="Arial"/>
          <w:b/>
          <w:color w:val="000000" w:themeColor="text1"/>
          <w:sz w:val="22"/>
          <w:lang w:val="es-ES_tradnl"/>
        </w:rPr>
        <w:t>– Concepto</w:t>
      </w:r>
    </w:p>
    <w:p w14:paraId="182F8CB9" w14:textId="246E5B50" w:rsidR="00272945" w:rsidRPr="00A36636" w:rsidRDefault="00272945" w:rsidP="0099531F">
      <w:pPr>
        <w:jc w:val="both"/>
        <w:rPr>
          <w:rFonts w:ascii="Arial" w:eastAsia="Calibri" w:hAnsi="Arial" w:cs="Arial"/>
          <w:b/>
          <w:sz w:val="22"/>
          <w:lang w:val="es-ES_tradnl"/>
        </w:rPr>
      </w:pPr>
    </w:p>
    <w:p w14:paraId="29DD8E0A" w14:textId="042C4C7A" w:rsidR="006F71F5" w:rsidRPr="00A36636" w:rsidRDefault="005C6D19" w:rsidP="005C6D19">
      <w:pPr>
        <w:jc w:val="both"/>
        <w:rPr>
          <w:rFonts w:ascii="Arial" w:hAnsi="Arial" w:cs="Arial"/>
          <w:noProof/>
          <w:color w:val="000000" w:themeColor="text1"/>
          <w:sz w:val="22"/>
          <w:lang w:val="es-ES_tradnl"/>
        </w:rPr>
      </w:pPr>
      <w:r w:rsidRPr="00A36636">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B2F279A" w14:textId="77777777" w:rsidR="005C6D19" w:rsidRPr="00A36636" w:rsidRDefault="005C6D19" w:rsidP="00DF71EA">
      <w:pPr>
        <w:jc w:val="both"/>
        <w:rPr>
          <w:rFonts w:ascii="Arial" w:eastAsia="Calibri" w:hAnsi="Arial" w:cs="Arial"/>
          <w:b/>
          <w:sz w:val="22"/>
          <w:lang w:val="es-ES_tradnl"/>
        </w:rPr>
      </w:pPr>
    </w:p>
    <w:p w14:paraId="04086EC5" w14:textId="5C2FA739" w:rsidR="00DF71EA" w:rsidRPr="00A36636" w:rsidRDefault="00D73881" w:rsidP="00DF71EA">
      <w:pPr>
        <w:jc w:val="both"/>
        <w:rPr>
          <w:rFonts w:ascii="Arial" w:eastAsia="Calibri" w:hAnsi="Arial" w:cs="Arial"/>
          <w:b/>
          <w:sz w:val="22"/>
          <w:lang w:val="es-ES_tradnl"/>
        </w:rPr>
      </w:pPr>
      <w:r w:rsidRPr="00A36636">
        <w:rPr>
          <w:rFonts w:ascii="Arial" w:eastAsia="Calibri" w:hAnsi="Arial" w:cs="Arial"/>
          <w:b/>
          <w:sz w:val="22"/>
          <w:lang w:val="es-ES_tradnl"/>
        </w:rPr>
        <w:t>FACTORES DE DESEMPATE</w:t>
      </w:r>
      <w:r w:rsidR="00DF71EA" w:rsidRPr="00A36636">
        <w:rPr>
          <w:rFonts w:ascii="Arial" w:eastAsia="Calibri" w:hAnsi="Arial" w:cs="Arial"/>
          <w:b/>
          <w:sz w:val="22"/>
          <w:lang w:val="es-ES_tradnl"/>
        </w:rPr>
        <w:t xml:space="preserve"> </w:t>
      </w:r>
      <w:r w:rsidR="00DF71EA" w:rsidRPr="00A36636">
        <w:rPr>
          <w:rFonts w:ascii="Arial" w:eastAsia="Calibri" w:hAnsi="Arial" w:cs="Arial"/>
          <w:b/>
          <w:color w:val="000000" w:themeColor="text1"/>
          <w:sz w:val="22"/>
          <w:lang w:val="es-ES_tradnl"/>
        </w:rPr>
        <w:t>–</w:t>
      </w:r>
      <w:r w:rsidR="00DF71EA" w:rsidRPr="00A36636">
        <w:rPr>
          <w:rFonts w:ascii="Arial" w:eastAsia="Calibri" w:hAnsi="Arial" w:cs="Arial"/>
          <w:b/>
          <w:sz w:val="22"/>
          <w:lang w:val="es-ES_tradnl"/>
        </w:rPr>
        <w:t xml:space="preserve"> </w:t>
      </w:r>
      <w:r w:rsidRPr="00A36636">
        <w:rPr>
          <w:rFonts w:ascii="Arial" w:eastAsia="Calibri" w:hAnsi="Arial" w:cs="Arial"/>
          <w:b/>
          <w:sz w:val="22"/>
          <w:lang w:val="es-ES_tradnl"/>
        </w:rPr>
        <w:t>Características</w:t>
      </w:r>
      <w:r w:rsidR="00DF71EA" w:rsidRPr="00A36636">
        <w:rPr>
          <w:rFonts w:ascii="Arial" w:eastAsia="Calibri" w:hAnsi="Arial" w:cs="Arial"/>
          <w:b/>
          <w:sz w:val="22"/>
          <w:lang w:val="es-ES_tradnl"/>
        </w:rPr>
        <w:t xml:space="preserve"> </w:t>
      </w:r>
      <w:r w:rsidR="00DF71EA" w:rsidRPr="00A36636">
        <w:rPr>
          <w:rFonts w:ascii="Arial" w:eastAsia="Calibri" w:hAnsi="Arial" w:cs="Arial"/>
          <w:b/>
          <w:color w:val="000000" w:themeColor="text1"/>
          <w:sz w:val="22"/>
          <w:lang w:val="es-ES_tradnl"/>
        </w:rPr>
        <w:t xml:space="preserve">– </w:t>
      </w:r>
      <w:r w:rsidRPr="00A36636">
        <w:rPr>
          <w:rFonts w:ascii="Arial" w:eastAsia="Calibri" w:hAnsi="Arial" w:cs="Arial"/>
          <w:b/>
          <w:color w:val="000000" w:themeColor="text1"/>
          <w:sz w:val="22"/>
          <w:lang w:val="es-ES_tradnl"/>
        </w:rPr>
        <w:t>Límites</w:t>
      </w:r>
    </w:p>
    <w:p w14:paraId="583F00A4" w14:textId="390EB1EB" w:rsidR="00DF71EA" w:rsidRPr="00A36636" w:rsidRDefault="00DF71EA" w:rsidP="00B95C30">
      <w:pPr>
        <w:spacing w:line="276" w:lineRule="auto"/>
        <w:jc w:val="both"/>
        <w:rPr>
          <w:rFonts w:ascii="Arial" w:hAnsi="Arial" w:cs="Arial"/>
          <w:noProof/>
          <w:color w:val="000000" w:themeColor="text1"/>
          <w:sz w:val="22"/>
          <w:lang w:val="es-ES_tradnl"/>
        </w:rPr>
      </w:pPr>
    </w:p>
    <w:p w14:paraId="136CBDA3" w14:textId="169CA310" w:rsidR="005C6D19" w:rsidRPr="00A36636" w:rsidRDefault="005C6D19" w:rsidP="00116D7E">
      <w:pPr>
        <w:spacing w:after="120"/>
        <w:jc w:val="both"/>
        <w:rPr>
          <w:rFonts w:ascii="Arial" w:eastAsia="Calibri" w:hAnsi="Arial" w:cs="Arial"/>
          <w:sz w:val="20"/>
          <w:szCs w:val="20"/>
          <w:lang w:val="es-ES_tradnl"/>
        </w:rPr>
      </w:pPr>
      <w:r w:rsidRPr="00A36636">
        <w:rPr>
          <w:rFonts w:ascii="Arial" w:eastAsia="Calibri" w:hAnsi="Arial" w:cs="Arial"/>
          <w:sz w:val="20"/>
          <w:szCs w:val="20"/>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w:t>
      </w:r>
      <w:r w:rsidR="007B209C" w:rsidRPr="00A36636">
        <w:rPr>
          <w:rFonts w:ascii="Arial" w:eastAsia="Calibri" w:hAnsi="Arial" w:cs="Arial"/>
          <w:sz w:val="20"/>
          <w:szCs w:val="20"/>
          <w:lang w:val="es-ES_tradnl"/>
        </w:rPr>
        <w:t>2069</w:t>
      </w:r>
      <w:r w:rsidRPr="00A36636">
        <w:rPr>
          <w:rFonts w:ascii="Arial" w:eastAsia="Calibri" w:hAnsi="Arial" w:cs="Arial"/>
          <w:sz w:val="20"/>
          <w:szCs w:val="20"/>
          <w:lang w:val="es-ES_tradnl"/>
        </w:rPr>
        <w:t xml:space="preserve"> de 2020. La </w:t>
      </w:r>
      <w:r w:rsidR="000422EA" w:rsidRPr="00A36636">
        <w:rPr>
          <w:rFonts w:ascii="Arial" w:eastAsia="Calibri" w:hAnsi="Arial" w:cs="Arial"/>
          <w:sz w:val="20"/>
          <w:szCs w:val="20"/>
          <w:lang w:val="es-ES_tradnl"/>
        </w:rPr>
        <w:t>jurisprudencia</w:t>
      </w:r>
      <w:r w:rsidRPr="00A36636">
        <w:rPr>
          <w:rFonts w:ascii="Arial" w:eastAsia="Calibri" w:hAnsi="Arial" w:cs="Arial"/>
          <w:sz w:val="20"/>
          <w:szCs w:val="20"/>
          <w:lang w:val="es-ES_tradnl"/>
        </w:rPr>
        <w:t xml:space="preserve"> comparte la idea de que los criterios de desempate deben estar establecidos de antemano y constituyen un límite a la discrecionalidad administrativa en los procedimientos de selección.</w:t>
      </w:r>
    </w:p>
    <w:p w14:paraId="5204F243" w14:textId="3F3E942D" w:rsidR="00D73881" w:rsidRPr="00A36636" w:rsidRDefault="003D3F28" w:rsidP="00D73881">
      <w:pPr>
        <w:jc w:val="both"/>
        <w:rPr>
          <w:rFonts w:ascii="Arial" w:eastAsia="Calibri" w:hAnsi="Arial" w:cs="Arial"/>
          <w:sz w:val="20"/>
          <w:szCs w:val="20"/>
          <w:lang w:val="es-ES_tradnl"/>
        </w:rPr>
      </w:pPr>
      <w:r w:rsidRPr="00A36636">
        <w:rPr>
          <w:rFonts w:ascii="Arial" w:eastAsia="Calibri" w:hAnsi="Arial" w:cs="Arial"/>
          <w:sz w:val="20"/>
          <w:szCs w:val="20"/>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w:t>
      </w:r>
      <w:r w:rsidR="00D73881" w:rsidRPr="00A36636">
        <w:rPr>
          <w:rFonts w:ascii="Arial" w:eastAsia="Calibri" w:hAnsi="Arial" w:cs="Arial"/>
          <w:sz w:val="20"/>
          <w:szCs w:val="20"/>
          <w:lang w:val="es-ES_tradnl"/>
        </w:rPr>
        <w:t xml:space="preserve"> </w:t>
      </w:r>
    </w:p>
    <w:p w14:paraId="20087230" w14:textId="77777777" w:rsidR="00617D72" w:rsidRPr="00A36636" w:rsidRDefault="00617D72" w:rsidP="00D73881">
      <w:pPr>
        <w:jc w:val="both"/>
        <w:rPr>
          <w:rFonts w:ascii="Arial" w:eastAsia="Calibri" w:hAnsi="Arial" w:cs="Arial"/>
          <w:b/>
          <w:sz w:val="22"/>
          <w:lang w:val="es-ES_tradnl"/>
        </w:rPr>
      </w:pPr>
    </w:p>
    <w:p w14:paraId="7144E95B" w14:textId="6179FDBF" w:rsidR="00D73881" w:rsidRPr="00A36636" w:rsidRDefault="00D73881" w:rsidP="00D73881">
      <w:pPr>
        <w:jc w:val="both"/>
        <w:rPr>
          <w:rFonts w:ascii="Arial" w:eastAsia="Calibri" w:hAnsi="Arial" w:cs="Arial"/>
          <w:b/>
          <w:sz w:val="22"/>
          <w:lang w:val="es-ES_tradnl"/>
        </w:rPr>
      </w:pPr>
      <w:r w:rsidRPr="00A36636">
        <w:rPr>
          <w:rFonts w:ascii="Arial" w:eastAsia="Calibri" w:hAnsi="Arial" w:cs="Arial"/>
          <w:b/>
          <w:sz w:val="22"/>
          <w:lang w:val="es-ES_tradnl"/>
        </w:rPr>
        <w:t xml:space="preserve">LEY DE EMPRENDIMIENTO </w:t>
      </w:r>
      <w:r w:rsidRPr="00A36636">
        <w:rPr>
          <w:rFonts w:ascii="Arial" w:eastAsia="Calibri" w:hAnsi="Arial" w:cs="Arial"/>
          <w:b/>
          <w:color w:val="000000" w:themeColor="text1"/>
          <w:sz w:val="22"/>
          <w:lang w:val="es-ES_tradnl"/>
        </w:rPr>
        <w:t>–</w:t>
      </w:r>
      <w:r w:rsidRPr="00A36636">
        <w:rPr>
          <w:rFonts w:ascii="Arial" w:eastAsia="Calibri" w:hAnsi="Arial" w:cs="Arial"/>
          <w:b/>
          <w:sz w:val="22"/>
          <w:lang w:val="es-ES_tradnl"/>
        </w:rPr>
        <w:t xml:space="preserve"> Ley </w:t>
      </w:r>
      <w:r w:rsidR="007B209C" w:rsidRPr="00A36636">
        <w:rPr>
          <w:rFonts w:ascii="Arial" w:eastAsia="Calibri" w:hAnsi="Arial" w:cs="Arial"/>
          <w:b/>
          <w:sz w:val="22"/>
          <w:lang w:val="es-ES_tradnl"/>
        </w:rPr>
        <w:t>2069</w:t>
      </w:r>
      <w:r w:rsidRPr="00A36636">
        <w:rPr>
          <w:rFonts w:ascii="Arial" w:eastAsia="Calibri" w:hAnsi="Arial" w:cs="Arial"/>
          <w:b/>
          <w:sz w:val="22"/>
          <w:lang w:val="es-ES_tradnl"/>
        </w:rPr>
        <w:t xml:space="preserve"> de 2020 </w:t>
      </w:r>
      <w:r w:rsidRPr="00A36636">
        <w:rPr>
          <w:rFonts w:ascii="Arial" w:eastAsia="Calibri" w:hAnsi="Arial" w:cs="Arial"/>
          <w:b/>
          <w:color w:val="000000" w:themeColor="text1"/>
          <w:sz w:val="22"/>
          <w:lang w:val="es-ES_tradnl"/>
        </w:rPr>
        <w:t xml:space="preserve">– Vigencia </w:t>
      </w:r>
    </w:p>
    <w:p w14:paraId="0D3B8DEB" w14:textId="33C83BCF" w:rsidR="00D73881" w:rsidRPr="00A36636" w:rsidRDefault="00D73881" w:rsidP="00D73881">
      <w:pPr>
        <w:jc w:val="both"/>
        <w:rPr>
          <w:rFonts w:ascii="Arial" w:eastAsia="Calibri" w:hAnsi="Arial" w:cs="Arial"/>
          <w:b/>
          <w:sz w:val="22"/>
          <w:lang w:val="es-ES_tradnl"/>
        </w:rPr>
      </w:pPr>
    </w:p>
    <w:p w14:paraId="186BC4E6" w14:textId="031C0A93" w:rsidR="008410B1" w:rsidRPr="00A36636" w:rsidRDefault="008410B1" w:rsidP="00116D7E">
      <w:pPr>
        <w:spacing w:after="120"/>
        <w:jc w:val="both"/>
        <w:rPr>
          <w:rFonts w:ascii="Arial" w:eastAsia="Calibri" w:hAnsi="Arial" w:cs="Arial"/>
          <w:sz w:val="20"/>
          <w:szCs w:val="20"/>
          <w:lang w:val="es-ES_tradnl"/>
        </w:rPr>
      </w:pPr>
      <w:r w:rsidRPr="00A36636">
        <w:rPr>
          <w:rFonts w:ascii="Arial" w:eastAsia="Calibri" w:hAnsi="Arial" w:cs="Arial"/>
          <w:sz w:val="20"/>
          <w:szCs w:val="20"/>
          <w:lang w:val="es-ES_tradnl"/>
        </w:rPr>
        <w:lastRenderedPageBreak/>
        <w:t xml:space="preserve">El 31 de diciembre de 2020 se promulgó la Ley </w:t>
      </w:r>
      <w:r w:rsidR="007B209C" w:rsidRPr="00A36636">
        <w:rPr>
          <w:rFonts w:ascii="Arial" w:eastAsia="Calibri" w:hAnsi="Arial" w:cs="Arial"/>
          <w:sz w:val="20"/>
          <w:szCs w:val="20"/>
          <w:lang w:val="es-ES_tradnl"/>
        </w:rPr>
        <w:t>2069</w:t>
      </w:r>
      <w:r w:rsidRPr="00A36636">
        <w:rPr>
          <w:rFonts w:ascii="Arial" w:eastAsia="Calibri" w:hAnsi="Arial" w:cs="Arial"/>
          <w:sz w:val="20"/>
          <w:szCs w:val="20"/>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23AB3850" w14:textId="71F6214C" w:rsidR="008410B1" w:rsidRPr="00A36636" w:rsidRDefault="008410B1" w:rsidP="008410B1">
      <w:pPr>
        <w:jc w:val="both"/>
        <w:rPr>
          <w:rFonts w:ascii="Arial" w:eastAsia="Calibri" w:hAnsi="Arial" w:cs="Arial"/>
          <w:sz w:val="20"/>
          <w:szCs w:val="20"/>
          <w:lang w:val="es-ES_tradnl"/>
        </w:rPr>
      </w:pPr>
      <w:r w:rsidRPr="00A36636">
        <w:rPr>
          <w:rFonts w:ascii="Arial" w:eastAsia="Calibri" w:hAnsi="Arial"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A36636">
        <w:rPr>
          <w:rFonts w:ascii="Arial" w:eastAsia="Calibri" w:hAnsi="Arial" w:cs="Arial"/>
          <w:sz w:val="20"/>
          <w:szCs w:val="20"/>
          <w:lang w:val="es-ES_tradnl"/>
        </w:rPr>
        <w:t>mipymes</w:t>
      </w:r>
      <w:proofErr w:type="spellEnd"/>
      <w:r w:rsidRPr="00A36636">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w:t>
      </w:r>
      <w:r w:rsidR="00625642" w:rsidRPr="00A36636">
        <w:rPr>
          <w:rFonts w:ascii="Arial" w:eastAsia="Calibri" w:hAnsi="Arial" w:cs="Arial"/>
          <w:sz w:val="20"/>
          <w:szCs w:val="20"/>
          <w:lang w:val="es-ES_tradnl"/>
        </w:rPr>
        <w:t>,</w:t>
      </w:r>
      <w:r w:rsidR="00B74EF8" w:rsidRPr="00A36636">
        <w:rPr>
          <w:rFonts w:ascii="Arial" w:eastAsia="Calibri" w:hAnsi="Arial" w:cs="Arial"/>
          <w:sz w:val="20"/>
          <w:szCs w:val="20"/>
          <w:lang w:val="es-ES_tradnl"/>
        </w:rPr>
        <w:t xml:space="preserve"> </w:t>
      </w:r>
      <w:r w:rsidRPr="00A36636">
        <w:rPr>
          <w:rFonts w:ascii="Arial" w:eastAsia="Calibri" w:hAnsi="Arial" w:cs="Arial"/>
          <w:sz w:val="20"/>
          <w:szCs w:val="20"/>
          <w:lang w:val="es-ES_tradnl"/>
        </w:rPr>
        <w:t>y se prevén medidas de educación para el emprendimiento y la innovación.</w:t>
      </w:r>
    </w:p>
    <w:p w14:paraId="7B24A529" w14:textId="77777777" w:rsidR="008410B1" w:rsidRPr="00A36636" w:rsidRDefault="008410B1" w:rsidP="008410B1">
      <w:pPr>
        <w:jc w:val="both"/>
        <w:rPr>
          <w:rFonts w:ascii="Arial" w:eastAsia="Calibri" w:hAnsi="Arial" w:cs="Arial"/>
          <w:b/>
          <w:sz w:val="22"/>
          <w:lang w:val="es-ES_tradnl"/>
        </w:rPr>
      </w:pPr>
    </w:p>
    <w:p w14:paraId="5C894141" w14:textId="15F52C8C" w:rsidR="00D73881" w:rsidRPr="00A36636" w:rsidRDefault="00D73881" w:rsidP="00D73881">
      <w:pPr>
        <w:jc w:val="both"/>
        <w:rPr>
          <w:rFonts w:ascii="Arial" w:eastAsia="Calibri" w:hAnsi="Arial" w:cs="Arial"/>
          <w:b/>
          <w:sz w:val="22"/>
          <w:lang w:val="es-ES_tradnl"/>
        </w:rPr>
      </w:pPr>
      <w:r w:rsidRPr="00A36636">
        <w:rPr>
          <w:rFonts w:ascii="Arial" w:eastAsia="Calibri" w:hAnsi="Arial" w:cs="Arial"/>
          <w:b/>
          <w:sz w:val="22"/>
          <w:lang w:val="es-ES_tradnl"/>
        </w:rPr>
        <w:t xml:space="preserve">FACTORES DE DESEMPATE </w:t>
      </w:r>
      <w:r w:rsidRPr="00A36636">
        <w:rPr>
          <w:rFonts w:ascii="Arial" w:eastAsia="Calibri" w:hAnsi="Arial" w:cs="Arial"/>
          <w:b/>
          <w:color w:val="000000" w:themeColor="text1"/>
          <w:sz w:val="22"/>
          <w:lang w:val="es-ES_tradnl"/>
        </w:rPr>
        <w:t>–</w:t>
      </w:r>
      <w:r w:rsidRPr="00A36636">
        <w:rPr>
          <w:rFonts w:ascii="Arial" w:eastAsia="Calibri" w:hAnsi="Arial" w:cs="Arial"/>
          <w:b/>
          <w:sz w:val="22"/>
          <w:lang w:val="es-ES_tradnl"/>
        </w:rPr>
        <w:t xml:space="preserve"> Ley </w:t>
      </w:r>
      <w:r w:rsidR="007B209C" w:rsidRPr="00A36636">
        <w:rPr>
          <w:rFonts w:ascii="Arial" w:eastAsia="Calibri" w:hAnsi="Arial" w:cs="Arial"/>
          <w:b/>
          <w:sz w:val="22"/>
          <w:lang w:val="es-ES_tradnl"/>
        </w:rPr>
        <w:t>2069</w:t>
      </w:r>
      <w:r w:rsidRPr="00A36636">
        <w:rPr>
          <w:rFonts w:ascii="Arial" w:eastAsia="Calibri" w:hAnsi="Arial" w:cs="Arial"/>
          <w:b/>
          <w:sz w:val="22"/>
          <w:lang w:val="es-ES_tradnl"/>
        </w:rPr>
        <w:t xml:space="preserve"> </w:t>
      </w:r>
      <w:r w:rsidRPr="00A36636">
        <w:rPr>
          <w:rFonts w:ascii="Arial" w:eastAsia="Calibri" w:hAnsi="Arial" w:cs="Arial"/>
          <w:b/>
          <w:color w:val="000000" w:themeColor="text1"/>
          <w:sz w:val="22"/>
          <w:lang w:val="es-ES_tradnl"/>
        </w:rPr>
        <w:t>– Artículo 35 – Acreditación</w:t>
      </w:r>
    </w:p>
    <w:p w14:paraId="4D9EB4C1" w14:textId="20D03020" w:rsidR="00D73881" w:rsidRPr="00A36636" w:rsidRDefault="00D73881" w:rsidP="00B95C30">
      <w:pPr>
        <w:spacing w:line="276" w:lineRule="auto"/>
        <w:jc w:val="both"/>
        <w:rPr>
          <w:rFonts w:ascii="Arial" w:hAnsi="Arial" w:cs="Arial"/>
          <w:noProof/>
          <w:color w:val="000000" w:themeColor="text1"/>
          <w:sz w:val="22"/>
          <w:lang w:val="es-ES_tradnl"/>
        </w:rPr>
      </w:pPr>
    </w:p>
    <w:p w14:paraId="53B8D6C5" w14:textId="74CB7597" w:rsidR="00652F29" w:rsidRPr="00A36636" w:rsidRDefault="00160C01" w:rsidP="003C5E8A">
      <w:pPr>
        <w:jc w:val="both"/>
        <w:rPr>
          <w:rFonts w:ascii="Arial" w:eastAsia="Calibri" w:hAnsi="Arial" w:cs="Arial"/>
          <w:sz w:val="20"/>
          <w:szCs w:val="20"/>
          <w:lang w:val="es-ES_tradnl"/>
        </w:rPr>
      </w:pPr>
      <w:r w:rsidRPr="00A36636">
        <w:rPr>
          <w:rFonts w:ascii="Arial" w:eastAsia="Calibri" w:hAnsi="Arial" w:cs="Arial"/>
          <w:sz w:val="20"/>
          <w:szCs w:val="20"/>
          <w:lang w:val="es-ES_tradnl"/>
        </w:rPr>
        <w:t>[…]</w:t>
      </w:r>
      <w:r w:rsidR="00B02F7C" w:rsidRPr="00A36636">
        <w:rPr>
          <w:rFonts w:ascii="Arial" w:eastAsia="Calibri" w:hAnsi="Arial" w:cs="Arial"/>
          <w:sz w:val="20"/>
          <w:szCs w:val="20"/>
          <w:lang w:val="es-ES_tradnl"/>
        </w:rPr>
        <w:t xml:space="preserve">, estos numerales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w:t>
      </w:r>
      <w:r w:rsidR="007B209C" w:rsidRPr="00A36636">
        <w:rPr>
          <w:rFonts w:ascii="Arial" w:eastAsia="Calibri" w:hAnsi="Arial" w:cs="Arial"/>
          <w:sz w:val="20"/>
          <w:szCs w:val="20"/>
          <w:lang w:val="es-ES_tradnl"/>
        </w:rPr>
        <w:t>2069</w:t>
      </w:r>
      <w:r w:rsidR="00B02F7C" w:rsidRPr="00A36636">
        <w:rPr>
          <w:rFonts w:ascii="Arial" w:eastAsia="Calibri" w:hAnsi="Arial" w:cs="Arial"/>
          <w:sz w:val="20"/>
          <w:szCs w:val="20"/>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p w14:paraId="3C6B2AFA" w14:textId="77777777" w:rsidR="00652F29" w:rsidRPr="00A36636" w:rsidRDefault="00652F29">
      <w:pPr>
        <w:spacing w:after="200" w:line="276" w:lineRule="auto"/>
        <w:rPr>
          <w:rFonts w:ascii="Arial" w:eastAsia="Calibri" w:hAnsi="Arial" w:cs="Arial"/>
          <w:sz w:val="20"/>
          <w:szCs w:val="20"/>
          <w:lang w:val="es-ES_tradnl"/>
        </w:rPr>
      </w:pPr>
      <w:r w:rsidRPr="00A36636">
        <w:rPr>
          <w:rFonts w:ascii="Arial" w:eastAsia="Calibri" w:hAnsi="Arial" w:cs="Arial"/>
          <w:sz w:val="20"/>
          <w:szCs w:val="20"/>
          <w:lang w:val="es-ES_tradnl"/>
        </w:rPr>
        <w:br w:type="page"/>
      </w:r>
    </w:p>
    <w:p w14:paraId="5B078637" w14:textId="77777777" w:rsidR="00B167C8" w:rsidRPr="00A36636" w:rsidRDefault="00B167C8" w:rsidP="00B95C30">
      <w:pPr>
        <w:spacing w:line="276" w:lineRule="auto"/>
        <w:jc w:val="both"/>
        <w:rPr>
          <w:rFonts w:ascii="Arial" w:hAnsi="Arial" w:cs="Arial"/>
          <w:noProof/>
          <w:color w:val="000000" w:themeColor="text1"/>
          <w:sz w:val="22"/>
          <w:lang w:val="es-ES_tradnl"/>
        </w:rPr>
      </w:pPr>
    </w:p>
    <w:p w14:paraId="12A9C41A" w14:textId="77777777" w:rsidR="00F53F4F" w:rsidRPr="00A36636" w:rsidRDefault="00F53F4F" w:rsidP="00B95C30">
      <w:pPr>
        <w:spacing w:line="276" w:lineRule="auto"/>
        <w:jc w:val="both"/>
        <w:rPr>
          <w:rFonts w:ascii="Arial" w:hAnsi="Arial" w:cs="Arial"/>
          <w:noProof/>
          <w:color w:val="000000" w:themeColor="text1"/>
          <w:sz w:val="22"/>
          <w:lang w:val="es-ES_tradnl"/>
        </w:rPr>
      </w:pPr>
    </w:p>
    <w:p w14:paraId="7DD48F49" w14:textId="5CBB01F9" w:rsidR="00B95C30" w:rsidRPr="00A36636" w:rsidRDefault="00B95C30" w:rsidP="00B95C30">
      <w:pPr>
        <w:spacing w:line="276" w:lineRule="auto"/>
        <w:jc w:val="both"/>
        <w:rPr>
          <w:rFonts w:ascii="Arial" w:hAnsi="Arial" w:cs="Arial"/>
          <w:b/>
          <w:bCs/>
          <w:noProof/>
          <w:color w:val="000000" w:themeColor="text1"/>
          <w:sz w:val="22"/>
          <w:lang w:val="es-ES_tradnl"/>
        </w:rPr>
      </w:pPr>
      <w:r w:rsidRPr="00A36636">
        <w:rPr>
          <w:rFonts w:ascii="Arial" w:hAnsi="Arial" w:cs="Arial"/>
          <w:noProof/>
          <w:color w:val="000000" w:themeColor="text1"/>
          <w:sz w:val="22"/>
          <w:lang w:val="es-ES_tradnl"/>
        </w:rPr>
        <w:t xml:space="preserve">Bogotá D.C., </w:t>
      </w:r>
      <w:r w:rsidR="002B709B">
        <w:rPr>
          <w:rFonts w:ascii="Arial" w:hAnsi="Arial" w:cs="Arial"/>
          <w:b/>
          <w:color w:val="000000" w:themeColor="text1"/>
          <w:sz w:val="22"/>
          <w:lang w:val="es-ES_tradnl"/>
        </w:rPr>
        <w:t>25/05/2021 13:25:09</w:t>
      </w:r>
    </w:p>
    <w:p w14:paraId="1F928DBD" w14:textId="77777777" w:rsidR="00F53F4F" w:rsidRPr="00A36636" w:rsidRDefault="00F53F4F" w:rsidP="00B95C30">
      <w:pPr>
        <w:spacing w:line="276" w:lineRule="auto"/>
        <w:jc w:val="both"/>
        <w:rPr>
          <w:rFonts w:ascii="Arial" w:eastAsia="Calibri" w:hAnsi="Arial" w:cs="Arial"/>
          <w:noProof/>
          <w:color w:val="000000" w:themeColor="text1"/>
          <w:sz w:val="22"/>
          <w:szCs w:val="22"/>
          <w:lang w:val="es-ES_tradnl"/>
        </w:rPr>
      </w:pPr>
    </w:p>
    <w:p w14:paraId="140DE37E" w14:textId="14578951" w:rsidR="002B709B" w:rsidRPr="002B709B" w:rsidRDefault="002B709B" w:rsidP="002B709B">
      <w:pPr>
        <w:jc w:val="right"/>
      </w:pPr>
      <w:r w:rsidRPr="002B709B">
        <w:fldChar w:fldCharType="begin"/>
      </w:r>
      <w:r w:rsidRPr="002B709B">
        <w:instrText xml:space="preserve"> INCLUDEPICTURE "/var/folders/5l/v1rdjm0x1x9416lmbj7_vjt40000gn/T/com.microsoft.Word/WebArchiveCopyPasteTempFiles/page1image3805792" \* MERGEFORMATINET </w:instrText>
      </w:r>
      <w:r w:rsidRPr="002B709B">
        <w:fldChar w:fldCharType="separate"/>
      </w:r>
      <w:r w:rsidRPr="002B709B">
        <w:rPr>
          <w:noProof/>
        </w:rPr>
        <w:drawing>
          <wp:inline distT="0" distB="0" distL="0" distR="0" wp14:anchorId="48E4FEC0" wp14:editId="14336FDF">
            <wp:extent cx="2399665" cy="610870"/>
            <wp:effectExtent l="0" t="0" r="635" b="0"/>
            <wp:docPr id="5" name="Imagen 5" descr="page1image380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38057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9665" cy="610870"/>
                    </a:xfrm>
                    <a:prstGeom prst="rect">
                      <a:avLst/>
                    </a:prstGeom>
                    <a:noFill/>
                    <a:ln>
                      <a:noFill/>
                    </a:ln>
                  </pic:spPr>
                </pic:pic>
              </a:graphicData>
            </a:graphic>
          </wp:inline>
        </w:drawing>
      </w:r>
      <w:r w:rsidRPr="002B709B">
        <w:fldChar w:fldCharType="end"/>
      </w:r>
    </w:p>
    <w:p w14:paraId="2DB7F356" w14:textId="37984EBD" w:rsidR="00D06DE8" w:rsidRPr="00D06DE8" w:rsidRDefault="00D06DE8" w:rsidP="00D06DE8">
      <w:pPr>
        <w:jc w:val="right"/>
      </w:pPr>
    </w:p>
    <w:p w14:paraId="6A8A869B" w14:textId="514D7C5B" w:rsidR="00B95C30" w:rsidRPr="00A36636" w:rsidRDefault="00B95C30" w:rsidP="00B95C30">
      <w:pPr>
        <w:jc w:val="both"/>
        <w:rPr>
          <w:rFonts w:ascii="Arial" w:hAnsi="Arial" w:cs="Arial"/>
          <w:b/>
          <w:color w:val="000000" w:themeColor="text1"/>
          <w:sz w:val="22"/>
          <w:lang w:val="es-ES_tradnl"/>
        </w:rPr>
      </w:pPr>
    </w:p>
    <w:p w14:paraId="24A88D3F" w14:textId="77777777" w:rsidR="00F53F4F" w:rsidRPr="00A36636" w:rsidRDefault="00F53F4F" w:rsidP="00B95C30">
      <w:pPr>
        <w:jc w:val="both"/>
        <w:rPr>
          <w:rFonts w:ascii="Arial" w:hAnsi="Arial" w:cs="Arial"/>
          <w:b/>
          <w:color w:val="000000" w:themeColor="text1"/>
          <w:sz w:val="22"/>
          <w:lang w:val="es-ES_tradnl"/>
        </w:rPr>
      </w:pPr>
    </w:p>
    <w:p w14:paraId="5F5AE9EF" w14:textId="4BBDC77C" w:rsidR="00B95C30" w:rsidRPr="00A36636" w:rsidRDefault="00BE4FBF" w:rsidP="00B95C30">
      <w:pPr>
        <w:jc w:val="both"/>
        <w:rPr>
          <w:rFonts w:ascii="Arial" w:eastAsia="Calibri" w:hAnsi="Arial" w:cs="Arial"/>
          <w:color w:val="000000" w:themeColor="text1"/>
          <w:sz w:val="22"/>
          <w:lang w:val="es-ES_tradnl"/>
        </w:rPr>
      </w:pPr>
      <w:r w:rsidRPr="00A36636">
        <w:rPr>
          <w:rFonts w:ascii="Arial" w:eastAsia="Calibri" w:hAnsi="Arial" w:cs="Arial"/>
          <w:color w:val="000000" w:themeColor="text1"/>
          <w:sz w:val="22"/>
          <w:lang w:val="es-ES_tradnl"/>
        </w:rPr>
        <w:t>Señor</w:t>
      </w:r>
    </w:p>
    <w:p w14:paraId="3DCD58CE" w14:textId="7141D849" w:rsidR="00B95C30" w:rsidRPr="00A36636" w:rsidRDefault="00582D04" w:rsidP="00B95C30">
      <w:pPr>
        <w:jc w:val="both"/>
        <w:rPr>
          <w:rFonts w:ascii="Arial" w:eastAsia="Calibri" w:hAnsi="Arial" w:cs="Arial"/>
          <w:b/>
          <w:color w:val="000000" w:themeColor="text1"/>
          <w:sz w:val="22"/>
          <w:lang w:val="es-ES_tradnl"/>
        </w:rPr>
      </w:pPr>
      <w:r w:rsidRPr="00A36636">
        <w:rPr>
          <w:rFonts w:ascii="Arial" w:eastAsia="Calibri" w:hAnsi="Arial" w:cs="Arial"/>
          <w:b/>
          <w:color w:val="000000" w:themeColor="text1"/>
          <w:sz w:val="22"/>
          <w:lang w:val="es-ES_tradnl"/>
        </w:rPr>
        <w:t>Alfonso Medina Fuentes</w:t>
      </w:r>
    </w:p>
    <w:p w14:paraId="09D4AEA8" w14:textId="658189A9" w:rsidR="00B95C30" w:rsidRPr="00A36636" w:rsidRDefault="00716BB0" w:rsidP="00B95C30">
      <w:pPr>
        <w:jc w:val="both"/>
        <w:rPr>
          <w:rFonts w:ascii="Arial" w:eastAsia="Calibri" w:hAnsi="Arial" w:cs="Arial"/>
          <w:color w:val="000000" w:themeColor="text1"/>
          <w:sz w:val="22"/>
          <w:lang w:val="es-ES_tradnl"/>
        </w:rPr>
      </w:pPr>
      <w:r w:rsidRPr="00A36636">
        <w:rPr>
          <w:rFonts w:ascii="Arial" w:eastAsia="Calibri" w:hAnsi="Arial" w:cs="Arial"/>
          <w:color w:val="000000" w:themeColor="text1"/>
          <w:sz w:val="22"/>
          <w:lang w:val="es-ES_tradnl"/>
        </w:rPr>
        <w:t>Bogotá D.C.</w:t>
      </w:r>
    </w:p>
    <w:p w14:paraId="3B584A57" w14:textId="4528CA3D" w:rsidR="00F53F4F" w:rsidRPr="00A36636" w:rsidRDefault="00F53F4F" w:rsidP="00B95C30">
      <w:pPr>
        <w:jc w:val="both"/>
        <w:rPr>
          <w:rFonts w:ascii="Arial" w:eastAsia="Calibri" w:hAnsi="Arial" w:cs="Arial"/>
          <w:color w:val="000000" w:themeColor="text1"/>
          <w:sz w:val="22"/>
          <w:lang w:val="es-ES_tradnl"/>
        </w:rPr>
      </w:pPr>
    </w:p>
    <w:p w14:paraId="48E36FCF" w14:textId="77777777" w:rsidR="00F53F4F" w:rsidRPr="00A36636" w:rsidRDefault="00F53F4F" w:rsidP="00B95C30">
      <w:pPr>
        <w:jc w:val="both"/>
        <w:rPr>
          <w:rFonts w:ascii="Arial" w:eastAsia="Calibri" w:hAnsi="Arial" w:cs="Arial"/>
          <w:color w:val="000000" w:themeColor="text1"/>
          <w:sz w:val="22"/>
          <w:lang w:val="es-ES_tradnl"/>
        </w:rPr>
      </w:pPr>
    </w:p>
    <w:p w14:paraId="12E66182" w14:textId="2B8A7C79" w:rsidR="00B95C30" w:rsidRPr="00A36636" w:rsidRDefault="00F53F4F" w:rsidP="001D6CD2">
      <w:pPr>
        <w:rPr>
          <w:rFonts w:ascii="Arial" w:eastAsia="Calibri" w:hAnsi="Arial" w:cs="Arial"/>
          <w:b/>
          <w:bCs/>
          <w:color w:val="000000" w:themeColor="text1"/>
          <w:sz w:val="22"/>
          <w:lang w:val="es-ES_tradnl"/>
        </w:rPr>
      </w:pPr>
      <w:r w:rsidRPr="00A36636">
        <w:rPr>
          <w:rFonts w:ascii="Arial" w:eastAsia="Calibri" w:hAnsi="Arial" w:cs="Arial"/>
          <w:b/>
          <w:bCs/>
          <w:color w:val="000000" w:themeColor="text1"/>
          <w:sz w:val="22"/>
          <w:lang w:val="es-ES_tradnl"/>
        </w:rPr>
        <w:t xml:space="preserve">                                            </w:t>
      </w:r>
      <w:r w:rsidR="00B95C30" w:rsidRPr="00A36636">
        <w:rPr>
          <w:rFonts w:ascii="Arial" w:eastAsia="Calibri" w:hAnsi="Arial" w:cs="Arial"/>
          <w:b/>
          <w:bCs/>
          <w:color w:val="000000" w:themeColor="text1"/>
          <w:sz w:val="22"/>
          <w:lang w:val="es-ES_tradnl"/>
        </w:rPr>
        <w:t xml:space="preserve">Concepto C ‒ </w:t>
      </w:r>
      <w:r w:rsidR="00AD3B0C" w:rsidRPr="00A36636">
        <w:rPr>
          <w:rFonts w:ascii="Arial" w:eastAsia="Calibri" w:hAnsi="Arial" w:cs="Arial"/>
          <w:b/>
          <w:bCs/>
          <w:color w:val="000000" w:themeColor="text1"/>
          <w:sz w:val="22"/>
          <w:lang w:val="es-ES_tradnl"/>
        </w:rPr>
        <w:t>239</w:t>
      </w:r>
      <w:r w:rsidR="00B95C30" w:rsidRPr="00A36636">
        <w:rPr>
          <w:rFonts w:ascii="Arial" w:eastAsia="Calibri" w:hAnsi="Arial" w:cs="Arial"/>
          <w:b/>
          <w:bCs/>
          <w:color w:val="000000" w:themeColor="text1"/>
          <w:sz w:val="22"/>
          <w:lang w:val="es-ES_tradnl"/>
        </w:rPr>
        <w:t xml:space="preserve"> de 202</w:t>
      </w:r>
      <w:r w:rsidR="005E781C" w:rsidRPr="00A36636">
        <w:rPr>
          <w:rFonts w:ascii="Arial" w:eastAsia="Calibri" w:hAnsi="Arial" w:cs="Arial"/>
          <w:b/>
          <w:bCs/>
          <w:color w:val="000000" w:themeColor="text1"/>
          <w:sz w:val="22"/>
          <w:lang w:val="es-ES_tradnl"/>
        </w:rPr>
        <w:t>1</w:t>
      </w:r>
    </w:p>
    <w:p w14:paraId="1BD594F9" w14:textId="77777777" w:rsidR="00B95C30" w:rsidRPr="00A36636"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36636" w14:paraId="19DFC051" w14:textId="77777777" w:rsidTr="008F4163">
        <w:tc>
          <w:tcPr>
            <w:tcW w:w="2689" w:type="dxa"/>
          </w:tcPr>
          <w:p w14:paraId="6BC0D1AC" w14:textId="77777777" w:rsidR="00B95C30" w:rsidRPr="00A36636" w:rsidRDefault="00B95C30" w:rsidP="008F4163">
            <w:pPr>
              <w:jc w:val="both"/>
              <w:rPr>
                <w:rFonts w:ascii="Arial" w:eastAsia="Calibri" w:hAnsi="Arial" w:cs="Arial"/>
                <w:color w:val="000000" w:themeColor="text1"/>
                <w:sz w:val="22"/>
                <w:lang w:val="es-ES_tradnl"/>
              </w:rPr>
            </w:pPr>
            <w:r w:rsidRPr="00A36636">
              <w:rPr>
                <w:rFonts w:ascii="Arial" w:eastAsia="Calibri" w:hAnsi="Arial" w:cs="Arial"/>
                <w:b/>
                <w:color w:val="000000" w:themeColor="text1"/>
                <w:sz w:val="22"/>
                <w:lang w:val="es-ES_tradnl"/>
              </w:rPr>
              <w:t>Temas:</w:t>
            </w:r>
            <w:r w:rsidRPr="00A36636">
              <w:rPr>
                <w:rFonts w:ascii="Arial" w:eastAsia="Calibri" w:hAnsi="Arial" w:cs="Arial"/>
                <w:color w:val="000000" w:themeColor="text1"/>
                <w:sz w:val="22"/>
                <w:lang w:val="es-ES_tradnl"/>
              </w:rPr>
              <w:t xml:space="preserve">                                      </w:t>
            </w:r>
          </w:p>
        </w:tc>
        <w:tc>
          <w:tcPr>
            <w:tcW w:w="6237" w:type="dxa"/>
          </w:tcPr>
          <w:p w14:paraId="5F389CAF" w14:textId="05951CF4" w:rsidR="00B95C30" w:rsidRPr="00A36636" w:rsidRDefault="008B63FE" w:rsidP="008F4163">
            <w:pPr>
              <w:jc w:val="both"/>
              <w:rPr>
                <w:rFonts w:ascii="Arial" w:eastAsia="Calibri" w:hAnsi="Arial" w:cs="Arial"/>
                <w:color w:val="000000" w:themeColor="text1"/>
                <w:sz w:val="22"/>
                <w:lang w:val="es-ES_tradnl"/>
              </w:rPr>
            </w:pPr>
            <w:r w:rsidRPr="00A36636">
              <w:rPr>
                <w:rFonts w:ascii="Arial" w:eastAsia="Calibri" w:hAnsi="Arial" w:cs="Arial"/>
                <w:bCs/>
                <w:sz w:val="22"/>
                <w:lang w:val="es-ES_tradnl"/>
              </w:rPr>
              <w:t xml:space="preserve">SELECCIÓN OBJETIVA – Contratación estatal – Concepto </w:t>
            </w:r>
            <w:r w:rsidR="00B95C30" w:rsidRPr="00A36636">
              <w:rPr>
                <w:rFonts w:ascii="Arial" w:eastAsia="Calibri" w:hAnsi="Arial" w:cs="Arial"/>
                <w:bCs/>
                <w:sz w:val="22"/>
                <w:lang w:val="es-ES_tradnl"/>
              </w:rPr>
              <w:t>/</w:t>
            </w:r>
            <w:r w:rsidRPr="00A36636">
              <w:rPr>
                <w:rFonts w:ascii="Arial" w:eastAsia="Calibri" w:hAnsi="Arial" w:cs="Arial"/>
                <w:bCs/>
                <w:sz w:val="22"/>
                <w:lang w:val="es-ES_tradnl"/>
              </w:rPr>
              <w:t xml:space="preserve"> EMPATE – Procedimiento de selección – Concepto / FACTORES DE DESEMPATE – Características – Límites / LEY DE EMPRENDIMIENTO – Ley </w:t>
            </w:r>
            <w:r w:rsidR="007B209C" w:rsidRPr="00A36636">
              <w:rPr>
                <w:rFonts w:ascii="Arial" w:eastAsia="Calibri" w:hAnsi="Arial" w:cs="Arial"/>
                <w:bCs/>
                <w:sz w:val="22"/>
                <w:lang w:val="es-ES_tradnl"/>
              </w:rPr>
              <w:t>2069</w:t>
            </w:r>
            <w:r w:rsidRPr="00A36636">
              <w:rPr>
                <w:rFonts w:ascii="Arial" w:eastAsia="Calibri" w:hAnsi="Arial" w:cs="Arial"/>
                <w:bCs/>
                <w:sz w:val="22"/>
                <w:lang w:val="es-ES_tradnl"/>
              </w:rPr>
              <w:t xml:space="preserve"> de 2020 – Vigencia / FACTORES DE DESEMPATE – Ley </w:t>
            </w:r>
            <w:r w:rsidR="007B209C" w:rsidRPr="00A36636">
              <w:rPr>
                <w:rFonts w:ascii="Arial" w:eastAsia="Calibri" w:hAnsi="Arial" w:cs="Arial"/>
                <w:bCs/>
                <w:sz w:val="22"/>
                <w:lang w:val="es-ES_tradnl"/>
              </w:rPr>
              <w:t>2069</w:t>
            </w:r>
            <w:r w:rsidRPr="00A36636">
              <w:rPr>
                <w:rFonts w:ascii="Arial" w:eastAsia="Calibri" w:hAnsi="Arial" w:cs="Arial"/>
                <w:bCs/>
                <w:sz w:val="22"/>
                <w:lang w:val="es-ES_tradnl"/>
              </w:rPr>
              <w:t xml:space="preserve"> – Artículo 35 – Acreditación</w:t>
            </w:r>
            <w:r w:rsidR="00B95C30" w:rsidRPr="00A36636">
              <w:rPr>
                <w:rFonts w:ascii="Arial" w:eastAsia="Arial" w:hAnsi="Arial" w:cs="Arial"/>
                <w:sz w:val="22"/>
                <w:lang w:val="es-ES_tradnl"/>
              </w:rPr>
              <w:t>.</w:t>
            </w:r>
          </w:p>
        </w:tc>
      </w:tr>
      <w:tr w:rsidR="00B95C30" w:rsidRPr="00A36636" w14:paraId="27CD52AB" w14:textId="77777777" w:rsidTr="008F4163">
        <w:tc>
          <w:tcPr>
            <w:tcW w:w="2689" w:type="dxa"/>
          </w:tcPr>
          <w:p w14:paraId="37E195A1" w14:textId="1BA218D5" w:rsidR="00B95C30" w:rsidRPr="00A36636" w:rsidRDefault="00B95C30" w:rsidP="008F4163">
            <w:pPr>
              <w:spacing w:before="120"/>
              <w:jc w:val="both"/>
              <w:rPr>
                <w:rFonts w:ascii="Arial" w:eastAsia="Calibri" w:hAnsi="Arial" w:cs="Arial"/>
                <w:b/>
                <w:color w:val="000000" w:themeColor="text1"/>
                <w:sz w:val="22"/>
                <w:lang w:val="es-ES_tradnl"/>
              </w:rPr>
            </w:pPr>
            <w:r w:rsidRPr="00A36636">
              <w:rPr>
                <w:rFonts w:ascii="Arial" w:eastAsia="Calibri" w:hAnsi="Arial" w:cs="Arial"/>
                <w:b/>
                <w:color w:val="000000" w:themeColor="text1"/>
                <w:sz w:val="22"/>
                <w:lang w:val="es-ES_tradnl"/>
              </w:rPr>
              <w:t>Radicación:</w:t>
            </w:r>
            <w:r w:rsidRPr="00A36636">
              <w:rPr>
                <w:rFonts w:ascii="Arial" w:eastAsia="Calibri" w:hAnsi="Arial" w:cs="Arial"/>
                <w:color w:val="000000" w:themeColor="text1"/>
                <w:sz w:val="22"/>
                <w:lang w:val="es-ES_tradnl"/>
              </w:rPr>
              <w:t xml:space="preserve">                              </w:t>
            </w:r>
          </w:p>
        </w:tc>
        <w:tc>
          <w:tcPr>
            <w:tcW w:w="6237" w:type="dxa"/>
          </w:tcPr>
          <w:p w14:paraId="09088B1B" w14:textId="5D3E1855" w:rsidR="00B95C30" w:rsidRPr="00A36636" w:rsidRDefault="00B95C30" w:rsidP="008F4163">
            <w:pPr>
              <w:spacing w:before="120"/>
              <w:jc w:val="both"/>
              <w:rPr>
                <w:rFonts w:ascii="Arial" w:eastAsia="Calibri" w:hAnsi="Arial" w:cs="Arial"/>
                <w:color w:val="000000" w:themeColor="text1"/>
                <w:sz w:val="22"/>
                <w:lang w:val="es-ES_tradnl"/>
              </w:rPr>
            </w:pPr>
            <w:r w:rsidRPr="00A36636">
              <w:rPr>
                <w:rFonts w:ascii="Arial" w:eastAsia="Calibri" w:hAnsi="Arial" w:cs="Arial"/>
                <w:color w:val="000000" w:themeColor="text1"/>
                <w:sz w:val="22"/>
                <w:lang w:val="es-ES_tradnl"/>
              </w:rPr>
              <w:t xml:space="preserve">Respuesta a consulta # </w:t>
            </w:r>
            <w:r w:rsidR="00582D04" w:rsidRPr="00A36636">
              <w:rPr>
                <w:rFonts w:ascii="Arial" w:eastAsia="Calibri" w:hAnsi="Arial" w:cs="Arial"/>
                <w:color w:val="000000" w:themeColor="text1"/>
                <w:sz w:val="22"/>
                <w:lang w:val="es-ES_tradnl"/>
              </w:rPr>
              <w:t>P20210415003074</w:t>
            </w:r>
          </w:p>
        </w:tc>
      </w:tr>
    </w:tbl>
    <w:p w14:paraId="61B55CA4" w14:textId="77777777" w:rsidR="00716BB0" w:rsidRPr="00A36636" w:rsidRDefault="00716BB0" w:rsidP="003C3339">
      <w:pPr>
        <w:jc w:val="both"/>
        <w:rPr>
          <w:rFonts w:ascii="Arial" w:eastAsia="Calibri" w:hAnsi="Arial" w:cs="Arial"/>
          <w:color w:val="000000" w:themeColor="text1"/>
          <w:sz w:val="22"/>
          <w:lang w:val="es-ES_tradnl"/>
        </w:rPr>
      </w:pPr>
    </w:p>
    <w:p w14:paraId="4B9B5156" w14:textId="77777777" w:rsidR="00716BB0" w:rsidRPr="00A36636" w:rsidRDefault="00716BB0" w:rsidP="003C3339">
      <w:pPr>
        <w:jc w:val="both"/>
        <w:rPr>
          <w:rFonts w:ascii="Arial" w:eastAsia="Calibri" w:hAnsi="Arial" w:cs="Arial"/>
          <w:color w:val="000000" w:themeColor="text1"/>
          <w:sz w:val="22"/>
          <w:lang w:val="es-ES_tradnl"/>
        </w:rPr>
      </w:pPr>
    </w:p>
    <w:p w14:paraId="1CF4AEA0" w14:textId="787E6A8F" w:rsidR="003C3339" w:rsidRPr="00A36636" w:rsidRDefault="003C3339" w:rsidP="003C3339">
      <w:pPr>
        <w:jc w:val="both"/>
        <w:rPr>
          <w:rFonts w:ascii="Arial" w:eastAsia="Calibri" w:hAnsi="Arial" w:cs="Arial"/>
          <w:color w:val="000000" w:themeColor="text1"/>
          <w:sz w:val="22"/>
          <w:lang w:val="es-ES_tradnl"/>
        </w:rPr>
      </w:pPr>
      <w:r w:rsidRPr="00A36636">
        <w:rPr>
          <w:rFonts w:ascii="Arial" w:eastAsia="Calibri" w:hAnsi="Arial" w:cs="Arial"/>
          <w:color w:val="000000" w:themeColor="text1"/>
          <w:sz w:val="22"/>
          <w:lang w:val="es-ES_tradnl"/>
        </w:rPr>
        <w:t>Estimad</w:t>
      </w:r>
      <w:r w:rsidR="00993DB9" w:rsidRPr="00A36636">
        <w:rPr>
          <w:rFonts w:ascii="Arial" w:eastAsia="Calibri" w:hAnsi="Arial" w:cs="Arial"/>
          <w:color w:val="000000" w:themeColor="text1"/>
          <w:sz w:val="22"/>
          <w:lang w:val="es-ES_tradnl"/>
        </w:rPr>
        <w:t>o</w:t>
      </w:r>
      <w:r w:rsidRPr="00A36636">
        <w:rPr>
          <w:rFonts w:ascii="Arial" w:eastAsia="Calibri" w:hAnsi="Arial" w:cs="Arial"/>
          <w:color w:val="000000" w:themeColor="text1"/>
          <w:sz w:val="22"/>
          <w:lang w:val="es-ES_tradnl"/>
        </w:rPr>
        <w:t xml:space="preserve"> </w:t>
      </w:r>
      <w:r w:rsidR="0063732C" w:rsidRPr="00A36636">
        <w:rPr>
          <w:rFonts w:ascii="Arial" w:eastAsia="Calibri" w:hAnsi="Arial" w:cs="Arial"/>
          <w:color w:val="000000" w:themeColor="text1"/>
          <w:sz w:val="22"/>
          <w:lang w:val="es-ES_tradnl"/>
        </w:rPr>
        <w:t>señor</w:t>
      </w:r>
      <w:r w:rsidR="00BE4FBF" w:rsidRPr="00A36636">
        <w:rPr>
          <w:rFonts w:ascii="Arial" w:eastAsia="Calibri" w:hAnsi="Arial" w:cs="Arial"/>
          <w:color w:val="000000" w:themeColor="text1"/>
          <w:sz w:val="22"/>
          <w:lang w:val="es-ES_tradnl"/>
        </w:rPr>
        <w:t xml:space="preserve"> </w:t>
      </w:r>
      <w:r w:rsidR="00993DB9" w:rsidRPr="00A36636">
        <w:rPr>
          <w:rFonts w:ascii="Arial" w:eastAsia="Calibri" w:hAnsi="Arial" w:cs="Arial"/>
          <w:color w:val="000000" w:themeColor="text1"/>
          <w:sz w:val="22"/>
          <w:lang w:val="es-ES_tradnl"/>
        </w:rPr>
        <w:t>Medina</w:t>
      </w:r>
      <w:r w:rsidRPr="00A36636">
        <w:rPr>
          <w:rFonts w:ascii="Arial" w:eastAsia="Calibri" w:hAnsi="Arial" w:cs="Arial"/>
          <w:color w:val="000000" w:themeColor="text1"/>
          <w:sz w:val="22"/>
          <w:lang w:val="es-ES_tradnl"/>
        </w:rPr>
        <w:t>:</w:t>
      </w:r>
    </w:p>
    <w:p w14:paraId="1EAE5543" w14:textId="77777777" w:rsidR="00DD5B04" w:rsidRPr="00A36636" w:rsidRDefault="00DD5B04" w:rsidP="00DF76A2">
      <w:pPr>
        <w:jc w:val="both"/>
        <w:rPr>
          <w:rFonts w:ascii="Arial" w:eastAsia="Calibri" w:hAnsi="Arial" w:cs="Arial"/>
          <w:color w:val="000000" w:themeColor="text1"/>
          <w:sz w:val="22"/>
          <w:lang w:val="es-ES_tradnl"/>
        </w:rPr>
      </w:pPr>
    </w:p>
    <w:p w14:paraId="2109B2D3" w14:textId="0B521D71" w:rsidR="00DD5B04" w:rsidRPr="00A36636" w:rsidRDefault="00DD5B04" w:rsidP="00DF76A2">
      <w:pPr>
        <w:spacing w:line="276" w:lineRule="auto"/>
        <w:jc w:val="both"/>
        <w:rPr>
          <w:rFonts w:ascii="Arial" w:eastAsia="Calibri" w:hAnsi="Arial" w:cs="Arial"/>
          <w:color w:val="000000" w:themeColor="text1"/>
          <w:sz w:val="22"/>
          <w:lang w:val="es-ES_tradnl"/>
        </w:rPr>
      </w:pPr>
      <w:r w:rsidRPr="00A36636">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A36636">
        <w:rPr>
          <w:rFonts w:ascii="Arial" w:eastAsia="Calibri" w:hAnsi="Arial" w:cs="Arial"/>
          <w:color w:val="000000" w:themeColor="text1"/>
          <w:sz w:val="22"/>
          <w:lang w:val="es-ES_tradnl"/>
        </w:rPr>
        <w:t xml:space="preserve"> </w:t>
      </w:r>
      <w:r w:rsidRPr="00A36636">
        <w:rPr>
          <w:rFonts w:ascii="Arial" w:eastAsia="Calibri" w:hAnsi="Arial" w:cs="Arial"/>
          <w:color w:val="000000" w:themeColor="text1"/>
          <w:sz w:val="22"/>
          <w:lang w:val="es-ES_tradnl"/>
        </w:rPr>
        <w:t xml:space="preserve">responde su consulta del </w:t>
      </w:r>
      <w:r w:rsidR="00993DB9" w:rsidRPr="00A36636">
        <w:rPr>
          <w:rFonts w:ascii="Arial" w:eastAsia="Calibri" w:hAnsi="Arial" w:cs="Arial"/>
          <w:color w:val="000000" w:themeColor="text1"/>
          <w:sz w:val="22"/>
          <w:lang w:val="es-ES_tradnl"/>
        </w:rPr>
        <w:t>15</w:t>
      </w:r>
      <w:r w:rsidR="00FD4AF3" w:rsidRPr="00A36636">
        <w:rPr>
          <w:rFonts w:ascii="Arial" w:eastAsia="Calibri" w:hAnsi="Arial" w:cs="Arial"/>
          <w:color w:val="000000" w:themeColor="text1"/>
          <w:sz w:val="22"/>
          <w:lang w:val="es-ES_tradnl"/>
        </w:rPr>
        <w:t xml:space="preserve"> de </w:t>
      </w:r>
      <w:r w:rsidR="00993DB9" w:rsidRPr="00A36636">
        <w:rPr>
          <w:rFonts w:ascii="Arial" w:eastAsia="Calibri" w:hAnsi="Arial" w:cs="Arial"/>
          <w:color w:val="000000" w:themeColor="text1"/>
          <w:sz w:val="22"/>
          <w:lang w:val="es-ES_tradnl"/>
        </w:rPr>
        <w:t>abril</w:t>
      </w:r>
      <w:r w:rsidRPr="00A36636">
        <w:rPr>
          <w:rFonts w:ascii="Arial" w:eastAsia="Calibri" w:hAnsi="Arial" w:cs="Arial"/>
          <w:color w:val="000000" w:themeColor="text1"/>
          <w:sz w:val="22"/>
          <w:lang w:val="es-ES_tradnl"/>
        </w:rPr>
        <w:t xml:space="preserve"> del</w:t>
      </w:r>
      <w:r w:rsidR="007E74BF" w:rsidRPr="00A36636">
        <w:rPr>
          <w:rFonts w:ascii="Arial" w:eastAsia="Calibri" w:hAnsi="Arial" w:cs="Arial"/>
          <w:color w:val="000000" w:themeColor="text1"/>
          <w:sz w:val="22"/>
          <w:lang w:val="es-ES_tradnl"/>
        </w:rPr>
        <w:t xml:space="preserve"> </w:t>
      </w:r>
      <w:r w:rsidRPr="00A36636">
        <w:rPr>
          <w:rFonts w:ascii="Arial" w:eastAsia="Calibri" w:hAnsi="Arial" w:cs="Arial"/>
          <w:color w:val="000000" w:themeColor="text1"/>
          <w:sz w:val="22"/>
          <w:lang w:val="es-ES_tradnl"/>
        </w:rPr>
        <w:t>202</w:t>
      </w:r>
      <w:r w:rsidR="00FB0880" w:rsidRPr="00A36636">
        <w:rPr>
          <w:rFonts w:ascii="Arial" w:eastAsia="Calibri" w:hAnsi="Arial" w:cs="Arial"/>
          <w:color w:val="000000" w:themeColor="text1"/>
          <w:sz w:val="22"/>
          <w:lang w:val="es-ES_tradnl"/>
        </w:rPr>
        <w:t>1</w:t>
      </w:r>
      <w:r w:rsidR="008C3C57" w:rsidRPr="00A36636">
        <w:rPr>
          <w:rFonts w:ascii="Arial" w:eastAsia="Calibri" w:hAnsi="Arial" w:cs="Arial"/>
          <w:color w:val="000000" w:themeColor="text1"/>
          <w:sz w:val="22"/>
          <w:lang w:val="es-ES_tradnl"/>
        </w:rPr>
        <w:t>.</w:t>
      </w:r>
    </w:p>
    <w:p w14:paraId="0C1E0712" w14:textId="77777777" w:rsidR="00DD5B04" w:rsidRPr="00A36636" w:rsidRDefault="00DD5B04" w:rsidP="00DF76A2">
      <w:pPr>
        <w:spacing w:line="276" w:lineRule="auto"/>
        <w:jc w:val="both"/>
        <w:rPr>
          <w:rFonts w:ascii="Arial" w:eastAsia="Calibri" w:hAnsi="Arial" w:cs="Arial"/>
          <w:b/>
          <w:color w:val="000000" w:themeColor="text1"/>
          <w:sz w:val="22"/>
          <w:lang w:val="es-ES_tradnl"/>
        </w:rPr>
      </w:pPr>
    </w:p>
    <w:p w14:paraId="7701FCC7" w14:textId="5B41A300" w:rsidR="00DD5B04" w:rsidRPr="00A36636"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36636">
        <w:rPr>
          <w:rFonts w:ascii="Arial" w:eastAsia="Calibri" w:hAnsi="Arial" w:cs="Arial"/>
          <w:b/>
          <w:color w:val="000000" w:themeColor="text1"/>
          <w:sz w:val="22"/>
          <w:lang w:val="es-ES_tradnl"/>
        </w:rPr>
        <w:t>Problema</w:t>
      </w:r>
      <w:r w:rsidR="00652F29" w:rsidRPr="00A36636">
        <w:rPr>
          <w:rFonts w:ascii="Arial" w:eastAsia="Calibri" w:hAnsi="Arial" w:cs="Arial"/>
          <w:b/>
          <w:color w:val="000000" w:themeColor="text1"/>
          <w:sz w:val="22"/>
          <w:lang w:val="es-ES_tradnl"/>
        </w:rPr>
        <w:t>s</w:t>
      </w:r>
      <w:r w:rsidRPr="00A36636">
        <w:rPr>
          <w:rFonts w:ascii="Arial" w:eastAsia="Calibri" w:hAnsi="Arial" w:cs="Arial"/>
          <w:b/>
          <w:color w:val="000000" w:themeColor="text1"/>
          <w:sz w:val="22"/>
          <w:lang w:val="es-ES_tradnl"/>
        </w:rPr>
        <w:t xml:space="preserve"> planteado</w:t>
      </w:r>
      <w:r w:rsidR="00652F29" w:rsidRPr="00A36636">
        <w:rPr>
          <w:rFonts w:ascii="Arial" w:eastAsia="Calibri" w:hAnsi="Arial" w:cs="Arial"/>
          <w:b/>
          <w:color w:val="000000" w:themeColor="text1"/>
          <w:sz w:val="22"/>
          <w:lang w:val="es-ES_tradnl"/>
        </w:rPr>
        <w:t>s</w:t>
      </w:r>
      <w:r w:rsidRPr="00A36636">
        <w:rPr>
          <w:rFonts w:ascii="Arial" w:eastAsia="Calibri" w:hAnsi="Arial" w:cs="Arial"/>
          <w:b/>
          <w:color w:val="000000" w:themeColor="text1"/>
          <w:sz w:val="22"/>
          <w:lang w:val="es-ES_tradnl"/>
        </w:rPr>
        <w:t xml:space="preserve"> </w:t>
      </w:r>
    </w:p>
    <w:p w14:paraId="224B43D3" w14:textId="77777777" w:rsidR="00DD5B04" w:rsidRPr="00A36636"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7CDA31A9" w:rsidR="00443B55" w:rsidRPr="00A36636" w:rsidRDefault="00652F29" w:rsidP="0099583D">
      <w:pPr>
        <w:spacing w:line="276" w:lineRule="auto"/>
        <w:jc w:val="both"/>
        <w:rPr>
          <w:rFonts w:ascii="Arial" w:hAnsi="Arial" w:cs="Arial"/>
          <w:color w:val="000000" w:themeColor="text1"/>
          <w:sz w:val="22"/>
          <w:lang w:val="es-ES_tradnl"/>
        </w:rPr>
      </w:pPr>
      <w:r w:rsidRPr="00A36636">
        <w:rPr>
          <w:rFonts w:ascii="Arial" w:hAnsi="Arial" w:cs="Arial"/>
          <w:color w:val="000000" w:themeColor="text1"/>
          <w:sz w:val="22"/>
          <w:lang w:val="es-ES_tradnl"/>
        </w:rPr>
        <w:t>Respecto a</w:t>
      </w:r>
      <w:r w:rsidR="007A1E0F" w:rsidRPr="00A36636">
        <w:rPr>
          <w:rFonts w:ascii="Arial" w:hAnsi="Arial" w:cs="Arial"/>
          <w:color w:val="000000" w:themeColor="text1"/>
          <w:sz w:val="22"/>
          <w:lang w:val="es-ES_tradnl"/>
        </w:rPr>
        <w:t>l</w:t>
      </w:r>
      <w:r w:rsidR="00FB0880" w:rsidRPr="00A36636">
        <w:rPr>
          <w:rFonts w:ascii="Arial" w:hAnsi="Arial" w:cs="Arial"/>
          <w:color w:val="000000" w:themeColor="text1"/>
          <w:sz w:val="22"/>
          <w:lang w:val="es-ES_tradnl"/>
        </w:rPr>
        <w:t xml:space="preserve"> artículo 35</w:t>
      </w:r>
      <w:r w:rsidR="007A1E0F" w:rsidRPr="00A36636">
        <w:rPr>
          <w:rFonts w:ascii="Arial" w:hAnsi="Arial" w:cs="Arial"/>
          <w:color w:val="000000" w:themeColor="text1"/>
          <w:sz w:val="22"/>
          <w:lang w:val="es-ES_tradnl"/>
        </w:rPr>
        <w:t>.4</w:t>
      </w:r>
      <w:r w:rsidR="00FB0880" w:rsidRPr="00A36636">
        <w:rPr>
          <w:rFonts w:ascii="Arial" w:hAnsi="Arial" w:cs="Arial"/>
          <w:color w:val="000000" w:themeColor="text1"/>
          <w:sz w:val="22"/>
          <w:lang w:val="es-ES_tradnl"/>
        </w:rPr>
        <w:t xml:space="preserve"> de la Ley </w:t>
      </w:r>
      <w:r w:rsidR="007B209C" w:rsidRPr="00A36636">
        <w:rPr>
          <w:rFonts w:ascii="Arial" w:hAnsi="Arial" w:cs="Arial"/>
          <w:color w:val="000000" w:themeColor="text1"/>
          <w:sz w:val="22"/>
          <w:lang w:val="es-ES_tradnl"/>
        </w:rPr>
        <w:t>2069</w:t>
      </w:r>
      <w:r w:rsidR="00FB0880" w:rsidRPr="00A36636">
        <w:rPr>
          <w:rFonts w:ascii="Arial" w:hAnsi="Arial" w:cs="Arial"/>
          <w:color w:val="000000" w:themeColor="text1"/>
          <w:sz w:val="22"/>
          <w:lang w:val="es-ES_tradnl"/>
        </w:rPr>
        <w:t xml:space="preserve"> de 2020</w:t>
      </w:r>
      <w:r w:rsidR="00716630" w:rsidRPr="00A36636">
        <w:rPr>
          <w:rFonts w:ascii="Arial" w:hAnsi="Arial" w:cs="Arial"/>
          <w:color w:val="000000" w:themeColor="text1"/>
          <w:sz w:val="22"/>
          <w:lang w:val="es-ES_tradnl"/>
        </w:rPr>
        <w:t>, «Por medio de la cual se impulsa el emprendimiento en Colombia»</w:t>
      </w:r>
      <w:r w:rsidRPr="00A36636">
        <w:rPr>
          <w:rFonts w:ascii="Arial" w:hAnsi="Arial" w:cs="Arial"/>
          <w:color w:val="000000" w:themeColor="text1"/>
          <w:sz w:val="22"/>
          <w:lang w:val="es-ES_tradnl"/>
        </w:rPr>
        <w:t>, usted realiza las siguientes preguntas</w:t>
      </w:r>
      <w:r w:rsidR="00B422C0" w:rsidRPr="00A36636">
        <w:rPr>
          <w:rFonts w:ascii="Arial" w:hAnsi="Arial" w:cs="Arial"/>
          <w:color w:val="000000" w:themeColor="text1"/>
          <w:sz w:val="22"/>
          <w:lang w:val="es-ES_tradnl"/>
        </w:rPr>
        <w:t>:</w:t>
      </w:r>
      <w:r w:rsidR="007E18DF" w:rsidRPr="00A36636">
        <w:rPr>
          <w:rFonts w:ascii="Arial" w:hAnsi="Arial" w:cs="Arial"/>
          <w:color w:val="000000" w:themeColor="text1"/>
          <w:sz w:val="22"/>
          <w:lang w:val="es-ES_tradnl"/>
        </w:rPr>
        <w:t xml:space="preserve"> </w:t>
      </w:r>
    </w:p>
    <w:p w14:paraId="559EE20C" w14:textId="77777777" w:rsidR="00443B55" w:rsidRPr="00A36636" w:rsidRDefault="00443B55" w:rsidP="0099583D">
      <w:pPr>
        <w:spacing w:line="276" w:lineRule="auto"/>
        <w:jc w:val="both"/>
        <w:rPr>
          <w:rFonts w:ascii="Arial" w:hAnsi="Arial" w:cs="Arial"/>
          <w:color w:val="000000" w:themeColor="text1"/>
          <w:sz w:val="22"/>
          <w:lang w:val="es-ES_tradnl"/>
        </w:rPr>
      </w:pPr>
    </w:p>
    <w:p w14:paraId="6D92E43D" w14:textId="45CB0ED7" w:rsidR="00675514" w:rsidRPr="00A36636" w:rsidRDefault="001C79A4" w:rsidP="00116D7E">
      <w:pPr>
        <w:spacing w:after="120"/>
        <w:ind w:left="709" w:right="709"/>
        <w:jc w:val="both"/>
        <w:rPr>
          <w:rFonts w:ascii="Arial" w:hAnsi="Arial" w:cs="Arial"/>
          <w:color w:val="000000" w:themeColor="text1"/>
          <w:sz w:val="21"/>
          <w:szCs w:val="21"/>
          <w:lang w:val="es-ES_tradnl"/>
        </w:rPr>
      </w:pPr>
      <w:r w:rsidRPr="00A36636">
        <w:rPr>
          <w:rFonts w:ascii="Arial" w:hAnsi="Arial" w:cs="Arial"/>
          <w:color w:val="000000" w:themeColor="text1"/>
          <w:sz w:val="21"/>
          <w:szCs w:val="21"/>
          <w:lang w:val="es-ES_tradnl"/>
        </w:rPr>
        <w:t>«</w:t>
      </w:r>
      <w:r w:rsidR="005C49A9" w:rsidRPr="00A36636">
        <w:rPr>
          <w:rFonts w:ascii="Arial" w:hAnsi="Arial" w:cs="Arial"/>
          <w:color w:val="000000" w:themeColor="text1"/>
          <w:sz w:val="21"/>
          <w:szCs w:val="21"/>
          <w:lang w:val="es-ES_tradnl"/>
        </w:rPr>
        <w:t>Teniendo en cuenta que el numeral 4 del artículo 35 de la Ley 2069 establece:</w:t>
      </w:r>
      <w:r w:rsidR="00675514" w:rsidRPr="00A36636">
        <w:rPr>
          <w:rFonts w:ascii="Arial" w:hAnsi="Arial" w:cs="Arial"/>
          <w:color w:val="000000" w:themeColor="text1"/>
          <w:sz w:val="21"/>
          <w:szCs w:val="21"/>
          <w:lang w:val="es-ES_tradnl"/>
        </w:rPr>
        <w:t xml:space="preserve"> </w:t>
      </w:r>
      <w:r w:rsidR="005C49A9" w:rsidRPr="00A36636">
        <w:rPr>
          <w:rFonts w:ascii="Arial" w:hAnsi="Arial" w:cs="Arial"/>
          <w:color w:val="000000" w:themeColor="text1"/>
          <w:sz w:val="21"/>
          <w:szCs w:val="21"/>
          <w:lang w:val="es-ES_tradnl"/>
        </w:rPr>
        <w:t xml:space="preserve">“4. Preferir la propuesta presentada por el oferente que acredite la </w:t>
      </w:r>
      <w:r w:rsidR="00675514" w:rsidRPr="00A36636">
        <w:rPr>
          <w:rFonts w:ascii="Arial" w:hAnsi="Arial" w:cs="Arial"/>
          <w:color w:val="000000" w:themeColor="text1"/>
          <w:sz w:val="21"/>
          <w:szCs w:val="21"/>
          <w:lang w:val="es-ES_tradnl"/>
        </w:rPr>
        <w:t>vinculación</w:t>
      </w:r>
      <w:r w:rsidR="005C49A9" w:rsidRPr="00A36636">
        <w:rPr>
          <w:rFonts w:ascii="Arial" w:hAnsi="Arial" w:cs="Arial"/>
          <w:color w:val="000000" w:themeColor="text1"/>
          <w:sz w:val="21"/>
          <w:szCs w:val="21"/>
          <w:lang w:val="es-ES_tradnl"/>
        </w:rPr>
        <w:t xml:space="preserve"> en mayor </w:t>
      </w:r>
      <w:r w:rsidR="00675514" w:rsidRPr="00A36636">
        <w:rPr>
          <w:rFonts w:ascii="Arial" w:hAnsi="Arial" w:cs="Arial"/>
          <w:color w:val="000000" w:themeColor="text1"/>
          <w:sz w:val="21"/>
          <w:szCs w:val="21"/>
          <w:lang w:val="es-ES_tradnl"/>
        </w:rPr>
        <w:t>proporción</w:t>
      </w:r>
      <w:r w:rsidR="005C49A9" w:rsidRPr="00A36636">
        <w:rPr>
          <w:rFonts w:ascii="Arial" w:hAnsi="Arial" w:cs="Arial"/>
          <w:color w:val="000000" w:themeColor="text1"/>
          <w:sz w:val="21"/>
          <w:szCs w:val="21"/>
          <w:lang w:val="es-ES_tradnl"/>
        </w:rPr>
        <w:t xml:space="preserve"> de personas mayores que no sean beneficiarios de la </w:t>
      </w:r>
      <w:r w:rsidR="00675514" w:rsidRPr="00A36636">
        <w:rPr>
          <w:rFonts w:ascii="Arial" w:hAnsi="Arial" w:cs="Arial"/>
          <w:color w:val="000000" w:themeColor="text1"/>
          <w:sz w:val="21"/>
          <w:szCs w:val="21"/>
          <w:lang w:val="es-ES_tradnl"/>
        </w:rPr>
        <w:t>pensión</w:t>
      </w:r>
      <w:r w:rsidR="005C49A9" w:rsidRPr="00A36636">
        <w:rPr>
          <w:rFonts w:ascii="Arial" w:hAnsi="Arial" w:cs="Arial"/>
          <w:color w:val="000000" w:themeColor="text1"/>
          <w:sz w:val="21"/>
          <w:szCs w:val="21"/>
          <w:lang w:val="es-ES_tradnl"/>
        </w:rPr>
        <w:t xml:space="preserve"> de vejez, familiar o de sobrevivencia y que hayan cumplido el requisito de edad de </w:t>
      </w:r>
      <w:r w:rsidR="00675514" w:rsidRPr="00A36636">
        <w:rPr>
          <w:rFonts w:ascii="Arial" w:hAnsi="Arial" w:cs="Arial"/>
          <w:color w:val="000000" w:themeColor="text1"/>
          <w:sz w:val="21"/>
          <w:szCs w:val="21"/>
          <w:lang w:val="es-ES_tradnl"/>
        </w:rPr>
        <w:t>pensión</w:t>
      </w:r>
      <w:r w:rsidR="005C49A9" w:rsidRPr="00A36636">
        <w:rPr>
          <w:rFonts w:ascii="Arial" w:hAnsi="Arial" w:cs="Arial"/>
          <w:color w:val="000000" w:themeColor="text1"/>
          <w:sz w:val="21"/>
          <w:szCs w:val="21"/>
          <w:lang w:val="es-ES_tradnl"/>
        </w:rPr>
        <w:t xml:space="preserve"> establecido en la Ley, se solicita a Colombia Compra Eficiente aclare:</w:t>
      </w:r>
    </w:p>
    <w:p w14:paraId="4A2733FB" w14:textId="1437E7B1" w:rsidR="00675514" w:rsidRPr="00A36636" w:rsidRDefault="00BA603A" w:rsidP="00116D7E">
      <w:pPr>
        <w:spacing w:after="120"/>
        <w:ind w:left="709" w:right="709"/>
        <w:jc w:val="both"/>
        <w:rPr>
          <w:rFonts w:ascii="Arial" w:hAnsi="Arial" w:cs="Arial"/>
          <w:color w:val="000000" w:themeColor="text1"/>
          <w:sz w:val="21"/>
          <w:szCs w:val="21"/>
          <w:lang w:val="es-ES_tradnl"/>
        </w:rPr>
      </w:pPr>
      <w:r w:rsidRPr="00A36636">
        <w:rPr>
          <w:rFonts w:ascii="Arial" w:hAnsi="Arial" w:cs="Arial"/>
          <w:color w:val="000000" w:themeColor="text1"/>
          <w:sz w:val="21"/>
          <w:szCs w:val="21"/>
          <w:lang w:val="es-ES_tradnl"/>
        </w:rPr>
        <w:lastRenderedPageBreak/>
        <w:t>»</w:t>
      </w:r>
      <w:r w:rsidR="005C49A9" w:rsidRPr="00A36636">
        <w:rPr>
          <w:rFonts w:ascii="Arial" w:hAnsi="Arial" w:cs="Arial"/>
          <w:color w:val="000000" w:themeColor="text1"/>
          <w:sz w:val="21"/>
          <w:szCs w:val="21"/>
          <w:lang w:val="es-ES_tradnl"/>
        </w:rPr>
        <w:t xml:space="preserve">1. ¿Las entidades </w:t>
      </w:r>
      <w:r w:rsidR="00675514" w:rsidRPr="00A36636">
        <w:rPr>
          <w:rFonts w:ascii="Arial" w:hAnsi="Arial" w:cs="Arial"/>
          <w:color w:val="000000" w:themeColor="text1"/>
          <w:sz w:val="21"/>
          <w:szCs w:val="21"/>
          <w:lang w:val="es-ES_tradnl"/>
        </w:rPr>
        <w:t>públicas</w:t>
      </w:r>
      <w:r w:rsidR="005C49A9" w:rsidRPr="00A36636">
        <w:rPr>
          <w:rFonts w:ascii="Arial" w:hAnsi="Arial" w:cs="Arial"/>
          <w:color w:val="000000" w:themeColor="text1"/>
          <w:sz w:val="21"/>
          <w:szCs w:val="21"/>
          <w:lang w:val="es-ES_tradnl"/>
        </w:rPr>
        <w:t xml:space="preserve"> </w:t>
      </w:r>
      <w:r w:rsidR="00675514" w:rsidRPr="00A36636">
        <w:rPr>
          <w:rFonts w:ascii="Arial" w:hAnsi="Arial" w:cs="Arial"/>
          <w:color w:val="000000" w:themeColor="text1"/>
          <w:sz w:val="21"/>
          <w:szCs w:val="21"/>
          <w:lang w:val="es-ES_tradnl"/>
        </w:rPr>
        <w:t>están</w:t>
      </w:r>
      <w:r w:rsidR="005C49A9" w:rsidRPr="00A36636">
        <w:rPr>
          <w:rFonts w:ascii="Arial" w:hAnsi="Arial" w:cs="Arial"/>
          <w:color w:val="000000" w:themeColor="text1"/>
          <w:sz w:val="21"/>
          <w:szCs w:val="21"/>
          <w:lang w:val="es-ES_tradnl"/>
        </w:rPr>
        <w:t xml:space="preserve"> facultadas para definir dentro en sus procesos de </w:t>
      </w:r>
      <w:r w:rsidR="00675514" w:rsidRPr="00A36636">
        <w:rPr>
          <w:rFonts w:ascii="Arial" w:hAnsi="Arial" w:cs="Arial"/>
          <w:color w:val="000000" w:themeColor="text1"/>
          <w:sz w:val="21"/>
          <w:szCs w:val="21"/>
          <w:lang w:val="es-ES_tradnl"/>
        </w:rPr>
        <w:t>selección</w:t>
      </w:r>
      <w:r w:rsidR="005C49A9" w:rsidRPr="00A36636">
        <w:rPr>
          <w:rFonts w:ascii="Arial" w:hAnsi="Arial" w:cs="Arial"/>
          <w:color w:val="000000" w:themeColor="text1"/>
          <w:sz w:val="21"/>
          <w:szCs w:val="21"/>
          <w:lang w:val="es-ES_tradnl"/>
        </w:rPr>
        <w:t xml:space="preserve"> diversas </w:t>
      </w:r>
      <w:r w:rsidR="00675514" w:rsidRPr="00A36636">
        <w:rPr>
          <w:rFonts w:ascii="Arial" w:hAnsi="Arial" w:cs="Arial"/>
          <w:color w:val="000000" w:themeColor="text1"/>
          <w:sz w:val="21"/>
          <w:szCs w:val="21"/>
          <w:lang w:val="es-ES_tradnl"/>
        </w:rPr>
        <w:t>fórmulas</w:t>
      </w:r>
      <w:r w:rsidR="005C49A9" w:rsidRPr="00A36636">
        <w:rPr>
          <w:rFonts w:ascii="Arial" w:hAnsi="Arial" w:cs="Arial"/>
          <w:color w:val="000000" w:themeColor="text1"/>
          <w:sz w:val="21"/>
          <w:szCs w:val="21"/>
          <w:lang w:val="es-ES_tradnl"/>
        </w:rPr>
        <w:t xml:space="preserve"> para determinar la manera de acreditar la </w:t>
      </w:r>
      <w:r w:rsidR="00675514" w:rsidRPr="00A36636">
        <w:rPr>
          <w:rFonts w:ascii="Arial" w:hAnsi="Arial" w:cs="Arial"/>
          <w:color w:val="000000" w:themeColor="text1"/>
          <w:sz w:val="21"/>
          <w:szCs w:val="21"/>
          <w:lang w:val="es-ES_tradnl"/>
        </w:rPr>
        <w:t>vinculación</w:t>
      </w:r>
      <w:r w:rsidR="005C49A9" w:rsidRPr="00A36636">
        <w:rPr>
          <w:rFonts w:ascii="Arial" w:hAnsi="Arial" w:cs="Arial"/>
          <w:color w:val="000000" w:themeColor="text1"/>
          <w:sz w:val="21"/>
          <w:szCs w:val="21"/>
          <w:lang w:val="es-ES_tradnl"/>
        </w:rPr>
        <w:t xml:space="preserve"> en mayor </w:t>
      </w:r>
      <w:r w:rsidR="00675514" w:rsidRPr="00A36636">
        <w:rPr>
          <w:rFonts w:ascii="Arial" w:hAnsi="Arial" w:cs="Arial"/>
          <w:color w:val="000000" w:themeColor="text1"/>
          <w:sz w:val="21"/>
          <w:szCs w:val="21"/>
          <w:lang w:val="es-ES_tradnl"/>
        </w:rPr>
        <w:t>proporción</w:t>
      </w:r>
      <w:r w:rsidR="005C49A9" w:rsidRPr="00A36636">
        <w:rPr>
          <w:rFonts w:ascii="Arial" w:hAnsi="Arial" w:cs="Arial"/>
          <w:color w:val="000000" w:themeColor="text1"/>
          <w:sz w:val="21"/>
          <w:szCs w:val="21"/>
          <w:lang w:val="es-ES_tradnl"/>
        </w:rPr>
        <w:t xml:space="preserve"> de personas mayores que no sean beneficiarios de la </w:t>
      </w:r>
      <w:r w:rsidR="00675514" w:rsidRPr="00A36636">
        <w:rPr>
          <w:rFonts w:ascii="Arial" w:hAnsi="Arial" w:cs="Arial"/>
          <w:color w:val="000000" w:themeColor="text1"/>
          <w:sz w:val="21"/>
          <w:szCs w:val="21"/>
          <w:lang w:val="es-ES_tradnl"/>
        </w:rPr>
        <w:t>pensión</w:t>
      </w:r>
      <w:r w:rsidR="005C49A9" w:rsidRPr="00A36636">
        <w:rPr>
          <w:rFonts w:ascii="Arial" w:hAnsi="Arial" w:cs="Arial"/>
          <w:color w:val="000000" w:themeColor="text1"/>
          <w:sz w:val="21"/>
          <w:szCs w:val="21"/>
          <w:lang w:val="es-ES_tradnl"/>
        </w:rPr>
        <w:t xml:space="preserve"> de vejez, familiar o de sobrevivencia y que hayan cumplido el requisito de edad de </w:t>
      </w:r>
      <w:r w:rsidR="00675514" w:rsidRPr="00A36636">
        <w:rPr>
          <w:rFonts w:ascii="Arial" w:hAnsi="Arial" w:cs="Arial"/>
          <w:color w:val="000000" w:themeColor="text1"/>
          <w:sz w:val="21"/>
          <w:szCs w:val="21"/>
          <w:lang w:val="es-ES_tradnl"/>
        </w:rPr>
        <w:t>pensión</w:t>
      </w:r>
      <w:r w:rsidR="005C49A9" w:rsidRPr="00A36636">
        <w:rPr>
          <w:rFonts w:ascii="Arial" w:hAnsi="Arial" w:cs="Arial"/>
          <w:color w:val="000000" w:themeColor="text1"/>
          <w:sz w:val="21"/>
          <w:szCs w:val="21"/>
          <w:lang w:val="es-ES_tradnl"/>
        </w:rPr>
        <w:t xml:space="preserve"> establecido en la Ley, tanto para proponentes singulares como plurales?</w:t>
      </w:r>
    </w:p>
    <w:p w14:paraId="12FBBE05" w14:textId="4ACF6E26" w:rsidR="00A55432" w:rsidRPr="00A36636" w:rsidRDefault="00BA603A" w:rsidP="00116D7E">
      <w:pPr>
        <w:spacing w:after="120"/>
        <w:ind w:left="709" w:right="709"/>
        <w:jc w:val="both"/>
        <w:rPr>
          <w:rFonts w:ascii="Arial" w:hAnsi="Arial" w:cs="Arial"/>
          <w:color w:val="000000" w:themeColor="text1"/>
          <w:sz w:val="21"/>
          <w:szCs w:val="21"/>
          <w:lang w:val="es-ES_tradnl"/>
        </w:rPr>
      </w:pPr>
      <w:r w:rsidRPr="00A36636">
        <w:rPr>
          <w:rFonts w:ascii="Arial" w:hAnsi="Arial" w:cs="Arial"/>
          <w:color w:val="000000" w:themeColor="text1"/>
          <w:sz w:val="21"/>
          <w:szCs w:val="21"/>
          <w:lang w:val="es-ES_tradnl"/>
        </w:rPr>
        <w:t>»</w:t>
      </w:r>
      <w:r w:rsidR="005C49A9" w:rsidRPr="00A36636">
        <w:rPr>
          <w:rFonts w:ascii="Arial" w:hAnsi="Arial" w:cs="Arial"/>
          <w:color w:val="000000" w:themeColor="text1"/>
          <w:sz w:val="21"/>
          <w:szCs w:val="21"/>
          <w:lang w:val="es-ES_tradnl"/>
        </w:rPr>
        <w:t xml:space="preserve">2. El Concepto C-015 de 2021 de la Agencia, sobre el numeral 4 </w:t>
      </w:r>
      <w:r w:rsidR="00675514" w:rsidRPr="00A36636">
        <w:rPr>
          <w:rFonts w:ascii="Arial" w:hAnsi="Arial" w:cs="Arial"/>
          <w:color w:val="000000" w:themeColor="text1"/>
          <w:sz w:val="21"/>
          <w:szCs w:val="21"/>
          <w:lang w:val="es-ES_tradnl"/>
        </w:rPr>
        <w:t>señaló</w:t>
      </w:r>
      <w:r w:rsidR="005C49A9" w:rsidRPr="00A36636">
        <w:rPr>
          <w:rFonts w:ascii="Arial" w:hAnsi="Arial" w:cs="Arial"/>
          <w:color w:val="000000" w:themeColor="text1"/>
          <w:sz w:val="21"/>
          <w:szCs w:val="21"/>
          <w:lang w:val="es-ES_tradnl"/>
        </w:rPr>
        <w:t xml:space="preserve">: “De este modo, cuando la norma se refiere a la «mayor </w:t>
      </w:r>
      <w:r w:rsidR="00A55432" w:rsidRPr="00A36636">
        <w:rPr>
          <w:rFonts w:ascii="Arial" w:hAnsi="Arial" w:cs="Arial"/>
          <w:color w:val="000000" w:themeColor="text1"/>
          <w:sz w:val="21"/>
          <w:szCs w:val="21"/>
          <w:lang w:val="es-ES_tradnl"/>
        </w:rPr>
        <w:t>proporción</w:t>
      </w:r>
      <w:r w:rsidR="005C49A9" w:rsidRPr="00A36636">
        <w:rPr>
          <w:rFonts w:ascii="Arial" w:hAnsi="Arial" w:cs="Arial"/>
          <w:color w:val="000000" w:themeColor="text1"/>
          <w:sz w:val="21"/>
          <w:szCs w:val="21"/>
          <w:lang w:val="es-ES_tradnl"/>
        </w:rPr>
        <w:t xml:space="preserve">» alude al </w:t>
      </w:r>
      <w:r w:rsidR="00A55432" w:rsidRPr="00A36636">
        <w:rPr>
          <w:rFonts w:ascii="Arial" w:hAnsi="Arial" w:cs="Arial"/>
          <w:color w:val="000000" w:themeColor="text1"/>
          <w:sz w:val="21"/>
          <w:szCs w:val="21"/>
          <w:lang w:val="es-ES_tradnl"/>
        </w:rPr>
        <w:t>número</w:t>
      </w:r>
      <w:r w:rsidR="005C49A9" w:rsidRPr="00A36636">
        <w:rPr>
          <w:rFonts w:ascii="Arial" w:hAnsi="Arial" w:cs="Arial"/>
          <w:color w:val="000000" w:themeColor="text1"/>
          <w:sz w:val="21"/>
          <w:szCs w:val="21"/>
          <w:lang w:val="es-ES_tradnl"/>
        </w:rPr>
        <w:t xml:space="preserve"> de personas vinculadas por el oferente y que </w:t>
      </w:r>
      <w:r w:rsidR="00A55432" w:rsidRPr="00A36636">
        <w:rPr>
          <w:rFonts w:ascii="Arial" w:hAnsi="Arial" w:cs="Arial"/>
          <w:color w:val="000000" w:themeColor="text1"/>
          <w:sz w:val="21"/>
          <w:szCs w:val="21"/>
          <w:lang w:val="es-ES_tradnl"/>
        </w:rPr>
        <w:t>además</w:t>
      </w:r>
      <w:r w:rsidR="005C49A9" w:rsidRPr="00A36636">
        <w:rPr>
          <w:rFonts w:ascii="Arial" w:hAnsi="Arial" w:cs="Arial"/>
          <w:color w:val="000000" w:themeColor="text1"/>
          <w:sz w:val="21"/>
          <w:szCs w:val="21"/>
          <w:lang w:val="es-ES_tradnl"/>
        </w:rPr>
        <w:t xml:space="preserve"> </w:t>
      </w:r>
      <w:r w:rsidR="00A55432" w:rsidRPr="00A36636">
        <w:rPr>
          <w:rFonts w:ascii="Arial" w:hAnsi="Arial" w:cs="Arial"/>
          <w:color w:val="000000" w:themeColor="text1"/>
          <w:sz w:val="21"/>
          <w:szCs w:val="21"/>
          <w:lang w:val="es-ES_tradnl"/>
        </w:rPr>
        <w:t>reúnan</w:t>
      </w:r>
      <w:r w:rsidR="005C49A9" w:rsidRPr="00A36636">
        <w:rPr>
          <w:rFonts w:ascii="Arial" w:hAnsi="Arial" w:cs="Arial"/>
          <w:color w:val="000000" w:themeColor="text1"/>
          <w:sz w:val="21"/>
          <w:szCs w:val="21"/>
          <w:lang w:val="es-ES_tradnl"/>
        </w:rPr>
        <w:t xml:space="preserve"> la </w:t>
      </w:r>
      <w:r w:rsidR="00A55432" w:rsidRPr="00A36636">
        <w:rPr>
          <w:rFonts w:ascii="Arial" w:hAnsi="Arial" w:cs="Arial"/>
          <w:color w:val="000000" w:themeColor="text1"/>
          <w:sz w:val="21"/>
          <w:szCs w:val="21"/>
          <w:lang w:val="es-ES_tradnl"/>
        </w:rPr>
        <w:t>condición</w:t>
      </w:r>
      <w:r w:rsidR="005C49A9" w:rsidRPr="00A36636">
        <w:rPr>
          <w:rFonts w:ascii="Arial" w:hAnsi="Arial" w:cs="Arial"/>
          <w:color w:val="000000" w:themeColor="text1"/>
          <w:sz w:val="21"/>
          <w:szCs w:val="21"/>
          <w:lang w:val="es-ES_tradnl"/>
        </w:rPr>
        <w:t xml:space="preserve"> de ser mayores y que «no sean beneficiarios de la </w:t>
      </w:r>
      <w:r w:rsidR="00A55432" w:rsidRPr="00A36636">
        <w:rPr>
          <w:rFonts w:ascii="Arial" w:hAnsi="Arial" w:cs="Arial"/>
          <w:color w:val="000000" w:themeColor="text1"/>
          <w:sz w:val="21"/>
          <w:szCs w:val="21"/>
          <w:lang w:val="es-ES_tradnl"/>
        </w:rPr>
        <w:t>pensión</w:t>
      </w:r>
      <w:r w:rsidR="005C49A9" w:rsidRPr="00A36636">
        <w:rPr>
          <w:rFonts w:ascii="Arial" w:hAnsi="Arial" w:cs="Arial"/>
          <w:color w:val="000000" w:themeColor="text1"/>
          <w:sz w:val="21"/>
          <w:szCs w:val="21"/>
          <w:lang w:val="es-ES_tradnl"/>
        </w:rPr>
        <w:t xml:space="preserve"> de vejez, familiar o de sobrevivencia y que hayan cumplido el requisito de edad de </w:t>
      </w:r>
      <w:r w:rsidR="00A55432" w:rsidRPr="00A36636">
        <w:rPr>
          <w:rFonts w:ascii="Arial" w:hAnsi="Arial" w:cs="Arial"/>
          <w:color w:val="000000" w:themeColor="text1"/>
          <w:sz w:val="21"/>
          <w:szCs w:val="21"/>
          <w:lang w:val="es-ES_tradnl"/>
        </w:rPr>
        <w:t>pensión</w:t>
      </w:r>
      <w:r w:rsidR="005C49A9" w:rsidRPr="00A36636">
        <w:rPr>
          <w:rFonts w:ascii="Arial" w:hAnsi="Arial" w:cs="Arial"/>
          <w:color w:val="000000" w:themeColor="text1"/>
          <w:sz w:val="21"/>
          <w:szCs w:val="21"/>
          <w:lang w:val="es-ES_tradnl"/>
        </w:rPr>
        <w:t xml:space="preserve"> establecido en la Ley». El reglamento </w:t>
      </w:r>
      <w:r w:rsidR="00A55432" w:rsidRPr="00A36636">
        <w:rPr>
          <w:rFonts w:ascii="Arial" w:hAnsi="Arial" w:cs="Arial"/>
          <w:color w:val="000000" w:themeColor="text1"/>
          <w:sz w:val="21"/>
          <w:szCs w:val="21"/>
          <w:lang w:val="es-ES_tradnl"/>
        </w:rPr>
        <w:t>podría</w:t>
      </w:r>
      <w:r w:rsidR="005C49A9" w:rsidRPr="00A36636">
        <w:rPr>
          <w:rFonts w:ascii="Arial" w:hAnsi="Arial" w:cs="Arial"/>
          <w:color w:val="000000" w:themeColor="text1"/>
          <w:sz w:val="21"/>
          <w:szCs w:val="21"/>
          <w:lang w:val="es-ES_tradnl"/>
        </w:rPr>
        <w:t xml:space="preserve"> establecer un </w:t>
      </w:r>
      <w:r w:rsidR="00A55432" w:rsidRPr="00A36636">
        <w:rPr>
          <w:rFonts w:ascii="Arial" w:hAnsi="Arial" w:cs="Arial"/>
          <w:color w:val="000000" w:themeColor="text1"/>
          <w:sz w:val="21"/>
          <w:szCs w:val="21"/>
          <w:lang w:val="es-ES_tradnl"/>
        </w:rPr>
        <w:t>método</w:t>
      </w:r>
      <w:r w:rsidR="005C49A9" w:rsidRPr="00A36636">
        <w:rPr>
          <w:rFonts w:ascii="Arial" w:hAnsi="Arial" w:cs="Arial"/>
          <w:color w:val="000000" w:themeColor="text1"/>
          <w:sz w:val="21"/>
          <w:szCs w:val="21"/>
          <w:lang w:val="es-ES_tradnl"/>
        </w:rPr>
        <w:t xml:space="preserve"> diferente, por ejemplo, definiendo porcentajes, pero hasta ahora esto no ha sucedido”</w:t>
      </w:r>
    </w:p>
    <w:p w14:paraId="64A90C10" w14:textId="0EEE2175" w:rsidR="007342AD" w:rsidRPr="00A36636" w:rsidRDefault="00BA603A" w:rsidP="00116D7E">
      <w:pPr>
        <w:spacing w:after="120"/>
        <w:ind w:left="709" w:right="709"/>
        <w:jc w:val="both"/>
        <w:rPr>
          <w:rFonts w:ascii="Arial" w:hAnsi="Arial" w:cs="Arial"/>
          <w:color w:val="000000" w:themeColor="text1"/>
          <w:sz w:val="21"/>
          <w:szCs w:val="21"/>
          <w:lang w:val="es-ES_tradnl"/>
        </w:rPr>
      </w:pPr>
      <w:r w:rsidRPr="00A36636">
        <w:rPr>
          <w:rFonts w:ascii="Arial" w:hAnsi="Arial" w:cs="Arial"/>
          <w:color w:val="000000" w:themeColor="text1"/>
          <w:sz w:val="21"/>
          <w:szCs w:val="21"/>
          <w:lang w:val="es-ES_tradnl"/>
        </w:rPr>
        <w:t>»</w:t>
      </w:r>
      <w:r w:rsidR="005C49A9" w:rsidRPr="00A36636">
        <w:rPr>
          <w:rFonts w:ascii="Arial" w:hAnsi="Arial" w:cs="Arial"/>
          <w:color w:val="000000" w:themeColor="text1"/>
          <w:sz w:val="21"/>
          <w:szCs w:val="21"/>
          <w:lang w:val="es-ES_tradnl"/>
        </w:rPr>
        <w:t xml:space="preserve">Si, como lo menciona el concepto, la ley beneficia al proponente que vincule mayor </w:t>
      </w:r>
      <w:r w:rsidR="00A55432" w:rsidRPr="00A36636">
        <w:rPr>
          <w:rFonts w:ascii="Arial" w:hAnsi="Arial" w:cs="Arial"/>
          <w:color w:val="000000" w:themeColor="text1"/>
          <w:sz w:val="21"/>
          <w:szCs w:val="21"/>
          <w:lang w:val="es-ES_tradnl"/>
        </w:rPr>
        <w:t>número</w:t>
      </w:r>
      <w:r w:rsidR="005C49A9" w:rsidRPr="00A36636">
        <w:rPr>
          <w:rFonts w:ascii="Arial" w:hAnsi="Arial" w:cs="Arial"/>
          <w:color w:val="000000" w:themeColor="text1"/>
          <w:sz w:val="21"/>
          <w:szCs w:val="21"/>
          <w:lang w:val="es-ES_tradnl"/>
        </w:rPr>
        <w:t xml:space="preserve"> de personas, se </w:t>
      </w:r>
      <w:r w:rsidR="00A55432" w:rsidRPr="00A36636">
        <w:rPr>
          <w:rFonts w:ascii="Arial" w:hAnsi="Arial" w:cs="Arial"/>
          <w:color w:val="000000" w:themeColor="text1"/>
          <w:sz w:val="21"/>
          <w:szCs w:val="21"/>
          <w:lang w:val="es-ES_tradnl"/>
        </w:rPr>
        <w:t>entendería</w:t>
      </w:r>
      <w:r w:rsidR="005C49A9" w:rsidRPr="00A36636">
        <w:rPr>
          <w:rFonts w:ascii="Arial" w:hAnsi="Arial" w:cs="Arial"/>
          <w:color w:val="000000" w:themeColor="text1"/>
          <w:sz w:val="21"/>
          <w:szCs w:val="21"/>
          <w:lang w:val="es-ES_tradnl"/>
        </w:rPr>
        <w:t xml:space="preserve"> que en un proceso en el que se presenten dos proponentes y este resultará</w:t>
      </w:r>
      <w:r w:rsidR="00CA2834" w:rsidRPr="00A36636">
        <w:rPr>
          <w:rFonts w:ascii="Arial" w:hAnsi="Arial" w:cs="Arial"/>
          <w:color w:val="000000" w:themeColor="text1"/>
          <w:sz w:val="21"/>
          <w:szCs w:val="21"/>
          <w:lang w:val="es-ES_tradnl"/>
        </w:rPr>
        <w:t xml:space="preserve"> (sic)</w:t>
      </w:r>
      <w:r w:rsidR="005C49A9" w:rsidRPr="00A36636">
        <w:rPr>
          <w:rFonts w:ascii="Arial" w:hAnsi="Arial" w:cs="Arial"/>
          <w:color w:val="000000" w:themeColor="text1"/>
          <w:sz w:val="21"/>
          <w:szCs w:val="21"/>
          <w:lang w:val="es-ES_tradnl"/>
        </w:rPr>
        <w:t xml:space="preserve"> en empate y se diera </w:t>
      </w:r>
      <w:r w:rsidR="00A55432" w:rsidRPr="00A36636">
        <w:rPr>
          <w:rFonts w:ascii="Arial" w:hAnsi="Arial" w:cs="Arial"/>
          <w:color w:val="000000" w:themeColor="text1"/>
          <w:sz w:val="21"/>
          <w:szCs w:val="21"/>
          <w:lang w:val="es-ES_tradnl"/>
        </w:rPr>
        <w:t>aplicación</w:t>
      </w:r>
      <w:r w:rsidR="005C49A9" w:rsidRPr="00A36636">
        <w:rPr>
          <w:rFonts w:ascii="Arial" w:hAnsi="Arial" w:cs="Arial"/>
          <w:color w:val="000000" w:themeColor="text1"/>
          <w:sz w:val="21"/>
          <w:szCs w:val="21"/>
          <w:lang w:val="es-ES_tradnl"/>
        </w:rPr>
        <w:t xml:space="preserve"> al criterio </w:t>
      </w:r>
      <w:r w:rsidR="00A55432" w:rsidRPr="00A36636">
        <w:rPr>
          <w:rFonts w:ascii="Arial" w:hAnsi="Arial" w:cs="Arial"/>
          <w:color w:val="000000" w:themeColor="text1"/>
          <w:sz w:val="21"/>
          <w:szCs w:val="21"/>
          <w:lang w:val="es-ES_tradnl"/>
        </w:rPr>
        <w:t>número</w:t>
      </w:r>
      <w:r w:rsidR="005C49A9" w:rsidRPr="00A36636">
        <w:rPr>
          <w:rFonts w:ascii="Arial" w:hAnsi="Arial" w:cs="Arial"/>
          <w:color w:val="000000" w:themeColor="text1"/>
          <w:sz w:val="21"/>
          <w:szCs w:val="21"/>
          <w:lang w:val="es-ES_tradnl"/>
        </w:rPr>
        <w:t xml:space="preserve"> 4, ¿</w:t>
      </w:r>
      <w:r w:rsidR="00A55432" w:rsidRPr="00A36636">
        <w:rPr>
          <w:rFonts w:ascii="Arial" w:hAnsi="Arial" w:cs="Arial"/>
          <w:color w:val="000000" w:themeColor="text1"/>
          <w:sz w:val="21"/>
          <w:szCs w:val="21"/>
          <w:lang w:val="es-ES_tradnl"/>
        </w:rPr>
        <w:t>Ganaría</w:t>
      </w:r>
      <w:r w:rsidR="005C49A9" w:rsidRPr="00A36636">
        <w:rPr>
          <w:rFonts w:ascii="Arial" w:hAnsi="Arial" w:cs="Arial"/>
          <w:color w:val="000000" w:themeColor="text1"/>
          <w:sz w:val="21"/>
          <w:szCs w:val="21"/>
          <w:lang w:val="es-ES_tradnl"/>
        </w:rPr>
        <w:t xml:space="preserve"> aquel que, sin importar el </w:t>
      </w:r>
      <w:r w:rsidR="00A55432" w:rsidRPr="00A36636">
        <w:rPr>
          <w:rFonts w:ascii="Arial" w:hAnsi="Arial" w:cs="Arial"/>
          <w:color w:val="000000" w:themeColor="text1"/>
          <w:sz w:val="21"/>
          <w:szCs w:val="21"/>
          <w:lang w:val="es-ES_tradnl"/>
        </w:rPr>
        <w:t>tamaño</w:t>
      </w:r>
      <w:r w:rsidR="005C49A9" w:rsidRPr="00A36636">
        <w:rPr>
          <w:rFonts w:ascii="Arial" w:hAnsi="Arial" w:cs="Arial"/>
          <w:color w:val="000000" w:themeColor="text1"/>
          <w:sz w:val="21"/>
          <w:szCs w:val="21"/>
          <w:lang w:val="es-ES_tradnl"/>
        </w:rPr>
        <w:t xml:space="preserve"> de su planta de personal, haya</w:t>
      </w:r>
      <w:r w:rsidR="007342AD" w:rsidRPr="00A36636">
        <w:rPr>
          <w:rFonts w:ascii="Arial" w:hAnsi="Arial" w:cs="Arial"/>
          <w:color w:val="000000" w:themeColor="text1"/>
          <w:sz w:val="21"/>
          <w:szCs w:val="21"/>
          <w:lang w:val="es-ES_tradnl"/>
        </w:rPr>
        <w:t xml:space="preserve"> vinculado un mayor número de personas que “reúnan la condición de ser mayores y que </w:t>
      </w:r>
      <w:r w:rsidR="00BB5614" w:rsidRPr="00A36636">
        <w:rPr>
          <w:rFonts w:ascii="Arial" w:hAnsi="Arial" w:cs="Arial"/>
          <w:color w:val="000000" w:themeColor="text1"/>
          <w:sz w:val="21"/>
          <w:szCs w:val="21"/>
          <w:lang w:val="es-ES_tradnl"/>
        </w:rPr>
        <w:t>“</w:t>
      </w:r>
      <w:r w:rsidR="007342AD" w:rsidRPr="00A36636">
        <w:rPr>
          <w:rFonts w:ascii="Arial" w:hAnsi="Arial" w:cs="Arial"/>
          <w:color w:val="000000" w:themeColor="text1"/>
          <w:sz w:val="21"/>
          <w:szCs w:val="21"/>
          <w:lang w:val="es-ES_tradnl"/>
        </w:rPr>
        <w:t>no sean beneficiarios de la pensión de vejez, familiar o de sobrevivencia y que hayan cumplido el requisito de edad de pensión establecido en la Ley</w:t>
      </w:r>
      <w:r w:rsidR="00ED0510" w:rsidRPr="00A36636">
        <w:rPr>
          <w:rFonts w:ascii="Arial" w:hAnsi="Arial" w:cs="Arial"/>
          <w:color w:val="000000" w:themeColor="text1"/>
          <w:sz w:val="21"/>
          <w:szCs w:val="21"/>
          <w:lang w:val="es-ES_tradnl"/>
        </w:rPr>
        <w:t>”</w:t>
      </w:r>
      <w:r w:rsidR="007342AD" w:rsidRPr="00A36636">
        <w:rPr>
          <w:rFonts w:ascii="Arial" w:hAnsi="Arial" w:cs="Arial"/>
          <w:color w:val="000000" w:themeColor="text1"/>
          <w:sz w:val="21"/>
          <w:szCs w:val="21"/>
          <w:lang w:val="es-ES_tradnl"/>
        </w:rPr>
        <w:t>?</w:t>
      </w:r>
    </w:p>
    <w:p w14:paraId="1FB11BAE" w14:textId="567C2110" w:rsidR="007342AD" w:rsidRPr="00A36636" w:rsidRDefault="00BA603A" w:rsidP="00116D7E">
      <w:pPr>
        <w:spacing w:after="120"/>
        <w:ind w:left="709" w:right="709"/>
        <w:jc w:val="both"/>
        <w:rPr>
          <w:rFonts w:ascii="Arial" w:hAnsi="Arial" w:cs="Arial"/>
          <w:color w:val="000000" w:themeColor="text1"/>
          <w:sz w:val="21"/>
          <w:szCs w:val="21"/>
          <w:lang w:val="es-ES_tradnl"/>
        </w:rPr>
      </w:pPr>
      <w:r w:rsidRPr="00A36636">
        <w:rPr>
          <w:rFonts w:ascii="Arial" w:hAnsi="Arial" w:cs="Arial"/>
          <w:color w:val="000000" w:themeColor="text1"/>
          <w:sz w:val="21"/>
          <w:szCs w:val="21"/>
          <w:lang w:val="es-ES_tradnl"/>
        </w:rPr>
        <w:t>»</w:t>
      </w:r>
      <w:r w:rsidR="007342AD" w:rsidRPr="00A36636">
        <w:rPr>
          <w:rFonts w:ascii="Arial" w:hAnsi="Arial" w:cs="Arial"/>
          <w:color w:val="000000" w:themeColor="text1"/>
          <w:sz w:val="21"/>
          <w:szCs w:val="21"/>
          <w:lang w:val="es-ES_tradnl"/>
        </w:rPr>
        <w:t>3. ¿Es la mayor proporción de que trata el numeral 4 del artículo 35 antes citado, el resultado de tomar la suma de la totalidad de adultos mayores no beneficiarios de pensión de vejez que hayan cumplido con el requisito de edad acreditados por los diferentes proponentes en el marco un proceso público y definir cuántos de estos fueron aportados por cada uno, de manera que quien acredite la mayor cantidad; es decir, la mayor proporción de la base (número de adultos acreditados en el proceso) se haría beneficiario del criterio de desempate?</w:t>
      </w:r>
    </w:p>
    <w:p w14:paraId="739301B6" w14:textId="2BCC3AA5" w:rsidR="007342AD" w:rsidRPr="00A36636" w:rsidRDefault="00BA603A" w:rsidP="00116D7E">
      <w:pPr>
        <w:spacing w:after="120"/>
        <w:ind w:left="709" w:right="709"/>
        <w:jc w:val="both"/>
        <w:rPr>
          <w:rFonts w:ascii="Arial" w:hAnsi="Arial" w:cs="Arial"/>
          <w:color w:val="000000" w:themeColor="text1"/>
          <w:sz w:val="21"/>
          <w:szCs w:val="21"/>
          <w:lang w:val="es-ES_tradnl"/>
        </w:rPr>
      </w:pPr>
      <w:r w:rsidRPr="00A36636">
        <w:rPr>
          <w:rFonts w:ascii="Arial" w:hAnsi="Arial" w:cs="Arial"/>
          <w:color w:val="000000" w:themeColor="text1"/>
          <w:sz w:val="21"/>
          <w:szCs w:val="21"/>
          <w:lang w:val="es-ES_tradnl"/>
        </w:rPr>
        <w:t>»</w:t>
      </w:r>
      <w:r w:rsidR="007342AD" w:rsidRPr="00A36636">
        <w:rPr>
          <w:rFonts w:ascii="Arial" w:hAnsi="Arial" w:cs="Arial"/>
          <w:color w:val="000000" w:themeColor="text1"/>
          <w:sz w:val="21"/>
          <w:szCs w:val="21"/>
          <w:lang w:val="es-ES_tradnl"/>
        </w:rPr>
        <w:t>4. ¿Cómo se puede aplicar el factor de desempate regulado en el numeral 4 del artículo 35 de la Ley 2069 de 2020 en el caso de proponentes plurales?</w:t>
      </w:r>
    </w:p>
    <w:p w14:paraId="50E6583C" w14:textId="05451521" w:rsidR="0000433A" w:rsidRPr="00A36636" w:rsidRDefault="00BA603A" w:rsidP="007342AD">
      <w:pPr>
        <w:ind w:left="709" w:right="709"/>
        <w:jc w:val="both"/>
        <w:rPr>
          <w:rFonts w:ascii="Arial" w:hAnsi="Arial" w:cs="Arial"/>
          <w:color w:val="000000" w:themeColor="text1"/>
          <w:sz w:val="21"/>
          <w:szCs w:val="21"/>
        </w:rPr>
      </w:pPr>
      <w:r w:rsidRPr="00A36636">
        <w:rPr>
          <w:rFonts w:ascii="Arial" w:hAnsi="Arial" w:cs="Arial"/>
          <w:color w:val="000000" w:themeColor="text1"/>
          <w:sz w:val="21"/>
          <w:szCs w:val="21"/>
          <w:lang w:val="es-ES_tradnl"/>
        </w:rPr>
        <w:t>»</w:t>
      </w:r>
      <w:r w:rsidR="007342AD" w:rsidRPr="00A36636">
        <w:rPr>
          <w:rFonts w:ascii="Arial" w:hAnsi="Arial" w:cs="Arial"/>
          <w:color w:val="000000" w:themeColor="text1"/>
          <w:sz w:val="21"/>
          <w:szCs w:val="21"/>
          <w:lang w:val="es-ES_tradnl"/>
        </w:rPr>
        <w:t>5. ¿Cuál es el procedimiento de acreditación y evaluación en el caso de estructuras plurales?</w:t>
      </w:r>
      <w:r w:rsidRPr="00A36636">
        <w:rPr>
          <w:rFonts w:ascii="Arial" w:hAnsi="Arial" w:cs="Arial"/>
          <w:color w:val="000000" w:themeColor="text1"/>
          <w:sz w:val="21"/>
          <w:szCs w:val="21"/>
          <w:lang w:val="es-ES_tradnl"/>
        </w:rPr>
        <w:t>»</w:t>
      </w:r>
    </w:p>
    <w:p w14:paraId="56A6C204" w14:textId="77777777" w:rsidR="00A216F9" w:rsidRPr="00A36636" w:rsidRDefault="00A216F9" w:rsidP="00116D7E">
      <w:pPr>
        <w:spacing w:line="276" w:lineRule="auto"/>
        <w:ind w:left="709" w:right="709"/>
        <w:jc w:val="both"/>
        <w:rPr>
          <w:rFonts w:ascii="Arial" w:hAnsi="Arial" w:cs="Arial"/>
          <w:color w:val="000000" w:themeColor="text1"/>
          <w:sz w:val="22"/>
          <w:szCs w:val="22"/>
        </w:rPr>
      </w:pPr>
    </w:p>
    <w:p w14:paraId="124D2DCA" w14:textId="77777777" w:rsidR="00DD5B04" w:rsidRPr="00A36636"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36636">
        <w:rPr>
          <w:rFonts w:ascii="Arial" w:eastAsia="Calibri" w:hAnsi="Arial" w:cs="Arial"/>
          <w:b/>
          <w:color w:val="000000" w:themeColor="text1"/>
          <w:sz w:val="22"/>
          <w:lang w:val="es-ES_tradnl"/>
        </w:rPr>
        <w:t>Consideraciones</w:t>
      </w:r>
    </w:p>
    <w:p w14:paraId="7D050D2E" w14:textId="77777777" w:rsidR="00435703" w:rsidRPr="00A36636" w:rsidRDefault="00435703" w:rsidP="00DF76A2">
      <w:pPr>
        <w:spacing w:line="276" w:lineRule="auto"/>
        <w:jc w:val="both"/>
        <w:rPr>
          <w:rFonts w:ascii="Arial" w:eastAsia="Calibri" w:hAnsi="Arial" w:cs="Arial"/>
          <w:color w:val="000000" w:themeColor="text1"/>
          <w:sz w:val="22"/>
          <w:szCs w:val="22"/>
          <w:lang w:val="es-ES_tradnl"/>
        </w:rPr>
      </w:pPr>
    </w:p>
    <w:p w14:paraId="305BC2F1" w14:textId="44DC98F6" w:rsidR="003C4317" w:rsidRPr="00A36636" w:rsidRDefault="008E30C4" w:rsidP="00271230">
      <w:pPr>
        <w:spacing w:line="276" w:lineRule="auto"/>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 xml:space="preserve">La Subdirección de Gestión Contractual responderá </w:t>
      </w:r>
      <w:r w:rsidR="00271230" w:rsidRPr="00A36636">
        <w:rPr>
          <w:rFonts w:ascii="Arial" w:eastAsia="Calibri" w:hAnsi="Arial" w:cs="Arial"/>
          <w:color w:val="000000" w:themeColor="text1"/>
          <w:sz w:val="22"/>
          <w:szCs w:val="22"/>
          <w:lang w:val="es-ES_tradnl"/>
        </w:rPr>
        <w:t>la consulta</w:t>
      </w:r>
      <w:r w:rsidRPr="00A36636">
        <w:rPr>
          <w:rFonts w:ascii="Arial" w:eastAsia="Calibri" w:hAnsi="Arial" w:cs="Arial"/>
          <w:color w:val="000000" w:themeColor="text1"/>
          <w:sz w:val="22"/>
          <w:szCs w:val="22"/>
          <w:lang w:val="es-ES_tradnl"/>
        </w:rPr>
        <w:t xml:space="preserve">, </w:t>
      </w:r>
      <w:r w:rsidR="00271230" w:rsidRPr="00A36636">
        <w:rPr>
          <w:rFonts w:ascii="Arial" w:eastAsia="Calibri" w:hAnsi="Arial" w:cs="Arial"/>
          <w:color w:val="000000" w:themeColor="text1"/>
          <w:sz w:val="22"/>
          <w:szCs w:val="22"/>
          <w:lang w:val="es-ES_tradnl"/>
        </w:rPr>
        <w:t>luego de analizar los</w:t>
      </w:r>
      <w:r w:rsidR="00822EC4" w:rsidRPr="00A36636">
        <w:rPr>
          <w:rFonts w:ascii="Arial" w:eastAsia="Calibri" w:hAnsi="Arial" w:cs="Arial"/>
          <w:color w:val="000000" w:themeColor="text1"/>
          <w:sz w:val="22"/>
          <w:szCs w:val="22"/>
          <w:lang w:val="es-ES_tradnl"/>
        </w:rPr>
        <w:t xml:space="preserve"> siguientes temas: </w:t>
      </w:r>
      <w:r w:rsidR="00833ADA" w:rsidRPr="00A36636">
        <w:rPr>
          <w:rFonts w:ascii="Arial" w:eastAsia="Calibri" w:hAnsi="Arial" w:cs="Arial"/>
          <w:color w:val="000000" w:themeColor="text1"/>
          <w:sz w:val="22"/>
          <w:szCs w:val="22"/>
          <w:lang w:val="es-ES_tradnl"/>
        </w:rPr>
        <w:t xml:space="preserve">i) definición de los criterios de desempate en la contratación estatal, </w:t>
      </w:r>
      <w:r w:rsidR="00822EC4" w:rsidRPr="00A36636">
        <w:rPr>
          <w:rFonts w:ascii="Arial" w:eastAsia="Calibri" w:hAnsi="Arial" w:cs="Arial"/>
          <w:color w:val="000000" w:themeColor="text1"/>
          <w:sz w:val="22"/>
          <w:szCs w:val="22"/>
          <w:lang w:val="es-ES_tradnl"/>
        </w:rPr>
        <w:t>i</w:t>
      </w:r>
      <w:r w:rsidR="00833ADA" w:rsidRPr="00A36636">
        <w:rPr>
          <w:rFonts w:ascii="Arial" w:eastAsia="Calibri" w:hAnsi="Arial" w:cs="Arial"/>
          <w:color w:val="000000" w:themeColor="text1"/>
          <w:sz w:val="22"/>
          <w:szCs w:val="22"/>
          <w:lang w:val="es-ES_tradnl"/>
        </w:rPr>
        <w:t>i</w:t>
      </w:r>
      <w:r w:rsidR="00822EC4" w:rsidRPr="00A36636">
        <w:rPr>
          <w:rFonts w:ascii="Arial" w:eastAsia="Calibri" w:hAnsi="Arial" w:cs="Arial"/>
          <w:color w:val="000000" w:themeColor="text1"/>
          <w:sz w:val="22"/>
          <w:szCs w:val="22"/>
          <w:lang w:val="es-ES_tradnl"/>
        </w:rPr>
        <w:t>)</w:t>
      </w:r>
      <w:r w:rsidR="00A12574" w:rsidRPr="00A36636">
        <w:rPr>
          <w:rFonts w:ascii="Arial" w:eastAsia="Calibri" w:hAnsi="Arial" w:cs="Arial"/>
          <w:color w:val="000000" w:themeColor="text1"/>
          <w:sz w:val="22"/>
          <w:szCs w:val="22"/>
          <w:lang w:val="es-ES_tradnl"/>
        </w:rPr>
        <w:t xml:space="preserve"> vigencia y ámbito de aplicación de la Ley </w:t>
      </w:r>
      <w:r w:rsidR="007B209C" w:rsidRPr="00A36636">
        <w:rPr>
          <w:rFonts w:ascii="Arial" w:eastAsia="Calibri" w:hAnsi="Arial" w:cs="Arial"/>
          <w:color w:val="000000" w:themeColor="text1"/>
          <w:sz w:val="22"/>
          <w:szCs w:val="22"/>
          <w:lang w:val="es-ES_tradnl"/>
        </w:rPr>
        <w:t>2069</w:t>
      </w:r>
      <w:r w:rsidR="00A12574" w:rsidRPr="00A36636">
        <w:rPr>
          <w:rFonts w:ascii="Arial" w:eastAsia="Calibri" w:hAnsi="Arial" w:cs="Arial"/>
          <w:color w:val="000000" w:themeColor="text1"/>
          <w:sz w:val="22"/>
          <w:szCs w:val="22"/>
          <w:lang w:val="es-ES_tradnl"/>
        </w:rPr>
        <w:t xml:space="preserve"> de 2020 y</w:t>
      </w:r>
      <w:r w:rsidR="00833ADA" w:rsidRPr="00A36636">
        <w:rPr>
          <w:rFonts w:ascii="Arial" w:eastAsia="Calibri" w:hAnsi="Arial" w:cs="Arial"/>
          <w:color w:val="000000" w:themeColor="text1"/>
          <w:sz w:val="22"/>
          <w:szCs w:val="22"/>
          <w:lang w:val="es-ES_tradnl"/>
        </w:rPr>
        <w:t xml:space="preserve"> </w:t>
      </w:r>
      <w:r w:rsidR="00523F41" w:rsidRPr="00A36636">
        <w:rPr>
          <w:rFonts w:ascii="Arial" w:eastAsia="Calibri" w:hAnsi="Arial" w:cs="Arial"/>
          <w:color w:val="000000" w:themeColor="text1"/>
          <w:sz w:val="22"/>
          <w:szCs w:val="22"/>
          <w:lang w:val="es-ES_tradnl"/>
        </w:rPr>
        <w:t xml:space="preserve">iii) </w:t>
      </w:r>
      <w:r w:rsidR="003C4317" w:rsidRPr="00A36636">
        <w:rPr>
          <w:rFonts w:ascii="Arial" w:eastAsia="Calibri" w:hAnsi="Arial" w:cs="Arial"/>
          <w:color w:val="000000" w:themeColor="text1"/>
          <w:sz w:val="22"/>
          <w:szCs w:val="22"/>
          <w:lang w:val="es-ES_tradnl"/>
        </w:rPr>
        <w:t xml:space="preserve">forma de </w:t>
      </w:r>
      <w:r w:rsidR="009D6909" w:rsidRPr="00A36636">
        <w:rPr>
          <w:rFonts w:ascii="Arial" w:eastAsia="Calibri" w:hAnsi="Arial" w:cs="Arial"/>
          <w:color w:val="000000" w:themeColor="text1"/>
          <w:sz w:val="22"/>
          <w:szCs w:val="22"/>
          <w:lang w:val="es-ES_tradnl"/>
        </w:rPr>
        <w:t>acreditación de los factores de desempate</w:t>
      </w:r>
      <w:r w:rsidR="003C4317" w:rsidRPr="00A36636">
        <w:rPr>
          <w:rFonts w:ascii="Arial" w:eastAsia="Calibri" w:hAnsi="Arial" w:cs="Arial"/>
          <w:color w:val="000000" w:themeColor="text1"/>
          <w:sz w:val="22"/>
          <w:szCs w:val="22"/>
          <w:lang w:val="es-ES_tradnl"/>
        </w:rPr>
        <w:t xml:space="preserve"> consagrados en el artículo 35 de la mencionada Ley.</w:t>
      </w:r>
    </w:p>
    <w:p w14:paraId="1144E6B3" w14:textId="212F35E1" w:rsidR="00C8331F" w:rsidRPr="00A36636" w:rsidRDefault="00EC1DAE" w:rsidP="00C8331F">
      <w:pPr>
        <w:spacing w:before="120" w:line="276" w:lineRule="auto"/>
        <w:ind w:firstLine="709"/>
        <w:jc w:val="both"/>
        <w:rPr>
          <w:rFonts w:ascii="Arial" w:eastAsia="Calibri" w:hAnsi="Arial" w:cs="Arial"/>
          <w:color w:val="000000" w:themeColor="text1"/>
          <w:sz w:val="22"/>
          <w:szCs w:val="22"/>
        </w:rPr>
      </w:pPr>
      <w:r w:rsidRPr="00A36636">
        <w:rPr>
          <w:rFonts w:ascii="Arial" w:eastAsia="Calibri" w:hAnsi="Arial" w:cs="Arial"/>
          <w:color w:val="000000" w:themeColor="text1"/>
          <w:sz w:val="22"/>
          <w:szCs w:val="22"/>
          <w:lang w:val="es-ES_tradnl"/>
        </w:rPr>
        <w:t>E</w:t>
      </w:r>
      <w:r w:rsidR="00C8331F" w:rsidRPr="00A36636">
        <w:rPr>
          <w:rFonts w:ascii="Arial" w:eastAsia="Calibri" w:hAnsi="Arial" w:cs="Arial"/>
          <w:color w:val="000000" w:themeColor="text1"/>
          <w:sz w:val="22"/>
          <w:szCs w:val="22"/>
          <w:lang w:val="es-ES_tradnl"/>
        </w:rPr>
        <w:t>s importante destacar que la Agencia Nacional de Contratación Pública</w:t>
      </w:r>
      <w:r w:rsidRPr="00A36636">
        <w:rPr>
          <w:rFonts w:ascii="Arial" w:eastAsia="Calibri" w:hAnsi="Arial" w:cs="Arial"/>
          <w:color w:val="000000" w:themeColor="text1"/>
          <w:sz w:val="22"/>
          <w:szCs w:val="22"/>
          <w:lang w:val="es-ES_tradnl"/>
        </w:rPr>
        <w:t xml:space="preserve"> – Colombia Compra Eficiente se pronunció, en términos generales, sobre los factores de desempate en los procedimientos de contratación estatal</w:t>
      </w:r>
      <w:r w:rsidR="00442D13" w:rsidRPr="00A36636">
        <w:rPr>
          <w:rFonts w:ascii="Arial" w:eastAsia="Calibri" w:hAnsi="Arial" w:cs="Arial"/>
          <w:color w:val="000000" w:themeColor="text1"/>
          <w:sz w:val="22"/>
          <w:szCs w:val="22"/>
          <w:lang w:val="es-ES_tradnl"/>
        </w:rPr>
        <w:t>,</w:t>
      </w:r>
      <w:r w:rsidR="0091310F" w:rsidRPr="00A36636">
        <w:rPr>
          <w:rFonts w:ascii="Arial" w:eastAsia="Calibri" w:hAnsi="Arial" w:cs="Arial"/>
          <w:color w:val="000000" w:themeColor="text1"/>
          <w:sz w:val="22"/>
          <w:szCs w:val="22"/>
          <w:lang w:val="es-ES_tradnl"/>
        </w:rPr>
        <w:t xml:space="preserve"> en los conceptos C-285 del </w:t>
      </w:r>
      <w:r w:rsidR="00677212" w:rsidRPr="00A36636">
        <w:rPr>
          <w:rFonts w:ascii="Arial" w:eastAsia="Calibri" w:hAnsi="Arial" w:cs="Arial"/>
          <w:color w:val="000000" w:themeColor="text1"/>
          <w:sz w:val="22"/>
          <w:szCs w:val="22"/>
          <w:lang w:val="es-ES_tradnl"/>
        </w:rPr>
        <w:t>4</w:t>
      </w:r>
      <w:r w:rsidR="0091310F" w:rsidRPr="00A36636">
        <w:rPr>
          <w:rFonts w:ascii="Arial" w:eastAsia="Calibri" w:hAnsi="Arial" w:cs="Arial"/>
          <w:color w:val="000000" w:themeColor="text1"/>
          <w:sz w:val="22"/>
          <w:szCs w:val="22"/>
          <w:lang w:val="es-ES_tradnl"/>
        </w:rPr>
        <w:t xml:space="preserve"> de </w:t>
      </w:r>
      <w:r w:rsidR="00677212" w:rsidRPr="00A36636">
        <w:rPr>
          <w:rFonts w:ascii="Arial" w:eastAsia="Calibri" w:hAnsi="Arial" w:cs="Arial"/>
          <w:color w:val="000000" w:themeColor="text1"/>
          <w:sz w:val="22"/>
          <w:szCs w:val="22"/>
          <w:lang w:val="es-ES_tradnl"/>
        </w:rPr>
        <w:t>mayo</w:t>
      </w:r>
      <w:r w:rsidR="0091310F" w:rsidRPr="00A36636">
        <w:rPr>
          <w:rFonts w:ascii="Arial" w:eastAsia="Calibri" w:hAnsi="Arial" w:cs="Arial"/>
          <w:color w:val="000000" w:themeColor="text1"/>
          <w:sz w:val="22"/>
          <w:szCs w:val="22"/>
          <w:lang w:val="es-ES_tradnl"/>
        </w:rPr>
        <w:t xml:space="preserve"> de 2020, </w:t>
      </w:r>
      <w:r w:rsidR="006361C9" w:rsidRPr="00A36636">
        <w:rPr>
          <w:rFonts w:ascii="Arial" w:eastAsia="Calibri" w:hAnsi="Arial" w:cs="Arial"/>
          <w:color w:val="000000" w:themeColor="text1"/>
          <w:sz w:val="22"/>
          <w:szCs w:val="22"/>
          <w:lang w:val="es-ES_tradnl"/>
        </w:rPr>
        <w:lastRenderedPageBreak/>
        <w:t xml:space="preserve">C-481 del </w:t>
      </w:r>
      <w:r w:rsidR="004060DC" w:rsidRPr="00A36636">
        <w:rPr>
          <w:rFonts w:ascii="Arial" w:eastAsia="Calibri" w:hAnsi="Arial" w:cs="Arial"/>
          <w:color w:val="000000" w:themeColor="text1"/>
          <w:sz w:val="22"/>
          <w:szCs w:val="22"/>
          <w:lang w:val="es-ES_tradnl"/>
        </w:rPr>
        <w:t>27</w:t>
      </w:r>
      <w:r w:rsidR="00184219" w:rsidRPr="00A36636">
        <w:rPr>
          <w:rFonts w:ascii="Arial" w:eastAsia="Calibri" w:hAnsi="Arial" w:cs="Arial"/>
          <w:color w:val="000000" w:themeColor="text1"/>
          <w:sz w:val="22"/>
          <w:szCs w:val="22"/>
          <w:lang w:val="es-ES_tradnl"/>
        </w:rPr>
        <w:t xml:space="preserve"> de julio de 2020</w:t>
      </w:r>
      <w:r w:rsidR="006606A4" w:rsidRPr="00A36636">
        <w:rPr>
          <w:rFonts w:ascii="Arial" w:eastAsia="Calibri" w:hAnsi="Arial" w:cs="Arial"/>
          <w:color w:val="000000" w:themeColor="text1"/>
          <w:sz w:val="22"/>
          <w:szCs w:val="22"/>
          <w:lang w:val="es-ES_tradnl"/>
        </w:rPr>
        <w:t xml:space="preserve">, C-514 </w:t>
      </w:r>
      <w:r w:rsidR="002F7961" w:rsidRPr="00A36636">
        <w:rPr>
          <w:rFonts w:ascii="Arial" w:eastAsia="Calibri" w:hAnsi="Arial" w:cs="Arial"/>
          <w:color w:val="000000" w:themeColor="text1"/>
          <w:sz w:val="22"/>
          <w:szCs w:val="22"/>
          <w:lang w:val="es-ES_tradnl"/>
        </w:rPr>
        <w:t xml:space="preserve">y C-535 </w:t>
      </w:r>
      <w:r w:rsidR="006606A4" w:rsidRPr="00A36636">
        <w:rPr>
          <w:rFonts w:ascii="Arial" w:eastAsia="Calibri" w:hAnsi="Arial" w:cs="Arial"/>
          <w:color w:val="000000" w:themeColor="text1"/>
          <w:sz w:val="22"/>
          <w:szCs w:val="22"/>
          <w:lang w:val="es-ES_tradnl"/>
        </w:rPr>
        <w:t>del 26 de agosto de 2020</w:t>
      </w:r>
      <w:r w:rsidR="004060DC" w:rsidRPr="00A36636">
        <w:rPr>
          <w:rFonts w:ascii="Arial" w:eastAsia="Calibri" w:hAnsi="Arial" w:cs="Arial"/>
          <w:color w:val="000000" w:themeColor="text1"/>
          <w:sz w:val="22"/>
          <w:szCs w:val="22"/>
          <w:lang w:val="es-ES_tradnl"/>
        </w:rPr>
        <w:t xml:space="preserve"> y </w:t>
      </w:r>
      <w:r w:rsidR="00F96079" w:rsidRPr="00A36636">
        <w:rPr>
          <w:rFonts w:ascii="Arial" w:eastAsia="Calibri" w:hAnsi="Arial" w:cs="Arial"/>
          <w:color w:val="000000" w:themeColor="text1"/>
          <w:sz w:val="22"/>
          <w:szCs w:val="22"/>
          <w:lang w:val="es-ES_tradnl"/>
        </w:rPr>
        <w:t xml:space="preserve">C-556 del </w:t>
      </w:r>
      <w:r w:rsidR="00E820F4" w:rsidRPr="00A36636">
        <w:rPr>
          <w:rFonts w:ascii="Arial" w:eastAsia="Calibri" w:hAnsi="Arial" w:cs="Arial"/>
          <w:color w:val="000000" w:themeColor="text1"/>
          <w:sz w:val="22"/>
          <w:szCs w:val="22"/>
          <w:lang w:val="es-ES_tradnl"/>
        </w:rPr>
        <w:t>31 de agosto de 2020</w:t>
      </w:r>
      <w:r w:rsidR="004060DC" w:rsidRPr="00A36636">
        <w:rPr>
          <w:rFonts w:ascii="Arial" w:eastAsia="Calibri" w:hAnsi="Arial" w:cs="Arial"/>
          <w:color w:val="000000" w:themeColor="text1"/>
          <w:sz w:val="22"/>
          <w:szCs w:val="22"/>
          <w:lang w:val="es-ES_tradnl"/>
        </w:rPr>
        <w:t xml:space="preserve">. </w:t>
      </w:r>
      <w:r w:rsidR="001A04E2" w:rsidRPr="00A36636">
        <w:rPr>
          <w:rFonts w:ascii="Arial" w:eastAsia="Calibri" w:hAnsi="Arial" w:cs="Arial"/>
          <w:color w:val="000000" w:themeColor="text1"/>
          <w:sz w:val="22"/>
          <w:szCs w:val="22"/>
          <w:lang w:val="es-ES_tradnl"/>
        </w:rPr>
        <w:t xml:space="preserve">De igual manera, en los conceptos C-009, C-012, C-013, C-015, C-016, C-026 del 04 de febrero de 2021, C-006 del 5 de febrero de 2021, C-043 del 9 de febrero de 2021,C-008 del 16 de febrero de 2021, C-081, C-087 y C-089 del 23 de febrero de 2021, C-044 del de marzo de 2021, C-056 del 8 de marzo de 2021 y C‒055 del 10 de marzo de 2021 se estudiaron los factores de desempate del artículo 35 de la Ley 2069 de 2020.  </w:t>
      </w:r>
      <w:r w:rsidR="002D6504" w:rsidRPr="00A36636">
        <w:rPr>
          <w:rFonts w:ascii="Arial" w:eastAsia="Calibri" w:hAnsi="Arial" w:cs="Arial"/>
          <w:color w:val="000000" w:themeColor="text1"/>
          <w:sz w:val="22"/>
          <w:szCs w:val="22"/>
          <w:lang w:val="es-ES_tradnl"/>
        </w:rPr>
        <w:t>Algunas de las consideraciones de estos conceptos se reiteran a continuación.</w:t>
      </w:r>
    </w:p>
    <w:p w14:paraId="331D0ECA" w14:textId="77777777" w:rsidR="003C4317" w:rsidRPr="00A36636" w:rsidRDefault="003C4317" w:rsidP="00271230">
      <w:pPr>
        <w:spacing w:line="276" w:lineRule="auto"/>
        <w:jc w:val="both"/>
        <w:rPr>
          <w:rFonts w:ascii="Arial" w:eastAsia="Calibri" w:hAnsi="Arial" w:cs="Arial"/>
          <w:color w:val="000000" w:themeColor="text1"/>
          <w:sz w:val="22"/>
          <w:szCs w:val="22"/>
          <w:lang w:val="es-ES_tradnl"/>
        </w:rPr>
      </w:pPr>
    </w:p>
    <w:p w14:paraId="21EF0583" w14:textId="77777777" w:rsidR="00A96C6A" w:rsidRPr="00A36636" w:rsidRDefault="00A96C6A" w:rsidP="00A96C6A">
      <w:pPr>
        <w:spacing w:line="276" w:lineRule="auto"/>
        <w:jc w:val="both"/>
        <w:rPr>
          <w:rFonts w:ascii="Arial" w:eastAsia="Calibri" w:hAnsi="Arial" w:cs="Arial"/>
          <w:b/>
          <w:bCs/>
          <w:color w:val="000000" w:themeColor="text1"/>
          <w:sz w:val="22"/>
          <w:szCs w:val="22"/>
          <w:lang w:val="es-ES_tradnl"/>
        </w:rPr>
      </w:pPr>
      <w:r w:rsidRPr="00A36636">
        <w:rPr>
          <w:rFonts w:ascii="Arial" w:eastAsia="Calibri" w:hAnsi="Arial" w:cs="Arial"/>
          <w:b/>
          <w:bCs/>
          <w:color w:val="000000" w:themeColor="text1"/>
          <w:sz w:val="22"/>
          <w:szCs w:val="22"/>
          <w:lang w:val="es-ES_tradnl"/>
        </w:rPr>
        <w:t>2.1. Factores de desempate en la contratación estatal: concepto y características</w:t>
      </w:r>
    </w:p>
    <w:p w14:paraId="69B32C0F" w14:textId="77777777" w:rsidR="00A96C6A" w:rsidRPr="00A36636" w:rsidRDefault="00A96C6A" w:rsidP="00A96C6A">
      <w:pPr>
        <w:spacing w:line="276" w:lineRule="auto"/>
        <w:jc w:val="both"/>
        <w:rPr>
          <w:rFonts w:ascii="Arial" w:eastAsia="Calibri" w:hAnsi="Arial" w:cs="Arial"/>
          <w:color w:val="000000" w:themeColor="text1"/>
          <w:sz w:val="22"/>
          <w:szCs w:val="22"/>
          <w:lang w:val="es-ES_tradnl"/>
        </w:rPr>
      </w:pPr>
    </w:p>
    <w:p w14:paraId="19AE2181" w14:textId="77777777" w:rsidR="00A96C6A" w:rsidRPr="00A36636" w:rsidRDefault="00A96C6A" w:rsidP="00A96C6A">
      <w:pPr>
        <w:spacing w:line="276" w:lineRule="auto"/>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48481479" w14:textId="77777777" w:rsidR="00A96C6A" w:rsidRPr="00A36636" w:rsidRDefault="00A96C6A" w:rsidP="00A96C6A">
      <w:pPr>
        <w:spacing w:before="120" w:line="276" w:lineRule="auto"/>
        <w:ind w:firstLine="709"/>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10465228" w14:textId="77777777" w:rsidR="00A96C6A" w:rsidRPr="00A36636" w:rsidRDefault="00A96C6A" w:rsidP="00A96C6A">
      <w:pPr>
        <w:spacing w:before="120" w:line="276" w:lineRule="auto"/>
        <w:ind w:firstLine="709"/>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w:t>
      </w:r>
      <w:r w:rsidRPr="00A36636">
        <w:rPr>
          <w:rFonts w:ascii="Arial" w:eastAsia="Calibri" w:hAnsi="Arial" w:cs="Arial"/>
          <w:color w:val="000000" w:themeColor="text1"/>
          <w:sz w:val="22"/>
          <w:szCs w:val="22"/>
          <w:lang w:val="es-ES_tradnl"/>
        </w:rPr>
        <w:lastRenderedPageBreak/>
        <w:t>de la Ley 2069 de 2020. La jurisprudencia comparte la idea de que los criterios de desempate deben estar establecidos de antemano y constituyen un límite a la discrecionalidad administrativa en los procedimientos de selección</w:t>
      </w:r>
      <w:r w:rsidRPr="00A36636">
        <w:rPr>
          <w:rStyle w:val="Refdenotaalpie"/>
          <w:rFonts w:ascii="Arial" w:hAnsi="Arial" w:cs="Arial"/>
          <w:sz w:val="21"/>
          <w:szCs w:val="21"/>
          <w:lang w:val="es-ES_tradnl"/>
        </w:rPr>
        <w:footnoteReference w:id="2"/>
      </w:r>
      <w:r w:rsidRPr="00A36636">
        <w:rPr>
          <w:rFonts w:ascii="Arial" w:eastAsia="Calibri" w:hAnsi="Arial" w:cs="Arial"/>
          <w:color w:val="000000" w:themeColor="text1"/>
          <w:sz w:val="22"/>
          <w:szCs w:val="22"/>
          <w:lang w:val="es-ES_tradnl"/>
        </w:rPr>
        <w:t xml:space="preserve">. </w:t>
      </w:r>
    </w:p>
    <w:p w14:paraId="74CA8718" w14:textId="77777777" w:rsidR="00A96C6A" w:rsidRPr="00A36636" w:rsidRDefault="00A96C6A" w:rsidP="00A96C6A">
      <w:pPr>
        <w:spacing w:before="120" w:line="276" w:lineRule="auto"/>
        <w:ind w:firstLine="709"/>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A36636">
        <w:rPr>
          <w:rStyle w:val="Refdenotaalpie"/>
          <w:rFonts w:ascii="Arial" w:eastAsia="Calibri" w:hAnsi="Arial" w:cs="Arial"/>
          <w:color w:val="000000" w:themeColor="text1"/>
          <w:sz w:val="22"/>
          <w:szCs w:val="22"/>
          <w:lang w:val="es-ES_tradnl"/>
        </w:rPr>
        <w:footnoteReference w:id="3"/>
      </w:r>
      <w:r w:rsidRPr="00A36636">
        <w:rPr>
          <w:rFonts w:ascii="Arial" w:eastAsia="Calibri" w:hAnsi="Arial" w:cs="Arial"/>
          <w:color w:val="000000" w:themeColor="text1"/>
          <w:sz w:val="22"/>
          <w:szCs w:val="22"/>
          <w:lang w:val="es-ES_tradnl"/>
        </w:rPr>
        <w:t>. Más aún, el Consejo de Estado ha señalado que contrariar los factores de desempate genera la nulidad del contrato, conforme al artículo 44, inciso 1º de la Ley 80 de 1993</w:t>
      </w:r>
      <w:r w:rsidRPr="00A36636">
        <w:rPr>
          <w:rStyle w:val="Refdenotaalpie"/>
          <w:rFonts w:ascii="Arial" w:eastAsia="Calibri" w:hAnsi="Arial" w:cs="Arial"/>
          <w:color w:val="000000" w:themeColor="text1"/>
          <w:sz w:val="22"/>
          <w:szCs w:val="22"/>
          <w:lang w:val="es-ES_tradnl"/>
        </w:rPr>
        <w:footnoteReference w:id="4"/>
      </w:r>
      <w:r w:rsidRPr="00A36636">
        <w:rPr>
          <w:rFonts w:ascii="Arial" w:eastAsia="Calibri" w:hAnsi="Arial" w:cs="Arial"/>
          <w:color w:val="000000" w:themeColor="text1"/>
          <w:sz w:val="22"/>
          <w:szCs w:val="22"/>
          <w:lang w:val="es-ES_tradnl"/>
        </w:rPr>
        <w:t>.</w:t>
      </w:r>
    </w:p>
    <w:p w14:paraId="18AD9743" w14:textId="77777777" w:rsidR="00A96C6A" w:rsidRPr="00A36636" w:rsidRDefault="00A96C6A" w:rsidP="00A96C6A">
      <w:pPr>
        <w:spacing w:before="120" w:line="276" w:lineRule="auto"/>
        <w:ind w:firstLine="709"/>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 xml:space="preserve">Ahora bien, en cumplimiento de los principios de reciprocidad y de </w:t>
      </w:r>
      <w:r w:rsidRPr="00A36636">
        <w:rPr>
          <w:rFonts w:ascii="Arial" w:eastAsia="Calibri" w:hAnsi="Arial" w:cs="Arial"/>
          <w:i/>
          <w:iCs/>
          <w:color w:val="000000" w:themeColor="text1"/>
          <w:sz w:val="22"/>
          <w:szCs w:val="22"/>
          <w:lang w:val="es-ES_tradnl"/>
        </w:rPr>
        <w:t xml:space="preserve">pacta </w:t>
      </w:r>
      <w:proofErr w:type="spellStart"/>
      <w:r w:rsidRPr="00A36636">
        <w:rPr>
          <w:rFonts w:ascii="Arial" w:eastAsia="Calibri" w:hAnsi="Arial" w:cs="Arial"/>
          <w:i/>
          <w:iCs/>
          <w:color w:val="000000" w:themeColor="text1"/>
          <w:sz w:val="22"/>
          <w:szCs w:val="22"/>
          <w:lang w:val="es-ES_tradnl"/>
        </w:rPr>
        <w:t>sunt</w:t>
      </w:r>
      <w:proofErr w:type="spellEnd"/>
      <w:r w:rsidRPr="00A36636">
        <w:rPr>
          <w:rFonts w:ascii="Arial" w:eastAsia="Calibri" w:hAnsi="Arial" w:cs="Arial"/>
          <w:i/>
          <w:iCs/>
          <w:color w:val="000000" w:themeColor="text1"/>
          <w:sz w:val="22"/>
          <w:szCs w:val="22"/>
          <w:lang w:val="es-ES_tradnl"/>
        </w:rPr>
        <w:t xml:space="preserve"> </w:t>
      </w:r>
      <w:proofErr w:type="spellStart"/>
      <w:r w:rsidRPr="00A36636">
        <w:rPr>
          <w:rFonts w:ascii="Arial" w:eastAsia="Calibri" w:hAnsi="Arial" w:cs="Arial"/>
          <w:i/>
          <w:iCs/>
          <w:color w:val="000000" w:themeColor="text1"/>
          <w:sz w:val="22"/>
          <w:szCs w:val="22"/>
          <w:lang w:val="es-ES_tradnl"/>
        </w:rPr>
        <w:t>servanda</w:t>
      </w:r>
      <w:proofErr w:type="spellEnd"/>
      <w:r w:rsidRPr="00A36636">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56909C69" w14:textId="77777777" w:rsidR="00A96C6A" w:rsidRPr="00A36636" w:rsidRDefault="00A96C6A" w:rsidP="00A96C6A">
      <w:pPr>
        <w:spacing w:line="276" w:lineRule="auto"/>
        <w:rPr>
          <w:rFonts w:ascii="Arial" w:eastAsia="Calibri" w:hAnsi="Arial" w:cs="Arial"/>
          <w:color w:val="000000" w:themeColor="text1"/>
          <w:sz w:val="22"/>
          <w:szCs w:val="22"/>
          <w:lang w:val="es-ES_tradnl"/>
        </w:rPr>
      </w:pPr>
    </w:p>
    <w:p w14:paraId="04CD5565" w14:textId="77777777" w:rsidR="00A96C6A" w:rsidRPr="00A36636" w:rsidRDefault="00A96C6A" w:rsidP="00A96C6A">
      <w:pPr>
        <w:spacing w:line="276" w:lineRule="auto"/>
        <w:jc w:val="both"/>
        <w:rPr>
          <w:rFonts w:ascii="Arial" w:eastAsia="Calibri" w:hAnsi="Arial" w:cs="Arial"/>
          <w:b/>
          <w:bCs/>
          <w:color w:val="000000" w:themeColor="text1"/>
          <w:sz w:val="22"/>
          <w:szCs w:val="22"/>
          <w:lang w:val="es-ES_tradnl"/>
        </w:rPr>
      </w:pPr>
      <w:r w:rsidRPr="00A36636">
        <w:rPr>
          <w:rFonts w:ascii="Arial" w:eastAsia="Calibri" w:hAnsi="Arial" w:cs="Arial"/>
          <w:b/>
          <w:bCs/>
          <w:color w:val="000000" w:themeColor="text1"/>
          <w:sz w:val="22"/>
          <w:szCs w:val="22"/>
          <w:lang w:val="es-ES_tradnl"/>
        </w:rPr>
        <w:t>2.2. Vigencia y ámbito de aplicación de la Ley 2069 de 2020</w:t>
      </w:r>
    </w:p>
    <w:p w14:paraId="5451B0B9" w14:textId="77777777" w:rsidR="00A96C6A" w:rsidRPr="00A36636" w:rsidRDefault="00A96C6A" w:rsidP="00A96C6A">
      <w:pPr>
        <w:spacing w:line="276" w:lineRule="auto"/>
        <w:jc w:val="both"/>
        <w:rPr>
          <w:rFonts w:ascii="Arial" w:eastAsia="Calibri" w:hAnsi="Arial" w:cs="Arial"/>
          <w:color w:val="000000" w:themeColor="text1"/>
          <w:sz w:val="22"/>
          <w:szCs w:val="22"/>
          <w:lang w:val="es-ES_tradnl"/>
        </w:rPr>
      </w:pPr>
    </w:p>
    <w:p w14:paraId="5CF5896A" w14:textId="77777777" w:rsidR="00A96C6A" w:rsidRPr="00A36636" w:rsidRDefault="00A96C6A" w:rsidP="00A96C6A">
      <w:pPr>
        <w:spacing w:line="276" w:lineRule="auto"/>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52A58A0A" w14:textId="77777777" w:rsidR="00A96C6A" w:rsidRPr="00A36636" w:rsidRDefault="00A96C6A" w:rsidP="00A96C6A">
      <w:pPr>
        <w:spacing w:before="120" w:line="276" w:lineRule="auto"/>
        <w:ind w:firstLine="709"/>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 xml:space="preserve">En cuanto a su contenido, es importante señalar que, como dispone el artículo 1, aquella «tiene por objeto establecer un marco regulatorio que propicie el emprendimiento y </w:t>
      </w:r>
      <w:r w:rsidRPr="00A36636">
        <w:rPr>
          <w:rFonts w:ascii="Arial" w:eastAsia="Calibri" w:hAnsi="Arial" w:cs="Arial"/>
          <w:color w:val="000000" w:themeColor="text1"/>
          <w:sz w:val="22"/>
          <w:szCs w:val="22"/>
          <w:lang w:val="es-ES_tradnl"/>
        </w:rPr>
        <w:lastRenderedPageBreak/>
        <w:t>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A36636">
        <w:rPr>
          <w:rFonts w:ascii="Arial" w:eastAsia="Calibri" w:hAnsi="Arial" w:cs="Arial"/>
          <w:color w:val="000000" w:themeColor="text1"/>
          <w:sz w:val="22"/>
          <w:szCs w:val="22"/>
          <w:lang w:val="es-ES_tradnl"/>
        </w:rPr>
        <w:t>mipymes</w:t>
      </w:r>
      <w:proofErr w:type="spellEnd"/>
      <w:r w:rsidRPr="00A36636">
        <w:rPr>
          <w:rFonts w:ascii="Arial" w:eastAsia="Calibri" w:hAnsi="Arial" w:cs="Arial"/>
          <w:color w:val="000000" w:themeColor="text1"/>
          <w:sz w:val="22"/>
          <w:szCs w:val="22"/>
          <w:lang w:val="es-ES_tradnl"/>
        </w:rPr>
        <w:t>–, mediante la racionalización y simplificación de los trámites y tarifas</w:t>
      </w:r>
      <w:r w:rsidRPr="00A36636">
        <w:rPr>
          <w:rStyle w:val="Refdenotaalpie"/>
          <w:rFonts w:ascii="Arial" w:eastAsia="Calibri" w:hAnsi="Arial" w:cs="Arial"/>
          <w:color w:val="000000" w:themeColor="text1"/>
          <w:sz w:val="22"/>
          <w:szCs w:val="22"/>
          <w:lang w:val="es-ES_tradnl"/>
        </w:rPr>
        <w:footnoteReference w:id="5"/>
      </w:r>
      <w:r w:rsidRPr="00A36636">
        <w:rPr>
          <w:rFonts w:ascii="Arial" w:eastAsia="Calibri" w:hAnsi="Arial" w:cs="Arial"/>
          <w:color w:val="000000" w:themeColor="text1"/>
          <w:sz w:val="22"/>
          <w:szCs w:val="22"/>
          <w:lang w:val="es-ES_tradnl"/>
        </w:rPr>
        <w:t>, así como incentivos a favor de aquellas dentro del sistema de compras y contratación pública</w:t>
      </w:r>
      <w:r w:rsidRPr="00A36636">
        <w:rPr>
          <w:rStyle w:val="Refdenotaalpie"/>
          <w:rFonts w:ascii="Arial" w:eastAsia="Calibri" w:hAnsi="Arial" w:cs="Arial"/>
          <w:color w:val="000000" w:themeColor="text1"/>
          <w:sz w:val="22"/>
          <w:szCs w:val="22"/>
          <w:lang w:val="es-ES_tradnl"/>
        </w:rPr>
        <w:footnoteReference w:id="6"/>
      </w:r>
      <w:r w:rsidRPr="00A36636">
        <w:rPr>
          <w:rFonts w:ascii="Arial" w:eastAsia="Calibri" w:hAnsi="Arial" w:cs="Arial"/>
          <w:color w:val="000000" w:themeColor="text1"/>
          <w:sz w:val="22"/>
          <w:szCs w:val="22"/>
          <w:lang w:val="es-ES_tradnl"/>
        </w:rPr>
        <w:t>. De igual forma, se consagran mecanismos de acceso al financiamiento</w:t>
      </w:r>
      <w:r w:rsidRPr="00A36636">
        <w:rPr>
          <w:rStyle w:val="Refdenotaalpie"/>
          <w:rFonts w:ascii="Arial" w:eastAsia="Calibri" w:hAnsi="Arial" w:cs="Arial"/>
          <w:color w:val="000000" w:themeColor="text1"/>
          <w:sz w:val="22"/>
          <w:szCs w:val="22"/>
          <w:lang w:val="es-ES_tradnl"/>
        </w:rPr>
        <w:footnoteReference w:id="7"/>
      </w:r>
      <w:r w:rsidRPr="00A36636">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A36636">
        <w:rPr>
          <w:rStyle w:val="Refdenotaalpie"/>
          <w:rFonts w:ascii="Arial" w:eastAsia="Calibri" w:hAnsi="Arial" w:cs="Arial"/>
          <w:color w:val="000000" w:themeColor="text1"/>
          <w:sz w:val="22"/>
          <w:szCs w:val="22"/>
          <w:lang w:val="es-ES_tradnl"/>
        </w:rPr>
        <w:footnoteReference w:id="8"/>
      </w:r>
      <w:r w:rsidRPr="00A36636">
        <w:rPr>
          <w:rFonts w:ascii="Arial" w:eastAsia="Calibri" w:hAnsi="Arial" w:cs="Arial"/>
          <w:color w:val="000000" w:themeColor="text1"/>
          <w:sz w:val="22"/>
          <w:szCs w:val="22"/>
          <w:lang w:val="es-ES_tradnl"/>
        </w:rPr>
        <w:t xml:space="preserve"> y se prevén medidas de educación para el emprendimiento y la innovación</w:t>
      </w:r>
      <w:r w:rsidRPr="00A36636">
        <w:rPr>
          <w:rStyle w:val="Refdenotaalpie"/>
          <w:rFonts w:ascii="Arial" w:eastAsia="Calibri" w:hAnsi="Arial" w:cs="Arial"/>
          <w:color w:val="000000" w:themeColor="text1"/>
          <w:sz w:val="22"/>
          <w:szCs w:val="22"/>
          <w:lang w:val="es-ES_tradnl"/>
        </w:rPr>
        <w:footnoteReference w:id="9"/>
      </w:r>
      <w:r w:rsidRPr="00A36636">
        <w:rPr>
          <w:rFonts w:ascii="Arial" w:eastAsia="Calibri" w:hAnsi="Arial" w:cs="Arial"/>
          <w:color w:val="000000" w:themeColor="text1"/>
          <w:sz w:val="22"/>
          <w:szCs w:val="22"/>
          <w:lang w:val="es-ES_tradnl"/>
        </w:rPr>
        <w:t>.</w:t>
      </w:r>
    </w:p>
    <w:p w14:paraId="748F81E7" w14:textId="2061C682" w:rsidR="00EA0455" w:rsidRPr="00A36636" w:rsidRDefault="00A96C6A" w:rsidP="00177B3E">
      <w:pPr>
        <w:spacing w:before="120" w:line="276" w:lineRule="auto"/>
        <w:ind w:firstLine="708"/>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A36636">
        <w:rPr>
          <w:rFonts w:ascii="Arial" w:eastAsia="Calibri" w:hAnsi="Arial" w:cs="Arial"/>
          <w:color w:val="000000" w:themeColor="text1"/>
          <w:sz w:val="22"/>
          <w:szCs w:val="22"/>
          <w:lang w:val="es-ES_tradnl"/>
        </w:rPr>
        <w:t>mipymes</w:t>
      </w:r>
      <w:proofErr w:type="spellEnd"/>
      <w:r w:rsidRPr="00A36636">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A36636">
        <w:rPr>
          <w:rFonts w:ascii="Arial" w:eastAsia="Calibri" w:hAnsi="Arial" w:cs="Arial"/>
          <w:color w:val="000000" w:themeColor="text1"/>
          <w:sz w:val="22"/>
          <w:szCs w:val="22"/>
          <w:lang w:val="es-ES_tradnl"/>
        </w:rPr>
        <w:t>mipymes</w:t>
      </w:r>
      <w:proofErr w:type="spellEnd"/>
      <w:r w:rsidRPr="00A36636">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A36636">
        <w:rPr>
          <w:rFonts w:ascii="Arial" w:eastAsia="Calibri" w:hAnsi="Arial" w:cs="Arial"/>
          <w:color w:val="000000" w:themeColor="text1"/>
          <w:sz w:val="22"/>
          <w:szCs w:val="22"/>
          <w:lang w:val="es-ES_tradnl"/>
        </w:rPr>
        <w:t>mipymes</w:t>
      </w:r>
      <w:proofErr w:type="spellEnd"/>
      <w:r w:rsidRPr="00A36636">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  </w:t>
      </w:r>
      <w:r w:rsidR="00EA0455" w:rsidRPr="00A36636">
        <w:rPr>
          <w:rFonts w:ascii="Arial" w:eastAsia="Calibri" w:hAnsi="Arial" w:cs="Arial"/>
          <w:color w:val="000000" w:themeColor="text1"/>
          <w:sz w:val="22"/>
          <w:szCs w:val="22"/>
          <w:lang w:val="es-ES_tradnl"/>
        </w:rPr>
        <w:t xml:space="preserve"> </w:t>
      </w:r>
    </w:p>
    <w:p w14:paraId="76F598EA" w14:textId="77777777" w:rsidR="006C189C" w:rsidRPr="00A36636" w:rsidRDefault="006C189C" w:rsidP="00833ADA">
      <w:pPr>
        <w:spacing w:line="276" w:lineRule="auto"/>
        <w:jc w:val="both"/>
        <w:rPr>
          <w:rFonts w:ascii="Arial" w:eastAsia="Calibri" w:hAnsi="Arial" w:cs="Arial"/>
          <w:color w:val="000000" w:themeColor="text1"/>
          <w:sz w:val="22"/>
          <w:szCs w:val="22"/>
          <w:lang w:val="es-ES_tradnl"/>
        </w:rPr>
      </w:pPr>
    </w:p>
    <w:p w14:paraId="2C2833A6" w14:textId="27D918F3" w:rsidR="00833ADA" w:rsidRPr="00A36636" w:rsidRDefault="00523F41" w:rsidP="00833ADA">
      <w:pPr>
        <w:spacing w:line="276" w:lineRule="auto"/>
        <w:jc w:val="both"/>
        <w:rPr>
          <w:rFonts w:ascii="Arial" w:eastAsia="Calibri" w:hAnsi="Arial" w:cs="Arial"/>
          <w:b/>
          <w:bCs/>
          <w:color w:val="000000" w:themeColor="text1"/>
          <w:sz w:val="22"/>
          <w:szCs w:val="22"/>
          <w:lang w:val="es-ES_tradnl"/>
        </w:rPr>
      </w:pPr>
      <w:r w:rsidRPr="00A36636">
        <w:rPr>
          <w:rFonts w:ascii="Arial" w:eastAsia="Calibri" w:hAnsi="Arial" w:cs="Arial"/>
          <w:b/>
          <w:bCs/>
          <w:color w:val="000000" w:themeColor="text1"/>
          <w:sz w:val="22"/>
          <w:szCs w:val="22"/>
          <w:lang w:val="es-ES_tradnl"/>
        </w:rPr>
        <w:t>2.3.</w:t>
      </w:r>
      <w:r w:rsidR="00833ADA" w:rsidRPr="00A36636">
        <w:rPr>
          <w:rFonts w:ascii="Arial" w:eastAsia="Calibri" w:hAnsi="Arial" w:cs="Arial"/>
          <w:b/>
          <w:bCs/>
          <w:color w:val="000000" w:themeColor="text1"/>
          <w:sz w:val="22"/>
          <w:szCs w:val="22"/>
          <w:lang w:val="es-ES_tradnl"/>
        </w:rPr>
        <w:t xml:space="preserve"> Forma de acreditación de los factores de desempate consagrados en el artículo 35 de la</w:t>
      </w:r>
      <w:r w:rsidR="00755229" w:rsidRPr="00A36636">
        <w:rPr>
          <w:rFonts w:ascii="Arial" w:eastAsia="Calibri" w:hAnsi="Arial" w:cs="Arial"/>
          <w:b/>
          <w:bCs/>
          <w:color w:val="000000" w:themeColor="text1"/>
          <w:sz w:val="22"/>
          <w:szCs w:val="22"/>
          <w:lang w:val="es-ES_tradnl"/>
        </w:rPr>
        <w:t xml:space="preserve"> Ley </w:t>
      </w:r>
      <w:r w:rsidR="007B209C" w:rsidRPr="00A36636">
        <w:rPr>
          <w:rFonts w:ascii="Arial" w:eastAsia="Calibri" w:hAnsi="Arial" w:cs="Arial"/>
          <w:b/>
          <w:bCs/>
          <w:color w:val="000000" w:themeColor="text1"/>
          <w:sz w:val="22"/>
          <w:szCs w:val="22"/>
          <w:lang w:val="es-ES_tradnl"/>
        </w:rPr>
        <w:t>2069</w:t>
      </w:r>
      <w:r w:rsidR="00755229" w:rsidRPr="00A36636">
        <w:rPr>
          <w:rFonts w:ascii="Arial" w:eastAsia="Calibri" w:hAnsi="Arial" w:cs="Arial"/>
          <w:b/>
          <w:bCs/>
          <w:color w:val="000000" w:themeColor="text1"/>
          <w:sz w:val="22"/>
          <w:szCs w:val="22"/>
          <w:lang w:val="es-ES_tradnl"/>
        </w:rPr>
        <w:t xml:space="preserve"> de 2020</w:t>
      </w:r>
    </w:p>
    <w:p w14:paraId="39B77F09" w14:textId="77777777" w:rsidR="00FC6DB9" w:rsidRPr="00A36636" w:rsidRDefault="00FC6DB9" w:rsidP="00271230">
      <w:pPr>
        <w:spacing w:line="276" w:lineRule="auto"/>
        <w:jc w:val="both"/>
        <w:rPr>
          <w:rFonts w:ascii="Arial" w:eastAsia="Calibri" w:hAnsi="Arial" w:cs="Arial"/>
          <w:color w:val="000000" w:themeColor="text1"/>
          <w:sz w:val="22"/>
          <w:szCs w:val="22"/>
          <w:lang w:val="es-ES_tradnl"/>
        </w:rPr>
      </w:pPr>
    </w:p>
    <w:p w14:paraId="28246740" w14:textId="1667AB7C" w:rsidR="00BD3AF1" w:rsidRPr="00A36636" w:rsidRDefault="00FC6DB9" w:rsidP="00271230">
      <w:pPr>
        <w:spacing w:line="276" w:lineRule="auto"/>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 xml:space="preserve">El artículo 35 de la Ley </w:t>
      </w:r>
      <w:r w:rsidR="007B209C" w:rsidRPr="00A36636">
        <w:rPr>
          <w:rFonts w:ascii="Arial" w:eastAsia="Calibri" w:hAnsi="Arial" w:cs="Arial"/>
          <w:color w:val="000000" w:themeColor="text1"/>
          <w:sz w:val="22"/>
          <w:szCs w:val="22"/>
          <w:lang w:val="es-ES_tradnl"/>
        </w:rPr>
        <w:t>2069</w:t>
      </w:r>
      <w:r w:rsidRPr="00A36636">
        <w:rPr>
          <w:rFonts w:ascii="Arial" w:eastAsia="Calibri" w:hAnsi="Arial" w:cs="Arial"/>
          <w:color w:val="000000" w:themeColor="text1"/>
          <w:sz w:val="22"/>
          <w:szCs w:val="22"/>
          <w:lang w:val="es-ES_tradnl"/>
        </w:rPr>
        <w:t xml:space="preserve"> de 2020</w:t>
      </w:r>
      <w:r w:rsidR="00486226" w:rsidRPr="00A36636">
        <w:rPr>
          <w:rFonts w:ascii="Arial" w:eastAsia="Calibri" w:hAnsi="Arial" w:cs="Arial"/>
          <w:color w:val="000000" w:themeColor="text1"/>
          <w:sz w:val="22"/>
          <w:szCs w:val="22"/>
          <w:lang w:val="es-ES_tradnl"/>
        </w:rPr>
        <w:t xml:space="preserve"> modifica la regulación de los </w:t>
      </w:r>
      <w:r w:rsidR="008F4163" w:rsidRPr="00A36636">
        <w:rPr>
          <w:rFonts w:ascii="Arial" w:eastAsia="Calibri" w:hAnsi="Arial" w:cs="Arial"/>
          <w:color w:val="000000" w:themeColor="text1"/>
          <w:sz w:val="22"/>
          <w:szCs w:val="22"/>
          <w:lang w:val="es-ES_tradnl"/>
        </w:rPr>
        <w:t>factores</w:t>
      </w:r>
      <w:r w:rsidR="00486226" w:rsidRPr="00A36636">
        <w:rPr>
          <w:rFonts w:ascii="Arial" w:eastAsia="Calibri" w:hAnsi="Arial" w:cs="Arial"/>
          <w:color w:val="000000" w:themeColor="text1"/>
          <w:sz w:val="22"/>
          <w:szCs w:val="22"/>
          <w:lang w:val="es-ES_tradnl"/>
        </w:rPr>
        <w:t xml:space="preserve"> de</w:t>
      </w:r>
      <w:r w:rsidR="008F4163" w:rsidRPr="00A36636">
        <w:rPr>
          <w:rFonts w:ascii="Arial" w:eastAsia="Calibri" w:hAnsi="Arial" w:cs="Arial"/>
          <w:color w:val="000000" w:themeColor="text1"/>
          <w:sz w:val="22"/>
          <w:szCs w:val="22"/>
          <w:lang w:val="es-ES_tradnl"/>
        </w:rPr>
        <w:t xml:space="preserve"> desempate en la contratación estatal. En consideración a que</w:t>
      </w:r>
      <w:r w:rsidR="006660F0" w:rsidRPr="00A36636">
        <w:rPr>
          <w:rFonts w:ascii="Arial" w:eastAsia="Calibri" w:hAnsi="Arial" w:cs="Arial"/>
          <w:color w:val="000000" w:themeColor="text1"/>
          <w:sz w:val="22"/>
          <w:szCs w:val="22"/>
          <w:lang w:val="es-ES_tradnl"/>
        </w:rPr>
        <w:t xml:space="preserve"> en la consulta se solicita que la Agencia Nacional de Contratación Pública – Colombia Compra Eficiente</w:t>
      </w:r>
      <w:r w:rsidR="00B6040C" w:rsidRPr="00A36636">
        <w:rPr>
          <w:rFonts w:ascii="Arial" w:eastAsia="Calibri" w:hAnsi="Arial" w:cs="Arial"/>
          <w:color w:val="000000" w:themeColor="text1"/>
          <w:sz w:val="22"/>
          <w:szCs w:val="22"/>
          <w:lang w:val="es-ES_tradnl"/>
        </w:rPr>
        <w:t xml:space="preserve"> </w:t>
      </w:r>
      <w:r w:rsidR="00087A64" w:rsidRPr="00A36636">
        <w:rPr>
          <w:rFonts w:ascii="Arial" w:eastAsia="Calibri" w:hAnsi="Arial" w:cs="Arial"/>
          <w:color w:val="000000" w:themeColor="text1"/>
          <w:sz w:val="22"/>
          <w:szCs w:val="22"/>
          <w:lang w:val="es-ES_tradnl"/>
        </w:rPr>
        <w:t xml:space="preserve">efectúe </w:t>
      </w:r>
      <w:r w:rsidR="00707A2E" w:rsidRPr="00A36636">
        <w:rPr>
          <w:rFonts w:ascii="Arial" w:eastAsia="Calibri" w:hAnsi="Arial" w:cs="Arial"/>
          <w:color w:val="000000" w:themeColor="text1"/>
          <w:sz w:val="22"/>
          <w:szCs w:val="22"/>
          <w:lang w:val="es-ES_tradnl"/>
        </w:rPr>
        <w:t xml:space="preserve">ciertas </w:t>
      </w:r>
      <w:r w:rsidR="00087A64" w:rsidRPr="00A36636">
        <w:rPr>
          <w:rFonts w:ascii="Arial" w:eastAsia="Calibri" w:hAnsi="Arial" w:cs="Arial"/>
          <w:color w:val="000000" w:themeColor="text1"/>
          <w:sz w:val="22"/>
          <w:szCs w:val="22"/>
          <w:lang w:val="es-ES_tradnl"/>
        </w:rPr>
        <w:t>precisiones hermenéuticas sobre</w:t>
      </w:r>
      <w:r w:rsidR="00707A2E" w:rsidRPr="00A36636">
        <w:rPr>
          <w:rFonts w:ascii="Arial" w:eastAsia="Calibri" w:hAnsi="Arial" w:cs="Arial"/>
          <w:color w:val="000000" w:themeColor="text1"/>
          <w:sz w:val="22"/>
          <w:szCs w:val="22"/>
          <w:lang w:val="es-ES_tradnl"/>
        </w:rPr>
        <w:t xml:space="preserve"> algunos numerales de dicho artículo</w:t>
      </w:r>
      <w:r w:rsidR="00B6040C" w:rsidRPr="00A36636">
        <w:rPr>
          <w:rFonts w:ascii="Arial" w:eastAsia="Calibri" w:hAnsi="Arial" w:cs="Arial"/>
          <w:color w:val="000000" w:themeColor="text1"/>
          <w:sz w:val="22"/>
          <w:szCs w:val="22"/>
          <w:lang w:val="es-ES_tradnl"/>
        </w:rPr>
        <w:t xml:space="preserve">, </w:t>
      </w:r>
      <w:r w:rsidR="00707A2E" w:rsidRPr="00A36636">
        <w:rPr>
          <w:rFonts w:ascii="Arial" w:eastAsia="Calibri" w:hAnsi="Arial" w:cs="Arial"/>
          <w:color w:val="000000" w:themeColor="text1"/>
          <w:sz w:val="22"/>
          <w:szCs w:val="22"/>
          <w:lang w:val="es-ES_tradnl"/>
        </w:rPr>
        <w:t>la</w:t>
      </w:r>
      <w:r w:rsidR="00BE0CDF" w:rsidRPr="00A36636">
        <w:rPr>
          <w:rFonts w:ascii="Arial" w:eastAsia="Calibri" w:hAnsi="Arial" w:cs="Arial"/>
          <w:color w:val="000000" w:themeColor="text1"/>
          <w:sz w:val="22"/>
          <w:szCs w:val="22"/>
          <w:lang w:val="es-ES_tradnl"/>
        </w:rPr>
        <w:t xml:space="preserve"> Subdirección de Gestión Contractual</w:t>
      </w:r>
      <w:r w:rsidR="00C438A2" w:rsidRPr="00A36636">
        <w:rPr>
          <w:rFonts w:ascii="Arial" w:eastAsia="Calibri" w:hAnsi="Arial" w:cs="Arial"/>
          <w:color w:val="000000" w:themeColor="text1"/>
          <w:sz w:val="22"/>
          <w:szCs w:val="22"/>
          <w:lang w:val="es-ES_tradnl"/>
        </w:rPr>
        <w:t xml:space="preserve"> </w:t>
      </w:r>
      <w:r w:rsidR="00707A2E" w:rsidRPr="00A36636">
        <w:rPr>
          <w:rFonts w:ascii="Arial" w:eastAsia="Calibri" w:hAnsi="Arial" w:cs="Arial"/>
          <w:color w:val="000000" w:themeColor="text1"/>
          <w:sz w:val="22"/>
          <w:szCs w:val="22"/>
          <w:lang w:val="es-ES_tradnl"/>
        </w:rPr>
        <w:t xml:space="preserve">se pronunciará sobre el </w:t>
      </w:r>
      <w:r w:rsidR="00AC5D9D" w:rsidRPr="00A36636">
        <w:rPr>
          <w:rFonts w:ascii="Arial" w:eastAsia="Calibri" w:hAnsi="Arial" w:cs="Arial"/>
          <w:color w:val="000000" w:themeColor="text1"/>
          <w:sz w:val="22"/>
          <w:szCs w:val="22"/>
          <w:lang w:val="es-ES_tradnl"/>
        </w:rPr>
        <w:t>alcance</w:t>
      </w:r>
      <w:r w:rsidR="00707A2E" w:rsidRPr="00A36636">
        <w:rPr>
          <w:rFonts w:ascii="Arial" w:eastAsia="Calibri" w:hAnsi="Arial" w:cs="Arial"/>
          <w:color w:val="000000" w:themeColor="text1"/>
          <w:sz w:val="22"/>
          <w:szCs w:val="22"/>
          <w:lang w:val="es-ES_tradnl"/>
        </w:rPr>
        <w:t xml:space="preserve"> que otorga a tales disposiciones</w:t>
      </w:r>
      <w:r w:rsidR="00193852" w:rsidRPr="00A36636">
        <w:rPr>
          <w:rFonts w:ascii="Arial" w:eastAsia="Calibri" w:hAnsi="Arial" w:cs="Arial"/>
          <w:color w:val="000000" w:themeColor="text1"/>
          <w:sz w:val="22"/>
          <w:szCs w:val="22"/>
          <w:lang w:val="es-ES_tradnl"/>
        </w:rPr>
        <w:t>. Esto</w:t>
      </w:r>
      <w:r w:rsidR="00BE0CDF" w:rsidRPr="00A36636">
        <w:rPr>
          <w:rFonts w:ascii="Arial" w:eastAsia="Calibri" w:hAnsi="Arial" w:cs="Arial"/>
          <w:color w:val="000000" w:themeColor="text1"/>
          <w:sz w:val="22"/>
          <w:szCs w:val="22"/>
          <w:lang w:val="es-ES_tradnl"/>
        </w:rPr>
        <w:t xml:space="preserve"> sin pasar </w:t>
      </w:r>
      <w:r w:rsidR="00BE0CDF" w:rsidRPr="00A36636">
        <w:rPr>
          <w:rFonts w:ascii="Arial" w:eastAsia="Calibri" w:hAnsi="Arial" w:cs="Arial"/>
          <w:color w:val="000000" w:themeColor="text1"/>
          <w:sz w:val="22"/>
          <w:szCs w:val="22"/>
          <w:lang w:val="es-ES_tradnl"/>
        </w:rPr>
        <w:lastRenderedPageBreak/>
        <w:t xml:space="preserve">por alto la novedad de </w:t>
      </w:r>
      <w:r w:rsidR="00F92FC1" w:rsidRPr="00A36636">
        <w:rPr>
          <w:rFonts w:ascii="Arial" w:eastAsia="Calibri" w:hAnsi="Arial" w:cs="Arial"/>
          <w:color w:val="000000" w:themeColor="text1"/>
          <w:sz w:val="22"/>
          <w:szCs w:val="22"/>
          <w:lang w:val="es-ES_tradnl"/>
        </w:rPr>
        <w:t xml:space="preserve">la Ley </w:t>
      </w:r>
      <w:r w:rsidR="007B209C" w:rsidRPr="00A36636">
        <w:rPr>
          <w:rFonts w:ascii="Arial" w:eastAsia="Calibri" w:hAnsi="Arial" w:cs="Arial"/>
          <w:color w:val="000000" w:themeColor="text1"/>
          <w:sz w:val="22"/>
          <w:szCs w:val="22"/>
          <w:lang w:val="es-ES_tradnl"/>
        </w:rPr>
        <w:t>2069</w:t>
      </w:r>
      <w:r w:rsidR="00F92FC1" w:rsidRPr="00A36636">
        <w:rPr>
          <w:rFonts w:ascii="Arial" w:eastAsia="Calibri" w:hAnsi="Arial" w:cs="Arial"/>
          <w:color w:val="000000" w:themeColor="text1"/>
          <w:sz w:val="22"/>
          <w:szCs w:val="22"/>
          <w:lang w:val="es-ES_tradnl"/>
        </w:rPr>
        <w:t xml:space="preserve"> de 2020</w:t>
      </w:r>
      <w:r w:rsidR="00963550" w:rsidRPr="00A36636">
        <w:rPr>
          <w:rFonts w:ascii="Arial" w:eastAsia="Calibri" w:hAnsi="Arial" w:cs="Arial"/>
          <w:color w:val="000000" w:themeColor="text1"/>
          <w:sz w:val="22"/>
          <w:szCs w:val="22"/>
          <w:lang w:val="es-ES_tradnl"/>
        </w:rPr>
        <w:t xml:space="preserve"> –dada su reciente entrada en vigencia–</w:t>
      </w:r>
      <w:r w:rsidR="00BE0CDF" w:rsidRPr="00A36636">
        <w:rPr>
          <w:rFonts w:ascii="Arial" w:eastAsia="Calibri" w:hAnsi="Arial" w:cs="Arial"/>
          <w:color w:val="000000" w:themeColor="text1"/>
          <w:sz w:val="22"/>
          <w:szCs w:val="22"/>
          <w:lang w:val="es-ES_tradnl"/>
        </w:rPr>
        <w:t xml:space="preserve"> y la ausencia de </w:t>
      </w:r>
      <w:r w:rsidR="00963550" w:rsidRPr="00A36636">
        <w:rPr>
          <w:rFonts w:ascii="Arial" w:eastAsia="Calibri" w:hAnsi="Arial" w:cs="Arial"/>
          <w:color w:val="000000" w:themeColor="text1"/>
          <w:sz w:val="22"/>
          <w:szCs w:val="22"/>
          <w:lang w:val="es-ES_tradnl"/>
        </w:rPr>
        <w:t>pronunciamientos jurisprudenciales</w:t>
      </w:r>
      <w:r w:rsidR="00BE0CDF" w:rsidRPr="00A36636">
        <w:rPr>
          <w:rFonts w:ascii="Arial" w:eastAsia="Calibri" w:hAnsi="Arial" w:cs="Arial"/>
          <w:color w:val="000000" w:themeColor="text1"/>
          <w:sz w:val="22"/>
          <w:szCs w:val="22"/>
          <w:lang w:val="es-ES_tradnl"/>
        </w:rPr>
        <w:t xml:space="preserve"> o estudios doctrinarios</w:t>
      </w:r>
      <w:r w:rsidR="00963550" w:rsidRPr="00A36636">
        <w:rPr>
          <w:rFonts w:ascii="Arial" w:eastAsia="Calibri" w:hAnsi="Arial" w:cs="Arial"/>
          <w:color w:val="000000" w:themeColor="text1"/>
          <w:sz w:val="22"/>
          <w:szCs w:val="22"/>
          <w:lang w:val="es-ES_tradnl"/>
        </w:rPr>
        <w:t xml:space="preserve"> sobre el tema</w:t>
      </w:r>
      <w:r w:rsidR="00545997" w:rsidRPr="00A36636">
        <w:rPr>
          <w:rFonts w:ascii="Arial" w:eastAsia="Calibri" w:hAnsi="Arial" w:cs="Arial"/>
          <w:color w:val="000000" w:themeColor="text1"/>
          <w:sz w:val="22"/>
          <w:szCs w:val="22"/>
          <w:lang w:val="es-ES_tradnl"/>
        </w:rPr>
        <w:t>, que seguramente contribuirán a decantar la interpretación de las normas en comento.</w:t>
      </w:r>
    </w:p>
    <w:p w14:paraId="3BBAF618" w14:textId="4E98FF73" w:rsidR="005359BF" w:rsidRPr="00A36636" w:rsidRDefault="005359BF" w:rsidP="005359BF">
      <w:pPr>
        <w:spacing w:before="120" w:line="276" w:lineRule="auto"/>
        <w:ind w:firstLine="709"/>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 xml:space="preserve">Al respecto, </w:t>
      </w:r>
      <w:r w:rsidRPr="00A36636">
        <w:rPr>
          <w:rFonts w:ascii="Arial" w:eastAsia="Calibri" w:hAnsi="Arial" w:cs="Arial"/>
          <w:sz w:val="22"/>
          <w:szCs w:val="22"/>
          <w:lang w:val="es-ES_tradnl"/>
        </w:rPr>
        <w:t>pese a que el parágrafo 3 dispone que el Gobierno Nacional podrá regular los supuestos en que concurran dos o más factores de desempate,</w:t>
      </w:r>
      <w:r w:rsidRPr="00A36636">
        <w:rPr>
          <w:rFonts w:ascii="Arial" w:eastAsia="Calibri" w:hAnsi="Arial" w:cs="Arial"/>
          <w:color w:val="000000" w:themeColor="text1"/>
          <w:sz w:val="22"/>
          <w:szCs w:val="22"/>
          <w:lang w:val="es-ES_tradnl"/>
        </w:rPr>
        <w:t xml:space="preserve"> se considera que el artículo 35 de la Ley </w:t>
      </w:r>
      <w:r w:rsidR="00D75232" w:rsidRPr="00A36636">
        <w:rPr>
          <w:rFonts w:ascii="Arial" w:eastAsia="Calibri" w:hAnsi="Arial" w:cs="Arial"/>
          <w:color w:val="000000" w:themeColor="text1"/>
          <w:sz w:val="22"/>
          <w:szCs w:val="22"/>
          <w:lang w:val="es-ES_tradnl"/>
        </w:rPr>
        <w:t>2069</w:t>
      </w:r>
      <w:r w:rsidRPr="00A36636">
        <w:rPr>
          <w:rFonts w:ascii="Arial" w:eastAsia="Calibri" w:hAnsi="Arial" w:cs="Arial"/>
          <w:color w:val="000000" w:themeColor="text1"/>
          <w:sz w:val="22"/>
          <w:szCs w:val="22"/>
          <w:lang w:val="es-ES_tradnl"/>
        </w:rPr>
        <w:t xml:space="preserve"> de 2020 goza de aplicación directa desde la fecha de su promulgación, es decir, no requiere de una reglamentación previa como presupuesto para su eficacia. Esta precisión reviste importancia, porque </w:t>
      </w:r>
      <w:r w:rsidR="00DB16CA" w:rsidRPr="00A36636">
        <w:rPr>
          <w:rFonts w:ascii="Arial" w:eastAsia="Calibri" w:hAnsi="Arial" w:cs="Arial"/>
          <w:color w:val="000000" w:themeColor="text1"/>
          <w:sz w:val="22"/>
          <w:szCs w:val="22"/>
          <w:lang w:val="es-ES_tradnl"/>
        </w:rPr>
        <w:t>algunas normas de la Ley de Emprendimiento</w:t>
      </w:r>
      <w:r w:rsidRPr="00A36636">
        <w:rPr>
          <w:rFonts w:ascii="Arial" w:eastAsia="Calibri" w:hAnsi="Arial" w:cs="Arial"/>
          <w:color w:val="000000" w:themeColor="text1"/>
          <w:sz w:val="22"/>
          <w:szCs w:val="22"/>
          <w:lang w:val="es-ES_tradnl"/>
        </w:rPr>
        <w:t xml:space="preserve"> establecen un mandato de reglamentación, dirigido al gobierno nacional, como condición para aplicar lo dispuesto en </w:t>
      </w:r>
      <w:r w:rsidR="00DB16CA" w:rsidRPr="00A36636">
        <w:rPr>
          <w:rFonts w:ascii="Arial" w:eastAsia="Calibri" w:hAnsi="Arial" w:cs="Arial"/>
          <w:color w:val="000000" w:themeColor="text1"/>
          <w:sz w:val="22"/>
          <w:szCs w:val="22"/>
          <w:lang w:val="es-ES_tradnl"/>
        </w:rPr>
        <w:t>la misma</w:t>
      </w:r>
      <w:r w:rsidRPr="00A36636">
        <w:rPr>
          <w:rFonts w:ascii="Arial" w:eastAsia="Calibri" w:hAnsi="Arial" w:cs="Arial"/>
          <w:color w:val="000000" w:themeColor="text1"/>
          <w:sz w:val="22"/>
          <w:szCs w:val="22"/>
          <w:lang w:val="es-ES_tradnl"/>
        </w:rPr>
        <w:t xml:space="preserve">. </w:t>
      </w:r>
    </w:p>
    <w:p w14:paraId="5C13F501" w14:textId="77777777" w:rsidR="00B53D1A" w:rsidRPr="00A36636" w:rsidRDefault="00BA482B" w:rsidP="00BD3AF1">
      <w:pPr>
        <w:spacing w:before="120" w:line="276" w:lineRule="auto"/>
        <w:ind w:firstLine="709"/>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 xml:space="preserve">Por ejemplo, en lo que a las compras públicas se refiere, </w:t>
      </w:r>
      <w:r w:rsidR="00254AE9" w:rsidRPr="00A36636">
        <w:rPr>
          <w:rFonts w:ascii="Arial" w:eastAsia="Calibri" w:hAnsi="Arial" w:cs="Arial"/>
          <w:color w:val="000000" w:themeColor="text1"/>
          <w:sz w:val="22"/>
          <w:szCs w:val="22"/>
          <w:lang w:val="es-ES_tradnl"/>
        </w:rPr>
        <w:t>el parágrafo primero del artículo</w:t>
      </w:r>
      <w:r w:rsidR="002E2C3F" w:rsidRPr="00A36636">
        <w:rPr>
          <w:rFonts w:ascii="Arial" w:eastAsia="Calibri" w:hAnsi="Arial" w:cs="Arial"/>
          <w:color w:val="000000" w:themeColor="text1"/>
          <w:sz w:val="22"/>
          <w:szCs w:val="22"/>
          <w:lang w:val="es-ES_tradnl"/>
        </w:rPr>
        <w:t xml:space="preserve"> 30, que alude a la participación de </w:t>
      </w:r>
      <w:proofErr w:type="spellStart"/>
      <w:r w:rsidR="002E2C3F" w:rsidRPr="00A36636">
        <w:rPr>
          <w:rFonts w:ascii="Arial" w:eastAsia="Calibri" w:hAnsi="Arial" w:cs="Arial"/>
          <w:color w:val="000000" w:themeColor="text1"/>
          <w:sz w:val="22"/>
          <w:szCs w:val="22"/>
          <w:lang w:val="es-ES_tradnl"/>
        </w:rPr>
        <w:t>mipymes</w:t>
      </w:r>
      <w:proofErr w:type="spellEnd"/>
      <w:r w:rsidR="002E2C3F" w:rsidRPr="00A36636">
        <w:rPr>
          <w:rFonts w:ascii="Arial" w:eastAsia="Calibri" w:hAnsi="Arial" w:cs="Arial"/>
          <w:color w:val="000000" w:themeColor="text1"/>
          <w:sz w:val="22"/>
          <w:szCs w:val="22"/>
          <w:lang w:val="es-ES_tradnl"/>
        </w:rPr>
        <w:t xml:space="preserve"> en procedimientos de mínima cuantía, establece que</w:t>
      </w:r>
      <w:r w:rsidR="00985A66" w:rsidRPr="00A36636">
        <w:rPr>
          <w:rFonts w:ascii="Arial" w:eastAsia="Calibri" w:hAnsi="Arial" w:cs="Arial"/>
          <w:color w:val="000000" w:themeColor="text1"/>
          <w:sz w:val="22"/>
          <w:szCs w:val="22"/>
          <w:lang w:val="es-ES_tradnl"/>
        </w:rPr>
        <w:t xml:space="preserve"> «Las particularidades del procedimiento aquí previsto, así como la posibilidad que tengan las entidades de realizar estas adquisiciones a </w:t>
      </w:r>
      <w:proofErr w:type="spellStart"/>
      <w:r w:rsidR="00691563" w:rsidRPr="00A36636">
        <w:rPr>
          <w:rFonts w:ascii="Arial" w:eastAsia="Calibri" w:hAnsi="Arial" w:cs="Arial"/>
          <w:color w:val="000000" w:themeColor="text1"/>
          <w:sz w:val="22"/>
          <w:szCs w:val="22"/>
          <w:lang w:val="es-ES_tradnl"/>
        </w:rPr>
        <w:t>Mipymes</w:t>
      </w:r>
      <w:proofErr w:type="spellEnd"/>
      <w:r w:rsidR="00985A66" w:rsidRPr="00A36636">
        <w:rPr>
          <w:rFonts w:ascii="Arial" w:eastAsia="Calibri" w:hAnsi="Arial" w:cs="Arial"/>
          <w:color w:val="000000" w:themeColor="text1"/>
          <w:sz w:val="22"/>
          <w:szCs w:val="22"/>
          <w:lang w:val="es-ES_tradnl"/>
        </w:rPr>
        <w:t xml:space="preserve"> o establecimientos que correspondan a la </w:t>
      </w:r>
      <w:r w:rsidR="00691563" w:rsidRPr="00A36636">
        <w:rPr>
          <w:rFonts w:ascii="Arial" w:eastAsia="Calibri" w:hAnsi="Arial" w:cs="Arial"/>
          <w:color w:val="000000" w:themeColor="text1"/>
          <w:sz w:val="22"/>
          <w:szCs w:val="22"/>
          <w:lang w:val="es-ES_tradnl"/>
        </w:rPr>
        <w:t>definición</w:t>
      </w:r>
      <w:r w:rsidR="00985A66" w:rsidRPr="00A36636">
        <w:rPr>
          <w:rFonts w:ascii="Arial" w:eastAsia="Calibri" w:hAnsi="Arial" w:cs="Arial"/>
          <w:color w:val="000000" w:themeColor="text1"/>
          <w:sz w:val="22"/>
          <w:szCs w:val="22"/>
          <w:lang w:val="es-ES_tradnl"/>
        </w:rPr>
        <w:t xml:space="preserve"> de "gran </w:t>
      </w:r>
      <w:r w:rsidR="00691563" w:rsidRPr="00A36636">
        <w:rPr>
          <w:rFonts w:ascii="Arial" w:eastAsia="Calibri" w:hAnsi="Arial" w:cs="Arial"/>
          <w:color w:val="000000" w:themeColor="text1"/>
          <w:sz w:val="22"/>
          <w:szCs w:val="22"/>
          <w:lang w:val="es-ES_tradnl"/>
        </w:rPr>
        <w:t>almacén</w:t>
      </w:r>
      <w:r w:rsidR="00985A66" w:rsidRPr="00A36636">
        <w:rPr>
          <w:rFonts w:ascii="Arial" w:eastAsia="Calibri" w:hAnsi="Arial" w:cs="Arial"/>
          <w:color w:val="000000" w:themeColor="text1"/>
          <w:sz w:val="22"/>
          <w:szCs w:val="22"/>
          <w:lang w:val="es-ES_tradnl"/>
        </w:rPr>
        <w:t xml:space="preserve">" </w:t>
      </w:r>
      <w:r w:rsidR="00787B1B" w:rsidRPr="00A36636">
        <w:rPr>
          <w:rFonts w:ascii="Arial" w:eastAsia="Calibri" w:hAnsi="Arial" w:cs="Arial"/>
          <w:color w:val="000000" w:themeColor="text1"/>
          <w:sz w:val="22"/>
          <w:szCs w:val="22"/>
          <w:lang w:val="es-ES_tradnl"/>
        </w:rPr>
        <w:t>señalada</w:t>
      </w:r>
      <w:r w:rsidR="00985A66" w:rsidRPr="00A36636">
        <w:rPr>
          <w:rFonts w:ascii="Arial" w:eastAsia="Calibri" w:hAnsi="Arial" w:cs="Arial"/>
          <w:color w:val="000000" w:themeColor="text1"/>
          <w:sz w:val="22"/>
          <w:szCs w:val="22"/>
          <w:lang w:val="es-ES_tradnl"/>
        </w:rPr>
        <w:t xml:space="preserve"> por la Superintendencia de Industria y Comercio, se </w:t>
      </w:r>
      <w:r w:rsidR="00691563" w:rsidRPr="00A36636">
        <w:rPr>
          <w:rFonts w:ascii="Arial" w:eastAsia="Calibri" w:hAnsi="Arial" w:cs="Arial"/>
          <w:color w:val="000000" w:themeColor="text1"/>
          <w:sz w:val="22"/>
          <w:szCs w:val="22"/>
          <w:lang w:val="es-ES_tradnl"/>
        </w:rPr>
        <w:t>determinarán</w:t>
      </w:r>
      <w:r w:rsidR="00985A66" w:rsidRPr="00A36636">
        <w:rPr>
          <w:rFonts w:ascii="Arial" w:eastAsia="Calibri" w:hAnsi="Arial" w:cs="Arial"/>
          <w:color w:val="000000" w:themeColor="text1"/>
          <w:sz w:val="22"/>
          <w:szCs w:val="22"/>
          <w:lang w:val="es-ES_tradnl"/>
        </w:rPr>
        <w:t xml:space="preserve"> en el reglamento que para el efecto expida el Gobierno Nacional</w:t>
      </w:r>
      <w:r w:rsidR="00691563" w:rsidRPr="00A36636">
        <w:rPr>
          <w:rFonts w:ascii="Arial" w:eastAsia="Calibri" w:hAnsi="Arial" w:cs="Arial"/>
          <w:color w:val="000000" w:themeColor="text1"/>
          <w:sz w:val="22"/>
          <w:szCs w:val="22"/>
          <w:lang w:val="es-ES_tradnl"/>
        </w:rPr>
        <w:t>»</w:t>
      </w:r>
      <w:r w:rsidR="00985A66" w:rsidRPr="00A36636">
        <w:rPr>
          <w:rFonts w:ascii="Arial" w:eastAsia="Calibri" w:hAnsi="Arial" w:cs="Arial"/>
          <w:color w:val="000000" w:themeColor="text1"/>
          <w:sz w:val="22"/>
          <w:szCs w:val="22"/>
          <w:lang w:val="es-ES_tradnl"/>
        </w:rPr>
        <w:t>.</w:t>
      </w:r>
      <w:r w:rsidR="00254AE9" w:rsidRPr="00A36636">
        <w:rPr>
          <w:rFonts w:ascii="Arial" w:eastAsia="Calibri" w:hAnsi="Arial" w:cs="Arial"/>
          <w:color w:val="000000" w:themeColor="text1"/>
          <w:sz w:val="22"/>
          <w:szCs w:val="22"/>
          <w:lang w:val="es-ES_tradnl"/>
        </w:rPr>
        <w:t xml:space="preserve"> </w:t>
      </w:r>
      <w:r w:rsidR="00F73B82" w:rsidRPr="00A36636">
        <w:rPr>
          <w:rFonts w:ascii="Arial" w:eastAsia="Calibri" w:hAnsi="Arial" w:cs="Arial"/>
          <w:color w:val="000000" w:themeColor="text1"/>
          <w:sz w:val="22"/>
          <w:szCs w:val="22"/>
          <w:lang w:val="es-ES_tradnl"/>
        </w:rPr>
        <w:t>En un sentido similar, el parágrafo segundo del mismo artículo expresa que «</w:t>
      </w:r>
      <w:r w:rsidR="008B5C7C" w:rsidRPr="00A36636">
        <w:rPr>
          <w:rFonts w:ascii="Arial" w:eastAsia="Calibri" w:hAnsi="Arial" w:cs="Arial"/>
          <w:color w:val="000000" w:themeColor="text1"/>
          <w:sz w:val="22"/>
          <w:szCs w:val="22"/>
          <w:lang w:val="es-ES_tradnl"/>
        </w:rPr>
        <w:t>La contratación a que se refiere el presente artículo se realizará exclusivamente con las reglas en él contempladas y en su reglamentación. […]».</w:t>
      </w:r>
      <w:r w:rsidR="007534AD" w:rsidRPr="00A36636">
        <w:rPr>
          <w:rFonts w:ascii="Arial" w:eastAsia="Calibri" w:hAnsi="Arial" w:cs="Arial"/>
          <w:color w:val="000000" w:themeColor="text1"/>
          <w:sz w:val="22"/>
          <w:szCs w:val="22"/>
          <w:lang w:val="es-ES_tradnl"/>
        </w:rPr>
        <w:t xml:space="preserve"> </w:t>
      </w:r>
    </w:p>
    <w:p w14:paraId="64E70AB9" w14:textId="1FC7D22C" w:rsidR="00963550" w:rsidRPr="00A36636" w:rsidRDefault="007534AD" w:rsidP="00BD3AF1">
      <w:pPr>
        <w:spacing w:before="120" w:line="276" w:lineRule="auto"/>
        <w:ind w:firstLine="709"/>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 xml:space="preserve">Así mismo, el artículo 31, en el segundo inciso, </w:t>
      </w:r>
      <w:r w:rsidR="00685D37" w:rsidRPr="00A36636">
        <w:rPr>
          <w:rFonts w:ascii="Arial" w:eastAsia="Calibri" w:hAnsi="Arial" w:cs="Arial"/>
          <w:color w:val="000000" w:themeColor="text1"/>
          <w:sz w:val="22"/>
          <w:szCs w:val="22"/>
          <w:lang w:val="es-ES_tradnl"/>
        </w:rPr>
        <w:t>determina que «El Gobierno Nacional reglamentará la definición de los criterios diferenciales, sobre reglas objetivas que podrán implementar las Entidades Estatales».</w:t>
      </w:r>
      <w:r w:rsidR="0006626E" w:rsidRPr="00A36636">
        <w:rPr>
          <w:rFonts w:ascii="Arial" w:eastAsia="Calibri" w:hAnsi="Arial" w:cs="Arial"/>
          <w:color w:val="000000" w:themeColor="text1"/>
          <w:sz w:val="22"/>
          <w:szCs w:val="22"/>
          <w:lang w:val="es-ES_tradnl"/>
        </w:rPr>
        <w:t xml:space="preserve"> </w:t>
      </w:r>
      <w:r w:rsidR="00787B1B" w:rsidRPr="00A36636">
        <w:rPr>
          <w:rFonts w:ascii="Arial" w:eastAsia="Calibri" w:hAnsi="Arial" w:cs="Arial"/>
          <w:color w:val="000000" w:themeColor="text1"/>
          <w:sz w:val="22"/>
          <w:szCs w:val="22"/>
          <w:lang w:val="es-ES_tradnl"/>
        </w:rPr>
        <w:t>Del mismo modo, el parágrafo primero del artículo 32 establece que «La definición de emprendimientos y empresas de mujeres se reglamentará por el gobierno nacional»</w:t>
      </w:r>
      <w:r w:rsidR="00FD72B1" w:rsidRPr="00A36636">
        <w:rPr>
          <w:rFonts w:ascii="Arial" w:eastAsia="Calibri" w:hAnsi="Arial" w:cs="Arial"/>
          <w:color w:val="000000" w:themeColor="text1"/>
          <w:sz w:val="22"/>
          <w:szCs w:val="22"/>
          <w:lang w:val="es-ES_tradnl"/>
        </w:rPr>
        <w:t xml:space="preserve">, en tanto que el inciso cuarto del artículo 12 de la Ley 1150 de 2007, modificado por el artículo </w:t>
      </w:r>
      <w:r w:rsidR="00F13F51" w:rsidRPr="00A36636">
        <w:rPr>
          <w:rFonts w:ascii="Arial" w:eastAsia="Calibri" w:hAnsi="Arial" w:cs="Arial"/>
          <w:color w:val="000000" w:themeColor="text1"/>
          <w:sz w:val="22"/>
          <w:szCs w:val="22"/>
          <w:lang w:val="es-ES_tradnl"/>
        </w:rPr>
        <w:t xml:space="preserve">34 de la Ley </w:t>
      </w:r>
      <w:r w:rsidR="007B209C" w:rsidRPr="00A36636">
        <w:rPr>
          <w:rFonts w:ascii="Arial" w:eastAsia="Calibri" w:hAnsi="Arial" w:cs="Arial"/>
          <w:color w:val="000000" w:themeColor="text1"/>
          <w:sz w:val="22"/>
          <w:szCs w:val="22"/>
          <w:lang w:val="es-ES_tradnl"/>
        </w:rPr>
        <w:t>2069</w:t>
      </w:r>
      <w:r w:rsidR="00F13F51" w:rsidRPr="00A36636">
        <w:rPr>
          <w:rFonts w:ascii="Arial" w:eastAsia="Calibri" w:hAnsi="Arial" w:cs="Arial"/>
          <w:color w:val="000000" w:themeColor="text1"/>
          <w:sz w:val="22"/>
          <w:szCs w:val="22"/>
          <w:lang w:val="es-ES_tradnl"/>
        </w:rPr>
        <w:t xml:space="preserve"> de 2020, </w:t>
      </w:r>
      <w:r w:rsidR="00CD02ED" w:rsidRPr="00A36636">
        <w:rPr>
          <w:rFonts w:ascii="Arial" w:eastAsia="Calibri" w:hAnsi="Arial" w:cs="Arial"/>
          <w:color w:val="000000" w:themeColor="text1"/>
          <w:sz w:val="22"/>
          <w:szCs w:val="22"/>
          <w:lang w:val="es-ES_tradnl"/>
        </w:rPr>
        <w:t xml:space="preserve">indica que en los pliegos de condiciones las entidades estatales deben </w:t>
      </w:r>
      <w:r w:rsidR="00B1507C" w:rsidRPr="00A36636">
        <w:rPr>
          <w:rFonts w:ascii="Arial" w:eastAsia="Calibri" w:hAnsi="Arial" w:cs="Arial"/>
          <w:color w:val="000000" w:themeColor="text1"/>
          <w:sz w:val="22"/>
          <w:szCs w:val="22"/>
          <w:lang w:val="es-ES_tradnl"/>
        </w:rPr>
        <w:t>prever mecanismos que garanticen la provisión de bienes y servicios por parte de sujetos de especial protección constitucional «</w:t>
      </w:r>
      <w:r w:rsidR="0017655B" w:rsidRPr="00A36636">
        <w:rPr>
          <w:rFonts w:ascii="Arial" w:eastAsia="Calibri" w:hAnsi="Arial" w:cs="Arial"/>
          <w:color w:val="000000" w:themeColor="text1"/>
          <w:sz w:val="22"/>
          <w:szCs w:val="22"/>
          <w:lang w:val="es-ES_tradnl"/>
        </w:rPr>
        <w:t>[…] en las condiciones que señale el reglamento».</w:t>
      </w:r>
    </w:p>
    <w:p w14:paraId="6BE8E6DF" w14:textId="5B7E8D06" w:rsidR="002F24DA" w:rsidRPr="00A36636" w:rsidRDefault="002F24DA" w:rsidP="00BD3AF1">
      <w:pPr>
        <w:spacing w:before="120" w:line="276" w:lineRule="auto"/>
        <w:ind w:firstLine="709"/>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Lo</w:t>
      </w:r>
      <w:r w:rsidR="008E4CAE" w:rsidRPr="00A36636">
        <w:rPr>
          <w:rFonts w:ascii="Arial" w:eastAsia="Calibri" w:hAnsi="Arial" w:cs="Arial"/>
          <w:color w:val="000000" w:themeColor="text1"/>
          <w:sz w:val="22"/>
          <w:szCs w:val="22"/>
          <w:lang w:val="es-ES_tradnl"/>
        </w:rPr>
        <w:t xml:space="preserve"> mismo no sucede con el artículo 35</w:t>
      </w:r>
      <w:r w:rsidR="00535B2F" w:rsidRPr="00A36636">
        <w:rPr>
          <w:rFonts w:ascii="Arial" w:eastAsia="Calibri" w:hAnsi="Arial" w:cs="Arial"/>
          <w:sz w:val="22"/>
          <w:szCs w:val="22"/>
          <w:lang w:val="es-ES_tradnl"/>
        </w:rPr>
        <w:t xml:space="preserve">. En efecto, </w:t>
      </w:r>
      <w:r w:rsidR="00535B2F" w:rsidRPr="00A36636">
        <w:rPr>
          <w:rFonts w:ascii="Arial" w:hAnsi="Arial" w:cs="Arial"/>
          <w:color w:val="000000" w:themeColor="text1"/>
          <w:sz w:val="22"/>
          <w:szCs w:val="22"/>
          <w:lang w:val="es-ES_tradnl"/>
        </w:rPr>
        <w:t>si bien los factores de desempate regulados en el artículo 35 deben aplicarse «</w:t>
      </w:r>
      <w:r w:rsidR="00535B2F" w:rsidRPr="00A36636">
        <w:rPr>
          <w:rFonts w:ascii="Arial" w:hAnsi="Arial" w:cs="Arial"/>
          <w:lang w:val="es-ES_tradnl"/>
        </w:rPr>
        <w:t xml:space="preserve">[…] </w:t>
      </w:r>
      <w:r w:rsidR="00535B2F" w:rsidRPr="00A36636">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00535B2F" w:rsidRPr="00A36636">
        <w:rPr>
          <w:rFonts w:ascii="Arial" w:eastAsia="Calibri" w:hAnsi="Arial" w:cs="Arial"/>
          <w:color w:val="000000" w:themeColor="text1"/>
          <w:sz w:val="22"/>
          <w:szCs w:val="22"/>
          <w:lang w:val="es-ES_tradnl"/>
        </w:rPr>
        <w:t xml:space="preserve"> </w:t>
      </w:r>
      <w:r w:rsidR="00287BDB" w:rsidRPr="00A36636">
        <w:rPr>
          <w:rFonts w:ascii="Arial" w:eastAsia="Calibri" w:hAnsi="Arial" w:cs="Arial"/>
          <w:color w:val="000000" w:themeColor="text1"/>
          <w:sz w:val="22"/>
          <w:szCs w:val="22"/>
          <w:lang w:val="es-ES_tradnl"/>
        </w:rPr>
        <w:t xml:space="preserve"> </w:t>
      </w:r>
    </w:p>
    <w:p w14:paraId="32583269" w14:textId="5E8CAD00" w:rsidR="008E4CAE" w:rsidRPr="00A36636" w:rsidRDefault="000A73E8" w:rsidP="00BD3AF1">
      <w:pPr>
        <w:spacing w:before="120" w:line="276" w:lineRule="auto"/>
        <w:ind w:firstLine="709"/>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lastRenderedPageBreak/>
        <w:t>A continuación, el artículo en mención establece</w:t>
      </w:r>
      <w:r w:rsidR="00AB7A7A" w:rsidRPr="00A36636">
        <w:rPr>
          <w:rFonts w:ascii="Arial" w:eastAsia="Calibri" w:hAnsi="Arial" w:cs="Arial"/>
          <w:color w:val="000000" w:themeColor="text1"/>
          <w:sz w:val="22"/>
          <w:szCs w:val="22"/>
          <w:lang w:val="es-ES_tradnl"/>
        </w:rPr>
        <w:t xml:space="preserve"> los factores de desempate que se deben </w:t>
      </w:r>
      <w:r w:rsidR="00F63E12" w:rsidRPr="00A36636">
        <w:rPr>
          <w:rFonts w:ascii="Arial" w:eastAsia="Calibri" w:hAnsi="Arial" w:cs="Arial"/>
          <w:color w:val="000000" w:themeColor="text1"/>
          <w:sz w:val="22"/>
          <w:szCs w:val="22"/>
          <w:lang w:val="es-ES_tradnl"/>
        </w:rPr>
        <w:t xml:space="preserve">aplicar </w:t>
      </w:r>
      <w:r w:rsidR="00AB7A7A" w:rsidRPr="00A36636">
        <w:rPr>
          <w:rFonts w:ascii="Arial" w:eastAsia="Calibri" w:hAnsi="Arial" w:cs="Arial"/>
          <w:color w:val="000000" w:themeColor="text1"/>
          <w:sz w:val="22"/>
          <w:szCs w:val="22"/>
          <w:lang w:val="es-ES_tradnl"/>
        </w:rPr>
        <w:t xml:space="preserve">de manera sucesiva, sin indicar tampoco en cada </w:t>
      </w:r>
      <w:r w:rsidR="008E7497" w:rsidRPr="00A36636">
        <w:rPr>
          <w:rFonts w:ascii="Arial" w:eastAsia="Calibri" w:hAnsi="Arial" w:cs="Arial"/>
          <w:color w:val="000000" w:themeColor="text1"/>
          <w:sz w:val="22"/>
          <w:szCs w:val="22"/>
          <w:lang w:val="es-ES_tradnl"/>
        </w:rPr>
        <w:t>numeral</w:t>
      </w:r>
      <w:r w:rsidR="00AB7A7A" w:rsidRPr="00A36636">
        <w:rPr>
          <w:rFonts w:ascii="Arial" w:eastAsia="Calibri" w:hAnsi="Arial" w:cs="Arial"/>
          <w:color w:val="000000" w:themeColor="text1"/>
          <w:sz w:val="22"/>
          <w:szCs w:val="22"/>
          <w:lang w:val="es-ES_tradnl"/>
        </w:rPr>
        <w:t xml:space="preserve"> que su </w:t>
      </w:r>
      <w:r w:rsidR="00E514BA" w:rsidRPr="00A36636">
        <w:rPr>
          <w:rFonts w:ascii="Arial" w:eastAsia="Calibri" w:hAnsi="Arial" w:cs="Arial"/>
          <w:color w:val="000000" w:themeColor="text1"/>
          <w:sz w:val="22"/>
          <w:szCs w:val="22"/>
          <w:lang w:val="es-ES_tradnl"/>
        </w:rPr>
        <w:t>eficacia depend</w:t>
      </w:r>
      <w:r w:rsidR="008E7497" w:rsidRPr="00A36636">
        <w:rPr>
          <w:rFonts w:ascii="Arial" w:eastAsia="Calibri" w:hAnsi="Arial" w:cs="Arial"/>
          <w:color w:val="000000" w:themeColor="text1"/>
          <w:sz w:val="22"/>
          <w:szCs w:val="22"/>
          <w:lang w:val="es-ES_tradnl"/>
        </w:rPr>
        <w:t>a</w:t>
      </w:r>
      <w:r w:rsidR="00E514BA" w:rsidRPr="00A36636">
        <w:rPr>
          <w:rFonts w:ascii="Arial" w:eastAsia="Calibri" w:hAnsi="Arial" w:cs="Arial"/>
          <w:color w:val="000000" w:themeColor="text1"/>
          <w:sz w:val="22"/>
          <w:szCs w:val="22"/>
          <w:lang w:val="es-ES_tradnl"/>
        </w:rPr>
        <w:t xml:space="preserve"> de lo que determine el reglamento. La única alusión que se </w:t>
      </w:r>
      <w:r w:rsidR="00B7762A" w:rsidRPr="00A36636">
        <w:rPr>
          <w:rFonts w:ascii="Arial" w:eastAsia="Calibri" w:hAnsi="Arial" w:cs="Arial"/>
          <w:color w:val="000000" w:themeColor="text1"/>
          <w:sz w:val="22"/>
          <w:szCs w:val="22"/>
          <w:lang w:val="es-ES_tradnl"/>
        </w:rPr>
        <w:t>hace</w:t>
      </w:r>
      <w:r w:rsidR="00E514BA" w:rsidRPr="00A36636">
        <w:rPr>
          <w:rFonts w:ascii="Arial" w:eastAsia="Calibri" w:hAnsi="Arial" w:cs="Arial"/>
          <w:color w:val="000000" w:themeColor="text1"/>
          <w:sz w:val="22"/>
          <w:szCs w:val="22"/>
          <w:lang w:val="es-ES_tradnl"/>
        </w:rPr>
        <w:t xml:space="preserve"> al reglamento</w:t>
      </w:r>
      <w:r w:rsidR="00B7762A" w:rsidRPr="00A36636">
        <w:rPr>
          <w:rFonts w:ascii="Arial" w:eastAsia="Calibri" w:hAnsi="Arial" w:cs="Arial"/>
          <w:color w:val="000000" w:themeColor="text1"/>
          <w:sz w:val="22"/>
          <w:szCs w:val="22"/>
          <w:lang w:val="es-ES_tradnl"/>
        </w:rPr>
        <w:t xml:space="preserve"> se encuentra en el parágrafo tercero del artículo que se viene comentando, </w:t>
      </w:r>
      <w:r w:rsidR="00325AD9" w:rsidRPr="00A36636">
        <w:rPr>
          <w:rFonts w:ascii="Arial" w:eastAsia="Calibri" w:hAnsi="Arial" w:cs="Arial"/>
          <w:color w:val="000000" w:themeColor="text1"/>
          <w:sz w:val="22"/>
          <w:szCs w:val="22"/>
          <w:lang w:val="es-ES_tradnl"/>
        </w:rPr>
        <w:t>no</w:t>
      </w:r>
      <w:r w:rsidR="00B7762A" w:rsidRPr="00A36636">
        <w:rPr>
          <w:rFonts w:ascii="Arial" w:eastAsia="Calibri" w:hAnsi="Arial" w:cs="Arial"/>
          <w:color w:val="000000" w:themeColor="text1"/>
          <w:sz w:val="22"/>
          <w:szCs w:val="22"/>
          <w:lang w:val="es-ES_tradnl"/>
        </w:rPr>
        <w:t xml:space="preserve"> para condicionar la aplicación de todo</w:t>
      </w:r>
      <w:r w:rsidR="00A7549A" w:rsidRPr="00A36636">
        <w:rPr>
          <w:rFonts w:ascii="Arial" w:eastAsia="Calibri" w:hAnsi="Arial" w:cs="Arial"/>
          <w:color w:val="000000" w:themeColor="text1"/>
          <w:sz w:val="22"/>
          <w:szCs w:val="22"/>
          <w:lang w:val="es-ES_tradnl"/>
        </w:rPr>
        <w:t xml:space="preserve"> lo dispuesto en aquel, sino para indicar que «</w:t>
      </w:r>
      <w:r w:rsidR="000A46FE" w:rsidRPr="00A36636">
        <w:rPr>
          <w:rFonts w:ascii="Arial" w:eastAsia="Calibri" w:hAnsi="Arial" w:cs="Arial"/>
          <w:color w:val="000000" w:themeColor="text1"/>
          <w:sz w:val="22"/>
          <w:szCs w:val="22"/>
          <w:lang w:val="es-ES_tradnl"/>
        </w:rPr>
        <w:t xml:space="preserve">El Gobierno Nacional </w:t>
      </w:r>
      <w:r w:rsidR="000A46FE" w:rsidRPr="00A36636">
        <w:rPr>
          <w:rFonts w:ascii="Arial" w:eastAsia="Calibri" w:hAnsi="Arial" w:cs="Arial"/>
          <w:i/>
          <w:iCs/>
          <w:color w:val="000000" w:themeColor="text1"/>
          <w:sz w:val="22"/>
          <w:szCs w:val="22"/>
          <w:lang w:val="es-ES_tradnl"/>
        </w:rPr>
        <w:t>podrá reglamentar</w:t>
      </w:r>
      <w:r w:rsidR="000A46FE" w:rsidRPr="00A36636">
        <w:rPr>
          <w:rFonts w:ascii="Arial" w:eastAsia="Calibri" w:hAnsi="Arial" w:cs="Arial"/>
          <w:color w:val="000000" w:themeColor="text1"/>
          <w:sz w:val="22"/>
          <w:szCs w:val="22"/>
          <w:lang w:val="es-ES_tradnl"/>
        </w:rPr>
        <w:t xml:space="preserve"> la aplicación de factores de desempate en casos en que concurran dos o más de los factores aquí previstos»</w:t>
      </w:r>
      <w:r w:rsidR="002F24DA" w:rsidRPr="00A36636">
        <w:rPr>
          <w:rFonts w:ascii="Arial" w:eastAsia="Calibri" w:hAnsi="Arial" w:cs="Arial"/>
          <w:color w:val="000000" w:themeColor="text1"/>
          <w:sz w:val="22"/>
          <w:szCs w:val="22"/>
          <w:lang w:val="es-ES_tradnl"/>
        </w:rPr>
        <w:t xml:space="preserve"> (Énfasis fuera de texto)</w:t>
      </w:r>
      <w:r w:rsidR="000A46FE" w:rsidRPr="00A36636">
        <w:rPr>
          <w:rFonts w:ascii="Arial" w:eastAsia="Calibri" w:hAnsi="Arial" w:cs="Arial"/>
          <w:color w:val="000000" w:themeColor="text1"/>
          <w:sz w:val="22"/>
          <w:szCs w:val="22"/>
          <w:lang w:val="es-ES_tradnl"/>
        </w:rPr>
        <w:t>.</w:t>
      </w:r>
    </w:p>
    <w:p w14:paraId="295543E3" w14:textId="42268621" w:rsidR="005C06A5" w:rsidRPr="00A36636" w:rsidRDefault="005C06A5" w:rsidP="005C06A5">
      <w:pPr>
        <w:spacing w:before="120" w:line="276" w:lineRule="auto"/>
        <w:ind w:firstLine="709"/>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Como se observa se trata de una competencia que, en concordancia con el artículo 189.11 superior, el gobierno nacional puede ejercer discrecionalmente para la ejecución de las leyes. Por tanto,</w:t>
      </w:r>
      <w:r w:rsidR="003D15B3" w:rsidRPr="00A36636">
        <w:rPr>
          <w:rFonts w:ascii="Arial" w:eastAsia="Calibri" w:hAnsi="Arial" w:cs="Arial"/>
          <w:color w:val="000000" w:themeColor="text1"/>
          <w:sz w:val="22"/>
          <w:szCs w:val="22"/>
          <w:lang w:val="es-ES_tradnl"/>
        </w:rPr>
        <w:t xml:space="preserve"> sin perjuicio de que el Gobierno Nacional ejerza la potestad reglamentaria para regular los casos en que concurren dos o más de los factores de desempate, </w:t>
      </w:r>
      <w:r w:rsidRPr="00A36636">
        <w:rPr>
          <w:rFonts w:ascii="Arial" w:eastAsia="Calibri" w:hAnsi="Arial" w:cs="Arial"/>
          <w:color w:val="000000" w:themeColor="text1"/>
          <w:sz w:val="22"/>
          <w:szCs w:val="22"/>
          <w:lang w:val="es-ES_tradnl"/>
        </w:rPr>
        <w:t xml:space="preserve">no es necesaria la existencia del reglamento como presupuesto necesario para aplicar el artículo 35 de la Ley </w:t>
      </w:r>
      <w:r w:rsidR="007B209C" w:rsidRPr="00A36636">
        <w:rPr>
          <w:rFonts w:ascii="Arial" w:eastAsia="Calibri" w:hAnsi="Arial" w:cs="Arial"/>
          <w:color w:val="000000" w:themeColor="text1"/>
          <w:sz w:val="22"/>
          <w:szCs w:val="22"/>
          <w:lang w:val="es-ES_tradnl"/>
        </w:rPr>
        <w:t>2069</w:t>
      </w:r>
      <w:r w:rsidRPr="00A36636">
        <w:rPr>
          <w:rFonts w:ascii="Arial" w:eastAsia="Calibri" w:hAnsi="Arial" w:cs="Arial"/>
          <w:color w:val="000000" w:themeColor="text1"/>
          <w:sz w:val="22"/>
          <w:szCs w:val="22"/>
          <w:lang w:val="es-ES_tradnl"/>
        </w:rPr>
        <w:t xml:space="preserve"> de 2020. De este modo, se concluye que los factores de desempate del artículo citado son exigibles desde la fecha de su promulgación, es decir, deben tenerse en cuenta en los procesos de selección que se inicien después del 31 de diciembre de 2020.</w:t>
      </w:r>
    </w:p>
    <w:p w14:paraId="6525352B" w14:textId="55D5CB1D" w:rsidR="00325AD9" w:rsidRPr="00A36636" w:rsidRDefault="009F210A" w:rsidP="005F4596">
      <w:pPr>
        <w:spacing w:before="120" w:line="276" w:lineRule="auto"/>
        <w:ind w:firstLine="709"/>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Luego</w:t>
      </w:r>
      <w:r w:rsidR="00D82A7D" w:rsidRPr="00A36636">
        <w:rPr>
          <w:rFonts w:ascii="Arial" w:eastAsia="Calibri" w:hAnsi="Arial" w:cs="Arial"/>
          <w:color w:val="000000" w:themeColor="text1"/>
          <w:sz w:val="22"/>
          <w:szCs w:val="22"/>
          <w:lang w:val="es-ES_tradnl"/>
        </w:rPr>
        <w:t xml:space="preserve"> de aclarar</w:t>
      </w:r>
      <w:r w:rsidR="00325AD9" w:rsidRPr="00A36636">
        <w:rPr>
          <w:rFonts w:ascii="Arial" w:eastAsia="Calibri" w:hAnsi="Arial" w:cs="Arial"/>
          <w:color w:val="000000" w:themeColor="text1"/>
          <w:sz w:val="22"/>
          <w:szCs w:val="22"/>
          <w:lang w:val="es-ES_tradnl"/>
        </w:rPr>
        <w:t xml:space="preserve"> que el artículo 35 de la Ley </w:t>
      </w:r>
      <w:r w:rsidR="007B209C" w:rsidRPr="00A36636">
        <w:rPr>
          <w:rFonts w:ascii="Arial" w:eastAsia="Calibri" w:hAnsi="Arial" w:cs="Arial"/>
          <w:color w:val="000000" w:themeColor="text1"/>
          <w:sz w:val="22"/>
          <w:szCs w:val="22"/>
          <w:lang w:val="es-ES_tradnl"/>
        </w:rPr>
        <w:t>2069</w:t>
      </w:r>
      <w:r w:rsidR="00325AD9" w:rsidRPr="00A36636">
        <w:rPr>
          <w:rFonts w:ascii="Arial" w:eastAsia="Calibri" w:hAnsi="Arial" w:cs="Arial"/>
          <w:color w:val="000000" w:themeColor="text1"/>
          <w:sz w:val="22"/>
          <w:szCs w:val="22"/>
          <w:lang w:val="es-ES_tradnl"/>
        </w:rPr>
        <w:t xml:space="preserve"> de 2020 se encuentra vigente y que no requiere </w:t>
      </w:r>
      <w:r w:rsidR="00D82A7D" w:rsidRPr="00A36636">
        <w:rPr>
          <w:rFonts w:ascii="Arial" w:eastAsia="Calibri" w:hAnsi="Arial" w:cs="Arial"/>
          <w:color w:val="000000" w:themeColor="text1"/>
          <w:sz w:val="22"/>
          <w:szCs w:val="22"/>
          <w:lang w:val="es-ES_tradnl"/>
        </w:rPr>
        <w:t>reglamentación</w:t>
      </w:r>
      <w:r w:rsidR="00325AD9" w:rsidRPr="00A36636">
        <w:rPr>
          <w:rFonts w:ascii="Arial" w:eastAsia="Calibri" w:hAnsi="Arial" w:cs="Arial"/>
          <w:color w:val="000000" w:themeColor="text1"/>
          <w:sz w:val="22"/>
          <w:szCs w:val="22"/>
          <w:lang w:val="es-ES_tradnl"/>
        </w:rPr>
        <w:t xml:space="preserve"> previa para que </w:t>
      </w:r>
      <w:r w:rsidR="0041674B" w:rsidRPr="00A36636">
        <w:rPr>
          <w:rFonts w:ascii="Arial" w:eastAsia="Calibri" w:hAnsi="Arial" w:cs="Arial"/>
          <w:color w:val="000000" w:themeColor="text1"/>
          <w:sz w:val="22"/>
          <w:szCs w:val="22"/>
          <w:lang w:val="es-ES_tradnl"/>
        </w:rPr>
        <w:t xml:space="preserve">sea exigible en los procedimientos de selección, es </w:t>
      </w:r>
      <w:r w:rsidR="00D95A2A" w:rsidRPr="00A36636">
        <w:rPr>
          <w:rFonts w:ascii="Arial" w:eastAsia="Calibri" w:hAnsi="Arial" w:cs="Arial"/>
          <w:color w:val="000000" w:themeColor="text1"/>
          <w:sz w:val="22"/>
          <w:szCs w:val="22"/>
          <w:lang w:val="es-ES_tradnl"/>
        </w:rPr>
        <w:t>necesario referenciar el</w:t>
      </w:r>
      <w:r w:rsidR="0041674B" w:rsidRPr="00A36636">
        <w:rPr>
          <w:rFonts w:ascii="Arial" w:eastAsia="Calibri" w:hAnsi="Arial" w:cs="Arial"/>
          <w:color w:val="000000" w:themeColor="text1"/>
          <w:sz w:val="22"/>
          <w:szCs w:val="22"/>
          <w:lang w:val="es-ES_tradnl"/>
        </w:rPr>
        <w:t xml:space="preserve"> objeto de </w:t>
      </w:r>
      <w:r w:rsidR="00A00F5E" w:rsidRPr="00A36636">
        <w:rPr>
          <w:rFonts w:ascii="Arial" w:eastAsia="Calibri" w:hAnsi="Arial" w:cs="Arial"/>
          <w:color w:val="000000" w:themeColor="text1"/>
          <w:sz w:val="22"/>
          <w:szCs w:val="22"/>
          <w:lang w:val="es-ES_tradnl"/>
        </w:rPr>
        <w:t>la</w:t>
      </w:r>
      <w:r w:rsidR="0041674B" w:rsidRPr="00A36636">
        <w:rPr>
          <w:rFonts w:ascii="Arial" w:eastAsia="Calibri" w:hAnsi="Arial" w:cs="Arial"/>
          <w:color w:val="000000" w:themeColor="text1"/>
          <w:sz w:val="22"/>
          <w:szCs w:val="22"/>
          <w:lang w:val="es-ES_tradnl"/>
        </w:rPr>
        <w:t xml:space="preserve"> consulta. En ella se </w:t>
      </w:r>
      <w:r w:rsidR="00030DFB" w:rsidRPr="00A36636">
        <w:rPr>
          <w:rFonts w:ascii="Arial" w:eastAsia="Calibri" w:hAnsi="Arial" w:cs="Arial"/>
          <w:color w:val="000000" w:themeColor="text1"/>
          <w:sz w:val="22"/>
          <w:szCs w:val="22"/>
          <w:lang w:val="es-ES_tradnl"/>
        </w:rPr>
        <w:t xml:space="preserve">formulan preguntas sobre </w:t>
      </w:r>
      <w:r w:rsidR="0030257B" w:rsidRPr="00A36636">
        <w:rPr>
          <w:rFonts w:ascii="Arial" w:eastAsia="Calibri" w:hAnsi="Arial" w:cs="Arial"/>
          <w:color w:val="000000" w:themeColor="text1"/>
          <w:sz w:val="22"/>
          <w:szCs w:val="22"/>
          <w:lang w:val="es-ES_tradnl"/>
        </w:rPr>
        <w:t xml:space="preserve">el sentido y forma de acreditación </w:t>
      </w:r>
      <w:r w:rsidR="00FD2BB8" w:rsidRPr="00A36636">
        <w:rPr>
          <w:rFonts w:ascii="Arial" w:eastAsia="Calibri" w:hAnsi="Arial" w:cs="Arial"/>
          <w:color w:val="000000" w:themeColor="text1"/>
          <w:sz w:val="22"/>
          <w:szCs w:val="22"/>
          <w:lang w:val="es-ES_tradnl"/>
        </w:rPr>
        <w:t>del</w:t>
      </w:r>
      <w:r w:rsidR="0030257B" w:rsidRPr="00A36636">
        <w:rPr>
          <w:rFonts w:ascii="Arial" w:eastAsia="Calibri" w:hAnsi="Arial" w:cs="Arial"/>
          <w:color w:val="000000" w:themeColor="text1"/>
          <w:sz w:val="22"/>
          <w:szCs w:val="22"/>
          <w:lang w:val="es-ES_tradnl"/>
        </w:rPr>
        <w:t xml:space="preserve"> factor de desempate previsto en </w:t>
      </w:r>
      <w:r w:rsidR="00FD2BB8" w:rsidRPr="00A36636">
        <w:rPr>
          <w:rFonts w:ascii="Arial" w:eastAsia="Calibri" w:hAnsi="Arial" w:cs="Arial"/>
          <w:color w:val="000000" w:themeColor="text1"/>
          <w:sz w:val="22"/>
          <w:szCs w:val="22"/>
          <w:lang w:val="es-ES_tradnl"/>
        </w:rPr>
        <w:t>el</w:t>
      </w:r>
      <w:r w:rsidR="0030257B" w:rsidRPr="00A36636">
        <w:rPr>
          <w:rFonts w:ascii="Arial" w:eastAsia="Calibri" w:hAnsi="Arial" w:cs="Arial"/>
          <w:color w:val="000000" w:themeColor="text1"/>
          <w:sz w:val="22"/>
          <w:szCs w:val="22"/>
          <w:lang w:val="es-ES_tradnl"/>
        </w:rPr>
        <w:t xml:space="preserve"> numeral </w:t>
      </w:r>
      <w:r w:rsidR="00FD2BB8" w:rsidRPr="00A36636">
        <w:rPr>
          <w:rFonts w:ascii="Arial" w:eastAsia="Calibri" w:hAnsi="Arial" w:cs="Arial"/>
          <w:color w:val="000000" w:themeColor="text1"/>
          <w:sz w:val="22"/>
          <w:szCs w:val="22"/>
          <w:lang w:val="es-ES_tradnl"/>
        </w:rPr>
        <w:t>4</w:t>
      </w:r>
      <w:r w:rsidR="0035252F" w:rsidRPr="00A36636">
        <w:rPr>
          <w:rFonts w:ascii="Arial" w:eastAsia="Calibri" w:hAnsi="Arial" w:cs="Arial"/>
          <w:color w:val="000000" w:themeColor="text1"/>
          <w:sz w:val="22"/>
          <w:szCs w:val="22"/>
          <w:lang w:val="es-ES_tradnl"/>
        </w:rPr>
        <w:t xml:space="preserve"> </w:t>
      </w:r>
      <w:r w:rsidR="009C2210" w:rsidRPr="00A36636">
        <w:rPr>
          <w:rFonts w:ascii="Arial" w:eastAsia="Calibri" w:hAnsi="Arial" w:cs="Arial"/>
          <w:color w:val="000000" w:themeColor="text1"/>
          <w:sz w:val="22"/>
          <w:szCs w:val="22"/>
          <w:lang w:val="es-ES_tradnl"/>
        </w:rPr>
        <w:t>del artículo 35</w:t>
      </w:r>
      <w:r w:rsidR="00454DF8" w:rsidRPr="00A36636">
        <w:rPr>
          <w:rFonts w:ascii="Arial" w:eastAsia="Calibri" w:hAnsi="Arial" w:cs="Arial"/>
          <w:color w:val="000000" w:themeColor="text1"/>
          <w:sz w:val="22"/>
          <w:szCs w:val="22"/>
          <w:lang w:val="es-ES_tradnl"/>
        </w:rPr>
        <w:t xml:space="preserve">. </w:t>
      </w:r>
      <w:r w:rsidR="00E073FC" w:rsidRPr="00A36636">
        <w:rPr>
          <w:rFonts w:ascii="Arial" w:eastAsia="Calibri" w:hAnsi="Arial" w:cs="Arial"/>
          <w:color w:val="000000" w:themeColor="text1"/>
          <w:sz w:val="22"/>
          <w:szCs w:val="22"/>
          <w:lang w:val="es-ES_tradnl"/>
        </w:rPr>
        <w:t>La</w:t>
      </w:r>
      <w:r w:rsidR="00454DF8" w:rsidRPr="00A36636">
        <w:rPr>
          <w:rFonts w:ascii="Arial" w:eastAsia="Calibri" w:hAnsi="Arial" w:cs="Arial"/>
          <w:color w:val="000000" w:themeColor="text1"/>
          <w:sz w:val="22"/>
          <w:szCs w:val="22"/>
          <w:lang w:val="es-ES_tradnl"/>
        </w:rPr>
        <w:t xml:space="preserve"> </w:t>
      </w:r>
      <w:r w:rsidR="00FD2BB8" w:rsidRPr="00A36636">
        <w:rPr>
          <w:rFonts w:ascii="Arial" w:eastAsia="Calibri" w:hAnsi="Arial" w:cs="Arial"/>
          <w:color w:val="000000" w:themeColor="text1"/>
          <w:sz w:val="22"/>
          <w:szCs w:val="22"/>
          <w:lang w:val="es-ES_tradnl"/>
        </w:rPr>
        <w:t>disposición</w:t>
      </w:r>
      <w:r w:rsidR="00454DF8" w:rsidRPr="00A36636">
        <w:rPr>
          <w:rFonts w:ascii="Arial" w:eastAsia="Calibri" w:hAnsi="Arial" w:cs="Arial"/>
          <w:color w:val="000000" w:themeColor="text1"/>
          <w:sz w:val="22"/>
          <w:szCs w:val="22"/>
          <w:lang w:val="es-ES_tradnl"/>
        </w:rPr>
        <w:t xml:space="preserve"> normativa</w:t>
      </w:r>
      <w:r w:rsidR="00E073FC" w:rsidRPr="00A36636">
        <w:rPr>
          <w:rFonts w:ascii="Arial" w:eastAsia="Calibri" w:hAnsi="Arial" w:cs="Arial"/>
          <w:color w:val="000000" w:themeColor="text1"/>
          <w:sz w:val="22"/>
          <w:szCs w:val="22"/>
          <w:lang w:val="es-ES_tradnl"/>
        </w:rPr>
        <w:t xml:space="preserve"> objeto de consulta</w:t>
      </w:r>
      <w:r w:rsidR="00FD2BB8" w:rsidRPr="00A36636">
        <w:rPr>
          <w:rFonts w:ascii="Arial" w:eastAsia="Calibri" w:hAnsi="Arial" w:cs="Arial"/>
          <w:color w:val="000000" w:themeColor="text1"/>
          <w:sz w:val="22"/>
          <w:szCs w:val="22"/>
          <w:lang w:val="es-ES_tradnl"/>
        </w:rPr>
        <w:t xml:space="preserve"> </w:t>
      </w:r>
      <w:r w:rsidR="00694E8B" w:rsidRPr="00A36636">
        <w:rPr>
          <w:rFonts w:ascii="Arial" w:eastAsia="Calibri" w:hAnsi="Arial" w:cs="Arial"/>
          <w:color w:val="000000" w:themeColor="text1"/>
          <w:sz w:val="22"/>
          <w:szCs w:val="22"/>
          <w:lang w:val="es-ES_tradnl"/>
        </w:rPr>
        <w:t>está redactada de la siguiente manera</w:t>
      </w:r>
      <w:r w:rsidR="00BB606C" w:rsidRPr="00A36636">
        <w:rPr>
          <w:rFonts w:ascii="Arial" w:hAnsi="Arial" w:cs="Arial"/>
          <w:color w:val="000000" w:themeColor="text1"/>
          <w:sz w:val="22"/>
          <w:szCs w:val="22"/>
          <w:lang w:val="es-ES_tradnl"/>
        </w:rPr>
        <w:t>:</w:t>
      </w:r>
      <w:r w:rsidR="00E073FC" w:rsidRPr="00A36636">
        <w:rPr>
          <w:rFonts w:ascii="Arial" w:hAnsi="Arial" w:cs="Arial"/>
          <w:color w:val="000000" w:themeColor="text1"/>
          <w:sz w:val="22"/>
          <w:szCs w:val="22"/>
          <w:lang w:val="es-ES_tradnl"/>
        </w:rPr>
        <w:t xml:space="preserve"> </w:t>
      </w:r>
    </w:p>
    <w:p w14:paraId="0F63709A" w14:textId="74E372D9" w:rsidR="00BB606C" w:rsidRPr="00A36636" w:rsidRDefault="00BB606C" w:rsidP="004B205A">
      <w:pPr>
        <w:spacing w:line="276" w:lineRule="auto"/>
        <w:ind w:firstLine="709"/>
        <w:jc w:val="both"/>
        <w:rPr>
          <w:rFonts w:ascii="Arial" w:hAnsi="Arial" w:cs="Arial"/>
          <w:color w:val="000000" w:themeColor="text1"/>
          <w:sz w:val="21"/>
          <w:szCs w:val="21"/>
          <w:lang w:val="es-ES_tradnl"/>
        </w:rPr>
      </w:pPr>
    </w:p>
    <w:p w14:paraId="0BC827BE" w14:textId="77777777" w:rsidR="00530458" w:rsidRPr="00A36636" w:rsidRDefault="00530458" w:rsidP="00177B3E">
      <w:pPr>
        <w:ind w:left="709" w:right="709"/>
        <w:jc w:val="both"/>
        <w:rPr>
          <w:rFonts w:ascii="Arial" w:eastAsia="Calibri" w:hAnsi="Arial" w:cs="Arial"/>
          <w:color w:val="000000" w:themeColor="text1"/>
          <w:sz w:val="21"/>
          <w:szCs w:val="21"/>
          <w:lang w:val="es-ES_tradnl"/>
        </w:rPr>
      </w:pPr>
      <w:r w:rsidRPr="00A36636">
        <w:rPr>
          <w:rFonts w:ascii="Arial" w:eastAsia="Calibri" w:hAnsi="Arial" w:cs="Arial"/>
          <w:color w:val="000000" w:themeColor="text1"/>
          <w:sz w:val="21"/>
          <w:szCs w:val="21"/>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217A8E4B" w14:textId="77777777" w:rsidR="00530458" w:rsidRPr="00A36636" w:rsidRDefault="00530458" w:rsidP="004B205A">
      <w:pPr>
        <w:spacing w:after="120"/>
        <w:ind w:left="709" w:right="709"/>
        <w:jc w:val="both"/>
        <w:rPr>
          <w:rFonts w:ascii="Arial" w:eastAsia="Calibri" w:hAnsi="Arial" w:cs="Arial"/>
          <w:color w:val="000000" w:themeColor="text1"/>
          <w:sz w:val="21"/>
          <w:szCs w:val="21"/>
          <w:lang w:val="es-ES_tradnl"/>
        </w:rPr>
      </w:pPr>
      <w:r w:rsidRPr="00A36636">
        <w:rPr>
          <w:rFonts w:ascii="Arial" w:eastAsia="Calibri" w:hAnsi="Arial" w:cs="Arial"/>
          <w:color w:val="000000" w:themeColor="text1"/>
          <w:sz w:val="21"/>
          <w:szCs w:val="21"/>
          <w:lang w:val="es-ES_tradnl"/>
        </w:rPr>
        <w:t>[…]</w:t>
      </w:r>
    </w:p>
    <w:p w14:paraId="62100D4E" w14:textId="75126258" w:rsidR="00530458" w:rsidRPr="00A36636" w:rsidRDefault="004E455B" w:rsidP="00177B3E">
      <w:pPr>
        <w:ind w:left="709" w:right="709"/>
        <w:jc w:val="both"/>
        <w:rPr>
          <w:rFonts w:ascii="Arial" w:eastAsia="Calibri" w:hAnsi="Arial" w:cs="Arial"/>
          <w:color w:val="000000" w:themeColor="text1"/>
          <w:sz w:val="21"/>
          <w:szCs w:val="21"/>
          <w:lang w:val="es-ES_tradnl"/>
        </w:rPr>
      </w:pPr>
      <w:r w:rsidRPr="00A36636">
        <w:rPr>
          <w:rFonts w:ascii="Arial" w:eastAsia="Calibri" w:hAnsi="Arial" w:cs="Arial"/>
          <w:color w:val="000000" w:themeColor="text1"/>
          <w:sz w:val="21"/>
          <w:szCs w:val="21"/>
          <w:lang w:val="es-ES_tradnl"/>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244771D8" w14:textId="099DCDCA" w:rsidR="0011359A" w:rsidRPr="00A36636" w:rsidRDefault="0011359A" w:rsidP="00530458">
      <w:pPr>
        <w:ind w:left="709" w:right="709"/>
        <w:jc w:val="both"/>
        <w:rPr>
          <w:rFonts w:ascii="Arial" w:eastAsia="Calibri" w:hAnsi="Arial" w:cs="Arial"/>
          <w:color w:val="000000" w:themeColor="text1"/>
          <w:sz w:val="21"/>
          <w:szCs w:val="21"/>
          <w:lang w:val="es-ES_tradnl"/>
        </w:rPr>
      </w:pPr>
      <w:r w:rsidRPr="00A36636">
        <w:rPr>
          <w:rFonts w:ascii="Arial" w:eastAsia="Calibri" w:hAnsi="Arial" w:cs="Arial"/>
          <w:color w:val="000000" w:themeColor="text1"/>
          <w:sz w:val="21"/>
          <w:szCs w:val="21"/>
          <w:lang w:val="es-ES_tradnl"/>
        </w:rPr>
        <w:t>[…].</w:t>
      </w:r>
    </w:p>
    <w:p w14:paraId="5E1207E2" w14:textId="74C55D63" w:rsidR="00766D49" w:rsidRPr="00A36636" w:rsidRDefault="00766D49" w:rsidP="00177B3E">
      <w:pPr>
        <w:spacing w:line="276" w:lineRule="auto"/>
        <w:ind w:left="709" w:right="709"/>
        <w:jc w:val="both"/>
        <w:rPr>
          <w:rFonts w:ascii="Arial" w:eastAsia="Calibri" w:hAnsi="Arial" w:cs="Arial"/>
          <w:color w:val="000000" w:themeColor="text1"/>
          <w:sz w:val="22"/>
          <w:szCs w:val="22"/>
          <w:lang w:val="es-ES_tradnl"/>
        </w:rPr>
      </w:pPr>
    </w:p>
    <w:p w14:paraId="2CEA8ECE" w14:textId="123A7692" w:rsidR="00C01330" w:rsidRPr="00A36636" w:rsidRDefault="00CC4EF4" w:rsidP="00FD313C">
      <w:pPr>
        <w:spacing w:line="276" w:lineRule="auto"/>
        <w:ind w:firstLine="709"/>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Como se advierte, est</w:t>
      </w:r>
      <w:r w:rsidR="005C54DF" w:rsidRPr="00A36636">
        <w:rPr>
          <w:rFonts w:ascii="Arial" w:eastAsia="Calibri" w:hAnsi="Arial" w:cs="Arial"/>
          <w:color w:val="000000" w:themeColor="text1"/>
          <w:sz w:val="22"/>
          <w:szCs w:val="22"/>
          <w:lang w:val="es-ES_tradnl"/>
        </w:rPr>
        <w:t>e</w:t>
      </w:r>
      <w:r w:rsidRPr="00A36636">
        <w:rPr>
          <w:rFonts w:ascii="Arial" w:eastAsia="Calibri" w:hAnsi="Arial" w:cs="Arial"/>
          <w:color w:val="000000" w:themeColor="text1"/>
          <w:sz w:val="22"/>
          <w:szCs w:val="22"/>
          <w:lang w:val="es-ES_tradnl"/>
        </w:rPr>
        <w:t xml:space="preserve"> numeral </w:t>
      </w:r>
      <w:bookmarkStart w:id="2" w:name="_Hlk62459524"/>
      <w:r w:rsidRPr="00A36636">
        <w:rPr>
          <w:rFonts w:ascii="Arial" w:eastAsia="Calibri" w:hAnsi="Arial" w:cs="Arial"/>
          <w:color w:val="000000" w:themeColor="text1"/>
          <w:sz w:val="22"/>
          <w:szCs w:val="22"/>
          <w:lang w:val="es-ES_tradnl"/>
        </w:rPr>
        <w:t xml:space="preserve">no establece un medio específico para acreditar la circunstancia a la que se refiere. Por lo tanto, corresponde a la entidad contratante analizar si el ordenamiento jurídico, en otras disposiciones legales o reglamentarias, exige un </w:t>
      </w:r>
      <w:r w:rsidRPr="00A36636">
        <w:rPr>
          <w:rFonts w:ascii="Arial" w:eastAsia="Calibri" w:hAnsi="Arial" w:cs="Arial"/>
          <w:color w:val="000000" w:themeColor="text1"/>
          <w:sz w:val="22"/>
          <w:szCs w:val="22"/>
          <w:lang w:val="es-ES_tradnl"/>
        </w:rPr>
        <w:lastRenderedPageBreak/>
        <w:t xml:space="preserve">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w:t>
      </w:r>
      <w:r w:rsidR="00345965" w:rsidRPr="00A36636">
        <w:rPr>
          <w:rFonts w:ascii="Arial" w:eastAsia="Calibri" w:hAnsi="Arial" w:cs="Arial"/>
          <w:color w:val="000000" w:themeColor="text1"/>
          <w:sz w:val="22"/>
          <w:szCs w:val="22"/>
          <w:lang w:val="es-ES_tradnl"/>
        </w:rPr>
        <w:t>encuentra</w:t>
      </w:r>
      <w:r w:rsidRPr="00A36636">
        <w:rPr>
          <w:rFonts w:ascii="Arial" w:eastAsia="Calibri" w:hAnsi="Arial" w:cs="Arial"/>
          <w:color w:val="000000" w:themeColor="text1"/>
          <w:sz w:val="22"/>
          <w:szCs w:val="22"/>
          <w:lang w:val="es-ES_tradnl"/>
        </w:rPr>
        <w:t xml:space="preserve"> bajo la condición que permite aplicar la regla de desempate. Por supuesto, el decreto reglamentario que expida el gobierno nacional para garantizar la cumplida ejecución de la Ley </w:t>
      </w:r>
      <w:r w:rsidR="007B209C" w:rsidRPr="00A36636">
        <w:rPr>
          <w:rFonts w:ascii="Arial" w:eastAsia="Calibri" w:hAnsi="Arial" w:cs="Arial"/>
          <w:color w:val="000000" w:themeColor="text1"/>
          <w:sz w:val="22"/>
          <w:szCs w:val="22"/>
          <w:lang w:val="es-ES_tradnl"/>
        </w:rPr>
        <w:t>2069</w:t>
      </w:r>
      <w:r w:rsidRPr="00A36636">
        <w:rPr>
          <w:rFonts w:ascii="Arial" w:eastAsia="Calibri" w:hAnsi="Arial" w:cs="Arial"/>
          <w:color w:val="000000" w:themeColor="text1"/>
          <w:sz w:val="22"/>
          <w:szCs w:val="22"/>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bookmarkEnd w:id="2"/>
    <w:p w14:paraId="6BADAB17" w14:textId="6FAA8AD3" w:rsidR="00FD313C" w:rsidRPr="00A36636" w:rsidRDefault="00051A3A" w:rsidP="00046429">
      <w:pPr>
        <w:spacing w:before="120" w:line="276" w:lineRule="auto"/>
        <w:ind w:firstLine="709"/>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En relación con lo previsto en el numeral 4 del artículo en comento, cuando el legislador alude al concepto de «personas mayores» que no sean beneficiarias de la pensión de vejez, familiar o de sobrevivencia y que hayan cumplido la edad para obtenerla, una posible interpretación es entender que la norma se refiere al «adulto mayor». Este concepto lo define el artículo 3 de la Ley 1251 de 2008 –«Por la cual se dictan normas tendientes a procurar la protección, promoción y defensa de los derechos de los adultos mayores»– como «[…] aquella persona que cuenta con sesenta (60) años de edad o más», lo cual se puede acreditar con el documento de identidad correspondiente. En todo caso,</w:t>
      </w:r>
      <w:r w:rsidR="00D23B47" w:rsidRPr="00A36636">
        <w:rPr>
          <w:rFonts w:ascii="Arial" w:eastAsia="Calibri" w:hAnsi="Arial" w:cs="Arial"/>
          <w:color w:val="000000" w:themeColor="text1"/>
          <w:sz w:val="22"/>
          <w:szCs w:val="22"/>
          <w:lang w:val="es-ES_tradnl"/>
        </w:rPr>
        <w:t xml:space="preserve"> conforme a lo explicado en el Concepto </w:t>
      </w:r>
      <w:r w:rsidR="00AF1CF5" w:rsidRPr="00A36636">
        <w:rPr>
          <w:rFonts w:ascii="Arial" w:eastAsia="Calibri" w:hAnsi="Arial" w:cs="Arial"/>
          <w:color w:val="000000" w:themeColor="text1"/>
          <w:sz w:val="22"/>
          <w:szCs w:val="22"/>
          <w:lang w:val="es-ES_tradnl"/>
        </w:rPr>
        <w:t xml:space="preserve">206 del </w:t>
      </w:r>
      <w:r w:rsidR="00943AF3" w:rsidRPr="00A36636">
        <w:rPr>
          <w:rFonts w:ascii="Arial" w:eastAsia="Calibri" w:hAnsi="Arial" w:cs="Arial"/>
          <w:color w:val="000000" w:themeColor="text1"/>
          <w:sz w:val="22"/>
          <w:szCs w:val="22"/>
          <w:lang w:val="es-ES_tradnl"/>
        </w:rPr>
        <w:t>3 de mayo de 2021</w:t>
      </w:r>
      <w:r w:rsidRPr="00A36636">
        <w:rPr>
          <w:rFonts w:ascii="Arial" w:eastAsia="Calibri" w:hAnsi="Arial" w:cs="Arial"/>
          <w:color w:val="000000" w:themeColor="text1"/>
          <w:sz w:val="22"/>
          <w:szCs w:val="22"/>
          <w:lang w:val="es-ES_tradnl"/>
        </w:rPr>
        <w:t>, también existe de la posibilidad de entender que esta causal aplica a todas las personas que –en el rango de edad correspondiente a cada género– no han alcanzado la pensión, interpretación que</w:t>
      </w:r>
      <w:r w:rsidR="00943AF3" w:rsidRPr="00A36636">
        <w:rPr>
          <w:rFonts w:ascii="Arial" w:eastAsia="Calibri" w:hAnsi="Arial" w:cs="Arial"/>
          <w:color w:val="000000" w:themeColor="text1"/>
          <w:sz w:val="22"/>
          <w:szCs w:val="22"/>
          <w:lang w:val="es-ES_tradnl"/>
        </w:rPr>
        <w:t xml:space="preserve"> – sin perjuicio de lo que defina el reglamento–</w:t>
      </w:r>
      <w:r w:rsidRPr="00A36636">
        <w:rPr>
          <w:rFonts w:ascii="Arial" w:eastAsia="Calibri" w:hAnsi="Arial" w:cs="Arial"/>
          <w:color w:val="000000" w:themeColor="text1"/>
          <w:sz w:val="22"/>
          <w:szCs w:val="22"/>
          <w:lang w:val="es-ES_tradnl"/>
        </w:rPr>
        <w:t xml:space="preserve"> está mas ajustada al principio de favorabilidad.</w:t>
      </w:r>
    </w:p>
    <w:p w14:paraId="2EB1FC9F" w14:textId="72D17D4F" w:rsidR="00666D6C" w:rsidRPr="00A36636" w:rsidRDefault="00FD313C" w:rsidP="00666D6C">
      <w:pPr>
        <w:spacing w:before="120" w:line="276" w:lineRule="auto"/>
        <w:ind w:firstLine="709"/>
        <w:jc w:val="both"/>
        <w:rPr>
          <w:rFonts w:ascii="Arial" w:hAnsi="Arial" w:cs="Arial"/>
          <w:color w:val="000000" w:themeColor="text1"/>
          <w:sz w:val="22"/>
          <w:szCs w:val="22"/>
          <w:lang w:val="es-ES_tradnl"/>
        </w:rPr>
      </w:pPr>
      <w:r w:rsidRPr="00A36636">
        <w:rPr>
          <w:rFonts w:ascii="Arial" w:hAnsi="Arial" w:cs="Arial"/>
          <w:color w:val="000000" w:themeColor="text1"/>
          <w:sz w:val="22"/>
          <w:szCs w:val="22"/>
          <w:lang w:val="es-ES_tradnl"/>
        </w:rPr>
        <w:t xml:space="preserve">El numeral </w:t>
      </w:r>
      <w:r w:rsidR="005C3F1E" w:rsidRPr="00A36636">
        <w:rPr>
          <w:rFonts w:ascii="Arial" w:hAnsi="Arial" w:cs="Arial"/>
          <w:color w:val="000000" w:themeColor="text1"/>
          <w:sz w:val="22"/>
          <w:szCs w:val="22"/>
          <w:lang w:val="es-ES_tradnl"/>
        </w:rPr>
        <w:t>dispone</w:t>
      </w:r>
      <w:r w:rsidRPr="00A36636">
        <w:rPr>
          <w:rFonts w:ascii="Arial" w:hAnsi="Arial" w:cs="Arial"/>
          <w:color w:val="000000" w:themeColor="text1"/>
          <w:sz w:val="22"/>
          <w:szCs w:val="22"/>
          <w:lang w:val="es-ES_tradnl"/>
        </w:rPr>
        <w:t xml:space="preserve"> que en dicho evento la regla de desempate se aplica a favor del «[…] oferente que acredite la vinculación en </w:t>
      </w:r>
      <w:bookmarkStart w:id="3" w:name="_Hlk72755608"/>
      <w:r w:rsidRPr="00A36636">
        <w:rPr>
          <w:rFonts w:ascii="Arial" w:hAnsi="Arial" w:cs="Arial"/>
          <w:color w:val="000000" w:themeColor="text1"/>
          <w:sz w:val="22"/>
          <w:szCs w:val="22"/>
          <w:lang w:val="es-ES_tradnl"/>
        </w:rPr>
        <w:t>mayor proporción de personas mayores que no sean beneficiarios de la pensión de vejez, familiar o de sobrevivencia y que hayan cumplido el requisito de edad de pensión establecido en la Ley»</w:t>
      </w:r>
      <w:bookmarkEnd w:id="3"/>
      <w:r w:rsidRPr="00A36636">
        <w:rPr>
          <w:rFonts w:ascii="Arial" w:hAnsi="Arial" w:cs="Arial"/>
          <w:color w:val="000000" w:themeColor="text1"/>
          <w:sz w:val="22"/>
          <w:szCs w:val="22"/>
          <w:lang w:val="es-ES_tradnl"/>
        </w:rPr>
        <w:t xml:space="preserve">. </w:t>
      </w:r>
      <w:bookmarkStart w:id="4" w:name="_Hlk72753138"/>
      <w:r w:rsidRPr="00A36636">
        <w:rPr>
          <w:rFonts w:ascii="Arial" w:hAnsi="Arial" w:cs="Arial"/>
          <w:color w:val="000000" w:themeColor="text1"/>
          <w:sz w:val="22"/>
          <w:szCs w:val="22"/>
          <w:lang w:val="es-ES_tradnl"/>
        </w:rPr>
        <w:t>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w:t>
      </w:r>
      <w:bookmarkEnd w:id="4"/>
      <w:r w:rsidR="00666D6C" w:rsidRPr="00A36636">
        <w:rPr>
          <w:rFonts w:ascii="Arial" w:hAnsi="Arial" w:cs="Arial"/>
          <w:color w:val="000000" w:themeColor="text1"/>
          <w:sz w:val="22"/>
          <w:szCs w:val="22"/>
          <w:lang w:val="es-ES_tradnl"/>
        </w:rPr>
        <w:t>,</w:t>
      </w:r>
      <w:r w:rsidRPr="00A36636">
        <w:rPr>
          <w:rFonts w:ascii="Arial" w:hAnsi="Arial" w:cs="Arial"/>
          <w:color w:val="000000" w:themeColor="text1"/>
          <w:sz w:val="22"/>
          <w:szCs w:val="22"/>
          <w:lang w:val="es-ES_tradnl"/>
        </w:rPr>
        <w:t xml:space="preserve"> </w:t>
      </w:r>
      <w:r w:rsidR="001D22FA" w:rsidRPr="00A36636">
        <w:rPr>
          <w:rFonts w:ascii="Arial" w:hAnsi="Arial" w:cs="Arial"/>
          <w:color w:val="000000" w:themeColor="text1"/>
          <w:sz w:val="22"/>
          <w:szCs w:val="22"/>
          <w:lang w:val="es-ES_tradnl"/>
        </w:rPr>
        <w:t>añadiendo</w:t>
      </w:r>
      <w:r w:rsidR="00CA2798" w:rsidRPr="00A36636">
        <w:rPr>
          <w:rFonts w:ascii="Arial" w:hAnsi="Arial" w:cs="Arial"/>
          <w:color w:val="000000" w:themeColor="text1"/>
          <w:sz w:val="22"/>
          <w:szCs w:val="22"/>
          <w:lang w:val="es-ES_tradnl"/>
        </w:rPr>
        <w:t xml:space="preserve"> que </w:t>
      </w:r>
      <w:r w:rsidR="00781FFF" w:rsidRPr="00A36636">
        <w:rPr>
          <w:rFonts w:ascii="Arial" w:hAnsi="Arial" w:cs="Arial"/>
          <w:color w:val="000000" w:themeColor="text1"/>
          <w:sz w:val="22"/>
          <w:szCs w:val="22"/>
          <w:lang w:val="es-ES_tradnl"/>
        </w:rPr>
        <w:t>la «</w:t>
      </w:r>
      <w:r w:rsidR="00845007" w:rsidRPr="00A36636">
        <w:rPr>
          <w:rFonts w:ascii="Arial" w:hAnsi="Arial" w:cs="Arial"/>
          <w:color w:val="000000" w:themeColor="text1"/>
          <w:sz w:val="22"/>
          <w:szCs w:val="22"/>
          <w:lang w:val="es-ES_tradnl"/>
        </w:rPr>
        <w:t xml:space="preserve">vinculación en </w:t>
      </w:r>
      <w:r w:rsidR="00781FFF" w:rsidRPr="00A36636">
        <w:rPr>
          <w:rFonts w:ascii="Arial" w:hAnsi="Arial" w:cs="Arial"/>
          <w:color w:val="000000" w:themeColor="text1"/>
          <w:sz w:val="22"/>
          <w:szCs w:val="22"/>
          <w:lang w:val="es-ES_tradnl"/>
        </w:rPr>
        <w:t xml:space="preserve">mayor proporción» debe analizarse respecto </w:t>
      </w:r>
      <w:r w:rsidR="00B740FD" w:rsidRPr="00A36636">
        <w:rPr>
          <w:rFonts w:ascii="Arial" w:hAnsi="Arial" w:cs="Arial"/>
          <w:color w:val="000000" w:themeColor="text1"/>
          <w:sz w:val="22"/>
          <w:szCs w:val="22"/>
          <w:lang w:val="es-ES_tradnl"/>
        </w:rPr>
        <w:t xml:space="preserve">al número de trabajadores de la planta de personal. </w:t>
      </w:r>
    </w:p>
    <w:p w14:paraId="242A60A8" w14:textId="1E57F07F" w:rsidR="00D675BC" w:rsidRPr="00A36636" w:rsidRDefault="00B740FD" w:rsidP="00046429">
      <w:pPr>
        <w:spacing w:before="120" w:line="276" w:lineRule="auto"/>
        <w:ind w:firstLine="709"/>
        <w:jc w:val="both"/>
        <w:rPr>
          <w:rFonts w:ascii="Arial" w:hAnsi="Arial" w:cs="Arial"/>
          <w:color w:val="000000" w:themeColor="text1"/>
          <w:sz w:val="22"/>
          <w:szCs w:val="22"/>
          <w:lang w:val="es-ES_tradnl"/>
        </w:rPr>
      </w:pPr>
      <w:r w:rsidRPr="00A36636">
        <w:rPr>
          <w:rFonts w:ascii="Arial" w:hAnsi="Arial" w:cs="Arial"/>
          <w:color w:val="000000" w:themeColor="text1"/>
          <w:sz w:val="22"/>
          <w:szCs w:val="22"/>
          <w:lang w:val="es-ES_tradnl"/>
        </w:rPr>
        <w:t>Al</w:t>
      </w:r>
      <w:r w:rsidR="00876DB3" w:rsidRPr="00A36636">
        <w:rPr>
          <w:rFonts w:ascii="Arial" w:hAnsi="Arial" w:cs="Arial"/>
          <w:color w:val="000000" w:themeColor="text1"/>
          <w:sz w:val="22"/>
          <w:szCs w:val="22"/>
          <w:lang w:val="es-ES_tradnl"/>
        </w:rPr>
        <w:t xml:space="preserve"> respecto, es necesario tener en cuenta que el artículo </w:t>
      </w:r>
      <w:r w:rsidR="00A24B78" w:rsidRPr="00A36636">
        <w:rPr>
          <w:rFonts w:ascii="Arial" w:hAnsi="Arial" w:cs="Arial"/>
          <w:color w:val="000000" w:themeColor="text1"/>
          <w:sz w:val="22"/>
          <w:szCs w:val="22"/>
          <w:lang w:val="es-ES_tradnl"/>
        </w:rPr>
        <w:t>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en el artículo 29 ibidem, también prescribe que «Las palabras técnicas de toda ciencia o arte se tomarán en el sentido que les den los que profesan la misma ciencia o arte; a menos que aparezca claramente que se han formado en sentido diverso».</w:t>
      </w:r>
    </w:p>
    <w:p w14:paraId="034E8BE4" w14:textId="2FBFF29F" w:rsidR="00065A8B" w:rsidRPr="00A36636" w:rsidRDefault="001F2912" w:rsidP="001F2912">
      <w:pPr>
        <w:spacing w:before="120" w:line="276" w:lineRule="auto"/>
        <w:ind w:firstLine="709"/>
        <w:jc w:val="both"/>
        <w:rPr>
          <w:rFonts w:ascii="Arial" w:hAnsi="Arial" w:cs="Arial"/>
          <w:color w:val="000000" w:themeColor="text1"/>
          <w:sz w:val="22"/>
          <w:szCs w:val="22"/>
          <w:lang w:val="es-ES_tradnl"/>
        </w:rPr>
      </w:pPr>
      <w:r w:rsidRPr="00A36636">
        <w:rPr>
          <w:rFonts w:ascii="Arial" w:hAnsi="Arial" w:cs="Arial"/>
          <w:color w:val="000000" w:themeColor="text1"/>
          <w:sz w:val="22"/>
          <w:szCs w:val="22"/>
          <w:lang w:val="es-ES_tradnl"/>
        </w:rPr>
        <w:lastRenderedPageBreak/>
        <w:t>C</w:t>
      </w:r>
      <w:r w:rsidR="00D675BC" w:rsidRPr="00A36636">
        <w:rPr>
          <w:rFonts w:ascii="Arial" w:hAnsi="Arial" w:cs="Arial"/>
          <w:color w:val="000000" w:themeColor="text1"/>
          <w:sz w:val="22"/>
          <w:szCs w:val="22"/>
          <w:lang w:val="es-ES_tradnl"/>
        </w:rPr>
        <w:t xml:space="preserve">onforme a la definición del Diccionario de la RAE, la palabra </w:t>
      </w:r>
      <w:r w:rsidR="0076406B" w:rsidRPr="00A36636">
        <w:rPr>
          <w:rFonts w:ascii="Arial" w:hAnsi="Arial" w:cs="Arial"/>
          <w:color w:val="000000" w:themeColor="text1"/>
          <w:sz w:val="22"/>
          <w:szCs w:val="22"/>
          <w:lang w:val="es-ES_tradnl"/>
        </w:rPr>
        <w:t>«</w:t>
      </w:r>
      <w:r w:rsidR="00D675BC" w:rsidRPr="00A36636">
        <w:rPr>
          <w:rFonts w:ascii="Arial" w:hAnsi="Arial" w:cs="Arial"/>
          <w:color w:val="000000" w:themeColor="text1"/>
          <w:sz w:val="22"/>
          <w:szCs w:val="22"/>
          <w:lang w:val="es-ES_tradnl"/>
        </w:rPr>
        <w:t>proporción</w:t>
      </w:r>
      <w:r w:rsidR="0076406B" w:rsidRPr="00A36636">
        <w:rPr>
          <w:rFonts w:ascii="Arial" w:hAnsi="Arial" w:cs="Arial"/>
          <w:color w:val="000000" w:themeColor="text1"/>
          <w:sz w:val="22"/>
          <w:szCs w:val="22"/>
          <w:lang w:val="es-ES_tradnl"/>
        </w:rPr>
        <w:t>»</w:t>
      </w:r>
      <w:r w:rsidR="00D675BC" w:rsidRPr="00A36636">
        <w:rPr>
          <w:rFonts w:ascii="Arial" w:hAnsi="Arial" w:cs="Arial"/>
          <w:color w:val="000000" w:themeColor="text1"/>
          <w:sz w:val="22"/>
          <w:szCs w:val="22"/>
          <w:lang w:val="es-ES_tradnl"/>
        </w:rPr>
        <w:t xml:space="preserve"> </w:t>
      </w:r>
      <w:r w:rsidR="003B5BC1" w:rsidRPr="00A36636">
        <w:rPr>
          <w:rFonts w:ascii="Arial" w:hAnsi="Arial" w:cs="Arial"/>
          <w:color w:val="000000" w:themeColor="text1"/>
          <w:sz w:val="22"/>
          <w:szCs w:val="22"/>
          <w:lang w:val="es-ES_tradnl"/>
        </w:rPr>
        <w:t>es la</w:t>
      </w:r>
      <w:r w:rsidR="005B7396" w:rsidRPr="00A36636">
        <w:rPr>
          <w:rFonts w:ascii="Arial" w:hAnsi="Arial" w:cs="Arial"/>
          <w:color w:val="000000" w:themeColor="text1"/>
          <w:sz w:val="22"/>
          <w:szCs w:val="22"/>
          <w:lang w:val="es-ES_tradnl"/>
        </w:rPr>
        <w:t xml:space="preserve"> «Igualdad de dos razones»</w:t>
      </w:r>
      <w:r w:rsidR="00CA01EF" w:rsidRPr="00A36636">
        <w:rPr>
          <w:rFonts w:ascii="Arial" w:hAnsi="Arial" w:cs="Arial"/>
          <w:color w:val="000000" w:themeColor="text1"/>
          <w:sz w:val="22"/>
          <w:szCs w:val="22"/>
          <w:lang w:val="es-ES_tradnl"/>
        </w:rPr>
        <w:t>. Esta expresión tiene una definición propia en el campo de la</w:t>
      </w:r>
      <w:r w:rsidR="0076406B" w:rsidRPr="00A36636">
        <w:rPr>
          <w:rFonts w:ascii="Arial" w:hAnsi="Arial" w:cs="Arial"/>
          <w:color w:val="000000" w:themeColor="text1"/>
          <w:sz w:val="22"/>
          <w:szCs w:val="22"/>
          <w:lang w:val="es-ES_tradnl"/>
        </w:rPr>
        <w:t>s</w:t>
      </w:r>
      <w:r w:rsidR="00CA01EF" w:rsidRPr="00A36636">
        <w:rPr>
          <w:rFonts w:ascii="Arial" w:hAnsi="Arial" w:cs="Arial"/>
          <w:color w:val="000000" w:themeColor="text1"/>
          <w:sz w:val="22"/>
          <w:szCs w:val="22"/>
          <w:lang w:val="es-ES_tradnl"/>
        </w:rPr>
        <w:t xml:space="preserve"> matemáticas, pues </w:t>
      </w:r>
      <w:r w:rsidR="003B5BC1" w:rsidRPr="00A36636">
        <w:rPr>
          <w:rFonts w:ascii="Arial" w:hAnsi="Arial" w:cs="Arial"/>
          <w:color w:val="000000" w:themeColor="text1"/>
          <w:sz w:val="22"/>
          <w:szCs w:val="22"/>
          <w:lang w:val="es-ES_tradnl"/>
        </w:rPr>
        <w:t>alude a una relación o razón constante entre diferentes magnitudes que se vayan a medir</w:t>
      </w:r>
      <w:r w:rsidRPr="00A36636">
        <w:rPr>
          <w:rFonts w:ascii="Arial" w:hAnsi="Arial" w:cs="Arial"/>
          <w:color w:val="000000" w:themeColor="text1"/>
          <w:sz w:val="22"/>
          <w:szCs w:val="22"/>
          <w:lang w:val="es-ES_tradnl"/>
        </w:rPr>
        <w:t>.</w:t>
      </w:r>
      <w:r w:rsidR="00783358" w:rsidRPr="00A36636">
        <w:rPr>
          <w:rFonts w:ascii="Arial" w:hAnsi="Arial" w:cs="Arial"/>
          <w:color w:val="000000" w:themeColor="text1"/>
          <w:sz w:val="22"/>
          <w:szCs w:val="22"/>
          <w:lang w:val="es-ES_tradnl"/>
        </w:rPr>
        <w:t xml:space="preserve"> </w:t>
      </w:r>
      <w:r w:rsidRPr="00A36636">
        <w:rPr>
          <w:rFonts w:ascii="Arial" w:hAnsi="Arial" w:cs="Arial"/>
          <w:color w:val="000000" w:themeColor="text1"/>
          <w:sz w:val="22"/>
          <w:szCs w:val="22"/>
          <w:lang w:val="es-ES_tradnl"/>
        </w:rPr>
        <w:t>Por esta raz</w:t>
      </w:r>
      <w:r w:rsidR="0091713D" w:rsidRPr="00A36636">
        <w:rPr>
          <w:rFonts w:ascii="Arial" w:hAnsi="Arial" w:cs="Arial"/>
          <w:color w:val="000000" w:themeColor="text1"/>
          <w:sz w:val="22"/>
          <w:szCs w:val="22"/>
          <w:lang w:val="es-ES_tradnl"/>
        </w:rPr>
        <w:t>ón</w:t>
      </w:r>
      <w:r w:rsidR="00F83CE8" w:rsidRPr="00A36636">
        <w:rPr>
          <w:rFonts w:ascii="Arial" w:hAnsi="Arial" w:cs="Arial"/>
          <w:color w:val="000000" w:themeColor="text1"/>
          <w:sz w:val="22"/>
          <w:szCs w:val="22"/>
          <w:lang w:val="es-ES_tradnl"/>
        </w:rPr>
        <w:t>,</w:t>
      </w:r>
      <w:r w:rsidR="0091713D" w:rsidRPr="00A36636">
        <w:rPr>
          <w:rFonts w:ascii="Arial" w:hAnsi="Arial" w:cs="Arial"/>
          <w:color w:val="000000" w:themeColor="text1"/>
          <w:sz w:val="22"/>
          <w:szCs w:val="22"/>
          <w:lang w:val="es-ES_tradnl"/>
        </w:rPr>
        <w:t xml:space="preserve"> la «[…] mayor proporción de personas mayores que no sean beneficiarios de la pensión de vejez, familiar o de sobrevivencia y que hayan cumplido el requisito de edad de pensión establecido en la Ley»</w:t>
      </w:r>
      <w:r w:rsidR="001B6D85" w:rsidRPr="00A36636">
        <w:rPr>
          <w:rFonts w:ascii="Arial" w:hAnsi="Arial" w:cs="Arial"/>
          <w:color w:val="000000" w:themeColor="text1"/>
          <w:sz w:val="22"/>
          <w:szCs w:val="22"/>
          <w:lang w:val="es-ES_tradnl"/>
        </w:rPr>
        <w:t xml:space="preserve"> no corresponde a un valor absoluto, sino relativo</w:t>
      </w:r>
      <w:r w:rsidR="00065A8B" w:rsidRPr="00A36636">
        <w:rPr>
          <w:rFonts w:ascii="Arial" w:hAnsi="Arial" w:cs="Arial"/>
          <w:color w:val="000000" w:themeColor="text1"/>
          <w:sz w:val="22"/>
          <w:szCs w:val="22"/>
          <w:lang w:val="es-ES_tradnl"/>
        </w:rPr>
        <w:t>.</w:t>
      </w:r>
    </w:p>
    <w:p w14:paraId="16C86277" w14:textId="01ACDCDD" w:rsidR="00372C2E" w:rsidRPr="00A36636" w:rsidRDefault="00065A8B" w:rsidP="001F2912">
      <w:pPr>
        <w:spacing w:before="120" w:line="276" w:lineRule="auto"/>
        <w:ind w:firstLine="709"/>
        <w:jc w:val="both"/>
        <w:rPr>
          <w:rFonts w:ascii="Arial" w:hAnsi="Arial" w:cs="Arial"/>
          <w:color w:val="000000" w:themeColor="text1"/>
          <w:sz w:val="22"/>
          <w:szCs w:val="22"/>
          <w:lang w:val="es-ES_tradnl"/>
        </w:rPr>
      </w:pPr>
      <w:r w:rsidRPr="00A36636">
        <w:rPr>
          <w:rFonts w:ascii="Arial" w:hAnsi="Arial" w:cs="Arial"/>
          <w:color w:val="000000" w:themeColor="text1"/>
          <w:sz w:val="22"/>
          <w:szCs w:val="22"/>
          <w:lang w:val="es-ES_tradnl"/>
        </w:rPr>
        <w:t xml:space="preserve">En efecto, el factor de desempate </w:t>
      </w:r>
      <w:r w:rsidR="00FE4CDF" w:rsidRPr="00A36636">
        <w:rPr>
          <w:rFonts w:ascii="Arial" w:hAnsi="Arial" w:cs="Arial"/>
          <w:color w:val="000000" w:themeColor="text1"/>
          <w:sz w:val="22"/>
          <w:szCs w:val="22"/>
          <w:lang w:val="es-ES_tradnl"/>
        </w:rPr>
        <w:t>d</w:t>
      </w:r>
      <w:r w:rsidRPr="00A36636">
        <w:rPr>
          <w:rFonts w:ascii="Arial" w:hAnsi="Arial" w:cs="Arial"/>
          <w:color w:val="000000" w:themeColor="text1"/>
          <w:sz w:val="22"/>
          <w:szCs w:val="22"/>
          <w:lang w:val="es-ES_tradnl"/>
        </w:rPr>
        <w:t xml:space="preserve">el artículo 35.4 </w:t>
      </w:r>
      <w:r w:rsidR="0045392F" w:rsidRPr="00A36636">
        <w:rPr>
          <w:rFonts w:ascii="Arial" w:hAnsi="Arial" w:cs="Arial"/>
          <w:color w:val="000000" w:themeColor="text1"/>
          <w:sz w:val="22"/>
          <w:szCs w:val="22"/>
          <w:lang w:val="es-ES_tradnl"/>
        </w:rPr>
        <w:t xml:space="preserve">de la Ley </w:t>
      </w:r>
      <w:r w:rsidR="00FE4CDF" w:rsidRPr="00A36636">
        <w:rPr>
          <w:rFonts w:ascii="Arial" w:hAnsi="Arial" w:cs="Arial"/>
          <w:color w:val="000000" w:themeColor="text1"/>
          <w:sz w:val="22"/>
          <w:szCs w:val="22"/>
          <w:lang w:val="es-ES_tradnl"/>
        </w:rPr>
        <w:t>2069 de 2020</w:t>
      </w:r>
      <w:r w:rsidR="0045392F" w:rsidRPr="00A36636">
        <w:rPr>
          <w:rFonts w:ascii="Arial" w:hAnsi="Arial" w:cs="Arial"/>
          <w:color w:val="000000" w:themeColor="text1"/>
          <w:sz w:val="22"/>
          <w:szCs w:val="22"/>
          <w:lang w:val="es-ES_tradnl"/>
        </w:rPr>
        <w:t xml:space="preserve"> </w:t>
      </w:r>
      <w:r w:rsidR="00F83CE8" w:rsidRPr="00A36636">
        <w:rPr>
          <w:rFonts w:ascii="Arial" w:hAnsi="Arial" w:cs="Arial"/>
          <w:color w:val="000000" w:themeColor="text1"/>
          <w:sz w:val="22"/>
          <w:szCs w:val="22"/>
          <w:lang w:val="es-ES_tradnl"/>
        </w:rPr>
        <w:t>no se refiere a la «</w:t>
      </w:r>
      <w:r w:rsidR="00845007" w:rsidRPr="00A36636">
        <w:rPr>
          <w:rFonts w:ascii="Arial" w:hAnsi="Arial" w:cs="Arial"/>
          <w:color w:val="000000" w:themeColor="text1"/>
          <w:sz w:val="22"/>
          <w:szCs w:val="22"/>
          <w:lang w:val="es-ES_tradnl"/>
        </w:rPr>
        <w:t xml:space="preserve">vinculación en </w:t>
      </w:r>
      <w:r w:rsidR="00F83CE8" w:rsidRPr="00A36636">
        <w:rPr>
          <w:rFonts w:ascii="Arial" w:hAnsi="Arial" w:cs="Arial"/>
          <w:color w:val="000000" w:themeColor="text1"/>
          <w:sz w:val="22"/>
          <w:szCs w:val="22"/>
          <w:lang w:val="es-ES_tradnl"/>
        </w:rPr>
        <w:t>mayor cantidad» de personas mayores</w:t>
      </w:r>
      <w:r w:rsidR="001D632B" w:rsidRPr="00A36636">
        <w:rPr>
          <w:rFonts w:ascii="Arial" w:hAnsi="Arial" w:cs="Arial"/>
          <w:color w:val="000000" w:themeColor="text1"/>
          <w:sz w:val="22"/>
          <w:szCs w:val="22"/>
          <w:lang w:val="es-ES_tradnl"/>
        </w:rPr>
        <w:t xml:space="preserve">. </w:t>
      </w:r>
      <w:r w:rsidR="00E108A7" w:rsidRPr="00A36636">
        <w:rPr>
          <w:rFonts w:ascii="Arial" w:hAnsi="Arial" w:cs="Arial"/>
          <w:color w:val="000000" w:themeColor="text1"/>
          <w:sz w:val="22"/>
          <w:szCs w:val="22"/>
          <w:lang w:val="es-ES_tradnl"/>
        </w:rPr>
        <w:t>En este</w:t>
      </w:r>
      <w:r w:rsidR="00B04FC5" w:rsidRPr="00A36636">
        <w:rPr>
          <w:rFonts w:ascii="Arial" w:hAnsi="Arial" w:cs="Arial"/>
          <w:color w:val="000000" w:themeColor="text1"/>
          <w:sz w:val="22"/>
          <w:szCs w:val="22"/>
          <w:lang w:val="es-ES_tradnl"/>
        </w:rPr>
        <w:t xml:space="preserve"> caso, bastaría comparar el número de personas vin</w:t>
      </w:r>
      <w:r w:rsidR="00E06165" w:rsidRPr="00A36636">
        <w:rPr>
          <w:rFonts w:ascii="Arial" w:hAnsi="Arial" w:cs="Arial"/>
          <w:color w:val="000000" w:themeColor="text1"/>
          <w:sz w:val="22"/>
          <w:szCs w:val="22"/>
          <w:lang w:val="es-ES_tradnl"/>
        </w:rPr>
        <w:t xml:space="preserve">culadas entre cada uno de los proponentes empatados, adjudicando el contrato a aquel </w:t>
      </w:r>
      <w:r w:rsidR="00A32284" w:rsidRPr="00A36636">
        <w:rPr>
          <w:rFonts w:ascii="Arial" w:hAnsi="Arial" w:cs="Arial"/>
          <w:color w:val="000000" w:themeColor="text1"/>
          <w:sz w:val="22"/>
          <w:szCs w:val="22"/>
          <w:lang w:val="es-ES_tradnl"/>
        </w:rPr>
        <w:t xml:space="preserve">que mas tenga. Sin embargo, esta interpretación no es posible en la medida que la norma se refiere a la </w:t>
      </w:r>
      <w:bookmarkStart w:id="5" w:name="_Hlk72758821"/>
      <w:r w:rsidR="009B5B8C" w:rsidRPr="00A36636">
        <w:rPr>
          <w:rFonts w:ascii="Arial" w:hAnsi="Arial" w:cs="Arial"/>
          <w:color w:val="000000" w:themeColor="text1"/>
          <w:sz w:val="22"/>
          <w:szCs w:val="22"/>
          <w:lang w:val="es-ES_tradnl"/>
        </w:rPr>
        <w:t>«</w:t>
      </w:r>
      <w:r w:rsidR="00E108A7" w:rsidRPr="00A36636">
        <w:rPr>
          <w:rFonts w:ascii="Arial" w:hAnsi="Arial" w:cs="Arial"/>
          <w:color w:val="000000" w:themeColor="text1"/>
          <w:sz w:val="22"/>
          <w:szCs w:val="22"/>
          <w:lang w:val="es-ES_tradnl"/>
        </w:rPr>
        <w:t xml:space="preserve">vinculación en </w:t>
      </w:r>
      <w:r w:rsidR="00A32284" w:rsidRPr="00A36636">
        <w:rPr>
          <w:rFonts w:ascii="Arial" w:hAnsi="Arial" w:cs="Arial"/>
          <w:color w:val="000000" w:themeColor="text1"/>
          <w:sz w:val="22"/>
          <w:szCs w:val="22"/>
          <w:lang w:val="es-ES_tradnl"/>
        </w:rPr>
        <w:t>mayor proporción</w:t>
      </w:r>
      <w:r w:rsidR="009B5B8C" w:rsidRPr="00A36636">
        <w:rPr>
          <w:rFonts w:ascii="Arial" w:hAnsi="Arial" w:cs="Arial"/>
          <w:color w:val="000000" w:themeColor="text1"/>
          <w:sz w:val="22"/>
          <w:szCs w:val="22"/>
          <w:lang w:val="es-ES_tradnl"/>
        </w:rPr>
        <w:t>»</w:t>
      </w:r>
      <w:bookmarkEnd w:id="5"/>
      <w:r w:rsidR="009B5B8C" w:rsidRPr="00A36636">
        <w:rPr>
          <w:rFonts w:ascii="Arial" w:hAnsi="Arial" w:cs="Arial"/>
          <w:color w:val="000000" w:themeColor="text1"/>
          <w:sz w:val="22"/>
          <w:szCs w:val="22"/>
          <w:lang w:val="es-ES_tradnl"/>
        </w:rPr>
        <w:t xml:space="preserve">, es decir el número de personas vinculadas </w:t>
      </w:r>
      <w:r w:rsidR="00104A59" w:rsidRPr="00A36636">
        <w:rPr>
          <w:rFonts w:ascii="Arial" w:hAnsi="Arial" w:cs="Arial"/>
          <w:color w:val="000000" w:themeColor="text1"/>
          <w:sz w:val="22"/>
          <w:szCs w:val="22"/>
          <w:lang w:val="es-ES_tradnl"/>
        </w:rPr>
        <w:t>en relación con</w:t>
      </w:r>
      <w:r w:rsidR="000D3A7A" w:rsidRPr="00A36636">
        <w:rPr>
          <w:rFonts w:ascii="Arial" w:hAnsi="Arial" w:cs="Arial"/>
          <w:color w:val="000000" w:themeColor="text1"/>
          <w:sz w:val="22"/>
          <w:szCs w:val="22"/>
          <w:lang w:val="es-ES_tradnl"/>
        </w:rPr>
        <w:t xml:space="preserve"> la planta de personal de los oferentes</w:t>
      </w:r>
      <w:r w:rsidR="00372C2E" w:rsidRPr="00A36636">
        <w:rPr>
          <w:rFonts w:ascii="Arial" w:hAnsi="Arial" w:cs="Arial"/>
          <w:color w:val="000000" w:themeColor="text1"/>
          <w:sz w:val="22"/>
          <w:szCs w:val="22"/>
          <w:lang w:val="es-ES_tradnl"/>
        </w:rPr>
        <w:t>.</w:t>
      </w:r>
    </w:p>
    <w:p w14:paraId="3DFE580C" w14:textId="65ECF95E" w:rsidR="00D22013" w:rsidRPr="00A36636" w:rsidRDefault="008375F5" w:rsidP="00046429">
      <w:pPr>
        <w:spacing w:before="120" w:line="276" w:lineRule="auto"/>
        <w:ind w:firstLine="709"/>
        <w:jc w:val="both"/>
        <w:rPr>
          <w:rFonts w:ascii="Arial" w:hAnsi="Arial" w:cs="Arial"/>
          <w:color w:val="000000" w:themeColor="text1"/>
          <w:sz w:val="22"/>
          <w:szCs w:val="22"/>
          <w:lang w:val="es-ES_tradnl"/>
        </w:rPr>
      </w:pPr>
      <w:r w:rsidRPr="00A36636">
        <w:rPr>
          <w:rFonts w:ascii="Arial" w:hAnsi="Arial" w:cs="Arial"/>
          <w:color w:val="000000" w:themeColor="text1"/>
          <w:sz w:val="22"/>
          <w:szCs w:val="22"/>
          <w:lang w:val="es-ES_tradnl"/>
        </w:rPr>
        <w:t>H</w:t>
      </w:r>
      <w:r w:rsidR="00372C2E" w:rsidRPr="00A36636">
        <w:rPr>
          <w:rFonts w:ascii="Arial" w:hAnsi="Arial" w:cs="Arial"/>
          <w:color w:val="000000" w:themeColor="text1"/>
          <w:sz w:val="22"/>
          <w:szCs w:val="22"/>
          <w:lang w:val="es-ES_tradnl"/>
        </w:rPr>
        <w:t xml:space="preserve">asta ahora </w:t>
      </w:r>
      <w:r w:rsidR="00323907" w:rsidRPr="00A36636">
        <w:rPr>
          <w:rFonts w:ascii="Arial" w:hAnsi="Arial" w:cs="Arial"/>
          <w:color w:val="000000" w:themeColor="text1"/>
          <w:sz w:val="22"/>
          <w:szCs w:val="22"/>
          <w:lang w:val="es-ES_tradnl"/>
        </w:rPr>
        <w:t>no</w:t>
      </w:r>
      <w:r w:rsidR="008C38D4" w:rsidRPr="00A36636">
        <w:rPr>
          <w:rFonts w:ascii="Arial" w:hAnsi="Arial" w:cs="Arial"/>
          <w:color w:val="000000" w:themeColor="text1"/>
          <w:sz w:val="22"/>
          <w:szCs w:val="22"/>
          <w:lang w:val="es-ES_tradnl"/>
        </w:rPr>
        <w:t xml:space="preserve"> existe un</w:t>
      </w:r>
      <w:r w:rsidRPr="00A36636">
        <w:rPr>
          <w:rFonts w:ascii="Arial" w:hAnsi="Arial" w:cs="Arial"/>
          <w:color w:val="000000" w:themeColor="text1"/>
          <w:sz w:val="22"/>
          <w:szCs w:val="22"/>
          <w:lang w:val="es-ES_tradnl"/>
        </w:rPr>
        <w:t xml:space="preserve"> reglamento </w:t>
      </w:r>
      <w:r w:rsidR="008C38D4" w:rsidRPr="00A36636">
        <w:rPr>
          <w:rFonts w:ascii="Arial" w:hAnsi="Arial" w:cs="Arial"/>
          <w:color w:val="000000" w:themeColor="text1"/>
          <w:sz w:val="22"/>
          <w:szCs w:val="22"/>
          <w:lang w:val="es-ES_tradnl"/>
        </w:rPr>
        <w:t>que defina</w:t>
      </w:r>
      <w:r w:rsidR="00323907" w:rsidRPr="00A36636">
        <w:rPr>
          <w:rFonts w:ascii="Arial" w:hAnsi="Arial" w:cs="Arial"/>
          <w:color w:val="000000" w:themeColor="text1"/>
          <w:sz w:val="22"/>
          <w:szCs w:val="22"/>
          <w:lang w:val="es-ES_tradnl"/>
        </w:rPr>
        <w:t xml:space="preserve"> el concepto</w:t>
      </w:r>
      <w:r w:rsidR="00E108A7" w:rsidRPr="00A36636">
        <w:rPr>
          <w:rFonts w:ascii="Arial" w:hAnsi="Arial" w:cs="Arial"/>
          <w:color w:val="000000" w:themeColor="text1"/>
          <w:sz w:val="22"/>
          <w:szCs w:val="22"/>
          <w:lang w:val="es-ES_tradnl"/>
        </w:rPr>
        <w:t xml:space="preserve"> de «vinculación en mayor proporción»</w:t>
      </w:r>
      <w:r w:rsidRPr="00A36636">
        <w:rPr>
          <w:rFonts w:ascii="Arial" w:hAnsi="Arial" w:cs="Arial"/>
          <w:color w:val="000000" w:themeColor="text1"/>
          <w:sz w:val="22"/>
          <w:szCs w:val="22"/>
          <w:lang w:val="es-ES_tradnl"/>
        </w:rPr>
        <w:t xml:space="preserve">, por lo que </w:t>
      </w:r>
      <w:r w:rsidR="009E6B58" w:rsidRPr="00A36636">
        <w:rPr>
          <w:rFonts w:ascii="Arial" w:hAnsi="Arial" w:cs="Arial"/>
          <w:color w:val="000000" w:themeColor="text1"/>
          <w:sz w:val="22"/>
          <w:szCs w:val="22"/>
          <w:lang w:val="es-ES_tradnl"/>
        </w:rPr>
        <w:t>debe entenderse</w:t>
      </w:r>
      <w:r w:rsidRPr="00A36636">
        <w:rPr>
          <w:rFonts w:ascii="Arial" w:hAnsi="Arial" w:cs="Arial"/>
          <w:color w:val="000000" w:themeColor="text1"/>
          <w:sz w:val="22"/>
          <w:szCs w:val="22"/>
          <w:lang w:val="es-ES_tradnl"/>
        </w:rPr>
        <w:t xml:space="preserve"> </w:t>
      </w:r>
      <w:r w:rsidR="00825E01" w:rsidRPr="00A36636">
        <w:rPr>
          <w:rFonts w:ascii="Arial" w:hAnsi="Arial" w:cs="Arial"/>
          <w:color w:val="000000" w:themeColor="text1"/>
          <w:sz w:val="22"/>
          <w:szCs w:val="22"/>
          <w:lang w:val="es-ES_tradnl"/>
        </w:rPr>
        <w:t xml:space="preserve">conforme a las pautas hermenéuticas del </w:t>
      </w:r>
      <w:r w:rsidR="00381D31" w:rsidRPr="00A36636">
        <w:rPr>
          <w:rFonts w:ascii="Arial" w:hAnsi="Arial" w:cs="Arial"/>
          <w:color w:val="000000" w:themeColor="text1"/>
          <w:sz w:val="22"/>
          <w:szCs w:val="22"/>
          <w:lang w:val="es-ES_tradnl"/>
        </w:rPr>
        <w:t>C</w:t>
      </w:r>
      <w:r w:rsidR="00825E01" w:rsidRPr="00A36636">
        <w:rPr>
          <w:rFonts w:ascii="Arial" w:hAnsi="Arial" w:cs="Arial"/>
          <w:color w:val="000000" w:themeColor="text1"/>
          <w:sz w:val="22"/>
          <w:szCs w:val="22"/>
          <w:lang w:val="es-ES_tradnl"/>
        </w:rPr>
        <w:t xml:space="preserve">ódigo </w:t>
      </w:r>
      <w:r w:rsidR="00381D31" w:rsidRPr="00A36636">
        <w:rPr>
          <w:rFonts w:ascii="Arial" w:hAnsi="Arial" w:cs="Arial"/>
          <w:color w:val="000000" w:themeColor="text1"/>
          <w:sz w:val="22"/>
          <w:szCs w:val="22"/>
          <w:lang w:val="es-ES_tradnl"/>
        </w:rPr>
        <w:t>C</w:t>
      </w:r>
      <w:r w:rsidR="00825E01" w:rsidRPr="00A36636">
        <w:rPr>
          <w:rFonts w:ascii="Arial" w:hAnsi="Arial" w:cs="Arial"/>
          <w:color w:val="000000" w:themeColor="text1"/>
          <w:sz w:val="22"/>
          <w:szCs w:val="22"/>
          <w:lang w:val="es-ES_tradnl"/>
        </w:rPr>
        <w:t>ivil</w:t>
      </w:r>
      <w:r w:rsidR="00372C2E" w:rsidRPr="00A36636">
        <w:rPr>
          <w:rFonts w:ascii="Arial" w:hAnsi="Arial" w:cs="Arial"/>
          <w:color w:val="000000" w:themeColor="text1"/>
          <w:sz w:val="22"/>
          <w:szCs w:val="22"/>
          <w:lang w:val="es-ES_tradnl"/>
        </w:rPr>
        <w:t>.</w:t>
      </w:r>
      <w:r w:rsidR="00A32284" w:rsidRPr="00A36636">
        <w:rPr>
          <w:rFonts w:ascii="Arial" w:hAnsi="Arial" w:cs="Arial"/>
          <w:color w:val="000000" w:themeColor="text1"/>
          <w:sz w:val="22"/>
          <w:szCs w:val="22"/>
          <w:lang w:val="es-ES_tradnl"/>
        </w:rPr>
        <w:t xml:space="preserve"> </w:t>
      </w:r>
      <w:r w:rsidR="00B45EEA" w:rsidRPr="00A36636">
        <w:rPr>
          <w:rFonts w:ascii="Arial" w:hAnsi="Arial" w:cs="Arial"/>
          <w:color w:val="000000" w:themeColor="text1"/>
          <w:sz w:val="22"/>
          <w:szCs w:val="22"/>
          <w:lang w:val="es-ES_tradnl"/>
        </w:rPr>
        <w:t>Por tanto, es necesario precisar el alcance del Concepto C-015 de</w:t>
      </w:r>
      <w:r w:rsidR="00567775" w:rsidRPr="00A36636">
        <w:rPr>
          <w:rFonts w:ascii="Arial" w:hAnsi="Arial" w:cs="Arial"/>
          <w:color w:val="000000" w:themeColor="text1"/>
          <w:sz w:val="22"/>
          <w:szCs w:val="22"/>
          <w:lang w:val="es-ES_tradnl"/>
        </w:rPr>
        <w:t>l 4 de febrero de</w:t>
      </w:r>
      <w:r w:rsidR="00B45EEA" w:rsidRPr="00A36636">
        <w:rPr>
          <w:rFonts w:ascii="Arial" w:hAnsi="Arial" w:cs="Arial"/>
          <w:color w:val="000000" w:themeColor="text1"/>
          <w:sz w:val="22"/>
          <w:szCs w:val="22"/>
          <w:lang w:val="es-ES_tradnl"/>
        </w:rPr>
        <w:t xml:space="preserve"> 2021</w:t>
      </w:r>
      <w:r w:rsidR="00F83CE8" w:rsidRPr="00A36636">
        <w:rPr>
          <w:rFonts w:ascii="Arial" w:hAnsi="Arial" w:cs="Arial"/>
          <w:color w:val="000000" w:themeColor="text1"/>
          <w:sz w:val="22"/>
          <w:szCs w:val="22"/>
          <w:lang w:val="es-ES_tradnl"/>
        </w:rPr>
        <w:t xml:space="preserve"> </w:t>
      </w:r>
      <w:r w:rsidR="00567775" w:rsidRPr="00A36636">
        <w:rPr>
          <w:rFonts w:ascii="Arial" w:hAnsi="Arial" w:cs="Arial"/>
          <w:color w:val="000000" w:themeColor="text1"/>
          <w:sz w:val="22"/>
          <w:szCs w:val="22"/>
          <w:lang w:val="es-ES_tradnl"/>
        </w:rPr>
        <w:t>en el sentido</w:t>
      </w:r>
      <w:r w:rsidR="00CA01EF" w:rsidRPr="00A36636">
        <w:rPr>
          <w:rFonts w:ascii="Arial" w:hAnsi="Arial" w:cs="Arial"/>
          <w:color w:val="000000" w:themeColor="text1"/>
          <w:sz w:val="22"/>
          <w:szCs w:val="22"/>
          <w:lang w:val="es-ES_tradnl"/>
        </w:rPr>
        <w:t xml:space="preserve"> </w:t>
      </w:r>
      <w:r w:rsidR="001A731F" w:rsidRPr="00A36636">
        <w:rPr>
          <w:rFonts w:ascii="Arial" w:hAnsi="Arial" w:cs="Arial"/>
          <w:color w:val="000000" w:themeColor="text1"/>
          <w:sz w:val="22"/>
          <w:szCs w:val="22"/>
          <w:lang w:val="es-ES_tradnl"/>
        </w:rPr>
        <w:t xml:space="preserve">que el artículo 35.4 de la Ley de Emprendimiento se refiere al número de personas vinculadas por el oferente que «no sean beneficiarios de la pensión de vejez, familiar o de sobrevivencia y que hayan cumplido el requisito de edad de pensión establecido en la Ley», precisando que la «vinculación en mayor proporción» debe analizarse respecto al número de trabajadores de la planta de personal. </w:t>
      </w:r>
      <w:r w:rsidR="00876DB3" w:rsidRPr="00A36636">
        <w:rPr>
          <w:rFonts w:ascii="Arial" w:hAnsi="Arial" w:cs="Arial"/>
          <w:color w:val="000000" w:themeColor="text1"/>
          <w:sz w:val="22"/>
          <w:szCs w:val="22"/>
          <w:lang w:val="es-ES_tradnl"/>
        </w:rPr>
        <w:t xml:space="preserve"> </w:t>
      </w:r>
      <w:r w:rsidR="00B740FD" w:rsidRPr="00A36636">
        <w:rPr>
          <w:rFonts w:ascii="Arial" w:hAnsi="Arial" w:cs="Arial"/>
          <w:color w:val="000000" w:themeColor="text1"/>
          <w:sz w:val="22"/>
          <w:szCs w:val="22"/>
          <w:lang w:val="es-ES_tradnl"/>
        </w:rPr>
        <w:t xml:space="preserve"> </w:t>
      </w:r>
      <w:r w:rsidR="00781FFF" w:rsidRPr="00A36636">
        <w:rPr>
          <w:rFonts w:ascii="Arial" w:hAnsi="Arial" w:cs="Arial"/>
          <w:color w:val="000000" w:themeColor="text1"/>
          <w:sz w:val="22"/>
          <w:szCs w:val="22"/>
          <w:lang w:val="es-ES_tradnl"/>
        </w:rPr>
        <w:t xml:space="preserve"> </w:t>
      </w:r>
    </w:p>
    <w:p w14:paraId="391207BA" w14:textId="1577335A" w:rsidR="00FD313C" w:rsidRPr="00A36636" w:rsidRDefault="00FD313C" w:rsidP="00FD313C">
      <w:pPr>
        <w:spacing w:before="120" w:line="276" w:lineRule="auto"/>
        <w:ind w:firstLine="709"/>
        <w:jc w:val="both"/>
        <w:rPr>
          <w:rFonts w:ascii="Arial" w:hAnsi="Arial" w:cs="Arial"/>
          <w:color w:val="000000" w:themeColor="text1"/>
          <w:sz w:val="22"/>
          <w:szCs w:val="22"/>
          <w:lang w:val="es-ES_tradnl"/>
        </w:rPr>
      </w:pPr>
      <w:r w:rsidRPr="00A36636">
        <w:rPr>
          <w:rFonts w:ascii="Arial" w:hAnsi="Arial" w:cs="Arial"/>
          <w:color w:val="000000" w:themeColor="text1"/>
          <w:sz w:val="22"/>
          <w:szCs w:val="22"/>
          <w:lang w:val="es-ES_tradnl"/>
        </w:rPr>
        <w:t xml:space="preserve">Teniendo en cuenta que el numeral no distingue tipos de oferente, </w:t>
      </w:r>
      <w:r w:rsidR="004F5E3D" w:rsidRPr="00A36636">
        <w:rPr>
          <w:rFonts w:ascii="Arial" w:hAnsi="Arial" w:cs="Arial"/>
          <w:color w:val="000000" w:themeColor="text1"/>
          <w:sz w:val="22"/>
          <w:szCs w:val="22"/>
          <w:lang w:val="es-ES_tradnl"/>
        </w:rPr>
        <w:t xml:space="preserve">este </w:t>
      </w:r>
      <w:r w:rsidRPr="00A36636">
        <w:rPr>
          <w:rFonts w:ascii="Arial" w:hAnsi="Arial" w:cs="Arial"/>
          <w:color w:val="000000" w:themeColor="text1"/>
          <w:sz w:val="22"/>
          <w:szCs w:val="22"/>
          <w:lang w:val="es-ES_tradnl"/>
        </w:rPr>
        <w:t>criterio de desempate debe aplicar</w:t>
      </w:r>
      <w:r w:rsidR="004F5E3D" w:rsidRPr="00A36636">
        <w:rPr>
          <w:rFonts w:ascii="Arial" w:hAnsi="Arial" w:cs="Arial"/>
          <w:color w:val="000000" w:themeColor="text1"/>
          <w:sz w:val="22"/>
          <w:szCs w:val="22"/>
          <w:lang w:val="es-ES_tradnl"/>
        </w:rPr>
        <w:t>se</w:t>
      </w:r>
      <w:r w:rsidRPr="00A36636">
        <w:rPr>
          <w:rFonts w:ascii="Arial" w:hAnsi="Arial" w:cs="Arial"/>
          <w:color w:val="000000" w:themeColor="text1"/>
          <w:sz w:val="22"/>
          <w:szCs w:val="22"/>
          <w:lang w:val="es-ES_tradnl"/>
        </w:rPr>
        <w:t xml:space="preserve"> también a proponentes plurales. En este caso el proponente plural debe acreditar la proporción de personas mayores vinculadas a aquel y que además «no sean beneficiarios de la pensión de vejez, familiar o de sobrevivencia y que hayan cumplido el requisito de edad de pensión establecido en la Ley», para beneficiar</w:t>
      </w:r>
      <w:r w:rsidR="00131810" w:rsidRPr="00A36636">
        <w:rPr>
          <w:rFonts w:ascii="Arial" w:hAnsi="Arial" w:cs="Arial"/>
          <w:color w:val="000000" w:themeColor="text1"/>
          <w:sz w:val="22"/>
          <w:szCs w:val="22"/>
          <w:lang w:val="es-ES_tradnl"/>
        </w:rPr>
        <w:t>se</w:t>
      </w:r>
      <w:r w:rsidRPr="00A36636">
        <w:rPr>
          <w:rFonts w:ascii="Arial" w:hAnsi="Arial" w:cs="Arial"/>
          <w:color w:val="000000" w:themeColor="text1"/>
          <w:sz w:val="22"/>
          <w:szCs w:val="22"/>
          <w:lang w:val="es-ES_tradnl"/>
        </w:rPr>
        <w:t xml:space="preserve"> del factor de desempate. La norma guarda silencio sobre la acreditación de la condición que da lugar la aplicación del factor de desempate. Por tanto, esta Agencia considera que, sin perjuicio de que el reglamento que expida el gobierno nacional determine un medio de acreditación especial, existe libertad probatoria sobre el tema. En consecuencia, la entidad estatal contratante puede determinar en el pliego de condiciones o documento equivalente cuál será el medio pertinente y conducente que permitirá evidenciar la vinculación de las personas mayores por parte del oferente.</w:t>
      </w:r>
    </w:p>
    <w:p w14:paraId="08005E80" w14:textId="77777777" w:rsidR="005F361A" w:rsidRPr="00A36636" w:rsidRDefault="002A7D84" w:rsidP="00FD5443">
      <w:pPr>
        <w:spacing w:before="120" w:line="276" w:lineRule="auto"/>
        <w:ind w:firstLine="709"/>
        <w:jc w:val="both"/>
        <w:rPr>
          <w:rFonts w:ascii="Arial" w:hAnsi="Arial" w:cs="Arial"/>
          <w:color w:val="000000" w:themeColor="text1"/>
          <w:sz w:val="22"/>
          <w:szCs w:val="22"/>
          <w:lang w:val="es-ES_tradnl"/>
        </w:rPr>
      </w:pPr>
      <w:r w:rsidRPr="00A36636">
        <w:rPr>
          <w:rFonts w:ascii="Arial" w:hAnsi="Arial" w:cs="Arial"/>
          <w:color w:val="000000" w:themeColor="text1"/>
          <w:sz w:val="22"/>
          <w:szCs w:val="22"/>
          <w:lang w:val="es-ES_tradnl"/>
        </w:rPr>
        <w:t>Finalmente, si bien los factores de desempate regulados en el artículo 35 deben aplicarse «</w:t>
      </w:r>
      <w:r w:rsidRPr="00A36636">
        <w:rPr>
          <w:rFonts w:ascii="Arial" w:hAnsi="Arial" w:cs="Arial"/>
          <w:sz w:val="22"/>
          <w:szCs w:val="22"/>
          <w:lang w:val="es-ES_tradnl"/>
        </w:rPr>
        <w:t xml:space="preserve">[…] </w:t>
      </w:r>
      <w:r w:rsidRPr="00A36636">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w:t>
      </w:r>
      <w:r w:rsidRPr="00A36636">
        <w:rPr>
          <w:rFonts w:ascii="Arial" w:hAnsi="Arial" w:cs="Arial"/>
          <w:color w:val="000000" w:themeColor="text1"/>
          <w:sz w:val="22"/>
          <w:szCs w:val="22"/>
          <w:lang w:val="es-ES_tradnl"/>
        </w:rPr>
        <w:lastRenderedPageBreak/>
        <w:t>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14:paraId="1523A9FF" w14:textId="0A221ED7" w:rsidR="0016204B" w:rsidRPr="00A36636" w:rsidRDefault="005F361A" w:rsidP="00AC4AD2">
      <w:pPr>
        <w:spacing w:before="120" w:line="276" w:lineRule="auto"/>
        <w:ind w:firstLine="709"/>
        <w:jc w:val="both"/>
        <w:rPr>
          <w:rFonts w:ascii="Arial" w:hAnsi="Arial" w:cs="Arial"/>
          <w:color w:val="000000" w:themeColor="text1"/>
          <w:sz w:val="22"/>
          <w:szCs w:val="22"/>
          <w:lang w:val="es-ES_tradnl"/>
        </w:rPr>
      </w:pPr>
      <w:r w:rsidRPr="00A36636">
        <w:rPr>
          <w:rFonts w:ascii="Arial" w:hAnsi="Arial" w:cs="Arial"/>
          <w:color w:val="000000" w:themeColor="text1"/>
          <w:sz w:val="22"/>
          <w:szCs w:val="22"/>
          <w:lang w:val="es-ES_tradnl"/>
        </w:rPr>
        <w:t>S</w:t>
      </w:r>
      <w:r w:rsidR="00FD5443" w:rsidRPr="00A36636">
        <w:rPr>
          <w:rFonts w:ascii="Arial" w:hAnsi="Arial" w:cs="Arial"/>
          <w:color w:val="000000" w:themeColor="text1"/>
          <w:sz w:val="22"/>
          <w:szCs w:val="22"/>
          <w:lang w:val="es-ES_tradnl"/>
        </w:rPr>
        <w:t xml:space="preserve">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w:t>
      </w:r>
      <w:r w:rsidR="007B209C" w:rsidRPr="00A36636">
        <w:rPr>
          <w:rFonts w:ascii="Arial" w:hAnsi="Arial" w:cs="Arial"/>
          <w:color w:val="000000" w:themeColor="text1"/>
          <w:sz w:val="22"/>
          <w:szCs w:val="22"/>
          <w:lang w:val="es-ES_tradnl"/>
        </w:rPr>
        <w:t>2069</w:t>
      </w:r>
      <w:r w:rsidR="00FD5443" w:rsidRPr="00A36636">
        <w:rPr>
          <w:rFonts w:ascii="Arial" w:hAnsi="Arial" w:cs="Arial"/>
          <w:color w:val="000000" w:themeColor="text1"/>
          <w:sz w:val="22"/>
          <w:szCs w:val="22"/>
          <w:lang w:val="es-ES_tradnl"/>
        </w:rPr>
        <w:t xml:space="preserve">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r w:rsidR="002A7D84" w:rsidRPr="00A36636">
        <w:rPr>
          <w:rFonts w:ascii="Arial" w:hAnsi="Arial" w:cs="Arial"/>
          <w:color w:val="000000" w:themeColor="text1"/>
          <w:sz w:val="22"/>
          <w:szCs w:val="22"/>
          <w:lang w:val="es-ES_tradnl"/>
        </w:rPr>
        <w:t xml:space="preserve"> </w:t>
      </w:r>
    </w:p>
    <w:p w14:paraId="1F9D5A40" w14:textId="77777777" w:rsidR="00CF1EB8" w:rsidRPr="00A36636" w:rsidRDefault="00CF1EB8" w:rsidP="00510DE9">
      <w:pPr>
        <w:tabs>
          <w:tab w:val="left" w:pos="0"/>
        </w:tabs>
        <w:jc w:val="both"/>
        <w:rPr>
          <w:rFonts w:ascii="Arial" w:eastAsia="Calibri" w:hAnsi="Arial" w:cs="Arial"/>
          <w:b/>
          <w:color w:val="000000" w:themeColor="text1"/>
          <w:sz w:val="22"/>
          <w:lang w:val="es-ES_tradnl"/>
        </w:rPr>
      </w:pPr>
    </w:p>
    <w:p w14:paraId="37CA9805" w14:textId="471FB487" w:rsidR="00DD5B04" w:rsidRPr="00A36636" w:rsidRDefault="004177A6" w:rsidP="00510DE9">
      <w:pPr>
        <w:tabs>
          <w:tab w:val="left" w:pos="0"/>
        </w:tabs>
        <w:jc w:val="both"/>
        <w:rPr>
          <w:rFonts w:ascii="Arial" w:eastAsia="Calibri" w:hAnsi="Arial" w:cs="Arial"/>
          <w:b/>
          <w:color w:val="000000" w:themeColor="text1"/>
          <w:sz w:val="22"/>
          <w:lang w:val="es-ES_tradnl"/>
        </w:rPr>
      </w:pPr>
      <w:r w:rsidRPr="00A36636">
        <w:rPr>
          <w:rFonts w:ascii="Arial" w:eastAsia="Calibri" w:hAnsi="Arial" w:cs="Arial"/>
          <w:b/>
          <w:color w:val="000000" w:themeColor="text1"/>
          <w:sz w:val="22"/>
          <w:lang w:val="es-ES_tradnl"/>
        </w:rPr>
        <w:t>3</w:t>
      </w:r>
      <w:r w:rsidR="00B011A9" w:rsidRPr="00A36636">
        <w:rPr>
          <w:rFonts w:ascii="Arial" w:eastAsia="Calibri" w:hAnsi="Arial" w:cs="Arial"/>
          <w:b/>
          <w:color w:val="000000" w:themeColor="text1"/>
          <w:sz w:val="22"/>
          <w:lang w:val="es-ES_tradnl"/>
        </w:rPr>
        <w:t xml:space="preserve">. </w:t>
      </w:r>
      <w:r w:rsidR="00DD5B04" w:rsidRPr="00A36636">
        <w:rPr>
          <w:rFonts w:ascii="Arial" w:eastAsia="Calibri" w:hAnsi="Arial" w:cs="Arial"/>
          <w:b/>
          <w:color w:val="000000" w:themeColor="text1"/>
          <w:sz w:val="22"/>
          <w:lang w:val="es-ES_tradnl"/>
        </w:rPr>
        <w:t>Respuesta</w:t>
      </w:r>
    </w:p>
    <w:p w14:paraId="6BDFB2E5" w14:textId="77777777" w:rsidR="006817D5" w:rsidRPr="00A36636" w:rsidRDefault="006817D5" w:rsidP="00DF4511">
      <w:pPr>
        <w:ind w:right="709"/>
        <w:jc w:val="both"/>
        <w:rPr>
          <w:rFonts w:ascii="Arial" w:hAnsi="Arial" w:cs="Arial"/>
          <w:color w:val="000000" w:themeColor="text1"/>
          <w:sz w:val="21"/>
          <w:szCs w:val="21"/>
          <w:lang w:val="es-ES_tradnl"/>
        </w:rPr>
      </w:pPr>
    </w:p>
    <w:p w14:paraId="68AE48A4" w14:textId="2D9BE8FA" w:rsidR="008220F4" w:rsidRPr="00A36636" w:rsidRDefault="008220F4" w:rsidP="00046429">
      <w:pPr>
        <w:ind w:left="709" w:right="709"/>
        <w:jc w:val="both"/>
        <w:rPr>
          <w:rFonts w:ascii="Arial" w:hAnsi="Arial" w:cs="Arial"/>
          <w:color w:val="000000" w:themeColor="text1"/>
          <w:sz w:val="21"/>
          <w:szCs w:val="21"/>
          <w:lang w:val="es-ES_tradnl"/>
        </w:rPr>
      </w:pPr>
      <w:r w:rsidRPr="00A36636">
        <w:rPr>
          <w:rFonts w:ascii="Arial" w:hAnsi="Arial" w:cs="Arial"/>
          <w:color w:val="000000" w:themeColor="text1"/>
          <w:sz w:val="21"/>
          <w:szCs w:val="21"/>
          <w:lang w:val="es-ES_tradnl"/>
        </w:rPr>
        <w:t>»1. ¿Las entidades públicas están facultadas para definir dentro en sus procesos de selección diversas fórmulas para determinar la manera de acreditar la vinculación en mayor proporción de personas mayores que no sean beneficiarios de la pensión de vejez, familiar o de sobrevivencia y que hayan cumplido el requisito de edad de pensión establecido en la Ley, tanto para proponentes singulares como plurales?</w:t>
      </w:r>
      <w:r w:rsidR="0071023A" w:rsidRPr="00A36636">
        <w:rPr>
          <w:rFonts w:ascii="Arial" w:hAnsi="Arial" w:cs="Arial"/>
          <w:color w:val="000000" w:themeColor="text1"/>
          <w:sz w:val="21"/>
          <w:szCs w:val="21"/>
          <w:lang w:val="es-ES_tradnl"/>
        </w:rPr>
        <w:t>»</w:t>
      </w:r>
      <w:r w:rsidR="00FF737F" w:rsidRPr="00A36636">
        <w:rPr>
          <w:rFonts w:ascii="Arial" w:hAnsi="Arial" w:cs="Arial"/>
          <w:color w:val="000000" w:themeColor="text1"/>
          <w:sz w:val="21"/>
          <w:szCs w:val="21"/>
          <w:lang w:val="es-ES_tradnl"/>
        </w:rPr>
        <w:t>.</w:t>
      </w:r>
    </w:p>
    <w:p w14:paraId="0125AEF9" w14:textId="2DEEB0F1" w:rsidR="008220F4" w:rsidRPr="00A36636" w:rsidRDefault="008220F4" w:rsidP="008220F4">
      <w:pPr>
        <w:ind w:left="709" w:right="709"/>
        <w:jc w:val="both"/>
        <w:rPr>
          <w:rFonts w:ascii="Arial" w:hAnsi="Arial" w:cs="Arial"/>
          <w:color w:val="000000" w:themeColor="text1"/>
          <w:sz w:val="21"/>
          <w:szCs w:val="21"/>
          <w:lang w:val="es-ES_tradnl"/>
        </w:rPr>
      </w:pPr>
    </w:p>
    <w:p w14:paraId="3906CA8B" w14:textId="53C26ED9" w:rsidR="00E31B76" w:rsidRPr="00A36636" w:rsidRDefault="00B30FDD" w:rsidP="0071023A">
      <w:pPr>
        <w:spacing w:line="276" w:lineRule="auto"/>
        <w:jc w:val="both"/>
        <w:rPr>
          <w:rFonts w:ascii="Arial" w:hAnsi="Arial" w:cs="Arial"/>
          <w:color w:val="000000" w:themeColor="text1"/>
          <w:sz w:val="22"/>
          <w:szCs w:val="22"/>
          <w:lang w:val="es-ES_tradnl"/>
        </w:rPr>
      </w:pPr>
      <w:r w:rsidRPr="00A36636">
        <w:rPr>
          <w:rFonts w:ascii="Arial" w:hAnsi="Arial" w:cs="Arial"/>
          <w:color w:val="000000" w:themeColor="text1"/>
          <w:sz w:val="22"/>
          <w:szCs w:val="22"/>
          <w:lang w:val="es-ES_tradnl"/>
        </w:rPr>
        <w:t>El numeral 4 del artículo 35 de la Ley 2069 de 2020 guarda silencio sobre la acreditación de la condición que da lugar la aplicación del factor de desempate. Por tanto, esta Agencia considera que, sin perjuicio de que el reglamento que expida el gobierno nacional determine un medio de acreditación especial, existe libertad probatoria sobre el tema.</w:t>
      </w:r>
      <w:r w:rsidR="00ED0510" w:rsidRPr="00A36636">
        <w:rPr>
          <w:rFonts w:ascii="Arial" w:hAnsi="Arial" w:cs="Arial"/>
          <w:color w:val="000000" w:themeColor="text1"/>
          <w:sz w:val="22"/>
          <w:szCs w:val="22"/>
          <w:lang w:val="es-ES_tradnl"/>
        </w:rPr>
        <w:t xml:space="preserve"> </w:t>
      </w:r>
      <w:r w:rsidRPr="00A36636">
        <w:rPr>
          <w:rFonts w:ascii="Arial" w:hAnsi="Arial" w:cs="Arial"/>
          <w:color w:val="000000" w:themeColor="text1"/>
          <w:sz w:val="22"/>
          <w:szCs w:val="22"/>
          <w:lang w:val="es-ES_tradnl"/>
        </w:rPr>
        <w:t xml:space="preserve">En consecuencia, la entidad estatal contratante puede determinar en el pliego de condiciones o documento equivalente cuál será el medio pertinente y conducente que permitirá evidenciar la vinculación </w:t>
      </w:r>
      <w:r w:rsidR="0002148B" w:rsidRPr="00A36636">
        <w:rPr>
          <w:rFonts w:ascii="Arial" w:hAnsi="Arial" w:cs="Arial"/>
          <w:color w:val="000000" w:themeColor="text1"/>
          <w:sz w:val="22"/>
          <w:szCs w:val="22"/>
          <w:lang w:val="es-ES_tradnl"/>
        </w:rPr>
        <w:t xml:space="preserve">en mayor proporción </w:t>
      </w:r>
      <w:r w:rsidRPr="00A36636">
        <w:rPr>
          <w:rFonts w:ascii="Arial" w:hAnsi="Arial" w:cs="Arial"/>
          <w:color w:val="000000" w:themeColor="text1"/>
          <w:sz w:val="22"/>
          <w:szCs w:val="22"/>
          <w:lang w:val="es-ES_tradnl"/>
        </w:rPr>
        <w:t>de personas mayores no beneficiarias de pensión por parte del oferente.</w:t>
      </w:r>
    </w:p>
    <w:p w14:paraId="4A76B9F9" w14:textId="77777777" w:rsidR="0071023A" w:rsidRPr="00A36636" w:rsidRDefault="0071023A" w:rsidP="0071023A">
      <w:pPr>
        <w:spacing w:line="276" w:lineRule="auto"/>
        <w:jc w:val="both"/>
        <w:rPr>
          <w:rFonts w:ascii="Arial" w:hAnsi="Arial" w:cs="Arial"/>
          <w:color w:val="000000" w:themeColor="text1"/>
          <w:sz w:val="22"/>
          <w:szCs w:val="22"/>
          <w:lang w:val="es-ES_tradnl"/>
        </w:rPr>
      </w:pPr>
    </w:p>
    <w:p w14:paraId="7146E99A" w14:textId="0FAEE230" w:rsidR="008220F4" w:rsidRPr="00A36636" w:rsidRDefault="00ED0510" w:rsidP="00A36636">
      <w:pPr>
        <w:spacing w:after="120"/>
        <w:ind w:left="709" w:right="709"/>
        <w:jc w:val="both"/>
        <w:rPr>
          <w:rFonts w:ascii="Arial" w:hAnsi="Arial" w:cs="Arial"/>
          <w:color w:val="000000" w:themeColor="text1"/>
          <w:sz w:val="21"/>
          <w:szCs w:val="21"/>
          <w:lang w:val="es-ES_tradnl"/>
        </w:rPr>
      </w:pPr>
      <w:r w:rsidRPr="00A36636">
        <w:rPr>
          <w:rFonts w:ascii="Arial" w:hAnsi="Arial" w:cs="Arial"/>
          <w:color w:val="000000" w:themeColor="text1"/>
          <w:sz w:val="21"/>
          <w:szCs w:val="21"/>
          <w:lang w:val="es-ES_tradnl"/>
        </w:rPr>
        <w:t>«</w:t>
      </w:r>
      <w:r w:rsidR="008220F4" w:rsidRPr="00A36636">
        <w:rPr>
          <w:rFonts w:ascii="Arial" w:hAnsi="Arial" w:cs="Arial"/>
          <w:color w:val="000000" w:themeColor="text1"/>
          <w:sz w:val="21"/>
          <w:szCs w:val="21"/>
          <w:lang w:val="es-ES_tradnl"/>
        </w:rPr>
        <w:t xml:space="preserve">2. El </w:t>
      </w:r>
      <w:bookmarkStart w:id="6" w:name="_Hlk72760245"/>
      <w:r w:rsidR="008220F4" w:rsidRPr="00A36636">
        <w:rPr>
          <w:rFonts w:ascii="Arial" w:hAnsi="Arial" w:cs="Arial"/>
          <w:color w:val="000000" w:themeColor="text1"/>
          <w:sz w:val="21"/>
          <w:szCs w:val="21"/>
          <w:lang w:val="es-ES_tradnl"/>
        </w:rPr>
        <w:t>Concepto C-015 de 2021</w:t>
      </w:r>
      <w:bookmarkEnd w:id="6"/>
      <w:r w:rsidR="008220F4" w:rsidRPr="00A36636">
        <w:rPr>
          <w:rFonts w:ascii="Arial" w:hAnsi="Arial" w:cs="Arial"/>
          <w:color w:val="000000" w:themeColor="text1"/>
          <w:sz w:val="21"/>
          <w:szCs w:val="21"/>
          <w:lang w:val="es-ES_tradnl"/>
        </w:rPr>
        <w:t xml:space="preserve"> de la Agencia, sobre el numeral 4 señaló: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 El reglamento podría establecer un método diferente, por ejemplo, definiendo porcentajes, pero hasta ahora esto no ha sucedido”</w:t>
      </w:r>
    </w:p>
    <w:p w14:paraId="487C9F56" w14:textId="131E3D3E" w:rsidR="008220F4" w:rsidRPr="00A36636" w:rsidRDefault="008220F4" w:rsidP="00A36636">
      <w:pPr>
        <w:spacing w:after="120"/>
        <w:ind w:left="709" w:right="709"/>
        <w:jc w:val="both"/>
        <w:rPr>
          <w:rFonts w:ascii="Arial" w:hAnsi="Arial" w:cs="Arial"/>
          <w:color w:val="000000" w:themeColor="text1"/>
          <w:sz w:val="21"/>
          <w:szCs w:val="21"/>
          <w:lang w:val="es-ES_tradnl"/>
        </w:rPr>
      </w:pPr>
      <w:r w:rsidRPr="00A36636">
        <w:rPr>
          <w:rFonts w:ascii="Arial" w:hAnsi="Arial" w:cs="Arial"/>
          <w:color w:val="000000" w:themeColor="text1"/>
          <w:sz w:val="21"/>
          <w:szCs w:val="21"/>
          <w:lang w:val="es-ES_tradnl"/>
        </w:rPr>
        <w:lastRenderedPageBreak/>
        <w:t>»Si, como lo menciona el concepto, la ley beneficia al proponente que vincule mayor número de personas, se entendería que en un proceso en el que se presenten dos proponentes y este resultará</w:t>
      </w:r>
      <w:r w:rsidR="00CA2834" w:rsidRPr="00A36636">
        <w:rPr>
          <w:rFonts w:ascii="Arial" w:hAnsi="Arial" w:cs="Arial"/>
          <w:color w:val="000000" w:themeColor="text1"/>
          <w:sz w:val="21"/>
          <w:szCs w:val="21"/>
          <w:lang w:val="es-ES_tradnl"/>
        </w:rPr>
        <w:t xml:space="preserve"> (sic)</w:t>
      </w:r>
      <w:r w:rsidRPr="00A36636">
        <w:rPr>
          <w:rFonts w:ascii="Arial" w:hAnsi="Arial" w:cs="Arial"/>
          <w:color w:val="000000" w:themeColor="text1"/>
          <w:sz w:val="21"/>
          <w:szCs w:val="21"/>
          <w:lang w:val="es-ES_tradnl"/>
        </w:rPr>
        <w:t xml:space="preserve"> en empate y se diera aplicación al criterio número 4, ¿Ganaría aquel que, sin importar el tamaño de su planta de personal, haya vinculado un mayor número de personas que “reúnan la condición de ser mayores y que </w:t>
      </w:r>
      <w:r w:rsidR="00BB5614" w:rsidRPr="00A36636">
        <w:rPr>
          <w:rFonts w:ascii="Arial" w:hAnsi="Arial" w:cs="Arial"/>
          <w:color w:val="000000" w:themeColor="text1"/>
          <w:sz w:val="21"/>
          <w:szCs w:val="21"/>
          <w:lang w:val="es-ES_tradnl"/>
        </w:rPr>
        <w:t>“</w:t>
      </w:r>
      <w:r w:rsidRPr="00A36636">
        <w:rPr>
          <w:rFonts w:ascii="Arial" w:hAnsi="Arial" w:cs="Arial"/>
          <w:color w:val="000000" w:themeColor="text1"/>
          <w:sz w:val="21"/>
          <w:szCs w:val="21"/>
          <w:lang w:val="es-ES_tradnl"/>
        </w:rPr>
        <w:t>no sean beneficiarios de la pensión de vejez, familiar o de sobrevivencia y que hayan cumplido el requisito de edad de pensión establecido en la Ley</w:t>
      </w:r>
      <w:r w:rsidR="00BB5614" w:rsidRPr="00A36636">
        <w:rPr>
          <w:rFonts w:ascii="Arial" w:hAnsi="Arial" w:cs="Arial"/>
          <w:color w:val="000000" w:themeColor="text1"/>
          <w:sz w:val="21"/>
          <w:szCs w:val="21"/>
          <w:lang w:val="es-ES_tradnl"/>
        </w:rPr>
        <w:t>”</w:t>
      </w:r>
      <w:r w:rsidRPr="00A36636">
        <w:rPr>
          <w:rFonts w:ascii="Arial" w:hAnsi="Arial" w:cs="Arial"/>
          <w:color w:val="000000" w:themeColor="text1"/>
          <w:sz w:val="21"/>
          <w:szCs w:val="21"/>
          <w:lang w:val="es-ES_tradnl"/>
        </w:rPr>
        <w:t>?</w:t>
      </w:r>
    </w:p>
    <w:p w14:paraId="0EBE7A17" w14:textId="111B404E" w:rsidR="0025242E" w:rsidRPr="00A36636" w:rsidRDefault="001B0E11" w:rsidP="0025242E">
      <w:pPr>
        <w:ind w:left="709" w:right="709"/>
        <w:jc w:val="both"/>
        <w:rPr>
          <w:rFonts w:ascii="Arial" w:hAnsi="Arial" w:cs="Arial"/>
          <w:color w:val="000000" w:themeColor="text1"/>
          <w:sz w:val="21"/>
          <w:szCs w:val="21"/>
          <w:lang w:val="es-ES_tradnl"/>
        </w:rPr>
      </w:pPr>
      <w:r w:rsidRPr="00A36636">
        <w:rPr>
          <w:rFonts w:ascii="Arial" w:hAnsi="Arial" w:cs="Arial"/>
          <w:color w:val="000000" w:themeColor="text1"/>
          <w:sz w:val="21"/>
          <w:szCs w:val="21"/>
          <w:lang w:val="es-ES_tradnl"/>
        </w:rPr>
        <w:t>»</w:t>
      </w:r>
      <w:r w:rsidR="0025242E" w:rsidRPr="00A36636">
        <w:rPr>
          <w:rFonts w:ascii="Arial" w:hAnsi="Arial" w:cs="Arial"/>
          <w:color w:val="000000" w:themeColor="text1"/>
          <w:sz w:val="21"/>
          <w:szCs w:val="21"/>
          <w:lang w:val="es-ES_tradnl"/>
        </w:rPr>
        <w:t>3. ¿Es la mayor proporción de que trata el numeral 4 del artículo 35 antes citado, el resultado de tomar la suma de la totalidad de adultos mayores no beneficiarios de pensión de vejez que hayan cumplido con el requisito de edad acreditados por los diferentes proponentes en el marco un proceso público y definir cuántos de estos fueron aportados por cada uno, de manera que quien acredite la mayor cantidad; es decir, la mayor proporción de la base (número de adultos acreditados en el proceso) se haría beneficiario del criterio de desempate?»</w:t>
      </w:r>
      <w:r w:rsidRPr="00A36636">
        <w:rPr>
          <w:rFonts w:ascii="Arial" w:hAnsi="Arial" w:cs="Arial"/>
          <w:color w:val="000000" w:themeColor="text1"/>
          <w:sz w:val="21"/>
          <w:szCs w:val="21"/>
          <w:lang w:val="es-ES_tradnl"/>
        </w:rPr>
        <w:t>.</w:t>
      </w:r>
    </w:p>
    <w:p w14:paraId="6FF97524" w14:textId="7AA8273C" w:rsidR="008220F4" w:rsidRPr="00A36636" w:rsidRDefault="008220F4" w:rsidP="00A36636">
      <w:pPr>
        <w:ind w:right="709"/>
        <w:jc w:val="both"/>
        <w:rPr>
          <w:rFonts w:ascii="Arial" w:hAnsi="Arial" w:cs="Arial"/>
          <w:color w:val="000000" w:themeColor="text1"/>
          <w:sz w:val="21"/>
          <w:szCs w:val="21"/>
          <w:lang w:val="es-ES_tradnl"/>
        </w:rPr>
      </w:pPr>
    </w:p>
    <w:p w14:paraId="17EE1234" w14:textId="43E396BD" w:rsidR="007A0BA5" w:rsidRPr="00A36636" w:rsidRDefault="000B6AFC" w:rsidP="00A36636">
      <w:pPr>
        <w:spacing w:line="276" w:lineRule="auto"/>
        <w:jc w:val="both"/>
        <w:rPr>
          <w:rFonts w:ascii="Arial" w:hAnsi="Arial" w:cs="Arial"/>
          <w:color w:val="000000" w:themeColor="text1"/>
          <w:sz w:val="22"/>
          <w:szCs w:val="22"/>
          <w:lang w:val="es-ES_tradnl"/>
        </w:rPr>
      </w:pPr>
      <w:r w:rsidRPr="00A36636">
        <w:rPr>
          <w:rFonts w:ascii="Arial" w:hAnsi="Arial" w:cs="Arial"/>
          <w:color w:val="000000" w:themeColor="text1"/>
          <w:sz w:val="22"/>
          <w:szCs w:val="22"/>
          <w:lang w:val="es-ES_tradnl"/>
        </w:rPr>
        <w:t>El</w:t>
      </w:r>
      <w:r w:rsidR="00871F0F" w:rsidRPr="00A36636">
        <w:rPr>
          <w:rFonts w:ascii="Arial" w:hAnsi="Arial" w:cs="Arial"/>
          <w:color w:val="000000" w:themeColor="text1"/>
          <w:sz w:val="22"/>
          <w:szCs w:val="22"/>
          <w:lang w:val="es-ES_tradnl"/>
        </w:rPr>
        <w:t xml:space="preserve"> factor de desempate previsto en el</w:t>
      </w:r>
      <w:r w:rsidRPr="00A36636">
        <w:rPr>
          <w:rFonts w:ascii="Arial" w:hAnsi="Arial" w:cs="Arial"/>
          <w:color w:val="000000" w:themeColor="text1"/>
          <w:sz w:val="22"/>
          <w:szCs w:val="22"/>
          <w:lang w:val="es-ES_tradnl"/>
        </w:rPr>
        <w:t xml:space="preserve"> numeral 4 del artículo 35 de la Ley 2069 de 2020 </w:t>
      </w:r>
      <w:r w:rsidR="007A0BA5" w:rsidRPr="00A36636">
        <w:rPr>
          <w:rFonts w:ascii="Arial" w:hAnsi="Arial" w:cs="Arial"/>
          <w:color w:val="000000" w:themeColor="text1"/>
          <w:sz w:val="22"/>
          <w:szCs w:val="22"/>
          <w:lang w:val="es-ES_tradnl"/>
        </w:rPr>
        <w:t xml:space="preserve">se aplica a favor del «[…] oferente que acredite la vinculación en mayor proporción de personas mayores que no sean beneficiarios de la pensión de 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 añadiendo que la «vinculación en mayor proporción» debe analizarse respecto al número de trabajadores de la planta de personal. </w:t>
      </w:r>
    </w:p>
    <w:p w14:paraId="233D1555" w14:textId="77777777" w:rsidR="007A0BA5" w:rsidRPr="00A36636" w:rsidRDefault="007A0BA5" w:rsidP="007A0BA5">
      <w:pPr>
        <w:spacing w:before="120" w:line="276" w:lineRule="auto"/>
        <w:ind w:firstLine="709"/>
        <w:jc w:val="both"/>
        <w:rPr>
          <w:rFonts w:ascii="Arial" w:hAnsi="Arial" w:cs="Arial"/>
          <w:color w:val="000000" w:themeColor="text1"/>
          <w:sz w:val="22"/>
          <w:szCs w:val="22"/>
          <w:lang w:val="es-ES_tradnl"/>
        </w:rPr>
      </w:pPr>
      <w:r w:rsidRPr="00A36636">
        <w:rPr>
          <w:rFonts w:ascii="Arial" w:hAnsi="Arial" w:cs="Arial"/>
          <w:color w:val="000000" w:themeColor="text1"/>
          <w:sz w:val="22"/>
          <w:szCs w:val="22"/>
          <w:lang w:val="es-ES_tradnl"/>
        </w:rPr>
        <w:t>Al respecto, es necesario tener en cuenta que 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en el artículo 29 ibidem, también prescribe que «Las palabras técnicas de toda ciencia o arte se tomarán en el sentido que les den los que profesan la misma ciencia o arte; a menos que aparezca claramente que se han formado en sentido diverso».</w:t>
      </w:r>
    </w:p>
    <w:p w14:paraId="79681972" w14:textId="77777777" w:rsidR="007A0BA5" w:rsidRPr="00A36636" w:rsidRDefault="007A0BA5" w:rsidP="007A0BA5">
      <w:pPr>
        <w:spacing w:before="120" w:line="276" w:lineRule="auto"/>
        <w:ind w:firstLine="709"/>
        <w:jc w:val="both"/>
        <w:rPr>
          <w:rFonts w:ascii="Arial" w:hAnsi="Arial" w:cs="Arial"/>
          <w:color w:val="000000" w:themeColor="text1"/>
          <w:sz w:val="22"/>
          <w:szCs w:val="22"/>
          <w:lang w:val="es-ES_tradnl"/>
        </w:rPr>
      </w:pPr>
      <w:r w:rsidRPr="00A36636">
        <w:rPr>
          <w:rFonts w:ascii="Arial" w:hAnsi="Arial" w:cs="Arial"/>
          <w:color w:val="000000" w:themeColor="text1"/>
          <w:sz w:val="22"/>
          <w:szCs w:val="22"/>
          <w:lang w:val="es-ES_tradnl"/>
        </w:rPr>
        <w:t>Conforme a la definición del Diccionario de la RAE, la palabra «proporción» es la «Igualdad de dos razones». Esta expresión tiene una definición propia en el campo de las matemáticas, pues alude a una relación o razón constante entre diferentes magnitudes que se vayan a medir. Por esta razón, la «[…] mayor proporción de personas mayores que no sean beneficiarios de la pensión de vejez, familiar o de sobrevivencia y que hayan cumplido el requisito de edad de pensión establecido en la Ley» no corresponde a un valor absoluto, sino relativo.</w:t>
      </w:r>
    </w:p>
    <w:p w14:paraId="29A513C4" w14:textId="77777777" w:rsidR="007A0BA5" w:rsidRPr="00A36636" w:rsidRDefault="007A0BA5" w:rsidP="007A0BA5">
      <w:pPr>
        <w:spacing w:before="120" w:line="276" w:lineRule="auto"/>
        <w:ind w:firstLine="709"/>
        <w:jc w:val="both"/>
        <w:rPr>
          <w:rFonts w:ascii="Arial" w:hAnsi="Arial" w:cs="Arial"/>
          <w:color w:val="000000" w:themeColor="text1"/>
          <w:sz w:val="22"/>
          <w:szCs w:val="22"/>
          <w:lang w:val="es-ES_tradnl"/>
        </w:rPr>
      </w:pPr>
      <w:r w:rsidRPr="00A36636">
        <w:rPr>
          <w:rFonts w:ascii="Arial" w:hAnsi="Arial" w:cs="Arial"/>
          <w:color w:val="000000" w:themeColor="text1"/>
          <w:sz w:val="22"/>
          <w:szCs w:val="22"/>
          <w:lang w:val="es-ES_tradnl"/>
        </w:rPr>
        <w:lastRenderedPageBreak/>
        <w:t>En efecto, el factor de desempate del artículo 35.4 de la Ley 2069 de 2020 no se refiere a la «vinculación en mayor cantidad» de personas mayores. En este caso, bastaría comparar el número de personas vinculadas entre cada uno de los proponentes empatados, adjudicando el contrato a aquel que mas tenga. Sin embargo, esta interpretación no es posible en la medida que la norma se refiere a la «vinculación en mayor proporción», es decir el número de personas vinculadas en relación con la planta de personal de los oferentes.</w:t>
      </w:r>
    </w:p>
    <w:p w14:paraId="3CF408AA" w14:textId="77777777" w:rsidR="007A0BA5" w:rsidRPr="00A36636" w:rsidRDefault="007A0BA5" w:rsidP="007A0BA5">
      <w:pPr>
        <w:spacing w:before="120" w:line="276" w:lineRule="auto"/>
        <w:ind w:firstLine="709"/>
        <w:jc w:val="both"/>
        <w:rPr>
          <w:rFonts w:ascii="Arial" w:hAnsi="Arial" w:cs="Arial"/>
          <w:color w:val="000000" w:themeColor="text1"/>
          <w:sz w:val="22"/>
          <w:szCs w:val="22"/>
          <w:lang w:val="es-ES_tradnl"/>
        </w:rPr>
      </w:pPr>
      <w:r w:rsidRPr="00A36636">
        <w:rPr>
          <w:rFonts w:ascii="Arial" w:hAnsi="Arial" w:cs="Arial"/>
          <w:color w:val="000000" w:themeColor="text1"/>
          <w:sz w:val="22"/>
          <w:szCs w:val="22"/>
          <w:lang w:val="es-ES_tradnl"/>
        </w:rPr>
        <w:t xml:space="preserve">Hasta ahora no existe un reglamento que defina el concepto de «vinculación en mayor proporción», por lo que debe entenderse conforme a las pautas hermenéuticas del Código Civil. Por tanto, es necesario precisar el alcance del Concepto C-015 del 4 de febrero de 2021 en el sentido que el artículo 35.4 de la Ley de Emprendimiento se refiere al número de personas vinculadas por el oferente que «no sean beneficiarios de la pensión de vejez, familiar o de sobrevivencia y que hayan cumplido el requisito de edad de pensión establecido en la Ley», precisando que la «vinculación en mayor proporción» debe analizarse respecto al número de trabajadores de la planta de personal.    </w:t>
      </w:r>
    </w:p>
    <w:p w14:paraId="1FF62C86" w14:textId="77777777" w:rsidR="000B6AFC" w:rsidRPr="00A36636" w:rsidRDefault="000B6AFC" w:rsidP="00A36636">
      <w:pPr>
        <w:spacing w:line="276" w:lineRule="auto"/>
        <w:ind w:right="709"/>
        <w:jc w:val="both"/>
        <w:rPr>
          <w:rFonts w:ascii="Arial" w:hAnsi="Arial" w:cs="Arial"/>
          <w:color w:val="000000" w:themeColor="text1"/>
          <w:sz w:val="22"/>
          <w:szCs w:val="22"/>
          <w:lang w:val="es-ES_tradnl"/>
        </w:rPr>
      </w:pPr>
    </w:p>
    <w:p w14:paraId="1DE66669" w14:textId="39387FAE" w:rsidR="008220F4" w:rsidRPr="00A36636" w:rsidRDefault="009230E7" w:rsidP="00A36636">
      <w:pPr>
        <w:spacing w:after="120"/>
        <w:ind w:left="709" w:right="709"/>
        <w:jc w:val="both"/>
        <w:rPr>
          <w:rFonts w:ascii="Arial" w:hAnsi="Arial" w:cs="Arial"/>
          <w:color w:val="000000" w:themeColor="text1"/>
          <w:sz w:val="21"/>
          <w:szCs w:val="21"/>
          <w:lang w:val="es-ES_tradnl"/>
        </w:rPr>
      </w:pPr>
      <w:r w:rsidRPr="00A36636">
        <w:rPr>
          <w:rFonts w:ascii="Arial" w:hAnsi="Arial" w:cs="Arial"/>
          <w:color w:val="000000" w:themeColor="text1"/>
          <w:sz w:val="21"/>
          <w:szCs w:val="21"/>
          <w:lang w:val="es-ES_tradnl"/>
        </w:rPr>
        <w:t>«</w:t>
      </w:r>
      <w:r w:rsidR="008220F4" w:rsidRPr="00A36636">
        <w:rPr>
          <w:rFonts w:ascii="Arial" w:hAnsi="Arial" w:cs="Arial"/>
          <w:color w:val="000000" w:themeColor="text1"/>
          <w:sz w:val="21"/>
          <w:szCs w:val="21"/>
          <w:lang w:val="es-ES_tradnl"/>
        </w:rPr>
        <w:t>4. ¿Cómo se puede aplicar el factor de desempate regulado en el numeral 4 del artículo 35 de la Ley 2069 de 2020 en el caso de proponentes plurales?</w:t>
      </w:r>
    </w:p>
    <w:p w14:paraId="3C62FDA9" w14:textId="66237672" w:rsidR="006A4C45" w:rsidRPr="00A36636" w:rsidRDefault="006A4C45" w:rsidP="00046429">
      <w:pPr>
        <w:ind w:left="709" w:right="709"/>
        <w:jc w:val="both"/>
        <w:rPr>
          <w:rFonts w:ascii="Arial" w:hAnsi="Arial" w:cs="Arial"/>
          <w:color w:val="000000" w:themeColor="text1"/>
          <w:sz w:val="21"/>
          <w:szCs w:val="21"/>
        </w:rPr>
      </w:pPr>
      <w:r w:rsidRPr="00A36636">
        <w:rPr>
          <w:rFonts w:ascii="Arial" w:hAnsi="Arial" w:cs="Arial"/>
          <w:color w:val="000000" w:themeColor="text1"/>
          <w:sz w:val="21"/>
          <w:szCs w:val="21"/>
          <w:lang w:val="es-ES_tradnl"/>
        </w:rPr>
        <w:t>»5. ¿Cuál es el procedimiento de acreditación y evaluación en el caso de estructuras plurales?».</w:t>
      </w:r>
    </w:p>
    <w:p w14:paraId="2AF37EF8" w14:textId="114EFBD3" w:rsidR="008220F4" w:rsidRPr="00A36636" w:rsidRDefault="008220F4" w:rsidP="00A36636">
      <w:pPr>
        <w:spacing w:line="276" w:lineRule="auto"/>
        <w:ind w:right="709"/>
        <w:jc w:val="both"/>
        <w:rPr>
          <w:rFonts w:ascii="Arial" w:hAnsi="Arial" w:cs="Arial"/>
          <w:color w:val="000000" w:themeColor="text1"/>
          <w:sz w:val="22"/>
          <w:szCs w:val="22"/>
          <w:lang w:val="es-ES_tradnl"/>
        </w:rPr>
      </w:pPr>
    </w:p>
    <w:p w14:paraId="2BBEB663" w14:textId="5B79A9D2" w:rsidR="00087BED" w:rsidRPr="00A36636" w:rsidRDefault="008C55FB" w:rsidP="00087BED">
      <w:pPr>
        <w:spacing w:line="276" w:lineRule="auto"/>
        <w:jc w:val="both"/>
        <w:rPr>
          <w:rFonts w:ascii="Arial" w:hAnsi="Arial" w:cs="Arial"/>
          <w:color w:val="000000" w:themeColor="text1"/>
          <w:sz w:val="22"/>
          <w:szCs w:val="22"/>
          <w:lang w:val="es-ES_tradnl"/>
        </w:rPr>
      </w:pPr>
      <w:r w:rsidRPr="00A36636">
        <w:rPr>
          <w:rFonts w:ascii="Arial" w:hAnsi="Arial" w:cs="Arial"/>
          <w:color w:val="000000" w:themeColor="text1"/>
          <w:sz w:val="22"/>
          <w:szCs w:val="22"/>
          <w:lang w:val="es-ES_tradnl"/>
        </w:rPr>
        <w:t>Teniendo en cuenta que el numeral no distingue tipos de oferente, dicho criterio de desempate se debe aplicar también a proponentes plurales. En este caso el proponente plural debe acreditar la proporción de personas mayores vinculadas a aquel y que además «no sean beneficiarios de la pensión de vejez, familiar o de sobrevivencia y que hayan cumplido el requisito de edad de pensión establecido en la Ley», para beneficiar</w:t>
      </w:r>
      <w:r w:rsidR="00CA64F9" w:rsidRPr="00A36636">
        <w:rPr>
          <w:rFonts w:ascii="Arial" w:hAnsi="Arial" w:cs="Arial"/>
          <w:color w:val="000000" w:themeColor="text1"/>
          <w:sz w:val="22"/>
          <w:szCs w:val="22"/>
          <w:lang w:val="es-ES_tradnl"/>
        </w:rPr>
        <w:t>se</w:t>
      </w:r>
      <w:r w:rsidRPr="00A36636">
        <w:rPr>
          <w:rFonts w:ascii="Arial" w:hAnsi="Arial" w:cs="Arial"/>
          <w:color w:val="000000" w:themeColor="text1"/>
          <w:sz w:val="22"/>
          <w:szCs w:val="22"/>
          <w:lang w:val="es-ES_tradnl"/>
        </w:rPr>
        <w:t xml:space="preserve"> del factor de desempate.</w:t>
      </w:r>
      <w:r w:rsidR="00CA64F9" w:rsidRPr="00A36636">
        <w:rPr>
          <w:rFonts w:ascii="Arial" w:hAnsi="Arial" w:cs="Arial"/>
          <w:color w:val="000000" w:themeColor="text1"/>
          <w:sz w:val="22"/>
          <w:szCs w:val="22"/>
          <w:lang w:val="es-ES_tradnl"/>
        </w:rPr>
        <w:t xml:space="preserve"> </w:t>
      </w:r>
      <w:r w:rsidR="00415337" w:rsidRPr="00A36636">
        <w:rPr>
          <w:rFonts w:ascii="Arial" w:hAnsi="Arial" w:cs="Arial"/>
          <w:color w:val="000000" w:themeColor="text1"/>
          <w:sz w:val="22"/>
          <w:szCs w:val="22"/>
          <w:lang w:val="es-ES_tradnl"/>
        </w:rPr>
        <w:t>Ante el silencio de la norma en señalar el procedimiento de acreditación y evaluación para el caso de las estructuras plurales,</w:t>
      </w:r>
      <w:r w:rsidR="00184553" w:rsidRPr="00A36636">
        <w:rPr>
          <w:rFonts w:ascii="Arial" w:hAnsi="Arial" w:cs="Arial"/>
          <w:color w:val="000000" w:themeColor="text1"/>
          <w:sz w:val="22"/>
          <w:szCs w:val="22"/>
          <w:lang w:val="es-ES_tradnl"/>
        </w:rPr>
        <w:t xml:space="preserve"> así como la ausencia de reglamento que lo haga</w:t>
      </w:r>
      <w:r w:rsidR="007A7E4A" w:rsidRPr="00A36636">
        <w:rPr>
          <w:rFonts w:ascii="Arial" w:hAnsi="Arial" w:cs="Arial"/>
          <w:color w:val="000000" w:themeColor="text1"/>
          <w:sz w:val="22"/>
          <w:szCs w:val="22"/>
          <w:lang w:val="es-ES_tradnl"/>
        </w:rPr>
        <w:t>,</w:t>
      </w:r>
      <w:r w:rsidR="00415337" w:rsidRPr="00A36636">
        <w:rPr>
          <w:rFonts w:ascii="Arial" w:hAnsi="Arial" w:cs="Arial"/>
          <w:color w:val="000000" w:themeColor="text1"/>
          <w:sz w:val="22"/>
          <w:szCs w:val="22"/>
          <w:lang w:val="es-ES_tradnl"/>
        </w:rPr>
        <w:t xml:space="preserve"> esta Agencia considera que las entidades estatales cuentan con discrecionalidad administrativa para definir dicha metodología en el pliego de condiciones o documento equivalente, respetando los principios de igualdad y proporcionalidad.</w:t>
      </w:r>
      <w:r w:rsidR="00184553" w:rsidRPr="00A36636">
        <w:rPr>
          <w:rFonts w:ascii="Arial" w:hAnsi="Arial" w:cs="Arial"/>
          <w:color w:val="000000" w:themeColor="text1"/>
          <w:sz w:val="22"/>
          <w:szCs w:val="22"/>
          <w:lang w:val="es-ES_tradnl"/>
        </w:rPr>
        <w:t xml:space="preserve"> </w:t>
      </w:r>
    </w:p>
    <w:p w14:paraId="72DFB499" w14:textId="77777777" w:rsidR="00D536E0" w:rsidRPr="00A36636" w:rsidRDefault="00D536E0" w:rsidP="00A36636">
      <w:pPr>
        <w:spacing w:after="120" w:line="276" w:lineRule="auto"/>
        <w:jc w:val="both"/>
        <w:rPr>
          <w:rFonts w:ascii="Arial" w:hAnsi="Arial" w:cs="Arial"/>
          <w:color w:val="000000" w:themeColor="text1"/>
          <w:sz w:val="22"/>
          <w:lang w:val="es-ES_tradnl"/>
        </w:rPr>
      </w:pPr>
    </w:p>
    <w:p w14:paraId="7B2C921D" w14:textId="0F929B38" w:rsidR="00DD5B04" w:rsidRPr="00A36636" w:rsidRDefault="00DD5B04" w:rsidP="00DF76A2">
      <w:pPr>
        <w:spacing w:line="276" w:lineRule="auto"/>
        <w:jc w:val="both"/>
        <w:rPr>
          <w:rFonts w:ascii="Arial" w:hAnsi="Arial" w:cs="Arial"/>
          <w:color w:val="000000" w:themeColor="text1"/>
          <w:sz w:val="22"/>
          <w:lang w:val="es-ES_tradnl"/>
        </w:rPr>
      </w:pPr>
      <w:r w:rsidRPr="00A36636">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A3663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A3663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36636">
        <w:rPr>
          <w:rFonts w:ascii="Arial" w:hAnsi="Arial" w:cs="Arial"/>
          <w:color w:val="000000" w:themeColor="text1"/>
          <w:sz w:val="22"/>
          <w:szCs w:val="22"/>
          <w:lang w:val="es-ES_tradnl"/>
        </w:rPr>
        <w:t>Atentamente,</w:t>
      </w:r>
    </w:p>
    <w:p w14:paraId="692FC307" w14:textId="210AA6B5" w:rsidR="00921304" w:rsidRPr="00A36636"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6B3D9595" w:rsidR="00921304" w:rsidRPr="00A36636" w:rsidRDefault="00F32549"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lastRenderedPageBreak/>
        <w:drawing>
          <wp:inline distT="0" distB="0" distL="0" distR="0" wp14:anchorId="34A05676" wp14:editId="0621C4E9">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A36636" w:rsidRDefault="00425C43" w:rsidP="00B37657">
      <w:pPr>
        <w:jc w:val="center"/>
        <w:rPr>
          <w:rFonts w:ascii="Arial" w:hAnsi="Arial" w:cs="Arial"/>
          <w:color w:val="000000" w:themeColor="text1"/>
          <w:sz w:val="18"/>
          <w:szCs w:val="20"/>
          <w:lang w:val="es-ES_tradnl" w:eastAsia="es-CO"/>
        </w:rPr>
      </w:pPr>
    </w:p>
    <w:p w14:paraId="49730030" w14:textId="217D35F3" w:rsidR="00DD5B04" w:rsidRPr="00A36636"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36636" w14:paraId="0C7DC5F7" w14:textId="77777777" w:rsidTr="008F4163">
        <w:trPr>
          <w:trHeight w:val="315"/>
        </w:trPr>
        <w:tc>
          <w:tcPr>
            <w:tcW w:w="812" w:type="dxa"/>
            <w:vAlign w:val="center"/>
            <w:hideMark/>
          </w:tcPr>
          <w:p w14:paraId="5BDB1AC9" w14:textId="77777777" w:rsidR="00DD5B04" w:rsidRPr="00A36636" w:rsidRDefault="00DD5B04" w:rsidP="00DF76A2">
            <w:pPr>
              <w:jc w:val="both"/>
              <w:rPr>
                <w:rFonts w:ascii="Arial" w:hAnsi="Arial" w:cs="Arial"/>
                <w:color w:val="000000" w:themeColor="text1"/>
                <w:sz w:val="16"/>
                <w:szCs w:val="16"/>
                <w:lang w:val="es-ES_tradnl" w:eastAsia="es-ES"/>
              </w:rPr>
            </w:pPr>
            <w:r w:rsidRPr="00A3663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A36636" w:rsidRDefault="00DD5B04" w:rsidP="00DF76A2">
            <w:pPr>
              <w:jc w:val="both"/>
              <w:rPr>
                <w:rFonts w:ascii="Arial" w:hAnsi="Arial" w:cs="Arial"/>
                <w:color w:val="000000" w:themeColor="text1"/>
                <w:sz w:val="16"/>
                <w:szCs w:val="16"/>
                <w:lang w:val="es-ES_tradnl" w:eastAsia="es-ES"/>
              </w:rPr>
            </w:pPr>
            <w:r w:rsidRPr="00A36636">
              <w:rPr>
                <w:rFonts w:ascii="Arial" w:hAnsi="Arial" w:cs="Arial"/>
                <w:color w:val="000000" w:themeColor="text1"/>
                <w:sz w:val="16"/>
                <w:szCs w:val="16"/>
                <w:lang w:val="es-ES_tradnl" w:eastAsia="es-ES"/>
              </w:rPr>
              <w:t>Cristian Andrés Díaz Díez</w:t>
            </w:r>
          </w:p>
          <w:p w14:paraId="240C71FD" w14:textId="31312C95" w:rsidR="00DD5B04" w:rsidRPr="00A36636" w:rsidRDefault="00DD5B04" w:rsidP="00DF76A2">
            <w:pPr>
              <w:jc w:val="both"/>
              <w:rPr>
                <w:rFonts w:ascii="Arial" w:hAnsi="Arial" w:cs="Arial"/>
                <w:color w:val="000000" w:themeColor="text1"/>
                <w:sz w:val="16"/>
                <w:szCs w:val="16"/>
                <w:lang w:val="es-ES_tradnl" w:eastAsia="es-ES"/>
              </w:rPr>
            </w:pPr>
            <w:r w:rsidRPr="00A36636">
              <w:rPr>
                <w:rFonts w:ascii="Arial" w:hAnsi="Arial" w:cs="Arial"/>
                <w:color w:val="000000" w:themeColor="text1"/>
                <w:sz w:val="16"/>
                <w:szCs w:val="16"/>
                <w:lang w:val="es-ES_tradnl" w:eastAsia="es-ES"/>
              </w:rPr>
              <w:t>Contratista</w:t>
            </w:r>
            <w:r w:rsidR="00FF0050" w:rsidRPr="00A36636">
              <w:rPr>
                <w:rFonts w:ascii="Arial" w:hAnsi="Arial" w:cs="Arial"/>
                <w:color w:val="000000" w:themeColor="text1"/>
                <w:sz w:val="16"/>
                <w:szCs w:val="16"/>
                <w:lang w:val="es-ES_tradnl" w:eastAsia="es-ES"/>
              </w:rPr>
              <w:t xml:space="preserve"> de la </w:t>
            </w:r>
            <w:r w:rsidRPr="00A36636">
              <w:rPr>
                <w:rFonts w:ascii="Arial" w:hAnsi="Arial" w:cs="Arial"/>
                <w:color w:val="000000" w:themeColor="text1"/>
                <w:sz w:val="16"/>
                <w:szCs w:val="16"/>
                <w:lang w:val="es-ES_tradnl" w:eastAsia="es-ES"/>
              </w:rPr>
              <w:t>Subdirección de Gestión Contractual</w:t>
            </w:r>
          </w:p>
        </w:tc>
      </w:tr>
      <w:tr w:rsidR="00DD5B04" w:rsidRPr="00A36636" w14:paraId="2F8FD650" w14:textId="77777777" w:rsidTr="008F4163">
        <w:trPr>
          <w:trHeight w:val="330"/>
        </w:trPr>
        <w:tc>
          <w:tcPr>
            <w:tcW w:w="812" w:type="dxa"/>
            <w:vAlign w:val="center"/>
            <w:hideMark/>
          </w:tcPr>
          <w:p w14:paraId="50203A0B" w14:textId="77777777" w:rsidR="00DD5B04" w:rsidRPr="00A36636" w:rsidRDefault="00DD5B04" w:rsidP="00DF76A2">
            <w:pPr>
              <w:jc w:val="both"/>
              <w:rPr>
                <w:rFonts w:ascii="Arial" w:hAnsi="Arial" w:cs="Arial"/>
                <w:color w:val="000000" w:themeColor="text1"/>
                <w:sz w:val="16"/>
                <w:szCs w:val="16"/>
                <w:lang w:val="es-ES_tradnl" w:eastAsia="es-ES"/>
              </w:rPr>
            </w:pPr>
            <w:r w:rsidRPr="00A3663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F77323" w14:textId="1ABB4017" w:rsidR="00C05A61" w:rsidRPr="00A36636" w:rsidRDefault="007D231B" w:rsidP="00C05A61">
            <w:pPr>
              <w:jc w:val="both"/>
              <w:rPr>
                <w:rFonts w:ascii="Arial" w:hAnsi="Arial" w:cs="Arial"/>
                <w:color w:val="000000" w:themeColor="text1"/>
                <w:sz w:val="16"/>
                <w:szCs w:val="16"/>
                <w:lang w:val="es-ES_tradnl" w:eastAsia="es-ES"/>
              </w:rPr>
            </w:pPr>
            <w:r w:rsidRPr="00A36636">
              <w:rPr>
                <w:rFonts w:ascii="Arial" w:hAnsi="Arial" w:cs="Arial"/>
                <w:color w:val="000000" w:themeColor="text1"/>
                <w:sz w:val="16"/>
                <w:szCs w:val="16"/>
                <w:lang w:val="es-ES_tradnl" w:eastAsia="es-ES"/>
              </w:rPr>
              <w:t>Juan David Montoya Penagos</w:t>
            </w:r>
          </w:p>
          <w:p w14:paraId="130B3228" w14:textId="259960A1" w:rsidR="00DD5B04" w:rsidRPr="00A36636" w:rsidRDefault="00EF5CA8" w:rsidP="00C05A61">
            <w:pPr>
              <w:jc w:val="both"/>
              <w:rPr>
                <w:rFonts w:ascii="Arial" w:hAnsi="Arial" w:cs="Arial"/>
                <w:color w:val="000000" w:themeColor="text1"/>
                <w:sz w:val="16"/>
                <w:szCs w:val="16"/>
                <w:lang w:val="es-ES_tradnl" w:eastAsia="es-ES"/>
              </w:rPr>
            </w:pPr>
            <w:r w:rsidRPr="00A36636">
              <w:rPr>
                <w:rFonts w:ascii="Arial" w:hAnsi="Arial" w:cs="Arial"/>
                <w:color w:val="000000" w:themeColor="text1"/>
                <w:sz w:val="16"/>
                <w:szCs w:val="16"/>
                <w:lang w:val="es-ES_tradnl" w:eastAsia="es-ES"/>
              </w:rPr>
              <w:t>Gestor T1</w:t>
            </w:r>
            <w:r w:rsidR="008201DE" w:rsidRPr="00A36636">
              <w:rPr>
                <w:rFonts w:ascii="Arial" w:hAnsi="Arial" w:cs="Arial"/>
                <w:color w:val="000000" w:themeColor="text1"/>
                <w:sz w:val="16"/>
                <w:szCs w:val="16"/>
                <w:lang w:val="es-ES_tradnl" w:eastAsia="es-ES"/>
              </w:rPr>
              <w:t>-</w:t>
            </w:r>
            <w:r w:rsidRPr="00A36636">
              <w:rPr>
                <w:rFonts w:ascii="Arial" w:hAnsi="Arial" w:cs="Arial"/>
                <w:color w:val="000000" w:themeColor="text1"/>
                <w:sz w:val="16"/>
                <w:szCs w:val="16"/>
                <w:lang w:val="es-ES_tradnl" w:eastAsia="es-ES"/>
              </w:rPr>
              <w:t>15</w:t>
            </w:r>
            <w:r w:rsidR="008201DE" w:rsidRPr="00A36636">
              <w:rPr>
                <w:rFonts w:ascii="Arial" w:hAnsi="Arial" w:cs="Arial"/>
                <w:color w:val="000000" w:themeColor="text1"/>
                <w:sz w:val="16"/>
                <w:szCs w:val="16"/>
                <w:lang w:val="es-ES_tradnl" w:eastAsia="es-ES"/>
              </w:rPr>
              <w:t xml:space="preserve"> de la Subdirección de Gestión Contractual</w:t>
            </w:r>
          </w:p>
        </w:tc>
      </w:tr>
      <w:tr w:rsidR="00DD5B04" w:rsidRPr="005419DA" w14:paraId="0FCBCA4A" w14:textId="77777777" w:rsidTr="008F4163">
        <w:trPr>
          <w:trHeight w:val="300"/>
        </w:trPr>
        <w:tc>
          <w:tcPr>
            <w:tcW w:w="812" w:type="dxa"/>
            <w:vAlign w:val="center"/>
            <w:hideMark/>
          </w:tcPr>
          <w:p w14:paraId="3C1D943A" w14:textId="77777777" w:rsidR="00DD5B04" w:rsidRPr="00A36636" w:rsidRDefault="00DD5B04" w:rsidP="00DF76A2">
            <w:pPr>
              <w:jc w:val="both"/>
              <w:rPr>
                <w:rFonts w:ascii="Arial" w:hAnsi="Arial" w:cs="Arial"/>
                <w:color w:val="000000" w:themeColor="text1"/>
                <w:sz w:val="16"/>
                <w:szCs w:val="16"/>
                <w:lang w:val="es-ES_tradnl" w:eastAsia="es-ES"/>
              </w:rPr>
            </w:pPr>
            <w:r w:rsidRPr="00A3663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A36636" w:rsidRDefault="00C05A61" w:rsidP="00DF76A2">
            <w:pPr>
              <w:jc w:val="both"/>
              <w:rPr>
                <w:rFonts w:ascii="Arial" w:hAnsi="Arial" w:cs="Arial"/>
                <w:color w:val="000000" w:themeColor="text1"/>
                <w:sz w:val="16"/>
                <w:szCs w:val="16"/>
                <w:lang w:val="es-ES_tradnl" w:eastAsia="es-ES"/>
              </w:rPr>
            </w:pPr>
            <w:r w:rsidRPr="00A36636">
              <w:rPr>
                <w:rFonts w:ascii="Arial" w:hAnsi="Arial" w:cs="Arial"/>
                <w:color w:val="000000" w:themeColor="text1"/>
                <w:sz w:val="16"/>
                <w:szCs w:val="16"/>
                <w:lang w:val="es-ES_tradnl" w:eastAsia="es-ES"/>
              </w:rPr>
              <w:t xml:space="preserve">Jorge </w:t>
            </w:r>
            <w:r w:rsidR="00647A36" w:rsidRPr="00A36636">
              <w:rPr>
                <w:rFonts w:ascii="Arial" w:hAnsi="Arial" w:cs="Arial"/>
                <w:color w:val="000000" w:themeColor="text1"/>
                <w:sz w:val="16"/>
                <w:szCs w:val="16"/>
                <w:lang w:val="es-ES_tradnl" w:eastAsia="es-ES"/>
              </w:rPr>
              <w:t xml:space="preserve">Augusto </w:t>
            </w:r>
            <w:r w:rsidRPr="00A36636">
              <w:rPr>
                <w:rFonts w:ascii="Arial" w:hAnsi="Arial" w:cs="Arial"/>
                <w:color w:val="000000" w:themeColor="text1"/>
                <w:sz w:val="16"/>
                <w:szCs w:val="16"/>
                <w:lang w:val="es-ES_tradnl" w:eastAsia="es-ES"/>
              </w:rPr>
              <w:t>Tirado Navarro</w:t>
            </w:r>
          </w:p>
          <w:p w14:paraId="1ADC483B" w14:textId="2E3B66D0" w:rsidR="00DD5B04" w:rsidRPr="005419DA" w:rsidRDefault="00DD5B04" w:rsidP="00DF76A2">
            <w:pPr>
              <w:jc w:val="both"/>
              <w:rPr>
                <w:rFonts w:ascii="Arial" w:hAnsi="Arial" w:cs="Arial"/>
                <w:color w:val="000000" w:themeColor="text1"/>
                <w:sz w:val="16"/>
                <w:szCs w:val="16"/>
                <w:lang w:val="es-ES_tradnl" w:eastAsia="es-ES"/>
              </w:rPr>
            </w:pPr>
            <w:r w:rsidRPr="00A36636">
              <w:rPr>
                <w:rFonts w:ascii="Arial" w:hAnsi="Arial" w:cs="Arial"/>
                <w:color w:val="000000" w:themeColor="text1"/>
                <w:sz w:val="16"/>
                <w:szCs w:val="16"/>
                <w:lang w:val="es-ES_tradnl" w:eastAsia="es-ES"/>
              </w:rPr>
              <w:t>Subdirector de Gestión Contractual</w:t>
            </w:r>
            <w:r w:rsidR="008201DE" w:rsidRPr="00A36636">
              <w:rPr>
                <w:rFonts w:ascii="Arial" w:hAnsi="Arial" w:cs="Arial"/>
                <w:color w:val="000000" w:themeColor="text1"/>
                <w:sz w:val="16"/>
                <w:szCs w:val="16"/>
                <w:lang w:val="es-ES_tradnl" w:eastAsia="es-ES"/>
              </w:rPr>
              <w:t xml:space="preserve"> ANCP – CCE</w:t>
            </w:r>
          </w:p>
        </w:tc>
      </w:tr>
    </w:tbl>
    <w:p w14:paraId="35B56F46" w14:textId="77777777" w:rsidR="00746E08" w:rsidRPr="005419DA" w:rsidRDefault="00746E08" w:rsidP="00215B8E">
      <w:pPr>
        <w:jc w:val="both"/>
        <w:rPr>
          <w:rFonts w:ascii="Arial" w:hAnsi="Arial" w:cs="Arial"/>
          <w:lang w:val="es-ES_tradnl"/>
        </w:rPr>
      </w:pPr>
    </w:p>
    <w:sectPr w:rsidR="00746E08" w:rsidRPr="005419D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94139" w14:textId="77777777" w:rsidR="00EE6930" w:rsidRDefault="00EE6930">
      <w:r>
        <w:separator/>
      </w:r>
    </w:p>
  </w:endnote>
  <w:endnote w:type="continuationSeparator" w:id="0">
    <w:p w14:paraId="1DF3C1D9" w14:textId="77777777" w:rsidR="00EE6930" w:rsidRDefault="00EE6930">
      <w:r>
        <w:continuationSeparator/>
      </w:r>
    </w:p>
  </w:endnote>
  <w:endnote w:type="continuationNotice" w:id="1">
    <w:p w14:paraId="2AC3BD37" w14:textId="77777777" w:rsidR="00EE6930" w:rsidRDefault="00EE6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2DC5A" w14:textId="77777777" w:rsidR="00EE6930" w:rsidRDefault="00EE6930">
      <w:r>
        <w:separator/>
      </w:r>
    </w:p>
  </w:footnote>
  <w:footnote w:type="continuationSeparator" w:id="0">
    <w:p w14:paraId="6A9BBF35" w14:textId="77777777" w:rsidR="00EE6930" w:rsidRDefault="00EE6930">
      <w:r>
        <w:continuationSeparator/>
      </w:r>
    </w:p>
  </w:footnote>
  <w:footnote w:type="continuationNotice" w:id="1">
    <w:p w14:paraId="3D700DD3" w14:textId="77777777" w:rsidR="00EE6930" w:rsidRDefault="00EE6930"/>
  </w:footnote>
  <w:footnote w:id="2">
    <w:p w14:paraId="2094CC12" w14:textId="77777777" w:rsidR="00A96C6A" w:rsidRPr="00A36636" w:rsidRDefault="00A96C6A" w:rsidP="00A96C6A">
      <w:pPr>
        <w:pStyle w:val="Textonotapie"/>
        <w:ind w:firstLine="709"/>
        <w:jc w:val="both"/>
        <w:rPr>
          <w:rFonts w:ascii="Arial" w:hAnsi="Arial" w:cs="Arial"/>
          <w:sz w:val="19"/>
          <w:szCs w:val="19"/>
          <w:lang w:val="es-ES"/>
        </w:rPr>
      </w:pPr>
      <w:r w:rsidRPr="00A36636">
        <w:rPr>
          <w:rStyle w:val="Refdenotaalpie"/>
          <w:rFonts w:ascii="Arial" w:hAnsi="Arial" w:cs="Arial"/>
          <w:sz w:val="19"/>
          <w:szCs w:val="19"/>
        </w:rPr>
        <w:footnoteRef/>
      </w:r>
      <w:r w:rsidRPr="00A36636">
        <w:rPr>
          <w:rFonts w:ascii="Arial" w:hAnsi="Arial" w:cs="Arial"/>
          <w:sz w:val="19"/>
          <w:szCs w:val="19"/>
        </w:rPr>
        <w:t xml:space="preserve"> </w:t>
      </w:r>
      <w:r w:rsidRPr="00A36636">
        <w:rPr>
          <w:rFonts w:ascii="Arial" w:hAnsi="Arial" w:cs="Arial"/>
          <w:sz w:val="19"/>
          <w:szCs w:val="19"/>
          <w:lang w:val="es-ES"/>
        </w:rPr>
        <w:t>Consejo de Estado. Sección Tercera. Sentencia del 29 de octubre de 2.015. Consejera Ponente: Stella Conto Díaz Del Castillo. Expediente: 31.918.</w:t>
      </w:r>
    </w:p>
    <w:p w14:paraId="0765A1DD" w14:textId="77777777" w:rsidR="00A96C6A" w:rsidRPr="00A36636" w:rsidRDefault="00A96C6A" w:rsidP="00A96C6A">
      <w:pPr>
        <w:pStyle w:val="Textonotapie"/>
        <w:ind w:firstLine="709"/>
        <w:jc w:val="both"/>
        <w:rPr>
          <w:rFonts w:ascii="Arial" w:hAnsi="Arial" w:cs="Arial"/>
          <w:sz w:val="19"/>
          <w:szCs w:val="19"/>
          <w:lang w:val="es-ES"/>
        </w:rPr>
      </w:pPr>
    </w:p>
  </w:footnote>
  <w:footnote w:id="3">
    <w:p w14:paraId="60FF4E29" w14:textId="77777777" w:rsidR="00A96C6A" w:rsidRPr="00A36636" w:rsidRDefault="00A96C6A" w:rsidP="00A96C6A">
      <w:pPr>
        <w:pStyle w:val="Textonotapie"/>
        <w:ind w:firstLine="709"/>
        <w:jc w:val="both"/>
        <w:rPr>
          <w:rFonts w:ascii="Arial" w:hAnsi="Arial" w:cs="Arial"/>
          <w:sz w:val="19"/>
          <w:szCs w:val="19"/>
          <w:lang w:val="es-ES"/>
        </w:rPr>
      </w:pPr>
      <w:r w:rsidRPr="00A36636">
        <w:rPr>
          <w:rStyle w:val="Refdenotaalpie"/>
          <w:rFonts w:ascii="Arial" w:hAnsi="Arial" w:cs="Arial"/>
          <w:sz w:val="19"/>
          <w:szCs w:val="19"/>
        </w:rPr>
        <w:footnoteRef/>
      </w:r>
      <w:r w:rsidRPr="00A36636">
        <w:rPr>
          <w:rFonts w:ascii="Arial" w:hAnsi="Arial" w:cs="Arial"/>
          <w:sz w:val="19"/>
          <w:szCs w:val="19"/>
        </w:rPr>
        <w:t xml:space="preserve"> </w:t>
      </w:r>
      <w:r w:rsidRPr="00A36636">
        <w:rPr>
          <w:rFonts w:ascii="Arial" w:hAnsi="Arial" w:cs="Arial"/>
          <w:sz w:val="19"/>
          <w:szCs w:val="19"/>
          <w:lang w:val="es-ES"/>
        </w:rPr>
        <w:t>Corte Constitucional. Sentencia T-684A del 14 de septiembre de 2011. Magistrado Ponente: Mauricio González Cuervo.</w:t>
      </w:r>
    </w:p>
    <w:p w14:paraId="3D66618C" w14:textId="77777777" w:rsidR="00A96C6A" w:rsidRPr="00A36636" w:rsidRDefault="00A96C6A" w:rsidP="00A96C6A">
      <w:pPr>
        <w:pStyle w:val="Textonotapie"/>
        <w:ind w:firstLine="709"/>
        <w:jc w:val="both"/>
        <w:rPr>
          <w:rFonts w:ascii="Arial" w:hAnsi="Arial" w:cs="Arial"/>
          <w:sz w:val="19"/>
          <w:szCs w:val="19"/>
          <w:lang w:val="es-ES"/>
        </w:rPr>
      </w:pPr>
    </w:p>
  </w:footnote>
  <w:footnote w:id="4">
    <w:p w14:paraId="1BB90BDB" w14:textId="77777777" w:rsidR="00A96C6A" w:rsidRPr="00A36636" w:rsidRDefault="00A96C6A" w:rsidP="00A96C6A">
      <w:pPr>
        <w:pStyle w:val="Textonotapie"/>
        <w:ind w:firstLine="709"/>
        <w:jc w:val="both"/>
        <w:rPr>
          <w:rFonts w:ascii="Arial" w:hAnsi="Arial" w:cs="Arial"/>
          <w:sz w:val="19"/>
          <w:szCs w:val="19"/>
          <w:lang w:val="es-ES"/>
        </w:rPr>
      </w:pPr>
      <w:r w:rsidRPr="00A36636">
        <w:rPr>
          <w:rStyle w:val="Refdenotaalpie"/>
          <w:rFonts w:ascii="Arial" w:hAnsi="Arial" w:cs="Arial"/>
          <w:sz w:val="19"/>
          <w:szCs w:val="19"/>
        </w:rPr>
        <w:footnoteRef/>
      </w:r>
      <w:r w:rsidRPr="00A36636">
        <w:rPr>
          <w:rFonts w:ascii="Arial" w:hAnsi="Arial" w:cs="Arial"/>
          <w:sz w:val="19"/>
          <w:szCs w:val="19"/>
        </w:rPr>
        <w:t xml:space="preserve"> </w:t>
      </w:r>
      <w:r w:rsidRPr="00A36636">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25089BCA" w14:textId="77777777" w:rsidR="00A96C6A" w:rsidRPr="00A36636" w:rsidRDefault="00A96C6A" w:rsidP="00A96C6A">
      <w:pPr>
        <w:pStyle w:val="Textonotapie"/>
        <w:ind w:firstLine="709"/>
        <w:jc w:val="both"/>
        <w:rPr>
          <w:rFonts w:ascii="Arial" w:hAnsi="Arial" w:cs="Arial"/>
          <w:sz w:val="19"/>
          <w:szCs w:val="19"/>
          <w:lang w:val="es-CO"/>
        </w:rPr>
      </w:pPr>
    </w:p>
  </w:footnote>
  <w:footnote w:id="5">
    <w:p w14:paraId="564D55F2" w14:textId="77777777" w:rsidR="00A96C6A" w:rsidRPr="00A36636" w:rsidRDefault="00A96C6A" w:rsidP="00A96C6A">
      <w:pPr>
        <w:pStyle w:val="Textonotapie"/>
        <w:ind w:firstLine="709"/>
        <w:jc w:val="both"/>
        <w:rPr>
          <w:rFonts w:ascii="Arial" w:hAnsi="Arial" w:cs="Arial"/>
          <w:sz w:val="19"/>
          <w:szCs w:val="19"/>
          <w:lang w:val="es-ES"/>
        </w:rPr>
      </w:pPr>
      <w:r w:rsidRPr="00A36636">
        <w:rPr>
          <w:rStyle w:val="Refdenotaalpie"/>
          <w:rFonts w:ascii="Arial" w:hAnsi="Arial" w:cs="Arial"/>
          <w:sz w:val="19"/>
          <w:szCs w:val="19"/>
        </w:rPr>
        <w:footnoteRef/>
      </w:r>
      <w:r w:rsidRPr="00A36636">
        <w:rPr>
          <w:rFonts w:ascii="Arial" w:hAnsi="Arial" w:cs="Arial"/>
          <w:sz w:val="19"/>
          <w:szCs w:val="19"/>
        </w:rPr>
        <w:t xml:space="preserve"> </w:t>
      </w:r>
      <w:r w:rsidRPr="00A36636">
        <w:rPr>
          <w:rFonts w:ascii="Arial" w:hAnsi="Arial" w:cs="Arial"/>
          <w:sz w:val="19"/>
          <w:szCs w:val="19"/>
          <w:lang w:val="es-ES"/>
        </w:rPr>
        <w:t>Artículos 2 al 29.</w:t>
      </w:r>
    </w:p>
    <w:p w14:paraId="6FE6FC47" w14:textId="77777777" w:rsidR="00A96C6A" w:rsidRPr="00A36636" w:rsidRDefault="00A96C6A" w:rsidP="00A96C6A">
      <w:pPr>
        <w:pStyle w:val="Textonotapie"/>
        <w:ind w:firstLine="709"/>
        <w:jc w:val="both"/>
        <w:rPr>
          <w:rFonts w:ascii="Arial" w:hAnsi="Arial" w:cs="Arial"/>
          <w:sz w:val="19"/>
          <w:szCs w:val="19"/>
          <w:lang w:val="es-ES"/>
        </w:rPr>
      </w:pPr>
    </w:p>
  </w:footnote>
  <w:footnote w:id="6">
    <w:p w14:paraId="0B69280E" w14:textId="77777777" w:rsidR="00A96C6A" w:rsidRPr="00A36636" w:rsidRDefault="00A96C6A" w:rsidP="00A96C6A">
      <w:pPr>
        <w:pStyle w:val="Textonotapie"/>
        <w:ind w:firstLine="709"/>
        <w:jc w:val="both"/>
        <w:rPr>
          <w:rFonts w:ascii="Arial" w:hAnsi="Arial" w:cs="Arial"/>
          <w:sz w:val="19"/>
          <w:szCs w:val="19"/>
          <w:lang w:val="es-ES"/>
        </w:rPr>
      </w:pPr>
      <w:r w:rsidRPr="00A36636">
        <w:rPr>
          <w:rStyle w:val="Refdenotaalpie"/>
          <w:rFonts w:ascii="Arial" w:hAnsi="Arial" w:cs="Arial"/>
          <w:sz w:val="19"/>
          <w:szCs w:val="19"/>
        </w:rPr>
        <w:footnoteRef/>
      </w:r>
      <w:r w:rsidRPr="00A36636">
        <w:rPr>
          <w:rFonts w:ascii="Arial" w:hAnsi="Arial" w:cs="Arial"/>
          <w:sz w:val="19"/>
          <w:szCs w:val="19"/>
        </w:rPr>
        <w:t xml:space="preserve"> </w:t>
      </w:r>
      <w:r w:rsidRPr="00A36636">
        <w:rPr>
          <w:rFonts w:ascii="Arial" w:hAnsi="Arial" w:cs="Arial"/>
          <w:sz w:val="19"/>
          <w:szCs w:val="19"/>
          <w:lang w:val="es-ES"/>
        </w:rPr>
        <w:t>Artículos 30 al 36.</w:t>
      </w:r>
    </w:p>
    <w:p w14:paraId="5C326917" w14:textId="77777777" w:rsidR="00A96C6A" w:rsidRPr="00A36636" w:rsidRDefault="00A96C6A" w:rsidP="00A96C6A">
      <w:pPr>
        <w:pStyle w:val="Textonotapie"/>
        <w:ind w:firstLine="709"/>
        <w:jc w:val="both"/>
        <w:rPr>
          <w:rFonts w:ascii="Arial" w:hAnsi="Arial" w:cs="Arial"/>
          <w:sz w:val="19"/>
          <w:szCs w:val="19"/>
          <w:lang w:val="es-ES"/>
        </w:rPr>
      </w:pPr>
    </w:p>
  </w:footnote>
  <w:footnote w:id="7">
    <w:p w14:paraId="14F6868D" w14:textId="77777777" w:rsidR="00A96C6A" w:rsidRPr="00A36636" w:rsidRDefault="00A96C6A" w:rsidP="00A96C6A">
      <w:pPr>
        <w:pStyle w:val="Textonotapie"/>
        <w:ind w:firstLine="709"/>
        <w:jc w:val="both"/>
        <w:rPr>
          <w:rFonts w:ascii="Arial" w:hAnsi="Arial" w:cs="Arial"/>
          <w:sz w:val="19"/>
          <w:szCs w:val="19"/>
          <w:lang w:val="es-ES"/>
        </w:rPr>
      </w:pPr>
      <w:r w:rsidRPr="00A36636">
        <w:rPr>
          <w:rStyle w:val="Refdenotaalpie"/>
          <w:rFonts w:ascii="Arial" w:hAnsi="Arial" w:cs="Arial"/>
          <w:sz w:val="19"/>
          <w:szCs w:val="19"/>
        </w:rPr>
        <w:footnoteRef/>
      </w:r>
      <w:r w:rsidRPr="00A36636">
        <w:rPr>
          <w:rFonts w:ascii="Arial" w:hAnsi="Arial" w:cs="Arial"/>
          <w:sz w:val="19"/>
          <w:szCs w:val="19"/>
        </w:rPr>
        <w:t xml:space="preserve"> </w:t>
      </w:r>
      <w:r w:rsidRPr="00A36636">
        <w:rPr>
          <w:rFonts w:ascii="Arial" w:hAnsi="Arial" w:cs="Arial"/>
          <w:sz w:val="19"/>
          <w:szCs w:val="19"/>
          <w:lang w:val="es-ES"/>
        </w:rPr>
        <w:t>Artículos 37 al 45.</w:t>
      </w:r>
    </w:p>
    <w:p w14:paraId="509497FA" w14:textId="77777777" w:rsidR="00A96C6A" w:rsidRPr="00A36636" w:rsidRDefault="00A96C6A" w:rsidP="00A96C6A">
      <w:pPr>
        <w:pStyle w:val="Textonotapie"/>
        <w:ind w:firstLine="709"/>
        <w:jc w:val="both"/>
        <w:rPr>
          <w:rFonts w:ascii="Arial" w:hAnsi="Arial" w:cs="Arial"/>
          <w:sz w:val="19"/>
          <w:szCs w:val="19"/>
          <w:lang w:val="es-ES"/>
        </w:rPr>
      </w:pPr>
    </w:p>
  </w:footnote>
  <w:footnote w:id="8">
    <w:p w14:paraId="6F9739F8" w14:textId="77777777" w:rsidR="00A96C6A" w:rsidRPr="00A36636" w:rsidRDefault="00A96C6A" w:rsidP="00A96C6A">
      <w:pPr>
        <w:pStyle w:val="Textonotapie"/>
        <w:ind w:firstLine="709"/>
        <w:jc w:val="both"/>
        <w:rPr>
          <w:rFonts w:ascii="Arial" w:hAnsi="Arial" w:cs="Arial"/>
          <w:sz w:val="19"/>
          <w:szCs w:val="19"/>
          <w:lang w:val="es-ES"/>
        </w:rPr>
      </w:pPr>
      <w:r w:rsidRPr="00A36636">
        <w:rPr>
          <w:rStyle w:val="Refdenotaalpie"/>
          <w:rFonts w:ascii="Arial" w:hAnsi="Arial" w:cs="Arial"/>
          <w:sz w:val="19"/>
          <w:szCs w:val="19"/>
        </w:rPr>
        <w:footnoteRef/>
      </w:r>
      <w:r w:rsidRPr="00A36636">
        <w:rPr>
          <w:rFonts w:ascii="Arial" w:hAnsi="Arial" w:cs="Arial"/>
          <w:sz w:val="19"/>
          <w:szCs w:val="19"/>
        </w:rPr>
        <w:t xml:space="preserve"> </w:t>
      </w:r>
      <w:r w:rsidRPr="00A36636">
        <w:rPr>
          <w:rFonts w:ascii="Arial" w:hAnsi="Arial" w:cs="Arial"/>
          <w:sz w:val="19"/>
          <w:szCs w:val="19"/>
          <w:lang w:val="es-ES"/>
        </w:rPr>
        <w:t>Artículos 46 al 73.</w:t>
      </w:r>
    </w:p>
    <w:p w14:paraId="1797CB5E" w14:textId="77777777" w:rsidR="00A96C6A" w:rsidRPr="00A36636" w:rsidRDefault="00A96C6A" w:rsidP="00A96C6A">
      <w:pPr>
        <w:pStyle w:val="Textonotapie"/>
        <w:ind w:firstLine="709"/>
        <w:jc w:val="both"/>
        <w:rPr>
          <w:rFonts w:ascii="Arial" w:hAnsi="Arial" w:cs="Arial"/>
          <w:sz w:val="19"/>
          <w:szCs w:val="19"/>
          <w:lang w:val="es-ES"/>
        </w:rPr>
      </w:pPr>
    </w:p>
  </w:footnote>
  <w:footnote w:id="9">
    <w:p w14:paraId="35619AC2" w14:textId="77777777" w:rsidR="00A96C6A" w:rsidRDefault="00A96C6A" w:rsidP="00A96C6A">
      <w:pPr>
        <w:pStyle w:val="Textonotapie"/>
        <w:ind w:firstLine="709"/>
        <w:jc w:val="both"/>
        <w:rPr>
          <w:rFonts w:ascii="Arial" w:hAnsi="Arial" w:cs="Arial"/>
          <w:sz w:val="19"/>
          <w:szCs w:val="19"/>
          <w:lang w:val="es-ES"/>
        </w:rPr>
      </w:pPr>
      <w:r w:rsidRPr="00A36636">
        <w:rPr>
          <w:rStyle w:val="Refdenotaalpie"/>
          <w:rFonts w:ascii="Arial" w:hAnsi="Arial" w:cs="Arial"/>
          <w:sz w:val="19"/>
          <w:szCs w:val="19"/>
        </w:rPr>
        <w:footnoteRef/>
      </w:r>
      <w:r w:rsidRPr="00A36636">
        <w:rPr>
          <w:rFonts w:ascii="Arial" w:hAnsi="Arial" w:cs="Arial"/>
          <w:sz w:val="19"/>
          <w:szCs w:val="19"/>
        </w:rPr>
        <w:t xml:space="preserve"> </w:t>
      </w:r>
      <w:r w:rsidRPr="00A36636">
        <w:rPr>
          <w:rFonts w:ascii="Arial" w:hAnsi="Arial" w:cs="Arial"/>
          <w:sz w:val="19"/>
          <w:szCs w:val="19"/>
          <w:lang w:val="es-ES"/>
        </w:rPr>
        <w:t>Artículos 74 al 83.</w:t>
      </w:r>
    </w:p>
    <w:p w14:paraId="7C7AD47F" w14:textId="77777777" w:rsidR="00A96C6A" w:rsidRDefault="00A96C6A" w:rsidP="00A96C6A">
      <w:pPr>
        <w:pStyle w:val="Textonotapie"/>
        <w:ind w:firstLine="709"/>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8"/>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7E"/>
    <w:rsid w:val="00000559"/>
    <w:rsid w:val="0000162E"/>
    <w:rsid w:val="00001A1C"/>
    <w:rsid w:val="00001FFD"/>
    <w:rsid w:val="00002027"/>
    <w:rsid w:val="000020FE"/>
    <w:rsid w:val="00002173"/>
    <w:rsid w:val="000031A8"/>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3A"/>
    <w:rsid w:val="00012B9E"/>
    <w:rsid w:val="00012F37"/>
    <w:rsid w:val="00012FBA"/>
    <w:rsid w:val="00013875"/>
    <w:rsid w:val="00013C6B"/>
    <w:rsid w:val="0001406B"/>
    <w:rsid w:val="000143F8"/>
    <w:rsid w:val="00014624"/>
    <w:rsid w:val="0001521B"/>
    <w:rsid w:val="00015B44"/>
    <w:rsid w:val="00016081"/>
    <w:rsid w:val="000165AC"/>
    <w:rsid w:val="00016651"/>
    <w:rsid w:val="000171A2"/>
    <w:rsid w:val="00017B65"/>
    <w:rsid w:val="00020158"/>
    <w:rsid w:val="000207E0"/>
    <w:rsid w:val="000209E2"/>
    <w:rsid w:val="00020F8F"/>
    <w:rsid w:val="0002148B"/>
    <w:rsid w:val="00021A95"/>
    <w:rsid w:val="00021C8A"/>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5768"/>
    <w:rsid w:val="00036E03"/>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77A"/>
    <w:rsid w:val="000449D4"/>
    <w:rsid w:val="0004600D"/>
    <w:rsid w:val="000463B5"/>
    <w:rsid w:val="00046429"/>
    <w:rsid w:val="00046717"/>
    <w:rsid w:val="00046A63"/>
    <w:rsid w:val="00046C09"/>
    <w:rsid w:val="0004716A"/>
    <w:rsid w:val="00047385"/>
    <w:rsid w:val="000473E8"/>
    <w:rsid w:val="000504DE"/>
    <w:rsid w:val="00051074"/>
    <w:rsid w:val="00051A3A"/>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5A8B"/>
    <w:rsid w:val="0006626E"/>
    <w:rsid w:val="00070AF1"/>
    <w:rsid w:val="000714DE"/>
    <w:rsid w:val="0007254F"/>
    <w:rsid w:val="0007357C"/>
    <w:rsid w:val="00073C30"/>
    <w:rsid w:val="00074305"/>
    <w:rsid w:val="000744D0"/>
    <w:rsid w:val="00074B2A"/>
    <w:rsid w:val="00074EEE"/>
    <w:rsid w:val="000753D5"/>
    <w:rsid w:val="00075B3E"/>
    <w:rsid w:val="00076456"/>
    <w:rsid w:val="00076BD9"/>
    <w:rsid w:val="0007779B"/>
    <w:rsid w:val="000777E7"/>
    <w:rsid w:val="0007790A"/>
    <w:rsid w:val="000779F2"/>
    <w:rsid w:val="0008017B"/>
    <w:rsid w:val="00080ACD"/>
    <w:rsid w:val="000811ED"/>
    <w:rsid w:val="00081D62"/>
    <w:rsid w:val="00082B74"/>
    <w:rsid w:val="00083099"/>
    <w:rsid w:val="00083259"/>
    <w:rsid w:val="00083EDC"/>
    <w:rsid w:val="00084B97"/>
    <w:rsid w:val="0008510E"/>
    <w:rsid w:val="000856DE"/>
    <w:rsid w:val="00085F17"/>
    <w:rsid w:val="00085FB0"/>
    <w:rsid w:val="00085FB3"/>
    <w:rsid w:val="0008686B"/>
    <w:rsid w:val="00086B2A"/>
    <w:rsid w:val="00086ED2"/>
    <w:rsid w:val="00087A64"/>
    <w:rsid w:val="00087BED"/>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B6F"/>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5781"/>
    <w:rsid w:val="000B5CB1"/>
    <w:rsid w:val="000B6AFC"/>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A7A"/>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927"/>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1638"/>
    <w:rsid w:val="00102605"/>
    <w:rsid w:val="00102686"/>
    <w:rsid w:val="00102745"/>
    <w:rsid w:val="00103795"/>
    <w:rsid w:val="00103915"/>
    <w:rsid w:val="001039AA"/>
    <w:rsid w:val="00103EA0"/>
    <w:rsid w:val="00104149"/>
    <w:rsid w:val="00104A5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6A7"/>
    <w:rsid w:val="00115C37"/>
    <w:rsid w:val="00116328"/>
    <w:rsid w:val="001163CF"/>
    <w:rsid w:val="00116D7E"/>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810"/>
    <w:rsid w:val="00131B5A"/>
    <w:rsid w:val="001329BC"/>
    <w:rsid w:val="00132C30"/>
    <w:rsid w:val="00132EFD"/>
    <w:rsid w:val="00133AED"/>
    <w:rsid w:val="0013490B"/>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835"/>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DDA"/>
    <w:rsid w:val="00161E62"/>
    <w:rsid w:val="00161F1C"/>
    <w:rsid w:val="0016200B"/>
    <w:rsid w:val="0016204B"/>
    <w:rsid w:val="00163D7A"/>
    <w:rsid w:val="00163E11"/>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77B3E"/>
    <w:rsid w:val="00177EAA"/>
    <w:rsid w:val="001805C1"/>
    <w:rsid w:val="00180A2E"/>
    <w:rsid w:val="001813AF"/>
    <w:rsid w:val="001826C9"/>
    <w:rsid w:val="001829CD"/>
    <w:rsid w:val="00182F01"/>
    <w:rsid w:val="00184219"/>
    <w:rsid w:val="00184553"/>
    <w:rsid w:val="00184F27"/>
    <w:rsid w:val="0018519B"/>
    <w:rsid w:val="00185966"/>
    <w:rsid w:val="00185A2D"/>
    <w:rsid w:val="00185AFE"/>
    <w:rsid w:val="00185E78"/>
    <w:rsid w:val="00187177"/>
    <w:rsid w:val="00187ABD"/>
    <w:rsid w:val="001904E3"/>
    <w:rsid w:val="0019087A"/>
    <w:rsid w:val="00190B04"/>
    <w:rsid w:val="00191C5A"/>
    <w:rsid w:val="00191CEB"/>
    <w:rsid w:val="00191E63"/>
    <w:rsid w:val="00192AF3"/>
    <w:rsid w:val="00192D68"/>
    <w:rsid w:val="00193852"/>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4E2"/>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31F"/>
    <w:rsid w:val="001A7591"/>
    <w:rsid w:val="001A75B1"/>
    <w:rsid w:val="001A7B06"/>
    <w:rsid w:val="001B0366"/>
    <w:rsid w:val="001B0444"/>
    <w:rsid w:val="001B096B"/>
    <w:rsid w:val="001B0E11"/>
    <w:rsid w:val="001B0F9F"/>
    <w:rsid w:val="001B123C"/>
    <w:rsid w:val="001B1A0D"/>
    <w:rsid w:val="001B1BF1"/>
    <w:rsid w:val="001B21AC"/>
    <w:rsid w:val="001B2456"/>
    <w:rsid w:val="001B449C"/>
    <w:rsid w:val="001B4AA2"/>
    <w:rsid w:val="001B4ADE"/>
    <w:rsid w:val="001B5530"/>
    <w:rsid w:val="001B5DAE"/>
    <w:rsid w:val="001B5EF8"/>
    <w:rsid w:val="001B6D85"/>
    <w:rsid w:val="001B71E8"/>
    <w:rsid w:val="001C033E"/>
    <w:rsid w:val="001C07C6"/>
    <w:rsid w:val="001C120D"/>
    <w:rsid w:val="001C16DA"/>
    <w:rsid w:val="001C19CD"/>
    <w:rsid w:val="001C22D5"/>
    <w:rsid w:val="001C2515"/>
    <w:rsid w:val="001C26FB"/>
    <w:rsid w:val="001C33C1"/>
    <w:rsid w:val="001C3E30"/>
    <w:rsid w:val="001C3E5C"/>
    <w:rsid w:val="001C48E4"/>
    <w:rsid w:val="001C5072"/>
    <w:rsid w:val="001C5B2A"/>
    <w:rsid w:val="001C600B"/>
    <w:rsid w:val="001C6898"/>
    <w:rsid w:val="001C6DD8"/>
    <w:rsid w:val="001C76FA"/>
    <w:rsid w:val="001C79A4"/>
    <w:rsid w:val="001C7C7B"/>
    <w:rsid w:val="001D068D"/>
    <w:rsid w:val="001D12D1"/>
    <w:rsid w:val="001D15DF"/>
    <w:rsid w:val="001D22FA"/>
    <w:rsid w:val="001D2EEE"/>
    <w:rsid w:val="001D30F3"/>
    <w:rsid w:val="001D31A0"/>
    <w:rsid w:val="001D338E"/>
    <w:rsid w:val="001D4562"/>
    <w:rsid w:val="001D56E9"/>
    <w:rsid w:val="001D632B"/>
    <w:rsid w:val="001D6944"/>
    <w:rsid w:val="001D6CD2"/>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349"/>
    <w:rsid w:val="001F1863"/>
    <w:rsid w:val="001F2356"/>
    <w:rsid w:val="001F2912"/>
    <w:rsid w:val="001F2A68"/>
    <w:rsid w:val="001F2C47"/>
    <w:rsid w:val="001F2FC2"/>
    <w:rsid w:val="001F4773"/>
    <w:rsid w:val="001F4F91"/>
    <w:rsid w:val="001F5008"/>
    <w:rsid w:val="001F56AA"/>
    <w:rsid w:val="001F57EB"/>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0D6"/>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96E"/>
    <w:rsid w:val="00242D5F"/>
    <w:rsid w:val="00242D62"/>
    <w:rsid w:val="002430D0"/>
    <w:rsid w:val="002431D7"/>
    <w:rsid w:val="00244058"/>
    <w:rsid w:val="00245718"/>
    <w:rsid w:val="002457E9"/>
    <w:rsid w:val="00245E07"/>
    <w:rsid w:val="0024665E"/>
    <w:rsid w:val="00247712"/>
    <w:rsid w:val="00250A9E"/>
    <w:rsid w:val="00250EC6"/>
    <w:rsid w:val="002515C7"/>
    <w:rsid w:val="00251866"/>
    <w:rsid w:val="00251A9F"/>
    <w:rsid w:val="00251E66"/>
    <w:rsid w:val="0025242E"/>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129B"/>
    <w:rsid w:val="002614B9"/>
    <w:rsid w:val="00261560"/>
    <w:rsid w:val="00261715"/>
    <w:rsid w:val="00261CF9"/>
    <w:rsid w:val="00261EC0"/>
    <w:rsid w:val="0026231B"/>
    <w:rsid w:val="00263101"/>
    <w:rsid w:val="002631D1"/>
    <w:rsid w:val="00263201"/>
    <w:rsid w:val="00263A37"/>
    <w:rsid w:val="00264266"/>
    <w:rsid w:val="002646A3"/>
    <w:rsid w:val="0026471F"/>
    <w:rsid w:val="0026480D"/>
    <w:rsid w:val="002653A6"/>
    <w:rsid w:val="002661F1"/>
    <w:rsid w:val="00266316"/>
    <w:rsid w:val="00266DB6"/>
    <w:rsid w:val="002711A4"/>
    <w:rsid w:val="00271230"/>
    <w:rsid w:val="00271F13"/>
    <w:rsid w:val="00272945"/>
    <w:rsid w:val="00272E89"/>
    <w:rsid w:val="00273E9E"/>
    <w:rsid w:val="002742D0"/>
    <w:rsid w:val="0027482E"/>
    <w:rsid w:val="002748F1"/>
    <w:rsid w:val="00274DB5"/>
    <w:rsid w:val="00275BB1"/>
    <w:rsid w:val="00276EF7"/>
    <w:rsid w:val="0027770B"/>
    <w:rsid w:val="00277933"/>
    <w:rsid w:val="00277F8D"/>
    <w:rsid w:val="00277FA7"/>
    <w:rsid w:val="00280046"/>
    <w:rsid w:val="00280B4F"/>
    <w:rsid w:val="00280F3D"/>
    <w:rsid w:val="0028106A"/>
    <w:rsid w:val="00281EB4"/>
    <w:rsid w:val="00282E03"/>
    <w:rsid w:val="0028308E"/>
    <w:rsid w:val="002834E9"/>
    <w:rsid w:val="002837BA"/>
    <w:rsid w:val="00283A52"/>
    <w:rsid w:val="00283C5E"/>
    <w:rsid w:val="00283E26"/>
    <w:rsid w:val="0028428F"/>
    <w:rsid w:val="00284CFC"/>
    <w:rsid w:val="00285832"/>
    <w:rsid w:val="00285969"/>
    <w:rsid w:val="0028599C"/>
    <w:rsid w:val="00285DE7"/>
    <w:rsid w:val="0028663B"/>
    <w:rsid w:val="00286CEC"/>
    <w:rsid w:val="002870F9"/>
    <w:rsid w:val="002871A9"/>
    <w:rsid w:val="00287505"/>
    <w:rsid w:val="00287BDB"/>
    <w:rsid w:val="00290781"/>
    <w:rsid w:val="00291784"/>
    <w:rsid w:val="002920DF"/>
    <w:rsid w:val="002928A3"/>
    <w:rsid w:val="002929BB"/>
    <w:rsid w:val="002934C9"/>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4736"/>
    <w:rsid w:val="002A4B1C"/>
    <w:rsid w:val="002A55FE"/>
    <w:rsid w:val="002A625C"/>
    <w:rsid w:val="002A6AFB"/>
    <w:rsid w:val="002A733D"/>
    <w:rsid w:val="002A7559"/>
    <w:rsid w:val="002A774A"/>
    <w:rsid w:val="002A7840"/>
    <w:rsid w:val="002A78F3"/>
    <w:rsid w:val="002A7D84"/>
    <w:rsid w:val="002A7E5C"/>
    <w:rsid w:val="002A7F6D"/>
    <w:rsid w:val="002B0D83"/>
    <w:rsid w:val="002B1342"/>
    <w:rsid w:val="002B1F83"/>
    <w:rsid w:val="002B27C8"/>
    <w:rsid w:val="002B2A7F"/>
    <w:rsid w:val="002B330B"/>
    <w:rsid w:val="002B35DA"/>
    <w:rsid w:val="002B39BE"/>
    <w:rsid w:val="002B3A3B"/>
    <w:rsid w:val="002B438C"/>
    <w:rsid w:val="002B48DB"/>
    <w:rsid w:val="002B4B34"/>
    <w:rsid w:val="002B541A"/>
    <w:rsid w:val="002B5EAB"/>
    <w:rsid w:val="002B5F2E"/>
    <w:rsid w:val="002B6407"/>
    <w:rsid w:val="002B6416"/>
    <w:rsid w:val="002B6459"/>
    <w:rsid w:val="002B6F22"/>
    <w:rsid w:val="002B7014"/>
    <w:rsid w:val="002B709B"/>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04"/>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866"/>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5CC"/>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937"/>
    <w:rsid w:val="00323881"/>
    <w:rsid w:val="00323907"/>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453"/>
    <w:rsid w:val="0033251B"/>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5131"/>
    <w:rsid w:val="00355F74"/>
    <w:rsid w:val="003560DB"/>
    <w:rsid w:val="003564DB"/>
    <w:rsid w:val="00356F87"/>
    <w:rsid w:val="00357E83"/>
    <w:rsid w:val="00360CF3"/>
    <w:rsid w:val="00361A59"/>
    <w:rsid w:val="00363348"/>
    <w:rsid w:val="003634D4"/>
    <w:rsid w:val="00363857"/>
    <w:rsid w:val="00363D59"/>
    <w:rsid w:val="00363F08"/>
    <w:rsid w:val="003640F7"/>
    <w:rsid w:val="003658F2"/>
    <w:rsid w:val="0036594A"/>
    <w:rsid w:val="00365D3A"/>
    <w:rsid w:val="003664FF"/>
    <w:rsid w:val="00366BD2"/>
    <w:rsid w:val="003670B8"/>
    <w:rsid w:val="003704A3"/>
    <w:rsid w:val="003706F2"/>
    <w:rsid w:val="003709E8"/>
    <w:rsid w:val="0037124F"/>
    <w:rsid w:val="00372C2E"/>
    <w:rsid w:val="00373827"/>
    <w:rsid w:val="0037401C"/>
    <w:rsid w:val="0037507B"/>
    <w:rsid w:val="00375C7C"/>
    <w:rsid w:val="00377027"/>
    <w:rsid w:val="00377135"/>
    <w:rsid w:val="00380272"/>
    <w:rsid w:val="003805DB"/>
    <w:rsid w:val="00380C7F"/>
    <w:rsid w:val="0038152A"/>
    <w:rsid w:val="00381D31"/>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007"/>
    <w:rsid w:val="00397FF0"/>
    <w:rsid w:val="003A0878"/>
    <w:rsid w:val="003A1561"/>
    <w:rsid w:val="003A1D25"/>
    <w:rsid w:val="003A22A2"/>
    <w:rsid w:val="003A2447"/>
    <w:rsid w:val="003A2AA1"/>
    <w:rsid w:val="003A31A5"/>
    <w:rsid w:val="003A329A"/>
    <w:rsid w:val="003A3603"/>
    <w:rsid w:val="003A36AC"/>
    <w:rsid w:val="003A3851"/>
    <w:rsid w:val="003A39DD"/>
    <w:rsid w:val="003A40DB"/>
    <w:rsid w:val="003A4199"/>
    <w:rsid w:val="003A41C5"/>
    <w:rsid w:val="003A4A8E"/>
    <w:rsid w:val="003A563C"/>
    <w:rsid w:val="003A581E"/>
    <w:rsid w:val="003A5E7E"/>
    <w:rsid w:val="003A6160"/>
    <w:rsid w:val="003A65A5"/>
    <w:rsid w:val="003A65AC"/>
    <w:rsid w:val="003A72F5"/>
    <w:rsid w:val="003A78E5"/>
    <w:rsid w:val="003B0341"/>
    <w:rsid w:val="003B15F3"/>
    <w:rsid w:val="003B1961"/>
    <w:rsid w:val="003B1E57"/>
    <w:rsid w:val="003B1E5C"/>
    <w:rsid w:val="003B2EF3"/>
    <w:rsid w:val="003B48C4"/>
    <w:rsid w:val="003B534F"/>
    <w:rsid w:val="003B5391"/>
    <w:rsid w:val="003B58CE"/>
    <w:rsid w:val="003B5BC1"/>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15B3"/>
    <w:rsid w:val="003D21C1"/>
    <w:rsid w:val="003D3B15"/>
    <w:rsid w:val="003D3B2E"/>
    <w:rsid w:val="003D3F28"/>
    <w:rsid w:val="003D4101"/>
    <w:rsid w:val="003D484D"/>
    <w:rsid w:val="003D49CB"/>
    <w:rsid w:val="003D5F1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3CD7"/>
    <w:rsid w:val="003F4599"/>
    <w:rsid w:val="003F45E1"/>
    <w:rsid w:val="003F4F6C"/>
    <w:rsid w:val="003F5579"/>
    <w:rsid w:val="003F559E"/>
    <w:rsid w:val="003F6181"/>
    <w:rsid w:val="003F6BFC"/>
    <w:rsid w:val="003F7343"/>
    <w:rsid w:val="00400002"/>
    <w:rsid w:val="00400054"/>
    <w:rsid w:val="004016A3"/>
    <w:rsid w:val="00401B31"/>
    <w:rsid w:val="0040202B"/>
    <w:rsid w:val="0040219D"/>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337"/>
    <w:rsid w:val="00415816"/>
    <w:rsid w:val="00415B88"/>
    <w:rsid w:val="00415D32"/>
    <w:rsid w:val="004160A2"/>
    <w:rsid w:val="0041674B"/>
    <w:rsid w:val="004170D7"/>
    <w:rsid w:val="004177A6"/>
    <w:rsid w:val="00417C00"/>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DCA"/>
    <w:rsid w:val="00423D04"/>
    <w:rsid w:val="00423F9F"/>
    <w:rsid w:val="00425C43"/>
    <w:rsid w:val="004273FA"/>
    <w:rsid w:val="004275A7"/>
    <w:rsid w:val="00427BDA"/>
    <w:rsid w:val="00430186"/>
    <w:rsid w:val="00430F17"/>
    <w:rsid w:val="00431CC7"/>
    <w:rsid w:val="0043260C"/>
    <w:rsid w:val="0043269A"/>
    <w:rsid w:val="00432E92"/>
    <w:rsid w:val="004333C2"/>
    <w:rsid w:val="00434787"/>
    <w:rsid w:val="00434C13"/>
    <w:rsid w:val="00434D8B"/>
    <w:rsid w:val="00435294"/>
    <w:rsid w:val="00435703"/>
    <w:rsid w:val="00435BD5"/>
    <w:rsid w:val="00435C7F"/>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72D6"/>
    <w:rsid w:val="0044772C"/>
    <w:rsid w:val="00450846"/>
    <w:rsid w:val="00451A52"/>
    <w:rsid w:val="0045271D"/>
    <w:rsid w:val="00452755"/>
    <w:rsid w:val="00452803"/>
    <w:rsid w:val="004529C6"/>
    <w:rsid w:val="00452EAD"/>
    <w:rsid w:val="004533D1"/>
    <w:rsid w:val="004534D1"/>
    <w:rsid w:val="0045392F"/>
    <w:rsid w:val="004540B8"/>
    <w:rsid w:val="00454548"/>
    <w:rsid w:val="00454717"/>
    <w:rsid w:val="00454C0F"/>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34CF"/>
    <w:rsid w:val="00473F33"/>
    <w:rsid w:val="0047586C"/>
    <w:rsid w:val="00475C5A"/>
    <w:rsid w:val="00475C9C"/>
    <w:rsid w:val="0047676B"/>
    <w:rsid w:val="0047773C"/>
    <w:rsid w:val="00477C5F"/>
    <w:rsid w:val="00480050"/>
    <w:rsid w:val="0048011C"/>
    <w:rsid w:val="004808DE"/>
    <w:rsid w:val="00480F9A"/>
    <w:rsid w:val="00481912"/>
    <w:rsid w:val="00481AC4"/>
    <w:rsid w:val="00481DC1"/>
    <w:rsid w:val="00482507"/>
    <w:rsid w:val="0048268A"/>
    <w:rsid w:val="00482A64"/>
    <w:rsid w:val="004835CA"/>
    <w:rsid w:val="004836F8"/>
    <w:rsid w:val="004836FE"/>
    <w:rsid w:val="00484A39"/>
    <w:rsid w:val="00484F0F"/>
    <w:rsid w:val="00484F40"/>
    <w:rsid w:val="0048540C"/>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3EEA"/>
    <w:rsid w:val="004A4301"/>
    <w:rsid w:val="004A4D93"/>
    <w:rsid w:val="004A546E"/>
    <w:rsid w:val="004A58EE"/>
    <w:rsid w:val="004A59B7"/>
    <w:rsid w:val="004A6051"/>
    <w:rsid w:val="004A623B"/>
    <w:rsid w:val="004A6A04"/>
    <w:rsid w:val="004A6A52"/>
    <w:rsid w:val="004B0A44"/>
    <w:rsid w:val="004B0F0B"/>
    <w:rsid w:val="004B1DA3"/>
    <w:rsid w:val="004B205A"/>
    <w:rsid w:val="004B2197"/>
    <w:rsid w:val="004B298A"/>
    <w:rsid w:val="004B2BB8"/>
    <w:rsid w:val="004B50CB"/>
    <w:rsid w:val="004B578D"/>
    <w:rsid w:val="004B5BE7"/>
    <w:rsid w:val="004B5E2D"/>
    <w:rsid w:val="004B6C07"/>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CF"/>
    <w:rsid w:val="004E3B71"/>
    <w:rsid w:val="004E40CE"/>
    <w:rsid w:val="004E455B"/>
    <w:rsid w:val="004E5736"/>
    <w:rsid w:val="004E5A3C"/>
    <w:rsid w:val="004E5B36"/>
    <w:rsid w:val="004E5D5D"/>
    <w:rsid w:val="004E6045"/>
    <w:rsid w:val="004E67D0"/>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5129"/>
    <w:rsid w:val="004F5180"/>
    <w:rsid w:val="004F57C9"/>
    <w:rsid w:val="004F5930"/>
    <w:rsid w:val="004F5970"/>
    <w:rsid w:val="004F5E3D"/>
    <w:rsid w:val="004F5F0C"/>
    <w:rsid w:val="004F6121"/>
    <w:rsid w:val="004F6161"/>
    <w:rsid w:val="004F66BC"/>
    <w:rsid w:val="004F6C26"/>
    <w:rsid w:val="004F7AC9"/>
    <w:rsid w:val="0050062F"/>
    <w:rsid w:val="00500E74"/>
    <w:rsid w:val="0050160F"/>
    <w:rsid w:val="0050284E"/>
    <w:rsid w:val="0050306F"/>
    <w:rsid w:val="00503A17"/>
    <w:rsid w:val="00505892"/>
    <w:rsid w:val="00505DCB"/>
    <w:rsid w:val="0050674C"/>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55E3"/>
    <w:rsid w:val="0051635C"/>
    <w:rsid w:val="005163F1"/>
    <w:rsid w:val="00516C5B"/>
    <w:rsid w:val="005172DA"/>
    <w:rsid w:val="00517612"/>
    <w:rsid w:val="00517CFB"/>
    <w:rsid w:val="00517F85"/>
    <w:rsid w:val="0052002F"/>
    <w:rsid w:val="00520235"/>
    <w:rsid w:val="0052031D"/>
    <w:rsid w:val="005203F6"/>
    <w:rsid w:val="00520899"/>
    <w:rsid w:val="00520922"/>
    <w:rsid w:val="005209FC"/>
    <w:rsid w:val="00520C09"/>
    <w:rsid w:val="00521A30"/>
    <w:rsid w:val="00521D7C"/>
    <w:rsid w:val="00521EA7"/>
    <w:rsid w:val="005224E5"/>
    <w:rsid w:val="0052311A"/>
    <w:rsid w:val="0052370B"/>
    <w:rsid w:val="00523903"/>
    <w:rsid w:val="005239B6"/>
    <w:rsid w:val="00523C45"/>
    <w:rsid w:val="00523F41"/>
    <w:rsid w:val="00524165"/>
    <w:rsid w:val="005244FC"/>
    <w:rsid w:val="005246E7"/>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2AB8"/>
    <w:rsid w:val="00533101"/>
    <w:rsid w:val="00533CA9"/>
    <w:rsid w:val="005346AD"/>
    <w:rsid w:val="00534EFB"/>
    <w:rsid w:val="00534F60"/>
    <w:rsid w:val="005357F1"/>
    <w:rsid w:val="005359BF"/>
    <w:rsid w:val="00535B2F"/>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6AA"/>
    <w:rsid w:val="0056182B"/>
    <w:rsid w:val="00561A88"/>
    <w:rsid w:val="00561AF3"/>
    <w:rsid w:val="00561E0B"/>
    <w:rsid w:val="00562141"/>
    <w:rsid w:val="00562D86"/>
    <w:rsid w:val="00563A40"/>
    <w:rsid w:val="005640CA"/>
    <w:rsid w:val="00564704"/>
    <w:rsid w:val="00564712"/>
    <w:rsid w:val="005657A8"/>
    <w:rsid w:val="00565952"/>
    <w:rsid w:val="00566866"/>
    <w:rsid w:val="005670A5"/>
    <w:rsid w:val="00567285"/>
    <w:rsid w:val="00567723"/>
    <w:rsid w:val="0056772D"/>
    <w:rsid w:val="00567775"/>
    <w:rsid w:val="005678F5"/>
    <w:rsid w:val="00567AB8"/>
    <w:rsid w:val="00570A26"/>
    <w:rsid w:val="00570CFD"/>
    <w:rsid w:val="00570E4C"/>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D6D"/>
    <w:rsid w:val="00580FD8"/>
    <w:rsid w:val="005813DE"/>
    <w:rsid w:val="00581796"/>
    <w:rsid w:val="0058195C"/>
    <w:rsid w:val="00581B45"/>
    <w:rsid w:val="00582480"/>
    <w:rsid w:val="00582805"/>
    <w:rsid w:val="0058290E"/>
    <w:rsid w:val="00582CAB"/>
    <w:rsid w:val="00582D04"/>
    <w:rsid w:val="00582FA6"/>
    <w:rsid w:val="005836D5"/>
    <w:rsid w:val="0058375E"/>
    <w:rsid w:val="00584233"/>
    <w:rsid w:val="0058425C"/>
    <w:rsid w:val="005842D0"/>
    <w:rsid w:val="005845FB"/>
    <w:rsid w:val="005855AE"/>
    <w:rsid w:val="00585829"/>
    <w:rsid w:val="00585CA8"/>
    <w:rsid w:val="00586412"/>
    <w:rsid w:val="005864B9"/>
    <w:rsid w:val="00586564"/>
    <w:rsid w:val="005866C4"/>
    <w:rsid w:val="00590F1A"/>
    <w:rsid w:val="00591C03"/>
    <w:rsid w:val="00591E2A"/>
    <w:rsid w:val="005923C4"/>
    <w:rsid w:val="0059397D"/>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259"/>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396"/>
    <w:rsid w:val="005B74AD"/>
    <w:rsid w:val="005B7E96"/>
    <w:rsid w:val="005C0429"/>
    <w:rsid w:val="005C06A5"/>
    <w:rsid w:val="005C084F"/>
    <w:rsid w:val="005C0EE9"/>
    <w:rsid w:val="005C169F"/>
    <w:rsid w:val="005C16A8"/>
    <w:rsid w:val="005C1716"/>
    <w:rsid w:val="005C1954"/>
    <w:rsid w:val="005C1C0B"/>
    <w:rsid w:val="005C2011"/>
    <w:rsid w:val="005C3EA3"/>
    <w:rsid w:val="005C3F1E"/>
    <w:rsid w:val="005C44DE"/>
    <w:rsid w:val="005C49A9"/>
    <w:rsid w:val="005C5011"/>
    <w:rsid w:val="005C5241"/>
    <w:rsid w:val="005C529E"/>
    <w:rsid w:val="005C54DF"/>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5EA"/>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856"/>
    <w:rsid w:val="005F2D8B"/>
    <w:rsid w:val="005F305B"/>
    <w:rsid w:val="005F3361"/>
    <w:rsid w:val="005F361A"/>
    <w:rsid w:val="005F3B47"/>
    <w:rsid w:val="005F4481"/>
    <w:rsid w:val="005F4596"/>
    <w:rsid w:val="005F47AC"/>
    <w:rsid w:val="005F49AF"/>
    <w:rsid w:val="005F4A58"/>
    <w:rsid w:val="005F54DF"/>
    <w:rsid w:val="005F5888"/>
    <w:rsid w:val="005F5984"/>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76B"/>
    <w:rsid w:val="00607996"/>
    <w:rsid w:val="00607A37"/>
    <w:rsid w:val="00607E9F"/>
    <w:rsid w:val="0061085E"/>
    <w:rsid w:val="006112A7"/>
    <w:rsid w:val="00611398"/>
    <w:rsid w:val="006113B4"/>
    <w:rsid w:val="006115F7"/>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D72"/>
    <w:rsid w:val="00620719"/>
    <w:rsid w:val="006212C9"/>
    <w:rsid w:val="0062131B"/>
    <w:rsid w:val="00621D0C"/>
    <w:rsid w:val="00622229"/>
    <w:rsid w:val="00622470"/>
    <w:rsid w:val="00622725"/>
    <w:rsid w:val="00622785"/>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2126"/>
    <w:rsid w:val="00642A32"/>
    <w:rsid w:val="00642B8E"/>
    <w:rsid w:val="00642F7C"/>
    <w:rsid w:val="006433D5"/>
    <w:rsid w:val="00643412"/>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2F29"/>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D6C"/>
    <w:rsid w:val="00666E6C"/>
    <w:rsid w:val="0066707F"/>
    <w:rsid w:val="00667ED8"/>
    <w:rsid w:val="0067064C"/>
    <w:rsid w:val="00670B20"/>
    <w:rsid w:val="00670E12"/>
    <w:rsid w:val="00670F27"/>
    <w:rsid w:val="00672E80"/>
    <w:rsid w:val="0067333F"/>
    <w:rsid w:val="006739E4"/>
    <w:rsid w:val="00673ECF"/>
    <w:rsid w:val="0067426B"/>
    <w:rsid w:val="006745B0"/>
    <w:rsid w:val="00674A1B"/>
    <w:rsid w:val="00674D08"/>
    <w:rsid w:val="00674F1C"/>
    <w:rsid w:val="006754F8"/>
    <w:rsid w:val="00675514"/>
    <w:rsid w:val="00676127"/>
    <w:rsid w:val="00676AED"/>
    <w:rsid w:val="00677212"/>
    <w:rsid w:val="006776D3"/>
    <w:rsid w:val="00677F26"/>
    <w:rsid w:val="006800EE"/>
    <w:rsid w:val="006802A7"/>
    <w:rsid w:val="00680A86"/>
    <w:rsid w:val="00680FEA"/>
    <w:rsid w:val="006811C9"/>
    <w:rsid w:val="006812CE"/>
    <w:rsid w:val="006817D5"/>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5D1"/>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4C45"/>
    <w:rsid w:val="006A55EE"/>
    <w:rsid w:val="006A575B"/>
    <w:rsid w:val="006A59DE"/>
    <w:rsid w:val="006A64C6"/>
    <w:rsid w:val="006A6655"/>
    <w:rsid w:val="006A6BF9"/>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37CA"/>
    <w:rsid w:val="006C39AE"/>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F37"/>
    <w:rsid w:val="00705631"/>
    <w:rsid w:val="00705818"/>
    <w:rsid w:val="00705F62"/>
    <w:rsid w:val="00706321"/>
    <w:rsid w:val="00706813"/>
    <w:rsid w:val="0070773F"/>
    <w:rsid w:val="00707A2E"/>
    <w:rsid w:val="00707ED3"/>
    <w:rsid w:val="007101B7"/>
    <w:rsid w:val="0071023A"/>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2138B"/>
    <w:rsid w:val="00721BFF"/>
    <w:rsid w:val="007232EE"/>
    <w:rsid w:val="00723452"/>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2AD"/>
    <w:rsid w:val="00734952"/>
    <w:rsid w:val="00734987"/>
    <w:rsid w:val="00734990"/>
    <w:rsid w:val="00734FF5"/>
    <w:rsid w:val="00735B78"/>
    <w:rsid w:val="00735DA7"/>
    <w:rsid w:val="00736700"/>
    <w:rsid w:val="007368B4"/>
    <w:rsid w:val="007378E0"/>
    <w:rsid w:val="00737A4D"/>
    <w:rsid w:val="0074040E"/>
    <w:rsid w:val="00740529"/>
    <w:rsid w:val="00740876"/>
    <w:rsid w:val="00741358"/>
    <w:rsid w:val="00741626"/>
    <w:rsid w:val="00742332"/>
    <w:rsid w:val="00742886"/>
    <w:rsid w:val="00742A3A"/>
    <w:rsid w:val="00742DD2"/>
    <w:rsid w:val="007437C6"/>
    <w:rsid w:val="007441A2"/>
    <w:rsid w:val="00744E80"/>
    <w:rsid w:val="00745035"/>
    <w:rsid w:val="0074531C"/>
    <w:rsid w:val="00745547"/>
    <w:rsid w:val="007459D0"/>
    <w:rsid w:val="0074623A"/>
    <w:rsid w:val="00746420"/>
    <w:rsid w:val="007465DD"/>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0A9"/>
    <w:rsid w:val="007534AD"/>
    <w:rsid w:val="00753BAC"/>
    <w:rsid w:val="00754A0B"/>
    <w:rsid w:val="00755229"/>
    <w:rsid w:val="007552DB"/>
    <w:rsid w:val="0075549F"/>
    <w:rsid w:val="00755B08"/>
    <w:rsid w:val="00755DD0"/>
    <w:rsid w:val="0075647A"/>
    <w:rsid w:val="007564CA"/>
    <w:rsid w:val="007568E9"/>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4AD"/>
    <w:rsid w:val="0076406B"/>
    <w:rsid w:val="0076445F"/>
    <w:rsid w:val="00764EC5"/>
    <w:rsid w:val="007651EF"/>
    <w:rsid w:val="00766D49"/>
    <w:rsid w:val="00766ECC"/>
    <w:rsid w:val="007672F3"/>
    <w:rsid w:val="007677B5"/>
    <w:rsid w:val="007678B1"/>
    <w:rsid w:val="007701EE"/>
    <w:rsid w:val="007708A8"/>
    <w:rsid w:val="00772100"/>
    <w:rsid w:val="00772275"/>
    <w:rsid w:val="00772C9A"/>
    <w:rsid w:val="007734E4"/>
    <w:rsid w:val="0077380D"/>
    <w:rsid w:val="00773BC8"/>
    <w:rsid w:val="007742CB"/>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1FFF"/>
    <w:rsid w:val="007825EF"/>
    <w:rsid w:val="0078286B"/>
    <w:rsid w:val="00782D2C"/>
    <w:rsid w:val="00782FC2"/>
    <w:rsid w:val="00783358"/>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BA5"/>
    <w:rsid w:val="007A0EAB"/>
    <w:rsid w:val="007A1E0F"/>
    <w:rsid w:val="007A2341"/>
    <w:rsid w:val="007A2754"/>
    <w:rsid w:val="007A38A1"/>
    <w:rsid w:val="007A3BBE"/>
    <w:rsid w:val="007A4766"/>
    <w:rsid w:val="007A5947"/>
    <w:rsid w:val="007A603C"/>
    <w:rsid w:val="007A717B"/>
    <w:rsid w:val="007A7714"/>
    <w:rsid w:val="007A7E4A"/>
    <w:rsid w:val="007B0302"/>
    <w:rsid w:val="007B0313"/>
    <w:rsid w:val="007B0854"/>
    <w:rsid w:val="007B0E48"/>
    <w:rsid w:val="007B19DE"/>
    <w:rsid w:val="007B1D1B"/>
    <w:rsid w:val="007B209C"/>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5A65"/>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298"/>
    <w:rsid w:val="007C6339"/>
    <w:rsid w:val="007C753F"/>
    <w:rsid w:val="007C796C"/>
    <w:rsid w:val="007C7C43"/>
    <w:rsid w:val="007C7E15"/>
    <w:rsid w:val="007C7F0D"/>
    <w:rsid w:val="007D06E3"/>
    <w:rsid w:val="007D09E4"/>
    <w:rsid w:val="007D1134"/>
    <w:rsid w:val="007D231B"/>
    <w:rsid w:val="007D23F7"/>
    <w:rsid w:val="007D2566"/>
    <w:rsid w:val="007D2A8A"/>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4F0D"/>
    <w:rsid w:val="007E564D"/>
    <w:rsid w:val="007E5C4A"/>
    <w:rsid w:val="007E6135"/>
    <w:rsid w:val="007E64D4"/>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976"/>
    <w:rsid w:val="007F4B40"/>
    <w:rsid w:val="007F4C94"/>
    <w:rsid w:val="007F5A56"/>
    <w:rsid w:val="007F5D42"/>
    <w:rsid w:val="007F616E"/>
    <w:rsid w:val="007F6B46"/>
    <w:rsid w:val="007F72CB"/>
    <w:rsid w:val="007F736A"/>
    <w:rsid w:val="007F7375"/>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48A"/>
    <w:rsid w:val="008059C6"/>
    <w:rsid w:val="00805AD7"/>
    <w:rsid w:val="00805BD6"/>
    <w:rsid w:val="00805DE3"/>
    <w:rsid w:val="00807C35"/>
    <w:rsid w:val="00807F35"/>
    <w:rsid w:val="00807F69"/>
    <w:rsid w:val="008100F7"/>
    <w:rsid w:val="00810206"/>
    <w:rsid w:val="0081022B"/>
    <w:rsid w:val="00810A15"/>
    <w:rsid w:val="00810B21"/>
    <w:rsid w:val="0081154C"/>
    <w:rsid w:val="00811898"/>
    <w:rsid w:val="00811CDC"/>
    <w:rsid w:val="008124D8"/>
    <w:rsid w:val="00813A7B"/>
    <w:rsid w:val="00813F04"/>
    <w:rsid w:val="0081513E"/>
    <w:rsid w:val="00815DA5"/>
    <w:rsid w:val="00816221"/>
    <w:rsid w:val="008174F3"/>
    <w:rsid w:val="0081766B"/>
    <w:rsid w:val="008201DE"/>
    <w:rsid w:val="008205AC"/>
    <w:rsid w:val="00820705"/>
    <w:rsid w:val="00820CBF"/>
    <w:rsid w:val="00820FA8"/>
    <w:rsid w:val="008212FD"/>
    <w:rsid w:val="00821489"/>
    <w:rsid w:val="0082168D"/>
    <w:rsid w:val="008217B7"/>
    <w:rsid w:val="008220F4"/>
    <w:rsid w:val="0082239B"/>
    <w:rsid w:val="0082292E"/>
    <w:rsid w:val="00822D06"/>
    <w:rsid w:val="00822EC4"/>
    <w:rsid w:val="0082348D"/>
    <w:rsid w:val="008236BE"/>
    <w:rsid w:val="00824183"/>
    <w:rsid w:val="008241CE"/>
    <w:rsid w:val="00825240"/>
    <w:rsid w:val="00825B43"/>
    <w:rsid w:val="00825E01"/>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A50"/>
    <w:rsid w:val="00836E74"/>
    <w:rsid w:val="00836EAB"/>
    <w:rsid w:val="008375F5"/>
    <w:rsid w:val="00837673"/>
    <w:rsid w:val="00837937"/>
    <w:rsid w:val="00837D82"/>
    <w:rsid w:val="00840893"/>
    <w:rsid w:val="00840E88"/>
    <w:rsid w:val="00840ECC"/>
    <w:rsid w:val="008410B1"/>
    <w:rsid w:val="008423EC"/>
    <w:rsid w:val="008429A6"/>
    <w:rsid w:val="00843615"/>
    <w:rsid w:val="00843698"/>
    <w:rsid w:val="00843A4B"/>
    <w:rsid w:val="00843B57"/>
    <w:rsid w:val="00843B60"/>
    <w:rsid w:val="00843D33"/>
    <w:rsid w:val="008444F0"/>
    <w:rsid w:val="00844D4F"/>
    <w:rsid w:val="00844F38"/>
    <w:rsid w:val="00845007"/>
    <w:rsid w:val="00845AE3"/>
    <w:rsid w:val="008466A0"/>
    <w:rsid w:val="00847535"/>
    <w:rsid w:val="00847B6D"/>
    <w:rsid w:val="0085092D"/>
    <w:rsid w:val="008509A5"/>
    <w:rsid w:val="00850B75"/>
    <w:rsid w:val="00850C79"/>
    <w:rsid w:val="00850D82"/>
    <w:rsid w:val="00850F79"/>
    <w:rsid w:val="0085100B"/>
    <w:rsid w:val="008510A1"/>
    <w:rsid w:val="0085192D"/>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28E"/>
    <w:rsid w:val="0086394E"/>
    <w:rsid w:val="00863F8A"/>
    <w:rsid w:val="00863FE3"/>
    <w:rsid w:val="008640C4"/>
    <w:rsid w:val="00864241"/>
    <w:rsid w:val="008645AA"/>
    <w:rsid w:val="0086468A"/>
    <w:rsid w:val="00865059"/>
    <w:rsid w:val="008650BE"/>
    <w:rsid w:val="00865EAF"/>
    <w:rsid w:val="0086633B"/>
    <w:rsid w:val="00866495"/>
    <w:rsid w:val="00866881"/>
    <w:rsid w:val="00866931"/>
    <w:rsid w:val="00867512"/>
    <w:rsid w:val="008678A3"/>
    <w:rsid w:val="00867BE5"/>
    <w:rsid w:val="00867C13"/>
    <w:rsid w:val="00867C1D"/>
    <w:rsid w:val="0087033C"/>
    <w:rsid w:val="008715ED"/>
    <w:rsid w:val="008717D8"/>
    <w:rsid w:val="00871E3C"/>
    <w:rsid w:val="00871F0F"/>
    <w:rsid w:val="00872F97"/>
    <w:rsid w:val="00874607"/>
    <w:rsid w:val="008747E9"/>
    <w:rsid w:val="00874915"/>
    <w:rsid w:val="00874B89"/>
    <w:rsid w:val="00875403"/>
    <w:rsid w:val="00875434"/>
    <w:rsid w:val="00875C1F"/>
    <w:rsid w:val="00876215"/>
    <w:rsid w:val="0087646C"/>
    <w:rsid w:val="00876815"/>
    <w:rsid w:val="00876DB3"/>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C7C"/>
    <w:rsid w:val="008B63FE"/>
    <w:rsid w:val="008B672C"/>
    <w:rsid w:val="008B7108"/>
    <w:rsid w:val="008C065F"/>
    <w:rsid w:val="008C0743"/>
    <w:rsid w:val="008C0B4C"/>
    <w:rsid w:val="008C11D9"/>
    <w:rsid w:val="008C11F0"/>
    <w:rsid w:val="008C1918"/>
    <w:rsid w:val="008C1DBA"/>
    <w:rsid w:val="008C24E7"/>
    <w:rsid w:val="008C2500"/>
    <w:rsid w:val="008C2CAC"/>
    <w:rsid w:val="008C38D4"/>
    <w:rsid w:val="008C3C57"/>
    <w:rsid w:val="008C3E2A"/>
    <w:rsid w:val="008C45BD"/>
    <w:rsid w:val="008C4B19"/>
    <w:rsid w:val="008C55FB"/>
    <w:rsid w:val="008C62D4"/>
    <w:rsid w:val="008C6B89"/>
    <w:rsid w:val="008C6B97"/>
    <w:rsid w:val="008C7EF7"/>
    <w:rsid w:val="008D094D"/>
    <w:rsid w:val="008D18AA"/>
    <w:rsid w:val="008D1A2A"/>
    <w:rsid w:val="008D1ADE"/>
    <w:rsid w:val="008D3199"/>
    <w:rsid w:val="008D35D9"/>
    <w:rsid w:val="008D3937"/>
    <w:rsid w:val="008D3B36"/>
    <w:rsid w:val="008D3B85"/>
    <w:rsid w:val="008D462D"/>
    <w:rsid w:val="008D6084"/>
    <w:rsid w:val="008D64AC"/>
    <w:rsid w:val="008D656F"/>
    <w:rsid w:val="008D66CA"/>
    <w:rsid w:val="008D69B1"/>
    <w:rsid w:val="008D7338"/>
    <w:rsid w:val="008D785E"/>
    <w:rsid w:val="008D7978"/>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3788"/>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13D"/>
    <w:rsid w:val="0091759C"/>
    <w:rsid w:val="00920026"/>
    <w:rsid w:val="009203E2"/>
    <w:rsid w:val="00920BF5"/>
    <w:rsid w:val="00920F61"/>
    <w:rsid w:val="00921304"/>
    <w:rsid w:val="00921395"/>
    <w:rsid w:val="00921805"/>
    <w:rsid w:val="00921E63"/>
    <w:rsid w:val="009230E7"/>
    <w:rsid w:val="00923396"/>
    <w:rsid w:val="00923F56"/>
    <w:rsid w:val="009242A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3AF3"/>
    <w:rsid w:val="009444B4"/>
    <w:rsid w:val="00944644"/>
    <w:rsid w:val="00946A24"/>
    <w:rsid w:val="009470D4"/>
    <w:rsid w:val="00947337"/>
    <w:rsid w:val="00947E6E"/>
    <w:rsid w:val="009512FA"/>
    <w:rsid w:val="009516A9"/>
    <w:rsid w:val="00951E57"/>
    <w:rsid w:val="00952350"/>
    <w:rsid w:val="00952505"/>
    <w:rsid w:val="00953018"/>
    <w:rsid w:val="009533E2"/>
    <w:rsid w:val="00953554"/>
    <w:rsid w:val="0095385A"/>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71441"/>
    <w:rsid w:val="00971555"/>
    <w:rsid w:val="009715D4"/>
    <w:rsid w:val="0097179A"/>
    <w:rsid w:val="00971B0A"/>
    <w:rsid w:val="009731F4"/>
    <w:rsid w:val="009732A4"/>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3013"/>
    <w:rsid w:val="009930AB"/>
    <w:rsid w:val="00993B78"/>
    <w:rsid w:val="00993DB9"/>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A01E4"/>
    <w:rsid w:val="009A0917"/>
    <w:rsid w:val="009A0A33"/>
    <w:rsid w:val="009A0CC0"/>
    <w:rsid w:val="009A10B2"/>
    <w:rsid w:val="009A1351"/>
    <w:rsid w:val="009A1AAB"/>
    <w:rsid w:val="009A2041"/>
    <w:rsid w:val="009A2435"/>
    <w:rsid w:val="009A2EAE"/>
    <w:rsid w:val="009A31F4"/>
    <w:rsid w:val="009A35DC"/>
    <w:rsid w:val="009A38AB"/>
    <w:rsid w:val="009A39EE"/>
    <w:rsid w:val="009A3A33"/>
    <w:rsid w:val="009A3D47"/>
    <w:rsid w:val="009A4D63"/>
    <w:rsid w:val="009A5356"/>
    <w:rsid w:val="009A5468"/>
    <w:rsid w:val="009A55D8"/>
    <w:rsid w:val="009A5D99"/>
    <w:rsid w:val="009A608C"/>
    <w:rsid w:val="009A6FDF"/>
    <w:rsid w:val="009A715F"/>
    <w:rsid w:val="009A76D6"/>
    <w:rsid w:val="009B03F1"/>
    <w:rsid w:val="009B2374"/>
    <w:rsid w:val="009B28D6"/>
    <w:rsid w:val="009B2E29"/>
    <w:rsid w:val="009B3163"/>
    <w:rsid w:val="009B422F"/>
    <w:rsid w:val="009B46BC"/>
    <w:rsid w:val="009B4D1A"/>
    <w:rsid w:val="009B519D"/>
    <w:rsid w:val="009B558B"/>
    <w:rsid w:val="009B5B8C"/>
    <w:rsid w:val="009B663F"/>
    <w:rsid w:val="009B6863"/>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4E02"/>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6DA"/>
    <w:rsid w:val="009E1CD4"/>
    <w:rsid w:val="009E2391"/>
    <w:rsid w:val="009E2A11"/>
    <w:rsid w:val="009E476A"/>
    <w:rsid w:val="009E4A16"/>
    <w:rsid w:val="009E4E05"/>
    <w:rsid w:val="009E56FF"/>
    <w:rsid w:val="009E5CB1"/>
    <w:rsid w:val="009E5E56"/>
    <w:rsid w:val="009E61EA"/>
    <w:rsid w:val="009E6990"/>
    <w:rsid w:val="009E6B58"/>
    <w:rsid w:val="009E6FEE"/>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7263"/>
    <w:rsid w:val="009F76EA"/>
    <w:rsid w:val="009F78EB"/>
    <w:rsid w:val="009F7DB2"/>
    <w:rsid w:val="009F7EB8"/>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16F9"/>
    <w:rsid w:val="00A22025"/>
    <w:rsid w:val="00A22498"/>
    <w:rsid w:val="00A22571"/>
    <w:rsid w:val="00A2298D"/>
    <w:rsid w:val="00A235E1"/>
    <w:rsid w:val="00A24560"/>
    <w:rsid w:val="00A24B78"/>
    <w:rsid w:val="00A25B0F"/>
    <w:rsid w:val="00A25BBB"/>
    <w:rsid w:val="00A27FB6"/>
    <w:rsid w:val="00A30121"/>
    <w:rsid w:val="00A30368"/>
    <w:rsid w:val="00A3043A"/>
    <w:rsid w:val="00A30E02"/>
    <w:rsid w:val="00A30F6A"/>
    <w:rsid w:val="00A31060"/>
    <w:rsid w:val="00A31C3E"/>
    <w:rsid w:val="00A32284"/>
    <w:rsid w:val="00A34538"/>
    <w:rsid w:val="00A34677"/>
    <w:rsid w:val="00A3540F"/>
    <w:rsid w:val="00A35630"/>
    <w:rsid w:val="00A35914"/>
    <w:rsid w:val="00A36189"/>
    <w:rsid w:val="00A36636"/>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7701"/>
    <w:rsid w:val="00A47849"/>
    <w:rsid w:val="00A500B1"/>
    <w:rsid w:val="00A51906"/>
    <w:rsid w:val="00A52A53"/>
    <w:rsid w:val="00A52EE5"/>
    <w:rsid w:val="00A53037"/>
    <w:rsid w:val="00A532B9"/>
    <w:rsid w:val="00A5351D"/>
    <w:rsid w:val="00A53E79"/>
    <w:rsid w:val="00A54031"/>
    <w:rsid w:val="00A5426D"/>
    <w:rsid w:val="00A54FC2"/>
    <w:rsid w:val="00A55122"/>
    <w:rsid w:val="00A55432"/>
    <w:rsid w:val="00A55806"/>
    <w:rsid w:val="00A55CEA"/>
    <w:rsid w:val="00A56DE7"/>
    <w:rsid w:val="00A57EB2"/>
    <w:rsid w:val="00A6009E"/>
    <w:rsid w:val="00A60265"/>
    <w:rsid w:val="00A60540"/>
    <w:rsid w:val="00A60B1F"/>
    <w:rsid w:val="00A6144B"/>
    <w:rsid w:val="00A61C60"/>
    <w:rsid w:val="00A62589"/>
    <w:rsid w:val="00A62AD0"/>
    <w:rsid w:val="00A62C3A"/>
    <w:rsid w:val="00A6319C"/>
    <w:rsid w:val="00A63812"/>
    <w:rsid w:val="00A63DF7"/>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2804"/>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7DA"/>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87199"/>
    <w:rsid w:val="00A90F12"/>
    <w:rsid w:val="00A91DAA"/>
    <w:rsid w:val="00A93101"/>
    <w:rsid w:val="00A93239"/>
    <w:rsid w:val="00A9413E"/>
    <w:rsid w:val="00A94293"/>
    <w:rsid w:val="00A9496E"/>
    <w:rsid w:val="00A949F0"/>
    <w:rsid w:val="00A94BDE"/>
    <w:rsid w:val="00A94FCA"/>
    <w:rsid w:val="00A95E4C"/>
    <w:rsid w:val="00A96C60"/>
    <w:rsid w:val="00A96C6A"/>
    <w:rsid w:val="00A9740B"/>
    <w:rsid w:val="00A9766C"/>
    <w:rsid w:val="00A977F8"/>
    <w:rsid w:val="00A979DB"/>
    <w:rsid w:val="00A97C93"/>
    <w:rsid w:val="00AA06C6"/>
    <w:rsid w:val="00AA08E7"/>
    <w:rsid w:val="00AA0A06"/>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484F"/>
    <w:rsid w:val="00AC4AD2"/>
    <w:rsid w:val="00AC4B20"/>
    <w:rsid w:val="00AC5395"/>
    <w:rsid w:val="00AC55C7"/>
    <w:rsid w:val="00AC56F2"/>
    <w:rsid w:val="00AC5D9D"/>
    <w:rsid w:val="00AC71C3"/>
    <w:rsid w:val="00AC7F29"/>
    <w:rsid w:val="00AD09F7"/>
    <w:rsid w:val="00AD1EFA"/>
    <w:rsid w:val="00AD2072"/>
    <w:rsid w:val="00AD2DBD"/>
    <w:rsid w:val="00AD2FBF"/>
    <w:rsid w:val="00AD33A1"/>
    <w:rsid w:val="00AD340E"/>
    <w:rsid w:val="00AD3B0C"/>
    <w:rsid w:val="00AD455D"/>
    <w:rsid w:val="00AD463C"/>
    <w:rsid w:val="00AD47C9"/>
    <w:rsid w:val="00AD4F60"/>
    <w:rsid w:val="00AD5044"/>
    <w:rsid w:val="00AD5114"/>
    <w:rsid w:val="00AD6236"/>
    <w:rsid w:val="00AD69D5"/>
    <w:rsid w:val="00AD7619"/>
    <w:rsid w:val="00AD7770"/>
    <w:rsid w:val="00AE1772"/>
    <w:rsid w:val="00AE1990"/>
    <w:rsid w:val="00AE25E8"/>
    <w:rsid w:val="00AE2AD4"/>
    <w:rsid w:val="00AE2CA7"/>
    <w:rsid w:val="00AE2F1D"/>
    <w:rsid w:val="00AE4A7D"/>
    <w:rsid w:val="00AE4C81"/>
    <w:rsid w:val="00AE4E63"/>
    <w:rsid w:val="00AE586F"/>
    <w:rsid w:val="00AE62FE"/>
    <w:rsid w:val="00AE6582"/>
    <w:rsid w:val="00AE6DC5"/>
    <w:rsid w:val="00AE7686"/>
    <w:rsid w:val="00AE799A"/>
    <w:rsid w:val="00AF0E81"/>
    <w:rsid w:val="00AF117A"/>
    <w:rsid w:val="00AF134E"/>
    <w:rsid w:val="00AF16CA"/>
    <w:rsid w:val="00AF186E"/>
    <w:rsid w:val="00AF19DF"/>
    <w:rsid w:val="00AF1CF5"/>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6A"/>
    <w:rsid w:val="00AF7796"/>
    <w:rsid w:val="00B00C9E"/>
    <w:rsid w:val="00B011A9"/>
    <w:rsid w:val="00B01BAF"/>
    <w:rsid w:val="00B024ED"/>
    <w:rsid w:val="00B026B8"/>
    <w:rsid w:val="00B02EB3"/>
    <w:rsid w:val="00B02F7C"/>
    <w:rsid w:val="00B02FCB"/>
    <w:rsid w:val="00B033F8"/>
    <w:rsid w:val="00B03C1E"/>
    <w:rsid w:val="00B04400"/>
    <w:rsid w:val="00B04493"/>
    <w:rsid w:val="00B04835"/>
    <w:rsid w:val="00B04FC5"/>
    <w:rsid w:val="00B05A55"/>
    <w:rsid w:val="00B05DE1"/>
    <w:rsid w:val="00B0659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0FDD"/>
    <w:rsid w:val="00B31423"/>
    <w:rsid w:val="00B317AE"/>
    <w:rsid w:val="00B323E0"/>
    <w:rsid w:val="00B32DC0"/>
    <w:rsid w:val="00B32E31"/>
    <w:rsid w:val="00B3346C"/>
    <w:rsid w:val="00B335E4"/>
    <w:rsid w:val="00B33C23"/>
    <w:rsid w:val="00B345B4"/>
    <w:rsid w:val="00B34789"/>
    <w:rsid w:val="00B348B1"/>
    <w:rsid w:val="00B34A28"/>
    <w:rsid w:val="00B35046"/>
    <w:rsid w:val="00B357F4"/>
    <w:rsid w:val="00B35B6A"/>
    <w:rsid w:val="00B36D2B"/>
    <w:rsid w:val="00B36FE9"/>
    <w:rsid w:val="00B37657"/>
    <w:rsid w:val="00B37AFD"/>
    <w:rsid w:val="00B37B07"/>
    <w:rsid w:val="00B4046F"/>
    <w:rsid w:val="00B406B3"/>
    <w:rsid w:val="00B40A36"/>
    <w:rsid w:val="00B41BCA"/>
    <w:rsid w:val="00B41D39"/>
    <w:rsid w:val="00B41EBB"/>
    <w:rsid w:val="00B422C0"/>
    <w:rsid w:val="00B426CA"/>
    <w:rsid w:val="00B426E1"/>
    <w:rsid w:val="00B4387A"/>
    <w:rsid w:val="00B44746"/>
    <w:rsid w:val="00B44854"/>
    <w:rsid w:val="00B44BA5"/>
    <w:rsid w:val="00B458D0"/>
    <w:rsid w:val="00B45EEA"/>
    <w:rsid w:val="00B4792C"/>
    <w:rsid w:val="00B50CAE"/>
    <w:rsid w:val="00B512AD"/>
    <w:rsid w:val="00B5196C"/>
    <w:rsid w:val="00B525CB"/>
    <w:rsid w:val="00B52697"/>
    <w:rsid w:val="00B53D1A"/>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0FD"/>
    <w:rsid w:val="00B7423D"/>
    <w:rsid w:val="00B74D05"/>
    <w:rsid w:val="00B74EF8"/>
    <w:rsid w:val="00B75893"/>
    <w:rsid w:val="00B771F4"/>
    <w:rsid w:val="00B7762A"/>
    <w:rsid w:val="00B777FA"/>
    <w:rsid w:val="00B77850"/>
    <w:rsid w:val="00B7796B"/>
    <w:rsid w:val="00B80C72"/>
    <w:rsid w:val="00B8101E"/>
    <w:rsid w:val="00B817DF"/>
    <w:rsid w:val="00B81964"/>
    <w:rsid w:val="00B81E6F"/>
    <w:rsid w:val="00B82123"/>
    <w:rsid w:val="00B8225B"/>
    <w:rsid w:val="00B82BB5"/>
    <w:rsid w:val="00B83182"/>
    <w:rsid w:val="00B839F0"/>
    <w:rsid w:val="00B8474C"/>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5D9"/>
    <w:rsid w:val="00BA3982"/>
    <w:rsid w:val="00BA405F"/>
    <w:rsid w:val="00BA4771"/>
    <w:rsid w:val="00BA482B"/>
    <w:rsid w:val="00BA5027"/>
    <w:rsid w:val="00BA603A"/>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324"/>
    <w:rsid w:val="00BB5614"/>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D73"/>
    <w:rsid w:val="00BE7257"/>
    <w:rsid w:val="00BE792A"/>
    <w:rsid w:val="00BF020D"/>
    <w:rsid w:val="00BF0532"/>
    <w:rsid w:val="00BF0609"/>
    <w:rsid w:val="00BF0EE8"/>
    <w:rsid w:val="00BF10ED"/>
    <w:rsid w:val="00BF1DD2"/>
    <w:rsid w:val="00BF23A3"/>
    <w:rsid w:val="00BF2A7E"/>
    <w:rsid w:val="00BF3331"/>
    <w:rsid w:val="00BF3A45"/>
    <w:rsid w:val="00BF436F"/>
    <w:rsid w:val="00BF5C05"/>
    <w:rsid w:val="00BF6A12"/>
    <w:rsid w:val="00BF6FC6"/>
    <w:rsid w:val="00BF7C52"/>
    <w:rsid w:val="00BF7F99"/>
    <w:rsid w:val="00C00713"/>
    <w:rsid w:val="00C009A0"/>
    <w:rsid w:val="00C01330"/>
    <w:rsid w:val="00C0167E"/>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74A"/>
    <w:rsid w:val="00C04BDB"/>
    <w:rsid w:val="00C052C6"/>
    <w:rsid w:val="00C056DF"/>
    <w:rsid w:val="00C05A61"/>
    <w:rsid w:val="00C05FBA"/>
    <w:rsid w:val="00C05FEE"/>
    <w:rsid w:val="00C066B4"/>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41F"/>
    <w:rsid w:val="00C165FC"/>
    <w:rsid w:val="00C16DCE"/>
    <w:rsid w:val="00C176D5"/>
    <w:rsid w:val="00C17D24"/>
    <w:rsid w:val="00C2082C"/>
    <w:rsid w:val="00C20EB0"/>
    <w:rsid w:val="00C21004"/>
    <w:rsid w:val="00C21005"/>
    <w:rsid w:val="00C218DF"/>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061"/>
    <w:rsid w:val="00C25813"/>
    <w:rsid w:val="00C26C71"/>
    <w:rsid w:val="00C27143"/>
    <w:rsid w:val="00C2725D"/>
    <w:rsid w:val="00C27490"/>
    <w:rsid w:val="00C27556"/>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150"/>
    <w:rsid w:val="00C42247"/>
    <w:rsid w:val="00C428E7"/>
    <w:rsid w:val="00C438A2"/>
    <w:rsid w:val="00C439BE"/>
    <w:rsid w:val="00C451B2"/>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640"/>
    <w:rsid w:val="00C547A6"/>
    <w:rsid w:val="00C54A3A"/>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7"/>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1EF"/>
    <w:rsid w:val="00CA0413"/>
    <w:rsid w:val="00CA043A"/>
    <w:rsid w:val="00CA0E51"/>
    <w:rsid w:val="00CA1691"/>
    <w:rsid w:val="00CA2798"/>
    <w:rsid w:val="00CA2834"/>
    <w:rsid w:val="00CA41E7"/>
    <w:rsid w:val="00CA4A99"/>
    <w:rsid w:val="00CA4CCC"/>
    <w:rsid w:val="00CA5173"/>
    <w:rsid w:val="00CA5520"/>
    <w:rsid w:val="00CA5812"/>
    <w:rsid w:val="00CA5984"/>
    <w:rsid w:val="00CA5BD4"/>
    <w:rsid w:val="00CA5C14"/>
    <w:rsid w:val="00CA64F9"/>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346C"/>
    <w:rsid w:val="00CD4506"/>
    <w:rsid w:val="00CD520B"/>
    <w:rsid w:val="00CD592E"/>
    <w:rsid w:val="00CD5982"/>
    <w:rsid w:val="00CD5A1A"/>
    <w:rsid w:val="00CD6126"/>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021C"/>
    <w:rsid w:val="00CF1226"/>
    <w:rsid w:val="00CF1ABB"/>
    <w:rsid w:val="00CF1E1D"/>
    <w:rsid w:val="00CF1EB8"/>
    <w:rsid w:val="00CF24FE"/>
    <w:rsid w:val="00CF287F"/>
    <w:rsid w:val="00CF305E"/>
    <w:rsid w:val="00CF35D0"/>
    <w:rsid w:val="00CF3B57"/>
    <w:rsid w:val="00CF3D61"/>
    <w:rsid w:val="00CF3DD5"/>
    <w:rsid w:val="00CF43E7"/>
    <w:rsid w:val="00CF4AF7"/>
    <w:rsid w:val="00CF4D20"/>
    <w:rsid w:val="00CF73F8"/>
    <w:rsid w:val="00CF7675"/>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06DE8"/>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104A"/>
    <w:rsid w:val="00D21A58"/>
    <w:rsid w:val="00D21BB5"/>
    <w:rsid w:val="00D21FFC"/>
    <w:rsid w:val="00D22013"/>
    <w:rsid w:val="00D223B6"/>
    <w:rsid w:val="00D223E8"/>
    <w:rsid w:val="00D224E1"/>
    <w:rsid w:val="00D22DC8"/>
    <w:rsid w:val="00D23B47"/>
    <w:rsid w:val="00D2477B"/>
    <w:rsid w:val="00D24F93"/>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6E0"/>
    <w:rsid w:val="00D53E3E"/>
    <w:rsid w:val="00D54620"/>
    <w:rsid w:val="00D55904"/>
    <w:rsid w:val="00D55DFF"/>
    <w:rsid w:val="00D5614E"/>
    <w:rsid w:val="00D5616F"/>
    <w:rsid w:val="00D57940"/>
    <w:rsid w:val="00D60327"/>
    <w:rsid w:val="00D61384"/>
    <w:rsid w:val="00D61526"/>
    <w:rsid w:val="00D61C39"/>
    <w:rsid w:val="00D61F81"/>
    <w:rsid w:val="00D62088"/>
    <w:rsid w:val="00D620A6"/>
    <w:rsid w:val="00D623C0"/>
    <w:rsid w:val="00D62BE6"/>
    <w:rsid w:val="00D63359"/>
    <w:rsid w:val="00D63706"/>
    <w:rsid w:val="00D63766"/>
    <w:rsid w:val="00D63912"/>
    <w:rsid w:val="00D63923"/>
    <w:rsid w:val="00D6451B"/>
    <w:rsid w:val="00D64B57"/>
    <w:rsid w:val="00D650F4"/>
    <w:rsid w:val="00D651A1"/>
    <w:rsid w:val="00D65DEA"/>
    <w:rsid w:val="00D6650F"/>
    <w:rsid w:val="00D66579"/>
    <w:rsid w:val="00D66CF2"/>
    <w:rsid w:val="00D675BC"/>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32"/>
    <w:rsid w:val="00D7524B"/>
    <w:rsid w:val="00D75396"/>
    <w:rsid w:val="00D759C0"/>
    <w:rsid w:val="00D75E99"/>
    <w:rsid w:val="00D75ED7"/>
    <w:rsid w:val="00D765CE"/>
    <w:rsid w:val="00D766C7"/>
    <w:rsid w:val="00D7692B"/>
    <w:rsid w:val="00D7734F"/>
    <w:rsid w:val="00D7791D"/>
    <w:rsid w:val="00D77B2A"/>
    <w:rsid w:val="00D77D89"/>
    <w:rsid w:val="00D8039E"/>
    <w:rsid w:val="00D8044C"/>
    <w:rsid w:val="00D805D6"/>
    <w:rsid w:val="00D8075E"/>
    <w:rsid w:val="00D80860"/>
    <w:rsid w:val="00D80D4C"/>
    <w:rsid w:val="00D8184D"/>
    <w:rsid w:val="00D81A7B"/>
    <w:rsid w:val="00D8223C"/>
    <w:rsid w:val="00D82A7D"/>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5A2A"/>
    <w:rsid w:val="00D96594"/>
    <w:rsid w:val="00D96678"/>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6CA"/>
    <w:rsid w:val="00DB1745"/>
    <w:rsid w:val="00DB177C"/>
    <w:rsid w:val="00DB19BB"/>
    <w:rsid w:val="00DB1A00"/>
    <w:rsid w:val="00DB1AFF"/>
    <w:rsid w:val="00DB219A"/>
    <w:rsid w:val="00DB3165"/>
    <w:rsid w:val="00DB4292"/>
    <w:rsid w:val="00DB5023"/>
    <w:rsid w:val="00DB52D2"/>
    <w:rsid w:val="00DB6E46"/>
    <w:rsid w:val="00DB7117"/>
    <w:rsid w:val="00DB7760"/>
    <w:rsid w:val="00DB7DD4"/>
    <w:rsid w:val="00DC00B4"/>
    <w:rsid w:val="00DC0954"/>
    <w:rsid w:val="00DC0DF8"/>
    <w:rsid w:val="00DC15BA"/>
    <w:rsid w:val="00DC18CD"/>
    <w:rsid w:val="00DC1A68"/>
    <w:rsid w:val="00DC2072"/>
    <w:rsid w:val="00DC30B8"/>
    <w:rsid w:val="00DC47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702"/>
    <w:rsid w:val="00DD7F7D"/>
    <w:rsid w:val="00DE0159"/>
    <w:rsid w:val="00DE064A"/>
    <w:rsid w:val="00DE082D"/>
    <w:rsid w:val="00DE1410"/>
    <w:rsid w:val="00DE20C6"/>
    <w:rsid w:val="00DE3119"/>
    <w:rsid w:val="00DE3C24"/>
    <w:rsid w:val="00DE3FF0"/>
    <w:rsid w:val="00DE4105"/>
    <w:rsid w:val="00DE4BEA"/>
    <w:rsid w:val="00DE5189"/>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51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165"/>
    <w:rsid w:val="00E064BC"/>
    <w:rsid w:val="00E070C1"/>
    <w:rsid w:val="00E07225"/>
    <w:rsid w:val="00E073FC"/>
    <w:rsid w:val="00E076B4"/>
    <w:rsid w:val="00E07B55"/>
    <w:rsid w:val="00E10579"/>
    <w:rsid w:val="00E108A7"/>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E49"/>
    <w:rsid w:val="00E31A4A"/>
    <w:rsid w:val="00E31B76"/>
    <w:rsid w:val="00E32BA2"/>
    <w:rsid w:val="00E3344A"/>
    <w:rsid w:val="00E33B29"/>
    <w:rsid w:val="00E33B62"/>
    <w:rsid w:val="00E3403D"/>
    <w:rsid w:val="00E344BD"/>
    <w:rsid w:val="00E34548"/>
    <w:rsid w:val="00E34E6C"/>
    <w:rsid w:val="00E353E2"/>
    <w:rsid w:val="00E36345"/>
    <w:rsid w:val="00E36C86"/>
    <w:rsid w:val="00E36CEB"/>
    <w:rsid w:val="00E37A28"/>
    <w:rsid w:val="00E400C7"/>
    <w:rsid w:val="00E40430"/>
    <w:rsid w:val="00E40690"/>
    <w:rsid w:val="00E40AEB"/>
    <w:rsid w:val="00E40E82"/>
    <w:rsid w:val="00E41141"/>
    <w:rsid w:val="00E4143A"/>
    <w:rsid w:val="00E424C8"/>
    <w:rsid w:val="00E4251D"/>
    <w:rsid w:val="00E427EF"/>
    <w:rsid w:val="00E43D00"/>
    <w:rsid w:val="00E43FCB"/>
    <w:rsid w:val="00E443B4"/>
    <w:rsid w:val="00E445E4"/>
    <w:rsid w:val="00E457CB"/>
    <w:rsid w:val="00E45D47"/>
    <w:rsid w:val="00E45DE4"/>
    <w:rsid w:val="00E45E63"/>
    <w:rsid w:val="00E47027"/>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C6E"/>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E62"/>
    <w:rsid w:val="00E93804"/>
    <w:rsid w:val="00E9429D"/>
    <w:rsid w:val="00E95434"/>
    <w:rsid w:val="00E957D3"/>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CC6"/>
    <w:rsid w:val="00EA63EF"/>
    <w:rsid w:val="00EA7026"/>
    <w:rsid w:val="00EA7CBF"/>
    <w:rsid w:val="00EB0A89"/>
    <w:rsid w:val="00EB0BD8"/>
    <w:rsid w:val="00EB1573"/>
    <w:rsid w:val="00EB1910"/>
    <w:rsid w:val="00EB2564"/>
    <w:rsid w:val="00EB2D83"/>
    <w:rsid w:val="00EB2E97"/>
    <w:rsid w:val="00EB3416"/>
    <w:rsid w:val="00EB4AE1"/>
    <w:rsid w:val="00EB52F4"/>
    <w:rsid w:val="00EB54E5"/>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10"/>
    <w:rsid w:val="00ED053A"/>
    <w:rsid w:val="00ED1F03"/>
    <w:rsid w:val="00ED249D"/>
    <w:rsid w:val="00ED2D27"/>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825"/>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6930"/>
    <w:rsid w:val="00EE7B54"/>
    <w:rsid w:val="00EE7C47"/>
    <w:rsid w:val="00EE7C88"/>
    <w:rsid w:val="00EE7C8B"/>
    <w:rsid w:val="00EF0209"/>
    <w:rsid w:val="00EF0EA4"/>
    <w:rsid w:val="00EF1E97"/>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A9C"/>
    <w:rsid w:val="00F03C3D"/>
    <w:rsid w:val="00F0435D"/>
    <w:rsid w:val="00F04580"/>
    <w:rsid w:val="00F04ECA"/>
    <w:rsid w:val="00F04F8B"/>
    <w:rsid w:val="00F06E19"/>
    <w:rsid w:val="00F06F84"/>
    <w:rsid w:val="00F076E7"/>
    <w:rsid w:val="00F07A86"/>
    <w:rsid w:val="00F07AA1"/>
    <w:rsid w:val="00F102E0"/>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2697"/>
    <w:rsid w:val="00F23113"/>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2549"/>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5921"/>
    <w:rsid w:val="00F45B91"/>
    <w:rsid w:val="00F46639"/>
    <w:rsid w:val="00F476FD"/>
    <w:rsid w:val="00F50183"/>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3D62"/>
    <w:rsid w:val="00F63E12"/>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B33"/>
    <w:rsid w:val="00F83CAE"/>
    <w:rsid w:val="00F83CE8"/>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67D"/>
    <w:rsid w:val="00F91CB2"/>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C4A"/>
    <w:rsid w:val="00FA1DA2"/>
    <w:rsid w:val="00FA313F"/>
    <w:rsid w:val="00FA3414"/>
    <w:rsid w:val="00FA347A"/>
    <w:rsid w:val="00FA3B98"/>
    <w:rsid w:val="00FA3CDE"/>
    <w:rsid w:val="00FA49B7"/>
    <w:rsid w:val="00FA5043"/>
    <w:rsid w:val="00FA60C1"/>
    <w:rsid w:val="00FA65A3"/>
    <w:rsid w:val="00FA6BCA"/>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5"/>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2BB8"/>
    <w:rsid w:val="00FD313C"/>
    <w:rsid w:val="00FD3508"/>
    <w:rsid w:val="00FD393C"/>
    <w:rsid w:val="00FD3AFF"/>
    <w:rsid w:val="00FD43BB"/>
    <w:rsid w:val="00FD4AF3"/>
    <w:rsid w:val="00FD5443"/>
    <w:rsid w:val="00FD5DF8"/>
    <w:rsid w:val="00FD6675"/>
    <w:rsid w:val="00FD6DC5"/>
    <w:rsid w:val="00FD72B1"/>
    <w:rsid w:val="00FD798D"/>
    <w:rsid w:val="00FE141E"/>
    <w:rsid w:val="00FE144E"/>
    <w:rsid w:val="00FE1768"/>
    <w:rsid w:val="00FE1DD5"/>
    <w:rsid w:val="00FE24F4"/>
    <w:rsid w:val="00FE2560"/>
    <w:rsid w:val="00FE35D0"/>
    <w:rsid w:val="00FE42ED"/>
    <w:rsid w:val="00FE4CDF"/>
    <w:rsid w:val="00FE4E06"/>
    <w:rsid w:val="00FE55A7"/>
    <w:rsid w:val="00FE5C5A"/>
    <w:rsid w:val="00FE601E"/>
    <w:rsid w:val="00FE6432"/>
    <w:rsid w:val="00FE72A0"/>
    <w:rsid w:val="00FF0050"/>
    <w:rsid w:val="00FF045F"/>
    <w:rsid w:val="00FF0816"/>
    <w:rsid w:val="00FF13D4"/>
    <w:rsid w:val="00FF2053"/>
    <w:rsid w:val="00FF3B37"/>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37F"/>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9447">
      <w:bodyDiv w:val="1"/>
      <w:marLeft w:val="0"/>
      <w:marRight w:val="0"/>
      <w:marTop w:val="0"/>
      <w:marBottom w:val="0"/>
      <w:divBdr>
        <w:top w:val="none" w:sz="0" w:space="0" w:color="auto"/>
        <w:left w:val="none" w:sz="0" w:space="0" w:color="auto"/>
        <w:bottom w:val="none" w:sz="0" w:space="0" w:color="auto"/>
        <w:right w:val="none" w:sz="0" w:space="0" w:color="auto"/>
      </w:divBdr>
      <w:divsChild>
        <w:div w:id="261258285">
          <w:marLeft w:val="0"/>
          <w:marRight w:val="0"/>
          <w:marTop w:val="0"/>
          <w:marBottom w:val="0"/>
          <w:divBdr>
            <w:top w:val="none" w:sz="0" w:space="0" w:color="auto"/>
            <w:left w:val="none" w:sz="0" w:space="0" w:color="auto"/>
            <w:bottom w:val="none" w:sz="0" w:space="0" w:color="auto"/>
            <w:right w:val="none" w:sz="0" w:space="0" w:color="auto"/>
          </w:divBdr>
          <w:divsChild>
            <w:div w:id="52581042">
              <w:marLeft w:val="0"/>
              <w:marRight w:val="0"/>
              <w:marTop w:val="0"/>
              <w:marBottom w:val="0"/>
              <w:divBdr>
                <w:top w:val="none" w:sz="0" w:space="0" w:color="auto"/>
                <w:left w:val="none" w:sz="0" w:space="0" w:color="auto"/>
                <w:bottom w:val="none" w:sz="0" w:space="0" w:color="auto"/>
                <w:right w:val="none" w:sz="0" w:space="0" w:color="auto"/>
              </w:divBdr>
              <w:divsChild>
                <w:div w:id="18956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7356397">
      <w:bodyDiv w:val="1"/>
      <w:marLeft w:val="0"/>
      <w:marRight w:val="0"/>
      <w:marTop w:val="0"/>
      <w:marBottom w:val="0"/>
      <w:divBdr>
        <w:top w:val="none" w:sz="0" w:space="0" w:color="auto"/>
        <w:left w:val="none" w:sz="0" w:space="0" w:color="auto"/>
        <w:bottom w:val="none" w:sz="0" w:space="0" w:color="auto"/>
        <w:right w:val="none" w:sz="0" w:space="0" w:color="auto"/>
      </w:divBdr>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6827">
      <w:bodyDiv w:val="1"/>
      <w:marLeft w:val="0"/>
      <w:marRight w:val="0"/>
      <w:marTop w:val="0"/>
      <w:marBottom w:val="0"/>
      <w:divBdr>
        <w:top w:val="none" w:sz="0" w:space="0" w:color="auto"/>
        <w:left w:val="none" w:sz="0" w:space="0" w:color="auto"/>
        <w:bottom w:val="none" w:sz="0" w:space="0" w:color="auto"/>
        <w:right w:val="none" w:sz="0" w:space="0" w:color="auto"/>
      </w:divBdr>
      <w:divsChild>
        <w:div w:id="936668796">
          <w:marLeft w:val="0"/>
          <w:marRight w:val="0"/>
          <w:marTop w:val="0"/>
          <w:marBottom w:val="0"/>
          <w:divBdr>
            <w:top w:val="none" w:sz="0" w:space="0" w:color="auto"/>
            <w:left w:val="none" w:sz="0" w:space="0" w:color="auto"/>
            <w:bottom w:val="none" w:sz="0" w:space="0" w:color="auto"/>
            <w:right w:val="none" w:sz="0" w:space="0" w:color="auto"/>
          </w:divBdr>
          <w:divsChild>
            <w:div w:id="1182931664">
              <w:marLeft w:val="0"/>
              <w:marRight w:val="0"/>
              <w:marTop w:val="0"/>
              <w:marBottom w:val="0"/>
              <w:divBdr>
                <w:top w:val="none" w:sz="0" w:space="0" w:color="auto"/>
                <w:left w:val="none" w:sz="0" w:space="0" w:color="auto"/>
                <w:bottom w:val="none" w:sz="0" w:space="0" w:color="auto"/>
                <w:right w:val="none" w:sz="0" w:space="0" w:color="auto"/>
              </w:divBdr>
              <w:divsChild>
                <w:div w:id="16572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50211">
      <w:bodyDiv w:val="1"/>
      <w:marLeft w:val="0"/>
      <w:marRight w:val="0"/>
      <w:marTop w:val="0"/>
      <w:marBottom w:val="0"/>
      <w:divBdr>
        <w:top w:val="none" w:sz="0" w:space="0" w:color="auto"/>
        <w:left w:val="none" w:sz="0" w:space="0" w:color="auto"/>
        <w:bottom w:val="none" w:sz="0" w:space="0" w:color="auto"/>
        <w:right w:val="none" w:sz="0" w:space="0" w:color="auto"/>
      </w:divBdr>
      <w:divsChild>
        <w:div w:id="890531452">
          <w:marLeft w:val="0"/>
          <w:marRight w:val="0"/>
          <w:marTop w:val="0"/>
          <w:marBottom w:val="0"/>
          <w:divBdr>
            <w:top w:val="none" w:sz="0" w:space="0" w:color="auto"/>
            <w:left w:val="none" w:sz="0" w:space="0" w:color="auto"/>
            <w:bottom w:val="none" w:sz="0" w:space="0" w:color="auto"/>
            <w:right w:val="none" w:sz="0" w:space="0" w:color="auto"/>
          </w:divBdr>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3043997">
      <w:bodyDiv w:val="1"/>
      <w:marLeft w:val="0"/>
      <w:marRight w:val="0"/>
      <w:marTop w:val="0"/>
      <w:marBottom w:val="0"/>
      <w:divBdr>
        <w:top w:val="none" w:sz="0" w:space="0" w:color="auto"/>
        <w:left w:val="none" w:sz="0" w:space="0" w:color="auto"/>
        <w:bottom w:val="none" w:sz="0" w:space="0" w:color="auto"/>
        <w:right w:val="none" w:sz="0" w:space="0" w:color="auto"/>
      </w:divBdr>
      <w:divsChild>
        <w:div w:id="1845045473">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007750">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9BCEC-9C16-4D29-9094-A01FA9A20215}"/>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527</TotalTime>
  <Pages>15</Pages>
  <Words>6078</Words>
  <Characters>33435</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230</cp:revision>
  <cp:lastPrinted>2020-01-30T15:05:00Z</cp:lastPrinted>
  <dcterms:created xsi:type="dcterms:W3CDTF">2021-02-03T17:27:00Z</dcterms:created>
  <dcterms:modified xsi:type="dcterms:W3CDTF">2021-05-25T18:27:00Z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