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24E71" w14:textId="77777777" w:rsidR="00592B91" w:rsidRPr="00133838" w:rsidRDefault="00592B91" w:rsidP="00592B91">
      <w:pPr>
        <w:spacing w:after="0"/>
        <w:jc w:val="right"/>
        <w:rPr>
          <w:rFonts w:ascii="Arial" w:eastAsia="Calibri" w:hAnsi="Arial" w:cs="Arial"/>
          <w:bCs/>
          <w:noProof/>
          <w:sz w:val="20"/>
          <w:szCs w:val="20"/>
          <w:lang w:val="es-ES_tradnl" w:eastAsia="es-ES"/>
        </w:rPr>
      </w:pPr>
      <w:bookmarkStart w:id="0" w:name="_Hlk28946138"/>
      <w:bookmarkStart w:id="1" w:name="_Hlk29548183"/>
      <w:bookmarkStart w:id="2" w:name="_Hlk29890381"/>
      <w:r w:rsidRPr="00133838">
        <w:rPr>
          <w:rFonts w:ascii="Arial" w:eastAsia="Calibri" w:hAnsi="Arial" w:cs="Arial"/>
          <w:b/>
          <w:noProof/>
          <w:sz w:val="20"/>
          <w:szCs w:val="20"/>
          <w:lang w:val="es-ES_tradnl" w:eastAsia="es-ES"/>
        </w:rPr>
        <w:tab/>
      </w:r>
      <w:r w:rsidRPr="00133838">
        <w:rPr>
          <w:rFonts w:ascii="Arial" w:eastAsia="Calibri" w:hAnsi="Arial" w:cs="Arial"/>
          <w:bCs/>
          <w:noProof/>
          <w:sz w:val="20"/>
          <w:szCs w:val="20"/>
          <w:lang w:val="es-ES_tradnl" w:eastAsia="es-ES"/>
        </w:rPr>
        <w:t>CCE-DES-FM-17</w:t>
      </w:r>
    </w:p>
    <w:p w14:paraId="57D7F30E" w14:textId="77777777" w:rsidR="00592B91" w:rsidRPr="00133838" w:rsidRDefault="00592B91" w:rsidP="00592B91">
      <w:pPr>
        <w:spacing w:after="0"/>
        <w:jc w:val="both"/>
        <w:rPr>
          <w:rFonts w:ascii="Arial" w:eastAsia="Calibri" w:hAnsi="Arial" w:cs="Arial"/>
          <w:b/>
          <w:noProof/>
          <w:sz w:val="20"/>
          <w:szCs w:val="20"/>
          <w:lang w:val="es-ES_tradnl"/>
        </w:rPr>
      </w:pPr>
    </w:p>
    <w:p w14:paraId="12944E29" w14:textId="6302938D" w:rsidR="00592B91" w:rsidRPr="002D5146" w:rsidRDefault="00592B91" w:rsidP="00592B91">
      <w:pPr>
        <w:spacing w:after="0" w:line="240" w:lineRule="auto"/>
        <w:jc w:val="both"/>
        <w:rPr>
          <w:rFonts w:ascii="Arial" w:eastAsia="Calibri" w:hAnsi="Arial" w:cs="Arial"/>
          <w:b/>
          <w:szCs w:val="24"/>
          <w:lang w:val="es-ES_tradnl" w:eastAsia="es-ES_tradnl"/>
        </w:rPr>
      </w:pPr>
      <w:r>
        <w:rPr>
          <w:rFonts w:ascii="Arial" w:eastAsia="Calibri" w:hAnsi="Arial" w:cs="Arial"/>
          <w:b/>
          <w:szCs w:val="24"/>
          <w:lang w:val="es-ES_tradnl" w:eastAsia="es-ES_tradnl"/>
        </w:rPr>
        <w:t xml:space="preserve">LEY 2080 DE 2021 </w:t>
      </w:r>
      <w:r w:rsidR="00CA4620">
        <w:rPr>
          <w:rFonts w:ascii="Arial" w:eastAsia="Calibri" w:hAnsi="Arial" w:cs="Arial"/>
          <w:b/>
          <w:szCs w:val="24"/>
          <w:lang w:val="es-ES_tradnl" w:eastAsia="es-ES_tradnl"/>
        </w:rPr>
        <w:t>–</w:t>
      </w:r>
      <w:r>
        <w:rPr>
          <w:rFonts w:ascii="Arial" w:eastAsia="Calibri" w:hAnsi="Arial" w:cs="Arial"/>
          <w:b/>
          <w:szCs w:val="24"/>
          <w:lang w:val="es-ES_tradnl" w:eastAsia="es-ES_tradnl"/>
        </w:rPr>
        <w:t xml:space="preserve"> P</w:t>
      </w:r>
      <w:r w:rsidRPr="0077604A">
        <w:rPr>
          <w:rFonts w:ascii="Arial" w:eastAsia="Calibri" w:hAnsi="Arial" w:cs="Arial"/>
          <w:b/>
          <w:szCs w:val="24"/>
          <w:lang w:val="es-ES_tradnl" w:eastAsia="es-ES_tradnl"/>
        </w:rPr>
        <w:t>rocesos sancionatorios contractuales</w:t>
      </w:r>
      <w:r w:rsidR="009C4C68">
        <w:rPr>
          <w:rFonts w:ascii="Arial" w:eastAsia="Calibri" w:hAnsi="Arial" w:cs="Arial"/>
          <w:b/>
          <w:szCs w:val="24"/>
          <w:lang w:val="es-ES_tradnl" w:eastAsia="es-ES_tradnl"/>
        </w:rPr>
        <w:t xml:space="preserve"> – Ausencia de modificación</w:t>
      </w:r>
    </w:p>
    <w:p w14:paraId="5E8727DA" w14:textId="77777777" w:rsidR="00592B91" w:rsidRDefault="00592B91" w:rsidP="00592B91">
      <w:pPr>
        <w:spacing w:after="0" w:line="240" w:lineRule="auto"/>
        <w:jc w:val="both"/>
        <w:rPr>
          <w:rFonts w:ascii="Arial" w:eastAsia="Times New Roman" w:hAnsi="Arial" w:cs="Arial"/>
          <w:iCs/>
          <w:color w:val="000000"/>
          <w:sz w:val="20"/>
          <w:szCs w:val="20"/>
          <w:lang w:val="es-ES_tradnl" w:eastAsia="es-ES_tradnl"/>
        </w:rPr>
      </w:pPr>
    </w:p>
    <w:p w14:paraId="0210AF70" w14:textId="3A92B1D8" w:rsidR="00592B91" w:rsidRDefault="00592B91" w:rsidP="00592B91">
      <w:pPr>
        <w:spacing w:after="0" w:line="240" w:lineRule="auto"/>
        <w:jc w:val="both"/>
        <w:rPr>
          <w:rFonts w:ascii="Arial" w:eastAsia="Times New Roman" w:hAnsi="Arial" w:cs="Arial"/>
          <w:iCs/>
          <w:color w:val="000000"/>
          <w:sz w:val="20"/>
          <w:szCs w:val="20"/>
          <w:lang w:val="es-ES_tradnl" w:eastAsia="es-ES_tradnl"/>
        </w:rPr>
      </w:pPr>
      <w:r>
        <w:rPr>
          <w:rFonts w:ascii="Arial" w:eastAsia="Times New Roman" w:hAnsi="Arial" w:cs="Arial"/>
          <w:iCs/>
          <w:color w:val="000000"/>
          <w:sz w:val="20"/>
          <w:szCs w:val="20"/>
          <w:lang w:val="es-ES_tradnl" w:eastAsia="es-ES_tradnl"/>
        </w:rPr>
        <w:t>En</w:t>
      </w:r>
      <w:r w:rsidRPr="001B29D6">
        <w:rPr>
          <w:rFonts w:ascii="Arial" w:eastAsia="Times New Roman" w:hAnsi="Arial" w:cs="Arial"/>
          <w:iCs/>
          <w:color w:val="000000"/>
          <w:sz w:val="20"/>
          <w:szCs w:val="20"/>
          <w:lang w:val="es-ES_tradnl" w:eastAsia="es-ES_tradnl"/>
        </w:rPr>
        <w:t xml:space="preserve"> las reformas introducidas en el Código de Procedimiento Administrativo y de lo Contencioso Administrativo – CPACA –  en virtud de la expedición de la  Ley 2080 de 2021, </w:t>
      </w:r>
      <w:r>
        <w:rPr>
          <w:rFonts w:ascii="Arial" w:eastAsia="Times New Roman" w:hAnsi="Arial" w:cs="Arial"/>
          <w:iCs/>
          <w:color w:val="000000"/>
          <w:sz w:val="20"/>
          <w:szCs w:val="20"/>
          <w:lang w:val="es-ES_tradnl" w:eastAsia="es-ES_tradnl"/>
        </w:rPr>
        <w:t xml:space="preserve">respecto </w:t>
      </w:r>
      <w:r w:rsidRPr="001B29D6">
        <w:rPr>
          <w:rFonts w:ascii="Arial" w:eastAsia="Times New Roman" w:hAnsi="Arial" w:cs="Arial"/>
          <w:iCs/>
          <w:color w:val="000000"/>
          <w:sz w:val="20"/>
          <w:szCs w:val="20"/>
          <w:lang w:val="es-ES_tradnl" w:eastAsia="es-ES_tradnl"/>
        </w:rPr>
        <w:t>a las actuaciones sancionatorias contractuales no se evidencian cambios, es decir que la norma conservó su mandato original en cuanto a la remisión a normas especiales que rijan la materia, en armonía con el artículo 34 del mismo cuerpo normativo que  dispone que las actuaciones administrativas se sujetarán al procedimiento administrativo común y principal que establece el – CPACA –,  sin perjuicio de los procedimientos administrativos regulados por leyes especiales, revalidando la primacía de la norma especial.</w:t>
      </w:r>
      <w:r>
        <w:rPr>
          <w:rFonts w:ascii="Arial" w:eastAsia="Times New Roman" w:hAnsi="Arial" w:cs="Arial"/>
          <w:iCs/>
          <w:color w:val="000000"/>
          <w:sz w:val="20"/>
          <w:szCs w:val="20"/>
          <w:lang w:val="es-ES_tradnl" w:eastAsia="es-ES_tradnl"/>
        </w:rPr>
        <w:t xml:space="preserve">  </w:t>
      </w:r>
      <w:r w:rsidRPr="001B29D6">
        <w:rPr>
          <w:rFonts w:ascii="Arial" w:eastAsia="Times New Roman" w:hAnsi="Arial" w:cs="Arial"/>
          <w:iCs/>
          <w:color w:val="000000"/>
          <w:sz w:val="20"/>
          <w:szCs w:val="20"/>
          <w:lang w:val="es-ES_tradnl" w:eastAsia="es-ES_tradnl"/>
        </w:rPr>
        <w:t>Así las cosas, la entrada en vigencia la Ley 2021 de 2021 modifica varias disposiciones del – CPACA –, pero primordialmente referentes al proceso administrativo sancionatorio fiscal, en cuanto al contractual se mantiene incólume el mencionado cuerpo normativo y con ello la remisión normativa especial que precede a la vigencia de la Ley 2080 de 2021.</w:t>
      </w:r>
    </w:p>
    <w:p w14:paraId="55271BFA" w14:textId="77777777" w:rsidR="00592B91" w:rsidRDefault="00592B91" w:rsidP="00592B91">
      <w:pPr>
        <w:spacing w:after="0" w:line="240" w:lineRule="auto"/>
        <w:jc w:val="both"/>
        <w:rPr>
          <w:rFonts w:ascii="Arial" w:eastAsia="Times New Roman" w:hAnsi="Arial" w:cs="Arial"/>
          <w:iCs/>
          <w:color w:val="000000"/>
          <w:sz w:val="20"/>
          <w:szCs w:val="20"/>
          <w:lang w:val="es-ES_tradnl" w:eastAsia="es-ES_tradnl"/>
        </w:rPr>
      </w:pPr>
    </w:p>
    <w:p w14:paraId="586919D1" w14:textId="77777777" w:rsidR="00592B91" w:rsidRPr="002D5146" w:rsidRDefault="00592B91" w:rsidP="00592B91">
      <w:pPr>
        <w:spacing w:after="0" w:line="240" w:lineRule="auto"/>
        <w:jc w:val="both"/>
        <w:rPr>
          <w:rFonts w:ascii="Arial" w:eastAsia="Calibri" w:hAnsi="Arial" w:cs="Arial"/>
          <w:b/>
          <w:szCs w:val="24"/>
          <w:lang w:val="es-ES_tradnl" w:eastAsia="es-ES_tradnl"/>
        </w:rPr>
      </w:pPr>
      <w:r w:rsidRPr="002D5146">
        <w:rPr>
          <w:rFonts w:ascii="Arial" w:eastAsia="Calibri" w:hAnsi="Arial" w:cs="Arial"/>
          <w:b/>
          <w:szCs w:val="24"/>
          <w:lang w:val="es-ES_tradnl" w:eastAsia="es-ES_tradnl"/>
        </w:rPr>
        <w:t xml:space="preserve">SANCIONES CONTRACTUALES </w:t>
      </w:r>
      <w:r w:rsidRPr="002D5146">
        <w:rPr>
          <w:rFonts w:ascii="Arial" w:eastAsia="Calibri" w:hAnsi="Arial" w:cs="Arial"/>
          <w:b/>
          <w:color w:val="000000"/>
          <w:szCs w:val="24"/>
          <w:lang w:val="es-ES_tradnl" w:eastAsia="es-ES_tradnl"/>
        </w:rPr>
        <w:t>–</w:t>
      </w:r>
      <w:r w:rsidRPr="002D5146">
        <w:rPr>
          <w:rFonts w:ascii="Arial" w:eastAsia="Calibri" w:hAnsi="Arial" w:cs="Arial"/>
          <w:b/>
          <w:szCs w:val="24"/>
          <w:lang w:val="es-ES_tradnl" w:eastAsia="es-ES_tradnl"/>
        </w:rPr>
        <w:t xml:space="preserve"> Clases </w:t>
      </w:r>
      <w:r w:rsidRPr="002D5146">
        <w:rPr>
          <w:rFonts w:ascii="Arial" w:eastAsia="Calibri" w:hAnsi="Arial" w:cs="Arial"/>
          <w:b/>
          <w:color w:val="000000"/>
          <w:szCs w:val="24"/>
          <w:lang w:val="es-ES_tradnl" w:eastAsia="es-ES_tradnl"/>
        </w:rPr>
        <w:t>– Consagración legal</w:t>
      </w:r>
    </w:p>
    <w:p w14:paraId="53104928" w14:textId="77777777" w:rsidR="00592B91" w:rsidRPr="002D5146" w:rsidRDefault="00592B91" w:rsidP="00592B91">
      <w:pPr>
        <w:spacing w:after="0" w:line="240" w:lineRule="auto"/>
        <w:jc w:val="both"/>
        <w:rPr>
          <w:rFonts w:ascii="Arial" w:eastAsia="Calibri" w:hAnsi="Arial" w:cs="Arial"/>
          <w:b/>
          <w:sz w:val="21"/>
          <w:szCs w:val="21"/>
          <w:lang w:val="es-ES_tradnl" w:eastAsia="es-ES_tradnl"/>
        </w:rPr>
      </w:pPr>
    </w:p>
    <w:p w14:paraId="32D36264" w14:textId="77777777" w:rsidR="00592B91" w:rsidRPr="002D5146" w:rsidRDefault="00592B91" w:rsidP="00592B91">
      <w:pPr>
        <w:spacing w:after="0" w:line="240" w:lineRule="auto"/>
        <w:jc w:val="both"/>
        <w:rPr>
          <w:rFonts w:ascii="Arial" w:eastAsia="Times New Roman" w:hAnsi="Arial" w:cs="Arial"/>
          <w:iCs/>
          <w:color w:val="000000"/>
          <w:sz w:val="20"/>
          <w:szCs w:val="20"/>
          <w:lang w:val="es-ES_tradnl" w:eastAsia="es-ES_tradnl"/>
        </w:rPr>
      </w:pPr>
      <w:r w:rsidRPr="002D5146">
        <w:rPr>
          <w:rFonts w:ascii="Arial" w:eastAsia="Times New Roman" w:hAnsi="Arial" w:cs="Arial"/>
          <w:iCs/>
          <w:color w:val="000000"/>
          <w:sz w:val="20"/>
          <w:szCs w:val="20"/>
          <w:lang w:val="es-ES_tradnl" w:eastAsia="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2D5146">
        <w:rPr>
          <w:rFonts w:ascii="Arial" w:eastAsia="Times New Roman" w:hAnsi="Arial" w:cs="Arial"/>
          <w:i/>
          <w:color w:val="000000"/>
          <w:sz w:val="20"/>
          <w:szCs w:val="20"/>
          <w:lang w:val="es-ES_tradnl" w:eastAsia="es-ES_tradnl"/>
        </w:rPr>
        <w:t>ibidem</w:t>
      </w:r>
      <w:r w:rsidRPr="002D5146">
        <w:rPr>
          <w:rFonts w:ascii="Arial" w:eastAsia="Times New Roman" w:hAnsi="Arial" w:cs="Arial"/>
          <w:iCs/>
          <w:color w:val="000000"/>
          <w:sz w:val="20"/>
          <w:szCs w:val="20"/>
          <w:lang w:val="es-ES_tradnl" w:eastAsia="es-ES_tradnl"/>
        </w:rPr>
        <w:t xml:space="preserve">. ii) En algunas disposiciones también se establecen otras potestades exorbitantes, como la liquidación unilateral y la declaratoria unilateral del siniestro –artículos 7 y 11 de la Ley 1150 de 2007–. Dentro de las potestades unilaterales también se encuentran iii) las cláusulas excepcionales de </w:t>
      </w:r>
      <w:r w:rsidRPr="002D5146">
        <w:rPr>
          <w:rFonts w:ascii="Arial" w:eastAsia="Times New Roman" w:hAnsi="Arial" w:cs="Arial"/>
          <w:i/>
          <w:color w:val="000000"/>
          <w:sz w:val="20"/>
          <w:szCs w:val="20"/>
          <w:lang w:val="es-ES_tradnl" w:eastAsia="es-ES_tradnl"/>
        </w:rPr>
        <w:t>imposición unilateral</w:t>
      </w:r>
      <w:r w:rsidRPr="002D5146">
        <w:rPr>
          <w:rFonts w:ascii="Arial" w:eastAsia="Times New Roman" w:hAnsi="Arial" w:cs="Arial"/>
          <w:iCs/>
          <w:color w:val="000000"/>
          <w:sz w:val="20"/>
          <w:szCs w:val="20"/>
          <w:lang w:val="es-ES_tradnl" w:eastAsia="es-ES_tradnl"/>
        </w:rPr>
        <w:t xml:space="preserve"> de las cláusulas penales y de multas –artículo 17 de la Ley 1150 de 2007–, aclarando que su exorbitancia se refiere a su imposición unilateral, no a su pacto, que es posible en virtud de las normas civiles y comerciales.</w:t>
      </w:r>
    </w:p>
    <w:p w14:paraId="72726E84" w14:textId="77777777" w:rsidR="00592B91" w:rsidRPr="002D5146" w:rsidRDefault="00592B91" w:rsidP="00592B91">
      <w:pPr>
        <w:spacing w:after="0" w:line="240" w:lineRule="auto"/>
        <w:jc w:val="both"/>
        <w:rPr>
          <w:rFonts w:ascii="Arial" w:eastAsia="Times New Roman" w:hAnsi="Arial" w:cs="Arial"/>
          <w:sz w:val="21"/>
          <w:szCs w:val="21"/>
          <w:lang w:val="es-ES_tradnl" w:eastAsia="es-ES_tradnl"/>
        </w:rPr>
      </w:pPr>
    </w:p>
    <w:p w14:paraId="2B06B624" w14:textId="425BEA50" w:rsidR="00592B91" w:rsidRPr="002D5146" w:rsidRDefault="00592B91" w:rsidP="00592B91">
      <w:pPr>
        <w:spacing w:after="0" w:line="240" w:lineRule="auto"/>
        <w:jc w:val="both"/>
        <w:rPr>
          <w:rFonts w:ascii="Arial" w:eastAsia="Calibri" w:hAnsi="Arial" w:cs="Arial"/>
          <w:b/>
          <w:szCs w:val="24"/>
          <w:lang w:val="es-ES_tradnl" w:eastAsia="es-ES_tradnl"/>
        </w:rPr>
      </w:pPr>
      <w:r w:rsidRPr="002D5146">
        <w:rPr>
          <w:rFonts w:ascii="Arial" w:eastAsia="Calibri" w:hAnsi="Arial" w:cs="Arial"/>
          <w:b/>
          <w:szCs w:val="24"/>
          <w:lang w:val="es-ES_tradnl" w:eastAsia="es-ES_tradnl"/>
        </w:rPr>
        <w:t>PROCEDIMIENTO SANCIONATORIO</w:t>
      </w:r>
      <w:r>
        <w:rPr>
          <w:rFonts w:ascii="Arial" w:eastAsia="Calibri" w:hAnsi="Arial" w:cs="Arial"/>
          <w:b/>
          <w:szCs w:val="24"/>
          <w:lang w:val="es-ES_tradnl" w:eastAsia="es-ES_tradnl"/>
        </w:rPr>
        <w:t xml:space="preserve"> CONTRACTUAL </w:t>
      </w:r>
      <w:r w:rsidRPr="002D5146">
        <w:rPr>
          <w:rFonts w:ascii="Arial" w:eastAsia="Calibri" w:hAnsi="Arial" w:cs="Arial"/>
          <w:b/>
          <w:szCs w:val="24"/>
          <w:lang w:val="es-ES_tradnl" w:eastAsia="es-ES_tradnl"/>
        </w:rPr>
        <w:t xml:space="preserve">– </w:t>
      </w:r>
      <w:r w:rsidR="002B6FD7">
        <w:rPr>
          <w:rFonts w:ascii="Arial" w:eastAsia="Calibri" w:hAnsi="Arial" w:cs="Arial"/>
          <w:b/>
          <w:szCs w:val="24"/>
          <w:lang w:val="es-ES_tradnl" w:eastAsia="es-ES_tradnl"/>
        </w:rPr>
        <w:t>Marco normativo –</w:t>
      </w:r>
      <w:r w:rsidR="00A861BB">
        <w:rPr>
          <w:rFonts w:ascii="Arial" w:eastAsia="Calibri" w:hAnsi="Arial" w:cs="Arial"/>
          <w:b/>
          <w:szCs w:val="24"/>
          <w:lang w:val="es-ES_tradnl" w:eastAsia="es-ES_tradnl"/>
        </w:rPr>
        <w:t xml:space="preserve"> </w:t>
      </w:r>
      <w:r w:rsidRPr="002D5146">
        <w:rPr>
          <w:rFonts w:ascii="Arial" w:eastAsia="Calibri" w:hAnsi="Arial" w:cs="Arial"/>
          <w:b/>
          <w:color w:val="000000"/>
          <w:szCs w:val="24"/>
          <w:lang w:val="es-ES_tradnl" w:eastAsia="es-ES_tradnl"/>
        </w:rPr>
        <w:t>Artículo 86</w:t>
      </w:r>
      <w:r w:rsidR="00A861BB">
        <w:rPr>
          <w:rFonts w:ascii="Arial" w:eastAsia="Calibri" w:hAnsi="Arial" w:cs="Arial"/>
          <w:b/>
          <w:color w:val="000000"/>
          <w:szCs w:val="24"/>
          <w:lang w:val="es-ES_tradnl" w:eastAsia="es-ES_tradnl"/>
        </w:rPr>
        <w:t xml:space="preserve"> de la </w:t>
      </w:r>
      <w:r w:rsidR="00A861BB" w:rsidRPr="002D5146">
        <w:rPr>
          <w:rFonts w:ascii="Arial" w:eastAsia="Calibri" w:hAnsi="Arial" w:cs="Arial"/>
          <w:b/>
          <w:szCs w:val="24"/>
          <w:lang w:val="es-ES_tradnl" w:eastAsia="es-ES_tradnl"/>
        </w:rPr>
        <w:t>Ley</w:t>
      </w:r>
      <w:r w:rsidR="00A861BB">
        <w:rPr>
          <w:rFonts w:ascii="Arial" w:eastAsia="Calibri" w:hAnsi="Arial" w:cs="Arial"/>
          <w:b/>
          <w:szCs w:val="24"/>
          <w:lang w:val="es-ES_tradnl" w:eastAsia="es-ES_tradnl"/>
        </w:rPr>
        <w:t xml:space="preserve"> </w:t>
      </w:r>
      <w:r w:rsidR="00A861BB" w:rsidRPr="002D5146">
        <w:rPr>
          <w:rFonts w:ascii="Arial" w:eastAsia="Calibri" w:hAnsi="Arial" w:cs="Arial"/>
          <w:b/>
          <w:szCs w:val="24"/>
          <w:lang w:val="es-ES_tradnl" w:eastAsia="es-ES_tradnl"/>
        </w:rPr>
        <w:t xml:space="preserve"> 1474 de 2011</w:t>
      </w:r>
    </w:p>
    <w:p w14:paraId="3B86440B" w14:textId="77777777" w:rsidR="00592B91" w:rsidRPr="002D5146" w:rsidRDefault="00592B91" w:rsidP="00592B91">
      <w:pPr>
        <w:spacing w:after="0" w:line="240" w:lineRule="auto"/>
        <w:jc w:val="both"/>
        <w:rPr>
          <w:rFonts w:ascii="Arial" w:eastAsia="Times New Roman" w:hAnsi="Arial" w:cs="Arial"/>
          <w:sz w:val="21"/>
          <w:szCs w:val="21"/>
          <w:lang w:val="es-ES_tradnl" w:eastAsia="es-ES_tradnl"/>
        </w:rPr>
      </w:pPr>
    </w:p>
    <w:p w14:paraId="28ED1FFB" w14:textId="77777777" w:rsidR="00592B91" w:rsidRPr="002D5146" w:rsidRDefault="00592B91" w:rsidP="00592B91">
      <w:pPr>
        <w:spacing w:after="0" w:line="240" w:lineRule="auto"/>
        <w:jc w:val="both"/>
        <w:rPr>
          <w:rFonts w:ascii="Arial" w:eastAsia="Times New Roman" w:hAnsi="Arial" w:cs="Arial"/>
          <w:iCs/>
          <w:color w:val="000000"/>
          <w:sz w:val="20"/>
          <w:szCs w:val="20"/>
          <w:lang w:val="es-ES_tradnl" w:eastAsia="es-ES_tradnl"/>
        </w:rPr>
      </w:pPr>
      <w:r w:rsidRPr="002D5146">
        <w:rPr>
          <w:rFonts w:ascii="Arial" w:eastAsia="Times New Roman" w:hAnsi="Arial" w:cs="Arial"/>
          <w:iCs/>
          <w:color w:val="000000"/>
          <w:sz w:val="20"/>
          <w:szCs w:val="20"/>
          <w:lang w:val="es-ES_tradnl" w:eastAsia="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normativa, las «entidades sometidas al Estatuto General de Contratación de la Administración Pública podrán declarar el incumplimiento […]. Para tal efecto observarán […]» el procedimiento que en tal enunciado normativo se regula. </w:t>
      </w:r>
    </w:p>
    <w:p w14:paraId="2BF0ACB0" w14:textId="77777777" w:rsidR="00592B91" w:rsidRPr="002D5146" w:rsidRDefault="00592B91" w:rsidP="00592B91">
      <w:pPr>
        <w:spacing w:after="0" w:line="240" w:lineRule="auto"/>
        <w:jc w:val="both"/>
        <w:rPr>
          <w:rFonts w:ascii="Arial" w:eastAsia="Times New Roman" w:hAnsi="Arial" w:cs="Arial"/>
          <w:iCs/>
          <w:color w:val="000000"/>
          <w:sz w:val="20"/>
          <w:szCs w:val="20"/>
          <w:lang w:val="es-ES_tradnl" w:eastAsia="es-ES_tradnl"/>
        </w:rPr>
      </w:pPr>
    </w:p>
    <w:p w14:paraId="4B1DA0DF" w14:textId="77777777" w:rsidR="00592B91" w:rsidRPr="002D5146" w:rsidRDefault="00592B91" w:rsidP="00592B91">
      <w:pPr>
        <w:spacing w:after="0" w:line="240" w:lineRule="auto"/>
        <w:jc w:val="both"/>
        <w:rPr>
          <w:rFonts w:ascii="Arial" w:eastAsia="Times New Roman" w:hAnsi="Arial" w:cs="Arial"/>
          <w:iCs/>
          <w:color w:val="000000"/>
          <w:sz w:val="20"/>
          <w:szCs w:val="20"/>
          <w:lang w:val="es-ES_tradnl" w:eastAsia="es-ES_tradnl"/>
        </w:rPr>
      </w:pPr>
      <w:r w:rsidRPr="002D5146">
        <w:rPr>
          <w:rFonts w:ascii="Arial" w:eastAsia="Times New Roman" w:hAnsi="Arial" w:cs="Arial"/>
          <w:iCs/>
          <w:color w:val="000000"/>
          <w:sz w:val="20"/>
          <w:szCs w:val="20"/>
          <w:lang w:val="es-ES_tradnl" w:eastAsia="es-ES_tradnl"/>
        </w:rPr>
        <w:t xml:space="preserve">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Esto es así como consecuencia del «principio general de interpretación jurídica según el cual donde la norma no distingue, no le corresponde distinguir al intérprete». A la misma conclusión se llega si se tiene en </w:t>
      </w:r>
      <w:r w:rsidRPr="002D5146">
        <w:rPr>
          <w:rFonts w:ascii="Arial" w:eastAsia="Times New Roman" w:hAnsi="Arial" w:cs="Arial"/>
          <w:iCs/>
          <w:color w:val="000000"/>
          <w:sz w:val="20"/>
          <w:szCs w:val="20"/>
          <w:lang w:val="es-ES_tradnl" w:eastAsia="es-ES_tradnl"/>
        </w:rPr>
        <w:lastRenderedPageBreak/>
        <w:t xml:space="preserve">consideración la necesidad de respetar el debido proceso en «todas las actuaciones administrativas» como lo ordena el artículo 29 superior. </w:t>
      </w:r>
    </w:p>
    <w:p w14:paraId="77FC7348" w14:textId="77777777" w:rsidR="00CA4620" w:rsidRDefault="00CA4620">
      <w:pPr>
        <w:rPr>
          <w:rFonts w:ascii="Arial" w:eastAsia="Calibri" w:hAnsi="Arial" w:cs="Arial"/>
          <w:lang w:val="es-MX"/>
        </w:rPr>
      </w:pPr>
      <w:r>
        <w:rPr>
          <w:rFonts w:ascii="Arial" w:eastAsia="Calibri" w:hAnsi="Arial" w:cs="Arial"/>
          <w:lang w:val="es-MX"/>
        </w:rPr>
        <w:br w:type="page"/>
      </w:r>
    </w:p>
    <w:p w14:paraId="72CE0F36" w14:textId="77777777" w:rsidR="00592B91" w:rsidRPr="0088473D" w:rsidRDefault="00592B91" w:rsidP="00592B91">
      <w:pPr>
        <w:tabs>
          <w:tab w:val="left" w:pos="3374"/>
        </w:tabs>
        <w:spacing w:after="0"/>
        <w:rPr>
          <w:rFonts w:ascii="Arial" w:eastAsia="Calibri" w:hAnsi="Arial" w:cs="Arial"/>
          <w:noProof/>
          <w:lang w:val="es-ES_tradnl"/>
        </w:rPr>
      </w:pPr>
    </w:p>
    <w:p w14:paraId="662A7756" w14:textId="2781363B" w:rsidR="00592B91" w:rsidRPr="0088473D" w:rsidRDefault="00EB2197" w:rsidP="00B47ED3">
      <w:pPr>
        <w:tabs>
          <w:tab w:val="left" w:pos="3374"/>
        </w:tabs>
        <w:spacing w:after="0"/>
        <w:jc w:val="right"/>
        <w:rPr>
          <w:rFonts w:ascii="Arial" w:eastAsia="Calibri" w:hAnsi="Arial" w:cs="Arial"/>
          <w:noProof/>
          <w:lang w:val="es-ES_tradnl"/>
        </w:rPr>
      </w:pPr>
      <w:r>
        <w:rPr>
          <w:noProof/>
          <w:lang w:val="es-ES" w:eastAsia="es-ES"/>
        </w:rPr>
        <w:drawing>
          <wp:inline distT="0" distB="0" distL="0" distR="0" wp14:anchorId="230A2BC2" wp14:editId="583D7F67">
            <wp:extent cx="2552700" cy="76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2700" cy="762000"/>
                    </a:xfrm>
                    <a:prstGeom prst="rect">
                      <a:avLst/>
                    </a:prstGeom>
                  </pic:spPr>
                </pic:pic>
              </a:graphicData>
            </a:graphic>
          </wp:inline>
        </w:drawing>
      </w:r>
    </w:p>
    <w:p w14:paraId="5E664780" w14:textId="12F05F85" w:rsidR="00EB2197" w:rsidRDefault="00B47ED3" w:rsidP="00B47ED3">
      <w:pPr>
        <w:spacing w:after="0" w:line="240" w:lineRule="auto"/>
        <w:jc w:val="right"/>
        <w:rPr>
          <w:rFonts w:ascii="Arial" w:eastAsia="Calibri" w:hAnsi="Arial" w:cs="Arial"/>
          <w:bCs/>
          <w:noProof/>
          <w:lang w:val="es-ES_tradnl"/>
        </w:rPr>
      </w:pPr>
      <w:r>
        <w:t>CCE-DES-FM-17</w:t>
      </w:r>
    </w:p>
    <w:p w14:paraId="5473F66F" w14:textId="7D67A6A3" w:rsidR="00EB2197" w:rsidRPr="00B47ED3" w:rsidRDefault="00B47ED3" w:rsidP="00592B91">
      <w:pPr>
        <w:spacing w:after="0" w:line="240" w:lineRule="auto"/>
        <w:rPr>
          <w:rFonts w:ascii="Arial" w:eastAsia="Calibri" w:hAnsi="Arial" w:cs="Arial"/>
          <w:bCs/>
          <w:noProof/>
          <w:lang w:val="es-ES_tradnl"/>
        </w:rPr>
      </w:pPr>
      <w:r w:rsidRPr="00B47ED3">
        <w:rPr>
          <w:rFonts w:ascii="Arial" w:hAnsi="Arial" w:cs="Arial"/>
        </w:rPr>
        <w:t xml:space="preserve">Bogotá, 13 mayo </w:t>
      </w:r>
      <w:r>
        <w:rPr>
          <w:rFonts w:ascii="Arial" w:hAnsi="Arial" w:cs="Arial"/>
        </w:rPr>
        <w:t xml:space="preserve">de </w:t>
      </w:r>
      <w:r w:rsidRPr="00B47ED3">
        <w:rPr>
          <w:rFonts w:ascii="Arial" w:hAnsi="Arial" w:cs="Arial"/>
        </w:rPr>
        <w:t>2021</w:t>
      </w:r>
    </w:p>
    <w:p w14:paraId="3E237894" w14:textId="71D59231" w:rsidR="00B47ED3" w:rsidRDefault="00B47ED3" w:rsidP="00592B91">
      <w:pPr>
        <w:spacing w:after="0" w:line="240" w:lineRule="auto"/>
        <w:rPr>
          <w:rFonts w:ascii="Arial" w:eastAsia="Calibri" w:hAnsi="Arial" w:cs="Arial"/>
          <w:bCs/>
          <w:noProof/>
          <w:lang w:val="es-ES_tradnl"/>
        </w:rPr>
      </w:pPr>
    </w:p>
    <w:p w14:paraId="29564622" w14:textId="77777777" w:rsidR="00B47ED3" w:rsidRDefault="00B47ED3" w:rsidP="00592B91">
      <w:pPr>
        <w:spacing w:after="0" w:line="240" w:lineRule="auto"/>
        <w:rPr>
          <w:rFonts w:ascii="Arial" w:eastAsia="Calibri" w:hAnsi="Arial" w:cs="Arial"/>
          <w:bCs/>
          <w:noProof/>
          <w:lang w:val="es-ES_tradnl"/>
        </w:rPr>
      </w:pPr>
    </w:p>
    <w:p w14:paraId="06310DAA" w14:textId="14D1ECBE" w:rsidR="00592B91" w:rsidRPr="0088473D" w:rsidRDefault="00592B91" w:rsidP="00592B91">
      <w:pPr>
        <w:spacing w:after="0" w:line="240" w:lineRule="auto"/>
        <w:rPr>
          <w:rFonts w:ascii="Arial" w:eastAsia="Calibri" w:hAnsi="Arial" w:cs="Arial"/>
          <w:bCs/>
          <w:noProof/>
          <w:lang w:val="es-ES_tradnl"/>
        </w:rPr>
      </w:pPr>
      <w:r w:rsidRPr="0088473D">
        <w:rPr>
          <w:rFonts w:ascii="Arial" w:eastAsia="Calibri" w:hAnsi="Arial" w:cs="Arial"/>
          <w:bCs/>
          <w:noProof/>
          <w:lang w:val="es-ES_tradnl"/>
        </w:rPr>
        <w:t>Señor</w:t>
      </w:r>
    </w:p>
    <w:p w14:paraId="22E5EA0F" w14:textId="77777777" w:rsidR="00592B91" w:rsidRPr="008771CB" w:rsidRDefault="00592B91" w:rsidP="00592B91">
      <w:pPr>
        <w:spacing w:after="0" w:line="240" w:lineRule="auto"/>
        <w:rPr>
          <w:rFonts w:ascii="Arial" w:eastAsia="Calibri" w:hAnsi="Arial" w:cs="Arial"/>
          <w:b/>
          <w:noProof/>
          <w:lang w:val="es-ES_tradnl"/>
        </w:rPr>
      </w:pPr>
      <w:r w:rsidRPr="008771CB">
        <w:rPr>
          <w:rFonts w:ascii="Arial" w:eastAsia="Calibri" w:hAnsi="Arial" w:cs="Arial"/>
          <w:b/>
          <w:noProof/>
          <w:lang w:val="es-ES_tradnl"/>
        </w:rPr>
        <w:t>Carlos Mario Ordosgoitia Liñan</w:t>
      </w:r>
    </w:p>
    <w:p w14:paraId="6950F6DF" w14:textId="77777777" w:rsidR="00592B91" w:rsidRPr="00944B5B" w:rsidRDefault="00592B91" w:rsidP="00592B91">
      <w:pPr>
        <w:spacing w:after="0" w:line="240" w:lineRule="auto"/>
        <w:rPr>
          <w:rFonts w:ascii="Arial" w:eastAsia="Calibri" w:hAnsi="Arial" w:cs="Arial"/>
          <w:noProof/>
          <w:lang w:val="es-ES_tradnl"/>
        </w:rPr>
      </w:pPr>
      <w:r w:rsidRPr="00944B5B">
        <w:rPr>
          <w:rFonts w:ascii="Arial" w:eastAsia="Calibri" w:hAnsi="Arial" w:cs="Arial"/>
          <w:noProof/>
          <w:lang w:val="es-ES_tradnl"/>
        </w:rPr>
        <w:t>Ciudad</w:t>
      </w:r>
    </w:p>
    <w:p w14:paraId="621BB668" w14:textId="74E36548" w:rsidR="00592B91" w:rsidRPr="00153646" w:rsidRDefault="00592B91" w:rsidP="00592B91">
      <w:pPr>
        <w:spacing w:after="0" w:line="240" w:lineRule="auto"/>
        <w:rPr>
          <w:rFonts w:ascii="Arial" w:eastAsia="Calibri" w:hAnsi="Arial" w:cs="Arial"/>
          <w:noProof/>
          <w:lang w:val="es-ES_tradnl"/>
        </w:rPr>
      </w:pPr>
    </w:p>
    <w:p w14:paraId="75325180" w14:textId="77777777" w:rsidR="00592B91" w:rsidRPr="0088473D" w:rsidRDefault="00592B91" w:rsidP="00592B91">
      <w:pPr>
        <w:spacing w:after="0" w:line="240" w:lineRule="auto"/>
        <w:rPr>
          <w:rFonts w:ascii="Arial" w:eastAsia="Calibri" w:hAnsi="Arial" w:cs="Arial"/>
          <w:noProof/>
          <w:lang w:val="es-ES_tradnl"/>
        </w:rPr>
      </w:pPr>
    </w:p>
    <w:p w14:paraId="266D7EC8" w14:textId="77777777" w:rsidR="00592B91" w:rsidRPr="0088473D" w:rsidRDefault="00592B91" w:rsidP="00592B91">
      <w:pPr>
        <w:spacing w:after="0" w:line="240" w:lineRule="auto"/>
        <w:rPr>
          <w:rFonts w:ascii="Arial" w:eastAsia="Calibri" w:hAnsi="Arial" w:cs="Arial"/>
          <w:noProof/>
          <w:lang w:val="es-ES_tradnl"/>
        </w:rPr>
      </w:pPr>
    </w:p>
    <w:p w14:paraId="51A58C0E" w14:textId="7B8624CE" w:rsidR="00592B91" w:rsidRPr="0088473D" w:rsidRDefault="00592B91" w:rsidP="00592B91">
      <w:pPr>
        <w:spacing w:after="0" w:line="240" w:lineRule="auto"/>
        <w:rPr>
          <w:rFonts w:ascii="Arial" w:eastAsia="Calibri" w:hAnsi="Arial" w:cs="Arial"/>
          <w:b/>
          <w:noProof/>
          <w:lang w:val="es-ES_tradnl"/>
        </w:rPr>
      </w:pPr>
      <w:r w:rsidRPr="0088473D">
        <w:rPr>
          <w:rFonts w:ascii="Arial" w:eastAsia="Calibri" w:hAnsi="Arial" w:cs="Arial"/>
          <w:b/>
          <w:noProof/>
          <w:lang w:val="es-ES_tradnl"/>
        </w:rPr>
        <w:t xml:space="preserve">                                            </w:t>
      </w:r>
      <w:r w:rsidRPr="00ED2E9F">
        <w:rPr>
          <w:rFonts w:ascii="Arial" w:eastAsia="Calibri" w:hAnsi="Arial" w:cs="Arial"/>
          <w:b/>
          <w:noProof/>
          <w:lang w:val="es-ES_tradnl"/>
        </w:rPr>
        <w:t xml:space="preserve">Concepto </w:t>
      </w:r>
      <w:r w:rsidRPr="00153646">
        <w:rPr>
          <w:rFonts w:ascii="Arial" w:eastAsia="Calibri" w:hAnsi="Arial" w:cs="Arial"/>
          <w:b/>
          <w:noProof/>
          <w:lang w:val="es-ES_tradnl"/>
        </w:rPr>
        <w:t xml:space="preserve">C – </w:t>
      </w:r>
      <w:r w:rsidR="00F66843">
        <w:rPr>
          <w:rFonts w:ascii="Arial" w:eastAsia="Calibri" w:hAnsi="Arial" w:cs="Arial"/>
          <w:b/>
          <w:noProof/>
          <w:lang w:val="es-ES_tradnl"/>
        </w:rPr>
        <w:t>194</w:t>
      </w:r>
      <w:r w:rsidRPr="00153646">
        <w:rPr>
          <w:rFonts w:ascii="Arial" w:eastAsia="Calibri" w:hAnsi="Arial" w:cs="Arial"/>
          <w:b/>
          <w:noProof/>
          <w:lang w:val="es-ES_tradnl"/>
        </w:rPr>
        <w:t xml:space="preserve"> de 2021</w:t>
      </w:r>
    </w:p>
    <w:p w14:paraId="56FAE747" w14:textId="77777777" w:rsidR="00592B91" w:rsidRPr="0088473D" w:rsidRDefault="00592B91" w:rsidP="00592B91">
      <w:pPr>
        <w:spacing w:after="0" w:line="240" w:lineRule="auto"/>
        <w:rPr>
          <w:rFonts w:ascii="Arial" w:eastAsia="Calibri" w:hAnsi="Arial" w:cs="Arial"/>
          <w:noProof/>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92B91" w:rsidRPr="0088473D" w14:paraId="53F54047" w14:textId="77777777" w:rsidTr="00A861BB">
        <w:trPr>
          <w:trHeight w:val="1038"/>
        </w:trPr>
        <w:tc>
          <w:tcPr>
            <w:tcW w:w="2689" w:type="dxa"/>
            <w:hideMark/>
          </w:tcPr>
          <w:p w14:paraId="728761BC" w14:textId="77777777" w:rsidR="00592B91" w:rsidRPr="0088473D" w:rsidRDefault="00592B91" w:rsidP="00BF2E79">
            <w:pPr>
              <w:contextualSpacing/>
              <w:rPr>
                <w:rFonts w:ascii="Arial" w:eastAsia="Calibri" w:hAnsi="Arial" w:cs="Arial"/>
                <w:noProof/>
                <w:lang w:val="es-ES_tradnl"/>
              </w:rPr>
            </w:pPr>
            <w:r w:rsidRPr="0088473D">
              <w:rPr>
                <w:rFonts w:ascii="Arial" w:eastAsia="Calibri" w:hAnsi="Arial" w:cs="Arial"/>
                <w:b/>
                <w:noProof/>
                <w:lang w:val="es-ES_tradnl"/>
              </w:rPr>
              <w:t>Temas:</w:t>
            </w:r>
            <w:r w:rsidRPr="0088473D">
              <w:rPr>
                <w:rFonts w:ascii="Arial" w:eastAsia="Calibri" w:hAnsi="Arial" w:cs="Arial"/>
                <w:noProof/>
                <w:lang w:val="es-ES_tradnl"/>
              </w:rPr>
              <w:t xml:space="preserve">        </w:t>
            </w:r>
          </w:p>
        </w:tc>
        <w:tc>
          <w:tcPr>
            <w:tcW w:w="6237" w:type="dxa"/>
            <w:hideMark/>
          </w:tcPr>
          <w:p w14:paraId="5B86980F" w14:textId="77777777" w:rsidR="00B1661D" w:rsidRPr="00BF2E79" w:rsidRDefault="00592B91" w:rsidP="00B1661D">
            <w:pPr>
              <w:jc w:val="both"/>
              <w:rPr>
                <w:rFonts w:ascii="Arial" w:eastAsia="Calibri" w:hAnsi="Arial" w:cs="Arial"/>
                <w:bCs/>
                <w:szCs w:val="24"/>
                <w:lang w:val="es-ES_tradnl" w:eastAsia="es-ES_tradnl"/>
              </w:rPr>
            </w:pPr>
            <w:r w:rsidRPr="00D90DF9">
              <w:rPr>
                <w:rFonts w:ascii="Arial" w:eastAsia="Calibri" w:hAnsi="Arial" w:cs="Arial"/>
                <w:lang w:val="es-ES_tradnl"/>
              </w:rPr>
              <w:t xml:space="preserve">LEY 2080 DE 2021 – </w:t>
            </w:r>
            <w:r w:rsidR="00B1661D" w:rsidRPr="00BF2E79">
              <w:rPr>
                <w:rFonts w:ascii="Arial" w:eastAsia="Calibri" w:hAnsi="Arial" w:cs="Arial"/>
                <w:bCs/>
                <w:szCs w:val="24"/>
                <w:lang w:val="es-ES_tradnl" w:eastAsia="es-ES_tradnl"/>
              </w:rPr>
              <w:t>Procesos sancionatorios contractuales – Ausencia de modificación</w:t>
            </w:r>
            <w:r w:rsidR="00B1661D">
              <w:rPr>
                <w:rFonts w:ascii="Arial" w:eastAsia="Calibri" w:hAnsi="Arial" w:cs="Arial"/>
                <w:bCs/>
                <w:szCs w:val="24"/>
                <w:lang w:val="es-ES_tradnl" w:eastAsia="es-ES_tradnl"/>
              </w:rPr>
              <w:t xml:space="preserve"> / </w:t>
            </w:r>
            <w:r w:rsidR="00B1661D" w:rsidRPr="00BF2E79">
              <w:rPr>
                <w:rFonts w:ascii="Arial" w:eastAsia="Calibri" w:hAnsi="Arial" w:cs="Arial"/>
                <w:bCs/>
                <w:szCs w:val="24"/>
                <w:lang w:val="es-ES_tradnl" w:eastAsia="es-ES_tradnl"/>
              </w:rPr>
              <w:t xml:space="preserve">SANCIONES CONTRACTUALES </w:t>
            </w:r>
            <w:r w:rsidR="00B1661D" w:rsidRPr="00BF2E79">
              <w:rPr>
                <w:rFonts w:ascii="Arial" w:eastAsia="Calibri" w:hAnsi="Arial" w:cs="Arial"/>
                <w:bCs/>
                <w:color w:val="000000"/>
                <w:szCs w:val="24"/>
                <w:lang w:val="es-ES_tradnl" w:eastAsia="es-ES_tradnl"/>
              </w:rPr>
              <w:t>–</w:t>
            </w:r>
            <w:r w:rsidR="00B1661D" w:rsidRPr="00BF2E79">
              <w:rPr>
                <w:rFonts w:ascii="Arial" w:eastAsia="Calibri" w:hAnsi="Arial" w:cs="Arial"/>
                <w:bCs/>
                <w:szCs w:val="24"/>
                <w:lang w:val="es-ES_tradnl" w:eastAsia="es-ES_tradnl"/>
              </w:rPr>
              <w:t xml:space="preserve"> Clases </w:t>
            </w:r>
            <w:r w:rsidR="00B1661D" w:rsidRPr="00BF2E79">
              <w:rPr>
                <w:rFonts w:ascii="Arial" w:eastAsia="Calibri" w:hAnsi="Arial" w:cs="Arial"/>
                <w:bCs/>
                <w:color w:val="000000"/>
                <w:szCs w:val="24"/>
                <w:lang w:val="es-ES_tradnl" w:eastAsia="es-ES_tradnl"/>
              </w:rPr>
              <w:t>– Consagración legal</w:t>
            </w:r>
            <w:r w:rsidR="00B1661D">
              <w:rPr>
                <w:rFonts w:ascii="Arial" w:eastAsia="Calibri" w:hAnsi="Arial" w:cs="Arial"/>
                <w:bCs/>
                <w:color w:val="000000"/>
                <w:szCs w:val="24"/>
                <w:lang w:val="es-ES_tradnl" w:eastAsia="es-ES_tradnl"/>
              </w:rPr>
              <w:t xml:space="preserve"> / </w:t>
            </w:r>
            <w:r w:rsidR="00B1661D" w:rsidRPr="00BF2E79">
              <w:rPr>
                <w:rFonts w:ascii="Arial" w:eastAsia="Calibri" w:hAnsi="Arial" w:cs="Arial"/>
                <w:bCs/>
                <w:szCs w:val="24"/>
                <w:lang w:val="es-ES_tradnl" w:eastAsia="es-ES_tradnl"/>
              </w:rPr>
              <w:t xml:space="preserve">NORMA ESPECIAL PARA EL PROCEDIMIENTO SANCIONATORIO CONTRACTUAL – Ley 1474 de 2011 </w:t>
            </w:r>
            <w:r w:rsidR="00B1661D" w:rsidRPr="00BF2E79">
              <w:rPr>
                <w:rFonts w:ascii="Arial" w:eastAsia="Calibri" w:hAnsi="Arial" w:cs="Arial"/>
                <w:bCs/>
                <w:color w:val="000000"/>
                <w:szCs w:val="24"/>
                <w:lang w:val="es-ES_tradnl" w:eastAsia="es-ES_tradnl"/>
              </w:rPr>
              <w:t>– Artículo 86</w:t>
            </w:r>
          </w:p>
          <w:p w14:paraId="5872C9D1" w14:textId="55846FC8" w:rsidR="00B1661D" w:rsidRPr="002D5146" w:rsidRDefault="00B1661D" w:rsidP="00B1661D">
            <w:pPr>
              <w:jc w:val="both"/>
              <w:rPr>
                <w:rFonts w:ascii="Arial" w:eastAsia="Calibri" w:hAnsi="Arial" w:cs="Arial"/>
                <w:b/>
                <w:szCs w:val="24"/>
                <w:lang w:val="es-ES_tradnl" w:eastAsia="es-ES_tradnl"/>
              </w:rPr>
            </w:pPr>
          </w:p>
          <w:p w14:paraId="22E8154E" w14:textId="46B53689" w:rsidR="00B1661D" w:rsidRPr="00BF2E79" w:rsidRDefault="00B1661D" w:rsidP="00B1661D">
            <w:pPr>
              <w:jc w:val="both"/>
              <w:rPr>
                <w:rFonts w:ascii="Arial" w:eastAsia="Calibri" w:hAnsi="Arial" w:cs="Arial"/>
                <w:bCs/>
                <w:szCs w:val="24"/>
                <w:lang w:val="es-ES_tradnl" w:eastAsia="es-ES_tradnl"/>
              </w:rPr>
            </w:pPr>
          </w:p>
          <w:p w14:paraId="4EBD6C6C" w14:textId="5FB66484" w:rsidR="00592B91" w:rsidRPr="00153646" w:rsidRDefault="00592B91" w:rsidP="00A861BB">
            <w:pPr>
              <w:spacing w:after="120" w:line="276" w:lineRule="auto"/>
              <w:contextualSpacing/>
              <w:jc w:val="both"/>
              <w:rPr>
                <w:rFonts w:ascii="Arial" w:eastAsia="Calibri" w:hAnsi="Arial" w:cs="Arial"/>
                <w:noProof/>
                <w:highlight w:val="yellow"/>
                <w:lang w:val="es-ES_tradnl"/>
              </w:rPr>
            </w:pPr>
          </w:p>
        </w:tc>
      </w:tr>
      <w:tr w:rsidR="00592B91" w:rsidRPr="0088473D" w14:paraId="26069799" w14:textId="77777777" w:rsidTr="00A861BB">
        <w:tc>
          <w:tcPr>
            <w:tcW w:w="2689" w:type="dxa"/>
          </w:tcPr>
          <w:p w14:paraId="02AFC3DB" w14:textId="77777777" w:rsidR="00592B91" w:rsidRPr="0088473D" w:rsidRDefault="00592B91" w:rsidP="00BF2E79">
            <w:pPr>
              <w:contextualSpacing/>
              <w:rPr>
                <w:rFonts w:ascii="Arial" w:eastAsia="Calibri" w:hAnsi="Arial" w:cs="Arial"/>
                <w:b/>
                <w:noProof/>
                <w:lang w:val="es-ES_tradnl"/>
              </w:rPr>
            </w:pPr>
            <w:r w:rsidRPr="0088473D">
              <w:rPr>
                <w:rFonts w:ascii="Arial" w:eastAsia="Calibri" w:hAnsi="Arial" w:cs="Arial"/>
                <w:b/>
                <w:noProof/>
                <w:lang w:val="es-ES_tradnl"/>
              </w:rPr>
              <w:t>Radicación:</w:t>
            </w:r>
            <w:r w:rsidRPr="0088473D">
              <w:rPr>
                <w:rFonts w:ascii="Arial" w:eastAsia="Calibri" w:hAnsi="Arial" w:cs="Arial"/>
                <w:noProof/>
                <w:lang w:val="es-ES_tradnl"/>
              </w:rPr>
              <w:t xml:space="preserve">                              </w:t>
            </w:r>
          </w:p>
        </w:tc>
        <w:tc>
          <w:tcPr>
            <w:tcW w:w="6237" w:type="dxa"/>
          </w:tcPr>
          <w:p w14:paraId="2BF956CA" w14:textId="77777777" w:rsidR="00592B91" w:rsidRPr="00153646" w:rsidRDefault="00592B91" w:rsidP="00A861BB">
            <w:pPr>
              <w:spacing w:after="200" w:line="276" w:lineRule="auto"/>
              <w:contextualSpacing/>
              <w:jc w:val="both"/>
              <w:rPr>
                <w:rFonts w:ascii="Arial" w:eastAsia="Calibri" w:hAnsi="Arial" w:cs="Arial"/>
                <w:noProof/>
                <w:lang w:val="es-ES_tradnl"/>
              </w:rPr>
            </w:pPr>
            <w:r w:rsidRPr="0088473D">
              <w:rPr>
                <w:rFonts w:ascii="Arial" w:eastAsia="Calibri" w:hAnsi="Arial" w:cs="Arial"/>
                <w:noProof/>
                <w:lang w:val="es-ES_tradnl"/>
              </w:rPr>
              <w:t xml:space="preserve">Respuesta a consulta </w:t>
            </w:r>
            <w:r w:rsidRPr="0097392D">
              <w:rPr>
                <w:rFonts w:ascii="Arial" w:eastAsia="Calibri" w:hAnsi="Arial" w:cs="Arial"/>
                <w:noProof/>
                <w:lang w:val="es-ES_tradnl"/>
              </w:rPr>
              <w:t>P20210330002586</w:t>
            </w:r>
          </w:p>
          <w:p w14:paraId="17836000" w14:textId="77777777" w:rsidR="00592B91" w:rsidRPr="0088473D" w:rsidRDefault="00592B91" w:rsidP="00A861BB">
            <w:pPr>
              <w:ind w:left="720"/>
              <w:contextualSpacing/>
              <w:jc w:val="both"/>
              <w:rPr>
                <w:rFonts w:ascii="Arial" w:eastAsia="Calibri" w:hAnsi="Arial" w:cs="Arial"/>
                <w:noProof/>
                <w:lang w:val="es-ES_tradnl"/>
              </w:rPr>
            </w:pPr>
          </w:p>
        </w:tc>
      </w:tr>
    </w:tbl>
    <w:p w14:paraId="65F299E1" w14:textId="77777777" w:rsidR="00592B91" w:rsidRPr="0088473D" w:rsidRDefault="00592B91" w:rsidP="00592B91">
      <w:pPr>
        <w:spacing w:after="0" w:line="240" w:lineRule="auto"/>
        <w:jc w:val="both"/>
        <w:rPr>
          <w:rFonts w:ascii="Arial" w:eastAsia="Calibri" w:hAnsi="Arial" w:cs="Arial"/>
          <w:noProof/>
          <w:lang w:val="es-ES_tradnl"/>
        </w:rPr>
      </w:pPr>
    </w:p>
    <w:p w14:paraId="270629A7" w14:textId="77777777" w:rsidR="00592B91" w:rsidRPr="0088473D" w:rsidRDefault="00592B91" w:rsidP="00592B91">
      <w:pPr>
        <w:spacing w:after="0" w:line="240" w:lineRule="auto"/>
        <w:rPr>
          <w:rFonts w:ascii="Arial" w:eastAsia="Calibri" w:hAnsi="Arial" w:cs="Arial"/>
          <w:noProof/>
          <w:lang w:val="es-ES_tradnl"/>
        </w:rPr>
      </w:pPr>
    </w:p>
    <w:p w14:paraId="3278A823" w14:textId="77777777" w:rsidR="00592B91" w:rsidRPr="0088473D" w:rsidRDefault="00592B91" w:rsidP="00592B91">
      <w:pPr>
        <w:spacing w:after="0" w:line="240" w:lineRule="auto"/>
        <w:rPr>
          <w:rFonts w:ascii="Arial" w:eastAsia="Calibri" w:hAnsi="Arial" w:cs="Arial"/>
          <w:noProof/>
          <w:lang w:val="es-ES_tradnl"/>
        </w:rPr>
      </w:pPr>
      <w:r w:rsidRPr="0088473D">
        <w:rPr>
          <w:rFonts w:ascii="Arial" w:eastAsia="Calibri" w:hAnsi="Arial" w:cs="Arial"/>
          <w:noProof/>
          <w:lang w:val="es-ES_tradnl"/>
        </w:rPr>
        <w:t>Estimado señor</w:t>
      </w:r>
      <w:r w:rsidRPr="00537B9A">
        <w:t xml:space="preserve"> </w:t>
      </w:r>
      <w:r w:rsidRPr="00537B9A">
        <w:rPr>
          <w:rFonts w:ascii="Arial" w:eastAsia="Calibri" w:hAnsi="Arial" w:cs="Arial"/>
          <w:noProof/>
          <w:lang w:val="es-ES_tradnl"/>
        </w:rPr>
        <w:t>Ordosgoitia</w:t>
      </w:r>
      <w:r w:rsidRPr="0088473D">
        <w:rPr>
          <w:rFonts w:ascii="Arial" w:eastAsia="Calibri" w:hAnsi="Arial" w:cs="Arial"/>
          <w:noProof/>
          <w:lang w:val="es-ES_tradnl"/>
        </w:rPr>
        <w:t>,</w:t>
      </w:r>
    </w:p>
    <w:p w14:paraId="59D71098" w14:textId="77777777" w:rsidR="00592B91" w:rsidRPr="0088473D" w:rsidRDefault="00592B91" w:rsidP="00592B91">
      <w:pPr>
        <w:spacing w:after="0"/>
        <w:rPr>
          <w:rFonts w:ascii="Arial" w:eastAsia="Calibri" w:hAnsi="Arial" w:cs="Arial"/>
          <w:noProof/>
          <w:lang w:val="es-ES_tradnl"/>
        </w:rPr>
      </w:pPr>
    </w:p>
    <w:p w14:paraId="2AA474CE" w14:textId="77777777" w:rsidR="00592B91" w:rsidRPr="0088473D" w:rsidRDefault="00592B91" w:rsidP="00592B91">
      <w:pPr>
        <w:spacing w:after="0"/>
        <w:jc w:val="both"/>
        <w:rPr>
          <w:rFonts w:ascii="Arial" w:eastAsia="Calibri" w:hAnsi="Arial" w:cs="Arial"/>
          <w:lang w:val="es-MX"/>
        </w:rPr>
      </w:pPr>
      <w:r w:rsidRPr="0088473D">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val="es-MX"/>
        </w:rPr>
        <w:t xml:space="preserve">5 de abril </w:t>
      </w:r>
      <w:r w:rsidRPr="00944B5B">
        <w:rPr>
          <w:rFonts w:ascii="Arial" w:eastAsia="Calibri" w:hAnsi="Arial" w:cs="Arial"/>
          <w:lang w:val="es-MX"/>
        </w:rPr>
        <w:t>del año 2021.</w:t>
      </w:r>
      <w:r w:rsidRPr="0088473D">
        <w:rPr>
          <w:rFonts w:ascii="Arial" w:eastAsia="Calibri" w:hAnsi="Arial" w:cs="Arial"/>
          <w:lang w:val="es-MX"/>
        </w:rPr>
        <w:t xml:space="preserve"> </w:t>
      </w:r>
    </w:p>
    <w:p w14:paraId="0221D7A9" w14:textId="77777777" w:rsidR="00592B91" w:rsidRPr="0088473D" w:rsidRDefault="00592B91" w:rsidP="00592B91">
      <w:pPr>
        <w:tabs>
          <w:tab w:val="left" w:pos="284"/>
        </w:tabs>
        <w:spacing w:after="0"/>
        <w:contextualSpacing/>
        <w:jc w:val="both"/>
        <w:rPr>
          <w:rFonts w:ascii="Arial" w:eastAsia="Calibri" w:hAnsi="Arial" w:cs="Arial"/>
          <w:b/>
          <w:noProof/>
          <w:lang w:val="es-ES_tradnl"/>
        </w:rPr>
      </w:pPr>
      <w:bookmarkStart w:id="3" w:name="_Hlk50978304"/>
    </w:p>
    <w:p w14:paraId="675B132F" w14:textId="77777777" w:rsidR="00592B91" w:rsidRPr="0088473D" w:rsidRDefault="00592B91" w:rsidP="00592B91">
      <w:pPr>
        <w:tabs>
          <w:tab w:val="left" w:pos="284"/>
        </w:tabs>
        <w:spacing w:after="0"/>
        <w:contextualSpacing/>
        <w:jc w:val="both"/>
        <w:rPr>
          <w:rFonts w:ascii="Arial" w:eastAsia="Calibri" w:hAnsi="Arial" w:cs="Arial"/>
          <w:b/>
          <w:noProof/>
          <w:lang w:val="es-ES_tradnl"/>
        </w:rPr>
      </w:pPr>
      <w:r w:rsidRPr="0088473D">
        <w:rPr>
          <w:rFonts w:ascii="Arial" w:eastAsia="Calibri" w:hAnsi="Arial" w:cs="Arial"/>
          <w:b/>
          <w:noProof/>
          <w:lang w:val="es-ES_tradnl"/>
        </w:rPr>
        <w:t>1. Problemas planteados</w:t>
      </w:r>
    </w:p>
    <w:p w14:paraId="2BFBD309" w14:textId="77777777" w:rsidR="00592B91" w:rsidRDefault="00592B91" w:rsidP="00592B91">
      <w:pPr>
        <w:autoSpaceDE w:val="0"/>
        <w:autoSpaceDN w:val="0"/>
        <w:adjustRightInd w:val="0"/>
        <w:spacing w:after="0"/>
        <w:jc w:val="both"/>
        <w:rPr>
          <w:rFonts w:ascii="Arial" w:eastAsia="Calibri" w:hAnsi="Arial" w:cs="Arial"/>
          <w:noProof/>
          <w:lang w:val="es-ES_tradnl"/>
        </w:rPr>
      </w:pPr>
    </w:p>
    <w:p w14:paraId="76DBCC65" w14:textId="77777777" w:rsidR="00592B91" w:rsidRPr="0097426E" w:rsidRDefault="00592B91" w:rsidP="00592B91">
      <w:pPr>
        <w:autoSpaceDE w:val="0"/>
        <w:autoSpaceDN w:val="0"/>
        <w:adjustRightInd w:val="0"/>
        <w:spacing w:after="0"/>
        <w:jc w:val="both"/>
        <w:rPr>
          <w:rFonts w:ascii="Arial" w:eastAsia="Calibri" w:hAnsi="Arial" w:cs="Arial"/>
          <w:szCs w:val="24"/>
          <w:lang w:val="es-ES_tradnl"/>
        </w:rPr>
      </w:pPr>
      <w:r w:rsidRPr="0097426E">
        <w:rPr>
          <w:rFonts w:ascii="Arial" w:eastAsia="Calibri" w:hAnsi="Arial" w:cs="Arial"/>
          <w:szCs w:val="24"/>
          <w:lang w:val="es-ES_tradnl"/>
        </w:rPr>
        <w:t xml:space="preserve">Usted </w:t>
      </w:r>
      <w:r>
        <w:rPr>
          <w:rFonts w:ascii="Arial" w:eastAsia="Calibri" w:hAnsi="Arial" w:cs="Arial"/>
          <w:szCs w:val="24"/>
          <w:lang w:val="es-ES_tradnl"/>
        </w:rPr>
        <w:t>plantea</w:t>
      </w:r>
      <w:r w:rsidRPr="0097426E">
        <w:rPr>
          <w:rFonts w:ascii="Arial" w:eastAsia="Calibri" w:hAnsi="Arial" w:cs="Arial"/>
          <w:szCs w:val="24"/>
          <w:lang w:val="es-ES_tradnl"/>
        </w:rPr>
        <w:t xml:space="preserve"> las siguientes preguntas</w:t>
      </w:r>
      <w:r>
        <w:rPr>
          <w:rFonts w:ascii="Arial" w:eastAsia="Calibri" w:hAnsi="Arial" w:cs="Arial"/>
          <w:szCs w:val="24"/>
          <w:lang w:val="es-ES_tradnl"/>
        </w:rPr>
        <w:t xml:space="preserve">, teniendo en cuenta para la primera de ellas lo establecido en el </w:t>
      </w:r>
      <w:r w:rsidRPr="0097426E">
        <w:rPr>
          <w:rFonts w:ascii="Arial" w:eastAsia="Calibri" w:hAnsi="Arial" w:cs="Arial"/>
          <w:szCs w:val="24"/>
          <w:lang w:val="es-ES_tradnl"/>
        </w:rPr>
        <w:t>parágrafo</w:t>
      </w:r>
      <w:r>
        <w:rPr>
          <w:rFonts w:ascii="Arial" w:eastAsia="Calibri" w:hAnsi="Arial" w:cs="Arial"/>
          <w:szCs w:val="24"/>
          <w:lang w:val="es-ES_tradnl"/>
        </w:rPr>
        <w:t xml:space="preserve"> primero del artículo 3</w:t>
      </w:r>
      <w:r w:rsidRPr="0097426E">
        <w:rPr>
          <w:rFonts w:ascii="Arial" w:eastAsia="Calibri" w:hAnsi="Arial" w:cs="Arial"/>
          <w:szCs w:val="24"/>
          <w:lang w:val="es-ES_tradnl"/>
        </w:rPr>
        <w:t xml:space="preserve"> de la Ley 2080 de 2021</w:t>
      </w:r>
      <w:r>
        <w:rPr>
          <w:rFonts w:ascii="Arial" w:eastAsia="Calibri" w:hAnsi="Arial" w:cs="Arial"/>
          <w:szCs w:val="24"/>
          <w:lang w:val="es-ES_tradnl"/>
        </w:rPr>
        <w:t>:</w:t>
      </w:r>
    </w:p>
    <w:p w14:paraId="693D2D82" w14:textId="77777777" w:rsidR="00592B91" w:rsidRPr="0097426E" w:rsidRDefault="00592B91" w:rsidP="00592B91">
      <w:pPr>
        <w:autoSpaceDE w:val="0"/>
        <w:autoSpaceDN w:val="0"/>
        <w:adjustRightInd w:val="0"/>
        <w:spacing w:after="0" w:line="240" w:lineRule="auto"/>
        <w:rPr>
          <w:rFonts w:ascii="Arial" w:eastAsia="Calibri" w:hAnsi="Arial" w:cs="Arial"/>
          <w:szCs w:val="24"/>
          <w:lang w:val="es-ES_tradnl"/>
        </w:rPr>
      </w:pPr>
    </w:p>
    <w:p w14:paraId="6B07C6F1" w14:textId="77777777" w:rsidR="00592B91" w:rsidRDefault="00592B91" w:rsidP="00592B91">
      <w:pPr>
        <w:autoSpaceDE w:val="0"/>
        <w:autoSpaceDN w:val="0"/>
        <w:adjustRightInd w:val="0"/>
        <w:spacing w:after="120" w:line="240" w:lineRule="auto"/>
        <w:ind w:left="709" w:right="709"/>
        <w:jc w:val="both"/>
        <w:rPr>
          <w:rFonts w:ascii="Arial" w:eastAsia="Calibri" w:hAnsi="Arial" w:cs="Arial"/>
          <w:sz w:val="21"/>
          <w:szCs w:val="21"/>
        </w:rPr>
      </w:pPr>
      <w:r>
        <w:rPr>
          <w:rFonts w:ascii="Arial" w:eastAsia="Calibri" w:hAnsi="Arial" w:cs="Arial"/>
          <w:sz w:val="21"/>
          <w:szCs w:val="21"/>
          <w:lang w:val="es-ES_tradnl"/>
        </w:rPr>
        <w:t xml:space="preserve">[…] </w:t>
      </w:r>
      <w:r w:rsidRPr="0097426E">
        <w:rPr>
          <w:rFonts w:ascii="Arial" w:eastAsia="Calibri" w:hAnsi="Arial" w:cs="Arial"/>
          <w:sz w:val="21"/>
          <w:szCs w:val="21"/>
        </w:rPr>
        <w:t xml:space="preserve">¿Cuáles son las normas especiales a las que hace atribución esa disposición, para adelantar las actuaciones administrativas contractuales sancionatorio, incluyendo los recursos? </w:t>
      </w:r>
    </w:p>
    <w:p w14:paraId="2467E8EA" w14:textId="77777777" w:rsidR="00592B91" w:rsidRDefault="00592B91" w:rsidP="00592B91">
      <w:pPr>
        <w:autoSpaceDE w:val="0"/>
        <w:autoSpaceDN w:val="0"/>
        <w:adjustRightInd w:val="0"/>
        <w:spacing w:after="120" w:line="240" w:lineRule="auto"/>
        <w:ind w:left="709" w:right="709"/>
        <w:jc w:val="both"/>
        <w:rPr>
          <w:rFonts w:ascii="Arial" w:eastAsia="Calibri" w:hAnsi="Arial" w:cs="Arial"/>
          <w:sz w:val="21"/>
          <w:szCs w:val="21"/>
        </w:rPr>
      </w:pPr>
      <w:r w:rsidRPr="0097426E">
        <w:rPr>
          <w:rFonts w:ascii="Arial" w:eastAsia="Calibri" w:hAnsi="Arial" w:cs="Arial"/>
          <w:sz w:val="21"/>
          <w:szCs w:val="21"/>
        </w:rPr>
        <w:lastRenderedPageBreak/>
        <w:t xml:space="preserve">¿En materia de declaratoria de siniestros, aplican las normas referidas a las actuaciones administrativas consignadas en el Código de Procedimiento Administrativo y lo Contencioso Administrativo - CPACA, a efectos de garantizar el debido proceso, o su declaratoria no requiere actuación previa, y solo basta con un acto administrativo debidamente motivado? </w:t>
      </w:r>
    </w:p>
    <w:p w14:paraId="415F1912" w14:textId="77777777" w:rsidR="00592B91" w:rsidRPr="0097426E" w:rsidRDefault="00592B91" w:rsidP="00592B91">
      <w:pPr>
        <w:autoSpaceDE w:val="0"/>
        <w:autoSpaceDN w:val="0"/>
        <w:adjustRightInd w:val="0"/>
        <w:spacing w:after="120" w:line="240" w:lineRule="auto"/>
        <w:ind w:left="709" w:right="709"/>
        <w:jc w:val="both"/>
        <w:rPr>
          <w:rFonts w:ascii="Arial" w:eastAsia="Calibri" w:hAnsi="Arial" w:cs="Arial"/>
          <w:sz w:val="21"/>
          <w:szCs w:val="21"/>
          <w:lang w:val="es-ES_tradnl"/>
        </w:rPr>
      </w:pPr>
      <w:r w:rsidRPr="0097426E">
        <w:rPr>
          <w:rFonts w:ascii="Arial" w:eastAsia="Calibri" w:hAnsi="Arial" w:cs="Arial"/>
          <w:sz w:val="21"/>
          <w:szCs w:val="21"/>
        </w:rPr>
        <w:t>¿El siniestro para hacer efectivo los amparos solo procede previo la declaratoria de incumplimiento, cláusula penal o multas, o su declaratoria goza de independencia, según las disposiciones vigentes y la jurisprudencia? ¿En los Convenios de Cooperación Especial de Ciencia y Tecnología (regidos por los Decretos Leyes 393 y 591 de 1991, y la Ley 80 de 1993), existe habilitación legal para que la entidad pública imponga a los cooperantes (particulares) multas o declare incumplimiento a efectos de hacer efectiva la cláusula penal?</w:t>
      </w:r>
      <w:r w:rsidRPr="0097426E">
        <w:rPr>
          <w:rFonts w:ascii="Arial" w:eastAsia="Calibri" w:hAnsi="Arial" w:cs="Arial"/>
          <w:sz w:val="21"/>
          <w:szCs w:val="21"/>
          <w:lang w:val="es-ES_tradnl"/>
        </w:rPr>
        <w:t xml:space="preserve"> </w:t>
      </w:r>
    </w:p>
    <w:p w14:paraId="7851ACFD" w14:textId="77777777" w:rsidR="00592B91" w:rsidRPr="0097426E" w:rsidRDefault="00592B91" w:rsidP="00592B91">
      <w:pPr>
        <w:tabs>
          <w:tab w:val="left" w:pos="709"/>
        </w:tabs>
        <w:spacing w:after="0" w:line="240" w:lineRule="auto"/>
        <w:jc w:val="both"/>
        <w:rPr>
          <w:rFonts w:ascii="Arial" w:eastAsia="Calibri" w:hAnsi="Arial" w:cs="Arial"/>
          <w:lang w:val="es-MX"/>
        </w:rPr>
      </w:pPr>
    </w:p>
    <w:p w14:paraId="706663DD" w14:textId="77777777" w:rsidR="00592B91" w:rsidRPr="00153646" w:rsidRDefault="00592B91" w:rsidP="00592B91">
      <w:pPr>
        <w:pStyle w:val="Prrafodelista"/>
        <w:numPr>
          <w:ilvl w:val="0"/>
          <w:numId w:val="1"/>
        </w:numPr>
        <w:tabs>
          <w:tab w:val="left" w:pos="426"/>
        </w:tabs>
        <w:spacing w:after="0" w:line="240" w:lineRule="auto"/>
        <w:ind w:left="284" w:hanging="284"/>
        <w:jc w:val="both"/>
        <w:rPr>
          <w:rFonts w:ascii="Arial" w:eastAsia="Calibri" w:hAnsi="Arial" w:cs="Arial"/>
          <w:b/>
          <w:lang w:val="es-MX"/>
        </w:rPr>
      </w:pPr>
      <w:r w:rsidRPr="00153646">
        <w:rPr>
          <w:rFonts w:ascii="Arial" w:eastAsia="Calibri" w:hAnsi="Arial" w:cs="Arial"/>
          <w:b/>
          <w:lang w:val="es-MX"/>
        </w:rPr>
        <w:t>Consideraciones</w:t>
      </w:r>
    </w:p>
    <w:p w14:paraId="2311FC2A" w14:textId="77777777" w:rsidR="00592B91" w:rsidRPr="0097426E" w:rsidRDefault="00592B91" w:rsidP="00592B91">
      <w:pPr>
        <w:tabs>
          <w:tab w:val="left" w:pos="426"/>
        </w:tabs>
        <w:spacing w:after="0"/>
        <w:jc w:val="both"/>
        <w:rPr>
          <w:rFonts w:ascii="Arial" w:eastAsia="Calibri" w:hAnsi="Arial" w:cs="Arial"/>
          <w:b/>
          <w:lang w:val="es-MX"/>
        </w:rPr>
      </w:pPr>
    </w:p>
    <w:p w14:paraId="040399E0" w14:textId="660B29D1" w:rsidR="00592B91" w:rsidRPr="0097426E" w:rsidRDefault="00592B91" w:rsidP="00592B91">
      <w:pPr>
        <w:tabs>
          <w:tab w:val="left" w:pos="426"/>
        </w:tabs>
        <w:spacing w:after="120"/>
        <w:jc w:val="both"/>
        <w:rPr>
          <w:rFonts w:ascii="Arial" w:eastAsia="Calibri" w:hAnsi="Arial" w:cs="Arial"/>
          <w:lang w:val="es-ES_tradnl"/>
        </w:rPr>
      </w:pPr>
      <w:r w:rsidRPr="0097426E">
        <w:rPr>
          <w:rFonts w:ascii="Arial" w:eastAsia="Calibri" w:hAnsi="Arial" w:cs="Arial"/>
          <w:bCs/>
          <w:lang w:val="es-MX"/>
        </w:rPr>
        <w:t xml:space="preserve">Antes de </w:t>
      </w:r>
      <w:r>
        <w:rPr>
          <w:rFonts w:ascii="Arial" w:eastAsia="Calibri" w:hAnsi="Arial" w:cs="Arial"/>
          <w:bCs/>
          <w:lang w:val="es-MX"/>
        </w:rPr>
        <w:t xml:space="preserve">estudiar </w:t>
      </w:r>
      <w:r w:rsidRPr="0097426E">
        <w:rPr>
          <w:rFonts w:ascii="Arial" w:eastAsia="Calibri" w:hAnsi="Arial" w:cs="Arial"/>
          <w:bCs/>
          <w:lang w:val="es-MX"/>
        </w:rPr>
        <w:t xml:space="preserve">la consulta, es necesario </w:t>
      </w:r>
      <w:r>
        <w:rPr>
          <w:rFonts w:ascii="Arial" w:eastAsia="Calibri" w:hAnsi="Arial" w:cs="Arial"/>
          <w:bCs/>
          <w:lang w:val="es-MX"/>
        </w:rPr>
        <w:t xml:space="preserve">precisar que las preguntas que la integran, a excepción de la primera, desbordan </w:t>
      </w:r>
      <w:r w:rsidRPr="0097426E">
        <w:rPr>
          <w:rFonts w:ascii="Arial" w:eastAsia="Calibri" w:hAnsi="Arial" w:cs="Arial"/>
          <w:lang w:val="es-ES_tradnl"/>
        </w:rPr>
        <w:t>la fun</w:t>
      </w:r>
      <w:r>
        <w:rPr>
          <w:rFonts w:ascii="Arial" w:eastAsia="Calibri" w:hAnsi="Arial" w:cs="Arial"/>
          <w:lang w:val="es-ES_tradnl"/>
        </w:rPr>
        <w:t xml:space="preserve">ción consultiva de esta entidad, como quiera que </w:t>
      </w:r>
      <w:r w:rsidRPr="0097426E">
        <w:rPr>
          <w:rFonts w:ascii="Arial" w:eastAsia="Calibri" w:hAnsi="Arial" w:cs="Arial"/>
          <w:lang w:val="es-ES_tradnl"/>
        </w:rPr>
        <w:t xml:space="preserve">la Agencia Nacional de Contratación Pública – Colombia Compra Eficiente, de conformidad con los artículos </w:t>
      </w:r>
      <w:r w:rsidRPr="0097426E">
        <w:rPr>
          <w:rFonts w:ascii="Arial" w:eastAsia="Calibri" w:hAnsi="Arial" w:cs="Arial"/>
          <w:lang w:val="es-MX"/>
        </w:rPr>
        <w:t>3.5 y 11.8 d</w:t>
      </w:r>
      <w:r w:rsidRPr="0097426E">
        <w:rPr>
          <w:rFonts w:ascii="Arial" w:eastAsia="Calibri" w:hAnsi="Arial" w:cs="Arial"/>
          <w:lang w:val="es-ES_tradnl"/>
        </w:rPr>
        <w:t>el Decreto 4170 de 2011, solo tiene</w:t>
      </w:r>
      <w:r w:rsidRPr="0097426E">
        <w:rPr>
          <w:rFonts w:ascii="Arial" w:eastAsia="Calibri" w:hAnsi="Arial" w:cs="Arial"/>
          <w:lang w:val="es-MX"/>
        </w:rPr>
        <w:t xml:space="preserve"> competencia para absolver consultas sobre la aplicación de normas de carácter general en materia de compras y contratación pública. </w:t>
      </w:r>
      <w:r w:rsidR="00AC44DB">
        <w:rPr>
          <w:rFonts w:ascii="Arial" w:eastAsia="Calibri" w:hAnsi="Arial" w:cs="Arial"/>
          <w:lang w:val="es-MX"/>
        </w:rPr>
        <w:t>En tal sentido, cabe aclarar que mediante radicado RS20210408002773 del 8 de abril de 2021 se le informó sobre esta circunstancia.</w:t>
      </w:r>
      <w:r w:rsidRPr="0097426E">
        <w:rPr>
          <w:rFonts w:ascii="Arial" w:eastAsia="Calibri" w:hAnsi="Arial" w:cs="Arial"/>
          <w:lang w:val="es-ES_tradnl"/>
        </w:rPr>
        <w:t xml:space="preserve"> </w:t>
      </w:r>
    </w:p>
    <w:p w14:paraId="1932C5D9" w14:textId="555025BE" w:rsidR="00592B91" w:rsidRPr="0097426E" w:rsidRDefault="00592B91" w:rsidP="00592B91">
      <w:pPr>
        <w:tabs>
          <w:tab w:val="left" w:pos="426"/>
        </w:tabs>
        <w:spacing w:after="120"/>
        <w:jc w:val="both"/>
        <w:rPr>
          <w:rFonts w:ascii="Arial" w:eastAsia="Calibri" w:hAnsi="Arial" w:cs="Arial"/>
          <w:lang w:val="es-ES_tradnl"/>
        </w:rPr>
      </w:pPr>
      <w:r w:rsidRPr="0097426E">
        <w:rPr>
          <w:rFonts w:ascii="Arial" w:eastAsia="Calibri" w:hAnsi="Arial" w:cs="Arial"/>
          <w:lang w:val="es-ES_tradnl"/>
        </w:rPr>
        <w:tab/>
      </w:r>
      <w:r w:rsidRPr="0097426E">
        <w:rPr>
          <w:rFonts w:ascii="Arial" w:eastAsia="Calibri" w:hAnsi="Arial" w:cs="Arial"/>
          <w:lang w:val="es-ES_tradnl"/>
        </w:rPr>
        <w:tab/>
      </w:r>
      <w:r>
        <w:rPr>
          <w:rFonts w:ascii="Arial" w:eastAsia="Calibri" w:hAnsi="Arial" w:cs="Arial"/>
          <w:lang w:val="es-ES_tradnl"/>
        </w:rPr>
        <w:t xml:space="preserve">Dilucidado </w:t>
      </w:r>
      <w:r w:rsidRPr="0097426E">
        <w:rPr>
          <w:rFonts w:ascii="Arial" w:eastAsia="Calibri" w:hAnsi="Arial" w:cs="Arial"/>
          <w:lang w:val="es-ES_tradnl"/>
        </w:rPr>
        <w:t xml:space="preserve">lo anterior, </w:t>
      </w:r>
      <w:r>
        <w:rPr>
          <w:rFonts w:ascii="Arial" w:eastAsia="Calibri" w:hAnsi="Arial" w:cs="Arial"/>
          <w:lang w:val="es-ES_tradnl"/>
        </w:rPr>
        <w:t xml:space="preserve">para resolver el primer interrogante, se analizarán los </w:t>
      </w:r>
      <w:r w:rsidRPr="0097426E">
        <w:rPr>
          <w:rFonts w:ascii="Arial" w:eastAsia="Calibri" w:hAnsi="Arial" w:cs="Arial"/>
          <w:lang w:val="es-ES_tradnl"/>
        </w:rPr>
        <w:t xml:space="preserve">siguientes temas: i) </w:t>
      </w:r>
      <w:r w:rsidR="00AC44DB">
        <w:rPr>
          <w:rFonts w:ascii="Arial" w:eastAsia="Calibri" w:hAnsi="Arial" w:cs="Arial"/>
          <w:lang w:val="es-ES_tradnl"/>
        </w:rPr>
        <w:t xml:space="preserve">la </w:t>
      </w:r>
      <w:r w:rsidRPr="008A4AFF">
        <w:rPr>
          <w:rFonts w:ascii="Arial" w:eastAsia="Calibri" w:hAnsi="Arial" w:cs="Arial"/>
          <w:lang w:val="es-ES_tradnl"/>
        </w:rPr>
        <w:t>Ley 2080 de 2021 y su incidencia en los procesos sancionatorios contractuales</w:t>
      </w:r>
      <w:r>
        <w:rPr>
          <w:rFonts w:ascii="Arial" w:eastAsia="Calibri" w:hAnsi="Arial" w:cs="Arial"/>
          <w:lang w:val="es-ES_tradnl"/>
        </w:rPr>
        <w:t>; ii) l</w:t>
      </w:r>
      <w:r w:rsidRPr="005F6E3C">
        <w:rPr>
          <w:rFonts w:ascii="Arial" w:eastAsia="Calibri" w:hAnsi="Arial" w:cs="Arial"/>
          <w:lang w:val="es-ES_tradnl"/>
        </w:rPr>
        <w:t>as potestades excepcionales de las entidades estatales sometidas al Estatuto General de Contratación de la Administración Pública</w:t>
      </w:r>
      <w:r w:rsidRPr="00153646">
        <w:rPr>
          <w:rFonts w:ascii="Arial" w:eastAsia="Calibri" w:hAnsi="Arial" w:cs="Arial"/>
          <w:lang w:val="es-ES_tradnl"/>
        </w:rPr>
        <w:t>; iii)</w:t>
      </w:r>
      <w:r w:rsidRPr="00A46D7F">
        <w:rPr>
          <w:rFonts w:ascii="Arial" w:eastAsia="Calibri" w:hAnsi="Arial" w:cs="Arial"/>
          <w:lang w:val="es-ES_tradnl"/>
        </w:rPr>
        <w:t xml:space="preserve"> </w:t>
      </w:r>
      <w:r w:rsidR="00AC44DB">
        <w:rPr>
          <w:rFonts w:ascii="Arial" w:eastAsia="Calibri" w:hAnsi="Arial" w:cs="Arial"/>
          <w:lang w:val="es-ES_tradnl"/>
        </w:rPr>
        <w:t xml:space="preserve">la </w:t>
      </w:r>
      <w:r>
        <w:rPr>
          <w:rFonts w:ascii="Arial" w:eastAsia="Calibri" w:hAnsi="Arial" w:cs="Arial"/>
          <w:lang w:val="es-ES_tradnl"/>
        </w:rPr>
        <w:t>n</w:t>
      </w:r>
      <w:r w:rsidRPr="00A46D7F">
        <w:rPr>
          <w:rFonts w:ascii="Arial" w:eastAsia="Calibri" w:hAnsi="Arial" w:cs="Arial"/>
          <w:lang w:val="es-ES_tradnl"/>
        </w:rPr>
        <w:t>orma especial que consagra el procedimiento administrativo sancionatorio contractual;</w:t>
      </w:r>
      <w:r w:rsidR="00AC44DB">
        <w:rPr>
          <w:rFonts w:ascii="Arial" w:eastAsia="Calibri" w:hAnsi="Arial" w:cs="Arial"/>
          <w:lang w:val="es-ES_tradnl"/>
        </w:rPr>
        <w:t xml:space="preserve"> y</w:t>
      </w:r>
      <w:r w:rsidRPr="00153646">
        <w:rPr>
          <w:rFonts w:ascii="Arial" w:eastAsia="Calibri" w:hAnsi="Arial" w:cs="Arial"/>
          <w:lang w:val="es-ES_tradnl"/>
        </w:rPr>
        <w:t xml:space="preserve"> iv) </w:t>
      </w:r>
      <w:r>
        <w:rPr>
          <w:rFonts w:ascii="Arial" w:eastAsia="Calibri" w:hAnsi="Arial" w:cs="Arial"/>
          <w:lang w:val="es-ES_tradnl"/>
        </w:rPr>
        <w:t>pre</w:t>
      </w:r>
      <w:r w:rsidRPr="00A46D7F">
        <w:rPr>
          <w:rFonts w:ascii="Arial" w:eastAsia="Calibri" w:hAnsi="Arial" w:cs="Arial"/>
          <w:lang w:val="es-ES_tradnl"/>
        </w:rPr>
        <w:t xml:space="preserve">valencia de la norma especial </w:t>
      </w:r>
      <w:r>
        <w:rPr>
          <w:rFonts w:ascii="Arial" w:eastAsia="Calibri" w:hAnsi="Arial" w:cs="Arial"/>
          <w:lang w:val="es-ES_tradnl"/>
        </w:rPr>
        <w:t xml:space="preserve">en materia sancionatoria contractual </w:t>
      </w:r>
      <w:r w:rsidRPr="00A46D7F">
        <w:rPr>
          <w:rFonts w:ascii="Arial" w:eastAsia="Calibri" w:hAnsi="Arial" w:cs="Arial"/>
          <w:lang w:val="es-ES_tradnl"/>
        </w:rPr>
        <w:t>no excluye la aplicación de principios y normas suplementarias</w:t>
      </w:r>
      <w:r w:rsidRPr="0097426E">
        <w:rPr>
          <w:rFonts w:ascii="Arial" w:eastAsia="Calibri" w:hAnsi="Arial" w:cs="Arial"/>
          <w:lang w:val="es-ES_tradnl"/>
        </w:rPr>
        <w:t>.</w:t>
      </w:r>
    </w:p>
    <w:p w14:paraId="4BDCD466" w14:textId="77777777" w:rsidR="00592B91" w:rsidRDefault="00592B91" w:rsidP="00592B91">
      <w:pPr>
        <w:spacing w:after="0"/>
        <w:ind w:firstLine="708"/>
        <w:jc w:val="both"/>
        <w:rPr>
          <w:rFonts w:ascii="Arial" w:eastAsia="Calibri" w:hAnsi="Arial" w:cs="Arial"/>
          <w:bCs/>
          <w:lang w:val="es-MX"/>
        </w:rPr>
      </w:pPr>
      <w:r w:rsidRPr="0097426E">
        <w:rPr>
          <w:rFonts w:ascii="Arial" w:eastAsia="Calibri" w:hAnsi="Arial" w:cs="Arial"/>
          <w:lang w:val="es-MX"/>
        </w:rPr>
        <w:t>Esta Agencia</w:t>
      </w:r>
      <w:r>
        <w:rPr>
          <w:rFonts w:ascii="Arial" w:eastAsia="Calibri" w:hAnsi="Arial" w:cs="Arial"/>
          <w:lang w:val="es-MX"/>
        </w:rPr>
        <w:t xml:space="preserve"> se pronunció sobre la potestad sancionatoria de las entidades estatales</w:t>
      </w:r>
      <w:r w:rsidRPr="0097426E">
        <w:rPr>
          <w:rFonts w:ascii="Arial" w:eastAsia="Calibri" w:hAnsi="Arial" w:cs="Arial"/>
          <w:bCs/>
          <w:lang w:val="es-MX"/>
        </w:rPr>
        <w:t xml:space="preserve"> como herramienta para l</w:t>
      </w:r>
      <w:r>
        <w:rPr>
          <w:rFonts w:ascii="Arial" w:eastAsia="Calibri" w:hAnsi="Arial" w:cs="Arial"/>
          <w:bCs/>
          <w:lang w:val="es-MX"/>
        </w:rPr>
        <w:t xml:space="preserve">a dirección general del negocio y para la </w:t>
      </w:r>
      <w:r w:rsidRPr="0097426E">
        <w:rPr>
          <w:rFonts w:ascii="Arial" w:eastAsia="Calibri" w:hAnsi="Arial" w:cs="Arial"/>
          <w:bCs/>
          <w:lang w:val="es-MX"/>
        </w:rPr>
        <w:t>vigilancia y control</w:t>
      </w:r>
      <w:r w:rsidRPr="0097426E">
        <w:rPr>
          <w:rFonts w:ascii="Arial" w:eastAsia="Calibri" w:hAnsi="Arial" w:cs="Arial"/>
          <w:lang w:val="es-MX"/>
        </w:rPr>
        <w:t xml:space="preserve"> </w:t>
      </w:r>
      <w:r>
        <w:rPr>
          <w:rFonts w:ascii="Arial" w:eastAsia="Calibri" w:hAnsi="Arial" w:cs="Arial"/>
          <w:bCs/>
          <w:lang w:val="es-MX"/>
        </w:rPr>
        <w:t xml:space="preserve">en materia contractual y el trámite  para su ejercicio, en </w:t>
      </w:r>
      <w:r w:rsidRPr="0097426E">
        <w:rPr>
          <w:rFonts w:ascii="Arial" w:eastAsia="Calibri" w:hAnsi="Arial" w:cs="Arial"/>
          <w:lang w:val="es-MX"/>
        </w:rPr>
        <w:t xml:space="preserve">los conceptos </w:t>
      </w:r>
      <w:r w:rsidRPr="00B42F6D">
        <w:rPr>
          <w:rFonts w:ascii="Arial" w:hAnsi="Arial" w:cs="Arial"/>
          <w:lang w:val="es-ES_tradnl"/>
        </w:rPr>
        <w:t>C-147 del 17 de marzo de 2020</w:t>
      </w:r>
      <w:r>
        <w:rPr>
          <w:rFonts w:ascii="Arial" w:hAnsi="Arial" w:cs="Arial"/>
          <w:lang w:val="es-ES_tradnl"/>
        </w:rPr>
        <w:t xml:space="preserve">, </w:t>
      </w:r>
      <w:r w:rsidRPr="0097426E">
        <w:rPr>
          <w:rFonts w:ascii="Arial" w:eastAsia="Calibri" w:hAnsi="Arial" w:cs="Arial"/>
          <w:bCs/>
          <w:lang w:val="es-MX"/>
        </w:rPr>
        <w:t>C-219 del 29 de abril de 2020,</w:t>
      </w:r>
      <w:r w:rsidRPr="0097426E">
        <w:rPr>
          <w:rFonts w:ascii="Arial" w:eastAsia="Calibri" w:hAnsi="Arial" w:cs="Arial"/>
          <w:lang w:val="es-MX"/>
        </w:rPr>
        <w:t xml:space="preserve"> C–251 del 27 de mayo de 2020, C–280 del 6 de julio de 2020, </w:t>
      </w:r>
      <w:r w:rsidRPr="00B42F6D">
        <w:rPr>
          <w:rFonts w:ascii="Arial" w:hAnsi="Arial" w:cs="Arial"/>
          <w:iCs/>
          <w:color w:val="000000" w:themeColor="text1"/>
          <w:lang w:val="es-ES_tradnl"/>
        </w:rPr>
        <w:t>C-434 del 29 de julio de 2020</w:t>
      </w:r>
      <w:r>
        <w:rPr>
          <w:rFonts w:ascii="Arial" w:hAnsi="Arial" w:cs="Arial"/>
          <w:iCs/>
          <w:color w:val="000000" w:themeColor="text1"/>
          <w:lang w:val="es-ES_tradnl"/>
        </w:rPr>
        <w:t xml:space="preserve">, </w:t>
      </w:r>
      <w:r w:rsidRPr="0097426E">
        <w:rPr>
          <w:rFonts w:ascii="Arial" w:eastAsia="Calibri" w:hAnsi="Arial" w:cs="Arial"/>
          <w:lang w:val="es-MX"/>
        </w:rPr>
        <w:t>C</w:t>
      </w:r>
      <w:r>
        <w:rPr>
          <w:rFonts w:ascii="Arial" w:eastAsia="Calibri" w:hAnsi="Arial" w:cs="Arial"/>
          <w:lang w:val="es-MX"/>
        </w:rPr>
        <w:t xml:space="preserve">-516 del 11 de agosto de 2020, </w:t>
      </w:r>
      <w:r w:rsidRPr="00B42F6D">
        <w:rPr>
          <w:rFonts w:ascii="Arial" w:hAnsi="Arial" w:cs="Arial"/>
          <w:iCs/>
          <w:color w:val="000000" w:themeColor="text1"/>
          <w:lang w:val="es-ES_tradnl"/>
        </w:rPr>
        <w:t>C-569 del 31 de agosto de 2020</w:t>
      </w:r>
      <w:r>
        <w:rPr>
          <w:rFonts w:ascii="Arial" w:hAnsi="Arial" w:cs="Arial"/>
          <w:iCs/>
          <w:color w:val="000000" w:themeColor="text1"/>
          <w:lang w:val="es-ES_tradnl"/>
        </w:rPr>
        <w:t>,</w:t>
      </w:r>
      <w:r w:rsidRPr="00B42F6D">
        <w:rPr>
          <w:rFonts w:ascii="Arial" w:hAnsi="Arial" w:cs="Arial"/>
          <w:iCs/>
          <w:color w:val="000000" w:themeColor="text1"/>
          <w:lang w:val="es-ES_tradnl"/>
        </w:rPr>
        <w:t xml:space="preserve"> </w:t>
      </w:r>
      <w:r w:rsidRPr="0097426E">
        <w:rPr>
          <w:rFonts w:ascii="Arial" w:eastAsia="Calibri" w:hAnsi="Arial" w:cs="Arial"/>
          <w:lang w:val="es-MX"/>
        </w:rPr>
        <w:t>C-607 de</w:t>
      </w:r>
      <w:r>
        <w:rPr>
          <w:rFonts w:ascii="Arial" w:eastAsia="Calibri" w:hAnsi="Arial" w:cs="Arial"/>
          <w:lang w:val="es-MX"/>
        </w:rPr>
        <w:t>l</w:t>
      </w:r>
      <w:r w:rsidRPr="0097426E">
        <w:rPr>
          <w:rFonts w:ascii="Arial" w:eastAsia="Calibri" w:hAnsi="Arial" w:cs="Arial"/>
          <w:lang w:val="es-MX"/>
        </w:rPr>
        <w:t xml:space="preserve"> 13 de octubre de 2020, </w:t>
      </w:r>
      <w:r w:rsidRPr="00B42F6D">
        <w:rPr>
          <w:rFonts w:ascii="Arial" w:hAnsi="Arial" w:cs="Arial"/>
          <w:iCs/>
          <w:color w:val="000000" w:themeColor="text1"/>
          <w:lang w:val="es-ES_tradnl"/>
        </w:rPr>
        <w:t>C-641 del 4 de noviembre de 2020</w:t>
      </w:r>
      <w:r>
        <w:rPr>
          <w:rFonts w:ascii="Arial" w:hAnsi="Arial" w:cs="Arial"/>
          <w:iCs/>
          <w:color w:val="000000" w:themeColor="text1"/>
          <w:lang w:val="es-ES_tradnl"/>
        </w:rPr>
        <w:t xml:space="preserve">, </w:t>
      </w:r>
      <w:r>
        <w:rPr>
          <w:rFonts w:ascii="Arial" w:eastAsia="Calibri" w:hAnsi="Arial" w:cs="Arial"/>
          <w:lang w:val="es-MX"/>
        </w:rPr>
        <w:t>C-025 del 25 de febrero de 2021, C-060 del 8 de marzo de 2021 y C-128 del 5 de abril de 2021.</w:t>
      </w:r>
      <w:r w:rsidRPr="0097426E">
        <w:rPr>
          <w:rFonts w:ascii="Arial" w:eastAsia="Calibri" w:hAnsi="Arial" w:cs="Arial"/>
          <w:bCs/>
          <w:lang w:val="es-MX"/>
        </w:rPr>
        <w:t xml:space="preserve"> La tesis </w:t>
      </w:r>
      <w:r>
        <w:rPr>
          <w:rFonts w:ascii="Arial" w:eastAsia="Calibri" w:hAnsi="Arial" w:cs="Arial"/>
          <w:bCs/>
          <w:lang w:val="es-MX"/>
        </w:rPr>
        <w:t xml:space="preserve">expuesta </w:t>
      </w:r>
      <w:r w:rsidRPr="0097426E">
        <w:rPr>
          <w:rFonts w:ascii="Arial" w:eastAsia="Calibri" w:hAnsi="Arial" w:cs="Arial"/>
          <w:bCs/>
          <w:lang w:val="es-MX"/>
        </w:rPr>
        <w:t>se reitera y amplía a continuación.</w:t>
      </w:r>
    </w:p>
    <w:p w14:paraId="71CD1A3A" w14:textId="77777777" w:rsidR="00592B91" w:rsidRDefault="00592B91" w:rsidP="00592B91">
      <w:pPr>
        <w:spacing w:after="0"/>
        <w:ind w:firstLine="708"/>
        <w:jc w:val="both"/>
        <w:rPr>
          <w:rFonts w:ascii="Arial" w:eastAsia="Calibri" w:hAnsi="Arial" w:cs="Arial"/>
          <w:bCs/>
          <w:lang w:val="es-MX"/>
        </w:rPr>
      </w:pPr>
    </w:p>
    <w:p w14:paraId="647426B8" w14:textId="77777777" w:rsidR="00592B91" w:rsidRPr="00153646" w:rsidRDefault="00592B91" w:rsidP="00592B91">
      <w:pPr>
        <w:pStyle w:val="Prrafodelista"/>
        <w:numPr>
          <w:ilvl w:val="1"/>
          <w:numId w:val="1"/>
        </w:numPr>
        <w:spacing w:after="0"/>
        <w:ind w:left="426" w:hanging="426"/>
        <w:jc w:val="both"/>
        <w:rPr>
          <w:rFonts w:ascii="Arial" w:eastAsia="Calibri" w:hAnsi="Arial" w:cs="Arial"/>
          <w:b/>
          <w:bCs/>
          <w:lang w:val="es-MX"/>
        </w:rPr>
      </w:pPr>
      <w:r w:rsidRPr="00153646">
        <w:rPr>
          <w:rFonts w:ascii="Arial" w:eastAsia="Calibri" w:hAnsi="Arial" w:cs="Arial"/>
          <w:b/>
          <w:bCs/>
          <w:lang w:val="es-MX"/>
        </w:rPr>
        <w:t>Ley 2080 de 2021 y su incidencia en los procesos sancionatorios contractuales</w:t>
      </w:r>
    </w:p>
    <w:p w14:paraId="56FE403A" w14:textId="77777777" w:rsidR="00592B91" w:rsidRPr="00153646" w:rsidRDefault="00592B91" w:rsidP="00592B91">
      <w:pPr>
        <w:pStyle w:val="Prrafodelista"/>
        <w:spacing w:after="0" w:line="240" w:lineRule="auto"/>
        <w:jc w:val="both"/>
        <w:rPr>
          <w:rFonts w:ascii="Arial" w:eastAsia="Calibri" w:hAnsi="Arial" w:cs="Arial"/>
          <w:bCs/>
          <w:lang w:val="es-MX"/>
        </w:rPr>
      </w:pPr>
    </w:p>
    <w:p w14:paraId="72F2D3AC" w14:textId="77777777" w:rsidR="00592B91" w:rsidRDefault="00592B91" w:rsidP="00592B91">
      <w:pPr>
        <w:spacing w:after="0"/>
        <w:jc w:val="both"/>
        <w:rPr>
          <w:rFonts w:ascii="Arial" w:eastAsia="Calibri" w:hAnsi="Arial" w:cs="Arial"/>
          <w:bCs/>
          <w:lang w:val="es-MX"/>
        </w:rPr>
      </w:pPr>
      <w:r>
        <w:rPr>
          <w:rFonts w:ascii="Arial" w:eastAsia="Calibri" w:hAnsi="Arial" w:cs="Arial"/>
          <w:bCs/>
          <w:lang w:val="es-MX"/>
        </w:rPr>
        <w:t xml:space="preserve">Considerando que al plantear la consulta se alude a la Ley 2080 de 2021, conviene precisar que verificada la normativa que abarca la precitada ley, en lo concerniente a los procesos sancionatorios contractuales, se hace referencia a estos solo en su artículo 3, por medio del cual se modifica el parágrafo del artículo 47 de la Ley 1437 de 2011 y se adiciona uno nuevo, que en su texto original señalaba:   </w:t>
      </w:r>
    </w:p>
    <w:p w14:paraId="68AF6F2F" w14:textId="77777777" w:rsidR="00592B91" w:rsidRDefault="00592B91" w:rsidP="00592B91">
      <w:pPr>
        <w:spacing w:after="0"/>
        <w:jc w:val="both"/>
        <w:rPr>
          <w:rFonts w:ascii="Arial" w:eastAsia="Calibri" w:hAnsi="Arial" w:cs="Arial"/>
          <w:bCs/>
          <w:lang w:val="es-MX"/>
        </w:rPr>
      </w:pPr>
    </w:p>
    <w:p w14:paraId="2D494819" w14:textId="01C7F825" w:rsidR="00592B91" w:rsidRPr="00153646" w:rsidRDefault="00592B91" w:rsidP="00592B91">
      <w:pPr>
        <w:spacing w:after="0" w:line="240" w:lineRule="auto"/>
        <w:ind w:left="709" w:right="709"/>
        <w:jc w:val="both"/>
        <w:rPr>
          <w:rFonts w:ascii="Arial" w:eastAsia="Calibri" w:hAnsi="Arial" w:cs="Arial"/>
          <w:bCs/>
          <w:sz w:val="21"/>
          <w:szCs w:val="21"/>
          <w:lang w:val="es-MX"/>
        </w:rPr>
      </w:pPr>
      <w:r w:rsidRPr="00153646">
        <w:rPr>
          <w:rFonts w:ascii="Arial" w:eastAsia="Calibri" w:hAnsi="Arial" w:cs="Arial"/>
          <w:bCs/>
          <w:sz w:val="21"/>
          <w:szCs w:val="21"/>
          <w:lang w:val="es-MX"/>
        </w:rPr>
        <w:t xml:space="preserve">Artículo 47.Procedimiento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w:t>
      </w:r>
    </w:p>
    <w:p w14:paraId="6F5FC1BE" w14:textId="77777777" w:rsidR="00592B91" w:rsidRDefault="00592B91" w:rsidP="00592B91">
      <w:pPr>
        <w:spacing w:after="0" w:line="240" w:lineRule="auto"/>
        <w:ind w:left="709" w:right="709"/>
        <w:jc w:val="both"/>
        <w:rPr>
          <w:rFonts w:ascii="Arial" w:eastAsia="Calibri" w:hAnsi="Arial" w:cs="Arial"/>
          <w:bCs/>
          <w:sz w:val="21"/>
          <w:szCs w:val="21"/>
          <w:lang w:val="es-MX"/>
        </w:rPr>
      </w:pPr>
      <w:r>
        <w:rPr>
          <w:rFonts w:ascii="Arial" w:eastAsia="Calibri" w:hAnsi="Arial" w:cs="Arial"/>
          <w:bCs/>
          <w:sz w:val="21"/>
          <w:szCs w:val="21"/>
          <w:lang w:val="es-MX"/>
        </w:rPr>
        <w:t>[…]</w:t>
      </w:r>
      <w:r w:rsidRPr="00153646">
        <w:rPr>
          <w:rFonts w:ascii="Arial" w:eastAsia="Calibri" w:hAnsi="Arial" w:cs="Arial"/>
          <w:bCs/>
          <w:sz w:val="21"/>
          <w:szCs w:val="21"/>
          <w:lang w:val="es-MX"/>
        </w:rPr>
        <w:t xml:space="preserve"> </w:t>
      </w:r>
    </w:p>
    <w:p w14:paraId="47988DFC" w14:textId="77777777" w:rsidR="00592B91" w:rsidRPr="00153646" w:rsidRDefault="00592B91" w:rsidP="00592B91">
      <w:pPr>
        <w:spacing w:after="0" w:line="240" w:lineRule="auto"/>
        <w:ind w:left="709" w:right="709"/>
        <w:jc w:val="both"/>
        <w:rPr>
          <w:rFonts w:ascii="Arial" w:eastAsia="Calibri" w:hAnsi="Arial" w:cs="Arial"/>
          <w:bCs/>
          <w:sz w:val="21"/>
          <w:szCs w:val="21"/>
          <w:lang w:val="es-MX"/>
        </w:rPr>
      </w:pPr>
    </w:p>
    <w:p w14:paraId="428BCF0B" w14:textId="77777777" w:rsidR="00592B91" w:rsidRPr="00153646" w:rsidRDefault="00592B91" w:rsidP="00592B91">
      <w:pPr>
        <w:spacing w:after="0" w:line="240" w:lineRule="auto"/>
        <w:ind w:left="709" w:right="709"/>
        <w:jc w:val="both"/>
        <w:rPr>
          <w:rFonts w:ascii="Arial" w:eastAsia="Calibri" w:hAnsi="Arial" w:cs="Arial"/>
          <w:bCs/>
          <w:sz w:val="21"/>
          <w:szCs w:val="21"/>
          <w:lang w:val="es-MX"/>
        </w:rPr>
      </w:pPr>
      <w:r w:rsidRPr="00153646">
        <w:rPr>
          <w:rFonts w:ascii="Arial" w:eastAsia="Calibri" w:hAnsi="Arial" w:cs="Arial"/>
          <w:bCs/>
          <w:sz w:val="21"/>
          <w:szCs w:val="21"/>
          <w:lang w:val="es-MX"/>
        </w:rPr>
        <w:t>Parágrafo. Las actuaciones administrativas contractuales sancionatorias, incluyendo los recursos, se regirán por lo dispuesto en las normas especiales sobre la materia.</w:t>
      </w:r>
    </w:p>
    <w:p w14:paraId="0892B250" w14:textId="77777777" w:rsidR="00592B91" w:rsidRPr="00153646" w:rsidRDefault="00592B91" w:rsidP="00592B91">
      <w:pPr>
        <w:spacing w:after="0"/>
        <w:ind w:left="709" w:right="709"/>
        <w:jc w:val="both"/>
        <w:rPr>
          <w:rFonts w:ascii="Arial" w:eastAsia="Calibri" w:hAnsi="Arial" w:cs="Arial"/>
          <w:bCs/>
          <w:sz w:val="21"/>
          <w:szCs w:val="21"/>
          <w:lang w:val="es-MX"/>
        </w:rPr>
      </w:pPr>
    </w:p>
    <w:p w14:paraId="7ECF6E51" w14:textId="77777777" w:rsidR="00592B91" w:rsidRDefault="00592B91" w:rsidP="00BF2E79">
      <w:pPr>
        <w:spacing w:after="0" w:line="240" w:lineRule="auto"/>
        <w:ind w:left="708" w:firstLine="1"/>
        <w:jc w:val="both"/>
        <w:rPr>
          <w:rFonts w:ascii="Arial" w:eastAsia="Calibri" w:hAnsi="Arial" w:cs="Arial"/>
          <w:bCs/>
          <w:lang w:val="es-MX"/>
        </w:rPr>
      </w:pPr>
      <w:r>
        <w:rPr>
          <w:rFonts w:ascii="Arial" w:eastAsia="Calibri" w:hAnsi="Arial" w:cs="Arial"/>
          <w:bCs/>
          <w:lang w:val="es-MX"/>
        </w:rPr>
        <w:t>Luego de la modificación emanada de la Ley 2080 de 2021, el artículo 47 de la Ley 1437 de 2011 quedó de la siguiente manera:</w:t>
      </w:r>
    </w:p>
    <w:p w14:paraId="76C80FA9" w14:textId="77777777" w:rsidR="00592B91" w:rsidRPr="00B06328" w:rsidRDefault="00592B91" w:rsidP="00592B91">
      <w:pPr>
        <w:spacing w:after="0" w:line="240" w:lineRule="auto"/>
        <w:ind w:firstLine="709"/>
        <w:jc w:val="both"/>
        <w:rPr>
          <w:rFonts w:ascii="Arial" w:eastAsia="Calibri" w:hAnsi="Arial" w:cs="Arial"/>
          <w:bCs/>
          <w:lang w:val="es-MX"/>
        </w:rPr>
      </w:pPr>
      <w:r>
        <w:rPr>
          <w:rFonts w:ascii="Arial" w:eastAsia="Calibri" w:hAnsi="Arial" w:cs="Arial"/>
          <w:bCs/>
          <w:lang w:val="es-MX"/>
        </w:rPr>
        <w:t xml:space="preserve"> </w:t>
      </w:r>
    </w:p>
    <w:p w14:paraId="740DB882" w14:textId="161666D7" w:rsidR="00592B91" w:rsidRDefault="00592B91" w:rsidP="00592B91">
      <w:pPr>
        <w:spacing w:after="0" w:line="240" w:lineRule="auto"/>
        <w:ind w:left="709" w:right="709"/>
        <w:jc w:val="both"/>
        <w:rPr>
          <w:rFonts w:ascii="Arial" w:eastAsia="Calibri" w:hAnsi="Arial" w:cs="Arial"/>
          <w:bCs/>
          <w:sz w:val="21"/>
          <w:szCs w:val="21"/>
          <w:lang w:val="es-MX"/>
        </w:rPr>
      </w:pPr>
      <w:r w:rsidRPr="00153646">
        <w:rPr>
          <w:rFonts w:ascii="Arial" w:eastAsia="Calibri" w:hAnsi="Arial" w:cs="Arial"/>
          <w:bCs/>
          <w:sz w:val="21"/>
          <w:szCs w:val="21"/>
          <w:lang w:val="es-MX"/>
        </w:rPr>
        <w:t xml:space="preserve">Artículo 47.Procedimiento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w:t>
      </w:r>
    </w:p>
    <w:p w14:paraId="4D6C45A4" w14:textId="77777777" w:rsidR="00592B91" w:rsidRPr="00153646" w:rsidRDefault="00592B91" w:rsidP="00592B91">
      <w:pPr>
        <w:spacing w:after="0" w:line="240" w:lineRule="auto"/>
        <w:ind w:left="709" w:right="709"/>
        <w:jc w:val="both"/>
        <w:rPr>
          <w:rFonts w:ascii="Arial" w:eastAsia="Calibri" w:hAnsi="Arial" w:cs="Arial"/>
          <w:bCs/>
          <w:sz w:val="21"/>
          <w:szCs w:val="21"/>
          <w:lang w:val="es-MX"/>
        </w:rPr>
      </w:pPr>
      <w:r>
        <w:rPr>
          <w:rFonts w:ascii="Arial" w:eastAsia="Calibri" w:hAnsi="Arial" w:cs="Arial"/>
          <w:bCs/>
          <w:sz w:val="21"/>
          <w:szCs w:val="21"/>
          <w:lang w:val="es-MX"/>
        </w:rPr>
        <w:t>[…]</w:t>
      </w:r>
    </w:p>
    <w:p w14:paraId="4DB88C81" w14:textId="77777777" w:rsidR="00592B91" w:rsidRPr="00153646" w:rsidRDefault="00592B91" w:rsidP="00592B91">
      <w:pPr>
        <w:spacing w:after="0" w:line="240" w:lineRule="auto"/>
        <w:ind w:left="709" w:right="709"/>
        <w:jc w:val="both"/>
        <w:rPr>
          <w:rFonts w:ascii="Arial" w:eastAsia="Calibri" w:hAnsi="Arial" w:cs="Arial"/>
          <w:bCs/>
          <w:sz w:val="21"/>
          <w:szCs w:val="21"/>
          <w:lang w:val="es-MX"/>
        </w:rPr>
      </w:pPr>
      <w:r w:rsidRPr="00153646">
        <w:rPr>
          <w:rFonts w:ascii="Arial" w:eastAsia="Calibri" w:hAnsi="Arial" w:cs="Arial"/>
          <w:bCs/>
          <w:sz w:val="21"/>
          <w:szCs w:val="21"/>
          <w:lang w:val="es-MX"/>
        </w:rPr>
        <w:t>PARÁGRAFO 1. Las actuaciones administrativas contractuales sancionatorias, incluyendo los recursos, se regirán por lo dispuesto en las normas especiales sobre la materia.</w:t>
      </w:r>
    </w:p>
    <w:p w14:paraId="3BF3083B" w14:textId="77777777" w:rsidR="00592B91" w:rsidRPr="00153646" w:rsidRDefault="00592B91" w:rsidP="00592B91">
      <w:pPr>
        <w:spacing w:after="0" w:line="240" w:lineRule="auto"/>
        <w:ind w:left="709" w:right="709"/>
        <w:jc w:val="both"/>
        <w:rPr>
          <w:rFonts w:ascii="Arial" w:eastAsia="Calibri" w:hAnsi="Arial" w:cs="Arial"/>
          <w:bCs/>
          <w:sz w:val="21"/>
          <w:szCs w:val="21"/>
          <w:lang w:val="es-MX"/>
        </w:rPr>
      </w:pPr>
    </w:p>
    <w:p w14:paraId="758F9154" w14:textId="77777777" w:rsidR="00592B91" w:rsidRDefault="00592B91" w:rsidP="00592B91">
      <w:pPr>
        <w:spacing w:after="0" w:line="240" w:lineRule="auto"/>
        <w:ind w:left="709" w:right="709"/>
        <w:jc w:val="both"/>
        <w:rPr>
          <w:rFonts w:ascii="Arial" w:eastAsia="Calibri" w:hAnsi="Arial" w:cs="Arial"/>
          <w:bCs/>
          <w:lang w:val="es-MX"/>
        </w:rPr>
      </w:pPr>
      <w:r w:rsidRPr="00153646">
        <w:rPr>
          <w:rFonts w:ascii="Arial" w:eastAsia="Calibri" w:hAnsi="Arial" w:cs="Arial"/>
          <w:bCs/>
          <w:sz w:val="21"/>
          <w:szCs w:val="21"/>
          <w:lang w:val="es-MX"/>
        </w:rPr>
        <w:t>PARÁGRAFO 2. En los procedimientos administrativos sancionatorios fiscales el término para presentar descargos y solicitar o aportar pruebas será de cinco (5) días</w:t>
      </w:r>
      <w:r w:rsidRPr="00B06328">
        <w:rPr>
          <w:rFonts w:ascii="Arial" w:eastAsia="Calibri" w:hAnsi="Arial" w:cs="Arial"/>
          <w:bCs/>
          <w:lang w:val="es-MX"/>
        </w:rPr>
        <w:t>.</w:t>
      </w:r>
    </w:p>
    <w:p w14:paraId="1FC731D0" w14:textId="77777777" w:rsidR="00592B91" w:rsidRDefault="00592B91" w:rsidP="00592B91">
      <w:pPr>
        <w:spacing w:after="0" w:line="240" w:lineRule="auto"/>
        <w:ind w:left="709" w:right="709"/>
        <w:jc w:val="both"/>
        <w:rPr>
          <w:rFonts w:ascii="Arial" w:eastAsia="Calibri" w:hAnsi="Arial" w:cs="Arial"/>
          <w:bCs/>
          <w:lang w:val="es-MX"/>
        </w:rPr>
      </w:pPr>
    </w:p>
    <w:p w14:paraId="37CEBA6D" w14:textId="0CD92FF4" w:rsidR="00592B91" w:rsidRDefault="00592B91" w:rsidP="00B1661D">
      <w:pPr>
        <w:spacing w:after="0"/>
        <w:ind w:firstLine="709"/>
        <w:jc w:val="both"/>
        <w:rPr>
          <w:rFonts w:ascii="Arial" w:hAnsi="Arial" w:cs="Arial"/>
          <w:color w:val="000000"/>
        </w:rPr>
      </w:pPr>
      <w:r w:rsidRPr="009573AD">
        <w:rPr>
          <w:rFonts w:ascii="Arial" w:eastAsia="Calibri" w:hAnsi="Arial" w:cs="Arial"/>
          <w:bCs/>
          <w:lang w:val="es-MX"/>
        </w:rPr>
        <w:t xml:space="preserve"> Verificada la norma objeto de modificación, se observa que </w:t>
      </w:r>
      <w:r w:rsidRPr="00153646">
        <w:rPr>
          <w:rFonts w:ascii="Arial" w:eastAsia="Times New Roman" w:hAnsi="Arial" w:cs="Arial"/>
          <w:bCs/>
          <w:color w:val="000000"/>
          <w:lang w:val="es-ES_tradnl" w:eastAsia="es-CO"/>
        </w:rPr>
        <w:t>con antelación a las reformas introducidas en el</w:t>
      </w:r>
      <w:r w:rsidRPr="00153646">
        <w:rPr>
          <w:rFonts w:ascii="Arial" w:hAnsi="Arial" w:cs="Arial"/>
        </w:rPr>
        <w:t xml:space="preserve"> </w:t>
      </w:r>
      <w:r w:rsidRPr="00153646">
        <w:rPr>
          <w:rFonts w:ascii="Arial" w:eastAsia="Times New Roman" w:hAnsi="Arial" w:cs="Arial"/>
          <w:bCs/>
          <w:color w:val="000000"/>
          <w:lang w:val="es-ES_tradnl" w:eastAsia="es-CO"/>
        </w:rPr>
        <w:t>Código de Procedimiento Administrativo y de lo Contencioso Administrativo – CPACA –    la Ley 2080 de 2021,  en lo concerniente a las actuaciones sancionatorias contractuales</w:t>
      </w:r>
      <w:r>
        <w:rPr>
          <w:rFonts w:ascii="Arial" w:eastAsia="Times New Roman" w:hAnsi="Arial" w:cs="Arial"/>
          <w:bCs/>
          <w:color w:val="000000"/>
          <w:lang w:val="es-ES_tradnl" w:eastAsia="es-CO"/>
        </w:rPr>
        <w:t xml:space="preserve"> no se evidencian cambios</w:t>
      </w:r>
      <w:r w:rsidRPr="00153646">
        <w:rPr>
          <w:rFonts w:ascii="Arial" w:eastAsia="Times New Roman" w:hAnsi="Arial" w:cs="Arial"/>
          <w:bCs/>
          <w:color w:val="000000"/>
          <w:lang w:val="es-ES_tradnl" w:eastAsia="es-CO"/>
        </w:rPr>
        <w:t>,</w:t>
      </w:r>
      <w:r>
        <w:rPr>
          <w:rFonts w:ascii="Arial" w:eastAsia="Times New Roman" w:hAnsi="Arial" w:cs="Arial"/>
          <w:bCs/>
          <w:color w:val="000000"/>
          <w:lang w:val="es-ES_tradnl" w:eastAsia="es-CO"/>
        </w:rPr>
        <w:t xml:space="preserve"> es decir</w:t>
      </w:r>
      <w:r w:rsidR="00F05C65">
        <w:rPr>
          <w:rFonts w:ascii="Arial" w:eastAsia="Times New Roman" w:hAnsi="Arial" w:cs="Arial"/>
          <w:bCs/>
          <w:color w:val="000000"/>
          <w:lang w:val="es-ES_tradnl" w:eastAsia="es-CO"/>
        </w:rPr>
        <w:t>,</w:t>
      </w:r>
      <w:r>
        <w:rPr>
          <w:rFonts w:ascii="Arial" w:eastAsia="Times New Roman" w:hAnsi="Arial" w:cs="Arial"/>
          <w:bCs/>
          <w:color w:val="000000"/>
          <w:lang w:val="es-ES_tradnl" w:eastAsia="es-CO"/>
        </w:rPr>
        <w:t xml:space="preserve"> </w:t>
      </w:r>
      <w:r w:rsidRPr="00153646">
        <w:rPr>
          <w:rFonts w:ascii="Arial" w:eastAsia="Times New Roman" w:hAnsi="Arial" w:cs="Arial"/>
          <w:bCs/>
          <w:color w:val="000000"/>
          <w:lang w:val="es-ES_tradnl" w:eastAsia="es-CO"/>
        </w:rPr>
        <w:t xml:space="preserve">la norma conservó su mandato original en cuanto a la remisión a normas especiales que rijan la materia, en armonía con el artículo 34 del mismo cuerpo normativo que dispone que las </w:t>
      </w:r>
      <w:r w:rsidRPr="00153646">
        <w:rPr>
          <w:rFonts w:ascii="Arial" w:hAnsi="Arial" w:cs="Arial"/>
          <w:color w:val="000000"/>
        </w:rPr>
        <w:t xml:space="preserve">actuaciones administrativas se sujetarán al procedimiento administrativo común y principal que </w:t>
      </w:r>
      <w:r>
        <w:rPr>
          <w:rFonts w:ascii="Arial" w:hAnsi="Arial" w:cs="Arial"/>
          <w:color w:val="000000"/>
        </w:rPr>
        <w:t xml:space="preserve">establece </w:t>
      </w:r>
      <w:r w:rsidRPr="00153646">
        <w:rPr>
          <w:rFonts w:ascii="Arial" w:hAnsi="Arial" w:cs="Arial"/>
          <w:color w:val="000000"/>
        </w:rPr>
        <w:t xml:space="preserve">el </w:t>
      </w:r>
      <w:r>
        <w:rPr>
          <w:rFonts w:ascii="Arial" w:hAnsi="Arial" w:cs="Arial"/>
          <w:color w:val="000000"/>
        </w:rPr>
        <w:t>–</w:t>
      </w:r>
      <w:r w:rsidRPr="00153646">
        <w:rPr>
          <w:rFonts w:ascii="Arial" w:hAnsi="Arial" w:cs="Arial"/>
          <w:color w:val="000000"/>
        </w:rPr>
        <w:t>CPACA</w:t>
      </w:r>
      <w:r>
        <w:rPr>
          <w:rFonts w:ascii="Arial" w:hAnsi="Arial" w:cs="Arial"/>
          <w:color w:val="000000"/>
        </w:rPr>
        <w:t>–</w:t>
      </w:r>
      <w:r w:rsidRPr="00153646">
        <w:rPr>
          <w:rFonts w:ascii="Arial" w:hAnsi="Arial" w:cs="Arial"/>
          <w:color w:val="000000"/>
        </w:rPr>
        <w:t>,  sin perjuicio de los procedimientos administrativos regulados por leyes especiales, revalidando la primacía de la norma especial</w:t>
      </w:r>
      <w:r>
        <w:rPr>
          <w:rFonts w:ascii="Arial" w:hAnsi="Arial" w:cs="Arial"/>
          <w:color w:val="000000"/>
        </w:rPr>
        <w:t>.</w:t>
      </w:r>
    </w:p>
    <w:p w14:paraId="7E626DBB" w14:textId="234B8EF9" w:rsidR="00592B91" w:rsidRDefault="00592B91" w:rsidP="00592B91">
      <w:pPr>
        <w:spacing w:after="0"/>
        <w:ind w:firstLine="709"/>
        <w:jc w:val="both"/>
        <w:rPr>
          <w:rFonts w:ascii="Arial" w:hAnsi="Arial" w:cs="Arial"/>
          <w:color w:val="000000"/>
        </w:rPr>
      </w:pPr>
      <w:r>
        <w:rPr>
          <w:rFonts w:ascii="Arial" w:hAnsi="Arial" w:cs="Arial"/>
          <w:color w:val="000000"/>
        </w:rPr>
        <w:lastRenderedPageBreak/>
        <w:t>Así las cosas, la Ley 20</w:t>
      </w:r>
      <w:r w:rsidR="00F05C65">
        <w:rPr>
          <w:rFonts w:ascii="Arial" w:hAnsi="Arial" w:cs="Arial"/>
          <w:color w:val="000000"/>
        </w:rPr>
        <w:t>80</w:t>
      </w:r>
      <w:r>
        <w:rPr>
          <w:rFonts w:ascii="Arial" w:hAnsi="Arial" w:cs="Arial"/>
          <w:color w:val="000000"/>
        </w:rPr>
        <w:t xml:space="preserve"> de 2021 modifica varias disposiciones del –</w:t>
      </w:r>
      <w:r w:rsidRPr="007A1515">
        <w:rPr>
          <w:rFonts w:ascii="Arial" w:hAnsi="Arial" w:cs="Arial"/>
          <w:color w:val="000000"/>
        </w:rPr>
        <w:t>CPACA</w:t>
      </w:r>
      <w:r>
        <w:rPr>
          <w:rFonts w:ascii="Arial" w:hAnsi="Arial" w:cs="Arial"/>
          <w:color w:val="000000"/>
        </w:rPr>
        <w:t>–, pero primordialmente referentes al proceso administrativo sancionatorio fiscal</w:t>
      </w:r>
      <w:r w:rsidR="00F05C65">
        <w:rPr>
          <w:rFonts w:ascii="Arial" w:hAnsi="Arial" w:cs="Arial"/>
          <w:color w:val="000000"/>
        </w:rPr>
        <w:t>.</w:t>
      </w:r>
      <w:r>
        <w:rPr>
          <w:rFonts w:ascii="Arial" w:hAnsi="Arial" w:cs="Arial"/>
          <w:color w:val="000000"/>
        </w:rPr>
        <w:t xml:space="preserve"> </w:t>
      </w:r>
      <w:r w:rsidR="00970408">
        <w:rPr>
          <w:rFonts w:ascii="Arial" w:hAnsi="Arial" w:cs="Arial"/>
          <w:color w:val="000000"/>
        </w:rPr>
        <w:t>Sin embargo, respecto a los procedimientos administrativos sancionatorios</w:t>
      </w:r>
      <w:r>
        <w:rPr>
          <w:rFonts w:ascii="Arial" w:hAnsi="Arial" w:cs="Arial"/>
          <w:color w:val="000000"/>
        </w:rPr>
        <w:t xml:space="preserve"> contractual</w:t>
      </w:r>
      <w:r w:rsidR="00970408">
        <w:rPr>
          <w:rFonts w:ascii="Arial" w:hAnsi="Arial" w:cs="Arial"/>
          <w:color w:val="000000"/>
        </w:rPr>
        <w:t>es</w:t>
      </w:r>
      <w:r>
        <w:rPr>
          <w:rFonts w:ascii="Arial" w:hAnsi="Arial" w:cs="Arial"/>
          <w:color w:val="000000"/>
        </w:rPr>
        <w:t xml:space="preserve"> se mantiene incólume </w:t>
      </w:r>
      <w:r w:rsidR="00970408">
        <w:rPr>
          <w:rFonts w:ascii="Arial" w:hAnsi="Arial" w:cs="Arial"/>
          <w:color w:val="000000"/>
        </w:rPr>
        <w:t>la regulación inicial de la Ley 1437 de 2011,</w:t>
      </w:r>
      <w:r>
        <w:rPr>
          <w:rFonts w:ascii="Arial" w:hAnsi="Arial" w:cs="Arial"/>
          <w:color w:val="000000"/>
        </w:rPr>
        <w:t xml:space="preserve"> y con ello la remisión normativa especial</w:t>
      </w:r>
      <w:r w:rsidR="00970408">
        <w:rPr>
          <w:rFonts w:ascii="Arial" w:hAnsi="Arial" w:cs="Arial"/>
          <w:color w:val="000000"/>
        </w:rPr>
        <w:t xml:space="preserve"> que se ha mantenido en el artículo 47</w:t>
      </w:r>
      <w:r>
        <w:rPr>
          <w:rFonts w:ascii="Arial" w:hAnsi="Arial" w:cs="Arial"/>
          <w:color w:val="000000"/>
        </w:rPr>
        <w:t>.</w:t>
      </w:r>
      <w:r w:rsidR="00970408">
        <w:rPr>
          <w:rFonts w:ascii="Arial" w:hAnsi="Arial" w:cs="Arial"/>
          <w:color w:val="000000"/>
        </w:rPr>
        <w:t xml:space="preserve"> Así, </w:t>
      </w:r>
      <w:r w:rsidR="00970408">
        <w:rPr>
          <w:rFonts w:ascii="Arial" w:eastAsia="Calibri" w:hAnsi="Arial" w:cs="Arial"/>
          <w:bCs/>
          <w:lang w:val="es-MX"/>
        </w:rPr>
        <w:t xml:space="preserve">el </w:t>
      </w:r>
      <w:r w:rsidR="00970408" w:rsidRPr="00655624">
        <w:rPr>
          <w:rFonts w:ascii="Arial" w:eastAsia="Calibri" w:hAnsi="Arial" w:cs="Arial"/>
          <w:bCs/>
          <w:lang w:val="es-MX"/>
        </w:rPr>
        <w:t xml:space="preserve">parágrafo </w:t>
      </w:r>
      <w:r w:rsidR="00970408">
        <w:rPr>
          <w:rFonts w:ascii="Arial" w:eastAsia="Calibri" w:hAnsi="Arial" w:cs="Arial"/>
          <w:bCs/>
          <w:lang w:val="es-MX"/>
        </w:rPr>
        <w:t xml:space="preserve">1 </w:t>
      </w:r>
      <w:r w:rsidR="00970408" w:rsidRPr="00655624">
        <w:rPr>
          <w:rFonts w:ascii="Arial" w:eastAsia="Calibri" w:hAnsi="Arial" w:cs="Arial"/>
          <w:bCs/>
          <w:lang w:val="es-MX"/>
        </w:rPr>
        <w:t>del artículo 47 de la Ley 1437 de 2011</w:t>
      </w:r>
      <w:r w:rsidR="00970408">
        <w:rPr>
          <w:rFonts w:ascii="Arial" w:eastAsia="Calibri" w:hAnsi="Arial" w:cs="Arial"/>
          <w:bCs/>
          <w:lang w:val="es-MX"/>
        </w:rPr>
        <w:t>, modificado por el</w:t>
      </w:r>
      <w:r w:rsidR="00970408" w:rsidRPr="00153646">
        <w:rPr>
          <w:rFonts w:ascii="Arial" w:eastAsia="Calibri" w:hAnsi="Arial" w:cs="Arial"/>
          <w:noProof/>
          <w:lang w:val="es-ES_tradnl"/>
        </w:rPr>
        <w:t xml:space="preserve"> </w:t>
      </w:r>
      <w:r w:rsidR="00970408" w:rsidRPr="00153646">
        <w:rPr>
          <w:rFonts w:ascii="Arial" w:eastAsia="Times New Roman" w:hAnsi="Arial" w:cs="Arial"/>
          <w:color w:val="000000"/>
          <w:shd w:val="clear" w:color="auto" w:fill="FFFFFF"/>
          <w:lang w:eastAsia="es-CO"/>
        </w:rPr>
        <w:t xml:space="preserve">artículo 3 de la Ley 2080 de 2021, </w:t>
      </w:r>
      <w:r w:rsidR="00970408">
        <w:rPr>
          <w:rFonts w:ascii="Arial" w:eastAsia="Times New Roman" w:hAnsi="Arial" w:cs="Arial"/>
          <w:color w:val="000000"/>
          <w:shd w:val="clear" w:color="auto" w:fill="FFFFFF"/>
          <w:lang w:eastAsia="es-CO"/>
        </w:rPr>
        <w:t>mantiene</w:t>
      </w:r>
      <w:r w:rsidR="00970408" w:rsidRPr="00153646">
        <w:rPr>
          <w:rFonts w:ascii="Arial" w:eastAsia="Times New Roman" w:hAnsi="Arial" w:cs="Arial"/>
          <w:color w:val="000000"/>
          <w:shd w:val="clear" w:color="auto" w:fill="FFFFFF"/>
          <w:lang w:eastAsia="es-CO"/>
        </w:rPr>
        <w:t xml:space="preserve"> el mismo espíritu de la norma </w:t>
      </w:r>
      <w:r w:rsidR="0053409E">
        <w:rPr>
          <w:rFonts w:ascii="Arial" w:eastAsia="Times New Roman" w:hAnsi="Arial" w:cs="Arial"/>
          <w:color w:val="000000"/>
          <w:shd w:val="clear" w:color="auto" w:fill="FFFFFF"/>
          <w:lang w:eastAsia="es-CO"/>
        </w:rPr>
        <w:t xml:space="preserve">inicial </w:t>
      </w:r>
      <w:r w:rsidR="00970408" w:rsidRPr="00153646">
        <w:rPr>
          <w:rFonts w:ascii="Arial" w:eastAsia="Times New Roman" w:hAnsi="Arial" w:cs="Arial"/>
          <w:color w:val="000000"/>
          <w:shd w:val="clear" w:color="auto" w:fill="FFFFFF"/>
          <w:lang w:eastAsia="es-CO"/>
        </w:rPr>
        <w:t>en lo que respecta a los procedimientos sancionatorios</w:t>
      </w:r>
      <w:r w:rsidR="00970408">
        <w:rPr>
          <w:rFonts w:ascii="Arial" w:eastAsia="Times New Roman" w:hAnsi="Arial" w:cs="Arial"/>
          <w:color w:val="000000"/>
          <w:shd w:val="clear" w:color="auto" w:fill="FFFFFF"/>
          <w:lang w:eastAsia="es-CO"/>
        </w:rPr>
        <w:t xml:space="preserve"> contractuales</w:t>
      </w:r>
      <w:r w:rsidR="00970408" w:rsidRPr="00153646">
        <w:rPr>
          <w:rFonts w:ascii="Arial" w:eastAsia="Times New Roman" w:hAnsi="Arial" w:cs="Arial"/>
          <w:color w:val="000000"/>
          <w:shd w:val="clear" w:color="auto" w:fill="FFFFFF"/>
          <w:lang w:eastAsia="es-CO"/>
        </w:rPr>
        <w:t>, conserva</w:t>
      </w:r>
      <w:r w:rsidR="00970408">
        <w:rPr>
          <w:rFonts w:ascii="Arial" w:eastAsia="Times New Roman" w:hAnsi="Arial" w:cs="Arial"/>
          <w:color w:val="000000"/>
          <w:shd w:val="clear" w:color="auto" w:fill="FFFFFF"/>
          <w:lang w:eastAsia="es-CO"/>
        </w:rPr>
        <w:t>ndo</w:t>
      </w:r>
      <w:r w:rsidR="00970408" w:rsidRPr="00153646">
        <w:rPr>
          <w:rFonts w:ascii="Arial" w:eastAsia="Times New Roman" w:hAnsi="Arial" w:cs="Arial"/>
          <w:color w:val="000000"/>
          <w:shd w:val="clear" w:color="auto" w:fill="FFFFFF"/>
          <w:lang w:eastAsia="es-CO"/>
        </w:rPr>
        <w:t xml:space="preserve"> la remisión a </w:t>
      </w:r>
      <w:r w:rsidR="00970408">
        <w:rPr>
          <w:rFonts w:ascii="Arial" w:eastAsia="Times New Roman" w:hAnsi="Arial" w:cs="Arial"/>
          <w:color w:val="000000"/>
          <w:shd w:val="clear" w:color="auto" w:fill="FFFFFF"/>
          <w:lang w:eastAsia="es-CO"/>
        </w:rPr>
        <w:t xml:space="preserve">las </w:t>
      </w:r>
      <w:r w:rsidR="00970408" w:rsidRPr="00153646">
        <w:rPr>
          <w:rFonts w:ascii="Arial" w:eastAsia="Times New Roman" w:hAnsi="Arial" w:cs="Arial"/>
          <w:color w:val="000000"/>
          <w:shd w:val="clear" w:color="auto" w:fill="FFFFFF"/>
          <w:lang w:eastAsia="es-CO"/>
        </w:rPr>
        <w:t>normas especiales sobre la materia</w:t>
      </w:r>
      <w:r w:rsidR="00970408">
        <w:rPr>
          <w:rFonts w:ascii="Arial" w:eastAsia="Times New Roman" w:hAnsi="Arial" w:cs="Arial"/>
          <w:color w:val="000000"/>
          <w:shd w:val="clear" w:color="auto" w:fill="FFFFFF"/>
          <w:lang w:eastAsia="es-CO"/>
        </w:rPr>
        <w:t>.</w:t>
      </w:r>
    </w:p>
    <w:p w14:paraId="21188EBB" w14:textId="77777777" w:rsidR="00592B91" w:rsidRPr="0088473D" w:rsidRDefault="00592B91" w:rsidP="00592B91">
      <w:pPr>
        <w:tabs>
          <w:tab w:val="left" w:pos="426"/>
        </w:tabs>
        <w:spacing w:after="0"/>
        <w:jc w:val="both"/>
        <w:rPr>
          <w:rFonts w:ascii="Arial" w:eastAsia="Calibri" w:hAnsi="Arial" w:cs="Arial"/>
          <w:noProof/>
          <w:lang w:val="es-ES_tradnl"/>
        </w:rPr>
      </w:pPr>
    </w:p>
    <w:bookmarkEnd w:id="0"/>
    <w:bookmarkEnd w:id="1"/>
    <w:bookmarkEnd w:id="3"/>
    <w:p w14:paraId="46284FB6" w14:textId="77777777" w:rsidR="00592B91" w:rsidRPr="00B50786" w:rsidRDefault="00592B91" w:rsidP="00592B91">
      <w:pPr>
        <w:spacing w:after="0"/>
        <w:jc w:val="both"/>
        <w:rPr>
          <w:rFonts w:ascii="Arial" w:eastAsia="Calibri" w:hAnsi="Arial" w:cs="Arial"/>
          <w:b/>
          <w:bCs/>
          <w:lang w:val="es-MX"/>
        </w:rPr>
      </w:pPr>
      <w:r w:rsidRPr="00153646">
        <w:rPr>
          <w:rFonts w:ascii="Arial" w:eastAsia="Calibri" w:hAnsi="Arial" w:cs="Arial"/>
          <w:b/>
          <w:bCs/>
          <w:lang w:val="es-MX"/>
        </w:rPr>
        <w:t>2.2</w:t>
      </w:r>
      <w:r w:rsidRPr="005F6E3C">
        <w:rPr>
          <w:rFonts w:ascii="Arial" w:eastAsia="Calibri" w:hAnsi="Arial" w:cs="Arial"/>
          <w:b/>
          <w:bCs/>
          <w:lang w:val="es-MX"/>
        </w:rPr>
        <w:t xml:space="preserve"> </w:t>
      </w:r>
      <w:bookmarkStart w:id="4" w:name="_Hlk41479721"/>
      <w:r w:rsidRPr="005F6E3C">
        <w:rPr>
          <w:rFonts w:ascii="Arial" w:eastAsia="Calibri" w:hAnsi="Arial" w:cs="Arial"/>
          <w:b/>
          <w:bCs/>
          <w:lang w:val="es-MX"/>
        </w:rPr>
        <w:t xml:space="preserve">Las potestades excepcionales de las entidades estatales </w:t>
      </w:r>
      <w:r w:rsidRPr="00153646">
        <w:rPr>
          <w:rFonts w:ascii="Arial" w:eastAsia="Calibri" w:hAnsi="Arial" w:cs="Arial"/>
          <w:b/>
          <w:bCs/>
          <w:lang w:val="es-MX"/>
        </w:rPr>
        <w:t>sometidas al</w:t>
      </w:r>
      <w:r w:rsidRPr="005F6E3C">
        <w:rPr>
          <w:rFonts w:ascii="Arial" w:eastAsia="Calibri" w:hAnsi="Arial" w:cs="Arial"/>
          <w:b/>
          <w:bCs/>
          <w:lang w:val="es-MX"/>
        </w:rPr>
        <w:t xml:space="preserve"> Estatuto General de Contratación de la Administración Pública</w:t>
      </w:r>
    </w:p>
    <w:bookmarkEnd w:id="4"/>
    <w:p w14:paraId="1386C04D" w14:textId="77777777" w:rsidR="00592B91" w:rsidRPr="00B50786" w:rsidRDefault="00592B91" w:rsidP="00592B91">
      <w:pPr>
        <w:spacing w:after="0"/>
        <w:jc w:val="both"/>
        <w:rPr>
          <w:rFonts w:ascii="Arial" w:eastAsia="Calibri" w:hAnsi="Arial" w:cs="Arial"/>
          <w:b/>
          <w:bCs/>
          <w:lang w:val="es-MX"/>
        </w:rPr>
      </w:pPr>
    </w:p>
    <w:p w14:paraId="338C12E1" w14:textId="2F9148B5" w:rsidR="00592B91" w:rsidRPr="00B50786" w:rsidRDefault="00592B91" w:rsidP="00592B91">
      <w:pPr>
        <w:spacing w:after="0"/>
        <w:jc w:val="both"/>
        <w:rPr>
          <w:rFonts w:ascii="Arial" w:eastAsia="Calibri" w:hAnsi="Arial" w:cs="Arial"/>
          <w:iCs/>
          <w:lang w:val="es-MX"/>
        </w:rPr>
      </w:pPr>
      <w:r w:rsidRPr="00B50786">
        <w:rPr>
          <w:rFonts w:ascii="Arial" w:eastAsia="Calibri" w:hAnsi="Arial" w:cs="Arial"/>
          <w:iCs/>
          <w:lang w:val="es-MX"/>
        </w:rPr>
        <w:t>Durante la ejecución de los contratos, las entidades estatales</w:t>
      </w:r>
      <w:r>
        <w:rPr>
          <w:rFonts w:ascii="Arial" w:eastAsia="Calibri" w:hAnsi="Arial" w:cs="Arial"/>
          <w:iCs/>
          <w:lang w:val="es-MX"/>
        </w:rPr>
        <w:t xml:space="preserve"> que se rigen por el Estatuto General de Contratación de la Administración Pública</w:t>
      </w:r>
      <w:r w:rsidRPr="00B50786">
        <w:rPr>
          <w:rFonts w:ascii="Arial" w:eastAsia="Calibri" w:hAnsi="Arial" w:cs="Arial"/>
          <w:iCs/>
          <w:lang w:val="es-MX"/>
        </w:rPr>
        <w:t xml:space="preserve"> cuentan con distintas potestades </w:t>
      </w:r>
      <w:r>
        <w:rPr>
          <w:rFonts w:ascii="Arial" w:eastAsia="Calibri" w:hAnsi="Arial" w:cs="Arial"/>
          <w:iCs/>
          <w:lang w:val="es-MX"/>
        </w:rPr>
        <w:t>exorbitantes</w:t>
      </w:r>
      <w:r w:rsidRPr="00B50786">
        <w:rPr>
          <w:rFonts w:ascii="Arial" w:eastAsia="Calibri" w:hAnsi="Arial" w:cs="Arial"/>
          <w:iCs/>
          <w:lang w:val="es-MX"/>
        </w:rPr>
        <w:t xml:space="preserve"> con las cuales ejercen la dirección general del contrato y realizan las actividades propias de vigilancia y control. Entre otras se encuentran: i) las cláusulas excepcionales del artículo 14 de la Ley 80 de 1993, como la terminación unilateral, la interpretación unilateral, la modificación unilateral, la caducidad y la reversión, desarrolladas en los artículos 15 a 19 </w:t>
      </w:r>
      <w:r w:rsidRPr="00B50786">
        <w:rPr>
          <w:rFonts w:ascii="Arial" w:eastAsia="Calibri" w:hAnsi="Arial" w:cs="Arial"/>
          <w:i/>
          <w:lang w:val="es-MX"/>
        </w:rPr>
        <w:t>ibidem</w:t>
      </w:r>
      <w:r w:rsidRPr="00B50786">
        <w:rPr>
          <w:rFonts w:ascii="Arial" w:eastAsia="Calibri" w:hAnsi="Arial" w:cs="Arial"/>
          <w:iCs/>
          <w:lang w:val="es-MX"/>
        </w:rPr>
        <w:t xml:space="preserve">; ii) las previstas en los artículos 11 y 7 de la Ley 1150 de 2007, relacionadas con la liquidación unilateral y la declaratoria unilateral del siniestro; y iii) las dispuestas en el artículo 17 de la Ley 1150 de 2007 respecto a la </w:t>
      </w:r>
      <w:r w:rsidRPr="00B50786">
        <w:rPr>
          <w:rFonts w:ascii="Arial" w:eastAsia="Calibri" w:hAnsi="Arial" w:cs="Arial"/>
          <w:i/>
          <w:lang w:val="es-MX"/>
        </w:rPr>
        <w:t>imposición unilateral</w:t>
      </w:r>
      <w:r w:rsidRPr="00B50786">
        <w:rPr>
          <w:rFonts w:ascii="Arial" w:eastAsia="Calibri" w:hAnsi="Arial" w:cs="Arial"/>
          <w:iCs/>
          <w:lang w:val="es-MX"/>
        </w:rPr>
        <w:t xml:space="preserve"> de las cláusulas penales y de multas, aclarando que su exorbitancia se refiere a su imposición unilateral, especialmente, cuando es posible pactar estas cláusulas en virtud de las normas civiles y comerciales.</w:t>
      </w:r>
    </w:p>
    <w:p w14:paraId="1FBD1177" w14:textId="77777777" w:rsidR="00592B91" w:rsidRPr="00B50786" w:rsidRDefault="00592B91" w:rsidP="00592B91">
      <w:pPr>
        <w:spacing w:before="120" w:after="0"/>
        <w:ind w:firstLine="709"/>
        <w:jc w:val="both"/>
        <w:rPr>
          <w:rFonts w:ascii="Arial" w:eastAsia="Calibri" w:hAnsi="Arial" w:cs="Arial"/>
          <w:iCs/>
          <w:lang w:val="es-MX"/>
        </w:rPr>
      </w:pPr>
      <w:r>
        <w:rPr>
          <w:rFonts w:ascii="Arial" w:eastAsia="Calibri" w:hAnsi="Arial" w:cs="Arial"/>
          <w:iCs/>
          <w:lang w:val="es-MX"/>
        </w:rPr>
        <w:t>L</w:t>
      </w:r>
      <w:r w:rsidRPr="00B50786">
        <w:rPr>
          <w:rFonts w:ascii="Arial" w:eastAsia="Calibri" w:hAnsi="Arial" w:cs="Arial"/>
          <w:iCs/>
          <w:lang w:val="es-MX"/>
        </w:rPr>
        <w:t>a jurisprudencia del Conse</w:t>
      </w:r>
      <w:r>
        <w:rPr>
          <w:rFonts w:ascii="Arial" w:eastAsia="Calibri" w:hAnsi="Arial" w:cs="Arial"/>
          <w:iCs/>
          <w:lang w:val="es-MX"/>
        </w:rPr>
        <w:t>jo de Estado y</w:t>
      </w:r>
      <w:r w:rsidRPr="00B50786">
        <w:rPr>
          <w:rFonts w:ascii="Arial" w:eastAsia="Calibri" w:hAnsi="Arial" w:cs="Arial"/>
          <w:iCs/>
          <w:lang w:val="es-MX"/>
        </w:rPr>
        <w:t xml:space="preserve"> la doctrina</w:t>
      </w:r>
      <w:r>
        <w:rPr>
          <w:rFonts w:ascii="Arial" w:eastAsia="Calibri" w:hAnsi="Arial" w:cs="Arial"/>
          <w:iCs/>
          <w:lang w:val="es-MX"/>
        </w:rPr>
        <w:t xml:space="preserve"> han coincidido en señalar que l</w:t>
      </w:r>
      <w:r w:rsidRPr="00B50786">
        <w:rPr>
          <w:rFonts w:ascii="Arial" w:eastAsia="Calibri" w:hAnsi="Arial" w:cs="Arial"/>
          <w:iCs/>
          <w:lang w:val="es-MX"/>
        </w:rPr>
        <w:t>as cláusulas excepcionales del a</w:t>
      </w:r>
      <w:r>
        <w:rPr>
          <w:rFonts w:ascii="Arial" w:eastAsia="Calibri" w:hAnsi="Arial" w:cs="Arial"/>
          <w:iCs/>
          <w:lang w:val="es-MX"/>
        </w:rPr>
        <w:t xml:space="preserve">rtículo 14 de la Ley 80 de 1993 resultan ser </w:t>
      </w:r>
      <w:r w:rsidRPr="00B50786">
        <w:rPr>
          <w:rFonts w:ascii="Arial" w:eastAsia="Calibri" w:hAnsi="Arial" w:cs="Arial"/>
          <w:iCs/>
          <w:lang w:val="es-MX"/>
        </w:rPr>
        <w:t>estipulaciones de obligatoria inclusión en los contratos de concesión o explotación de bienes del Estado, obra, prestación de servicios públicos y aquellos que tengan por objeto el ejercicio de una actividad que constituya monopolio estatal. En estas tipologías contractuales, sin importar si se incorporaron o no dentro del contrato, se entienden incluidas por el ministerio de la ley.</w:t>
      </w:r>
    </w:p>
    <w:p w14:paraId="3353BFE6" w14:textId="739F0651" w:rsidR="00592B91" w:rsidRPr="00B50786" w:rsidRDefault="00592B91" w:rsidP="00592B91">
      <w:pPr>
        <w:spacing w:before="120" w:after="120"/>
        <w:ind w:firstLine="709"/>
        <w:jc w:val="both"/>
        <w:rPr>
          <w:rFonts w:ascii="Arial" w:eastAsia="Calibri" w:hAnsi="Arial" w:cs="Arial"/>
          <w:iCs/>
          <w:lang w:val="es-MX"/>
        </w:rPr>
      </w:pPr>
      <w:r w:rsidRPr="00B50786">
        <w:rPr>
          <w:rFonts w:ascii="Arial" w:eastAsia="Calibri" w:hAnsi="Arial" w:cs="Arial"/>
          <w:iCs/>
          <w:lang w:val="es-MX"/>
        </w:rPr>
        <w:t>En</w:t>
      </w:r>
      <w:r>
        <w:rPr>
          <w:rFonts w:ascii="Arial" w:eastAsia="Calibri" w:hAnsi="Arial" w:cs="Arial"/>
          <w:iCs/>
          <w:lang w:val="es-MX"/>
        </w:rPr>
        <w:t>tre</w:t>
      </w:r>
      <w:r w:rsidRPr="00B50786">
        <w:rPr>
          <w:rFonts w:ascii="Arial" w:eastAsia="Calibri" w:hAnsi="Arial" w:cs="Arial"/>
          <w:iCs/>
          <w:lang w:val="es-MX"/>
        </w:rPr>
        <w:t xml:space="preserve"> estas cláusulas, </w:t>
      </w:r>
      <w:r>
        <w:rPr>
          <w:rFonts w:ascii="Arial" w:eastAsia="Calibri" w:hAnsi="Arial" w:cs="Arial"/>
          <w:iCs/>
          <w:lang w:val="es-MX"/>
        </w:rPr>
        <w:t xml:space="preserve">la </w:t>
      </w:r>
      <w:r w:rsidRPr="00B50786">
        <w:rPr>
          <w:rFonts w:ascii="Arial" w:eastAsia="Calibri" w:hAnsi="Arial" w:cs="Arial"/>
          <w:iCs/>
          <w:lang w:val="es-MX"/>
        </w:rPr>
        <w:t>caducidad</w:t>
      </w:r>
      <w:r>
        <w:rPr>
          <w:rFonts w:ascii="Arial" w:eastAsia="Calibri" w:hAnsi="Arial" w:cs="Arial"/>
          <w:iCs/>
          <w:lang w:val="es-MX"/>
        </w:rPr>
        <w:t xml:space="preserve"> se erige como</w:t>
      </w:r>
      <w:r w:rsidRPr="00B50786">
        <w:rPr>
          <w:rFonts w:ascii="Arial" w:eastAsia="Calibri" w:hAnsi="Arial" w:cs="Arial"/>
          <w:iCs/>
          <w:lang w:val="es-MX"/>
        </w:rPr>
        <w:t xml:space="preserve"> la sanción más severa en contratación estatal. Particularmente,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w:t>
      </w:r>
      <w:r w:rsidRPr="00B50786">
        <w:rPr>
          <w:rFonts w:ascii="Arial" w:eastAsia="Calibri" w:hAnsi="Arial" w:cs="Arial"/>
          <w:iCs/>
          <w:lang w:val="es-MX"/>
        </w:rPr>
        <w:lastRenderedPageBreak/>
        <w:t>otros medios, señalados en el artículo 18 de la Ley 80 de 1993</w:t>
      </w:r>
      <w:r w:rsidRPr="00B50786">
        <w:rPr>
          <w:rFonts w:ascii="Arial" w:eastAsia="Calibri" w:hAnsi="Arial" w:cs="Arial"/>
          <w:iCs/>
          <w:vertAlign w:val="superscript"/>
          <w:lang w:val="es-MX"/>
        </w:rPr>
        <w:footnoteReference w:id="1"/>
      </w:r>
      <w:r>
        <w:rPr>
          <w:rFonts w:ascii="Arial" w:eastAsia="Calibri" w:hAnsi="Arial" w:cs="Arial"/>
          <w:iCs/>
          <w:lang w:val="es-MX"/>
        </w:rPr>
        <w:t xml:space="preserve">, al respecto, es importante aclarar que </w:t>
      </w:r>
      <w:r>
        <w:rPr>
          <w:rFonts w:ascii="Arial" w:hAnsi="Arial" w:cs="Arial"/>
          <w:iCs/>
          <w:color w:val="000000" w:themeColor="text1"/>
          <w:lang w:val="es-ES_tradnl"/>
        </w:rPr>
        <w:t xml:space="preserve">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CA5639">
        <w:rPr>
          <w:rFonts w:ascii="Arial" w:hAnsi="Arial" w:cs="Arial"/>
          <w:i/>
          <w:color w:val="000000" w:themeColor="text1"/>
          <w:lang w:val="es-ES_tradnl"/>
        </w:rPr>
        <w:t>ipso facto</w:t>
      </w:r>
      <w:r>
        <w:rPr>
          <w:rFonts w:ascii="Arial" w:hAnsi="Arial" w:cs="Arial"/>
          <w:iCs/>
          <w:color w:val="000000" w:themeColor="text1"/>
          <w:lang w:val="es-ES_tradnl"/>
        </w:rPr>
        <w:t>, es decir, sin que se evidencien antecedentes de incumplimientos parciales, el Estatuto General de Contratación de la Administración Pública permite decretar directamente esta cláusula excepcional, respetando el debido proceso.</w:t>
      </w:r>
    </w:p>
    <w:p w14:paraId="2EF5A0D7" w14:textId="77777777" w:rsidR="00592B91" w:rsidRPr="00B50786" w:rsidRDefault="00592B91" w:rsidP="00592B91">
      <w:pPr>
        <w:spacing w:after="0"/>
        <w:ind w:firstLine="708"/>
        <w:jc w:val="both"/>
        <w:rPr>
          <w:rFonts w:ascii="Arial" w:eastAsia="Calibri" w:hAnsi="Arial" w:cs="Arial"/>
          <w:iCs/>
          <w:lang w:val="es-MX"/>
        </w:rPr>
      </w:pPr>
      <w:r w:rsidRPr="00B50786">
        <w:rPr>
          <w:rFonts w:ascii="Arial" w:eastAsia="Calibri" w:hAnsi="Arial" w:cs="Arial"/>
          <w:iCs/>
          <w:lang w:val="es-MX"/>
        </w:rPr>
        <w:t>Las consecuencias jurídicas que se generan con la caducidad son: i) terminación del contrato, ii) iniciación del trámite de liquidación, iii) inhabilidad sobreviniente por cinco años, iv) efectividad de la garantía única de cumplimiento, y v) reporte al SECOP, Procuraduría General de la Nación y a la Cámara de Comercio donde el contratista esté inscrito con el propósito de incluir la anotación en el Registro Único de Proponentes.</w:t>
      </w:r>
    </w:p>
    <w:p w14:paraId="20281A1F" w14:textId="77777777" w:rsidR="00592B91" w:rsidRPr="00B50786" w:rsidRDefault="00592B91" w:rsidP="00592B91">
      <w:pPr>
        <w:spacing w:before="120" w:after="0"/>
        <w:ind w:firstLine="709"/>
        <w:jc w:val="both"/>
        <w:rPr>
          <w:rFonts w:ascii="Arial" w:eastAsia="Calibri" w:hAnsi="Arial" w:cs="Arial"/>
          <w:iCs/>
          <w:lang w:val="es-MX"/>
        </w:rPr>
      </w:pPr>
      <w:r w:rsidRPr="00B50786">
        <w:rPr>
          <w:rFonts w:ascii="Arial" w:eastAsia="Calibri" w:hAnsi="Arial" w:cs="Arial"/>
          <w:iCs/>
          <w:lang w:val="es-MX"/>
        </w:rPr>
        <w:t>El último grupo de potestades excepcionales –</w:t>
      </w:r>
      <w:r w:rsidRPr="00B50786">
        <w:rPr>
          <w:rFonts w:ascii="Arial" w:eastAsia="Calibri" w:hAnsi="Arial" w:cs="Arial"/>
          <w:i/>
          <w:lang w:val="es-MX"/>
        </w:rPr>
        <w:t>imposición unilateral</w:t>
      </w:r>
      <w:r w:rsidRPr="00B50786">
        <w:rPr>
          <w:rFonts w:ascii="Arial" w:eastAsia="Calibri" w:hAnsi="Arial" w:cs="Arial"/>
          <w:iCs/>
          <w:lang w:val="es-MX"/>
        </w:rPr>
        <w:t xml:space="preserve">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de hacer efectiva la cláusula penal, es indispensable que uno u otro caso se hayan pactado en el contrato</w:t>
      </w:r>
      <w:r w:rsidRPr="00B50786">
        <w:rPr>
          <w:rFonts w:ascii="Arial" w:eastAsia="Calibri" w:hAnsi="Arial" w:cs="Arial"/>
          <w:vertAlign w:val="superscript"/>
          <w:lang w:val="es-MX"/>
        </w:rPr>
        <w:footnoteReference w:id="2"/>
      </w:r>
      <w:r w:rsidRPr="00B50786">
        <w:rPr>
          <w:rFonts w:ascii="Arial" w:eastAsia="Calibri" w:hAnsi="Arial" w:cs="Arial"/>
          <w:iCs/>
          <w:lang w:val="es-MX"/>
        </w:rPr>
        <w:t xml:space="preserve">. No obstante, una vez incluidas, las entidades estatales sometidas al Estatuto General de Contratación de la Administración Pública pueden imponerlas unilateralmente. </w:t>
      </w:r>
    </w:p>
    <w:p w14:paraId="3D7ECBB6" w14:textId="77777777" w:rsidR="00592B91" w:rsidRPr="00B50786" w:rsidRDefault="00592B91" w:rsidP="00592B91">
      <w:pPr>
        <w:spacing w:before="120" w:after="120"/>
        <w:ind w:firstLine="709"/>
        <w:jc w:val="both"/>
        <w:rPr>
          <w:rFonts w:ascii="Arial" w:eastAsia="Calibri" w:hAnsi="Arial" w:cs="Arial"/>
          <w:iCs/>
          <w:sz w:val="21"/>
          <w:szCs w:val="21"/>
          <w:lang w:val="es-MX"/>
        </w:rPr>
      </w:pPr>
      <w:r w:rsidRPr="00B50786">
        <w:rPr>
          <w:rFonts w:ascii="Arial" w:eastAsia="Calibri" w:hAnsi="Arial" w:cs="Arial"/>
          <w:iCs/>
          <w:lang w:val="es-MX"/>
        </w:rPr>
        <w:t xml:space="preserve">Tratándose de las multas, en cumplimiento del principio de tipicidad, las partes deben determinar pormenorizadamente las acciones u omisiones objeto de sanción y el monto de la sanción a imponer, el cual, en todo caso, debe atender los criterios de proporcionalidad y razonabilidad. </w:t>
      </w:r>
    </w:p>
    <w:p w14:paraId="4459E4A7" w14:textId="77777777" w:rsidR="00592B91" w:rsidRPr="00B50786" w:rsidRDefault="00592B91" w:rsidP="00592B91">
      <w:pPr>
        <w:spacing w:after="0"/>
        <w:ind w:firstLine="709"/>
        <w:jc w:val="both"/>
        <w:rPr>
          <w:rFonts w:ascii="Arial" w:eastAsia="Calibri" w:hAnsi="Arial" w:cs="Arial"/>
          <w:iCs/>
          <w:lang w:val="es-MX"/>
        </w:rPr>
      </w:pPr>
      <w:r w:rsidRPr="00B50786">
        <w:rPr>
          <w:rFonts w:ascii="Arial" w:eastAsia="Calibri" w:hAnsi="Arial" w:cs="Arial"/>
          <w:iCs/>
          <w:lang w:val="es-MX"/>
        </w:rPr>
        <w:t xml:space="preserve">De igual forma, en la sentencia del 23 de junio de 2010, expediente 16.367, la Sección Tercera del Consejo de Estado indicó que «el núcleo mínimo de este derecho exige que una norma –legal o contractual– contemple la falta y la sanción. Si ni siquiera lo hace el contrato, la administración no puede imponer sanciones, so pena de violar el debido proceso». Así mismo, frente al tema </w:t>
      </w:r>
      <w:r w:rsidRPr="00B50786">
        <w:rPr>
          <w:rFonts w:ascii="Arial" w:eastAsia="Calibri" w:hAnsi="Arial" w:cs="Arial"/>
          <w:i/>
          <w:lang w:val="es-MX"/>
        </w:rPr>
        <w:t xml:space="preserve">sub examine, </w:t>
      </w:r>
      <w:r w:rsidRPr="00B50786">
        <w:rPr>
          <w:rFonts w:ascii="Arial" w:eastAsia="Calibri" w:hAnsi="Arial" w:cs="Arial"/>
          <w:iCs/>
          <w:lang w:val="es-MX"/>
        </w:rPr>
        <w:t xml:space="preserve">el máximo Tribunal de lo </w:t>
      </w:r>
      <w:r w:rsidRPr="00B50786">
        <w:rPr>
          <w:rFonts w:ascii="Arial" w:eastAsia="Calibri" w:hAnsi="Arial" w:cs="Arial"/>
          <w:iCs/>
          <w:lang w:val="es-MX"/>
        </w:rPr>
        <w:lastRenderedPageBreak/>
        <w:t>Contencioso Administrativo, en sentencia del 13 de noviembre de 2008</w:t>
      </w:r>
      <w:r w:rsidRPr="00B50786">
        <w:rPr>
          <w:rFonts w:ascii="Arial" w:eastAsia="Calibri" w:hAnsi="Arial" w:cs="Arial"/>
          <w:iCs/>
          <w:vertAlign w:val="superscript"/>
          <w:lang w:val="es-MX"/>
        </w:rPr>
        <w:footnoteReference w:id="3"/>
      </w:r>
      <w:r w:rsidRPr="00B50786">
        <w:rPr>
          <w:rFonts w:ascii="Arial" w:eastAsia="Calibri" w:hAnsi="Arial" w:cs="Arial"/>
          <w:iCs/>
          <w:lang w:val="es-MX"/>
        </w:rPr>
        <w:t xml:space="preserve">, indicó </w:t>
      </w:r>
      <w:r w:rsidRPr="00B50786">
        <w:rPr>
          <w:rFonts w:ascii="Arial" w:eastAsia="Calibri" w:hAnsi="Arial" w:cs="Arial"/>
          <w:i/>
          <w:lang w:val="es-MX"/>
        </w:rPr>
        <w:t xml:space="preserve">in extenso </w:t>
      </w:r>
      <w:r w:rsidRPr="00B50786">
        <w:rPr>
          <w:rFonts w:ascii="Arial" w:eastAsia="Calibri" w:hAnsi="Arial" w:cs="Arial"/>
          <w:iCs/>
          <w:lang w:val="es-MX"/>
        </w:rPr>
        <w:t>lo siguiente:</w:t>
      </w:r>
    </w:p>
    <w:p w14:paraId="47A5A4D9" w14:textId="77777777" w:rsidR="00592B91" w:rsidRPr="00B50786" w:rsidRDefault="00592B91" w:rsidP="00592B91">
      <w:pPr>
        <w:spacing w:after="0"/>
        <w:ind w:left="720" w:right="-425"/>
        <w:contextualSpacing/>
        <w:jc w:val="both"/>
        <w:rPr>
          <w:rFonts w:ascii="Arial" w:eastAsia="Calibri" w:hAnsi="Arial" w:cs="Arial"/>
          <w:iCs/>
          <w:lang w:val="es-MX"/>
        </w:rPr>
      </w:pPr>
    </w:p>
    <w:p w14:paraId="38B1EBEE" w14:textId="77777777" w:rsidR="00592B91" w:rsidRPr="00B50786" w:rsidRDefault="00592B91" w:rsidP="00592B91">
      <w:pPr>
        <w:spacing w:after="0" w:line="240" w:lineRule="auto"/>
        <w:ind w:left="709" w:right="709"/>
        <w:contextualSpacing/>
        <w:jc w:val="both"/>
        <w:rPr>
          <w:rFonts w:ascii="Arial" w:eastAsia="Calibri" w:hAnsi="Arial" w:cs="Arial"/>
          <w:iCs/>
          <w:sz w:val="21"/>
          <w:szCs w:val="21"/>
          <w:lang w:val="es-MX"/>
        </w:rPr>
      </w:pPr>
      <w:r w:rsidRPr="00B50786">
        <w:rPr>
          <w:rFonts w:ascii="Arial" w:eastAsia="Calibri" w:hAnsi="Arial" w:cs="Arial"/>
          <w:iCs/>
          <w:sz w:val="21"/>
          <w:szCs w:val="21"/>
          <w:lang w:val="es-MX"/>
        </w:rPr>
        <w:t>La otra, la débil, donde se enmarcan la mayoría de las sanciones contractuales, hace relación a que lo determinante no es que una Ley sea quien contemple las faltas y las sanciones, sino que sea una norma –por ejemplo, un reglamento- quien en forma previa y clara las estipule. A este grupo pertenecen buena parte de las sanciones administrativas, como las educativas, las cuales no están consagradas en una ley expedida por el legislador o por el ejecutivo al amparo de facultades extraordinarias, sino en simples reglamentos administrativos internos.</w:t>
      </w:r>
    </w:p>
    <w:p w14:paraId="1CB4CDCC" w14:textId="77777777" w:rsidR="00592B91" w:rsidRPr="00B50786" w:rsidRDefault="00592B91" w:rsidP="00592B91">
      <w:pPr>
        <w:spacing w:after="0" w:line="240" w:lineRule="auto"/>
        <w:ind w:left="709" w:right="709"/>
        <w:contextualSpacing/>
        <w:jc w:val="both"/>
        <w:rPr>
          <w:rFonts w:ascii="Arial" w:eastAsia="Calibri" w:hAnsi="Arial" w:cs="Arial"/>
          <w:iCs/>
          <w:sz w:val="21"/>
          <w:szCs w:val="21"/>
          <w:lang w:val="es-MX"/>
        </w:rPr>
      </w:pPr>
      <w:r w:rsidRPr="00B50786">
        <w:rPr>
          <w:rFonts w:ascii="Arial" w:eastAsia="Calibri" w:hAnsi="Arial" w:cs="Arial"/>
          <w:iCs/>
          <w:sz w:val="21"/>
          <w:szCs w:val="21"/>
          <w:lang w:val="es-MX"/>
        </w:rPr>
        <w:t xml:space="preserve"> </w:t>
      </w:r>
    </w:p>
    <w:p w14:paraId="5F47D7C2" w14:textId="77777777" w:rsidR="00592B91" w:rsidRPr="00B50786" w:rsidRDefault="00592B91" w:rsidP="00592B91">
      <w:pPr>
        <w:spacing w:after="0" w:line="240" w:lineRule="auto"/>
        <w:ind w:left="709" w:right="709"/>
        <w:contextualSpacing/>
        <w:jc w:val="both"/>
        <w:rPr>
          <w:rFonts w:ascii="Arial" w:eastAsia="Calibri" w:hAnsi="Arial" w:cs="Arial"/>
          <w:iCs/>
          <w:sz w:val="21"/>
          <w:szCs w:val="21"/>
          <w:lang w:val="es-MX"/>
        </w:rPr>
      </w:pPr>
      <w:r w:rsidRPr="00B50786">
        <w:rPr>
          <w:rFonts w:ascii="Arial" w:eastAsia="Calibri" w:hAnsi="Arial" w:cs="Arial"/>
          <w:iCs/>
          <w:sz w:val="21"/>
          <w:szCs w:val="21"/>
          <w:lang w:val="es-MX"/>
        </w:rPr>
        <w:t>Algunas de las sanciones contractuales podrían enmarcarse en esta clasificación, pues es claro que la ley –bien la que expide el Congreso o bien los decretos con fuerza de ley– no las contempla de manera directa –salvo excepciones–. Tal es el caso de las multas y de la cláusula penal pecuniaria, que están autorizadas por la ley, pero no previstas en ella, sino en cada contrato, en caso de que las partes las pacten.</w:t>
      </w:r>
    </w:p>
    <w:p w14:paraId="622D26B5" w14:textId="77777777" w:rsidR="00592B91" w:rsidRPr="00B50786" w:rsidRDefault="00592B91" w:rsidP="00592B91">
      <w:pPr>
        <w:spacing w:after="0" w:line="240" w:lineRule="auto"/>
        <w:ind w:left="709" w:right="709"/>
        <w:contextualSpacing/>
        <w:jc w:val="both"/>
        <w:rPr>
          <w:rFonts w:ascii="Arial" w:eastAsia="Calibri" w:hAnsi="Arial" w:cs="Arial"/>
          <w:iCs/>
          <w:sz w:val="21"/>
          <w:szCs w:val="21"/>
          <w:lang w:val="es-MX"/>
        </w:rPr>
      </w:pPr>
    </w:p>
    <w:p w14:paraId="7932E9E8" w14:textId="77777777" w:rsidR="00592B91" w:rsidRPr="005F6E3C" w:rsidRDefault="00592B91" w:rsidP="00592B91">
      <w:pPr>
        <w:spacing w:after="0" w:line="240" w:lineRule="auto"/>
        <w:ind w:left="709" w:right="709"/>
        <w:contextualSpacing/>
        <w:jc w:val="both"/>
        <w:rPr>
          <w:rFonts w:ascii="Arial" w:eastAsia="Calibri" w:hAnsi="Arial" w:cs="Arial"/>
          <w:iCs/>
          <w:sz w:val="21"/>
          <w:szCs w:val="21"/>
          <w:lang w:val="es-MX"/>
        </w:rPr>
      </w:pPr>
      <w:r w:rsidRPr="005F6E3C">
        <w:rPr>
          <w:rFonts w:ascii="Arial" w:eastAsia="Calibri" w:hAnsi="Arial" w:cs="Arial"/>
          <w:iCs/>
          <w:sz w:val="21"/>
          <w:szCs w:val="21"/>
          <w:lang w:val="es-MX"/>
        </w:rPr>
        <w:t>Obsérvese cómo el «principio de legalidad» –es decir, la predeterminación de las conductas en la Ley–, en materia contractual se reduce a la simple «tipicidad» de la conducta –es decir, a la descripción y especificación normativa del comportamiento prohibido–, pues lo determinante no es que la Ley contemple la falta y la sanción, sino que estén previamente definidas en cualquier norma, sin que importe que sea o no una ley quien lo haga.</w:t>
      </w:r>
    </w:p>
    <w:p w14:paraId="314468A9" w14:textId="77777777" w:rsidR="00592B91" w:rsidRPr="005F6E3C" w:rsidRDefault="00592B91" w:rsidP="00592B91">
      <w:pPr>
        <w:spacing w:after="0" w:line="240" w:lineRule="auto"/>
        <w:ind w:left="709" w:right="709"/>
        <w:contextualSpacing/>
        <w:jc w:val="both"/>
        <w:rPr>
          <w:rFonts w:ascii="Arial" w:eastAsia="Calibri" w:hAnsi="Arial" w:cs="Arial"/>
          <w:iCs/>
          <w:sz w:val="21"/>
          <w:szCs w:val="21"/>
          <w:lang w:val="es-MX"/>
        </w:rPr>
      </w:pPr>
    </w:p>
    <w:p w14:paraId="286FED25" w14:textId="77777777" w:rsidR="00592B91" w:rsidRPr="005F6E3C" w:rsidRDefault="00592B91" w:rsidP="00592B91">
      <w:pPr>
        <w:spacing w:after="0" w:line="240" w:lineRule="auto"/>
        <w:ind w:left="709" w:right="709"/>
        <w:contextualSpacing/>
        <w:jc w:val="both"/>
        <w:rPr>
          <w:rFonts w:ascii="Arial" w:eastAsia="Calibri" w:hAnsi="Arial" w:cs="Arial"/>
          <w:iCs/>
          <w:sz w:val="21"/>
          <w:szCs w:val="21"/>
          <w:lang w:val="es-MX"/>
        </w:rPr>
      </w:pPr>
      <w:r w:rsidRPr="005F6E3C">
        <w:rPr>
          <w:rFonts w:ascii="Arial" w:eastAsia="Calibri" w:hAnsi="Arial" w:cs="Arial"/>
          <w:iCs/>
          <w:sz w:val="21"/>
          <w:szCs w:val="21"/>
          <w:lang w:val="es-MX"/>
        </w:rPr>
        <w:t>Por tanto, en materia contractual opera una especie de combinación entre el principio de legalidad y el de la autonomía de la voluntad: el primero exige que las conductas reprochables entre las partes del contrato se contemplen previamente, con su correspondiente sanción, y el segundo permite que sean las partes –no la ley; pero autorizadas por ella– quienes definan esas conductas y la sanción. Se trata, no cabe duda, de un supuesto de ius puniendi sui generis al que regula el art. 29 CP., en lo que respecta, por lo menos, a la legalidad.</w:t>
      </w:r>
    </w:p>
    <w:p w14:paraId="68E95E6F" w14:textId="77777777" w:rsidR="00592B91" w:rsidRPr="005F6E3C" w:rsidRDefault="00592B91" w:rsidP="00592B91">
      <w:pPr>
        <w:spacing w:after="0"/>
        <w:ind w:left="720" w:right="-425"/>
        <w:contextualSpacing/>
        <w:jc w:val="both"/>
        <w:rPr>
          <w:rFonts w:ascii="Arial" w:eastAsia="Calibri" w:hAnsi="Arial" w:cs="Arial"/>
          <w:iCs/>
          <w:lang w:val="es-MX"/>
        </w:rPr>
      </w:pPr>
    </w:p>
    <w:p w14:paraId="5BD8B8CA" w14:textId="77777777" w:rsidR="00592B91" w:rsidRPr="005F6E3C" w:rsidRDefault="00592B91" w:rsidP="00592B91">
      <w:pPr>
        <w:spacing w:after="0"/>
        <w:ind w:firstLine="708"/>
        <w:jc w:val="both"/>
        <w:rPr>
          <w:rFonts w:ascii="Arial" w:eastAsia="Calibri" w:hAnsi="Arial" w:cs="Arial"/>
          <w:iCs/>
          <w:lang w:val="es-MX"/>
        </w:rPr>
      </w:pPr>
      <w:r w:rsidRPr="005F6E3C">
        <w:rPr>
          <w:rFonts w:ascii="Arial" w:eastAsia="Calibri" w:hAnsi="Arial" w:cs="Arial"/>
          <w:iCs/>
          <w:lang w:val="es-MX"/>
        </w:rPr>
        <w:t>De otro lado, la Corte Constitucional</w:t>
      </w:r>
      <w:r w:rsidRPr="005F6E3C">
        <w:rPr>
          <w:rFonts w:ascii="Arial" w:eastAsia="Calibri" w:hAnsi="Arial" w:cs="Arial"/>
          <w:iCs/>
          <w:vertAlign w:val="superscript"/>
          <w:lang w:val="es-MX"/>
        </w:rPr>
        <w:footnoteReference w:id="4"/>
      </w:r>
      <w:r w:rsidRPr="005F6E3C">
        <w:rPr>
          <w:rFonts w:ascii="Arial" w:eastAsia="Calibri" w:hAnsi="Arial" w:cs="Arial"/>
          <w:iCs/>
          <w:lang w:val="es-MX"/>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24360FE0" w14:textId="77777777" w:rsidR="00592B91" w:rsidRPr="00153646" w:rsidRDefault="00592B91" w:rsidP="00592B91">
      <w:pPr>
        <w:spacing w:before="120" w:after="0"/>
        <w:ind w:firstLine="709"/>
        <w:jc w:val="both"/>
        <w:rPr>
          <w:rFonts w:ascii="Arial" w:eastAsia="Calibri" w:hAnsi="Arial" w:cs="Arial"/>
          <w:iCs/>
          <w:lang w:val="es-MX"/>
        </w:rPr>
      </w:pPr>
      <w:r w:rsidRPr="005F6E3C">
        <w:rPr>
          <w:rFonts w:ascii="Arial" w:eastAsia="Calibri" w:hAnsi="Arial" w:cs="Arial"/>
          <w:iCs/>
          <w:lang w:val="es-MX"/>
        </w:rPr>
        <w:lastRenderedPageBreak/>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5F6E3C">
        <w:rPr>
          <w:rFonts w:ascii="Arial" w:eastAsia="Calibri" w:hAnsi="Arial" w:cs="Arial"/>
          <w:vertAlign w:val="superscript"/>
          <w:lang w:val="es-MX"/>
        </w:rPr>
        <w:footnoteReference w:id="5"/>
      </w:r>
      <w:r w:rsidRPr="005F6E3C">
        <w:rPr>
          <w:rFonts w:ascii="Arial" w:eastAsia="Calibri" w:hAnsi="Arial" w:cs="Arial"/>
          <w:iCs/>
          <w:lang w:val="es-MX"/>
        </w:rPr>
        <w:t>, en relación con las diferencias entre las multas y la cláusula penal, esto es: «[a]unque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490BCCD5" w14:textId="77777777" w:rsidR="00592B91" w:rsidRPr="00153646" w:rsidRDefault="00592B91" w:rsidP="00592B91">
      <w:pPr>
        <w:spacing w:after="0"/>
        <w:jc w:val="both"/>
        <w:rPr>
          <w:rFonts w:ascii="Arial" w:eastAsia="Calibri" w:hAnsi="Arial" w:cs="Arial"/>
          <w:iCs/>
          <w:lang w:val="es-MX"/>
        </w:rPr>
      </w:pPr>
    </w:p>
    <w:p w14:paraId="64BDD3A7" w14:textId="07CC4E40" w:rsidR="00592B91" w:rsidRDefault="00592B91" w:rsidP="00592B91">
      <w:pPr>
        <w:spacing w:after="0"/>
        <w:jc w:val="both"/>
        <w:rPr>
          <w:rFonts w:ascii="Arial" w:eastAsia="Calibri" w:hAnsi="Arial" w:cs="Arial"/>
          <w:b/>
          <w:bCs/>
          <w:iCs/>
          <w:lang w:val="es-ES_tradnl"/>
        </w:rPr>
      </w:pPr>
      <w:r w:rsidRPr="00153646">
        <w:rPr>
          <w:rFonts w:ascii="Arial" w:eastAsia="Calibri" w:hAnsi="Arial" w:cs="Arial"/>
          <w:b/>
          <w:bCs/>
          <w:iCs/>
          <w:lang w:val="es-ES_tradnl"/>
        </w:rPr>
        <w:t>2.</w:t>
      </w:r>
      <w:r>
        <w:rPr>
          <w:rFonts w:ascii="Arial" w:eastAsia="Calibri" w:hAnsi="Arial" w:cs="Arial"/>
          <w:b/>
          <w:bCs/>
          <w:iCs/>
          <w:lang w:val="es-ES_tradnl"/>
        </w:rPr>
        <w:t>3</w:t>
      </w:r>
      <w:r w:rsidRPr="00153646">
        <w:rPr>
          <w:rFonts w:ascii="Arial" w:eastAsia="Calibri" w:hAnsi="Arial" w:cs="Arial"/>
          <w:b/>
          <w:bCs/>
          <w:iCs/>
          <w:lang w:val="es-ES_tradnl"/>
        </w:rPr>
        <w:t xml:space="preserve"> </w:t>
      </w:r>
      <w:r>
        <w:rPr>
          <w:rFonts w:ascii="Arial" w:eastAsia="Calibri" w:hAnsi="Arial" w:cs="Arial"/>
          <w:b/>
          <w:bCs/>
          <w:iCs/>
          <w:lang w:val="es-ES_tradnl"/>
        </w:rPr>
        <w:t>Norma especial que consagra el p</w:t>
      </w:r>
      <w:r w:rsidRPr="00153646">
        <w:rPr>
          <w:rFonts w:ascii="Arial" w:eastAsia="Calibri" w:hAnsi="Arial" w:cs="Arial"/>
          <w:b/>
          <w:bCs/>
          <w:iCs/>
          <w:lang w:val="es-ES_tradnl"/>
        </w:rPr>
        <w:t xml:space="preserve">rocedimiento administrativo </w:t>
      </w:r>
      <w:r>
        <w:rPr>
          <w:rFonts w:ascii="Arial" w:eastAsia="Calibri" w:hAnsi="Arial" w:cs="Arial"/>
          <w:b/>
          <w:bCs/>
          <w:iCs/>
          <w:lang w:val="es-ES_tradnl"/>
        </w:rPr>
        <w:t>sancionatorio contractual</w:t>
      </w:r>
    </w:p>
    <w:p w14:paraId="43E29975" w14:textId="77777777" w:rsidR="00F05C65" w:rsidRPr="00153646" w:rsidRDefault="00F05C65" w:rsidP="00592B91">
      <w:pPr>
        <w:spacing w:after="0"/>
        <w:jc w:val="both"/>
        <w:rPr>
          <w:rFonts w:ascii="Arial" w:eastAsia="Calibri" w:hAnsi="Arial" w:cs="Arial"/>
          <w:b/>
          <w:bCs/>
          <w:iCs/>
          <w:lang w:val="es-ES_tradnl"/>
        </w:rPr>
      </w:pPr>
    </w:p>
    <w:p w14:paraId="616DAA6C" w14:textId="77777777" w:rsidR="00592B91" w:rsidRPr="00E363A1" w:rsidRDefault="00592B91" w:rsidP="00B1661D">
      <w:pPr>
        <w:spacing w:after="0"/>
        <w:jc w:val="both"/>
        <w:rPr>
          <w:rFonts w:ascii="Arial" w:eastAsia="Calibri" w:hAnsi="Arial" w:cs="Arial"/>
          <w:iCs/>
          <w:lang w:val="es-ES_tradnl"/>
        </w:rPr>
      </w:pPr>
      <w:r w:rsidRPr="00D90DF9">
        <w:rPr>
          <w:rFonts w:ascii="Arial" w:eastAsia="Calibri" w:hAnsi="Arial" w:cs="Arial"/>
          <w:iCs/>
          <w:lang w:val="es-ES_tradnl"/>
        </w:rPr>
        <w:t xml:space="preserve">El artículo 86 de la Ley 1474 de 2011 establece </w:t>
      </w:r>
      <w:r>
        <w:rPr>
          <w:rFonts w:ascii="Arial" w:eastAsia="Calibri" w:hAnsi="Arial" w:cs="Arial"/>
          <w:iCs/>
          <w:lang w:val="es-ES_tradnl"/>
        </w:rPr>
        <w:t xml:space="preserve">en forma concreta </w:t>
      </w:r>
      <w:r w:rsidRPr="00D90DF9">
        <w:rPr>
          <w:rFonts w:ascii="Arial" w:eastAsia="Calibri" w:hAnsi="Arial" w:cs="Arial"/>
          <w:iCs/>
          <w:lang w:val="es-ES_tradnl"/>
        </w:rPr>
        <w:t>las reglas de procedimiento</w:t>
      </w:r>
      <w:r w:rsidRPr="00EE3FF6">
        <w:rPr>
          <w:rFonts w:ascii="Arial" w:eastAsia="Calibri" w:hAnsi="Arial" w:cs="Arial"/>
          <w:iCs/>
          <w:lang w:val="es-ES_tradnl"/>
        </w:rPr>
        <w:t xml:space="preserve"> </w:t>
      </w:r>
      <w:r w:rsidRPr="00D90DF9">
        <w:rPr>
          <w:rFonts w:ascii="Arial" w:eastAsia="Calibri" w:hAnsi="Arial" w:cs="Arial"/>
          <w:iCs/>
          <w:lang w:val="es-ES_tradnl"/>
        </w:rPr>
        <w:t xml:space="preserve">en materia sancionatoria contractual, mediante las cuales se materializan los derechos y garantías derivadas del debido proceso. De conformidad con esta disposición normativa, las «entidades sometidas al Estatuto General de Contratación de la Administración Pública podrán declarar el incumplimiento […]. Para tal efecto observarán […]» el procedimiento que en </w:t>
      </w:r>
      <w:r w:rsidRPr="00E363A1">
        <w:rPr>
          <w:rFonts w:ascii="Arial" w:eastAsia="Calibri" w:hAnsi="Arial" w:cs="Arial"/>
          <w:iCs/>
          <w:lang w:val="es-ES_tradnl"/>
        </w:rPr>
        <w:t xml:space="preserve">tal enunciado normativo se regula.  </w:t>
      </w:r>
    </w:p>
    <w:p w14:paraId="472FDBA2" w14:textId="36C244F7" w:rsidR="00592B91" w:rsidRPr="00E363A1" w:rsidRDefault="00592B91" w:rsidP="00592B91">
      <w:pPr>
        <w:spacing w:before="120" w:after="0"/>
        <w:ind w:firstLine="709"/>
        <w:jc w:val="both"/>
        <w:rPr>
          <w:rFonts w:ascii="Arial" w:eastAsia="Calibri" w:hAnsi="Arial" w:cs="Arial"/>
          <w:iCs/>
          <w:lang w:val="es-ES_tradnl"/>
        </w:rPr>
      </w:pPr>
      <w:r w:rsidRPr="00E363A1">
        <w:rPr>
          <w:rFonts w:ascii="Arial" w:eastAsia="Calibri" w:hAnsi="Arial" w:cs="Arial"/>
          <w:iCs/>
          <w:lang w:val="es-ES_tradnl"/>
        </w:rPr>
        <w:t xml:space="preserve">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Lo anterior, como consecuencia del «principio general de interpretación jurídica según el cual donde la norma no distingue, no le corresponde distinguir al intérprete». A la misma conclusión se llega si se tiene en consideración la necesidad de respetar el debido proceso en «todas las actuaciones administrativas» como lo ordena el artículo 29 superior. </w:t>
      </w:r>
    </w:p>
    <w:p w14:paraId="1209ACFF" w14:textId="55DC952A" w:rsidR="00592B91" w:rsidRPr="00D90DF9" w:rsidRDefault="00592B91" w:rsidP="00592B91">
      <w:pPr>
        <w:spacing w:before="120" w:after="0"/>
        <w:ind w:firstLine="709"/>
        <w:jc w:val="both"/>
        <w:rPr>
          <w:rFonts w:ascii="Arial" w:eastAsia="Calibri" w:hAnsi="Arial" w:cs="Arial"/>
          <w:iCs/>
          <w:lang w:val="es-ES_tradnl"/>
        </w:rPr>
      </w:pPr>
      <w:r w:rsidRPr="00E363A1">
        <w:rPr>
          <w:rFonts w:ascii="Arial" w:eastAsia="Calibri" w:hAnsi="Arial" w:cs="Arial"/>
          <w:iCs/>
          <w:lang w:val="es-ES_tradnl"/>
        </w:rPr>
        <w:t>El artículo 86 de la Ley 1474 de 2011 establece las etapas del procedimiento que se deben seguir, las cuales se sintetizan así: i) citación a audiencia</w:t>
      </w:r>
      <w:r w:rsidRPr="00D90DF9">
        <w:rPr>
          <w:rFonts w:ascii="Arial" w:eastAsia="Calibri" w:hAnsi="Arial" w:cs="Arial"/>
          <w:iCs/>
          <w:lang w:val="es-ES_tradnl"/>
        </w:rPr>
        <w:t xml:space="preserve">. Es </w:t>
      </w:r>
      <w:r>
        <w:rPr>
          <w:rFonts w:ascii="Arial" w:eastAsia="Calibri" w:hAnsi="Arial" w:cs="Arial"/>
          <w:iCs/>
          <w:lang w:val="es-ES_tradnl"/>
        </w:rPr>
        <w:t>obligatorio</w:t>
      </w:r>
      <w:r w:rsidR="000B04D3">
        <w:rPr>
          <w:rFonts w:ascii="Arial" w:eastAsia="Calibri" w:hAnsi="Arial" w:cs="Arial"/>
          <w:iCs/>
          <w:lang w:val="es-ES_tradnl"/>
        </w:rPr>
        <w:t xml:space="preserve"> el</w:t>
      </w:r>
      <w:r>
        <w:rPr>
          <w:rFonts w:ascii="Arial" w:eastAsia="Calibri" w:hAnsi="Arial" w:cs="Arial"/>
          <w:iCs/>
          <w:lang w:val="es-ES_tradnl"/>
        </w:rPr>
        <w:t xml:space="preserve"> envío </w:t>
      </w:r>
      <w:r w:rsidRPr="00D90DF9">
        <w:rPr>
          <w:rFonts w:ascii="Arial" w:eastAsia="Calibri" w:hAnsi="Arial" w:cs="Arial"/>
          <w:iCs/>
          <w:lang w:val="es-ES_tradnl"/>
        </w:rPr>
        <w:t>al contratista y al garante –cu</w:t>
      </w:r>
      <w:r>
        <w:rPr>
          <w:rFonts w:ascii="Arial" w:eastAsia="Calibri" w:hAnsi="Arial" w:cs="Arial"/>
          <w:iCs/>
          <w:lang w:val="es-ES_tradnl"/>
        </w:rPr>
        <w:t>ando proceda–, su contenido se precia en la norma y se expondrá más adelante</w:t>
      </w:r>
      <w:r w:rsidRPr="00D90DF9">
        <w:rPr>
          <w:rFonts w:ascii="Arial" w:eastAsia="Calibri" w:hAnsi="Arial" w:cs="Arial"/>
          <w:iCs/>
          <w:lang w:val="es-ES_tradnl"/>
        </w:rPr>
        <w:t xml:space="preserve">. ii) Audiencia. En la diligencia intervendrá el jefe de la entidad o su delegado y, posteriormente, se le concederá el uso de la palabra al representante legal del contratista o a quien lo represente, así como al garante, en caso de ser necesario, para que estos presenten sus descargos, aporten y controviertan pruebas y </w:t>
      </w:r>
      <w:r w:rsidRPr="00D90DF9">
        <w:rPr>
          <w:rFonts w:ascii="Arial" w:eastAsia="Calibri" w:hAnsi="Arial" w:cs="Arial"/>
          <w:iCs/>
          <w:lang w:val="es-ES_tradnl"/>
        </w:rPr>
        <w:lastRenderedPageBreak/>
        <w:t xml:space="preserve">rindan las explicaciones del caso. Finalmente, iii) Decisión. Debe estar contenida en </w:t>
      </w:r>
      <w:r>
        <w:rPr>
          <w:rFonts w:ascii="Arial" w:eastAsia="Calibri" w:hAnsi="Arial" w:cs="Arial"/>
          <w:iCs/>
          <w:lang w:val="es-ES_tradnl"/>
        </w:rPr>
        <w:t xml:space="preserve">una </w:t>
      </w:r>
      <w:r w:rsidRPr="00D90DF9">
        <w:rPr>
          <w:rFonts w:ascii="Arial" w:eastAsia="Calibri" w:hAnsi="Arial" w:cs="Arial"/>
          <w:iCs/>
          <w:lang w:val="es-ES_tradnl"/>
        </w:rPr>
        <w:t>resolución motivada donde se consigne</w:t>
      </w:r>
      <w:r>
        <w:rPr>
          <w:rFonts w:ascii="Arial" w:eastAsia="Calibri" w:hAnsi="Arial" w:cs="Arial"/>
          <w:iCs/>
          <w:lang w:val="es-ES_tradnl"/>
        </w:rPr>
        <w:t xml:space="preserve"> </w:t>
      </w:r>
      <w:r w:rsidRPr="00D90DF9">
        <w:rPr>
          <w:rFonts w:ascii="Arial" w:eastAsia="Calibri" w:hAnsi="Arial" w:cs="Arial"/>
          <w:iCs/>
          <w:lang w:val="es-ES_tradnl"/>
        </w:rPr>
        <w:t>lo ocurrido en e</w:t>
      </w:r>
      <w:r>
        <w:rPr>
          <w:rFonts w:ascii="Arial" w:eastAsia="Calibri" w:hAnsi="Arial" w:cs="Arial"/>
          <w:iCs/>
          <w:lang w:val="es-ES_tradnl"/>
        </w:rPr>
        <w:t>l desarrollo de la diligencia y</w:t>
      </w:r>
      <w:r w:rsidRPr="00D90DF9">
        <w:rPr>
          <w:rFonts w:ascii="Arial" w:eastAsia="Calibri" w:hAnsi="Arial" w:cs="Arial"/>
          <w:iCs/>
          <w:lang w:val="es-ES_tradnl"/>
        </w:rPr>
        <w:t xml:space="preserve"> lo relativo a la imposición o no de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183E6FA2" w14:textId="3A9D7D42" w:rsidR="00592B91" w:rsidRDefault="00592B91" w:rsidP="00592B91">
      <w:pPr>
        <w:spacing w:before="120" w:after="0"/>
        <w:ind w:firstLine="709"/>
        <w:jc w:val="both"/>
        <w:rPr>
          <w:rFonts w:ascii="Arial" w:eastAsia="Calibri" w:hAnsi="Arial" w:cs="Arial"/>
          <w:iCs/>
          <w:lang w:val="es-ES_tradnl"/>
        </w:rPr>
      </w:pPr>
      <w:r w:rsidRPr="00D90DF9">
        <w:rPr>
          <w:rFonts w:ascii="Arial" w:eastAsia="Calibri" w:hAnsi="Arial" w:cs="Arial"/>
          <w:iCs/>
          <w:lang w:val="es-ES_tradnl"/>
        </w:rPr>
        <w:t>Como precisión previa, vale la pena aclarar que el artículo 86 de la Ley 1474 de 2011 regula un procedimiento administrativo sancionatorio dirigido a sujetos específicos: las entidades sometidas al Estatuto General de Contratación de la Administración Pública. De ahí que las entidades de régimen especial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 La norma indicada desarrolla el procedimiento de la siguiente manera:</w:t>
      </w:r>
    </w:p>
    <w:p w14:paraId="2E4D47C9" w14:textId="77777777" w:rsidR="00592B91" w:rsidRPr="00D90DF9" w:rsidRDefault="00592B91" w:rsidP="00592B91">
      <w:pPr>
        <w:spacing w:after="0"/>
        <w:ind w:firstLine="709"/>
        <w:jc w:val="both"/>
        <w:rPr>
          <w:rFonts w:ascii="Arial" w:eastAsia="Calibri" w:hAnsi="Arial" w:cs="Arial"/>
          <w:iCs/>
          <w:lang w:val="es-ES_tradnl"/>
        </w:rPr>
      </w:pPr>
    </w:p>
    <w:p w14:paraId="65C7AAC1" w14:textId="77777777" w:rsidR="00592B91" w:rsidRPr="00153646" w:rsidRDefault="00592B91" w:rsidP="00592B91">
      <w:pPr>
        <w:spacing w:after="0" w:line="240" w:lineRule="auto"/>
        <w:ind w:left="709" w:right="709"/>
        <w:jc w:val="both"/>
        <w:rPr>
          <w:rFonts w:ascii="Arial" w:eastAsia="Calibri" w:hAnsi="Arial" w:cs="Arial"/>
          <w:iCs/>
          <w:sz w:val="21"/>
          <w:szCs w:val="21"/>
          <w:lang w:val="es-ES_tradnl"/>
        </w:rPr>
      </w:pPr>
      <w:r w:rsidRPr="00153646">
        <w:rPr>
          <w:rFonts w:ascii="Arial" w:eastAsia="Calibri" w:hAnsi="Arial" w:cs="Arial"/>
          <w:iCs/>
          <w:sz w:val="21"/>
          <w:szCs w:val="21"/>
          <w:lang w:val="es-ES_tradnl"/>
        </w:rPr>
        <w:t>Artículo 86. Imposición de multas, sanciones y declaratorias de incumplimiento.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37EEABEB" w14:textId="77777777" w:rsidR="00592B91" w:rsidRPr="00153646" w:rsidRDefault="00592B91" w:rsidP="00592B91">
      <w:pPr>
        <w:spacing w:after="0" w:line="240" w:lineRule="auto"/>
        <w:ind w:left="709" w:right="709"/>
        <w:jc w:val="both"/>
        <w:rPr>
          <w:rFonts w:ascii="Arial" w:eastAsia="Calibri" w:hAnsi="Arial" w:cs="Arial"/>
          <w:iCs/>
          <w:sz w:val="21"/>
          <w:szCs w:val="21"/>
          <w:lang w:val="es-ES_tradnl"/>
        </w:rPr>
      </w:pPr>
      <w:r w:rsidRPr="00153646">
        <w:rPr>
          <w:rFonts w:ascii="Arial" w:eastAsia="Calibri" w:hAnsi="Arial" w:cs="Arial"/>
          <w:iCs/>
          <w:sz w:val="21"/>
          <w:szCs w:val="21"/>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5A462F3C" w14:textId="77777777" w:rsidR="00592B91" w:rsidRPr="00153646" w:rsidRDefault="00592B91" w:rsidP="00592B91">
      <w:pPr>
        <w:spacing w:after="0" w:line="240" w:lineRule="auto"/>
        <w:ind w:left="709" w:right="709"/>
        <w:jc w:val="both"/>
        <w:rPr>
          <w:rFonts w:ascii="Arial" w:eastAsia="Calibri" w:hAnsi="Arial" w:cs="Arial"/>
          <w:iCs/>
          <w:sz w:val="21"/>
          <w:szCs w:val="21"/>
          <w:lang w:val="es-ES_tradnl"/>
        </w:rPr>
      </w:pPr>
    </w:p>
    <w:p w14:paraId="518EFAF8" w14:textId="77777777" w:rsidR="00592B91" w:rsidRPr="00153646" w:rsidRDefault="00592B91" w:rsidP="00592B91">
      <w:pPr>
        <w:spacing w:after="0" w:line="240" w:lineRule="auto"/>
        <w:ind w:left="709" w:right="709"/>
        <w:jc w:val="both"/>
        <w:rPr>
          <w:rFonts w:ascii="Arial" w:eastAsia="Calibri" w:hAnsi="Arial" w:cs="Arial"/>
          <w:iCs/>
          <w:sz w:val="21"/>
          <w:szCs w:val="21"/>
          <w:lang w:val="es-ES_tradnl"/>
        </w:rPr>
      </w:pPr>
      <w:r w:rsidRPr="00153646">
        <w:rPr>
          <w:rFonts w:ascii="Arial" w:eastAsia="Calibri" w:hAnsi="Arial" w:cs="Arial"/>
          <w:iCs/>
          <w:sz w:val="21"/>
          <w:szCs w:val="21"/>
          <w:lang w:val="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753EE4B1" w14:textId="77777777" w:rsidR="00592B91" w:rsidRPr="00153646" w:rsidRDefault="00592B91" w:rsidP="00592B91">
      <w:pPr>
        <w:spacing w:after="0" w:line="240" w:lineRule="auto"/>
        <w:ind w:left="709" w:right="709"/>
        <w:jc w:val="both"/>
        <w:rPr>
          <w:rFonts w:ascii="Arial" w:eastAsia="Calibri" w:hAnsi="Arial" w:cs="Arial"/>
          <w:iCs/>
          <w:sz w:val="21"/>
          <w:szCs w:val="21"/>
          <w:lang w:val="es-ES_tradnl"/>
        </w:rPr>
      </w:pPr>
    </w:p>
    <w:p w14:paraId="08D84A06" w14:textId="77777777" w:rsidR="00592B91" w:rsidRPr="00153646" w:rsidRDefault="00592B91" w:rsidP="00592B91">
      <w:pPr>
        <w:spacing w:after="0" w:line="240" w:lineRule="auto"/>
        <w:ind w:left="709" w:right="709"/>
        <w:jc w:val="both"/>
        <w:rPr>
          <w:rFonts w:ascii="Arial" w:eastAsia="Calibri" w:hAnsi="Arial" w:cs="Arial"/>
          <w:iCs/>
          <w:sz w:val="21"/>
          <w:szCs w:val="21"/>
          <w:lang w:val="es-ES_tradnl"/>
        </w:rPr>
      </w:pPr>
      <w:r w:rsidRPr="00153646">
        <w:rPr>
          <w:rFonts w:ascii="Arial" w:eastAsia="Calibri" w:hAnsi="Arial" w:cs="Arial"/>
          <w:iCs/>
          <w:sz w:val="21"/>
          <w:szCs w:val="21"/>
          <w:lang w:val="es-ES_tradnl"/>
        </w:rPr>
        <w:lastRenderedPageBreak/>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6C9C750F" w14:textId="77777777" w:rsidR="00592B91" w:rsidRPr="00153646" w:rsidRDefault="00592B91" w:rsidP="00592B91">
      <w:pPr>
        <w:spacing w:after="0" w:line="240" w:lineRule="auto"/>
        <w:ind w:left="709" w:right="709"/>
        <w:jc w:val="both"/>
        <w:rPr>
          <w:rFonts w:ascii="Arial" w:eastAsia="Calibri" w:hAnsi="Arial" w:cs="Arial"/>
          <w:iCs/>
          <w:sz w:val="21"/>
          <w:szCs w:val="21"/>
          <w:lang w:val="es-ES_tradnl"/>
        </w:rPr>
      </w:pPr>
    </w:p>
    <w:p w14:paraId="4943B915" w14:textId="77777777" w:rsidR="00592B91" w:rsidRPr="00153646" w:rsidRDefault="00592B91" w:rsidP="00592B91">
      <w:pPr>
        <w:spacing w:after="0" w:line="240" w:lineRule="auto"/>
        <w:ind w:left="709" w:right="709"/>
        <w:jc w:val="both"/>
        <w:rPr>
          <w:rFonts w:ascii="Arial" w:eastAsia="Calibri" w:hAnsi="Arial" w:cs="Arial"/>
          <w:iCs/>
          <w:sz w:val="21"/>
          <w:szCs w:val="21"/>
          <w:lang w:val="es-ES_tradnl"/>
        </w:rPr>
      </w:pPr>
      <w:r w:rsidRPr="00153646">
        <w:rPr>
          <w:rFonts w:ascii="Arial" w:eastAsia="Calibri" w:hAnsi="Arial" w:cs="Arial"/>
          <w:iCs/>
          <w:sz w:val="21"/>
          <w:szCs w:val="21"/>
          <w:lang w:val="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4620458D" w14:textId="77777777" w:rsidR="00592B91" w:rsidRDefault="00592B91" w:rsidP="00592B91">
      <w:pPr>
        <w:spacing w:before="120" w:after="0"/>
        <w:ind w:firstLine="709"/>
        <w:jc w:val="both"/>
        <w:rPr>
          <w:rFonts w:ascii="Arial" w:eastAsia="Calibri" w:hAnsi="Arial" w:cs="Arial"/>
          <w:iCs/>
          <w:lang w:val="es-ES_tradnl"/>
        </w:rPr>
      </w:pPr>
      <w:r w:rsidRPr="00D90DF9">
        <w:rPr>
          <w:rFonts w:ascii="Arial" w:eastAsia="Calibri" w:hAnsi="Arial" w:cs="Arial"/>
          <w:iCs/>
          <w:lang w:val="es-ES_tradnl"/>
        </w:rPr>
        <w:t>Como se observa, la citación a la audiencia debe cumplir mínimamente los siguientes aspectos: i) señalar los hechos que soportan la actuación, en particular la descripción detallada de cuáles son las actuaciones u omisiones del contratista que materializan el supuesto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w:t>
      </w:r>
      <w:r>
        <w:rPr>
          <w:rFonts w:ascii="Arial" w:eastAsia="Calibri" w:hAnsi="Arial" w:cs="Arial"/>
          <w:iCs/>
          <w:lang w:val="es-MX"/>
        </w:rPr>
        <w:t xml:space="preserve"> e</w:t>
      </w:r>
      <w:r w:rsidRPr="00444FFF">
        <w:rPr>
          <w:rFonts w:ascii="Arial" w:eastAsia="Calibri" w:hAnsi="Arial" w:cs="Arial"/>
          <w:iCs/>
          <w:lang w:val="es-MX"/>
        </w:rPr>
        <w:t>sta facultad, en palabras de la Corte Constitucional, «[…] está reglada y se ejerce conforme a un procedimiento administrativo, del que debe darse cuenta en un acto administrativo motivado, de tal suerte que la cuantificación de los perjuicios no obedece a la mera discrecionalidad de la entidad estatal, ni es fruto de su capricho […]»</w:t>
      </w:r>
      <w:r w:rsidRPr="00444FFF">
        <w:rPr>
          <w:rFonts w:ascii="Arial" w:eastAsia="Calibri" w:hAnsi="Arial" w:cs="Arial"/>
          <w:iCs/>
          <w:vertAlign w:val="superscript"/>
          <w:lang w:val="es-MX"/>
        </w:rPr>
        <w:footnoteReference w:id="6"/>
      </w:r>
      <w:r>
        <w:rPr>
          <w:rFonts w:ascii="Arial" w:eastAsia="Calibri" w:hAnsi="Arial" w:cs="Arial"/>
          <w:iCs/>
          <w:lang w:val="es-MX"/>
        </w:rPr>
        <w:t>,</w:t>
      </w:r>
      <w:r w:rsidRPr="00D90DF9">
        <w:rPr>
          <w:rFonts w:ascii="Arial" w:eastAsia="Calibri" w:hAnsi="Arial" w:cs="Arial"/>
          <w:iCs/>
          <w:lang w:val="es-ES_tradnl"/>
        </w:rPr>
        <w:t xml:space="preserve"> y, finalmente, vii) deben indicar el lugar, fecha y hora para la realización de la audiencia, sin perjuicio de que esta se pueda efectuar por medios electrónicos.</w:t>
      </w:r>
    </w:p>
    <w:p w14:paraId="5F1913C7" w14:textId="6161469A" w:rsidR="00592B91" w:rsidRDefault="00592B91" w:rsidP="00592B91">
      <w:pPr>
        <w:spacing w:before="120" w:after="0"/>
        <w:ind w:firstLine="709"/>
        <w:jc w:val="both"/>
        <w:rPr>
          <w:rFonts w:ascii="Arial" w:eastAsia="Calibri" w:hAnsi="Arial" w:cs="Arial"/>
          <w:iCs/>
          <w:lang w:val="es-ES_tradnl"/>
        </w:rPr>
      </w:pPr>
      <w:r>
        <w:rPr>
          <w:rFonts w:ascii="Arial" w:eastAsia="Calibri" w:hAnsi="Arial" w:cs="Arial"/>
          <w:iCs/>
          <w:lang w:val="es-ES_tradnl"/>
        </w:rPr>
        <w:t xml:space="preserve">En suma, el proceso pormenorizado previsto en el artículo 86 de la Ley 1474 de 2011 es el que impera actualmente en materia sancionatoria contractual y bajo el cual las entidades sometidas al Estatuto General de la Contratación Pública deberán desarrollar </w:t>
      </w:r>
      <w:r>
        <w:rPr>
          <w:rFonts w:ascii="Arial" w:eastAsia="Calibri" w:hAnsi="Arial" w:cs="Arial"/>
          <w:iCs/>
          <w:lang w:val="es-ES_tradnl"/>
        </w:rPr>
        <w:lastRenderedPageBreak/>
        <w:t>las actuaciones con miras a la declaratoria de incumplimiento e imposición de multas y sanciones en ejercicio de su deber de vigilancia y control de los contratos estatales</w:t>
      </w:r>
      <w:r w:rsidR="00F05C65">
        <w:rPr>
          <w:rFonts w:ascii="Arial" w:eastAsia="Calibri" w:hAnsi="Arial" w:cs="Arial"/>
          <w:iCs/>
          <w:lang w:val="es-ES_tradnl"/>
        </w:rPr>
        <w:t>.</w:t>
      </w:r>
      <w:r>
        <w:rPr>
          <w:rFonts w:ascii="Arial" w:eastAsia="Calibri" w:hAnsi="Arial" w:cs="Arial"/>
          <w:iCs/>
          <w:lang w:val="es-ES_tradnl"/>
        </w:rPr>
        <w:t xml:space="preserve"> </w:t>
      </w:r>
      <w:r w:rsidR="00F05C65">
        <w:rPr>
          <w:rFonts w:ascii="Arial" w:eastAsia="Calibri" w:hAnsi="Arial" w:cs="Arial"/>
          <w:iCs/>
          <w:lang w:val="es-ES_tradnl"/>
        </w:rPr>
        <w:t>E</w:t>
      </w:r>
      <w:r>
        <w:rPr>
          <w:rFonts w:ascii="Arial" w:eastAsia="Calibri" w:hAnsi="Arial" w:cs="Arial"/>
          <w:iCs/>
          <w:lang w:val="es-ES_tradnl"/>
        </w:rPr>
        <w:t>n el mismo sentido, el Consejo de Estado conceptuó sobre el tema, señalando lo siguiente:</w:t>
      </w:r>
    </w:p>
    <w:p w14:paraId="6018A62A" w14:textId="77777777" w:rsidR="00592B91" w:rsidRPr="00D90DF9" w:rsidRDefault="00592B91" w:rsidP="00592B91">
      <w:pPr>
        <w:spacing w:before="120" w:after="0"/>
        <w:ind w:firstLine="709"/>
        <w:jc w:val="both"/>
        <w:rPr>
          <w:rFonts w:ascii="Arial" w:eastAsia="Calibri" w:hAnsi="Arial" w:cs="Arial"/>
          <w:iCs/>
          <w:lang w:val="es-ES_tradnl"/>
        </w:rPr>
      </w:pPr>
      <w:r>
        <w:t>[…]</w:t>
      </w:r>
    </w:p>
    <w:p w14:paraId="2CAB702D" w14:textId="6BDE7CAD" w:rsidR="00592B91" w:rsidRDefault="00592B91" w:rsidP="00592B91">
      <w:pPr>
        <w:spacing w:after="0" w:line="240" w:lineRule="auto"/>
        <w:ind w:left="709" w:right="709"/>
        <w:jc w:val="both"/>
        <w:rPr>
          <w:rFonts w:ascii="Arial" w:hAnsi="Arial" w:cs="Arial"/>
          <w:sz w:val="21"/>
          <w:szCs w:val="21"/>
        </w:rPr>
      </w:pPr>
      <w:r w:rsidRPr="00153646">
        <w:rPr>
          <w:rFonts w:ascii="Arial" w:hAnsi="Arial" w:cs="Arial"/>
          <w:sz w:val="21"/>
          <w:szCs w:val="21"/>
        </w:rPr>
        <w:t>Como puede verse, la norma reitera la competencia de las entidades estatales de imponer unilateralmente, mediante acto administrativo, las multas pactadas en el contrato, previa la celebración de una audiencia en la cual se inicia y agota todo el procedimiento para la ejecutoria de la sanción o la terminación del mismo, si ha cesado el incumplimiento. En esta audiencia, el contratista podrá ejercer su derecho de defensa y contradicción, para lo cual puede aportar o solicitar pruebas</w:t>
      </w:r>
      <w:r w:rsidRPr="00153646">
        <w:rPr>
          <w:rStyle w:val="Refdenotaalpie"/>
          <w:rFonts w:ascii="Arial" w:hAnsi="Arial" w:cs="Arial"/>
          <w:sz w:val="21"/>
          <w:szCs w:val="21"/>
        </w:rPr>
        <w:footnoteReference w:id="7"/>
      </w:r>
      <w:r w:rsidRPr="00153646">
        <w:rPr>
          <w:rFonts w:ascii="Arial" w:hAnsi="Arial" w:cs="Arial"/>
          <w:sz w:val="21"/>
          <w:szCs w:val="21"/>
        </w:rPr>
        <w:t xml:space="preserve">. Una vez se ejerza ese derecho, la entidad adoptará la decisión sobre la imposición de la multa mediante resolución motivada y se sustentará y decidirá el recurso de reposición que presenten los afectados. Lo dispuesto en el artículo 86 de la ley 1474 podría entenderse como el desarrollo más depurado y concreto del derecho al debido proceso en materia de la adopción de medidas sancionatorias de carácter contractual, recogiendo los avances jurisprudenciales y doctrinales que se dieron desde la expedición de la ley 1150 de 2007. En </w:t>
      </w:r>
      <w:r w:rsidR="00713968" w:rsidRPr="00153646">
        <w:rPr>
          <w:rFonts w:ascii="Arial" w:hAnsi="Arial" w:cs="Arial"/>
          <w:sz w:val="21"/>
          <w:szCs w:val="21"/>
        </w:rPr>
        <w:t>consecuencia,</w:t>
      </w:r>
      <w:r w:rsidRPr="00153646">
        <w:rPr>
          <w:rFonts w:ascii="Arial" w:hAnsi="Arial" w:cs="Arial"/>
          <w:sz w:val="21"/>
          <w:szCs w:val="21"/>
        </w:rPr>
        <w:t xml:space="preserve"> es el artículo 86 de la ley 1474 de 2011 la norma que actualmente regula la materia, en concordancia con lo dispuesto en el artículo 17 de la ley 1150 de 2007</w:t>
      </w:r>
      <w:r w:rsidRPr="00153646">
        <w:rPr>
          <w:rStyle w:val="Refdenotaalpie"/>
          <w:rFonts w:ascii="Arial" w:hAnsi="Arial" w:cs="Arial"/>
          <w:sz w:val="21"/>
          <w:szCs w:val="21"/>
        </w:rPr>
        <w:footnoteReference w:id="8"/>
      </w:r>
      <w:r w:rsidR="00F05C65">
        <w:rPr>
          <w:rFonts w:ascii="Arial" w:hAnsi="Arial" w:cs="Arial"/>
          <w:sz w:val="21"/>
          <w:szCs w:val="21"/>
        </w:rPr>
        <w:t>.</w:t>
      </w:r>
    </w:p>
    <w:p w14:paraId="47FB3CCC" w14:textId="77777777" w:rsidR="00592B91" w:rsidRPr="00153646" w:rsidRDefault="00592B91" w:rsidP="00592B91">
      <w:pPr>
        <w:spacing w:after="0" w:line="240" w:lineRule="auto"/>
        <w:ind w:left="709" w:right="709"/>
        <w:jc w:val="both"/>
        <w:rPr>
          <w:rFonts w:ascii="Arial" w:hAnsi="Arial" w:cs="Arial"/>
          <w:sz w:val="21"/>
          <w:szCs w:val="21"/>
        </w:rPr>
      </w:pPr>
    </w:p>
    <w:p w14:paraId="0C583EC5" w14:textId="6BEB0828" w:rsidR="00592B91" w:rsidRDefault="00592B91" w:rsidP="00592B91">
      <w:pPr>
        <w:spacing w:after="0"/>
        <w:ind w:firstLine="709"/>
        <w:jc w:val="both"/>
        <w:rPr>
          <w:rFonts w:ascii="Arial" w:eastAsia="Calibri" w:hAnsi="Arial" w:cs="Arial"/>
          <w:iCs/>
          <w:lang w:val="es-ES_tradnl"/>
        </w:rPr>
      </w:pPr>
      <w:r w:rsidRPr="00D90DF9">
        <w:rPr>
          <w:rFonts w:ascii="Arial" w:eastAsia="Calibri" w:hAnsi="Arial" w:cs="Arial"/>
          <w:iCs/>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el garante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00F05C65">
        <w:rPr>
          <w:rStyle w:val="Refdenotaalpie"/>
          <w:rFonts w:ascii="Arial" w:eastAsia="Calibri" w:hAnsi="Arial" w:cs="Arial"/>
          <w:color w:val="000000" w:themeColor="text1"/>
          <w:lang w:val="es-ES_tradnl"/>
        </w:rPr>
        <w:footnoteReference w:id="9"/>
      </w:r>
      <w:r w:rsidR="00F05C65">
        <w:rPr>
          <w:rFonts w:ascii="Arial" w:eastAsia="Calibri" w:hAnsi="Arial" w:cs="Arial"/>
          <w:iCs/>
          <w:lang w:val="es-ES_tradnl"/>
        </w:rPr>
        <w:t>.</w:t>
      </w:r>
    </w:p>
    <w:p w14:paraId="306CCB2F" w14:textId="77777777" w:rsidR="00592B91" w:rsidRDefault="00592B91" w:rsidP="00592B91">
      <w:pPr>
        <w:spacing w:after="0"/>
        <w:ind w:firstLine="709"/>
        <w:jc w:val="both"/>
        <w:rPr>
          <w:rFonts w:ascii="Arial" w:eastAsia="Calibri" w:hAnsi="Arial" w:cs="Arial"/>
          <w:iCs/>
          <w:lang w:val="es-ES_tradnl"/>
        </w:rPr>
      </w:pPr>
    </w:p>
    <w:p w14:paraId="58BB85B7" w14:textId="3BD5AB1C" w:rsidR="00592B91" w:rsidRDefault="00592B91" w:rsidP="00592B91">
      <w:pPr>
        <w:tabs>
          <w:tab w:val="left" w:pos="426"/>
        </w:tabs>
        <w:spacing w:after="0"/>
        <w:jc w:val="both"/>
        <w:rPr>
          <w:rFonts w:ascii="Arial" w:eastAsia="Calibri" w:hAnsi="Arial" w:cs="Arial"/>
          <w:b/>
          <w:bCs/>
          <w:noProof/>
          <w:lang w:val="es-ES_tradnl"/>
        </w:rPr>
      </w:pPr>
      <w:r w:rsidRPr="0088473D">
        <w:rPr>
          <w:rFonts w:ascii="Arial" w:eastAsia="Calibri" w:hAnsi="Arial" w:cs="Arial"/>
          <w:b/>
          <w:bCs/>
          <w:noProof/>
          <w:lang w:val="es-ES_tradnl"/>
        </w:rPr>
        <w:t>2.</w:t>
      </w:r>
      <w:r>
        <w:rPr>
          <w:rFonts w:ascii="Arial" w:eastAsia="Calibri" w:hAnsi="Arial" w:cs="Arial"/>
          <w:b/>
          <w:bCs/>
          <w:noProof/>
          <w:lang w:val="es-ES_tradnl"/>
        </w:rPr>
        <w:t xml:space="preserve">4 </w:t>
      </w:r>
      <w:r w:rsidRPr="0088473D">
        <w:rPr>
          <w:rFonts w:ascii="Arial" w:eastAsia="Calibri" w:hAnsi="Arial" w:cs="Arial"/>
          <w:b/>
          <w:bCs/>
          <w:noProof/>
          <w:lang w:val="es-ES_tradnl"/>
        </w:rPr>
        <w:t xml:space="preserve"> </w:t>
      </w:r>
      <w:r w:rsidR="00B86FDB">
        <w:rPr>
          <w:rFonts w:ascii="Arial" w:eastAsia="Calibri" w:hAnsi="Arial" w:cs="Arial"/>
          <w:b/>
          <w:bCs/>
          <w:noProof/>
          <w:lang w:val="es-ES_tradnl"/>
        </w:rPr>
        <w:t>La p</w:t>
      </w:r>
      <w:r>
        <w:rPr>
          <w:rFonts w:ascii="Arial" w:eastAsia="Calibri" w:hAnsi="Arial" w:cs="Arial"/>
          <w:b/>
          <w:bCs/>
          <w:noProof/>
          <w:lang w:val="es-ES_tradnl"/>
        </w:rPr>
        <w:t>revalencia de la norma especial no excluye la aplicación de principios y normas suplementarias</w:t>
      </w:r>
    </w:p>
    <w:p w14:paraId="2D05ADCD" w14:textId="77777777" w:rsidR="00592B91" w:rsidRDefault="00592B91" w:rsidP="00592B91">
      <w:pPr>
        <w:tabs>
          <w:tab w:val="left" w:pos="426"/>
        </w:tabs>
        <w:spacing w:after="0"/>
        <w:jc w:val="both"/>
        <w:rPr>
          <w:rFonts w:ascii="Arial" w:eastAsia="Calibri" w:hAnsi="Arial" w:cs="Arial"/>
          <w:b/>
          <w:bCs/>
          <w:noProof/>
          <w:lang w:val="es-ES_tradnl"/>
        </w:rPr>
      </w:pPr>
    </w:p>
    <w:p w14:paraId="0AA1FD76" w14:textId="082E024A" w:rsidR="00592B91" w:rsidRDefault="00592B91" w:rsidP="00BF2E79">
      <w:pPr>
        <w:tabs>
          <w:tab w:val="left" w:pos="426"/>
        </w:tabs>
        <w:spacing w:after="120"/>
        <w:jc w:val="both"/>
        <w:rPr>
          <w:rFonts w:ascii="Arial" w:eastAsia="Calibri" w:hAnsi="Arial" w:cs="Arial"/>
          <w:bCs/>
          <w:noProof/>
        </w:rPr>
      </w:pPr>
      <w:r w:rsidRPr="00127EB3">
        <w:rPr>
          <w:rFonts w:ascii="Arial" w:eastAsia="Calibri" w:hAnsi="Arial" w:cs="Arial"/>
          <w:bCs/>
          <w:noProof/>
        </w:rPr>
        <w:t>El desarrollo del procedimiento establecido en el artículo 86 de la Ley 1474 de 2011 supone la aplicación previa y concomitante de un marco normativo del cual no puede ser ajeno, pese a la especialidad de la precitada norma.</w:t>
      </w:r>
      <w:r w:rsidR="00465014">
        <w:rPr>
          <w:rFonts w:ascii="Arial" w:eastAsia="Calibri" w:hAnsi="Arial" w:cs="Arial"/>
          <w:bCs/>
          <w:noProof/>
        </w:rPr>
        <w:t xml:space="preserve"> </w:t>
      </w:r>
      <w:r w:rsidR="00465014">
        <w:rPr>
          <w:rFonts w:ascii="Arial" w:eastAsia="Calibri" w:hAnsi="Arial" w:cs="Arial"/>
          <w:bCs/>
          <w:noProof/>
          <w:lang w:val="es-ES_tradnl"/>
        </w:rPr>
        <w:t>En este sentido, p</w:t>
      </w:r>
      <w:r w:rsidRPr="00127EB3">
        <w:rPr>
          <w:rFonts w:ascii="Arial" w:eastAsia="Calibri" w:hAnsi="Arial" w:cs="Arial"/>
          <w:bCs/>
          <w:noProof/>
          <w:lang w:val="es-ES_tradnl"/>
        </w:rPr>
        <w:t>or regla general, los contratos estatales deben contar con garantía</w:t>
      </w:r>
      <w:r w:rsidR="00465014">
        <w:rPr>
          <w:rFonts w:ascii="Arial" w:eastAsia="Calibri" w:hAnsi="Arial" w:cs="Arial"/>
          <w:bCs/>
          <w:noProof/>
          <w:lang w:val="es-ES_tradnl"/>
        </w:rPr>
        <w:t>s</w:t>
      </w:r>
      <w:r w:rsidRPr="00127EB3">
        <w:rPr>
          <w:rFonts w:ascii="Arial" w:eastAsia="Calibri" w:hAnsi="Arial" w:cs="Arial"/>
          <w:bCs/>
          <w:noProof/>
          <w:lang w:val="es-ES_tradnl"/>
        </w:rPr>
        <w:t>. Por ello, el artículo 7 de la Ley 1150 de 2007 dispone que los contratistas tienen la obligación de constituirla para el cumplimiento de las obligaciones surgidas del contrato, pudiendo consistir en pólizas expedidas por compañías aseguradoras, garantías bancarias u otros mecanismos permitidos por la ley y el reglamento.</w:t>
      </w:r>
    </w:p>
    <w:p w14:paraId="03853D09" w14:textId="77777777" w:rsidR="00592B91" w:rsidRDefault="00592B91" w:rsidP="00592B91">
      <w:pPr>
        <w:tabs>
          <w:tab w:val="left" w:pos="426"/>
        </w:tabs>
        <w:spacing w:after="120"/>
        <w:ind w:firstLine="709"/>
        <w:jc w:val="both"/>
        <w:rPr>
          <w:rFonts w:ascii="Arial" w:eastAsia="Calibri" w:hAnsi="Arial" w:cs="Arial"/>
          <w:bCs/>
          <w:noProof/>
        </w:rPr>
      </w:pPr>
      <w:r w:rsidRPr="00127EB3">
        <w:rPr>
          <w:rFonts w:ascii="Arial" w:eastAsia="Calibri" w:hAnsi="Arial" w:cs="Arial"/>
          <w:bCs/>
          <w:noProof/>
          <w:lang w:val="es-ES_tradnl"/>
        </w:rPr>
        <w:t>Las condiciones en las que debe cumplirse esta obligación fueron reglamentadas por el Decreto 1082 de 2015, el cual se refiere, en los artículos 2.2.1.2.3.1.1. al 2.2.1.2.3.1.19, a las clases de garantías permitidas, la indivisibilidad de las mismas, los riesgos que deben ser objeto de cobertura, la vigencia y valores mínimos, entre otros aspectos que debe cumplir las garantías constituidas, ya sea a través de pólizas de seguro, garantías bancarias o patrimonios autónomos.</w:t>
      </w:r>
    </w:p>
    <w:p w14:paraId="29833958" w14:textId="77777777" w:rsidR="00592B91" w:rsidRDefault="00592B91" w:rsidP="00592B91">
      <w:pPr>
        <w:tabs>
          <w:tab w:val="left" w:pos="426"/>
        </w:tabs>
        <w:spacing w:after="120"/>
        <w:ind w:firstLine="709"/>
        <w:jc w:val="both"/>
        <w:rPr>
          <w:rFonts w:ascii="Arial" w:eastAsia="Calibri" w:hAnsi="Arial" w:cs="Arial"/>
          <w:bCs/>
          <w:noProof/>
          <w:lang w:val="es-ES_tradnl"/>
        </w:rPr>
      </w:pPr>
      <w:r>
        <w:rPr>
          <w:rFonts w:ascii="Arial" w:eastAsia="Calibri" w:hAnsi="Arial" w:cs="Arial"/>
          <w:bCs/>
          <w:noProof/>
          <w:lang w:val="es-ES_tradnl"/>
        </w:rPr>
        <w:t>Por su parte, e</w:t>
      </w:r>
      <w:r w:rsidRPr="00127EB3">
        <w:rPr>
          <w:rFonts w:ascii="Arial" w:eastAsia="Calibri" w:hAnsi="Arial" w:cs="Arial"/>
          <w:bCs/>
          <w:noProof/>
          <w:lang w:val="es-ES_tradnl"/>
        </w:rPr>
        <w:t xml:space="preserve">l artículo 29 de la Constitución Política de 1991 dispone que el debido proceso rige en todas las actuaciones judiciales y administrativas, con similar propósito,  el numeral 1 del artículo 3  de la Ley 1437 de 2011 prescribe: «En virtud del principio del debido proceso, las actuaciones administrativas se adelantarán de conformidad con las normas de procedimiento y competencia establecidas en la Constitución y la ley, con plena garantía de los derechos de representación, defensa y contradicción […]». </w:t>
      </w:r>
    </w:p>
    <w:p w14:paraId="2A3BABDA" w14:textId="70A641A5" w:rsidR="00592B91" w:rsidRDefault="00465014" w:rsidP="00592B91">
      <w:pPr>
        <w:tabs>
          <w:tab w:val="left" w:pos="426"/>
        </w:tabs>
        <w:spacing w:after="120"/>
        <w:jc w:val="both"/>
        <w:rPr>
          <w:rFonts w:ascii="Arial" w:eastAsia="Calibri" w:hAnsi="Arial" w:cs="Arial"/>
          <w:bCs/>
          <w:noProof/>
          <w:lang w:val="es-ES_tradnl"/>
        </w:rPr>
      </w:pPr>
      <w:r>
        <w:rPr>
          <w:rFonts w:ascii="Arial" w:eastAsia="Calibri" w:hAnsi="Arial" w:cs="Arial"/>
          <w:bCs/>
          <w:noProof/>
          <w:lang w:val="es-ES_tradnl"/>
        </w:rPr>
        <w:tab/>
      </w:r>
      <w:r w:rsidR="00DC6CF0">
        <w:rPr>
          <w:rFonts w:ascii="Arial" w:eastAsia="Calibri" w:hAnsi="Arial" w:cs="Arial"/>
          <w:bCs/>
          <w:noProof/>
          <w:lang w:val="es-ES_tradnl"/>
        </w:rPr>
        <w:tab/>
      </w:r>
      <w:r w:rsidR="00592B91" w:rsidRPr="00127EB3">
        <w:rPr>
          <w:rFonts w:ascii="Arial" w:eastAsia="Calibri" w:hAnsi="Arial" w:cs="Arial"/>
          <w:bCs/>
          <w:noProof/>
          <w:lang w:val="es-ES_tradnl"/>
        </w:rPr>
        <w:t xml:space="preserve">En efecto, la remisión normativa prioriza la aplicación de normas especiales en la materia, pero no se traduce en el desconocimiento de otras en cuanto a temas que no regulen, así como no hace nugatoria la aplicación de los principios  que deben tenerse en cuenta no solo en los procesos sancionatorios contractuales sino en toda actuación de la </w:t>
      </w:r>
      <w:r w:rsidR="00DC6CF0">
        <w:rPr>
          <w:rFonts w:ascii="Arial" w:eastAsia="Calibri" w:hAnsi="Arial" w:cs="Arial"/>
          <w:bCs/>
          <w:noProof/>
          <w:lang w:val="es-ES_tradnl"/>
        </w:rPr>
        <w:t>A</w:t>
      </w:r>
      <w:r w:rsidR="00592B91" w:rsidRPr="00127EB3">
        <w:rPr>
          <w:rFonts w:ascii="Arial" w:eastAsia="Calibri" w:hAnsi="Arial" w:cs="Arial"/>
          <w:bCs/>
          <w:noProof/>
          <w:lang w:val="es-ES_tradnl"/>
        </w:rPr>
        <w:t>dministración pública</w:t>
      </w:r>
      <w:r>
        <w:rPr>
          <w:rFonts w:ascii="Arial" w:eastAsia="Calibri" w:hAnsi="Arial" w:cs="Arial"/>
          <w:bCs/>
          <w:noProof/>
          <w:lang w:val="es-ES_tradnl"/>
        </w:rPr>
        <w:t>.</w:t>
      </w:r>
      <w:r w:rsidR="00592B91" w:rsidRPr="00127EB3">
        <w:rPr>
          <w:rFonts w:ascii="Arial" w:eastAsia="Calibri" w:hAnsi="Arial" w:cs="Arial"/>
          <w:bCs/>
          <w:noProof/>
          <w:lang w:val="es-ES_tradnl"/>
        </w:rPr>
        <w:t xml:space="preserve"> </w:t>
      </w:r>
      <w:r>
        <w:rPr>
          <w:rFonts w:ascii="Arial" w:eastAsia="Calibri" w:hAnsi="Arial" w:cs="Arial"/>
          <w:bCs/>
          <w:noProof/>
          <w:lang w:val="es-ES_tradnl"/>
        </w:rPr>
        <w:t>E</w:t>
      </w:r>
      <w:r w:rsidR="00592B91" w:rsidRPr="00127EB3">
        <w:rPr>
          <w:rFonts w:ascii="Arial" w:eastAsia="Calibri" w:hAnsi="Arial" w:cs="Arial"/>
          <w:bCs/>
          <w:noProof/>
          <w:lang w:val="es-ES_tradnl"/>
        </w:rPr>
        <w:t>n este sentido, e</w:t>
      </w:r>
      <w:r w:rsidR="00592B91" w:rsidRPr="00127EB3">
        <w:rPr>
          <w:rFonts w:ascii="Arial" w:eastAsia="Calibri" w:hAnsi="Arial" w:cs="Arial"/>
          <w:bCs/>
          <w:noProof/>
        </w:rPr>
        <w:t xml:space="preserve">l artículo 77 de la Ley 80 de 1993 establece que en cuanto sean compatibles con la finalidad y los principios de esa ley, las normas que rigen los procedimientos y actuaciones en la función administrativa serán aplicables en </w:t>
      </w:r>
      <w:r w:rsidR="00592B91" w:rsidRPr="00127EB3">
        <w:rPr>
          <w:rFonts w:ascii="Arial" w:eastAsia="Calibri" w:hAnsi="Arial" w:cs="Arial"/>
          <w:bCs/>
          <w:noProof/>
        </w:rPr>
        <w:lastRenderedPageBreak/>
        <w:t xml:space="preserve">las actuaciones contractuales. A falta de éstas, regirán las disposiciones del Código </w:t>
      </w:r>
      <w:r w:rsidR="00592B91">
        <w:rPr>
          <w:rFonts w:ascii="Arial" w:eastAsia="Calibri" w:hAnsi="Arial" w:cs="Arial"/>
          <w:bCs/>
          <w:noProof/>
        </w:rPr>
        <w:t>de Procedimiento C</w:t>
      </w:r>
      <w:r w:rsidR="005C307C">
        <w:rPr>
          <w:rFonts w:ascii="Arial" w:eastAsia="Calibri" w:hAnsi="Arial" w:cs="Arial"/>
          <w:bCs/>
          <w:noProof/>
        </w:rPr>
        <w:t>i</w:t>
      </w:r>
      <w:r w:rsidR="00592B91">
        <w:rPr>
          <w:rFonts w:ascii="Arial" w:eastAsia="Calibri" w:hAnsi="Arial" w:cs="Arial"/>
          <w:bCs/>
          <w:noProof/>
        </w:rPr>
        <w:t>vil</w:t>
      </w:r>
      <w:r w:rsidR="00592B91">
        <w:rPr>
          <w:rStyle w:val="Refdenotaalpie"/>
          <w:rFonts w:ascii="Arial" w:eastAsia="Calibri" w:hAnsi="Arial" w:cs="Arial"/>
          <w:iCs/>
          <w:lang w:val="es-ES_tradnl"/>
        </w:rPr>
        <w:footnoteReference w:id="10"/>
      </w:r>
      <w:r w:rsidR="00592B91">
        <w:rPr>
          <w:rFonts w:ascii="Arial" w:eastAsia="Calibri" w:hAnsi="Arial" w:cs="Arial"/>
          <w:bCs/>
          <w:noProof/>
        </w:rPr>
        <w:t>,</w:t>
      </w:r>
      <w:r w:rsidR="00592B91" w:rsidRPr="00127EB3">
        <w:rPr>
          <w:rFonts w:ascii="Arial" w:eastAsia="Calibri" w:hAnsi="Arial" w:cs="Arial"/>
          <w:bCs/>
          <w:noProof/>
        </w:rPr>
        <w:t xml:space="preserve"> asimismo, establece que </w:t>
      </w:r>
      <w:r w:rsidR="00592B91" w:rsidRPr="00127EB3">
        <w:rPr>
          <w:rFonts w:ascii="Arial" w:eastAsia="Calibri" w:hAnsi="Arial" w:cs="Arial"/>
          <w:noProof/>
        </w:rPr>
        <w:t>«</w:t>
      </w:r>
      <w:r w:rsidR="00592B91" w:rsidRPr="00127EB3">
        <w:rPr>
          <w:rFonts w:ascii="Arial" w:eastAsia="Calibri" w:hAnsi="Arial" w:cs="Arial"/>
          <w:bCs/>
          <w:noProof/>
        </w:rPr>
        <w:t>los actos administrativos que se produzcan con motivo u ocasión de la actividad contractual sólo serán susceptibles de recurso de reposición y del ejercicio de la acción contractual, de acuerdo con las reglas del Código Contencioso Administrativo</w:t>
      </w:r>
      <w:r w:rsidR="00592B91" w:rsidRPr="00127EB3">
        <w:rPr>
          <w:rFonts w:ascii="Arial" w:eastAsia="Calibri" w:hAnsi="Arial" w:cs="Arial"/>
          <w:bCs/>
          <w:noProof/>
          <w:lang w:val="es-ES_tradnl"/>
        </w:rPr>
        <w:t>»</w:t>
      </w:r>
      <w:r w:rsidR="00592B91">
        <w:rPr>
          <w:rFonts w:ascii="Arial" w:eastAsia="Calibri" w:hAnsi="Arial" w:cs="Arial"/>
          <w:bCs/>
          <w:noProof/>
          <w:lang w:val="es-ES_tradnl"/>
        </w:rPr>
        <w:t>, siendo posible acudir a la aplicación normativa complementaria y concordante sin perjuicio de la primacía de la norma especial.</w:t>
      </w:r>
    </w:p>
    <w:p w14:paraId="4DE241EA" w14:textId="77777777" w:rsidR="004556E1" w:rsidRDefault="004556E1" w:rsidP="00592B91">
      <w:pPr>
        <w:spacing w:after="0"/>
        <w:jc w:val="both"/>
        <w:textAlignment w:val="baseline"/>
        <w:rPr>
          <w:rFonts w:ascii="Arial" w:eastAsia="Times New Roman" w:hAnsi="Arial" w:cs="Arial"/>
          <w:b/>
          <w:noProof/>
          <w:lang w:val="es-ES_tradnl" w:eastAsia="es-CO"/>
        </w:rPr>
      </w:pPr>
    </w:p>
    <w:p w14:paraId="06768A11" w14:textId="4B8BD11E" w:rsidR="00592B91" w:rsidRDefault="00592B91" w:rsidP="00592B91">
      <w:pPr>
        <w:spacing w:after="0"/>
        <w:jc w:val="both"/>
        <w:textAlignment w:val="baseline"/>
        <w:rPr>
          <w:rFonts w:ascii="Arial" w:eastAsia="Times New Roman" w:hAnsi="Arial" w:cs="Arial"/>
          <w:b/>
          <w:noProof/>
          <w:lang w:val="es-ES_tradnl" w:eastAsia="es-CO"/>
        </w:rPr>
      </w:pPr>
      <w:r w:rsidRPr="0088473D">
        <w:rPr>
          <w:rFonts w:ascii="Arial" w:eastAsia="Times New Roman" w:hAnsi="Arial" w:cs="Arial"/>
          <w:b/>
          <w:noProof/>
          <w:lang w:val="es-ES_tradnl" w:eastAsia="es-CO"/>
        </w:rPr>
        <w:t>3. Respuestas</w:t>
      </w:r>
    </w:p>
    <w:p w14:paraId="0C9B6A59" w14:textId="77777777" w:rsidR="00592B91" w:rsidRDefault="00592B91" w:rsidP="00592B91">
      <w:pPr>
        <w:spacing w:after="0"/>
        <w:jc w:val="both"/>
        <w:textAlignment w:val="baseline"/>
        <w:rPr>
          <w:rFonts w:ascii="Arial" w:eastAsia="Times New Roman" w:hAnsi="Arial" w:cs="Arial"/>
          <w:b/>
          <w:noProof/>
          <w:lang w:val="es-ES_tradnl" w:eastAsia="es-CO"/>
        </w:rPr>
      </w:pPr>
    </w:p>
    <w:p w14:paraId="414B8657" w14:textId="77777777" w:rsidR="00592B91" w:rsidRDefault="00592B91" w:rsidP="00592B91">
      <w:pPr>
        <w:spacing w:after="0" w:line="240" w:lineRule="auto"/>
        <w:ind w:left="709" w:right="709"/>
        <w:jc w:val="both"/>
        <w:rPr>
          <w:rFonts w:ascii="Arial" w:eastAsia="Calibri" w:hAnsi="Arial" w:cs="Arial"/>
          <w:noProof/>
          <w:sz w:val="21"/>
          <w:szCs w:val="21"/>
          <w:lang w:val="es-ES_tradnl"/>
        </w:rPr>
      </w:pPr>
      <w:r w:rsidRPr="00153646">
        <w:rPr>
          <w:rFonts w:ascii="Arial" w:eastAsia="Calibri" w:hAnsi="Arial" w:cs="Arial"/>
          <w:noProof/>
          <w:sz w:val="21"/>
          <w:szCs w:val="21"/>
          <w:lang w:val="es-ES_tradnl"/>
        </w:rPr>
        <w:t>«[…]</w:t>
      </w:r>
      <w:r w:rsidRPr="00153646">
        <w:rPr>
          <w:rFonts w:ascii="Arial" w:eastAsia="Calibri" w:hAnsi="Arial" w:cs="Arial"/>
          <w:sz w:val="21"/>
          <w:szCs w:val="21"/>
          <w:lang w:val="es-MX"/>
        </w:rPr>
        <w:t xml:space="preserve"> </w:t>
      </w:r>
      <w:r w:rsidRPr="00F30CE4">
        <w:rPr>
          <w:rFonts w:ascii="Arial" w:eastAsia="Calibri" w:hAnsi="Arial" w:cs="Arial"/>
          <w:noProof/>
          <w:sz w:val="21"/>
          <w:szCs w:val="21"/>
          <w:lang w:val="es-ES_tradnl"/>
        </w:rPr>
        <w:t>En virtud de lo ceñido por el parágrafo 1º del artículo 3º de la Ley 2080 de 25 de enero</w:t>
      </w:r>
      <w:r>
        <w:rPr>
          <w:rFonts w:ascii="Arial" w:eastAsia="Calibri" w:hAnsi="Arial" w:cs="Arial"/>
          <w:noProof/>
          <w:sz w:val="21"/>
          <w:szCs w:val="21"/>
          <w:lang w:val="es-ES_tradnl"/>
        </w:rPr>
        <w:t xml:space="preserve"> </w:t>
      </w:r>
      <w:r w:rsidRPr="00F30CE4">
        <w:rPr>
          <w:rFonts w:ascii="Arial" w:eastAsia="Calibri" w:hAnsi="Arial" w:cs="Arial"/>
          <w:noProof/>
          <w:sz w:val="21"/>
          <w:szCs w:val="21"/>
          <w:lang w:val="es-ES_tradnl"/>
        </w:rPr>
        <w:t>de 2021, ¿Cuáles son las normas especiales a las que hace atribución esa disposición,</w:t>
      </w:r>
      <w:r>
        <w:rPr>
          <w:rFonts w:ascii="Arial" w:eastAsia="Calibri" w:hAnsi="Arial" w:cs="Arial"/>
          <w:noProof/>
          <w:sz w:val="21"/>
          <w:szCs w:val="21"/>
          <w:lang w:val="es-ES_tradnl"/>
        </w:rPr>
        <w:t xml:space="preserve"> </w:t>
      </w:r>
      <w:r w:rsidRPr="00F30CE4">
        <w:rPr>
          <w:rFonts w:ascii="Arial" w:eastAsia="Calibri" w:hAnsi="Arial" w:cs="Arial"/>
          <w:noProof/>
          <w:sz w:val="21"/>
          <w:szCs w:val="21"/>
          <w:lang w:val="es-ES_tradnl"/>
        </w:rPr>
        <w:t>para adelantar las actuaciones administrativas contractuales sancionatorio, incluyendo</w:t>
      </w:r>
      <w:r>
        <w:rPr>
          <w:rFonts w:ascii="Arial" w:eastAsia="Calibri" w:hAnsi="Arial" w:cs="Arial"/>
          <w:noProof/>
          <w:sz w:val="21"/>
          <w:szCs w:val="21"/>
          <w:lang w:val="es-ES_tradnl"/>
        </w:rPr>
        <w:t xml:space="preserve"> </w:t>
      </w:r>
      <w:r w:rsidRPr="00F30CE4">
        <w:rPr>
          <w:rFonts w:ascii="Arial" w:eastAsia="Calibri" w:hAnsi="Arial" w:cs="Arial"/>
          <w:noProof/>
          <w:sz w:val="21"/>
          <w:szCs w:val="21"/>
          <w:lang w:val="es-ES_tradnl"/>
        </w:rPr>
        <w:t>los recursos</w:t>
      </w:r>
      <w:r w:rsidRPr="00153646">
        <w:rPr>
          <w:rFonts w:ascii="Arial" w:eastAsia="Calibri" w:hAnsi="Arial" w:cs="Arial"/>
          <w:noProof/>
          <w:sz w:val="21"/>
          <w:szCs w:val="21"/>
          <w:lang w:val="es-ES_tradnl"/>
        </w:rPr>
        <w:t>?</w:t>
      </w:r>
      <w:r w:rsidRPr="0088473D">
        <w:rPr>
          <w:rFonts w:ascii="Arial" w:eastAsia="Calibri" w:hAnsi="Arial" w:cs="Arial"/>
          <w:noProof/>
          <w:lang w:val="es-ES_tradnl"/>
        </w:rPr>
        <w:t>»</w:t>
      </w:r>
      <w:r w:rsidRPr="00153646">
        <w:rPr>
          <w:rFonts w:ascii="Arial" w:eastAsia="Calibri" w:hAnsi="Arial" w:cs="Arial"/>
          <w:noProof/>
          <w:sz w:val="21"/>
          <w:szCs w:val="21"/>
          <w:lang w:val="es-ES_tradnl"/>
        </w:rPr>
        <w:t xml:space="preserve"> </w:t>
      </w:r>
    </w:p>
    <w:p w14:paraId="096D7F51" w14:textId="77777777" w:rsidR="00592B91" w:rsidRDefault="00592B91" w:rsidP="00592B91">
      <w:pPr>
        <w:spacing w:after="0" w:line="240" w:lineRule="auto"/>
        <w:ind w:right="709"/>
        <w:jc w:val="both"/>
        <w:rPr>
          <w:rFonts w:ascii="Arial" w:eastAsia="Calibri" w:hAnsi="Arial" w:cs="Arial"/>
          <w:noProof/>
          <w:sz w:val="21"/>
          <w:szCs w:val="21"/>
          <w:lang w:val="es-ES_tradnl"/>
        </w:rPr>
      </w:pPr>
    </w:p>
    <w:p w14:paraId="39C451C2" w14:textId="1C42D0CB" w:rsidR="00592B91" w:rsidRPr="00391B3E" w:rsidRDefault="00970408" w:rsidP="00592B91">
      <w:pPr>
        <w:tabs>
          <w:tab w:val="left" w:pos="426"/>
        </w:tabs>
        <w:spacing w:after="0"/>
        <w:jc w:val="both"/>
        <w:rPr>
          <w:rFonts w:ascii="Arial" w:eastAsia="Calibri" w:hAnsi="Arial" w:cs="Arial"/>
          <w:bCs/>
          <w:noProof/>
          <w:lang w:val="es-ES_tradnl"/>
        </w:rPr>
      </w:pPr>
      <w:r>
        <w:rPr>
          <w:rFonts w:ascii="Arial" w:eastAsia="Calibri" w:hAnsi="Arial" w:cs="Arial"/>
          <w:bCs/>
          <w:lang w:val="es-MX"/>
        </w:rPr>
        <w:t>E</w:t>
      </w:r>
      <w:r w:rsidR="00592B91">
        <w:rPr>
          <w:rFonts w:ascii="Arial" w:eastAsia="Calibri" w:hAnsi="Arial" w:cs="Arial"/>
          <w:bCs/>
          <w:lang w:val="es-MX"/>
        </w:rPr>
        <w:t xml:space="preserve">l </w:t>
      </w:r>
      <w:r w:rsidR="00592B91" w:rsidRPr="00655624">
        <w:rPr>
          <w:rFonts w:ascii="Arial" w:eastAsia="Calibri" w:hAnsi="Arial" w:cs="Arial"/>
          <w:bCs/>
          <w:lang w:val="es-MX"/>
        </w:rPr>
        <w:t xml:space="preserve">parágrafo </w:t>
      </w:r>
      <w:r w:rsidR="00592B91">
        <w:rPr>
          <w:rFonts w:ascii="Arial" w:eastAsia="Calibri" w:hAnsi="Arial" w:cs="Arial"/>
          <w:bCs/>
          <w:lang w:val="es-MX"/>
        </w:rPr>
        <w:t xml:space="preserve">1 </w:t>
      </w:r>
      <w:r w:rsidR="00592B91" w:rsidRPr="00655624">
        <w:rPr>
          <w:rFonts w:ascii="Arial" w:eastAsia="Calibri" w:hAnsi="Arial" w:cs="Arial"/>
          <w:bCs/>
          <w:lang w:val="es-MX"/>
        </w:rPr>
        <w:t>del artículo 47 de la Ley 1437 de 2011</w:t>
      </w:r>
      <w:r w:rsidR="00592B91">
        <w:rPr>
          <w:rFonts w:ascii="Arial" w:eastAsia="Calibri" w:hAnsi="Arial" w:cs="Arial"/>
          <w:bCs/>
          <w:lang w:val="es-MX"/>
        </w:rPr>
        <w:t>, modificado por el</w:t>
      </w:r>
      <w:r w:rsidR="00592B91" w:rsidRPr="00153646">
        <w:rPr>
          <w:rFonts w:ascii="Arial" w:eastAsia="Calibri" w:hAnsi="Arial" w:cs="Arial"/>
          <w:noProof/>
          <w:lang w:val="es-ES_tradnl"/>
        </w:rPr>
        <w:t xml:space="preserve"> </w:t>
      </w:r>
      <w:r w:rsidR="00592B91" w:rsidRPr="00153646">
        <w:rPr>
          <w:rFonts w:ascii="Arial" w:eastAsia="Times New Roman" w:hAnsi="Arial" w:cs="Arial"/>
          <w:color w:val="000000"/>
          <w:shd w:val="clear" w:color="auto" w:fill="FFFFFF"/>
          <w:lang w:eastAsia="es-CO"/>
        </w:rPr>
        <w:t xml:space="preserve">artículo 3 de la Ley 2080 de 2021, </w:t>
      </w:r>
      <w:r w:rsidR="00592B91">
        <w:rPr>
          <w:rFonts w:ascii="Arial" w:eastAsia="Times New Roman" w:hAnsi="Arial" w:cs="Arial"/>
          <w:color w:val="000000"/>
          <w:shd w:val="clear" w:color="auto" w:fill="FFFFFF"/>
          <w:lang w:eastAsia="es-CO"/>
        </w:rPr>
        <w:t>mantiene</w:t>
      </w:r>
      <w:r w:rsidR="00592B91" w:rsidRPr="00153646">
        <w:rPr>
          <w:rFonts w:ascii="Arial" w:eastAsia="Times New Roman" w:hAnsi="Arial" w:cs="Arial"/>
          <w:color w:val="000000"/>
          <w:shd w:val="clear" w:color="auto" w:fill="FFFFFF"/>
          <w:lang w:eastAsia="es-CO"/>
        </w:rPr>
        <w:t xml:space="preserve"> el mismo espíritu de la norma </w:t>
      </w:r>
      <w:r w:rsidR="00515A5C">
        <w:rPr>
          <w:rFonts w:ascii="Arial" w:eastAsia="Times New Roman" w:hAnsi="Arial" w:cs="Arial"/>
          <w:color w:val="000000"/>
          <w:shd w:val="clear" w:color="auto" w:fill="FFFFFF"/>
          <w:lang w:eastAsia="es-CO"/>
        </w:rPr>
        <w:t xml:space="preserve">inicial, </w:t>
      </w:r>
      <w:r w:rsidR="00592B91" w:rsidRPr="00153646">
        <w:rPr>
          <w:rFonts w:ascii="Arial" w:eastAsia="Times New Roman" w:hAnsi="Arial" w:cs="Arial"/>
          <w:color w:val="000000"/>
          <w:shd w:val="clear" w:color="auto" w:fill="FFFFFF"/>
          <w:lang w:eastAsia="es-CO"/>
        </w:rPr>
        <w:t>en lo que respecta a los procedimientos sancionatorios</w:t>
      </w:r>
      <w:r w:rsidR="00457D74">
        <w:rPr>
          <w:rFonts w:ascii="Arial" w:eastAsia="Times New Roman" w:hAnsi="Arial" w:cs="Arial"/>
          <w:color w:val="000000"/>
          <w:shd w:val="clear" w:color="auto" w:fill="FFFFFF"/>
          <w:lang w:eastAsia="es-CO"/>
        </w:rPr>
        <w:t xml:space="preserve"> contractuales</w:t>
      </w:r>
      <w:r w:rsidR="00592B91" w:rsidRPr="00153646">
        <w:rPr>
          <w:rFonts w:ascii="Arial" w:eastAsia="Times New Roman" w:hAnsi="Arial" w:cs="Arial"/>
          <w:color w:val="000000"/>
          <w:shd w:val="clear" w:color="auto" w:fill="FFFFFF"/>
          <w:lang w:eastAsia="es-CO"/>
        </w:rPr>
        <w:t>, conserva</w:t>
      </w:r>
      <w:r w:rsidR="00592B91">
        <w:rPr>
          <w:rFonts w:ascii="Arial" w:eastAsia="Times New Roman" w:hAnsi="Arial" w:cs="Arial"/>
          <w:color w:val="000000"/>
          <w:shd w:val="clear" w:color="auto" w:fill="FFFFFF"/>
          <w:lang w:eastAsia="es-CO"/>
        </w:rPr>
        <w:t>ndo</w:t>
      </w:r>
      <w:r w:rsidR="00592B91" w:rsidRPr="00153646">
        <w:rPr>
          <w:rFonts w:ascii="Arial" w:eastAsia="Times New Roman" w:hAnsi="Arial" w:cs="Arial"/>
          <w:color w:val="000000"/>
          <w:shd w:val="clear" w:color="auto" w:fill="FFFFFF"/>
          <w:lang w:eastAsia="es-CO"/>
        </w:rPr>
        <w:t xml:space="preserve"> la remisión a </w:t>
      </w:r>
      <w:r w:rsidR="006764E3">
        <w:rPr>
          <w:rFonts w:ascii="Arial" w:eastAsia="Times New Roman" w:hAnsi="Arial" w:cs="Arial"/>
          <w:color w:val="000000"/>
          <w:shd w:val="clear" w:color="auto" w:fill="FFFFFF"/>
          <w:lang w:eastAsia="es-CO"/>
        </w:rPr>
        <w:t xml:space="preserve">las </w:t>
      </w:r>
      <w:r w:rsidR="00592B91" w:rsidRPr="00153646">
        <w:rPr>
          <w:rFonts w:ascii="Arial" w:eastAsia="Times New Roman" w:hAnsi="Arial" w:cs="Arial"/>
          <w:color w:val="000000"/>
          <w:shd w:val="clear" w:color="auto" w:fill="FFFFFF"/>
          <w:lang w:eastAsia="es-CO"/>
        </w:rPr>
        <w:t>normas especiales sobre la materia, que en la actualidad se refiere fundamentalmente al procedimiento reglado que se encuentra consagrado en el artículo 86 de la Ley 1474 de 2011, sin perjuicio de la aplicación de normas conexas y complementarias o de aquellas que las modifiquen o deroguen.</w:t>
      </w:r>
    </w:p>
    <w:p w14:paraId="3B815379" w14:textId="77777777" w:rsidR="00592B91" w:rsidRPr="00391B3E" w:rsidRDefault="00592B91" w:rsidP="00592B91">
      <w:pPr>
        <w:tabs>
          <w:tab w:val="left" w:pos="426"/>
        </w:tabs>
        <w:spacing w:after="0"/>
        <w:ind w:firstLine="709"/>
        <w:jc w:val="both"/>
        <w:rPr>
          <w:rFonts w:ascii="Arial" w:eastAsia="Calibri" w:hAnsi="Arial" w:cs="Arial"/>
          <w:bCs/>
          <w:noProof/>
          <w:lang w:val="es-ES_tradnl"/>
        </w:rPr>
      </w:pPr>
    </w:p>
    <w:p w14:paraId="6B6C142F" w14:textId="77777777" w:rsidR="00592B91" w:rsidRPr="00391B3E" w:rsidRDefault="00592B91" w:rsidP="00592B91">
      <w:pPr>
        <w:spacing w:after="0"/>
        <w:jc w:val="both"/>
        <w:rPr>
          <w:rFonts w:ascii="Arial" w:eastAsia="Calibri" w:hAnsi="Arial" w:cs="Arial"/>
          <w:noProof/>
          <w:lang w:val="es-ES_tradnl"/>
        </w:rPr>
      </w:pPr>
      <w:r w:rsidRPr="00391B3E">
        <w:rPr>
          <w:rFonts w:ascii="Arial" w:eastAsia="Calibri" w:hAnsi="Arial" w:cs="Arial"/>
          <w:noProof/>
          <w:lang w:val="es-ES_tradnl"/>
        </w:rPr>
        <w:t>Este concepto tiene el alcance previsto en el artículo 28 del Código de Procedimiento Administrativo y de lo Contencioso Administrativo.</w:t>
      </w:r>
    </w:p>
    <w:p w14:paraId="2C4F3700" w14:textId="77777777" w:rsidR="00592B91" w:rsidRPr="00FF0037" w:rsidRDefault="00592B91" w:rsidP="00592B91">
      <w:pPr>
        <w:spacing w:after="0"/>
        <w:jc w:val="both"/>
        <w:rPr>
          <w:rFonts w:ascii="Arial" w:eastAsia="Calibri" w:hAnsi="Arial" w:cs="Arial"/>
          <w:noProof/>
          <w:lang w:val="es-ES_tradnl"/>
        </w:rPr>
      </w:pPr>
    </w:p>
    <w:p w14:paraId="75FDD270" w14:textId="77777777" w:rsidR="00592B91" w:rsidRPr="00FF0037" w:rsidRDefault="00592B91" w:rsidP="00592B91">
      <w:pPr>
        <w:spacing w:after="0"/>
        <w:jc w:val="both"/>
        <w:rPr>
          <w:rFonts w:ascii="Arial" w:eastAsia="Calibri" w:hAnsi="Arial" w:cs="Arial"/>
          <w:noProof/>
          <w:lang w:val="es-ES_tradnl"/>
        </w:rPr>
      </w:pPr>
      <w:r w:rsidRPr="00FF0037">
        <w:rPr>
          <w:rFonts w:ascii="Arial" w:eastAsia="Calibri" w:hAnsi="Arial" w:cs="Arial"/>
          <w:noProof/>
          <w:sz w:val="24"/>
          <w:lang w:val="es-ES" w:eastAsia="es-ES"/>
        </w:rPr>
        <mc:AlternateContent>
          <mc:Choice Requires="wps">
            <w:drawing>
              <wp:anchor distT="0" distB="0" distL="114300" distR="114300" simplePos="0" relativeHeight="251659264" behindDoc="0" locked="0" layoutInCell="1" allowOverlap="1" wp14:anchorId="1F7D2EF7" wp14:editId="207F867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9864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bookmarkEnd w:id="2"/>
    <w:p w14:paraId="257F11EB" w14:textId="24B7E2B2" w:rsidR="00592B91" w:rsidRDefault="00592B91" w:rsidP="00592B91">
      <w:pPr>
        <w:spacing w:after="0" w:line="240" w:lineRule="auto"/>
        <w:textAlignment w:val="baseline"/>
        <w:rPr>
          <w:rFonts w:ascii="Arial" w:eastAsia="Times New Roman" w:hAnsi="Arial" w:cs="Arial"/>
          <w:lang w:eastAsia="es-CO"/>
        </w:rPr>
      </w:pPr>
      <w:r w:rsidRPr="00FF0037">
        <w:rPr>
          <w:rFonts w:ascii="Arial" w:eastAsia="Times New Roman" w:hAnsi="Arial" w:cs="Arial"/>
          <w:lang w:val="es-MX" w:eastAsia="es-CO"/>
        </w:rPr>
        <w:t>Atentamente,</w:t>
      </w:r>
      <w:r w:rsidRPr="00FF0037">
        <w:rPr>
          <w:rFonts w:ascii="Arial" w:eastAsia="Times New Roman" w:hAnsi="Arial" w:cs="Arial"/>
          <w:lang w:eastAsia="es-CO"/>
        </w:rPr>
        <w:t> </w:t>
      </w:r>
    </w:p>
    <w:p w14:paraId="3D8097E3" w14:textId="77777777" w:rsidR="00311B21" w:rsidRPr="00FF0037" w:rsidRDefault="00311B21" w:rsidP="00592B91">
      <w:pPr>
        <w:spacing w:after="0" w:line="240" w:lineRule="auto"/>
        <w:textAlignment w:val="baseline"/>
        <w:rPr>
          <w:rFonts w:ascii="Segoe UI" w:eastAsia="Times New Roman" w:hAnsi="Segoe UI" w:cs="Segoe UI"/>
          <w:sz w:val="18"/>
          <w:szCs w:val="18"/>
          <w:lang w:eastAsia="es-CO"/>
        </w:rPr>
      </w:pPr>
    </w:p>
    <w:p w14:paraId="16DF2855" w14:textId="62201ECD" w:rsidR="00592B91" w:rsidRPr="00FF0037" w:rsidRDefault="00592B91" w:rsidP="00592B91">
      <w:pPr>
        <w:spacing w:after="0" w:line="240" w:lineRule="auto"/>
        <w:textAlignment w:val="baseline"/>
        <w:rPr>
          <w:rFonts w:ascii="Segoe UI" w:eastAsia="Times New Roman" w:hAnsi="Segoe UI" w:cs="Segoe UI"/>
          <w:sz w:val="18"/>
          <w:szCs w:val="18"/>
          <w:lang w:eastAsia="es-CO"/>
        </w:rPr>
      </w:pPr>
      <w:r w:rsidRPr="00FF0037">
        <w:rPr>
          <w:rFonts w:ascii="Arial" w:eastAsia="Times New Roman" w:hAnsi="Arial" w:cs="Arial"/>
          <w:lang w:eastAsia="es-CO"/>
        </w:rPr>
        <w:t> </w:t>
      </w:r>
      <w:bookmarkStart w:id="5" w:name="_GoBack"/>
      <w:r w:rsidR="00311B21" w:rsidRPr="003A7E6E">
        <w:rPr>
          <w:noProof/>
          <w:lang w:val="es-ES" w:eastAsia="es-ES"/>
        </w:rPr>
        <w:drawing>
          <wp:inline distT="0" distB="0" distL="0" distR="0" wp14:anchorId="054A7F95" wp14:editId="160D3A31">
            <wp:extent cx="2466975" cy="11144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66975" cy="1114425"/>
                    </a:xfrm>
                    <a:prstGeom prst="rect">
                      <a:avLst/>
                    </a:prstGeom>
                  </pic:spPr>
                </pic:pic>
              </a:graphicData>
            </a:graphic>
          </wp:inline>
        </w:drawing>
      </w:r>
      <w:bookmarkEnd w:id="5"/>
    </w:p>
    <w:p w14:paraId="0A1B150E" w14:textId="6A25174A" w:rsidR="00592B91" w:rsidRPr="00FF0037" w:rsidRDefault="00592B91" w:rsidP="00592B91">
      <w:pPr>
        <w:spacing w:after="0" w:line="240" w:lineRule="auto"/>
        <w:jc w:val="center"/>
        <w:textAlignment w:val="baseline"/>
        <w:rPr>
          <w:rFonts w:ascii="Segoe UI" w:eastAsia="Times New Roman" w:hAnsi="Segoe UI" w:cs="Segoe UI"/>
          <w:sz w:val="18"/>
          <w:szCs w:val="18"/>
          <w:lang w:eastAsia="es-CO"/>
        </w:rPr>
      </w:pPr>
      <w:r w:rsidRPr="00FF0037">
        <w:rPr>
          <w:rFonts w:ascii="Arial" w:eastAsia="Times New Roman" w:hAnsi="Arial" w:cs="Arial"/>
          <w:sz w:val="18"/>
          <w:szCs w:val="18"/>
          <w:lang w:eastAsia="es-CO"/>
        </w:rPr>
        <w:t> </w:t>
      </w:r>
    </w:p>
    <w:p w14:paraId="4C037B33" w14:textId="77777777" w:rsidR="00592B91" w:rsidRDefault="00592B91" w:rsidP="00592B91">
      <w:pPr>
        <w:spacing w:after="0" w:line="240" w:lineRule="auto"/>
        <w:jc w:val="center"/>
        <w:textAlignment w:val="baseline"/>
        <w:rPr>
          <w:rFonts w:ascii="Arial" w:eastAsia="Times New Roman" w:hAnsi="Arial" w:cs="Arial"/>
          <w:sz w:val="18"/>
          <w:szCs w:val="18"/>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92B91" w:rsidRPr="00781A1B" w14:paraId="408ECE6B" w14:textId="77777777" w:rsidTr="00A861BB">
        <w:trPr>
          <w:trHeight w:val="315"/>
        </w:trPr>
        <w:tc>
          <w:tcPr>
            <w:tcW w:w="812" w:type="dxa"/>
            <w:vAlign w:val="center"/>
            <w:hideMark/>
          </w:tcPr>
          <w:p w14:paraId="3C9A2773"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0E82B0B"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sidRPr="007452E0">
              <w:rPr>
                <w:rFonts w:ascii="Arial" w:eastAsia="Times New Roman" w:hAnsi="Arial" w:cs="Arial"/>
                <w:sz w:val="16"/>
                <w:szCs w:val="16"/>
                <w:lang w:val="es-MX" w:eastAsia="es-CO"/>
              </w:rPr>
              <w:t>Alfredo Benavides Zarate</w:t>
            </w:r>
          </w:p>
          <w:p w14:paraId="65C7E450"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Contratista de la </w:t>
            </w:r>
            <w:r w:rsidRPr="00781A1B">
              <w:rPr>
                <w:rFonts w:ascii="Arial" w:eastAsia="Times New Roman" w:hAnsi="Arial" w:cs="Arial"/>
                <w:color w:val="000000" w:themeColor="text1"/>
                <w:sz w:val="16"/>
                <w:szCs w:val="16"/>
                <w:lang w:val="es-ES_tradnl" w:eastAsia="es-ES"/>
              </w:rPr>
              <w:t>Subdirección de Gestión Contractual</w:t>
            </w:r>
          </w:p>
        </w:tc>
      </w:tr>
      <w:tr w:rsidR="00592B91" w:rsidRPr="00781A1B" w14:paraId="725B7A36" w14:textId="77777777" w:rsidTr="00A861BB">
        <w:trPr>
          <w:trHeight w:val="330"/>
        </w:trPr>
        <w:tc>
          <w:tcPr>
            <w:tcW w:w="812" w:type="dxa"/>
            <w:vAlign w:val="center"/>
            <w:hideMark/>
          </w:tcPr>
          <w:p w14:paraId="4191BFC1"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7623A3"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4241D37F"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 xml:space="preserve">Subdirección de Gestión </w:t>
            </w:r>
            <w:r w:rsidRPr="00781A1B">
              <w:rPr>
                <w:rFonts w:ascii="Arial" w:eastAsia="Times New Roman" w:hAnsi="Arial" w:cs="Arial"/>
                <w:color w:val="000000" w:themeColor="text1"/>
                <w:sz w:val="16"/>
                <w:szCs w:val="16"/>
                <w:lang w:val="es-ES_tradnl" w:eastAsia="es-ES"/>
              </w:rPr>
              <w:lastRenderedPageBreak/>
              <w:t>Contractual</w:t>
            </w:r>
          </w:p>
        </w:tc>
      </w:tr>
      <w:tr w:rsidR="00592B91" w:rsidRPr="00781A1B" w14:paraId="31EC6700" w14:textId="77777777" w:rsidTr="00A861BB">
        <w:trPr>
          <w:trHeight w:val="300"/>
        </w:trPr>
        <w:tc>
          <w:tcPr>
            <w:tcW w:w="812" w:type="dxa"/>
            <w:vAlign w:val="center"/>
            <w:hideMark/>
          </w:tcPr>
          <w:p w14:paraId="3A6C69F8"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2A2EC6"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29516069" w14:textId="77777777" w:rsidR="00592B91" w:rsidRPr="00781A1B" w:rsidRDefault="00592B91" w:rsidP="00A861BB">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bl>
    <w:p w14:paraId="55383015" w14:textId="77777777" w:rsidR="00592B91" w:rsidRPr="00FF0037" w:rsidRDefault="00592B91" w:rsidP="00592B91">
      <w:pPr>
        <w:spacing w:after="0" w:line="240" w:lineRule="auto"/>
        <w:jc w:val="center"/>
        <w:textAlignment w:val="baseline"/>
        <w:rPr>
          <w:rFonts w:ascii="Segoe UI" w:eastAsia="Times New Roman" w:hAnsi="Segoe UI" w:cs="Segoe UI"/>
          <w:sz w:val="18"/>
          <w:szCs w:val="18"/>
          <w:lang w:eastAsia="es-CO"/>
        </w:rPr>
      </w:pPr>
      <w:r w:rsidRPr="00FF0037">
        <w:rPr>
          <w:rFonts w:ascii="Arial" w:eastAsia="Times New Roman" w:hAnsi="Arial" w:cs="Arial"/>
          <w:sz w:val="18"/>
          <w:szCs w:val="18"/>
          <w:lang w:eastAsia="es-CO"/>
        </w:rPr>
        <w:t> </w:t>
      </w:r>
    </w:p>
    <w:p w14:paraId="67998199" w14:textId="77777777" w:rsidR="00592B91" w:rsidRPr="00FF0037" w:rsidRDefault="00592B91" w:rsidP="00592B91">
      <w:pPr>
        <w:spacing w:after="0" w:line="240" w:lineRule="auto"/>
        <w:jc w:val="both"/>
        <w:rPr>
          <w:rFonts w:ascii="Arial" w:eastAsia="Calibri" w:hAnsi="Arial" w:cs="Arial"/>
          <w:lang w:val="es-MX"/>
        </w:rPr>
      </w:pPr>
    </w:p>
    <w:p w14:paraId="070DC0F9" w14:textId="77777777" w:rsidR="00592B91" w:rsidRPr="00FF0037" w:rsidRDefault="00592B91" w:rsidP="00592B91">
      <w:pPr>
        <w:spacing w:after="0"/>
        <w:jc w:val="both"/>
        <w:rPr>
          <w:rFonts w:ascii="Arial" w:eastAsia="Times New Roman" w:hAnsi="Arial" w:cs="Arial"/>
          <w:noProof/>
          <w:sz w:val="24"/>
          <w:szCs w:val="24"/>
          <w:lang w:val="es-ES_tradnl" w:eastAsia="es-CO"/>
        </w:rPr>
      </w:pPr>
    </w:p>
    <w:p w14:paraId="35B0C3A2" w14:textId="77777777" w:rsidR="00592B91" w:rsidRPr="00FF0037" w:rsidRDefault="00592B91" w:rsidP="00592B91"/>
    <w:p w14:paraId="594DFA03" w14:textId="77777777" w:rsidR="00C95ACC" w:rsidRDefault="00C95ACC"/>
    <w:sectPr w:rsidR="00C95ACC" w:rsidSect="00A861BB">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4E9F9" w14:textId="77777777" w:rsidR="00A861BB" w:rsidRDefault="00A861BB" w:rsidP="00592B91">
      <w:pPr>
        <w:spacing w:after="0" w:line="240" w:lineRule="auto"/>
      </w:pPr>
      <w:r>
        <w:separator/>
      </w:r>
    </w:p>
  </w:endnote>
  <w:endnote w:type="continuationSeparator" w:id="0">
    <w:p w14:paraId="3E0E3588" w14:textId="77777777" w:rsidR="00A861BB" w:rsidRDefault="00A861BB" w:rsidP="0059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Segoe UI">
    <w:altName w:val="Arial"/>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2BBA2" w14:textId="77777777" w:rsidR="00A861BB" w:rsidRDefault="00A861BB" w:rsidP="00A861BB">
    <w:pPr>
      <w:pStyle w:val="Sinespaciado1"/>
      <w:jc w:val="right"/>
      <w:rPr>
        <w:rFonts w:ascii="Arial" w:hAnsi="Arial" w:cs="Arial"/>
        <w:sz w:val="18"/>
        <w:szCs w:val="18"/>
      </w:rPr>
    </w:pPr>
  </w:p>
  <w:p w14:paraId="72B507AC" w14:textId="77777777" w:rsidR="00A861BB" w:rsidRPr="008217B7" w:rsidRDefault="00A861BB" w:rsidP="00A861BB">
    <w:pPr>
      <w:pStyle w:val="Piedepgina1"/>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8301B">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8301B">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5F438D0" w14:textId="77777777" w:rsidR="00A861BB" w:rsidRDefault="00A861BB" w:rsidP="00A861BB">
    <w:pPr>
      <w:pStyle w:val="Piedepgina1"/>
      <w:jc w:val="center"/>
      <w:rPr>
        <w:lang w:val="es-ES"/>
      </w:rPr>
    </w:pPr>
    <w:r>
      <w:rPr>
        <w:noProof/>
        <w:lang w:val="es-ES" w:eastAsia="es-ES"/>
      </w:rPr>
      <w:drawing>
        <wp:inline distT="0" distB="0" distL="0" distR="0" wp14:anchorId="5A644C28" wp14:editId="54CA6F93">
          <wp:extent cx="3700130" cy="519139"/>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534499F" w14:textId="77777777" w:rsidR="00A861BB" w:rsidRDefault="00A861BB" w:rsidP="00A861BB">
    <w:pPr>
      <w:pStyle w:val="Piedepgina1"/>
      <w:jc w:val="center"/>
      <w:rPr>
        <w:lang w:val="es-ES"/>
      </w:rPr>
    </w:pPr>
  </w:p>
  <w:p w14:paraId="61F92C3B" w14:textId="77777777" w:rsidR="00A861BB" w:rsidRPr="007B0854" w:rsidRDefault="00A861BB" w:rsidP="00A861BB">
    <w:pPr>
      <w:pStyle w:val="Piedepgina1"/>
      <w:jc w:val="center"/>
      <w:rPr>
        <w:lang w:val="es-ES"/>
      </w:rPr>
    </w:pPr>
  </w:p>
  <w:p w14:paraId="2F22BA9C" w14:textId="77777777" w:rsidR="00A861BB" w:rsidRPr="00856133" w:rsidRDefault="00A861BB" w:rsidP="00A861BB">
    <w:pPr>
      <w:pStyle w:val="Piedepgina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801BA" w14:textId="77777777" w:rsidR="00A861BB" w:rsidRDefault="00A861BB" w:rsidP="00592B91">
      <w:pPr>
        <w:spacing w:after="0" w:line="240" w:lineRule="auto"/>
      </w:pPr>
      <w:r>
        <w:separator/>
      </w:r>
    </w:p>
  </w:footnote>
  <w:footnote w:type="continuationSeparator" w:id="0">
    <w:p w14:paraId="61E2D35F" w14:textId="77777777" w:rsidR="00A861BB" w:rsidRDefault="00A861BB" w:rsidP="00592B91">
      <w:pPr>
        <w:spacing w:after="0" w:line="240" w:lineRule="auto"/>
      </w:pPr>
      <w:r>
        <w:continuationSeparator/>
      </w:r>
    </w:p>
  </w:footnote>
  <w:footnote w:id="1">
    <w:p w14:paraId="75273A75" w14:textId="77777777" w:rsidR="00A861BB" w:rsidRPr="00153646" w:rsidRDefault="00A861BB" w:rsidP="00592B91">
      <w:pPr>
        <w:ind w:firstLine="709"/>
        <w:jc w:val="both"/>
        <w:rPr>
          <w:rFonts w:ascii="Arial" w:hAnsi="Arial" w:cs="Arial"/>
          <w:sz w:val="19"/>
          <w:szCs w:val="19"/>
        </w:rPr>
      </w:pPr>
      <w:r w:rsidRPr="00153646">
        <w:rPr>
          <w:rStyle w:val="Refdenotaalpie"/>
          <w:rFonts w:ascii="Arial" w:hAnsi="Arial" w:cs="Arial"/>
          <w:sz w:val="19"/>
          <w:szCs w:val="19"/>
        </w:rPr>
        <w:footnoteRef/>
      </w:r>
      <w:r w:rsidRPr="00153646">
        <w:rPr>
          <w:rFonts w:ascii="Arial" w:hAnsi="Arial" w:cs="Arial"/>
          <w:sz w:val="19"/>
          <w:szCs w:val="19"/>
        </w:rPr>
        <w:t xml:space="preserve"> </w:t>
      </w:r>
      <w:r w:rsidRPr="00153646">
        <w:rPr>
          <w:rFonts w:ascii="Arial" w:hAnsi="Arial" w:cs="Arial"/>
          <w:iCs/>
          <w:color w:val="000000" w:themeColor="text1"/>
          <w:sz w:val="19"/>
          <w:szCs w:val="19"/>
        </w:rPr>
        <w:t xml:space="preserve">En cuanto a la oportunidad para su imposición, el Consejo de Estado ha precisado: «(…)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Sección Tercera, Sentencia del 12 de julio de 2012, expediente 15.024 y ponencia de Danilo Rojas Betancourth. </w:t>
      </w:r>
    </w:p>
  </w:footnote>
  <w:footnote w:id="2">
    <w:p w14:paraId="7CFA9575" w14:textId="77777777" w:rsidR="00A861BB" w:rsidRPr="00153646" w:rsidRDefault="00A861BB" w:rsidP="00592B91">
      <w:pPr>
        <w:pStyle w:val="Textonotapie"/>
        <w:ind w:firstLine="709"/>
        <w:jc w:val="both"/>
        <w:rPr>
          <w:rFonts w:ascii="Arial" w:hAnsi="Arial" w:cs="Arial"/>
          <w:color w:val="000000" w:themeColor="text1"/>
          <w:sz w:val="19"/>
          <w:szCs w:val="19"/>
          <w:lang w:val="es-CO"/>
        </w:rPr>
      </w:pPr>
      <w:r w:rsidRPr="00153646">
        <w:rPr>
          <w:rFonts w:ascii="Arial" w:hAnsi="Arial" w:cs="Arial"/>
          <w:iCs/>
          <w:color w:val="000000" w:themeColor="text1"/>
          <w:sz w:val="19"/>
          <w:szCs w:val="19"/>
          <w:vertAlign w:val="superscript"/>
          <w:lang w:val="es-CO"/>
        </w:rPr>
        <w:footnoteRef/>
      </w:r>
      <w:r w:rsidRPr="00153646">
        <w:rPr>
          <w:rFonts w:ascii="Arial" w:hAnsi="Arial" w:cs="Arial"/>
          <w:iCs/>
          <w:color w:val="000000" w:themeColor="text1"/>
          <w:sz w:val="19"/>
          <w:szCs w:val="19"/>
          <w:lang w:val="es-CO"/>
        </w:rPr>
        <w:t xml:space="preserve"> </w:t>
      </w:r>
      <w:r w:rsidRPr="00153646">
        <w:rPr>
          <w:rFonts w:ascii="Arial" w:hAnsi="Arial" w:cs="Arial"/>
          <w:iCs/>
          <w:color w:val="000000" w:themeColor="text1"/>
          <w:sz w:val="19"/>
          <w:szCs w:val="19"/>
          <w:lang w:val="es-CO"/>
        </w:rPr>
        <w:t>Motivo por el cual son típicas cláusulas accidentales dentro de los contratos estatales, en los términos del artículo 1501 del Código Civil.</w:t>
      </w:r>
    </w:p>
  </w:footnote>
  <w:footnote w:id="3">
    <w:p w14:paraId="3444AC8E" w14:textId="77777777" w:rsidR="00A861BB" w:rsidRPr="00153646" w:rsidRDefault="00A861BB" w:rsidP="00592B91">
      <w:pPr>
        <w:pStyle w:val="Textonotapie"/>
        <w:ind w:firstLine="709"/>
        <w:jc w:val="both"/>
        <w:rPr>
          <w:rFonts w:ascii="Arial" w:hAnsi="Arial" w:cs="Arial"/>
          <w:color w:val="000000" w:themeColor="text1"/>
          <w:sz w:val="19"/>
          <w:szCs w:val="19"/>
          <w:lang w:val="es-CO"/>
        </w:rPr>
      </w:pPr>
      <w:r w:rsidRPr="00153646">
        <w:rPr>
          <w:rStyle w:val="Refdenotaalpie"/>
          <w:rFonts w:ascii="Arial" w:hAnsi="Arial" w:cs="Arial"/>
          <w:color w:val="000000" w:themeColor="text1"/>
          <w:sz w:val="19"/>
          <w:szCs w:val="19"/>
          <w:lang w:val="es-CO"/>
        </w:rPr>
        <w:footnoteRef/>
      </w:r>
      <w:r w:rsidRPr="00153646">
        <w:rPr>
          <w:rFonts w:ascii="Arial" w:hAnsi="Arial" w:cs="Arial"/>
          <w:color w:val="000000" w:themeColor="text1"/>
          <w:sz w:val="19"/>
          <w:szCs w:val="19"/>
          <w:lang w:val="es-CO"/>
        </w:rPr>
        <w:t xml:space="preserve"> </w:t>
      </w:r>
      <w:r w:rsidRPr="00153646">
        <w:rPr>
          <w:rFonts w:ascii="Arial" w:hAnsi="Arial" w:cs="Arial"/>
          <w:color w:val="000000" w:themeColor="text1"/>
          <w:sz w:val="19"/>
          <w:szCs w:val="19"/>
          <w:lang w:val="es-CO"/>
        </w:rPr>
        <w:t>CONSEJO DE ESTADO. Sección Tercera. Exp. 17.009. C.P. Enrique Gil Botero.</w:t>
      </w:r>
    </w:p>
    <w:p w14:paraId="499C9196" w14:textId="77777777" w:rsidR="00A861BB" w:rsidRPr="00153646" w:rsidRDefault="00A861BB" w:rsidP="00592B91">
      <w:pPr>
        <w:pStyle w:val="Textonotapie"/>
        <w:ind w:firstLine="709"/>
        <w:jc w:val="both"/>
        <w:rPr>
          <w:rFonts w:ascii="Arial" w:hAnsi="Arial" w:cs="Arial"/>
          <w:color w:val="000000" w:themeColor="text1"/>
          <w:sz w:val="19"/>
          <w:szCs w:val="19"/>
          <w:lang w:val="es-CO"/>
        </w:rPr>
      </w:pPr>
    </w:p>
  </w:footnote>
  <w:footnote w:id="4">
    <w:p w14:paraId="168A04B5" w14:textId="77777777" w:rsidR="00A861BB" w:rsidRPr="00153646" w:rsidRDefault="00A861BB" w:rsidP="00592B91">
      <w:pPr>
        <w:pStyle w:val="Textonotapie"/>
        <w:ind w:firstLine="709"/>
        <w:jc w:val="both"/>
        <w:rPr>
          <w:rFonts w:ascii="Arial" w:hAnsi="Arial" w:cs="Arial"/>
          <w:color w:val="000000" w:themeColor="text1"/>
          <w:sz w:val="19"/>
          <w:szCs w:val="19"/>
          <w:lang w:val="es-CO"/>
        </w:rPr>
      </w:pPr>
      <w:r w:rsidRPr="00153646">
        <w:rPr>
          <w:rStyle w:val="Refdenotaalpie"/>
          <w:rFonts w:ascii="Arial" w:hAnsi="Arial" w:cs="Arial"/>
          <w:color w:val="000000" w:themeColor="text1"/>
          <w:sz w:val="19"/>
          <w:szCs w:val="19"/>
          <w:lang w:val="es-CO"/>
        </w:rPr>
        <w:footnoteRef/>
      </w:r>
      <w:r w:rsidRPr="00153646">
        <w:rPr>
          <w:rFonts w:ascii="Arial" w:hAnsi="Arial" w:cs="Arial"/>
          <w:color w:val="000000" w:themeColor="text1"/>
          <w:sz w:val="19"/>
          <w:szCs w:val="19"/>
          <w:lang w:val="es-CO"/>
        </w:rPr>
        <w:t xml:space="preserve"> </w:t>
      </w:r>
      <w:r w:rsidRPr="00153646">
        <w:rPr>
          <w:rFonts w:ascii="Arial" w:hAnsi="Arial" w:cs="Arial"/>
          <w:color w:val="000000" w:themeColor="text1"/>
          <w:sz w:val="19"/>
          <w:szCs w:val="19"/>
          <w:lang w:val="es-CO"/>
        </w:rPr>
        <w:t>Corte Constitucional. Sentencia C-827 de 2001. M.P. Álvaro Tafur Galvis.</w:t>
      </w:r>
    </w:p>
    <w:p w14:paraId="47E345BB" w14:textId="77777777" w:rsidR="00A861BB" w:rsidRPr="00153646" w:rsidRDefault="00A861BB" w:rsidP="00592B91">
      <w:pPr>
        <w:pStyle w:val="Textonotapie"/>
        <w:ind w:firstLine="709"/>
        <w:jc w:val="both"/>
        <w:rPr>
          <w:rFonts w:ascii="Arial" w:hAnsi="Arial" w:cs="Arial"/>
          <w:color w:val="000000" w:themeColor="text1"/>
          <w:sz w:val="19"/>
          <w:szCs w:val="19"/>
          <w:lang w:val="es-CO"/>
        </w:rPr>
      </w:pPr>
    </w:p>
  </w:footnote>
  <w:footnote w:id="5">
    <w:p w14:paraId="74F6F6B0" w14:textId="77777777" w:rsidR="00A861BB" w:rsidRPr="00153646" w:rsidRDefault="00A861BB" w:rsidP="00592B91">
      <w:pPr>
        <w:pStyle w:val="Textonotapie"/>
        <w:ind w:firstLine="709"/>
        <w:jc w:val="both"/>
        <w:rPr>
          <w:rFonts w:ascii="Arial" w:hAnsi="Arial" w:cs="Arial"/>
          <w:color w:val="000000" w:themeColor="text1"/>
          <w:sz w:val="19"/>
          <w:szCs w:val="19"/>
          <w:lang w:val="es-CO"/>
        </w:rPr>
      </w:pPr>
      <w:r w:rsidRPr="00153646">
        <w:rPr>
          <w:rFonts w:ascii="Arial" w:hAnsi="Arial" w:cs="Arial"/>
          <w:color w:val="000000" w:themeColor="text1"/>
          <w:sz w:val="19"/>
          <w:szCs w:val="19"/>
          <w:vertAlign w:val="superscript"/>
          <w:lang w:val="es-CO"/>
        </w:rPr>
        <w:footnoteRef/>
      </w:r>
      <w:r w:rsidRPr="00153646">
        <w:rPr>
          <w:rFonts w:ascii="Arial" w:hAnsi="Arial" w:cs="Arial"/>
          <w:color w:val="000000" w:themeColor="text1"/>
          <w:sz w:val="19"/>
          <w:szCs w:val="19"/>
          <w:vertAlign w:val="superscript"/>
          <w:lang w:val="es-CO"/>
        </w:rPr>
        <w:t xml:space="preserve"> </w:t>
      </w:r>
      <w:r w:rsidRPr="00153646">
        <w:rPr>
          <w:rFonts w:ascii="Arial" w:hAnsi="Arial" w:cs="Arial"/>
          <w:color w:val="000000" w:themeColor="text1"/>
          <w:sz w:val="19"/>
          <w:szCs w:val="19"/>
          <w:lang w:val="es-CO"/>
        </w:rPr>
        <w:t>Sentencia del 13 de noviembre de 2008, expediente 17.009, C.P. Enrique Gil Botero.</w:t>
      </w:r>
    </w:p>
  </w:footnote>
  <w:footnote w:id="6">
    <w:p w14:paraId="4162C363" w14:textId="77777777" w:rsidR="00A861BB" w:rsidRPr="00153646" w:rsidRDefault="00A861BB" w:rsidP="00592B91">
      <w:pPr>
        <w:pStyle w:val="Textonotapie"/>
        <w:ind w:firstLine="709"/>
        <w:jc w:val="both"/>
        <w:rPr>
          <w:rFonts w:ascii="Arial" w:hAnsi="Arial" w:cs="Arial"/>
          <w:color w:val="000000" w:themeColor="text1"/>
          <w:sz w:val="19"/>
          <w:szCs w:val="19"/>
          <w:lang w:val="es-CO"/>
        </w:rPr>
      </w:pPr>
      <w:r w:rsidRPr="00153646">
        <w:rPr>
          <w:rStyle w:val="Refdenotaalpie"/>
          <w:rFonts w:ascii="Arial" w:hAnsi="Arial" w:cs="Arial"/>
          <w:color w:val="000000" w:themeColor="text1"/>
          <w:sz w:val="19"/>
          <w:szCs w:val="19"/>
          <w:lang w:val="es-CO"/>
        </w:rPr>
        <w:footnoteRef/>
      </w:r>
      <w:r w:rsidRPr="00153646">
        <w:rPr>
          <w:rFonts w:ascii="Arial" w:hAnsi="Arial" w:cs="Arial"/>
          <w:color w:val="000000" w:themeColor="text1"/>
          <w:sz w:val="19"/>
          <w:szCs w:val="19"/>
          <w:lang w:val="es-CO"/>
        </w:rPr>
        <w:t xml:space="preserve"> </w:t>
      </w:r>
      <w:r w:rsidRPr="00153646">
        <w:rPr>
          <w:rFonts w:ascii="Arial" w:hAnsi="Arial" w:cs="Arial"/>
          <w:color w:val="000000" w:themeColor="text1"/>
          <w:sz w:val="19"/>
          <w:szCs w:val="19"/>
          <w:lang w:val="es-CO"/>
        </w:rPr>
        <w:t>Corte Constitucional. Sentencia C-499 de 2015. M.P. Mauricio González Cuervo.</w:t>
      </w:r>
    </w:p>
    <w:p w14:paraId="04EE73C7" w14:textId="77777777" w:rsidR="00A861BB" w:rsidRPr="00153646" w:rsidRDefault="00A861BB" w:rsidP="00592B91">
      <w:pPr>
        <w:pStyle w:val="Textonotapie"/>
        <w:ind w:firstLine="709"/>
        <w:jc w:val="both"/>
        <w:rPr>
          <w:rFonts w:ascii="Arial" w:hAnsi="Arial" w:cs="Arial"/>
          <w:color w:val="000000" w:themeColor="text1"/>
          <w:sz w:val="19"/>
          <w:szCs w:val="19"/>
          <w:lang w:val="es-CO"/>
        </w:rPr>
      </w:pPr>
    </w:p>
  </w:footnote>
  <w:footnote w:id="7">
    <w:p w14:paraId="4ADC3F5B" w14:textId="77777777" w:rsidR="00A861BB" w:rsidRDefault="00A861BB" w:rsidP="00592B91">
      <w:pPr>
        <w:pStyle w:val="Textonotapie"/>
        <w:ind w:firstLine="709"/>
        <w:jc w:val="both"/>
        <w:rPr>
          <w:rFonts w:ascii="Arial" w:hAnsi="Arial" w:cs="Arial"/>
          <w:sz w:val="19"/>
          <w:szCs w:val="19"/>
        </w:rPr>
      </w:pPr>
      <w:r w:rsidRPr="00153646">
        <w:rPr>
          <w:rStyle w:val="Refdenotaalpie"/>
          <w:rFonts w:ascii="Arial" w:hAnsi="Arial" w:cs="Arial"/>
          <w:sz w:val="19"/>
          <w:szCs w:val="19"/>
        </w:rPr>
        <w:footnoteRef/>
      </w:r>
      <w:r w:rsidRPr="00153646">
        <w:rPr>
          <w:rFonts w:ascii="Arial" w:hAnsi="Arial" w:cs="Arial"/>
          <w:sz w:val="19"/>
          <w:szCs w:val="19"/>
        </w:rPr>
        <w:t xml:space="preserve"> </w:t>
      </w:r>
      <w:r w:rsidRPr="00153646">
        <w:rPr>
          <w:rFonts w:ascii="Arial" w:hAnsi="Arial" w:cs="Arial"/>
          <w:sz w:val="19"/>
          <w:szCs w:val="19"/>
        </w:rPr>
        <w:t>Según la jurisprudencia constitucional, ver la sentencia C–203 de 2011, la regulación de los medios de prueba, ingrediente consustancial al debido proceso y al derecho de defensa, incluye: a) “el derecho para presentarlas y solicitarlas”; b) “el derecho para controvertir las pruebas que se presenten en su contra”; c) “el derecho a la publicidad de la prueba, pues de esta manera se asegura el derecho de contradicción”; d) “el derecho a la regularidad de la prueba, esto es, observando las reglas del debido proceso, siendo nula de pleno derecho la obtenida con violación de éste”; e) “el derecho a que de oficio se practiquen las pruebas que resulten necesarias para asegurar el principio de realización y efectividad de los derechos”; y f) “el derecho a que se evalúen por el juzgador las pruebas incorporadas al proceso”.</w:t>
      </w:r>
    </w:p>
    <w:p w14:paraId="7E776A62" w14:textId="77777777" w:rsidR="00A861BB" w:rsidRPr="00153646" w:rsidRDefault="00A861BB" w:rsidP="00592B91">
      <w:pPr>
        <w:pStyle w:val="Textonotapie"/>
        <w:ind w:firstLine="709"/>
        <w:jc w:val="both"/>
        <w:rPr>
          <w:rFonts w:ascii="Arial" w:hAnsi="Arial" w:cs="Arial"/>
          <w:sz w:val="19"/>
          <w:szCs w:val="19"/>
          <w:lang w:val="es-CO"/>
        </w:rPr>
      </w:pPr>
    </w:p>
  </w:footnote>
  <w:footnote w:id="8">
    <w:p w14:paraId="46393A1F" w14:textId="1B59E713" w:rsidR="00A861BB" w:rsidRDefault="00A861BB" w:rsidP="00592B91">
      <w:pPr>
        <w:pStyle w:val="Textonotapie"/>
        <w:ind w:firstLine="709"/>
        <w:rPr>
          <w:rFonts w:ascii="Arial" w:hAnsi="Arial" w:cs="Arial"/>
          <w:sz w:val="19"/>
          <w:szCs w:val="19"/>
          <w:lang w:val="es-CO"/>
        </w:rPr>
      </w:pPr>
      <w:r w:rsidRPr="00153646">
        <w:rPr>
          <w:rStyle w:val="Refdenotaalpie"/>
          <w:rFonts w:ascii="Arial" w:hAnsi="Arial" w:cs="Arial"/>
          <w:sz w:val="19"/>
          <w:szCs w:val="19"/>
        </w:rPr>
        <w:footnoteRef/>
      </w:r>
      <w:r>
        <w:rPr>
          <w:rFonts w:ascii="Arial" w:hAnsi="Arial" w:cs="Arial"/>
          <w:sz w:val="19"/>
          <w:szCs w:val="19"/>
          <w:lang w:val="es-CO"/>
        </w:rPr>
        <w:t xml:space="preserve"> </w:t>
      </w:r>
      <w:r w:rsidRPr="00153646">
        <w:rPr>
          <w:rFonts w:ascii="Arial" w:hAnsi="Arial" w:cs="Arial"/>
          <w:sz w:val="19"/>
          <w:szCs w:val="19"/>
          <w:lang w:val="es-CO"/>
        </w:rPr>
        <w:t>Concepto No 2157 del 10 de octubre de 2013, Sala de Consulta y Servicio Civil, Consejero Ponente Álvaro Namen Vargas.</w:t>
      </w:r>
    </w:p>
    <w:p w14:paraId="37CAC537" w14:textId="77777777" w:rsidR="00A861BB" w:rsidRPr="00153646" w:rsidRDefault="00A861BB" w:rsidP="00592B91">
      <w:pPr>
        <w:pStyle w:val="Textonotapie"/>
        <w:ind w:firstLine="709"/>
        <w:rPr>
          <w:rFonts w:ascii="Arial" w:hAnsi="Arial" w:cs="Arial"/>
          <w:sz w:val="19"/>
          <w:szCs w:val="19"/>
          <w:lang w:val="es-CO"/>
        </w:rPr>
      </w:pPr>
    </w:p>
  </w:footnote>
  <w:footnote w:id="9">
    <w:p w14:paraId="32A4CC5C" w14:textId="644C5AD1" w:rsidR="00A861BB" w:rsidRPr="0042320A" w:rsidRDefault="00A861BB" w:rsidP="00F05C65">
      <w:pPr>
        <w:pStyle w:val="Textonotapie"/>
        <w:ind w:firstLine="708"/>
        <w:jc w:val="both"/>
        <w:rPr>
          <w:rFonts w:ascii="Arial" w:hAnsi="Arial" w:cs="Arial"/>
          <w:sz w:val="19"/>
          <w:szCs w:val="19"/>
          <w:lang w:val="es-CO"/>
        </w:rPr>
      </w:pPr>
      <w:r w:rsidRPr="0042320A">
        <w:rPr>
          <w:rStyle w:val="Refdenotaalpie"/>
          <w:rFonts w:ascii="Arial" w:hAnsi="Arial" w:cs="Arial"/>
          <w:sz w:val="19"/>
          <w:szCs w:val="19"/>
        </w:rPr>
        <w:footnoteRef/>
      </w:r>
      <w:r w:rsidRPr="0042320A">
        <w:rPr>
          <w:rFonts w:ascii="Arial" w:hAnsi="Arial" w:cs="Arial"/>
          <w:sz w:val="19"/>
          <w:szCs w:val="19"/>
        </w:rPr>
        <w:t xml:space="preserve"> </w:t>
      </w:r>
      <w:r w:rsidRPr="0042320A">
        <w:rPr>
          <w:rFonts w:ascii="Arial" w:hAnsi="Arial" w:cs="Arial"/>
          <w:sz w:val="19"/>
          <w:szCs w:val="19"/>
        </w:rPr>
        <w:t>En este sentido, Suárez Tamayo expresa lo siguiente</w:t>
      </w:r>
      <w:r>
        <w:rPr>
          <w:rFonts w:ascii="Arial" w:hAnsi="Arial" w:cs="Arial"/>
          <w:sz w:val="19"/>
          <w:szCs w:val="19"/>
        </w:rPr>
        <w:t>, aunque cabe destacar que las normas analizadas no regulan este aspecto, por lo que existe discrecionalidad por parte de las entidades estatales</w:t>
      </w:r>
      <w:r w:rsidRPr="0042320A">
        <w:rPr>
          <w:rFonts w:ascii="Arial" w:hAnsi="Arial" w:cs="Arial"/>
          <w:sz w:val="19"/>
          <w:szCs w:val="19"/>
        </w:rPr>
        <w:t>: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10">
    <w:p w14:paraId="1C778F4E" w14:textId="77777777" w:rsidR="00A861BB" w:rsidRPr="00153646" w:rsidRDefault="00A861BB" w:rsidP="00BF2E79">
      <w:pPr>
        <w:pStyle w:val="Textonotapie"/>
        <w:ind w:firstLine="708"/>
        <w:rPr>
          <w:lang w:val="es-CO"/>
        </w:rPr>
      </w:pPr>
      <w:r>
        <w:rPr>
          <w:rStyle w:val="Refdenotaalpie"/>
        </w:rPr>
        <w:footnoteRef/>
      </w:r>
      <w:r>
        <w:t xml:space="preserve"> </w:t>
      </w:r>
      <w:r w:rsidRPr="007A1515">
        <w:rPr>
          <w:rFonts w:ascii="Arial" w:hAnsi="Arial" w:cs="Arial"/>
          <w:sz w:val="19"/>
          <w:szCs w:val="19"/>
        </w:rPr>
        <w:t>Actualmente el Código General del Proceso, como quiera que el Código de Procedimiento Civil fue derogado por el artículo   626 de la Ley 1564 de 2012.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386ED" w14:textId="77777777" w:rsidR="00A861BB" w:rsidRDefault="00A861BB">
    <w:pPr>
      <w:pStyle w:val="Encabezado"/>
    </w:pPr>
    <w:r>
      <w:rPr>
        <w:noProof/>
        <w:lang w:val="es-ES" w:eastAsia="es-ES"/>
      </w:rPr>
      <w:drawing>
        <wp:anchor distT="0" distB="0" distL="114300" distR="114300" simplePos="0" relativeHeight="251659264" behindDoc="1" locked="0" layoutInCell="1" allowOverlap="1" wp14:anchorId="3CFB120F" wp14:editId="06F0AE88">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2129D"/>
    <w:multiLevelType w:val="multilevel"/>
    <w:tmpl w:val="D780E7A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o benavides zarate">
    <w15:presenceInfo w15:providerId="Windows Live" w15:userId="ef45e424ee9f5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91"/>
    <w:rsid w:val="00002FE6"/>
    <w:rsid w:val="00065248"/>
    <w:rsid w:val="00092B9C"/>
    <w:rsid w:val="000B04D3"/>
    <w:rsid w:val="000D0C8F"/>
    <w:rsid w:val="001267FF"/>
    <w:rsid w:val="002B6FD7"/>
    <w:rsid w:val="002E1611"/>
    <w:rsid w:val="00311B21"/>
    <w:rsid w:val="0038301B"/>
    <w:rsid w:val="003C76E7"/>
    <w:rsid w:val="003E47DF"/>
    <w:rsid w:val="00433AAC"/>
    <w:rsid w:val="004418DA"/>
    <w:rsid w:val="004556E1"/>
    <w:rsid w:val="00457D74"/>
    <w:rsid w:val="00465014"/>
    <w:rsid w:val="00515A5C"/>
    <w:rsid w:val="0053409E"/>
    <w:rsid w:val="00556200"/>
    <w:rsid w:val="00592B91"/>
    <w:rsid w:val="005C307C"/>
    <w:rsid w:val="005D5A18"/>
    <w:rsid w:val="00612946"/>
    <w:rsid w:val="00617162"/>
    <w:rsid w:val="00617AA6"/>
    <w:rsid w:val="006764E3"/>
    <w:rsid w:val="00713968"/>
    <w:rsid w:val="0080416D"/>
    <w:rsid w:val="00865ECD"/>
    <w:rsid w:val="008A6561"/>
    <w:rsid w:val="008A6B23"/>
    <w:rsid w:val="008D097B"/>
    <w:rsid w:val="008E0489"/>
    <w:rsid w:val="00920109"/>
    <w:rsid w:val="00970408"/>
    <w:rsid w:val="009C3632"/>
    <w:rsid w:val="009C4C68"/>
    <w:rsid w:val="009F2F5C"/>
    <w:rsid w:val="00A861BB"/>
    <w:rsid w:val="00AC44DB"/>
    <w:rsid w:val="00AE0949"/>
    <w:rsid w:val="00B1661D"/>
    <w:rsid w:val="00B41793"/>
    <w:rsid w:val="00B47ED3"/>
    <w:rsid w:val="00B86FDB"/>
    <w:rsid w:val="00BC34E6"/>
    <w:rsid w:val="00BC5A7D"/>
    <w:rsid w:val="00BF2E79"/>
    <w:rsid w:val="00C27C88"/>
    <w:rsid w:val="00C31C47"/>
    <w:rsid w:val="00C75C9C"/>
    <w:rsid w:val="00C95ACC"/>
    <w:rsid w:val="00C95C53"/>
    <w:rsid w:val="00CA4620"/>
    <w:rsid w:val="00CC43B0"/>
    <w:rsid w:val="00D16335"/>
    <w:rsid w:val="00D43396"/>
    <w:rsid w:val="00DC6CF0"/>
    <w:rsid w:val="00EB2197"/>
    <w:rsid w:val="00EB5EAF"/>
    <w:rsid w:val="00EB65E9"/>
    <w:rsid w:val="00EC5907"/>
    <w:rsid w:val="00F05C65"/>
    <w:rsid w:val="00F66843"/>
    <w:rsid w:val="00F742A9"/>
    <w:rsid w:val="00FA5BF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5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B91"/>
    <w:pPr>
      <w:ind w:left="720"/>
      <w:contextualSpacing/>
    </w:pPr>
  </w:style>
  <w:style w:type="paragraph" w:styleId="Encabezado">
    <w:name w:val="header"/>
    <w:basedOn w:val="Normal"/>
    <w:link w:val="EncabezadoCar"/>
    <w:uiPriority w:val="99"/>
    <w:semiHidden/>
    <w:unhideWhenUsed/>
    <w:rsid w:val="00592B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2B91"/>
  </w:style>
  <w:style w:type="paragraph" w:customStyle="1" w:styleId="Piedepgina1">
    <w:name w:val="Pie de página1"/>
    <w:basedOn w:val="Normal"/>
    <w:next w:val="Piedepgina"/>
    <w:link w:val="PiedepginaCar"/>
    <w:uiPriority w:val="99"/>
    <w:unhideWhenUsed/>
    <w:rsid w:val="00592B91"/>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1"/>
    <w:uiPriority w:val="99"/>
    <w:rsid w:val="00592B91"/>
    <w:rPr>
      <w:sz w:val="24"/>
      <w:lang w:val="es-MX"/>
    </w:rPr>
  </w:style>
  <w:style w:type="table" w:customStyle="1" w:styleId="Tablaconcuadrcula1">
    <w:name w:val="Tabla con cuadrícula1"/>
    <w:basedOn w:val="Tablanormal"/>
    <w:next w:val="Tablaconcuadrcula"/>
    <w:uiPriority w:val="39"/>
    <w:rsid w:val="0059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next w:val="Sinespaciado"/>
    <w:uiPriority w:val="1"/>
    <w:qFormat/>
    <w:rsid w:val="00592B91"/>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92B91"/>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592B91"/>
    <w:rPr>
      <w:vertAlign w:val="superscript"/>
    </w:rPr>
  </w:style>
  <w:style w:type="table" w:styleId="Tablaconcuadrcula">
    <w:name w:val="Table Grid"/>
    <w:basedOn w:val="Tablanormal"/>
    <w:uiPriority w:val="59"/>
    <w:rsid w:val="0059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92B91"/>
    <w:pPr>
      <w:spacing w:after="0" w:line="240" w:lineRule="auto"/>
    </w:pPr>
    <w:rPr>
      <w:sz w:val="20"/>
      <w:szCs w:val="20"/>
      <w:lang w:val="es-MX"/>
    </w:rPr>
  </w:style>
  <w:style w:type="character" w:customStyle="1" w:styleId="TextonotapieCar1">
    <w:name w:val="Texto nota pie Car1"/>
    <w:basedOn w:val="Fuentedeprrafopredeter"/>
    <w:uiPriority w:val="99"/>
    <w:semiHidden/>
    <w:rsid w:val="00592B91"/>
    <w:rPr>
      <w:sz w:val="20"/>
      <w:szCs w:val="20"/>
    </w:rPr>
  </w:style>
  <w:style w:type="paragraph" w:customStyle="1" w:styleId="Appelnotedebasde">
    <w:name w:val="Appel note de bas de..."/>
    <w:basedOn w:val="Normal"/>
    <w:link w:val="Refdenotaalpie"/>
    <w:uiPriority w:val="99"/>
    <w:rsid w:val="00592B91"/>
    <w:pPr>
      <w:spacing w:after="160" w:line="240" w:lineRule="exact"/>
    </w:pPr>
    <w:rPr>
      <w:vertAlign w:val="superscript"/>
    </w:rPr>
  </w:style>
  <w:style w:type="paragraph" w:styleId="Piedepgina">
    <w:name w:val="footer"/>
    <w:basedOn w:val="Normal"/>
    <w:link w:val="PiedepginaCar1"/>
    <w:uiPriority w:val="99"/>
    <w:semiHidden/>
    <w:unhideWhenUsed/>
    <w:rsid w:val="00592B91"/>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592B91"/>
  </w:style>
  <w:style w:type="paragraph" w:styleId="Sinespaciado">
    <w:name w:val="No Spacing"/>
    <w:uiPriority w:val="1"/>
    <w:qFormat/>
    <w:rsid w:val="00592B91"/>
    <w:pPr>
      <w:spacing w:after="0" w:line="240" w:lineRule="auto"/>
    </w:pPr>
  </w:style>
  <w:style w:type="paragraph" w:styleId="Textodeglobo">
    <w:name w:val="Balloon Text"/>
    <w:basedOn w:val="Normal"/>
    <w:link w:val="TextodegloboCar"/>
    <w:uiPriority w:val="99"/>
    <w:semiHidden/>
    <w:unhideWhenUsed/>
    <w:rsid w:val="00592B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B91"/>
    <w:rPr>
      <w:rFonts w:ascii="Tahoma" w:hAnsi="Tahoma" w:cs="Tahoma"/>
      <w:sz w:val="16"/>
      <w:szCs w:val="16"/>
    </w:rPr>
  </w:style>
  <w:style w:type="character" w:styleId="Refdecomentario">
    <w:name w:val="annotation reference"/>
    <w:basedOn w:val="Fuentedeprrafopredeter"/>
    <w:uiPriority w:val="99"/>
    <w:semiHidden/>
    <w:unhideWhenUsed/>
    <w:rsid w:val="009C4C68"/>
    <w:rPr>
      <w:sz w:val="16"/>
      <w:szCs w:val="16"/>
    </w:rPr>
  </w:style>
  <w:style w:type="paragraph" w:styleId="Textocomentario">
    <w:name w:val="annotation text"/>
    <w:basedOn w:val="Normal"/>
    <w:link w:val="TextocomentarioCar"/>
    <w:uiPriority w:val="99"/>
    <w:unhideWhenUsed/>
    <w:rsid w:val="009C4C68"/>
    <w:pPr>
      <w:spacing w:line="240" w:lineRule="auto"/>
    </w:pPr>
    <w:rPr>
      <w:sz w:val="20"/>
      <w:szCs w:val="20"/>
    </w:rPr>
  </w:style>
  <w:style w:type="character" w:customStyle="1" w:styleId="TextocomentarioCar">
    <w:name w:val="Texto comentario Car"/>
    <w:basedOn w:val="Fuentedeprrafopredeter"/>
    <w:link w:val="Textocomentario"/>
    <w:uiPriority w:val="99"/>
    <w:rsid w:val="009C4C68"/>
    <w:rPr>
      <w:sz w:val="20"/>
      <w:szCs w:val="20"/>
    </w:rPr>
  </w:style>
  <w:style w:type="paragraph" w:styleId="Asuntodelcomentario">
    <w:name w:val="annotation subject"/>
    <w:basedOn w:val="Textocomentario"/>
    <w:next w:val="Textocomentario"/>
    <w:link w:val="AsuntodelcomentarioCar"/>
    <w:uiPriority w:val="99"/>
    <w:semiHidden/>
    <w:unhideWhenUsed/>
    <w:rsid w:val="009C4C68"/>
    <w:rPr>
      <w:b/>
      <w:bCs/>
    </w:rPr>
  </w:style>
  <w:style w:type="character" w:customStyle="1" w:styleId="AsuntodelcomentarioCar">
    <w:name w:val="Asunto del comentario Car"/>
    <w:basedOn w:val="TextocomentarioCar"/>
    <w:link w:val="Asuntodelcomentario"/>
    <w:uiPriority w:val="99"/>
    <w:semiHidden/>
    <w:rsid w:val="009C4C68"/>
    <w:rPr>
      <w:b/>
      <w:bCs/>
      <w:sz w:val="20"/>
      <w:szCs w:val="20"/>
    </w:rPr>
  </w:style>
  <w:style w:type="paragraph" w:styleId="Revisin">
    <w:name w:val="Revision"/>
    <w:hidden/>
    <w:uiPriority w:val="99"/>
    <w:semiHidden/>
    <w:rsid w:val="002B6FD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B91"/>
    <w:pPr>
      <w:ind w:left="720"/>
      <w:contextualSpacing/>
    </w:pPr>
  </w:style>
  <w:style w:type="paragraph" w:styleId="Encabezado">
    <w:name w:val="header"/>
    <w:basedOn w:val="Normal"/>
    <w:link w:val="EncabezadoCar"/>
    <w:uiPriority w:val="99"/>
    <w:semiHidden/>
    <w:unhideWhenUsed/>
    <w:rsid w:val="00592B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2B91"/>
  </w:style>
  <w:style w:type="paragraph" w:customStyle="1" w:styleId="Piedepgina1">
    <w:name w:val="Pie de página1"/>
    <w:basedOn w:val="Normal"/>
    <w:next w:val="Piedepgina"/>
    <w:link w:val="PiedepginaCar"/>
    <w:uiPriority w:val="99"/>
    <w:unhideWhenUsed/>
    <w:rsid w:val="00592B91"/>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1"/>
    <w:uiPriority w:val="99"/>
    <w:rsid w:val="00592B91"/>
    <w:rPr>
      <w:sz w:val="24"/>
      <w:lang w:val="es-MX"/>
    </w:rPr>
  </w:style>
  <w:style w:type="table" w:customStyle="1" w:styleId="Tablaconcuadrcula1">
    <w:name w:val="Tabla con cuadrícula1"/>
    <w:basedOn w:val="Tablanormal"/>
    <w:next w:val="Tablaconcuadrcula"/>
    <w:uiPriority w:val="39"/>
    <w:rsid w:val="0059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next w:val="Sinespaciado"/>
    <w:uiPriority w:val="1"/>
    <w:qFormat/>
    <w:rsid w:val="00592B91"/>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92B91"/>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592B91"/>
    <w:rPr>
      <w:vertAlign w:val="superscript"/>
    </w:rPr>
  </w:style>
  <w:style w:type="table" w:styleId="Tablaconcuadrcula">
    <w:name w:val="Table Grid"/>
    <w:basedOn w:val="Tablanormal"/>
    <w:uiPriority w:val="59"/>
    <w:rsid w:val="0059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92B91"/>
    <w:pPr>
      <w:spacing w:after="0" w:line="240" w:lineRule="auto"/>
    </w:pPr>
    <w:rPr>
      <w:sz w:val="20"/>
      <w:szCs w:val="20"/>
      <w:lang w:val="es-MX"/>
    </w:rPr>
  </w:style>
  <w:style w:type="character" w:customStyle="1" w:styleId="TextonotapieCar1">
    <w:name w:val="Texto nota pie Car1"/>
    <w:basedOn w:val="Fuentedeprrafopredeter"/>
    <w:uiPriority w:val="99"/>
    <w:semiHidden/>
    <w:rsid w:val="00592B91"/>
    <w:rPr>
      <w:sz w:val="20"/>
      <w:szCs w:val="20"/>
    </w:rPr>
  </w:style>
  <w:style w:type="paragraph" w:customStyle="1" w:styleId="Appelnotedebasde">
    <w:name w:val="Appel note de bas de..."/>
    <w:basedOn w:val="Normal"/>
    <w:link w:val="Refdenotaalpie"/>
    <w:uiPriority w:val="99"/>
    <w:rsid w:val="00592B91"/>
    <w:pPr>
      <w:spacing w:after="160" w:line="240" w:lineRule="exact"/>
    </w:pPr>
    <w:rPr>
      <w:vertAlign w:val="superscript"/>
    </w:rPr>
  </w:style>
  <w:style w:type="paragraph" w:styleId="Piedepgina">
    <w:name w:val="footer"/>
    <w:basedOn w:val="Normal"/>
    <w:link w:val="PiedepginaCar1"/>
    <w:uiPriority w:val="99"/>
    <w:semiHidden/>
    <w:unhideWhenUsed/>
    <w:rsid w:val="00592B91"/>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592B91"/>
  </w:style>
  <w:style w:type="paragraph" w:styleId="Sinespaciado">
    <w:name w:val="No Spacing"/>
    <w:uiPriority w:val="1"/>
    <w:qFormat/>
    <w:rsid w:val="00592B91"/>
    <w:pPr>
      <w:spacing w:after="0" w:line="240" w:lineRule="auto"/>
    </w:pPr>
  </w:style>
  <w:style w:type="paragraph" w:styleId="Textodeglobo">
    <w:name w:val="Balloon Text"/>
    <w:basedOn w:val="Normal"/>
    <w:link w:val="TextodegloboCar"/>
    <w:uiPriority w:val="99"/>
    <w:semiHidden/>
    <w:unhideWhenUsed/>
    <w:rsid w:val="00592B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B91"/>
    <w:rPr>
      <w:rFonts w:ascii="Tahoma" w:hAnsi="Tahoma" w:cs="Tahoma"/>
      <w:sz w:val="16"/>
      <w:szCs w:val="16"/>
    </w:rPr>
  </w:style>
  <w:style w:type="character" w:styleId="Refdecomentario">
    <w:name w:val="annotation reference"/>
    <w:basedOn w:val="Fuentedeprrafopredeter"/>
    <w:uiPriority w:val="99"/>
    <w:semiHidden/>
    <w:unhideWhenUsed/>
    <w:rsid w:val="009C4C68"/>
    <w:rPr>
      <w:sz w:val="16"/>
      <w:szCs w:val="16"/>
    </w:rPr>
  </w:style>
  <w:style w:type="paragraph" w:styleId="Textocomentario">
    <w:name w:val="annotation text"/>
    <w:basedOn w:val="Normal"/>
    <w:link w:val="TextocomentarioCar"/>
    <w:uiPriority w:val="99"/>
    <w:unhideWhenUsed/>
    <w:rsid w:val="009C4C68"/>
    <w:pPr>
      <w:spacing w:line="240" w:lineRule="auto"/>
    </w:pPr>
    <w:rPr>
      <w:sz w:val="20"/>
      <w:szCs w:val="20"/>
    </w:rPr>
  </w:style>
  <w:style w:type="character" w:customStyle="1" w:styleId="TextocomentarioCar">
    <w:name w:val="Texto comentario Car"/>
    <w:basedOn w:val="Fuentedeprrafopredeter"/>
    <w:link w:val="Textocomentario"/>
    <w:uiPriority w:val="99"/>
    <w:rsid w:val="009C4C68"/>
    <w:rPr>
      <w:sz w:val="20"/>
      <w:szCs w:val="20"/>
    </w:rPr>
  </w:style>
  <w:style w:type="paragraph" w:styleId="Asuntodelcomentario">
    <w:name w:val="annotation subject"/>
    <w:basedOn w:val="Textocomentario"/>
    <w:next w:val="Textocomentario"/>
    <w:link w:val="AsuntodelcomentarioCar"/>
    <w:uiPriority w:val="99"/>
    <w:semiHidden/>
    <w:unhideWhenUsed/>
    <w:rsid w:val="009C4C68"/>
    <w:rPr>
      <w:b/>
      <w:bCs/>
    </w:rPr>
  </w:style>
  <w:style w:type="character" w:customStyle="1" w:styleId="AsuntodelcomentarioCar">
    <w:name w:val="Asunto del comentario Car"/>
    <w:basedOn w:val="TextocomentarioCar"/>
    <w:link w:val="Asuntodelcomentario"/>
    <w:uiPriority w:val="99"/>
    <w:semiHidden/>
    <w:rsid w:val="009C4C68"/>
    <w:rPr>
      <w:b/>
      <w:bCs/>
      <w:sz w:val="20"/>
      <w:szCs w:val="20"/>
    </w:rPr>
  </w:style>
  <w:style w:type="paragraph" w:styleId="Revisin">
    <w:name w:val="Revision"/>
    <w:hidden/>
    <w:uiPriority w:val="99"/>
    <w:semiHidden/>
    <w:rsid w:val="002B6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079D-67A8-42C6-A3F1-246CD5C9F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FDE1E-6EB7-4ED4-94BC-B493D2E7E844}">
  <ds:schemaRefs>
    <ds:schemaRef ds:uri="http://schemas.microsoft.com/sharepoint/v3/contenttype/forms"/>
  </ds:schemaRefs>
</ds:datastoreItem>
</file>

<file path=customXml/itemProps3.xml><?xml version="1.0" encoding="utf-8"?>
<ds:datastoreItem xmlns:ds="http://schemas.openxmlformats.org/officeDocument/2006/customXml" ds:itemID="{9C86A386-8F8B-485C-93BC-0509BA08D1B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FA9D8E2-E4F2-224D-893F-53DE695E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5115</Words>
  <Characters>28137</Characters>
  <Application>Microsoft Macintosh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ABZ</dc:creator>
  <cp:lastModifiedBy>Claudia Carrillo</cp:lastModifiedBy>
  <cp:revision>3</cp:revision>
  <dcterms:created xsi:type="dcterms:W3CDTF">2021-05-28T14:17:00Z</dcterms:created>
  <dcterms:modified xsi:type="dcterms:W3CDTF">2021-05-28T14:24:00Z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