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D0F5" w14:textId="79DBDD34" w:rsidR="00D9457C" w:rsidRPr="00A32529" w:rsidRDefault="00904CD9" w:rsidP="00FE0395">
      <w:pPr>
        <w:spacing w:after="0" w:line="240" w:lineRule="auto"/>
        <w:jc w:val="right"/>
        <w:rPr>
          <w:rFonts w:ascii="Arial" w:eastAsia="Calibri" w:hAnsi="Arial" w:cs="Arial"/>
          <w:b/>
          <w:bCs/>
          <w:sz w:val="20"/>
          <w:szCs w:val="20"/>
          <w:lang w:val="es-CO"/>
        </w:rPr>
      </w:pPr>
      <w:bookmarkStart w:id="0" w:name="_Hlk29890381"/>
      <w:bookmarkEnd w:id="0"/>
      <w:r w:rsidRPr="00A32529">
        <w:rPr>
          <w:rFonts w:ascii="Arial" w:eastAsia="Times New Roman" w:hAnsi="Arial" w:cs="Arial"/>
          <w:b/>
          <w:bCs/>
          <w:sz w:val="20"/>
          <w:szCs w:val="20"/>
          <w:lang w:val="es-CO" w:eastAsia="es-ES"/>
        </w:rPr>
        <w:t>CCE-DES-FM-17</w:t>
      </w:r>
    </w:p>
    <w:p w14:paraId="3B922040" w14:textId="77777777" w:rsidR="00FE0395" w:rsidRDefault="00FE0395" w:rsidP="00FE0395">
      <w:pPr>
        <w:spacing w:after="0" w:line="240" w:lineRule="auto"/>
        <w:rPr>
          <w:rFonts w:ascii="Arial" w:eastAsia="Calibri" w:hAnsi="Arial" w:cs="Arial"/>
          <w:b/>
          <w:sz w:val="22"/>
        </w:rPr>
      </w:pPr>
    </w:p>
    <w:p w14:paraId="77009C38" w14:textId="76DB17A4" w:rsidR="00432C5F" w:rsidRDefault="00432C5F" w:rsidP="00A8275B">
      <w:pPr>
        <w:spacing w:after="0" w:line="240" w:lineRule="auto"/>
        <w:rPr>
          <w:rFonts w:ascii="Arial" w:eastAsia="Calibri" w:hAnsi="Arial" w:cs="Arial"/>
          <w:b/>
          <w:sz w:val="22"/>
        </w:rPr>
      </w:pPr>
      <w:r w:rsidRPr="003D2137">
        <w:rPr>
          <w:rFonts w:ascii="Arial" w:eastAsia="Calibri" w:hAnsi="Arial" w:cs="Arial"/>
          <w:b/>
          <w:sz w:val="22"/>
        </w:rPr>
        <w:t xml:space="preserve">LEY DE GARANTÍAS ELECTORALES ─ </w:t>
      </w:r>
      <w:r w:rsidR="007130EA" w:rsidRPr="003D2137">
        <w:rPr>
          <w:rFonts w:ascii="Arial" w:eastAsia="Calibri" w:hAnsi="Arial" w:cs="Arial"/>
          <w:b/>
          <w:sz w:val="22"/>
        </w:rPr>
        <w:t xml:space="preserve">Definición – </w:t>
      </w:r>
      <w:r w:rsidRPr="003D2137">
        <w:rPr>
          <w:rFonts w:ascii="Arial" w:eastAsia="Calibri" w:hAnsi="Arial" w:cs="Arial"/>
          <w:b/>
          <w:sz w:val="22"/>
        </w:rPr>
        <w:t xml:space="preserve">Finalidad </w:t>
      </w:r>
    </w:p>
    <w:p w14:paraId="6FEC1D00" w14:textId="77777777" w:rsidR="00FE0395" w:rsidRPr="003D2137" w:rsidRDefault="00FE0395" w:rsidP="0022085C">
      <w:pPr>
        <w:spacing w:after="0" w:line="240" w:lineRule="auto"/>
        <w:rPr>
          <w:rFonts w:ascii="Arial" w:eastAsia="Calibri" w:hAnsi="Arial" w:cs="Arial"/>
          <w:b/>
          <w:sz w:val="22"/>
        </w:rPr>
      </w:pPr>
    </w:p>
    <w:p w14:paraId="5F872A57" w14:textId="5D6E86AC" w:rsidR="00B346CC" w:rsidRDefault="00A8275B" w:rsidP="0022085C">
      <w:pPr>
        <w:spacing w:after="0" w:line="240" w:lineRule="auto"/>
        <w:rPr>
          <w:rFonts w:ascii="Arial" w:eastAsia="Calibri" w:hAnsi="Arial" w:cs="Arial"/>
          <w:sz w:val="20"/>
          <w:szCs w:val="20"/>
        </w:rPr>
      </w:pPr>
      <w:r>
        <w:rPr>
          <w:rFonts w:ascii="Arial" w:eastAsia="Calibri" w:hAnsi="Arial" w:cs="Arial"/>
          <w:sz w:val="20"/>
          <w:szCs w:val="20"/>
        </w:rPr>
        <w:t xml:space="preserve">[…] </w:t>
      </w:r>
      <w:r w:rsidR="00B346CC" w:rsidRPr="00081E50">
        <w:rPr>
          <w:rFonts w:ascii="Arial" w:eastAsia="Calibri" w:hAnsi="Arial" w:cs="Arial"/>
          <w:sz w:val="20"/>
          <w:szCs w:val="20"/>
        </w:rPr>
        <w:t>la Ley 996 de 2005 se suma al andamiaje de orden constitucional y legal que se ha ocupado de evitar la injerencia inadecuada de intereses particulares en el ejercicio de la función pública, respecto a su finalidad, en la Gaceta</w:t>
      </w:r>
      <w:r w:rsidR="00802D30">
        <w:rPr>
          <w:rFonts w:ascii="Arial" w:eastAsia="Calibri" w:hAnsi="Arial" w:cs="Arial"/>
          <w:sz w:val="20"/>
          <w:szCs w:val="20"/>
        </w:rPr>
        <w:t xml:space="preserve"> del Congreso de la República</w:t>
      </w:r>
      <w:r w:rsidR="00B346CC" w:rsidRPr="00081E50">
        <w:rPr>
          <w:rFonts w:ascii="Arial" w:eastAsia="Calibri" w:hAnsi="Arial" w:cs="Arial"/>
          <w:sz w:val="20"/>
          <w:szCs w:val="20"/>
        </w:rPr>
        <w:t xml:space="preserve"> No. 71 del 2005 se observa que tiene como propósito evitar cua</w:t>
      </w:r>
      <w:r w:rsidR="00C01713">
        <w:rPr>
          <w:rFonts w:ascii="Arial" w:eastAsia="Calibri" w:hAnsi="Arial" w:cs="Arial"/>
          <w:sz w:val="20"/>
          <w:szCs w:val="20"/>
        </w:rPr>
        <w:t>lquier tipo de arbitrariedad,</w:t>
      </w:r>
      <w:r w:rsidR="00B346CC" w:rsidRPr="00081E50">
        <w:rPr>
          <w:rFonts w:ascii="Arial" w:eastAsia="Calibri" w:hAnsi="Arial" w:cs="Arial"/>
          <w:sz w:val="20"/>
          <w:szCs w:val="20"/>
        </w:rPr>
        <w:t xml:space="preserve"> ventaja</w:t>
      </w:r>
      <w:r w:rsidR="00C01713">
        <w:rPr>
          <w:rFonts w:ascii="Arial" w:eastAsia="Calibri" w:hAnsi="Arial" w:cs="Arial"/>
          <w:sz w:val="20"/>
          <w:szCs w:val="20"/>
        </w:rPr>
        <w:t xml:space="preserve"> injustificada, </w:t>
      </w:r>
      <w:r w:rsidR="00B346CC" w:rsidRPr="00081E50">
        <w:rPr>
          <w:rFonts w:ascii="Arial" w:eastAsia="Calibri" w:hAnsi="Arial" w:cs="Arial"/>
          <w:sz w:val="20"/>
          <w:szCs w:val="20"/>
        </w:rPr>
        <w:t xml:space="preserve"> uso irregular de los recursos del Estado en las campañas o falta de garantías en la elección presidencial,  introduciendo en el ordenamiento jurídico limitaciones para realizar nombramientos, postulaciones, contrataciones o cualquier otro tipo de actividad que implique destinación de recursos públicos bajo el devenir propio de las entidades estatales.</w:t>
      </w:r>
    </w:p>
    <w:p w14:paraId="37AB5460" w14:textId="77777777" w:rsidR="00081E50" w:rsidRPr="003D2137" w:rsidRDefault="00081E50" w:rsidP="0022085C">
      <w:pPr>
        <w:spacing w:after="0" w:line="240" w:lineRule="auto"/>
        <w:rPr>
          <w:rFonts w:ascii="Arial" w:eastAsia="Calibri" w:hAnsi="Arial" w:cs="Arial"/>
          <w:sz w:val="22"/>
        </w:rPr>
      </w:pPr>
    </w:p>
    <w:p w14:paraId="5DF6B8B8" w14:textId="47163B3B" w:rsidR="00081E50" w:rsidRPr="003D2137" w:rsidRDefault="00081E50" w:rsidP="0022085C">
      <w:pPr>
        <w:spacing w:after="0" w:line="240" w:lineRule="auto"/>
        <w:rPr>
          <w:rFonts w:ascii="Arial" w:eastAsia="Calibri" w:hAnsi="Arial" w:cs="Arial"/>
          <w:b/>
          <w:sz w:val="22"/>
        </w:rPr>
      </w:pPr>
      <w:r w:rsidRPr="003D2137">
        <w:rPr>
          <w:rFonts w:ascii="Arial" w:eastAsia="Calibri" w:hAnsi="Arial" w:cs="Arial"/>
          <w:b/>
          <w:sz w:val="22"/>
        </w:rPr>
        <w:t xml:space="preserve">LEY DE GARANTÍAS ‒ Restricciones para elecciones </w:t>
      </w:r>
      <w:r w:rsidR="004620B3">
        <w:rPr>
          <w:rFonts w:ascii="Arial" w:eastAsia="Calibri" w:hAnsi="Arial" w:cs="Arial"/>
          <w:b/>
          <w:sz w:val="22"/>
        </w:rPr>
        <w:t>–</w:t>
      </w:r>
      <w:r w:rsidRPr="003D2137">
        <w:rPr>
          <w:rFonts w:ascii="Arial" w:eastAsia="Calibri" w:hAnsi="Arial" w:cs="Arial"/>
          <w:b/>
          <w:sz w:val="22"/>
        </w:rPr>
        <w:t xml:space="preserve"> presidenciales</w:t>
      </w:r>
      <w:r w:rsidR="004620B3">
        <w:rPr>
          <w:rFonts w:ascii="Arial" w:eastAsia="Calibri" w:hAnsi="Arial" w:cs="Arial"/>
          <w:b/>
          <w:sz w:val="22"/>
        </w:rPr>
        <w:t xml:space="preserve"> </w:t>
      </w:r>
      <w:r w:rsidRPr="003D2137">
        <w:rPr>
          <w:rFonts w:ascii="Arial" w:eastAsia="Calibri" w:hAnsi="Arial" w:cs="Arial"/>
          <w:b/>
          <w:sz w:val="22"/>
        </w:rPr>
        <w:t xml:space="preserve">– </w:t>
      </w:r>
      <w:r w:rsidRPr="003D2137">
        <w:rPr>
          <w:rFonts w:ascii="Arial" w:eastAsia="Times New Roman" w:hAnsi="Arial" w:cs="Arial"/>
          <w:b/>
          <w:bCs/>
          <w:color w:val="000000"/>
          <w:sz w:val="22"/>
          <w:lang w:eastAsia="es-CO"/>
        </w:rPr>
        <w:t xml:space="preserve">cargos de elección popular  </w:t>
      </w:r>
    </w:p>
    <w:p w14:paraId="5D1956F7" w14:textId="77777777" w:rsidR="00081E50" w:rsidRPr="003E15E5" w:rsidRDefault="00081E50" w:rsidP="0022085C">
      <w:pPr>
        <w:spacing w:after="0" w:line="240" w:lineRule="auto"/>
        <w:rPr>
          <w:rFonts w:ascii="Arial" w:eastAsia="Calibri" w:hAnsi="Arial" w:cs="Arial"/>
          <w:bCs/>
          <w:sz w:val="20"/>
          <w:szCs w:val="20"/>
        </w:rPr>
      </w:pPr>
    </w:p>
    <w:p w14:paraId="302A1FB1" w14:textId="00F971E4" w:rsidR="00081E50" w:rsidRPr="00081E50" w:rsidRDefault="00081E50" w:rsidP="00474434">
      <w:pPr>
        <w:spacing w:after="0" w:line="240" w:lineRule="auto"/>
        <w:rPr>
          <w:rFonts w:ascii="Arial" w:eastAsia="Times New Roman" w:hAnsi="Arial" w:cs="Arial"/>
          <w:bCs/>
          <w:color w:val="000000"/>
          <w:sz w:val="20"/>
          <w:szCs w:val="20"/>
          <w:lang w:eastAsia="es-CO"/>
        </w:rPr>
      </w:pPr>
      <w:r w:rsidRPr="003E15E5">
        <w:rPr>
          <w:rFonts w:ascii="Arial" w:eastAsia="Calibri" w:hAnsi="Arial" w:cs="Arial"/>
          <w:bCs/>
          <w:sz w:val="20"/>
          <w:szCs w:val="20"/>
        </w:rPr>
        <w:t xml:space="preserve">En cuanto a la restricción especial para las elecciones presidenciales, queda prohibida la contratación directa por parte de todos los entes del Estado, salvo las excepciones legales existentes, así lo señala </w:t>
      </w:r>
      <w:r w:rsidR="006D5176" w:rsidRPr="003E15E5">
        <w:rPr>
          <w:rFonts w:ascii="Arial" w:eastAsia="Calibri" w:hAnsi="Arial" w:cs="Arial"/>
          <w:bCs/>
          <w:sz w:val="20"/>
          <w:szCs w:val="20"/>
        </w:rPr>
        <w:t>el artículo</w:t>
      </w:r>
      <w:r w:rsidRPr="003E15E5">
        <w:rPr>
          <w:rFonts w:ascii="Arial" w:eastAsia="Calibri" w:hAnsi="Arial" w:cs="Arial"/>
          <w:bCs/>
          <w:sz w:val="20"/>
          <w:szCs w:val="20"/>
        </w:rPr>
        <w:t xml:space="preserve"> 33 de la Ley 996 de 2005, a dicha prohibición se </w:t>
      </w:r>
      <w:r w:rsidRPr="003E15E5">
        <w:rPr>
          <w:rFonts w:ascii="Arial" w:eastAsia="Times New Roman" w:hAnsi="Arial" w:cs="Arial"/>
          <w:bCs/>
          <w:color w:val="000000"/>
          <w:sz w:val="20"/>
          <w:szCs w:val="20"/>
          <w:lang w:eastAsia="es-CO"/>
        </w:rPr>
        <w:t>suman las previstas para los comicios a cargos de elección popular, categoría que incluye la Presidencia de la República.</w:t>
      </w:r>
    </w:p>
    <w:p w14:paraId="5B0E9A99" w14:textId="77777777" w:rsidR="00081E50" w:rsidRPr="00081E50" w:rsidRDefault="00081E50">
      <w:pPr>
        <w:spacing w:after="0" w:line="240" w:lineRule="auto"/>
        <w:rPr>
          <w:rFonts w:ascii="Arial" w:eastAsia="Times New Roman" w:hAnsi="Arial" w:cs="Arial"/>
          <w:bCs/>
          <w:color w:val="000000"/>
          <w:sz w:val="20"/>
          <w:szCs w:val="20"/>
          <w:lang w:eastAsia="es-CO"/>
        </w:rPr>
      </w:pPr>
    </w:p>
    <w:p w14:paraId="5A4DBC7E" w14:textId="683E0E4E" w:rsidR="00081E50" w:rsidRPr="00081E50" w:rsidRDefault="00081E50">
      <w:pPr>
        <w:spacing w:after="0" w:line="240" w:lineRule="auto"/>
        <w:rPr>
          <w:rFonts w:ascii="Arial" w:eastAsia="Times New Roman" w:hAnsi="Arial" w:cs="Arial"/>
          <w:bCs/>
          <w:color w:val="000000"/>
          <w:sz w:val="20"/>
          <w:szCs w:val="20"/>
          <w:lang w:eastAsia="es-CO"/>
        </w:rPr>
      </w:pPr>
      <w:r w:rsidRPr="00081E50">
        <w:rPr>
          <w:rFonts w:ascii="Arial" w:eastAsia="Times New Roman" w:hAnsi="Arial" w:cs="Arial"/>
          <w:bCs/>
          <w:color w:val="000000"/>
          <w:sz w:val="20"/>
          <w:szCs w:val="20"/>
          <w:lang w:eastAsia="es-CO"/>
        </w:rPr>
        <w:t>Respecto a las elecciones a cargos de elección popular, 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w:t>
      </w:r>
      <w:r w:rsidR="00B70169">
        <w:rPr>
          <w:rFonts w:ascii="Arial" w:eastAsia="Times New Roman" w:hAnsi="Arial" w:cs="Arial"/>
          <w:bCs/>
          <w:color w:val="000000"/>
          <w:sz w:val="20"/>
          <w:szCs w:val="20"/>
          <w:lang w:eastAsia="es-CO"/>
        </w:rPr>
        <w:t>.</w:t>
      </w:r>
    </w:p>
    <w:p w14:paraId="7345109A" w14:textId="77777777" w:rsidR="00081E50" w:rsidRPr="00081E50" w:rsidRDefault="00081E50">
      <w:pPr>
        <w:spacing w:after="0" w:line="240" w:lineRule="auto"/>
        <w:rPr>
          <w:rFonts w:ascii="Arial" w:eastAsia="Times New Roman" w:hAnsi="Arial" w:cs="Arial"/>
          <w:bCs/>
          <w:color w:val="000000"/>
          <w:sz w:val="20"/>
          <w:szCs w:val="20"/>
          <w:lang w:eastAsia="es-CO"/>
        </w:rPr>
      </w:pPr>
    </w:p>
    <w:p w14:paraId="3B9AD430" w14:textId="0791519F" w:rsidR="00081E50" w:rsidRPr="00081E50" w:rsidRDefault="00081E50">
      <w:pPr>
        <w:spacing w:after="0" w:line="240" w:lineRule="auto"/>
        <w:rPr>
          <w:rFonts w:ascii="Arial" w:eastAsia="Calibri" w:hAnsi="Arial" w:cs="Arial"/>
          <w:bCs/>
          <w:sz w:val="20"/>
          <w:szCs w:val="20"/>
        </w:rPr>
      </w:pPr>
      <w:r w:rsidRPr="00081E50">
        <w:rPr>
          <w:rFonts w:ascii="Arial" w:eastAsia="Calibri" w:hAnsi="Arial" w:cs="Arial"/>
          <w:bCs/>
          <w:sz w:val="20"/>
          <w:szCs w:val="20"/>
        </w:rPr>
        <w:t>En ambos casos la Ley se aplicará durante los cuatro (4) meses anteriores a las elecciones y en el caso de la presidencial, hasta la realización de la elección en la segunda vuelta, coincidiendo con la delimitación temporal señalada para la campaña política.</w:t>
      </w:r>
    </w:p>
    <w:p w14:paraId="42D0C3DC" w14:textId="77777777" w:rsidR="00081E50" w:rsidRPr="00081E50" w:rsidRDefault="00081E50">
      <w:pPr>
        <w:spacing w:after="0" w:line="240" w:lineRule="auto"/>
        <w:rPr>
          <w:rFonts w:ascii="Arial" w:eastAsia="Calibri" w:hAnsi="Arial" w:cs="Arial"/>
          <w:sz w:val="20"/>
          <w:szCs w:val="20"/>
        </w:rPr>
      </w:pPr>
    </w:p>
    <w:p w14:paraId="3227E999" w14:textId="77777777" w:rsidR="00C60A58" w:rsidRPr="000E55ED" w:rsidRDefault="00C60A58" w:rsidP="007C6117">
      <w:pPr>
        <w:pStyle w:val="Textoindependiente"/>
        <w:spacing w:line="240" w:lineRule="auto"/>
        <w:ind w:right="116"/>
        <w:rPr>
          <w:b/>
        </w:rPr>
      </w:pPr>
      <w:r w:rsidRPr="000E55ED">
        <w:rPr>
          <w:b/>
        </w:rPr>
        <w:t xml:space="preserve">ACUERDO MARCO DE PRECIOS – Definición – Alcance </w:t>
      </w:r>
    </w:p>
    <w:p w14:paraId="726F2607" w14:textId="77777777" w:rsidR="00C60A58" w:rsidRPr="000E55ED" w:rsidRDefault="00C60A58" w:rsidP="007C6117">
      <w:pPr>
        <w:pStyle w:val="Textoindependiente"/>
        <w:spacing w:after="120" w:line="240" w:lineRule="auto"/>
        <w:ind w:right="116"/>
        <w:rPr>
          <w:sz w:val="20"/>
          <w:szCs w:val="20"/>
        </w:rPr>
      </w:pPr>
      <w:r w:rsidRPr="000E55ED">
        <w:rPr>
          <w:sz w:val="20"/>
          <w:szCs w:val="20"/>
        </w:rPr>
        <w:t>El concepto de acuerdo marco de precios era una categoría importada de otras legislaciones, usada para la contratación de bienes de rasgos comunes, con la finalidad de optimizar recursos y agilizar los procesos, a través de la unificación de precios de estos bienes para las entidades del Estado.</w:t>
      </w:r>
    </w:p>
    <w:p w14:paraId="2D12E071" w14:textId="77777777" w:rsidR="00C60A58" w:rsidRDefault="00C60A58" w:rsidP="007C6117">
      <w:pPr>
        <w:pStyle w:val="Textoindependiente"/>
        <w:spacing w:before="120" w:line="240" w:lineRule="auto"/>
        <w:ind w:right="116"/>
        <w:rPr>
          <w:sz w:val="20"/>
          <w:szCs w:val="20"/>
        </w:rPr>
      </w:pPr>
      <w:r w:rsidRPr="000E55ED">
        <w:rPr>
          <w:sz w:val="20"/>
          <w:szCs w:val="20"/>
        </w:rPr>
        <w:t>En ejercicio de la potestad reglamentaria, el Gobierno Nacional caracterizó el acuerdo marco de precios como el contrato celebrado entre uno o más proveedores y Colombia Compra Eficiente, para proveer a las Entidades Estatales de Bienes y Servicios de Características Técnicas Uniformes, en la forma, plazo y condiciones pactadas, de conformidad con las definiciones del artículo 2.2.1.1.1.3.1 del Decreto 1082 de 2015.</w:t>
      </w:r>
    </w:p>
    <w:p w14:paraId="441C291D" w14:textId="716C1149" w:rsidR="00D81B3A" w:rsidRPr="000E55ED" w:rsidRDefault="00D81B3A" w:rsidP="007C6117">
      <w:pPr>
        <w:pStyle w:val="Textoindependiente"/>
        <w:spacing w:line="240" w:lineRule="auto"/>
        <w:ind w:right="116"/>
      </w:pPr>
      <w:r w:rsidRPr="1C05B3A8">
        <w:rPr>
          <w:b/>
          <w:bCs/>
        </w:rPr>
        <w:t xml:space="preserve">AGENCIA NACIONAL DE CONTRATACIÓN PÚBLICA – COLOMBIA COMPRA EFICIENTE – Acuerdos marco de precios – Suscripción – Competencia </w:t>
      </w:r>
    </w:p>
    <w:p w14:paraId="5AE7FB5F" w14:textId="612F22DC" w:rsidR="00D81B3A" w:rsidRPr="000E55ED" w:rsidRDefault="00D81B3A" w:rsidP="00881742">
      <w:pPr>
        <w:pStyle w:val="Textoindependiente"/>
        <w:spacing w:line="240" w:lineRule="auto"/>
        <w:ind w:right="116"/>
        <w:rPr>
          <w:sz w:val="21"/>
          <w:szCs w:val="21"/>
        </w:rPr>
      </w:pPr>
      <w:r w:rsidRPr="000E55ED">
        <w:rPr>
          <w:sz w:val="20"/>
          <w:szCs w:val="20"/>
        </w:rPr>
        <w:lastRenderedPageBreak/>
        <w:t>En ejercicio de la competencia señalada en el numeral 7 del artículo 3 del Decreto 4170 de 2011, la Agencia Nacional de Contratación Pública – Colombia Compra Eficiente periódicamente adelanta procesos de contratación para suscribir acuerdos marco de precios, teniendo en cuenta los bienes y servicios de características técnicas uniformes contenidos en los planes anuales de adquisiciones de las entidades estatales. Adicionalmente, dichas entidades estatales pueden solicitar a la Agencia Nacional de Contratación Pública – Colombia Compra Eficiente la celebración de acuerdos marco de precios.</w:t>
      </w:r>
    </w:p>
    <w:p w14:paraId="78A661D1" w14:textId="77777777" w:rsidR="00904CD9" w:rsidRPr="00C60A58" w:rsidRDefault="00904CD9" w:rsidP="00904CD9">
      <w:pPr>
        <w:rPr>
          <w:rFonts w:ascii="Arial" w:eastAsia="Calibri" w:hAnsi="Arial" w:cs="Arial"/>
          <w:bCs/>
          <w:sz w:val="20"/>
          <w:szCs w:val="20"/>
          <w:highlight w:val="yellow"/>
          <w:lang w:val="es-ES"/>
        </w:rPr>
      </w:pPr>
    </w:p>
    <w:p w14:paraId="239D7163" w14:textId="77777777" w:rsidR="00405524" w:rsidRPr="00A02DEF" w:rsidRDefault="007252B4">
      <w:pPr>
        <w:rPr>
          <w:rFonts w:ascii="Arial" w:eastAsia="Calibri" w:hAnsi="Arial" w:cs="Arial"/>
          <w:sz w:val="20"/>
          <w:szCs w:val="20"/>
          <w:highlight w:val="yellow"/>
          <w:lang w:val="es-CO"/>
        </w:rPr>
      </w:pPr>
      <w:r w:rsidRPr="00A02DEF">
        <w:rPr>
          <w:rFonts w:ascii="Arial" w:eastAsia="Calibri" w:hAnsi="Arial" w:cs="Arial"/>
          <w:sz w:val="20"/>
          <w:szCs w:val="20"/>
          <w:highlight w:val="yellow"/>
          <w:lang w:val="es-CO"/>
        </w:rPr>
        <w:br w:type="page"/>
      </w:r>
    </w:p>
    <w:p w14:paraId="5071852A" w14:textId="26D9F036" w:rsidR="00501FA2" w:rsidRDefault="00501FA2" w:rsidP="00501FA2">
      <w:pPr>
        <w:spacing w:after="0"/>
        <w:jc w:val="left"/>
        <w:rPr>
          <w:rFonts w:ascii="Arial" w:eastAsia="Calibri" w:hAnsi="Arial" w:cs="Arial"/>
          <w:sz w:val="22"/>
        </w:rPr>
      </w:pPr>
      <w:r>
        <w:rPr>
          <w:noProof/>
        </w:rPr>
        <w:lastRenderedPageBreak/>
        <w:drawing>
          <wp:anchor distT="0" distB="0" distL="114300" distR="114300" simplePos="0" relativeHeight="251662336" behindDoc="0" locked="0" layoutInCell="1" allowOverlap="1" wp14:anchorId="376D5F1F" wp14:editId="4CA31142">
            <wp:simplePos x="4143375" y="1847850"/>
            <wp:positionH relativeFrom="column">
              <wp:align>right</wp:align>
            </wp:positionH>
            <wp:positionV relativeFrom="paragraph">
              <wp:align>top</wp:align>
            </wp:positionV>
            <wp:extent cx="2505075" cy="8286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5075" cy="828675"/>
                    </a:xfrm>
                    <a:prstGeom prst="rect">
                      <a:avLst/>
                    </a:prstGeom>
                  </pic:spPr>
                </pic:pic>
              </a:graphicData>
            </a:graphic>
          </wp:anchor>
        </w:drawing>
      </w:r>
      <w:r>
        <w:rPr>
          <w:rFonts w:ascii="Arial" w:eastAsia="Calibri" w:hAnsi="Arial" w:cs="Arial"/>
          <w:sz w:val="22"/>
        </w:rPr>
        <w:br w:type="textWrapping" w:clear="all"/>
      </w:r>
    </w:p>
    <w:p w14:paraId="535DD622" w14:textId="23ACB631" w:rsidR="00FE0395" w:rsidRPr="0088473D" w:rsidRDefault="00501FA2" w:rsidP="00FE0395">
      <w:pPr>
        <w:tabs>
          <w:tab w:val="left" w:pos="3374"/>
        </w:tabs>
        <w:spacing w:after="0"/>
        <w:rPr>
          <w:rFonts w:ascii="Arial" w:eastAsia="Calibri" w:hAnsi="Arial" w:cs="Arial"/>
          <w:noProof/>
          <w:lang w:val="es-ES_tradnl"/>
        </w:rPr>
      </w:pPr>
      <w:r>
        <w:t xml:space="preserve">Bogotá D.C., 24 </w:t>
      </w:r>
      <w:proofErr w:type="gramStart"/>
      <w:r>
        <w:t>Mayo</w:t>
      </w:r>
      <w:proofErr w:type="gramEnd"/>
      <w:r>
        <w:t xml:space="preserve"> 2021</w:t>
      </w:r>
    </w:p>
    <w:p w14:paraId="51ECB6B5" w14:textId="77777777" w:rsidR="00FE0395" w:rsidRPr="0088473D" w:rsidRDefault="00FE0395" w:rsidP="00FE0395">
      <w:pPr>
        <w:tabs>
          <w:tab w:val="left" w:pos="3374"/>
        </w:tabs>
        <w:spacing w:after="0"/>
        <w:rPr>
          <w:rFonts w:ascii="Arial" w:eastAsia="Calibri" w:hAnsi="Arial" w:cs="Arial"/>
          <w:noProof/>
          <w:lang w:val="es-ES_tradnl"/>
        </w:rPr>
      </w:pPr>
    </w:p>
    <w:p w14:paraId="32503595" w14:textId="0D4C8B7D" w:rsidR="00904CD9" w:rsidRPr="002D5D70" w:rsidRDefault="00904CD9" w:rsidP="00FE0395">
      <w:pPr>
        <w:spacing w:after="0" w:line="240" w:lineRule="auto"/>
        <w:rPr>
          <w:rFonts w:ascii="Arial" w:eastAsia="Calibri" w:hAnsi="Arial" w:cs="Arial"/>
          <w:sz w:val="22"/>
          <w:lang w:val="es-CO"/>
        </w:rPr>
      </w:pPr>
      <w:r w:rsidRPr="002D5D70">
        <w:rPr>
          <w:rFonts w:ascii="Arial" w:eastAsia="Calibri" w:hAnsi="Arial" w:cs="Arial"/>
          <w:sz w:val="22"/>
          <w:lang w:val="es-CO"/>
        </w:rPr>
        <w:t>Señor</w:t>
      </w:r>
    </w:p>
    <w:p w14:paraId="5DECA3E4" w14:textId="28FE3C2B" w:rsidR="00901CD9" w:rsidRDefault="006D5176" w:rsidP="00FE0395">
      <w:pPr>
        <w:spacing w:after="0" w:line="240" w:lineRule="auto"/>
        <w:rPr>
          <w:rFonts w:ascii="Arial" w:eastAsia="Calibri" w:hAnsi="Arial" w:cs="Arial"/>
          <w:b/>
          <w:sz w:val="22"/>
          <w:lang w:val="es-CO"/>
        </w:rPr>
      </w:pPr>
      <w:r>
        <w:rPr>
          <w:rFonts w:ascii="Arial" w:eastAsia="Calibri" w:hAnsi="Arial" w:cs="Arial"/>
          <w:b/>
          <w:sz w:val="22"/>
          <w:lang w:val="es-CO"/>
        </w:rPr>
        <w:t>Andrés</w:t>
      </w:r>
      <w:r w:rsidR="001D0988">
        <w:rPr>
          <w:rFonts w:ascii="Arial" w:eastAsia="Calibri" w:hAnsi="Arial" w:cs="Arial"/>
          <w:b/>
          <w:sz w:val="22"/>
          <w:lang w:val="es-CO"/>
        </w:rPr>
        <w:t xml:space="preserve"> Ricardo Jiménez Bohó</w:t>
      </w:r>
      <w:r w:rsidR="00901CD9" w:rsidRPr="00901CD9">
        <w:rPr>
          <w:rFonts w:ascii="Arial" w:eastAsia="Calibri" w:hAnsi="Arial" w:cs="Arial"/>
          <w:b/>
          <w:sz w:val="22"/>
          <w:lang w:val="es-CO"/>
        </w:rPr>
        <w:t xml:space="preserve">rquez </w:t>
      </w:r>
    </w:p>
    <w:p w14:paraId="6E60E433" w14:textId="5A584BB3" w:rsidR="00904CD9" w:rsidRPr="002D5D70" w:rsidRDefault="00086C08" w:rsidP="00FE0395">
      <w:pPr>
        <w:spacing w:after="0" w:line="240" w:lineRule="auto"/>
        <w:rPr>
          <w:rFonts w:ascii="Arial" w:eastAsia="Calibri" w:hAnsi="Arial" w:cs="Arial"/>
          <w:sz w:val="22"/>
          <w:lang w:val="es-CO"/>
        </w:rPr>
      </w:pPr>
      <w:r w:rsidRPr="002D5D70">
        <w:rPr>
          <w:rFonts w:ascii="Arial" w:eastAsia="Calibri" w:hAnsi="Arial" w:cs="Arial"/>
          <w:sz w:val="22"/>
          <w:lang w:val="es-CO"/>
        </w:rPr>
        <w:t>Medellín, Antioquia</w:t>
      </w:r>
    </w:p>
    <w:p w14:paraId="2AAF63C0" w14:textId="25929218" w:rsidR="00901CD9" w:rsidRDefault="00901CD9" w:rsidP="00901CD9">
      <w:pPr>
        <w:spacing w:after="0" w:line="240" w:lineRule="auto"/>
        <w:rPr>
          <w:rFonts w:ascii="Arial" w:eastAsia="Times New Roman" w:hAnsi="Arial" w:cs="Arial"/>
          <w:sz w:val="22"/>
          <w:lang w:eastAsia="es-CO"/>
        </w:rPr>
      </w:pPr>
      <w:r>
        <w:rPr>
          <w:rFonts w:ascii="Arial" w:eastAsia="Times New Roman" w:hAnsi="Arial" w:cs="Arial"/>
          <w:sz w:val="22"/>
          <w:lang w:eastAsia="es-CO"/>
        </w:rPr>
        <w:t>jianri8</w:t>
      </w:r>
      <w:r w:rsidRPr="002D5D70">
        <w:rPr>
          <w:rFonts w:ascii="Arial" w:eastAsia="Times New Roman" w:hAnsi="Arial" w:cs="Arial"/>
          <w:sz w:val="22"/>
          <w:lang w:eastAsia="es-CO"/>
        </w:rPr>
        <w:t>@</w:t>
      </w:r>
      <w:r>
        <w:rPr>
          <w:rFonts w:ascii="Arial" w:eastAsia="Times New Roman" w:hAnsi="Arial" w:cs="Arial"/>
          <w:sz w:val="22"/>
          <w:lang w:eastAsia="es-CO"/>
        </w:rPr>
        <w:t>hot</w:t>
      </w:r>
      <w:r w:rsidRPr="002D5D70">
        <w:rPr>
          <w:rFonts w:ascii="Arial" w:eastAsia="Times New Roman" w:hAnsi="Arial" w:cs="Arial"/>
          <w:sz w:val="22"/>
          <w:lang w:eastAsia="es-CO"/>
        </w:rPr>
        <w:t>mail.com</w:t>
      </w:r>
    </w:p>
    <w:p w14:paraId="6377CEDE" w14:textId="77777777" w:rsidR="00901CD9" w:rsidRPr="002D5D70" w:rsidRDefault="00901CD9" w:rsidP="00901CD9">
      <w:pPr>
        <w:spacing w:after="0" w:line="240" w:lineRule="auto"/>
        <w:rPr>
          <w:rFonts w:ascii="Arial" w:eastAsia="Times New Roman" w:hAnsi="Arial" w:cs="Arial"/>
          <w:color w:val="000000"/>
          <w:sz w:val="22"/>
          <w:lang w:eastAsia="es-CO"/>
        </w:rPr>
      </w:pPr>
    </w:p>
    <w:p w14:paraId="44D4BC65" w14:textId="77777777" w:rsidR="002D5D70" w:rsidRPr="002D5D70" w:rsidRDefault="002D5D70" w:rsidP="00FE0395">
      <w:pPr>
        <w:spacing w:after="0" w:line="240" w:lineRule="auto"/>
        <w:rPr>
          <w:rFonts w:ascii="Arial" w:eastAsia="Calibri" w:hAnsi="Arial" w:cs="Arial"/>
          <w:sz w:val="22"/>
          <w:lang w:val="es-CO"/>
        </w:rPr>
      </w:pPr>
    </w:p>
    <w:p w14:paraId="52B37521" w14:textId="431B450B" w:rsidR="00904CD9" w:rsidRDefault="00904CD9" w:rsidP="00FE0395">
      <w:pPr>
        <w:spacing w:after="0" w:line="240" w:lineRule="auto"/>
        <w:rPr>
          <w:rFonts w:ascii="Arial" w:hAnsi="Arial" w:cs="Arial"/>
          <w:sz w:val="22"/>
          <w:lang w:val="es-CO"/>
        </w:rPr>
      </w:pPr>
      <w:r w:rsidRPr="002D5D70">
        <w:rPr>
          <w:rFonts w:ascii="Arial" w:eastAsia="Calibri" w:hAnsi="Arial" w:cs="Arial"/>
          <w:sz w:val="22"/>
          <w:lang w:val="es-CO"/>
        </w:rPr>
        <w:t xml:space="preserve">                                            </w:t>
      </w:r>
      <w:r w:rsidRPr="00B12C69">
        <w:rPr>
          <w:rFonts w:ascii="Arial" w:eastAsia="Calibri" w:hAnsi="Arial" w:cs="Arial"/>
          <w:b/>
          <w:sz w:val="22"/>
          <w:lang w:val="es-CO"/>
        </w:rPr>
        <w:t xml:space="preserve">Concepto C – </w:t>
      </w:r>
      <w:r w:rsidR="004E06CD">
        <w:rPr>
          <w:rFonts w:ascii="Arial" w:eastAsia="Calibri" w:hAnsi="Arial" w:cs="Arial"/>
          <w:b/>
          <w:sz w:val="22"/>
          <w:lang w:val="es-CO"/>
        </w:rPr>
        <w:t xml:space="preserve">227 </w:t>
      </w:r>
      <w:r w:rsidR="00285D82" w:rsidRPr="00B12C69">
        <w:rPr>
          <w:rFonts w:ascii="Arial" w:eastAsia="Calibri" w:hAnsi="Arial" w:cs="Arial"/>
          <w:b/>
          <w:sz w:val="22"/>
          <w:lang w:val="es-CO"/>
        </w:rPr>
        <w:t>de 2021</w:t>
      </w:r>
      <w:r w:rsidR="00B346CC" w:rsidRPr="00B12C69">
        <w:rPr>
          <w:rFonts w:ascii="Arial" w:hAnsi="Arial" w:cs="Arial"/>
          <w:sz w:val="22"/>
          <w:lang w:val="es-CO"/>
        </w:rPr>
        <w:t xml:space="preserve"> </w:t>
      </w:r>
    </w:p>
    <w:p w14:paraId="6316E3D6" w14:textId="77777777" w:rsidR="00FE0395" w:rsidRPr="002D5D70" w:rsidRDefault="00FE0395" w:rsidP="00FE0395">
      <w:pPr>
        <w:spacing w:after="0" w:line="240" w:lineRule="auto"/>
        <w:rPr>
          <w:rFonts w:ascii="Arial" w:eastAsia="Calibri" w:hAnsi="Arial" w:cs="Arial"/>
          <w:b/>
          <w:sz w:val="22"/>
          <w:highlight w:val="yellow"/>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E0395" w:rsidRPr="00FE0395" w14:paraId="1701BC3D" w14:textId="77777777" w:rsidTr="005D2E72">
        <w:trPr>
          <w:trHeight w:val="1038"/>
        </w:trPr>
        <w:tc>
          <w:tcPr>
            <w:tcW w:w="2689" w:type="dxa"/>
            <w:hideMark/>
          </w:tcPr>
          <w:p w14:paraId="69F7D7B9" w14:textId="77777777" w:rsidR="00FE0395" w:rsidRPr="00FE0395" w:rsidRDefault="00FE0395" w:rsidP="005D2E72">
            <w:pPr>
              <w:ind w:left="720"/>
              <w:contextualSpacing/>
              <w:rPr>
                <w:rFonts w:ascii="Arial" w:eastAsia="Calibri" w:hAnsi="Arial" w:cs="Arial"/>
                <w:noProof/>
                <w:sz w:val="22"/>
                <w:lang w:val="es-ES_tradnl"/>
              </w:rPr>
            </w:pPr>
            <w:r w:rsidRPr="00FE0395">
              <w:rPr>
                <w:rFonts w:ascii="Arial" w:eastAsia="Calibri" w:hAnsi="Arial" w:cs="Arial"/>
                <w:b/>
                <w:noProof/>
                <w:sz w:val="22"/>
                <w:lang w:val="es-ES_tradnl"/>
              </w:rPr>
              <w:t>Temas:</w:t>
            </w:r>
            <w:r w:rsidRPr="00FE0395">
              <w:rPr>
                <w:rFonts w:ascii="Arial" w:eastAsia="Calibri" w:hAnsi="Arial" w:cs="Arial"/>
                <w:noProof/>
                <w:sz w:val="22"/>
                <w:lang w:val="es-ES_tradnl"/>
              </w:rPr>
              <w:t xml:space="preserve">        </w:t>
            </w:r>
          </w:p>
        </w:tc>
        <w:tc>
          <w:tcPr>
            <w:tcW w:w="6237" w:type="dxa"/>
            <w:hideMark/>
          </w:tcPr>
          <w:p w14:paraId="641BBBD5" w14:textId="19FC131F" w:rsidR="00FE0395" w:rsidRPr="00FE0395" w:rsidRDefault="00FE0395" w:rsidP="00A70419">
            <w:pPr>
              <w:spacing w:after="120"/>
              <w:contextualSpacing/>
              <w:jc w:val="both"/>
              <w:rPr>
                <w:rFonts w:ascii="Arial" w:eastAsia="Calibri" w:hAnsi="Arial" w:cs="Arial"/>
                <w:b/>
                <w:sz w:val="22"/>
              </w:rPr>
            </w:pPr>
            <w:r w:rsidRPr="00FE0395">
              <w:rPr>
                <w:rFonts w:ascii="Arial" w:eastAsia="Calibri" w:hAnsi="Arial" w:cs="Arial"/>
                <w:sz w:val="22"/>
              </w:rPr>
              <w:t xml:space="preserve">LEY DE GARANTÍAS </w:t>
            </w:r>
            <w:proofErr w:type="gramStart"/>
            <w:r w:rsidRPr="00FE0395">
              <w:rPr>
                <w:rFonts w:ascii="Arial" w:eastAsia="Calibri" w:hAnsi="Arial" w:cs="Arial"/>
                <w:sz w:val="22"/>
              </w:rPr>
              <w:t>ELECTORALES  ─</w:t>
            </w:r>
            <w:proofErr w:type="gramEnd"/>
            <w:r w:rsidRPr="00FE0395">
              <w:rPr>
                <w:rFonts w:ascii="Arial" w:eastAsia="Calibri" w:hAnsi="Arial" w:cs="Arial"/>
                <w:sz w:val="22"/>
              </w:rPr>
              <w:t xml:space="preserve">  Definición – Finalidad ─ / LEY DE      GARANTÍAS ‒ Restricciones para elecciones presidenciales– cargos de elección popular –  </w:t>
            </w:r>
            <w:r w:rsidR="00D81B3A">
              <w:rPr>
                <w:rFonts w:ascii="Arial" w:eastAsia="Calibri" w:hAnsi="Arial" w:cs="Arial"/>
                <w:sz w:val="22"/>
              </w:rPr>
              <w:t xml:space="preserve">/ </w:t>
            </w:r>
            <w:r w:rsidR="00D81B3A" w:rsidRPr="00D81B3A">
              <w:rPr>
                <w:rFonts w:ascii="Arial" w:eastAsia="Calibri" w:hAnsi="Arial" w:cs="Arial"/>
                <w:sz w:val="22"/>
              </w:rPr>
              <w:t xml:space="preserve">ACUERDO MARCO DE PRECIOS – Definición – Alcance </w:t>
            </w:r>
            <w:r w:rsidR="00D81B3A">
              <w:rPr>
                <w:rFonts w:ascii="Arial" w:eastAsia="Calibri" w:hAnsi="Arial" w:cs="Arial"/>
                <w:sz w:val="22"/>
              </w:rPr>
              <w:t xml:space="preserve">/ </w:t>
            </w:r>
            <w:r w:rsidR="00D81B3A" w:rsidRPr="00D81B3A">
              <w:rPr>
                <w:rFonts w:ascii="Arial" w:eastAsia="Calibri" w:hAnsi="Arial" w:cs="Arial"/>
                <w:sz w:val="22"/>
              </w:rPr>
              <w:t>AGENCIA NACIONAL DE CONTRATACIÓN PÚBLICA – COLOMBIA COMPRA EFICIENTE – Acuerdos marco de precios – Suscripción – Competencia</w:t>
            </w:r>
          </w:p>
        </w:tc>
      </w:tr>
      <w:tr w:rsidR="00FE0395" w:rsidRPr="00FE0395" w14:paraId="4074FCE6" w14:textId="77777777" w:rsidTr="005D2E72">
        <w:tc>
          <w:tcPr>
            <w:tcW w:w="2689" w:type="dxa"/>
          </w:tcPr>
          <w:p w14:paraId="389F2C2E" w14:textId="77777777" w:rsidR="00FE0395" w:rsidRPr="00FE0395" w:rsidRDefault="00FE0395" w:rsidP="005D2E72">
            <w:pPr>
              <w:ind w:left="720"/>
              <w:contextualSpacing/>
              <w:rPr>
                <w:rFonts w:ascii="Arial" w:eastAsia="Calibri" w:hAnsi="Arial" w:cs="Arial"/>
                <w:b/>
                <w:noProof/>
                <w:sz w:val="22"/>
                <w:lang w:val="es-ES_tradnl"/>
              </w:rPr>
            </w:pPr>
            <w:r w:rsidRPr="00FE0395">
              <w:rPr>
                <w:rFonts w:ascii="Arial" w:eastAsia="Calibri" w:hAnsi="Arial" w:cs="Arial"/>
                <w:b/>
                <w:noProof/>
                <w:sz w:val="22"/>
                <w:lang w:val="es-ES_tradnl"/>
              </w:rPr>
              <w:t>Radicación:</w:t>
            </w:r>
            <w:r w:rsidRPr="00FE0395">
              <w:rPr>
                <w:rFonts w:ascii="Arial" w:eastAsia="Calibri" w:hAnsi="Arial" w:cs="Arial"/>
                <w:noProof/>
                <w:sz w:val="22"/>
                <w:lang w:val="es-ES_tradnl"/>
              </w:rPr>
              <w:t xml:space="preserve">                              </w:t>
            </w:r>
          </w:p>
        </w:tc>
        <w:tc>
          <w:tcPr>
            <w:tcW w:w="6237" w:type="dxa"/>
          </w:tcPr>
          <w:p w14:paraId="4D6EA725" w14:textId="75999D6A" w:rsidR="00FE0395" w:rsidRPr="00FE0395" w:rsidRDefault="00FE0395" w:rsidP="00FE0395">
            <w:pPr>
              <w:spacing w:after="200" w:line="276" w:lineRule="auto"/>
              <w:contextualSpacing/>
              <w:jc w:val="both"/>
              <w:rPr>
                <w:rFonts w:ascii="Arial" w:eastAsia="Calibri" w:hAnsi="Arial" w:cs="Arial"/>
                <w:noProof/>
                <w:sz w:val="22"/>
                <w:lang w:val="es-ES_tradnl"/>
              </w:rPr>
            </w:pPr>
            <w:r w:rsidRPr="00FE0395">
              <w:rPr>
                <w:rFonts w:ascii="Arial" w:eastAsia="Calibri" w:hAnsi="Arial" w:cs="Arial"/>
                <w:noProof/>
                <w:sz w:val="22"/>
                <w:lang w:val="es-ES_tradnl"/>
              </w:rPr>
              <w:t xml:space="preserve">Respuesta a consulta </w:t>
            </w:r>
            <w:r w:rsidR="00CE72E3" w:rsidRPr="00CE72E3">
              <w:rPr>
                <w:rFonts w:ascii="Arial" w:eastAsia="Calibri" w:hAnsi="Arial" w:cs="Arial"/>
                <w:noProof/>
                <w:sz w:val="22"/>
                <w:lang w:val="es-ES_tradnl"/>
              </w:rPr>
              <w:t>P20210408002803</w:t>
            </w:r>
          </w:p>
          <w:p w14:paraId="290F0664" w14:textId="77777777" w:rsidR="00FE0395" w:rsidRPr="00FE0395" w:rsidRDefault="00FE0395" w:rsidP="00FE0395">
            <w:pPr>
              <w:ind w:left="720"/>
              <w:contextualSpacing/>
              <w:jc w:val="both"/>
              <w:rPr>
                <w:rFonts w:ascii="Arial" w:eastAsia="Calibri" w:hAnsi="Arial" w:cs="Arial"/>
                <w:noProof/>
                <w:sz w:val="22"/>
                <w:lang w:val="es-ES_tradnl"/>
              </w:rPr>
            </w:pPr>
          </w:p>
        </w:tc>
      </w:tr>
    </w:tbl>
    <w:p w14:paraId="0CB3D4D0" w14:textId="77777777" w:rsidR="00FE0395" w:rsidRPr="00FE0395" w:rsidRDefault="00FE0395" w:rsidP="00FE0395">
      <w:pPr>
        <w:spacing w:after="0" w:line="240" w:lineRule="auto"/>
        <w:rPr>
          <w:rFonts w:ascii="Arial" w:eastAsia="Calibri" w:hAnsi="Arial" w:cs="Arial"/>
          <w:sz w:val="22"/>
          <w:highlight w:val="yellow"/>
          <w:lang w:val="es-CO"/>
        </w:rPr>
      </w:pPr>
    </w:p>
    <w:p w14:paraId="0ADE9D41" w14:textId="1A921105" w:rsidR="00990612" w:rsidRPr="002D5D70" w:rsidRDefault="00990612" w:rsidP="00FE0395">
      <w:pPr>
        <w:spacing w:after="0" w:line="240" w:lineRule="auto"/>
        <w:rPr>
          <w:rFonts w:ascii="Arial" w:eastAsia="Calibri" w:hAnsi="Arial" w:cs="Arial"/>
          <w:sz w:val="22"/>
          <w:lang w:val="es-CO"/>
        </w:rPr>
      </w:pPr>
      <w:r w:rsidRPr="002D5D70">
        <w:rPr>
          <w:rFonts w:ascii="Arial" w:eastAsia="Calibri" w:hAnsi="Arial" w:cs="Arial"/>
          <w:sz w:val="22"/>
          <w:lang w:val="es-CO"/>
        </w:rPr>
        <w:t>Estimad</w:t>
      </w:r>
      <w:r w:rsidR="00901CD9">
        <w:rPr>
          <w:rFonts w:ascii="Arial" w:eastAsia="Calibri" w:hAnsi="Arial" w:cs="Arial"/>
          <w:sz w:val="22"/>
          <w:lang w:val="es-CO"/>
        </w:rPr>
        <w:t>o</w:t>
      </w:r>
      <w:r w:rsidRPr="002D5D70">
        <w:rPr>
          <w:rFonts w:ascii="Arial" w:eastAsia="Calibri" w:hAnsi="Arial" w:cs="Arial"/>
          <w:sz w:val="22"/>
          <w:lang w:val="es-CO"/>
        </w:rPr>
        <w:t xml:space="preserve"> señor </w:t>
      </w:r>
      <w:r w:rsidR="00901CD9">
        <w:rPr>
          <w:rFonts w:ascii="Arial" w:eastAsia="Calibri" w:hAnsi="Arial" w:cs="Arial"/>
          <w:sz w:val="22"/>
          <w:lang w:val="es-CO"/>
        </w:rPr>
        <w:t>Jiménez Bohórquez</w:t>
      </w:r>
      <w:r w:rsidRPr="002D5D70">
        <w:rPr>
          <w:rFonts w:ascii="Arial" w:eastAsia="Calibri" w:hAnsi="Arial" w:cs="Arial"/>
          <w:sz w:val="22"/>
          <w:lang w:val="es-CO"/>
        </w:rPr>
        <w:t>:</w:t>
      </w:r>
    </w:p>
    <w:p w14:paraId="19436ABB" w14:textId="77777777" w:rsidR="00990612" w:rsidRPr="002D5D70" w:rsidRDefault="00990612" w:rsidP="00FE0395">
      <w:pPr>
        <w:spacing w:after="0" w:line="240" w:lineRule="auto"/>
        <w:rPr>
          <w:rFonts w:ascii="Arial" w:eastAsia="Calibri" w:hAnsi="Arial" w:cs="Arial"/>
          <w:sz w:val="22"/>
          <w:lang w:val="es-CO"/>
        </w:rPr>
      </w:pPr>
    </w:p>
    <w:p w14:paraId="4A62508A" w14:textId="7F9475BC" w:rsidR="00990612" w:rsidRPr="002D5D70" w:rsidRDefault="00990612" w:rsidP="005A114C">
      <w:pPr>
        <w:spacing w:after="0"/>
        <w:ind w:right="51"/>
        <w:rPr>
          <w:rFonts w:ascii="Arial" w:eastAsia="Calibri" w:hAnsi="Arial" w:cs="Arial"/>
          <w:sz w:val="22"/>
          <w:lang w:val="es-CO"/>
        </w:rPr>
      </w:pPr>
      <w:r w:rsidRPr="002D5D70">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37E82" w:rsidRPr="002D5D70">
        <w:rPr>
          <w:rFonts w:ascii="Arial" w:eastAsia="Calibri" w:hAnsi="Arial" w:cs="Arial"/>
          <w:sz w:val="22"/>
          <w:lang w:val="es-CO"/>
        </w:rPr>
        <w:t xml:space="preserve"> </w:t>
      </w:r>
      <w:proofErr w:type="gramStart"/>
      <w:r w:rsidR="00E37E82" w:rsidRPr="002D5D70">
        <w:rPr>
          <w:rFonts w:ascii="Arial" w:eastAsia="Calibri" w:hAnsi="Arial" w:cs="Arial"/>
          <w:sz w:val="22"/>
          <w:lang w:val="es-CO"/>
        </w:rPr>
        <w:t xml:space="preserve">– </w:t>
      </w:r>
      <w:r w:rsidRPr="002D5D70">
        <w:rPr>
          <w:rFonts w:ascii="Arial" w:eastAsia="Calibri" w:hAnsi="Arial" w:cs="Arial"/>
          <w:sz w:val="22"/>
          <w:lang w:val="es-CO"/>
        </w:rPr>
        <w:t xml:space="preserve"> responde</w:t>
      </w:r>
      <w:proofErr w:type="gramEnd"/>
      <w:r w:rsidRPr="002D5D70">
        <w:rPr>
          <w:rFonts w:ascii="Arial" w:eastAsia="Calibri" w:hAnsi="Arial" w:cs="Arial"/>
          <w:sz w:val="22"/>
          <w:lang w:val="es-CO"/>
        </w:rPr>
        <w:t xml:space="preserve"> la consulta realizada el </w:t>
      </w:r>
      <w:r w:rsidR="00570BD6" w:rsidRPr="002D5D70">
        <w:rPr>
          <w:rFonts w:ascii="Arial" w:eastAsia="Calibri" w:hAnsi="Arial" w:cs="Arial"/>
          <w:sz w:val="22"/>
          <w:lang w:val="es-CO"/>
        </w:rPr>
        <w:t>1</w:t>
      </w:r>
      <w:r w:rsidR="00E3568A">
        <w:rPr>
          <w:rFonts w:ascii="Arial" w:eastAsia="Calibri" w:hAnsi="Arial" w:cs="Arial"/>
          <w:sz w:val="22"/>
          <w:lang w:val="es-CO"/>
        </w:rPr>
        <w:t xml:space="preserve">2 de abril </w:t>
      </w:r>
      <w:r w:rsidRPr="002D5D70">
        <w:rPr>
          <w:rFonts w:ascii="Arial" w:eastAsia="Calibri" w:hAnsi="Arial" w:cs="Arial"/>
          <w:sz w:val="22"/>
          <w:lang w:val="es-CO"/>
        </w:rPr>
        <w:t>de 202</w:t>
      </w:r>
      <w:r w:rsidR="00570BD6" w:rsidRPr="002D5D70">
        <w:rPr>
          <w:rFonts w:ascii="Arial" w:eastAsia="Calibri" w:hAnsi="Arial" w:cs="Arial"/>
          <w:sz w:val="22"/>
          <w:lang w:val="es-CO"/>
        </w:rPr>
        <w:t>1</w:t>
      </w:r>
      <w:r w:rsidRPr="002D5D70">
        <w:rPr>
          <w:rFonts w:ascii="Arial" w:eastAsia="Calibri" w:hAnsi="Arial" w:cs="Arial"/>
          <w:sz w:val="22"/>
          <w:lang w:val="es-CO"/>
        </w:rPr>
        <w:t xml:space="preserve">. </w:t>
      </w:r>
    </w:p>
    <w:p w14:paraId="38B89859" w14:textId="77777777" w:rsidR="00990612" w:rsidRPr="002D5D70" w:rsidRDefault="00990612" w:rsidP="005A114C">
      <w:pPr>
        <w:spacing w:after="0"/>
        <w:rPr>
          <w:rFonts w:ascii="Arial" w:eastAsia="Calibri" w:hAnsi="Arial" w:cs="Arial"/>
          <w:sz w:val="22"/>
          <w:lang w:val="es-CO"/>
        </w:rPr>
      </w:pPr>
    </w:p>
    <w:p w14:paraId="3B0D1063" w14:textId="09E51B12" w:rsidR="005A114C" w:rsidRDefault="00990612" w:rsidP="005A114C">
      <w:pPr>
        <w:pStyle w:val="Prrafodelista"/>
        <w:numPr>
          <w:ilvl w:val="0"/>
          <w:numId w:val="6"/>
        </w:numPr>
        <w:tabs>
          <w:tab w:val="left" w:pos="284"/>
        </w:tabs>
        <w:spacing w:after="0"/>
        <w:ind w:left="0" w:firstLine="0"/>
        <w:rPr>
          <w:rFonts w:ascii="Arial" w:eastAsia="Calibri" w:hAnsi="Arial" w:cs="Arial"/>
          <w:b/>
          <w:sz w:val="22"/>
          <w:lang w:val="es-CO"/>
        </w:rPr>
      </w:pPr>
      <w:r w:rsidRPr="005A114C">
        <w:rPr>
          <w:rFonts w:ascii="Arial" w:eastAsia="Calibri" w:hAnsi="Arial" w:cs="Arial"/>
          <w:b/>
          <w:sz w:val="22"/>
          <w:lang w:val="es-CO"/>
        </w:rPr>
        <w:t xml:space="preserve">Problemas planteados </w:t>
      </w:r>
    </w:p>
    <w:p w14:paraId="2FBDB7F6" w14:textId="77777777" w:rsidR="005A114C" w:rsidRDefault="005A114C" w:rsidP="005A114C">
      <w:pPr>
        <w:pStyle w:val="Prrafodelista"/>
        <w:tabs>
          <w:tab w:val="left" w:pos="284"/>
        </w:tabs>
        <w:spacing w:after="0"/>
        <w:ind w:left="0"/>
        <w:rPr>
          <w:rFonts w:ascii="Arial" w:eastAsia="Calibri" w:hAnsi="Arial" w:cs="Arial"/>
          <w:b/>
          <w:sz w:val="22"/>
          <w:lang w:val="es-CO"/>
        </w:rPr>
      </w:pPr>
    </w:p>
    <w:p w14:paraId="70E66300" w14:textId="61E4C796" w:rsidR="00CE170E" w:rsidRDefault="006B7576" w:rsidP="00535A7F">
      <w:pPr>
        <w:tabs>
          <w:tab w:val="left" w:pos="426"/>
        </w:tabs>
        <w:spacing w:after="0"/>
        <w:rPr>
          <w:rFonts w:ascii="Arial" w:eastAsia="Calibri" w:hAnsi="Arial" w:cs="Arial"/>
          <w:sz w:val="22"/>
        </w:rPr>
      </w:pPr>
      <w:r w:rsidRPr="00535A7F">
        <w:rPr>
          <w:rFonts w:ascii="Arial" w:eastAsia="Calibri" w:hAnsi="Arial" w:cs="Arial"/>
          <w:sz w:val="22"/>
          <w:lang w:val="es-CO"/>
        </w:rPr>
        <w:t>Usted plantea la</w:t>
      </w:r>
      <w:r w:rsidR="00562D14" w:rsidRPr="00535A7F">
        <w:rPr>
          <w:rFonts w:ascii="Arial" w:eastAsia="Calibri" w:hAnsi="Arial" w:cs="Arial"/>
          <w:sz w:val="22"/>
          <w:lang w:val="es-CO"/>
        </w:rPr>
        <w:t xml:space="preserve">s siguientes preguntas: </w:t>
      </w:r>
      <w:bookmarkStart w:id="1" w:name="_Hlk58917991"/>
      <w:bookmarkStart w:id="2" w:name="_Hlk56103000"/>
      <w:r w:rsidR="00990612" w:rsidRPr="00535A7F">
        <w:rPr>
          <w:rFonts w:ascii="Arial" w:eastAsia="Calibri" w:hAnsi="Arial" w:cs="Arial"/>
          <w:sz w:val="22"/>
          <w:lang w:val="es-CO"/>
        </w:rPr>
        <w:t>«</w:t>
      </w:r>
      <w:r w:rsidR="00CE170E" w:rsidRPr="00535A7F">
        <w:rPr>
          <w:rFonts w:ascii="Arial" w:eastAsia="Times New Roman" w:hAnsi="Arial" w:cs="Arial"/>
          <w:color w:val="000000"/>
          <w:sz w:val="22"/>
          <w:shd w:val="clear" w:color="auto" w:fill="FFFFFF"/>
          <w:lang w:eastAsia="es-CO"/>
        </w:rPr>
        <w:t xml:space="preserve">1. </w:t>
      </w:r>
      <w:proofErr w:type="gramStart"/>
      <w:r w:rsidR="00CE170E" w:rsidRPr="00535A7F">
        <w:rPr>
          <w:rFonts w:ascii="Arial" w:eastAsia="Times New Roman" w:hAnsi="Arial" w:cs="Arial"/>
          <w:color w:val="000000"/>
          <w:sz w:val="22"/>
          <w:shd w:val="clear" w:color="auto" w:fill="FFFFFF"/>
          <w:lang w:eastAsia="es-CO"/>
        </w:rPr>
        <w:t>Existe alguna restricción con ocasión de la aplicación de la ley de garantías para la adquisición de bienes, obras o servicios, objeto de Acuerdos Marco u otro mecanismo de agregación de demanda?</w:t>
      </w:r>
      <w:proofErr w:type="gramEnd"/>
      <w:r w:rsidR="00CE170E" w:rsidRPr="00535A7F">
        <w:rPr>
          <w:rFonts w:ascii="Arial" w:eastAsia="Times New Roman" w:hAnsi="Arial" w:cs="Arial"/>
          <w:color w:val="000000"/>
          <w:sz w:val="22"/>
          <w:shd w:val="clear" w:color="auto" w:fill="FFFFFF"/>
          <w:lang w:eastAsia="es-CO"/>
        </w:rPr>
        <w:t xml:space="preserve"> 2. Que restricción </w:t>
      </w:r>
      <w:proofErr w:type="gramStart"/>
      <w:r w:rsidR="00CE170E" w:rsidRPr="00535A7F">
        <w:rPr>
          <w:rFonts w:ascii="Arial" w:eastAsia="Times New Roman" w:hAnsi="Arial" w:cs="Arial"/>
          <w:color w:val="000000"/>
          <w:sz w:val="22"/>
          <w:shd w:val="clear" w:color="auto" w:fill="FFFFFF"/>
          <w:lang w:eastAsia="es-CO"/>
        </w:rPr>
        <w:t>habría  por</w:t>
      </w:r>
      <w:proofErr w:type="gramEnd"/>
      <w:r w:rsidR="00CE170E" w:rsidRPr="00535A7F">
        <w:rPr>
          <w:rFonts w:ascii="Arial" w:eastAsia="Times New Roman" w:hAnsi="Arial" w:cs="Arial"/>
          <w:color w:val="000000"/>
          <w:sz w:val="22"/>
          <w:shd w:val="clear" w:color="auto" w:fill="FFFFFF"/>
          <w:lang w:eastAsia="es-CO"/>
        </w:rPr>
        <w:t xml:space="preserve"> ej</w:t>
      </w:r>
      <w:r w:rsidR="00296D38">
        <w:rPr>
          <w:rFonts w:ascii="Arial" w:eastAsia="Times New Roman" w:hAnsi="Arial" w:cs="Arial"/>
          <w:color w:val="000000"/>
          <w:sz w:val="22"/>
          <w:shd w:val="clear" w:color="auto" w:fill="FFFFFF"/>
          <w:lang w:eastAsia="es-CO"/>
        </w:rPr>
        <w:t>emplo,  en la demanda de bienes</w:t>
      </w:r>
      <w:r w:rsidR="00CE170E" w:rsidRPr="00535A7F">
        <w:rPr>
          <w:rFonts w:ascii="Arial" w:eastAsia="Times New Roman" w:hAnsi="Arial" w:cs="Arial"/>
          <w:color w:val="000000"/>
          <w:sz w:val="22"/>
          <w:shd w:val="clear" w:color="auto" w:fill="FFFFFF"/>
          <w:lang w:eastAsia="es-CO"/>
        </w:rPr>
        <w:t>, obras o servicios de un Proveedor único, que puede ser agregada a través de un contrato suscrito bajo la modalidad de contratación directa, tanto en la Operación Principal como en la Operación Secundaria?</w:t>
      </w:r>
      <w:r w:rsidR="00CE170E" w:rsidRPr="00535A7F">
        <w:rPr>
          <w:rFonts w:ascii="Arial" w:eastAsia="Calibri" w:hAnsi="Arial" w:cs="Arial"/>
          <w:sz w:val="22"/>
        </w:rPr>
        <w:t>».</w:t>
      </w:r>
    </w:p>
    <w:p w14:paraId="0D6CC038" w14:textId="77777777" w:rsidR="00392E7E" w:rsidRDefault="00392E7E" w:rsidP="00535A7F">
      <w:pPr>
        <w:tabs>
          <w:tab w:val="left" w:pos="426"/>
        </w:tabs>
        <w:spacing w:after="0"/>
        <w:rPr>
          <w:rFonts w:ascii="Arial" w:eastAsia="Calibri" w:hAnsi="Arial" w:cs="Arial"/>
          <w:sz w:val="22"/>
        </w:rPr>
      </w:pPr>
    </w:p>
    <w:bookmarkEnd w:id="1"/>
    <w:bookmarkEnd w:id="2"/>
    <w:p w14:paraId="4CC8DC72" w14:textId="77777777" w:rsidR="00990612" w:rsidRPr="00392E7E" w:rsidRDefault="00990612" w:rsidP="005A114C">
      <w:pPr>
        <w:pStyle w:val="Prrafodelista"/>
        <w:numPr>
          <w:ilvl w:val="0"/>
          <w:numId w:val="6"/>
        </w:numPr>
        <w:tabs>
          <w:tab w:val="left" w:pos="426"/>
        </w:tabs>
        <w:spacing w:after="120"/>
        <w:ind w:left="284" w:hanging="284"/>
        <w:rPr>
          <w:rFonts w:ascii="Arial" w:eastAsia="Calibri" w:hAnsi="Arial" w:cs="Arial"/>
          <w:b/>
          <w:sz w:val="22"/>
          <w:lang w:val="es-CO"/>
        </w:rPr>
      </w:pPr>
      <w:r w:rsidRPr="00392E7E">
        <w:rPr>
          <w:rFonts w:ascii="Arial" w:eastAsia="Calibri" w:hAnsi="Arial" w:cs="Arial"/>
          <w:b/>
          <w:sz w:val="22"/>
          <w:lang w:val="es-CO"/>
        </w:rPr>
        <w:t>Consideraciones</w:t>
      </w:r>
    </w:p>
    <w:p w14:paraId="08F918EF" w14:textId="39866DCB" w:rsidR="0012687C" w:rsidRPr="002D5D70" w:rsidRDefault="0075455D" w:rsidP="0012687C">
      <w:pPr>
        <w:tabs>
          <w:tab w:val="left" w:pos="426"/>
        </w:tabs>
        <w:spacing w:after="120"/>
        <w:rPr>
          <w:rFonts w:ascii="Arial" w:eastAsia="Calibri" w:hAnsi="Arial" w:cs="Arial"/>
          <w:bCs/>
          <w:sz w:val="22"/>
          <w:lang w:val="es-CO"/>
        </w:rPr>
      </w:pPr>
      <w:r w:rsidRPr="00392E7E">
        <w:rPr>
          <w:rFonts w:ascii="Arial" w:eastAsia="Calibri" w:hAnsi="Arial" w:cs="Arial"/>
          <w:bCs/>
          <w:sz w:val="22"/>
          <w:lang w:val="es-CO"/>
        </w:rPr>
        <w:t xml:space="preserve">Con el propósito de </w:t>
      </w:r>
      <w:r w:rsidR="00990612" w:rsidRPr="00392E7E">
        <w:rPr>
          <w:rFonts w:ascii="Arial" w:eastAsia="Calibri" w:hAnsi="Arial" w:cs="Arial"/>
          <w:bCs/>
          <w:sz w:val="22"/>
          <w:lang w:val="es-CO"/>
        </w:rPr>
        <w:t xml:space="preserve">resolver la consulta se analizará: i) </w:t>
      </w:r>
      <w:r w:rsidR="004E06CD">
        <w:rPr>
          <w:rFonts w:ascii="Arial" w:eastAsia="Calibri" w:hAnsi="Arial" w:cs="Arial"/>
          <w:bCs/>
          <w:sz w:val="22"/>
          <w:lang w:val="es-CO"/>
        </w:rPr>
        <w:t xml:space="preserve">la </w:t>
      </w:r>
      <w:r w:rsidR="006D4EC2" w:rsidRPr="00392E7E">
        <w:rPr>
          <w:rFonts w:ascii="Arial" w:eastAsia="Calibri" w:hAnsi="Arial" w:cs="Arial"/>
          <w:bCs/>
          <w:sz w:val="22"/>
          <w:lang w:val="es-CO"/>
        </w:rPr>
        <w:t xml:space="preserve">definición y finalidad de la Ley de Garantías Electorales; </w:t>
      </w:r>
      <w:proofErr w:type="spellStart"/>
      <w:r w:rsidR="006D4EC2" w:rsidRPr="00392E7E">
        <w:rPr>
          <w:rFonts w:ascii="Arial" w:eastAsia="Calibri" w:hAnsi="Arial" w:cs="Arial"/>
          <w:bCs/>
          <w:sz w:val="22"/>
          <w:lang w:val="es-CO"/>
        </w:rPr>
        <w:t>ii</w:t>
      </w:r>
      <w:proofErr w:type="spellEnd"/>
      <w:r w:rsidR="006D4EC2" w:rsidRPr="00392E7E">
        <w:rPr>
          <w:rFonts w:ascii="Arial" w:eastAsia="Calibri" w:hAnsi="Arial" w:cs="Arial"/>
          <w:bCs/>
          <w:sz w:val="22"/>
          <w:lang w:val="es-CO"/>
        </w:rPr>
        <w:t>)</w:t>
      </w:r>
      <w:r w:rsidR="00EB7836" w:rsidRPr="00392E7E">
        <w:rPr>
          <w:rFonts w:ascii="Arial" w:eastAsia="Calibri" w:hAnsi="Arial" w:cs="Arial"/>
          <w:bCs/>
          <w:sz w:val="22"/>
          <w:lang w:val="es-CO"/>
        </w:rPr>
        <w:t xml:space="preserve"> </w:t>
      </w:r>
      <w:r w:rsidR="004E06CD">
        <w:rPr>
          <w:rFonts w:ascii="Arial" w:eastAsia="Calibri" w:hAnsi="Arial" w:cs="Arial"/>
          <w:bCs/>
          <w:sz w:val="22"/>
          <w:lang w:val="es-CO"/>
        </w:rPr>
        <w:t xml:space="preserve">la </w:t>
      </w:r>
      <w:r w:rsidR="00392E7E" w:rsidRPr="00392E7E">
        <w:rPr>
          <w:rFonts w:ascii="Arial" w:eastAsia="Calibri" w:hAnsi="Arial" w:cs="Arial"/>
          <w:bCs/>
          <w:sz w:val="22"/>
          <w:lang w:val="es-CO"/>
        </w:rPr>
        <w:t>d</w:t>
      </w:r>
      <w:r w:rsidR="003767EE" w:rsidRPr="00392E7E">
        <w:rPr>
          <w:rFonts w:ascii="Arial" w:eastAsia="Calibri" w:hAnsi="Arial" w:cs="Arial"/>
          <w:bCs/>
          <w:sz w:val="22"/>
          <w:lang w:val="es-CO"/>
        </w:rPr>
        <w:t>eterminación de las</w:t>
      </w:r>
      <w:r w:rsidR="00EB7836" w:rsidRPr="00392E7E">
        <w:rPr>
          <w:rFonts w:ascii="Arial" w:eastAsia="Calibri" w:hAnsi="Arial" w:cs="Arial"/>
          <w:bCs/>
          <w:sz w:val="22"/>
          <w:lang w:val="es-CO"/>
        </w:rPr>
        <w:t xml:space="preserve"> restricciones</w:t>
      </w:r>
      <w:r w:rsidR="00392E7E" w:rsidRPr="00392E7E">
        <w:rPr>
          <w:rFonts w:ascii="Arial" w:eastAsia="Calibri" w:hAnsi="Arial" w:cs="Arial"/>
          <w:bCs/>
          <w:sz w:val="22"/>
          <w:lang w:val="es-CO"/>
        </w:rPr>
        <w:t xml:space="preserve"> según el tipo de elecciones; </w:t>
      </w:r>
      <w:proofErr w:type="spellStart"/>
      <w:r w:rsidR="003767EE" w:rsidRPr="00392E7E">
        <w:rPr>
          <w:rFonts w:ascii="Arial" w:eastAsia="Calibri" w:hAnsi="Arial" w:cs="Arial"/>
          <w:bCs/>
          <w:sz w:val="22"/>
          <w:lang w:val="es-CO"/>
        </w:rPr>
        <w:t>iii</w:t>
      </w:r>
      <w:proofErr w:type="spellEnd"/>
      <w:r w:rsidR="003767EE" w:rsidRPr="00392E7E">
        <w:rPr>
          <w:rFonts w:ascii="Arial" w:eastAsia="Calibri" w:hAnsi="Arial" w:cs="Arial"/>
          <w:bCs/>
          <w:sz w:val="22"/>
          <w:lang w:val="es-CO"/>
        </w:rPr>
        <w:t>)</w:t>
      </w:r>
      <w:r w:rsidR="00392E7E" w:rsidRPr="00392E7E">
        <w:rPr>
          <w:rFonts w:ascii="Arial" w:eastAsia="Calibri" w:hAnsi="Arial" w:cs="Arial"/>
          <w:bCs/>
          <w:sz w:val="22"/>
          <w:lang w:val="es-CO"/>
        </w:rPr>
        <w:t xml:space="preserve"> </w:t>
      </w:r>
      <w:r w:rsidR="004E06CD">
        <w:rPr>
          <w:rFonts w:ascii="Arial" w:eastAsia="Calibri" w:hAnsi="Arial" w:cs="Arial"/>
          <w:bCs/>
          <w:sz w:val="22"/>
          <w:lang w:val="es-CO"/>
        </w:rPr>
        <w:t xml:space="preserve">los </w:t>
      </w:r>
      <w:r w:rsidR="00392E7E" w:rsidRPr="00392E7E">
        <w:rPr>
          <w:rFonts w:ascii="Arial" w:eastAsia="Calibri" w:hAnsi="Arial" w:cs="Arial"/>
          <w:bCs/>
          <w:sz w:val="22"/>
          <w:lang w:val="es-CO"/>
        </w:rPr>
        <w:t xml:space="preserve">instrumentos de agregación de demanda </w:t>
      </w:r>
      <w:r w:rsidR="004E06CD">
        <w:rPr>
          <w:rFonts w:ascii="Arial" w:eastAsia="Calibri" w:hAnsi="Arial" w:cs="Arial"/>
          <w:bCs/>
          <w:sz w:val="22"/>
          <w:lang w:val="es-CO"/>
        </w:rPr>
        <w:t>y los</w:t>
      </w:r>
      <w:r w:rsidR="00392E7E" w:rsidRPr="00392E7E">
        <w:rPr>
          <w:rFonts w:ascii="Arial" w:eastAsia="Calibri" w:hAnsi="Arial" w:cs="Arial"/>
          <w:bCs/>
          <w:sz w:val="22"/>
          <w:lang w:val="es-CO"/>
        </w:rPr>
        <w:t xml:space="preserve"> Acuerdo Marco de Precios. </w:t>
      </w:r>
      <w:r w:rsidR="00EB7836" w:rsidRPr="002D5D70">
        <w:rPr>
          <w:rFonts w:ascii="Arial" w:eastAsia="Calibri" w:hAnsi="Arial" w:cs="Arial"/>
          <w:bCs/>
          <w:sz w:val="22"/>
          <w:lang w:val="es-CO"/>
        </w:rPr>
        <w:t xml:space="preserve"> </w:t>
      </w:r>
    </w:p>
    <w:p w14:paraId="1B0A4F73" w14:textId="20AB22D9" w:rsidR="008F39BD" w:rsidRDefault="008F39BD" w:rsidP="0012687C">
      <w:pPr>
        <w:tabs>
          <w:tab w:val="left" w:pos="426"/>
        </w:tabs>
        <w:ind w:firstLine="709"/>
        <w:rPr>
          <w:rFonts w:ascii="Arial" w:hAnsi="Arial" w:cs="Arial"/>
          <w:color w:val="000000" w:themeColor="text1"/>
          <w:sz w:val="22"/>
          <w:lang w:val="es-ES_tradnl"/>
        </w:rPr>
      </w:pPr>
      <w:r w:rsidRPr="002D5D70">
        <w:rPr>
          <w:rFonts w:ascii="Arial" w:eastAsia="Calibri" w:hAnsi="Arial" w:cs="Arial"/>
          <w:color w:val="000000" w:themeColor="text1"/>
          <w:sz w:val="22"/>
          <w:lang w:val="es-ES_tradnl"/>
        </w:rPr>
        <w:t>L</w:t>
      </w:r>
      <w:r w:rsidRPr="002D5D70">
        <w:rPr>
          <w:rFonts w:ascii="Arial" w:hAnsi="Arial" w:cs="Arial"/>
          <w:color w:val="000000" w:themeColor="text1"/>
          <w:sz w:val="22"/>
          <w:lang w:val="es-ES_tradnl"/>
        </w:rPr>
        <w:t xml:space="preserve">a Agencia Nacional de Contratación Pública ― Colombia Compra Eficiente </w:t>
      </w:r>
      <w:r w:rsidR="00A56A79" w:rsidRPr="002D5D70">
        <w:rPr>
          <w:rFonts w:ascii="Arial" w:hAnsi="Arial" w:cs="Arial"/>
          <w:color w:val="000000" w:themeColor="text1"/>
          <w:sz w:val="22"/>
          <w:lang w:val="es-ES_tradnl"/>
        </w:rPr>
        <w:t>ha impartido lineamientos sobre la</w:t>
      </w:r>
      <w:r w:rsidRPr="002D5D70">
        <w:rPr>
          <w:rFonts w:ascii="Arial" w:hAnsi="Arial" w:cs="Arial"/>
          <w:color w:val="000000" w:themeColor="text1"/>
          <w:sz w:val="22"/>
          <w:lang w:val="es-ES_tradnl"/>
        </w:rPr>
        <w:t xml:space="preserve"> </w:t>
      </w:r>
      <w:r w:rsidR="00D05E28" w:rsidRPr="002D5D70">
        <w:rPr>
          <w:rFonts w:ascii="Arial" w:hAnsi="Arial" w:cs="Arial"/>
          <w:color w:val="000000" w:themeColor="text1"/>
          <w:sz w:val="22"/>
          <w:lang w:val="es-ES_tradnl"/>
        </w:rPr>
        <w:t>aplicación de la Ley 996 de 2005</w:t>
      </w:r>
      <w:r w:rsidR="00A56A79" w:rsidRPr="002D5D70">
        <w:rPr>
          <w:rFonts w:ascii="Arial" w:hAnsi="Arial" w:cs="Arial"/>
          <w:color w:val="000000" w:themeColor="text1"/>
          <w:sz w:val="22"/>
          <w:lang w:val="es-ES_tradnl"/>
        </w:rPr>
        <w:t xml:space="preserve"> y también se ha pronunciado</w:t>
      </w:r>
      <w:r w:rsidRPr="002D5D70">
        <w:rPr>
          <w:rFonts w:ascii="Arial" w:hAnsi="Arial" w:cs="Arial"/>
          <w:color w:val="000000" w:themeColor="text1"/>
          <w:sz w:val="22"/>
          <w:lang w:val="es-ES_tradnl"/>
        </w:rPr>
        <w:t xml:space="preserve"> </w:t>
      </w:r>
      <w:r w:rsidR="00735A39" w:rsidRPr="002D5D70">
        <w:rPr>
          <w:rFonts w:ascii="Arial" w:hAnsi="Arial" w:cs="Arial"/>
          <w:color w:val="000000" w:themeColor="text1"/>
          <w:sz w:val="22"/>
          <w:lang w:val="es-ES_tradnl"/>
        </w:rPr>
        <w:t xml:space="preserve">al respecto </w:t>
      </w:r>
      <w:r w:rsidRPr="002D5D70">
        <w:rPr>
          <w:rFonts w:ascii="Arial" w:hAnsi="Arial" w:cs="Arial"/>
          <w:color w:val="000000" w:themeColor="text1"/>
          <w:sz w:val="22"/>
          <w:lang w:val="es-ES_tradnl"/>
        </w:rPr>
        <w:t>en los conceptos con radicados:</w:t>
      </w:r>
      <w:r w:rsidR="003767EE" w:rsidRPr="002D5D70">
        <w:rPr>
          <w:rFonts w:ascii="Arial" w:hAnsi="Arial" w:cs="Arial"/>
          <w:color w:val="000000" w:themeColor="text1"/>
          <w:sz w:val="22"/>
          <w:lang w:val="es-ES_tradnl"/>
        </w:rPr>
        <w:t xml:space="preserve"> </w:t>
      </w:r>
      <w:r w:rsidR="004D1653" w:rsidRPr="002D5D70">
        <w:rPr>
          <w:rFonts w:ascii="Arial" w:hAnsi="Arial" w:cs="Arial"/>
          <w:color w:val="000000" w:themeColor="text1"/>
          <w:sz w:val="22"/>
          <w:lang w:val="es-ES_tradnl"/>
        </w:rPr>
        <w:t xml:space="preserve">4201912000004632 del 6 de agosto de 2019, </w:t>
      </w:r>
      <w:r w:rsidR="00A56A79" w:rsidRPr="002D5D70">
        <w:rPr>
          <w:rFonts w:ascii="Arial" w:hAnsi="Arial" w:cs="Arial"/>
          <w:color w:val="000000" w:themeColor="text1"/>
          <w:sz w:val="22"/>
          <w:lang w:val="es-ES_tradnl"/>
        </w:rPr>
        <w:t>2201913000005655 del 8 de agosto de 2019,</w:t>
      </w:r>
      <w:r w:rsidR="00735A39" w:rsidRPr="002D5D70">
        <w:rPr>
          <w:rFonts w:ascii="Arial" w:hAnsi="Arial" w:cs="Arial"/>
          <w:color w:val="000000" w:themeColor="text1"/>
          <w:sz w:val="22"/>
          <w:lang w:val="es-ES_tradnl"/>
        </w:rPr>
        <w:t xml:space="preserve"> </w:t>
      </w:r>
      <w:r w:rsidR="003767EE" w:rsidRPr="002D5D70">
        <w:rPr>
          <w:rFonts w:ascii="Arial" w:hAnsi="Arial" w:cs="Arial"/>
          <w:color w:val="000000" w:themeColor="text1"/>
          <w:sz w:val="22"/>
          <w:lang w:val="es-ES_tradnl"/>
        </w:rPr>
        <w:t>2201913000006283 del 27 de agosto de 2019</w:t>
      </w:r>
      <w:r w:rsidR="00D047D3" w:rsidRPr="002D5D70">
        <w:rPr>
          <w:rFonts w:ascii="Arial" w:hAnsi="Arial" w:cs="Arial"/>
          <w:color w:val="000000" w:themeColor="text1"/>
          <w:sz w:val="22"/>
          <w:lang w:val="es-ES_tradnl"/>
        </w:rPr>
        <w:t>, 2201913000006521  del 3 de septiembre de 2019,</w:t>
      </w:r>
      <w:r w:rsidR="00AD2E44" w:rsidRPr="002D5D70">
        <w:rPr>
          <w:rFonts w:ascii="Arial" w:hAnsi="Arial" w:cs="Arial"/>
          <w:color w:val="000000" w:themeColor="text1"/>
          <w:sz w:val="22"/>
          <w:lang w:val="es-ES_tradnl"/>
        </w:rPr>
        <w:t xml:space="preserve"> </w:t>
      </w:r>
      <w:r w:rsidR="00D047D3" w:rsidRPr="002D5D70">
        <w:rPr>
          <w:rFonts w:ascii="Arial" w:hAnsi="Arial" w:cs="Arial"/>
          <w:color w:val="000000" w:themeColor="text1"/>
          <w:sz w:val="22"/>
          <w:lang w:val="es-ES_tradnl"/>
        </w:rPr>
        <w:t xml:space="preserve"> </w:t>
      </w:r>
      <w:r w:rsidR="00AD2E44" w:rsidRPr="002D5D70">
        <w:rPr>
          <w:rFonts w:ascii="Arial" w:hAnsi="Arial" w:cs="Arial"/>
          <w:color w:val="000000" w:themeColor="text1"/>
          <w:sz w:val="22"/>
          <w:lang w:val="es-ES_tradnl"/>
        </w:rPr>
        <w:t xml:space="preserve">2201913000006634 del 6 de septiembre de 2019, </w:t>
      </w:r>
      <w:r w:rsidR="004F5F6A" w:rsidRPr="002D5D70">
        <w:rPr>
          <w:rFonts w:ascii="Arial" w:hAnsi="Arial" w:cs="Arial"/>
          <w:color w:val="000000" w:themeColor="text1"/>
          <w:sz w:val="22"/>
          <w:lang w:val="es-ES_tradnl"/>
        </w:rPr>
        <w:t xml:space="preserve">2201913000006639 del 9 de septiembre de 2019, </w:t>
      </w:r>
      <w:r w:rsidR="003528F0" w:rsidRPr="002D5D70">
        <w:rPr>
          <w:rFonts w:ascii="Arial" w:hAnsi="Arial" w:cs="Arial"/>
          <w:sz w:val="22"/>
        </w:rPr>
        <w:t xml:space="preserve">2201913000007430 del 7 de octubre de 2019, </w:t>
      </w:r>
      <w:r w:rsidR="00C8219B" w:rsidRPr="002D5D70">
        <w:rPr>
          <w:rFonts w:ascii="Arial" w:hAnsi="Arial" w:cs="Arial"/>
          <w:color w:val="000000" w:themeColor="text1"/>
          <w:sz w:val="22"/>
          <w:lang w:val="es-ES_tradnl"/>
        </w:rPr>
        <w:t xml:space="preserve">2201913000007565 del 10 </w:t>
      </w:r>
      <w:r w:rsidR="00C8219B" w:rsidRPr="00815027">
        <w:rPr>
          <w:rFonts w:ascii="Arial" w:hAnsi="Arial" w:cs="Arial"/>
          <w:color w:val="000000" w:themeColor="text1"/>
          <w:sz w:val="22"/>
          <w:lang w:val="es-ES_tradnl"/>
        </w:rPr>
        <w:t xml:space="preserve">de octubre de 2019, </w:t>
      </w:r>
      <w:r w:rsidR="00D63081" w:rsidRPr="00815027">
        <w:rPr>
          <w:rFonts w:ascii="Arial" w:hAnsi="Arial" w:cs="Arial"/>
          <w:color w:val="000000" w:themeColor="text1"/>
          <w:sz w:val="22"/>
          <w:lang w:val="es-ES_tradnl"/>
        </w:rPr>
        <w:t>2201913000008259 del 6 de noviembre de 2019.</w:t>
      </w:r>
      <w:r w:rsidR="00815027">
        <w:rPr>
          <w:rFonts w:ascii="Arial" w:hAnsi="Arial" w:cs="Arial"/>
          <w:color w:val="000000" w:themeColor="text1"/>
          <w:sz w:val="22"/>
          <w:lang w:val="es-ES_tradnl"/>
        </w:rPr>
        <w:t xml:space="preserve"> De igual forma, la entidad se ha referido a la definición y aplicación de los Acuerdos Marco de Precios en los </w:t>
      </w:r>
      <w:proofErr w:type="gramStart"/>
      <w:r w:rsidR="00815027">
        <w:rPr>
          <w:rFonts w:ascii="Arial" w:hAnsi="Arial" w:cs="Arial"/>
          <w:color w:val="000000" w:themeColor="text1"/>
          <w:sz w:val="22"/>
          <w:lang w:val="es-ES_tradnl"/>
        </w:rPr>
        <w:t xml:space="preserve">conceptos </w:t>
      </w:r>
      <w:r w:rsidR="00D63081" w:rsidRPr="00815027">
        <w:rPr>
          <w:rFonts w:ascii="Arial" w:hAnsi="Arial" w:cs="Arial"/>
          <w:color w:val="000000" w:themeColor="text1"/>
          <w:sz w:val="22"/>
          <w:lang w:val="es-ES_tradnl"/>
        </w:rPr>
        <w:t xml:space="preserve"> </w:t>
      </w:r>
      <w:r w:rsidR="00815027" w:rsidRPr="00C24CB7">
        <w:rPr>
          <w:rFonts w:ascii="Arial" w:hAnsi="Arial" w:cs="Arial"/>
          <w:color w:val="000000" w:themeColor="text1"/>
          <w:sz w:val="22"/>
          <w:lang w:val="es-ES_tradnl"/>
        </w:rPr>
        <w:t>2201913000006102</w:t>
      </w:r>
      <w:proofErr w:type="gramEnd"/>
      <w:r w:rsidR="00815027">
        <w:rPr>
          <w:rFonts w:ascii="Arial" w:hAnsi="Arial" w:cs="Arial"/>
          <w:color w:val="000000" w:themeColor="text1"/>
          <w:sz w:val="22"/>
          <w:lang w:val="es-ES_tradnl"/>
        </w:rPr>
        <w:t xml:space="preserve"> del 22 de agosto de 2019, </w:t>
      </w:r>
      <w:r w:rsidR="00815027" w:rsidRPr="00F01322">
        <w:rPr>
          <w:rFonts w:ascii="Arial" w:hAnsi="Arial" w:cs="Arial"/>
          <w:color w:val="000000" w:themeColor="text1"/>
          <w:sz w:val="22"/>
          <w:lang w:val="es-ES_tradnl"/>
        </w:rPr>
        <w:t>2201913000008812</w:t>
      </w:r>
      <w:r w:rsidR="00815027">
        <w:rPr>
          <w:rFonts w:ascii="Arial" w:hAnsi="Arial" w:cs="Arial"/>
          <w:color w:val="000000" w:themeColor="text1"/>
          <w:sz w:val="22"/>
          <w:lang w:val="es-ES_tradnl"/>
        </w:rPr>
        <w:t xml:space="preserve"> del  28 de noviembre de 2019, </w:t>
      </w:r>
      <w:r w:rsidR="00815027" w:rsidRPr="00815027">
        <w:rPr>
          <w:rFonts w:ascii="Arial" w:hAnsi="Arial" w:cs="Arial"/>
          <w:color w:val="000000" w:themeColor="text1"/>
          <w:sz w:val="22"/>
          <w:lang w:val="es-ES_tradnl"/>
        </w:rPr>
        <w:t>C ─ 108 de 2020</w:t>
      </w:r>
      <w:r w:rsidR="00815027">
        <w:rPr>
          <w:rFonts w:ascii="Arial" w:hAnsi="Arial" w:cs="Arial"/>
          <w:color w:val="000000" w:themeColor="text1"/>
          <w:sz w:val="22"/>
          <w:lang w:val="es-ES_tradnl"/>
        </w:rPr>
        <w:t xml:space="preserve"> del 3 de marzo de 2020</w:t>
      </w:r>
      <w:r w:rsidR="004E06CD">
        <w:rPr>
          <w:rFonts w:ascii="Arial" w:hAnsi="Arial" w:cs="Arial"/>
          <w:color w:val="000000" w:themeColor="text1"/>
          <w:sz w:val="22"/>
          <w:lang w:val="es-ES_tradnl"/>
        </w:rPr>
        <w:t xml:space="preserve"> y</w:t>
      </w:r>
      <w:r w:rsidR="00815027">
        <w:rPr>
          <w:rFonts w:ascii="Arial" w:hAnsi="Arial" w:cs="Arial"/>
          <w:color w:val="000000" w:themeColor="text1"/>
          <w:sz w:val="22"/>
          <w:lang w:val="es-ES_tradnl"/>
        </w:rPr>
        <w:t xml:space="preserve"> </w:t>
      </w:r>
      <w:r w:rsidR="00815027" w:rsidRPr="00557DD1">
        <w:rPr>
          <w:rFonts w:ascii="Arial" w:hAnsi="Arial" w:cs="Arial"/>
          <w:color w:val="000000" w:themeColor="text1"/>
          <w:sz w:val="22"/>
          <w:lang w:val="es-ES_tradnl"/>
        </w:rPr>
        <w:t>C – 455 de 2020</w:t>
      </w:r>
      <w:r w:rsidR="00815027">
        <w:rPr>
          <w:rFonts w:ascii="Arial" w:hAnsi="Arial" w:cs="Arial"/>
          <w:color w:val="000000" w:themeColor="text1"/>
          <w:sz w:val="22"/>
          <w:lang w:val="es-ES_tradnl"/>
        </w:rPr>
        <w:t xml:space="preserve"> del 31 de julio de 2020. </w:t>
      </w:r>
      <w:r w:rsidR="00D05E28" w:rsidRPr="00815027">
        <w:rPr>
          <w:rFonts w:ascii="Arial" w:hAnsi="Arial" w:cs="Arial"/>
          <w:color w:val="000000" w:themeColor="text1"/>
          <w:sz w:val="22"/>
          <w:lang w:val="es-ES_tradnl"/>
        </w:rPr>
        <w:t>La</w:t>
      </w:r>
      <w:r w:rsidR="00C01713" w:rsidRPr="00815027">
        <w:rPr>
          <w:rFonts w:ascii="Arial" w:hAnsi="Arial" w:cs="Arial"/>
          <w:color w:val="000000" w:themeColor="text1"/>
          <w:sz w:val="22"/>
          <w:lang w:val="es-ES_tradnl"/>
        </w:rPr>
        <w:t>s</w:t>
      </w:r>
      <w:r w:rsidRPr="00815027">
        <w:rPr>
          <w:rFonts w:ascii="Arial" w:hAnsi="Arial" w:cs="Arial"/>
          <w:color w:val="000000" w:themeColor="text1"/>
          <w:sz w:val="22"/>
          <w:lang w:val="es-ES_tradnl"/>
        </w:rPr>
        <w:t xml:space="preserve"> tesis desarrollada</w:t>
      </w:r>
      <w:r w:rsidR="00C01713" w:rsidRPr="00815027">
        <w:rPr>
          <w:rFonts w:ascii="Arial" w:hAnsi="Arial" w:cs="Arial"/>
          <w:color w:val="000000" w:themeColor="text1"/>
          <w:sz w:val="22"/>
          <w:lang w:val="es-ES_tradnl"/>
        </w:rPr>
        <w:t>s</w:t>
      </w:r>
      <w:r w:rsidRPr="00815027">
        <w:rPr>
          <w:rFonts w:ascii="Arial" w:hAnsi="Arial" w:cs="Arial"/>
          <w:color w:val="000000" w:themeColor="text1"/>
          <w:sz w:val="22"/>
          <w:lang w:val="es-ES_tradnl"/>
        </w:rPr>
        <w:t xml:space="preserve"> en estos conceptos </w:t>
      </w:r>
      <w:r w:rsidR="00D05E28" w:rsidRPr="00815027">
        <w:rPr>
          <w:rFonts w:ascii="Arial" w:hAnsi="Arial" w:cs="Arial"/>
          <w:color w:val="000000" w:themeColor="text1"/>
          <w:sz w:val="22"/>
          <w:lang w:val="es-ES_tradnl"/>
        </w:rPr>
        <w:t>se complementará</w:t>
      </w:r>
      <w:r w:rsidR="00C16340" w:rsidRPr="00815027">
        <w:rPr>
          <w:rFonts w:ascii="Arial" w:hAnsi="Arial" w:cs="Arial"/>
          <w:color w:val="000000" w:themeColor="text1"/>
          <w:sz w:val="22"/>
          <w:lang w:val="es-ES_tradnl"/>
        </w:rPr>
        <w:t>n</w:t>
      </w:r>
      <w:r w:rsidRPr="00815027">
        <w:rPr>
          <w:rFonts w:ascii="Arial" w:hAnsi="Arial" w:cs="Arial"/>
          <w:color w:val="000000" w:themeColor="text1"/>
          <w:sz w:val="22"/>
          <w:lang w:val="es-ES_tradnl"/>
        </w:rPr>
        <w:t xml:space="preserve"> </w:t>
      </w:r>
      <w:r w:rsidR="00815027">
        <w:rPr>
          <w:rFonts w:ascii="Arial" w:hAnsi="Arial" w:cs="Arial"/>
          <w:color w:val="000000" w:themeColor="text1"/>
          <w:sz w:val="22"/>
          <w:lang w:val="es-ES_tradnl"/>
        </w:rPr>
        <w:t>y actualiza</w:t>
      </w:r>
      <w:r w:rsidR="004E06CD">
        <w:rPr>
          <w:rFonts w:ascii="Arial" w:hAnsi="Arial" w:cs="Arial"/>
          <w:color w:val="000000" w:themeColor="text1"/>
          <w:sz w:val="22"/>
          <w:lang w:val="es-ES_tradnl"/>
        </w:rPr>
        <w:t>rán</w:t>
      </w:r>
      <w:r w:rsidR="00815027">
        <w:rPr>
          <w:rFonts w:ascii="Arial" w:hAnsi="Arial" w:cs="Arial"/>
          <w:color w:val="000000" w:themeColor="text1"/>
          <w:sz w:val="22"/>
          <w:lang w:val="es-ES_tradnl"/>
        </w:rPr>
        <w:t xml:space="preserve"> a continuación </w:t>
      </w:r>
      <w:r w:rsidRPr="00815027">
        <w:rPr>
          <w:rFonts w:ascii="Arial" w:hAnsi="Arial" w:cs="Arial"/>
          <w:color w:val="000000" w:themeColor="text1"/>
          <w:sz w:val="22"/>
          <w:lang w:val="es-ES_tradnl"/>
        </w:rPr>
        <w:t xml:space="preserve">con </w:t>
      </w:r>
      <w:r w:rsidR="00D05E28" w:rsidRPr="00815027">
        <w:rPr>
          <w:rFonts w:ascii="Arial" w:hAnsi="Arial" w:cs="Arial"/>
          <w:color w:val="000000" w:themeColor="text1"/>
          <w:sz w:val="22"/>
          <w:lang w:val="es-ES_tradnl"/>
        </w:rPr>
        <w:t>la respuesta a</w:t>
      </w:r>
      <w:r w:rsidRPr="00815027">
        <w:rPr>
          <w:rFonts w:ascii="Arial" w:hAnsi="Arial" w:cs="Arial"/>
          <w:color w:val="000000" w:themeColor="text1"/>
          <w:sz w:val="22"/>
          <w:lang w:val="es-ES_tradnl"/>
        </w:rPr>
        <w:t xml:space="preserve"> la consulta objeto de análisis</w:t>
      </w:r>
      <w:r w:rsidR="00577EF5" w:rsidRPr="00815027">
        <w:rPr>
          <w:rFonts w:ascii="Arial" w:hAnsi="Arial" w:cs="Arial"/>
          <w:color w:val="000000" w:themeColor="text1"/>
          <w:sz w:val="22"/>
          <w:lang w:val="es-ES_tradnl"/>
        </w:rPr>
        <w:t>.</w:t>
      </w:r>
    </w:p>
    <w:p w14:paraId="3F6AE1E9" w14:textId="5D8142AE" w:rsidR="00A8268C" w:rsidRPr="002D5D70" w:rsidRDefault="00577EF5" w:rsidP="0012687C">
      <w:pPr>
        <w:tabs>
          <w:tab w:val="left" w:pos="426"/>
        </w:tabs>
        <w:rPr>
          <w:rFonts w:ascii="Arial" w:eastAsia="Calibri" w:hAnsi="Arial" w:cs="Arial"/>
          <w:b/>
          <w:bCs/>
          <w:sz w:val="22"/>
          <w:lang w:val="es-CO"/>
        </w:rPr>
      </w:pPr>
      <w:r>
        <w:rPr>
          <w:rFonts w:ascii="Arial" w:eastAsia="Calibri" w:hAnsi="Arial" w:cs="Arial"/>
          <w:b/>
          <w:bCs/>
          <w:sz w:val="22"/>
          <w:lang w:val="es-CO"/>
        </w:rPr>
        <w:t>2.1 D</w:t>
      </w:r>
      <w:r w:rsidR="00EB7836" w:rsidRPr="002D5D70">
        <w:rPr>
          <w:rFonts w:ascii="Arial" w:eastAsia="Calibri" w:hAnsi="Arial" w:cs="Arial"/>
          <w:b/>
          <w:bCs/>
          <w:sz w:val="22"/>
          <w:lang w:val="es-CO"/>
        </w:rPr>
        <w:t>efinición y finalidad de la Ley de Garantías Electorales</w:t>
      </w:r>
    </w:p>
    <w:p w14:paraId="489BD8A1" w14:textId="64B82B5D" w:rsidR="00B51689" w:rsidRPr="002D5D70" w:rsidRDefault="00A8268C" w:rsidP="00881742">
      <w:pPr>
        <w:tabs>
          <w:tab w:val="left" w:pos="426"/>
        </w:tabs>
        <w:spacing w:after="120"/>
        <w:rPr>
          <w:rFonts w:ascii="Arial" w:eastAsia="Calibri" w:hAnsi="Arial" w:cs="Arial"/>
          <w:bCs/>
          <w:sz w:val="22"/>
          <w:lang w:val="es-CO"/>
        </w:rPr>
      </w:pPr>
      <w:r w:rsidRPr="002D5D70">
        <w:rPr>
          <w:rFonts w:ascii="Arial" w:eastAsia="Calibri" w:hAnsi="Arial" w:cs="Arial"/>
          <w:bCs/>
          <w:sz w:val="22"/>
          <w:lang w:val="es-CO"/>
        </w:rPr>
        <w:t>El ordenamiento jurídico colombiano</w:t>
      </w:r>
      <w:r w:rsidR="009604AE" w:rsidRPr="002D5D70">
        <w:rPr>
          <w:rFonts w:ascii="Arial" w:eastAsia="Calibri" w:hAnsi="Arial" w:cs="Arial"/>
          <w:bCs/>
          <w:sz w:val="22"/>
          <w:lang w:val="es-CO"/>
        </w:rPr>
        <w:t xml:space="preserve"> </w:t>
      </w:r>
      <w:r w:rsidR="00B51689" w:rsidRPr="002D5D70">
        <w:rPr>
          <w:rFonts w:ascii="Arial" w:eastAsia="Calibri" w:hAnsi="Arial" w:cs="Arial"/>
          <w:bCs/>
          <w:sz w:val="22"/>
          <w:lang w:val="es-CO"/>
        </w:rPr>
        <w:t xml:space="preserve">contempla previsiones claras para evitar </w:t>
      </w:r>
      <w:r w:rsidR="00E008F1" w:rsidRPr="002D5D70">
        <w:rPr>
          <w:rFonts w:ascii="Arial" w:eastAsia="Calibri" w:hAnsi="Arial" w:cs="Arial"/>
          <w:bCs/>
          <w:sz w:val="22"/>
          <w:lang w:val="es-CO"/>
        </w:rPr>
        <w:t>la obtención de</w:t>
      </w:r>
      <w:r w:rsidR="00B51689" w:rsidRPr="002D5D70">
        <w:rPr>
          <w:rFonts w:ascii="Arial" w:eastAsia="Calibri" w:hAnsi="Arial" w:cs="Arial"/>
          <w:bCs/>
          <w:sz w:val="22"/>
          <w:lang w:val="es-CO"/>
        </w:rPr>
        <w:t xml:space="preserve"> </w:t>
      </w:r>
      <w:r w:rsidR="00E008F1" w:rsidRPr="002D5D70">
        <w:rPr>
          <w:rFonts w:ascii="Arial" w:eastAsia="Calibri" w:hAnsi="Arial" w:cs="Arial"/>
          <w:bCs/>
          <w:sz w:val="22"/>
          <w:lang w:val="es-CO"/>
        </w:rPr>
        <w:t>beneficios</w:t>
      </w:r>
      <w:r w:rsidR="00B51689" w:rsidRPr="002D5D70">
        <w:rPr>
          <w:rFonts w:ascii="Arial" w:eastAsia="Calibri" w:hAnsi="Arial" w:cs="Arial"/>
          <w:bCs/>
          <w:sz w:val="22"/>
          <w:lang w:val="es-CO"/>
        </w:rPr>
        <w:t xml:space="preserve"> </w:t>
      </w:r>
      <w:r w:rsidR="00E008F1" w:rsidRPr="002D5D70">
        <w:rPr>
          <w:rFonts w:ascii="Arial" w:eastAsia="Calibri" w:hAnsi="Arial" w:cs="Arial"/>
          <w:bCs/>
          <w:sz w:val="22"/>
          <w:lang w:val="es-CO"/>
        </w:rPr>
        <w:t>personales</w:t>
      </w:r>
      <w:r w:rsidR="00B51689" w:rsidRPr="002D5D70">
        <w:rPr>
          <w:rFonts w:ascii="Arial" w:eastAsia="Calibri" w:hAnsi="Arial" w:cs="Arial"/>
          <w:bCs/>
          <w:sz w:val="22"/>
          <w:lang w:val="es-CO"/>
        </w:rPr>
        <w:t xml:space="preserve"> en asuntos propios de la administración pública, </w:t>
      </w:r>
      <w:r w:rsidR="00B51689" w:rsidRPr="00881742">
        <w:rPr>
          <w:rFonts w:ascii="Arial" w:eastAsia="Calibri" w:hAnsi="Arial" w:cs="Arial"/>
          <w:bCs/>
          <w:i/>
          <w:iCs/>
          <w:sz w:val="22"/>
          <w:lang w:val="es-CO"/>
        </w:rPr>
        <w:t>verbi gracia</w:t>
      </w:r>
      <w:r w:rsidR="00B51689" w:rsidRPr="002D5D70">
        <w:rPr>
          <w:rFonts w:ascii="Arial" w:eastAsia="Calibri" w:hAnsi="Arial" w:cs="Arial"/>
          <w:bCs/>
          <w:sz w:val="22"/>
          <w:lang w:val="es-CO"/>
        </w:rPr>
        <w:t xml:space="preserve">, el artículo 127 de la Constitución Política </w:t>
      </w:r>
      <w:r w:rsidR="00E008F1" w:rsidRPr="002D5D70">
        <w:rPr>
          <w:rFonts w:ascii="Arial" w:eastAsia="Calibri" w:hAnsi="Arial" w:cs="Arial"/>
          <w:bCs/>
          <w:sz w:val="22"/>
          <w:lang w:val="es-CO"/>
        </w:rPr>
        <w:t>establece una prohibición contractual a los servidores</w:t>
      </w:r>
      <w:r w:rsidR="00B51689" w:rsidRPr="002D5D70">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2D5D70">
        <w:rPr>
          <w:rStyle w:val="Refdenotaalpie"/>
          <w:rFonts w:ascii="Arial" w:eastAsia="Calibri" w:hAnsi="Arial" w:cs="Arial"/>
          <w:bCs/>
          <w:sz w:val="22"/>
          <w:lang w:val="es-CO"/>
        </w:rPr>
        <w:footnoteReference w:id="1"/>
      </w:r>
      <w:r w:rsidR="00B51689" w:rsidRPr="002D5D70">
        <w:rPr>
          <w:rFonts w:ascii="Arial" w:eastAsia="Calibri" w:hAnsi="Arial" w:cs="Arial"/>
          <w:bCs/>
          <w:sz w:val="22"/>
          <w:lang w:val="es-CO"/>
        </w:rPr>
        <w:t xml:space="preserve">. </w:t>
      </w:r>
    </w:p>
    <w:p w14:paraId="2A229386" w14:textId="6064B2D3" w:rsidR="00930831" w:rsidRPr="002D5D70" w:rsidRDefault="004E06CD" w:rsidP="00881742">
      <w:pPr>
        <w:tabs>
          <w:tab w:val="left" w:pos="426"/>
        </w:tabs>
        <w:spacing w:after="120"/>
        <w:rPr>
          <w:rFonts w:ascii="Arial" w:eastAsia="Times New Roman" w:hAnsi="Arial" w:cs="Arial"/>
          <w:bCs/>
          <w:color w:val="000000"/>
          <w:sz w:val="22"/>
          <w:lang w:eastAsia="es-CO"/>
        </w:rPr>
      </w:pPr>
      <w:r>
        <w:rPr>
          <w:rFonts w:ascii="Arial" w:eastAsia="Times New Roman" w:hAnsi="Arial" w:cs="Arial"/>
          <w:bCs/>
          <w:color w:val="000000"/>
          <w:sz w:val="22"/>
          <w:lang w:val="es-CO" w:eastAsia="es-CO"/>
        </w:rPr>
        <w:tab/>
      </w:r>
      <w:r w:rsidR="00847B6B" w:rsidRPr="002D5D70">
        <w:rPr>
          <w:rFonts w:ascii="Arial" w:eastAsia="Times New Roman" w:hAnsi="Arial" w:cs="Arial"/>
          <w:bCs/>
          <w:color w:val="000000"/>
          <w:sz w:val="22"/>
          <w:lang w:val="es-CO" w:eastAsia="es-CO"/>
        </w:rPr>
        <w:t>En el mismo sentido</w:t>
      </w:r>
      <w:r w:rsidR="003833D7" w:rsidRPr="002D5D70">
        <w:rPr>
          <w:rFonts w:ascii="Arial" w:eastAsia="Times New Roman" w:hAnsi="Arial" w:cs="Arial"/>
          <w:bCs/>
          <w:color w:val="000000"/>
          <w:sz w:val="22"/>
          <w:lang w:eastAsia="es-CO"/>
        </w:rPr>
        <w:t>, l</w:t>
      </w:r>
      <w:r w:rsidR="00A8268C" w:rsidRPr="002D5D70">
        <w:rPr>
          <w:rFonts w:ascii="Arial" w:eastAsia="Times New Roman" w:hAnsi="Arial" w:cs="Arial"/>
          <w:bCs/>
          <w:color w:val="000000"/>
          <w:sz w:val="22"/>
          <w:lang w:eastAsia="es-CO"/>
        </w:rPr>
        <w:t xml:space="preserve">a Ley 996 de 2005 se suma al andamiaje de orden constitucional y legal que se ha ocupado de evitar la injerencia inadecuada de intereses particulares en </w:t>
      </w:r>
      <w:r w:rsidR="00A8268C" w:rsidRPr="002D5D70">
        <w:rPr>
          <w:rFonts w:ascii="Arial" w:eastAsia="Times New Roman" w:hAnsi="Arial" w:cs="Arial"/>
          <w:bCs/>
          <w:color w:val="000000"/>
          <w:sz w:val="22"/>
          <w:lang w:eastAsia="es-CO"/>
        </w:rPr>
        <w:lastRenderedPageBreak/>
        <w:t>el ejercicio de la función pública</w:t>
      </w:r>
      <w:r w:rsidR="00D63081" w:rsidRPr="002D5D70">
        <w:rPr>
          <w:rFonts w:ascii="Arial" w:eastAsia="Times New Roman" w:hAnsi="Arial" w:cs="Arial"/>
          <w:bCs/>
          <w:color w:val="000000"/>
          <w:sz w:val="22"/>
          <w:lang w:eastAsia="es-CO"/>
        </w:rPr>
        <w:t xml:space="preserve">, respecto a su finalidad, </w:t>
      </w:r>
      <w:r w:rsidR="00B346CC" w:rsidRPr="002D5D70">
        <w:rPr>
          <w:rFonts w:ascii="Arial" w:eastAsia="Times New Roman" w:hAnsi="Arial" w:cs="Arial"/>
          <w:bCs/>
          <w:color w:val="000000"/>
          <w:sz w:val="22"/>
          <w:lang w:eastAsia="es-CO"/>
        </w:rPr>
        <w:t>en la</w:t>
      </w:r>
      <w:r w:rsidR="00BD4104" w:rsidRPr="002D5D70">
        <w:rPr>
          <w:rFonts w:ascii="Arial" w:eastAsia="Times New Roman" w:hAnsi="Arial" w:cs="Arial"/>
          <w:bCs/>
          <w:color w:val="000000"/>
          <w:sz w:val="22"/>
          <w:lang w:eastAsia="es-CO"/>
        </w:rPr>
        <w:t xml:space="preserve"> Gaceta</w:t>
      </w:r>
      <w:r w:rsidR="00C5659C">
        <w:rPr>
          <w:rFonts w:ascii="Arial" w:eastAsia="Times New Roman" w:hAnsi="Arial" w:cs="Arial"/>
          <w:bCs/>
          <w:color w:val="000000"/>
          <w:sz w:val="22"/>
          <w:lang w:eastAsia="es-CO"/>
        </w:rPr>
        <w:t xml:space="preserve"> del Congreso</w:t>
      </w:r>
      <w:r w:rsidR="00BD4104" w:rsidRPr="002D5D70">
        <w:rPr>
          <w:rFonts w:ascii="Arial" w:eastAsia="Times New Roman" w:hAnsi="Arial" w:cs="Arial"/>
          <w:bCs/>
          <w:color w:val="000000"/>
          <w:sz w:val="22"/>
          <w:lang w:eastAsia="es-CO"/>
        </w:rPr>
        <w:t xml:space="preserve"> </w:t>
      </w:r>
      <w:r w:rsidR="001B59D6">
        <w:rPr>
          <w:rFonts w:ascii="Arial" w:eastAsia="Times New Roman" w:hAnsi="Arial" w:cs="Arial"/>
          <w:bCs/>
          <w:color w:val="000000"/>
          <w:sz w:val="22"/>
          <w:lang w:eastAsia="es-CO"/>
        </w:rPr>
        <w:t xml:space="preserve">de la República </w:t>
      </w:r>
      <w:r w:rsidR="00BD4104" w:rsidRPr="002D5D70">
        <w:rPr>
          <w:rFonts w:ascii="Arial" w:eastAsia="Times New Roman" w:hAnsi="Arial" w:cs="Arial"/>
          <w:bCs/>
          <w:color w:val="000000"/>
          <w:sz w:val="22"/>
          <w:lang w:eastAsia="es-CO"/>
        </w:rPr>
        <w:t>No. 71 del 2005</w:t>
      </w:r>
      <w:r w:rsidR="00B346CC" w:rsidRPr="002D5D70">
        <w:rPr>
          <w:rFonts w:ascii="Arial" w:eastAsia="Times New Roman" w:hAnsi="Arial" w:cs="Arial"/>
          <w:bCs/>
          <w:color w:val="000000"/>
          <w:sz w:val="22"/>
          <w:lang w:eastAsia="es-CO"/>
        </w:rPr>
        <w:t xml:space="preserve"> se observa que</w:t>
      </w:r>
      <w:r w:rsidR="00BD4104" w:rsidRPr="002D5D70">
        <w:rPr>
          <w:rFonts w:ascii="Arial" w:eastAsia="Times New Roman" w:hAnsi="Arial" w:cs="Arial"/>
          <w:bCs/>
          <w:color w:val="000000"/>
          <w:sz w:val="22"/>
          <w:lang w:eastAsia="es-CO"/>
        </w:rPr>
        <w:t xml:space="preserve"> tiene como propósito evitar cualquier tipo de arbitrariedad, de ventaja injustificada, de uso irregular de los recursos del Estado en las campañas o falta de garantías en la elección presidencial, </w:t>
      </w:r>
      <w:r w:rsidR="00A8268C" w:rsidRPr="002D5D70">
        <w:rPr>
          <w:rFonts w:ascii="Arial" w:eastAsia="Times New Roman" w:hAnsi="Arial" w:cs="Arial"/>
          <w:bCs/>
          <w:color w:val="000000"/>
          <w:sz w:val="22"/>
          <w:lang w:eastAsia="es-CO"/>
        </w:rPr>
        <w:t xml:space="preserve"> introduciendo en el ordenamiento jurídico limitaciones para realizar nombramientos, postulaciones, contrataciones o cualquier otro tipo de actividad que implique destinación de recursos públicos bajo el devenir propio de las entidades estatales</w:t>
      </w:r>
      <w:r w:rsidR="00D63081" w:rsidRPr="002D5D70">
        <w:rPr>
          <w:rFonts w:ascii="Arial" w:eastAsia="Times New Roman" w:hAnsi="Arial" w:cs="Arial"/>
          <w:bCs/>
          <w:color w:val="000000"/>
          <w:sz w:val="22"/>
          <w:lang w:eastAsia="es-CO"/>
        </w:rPr>
        <w:t>.</w:t>
      </w:r>
      <w:r w:rsidR="000B680C" w:rsidRPr="000B680C">
        <w:rPr>
          <w:rFonts w:ascii="Arial" w:eastAsia="Calibri" w:hAnsi="Arial" w:cs="Arial"/>
          <w:noProof/>
          <w:sz w:val="22"/>
          <w:lang w:val="es-ES_tradnl"/>
        </w:rPr>
        <w:t xml:space="preserve"> </w:t>
      </w:r>
      <w:r w:rsidR="00847B6B" w:rsidRPr="002D5D70">
        <w:rPr>
          <w:rFonts w:ascii="Arial" w:eastAsia="Times New Roman" w:hAnsi="Arial" w:cs="Arial"/>
          <w:bCs/>
          <w:color w:val="000000"/>
          <w:sz w:val="22"/>
          <w:lang w:eastAsia="es-CO"/>
        </w:rPr>
        <w:t xml:space="preserve">En </w:t>
      </w:r>
      <w:r w:rsidR="00EB7836" w:rsidRPr="002D5D70">
        <w:rPr>
          <w:rFonts w:ascii="Arial" w:eastAsia="Times New Roman" w:hAnsi="Arial" w:cs="Arial"/>
          <w:bCs/>
          <w:color w:val="000000"/>
          <w:sz w:val="22"/>
          <w:lang w:eastAsia="es-CO"/>
        </w:rPr>
        <w:t xml:space="preserve">armonía con lo anterior, </w:t>
      </w:r>
      <w:r w:rsidR="00847B6B" w:rsidRPr="002D5D70">
        <w:rPr>
          <w:rFonts w:ascii="Arial" w:eastAsia="Times New Roman" w:hAnsi="Arial" w:cs="Arial"/>
          <w:bCs/>
          <w:color w:val="000000"/>
          <w:sz w:val="22"/>
          <w:lang w:eastAsia="es-CO"/>
        </w:rPr>
        <w:t>l</w:t>
      </w:r>
      <w:r w:rsidR="00930831" w:rsidRPr="002D5D70">
        <w:rPr>
          <w:rFonts w:ascii="Arial" w:eastAsia="Times New Roman" w:hAnsi="Arial" w:cs="Arial"/>
          <w:bCs/>
          <w:color w:val="000000"/>
          <w:sz w:val="22"/>
          <w:lang w:eastAsia="es-CO"/>
        </w:rPr>
        <w:t>a Corte Constitucional ha abordado la definición y señalado los propósitos de una ley de garantías, así:</w:t>
      </w:r>
    </w:p>
    <w:p w14:paraId="2AE4C60A" w14:textId="77777777" w:rsidR="000B680C" w:rsidRPr="000B680C" w:rsidRDefault="000B680C" w:rsidP="000B680C">
      <w:pPr>
        <w:spacing w:after="0" w:line="240" w:lineRule="auto"/>
        <w:ind w:right="709"/>
        <w:rPr>
          <w:rFonts w:ascii="Arial" w:eastAsia="Times New Roman" w:hAnsi="Arial" w:cs="Arial"/>
          <w:sz w:val="21"/>
          <w:szCs w:val="21"/>
          <w:lang w:val="es-ES" w:eastAsia="es-CO"/>
        </w:rPr>
      </w:pPr>
    </w:p>
    <w:p w14:paraId="1EC4C745" w14:textId="734BA5A0" w:rsidR="00930831" w:rsidRPr="0047358F" w:rsidRDefault="000B680C" w:rsidP="0022085C">
      <w:pPr>
        <w:spacing w:after="120" w:line="240" w:lineRule="auto"/>
        <w:ind w:left="709" w:right="709"/>
        <w:rPr>
          <w:rFonts w:ascii="Arial" w:eastAsia="Times New Roman" w:hAnsi="Arial" w:cs="Arial"/>
          <w:bCs/>
          <w:color w:val="000000"/>
          <w:sz w:val="21"/>
          <w:szCs w:val="21"/>
          <w:lang w:eastAsia="es-CO"/>
        </w:rPr>
      </w:pPr>
      <w:r w:rsidRPr="000B680C">
        <w:rPr>
          <w:rFonts w:ascii="Arial" w:eastAsia="Times New Roman" w:hAnsi="Arial" w:cs="Arial"/>
          <w:sz w:val="21"/>
          <w:szCs w:val="21"/>
          <w:lang w:val="es-ES" w:eastAsia="es-CO"/>
        </w:rPr>
        <w:t>[…]</w:t>
      </w:r>
      <w:r w:rsidR="006D5176">
        <w:rPr>
          <w:rFonts w:ascii="Arial" w:eastAsia="Times New Roman" w:hAnsi="Arial" w:cs="Arial"/>
          <w:sz w:val="21"/>
          <w:szCs w:val="21"/>
          <w:lang w:val="es-ES" w:eastAsia="es-CO"/>
        </w:rPr>
        <w:t xml:space="preserve"> </w:t>
      </w:r>
      <w:r w:rsidR="00930831" w:rsidRPr="0047358F">
        <w:rPr>
          <w:rFonts w:ascii="Arial" w:eastAsia="Times New Roman" w:hAnsi="Arial" w:cs="Arial"/>
          <w:bCs/>
          <w:color w:val="000000"/>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7358F" w:rsidRDefault="00930831" w:rsidP="0022085C">
      <w:pPr>
        <w:spacing w:after="120" w:line="240" w:lineRule="auto"/>
        <w:ind w:left="709" w:right="709"/>
        <w:rPr>
          <w:rFonts w:ascii="Arial" w:eastAsia="Times New Roman" w:hAnsi="Arial" w:cs="Arial"/>
          <w:bCs/>
          <w:color w:val="000000"/>
          <w:sz w:val="21"/>
          <w:szCs w:val="21"/>
          <w:lang w:eastAsia="es-CO"/>
        </w:rPr>
      </w:pPr>
      <w:r w:rsidRPr="0047358F">
        <w:rPr>
          <w:rFonts w:ascii="Arial" w:eastAsia="Times New Roman" w:hAnsi="Arial" w:cs="Arial"/>
          <w:bCs/>
          <w:color w:val="000000"/>
          <w:sz w:val="21"/>
          <w:szCs w:val="21"/>
          <w:lang w:eastAsia="es-CO"/>
        </w:rPr>
        <w:t xml:space="preserve">[…] </w:t>
      </w:r>
    </w:p>
    <w:p w14:paraId="4AEB132E" w14:textId="6FE7B21F" w:rsidR="00930831" w:rsidRDefault="00930831" w:rsidP="00881742">
      <w:pPr>
        <w:spacing w:after="0" w:line="240" w:lineRule="auto"/>
        <w:ind w:left="709" w:right="709"/>
        <w:rPr>
          <w:rFonts w:ascii="Arial" w:eastAsia="Times New Roman" w:hAnsi="Arial" w:cs="Arial"/>
          <w:bCs/>
          <w:color w:val="000000"/>
          <w:sz w:val="21"/>
          <w:szCs w:val="21"/>
          <w:lang w:eastAsia="es-CO"/>
        </w:rPr>
      </w:pPr>
      <w:r w:rsidRPr="0047358F">
        <w:rPr>
          <w:rFonts w:ascii="Arial" w:eastAsia="Times New Roman" w:hAnsi="Arial"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7358F">
        <w:rPr>
          <w:rFonts w:ascii="Arial" w:eastAsia="Times New Roman" w:hAnsi="Arial" w:cs="Arial"/>
          <w:bCs/>
          <w:color w:val="000000"/>
          <w:sz w:val="21"/>
          <w:szCs w:val="21"/>
          <w:lang w:eastAsia="es-CO"/>
        </w:rPr>
        <w:t>ómico de los que se lo disputan</w:t>
      </w:r>
      <w:r w:rsidRPr="0047358F">
        <w:rPr>
          <w:rFonts w:ascii="Arial" w:eastAsia="Times New Roman" w:hAnsi="Arial" w:cs="Arial"/>
          <w:bCs/>
          <w:color w:val="000000"/>
          <w:sz w:val="21"/>
          <w:szCs w:val="21"/>
          <w:lang w:eastAsia="es-CO"/>
        </w:rPr>
        <w:t>.</w:t>
      </w:r>
    </w:p>
    <w:p w14:paraId="0512AD18" w14:textId="77777777" w:rsidR="00535A7F" w:rsidRPr="0047358F" w:rsidRDefault="00535A7F" w:rsidP="00535A7F">
      <w:pPr>
        <w:spacing w:after="0"/>
        <w:ind w:left="709" w:right="709"/>
        <w:rPr>
          <w:rFonts w:ascii="Arial" w:eastAsia="Times New Roman" w:hAnsi="Arial" w:cs="Arial"/>
          <w:bCs/>
          <w:color w:val="000000"/>
          <w:sz w:val="21"/>
          <w:szCs w:val="21"/>
          <w:lang w:eastAsia="es-CO"/>
        </w:rPr>
      </w:pPr>
    </w:p>
    <w:p w14:paraId="3D9BD0AC" w14:textId="494B18C7" w:rsidR="00B346CC" w:rsidRDefault="00B346CC" w:rsidP="00883662">
      <w:pPr>
        <w:spacing w:after="120"/>
        <w:ind w:firstLine="709"/>
        <w:rPr>
          <w:rFonts w:ascii="Arial" w:eastAsia="Times New Roman" w:hAnsi="Arial" w:cs="Arial"/>
          <w:bCs/>
          <w:color w:val="000000"/>
          <w:sz w:val="22"/>
          <w:lang w:eastAsia="es-CO"/>
        </w:rPr>
      </w:pPr>
      <w:r w:rsidRPr="002D5D70">
        <w:rPr>
          <w:rFonts w:ascii="Arial" w:eastAsia="Times New Roman" w:hAnsi="Arial" w:cs="Arial"/>
          <w:bCs/>
          <w:color w:val="000000"/>
          <w:sz w:val="22"/>
          <w:lang w:eastAsia="es-CO"/>
        </w:rPr>
        <w:t xml:space="preserve">Siguiendo el mencionado derrotero, la Ley de Garantías Electorales </w:t>
      </w:r>
      <w:r w:rsidR="00D626A3">
        <w:rPr>
          <w:rFonts w:ascii="Arial" w:eastAsia="Times New Roman" w:hAnsi="Arial" w:cs="Arial"/>
          <w:bCs/>
          <w:color w:val="000000"/>
          <w:sz w:val="22"/>
          <w:lang w:eastAsia="es-CO"/>
        </w:rPr>
        <w:t>establece</w:t>
      </w:r>
      <w:r w:rsidRPr="002D5D70">
        <w:rPr>
          <w:rFonts w:ascii="Arial" w:eastAsia="Times New Roman" w:hAnsi="Arial" w:cs="Arial"/>
          <w:bCs/>
          <w:color w:val="000000"/>
          <w:sz w:val="22"/>
          <w:lang w:eastAsia="es-CO"/>
        </w:rPr>
        <w:t xml:space="preserv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7592456D" w14:textId="333DB6F0" w:rsidR="000D457E" w:rsidRDefault="00883662" w:rsidP="003C432C">
      <w:pPr>
        <w:spacing w:after="0"/>
        <w:ind w:firstLine="709"/>
        <w:rPr>
          <w:rFonts w:ascii="Arial" w:eastAsia="Times New Roman" w:hAnsi="Arial" w:cs="Arial"/>
          <w:bCs/>
          <w:color w:val="000000"/>
          <w:sz w:val="22"/>
          <w:lang w:eastAsia="es-CO"/>
        </w:rPr>
      </w:pPr>
      <w:r>
        <w:rPr>
          <w:rFonts w:ascii="Arial" w:eastAsia="Times New Roman" w:hAnsi="Arial" w:cs="Arial"/>
          <w:bCs/>
          <w:color w:val="000000"/>
          <w:sz w:val="22"/>
          <w:lang w:eastAsia="es-CO"/>
        </w:rPr>
        <w:t xml:space="preserve">De otra parte, </w:t>
      </w:r>
      <w:r w:rsidR="00D626A3">
        <w:rPr>
          <w:rFonts w:ascii="Arial" w:eastAsia="Times New Roman" w:hAnsi="Arial" w:cs="Arial"/>
          <w:bCs/>
          <w:color w:val="000000"/>
          <w:sz w:val="22"/>
          <w:lang w:eastAsia="es-CO"/>
        </w:rPr>
        <w:t xml:space="preserve">varias de las disposiciones de la </w:t>
      </w:r>
      <w:r>
        <w:rPr>
          <w:rFonts w:ascii="Arial" w:eastAsia="Times New Roman" w:hAnsi="Arial" w:cs="Arial"/>
          <w:bCs/>
          <w:color w:val="000000"/>
          <w:sz w:val="22"/>
          <w:lang w:eastAsia="es-CO"/>
        </w:rPr>
        <w:t>Ley 996 de 2005</w:t>
      </w:r>
      <w:r w:rsidR="00D626A3">
        <w:rPr>
          <w:rFonts w:ascii="Arial" w:eastAsia="Times New Roman" w:hAnsi="Arial" w:cs="Arial"/>
          <w:bCs/>
          <w:color w:val="000000"/>
          <w:sz w:val="22"/>
          <w:lang w:eastAsia="es-CO"/>
        </w:rPr>
        <w:t>,</w:t>
      </w:r>
      <w:r>
        <w:rPr>
          <w:rFonts w:ascii="Arial" w:eastAsia="Times New Roman" w:hAnsi="Arial" w:cs="Arial"/>
          <w:bCs/>
          <w:color w:val="000000"/>
          <w:sz w:val="22"/>
          <w:lang w:eastAsia="es-CO"/>
        </w:rPr>
        <w:t xml:space="preserve"> al contener normas</w:t>
      </w:r>
      <w:r w:rsidR="000D457E">
        <w:rPr>
          <w:rFonts w:ascii="Arial" w:eastAsia="Times New Roman" w:hAnsi="Arial" w:cs="Arial"/>
          <w:bCs/>
          <w:color w:val="000000"/>
          <w:sz w:val="22"/>
          <w:lang w:eastAsia="es-CO"/>
        </w:rPr>
        <w:t xml:space="preserve"> </w:t>
      </w:r>
      <w:r>
        <w:rPr>
          <w:rFonts w:ascii="Arial" w:eastAsia="Times New Roman" w:hAnsi="Arial" w:cs="Arial"/>
          <w:bCs/>
          <w:color w:val="000000"/>
          <w:sz w:val="22"/>
          <w:lang w:eastAsia="es-CO"/>
        </w:rPr>
        <w:t>prohibitivas</w:t>
      </w:r>
      <w:r w:rsidR="00D626A3">
        <w:rPr>
          <w:rFonts w:ascii="Arial" w:eastAsia="Times New Roman" w:hAnsi="Arial" w:cs="Arial"/>
          <w:bCs/>
          <w:color w:val="000000"/>
          <w:sz w:val="22"/>
          <w:lang w:eastAsia="es-CO"/>
        </w:rPr>
        <w:t>,</w:t>
      </w:r>
      <w:r>
        <w:rPr>
          <w:rFonts w:ascii="Arial" w:eastAsia="Times New Roman" w:hAnsi="Arial" w:cs="Arial"/>
          <w:bCs/>
          <w:color w:val="000000"/>
          <w:sz w:val="22"/>
          <w:lang w:eastAsia="es-CO"/>
        </w:rPr>
        <w:t xml:space="preserve"> </w:t>
      </w:r>
      <w:r w:rsidR="000D457E">
        <w:rPr>
          <w:rFonts w:ascii="Arial" w:eastAsia="Times New Roman" w:hAnsi="Arial" w:cs="Arial"/>
          <w:bCs/>
          <w:color w:val="000000"/>
          <w:sz w:val="22"/>
          <w:lang w:eastAsia="es-CO"/>
        </w:rPr>
        <w:t>no admite</w:t>
      </w:r>
      <w:r w:rsidR="00D626A3">
        <w:rPr>
          <w:rFonts w:ascii="Arial" w:eastAsia="Times New Roman" w:hAnsi="Arial" w:cs="Arial"/>
          <w:bCs/>
          <w:color w:val="000000"/>
          <w:sz w:val="22"/>
          <w:lang w:eastAsia="es-CO"/>
        </w:rPr>
        <w:t>n</w:t>
      </w:r>
      <w:r w:rsidR="000D457E">
        <w:rPr>
          <w:rFonts w:ascii="Arial" w:eastAsia="Times New Roman" w:hAnsi="Arial" w:cs="Arial"/>
          <w:bCs/>
          <w:color w:val="000000"/>
          <w:sz w:val="22"/>
          <w:lang w:eastAsia="es-CO"/>
        </w:rPr>
        <w:t xml:space="preserve"> una interpretación amplia</w:t>
      </w:r>
      <w:r w:rsidR="00D626A3">
        <w:rPr>
          <w:rFonts w:ascii="Arial" w:eastAsia="Times New Roman" w:hAnsi="Arial" w:cs="Arial"/>
          <w:bCs/>
          <w:color w:val="000000"/>
          <w:sz w:val="22"/>
          <w:lang w:eastAsia="es-CO"/>
        </w:rPr>
        <w:t xml:space="preserve">, sino que deben interpretarse restrictivamente. En efecto, lo anterior fue indicado por la Sala de Consulta y Servicio Civil del Consejo de Estado al analizar </w:t>
      </w:r>
      <w:r w:rsidR="000D457E">
        <w:rPr>
          <w:rFonts w:ascii="Arial" w:eastAsia="Times New Roman" w:hAnsi="Arial" w:cs="Arial"/>
          <w:bCs/>
          <w:color w:val="000000"/>
          <w:sz w:val="22"/>
          <w:lang w:eastAsia="es-CO"/>
        </w:rPr>
        <w:t>la referida ley</w:t>
      </w:r>
      <w:r>
        <w:rPr>
          <w:rFonts w:ascii="Arial" w:eastAsia="Times New Roman" w:hAnsi="Arial" w:cs="Arial"/>
          <w:bCs/>
          <w:color w:val="000000"/>
          <w:sz w:val="22"/>
          <w:lang w:eastAsia="es-CO"/>
        </w:rPr>
        <w:t>,</w:t>
      </w:r>
      <w:r w:rsidR="000D457E">
        <w:rPr>
          <w:rFonts w:ascii="Arial" w:eastAsia="Times New Roman" w:hAnsi="Arial" w:cs="Arial"/>
          <w:bCs/>
          <w:color w:val="000000"/>
          <w:sz w:val="22"/>
          <w:lang w:eastAsia="es-CO"/>
        </w:rPr>
        <w:t xml:space="preserve"> precisando lo siguiente:</w:t>
      </w:r>
    </w:p>
    <w:p w14:paraId="45AFCCC5" w14:textId="77777777" w:rsidR="00D626A3" w:rsidRDefault="00D626A3" w:rsidP="003C432C">
      <w:pPr>
        <w:spacing w:after="0"/>
        <w:ind w:firstLine="709"/>
        <w:rPr>
          <w:rFonts w:ascii="Arial" w:eastAsia="Times New Roman" w:hAnsi="Arial" w:cs="Arial"/>
          <w:bCs/>
          <w:color w:val="000000"/>
          <w:sz w:val="22"/>
          <w:lang w:eastAsia="es-CO"/>
        </w:rPr>
      </w:pPr>
    </w:p>
    <w:p w14:paraId="63944E08" w14:textId="73C81FFD" w:rsidR="000D457E" w:rsidRPr="001F55B5" w:rsidRDefault="000D457E" w:rsidP="001F55B5">
      <w:pPr>
        <w:spacing w:after="0" w:line="240" w:lineRule="auto"/>
        <w:ind w:left="709" w:right="709"/>
        <w:rPr>
          <w:rFonts w:ascii="Arial" w:eastAsia="Times New Roman" w:hAnsi="Arial" w:cs="Arial"/>
          <w:bCs/>
          <w:color w:val="000000"/>
          <w:sz w:val="21"/>
          <w:szCs w:val="21"/>
          <w:lang w:eastAsia="es-CO"/>
        </w:rPr>
      </w:pPr>
      <w:r w:rsidRPr="001F55B5">
        <w:rPr>
          <w:rFonts w:ascii="Arial" w:eastAsia="Times New Roman" w:hAnsi="Arial" w:cs="Arial"/>
          <w:bCs/>
          <w:color w:val="000000"/>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1F55B5">
        <w:rPr>
          <w:rFonts w:ascii="Arial" w:eastAsia="Times New Roman" w:hAnsi="Arial" w:cs="Arial"/>
          <w:bCs/>
          <w:color w:val="000000"/>
          <w:sz w:val="21"/>
          <w:szCs w:val="21"/>
          <w:lang w:eastAsia="es-CO"/>
        </w:rPr>
        <w:t>legis</w:t>
      </w:r>
      <w:proofErr w:type="spellEnd"/>
      <w:r w:rsidRPr="001F55B5">
        <w:rPr>
          <w:rFonts w:ascii="Arial" w:eastAsia="Times New Roman" w:hAnsi="Arial" w:cs="Arial"/>
          <w:bCs/>
          <w:color w:val="000000"/>
          <w:sz w:val="21"/>
          <w:szCs w:val="21"/>
          <w:lang w:eastAsia="es-CO"/>
        </w:rPr>
        <w:t xml:space="preserve"> o iuris y la interpretación extensiva. Las normas legales de contenido prohibitivo hacen parte de un </w:t>
      </w:r>
      <w:r w:rsidRPr="001F55B5">
        <w:rPr>
          <w:rFonts w:ascii="Arial" w:eastAsia="Times New Roman" w:hAnsi="Arial" w:cs="Arial"/>
          <w:bCs/>
          <w:color w:val="000000"/>
          <w:sz w:val="21"/>
          <w:szCs w:val="21"/>
          <w:lang w:eastAsia="es-CO"/>
        </w:rPr>
        <w:lastRenderedPageBreak/>
        <w:t>conjunto de disposiciones que integran un régimen jurídico imperativo y de orden público, razón por la cual no son disponibles ni pueden ser derogadas, modificadas, ampliadas o adicionadas por acuerdo o convenio o acto unilateral.</w:t>
      </w:r>
    </w:p>
    <w:p w14:paraId="5F802D56" w14:textId="77777777" w:rsidR="000D457E" w:rsidRPr="001F55B5" w:rsidRDefault="000D457E" w:rsidP="001F55B5">
      <w:pPr>
        <w:spacing w:after="0" w:line="240" w:lineRule="auto"/>
        <w:ind w:left="709" w:right="709" w:firstLine="709"/>
        <w:rPr>
          <w:rFonts w:ascii="Arial" w:eastAsia="Times New Roman" w:hAnsi="Arial" w:cs="Arial"/>
          <w:bCs/>
          <w:color w:val="000000"/>
          <w:sz w:val="21"/>
          <w:szCs w:val="21"/>
          <w:lang w:eastAsia="es-CO"/>
        </w:rPr>
      </w:pPr>
    </w:p>
    <w:p w14:paraId="3BC36AE9" w14:textId="619FD879" w:rsidR="00883662" w:rsidRDefault="000D457E" w:rsidP="001F55B5">
      <w:pPr>
        <w:spacing w:after="0" w:line="240" w:lineRule="auto"/>
        <w:ind w:left="709" w:right="709"/>
        <w:rPr>
          <w:rFonts w:ascii="Arial" w:eastAsia="Times New Roman" w:hAnsi="Arial" w:cs="Arial"/>
          <w:bCs/>
          <w:color w:val="000000"/>
          <w:sz w:val="21"/>
          <w:szCs w:val="21"/>
          <w:lang w:eastAsia="es-CO"/>
        </w:rPr>
      </w:pPr>
      <w:r w:rsidRPr="001F55B5">
        <w:rPr>
          <w:rFonts w:ascii="Arial" w:eastAsia="Times New Roman" w:hAnsi="Arial" w:cs="Arial"/>
          <w:bCs/>
          <w:color w:val="000000"/>
          <w:sz w:val="21"/>
          <w:szCs w:val="21"/>
          <w:lang w:eastAsia="es-CO"/>
        </w:rPr>
        <w:t>La jurisprudencia de la Corte Constitucional</w:t>
      </w:r>
      <w:r w:rsidR="001F55B5" w:rsidRPr="001F55B5">
        <w:rPr>
          <w:rStyle w:val="Refdenotaalpie"/>
          <w:rFonts w:ascii="Arial" w:eastAsia="Times New Roman" w:hAnsi="Arial" w:cs="Arial"/>
          <w:bCs/>
          <w:color w:val="000000"/>
          <w:sz w:val="21"/>
          <w:szCs w:val="21"/>
          <w:lang w:eastAsia="es-CO"/>
        </w:rPr>
        <w:footnoteReference w:id="2"/>
      </w:r>
      <w:r w:rsidRPr="001F55B5">
        <w:rPr>
          <w:rFonts w:ascii="Arial" w:eastAsia="Times New Roman" w:hAnsi="Arial" w:cs="Arial"/>
          <w:bCs/>
          <w:color w:val="000000"/>
          <w:sz w:val="21"/>
          <w:szCs w:val="21"/>
          <w:lang w:eastAsia="es-CO"/>
        </w:rPr>
        <w:t> y del Consejo de Estado</w:t>
      </w:r>
      <w:r w:rsidR="001F55B5" w:rsidRPr="001F55B5">
        <w:rPr>
          <w:rStyle w:val="Refdenotaalpie"/>
          <w:rFonts w:ascii="Arial" w:eastAsia="Times New Roman" w:hAnsi="Arial" w:cs="Arial"/>
          <w:bCs/>
          <w:color w:val="000000"/>
          <w:sz w:val="21"/>
          <w:szCs w:val="21"/>
          <w:lang w:eastAsia="es-CO"/>
        </w:rPr>
        <w:footnoteReference w:id="3"/>
      </w:r>
      <w:r w:rsidRPr="001F55B5">
        <w:rPr>
          <w:rFonts w:ascii="Arial" w:eastAsia="Times New Roman" w:hAnsi="Arial" w:cs="Arial"/>
          <w:bCs/>
          <w:color w:val="000000"/>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1F55B5">
        <w:rPr>
          <w:rFonts w:ascii="Arial" w:eastAsia="Times New Roman" w:hAnsi="Arial" w:cs="Arial"/>
          <w:bCs/>
          <w:color w:val="000000"/>
          <w:sz w:val="21"/>
          <w:szCs w:val="21"/>
          <w:lang w:eastAsia="es-CO"/>
        </w:rPr>
        <w:t>intérprete</w:t>
      </w:r>
      <w:r w:rsidRPr="001F55B5">
        <w:rPr>
          <w:rFonts w:ascii="Arial" w:eastAsia="Times New Roman" w:hAnsi="Arial" w:cs="Arial"/>
          <w:bCs/>
          <w:color w:val="000000"/>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Pr>
          <w:rStyle w:val="Refdenotaalpie"/>
          <w:rFonts w:ascii="Arial" w:eastAsia="Times New Roman" w:hAnsi="Arial" w:cs="Arial"/>
          <w:bCs/>
          <w:color w:val="000000"/>
          <w:sz w:val="22"/>
          <w:lang w:eastAsia="es-CO"/>
        </w:rPr>
        <w:footnoteReference w:id="4"/>
      </w:r>
      <w:r w:rsidR="00D626A3">
        <w:rPr>
          <w:rFonts w:ascii="Arial" w:eastAsia="Times New Roman" w:hAnsi="Arial" w:cs="Arial"/>
          <w:bCs/>
          <w:color w:val="000000"/>
          <w:sz w:val="21"/>
          <w:szCs w:val="21"/>
          <w:lang w:eastAsia="es-CO"/>
        </w:rPr>
        <w:t>.</w:t>
      </w:r>
    </w:p>
    <w:p w14:paraId="12707F41" w14:textId="1652A0E8" w:rsidR="00281ED6" w:rsidRDefault="00281ED6" w:rsidP="00281ED6">
      <w:pPr>
        <w:spacing w:after="0" w:line="240" w:lineRule="auto"/>
        <w:ind w:right="709"/>
        <w:rPr>
          <w:rFonts w:ascii="Arial" w:eastAsia="Times New Roman" w:hAnsi="Arial" w:cs="Arial"/>
          <w:bCs/>
          <w:color w:val="000000"/>
          <w:sz w:val="21"/>
          <w:szCs w:val="21"/>
          <w:lang w:eastAsia="es-CO"/>
        </w:rPr>
      </w:pPr>
    </w:p>
    <w:p w14:paraId="7AF3A8D6" w14:textId="074B8314" w:rsidR="00281ED6" w:rsidRPr="002D5D70" w:rsidRDefault="00281ED6" w:rsidP="00881742">
      <w:pPr>
        <w:spacing w:after="0"/>
        <w:ind w:firstLine="709"/>
        <w:rPr>
          <w:rFonts w:ascii="Arial" w:eastAsia="Times New Roman" w:hAnsi="Arial" w:cs="Arial"/>
          <w:bCs/>
          <w:color w:val="000000"/>
          <w:sz w:val="22"/>
          <w:lang w:eastAsia="es-CO"/>
        </w:rPr>
      </w:pPr>
      <w:r>
        <w:rPr>
          <w:rFonts w:ascii="Arial" w:eastAsia="Times New Roman" w:hAnsi="Arial" w:cs="Arial"/>
          <w:bCs/>
          <w:color w:val="000000"/>
          <w:sz w:val="22"/>
          <w:lang w:eastAsia="es-CO"/>
        </w:rPr>
        <w:t>En tal sentido, las restricciones a la libertad contractual establecidas en la Ley 996 de 2005 deben interpretarse de forma restrictiva, conforme al pronunciamiento anterior que se apoya en jurisprudencia de la Corte Constituciona</w:t>
      </w:r>
      <w:r w:rsidR="00AA671A">
        <w:rPr>
          <w:rFonts w:ascii="Arial" w:eastAsia="Times New Roman" w:hAnsi="Arial" w:cs="Arial"/>
          <w:bCs/>
          <w:color w:val="000000"/>
          <w:sz w:val="22"/>
          <w:lang w:eastAsia="es-CO"/>
        </w:rPr>
        <w:t>l</w:t>
      </w:r>
      <w:r>
        <w:rPr>
          <w:rFonts w:ascii="Arial" w:eastAsia="Times New Roman" w:hAnsi="Arial" w:cs="Arial"/>
          <w:bCs/>
          <w:color w:val="000000"/>
          <w:sz w:val="22"/>
          <w:lang w:eastAsia="es-CO"/>
        </w:rPr>
        <w:t xml:space="preserve"> y del Consejo de Estado. </w:t>
      </w:r>
    </w:p>
    <w:p w14:paraId="1E362307" w14:textId="77777777" w:rsidR="003C432C" w:rsidRDefault="003C432C" w:rsidP="003C432C">
      <w:pPr>
        <w:spacing w:after="0"/>
        <w:rPr>
          <w:rFonts w:ascii="Arial" w:eastAsia="Calibri" w:hAnsi="Arial" w:cs="Arial"/>
          <w:b/>
          <w:bCs/>
          <w:sz w:val="22"/>
          <w:lang w:val="es-CO"/>
        </w:rPr>
      </w:pPr>
    </w:p>
    <w:p w14:paraId="54CF1F26" w14:textId="4C407824" w:rsidR="00930831" w:rsidRPr="002D5D70" w:rsidRDefault="00C0300E" w:rsidP="00A8268C">
      <w:pPr>
        <w:rPr>
          <w:rFonts w:ascii="Arial" w:eastAsia="Times New Roman" w:hAnsi="Arial" w:cs="Arial"/>
          <w:b/>
          <w:bCs/>
          <w:color w:val="000000"/>
          <w:sz w:val="22"/>
          <w:lang w:eastAsia="es-CO"/>
        </w:rPr>
      </w:pPr>
      <w:r w:rsidRPr="002D5D70">
        <w:rPr>
          <w:rFonts w:ascii="Arial" w:eastAsia="Calibri" w:hAnsi="Arial" w:cs="Arial"/>
          <w:b/>
          <w:bCs/>
          <w:sz w:val="22"/>
          <w:lang w:val="es-CO"/>
        </w:rPr>
        <w:t>2.</w:t>
      </w:r>
      <w:r w:rsidR="0022085C">
        <w:rPr>
          <w:rFonts w:ascii="Arial" w:eastAsia="Calibri" w:hAnsi="Arial" w:cs="Arial"/>
          <w:b/>
          <w:bCs/>
          <w:sz w:val="22"/>
          <w:lang w:val="es-CO"/>
        </w:rPr>
        <w:t>2</w:t>
      </w:r>
      <w:r w:rsidR="00D63081" w:rsidRPr="002D5D70">
        <w:rPr>
          <w:rFonts w:ascii="Arial" w:eastAsia="Calibri" w:hAnsi="Arial" w:cs="Arial"/>
          <w:b/>
          <w:bCs/>
          <w:sz w:val="22"/>
          <w:lang w:val="es-CO"/>
        </w:rPr>
        <w:t xml:space="preserve"> Determinación de las restricciones según el tipo de elecciones</w:t>
      </w:r>
    </w:p>
    <w:p w14:paraId="13387676" w14:textId="77777777" w:rsidR="0022085C" w:rsidRPr="0022085C" w:rsidRDefault="0022085C" w:rsidP="00881742">
      <w:pPr>
        <w:widowControl w:val="0"/>
        <w:autoSpaceDE w:val="0"/>
        <w:autoSpaceDN w:val="0"/>
        <w:spacing w:after="120"/>
        <w:ind w:right="113"/>
        <w:rPr>
          <w:rFonts w:ascii="Arial" w:eastAsia="Arial" w:hAnsi="Arial" w:cs="Arial"/>
          <w:sz w:val="22"/>
          <w:lang w:val="es-ES" w:eastAsia="es-ES" w:bidi="es-ES"/>
        </w:rPr>
      </w:pPr>
      <w:r w:rsidRPr="0022085C">
        <w:rPr>
          <w:rFonts w:ascii="Arial" w:eastAsia="Arial" w:hAnsi="Arial" w:cs="Arial"/>
          <w:sz w:val="22"/>
          <w:lang w:val="es-ES" w:eastAsia="es-ES" w:bidi="es-ES"/>
        </w:rPr>
        <w:t>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a nivel territorial.</w:t>
      </w:r>
    </w:p>
    <w:p w14:paraId="782557DE" w14:textId="77777777" w:rsidR="0022085C" w:rsidRPr="0022085C" w:rsidRDefault="0022085C" w:rsidP="0022085C">
      <w:pPr>
        <w:spacing w:after="160"/>
        <w:ind w:firstLine="708"/>
        <w:rPr>
          <w:rFonts w:ascii="Arial" w:eastAsia="Calibri" w:hAnsi="Arial" w:cs="Arial"/>
          <w:sz w:val="22"/>
          <w:lang w:val="es-CO"/>
        </w:rPr>
      </w:pPr>
      <w:r w:rsidRPr="0022085C">
        <w:rPr>
          <w:rFonts w:ascii="Arial" w:eastAsia="Calibri" w:hAnsi="Arial" w:cs="Arial"/>
          <w:sz w:val="22"/>
          <w:lang w:val="es-CO"/>
        </w:rPr>
        <w:lastRenderedPageBreak/>
        <w:t xml:space="preserve">Conforme a esto, el artículo 33 de la Ley 996 de 2005 estatuye una prohibición que impide </w:t>
      </w:r>
      <w:r w:rsidRPr="0022085C">
        <w:rPr>
          <w:rFonts w:ascii="Arial" w:eastAsia="Calibri" w:hAnsi="Arial" w:cs="Arial"/>
          <w:bCs/>
          <w:sz w:val="22"/>
          <w:lang w:val="es-CO"/>
        </w:rPr>
        <w:t xml:space="preserve">«[…] </w:t>
      </w:r>
      <w:r w:rsidRPr="0022085C">
        <w:rPr>
          <w:rFonts w:ascii="Arial" w:eastAsia="Calibri" w:hAnsi="Arial" w:cs="Arial"/>
          <w:sz w:val="22"/>
          <w:lang w:val="es-CO"/>
        </w:rPr>
        <w:t>la contratación directa por parte de todos los entes del Estado</w:t>
      </w:r>
      <w:r w:rsidRPr="0022085C">
        <w:rPr>
          <w:rFonts w:ascii="Arial" w:eastAsia="Calibri" w:hAnsi="Arial" w:cs="Arial"/>
          <w:bCs/>
          <w:sz w:val="22"/>
          <w:lang w:val="es-CO"/>
        </w:rPr>
        <w:t>»</w:t>
      </w:r>
      <w:r w:rsidRPr="0022085C">
        <w:rPr>
          <w:rFonts w:ascii="Arial" w:eastAsia="Calibri" w:hAnsi="Arial" w:cs="Arial"/>
          <w:sz w:val="22"/>
          <w:lang w:val="es-CO"/>
        </w:rPr>
        <w:t xml:space="preserve"> durante los cuatro (4) meses anteriores a las elecciones presidenciales, salvo </w:t>
      </w:r>
      <w:r w:rsidRPr="0022085C">
        <w:rPr>
          <w:rFonts w:ascii="Arial" w:eastAsia="Calibri" w:hAnsi="Arial" w:cs="Arial"/>
          <w:bCs/>
          <w:sz w:val="22"/>
          <w:lang w:val="es-CO"/>
        </w:rPr>
        <w:t xml:space="preserve">«[…] </w:t>
      </w:r>
      <w:r w:rsidRPr="0022085C">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2085C">
        <w:rPr>
          <w:rFonts w:ascii="Arial" w:eastAsia="Calibri" w:hAnsi="Arial" w:cs="Arial"/>
          <w:bCs/>
          <w:sz w:val="22"/>
          <w:lang w:val="es-CO"/>
        </w:rPr>
        <w:t>»</w:t>
      </w:r>
      <w:r w:rsidRPr="0022085C">
        <w:rPr>
          <w:rFonts w:ascii="Arial" w:eastAsia="Calibri" w:hAnsi="Arial" w:cs="Arial"/>
          <w:bCs/>
          <w:sz w:val="22"/>
          <w:vertAlign w:val="superscript"/>
          <w:lang w:val="es-CO"/>
        </w:rPr>
        <w:footnoteReference w:id="5"/>
      </w:r>
      <w:r w:rsidRPr="0022085C">
        <w:rPr>
          <w:rFonts w:ascii="Arial" w:eastAsia="Calibri" w:hAnsi="Arial" w:cs="Arial"/>
          <w:sz w:val="22"/>
          <w:lang w:val="es-CO"/>
        </w:rPr>
        <w:t>.</w:t>
      </w:r>
    </w:p>
    <w:p w14:paraId="4BA8D908" w14:textId="77777777" w:rsidR="0022085C" w:rsidRPr="0022085C" w:rsidRDefault="0022085C" w:rsidP="0022085C">
      <w:pPr>
        <w:spacing w:after="160"/>
        <w:ind w:firstLine="708"/>
        <w:rPr>
          <w:rFonts w:ascii="Arial" w:eastAsia="Calibri" w:hAnsi="Arial" w:cs="Arial"/>
          <w:sz w:val="22"/>
          <w:lang w:val="es-CO"/>
        </w:rPr>
      </w:pPr>
      <w:r w:rsidRPr="0022085C">
        <w:rPr>
          <w:rFonts w:ascii="Arial" w:eastAsia="Calibri" w:hAnsi="Arial" w:cs="Arial"/>
          <w:sz w:val="22"/>
          <w:lang w:val="es-CO"/>
        </w:rPr>
        <w:t xml:space="preserve">Por su parte, el parágrafo del artículo 38 de la Ley 996 de 2005 prevé una restricción, aplicable respecto de cualquier tipo de elección, que prohíbe a los gobernadores, alcaldes municipales o distritales, secretarios, gerentes y directores de entidades descentralizadas del orden municipal, departamental o distrital </w:t>
      </w:r>
      <w:r w:rsidRPr="0022085C">
        <w:rPr>
          <w:rFonts w:ascii="Arial" w:eastAsia="Calibri" w:hAnsi="Arial" w:cs="Arial"/>
          <w:bCs/>
          <w:sz w:val="22"/>
          <w:lang w:val="es-CO"/>
        </w:rPr>
        <w:t xml:space="preserve">«[…] </w:t>
      </w:r>
      <w:r w:rsidRPr="0022085C">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2085C">
        <w:rPr>
          <w:rFonts w:ascii="Arial" w:eastAsia="Calibri" w:hAnsi="Arial" w:cs="Arial"/>
          <w:bCs/>
          <w:sz w:val="19"/>
          <w:szCs w:val="19"/>
          <w:lang w:val="es-CO"/>
        </w:rPr>
        <w:t>»</w:t>
      </w:r>
      <w:r w:rsidRPr="0022085C">
        <w:rPr>
          <w:rFonts w:ascii="Arial" w:eastAsia="Calibri" w:hAnsi="Arial" w:cs="Arial"/>
          <w:bCs/>
          <w:sz w:val="19"/>
          <w:szCs w:val="19"/>
          <w:vertAlign w:val="superscript"/>
          <w:lang w:val="es-CO"/>
        </w:rPr>
        <w:footnoteReference w:id="6"/>
      </w:r>
      <w:r w:rsidRPr="0022085C">
        <w:rPr>
          <w:rFonts w:ascii="Arial" w:eastAsia="Calibri" w:hAnsi="Arial" w:cs="Arial"/>
          <w:sz w:val="22"/>
        </w:rPr>
        <w:t>.</w:t>
      </w:r>
    </w:p>
    <w:p w14:paraId="279AEBA3" w14:textId="77777777" w:rsidR="0022085C" w:rsidRPr="0022085C" w:rsidRDefault="0022085C" w:rsidP="0022085C">
      <w:pPr>
        <w:widowControl w:val="0"/>
        <w:autoSpaceDE w:val="0"/>
        <w:autoSpaceDN w:val="0"/>
        <w:spacing w:after="0"/>
        <w:ind w:right="113" w:firstLine="708"/>
        <w:rPr>
          <w:rFonts w:ascii="Arial" w:eastAsia="Arial" w:hAnsi="Arial" w:cs="Arial"/>
          <w:sz w:val="22"/>
          <w:lang w:val="es-ES" w:eastAsia="es-ES" w:bidi="es-ES"/>
        </w:rPr>
      </w:pPr>
      <w:r w:rsidRPr="0022085C">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 así:</w:t>
      </w:r>
    </w:p>
    <w:p w14:paraId="7D4E9CFC" w14:textId="77777777" w:rsidR="0022085C" w:rsidRPr="0022085C" w:rsidRDefault="0022085C" w:rsidP="0022085C">
      <w:pPr>
        <w:widowControl w:val="0"/>
        <w:autoSpaceDE w:val="0"/>
        <w:autoSpaceDN w:val="0"/>
        <w:spacing w:before="93" w:after="0" w:line="240" w:lineRule="auto"/>
        <w:ind w:left="805" w:right="812"/>
        <w:rPr>
          <w:rFonts w:ascii="Arial" w:eastAsia="Arial" w:hAnsi="Arial" w:cs="Arial"/>
          <w:sz w:val="22"/>
          <w:lang w:val="es-ES" w:eastAsia="es-ES" w:bidi="es-ES"/>
        </w:rPr>
      </w:pPr>
    </w:p>
    <w:p w14:paraId="4BE96868" w14:textId="77777777" w:rsidR="0022085C" w:rsidRPr="0022085C" w:rsidRDefault="0022085C" w:rsidP="0022085C">
      <w:pPr>
        <w:widowControl w:val="0"/>
        <w:autoSpaceDE w:val="0"/>
        <w:autoSpaceDN w:val="0"/>
        <w:spacing w:after="0" w:line="240" w:lineRule="auto"/>
        <w:ind w:left="805" w:right="812"/>
        <w:rPr>
          <w:rFonts w:ascii="Arial" w:eastAsia="Arial" w:hAnsi="Arial" w:cs="Arial"/>
          <w:sz w:val="22"/>
          <w:lang w:val="es-ES" w:eastAsia="es-ES" w:bidi="es-ES"/>
        </w:rPr>
      </w:pPr>
      <w:r w:rsidRPr="0022085C">
        <w:rPr>
          <w:rFonts w:ascii="Arial" w:eastAsia="Arial" w:hAnsi="Arial" w:cs="Arial"/>
          <w:sz w:val="22"/>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22085C">
        <w:rPr>
          <w:rFonts w:ascii="Arial" w:eastAsia="Arial" w:hAnsi="Arial" w:cs="Arial"/>
          <w:b/>
          <w:sz w:val="22"/>
          <w:lang w:val="es-ES" w:eastAsia="es-ES" w:bidi="es-ES"/>
        </w:rPr>
        <w:t xml:space="preserve">En cambio, para elecciones en general, excluyendo las correspondientes a </w:t>
      </w:r>
      <w:proofErr w:type="gramStart"/>
      <w:r w:rsidRPr="0022085C">
        <w:rPr>
          <w:rFonts w:ascii="Arial" w:eastAsia="Arial" w:hAnsi="Arial" w:cs="Arial"/>
          <w:b/>
          <w:sz w:val="22"/>
          <w:lang w:val="es-ES" w:eastAsia="es-ES" w:bidi="es-ES"/>
        </w:rPr>
        <w:t>Presidente</w:t>
      </w:r>
      <w:proofErr w:type="gramEnd"/>
      <w:r w:rsidRPr="0022085C">
        <w:rPr>
          <w:rFonts w:ascii="Arial" w:eastAsia="Arial" w:hAnsi="Arial" w:cs="Arial"/>
          <w:b/>
          <w:sz w:val="22"/>
          <w:lang w:val="es-ES" w:eastAsia="es-ES" w:bidi="es-ES"/>
        </w:rPr>
        <w:t xml:space="preserve"> de la República, a las autoridades territoriales allí mencionadas sólo se aplican las restricciones contenidas en el parágrafo del artículo 38</w:t>
      </w:r>
      <w:r w:rsidRPr="0022085C">
        <w:rPr>
          <w:rFonts w:ascii="Arial" w:eastAsia="Arial" w:hAnsi="Arial" w:cs="Arial"/>
          <w:sz w:val="22"/>
          <w:lang w:val="es-ES" w:eastAsia="es-ES" w:bidi="es-ES"/>
        </w:rPr>
        <w:t>.</w:t>
      </w:r>
      <w:r w:rsidRPr="0022085C">
        <w:rPr>
          <w:rFonts w:ascii="Arial" w:eastAsia="Arial" w:hAnsi="Arial" w:cs="Arial"/>
          <w:sz w:val="22"/>
          <w:vertAlign w:val="superscript"/>
          <w:lang w:val="es-ES" w:eastAsia="es-ES" w:bidi="es-ES"/>
        </w:rPr>
        <w:footnoteReference w:id="7"/>
      </w:r>
      <w:r w:rsidRPr="0022085C">
        <w:rPr>
          <w:rFonts w:ascii="Calibri" w:eastAsia="Arial" w:hAnsi="Calibri" w:cs="Arial"/>
          <w:position w:val="8"/>
          <w:sz w:val="16"/>
          <w:lang w:val="es-ES" w:eastAsia="es-ES" w:bidi="es-ES"/>
        </w:rPr>
        <w:t xml:space="preserve"> </w:t>
      </w:r>
      <w:r w:rsidRPr="0022085C">
        <w:rPr>
          <w:rFonts w:ascii="Arial" w:eastAsia="Arial" w:hAnsi="Arial" w:cs="Arial"/>
          <w:sz w:val="22"/>
          <w:lang w:val="es-ES" w:eastAsia="es-ES" w:bidi="es-ES"/>
        </w:rPr>
        <w:t>(Negrillas fuera de</w:t>
      </w:r>
      <w:r w:rsidRPr="0022085C">
        <w:rPr>
          <w:rFonts w:ascii="Arial" w:eastAsia="Arial" w:hAnsi="Arial" w:cs="Arial"/>
          <w:spacing w:val="-42"/>
          <w:sz w:val="22"/>
          <w:lang w:val="es-ES" w:eastAsia="es-ES" w:bidi="es-ES"/>
        </w:rPr>
        <w:t xml:space="preserve"> </w:t>
      </w:r>
      <w:r w:rsidRPr="0022085C">
        <w:rPr>
          <w:rFonts w:ascii="Arial" w:eastAsia="Arial" w:hAnsi="Arial" w:cs="Arial"/>
          <w:sz w:val="22"/>
          <w:lang w:val="es-ES" w:eastAsia="es-ES" w:bidi="es-ES"/>
        </w:rPr>
        <w:t>texto)</w:t>
      </w:r>
    </w:p>
    <w:p w14:paraId="5457372B" w14:textId="77777777" w:rsidR="0022085C" w:rsidRPr="0022085C" w:rsidRDefault="0022085C" w:rsidP="0022085C">
      <w:pPr>
        <w:widowControl w:val="0"/>
        <w:autoSpaceDE w:val="0"/>
        <w:autoSpaceDN w:val="0"/>
        <w:spacing w:before="8" w:after="0" w:line="240" w:lineRule="auto"/>
        <w:jc w:val="left"/>
        <w:rPr>
          <w:rFonts w:ascii="Arial" w:eastAsia="Arial" w:hAnsi="Arial" w:cs="Arial"/>
          <w:sz w:val="26"/>
          <w:lang w:val="es-ES" w:eastAsia="es-ES" w:bidi="es-ES"/>
        </w:rPr>
      </w:pPr>
    </w:p>
    <w:p w14:paraId="1A3907BA" w14:textId="428C1833" w:rsidR="0022085C" w:rsidRDefault="0022085C" w:rsidP="00881742">
      <w:pPr>
        <w:spacing w:after="0"/>
        <w:ind w:firstLine="708"/>
        <w:rPr>
          <w:rFonts w:ascii="Arial" w:eastAsia="Times New Roman" w:hAnsi="Arial" w:cs="Arial"/>
          <w:bCs/>
          <w:color w:val="000000"/>
          <w:sz w:val="22"/>
          <w:lang w:eastAsia="es-CO"/>
        </w:rPr>
      </w:pPr>
      <w:r w:rsidRPr="00881742">
        <w:rPr>
          <w:rFonts w:ascii="Arial" w:eastAsia="Arial" w:hAnsi="Arial" w:cs="Arial"/>
          <w:sz w:val="22"/>
          <w:lang w:val="es-ES" w:eastAsia="es-ES" w:bidi="es-ES"/>
        </w:rPr>
        <w:t xml:space="preserve">De conformidad con lo anterior, la Ley 996 de 2005 establece dos tipos de restricciones en materia de contratación, las cuales coinciden parcialmente: i) la del artículo 33 que opera solo respecto de las elecciones presidenciales, en virtud de la cual queda proscrita la contratación directa dentro de los cuatro (4) meses anteriores a la celebración de los comicios, salvo las aludidas excepciones; </w:t>
      </w:r>
      <w:proofErr w:type="spellStart"/>
      <w:r w:rsidRPr="00881742">
        <w:rPr>
          <w:rFonts w:ascii="Arial" w:eastAsia="Arial" w:hAnsi="Arial" w:cs="Arial"/>
          <w:sz w:val="22"/>
          <w:lang w:val="es-ES" w:eastAsia="es-ES" w:bidi="es-ES"/>
        </w:rPr>
        <w:t>ii</w:t>
      </w:r>
      <w:proofErr w:type="spellEnd"/>
      <w:r w:rsidRPr="00881742">
        <w:rPr>
          <w:rFonts w:ascii="Arial" w:eastAsia="Arial" w:hAnsi="Arial" w:cs="Arial"/>
          <w:sz w:val="22"/>
          <w:lang w:val="es-ES" w:eastAsia="es-ES" w:bidi="es-ES"/>
        </w:rPr>
        <w:t xml:space="preserve">) la del artículo 38, que debe aplicarse respecto de cualquier tipo de elección, y que prohíbe la celebración de convenios interadministrativos que impliquen la ejecución de recursos públicos. </w:t>
      </w:r>
    </w:p>
    <w:p w14:paraId="0F96304A" w14:textId="77777777" w:rsidR="00374753" w:rsidRDefault="00374753" w:rsidP="00374753">
      <w:pPr>
        <w:pStyle w:val="Textoindependiente"/>
        <w:spacing w:after="0"/>
        <w:rPr>
          <w:rFonts w:eastAsia="Calibri"/>
          <w:b/>
          <w:bCs/>
          <w:lang w:val="es-CO"/>
        </w:rPr>
      </w:pPr>
    </w:p>
    <w:p w14:paraId="06ED1117" w14:textId="0B80619D" w:rsidR="002F51E1" w:rsidRPr="008612BF" w:rsidRDefault="007E4585" w:rsidP="00374753">
      <w:pPr>
        <w:pStyle w:val="Textoindependiente"/>
        <w:spacing w:after="0"/>
        <w:rPr>
          <w:b/>
          <w:color w:val="000000" w:themeColor="text1"/>
        </w:rPr>
      </w:pPr>
      <w:r w:rsidRPr="008612BF">
        <w:rPr>
          <w:rFonts w:eastAsia="Calibri"/>
          <w:b/>
          <w:bCs/>
          <w:lang w:val="es-CO"/>
        </w:rPr>
        <w:t>2.3</w:t>
      </w:r>
      <w:r w:rsidR="0022085C">
        <w:rPr>
          <w:rFonts w:eastAsia="Calibri"/>
          <w:b/>
          <w:bCs/>
          <w:lang w:val="es-CO"/>
        </w:rPr>
        <w:t>.</w:t>
      </w:r>
      <w:r w:rsidRPr="008612BF">
        <w:rPr>
          <w:rFonts w:eastAsia="Calibri"/>
          <w:b/>
          <w:bCs/>
          <w:lang w:val="es-CO"/>
        </w:rPr>
        <w:t xml:space="preserve"> </w:t>
      </w:r>
      <w:r w:rsidR="00C24CB7">
        <w:rPr>
          <w:rFonts w:eastAsia="Calibri"/>
          <w:b/>
          <w:bCs/>
          <w:lang w:val="es-CO"/>
        </w:rPr>
        <w:t xml:space="preserve">Instrumentos de agregación de demanda </w:t>
      </w:r>
      <w:r w:rsidR="00474434">
        <w:rPr>
          <w:rFonts w:eastAsia="Calibri"/>
          <w:b/>
          <w:bCs/>
          <w:lang w:val="es-CO"/>
        </w:rPr>
        <w:t>y los</w:t>
      </w:r>
      <w:r w:rsidR="00C24CB7">
        <w:rPr>
          <w:rFonts w:eastAsia="Calibri"/>
          <w:b/>
          <w:bCs/>
          <w:lang w:val="es-CO"/>
        </w:rPr>
        <w:t xml:space="preserve"> </w:t>
      </w:r>
      <w:r w:rsidR="00624730">
        <w:rPr>
          <w:rFonts w:eastAsia="Calibri"/>
          <w:b/>
          <w:bCs/>
          <w:lang w:val="es-CO"/>
        </w:rPr>
        <w:t xml:space="preserve">Acuerdo Marco de Precios </w:t>
      </w:r>
    </w:p>
    <w:p w14:paraId="7CC6E990" w14:textId="77777777" w:rsidR="002F51E1" w:rsidRPr="008612BF" w:rsidRDefault="002F51E1" w:rsidP="00374753">
      <w:pPr>
        <w:tabs>
          <w:tab w:val="left" w:pos="426"/>
        </w:tabs>
        <w:spacing w:after="0"/>
        <w:rPr>
          <w:rFonts w:ascii="Arial" w:eastAsia="Calibri" w:hAnsi="Arial" w:cs="Arial"/>
          <w:sz w:val="22"/>
          <w:lang w:val="es-ES"/>
        </w:rPr>
      </w:pPr>
    </w:p>
    <w:p w14:paraId="5B34AB32" w14:textId="08347869" w:rsidR="004A486C" w:rsidRDefault="004A486C" w:rsidP="00ED42A5">
      <w:pPr>
        <w:spacing w:after="120"/>
        <w:rPr>
          <w:rFonts w:ascii="Arial" w:eastAsia="Arial" w:hAnsi="Arial" w:cs="Arial"/>
          <w:sz w:val="22"/>
          <w:lang w:val="es-ES" w:eastAsia="es-ES" w:bidi="es-ES"/>
        </w:rPr>
      </w:pPr>
      <w:r>
        <w:rPr>
          <w:rFonts w:ascii="Arial" w:eastAsia="Arial" w:hAnsi="Arial" w:cs="Arial"/>
          <w:sz w:val="22"/>
          <w:lang w:val="es-ES" w:eastAsia="es-ES" w:bidi="es-ES"/>
        </w:rPr>
        <w:t>El contrato de agregación de demanda e</w:t>
      </w:r>
      <w:r w:rsidRPr="004A486C">
        <w:rPr>
          <w:rFonts w:ascii="Arial" w:eastAsia="Arial" w:hAnsi="Arial" w:cs="Arial"/>
          <w:sz w:val="22"/>
          <w:lang w:val="es-ES" w:eastAsia="es-ES" w:bidi="es-ES"/>
        </w:rPr>
        <w:t>s un instrumento desarrollado por Colombia Compra Eficiente para agregar la</w:t>
      </w:r>
      <w:r>
        <w:rPr>
          <w:rFonts w:ascii="Arial" w:eastAsia="Arial" w:hAnsi="Arial" w:cs="Arial"/>
          <w:sz w:val="22"/>
          <w:lang w:val="es-ES" w:eastAsia="es-ES" w:bidi="es-ES"/>
        </w:rPr>
        <w:t xml:space="preserve"> </w:t>
      </w:r>
      <w:r w:rsidRPr="004A486C">
        <w:rPr>
          <w:rFonts w:ascii="Arial" w:eastAsia="Arial" w:hAnsi="Arial" w:cs="Arial"/>
          <w:sz w:val="22"/>
          <w:lang w:val="es-ES" w:eastAsia="es-ES" w:bidi="es-ES"/>
        </w:rPr>
        <w:t xml:space="preserve">demanda de bienes y servicios de un grupo de </w:t>
      </w:r>
      <w:r w:rsidR="00474434">
        <w:rPr>
          <w:rFonts w:ascii="Arial" w:eastAsia="Arial" w:hAnsi="Arial" w:cs="Arial"/>
          <w:sz w:val="22"/>
          <w:lang w:val="es-ES" w:eastAsia="es-ES" w:bidi="es-ES"/>
        </w:rPr>
        <w:t>e</w:t>
      </w:r>
      <w:r w:rsidRPr="004A486C">
        <w:rPr>
          <w:rFonts w:ascii="Arial" w:eastAsia="Arial" w:hAnsi="Arial" w:cs="Arial"/>
          <w:sz w:val="22"/>
          <w:lang w:val="es-ES" w:eastAsia="es-ES" w:bidi="es-ES"/>
        </w:rPr>
        <w:t xml:space="preserve">ntidades </w:t>
      </w:r>
      <w:r w:rsidR="00474434">
        <w:rPr>
          <w:rFonts w:ascii="Arial" w:eastAsia="Arial" w:hAnsi="Arial" w:cs="Arial"/>
          <w:sz w:val="22"/>
          <w:lang w:val="es-ES" w:eastAsia="es-ES" w:bidi="es-ES"/>
        </w:rPr>
        <w:t>e</w:t>
      </w:r>
      <w:r w:rsidRPr="004A486C">
        <w:rPr>
          <w:rFonts w:ascii="Arial" w:eastAsia="Arial" w:hAnsi="Arial" w:cs="Arial"/>
          <w:sz w:val="22"/>
          <w:lang w:val="es-ES" w:eastAsia="es-ES" w:bidi="es-ES"/>
        </w:rPr>
        <w:t>statales y hacer una</w:t>
      </w:r>
      <w:r>
        <w:rPr>
          <w:rFonts w:ascii="Arial" w:eastAsia="Arial" w:hAnsi="Arial" w:cs="Arial"/>
          <w:sz w:val="22"/>
          <w:lang w:val="es-ES" w:eastAsia="es-ES" w:bidi="es-ES"/>
        </w:rPr>
        <w:t xml:space="preserve"> </w:t>
      </w:r>
      <w:r w:rsidRPr="004A486C">
        <w:rPr>
          <w:rFonts w:ascii="Arial" w:eastAsia="Arial" w:hAnsi="Arial" w:cs="Arial"/>
          <w:sz w:val="22"/>
          <w:lang w:val="es-ES" w:eastAsia="es-ES" w:bidi="es-ES"/>
        </w:rPr>
        <w:t xml:space="preserve">negociación con uno o varios proveedores para unificar las condiciones de </w:t>
      </w:r>
      <w:r w:rsidR="00296D38" w:rsidRPr="004A486C">
        <w:rPr>
          <w:rFonts w:ascii="Arial" w:eastAsia="Arial" w:hAnsi="Arial" w:cs="Arial"/>
          <w:sz w:val="22"/>
          <w:lang w:val="es-ES" w:eastAsia="es-ES" w:bidi="es-ES"/>
        </w:rPr>
        <w:t>adquisición por</w:t>
      </w:r>
      <w:r w:rsidRPr="004A486C">
        <w:rPr>
          <w:rFonts w:ascii="Arial" w:eastAsia="Arial" w:hAnsi="Arial" w:cs="Arial"/>
          <w:sz w:val="22"/>
          <w:lang w:val="es-ES" w:eastAsia="es-ES" w:bidi="es-ES"/>
        </w:rPr>
        <w:t xml:space="preserve"> parte de los proveedores y mejorar las condiciones </w:t>
      </w:r>
      <w:r w:rsidRPr="004A486C">
        <w:rPr>
          <w:rFonts w:ascii="Arial" w:eastAsia="Arial" w:hAnsi="Arial" w:cs="Arial"/>
          <w:sz w:val="22"/>
          <w:lang w:val="es-ES" w:eastAsia="es-ES" w:bidi="es-ES"/>
        </w:rPr>
        <w:lastRenderedPageBreak/>
        <w:t>generales de la adquisición</w:t>
      </w:r>
      <w:r>
        <w:rPr>
          <w:rStyle w:val="Refdenotaalpie"/>
          <w:rFonts w:ascii="Arial" w:eastAsia="Arial" w:hAnsi="Arial" w:cs="Arial"/>
          <w:sz w:val="22"/>
          <w:lang w:val="es-ES" w:eastAsia="es-ES" w:bidi="es-ES"/>
        </w:rPr>
        <w:footnoteReference w:id="8"/>
      </w:r>
      <w:r w:rsidR="00942B12">
        <w:rPr>
          <w:rFonts w:ascii="Arial" w:eastAsia="Arial" w:hAnsi="Arial" w:cs="Arial"/>
          <w:sz w:val="22"/>
          <w:lang w:val="es-ES" w:eastAsia="es-ES" w:bidi="es-ES"/>
        </w:rPr>
        <w:t>, siendo el Acuerdo Marco de Precios un instrumento de agregación de demanda</w:t>
      </w:r>
      <w:r>
        <w:rPr>
          <w:rFonts w:ascii="Arial" w:eastAsia="Arial" w:hAnsi="Arial" w:cs="Arial"/>
          <w:sz w:val="22"/>
          <w:lang w:val="es-ES" w:eastAsia="es-ES" w:bidi="es-ES"/>
        </w:rPr>
        <w:t>.</w:t>
      </w:r>
    </w:p>
    <w:p w14:paraId="6854A193" w14:textId="482D9661" w:rsidR="00CB5663" w:rsidRDefault="00C24CB7" w:rsidP="00881742">
      <w:pPr>
        <w:spacing w:after="120"/>
        <w:ind w:firstLine="709"/>
        <w:rPr>
          <w:rFonts w:ascii="Arial" w:eastAsia="Arial" w:hAnsi="Arial" w:cs="Arial"/>
          <w:spacing w:val="55"/>
          <w:sz w:val="22"/>
          <w:lang w:val="es-ES" w:eastAsia="es-ES" w:bidi="es-ES"/>
        </w:rPr>
      </w:pPr>
      <w:r w:rsidRPr="00C24CB7">
        <w:rPr>
          <w:rFonts w:ascii="Arial" w:eastAsia="Arial" w:hAnsi="Arial" w:cs="Arial"/>
          <w:sz w:val="22"/>
          <w:lang w:val="es-ES" w:eastAsia="es-ES" w:bidi="es-ES"/>
        </w:rPr>
        <w:t>Las entidades estatales que se rigen por el Estatuto General de Contratación de la Administración Pública deben adquirir los bienes y servicios de características técnicas uniformes, según lo señalado en el reglamento, a través del uso de procedimientos de subasta</w:t>
      </w:r>
      <w:r w:rsidRPr="00C24CB7">
        <w:rPr>
          <w:rFonts w:ascii="Arial" w:eastAsia="Arial" w:hAnsi="Arial" w:cs="Arial"/>
          <w:spacing w:val="53"/>
          <w:sz w:val="22"/>
          <w:lang w:val="es-ES" w:eastAsia="es-ES" w:bidi="es-ES"/>
        </w:rPr>
        <w:t xml:space="preserve"> </w:t>
      </w:r>
      <w:r w:rsidRPr="00C24CB7">
        <w:rPr>
          <w:rFonts w:ascii="Arial" w:eastAsia="Arial" w:hAnsi="Arial" w:cs="Arial"/>
          <w:sz w:val="22"/>
          <w:lang w:val="es-ES" w:eastAsia="es-ES" w:bidi="es-ES"/>
        </w:rPr>
        <w:t>inversa,</w:t>
      </w:r>
      <w:r w:rsidRPr="00C24CB7">
        <w:rPr>
          <w:rFonts w:ascii="Arial" w:eastAsia="Arial" w:hAnsi="Arial" w:cs="Arial"/>
          <w:spacing w:val="53"/>
          <w:sz w:val="22"/>
          <w:lang w:val="es-ES" w:eastAsia="es-ES" w:bidi="es-ES"/>
        </w:rPr>
        <w:t xml:space="preserve"> </w:t>
      </w:r>
      <w:r w:rsidRPr="00C24CB7">
        <w:rPr>
          <w:rFonts w:ascii="Arial" w:eastAsia="Arial" w:hAnsi="Arial" w:cs="Arial"/>
          <w:sz w:val="22"/>
          <w:lang w:val="es-ES" w:eastAsia="es-ES" w:bidi="es-ES"/>
        </w:rPr>
        <w:t>acuerdos</w:t>
      </w:r>
      <w:r w:rsidRPr="00C24CB7">
        <w:rPr>
          <w:rFonts w:ascii="Arial" w:eastAsia="Arial" w:hAnsi="Arial" w:cs="Arial"/>
          <w:spacing w:val="54"/>
          <w:sz w:val="22"/>
          <w:lang w:val="es-ES" w:eastAsia="es-ES" w:bidi="es-ES"/>
        </w:rPr>
        <w:t xml:space="preserve"> </w:t>
      </w:r>
      <w:r w:rsidRPr="00C24CB7">
        <w:rPr>
          <w:rFonts w:ascii="Arial" w:eastAsia="Arial" w:hAnsi="Arial" w:cs="Arial"/>
          <w:sz w:val="22"/>
          <w:lang w:val="es-ES" w:eastAsia="es-ES" w:bidi="es-ES"/>
        </w:rPr>
        <w:t>marco</w:t>
      </w:r>
      <w:r w:rsidRPr="00C24CB7">
        <w:rPr>
          <w:rFonts w:ascii="Arial" w:eastAsia="Arial" w:hAnsi="Arial" w:cs="Arial"/>
          <w:spacing w:val="53"/>
          <w:sz w:val="22"/>
          <w:lang w:val="es-ES" w:eastAsia="es-ES" w:bidi="es-ES"/>
        </w:rPr>
        <w:t xml:space="preserve"> </w:t>
      </w:r>
      <w:r w:rsidRPr="00C24CB7">
        <w:rPr>
          <w:rFonts w:ascii="Arial" w:eastAsia="Arial" w:hAnsi="Arial" w:cs="Arial"/>
          <w:sz w:val="22"/>
          <w:lang w:val="es-ES" w:eastAsia="es-ES" w:bidi="es-ES"/>
        </w:rPr>
        <w:t>de</w:t>
      </w:r>
      <w:r w:rsidRPr="00C24CB7">
        <w:rPr>
          <w:rFonts w:ascii="Arial" w:eastAsia="Arial" w:hAnsi="Arial" w:cs="Arial"/>
          <w:spacing w:val="54"/>
          <w:sz w:val="22"/>
          <w:lang w:val="es-ES" w:eastAsia="es-ES" w:bidi="es-ES"/>
        </w:rPr>
        <w:t xml:space="preserve"> </w:t>
      </w:r>
      <w:r w:rsidRPr="00C24CB7">
        <w:rPr>
          <w:rFonts w:ascii="Arial" w:eastAsia="Arial" w:hAnsi="Arial" w:cs="Arial"/>
          <w:sz w:val="22"/>
          <w:lang w:val="es-ES" w:eastAsia="es-ES" w:bidi="es-ES"/>
        </w:rPr>
        <w:t>precios</w:t>
      </w:r>
      <w:r w:rsidRPr="00C24CB7">
        <w:rPr>
          <w:rFonts w:ascii="Arial" w:eastAsia="Arial" w:hAnsi="Arial" w:cs="Arial"/>
          <w:spacing w:val="56"/>
          <w:sz w:val="22"/>
          <w:lang w:val="es-ES" w:eastAsia="es-ES" w:bidi="es-ES"/>
        </w:rPr>
        <w:t xml:space="preserve"> </w:t>
      </w:r>
      <w:r w:rsidRPr="00C24CB7">
        <w:rPr>
          <w:rFonts w:ascii="Arial" w:eastAsia="Arial" w:hAnsi="Arial" w:cs="Arial"/>
          <w:sz w:val="22"/>
          <w:lang w:val="es-ES" w:eastAsia="es-ES" w:bidi="es-ES"/>
        </w:rPr>
        <w:t>o</w:t>
      </w:r>
      <w:r w:rsidRPr="00C24CB7">
        <w:rPr>
          <w:rFonts w:ascii="Arial" w:eastAsia="Arial" w:hAnsi="Arial" w:cs="Arial"/>
          <w:spacing w:val="56"/>
          <w:sz w:val="22"/>
          <w:lang w:val="es-ES" w:eastAsia="es-ES" w:bidi="es-ES"/>
        </w:rPr>
        <w:t xml:space="preserve"> </w:t>
      </w:r>
      <w:r w:rsidRPr="00C24CB7">
        <w:rPr>
          <w:rFonts w:ascii="Arial" w:eastAsia="Arial" w:hAnsi="Arial" w:cs="Arial"/>
          <w:sz w:val="22"/>
          <w:lang w:val="es-ES" w:eastAsia="es-ES" w:bidi="es-ES"/>
        </w:rPr>
        <w:t>en</w:t>
      </w:r>
      <w:r w:rsidRPr="00C24CB7">
        <w:rPr>
          <w:rFonts w:ascii="Arial" w:eastAsia="Arial" w:hAnsi="Arial" w:cs="Arial"/>
          <w:spacing w:val="54"/>
          <w:sz w:val="22"/>
          <w:lang w:val="es-ES" w:eastAsia="es-ES" w:bidi="es-ES"/>
        </w:rPr>
        <w:t xml:space="preserve"> </w:t>
      </w:r>
      <w:r w:rsidRPr="00C24CB7">
        <w:rPr>
          <w:rFonts w:ascii="Arial" w:eastAsia="Arial" w:hAnsi="Arial" w:cs="Arial"/>
          <w:sz w:val="22"/>
          <w:lang w:val="es-ES" w:eastAsia="es-ES" w:bidi="es-ES"/>
        </w:rPr>
        <w:t>bolsa</w:t>
      </w:r>
      <w:r w:rsidRPr="00C24CB7">
        <w:rPr>
          <w:rFonts w:ascii="Arial" w:eastAsia="Arial" w:hAnsi="Arial" w:cs="Arial"/>
          <w:spacing w:val="54"/>
          <w:sz w:val="22"/>
          <w:lang w:val="es-ES" w:eastAsia="es-ES" w:bidi="es-ES"/>
        </w:rPr>
        <w:t xml:space="preserve"> </w:t>
      </w:r>
      <w:r w:rsidRPr="00C24CB7">
        <w:rPr>
          <w:rFonts w:ascii="Arial" w:eastAsia="Arial" w:hAnsi="Arial" w:cs="Arial"/>
          <w:sz w:val="22"/>
          <w:lang w:val="es-ES" w:eastAsia="es-ES" w:bidi="es-ES"/>
        </w:rPr>
        <w:t>de</w:t>
      </w:r>
      <w:r w:rsidRPr="00C24CB7">
        <w:rPr>
          <w:rFonts w:ascii="Arial" w:eastAsia="Arial" w:hAnsi="Arial" w:cs="Arial"/>
          <w:spacing w:val="54"/>
          <w:sz w:val="22"/>
          <w:lang w:val="es-ES" w:eastAsia="es-ES" w:bidi="es-ES"/>
        </w:rPr>
        <w:t xml:space="preserve"> </w:t>
      </w:r>
      <w:r w:rsidRPr="00C24CB7">
        <w:rPr>
          <w:rFonts w:ascii="Arial" w:eastAsia="Arial" w:hAnsi="Arial" w:cs="Arial"/>
          <w:sz w:val="22"/>
          <w:lang w:val="es-ES" w:eastAsia="es-ES" w:bidi="es-ES"/>
        </w:rPr>
        <w:t>productos</w:t>
      </w:r>
      <w:r w:rsidRPr="00C24CB7">
        <w:rPr>
          <w:rFonts w:ascii="Arial" w:eastAsia="Arial" w:hAnsi="Arial" w:cs="Arial"/>
          <w:sz w:val="22"/>
          <w:vertAlign w:val="superscript"/>
          <w:lang w:val="es-ES" w:eastAsia="es-ES" w:bidi="es-ES"/>
        </w:rPr>
        <w:footnoteReference w:id="9"/>
      </w:r>
      <w:r w:rsidRPr="00C24CB7">
        <w:rPr>
          <w:rFonts w:ascii="Arial" w:eastAsia="Arial" w:hAnsi="Arial" w:cs="Arial"/>
          <w:sz w:val="22"/>
          <w:lang w:val="es-ES" w:eastAsia="es-ES" w:bidi="es-ES"/>
        </w:rPr>
        <w:t>.</w:t>
      </w:r>
      <w:r w:rsidRPr="00C24CB7">
        <w:rPr>
          <w:rFonts w:ascii="Arial" w:eastAsia="Arial" w:hAnsi="Arial" w:cs="Arial"/>
          <w:spacing w:val="55"/>
          <w:sz w:val="22"/>
          <w:lang w:val="es-ES" w:eastAsia="es-ES" w:bidi="es-ES"/>
        </w:rPr>
        <w:t xml:space="preserve"> </w:t>
      </w:r>
    </w:p>
    <w:p w14:paraId="2C627510" w14:textId="73856F48" w:rsidR="00CB5663" w:rsidRPr="00C24CB7" w:rsidRDefault="00CB5663" w:rsidP="00CB5663">
      <w:pPr>
        <w:widowControl w:val="0"/>
        <w:autoSpaceDE w:val="0"/>
        <w:autoSpaceDN w:val="0"/>
        <w:spacing w:after="120"/>
        <w:ind w:firstLine="709"/>
        <w:rPr>
          <w:rFonts w:ascii="Arial" w:eastAsia="Arial" w:hAnsi="Arial" w:cs="Arial"/>
          <w:sz w:val="22"/>
          <w:lang w:val="es-ES"/>
        </w:rPr>
      </w:pPr>
      <w:r>
        <w:rPr>
          <w:rFonts w:ascii="Arial" w:eastAsia="Arial" w:hAnsi="Arial" w:cs="Arial"/>
          <w:sz w:val="22"/>
          <w:lang w:val="es-ES"/>
        </w:rPr>
        <w:t xml:space="preserve">Aunado a lo anterior, </w:t>
      </w:r>
      <w:r>
        <w:rPr>
          <w:rFonts w:ascii="Arial" w:eastAsia="Arial" w:hAnsi="Arial" w:cs="Arial"/>
          <w:sz w:val="22"/>
          <w:lang w:val="es-ES" w:eastAsia="es-ES" w:bidi="es-ES"/>
        </w:rPr>
        <w:t xml:space="preserve">el parágrafo 3 del artículo 94 de la Ley 1474 de 2011, </w:t>
      </w:r>
      <w:r w:rsidR="00296D38">
        <w:rPr>
          <w:rFonts w:ascii="Arial" w:eastAsia="Arial" w:hAnsi="Arial" w:cs="Arial"/>
          <w:sz w:val="22"/>
          <w:lang w:val="es-ES" w:eastAsia="es-ES" w:bidi="es-ES"/>
        </w:rPr>
        <w:t>adicionado</w:t>
      </w:r>
      <w:r>
        <w:rPr>
          <w:rFonts w:ascii="Arial" w:eastAsia="Arial" w:hAnsi="Arial" w:cs="Arial"/>
          <w:sz w:val="22"/>
          <w:lang w:val="es-ES" w:eastAsia="es-ES" w:bidi="es-ES"/>
        </w:rPr>
        <w:t xml:space="preserve"> por el artículo 42 de la Ley 1955 de 2019,</w:t>
      </w:r>
      <w:r w:rsidRPr="00C24CB7">
        <w:rPr>
          <w:rFonts w:ascii="Arial" w:eastAsia="Arial" w:hAnsi="Arial" w:cs="Arial"/>
          <w:sz w:val="22"/>
          <w:lang w:val="es-ES" w:eastAsia="es-ES" w:bidi="es-ES"/>
        </w:rPr>
        <w:t xml:space="preserve"> dispone:</w:t>
      </w:r>
    </w:p>
    <w:p w14:paraId="5831AD65" w14:textId="38BBE9C5" w:rsidR="00CB5663" w:rsidRPr="00C24CB7" w:rsidRDefault="00CB5663" w:rsidP="00CB5663">
      <w:pPr>
        <w:widowControl w:val="0"/>
        <w:autoSpaceDE w:val="0"/>
        <w:autoSpaceDN w:val="0"/>
        <w:spacing w:after="0" w:line="240" w:lineRule="auto"/>
        <w:ind w:left="748" w:right="535"/>
        <w:rPr>
          <w:rFonts w:ascii="Arial" w:eastAsia="Arial" w:hAnsi="Arial" w:cs="Arial"/>
          <w:sz w:val="21"/>
          <w:lang w:val="es-ES" w:eastAsia="es-ES" w:bidi="es-ES"/>
        </w:rPr>
      </w:pPr>
      <w:r w:rsidRPr="00C24CB7">
        <w:rPr>
          <w:rFonts w:ascii="Arial" w:eastAsia="Arial" w:hAnsi="Arial" w:cs="Arial"/>
          <w:sz w:val="21"/>
          <w:lang w:val="es-ES" w:eastAsia="es-ES" w:bidi="es-ES"/>
        </w:rPr>
        <w:t>Parágrafo 3.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w:t>
      </w:r>
      <w:r w:rsidRPr="00C24CB7">
        <w:rPr>
          <w:rFonts w:ascii="Arial" w:eastAsia="Arial" w:hAnsi="Arial" w:cs="Arial"/>
          <w:spacing w:val="-39"/>
          <w:sz w:val="21"/>
          <w:lang w:val="es-ES" w:eastAsia="es-ES" w:bidi="es-ES"/>
        </w:rPr>
        <w:t xml:space="preserve"> </w:t>
      </w:r>
      <w:r w:rsidRPr="00C24CB7">
        <w:rPr>
          <w:rFonts w:ascii="Arial" w:eastAsia="Arial" w:hAnsi="Arial" w:cs="Arial"/>
          <w:sz w:val="21"/>
          <w:lang w:val="es-ES" w:eastAsia="es-ES" w:bidi="es-ES"/>
        </w:rPr>
        <w:t>ese medio.</w:t>
      </w:r>
    </w:p>
    <w:p w14:paraId="04D5D995" w14:textId="130C1FFD" w:rsidR="00CB5663" w:rsidRDefault="00CB5663" w:rsidP="00CB5663">
      <w:pPr>
        <w:widowControl w:val="0"/>
        <w:autoSpaceDE w:val="0"/>
        <w:autoSpaceDN w:val="0"/>
        <w:spacing w:after="0" w:line="240" w:lineRule="auto"/>
        <w:ind w:left="748" w:right="536"/>
        <w:rPr>
          <w:rFonts w:ascii="Arial" w:eastAsia="Arial" w:hAnsi="Arial" w:cs="Arial"/>
          <w:sz w:val="21"/>
          <w:lang w:val="es-ES" w:eastAsia="es-ES" w:bidi="es-ES"/>
        </w:rPr>
      </w:pPr>
      <w:r>
        <w:rPr>
          <w:rFonts w:ascii="Arial" w:eastAsia="Arial" w:hAnsi="Arial" w:cs="Arial"/>
          <w:sz w:val="21"/>
          <w:lang w:val="es-ES" w:eastAsia="es-ES" w:bidi="es-ES"/>
        </w:rPr>
        <w:t>[..</w:t>
      </w:r>
      <w:r w:rsidRPr="00C24CB7">
        <w:rPr>
          <w:rFonts w:ascii="Arial" w:eastAsia="Arial" w:hAnsi="Arial" w:cs="Arial"/>
          <w:sz w:val="21"/>
          <w:lang w:val="es-ES" w:eastAsia="es-ES" w:bidi="es-ES"/>
        </w:rPr>
        <w:t>.</w:t>
      </w:r>
      <w:r>
        <w:rPr>
          <w:rFonts w:ascii="Arial" w:eastAsia="Arial" w:hAnsi="Arial" w:cs="Arial"/>
          <w:sz w:val="21"/>
          <w:lang w:val="es-ES" w:eastAsia="es-ES" w:bidi="es-ES"/>
        </w:rPr>
        <w:t>]</w:t>
      </w:r>
      <w:r w:rsidRPr="00C24CB7">
        <w:rPr>
          <w:rFonts w:ascii="Arial" w:eastAsia="Arial" w:hAnsi="Arial" w:cs="Arial"/>
          <w:sz w:val="21"/>
          <w:lang w:val="es-ES" w:eastAsia="es-ES" w:bidi="es-ES"/>
        </w:rPr>
        <w:t xml:space="preserve"> </w:t>
      </w:r>
    </w:p>
    <w:p w14:paraId="1B08CD19" w14:textId="77777777" w:rsidR="00CB5663" w:rsidRPr="00C24CB7" w:rsidRDefault="00CB5663" w:rsidP="00CB5663">
      <w:pPr>
        <w:widowControl w:val="0"/>
        <w:autoSpaceDE w:val="0"/>
        <w:autoSpaceDN w:val="0"/>
        <w:spacing w:after="0" w:line="240" w:lineRule="auto"/>
        <w:ind w:left="748" w:right="536"/>
        <w:rPr>
          <w:rFonts w:ascii="Arial" w:eastAsia="Arial" w:hAnsi="Arial" w:cs="Arial"/>
          <w:sz w:val="21"/>
          <w:lang w:val="es-ES" w:eastAsia="es-ES" w:bidi="es-ES"/>
        </w:rPr>
      </w:pPr>
    </w:p>
    <w:p w14:paraId="31A02E4C" w14:textId="77777777" w:rsidR="00186D8E" w:rsidRPr="00A5584C" w:rsidRDefault="00186D8E" w:rsidP="00881742">
      <w:pPr>
        <w:widowControl w:val="0"/>
        <w:autoSpaceDE w:val="0"/>
        <w:autoSpaceDN w:val="0"/>
        <w:spacing w:after="0"/>
        <w:ind w:firstLine="709"/>
        <w:rPr>
          <w:rFonts w:ascii="Arial" w:eastAsia="Arial" w:hAnsi="Arial" w:cs="Arial"/>
          <w:sz w:val="22"/>
          <w:lang w:val="es-ES"/>
        </w:rPr>
      </w:pPr>
      <w:r w:rsidRPr="00A5584C">
        <w:rPr>
          <w:rFonts w:ascii="Arial" w:eastAsia="Arial" w:hAnsi="Arial" w:cs="Arial"/>
          <w:sz w:val="22"/>
          <w:lang w:val="es-ES"/>
        </w:rPr>
        <w:t>En</w:t>
      </w:r>
      <w:r>
        <w:rPr>
          <w:rFonts w:ascii="Arial" w:eastAsia="Arial" w:hAnsi="Arial" w:cs="Arial"/>
          <w:sz w:val="22"/>
          <w:lang w:val="es-ES"/>
        </w:rPr>
        <w:t xml:space="preserve"> efecto, en</w:t>
      </w:r>
      <w:r w:rsidRPr="00A5584C">
        <w:rPr>
          <w:rFonts w:ascii="Arial" w:eastAsia="Arial" w:hAnsi="Arial" w:cs="Arial"/>
          <w:sz w:val="22"/>
          <w:lang w:val="es-ES"/>
        </w:rPr>
        <w:t xml:space="preserve"> el debate legislativo que dio origen a esta norma se sostuvo que el concepto de acuerdo marco de precios era una categoría importada de otras legislaciones, usada para la contratación de bienes de rasgos comunes, con la finalidad de optimizar recursos y agilizar los procesos, a través de la unificación de precios de estos bienes para las entidades del Estado. Así se puede leer del informe de ponencia para segundo debate del proyecto que se convertiría en la Ley 1150 de 2007:</w:t>
      </w:r>
    </w:p>
    <w:p w14:paraId="691CE223" w14:textId="77777777" w:rsidR="00186D8E" w:rsidRPr="00A5584C" w:rsidRDefault="00186D8E" w:rsidP="00186D8E">
      <w:pPr>
        <w:widowControl w:val="0"/>
        <w:autoSpaceDE w:val="0"/>
        <w:autoSpaceDN w:val="0"/>
        <w:spacing w:after="0" w:line="240" w:lineRule="auto"/>
        <w:rPr>
          <w:rFonts w:ascii="Arial" w:eastAsia="Arial" w:hAnsi="Arial" w:cs="Arial"/>
          <w:sz w:val="27"/>
          <w:lang w:val="es-ES"/>
        </w:rPr>
      </w:pPr>
    </w:p>
    <w:p w14:paraId="141C5254" w14:textId="77777777" w:rsidR="00186D8E" w:rsidRPr="00A5584C" w:rsidRDefault="00186D8E" w:rsidP="00186D8E">
      <w:pPr>
        <w:widowControl w:val="0"/>
        <w:autoSpaceDE w:val="0"/>
        <w:autoSpaceDN w:val="0"/>
        <w:spacing w:after="0" w:line="240" w:lineRule="auto"/>
        <w:ind w:left="709" w:right="709"/>
        <w:rPr>
          <w:rFonts w:ascii="Arial" w:eastAsia="Arial" w:hAnsi="Arial" w:cs="Arial"/>
          <w:sz w:val="21"/>
          <w:szCs w:val="21"/>
          <w:lang w:val="es-ES"/>
        </w:rPr>
      </w:pPr>
      <w:r w:rsidRPr="00A5584C">
        <w:rPr>
          <w:rFonts w:ascii="Arial" w:eastAsia="Arial" w:hAnsi="Arial" w:cs="Arial"/>
          <w:sz w:val="21"/>
          <w:szCs w:val="21"/>
          <w:lang w:val="es-ES"/>
        </w:rPr>
        <w:t xml:space="preserve">En cuanto a la adquisición de estos bienes muebles con características uniformes, se introducen nuevos mecanismos para su adquisición como las subastas, la construcción de catálogos y la utilización de los denominados </w:t>
      </w:r>
      <w:r w:rsidRPr="00A5584C">
        <w:rPr>
          <w:rFonts w:ascii="Arial" w:eastAsia="Arial" w:hAnsi="Arial" w:cs="Arial"/>
          <w:sz w:val="21"/>
          <w:szCs w:val="21"/>
          <w:lang w:val="es-ES"/>
        </w:rPr>
        <w:lastRenderedPageBreak/>
        <w:t>Acuerdos Marco de Precios, traído de otras Legislaciones y que se utiliza para la contratación directa de bienes y servicios de características uniformes, a través de un catálogo en el que previamente a la realización de un proceso de selección del proveedor, se establecen condiciones, calidades y precios durante un periodo de tiempo determinado, dando la posibilidad de que las entidades estatales que requieran tales servicios lo hagan mediante órdenes de compra directa.</w:t>
      </w:r>
    </w:p>
    <w:p w14:paraId="1D8F0C6D" w14:textId="77777777" w:rsidR="00186D8E" w:rsidRPr="00B1288F" w:rsidRDefault="00186D8E" w:rsidP="00186D8E">
      <w:pPr>
        <w:widowControl w:val="0"/>
        <w:autoSpaceDE w:val="0"/>
        <w:autoSpaceDN w:val="0"/>
        <w:spacing w:after="0" w:line="240" w:lineRule="auto"/>
        <w:ind w:left="709" w:right="709"/>
        <w:rPr>
          <w:rFonts w:ascii="Arial" w:eastAsia="Arial" w:hAnsi="Arial" w:cs="Arial"/>
          <w:sz w:val="21"/>
          <w:szCs w:val="21"/>
          <w:lang w:val="es-ES"/>
        </w:rPr>
      </w:pPr>
    </w:p>
    <w:p w14:paraId="13DC7603" w14:textId="6A2BF109" w:rsidR="00186D8E" w:rsidRPr="00A5584C" w:rsidRDefault="00186D8E" w:rsidP="00186D8E">
      <w:pPr>
        <w:widowControl w:val="0"/>
        <w:autoSpaceDE w:val="0"/>
        <w:autoSpaceDN w:val="0"/>
        <w:spacing w:after="0" w:line="240" w:lineRule="auto"/>
        <w:ind w:left="709" w:right="709"/>
        <w:rPr>
          <w:rFonts w:ascii="Arial" w:eastAsia="Arial" w:hAnsi="Arial" w:cs="Arial"/>
          <w:sz w:val="21"/>
          <w:szCs w:val="21"/>
          <w:lang w:val="es-ES"/>
        </w:rPr>
      </w:pPr>
      <w:r w:rsidRPr="00A5584C">
        <w:rPr>
          <w:rFonts w:ascii="Arial" w:eastAsia="Arial" w:hAnsi="Arial" w:cs="Arial"/>
          <w:sz w:val="21"/>
          <w:szCs w:val="21"/>
          <w:lang w:val="es-ES"/>
        </w:rPr>
        <w:t>Tales acuerdos se utilizarán únicamente para la adquisición de bienes de características uniformes (sillas, papelería, y en general suministros) con lo cual se garantiza la Unificación de Precios de tales bienes para todas las Entidades y la facilidad de entregas parciales mediante el suministro periódico sin incrementos de precios</w:t>
      </w:r>
      <w:r w:rsidR="00296D38" w:rsidRPr="00A5584C">
        <w:rPr>
          <w:rFonts w:ascii="Arial" w:eastAsia="Arial" w:hAnsi="Arial" w:cs="Arial"/>
          <w:sz w:val="21"/>
          <w:szCs w:val="21"/>
          <w:lang w:val="es-ES"/>
        </w:rPr>
        <w:t>, además</w:t>
      </w:r>
      <w:r w:rsidRPr="00A5584C">
        <w:rPr>
          <w:rFonts w:ascii="Arial" w:eastAsia="Arial" w:hAnsi="Arial" w:cs="Arial"/>
          <w:sz w:val="21"/>
          <w:szCs w:val="21"/>
          <w:lang w:val="es-ES"/>
        </w:rPr>
        <w:t xml:space="preserve">   de   agilizar   los   procedimientos.   Mediante   este   sistema   el Proveedor se seleccionará a través de un proceso de selección, fijando las condiciones de calidad, plazo y precio de los bienes y servicios. Y una vez realizada</w:t>
      </w:r>
      <w:r w:rsidRPr="00A5584C">
        <w:rPr>
          <w:rFonts w:ascii="Arial" w:eastAsia="Arial" w:hAnsi="Arial" w:cs="Arial"/>
          <w:spacing w:val="44"/>
          <w:sz w:val="21"/>
          <w:szCs w:val="21"/>
          <w:lang w:val="es-ES"/>
        </w:rPr>
        <w:t xml:space="preserve"> </w:t>
      </w:r>
      <w:r w:rsidRPr="00A5584C">
        <w:rPr>
          <w:rFonts w:ascii="Arial" w:eastAsia="Arial" w:hAnsi="Arial" w:cs="Arial"/>
          <w:sz w:val="21"/>
          <w:szCs w:val="21"/>
          <w:lang w:val="es-ES"/>
        </w:rPr>
        <w:t>esta</w:t>
      </w:r>
      <w:r w:rsidRPr="00A5584C">
        <w:rPr>
          <w:rFonts w:ascii="Arial" w:eastAsia="Arial" w:hAnsi="Arial" w:cs="Arial"/>
          <w:spacing w:val="44"/>
          <w:sz w:val="21"/>
          <w:szCs w:val="21"/>
          <w:lang w:val="es-ES"/>
        </w:rPr>
        <w:t xml:space="preserve"> </w:t>
      </w:r>
      <w:r w:rsidRPr="00A5584C">
        <w:rPr>
          <w:rFonts w:ascii="Arial" w:eastAsia="Arial" w:hAnsi="Arial" w:cs="Arial"/>
          <w:sz w:val="21"/>
          <w:szCs w:val="21"/>
          <w:lang w:val="es-ES"/>
        </w:rPr>
        <w:t>selección</w:t>
      </w:r>
      <w:r w:rsidRPr="00A5584C">
        <w:rPr>
          <w:rFonts w:ascii="Arial" w:eastAsia="Arial" w:hAnsi="Arial" w:cs="Arial"/>
          <w:spacing w:val="42"/>
          <w:sz w:val="21"/>
          <w:szCs w:val="21"/>
          <w:lang w:val="es-ES"/>
        </w:rPr>
        <w:t xml:space="preserve"> </w:t>
      </w:r>
      <w:r w:rsidRPr="00A5584C">
        <w:rPr>
          <w:rFonts w:ascii="Arial" w:eastAsia="Arial" w:hAnsi="Arial" w:cs="Arial"/>
          <w:sz w:val="21"/>
          <w:szCs w:val="21"/>
          <w:lang w:val="es-ES"/>
        </w:rPr>
        <w:t>las</w:t>
      </w:r>
      <w:r w:rsidRPr="00A5584C">
        <w:rPr>
          <w:rFonts w:ascii="Arial" w:eastAsia="Arial" w:hAnsi="Arial" w:cs="Arial"/>
          <w:spacing w:val="44"/>
          <w:sz w:val="21"/>
          <w:szCs w:val="21"/>
          <w:lang w:val="es-ES"/>
        </w:rPr>
        <w:t xml:space="preserve"> </w:t>
      </w:r>
      <w:r w:rsidRPr="00A5584C">
        <w:rPr>
          <w:rFonts w:ascii="Arial" w:eastAsia="Arial" w:hAnsi="Arial" w:cs="Arial"/>
          <w:sz w:val="21"/>
          <w:szCs w:val="21"/>
          <w:lang w:val="es-ES"/>
        </w:rPr>
        <w:t>entidades</w:t>
      </w:r>
      <w:r w:rsidRPr="00A5584C">
        <w:rPr>
          <w:rFonts w:ascii="Arial" w:eastAsia="Arial" w:hAnsi="Arial" w:cs="Arial"/>
          <w:spacing w:val="45"/>
          <w:sz w:val="21"/>
          <w:szCs w:val="21"/>
          <w:lang w:val="es-ES"/>
        </w:rPr>
        <w:t xml:space="preserve"> </w:t>
      </w:r>
      <w:r w:rsidRPr="00A5584C">
        <w:rPr>
          <w:rFonts w:ascii="Arial" w:eastAsia="Arial" w:hAnsi="Arial" w:cs="Arial"/>
          <w:sz w:val="21"/>
          <w:szCs w:val="21"/>
          <w:lang w:val="es-ES"/>
        </w:rPr>
        <w:t>podrán</w:t>
      </w:r>
      <w:r w:rsidRPr="00A5584C">
        <w:rPr>
          <w:rFonts w:ascii="Arial" w:eastAsia="Arial" w:hAnsi="Arial" w:cs="Arial"/>
          <w:spacing w:val="44"/>
          <w:sz w:val="21"/>
          <w:szCs w:val="21"/>
          <w:lang w:val="es-ES"/>
        </w:rPr>
        <w:t xml:space="preserve"> </w:t>
      </w:r>
      <w:r w:rsidRPr="00A5584C">
        <w:rPr>
          <w:rFonts w:ascii="Arial" w:eastAsia="Arial" w:hAnsi="Arial" w:cs="Arial"/>
          <w:sz w:val="21"/>
          <w:szCs w:val="21"/>
          <w:lang w:val="es-ES"/>
        </w:rPr>
        <w:t>adquirir</w:t>
      </w:r>
      <w:r w:rsidRPr="00A5584C">
        <w:rPr>
          <w:rFonts w:ascii="Arial" w:eastAsia="Arial" w:hAnsi="Arial" w:cs="Arial"/>
          <w:spacing w:val="43"/>
          <w:sz w:val="21"/>
          <w:szCs w:val="21"/>
          <w:lang w:val="es-ES"/>
        </w:rPr>
        <w:t xml:space="preserve"> </w:t>
      </w:r>
      <w:r w:rsidRPr="00A5584C">
        <w:rPr>
          <w:rFonts w:ascii="Arial" w:eastAsia="Arial" w:hAnsi="Arial" w:cs="Arial"/>
          <w:sz w:val="21"/>
          <w:szCs w:val="21"/>
          <w:lang w:val="es-ES"/>
        </w:rPr>
        <w:t>con</w:t>
      </w:r>
      <w:r w:rsidRPr="00A5584C">
        <w:rPr>
          <w:rFonts w:ascii="Arial" w:eastAsia="Arial" w:hAnsi="Arial" w:cs="Arial"/>
          <w:spacing w:val="44"/>
          <w:sz w:val="21"/>
          <w:szCs w:val="21"/>
          <w:lang w:val="es-ES"/>
        </w:rPr>
        <w:t xml:space="preserve"> </w:t>
      </w:r>
      <w:r w:rsidRPr="00A5584C">
        <w:rPr>
          <w:rFonts w:ascii="Arial" w:eastAsia="Arial" w:hAnsi="Arial" w:cs="Arial"/>
          <w:sz w:val="21"/>
          <w:szCs w:val="21"/>
          <w:lang w:val="es-ES"/>
        </w:rPr>
        <w:t>dicho</w:t>
      </w:r>
      <w:r w:rsidRPr="00A5584C">
        <w:rPr>
          <w:rFonts w:ascii="Arial" w:eastAsia="Arial" w:hAnsi="Arial" w:cs="Arial"/>
          <w:spacing w:val="45"/>
          <w:sz w:val="21"/>
          <w:szCs w:val="21"/>
          <w:lang w:val="es-ES"/>
        </w:rPr>
        <w:t xml:space="preserve"> </w:t>
      </w:r>
      <w:r w:rsidRPr="00A5584C">
        <w:rPr>
          <w:rFonts w:ascii="Arial" w:eastAsia="Arial" w:hAnsi="Arial" w:cs="Arial"/>
          <w:sz w:val="21"/>
          <w:szCs w:val="21"/>
          <w:lang w:val="es-ES"/>
        </w:rPr>
        <w:t>proveedor</w:t>
      </w:r>
      <w:r w:rsidRPr="00A5584C">
        <w:rPr>
          <w:rFonts w:ascii="Arial" w:eastAsia="Arial" w:hAnsi="Arial" w:cs="Arial"/>
          <w:spacing w:val="43"/>
          <w:sz w:val="21"/>
          <w:szCs w:val="21"/>
          <w:lang w:val="es-ES"/>
        </w:rPr>
        <w:t xml:space="preserve"> </w:t>
      </w:r>
      <w:r w:rsidRPr="00A5584C">
        <w:rPr>
          <w:rFonts w:ascii="Arial" w:eastAsia="Arial" w:hAnsi="Arial" w:cs="Arial"/>
          <w:sz w:val="21"/>
          <w:szCs w:val="21"/>
          <w:lang w:val="es-ES"/>
        </w:rPr>
        <w:t>los bienes mediante compra directa y sin necesidad de procedimiento especial alguno</w:t>
      </w:r>
      <w:r w:rsidRPr="00B1288F">
        <w:rPr>
          <w:rFonts w:ascii="Arial" w:eastAsia="Arial" w:hAnsi="Arial" w:cs="Arial"/>
          <w:sz w:val="21"/>
          <w:szCs w:val="21"/>
          <w:vertAlign w:val="superscript"/>
          <w:lang w:val="es-ES"/>
        </w:rPr>
        <w:footnoteReference w:id="10"/>
      </w:r>
      <w:r w:rsidRPr="00A5584C">
        <w:rPr>
          <w:rFonts w:ascii="Arial" w:eastAsia="Arial" w:hAnsi="Arial" w:cs="Arial"/>
          <w:sz w:val="21"/>
          <w:szCs w:val="21"/>
          <w:lang w:val="es-ES"/>
        </w:rPr>
        <w:t xml:space="preserve">. </w:t>
      </w:r>
    </w:p>
    <w:p w14:paraId="0BA7FE5A" w14:textId="77777777" w:rsidR="00186D8E" w:rsidRPr="00A5584C" w:rsidRDefault="00186D8E" w:rsidP="00186D8E">
      <w:pPr>
        <w:widowControl w:val="0"/>
        <w:autoSpaceDE w:val="0"/>
        <w:autoSpaceDN w:val="0"/>
        <w:spacing w:after="0" w:line="240" w:lineRule="auto"/>
        <w:ind w:left="709" w:right="709"/>
        <w:rPr>
          <w:rFonts w:ascii="Arial" w:eastAsia="Arial" w:hAnsi="Arial" w:cs="Arial"/>
          <w:sz w:val="21"/>
          <w:szCs w:val="21"/>
          <w:lang w:val="es-ES"/>
        </w:rPr>
      </w:pPr>
    </w:p>
    <w:p w14:paraId="46D56B15" w14:textId="77777777" w:rsidR="00186D8E" w:rsidRPr="005E2E0F" w:rsidRDefault="00186D8E" w:rsidP="00392E7E">
      <w:pPr>
        <w:widowControl w:val="0"/>
        <w:autoSpaceDE w:val="0"/>
        <w:autoSpaceDN w:val="0"/>
        <w:spacing w:after="0" w:line="240" w:lineRule="auto"/>
        <w:ind w:firstLine="709"/>
        <w:rPr>
          <w:rFonts w:ascii="Arial" w:eastAsia="Arial" w:hAnsi="Arial" w:cs="Arial"/>
          <w:sz w:val="22"/>
          <w:lang w:val="es-ES"/>
        </w:rPr>
      </w:pPr>
      <w:r>
        <w:rPr>
          <w:rFonts w:ascii="Arial" w:eastAsia="Arial" w:hAnsi="Arial" w:cs="Arial"/>
          <w:sz w:val="22"/>
          <w:lang w:val="es-ES"/>
        </w:rPr>
        <w:t>En el mismo sentido, e</w:t>
      </w:r>
      <w:r w:rsidRPr="005E2E0F">
        <w:rPr>
          <w:rFonts w:ascii="Arial" w:eastAsia="Arial" w:hAnsi="Arial" w:cs="Arial"/>
          <w:sz w:val="22"/>
          <w:lang w:val="es-ES"/>
        </w:rPr>
        <w:t xml:space="preserve">l Consejo de Estado afirmó que la creación de los </w:t>
      </w:r>
      <w:r>
        <w:rPr>
          <w:rFonts w:ascii="Arial" w:eastAsia="Arial" w:hAnsi="Arial" w:cs="Arial"/>
          <w:sz w:val="22"/>
          <w:lang w:val="es-ES"/>
        </w:rPr>
        <w:t>Acuerdos Marco d</w:t>
      </w:r>
      <w:r w:rsidRPr="005E2E0F">
        <w:rPr>
          <w:rFonts w:ascii="Arial" w:eastAsia="Arial" w:hAnsi="Arial" w:cs="Arial"/>
          <w:sz w:val="22"/>
          <w:lang w:val="es-ES"/>
        </w:rPr>
        <w:t>e Precios supuso un cambio de paradigma en el modelo de compras públicas, pues al centralizar la capacidad negocial de las entidades se facilita la adquisición de ciertos bienes y se optimizan los recursos:</w:t>
      </w:r>
    </w:p>
    <w:p w14:paraId="0479DACD" w14:textId="77777777" w:rsidR="00186D8E" w:rsidRPr="005E2E0F" w:rsidRDefault="00186D8E" w:rsidP="00186D8E">
      <w:pPr>
        <w:widowControl w:val="0"/>
        <w:autoSpaceDE w:val="0"/>
        <w:autoSpaceDN w:val="0"/>
        <w:spacing w:after="0" w:line="240" w:lineRule="auto"/>
        <w:rPr>
          <w:rFonts w:ascii="Arial" w:eastAsia="Arial" w:hAnsi="Arial" w:cs="Arial"/>
          <w:sz w:val="25"/>
          <w:lang w:val="es-ES"/>
        </w:rPr>
      </w:pPr>
    </w:p>
    <w:p w14:paraId="51CB999A" w14:textId="77777777" w:rsidR="00186D8E" w:rsidRPr="005E2E0F" w:rsidRDefault="00186D8E" w:rsidP="00186D8E">
      <w:pPr>
        <w:widowControl w:val="0"/>
        <w:autoSpaceDE w:val="0"/>
        <w:autoSpaceDN w:val="0"/>
        <w:spacing w:after="0" w:line="240" w:lineRule="auto"/>
        <w:ind w:left="709" w:right="709"/>
        <w:rPr>
          <w:rFonts w:ascii="Arial" w:eastAsia="Arial" w:hAnsi="Arial" w:cs="Arial"/>
          <w:sz w:val="21"/>
          <w:szCs w:val="21"/>
          <w:lang w:val="es-ES"/>
        </w:rPr>
      </w:pPr>
      <w:r w:rsidRPr="005E2E0F">
        <w:rPr>
          <w:rFonts w:ascii="Arial" w:eastAsia="Arial" w:hAnsi="Arial" w:cs="Arial"/>
          <w:sz w:val="21"/>
          <w:szCs w:val="21"/>
          <w:lang w:val="es-ES"/>
        </w:rPr>
        <w:t>Con todo, la contratación pública basada en la suscripción de acuerdos marco de precios rompe con un modelo tradicional de contratación que era pensado de manera individual o aislada, pues por esta vía se centraliza el poder de negociación y compra de las Entidades del Estado, se identifican aquellas necesidades comunes y recurrentes y se pretende la agregación de demanda traduciendo todo ello en la fijación de un conjunto de condiciones uniformes, de modo que cada una de las Entidades Públicas llamadas a obedecer lo pactado en dicho Acuerdo gozará de las mismas condiciones, precios, calidades y términos del bien o servicio contratado (…) De esta manera, la pretensión del legislador con la introducción de los Acuerdos Marco de Precios no es otra que la de potenciar los principios de celeridad y economía en el ejercicio de la función</w:t>
      </w:r>
      <w:r w:rsidRPr="005E2E0F">
        <w:rPr>
          <w:rFonts w:ascii="Arial" w:eastAsia="Arial" w:hAnsi="Arial" w:cs="Arial"/>
          <w:spacing w:val="-24"/>
          <w:sz w:val="21"/>
          <w:szCs w:val="21"/>
          <w:lang w:val="es-ES"/>
        </w:rPr>
        <w:t xml:space="preserve"> </w:t>
      </w:r>
      <w:r w:rsidRPr="005E2E0F">
        <w:rPr>
          <w:rFonts w:ascii="Arial" w:eastAsia="Arial" w:hAnsi="Arial" w:cs="Arial"/>
          <w:sz w:val="21"/>
          <w:szCs w:val="21"/>
          <w:lang w:val="es-ES"/>
        </w:rPr>
        <w:t>pública</w:t>
      </w:r>
      <w:r w:rsidRPr="005E2E0F">
        <w:rPr>
          <w:rFonts w:ascii="Arial" w:eastAsia="Arial" w:hAnsi="Arial" w:cs="Arial"/>
          <w:sz w:val="21"/>
          <w:szCs w:val="21"/>
          <w:vertAlign w:val="superscript"/>
          <w:lang w:val="es-ES"/>
        </w:rPr>
        <w:footnoteReference w:id="11"/>
      </w:r>
      <w:r w:rsidRPr="005E2E0F">
        <w:rPr>
          <w:rFonts w:ascii="Arial" w:eastAsia="Arial" w:hAnsi="Arial" w:cs="Arial"/>
          <w:sz w:val="21"/>
          <w:szCs w:val="21"/>
          <w:lang w:val="es-ES"/>
        </w:rPr>
        <w:t>.</w:t>
      </w:r>
    </w:p>
    <w:p w14:paraId="45DA7A65" w14:textId="77777777" w:rsidR="00186D8E" w:rsidRDefault="00186D8E" w:rsidP="00C818C5">
      <w:pPr>
        <w:widowControl w:val="0"/>
        <w:autoSpaceDE w:val="0"/>
        <w:autoSpaceDN w:val="0"/>
        <w:spacing w:after="0"/>
        <w:ind w:right="105" w:firstLine="709"/>
        <w:rPr>
          <w:rFonts w:ascii="Arial" w:eastAsia="Arial" w:hAnsi="Arial" w:cs="Arial"/>
          <w:sz w:val="22"/>
          <w:lang w:val="es-ES" w:eastAsia="es-ES" w:bidi="es-ES"/>
        </w:rPr>
      </w:pPr>
    </w:p>
    <w:p w14:paraId="24458604" w14:textId="77777777" w:rsidR="00CD5AB4" w:rsidRDefault="00CD5AB4" w:rsidP="00CD5AB4">
      <w:pPr>
        <w:widowControl w:val="0"/>
        <w:autoSpaceDE w:val="0"/>
        <w:autoSpaceDN w:val="0"/>
        <w:spacing w:after="120"/>
        <w:ind w:firstLine="709"/>
        <w:rPr>
          <w:rFonts w:ascii="Arial" w:eastAsia="Arial" w:hAnsi="Arial" w:cs="Arial"/>
          <w:sz w:val="22"/>
          <w:lang w:val="es-ES"/>
        </w:rPr>
      </w:pPr>
      <w:r w:rsidRPr="00A5584C">
        <w:rPr>
          <w:rFonts w:ascii="Arial" w:eastAsia="Arial" w:hAnsi="Arial" w:cs="Arial"/>
          <w:sz w:val="22"/>
          <w:lang w:val="es-ES"/>
        </w:rPr>
        <w:lastRenderedPageBreak/>
        <w:t xml:space="preserve">En ejercicio de la potestad reglamentaria, el Gobierno Nacional caracterizó el </w:t>
      </w:r>
      <w:r>
        <w:rPr>
          <w:rFonts w:ascii="Arial" w:eastAsia="Arial" w:hAnsi="Arial" w:cs="Arial"/>
          <w:sz w:val="22"/>
          <w:lang w:val="es-ES"/>
        </w:rPr>
        <w:t>Acuerdo Marco d</w:t>
      </w:r>
      <w:r w:rsidRPr="00A5584C">
        <w:rPr>
          <w:rFonts w:ascii="Arial" w:eastAsia="Arial" w:hAnsi="Arial" w:cs="Arial"/>
          <w:sz w:val="22"/>
          <w:lang w:val="es-ES"/>
        </w:rPr>
        <w:t>e Precios como el contrato celebrado entre uno o más proveedores y Colombia Compra Eficiente, para proveer a las Entidades Estatales de Bienes y Servicios de Características Técnicas Uniformes, en la forma, plazo y condiciones pactadas, de conformidad con las definiciones del artículo 2.2.1.1.1.3.1 del Decreto 1082 de 2015.</w:t>
      </w:r>
    </w:p>
    <w:p w14:paraId="2E057FB1" w14:textId="7196C301" w:rsidR="00C818C5" w:rsidRPr="00C24CB7" w:rsidRDefault="00CD5AB4" w:rsidP="00881742">
      <w:pPr>
        <w:widowControl w:val="0"/>
        <w:autoSpaceDE w:val="0"/>
        <w:autoSpaceDN w:val="0"/>
        <w:spacing w:after="120"/>
        <w:ind w:firstLine="709"/>
        <w:rPr>
          <w:rFonts w:ascii="Arial" w:eastAsia="Arial" w:hAnsi="Arial" w:cs="Arial"/>
          <w:sz w:val="22"/>
          <w:lang w:val="es-ES" w:eastAsia="es-ES" w:bidi="es-ES"/>
        </w:rPr>
      </w:pPr>
      <w:r w:rsidRPr="00A5584C">
        <w:rPr>
          <w:rFonts w:ascii="Arial" w:eastAsia="Arial" w:hAnsi="Arial" w:cs="Arial"/>
          <w:sz w:val="22"/>
          <w:lang w:val="es-ES"/>
        </w:rPr>
        <w:t>Estos contratos son una herramienta que permite optimizar el valor de las compras de bienes o servicios por parte de las entidades estatales, a través de la agregación de la demanda que incrementa el poder de negociación del Estado, quien asumió su posición de gran comprador en el</w:t>
      </w:r>
      <w:r w:rsidRPr="00A5584C">
        <w:rPr>
          <w:rFonts w:ascii="Arial" w:eastAsia="Arial" w:hAnsi="Arial" w:cs="Arial"/>
          <w:spacing w:val="-4"/>
          <w:sz w:val="22"/>
          <w:lang w:val="es-ES"/>
        </w:rPr>
        <w:t xml:space="preserve"> </w:t>
      </w:r>
      <w:r w:rsidRPr="00A5584C">
        <w:rPr>
          <w:rFonts w:ascii="Arial" w:eastAsia="Arial" w:hAnsi="Arial" w:cs="Arial"/>
          <w:sz w:val="22"/>
          <w:lang w:val="es-ES"/>
        </w:rPr>
        <w:t>mercado.</w:t>
      </w:r>
      <w:r w:rsidR="008E55D9">
        <w:rPr>
          <w:rFonts w:ascii="Arial" w:eastAsia="Arial" w:hAnsi="Arial" w:cs="Arial"/>
          <w:sz w:val="22"/>
          <w:lang w:val="es-ES"/>
        </w:rPr>
        <w:t xml:space="preserve"> </w:t>
      </w:r>
      <w:r w:rsidR="008E55D9">
        <w:rPr>
          <w:rFonts w:ascii="Arial" w:eastAsia="Arial" w:hAnsi="Arial" w:cs="Arial"/>
          <w:sz w:val="22"/>
          <w:lang w:val="es-ES" w:eastAsia="es-ES" w:bidi="es-ES"/>
        </w:rPr>
        <w:t>De otro lado</w:t>
      </w:r>
      <w:r w:rsidR="00C818C5">
        <w:rPr>
          <w:rFonts w:ascii="Arial" w:eastAsia="Arial" w:hAnsi="Arial" w:cs="Arial"/>
          <w:sz w:val="22"/>
          <w:lang w:val="es-ES" w:eastAsia="es-ES" w:bidi="es-ES"/>
        </w:rPr>
        <w:t xml:space="preserve">, el </w:t>
      </w:r>
      <w:r w:rsidR="00C818C5" w:rsidRPr="00C24CB7">
        <w:rPr>
          <w:rFonts w:ascii="Arial" w:eastAsia="Arial" w:hAnsi="Arial" w:cs="Arial"/>
          <w:sz w:val="22"/>
          <w:lang w:val="es-ES" w:eastAsia="es-ES" w:bidi="es-ES"/>
        </w:rPr>
        <w:t>parágrafo 5 del artículo 2</w:t>
      </w:r>
      <w:r w:rsidR="00C818C5">
        <w:rPr>
          <w:rFonts w:ascii="Arial" w:eastAsia="Arial" w:hAnsi="Arial" w:cs="Arial"/>
          <w:sz w:val="22"/>
          <w:lang w:val="es-ES" w:eastAsia="es-ES" w:bidi="es-ES"/>
        </w:rPr>
        <w:t xml:space="preserve"> de</w:t>
      </w:r>
      <w:r w:rsidR="00C818C5" w:rsidRPr="00C24CB7">
        <w:rPr>
          <w:rFonts w:ascii="Arial" w:eastAsia="Arial" w:hAnsi="Arial" w:cs="Arial"/>
          <w:sz w:val="22"/>
          <w:lang w:val="es-ES" w:eastAsia="es-ES" w:bidi="es-ES"/>
        </w:rPr>
        <w:t xml:space="preserve"> la Ley 1150 de 2007</w:t>
      </w:r>
      <w:r w:rsidR="00054C6E">
        <w:rPr>
          <w:rFonts w:ascii="Arial" w:eastAsia="Arial" w:hAnsi="Arial" w:cs="Arial"/>
          <w:sz w:val="22"/>
          <w:lang w:val="es-ES" w:eastAsia="es-ES" w:bidi="es-ES"/>
        </w:rPr>
        <w:t xml:space="preserve">, modificado por el </w:t>
      </w:r>
      <w:r w:rsidR="00C818C5" w:rsidRPr="00C24CB7">
        <w:rPr>
          <w:rFonts w:ascii="Arial" w:eastAsia="Arial" w:hAnsi="Arial" w:cs="Arial"/>
          <w:sz w:val="22"/>
          <w:lang w:val="es-ES" w:eastAsia="es-ES" w:bidi="es-ES"/>
        </w:rPr>
        <w:t xml:space="preserve">artículo 41 de la Ley 1955 de 2019, </w:t>
      </w:r>
      <w:r w:rsidR="00077E04">
        <w:rPr>
          <w:rFonts w:ascii="Arial" w:eastAsia="Arial" w:hAnsi="Arial" w:cs="Arial"/>
          <w:sz w:val="22"/>
          <w:lang w:val="es-ES" w:eastAsia="es-ES" w:bidi="es-ES"/>
        </w:rPr>
        <w:t>señala</w:t>
      </w:r>
      <w:r w:rsidR="00C818C5" w:rsidRPr="00C24CB7">
        <w:rPr>
          <w:rFonts w:ascii="Arial" w:eastAsia="Arial" w:hAnsi="Arial" w:cs="Arial"/>
          <w:sz w:val="22"/>
          <w:lang w:val="es-ES" w:eastAsia="es-ES" w:bidi="es-ES"/>
        </w:rPr>
        <w:t>:</w:t>
      </w:r>
    </w:p>
    <w:p w14:paraId="4F66C401" w14:textId="77777777" w:rsidR="00054C6E" w:rsidRPr="00054C6E" w:rsidRDefault="00054C6E" w:rsidP="00C818C5">
      <w:pPr>
        <w:widowControl w:val="0"/>
        <w:autoSpaceDE w:val="0"/>
        <w:autoSpaceDN w:val="0"/>
        <w:spacing w:after="0" w:line="240" w:lineRule="auto"/>
        <w:ind w:left="748" w:right="532"/>
        <w:rPr>
          <w:rFonts w:ascii="Arial" w:eastAsia="Arial" w:hAnsi="Arial" w:cs="Arial"/>
          <w:sz w:val="21"/>
          <w:lang w:val="es-ES" w:eastAsia="es-ES" w:bidi="es-ES"/>
        </w:rPr>
      </w:pPr>
    </w:p>
    <w:p w14:paraId="3F49F511" w14:textId="77777777" w:rsidR="00C818C5" w:rsidRPr="00C24CB7" w:rsidRDefault="00C818C5" w:rsidP="00C818C5">
      <w:pPr>
        <w:widowControl w:val="0"/>
        <w:autoSpaceDE w:val="0"/>
        <w:autoSpaceDN w:val="0"/>
        <w:spacing w:after="0" w:line="240" w:lineRule="auto"/>
        <w:ind w:left="748" w:right="532"/>
        <w:rPr>
          <w:rFonts w:ascii="Arial" w:eastAsia="Arial" w:hAnsi="Arial" w:cs="Arial"/>
          <w:sz w:val="21"/>
          <w:lang w:val="es-ES" w:eastAsia="es-ES" w:bidi="es-ES"/>
        </w:rPr>
      </w:pPr>
      <w:r w:rsidRPr="00C24CB7">
        <w:rPr>
          <w:rFonts w:ascii="Arial" w:eastAsia="Arial" w:hAnsi="Arial" w:cs="Arial"/>
          <w:sz w:val="21"/>
          <w:lang w:val="es-ES" w:eastAsia="es-ES" w:bidi="es-ES"/>
        </w:rPr>
        <w:t>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w:t>
      </w:r>
    </w:p>
    <w:p w14:paraId="134B5962" w14:textId="77777777" w:rsidR="00C818C5" w:rsidRPr="00C24CB7" w:rsidRDefault="00C818C5" w:rsidP="00C818C5">
      <w:pPr>
        <w:widowControl w:val="0"/>
        <w:autoSpaceDE w:val="0"/>
        <w:autoSpaceDN w:val="0"/>
        <w:spacing w:before="1" w:after="0" w:line="240" w:lineRule="auto"/>
        <w:jc w:val="left"/>
        <w:rPr>
          <w:rFonts w:ascii="Arial" w:eastAsia="Arial" w:hAnsi="Arial" w:cs="Arial"/>
          <w:sz w:val="21"/>
          <w:lang w:val="es-ES" w:eastAsia="es-ES" w:bidi="es-ES"/>
        </w:rPr>
      </w:pPr>
    </w:p>
    <w:p w14:paraId="4CB0ADA9" w14:textId="347A3481" w:rsidR="00C818C5" w:rsidRPr="00C24CB7" w:rsidRDefault="00C818C5" w:rsidP="00054C6E">
      <w:pPr>
        <w:widowControl w:val="0"/>
        <w:autoSpaceDE w:val="0"/>
        <w:autoSpaceDN w:val="0"/>
        <w:spacing w:before="1" w:after="0" w:line="240" w:lineRule="auto"/>
        <w:ind w:left="748" w:right="531"/>
        <w:rPr>
          <w:rFonts w:ascii="Arial" w:eastAsia="Arial" w:hAnsi="Arial" w:cs="Arial"/>
          <w:sz w:val="21"/>
          <w:lang w:val="es-ES" w:eastAsia="es-ES" w:bidi="es-ES"/>
        </w:rPr>
      </w:pPr>
      <w:r w:rsidRPr="00C24CB7">
        <w:rPr>
          <w:rFonts w:ascii="Arial" w:eastAsia="Arial" w:hAnsi="Arial" w:cs="Arial"/>
          <w:sz w:val="21"/>
          <w:lang w:val="es-ES" w:eastAsia="es-ES" w:bidi="es-ES"/>
        </w:rPr>
        <w:t xml:space="preserve">Los Organismos Autónomos, las Ramas Legislativa y Judicial y las entidades territoriales en ausencia de un acuerdo marco de precios diseñado por la entidad que señale el Gobierno nacional, podrán diseñar, organizar y celebrar acuerdos marco de precios propios. </w:t>
      </w:r>
    </w:p>
    <w:p w14:paraId="78CB6598" w14:textId="77777777" w:rsidR="00C818C5" w:rsidRDefault="00C818C5" w:rsidP="00054C6E">
      <w:pPr>
        <w:spacing w:after="0" w:line="240" w:lineRule="auto"/>
        <w:ind w:firstLine="709"/>
        <w:rPr>
          <w:rFonts w:ascii="Arial" w:eastAsia="Arial" w:hAnsi="Arial" w:cs="Arial"/>
          <w:sz w:val="22"/>
          <w:lang w:val="es-ES" w:eastAsia="es-ES" w:bidi="es-ES"/>
        </w:rPr>
      </w:pPr>
    </w:p>
    <w:p w14:paraId="5DE130C9" w14:textId="5C1FFE37" w:rsidR="00CB22AF" w:rsidRDefault="00170E51" w:rsidP="00CB22AF">
      <w:pPr>
        <w:widowControl w:val="0"/>
        <w:autoSpaceDE w:val="0"/>
        <w:autoSpaceDN w:val="0"/>
        <w:spacing w:after="120"/>
        <w:ind w:firstLine="709"/>
        <w:rPr>
          <w:rFonts w:ascii="Arial" w:eastAsia="Arial" w:hAnsi="Arial" w:cs="Arial"/>
          <w:sz w:val="22"/>
          <w:lang w:val="es-ES"/>
        </w:rPr>
      </w:pPr>
      <w:r>
        <w:rPr>
          <w:rFonts w:ascii="Arial" w:eastAsia="Arial" w:hAnsi="Arial" w:cs="Arial"/>
          <w:sz w:val="22"/>
          <w:lang w:val="es-ES"/>
        </w:rPr>
        <w:t>De esta manera, u</w:t>
      </w:r>
      <w:r w:rsidR="00A5584C" w:rsidRPr="00A5584C">
        <w:rPr>
          <w:rFonts w:ascii="Arial" w:eastAsia="Arial" w:hAnsi="Arial" w:cs="Arial"/>
          <w:sz w:val="22"/>
          <w:lang w:val="es-ES"/>
        </w:rPr>
        <w:t>na vez creado</w:t>
      </w:r>
      <w:r w:rsidR="00B1288F">
        <w:rPr>
          <w:rFonts w:ascii="Arial" w:eastAsia="Arial" w:hAnsi="Arial" w:cs="Arial"/>
          <w:sz w:val="22"/>
          <w:lang w:val="es-ES"/>
        </w:rPr>
        <w:t xml:space="preserve"> el marco normativo en el que</w:t>
      </w:r>
      <w:r w:rsidR="00A5584C" w:rsidRPr="00A5584C">
        <w:rPr>
          <w:rFonts w:ascii="Arial" w:eastAsia="Arial" w:hAnsi="Arial" w:cs="Arial"/>
          <w:sz w:val="22"/>
          <w:lang w:val="es-ES"/>
        </w:rPr>
        <w:t xml:space="preserve"> debían operar los </w:t>
      </w:r>
      <w:r w:rsidR="00337ADB">
        <w:rPr>
          <w:rFonts w:ascii="Arial" w:eastAsia="Arial" w:hAnsi="Arial" w:cs="Arial"/>
          <w:sz w:val="22"/>
          <w:lang w:val="es-ES"/>
        </w:rPr>
        <w:t>Acuerdos Marco d</w:t>
      </w:r>
      <w:r w:rsidR="00337ADB" w:rsidRPr="00A5584C">
        <w:rPr>
          <w:rFonts w:ascii="Arial" w:eastAsia="Arial" w:hAnsi="Arial" w:cs="Arial"/>
          <w:sz w:val="22"/>
          <w:lang w:val="es-ES"/>
        </w:rPr>
        <w:t>e Precios</w:t>
      </w:r>
      <w:r w:rsidR="00A5584C" w:rsidRPr="00A5584C">
        <w:rPr>
          <w:rFonts w:ascii="Arial" w:eastAsia="Arial" w:hAnsi="Arial" w:cs="Arial"/>
          <w:sz w:val="22"/>
          <w:lang w:val="es-ES"/>
        </w:rPr>
        <w:t>, y por remisión expresa del legislador, el Gobierno Nacional señaló la entidad que tendría a su cargo el diseño, organizaci</w:t>
      </w:r>
      <w:r w:rsidR="00845303">
        <w:rPr>
          <w:rFonts w:ascii="Arial" w:eastAsia="Arial" w:hAnsi="Arial" w:cs="Arial"/>
          <w:sz w:val="22"/>
          <w:lang w:val="es-ES"/>
        </w:rPr>
        <w:t>ón y celebración de los mismos</w:t>
      </w:r>
      <w:r w:rsidR="008E55D9">
        <w:rPr>
          <w:rFonts w:ascii="Arial" w:eastAsia="Arial" w:hAnsi="Arial" w:cs="Arial"/>
          <w:sz w:val="22"/>
          <w:lang w:val="es-ES"/>
        </w:rPr>
        <w:t>.</w:t>
      </w:r>
      <w:r w:rsidR="00845303">
        <w:rPr>
          <w:rFonts w:ascii="Arial" w:eastAsia="Arial" w:hAnsi="Arial" w:cs="Arial"/>
          <w:sz w:val="22"/>
          <w:lang w:val="es-ES"/>
        </w:rPr>
        <w:t xml:space="preserve"> </w:t>
      </w:r>
      <w:r w:rsidR="008E55D9">
        <w:rPr>
          <w:rFonts w:ascii="Arial" w:eastAsia="Arial" w:hAnsi="Arial" w:cs="Arial"/>
          <w:sz w:val="22"/>
          <w:lang w:val="es-ES"/>
        </w:rPr>
        <w:t>A</w:t>
      </w:r>
      <w:r w:rsidR="00845303">
        <w:rPr>
          <w:rFonts w:ascii="Arial" w:eastAsia="Arial" w:hAnsi="Arial" w:cs="Arial"/>
          <w:sz w:val="22"/>
          <w:lang w:val="es-ES"/>
        </w:rPr>
        <w:t xml:space="preserve">sí, mediante el </w:t>
      </w:r>
      <w:r w:rsidR="00A5584C" w:rsidRPr="00A5584C">
        <w:rPr>
          <w:rFonts w:ascii="Arial" w:eastAsia="Arial" w:hAnsi="Arial" w:cs="Arial"/>
          <w:sz w:val="22"/>
          <w:lang w:val="es-ES"/>
        </w:rPr>
        <w:t xml:space="preserve">Decreto 4170 de 2011 </w:t>
      </w:r>
      <w:r w:rsidR="00845303">
        <w:rPr>
          <w:rFonts w:ascii="Arial" w:eastAsia="Arial" w:hAnsi="Arial" w:cs="Arial"/>
          <w:sz w:val="22"/>
          <w:lang w:val="es-ES"/>
        </w:rPr>
        <w:t xml:space="preserve">se </w:t>
      </w:r>
      <w:r w:rsidR="00A5584C" w:rsidRPr="00A5584C">
        <w:rPr>
          <w:rFonts w:ascii="Arial" w:eastAsia="Arial" w:hAnsi="Arial" w:cs="Arial"/>
          <w:sz w:val="22"/>
          <w:lang w:val="es-ES"/>
        </w:rPr>
        <w:t>creó la Agencia Nacional de Contratación - Colombia Compra Eficiente, y en el numeral 7 del artíc</w:t>
      </w:r>
      <w:r w:rsidR="0075582E">
        <w:rPr>
          <w:rFonts w:ascii="Arial" w:eastAsia="Arial" w:hAnsi="Arial" w:cs="Arial"/>
          <w:sz w:val="22"/>
          <w:lang w:val="es-ES"/>
        </w:rPr>
        <w:t>ulo 3 le asignó la función de: «</w:t>
      </w:r>
      <w:r w:rsidR="00A5584C" w:rsidRPr="00A5584C">
        <w:rPr>
          <w:rFonts w:ascii="Arial" w:eastAsia="Arial" w:hAnsi="Arial" w:cs="Arial"/>
          <w:sz w:val="22"/>
          <w:lang w:val="es-ES"/>
        </w:rPr>
        <w:t>Diseñar, organizar y celebrar los acuerdos marco de precios y demás mecanismos de agregación de demanda de que trata el artículo 2° de la Ley 1150 de 2007, de acuerdo con los procedimientos qu</w:t>
      </w:r>
      <w:r w:rsidR="0075582E">
        <w:rPr>
          <w:rFonts w:ascii="Arial" w:eastAsia="Arial" w:hAnsi="Arial" w:cs="Arial"/>
          <w:sz w:val="22"/>
          <w:lang w:val="es-ES"/>
        </w:rPr>
        <w:t>e se establezcan para el efecto</w:t>
      </w:r>
      <w:r w:rsidR="0075582E">
        <w:rPr>
          <w:rFonts w:ascii="Arial" w:hAnsi="Arial" w:cs="Arial"/>
          <w:color w:val="4D5156"/>
          <w:sz w:val="21"/>
          <w:szCs w:val="21"/>
          <w:shd w:val="clear" w:color="auto" w:fill="FFFFFF"/>
        </w:rPr>
        <w:t>»</w:t>
      </w:r>
      <w:r w:rsidR="00A5584C" w:rsidRPr="00A5584C">
        <w:rPr>
          <w:rFonts w:ascii="Arial" w:eastAsia="Arial" w:hAnsi="Arial" w:cs="Arial"/>
          <w:sz w:val="22"/>
          <w:lang w:val="es-ES"/>
        </w:rPr>
        <w:t>.</w:t>
      </w:r>
    </w:p>
    <w:p w14:paraId="38FCB1A7" w14:textId="567CEB96" w:rsidR="00A5584C" w:rsidRDefault="00A5584C" w:rsidP="00D81B3A">
      <w:pPr>
        <w:widowControl w:val="0"/>
        <w:autoSpaceDE w:val="0"/>
        <w:autoSpaceDN w:val="0"/>
        <w:spacing w:after="120"/>
        <w:ind w:firstLine="709"/>
        <w:rPr>
          <w:rFonts w:ascii="Arial" w:eastAsia="Arial" w:hAnsi="Arial" w:cs="Arial"/>
          <w:sz w:val="22"/>
          <w:lang w:val="es-ES" w:eastAsia="es-ES" w:bidi="es-ES"/>
        </w:rPr>
      </w:pPr>
      <w:r w:rsidRPr="00A5584C">
        <w:rPr>
          <w:rFonts w:ascii="Arial" w:eastAsia="Arial" w:hAnsi="Arial" w:cs="Arial"/>
          <w:sz w:val="22"/>
          <w:lang w:val="es-ES"/>
        </w:rPr>
        <w:t xml:space="preserve">En ejercicio de la competencia </w:t>
      </w:r>
      <w:r w:rsidR="001E4A2B">
        <w:rPr>
          <w:rFonts w:ascii="Arial" w:eastAsia="Arial" w:hAnsi="Arial" w:cs="Arial"/>
          <w:sz w:val="22"/>
          <w:lang w:val="es-ES"/>
        </w:rPr>
        <w:t>establecida</w:t>
      </w:r>
      <w:r w:rsidRPr="00A5584C">
        <w:rPr>
          <w:rFonts w:ascii="Arial" w:eastAsia="Arial" w:hAnsi="Arial" w:cs="Arial"/>
          <w:sz w:val="22"/>
          <w:lang w:val="es-ES"/>
        </w:rPr>
        <w:t xml:space="preserve"> en el numeral 7 del artículo 3 del Decreto 4170 de 2011, la Agencia Nacional de Contratación Pública – Colombia Compra Eficiente periódicamente adelanta procesos de contratación para suscribir acuerdos marco de precios, teniendo en cuenta</w:t>
      </w:r>
      <w:r w:rsidR="008E55D9">
        <w:rPr>
          <w:rFonts w:ascii="Arial" w:eastAsia="Arial" w:hAnsi="Arial" w:cs="Arial"/>
          <w:sz w:val="22"/>
          <w:lang w:val="es-ES"/>
        </w:rPr>
        <w:t>, entre otras fuentes de información,</w:t>
      </w:r>
      <w:r w:rsidRPr="00A5584C">
        <w:rPr>
          <w:rFonts w:ascii="Arial" w:eastAsia="Arial" w:hAnsi="Arial" w:cs="Arial"/>
          <w:sz w:val="22"/>
          <w:lang w:val="es-ES"/>
        </w:rPr>
        <w:t xml:space="preserve"> los bienes y servicios de características técnicas uniformes contenidos en los planes anuales de adquisiciones de las entidades estatales. Adicionalmente, dichas entidades estatales pueden solicitar a la Agencia Nacional de Contratación Pública – Colombia Compra Eficiente la celebración de </w:t>
      </w:r>
      <w:r w:rsidR="00055B28">
        <w:rPr>
          <w:rFonts w:ascii="Arial" w:eastAsia="Arial" w:hAnsi="Arial" w:cs="Arial"/>
          <w:sz w:val="22"/>
          <w:lang w:val="es-ES"/>
        </w:rPr>
        <w:lastRenderedPageBreak/>
        <w:t>Acuerdos Marco d</w:t>
      </w:r>
      <w:r w:rsidR="00055B28" w:rsidRPr="00A5584C">
        <w:rPr>
          <w:rFonts w:ascii="Arial" w:eastAsia="Arial" w:hAnsi="Arial" w:cs="Arial"/>
          <w:sz w:val="22"/>
          <w:lang w:val="es-ES"/>
        </w:rPr>
        <w:t>e Precios</w:t>
      </w:r>
      <w:r w:rsidRPr="00A5584C">
        <w:rPr>
          <w:rFonts w:ascii="Arial" w:eastAsia="Arial" w:hAnsi="Arial" w:cs="Arial"/>
          <w:sz w:val="22"/>
          <w:vertAlign w:val="superscript"/>
          <w:lang w:val="es-ES"/>
        </w:rPr>
        <w:footnoteReference w:id="12"/>
      </w:r>
      <w:r w:rsidRPr="00A5584C">
        <w:rPr>
          <w:rFonts w:ascii="Arial" w:eastAsia="Arial" w:hAnsi="Arial" w:cs="Arial"/>
          <w:sz w:val="22"/>
          <w:lang w:val="es-ES"/>
        </w:rPr>
        <w:t>.</w:t>
      </w:r>
    </w:p>
    <w:p w14:paraId="751D5083" w14:textId="289D3554" w:rsidR="006D5176" w:rsidRDefault="00D81B3A" w:rsidP="006D5176">
      <w:pPr>
        <w:spacing w:after="120"/>
        <w:ind w:firstLine="709"/>
        <w:rPr>
          <w:rFonts w:ascii="Arial" w:eastAsia="Arial" w:hAnsi="Arial" w:cs="Arial"/>
          <w:sz w:val="22"/>
          <w:lang w:val="es-ES" w:eastAsia="es-ES" w:bidi="es-ES"/>
        </w:rPr>
      </w:pPr>
      <w:r>
        <w:rPr>
          <w:rFonts w:ascii="Arial" w:eastAsia="Arial" w:hAnsi="Arial" w:cs="Arial"/>
          <w:sz w:val="22"/>
          <w:lang w:val="es-ES" w:eastAsia="es-ES" w:bidi="es-ES"/>
        </w:rPr>
        <w:t>Por su parte</w:t>
      </w:r>
      <w:r w:rsidR="0072005B">
        <w:rPr>
          <w:rFonts w:ascii="Arial" w:eastAsia="Arial" w:hAnsi="Arial" w:cs="Arial"/>
          <w:sz w:val="22"/>
          <w:lang w:val="es-ES" w:eastAsia="es-ES" w:bidi="es-ES"/>
        </w:rPr>
        <w:t xml:space="preserve">, </w:t>
      </w:r>
      <w:r>
        <w:rPr>
          <w:rFonts w:ascii="Arial" w:eastAsia="Arial" w:hAnsi="Arial" w:cs="Arial"/>
          <w:sz w:val="22"/>
          <w:lang w:val="es-ES" w:eastAsia="es-ES" w:bidi="es-ES"/>
        </w:rPr>
        <w:t xml:space="preserve">en su más reciente actualización, </w:t>
      </w:r>
      <w:r w:rsidR="0072005B">
        <w:rPr>
          <w:rFonts w:ascii="Arial" w:eastAsia="Arial" w:hAnsi="Arial" w:cs="Arial"/>
          <w:sz w:val="22"/>
          <w:lang w:val="es-ES" w:eastAsia="es-ES" w:bidi="es-ES"/>
        </w:rPr>
        <w:t>e</w:t>
      </w:r>
      <w:r w:rsidR="005A32AF">
        <w:rPr>
          <w:rFonts w:ascii="Arial" w:eastAsia="Arial" w:hAnsi="Arial" w:cs="Arial"/>
          <w:sz w:val="22"/>
          <w:lang w:val="es-ES" w:eastAsia="es-ES" w:bidi="es-ES"/>
        </w:rPr>
        <w:t xml:space="preserve">l </w:t>
      </w:r>
      <w:r w:rsidR="008F30C9">
        <w:rPr>
          <w:rFonts w:ascii="Arial" w:eastAsia="Arial" w:hAnsi="Arial" w:cs="Arial"/>
          <w:sz w:val="22"/>
          <w:lang w:val="es-ES" w:eastAsia="es-ES" w:bidi="es-ES"/>
        </w:rPr>
        <w:t xml:space="preserve">artículo </w:t>
      </w:r>
      <w:r w:rsidR="008F30C9" w:rsidRPr="008F30C9">
        <w:rPr>
          <w:rFonts w:ascii="Arial" w:eastAsia="Arial" w:hAnsi="Arial" w:cs="Arial"/>
          <w:sz w:val="22"/>
          <w:lang w:val="es-ES" w:eastAsia="es-ES" w:bidi="es-ES"/>
        </w:rPr>
        <w:t>2.2.1.2.1.2.7</w:t>
      </w:r>
      <w:r w:rsidR="008F30C9">
        <w:rPr>
          <w:rFonts w:ascii="Arial" w:eastAsia="Arial" w:hAnsi="Arial" w:cs="Arial"/>
          <w:sz w:val="22"/>
          <w:lang w:val="es-ES" w:eastAsia="es-ES" w:bidi="es-ES"/>
        </w:rPr>
        <w:t xml:space="preserve"> del </w:t>
      </w:r>
      <w:r w:rsidR="005A32AF">
        <w:rPr>
          <w:rFonts w:ascii="Arial" w:eastAsia="Arial" w:hAnsi="Arial" w:cs="Arial"/>
          <w:sz w:val="22"/>
          <w:lang w:val="es-ES" w:eastAsia="es-ES" w:bidi="es-ES"/>
        </w:rPr>
        <w:t>Decreto 1082 de 2015</w:t>
      </w:r>
      <w:r>
        <w:rPr>
          <w:rFonts w:ascii="Arial" w:eastAsia="Arial" w:hAnsi="Arial" w:cs="Arial"/>
          <w:sz w:val="22"/>
          <w:lang w:val="es-ES" w:eastAsia="es-ES" w:bidi="es-ES"/>
        </w:rPr>
        <w:t>, modificado por el artículo</w:t>
      </w:r>
      <w:r w:rsidR="008F30C9">
        <w:rPr>
          <w:rFonts w:ascii="Arial" w:eastAsia="Arial" w:hAnsi="Arial" w:cs="Arial"/>
          <w:sz w:val="22"/>
          <w:lang w:val="es-ES" w:eastAsia="es-ES" w:bidi="es-ES"/>
        </w:rPr>
        <w:t xml:space="preserve"> 1 del </w:t>
      </w:r>
      <w:r w:rsidR="00296D38">
        <w:rPr>
          <w:rFonts w:ascii="Arial" w:eastAsia="Arial" w:hAnsi="Arial" w:cs="Arial"/>
          <w:sz w:val="22"/>
          <w:lang w:val="es-ES" w:eastAsia="es-ES" w:bidi="es-ES"/>
        </w:rPr>
        <w:t>Decreto 310</w:t>
      </w:r>
      <w:r w:rsidR="008F30C9">
        <w:rPr>
          <w:rFonts w:ascii="Arial" w:eastAsia="Arial" w:hAnsi="Arial" w:cs="Arial"/>
          <w:sz w:val="22"/>
          <w:lang w:val="es-ES" w:eastAsia="es-ES" w:bidi="es-ES"/>
        </w:rPr>
        <w:t xml:space="preserve"> de 2021, señala </w:t>
      </w:r>
      <w:r w:rsidR="00C24CB7" w:rsidRPr="00C24CB7">
        <w:rPr>
          <w:rFonts w:ascii="Arial" w:eastAsia="Arial" w:hAnsi="Arial" w:cs="Arial"/>
          <w:sz w:val="22"/>
          <w:lang w:val="es-ES" w:eastAsia="es-ES" w:bidi="es-ES"/>
        </w:rPr>
        <w:t xml:space="preserve">que las entidades </w:t>
      </w:r>
      <w:r w:rsidR="008F30C9">
        <w:rPr>
          <w:rFonts w:ascii="Arial" w:eastAsia="Arial" w:hAnsi="Arial" w:cs="Arial"/>
          <w:sz w:val="22"/>
          <w:lang w:val="es-ES" w:eastAsia="es-ES" w:bidi="es-ES"/>
        </w:rPr>
        <w:t xml:space="preserve">estatales están </w:t>
      </w:r>
      <w:r w:rsidR="00C24CB7" w:rsidRPr="00C24CB7">
        <w:rPr>
          <w:rFonts w:ascii="Arial" w:eastAsia="Arial" w:hAnsi="Arial" w:cs="Arial"/>
          <w:sz w:val="22"/>
          <w:lang w:val="es-ES" w:eastAsia="es-ES" w:bidi="es-ES"/>
        </w:rPr>
        <w:t xml:space="preserve">obligadas a adquirir bienes y servicios de características técnicas uniformes a través de los </w:t>
      </w:r>
      <w:r w:rsidR="008F30C9">
        <w:rPr>
          <w:rFonts w:ascii="Arial" w:eastAsia="Arial" w:hAnsi="Arial" w:cs="Arial"/>
          <w:sz w:val="22"/>
          <w:lang w:val="es-ES" w:eastAsia="es-ES" w:bidi="es-ES"/>
        </w:rPr>
        <w:t>Acuerdos Marco d</w:t>
      </w:r>
      <w:r w:rsidR="008F30C9" w:rsidRPr="00C24CB7">
        <w:rPr>
          <w:rFonts w:ascii="Arial" w:eastAsia="Arial" w:hAnsi="Arial" w:cs="Arial"/>
          <w:sz w:val="22"/>
          <w:lang w:val="es-ES" w:eastAsia="es-ES" w:bidi="es-ES"/>
        </w:rPr>
        <w:t>e Precios</w:t>
      </w:r>
      <w:r w:rsidR="00BC2F8F">
        <w:rPr>
          <w:rFonts w:ascii="Arial" w:eastAsia="Arial" w:hAnsi="Arial" w:cs="Arial"/>
          <w:sz w:val="22"/>
          <w:lang w:val="es-ES" w:eastAsia="es-ES" w:bidi="es-ES"/>
        </w:rPr>
        <w:t>, sin perjuicio de las precisiones que se realizarán en relación con la forma en que se harán obligatorios</w:t>
      </w:r>
      <w:r w:rsidR="00C24CB7" w:rsidRPr="00C24CB7">
        <w:rPr>
          <w:rFonts w:ascii="Arial" w:eastAsia="Arial" w:hAnsi="Arial" w:cs="Arial"/>
          <w:sz w:val="22"/>
          <w:vertAlign w:val="superscript"/>
          <w:lang w:val="es-ES" w:eastAsia="es-ES" w:bidi="es-ES"/>
        </w:rPr>
        <w:footnoteReference w:id="13"/>
      </w:r>
      <w:r w:rsidR="00C24CB7" w:rsidRPr="00C24CB7">
        <w:rPr>
          <w:rFonts w:ascii="Arial" w:eastAsia="Arial" w:hAnsi="Arial" w:cs="Arial"/>
          <w:sz w:val="22"/>
          <w:lang w:val="es-ES" w:eastAsia="es-ES" w:bidi="es-ES"/>
        </w:rPr>
        <w:t>.</w:t>
      </w:r>
    </w:p>
    <w:p w14:paraId="110E1025" w14:textId="1CAE8AB0" w:rsidR="00061727" w:rsidRDefault="00CB4C30" w:rsidP="00392E7E">
      <w:pPr>
        <w:spacing w:after="120"/>
        <w:ind w:firstLine="709"/>
        <w:rPr>
          <w:rFonts w:ascii="Arial" w:eastAsia="Arial" w:hAnsi="Arial" w:cs="Arial"/>
          <w:sz w:val="22"/>
          <w:lang w:val="es-ES" w:eastAsia="es-ES" w:bidi="es-ES"/>
        </w:rPr>
      </w:pPr>
      <w:r>
        <w:rPr>
          <w:rFonts w:ascii="Arial" w:eastAsia="Times New Roman" w:hAnsi="Arial" w:cs="Arial"/>
          <w:bCs/>
          <w:color w:val="000000"/>
          <w:sz w:val="22"/>
          <w:lang w:val="es-ES" w:eastAsia="es-CO"/>
        </w:rPr>
        <w:t xml:space="preserve">En suma, conforme al régimen legal vigente, </w:t>
      </w:r>
      <w:r w:rsidR="006D5176" w:rsidRPr="00C24CB7">
        <w:rPr>
          <w:rFonts w:ascii="Arial" w:eastAsia="Arial" w:hAnsi="Arial" w:cs="Arial"/>
          <w:sz w:val="22"/>
          <w:lang w:val="es-ES" w:eastAsia="es-ES" w:bidi="es-ES"/>
        </w:rPr>
        <w:t>l</w:t>
      </w:r>
      <w:r w:rsidR="006D5176">
        <w:rPr>
          <w:rFonts w:ascii="Arial" w:eastAsia="Arial" w:hAnsi="Arial" w:cs="Arial"/>
          <w:sz w:val="22"/>
          <w:lang w:val="es-ES" w:eastAsia="es-ES" w:bidi="es-ES"/>
        </w:rPr>
        <w:t>as entidades estatales</w:t>
      </w:r>
      <w:r w:rsidR="00B02601">
        <w:rPr>
          <w:rFonts w:ascii="Arial" w:eastAsia="Arial" w:hAnsi="Arial" w:cs="Arial"/>
          <w:sz w:val="22"/>
          <w:lang w:val="es-ES" w:eastAsia="es-ES" w:bidi="es-ES"/>
        </w:rPr>
        <w:t xml:space="preserve"> sometidas </w:t>
      </w:r>
      <w:proofErr w:type="gramStart"/>
      <w:r w:rsidR="00B02601">
        <w:rPr>
          <w:rFonts w:ascii="Arial" w:eastAsia="Arial" w:hAnsi="Arial" w:cs="Arial"/>
          <w:sz w:val="22"/>
          <w:lang w:val="es-ES" w:eastAsia="es-ES" w:bidi="es-ES"/>
        </w:rPr>
        <w:t xml:space="preserve">al  </w:t>
      </w:r>
      <w:r w:rsidR="00B02601" w:rsidRPr="00C24CB7">
        <w:rPr>
          <w:rFonts w:ascii="Arial" w:eastAsia="Arial" w:hAnsi="Arial" w:cs="Arial"/>
          <w:sz w:val="22"/>
          <w:lang w:val="es-ES" w:eastAsia="es-ES" w:bidi="es-ES"/>
        </w:rPr>
        <w:t>Estatuto</w:t>
      </w:r>
      <w:proofErr w:type="gramEnd"/>
      <w:r w:rsidR="00B02601" w:rsidRPr="00C24CB7">
        <w:rPr>
          <w:rFonts w:ascii="Arial" w:eastAsia="Arial" w:hAnsi="Arial" w:cs="Arial"/>
          <w:sz w:val="22"/>
          <w:lang w:val="es-ES" w:eastAsia="es-ES" w:bidi="es-ES"/>
        </w:rPr>
        <w:t xml:space="preserve"> General de Contratación de la Administración Pública</w:t>
      </w:r>
      <w:r w:rsidR="005E2E0F">
        <w:rPr>
          <w:rFonts w:ascii="Arial" w:eastAsia="Arial" w:hAnsi="Arial" w:cs="Arial"/>
          <w:sz w:val="22"/>
          <w:lang w:val="es-ES" w:eastAsia="es-ES" w:bidi="es-ES"/>
        </w:rPr>
        <w:t>,</w:t>
      </w:r>
      <w:r w:rsidR="006D5176" w:rsidRPr="00C24CB7">
        <w:rPr>
          <w:rFonts w:ascii="Arial" w:eastAsia="Arial" w:hAnsi="Arial" w:cs="Arial"/>
          <w:sz w:val="22"/>
          <w:lang w:val="es-ES" w:eastAsia="es-ES" w:bidi="es-ES"/>
        </w:rPr>
        <w:t xml:space="preserve"> tienen el deber de realizar la adquisición de bienes o servicios de características técnicas uniformes y de común utilización</w:t>
      </w:r>
      <w:r w:rsidR="006D5176">
        <w:rPr>
          <w:rFonts w:ascii="Arial" w:eastAsia="Arial" w:hAnsi="Arial" w:cs="Arial"/>
          <w:sz w:val="22"/>
          <w:lang w:val="es-ES" w:eastAsia="es-ES" w:bidi="es-ES"/>
        </w:rPr>
        <w:t xml:space="preserve"> </w:t>
      </w:r>
      <w:r w:rsidR="006D5176" w:rsidRPr="00C24CB7">
        <w:rPr>
          <w:rFonts w:ascii="Arial" w:eastAsia="Arial" w:hAnsi="Arial" w:cs="Arial"/>
          <w:sz w:val="22"/>
          <w:lang w:val="es-ES" w:eastAsia="es-ES" w:bidi="es-ES"/>
        </w:rPr>
        <w:t>a través de Acuerdo</w:t>
      </w:r>
      <w:r w:rsidR="006D5176">
        <w:rPr>
          <w:rFonts w:ascii="Arial" w:eastAsia="Arial" w:hAnsi="Arial" w:cs="Arial"/>
          <w:sz w:val="22"/>
          <w:lang w:val="es-ES" w:eastAsia="es-ES" w:bidi="es-ES"/>
        </w:rPr>
        <w:t>s</w:t>
      </w:r>
      <w:r w:rsidR="006D5176" w:rsidRPr="00C24CB7">
        <w:rPr>
          <w:rFonts w:ascii="Arial" w:eastAsia="Arial" w:hAnsi="Arial" w:cs="Arial"/>
          <w:sz w:val="22"/>
          <w:lang w:val="es-ES" w:eastAsia="es-ES" w:bidi="es-ES"/>
        </w:rPr>
        <w:t xml:space="preserve"> Marco de Precios</w:t>
      </w:r>
      <w:r w:rsidR="00537D21">
        <w:rPr>
          <w:rStyle w:val="Refdenotaalpie"/>
          <w:rFonts w:ascii="Arial" w:eastAsia="Arial" w:hAnsi="Arial" w:cs="Arial"/>
          <w:sz w:val="22"/>
          <w:lang w:val="es-ES" w:eastAsia="es-ES" w:bidi="es-ES"/>
        </w:rPr>
        <w:footnoteReference w:id="14"/>
      </w:r>
      <w:r w:rsidR="006D5176" w:rsidRPr="00C24CB7">
        <w:rPr>
          <w:rFonts w:ascii="Arial" w:eastAsia="Arial" w:hAnsi="Arial" w:cs="Arial"/>
          <w:sz w:val="22"/>
          <w:lang w:val="es-ES" w:eastAsia="es-ES" w:bidi="es-ES"/>
        </w:rPr>
        <w:t>,</w:t>
      </w:r>
      <w:r w:rsidR="006D5176" w:rsidRPr="006D5176">
        <w:rPr>
          <w:rFonts w:ascii="Arial" w:eastAsia="Arial" w:hAnsi="Arial" w:cs="Arial"/>
          <w:sz w:val="22"/>
          <w:lang w:val="es-ES" w:eastAsia="es-ES" w:bidi="es-ES"/>
        </w:rPr>
        <w:t xml:space="preserve"> </w:t>
      </w:r>
      <w:r w:rsidR="006D5176" w:rsidRPr="00C24CB7">
        <w:rPr>
          <w:rFonts w:ascii="Arial" w:eastAsia="Arial" w:hAnsi="Arial" w:cs="Arial"/>
          <w:sz w:val="22"/>
          <w:lang w:val="es-ES" w:eastAsia="es-ES" w:bidi="es-ES"/>
        </w:rPr>
        <w:t>siempre que esté</w:t>
      </w:r>
      <w:r w:rsidR="006D5176">
        <w:rPr>
          <w:rFonts w:ascii="Arial" w:eastAsia="Arial" w:hAnsi="Arial" w:cs="Arial"/>
          <w:sz w:val="22"/>
          <w:lang w:val="es-ES" w:eastAsia="es-ES" w:bidi="es-ES"/>
        </w:rPr>
        <w:t>n</w:t>
      </w:r>
      <w:r w:rsidR="006D5176" w:rsidRPr="00C24CB7">
        <w:rPr>
          <w:rFonts w:ascii="Arial" w:eastAsia="Arial" w:hAnsi="Arial" w:cs="Arial"/>
          <w:sz w:val="22"/>
          <w:lang w:val="es-ES" w:eastAsia="es-ES" w:bidi="es-ES"/>
        </w:rPr>
        <w:t xml:space="preserve"> disponible</w:t>
      </w:r>
      <w:r w:rsidR="006D5176">
        <w:rPr>
          <w:rFonts w:ascii="Arial" w:eastAsia="Arial" w:hAnsi="Arial" w:cs="Arial"/>
          <w:sz w:val="22"/>
          <w:lang w:val="es-ES" w:eastAsia="es-ES" w:bidi="es-ES"/>
        </w:rPr>
        <w:t>s</w:t>
      </w:r>
      <w:r w:rsidR="006D5176" w:rsidRPr="00C24CB7">
        <w:rPr>
          <w:rFonts w:ascii="Arial" w:eastAsia="Arial" w:hAnsi="Arial" w:cs="Arial"/>
          <w:sz w:val="22"/>
          <w:lang w:val="es-ES" w:eastAsia="es-ES" w:bidi="es-ES"/>
        </w:rPr>
        <w:t>, incluso en los procesos de contratación cuyo presupuesto no exceda el diez por ciento (10%) de la menor</w:t>
      </w:r>
      <w:r w:rsidR="006D5176" w:rsidRPr="00C24CB7">
        <w:rPr>
          <w:rFonts w:ascii="Arial" w:eastAsia="Arial" w:hAnsi="Arial" w:cs="Arial"/>
          <w:spacing w:val="-10"/>
          <w:sz w:val="22"/>
          <w:lang w:val="es-ES" w:eastAsia="es-ES" w:bidi="es-ES"/>
        </w:rPr>
        <w:t xml:space="preserve"> </w:t>
      </w:r>
      <w:r w:rsidR="006D5176" w:rsidRPr="00C24CB7">
        <w:rPr>
          <w:rFonts w:ascii="Arial" w:eastAsia="Arial" w:hAnsi="Arial" w:cs="Arial"/>
          <w:sz w:val="22"/>
          <w:lang w:val="es-ES" w:eastAsia="es-ES" w:bidi="es-ES"/>
        </w:rPr>
        <w:t>cuantía</w:t>
      </w:r>
      <w:r w:rsidR="009C02BD">
        <w:rPr>
          <w:rFonts w:ascii="Arial" w:eastAsia="Arial" w:hAnsi="Arial" w:cs="Arial"/>
          <w:sz w:val="22"/>
          <w:lang w:val="es-ES" w:eastAsia="es-ES" w:bidi="es-ES"/>
        </w:rPr>
        <w:t>.</w:t>
      </w:r>
      <w:r w:rsidR="00B00F9B">
        <w:rPr>
          <w:rFonts w:ascii="Arial" w:eastAsia="Arial" w:hAnsi="Arial" w:cs="Arial"/>
          <w:sz w:val="22"/>
          <w:lang w:val="es-ES" w:eastAsia="es-ES" w:bidi="es-ES"/>
        </w:rPr>
        <w:t xml:space="preserve"> </w:t>
      </w:r>
      <w:r w:rsidR="009C02BD">
        <w:rPr>
          <w:rFonts w:ascii="Arial" w:eastAsia="Arial" w:hAnsi="Arial" w:cs="Arial"/>
          <w:sz w:val="22"/>
          <w:lang w:val="es-ES" w:eastAsia="es-ES" w:bidi="es-ES"/>
        </w:rPr>
        <w:t>N</w:t>
      </w:r>
      <w:r w:rsidR="006D5176">
        <w:rPr>
          <w:rFonts w:ascii="Arial" w:eastAsia="Arial" w:hAnsi="Arial" w:cs="Arial"/>
          <w:sz w:val="22"/>
          <w:lang w:val="es-ES" w:eastAsia="es-ES" w:bidi="es-ES"/>
        </w:rPr>
        <w:t xml:space="preserve">o obstante, conforme a </w:t>
      </w:r>
      <w:r w:rsidR="00736FC1">
        <w:rPr>
          <w:rFonts w:ascii="Arial" w:eastAsia="Arial" w:hAnsi="Arial" w:cs="Arial"/>
          <w:sz w:val="22"/>
          <w:lang w:val="es-ES" w:eastAsia="es-ES" w:bidi="es-ES"/>
        </w:rPr>
        <w:t>lo establecido en</w:t>
      </w:r>
      <w:r w:rsidR="006D5176">
        <w:rPr>
          <w:rFonts w:ascii="Arial" w:eastAsia="Arial" w:hAnsi="Arial" w:cs="Arial"/>
          <w:sz w:val="22"/>
          <w:lang w:val="es-ES" w:eastAsia="es-ES" w:bidi="es-ES"/>
        </w:rPr>
        <w:t xml:space="preserve"> </w:t>
      </w:r>
      <w:proofErr w:type="gramStart"/>
      <w:r w:rsidR="006D5176">
        <w:rPr>
          <w:rFonts w:ascii="Arial" w:eastAsia="Arial" w:hAnsi="Arial" w:cs="Arial"/>
          <w:sz w:val="22"/>
          <w:lang w:val="es-ES" w:eastAsia="es-ES" w:bidi="es-ES"/>
        </w:rPr>
        <w:t>el  parágrafo</w:t>
      </w:r>
      <w:proofErr w:type="gramEnd"/>
      <w:r w:rsidR="006D5176">
        <w:rPr>
          <w:rFonts w:ascii="Arial" w:eastAsia="Arial" w:hAnsi="Arial" w:cs="Arial"/>
          <w:sz w:val="22"/>
          <w:lang w:val="es-ES" w:eastAsia="es-ES" w:bidi="es-ES"/>
        </w:rPr>
        <w:t xml:space="preserve"> 1 del Decreto 1082 de 2015, modificado por el artículo 1 del Decreto  310 de</w:t>
      </w:r>
      <w:r w:rsidR="00B02601">
        <w:rPr>
          <w:rFonts w:ascii="Arial" w:eastAsia="Arial" w:hAnsi="Arial" w:cs="Arial"/>
          <w:sz w:val="22"/>
          <w:lang w:val="es-ES" w:eastAsia="es-ES" w:bidi="es-ES"/>
        </w:rPr>
        <w:t>l 25 de marzo de 2021</w:t>
      </w:r>
      <w:r w:rsidR="00537D21">
        <w:rPr>
          <w:rStyle w:val="Refdenotaalpie"/>
          <w:rFonts w:ascii="Arial" w:eastAsia="Arial" w:hAnsi="Arial" w:cs="Arial"/>
          <w:sz w:val="22"/>
          <w:lang w:val="es-ES" w:eastAsia="es-ES" w:bidi="es-ES"/>
        </w:rPr>
        <w:footnoteReference w:id="15"/>
      </w:r>
      <w:r w:rsidR="00B02601">
        <w:rPr>
          <w:rFonts w:ascii="Arial" w:eastAsia="Arial" w:hAnsi="Arial" w:cs="Arial"/>
          <w:sz w:val="22"/>
          <w:lang w:val="es-ES" w:eastAsia="es-ES" w:bidi="es-ES"/>
        </w:rPr>
        <w:t xml:space="preserve">, </w:t>
      </w:r>
      <w:r w:rsidR="00141F99">
        <w:rPr>
          <w:rFonts w:ascii="Arial" w:eastAsia="Arial" w:hAnsi="Arial" w:cs="Arial"/>
          <w:sz w:val="22"/>
          <w:lang w:val="es-ES" w:eastAsia="es-ES" w:bidi="es-ES"/>
        </w:rPr>
        <w:t xml:space="preserve">para este propósito deberá atenderse </w:t>
      </w:r>
      <w:r w:rsidR="00537D21">
        <w:rPr>
          <w:rFonts w:ascii="Arial" w:eastAsia="Arial" w:hAnsi="Arial" w:cs="Arial"/>
          <w:sz w:val="22"/>
          <w:lang w:val="es-ES" w:eastAsia="es-ES" w:bidi="es-ES"/>
        </w:rPr>
        <w:t xml:space="preserve">la gradualidad y el plan operativo de despliegue para las entidades </w:t>
      </w:r>
      <w:r w:rsidR="00B00F9B">
        <w:rPr>
          <w:rFonts w:ascii="Arial" w:eastAsia="Arial" w:hAnsi="Arial" w:cs="Arial"/>
          <w:sz w:val="22"/>
          <w:lang w:val="es-ES" w:eastAsia="es-ES" w:bidi="es-ES"/>
        </w:rPr>
        <w:t xml:space="preserve">que </w:t>
      </w:r>
      <w:r w:rsidR="00537D21">
        <w:rPr>
          <w:rFonts w:ascii="Arial" w:eastAsia="Arial" w:hAnsi="Arial" w:cs="Arial"/>
          <w:sz w:val="22"/>
          <w:lang w:val="es-ES" w:eastAsia="es-ES" w:bidi="es-ES"/>
        </w:rPr>
        <w:t xml:space="preserve">aún no hayan ingresado a la Tienda virtual del  Estado Colombiano  </w:t>
      </w:r>
      <w:r w:rsidR="00BC2F8F">
        <w:rPr>
          <w:rFonts w:ascii="Arial" w:eastAsia="Arial" w:hAnsi="Arial" w:cs="Arial"/>
          <w:sz w:val="22"/>
          <w:lang w:val="es-ES" w:eastAsia="es-ES" w:bidi="es-ES"/>
        </w:rPr>
        <w:t>–</w:t>
      </w:r>
      <w:r w:rsidR="00537D21">
        <w:rPr>
          <w:rFonts w:ascii="Arial" w:eastAsia="Arial" w:hAnsi="Arial" w:cs="Arial"/>
          <w:sz w:val="22"/>
          <w:lang w:val="es-ES" w:eastAsia="es-ES" w:bidi="es-ES"/>
        </w:rPr>
        <w:t xml:space="preserve"> TVEC</w:t>
      </w:r>
      <w:r w:rsidR="00BC2F8F">
        <w:rPr>
          <w:rFonts w:ascii="Arial" w:eastAsia="Arial" w:hAnsi="Arial" w:cs="Arial"/>
          <w:sz w:val="22"/>
          <w:lang w:val="es-ES" w:eastAsia="es-ES" w:bidi="es-ES"/>
        </w:rPr>
        <w:t>–</w:t>
      </w:r>
      <w:r w:rsidR="00141F99">
        <w:rPr>
          <w:rFonts w:ascii="Arial" w:eastAsia="Arial" w:hAnsi="Arial" w:cs="Arial"/>
          <w:sz w:val="22"/>
          <w:lang w:val="es-ES" w:eastAsia="es-ES" w:bidi="es-ES"/>
        </w:rPr>
        <w:t>.</w:t>
      </w:r>
    </w:p>
    <w:p w14:paraId="3437B075" w14:textId="00798ED1" w:rsidR="00061727" w:rsidRDefault="00392E7E" w:rsidP="00392E7E">
      <w:pPr>
        <w:spacing w:after="120"/>
        <w:ind w:firstLine="709"/>
        <w:rPr>
          <w:rFonts w:ascii="Arial" w:eastAsia="Arial" w:hAnsi="Arial" w:cs="Arial"/>
          <w:sz w:val="22"/>
          <w:lang w:val="es-ES" w:eastAsia="es-ES" w:bidi="es-ES"/>
        </w:rPr>
      </w:pPr>
      <w:r>
        <w:rPr>
          <w:rFonts w:ascii="Arial" w:eastAsia="Arial" w:hAnsi="Arial" w:cs="Arial"/>
          <w:sz w:val="22"/>
          <w:lang w:val="es-ES" w:eastAsia="es-ES" w:bidi="es-ES"/>
        </w:rPr>
        <w:lastRenderedPageBreak/>
        <w:t xml:space="preserve">En cuanto a otros mecanismos de agregación de demanda, pueden </w:t>
      </w:r>
      <w:r w:rsidR="00847DD7">
        <w:rPr>
          <w:rFonts w:ascii="Arial" w:eastAsia="Arial" w:hAnsi="Arial" w:cs="Arial"/>
          <w:sz w:val="22"/>
          <w:lang w:val="es-ES" w:eastAsia="es-ES" w:bidi="es-ES"/>
        </w:rPr>
        <w:t>diferenciarse</w:t>
      </w:r>
      <w:r>
        <w:rPr>
          <w:rFonts w:ascii="Arial" w:eastAsia="Arial" w:hAnsi="Arial" w:cs="Arial"/>
          <w:sz w:val="22"/>
          <w:lang w:val="es-ES" w:eastAsia="es-ES" w:bidi="es-ES"/>
        </w:rPr>
        <w:t xml:space="preserve"> teniendo en cuenta el número de proveedores en el mercado y</w:t>
      </w:r>
      <w:r w:rsidR="00847DD7">
        <w:rPr>
          <w:rFonts w:ascii="Arial" w:eastAsia="Arial" w:hAnsi="Arial" w:cs="Arial"/>
          <w:sz w:val="22"/>
          <w:lang w:val="es-ES" w:eastAsia="es-ES" w:bidi="es-ES"/>
        </w:rPr>
        <w:t>/</w:t>
      </w:r>
      <w:proofErr w:type="gramStart"/>
      <w:r w:rsidR="00847DD7">
        <w:rPr>
          <w:rFonts w:ascii="Arial" w:eastAsia="Arial" w:hAnsi="Arial" w:cs="Arial"/>
          <w:sz w:val="22"/>
          <w:lang w:val="es-ES" w:eastAsia="es-ES" w:bidi="es-ES"/>
        </w:rPr>
        <w:t>o</w:t>
      </w:r>
      <w:r>
        <w:rPr>
          <w:rFonts w:ascii="Arial" w:eastAsia="Arial" w:hAnsi="Arial" w:cs="Arial"/>
          <w:sz w:val="22"/>
          <w:lang w:val="es-ES" w:eastAsia="es-ES" w:bidi="es-ES"/>
        </w:rPr>
        <w:t xml:space="preserve">  la</w:t>
      </w:r>
      <w:proofErr w:type="gramEnd"/>
      <w:r>
        <w:rPr>
          <w:rFonts w:ascii="Arial" w:eastAsia="Arial" w:hAnsi="Arial" w:cs="Arial"/>
          <w:sz w:val="22"/>
          <w:lang w:val="es-ES" w:eastAsia="es-ES" w:bidi="es-ES"/>
        </w:rPr>
        <w:t xml:space="preserve"> modalidad de selección establecida</w:t>
      </w:r>
      <w:r w:rsidR="00847DD7">
        <w:rPr>
          <w:rFonts w:ascii="Arial" w:eastAsia="Arial" w:hAnsi="Arial" w:cs="Arial"/>
          <w:sz w:val="22"/>
          <w:lang w:val="es-ES" w:eastAsia="es-ES" w:bidi="es-ES"/>
        </w:rPr>
        <w:t>,</w:t>
      </w:r>
      <w:r>
        <w:rPr>
          <w:rFonts w:ascii="Arial" w:eastAsia="Arial" w:hAnsi="Arial" w:cs="Arial"/>
          <w:sz w:val="22"/>
          <w:lang w:val="es-ES" w:eastAsia="es-ES" w:bidi="es-ES"/>
        </w:rPr>
        <w:t xml:space="preserve"> dependiendo el tipo de bienes</w:t>
      </w:r>
      <w:r w:rsidR="004A3CCB">
        <w:rPr>
          <w:rFonts w:ascii="Arial" w:eastAsia="Arial" w:hAnsi="Arial" w:cs="Arial"/>
          <w:sz w:val="22"/>
          <w:lang w:val="es-ES" w:eastAsia="es-ES" w:bidi="es-ES"/>
        </w:rPr>
        <w:t xml:space="preserve"> </w:t>
      </w:r>
      <w:r>
        <w:rPr>
          <w:rFonts w:ascii="Arial" w:eastAsia="Arial" w:hAnsi="Arial" w:cs="Arial"/>
          <w:sz w:val="22"/>
          <w:lang w:val="es-ES" w:eastAsia="es-ES" w:bidi="es-ES"/>
        </w:rPr>
        <w:t>o servicios a adquirir</w:t>
      </w:r>
      <w:r w:rsidR="00847DD7">
        <w:rPr>
          <w:rFonts w:ascii="Arial" w:eastAsia="Arial" w:hAnsi="Arial" w:cs="Arial"/>
          <w:sz w:val="22"/>
          <w:lang w:val="es-ES" w:eastAsia="es-ES" w:bidi="es-ES"/>
        </w:rPr>
        <w:t>. Es decir que puede darse el supuesto de contar</w:t>
      </w:r>
      <w:r>
        <w:rPr>
          <w:rFonts w:ascii="Arial" w:eastAsia="Arial" w:hAnsi="Arial" w:cs="Arial"/>
          <w:sz w:val="22"/>
          <w:lang w:val="es-ES" w:eastAsia="es-ES" w:bidi="es-ES"/>
        </w:rPr>
        <w:t xml:space="preserve"> con un proveedor único, no obstante, el propósito de los instrumentos de agregación de demanda no se </w:t>
      </w:r>
      <w:r w:rsidR="009C02BD">
        <w:rPr>
          <w:rFonts w:ascii="Arial" w:eastAsia="Arial" w:hAnsi="Arial" w:cs="Arial"/>
          <w:sz w:val="22"/>
          <w:lang w:val="es-ES" w:eastAsia="es-ES" w:bidi="es-ES"/>
        </w:rPr>
        <w:t>anula ni convierte en inocuo</w:t>
      </w:r>
      <w:r>
        <w:rPr>
          <w:rFonts w:ascii="Arial" w:eastAsia="Arial" w:hAnsi="Arial" w:cs="Arial"/>
          <w:sz w:val="22"/>
          <w:lang w:val="es-ES" w:eastAsia="es-ES" w:bidi="es-ES"/>
        </w:rPr>
        <w:t>, como quiera que persistiría la estandarización de las condiciones de adquisici</w:t>
      </w:r>
      <w:r w:rsidR="00793FA2">
        <w:rPr>
          <w:rFonts w:ascii="Arial" w:eastAsia="Arial" w:hAnsi="Arial" w:cs="Arial"/>
          <w:sz w:val="22"/>
          <w:lang w:val="es-ES" w:eastAsia="es-ES" w:bidi="es-ES"/>
        </w:rPr>
        <w:t>ón</w:t>
      </w:r>
      <w:r w:rsidR="00847DD7">
        <w:rPr>
          <w:rFonts w:ascii="Arial" w:eastAsia="Arial" w:hAnsi="Arial" w:cs="Arial"/>
          <w:sz w:val="22"/>
          <w:lang w:val="es-ES" w:eastAsia="es-ES" w:bidi="es-ES"/>
        </w:rPr>
        <w:t xml:space="preserve"> y</w:t>
      </w:r>
      <w:r w:rsidR="00793FA2">
        <w:rPr>
          <w:rFonts w:ascii="Arial" w:eastAsia="Arial" w:hAnsi="Arial" w:cs="Arial"/>
          <w:sz w:val="22"/>
          <w:lang w:val="es-ES" w:eastAsia="es-ES" w:bidi="es-ES"/>
        </w:rPr>
        <w:t xml:space="preserve"> </w:t>
      </w:r>
      <w:r>
        <w:rPr>
          <w:rFonts w:ascii="Arial" w:eastAsia="Arial" w:hAnsi="Arial" w:cs="Arial"/>
          <w:sz w:val="22"/>
          <w:lang w:val="es-ES" w:eastAsia="es-ES" w:bidi="es-ES"/>
        </w:rPr>
        <w:t>la posibilidad de mejorar la</w:t>
      </w:r>
      <w:r w:rsidR="00793FA2">
        <w:rPr>
          <w:rFonts w:ascii="Arial" w:eastAsia="Arial" w:hAnsi="Arial" w:cs="Arial"/>
          <w:sz w:val="22"/>
          <w:lang w:val="es-ES" w:eastAsia="es-ES" w:bidi="es-ES"/>
        </w:rPr>
        <w:t>s condiciones</w:t>
      </w:r>
      <w:r>
        <w:rPr>
          <w:rFonts w:ascii="Arial" w:eastAsia="Arial" w:hAnsi="Arial" w:cs="Arial"/>
          <w:sz w:val="22"/>
          <w:lang w:val="es-ES" w:eastAsia="es-ES" w:bidi="es-ES"/>
        </w:rPr>
        <w:t xml:space="preserve"> de negociación</w:t>
      </w:r>
      <w:r w:rsidR="00847DD7">
        <w:rPr>
          <w:rFonts w:ascii="Arial" w:eastAsia="Arial" w:hAnsi="Arial" w:cs="Arial"/>
          <w:sz w:val="22"/>
          <w:lang w:val="es-ES" w:eastAsia="es-ES" w:bidi="es-ES"/>
        </w:rPr>
        <w:t xml:space="preserve">, de modo que </w:t>
      </w:r>
      <w:r w:rsidR="00793FA2">
        <w:rPr>
          <w:rFonts w:ascii="Arial" w:eastAsia="Arial" w:hAnsi="Arial" w:cs="Arial"/>
          <w:sz w:val="22"/>
          <w:lang w:val="es-ES" w:eastAsia="es-ES" w:bidi="es-ES"/>
        </w:rPr>
        <w:t>se</w:t>
      </w:r>
      <w:r>
        <w:rPr>
          <w:rFonts w:ascii="Arial" w:eastAsia="Arial" w:hAnsi="Arial" w:cs="Arial"/>
          <w:sz w:val="22"/>
          <w:lang w:val="es-ES" w:eastAsia="es-ES" w:bidi="es-ES"/>
        </w:rPr>
        <w:t xml:space="preserve"> materializa</w:t>
      </w:r>
      <w:r w:rsidR="00793FA2">
        <w:rPr>
          <w:rFonts w:ascii="Arial" w:eastAsia="Arial" w:hAnsi="Arial" w:cs="Arial"/>
          <w:sz w:val="22"/>
          <w:lang w:val="es-ES" w:eastAsia="es-ES" w:bidi="es-ES"/>
        </w:rPr>
        <w:t>rían</w:t>
      </w:r>
      <w:r>
        <w:rPr>
          <w:rFonts w:ascii="Arial" w:eastAsia="Arial" w:hAnsi="Arial" w:cs="Arial"/>
          <w:sz w:val="22"/>
          <w:lang w:val="es-ES" w:eastAsia="es-ES" w:bidi="es-ES"/>
        </w:rPr>
        <w:t xml:space="preserve"> los principios de economía y efic</w:t>
      </w:r>
      <w:r w:rsidR="001520A3">
        <w:rPr>
          <w:rFonts w:ascii="Arial" w:eastAsia="Arial" w:hAnsi="Arial" w:cs="Arial"/>
          <w:sz w:val="22"/>
          <w:lang w:val="es-ES" w:eastAsia="es-ES" w:bidi="es-ES"/>
        </w:rPr>
        <w:t>acia</w:t>
      </w:r>
      <w:r>
        <w:rPr>
          <w:rFonts w:ascii="Arial" w:eastAsia="Arial" w:hAnsi="Arial" w:cs="Arial"/>
          <w:sz w:val="22"/>
          <w:lang w:val="es-ES" w:eastAsia="es-ES" w:bidi="es-ES"/>
        </w:rPr>
        <w:t xml:space="preserve"> </w:t>
      </w:r>
      <w:r w:rsidR="00793FA2">
        <w:rPr>
          <w:rFonts w:ascii="Arial" w:eastAsia="Arial" w:hAnsi="Arial" w:cs="Arial"/>
          <w:sz w:val="22"/>
          <w:lang w:val="es-ES" w:eastAsia="es-ES" w:bidi="es-ES"/>
        </w:rPr>
        <w:t xml:space="preserve">en el </w:t>
      </w:r>
      <w:r>
        <w:rPr>
          <w:rFonts w:ascii="Arial" w:eastAsia="Arial" w:hAnsi="Arial" w:cs="Arial"/>
          <w:sz w:val="22"/>
          <w:lang w:val="es-ES" w:eastAsia="es-ES" w:bidi="es-ES"/>
        </w:rPr>
        <w:t>proceso de contratación.</w:t>
      </w:r>
    </w:p>
    <w:p w14:paraId="6333CFDA" w14:textId="477AF68E" w:rsidR="006E0C98" w:rsidRDefault="00051590" w:rsidP="00881742">
      <w:pPr>
        <w:spacing w:after="0"/>
        <w:ind w:firstLine="709"/>
        <w:rPr>
          <w:rFonts w:ascii="Arial" w:eastAsia="Arial" w:hAnsi="Arial" w:cs="Arial"/>
          <w:sz w:val="22"/>
          <w:lang w:val="es-ES" w:eastAsia="es-ES" w:bidi="es-ES"/>
        </w:rPr>
      </w:pPr>
      <w:r>
        <w:rPr>
          <w:rFonts w:ascii="Arial" w:eastAsia="Arial" w:hAnsi="Arial" w:cs="Arial"/>
          <w:sz w:val="22"/>
          <w:lang w:val="es-ES" w:eastAsia="es-ES" w:bidi="es-ES"/>
        </w:rPr>
        <w:t xml:space="preserve">Por último, conviene recordar que </w:t>
      </w:r>
      <w:r w:rsidR="008C0ED3">
        <w:rPr>
          <w:rFonts w:ascii="Arial" w:eastAsia="Arial" w:hAnsi="Arial" w:cs="Arial"/>
          <w:sz w:val="22"/>
          <w:lang w:val="es-ES" w:eastAsia="es-ES" w:bidi="es-ES"/>
        </w:rPr>
        <w:t>la entidad ha señalado que l</w:t>
      </w:r>
      <w:r w:rsidR="008C0ED3" w:rsidRPr="008C0ED3">
        <w:rPr>
          <w:rFonts w:ascii="Arial" w:eastAsia="Arial" w:hAnsi="Arial" w:cs="Arial"/>
          <w:sz w:val="22"/>
          <w:lang w:val="es-ES" w:eastAsia="es-ES" w:bidi="es-ES"/>
        </w:rPr>
        <w:t xml:space="preserve">a </w:t>
      </w:r>
      <w:r w:rsidR="00C128D8" w:rsidRPr="008C0ED3">
        <w:rPr>
          <w:rFonts w:ascii="Arial" w:eastAsia="Arial" w:hAnsi="Arial" w:cs="Arial"/>
          <w:sz w:val="22"/>
          <w:lang w:val="es-ES" w:eastAsia="es-ES" w:bidi="es-ES"/>
        </w:rPr>
        <w:t xml:space="preserve">orden de compra </w:t>
      </w:r>
      <w:r w:rsidR="008C0ED3" w:rsidRPr="008C0ED3">
        <w:rPr>
          <w:rFonts w:ascii="Arial" w:eastAsia="Arial" w:hAnsi="Arial" w:cs="Arial"/>
          <w:sz w:val="22"/>
          <w:lang w:val="es-ES" w:eastAsia="es-ES" w:bidi="es-ES"/>
        </w:rPr>
        <w:t>es el contrato entre el Proveedor y la Entidad Compradora</w:t>
      </w:r>
      <w:r w:rsidR="00BC5E6E">
        <w:rPr>
          <w:rFonts w:ascii="Arial" w:eastAsia="Arial" w:hAnsi="Arial" w:cs="Arial"/>
          <w:sz w:val="22"/>
          <w:lang w:val="es-ES" w:eastAsia="es-ES" w:bidi="es-ES"/>
        </w:rPr>
        <w:t>;</w:t>
      </w:r>
      <w:r w:rsidR="00C128D8">
        <w:rPr>
          <w:rFonts w:ascii="Arial" w:eastAsia="Arial" w:hAnsi="Arial" w:cs="Arial"/>
          <w:sz w:val="22"/>
          <w:lang w:val="es-ES" w:eastAsia="es-ES" w:bidi="es-ES"/>
        </w:rPr>
        <w:t xml:space="preserve"> de modo que la orden de compra</w:t>
      </w:r>
      <w:r w:rsidR="00BC5E6E">
        <w:rPr>
          <w:rFonts w:ascii="Arial" w:eastAsia="Arial" w:hAnsi="Arial" w:cs="Arial"/>
          <w:sz w:val="22"/>
          <w:lang w:val="es-ES" w:eastAsia="es-ES" w:bidi="es-ES"/>
        </w:rPr>
        <w:t xml:space="preserve"> representa</w:t>
      </w:r>
      <w:r w:rsidR="00C128D8">
        <w:rPr>
          <w:rFonts w:ascii="Arial" w:eastAsia="Arial" w:hAnsi="Arial" w:cs="Arial"/>
          <w:sz w:val="22"/>
          <w:lang w:val="es-ES" w:eastAsia="es-ES" w:bidi="es-ES"/>
        </w:rPr>
        <w:t xml:space="preserve"> </w:t>
      </w:r>
      <w:r w:rsidR="00C128D8" w:rsidRPr="00C128D8">
        <w:rPr>
          <w:rFonts w:ascii="Arial" w:eastAsia="Arial" w:hAnsi="Arial" w:cs="Arial"/>
          <w:sz w:val="22"/>
          <w:lang w:val="es-ES" w:eastAsia="es-ES" w:bidi="es-ES"/>
        </w:rPr>
        <w:t>la manifestación de la voluntad de la Entidad Compradora de adquirir bienes o servicios en la T</w:t>
      </w:r>
      <w:r w:rsidR="004A3CCB">
        <w:rPr>
          <w:rFonts w:ascii="Arial" w:eastAsia="Arial" w:hAnsi="Arial" w:cs="Arial"/>
          <w:sz w:val="22"/>
          <w:lang w:val="es-ES" w:eastAsia="es-ES" w:bidi="es-ES"/>
        </w:rPr>
        <w:t xml:space="preserve">ienda </w:t>
      </w:r>
      <w:r w:rsidR="00C128D8" w:rsidRPr="00C128D8">
        <w:rPr>
          <w:rFonts w:ascii="Arial" w:eastAsia="Arial" w:hAnsi="Arial" w:cs="Arial"/>
          <w:sz w:val="22"/>
          <w:lang w:val="es-ES" w:eastAsia="es-ES" w:bidi="es-ES"/>
        </w:rPr>
        <w:t>V</w:t>
      </w:r>
      <w:r w:rsidR="004A3CCB">
        <w:rPr>
          <w:rFonts w:ascii="Arial" w:eastAsia="Arial" w:hAnsi="Arial" w:cs="Arial"/>
          <w:sz w:val="22"/>
          <w:lang w:val="es-ES" w:eastAsia="es-ES" w:bidi="es-ES"/>
        </w:rPr>
        <w:t xml:space="preserve">irtual del </w:t>
      </w:r>
      <w:r w:rsidR="00C128D8" w:rsidRPr="00C128D8">
        <w:rPr>
          <w:rFonts w:ascii="Arial" w:eastAsia="Arial" w:hAnsi="Arial" w:cs="Arial"/>
          <w:sz w:val="22"/>
          <w:lang w:val="es-ES" w:eastAsia="es-ES" w:bidi="es-ES"/>
        </w:rPr>
        <w:t>E</w:t>
      </w:r>
      <w:r w:rsidR="004A3CCB">
        <w:rPr>
          <w:rFonts w:ascii="Arial" w:eastAsia="Arial" w:hAnsi="Arial" w:cs="Arial"/>
          <w:sz w:val="22"/>
          <w:lang w:val="es-ES" w:eastAsia="es-ES" w:bidi="es-ES"/>
        </w:rPr>
        <w:t xml:space="preserve">stado </w:t>
      </w:r>
      <w:r w:rsidR="00C128D8" w:rsidRPr="00C128D8">
        <w:rPr>
          <w:rFonts w:ascii="Arial" w:eastAsia="Arial" w:hAnsi="Arial" w:cs="Arial"/>
          <w:sz w:val="22"/>
          <w:lang w:val="es-ES" w:eastAsia="es-ES" w:bidi="es-ES"/>
        </w:rPr>
        <w:t>C</w:t>
      </w:r>
      <w:r w:rsidR="004A3CCB">
        <w:rPr>
          <w:rFonts w:ascii="Arial" w:eastAsia="Arial" w:hAnsi="Arial" w:cs="Arial"/>
          <w:sz w:val="22"/>
          <w:lang w:val="es-ES" w:eastAsia="es-ES" w:bidi="es-ES"/>
        </w:rPr>
        <w:t>olombiano</w:t>
      </w:r>
      <w:r w:rsidR="00C128D8" w:rsidRPr="00C128D8">
        <w:rPr>
          <w:rFonts w:ascii="Arial" w:eastAsia="Arial" w:hAnsi="Arial" w:cs="Arial"/>
          <w:sz w:val="22"/>
          <w:lang w:val="es-ES" w:eastAsia="es-ES" w:bidi="es-ES"/>
        </w:rPr>
        <w:t>, y es el soporte documental de la relación contractual entre la Entidad Compradora y el Proveedor</w:t>
      </w:r>
      <w:r w:rsidR="00BC5E6E">
        <w:rPr>
          <w:rFonts w:ascii="Arial" w:eastAsia="Arial" w:hAnsi="Arial" w:cs="Arial"/>
          <w:sz w:val="22"/>
          <w:lang w:val="es-ES" w:eastAsia="es-ES" w:bidi="es-ES"/>
        </w:rPr>
        <w:t>.</w:t>
      </w:r>
    </w:p>
    <w:p w14:paraId="20CB8CF1" w14:textId="77777777" w:rsidR="00BC2F8F" w:rsidRDefault="00BC2F8F" w:rsidP="00881742">
      <w:pPr>
        <w:spacing w:after="0"/>
        <w:ind w:firstLine="709"/>
        <w:rPr>
          <w:rFonts w:ascii="Arial" w:eastAsia="Arial" w:hAnsi="Arial" w:cs="Arial"/>
          <w:sz w:val="22"/>
          <w:lang w:val="es-ES" w:eastAsia="es-ES" w:bidi="es-ES"/>
        </w:rPr>
      </w:pPr>
    </w:p>
    <w:p w14:paraId="70E52E7E" w14:textId="149662D9" w:rsidR="0078165F" w:rsidRPr="0078165F" w:rsidRDefault="0078165F" w:rsidP="00893180">
      <w:pPr>
        <w:pStyle w:val="Prrafodelista"/>
        <w:numPr>
          <w:ilvl w:val="0"/>
          <w:numId w:val="6"/>
        </w:numPr>
        <w:tabs>
          <w:tab w:val="left" w:pos="284"/>
        </w:tabs>
        <w:spacing w:after="0"/>
        <w:ind w:left="0" w:firstLine="0"/>
        <w:rPr>
          <w:rFonts w:ascii="Arial" w:eastAsia="Calibri" w:hAnsi="Arial" w:cs="Arial"/>
          <w:sz w:val="22"/>
          <w:lang w:val="es-CO"/>
        </w:rPr>
      </w:pPr>
      <w:r w:rsidRPr="0078165F">
        <w:rPr>
          <w:rFonts w:ascii="Arial" w:eastAsia="Calibri" w:hAnsi="Arial" w:cs="Arial"/>
          <w:b/>
          <w:sz w:val="22"/>
          <w:lang w:val="es-CO"/>
        </w:rPr>
        <w:t>Respuesta</w:t>
      </w:r>
      <w:r w:rsidR="009C446F">
        <w:rPr>
          <w:rFonts w:ascii="Arial" w:eastAsia="Calibri" w:hAnsi="Arial" w:cs="Arial"/>
          <w:b/>
          <w:sz w:val="22"/>
          <w:lang w:val="es-CO"/>
        </w:rPr>
        <w:t>s</w:t>
      </w:r>
    </w:p>
    <w:p w14:paraId="0E731697" w14:textId="77777777" w:rsidR="0078165F" w:rsidRPr="0078165F" w:rsidRDefault="0078165F" w:rsidP="0078165F">
      <w:pPr>
        <w:pStyle w:val="Prrafodelista"/>
        <w:tabs>
          <w:tab w:val="left" w:pos="284"/>
        </w:tabs>
        <w:spacing w:after="0"/>
        <w:ind w:left="0"/>
        <w:rPr>
          <w:rFonts w:ascii="Arial" w:eastAsia="Calibri" w:hAnsi="Arial" w:cs="Arial"/>
          <w:sz w:val="22"/>
          <w:lang w:val="es-CO"/>
        </w:rPr>
      </w:pPr>
    </w:p>
    <w:p w14:paraId="175B1E4D" w14:textId="53518C50" w:rsidR="007611DB" w:rsidRDefault="00296D38" w:rsidP="00FE0E9C">
      <w:pPr>
        <w:tabs>
          <w:tab w:val="left" w:pos="0"/>
        </w:tabs>
        <w:spacing w:after="0"/>
        <w:ind w:left="709" w:right="709"/>
        <w:rPr>
          <w:rFonts w:ascii="Arial" w:hAnsi="Arial" w:cs="Arial"/>
          <w:color w:val="000000" w:themeColor="text1"/>
          <w:sz w:val="21"/>
          <w:szCs w:val="21"/>
          <w:lang w:val="es-ES_tradnl"/>
        </w:rPr>
      </w:pPr>
      <w:r w:rsidRPr="0078165F">
        <w:rPr>
          <w:rFonts w:ascii="Arial" w:eastAsia="Calibri" w:hAnsi="Arial" w:cs="Arial"/>
          <w:sz w:val="21"/>
          <w:szCs w:val="21"/>
          <w:lang w:val="es-CO"/>
        </w:rPr>
        <w:t>«[</w:t>
      </w:r>
      <w:r w:rsidR="00554515" w:rsidRPr="0078165F">
        <w:rPr>
          <w:rFonts w:ascii="Arial" w:eastAsia="Calibri" w:hAnsi="Arial" w:cs="Arial"/>
          <w:sz w:val="21"/>
          <w:szCs w:val="21"/>
          <w:lang w:val="es-CO"/>
        </w:rPr>
        <w:t>…</w:t>
      </w:r>
      <w:r w:rsidRPr="0078165F">
        <w:rPr>
          <w:rFonts w:ascii="Arial" w:eastAsia="Calibri" w:hAnsi="Arial" w:cs="Arial"/>
          <w:sz w:val="21"/>
          <w:szCs w:val="21"/>
          <w:lang w:val="es-CO"/>
        </w:rPr>
        <w:t>]</w:t>
      </w:r>
      <w:r w:rsidR="00F27A52">
        <w:rPr>
          <w:rFonts w:ascii="Arial" w:hAnsi="Arial" w:cs="Arial"/>
          <w:sz w:val="21"/>
          <w:szCs w:val="21"/>
        </w:rPr>
        <w:t xml:space="preserve"> </w:t>
      </w:r>
      <w:proofErr w:type="gramStart"/>
      <w:r w:rsidR="00F27A52" w:rsidRPr="00F27A52">
        <w:rPr>
          <w:rFonts w:ascii="Arial" w:hAnsi="Arial" w:cs="Arial"/>
          <w:sz w:val="21"/>
          <w:szCs w:val="21"/>
        </w:rPr>
        <w:t>Existe alguna restricción con ocasión de la aplicación de la ley de garantías para la adquisición de bienes, obras o servicios, objeto de Acuerdos Marco u otro mecanis</w:t>
      </w:r>
      <w:r w:rsidR="00F27A52">
        <w:rPr>
          <w:rFonts w:ascii="Arial" w:hAnsi="Arial" w:cs="Arial"/>
          <w:sz w:val="21"/>
          <w:szCs w:val="21"/>
        </w:rPr>
        <w:t>mo de agregación de demanda?</w:t>
      </w:r>
      <w:proofErr w:type="gramEnd"/>
      <w:r w:rsidR="00F27A52">
        <w:rPr>
          <w:rFonts w:ascii="Arial" w:hAnsi="Arial" w:cs="Arial"/>
          <w:sz w:val="21"/>
          <w:szCs w:val="21"/>
        </w:rPr>
        <w:t xml:space="preserve"> […] </w:t>
      </w:r>
      <w:r w:rsidR="00F27A52" w:rsidRPr="00F27A52">
        <w:rPr>
          <w:rFonts w:ascii="Arial" w:hAnsi="Arial" w:cs="Arial"/>
          <w:sz w:val="21"/>
          <w:szCs w:val="21"/>
        </w:rPr>
        <w:t xml:space="preserve">Que restricción </w:t>
      </w:r>
      <w:proofErr w:type="gramStart"/>
      <w:r w:rsidR="00F27A52" w:rsidRPr="00F27A52">
        <w:rPr>
          <w:rFonts w:ascii="Arial" w:hAnsi="Arial" w:cs="Arial"/>
          <w:sz w:val="21"/>
          <w:szCs w:val="21"/>
        </w:rPr>
        <w:t>habría  por</w:t>
      </w:r>
      <w:proofErr w:type="gramEnd"/>
      <w:r w:rsidR="00F27A52" w:rsidRPr="00F27A52">
        <w:rPr>
          <w:rFonts w:ascii="Arial" w:hAnsi="Arial" w:cs="Arial"/>
          <w:sz w:val="21"/>
          <w:szCs w:val="21"/>
        </w:rPr>
        <w:t xml:space="preserve"> ejemplo,  en la demanda de bienes, obras o servicios de un Proveedor único, que puede ser agregada a través de  un contrato suscrito bajo la modalidad de contratación directa, tanto en la Operación Principal como en la Operación Secundaria?».</w:t>
      </w:r>
      <w:bookmarkStart w:id="5" w:name="_Hlk57650395"/>
    </w:p>
    <w:p w14:paraId="31D118BF" w14:textId="77777777" w:rsidR="007C2221" w:rsidRPr="007611DB" w:rsidRDefault="007C2221" w:rsidP="00FE0E9C">
      <w:pPr>
        <w:tabs>
          <w:tab w:val="left" w:pos="0"/>
        </w:tabs>
        <w:spacing w:after="0"/>
        <w:ind w:left="709" w:right="709"/>
        <w:rPr>
          <w:rFonts w:ascii="Arial" w:hAnsi="Arial" w:cs="Arial"/>
          <w:color w:val="000000" w:themeColor="text1"/>
          <w:sz w:val="21"/>
          <w:szCs w:val="21"/>
          <w:lang w:val="es-ES_tradnl"/>
        </w:rPr>
      </w:pPr>
    </w:p>
    <w:p w14:paraId="76D526C9" w14:textId="23C366D3" w:rsidR="00724809" w:rsidRDefault="007611DB" w:rsidP="00881742">
      <w:pPr>
        <w:tabs>
          <w:tab w:val="left" w:pos="426"/>
          <w:tab w:val="left" w:pos="8789"/>
        </w:tabs>
        <w:spacing w:after="120"/>
        <w:rPr>
          <w:rFonts w:ascii="Arial" w:eastAsia="Times New Roman" w:hAnsi="Arial" w:cs="Arial"/>
          <w:bCs/>
          <w:color w:val="000000"/>
          <w:sz w:val="22"/>
          <w:lang w:val="es-ES" w:eastAsia="es-CO"/>
        </w:rPr>
      </w:pPr>
      <w:r w:rsidRPr="007611DB">
        <w:rPr>
          <w:rFonts w:ascii="Arial" w:eastAsia="Calibri" w:hAnsi="Arial" w:cs="Arial"/>
          <w:bCs/>
          <w:color w:val="000000" w:themeColor="text1"/>
          <w:sz w:val="22"/>
          <w:lang w:val="es-ES_tradnl"/>
        </w:rPr>
        <w:t xml:space="preserve">De </w:t>
      </w:r>
      <w:r w:rsidR="00990612" w:rsidRPr="002D5D70">
        <w:rPr>
          <w:rFonts w:ascii="Arial" w:eastAsia="Calibri" w:hAnsi="Arial" w:cs="Arial"/>
          <w:sz w:val="22"/>
          <w:lang w:val="es-CO"/>
        </w:rPr>
        <w:t xml:space="preserve">acuerdo con las consideraciones del presente concepto, </w:t>
      </w:r>
      <w:r w:rsidR="00724809">
        <w:rPr>
          <w:rFonts w:ascii="Arial" w:eastAsia="Calibri" w:hAnsi="Arial" w:cs="Arial"/>
          <w:sz w:val="22"/>
          <w:lang w:val="es-CO"/>
        </w:rPr>
        <w:t xml:space="preserve">es importante reiterar que </w:t>
      </w:r>
      <w:r w:rsidR="00554515">
        <w:rPr>
          <w:rFonts w:ascii="Arial" w:eastAsia="Calibri" w:hAnsi="Arial" w:cs="Arial"/>
          <w:sz w:val="22"/>
          <w:lang w:val="es-CO"/>
        </w:rPr>
        <w:t>l</w:t>
      </w:r>
      <w:r w:rsidR="00554515" w:rsidRPr="00554515">
        <w:rPr>
          <w:rFonts w:ascii="Arial" w:eastAsia="Calibri" w:hAnsi="Arial" w:cs="Arial"/>
          <w:sz w:val="22"/>
          <w:lang w:val="es-CO"/>
        </w:rPr>
        <w:t>a totalidad de las restricciones previstas en la Ley 996 de 2005 son aplicables a</w:t>
      </w:r>
      <w:r w:rsidR="00724809">
        <w:rPr>
          <w:rFonts w:ascii="Arial" w:eastAsia="Calibri" w:hAnsi="Arial" w:cs="Arial"/>
          <w:sz w:val="22"/>
          <w:lang w:val="es-CO"/>
        </w:rPr>
        <w:t>l periodo previsto para</w:t>
      </w:r>
      <w:r w:rsidR="00554515" w:rsidRPr="00554515">
        <w:rPr>
          <w:rFonts w:ascii="Arial" w:eastAsia="Calibri" w:hAnsi="Arial" w:cs="Arial"/>
          <w:sz w:val="22"/>
          <w:lang w:val="es-CO"/>
        </w:rPr>
        <w:t xml:space="preserve"> las elecciones presidenciales, mientras que aquellas referidas de forma general a</w:t>
      </w:r>
      <w:r w:rsidR="00BE7972">
        <w:rPr>
          <w:rFonts w:ascii="Arial" w:eastAsia="Calibri" w:hAnsi="Arial" w:cs="Arial"/>
          <w:sz w:val="22"/>
          <w:lang w:val="es-CO"/>
        </w:rPr>
        <w:t xml:space="preserve"> todos los</w:t>
      </w:r>
      <w:r w:rsidR="00554515" w:rsidRPr="00554515">
        <w:rPr>
          <w:rFonts w:ascii="Arial" w:eastAsia="Calibri" w:hAnsi="Arial" w:cs="Arial"/>
          <w:sz w:val="22"/>
          <w:lang w:val="es-CO"/>
        </w:rPr>
        <w:t xml:space="preserve"> cargos de elección popular –como los que ostentan los miembro</w:t>
      </w:r>
      <w:r w:rsidR="00724809">
        <w:rPr>
          <w:rFonts w:ascii="Arial" w:eastAsia="Calibri" w:hAnsi="Arial" w:cs="Arial"/>
          <w:sz w:val="22"/>
          <w:lang w:val="es-CO"/>
        </w:rPr>
        <w:t>s del Congreso de la República</w:t>
      </w:r>
      <w:proofErr w:type="gramStart"/>
      <w:r w:rsidR="00BC2F8F">
        <w:rPr>
          <w:rFonts w:ascii="Arial" w:eastAsia="Calibri" w:hAnsi="Arial" w:cs="Arial"/>
          <w:sz w:val="22"/>
          <w:lang w:val="es-CO"/>
        </w:rPr>
        <w:t>–</w:t>
      </w:r>
      <w:r w:rsidR="00554515" w:rsidRPr="00554515">
        <w:rPr>
          <w:rFonts w:ascii="Arial" w:eastAsia="Calibri" w:hAnsi="Arial" w:cs="Arial"/>
          <w:sz w:val="22"/>
          <w:lang w:val="es-CO"/>
        </w:rPr>
        <w:t xml:space="preserve">  se</w:t>
      </w:r>
      <w:proofErr w:type="gramEnd"/>
      <w:r w:rsidR="00554515" w:rsidRPr="00554515">
        <w:rPr>
          <w:rFonts w:ascii="Arial" w:eastAsia="Calibri" w:hAnsi="Arial" w:cs="Arial"/>
          <w:sz w:val="22"/>
          <w:lang w:val="es-CO"/>
        </w:rPr>
        <w:t xml:space="preserve"> encuentran </w:t>
      </w:r>
      <w:r w:rsidR="00BC2F8F">
        <w:rPr>
          <w:rFonts w:ascii="Arial" w:eastAsia="Calibri" w:hAnsi="Arial" w:cs="Arial"/>
          <w:sz w:val="22"/>
          <w:lang w:val="es-CO"/>
        </w:rPr>
        <w:t>establecidas</w:t>
      </w:r>
      <w:r w:rsidR="00BC2F8F" w:rsidRPr="00554515">
        <w:rPr>
          <w:rFonts w:ascii="Arial" w:eastAsia="Calibri" w:hAnsi="Arial" w:cs="Arial"/>
          <w:sz w:val="22"/>
          <w:lang w:val="es-CO"/>
        </w:rPr>
        <w:t xml:space="preserve"> </w:t>
      </w:r>
      <w:r w:rsidR="00554515" w:rsidRPr="00554515">
        <w:rPr>
          <w:rFonts w:ascii="Arial" w:eastAsia="Calibri" w:hAnsi="Arial" w:cs="Arial"/>
          <w:sz w:val="22"/>
          <w:lang w:val="es-CO"/>
        </w:rPr>
        <w:t>en el parágrafo único del artículo 38 de la mencionada ley</w:t>
      </w:r>
      <w:r w:rsidR="00BC2F8F">
        <w:rPr>
          <w:rFonts w:ascii="Arial" w:eastAsia="Calibri" w:hAnsi="Arial" w:cs="Arial"/>
          <w:sz w:val="22"/>
          <w:lang w:val="es-CO"/>
        </w:rPr>
        <w:t>.</w:t>
      </w:r>
      <w:r w:rsidR="00724809">
        <w:rPr>
          <w:rFonts w:ascii="Arial" w:eastAsia="Calibri" w:hAnsi="Arial" w:cs="Arial"/>
          <w:sz w:val="22"/>
          <w:lang w:val="es-CO"/>
        </w:rPr>
        <w:t xml:space="preserve"> </w:t>
      </w:r>
    </w:p>
    <w:bookmarkEnd w:id="5"/>
    <w:p w14:paraId="0CE081FA" w14:textId="09AC356B" w:rsidR="00730AB8" w:rsidRDefault="00951364" w:rsidP="00D6148F">
      <w:pPr>
        <w:spacing w:after="120"/>
        <w:ind w:firstLine="709"/>
        <w:rPr>
          <w:rFonts w:ascii="Arial" w:hAnsi="Arial" w:cs="Arial"/>
          <w:sz w:val="22"/>
        </w:rPr>
      </w:pPr>
      <w:r w:rsidRPr="00951364">
        <w:rPr>
          <w:rFonts w:ascii="Arial" w:eastAsia="Calibri" w:hAnsi="Arial" w:cs="Arial"/>
          <w:sz w:val="22"/>
          <w:lang w:val="es-CO"/>
        </w:rPr>
        <w:t>E</w:t>
      </w:r>
      <w:r>
        <w:rPr>
          <w:rFonts w:ascii="Arial" w:eastAsia="Calibri" w:hAnsi="Arial" w:cs="Arial"/>
          <w:sz w:val="22"/>
          <w:lang w:val="es-CO"/>
        </w:rPr>
        <w:t xml:space="preserve">n cuanto </w:t>
      </w:r>
      <w:r w:rsidR="00D6148F">
        <w:rPr>
          <w:rFonts w:ascii="Arial" w:eastAsia="Calibri" w:hAnsi="Arial" w:cs="Arial"/>
          <w:sz w:val="22"/>
          <w:lang w:val="es-CO"/>
        </w:rPr>
        <w:t xml:space="preserve">a </w:t>
      </w:r>
      <w:r>
        <w:rPr>
          <w:rFonts w:ascii="Arial" w:eastAsia="Calibri" w:hAnsi="Arial" w:cs="Arial"/>
          <w:sz w:val="22"/>
          <w:lang w:val="es-CO"/>
        </w:rPr>
        <w:t>las restricciones contempladas en la</w:t>
      </w:r>
      <w:r w:rsidR="00BC2F8F">
        <w:rPr>
          <w:rFonts w:ascii="Arial" w:eastAsia="Calibri" w:hAnsi="Arial" w:cs="Arial"/>
          <w:sz w:val="22"/>
          <w:lang w:val="es-CO"/>
        </w:rPr>
        <w:t xml:space="preserve"> </w:t>
      </w:r>
      <w:r>
        <w:rPr>
          <w:rFonts w:ascii="Arial" w:eastAsia="Calibri" w:hAnsi="Arial" w:cs="Arial"/>
          <w:sz w:val="22"/>
          <w:lang w:val="es-CO"/>
        </w:rPr>
        <w:t>Ley d</w:t>
      </w:r>
      <w:r w:rsidRPr="00951364">
        <w:rPr>
          <w:rFonts w:ascii="Arial" w:eastAsia="Calibri" w:hAnsi="Arial" w:cs="Arial"/>
          <w:sz w:val="22"/>
          <w:lang w:val="es-CO"/>
        </w:rPr>
        <w:t>e Garantías</w:t>
      </w:r>
      <w:r w:rsidR="00390732">
        <w:rPr>
          <w:rFonts w:ascii="Arial" w:eastAsia="Calibri" w:hAnsi="Arial" w:cs="Arial"/>
          <w:sz w:val="22"/>
          <w:lang w:val="es-CO"/>
        </w:rPr>
        <w:t xml:space="preserve"> para la contratación directa,</w:t>
      </w:r>
      <w:r w:rsidRPr="00951364">
        <w:rPr>
          <w:rFonts w:ascii="Arial" w:eastAsia="Calibri" w:hAnsi="Arial" w:cs="Arial"/>
          <w:sz w:val="22"/>
          <w:lang w:val="es-CO"/>
        </w:rPr>
        <w:t xml:space="preserve"> </w:t>
      </w:r>
      <w:r w:rsidR="00390732">
        <w:rPr>
          <w:rFonts w:ascii="Arial" w:eastAsia="Calibri" w:hAnsi="Arial" w:cs="Arial"/>
          <w:sz w:val="22"/>
          <w:lang w:val="es-CO"/>
        </w:rPr>
        <w:t xml:space="preserve">cabe señalar que </w:t>
      </w:r>
      <w:r w:rsidR="005E0385">
        <w:rPr>
          <w:rFonts w:ascii="Arial" w:eastAsia="Calibri" w:hAnsi="Arial" w:cs="Arial"/>
          <w:sz w:val="22"/>
          <w:lang w:val="es-CO"/>
        </w:rPr>
        <w:t>frente a</w:t>
      </w:r>
      <w:r w:rsidR="005E0385" w:rsidRPr="00951364">
        <w:rPr>
          <w:rFonts w:ascii="Arial" w:eastAsia="Calibri" w:hAnsi="Arial" w:cs="Arial"/>
          <w:sz w:val="22"/>
          <w:lang w:val="es-CO"/>
        </w:rPr>
        <w:t xml:space="preserve"> </w:t>
      </w:r>
      <w:r w:rsidRPr="00951364">
        <w:rPr>
          <w:rFonts w:ascii="Arial" w:eastAsia="Calibri" w:hAnsi="Arial" w:cs="Arial"/>
          <w:sz w:val="22"/>
          <w:lang w:val="es-CO"/>
        </w:rPr>
        <w:t>la adquisici</w:t>
      </w:r>
      <w:r w:rsidR="00730AB8">
        <w:rPr>
          <w:rFonts w:ascii="Arial" w:eastAsia="Calibri" w:hAnsi="Arial" w:cs="Arial"/>
          <w:sz w:val="22"/>
          <w:lang w:val="es-CO"/>
        </w:rPr>
        <w:t>ón de bienes</w:t>
      </w:r>
      <w:r w:rsidR="004A3CCB">
        <w:rPr>
          <w:rFonts w:ascii="Arial" w:eastAsia="Calibri" w:hAnsi="Arial" w:cs="Arial"/>
          <w:sz w:val="22"/>
          <w:lang w:val="es-CO"/>
        </w:rPr>
        <w:t xml:space="preserve"> </w:t>
      </w:r>
      <w:r w:rsidR="00730AB8">
        <w:rPr>
          <w:rFonts w:ascii="Arial" w:eastAsia="Calibri" w:hAnsi="Arial" w:cs="Arial"/>
          <w:sz w:val="22"/>
          <w:lang w:val="es-CO"/>
        </w:rPr>
        <w:t>o servicios</w:t>
      </w:r>
      <w:r w:rsidRPr="00951364">
        <w:rPr>
          <w:rFonts w:ascii="Arial" w:eastAsia="Calibri" w:hAnsi="Arial" w:cs="Arial"/>
          <w:sz w:val="22"/>
          <w:lang w:val="es-CO"/>
        </w:rPr>
        <w:t xml:space="preserve"> objeto de Acuerdos Marco </w:t>
      </w:r>
      <w:r w:rsidR="00BC2F8F">
        <w:rPr>
          <w:rFonts w:ascii="Arial" w:eastAsia="Calibri" w:hAnsi="Arial" w:cs="Arial"/>
          <w:sz w:val="22"/>
          <w:lang w:val="es-CO"/>
        </w:rPr>
        <w:t xml:space="preserve">de Precios </w:t>
      </w:r>
      <w:r w:rsidRPr="00951364">
        <w:rPr>
          <w:rFonts w:ascii="Arial" w:eastAsia="Calibri" w:hAnsi="Arial" w:cs="Arial"/>
          <w:sz w:val="22"/>
          <w:lang w:val="es-CO"/>
        </w:rPr>
        <w:t>u otro mecanismo de agregación de demanda</w:t>
      </w:r>
      <w:r>
        <w:rPr>
          <w:rFonts w:ascii="Arial" w:eastAsia="Calibri" w:hAnsi="Arial" w:cs="Arial"/>
          <w:sz w:val="22"/>
          <w:lang w:val="es-CO"/>
        </w:rPr>
        <w:t>,</w:t>
      </w:r>
      <w:r w:rsidR="00390732">
        <w:rPr>
          <w:rFonts w:ascii="Arial" w:eastAsia="Calibri" w:hAnsi="Arial" w:cs="Arial"/>
          <w:sz w:val="22"/>
          <w:lang w:val="es-CO"/>
        </w:rPr>
        <w:t xml:space="preserve"> o para su celebración,</w:t>
      </w:r>
      <w:r>
        <w:rPr>
          <w:rFonts w:ascii="Arial" w:eastAsia="Calibri" w:hAnsi="Arial" w:cs="Arial"/>
          <w:sz w:val="22"/>
          <w:lang w:val="es-CO"/>
        </w:rPr>
        <w:t xml:space="preserve"> específicamente para el caso de </w:t>
      </w:r>
      <w:r w:rsidRPr="00951364">
        <w:rPr>
          <w:rFonts w:ascii="Arial" w:eastAsia="Calibri" w:hAnsi="Arial" w:cs="Arial"/>
          <w:sz w:val="22"/>
          <w:lang w:val="es-CO"/>
        </w:rPr>
        <w:t xml:space="preserve">Proveedor único, </w:t>
      </w:r>
      <w:r>
        <w:rPr>
          <w:rFonts w:ascii="Arial" w:eastAsia="Calibri" w:hAnsi="Arial" w:cs="Arial"/>
          <w:sz w:val="22"/>
          <w:lang w:val="es-CO"/>
        </w:rPr>
        <w:t xml:space="preserve">considerando que </w:t>
      </w:r>
      <w:r w:rsidR="00730AB8">
        <w:rPr>
          <w:rFonts w:ascii="Arial" w:eastAsia="Arial" w:hAnsi="Arial" w:cs="Arial"/>
          <w:sz w:val="22"/>
          <w:lang w:val="es-ES" w:eastAsia="es-ES" w:bidi="es-ES"/>
        </w:rPr>
        <w:t xml:space="preserve">la ley señala que cuando no exista </w:t>
      </w:r>
      <w:r w:rsidRPr="00730AB8">
        <w:rPr>
          <w:rFonts w:ascii="Arial" w:hAnsi="Arial" w:cs="Arial"/>
          <w:sz w:val="22"/>
        </w:rPr>
        <w:t>pluralidad de oferentes</w:t>
      </w:r>
      <w:r w:rsidR="00730AB8">
        <w:rPr>
          <w:rFonts w:ascii="Arial" w:hAnsi="Arial" w:cs="Arial"/>
          <w:sz w:val="22"/>
        </w:rPr>
        <w:t>, es decir,</w:t>
      </w:r>
      <w:r w:rsidRPr="00730AB8">
        <w:rPr>
          <w:rFonts w:ascii="Arial" w:hAnsi="Arial" w:cs="Arial"/>
          <w:sz w:val="22"/>
        </w:rPr>
        <w:t xml:space="preserve"> cuando s</w:t>
      </w:r>
      <w:r w:rsidR="00560C9C">
        <w:rPr>
          <w:rFonts w:ascii="Arial" w:hAnsi="Arial" w:cs="Arial"/>
          <w:sz w:val="22"/>
        </w:rPr>
        <w:t>o</w:t>
      </w:r>
      <w:r w:rsidRPr="00730AB8">
        <w:rPr>
          <w:rFonts w:ascii="Arial" w:hAnsi="Arial" w:cs="Arial"/>
          <w:sz w:val="22"/>
        </w:rPr>
        <w:t xml:space="preserve">lo hay una persona que pueda proveer el bien o servicio, </w:t>
      </w:r>
      <w:r w:rsidR="00730AB8">
        <w:rPr>
          <w:rFonts w:ascii="Arial" w:hAnsi="Arial" w:cs="Arial"/>
          <w:sz w:val="22"/>
        </w:rPr>
        <w:t>la modalidad de selección aplicable es la contratación directa</w:t>
      </w:r>
      <w:r w:rsidR="005E0385">
        <w:rPr>
          <w:rFonts w:ascii="Arial" w:hAnsi="Arial" w:cs="Arial"/>
          <w:sz w:val="22"/>
        </w:rPr>
        <w:t>. En tal escenario,</w:t>
      </w:r>
      <w:r w:rsidR="00730AB8">
        <w:rPr>
          <w:rFonts w:ascii="Arial" w:hAnsi="Arial" w:cs="Arial"/>
          <w:sz w:val="22"/>
        </w:rPr>
        <w:t xml:space="preserve"> ante la imposibilidad de efectuar una interpretación </w:t>
      </w:r>
      <w:r w:rsidR="00BF3E9C">
        <w:rPr>
          <w:rFonts w:ascii="Arial" w:hAnsi="Arial" w:cs="Arial"/>
          <w:sz w:val="22"/>
        </w:rPr>
        <w:t>q</w:t>
      </w:r>
      <w:r w:rsidR="00BF3E9C" w:rsidRPr="00D6148F">
        <w:rPr>
          <w:rFonts w:ascii="Arial" w:hAnsi="Arial" w:cs="Arial"/>
          <w:sz w:val="22"/>
        </w:rPr>
        <w:t xml:space="preserve">ue limite o </w:t>
      </w:r>
      <w:r w:rsidR="00BF3E9C" w:rsidRPr="00D6148F">
        <w:rPr>
          <w:rFonts w:ascii="Arial" w:hAnsi="Arial" w:cs="Arial"/>
          <w:sz w:val="22"/>
        </w:rPr>
        <w:lastRenderedPageBreak/>
        <w:t>amplíe</w:t>
      </w:r>
      <w:r w:rsidR="00730AB8" w:rsidRPr="00D6148F">
        <w:rPr>
          <w:rFonts w:ascii="Arial" w:hAnsi="Arial" w:cs="Arial"/>
          <w:sz w:val="22"/>
        </w:rPr>
        <w:t xml:space="preserve"> el alcance de </w:t>
      </w:r>
      <w:proofErr w:type="gramStart"/>
      <w:r w:rsidR="00730AB8" w:rsidRPr="00D6148F">
        <w:rPr>
          <w:rFonts w:ascii="Arial" w:hAnsi="Arial" w:cs="Arial"/>
          <w:sz w:val="22"/>
        </w:rPr>
        <w:t>las  prohibiciones</w:t>
      </w:r>
      <w:proofErr w:type="gramEnd"/>
      <w:r w:rsidR="00730AB8" w:rsidRPr="00D6148F">
        <w:rPr>
          <w:rFonts w:ascii="Arial" w:hAnsi="Arial" w:cs="Arial"/>
          <w:sz w:val="22"/>
        </w:rPr>
        <w:t xml:space="preserve"> previstas en la ley, que de forma general, sin distinguir etapas, instrumentos o mecanismos precisa: </w:t>
      </w:r>
      <w:r w:rsidR="00730AB8" w:rsidRPr="00D6148F">
        <w:rPr>
          <w:rFonts w:ascii="Arial" w:eastAsia="Calibri" w:hAnsi="Arial" w:cs="Arial"/>
          <w:sz w:val="22"/>
          <w:lang w:val="es-CO"/>
        </w:rPr>
        <w:t>«queda prohibida la contratación directa por parte de todos los entes del Estado</w:t>
      </w:r>
      <w:r w:rsidR="00730AB8" w:rsidRPr="00D6148F">
        <w:rPr>
          <w:rFonts w:ascii="Arial" w:hAnsi="Arial" w:cs="Arial"/>
          <w:sz w:val="22"/>
        </w:rPr>
        <w:t xml:space="preserve">», </w:t>
      </w:r>
      <w:r w:rsidR="00D6148F" w:rsidRPr="00D6148F">
        <w:rPr>
          <w:rFonts w:ascii="Arial" w:hAnsi="Arial" w:cs="Arial"/>
          <w:sz w:val="22"/>
        </w:rPr>
        <w:t xml:space="preserve">se concluye que </w:t>
      </w:r>
      <w:r w:rsidR="00BF3E9C" w:rsidRPr="00D6148F">
        <w:rPr>
          <w:rFonts w:ascii="Arial" w:hAnsi="Arial" w:cs="Arial"/>
          <w:sz w:val="22"/>
        </w:rPr>
        <w:t xml:space="preserve">las </w:t>
      </w:r>
      <w:r w:rsidR="00BF3E9C">
        <w:rPr>
          <w:rFonts w:ascii="Arial" w:hAnsi="Arial" w:cs="Arial"/>
          <w:sz w:val="22"/>
        </w:rPr>
        <w:t>restricciones de la Ley 996 de 2005 se aplican a los mecanismos de agregación de demanda</w:t>
      </w:r>
      <w:r w:rsidR="005E0385">
        <w:rPr>
          <w:rFonts w:ascii="Arial" w:hAnsi="Arial" w:cs="Arial"/>
          <w:sz w:val="22"/>
        </w:rPr>
        <w:t>. Pese a ello, también aplican</w:t>
      </w:r>
      <w:r w:rsidR="00BF3E9C">
        <w:rPr>
          <w:rFonts w:ascii="Arial" w:hAnsi="Arial" w:cs="Arial"/>
          <w:sz w:val="22"/>
        </w:rPr>
        <w:t xml:space="preserve"> las excepciones</w:t>
      </w:r>
      <w:r w:rsidR="00D6148F">
        <w:rPr>
          <w:rFonts w:ascii="Arial" w:hAnsi="Arial" w:cs="Arial"/>
          <w:sz w:val="22"/>
        </w:rPr>
        <w:t xml:space="preserve"> a las prohibiciones</w:t>
      </w:r>
      <w:r w:rsidR="00BF3E9C">
        <w:rPr>
          <w:rFonts w:ascii="Arial" w:hAnsi="Arial" w:cs="Arial"/>
          <w:sz w:val="22"/>
        </w:rPr>
        <w:t>, siendo posible acudir a los instrumentos de agregación de demanda</w:t>
      </w:r>
      <w:r w:rsidR="00D6148F">
        <w:rPr>
          <w:rFonts w:ascii="Arial" w:hAnsi="Arial" w:cs="Arial"/>
          <w:sz w:val="22"/>
        </w:rPr>
        <w:t>,</w:t>
      </w:r>
      <w:r w:rsidR="00BF3E9C">
        <w:rPr>
          <w:rFonts w:ascii="Arial" w:hAnsi="Arial" w:cs="Arial"/>
          <w:sz w:val="22"/>
        </w:rPr>
        <w:t xml:space="preserve"> </w:t>
      </w:r>
      <w:proofErr w:type="spellStart"/>
      <w:r w:rsidR="00BF3E9C">
        <w:rPr>
          <w:rFonts w:ascii="Arial" w:hAnsi="Arial" w:cs="Arial"/>
          <w:sz w:val="22"/>
        </w:rPr>
        <w:t>aún</w:t>
      </w:r>
      <w:proofErr w:type="spellEnd"/>
      <w:r w:rsidR="00BF3E9C">
        <w:rPr>
          <w:rFonts w:ascii="Arial" w:hAnsi="Arial" w:cs="Arial"/>
          <w:sz w:val="22"/>
        </w:rPr>
        <w:t xml:space="preserve"> cuando </w:t>
      </w:r>
      <w:r w:rsidR="00D60192">
        <w:rPr>
          <w:rFonts w:ascii="Arial" w:hAnsi="Arial" w:cs="Arial"/>
          <w:sz w:val="22"/>
        </w:rPr>
        <w:t>impliquen una</w:t>
      </w:r>
      <w:r w:rsidR="00BF3E9C">
        <w:rPr>
          <w:rFonts w:ascii="Arial" w:hAnsi="Arial" w:cs="Arial"/>
          <w:sz w:val="22"/>
        </w:rPr>
        <w:t xml:space="preserve"> contratación </w:t>
      </w:r>
      <w:r w:rsidR="00D6148F">
        <w:rPr>
          <w:rFonts w:ascii="Arial" w:hAnsi="Arial" w:cs="Arial"/>
          <w:sz w:val="22"/>
        </w:rPr>
        <w:t xml:space="preserve">directa, </w:t>
      </w:r>
      <w:r w:rsidR="00BF3E9C" w:rsidRPr="00BF3E9C">
        <w:rPr>
          <w:rFonts w:ascii="Arial" w:hAnsi="Arial" w:cs="Arial"/>
          <w:sz w:val="22"/>
        </w:rPr>
        <w:t>cuando el objeto a contratar se refiera a  la  defensa y seguridad del Estado, los contratos de crédito público, los requeridos para cubrir las emergencias educativas, sanitarias y desastres,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6F2507F0" w14:textId="7AAE7533" w:rsidR="00BC2F8F" w:rsidRDefault="00BC2F8F" w:rsidP="00D6148F">
      <w:pPr>
        <w:spacing w:after="120"/>
        <w:ind w:firstLine="709"/>
        <w:rPr>
          <w:rFonts w:ascii="Arial" w:hAnsi="Arial" w:cs="Arial"/>
          <w:sz w:val="22"/>
        </w:rPr>
      </w:pPr>
    </w:p>
    <w:p w14:paraId="00CE8453" w14:textId="18F35A0D" w:rsidR="00904CD9" w:rsidRPr="002D5D70" w:rsidRDefault="00990612" w:rsidP="007C2221">
      <w:pPr>
        <w:spacing w:after="120"/>
        <w:rPr>
          <w:rFonts w:ascii="Arial" w:eastAsia="Calibri" w:hAnsi="Arial" w:cs="Arial"/>
          <w:sz w:val="22"/>
          <w:lang w:val="es-CO"/>
        </w:rPr>
      </w:pPr>
      <w:r w:rsidRPr="002D5D70">
        <w:rPr>
          <w:rFonts w:ascii="Arial" w:eastAsia="Calibri" w:hAnsi="Arial" w:cs="Arial"/>
          <w:sz w:val="22"/>
          <w:lang w:val="es-CO"/>
        </w:rPr>
        <w:t>Este concepto tiene el alcance previsto en el artículo 28 del Código de Procedimiento Administrativo y de lo Contencioso Administrativo.</w:t>
      </w:r>
    </w:p>
    <w:p w14:paraId="0DB72472" w14:textId="77777777" w:rsidR="00904CD9" w:rsidRPr="00A02DEF" w:rsidRDefault="00904CD9" w:rsidP="00904CD9">
      <w:pPr>
        <w:rPr>
          <w:rFonts w:ascii="Arial" w:eastAsia="Calibri" w:hAnsi="Arial" w:cs="Arial"/>
          <w:sz w:val="22"/>
          <w:lang w:val="es-CO"/>
        </w:rPr>
      </w:pPr>
      <w:r w:rsidRPr="00A02DEF">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C8CAF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5FDD70C" w14:textId="77777777" w:rsidR="00904CD9" w:rsidRPr="00A02DEF" w:rsidRDefault="00904CD9" w:rsidP="00904CD9">
      <w:pPr>
        <w:rPr>
          <w:rFonts w:ascii="Arial" w:eastAsia="Times New Roman" w:hAnsi="Arial" w:cs="Arial"/>
          <w:sz w:val="22"/>
          <w:lang w:val="es-CO" w:eastAsia="es-CO"/>
        </w:rPr>
      </w:pPr>
      <w:r w:rsidRPr="00A02DEF">
        <w:rPr>
          <w:rFonts w:ascii="Arial" w:eastAsia="Times New Roman" w:hAnsi="Arial" w:cs="Arial"/>
          <w:sz w:val="22"/>
          <w:lang w:val="es-CO" w:eastAsia="es-CO"/>
        </w:rPr>
        <w:t>Atentamente,</w:t>
      </w:r>
    </w:p>
    <w:p w14:paraId="362FBE17" w14:textId="1E3D4FAC" w:rsidR="00904CD9" w:rsidRPr="00A02DEF" w:rsidRDefault="00904CD9" w:rsidP="00904CD9">
      <w:pPr>
        <w:rPr>
          <w:rFonts w:ascii="Arial" w:eastAsia="Times New Roman" w:hAnsi="Arial" w:cs="Arial"/>
          <w:sz w:val="22"/>
          <w:lang w:val="es-CO" w:eastAsia="es-CO"/>
        </w:rPr>
      </w:pPr>
    </w:p>
    <w:p w14:paraId="609C4887" w14:textId="5867A5B1" w:rsidR="00904CD9" w:rsidRPr="00A02DEF" w:rsidRDefault="00904CD9" w:rsidP="00904CD9">
      <w:pPr>
        <w:jc w:val="center"/>
        <w:rPr>
          <w:rFonts w:ascii="Arial" w:eastAsia="Times New Roman" w:hAnsi="Arial" w:cs="Arial"/>
          <w:sz w:val="22"/>
          <w:lang w:val="es-CO" w:eastAsia="es-CO"/>
        </w:rPr>
      </w:pPr>
      <w:r w:rsidRPr="00A02DEF">
        <w:rPr>
          <w:rFonts w:ascii="Arial" w:hAnsi="Arial" w:cs="Arial"/>
          <w:noProof/>
          <w:lang w:val="es-CO"/>
        </w:rPr>
        <w:t xml:space="preserve"> </w:t>
      </w:r>
    </w:p>
    <w:p w14:paraId="5512A43C" w14:textId="006B49AE" w:rsidR="00904CD9" w:rsidRDefault="00172B2A" w:rsidP="00172B2A">
      <w:pPr>
        <w:jc w:val="center"/>
        <w:rPr>
          <w:rFonts w:ascii="Arial" w:eastAsia="Times New Roman" w:hAnsi="Arial" w:cs="Arial"/>
          <w:sz w:val="18"/>
          <w:szCs w:val="20"/>
          <w:lang w:val="es-CO" w:eastAsia="es-CO"/>
        </w:rPr>
      </w:pPr>
      <w:r w:rsidRPr="001667C3">
        <w:rPr>
          <w:rFonts w:ascii="Arial" w:hAnsi="Arial" w:cs="Arial"/>
          <w:noProof/>
          <w:lang w:val="es-CO" w:eastAsia="es-CO"/>
        </w:rPr>
        <w:drawing>
          <wp:inline distT="0" distB="0" distL="0" distR="0" wp14:anchorId="2EF654FB" wp14:editId="3B26E093">
            <wp:extent cx="2514600" cy="84772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847725"/>
                    </a:xfrm>
                    <a:prstGeom prst="rect">
                      <a:avLst/>
                    </a:prstGeom>
                  </pic:spPr>
                </pic:pic>
              </a:graphicData>
            </a:graphic>
          </wp:inline>
        </w:drawing>
      </w:r>
    </w:p>
    <w:p w14:paraId="7E0866EA" w14:textId="77777777" w:rsidR="00F36B58" w:rsidRPr="00A02DEF" w:rsidRDefault="00F36B58" w:rsidP="00904CD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E0E9C" w:rsidRPr="00781A1B" w14:paraId="7A6A91A1" w14:textId="77777777" w:rsidTr="005D2E72">
        <w:trPr>
          <w:trHeight w:val="315"/>
        </w:trPr>
        <w:tc>
          <w:tcPr>
            <w:tcW w:w="812" w:type="dxa"/>
            <w:vAlign w:val="center"/>
            <w:hideMark/>
          </w:tcPr>
          <w:p w14:paraId="56F58FD0" w14:textId="77777777" w:rsidR="00FE0E9C" w:rsidRPr="00781A1B" w:rsidRDefault="00FE0E9C" w:rsidP="005D2E72">
            <w:pPr>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59AF3AF" w14:textId="77777777" w:rsidR="00FE0E9C" w:rsidRPr="00781A1B" w:rsidRDefault="00FE0E9C" w:rsidP="005D2E72">
            <w:pPr>
              <w:rPr>
                <w:rFonts w:ascii="Arial" w:eastAsia="Times New Roman" w:hAnsi="Arial" w:cs="Arial"/>
                <w:color w:val="000000" w:themeColor="text1"/>
                <w:sz w:val="16"/>
                <w:szCs w:val="16"/>
                <w:lang w:val="es-ES_tradnl" w:eastAsia="es-ES"/>
              </w:rPr>
            </w:pPr>
            <w:r w:rsidRPr="007452E0">
              <w:rPr>
                <w:rFonts w:ascii="Arial" w:eastAsia="Times New Roman" w:hAnsi="Arial" w:cs="Arial"/>
                <w:sz w:val="16"/>
                <w:szCs w:val="16"/>
                <w:lang w:eastAsia="es-CO"/>
              </w:rPr>
              <w:t>Alfredo Benavides Zarate</w:t>
            </w:r>
          </w:p>
          <w:p w14:paraId="4483413D" w14:textId="77777777" w:rsidR="00FE0E9C" w:rsidRPr="00781A1B" w:rsidRDefault="00FE0E9C" w:rsidP="005D2E72">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Contratista de la </w:t>
            </w:r>
            <w:r w:rsidRPr="00781A1B">
              <w:rPr>
                <w:rFonts w:ascii="Arial" w:eastAsia="Times New Roman" w:hAnsi="Arial" w:cs="Arial"/>
                <w:color w:val="000000" w:themeColor="text1"/>
                <w:sz w:val="16"/>
                <w:szCs w:val="16"/>
                <w:lang w:val="es-ES_tradnl" w:eastAsia="es-ES"/>
              </w:rPr>
              <w:t>Subdirección de Gestión Contractual</w:t>
            </w:r>
          </w:p>
        </w:tc>
      </w:tr>
      <w:tr w:rsidR="00FE0E9C" w:rsidRPr="00781A1B" w14:paraId="07771A78" w14:textId="77777777" w:rsidTr="005D2E72">
        <w:trPr>
          <w:trHeight w:val="330"/>
        </w:trPr>
        <w:tc>
          <w:tcPr>
            <w:tcW w:w="812" w:type="dxa"/>
            <w:vAlign w:val="center"/>
            <w:hideMark/>
          </w:tcPr>
          <w:p w14:paraId="6561D0D6" w14:textId="77777777" w:rsidR="00FE0E9C" w:rsidRPr="00781A1B" w:rsidRDefault="00FE0E9C" w:rsidP="005D2E72">
            <w:pPr>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958B9D" w14:textId="77777777" w:rsidR="00FE0E9C" w:rsidRPr="00781A1B" w:rsidRDefault="00FE0E9C" w:rsidP="005D2E72">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2819F920" w14:textId="77777777" w:rsidR="00FE0E9C" w:rsidRPr="00781A1B" w:rsidRDefault="00FE0E9C" w:rsidP="005D2E72">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T1 – Grado 15 </w:t>
            </w:r>
            <w:r w:rsidRPr="00781A1B">
              <w:rPr>
                <w:rFonts w:ascii="Arial" w:eastAsia="Times New Roman" w:hAnsi="Arial" w:cs="Arial"/>
                <w:color w:val="000000" w:themeColor="text1"/>
                <w:sz w:val="16"/>
                <w:szCs w:val="16"/>
                <w:lang w:val="es-ES_tradnl" w:eastAsia="es-ES"/>
              </w:rPr>
              <w:t>Subdirección de Gestión Contractual</w:t>
            </w:r>
          </w:p>
        </w:tc>
      </w:tr>
      <w:tr w:rsidR="00FE0E9C" w:rsidRPr="00781A1B" w14:paraId="5699AAB8" w14:textId="77777777" w:rsidTr="005D2E72">
        <w:trPr>
          <w:trHeight w:val="300"/>
        </w:trPr>
        <w:tc>
          <w:tcPr>
            <w:tcW w:w="812" w:type="dxa"/>
            <w:vAlign w:val="center"/>
            <w:hideMark/>
          </w:tcPr>
          <w:p w14:paraId="7F3F18E6" w14:textId="77777777" w:rsidR="00FE0E9C" w:rsidRPr="00781A1B" w:rsidRDefault="00FE0E9C" w:rsidP="005D2E72">
            <w:pPr>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AB2F4F" w14:textId="77777777" w:rsidR="00FE0E9C" w:rsidRPr="00781A1B" w:rsidRDefault="00FE0E9C" w:rsidP="005D2E72">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6C42B7FF" w14:textId="77777777" w:rsidR="00FE0E9C" w:rsidRPr="00781A1B" w:rsidRDefault="00FE0E9C" w:rsidP="005D2E72">
            <w:pPr>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bl>
    <w:p w14:paraId="7EBF297E" w14:textId="77777777" w:rsidR="007B0854" w:rsidRPr="00A02DEF" w:rsidRDefault="007B0854" w:rsidP="00746D17">
      <w:pPr>
        <w:rPr>
          <w:rFonts w:ascii="Arial" w:hAnsi="Arial" w:cs="Arial"/>
        </w:rPr>
      </w:pPr>
    </w:p>
    <w:sectPr w:rsidR="007B0854" w:rsidRPr="00A02DEF"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9B58" w14:textId="77777777" w:rsidR="00206BC8" w:rsidRDefault="00206BC8">
      <w:r>
        <w:separator/>
      </w:r>
    </w:p>
  </w:endnote>
  <w:endnote w:type="continuationSeparator" w:id="0">
    <w:p w14:paraId="5245AB95" w14:textId="77777777" w:rsidR="00206BC8" w:rsidRDefault="0020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2337" w14:textId="77777777" w:rsidR="00206BC8" w:rsidRDefault="00206BC8">
      <w:r>
        <w:separator/>
      </w:r>
    </w:p>
  </w:footnote>
  <w:footnote w:type="continuationSeparator" w:id="0">
    <w:p w14:paraId="34EF70C6" w14:textId="77777777" w:rsidR="00206BC8" w:rsidRDefault="00206BC8">
      <w:r>
        <w:continuationSeparator/>
      </w:r>
    </w:p>
  </w:footnote>
  <w:footnote w:id="1">
    <w:p w14:paraId="4DEAC599" w14:textId="5881580C" w:rsidR="00E008F1" w:rsidRPr="00474434" w:rsidRDefault="00E008F1" w:rsidP="00474434">
      <w:pPr>
        <w:pStyle w:val="Textonotapie"/>
        <w:spacing w:after="0" w:line="240" w:lineRule="auto"/>
        <w:ind w:firstLine="709"/>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El artículo 127 de la Consti</w:t>
      </w:r>
      <w:r w:rsidR="00296D38" w:rsidRPr="00474434">
        <w:rPr>
          <w:rFonts w:ascii="Arial" w:hAnsi="Arial" w:cs="Arial"/>
          <w:sz w:val="19"/>
          <w:szCs w:val="19"/>
        </w:rPr>
        <w:t>tu</w:t>
      </w:r>
      <w:r w:rsidRPr="00474434">
        <w:rPr>
          <w:rFonts w:ascii="Arial" w:hAnsi="Arial" w:cs="Arial"/>
          <w:sz w:val="19"/>
          <w:szCs w:val="19"/>
        </w:rPr>
        <w:t>ción Política señala:</w:t>
      </w:r>
      <w:r w:rsidR="00F555DB" w:rsidRPr="00474434">
        <w:rPr>
          <w:rFonts w:ascii="Arial" w:hAnsi="Arial" w:cs="Arial"/>
          <w:sz w:val="19"/>
          <w:szCs w:val="19"/>
        </w:rPr>
        <w:t xml:space="preserve"> </w:t>
      </w:r>
      <w:r w:rsidRPr="00474434">
        <w:rPr>
          <w:rFonts w:ascii="Arial" w:hAnsi="Arial" w:cs="Arial"/>
          <w:sz w:val="19"/>
          <w:szCs w:val="19"/>
        </w:rPr>
        <w:t xml:space="preserve">«Los servidores públicos no podrán celebrar, por si o por interpuesta persona, o en representación de otro, contrato alguno con entidades </w:t>
      </w:r>
      <w:r w:rsidR="00F27A52" w:rsidRPr="00474434">
        <w:rPr>
          <w:rFonts w:ascii="Arial" w:hAnsi="Arial" w:cs="Arial"/>
          <w:sz w:val="19"/>
          <w:szCs w:val="19"/>
        </w:rPr>
        <w:t>públicas</w:t>
      </w:r>
      <w:r w:rsidRPr="00474434">
        <w:rPr>
          <w:rFonts w:ascii="Arial" w:hAnsi="Arial" w:cs="Arial"/>
          <w:sz w:val="19"/>
          <w:szCs w:val="19"/>
        </w:rPr>
        <w:t xml:space="preserve"> o con personas privadas que manejen o administren recursos públicos, salvo las excepciones legales. </w:t>
      </w:r>
    </w:p>
    <w:p w14:paraId="4525A19C" w14:textId="2F053353" w:rsidR="00E008F1" w:rsidRPr="00474434" w:rsidRDefault="00E008F1" w:rsidP="00474434">
      <w:pPr>
        <w:pStyle w:val="Textonotapie"/>
        <w:spacing w:after="0" w:line="240" w:lineRule="auto"/>
        <w:ind w:firstLine="709"/>
        <w:rPr>
          <w:rFonts w:ascii="Arial" w:hAnsi="Arial" w:cs="Arial"/>
          <w:sz w:val="19"/>
          <w:szCs w:val="19"/>
        </w:rPr>
      </w:pPr>
      <w:proofErr w:type="gramStart"/>
      <w:r w:rsidRPr="00474434">
        <w:rPr>
          <w:rFonts w:ascii="Arial" w:hAnsi="Arial" w:cs="Arial"/>
          <w:sz w:val="19"/>
          <w:szCs w:val="19"/>
        </w:rPr>
        <w:t>»A</w:t>
      </w:r>
      <w:proofErr w:type="gramEnd"/>
      <w:r w:rsidRPr="00474434">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w:t>
      </w:r>
      <w:proofErr w:type="gramStart"/>
      <w:r w:rsidRPr="00474434">
        <w:rPr>
          <w:rFonts w:ascii="Arial" w:hAnsi="Arial" w:cs="Arial"/>
          <w:sz w:val="19"/>
          <w:szCs w:val="19"/>
        </w:rPr>
        <w:t>»Los</w:t>
      </w:r>
      <w:proofErr w:type="gramEnd"/>
      <w:r w:rsidRPr="00474434">
        <w:rPr>
          <w:rFonts w:ascii="Arial" w:hAnsi="Arial" w:cs="Arial"/>
          <w:sz w:val="19"/>
          <w:szCs w:val="19"/>
        </w:rPr>
        <w:t xml:space="preserve"> empleados no contemplados en esta prohibición solo podrán participar en dichas actividades y controversias en las condicione</w:t>
      </w:r>
      <w:r w:rsidR="00296D38" w:rsidRPr="00474434">
        <w:rPr>
          <w:rFonts w:ascii="Arial" w:hAnsi="Arial" w:cs="Arial"/>
          <w:sz w:val="19"/>
          <w:szCs w:val="19"/>
        </w:rPr>
        <w:t>s que señale la Ley Estatutaria</w:t>
      </w:r>
      <w:r w:rsidRPr="00474434">
        <w:rPr>
          <w:rFonts w:ascii="Arial" w:hAnsi="Arial" w:cs="Arial"/>
          <w:sz w:val="19"/>
          <w:szCs w:val="19"/>
        </w:rPr>
        <w:t>».</w:t>
      </w:r>
    </w:p>
  </w:footnote>
  <w:footnote w:id="2">
    <w:p w14:paraId="063490B9" w14:textId="1E6A7FCF" w:rsidR="001F55B5" w:rsidRPr="00474434" w:rsidRDefault="001F55B5" w:rsidP="00474434">
      <w:pPr>
        <w:pStyle w:val="Textonotapie"/>
        <w:spacing w:after="0" w:line="240" w:lineRule="auto"/>
        <w:ind w:firstLine="709"/>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6B5D8C0" w14:textId="77777777" w:rsidR="00D626A3" w:rsidRPr="00474434" w:rsidRDefault="00D626A3" w:rsidP="00881742">
      <w:pPr>
        <w:pStyle w:val="Textonotapie"/>
        <w:spacing w:after="0" w:line="240" w:lineRule="auto"/>
        <w:ind w:firstLine="709"/>
        <w:rPr>
          <w:rFonts w:ascii="Arial" w:hAnsi="Arial" w:cs="Arial"/>
          <w:sz w:val="19"/>
          <w:szCs w:val="19"/>
          <w:lang w:val="es-CO"/>
        </w:rPr>
      </w:pPr>
    </w:p>
  </w:footnote>
  <w:footnote w:id="3">
    <w:p w14:paraId="07A67B7A" w14:textId="39493290" w:rsidR="001F55B5" w:rsidRPr="00474434" w:rsidRDefault="001F55B5" w:rsidP="00474434">
      <w:pPr>
        <w:pStyle w:val="Textonotapie"/>
        <w:spacing w:after="0" w:line="240" w:lineRule="auto"/>
        <w:ind w:firstLine="709"/>
        <w:rPr>
          <w:rFonts w:ascii="Arial" w:hAnsi="Arial" w:cs="Arial"/>
          <w:sz w:val="19"/>
          <w:szCs w:val="19"/>
          <w:lang w:val="es-CO"/>
        </w:rPr>
      </w:pPr>
      <w:r w:rsidRPr="00474434">
        <w:rPr>
          <w:rStyle w:val="Refdenotaalpie"/>
          <w:rFonts w:ascii="Arial" w:hAnsi="Arial" w:cs="Arial"/>
          <w:sz w:val="19"/>
          <w:szCs w:val="19"/>
        </w:rPr>
        <w:footnoteRef/>
      </w:r>
      <w:r w:rsidRPr="0047443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48259F0B" w14:textId="77777777" w:rsidR="00D626A3" w:rsidRPr="00474434" w:rsidRDefault="00D626A3" w:rsidP="00881742">
      <w:pPr>
        <w:pStyle w:val="Textonotapie"/>
        <w:spacing w:after="0" w:line="240" w:lineRule="auto"/>
        <w:ind w:firstLine="709"/>
        <w:rPr>
          <w:rFonts w:ascii="Arial" w:hAnsi="Arial" w:cs="Arial"/>
          <w:sz w:val="19"/>
          <w:szCs w:val="19"/>
          <w:lang w:val="es-CO"/>
        </w:rPr>
      </w:pPr>
    </w:p>
  </w:footnote>
  <w:footnote w:id="4">
    <w:p w14:paraId="7412ACEF" w14:textId="665355F1" w:rsidR="00883662" w:rsidRPr="00474434" w:rsidRDefault="00883662" w:rsidP="00474434">
      <w:pPr>
        <w:pStyle w:val="Textonotapie"/>
        <w:spacing w:after="0" w:line="240" w:lineRule="auto"/>
        <w:ind w:firstLine="709"/>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Consejo de Estado, Sala de Consulta y Servicio Civil de </w:t>
      </w:r>
      <w:proofErr w:type="gramStart"/>
      <w:r w:rsidRPr="00474434">
        <w:rPr>
          <w:rFonts w:ascii="Arial" w:hAnsi="Arial" w:cs="Arial"/>
          <w:sz w:val="19"/>
          <w:szCs w:val="19"/>
        </w:rPr>
        <w:t>fecha  24</w:t>
      </w:r>
      <w:proofErr w:type="gramEnd"/>
      <w:r w:rsidRPr="00474434">
        <w:rPr>
          <w:rFonts w:ascii="Arial" w:hAnsi="Arial" w:cs="Arial"/>
          <w:sz w:val="19"/>
          <w:szCs w:val="19"/>
        </w:rPr>
        <w:t xml:space="preserve"> de julio de 2013, radicado 2166, Consejero Ponente Álvaro </w:t>
      </w:r>
      <w:proofErr w:type="spellStart"/>
      <w:r w:rsidRPr="00474434">
        <w:rPr>
          <w:rFonts w:ascii="Arial" w:hAnsi="Arial" w:cs="Arial"/>
          <w:sz w:val="19"/>
          <w:szCs w:val="19"/>
        </w:rPr>
        <w:t>Namén</w:t>
      </w:r>
      <w:proofErr w:type="spellEnd"/>
      <w:r w:rsidRPr="00474434">
        <w:rPr>
          <w:rFonts w:ascii="Arial" w:hAnsi="Arial" w:cs="Arial"/>
          <w:sz w:val="19"/>
          <w:szCs w:val="19"/>
        </w:rPr>
        <w:t xml:space="preserve"> Vargas.  </w:t>
      </w:r>
    </w:p>
    <w:p w14:paraId="2614DC70" w14:textId="77777777" w:rsidR="00D626A3" w:rsidRPr="007F5F3B" w:rsidRDefault="00D626A3" w:rsidP="00881742">
      <w:pPr>
        <w:pStyle w:val="Textonotapie"/>
        <w:spacing w:after="0" w:line="240" w:lineRule="auto"/>
        <w:ind w:firstLine="709"/>
        <w:rPr>
          <w:rFonts w:ascii="Arial" w:hAnsi="Arial" w:cs="Arial"/>
          <w:sz w:val="19"/>
          <w:szCs w:val="19"/>
          <w:lang w:val="es-CO"/>
        </w:rPr>
      </w:pPr>
    </w:p>
  </w:footnote>
  <w:footnote w:id="5">
    <w:p w14:paraId="775A205E" w14:textId="77777777" w:rsidR="0022085C" w:rsidRPr="00474434" w:rsidRDefault="0022085C" w:rsidP="00474434">
      <w:pPr>
        <w:spacing w:after="0" w:line="240" w:lineRule="auto"/>
        <w:ind w:firstLine="708"/>
        <w:rPr>
          <w:rFonts w:ascii="Arial" w:eastAsia="Times New Roman"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w:t>
      </w:r>
      <w:bookmarkStart w:id="3" w:name="33"/>
      <w:r w:rsidRPr="00474434">
        <w:rPr>
          <w:rFonts w:ascii="Arial" w:eastAsia="Calibri" w:hAnsi="Arial" w:cs="Arial"/>
          <w:bCs/>
          <w:color w:val="000000"/>
          <w:sz w:val="19"/>
          <w:szCs w:val="19"/>
        </w:rPr>
        <w:t>«</w:t>
      </w:r>
      <w:r w:rsidRPr="007F5F3B">
        <w:rPr>
          <w:rFonts w:ascii="Arial" w:eastAsia="Times New Roman" w:hAnsi="Arial" w:cs="Arial"/>
          <w:sz w:val="19"/>
          <w:szCs w:val="19"/>
        </w:rPr>
        <w:t>Artículo 33. Restricciones a la contratación pública.</w:t>
      </w:r>
      <w:bookmarkEnd w:id="3"/>
      <w:r w:rsidRPr="007F5F3B">
        <w:rPr>
          <w:rFonts w:ascii="Arial" w:eastAsia="Times New Roman" w:hAnsi="Arial" w:cs="Arial"/>
          <w:sz w:val="19"/>
          <w:szCs w:val="19"/>
        </w:rPr>
        <w:t> Durante los cu</w:t>
      </w:r>
      <w:r w:rsidRPr="008E55D9">
        <w:rPr>
          <w:rFonts w:ascii="Arial" w:eastAsia="Times New Roman" w:hAnsi="Arial" w:cs="Arial"/>
          <w:sz w:val="19"/>
          <w:szCs w:val="19"/>
        </w:rPr>
        <w:t>atro (4) meses anteriores a la elección presidencial y hasta la realización de la elección en la segunda vuelta, si fuere el caso, queda prohibida la contratación directa por parte de todos los entes del Estado.</w:t>
      </w:r>
    </w:p>
    <w:p w14:paraId="5798A87D" w14:textId="77777777" w:rsidR="0022085C" w:rsidRPr="00474434" w:rsidRDefault="0022085C" w:rsidP="00474434">
      <w:pPr>
        <w:spacing w:after="0" w:line="240" w:lineRule="auto"/>
        <w:ind w:firstLine="708"/>
        <w:rPr>
          <w:rFonts w:ascii="Arial" w:eastAsia="Times New Roman" w:hAnsi="Arial" w:cs="Arial"/>
          <w:sz w:val="19"/>
          <w:szCs w:val="19"/>
        </w:rPr>
      </w:pPr>
      <w:proofErr w:type="gramStart"/>
      <w:r w:rsidRPr="00474434">
        <w:rPr>
          <w:rFonts w:ascii="Arial" w:eastAsia="Calibri" w:hAnsi="Arial" w:cs="Arial"/>
          <w:bCs/>
          <w:color w:val="000000"/>
          <w:sz w:val="19"/>
          <w:szCs w:val="19"/>
        </w:rPr>
        <w:t>»</w:t>
      </w:r>
      <w:r w:rsidRPr="00474434">
        <w:rPr>
          <w:rFonts w:ascii="Arial" w:eastAsia="Times New Roman" w:hAnsi="Arial" w:cs="Arial"/>
          <w:sz w:val="19"/>
          <w:szCs w:val="19"/>
        </w:rPr>
        <w:t>Queda</w:t>
      </w:r>
      <w:proofErr w:type="gramEnd"/>
      <w:r w:rsidRPr="00474434">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74434">
        <w:rPr>
          <w:rFonts w:ascii="Arial" w:eastAsia="Calibri" w:hAnsi="Arial" w:cs="Arial"/>
          <w:bCs/>
          <w:color w:val="000000"/>
          <w:sz w:val="19"/>
          <w:szCs w:val="19"/>
        </w:rPr>
        <w:t>»</w:t>
      </w:r>
      <w:r w:rsidRPr="00474434">
        <w:rPr>
          <w:rFonts w:ascii="Arial" w:eastAsia="Times New Roman" w:hAnsi="Arial" w:cs="Arial"/>
          <w:sz w:val="19"/>
          <w:szCs w:val="19"/>
        </w:rPr>
        <w:t>.</w:t>
      </w:r>
    </w:p>
    <w:p w14:paraId="1684A472" w14:textId="77777777" w:rsidR="0022085C" w:rsidRPr="00474434" w:rsidRDefault="0022085C" w:rsidP="00881742">
      <w:pPr>
        <w:pStyle w:val="Textonotapie"/>
        <w:spacing w:after="0" w:line="240" w:lineRule="auto"/>
        <w:rPr>
          <w:rFonts w:ascii="Arial" w:hAnsi="Arial" w:cs="Arial"/>
          <w:sz w:val="19"/>
          <w:szCs w:val="19"/>
          <w:lang w:val="es-CO"/>
        </w:rPr>
      </w:pPr>
    </w:p>
  </w:footnote>
  <w:footnote w:id="6">
    <w:p w14:paraId="79A56581" w14:textId="77777777" w:rsidR="0022085C" w:rsidRPr="00474434" w:rsidRDefault="0022085C" w:rsidP="00881742">
      <w:pPr>
        <w:pStyle w:val="NormalWeb"/>
        <w:spacing w:before="0" w:beforeAutospacing="0" w:after="0" w:afterAutospacing="0" w:line="240" w:lineRule="auto"/>
        <w:ind w:firstLine="708"/>
        <w:rPr>
          <w:rFonts w:ascii="Arial" w:hAnsi="Arial" w:cs="Arial"/>
          <w:sz w:val="19"/>
          <w:szCs w:val="19"/>
          <w:lang w:val="es-MX"/>
        </w:rPr>
      </w:pPr>
      <w:r w:rsidRPr="00474434">
        <w:rPr>
          <w:rStyle w:val="Refdenotaalpie"/>
          <w:rFonts w:ascii="Arial" w:hAnsi="Arial" w:cs="Arial"/>
          <w:sz w:val="19"/>
          <w:szCs w:val="19"/>
        </w:rPr>
        <w:footnoteRef/>
      </w:r>
      <w:r w:rsidRPr="00474434">
        <w:rPr>
          <w:rFonts w:ascii="Arial" w:hAnsi="Arial" w:cs="Arial"/>
          <w:sz w:val="19"/>
          <w:szCs w:val="19"/>
        </w:rPr>
        <w:t xml:space="preserve"> </w:t>
      </w:r>
      <w:bookmarkStart w:id="4" w:name="38"/>
      <w:r w:rsidRPr="00474434">
        <w:rPr>
          <w:rFonts w:ascii="Arial" w:eastAsia="Calibri" w:hAnsi="Arial" w:cs="Arial"/>
          <w:bCs/>
          <w:color w:val="000000"/>
          <w:sz w:val="19"/>
          <w:szCs w:val="19"/>
        </w:rPr>
        <w:t>«</w:t>
      </w:r>
      <w:r w:rsidRPr="007F5F3B">
        <w:rPr>
          <w:rFonts w:ascii="Arial" w:hAnsi="Arial" w:cs="Arial"/>
          <w:sz w:val="19"/>
          <w:szCs w:val="19"/>
          <w:lang w:val="es-MX"/>
        </w:rPr>
        <w:t xml:space="preserve">Artículo 38. Prohibiciones para los servidores </w:t>
      </w:r>
      <w:r w:rsidRPr="008E55D9">
        <w:rPr>
          <w:rFonts w:ascii="Arial" w:hAnsi="Arial" w:cs="Arial"/>
          <w:sz w:val="19"/>
          <w:szCs w:val="19"/>
          <w:lang w:val="es-MX"/>
        </w:rPr>
        <w:t>públicos. A los empleados del Estado les está prohibido:</w:t>
      </w:r>
      <w:bookmarkEnd w:id="4"/>
    </w:p>
    <w:p w14:paraId="5933F9A0" w14:textId="77777777" w:rsidR="0022085C" w:rsidRPr="00474434" w:rsidRDefault="0022085C" w:rsidP="00881742">
      <w:pPr>
        <w:pStyle w:val="NormalWeb"/>
        <w:spacing w:before="0" w:beforeAutospacing="0" w:after="0" w:afterAutospacing="0" w:line="240" w:lineRule="auto"/>
        <w:ind w:firstLine="708"/>
        <w:rPr>
          <w:rFonts w:ascii="Arial" w:hAnsi="Arial" w:cs="Arial"/>
          <w:sz w:val="19"/>
          <w:szCs w:val="19"/>
          <w:lang w:val="es-MX"/>
        </w:rPr>
      </w:pPr>
      <w:r w:rsidRPr="00474434">
        <w:rPr>
          <w:rFonts w:ascii="Arial" w:eastAsia="Calibri" w:hAnsi="Arial" w:cs="Arial"/>
          <w:bCs/>
          <w:color w:val="000000"/>
          <w:sz w:val="19"/>
          <w:szCs w:val="19"/>
        </w:rPr>
        <w:t>»</w:t>
      </w:r>
      <w:r w:rsidRPr="00474434">
        <w:rPr>
          <w:rFonts w:ascii="Arial" w:hAnsi="Arial" w:cs="Arial"/>
          <w:sz w:val="19"/>
          <w:szCs w:val="19"/>
          <w:lang w:val="es-MX"/>
        </w:rPr>
        <w:t xml:space="preserve"> […]</w:t>
      </w:r>
    </w:p>
    <w:p w14:paraId="39FC6164" w14:textId="77777777" w:rsidR="0022085C" w:rsidRPr="00474434" w:rsidRDefault="0022085C" w:rsidP="00881742">
      <w:pPr>
        <w:pStyle w:val="NormalWeb"/>
        <w:spacing w:before="0" w:beforeAutospacing="0" w:after="0" w:afterAutospacing="0" w:line="240" w:lineRule="auto"/>
        <w:ind w:firstLine="708"/>
        <w:rPr>
          <w:rFonts w:ascii="Arial" w:hAnsi="Arial" w:cs="Arial"/>
          <w:sz w:val="19"/>
          <w:szCs w:val="19"/>
          <w:lang w:val="es-MX"/>
        </w:rPr>
      </w:pPr>
      <w:proofErr w:type="gramStart"/>
      <w:r w:rsidRPr="00474434">
        <w:rPr>
          <w:rFonts w:ascii="Arial" w:eastAsia="Calibri" w:hAnsi="Arial" w:cs="Arial"/>
          <w:bCs/>
          <w:color w:val="000000"/>
          <w:sz w:val="19"/>
          <w:szCs w:val="19"/>
        </w:rPr>
        <w:t>»</w:t>
      </w:r>
      <w:r w:rsidRPr="00474434">
        <w:rPr>
          <w:rStyle w:val="baj"/>
          <w:rFonts w:ascii="Arial" w:hAnsi="Arial" w:cs="Arial"/>
          <w:sz w:val="19"/>
          <w:szCs w:val="19"/>
          <w:lang w:val="es-MX"/>
        </w:rPr>
        <w:t>Parágrafo</w:t>
      </w:r>
      <w:proofErr w:type="gramEnd"/>
      <w:r w:rsidRPr="00474434">
        <w:rPr>
          <w:rStyle w:val="baj"/>
          <w:rFonts w:ascii="Arial" w:hAnsi="Arial" w:cs="Arial"/>
          <w:sz w:val="19"/>
          <w:szCs w:val="19"/>
          <w:lang w:val="es-MX"/>
        </w:rPr>
        <w:t>.</w:t>
      </w:r>
      <w:r w:rsidRPr="00474434">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74434">
        <w:rPr>
          <w:rFonts w:ascii="Arial" w:eastAsia="Calibri" w:hAnsi="Arial" w:cs="Arial"/>
          <w:bCs/>
          <w:color w:val="000000"/>
          <w:sz w:val="19"/>
          <w:szCs w:val="19"/>
        </w:rPr>
        <w:t>»</w:t>
      </w:r>
      <w:r w:rsidRPr="00474434">
        <w:rPr>
          <w:rFonts w:ascii="Arial" w:hAnsi="Arial" w:cs="Arial"/>
          <w:sz w:val="19"/>
          <w:szCs w:val="19"/>
          <w:lang w:val="es-MX"/>
        </w:rPr>
        <w:t>.</w:t>
      </w:r>
    </w:p>
    <w:p w14:paraId="2231133F" w14:textId="77777777" w:rsidR="0022085C" w:rsidRPr="00881742" w:rsidRDefault="0022085C" w:rsidP="00881742">
      <w:pPr>
        <w:pStyle w:val="Textonotapie"/>
        <w:spacing w:after="0" w:line="240" w:lineRule="auto"/>
        <w:rPr>
          <w:rFonts w:ascii="Arial" w:hAnsi="Arial" w:cs="Arial"/>
          <w:sz w:val="19"/>
          <w:szCs w:val="19"/>
          <w:lang w:val="es-CO"/>
        </w:rPr>
      </w:pPr>
    </w:p>
  </w:footnote>
  <w:footnote w:id="7">
    <w:p w14:paraId="4FBC0A2A" w14:textId="77777777" w:rsidR="0022085C" w:rsidRPr="00474434" w:rsidRDefault="0022085C" w:rsidP="00881742">
      <w:pPr>
        <w:spacing w:after="0" w:line="240" w:lineRule="auto"/>
        <w:ind w:left="100" w:right="244" w:firstLine="707"/>
        <w:rPr>
          <w:rFonts w:ascii="Arial" w:hAnsi="Arial" w:cs="Arial"/>
          <w:sz w:val="19"/>
          <w:szCs w:val="19"/>
          <w:lang w:val="es-ES"/>
        </w:rPr>
      </w:pPr>
      <w:r w:rsidRPr="00474434">
        <w:rPr>
          <w:rStyle w:val="Refdenotaalpie"/>
          <w:rFonts w:ascii="Arial" w:hAnsi="Arial" w:cs="Arial"/>
          <w:sz w:val="19"/>
          <w:szCs w:val="19"/>
        </w:rPr>
        <w:footnoteRef/>
      </w:r>
      <w:r w:rsidRPr="00474434">
        <w:rPr>
          <w:rFonts w:ascii="Arial" w:hAnsi="Arial" w:cs="Arial"/>
          <w:sz w:val="19"/>
          <w:szCs w:val="19"/>
        </w:rPr>
        <w:t xml:space="preserve"> Consejo de Estado. Sala de Consulta y Servicio Civil. Concepto del 17 de febrero de 2015. C.P. William Zambrano Cetina. Radicación No. 11001-03-06-000-2015-00164-00(2269).</w:t>
      </w:r>
    </w:p>
    <w:p w14:paraId="7BDEC286" w14:textId="77777777" w:rsidR="0022085C" w:rsidRPr="007F5F3B" w:rsidRDefault="0022085C" w:rsidP="00881742">
      <w:pPr>
        <w:pStyle w:val="Textonotapie"/>
        <w:spacing w:after="0" w:line="240" w:lineRule="auto"/>
        <w:rPr>
          <w:rFonts w:ascii="Arial" w:hAnsi="Arial" w:cs="Arial"/>
          <w:sz w:val="19"/>
          <w:szCs w:val="19"/>
          <w:lang w:val="es-CO"/>
        </w:rPr>
      </w:pPr>
    </w:p>
  </w:footnote>
  <w:footnote w:id="8">
    <w:p w14:paraId="64E14FAD" w14:textId="1B49BDCF" w:rsidR="004A486C" w:rsidRDefault="004A486C" w:rsidP="00474434">
      <w:pPr>
        <w:pStyle w:val="Textonotapie"/>
        <w:spacing w:after="0" w:line="240" w:lineRule="auto"/>
        <w:ind w:firstLine="709"/>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Términos y Condiciones de Uso de la Tienda Virtual del Estado Colombiano, acápite I.</w:t>
      </w:r>
    </w:p>
    <w:p w14:paraId="77037681" w14:textId="77777777" w:rsidR="00474434" w:rsidRPr="00474434" w:rsidRDefault="00474434" w:rsidP="00881742">
      <w:pPr>
        <w:pStyle w:val="Textonotapie"/>
        <w:spacing w:after="0" w:line="240" w:lineRule="auto"/>
        <w:ind w:firstLine="709"/>
        <w:rPr>
          <w:rFonts w:ascii="Arial" w:hAnsi="Arial" w:cs="Arial"/>
          <w:sz w:val="19"/>
          <w:szCs w:val="19"/>
          <w:lang w:val="es-CO"/>
        </w:rPr>
      </w:pPr>
    </w:p>
  </w:footnote>
  <w:footnote w:id="9">
    <w:p w14:paraId="3F928AAC" w14:textId="7DFD6B72" w:rsidR="00C24CB7" w:rsidRPr="007F5F3B" w:rsidRDefault="00C24CB7" w:rsidP="00881742">
      <w:pPr>
        <w:spacing w:after="0" w:line="240" w:lineRule="auto"/>
        <w:ind w:right="111" w:firstLine="709"/>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Ley 1150 de 2007, artículo 2, numeral 2, literal a: </w:t>
      </w:r>
      <w:r w:rsidR="00031D2D">
        <w:rPr>
          <w:rFonts w:ascii="Arial" w:hAnsi="Arial" w:cs="Arial"/>
          <w:sz w:val="19"/>
          <w:szCs w:val="19"/>
        </w:rPr>
        <w:t>«</w:t>
      </w:r>
      <w:r w:rsidRPr="00474434">
        <w:rPr>
          <w:rFonts w:ascii="Arial" w:hAnsi="Arial" w:cs="Arial"/>
          <w:sz w:val="19"/>
          <w:szCs w:val="19"/>
        </w:rPr>
        <w:t>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73DECACA" w14:textId="2C0FD505" w:rsidR="00C24CB7" w:rsidRPr="00474434" w:rsidRDefault="005A32AF" w:rsidP="00474434">
      <w:pPr>
        <w:spacing w:after="0" w:line="240" w:lineRule="auto"/>
        <w:ind w:left="180" w:firstLine="709"/>
        <w:rPr>
          <w:rFonts w:ascii="Arial" w:hAnsi="Arial" w:cs="Arial"/>
          <w:sz w:val="19"/>
          <w:szCs w:val="19"/>
        </w:rPr>
      </w:pPr>
      <w:r w:rsidRPr="00474434">
        <w:rPr>
          <w:rFonts w:ascii="Arial" w:hAnsi="Arial" w:cs="Arial"/>
          <w:sz w:val="19"/>
          <w:szCs w:val="19"/>
        </w:rPr>
        <w:t>[…]</w:t>
      </w:r>
    </w:p>
    <w:p w14:paraId="0D3424C4" w14:textId="09A11737" w:rsidR="00C24CB7" w:rsidRPr="007F5F3B" w:rsidRDefault="00031D2D" w:rsidP="00474434">
      <w:pPr>
        <w:spacing w:after="0" w:line="240" w:lineRule="auto"/>
        <w:ind w:left="180" w:firstLine="709"/>
        <w:rPr>
          <w:rFonts w:ascii="Arial" w:hAnsi="Arial" w:cs="Arial"/>
          <w:sz w:val="19"/>
          <w:szCs w:val="19"/>
        </w:rPr>
      </w:pPr>
      <w:proofErr w:type="gramStart"/>
      <w:r>
        <w:rPr>
          <w:rFonts w:ascii="Arial" w:hAnsi="Arial" w:cs="Arial"/>
          <w:sz w:val="19"/>
          <w:szCs w:val="19"/>
        </w:rPr>
        <w:t>»</w:t>
      </w:r>
      <w:r w:rsidR="00C24CB7" w:rsidRPr="007F5F3B">
        <w:rPr>
          <w:rFonts w:ascii="Arial" w:hAnsi="Arial" w:cs="Arial"/>
          <w:sz w:val="19"/>
          <w:szCs w:val="19"/>
        </w:rPr>
        <w:t>Serán</w:t>
      </w:r>
      <w:proofErr w:type="gramEnd"/>
      <w:r w:rsidR="00C24CB7" w:rsidRPr="007F5F3B">
        <w:rPr>
          <w:rFonts w:ascii="Arial" w:hAnsi="Arial" w:cs="Arial"/>
          <w:sz w:val="19"/>
          <w:szCs w:val="19"/>
        </w:rPr>
        <w:t xml:space="preserve"> causales de selección abreviada las siguientes:</w:t>
      </w:r>
    </w:p>
    <w:p w14:paraId="7085D40B" w14:textId="7E0FFEA7" w:rsidR="00C24CB7" w:rsidRPr="00474434" w:rsidRDefault="005A32AF" w:rsidP="007F5F3B">
      <w:pPr>
        <w:pStyle w:val="Textonotapie"/>
        <w:spacing w:after="0" w:line="240" w:lineRule="auto"/>
        <w:ind w:firstLine="709"/>
        <w:rPr>
          <w:rFonts w:ascii="Arial" w:hAnsi="Arial" w:cs="Arial"/>
          <w:sz w:val="19"/>
          <w:szCs w:val="19"/>
          <w:lang w:val="es-CO"/>
        </w:rPr>
      </w:pPr>
      <w:r w:rsidRPr="007F5F3B">
        <w:rPr>
          <w:rFonts w:ascii="Arial" w:hAnsi="Arial" w:cs="Arial"/>
          <w:sz w:val="19"/>
          <w:szCs w:val="19"/>
        </w:rPr>
        <w:t xml:space="preserve">   </w:t>
      </w:r>
      <w:proofErr w:type="gramStart"/>
      <w:r w:rsidR="00031D2D">
        <w:rPr>
          <w:rFonts w:ascii="Arial" w:hAnsi="Arial" w:cs="Arial"/>
          <w:sz w:val="19"/>
          <w:szCs w:val="19"/>
        </w:rPr>
        <w:t>»</w:t>
      </w:r>
      <w:r w:rsidR="00C24CB7" w:rsidRPr="007F5F3B">
        <w:rPr>
          <w:rFonts w:ascii="Arial" w:hAnsi="Arial" w:cs="Arial"/>
          <w:sz w:val="19"/>
          <w:szCs w:val="19"/>
        </w:rPr>
        <w:t>a</w:t>
      </w:r>
      <w:proofErr w:type="gramEnd"/>
      <w:r w:rsidR="00C24CB7" w:rsidRPr="007F5F3B">
        <w:rPr>
          <w:rFonts w:ascii="Arial" w:hAnsi="Arial" w:cs="Arial"/>
          <w:sz w:val="19"/>
          <w:szCs w:val="19"/>
        </w:rPr>
        <w:t>)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w:t>
      </w:r>
      <w:r w:rsidR="00C24CB7" w:rsidRPr="00474434">
        <w:rPr>
          <w:rFonts w:ascii="Arial" w:hAnsi="Arial" w:cs="Arial"/>
          <w:sz w:val="19"/>
          <w:szCs w:val="19"/>
        </w:rPr>
        <w:t>as, y comparten patrones de desempeño y calidad objetivamente definidos</w:t>
      </w:r>
      <w:r w:rsidR="00031D2D">
        <w:rPr>
          <w:rFonts w:ascii="Arial" w:hAnsi="Arial" w:cs="Arial"/>
          <w:sz w:val="19"/>
          <w:szCs w:val="19"/>
        </w:rPr>
        <w:t>»</w:t>
      </w:r>
      <w:r w:rsidR="00C24CB7" w:rsidRPr="00474434">
        <w:rPr>
          <w:rFonts w:ascii="Arial" w:hAnsi="Arial" w:cs="Arial"/>
          <w:sz w:val="19"/>
          <w:szCs w:val="19"/>
        </w:rPr>
        <w:t>.</w:t>
      </w:r>
    </w:p>
  </w:footnote>
  <w:footnote w:id="10">
    <w:p w14:paraId="7DA8FA01" w14:textId="3CA12C63" w:rsidR="00186D8E" w:rsidRDefault="00186D8E" w:rsidP="00474434">
      <w:pPr>
        <w:spacing w:after="0" w:line="240" w:lineRule="auto"/>
        <w:ind w:left="119" w:right="119" w:firstLine="709"/>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Informe de Ponencia para segundo debate al proyecto de Ley número 057 de 2006 Cámara, 020 de 2005 Senado. Publicado en la Gaceta del Congreso No. 96 de 2007.</w:t>
      </w:r>
    </w:p>
    <w:p w14:paraId="0E3095C7" w14:textId="77777777" w:rsidR="00031D2D" w:rsidRPr="00474434" w:rsidRDefault="00031D2D" w:rsidP="00881742">
      <w:pPr>
        <w:spacing w:after="0" w:line="240" w:lineRule="auto"/>
        <w:ind w:left="119" w:right="119" w:firstLine="709"/>
        <w:rPr>
          <w:rFonts w:ascii="Arial" w:hAnsi="Arial" w:cs="Arial"/>
          <w:sz w:val="19"/>
          <w:szCs w:val="19"/>
          <w:lang w:val="es-CO"/>
        </w:rPr>
      </w:pPr>
    </w:p>
  </w:footnote>
  <w:footnote w:id="11">
    <w:p w14:paraId="568BFD96" w14:textId="77777777" w:rsidR="00186D8E" w:rsidRPr="007F5F3B" w:rsidRDefault="00186D8E" w:rsidP="00881742">
      <w:pPr>
        <w:spacing w:after="0" w:line="240" w:lineRule="auto"/>
        <w:ind w:left="119" w:right="119" w:firstLine="709"/>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Consejo de Estado. Sección Tercera, Subsección C. Sentencia del 4 de septiembre de 2015, C.P. Jaime Orlando Santofimio, Rad. 2015-00103-00 (54549).</w:t>
      </w:r>
    </w:p>
    <w:p w14:paraId="538C3BAF" w14:textId="77777777" w:rsidR="00186D8E" w:rsidRPr="00474434" w:rsidRDefault="00186D8E" w:rsidP="00881742">
      <w:pPr>
        <w:pStyle w:val="Textonotapie"/>
        <w:spacing w:after="0" w:line="240" w:lineRule="auto"/>
        <w:ind w:left="119" w:right="119" w:firstLine="709"/>
        <w:rPr>
          <w:rFonts w:ascii="Arial" w:hAnsi="Arial" w:cs="Arial"/>
          <w:sz w:val="19"/>
          <w:szCs w:val="19"/>
          <w:lang w:val="es-CO"/>
        </w:rPr>
      </w:pPr>
    </w:p>
  </w:footnote>
  <w:footnote w:id="12">
    <w:p w14:paraId="52A17393" w14:textId="4D176D44" w:rsidR="00A5584C" w:rsidRPr="00474434" w:rsidRDefault="00A5584C" w:rsidP="00881742">
      <w:pPr>
        <w:spacing w:after="0" w:line="240" w:lineRule="auto"/>
        <w:ind w:left="119" w:right="119" w:firstLine="709"/>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Una vez celebrado el </w:t>
      </w:r>
      <w:r w:rsidR="00055B28" w:rsidRPr="00474434">
        <w:rPr>
          <w:rFonts w:ascii="Arial" w:hAnsi="Arial" w:cs="Arial"/>
          <w:sz w:val="19"/>
          <w:szCs w:val="19"/>
        </w:rPr>
        <w:t>Acuerdo Marco de Precios</w:t>
      </w:r>
      <w:r w:rsidRPr="00474434">
        <w:rPr>
          <w:rFonts w:ascii="Arial" w:hAnsi="Arial" w:cs="Arial"/>
          <w:sz w:val="19"/>
          <w:szCs w:val="19"/>
        </w:rPr>
        <w:t>, la Agencia Nacional de Contratación Pública – Colombia Compra Eficiente – publ</w:t>
      </w:r>
      <w:r w:rsidRPr="007F5F3B">
        <w:rPr>
          <w:rFonts w:ascii="Arial" w:hAnsi="Arial" w:cs="Arial"/>
          <w:sz w:val="19"/>
          <w:szCs w:val="19"/>
        </w:rPr>
        <w:t>ica el catálogo de bienes y servicios de características técnicas uniformes y de común utilización cobijados por el acuerdo.</w:t>
      </w:r>
    </w:p>
    <w:p w14:paraId="16DBA0FA" w14:textId="77777777" w:rsidR="00A5584C" w:rsidRPr="00474434" w:rsidRDefault="00A5584C" w:rsidP="00881742">
      <w:pPr>
        <w:pStyle w:val="Textonotapie"/>
        <w:spacing w:after="0" w:line="240" w:lineRule="auto"/>
        <w:ind w:left="119" w:right="119" w:firstLine="709"/>
        <w:rPr>
          <w:rFonts w:ascii="Arial" w:hAnsi="Arial" w:cs="Arial"/>
          <w:sz w:val="19"/>
          <w:szCs w:val="19"/>
          <w:lang w:val="es-CO"/>
        </w:rPr>
      </w:pPr>
    </w:p>
  </w:footnote>
  <w:footnote w:id="13">
    <w:p w14:paraId="7834D475" w14:textId="1398CCDF" w:rsidR="008F30C9" w:rsidRPr="00474434" w:rsidRDefault="00C24CB7" w:rsidP="00474434">
      <w:pPr>
        <w:spacing w:after="0" w:line="240" w:lineRule="auto"/>
        <w:ind w:firstLine="709"/>
        <w:rPr>
          <w:rFonts w:ascii="Arial" w:hAnsi="Arial" w:cs="Arial"/>
          <w:sz w:val="19"/>
          <w:szCs w:val="19"/>
        </w:rPr>
      </w:pPr>
      <w:r w:rsidRPr="00474434">
        <w:rPr>
          <w:rStyle w:val="Refdenotaalpie"/>
          <w:rFonts w:ascii="Arial" w:hAnsi="Arial" w:cs="Arial"/>
          <w:sz w:val="19"/>
          <w:szCs w:val="19"/>
        </w:rPr>
        <w:footnoteRef/>
      </w:r>
      <w:r w:rsidR="003B4162" w:rsidRPr="00474434">
        <w:rPr>
          <w:rFonts w:ascii="Arial" w:hAnsi="Arial" w:cs="Arial"/>
          <w:sz w:val="19"/>
          <w:szCs w:val="19"/>
        </w:rPr>
        <w:t xml:space="preserve"> </w:t>
      </w:r>
      <w:r w:rsidR="003B4162" w:rsidRPr="00474434">
        <w:rPr>
          <w:rFonts w:ascii="Arial" w:eastAsia="Arial" w:hAnsi="Arial" w:cs="Arial"/>
          <w:sz w:val="19"/>
          <w:szCs w:val="19"/>
          <w:lang w:val="es-ES" w:eastAsia="es-ES" w:bidi="es-ES"/>
        </w:rPr>
        <w:t xml:space="preserve">Decreto 1082 de 2015, </w:t>
      </w:r>
      <w:r w:rsidR="003B4162" w:rsidRPr="00474434">
        <w:rPr>
          <w:rFonts w:ascii="Arial" w:hAnsi="Arial" w:cs="Arial"/>
          <w:sz w:val="19"/>
          <w:szCs w:val="19"/>
        </w:rPr>
        <w:t>a</w:t>
      </w:r>
      <w:r w:rsidR="00A136ED" w:rsidRPr="007F5F3B">
        <w:rPr>
          <w:rFonts w:ascii="Arial" w:hAnsi="Arial" w:cs="Arial"/>
          <w:sz w:val="19"/>
          <w:szCs w:val="19"/>
        </w:rPr>
        <w:t xml:space="preserve">rtículo </w:t>
      </w:r>
      <w:r w:rsidR="00A136ED" w:rsidRPr="007F5F3B">
        <w:rPr>
          <w:rStyle w:val="nfasis"/>
          <w:rFonts w:ascii="Arial" w:hAnsi="Arial" w:cs="Arial"/>
          <w:bCs/>
          <w:i w:val="0"/>
          <w:color w:val="333333"/>
          <w:sz w:val="19"/>
          <w:szCs w:val="19"/>
          <w:shd w:val="clear" w:color="auto" w:fill="FFFFFF"/>
        </w:rPr>
        <w:t>2.2.1.2.1.2.7</w:t>
      </w:r>
      <w:r w:rsidR="008D4B97" w:rsidRPr="008E55D9">
        <w:rPr>
          <w:rStyle w:val="nfasis"/>
          <w:rFonts w:ascii="Arial" w:hAnsi="Arial" w:cs="Arial"/>
          <w:bCs/>
          <w:i w:val="0"/>
          <w:color w:val="333333"/>
          <w:sz w:val="19"/>
          <w:szCs w:val="19"/>
          <w:shd w:val="clear" w:color="auto" w:fill="FFFFFF"/>
        </w:rPr>
        <w:t>.</w:t>
      </w:r>
      <w:r w:rsidR="00A136ED" w:rsidRPr="008E55D9">
        <w:rPr>
          <w:rStyle w:val="nfasis"/>
          <w:rFonts w:ascii="Arial" w:hAnsi="Arial" w:cs="Arial"/>
          <w:bCs/>
          <w:i w:val="0"/>
          <w:color w:val="333333"/>
          <w:sz w:val="19"/>
          <w:szCs w:val="19"/>
          <w:shd w:val="clear" w:color="auto" w:fill="FFFFFF"/>
        </w:rPr>
        <w:t xml:space="preserve"> </w:t>
      </w:r>
      <w:r w:rsidR="008D4B97" w:rsidRPr="008E55D9">
        <w:rPr>
          <w:rFonts w:ascii="Arial" w:hAnsi="Arial" w:cs="Arial"/>
          <w:i/>
          <w:sz w:val="19"/>
          <w:szCs w:val="19"/>
        </w:rPr>
        <w:t>«</w:t>
      </w:r>
      <w:r w:rsidR="008F30C9" w:rsidRPr="008E55D9">
        <w:rPr>
          <w:rFonts w:ascii="Arial" w:hAnsi="Arial" w:cs="Arial"/>
          <w:sz w:val="19"/>
          <w:szCs w:val="19"/>
        </w:rPr>
        <w:t>Las Entidades Estatales sometidas al Estatuto General de Contratación de la Administración Pública, están obligadas a adquirir Bienes y Servicios de Características Técnicas Uniformes de Común Utilización a través de los Acuerdos Marco de Precios previamen</w:t>
      </w:r>
      <w:r w:rsidR="008F30C9" w:rsidRPr="00474434">
        <w:rPr>
          <w:rFonts w:ascii="Arial" w:hAnsi="Arial" w:cs="Arial"/>
          <w:sz w:val="19"/>
          <w:szCs w:val="19"/>
        </w:rPr>
        <w:t xml:space="preserve">te justificados, diseñados, organizados y celebrados por la Agencia Nacional de Contratación Pública -Colombia Compra Eficiente-. </w:t>
      </w:r>
    </w:p>
    <w:p w14:paraId="1A993D91" w14:textId="767C0D34" w:rsidR="00C24CB7" w:rsidRPr="00474434" w:rsidRDefault="008D4B97" w:rsidP="00474434">
      <w:pPr>
        <w:spacing w:after="0" w:line="240" w:lineRule="auto"/>
        <w:ind w:firstLine="709"/>
        <w:rPr>
          <w:rFonts w:ascii="Arial" w:hAnsi="Arial" w:cs="Arial"/>
          <w:color w:val="4D5156"/>
          <w:sz w:val="19"/>
          <w:szCs w:val="19"/>
          <w:shd w:val="clear" w:color="auto" w:fill="FFFFFF"/>
        </w:rPr>
      </w:pPr>
      <w:r w:rsidRPr="00474434">
        <w:rPr>
          <w:rFonts w:ascii="Arial" w:hAnsi="Arial" w:cs="Arial"/>
          <w:color w:val="4D5156"/>
          <w:sz w:val="19"/>
          <w:szCs w:val="19"/>
          <w:shd w:val="clear" w:color="auto" w:fill="FFFFFF"/>
        </w:rPr>
        <w:t>»</w:t>
      </w:r>
      <w:r w:rsidR="008F30C9" w:rsidRPr="00474434">
        <w:rPr>
          <w:rFonts w:ascii="Arial" w:hAnsi="Arial" w:cs="Arial"/>
          <w:sz w:val="19"/>
          <w:szCs w:val="19"/>
        </w:rPr>
        <w:t xml:space="preserve">La implementación de nuevos Acuerdos Marco de Precios organizados y celebrados por la Agencia Nacional de Contratación Pública -Colombia Compra Eficiente- de uso obligatorio por parte de las entidades territoriales, estará precedida de un estudio de agregación de demanda que realizará aquella, el cual tenga en cuenta las particularidades propias de los mercados regionales, la necesidad de promover el desarrollo empresarial en las entidades territoriales a través de las MYPIMES y evitar en lo posible, la concentración de proveedores en ciertas ciudades del país, salvo que exista la respectiva justificación </w:t>
      </w:r>
      <w:r w:rsidRPr="00474434">
        <w:rPr>
          <w:rFonts w:ascii="Arial" w:hAnsi="Arial" w:cs="Arial"/>
          <w:sz w:val="19"/>
          <w:szCs w:val="19"/>
        </w:rPr>
        <w:t>técnica, económica y/o jurídica[…]</w:t>
      </w:r>
      <w:r w:rsidRPr="00474434">
        <w:rPr>
          <w:rFonts w:ascii="Arial" w:hAnsi="Arial" w:cs="Arial"/>
          <w:color w:val="4D5156"/>
          <w:sz w:val="19"/>
          <w:szCs w:val="19"/>
          <w:shd w:val="clear" w:color="auto" w:fill="FFFFFF"/>
        </w:rPr>
        <w:t>»</w:t>
      </w:r>
    </w:p>
    <w:p w14:paraId="457396D3" w14:textId="77777777" w:rsidR="00CC14C5" w:rsidRPr="00474434" w:rsidRDefault="00CC14C5" w:rsidP="007F5F3B">
      <w:pPr>
        <w:spacing w:after="0" w:line="240" w:lineRule="auto"/>
        <w:ind w:firstLine="709"/>
        <w:rPr>
          <w:rFonts w:ascii="Arial" w:hAnsi="Arial" w:cs="Arial"/>
          <w:sz w:val="19"/>
          <w:szCs w:val="19"/>
          <w:lang w:val="es-CO"/>
        </w:rPr>
      </w:pPr>
    </w:p>
  </w:footnote>
  <w:footnote w:id="14">
    <w:p w14:paraId="7727F529" w14:textId="20CF6DA9" w:rsidR="00537D21" w:rsidRPr="00474434" w:rsidRDefault="00537D21" w:rsidP="007F5F3B">
      <w:pPr>
        <w:pStyle w:val="Textonotapie"/>
        <w:spacing w:after="0" w:line="240" w:lineRule="auto"/>
        <w:ind w:firstLine="709"/>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Sin perjuicio de la posibilidad de </w:t>
      </w:r>
      <w:proofErr w:type="gramStart"/>
      <w:r w:rsidRPr="00474434">
        <w:rPr>
          <w:rFonts w:ascii="Arial" w:hAnsi="Arial" w:cs="Arial"/>
          <w:sz w:val="19"/>
          <w:szCs w:val="19"/>
        </w:rPr>
        <w:t>acudir  a</w:t>
      </w:r>
      <w:proofErr w:type="gramEnd"/>
      <w:r w:rsidRPr="00474434">
        <w:rPr>
          <w:rFonts w:ascii="Arial" w:hAnsi="Arial" w:cs="Arial"/>
          <w:sz w:val="19"/>
          <w:szCs w:val="19"/>
        </w:rPr>
        <w:t xml:space="preserve"> </w:t>
      </w:r>
      <w:r w:rsidR="00577DD4" w:rsidRPr="00474434">
        <w:rPr>
          <w:rFonts w:ascii="Arial" w:hAnsi="Arial" w:cs="Arial"/>
          <w:sz w:val="19"/>
          <w:szCs w:val="19"/>
        </w:rPr>
        <w:t xml:space="preserve">su </w:t>
      </w:r>
      <w:r w:rsidRPr="00474434">
        <w:rPr>
          <w:rFonts w:ascii="Arial" w:hAnsi="Arial" w:cs="Arial"/>
          <w:sz w:val="19"/>
          <w:szCs w:val="19"/>
        </w:rPr>
        <w:t xml:space="preserve"> adquisición a través de bolsa de productos</w:t>
      </w:r>
      <w:r w:rsidR="00577DD4" w:rsidRPr="007F5F3B">
        <w:rPr>
          <w:rFonts w:ascii="Arial" w:hAnsi="Arial" w:cs="Arial"/>
          <w:sz w:val="19"/>
          <w:szCs w:val="19"/>
        </w:rPr>
        <w:t xml:space="preserve"> de forma alternativa o s</w:t>
      </w:r>
      <w:r w:rsidR="00577DD4" w:rsidRPr="00474434">
        <w:rPr>
          <w:rFonts w:ascii="Arial" w:hAnsi="Arial" w:cs="Arial"/>
          <w:sz w:val="19"/>
          <w:szCs w:val="19"/>
        </w:rPr>
        <w:t>ubsidiaria, conforme a las previsiones del artículo 2.2.1.2.1.2.12. del Decreto 1082 de 2015.</w:t>
      </w:r>
    </w:p>
    <w:p w14:paraId="7E6DF704" w14:textId="77777777" w:rsidR="00CC14C5" w:rsidRPr="00474434" w:rsidRDefault="00CC14C5">
      <w:pPr>
        <w:pStyle w:val="Textonotapie"/>
        <w:spacing w:after="0" w:line="240" w:lineRule="auto"/>
        <w:ind w:firstLine="709"/>
        <w:rPr>
          <w:rFonts w:ascii="Arial" w:hAnsi="Arial" w:cs="Arial"/>
          <w:sz w:val="19"/>
          <w:szCs w:val="19"/>
          <w:lang w:val="es-CO"/>
        </w:rPr>
      </w:pPr>
    </w:p>
  </w:footnote>
  <w:footnote w:id="15">
    <w:p w14:paraId="33E589BE" w14:textId="3713C4BB" w:rsidR="00537D21" w:rsidRPr="007F5F3B" w:rsidRDefault="00537D21">
      <w:pPr>
        <w:pStyle w:val="Textonotapie"/>
        <w:spacing w:after="0" w:line="240" w:lineRule="auto"/>
        <w:ind w:firstLine="709"/>
        <w:rPr>
          <w:rFonts w:ascii="Arial" w:hAnsi="Arial" w:cs="Arial"/>
          <w:sz w:val="19"/>
          <w:szCs w:val="19"/>
          <w:lang w:val="es-CO"/>
        </w:rPr>
      </w:pPr>
      <w:r w:rsidRPr="00474434">
        <w:rPr>
          <w:rStyle w:val="Refdenotaalpie"/>
          <w:rFonts w:ascii="Arial" w:hAnsi="Arial" w:cs="Arial"/>
          <w:sz w:val="19"/>
          <w:szCs w:val="19"/>
        </w:rPr>
        <w:footnoteRef/>
      </w:r>
      <w:r w:rsidRPr="00474434">
        <w:rPr>
          <w:rFonts w:ascii="Arial" w:hAnsi="Arial" w:cs="Arial"/>
          <w:sz w:val="19"/>
          <w:szCs w:val="19"/>
        </w:rPr>
        <w:t xml:space="preserve"> Teniendo en cuenta que el ordenamiento jurídico anteriormente establecía la obligatoriedad de los Acuerdos Marco de Precios solo para las Entidades de la Rama Ejecutiva.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3"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0"/>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3"/>
    <w:lvlOverride w:ilvl="0">
      <w:startOverride w:val="1"/>
    </w:lvlOverride>
  </w:num>
  <w:num w:numId="10">
    <w:abstractNumId w:val="13"/>
  </w:num>
  <w:num w:numId="11">
    <w:abstractNumId w:val="4"/>
  </w:num>
  <w:num w:numId="12">
    <w:abstractNumId w:val="1"/>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68F"/>
    <w:rsid w:val="0000404B"/>
    <w:rsid w:val="0000645E"/>
    <w:rsid w:val="0000682D"/>
    <w:rsid w:val="000105E2"/>
    <w:rsid w:val="00011726"/>
    <w:rsid w:val="000123BA"/>
    <w:rsid w:val="000126BB"/>
    <w:rsid w:val="00012A1B"/>
    <w:rsid w:val="000136DC"/>
    <w:rsid w:val="00016F33"/>
    <w:rsid w:val="00016FAC"/>
    <w:rsid w:val="0001726A"/>
    <w:rsid w:val="0001794A"/>
    <w:rsid w:val="0001795B"/>
    <w:rsid w:val="00020801"/>
    <w:rsid w:val="00024BE5"/>
    <w:rsid w:val="00026AD9"/>
    <w:rsid w:val="000271AD"/>
    <w:rsid w:val="00027940"/>
    <w:rsid w:val="00027F74"/>
    <w:rsid w:val="000303EC"/>
    <w:rsid w:val="0003041B"/>
    <w:rsid w:val="00031D2D"/>
    <w:rsid w:val="00034F55"/>
    <w:rsid w:val="000365C0"/>
    <w:rsid w:val="00037112"/>
    <w:rsid w:val="000503A1"/>
    <w:rsid w:val="00051590"/>
    <w:rsid w:val="0005275D"/>
    <w:rsid w:val="00054C6E"/>
    <w:rsid w:val="00054E46"/>
    <w:rsid w:val="00055B28"/>
    <w:rsid w:val="00056024"/>
    <w:rsid w:val="00057953"/>
    <w:rsid w:val="00061727"/>
    <w:rsid w:val="0006293E"/>
    <w:rsid w:val="00063E52"/>
    <w:rsid w:val="0006625D"/>
    <w:rsid w:val="00070770"/>
    <w:rsid w:val="00070A22"/>
    <w:rsid w:val="00071D6E"/>
    <w:rsid w:val="000743C2"/>
    <w:rsid w:val="0007590A"/>
    <w:rsid w:val="00077D20"/>
    <w:rsid w:val="00077E04"/>
    <w:rsid w:val="00077E1C"/>
    <w:rsid w:val="00080D35"/>
    <w:rsid w:val="00081AF3"/>
    <w:rsid w:val="00081E50"/>
    <w:rsid w:val="0008260E"/>
    <w:rsid w:val="00083BE4"/>
    <w:rsid w:val="00084DC0"/>
    <w:rsid w:val="0008592F"/>
    <w:rsid w:val="00085CC3"/>
    <w:rsid w:val="00086C08"/>
    <w:rsid w:val="00087888"/>
    <w:rsid w:val="00090D35"/>
    <w:rsid w:val="000939E0"/>
    <w:rsid w:val="00093D35"/>
    <w:rsid w:val="000942EB"/>
    <w:rsid w:val="0009651A"/>
    <w:rsid w:val="00096EAB"/>
    <w:rsid w:val="0009712F"/>
    <w:rsid w:val="000972BA"/>
    <w:rsid w:val="000976FD"/>
    <w:rsid w:val="000A15CB"/>
    <w:rsid w:val="000A1B81"/>
    <w:rsid w:val="000A2C01"/>
    <w:rsid w:val="000A5189"/>
    <w:rsid w:val="000A668C"/>
    <w:rsid w:val="000A7E46"/>
    <w:rsid w:val="000B103F"/>
    <w:rsid w:val="000B1C28"/>
    <w:rsid w:val="000B3893"/>
    <w:rsid w:val="000B4FC6"/>
    <w:rsid w:val="000B53D0"/>
    <w:rsid w:val="000B680C"/>
    <w:rsid w:val="000C0B7C"/>
    <w:rsid w:val="000C21BA"/>
    <w:rsid w:val="000C2DD2"/>
    <w:rsid w:val="000C6347"/>
    <w:rsid w:val="000C755D"/>
    <w:rsid w:val="000D0AFA"/>
    <w:rsid w:val="000D28E0"/>
    <w:rsid w:val="000D457E"/>
    <w:rsid w:val="000E1761"/>
    <w:rsid w:val="000E1F13"/>
    <w:rsid w:val="000E68FA"/>
    <w:rsid w:val="000E6962"/>
    <w:rsid w:val="000E6D84"/>
    <w:rsid w:val="000F14E8"/>
    <w:rsid w:val="000F3B04"/>
    <w:rsid w:val="000F6869"/>
    <w:rsid w:val="000F7AE4"/>
    <w:rsid w:val="001015E9"/>
    <w:rsid w:val="001017F1"/>
    <w:rsid w:val="001024CE"/>
    <w:rsid w:val="00102AA1"/>
    <w:rsid w:val="00103915"/>
    <w:rsid w:val="00103D3D"/>
    <w:rsid w:val="001065D1"/>
    <w:rsid w:val="00106AC5"/>
    <w:rsid w:val="00106B75"/>
    <w:rsid w:val="001112CF"/>
    <w:rsid w:val="00111438"/>
    <w:rsid w:val="00111636"/>
    <w:rsid w:val="00112192"/>
    <w:rsid w:val="00112D2F"/>
    <w:rsid w:val="00114236"/>
    <w:rsid w:val="001152BA"/>
    <w:rsid w:val="0011561C"/>
    <w:rsid w:val="001214FF"/>
    <w:rsid w:val="001229C6"/>
    <w:rsid w:val="00122B23"/>
    <w:rsid w:val="00124E73"/>
    <w:rsid w:val="00124EC3"/>
    <w:rsid w:val="00125291"/>
    <w:rsid w:val="00125D4C"/>
    <w:rsid w:val="0012687C"/>
    <w:rsid w:val="0012754A"/>
    <w:rsid w:val="0013045B"/>
    <w:rsid w:val="0013236F"/>
    <w:rsid w:val="001332D0"/>
    <w:rsid w:val="00134030"/>
    <w:rsid w:val="001344AA"/>
    <w:rsid w:val="00137BA1"/>
    <w:rsid w:val="00137FFA"/>
    <w:rsid w:val="00141E84"/>
    <w:rsid w:val="00141F99"/>
    <w:rsid w:val="001425C5"/>
    <w:rsid w:val="001448B5"/>
    <w:rsid w:val="00146E1D"/>
    <w:rsid w:val="001520A3"/>
    <w:rsid w:val="00152609"/>
    <w:rsid w:val="00152C65"/>
    <w:rsid w:val="0015382E"/>
    <w:rsid w:val="001550CF"/>
    <w:rsid w:val="001554A4"/>
    <w:rsid w:val="00156DAF"/>
    <w:rsid w:val="0016135A"/>
    <w:rsid w:val="0016149E"/>
    <w:rsid w:val="00161D78"/>
    <w:rsid w:val="00165EA8"/>
    <w:rsid w:val="0016680A"/>
    <w:rsid w:val="00167B9D"/>
    <w:rsid w:val="00167F0C"/>
    <w:rsid w:val="00170733"/>
    <w:rsid w:val="00170E51"/>
    <w:rsid w:val="00172B2A"/>
    <w:rsid w:val="00172E0A"/>
    <w:rsid w:val="00174107"/>
    <w:rsid w:val="001755EC"/>
    <w:rsid w:val="00175795"/>
    <w:rsid w:val="00177BAA"/>
    <w:rsid w:val="00180B3B"/>
    <w:rsid w:val="00184E93"/>
    <w:rsid w:val="00186253"/>
    <w:rsid w:val="00186D8E"/>
    <w:rsid w:val="001900CF"/>
    <w:rsid w:val="001918D6"/>
    <w:rsid w:val="001939B7"/>
    <w:rsid w:val="001963C6"/>
    <w:rsid w:val="0019745D"/>
    <w:rsid w:val="001A08F7"/>
    <w:rsid w:val="001A0DF1"/>
    <w:rsid w:val="001A0EC0"/>
    <w:rsid w:val="001A26FC"/>
    <w:rsid w:val="001A27D7"/>
    <w:rsid w:val="001A3721"/>
    <w:rsid w:val="001A387A"/>
    <w:rsid w:val="001A3F04"/>
    <w:rsid w:val="001B2EA0"/>
    <w:rsid w:val="001B2F7F"/>
    <w:rsid w:val="001B3306"/>
    <w:rsid w:val="001B464A"/>
    <w:rsid w:val="001B4A46"/>
    <w:rsid w:val="001B528A"/>
    <w:rsid w:val="001B53B4"/>
    <w:rsid w:val="001B59D6"/>
    <w:rsid w:val="001B6044"/>
    <w:rsid w:val="001B686F"/>
    <w:rsid w:val="001B7618"/>
    <w:rsid w:val="001B7DEA"/>
    <w:rsid w:val="001C219D"/>
    <w:rsid w:val="001C33CB"/>
    <w:rsid w:val="001C722C"/>
    <w:rsid w:val="001D0988"/>
    <w:rsid w:val="001D172E"/>
    <w:rsid w:val="001D5E4D"/>
    <w:rsid w:val="001E0042"/>
    <w:rsid w:val="001E008B"/>
    <w:rsid w:val="001E0545"/>
    <w:rsid w:val="001E0849"/>
    <w:rsid w:val="001E1A13"/>
    <w:rsid w:val="001E3E0C"/>
    <w:rsid w:val="001E453C"/>
    <w:rsid w:val="001E4A2B"/>
    <w:rsid w:val="001F0570"/>
    <w:rsid w:val="001F140A"/>
    <w:rsid w:val="001F1AFA"/>
    <w:rsid w:val="001F267A"/>
    <w:rsid w:val="001F2AD0"/>
    <w:rsid w:val="001F3D53"/>
    <w:rsid w:val="001F416A"/>
    <w:rsid w:val="001F55B5"/>
    <w:rsid w:val="001F5E0A"/>
    <w:rsid w:val="001F6AAC"/>
    <w:rsid w:val="001F790E"/>
    <w:rsid w:val="002005CC"/>
    <w:rsid w:val="00200F34"/>
    <w:rsid w:val="00203F1A"/>
    <w:rsid w:val="00204114"/>
    <w:rsid w:val="00204C65"/>
    <w:rsid w:val="00204FCD"/>
    <w:rsid w:val="002059AF"/>
    <w:rsid w:val="00206BC8"/>
    <w:rsid w:val="00211909"/>
    <w:rsid w:val="002135F3"/>
    <w:rsid w:val="002146C0"/>
    <w:rsid w:val="00214A72"/>
    <w:rsid w:val="00215A2F"/>
    <w:rsid w:val="00215CA0"/>
    <w:rsid w:val="00216F1A"/>
    <w:rsid w:val="0021759E"/>
    <w:rsid w:val="0022085C"/>
    <w:rsid w:val="002208DC"/>
    <w:rsid w:val="00220CE5"/>
    <w:rsid w:val="002215FF"/>
    <w:rsid w:val="002236DB"/>
    <w:rsid w:val="00224570"/>
    <w:rsid w:val="0022655C"/>
    <w:rsid w:val="0022678E"/>
    <w:rsid w:val="00227541"/>
    <w:rsid w:val="00233A24"/>
    <w:rsid w:val="0023484E"/>
    <w:rsid w:val="00234B84"/>
    <w:rsid w:val="00235B42"/>
    <w:rsid w:val="00236740"/>
    <w:rsid w:val="00237329"/>
    <w:rsid w:val="00240225"/>
    <w:rsid w:val="00240A06"/>
    <w:rsid w:val="002416BA"/>
    <w:rsid w:val="00244C00"/>
    <w:rsid w:val="002457FD"/>
    <w:rsid w:val="00245C7E"/>
    <w:rsid w:val="00250718"/>
    <w:rsid w:val="00251445"/>
    <w:rsid w:val="00253276"/>
    <w:rsid w:val="00253C1D"/>
    <w:rsid w:val="00254319"/>
    <w:rsid w:val="00254D37"/>
    <w:rsid w:val="002563B9"/>
    <w:rsid w:val="0025685E"/>
    <w:rsid w:val="0025768C"/>
    <w:rsid w:val="00264666"/>
    <w:rsid w:val="00265C96"/>
    <w:rsid w:val="00265CEB"/>
    <w:rsid w:val="00265ED0"/>
    <w:rsid w:val="00266E0C"/>
    <w:rsid w:val="00270234"/>
    <w:rsid w:val="0027071C"/>
    <w:rsid w:val="00272C62"/>
    <w:rsid w:val="00275701"/>
    <w:rsid w:val="00276521"/>
    <w:rsid w:val="00277428"/>
    <w:rsid w:val="00281ED6"/>
    <w:rsid w:val="00283380"/>
    <w:rsid w:val="00284F66"/>
    <w:rsid w:val="00285D7E"/>
    <w:rsid w:val="00285D82"/>
    <w:rsid w:val="00285FED"/>
    <w:rsid w:val="00286660"/>
    <w:rsid w:val="00286A53"/>
    <w:rsid w:val="00287542"/>
    <w:rsid w:val="002877E9"/>
    <w:rsid w:val="0029159E"/>
    <w:rsid w:val="00294801"/>
    <w:rsid w:val="00294EFD"/>
    <w:rsid w:val="0029562E"/>
    <w:rsid w:val="00296D38"/>
    <w:rsid w:val="0029772C"/>
    <w:rsid w:val="002A1031"/>
    <w:rsid w:val="002A4F10"/>
    <w:rsid w:val="002A63F4"/>
    <w:rsid w:val="002B1AAF"/>
    <w:rsid w:val="002B36EB"/>
    <w:rsid w:val="002B4907"/>
    <w:rsid w:val="002B50DA"/>
    <w:rsid w:val="002B7DD1"/>
    <w:rsid w:val="002C087E"/>
    <w:rsid w:val="002C27C5"/>
    <w:rsid w:val="002C2BF2"/>
    <w:rsid w:val="002D3456"/>
    <w:rsid w:val="002D4BB3"/>
    <w:rsid w:val="002D5D70"/>
    <w:rsid w:val="002D7E62"/>
    <w:rsid w:val="002D7F92"/>
    <w:rsid w:val="002E0A18"/>
    <w:rsid w:val="002E1964"/>
    <w:rsid w:val="002E1E7E"/>
    <w:rsid w:val="002E27E0"/>
    <w:rsid w:val="002E6B6F"/>
    <w:rsid w:val="002E74C9"/>
    <w:rsid w:val="002F0800"/>
    <w:rsid w:val="002F3606"/>
    <w:rsid w:val="002F5131"/>
    <w:rsid w:val="002F51E1"/>
    <w:rsid w:val="002F70EB"/>
    <w:rsid w:val="002F779E"/>
    <w:rsid w:val="003033BA"/>
    <w:rsid w:val="003038BC"/>
    <w:rsid w:val="00303DF8"/>
    <w:rsid w:val="00303EFC"/>
    <w:rsid w:val="003046D6"/>
    <w:rsid w:val="0031068B"/>
    <w:rsid w:val="003112B5"/>
    <w:rsid w:val="0031293C"/>
    <w:rsid w:val="00312DEB"/>
    <w:rsid w:val="00312F3D"/>
    <w:rsid w:val="00313BBA"/>
    <w:rsid w:val="00313D9F"/>
    <w:rsid w:val="00314899"/>
    <w:rsid w:val="00315623"/>
    <w:rsid w:val="00316182"/>
    <w:rsid w:val="0032072B"/>
    <w:rsid w:val="00320DFD"/>
    <w:rsid w:val="00326F22"/>
    <w:rsid w:val="003276A0"/>
    <w:rsid w:val="0033002D"/>
    <w:rsid w:val="00332906"/>
    <w:rsid w:val="00332C3C"/>
    <w:rsid w:val="00333BE1"/>
    <w:rsid w:val="00334B76"/>
    <w:rsid w:val="00336644"/>
    <w:rsid w:val="00337299"/>
    <w:rsid w:val="0033763C"/>
    <w:rsid w:val="00337ADB"/>
    <w:rsid w:val="00337BD8"/>
    <w:rsid w:val="0034149E"/>
    <w:rsid w:val="00341CE5"/>
    <w:rsid w:val="00342202"/>
    <w:rsid w:val="003426C6"/>
    <w:rsid w:val="003429C9"/>
    <w:rsid w:val="00343AE9"/>
    <w:rsid w:val="00344889"/>
    <w:rsid w:val="0034680A"/>
    <w:rsid w:val="00347661"/>
    <w:rsid w:val="003478E7"/>
    <w:rsid w:val="00350DCD"/>
    <w:rsid w:val="00351383"/>
    <w:rsid w:val="003528F0"/>
    <w:rsid w:val="00352927"/>
    <w:rsid w:val="00353FDF"/>
    <w:rsid w:val="00354545"/>
    <w:rsid w:val="003555B4"/>
    <w:rsid w:val="00360753"/>
    <w:rsid w:val="00360A53"/>
    <w:rsid w:val="00362486"/>
    <w:rsid w:val="00362CEC"/>
    <w:rsid w:val="0036497E"/>
    <w:rsid w:val="00364F1A"/>
    <w:rsid w:val="00366C32"/>
    <w:rsid w:val="0037099D"/>
    <w:rsid w:val="00372A55"/>
    <w:rsid w:val="00374753"/>
    <w:rsid w:val="003767EE"/>
    <w:rsid w:val="00377AD6"/>
    <w:rsid w:val="00381B41"/>
    <w:rsid w:val="003833D7"/>
    <w:rsid w:val="003839DC"/>
    <w:rsid w:val="00383C5B"/>
    <w:rsid w:val="00383DDA"/>
    <w:rsid w:val="00384B44"/>
    <w:rsid w:val="00385EC9"/>
    <w:rsid w:val="00386456"/>
    <w:rsid w:val="00387241"/>
    <w:rsid w:val="0039010E"/>
    <w:rsid w:val="003901D8"/>
    <w:rsid w:val="00390732"/>
    <w:rsid w:val="00391D93"/>
    <w:rsid w:val="00392E7E"/>
    <w:rsid w:val="00393184"/>
    <w:rsid w:val="0039340C"/>
    <w:rsid w:val="003934DD"/>
    <w:rsid w:val="00396D23"/>
    <w:rsid w:val="003A046A"/>
    <w:rsid w:val="003A25E4"/>
    <w:rsid w:val="003A2C66"/>
    <w:rsid w:val="003A4F71"/>
    <w:rsid w:val="003A581E"/>
    <w:rsid w:val="003A5E28"/>
    <w:rsid w:val="003A651C"/>
    <w:rsid w:val="003B0136"/>
    <w:rsid w:val="003B0B16"/>
    <w:rsid w:val="003B4162"/>
    <w:rsid w:val="003B79A5"/>
    <w:rsid w:val="003C40DD"/>
    <w:rsid w:val="003C4141"/>
    <w:rsid w:val="003C432C"/>
    <w:rsid w:val="003C50C9"/>
    <w:rsid w:val="003C62BD"/>
    <w:rsid w:val="003D2137"/>
    <w:rsid w:val="003D284B"/>
    <w:rsid w:val="003D40F4"/>
    <w:rsid w:val="003D4F72"/>
    <w:rsid w:val="003E07B4"/>
    <w:rsid w:val="003E11A8"/>
    <w:rsid w:val="003E14B0"/>
    <w:rsid w:val="003E15E5"/>
    <w:rsid w:val="003E5505"/>
    <w:rsid w:val="003E5ED1"/>
    <w:rsid w:val="003E6682"/>
    <w:rsid w:val="003E7261"/>
    <w:rsid w:val="003E7A20"/>
    <w:rsid w:val="003F0FBE"/>
    <w:rsid w:val="003F28CF"/>
    <w:rsid w:val="003F328D"/>
    <w:rsid w:val="003F47E5"/>
    <w:rsid w:val="003F5CDD"/>
    <w:rsid w:val="003F5D5D"/>
    <w:rsid w:val="003F7E6A"/>
    <w:rsid w:val="00400083"/>
    <w:rsid w:val="0040059A"/>
    <w:rsid w:val="00404797"/>
    <w:rsid w:val="00405524"/>
    <w:rsid w:val="00407BD2"/>
    <w:rsid w:val="0041043C"/>
    <w:rsid w:val="00411B85"/>
    <w:rsid w:val="00412132"/>
    <w:rsid w:val="00414B54"/>
    <w:rsid w:val="00416511"/>
    <w:rsid w:val="00416C2E"/>
    <w:rsid w:val="004207E3"/>
    <w:rsid w:val="00420D01"/>
    <w:rsid w:val="0042321C"/>
    <w:rsid w:val="00423267"/>
    <w:rsid w:val="004252E8"/>
    <w:rsid w:val="00426EEE"/>
    <w:rsid w:val="00426F4A"/>
    <w:rsid w:val="0043155D"/>
    <w:rsid w:val="00432915"/>
    <w:rsid w:val="00432C5F"/>
    <w:rsid w:val="00433BA1"/>
    <w:rsid w:val="00435AA2"/>
    <w:rsid w:val="004363BC"/>
    <w:rsid w:val="0043754D"/>
    <w:rsid w:val="00437BF5"/>
    <w:rsid w:val="00437BF8"/>
    <w:rsid w:val="004422D6"/>
    <w:rsid w:val="00442BFD"/>
    <w:rsid w:val="00444A46"/>
    <w:rsid w:val="00445EE4"/>
    <w:rsid w:val="00447095"/>
    <w:rsid w:val="00447483"/>
    <w:rsid w:val="004507CF"/>
    <w:rsid w:val="0045342C"/>
    <w:rsid w:val="00454B0F"/>
    <w:rsid w:val="004620B3"/>
    <w:rsid w:val="00463997"/>
    <w:rsid w:val="004648D2"/>
    <w:rsid w:val="0046604D"/>
    <w:rsid w:val="0047250D"/>
    <w:rsid w:val="0047358F"/>
    <w:rsid w:val="00474434"/>
    <w:rsid w:val="0047444E"/>
    <w:rsid w:val="00474614"/>
    <w:rsid w:val="00474880"/>
    <w:rsid w:val="004768C9"/>
    <w:rsid w:val="00476A0B"/>
    <w:rsid w:val="00477A49"/>
    <w:rsid w:val="00477BFF"/>
    <w:rsid w:val="00481FA4"/>
    <w:rsid w:val="00485197"/>
    <w:rsid w:val="00485AD7"/>
    <w:rsid w:val="00485ED3"/>
    <w:rsid w:val="00487569"/>
    <w:rsid w:val="004878C1"/>
    <w:rsid w:val="00492EB5"/>
    <w:rsid w:val="0049505C"/>
    <w:rsid w:val="00496626"/>
    <w:rsid w:val="0049684A"/>
    <w:rsid w:val="00497B27"/>
    <w:rsid w:val="004A34D2"/>
    <w:rsid w:val="004A3CCB"/>
    <w:rsid w:val="004A411B"/>
    <w:rsid w:val="004A486C"/>
    <w:rsid w:val="004A488B"/>
    <w:rsid w:val="004A5218"/>
    <w:rsid w:val="004A5B0B"/>
    <w:rsid w:val="004B219E"/>
    <w:rsid w:val="004B2774"/>
    <w:rsid w:val="004B4A0E"/>
    <w:rsid w:val="004B6DE0"/>
    <w:rsid w:val="004B742E"/>
    <w:rsid w:val="004C003F"/>
    <w:rsid w:val="004C0993"/>
    <w:rsid w:val="004C0B1C"/>
    <w:rsid w:val="004C1226"/>
    <w:rsid w:val="004C1F44"/>
    <w:rsid w:val="004C1F93"/>
    <w:rsid w:val="004C5092"/>
    <w:rsid w:val="004C5273"/>
    <w:rsid w:val="004D1653"/>
    <w:rsid w:val="004D2B08"/>
    <w:rsid w:val="004D2C64"/>
    <w:rsid w:val="004D3473"/>
    <w:rsid w:val="004D4556"/>
    <w:rsid w:val="004D725A"/>
    <w:rsid w:val="004D7A98"/>
    <w:rsid w:val="004E06CD"/>
    <w:rsid w:val="004E2973"/>
    <w:rsid w:val="004E4142"/>
    <w:rsid w:val="004E4A6B"/>
    <w:rsid w:val="004E4AB3"/>
    <w:rsid w:val="004E5102"/>
    <w:rsid w:val="004E5B78"/>
    <w:rsid w:val="004F0B50"/>
    <w:rsid w:val="004F1050"/>
    <w:rsid w:val="004F32CC"/>
    <w:rsid w:val="004F4EB9"/>
    <w:rsid w:val="004F5F6A"/>
    <w:rsid w:val="00501FA2"/>
    <w:rsid w:val="00502929"/>
    <w:rsid w:val="00502F06"/>
    <w:rsid w:val="005037BC"/>
    <w:rsid w:val="005037CD"/>
    <w:rsid w:val="00503872"/>
    <w:rsid w:val="00503C1E"/>
    <w:rsid w:val="005053B0"/>
    <w:rsid w:val="005064F9"/>
    <w:rsid w:val="0051074C"/>
    <w:rsid w:val="0051089A"/>
    <w:rsid w:val="00510BB6"/>
    <w:rsid w:val="0051288D"/>
    <w:rsid w:val="00513A69"/>
    <w:rsid w:val="00513AF2"/>
    <w:rsid w:val="005152C2"/>
    <w:rsid w:val="005200B5"/>
    <w:rsid w:val="00521B54"/>
    <w:rsid w:val="005222B7"/>
    <w:rsid w:val="0052307C"/>
    <w:rsid w:val="00524F8D"/>
    <w:rsid w:val="005268C9"/>
    <w:rsid w:val="0052715F"/>
    <w:rsid w:val="00533367"/>
    <w:rsid w:val="00535161"/>
    <w:rsid w:val="00535A7F"/>
    <w:rsid w:val="0053606E"/>
    <w:rsid w:val="00537D21"/>
    <w:rsid w:val="005418FA"/>
    <w:rsid w:val="00542FF3"/>
    <w:rsid w:val="0054413A"/>
    <w:rsid w:val="005443C9"/>
    <w:rsid w:val="00545144"/>
    <w:rsid w:val="00545326"/>
    <w:rsid w:val="005457A0"/>
    <w:rsid w:val="00550551"/>
    <w:rsid w:val="00553411"/>
    <w:rsid w:val="00554515"/>
    <w:rsid w:val="00555967"/>
    <w:rsid w:val="005564CA"/>
    <w:rsid w:val="00557DD1"/>
    <w:rsid w:val="00560C9C"/>
    <w:rsid w:val="00561510"/>
    <w:rsid w:val="005620AD"/>
    <w:rsid w:val="005626E7"/>
    <w:rsid w:val="00562D14"/>
    <w:rsid w:val="00570BD6"/>
    <w:rsid w:val="00571897"/>
    <w:rsid w:val="005731B5"/>
    <w:rsid w:val="0057389B"/>
    <w:rsid w:val="00574D20"/>
    <w:rsid w:val="00575B77"/>
    <w:rsid w:val="00575D08"/>
    <w:rsid w:val="005770F6"/>
    <w:rsid w:val="00577DD4"/>
    <w:rsid w:val="00577EF5"/>
    <w:rsid w:val="00580136"/>
    <w:rsid w:val="005811F1"/>
    <w:rsid w:val="00584E86"/>
    <w:rsid w:val="00590DD9"/>
    <w:rsid w:val="00590E6F"/>
    <w:rsid w:val="0059266D"/>
    <w:rsid w:val="005A0585"/>
    <w:rsid w:val="005A114C"/>
    <w:rsid w:val="005A1570"/>
    <w:rsid w:val="005A32AF"/>
    <w:rsid w:val="005A34F0"/>
    <w:rsid w:val="005A3C9D"/>
    <w:rsid w:val="005A436F"/>
    <w:rsid w:val="005A456B"/>
    <w:rsid w:val="005A4A4C"/>
    <w:rsid w:val="005A5275"/>
    <w:rsid w:val="005A6DCD"/>
    <w:rsid w:val="005A79FE"/>
    <w:rsid w:val="005B2AF3"/>
    <w:rsid w:val="005B4049"/>
    <w:rsid w:val="005B43FE"/>
    <w:rsid w:val="005B4AA6"/>
    <w:rsid w:val="005B7215"/>
    <w:rsid w:val="005B7515"/>
    <w:rsid w:val="005B7A2F"/>
    <w:rsid w:val="005C0D43"/>
    <w:rsid w:val="005C1FFD"/>
    <w:rsid w:val="005C266E"/>
    <w:rsid w:val="005C3C95"/>
    <w:rsid w:val="005C51A7"/>
    <w:rsid w:val="005C5A22"/>
    <w:rsid w:val="005C5B5C"/>
    <w:rsid w:val="005D29B5"/>
    <w:rsid w:val="005D3445"/>
    <w:rsid w:val="005D3807"/>
    <w:rsid w:val="005D474D"/>
    <w:rsid w:val="005D552E"/>
    <w:rsid w:val="005D7F00"/>
    <w:rsid w:val="005E0385"/>
    <w:rsid w:val="005E1BC6"/>
    <w:rsid w:val="005E1CF3"/>
    <w:rsid w:val="005E2E0F"/>
    <w:rsid w:val="005E2F44"/>
    <w:rsid w:val="005E3788"/>
    <w:rsid w:val="005E4F20"/>
    <w:rsid w:val="005E605B"/>
    <w:rsid w:val="005E67FC"/>
    <w:rsid w:val="005E7572"/>
    <w:rsid w:val="005E7A0B"/>
    <w:rsid w:val="005F0C78"/>
    <w:rsid w:val="005F1050"/>
    <w:rsid w:val="005F3431"/>
    <w:rsid w:val="005F4BF5"/>
    <w:rsid w:val="006007CC"/>
    <w:rsid w:val="00601496"/>
    <w:rsid w:val="0060197B"/>
    <w:rsid w:val="00601FCA"/>
    <w:rsid w:val="006030AA"/>
    <w:rsid w:val="00603BDE"/>
    <w:rsid w:val="00610C94"/>
    <w:rsid w:val="00611D58"/>
    <w:rsid w:val="00612BDB"/>
    <w:rsid w:val="006134DB"/>
    <w:rsid w:val="006178DB"/>
    <w:rsid w:val="00620CBF"/>
    <w:rsid w:val="00620E47"/>
    <w:rsid w:val="00624730"/>
    <w:rsid w:val="0062567A"/>
    <w:rsid w:val="006334A8"/>
    <w:rsid w:val="006367B1"/>
    <w:rsid w:val="0063788B"/>
    <w:rsid w:val="006404C9"/>
    <w:rsid w:val="00640B75"/>
    <w:rsid w:val="006426C6"/>
    <w:rsid w:val="00642D57"/>
    <w:rsid w:val="00646512"/>
    <w:rsid w:val="00647622"/>
    <w:rsid w:val="00651D31"/>
    <w:rsid w:val="006524BE"/>
    <w:rsid w:val="00652A5C"/>
    <w:rsid w:val="006533F8"/>
    <w:rsid w:val="00655360"/>
    <w:rsid w:val="00655371"/>
    <w:rsid w:val="006563C3"/>
    <w:rsid w:val="006645BF"/>
    <w:rsid w:val="0066584D"/>
    <w:rsid w:val="00666AF7"/>
    <w:rsid w:val="00667EBB"/>
    <w:rsid w:val="00670B1B"/>
    <w:rsid w:val="00672B53"/>
    <w:rsid w:val="00672EEC"/>
    <w:rsid w:val="00673789"/>
    <w:rsid w:val="00673AB7"/>
    <w:rsid w:val="00681A07"/>
    <w:rsid w:val="00683085"/>
    <w:rsid w:val="0068338B"/>
    <w:rsid w:val="00686E92"/>
    <w:rsid w:val="0069158F"/>
    <w:rsid w:val="00691C58"/>
    <w:rsid w:val="00693CC2"/>
    <w:rsid w:val="0069678A"/>
    <w:rsid w:val="00697665"/>
    <w:rsid w:val="00697D73"/>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55C5"/>
    <w:rsid w:val="006B7576"/>
    <w:rsid w:val="006C084F"/>
    <w:rsid w:val="006C14D1"/>
    <w:rsid w:val="006C4F96"/>
    <w:rsid w:val="006C627E"/>
    <w:rsid w:val="006C68E5"/>
    <w:rsid w:val="006C7E2B"/>
    <w:rsid w:val="006D23BA"/>
    <w:rsid w:val="006D2CB8"/>
    <w:rsid w:val="006D2CF6"/>
    <w:rsid w:val="006D40DC"/>
    <w:rsid w:val="006D4EC2"/>
    <w:rsid w:val="006D4F07"/>
    <w:rsid w:val="006D5176"/>
    <w:rsid w:val="006D7687"/>
    <w:rsid w:val="006E0385"/>
    <w:rsid w:val="006E0572"/>
    <w:rsid w:val="006E0C98"/>
    <w:rsid w:val="006E1324"/>
    <w:rsid w:val="006E1CCF"/>
    <w:rsid w:val="006E6D63"/>
    <w:rsid w:val="006E6E42"/>
    <w:rsid w:val="006F3DAA"/>
    <w:rsid w:val="00700377"/>
    <w:rsid w:val="007020A1"/>
    <w:rsid w:val="00702115"/>
    <w:rsid w:val="007029A4"/>
    <w:rsid w:val="00703E2C"/>
    <w:rsid w:val="00705631"/>
    <w:rsid w:val="00705FE1"/>
    <w:rsid w:val="00706399"/>
    <w:rsid w:val="00707EFD"/>
    <w:rsid w:val="00707FF5"/>
    <w:rsid w:val="00711A50"/>
    <w:rsid w:val="007130EA"/>
    <w:rsid w:val="00713DE5"/>
    <w:rsid w:val="00714254"/>
    <w:rsid w:val="00714718"/>
    <w:rsid w:val="00715929"/>
    <w:rsid w:val="0072005B"/>
    <w:rsid w:val="00720966"/>
    <w:rsid w:val="007210EC"/>
    <w:rsid w:val="0072127D"/>
    <w:rsid w:val="007229B0"/>
    <w:rsid w:val="00724809"/>
    <w:rsid w:val="007252B4"/>
    <w:rsid w:val="00725AC2"/>
    <w:rsid w:val="00726DBE"/>
    <w:rsid w:val="00727EAE"/>
    <w:rsid w:val="00727FB6"/>
    <w:rsid w:val="007300F3"/>
    <w:rsid w:val="00730AB8"/>
    <w:rsid w:val="00734D43"/>
    <w:rsid w:val="007357B0"/>
    <w:rsid w:val="00735A39"/>
    <w:rsid w:val="00736FC1"/>
    <w:rsid w:val="007404BC"/>
    <w:rsid w:val="00741FC4"/>
    <w:rsid w:val="00742DD2"/>
    <w:rsid w:val="00744E7F"/>
    <w:rsid w:val="00745879"/>
    <w:rsid w:val="00745950"/>
    <w:rsid w:val="007464C8"/>
    <w:rsid w:val="00746D17"/>
    <w:rsid w:val="00752568"/>
    <w:rsid w:val="0075455D"/>
    <w:rsid w:val="00754621"/>
    <w:rsid w:val="0075582E"/>
    <w:rsid w:val="0075647A"/>
    <w:rsid w:val="007573C1"/>
    <w:rsid w:val="007574E5"/>
    <w:rsid w:val="007611DB"/>
    <w:rsid w:val="007634AD"/>
    <w:rsid w:val="00764CD2"/>
    <w:rsid w:val="0076566F"/>
    <w:rsid w:val="007656E6"/>
    <w:rsid w:val="00765BE2"/>
    <w:rsid w:val="007673F0"/>
    <w:rsid w:val="0076744F"/>
    <w:rsid w:val="00772C6C"/>
    <w:rsid w:val="007741D9"/>
    <w:rsid w:val="007743B6"/>
    <w:rsid w:val="007748F6"/>
    <w:rsid w:val="007750BB"/>
    <w:rsid w:val="00776ED5"/>
    <w:rsid w:val="00780D84"/>
    <w:rsid w:val="0078122E"/>
    <w:rsid w:val="0078165F"/>
    <w:rsid w:val="00782024"/>
    <w:rsid w:val="00782DC1"/>
    <w:rsid w:val="00783506"/>
    <w:rsid w:val="0078442B"/>
    <w:rsid w:val="00785A12"/>
    <w:rsid w:val="0078614D"/>
    <w:rsid w:val="00791C0F"/>
    <w:rsid w:val="00793845"/>
    <w:rsid w:val="00793FA2"/>
    <w:rsid w:val="0079520D"/>
    <w:rsid w:val="00796EC8"/>
    <w:rsid w:val="00797DF7"/>
    <w:rsid w:val="007A0D0E"/>
    <w:rsid w:val="007A4C5A"/>
    <w:rsid w:val="007A615D"/>
    <w:rsid w:val="007B0854"/>
    <w:rsid w:val="007B0F58"/>
    <w:rsid w:val="007B24B5"/>
    <w:rsid w:val="007C0326"/>
    <w:rsid w:val="007C2221"/>
    <w:rsid w:val="007C36EC"/>
    <w:rsid w:val="007C60A9"/>
    <w:rsid w:val="007C6117"/>
    <w:rsid w:val="007C6410"/>
    <w:rsid w:val="007C672F"/>
    <w:rsid w:val="007C7077"/>
    <w:rsid w:val="007C7638"/>
    <w:rsid w:val="007C7F04"/>
    <w:rsid w:val="007D0305"/>
    <w:rsid w:val="007D1727"/>
    <w:rsid w:val="007D1AD1"/>
    <w:rsid w:val="007D40E2"/>
    <w:rsid w:val="007D5E0B"/>
    <w:rsid w:val="007D71A4"/>
    <w:rsid w:val="007E01FC"/>
    <w:rsid w:val="007E4585"/>
    <w:rsid w:val="007E5B03"/>
    <w:rsid w:val="007E6035"/>
    <w:rsid w:val="007E750C"/>
    <w:rsid w:val="007F047F"/>
    <w:rsid w:val="007F0D40"/>
    <w:rsid w:val="007F168F"/>
    <w:rsid w:val="007F367B"/>
    <w:rsid w:val="007F4347"/>
    <w:rsid w:val="007F5F3B"/>
    <w:rsid w:val="007F723E"/>
    <w:rsid w:val="007F72CB"/>
    <w:rsid w:val="00802A13"/>
    <w:rsid w:val="00802D30"/>
    <w:rsid w:val="00804C29"/>
    <w:rsid w:val="00804CE6"/>
    <w:rsid w:val="00804EB1"/>
    <w:rsid w:val="0080594C"/>
    <w:rsid w:val="008101D2"/>
    <w:rsid w:val="008111B0"/>
    <w:rsid w:val="00811ED3"/>
    <w:rsid w:val="00813504"/>
    <w:rsid w:val="00815027"/>
    <w:rsid w:val="008159D3"/>
    <w:rsid w:val="00816302"/>
    <w:rsid w:val="00817A26"/>
    <w:rsid w:val="00817CA8"/>
    <w:rsid w:val="00822D58"/>
    <w:rsid w:val="008259B9"/>
    <w:rsid w:val="00826A9D"/>
    <w:rsid w:val="0083119B"/>
    <w:rsid w:val="0083133A"/>
    <w:rsid w:val="00834864"/>
    <w:rsid w:val="008366AF"/>
    <w:rsid w:val="00836AFB"/>
    <w:rsid w:val="00836EAB"/>
    <w:rsid w:val="00841280"/>
    <w:rsid w:val="0084152B"/>
    <w:rsid w:val="00841639"/>
    <w:rsid w:val="00842535"/>
    <w:rsid w:val="00842F23"/>
    <w:rsid w:val="00843BC4"/>
    <w:rsid w:val="00843E6C"/>
    <w:rsid w:val="00844326"/>
    <w:rsid w:val="00845303"/>
    <w:rsid w:val="00847B6B"/>
    <w:rsid w:val="00847DD7"/>
    <w:rsid w:val="0085092D"/>
    <w:rsid w:val="008509DD"/>
    <w:rsid w:val="00850DF5"/>
    <w:rsid w:val="0085128C"/>
    <w:rsid w:val="00852018"/>
    <w:rsid w:val="008524B4"/>
    <w:rsid w:val="0085264F"/>
    <w:rsid w:val="00852E12"/>
    <w:rsid w:val="00852F5E"/>
    <w:rsid w:val="00853776"/>
    <w:rsid w:val="008541AC"/>
    <w:rsid w:val="00854DBB"/>
    <w:rsid w:val="00857F63"/>
    <w:rsid w:val="00860B10"/>
    <w:rsid w:val="008612BF"/>
    <w:rsid w:val="00861408"/>
    <w:rsid w:val="008617E0"/>
    <w:rsid w:val="00862B2A"/>
    <w:rsid w:val="00865967"/>
    <w:rsid w:val="008705DE"/>
    <w:rsid w:val="00873BCF"/>
    <w:rsid w:val="00877366"/>
    <w:rsid w:val="00880626"/>
    <w:rsid w:val="00881690"/>
    <w:rsid w:val="00881742"/>
    <w:rsid w:val="008817ED"/>
    <w:rsid w:val="0088243F"/>
    <w:rsid w:val="00883662"/>
    <w:rsid w:val="0088457C"/>
    <w:rsid w:val="00885AA7"/>
    <w:rsid w:val="00886201"/>
    <w:rsid w:val="00886A5B"/>
    <w:rsid w:val="008871CF"/>
    <w:rsid w:val="00887B15"/>
    <w:rsid w:val="00890882"/>
    <w:rsid w:val="008927A8"/>
    <w:rsid w:val="00893165"/>
    <w:rsid w:val="00893180"/>
    <w:rsid w:val="00896A1B"/>
    <w:rsid w:val="008A0A11"/>
    <w:rsid w:val="008A257A"/>
    <w:rsid w:val="008A2F81"/>
    <w:rsid w:val="008A3228"/>
    <w:rsid w:val="008A53F7"/>
    <w:rsid w:val="008A54C1"/>
    <w:rsid w:val="008A575E"/>
    <w:rsid w:val="008A69BA"/>
    <w:rsid w:val="008B1A31"/>
    <w:rsid w:val="008C0AF6"/>
    <w:rsid w:val="008C0ED3"/>
    <w:rsid w:val="008C26E3"/>
    <w:rsid w:val="008C41C5"/>
    <w:rsid w:val="008D1B84"/>
    <w:rsid w:val="008D3FBB"/>
    <w:rsid w:val="008D4225"/>
    <w:rsid w:val="008D4B97"/>
    <w:rsid w:val="008D4C63"/>
    <w:rsid w:val="008D5F00"/>
    <w:rsid w:val="008D76C2"/>
    <w:rsid w:val="008D776A"/>
    <w:rsid w:val="008E0A7E"/>
    <w:rsid w:val="008E1C15"/>
    <w:rsid w:val="008E3219"/>
    <w:rsid w:val="008E55D9"/>
    <w:rsid w:val="008E6F70"/>
    <w:rsid w:val="008F14CC"/>
    <w:rsid w:val="008F1D84"/>
    <w:rsid w:val="008F2734"/>
    <w:rsid w:val="008F30C9"/>
    <w:rsid w:val="008F39BD"/>
    <w:rsid w:val="008F4123"/>
    <w:rsid w:val="008F489B"/>
    <w:rsid w:val="008F5C25"/>
    <w:rsid w:val="008F646E"/>
    <w:rsid w:val="008F6E4A"/>
    <w:rsid w:val="00900239"/>
    <w:rsid w:val="00900DDB"/>
    <w:rsid w:val="0090136A"/>
    <w:rsid w:val="00901CD9"/>
    <w:rsid w:val="009030CB"/>
    <w:rsid w:val="009047C5"/>
    <w:rsid w:val="00904CD9"/>
    <w:rsid w:val="009064C4"/>
    <w:rsid w:val="009066C0"/>
    <w:rsid w:val="009071F2"/>
    <w:rsid w:val="00907A73"/>
    <w:rsid w:val="0091085E"/>
    <w:rsid w:val="00910B86"/>
    <w:rsid w:val="0091237C"/>
    <w:rsid w:val="00914F02"/>
    <w:rsid w:val="00916C89"/>
    <w:rsid w:val="009176F3"/>
    <w:rsid w:val="00917700"/>
    <w:rsid w:val="00921659"/>
    <w:rsid w:val="00923DC9"/>
    <w:rsid w:val="00924541"/>
    <w:rsid w:val="0092462A"/>
    <w:rsid w:val="0092465E"/>
    <w:rsid w:val="0092478E"/>
    <w:rsid w:val="00924C21"/>
    <w:rsid w:val="009278F1"/>
    <w:rsid w:val="00930831"/>
    <w:rsid w:val="0093193A"/>
    <w:rsid w:val="00931B7E"/>
    <w:rsid w:val="00932FBD"/>
    <w:rsid w:val="009339B8"/>
    <w:rsid w:val="00937BFF"/>
    <w:rsid w:val="009409CA"/>
    <w:rsid w:val="00942B12"/>
    <w:rsid w:val="00944EA4"/>
    <w:rsid w:val="009465F7"/>
    <w:rsid w:val="00946737"/>
    <w:rsid w:val="00946CFA"/>
    <w:rsid w:val="00950258"/>
    <w:rsid w:val="00951364"/>
    <w:rsid w:val="00952E20"/>
    <w:rsid w:val="0095385A"/>
    <w:rsid w:val="00955CAC"/>
    <w:rsid w:val="00955E10"/>
    <w:rsid w:val="009568DA"/>
    <w:rsid w:val="00956C80"/>
    <w:rsid w:val="00956E82"/>
    <w:rsid w:val="009604AE"/>
    <w:rsid w:val="00962034"/>
    <w:rsid w:val="00962A37"/>
    <w:rsid w:val="00964C6F"/>
    <w:rsid w:val="00965849"/>
    <w:rsid w:val="00971941"/>
    <w:rsid w:val="00971A67"/>
    <w:rsid w:val="00973F55"/>
    <w:rsid w:val="00975D1B"/>
    <w:rsid w:val="00976CC3"/>
    <w:rsid w:val="00977088"/>
    <w:rsid w:val="00981B5D"/>
    <w:rsid w:val="00982489"/>
    <w:rsid w:val="009859D0"/>
    <w:rsid w:val="009866C8"/>
    <w:rsid w:val="009874B4"/>
    <w:rsid w:val="00987F32"/>
    <w:rsid w:val="00990612"/>
    <w:rsid w:val="00990A2F"/>
    <w:rsid w:val="009A353C"/>
    <w:rsid w:val="009A3AEB"/>
    <w:rsid w:val="009B0CB9"/>
    <w:rsid w:val="009B1BF2"/>
    <w:rsid w:val="009B2695"/>
    <w:rsid w:val="009B29F8"/>
    <w:rsid w:val="009C02BD"/>
    <w:rsid w:val="009C1FFB"/>
    <w:rsid w:val="009C24BD"/>
    <w:rsid w:val="009C2A57"/>
    <w:rsid w:val="009C376A"/>
    <w:rsid w:val="009C446F"/>
    <w:rsid w:val="009C4DAD"/>
    <w:rsid w:val="009C55A7"/>
    <w:rsid w:val="009C782E"/>
    <w:rsid w:val="009D0FC4"/>
    <w:rsid w:val="009D3049"/>
    <w:rsid w:val="009D4FF8"/>
    <w:rsid w:val="009D54EC"/>
    <w:rsid w:val="009E0D1B"/>
    <w:rsid w:val="009E245B"/>
    <w:rsid w:val="009E2882"/>
    <w:rsid w:val="009E3217"/>
    <w:rsid w:val="009E48B1"/>
    <w:rsid w:val="009F0BCE"/>
    <w:rsid w:val="009F48F0"/>
    <w:rsid w:val="009F6523"/>
    <w:rsid w:val="009F6B3F"/>
    <w:rsid w:val="009F773F"/>
    <w:rsid w:val="00A00987"/>
    <w:rsid w:val="00A028FC"/>
    <w:rsid w:val="00A02DEF"/>
    <w:rsid w:val="00A0353C"/>
    <w:rsid w:val="00A03556"/>
    <w:rsid w:val="00A035A4"/>
    <w:rsid w:val="00A036C4"/>
    <w:rsid w:val="00A044A1"/>
    <w:rsid w:val="00A07446"/>
    <w:rsid w:val="00A10135"/>
    <w:rsid w:val="00A10706"/>
    <w:rsid w:val="00A11267"/>
    <w:rsid w:val="00A118A0"/>
    <w:rsid w:val="00A136ED"/>
    <w:rsid w:val="00A14F3C"/>
    <w:rsid w:val="00A23E37"/>
    <w:rsid w:val="00A24560"/>
    <w:rsid w:val="00A26D28"/>
    <w:rsid w:val="00A2734F"/>
    <w:rsid w:val="00A27EFE"/>
    <w:rsid w:val="00A305CD"/>
    <w:rsid w:val="00A308D1"/>
    <w:rsid w:val="00A316F7"/>
    <w:rsid w:val="00A32529"/>
    <w:rsid w:val="00A32559"/>
    <w:rsid w:val="00A338FC"/>
    <w:rsid w:val="00A34538"/>
    <w:rsid w:val="00A35156"/>
    <w:rsid w:val="00A37529"/>
    <w:rsid w:val="00A41BFA"/>
    <w:rsid w:val="00A42A3B"/>
    <w:rsid w:val="00A43490"/>
    <w:rsid w:val="00A43FD5"/>
    <w:rsid w:val="00A44DA5"/>
    <w:rsid w:val="00A46CED"/>
    <w:rsid w:val="00A470F2"/>
    <w:rsid w:val="00A47803"/>
    <w:rsid w:val="00A47DA6"/>
    <w:rsid w:val="00A47F59"/>
    <w:rsid w:val="00A507B2"/>
    <w:rsid w:val="00A50AD2"/>
    <w:rsid w:val="00A5235A"/>
    <w:rsid w:val="00A53B56"/>
    <w:rsid w:val="00A546CA"/>
    <w:rsid w:val="00A54A2B"/>
    <w:rsid w:val="00A54AB9"/>
    <w:rsid w:val="00A5584C"/>
    <w:rsid w:val="00A56A79"/>
    <w:rsid w:val="00A572E1"/>
    <w:rsid w:val="00A578E2"/>
    <w:rsid w:val="00A61FEE"/>
    <w:rsid w:val="00A6404B"/>
    <w:rsid w:val="00A656EF"/>
    <w:rsid w:val="00A65AA6"/>
    <w:rsid w:val="00A679E3"/>
    <w:rsid w:val="00A70419"/>
    <w:rsid w:val="00A72A3B"/>
    <w:rsid w:val="00A814D6"/>
    <w:rsid w:val="00A8268C"/>
    <w:rsid w:val="00A8275B"/>
    <w:rsid w:val="00A84361"/>
    <w:rsid w:val="00A84904"/>
    <w:rsid w:val="00A852F0"/>
    <w:rsid w:val="00A97342"/>
    <w:rsid w:val="00AA03C4"/>
    <w:rsid w:val="00AA18DB"/>
    <w:rsid w:val="00AA3DEF"/>
    <w:rsid w:val="00AA442B"/>
    <w:rsid w:val="00AA671A"/>
    <w:rsid w:val="00AA6CC1"/>
    <w:rsid w:val="00AB00BD"/>
    <w:rsid w:val="00AB0D4D"/>
    <w:rsid w:val="00AB14CE"/>
    <w:rsid w:val="00AB1580"/>
    <w:rsid w:val="00AB196B"/>
    <w:rsid w:val="00AB1AC8"/>
    <w:rsid w:val="00AB30DF"/>
    <w:rsid w:val="00AB3E40"/>
    <w:rsid w:val="00AB47E2"/>
    <w:rsid w:val="00AB4996"/>
    <w:rsid w:val="00AB4DF6"/>
    <w:rsid w:val="00AB769D"/>
    <w:rsid w:val="00AC0EEB"/>
    <w:rsid w:val="00AC1272"/>
    <w:rsid w:val="00AC1646"/>
    <w:rsid w:val="00AC3414"/>
    <w:rsid w:val="00AC3ACC"/>
    <w:rsid w:val="00AD0B1D"/>
    <w:rsid w:val="00AD22FC"/>
    <w:rsid w:val="00AD2E44"/>
    <w:rsid w:val="00AD2F7B"/>
    <w:rsid w:val="00AD47FB"/>
    <w:rsid w:val="00AD48B1"/>
    <w:rsid w:val="00AD493D"/>
    <w:rsid w:val="00AD5E7A"/>
    <w:rsid w:val="00AD6135"/>
    <w:rsid w:val="00AD7A11"/>
    <w:rsid w:val="00AD7C52"/>
    <w:rsid w:val="00AE0AC7"/>
    <w:rsid w:val="00AE1289"/>
    <w:rsid w:val="00AE19FC"/>
    <w:rsid w:val="00AE3E75"/>
    <w:rsid w:val="00AE4119"/>
    <w:rsid w:val="00AE4E69"/>
    <w:rsid w:val="00AE5B43"/>
    <w:rsid w:val="00AE65B9"/>
    <w:rsid w:val="00AE6D68"/>
    <w:rsid w:val="00AF1383"/>
    <w:rsid w:val="00AF152E"/>
    <w:rsid w:val="00AF1ED8"/>
    <w:rsid w:val="00AF51A0"/>
    <w:rsid w:val="00AF5CE1"/>
    <w:rsid w:val="00AF713D"/>
    <w:rsid w:val="00B00F9B"/>
    <w:rsid w:val="00B02601"/>
    <w:rsid w:val="00B04843"/>
    <w:rsid w:val="00B055C7"/>
    <w:rsid w:val="00B0560B"/>
    <w:rsid w:val="00B06243"/>
    <w:rsid w:val="00B07B14"/>
    <w:rsid w:val="00B07BE4"/>
    <w:rsid w:val="00B101EE"/>
    <w:rsid w:val="00B1060D"/>
    <w:rsid w:val="00B118E9"/>
    <w:rsid w:val="00B120C2"/>
    <w:rsid w:val="00B1288F"/>
    <w:rsid w:val="00B12C69"/>
    <w:rsid w:val="00B16D08"/>
    <w:rsid w:val="00B16E58"/>
    <w:rsid w:val="00B17763"/>
    <w:rsid w:val="00B21D6C"/>
    <w:rsid w:val="00B22E22"/>
    <w:rsid w:val="00B243F7"/>
    <w:rsid w:val="00B258A0"/>
    <w:rsid w:val="00B32C0B"/>
    <w:rsid w:val="00B32DE6"/>
    <w:rsid w:val="00B33D08"/>
    <w:rsid w:val="00B346CC"/>
    <w:rsid w:val="00B360BE"/>
    <w:rsid w:val="00B36E67"/>
    <w:rsid w:val="00B371E9"/>
    <w:rsid w:val="00B403DE"/>
    <w:rsid w:val="00B42A55"/>
    <w:rsid w:val="00B439B4"/>
    <w:rsid w:val="00B43C9B"/>
    <w:rsid w:val="00B50315"/>
    <w:rsid w:val="00B512C3"/>
    <w:rsid w:val="00B51451"/>
    <w:rsid w:val="00B5146F"/>
    <w:rsid w:val="00B51689"/>
    <w:rsid w:val="00B5178D"/>
    <w:rsid w:val="00B525CB"/>
    <w:rsid w:val="00B531D7"/>
    <w:rsid w:val="00B53F68"/>
    <w:rsid w:val="00B5556E"/>
    <w:rsid w:val="00B55682"/>
    <w:rsid w:val="00B60926"/>
    <w:rsid w:val="00B613B9"/>
    <w:rsid w:val="00B6143C"/>
    <w:rsid w:val="00B62CA6"/>
    <w:rsid w:val="00B630A6"/>
    <w:rsid w:val="00B6341F"/>
    <w:rsid w:val="00B637F3"/>
    <w:rsid w:val="00B63CB2"/>
    <w:rsid w:val="00B64278"/>
    <w:rsid w:val="00B6444C"/>
    <w:rsid w:val="00B66866"/>
    <w:rsid w:val="00B70169"/>
    <w:rsid w:val="00B71561"/>
    <w:rsid w:val="00B73B11"/>
    <w:rsid w:val="00B754CA"/>
    <w:rsid w:val="00B75BAA"/>
    <w:rsid w:val="00B75C7C"/>
    <w:rsid w:val="00B80316"/>
    <w:rsid w:val="00B80794"/>
    <w:rsid w:val="00B80D60"/>
    <w:rsid w:val="00B81F14"/>
    <w:rsid w:val="00B8385C"/>
    <w:rsid w:val="00B83F84"/>
    <w:rsid w:val="00B85623"/>
    <w:rsid w:val="00B90205"/>
    <w:rsid w:val="00B90B34"/>
    <w:rsid w:val="00B93287"/>
    <w:rsid w:val="00B94B1F"/>
    <w:rsid w:val="00BA101A"/>
    <w:rsid w:val="00BA1433"/>
    <w:rsid w:val="00BA4904"/>
    <w:rsid w:val="00BA4B5B"/>
    <w:rsid w:val="00BA549C"/>
    <w:rsid w:val="00BA54F0"/>
    <w:rsid w:val="00BA5B4B"/>
    <w:rsid w:val="00BA6306"/>
    <w:rsid w:val="00BB37BD"/>
    <w:rsid w:val="00BB5C7A"/>
    <w:rsid w:val="00BC0980"/>
    <w:rsid w:val="00BC1901"/>
    <w:rsid w:val="00BC2F8F"/>
    <w:rsid w:val="00BC3610"/>
    <w:rsid w:val="00BC3A7B"/>
    <w:rsid w:val="00BC46FA"/>
    <w:rsid w:val="00BC4CFC"/>
    <w:rsid w:val="00BC5E6E"/>
    <w:rsid w:val="00BC638A"/>
    <w:rsid w:val="00BD0942"/>
    <w:rsid w:val="00BD09C9"/>
    <w:rsid w:val="00BD16E4"/>
    <w:rsid w:val="00BD404B"/>
    <w:rsid w:val="00BD4104"/>
    <w:rsid w:val="00BD418A"/>
    <w:rsid w:val="00BD5979"/>
    <w:rsid w:val="00BD5F91"/>
    <w:rsid w:val="00BD78FE"/>
    <w:rsid w:val="00BE1B2E"/>
    <w:rsid w:val="00BE43C0"/>
    <w:rsid w:val="00BE4C31"/>
    <w:rsid w:val="00BE60C5"/>
    <w:rsid w:val="00BE68A7"/>
    <w:rsid w:val="00BE7972"/>
    <w:rsid w:val="00BF0945"/>
    <w:rsid w:val="00BF0F80"/>
    <w:rsid w:val="00BF239F"/>
    <w:rsid w:val="00BF2E6F"/>
    <w:rsid w:val="00BF3E3E"/>
    <w:rsid w:val="00BF3E9C"/>
    <w:rsid w:val="00BF46EB"/>
    <w:rsid w:val="00BF52BB"/>
    <w:rsid w:val="00BF59DD"/>
    <w:rsid w:val="00BF6F68"/>
    <w:rsid w:val="00BF7FBC"/>
    <w:rsid w:val="00C01713"/>
    <w:rsid w:val="00C01888"/>
    <w:rsid w:val="00C0300E"/>
    <w:rsid w:val="00C03D7A"/>
    <w:rsid w:val="00C06C24"/>
    <w:rsid w:val="00C06F4E"/>
    <w:rsid w:val="00C07969"/>
    <w:rsid w:val="00C07EFC"/>
    <w:rsid w:val="00C1063D"/>
    <w:rsid w:val="00C108FF"/>
    <w:rsid w:val="00C128D8"/>
    <w:rsid w:val="00C16340"/>
    <w:rsid w:val="00C215F9"/>
    <w:rsid w:val="00C21979"/>
    <w:rsid w:val="00C22C1C"/>
    <w:rsid w:val="00C2341D"/>
    <w:rsid w:val="00C236F1"/>
    <w:rsid w:val="00C248E6"/>
    <w:rsid w:val="00C24CB7"/>
    <w:rsid w:val="00C25356"/>
    <w:rsid w:val="00C2785E"/>
    <w:rsid w:val="00C3050E"/>
    <w:rsid w:val="00C32E42"/>
    <w:rsid w:val="00C35C94"/>
    <w:rsid w:val="00C35CCA"/>
    <w:rsid w:val="00C3789F"/>
    <w:rsid w:val="00C37E77"/>
    <w:rsid w:val="00C40C20"/>
    <w:rsid w:val="00C41A44"/>
    <w:rsid w:val="00C421D2"/>
    <w:rsid w:val="00C4266A"/>
    <w:rsid w:val="00C4281E"/>
    <w:rsid w:val="00C43FAA"/>
    <w:rsid w:val="00C44120"/>
    <w:rsid w:val="00C445C0"/>
    <w:rsid w:val="00C4553B"/>
    <w:rsid w:val="00C46DAD"/>
    <w:rsid w:val="00C474F7"/>
    <w:rsid w:val="00C50FFB"/>
    <w:rsid w:val="00C51383"/>
    <w:rsid w:val="00C52AA0"/>
    <w:rsid w:val="00C53C40"/>
    <w:rsid w:val="00C5659C"/>
    <w:rsid w:val="00C606C0"/>
    <w:rsid w:val="00C60A58"/>
    <w:rsid w:val="00C63537"/>
    <w:rsid w:val="00C63B97"/>
    <w:rsid w:val="00C64C51"/>
    <w:rsid w:val="00C67675"/>
    <w:rsid w:val="00C713D7"/>
    <w:rsid w:val="00C71798"/>
    <w:rsid w:val="00C74D7F"/>
    <w:rsid w:val="00C75515"/>
    <w:rsid w:val="00C76A33"/>
    <w:rsid w:val="00C8023B"/>
    <w:rsid w:val="00C80B95"/>
    <w:rsid w:val="00C8107E"/>
    <w:rsid w:val="00C818C5"/>
    <w:rsid w:val="00C81AC2"/>
    <w:rsid w:val="00C8219B"/>
    <w:rsid w:val="00C82754"/>
    <w:rsid w:val="00C83D45"/>
    <w:rsid w:val="00C845E6"/>
    <w:rsid w:val="00C859B3"/>
    <w:rsid w:val="00C878E8"/>
    <w:rsid w:val="00C87A79"/>
    <w:rsid w:val="00C87FB1"/>
    <w:rsid w:val="00C92306"/>
    <w:rsid w:val="00C97546"/>
    <w:rsid w:val="00CA0C3E"/>
    <w:rsid w:val="00CA1540"/>
    <w:rsid w:val="00CA287E"/>
    <w:rsid w:val="00CA44C0"/>
    <w:rsid w:val="00CA44E6"/>
    <w:rsid w:val="00CA5926"/>
    <w:rsid w:val="00CA5FFD"/>
    <w:rsid w:val="00CA6B80"/>
    <w:rsid w:val="00CA73A8"/>
    <w:rsid w:val="00CB084F"/>
    <w:rsid w:val="00CB21C6"/>
    <w:rsid w:val="00CB22AF"/>
    <w:rsid w:val="00CB3DAB"/>
    <w:rsid w:val="00CB4B63"/>
    <w:rsid w:val="00CB4C30"/>
    <w:rsid w:val="00CB532E"/>
    <w:rsid w:val="00CB5663"/>
    <w:rsid w:val="00CB7FCB"/>
    <w:rsid w:val="00CC00CD"/>
    <w:rsid w:val="00CC14C5"/>
    <w:rsid w:val="00CC2C34"/>
    <w:rsid w:val="00CC5BE0"/>
    <w:rsid w:val="00CC5E3E"/>
    <w:rsid w:val="00CC670C"/>
    <w:rsid w:val="00CC786F"/>
    <w:rsid w:val="00CD080F"/>
    <w:rsid w:val="00CD1434"/>
    <w:rsid w:val="00CD1A2C"/>
    <w:rsid w:val="00CD4CEE"/>
    <w:rsid w:val="00CD5978"/>
    <w:rsid w:val="00CD59EC"/>
    <w:rsid w:val="00CD5AB4"/>
    <w:rsid w:val="00CD5F34"/>
    <w:rsid w:val="00CE041B"/>
    <w:rsid w:val="00CE170E"/>
    <w:rsid w:val="00CE33FA"/>
    <w:rsid w:val="00CE3652"/>
    <w:rsid w:val="00CE50B8"/>
    <w:rsid w:val="00CE72E3"/>
    <w:rsid w:val="00CF2CA1"/>
    <w:rsid w:val="00CF2EF6"/>
    <w:rsid w:val="00CF4690"/>
    <w:rsid w:val="00CF4DAF"/>
    <w:rsid w:val="00CF532E"/>
    <w:rsid w:val="00CF6B14"/>
    <w:rsid w:val="00CF7DE3"/>
    <w:rsid w:val="00D004A0"/>
    <w:rsid w:val="00D03273"/>
    <w:rsid w:val="00D04268"/>
    <w:rsid w:val="00D047D3"/>
    <w:rsid w:val="00D04F45"/>
    <w:rsid w:val="00D054BD"/>
    <w:rsid w:val="00D05E28"/>
    <w:rsid w:val="00D063D2"/>
    <w:rsid w:val="00D06D43"/>
    <w:rsid w:val="00D1185B"/>
    <w:rsid w:val="00D11E53"/>
    <w:rsid w:val="00D12348"/>
    <w:rsid w:val="00D15D40"/>
    <w:rsid w:val="00D16345"/>
    <w:rsid w:val="00D16E36"/>
    <w:rsid w:val="00D16E39"/>
    <w:rsid w:val="00D20C61"/>
    <w:rsid w:val="00D24CC2"/>
    <w:rsid w:val="00D250D0"/>
    <w:rsid w:val="00D31F4A"/>
    <w:rsid w:val="00D32C9D"/>
    <w:rsid w:val="00D35D5C"/>
    <w:rsid w:val="00D361D0"/>
    <w:rsid w:val="00D376C1"/>
    <w:rsid w:val="00D40DDB"/>
    <w:rsid w:val="00D44846"/>
    <w:rsid w:val="00D50796"/>
    <w:rsid w:val="00D5088B"/>
    <w:rsid w:val="00D521EA"/>
    <w:rsid w:val="00D52852"/>
    <w:rsid w:val="00D53EA2"/>
    <w:rsid w:val="00D542C3"/>
    <w:rsid w:val="00D55E8F"/>
    <w:rsid w:val="00D56AB8"/>
    <w:rsid w:val="00D57255"/>
    <w:rsid w:val="00D577D1"/>
    <w:rsid w:val="00D60192"/>
    <w:rsid w:val="00D60372"/>
    <w:rsid w:val="00D6148F"/>
    <w:rsid w:val="00D626A3"/>
    <w:rsid w:val="00D63081"/>
    <w:rsid w:val="00D63787"/>
    <w:rsid w:val="00D644AA"/>
    <w:rsid w:val="00D64797"/>
    <w:rsid w:val="00D65554"/>
    <w:rsid w:val="00D70679"/>
    <w:rsid w:val="00D70901"/>
    <w:rsid w:val="00D710DF"/>
    <w:rsid w:val="00D729F6"/>
    <w:rsid w:val="00D72E9D"/>
    <w:rsid w:val="00D73D62"/>
    <w:rsid w:val="00D74389"/>
    <w:rsid w:val="00D74E75"/>
    <w:rsid w:val="00D76689"/>
    <w:rsid w:val="00D80EB6"/>
    <w:rsid w:val="00D81B3A"/>
    <w:rsid w:val="00D82CE5"/>
    <w:rsid w:val="00D84D9D"/>
    <w:rsid w:val="00D856F4"/>
    <w:rsid w:val="00D90C79"/>
    <w:rsid w:val="00D9294F"/>
    <w:rsid w:val="00D9457C"/>
    <w:rsid w:val="00DA01E8"/>
    <w:rsid w:val="00DA0FD1"/>
    <w:rsid w:val="00DA17CF"/>
    <w:rsid w:val="00DA1E8F"/>
    <w:rsid w:val="00DA2FF5"/>
    <w:rsid w:val="00DA3452"/>
    <w:rsid w:val="00DA5AB1"/>
    <w:rsid w:val="00DA6996"/>
    <w:rsid w:val="00DA6EE1"/>
    <w:rsid w:val="00DA72B4"/>
    <w:rsid w:val="00DB12BD"/>
    <w:rsid w:val="00DB2EB1"/>
    <w:rsid w:val="00DB3448"/>
    <w:rsid w:val="00DB44D8"/>
    <w:rsid w:val="00DB49AA"/>
    <w:rsid w:val="00DB5ED4"/>
    <w:rsid w:val="00DB768D"/>
    <w:rsid w:val="00DC32BD"/>
    <w:rsid w:val="00DC3D67"/>
    <w:rsid w:val="00DC443C"/>
    <w:rsid w:val="00DC4962"/>
    <w:rsid w:val="00DC578F"/>
    <w:rsid w:val="00DC62E5"/>
    <w:rsid w:val="00DC6ACC"/>
    <w:rsid w:val="00DC6C76"/>
    <w:rsid w:val="00DD160B"/>
    <w:rsid w:val="00DD1C18"/>
    <w:rsid w:val="00DD31A9"/>
    <w:rsid w:val="00DD3432"/>
    <w:rsid w:val="00DD735D"/>
    <w:rsid w:val="00DD7D8D"/>
    <w:rsid w:val="00DE0618"/>
    <w:rsid w:val="00DE1FEF"/>
    <w:rsid w:val="00DE3119"/>
    <w:rsid w:val="00DE5723"/>
    <w:rsid w:val="00DE683C"/>
    <w:rsid w:val="00DE6B11"/>
    <w:rsid w:val="00DE6E79"/>
    <w:rsid w:val="00DE70DC"/>
    <w:rsid w:val="00DF0AB4"/>
    <w:rsid w:val="00DF0AE3"/>
    <w:rsid w:val="00DF16DA"/>
    <w:rsid w:val="00DF1DAA"/>
    <w:rsid w:val="00DF236B"/>
    <w:rsid w:val="00DF29D3"/>
    <w:rsid w:val="00DF5090"/>
    <w:rsid w:val="00DF6ACD"/>
    <w:rsid w:val="00E000C8"/>
    <w:rsid w:val="00E008F1"/>
    <w:rsid w:val="00E01453"/>
    <w:rsid w:val="00E017C4"/>
    <w:rsid w:val="00E04C9B"/>
    <w:rsid w:val="00E056B2"/>
    <w:rsid w:val="00E06F42"/>
    <w:rsid w:val="00E07843"/>
    <w:rsid w:val="00E10A6D"/>
    <w:rsid w:val="00E13AB8"/>
    <w:rsid w:val="00E13FD3"/>
    <w:rsid w:val="00E14299"/>
    <w:rsid w:val="00E144AB"/>
    <w:rsid w:val="00E17C49"/>
    <w:rsid w:val="00E17EE1"/>
    <w:rsid w:val="00E21256"/>
    <w:rsid w:val="00E21494"/>
    <w:rsid w:val="00E240E7"/>
    <w:rsid w:val="00E2553E"/>
    <w:rsid w:val="00E3090F"/>
    <w:rsid w:val="00E33B62"/>
    <w:rsid w:val="00E3568A"/>
    <w:rsid w:val="00E36BAD"/>
    <w:rsid w:val="00E36E37"/>
    <w:rsid w:val="00E37E82"/>
    <w:rsid w:val="00E42CEA"/>
    <w:rsid w:val="00E42F9D"/>
    <w:rsid w:val="00E43A2C"/>
    <w:rsid w:val="00E43A34"/>
    <w:rsid w:val="00E449E0"/>
    <w:rsid w:val="00E45104"/>
    <w:rsid w:val="00E453B7"/>
    <w:rsid w:val="00E50019"/>
    <w:rsid w:val="00E52D01"/>
    <w:rsid w:val="00E5557F"/>
    <w:rsid w:val="00E5588F"/>
    <w:rsid w:val="00E60196"/>
    <w:rsid w:val="00E60756"/>
    <w:rsid w:val="00E61E09"/>
    <w:rsid w:val="00E64B60"/>
    <w:rsid w:val="00E66E98"/>
    <w:rsid w:val="00E67E83"/>
    <w:rsid w:val="00E737A7"/>
    <w:rsid w:val="00E768B7"/>
    <w:rsid w:val="00E80C3F"/>
    <w:rsid w:val="00E832F8"/>
    <w:rsid w:val="00E8330E"/>
    <w:rsid w:val="00E83789"/>
    <w:rsid w:val="00E87315"/>
    <w:rsid w:val="00E91477"/>
    <w:rsid w:val="00E915AC"/>
    <w:rsid w:val="00E9178F"/>
    <w:rsid w:val="00E91DA5"/>
    <w:rsid w:val="00E9754A"/>
    <w:rsid w:val="00E9760B"/>
    <w:rsid w:val="00E97CC7"/>
    <w:rsid w:val="00E97E46"/>
    <w:rsid w:val="00EA04EF"/>
    <w:rsid w:val="00EA1131"/>
    <w:rsid w:val="00EA3483"/>
    <w:rsid w:val="00EA6BEE"/>
    <w:rsid w:val="00EA704D"/>
    <w:rsid w:val="00EA79EB"/>
    <w:rsid w:val="00EB0DF1"/>
    <w:rsid w:val="00EB7836"/>
    <w:rsid w:val="00EC4988"/>
    <w:rsid w:val="00EC5E1B"/>
    <w:rsid w:val="00EC5F41"/>
    <w:rsid w:val="00EC60CB"/>
    <w:rsid w:val="00EC7B4C"/>
    <w:rsid w:val="00ED0667"/>
    <w:rsid w:val="00ED0F19"/>
    <w:rsid w:val="00ED2EFF"/>
    <w:rsid w:val="00ED3AC7"/>
    <w:rsid w:val="00ED3BF4"/>
    <w:rsid w:val="00ED4234"/>
    <w:rsid w:val="00ED42A5"/>
    <w:rsid w:val="00ED7F90"/>
    <w:rsid w:val="00EE094E"/>
    <w:rsid w:val="00EE1CCD"/>
    <w:rsid w:val="00EE4DB7"/>
    <w:rsid w:val="00EE5189"/>
    <w:rsid w:val="00EE7272"/>
    <w:rsid w:val="00EE776B"/>
    <w:rsid w:val="00EF15DA"/>
    <w:rsid w:val="00EF16DD"/>
    <w:rsid w:val="00EF66D5"/>
    <w:rsid w:val="00EF66D6"/>
    <w:rsid w:val="00F01322"/>
    <w:rsid w:val="00F04CC2"/>
    <w:rsid w:val="00F058FE"/>
    <w:rsid w:val="00F05F75"/>
    <w:rsid w:val="00F06B15"/>
    <w:rsid w:val="00F0755F"/>
    <w:rsid w:val="00F109B1"/>
    <w:rsid w:val="00F1157D"/>
    <w:rsid w:val="00F11EDA"/>
    <w:rsid w:val="00F1301C"/>
    <w:rsid w:val="00F13DF7"/>
    <w:rsid w:val="00F155B7"/>
    <w:rsid w:val="00F16C53"/>
    <w:rsid w:val="00F24361"/>
    <w:rsid w:val="00F26EF6"/>
    <w:rsid w:val="00F277D0"/>
    <w:rsid w:val="00F27A52"/>
    <w:rsid w:val="00F30A5C"/>
    <w:rsid w:val="00F36B58"/>
    <w:rsid w:val="00F36E11"/>
    <w:rsid w:val="00F379A3"/>
    <w:rsid w:val="00F41D25"/>
    <w:rsid w:val="00F42730"/>
    <w:rsid w:val="00F449FE"/>
    <w:rsid w:val="00F44CA3"/>
    <w:rsid w:val="00F46903"/>
    <w:rsid w:val="00F46AAC"/>
    <w:rsid w:val="00F47B8F"/>
    <w:rsid w:val="00F50F9E"/>
    <w:rsid w:val="00F555DB"/>
    <w:rsid w:val="00F55AA3"/>
    <w:rsid w:val="00F562BD"/>
    <w:rsid w:val="00F57B5D"/>
    <w:rsid w:val="00F608B9"/>
    <w:rsid w:val="00F60DB7"/>
    <w:rsid w:val="00F60E91"/>
    <w:rsid w:val="00F71570"/>
    <w:rsid w:val="00F728C3"/>
    <w:rsid w:val="00F72BAE"/>
    <w:rsid w:val="00F7558E"/>
    <w:rsid w:val="00F76205"/>
    <w:rsid w:val="00F803F1"/>
    <w:rsid w:val="00F81111"/>
    <w:rsid w:val="00F8177B"/>
    <w:rsid w:val="00F81B47"/>
    <w:rsid w:val="00F83B75"/>
    <w:rsid w:val="00F84899"/>
    <w:rsid w:val="00F859F0"/>
    <w:rsid w:val="00F8789E"/>
    <w:rsid w:val="00F92E29"/>
    <w:rsid w:val="00FA06A3"/>
    <w:rsid w:val="00FA0AD1"/>
    <w:rsid w:val="00FA310C"/>
    <w:rsid w:val="00FA3B5A"/>
    <w:rsid w:val="00FA40C0"/>
    <w:rsid w:val="00FA4A30"/>
    <w:rsid w:val="00FA4B7C"/>
    <w:rsid w:val="00FA540E"/>
    <w:rsid w:val="00FA6587"/>
    <w:rsid w:val="00FA6DE2"/>
    <w:rsid w:val="00FB0D40"/>
    <w:rsid w:val="00FB301D"/>
    <w:rsid w:val="00FB42FF"/>
    <w:rsid w:val="00FB47F3"/>
    <w:rsid w:val="00FB516F"/>
    <w:rsid w:val="00FB58AF"/>
    <w:rsid w:val="00FB5BF9"/>
    <w:rsid w:val="00FC0B6A"/>
    <w:rsid w:val="00FC3D45"/>
    <w:rsid w:val="00FC711A"/>
    <w:rsid w:val="00FD019A"/>
    <w:rsid w:val="00FD2533"/>
    <w:rsid w:val="00FD3213"/>
    <w:rsid w:val="00FD3A2E"/>
    <w:rsid w:val="00FD4AFF"/>
    <w:rsid w:val="00FD50F2"/>
    <w:rsid w:val="00FD674C"/>
    <w:rsid w:val="00FD7A75"/>
    <w:rsid w:val="00FD7C89"/>
    <w:rsid w:val="00FE0395"/>
    <w:rsid w:val="00FE0DC4"/>
    <w:rsid w:val="00FE0E9C"/>
    <w:rsid w:val="00FE125A"/>
    <w:rsid w:val="00FE141E"/>
    <w:rsid w:val="00FE24F4"/>
    <w:rsid w:val="00FE2A33"/>
    <w:rsid w:val="00FE46AA"/>
    <w:rsid w:val="00FE5ECC"/>
    <w:rsid w:val="00FE674D"/>
    <w:rsid w:val="00FF3657"/>
    <w:rsid w:val="00FF417D"/>
    <w:rsid w:val="00FF49BD"/>
    <w:rsid w:val="00FF4A64"/>
    <w:rsid w:val="00FF60FB"/>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95"/>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C9FE9F6-B92F-4F28-AB1B-1778E8CA08FA}"/>
</file>

<file path=customXml/itemProps4.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53</TotalTime>
  <Pages>14</Pages>
  <Words>4190</Words>
  <Characters>23049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5</cp:revision>
  <dcterms:created xsi:type="dcterms:W3CDTF">2021-05-24T23:39:00Z</dcterms:created>
  <dcterms:modified xsi:type="dcterms:W3CDTF">2021-05-26T18:54:00Z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