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87E97" w14:textId="77777777" w:rsidR="00E31632" w:rsidRPr="005419DA" w:rsidRDefault="00E31632" w:rsidP="00E31632">
      <w:pPr>
        <w:jc w:val="right"/>
        <w:rPr>
          <w:rFonts w:ascii="Arial" w:eastAsia="Calibri" w:hAnsi="Arial" w:cs="Arial"/>
          <w:b/>
          <w:color w:val="000000" w:themeColor="text1"/>
          <w:sz w:val="20"/>
          <w:szCs w:val="20"/>
          <w:lang w:val="es-ES_tradnl"/>
        </w:rPr>
      </w:pPr>
      <w:bookmarkStart w:id="0" w:name="_Hlk28946138"/>
      <w:bookmarkStart w:id="1" w:name="_Hlk29548183"/>
      <w:r w:rsidRPr="005419DA">
        <w:rPr>
          <w:rFonts w:ascii="Arial" w:hAnsi="Arial" w:cs="Arial"/>
          <w:bCs/>
          <w:color w:val="000000" w:themeColor="text1"/>
          <w:sz w:val="16"/>
          <w:szCs w:val="16"/>
          <w:lang w:val="es-ES_tradnl" w:eastAsia="es-ES"/>
        </w:rPr>
        <w:t>CCE-DES-FM-17</w:t>
      </w:r>
      <w:bookmarkEnd w:id="0"/>
      <w:bookmarkEnd w:id="1"/>
    </w:p>
    <w:p w14:paraId="60F960BB" w14:textId="77777777" w:rsidR="00E41C5F" w:rsidRDefault="00E41C5F" w:rsidP="009A5867">
      <w:pPr>
        <w:jc w:val="both"/>
        <w:rPr>
          <w:rFonts w:ascii="Arial" w:eastAsia="Calibri" w:hAnsi="Arial" w:cs="Arial"/>
          <w:b/>
          <w:sz w:val="22"/>
          <w:szCs w:val="22"/>
          <w:lang w:val="es-ES_tradnl" w:eastAsia="en-US"/>
        </w:rPr>
      </w:pPr>
      <w:bookmarkStart w:id="2" w:name="_Hlk67491235"/>
    </w:p>
    <w:p w14:paraId="2987EC3E" w14:textId="29A2ADFC" w:rsidR="00DD4A94" w:rsidRPr="00DD4A94" w:rsidRDefault="00DD4A94" w:rsidP="009A5867">
      <w:pPr>
        <w:jc w:val="both"/>
        <w:rPr>
          <w:rFonts w:ascii="Arial" w:eastAsia="Calibri" w:hAnsi="Arial" w:cs="Arial"/>
          <w:b/>
          <w:sz w:val="22"/>
          <w:szCs w:val="22"/>
          <w:lang w:val="es-ES_tradnl" w:eastAsia="en-US"/>
        </w:rPr>
      </w:pPr>
      <w:r w:rsidRPr="00DD4A94">
        <w:rPr>
          <w:rFonts w:ascii="Arial" w:eastAsia="Calibri" w:hAnsi="Arial" w:cs="Arial"/>
          <w:b/>
          <w:sz w:val="22"/>
          <w:szCs w:val="22"/>
          <w:lang w:val="es-ES_tradnl" w:eastAsia="en-US"/>
        </w:rPr>
        <w:t xml:space="preserve">SELECCIÓN OBJETIVA </w:t>
      </w:r>
      <w:r w:rsidRPr="00DD4A94">
        <w:rPr>
          <w:rFonts w:ascii="Arial" w:eastAsia="Calibri" w:hAnsi="Arial" w:cs="Arial"/>
          <w:b/>
          <w:color w:val="000000" w:themeColor="text1"/>
          <w:sz w:val="22"/>
          <w:szCs w:val="22"/>
          <w:lang w:val="es-ES_tradnl" w:eastAsia="en-US"/>
        </w:rPr>
        <w:t>–</w:t>
      </w:r>
      <w:r w:rsidRPr="00DD4A94">
        <w:rPr>
          <w:rFonts w:ascii="Arial" w:eastAsia="Calibri" w:hAnsi="Arial" w:cs="Arial"/>
          <w:b/>
          <w:sz w:val="22"/>
          <w:szCs w:val="22"/>
          <w:lang w:val="es-ES_tradnl" w:eastAsia="en-US"/>
        </w:rPr>
        <w:t xml:space="preserve"> Contratación estatal </w:t>
      </w:r>
      <w:r w:rsidRPr="00DD4A94">
        <w:rPr>
          <w:rFonts w:ascii="Arial" w:eastAsia="Calibri" w:hAnsi="Arial" w:cs="Arial"/>
          <w:b/>
          <w:color w:val="000000" w:themeColor="text1"/>
          <w:sz w:val="22"/>
          <w:szCs w:val="22"/>
          <w:lang w:val="es-ES_tradnl" w:eastAsia="en-US"/>
        </w:rPr>
        <w:t>– Concepto</w:t>
      </w:r>
    </w:p>
    <w:p w14:paraId="5E7EC683" w14:textId="77777777" w:rsidR="00DD4A94" w:rsidRPr="00DD4A94" w:rsidRDefault="00DD4A94" w:rsidP="009A5867">
      <w:pPr>
        <w:jc w:val="both"/>
        <w:rPr>
          <w:rFonts w:ascii="Arial" w:eastAsia="Calibri" w:hAnsi="Arial" w:cs="Arial"/>
          <w:b/>
          <w:sz w:val="22"/>
          <w:szCs w:val="22"/>
          <w:lang w:val="es-ES_tradnl" w:eastAsia="en-US"/>
        </w:rPr>
      </w:pPr>
    </w:p>
    <w:p w14:paraId="2409969E" w14:textId="77777777" w:rsidR="009232CF" w:rsidRPr="009232CF" w:rsidRDefault="009232CF" w:rsidP="009232CF">
      <w:pPr>
        <w:jc w:val="both"/>
        <w:rPr>
          <w:rFonts w:ascii="Arial" w:eastAsia="Calibri" w:hAnsi="Arial" w:cs="Arial"/>
          <w:color w:val="000000" w:themeColor="text1"/>
          <w:sz w:val="20"/>
          <w:szCs w:val="20"/>
          <w:lang w:val="es-ES_tradnl"/>
        </w:rPr>
      </w:pPr>
      <w:r w:rsidRPr="009232CF">
        <w:rPr>
          <w:rFonts w:ascii="Arial" w:eastAsia="Calibri" w:hAnsi="Arial" w:cs="Arial"/>
          <w:color w:val="000000" w:themeColor="text1"/>
          <w:sz w:val="20"/>
          <w:szCs w:val="20"/>
          <w:lang w:val="es-ES_tradnl"/>
        </w:rPr>
        <w:t>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equivalentes tendrán en cuenta criterios como la experiencia y la capacidad jurídica, financiera y de organización, entre otros elementos que garanticen la escogencia de la mejor opción de negocio para la entidad estatal.</w:t>
      </w:r>
    </w:p>
    <w:p w14:paraId="4C95AA9D" w14:textId="77777777" w:rsidR="00DD4A94" w:rsidRPr="00DD4A94" w:rsidRDefault="00DD4A94" w:rsidP="009232CF">
      <w:pPr>
        <w:jc w:val="both"/>
        <w:rPr>
          <w:rFonts w:ascii="Arial" w:eastAsia="Calibri" w:hAnsi="Arial" w:cs="Arial"/>
          <w:b/>
          <w:sz w:val="22"/>
          <w:szCs w:val="22"/>
          <w:lang w:val="es-ES_tradnl" w:eastAsia="en-US"/>
        </w:rPr>
      </w:pPr>
    </w:p>
    <w:p w14:paraId="24BF2F77" w14:textId="77777777" w:rsidR="00DD4A94" w:rsidRPr="00DD4A94" w:rsidRDefault="00DD4A94" w:rsidP="009232CF">
      <w:pPr>
        <w:jc w:val="both"/>
        <w:rPr>
          <w:rFonts w:ascii="Arial" w:eastAsia="Calibri" w:hAnsi="Arial" w:cs="Arial"/>
          <w:b/>
          <w:sz w:val="22"/>
          <w:szCs w:val="22"/>
          <w:lang w:val="es-ES_tradnl" w:eastAsia="en-US"/>
        </w:rPr>
      </w:pPr>
      <w:r w:rsidRPr="00DD4A94">
        <w:rPr>
          <w:rFonts w:ascii="Arial" w:eastAsia="Calibri" w:hAnsi="Arial" w:cs="Arial"/>
          <w:b/>
          <w:sz w:val="22"/>
          <w:szCs w:val="22"/>
          <w:lang w:val="es-ES_tradnl" w:eastAsia="en-US"/>
        </w:rPr>
        <w:t xml:space="preserve">EMPATE </w:t>
      </w:r>
      <w:r w:rsidRPr="00DD4A94">
        <w:rPr>
          <w:rFonts w:ascii="Arial" w:eastAsia="Calibri" w:hAnsi="Arial" w:cs="Arial"/>
          <w:b/>
          <w:color w:val="000000" w:themeColor="text1"/>
          <w:sz w:val="22"/>
          <w:szCs w:val="22"/>
          <w:lang w:val="es-ES_tradnl" w:eastAsia="en-US"/>
        </w:rPr>
        <w:t>–</w:t>
      </w:r>
      <w:r w:rsidRPr="00DD4A94">
        <w:rPr>
          <w:rFonts w:ascii="Arial" w:eastAsia="Calibri" w:hAnsi="Arial" w:cs="Arial"/>
          <w:b/>
          <w:sz w:val="22"/>
          <w:szCs w:val="22"/>
          <w:lang w:val="es-ES_tradnl" w:eastAsia="en-US"/>
        </w:rPr>
        <w:t xml:space="preserve"> Procedimiento de selección </w:t>
      </w:r>
      <w:r w:rsidRPr="00DD4A94">
        <w:rPr>
          <w:rFonts w:ascii="Arial" w:eastAsia="Calibri" w:hAnsi="Arial" w:cs="Arial"/>
          <w:b/>
          <w:color w:val="000000" w:themeColor="text1"/>
          <w:sz w:val="22"/>
          <w:szCs w:val="22"/>
          <w:lang w:val="es-ES_tradnl" w:eastAsia="en-US"/>
        </w:rPr>
        <w:t>– Concepto</w:t>
      </w:r>
    </w:p>
    <w:p w14:paraId="558CA752" w14:textId="77777777" w:rsidR="00DD4A94" w:rsidRPr="00DD4A94" w:rsidRDefault="00DD4A94" w:rsidP="009232CF">
      <w:pPr>
        <w:jc w:val="both"/>
        <w:rPr>
          <w:rFonts w:ascii="Arial" w:eastAsia="Calibri" w:hAnsi="Arial" w:cs="Arial"/>
          <w:b/>
          <w:sz w:val="22"/>
          <w:szCs w:val="22"/>
          <w:lang w:val="es-ES_tradnl" w:eastAsia="en-US"/>
        </w:rPr>
      </w:pPr>
    </w:p>
    <w:p w14:paraId="66CEBB92" w14:textId="77777777" w:rsidR="009232CF" w:rsidRPr="009232CF" w:rsidRDefault="009232CF" w:rsidP="009232CF">
      <w:pPr>
        <w:jc w:val="both"/>
        <w:rPr>
          <w:rFonts w:ascii="Arial" w:eastAsia="Calibri" w:hAnsi="Arial" w:cs="Arial"/>
          <w:color w:val="000000" w:themeColor="text1"/>
          <w:sz w:val="20"/>
          <w:szCs w:val="20"/>
          <w:lang w:val="es-ES_tradnl"/>
        </w:rPr>
      </w:pPr>
      <w:r w:rsidRPr="009232CF">
        <w:rPr>
          <w:rFonts w:ascii="Arial" w:eastAsia="Calibri" w:hAnsi="Arial" w:cs="Arial"/>
          <w:color w:val="000000" w:themeColor="text1"/>
          <w:sz w:val="20"/>
          <w:szCs w:val="20"/>
          <w:lang w:val="es-ES_tradnl"/>
        </w:rPr>
        <w:t xml:space="preserve">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de selección. </w:t>
      </w:r>
    </w:p>
    <w:p w14:paraId="49DC8C0A" w14:textId="77777777" w:rsidR="00DD4A94" w:rsidRPr="00DD4A94" w:rsidRDefault="00DD4A94" w:rsidP="009232CF">
      <w:pPr>
        <w:jc w:val="both"/>
        <w:rPr>
          <w:rFonts w:ascii="Arial" w:eastAsia="Calibri" w:hAnsi="Arial" w:cs="Arial"/>
          <w:b/>
          <w:sz w:val="22"/>
          <w:szCs w:val="22"/>
          <w:lang w:val="es-ES_tradnl" w:eastAsia="en-US"/>
        </w:rPr>
      </w:pPr>
    </w:p>
    <w:p w14:paraId="2CF53D91" w14:textId="77777777" w:rsidR="00DD4A94" w:rsidRPr="00DD4A94" w:rsidRDefault="00DD4A94" w:rsidP="009232CF">
      <w:pPr>
        <w:jc w:val="both"/>
        <w:rPr>
          <w:rFonts w:ascii="Arial" w:eastAsia="Calibri" w:hAnsi="Arial" w:cs="Arial"/>
          <w:b/>
          <w:sz w:val="22"/>
          <w:szCs w:val="22"/>
          <w:lang w:val="es-ES_tradnl" w:eastAsia="en-US"/>
        </w:rPr>
      </w:pPr>
      <w:r w:rsidRPr="00DD4A94">
        <w:rPr>
          <w:rFonts w:ascii="Arial" w:eastAsia="Calibri" w:hAnsi="Arial" w:cs="Arial"/>
          <w:b/>
          <w:sz w:val="22"/>
          <w:szCs w:val="22"/>
          <w:lang w:val="es-ES_tradnl" w:eastAsia="en-US"/>
        </w:rPr>
        <w:t xml:space="preserve">FACTORES DE DESEMPATE </w:t>
      </w:r>
      <w:r w:rsidRPr="00DD4A94">
        <w:rPr>
          <w:rFonts w:ascii="Arial" w:eastAsia="Calibri" w:hAnsi="Arial" w:cs="Arial"/>
          <w:b/>
          <w:color w:val="000000" w:themeColor="text1"/>
          <w:sz w:val="22"/>
          <w:szCs w:val="22"/>
          <w:lang w:val="es-ES_tradnl" w:eastAsia="en-US"/>
        </w:rPr>
        <w:t>–</w:t>
      </w:r>
      <w:r w:rsidRPr="00DD4A94">
        <w:rPr>
          <w:rFonts w:ascii="Arial" w:eastAsia="Calibri" w:hAnsi="Arial" w:cs="Arial"/>
          <w:b/>
          <w:sz w:val="22"/>
          <w:szCs w:val="22"/>
          <w:lang w:val="es-ES_tradnl" w:eastAsia="en-US"/>
        </w:rPr>
        <w:t xml:space="preserve"> Características </w:t>
      </w:r>
      <w:r w:rsidRPr="00DD4A94">
        <w:rPr>
          <w:rFonts w:ascii="Arial" w:eastAsia="Calibri" w:hAnsi="Arial" w:cs="Arial"/>
          <w:b/>
          <w:color w:val="000000" w:themeColor="text1"/>
          <w:sz w:val="22"/>
          <w:szCs w:val="22"/>
          <w:lang w:val="es-ES_tradnl" w:eastAsia="en-US"/>
        </w:rPr>
        <w:t>– Límites</w:t>
      </w:r>
    </w:p>
    <w:p w14:paraId="5747A6A9" w14:textId="77777777" w:rsidR="00DD4A94" w:rsidRPr="00DD4A94" w:rsidRDefault="00DD4A94" w:rsidP="009232CF">
      <w:pPr>
        <w:jc w:val="both"/>
        <w:rPr>
          <w:rFonts w:ascii="Arial" w:eastAsiaTheme="minorHAnsi" w:hAnsi="Arial" w:cs="Arial"/>
          <w:noProof/>
          <w:color w:val="000000" w:themeColor="text1"/>
          <w:sz w:val="22"/>
          <w:szCs w:val="22"/>
          <w:lang w:val="es-ES_tradnl" w:eastAsia="en-US"/>
        </w:rPr>
      </w:pPr>
    </w:p>
    <w:p w14:paraId="46D5161F" w14:textId="592F1654" w:rsidR="009232CF" w:rsidRPr="009232CF" w:rsidRDefault="009232CF" w:rsidP="009232CF">
      <w:pPr>
        <w:jc w:val="both"/>
        <w:rPr>
          <w:rFonts w:ascii="Arial" w:eastAsia="Calibri" w:hAnsi="Arial" w:cs="Arial"/>
          <w:color w:val="000000" w:themeColor="text1"/>
          <w:sz w:val="20"/>
          <w:szCs w:val="20"/>
          <w:lang w:val="es-ES_tradnl"/>
        </w:rPr>
      </w:pPr>
      <w:r w:rsidRPr="009232CF">
        <w:rPr>
          <w:rFonts w:ascii="Arial" w:eastAsia="Calibri" w:hAnsi="Arial" w:cs="Arial"/>
          <w:color w:val="000000" w:themeColor="text1"/>
          <w:sz w:val="20"/>
          <w:szCs w:val="20"/>
          <w:lang w:val="es-ES_tradnl"/>
        </w:rPr>
        <w:t xml:space="preserve">Sin embargo,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 entre los que se </w:t>
      </w:r>
      <w:proofErr w:type="gramStart"/>
      <w:r w:rsidRPr="009232CF">
        <w:rPr>
          <w:rFonts w:ascii="Arial" w:eastAsia="Calibri" w:hAnsi="Arial" w:cs="Arial"/>
          <w:color w:val="000000" w:themeColor="text1"/>
          <w:sz w:val="20"/>
          <w:szCs w:val="20"/>
          <w:lang w:val="es-ES_tradnl"/>
        </w:rPr>
        <w:t>cuenta,  el</w:t>
      </w:r>
      <w:proofErr w:type="gramEnd"/>
      <w:r w:rsidRPr="009232CF">
        <w:rPr>
          <w:rFonts w:ascii="Arial" w:eastAsia="Calibri" w:hAnsi="Arial" w:cs="Arial"/>
          <w:color w:val="000000" w:themeColor="text1"/>
          <w:sz w:val="20"/>
          <w:szCs w:val="20"/>
          <w:lang w:val="es-ES_tradnl"/>
        </w:rPr>
        <w:t xml:space="preserve"> artículo 35 de la Ley 2069 de 2020. La jurisprudencia comparte la idea de que los criterios de desempate deben estar establecidos de antemano y constituyen un límite a la discrecionalidad administrativa en los procedimientos de selección. </w:t>
      </w:r>
    </w:p>
    <w:p w14:paraId="77BE77A1" w14:textId="380BAF95" w:rsidR="009232CF" w:rsidRPr="009232CF" w:rsidRDefault="009232CF" w:rsidP="009232CF">
      <w:pPr>
        <w:spacing w:before="120"/>
        <w:jc w:val="both"/>
        <w:rPr>
          <w:rFonts w:ascii="Arial" w:eastAsia="Calibri" w:hAnsi="Arial" w:cs="Arial"/>
          <w:color w:val="000000" w:themeColor="text1"/>
          <w:sz w:val="20"/>
          <w:szCs w:val="20"/>
          <w:lang w:val="es-ES_tradnl"/>
        </w:rPr>
      </w:pPr>
      <w:r w:rsidRPr="009232CF">
        <w:rPr>
          <w:rFonts w:ascii="Arial" w:eastAsia="Calibri" w:hAnsi="Arial" w:cs="Arial"/>
          <w:color w:val="000000" w:themeColor="text1"/>
          <w:sz w:val="20"/>
          <w:szCs w:val="20"/>
          <w:lang w:val="es-ES_tradnl"/>
        </w:rPr>
        <w:t xml:space="preserve">En tal sentido, la Corte Constitucional explica que cuando la ley establece factores de desempate obligatorios, las entidades estatales no pueden </w:t>
      </w:r>
      <w:proofErr w:type="spellStart"/>
      <w:r w:rsidRPr="009232CF">
        <w:rPr>
          <w:rFonts w:ascii="Arial" w:eastAsia="Calibri" w:hAnsi="Arial" w:cs="Arial"/>
          <w:color w:val="000000" w:themeColor="text1"/>
          <w:sz w:val="20"/>
          <w:szCs w:val="20"/>
          <w:lang w:val="es-ES_tradnl"/>
        </w:rPr>
        <w:t>inaplicarlos</w:t>
      </w:r>
      <w:proofErr w:type="spellEnd"/>
      <w:r w:rsidRPr="009232CF">
        <w:rPr>
          <w:rFonts w:ascii="Arial" w:eastAsia="Calibri" w:hAnsi="Arial" w:cs="Arial"/>
          <w:color w:val="000000" w:themeColor="text1"/>
          <w:sz w:val="20"/>
          <w:szCs w:val="20"/>
          <w:lang w:val="es-ES_tradnl"/>
        </w:rPr>
        <w:t>, porque ello podría vulnerar el principio de igualdad, especialmente, cuando algunos de estos criterios surgen como acciones afirmativas para ciertos sectores de la población. Más aún, el Consejo de Estado- ha señalado que contrariar los factores de desempate genera la nulidad del contrato, conforme al artículo 44, inciso 1º de la Ley 80 de 1993.</w:t>
      </w:r>
    </w:p>
    <w:p w14:paraId="0C838157" w14:textId="77777777" w:rsidR="00DD4A94" w:rsidRPr="00DD4A94" w:rsidRDefault="00DD4A94" w:rsidP="009A5867">
      <w:pPr>
        <w:jc w:val="both"/>
        <w:rPr>
          <w:rFonts w:ascii="Arial" w:eastAsia="Calibri" w:hAnsi="Arial" w:cs="Arial"/>
          <w:sz w:val="20"/>
          <w:szCs w:val="20"/>
          <w:lang w:val="es-ES_tradnl" w:eastAsia="en-US"/>
        </w:rPr>
      </w:pPr>
    </w:p>
    <w:p w14:paraId="2C058BFF" w14:textId="77777777" w:rsidR="00DD4A94" w:rsidRPr="00DD4A94" w:rsidRDefault="00DD4A94" w:rsidP="009A5867">
      <w:pPr>
        <w:jc w:val="both"/>
        <w:rPr>
          <w:rFonts w:ascii="Arial" w:eastAsia="Calibri" w:hAnsi="Arial" w:cs="Arial"/>
          <w:b/>
          <w:sz w:val="22"/>
          <w:szCs w:val="22"/>
          <w:lang w:val="es-ES_tradnl" w:eastAsia="en-US"/>
        </w:rPr>
      </w:pPr>
      <w:r w:rsidRPr="00DD4A94">
        <w:rPr>
          <w:rFonts w:ascii="Arial" w:eastAsia="Calibri" w:hAnsi="Arial" w:cs="Arial"/>
          <w:b/>
          <w:sz w:val="22"/>
          <w:szCs w:val="22"/>
          <w:lang w:val="es-ES_tradnl" w:eastAsia="en-US"/>
        </w:rPr>
        <w:t xml:space="preserve">LEY DE EMPRENDIMIENTO </w:t>
      </w:r>
      <w:r w:rsidRPr="00DD4A94">
        <w:rPr>
          <w:rFonts w:ascii="Arial" w:eastAsia="Calibri" w:hAnsi="Arial" w:cs="Arial"/>
          <w:b/>
          <w:color w:val="000000" w:themeColor="text1"/>
          <w:sz w:val="22"/>
          <w:szCs w:val="22"/>
          <w:lang w:val="es-ES_tradnl" w:eastAsia="en-US"/>
        </w:rPr>
        <w:t>–</w:t>
      </w:r>
      <w:r w:rsidRPr="00DD4A94">
        <w:rPr>
          <w:rFonts w:ascii="Arial" w:eastAsia="Calibri" w:hAnsi="Arial" w:cs="Arial"/>
          <w:b/>
          <w:sz w:val="22"/>
          <w:szCs w:val="22"/>
          <w:lang w:val="es-ES_tradnl" w:eastAsia="en-US"/>
        </w:rPr>
        <w:t xml:space="preserve"> Ley 2069 de 2020 </w:t>
      </w:r>
      <w:r w:rsidRPr="00DD4A94">
        <w:rPr>
          <w:rFonts w:ascii="Arial" w:eastAsia="Calibri" w:hAnsi="Arial" w:cs="Arial"/>
          <w:b/>
          <w:color w:val="000000" w:themeColor="text1"/>
          <w:sz w:val="22"/>
          <w:szCs w:val="22"/>
          <w:lang w:val="es-ES_tradnl" w:eastAsia="en-US"/>
        </w:rPr>
        <w:t xml:space="preserve">– Vigencia </w:t>
      </w:r>
    </w:p>
    <w:p w14:paraId="6BD8819D" w14:textId="77777777" w:rsidR="00DD4A94" w:rsidRPr="00DD4A94" w:rsidRDefault="00DD4A94" w:rsidP="009A5867">
      <w:pPr>
        <w:jc w:val="both"/>
        <w:rPr>
          <w:rFonts w:ascii="Arial" w:eastAsia="Calibri" w:hAnsi="Arial" w:cs="Arial"/>
          <w:b/>
          <w:sz w:val="22"/>
          <w:szCs w:val="22"/>
          <w:lang w:val="es-ES_tradnl" w:eastAsia="en-US"/>
        </w:rPr>
      </w:pPr>
    </w:p>
    <w:p w14:paraId="3F6EAAD2" w14:textId="77777777" w:rsidR="00866E78" w:rsidRPr="00866E78" w:rsidRDefault="00866E78" w:rsidP="00866E78">
      <w:pPr>
        <w:jc w:val="both"/>
        <w:rPr>
          <w:rFonts w:ascii="Arial" w:eastAsia="Calibri" w:hAnsi="Arial" w:cs="Arial"/>
          <w:color w:val="000000" w:themeColor="text1"/>
          <w:sz w:val="20"/>
          <w:szCs w:val="20"/>
          <w:lang w:val="es-ES_tradnl"/>
        </w:rPr>
      </w:pPr>
      <w:r w:rsidRPr="00866E78">
        <w:rPr>
          <w:rFonts w:ascii="Arial" w:eastAsia="Calibri" w:hAnsi="Arial" w:cs="Arial"/>
          <w:color w:val="000000" w:themeColor="text1"/>
          <w:sz w:val="20"/>
          <w:szCs w:val="20"/>
          <w:lang w:val="es-ES_tradnl"/>
        </w:rPr>
        <w:t xml:space="preserve">El 31 de diciembre de 2020 se promulgó la Ley 2069, «Por medio de la cual se impulsa el emprendimiento en Colombia». De acuerdo con el artículo 84 de dicho cuerpo normativo, «La presente Ley rige a partir del momento de su promulgación […]», lo que significa que es obligatoria </w:t>
      </w:r>
      <w:r w:rsidRPr="00866E78">
        <w:rPr>
          <w:rFonts w:ascii="Arial" w:eastAsia="Calibri" w:hAnsi="Arial" w:cs="Arial"/>
          <w:color w:val="000000" w:themeColor="text1"/>
          <w:sz w:val="20"/>
          <w:szCs w:val="20"/>
          <w:lang w:val="es-ES_tradnl"/>
        </w:rPr>
        <w:lastRenderedPageBreak/>
        <w:t>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p>
    <w:p w14:paraId="139C0585" w14:textId="552E4048" w:rsidR="00866E78" w:rsidRPr="00866E78" w:rsidRDefault="00866E78" w:rsidP="00866E78">
      <w:pPr>
        <w:spacing w:before="120"/>
        <w:jc w:val="both"/>
        <w:rPr>
          <w:rFonts w:ascii="Arial" w:eastAsia="Calibri" w:hAnsi="Arial" w:cs="Arial"/>
          <w:color w:val="000000" w:themeColor="text1"/>
          <w:sz w:val="20"/>
          <w:szCs w:val="20"/>
          <w:lang w:val="es-ES_tradnl"/>
        </w:rPr>
      </w:pPr>
      <w:r w:rsidRPr="00866E78">
        <w:rPr>
          <w:rFonts w:ascii="Arial" w:eastAsia="Calibri" w:hAnsi="Arial" w:cs="Arial"/>
          <w:color w:val="000000" w:themeColor="text1"/>
          <w:sz w:val="20"/>
          <w:szCs w:val="20"/>
          <w:lang w:val="es-ES_tradnl"/>
        </w:rPr>
        <w:t xml:space="preserve">En cuando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866E78">
        <w:rPr>
          <w:rFonts w:ascii="Arial" w:eastAsia="Calibri" w:hAnsi="Arial" w:cs="Arial"/>
          <w:color w:val="000000" w:themeColor="text1"/>
          <w:sz w:val="20"/>
          <w:szCs w:val="20"/>
          <w:lang w:val="es-ES_tradnl"/>
        </w:rPr>
        <w:t>de acuerdo a</w:t>
      </w:r>
      <w:proofErr w:type="gramEnd"/>
      <w:r w:rsidRPr="00866E78">
        <w:rPr>
          <w:rFonts w:ascii="Arial" w:eastAsia="Calibri" w:hAnsi="Arial" w:cs="Arial"/>
          <w:color w:val="000000" w:themeColor="text1"/>
          <w:sz w:val="20"/>
          <w:szCs w:val="20"/>
          <w:lang w:val="es-ES_tradnl"/>
        </w:rPr>
        <w:t xml:space="preserve"> las realidades socioeconómicas de cada región». En desarrollo de esta finalidad, se establecen medidas de apoyo para las micro, pequeñas y medianas empresas –</w:t>
      </w:r>
      <w:proofErr w:type="spellStart"/>
      <w:r w:rsidRPr="00866E78">
        <w:rPr>
          <w:rFonts w:ascii="Arial" w:eastAsia="Calibri" w:hAnsi="Arial" w:cs="Arial"/>
          <w:color w:val="000000" w:themeColor="text1"/>
          <w:sz w:val="20"/>
          <w:szCs w:val="20"/>
          <w:lang w:val="es-ES_tradnl"/>
        </w:rPr>
        <w:t>mipymes</w:t>
      </w:r>
      <w:proofErr w:type="spellEnd"/>
      <w:r w:rsidRPr="00866E78">
        <w:rPr>
          <w:rFonts w:ascii="Arial" w:eastAsia="Calibri" w:hAnsi="Arial" w:cs="Arial"/>
          <w:color w:val="000000" w:themeColor="text1"/>
          <w:sz w:val="20"/>
          <w:szCs w:val="20"/>
          <w:lang w:val="es-ES_tradnl"/>
        </w:rPr>
        <w:t>–, mediante la racionalización y simplificación de los trámites y tarifas, así como incentivos a favor de aquellas dentro del sistema de compras y contratación pública. De igual forma, se consagran mecanismos de acceso al financiamiento, se unifican las fuentes de emprendimiento y de desarrollo empresarial, para fortalecer y promover los distintos sectores de la economía y se prevén medidas de educación para el emprendimiento y la innovación.</w:t>
      </w:r>
    </w:p>
    <w:p w14:paraId="38EA436B" w14:textId="77777777" w:rsidR="00DD4A94" w:rsidRPr="00DD4A94" w:rsidRDefault="00DD4A94" w:rsidP="009A5867">
      <w:pPr>
        <w:jc w:val="both"/>
        <w:rPr>
          <w:rFonts w:ascii="Arial" w:eastAsia="Calibri" w:hAnsi="Arial" w:cs="Arial"/>
          <w:b/>
          <w:sz w:val="22"/>
          <w:lang w:val="es-ES_tradnl"/>
        </w:rPr>
      </w:pPr>
    </w:p>
    <w:p w14:paraId="0E292DCD" w14:textId="77777777" w:rsidR="00DD4A94" w:rsidRPr="00DD4A94" w:rsidRDefault="00DD4A94" w:rsidP="009A5867">
      <w:pPr>
        <w:jc w:val="both"/>
        <w:rPr>
          <w:rFonts w:ascii="Arial" w:eastAsia="Calibri" w:hAnsi="Arial" w:cs="Arial"/>
          <w:b/>
          <w:sz w:val="22"/>
          <w:lang w:val="es-ES_tradnl"/>
        </w:rPr>
      </w:pPr>
      <w:r w:rsidRPr="00DD4A94">
        <w:rPr>
          <w:rFonts w:ascii="Arial" w:eastAsia="Calibri" w:hAnsi="Arial" w:cs="Arial"/>
          <w:b/>
          <w:sz w:val="22"/>
          <w:lang w:val="es-ES_tradnl"/>
        </w:rPr>
        <w:t xml:space="preserve">DECRETO 1082 DE 2015 </w:t>
      </w:r>
      <w:r w:rsidRPr="00DD4A94">
        <w:rPr>
          <w:rFonts w:ascii="Arial" w:eastAsia="Calibri" w:hAnsi="Arial" w:cs="Arial"/>
          <w:b/>
          <w:color w:val="000000"/>
          <w:sz w:val="22"/>
          <w:lang w:val="es-ES_tradnl"/>
        </w:rPr>
        <w:t xml:space="preserve">– Factores de desempate – Derogatoria – Artículo 35 − </w:t>
      </w:r>
      <w:r w:rsidRPr="00DD4A94">
        <w:rPr>
          <w:rFonts w:ascii="Arial" w:eastAsia="Calibri" w:hAnsi="Arial" w:cs="Arial"/>
          <w:b/>
          <w:sz w:val="22"/>
          <w:lang w:val="es-ES_tradnl"/>
        </w:rPr>
        <w:t>Ley 2069 de 2020 – Subasta inversa – Mínima cuantía</w:t>
      </w:r>
    </w:p>
    <w:bookmarkEnd w:id="2"/>
    <w:p w14:paraId="5EADBBEA" w14:textId="625D5704" w:rsidR="00DD4A94" w:rsidRPr="00DD4A94" w:rsidRDefault="00DD4A94" w:rsidP="009A5867">
      <w:pPr>
        <w:jc w:val="both"/>
        <w:rPr>
          <w:rFonts w:ascii="Arial" w:hAnsi="Arial" w:cs="Arial"/>
          <w:color w:val="000000"/>
          <w:sz w:val="20"/>
          <w:szCs w:val="20"/>
          <w:lang w:val="es-ES_tradnl"/>
        </w:rPr>
      </w:pPr>
    </w:p>
    <w:p w14:paraId="336FCC49" w14:textId="77777777" w:rsidR="00243B7A" w:rsidRPr="00243B7A" w:rsidRDefault="00243B7A" w:rsidP="00243B7A">
      <w:pPr>
        <w:spacing w:after="120"/>
        <w:jc w:val="both"/>
        <w:rPr>
          <w:rFonts w:ascii="Arial" w:hAnsi="Arial" w:cs="Arial"/>
          <w:color w:val="000000"/>
          <w:sz w:val="20"/>
          <w:szCs w:val="20"/>
          <w:lang w:val="es-ES_tradnl"/>
        </w:rPr>
      </w:pPr>
      <w:r w:rsidRPr="00243B7A">
        <w:rPr>
          <w:rFonts w:ascii="Arial" w:hAnsi="Arial" w:cs="Arial"/>
          <w:color w:val="000000"/>
          <w:sz w:val="20"/>
          <w:szCs w:val="20"/>
          <w:lang w:val="es-ES_tradnl"/>
        </w:rPr>
        <w:t>[…], puede afirmarse que el numeral 9 del artículo 2.2.1.2.1.2.2. del Decreto 1082 de 2015 también ha perdido igualmente fuerza ejecutoria con la vigencia del artículo 35 de la Ley 2069 de 2020, que contiene una regulación nueva y completa de los factores de desempate que aplican en los procesos de selección, sin distinguir las modalidades contractuales en las que rigen estos criterios. Por tal razón, esta Agencia concluye que el numeral 9 del artículo 2.2.1.2.1.2.2. del Decreto 1082 de 2015 ha perdido fuerza ejecutoria y que en los procesos de selección abreviada adelantados por las entidades estatales los factores de desempate que estas deben aplicar directamente son los previstos en el artículo 35 de la Ley 2069 de 2020.</w:t>
      </w:r>
    </w:p>
    <w:p w14:paraId="62FCDD11" w14:textId="77777777" w:rsidR="00243B7A" w:rsidRPr="00243B7A" w:rsidRDefault="00243B7A" w:rsidP="00243B7A">
      <w:pPr>
        <w:spacing w:after="120"/>
        <w:jc w:val="both"/>
        <w:rPr>
          <w:rFonts w:ascii="Arial" w:hAnsi="Arial" w:cs="Arial"/>
          <w:color w:val="000000"/>
          <w:sz w:val="20"/>
          <w:szCs w:val="20"/>
          <w:lang w:val="es-ES_tradnl"/>
        </w:rPr>
      </w:pPr>
      <w:r w:rsidRPr="00243B7A">
        <w:rPr>
          <w:rFonts w:ascii="Arial" w:hAnsi="Arial" w:cs="Arial"/>
          <w:color w:val="000000" w:themeColor="text1"/>
          <w:sz w:val="20"/>
          <w:szCs w:val="20"/>
          <w:lang w:val="es-ES_tradnl"/>
        </w:rPr>
        <w:t>[…]</w:t>
      </w:r>
    </w:p>
    <w:p w14:paraId="19B9B922" w14:textId="637FD111" w:rsidR="00243B7A" w:rsidRPr="00243B7A" w:rsidRDefault="00243B7A" w:rsidP="00243B7A">
      <w:pPr>
        <w:spacing w:after="120"/>
        <w:jc w:val="both"/>
        <w:rPr>
          <w:rFonts w:ascii="Arial" w:hAnsi="Arial" w:cs="Arial"/>
          <w:color w:val="000000" w:themeColor="text1"/>
          <w:sz w:val="20"/>
          <w:szCs w:val="20"/>
          <w:lang w:val="es-ES_tradnl"/>
        </w:rPr>
      </w:pPr>
      <w:r w:rsidRPr="00243B7A">
        <w:rPr>
          <w:rFonts w:ascii="Arial" w:hAnsi="Arial" w:cs="Arial"/>
          <w:color w:val="000000" w:themeColor="text1"/>
          <w:sz w:val="20"/>
          <w:szCs w:val="20"/>
          <w:lang w:val="es-ES_tradnl"/>
        </w:rPr>
        <w:t xml:space="preserve">Tratándose de los factores de desempate, la intención del legislador es que el artículo 35 de la Ley de Emprendimiento sea una norma transversal al sistema de compras y contratación pública. Particularmente, </w:t>
      </w:r>
      <w:r w:rsidRPr="00243B7A">
        <w:rPr>
          <w:rFonts w:ascii="Arial" w:eastAsia="Calibri" w:hAnsi="Arial" w:cs="Arial"/>
          <w:bCs/>
          <w:color w:val="000000" w:themeColor="text1"/>
          <w:sz w:val="20"/>
          <w:szCs w:val="20"/>
        </w:rPr>
        <w:t>conforme a la exposición de motivos, la ley «</w:t>
      </w:r>
      <w:r w:rsidRPr="00243B7A">
        <w:rPr>
          <w:rFonts w:ascii="Arial" w:hAnsi="Arial" w:cs="Arial"/>
          <w:sz w:val="20"/>
          <w:szCs w:val="20"/>
        </w:rPr>
        <w:t xml:space="preserve">[…] </w:t>
      </w:r>
      <w:r w:rsidRPr="00243B7A">
        <w:rPr>
          <w:rFonts w:ascii="Arial" w:eastAsia="Calibri" w:hAnsi="Arial" w:cs="Arial"/>
          <w:bCs/>
          <w:color w:val="000000" w:themeColor="text1"/>
          <w:sz w:val="20"/>
          <w:szCs w:val="20"/>
        </w:rPr>
        <w:t xml:space="preserve">propone facilitar el acceso de las </w:t>
      </w:r>
      <w:proofErr w:type="spellStart"/>
      <w:r w:rsidRPr="00243B7A">
        <w:rPr>
          <w:rFonts w:ascii="Arial" w:eastAsia="Calibri" w:hAnsi="Arial" w:cs="Arial"/>
          <w:bCs/>
          <w:color w:val="000000" w:themeColor="text1"/>
          <w:sz w:val="20"/>
          <w:szCs w:val="20"/>
        </w:rPr>
        <w:t>Mipymes</w:t>
      </w:r>
      <w:proofErr w:type="spellEnd"/>
      <w:r w:rsidRPr="00243B7A">
        <w:rPr>
          <w:rFonts w:ascii="Arial" w:eastAsia="Calibri" w:hAnsi="Arial" w:cs="Arial"/>
          <w:bCs/>
          <w:color w:val="000000" w:themeColor="text1"/>
          <w:sz w:val="20"/>
          <w:szCs w:val="20"/>
        </w:rPr>
        <w:t xml:space="preserve"> a la modalidad de contratación de mínima cuantía, la limitación de estos procesos a </w:t>
      </w:r>
      <w:proofErr w:type="spellStart"/>
      <w:r w:rsidRPr="00243B7A">
        <w:rPr>
          <w:rFonts w:ascii="Arial" w:eastAsia="Calibri" w:hAnsi="Arial" w:cs="Arial"/>
          <w:bCs/>
          <w:color w:val="000000" w:themeColor="text1"/>
          <w:sz w:val="20"/>
          <w:szCs w:val="20"/>
        </w:rPr>
        <w:t>Mipymes</w:t>
      </w:r>
      <w:proofErr w:type="spellEnd"/>
      <w:r w:rsidRPr="00243B7A">
        <w:rPr>
          <w:rFonts w:ascii="Arial" w:eastAsia="Calibri" w:hAnsi="Arial" w:cs="Arial"/>
          <w:bCs/>
          <w:color w:val="000000" w:themeColor="text1"/>
          <w:sz w:val="20"/>
          <w:szCs w:val="20"/>
        </w:rPr>
        <w:t xml:space="preserve">, […] y </w:t>
      </w:r>
      <w:r w:rsidRPr="00243B7A">
        <w:rPr>
          <w:rFonts w:ascii="Arial" w:eastAsia="Calibri" w:hAnsi="Arial" w:cs="Arial"/>
          <w:bCs/>
          <w:i/>
          <w:iCs/>
          <w:color w:val="000000" w:themeColor="text1"/>
          <w:sz w:val="20"/>
          <w:szCs w:val="20"/>
        </w:rPr>
        <w:t>define la inclusión de factores de desempate en los procesos de contratación pública que priorizan este segmento</w:t>
      </w:r>
      <w:r w:rsidRPr="00243B7A">
        <w:rPr>
          <w:rFonts w:ascii="Arial" w:eastAsia="Calibri" w:hAnsi="Arial" w:cs="Arial"/>
          <w:bCs/>
          <w:color w:val="000000" w:themeColor="text1"/>
          <w:sz w:val="20"/>
          <w:szCs w:val="20"/>
        </w:rPr>
        <w:t xml:space="preserve">» (Énfasis fuera de texto). En esta medida, carece de sentido que los criterios de desempate sean inaplicables a la mínima cuantía, cuando la regla prevista en el artículo citado obliga a todas las entidades exceptuadas sin consideración al valor del presupuesto oficial estimado. Teniendo en cuenta lo anterior, se concluye que el artículo </w:t>
      </w:r>
      <w:r w:rsidRPr="00243B7A">
        <w:rPr>
          <w:rFonts w:ascii="Arial" w:hAnsi="Arial" w:cs="Arial"/>
          <w:color w:val="000000" w:themeColor="text1"/>
          <w:sz w:val="20"/>
          <w:szCs w:val="20"/>
          <w:lang w:val="es-ES_tradnl"/>
        </w:rPr>
        <w:t xml:space="preserve">35 de la Ley 2069 de 2020 es aplicable al procedimiento de mínima cuantía, por lo que se presenta tanto la derogación como el decaimiento de los criterios de desempate previstos en el Decreto 1082 de 2015 para esta modalidad de selección. </w:t>
      </w:r>
      <w:r w:rsidRPr="00243B7A">
        <w:rPr>
          <w:rFonts w:ascii="Arial" w:eastAsia="Calibri" w:hAnsi="Arial" w:cs="Arial"/>
          <w:bCs/>
          <w:color w:val="000000" w:themeColor="text1"/>
          <w:sz w:val="20"/>
          <w:szCs w:val="20"/>
        </w:rPr>
        <w:t xml:space="preserve">   </w:t>
      </w:r>
      <w:r w:rsidRPr="00243B7A">
        <w:rPr>
          <w:rFonts w:ascii="Arial" w:hAnsi="Arial" w:cs="Arial"/>
          <w:color w:val="000000" w:themeColor="text1"/>
          <w:sz w:val="20"/>
          <w:szCs w:val="20"/>
          <w:lang w:val="es-ES_tradnl"/>
        </w:rPr>
        <w:t xml:space="preserve">     </w:t>
      </w:r>
    </w:p>
    <w:p w14:paraId="05000CAB" w14:textId="77777777" w:rsidR="00243B7A" w:rsidRPr="00243B7A" w:rsidRDefault="00243B7A" w:rsidP="00243B7A">
      <w:pPr>
        <w:jc w:val="both"/>
        <w:rPr>
          <w:rFonts w:ascii="Arial" w:hAnsi="Arial" w:cs="Arial"/>
          <w:color w:val="000000" w:themeColor="text1"/>
          <w:sz w:val="20"/>
          <w:szCs w:val="20"/>
          <w:lang w:val="es-ES_tradnl"/>
        </w:rPr>
      </w:pPr>
      <w:r w:rsidRPr="00243B7A">
        <w:rPr>
          <w:rFonts w:ascii="Arial" w:hAnsi="Arial" w:cs="Arial"/>
          <w:color w:val="000000" w:themeColor="text1"/>
          <w:sz w:val="20"/>
          <w:szCs w:val="20"/>
          <w:lang w:val="es-ES_tradnl"/>
        </w:rPr>
        <w:t xml:space="preserve">Ahora bien, </w:t>
      </w:r>
      <w:r w:rsidRPr="00243B7A">
        <w:rPr>
          <w:rFonts w:ascii="Arial" w:hAnsi="Arial" w:cs="Arial"/>
          <w:color w:val="000000"/>
          <w:sz w:val="20"/>
          <w:szCs w:val="20"/>
          <w:lang w:val="es-ES_tradnl"/>
        </w:rPr>
        <w:t>el Congreso de la República hizo obligatoria la aplicación de los factores de desempate previstos en el artículo 35 de la Ley 2069 de 2020 a todos «</w:t>
      </w:r>
      <w:r w:rsidRPr="00243B7A">
        <w:rPr>
          <w:rFonts w:ascii="Arial" w:hAnsi="Arial" w:cs="Arial"/>
          <w:sz w:val="20"/>
          <w:szCs w:val="20"/>
        </w:rPr>
        <w:t xml:space="preserve">[…] </w:t>
      </w:r>
      <w:r w:rsidRPr="00243B7A">
        <w:rPr>
          <w:rFonts w:ascii="Arial" w:hAnsi="Arial" w:cs="Arial"/>
          <w:color w:val="000000"/>
          <w:sz w:val="20"/>
          <w:szCs w:val="20"/>
          <w:lang w:val="es-ES_tradnl"/>
        </w:rPr>
        <w:t xml:space="preserve">los Procesos de Contratación realizados con cargo a recursos públicos», sin excepción alguna. La selección abreviada y la mínima cuantía son procesos de contratación que se realizan con cargo a recursos públicos. Por lo tanto, en el trámite de estos procesos deben aplicarse los factores de desempate regulados en el artículo 35 de la Ley 2069 de 2020, </w:t>
      </w:r>
      <w:r w:rsidRPr="00243B7A">
        <w:rPr>
          <w:rFonts w:ascii="Arial" w:hAnsi="Arial" w:cs="Arial"/>
          <w:color w:val="000000" w:themeColor="text1"/>
          <w:sz w:val="20"/>
          <w:szCs w:val="20"/>
          <w:lang w:val="es-ES_tradnl"/>
        </w:rPr>
        <w:t xml:space="preserve">por lo que se presenta tanto la derogación como el decaimiento de los criterios de desempate previstos en el Decreto 1082 de 2015 para estas modalidades de selección. </w:t>
      </w:r>
      <w:r w:rsidRPr="00243B7A">
        <w:rPr>
          <w:rFonts w:ascii="Arial" w:eastAsia="Calibri" w:hAnsi="Arial" w:cs="Arial"/>
          <w:bCs/>
          <w:color w:val="000000" w:themeColor="text1"/>
          <w:sz w:val="20"/>
          <w:szCs w:val="20"/>
        </w:rPr>
        <w:t xml:space="preserve">   </w:t>
      </w:r>
      <w:r w:rsidRPr="00243B7A">
        <w:rPr>
          <w:rFonts w:ascii="Arial" w:hAnsi="Arial" w:cs="Arial"/>
          <w:color w:val="000000" w:themeColor="text1"/>
          <w:sz w:val="20"/>
          <w:szCs w:val="20"/>
          <w:lang w:val="es-ES_tradnl"/>
        </w:rPr>
        <w:t xml:space="preserve"> </w:t>
      </w:r>
    </w:p>
    <w:p w14:paraId="0BC11449" w14:textId="77777777" w:rsidR="00DD4A94" w:rsidRPr="00DD4A94" w:rsidRDefault="00DD4A94" w:rsidP="009A5867">
      <w:pPr>
        <w:jc w:val="both"/>
        <w:rPr>
          <w:rFonts w:ascii="Arial" w:eastAsia="Calibri" w:hAnsi="Arial" w:cs="Arial"/>
          <w:sz w:val="20"/>
          <w:szCs w:val="20"/>
          <w:lang w:val="es-ES_tradnl"/>
        </w:rPr>
      </w:pPr>
    </w:p>
    <w:p w14:paraId="0933D93D" w14:textId="720539B2" w:rsidR="00DD4A94" w:rsidRPr="00DD4A94" w:rsidRDefault="00EB08BD" w:rsidP="009A5867">
      <w:pPr>
        <w:jc w:val="both"/>
        <w:rPr>
          <w:rFonts w:ascii="Arial" w:eastAsia="Calibri" w:hAnsi="Arial" w:cs="Arial"/>
          <w:b/>
          <w:bCs/>
          <w:color w:val="000000" w:themeColor="text1"/>
          <w:sz w:val="22"/>
          <w:szCs w:val="22"/>
          <w:lang w:val="es-ES_tradnl" w:eastAsia="en-US"/>
        </w:rPr>
      </w:pPr>
      <w:r w:rsidRPr="00DD4A94">
        <w:rPr>
          <w:rFonts w:ascii="Arial" w:eastAsia="Calibri" w:hAnsi="Arial" w:cs="Arial"/>
          <w:b/>
          <w:bCs/>
          <w:color w:val="000000" w:themeColor="text1"/>
          <w:sz w:val="22"/>
          <w:szCs w:val="22"/>
          <w:lang w:val="es-ES_tradnl" w:eastAsia="en-US"/>
        </w:rPr>
        <w:lastRenderedPageBreak/>
        <w:t xml:space="preserve">FACTORES DE DESEMPATE </w:t>
      </w:r>
      <w:r w:rsidR="00DD4A94" w:rsidRPr="00DD4A94">
        <w:rPr>
          <w:rFonts w:ascii="Arial" w:eastAsia="Calibri" w:hAnsi="Arial" w:cs="Arial"/>
          <w:b/>
          <w:bCs/>
          <w:color w:val="000000" w:themeColor="text1"/>
          <w:sz w:val="22"/>
          <w:szCs w:val="22"/>
          <w:lang w:val="es-ES_tradnl" w:eastAsia="en-US"/>
        </w:rPr>
        <w:t>− Numeral 7 − Numeral 10 − Artículo 35 − Ley 2069 de 2020</w:t>
      </w:r>
    </w:p>
    <w:p w14:paraId="2521ACCA" w14:textId="77777777" w:rsidR="00DD4A94" w:rsidRPr="00DD4A94" w:rsidRDefault="00DD4A94" w:rsidP="009A5867">
      <w:pPr>
        <w:jc w:val="both"/>
        <w:rPr>
          <w:rFonts w:ascii="Arial" w:eastAsia="Calibri" w:hAnsi="Arial" w:cs="Arial"/>
          <w:sz w:val="20"/>
          <w:szCs w:val="20"/>
          <w:lang w:val="es-ES_tradnl"/>
        </w:rPr>
      </w:pPr>
    </w:p>
    <w:p w14:paraId="2443E575" w14:textId="4CA5843D" w:rsidR="00243B7A" w:rsidRPr="00243B7A" w:rsidRDefault="00243B7A" w:rsidP="00243B7A">
      <w:pPr>
        <w:jc w:val="both"/>
        <w:rPr>
          <w:rFonts w:ascii="Arial" w:eastAsia="Calibri" w:hAnsi="Arial" w:cs="Arial"/>
          <w:color w:val="000000" w:themeColor="text1"/>
          <w:sz w:val="20"/>
          <w:szCs w:val="20"/>
          <w:lang w:val="es-ES_tradnl"/>
        </w:rPr>
      </w:pPr>
      <w:r w:rsidRPr="00243B7A">
        <w:rPr>
          <w:rFonts w:ascii="Arial" w:hAnsi="Arial" w:cs="Arial"/>
          <w:color w:val="000000" w:themeColor="text1"/>
          <w:sz w:val="20"/>
          <w:szCs w:val="20"/>
          <w:lang w:val="es-ES_tradnl"/>
        </w:rPr>
        <w:t xml:space="preserve">[…] de acuerdo con el literal a) del numeral 7, la oferta del proponente plural integrado por una persona jurídica solo es preferida i) si en la persona jurídica la participación de las mujeres cabeza de familia o personas en proceso de reincorporación o reintegración es mayoritaria, y si, además, </w:t>
      </w:r>
      <w:proofErr w:type="spellStart"/>
      <w:r w:rsidRPr="00243B7A">
        <w:rPr>
          <w:rFonts w:ascii="Arial" w:hAnsi="Arial" w:cs="Arial"/>
          <w:color w:val="000000" w:themeColor="text1"/>
          <w:sz w:val="20"/>
          <w:szCs w:val="20"/>
          <w:lang w:val="es-ES_tradnl"/>
        </w:rPr>
        <w:t>ii</w:t>
      </w:r>
      <w:proofErr w:type="spellEnd"/>
      <w:r w:rsidRPr="00243B7A">
        <w:rPr>
          <w:rFonts w:ascii="Arial" w:hAnsi="Arial" w:cs="Arial"/>
          <w:color w:val="000000" w:themeColor="text1"/>
          <w:sz w:val="20"/>
          <w:szCs w:val="20"/>
          <w:lang w:val="es-ES_tradnl"/>
        </w:rPr>
        <w:t xml:space="preserve">) la persona jurídica participa por lo menos en un veinticinco por ciento (25%) en el proponente plural. En este caso, una lectura detenida de dicho literal nos permite concluir que se deben reunir ambas condiciones.  Ahora bien, en relación con el literal a) del numeral 10 </w:t>
      </w:r>
      <w:r w:rsidRPr="00243B7A">
        <w:rPr>
          <w:rFonts w:ascii="Arial" w:eastAsia="Calibri" w:hAnsi="Arial" w:cs="Arial"/>
          <w:color w:val="000000" w:themeColor="text1"/>
          <w:sz w:val="20"/>
          <w:szCs w:val="20"/>
          <w:lang w:val="es-ES_tradnl"/>
        </w:rPr>
        <w:t xml:space="preserve">tratándose de un proponente plural, debe probar que «esté conformado por al menos una MIPYME, cooperativa o asociación mutual que tenga una participación de por lo menos el veinticinco por ciento (25%)». </w:t>
      </w:r>
    </w:p>
    <w:p w14:paraId="5BC68EFF" w14:textId="77777777" w:rsidR="00243B7A" w:rsidRPr="00243B7A" w:rsidRDefault="00243B7A" w:rsidP="00243B7A">
      <w:pPr>
        <w:spacing w:before="120"/>
        <w:jc w:val="both"/>
        <w:rPr>
          <w:rFonts w:ascii="Arial" w:eastAsia="Calibri" w:hAnsi="Arial" w:cs="Arial"/>
          <w:color w:val="000000" w:themeColor="text1"/>
          <w:sz w:val="20"/>
          <w:szCs w:val="20"/>
          <w:lang w:val="es-ES_tradnl"/>
        </w:rPr>
      </w:pPr>
      <w:r w:rsidRPr="00243B7A">
        <w:rPr>
          <w:rFonts w:ascii="Arial" w:eastAsia="Calibri" w:hAnsi="Arial" w:cs="Arial"/>
          <w:color w:val="000000" w:themeColor="text1"/>
          <w:sz w:val="20"/>
          <w:szCs w:val="20"/>
          <w:lang w:val="es-ES_tradnl"/>
        </w:rPr>
        <w:t xml:space="preserve">Por otra parte, en relación con el literal b) del numeral 7 se preferirá la propuesta si </w:t>
      </w:r>
      <w:r w:rsidRPr="00243B7A">
        <w:rPr>
          <w:rFonts w:ascii="Arial" w:hAnsi="Arial" w:cs="Arial"/>
          <w:color w:val="000000" w:themeColor="text1"/>
          <w:sz w:val="20"/>
          <w:szCs w:val="20"/>
          <w:lang w:val="es-ES_tradnl"/>
        </w:rPr>
        <w:t>«</w:t>
      </w:r>
      <w:r w:rsidRPr="00243B7A">
        <w:rPr>
          <w:rFonts w:ascii="Arial" w:eastAsia="Calibri" w:hAnsi="Arial" w:cs="Arial"/>
          <w:color w:val="000000" w:themeColor="text1"/>
          <w:sz w:val="20"/>
          <w:szCs w:val="20"/>
          <w:lang w:val="es-ES_tradnl"/>
        </w:rPr>
        <w:t>la madre cabeza de familia, la persona en proceso de reincorporación o reintegración, o la persona jurídica aporte mínimo el veinticinco por ciento (25%) de la experiencia acreditada en la oferta»</w:t>
      </w:r>
      <w:r w:rsidRPr="00243B7A">
        <w:rPr>
          <w:rFonts w:ascii="Arial" w:hAnsi="Arial" w:cs="Arial"/>
          <w:color w:val="000000" w:themeColor="text1"/>
          <w:sz w:val="20"/>
          <w:szCs w:val="20"/>
          <w:lang w:val="es-ES_tradnl"/>
        </w:rPr>
        <w:t xml:space="preserve">. De forma similar, </w:t>
      </w:r>
      <w:r w:rsidRPr="00243B7A">
        <w:rPr>
          <w:rFonts w:ascii="Arial" w:eastAsia="Calibri" w:hAnsi="Arial" w:cs="Arial"/>
          <w:color w:val="000000" w:themeColor="text1"/>
          <w:sz w:val="20"/>
          <w:szCs w:val="20"/>
          <w:lang w:val="es-ES_tradnl"/>
        </w:rPr>
        <w:t xml:space="preserve">para efectos del numeral 10, se preferirá la oferta cuando «la MIPYME, cooperativa o asociación mutual aporte mínimo el veinticinco por ciento (25%) de la experiencia acreditada en la oferta». </w:t>
      </w:r>
    </w:p>
    <w:p w14:paraId="6B68B024" w14:textId="77777777" w:rsidR="00243B7A" w:rsidRPr="00243B7A" w:rsidRDefault="00243B7A" w:rsidP="00243B7A">
      <w:pPr>
        <w:spacing w:before="120"/>
        <w:jc w:val="both"/>
        <w:rPr>
          <w:rFonts w:ascii="Arial" w:hAnsi="Arial" w:cs="Arial"/>
          <w:color w:val="000000" w:themeColor="text1"/>
          <w:sz w:val="20"/>
          <w:szCs w:val="20"/>
          <w:lang w:val="es-ES_tradnl"/>
        </w:rPr>
      </w:pPr>
      <w:r w:rsidRPr="00243B7A">
        <w:rPr>
          <w:rFonts w:ascii="Arial" w:hAnsi="Arial" w:cs="Arial"/>
          <w:color w:val="000000" w:themeColor="text1"/>
          <w:sz w:val="20"/>
          <w:szCs w:val="20"/>
          <w:lang w:val="es-ES_tradnl"/>
        </w:rPr>
        <w:t xml:space="preserve">Finalmente, lo que indica el literal c) del numeral 7 es que se debe preferir la oferta del proponente plural, si –además de los requisitos anteriores– este cumple con la condición de que ni la madre cabeza de familia, ni la persona en proceso de reincorporación o reintegración, ni la persona jurídica, ni sus accionistas, socios o representantes legales «sean empleados, socios o accionistas de los miembros del proponente plural». Es decir, que no sean empleados, socios o accionistas de los integrantes del consorcio o la unión temporal, sin perjuicio de su participación en la estructura plural. Así, por ejemplo, la madre cabeza de familia no podrá ser empleada de la «sociedad A» con la que integra un consorcio, pero sí deberá tener una participación independiente en este y aportarle su experiencia, lo cual es bien diferente a ser socia, accionista o empleada de uno de los miembros de dicho proponente plural. </w:t>
      </w:r>
    </w:p>
    <w:p w14:paraId="2A3A3750" w14:textId="77777777" w:rsidR="00243B7A" w:rsidRPr="00243B7A" w:rsidRDefault="00243B7A" w:rsidP="00243B7A">
      <w:pPr>
        <w:spacing w:before="120"/>
        <w:jc w:val="both"/>
        <w:rPr>
          <w:rFonts w:ascii="Arial" w:hAnsi="Arial" w:cs="Arial"/>
          <w:color w:val="000000" w:themeColor="text1"/>
          <w:sz w:val="20"/>
          <w:szCs w:val="20"/>
          <w:lang w:val="es-ES_tradnl"/>
        </w:rPr>
      </w:pPr>
      <w:r w:rsidRPr="00243B7A">
        <w:rPr>
          <w:rFonts w:ascii="Arial" w:hAnsi="Arial" w:cs="Arial"/>
          <w:color w:val="000000" w:themeColor="text1"/>
          <w:sz w:val="20"/>
          <w:szCs w:val="20"/>
          <w:lang w:val="es-ES_tradnl"/>
        </w:rPr>
        <w:t>Lo propio ocurre con el numeral 10 cuando el literal c) cuando dispone que «</w:t>
      </w:r>
      <w:r w:rsidRPr="00243B7A">
        <w:rPr>
          <w:rFonts w:ascii="Arial" w:eastAsia="Calibri" w:hAnsi="Arial" w:cs="Arial"/>
          <w:color w:val="000000" w:themeColor="text1"/>
          <w:sz w:val="20"/>
          <w:szCs w:val="20"/>
          <w:lang w:val="es-ES_tradnl"/>
        </w:rPr>
        <w:t xml:space="preserve">ni la MIPYME, cooperativa o asociación mutual ni sus accionistas, socios o representantes legales sean empleados, socios o accionistas de los miembros del proponente plural». En este caso, como en el supuesto anterior, si la sociedad A –en calidad </w:t>
      </w:r>
      <w:proofErr w:type="spellStart"/>
      <w:r w:rsidRPr="00243B7A">
        <w:rPr>
          <w:rFonts w:ascii="Arial" w:eastAsia="Calibri" w:hAnsi="Arial" w:cs="Arial"/>
          <w:color w:val="000000" w:themeColor="text1"/>
          <w:sz w:val="20"/>
          <w:szCs w:val="20"/>
          <w:lang w:val="es-ES_tradnl"/>
        </w:rPr>
        <w:t>mipyme</w:t>
      </w:r>
      <w:proofErr w:type="spellEnd"/>
      <w:r w:rsidRPr="00243B7A">
        <w:rPr>
          <w:rFonts w:ascii="Arial" w:eastAsia="Calibri" w:hAnsi="Arial" w:cs="Arial"/>
          <w:color w:val="000000" w:themeColor="text1"/>
          <w:sz w:val="20"/>
          <w:szCs w:val="20"/>
          <w:lang w:val="es-ES_tradnl"/>
        </w:rPr>
        <w:t xml:space="preserve">, cooperativa o asociación mutual– tiene el porcentaje de participación y experiencia dentro del consorcio o la unión temporal, el literal prohíbe que la persona jurídica, así como sus accionistas, socios o representantes legales, tenga alguna relación con los miembros de proponente plural. Siguiendo con el ejemplo propuesto, si las «sociedad A» aúna esfuerzos con la «sociedad B» en un consorcio, la condición del literal c) del numeral 10 se incumple –entre los demás supuestos descritos en la norma– cuando el representante legal de la </w:t>
      </w:r>
      <w:proofErr w:type="spellStart"/>
      <w:r w:rsidRPr="00243B7A">
        <w:rPr>
          <w:rFonts w:ascii="Arial" w:eastAsia="Calibri" w:hAnsi="Arial" w:cs="Arial"/>
          <w:color w:val="000000" w:themeColor="text1"/>
          <w:sz w:val="20"/>
          <w:szCs w:val="20"/>
          <w:lang w:val="es-ES_tradnl"/>
        </w:rPr>
        <w:t>mipyme</w:t>
      </w:r>
      <w:proofErr w:type="spellEnd"/>
      <w:r w:rsidRPr="00243B7A">
        <w:rPr>
          <w:rFonts w:ascii="Arial" w:eastAsia="Calibri" w:hAnsi="Arial" w:cs="Arial"/>
          <w:color w:val="000000" w:themeColor="text1"/>
          <w:sz w:val="20"/>
          <w:szCs w:val="20"/>
          <w:lang w:val="es-ES_tradnl"/>
        </w:rPr>
        <w:t xml:space="preserve">, cooperativa o asociación mutual que tiene el porcentaje de participación y experiencia requerido, también es accionista de la «sociedad B».      </w:t>
      </w:r>
    </w:p>
    <w:p w14:paraId="469FF36E" w14:textId="77777777" w:rsidR="00E31632" w:rsidRPr="005419DA" w:rsidRDefault="00E31632" w:rsidP="009A5867">
      <w:pPr>
        <w:jc w:val="both"/>
        <w:rPr>
          <w:rFonts w:ascii="Arial" w:eastAsia="Calibri" w:hAnsi="Arial" w:cs="Arial"/>
          <w:b/>
          <w:sz w:val="22"/>
          <w:lang w:val="es-ES_tradnl"/>
        </w:rPr>
      </w:pPr>
    </w:p>
    <w:p w14:paraId="7F008B49" w14:textId="75B44F7A" w:rsidR="00E31632" w:rsidRDefault="00E31632" w:rsidP="00E31632">
      <w:pPr>
        <w:spacing w:line="276" w:lineRule="auto"/>
        <w:jc w:val="both"/>
        <w:rPr>
          <w:rFonts w:ascii="Arial" w:eastAsia="Calibri" w:hAnsi="Arial" w:cs="Arial"/>
          <w:b/>
          <w:sz w:val="22"/>
          <w:lang w:val="es-ES_tradnl"/>
        </w:rPr>
      </w:pPr>
    </w:p>
    <w:p w14:paraId="2159E44C" w14:textId="1097FD85" w:rsidR="0050000A" w:rsidRDefault="0050000A" w:rsidP="00E31632">
      <w:pPr>
        <w:spacing w:line="276" w:lineRule="auto"/>
        <w:jc w:val="both"/>
        <w:rPr>
          <w:rFonts w:ascii="Arial" w:eastAsia="Calibri" w:hAnsi="Arial" w:cs="Arial"/>
          <w:b/>
          <w:sz w:val="22"/>
          <w:lang w:val="es-ES_tradnl"/>
        </w:rPr>
      </w:pPr>
    </w:p>
    <w:p w14:paraId="31E59CDA" w14:textId="50BF2040" w:rsidR="0050000A" w:rsidRDefault="0050000A" w:rsidP="00E31632">
      <w:pPr>
        <w:spacing w:line="276" w:lineRule="auto"/>
        <w:jc w:val="both"/>
        <w:rPr>
          <w:rFonts w:ascii="Arial" w:eastAsia="Calibri" w:hAnsi="Arial" w:cs="Arial"/>
          <w:b/>
          <w:sz w:val="22"/>
          <w:lang w:val="es-ES_tradnl"/>
        </w:rPr>
      </w:pPr>
    </w:p>
    <w:p w14:paraId="4F4514E9" w14:textId="28400A6F" w:rsidR="0050000A" w:rsidRDefault="0050000A" w:rsidP="00E31632">
      <w:pPr>
        <w:spacing w:line="276" w:lineRule="auto"/>
        <w:jc w:val="both"/>
        <w:rPr>
          <w:rFonts w:ascii="Arial" w:eastAsia="Calibri" w:hAnsi="Arial" w:cs="Arial"/>
          <w:b/>
          <w:sz w:val="22"/>
          <w:lang w:val="es-ES_tradnl"/>
        </w:rPr>
      </w:pPr>
    </w:p>
    <w:p w14:paraId="3BDD0B5B" w14:textId="5E78B52F" w:rsidR="0050000A" w:rsidRDefault="0050000A" w:rsidP="00E31632">
      <w:pPr>
        <w:spacing w:line="276" w:lineRule="auto"/>
        <w:jc w:val="both"/>
        <w:rPr>
          <w:rFonts w:ascii="Arial" w:eastAsia="Calibri" w:hAnsi="Arial" w:cs="Arial"/>
          <w:b/>
          <w:sz w:val="22"/>
          <w:lang w:val="es-ES_tradnl"/>
        </w:rPr>
      </w:pPr>
    </w:p>
    <w:p w14:paraId="57CBC23C" w14:textId="3EE762CB" w:rsidR="009A5867" w:rsidRDefault="009A5867" w:rsidP="00E31632">
      <w:pPr>
        <w:spacing w:line="276" w:lineRule="auto"/>
        <w:jc w:val="both"/>
        <w:rPr>
          <w:rFonts w:ascii="Arial" w:eastAsia="Calibri" w:hAnsi="Arial" w:cs="Arial"/>
          <w:b/>
          <w:sz w:val="22"/>
          <w:lang w:val="es-ES_tradnl"/>
        </w:rPr>
      </w:pPr>
    </w:p>
    <w:p w14:paraId="4DC5EE45" w14:textId="3D52B5D1" w:rsidR="009A5867" w:rsidRDefault="009A5867" w:rsidP="00E31632">
      <w:pPr>
        <w:spacing w:line="276" w:lineRule="auto"/>
        <w:jc w:val="both"/>
        <w:rPr>
          <w:rFonts w:ascii="Arial" w:eastAsia="Calibri" w:hAnsi="Arial" w:cs="Arial"/>
          <w:b/>
          <w:sz w:val="22"/>
          <w:lang w:val="es-ES_tradnl"/>
        </w:rPr>
      </w:pPr>
    </w:p>
    <w:p w14:paraId="2915EA38" w14:textId="48C73146" w:rsidR="009A5867" w:rsidRDefault="009A5867" w:rsidP="00E31632">
      <w:pPr>
        <w:spacing w:line="276" w:lineRule="auto"/>
        <w:jc w:val="both"/>
        <w:rPr>
          <w:rFonts w:ascii="Arial" w:eastAsia="Calibri" w:hAnsi="Arial" w:cs="Arial"/>
          <w:b/>
          <w:sz w:val="22"/>
          <w:lang w:val="es-ES_tradnl"/>
        </w:rPr>
      </w:pPr>
    </w:p>
    <w:p w14:paraId="1CBA167C" w14:textId="29FD5489" w:rsidR="009A5867" w:rsidRDefault="009A5867" w:rsidP="00E31632">
      <w:pPr>
        <w:spacing w:line="276" w:lineRule="auto"/>
        <w:jc w:val="both"/>
        <w:rPr>
          <w:rFonts w:ascii="Arial" w:eastAsia="Calibri" w:hAnsi="Arial" w:cs="Arial"/>
          <w:b/>
          <w:sz w:val="22"/>
          <w:lang w:val="es-ES_tradnl"/>
        </w:rPr>
      </w:pPr>
    </w:p>
    <w:p w14:paraId="76A0DC2A" w14:textId="142B33A4" w:rsidR="009A5867" w:rsidRDefault="009A5867" w:rsidP="00E31632">
      <w:pPr>
        <w:spacing w:line="276" w:lineRule="auto"/>
        <w:jc w:val="both"/>
        <w:rPr>
          <w:rFonts w:ascii="Arial" w:eastAsia="Calibri" w:hAnsi="Arial" w:cs="Arial"/>
          <w:b/>
          <w:sz w:val="22"/>
          <w:lang w:val="es-ES_tradnl"/>
        </w:rPr>
      </w:pPr>
    </w:p>
    <w:p w14:paraId="5868E222" w14:textId="4AB81E19" w:rsidR="009A5867" w:rsidRDefault="009A5867" w:rsidP="00E31632">
      <w:pPr>
        <w:spacing w:line="276" w:lineRule="auto"/>
        <w:jc w:val="both"/>
        <w:rPr>
          <w:rFonts w:ascii="Arial" w:eastAsia="Calibri" w:hAnsi="Arial" w:cs="Arial"/>
          <w:b/>
          <w:sz w:val="22"/>
          <w:lang w:val="es-ES_tradnl"/>
        </w:rPr>
      </w:pPr>
    </w:p>
    <w:p w14:paraId="14678691" w14:textId="64491BA7" w:rsidR="009A5867" w:rsidRDefault="009A5867" w:rsidP="00E31632">
      <w:pPr>
        <w:spacing w:line="276" w:lineRule="auto"/>
        <w:jc w:val="both"/>
        <w:rPr>
          <w:rFonts w:ascii="Arial" w:eastAsia="Calibri" w:hAnsi="Arial" w:cs="Arial"/>
          <w:b/>
          <w:sz w:val="22"/>
          <w:lang w:val="es-ES_tradnl"/>
        </w:rPr>
      </w:pPr>
    </w:p>
    <w:p w14:paraId="2C70390B" w14:textId="32D0A799" w:rsidR="009A5867" w:rsidRDefault="00611922" w:rsidP="00611922">
      <w:pPr>
        <w:jc w:val="right"/>
        <w:rPr>
          <w:rFonts w:ascii="Arial" w:eastAsia="Calibri" w:hAnsi="Arial" w:cs="Arial"/>
          <w:color w:val="000000" w:themeColor="text1"/>
          <w:sz w:val="22"/>
          <w:lang w:val="es-ES_tradnl"/>
        </w:rPr>
      </w:pPr>
      <w:r>
        <w:rPr>
          <w:noProof/>
        </w:rPr>
        <w:drawing>
          <wp:inline distT="0" distB="0" distL="0" distR="0" wp14:anchorId="09BA7905" wp14:editId="3E714BB8">
            <wp:extent cx="2802890" cy="768052"/>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0718" t="47092" r="21590" b="29665"/>
                    <a:stretch/>
                  </pic:blipFill>
                  <pic:spPr bwMode="auto">
                    <a:xfrm>
                      <a:off x="0" y="0"/>
                      <a:ext cx="2828166" cy="774978"/>
                    </a:xfrm>
                    <a:prstGeom prst="rect">
                      <a:avLst/>
                    </a:prstGeom>
                    <a:ln>
                      <a:noFill/>
                    </a:ln>
                    <a:extLst>
                      <a:ext uri="{53640926-AAD7-44D8-BBD7-CCE9431645EC}">
                        <a14:shadowObscured xmlns:a14="http://schemas.microsoft.com/office/drawing/2010/main"/>
                      </a:ext>
                    </a:extLst>
                  </pic:spPr>
                </pic:pic>
              </a:graphicData>
            </a:graphic>
          </wp:inline>
        </w:drawing>
      </w:r>
    </w:p>
    <w:p w14:paraId="189C60AD" w14:textId="1B72B294" w:rsidR="00E41C5F" w:rsidRDefault="00E41C5F" w:rsidP="00E31632">
      <w:pPr>
        <w:jc w:val="both"/>
        <w:rPr>
          <w:rFonts w:ascii="Arial" w:eastAsia="Calibri" w:hAnsi="Arial" w:cs="Arial"/>
          <w:color w:val="000000" w:themeColor="text1"/>
          <w:sz w:val="22"/>
          <w:lang w:val="es-ES_tradnl"/>
        </w:rPr>
      </w:pPr>
    </w:p>
    <w:p w14:paraId="1A399E5A" w14:textId="3B967902" w:rsidR="00611922" w:rsidRPr="00BD1DC8" w:rsidRDefault="00BD1DC8" w:rsidP="00E31632">
      <w:pPr>
        <w:jc w:val="both"/>
        <w:rPr>
          <w:rFonts w:ascii="Arial" w:eastAsia="Calibri" w:hAnsi="Arial" w:cs="Arial"/>
          <w:color w:val="000000" w:themeColor="text1"/>
          <w:sz w:val="22"/>
          <w:szCs w:val="22"/>
          <w:lang w:val="es-ES_tradnl"/>
        </w:rPr>
      </w:pPr>
      <w:r w:rsidRPr="00BD1DC8">
        <w:rPr>
          <w:rFonts w:ascii="Arial" w:hAnsi="Arial" w:cs="Arial"/>
          <w:sz w:val="22"/>
          <w:szCs w:val="22"/>
        </w:rPr>
        <w:t xml:space="preserve">Bogotá, 05 </w:t>
      </w:r>
      <w:proofErr w:type="gramStart"/>
      <w:r w:rsidRPr="00BD1DC8">
        <w:rPr>
          <w:rFonts w:ascii="Arial" w:hAnsi="Arial" w:cs="Arial"/>
          <w:sz w:val="22"/>
          <w:szCs w:val="22"/>
        </w:rPr>
        <w:t>Mayo</w:t>
      </w:r>
      <w:proofErr w:type="gramEnd"/>
      <w:r w:rsidRPr="00BD1DC8">
        <w:rPr>
          <w:rFonts w:ascii="Arial" w:hAnsi="Arial" w:cs="Arial"/>
          <w:sz w:val="22"/>
          <w:szCs w:val="22"/>
        </w:rPr>
        <w:t xml:space="preserve"> 2021</w:t>
      </w:r>
    </w:p>
    <w:p w14:paraId="5A3520AC" w14:textId="77777777" w:rsidR="00611922" w:rsidRDefault="00611922" w:rsidP="00E31632">
      <w:pPr>
        <w:jc w:val="both"/>
        <w:rPr>
          <w:rFonts w:ascii="Arial" w:eastAsia="Calibri" w:hAnsi="Arial" w:cs="Arial"/>
          <w:color w:val="000000" w:themeColor="text1"/>
          <w:sz w:val="22"/>
          <w:lang w:val="es-ES_tradnl"/>
        </w:rPr>
      </w:pPr>
    </w:p>
    <w:p w14:paraId="0D22AEDE" w14:textId="0B252E5C" w:rsidR="00E31632" w:rsidRPr="005419DA" w:rsidRDefault="00E31632" w:rsidP="00E31632">
      <w:pPr>
        <w:jc w:val="both"/>
        <w:rPr>
          <w:rFonts w:ascii="Arial" w:eastAsia="Calibri" w:hAnsi="Arial" w:cs="Arial"/>
          <w:color w:val="000000" w:themeColor="text1"/>
          <w:sz w:val="22"/>
          <w:lang w:val="es-ES_tradnl"/>
        </w:rPr>
      </w:pPr>
      <w:r w:rsidRPr="005419DA">
        <w:rPr>
          <w:rFonts w:ascii="Arial" w:eastAsia="Calibri" w:hAnsi="Arial" w:cs="Arial"/>
          <w:color w:val="000000" w:themeColor="text1"/>
          <w:sz w:val="22"/>
          <w:lang w:val="es-ES_tradnl"/>
        </w:rPr>
        <w:t>Señor</w:t>
      </w:r>
    </w:p>
    <w:p w14:paraId="7E6A5A2E" w14:textId="098BE88D" w:rsidR="00E31632" w:rsidRPr="00E31632" w:rsidRDefault="00E31632" w:rsidP="00E31632">
      <w:pPr>
        <w:jc w:val="both"/>
        <w:rPr>
          <w:rFonts w:ascii="Arial" w:eastAsia="Calibri" w:hAnsi="Arial" w:cs="Arial"/>
          <w:b/>
          <w:bCs/>
          <w:color w:val="000000" w:themeColor="text1"/>
          <w:sz w:val="22"/>
          <w:szCs w:val="22"/>
          <w:lang w:val="es-ES_tradnl"/>
        </w:rPr>
      </w:pPr>
      <w:r w:rsidRPr="00E31632">
        <w:rPr>
          <w:rFonts w:ascii="Arial" w:hAnsi="Arial" w:cs="Arial"/>
          <w:b/>
          <w:bCs/>
          <w:sz w:val="22"/>
          <w:szCs w:val="22"/>
        </w:rPr>
        <w:t>Andrés Felipe Albarracín Rodríguez</w:t>
      </w:r>
    </w:p>
    <w:p w14:paraId="0AFD4B06" w14:textId="3514EA39" w:rsidR="00E31632" w:rsidRPr="005419DA" w:rsidRDefault="00E31632" w:rsidP="00E31632">
      <w:pPr>
        <w:jc w:val="both"/>
        <w:rPr>
          <w:rFonts w:ascii="Arial" w:eastAsia="Calibri" w:hAnsi="Arial" w:cs="Arial"/>
          <w:color w:val="000000" w:themeColor="text1"/>
          <w:sz w:val="22"/>
          <w:lang w:val="es-ES_tradnl"/>
        </w:rPr>
      </w:pPr>
      <w:r w:rsidRPr="005419DA">
        <w:rPr>
          <w:rFonts w:ascii="Arial" w:eastAsia="Calibri" w:hAnsi="Arial" w:cs="Arial"/>
          <w:color w:val="000000" w:themeColor="text1"/>
          <w:sz w:val="22"/>
          <w:lang w:val="es-ES_tradnl"/>
        </w:rPr>
        <w:t>Bogotá D.C.</w:t>
      </w:r>
    </w:p>
    <w:p w14:paraId="0AB22F35" w14:textId="42359B99" w:rsidR="00E31632" w:rsidRDefault="00E31632" w:rsidP="00E31632">
      <w:pPr>
        <w:jc w:val="both"/>
        <w:rPr>
          <w:rFonts w:ascii="Arial" w:eastAsia="Calibri" w:hAnsi="Arial" w:cs="Arial"/>
          <w:color w:val="000000" w:themeColor="text1"/>
          <w:sz w:val="22"/>
          <w:lang w:val="es-ES_tradnl"/>
        </w:rPr>
      </w:pPr>
    </w:p>
    <w:p w14:paraId="46649F07" w14:textId="77777777" w:rsidR="00E41C5F" w:rsidRPr="005419DA" w:rsidRDefault="00E41C5F" w:rsidP="00E31632">
      <w:pPr>
        <w:jc w:val="both"/>
        <w:rPr>
          <w:rFonts w:ascii="Arial" w:eastAsia="Calibri" w:hAnsi="Arial" w:cs="Arial"/>
          <w:color w:val="000000" w:themeColor="text1"/>
          <w:sz w:val="22"/>
          <w:lang w:val="es-ES_tradnl"/>
        </w:rPr>
      </w:pPr>
    </w:p>
    <w:p w14:paraId="70C9AE70" w14:textId="4BA814D5" w:rsidR="00E31632" w:rsidRPr="005419DA" w:rsidRDefault="00E31632" w:rsidP="00E31632">
      <w:pPr>
        <w:rPr>
          <w:rFonts w:ascii="Arial" w:eastAsia="Calibri" w:hAnsi="Arial" w:cs="Arial"/>
          <w:b/>
          <w:bCs/>
          <w:color w:val="000000" w:themeColor="text1"/>
          <w:sz w:val="22"/>
          <w:lang w:val="es-ES_tradnl"/>
        </w:rPr>
      </w:pPr>
      <w:r w:rsidRPr="005419DA">
        <w:rPr>
          <w:rFonts w:ascii="Arial" w:eastAsia="Calibri" w:hAnsi="Arial" w:cs="Arial"/>
          <w:b/>
          <w:bCs/>
          <w:color w:val="000000" w:themeColor="text1"/>
          <w:sz w:val="22"/>
          <w:lang w:val="es-ES_tradnl"/>
        </w:rPr>
        <w:t xml:space="preserve">                                            Concepto C ‒ </w:t>
      </w:r>
      <w:r>
        <w:rPr>
          <w:rFonts w:ascii="Arial" w:eastAsia="Calibri" w:hAnsi="Arial" w:cs="Arial"/>
          <w:b/>
          <w:bCs/>
          <w:color w:val="000000" w:themeColor="text1"/>
          <w:sz w:val="22"/>
          <w:lang w:val="es-ES_tradnl"/>
        </w:rPr>
        <w:t>198</w:t>
      </w:r>
      <w:r w:rsidRPr="005419DA">
        <w:rPr>
          <w:rFonts w:ascii="Arial" w:eastAsia="Calibri" w:hAnsi="Arial" w:cs="Arial"/>
          <w:b/>
          <w:bCs/>
          <w:color w:val="000000" w:themeColor="text1"/>
          <w:sz w:val="22"/>
          <w:lang w:val="es-ES_tradnl"/>
        </w:rPr>
        <w:t xml:space="preserve"> de 2021</w:t>
      </w:r>
    </w:p>
    <w:p w14:paraId="0435E2A5" w14:textId="77777777" w:rsidR="00E31632" w:rsidRPr="005419DA" w:rsidRDefault="00E31632" w:rsidP="00E31632">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E31632" w:rsidRPr="005419DA" w14:paraId="61740D64" w14:textId="77777777" w:rsidTr="00351243">
        <w:tc>
          <w:tcPr>
            <w:tcW w:w="2689" w:type="dxa"/>
          </w:tcPr>
          <w:p w14:paraId="22449368" w14:textId="77777777" w:rsidR="00E31632" w:rsidRPr="005419DA" w:rsidRDefault="00E31632" w:rsidP="00351243">
            <w:pPr>
              <w:jc w:val="both"/>
              <w:rPr>
                <w:rFonts w:ascii="Arial" w:eastAsia="Calibri" w:hAnsi="Arial" w:cs="Arial"/>
                <w:color w:val="000000" w:themeColor="text1"/>
                <w:sz w:val="22"/>
                <w:lang w:val="es-ES_tradnl"/>
              </w:rPr>
            </w:pPr>
            <w:r w:rsidRPr="005419DA">
              <w:rPr>
                <w:rFonts w:ascii="Arial" w:eastAsia="Calibri" w:hAnsi="Arial" w:cs="Arial"/>
                <w:b/>
                <w:color w:val="000000" w:themeColor="text1"/>
                <w:sz w:val="22"/>
                <w:lang w:val="es-ES_tradnl"/>
              </w:rPr>
              <w:t>Temas:</w:t>
            </w:r>
            <w:r w:rsidRPr="005419DA">
              <w:rPr>
                <w:rFonts w:ascii="Arial" w:eastAsia="Calibri" w:hAnsi="Arial" w:cs="Arial"/>
                <w:color w:val="000000" w:themeColor="text1"/>
                <w:sz w:val="22"/>
                <w:lang w:val="es-ES_tradnl"/>
              </w:rPr>
              <w:t xml:space="preserve">                                      </w:t>
            </w:r>
          </w:p>
        </w:tc>
        <w:tc>
          <w:tcPr>
            <w:tcW w:w="6237" w:type="dxa"/>
          </w:tcPr>
          <w:p w14:paraId="57B9AAB6" w14:textId="4F2F6826" w:rsidR="00AB766E" w:rsidRPr="00DD4A94" w:rsidRDefault="00E31632" w:rsidP="00AB766E">
            <w:pPr>
              <w:jc w:val="both"/>
              <w:rPr>
                <w:rFonts w:ascii="Arial" w:eastAsia="Calibri" w:hAnsi="Arial" w:cs="Arial"/>
                <w:sz w:val="22"/>
                <w:lang w:val="es-ES_tradnl"/>
              </w:rPr>
            </w:pPr>
            <w:r w:rsidRPr="009A5867">
              <w:rPr>
                <w:rFonts w:ascii="Arial" w:eastAsia="Calibri" w:hAnsi="Arial" w:cs="Arial"/>
                <w:bCs/>
                <w:sz w:val="22"/>
                <w:lang w:val="es-ES_tradnl"/>
              </w:rPr>
              <w:t>SELECCIÓN OBJETIVA – Contratación estatal – Concepto / EMPATE – Procedimiento de selección – Concepto / FACTORES DE DESEMPATE – Características – Límites / LEY DE EMPRENDIMIENTO – Ley 2069 de 2020 –</w:t>
            </w:r>
            <w:r w:rsidRPr="009A5867">
              <w:rPr>
                <w:rFonts w:ascii="Arial" w:eastAsia="Calibri" w:hAnsi="Arial" w:cs="Arial"/>
                <w:sz w:val="22"/>
                <w:lang w:val="es-ES_tradnl"/>
              </w:rPr>
              <w:t xml:space="preserve"> </w:t>
            </w:r>
            <w:r w:rsidR="00AB766E" w:rsidRPr="00DD4A94">
              <w:rPr>
                <w:rFonts w:ascii="Arial" w:eastAsia="Calibri" w:hAnsi="Arial" w:cs="Arial"/>
                <w:sz w:val="22"/>
                <w:lang w:val="es-ES_tradnl"/>
              </w:rPr>
              <w:t xml:space="preserve">DECRETO 1082 DE 2015 </w:t>
            </w:r>
            <w:r w:rsidR="00AB766E" w:rsidRPr="00DD4A94">
              <w:rPr>
                <w:rFonts w:ascii="Arial" w:eastAsia="Calibri" w:hAnsi="Arial" w:cs="Arial"/>
                <w:color w:val="000000"/>
                <w:sz w:val="22"/>
                <w:lang w:val="es-ES_tradnl"/>
              </w:rPr>
              <w:t xml:space="preserve">– Factores de desempate – Derogatoria – Artículo 35 − </w:t>
            </w:r>
            <w:r w:rsidR="00AB766E" w:rsidRPr="00DD4A94">
              <w:rPr>
                <w:rFonts w:ascii="Arial" w:eastAsia="Calibri" w:hAnsi="Arial" w:cs="Arial"/>
                <w:sz w:val="22"/>
                <w:lang w:val="es-ES_tradnl"/>
              </w:rPr>
              <w:t>Ley 2069 de 2020 – Subasta inversa – Mínima cuantía</w:t>
            </w:r>
            <w:r w:rsidR="00AB766E" w:rsidRPr="009A5867">
              <w:rPr>
                <w:rFonts w:ascii="Arial" w:eastAsia="Calibri" w:hAnsi="Arial" w:cs="Arial"/>
                <w:sz w:val="22"/>
                <w:lang w:val="es-ES_tradnl"/>
              </w:rPr>
              <w:t xml:space="preserve"> / </w:t>
            </w:r>
          </w:p>
          <w:p w14:paraId="3BD7D0DA" w14:textId="75BB2499" w:rsidR="00E31632" w:rsidRPr="00377857" w:rsidRDefault="009A5867" w:rsidP="00351243">
            <w:pPr>
              <w:jc w:val="both"/>
              <w:rPr>
                <w:rFonts w:ascii="Arial" w:eastAsia="Calibri" w:hAnsi="Arial" w:cs="Arial"/>
                <w:color w:val="000000" w:themeColor="text1"/>
                <w:sz w:val="22"/>
                <w:highlight w:val="yellow"/>
                <w:lang w:val="es-ES_tradnl"/>
              </w:rPr>
            </w:pPr>
            <w:r w:rsidRPr="00DD4A94">
              <w:rPr>
                <w:rFonts w:ascii="Arial" w:eastAsia="Calibri" w:hAnsi="Arial" w:cs="Arial"/>
                <w:color w:val="000000" w:themeColor="text1"/>
                <w:sz w:val="22"/>
                <w:szCs w:val="22"/>
                <w:lang w:val="es-ES_tradnl" w:eastAsia="en-US"/>
              </w:rPr>
              <w:t>Factores de desempate − Numeral 7 − Numeral 10 − Artículo 35 − Ley 2069 de 2020</w:t>
            </w:r>
          </w:p>
        </w:tc>
      </w:tr>
      <w:tr w:rsidR="00E31632" w:rsidRPr="005419DA" w14:paraId="5FE3B818" w14:textId="77777777" w:rsidTr="00351243">
        <w:tc>
          <w:tcPr>
            <w:tcW w:w="2689" w:type="dxa"/>
          </w:tcPr>
          <w:p w14:paraId="3C329922" w14:textId="77777777" w:rsidR="00E31632" w:rsidRPr="005419DA" w:rsidRDefault="00E31632" w:rsidP="00351243">
            <w:pPr>
              <w:spacing w:before="120"/>
              <w:jc w:val="both"/>
              <w:rPr>
                <w:rFonts w:ascii="Arial" w:eastAsia="Calibri" w:hAnsi="Arial" w:cs="Arial"/>
                <w:b/>
                <w:color w:val="000000" w:themeColor="text1"/>
                <w:sz w:val="22"/>
                <w:lang w:val="es-ES_tradnl"/>
              </w:rPr>
            </w:pPr>
            <w:r w:rsidRPr="005419DA">
              <w:rPr>
                <w:rFonts w:ascii="Arial" w:eastAsia="Calibri" w:hAnsi="Arial" w:cs="Arial"/>
                <w:b/>
                <w:color w:val="000000" w:themeColor="text1"/>
                <w:sz w:val="22"/>
                <w:lang w:val="es-ES_tradnl"/>
              </w:rPr>
              <w:t>Radicación:</w:t>
            </w:r>
            <w:r w:rsidRPr="005419DA">
              <w:rPr>
                <w:rFonts w:ascii="Arial" w:eastAsia="Calibri" w:hAnsi="Arial" w:cs="Arial"/>
                <w:color w:val="000000" w:themeColor="text1"/>
                <w:sz w:val="22"/>
                <w:lang w:val="es-ES_tradnl"/>
              </w:rPr>
              <w:t xml:space="preserve">                              </w:t>
            </w:r>
          </w:p>
        </w:tc>
        <w:tc>
          <w:tcPr>
            <w:tcW w:w="6237" w:type="dxa"/>
          </w:tcPr>
          <w:p w14:paraId="7C298517" w14:textId="57DF8397" w:rsidR="00E31632" w:rsidRPr="005419DA" w:rsidRDefault="00E31632" w:rsidP="00351243">
            <w:pPr>
              <w:spacing w:before="120"/>
              <w:jc w:val="both"/>
              <w:rPr>
                <w:rFonts w:ascii="Arial" w:eastAsia="Calibri" w:hAnsi="Arial" w:cs="Arial"/>
                <w:color w:val="000000" w:themeColor="text1"/>
                <w:sz w:val="22"/>
                <w:lang w:val="es-ES_tradnl"/>
              </w:rPr>
            </w:pPr>
            <w:r w:rsidRPr="005419DA">
              <w:rPr>
                <w:rFonts w:ascii="Arial" w:eastAsia="Calibri" w:hAnsi="Arial" w:cs="Arial"/>
                <w:color w:val="000000" w:themeColor="text1"/>
                <w:sz w:val="22"/>
                <w:lang w:val="es-ES_tradnl"/>
              </w:rPr>
              <w:t xml:space="preserve">Respuesta a consulta # </w:t>
            </w:r>
            <w:r w:rsidRPr="00E31632">
              <w:rPr>
                <w:rFonts w:ascii="Arial" w:eastAsia="Calibri" w:hAnsi="Arial" w:cs="Arial"/>
                <w:color w:val="000000" w:themeColor="text1"/>
                <w:sz w:val="22"/>
                <w:lang w:val="es-ES_tradnl"/>
              </w:rPr>
              <w:t>P20210325002469</w:t>
            </w:r>
          </w:p>
        </w:tc>
      </w:tr>
    </w:tbl>
    <w:p w14:paraId="11AB21A0" w14:textId="763C9628" w:rsidR="00E31632" w:rsidRDefault="00E31632" w:rsidP="00E31632">
      <w:pPr>
        <w:jc w:val="both"/>
        <w:rPr>
          <w:rFonts w:ascii="Arial" w:eastAsia="Calibri" w:hAnsi="Arial" w:cs="Arial"/>
          <w:color w:val="000000" w:themeColor="text1"/>
          <w:sz w:val="22"/>
          <w:lang w:val="es-ES_tradnl"/>
        </w:rPr>
      </w:pPr>
    </w:p>
    <w:p w14:paraId="0D5969DB" w14:textId="77777777" w:rsidR="006C6FE5" w:rsidRPr="005419DA" w:rsidRDefault="006C6FE5" w:rsidP="00E31632">
      <w:pPr>
        <w:jc w:val="both"/>
        <w:rPr>
          <w:rFonts w:ascii="Arial" w:eastAsia="Calibri" w:hAnsi="Arial" w:cs="Arial"/>
          <w:color w:val="000000" w:themeColor="text1"/>
          <w:sz w:val="22"/>
          <w:lang w:val="es-ES_tradnl"/>
        </w:rPr>
      </w:pPr>
    </w:p>
    <w:p w14:paraId="6D35AA26" w14:textId="0D8A57B6" w:rsidR="00E31632" w:rsidRPr="005419DA" w:rsidRDefault="00E31632" w:rsidP="00E31632">
      <w:pPr>
        <w:jc w:val="both"/>
        <w:rPr>
          <w:rFonts w:ascii="Arial" w:eastAsia="Calibri" w:hAnsi="Arial" w:cs="Arial"/>
          <w:color w:val="000000" w:themeColor="text1"/>
          <w:sz w:val="22"/>
          <w:lang w:val="es-ES_tradnl"/>
        </w:rPr>
      </w:pPr>
      <w:r w:rsidRPr="005419DA">
        <w:rPr>
          <w:rFonts w:ascii="Arial" w:eastAsia="Calibri" w:hAnsi="Arial" w:cs="Arial"/>
          <w:color w:val="000000" w:themeColor="text1"/>
          <w:sz w:val="22"/>
          <w:lang w:val="es-ES_tradnl"/>
        </w:rPr>
        <w:t>Estimado señor</w:t>
      </w:r>
      <w:r w:rsidRPr="00E31632">
        <w:rPr>
          <w:rFonts w:ascii="Arial" w:hAnsi="Arial" w:cs="Arial"/>
          <w:b/>
          <w:bCs/>
          <w:sz w:val="22"/>
          <w:szCs w:val="22"/>
        </w:rPr>
        <w:t xml:space="preserve"> </w:t>
      </w:r>
      <w:r w:rsidRPr="00E31632">
        <w:rPr>
          <w:rFonts w:ascii="Arial" w:hAnsi="Arial" w:cs="Arial"/>
          <w:sz w:val="22"/>
          <w:szCs w:val="22"/>
        </w:rPr>
        <w:t>Albarracín Rodríguez</w:t>
      </w:r>
      <w:r w:rsidRPr="00E31632">
        <w:rPr>
          <w:rFonts w:ascii="Arial" w:eastAsia="Calibri" w:hAnsi="Arial" w:cs="Arial"/>
          <w:color w:val="000000" w:themeColor="text1"/>
          <w:sz w:val="22"/>
          <w:lang w:val="es-ES_tradnl"/>
        </w:rPr>
        <w:t>:</w:t>
      </w:r>
    </w:p>
    <w:p w14:paraId="3ECD6865" w14:textId="77777777" w:rsidR="00E31632" w:rsidRPr="005419DA" w:rsidRDefault="00E31632" w:rsidP="00E31632">
      <w:pPr>
        <w:jc w:val="both"/>
        <w:rPr>
          <w:rFonts w:ascii="Arial" w:eastAsia="Calibri" w:hAnsi="Arial" w:cs="Arial"/>
          <w:color w:val="000000" w:themeColor="text1"/>
          <w:sz w:val="22"/>
          <w:lang w:val="es-ES_tradnl"/>
        </w:rPr>
      </w:pPr>
    </w:p>
    <w:p w14:paraId="692AB671" w14:textId="386E3BF4" w:rsidR="00E31632" w:rsidRPr="005419DA" w:rsidRDefault="00E31632" w:rsidP="00E31632">
      <w:pPr>
        <w:spacing w:line="276" w:lineRule="auto"/>
        <w:jc w:val="both"/>
        <w:rPr>
          <w:rFonts w:ascii="Arial" w:eastAsia="Calibri" w:hAnsi="Arial" w:cs="Arial"/>
          <w:color w:val="000000" w:themeColor="text1"/>
          <w:sz w:val="22"/>
          <w:lang w:val="es-ES_tradnl"/>
        </w:rPr>
      </w:pPr>
      <w:r w:rsidRPr="005419DA">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 Colombia Compra Eficiente responde su consulta del </w:t>
      </w:r>
      <w:r w:rsidR="00216CBF">
        <w:rPr>
          <w:rFonts w:ascii="Arial" w:eastAsia="Calibri" w:hAnsi="Arial" w:cs="Arial"/>
          <w:color w:val="000000" w:themeColor="text1"/>
          <w:sz w:val="22"/>
          <w:lang w:val="es-ES_tradnl"/>
        </w:rPr>
        <w:t>24</w:t>
      </w:r>
      <w:r w:rsidRPr="005419DA">
        <w:rPr>
          <w:rFonts w:ascii="Arial" w:eastAsia="Calibri" w:hAnsi="Arial" w:cs="Arial"/>
          <w:color w:val="000000" w:themeColor="text1"/>
          <w:sz w:val="22"/>
          <w:lang w:val="es-ES_tradnl"/>
        </w:rPr>
        <w:t xml:space="preserve"> de </w:t>
      </w:r>
      <w:r w:rsidR="00216CBF">
        <w:rPr>
          <w:rFonts w:ascii="Arial" w:eastAsia="Calibri" w:hAnsi="Arial" w:cs="Arial"/>
          <w:color w:val="000000" w:themeColor="text1"/>
          <w:sz w:val="22"/>
          <w:lang w:val="es-ES_tradnl"/>
        </w:rPr>
        <w:t>marzo</w:t>
      </w:r>
      <w:r w:rsidRPr="005419DA">
        <w:rPr>
          <w:rFonts w:ascii="Arial" w:eastAsia="Calibri" w:hAnsi="Arial" w:cs="Arial"/>
          <w:color w:val="000000" w:themeColor="text1"/>
          <w:sz w:val="22"/>
          <w:lang w:val="es-ES_tradnl"/>
        </w:rPr>
        <w:t xml:space="preserve"> del 2021.</w:t>
      </w:r>
    </w:p>
    <w:p w14:paraId="26A5FF65" w14:textId="77777777" w:rsidR="00E31632" w:rsidRPr="005419DA" w:rsidRDefault="00E31632" w:rsidP="00E31632">
      <w:pPr>
        <w:spacing w:line="276" w:lineRule="auto"/>
        <w:jc w:val="both"/>
        <w:rPr>
          <w:rFonts w:ascii="Arial" w:eastAsia="Calibri" w:hAnsi="Arial" w:cs="Arial"/>
          <w:b/>
          <w:color w:val="000000" w:themeColor="text1"/>
          <w:sz w:val="22"/>
          <w:lang w:val="es-ES_tradnl"/>
        </w:rPr>
      </w:pPr>
    </w:p>
    <w:p w14:paraId="49438036" w14:textId="77777777" w:rsidR="00E31632" w:rsidRPr="005419DA" w:rsidRDefault="00E31632" w:rsidP="00E31632">
      <w:pPr>
        <w:pStyle w:val="Prrafodelista"/>
        <w:numPr>
          <w:ilvl w:val="0"/>
          <w:numId w:val="1"/>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5419DA">
        <w:rPr>
          <w:rFonts w:ascii="Arial" w:eastAsia="Calibri" w:hAnsi="Arial" w:cs="Arial"/>
          <w:b/>
          <w:color w:val="000000" w:themeColor="text1"/>
          <w:sz w:val="22"/>
          <w:lang w:val="es-ES_tradnl"/>
        </w:rPr>
        <w:t xml:space="preserve">Problema planteado </w:t>
      </w:r>
    </w:p>
    <w:p w14:paraId="3D9A6C23" w14:textId="77777777" w:rsidR="00E31632" w:rsidRPr="005419DA" w:rsidRDefault="00E31632" w:rsidP="00E31632">
      <w:pPr>
        <w:tabs>
          <w:tab w:val="left" w:pos="426"/>
        </w:tabs>
        <w:spacing w:line="276" w:lineRule="auto"/>
        <w:jc w:val="both"/>
        <w:rPr>
          <w:rFonts w:ascii="Arial" w:eastAsia="Calibri" w:hAnsi="Arial" w:cs="Arial"/>
          <w:b/>
          <w:color w:val="000000" w:themeColor="text1"/>
          <w:sz w:val="22"/>
          <w:lang w:val="es-ES_tradnl"/>
        </w:rPr>
      </w:pPr>
    </w:p>
    <w:p w14:paraId="5A3A0605" w14:textId="28825705" w:rsidR="007E32BF" w:rsidRPr="00D33235" w:rsidRDefault="006C6FE5" w:rsidP="00D33235">
      <w:pPr>
        <w:spacing w:line="276" w:lineRule="auto"/>
        <w:jc w:val="both"/>
        <w:rPr>
          <w:rFonts w:ascii="Arial" w:hAnsi="Arial" w:cs="Arial"/>
          <w:sz w:val="22"/>
          <w:szCs w:val="22"/>
        </w:rPr>
      </w:pPr>
      <w:r w:rsidRPr="002317A8">
        <w:rPr>
          <w:rFonts w:ascii="Arial" w:hAnsi="Arial" w:cs="Arial"/>
          <w:color w:val="000000" w:themeColor="text1"/>
          <w:sz w:val="22"/>
          <w:szCs w:val="22"/>
          <w:lang w:val="es-ES_tradnl"/>
        </w:rPr>
        <w:t xml:space="preserve">Respecto </w:t>
      </w:r>
      <w:r w:rsidR="00A35F32" w:rsidRPr="00D33235">
        <w:rPr>
          <w:rFonts w:ascii="Arial" w:hAnsi="Arial" w:cs="Arial"/>
          <w:color w:val="000000" w:themeColor="text1"/>
          <w:sz w:val="22"/>
          <w:szCs w:val="22"/>
          <w:lang w:val="es-ES_tradnl"/>
        </w:rPr>
        <w:t>a los factores de desempate de</w:t>
      </w:r>
      <w:r w:rsidR="00E31632" w:rsidRPr="00D33235">
        <w:rPr>
          <w:rFonts w:ascii="Arial" w:hAnsi="Arial" w:cs="Arial"/>
          <w:color w:val="000000" w:themeColor="text1"/>
          <w:sz w:val="22"/>
          <w:szCs w:val="22"/>
          <w:lang w:val="es-ES_tradnl"/>
        </w:rPr>
        <w:t>l artículo 35 de la Ley 2069 de 2020, «Por medio de la cual se impulsa el emprendimiento en Colombia»</w:t>
      </w:r>
      <w:r w:rsidR="00A35F32" w:rsidRPr="00D33235">
        <w:rPr>
          <w:rFonts w:ascii="Arial" w:hAnsi="Arial" w:cs="Arial"/>
          <w:color w:val="000000" w:themeColor="text1"/>
          <w:sz w:val="22"/>
          <w:szCs w:val="22"/>
          <w:lang w:val="es-ES_tradnl"/>
        </w:rPr>
        <w:t>, usted realiza las siguientes preguntas</w:t>
      </w:r>
      <w:r w:rsidR="00E31632" w:rsidRPr="00D33235">
        <w:rPr>
          <w:rFonts w:ascii="Arial" w:hAnsi="Arial" w:cs="Arial"/>
          <w:color w:val="000000" w:themeColor="text1"/>
          <w:sz w:val="22"/>
          <w:szCs w:val="22"/>
          <w:lang w:val="es-ES_tradnl"/>
        </w:rPr>
        <w:t>:</w:t>
      </w:r>
      <w:r w:rsidR="00A35F32" w:rsidRPr="00D33235">
        <w:rPr>
          <w:rFonts w:ascii="Arial" w:hAnsi="Arial" w:cs="Arial"/>
          <w:color w:val="000000" w:themeColor="text1"/>
          <w:sz w:val="22"/>
          <w:szCs w:val="22"/>
          <w:lang w:val="es-ES_tradnl"/>
        </w:rPr>
        <w:t xml:space="preserve"> i) </w:t>
      </w:r>
      <w:r w:rsidR="007E32BF" w:rsidRPr="00D33235">
        <w:rPr>
          <w:rFonts w:ascii="Arial" w:hAnsi="Arial" w:cs="Arial"/>
          <w:sz w:val="22"/>
          <w:szCs w:val="22"/>
        </w:rPr>
        <w:t xml:space="preserve">«[…] no se evidencia distinción alguna en la aplicación del precitado artículo a todas las modalidades de selección (licitación pública, selección abreviada de menor cuantía, selección abreviada por subasta inversa, concurso de méritos, contratación directa y mínima cuantía), por lo cual se solicita se aclare si en aplicación de la Ley 2069 de 2020 se deroga no solo lo establecido en el artículo 2.2.1.1.2.2.9 - Factores de desempate del Decreto No. 1082 de 2015 sino también lo establecido en: A. El numeral 9° del artículo 2.2.1.2.1.2.2. “Procedimiento para la subasta inversa” del Decreto No. 1082 de 2015 en lo </w:t>
      </w:r>
      <w:r w:rsidR="007E32BF" w:rsidRPr="00D33235">
        <w:rPr>
          <w:rFonts w:ascii="Arial" w:hAnsi="Arial" w:cs="Arial"/>
          <w:sz w:val="22"/>
          <w:szCs w:val="22"/>
        </w:rPr>
        <w:lastRenderedPageBreak/>
        <w:t>que respecta a la modalidad de selección de selección abreviada - subasta inversa […] B. El numeral 6° del artículo 2.2.1.2.1.5.2. “Procedimiento para la contratación de mínima cuantía” del Decreto No. 1082 de 2015 en lo que respecta a la modalidad de selección de selección de mínima cuantía […]»</w:t>
      </w:r>
      <w:r w:rsidR="00EC6AB1" w:rsidRPr="00D33235">
        <w:rPr>
          <w:rFonts w:ascii="Arial" w:hAnsi="Arial" w:cs="Arial"/>
          <w:sz w:val="22"/>
          <w:szCs w:val="22"/>
        </w:rPr>
        <w:t xml:space="preserve">, </w:t>
      </w:r>
      <w:proofErr w:type="spellStart"/>
      <w:r w:rsidR="00EC6AB1" w:rsidRPr="00D33235">
        <w:rPr>
          <w:rFonts w:ascii="Arial" w:hAnsi="Arial" w:cs="Arial"/>
          <w:sz w:val="22"/>
          <w:szCs w:val="22"/>
        </w:rPr>
        <w:t>ii</w:t>
      </w:r>
      <w:proofErr w:type="spellEnd"/>
      <w:r w:rsidR="00EC6AB1" w:rsidRPr="00D33235">
        <w:rPr>
          <w:rFonts w:ascii="Arial" w:hAnsi="Arial" w:cs="Arial"/>
          <w:sz w:val="22"/>
          <w:szCs w:val="22"/>
        </w:rPr>
        <w:t>) «</w:t>
      </w:r>
      <w:r w:rsidR="007E32BF" w:rsidRPr="00D33235">
        <w:rPr>
          <w:rFonts w:ascii="Arial" w:hAnsi="Arial" w:cs="Arial"/>
          <w:sz w:val="22"/>
          <w:szCs w:val="22"/>
        </w:rPr>
        <w:t>¿Cómo se aplica el literal C. del numeral 7 del artículo 35 de la Ley 2069 de 2020 […]?</w:t>
      </w:r>
      <w:r w:rsidR="00EC6AB1" w:rsidRPr="00D33235">
        <w:rPr>
          <w:rFonts w:ascii="Arial" w:hAnsi="Arial" w:cs="Arial"/>
          <w:sz w:val="22"/>
          <w:szCs w:val="22"/>
        </w:rPr>
        <w:t xml:space="preserve">» y </w:t>
      </w:r>
      <w:proofErr w:type="spellStart"/>
      <w:r w:rsidR="00EC6AB1" w:rsidRPr="00D33235">
        <w:rPr>
          <w:rFonts w:ascii="Arial" w:hAnsi="Arial" w:cs="Arial"/>
          <w:sz w:val="22"/>
          <w:szCs w:val="22"/>
        </w:rPr>
        <w:t>iii</w:t>
      </w:r>
      <w:proofErr w:type="spellEnd"/>
      <w:r w:rsidR="00EC6AB1" w:rsidRPr="00D33235">
        <w:rPr>
          <w:rFonts w:ascii="Arial" w:hAnsi="Arial" w:cs="Arial"/>
          <w:sz w:val="22"/>
          <w:szCs w:val="22"/>
        </w:rPr>
        <w:t>) «</w:t>
      </w:r>
      <w:r w:rsidR="007E32BF" w:rsidRPr="00D33235">
        <w:rPr>
          <w:rFonts w:ascii="Arial" w:hAnsi="Arial" w:cs="Arial"/>
          <w:sz w:val="22"/>
          <w:szCs w:val="22"/>
        </w:rPr>
        <w:t>¿Como (sic) se aplica el literal C. del numeral 10 del artículo 35 de la Ley 2069 de 2020 […]?</w:t>
      </w:r>
      <w:r w:rsidR="00EC6AB1" w:rsidRPr="00D33235">
        <w:rPr>
          <w:rFonts w:ascii="Arial" w:hAnsi="Arial" w:cs="Arial"/>
          <w:sz w:val="22"/>
          <w:szCs w:val="22"/>
        </w:rPr>
        <w:t>».</w:t>
      </w:r>
    </w:p>
    <w:p w14:paraId="31EC91EB" w14:textId="77777777" w:rsidR="00E31632" w:rsidRPr="005419DA" w:rsidRDefault="00E31632" w:rsidP="00E31632">
      <w:pPr>
        <w:ind w:left="709" w:right="709"/>
        <w:jc w:val="both"/>
        <w:rPr>
          <w:rFonts w:ascii="Arial" w:hAnsi="Arial" w:cs="Arial"/>
          <w:color w:val="000000" w:themeColor="text1"/>
          <w:sz w:val="21"/>
          <w:szCs w:val="21"/>
          <w:lang w:val="es-ES_tradnl"/>
        </w:rPr>
      </w:pPr>
    </w:p>
    <w:p w14:paraId="5BA6AA6E" w14:textId="77777777" w:rsidR="00E31632" w:rsidRPr="005419DA" w:rsidRDefault="00E31632" w:rsidP="00E31632">
      <w:pPr>
        <w:pStyle w:val="Prrafodelista"/>
        <w:numPr>
          <w:ilvl w:val="0"/>
          <w:numId w:val="1"/>
        </w:numPr>
        <w:tabs>
          <w:tab w:val="left" w:pos="0"/>
          <w:tab w:val="left" w:pos="284"/>
        </w:tabs>
        <w:ind w:left="0" w:firstLine="0"/>
        <w:jc w:val="both"/>
        <w:rPr>
          <w:rFonts w:ascii="Arial" w:eastAsia="Calibri" w:hAnsi="Arial" w:cs="Arial"/>
          <w:b/>
          <w:color w:val="000000" w:themeColor="text1"/>
          <w:sz w:val="22"/>
          <w:lang w:val="es-ES_tradnl"/>
        </w:rPr>
      </w:pPr>
      <w:r w:rsidRPr="005419DA">
        <w:rPr>
          <w:rFonts w:ascii="Arial" w:eastAsia="Calibri" w:hAnsi="Arial" w:cs="Arial"/>
          <w:b/>
          <w:color w:val="000000" w:themeColor="text1"/>
          <w:sz w:val="22"/>
          <w:lang w:val="es-ES_tradnl"/>
        </w:rPr>
        <w:t>Consideraciones</w:t>
      </w:r>
    </w:p>
    <w:p w14:paraId="23E51CEF" w14:textId="77777777" w:rsidR="00E31632" w:rsidRPr="005419DA" w:rsidRDefault="00E31632" w:rsidP="00E31632">
      <w:pPr>
        <w:spacing w:line="276" w:lineRule="auto"/>
        <w:jc w:val="both"/>
        <w:rPr>
          <w:rFonts w:ascii="Arial" w:eastAsia="Calibri" w:hAnsi="Arial" w:cs="Arial"/>
          <w:color w:val="000000" w:themeColor="text1"/>
          <w:sz w:val="22"/>
          <w:szCs w:val="22"/>
          <w:lang w:val="es-ES_tradnl"/>
        </w:rPr>
      </w:pPr>
    </w:p>
    <w:p w14:paraId="2793CC40" w14:textId="7820F8CF" w:rsidR="00E31632" w:rsidRPr="007E32BF" w:rsidRDefault="00E31632" w:rsidP="00E31632">
      <w:pPr>
        <w:spacing w:after="120" w:line="276" w:lineRule="auto"/>
        <w:jc w:val="both"/>
        <w:rPr>
          <w:rFonts w:ascii="Arial" w:eastAsia="Calibri" w:hAnsi="Arial" w:cs="Arial"/>
          <w:color w:val="000000" w:themeColor="text1"/>
          <w:sz w:val="22"/>
          <w:szCs w:val="22"/>
          <w:lang w:val="es-ES_tradnl"/>
        </w:rPr>
      </w:pPr>
      <w:r w:rsidRPr="007E32BF">
        <w:rPr>
          <w:rFonts w:ascii="Arial" w:eastAsia="Calibri" w:hAnsi="Arial" w:cs="Arial"/>
          <w:color w:val="000000" w:themeColor="text1"/>
          <w:sz w:val="22"/>
          <w:szCs w:val="22"/>
          <w:lang w:val="es-ES_tradnl"/>
        </w:rPr>
        <w:t xml:space="preserve">La Subdirección de Gestión Contractual responderá la consulta, luego de analizar los siguientes temas: i) definición de los criterios de desempate en la contratación estatal, </w:t>
      </w:r>
      <w:proofErr w:type="spellStart"/>
      <w:r w:rsidRPr="007E32BF">
        <w:rPr>
          <w:rFonts w:ascii="Arial" w:eastAsia="Calibri" w:hAnsi="Arial" w:cs="Arial"/>
          <w:color w:val="000000" w:themeColor="text1"/>
          <w:sz w:val="22"/>
          <w:szCs w:val="22"/>
          <w:lang w:val="es-ES_tradnl"/>
        </w:rPr>
        <w:t>ii</w:t>
      </w:r>
      <w:proofErr w:type="spellEnd"/>
      <w:r w:rsidRPr="007E32BF">
        <w:rPr>
          <w:rFonts w:ascii="Arial" w:eastAsia="Calibri" w:hAnsi="Arial" w:cs="Arial"/>
          <w:color w:val="000000" w:themeColor="text1"/>
          <w:sz w:val="22"/>
          <w:szCs w:val="22"/>
          <w:lang w:val="es-ES_tradnl"/>
        </w:rPr>
        <w:t>) vigencia y ámbito de aplicación de la Ley 2069 de 2020</w:t>
      </w:r>
      <w:r w:rsidR="007E32BF" w:rsidRPr="007E32BF">
        <w:rPr>
          <w:rFonts w:ascii="Arial" w:eastAsia="Calibri" w:hAnsi="Arial" w:cs="Arial"/>
          <w:color w:val="000000" w:themeColor="text1"/>
          <w:sz w:val="22"/>
          <w:szCs w:val="22"/>
          <w:lang w:val="es-ES_tradnl"/>
        </w:rPr>
        <w:t xml:space="preserve">, </w:t>
      </w:r>
      <w:proofErr w:type="spellStart"/>
      <w:r w:rsidR="007E32BF" w:rsidRPr="007E32BF">
        <w:rPr>
          <w:rFonts w:ascii="Arial" w:eastAsia="Calibri" w:hAnsi="Arial" w:cs="Arial"/>
          <w:color w:val="000000"/>
          <w:sz w:val="22"/>
          <w:szCs w:val="22"/>
          <w:lang w:val="es-ES_tradnl"/>
        </w:rPr>
        <w:t>i</w:t>
      </w:r>
      <w:r w:rsidR="006A4CEF">
        <w:rPr>
          <w:rFonts w:ascii="Arial" w:eastAsia="Calibri" w:hAnsi="Arial" w:cs="Arial"/>
          <w:color w:val="000000"/>
          <w:sz w:val="22"/>
          <w:szCs w:val="22"/>
          <w:lang w:val="es-ES_tradnl"/>
        </w:rPr>
        <w:t>ii</w:t>
      </w:r>
      <w:proofErr w:type="spellEnd"/>
      <w:r w:rsidR="007E32BF" w:rsidRPr="007E32BF">
        <w:rPr>
          <w:rFonts w:ascii="Arial" w:eastAsia="Calibri" w:hAnsi="Arial" w:cs="Arial"/>
          <w:color w:val="000000"/>
          <w:sz w:val="22"/>
          <w:szCs w:val="22"/>
          <w:lang w:val="es-ES_tradnl"/>
        </w:rPr>
        <w:t>)</w:t>
      </w:r>
      <w:r w:rsidR="007E32BF" w:rsidRPr="007E32BF">
        <w:rPr>
          <w:rFonts w:ascii="Arial" w:eastAsia="Calibri" w:hAnsi="Arial" w:cs="Arial"/>
          <w:b/>
          <w:bCs/>
          <w:color w:val="000000" w:themeColor="text1"/>
          <w:sz w:val="22"/>
          <w:szCs w:val="22"/>
          <w:lang w:val="es-ES_tradnl"/>
        </w:rPr>
        <w:t xml:space="preserve"> </w:t>
      </w:r>
      <w:r w:rsidR="007E32BF" w:rsidRPr="007E32BF">
        <w:rPr>
          <w:rFonts w:ascii="Arial" w:eastAsia="Calibri" w:hAnsi="Arial" w:cs="Arial"/>
          <w:bCs/>
          <w:color w:val="000000" w:themeColor="text1"/>
          <w:sz w:val="22"/>
          <w:szCs w:val="22"/>
          <w:lang w:val="es-ES_tradnl"/>
        </w:rPr>
        <w:t>derogatoria producida por el artículo 35 de la Ley 2069 de 2020 a los factores de desempate del Decreto 1082</w:t>
      </w:r>
      <w:r w:rsidR="007E32BF" w:rsidRPr="007E32BF">
        <w:rPr>
          <w:rFonts w:ascii="Arial" w:eastAsia="Calibri" w:hAnsi="Arial" w:cs="Arial"/>
          <w:b/>
          <w:bCs/>
          <w:color w:val="000000" w:themeColor="text1"/>
          <w:sz w:val="22"/>
          <w:szCs w:val="22"/>
          <w:lang w:val="es-ES_tradnl"/>
        </w:rPr>
        <w:t xml:space="preserve"> </w:t>
      </w:r>
      <w:r w:rsidR="007E32BF" w:rsidRPr="007E32BF">
        <w:rPr>
          <w:rFonts w:ascii="Arial" w:eastAsia="Calibri" w:hAnsi="Arial" w:cs="Arial"/>
          <w:bCs/>
          <w:color w:val="000000" w:themeColor="text1"/>
          <w:sz w:val="22"/>
          <w:szCs w:val="22"/>
          <w:lang w:val="es-ES_tradnl"/>
        </w:rPr>
        <w:t>de 2015</w:t>
      </w:r>
      <w:r w:rsidR="007E32BF" w:rsidRPr="007E32BF">
        <w:rPr>
          <w:rFonts w:ascii="Arial" w:eastAsia="Calibri" w:hAnsi="Arial" w:cs="Arial"/>
          <w:color w:val="000000"/>
          <w:sz w:val="22"/>
          <w:szCs w:val="22"/>
          <w:lang w:val="es-ES_tradnl"/>
        </w:rPr>
        <w:t>, revisando lo que sucede en el caso de la subasta inversa y mínima cuantía</w:t>
      </w:r>
      <w:r w:rsidR="006A4CEF">
        <w:rPr>
          <w:rFonts w:ascii="Arial" w:eastAsia="Calibri" w:hAnsi="Arial" w:cs="Arial"/>
          <w:color w:val="000000"/>
          <w:sz w:val="22"/>
          <w:szCs w:val="22"/>
          <w:lang w:val="es-ES_tradnl"/>
        </w:rPr>
        <w:t xml:space="preserve"> y </w:t>
      </w:r>
      <w:proofErr w:type="spellStart"/>
      <w:r w:rsidR="006A4CEF" w:rsidRPr="007E32BF">
        <w:rPr>
          <w:rFonts w:ascii="Arial" w:eastAsia="Calibri" w:hAnsi="Arial" w:cs="Arial"/>
          <w:color w:val="000000" w:themeColor="text1"/>
          <w:sz w:val="22"/>
          <w:szCs w:val="22"/>
          <w:lang w:val="es-ES_tradnl"/>
        </w:rPr>
        <w:t>i</w:t>
      </w:r>
      <w:r w:rsidR="006A4CEF">
        <w:rPr>
          <w:rFonts w:ascii="Arial" w:eastAsia="Calibri" w:hAnsi="Arial" w:cs="Arial"/>
          <w:color w:val="000000" w:themeColor="text1"/>
          <w:sz w:val="22"/>
          <w:szCs w:val="22"/>
          <w:lang w:val="es-ES_tradnl"/>
        </w:rPr>
        <w:t>v</w:t>
      </w:r>
      <w:proofErr w:type="spellEnd"/>
      <w:r w:rsidR="006A4CEF" w:rsidRPr="007E32BF">
        <w:rPr>
          <w:rFonts w:ascii="Arial" w:eastAsia="Calibri" w:hAnsi="Arial" w:cs="Arial"/>
          <w:color w:val="000000" w:themeColor="text1"/>
          <w:sz w:val="22"/>
          <w:szCs w:val="22"/>
          <w:lang w:val="es-ES_tradnl"/>
        </w:rPr>
        <w:t xml:space="preserve">) </w:t>
      </w:r>
      <w:r w:rsidR="006A4CEF">
        <w:rPr>
          <w:rFonts w:ascii="Arial" w:eastAsia="Calibri" w:hAnsi="Arial" w:cs="Arial"/>
          <w:color w:val="000000" w:themeColor="text1"/>
          <w:sz w:val="22"/>
          <w:szCs w:val="22"/>
          <w:lang w:val="es-ES_tradnl"/>
        </w:rPr>
        <w:t>F</w:t>
      </w:r>
      <w:r w:rsidR="006A4CEF" w:rsidRPr="007E32BF">
        <w:rPr>
          <w:rFonts w:ascii="Arial" w:eastAsia="Calibri" w:hAnsi="Arial" w:cs="Arial"/>
          <w:color w:val="000000" w:themeColor="text1"/>
          <w:sz w:val="22"/>
          <w:szCs w:val="22"/>
          <w:lang w:val="es-ES_tradnl"/>
        </w:rPr>
        <w:t xml:space="preserve">actores de desempate </w:t>
      </w:r>
      <w:r w:rsidR="006A4CEF">
        <w:rPr>
          <w:rFonts w:ascii="Arial" w:eastAsia="Calibri" w:hAnsi="Arial" w:cs="Arial"/>
          <w:color w:val="000000" w:themeColor="text1"/>
          <w:sz w:val="22"/>
          <w:szCs w:val="22"/>
          <w:lang w:val="es-ES_tradnl"/>
        </w:rPr>
        <w:t xml:space="preserve">de los numerales 7 y 10 del </w:t>
      </w:r>
      <w:r w:rsidR="006A4CEF" w:rsidRPr="007E32BF">
        <w:rPr>
          <w:rFonts w:ascii="Arial" w:eastAsia="Calibri" w:hAnsi="Arial" w:cs="Arial"/>
          <w:color w:val="000000" w:themeColor="text1"/>
          <w:sz w:val="22"/>
          <w:szCs w:val="22"/>
          <w:lang w:val="es-ES_tradnl"/>
        </w:rPr>
        <w:t>artículo 35 de la mencionada Ley</w:t>
      </w:r>
      <w:r w:rsidR="006A4CEF">
        <w:rPr>
          <w:rFonts w:ascii="Arial" w:eastAsia="Calibri" w:hAnsi="Arial" w:cs="Arial"/>
          <w:color w:val="000000" w:themeColor="text1"/>
          <w:sz w:val="22"/>
          <w:szCs w:val="22"/>
          <w:lang w:val="es-ES_tradnl"/>
        </w:rPr>
        <w:t>.</w:t>
      </w:r>
    </w:p>
    <w:p w14:paraId="1085AC2B" w14:textId="6B3B40C7" w:rsidR="00D33235" w:rsidRPr="00923779" w:rsidRDefault="00D33235" w:rsidP="00871418">
      <w:pPr>
        <w:spacing w:after="120" w:line="276" w:lineRule="auto"/>
        <w:ind w:firstLine="709"/>
        <w:jc w:val="both"/>
        <w:rPr>
          <w:rFonts w:ascii="Arial" w:eastAsia="Calibri" w:hAnsi="Arial" w:cs="Arial"/>
          <w:color w:val="000000"/>
          <w:sz w:val="22"/>
          <w:szCs w:val="22"/>
          <w:lang w:val="es-ES_tradnl"/>
        </w:rPr>
      </w:pPr>
      <w:r w:rsidRPr="00923779">
        <w:rPr>
          <w:rFonts w:ascii="Arial" w:eastAsia="Calibri" w:hAnsi="Arial" w:cs="Arial"/>
          <w:bCs/>
          <w:color w:val="000000" w:themeColor="text1"/>
          <w:sz w:val="22"/>
          <w:szCs w:val="22"/>
        </w:rPr>
        <w:t xml:space="preserve">La Agencia Nacional de Contratación Pública – Colombia Compra Eficiente, en los Conceptos C-514 del 26 de agosto de 2020, C-516 del 26 de agosto de 2020, C-535 del 26 de agosto de 2020, C-537 del 26 de agosto de 2020, C-538 del 26 de agosto de 2020, C-568 del 26 de agosto de 2020, C-572 del 27 de agosto de 2020, C-582 del 28 de agosto de 2020 y C-551 del 24 de septiembre de 2020, explicó la relación entre la ley y el reglamento, de manera que si bien, por regla general, la primera rige a partir de su promulgación, excepcionalmente esta requiere desarrollo reglamentario como una condición previa para su aplicación. Igualmente, en los Conceptos C-009, </w:t>
      </w:r>
      <w:r w:rsidR="007F33AA" w:rsidRPr="00923779">
        <w:rPr>
          <w:rFonts w:ascii="Arial" w:eastAsia="Calibri" w:hAnsi="Arial" w:cs="Arial"/>
          <w:bCs/>
          <w:color w:val="000000" w:themeColor="text1"/>
          <w:sz w:val="22"/>
          <w:szCs w:val="22"/>
        </w:rPr>
        <w:t>C-</w:t>
      </w:r>
      <w:r w:rsidRPr="00923779">
        <w:rPr>
          <w:rFonts w:ascii="Arial" w:eastAsia="Calibri" w:hAnsi="Arial" w:cs="Arial"/>
          <w:bCs/>
          <w:color w:val="000000" w:themeColor="text1"/>
          <w:sz w:val="22"/>
          <w:szCs w:val="22"/>
        </w:rPr>
        <w:t>012,</w:t>
      </w:r>
      <w:r w:rsidR="007F33AA" w:rsidRPr="00923779">
        <w:rPr>
          <w:rFonts w:ascii="Arial" w:eastAsia="Calibri" w:hAnsi="Arial" w:cs="Arial"/>
          <w:bCs/>
          <w:color w:val="000000" w:themeColor="text1"/>
          <w:sz w:val="22"/>
          <w:szCs w:val="22"/>
        </w:rPr>
        <w:t xml:space="preserve"> C-</w:t>
      </w:r>
      <w:r w:rsidRPr="00923779">
        <w:rPr>
          <w:rFonts w:ascii="Arial" w:eastAsia="Calibri" w:hAnsi="Arial" w:cs="Arial"/>
          <w:bCs/>
          <w:color w:val="000000" w:themeColor="text1"/>
          <w:sz w:val="22"/>
          <w:szCs w:val="22"/>
        </w:rPr>
        <w:t xml:space="preserve">013, </w:t>
      </w:r>
      <w:r w:rsidR="0068684B" w:rsidRPr="00923779">
        <w:rPr>
          <w:rFonts w:ascii="Arial" w:eastAsia="Calibri" w:hAnsi="Arial" w:cs="Arial"/>
          <w:bCs/>
          <w:color w:val="000000" w:themeColor="text1"/>
          <w:sz w:val="22"/>
          <w:szCs w:val="22"/>
        </w:rPr>
        <w:t>C-</w:t>
      </w:r>
      <w:r w:rsidRPr="00923779">
        <w:rPr>
          <w:rFonts w:ascii="Arial" w:eastAsia="Calibri" w:hAnsi="Arial" w:cs="Arial"/>
          <w:bCs/>
          <w:color w:val="000000" w:themeColor="text1"/>
          <w:sz w:val="22"/>
          <w:szCs w:val="22"/>
        </w:rPr>
        <w:t xml:space="preserve">015, </w:t>
      </w:r>
      <w:r w:rsidR="0068684B" w:rsidRPr="00923779">
        <w:rPr>
          <w:rFonts w:ascii="Arial" w:eastAsia="Calibri" w:hAnsi="Arial" w:cs="Arial"/>
          <w:bCs/>
          <w:color w:val="000000" w:themeColor="text1"/>
          <w:sz w:val="22"/>
          <w:szCs w:val="22"/>
        </w:rPr>
        <w:t>C-</w:t>
      </w:r>
      <w:r w:rsidRPr="00923779">
        <w:rPr>
          <w:rFonts w:ascii="Arial" w:eastAsia="Calibri" w:hAnsi="Arial" w:cs="Arial"/>
          <w:bCs/>
          <w:color w:val="000000" w:themeColor="text1"/>
          <w:sz w:val="22"/>
          <w:szCs w:val="22"/>
        </w:rPr>
        <w:t xml:space="preserve">016, </w:t>
      </w:r>
      <w:r w:rsidR="0068684B" w:rsidRPr="00923779">
        <w:rPr>
          <w:rFonts w:ascii="Arial" w:eastAsia="Calibri" w:hAnsi="Arial" w:cs="Arial"/>
          <w:bCs/>
          <w:color w:val="000000" w:themeColor="text1"/>
          <w:sz w:val="22"/>
          <w:szCs w:val="22"/>
        </w:rPr>
        <w:t>C-</w:t>
      </w:r>
      <w:r w:rsidRPr="00923779">
        <w:rPr>
          <w:rFonts w:ascii="Arial" w:eastAsia="Calibri" w:hAnsi="Arial" w:cs="Arial"/>
          <w:bCs/>
          <w:color w:val="000000" w:themeColor="text1"/>
          <w:sz w:val="22"/>
          <w:szCs w:val="22"/>
        </w:rPr>
        <w:t xml:space="preserve">026 del 4 de febrero de 2021, así como en los </w:t>
      </w:r>
      <w:r w:rsidR="008E380F" w:rsidRPr="00923779">
        <w:rPr>
          <w:rFonts w:ascii="Arial" w:eastAsia="Calibri" w:hAnsi="Arial" w:cs="Arial"/>
          <w:bCs/>
          <w:color w:val="000000" w:themeColor="text1"/>
          <w:sz w:val="22"/>
          <w:szCs w:val="22"/>
        </w:rPr>
        <w:t>c</w:t>
      </w:r>
      <w:r w:rsidRPr="00923779">
        <w:rPr>
          <w:rFonts w:ascii="Arial" w:eastAsia="Calibri" w:hAnsi="Arial" w:cs="Arial"/>
          <w:bCs/>
          <w:color w:val="000000" w:themeColor="text1"/>
          <w:sz w:val="22"/>
          <w:szCs w:val="22"/>
        </w:rPr>
        <w:t xml:space="preserve">onceptos C-006 del 5 de febrero de 2021, C-043 del 9 de febrero de 2021, </w:t>
      </w:r>
      <w:r w:rsidRPr="00923779">
        <w:rPr>
          <w:rFonts w:ascii="Arial" w:eastAsia="Calibri" w:hAnsi="Arial" w:cs="Arial"/>
          <w:color w:val="000000" w:themeColor="text1"/>
          <w:sz w:val="22"/>
          <w:szCs w:val="22"/>
          <w:lang w:val="es-ES_tradnl"/>
        </w:rPr>
        <w:t xml:space="preserve">C-028, C-029 del 23 de febrero de 2021, C-040 del 2 de marzo de 2021, </w:t>
      </w:r>
      <w:r w:rsidRPr="00923779">
        <w:rPr>
          <w:rFonts w:ascii="Arial" w:hAnsi="Arial" w:cs="Arial"/>
          <w:sz w:val="22"/>
          <w:szCs w:val="22"/>
        </w:rPr>
        <w:t xml:space="preserve">C-056 del 8 de marzo de 2021, C-058, C-061 del 11 de marzo de 2021, C-069 del 12 de marzo de 2021, C-081, C-087 del 24 de marzo de 2021, C-137, C-139 del 15 de abril de 2021, C-160 del 20 de abril de 2021, C-162, C-165 del 13 de abril de 2021 y C-176 del 19 de abril de 2021, </w:t>
      </w:r>
      <w:r w:rsidRPr="00923779">
        <w:rPr>
          <w:rFonts w:ascii="Arial" w:eastAsia="Calibri" w:hAnsi="Arial" w:cs="Arial"/>
          <w:bCs/>
          <w:color w:val="000000" w:themeColor="text1"/>
          <w:sz w:val="22"/>
          <w:szCs w:val="22"/>
        </w:rPr>
        <w:t>se analizaron algunos aspectos sobre la aplicación de la Ley de Emprendimiento</w:t>
      </w:r>
      <w:r w:rsidRPr="00923779">
        <w:rPr>
          <w:rFonts w:ascii="Arial" w:eastAsia="Calibri" w:hAnsi="Arial" w:cs="Arial"/>
          <w:color w:val="000000"/>
          <w:sz w:val="22"/>
          <w:szCs w:val="22"/>
          <w:lang w:val="es-ES_tradnl"/>
        </w:rPr>
        <w:t xml:space="preserve">. </w:t>
      </w:r>
    </w:p>
    <w:p w14:paraId="718D8041" w14:textId="3CE43C11" w:rsidR="00D33235" w:rsidRPr="00923779" w:rsidRDefault="00D33235" w:rsidP="00871418">
      <w:pPr>
        <w:spacing w:line="276" w:lineRule="auto"/>
        <w:ind w:firstLine="709"/>
        <w:jc w:val="both"/>
        <w:rPr>
          <w:rFonts w:ascii="Arial" w:eastAsia="Calibri" w:hAnsi="Arial" w:cs="Arial"/>
          <w:color w:val="000000"/>
          <w:sz w:val="22"/>
          <w:szCs w:val="22"/>
          <w:lang w:val="es-ES_tradnl"/>
        </w:rPr>
      </w:pPr>
      <w:r w:rsidRPr="00923779">
        <w:rPr>
          <w:rFonts w:ascii="Arial" w:eastAsia="Calibri" w:hAnsi="Arial" w:cs="Arial"/>
          <w:color w:val="000000"/>
          <w:sz w:val="22"/>
          <w:szCs w:val="22"/>
          <w:lang w:val="es-ES_tradnl"/>
        </w:rPr>
        <w:t xml:space="preserve">Por otra parte en el concepto C-098 del 23 de febrero de 2021, se analizó la aplicación de los factores de desempate del artículo 35 de la Ley 2069 de 2021, al procedimiento de selección de subasta inversa, lo propio se hizo en los conceptos C-007 del 16 de febrero de 2021, </w:t>
      </w:r>
      <w:r w:rsidRPr="00923779">
        <w:rPr>
          <w:rFonts w:ascii="Arial" w:hAnsi="Arial" w:cs="Arial"/>
          <w:sz w:val="22"/>
          <w:szCs w:val="22"/>
        </w:rPr>
        <w:t xml:space="preserve">C-127 del 6 de abril de 2021, C-138 del 7 de abril de 2021, C-158 del 15 de abril de 2021, C-163, C-164 del 19 de abril de 2021, </w:t>
      </w:r>
      <w:r w:rsidRPr="00923779">
        <w:rPr>
          <w:rFonts w:ascii="Arial" w:eastAsia="Calibri" w:hAnsi="Arial" w:cs="Arial"/>
          <w:color w:val="000000"/>
          <w:sz w:val="22"/>
          <w:szCs w:val="22"/>
          <w:lang w:val="es-ES_tradnl"/>
        </w:rPr>
        <w:t xml:space="preserve">en cuanto a la aplicación de los factores de desempate del artículo en mención a los procedimientos de mínima cuantía, por último en los conceptos C-101 del 24 de marzo de 2021, </w:t>
      </w:r>
      <w:r w:rsidRPr="00923779">
        <w:rPr>
          <w:rFonts w:ascii="Arial" w:hAnsi="Arial" w:cs="Arial"/>
          <w:sz w:val="22"/>
          <w:szCs w:val="22"/>
        </w:rPr>
        <w:t xml:space="preserve">C-117 del 26 de marzo de 2021 y C-195 del 4 de mayo de 2021, </w:t>
      </w:r>
      <w:r w:rsidRPr="00923779">
        <w:rPr>
          <w:rFonts w:ascii="Arial" w:eastAsia="Calibri" w:hAnsi="Arial" w:cs="Arial"/>
          <w:color w:val="000000"/>
          <w:sz w:val="22"/>
          <w:szCs w:val="22"/>
          <w:lang w:val="es-ES_tradnl"/>
        </w:rPr>
        <w:t>se analizó la aplicación de los factores de desempate del artículo 35 de la Ley 2069 de 2020, en los procedimientos de subasta inversa y mínima cuantía. Algunas de las consideraciones de estos conceptos en lo pertinente, se reiteran a continuación.</w:t>
      </w:r>
    </w:p>
    <w:p w14:paraId="28FE1B8D" w14:textId="77777777" w:rsidR="00E31632" w:rsidRPr="005419DA" w:rsidRDefault="00E31632" w:rsidP="00871418">
      <w:pPr>
        <w:spacing w:line="276" w:lineRule="auto"/>
        <w:jc w:val="both"/>
        <w:rPr>
          <w:rFonts w:ascii="Arial" w:eastAsia="Calibri" w:hAnsi="Arial" w:cs="Arial"/>
          <w:color w:val="000000" w:themeColor="text1"/>
          <w:sz w:val="22"/>
          <w:szCs w:val="22"/>
          <w:lang w:val="es-ES_tradnl"/>
        </w:rPr>
      </w:pPr>
    </w:p>
    <w:p w14:paraId="3773B0E3" w14:textId="77777777" w:rsidR="00E31632" w:rsidRPr="005419DA" w:rsidRDefault="00E31632" w:rsidP="00D33235">
      <w:pPr>
        <w:spacing w:line="276" w:lineRule="auto"/>
        <w:jc w:val="both"/>
        <w:rPr>
          <w:rFonts w:ascii="Arial" w:eastAsia="Calibri" w:hAnsi="Arial" w:cs="Arial"/>
          <w:b/>
          <w:bCs/>
          <w:color w:val="000000" w:themeColor="text1"/>
          <w:sz w:val="22"/>
          <w:szCs w:val="22"/>
          <w:lang w:val="es-ES_tradnl"/>
        </w:rPr>
      </w:pPr>
      <w:r w:rsidRPr="005419DA">
        <w:rPr>
          <w:rFonts w:ascii="Arial" w:eastAsia="Calibri" w:hAnsi="Arial" w:cs="Arial"/>
          <w:b/>
          <w:bCs/>
          <w:color w:val="000000" w:themeColor="text1"/>
          <w:sz w:val="22"/>
          <w:szCs w:val="22"/>
          <w:lang w:val="es-ES_tradnl"/>
        </w:rPr>
        <w:t>2.1. Factores de desempate en la contratación estatal: concepto y características</w:t>
      </w:r>
    </w:p>
    <w:p w14:paraId="6C55C4EF" w14:textId="77777777" w:rsidR="00E31632" w:rsidRPr="005419DA" w:rsidRDefault="00E31632" w:rsidP="00E31632">
      <w:pPr>
        <w:spacing w:line="276" w:lineRule="auto"/>
        <w:jc w:val="both"/>
        <w:rPr>
          <w:rFonts w:ascii="Arial" w:eastAsia="Calibri" w:hAnsi="Arial" w:cs="Arial"/>
          <w:color w:val="000000" w:themeColor="text1"/>
          <w:sz w:val="22"/>
          <w:szCs w:val="22"/>
          <w:lang w:val="es-ES_tradnl"/>
        </w:rPr>
      </w:pPr>
    </w:p>
    <w:p w14:paraId="3171082D" w14:textId="3A5D7005" w:rsidR="00E31632" w:rsidRPr="005419DA" w:rsidRDefault="00E31632" w:rsidP="00E31632">
      <w:pPr>
        <w:spacing w:line="276" w:lineRule="auto"/>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equivalentes tendrán en cuenta criterios como la experiencia y la capacidad jurídica, financiera y de organización, entre otros elementos que garanticen la escogencia de la mejor opción de negocio para la entidad estatal.</w:t>
      </w:r>
    </w:p>
    <w:p w14:paraId="585369DB" w14:textId="77777777" w:rsidR="00E31632" w:rsidRPr="005419DA" w:rsidRDefault="00E31632" w:rsidP="00E31632">
      <w:pPr>
        <w:spacing w:before="120" w:line="276" w:lineRule="auto"/>
        <w:ind w:firstLine="709"/>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de selección. </w:t>
      </w:r>
    </w:p>
    <w:p w14:paraId="1310E9A7" w14:textId="19442A35" w:rsidR="00E31632" w:rsidRPr="005419DA" w:rsidRDefault="00FD46D1" w:rsidP="00E31632">
      <w:pPr>
        <w:spacing w:before="120" w:line="276" w:lineRule="auto"/>
        <w:ind w:firstLine="709"/>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lang w:val="es-ES_tradnl"/>
        </w:rPr>
        <w:t>Sin embargo</w:t>
      </w:r>
      <w:r w:rsidR="00E31632" w:rsidRPr="005419DA">
        <w:rPr>
          <w:rFonts w:ascii="Arial" w:eastAsia="Calibri" w:hAnsi="Arial" w:cs="Arial"/>
          <w:color w:val="000000" w:themeColor="text1"/>
          <w:sz w:val="22"/>
          <w:szCs w:val="22"/>
          <w:lang w:val="es-ES_tradnl"/>
        </w:rPr>
        <w:t>, ni siquiera los casos de empate limitan el alcance de la selección objetiva en la contratación estatal. Por el contrario, en estos supuestos también debe mantenerse indemne tal postulado. En consecuencia, el desempate no puede propiciarse acudiendo arbitrariamente a consideraciones subjetivas que no estén amparadas en el ordenamiento jurídico, sino que deben aplicarse los factores permitidos por las disposiciones normativas que regulan esta materia</w:t>
      </w:r>
      <w:r>
        <w:rPr>
          <w:rFonts w:ascii="Arial" w:eastAsia="Calibri" w:hAnsi="Arial" w:cs="Arial"/>
          <w:color w:val="000000" w:themeColor="text1"/>
          <w:sz w:val="22"/>
          <w:szCs w:val="22"/>
          <w:lang w:val="es-ES_tradnl"/>
        </w:rPr>
        <w:t xml:space="preserve">, entre los que se </w:t>
      </w:r>
      <w:proofErr w:type="gramStart"/>
      <w:r>
        <w:rPr>
          <w:rFonts w:ascii="Arial" w:eastAsia="Calibri" w:hAnsi="Arial" w:cs="Arial"/>
          <w:color w:val="000000" w:themeColor="text1"/>
          <w:sz w:val="22"/>
          <w:szCs w:val="22"/>
          <w:lang w:val="es-ES_tradnl"/>
        </w:rPr>
        <w:t>cuenta</w:t>
      </w:r>
      <w:r w:rsidR="00382FB5">
        <w:rPr>
          <w:rFonts w:ascii="Arial" w:eastAsia="Calibri" w:hAnsi="Arial" w:cs="Arial"/>
          <w:color w:val="000000" w:themeColor="text1"/>
          <w:sz w:val="22"/>
          <w:szCs w:val="22"/>
          <w:lang w:val="es-ES_tradnl"/>
        </w:rPr>
        <w:t xml:space="preserve">, </w:t>
      </w:r>
      <w:r w:rsidR="00E31632" w:rsidRPr="005419DA">
        <w:rPr>
          <w:rFonts w:ascii="Arial" w:eastAsia="Calibri" w:hAnsi="Arial" w:cs="Arial"/>
          <w:color w:val="000000" w:themeColor="text1"/>
          <w:sz w:val="22"/>
          <w:szCs w:val="22"/>
          <w:lang w:val="es-ES_tradnl"/>
        </w:rPr>
        <w:t xml:space="preserve"> el</w:t>
      </w:r>
      <w:proofErr w:type="gramEnd"/>
      <w:r w:rsidR="00E31632" w:rsidRPr="005419DA">
        <w:rPr>
          <w:rFonts w:ascii="Arial" w:eastAsia="Calibri" w:hAnsi="Arial" w:cs="Arial"/>
          <w:color w:val="000000" w:themeColor="text1"/>
          <w:sz w:val="22"/>
          <w:szCs w:val="22"/>
          <w:lang w:val="es-ES_tradnl"/>
        </w:rPr>
        <w:t xml:space="preserve"> artículo 35 de la Ley </w:t>
      </w:r>
      <w:r w:rsidR="00E31632">
        <w:rPr>
          <w:rFonts w:ascii="Arial" w:eastAsia="Calibri" w:hAnsi="Arial" w:cs="Arial"/>
          <w:color w:val="000000" w:themeColor="text1"/>
          <w:sz w:val="22"/>
          <w:szCs w:val="22"/>
          <w:lang w:val="es-ES_tradnl"/>
        </w:rPr>
        <w:t>2069</w:t>
      </w:r>
      <w:r w:rsidR="00E31632" w:rsidRPr="005419DA">
        <w:rPr>
          <w:rFonts w:ascii="Arial" w:eastAsia="Calibri" w:hAnsi="Arial" w:cs="Arial"/>
          <w:color w:val="000000" w:themeColor="text1"/>
          <w:sz w:val="22"/>
          <w:szCs w:val="22"/>
          <w:lang w:val="es-ES_tradnl"/>
        </w:rPr>
        <w:t xml:space="preserve"> de 2020. La </w:t>
      </w:r>
      <w:r w:rsidR="00E31632">
        <w:rPr>
          <w:rFonts w:ascii="Arial" w:eastAsia="Calibri" w:hAnsi="Arial" w:cs="Arial"/>
          <w:color w:val="000000" w:themeColor="text1"/>
          <w:sz w:val="22"/>
          <w:szCs w:val="22"/>
          <w:lang w:val="es-ES_tradnl"/>
        </w:rPr>
        <w:t>jurisprudencia</w:t>
      </w:r>
      <w:r w:rsidR="00E31632" w:rsidRPr="005419DA">
        <w:rPr>
          <w:rFonts w:ascii="Arial" w:eastAsia="Calibri" w:hAnsi="Arial" w:cs="Arial"/>
          <w:color w:val="000000" w:themeColor="text1"/>
          <w:sz w:val="22"/>
          <w:szCs w:val="22"/>
          <w:lang w:val="es-ES_tradnl"/>
        </w:rPr>
        <w:t xml:space="preserve"> comparte la idea de que los criterios de desempate deben estar establecidos de antemano y constituyen un límite a la discrecionalidad administrativa en los procedimientos de selección</w:t>
      </w:r>
      <w:r w:rsidR="00E31632" w:rsidRPr="005419DA">
        <w:rPr>
          <w:rStyle w:val="Refdenotaalpie"/>
          <w:rFonts w:ascii="Arial" w:hAnsi="Arial" w:cs="Arial"/>
          <w:sz w:val="21"/>
          <w:szCs w:val="21"/>
          <w:lang w:val="es-ES_tradnl"/>
        </w:rPr>
        <w:footnoteReference w:id="1"/>
      </w:r>
      <w:r w:rsidR="00E31632" w:rsidRPr="005419DA">
        <w:rPr>
          <w:rFonts w:ascii="Arial" w:eastAsia="Calibri" w:hAnsi="Arial" w:cs="Arial"/>
          <w:color w:val="000000" w:themeColor="text1"/>
          <w:sz w:val="22"/>
          <w:szCs w:val="22"/>
          <w:lang w:val="es-ES_tradnl"/>
        </w:rPr>
        <w:t xml:space="preserve">. </w:t>
      </w:r>
    </w:p>
    <w:p w14:paraId="0AE05F26" w14:textId="79BE4C0C" w:rsidR="00E31632" w:rsidRPr="005419DA" w:rsidRDefault="00E31632" w:rsidP="00E31632">
      <w:pPr>
        <w:spacing w:before="120" w:line="276" w:lineRule="auto"/>
        <w:ind w:firstLine="709"/>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En tal sentido, la Corte Constitucional explica que cuando la ley establece factores de desempate obligatorios, las entidades estatales no pueden </w:t>
      </w:r>
      <w:proofErr w:type="spellStart"/>
      <w:r w:rsidRPr="005419DA">
        <w:rPr>
          <w:rFonts w:ascii="Arial" w:eastAsia="Calibri" w:hAnsi="Arial" w:cs="Arial"/>
          <w:color w:val="000000" w:themeColor="text1"/>
          <w:sz w:val="22"/>
          <w:szCs w:val="22"/>
          <w:lang w:val="es-ES_tradnl"/>
        </w:rPr>
        <w:t>inaplicarlos</w:t>
      </w:r>
      <w:proofErr w:type="spellEnd"/>
      <w:r w:rsidRPr="005419DA">
        <w:rPr>
          <w:rFonts w:ascii="Arial" w:eastAsia="Calibri" w:hAnsi="Arial" w:cs="Arial"/>
          <w:color w:val="000000" w:themeColor="text1"/>
          <w:sz w:val="22"/>
          <w:szCs w:val="22"/>
          <w:lang w:val="es-ES_tradnl"/>
        </w:rPr>
        <w:t xml:space="preserve">, porque ello </w:t>
      </w:r>
      <w:r w:rsidRPr="005419DA">
        <w:rPr>
          <w:rFonts w:ascii="Arial" w:eastAsia="Calibri" w:hAnsi="Arial" w:cs="Arial"/>
          <w:color w:val="000000" w:themeColor="text1"/>
          <w:sz w:val="22"/>
          <w:szCs w:val="22"/>
          <w:lang w:val="es-ES_tradnl"/>
        </w:rPr>
        <w:lastRenderedPageBreak/>
        <w:t>podría vulnerar el principio de igualdad, especialmente, cuando algunos de estos criterios surgen como acciones afirmativas para ciertos sectores de la población</w:t>
      </w:r>
      <w:r w:rsidRPr="005419DA">
        <w:rPr>
          <w:rStyle w:val="Refdenotaalpie"/>
          <w:rFonts w:ascii="Arial" w:eastAsia="Calibri" w:hAnsi="Arial" w:cs="Arial"/>
          <w:color w:val="000000" w:themeColor="text1"/>
          <w:sz w:val="22"/>
          <w:szCs w:val="22"/>
          <w:lang w:val="es-ES_tradnl"/>
        </w:rPr>
        <w:footnoteReference w:id="2"/>
      </w:r>
      <w:r w:rsidRPr="005419DA">
        <w:rPr>
          <w:rFonts w:ascii="Arial" w:eastAsia="Calibri" w:hAnsi="Arial" w:cs="Arial"/>
          <w:color w:val="000000" w:themeColor="text1"/>
          <w:sz w:val="22"/>
          <w:szCs w:val="22"/>
          <w:lang w:val="es-ES_tradnl"/>
        </w:rPr>
        <w:t xml:space="preserve">. </w:t>
      </w:r>
      <w:r w:rsidR="00156230">
        <w:rPr>
          <w:rFonts w:ascii="Arial" w:eastAsia="Calibri" w:hAnsi="Arial" w:cs="Arial"/>
          <w:color w:val="000000" w:themeColor="text1"/>
          <w:sz w:val="22"/>
          <w:szCs w:val="22"/>
          <w:lang w:val="es-ES_tradnl"/>
        </w:rPr>
        <w:t>M</w:t>
      </w:r>
      <w:r w:rsidRPr="005419DA">
        <w:rPr>
          <w:rFonts w:ascii="Arial" w:eastAsia="Calibri" w:hAnsi="Arial" w:cs="Arial"/>
          <w:color w:val="000000" w:themeColor="text1"/>
          <w:sz w:val="22"/>
          <w:szCs w:val="22"/>
          <w:lang w:val="es-ES_tradnl"/>
        </w:rPr>
        <w:t>ás</w:t>
      </w:r>
      <w:r w:rsidR="00156230">
        <w:rPr>
          <w:rFonts w:ascii="Arial" w:eastAsia="Calibri" w:hAnsi="Arial" w:cs="Arial"/>
          <w:color w:val="000000" w:themeColor="text1"/>
          <w:sz w:val="22"/>
          <w:szCs w:val="22"/>
          <w:lang w:val="es-ES_tradnl"/>
        </w:rPr>
        <w:t xml:space="preserve"> aún</w:t>
      </w:r>
      <w:r w:rsidRPr="005419DA">
        <w:rPr>
          <w:rFonts w:ascii="Arial" w:eastAsia="Calibri" w:hAnsi="Arial" w:cs="Arial"/>
          <w:color w:val="000000" w:themeColor="text1"/>
          <w:sz w:val="22"/>
          <w:szCs w:val="22"/>
          <w:lang w:val="es-ES_tradnl"/>
        </w:rPr>
        <w:t>, el Consejo de Estado</w:t>
      </w:r>
      <w:r w:rsidR="00156230">
        <w:rPr>
          <w:rFonts w:ascii="Arial" w:eastAsia="Calibri" w:hAnsi="Arial" w:cs="Arial"/>
          <w:color w:val="000000" w:themeColor="text1"/>
          <w:sz w:val="22"/>
          <w:szCs w:val="22"/>
          <w:lang w:val="es-ES_tradnl"/>
        </w:rPr>
        <w:t>- ha señalado</w:t>
      </w:r>
      <w:r w:rsidR="00C20B74">
        <w:rPr>
          <w:rFonts w:ascii="Arial" w:eastAsia="Calibri" w:hAnsi="Arial" w:cs="Arial"/>
          <w:color w:val="000000" w:themeColor="text1"/>
          <w:sz w:val="22"/>
          <w:szCs w:val="22"/>
          <w:lang w:val="es-ES_tradnl"/>
        </w:rPr>
        <w:t xml:space="preserve"> que contrariar</w:t>
      </w:r>
      <w:r w:rsidRPr="005419DA">
        <w:rPr>
          <w:rFonts w:ascii="Arial" w:eastAsia="Calibri" w:hAnsi="Arial" w:cs="Arial"/>
          <w:color w:val="000000" w:themeColor="text1"/>
          <w:sz w:val="22"/>
          <w:szCs w:val="22"/>
          <w:lang w:val="es-ES_tradnl"/>
        </w:rPr>
        <w:t xml:space="preserve"> los factores de desempate genera la nulidad del contrato, conforme al artículo 44, inciso 1º de la Ley 80 de 1993</w:t>
      </w:r>
      <w:r w:rsidRPr="005419DA">
        <w:rPr>
          <w:rStyle w:val="Refdenotaalpie"/>
          <w:rFonts w:ascii="Arial" w:eastAsia="Calibri" w:hAnsi="Arial" w:cs="Arial"/>
          <w:color w:val="000000" w:themeColor="text1"/>
          <w:sz w:val="22"/>
          <w:szCs w:val="22"/>
          <w:lang w:val="es-ES_tradnl"/>
        </w:rPr>
        <w:footnoteReference w:id="3"/>
      </w:r>
      <w:r w:rsidRPr="005419DA">
        <w:rPr>
          <w:rFonts w:ascii="Arial" w:eastAsia="Calibri" w:hAnsi="Arial" w:cs="Arial"/>
          <w:color w:val="000000" w:themeColor="text1"/>
          <w:sz w:val="22"/>
          <w:szCs w:val="22"/>
          <w:lang w:val="es-ES_tradnl"/>
        </w:rPr>
        <w:t>.</w:t>
      </w:r>
    </w:p>
    <w:p w14:paraId="5CAEE01D" w14:textId="77777777" w:rsidR="00E31632" w:rsidRPr="005419DA" w:rsidRDefault="00E31632" w:rsidP="00E31632">
      <w:pPr>
        <w:spacing w:before="120" w:line="276" w:lineRule="auto"/>
        <w:ind w:firstLine="709"/>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Ahora bien, en cumplimiento de los principios de reciprocidad y de </w:t>
      </w:r>
      <w:r w:rsidRPr="005419DA">
        <w:rPr>
          <w:rFonts w:ascii="Arial" w:eastAsia="Calibri" w:hAnsi="Arial" w:cs="Arial"/>
          <w:i/>
          <w:iCs/>
          <w:color w:val="000000" w:themeColor="text1"/>
          <w:sz w:val="22"/>
          <w:szCs w:val="22"/>
          <w:lang w:val="es-ES_tradnl"/>
        </w:rPr>
        <w:t xml:space="preserve">pacta sunt </w:t>
      </w:r>
      <w:proofErr w:type="spellStart"/>
      <w:r w:rsidRPr="005419DA">
        <w:rPr>
          <w:rFonts w:ascii="Arial" w:eastAsia="Calibri" w:hAnsi="Arial" w:cs="Arial"/>
          <w:i/>
          <w:iCs/>
          <w:color w:val="000000" w:themeColor="text1"/>
          <w:sz w:val="22"/>
          <w:szCs w:val="22"/>
          <w:lang w:val="es-ES_tradnl"/>
        </w:rPr>
        <w:t>servanda</w:t>
      </w:r>
      <w:proofErr w:type="spellEnd"/>
      <w:r w:rsidRPr="005419DA">
        <w:rPr>
          <w:rFonts w:ascii="Arial" w:eastAsia="Calibri" w:hAnsi="Arial" w:cs="Arial"/>
          <w:color w:val="000000" w:themeColor="text1"/>
          <w:sz w:val="22"/>
          <w:szCs w:val="22"/>
          <w:lang w:val="es-ES_tradnl"/>
        </w:rPr>
        <w:t xml:space="preserve">, los factores de desempate que rigen la contratación estatal deben guardar armonía con los tratados comerciales internacionales suscritos por el Estado colombiano. Por tanto, las normas internas deben acoplarse a lo establecido en los acuerdos, pues estos prevalecen. Así lo precisó la Agencia Nacional de Contratación Pública – Colombia Compra Eficiente en el numeral IV, literal C, del «Manual para el manejo de los incentivos en los procesos de contratación». </w:t>
      </w:r>
    </w:p>
    <w:p w14:paraId="3BD891ED" w14:textId="77777777" w:rsidR="00E31632" w:rsidRPr="005419DA" w:rsidRDefault="00E31632" w:rsidP="00E31632">
      <w:pPr>
        <w:spacing w:line="276" w:lineRule="auto"/>
        <w:rPr>
          <w:rFonts w:ascii="Arial" w:eastAsia="Calibri" w:hAnsi="Arial" w:cs="Arial"/>
          <w:color w:val="000000" w:themeColor="text1"/>
          <w:sz w:val="22"/>
          <w:szCs w:val="22"/>
          <w:lang w:val="es-ES_tradnl"/>
        </w:rPr>
      </w:pPr>
    </w:p>
    <w:p w14:paraId="7E62FF52" w14:textId="77777777" w:rsidR="00E31632" w:rsidRPr="005419DA" w:rsidRDefault="00E31632" w:rsidP="00E31632">
      <w:pPr>
        <w:spacing w:line="276" w:lineRule="auto"/>
        <w:jc w:val="both"/>
        <w:rPr>
          <w:rFonts w:ascii="Arial" w:eastAsia="Calibri" w:hAnsi="Arial" w:cs="Arial"/>
          <w:b/>
          <w:bCs/>
          <w:color w:val="000000" w:themeColor="text1"/>
          <w:sz w:val="22"/>
          <w:szCs w:val="22"/>
          <w:lang w:val="es-ES_tradnl"/>
        </w:rPr>
      </w:pPr>
      <w:r w:rsidRPr="005419DA">
        <w:rPr>
          <w:rFonts w:ascii="Arial" w:eastAsia="Calibri" w:hAnsi="Arial" w:cs="Arial"/>
          <w:b/>
          <w:bCs/>
          <w:color w:val="000000" w:themeColor="text1"/>
          <w:sz w:val="22"/>
          <w:szCs w:val="22"/>
          <w:lang w:val="es-ES_tradnl"/>
        </w:rPr>
        <w:t xml:space="preserve">2.2. Vigencia y ámbito de aplicación de la Ley </w:t>
      </w:r>
      <w:r>
        <w:rPr>
          <w:rFonts w:ascii="Arial" w:eastAsia="Calibri" w:hAnsi="Arial" w:cs="Arial"/>
          <w:b/>
          <w:bCs/>
          <w:color w:val="000000" w:themeColor="text1"/>
          <w:sz w:val="22"/>
          <w:szCs w:val="22"/>
          <w:lang w:val="es-ES_tradnl"/>
        </w:rPr>
        <w:t>2069</w:t>
      </w:r>
      <w:r w:rsidRPr="005419DA">
        <w:rPr>
          <w:rFonts w:ascii="Arial" w:eastAsia="Calibri" w:hAnsi="Arial" w:cs="Arial"/>
          <w:b/>
          <w:bCs/>
          <w:color w:val="000000" w:themeColor="text1"/>
          <w:sz w:val="22"/>
          <w:szCs w:val="22"/>
          <w:lang w:val="es-ES_tradnl"/>
        </w:rPr>
        <w:t xml:space="preserve"> de 2020</w:t>
      </w:r>
    </w:p>
    <w:p w14:paraId="36E9DEE8" w14:textId="77777777" w:rsidR="00E31632" w:rsidRPr="005419DA" w:rsidRDefault="00E31632" w:rsidP="00E31632">
      <w:pPr>
        <w:spacing w:line="276" w:lineRule="auto"/>
        <w:jc w:val="both"/>
        <w:rPr>
          <w:rFonts w:ascii="Arial" w:eastAsia="Calibri" w:hAnsi="Arial" w:cs="Arial"/>
          <w:color w:val="000000" w:themeColor="text1"/>
          <w:sz w:val="22"/>
          <w:szCs w:val="22"/>
          <w:lang w:val="es-ES_tradnl"/>
        </w:rPr>
      </w:pPr>
    </w:p>
    <w:p w14:paraId="45193655" w14:textId="77777777" w:rsidR="00E31632" w:rsidRPr="005419DA" w:rsidRDefault="00E31632" w:rsidP="00E31632">
      <w:pPr>
        <w:spacing w:line="276" w:lineRule="auto"/>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El 31 de diciembre de 2020 se promulgó la Ley </w:t>
      </w:r>
      <w:r>
        <w:rPr>
          <w:rFonts w:ascii="Arial" w:eastAsia="Calibri" w:hAnsi="Arial" w:cs="Arial"/>
          <w:color w:val="000000" w:themeColor="text1"/>
          <w:sz w:val="22"/>
          <w:szCs w:val="22"/>
          <w:lang w:val="es-ES_tradnl"/>
        </w:rPr>
        <w:t>2069</w:t>
      </w:r>
      <w:r w:rsidRPr="005419DA">
        <w:rPr>
          <w:rFonts w:ascii="Arial" w:eastAsia="Calibri" w:hAnsi="Arial" w:cs="Arial"/>
          <w:color w:val="000000" w:themeColor="text1"/>
          <w:sz w:val="22"/>
          <w:szCs w:val="22"/>
          <w:lang w:val="es-ES_tradnl"/>
        </w:rPr>
        <w:t>,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Ley.</w:t>
      </w:r>
    </w:p>
    <w:p w14:paraId="734642BA" w14:textId="14787454" w:rsidR="00E31632" w:rsidRPr="005419DA" w:rsidRDefault="00E31632" w:rsidP="00E31632">
      <w:pPr>
        <w:spacing w:before="120" w:line="276" w:lineRule="auto"/>
        <w:ind w:firstLine="709"/>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En cuando a su contenido, es importante señalar que, como dispone el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5419DA">
        <w:rPr>
          <w:rFonts w:ascii="Arial" w:eastAsia="Calibri" w:hAnsi="Arial" w:cs="Arial"/>
          <w:color w:val="000000" w:themeColor="text1"/>
          <w:sz w:val="22"/>
          <w:szCs w:val="22"/>
          <w:lang w:val="es-ES_tradnl"/>
        </w:rPr>
        <w:t>de acuerdo a</w:t>
      </w:r>
      <w:proofErr w:type="gramEnd"/>
      <w:r w:rsidRPr="005419DA">
        <w:rPr>
          <w:rFonts w:ascii="Arial" w:eastAsia="Calibri" w:hAnsi="Arial" w:cs="Arial"/>
          <w:color w:val="000000" w:themeColor="text1"/>
          <w:sz w:val="22"/>
          <w:szCs w:val="22"/>
          <w:lang w:val="es-ES_tradnl"/>
        </w:rPr>
        <w:t xml:space="preserve"> las realidades socioeconómicas de cada región». En desarrollo de esta finalidad, se establecen medidas de apoyo para las micro, pequeñas y medianas empresas –</w:t>
      </w:r>
      <w:proofErr w:type="spellStart"/>
      <w:r w:rsidRPr="005419DA">
        <w:rPr>
          <w:rFonts w:ascii="Arial" w:eastAsia="Calibri" w:hAnsi="Arial" w:cs="Arial"/>
          <w:color w:val="000000" w:themeColor="text1"/>
          <w:sz w:val="22"/>
          <w:szCs w:val="22"/>
          <w:lang w:val="es-ES_tradnl"/>
        </w:rPr>
        <w:t>mipymes</w:t>
      </w:r>
      <w:proofErr w:type="spellEnd"/>
      <w:r w:rsidRPr="005419DA">
        <w:rPr>
          <w:rFonts w:ascii="Arial" w:eastAsia="Calibri" w:hAnsi="Arial" w:cs="Arial"/>
          <w:color w:val="000000" w:themeColor="text1"/>
          <w:sz w:val="22"/>
          <w:szCs w:val="22"/>
          <w:lang w:val="es-ES_tradnl"/>
        </w:rPr>
        <w:t>–, mediante la racionalización y simplificación de los trámites y tarifas</w:t>
      </w:r>
      <w:r w:rsidRPr="005419DA">
        <w:rPr>
          <w:rStyle w:val="Refdenotaalpie"/>
          <w:rFonts w:ascii="Arial" w:eastAsia="Calibri" w:hAnsi="Arial" w:cs="Arial"/>
          <w:color w:val="000000" w:themeColor="text1"/>
          <w:sz w:val="22"/>
          <w:szCs w:val="22"/>
          <w:lang w:val="es-ES_tradnl"/>
        </w:rPr>
        <w:footnoteReference w:id="4"/>
      </w:r>
      <w:r w:rsidRPr="005419DA">
        <w:rPr>
          <w:rFonts w:ascii="Arial" w:eastAsia="Calibri" w:hAnsi="Arial" w:cs="Arial"/>
          <w:color w:val="000000" w:themeColor="text1"/>
          <w:sz w:val="22"/>
          <w:szCs w:val="22"/>
          <w:lang w:val="es-ES_tradnl"/>
        </w:rPr>
        <w:t>, así como incentivos a favor de aquellas dentro del sistema de compras y contratación pública</w:t>
      </w:r>
      <w:r w:rsidRPr="005419DA">
        <w:rPr>
          <w:rStyle w:val="Refdenotaalpie"/>
          <w:rFonts w:ascii="Arial" w:eastAsia="Calibri" w:hAnsi="Arial" w:cs="Arial"/>
          <w:color w:val="000000" w:themeColor="text1"/>
          <w:sz w:val="22"/>
          <w:szCs w:val="22"/>
          <w:lang w:val="es-ES_tradnl"/>
        </w:rPr>
        <w:footnoteReference w:id="5"/>
      </w:r>
      <w:r w:rsidRPr="005419DA">
        <w:rPr>
          <w:rFonts w:ascii="Arial" w:eastAsia="Calibri" w:hAnsi="Arial" w:cs="Arial"/>
          <w:color w:val="000000" w:themeColor="text1"/>
          <w:sz w:val="22"/>
          <w:szCs w:val="22"/>
          <w:lang w:val="es-ES_tradnl"/>
        </w:rPr>
        <w:t xml:space="preserve">. </w:t>
      </w:r>
      <w:r w:rsidR="003C5187">
        <w:rPr>
          <w:rFonts w:ascii="Arial" w:eastAsia="Calibri" w:hAnsi="Arial" w:cs="Arial"/>
          <w:color w:val="000000" w:themeColor="text1"/>
          <w:sz w:val="22"/>
          <w:szCs w:val="22"/>
          <w:lang w:val="es-ES_tradnl"/>
        </w:rPr>
        <w:t xml:space="preserve">De </w:t>
      </w:r>
      <w:r w:rsidR="003C5187">
        <w:rPr>
          <w:rFonts w:ascii="Arial" w:eastAsia="Calibri" w:hAnsi="Arial" w:cs="Arial"/>
          <w:color w:val="000000" w:themeColor="text1"/>
          <w:sz w:val="22"/>
          <w:szCs w:val="22"/>
          <w:lang w:val="es-ES_tradnl"/>
        </w:rPr>
        <w:lastRenderedPageBreak/>
        <w:t xml:space="preserve">igual forma, </w:t>
      </w:r>
      <w:r w:rsidRPr="005419DA">
        <w:rPr>
          <w:rFonts w:ascii="Arial" w:eastAsia="Calibri" w:hAnsi="Arial" w:cs="Arial"/>
          <w:color w:val="000000" w:themeColor="text1"/>
          <w:sz w:val="22"/>
          <w:szCs w:val="22"/>
          <w:lang w:val="es-ES_tradnl"/>
        </w:rPr>
        <w:t>se consagran mecanismos de acceso al financiamiento</w:t>
      </w:r>
      <w:r w:rsidRPr="005419DA">
        <w:rPr>
          <w:rStyle w:val="Refdenotaalpie"/>
          <w:rFonts w:ascii="Arial" w:eastAsia="Calibri" w:hAnsi="Arial" w:cs="Arial"/>
          <w:color w:val="000000" w:themeColor="text1"/>
          <w:sz w:val="22"/>
          <w:szCs w:val="22"/>
          <w:lang w:val="es-ES_tradnl"/>
        </w:rPr>
        <w:footnoteReference w:id="6"/>
      </w:r>
      <w:r w:rsidRPr="005419DA">
        <w:rPr>
          <w:rFonts w:ascii="Arial" w:eastAsia="Calibri" w:hAnsi="Arial" w:cs="Arial"/>
          <w:color w:val="000000" w:themeColor="text1"/>
          <w:sz w:val="22"/>
          <w:szCs w:val="22"/>
          <w:lang w:val="es-ES_tradnl"/>
        </w:rPr>
        <w:t>, se unifican las fuentes de emprendimiento y de desarrollo empresarial, para fortalecer y promover los distintos sectores de la economía</w:t>
      </w:r>
      <w:r w:rsidRPr="005419DA">
        <w:rPr>
          <w:rStyle w:val="Refdenotaalpie"/>
          <w:rFonts w:ascii="Arial" w:eastAsia="Calibri" w:hAnsi="Arial" w:cs="Arial"/>
          <w:color w:val="000000" w:themeColor="text1"/>
          <w:sz w:val="22"/>
          <w:szCs w:val="22"/>
          <w:lang w:val="es-ES_tradnl"/>
        </w:rPr>
        <w:footnoteReference w:id="7"/>
      </w:r>
      <w:r w:rsidRPr="005419DA">
        <w:rPr>
          <w:rFonts w:ascii="Arial" w:eastAsia="Calibri" w:hAnsi="Arial" w:cs="Arial"/>
          <w:color w:val="000000" w:themeColor="text1"/>
          <w:sz w:val="22"/>
          <w:szCs w:val="22"/>
          <w:lang w:val="es-ES_tradnl"/>
        </w:rPr>
        <w:t xml:space="preserve"> y se prevén medidas de educación para el emprendimiento y la innovación</w:t>
      </w:r>
      <w:r w:rsidRPr="005419DA">
        <w:rPr>
          <w:rStyle w:val="Refdenotaalpie"/>
          <w:rFonts w:ascii="Arial" w:eastAsia="Calibri" w:hAnsi="Arial" w:cs="Arial"/>
          <w:color w:val="000000" w:themeColor="text1"/>
          <w:sz w:val="22"/>
          <w:szCs w:val="22"/>
          <w:lang w:val="es-ES_tradnl"/>
        </w:rPr>
        <w:footnoteReference w:id="8"/>
      </w:r>
      <w:r w:rsidRPr="005419DA">
        <w:rPr>
          <w:rFonts w:ascii="Arial" w:eastAsia="Calibri" w:hAnsi="Arial" w:cs="Arial"/>
          <w:color w:val="000000" w:themeColor="text1"/>
          <w:sz w:val="22"/>
          <w:szCs w:val="22"/>
          <w:lang w:val="es-ES_tradnl"/>
        </w:rPr>
        <w:t>.</w:t>
      </w:r>
    </w:p>
    <w:p w14:paraId="697AD054" w14:textId="6C1379AE" w:rsidR="00E31632" w:rsidRPr="005419DA" w:rsidRDefault="00E31632" w:rsidP="00E31632">
      <w:pPr>
        <w:spacing w:before="120" w:line="276" w:lineRule="auto"/>
        <w:ind w:firstLine="709"/>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Como se indicó, parte de la Ley </w:t>
      </w:r>
      <w:r>
        <w:rPr>
          <w:rFonts w:ascii="Arial" w:eastAsia="Calibri" w:hAnsi="Arial" w:cs="Arial"/>
          <w:color w:val="000000" w:themeColor="text1"/>
          <w:sz w:val="22"/>
          <w:szCs w:val="22"/>
          <w:lang w:val="es-ES_tradnl"/>
        </w:rPr>
        <w:t>2069</w:t>
      </w:r>
      <w:r w:rsidRPr="005419DA">
        <w:rPr>
          <w:rFonts w:ascii="Arial" w:eastAsia="Calibri" w:hAnsi="Arial" w:cs="Arial"/>
          <w:color w:val="000000" w:themeColor="text1"/>
          <w:sz w:val="22"/>
          <w:szCs w:val="22"/>
          <w:lang w:val="es-ES_tradnl"/>
        </w:rPr>
        <w:t xml:space="preserve">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5419DA">
        <w:rPr>
          <w:rFonts w:ascii="Arial" w:eastAsia="Calibri" w:hAnsi="Arial" w:cs="Arial"/>
          <w:color w:val="000000" w:themeColor="text1"/>
          <w:sz w:val="22"/>
          <w:szCs w:val="22"/>
          <w:lang w:val="es-ES_tradnl"/>
        </w:rPr>
        <w:t>mipymes</w:t>
      </w:r>
      <w:proofErr w:type="spellEnd"/>
      <w:r w:rsidRPr="005419DA">
        <w:rPr>
          <w:rFonts w:ascii="Arial" w:eastAsia="Calibri" w:hAnsi="Arial" w:cs="Arial"/>
          <w:color w:val="000000" w:themeColor="text1"/>
          <w:sz w:val="22"/>
          <w:szCs w:val="22"/>
          <w:lang w:val="es-ES_tradnl"/>
        </w:rPr>
        <w:t xml:space="preserve"> en el procedimiento de mínima cuantía, </w:t>
      </w:r>
      <w:proofErr w:type="spellStart"/>
      <w:r w:rsidRPr="005419DA">
        <w:rPr>
          <w:rFonts w:ascii="Arial" w:eastAsia="Calibri" w:hAnsi="Arial" w:cs="Arial"/>
          <w:color w:val="000000" w:themeColor="text1"/>
          <w:sz w:val="22"/>
          <w:szCs w:val="22"/>
          <w:lang w:val="es-ES_tradnl"/>
        </w:rPr>
        <w:t>ii</w:t>
      </w:r>
      <w:proofErr w:type="spellEnd"/>
      <w:r w:rsidRPr="005419DA">
        <w:rPr>
          <w:rFonts w:ascii="Arial" w:eastAsia="Calibri" w:hAnsi="Arial" w:cs="Arial"/>
          <w:color w:val="000000" w:themeColor="text1"/>
          <w:sz w:val="22"/>
          <w:szCs w:val="22"/>
          <w:lang w:val="es-ES_tradnl"/>
        </w:rPr>
        <w:t xml:space="preserve">) criterios diferenciales para </w:t>
      </w:r>
      <w:proofErr w:type="spellStart"/>
      <w:r w:rsidRPr="005419DA">
        <w:rPr>
          <w:rFonts w:ascii="Arial" w:eastAsia="Calibri" w:hAnsi="Arial" w:cs="Arial"/>
          <w:color w:val="000000" w:themeColor="text1"/>
          <w:sz w:val="22"/>
          <w:szCs w:val="22"/>
          <w:lang w:val="es-ES_tradnl"/>
        </w:rPr>
        <w:t>mipymes</w:t>
      </w:r>
      <w:proofErr w:type="spellEnd"/>
      <w:r w:rsidRPr="005419DA">
        <w:rPr>
          <w:rFonts w:ascii="Arial" w:eastAsia="Calibri" w:hAnsi="Arial" w:cs="Arial"/>
          <w:color w:val="000000" w:themeColor="text1"/>
          <w:sz w:val="22"/>
          <w:szCs w:val="22"/>
          <w:lang w:val="es-ES_tradnl"/>
        </w:rPr>
        <w:t xml:space="preserve"> en el sistema de compras públicas, </w:t>
      </w:r>
      <w:proofErr w:type="spellStart"/>
      <w:r w:rsidRPr="005419DA">
        <w:rPr>
          <w:rFonts w:ascii="Arial" w:eastAsia="Calibri" w:hAnsi="Arial" w:cs="Arial"/>
          <w:color w:val="000000" w:themeColor="text1"/>
          <w:sz w:val="22"/>
          <w:szCs w:val="22"/>
          <w:lang w:val="es-ES_tradnl"/>
        </w:rPr>
        <w:t>iii</w:t>
      </w:r>
      <w:proofErr w:type="spellEnd"/>
      <w:r w:rsidRPr="005419DA">
        <w:rPr>
          <w:rFonts w:ascii="Arial" w:eastAsia="Calibri" w:hAnsi="Arial" w:cs="Arial"/>
          <w:color w:val="000000" w:themeColor="text1"/>
          <w:sz w:val="22"/>
          <w:szCs w:val="22"/>
          <w:lang w:val="es-ES_tradnl"/>
        </w:rPr>
        <w:t xml:space="preserve">) criterios diferenciales para emprendimientos y empresas de mujeres en el sistema de compras públicas, </w:t>
      </w:r>
      <w:proofErr w:type="spellStart"/>
      <w:r w:rsidRPr="005419DA">
        <w:rPr>
          <w:rFonts w:ascii="Arial" w:eastAsia="Calibri" w:hAnsi="Arial" w:cs="Arial"/>
          <w:color w:val="000000" w:themeColor="text1"/>
          <w:sz w:val="22"/>
          <w:szCs w:val="22"/>
          <w:lang w:val="es-ES_tradnl"/>
        </w:rPr>
        <w:t>iv</w:t>
      </w:r>
      <w:proofErr w:type="spellEnd"/>
      <w:r w:rsidRPr="005419DA">
        <w:rPr>
          <w:rFonts w:ascii="Arial" w:eastAsia="Calibri" w:hAnsi="Arial" w:cs="Arial"/>
          <w:color w:val="000000" w:themeColor="text1"/>
          <w:sz w:val="22"/>
          <w:szCs w:val="22"/>
          <w:lang w:val="es-ES_tradnl"/>
        </w:rPr>
        <w:t xml:space="preserve">) promoción del acceso de las </w:t>
      </w:r>
      <w:proofErr w:type="spellStart"/>
      <w:r w:rsidRPr="005419DA">
        <w:rPr>
          <w:rFonts w:ascii="Arial" w:eastAsia="Calibri" w:hAnsi="Arial" w:cs="Arial"/>
          <w:color w:val="000000" w:themeColor="text1"/>
          <w:sz w:val="22"/>
          <w:szCs w:val="22"/>
          <w:lang w:val="es-ES_tradnl"/>
        </w:rPr>
        <w:t>mipymes</w:t>
      </w:r>
      <w:proofErr w:type="spellEnd"/>
      <w:r w:rsidRPr="005419DA">
        <w:rPr>
          <w:rFonts w:ascii="Arial" w:eastAsia="Calibri" w:hAnsi="Arial" w:cs="Arial"/>
          <w:color w:val="000000" w:themeColor="text1"/>
          <w:sz w:val="22"/>
          <w:szCs w:val="22"/>
          <w:lang w:val="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consulta está relacionada con la interpretación del artículo 35 de la referida </w:t>
      </w:r>
      <w:r w:rsidR="00013C2A">
        <w:rPr>
          <w:rFonts w:ascii="Arial" w:eastAsia="Calibri" w:hAnsi="Arial" w:cs="Arial"/>
          <w:color w:val="000000" w:themeColor="text1"/>
          <w:sz w:val="22"/>
          <w:szCs w:val="22"/>
          <w:lang w:val="es-ES_tradnl"/>
        </w:rPr>
        <w:t>l</w:t>
      </w:r>
      <w:r w:rsidRPr="005419DA">
        <w:rPr>
          <w:rFonts w:ascii="Arial" w:eastAsia="Calibri" w:hAnsi="Arial" w:cs="Arial"/>
          <w:color w:val="000000" w:themeColor="text1"/>
          <w:sz w:val="22"/>
          <w:szCs w:val="22"/>
          <w:lang w:val="es-ES_tradnl"/>
        </w:rPr>
        <w:t xml:space="preserve">ey, a </w:t>
      </w:r>
      <w:proofErr w:type="gramStart"/>
      <w:r w:rsidRPr="005419DA">
        <w:rPr>
          <w:rFonts w:ascii="Arial" w:eastAsia="Calibri" w:hAnsi="Arial" w:cs="Arial"/>
          <w:color w:val="000000" w:themeColor="text1"/>
          <w:sz w:val="22"/>
          <w:szCs w:val="22"/>
          <w:lang w:val="es-ES_tradnl"/>
        </w:rPr>
        <w:t>continuación</w:t>
      </w:r>
      <w:proofErr w:type="gramEnd"/>
      <w:r w:rsidRPr="005419DA">
        <w:rPr>
          <w:rFonts w:ascii="Arial" w:eastAsia="Calibri" w:hAnsi="Arial" w:cs="Arial"/>
          <w:color w:val="000000" w:themeColor="text1"/>
          <w:sz w:val="22"/>
          <w:szCs w:val="22"/>
          <w:lang w:val="es-ES_tradnl"/>
        </w:rPr>
        <w:t xml:space="preserve"> se estudiará el contenido y alcance de dicha norma.  </w:t>
      </w:r>
    </w:p>
    <w:p w14:paraId="36C0EA20" w14:textId="77777777" w:rsidR="007E32BF" w:rsidRPr="005419DA" w:rsidRDefault="007E32BF" w:rsidP="007E32BF">
      <w:pPr>
        <w:spacing w:line="276" w:lineRule="auto"/>
        <w:ind w:firstLine="709"/>
        <w:jc w:val="both"/>
        <w:rPr>
          <w:rFonts w:ascii="Arial" w:hAnsi="Arial" w:cs="Arial"/>
          <w:color w:val="000000" w:themeColor="text1"/>
          <w:sz w:val="22"/>
          <w:szCs w:val="22"/>
          <w:lang w:val="es-ES_tradnl"/>
        </w:rPr>
      </w:pPr>
    </w:p>
    <w:p w14:paraId="7619D571" w14:textId="335D70EF" w:rsidR="007E32BF" w:rsidRPr="007E32BF" w:rsidRDefault="007E32BF" w:rsidP="007E32BF">
      <w:pPr>
        <w:spacing w:line="276" w:lineRule="auto"/>
        <w:jc w:val="both"/>
        <w:rPr>
          <w:rFonts w:ascii="Arial" w:eastAsia="Calibri" w:hAnsi="Arial" w:cs="Arial"/>
          <w:b/>
          <w:bCs/>
          <w:color w:val="000000"/>
          <w:sz w:val="22"/>
          <w:szCs w:val="22"/>
          <w:lang w:val="es-ES_tradnl"/>
        </w:rPr>
      </w:pPr>
      <w:r w:rsidRPr="007E32BF">
        <w:rPr>
          <w:rFonts w:ascii="Arial" w:eastAsia="Calibri" w:hAnsi="Arial" w:cs="Arial"/>
          <w:b/>
          <w:bCs/>
          <w:color w:val="000000"/>
          <w:sz w:val="22"/>
          <w:szCs w:val="22"/>
          <w:lang w:val="es-ES_tradnl"/>
        </w:rPr>
        <w:t>2.</w:t>
      </w:r>
      <w:r w:rsidR="00694225">
        <w:rPr>
          <w:rFonts w:ascii="Arial" w:eastAsia="Calibri" w:hAnsi="Arial" w:cs="Arial"/>
          <w:b/>
          <w:bCs/>
          <w:color w:val="000000"/>
          <w:sz w:val="22"/>
          <w:szCs w:val="22"/>
          <w:lang w:val="es-ES_tradnl"/>
        </w:rPr>
        <w:t>3.</w:t>
      </w:r>
      <w:r w:rsidRPr="007E32BF">
        <w:rPr>
          <w:rFonts w:ascii="Arial" w:eastAsia="Calibri" w:hAnsi="Arial" w:cs="Arial"/>
          <w:b/>
          <w:bCs/>
          <w:color w:val="000000" w:themeColor="text1"/>
          <w:sz w:val="22"/>
          <w:szCs w:val="22"/>
          <w:lang w:val="es-ES_tradnl"/>
        </w:rPr>
        <w:t xml:space="preserve"> Derogatoria producida por el artículo 35 de la Ley 2069 de 2020 a los factores de desempate del Decreto 1082 de 2015</w:t>
      </w:r>
      <w:r w:rsidR="00013C2A">
        <w:rPr>
          <w:rFonts w:ascii="Arial" w:eastAsia="Calibri" w:hAnsi="Arial" w:cs="Arial"/>
          <w:b/>
          <w:bCs/>
          <w:color w:val="000000" w:themeColor="text1"/>
          <w:sz w:val="22"/>
          <w:szCs w:val="22"/>
          <w:lang w:val="es-ES_tradnl"/>
        </w:rPr>
        <w:t>: especial referencia a</w:t>
      </w:r>
      <w:r w:rsidRPr="007E32BF">
        <w:rPr>
          <w:rFonts w:ascii="Arial" w:eastAsia="Calibri" w:hAnsi="Arial" w:cs="Arial"/>
          <w:b/>
          <w:bCs/>
          <w:color w:val="000000"/>
          <w:sz w:val="22"/>
          <w:szCs w:val="22"/>
          <w:lang w:val="es-ES_tradnl"/>
        </w:rPr>
        <w:t xml:space="preserve"> la subasta inversa y la mínima cuantía. </w:t>
      </w:r>
    </w:p>
    <w:p w14:paraId="581E435D" w14:textId="77777777" w:rsidR="007E32BF" w:rsidRPr="007E32BF" w:rsidRDefault="007E32BF" w:rsidP="007E32BF">
      <w:pPr>
        <w:spacing w:line="276" w:lineRule="auto"/>
        <w:jc w:val="both"/>
        <w:rPr>
          <w:rFonts w:ascii="Arial" w:eastAsia="Calibri" w:hAnsi="Arial" w:cs="Arial"/>
          <w:color w:val="000000"/>
          <w:sz w:val="22"/>
          <w:szCs w:val="22"/>
          <w:lang w:val="es-ES_tradnl"/>
        </w:rPr>
      </w:pPr>
    </w:p>
    <w:p w14:paraId="1C0B359B" w14:textId="77777777" w:rsidR="007E32BF" w:rsidRPr="007E32BF" w:rsidRDefault="007E32BF" w:rsidP="007E32BF">
      <w:pPr>
        <w:spacing w:line="276" w:lineRule="auto"/>
        <w:jc w:val="both"/>
        <w:rPr>
          <w:rFonts w:ascii="Arial" w:eastAsia="Calibri" w:hAnsi="Arial" w:cs="Arial"/>
          <w:color w:val="000000"/>
          <w:sz w:val="22"/>
          <w:szCs w:val="22"/>
          <w:lang w:val="es-ES_tradnl"/>
        </w:rPr>
      </w:pPr>
      <w:bookmarkStart w:id="3" w:name="_Hlk67490464"/>
      <w:r w:rsidRPr="007E32BF">
        <w:rPr>
          <w:rFonts w:ascii="Arial" w:eastAsia="Calibri" w:hAnsi="Arial" w:cs="Arial"/>
          <w:color w:val="000000"/>
          <w:sz w:val="22"/>
          <w:szCs w:val="22"/>
          <w:lang w:val="es-ES_tradnl"/>
        </w:rPr>
        <w:t>El artículo 35 de la Ley 2069 de 2020 modifica la regulación de los factores de desempate en la contratación estatal. En consideración a que en la consulta se solicita que la Agencia Nacional de Contratación Pública – Colombia Compra Eficiente efectúe ciertas precisiones hermenéuticas sobre la aplicación de dicho artículo a los procesos de selección abreviada por subasta inversa y los procedimientos de mínima cuantía, la Agencia se pronunciará sobre el alcance que otorga a tales disposiciones, sin pasar por alto la novedad de la Ley 2069 de 2020 –dada su reciente entrada en vigencia– y la ausencia de pronunciamientos jurisprudenciales o estudios doctrinarios sobre el tema, que seguramente contribuirán a decantar la interpretación de las normas en comento.</w:t>
      </w:r>
    </w:p>
    <w:p w14:paraId="75144795" w14:textId="77777777" w:rsidR="007E32BF" w:rsidRPr="007E32BF" w:rsidRDefault="007E32BF" w:rsidP="007E32BF">
      <w:pPr>
        <w:spacing w:before="120" w:line="276" w:lineRule="auto"/>
        <w:ind w:firstLine="709"/>
        <w:jc w:val="both"/>
        <w:rPr>
          <w:rFonts w:ascii="Arial" w:eastAsia="Calibri" w:hAnsi="Arial" w:cs="Arial"/>
          <w:color w:val="000000"/>
          <w:sz w:val="22"/>
          <w:szCs w:val="22"/>
          <w:lang w:val="es-ES_tradnl"/>
        </w:rPr>
      </w:pPr>
      <w:r w:rsidRPr="007E32BF">
        <w:rPr>
          <w:rFonts w:ascii="Arial" w:eastAsia="Calibri" w:hAnsi="Arial" w:cs="Arial"/>
          <w:color w:val="000000"/>
          <w:sz w:val="22"/>
          <w:szCs w:val="22"/>
          <w:lang w:val="es-ES_tradnl"/>
        </w:rPr>
        <w:t xml:space="preserve">Al respecto, </w:t>
      </w:r>
      <w:r w:rsidRPr="007E32BF">
        <w:rPr>
          <w:rFonts w:ascii="Arial" w:eastAsia="Calibri" w:hAnsi="Arial" w:cs="Arial"/>
          <w:sz w:val="22"/>
          <w:szCs w:val="22"/>
          <w:lang w:val="es-ES_tradnl"/>
        </w:rPr>
        <w:t>pese a que el parágrafo 3 dispone que el Gobierno Nacional podrá regular los supuestos en que concurran dos o más factores de desempate,</w:t>
      </w:r>
      <w:r w:rsidRPr="007E32BF">
        <w:rPr>
          <w:rFonts w:ascii="Arial" w:eastAsia="Calibri" w:hAnsi="Arial" w:cs="Arial"/>
          <w:color w:val="000000"/>
          <w:sz w:val="22"/>
          <w:szCs w:val="22"/>
          <w:lang w:val="es-ES_tradnl"/>
        </w:rPr>
        <w:t xml:space="preserve"> se considera que el artículo 35 de la Ley 2069 de 2020 goza de aplicación directa desde la fecha de su promulgación, es decir, no requiere de una reglamentación previa como presupuesto para su eficacia. Esta precisión reviste importancia, porque algunos enunciados normativos de </w:t>
      </w:r>
      <w:r w:rsidRPr="007E32BF">
        <w:rPr>
          <w:rFonts w:ascii="Arial" w:eastAsia="Calibri" w:hAnsi="Arial" w:cs="Arial"/>
          <w:color w:val="000000"/>
          <w:sz w:val="22"/>
          <w:szCs w:val="22"/>
          <w:lang w:val="es-ES_tradnl"/>
        </w:rPr>
        <w:lastRenderedPageBreak/>
        <w:t xml:space="preserve">la Ley bajo análisis establecen un mandato de reglamentación, dirigido al gobierno nacional, como condición para aplicar lo dispuesto en dicha Ley. </w:t>
      </w:r>
    </w:p>
    <w:p w14:paraId="260B1BE3" w14:textId="77777777" w:rsidR="007E32BF" w:rsidRPr="007E32BF" w:rsidRDefault="007E32BF" w:rsidP="007E32BF">
      <w:pPr>
        <w:spacing w:before="120" w:line="276" w:lineRule="auto"/>
        <w:ind w:firstLine="709"/>
        <w:jc w:val="both"/>
        <w:rPr>
          <w:rFonts w:ascii="Arial" w:eastAsia="Calibri" w:hAnsi="Arial" w:cs="Arial"/>
          <w:color w:val="000000"/>
          <w:sz w:val="22"/>
          <w:szCs w:val="22"/>
          <w:lang w:val="es-ES_tradnl"/>
        </w:rPr>
      </w:pPr>
      <w:r w:rsidRPr="007E32BF">
        <w:rPr>
          <w:rFonts w:ascii="Arial" w:eastAsia="Calibri" w:hAnsi="Arial" w:cs="Arial"/>
          <w:color w:val="000000"/>
          <w:sz w:val="22"/>
          <w:szCs w:val="22"/>
          <w:lang w:val="es-ES_tradnl"/>
        </w:rPr>
        <w:t xml:space="preserve">Por ejemplo, en lo que a las compras públicas se refiere, el parágrafo primero del artículo 30, que alude a la participación de </w:t>
      </w:r>
      <w:proofErr w:type="spellStart"/>
      <w:r w:rsidRPr="007E32BF">
        <w:rPr>
          <w:rFonts w:ascii="Arial" w:eastAsia="Calibri" w:hAnsi="Arial" w:cs="Arial"/>
          <w:color w:val="000000"/>
          <w:sz w:val="22"/>
          <w:szCs w:val="22"/>
          <w:lang w:val="es-ES_tradnl"/>
        </w:rPr>
        <w:t>mipymes</w:t>
      </w:r>
      <w:proofErr w:type="spellEnd"/>
      <w:r w:rsidRPr="007E32BF">
        <w:rPr>
          <w:rFonts w:ascii="Arial" w:eastAsia="Calibri" w:hAnsi="Arial" w:cs="Arial"/>
          <w:color w:val="000000"/>
          <w:sz w:val="22"/>
          <w:szCs w:val="22"/>
          <w:lang w:val="es-ES_tradnl"/>
        </w:rPr>
        <w:t xml:space="preserve"> en procedimientos de mínima cuantía, establece que «Las particularidades del procedimiento aquí previsto, así como la posibilidad que tengan las entidades de realizar estas adquisiciones a </w:t>
      </w:r>
      <w:proofErr w:type="spellStart"/>
      <w:r w:rsidRPr="007E32BF">
        <w:rPr>
          <w:rFonts w:ascii="Arial" w:eastAsia="Calibri" w:hAnsi="Arial" w:cs="Arial"/>
          <w:color w:val="000000"/>
          <w:sz w:val="22"/>
          <w:szCs w:val="22"/>
          <w:lang w:val="es-ES_tradnl"/>
        </w:rPr>
        <w:t>Mipymes</w:t>
      </w:r>
      <w:proofErr w:type="spellEnd"/>
      <w:r w:rsidRPr="007E32BF">
        <w:rPr>
          <w:rFonts w:ascii="Arial" w:eastAsia="Calibri" w:hAnsi="Arial" w:cs="Arial"/>
          <w:color w:val="000000"/>
          <w:sz w:val="22"/>
          <w:szCs w:val="22"/>
          <w:lang w:val="es-ES_tradnl"/>
        </w:rPr>
        <w:t xml:space="preserve"> o establecimientos que correspondan a la definición de "gran almacén" señalada por la Superintendencia de Industria y Comercio, se determinarán en el reglamento que para el efecto expida el Gobierno Nacional». En un sentido similar, el parágrafo segundo del mismo artículo expresa que «La contratación a que se refiere el presente artículo se realizará exclusivamente con las reglas en él contempladas y en su reglamentación. […]». </w:t>
      </w:r>
    </w:p>
    <w:p w14:paraId="13399794" w14:textId="77777777" w:rsidR="007E32BF" w:rsidRPr="007E32BF" w:rsidRDefault="007E32BF" w:rsidP="007E32BF">
      <w:pPr>
        <w:spacing w:before="120" w:line="276" w:lineRule="auto"/>
        <w:ind w:firstLine="709"/>
        <w:jc w:val="both"/>
        <w:rPr>
          <w:rFonts w:ascii="Arial" w:eastAsia="Calibri" w:hAnsi="Arial" w:cs="Arial"/>
          <w:color w:val="000000"/>
          <w:sz w:val="22"/>
          <w:szCs w:val="22"/>
          <w:lang w:val="es-ES_tradnl"/>
        </w:rPr>
      </w:pPr>
      <w:r w:rsidRPr="007E32BF">
        <w:rPr>
          <w:rFonts w:ascii="Arial" w:eastAsia="Calibri" w:hAnsi="Arial" w:cs="Arial"/>
          <w:color w:val="000000"/>
          <w:sz w:val="22"/>
          <w:szCs w:val="22"/>
          <w:lang w:val="es-ES_tradnl"/>
        </w:rPr>
        <w:t>Así mismo, el artículo 31, en el segundo inciso, determina que «El Gobierno Nacional reglamentará la definición de los criterios diferenciales, sobre reglas objetivas que podrán implementar las Entidades Estatales». Del mismo modo, el parágrafo primero del artículo 32 establece que «La definición de emprendimientos y empresas de mujeres se reglamentará por el gobierno nacional», en tanto que el inciso cuarto del artículo 12 de la Ley 1150 de 2007, modificado por el artículo 34 de la Ley 2069 de 2020, indica que en los pliegos de condiciones las entidades estatales deben prever mecanismos que garanticen la provisión de bienes y servicios por parte de sujetos de especial protección constitucional «[…] en las condiciones que señale el reglamento».</w:t>
      </w:r>
    </w:p>
    <w:p w14:paraId="2378C084" w14:textId="77777777" w:rsidR="007E32BF" w:rsidRPr="007E32BF" w:rsidRDefault="007E32BF" w:rsidP="007E32BF">
      <w:pPr>
        <w:spacing w:before="120" w:line="276" w:lineRule="auto"/>
        <w:ind w:firstLine="708"/>
        <w:jc w:val="both"/>
        <w:rPr>
          <w:rFonts w:ascii="Arial" w:eastAsia="Calibri" w:hAnsi="Arial" w:cs="Arial"/>
          <w:sz w:val="22"/>
          <w:szCs w:val="22"/>
          <w:lang w:val="es-ES_tradnl"/>
        </w:rPr>
      </w:pPr>
      <w:r w:rsidRPr="007E32BF">
        <w:rPr>
          <w:rFonts w:ascii="Arial" w:eastAsia="Calibri" w:hAnsi="Arial" w:cs="Arial"/>
          <w:color w:val="000000"/>
          <w:sz w:val="22"/>
          <w:szCs w:val="22"/>
          <w:lang w:val="es-ES_tradnl"/>
        </w:rPr>
        <w:t xml:space="preserve">Lo mismo no sucede con el artículo 35. </w:t>
      </w:r>
      <w:r w:rsidRPr="007E32BF">
        <w:rPr>
          <w:rFonts w:ascii="Arial" w:eastAsia="Calibri" w:hAnsi="Arial" w:cs="Arial"/>
          <w:sz w:val="22"/>
          <w:szCs w:val="22"/>
          <w:lang w:val="es-ES_tradnl"/>
        </w:rPr>
        <w:t xml:space="preserve">En efecto, </w:t>
      </w:r>
      <w:r w:rsidRPr="007E32BF">
        <w:rPr>
          <w:rFonts w:ascii="Arial" w:hAnsi="Arial" w:cs="Arial"/>
          <w:color w:val="000000"/>
          <w:sz w:val="22"/>
          <w:szCs w:val="22"/>
          <w:lang w:val="es-ES_tradnl"/>
        </w:rPr>
        <w:t>si bien los factores de desempate regulados en el artículo 35 deben aplicarse «</w:t>
      </w:r>
      <w:r w:rsidRPr="007E32BF">
        <w:rPr>
          <w:rFonts w:ascii="Arial" w:hAnsi="Arial" w:cs="Arial"/>
          <w:sz w:val="22"/>
          <w:szCs w:val="22"/>
          <w:lang w:val="es-ES_tradnl"/>
        </w:rPr>
        <w:t xml:space="preserve">[…] </w:t>
      </w:r>
      <w:r w:rsidRPr="007E32BF">
        <w:rPr>
          <w:rFonts w:ascii="Arial" w:hAnsi="Arial" w:cs="Arial"/>
          <w:color w:val="000000"/>
          <w:sz w:val="22"/>
          <w:szCs w:val="22"/>
          <w:lang w:val="es-ES_tradnl"/>
        </w:rPr>
        <w:t xml:space="preserve">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dicho parágrafo le asigna potestad reglamentaria al gobierno nacional para definir factores que permitan desempatar las ofertas en aquellos casos en que varios oferentes reúnan al tiempo dos o más de los factores previstos en el artículo 35. </w:t>
      </w:r>
      <w:r w:rsidRPr="007E32BF">
        <w:rPr>
          <w:rFonts w:ascii="Arial" w:eastAsia="Calibri" w:hAnsi="Arial" w:cs="Arial"/>
          <w:color w:val="000000"/>
          <w:sz w:val="22"/>
          <w:szCs w:val="22"/>
          <w:lang w:val="es-ES_tradnl"/>
        </w:rPr>
        <w:t xml:space="preserve"> </w:t>
      </w:r>
    </w:p>
    <w:p w14:paraId="6A7E40D2" w14:textId="77777777" w:rsidR="007E32BF" w:rsidRPr="007E32BF" w:rsidRDefault="007E32BF" w:rsidP="007E32BF">
      <w:pPr>
        <w:spacing w:before="120" w:line="276" w:lineRule="auto"/>
        <w:ind w:firstLine="709"/>
        <w:jc w:val="both"/>
        <w:rPr>
          <w:rFonts w:ascii="Arial" w:eastAsia="Calibri" w:hAnsi="Arial" w:cs="Arial"/>
          <w:color w:val="000000"/>
          <w:sz w:val="22"/>
          <w:szCs w:val="22"/>
          <w:lang w:val="es-ES_tradnl"/>
        </w:rPr>
      </w:pPr>
      <w:r w:rsidRPr="007E32BF">
        <w:rPr>
          <w:rFonts w:ascii="Arial" w:eastAsia="Calibri" w:hAnsi="Arial" w:cs="Arial"/>
          <w:color w:val="000000"/>
          <w:sz w:val="22"/>
          <w:szCs w:val="22"/>
          <w:lang w:val="es-ES_tradnl"/>
        </w:rPr>
        <w:t xml:space="preserve">A continuación, el artículo en mención establece los factores de desempate que se deben seguir de manera sucesiva, sin indicar tampoco en cada numeral que su eficacia dependa de lo que determine el reglamento. La única alusión que se hace al reglamento se encuentra en el parágrafo tercero del artículo que se viene comentando, no para condicionar la aplicación de todo lo dispuesto en aquel, sino para indicar que «El Gobierno Nacional </w:t>
      </w:r>
      <w:r w:rsidRPr="007E32BF">
        <w:rPr>
          <w:rFonts w:ascii="Arial" w:eastAsia="Calibri" w:hAnsi="Arial" w:cs="Arial"/>
          <w:i/>
          <w:iCs/>
          <w:color w:val="000000"/>
          <w:sz w:val="22"/>
          <w:szCs w:val="22"/>
          <w:lang w:val="es-ES_tradnl"/>
        </w:rPr>
        <w:t>podrá reglamentar</w:t>
      </w:r>
      <w:r w:rsidRPr="007E32BF">
        <w:rPr>
          <w:rFonts w:ascii="Arial" w:eastAsia="Calibri" w:hAnsi="Arial" w:cs="Arial"/>
          <w:color w:val="000000"/>
          <w:sz w:val="22"/>
          <w:szCs w:val="22"/>
          <w:lang w:val="es-ES_tradnl"/>
        </w:rPr>
        <w:t xml:space="preserve"> la aplicación de factores de desempate en casos en que concurran dos o más de los factores aquí previstos» (Énfasis fuera de texto).</w:t>
      </w:r>
    </w:p>
    <w:p w14:paraId="0889B353" w14:textId="77777777" w:rsidR="007E32BF" w:rsidRPr="007E32BF" w:rsidRDefault="007E32BF" w:rsidP="007E32BF">
      <w:pPr>
        <w:spacing w:before="120" w:line="276" w:lineRule="auto"/>
        <w:ind w:firstLine="709"/>
        <w:jc w:val="both"/>
        <w:rPr>
          <w:rFonts w:ascii="Arial" w:eastAsia="Calibri" w:hAnsi="Arial" w:cs="Arial"/>
          <w:color w:val="000000"/>
          <w:sz w:val="22"/>
          <w:szCs w:val="22"/>
          <w:lang w:val="es-ES_tradnl"/>
        </w:rPr>
      </w:pPr>
      <w:r w:rsidRPr="007E32BF">
        <w:rPr>
          <w:rFonts w:ascii="Arial" w:eastAsia="Calibri" w:hAnsi="Arial" w:cs="Arial"/>
          <w:color w:val="000000"/>
          <w:sz w:val="22"/>
          <w:szCs w:val="22"/>
          <w:lang w:val="es-ES_tradnl"/>
        </w:rPr>
        <w:t xml:space="preserve">Como se observa se trata de una competencia que, en concordancia con el artículo 189.11 superior, el gobierno nacional puede ejercer discrecionalmente para la ejecución de las leyes. Por tanto, sin perjuicio de que el Gobierno Nacional ejerza la potestad </w:t>
      </w:r>
      <w:r w:rsidRPr="007E32BF">
        <w:rPr>
          <w:rFonts w:ascii="Arial" w:eastAsia="Calibri" w:hAnsi="Arial" w:cs="Arial"/>
          <w:color w:val="000000"/>
          <w:sz w:val="22"/>
          <w:szCs w:val="22"/>
          <w:lang w:val="es-ES_tradnl"/>
        </w:rPr>
        <w:lastRenderedPageBreak/>
        <w:t>reglamentaria para regular los casos en que concurren dos o más de los factores de desempate, no es necesaria la existencia del reglamento como presupuesto necesario para aplicar el artículo 35 de la Ley 2069 de 2020. De este modo, se concluye que los factores de desempate del artículo citado son exigibles desde la fecha de su promulgación, es decir, deben tenerse en cuenta en los procesos de selección que se inicien después del 31 de diciembre de 2020.</w:t>
      </w:r>
    </w:p>
    <w:p w14:paraId="25B1345F" w14:textId="77777777" w:rsidR="007E32BF" w:rsidRPr="007E32BF" w:rsidRDefault="007E32BF" w:rsidP="007E32BF">
      <w:pPr>
        <w:spacing w:before="120" w:line="276" w:lineRule="auto"/>
        <w:ind w:firstLine="709"/>
        <w:jc w:val="both"/>
        <w:rPr>
          <w:rFonts w:ascii="Arial" w:hAnsi="Arial" w:cs="Arial"/>
          <w:color w:val="000000"/>
          <w:sz w:val="22"/>
          <w:szCs w:val="22"/>
          <w:lang w:val="es-ES_tradnl"/>
        </w:rPr>
      </w:pPr>
      <w:r w:rsidRPr="007E32BF">
        <w:rPr>
          <w:rFonts w:ascii="Arial" w:hAnsi="Arial" w:cs="Arial"/>
          <w:color w:val="000000"/>
          <w:sz w:val="22"/>
          <w:szCs w:val="22"/>
          <w:lang w:val="es-ES_tradnl"/>
        </w:rPr>
        <w:t>Además, si existe un tratado o acuerdo comercial que establezca disposiciones especiales en materia de compras y contratación pública, prevalece la regulación contenida en aquel. Esta conclusión también se fundamenta en el artículo 2.2.1.2.4.1.1 del Decreto 1082 de 2015, según el cual «Las Entidades Estatales deben adelantar los Procesos de Contratación de acuerdo con lo previsto en los Acuerdos Comerciales, cuando estos les sean aplicables».​ La Ley 2069 de 2020 no establece que ante la existencia de tratados o acuerdos comerciales que rijan el procedimiento de selección el órgano contratante se debe abstener de aplicar algunos numerales del artículo 35, sino que lo que indica es que la entidad estatal debe consultar en cada caso cuáles son las disposiciones del acuerdo comercial y si son o no compatibles con los factores de desempate. En caso negativo, prevalece el tratado.</w:t>
      </w:r>
    </w:p>
    <w:p w14:paraId="1A32E35A" w14:textId="15ACB6F7" w:rsidR="007E32BF" w:rsidRPr="007E32BF" w:rsidRDefault="007E32BF" w:rsidP="007E32BF">
      <w:pPr>
        <w:spacing w:before="120" w:line="276" w:lineRule="auto"/>
        <w:ind w:firstLine="709"/>
        <w:jc w:val="both"/>
        <w:rPr>
          <w:rFonts w:ascii="Arial" w:hAnsi="Arial" w:cs="Arial"/>
          <w:color w:val="000000"/>
          <w:sz w:val="22"/>
          <w:szCs w:val="22"/>
          <w:lang w:val="es-ES_tradnl"/>
        </w:rPr>
      </w:pPr>
      <w:r w:rsidRPr="007E32BF">
        <w:rPr>
          <w:rFonts w:ascii="Arial" w:hAnsi="Arial" w:cs="Arial"/>
          <w:color w:val="000000"/>
          <w:sz w:val="22"/>
          <w:szCs w:val="22"/>
          <w:lang w:val="es-ES_tradnl"/>
        </w:rPr>
        <w:t>Ahora bien, hasta la promulgación de la Ley 2069 de 2020, el artículo 2.2.1.1.2.2.9 del Decreto 1082 de 2015 regulaba los factores de desempate que debían aplicarse en los procesos de selección</w:t>
      </w:r>
      <w:r w:rsidRPr="007E32BF">
        <w:rPr>
          <w:rFonts w:ascii="Arial" w:hAnsi="Arial" w:cs="Arial"/>
          <w:color w:val="000000"/>
          <w:sz w:val="22"/>
          <w:szCs w:val="22"/>
          <w:vertAlign w:val="superscript"/>
          <w:lang w:val="es-ES_tradnl"/>
        </w:rPr>
        <w:footnoteReference w:id="9"/>
      </w:r>
      <w:r w:rsidRPr="007E32BF">
        <w:rPr>
          <w:rFonts w:ascii="Arial" w:hAnsi="Arial" w:cs="Arial"/>
          <w:color w:val="000000"/>
          <w:sz w:val="22"/>
          <w:szCs w:val="22"/>
          <w:lang w:val="es-ES_tradnl"/>
        </w:rPr>
        <w:t xml:space="preserve">. En criterio de esta Agencia, dicha norma debe entenderse </w:t>
      </w:r>
      <w:r w:rsidRPr="007E32BF">
        <w:rPr>
          <w:rFonts w:ascii="Arial" w:hAnsi="Arial" w:cs="Arial"/>
          <w:color w:val="000000"/>
          <w:sz w:val="22"/>
          <w:szCs w:val="22"/>
          <w:lang w:val="es-ES_tradnl"/>
        </w:rPr>
        <w:lastRenderedPageBreak/>
        <w:t xml:space="preserve">derogada por el artículo 35 de la Ley 2069 de 2020. Ello no solo porque el artículo 84 </w:t>
      </w:r>
      <w:r w:rsidR="00786171">
        <w:rPr>
          <w:rFonts w:ascii="Arial" w:hAnsi="Arial" w:cs="Arial"/>
          <w:color w:val="000000"/>
          <w:sz w:val="22"/>
          <w:szCs w:val="22"/>
          <w:lang w:val="es-ES_tradnl"/>
        </w:rPr>
        <w:t>dispone</w:t>
      </w:r>
      <w:r w:rsidRPr="007E32BF">
        <w:rPr>
          <w:rFonts w:ascii="Arial" w:hAnsi="Arial" w:cs="Arial"/>
          <w:color w:val="000000"/>
          <w:sz w:val="22"/>
          <w:szCs w:val="22"/>
          <w:lang w:val="es-ES_tradnl"/>
        </w:rPr>
        <w:t xml:space="preserve"> que «rige a partir del momento de su promulgación», es decir, desde el 31 de diciembre de 2020, sino además porque la misma disposición señala que la Ley 2069 de 2020 deroga «[…] todas las disposiciones que le sean contrarias». Se presenta una antinomia o contradicción normativa cuando dos o más disposiciones normativas regulan en sentido diferente un tema. Bajo esta consideración, como el artículo 35 de la Ley 2069 de 2020 regula en forma distinta a como lo hacía el artículo 2.2.1.1.2.2.9. del Decreto 1082 de 2015 la aplicación de los factores de desempate, este último debe entenderse derogado. </w:t>
      </w:r>
    </w:p>
    <w:p w14:paraId="2D48A812" w14:textId="77777777" w:rsidR="007E32BF" w:rsidRPr="007E32BF" w:rsidRDefault="007E32BF" w:rsidP="007E32BF">
      <w:pPr>
        <w:spacing w:before="120" w:line="276" w:lineRule="auto"/>
        <w:ind w:firstLine="709"/>
        <w:jc w:val="both"/>
        <w:rPr>
          <w:rFonts w:ascii="Arial" w:hAnsi="Arial" w:cs="Arial"/>
          <w:color w:val="000000"/>
          <w:sz w:val="22"/>
          <w:szCs w:val="22"/>
          <w:lang w:val="es-ES_tradnl"/>
        </w:rPr>
      </w:pPr>
      <w:r w:rsidRPr="007E32BF">
        <w:rPr>
          <w:rFonts w:ascii="Arial" w:hAnsi="Arial" w:cs="Arial"/>
          <w:color w:val="000000"/>
          <w:sz w:val="22"/>
          <w:szCs w:val="22"/>
          <w:lang w:val="es-ES_tradnl"/>
        </w:rPr>
        <w:t xml:space="preserve">Un argumento adicional para sostener esta tesis tiene que ver con el fenómeno de la pérdida de fuerza ejecutoria –o decaimiento– de los actos administrativos, regulado en el numeral 2 del artículo 91 de la Ley 1437 de 2011. Esta norma señala que los actos administrativos pierden fuerza ejecutoria «Cuando desaparezcan sus fundamentos de hecho o de derecho». </w:t>
      </w:r>
      <w:bookmarkStart w:id="4" w:name="_Hlk62546732"/>
      <w:r w:rsidRPr="007E32BF">
        <w:rPr>
          <w:rFonts w:ascii="Arial" w:hAnsi="Arial" w:cs="Arial"/>
          <w:color w:val="000000"/>
          <w:sz w:val="22"/>
          <w:szCs w:val="22"/>
          <w:lang w:val="es-ES_tradnl"/>
        </w:rPr>
        <w:t xml:space="preserve">Dado que el Decreto 1082 de 2015 es un reglamento </w:t>
      </w:r>
      <w:proofErr w:type="spellStart"/>
      <w:r w:rsidRPr="007E32BF">
        <w:rPr>
          <w:rFonts w:ascii="Arial" w:hAnsi="Arial" w:cs="Arial"/>
          <w:i/>
          <w:iCs/>
          <w:color w:val="000000"/>
          <w:sz w:val="22"/>
          <w:szCs w:val="22"/>
          <w:lang w:val="es-ES_tradnl"/>
        </w:rPr>
        <w:t>secundum</w:t>
      </w:r>
      <w:proofErr w:type="spellEnd"/>
      <w:r w:rsidRPr="007E32BF">
        <w:rPr>
          <w:rFonts w:ascii="Arial" w:hAnsi="Arial" w:cs="Arial"/>
          <w:i/>
          <w:iCs/>
          <w:color w:val="000000"/>
          <w:sz w:val="22"/>
          <w:szCs w:val="22"/>
          <w:lang w:val="es-ES_tradnl"/>
        </w:rPr>
        <w:t xml:space="preserve"> </w:t>
      </w:r>
      <w:proofErr w:type="spellStart"/>
      <w:r w:rsidRPr="007E32BF">
        <w:rPr>
          <w:rFonts w:ascii="Arial" w:hAnsi="Arial" w:cs="Arial"/>
          <w:i/>
          <w:iCs/>
          <w:color w:val="000000"/>
          <w:sz w:val="22"/>
          <w:szCs w:val="22"/>
          <w:lang w:val="es-ES_tradnl"/>
        </w:rPr>
        <w:t>legem</w:t>
      </w:r>
      <w:proofErr w:type="spellEnd"/>
      <w:r w:rsidRPr="007E32BF">
        <w:rPr>
          <w:rFonts w:ascii="Arial" w:hAnsi="Arial" w:cs="Arial"/>
          <w:color w:val="000000"/>
          <w:sz w:val="22"/>
          <w:szCs w:val="22"/>
          <w:lang w:val="es-ES_tradnl"/>
        </w:rPr>
        <w:t xml:space="preserve"> –es decir, que desarrolla una norma de mayor jerarquía–, la expedición de una ley en sentido formal –es decir, una fuente que condiciona el contenido de este último–, hace que la disposición reglamentaria decaiga</w:t>
      </w:r>
      <w:bookmarkEnd w:id="4"/>
      <w:r w:rsidRPr="007E32BF">
        <w:rPr>
          <w:rFonts w:ascii="Arial" w:hAnsi="Arial" w:cs="Arial"/>
          <w:color w:val="000000"/>
          <w:sz w:val="22"/>
          <w:szCs w:val="22"/>
          <w:lang w:val="es-ES_tradnl"/>
        </w:rPr>
        <w:t xml:space="preserve">.   </w:t>
      </w:r>
    </w:p>
    <w:p w14:paraId="5764931A" w14:textId="31D37B0F" w:rsidR="007E32BF" w:rsidRPr="007E32BF" w:rsidRDefault="007E32BF" w:rsidP="007E32BF">
      <w:pPr>
        <w:spacing w:before="120" w:line="276" w:lineRule="auto"/>
        <w:ind w:firstLine="709"/>
        <w:jc w:val="both"/>
        <w:rPr>
          <w:rFonts w:ascii="Arial" w:hAnsi="Arial" w:cs="Arial"/>
          <w:color w:val="000000"/>
          <w:sz w:val="22"/>
          <w:szCs w:val="22"/>
          <w:lang w:val="es-ES_tradnl"/>
        </w:rPr>
      </w:pPr>
      <w:r w:rsidRPr="007E32BF">
        <w:rPr>
          <w:rFonts w:ascii="Arial" w:hAnsi="Arial" w:cs="Arial"/>
          <w:color w:val="000000" w:themeColor="text1"/>
          <w:sz w:val="22"/>
          <w:szCs w:val="22"/>
          <w:lang w:val="es-ES_tradnl"/>
        </w:rPr>
        <w:t xml:space="preserve">Lo expuesto en los dos (2) párrafos precedentes también aplica </w:t>
      </w:r>
      <w:r w:rsidRPr="007E32BF">
        <w:rPr>
          <w:rFonts w:ascii="Arial" w:hAnsi="Arial" w:cs="Arial"/>
          <w:i/>
          <w:iCs/>
          <w:color w:val="000000" w:themeColor="text1"/>
          <w:sz w:val="22"/>
          <w:szCs w:val="22"/>
          <w:lang w:val="es-ES_tradnl"/>
        </w:rPr>
        <w:t>mutatis mutandis</w:t>
      </w:r>
      <w:r w:rsidRPr="007E32BF">
        <w:rPr>
          <w:rFonts w:ascii="Arial" w:hAnsi="Arial" w:cs="Arial"/>
          <w:color w:val="000000" w:themeColor="text1"/>
          <w:sz w:val="22"/>
          <w:szCs w:val="22"/>
          <w:lang w:val="es-ES_tradnl"/>
        </w:rPr>
        <w:t xml:space="preserve"> a los factores de desempate previstos en el Decreto Único Reglamentario del Sector Administrativo de Planeación Nacional, para los procedimientos de subasta inversa y mínima cuantía. Así las cosas</w:t>
      </w:r>
      <w:r w:rsidRPr="007E32BF">
        <w:rPr>
          <w:rFonts w:ascii="Arial" w:hAnsi="Arial" w:cs="Arial"/>
          <w:color w:val="000000"/>
          <w:sz w:val="22"/>
          <w:szCs w:val="22"/>
          <w:lang w:val="es-ES_tradnl"/>
        </w:rPr>
        <w:t xml:space="preserve">, el legislador estableció en el primer inciso del artículo 35 de la ley 2069 de 2020, que los factores de desempate regulados en esta norma aplican en todos los procesos de selección, desarrollados tanto por las entidades sometidas al Estatuto General de Contratación de la Administración Pública, como por las exceptuadas de este. En efecto, </w:t>
      </w:r>
      <w:r w:rsidR="00C22636">
        <w:rPr>
          <w:rFonts w:ascii="Arial" w:hAnsi="Arial" w:cs="Arial"/>
          <w:color w:val="000000"/>
          <w:sz w:val="22"/>
          <w:szCs w:val="22"/>
          <w:lang w:val="es-ES_tradnl"/>
        </w:rPr>
        <w:t>este</w:t>
      </w:r>
      <w:r w:rsidRPr="007E32BF">
        <w:rPr>
          <w:rFonts w:ascii="Arial" w:hAnsi="Arial" w:cs="Arial"/>
          <w:color w:val="000000"/>
          <w:sz w:val="22"/>
          <w:szCs w:val="22"/>
          <w:lang w:val="es-ES_tradnl"/>
        </w:rPr>
        <w:t xml:space="preserve"> inciso </w:t>
      </w:r>
      <w:r w:rsidR="00C22636">
        <w:rPr>
          <w:rFonts w:ascii="Arial" w:hAnsi="Arial" w:cs="Arial"/>
          <w:color w:val="000000"/>
          <w:sz w:val="22"/>
          <w:szCs w:val="22"/>
          <w:lang w:val="es-ES_tradnl"/>
        </w:rPr>
        <w:t>dispone</w:t>
      </w:r>
      <w:r w:rsidRPr="007E32BF">
        <w:rPr>
          <w:rFonts w:ascii="Arial" w:hAnsi="Arial" w:cs="Arial"/>
          <w:color w:val="000000"/>
          <w:sz w:val="22"/>
          <w:szCs w:val="22"/>
          <w:lang w:val="es-ES_tradnl"/>
        </w:rPr>
        <w:t xml:space="preserve"> lo siguiente: </w:t>
      </w:r>
    </w:p>
    <w:p w14:paraId="486C411C" w14:textId="77777777" w:rsidR="007E32BF" w:rsidRPr="00D33235" w:rsidRDefault="007E32BF" w:rsidP="00D33235">
      <w:pPr>
        <w:spacing w:line="276" w:lineRule="auto"/>
        <w:ind w:left="709" w:right="709"/>
        <w:jc w:val="both"/>
        <w:rPr>
          <w:rFonts w:ascii="Arial" w:hAnsi="Arial" w:cs="Arial"/>
          <w:color w:val="000000"/>
          <w:sz w:val="22"/>
          <w:szCs w:val="22"/>
          <w:lang w:val="es-ES_tradnl"/>
        </w:rPr>
      </w:pPr>
    </w:p>
    <w:p w14:paraId="7C0AA1E4" w14:textId="77777777" w:rsidR="007E32BF" w:rsidRPr="00C4589F" w:rsidRDefault="007E32BF" w:rsidP="007E32BF">
      <w:pPr>
        <w:ind w:left="709" w:right="709"/>
        <w:jc w:val="both"/>
        <w:rPr>
          <w:rFonts w:ascii="Arial" w:hAnsi="Arial" w:cs="Arial"/>
          <w:color w:val="000000"/>
          <w:sz w:val="21"/>
          <w:szCs w:val="21"/>
          <w:lang w:val="es-ES_tradnl"/>
        </w:rPr>
      </w:pPr>
      <w:r w:rsidRPr="00C4589F">
        <w:rPr>
          <w:rFonts w:ascii="Arial" w:hAnsi="Arial" w:cs="Arial"/>
          <w:color w:val="000000"/>
          <w:sz w:val="21"/>
          <w:szCs w:val="21"/>
          <w:lang w:val="es-ES_tradnl"/>
        </w:rPr>
        <w:t xml:space="preserve">En caso de empate en el puntaje total de dos o más ofertas en 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 el contratante deberá utilizar las siguientes reglas de forma sucesiva y excluyente para seleccionar al oferente favorecido, respetando en todo caso los compromisos internacionales vigentes.   </w:t>
      </w:r>
    </w:p>
    <w:p w14:paraId="3EF1960C" w14:textId="77777777" w:rsidR="007E32BF" w:rsidRPr="00C4589F" w:rsidRDefault="007E32BF" w:rsidP="007E32BF">
      <w:pPr>
        <w:spacing w:line="276" w:lineRule="auto"/>
        <w:ind w:firstLine="709"/>
        <w:jc w:val="both"/>
        <w:rPr>
          <w:rFonts w:ascii="Arial" w:hAnsi="Arial" w:cs="Arial"/>
          <w:color w:val="000000"/>
          <w:lang w:val="es-ES_tradnl"/>
        </w:rPr>
      </w:pPr>
    </w:p>
    <w:p w14:paraId="55162BB1" w14:textId="24041B3B" w:rsidR="007E32BF" w:rsidRPr="007E32BF" w:rsidRDefault="007C3F1F" w:rsidP="007E32BF">
      <w:pPr>
        <w:spacing w:line="276" w:lineRule="auto"/>
        <w:ind w:firstLine="709"/>
        <w:jc w:val="both"/>
        <w:rPr>
          <w:rFonts w:ascii="Arial" w:hAnsi="Arial" w:cs="Arial"/>
          <w:color w:val="000000"/>
          <w:sz w:val="22"/>
          <w:szCs w:val="22"/>
          <w:lang w:val="es-ES_tradnl"/>
        </w:rPr>
      </w:pPr>
      <w:r>
        <w:rPr>
          <w:rFonts w:ascii="Arial" w:hAnsi="Arial" w:cs="Arial"/>
          <w:color w:val="000000"/>
          <w:sz w:val="22"/>
          <w:szCs w:val="22"/>
          <w:lang w:val="es-ES_tradnl"/>
        </w:rPr>
        <w:t>De acuerdo</w:t>
      </w:r>
      <w:r w:rsidRPr="007E32BF">
        <w:rPr>
          <w:rFonts w:ascii="Arial" w:hAnsi="Arial" w:cs="Arial"/>
          <w:color w:val="000000"/>
          <w:sz w:val="22"/>
          <w:szCs w:val="22"/>
          <w:lang w:val="es-ES_tradnl"/>
        </w:rPr>
        <w:t xml:space="preserve"> con</w:t>
      </w:r>
      <w:r w:rsidR="007E32BF" w:rsidRPr="007E32BF">
        <w:rPr>
          <w:rFonts w:ascii="Arial" w:hAnsi="Arial" w:cs="Arial"/>
          <w:color w:val="000000"/>
          <w:sz w:val="22"/>
          <w:szCs w:val="22"/>
          <w:lang w:val="es-ES_tradnl"/>
        </w:rPr>
        <w:t xml:space="preserve"> la norma transcrita, en cuanto al procedimiento de selección de subasta inversa, surge la inquietud de si el artículo 35 de la Ley 2069 de 2020 ha producido también el decaimiento del numeral 9 del artículo 2.2.1.2.1.2.2. del Decreto 1082 de 2015, según el cual «Si al terminar la subasta inversa hay empate, la Entidad Estatal debe seleccionar al oferente que presentó el menor precio inicial. En caso de persistir el empate </w:t>
      </w:r>
      <w:r w:rsidR="007E32BF" w:rsidRPr="007E32BF">
        <w:rPr>
          <w:rFonts w:ascii="Arial" w:hAnsi="Arial" w:cs="Arial"/>
          <w:color w:val="000000"/>
          <w:sz w:val="22"/>
          <w:szCs w:val="22"/>
          <w:lang w:val="es-ES_tradnl"/>
        </w:rPr>
        <w:lastRenderedPageBreak/>
        <w:t>la Entidad Estatal debe aplicar las reglas del numeral 1 al 5 del artículo 2.2.1.1.2.2.9 del presente decreto».</w:t>
      </w:r>
    </w:p>
    <w:p w14:paraId="4E96FD44" w14:textId="47315553" w:rsidR="007E32BF" w:rsidRPr="007E32BF" w:rsidRDefault="007E32BF" w:rsidP="007E32BF">
      <w:pPr>
        <w:spacing w:before="120" w:line="276" w:lineRule="auto"/>
        <w:ind w:firstLine="709"/>
        <w:jc w:val="both"/>
        <w:rPr>
          <w:rFonts w:ascii="Arial" w:hAnsi="Arial" w:cs="Arial"/>
          <w:color w:val="000000"/>
          <w:sz w:val="22"/>
          <w:szCs w:val="22"/>
          <w:lang w:val="es-ES_tradnl"/>
        </w:rPr>
      </w:pPr>
      <w:r w:rsidRPr="007E32BF">
        <w:rPr>
          <w:rFonts w:ascii="Arial" w:hAnsi="Arial" w:cs="Arial"/>
          <w:color w:val="000000"/>
          <w:sz w:val="22"/>
          <w:szCs w:val="22"/>
          <w:lang w:val="es-ES_tradnl"/>
        </w:rPr>
        <w:t xml:space="preserve">Con fundamento en la argumentación </w:t>
      </w:r>
      <w:r w:rsidR="007C3F1F">
        <w:rPr>
          <w:rFonts w:ascii="Arial" w:hAnsi="Arial" w:cs="Arial"/>
          <w:color w:val="000000"/>
          <w:sz w:val="22"/>
          <w:szCs w:val="22"/>
          <w:lang w:val="es-ES_tradnl"/>
        </w:rPr>
        <w:t>precedente</w:t>
      </w:r>
      <w:r w:rsidRPr="007E32BF">
        <w:rPr>
          <w:rFonts w:ascii="Arial" w:hAnsi="Arial" w:cs="Arial"/>
          <w:color w:val="000000"/>
          <w:sz w:val="22"/>
          <w:szCs w:val="22"/>
          <w:lang w:val="es-ES_tradnl"/>
        </w:rPr>
        <w:t>, puede afirmar</w:t>
      </w:r>
      <w:r w:rsidR="007C3F1F">
        <w:rPr>
          <w:rFonts w:ascii="Arial" w:hAnsi="Arial" w:cs="Arial"/>
          <w:color w:val="000000"/>
          <w:sz w:val="22"/>
          <w:szCs w:val="22"/>
          <w:lang w:val="es-ES_tradnl"/>
        </w:rPr>
        <w:t>se</w:t>
      </w:r>
      <w:r w:rsidRPr="007E32BF">
        <w:rPr>
          <w:rFonts w:ascii="Arial" w:hAnsi="Arial" w:cs="Arial"/>
          <w:color w:val="000000"/>
          <w:sz w:val="22"/>
          <w:szCs w:val="22"/>
          <w:lang w:val="es-ES_tradnl"/>
        </w:rPr>
        <w:t xml:space="preserve"> que el numeral 9 del artículo 2.2.1.2.1.2.2. del Decreto 1082 de 2015 </w:t>
      </w:r>
      <w:r w:rsidR="008F702D">
        <w:rPr>
          <w:rFonts w:ascii="Arial" w:hAnsi="Arial" w:cs="Arial"/>
          <w:color w:val="000000"/>
          <w:sz w:val="22"/>
          <w:szCs w:val="22"/>
          <w:lang w:val="es-ES_tradnl"/>
        </w:rPr>
        <w:t xml:space="preserve">también </w:t>
      </w:r>
      <w:r w:rsidRPr="007E32BF">
        <w:rPr>
          <w:rFonts w:ascii="Arial" w:hAnsi="Arial" w:cs="Arial"/>
          <w:color w:val="000000"/>
          <w:sz w:val="22"/>
          <w:szCs w:val="22"/>
          <w:lang w:val="es-ES_tradnl"/>
        </w:rPr>
        <w:t xml:space="preserve">ha perdido igualmente fuerza ejecutoria </w:t>
      </w:r>
      <w:r w:rsidR="00D25CA5">
        <w:rPr>
          <w:rFonts w:ascii="Arial" w:hAnsi="Arial" w:cs="Arial"/>
          <w:color w:val="000000"/>
          <w:sz w:val="22"/>
          <w:szCs w:val="22"/>
          <w:lang w:val="es-ES_tradnl"/>
        </w:rPr>
        <w:t>con la</w:t>
      </w:r>
      <w:r w:rsidRPr="007E32BF">
        <w:rPr>
          <w:rFonts w:ascii="Arial" w:hAnsi="Arial" w:cs="Arial"/>
          <w:color w:val="000000"/>
          <w:sz w:val="22"/>
          <w:szCs w:val="22"/>
          <w:lang w:val="es-ES_tradnl"/>
        </w:rPr>
        <w:t xml:space="preserve"> vigencia del artículo 35 de la Ley 2069 de 2020, que contiene una regulación nueva y completa de los factores de desempate que aplica</w:t>
      </w:r>
      <w:r w:rsidR="00D25CA5">
        <w:rPr>
          <w:rFonts w:ascii="Arial" w:hAnsi="Arial" w:cs="Arial"/>
          <w:color w:val="000000"/>
          <w:sz w:val="22"/>
          <w:szCs w:val="22"/>
          <w:lang w:val="es-ES_tradnl"/>
        </w:rPr>
        <w:t>n</w:t>
      </w:r>
      <w:r w:rsidRPr="007E32BF">
        <w:rPr>
          <w:rFonts w:ascii="Arial" w:hAnsi="Arial" w:cs="Arial"/>
          <w:color w:val="000000"/>
          <w:sz w:val="22"/>
          <w:szCs w:val="22"/>
          <w:lang w:val="es-ES_tradnl"/>
        </w:rPr>
        <w:t xml:space="preserve"> en los procesos de selección, sin distinguir las modalidades contractuales en las que rigen estos criterios. Por tal razón, esta Agencia concluye que el numeral 9 del artículo 2.2.1.2.1.2.2. del Decreto 1082 de 2015 ha perdido fuerza ejecutoria y que en los procesos de selección abreviada adelantados por las entidades estatales los factores de desempate que estas deben aplicar directamente son los previstos en el artículo 35 de la Ley 2069 de 2020.</w:t>
      </w:r>
    </w:p>
    <w:p w14:paraId="117EFCFC" w14:textId="4AA32107" w:rsidR="007E32BF" w:rsidRPr="007E32BF" w:rsidRDefault="007E32BF" w:rsidP="007E32BF">
      <w:pPr>
        <w:spacing w:before="120" w:after="120" w:line="276" w:lineRule="auto"/>
        <w:ind w:firstLine="709"/>
        <w:jc w:val="both"/>
        <w:rPr>
          <w:rFonts w:ascii="Arial" w:hAnsi="Arial" w:cs="Arial"/>
          <w:color w:val="000000" w:themeColor="text1"/>
          <w:sz w:val="22"/>
          <w:szCs w:val="22"/>
          <w:lang w:val="es-ES_tradnl"/>
        </w:rPr>
      </w:pPr>
      <w:bookmarkStart w:id="5" w:name="_Hlk64445869"/>
      <w:r w:rsidRPr="007E32BF">
        <w:rPr>
          <w:rFonts w:ascii="Arial" w:hAnsi="Arial" w:cs="Arial"/>
          <w:color w:val="000000" w:themeColor="text1"/>
          <w:sz w:val="22"/>
          <w:szCs w:val="22"/>
          <w:lang w:val="es-ES_tradnl"/>
        </w:rPr>
        <w:t xml:space="preserve">Esta afirmación se sustenta en el criterio </w:t>
      </w:r>
      <w:r w:rsidRPr="007E32BF">
        <w:rPr>
          <w:rFonts w:ascii="Arial" w:hAnsi="Arial" w:cs="Arial"/>
          <w:i/>
          <w:iCs/>
          <w:color w:val="000000" w:themeColor="text1"/>
          <w:sz w:val="22"/>
          <w:szCs w:val="22"/>
          <w:lang w:val="es-ES_tradnl"/>
        </w:rPr>
        <w:t xml:space="preserve">Lex posterior </w:t>
      </w:r>
      <w:proofErr w:type="spellStart"/>
      <w:r w:rsidRPr="007E32BF">
        <w:rPr>
          <w:rFonts w:ascii="Arial" w:hAnsi="Arial" w:cs="Arial"/>
          <w:i/>
          <w:iCs/>
          <w:color w:val="000000" w:themeColor="text1"/>
          <w:sz w:val="22"/>
          <w:szCs w:val="22"/>
          <w:lang w:val="es-ES_tradnl"/>
        </w:rPr>
        <w:t>derogat</w:t>
      </w:r>
      <w:proofErr w:type="spellEnd"/>
      <w:r w:rsidRPr="007E32BF">
        <w:rPr>
          <w:rFonts w:ascii="Arial" w:hAnsi="Arial" w:cs="Arial"/>
          <w:i/>
          <w:iCs/>
          <w:color w:val="000000" w:themeColor="text1"/>
          <w:sz w:val="22"/>
          <w:szCs w:val="22"/>
          <w:lang w:val="es-ES_tradnl"/>
        </w:rPr>
        <w:t xml:space="preserve"> priori</w:t>
      </w:r>
      <w:r w:rsidRPr="007E32BF">
        <w:rPr>
          <w:rFonts w:ascii="Arial" w:hAnsi="Arial" w:cs="Arial"/>
          <w:color w:val="000000" w:themeColor="text1"/>
          <w:sz w:val="22"/>
          <w:szCs w:val="22"/>
          <w:lang w:val="es-ES_tradnl"/>
        </w:rPr>
        <w:t xml:space="preserve">, cuya aplicación se encuentra prevista en el artículo 2 de la ley 153 de 1887. Además, con el fin de descartar la aplicación </w:t>
      </w:r>
      <w:r w:rsidR="002235CA">
        <w:rPr>
          <w:rFonts w:ascii="Arial" w:hAnsi="Arial" w:cs="Arial"/>
          <w:color w:val="000000" w:themeColor="text1"/>
          <w:sz w:val="22"/>
          <w:szCs w:val="22"/>
          <w:lang w:val="es-ES_tradnl"/>
        </w:rPr>
        <w:t xml:space="preserve">del </w:t>
      </w:r>
      <w:r w:rsidRPr="007E32BF">
        <w:rPr>
          <w:rFonts w:ascii="Arial" w:hAnsi="Arial" w:cs="Arial"/>
          <w:color w:val="000000" w:themeColor="text1"/>
          <w:sz w:val="22"/>
          <w:szCs w:val="22"/>
          <w:lang w:val="es-ES_tradnl"/>
        </w:rPr>
        <w:t>criterio de especialidad, la jurisprudencia constitucional explica que este criterio no es aplicable cuando se trata de preceptos de distinta jerarquía</w:t>
      </w:r>
      <w:r w:rsidRPr="007E32BF">
        <w:rPr>
          <w:rStyle w:val="Refdenotaalpie"/>
          <w:rFonts w:ascii="Arial" w:hAnsi="Arial" w:cs="Arial"/>
          <w:color w:val="000000" w:themeColor="text1"/>
          <w:sz w:val="22"/>
          <w:szCs w:val="22"/>
          <w:lang w:val="es-ES_tradnl"/>
        </w:rPr>
        <w:footnoteReference w:id="10"/>
      </w:r>
      <w:r w:rsidRPr="007E32BF">
        <w:rPr>
          <w:rFonts w:ascii="Arial" w:hAnsi="Arial" w:cs="Arial"/>
          <w:color w:val="000000" w:themeColor="text1"/>
          <w:sz w:val="22"/>
          <w:szCs w:val="22"/>
          <w:lang w:val="es-ES_tradnl"/>
        </w:rPr>
        <w:t xml:space="preserve">. Esta situación se presenta en este caso, pues la Ley 2069 de 2020 tiene una jerarquía superior al Decreto 1082 de 2015 en el ordenamiento jurídico. </w:t>
      </w:r>
      <w:bookmarkEnd w:id="5"/>
    </w:p>
    <w:p w14:paraId="4FBC1CDF" w14:textId="77777777" w:rsidR="007E32BF" w:rsidRPr="007E32BF" w:rsidRDefault="007E32BF" w:rsidP="007E32BF">
      <w:pPr>
        <w:spacing w:before="120" w:after="120" w:line="276" w:lineRule="auto"/>
        <w:ind w:firstLine="709"/>
        <w:jc w:val="both"/>
        <w:rPr>
          <w:rFonts w:ascii="Arial" w:hAnsi="Arial" w:cs="Arial"/>
          <w:color w:val="000000" w:themeColor="text1"/>
          <w:sz w:val="22"/>
          <w:szCs w:val="22"/>
          <w:lang w:val="es-ES_tradnl"/>
        </w:rPr>
      </w:pPr>
      <w:r w:rsidRPr="007E32BF">
        <w:rPr>
          <w:rFonts w:ascii="Arial" w:hAnsi="Arial" w:cs="Arial"/>
          <w:color w:val="000000" w:themeColor="text1"/>
          <w:sz w:val="22"/>
          <w:szCs w:val="22"/>
          <w:lang w:val="es-ES_tradnl"/>
        </w:rPr>
        <w:t>Por otro lado, la explicación de la derogatoria producida por la Ley de Emprendimiento sobre los factores de desempate del proceso de mínima cuantía requiere un análisis adicional, pues el parágrafo 2 del artículo 30 de la Ley de Emprendimiento dispone que «La contratación a que se refiere el presente artículo se realizará exclusivamente con las reglas en él contempladas y en su reglamentación […]», lo que podría llevar a concluir que los procesos de mínima cuantía se rigen exclusivamente por las reglas del artículo 30 de la Ley 2069 de 2020 y lo reglamentado en el decreto 1082 de 2015.</w:t>
      </w:r>
    </w:p>
    <w:p w14:paraId="7EAC823B" w14:textId="77777777" w:rsidR="007E32BF" w:rsidRPr="007E32BF" w:rsidRDefault="007E32BF" w:rsidP="007E32BF">
      <w:pPr>
        <w:spacing w:before="120" w:line="276" w:lineRule="auto"/>
        <w:ind w:firstLine="709"/>
        <w:jc w:val="both"/>
        <w:rPr>
          <w:rFonts w:ascii="Arial" w:hAnsi="Arial" w:cs="Arial"/>
          <w:color w:val="000000" w:themeColor="text1"/>
          <w:sz w:val="22"/>
          <w:szCs w:val="22"/>
          <w:lang w:val="es-ES_tradnl"/>
        </w:rPr>
      </w:pPr>
      <w:r w:rsidRPr="007E32BF">
        <w:rPr>
          <w:rFonts w:ascii="Arial" w:hAnsi="Arial" w:cs="Arial"/>
          <w:color w:val="000000" w:themeColor="text1"/>
          <w:sz w:val="22"/>
          <w:szCs w:val="22"/>
          <w:lang w:val="es-ES_tradnl"/>
        </w:rPr>
        <w:t xml:space="preserve">No obstante, una interpretación exegética del parágrafo 2 del artículo 30 de la Ley de Emprendimiento desconocería la aplicación de normas transversales al sistema de compras y contratación pública, tales como la capacidad de los consorcios y las uniones temporales, el régimen de inhabilidades e incompatibilidades, los requisitos para ejercer las potestades exorbitantes o los principios de la contratación estatal –arts. 6, 8, 14.2 y 23 de la Ley 80 de 1993, respectivamente–. Llevada al extremo, la idea de que el procedimiento de mínima cuantía solo se regula por el artículo 30 de la Ley 2069 de 2020 y su correspondiente reglamentación genera consecuencias absurdas, pues daría a entender </w:t>
      </w:r>
      <w:r w:rsidRPr="007E32BF">
        <w:rPr>
          <w:rFonts w:ascii="Arial" w:hAnsi="Arial" w:cs="Arial"/>
          <w:color w:val="000000" w:themeColor="text1"/>
          <w:sz w:val="22"/>
          <w:szCs w:val="22"/>
          <w:lang w:val="es-ES_tradnl"/>
        </w:rPr>
        <w:lastRenderedPageBreak/>
        <w:t xml:space="preserve">que el reglamento podría llegar a modificar aspectos elevados a rango de ley, como lo son los criterios de desempate previstos en el artículo 35 de la Ley 2069 de 2020. </w:t>
      </w:r>
    </w:p>
    <w:p w14:paraId="3B0D0EDD" w14:textId="77777777" w:rsidR="007E32BF" w:rsidRPr="007E32BF" w:rsidRDefault="007E32BF" w:rsidP="007E32BF">
      <w:pPr>
        <w:spacing w:before="120" w:line="276" w:lineRule="auto"/>
        <w:ind w:firstLine="709"/>
        <w:jc w:val="both"/>
        <w:rPr>
          <w:rFonts w:ascii="Arial" w:hAnsi="Arial" w:cs="Arial"/>
          <w:color w:val="000000" w:themeColor="text1"/>
          <w:sz w:val="22"/>
          <w:szCs w:val="22"/>
          <w:lang w:val="es-ES_tradnl"/>
        </w:rPr>
      </w:pPr>
      <w:r w:rsidRPr="007E32BF">
        <w:rPr>
          <w:rFonts w:ascii="Arial" w:hAnsi="Arial" w:cs="Arial"/>
          <w:color w:val="000000" w:themeColor="text1"/>
          <w:sz w:val="22"/>
          <w:szCs w:val="22"/>
          <w:lang w:val="es-ES_tradnl"/>
        </w:rPr>
        <w:t xml:space="preserve">Además, aunque el artículo 5.1 de la Ley 57 de 1887 consagra la regla </w:t>
      </w:r>
      <w:r w:rsidRPr="007E32BF">
        <w:rPr>
          <w:rFonts w:ascii="Arial" w:hAnsi="Arial" w:cs="Arial"/>
          <w:i/>
          <w:iCs/>
          <w:color w:val="000000" w:themeColor="text1"/>
          <w:sz w:val="22"/>
          <w:szCs w:val="22"/>
          <w:lang w:val="es-ES_tradnl"/>
        </w:rPr>
        <w:t xml:space="preserve">lex </w:t>
      </w:r>
      <w:proofErr w:type="spellStart"/>
      <w:r w:rsidRPr="007E32BF">
        <w:rPr>
          <w:rFonts w:ascii="Arial" w:hAnsi="Arial" w:cs="Arial"/>
          <w:i/>
          <w:iCs/>
          <w:color w:val="000000" w:themeColor="text1"/>
          <w:sz w:val="22"/>
          <w:szCs w:val="22"/>
          <w:lang w:val="es-ES_tradnl"/>
        </w:rPr>
        <w:t>specialis</w:t>
      </w:r>
      <w:proofErr w:type="spellEnd"/>
      <w:r w:rsidRPr="007E32BF">
        <w:rPr>
          <w:rFonts w:ascii="Arial" w:hAnsi="Arial" w:cs="Arial"/>
          <w:i/>
          <w:iCs/>
          <w:color w:val="000000" w:themeColor="text1"/>
          <w:sz w:val="22"/>
          <w:szCs w:val="22"/>
          <w:lang w:val="es-ES_tradnl"/>
        </w:rPr>
        <w:t xml:space="preserve"> </w:t>
      </w:r>
      <w:proofErr w:type="spellStart"/>
      <w:r w:rsidRPr="007E32BF">
        <w:rPr>
          <w:rFonts w:ascii="Arial" w:hAnsi="Arial" w:cs="Arial"/>
          <w:i/>
          <w:iCs/>
          <w:color w:val="000000" w:themeColor="text1"/>
          <w:sz w:val="22"/>
          <w:szCs w:val="22"/>
          <w:lang w:val="es-ES_tradnl"/>
        </w:rPr>
        <w:t>derogat</w:t>
      </w:r>
      <w:proofErr w:type="spellEnd"/>
      <w:r w:rsidRPr="007E32BF">
        <w:rPr>
          <w:rFonts w:ascii="Arial" w:hAnsi="Arial" w:cs="Arial"/>
          <w:i/>
          <w:iCs/>
          <w:color w:val="000000" w:themeColor="text1"/>
          <w:sz w:val="22"/>
          <w:szCs w:val="22"/>
          <w:lang w:val="es-ES_tradnl"/>
        </w:rPr>
        <w:t xml:space="preserve"> </w:t>
      </w:r>
      <w:proofErr w:type="spellStart"/>
      <w:r w:rsidRPr="007E32BF">
        <w:rPr>
          <w:rFonts w:ascii="Arial" w:hAnsi="Arial" w:cs="Arial"/>
          <w:i/>
          <w:iCs/>
          <w:color w:val="000000" w:themeColor="text1"/>
          <w:sz w:val="22"/>
          <w:szCs w:val="22"/>
          <w:lang w:val="es-ES_tradnl"/>
        </w:rPr>
        <w:t>legi</w:t>
      </w:r>
      <w:proofErr w:type="spellEnd"/>
      <w:r w:rsidRPr="007E32BF">
        <w:rPr>
          <w:rFonts w:ascii="Arial" w:hAnsi="Arial" w:cs="Arial"/>
          <w:i/>
          <w:iCs/>
          <w:color w:val="000000" w:themeColor="text1"/>
          <w:sz w:val="22"/>
          <w:szCs w:val="22"/>
          <w:lang w:val="es-ES_tradnl"/>
        </w:rPr>
        <w:t xml:space="preserve"> </w:t>
      </w:r>
      <w:proofErr w:type="spellStart"/>
      <w:r w:rsidRPr="007E32BF">
        <w:rPr>
          <w:rFonts w:ascii="Arial" w:hAnsi="Arial" w:cs="Arial"/>
          <w:i/>
          <w:iCs/>
          <w:color w:val="000000" w:themeColor="text1"/>
          <w:sz w:val="22"/>
          <w:szCs w:val="22"/>
          <w:lang w:val="es-ES_tradnl"/>
        </w:rPr>
        <w:t>generali</w:t>
      </w:r>
      <w:proofErr w:type="spellEnd"/>
      <w:r w:rsidRPr="007E32BF">
        <w:rPr>
          <w:rFonts w:ascii="Arial" w:hAnsi="Arial" w:cs="Arial"/>
          <w:color w:val="000000" w:themeColor="text1"/>
          <w:sz w:val="22"/>
          <w:szCs w:val="22"/>
          <w:vertAlign w:val="superscript"/>
          <w:lang w:val="es-ES_tradnl"/>
        </w:rPr>
        <w:footnoteReference w:id="11"/>
      </w:r>
      <w:r w:rsidRPr="007E32BF">
        <w:rPr>
          <w:rFonts w:ascii="Arial" w:hAnsi="Arial" w:cs="Arial"/>
          <w:color w:val="000000" w:themeColor="text1"/>
          <w:sz w:val="22"/>
          <w:szCs w:val="22"/>
          <w:lang w:val="es-ES_tradnl"/>
        </w:rPr>
        <w:t>, este criterio para la resolución de antinomias carece de aplicación matemática para concluir que los factores de desempate para la mínima cuantía se rigen por las normas especiales previstas en el reglamento. De esta manera, los límites de esta regla hay que verificarlos en cada caso teniendo en cuenta la intención del legislador, por lo cual es posible la existencia de una regla general que no tolere excepciones</w:t>
      </w:r>
      <w:r w:rsidRPr="007E32BF">
        <w:rPr>
          <w:rFonts w:ascii="Arial" w:hAnsi="Arial" w:cs="Arial"/>
          <w:color w:val="000000" w:themeColor="text1"/>
          <w:sz w:val="22"/>
          <w:szCs w:val="22"/>
          <w:vertAlign w:val="superscript"/>
          <w:lang w:val="es-ES_tradnl"/>
        </w:rPr>
        <w:footnoteReference w:id="12"/>
      </w:r>
      <w:r w:rsidRPr="007E32BF">
        <w:rPr>
          <w:rFonts w:ascii="Arial" w:hAnsi="Arial" w:cs="Arial"/>
          <w:color w:val="000000" w:themeColor="text1"/>
          <w:sz w:val="22"/>
          <w:szCs w:val="22"/>
          <w:lang w:val="es-ES_tradnl"/>
        </w:rPr>
        <w:t xml:space="preserve">. Al respecto, la doctrina considera que: </w:t>
      </w:r>
    </w:p>
    <w:p w14:paraId="7F0010D1" w14:textId="77777777" w:rsidR="007E32BF" w:rsidRPr="00C4589F" w:rsidRDefault="007E32BF" w:rsidP="007E32BF">
      <w:pPr>
        <w:spacing w:line="276" w:lineRule="auto"/>
        <w:ind w:firstLine="709"/>
        <w:jc w:val="both"/>
        <w:rPr>
          <w:rFonts w:ascii="Arial" w:hAnsi="Arial" w:cs="Arial"/>
          <w:color w:val="000000" w:themeColor="text1"/>
          <w:lang w:val="es-ES_tradnl"/>
        </w:rPr>
      </w:pPr>
      <w:r w:rsidRPr="00C4589F">
        <w:rPr>
          <w:rFonts w:ascii="Arial" w:hAnsi="Arial" w:cs="Arial"/>
          <w:color w:val="000000" w:themeColor="text1"/>
          <w:lang w:val="es-ES_tradnl"/>
        </w:rPr>
        <w:t xml:space="preserve">  </w:t>
      </w:r>
    </w:p>
    <w:p w14:paraId="40922EA4" w14:textId="77777777" w:rsidR="007E32BF" w:rsidRPr="00C4589F" w:rsidRDefault="007E32BF" w:rsidP="00851EE6">
      <w:pPr>
        <w:ind w:left="709" w:right="758"/>
        <w:jc w:val="both"/>
        <w:rPr>
          <w:rFonts w:ascii="Arial" w:hAnsi="Arial" w:cs="Arial"/>
          <w:color w:val="000000" w:themeColor="text1"/>
          <w:sz w:val="21"/>
          <w:szCs w:val="21"/>
          <w:lang w:val="es-ES_tradnl"/>
        </w:rPr>
      </w:pPr>
      <w:r w:rsidRPr="00C4589F">
        <w:rPr>
          <w:rFonts w:ascii="Arial" w:hAnsi="Arial" w:cs="Arial"/>
          <w:color w:val="000000" w:themeColor="text1"/>
          <w:sz w:val="21"/>
          <w:szCs w:val="21"/>
        </w:rPr>
        <w:t xml:space="preserve">[…] la preferencia por la norma especial sobre la norma posterior no puede tener jamás un valor absoluto, porque razones de orden teleológico pueden impeler a dar prioridad a la </w:t>
      </w:r>
      <w:r w:rsidRPr="00C4589F">
        <w:rPr>
          <w:rFonts w:ascii="Arial" w:hAnsi="Arial" w:cs="Arial"/>
          <w:i/>
          <w:iCs/>
          <w:color w:val="000000" w:themeColor="text1"/>
          <w:sz w:val="21"/>
          <w:szCs w:val="21"/>
        </w:rPr>
        <w:t xml:space="preserve">lex posterior </w:t>
      </w:r>
      <w:proofErr w:type="spellStart"/>
      <w:r w:rsidRPr="00C4589F">
        <w:rPr>
          <w:rFonts w:ascii="Arial" w:hAnsi="Arial" w:cs="Arial"/>
          <w:i/>
          <w:iCs/>
          <w:color w:val="000000" w:themeColor="text1"/>
          <w:sz w:val="21"/>
          <w:szCs w:val="21"/>
        </w:rPr>
        <w:t>generalis</w:t>
      </w:r>
      <w:proofErr w:type="spellEnd"/>
      <w:r w:rsidRPr="00C4589F">
        <w:rPr>
          <w:rFonts w:ascii="Arial" w:hAnsi="Arial" w:cs="Arial"/>
          <w:color w:val="000000" w:themeColor="text1"/>
          <w:sz w:val="21"/>
          <w:szCs w:val="21"/>
        </w:rPr>
        <w:t xml:space="preserve">. Piénsese en las hipótesis de nueva regulación integral de la materia, por reducida que la materia sea: parece que la vocación de regulación uniforme debe prevalecer sobre las diferencias sectoriales preexistentes. Por ello, incluso quienes defienden la primacía del criterio de la especialidad en caso de conflicto con el criterio cronológico lo hacen con reservas y sin atribuir a esta afirmación un valor absoluto. Ha sido sugerido, en este sentido, que el aforismo </w:t>
      </w:r>
      <w:r w:rsidRPr="00C4589F">
        <w:rPr>
          <w:rFonts w:ascii="Arial" w:hAnsi="Arial" w:cs="Arial"/>
          <w:i/>
          <w:iCs/>
          <w:color w:val="000000" w:themeColor="text1"/>
          <w:sz w:val="21"/>
          <w:szCs w:val="21"/>
        </w:rPr>
        <w:t xml:space="preserve">lex posterior </w:t>
      </w:r>
      <w:proofErr w:type="spellStart"/>
      <w:r w:rsidRPr="00C4589F">
        <w:rPr>
          <w:rFonts w:ascii="Arial" w:hAnsi="Arial" w:cs="Arial"/>
          <w:i/>
          <w:iCs/>
          <w:color w:val="000000" w:themeColor="text1"/>
          <w:sz w:val="21"/>
          <w:szCs w:val="21"/>
        </w:rPr>
        <w:t>generalis</w:t>
      </w:r>
      <w:proofErr w:type="spellEnd"/>
      <w:r w:rsidRPr="00C4589F">
        <w:rPr>
          <w:rFonts w:ascii="Arial" w:hAnsi="Arial" w:cs="Arial"/>
          <w:i/>
          <w:iCs/>
          <w:color w:val="000000" w:themeColor="text1"/>
          <w:sz w:val="21"/>
          <w:szCs w:val="21"/>
        </w:rPr>
        <w:t xml:space="preserve"> non </w:t>
      </w:r>
      <w:proofErr w:type="spellStart"/>
      <w:r w:rsidRPr="00C4589F">
        <w:rPr>
          <w:rFonts w:ascii="Arial" w:hAnsi="Arial" w:cs="Arial"/>
          <w:i/>
          <w:iCs/>
          <w:color w:val="000000" w:themeColor="text1"/>
          <w:sz w:val="21"/>
          <w:szCs w:val="21"/>
        </w:rPr>
        <w:t>derogat</w:t>
      </w:r>
      <w:proofErr w:type="spellEnd"/>
      <w:r w:rsidRPr="00C4589F">
        <w:rPr>
          <w:rFonts w:ascii="Arial" w:hAnsi="Arial" w:cs="Arial"/>
          <w:i/>
          <w:iCs/>
          <w:color w:val="000000" w:themeColor="text1"/>
          <w:sz w:val="21"/>
          <w:szCs w:val="21"/>
        </w:rPr>
        <w:t xml:space="preserve"> </w:t>
      </w:r>
      <w:proofErr w:type="spellStart"/>
      <w:r w:rsidRPr="00C4589F">
        <w:rPr>
          <w:rFonts w:ascii="Arial" w:hAnsi="Arial" w:cs="Arial"/>
          <w:i/>
          <w:iCs/>
          <w:color w:val="000000" w:themeColor="text1"/>
          <w:sz w:val="21"/>
          <w:szCs w:val="21"/>
        </w:rPr>
        <w:t>legi</w:t>
      </w:r>
      <w:proofErr w:type="spellEnd"/>
      <w:r w:rsidRPr="00C4589F">
        <w:rPr>
          <w:rFonts w:ascii="Arial" w:hAnsi="Arial" w:cs="Arial"/>
          <w:i/>
          <w:iCs/>
          <w:color w:val="000000" w:themeColor="text1"/>
          <w:sz w:val="21"/>
          <w:szCs w:val="21"/>
        </w:rPr>
        <w:t xml:space="preserve"> priori </w:t>
      </w:r>
      <w:proofErr w:type="spellStart"/>
      <w:r w:rsidRPr="00C4589F">
        <w:rPr>
          <w:rFonts w:ascii="Arial" w:hAnsi="Arial" w:cs="Arial"/>
          <w:i/>
          <w:iCs/>
          <w:color w:val="000000" w:themeColor="text1"/>
          <w:sz w:val="21"/>
          <w:szCs w:val="21"/>
        </w:rPr>
        <w:t>speciali</w:t>
      </w:r>
      <w:proofErr w:type="spellEnd"/>
      <w:r w:rsidRPr="00C4589F">
        <w:rPr>
          <w:rFonts w:ascii="Arial" w:hAnsi="Arial" w:cs="Arial"/>
          <w:color w:val="000000" w:themeColor="text1"/>
          <w:sz w:val="21"/>
          <w:szCs w:val="21"/>
        </w:rPr>
        <w:t xml:space="preserve"> opera como una mera presunción hermenéutica, que puede ser destruida por una clara </w:t>
      </w:r>
      <w:proofErr w:type="spellStart"/>
      <w:r w:rsidRPr="00C4589F">
        <w:rPr>
          <w:rFonts w:ascii="Arial" w:hAnsi="Arial" w:cs="Arial"/>
          <w:i/>
          <w:iCs/>
          <w:color w:val="000000" w:themeColor="text1"/>
          <w:sz w:val="21"/>
          <w:szCs w:val="21"/>
        </w:rPr>
        <w:t>voluntas</w:t>
      </w:r>
      <w:proofErr w:type="spellEnd"/>
      <w:r w:rsidRPr="00C4589F">
        <w:rPr>
          <w:rFonts w:ascii="Arial" w:hAnsi="Arial" w:cs="Arial"/>
          <w:i/>
          <w:iCs/>
          <w:color w:val="000000" w:themeColor="text1"/>
          <w:sz w:val="21"/>
          <w:szCs w:val="21"/>
        </w:rPr>
        <w:t xml:space="preserve"> </w:t>
      </w:r>
      <w:proofErr w:type="spellStart"/>
      <w:r w:rsidRPr="00C4589F">
        <w:rPr>
          <w:rFonts w:ascii="Arial" w:hAnsi="Arial" w:cs="Arial"/>
          <w:i/>
          <w:iCs/>
          <w:color w:val="000000" w:themeColor="text1"/>
          <w:sz w:val="21"/>
          <w:szCs w:val="21"/>
        </w:rPr>
        <w:t>legis</w:t>
      </w:r>
      <w:proofErr w:type="spellEnd"/>
      <w:r w:rsidRPr="00C4589F">
        <w:rPr>
          <w:rFonts w:ascii="Arial" w:hAnsi="Arial" w:cs="Arial"/>
          <w:color w:val="000000" w:themeColor="text1"/>
          <w:sz w:val="21"/>
          <w:szCs w:val="21"/>
        </w:rPr>
        <w:t xml:space="preserve"> de sentido contrario</w:t>
      </w:r>
      <w:r w:rsidRPr="00C4589F">
        <w:rPr>
          <w:rFonts w:ascii="Arial" w:hAnsi="Arial" w:cs="Arial"/>
          <w:color w:val="000000" w:themeColor="text1"/>
          <w:sz w:val="21"/>
          <w:szCs w:val="21"/>
          <w:vertAlign w:val="superscript"/>
        </w:rPr>
        <w:footnoteReference w:id="13"/>
      </w:r>
      <w:r w:rsidRPr="00C4589F">
        <w:rPr>
          <w:rFonts w:ascii="Arial" w:hAnsi="Arial" w:cs="Arial"/>
          <w:color w:val="000000" w:themeColor="text1"/>
          <w:sz w:val="21"/>
          <w:szCs w:val="21"/>
        </w:rPr>
        <w:t>.</w:t>
      </w:r>
      <w:r w:rsidRPr="00C4589F">
        <w:rPr>
          <w:rFonts w:ascii="Arial" w:hAnsi="Arial" w:cs="Arial"/>
          <w:color w:val="000000" w:themeColor="text1"/>
          <w:sz w:val="21"/>
          <w:szCs w:val="21"/>
          <w:lang w:val="es-ES_tradnl"/>
        </w:rPr>
        <w:t xml:space="preserve"> </w:t>
      </w:r>
    </w:p>
    <w:p w14:paraId="43142836" w14:textId="77777777" w:rsidR="007E32BF" w:rsidRPr="00C4589F" w:rsidRDefault="007E32BF" w:rsidP="00851EE6">
      <w:pPr>
        <w:spacing w:line="276" w:lineRule="auto"/>
        <w:ind w:firstLine="709"/>
        <w:jc w:val="both"/>
        <w:rPr>
          <w:rFonts w:ascii="Arial" w:hAnsi="Arial" w:cs="Arial"/>
          <w:color w:val="000000"/>
          <w:sz w:val="21"/>
          <w:szCs w:val="21"/>
          <w:lang w:val="es-ES_tradnl"/>
        </w:rPr>
      </w:pPr>
    </w:p>
    <w:p w14:paraId="77578943" w14:textId="621F77C8" w:rsidR="007E32BF" w:rsidRPr="007E32BF" w:rsidRDefault="007E32BF" w:rsidP="00851EE6">
      <w:pPr>
        <w:spacing w:after="120" w:line="276" w:lineRule="auto"/>
        <w:ind w:firstLine="709"/>
        <w:jc w:val="both"/>
        <w:rPr>
          <w:rFonts w:ascii="Arial" w:hAnsi="Arial" w:cs="Arial"/>
          <w:color w:val="000000" w:themeColor="text1"/>
          <w:sz w:val="22"/>
          <w:szCs w:val="22"/>
          <w:lang w:val="es-ES_tradnl"/>
        </w:rPr>
      </w:pPr>
      <w:r w:rsidRPr="007E32BF">
        <w:rPr>
          <w:rFonts w:ascii="Arial" w:hAnsi="Arial" w:cs="Arial"/>
          <w:color w:val="000000" w:themeColor="text1"/>
          <w:sz w:val="22"/>
          <w:szCs w:val="22"/>
          <w:lang w:val="es-ES_tradnl"/>
        </w:rPr>
        <w:t>Tratándose de los factores de desempate, la intención del legislador es que el artículo 35 de la Ley de Emprendimiento sea una norma transversal al sistema de compras y contratación pública</w:t>
      </w:r>
      <w:r w:rsidR="00D743F9">
        <w:rPr>
          <w:rFonts w:ascii="Arial" w:hAnsi="Arial" w:cs="Arial"/>
          <w:color w:val="000000" w:themeColor="text1"/>
          <w:sz w:val="22"/>
          <w:szCs w:val="22"/>
          <w:lang w:val="es-ES_tradnl"/>
        </w:rPr>
        <w:t>.</w:t>
      </w:r>
      <w:r w:rsidRPr="007E32BF">
        <w:rPr>
          <w:rFonts w:ascii="Arial" w:hAnsi="Arial" w:cs="Arial"/>
          <w:color w:val="000000" w:themeColor="text1"/>
          <w:sz w:val="22"/>
          <w:szCs w:val="22"/>
          <w:lang w:val="es-ES_tradnl"/>
        </w:rPr>
        <w:t xml:space="preserve"> Particularmente, </w:t>
      </w:r>
      <w:r w:rsidRPr="007E32BF">
        <w:rPr>
          <w:rFonts w:ascii="Arial" w:eastAsia="Calibri" w:hAnsi="Arial" w:cs="Arial"/>
          <w:bCs/>
          <w:color w:val="000000" w:themeColor="text1"/>
          <w:sz w:val="22"/>
          <w:szCs w:val="22"/>
        </w:rPr>
        <w:t>conforme a la exposición de motivos, la ley «</w:t>
      </w:r>
      <w:r w:rsidRPr="007E32BF">
        <w:rPr>
          <w:rFonts w:ascii="Arial" w:hAnsi="Arial" w:cs="Arial"/>
          <w:sz w:val="22"/>
          <w:szCs w:val="22"/>
        </w:rPr>
        <w:t xml:space="preserve">[…] </w:t>
      </w:r>
      <w:r w:rsidRPr="007E32BF">
        <w:rPr>
          <w:rFonts w:ascii="Arial" w:eastAsia="Calibri" w:hAnsi="Arial" w:cs="Arial"/>
          <w:bCs/>
          <w:color w:val="000000" w:themeColor="text1"/>
          <w:sz w:val="22"/>
          <w:szCs w:val="22"/>
        </w:rPr>
        <w:t xml:space="preserve">propone facilitar el acceso de las </w:t>
      </w:r>
      <w:proofErr w:type="spellStart"/>
      <w:r w:rsidRPr="007E32BF">
        <w:rPr>
          <w:rFonts w:ascii="Arial" w:eastAsia="Calibri" w:hAnsi="Arial" w:cs="Arial"/>
          <w:bCs/>
          <w:color w:val="000000" w:themeColor="text1"/>
          <w:sz w:val="22"/>
          <w:szCs w:val="22"/>
        </w:rPr>
        <w:t>Mipymes</w:t>
      </w:r>
      <w:proofErr w:type="spellEnd"/>
      <w:r w:rsidRPr="007E32BF">
        <w:rPr>
          <w:rFonts w:ascii="Arial" w:eastAsia="Calibri" w:hAnsi="Arial" w:cs="Arial"/>
          <w:bCs/>
          <w:color w:val="000000" w:themeColor="text1"/>
          <w:sz w:val="22"/>
          <w:szCs w:val="22"/>
        </w:rPr>
        <w:t xml:space="preserve"> a la modalidad de contratación de mínima cuantía, la limitación de estos procesos a </w:t>
      </w:r>
      <w:proofErr w:type="spellStart"/>
      <w:r w:rsidRPr="007E32BF">
        <w:rPr>
          <w:rFonts w:ascii="Arial" w:eastAsia="Calibri" w:hAnsi="Arial" w:cs="Arial"/>
          <w:bCs/>
          <w:color w:val="000000" w:themeColor="text1"/>
          <w:sz w:val="22"/>
          <w:szCs w:val="22"/>
        </w:rPr>
        <w:t>Mipymes</w:t>
      </w:r>
      <w:proofErr w:type="spellEnd"/>
      <w:r w:rsidRPr="007E32BF">
        <w:rPr>
          <w:rFonts w:ascii="Arial" w:eastAsia="Calibri" w:hAnsi="Arial" w:cs="Arial"/>
          <w:bCs/>
          <w:color w:val="000000" w:themeColor="text1"/>
          <w:sz w:val="22"/>
          <w:szCs w:val="22"/>
        </w:rPr>
        <w:t xml:space="preserve">, […] y </w:t>
      </w:r>
      <w:r w:rsidRPr="007E32BF">
        <w:rPr>
          <w:rFonts w:ascii="Arial" w:eastAsia="Calibri" w:hAnsi="Arial" w:cs="Arial"/>
          <w:bCs/>
          <w:i/>
          <w:iCs/>
          <w:color w:val="000000" w:themeColor="text1"/>
          <w:sz w:val="22"/>
          <w:szCs w:val="22"/>
        </w:rPr>
        <w:t>define la inclusión de factores de desempate en los procesos de contratación pública que priorizan este segmento</w:t>
      </w:r>
      <w:r w:rsidRPr="007E32BF">
        <w:rPr>
          <w:rFonts w:ascii="Arial" w:eastAsia="Calibri" w:hAnsi="Arial" w:cs="Arial"/>
          <w:bCs/>
          <w:color w:val="000000" w:themeColor="text1"/>
          <w:sz w:val="22"/>
          <w:szCs w:val="22"/>
        </w:rPr>
        <w:t>» (Énfasis fuera de texto)</w:t>
      </w:r>
      <w:r w:rsidRPr="007E32BF">
        <w:rPr>
          <w:rFonts w:ascii="Arial" w:eastAsia="Calibri" w:hAnsi="Arial" w:cs="Arial"/>
          <w:bCs/>
          <w:color w:val="000000" w:themeColor="text1"/>
          <w:sz w:val="22"/>
          <w:szCs w:val="22"/>
          <w:vertAlign w:val="superscript"/>
        </w:rPr>
        <w:footnoteReference w:id="14"/>
      </w:r>
      <w:r w:rsidRPr="007E32BF">
        <w:rPr>
          <w:rFonts w:ascii="Arial" w:eastAsia="Calibri" w:hAnsi="Arial" w:cs="Arial"/>
          <w:bCs/>
          <w:color w:val="000000" w:themeColor="text1"/>
          <w:sz w:val="22"/>
          <w:szCs w:val="22"/>
        </w:rPr>
        <w:t xml:space="preserve">. En esta medida, carece de sentido que los criterios de desempate sean </w:t>
      </w:r>
      <w:r w:rsidRPr="007E32BF">
        <w:rPr>
          <w:rFonts w:ascii="Arial" w:eastAsia="Calibri" w:hAnsi="Arial" w:cs="Arial"/>
          <w:bCs/>
          <w:color w:val="000000" w:themeColor="text1"/>
          <w:sz w:val="22"/>
          <w:szCs w:val="22"/>
        </w:rPr>
        <w:lastRenderedPageBreak/>
        <w:t xml:space="preserve">inaplicables a la mínima cuantía, cuando la regla </w:t>
      </w:r>
      <w:r w:rsidR="005A2DC7">
        <w:rPr>
          <w:rFonts w:ascii="Arial" w:eastAsia="Calibri" w:hAnsi="Arial" w:cs="Arial"/>
          <w:bCs/>
          <w:color w:val="000000" w:themeColor="text1"/>
          <w:sz w:val="22"/>
          <w:szCs w:val="22"/>
        </w:rPr>
        <w:t>p</w:t>
      </w:r>
      <w:r w:rsidRPr="007E32BF">
        <w:rPr>
          <w:rFonts w:ascii="Arial" w:eastAsia="Calibri" w:hAnsi="Arial" w:cs="Arial"/>
          <w:bCs/>
          <w:color w:val="000000" w:themeColor="text1"/>
          <w:sz w:val="22"/>
          <w:szCs w:val="22"/>
        </w:rPr>
        <w:t xml:space="preserve">revista en el artículo citado obliga a todas las entidades exceptuadas sin consideración al valor del presupuesto oficial estimado. Teniendo en cuenta lo anterior, se concluye que el artículo </w:t>
      </w:r>
      <w:r w:rsidRPr="007E32BF">
        <w:rPr>
          <w:rFonts w:ascii="Arial" w:hAnsi="Arial" w:cs="Arial"/>
          <w:color w:val="000000" w:themeColor="text1"/>
          <w:sz w:val="22"/>
          <w:szCs w:val="22"/>
          <w:lang w:val="es-ES_tradnl"/>
        </w:rPr>
        <w:t xml:space="preserve">35 de la Ley 2069 de 2020 es aplicable al procedimiento de mínima cuantía, por lo que se presenta tanto la derogación como el decaimiento de los criterios de desempate previstos en el Decreto 1082 de 2015 para esta modalidad de selección. </w:t>
      </w:r>
      <w:r w:rsidRPr="007E32BF">
        <w:rPr>
          <w:rFonts w:ascii="Arial" w:eastAsia="Calibri" w:hAnsi="Arial" w:cs="Arial"/>
          <w:bCs/>
          <w:color w:val="000000" w:themeColor="text1"/>
          <w:sz w:val="22"/>
          <w:szCs w:val="22"/>
        </w:rPr>
        <w:t xml:space="preserve">   </w:t>
      </w:r>
      <w:r w:rsidRPr="007E32BF">
        <w:rPr>
          <w:rFonts w:ascii="Arial" w:hAnsi="Arial" w:cs="Arial"/>
          <w:color w:val="000000" w:themeColor="text1"/>
          <w:sz w:val="22"/>
          <w:szCs w:val="22"/>
          <w:lang w:val="es-ES_tradnl"/>
        </w:rPr>
        <w:t xml:space="preserve">     </w:t>
      </w:r>
    </w:p>
    <w:p w14:paraId="7439D3E3" w14:textId="259BD0D9" w:rsidR="007E32BF" w:rsidRDefault="007E32BF" w:rsidP="00851EE6">
      <w:pPr>
        <w:spacing w:line="276" w:lineRule="auto"/>
        <w:ind w:firstLine="708"/>
        <w:jc w:val="both"/>
        <w:rPr>
          <w:rFonts w:ascii="Arial" w:hAnsi="Arial" w:cs="Arial"/>
          <w:color w:val="000000" w:themeColor="text1"/>
          <w:sz w:val="22"/>
          <w:szCs w:val="22"/>
          <w:lang w:val="es-ES_tradnl"/>
        </w:rPr>
      </w:pPr>
      <w:r w:rsidRPr="007E32BF">
        <w:rPr>
          <w:rFonts w:ascii="Arial" w:hAnsi="Arial" w:cs="Arial"/>
          <w:color w:val="000000" w:themeColor="text1"/>
          <w:sz w:val="22"/>
          <w:szCs w:val="22"/>
          <w:lang w:val="es-ES_tradnl"/>
        </w:rPr>
        <w:t xml:space="preserve">Ahora bien, </w:t>
      </w:r>
      <w:r w:rsidRPr="007E32BF">
        <w:rPr>
          <w:rFonts w:ascii="Arial" w:hAnsi="Arial" w:cs="Arial"/>
          <w:color w:val="000000"/>
          <w:sz w:val="22"/>
          <w:szCs w:val="22"/>
          <w:lang w:val="es-ES_tradnl"/>
        </w:rPr>
        <w:t>el Congreso de la República hizo obligatoria la aplicación de los factores de desempate previstos en el artículo 35 de la Ley 2069 de 2020 a todos «</w:t>
      </w:r>
      <w:r w:rsidRPr="007E32BF">
        <w:rPr>
          <w:rFonts w:ascii="Arial" w:hAnsi="Arial" w:cs="Arial"/>
          <w:sz w:val="22"/>
          <w:szCs w:val="22"/>
        </w:rPr>
        <w:t xml:space="preserve">[…] </w:t>
      </w:r>
      <w:r w:rsidRPr="007E32BF">
        <w:rPr>
          <w:rFonts w:ascii="Arial" w:hAnsi="Arial" w:cs="Arial"/>
          <w:color w:val="000000"/>
          <w:sz w:val="22"/>
          <w:szCs w:val="22"/>
          <w:lang w:val="es-ES_tradnl"/>
        </w:rPr>
        <w:t xml:space="preserve">los Procesos de Contratación realizados con cargo a recursos públicos», sin excepción alguna. La selección abreviada y la mínima cuantía son procesos de contratación que se realizan con cargo a recursos públicos. Por lo tanto, en el trámite de estos procesos deben aplicarse los factores de desempate regulados en el artículo 35 de la Ley 2069 de 2020, </w:t>
      </w:r>
      <w:r w:rsidRPr="007E32BF">
        <w:rPr>
          <w:rFonts w:ascii="Arial" w:hAnsi="Arial" w:cs="Arial"/>
          <w:color w:val="000000" w:themeColor="text1"/>
          <w:sz w:val="22"/>
          <w:szCs w:val="22"/>
          <w:lang w:val="es-ES_tradnl"/>
        </w:rPr>
        <w:t xml:space="preserve">por lo que se presenta tanto la derogación como el decaimiento de los criterios de desempate previstos en el Decreto 1082 de 2015 para estas modalidades de selección. </w:t>
      </w:r>
      <w:r w:rsidRPr="007E32BF">
        <w:rPr>
          <w:rFonts w:ascii="Arial" w:eastAsia="Calibri" w:hAnsi="Arial" w:cs="Arial"/>
          <w:bCs/>
          <w:color w:val="000000" w:themeColor="text1"/>
          <w:sz w:val="22"/>
          <w:szCs w:val="22"/>
        </w:rPr>
        <w:t xml:space="preserve">   </w:t>
      </w:r>
      <w:r w:rsidRPr="007E32BF">
        <w:rPr>
          <w:rFonts w:ascii="Arial" w:hAnsi="Arial" w:cs="Arial"/>
          <w:color w:val="000000" w:themeColor="text1"/>
          <w:sz w:val="22"/>
          <w:szCs w:val="22"/>
          <w:lang w:val="es-ES_tradnl"/>
        </w:rPr>
        <w:t xml:space="preserve"> </w:t>
      </w:r>
    </w:p>
    <w:p w14:paraId="12AB8B2B" w14:textId="77777777" w:rsidR="00694225" w:rsidRPr="006A4CEF" w:rsidRDefault="00694225" w:rsidP="00851EE6">
      <w:pPr>
        <w:spacing w:line="276" w:lineRule="auto"/>
        <w:ind w:firstLine="708"/>
        <w:jc w:val="both"/>
        <w:rPr>
          <w:rFonts w:ascii="Arial" w:hAnsi="Arial" w:cs="Arial"/>
          <w:b/>
          <w:bCs/>
          <w:color w:val="000000" w:themeColor="text1"/>
          <w:sz w:val="22"/>
          <w:szCs w:val="22"/>
          <w:lang w:val="es-ES_tradnl"/>
        </w:rPr>
      </w:pPr>
    </w:p>
    <w:bookmarkEnd w:id="3"/>
    <w:p w14:paraId="6B101588" w14:textId="28E7630B" w:rsidR="006A4CEF" w:rsidRPr="007E32BF" w:rsidRDefault="00694225" w:rsidP="00851EE6">
      <w:pPr>
        <w:spacing w:line="276" w:lineRule="auto"/>
        <w:jc w:val="both"/>
        <w:rPr>
          <w:rFonts w:ascii="Arial" w:eastAsia="Calibri" w:hAnsi="Arial" w:cs="Arial"/>
          <w:color w:val="000000" w:themeColor="text1"/>
          <w:sz w:val="22"/>
          <w:szCs w:val="22"/>
          <w:lang w:val="es-ES_tradnl"/>
        </w:rPr>
      </w:pPr>
      <w:r w:rsidRPr="006A4CEF">
        <w:rPr>
          <w:rFonts w:ascii="Arial" w:eastAsia="Calibri" w:hAnsi="Arial" w:cs="Arial"/>
          <w:b/>
          <w:bCs/>
          <w:color w:val="000000" w:themeColor="text1"/>
          <w:sz w:val="22"/>
          <w:szCs w:val="22"/>
          <w:lang w:val="es-ES_tradnl"/>
        </w:rPr>
        <w:t xml:space="preserve">2.4. </w:t>
      </w:r>
      <w:r w:rsidR="006A4CEF" w:rsidRPr="006A4CEF">
        <w:rPr>
          <w:rFonts w:ascii="Arial" w:eastAsia="Calibri" w:hAnsi="Arial" w:cs="Arial"/>
          <w:b/>
          <w:bCs/>
          <w:color w:val="000000" w:themeColor="text1"/>
          <w:sz w:val="22"/>
          <w:szCs w:val="22"/>
          <w:lang w:val="es-ES_tradnl"/>
        </w:rPr>
        <w:t xml:space="preserve">Factores de desempate de los numerales 7 y 10 del artículo 35 de la </w:t>
      </w:r>
      <w:r w:rsidR="00335F54">
        <w:rPr>
          <w:rFonts w:ascii="Arial" w:eastAsia="Calibri" w:hAnsi="Arial" w:cs="Arial"/>
          <w:b/>
          <w:bCs/>
          <w:color w:val="000000" w:themeColor="text1"/>
          <w:sz w:val="22"/>
          <w:szCs w:val="22"/>
          <w:lang w:val="es-ES_tradnl"/>
        </w:rPr>
        <w:t>L</w:t>
      </w:r>
      <w:r w:rsidR="006A4CEF" w:rsidRPr="006A4CEF">
        <w:rPr>
          <w:rFonts w:ascii="Arial" w:eastAsia="Calibri" w:hAnsi="Arial" w:cs="Arial"/>
          <w:b/>
          <w:bCs/>
          <w:color w:val="000000" w:themeColor="text1"/>
          <w:sz w:val="22"/>
          <w:szCs w:val="22"/>
          <w:lang w:val="es-ES_tradnl"/>
        </w:rPr>
        <w:t>ey 2069 de 2020.</w:t>
      </w:r>
    </w:p>
    <w:p w14:paraId="75FC1090" w14:textId="77777777" w:rsidR="00694225" w:rsidRPr="005419DA" w:rsidRDefault="00694225" w:rsidP="00851EE6">
      <w:pPr>
        <w:spacing w:line="276" w:lineRule="auto"/>
        <w:jc w:val="both"/>
        <w:rPr>
          <w:rFonts w:ascii="Arial" w:eastAsia="Calibri" w:hAnsi="Arial" w:cs="Arial"/>
          <w:color w:val="000000" w:themeColor="text1"/>
          <w:sz w:val="22"/>
          <w:szCs w:val="22"/>
          <w:lang w:val="es-ES_tradnl"/>
        </w:rPr>
      </w:pPr>
    </w:p>
    <w:p w14:paraId="16721BA7" w14:textId="7F9D60BA" w:rsidR="00AA25DB" w:rsidRDefault="00694225" w:rsidP="00851EE6">
      <w:pPr>
        <w:spacing w:line="276" w:lineRule="auto"/>
        <w:jc w:val="both"/>
        <w:rPr>
          <w:rFonts w:ascii="Arial" w:eastAsia="Calibri" w:hAnsi="Arial" w:cs="Arial"/>
          <w:color w:val="000000" w:themeColor="text1"/>
          <w:sz w:val="22"/>
          <w:szCs w:val="22"/>
          <w:lang w:val="es-ES_tradnl"/>
        </w:rPr>
      </w:pPr>
      <w:r w:rsidRPr="005419DA">
        <w:rPr>
          <w:rFonts w:ascii="Arial" w:eastAsia="Calibri" w:hAnsi="Arial" w:cs="Arial"/>
          <w:color w:val="000000" w:themeColor="text1"/>
          <w:sz w:val="22"/>
          <w:szCs w:val="22"/>
          <w:lang w:val="es-ES_tradnl"/>
        </w:rPr>
        <w:t xml:space="preserve">En consideración a que en la consulta se solicita que la Agencia Nacional de Contratación Pública – Colombia Compra Eficiente </w:t>
      </w:r>
      <w:r w:rsidR="00216E0A">
        <w:rPr>
          <w:rFonts w:ascii="Arial" w:eastAsia="Calibri" w:hAnsi="Arial" w:cs="Arial"/>
          <w:color w:val="000000" w:themeColor="text1"/>
          <w:sz w:val="22"/>
          <w:szCs w:val="22"/>
          <w:lang w:val="es-ES_tradnl"/>
        </w:rPr>
        <w:t>realice</w:t>
      </w:r>
      <w:r w:rsidR="00216E0A" w:rsidRPr="005419DA">
        <w:rPr>
          <w:rFonts w:ascii="Arial" w:eastAsia="Calibri" w:hAnsi="Arial" w:cs="Arial"/>
          <w:color w:val="000000" w:themeColor="text1"/>
          <w:sz w:val="22"/>
          <w:szCs w:val="22"/>
          <w:lang w:val="es-ES_tradnl"/>
        </w:rPr>
        <w:t xml:space="preserve"> </w:t>
      </w:r>
      <w:r w:rsidRPr="005419DA">
        <w:rPr>
          <w:rFonts w:ascii="Arial" w:eastAsia="Calibri" w:hAnsi="Arial" w:cs="Arial"/>
          <w:color w:val="000000" w:themeColor="text1"/>
          <w:sz w:val="22"/>
          <w:szCs w:val="22"/>
          <w:lang w:val="es-ES_tradnl"/>
        </w:rPr>
        <w:t xml:space="preserve">ciertas precisiones hermenéuticas sobre algunos </w:t>
      </w:r>
      <w:r w:rsidR="00216E0A">
        <w:rPr>
          <w:rFonts w:ascii="Arial" w:eastAsia="Calibri" w:hAnsi="Arial" w:cs="Arial"/>
          <w:color w:val="000000" w:themeColor="text1"/>
          <w:sz w:val="22"/>
          <w:szCs w:val="22"/>
          <w:lang w:val="es-ES_tradnl"/>
        </w:rPr>
        <w:t>criterios de desempate</w:t>
      </w:r>
      <w:r w:rsidR="00F355CF">
        <w:rPr>
          <w:rFonts w:ascii="Arial" w:eastAsia="Calibri" w:hAnsi="Arial" w:cs="Arial"/>
          <w:color w:val="000000" w:themeColor="text1"/>
          <w:sz w:val="22"/>
          <w:szCs w:val="22"/>
          <w:lang w:val="es-ES_tradnl"/>
        </w:rPr>
        <w:t xml:space="preserve"> de la Ley de Emprendimiento</w:t>
      </w:r>
      <w:r w:rsidRPr="005419DA">
        <w:rPr>
          <w:rFonts w:ascii="Arial" w:eastAsia="Calibri" w:hAnsi="Arial" w:cs="Arial"/>
          <w:color w:val="000000" w:themeColor="text1"/>
          <w:sz w:val="22"/>
          <w:szCs w:val="22"/>
          <w:lang w:val="es-ES_tradnl"/>
        </w:rPr>
        <w:t>, la Subdirección de Gestión Contractual se pronunciará sobre el alcance que otorga a tales disposiciones</w:t>
      </w:r>
      <w:r w:rsidR="0037057F">
        <w:rPr>
          <w:rFonts w:ascii="Arial" w:eastAsia="Calibri" w:hAnsi="Arial" w:cs="Arial"/>
          <w:color w:val="000000" w:themeColor="text1"/>
          <w:sz w:val="22"/>
          <w:szCs w:val="22"/>
          <w:lang w:val="es-ES_tradnl"/>
        </w:rPr>
        <w:t>.</w:t>
      </w:r>
    </w:p>
    <w:p w14:paraId="406A0FD8" w14:textId="2FB52113" w:rsidR="00694225" w:rsidRPr="005419DA" w:rsidRDefault="0037057F" w:rsidP="00D33235">
      <w:pPr>
        <w:spacing w:line="276" w:lineRule="auto"/>
        <w:ind w:firstLine="708"/>
        <w:jc w:val="both"/>
        <w:rPr>
          <w:rFonts w:ascii="Arial" w:hAnsi="Arial" w:cs="Arial"/>
          <w:color w:val="000000" w:themeColor="text1"/>
          <w:sz w:val="22"/>
          <w:szCs w:val="22"/>
          <w:lang w:val="es-ES_tradnl"/>
        </w:rPr>
      </w:pPr>
      <w:r>
        <w:rPr>
          <w:rFonts w:ascii="Arial" w:eastAsia="Calibri" w:hAnsi="Arial" w:cs="Arial"/>
          <w:color w:val="000000" w:themeColor="text1"/>
          <w:sz w:val="22"/>
          <w:szCs w:val="22"/>
          <w:lang w:val="es-ES_tradnl"/>
        </w:rPr>
        <w:t xml:space="preserve"> </w:t>
      </w:r>
      <w:r w:rsidR="00694225">
        <w:rPr>
          <w:rFonts w:ascii="Arial" w:eastAsia="Calibri" w:hAnsi="Arial" w:cs="Arial"/>
          <w:color w:val="000000" w:themeColor="text1"/>
          <w:sz w:val="22"/>
          <w:szCs w:val="22"/>
          <w:lang w:val="es-ES_tradnl"/>
        </w:rPr>
        <w:t xml:space="preserve">Así las cosas, </w:t>
      </w:r>
      <w:r w:rsidR="00694225" w:rsidRPr="005419DA">
        <w:rPr>
          <w:rFonts w:ascii="Arial" w:eastAsia="Calibri" w:hAnsi="Arial" w:cs="Arial"/>
          <w:color w:val="000000" w:themeColor="text1"/>
          <w:sz w:val="22"/>
          <w:szCs w:val="22"/>
          <w:lang w:val="es-ES_tradnl"/>
        </w:rPr>
        <w:t>es menester hacer referencia al objeto de la consulta</w:t>
      </w:r>
      <w:r w:rsidR="00F355CF">
        <w:rPr>
          <w:rFonts w:ascii="Arial" w:eastAsia="Calibri" w:hAnsi="Arial" w:cs="Arial"/>
          <w:color w:val="000000" w:themeColor="text1"/>
          <w:sz w:val="22"/>
          <w:szCs w:val="22"/>
          <w:lang w:val="es-ES_tradnl"/>
        </w:rPr>
        <w:t>, en la cual</w:t>
      </w:r>
      <w:r w:rsidR="00694225" w:rsidRPr="005419DA">
        <w:rPr>
          <w:rFonts w:ascii="Arial" w:eastAsia="Calibri" w:hAnsi="Arial" w:cs="Arial"/>
          <w:color w:val="000000" w:themeColor="text1"/>
          <w:sz w:val="22"/>
          <w:szCs w:val="22"/>
          <w:lang w:val="es-ES_tradnl"/>
        </w:rPr>
        <w:t xml:space="preserve"> se formulan preguntas </w:t>
      </w:r>
      <w:r w:rsidR="00694225" w:rsidRPr="006A7F7E">
        <w:rPr>
          <w:rFonts w:ascii="Arial" w:eastAsia="Calibri" w:hAnsi="Arial" w:cs="Arial"/>
          <w:color w:val="000000" w:themeColor="text1"/>
          <w:sz w:val="22"/>
          <w:szCs w:val="22"/>
          <w:lang w:val="es-ES_tradnl"/>
        </w:rPr>
        <w:t>sobre el sentido y forma de acreditación de los factores previstos en los numerales 7 y 10</w:t>
      </w:r>
      <w:r w:rsidR="00F355CF">
        <w:rPr>
          <w:rFonts w:ascii="Arial" w:eastAsia="Calibri" w:hAnsi="Arial" w:cs="Arial"/>
          <w:color w:val="000000" w:themeColor="text1"/>
          <w:sz w:val="22"/>
          <w:szCs w:val="22"/>
          <w:lang w:val="es-ES_tradnl"/>
        </w:rPr>
        <w:t xml:space="preserve"> del artículo 35 de la Ley 2069 de 2020</w:t>
      </w:r>
      <w:r w:rsidR="00694225" w:rsidRPr="00F51DE0">
        <w:rPr>
          <w:rFonts w:ascii="Arial" w:eastAsia="Calibri" w:hAnsi="Arial" w:cs="Arial"/>
          <w:color w:val="000000" w:themeColor="text1"/>
          <w:sz w:val="22"/>
          <w:szCs w:val="22"/>
          <w:lang w:val="es-ES_tradnl"/>
        </w:rPr>
        <w:t xml:space="preserve">. </w:t>
      </w:r>
      <w:r w:rsidR="009F14D7">
        <w:rPr>
          <w:rFonts w:ascii="Arial" w:eastAsia="Calibri" w:hAnsi="Arial" w:cs="Arial"/>
          <w:color w:val="000000" w:themeColor="text1"/>
          <w:sz w:val="22"/>
          <w:szCs w:val="22"/>
          <w:lang w:val="es-ES_tradnl"/>
        </w:rPr>
        <w:t>Estas normas disponen lo siguiente</w:t>
      </w:r>
      <w:r w:rsidR="00694225" w:rsidRPr="00F51DE0">
        <w:rPr>
          <w:rFonts w:ascii="Arial" w:hAnsi="Arial" w:cs="Arial"/>
          <w:color w:val="000000" w:themeColor="text1"/>
          <w:sz w:val="22"/>
          <w:szCs w:val="22"/>
          <w:lang w:val="es-ES_tradnl"/>
        </w:rPr>
        <w:t>:</w:t>
      </w:r>
      <w:r w:rsidR="00694225">
        <w:rPr>
          <w:rFonts w:ascii="Arial" w:hAnsi="Arial" w:cs="Arial"/>
          <w:color w:val="000000" w:themeColor="text1"/>
          <w:sz w:val="22"/>
          <w:szCs w:val="22"/>
          <w:lang w:val="es-ES_tradnl"/>
        </w:rPr>
        <w:t xml:space="preserve"> </w:t>
      </w:r>
    </w:p>
    <w:p w14:paraId="3FEE9940" w14:textId="77777777" w:rsidR="00694225" w:rsidRPr="005419DA" w:rsidRDefault="00694225" w:rsidP="00694225">
      <w:pPr>
        <w:spacing w:line="276" w:lineRule="auto"/>
        <w:ind w:firstLine="709"/>
        <w:jc w:val="both"/>
        <w:rPr>
          <w:rFonts w:ascii="Arial" w:hAnsi="Arial" w:cs="Arial"/>
          <w:color w:val="000000" w:themeColor="text1"/>
          <w:sz w:val="21"/>
          <w:szCs w:val="21"/>
          <w:lang w:val="es-ES_tradnl"/>
        </w:rPr>
      </w:pPr>
    </w:p>
    <w:p w14:paraId="3F7A068A" w14:textId="77777777" w:rsidR="00694225" w:rsidRPr="005419DA" w:rsidRDefault="00694225" w:rsidP="00D33235">
      <w:pPr>
        <w:ind w:left="709" w:right="709"/>
        <w:jc w:val="both"/>
        <w:rPr>
          <w:rFonts w:ascii="Arial" w:eastAsia="Calibri" w:hAnsi="Arial" w:cs="Arial"/>
          <w:color w:val="000000" w:themeColor="text1"/>
          <w:sz w:val="21"/>
          <w:szCs w:val="21"/>
          <w:lang w:val="es-ES_tradnl"/>
        </w:rPr>
      </w:pPr>
      <w:r w:rsidRPr="005419DA">
        <w:rPr>
          <w:rFonts w:ascii="Arial" w:eastAsia="Calibri" w:hAnsi="Arial" w:cs="Arial"/>
          <w:color w:val="000000" w:themeColor="text1"/>
          <w:sz w:val="21"/>
          <w:szCs w:val="21"/>
          <w:lang w:val="es-ES_tradnl"/>
        </w:rPr>
        <w:t>En caso de empate en el puntaje total de dos o más ofertas en 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 el contratante deberá utilizar las siguientes reglas de forma sucesiva y excluyente para seleccionar al oferente favorecido, respetando en todo caso los compromisos internacionales vigentes</w:t>
      </w:r>
    </w:p>
    <w:p w14:paraId="4759B140" w14:textId="77777777" w:rsidR="00694225" w:rsidRPr="005419DA" w:rsidRDefault="00694225" w:rsidP="00694225">
      <w:pPr>
        <w:spacing w:after="120"/>
        <w:ind w:left="709" w:right="709"/>
        <w:jc w:val="both"/>
        <w:rPr>
          <w:rFonts w:ascii="Arial" w:eastAsia="Calibri" w:hAnsi="Arial" w:cs="Arial"/>
          <w:color w:val="000000" w:themeColor="text1"/>
          <w:sz w:val="21"/>
          <w:szCs w:val="21"/>
          <w:lang w:val="es-ES_tradnl"/>
        </w:rPr>
      </w:pPr>
      <w:r w:rsidRPr="005419DA">
        <w:rPr>
          <w:rFonts w:ascii="Arial" w:eastAsia="Calibri" w:hAnsi="Arial" w:cs="Arial"/>
          <w:color w:val="000000" w:themeColor="text1"/>
          <w:sz w:val="21"/>
          <w:szCs w:val="21"/>
          <w:lang w:val="es-ES_tradnl"/>
        </w:rPr>
        <w:t>[…]</w:t>
      </w:r>
    </w:p>
    <w:p w14:paraId="56F1CB46" w14:textId="77777777" w:rsidR="00694225" w:rsidRPr="005419DA" w:rsidRDefault="00694225" w:rsidP="00D33235">
      <w:pPr>
        <w:ind w:left="709" w:right="709"/>
        <w:jc w:val="both"/>
        <w:rPr>
          <w:rFonts w:ascii="Arial" w:eastAsia="Calibri" w:hAnsi="Arial" w:cs="Arial"/>
          <w:color w:val="000000" w:themeColor="text1"/>
          <w:sz w:val="21"/>
          <w:szCs w:val="21"/>
          <w:lang w:val="es-ES_tradnl"/>
        </w:rPr>
      </w:pPr>
      <w:r w:rsidRPr="005419DA">
        <w:rPr>
          <w:rFonts w:ascii="Arial" w:eastAsia="Calibri" w:hAnsi="Arial" w:cs="Arial"/>
          <w:color w:val="000000" w:themeColor="text1"/>
          <w:sz w:val="21"/>
          <w:szCs w:val="21"/>
          <w:lang w:val="es-ES_tradnl"/>
        </w:rPr>
        <w:t xml:space="preserve">7. Preferir la oferta presentada por un proponente plural siempre que: (a) esté conformado por al menos una madre cabeza de familia y/o una persona en proceso de reincorporación o reintegración, o una persona jurídica en la cual participe o participen mayoritariamente, y, que tenga una participación de por lo menos el veinticinco por ciento (25%) en el proponente plural; (b) la madre cabeza de familia, la persona en proceso de reincorporación o reintegración, o la persona jurídica aporte mínimo el veinticinco por ciento (25%) de la </w:t>
      </w:r>
      <w:r w:rsidRPr="005419DA">
        <w:rPr>
          <w:rFonts w:ascii="Arial" w:eastAsia="Calibri" w:hAnsi="Arial" w:cs="Arial"/>
          <w:color w:val="000000" w:themeColor="text1"/>
          <w:sz w:val="21"/>
          <w:szCs w:val="21"/>
          <w:lang w:val="es-ES_tradnl"/>
        </w:rPr>
        <w:lastRenderedPageBreak/>
        <w:t>experiencia acreditada en la oferta; y (c) ni la madre cabeza de familia o persona en proceso de reincorporación o reintegración, ni la persona jurídica, ni sus accionistas, socios o representantes legales sean empleados, socios o accionistas de los miembros del proponente plural.</w:t>
      </w:r>
    </w:p>
    <w:p w14:paraId="15103345" w14:textId="77777777" w:rsidR="00694225" w:rsidRPr="005419DA" w:rsidRDefault="00694225" w:rsidP="00694225">
      <w:pPr>
        <w:spacing w:after="120"/>
        <w:ind w:left="709" w:right="709"/>
        <w:jc w:val="both"/>
        <w:rPr>
          <w:rFonts w:ascii="Arial" w:eastAsia="Calibri" w:hAnsi="Arial" w:cs="Arial"/>
          <w:color w:val="000000" w:themeColor="text1"/>
          <w:sz w:val="21"/>
          <w:szCs w:val="21"/>
          <w:lang w:val="es-ES_tradnl"/>
        </w:rPr>
      </w:pPr>
      <w:r w:rsidRPr="005419DA">
        <w:rPr>
          <w:rFonts w:ascii="Arial" w:eastAsia="Calibri" w:hAnsi="Arial" w:cs="Arial"/>
          <w:color w:val="000000" w:themeColor="text1"/>
          <w:sz w:val="21"/>
          <w:szCs w:val="21"/>
          <w:lang w:val="es-ES_tradnl"/>
        </w:rPr>
        <w:t>[…]</w:t>
      </w:r>
    </w:p>
    <w:p w14:paraId="298B94B1" w14:textId="52C29C8F" w:rsidR="00694225" w:rsidRPr="005419DA" w:rsidRDefault="00694225" w:rsidP="00D33235">
      <w:pPr>
        <w:ind w:left="709" w:right="709"/>
        <w:jc w:val="both"/>
        <w:rPr>
          <w:rFonts w:ascii="Arial" w:eastAsia="Calibri" w:hAnsi="Arial" w:cs="Arial"/>
          <w:color w:val="000000" w:themeColor="text1"/>
          <w:sz w:val="21"/>
          <w:szCs w:val="21"/>
          <w:lang w:val="es-ES_tradnl"/>
        </w:rPr>
      </w:pPr>
      <w:r>
        <w:rPr>
          <w:rFonts w:ascii="Arial" w:eastAsia="Calibri" w:hAnsi="Arial" w:cs="Arial"/>
          <w:color w:val="000000" w:themeColor="text1"/>
          <w:sz w:val="21"/>
          <w:szCs w:val="21"/>
          <w:lang w:val="es-ES_tradnl"/>
        </w:rPr>
        <w:t xml:space="preserve">10. </w:t>
      </w:r>
      <w:r w:rsidRPr="00591A61">
        <w:rPr>
          <w:rFonts w:ascii="Arial" w:hAnsi="Arial" w:cs="Arial"/>
          <w:sz w:val="21"/>
          <w:szCs w:val="21"/>
        </w:rPr>
        <w:t>Preferir al oferente que acredite de acuerdo con sus estados financieros o información contable con corte a 31 de diciembre del año anterior, por lo menos el veinticinco por ciento (25%) del total de pagos realizados a MIP</w:t>
      </w:r>
      <w:r>
        <w:rPr>
          <w:rFonts w:ascii="Arial" w:hAnsi="Arial" w:cs="Arial"/>
          <w:sz w:val="21"/>
          <w:szCs w:val="21"/>
        </w:rPr>
        <w:t>YM</w:t>
      </w:r>
      <w:r w:rsidRPr="00591A61">
        <w:rPr>
          <w:rFonts w:ascii="Arial" w:hAnsi="Arial" w:cs="Arial"/>
          <w:sz w:val="21"/>
          <w:szCs w:val="21"/>
        </w:rPr>
        <w:t>ES, cooperativas o asociaciones mutuales por concepto de proveeduría del oferente, realizados durante el año anterior; o, la oferta presentada por un proponente plural siempre que: (a) esté conformado por al menos una MIPYME</w:t>
      </w:r>
      <w:bookmarkStart w:id="6" w:name="_Hlk70867905"/>
      <w:r w:rsidRPr="00591A61">
        <w:rPr>
          <w:rFonts w:ascii="Arial" w:hAnsi="Arial" w:cs="Arial"/>
          <w:sz w:val="21"/>
          <w:szCs w:val="21"/>
        </w:rPr>
        <w:t>, cooperativa o asociación mutual que tenga una participación de por lo menos el veinticinco por ciento (25%)</w:t>
      </w:r>
      <w:bookmarkEnd w:id="6"/>
      <w:r w:rsidRPr="00591A61">
        <w:rPr>
          <w:rFonts w:ascii="Arial" w:hAnsi="Arial" w:cs="Arial"/>
          <w:sz w:val="21"/>
          <w:szCs w:val="21"/>
        </w:rPr>
        <w:t>; (b) la MIPYME, cooperativa o asociación mutual aporte mínimo el veinticinco por ciento (25%) de la experiencia acreditada en la oferta; y (c) ni la MIPYME, cooperativa o asociación mutual ni sus accionistas, socios o representantes legales sean empleados, socios o accionistas de los miembros del proponente plural.</w:t>
      </w:r>
    </w:p>
    <w:p w14:paraId="6AD40DBC" w14:textId="77777777" w:rsidR="00694225" w:rsidRPr="005419DA" w:rsidRDefault="00694225" w:rsidP="00694225">
      <w:pPr>
        <w:ind w:left="709" w:right="709"/>
        <w:jc w:val="both"/>
        <w:rPr>
          <w:rFonts w:ascii="Arial" w:eastAsia="Calibri" w:hAnsi="Arial" w:cs="Arial"/>
          <w:color w:val="000000" w:themeColor="text1"/>
          <w:sz w:val="21"/>
          <w:szCs w:val="21"/>
          <w:lang w:val="es-ES_tradnl"/>
        </w:rPr>
      </w:pPr>
      <w:r w:rsidRPr="005419DA">
        <w:rPr>
          <w:rFonts w:ascii="Arial" w:eastAsia="Calibri" w:hAnsi="Arial" w:cs="Arial"/>
          <w:color w:val="000000" w:themeColor="text1"/>
          <w:sz w:val="21"/>
          <w:szCs w:val="21"/>
          <w:lang w:val="es-ES_tradnl"/>
        </w:rPr>
        <w:t>[…]</w:t>
      </w:r>
    </w:p>
    <w:p w14:paraId="641FD16B" w14:textId="77777777" w:rsidR="00694225" w:rsidRDefault="00694225" w:rsidP="00694225">
      <w:pPr>
        <w:spacing w:line="276" w:lineRule="auto"/>
        <w:ind w:firstLine="709"/>
        <w:jc w:val="both"/>
        <w:rPr>
          <w:rFonts w:ascii="Arial" w:hAnsi="Arial" w:cs="Arial"/>
          <w:color w:val="000000" w:themeColor="text1"/>
          <w:sz w:val="22"/>
          <w:szCs w:val="22"/>
          <w:lang w:val="es-ES_tradnl"/>
        </w:rPr>
      </w:pPr>
    </w:p>
    <w:p w14:paraId="33B1D3E8" w14:textId="0BE3DC5B" w:rsidR="00694225" w:rsidRDefault="00694225" w:rsidP="00694225">
      <w:pPr>
        <w:spacing w:line="276" w:lineRule="auto"/>
        <w:ind w:firstLine="709"/>
        <w:jc w:val="both"/>
        <w:rPr>
          <w:rFonts w:ascii="Arial" w:eastAsia="Calibri" w:hAnsi="Arial" w:cs="Arial"/>
          <w:color w:val="000000" w:themeColor="text1"/>
          <w:sz w:val="22"/>
          <w:szCs w:val="22"/>
          <w:lang w:val="es-ES_tradnl"/>
        </w:rPr>
      </w:pPr>
      <w:r>
        <w:rPr>
          <w:rFonts w:ascii="Arial" w:hAnsi="Arial" w:cs="Arial"/>
          <w:color w:val="000000" w:themeColor="text1"/>
          <w:sz w:val="22"/>
          <w:szCs w:val="22"/>
          <w:lang w:val="es-ES_tradnl"/>
        </w:rPr>
        <w:t xml:space="preserve">En relación con estos numerales, </w:t>
      </w:r>
      <w:r w:rsidRPr="005419DA">
        <w:rPr>
          <w:rFonts w:ascii="Arial" w:hAnsi="Arial" w:cs="Arial"/>
          <w:color w:val="000000" w:themeColor="text1"/>
          <w:sz w:val="22"/>
          <w:szCs w:val="22"/>
          <w:lang w:val="es-ES_tradnl"/>
        </w:rPr>
        <w:t>y considerando solo las inquietudes formuladas en la consulta, debe aclararse que, de acuerdo con el literal a)</w:t>
      </w:r>
      <w:r>
        <w:rPr>
          <w:rFonts w:ascii="Arial" w:hAnsi="Arial" w:cs="Arial"/>
          <w:color w:val="000000" w:themeColor="text1"/>
          <w:sz w:val="22"/>
          <w:szCs w:val="22"/>
          <w:lang w:val="es-ES_tradnl"/>
        </w:rPr>
        <w:t xml:space="preserve"> del numeral 7,</w:t>
      </w:r>
      <w:r w:rsidRPr="005419DA">
        <w:rPr>
          <w:rFonts w:ascii="Arial" w:hAnsi="Arial" w:cs="Arial"/>
          <w:color w:val="000000" w:themeColor="text1"/>
          <w:sz w:val="22"/>
          <w:szCs w:val="22"/>
          <w:lang w:val="es-ES_tradnl"/>
        </w:rPr>
        <w:t xml:space="preserve"> la oferta del proponente plural integrado por una persona jurídica solo es preferida i) si en la persona jurídica la participación de las mujeres cabeza de familia o personas en proceso de reincorporación o reintegración es mayoritaria, y si, además, </w:t>
      </w:r>
      <w:proofErr w:type="spellStart"/>
      <w:r w:rsidRPr="005419DA">
        <w:rPr>
          <w:rFonts w:ascii="Arial" w:hAnsi="Arial" w:cs="Arial"/>
          <w:color w:val="000000" w:themeColor="text1"/>
          <w:sz w:val="22"/>
          <w:szCs w:val="22"/>
          <w:lang w:val="es-ES_tradnl"/>
        </w:rPr>
        <w:t>ii</w:t>
      </w:r>
      <w:proofErr w:type="spellEnd"/>
      <w:r w:rsidRPr="005419DA">
        <w:rPr>
          <w:rFonts w:ascii="Arial" w:hAnsi="Arial" w:cs="Arial"/>
          <w:color w:val="000000" w:themeColor="text1"/>
          <w:sz w:val="22"/>
          <w:szCs w:val="22"/>
          <w:lang w:val="es-ES_tradnl"/>
        </w:rPr>
        <w:t>) la persona jurídica participa por lo menos en un veinticinco por ciento (25%) en el proponente plural</w:t>
      </w:r>
      <w:r w:rsidR="00A43C9F">
        <w:rPr>
          <w:rFonts w:ascii="Arial" w:hAnsi="Arial" w:cs="Arial"/>
          <w:color w:val="000000" w:themeColor="text1"/>
          <w:sz w:val="22"/>
          <w:szCs w:val="22"/>
          <w:lang w:val="es-ES_tradnl"/>
        </w:rPr>
        <w:t>.</w:t>
      </w:r>
      <w:r>
        <w:rPr>
          <w:rFonts w:ascii="Arial" w:hAnsi="Arial" w:cs="Arial"/>
          <w:color w:val="000000" w:themeColor="text1"/>
          <w:sz w:val="22"/>
          <w:szCs w:val="22"/>
          <w:lang w:val="es-ES_tradnl"/>
        </w:rPr>
        <w:t xml:space="preserve"> </w:t>
      </w:r>
      <w:r w:rsidR="00A43C9F">
        <w:rPr>
          <w:rFonts w:ascii="Arial" w:hAnsi="Arial" w:cs="Arial"/>
          <w:color w:val="000000" w:themeColor="text1"/>
          <w:sz w:val="22"/>
          <w:szCs w:val="22"/>
          <w:lang w:val="es-ES_tradnl"/>
        </w:rPr>
        <w:t>E</w:t>
      </w:r>
      <w:r>
        <w:rPr>
          <w:rFonts w:ascii="Arial" w:hAnsi="Arial" w:cs="Arial"/>
          <w:color w:val="000000" w:themeColor="text1"/>
          <w:sz w:val="22"/>
          <w:szCs w:val="22"/>
          <w:lang w:val="es-ES_tradnl"/>
        </w:rPr>
        <w:t>n este caso, u</w:t>
      </w:r>
      <w:r w:rsidRPr="005419DA">
        <w:rPr>
          <w:rFonts w:ascii="Arial" w:hAnsi="Arial" w:cs="Arial"/>
          <w:color w:val="000000" w:themeColor="text1"/>
          <w:sz w:val="22"/>
          <w:szCs w:val="22"/>
          <w:lang w:val="es-ES_tradnl"/>
        </w:rPr>
        <w:t xml:space="preserve">na lectura detenida de dicho literal nos permite concluir que se deben reunir ambas condiciones. </w:t>
      </w:r>
      <w:r>
        <w:rPr>
          <w:rFonts w:ascii="Arial" w:hAnsi="Arial" w:cs="Arial"/>
          <w:color w:val="000000" w:themeColor="text1"/>
          <w:sz w:val="22"/>
          <w:szCs w:val="22"/>
          <w:lang w:val="es-ES_tradnl"/>
        </w:rPr>
        <w:t xml:space="preserve"> Ahora bien, en relación con el literal a) del numeral 10 </w:t>
      </w:r>
      <w:r w:rsidRPr="00556583">
        <w:rPr>
          <w:rFonts w:ascii="Arial" w:eastAsia="Calibri" w:hAnsi="Arial" w:cs="Arial"/>
          <w:color w:val="000000" w:themeColor="text1"/>
          <w:sz w:val="22"/>
          <w:szCs w:val="22"/>
          <w:lang w:val="es-ES_tradnl"/>
        </w:rPr>
        <w:t>tratándose de un proponente plural, debe probar que «esté conformado por al menos una MIPYME, cooperativa o asociación mutual que tenga una participación de por lo menos el veinticinco por ciento (25%)</w:t>
      </w:r>
      <w:r>
        <w:rPr>
          <w:rFonts w:ascii="Arial" w:eastAsia="Calibri" w:hAnsi="Arial" w:cs="Arial"/>
          <w:color w:val="000000" w:themeColor="text1"/>
          <w:sz w:val="22"/>
          <w:szCs w:val="22"/>
          <w:lang w:val="es-ES_tradnl"/>
        </w:rPr>
        <w:t xml:space="preserve">». </w:t>
      </w:r>
    </w:p>
    <w:p w14:paraId="481B438C" w14:textId="2D92E9EB" w:rsidR="00694225" w:rsidRDefault="00694225" w:rsidP="00694225">
      <w:pPr>
        <w:spacing w:before="120" w:line="276" w:lineRule="auto"/>
        <w:ind w:firstLine="709"/>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lang w:val="es-ES_tradnl"/>
        </w:rPr>
        <w:t xml:space="preserve">Por otra parte, en relación con el literal b) del numeral 7 se preferirá la propuesta si </w:t>
      </w:r>
      <w:r>
        <w:rPr>
          <w:rFonts w:ascii="Arial" w:hAnsi="Arial" w:cs="Arial"/>
          <w:color w:val="000000" w:themeColor="text1"/>
          <w:sz w:val="22"/>
          <w:szCs w:val="22"/>
          <w:lang w:val="es-ES_tradnl"/>
        </w:rPr>
        <w:t>«</w:t>
      </w:r>
      <w:r w:rsidRPr="005419DA">
        <w:rPr>
          <w:rFonts w:ascii="Arial" w:eastAsia="Calibri" w:hAnsi="Arial" w:cs="Arial"/>
          <w:color w:val="000000" w:themeColor="text1"/>
          <w:sz w:val="21"/>
          <w:szCs w:val="21"/>
          <w:lang w:val="es-ES_tradnl"/>
        </w:rPr>
        <w:t>la madre cabeza de familia, la persona en proceso de reincorporación o reintegración, o la persona jurídica aporte mínimo el veinticinco por ciento (25%) de la experiencia acreditada en la oferta</w:t>
      </w:r>
      <w:r>
        <w:rPr>
          <w:rFonts w:ascii="Arial" w:eastAsia="Calibri" w:hAnsi="Arial" w:cs="Arial"/>
          <w:color w:val="000000" w:themeColor="text1"/>
          <w:sz w:val="21"/>
          <w:szCs w:val="21"/>
          <w:lang w:val="es-ES_tradnl"/>
        </w:rPr>
        <w:t>»</w:t>
      </w:r>
      <w:r w:rsidR="00201372">
        <w:rPr>
          <w:rFonts w:ascii="Arial" w:hAnsi="Arial" w:cs="Arial"/>
          <w:color w:val="000000" w:themeColor="text1"/>
          <w:sz w:val="22"/>
          <w:szCs w:val="22"/>
          <w:lang w:val="es-ES_tradnl"/>
        </w:rPr>
        <w:t xml:space="preserve">. De forma similar, </w:t>
      </w:r>
      <w:r>
        <w:rPr>
          <w:rFonts w:ascii="Arial" w:eastAsia="Calibri" w:hAnsi="Arial" w:cs="Arial"/>
          <w:color w:val="000000" w:themeColor="text1"/>
          <w:sz w:val="21"/>
          <w:szCs w:val="21"/>
          <w:lang w:val="es-ES_tradnl"/>
        </w:rPr>
        <w:t xml:space="preserve">para </w:t>
      </w:r>
      <w:r w:rsidR="00201372">
        <w:rPr>
          <w:rFonts w:ascii="Arial" w:eastAsia="Calibri" w:hAnsi="Arial" w:cs="Arial"/>
          <w:color w:val="000000" w:themeColor="text1"/>
          <w:sz w:val="21"/>
          <w:szCs w:val="21"/>
          <w:lang w:val="es-ES_tradnl"/>
        </w:rPr>
        <w:t>efectos d</w:t>
      </w:r>
      <w:r>
        <w:rPr>
          <w:rFonts w:ascii="Arial" w:eastAsia="Calibri" w:hAnsi="Arial" w:cs="Arial"/>
          <w:color w:val="000000" w:themeColor="text1"/>
          <w:sz w:val="21"/>
          <w:szCs w:val="21"/>
          <w:lang w:val="es-ES_tradnl"/>
        </w:rPr>
        <w:t>el numeral 10</w:t>
      </w:r>
      <w:r w:rsidR="00201372">
        <w:rPr>
          <w:rFonts w:ascii="Arial" w:eastAsia="Calibri" w:hAnsi="Arial" w:cs="Arial"/>
          <w:color w:val="000000" w:themeColor="text1"/>
          <w:sz w:val="21"/>
          <w:szCs w:val="21"/>
          <w:lang w:val="es-ES_tradnl"/>
        </w:rPr>
        <w:t>,</w:t>
      </w:r>
      <w:r>
        <w:rPr>
          <w:rFonts w:ascii="Arial" w:eastAsia="Calibri" w:hAnsi="Arial" w:cs="Arial"/>
          <w:color w:val="000000" w:themeColor="text1"/>
          <w:sz w:val="21"/>
          <w:szCs w:val="21"/>
          <w:lang w:val="es-ES_tradnl"/>
        </w:rPr>
        <w:t xml:space="preserve"> se preferirá </w:t>
      </w:r>
      <w:r w:rsidR="00201372">
        <w:rPr>
          <w:rFonts w:ascii="Arial" w:eastAsia="Calibri" w:hAnsi="Arial" w:cs="Arial"/>
          <w:color w:val="000000" w:themeColor="text1"/>
          <w:sz w:val="21"/>
          <w:szCs w:val="21"/>
          <w:lang w:val="es-ES_tradnl"/>
        </w:rPr>
        <w:t>la oferta cuando</w:t>
      </w:r>
      <w:r>
        <w:rPr>
          <w:rFonts w:ascii="Arial" w:eastAsia="Calibri" w:hAnsi="Arial" w:cs="Arial"/>
          <w:color w:val="000000" w:themeColor="text1"/>
          <w:sz w:val="21"/>
          <w:szCs w:val="21"/>
          <w:lang w:val="es-ES_tradnl"/>
        </w:rPr>
        <w:t xml:space="preserve"> «</w:t>
      </w:r>
      <w:r w:rsidRPr="00556583">
        <w:rPr>
          <w:rFonts w:ascii="Arial" w:eastAsia="Calibri" w:hAnsi="Arial" w:cs="Arial"/>
          <w:color w:val="000000" w:themeColor="text1"/>
          <w:sz w:val="22"/>
          <w:szCs w:val="22"/>
          <w:lang w:val="es-ES_tradnl"/>
        </w:rPr>
        <w:t>la MIPYME, cooperativa o asociación mutual aporte mínimo el veinticinco por ciento (25%) de la experiencia acreditada en la oferta</w:t>
      </w:r>
      <w:r>
        <w:rPr>
          <w:rFonts w:ascii="Arial" w:eastAsia="Calibri" w:hAnsi="Arial" w:cs="Arial"/>
          <w:color w:val="000000" w:themeColor="text1"/>
          <w:sz w:val="22"/>
          <w:szCs w:val="22"/>
          <w:lang w:val="es-ES_tradnl"/>
        </w:rPr>
        <w:t xml:space="preserve">». </w:t>
      </w:r>
    </w:p>
    <w:p w14:paraId="63985E01" w14:textId="7824B768" w:rsidR="00B06E11" w:rsidRDefault="00445CBB" w:rsidP="00B06E11">
      <w:pPr>
        <w:spacing w:before="120" w:line="276" w:lineRule="auto"/>
        <w:ind w:firstLine="709"/>
        <w:jc w:val="both"/>
        <w:rPr>
          <w:rFonts w:ascii="Arial" w:hAnsi="Arial" w:cs="Arial"/>
          <w:color w:val="000000" w:themeColor="text1"/>
          <w:sz w:val="22"/>
          <w:szCs w:val="22"/>
          <w:lang w:val="es-ES_tradnl"/>
        </w:rPr>
      </w:pPr>
      <w:r>
        <w:rPr>
          <w:rFonts w:ascii="Arial" w:hAnsi="Arial" w:cs="Arial"/>
          <w:color w:val="000000" w:themeColor="text1"/>
          <w:sz w:val="22"/>
          <w:szCs w:val="22"/>
          <w:lang w:val="es-ES_tradnl"/>
        </w:rPr>
        <w:t>Finalmente</w:t>
      </w:r>
      <w:r w:rsidR="00694225" w:rsidRPr="005419DA">
        <w:rPr>
          <w:rFonts w:ascii="Arial" w:hAnsi="Arial" w:cs="Arial"/>
          <w:color w:val="000000" w:themeColor="text1"/>
          <w:sz w:val="22"/>
          <w:szCs w:val="22"/>
          <w:lang w:val="es-ES_tradnl"/>
        </w:rPr>
        <w:t xml:space="preserve">, </w:t>
      </w:r>
      <w:r w:rsidR="00B06E11" w:rsidRPr="005419DA">
        <w:rPr>
          <w:rFonts w:ascii="Arial" w:hAnsi="Arial" w:cs="Arial"/>
          <w:color w:val="000000" w:themeColor="text1"/>
          <w:sz w:val="22"/>
          <w:szCs w:val="22"/>
          <w:lang w:val="es-ES_tradnl"/>
        </w:rPr>
        <w:t xml:space="preserve">lo que indica el literal c) del numeral </w:t>
      </w:r>
      <w:r w:rsidR="000C2A08">
        <w:rPr>
          <w:rFonts w:ascii="Arial" w:hAnsi="Arial" w:cs="Arial"/>
          <w:color w:val="000000" w:themeColor="text1"/>
          <w:sz w:val="22"/>
          <w:szCs w:val="22"/>
          <w:lang w:val="es-ES_tradnl"/>
        </w:rPr>
        <w:t xml:space="preserve">7 </w:t>
      </w:r>
      <w:r w:rsidR="00B06E11" w:rsidRPr="005419DA">
        <w:rPr>
          <w:rFonts w:ascii="Arial" w:hAnsi="Arial" w:cs="Arial"/>
          <w:color w:val="000000" w:themeColor="text1"/>
          <w:sz w:val="22"/>
          <w:szCs w:val="22"/>
          <w:lang w:val="es-ES_tradnl"/>
        </w:rPr>
        <w:t xml:space="preserve">es que se debe preferir la oferta del proponente plural, si </w:t>
      </w:r>
      <w:r w:rsidR="00130B71" w:rsidRPr="005419DA">
        <w:rPr>
          <w:rFonts w:ascii="Arial" w:hAnsi="Arial" w:cs="Arial"/>
          <w:color w:val="000000" w:themeColor="text1"/>
          <w:sz w:val="22"/>
          <w:szCs w:val="22"/>
          <w:lang w:val="es-ES_tradnl"/>
        </w:rPr>
        <w:t>–</w:t>
      </w:r>
      <w:r w:rsidR="00130B71">
        <w:rPr>
          <w:rFonts w:ascii="Arial" w:hAnsi="Arial" w:cs="Arial"/>
          <w:color w:val="000000" w:themeColor="text1"/>
          <w:sz w:val="22"/>
          <w:szCs w:val="22"/>
          <w:lang w:val="es-ES_tradnl"/>
        </w:rPr>
        <w:t>además de los requisitos anteriores</w:t>
      </w:r>
      <w:r w:rsidR="00130B71" w:rsidRPr="005419DA">
        <w:rPr>
          <w:rFonts w:ascii="Arial" w:hAnsi="Arial" w:cs="Arial"/>
          <w:color w:val="000000" w:themeColor="text1"/>
          <w:sz w:val="22"/>
          <w:szCs w:val="22"/>
          <w:lang w:val="es-ES_tradnl"/>
        </w:rPr>
        <w:t>–</w:t>
      </w:r>
      <w:r w:rsidR="00130B71">
        <w:rPr>
          <w:rFonts w:ascii="Arial" w:hAnsi="Arial" w:cs="Arial"/>
          <w:color w:val="000000" w:themeColor="text1"/>
          <w:sz w:val="22"/>
          <w:szCs w:val="22"/>
          <w:lang w:val="es-ES_tradnl"/>
        </w:rPr>
        <w:t xml:space="preserve"> </w:t>
      </w:r>
      <w:r w:rsidR="00B06E11" w:rsidRPr="005419DA">
        <w:rPr>
          <w:rFonts w:ascii="Arial" w:hAnsi="Arial" w:cs="Arial"/>
          <w:color w:val="000000" w:themeColor="text1"/>
          <w:sz w:val="22"/>
          <w:szCs w:val="22"/>
          <w:lang w:val="es-ES_tradnl"/>
        </w:rPr>
        <w:t>este cumple con la condición de que ni la madre cabeza de familia, ni la persona en proceso de reincorporación o reintegración, ni la persona jurídica, ni sus accionistas, socios o representantes legales «sean empleados, socios o accionistas de los miembros del proponente plural»</w:t>
      </w:r>
      <w:bookmarkStart w:id="7" w:name="_Hlk70867502"/>
      <w:r w:rsidR="002E19F6">
        <w:rPr>
          <w:rFonts w:ascii="Arial" w:hAnsi="Arial" w:cs="Arial"/>
          <w:color w:val="000000" w:themeColor="text1"/>
          <w:sz w:val="22"/>
          <w:szCs w:val="22"/>
          <w:lang w:val="es-ES_tradnl"/>
        </w:rPr>
        <w:t xml:space="preserve">. </w:t>
      </w:r>
      <w:bookmarkStart w:id="8" w:name="_Hlk70867475"/>
      <w:r w:rsidR="002E19F6" w:rsidRPr="00883EF0">
        <w:rPr>
          <w:rFonts w:ascii="Arial" w:hAnsi="Arial" w:cs="Arial"/>
          <w:color w:val="000000" w:themeColor="text1"/>
          <w:sz w:val="22"/>
          <w:szCs w:val="22"/>
          <w:lang w:val="es-ES_tradnl"/>
        </w:rPr>
        <w:t>E</w:t>
      </w:r>
      <w:r w:rsidR="00B06E11" w:rsidRPr="00D33235">
        <w:rPr>
          <w:rFonts w:ascii="Arial" w:hAnsi="Arial" w:cs="Arial"/>
          <w:color w:val="000000" w:themeColor="text1"/>
          <w:sz w:val="22"/>
          <w:szCs w:val="22"/>
          <w:lang w:val="es-ES_tradnl"/>
        </w:rPr>
        <w:t xml:space="preserve">s decir, que no sean empleados, socios o accionistas de los </w:t>
      </w:r>
      <w:r w:rsidR="009823E7" w:rsidRPr="00D33235">
        <w:rPr>
          <w:rFonts w:ascii="Arial" w:hAnsi="Arial" w:cs="Arial"/>
          <w:color w:val="000000" w:themeColor="text1"/>
          <w:sz w:val="22"/>
          <w:szCs w:val="22"/>
          <w:lang w:val="es-ES_tradnl"/>
        </w:rPr>
        <w:t xml:space="preserve">integrantes </w:t>
      </w:r>
      <w:r w:rsidR="00B06E11" w:rsidRPr="00D33235">
        <w:rPr>
          <w:rFonts w:ascii="Arial" w:hAnsi="Arial" w:cs="Arial"/>
          <w:color w:val="000000" w:themeColor="text1"/>
          <w:sz w:val="22"/>
          <w:szCs w:val="22"/>
          <w:lang w:val="es-ES_tradnl"/>
        </w:rPr>
        <w:t>del consorcio</w:t>
      </w:r>
      <w:r w:rsidR="007D4278" w:rsidRPr="00D33235">
        <w:rPr>
          <w:rFonts w:ascii="Arial" w:hAnsi="Arial" w:cs="Arial"/>
          <w:color w:val="000000" w:themeColor="text1"/>
          <w:sz w:val="22"/>
          <w:szCs w:val="22"/>
          <w:lang w:val="es-ES_tradnl"/>
        </w:rPr>
        <w:t xml:space="preserve"> o la </w:t>
      </w:r>
      <w:r w:rsidR="00B06E11" w:rsidRPr="00D33235">
        <w:rPr>
          <w:rFonts w:ascii="Arial" w:hAnsi="Arial" w:cs="Arial"/>
          <w:color w:val="000000" w:themeColor="text1"/>
          <w:sz w:val="22"/>
          <w:szCs w:val="22"/>
          <w:lang w:val="es-ES_tradnl"/>
        </w:rPr>
        <w:t xml:space="preserve">unión temporal, </w:t>
      </w:r>
      <w:r w:rsidR="009823E7" w:rsidRPr="00D33235">
        <w:rPr>
          <w:rFonts w:ascii="Arial" w:hAnsi="Arial" w:cs="Arial"/>
          <w:color w:val="000000" w:themeColor="text1"/>
          <w:sz w:val="22"/>
          <w:szCs w:val="22"/>
          <w:lang w:val="es-ES_tradnl"/>
        </w:rPr>
        <w:t>sin perjuicio de su participación en la estructura plural</w:t>
      </w:r>
      <w:r w:rsidR="00B06E11" w:rsidRPr="00D33235">
        <w:rPr>
          <w:rFonts w:ascii="Arial" w:hAnsi="Arial" w:cs="Arial"/>
          <w:color w:val="000000" w:themeColor="text1"/>
          <w:sz w:val="22"/>
          <w:szCs w:val="22"/>
          <w:lang w:val="es-ES_tradnl"/>
        </w:rPr>
        <w:t xml:space="preserve">. Así, por ejemplo, la madre </w:t>
      </w:r>
      <w:r w:rsidR="00B06E11" w:rsidRPr="00D33235">
        <w:rPr>
          <w:rFonts w:ascii="Arial" w:hAnsi="Arial" w:cs="Arial"/>
          <w:color w:val="000000" w:themeColor="text1"/>
          <w:sz w:val="22"/>
          <w:szCs w:val="22"/>
          <w:lang w:val="es-ES_tradnl"/>
        </w:rPr>
        <w:lastRenderedPageBreak/>
        <w:t xml:space="preserve">cabeza de familia no podrá ser empleada de la </w:t>
      </w:r>
      <w:r w:rsidR="00346D9E">
        <w:rPr>
          <w:rFonts w:ascii="Arial" w:hAnsi="Arial" w:cs="Arial"/>
          <w:color w:val="000000" w:themeColor="text1"/>
          <w:sz w:val="22"/>
          <w:szCs w:val="22"/>
          <w:lang w:val="es-ES_tradnl"/>
        </w:rPr>
        <w:t>«</w:t>
      </w:r>
      <w:r w:rsidR="00B06E11" w:rsidRPr="00D33235">
        <w:rPr>
          <w:rFonts w:ascii="Arial" w:hAnsi="Arial" w:cs="Arial"/>
          <w:color w:val="000000" w:themeColor="text1"/>
          <w:sz w:val="22"/>
          <w:szCs w:val="22"/>
          <w:lang w:val="es-ES_tradnl"/>
        </w:rPr>
        <w:t>sociedad A</w:t>
      </w:r>
      <w:r w:rsidR="00346D9E">
        <w:rPr>
          <w:rFonts w:ascii="Arial" w:hAnsi="Arial" w:cs="Arial"/>
          <w:color w:val="000000" w:themeColor="text1"/>
          <w:sz w:val="22"/>
          <w:szCs w:val="22"/>
          <w:lang w:val="es-ES_tradnl"/>
        </w:rPr>
        <w:t>»</w:t>
      </w:r>
      <w:r w:rsidR="00B06E11" w:rsidRPr="00D33235">
        <w:rPr>
          <w:rFonts w:ascii="Arial" w:hAnsi="Arial" w:cs="Arial"/>
          <w:color w:val="000000" w:themeColor="text1"/>
          <w:sz w:val="22"/>
          <w:szCs w:val="22"/>
          <w:lang w:val="es-ES_tradnl"/>
        </w:rPr>
        <w:t xml:space="preserve"> </w:t>
      </w:r>
      <w:r w:rsidR="009E4464">
        <w:rPr>
          <w:rFonts w:ascii="Arial" w:hAnsi="Arial" w:cs="Arial"/>
          <w:color w:val="000000" w:themeColor="text1"/>
          <w:sz w:val="22"/>
          <w:szCs w:val="22"/>
          <w:lang w:val="es-ES_tradnl"/>
        </w:rPr>
        <w:t>con la que integra</w:t>
      </w:r>
      <w:r w:rsidR="00B06E11" w:rsidRPr="00D33235">
        <w:rPr>
          <w:rFonts w:ascii="Arial" w:hAnsi="Arial" w:cs="Arial"/>
          <w:color w:val="000000" w:themeColor="text1"/>
          <w:sz w:val="22"/>
          <w:szCs w:val="22"/>
          <w:lang w:val="es-ES_tradnl"/>
        </w:rPr>
        <w:t xml:space="preserve"> </w:t>
      </w:r>
      <w:r w:rsidR="00635710">
        <w:rPr>
          <w:rFonts w:ascii="Arial" w:hAnsi="Arial" w:cs="Arial"/>
          <w:color w:val="000000" w:themeColor="text1"/>
          <w:sz w:val="22"/>
          <w:szCs w:val="22"/>
          <w:lang w:val="es-ES_tradnl"/>
        </w:rPr>
        <w:t>un</w:t>
      </w:r>
      <w:r w:rsidR="00B06E11" w:rsidRPr="00D33235">
        <w:rPr>
          <w:rFonts w:ascii="Arial" w:hAnsi="Arial" w:cs="Arial"/>
          <w:color w:val="000000" w:themeColor="text1"/>
          <w:sz w:val="22"/>
          <w:szCs w:val="22"/>
          <w:lang w:val="es-ES_tradnl"/>
        </w:rPr>
        <w:t xml:space="preserve"> consorcio, pero sí deberá tener una participación independiente en </w:t>
      </w:r>
      <w:r w:rsidR="00FD3EC8">
        <w:rPr>
          <w:rFonts w:ascii="Arial" w:hAnsi="Arial" w:cs="Arial"/>
          <w:color w:val="000000" w:themeColor="text1"/>
          <w:sz w:val="22"/>
          <w:szCs w:val="22"/>
          <w:lang w:val="es-ES_tradnl"/>
        </w:rPr>
        <w:t>este</w:t>
      </w:r>
      <w:r w:rsidR="00B06E11" w:rsidRPr="00D33235">
        <w:rPr>
          <w:rFonts w:ascii="Arial" w:hAnsi="Arial" w:cs="Arial"/>
          <w:color w:val="000000" w:themeColor="text1"/>
          <w:sz w:val="22"/>
          <w:szCs w:val="22"/>
          <w:lang w:val="es-ES_tradnl"/>
        </w:rPr>
        <w:t xml:space="preserve"> y aportarle su experiencia, lo </w:t>
      </w:r>
      <w:r w:rsidR="00635710">
        <w:rPr>
          <w:rFonts w:ascii="Arial" w:hAnsi="Arial" w:cs="Arial"/>
          <w:color w:val="000000" w:themeColor="text1"/>
          <w:sz w:val="22"/>
          <w:szCs w:val="22"/>
          <w:lang w:val="es-ES_tradnl"/>
        </w:rPr>
        <w:t>cual</w:t>
      </w:r>
      <w:r w:rsidR="00B06E11" w:rsidRPr="00D33235">
        <w:rPr>
          <w:rFonts w:ascii="Arial" w:hAnsi="Arial" w:cs="Arial"/>
          <w:color w:val="000000" w:themeColor="text1"/>
          <w:sz w:val="22"/>
          <w:szCs w:val="22"/>
          <w:lang w:val="es-ES_tradnl"/>
        </w:rPr>
        <w:t xml:space="preserve"> es bien diferente a ser socia, accionista o empleada de uno de los miembros de dicho proponente plural.</w:t>
      </w:r>
      <w:bookmarkEnd w:id="7"/>
      <w:r w:rsidR="00B06E11">
        <w:rPr>
          <w:rFonts w:ascii="Arial" w:hAnsi="Arial" w:cs="Arial"/>
          <w:color w:val="000000" w:themeColor="text1"/>
          <w:sz w:val="22"/>
          <w:szCs w:val="22"/>
          <w:lang w:val="es-ES_tradnl"/>
        </w:rPr>
        <w:t xml:space="preserve"> </w:t>
      </w:r>
      <w:bookmarkEnd w:id="8"/>
    </w:p>
    <w:p w14:paraId="36A00583" w14:textId="3E739967" w:rsidR="00694225" w:rsidRDefault="00445CBB" w:rsidP="00BA7FBF">
      <w:pPr>
        <w:spacing w:before="120" w:line="276" w:lineRule="auto"/>
        <w:ind w:firstLine="709"/>
        <w:jc w:val="both"/>
        <w:rPr>
          <w:rFonts w:ascii="Arial" w:hAnsi="Arial" w:cs="Arial"/>
          <w:color w:val="000000" w:themeColor="text1"/>
          <w:sz w:val="22"/>
          <w:szCs w:val="22"/>
          <w:lang w:val="es-ES_tradnl"/>
        </w:rPr>
      </w:pPr>
      <w:r>
        <w:rPr>
          <w:rFonts w:ascii="Arial" w:hAnsi="Arial" w:cs="Arial"/>
          <w:color w:val="000000" w:themeColor="text1"/>
          <w:sz w:val="22"/>
          <w:szCs w:val="22"/>
          <w:lang w:val="es-ES_tradnl"/>
        </w:rPr>
        <w:t>L</w:t>
      </w:r>
      <w:r w:rsidR="00694225">
        <w:rPr>
          <w:rFonts w:ascii="Arial" w:hAnsi="Arial" w:cs="Arial"/>
          <w:color w:val="000000" w:themeColor="text1"/>
          <w:sz w:val="22"/>
          <w:szCs w:val="22"/>
          <w:lang w:val="es-ES_tradnl"/>
        </w:rPr>
        <w:t>o propio ocurre con el numeral 10</w:t>
      </w:r>
      <w:r>
        <w:rPr>
          <w:rFonts w:ascii="Arial" w:hAnsi="Arial" w:cs="Arial"/>
          <w:color w:val="000000" w:themeColor="text1"/>
          <w:sz w:val="22"/>
          <w:szCs w:val="22"/>
          <w:lang w:val="es-ES_tradnl"/>
        </w:rPr>
        <w:t xml:space="preserve"> cuando</w:t>
      </w:r>
      <w:r w:rsidR="000C2A08">
        <w:rPr>
          <w:rFonts w:ascii="Arial" w:hAnsi="Arial" w:cs="Arial"/>
          <w:color w:val="000000" w:themeColor="text1"/>
          <w:sz w:val="22"/>
          <w:szCs w:val="22"/>
          <w:lang w:val="es-ES_tradnl"/>
        </w:rPr>
        <w:t xml:space="preserve"> el literal c)</w:t>
      </w:r>
      <w:r>
        <w:rPr>
          <w:rFonts w:ascii="Arial" w:hAnsi="Arial" w:cs="Arial"/>
          <w:color w:val="000000" w:themeColor="text1"/>
          <w:sz w:val="22"/>
          <w:szCs w:val="22"/>
          <w:lang w:val="es-ES_tradnl"/>
        </w:rPr>
        <w:t xml:space="preserve"> </w:t>
      </w:r>
      <w:r w:rsidR="00876AB2">
        <w:rPr>
          <w:rFonts w:ascii="Arial" w:hAnsi="Arial" w:cs="Arial"/>
          <w:color w:val="000000" w:themeColor="text1"/>
          <w:sz w:val="22"/>
          <w:szCs w:val="22"/>
          <w:lang w:val="es-ES_tradnl"/>
        </w:rPr>
        <w:t xml:space="preserve">cuando </w:t>
      </w:r>
      <w:r>
        <w:rPr>
          <w:rFonts w:ascii="Arial" w:hAnsi="Arial" w:cs="Arial"/>
          <w:color w:val="000000" w:themeColor="text1"/>
          <w:sz w:val="22"/>
          <w:szCs w:val="22"/>
          <w:lang w:val="es-ES_tradnl"/>
        </w:rPr>
        <w:t>dispone</w:t>
      </w:r>
      <w:r w:rsidR="00694225">
        <w:rPr>
          <w:rFonts w:ascii="Arial" w:hAnsi="Arial" w:cs="Arial"/>
          <w:color w:val="000000" w:themeColor="text1"/>
          <w:sz w:val="22"/>
          <w:szCs w:val="22"/>
          <w:lang w:val="es-ES_tradnl"/>
        </w:rPr>
        <w:t xml:space="preserve"> que «</w:t>
      </w:r>
      <w:r w:rsidR="00694225" w:rsidRPr="00556583">
        <w:rPr>
          <w:rFonts w:ascii="Arial" w:eastAsia="Calibri" w:hAnsi="Arial" w:cs="Arial"/>
          <w:color w:val="000000" w:themeColor="text1"/>
          <w:sz w:val="22"/>
          <w:szCs w:val="22"/>
          <w:lang w:val="es-ES_tradnl"/>
        </w:rPr>
        <w:t>ni la MIPYME, cooperativa o asociación mutual ni sus accionistas, socios o representantes legales sean empleados, socios o accionistas de los miembros del proponente plural»</w:t>
      </w:r>
      <w:r w:rsidR="00694225">
        <w:rPr>
          <w:rFonts w:ascii="Arial" w:eastAsia="Calibri" w:hAnsi="Arial" w:cs="Arial"/>
          <w:color w:val="000000" w:themeColor="text1"/>
          <w:sz w:val="22"/>
          <w:szCs w:val="22"/>
          <w:lang w:val="es-ES_tradnl"/>
        </w:rPr>
        <w:t xml:space="preserve">. </w:t>
      </w:r>
      <w:r w:rsidR="00D21CFC">
        <w:rPr>
          <w:rFonts w:ascii="Arial" w:eastAsia="Calibri" w:hAnsi="Arial" w:cs="Arial"/>
          <w:color w:val="000000" w:themeColor="text1"/>
          <w:sz w:val="22"/>
          <w:szCs w:val="22"/>
          <w:lang w:val="es-ES_tradnl"/>
        </w:rPr>
        <w:t>En este caso</w:t>
      </w:r>
      <w:r w:rsidR="00BA7488">
        <w:rPr>
          <w:rFonts w:ascii="Arial" w:eastAsia="Calibri" w:hAnsi="Arial" w:cs="Arial"/>
          <w:color w:val="000000" w:themeColor="text1"/>
          <w:sz w:val="22"/>
          <w:szCs w:val="22"/>
          <w:lang w:val="es-ES_tradnl"/>
        </w:rPr>
        <w:t>,</w:t>
      </w:r>
      <w:r w:rsidR="00257B6B">
        <w:rPr>
          <w:rFonts w:ascii="Arial" w:eastAsia="Calibri" w:hAnsi="Arial" w:cs="Arial"/>
          <w:color w:val="000000" w:themeColor="text1"/>
          <w:sz w:val="22"/>
          <w:szCs w:val="22"/>
          <w:lang w:val="es-ES_tradnl"/>
        </w:rPr>
        <w:t xml:space="preserve"> como en el supuesto anterior,</w:t>
      </w:r>
      <w:r w:rsidR="00BA7488">
        <w:rPr>
          <w:rFonts w:ascii="Arial" w:eastAsia="Calibri" w:hAnsi="Arial" w:cs="Arial"/>
          <w:color w:val="000000" w:themeColor="text1"/>
          <w:sz w:val="22"/>
          <w:szCs w:val="22"/>
          <w:lang w:val="es-ES_tradnl"/>
        </w:rPr>
        <w:t xml:space="preserve"> </w:t>
      </w:r>
      <w:r w:rsidR="00257B6B">
        <w:rPr>
          <w:rFonts w:ascii="Arial" w:eastAsia="Calibri" w:hAnsi="Arial" w:cs="Arial"/>
          <w:color w:val="000000" w:themeColor="text1"/>
          <w:sz w:val="22"/>
          <w:szCs w:val="22"/>
          <w:lang w:val="es-ES_tradnl"/>
        </w:rPr>
        <w:t xml:space="preserve">si </w:t>
      </w:r>
      <w:r w:rsidR="000A730D">
        <w:rPr>
          <w:rFonts w:ascii="Arial" w:eastAsia="Calibri" w:hAnsi="Arial" w:cs="Arial"/>
          <w:color w:val="000000" w:themeColor="text1"/>
          <w:sz w:val="22"/>
          <w:szCs w:val="22"/>
          <w:lang w:val="es-ES_tradnl"/>
        </w:rPr>
        <w:t>la sociedad A</w:t>
      </w:r>
      <w:r w:rsidR="009F59F5">
        <w:rPr>
          <w:rFonts w:ascii="Arial" w:eastAsia="Calibri" w:hAnsi="Arial" w:cs="Arial"/>
          <w:color w:val="000000" w:themeColor="text1"/>
          <w:sz w:val="22"/>
          <w:szCs w:val="22"/>
          <w:lang w:val="es-ES_tradnl"/>
        </w:rPr>
        <w:t xml:space="preserve"> –en calidad mipyme,</w:t>
      </w:r>
      <w:r w:rsidR="00365B2E">
        <w:rPr>
          <w:rFonts w:ascii="Arial" w:eastAsia="Calibri" w:hAnsi="Arial" w:cs="Arial"/>
          <w:color w:val="000000" w:themeColor="text1"/>
          <w:sz w:val="22"/>
          <w:szCs w:val="22"/>
          <w:lang w:val="es-ES_tradnl"/>
        </w:rPr>
        <w:t xml:space="preserve"> </w:t>
      </w:r>
      <w:r w:rsidR="00365B2E" w:rsidRPr="00365B2E">
        <w:rPr>
          <w:rFonts w:ascii="Arial" w:eastAsia="Calibri" w:hAnsi="Arial" w:cs="Arial"/>
          <w:color w:val="000000" w:themeColor="text1"/>
          <w:sz w:val="22"/>
          <w:szCs w:val="22"/>
          <w:lang w:val="es-ES_tradnl"/>
        </w:rPr>
        <w:t>cooperativa o asociación mutual</w:t>
      </w:r>
      <w:r w:rsidR="00365B2E">
        <w:rPr>
          <w:rFonts w:ascii="Arial" w:eastAsia="Calibri" w:hAnsi="Arial" w:cs="Arial"/>
          <w:color w:val="000000" w:themeColor="text1"/>
          <w:sz w:val="22"/>
          <w:szCs w:val="22"/>
          <w:lang w:val="es-ES_tradnl"/>
        </w:rPr>
        <w:t xml:space="preserve">– </w:t>
      </w:r>
      <w:r w:rsidR="009F59F5">
        <w:rPr>
          <w:rFonts w:ascii="Arial" w:eastAsia="Calibri" w:hAnsi="Arial" w:cs="Arial"/>
          <w:color w:val="000000" w:themeColor="text1"/>
          <w:sz w:val="22"/>
          <w:szCs w:val="22"/>
          <w:lang w:val="es-ES_tradnl"/>
        </w:rPr>
        <w:t xml:space="preserve">tiene el porcentaje de </w:t>
      </w:r>
      <w:r w:rsidR="00365B2E">
        <w:rPr>
          <w:rFonts w:ascii="Arial" w:eastAsia="Calibri" w:hAnsi="Arial" w:cs="Arial"/>
          <w:color w:val="000000" w:themeColor="text1"/>
          <w:sz w:val="22"/>
          <w:szCs w:val="22"/>
          <w:lang w:val="es-ES_tradnl"/>
        </w:rPr>
        <w:t>participación y experiencia dentro</w:t>
      </w:r>
      <w:r w:rsidR="00B6750C">
        <w:rPr>
          <w:rFonts w:ascii="Arial" w:eastAsia="Calibri" w:hAnsi="Arial" w:cs="Arial"/>
          <w:color w:val="000000" w:themeColor="text1"/>
          <w:sz w:val="22"/>
          <w:szCs w:val="22"/>
          <w:lang w:val="es-ES_tradnl"/>
        </w:rPr>
        <w:t xml:space="preserve"> del consorcio o la unión temporal, el</w:t>
      </w:r>
      <w:r w:rsidR="006C0BB7">
        <w:rPr>
          <w:rFonts w:ascii="Arial" w:eastAsia="Calibri" w:hAnsi="Arial" w:cs="Arial"/>
          <w:color w:val="000000" w:themeColor="text1"/>
          <w:sz w:val="22"/>
          <w:szCs w:val="22"/>
          <w:lang w:val="es-ES_tradnl"/>
        </w:rPr>
        <w:t xml:space="preserve"> literal</w:t>
      </w:r>
      <w:r w:rsidR="00B6750C">
        <w:rPr>
          <w:rFonts w:ascii="Arial" w:eastAsia="Calibri" w:hAnsi="Arial" w:cs="Arial"/>
          <w:color w:val="000000" w:themeColor="text1"/>
          <w:sz w:val="22"/>
          <w:szCs w:val="22"/>
          <w:lang w:val="es-ES_tradnl"/>
        </w:rPr>
        <w:t xml:space="preserve"> prohíbe </w:t>
      </w:r>
      <w:r w:rsidR="00F754E0">
        <w:rPr>
          <w:rFonts w:ascii="Arial" w:eastAsia="Calibri" w:hAnsi="Arial" w:cs="Arial"/>
          <w:color w:val="000000" w:themeColor="text1"/>
          <w:sz w:val="22"/>
          <w:szCs w:val="22"/>
          <w:lang w:val="es-ES_tradnl"/>
        </w:rPr>
        <w:t>que la persona jurídica</w:t>
      </w:r>
      <w:r w:rsidR="00BA7FBF">
        <w:rPr>
          <w:rFonts w:ascii="Arial" w:eastAsia="Calibri" w:hAnsi="Arial" w:cs="Arial"/>
          <w:color w:val="000000" w:themeColor="text1"/>
          <w:sz w:val="22"/>
          <w:szCs w:val="22"/>
          <w:lang w:val="es-ES_tradnl"/>
        </w:rPr>
        <w:t>,</w:t>
      </w:r>
      <w:r w:rsidR="00D71D1A">
        <w:rPr>
          <w:rFonts w:ascii="Arial" w:eastAsia="Calibri" w:hAnsi="Arial" w:cs="Arial"/>
          <w:color w:val="000000" w:themeColor="text1"/>
          <w:sz w:val="22"/>
          <w:szCs w:val="22"/>
          <w:lang w:val="es-ES_tradnl"/>
        </w:rPr>
        <w:t xml:space="preserve"> así como</w:t>
      </w:r>
      <w:r w:rsidR="00BA7FBF">
        <w:rPr>
          <w:rFonts w:ascii="Arial" w:eastAsia="Calibri" w:hAnsi="Arial" w:cs="Arial"/>
          <w:color w:val="000000" w:themeColor="text1"/>
          <w:sz w:val="22"/>
          <w:szCs w:val="22"/>
          <w:lang w:val="es-ES_tradnl"/>
        </w:rPr>
        <w:t xml:space="preserve"> </w:t>
      </w:r>
      <w:r w:rsidR="00BA7FBF" w:rsidRPr="00556583">
        <w:rPr>
          <w:rFonts w:ascii="Arial" w:eastAsia="Calibri" w:hAnsi="Arial" w:cs="Arial"/>
          <w:color w:val="000000" w:themeColor="text1"/>
          <w:sz w:val="22"/>
          <w:szCs w:val="22"/>
          <w:lang w:val="es-ES_tradnl"/>
        </w:rPr>
        <w:t>sus accionistas, socios o representantes legales</w:t>
      </w:r>
      <w:r w:rsidR="00D71D1A">
        <w:rPr>
          <w:rFonts w:ascii="Arial" w:eastAsia="Calibri" w:hAnsi="Arial" w:cs="Arial"/>
          <w:color w:val="000000" w:themeColor="text1"/>
          <w:sz w:val="22"/>
          <w:szCs w:val="22"/>
          <w:lang w:val="es-ES_tradnl"/>
        </w:rPr>
        <w:t>,</w:t>
      </w:r>
      <w:r w:rsidR="00BA7FBF">
        <w:rPr>
          <w:rFonts w:ascii="Arial" w:eastAsia="Calibri" w:hAnsi="Arial" w:cs="Arial"/>
          <w:color w:val="000000" w:themeColor="text1"/>
          <w:sz w:val="22"/>
          <w:szCs w:val="22"/>
          <w:lang w:val="es-ES_tradnl"/>
        </w:rPr>
        <w:t xml:space="preserve"> tenga alguna </w:t>
      </w:r>
      <w:r w:rsidR="00E67C15">
        <w:rPr>
          <w:rFonts w:ascii="Arial" w:eastAsia="Calibri" w:hAnsi="Arial" w:cs="Arial"/>
          <w:color w:val="000000" w:themeColor="text1"/>
          <w:sz w:val="22"/>
          <w:szCs w:val="22"/>
          <w:lang w:val="es-ES_tradnl"/>
        </w:rPr>
        <w:t>relación con</w:t>
      </w:r>
      <w:r w:rsidR="00D71D1A">
        <w:rPr>
          <w:rFonts w:ascii="Arial" w:eastAsia="Calibri" w:hAnsi="Arial" w:cs="Arial"/>
          <w:color w:val="000000" w:themeColor="text1"/>
          <w:sz w:val="22"/>
          <w:szCs w:val="22"/>
          <w:lang w:val="es-ES_tradnl"/>
        </w:rPr>
        <w:t xml:space="preserve"> los miembros de proponente plural</w:t>
      </w:r>
      <w:r w:rsidR="00BC5FFF">
        <w:rPr>
          <w:rFonts w:ascii="Arial" w:eastAsia="Calibri" w:hAnsi="Arial" w:cs="Arial"/>
          <w:color w:val="000000" w:themeColor="text1"/>
          <w:sz w:val="22"/>
          <w:szCs w:val="22"/>
          <w:lang w:val="es-ES_tradnl"/>
        </w:rPr>
        <w:t xml:space="preserve">. </w:t>
      </w:r>
      <w:r w:rsidR="009E4464">
        <w:rPr>
          <w:rFonts w:ascii="Arial" w:eastAsia="Calibri" w:hAnsi="Arial" w:cs="Arial"/>
          <w:color w:val="000000" w:themeColor="text1"/>
          <w:sz w:val="22"/>
          <w:szCs w:val="22"/>
          <w:lang w:val="es-ES_tradnl"/>
        </w:rPr>
        <w:t>S</w:t>
      </w:r>
      <w:r w:rsidR="002A2E41">
        <w:rPr>
          <w:rFonts w:ascii="Arial" w:eastAsia="Calibri" w:hAnsi="Arial" w:cs="Arial"/>
          <w:color w:val="000000" w:themeColor="text1"/>
          <w:sz w:val="22"/>
          <w:szCs w:val="22"/>
          <w:lang w:val="es-ES_tradnl"/>
        </w:rPr>
        <w:t xml:space="preserve">iguiendo con el ejemplo propuesto, </w:t>
      </w:r>
      <w:r w:rsidR="00B87075">
        <w:rPr>
          <w:rFonts w:ascii="Arial" w:eastAsia="Calibri" w:hAnsi="Arial" w:cs="Arial"/>
          <w:color w:val="000000" w:themeColor="text1"/>
          <w:sz w:val="22"/>
          <w:szCs w:val="22"/>
          <w:lang w:val="es-ES_tradnl"/>
        </w:rPr>
        <w:t xml:space="preserve">si las </w:t>
      </w:r>
      <w:r w:rsidR="00C05ED4">
        <w:rPr>
          <w:rFonts w:ascii="Arial" w:eastAsia="Calibri" w:hAnsi="Arial" w:cs="Arial"/>
          <w:color w:val="000000" w:themeColor="text1"/>
          <w:sz w:val="22"/>
          <w:szCs w:val="22"/>
          <w:lang w:val="es-ES_tradnl"/>
        </w:rPr>
        <w:t>«</w:t>
      </w:r>
      <w:r w:rsidR="00B87075">
        <w:rPr>
          <w:rFonts w:ascii="Arial" w:eastAsia="Calibri" w:hAnsi="Arial" w:cs="Arial"/>
          <w:color w:val="000000" w:themeColor="text1"/>
          <w:sz w:val="22"/>
          <w:szCs w:val="22"/>
          <w:lang w:val="es-ES_tradnl"/>
        </w:rPr>
        <w:t>sociedad A</w:t>
      </w:r>
      <w:r w:rsidR="00C05ED4">
        <w:rPr>
          <w:rFonts w:ascii="Arial" w:eastAsia="Calibri" w:hAnsi="Arial" w:cs="Arial"/>
          <w:color w:val="000000" w:themeColor="text1"/>
          <w:sz w:val="22"/>
          <w:szCs w:val="22"/>
          <w:lang w:val="es-ES_tradnl"/>
        </w:rPr>
        <w:t>»</w:t>
      </w:r>
      <w:r w:rsidR="00B87075">
        <w:rPr>
          <w:rFonts w:ascii="Arial" w:eastAsia="Calibri" w:hAnsi="Arial" w:cs="Arial"/>
          <w:color w:val="000000" w:themeColor="text1"/>
          <w:sz w:val="22"/>
          <w:szCs w:val="22"/>
          <w:lang w:val="es-ES_tradnl"/>
        </w:rPr>
        <w:t xml:space="preserve"> </w:t>
      </w:r>
      <w:r w:rsidR="00C05ED4">
        <w:rPr>
          <w:rFonts w:ascii="Arial" w:eastAsia="Calibri" w:hAnsi="Arial" w:cs="Arial"/>
          <w:color w:val="000000" w:themeColor="text1"/>
          <w:sz w:val="22"/>
          <w:szCs w:val="22"/>
          <w:lang w:val="es-ES_tradnl"/>
        </w:rPr>
        <w:t>aúna</w:t>
      </w:r>
      <w:r w:rsidR="001B1064">
        <w:rPr>
          <w:rFonts w:ascii="Arial" w:eastAsia="Calibri" w:hAnsi="Arial" w:cs="Arial"/>
          <w:color w:val="000000" w:themeColor="text1"/>
          <w:sz w:val="22"/>
          <w:szCs w:val="22"/>
          <w:lang w:val="es-ES_tradnl"/>
        </w:rPr>
        <w:t xml:space="preserve"> esfuerzos</w:t>
      </w:r>
      <w:r w:rsidR="00B87075">
        <w:rPr>
          <w:rFonts w:ascii="Arial" w:eastAsia="Calibri" w:hAnsi="Arial" w:cs="Arial"/>
          <w:color w:val="000000" w:themeColor="text1"/>
          <w:sz w:val="22"/>
          <w:szCs w:val="22"/>
          <w:lang w:val="es-ES_tradnl"/>
        </w:rPr>
        <w:t xml:space="preserve"> </w:t>
      </w:r>
      <w:r w:rsidR="00C05ED4">
        <w:rPr>
          <w:rFonts w:ascii="Arial" w:eastAsia="Calibri" w:hAnsi="Arial" w:cs="Arial"/>
          <w:color w:val="000000" w:themeColor="text1"/>
          <w:sz w:val="22"/>
          <w:szCs w:val="22"/>
          <w:lang w:val="es-ES_tradnl"/>
        </w:rPr>
        <w:t>con la «sociedad B»</w:t>
      </w:r>
      <w:r w:rsidR="005B6D50">
        <w:rPr>
          <w:rFonts w:ascii="Arial" w:eastAsia="Calibri" w:hAnsi="Arial" w:cs="Arial"/>
          <w:color w:val="000000" w:themeColor="text1"/>
          <w:sz w:val="22"/>
          <w:szCs w:val="22"/>
          <w:lang w:val="es-ES_tradnl"/>
        </w:rPr>
        <w:t xml:space="preserve"> </w:t>
      </w:r>
      <w:r w:rsidR="00B87075">
        <w:rPr>
          <w:rFonts w:ascii="Arial" w:eastAsia="Calibri" w:hAnsi="Arial" w:cs="Arial"/>
          <w:color w:val="000000" w:themeColor="text1"/>
          <w:sz w:val="22"/>
          <w:szCs w:val="22"/>
          <w:lang w:val="es-ES_tradnl"/>
        </w:rPr>
        <w:t>en</w:t>
      </w:r>
      <w:r w:rsidR="005B6D50">
        <w:rPr>
          <w:rFonts w:ascii="Arial" w:eastAsia="Calibri" w:hAnsi="Arial" w:cs="Arial"/>
          <w:color w:val="000000" w:themeColor="text1"/>
          <w:sz w:val="22"/>
          <w:szCs w:val="22"/>
          <w:lang w:val="es-ES_tradnl"/>
        </w:rPr>
        <w:t xml:space="preserve"> </w:t>
      </w:r>
      <w:r w:rsidR="00B87075">
        <w:rPr>
          <w:rFonts w:ascii="Arial" w:eastAsia="Calibri" w:hAnsi="Arial" w:cs="Arial"/>
          <w:color w:val="000000" w:themeColor="text1"/>
          <w:sz w:val="22"/>
          <w:szCs w:val="22"/>
          <w:lang w:val="es-ES_tradnl"/>
        </w:rPr>
        <w:t>un consorcio</w:t>
      </w:r>
      <w:r w:rsidR="00C255B1">
        <w:rPr>
          <w:rFonts w:ascii="Arial" w:eastAsia="Calibri" w:hAnsi="Arial" w:cs="Arial"/>
          <w:color w:val="000000" w:themeColor="text1"/>
          <w:sz w:val="22"/>
          <w:szCs w:val="22"/>
          <w:lang w:val="es-ES_tradnl"/>
        </w:rPr>
        <w:t>, la condición del literal c) del numeral 10 se incumple</w:t>
      </w:r>
      <w:r w:rsidR="00854705">
        <w:rPr>
          <w:rFonts w:ascii="Arial" w:eastAsia="Calibri" w:hAnsi="Arial" w:cs="Arial"/>
          <w:color w:val="000000" w:themeColor="text1"/>
          <w:sz w:val="22"/>
          <w:szCs w:val="22"/>
          <w:lang w:val="es-ES_tradnl"/>
        </w:rPr>
        <w:t xml:space="preserve"> –entre los demás supuestos descritos en la norma–</w:t>
      </w:r>
      <w:r w:rsidR="00C255B1">
        <w:rPr>
          <w:rFonts w:ascii="Arial" w:eastAsia="Calibri" w:hAnsi="Arial" w:cs="Arial"/>
          <w:color w:val="000000" w:themeColor="text1"/>
          <w:sz w:val="22"/>
          <w:szCs w:val="22"/>
          <w:lang w:val="es-ES_tradnl"/>
        </w:rPr>
        <w:t xml:space="preserve"> cuando el </w:t>
      </w:r>
      <w:r w:rsidR="00DE2D0C">
        <w:rPr>
          <w:rFonts w:ascii="Arial" w:eastAsia="Calibri" w:hAnsi="Arial" w:cs="Arial"/>
          <w:color w:val="000000" w:themeColor="text1"/>
          <w:sz w:val="22"/>
          <w:szCs w:val="22"/>
          <w:lang w:val="es-ES_tradnl"/>
        </w:rPr>
        <w:t>representante legal de la mipyme</w:t>
      </w:r>
      <w:r w:rsidR="00CF1271">
        <w:rPr>
          <w:rFonts w:ascii="Arial" w:eastAsia="Calibri" w:hAnsi="Arial" w:cs="Arial"/>
          <w:color w:val="000000" w:themeColor="text1"/>
          <w:sz w:val="22"/>
          <w:szCs w:val="22"/>
          <w:lang w:val="es-ES_tradnl"/>
        </w:rPr>
        <w:t xml:space="preserve">, </w:t>
      </w:r>
      <w:r w:rsidR="00CF1271" w:rsidRPr="00365B2E">
        <w:rPr>
          <w:rFonts w:ascii="Arial" w:eastAsia="Calibri" w:hAnsi="Arial" w:cs="Arial"/>
          <w:color w:val="000000" w:themeColor="text1"/>
          <w:sz w:val="22"/>
          <w:szCs w:val="22"/>
          <w:lang w:val="es-ES_tradnl"/>
        </w:rPr>
        <w:t>cooperativa o asociación mutual</w:t>
      </w:r>
      <w:r w:rsidR="00CF1271">
        <w:rPr>
          <w:rFonts w:ascii="Arial" w:eastAsia="Calibri" w:hAnsi="Arial" w:cs="Arial"/>
          <w:color w:val="000000" w:themeColor="text1"/>
          <w:sz w:val="22"/>
          <w:szCs w:val="22"/>
          <w:lang w:val="es-ES_tradnl"/>
        </w:rPr>
        <w:t xml:space="preserve"> que tiene el porcentaje de participación y experiencia</w:t>
      </w:r>
      <w:r w:rsidR="00FA29E7">
        <w:rPr>
          <w:rFonts w:ascii="Arial" w:eastAsia="Calibri" w:hAnsi="Arial" w:cs="Arial"/>
          <w:color w:val="000000" w:themeColor="text1"/>
          <w:sz w:val="22"/>
          <w:szCs w:val="22"/>
          <w:lang w:val="es-ES_tradnl"/>
        </w:rPr>
        <w:t xml:space="preserve"> requerido,</w:t>
      </w:r>
      <w:r w:rsidR="00F662DE">
        <w:rPr>
          <w:rFonts w:ascii="Arial" w:eastAsia="Calibri" w:hAnsi="Arial" w:cs="Arial"/>
          <w:color w:val="000000" w:themeColor="text1"/>
          <w:sz w:val="22"/>
          <w:szCs w:val="22"/>
          <w:lang w:val="es-ES_tradnl"/>
        </w:rPr>
        <w:t xml:space="preserve"> </w:t>
      </w:r>
      <w:r w:rsidR="005B6D50">
        <w:rPr>
          <w:rFonts w:ascii="Arial" w:eastAsia="Calibri" w:hAnsi="Arial" w:cs="Arial"/>
          <w:color w:val="000000" w:themeColor="text1"/>
          <w:sz w:val="22"/>
          <w:szCs w:val="22"/>
          <w:lang w:val="es-ES_tradnl"/>
        </w:rPr>
        <w:t xml:space="preserve">también </w:t>
      </w:r>
      <w:r w:rsidR="00F662DE">
        <w:rPr>
          <w:rFonts w:ascii="Arial" w:eastAsia="Calibri" w:hAnsi="Arial" w:cs="Arial"/>
          <w:color w:val="000000" w:themeColor="text1"/>
          <w:sz w:val="22"/>
          <w:szCs w:val="22"/>
          <w:lang w:val="es-ES_tradnl"/>
        </w:rPr>
        <w:t xml:space="preserve">es accionista de la </w:t>
      </w:r>
      <w:r w:rsidR="005B6D50">
        <w:rPr>
          <w:rFonts w:ascii="Arial" w:eastAsia="Calibri" w:hAnsi="Arial" w:cs="Arial"/>
          <w:color w:val="000000" w:themeColor="text1"/>
          <w:sz w:val="22"/>
          <w:szCs w:val="22"/>
          <w:lang w:val="es-ES_tradnl"/>
        </w:rPr>
        <w:t>«</w:t>
      </w:r>
      <w:r w:rsidR="00F662DE">
        <w:rPr>
          <w:rFonts w:ascii="Arial" w:eastAsia="Calibri" w:hAnsi="Arial" w:cs="Arial"/>
          <w:color w:val="000000" w:themeColor="text1"/>
          <w:sz w:val="22"/>
          <w:szCs w:val="22"/>
          <w:lang w:val="es-ES_tradnl"/>
        </w:rPr>
        <w:t>sociedad B</w:t>
      </w:r>
      <w:r w:rsidR="005B6D50">
        <w:rPr>
          <w:rFonts w:ascii="Arial" w:eastAsia="Calibri" w:hAnsi="Arial" w:cs="Arial"/>
          <w:color w:val="000000" w:themeColor="text1"/>
          <w:sz w:val="22"/>
          <w:szCs w:val="22"/>
          <w:lang w:val="es-ES_tradnl"/>
        </w:rPr>
        <w:t>»</w:t>
      </w:r>
      <w:r w:rsidR="00386871">
        <w:rPr>
          <w:rFonts w:ascii="Arial" w:eastAsia="Calibri" w:hAnsi="Arial" w:cs="Arial"/>
          <w:color w:val="000000" w:themeColor="text1"/>
          <w:sz w:val="22"/>
          <w:szCs w:val="22"/>
          <w:lang w:val="es-ES_tradnl"/>
        </w:rPr>
        <w:t>.</w:t>
      </w:r>
      <w:r w:rsidR="00CF1271">
        <w:rPr>
          <w:rFonts w:ascii="Arial" w:eastAsia="Calibri" w:hAnsi="Arial" w:cs="Arial"/>
          <w:color w:val="000000" w:themeColor="text1"/>
          <w:sz w:val="22"/>
          <w:szCs w:val="22"/>
          <w:lang w:val="es-ES_tradnl"/>
        </w:rPr>
        <w:t xml:space="preserve"> </w:t>
      </w:r>
      <w:r w:rsidR="00DE2D0C">
        <w:rPr>
          <w:rFonts w:ascii="Arial" w:eastAsia="Calibri" w:hAnsi="Arial" w:cs="Arial"/>
          <w:color w:val="000000" w:themeColor="text1"/>
          <w:sz w:val="22"/>
          <w:szCs w:val="22"/>
          <w:lang w:val="es-ES_tradnl"/>
        </w:rPr>
        <w:t xml:space="preserve"> </w:t>
      </w:r>
      <w:r w:rsidR="00F754E0">
        <w:rPr>
          <w:rFonts w:ascii="Arial" w:eastAsia="Calibri" w:hAnsi="Arial" w:cs="Arial"/>
          <w:color w:val="000000" w:themeColor="text1"/>
          <w:sz w:val="22"/>
          <w:szCs w:val="22"/>
          <w:lang w:val="es-ES_tradnl"/>
        </w:rPr>
        <w:t xml:space="preserve"> </w:t>
      </w:r>
      <w:r w:rsidR="00B6750C">
        <w:rPr>
          <w:rFonts w:ascii="Arial" w:eastAsia="Calibri" w:hAnsi="Arial" w:cs="Arial"/>
          <w:color w:val="000000" w:themeColor="text1"/>
          <w:sz w:val="22"/>
          <w:szCs w:val="22"/>
          <w:lang w:val="es-ES_tradnl"/>
        </w:rPr>
        <w:t xml:space="preserve"> </w:t>
      </w:r>
      <w:r w:rsidR="009F59F5">
        <w:rPr>
          <w:rFonts w:ascii="Arial" w:eastAsia="Calibri" w:hAnsi="Arial" w:cs="Arial"/>
          <w:color w:val="000000" w:themeColor="text1"/>
          <w:sz w:val="22"/>
          <w:szCs w:val="22"/>
          <w:lang w:val="es-ES_tradnl"/>
        </w:rPr>
        <w:t xml:space="preserve"> </w:t>
      </w:r>
      <w:r w:rsidR="000A730D">
        <w:rPr>
          <w:rFonts w:ascii="Arial" w:eastAsia="Calibri" w:hAnsi="Arial" w:cs="Arial"/>
          <w:color w:val="000000" w:themeColor="text1"/>
          <w:sz w:val="22"/>
          <w:szCs w:val="22"/>
          <w:lang w:val="es-ES_tradnl"/>
        </w:rPr>
        <w:t xml:space="preserve"> </w:t>
      </w:r>
    </w:p>
    <w:p w14:paraId="053FB700" w14:textId="77777777" w:rsidR="00AB3FCD" w:rsidRDefault="00AB3FCD" w:rsidP="00E31632">
      <w:pPr>
        <w:tabs>
          <w:tab w:val="left" w:pos="0"/>
        </w:tabs>
        <w:jc w:val="both"/>
        <w:rPr>
          <w:rFonts w:ascii="Arial" w:eastAsia="Calibri" w:hAnsi="Arial" w:cs="Arial"/>
          <w:b/>
          <w:color w:val="000000" w:themeColor="text1"/>
          <w:sz w:val="22"/>
          <w:lang w:val="es-ES_tradnl"/>
        </w:rPr>
      </w:pPr>
    </w:p>
    <w:p w14:paraId="5C7428FD" w14:textId="7068F303" w:rsidR="00E31632" w:rsidRPr="005419DA" w:rsidRDefault="00E31632" w:rsidP="00AB3FCD">
      <w:pPr>
        <w:tabs>
          <w:tab w:val="left" w:pos="0"/>
        </w:tabs>
        <w:jc w:val="both"/>
        <w:rPr>
          <w:rFonts w:ascii="Arial" w:eastAsia="Calibri" w:hAnsi="Arial" w:cs="Arial"/>
          <w:b/>
          <w:color w:val="000000" w:themeColor="text1"/>
          <w:sz w:val="22"/>
          <w:lang w:val="es-ES_tradnl"/>
        </w:rPr>
      </w:pPr>
      <w:r w:rsidRPr="005419DA">
        <w:rPr>
          <w:rFonts w:ascii="Arial" w:eastAsia="Calibri" w:hAnsi="Arial" w:cs="Arial"/>
          <w:b/>
          <w:color w:val="000000" w:themeColor="text1"/>
          <w:sz w:val="22"/>
          <w:lang w:val="es-ES_tradnl"/>
        </w:rPr>
        <w:t>3. Respuestas</w:t>
      </w:r>
    </w:p>
    <w:p w14:paraId="056C7664" w14:textId="77777777" w:rsidR="00E31632" w:rsidRPr="00AB3FCD" w:rsidRDefault="00E31632" w:rsidP="00D33235">
      <w:pPr>
        <w:spacing w:line="276" w:lineRule="auto"/>
        <w:ind w:left="709" w:right="709"/>
        <w:jc w:val="both"/>
        <w:rPr>
          <w:rFonts w:ascii="Arial" w:hAnsi="Arial" w:cs="Arial"/>
          <w:color w:val="000000" w:themeColor="text1"/>
          <w:sz w:val="22"/>
          <w:szCs w:val="22"/>
          <w:lang w:val="es-ES_tradnl"/>
        </w:rPr>
      </w:pPr>
    </w:p>
    <w:p w14:paraId="40B174CE" w14:textId="73D0DF4E" w:rsidR="007E32BF" w:rsidRDefault="005A2736" w:rsidP="00AB3FCD">
      <w:pPr>
        <w:ind w:left="709" w:right="709"/>
        <w:jc w:val="both"/>
        <w:rPr>
          <w:rFonts w:ascii="Arial" w:hAnsi="Arial" w:cs="Arial"/>
          <w:sz w:val="21"/>
          <w:szCs w:val="21"/>
        </w:rPr>
      </w:pPr>
      <w:r>
        <w:rPr>
          <w:rFonts w:ascii="Arial" w:hAnsi="Arial" w:cs="Arial"/>
          <w:sz w:val="21"/>
          <w:szCs w:val="21"/>
        </w:rPr>
        <w:t xml:space="preserve">i) </w:t>
      </w:r>
      <w:r w:rsidR="007E32BF" w:rsidRPr="00FD02FE">
        <w:rPr>
          <w:rFonts w:ascii="Arial" w:hAnsi="Arial" w:cs="Arial"/>
          <w:sz w:val="21"/>
          <w:szCs w:val="21"/>
        </w:rPr>
        <w:t>«[…] no se evidencia distinción alguna en la aplicación del precitado artículo a todas las modalidades de selección (licitación pública, selección abreviada de menor cuantía, selección abreviada por subasta inversa, concurso de méritos, contratación directa y mínima cuantía), por lo cual se solicita se aclare si en aplicación de la Ley 2069 de 2020 se deroga no solo lo establecido en el artículo 2.2.1.1.2.2.9 - Factores de desempate del Decreto No. 1082 de 2015 sino también lo establecido en: A. El numeral 9° del artículo 2.2.1.2.1.2.2. “Procedimiento para la subasta inversa” del Decreto No. 1082 de 2015 en lo que respecta a la modalidad de selección de selección abreviada - subasta inversa […] B. El numeral 6° del artículo 2.2.1.2.1.5.2. “Procedimiento para la contratación de mínima cuantía” del Decreto No. 1082 de 2015 en lo que respecta a la modalidad de selección de selección de mínima cuantía […]»</w:t>
      </w:r>
      <w:r>
        <w:rPr>
          <w:rFonts w:ascii="Arial" w:hAnsi="Arial" w:cs="Arial"/>
          <w:sz w:val="21"/>
          <w:szCs w:val="21"/>
        </w:rPr>
        <w:t>.</w:t>
      </w:r>
    </w:p>
    <w:p w14:paraId="63F7282D" w14:textId="1BCD2788" w:rsidR="007E32BF" w:rsidRPr="00D33235" w:rsidRDefault="007E32BF" w:rsidP="00D33235">
      <w:pPr>
        <w:spacing w:line="276" w:lineRule="auto"/>
        <w:ind w:left="709" w:right="709"/>
        <w:jc w:val="both"/>
        <w:rPr>
          <w:rFonts w:ascii="Arial" w:hAnsi="Arial" w:cs="Arial"/>
          <w:sz w:val="22"/>
          <w:szCs w:val="22"/>
        </w:rPr>
      </w:pPr>
    </w:p>
    <w:p w14:paraId="20858F89" w14:textId="2D5217BF" w:rsidR="00C21D48" w:rsidRDefault="00FE79F8">
      <w:pPr>
        <w:spacing w:line="276" w:lineRule="auto"/>
        <w:jc w:val="both"/>
        <w:rPr>
          <w:rFonts w:ascii="Arial" w:hAnsi="Arial" w:cs="Arial"/>
          <w:color w:val="000000"/>
          <w:sz w:val="22"/>
          <w:szCs w:val="22"/>
          <w:lang w:val="es-ES_tradnl"/>
        </w:rPr>
      </w:pPr>
      <w:r>
        <w:rPr>
          <w:rFonts w:ascii="Arial" w:eastAsia="Calibri" w:hAnsi="Arial" w:cs="Arial"/>
          <w:color w:val="000000"/>
          <w:sz w:val="22"/>
          <w:szCs w:val="22"/>
          <w:lang w:val="es-ES_tradnl"/>
        </w:rPr>
        <w:t>E</w:t>
      </w:r>
      <w:r w:rsidR="007E32BF" w:rsidRPr="007E32BF">
        <w:rPr>
          <w:rFonts w:ascii="Arial" w:eastAsia="Calibri" w:hAnsi="Arial" w:cs="Arial"/>
          <w:color w:val="000000"/>
          <w:sz w:val="22"/>
          <w:szCs w:val="22"/>
          <w:lang w:val="es-ES_tradnl"/>
        </w:rPr>
        <w:t>l artículo 35 de la Ley 2069 de 2020, que modifica el régimen de los factores de desempate en la contratación estatal, se encuentra vigente y goza de aplicación directa desde la fecha de su promulgación. Estos criterios de desempate actualmente</w:t>
      </w:r>
      <w:r w:rsidR="007E32BF" w:rsidRPr="007E32BF" w:rsidDel="0018007F">
        <w:rPr>
          <w:rFonts w:ascii="Arial" w:eastAsia="Calibri" w:hAnsi="Arial" w:cs="Arial"/>
          <w:color w:val="000000"/>
          <w:sz w:val="22"/>
          <w:szCs w:val="22"/>
          <w:lang w:val="es-ES_tradnl"/>
        </w:rPr>
        <w:t xml:space="preserve"> </w:t>
      </w:r>
      <w:r w:rsidR="007E32BF" w:rsidRPr="007E32BF">
        <w:rPr>
          <w:rFonts w:ascii="Arial" w:eastAsia="Calibri" w:hAnsi="Arial" w:cs="Arial"/>
          <w:color w:val="000000"/>
          <w:sz w:val="22"/>
          <w:szCs w:val="22"/>
          <w:lang w:val="es-ES_tradnl"/>
        </w:rPr>
        <w:t>son aplicables a todas las entidades estatales, independientemente de su régimen de contratación.</w:t>
      </w:r>
      <w:r w:rsidR="004274D1">
        <w:rPr>
          <w:rFonts w:ascii="Arial" w:hAnsi="Arial" w:cs="Arial"/>
          <w:color w:val="000000"/>
          <w:sz w:val="22"/>
          <w:szCs w:val="22"/>
          <w:lang w:val="es-ES_tradnl"/>
        </w:rPr>
        <w:t xml:space="preserve"> </w:t>
      </w:r>
    </w:p>
    <w:p w14:paraId="04462BDB" w14:textId="7B3ADEDA" w:rsidR="00FE79F8" w:rsidRDefault="00AB3FCD" w:rsidP="00D33235">
      <w:pPr>
        <w:spacing w:line="276" w:lineRule="auto"/>
        <w:ind w:firstLine="708"/>
        <w:jc w:val="both"/>
        <w:rPr>
          <w:rFonts w:ascii="Arial" w:hAnsi="Arial" w:cs="Arial"/>
          <w:color w:val="000000"/>
          <w:sz w:val="22"/>
          <w:szCs w:val="22"/>
          <w:lang w:val="es-ES_tradnl"/>
        </w:rPr>
      </w:pPr>
      <w:r>
        <w:rPr>
          <w:rFonts w:ascii="Arial" w:hAnsi="Arial" w:cs="Arial"/>
          <w:color w:val="000000"/>
          <w:sz w:val="22"/>
          <w:szCs w:val="22"/>
          <w:lang w:val="es-ES_tradnl"/>
        </w:rPr>
        <w:t>Ahora bien, e</w:t>
      </w:r>
      <w:r w:rsidR="007E32BF" w:rsidRPr="007E32BF">
        <w:rPr>
          <w:rFonts w:ascii="Arial" w:hAnsi="Arial" w:cs="Arial"/>
          <w:color w:val="000000"/>
          <w:sz w:val="22"/>
          <w:szCs w:val="22"/>
          <w:lang w:val="es-ES_tradnl"/>
        </w:rPr>
        <w:t xml:space="preserve">n cuanto a la subasta inversa, surge la inquietud de si el artículo 35 de la Ley 2069 de 2020 ha producido también el decaimiento del numeral 9 del artículo 2.2.1.2.1.2.2. del Decreto 1082 de 2015, según el cual «Si al terminar la subasta inversa hay empate, la Entidad Estatal debe seleccionar al oferente que presentó el menor precio inicial. En caso de persistir el empate la Entidad Estatal debe aplicar las reglas del numeral 1 al 5 del artículo 2.2.1.1.2.2.9 del presente decreto». </w:t>
      </w:r>
    </w:p>
    <w:p w14:paraId="108C19B7" w14:textId="17F4CD41" w:rsidR="007E32BF" w:rsidRPr="007E32BF" w:rsidRDefault="00FE79F8" w:rsidP="007E32BF">
      <w:pPr>
        <w:spacing w:before="120" w:line="276" w:lineRule="auto"/>
        <w:ind w:firstLine="709"/>
        <w:jc w:val="both"/>
        <w:rPr>
          <w:rFonts w:ascii="Arial" w:hAnsi="Arial" w:cs="Arial"/>
          <w:color w:val="000000"/>
          <w:sz w:val="22"/>
          <w:szCs w:val="22"/>
          <w:lang w:val="es-ES_tradnl"/>
        </w:rPr>
      </w:pPr>
      <w:r>
        <w:rPr>
          <w:rFonts w:ascii="Arial" w:hAnsi="Arial" w:cs="Arial"/>
          <w:color w:val="000000"/>
          <w:sz w:val="22"/>
          <w:szCs w:val="22"/>
          <w:lang w:val="es-ES_tradnl"/>
        </w:rPr>
        <w:lastRenderedPageBreak/>
        <w:t>Al respecto</w:t>
      </w:r>
      <w:r w:rsidR="007E32BF" w:rsidRPr="007E32BF">
        <w:rPr>
          <w:rFonts w:ascii="Arial" w:hAnsi="Arial" w:cs="Arial"/>
          <w:color w:val="000000"/>
          <w:sz w:val="22"/>
          <w:szCs w:val="22"/>
          <w:lang w:val="es-ES_tradnl"/>
        </w:rPr>
        <w:t>, puede afirmar</w:t>
      </w:r>
      <w:r>
        <w:rPr>
          <w:rFonts w:ascii="Arial" w:hAnsi="Arial" w:cs="Arial"/>
          <w:color w:val="000000"/>
          <w:sz w:val="22"/>
          <w:szCs w:val="22"/>
          <w:lang w:val="es-ES_tradnl"/>
        </w:rPr>
        <w:t>se</w:t>
      </w:r>
      <w:r w:rsidR="007E32BF" w:rsidRPr="007E32BF">
        <w:rPr>
          <w:rFonts w:ascii="Arial" w:hAnsi="Arial" w:cs="Arial"/>
          <w:color w:val="000000"/>
          <w:sz w:val="22"/>
          <w:szCs w:val="22"/>
          <w:lang w:val="es-ES_tradnl"/>
        </w:rPr>
        <w:t xml:space="preserve"> que el numeral 9 del artículo 2.2.1.2.1.2.2. del Decreto 1082 de 2015 ha perdido igualmente fuerza ejecutoria en virtud de la vigencia del artículo 35 de la Ley 2069 de 2020, que contiene una regulación nueva y completa de los factores de desempate que se deben aplicar en los procesos de selección, sin distinguir las modalidades contractuales en las que rigen estos criterios. Por lo anterior, esta Agencia concluye que el numeral 9 del artículo 2.2.1.2.1.2.2. del Decreto 1082 de 2015 ha perdido fuerza ejecutoria y que en los procesos de selección abreviada adelantados por las entidades estatales los factores de desempate que estas deben aplicar directamente son los previstos en el artículo 35 de la Ley 2069 de 2020.</w:t>
      </w:r>
    </w:p>
    <w:p w14:paraId="016D35C3" w14:textId="1D5D9BEE" w:rsidR="007E32BF" w:rsidRPr="007E32BF" w:rsidRDefault="00AB3FCD" w:rsidP="007E32BF">
      <w:pPr>
        <w:spacing w:before="120" w:after="120" w:line="276" w:lineRule="auto"/>
        <w:ind w:firstLine="709"/>
        <w:jc w:val="both"/>
        <w:rPr>
          <w:rFonts w:ascii="Arial" w:hAnsi="Arial" w:cs="Arial"/>
          <w:color w:val="000000"/>
          <w:sz w:val="22"/>
          <w:szCs w:val="22"/>
          <w:lang w:val="es-ES_tradnl"/>
        </w:rPr>
      </w:pPr>
      <w:r>
        <w:rPr>
          <w:rFonts w:ascii="Arial" w:hAnsi="Arial" w:cs="Arial"/>
          <w:color w:val="000000" w:themeColor="text1"/>
          <w:sz w:val="22"/>
          <w:szCs w:val="22"/>
          <w:lang w:val="es-ES_tradnl"/>
        </w:rPr>
        <w:t>Por otra parte</w:t>
      </w:r>
      <w:r w:rsidR="007E32BF" w:rsidRPr="007E32BF">
        <w:rPr>
          <w:rFonts w:ascii="Arial" w:hAnsi="Arial" w:cs="Arial"/>
          <w:color w:val="000000" w:themeColor="text1"/>
          <w:sz w:val="22"/>
          <w:szCs w:val="22"/>
          <w:lang w:val="es-ES_tradnl"/>
        </w:rPr>
        <w:t>, en relación con el procedimiento de mínima cuantía, si bien el parágrafo 2 del artículo 30 de la Ley de Emprendimiento dispone que «La contratación a que se refiere el presente artículo se realizará exclusivamente con las reglas en él contempladas y en su reglamentación […]», lo que podría llevar a concluir que los procesos de mínima cuantía se rigen exclusivamente por las reglas del artículo 30 de la Ley 2069 de 2020 y lo reglamentado en el decreto 1082 de 2015, tratándose de los factores de desempate, la intención del legislador es que el artículo 35 de la Ley de Emprendimiento sea una norma transversal al sistema de compras y contratación pública, e</w:t>
      </w:r>
      <w:r w:rsidR="007E32BF" w:rsidRPr="007E32BF">
        <w:rPr>
          <w:rFonts w:ascii="Arial" w:eastAsia="Calibri" w:hAnsi="Arial" w:cs="Arial"/>
          <w:bCs/>
          <w:color w:val="000000" w:themeColor="text1"/>
          <w:sz w:val="22"/>
          <w:szCs w:val="22"/>
        </w:rPr>
        <w:t xml:space="preserve">n esta medida, carece de sentido que los criterios de desempate sean inaplicables a la mínima cuantía, cuando la regla revista en el artículo citado obliga a todas las entidades exceptuadas sin consideración al valor del presupuesto oficial estimado. Teniendo en cuenta lo anterior, se concluye que el artículo </w:t>
      </w:r>
      <w:r w:rsidR="007E32BF" w:rsidRPr="007E32BF">
        <w:rPr>
          <w:rFonts w:ascii="Arial" w:hAnsi="Arial" w:cs="Arial"/>
          <w:color w:val="000000" w:themeColor="text1"/>
          <w:sz w:val="22"/>
          <w:szCs w:val="22"/>
          <w:lang w:val="es-ES_tradnl"/>
        </w:rPr>
        <w:t>35 de la Ley 2069 de 2020 es aplicable al procedimiento de mínima cuantía, por lo que se presenta tanto la derogación como el decaimiento de los criterios</w:t>
      </w:r>
      <w:r w:rsidR="008751CE">
        <w:rPr>
          <w:rFonts w:ascii="Arial" w:hAnsi="Arial" w:cs="Arial"/>
          <w:color w:val="000000" w:themeColor="text1"/>
          <w:sz w:val="22"/>
          <w:szCs w:val="22"/>
          <w:lang w:val="es-ES_tradnl"/>
        </w:rPr>
        <w:t xml:space="preserve"> de desempate previstos en el Decreto 1082 </w:t>
      </w:r>
      <w:r w:rsidR="00022161">
        <w:rPr>
          <w:rFonts w:ascii="Arial" w:hAnsi="Arial" w:cs="Arial"/>
          <w:color w:val="000000" w:themeColor="text1"/>
          <w:sz w:val="22"/>
          <w:szCs w:val="22"/>
          <w:lang w:val="es-ES_tradnl"/>
        </w:rPr>
        <w:t>de 2015 para este procedimiento de selección.</w:t>
      </w:r>
    </w:p>
    <w:p w14:paraId="55B42359" w14:textId="48609E74" w:rsidR="007E32BF" w:rsidRPr="007E32BF" w:rsidRDefault="00AB3FCD" w:rsidP="007E32BF">
      <w:pPr>
        <w:spacing w:before="120" w:line="276" w:lineRule="auto"/>
        <w:ind w:firstLine="709"/>
        <w:jc w:val="both"/>
        <w:rPr>
          <w:rFonts w:ascii="Arial" w:hAnsi="Arial" w:cs="Arial"/>
          <w:color w:val="000000"/>
          <w:sz w:val="22"/>
          <w:szCs w:val="22"/>
          <w:lang w:val="es-ES_tradnl"/>
        </w:rPr>
      </w:pPr>
      <w:r>
        <w:rPr>
          <w:rFonts w:ascii="Arial" w:hAnsi="Arial" w:cs="Arial"/>
          <w:color w:val="000000" w:themeColor="text1"/>
          <w:sz w:val="22"/>
          <w:szCs w:val="22"/>
          <w:lang w:val="es-ES_tradnl"/>
        </w:rPr>
        <w:t>Así las cosas</w:t>
      </w:r>
      <w:r w:rsidR="007E32BF" w:rsidRPr="007E32BF">
        <w:rPr>
          <w:rFonts w:ascii="Arial" w:hAnsi="Arial" w:cs="Arial"/>
          <w:color w:val="000000" w:themeColor="text1"/>
          <w:sz w:val="22"/>
          <w:szCs w:val="22"/>
          <w:lang w:val="es-ES_tradnl"/>
        </w:rPr>
        <w:t xml:space="preserve">, </w:t>
      </w:r>
      <w:r w:rsidR="007E32BF" w:rsidRPr="007E32BF">
        <w:rPr>
          <w:rFonts w:ascii="Arial" w:hAnsi="Arial" w:cs="Arial"/>
          <w:color w:val="000000"/>
          <w:sz w:val="22"/>
          <w:szCs w:val="22"/>
          <w:lang w:val="es-ES_tradnl"/>
        </w:rPr>
        <w:t>el Congreso de la República hizo obligatoria la aplicación de los factores de desempate previstos en el artículo 35 de la Ley 2069 de 2020 a todos «</w:t>
      </w:r>
      <w:r w:rsidR="007E32BF" w:rsidRPr="007E32BF">
        <w:rPr>
          <w:rFonts w:ascii="Arial" w:hAnsi="Arial" w:cs="Arial"/>
          <w:sz w:val="22"/>
          <w:szCs w:val="22"/>
        </w:rPr>
        <w:t xml:space="preserve">[…] </w:t>
      </w:r>
      <w:r w:rsidR="007E32BF" w:rsidRPr="007E32BF">
        <w:rPr>
          <w:rFonts w:ascii="Arial" w:hAnsi="Arial" w:cs="Arial"/>
          <w:color w:val="000000"/>
          <w:sz w:val="22"/>
          <w:szCs w:val="22"/>
          <w:lang w:val="es-ES_tradnl"/>
        </w:rPr>
        <w:t xml:space="preserve">los Procesos de Contratación realizados con cargo a recursos públicos», sin excepción alguna. La selección abreviada y la mínima cuantía son procesos de contratación que se realizan con cargo a recursos públicos. Por lo tanto, en el trámite de estos procesos deben aplicarse los factores de desempate regulados en el artículo 35 de la Ley 2069 de 2020. </w:t>
      </w:r>
    </w:p>
    <w:p w14:paraId="05AB9E47" w14:textId="77777777" w:rsidR="007E32BF" w:rsidRPr="00D33235" w:rsidRDefault="007E32BF" w:rsidP="00D33235">
      <w:pPr>
        <w:spacing w:line="276" w:lineRule="auto"/>
        <w:ind w:left="709" w:right="709"/>
        <w:jc w:val="both"/>
        <w:rPr>
          <w:rFonts w:ascii="Arial" w:hAnsi="Arial" w:cs="Arial"/>
          <w:sz w:val="22"/>
          <w:szCs w:val="22"/>
        </w:rPr>
      </w:pPr>
    </w:p>
    <w:p w14:paraId="72DAD8C7" w14:textId="74153E40" w:rsidR="007E32BF" w:rsidRPr="00FD02FE" w:rsidRDefault="00EC7617" w:rsidP="007E32BF">
      <w:pPr>
        <w:spacing w:after="120"/>
        <w:ind w:left="709" w:right="709"/>
        <w:jc w:val="both"/>
        <w:rPr>
          <w:rFonts w:ascii="Arial" w:hAnsi="Arial" w:cs="Arial"/>
          <w:sz w:val="21"/>
          <w:szCs w:val="21"/>
        </w:rPr>
      </w:pPr>
      <w:proofErr w:type="spellStart"/>
      <w:r>
        <w:rPr>
          <w:rFonts w:ascii="Arial" w:hAnsi="Arial" w:cs="Arial"/>
          <w:sz w:val="21"/>
          <w:szCs w:val="21"/>
        </w:rPr>
        <w:t>ii</w:t>
      </w:r>
      <w:proofErr w:type="spellEnd"/>
      <w:r>
        <w:rPr>
          <w:rFonts w:ascii="Arial" w:hAnsi="Arial" w:cs="Arial"/>
          <w:sz w:val="21"/>
          <w:szCs w:val="21"/>
        </w:rPr>
        <w:t>)</w:t>
      </w:r>
      <w:r w:rsidR="007E32BF" w:rsidRPr="00FD02FE">
        <w:rPr>
          <w:rFonts w:ascii="Arial" w:hAnsi="Arial" w:cs="Arial"/>
          <w:sz w:val="21"/>
          <w:szCs w:val="21"/>
        </w:rPr>
        <w:t xml:space="preserve">. </w:t>
      </w:r>
      <w:r w:rsidR="004A604E">
        <w:rPr>
          <w:rFonts w:ascii="Arial" w:hAnsi="Arial" w:cs="Arial"/>
          <w:sz w:val="21"/>
          <w:szCs w:val="21"/>
        </w:rPr>
        <w:t>«</w:t>
      </w:r>
      <w:r w:rsidR="007E32BF" w:rsidRPr="00FD02FE">
        <w:rPr>
          <w:rFonts w:ascii="Arial" w:hAnsi="Arial" w:cs="Arial"/>
          <w:sz w:val="21"/>
          <w:szCs w:val="21"/>
        </w:rPr>
        <w:t>¿Cómo se aplica el literal C. del numeral 7 del artículo 35 de la Ley 2069 de 2020 […]?</w:t>
      </w:r>
      <w:r w:rsidR="004A604E">
        <w:rPr>
          <w:rFonts w:ascii="Arial" w:hAnsi="Arial" w:cs="Arial"/>
          <w:sz w:val="21"/>
          <w:szCs w:val="21"/>
        </w:rPr>
        <w:t>».</w:t>
      </w:r>
    </w:p>
    <w:p w14:paraId="50BB313E" w14:textId="49B18956" w:rsidR="007E32BF" w:rsidRPr="00FD02FE" w:rsidRDefault="004A604E" w:rsidP="00D33235">
      <w:pPr>
        <w:ind w:left="709" w:right="709"/>
        <w:jc w:val="both"/>
        <w:rPr>
          <w:rFonts w:ascii="Arial" w:hAnsi="Arial" w:cs="Arial"/>
          <w:sz w:val="21"/>
          <w:szCs w:val="21"/>
        </w:rPr>
      </w:pPr>
      <w:proofErr w:type="spellStart"/>
      <w:r>
        <w:rPr>
          <w:rFonts w:ascii="Arial" w:hAnsi="Arial" w:cs="Arial"/>
          <w:sz w:val="21"/>
          <w:szCs w:val="21"/>
        </w:rPr>
        <w:t>iii</w:t>
      </w:r>
      <w:proofErr w:type="spellEnd"/>
      <w:r>
        <w:rPr>
          <w:rFonts w:ascii="Arial" w:hAnsi="Arial" w:cs="Arial"/>
          <w:sz w:val="21"/>
          <w:szCs w:val="21"/>
        </w:rPr>
        <w:t>)</w:t>
      </w:r>
      <w:r w:rsidR="007E32BF" w:rsidRPr="00FD02FE">
        <w:rPr>
          <w:rFonts w:ascii="Arial" w:hAnsi="Arial" w:cs="Arial"/>
          <w:sz w:val="21"/>
          <w:szCs w:val="21"/>
        </w:rPr>
        <w:t xml:space="preserve">. </w:t>
      </w:r>
      <w:r>
        <w:rPr>
          <w:rFonts w:ascii="Arial" w:hAnsi="Arial" w:cs="Arial"/>
          <w:sz w:val="21"/>
          <w:szCs w:val="21"/>
        </w:rPr>
        <w:t>«</w:t>
      </w:r>
      <w:r w:rsidR="007E32BF" w:rsidRPr="00FD02FE">
        <w:rPr>
          <w:rFonts w:ascii="Arial" w:hAnsi="Arial" w:cs="Arial"/>
          <w:sz w:val="21"/>
          <w:szCs w:val="21"/>
        </w:rPr>
        <w:t>¿Como (sic) se aplica el literal C. del numeral 10 del artículo 35 de la Ley 2069 de 2020 […]?</w:t>
      </w:r>
      <w:r>
        <w:rPr>
          <w:rFonts w:ascii="Arial" w:hAnsi="Arial" w:cs="Arial"/>
          <w:sz w:val="21"/>
          <w:szCs w:val="21"/>
        </w:rPr>
        <w:t>».</w:t>
      </w:r>
    </w:p>
    <w:p w14:paraId="70669EE7" w14:textId="77777777" w:rsidR="00E31632" w:rsidRPr="00D33235" w:rsidRDefault="00E31632" w:rsidP="00D33235">
      <w:pPr>
        <w:spacing w:line="276" w:lineRule="auto"/>
        <w:ind w:left="709" w:right="709"/>
        <w:jc w:val="both"/>
        <w:rPr>
          <w:rFonts w:ascii="Arial" w:hAnsi="Arial" w:cs="Arial"/>
          <w:color w:val="000000" w:themeColor="text1"/>
          <w:sz w:val="22"/>
          <w:szCs w:val="22"/>
          <w:lang w:val="es-ES_tradnl"/>
        </w:rPr>
      </w:pPr>
    </w:p>
    <w:p w14:paraId="621D7DA9" w14:textId="231D13C0" w:rsidR="00947DDB" w:rsidRDefault="00E31632" w:rsidP="00D33235">
      <w:pPr>
        <w:spacing w:after="120" w:line="276" w:lineRule="auto"/>
        <w:jc w:val="both"/>
        <w:rPr>
          <w:rFonts w:ascii="Arial" w:hAnsi="Arial" w:cs="Arial"/>
          <w:color w:val="000000" w:themeColor="text1"/>
          <w:sz w:val="22"/>
          <w:szCs w:val="22"/>
          <w:lang w:val="es-ES_tradnl"/>
        </w:rPr>
      </w:pPr>
      <w:r w:rsidRPr="005419DA">
        <w:rPr>
          <w:rFonts w:ascii="Arial" w:hAnsi="Arial" w:cs="Arial"/>
          <w:color w:val="000000" w:themeColor="text1"/>
          <w:sz w:val="22"/>
          <w:szCs w:val="22"/>
          <w:lang w:val="es-ES_tradnl"/>
        </w:rPr>
        <w:t xml:space="preserve">Lo que indica </w:t>
      </w:r>
      <w:r w:rsidR="00CD5C72">
        <w:rPr>
          <w:rFonts w:ascii="Arial" w:hAnsi="Arial" w:cs="Arial"/>
          <w:color w:val="000000" w:themeColor="text1"/>
          <w:sz w:val="22"/>
          <w:szCs w:val="22"/>
          <w:lang w:val="es-ES_tradnl"/>
        </w:rPr>
        <w:t>el</w:t>
      </w:r>
      <w:r w:rsidRPr="005419DA">
        <w:rPr>
          <w:rFonts w:ascii="Arial" w:hAnsi="Arial" w:cs="Arial"/>
          <w:color w:val="000000" w:themeColor="text1"/>
          <w:sz w:val="22"/>
          <w:szCs w:val="22"/>
          <w:lang w:val="es-ES_tradnl"/>
        </w:rPr>
        <w:t xml:space="preserve"> literal</w:t>
      </w:r>
      <w:r w:rsidR="004A604E">
        <w:rPr>
          <w:rFonts w:ascii="Arial" w:hAnsi="Arial" w:cs="Arial"/>
          <w:color w:val="000000" w:themeColor="text1"/>
          <w:sz w:val="22"/>
          <w:szCs w:val="22"/>
          <w:lang w:val="es-ES_tradnl"/>
        </w:rPr>
        <w:t xml:space="preserve"> c)</w:t>
      </w:r>
      <w:r w:rsidRPr="005419DA">
        <w:rPr>
          <w:rFonts w:ascii="Arial" w:hAnsi="Arial" w:cs="Arial"/>
          <w:color w:val="000000" w:themeColor="text1"/>
          <w:sz w:val="22"/>
          <w:szCs w:val="22"/>
          <w:lang w:val="es-ES_tradnl"/>
        </w:rPr>
        <w:t xml:space="preserve"> </w:t>
      </w:r>
      <w:r w:rsidR="004A604E">
        <w:rPr>
          <w:rFonts w:ascii="Arial" w:hAnsi="Arial" w:cs="Arial"/>
          <w:color w:val="000000" w:themeColor="text1"/>
          <w:sz w:val="22"/>
          <w:szCs w:val="22"/>
          <w:lang w:val="es-ES_tradnl"/>
        </w:rPr>
        <w:t>de</w:t>
      </w:r>
      <w:r w:rsidR="00AB3FCD">
        <w:rPr>
          <w:rFonts w:ascii="Arial" w:hAnsi="Arial" w:cs="Arial"/>
          <w:color w:val="000000" w:themeColor="text1"/>
          <w:sz w:val="22"/>
          <w:szCs w:val="22"/>
          <w:lang w:val="es-ES_tradnl"/>
        </w:rPr>
        <w:t xml:space="preserve">l numeral 7 </w:t>
      </w:r>
      <w:r w:rsidR="004A604E">
        <w:rPr>
          <w:rFonts w:ascii="Arial" w:hAnsi="Arial" w:cs="Arial"/>
          <w:color w:val="000000" w:themeColor="text1"/>
          <w:sz w:val="22"/>
          <w:szCs w:val="22"/>
          <w:lang w:val="es-ES_tradnl"/>
        </w:rPr>
        <w:t xml:space="preserve">del artículo </w:t>
      </w:r>
      <w:r w:rsidR="00025BB0">
        <w:rPr>
          <w:rFonts w:ascii="Arial" w:hAnsi="Arial" w:cs="Arial"/>
          <w:color w:val="000000" w:themeColor="text1"/>
          <w:sz w:val="22"/>
          <w:szCs w:val="22"/>
          <w:lang w:val="es-ES_tradnl"/>
        </w:rPr>
        <w:t>35 de la Ley de Emprendimiento</w:t>
      </w:r>
      <w:r w:rsidR="00AB3FCD">
        <w:rPr>
          <w:rFonts w:ascii="Arial" w:hAnsi="Arial" w:cs="Arial"/>
          <w:color w:val="000000" w:themeColor="text1"/>
          <w:sz w:val="22"/>
          <w:szCs w:val="22"/>
          <w:lang w:val="es-ES_tradnl"/>
        </w:rPr>
        <w:t xml:space="preserve"> </w:t>
      </w:r>
      <w:r w:rsidRPr="005419DA">
        <w:rPr>
          <w:rFonts w:ascii="Arial" w:hAnsi="Arial" w:cs="Arial"/>
          <w:color w:val="000000" w:themeColor="text1"/>
          <w:sz w:val="22"/>
          <w:szCs w:val="22"/>
          <w:lang w:val="es-ES_tradnl"/>
        </w:rPr>
        <w:t>es que debe preferir</w:t>
      </w:r>
      <w:r w:rsidR="00025BB0">
        <w:rPr>
          <w:rFonts w:ascii="Arial" w:hAnsi="Arial" w:cs="Arial"/>
          <w:color w:val="000000" w:themeColor="text1"/>
          <w:sz w:val="22"/>
          <w:szCs w:val="22"/>
          <w:lang w:val="es-ES_tradnl"/>
        </w:rPr>
        <w:t>se</w:t>
      </w:r>
      <w:r w:rsidRPr="005419DA">
        <w:rPr>
          <w:rFonts w:ascii="Arial" w:hAnsi="Arial" w:cs="Arial"/>
          <w:color w:val="000000" w:themeColor="text1"/>
          <w:sz w:val="22"/>
          <w:szCs w:val="22"/>
          <w:lang w:val="es-ES_tradnl"/>
        </w:rPr>
        <w:t xml:space="preserve"> la oferta del proponente plural, </w:t>
      </w:r>
      <w:r w:rsidR="00CD5C72">
        <w:rPr>
          <w:rFonts w:ascii="Arial" w:hAnsi="Arial" w:cs="Arial"/>
          <w:color w:val="000000" w:themeColor="text1"/>
          <w:sz w:val="22"/>
          <w:szCs w:val="22"/>
          <w:lang w:val="es-ES_tradnl"/>
        </w:rPr>
        <w:t xml:space="preserve">en el que la </w:t>
      </w:r>
      <w:r w:rsidR="00D171D5" w:rsidRPr="005419DA">
        <w:rPr>
          <w:rFonts w:ascii="Arial" w:hAnsi="Arial" w:cs="Arial"/>
          <w:color w:val="000000" w:themeColor="text1"/>
          <w:sz w:val="22"/>
          <w:szCs w:val="22"/>
          <w:lang w:val="es-ES_tradnl"/>
        </w:rPr>
        <w:t>madre cabeza de familia</w:t>
      </w:r>
      <w:r w:rsidR="00D171D5">
        <w:rPr>
          <w:rFonts w:ascii="Arial" w:hAnsi="Arial" w:cs="Arial"/>
          <w:color w:val="000000" w:themeColor="text1"/>
          <w:sz w:val="22"/>
          <w:szCs w:val="22"/>
          <w:lang w:val="es-ES_tradnl"/>
        </w:rPr>
        <w:t xml:space="preserve">, </w:t>
      </w:r>
      <w:r w:rsidR="00D171D5" w:rsidRPr="005419DA">
        <w:rPr>
          <w:rFonts w:ascii="Arial" w:hAnsi="Arial" w:cs="Arial"/>
          <w:color w:val="000000" w:themeColor="text1"/>
          <w:sz w:val="22"/>
          <w:szCs w:val="22"/>
          <w:lang w:val="es-ES_tradnl"/>
        </w:rPr>
        <w:t>la persona en proceso de reincorporación o reintegración</w:t>
      </w:r>
      <w:r w:rsidR="00D171D5">
        <w:rPr>
          <w:rFonts w:ascii="Arial" w:hAnsi="Arial" w:cs="Arial"/>
          <w:color w:val="000000" w:themeColor="text1"/>
          <w:sz w:val="22"/>
          <w:szCs w:val="22"/>
          <w:lang w:val="es-ES_tradnl"/>
        </w:rPr>
        <w:t xml:space="preserve"> </w:t>
      </w:r>
      <w:r w:rsidR="002A2C55">
        <w:rPr>
          <w:rFonts w:ascii="Arial" w:hAnsi="Arial" w:cs="Arial"/>
          <w:color w:val="000000" w:themeColor="text1"/>
          <w:sz w:val="22"/>
          <w:szCs w:val="22"/>
          <w:lang w:val="es-ES_tradnl"/>
        </w:rPr>
        <w:t>y</w:t>
      </w:r>
      <w:r w:rsidR="00D171D5">
        <w:rPr>
          <w:rFonts w:ascii="Arial" w:hAnsi="Arial" w:cs="Arial"/>
          <w:color w:val="000000" w:themeColor="text1"/>
          <w:sz w:val="22"/>
          <w:szCs w:val="22"/>
          <w:lang w:val="es-ES_tradnl"/>
        </w:rPr>
        <w:t xml:space="preserve"> las personas jurídicas en que estos participen mayoritariamente</w:t>
      </w:r>
      <w:r w:rsidR="00F454F6">
        <w:rPr>
          <w:rFonts w:ascii="Arial" w:hAnsi="Arial" w:cs="Arial"/>
          <w:color w:val="000000" w:themeColor="text1"/>
          <w:sz w:val="22"/>
          <w:szCs w:val="22"/>
          <w:lang w:val="es-ES_tradnl"/>
        </w:rPr>
        <w:t>,</w:t>
      </w:r>
      <w:r w:rsidR="00D171D5">
        <w:rPr>
          <w:rFonts w:ascii="Arial" w:hAnsi="Arial" w:cs="Arial"/>
          <w:color w:val="000000" w:themeColor="text1"/>
          <w:sz w:val="22"/>
          <w:szCs w:val="22"/>
          <w:lang w:val="es-ES_tradnl"/>
        </w:rPr>
        <w:t xml:space="preserve"> </w:t>
      </w:r>
      <w:r w:rsidR="002A2C55">
        <w:rPr>
          <w:rFonts w:ascii="Arial" w:hAnsi="Arial" w:cs="Arial"/>
          <w:color w:val="000000" w:themeColor="text1"/>
          <w:sz w:val="22"/>
          <w:szCs w:val="22"/>
          <w:lang w:val="es-ES_tradnl"/>
        </w:rPr>
        <w:t>no tengan relación</w:t>
      </w:r>
      <w:r w:rsidR="00E67C15">
        <w:rPr>
          <w:rFonts w:ascii="Arial" w:hAnsi="Arial" w:cs="Arial"/>
          <w:color w:val="000000" w:themeColor="text1"/>
          <w:sz w:val="22"/>
          <w:szCs w:val="22"/>
          <w:lang w:val="es-ES_tradnl"/>
        </w:rPr>
        <w:t xml:space="preserve"> con los miembros del consorcio o la unión temporal</w:t>
      </w:r>
      <w:r w:rsidR="00F454F6">
        <w:rPr>
          <w:rFonts w:ascii="Arial" w:hAnsi="Arial" w:cs="Arial"/>
          <w:color w:val="000000" w:themeColor="text1"/>
          <w:sz w:val="22"/>
          <w:szCs w:val="22"/>
          <w:lang w:val="es-ES_tradnl"/>
        </w:rPr>
        <w:t xml:space="preserve">. </w:t>
      </w:r>
      <w:r w:rsidR="000C3C3C">
        <w:rPr>
          <w:rFonts w:ascii="Arial" w:hAnsi="Arial" w:cs="Arial"/>
          <w:color w:val="000000" w:themeColor="text1"/>
          <w:sz w:val="22"/>
          <w:szCs w:val="22"/>
          <w:lang w:val="es-ES_tradnl"/>
        </w:rPr>
        <w:t>Para efectos de la norma</w:t>
      </w:r>
      <w:r w:rsidR="00F454F6">
        <w:rPr>
          <w:rFonts w:ascii="Arial" w:hAnsi="Arial" w:cs="Arial"/>
          <w:color w:val="000000" w:themeColor="text1"/>
          <w:sz w:val="22"/>
          <w:szCs w:val="22"/>
          <w:lang w:val="es-ES_tradnl"/>
        </w:rPr>
        <w:t xml:space="preserve">, </w:t>
      </w:r>
      <w:r w:rsidRPr="005419DA">
        <w:rPr>
          <w:rFonts w:ascii="Arial" w:hAnsi="Arial" w:cs="Arial"/>
          <w:color w:val="000000" w:themeColor="text1"/>
          <w:sz w:val="22"/>
          <w:szCs w:val="22"/>
          <w:lang w:val="es-ES_tradnl"/>
        </w:rPr>
        <w:t xml:space="preserve">ni la madre cabeza de familia, ni la persona en proceso de reincorporación o reintegración, ni la persona jurídica, ni sus accionistas, socios o </w:t>
      </w:r>
      <w:r w:rsidRPr="005419DA">
        <w:rPr>
          <w:rFonts w:ascii="Arial" w:hAnsi="Arial" w:cs="Arial"/>
          <w:color w:val="000000" w:themeColor="text1"/>
          <w:sz w:val="22"/>
          <w:szCs w:val="22"/>
          <w:lang w:val="es-ES_tradnl"/>
        </w:rPr>
        <w:lastRenderedPageBreak/>
        <w:t xml:space="preserve">representantes legales </w:t>
      </w:r>
      <w:r w:rsidR="00475BA6">
        <w:rPr>
          <w:rFonts w:ascii="Arial" w:hAnsi="Arial" w:cs="Arial"/>
          <w:color w:val="000000" w:themeColor="text1"/>
          <w:sz w:val="22"/>
          <w:szCs w:val="22"/>
          <w:lang w:val="es-ES_tradnl"/>
        </w:rPr>
        <w:t>pueden ser</w:t>
      </w:r>
      <w:r w:rsidRPr="005419DA">
        <w:rPr>
          <w:rFonts w:ascii="Arial" w:hAnsi="Arial" w:cs="Arial"/>
          <w:color w:val="000000" w:themeColor="text1"/>
          <w:sz w:val="22"/>
          <w:szCs w:val="22"/>
          <w:lang w:val="es-ES_tradnl"/>
        </w:rPr>
        <w:t xml:space="preserve"> empleados, socios o accionistas de los miembros del proponente plural</w:t>
      </w:r>
      <w:r w:rsidR="00ED0DCD">
        <w:rPr>
          <w:rFonts w:ascii="Arial" w:hAnsi="Arial" w:cs="Arial"/>
          <w:color w:val="000000" w:themeColor="text1"/>
          <w:sz w:val="22"/>
          <w:szCs w:val="22"/>
          <w:lang w:val="es-ES_tradnl"/>
        </w:rPr>
        <w:t xml:space="preserve">. </w:t>
      </w:r>
      <w:r w:rsidR="00E725C6" w:rsidRPr="00A44634">
        <w:rPr>
          <w:rFonts w:ascii="Arial" w:hAnsi="Arial" w:cs="Arial"/>
          <w:color w:val="000000" w:themeColor="text1"/>
          <w:sz w:val="22"/>
          <w:szCs w:val="22"/>
          <w:lang w:val="es-ES_tradnl"/>
        </w:rPr>
        <w:t xml:space="preserve">Así, por ejemplo, la madre cabeza de familia no podrá ser empleada de la </w:t>
      </w:r>
      <w:r w:rsidR="00E725C6">
        <w:rPr>
          <w:rFonts w:ascii="Arial" w:hAnsi="Arial" w:cs="Arial"/>
          <w:color w:val="000000" w:themeColor="text1"/>
          <w:sz w:val="22"/>
          <w:szCs w:val="22"/>
          <w:lang w:val="es-ES_tradnl"/>
        </w:rPr>
        <w:t>«</w:t>
      </w:r>
      <w:r w:rsidR="00E725C6" w:rsidRPr="00A44634">
        <w:rPr>
          <w:rFonts w:ascii="Arial" w:hAnsi="Arial" w:cs="Arial"/>
          <w:color w:val="000000" w:themeColor="text1"/>
          <w:sz w:val="22"/>
          <w:szCs w:val="22"/>
          <w:lang w:val="es-ES_tradnl"/>
        </w:rPr>
        <w:t>sociedad A</w:t>
      </w:r>
      <w:r w:rsidR="00E725C6">
        <w:rPr>
          <w:rFonts w:ascii="Arial" w:hAnsi="Arial" w:cs="Arial"/>
          <w:color w:val="000000" w:themeColor="text1"/>
          <w:sz w:val="22"/>
          <w:szCs w:val="22"/>
          <w:lang w:val="es-ES_tradnl"/>
        </w:rPr>
        <w:t>»</w:t>
      </w:r>
      <w:r w:rsidR="00E725C6" w:rsidRPr="00A44634">
        <w:rPr>
          <w:rFonts w:ascii="Arial" w:hAnsi="Arial" w:cs="Arial"/>
          <w:color w:val="000000" w:themeColor="text1"/>
          <w:sz w:val="22"/>
          <w:szCs w:val="22"/>
          <w:lang w:val="es-ES_tradnl"/>
        </w:rPr>
        <w:t xml:space="preserve"> </w:t>
      </w:r>
      <w:r w:rsidR="00E725C6">
        <w:rPr>
          <w:rFonts w:ascii="Arial" w:hAnsi="Arial" w:cs="Arial"/>
          <w:color w:val="000000" w:themeColor="text1"/>
          <w:sz w:val="22"/>
          <w:szCs w:val="22"/>
          <w:lang w:val="es-ES_tradnl"/>
        </w:rPr>
        <w:t>con la que integra</w:t>
      </w:r>
      <w:r w:rsidR="00E725C6" w:rsidRPr="00A44634">
        <w:rPr>
          <w:rFonts w:ascii="Arial" w:hAnsi="Arial" w:cs="Arial"/>
          <w:color w:val="000000" w:themeColor="text1"/>
          <w:sz w:val="22"/>
          <w:szCs w:val="22"/>
          <w:lang w:val="es-ES_tradnl"/>
        </w:rPr>
        <w:t xml:space="preserve"> </w:t>
      </w:r>
      <w:r w:rsidR="00E725C6">
        <w:rPr>
          <w:rFonts w:ascii="Arial" w:hAnsi="Arial" w:cs="Arial"/>
          <w:color w:val="000000" w:themeColor="text1"/>
          <w:sz w:val="22"/>
          <w:szCs w:val="22"/>
          <w:lang w:val="es-ES_tradnl"/>
        </w:rPr>
        <w:t>un</w:t>
      </w:r>
      <w:r w:rsidR="00E725C6" w:rsidRPr="00A44634">
        <w:rPr>
          <w:rFonts w:ascii="Arial" w:hAnsi="Arial" w:cs="Arial"/>
          <w:color w:val="000000" w:themeColor="text1"/>
          <w:sz w:val="22"/>
          <w:szCs w:val="22"/>
          <w:lang w:val="es-ES_tradnl"/>
        </w:rPr>
        <w:t xml:space="preserve"> consorcio, pero sí deberá tener una participación independiente en </w:t>
      </w:r>
      <w:r w:rsidR="00E725C6">
        <w:rPr>
          <w:rFonts w:ascii="Arial" w:hAnsi="Arial" w:cs="Arial"/>
          <w:color w:val="000000" w:themeColor="text1"/>
          <w:sz w:val="22"/>
          <w:szCs w:val="22"/>
          <w:lang w:val="es-ES_tradnl"/>
        </w:rPr>
        <w:t>este</w:t>
      </w:r>
      <w:r w:rsidR="00E725C6" w:rsidRPr="00A44634">
        <w:rPr>
          <w:rFonts w:ascii="Arial" w:hAnsi="Arial" w:cs="Arial"/>
          <w:color w:val="000000" w:themeColor="text1"/>
          <w:sz w:val="22"/>
          <w:szCs w:val="22"/>
          <w:lang w:val="es-ES_tradnl"/>
        </w:rPr>
        <w:t xml:space="preserve"> y aportarle su experiencia, lo </w:t>
      </w:r>
      <w:r w:rsidR="00E725C6">
        <w:rPr>
          <w:rFonts w:ascii="Arial" w:hAnsi="Arial" w:cs="Arial"/>
          <w:color w:val="000000" w:themeColor="text1"/>
          <w:sz w:val="22"/>
          <w:szCs w:val="22"/>
          <w:lang w:val="es-ES_tradnl"/>
        </w:rPr>
        <w:t>cual</w:t>
      </w:r>
      <w:r w:rsidR="00E725C6" w:rsidRPr="00A44634">
        <w:rPr>
          <w:rFonts w:ascii="Arial" w:hAnsi="Arial" w:cs="Arial"/>
          <w:color w:val="000000" w:themeColor="text1"/>
          <w:sz w:val="22"/>
          <w:szCs w:val="22"/>
          <w:lang w:val="es-ES_tradnl"/>
        </w:rPr>
        <w:t xml:space="preserve"> es bien diferente a ser socia, accionista o empleada de uno de los miembros de dicho proponente plural.</w:t>
      </w:r>
    </w:p>
    <w:p w14:paraId="2BEAE4A7" w14:textId="7CF7D814" w:rsidR="00E31632" w:rsidRPr="005419DA" w:rsidRDefault="00DF75C3" w:rsidP="00D33235">
      <w:pPr>
        <w:spacing w:before="120" w:line="276" w:lineRule="auto"/>
        <w:ind w:firstLine="709"/>
        <w:jc w:val="both"/>
        <w:rPr>
          <w:rFonts w:ascii="Arial" w:hAnsi="Arial" w:cs="Arial"/>
          <w:color w:val="000000" w:themeColor="text1"/>
          <w:sz w:val="22"/>
          <w:szCs w:val="22"/>
          <w:lang w:val="es-ES_tradnl"/>
        </w:rPr>
      </w:pPr>
      <w:r>
        <w:rPr>
          <w:rFonts w:ascii="Arial" w:hAnsi="Arial" w:cs="Arial"/>
          <w:color w:val="000000" w:themeColor="text1"/>
          <w:sz w:val="22"/>
          <w:szCs w:val="22"/>
          <w:lang w:val="es-ES_tradnl"/>
        </w:rPr>
        <w:t>Lo propio ocurre con el numeral 10 cuando el literal c) dispone que «</w:t>
      </w:r>
      <w:r w:rsidRPr="00556583">
        <w:rPr>
          <w:rFonts w:ascii="Arial" w:eastAsia="Calibri" w:hAnsi="Arial" w:cs="Arial"/>
          <w:color w:val="000000" w:themeColor="text1"/>
          <w:sz w:val="22"/>
          <w:szCs w:val="22"/>
          <w:lang w:val="es-ES_tradnl"/>
        </w:rPr>
        <w:t>ni la MIPYME, cooperativa o asociación mutual ni sus accionistas, socios o representantes legales sean empleados, socios o accionistas de los miembros del proponente plural»</w:t>
      </w:r>
      <w:r>
        <w:rPr>
          <w:rFonts w:ascii="Arial" w:eastAsia="Calibri" w:hAnsi="Arial" w:cs="Arial"/>
          <w:color w:val="000000" w:themeColor="text1"/>
          <w:sz w:val="22"/>
          <w:szCs w:val="22"/>
          <w:lang w:val="es-ES_tradnl"/>
        </w:rPr>
        <w:t xml:space="preserve">. En este caso, como en el supuesto anterior, si la sociedad A –en calidad mipyme, </w:t>
      </w:r>
      <w:r w:rsidRPr="00365B2E">
        <w:rPr>
          <w:rFonts w:ascii="Arial" w:eastAsia="Calibri" w:hAnsi="Arial" w:cs="Arial"/>
          <w:color w:val="000000" w:themeColor="text1"/>
          <w:sz w:val="22"/>
          <w:szCs w:val="22"/>
          <w:lang w:val="es-ES_tradnl"/>
        </w:rPr>
        <w:t>cooperativa o asociación mutual</w:t>
      </w:r>
      <w:r>
        <w:rPr>
          <w:rFonts w:ascii="Arial" w:eastAsia="Calibri" w:hAnsi="Arial" w:cs="Arial"/>
          <w:color w:val="000000" w:themeColor="text1"/>
          <w:sz w:val="22"/>
          <w:szCs w:val="22"/>
          <w:lang w:val="es-ES_tradnl"/>
        </w:rPr>
        <w:t xml:space="preserve">– tiene el porcentaje de participación y experiencia dentro del consorcio o la unión temporal, el literal prohíbe que la persona jurídica, así como </w:t>
      </w:r>
      <w:r w:rsidRPr="00556583">
        <w:rPr>
          <w:rFonts w:ascii="Arial" w:eastAsia="Calibri" w:hAnsi="Arial" w:cs="Arial"/>
          <w:color w:val="000000" w:themeColor="text1"/>
          <w:sz w:val="22"/>
          <w:szCs w:val="22"/>
          <w:lang w:val="es-ES_tradnl"/>
        </w:rPr>
        <w:t>sus accionistas, socios o representantes legales</w:t>
      </w:r>
      <w:r>
        <w:rPr>
          <w:rFonts w:ascii="Arial" w:eastAsia="Calibri" w:hAnsi="Arial" w:cs="Arial"/>
          <w:color w:val="000000" w:themeColor="text1"/>
          <w:sz w:val="22"/>
          <w:szCs w:val="22"/>
          <w:lang w:val="es-ES_tradnl"/>
        </w:rPr>
        <w:t xml:space="preserve">, tenga alguna relación con los miembros de proponente plural. Siguiendo con el ejemplo propuesto, si las «sociedad A» aúna esfuerzos con la «sociedad B» en un consorcio, la condición del literal c) del numeral 10 se incumple –entre los demás supuestos descritos en la norma– cuando el representante legal de la mipyme, </w:t>
      </w:r>
      <w:r w:rsidRPr="00365B2E">
        <w:rPr>
          <w:rFonts w:ascii="Arial" w:eastAsia="Calibri" w:hAnsi="Arial" w:cs="Arial"/>
          <w:color w:val="000000" w:themeColor="text1"/>
          <w:sz w:val="22"/>
          <w:szCs w:val="22"/>
          <w:lang w:val="es-ES_tradnl"/>
        </w:rPr>
        <w:t>cooperativa o asociación mutual</w:t>
      </w:r>
      <w:r>
        <w:rPr>
          <w:rFonts w:ascii="Arial" w:eastAsia="Calibri" w:hAnsi="Arial" w:cs="Arial"/>
          <w:color w:val="000000" w:themeColor="text1"/>
          <w:sz w:val="22"/>
          <w:szCs w:val="22"/>
          <w:lang w:val="es-ES_tradnl"/>
        </w:rPr>
        <w:t xml:space="preserve"> que tiene el porcentaje de participación y experiencia</w:t>
      </w:r>
      <w:r w:rsidR="00FA29E7">
        <w:rPr>
          <w:rFonts w:ascii="Arial" w:eastAsia="Calibri" w:hAnsi="Arial" w:cs="Arial"/>
          <w:color w:val="000000" w:themeColor="text1"/>
          <w:sz w:val="22"/>
          <w:szCs w:val="22"/>
          <w:lang w:val="es-ES_tradnl"/>
        </w:rPr>
        <w:t xml:space="preserve"> requerido,</w:t>
      </w:r>
      <w:r>
        <w:rPr>
          <w:rFonts w:ascii="Arial" w:eastAsia="Calibri" w:hAnsi="Arial" w:cs="Arial"/>
          <w:color w:val="000000" w:themeColor="text1"/>
          <w:sz w:val="22"/>
          <w:szCs w:val="22"/>
          <w:lang w:val="es-ES_tradnl"/>
        </w:rPr>
        <w:t xml:space="preserve"> también es accionista de la «sociedad B».</w:t>
      </w:r>
    </w:p>
    <w:p w14:paraId="43894C4C" w14:textId="77777777" w:rsidR="00E31632" w:rsidRPr="005419DA" w:rsidRDefault="00E31632" w:rsidP="00E31632">
      <w:pPr>
        <w:spacing w:after="120" w:line="276" w:lineRule="auto"/>
        <w:jc w:val="both"/>
        <w:rPr>
          <w:rFonts w:ascii="Arial" w:hAnsi="Arial" w:cs="Arial"/>
          <w:color w:val="000000" w:themeColor="text1"/>
          <w:sz w:val="22"/>
          <w:szCs w:val="22"/>
          <w:lang w:val="es-ES_tradnl"/>
        </w:rPr>
      </w:pPr>
    </w:p>
    <w:p w14:paraId="0540DB07" w14:textId="77777777" w:rsidR="00E31632" w:rsidRPr="005419DA" w:rsidRDefault="00E31632" w:rsidP="00E31632">
      <w:pPr>
        <w:spacing w:line="276" w:lineRule="auto"/>
        <w:jc w:val="both"/>
        <w:rPr>
          <w:rFonts w:ascii="Arial" w:hAnsi="Arial" w:cs="Arial"/>
          <w:color w:val="000000" w:themeColor="text1"/>
          <w:sz w:val="22"/>
          <w:lang w:val="es-ES_tradnl"/>
        </w:rPr>
      </w:pPr>
      <w:r w:rsidRPr="005419DA">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241F3FBC" w14:textId="77777777" w:rsidR="00E31632" w:rsidRPr="005419DA" w:rsidRDefault="00E31632" w:rsidP="00E3163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5DDCDEDF" w14:textId="77777777" w:rsidR="00E31632" w:rsidRPr="005419DA" w:rsidRDefault="00E31632" w:rsidP="00E3163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5419DA">
        <w:rPr>
          <w:rFonts w:ascii="Arial" w:hAnsi="Arial" w:cs="Arial"/>
          <w:color w:val="000000" w:themeColor="text1"/>
          <w:sz w:val="22"/>
          <w:szCs w:val="22"/>
          <w:lang w:val="es-ES_tradnl"/>
        </w:rPr>
        <w:t>Atentamente,</w:t>
      </w:r>
    </w:p>
    <w:p w14:paraId="7D5EE71A" w14:textId="77777777" w:rsidR="00E31632" w:rsidRPr="005419DA" w:rsidRDefault="00E31632" w:rsidP="00E3163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65C6AD43" w14:textId="51E6FD11" w:rsidR="00E31632" w:rsidRDefault="0002773F" w:rsidP="00E31632">
      <w:pPr>
        <w:spacing w:line="276" w:lineRule="auto"/>
        <w:jc w:val="center"/>
        <w:rPr>
          <w:rFonts w:ascii="Arial" w:hAnsi="Arial" w:cs="Arial"/>
          <w:color w:val="000000" w:themeColor="text1"/>
          <w:sz w:val="18"/>
          <w:szCs w:val="20"/>
          <w:lang w:val="es-ES_tradnl" w:eastAsia="es-CO"/>
        </w:rPr>
      </w:pPr>
      <w:r>
        <w:rPr>
          <w:rFonts w:ascii="Arial" w:hAnsi="Arial" w:cs="Arial"/>
          <w:noProof/>
          <w:color w:val="000000" w:themeColor="text1"/>
          <w:sz w:val="18"/>
          <w:szCs w:val="20"/>
        </w:rPr>
        <w:drawing>
          <wp:inline distT="0" distB="0" distL="0" distR="0" wp14:anchorId="4C6B7D52" wp14:editId="52B38A87">
            <wp:extent cx="2047297" cy="905774"/>
            <wp:effectExtent l="0" t="0" r="0" b="889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5063" cy="913634"/>
                    </a:xfrm>
                    <a:prstGeom prst="rect">
                      <a:avLst/>
                    </a:prstGeom>
                    <a:noFill/>
                    <a:ln>
                      <a:noFill/>
                    </a:ln>
                  </pic:spPr>
                </pic:pic>
              </a:graphicData>
            </a:graphic>
          </wp:inline>
        </w:drawing>
      </w:r>
    </w:p>
    <w:p w14:paraId="258756CF" w14:textId="77777777" w:rsidR="0002773F" w:rsidRPr="00C4589F" w:rsidRDefault="0002773F" w:rsidP="00E31632">
      <w:pPr>
        <w:spacing w:line="276" w:lineRule="auto"/>
        <w:jc w:val="center"/>
        <w:rPr>
          <w:rFonts w:ascii="Arial" w:hAnsi="Arial" w:cs="Arial"/>
          <w:color w:val="000000" w:themeColor="text1"/>
          <w:sz w:val="18"/>
          <w:szCs w:val="20"/>
          <w:lang w:val="es-ES_tradnl" w:eastAsia="es-CO"/>
        </w:rPr>
      </w:pPr>
    </w:p>
    <w:tbl>
      <w:tblPr>
        <w:tblStyle w:val="Tablaconcuadrcula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E31632" w:rsidRPr="00C4589F" w14:paraId="13DF9BEF" w14:textId="77777777" w:rsidTr="00351243">
        <w:trPr>
          <w:trHeight w:val="315"/>
        </w:trPr>
        <w:tc>
          <w:tcPr>
            <w:tcW w:w="812" w:type="dxa"/>
            <w:vAlign w:val="center"/>
            <w:hideMark/>
          </w:tcPr>
          <w:p w14:paraId="11F1CE57" w14:textId="77777777" w:rsidR="00E31632" w:rsidRPr="00C4589F" w:rsidRDefault="00E31632" w:rsidP="00351243">
            <w:pPr>
              <w:spacing w:line="276" w:lineRule="auto"/>
              <w:rPr>
                <w:rFonts w:ascii="Arial" w:hAnsi="Arial" w:cs="Arial"/>
                <w:color w:val="000000" w:themeColor="text1"/>
                <w:sz w:val="16"/>
                <w:szCs w:val="16"/>
                <w:lang w:val="es-ES_tradnl" w:eastAsia="es-ES"/>
              </w:rPr>
            </w:pPr>
            <w:r w:rsidRPr="00C4589F">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0485A1C5" w14:textId="77777777" w:rsidR="00E31632" w:rsidRPr="009A5867" w:rsidRDefault="00E31632" w:rsidP="009A5867">
            <w:pPr>
              <w:rPr>
                <w:rFonts w:ascii="Arial" w:hAnsi="Arial" w:cs="Arial"/>
                <w:sz w:val="16"/>
                <w:szCs w:val="16"/>
                <w:lang w:val="es-ES_tradnl" w:eastAsia="es-ES"/>
              </w:rPr>
            </w:pPr>
            <w:r w:rsidRPr="009A5867">
              <w:rPr>
                <w:rFonts w:ascii="Arial" w:hAnsi="Arial" w:cs="Arial"/>
                <w:sz w:val="16"/>
                <w:szCs w:val="16"/>
                <w:lang w:val="es-ES_tradnl" w:eastAsia="es-ES"/>
              </w:rPr>
              <w:t>Carlos Mario Castrillón Endo</w:t>
            </w:r>
          </w:p>
          <w:p w14:paraId="159BC4F5" w14:textId="77777777" w:rsidR="00E31632" w:rsidRPr="00C4589F" w:rsidRDefault="00E31632" w:rsidP="009A5867">
            <w:pPr>
              <w:rPr>
                <w:rFonts w:ascii="Arial" w:hAnsi="Arial" w:cs="Arial"/>
                <w:color w:val="000000" w:themeColor="text1"/>
                <w:sz w:val="16"/>
                <w:szCs w:val="16"/>
                <w:lang w:val="es-ES_tradnl" w:eastAsia="es-ES"/>
              </w:rPr>
            </w:pPr>
            <w:r w:rsidRPr="009A5867">
              <w:rPr>
                <w:rFonts w:ascii="Arial" w:hAnsi="Arial" w:cs="Arial"/>
                <w:sz w:val="16"/>
                <w:szCs w:val="16"/>
                <w:lang w:val="es-ES_tradnl" w:eastAsia="es-ES"/>
              </w:rPr>
              <w:t>Contratista de la Subdirección</w:t>
            </w:r>
            <w:r w:rsidRPr="00C4589F">
              <w:rPr>
                <w:rFonts w:ascii="Arial" w:hAnsi="Arial" w:cs="Arial"/>
                <w:color w:val="000000" w:themeColor="text1"/>
                <w:sz w:val="16"/>
                <w:szCs w:val="16"/>
                <w:lang w:val="es-ES_tradnl" w:eastAsia="es-ES"/>
              </w:rPr>
              <w:t xml:space="preserve"> de Gestión Contractual</w:t>
            </w:r>
          </w:p>
        </w:tc>
      </w:tr>
      <w:tr w:rsidR="00E31632" w:rsidRPr="00C4589F" w14:paraId="062B9393" w14:textId="77777777" w:rsidTr="00351243">
        <w:trPr>
          <w:trHeight w:val="330"/>
        </w:trPr>
        <w:tc>
          <w:tcPr>
            <w:tcW w:w="812" w:type="dxa"/>
            <w:vAlign w:val="center"/>
            <w:hideMark/>
          </w:tcPr>
          <w:p w14:paraId="046DEAC2" w14:textId="77777777" w:rsidR="00E31632" w:rsidRPr="00C4589F" w:rsidRDefault="00E31632" w:rsidP="00351243">
            <w:pPr>
              <w:spacing w:line="276" w:lineRule="auto"/>
              <w:rPr>
                <w:rFonts w:ascii="Arial" w:hAnsi="Arial" w:cs="Arial"/>
                <w:color w:val="000000" w:themeColor="text1"/>
                <w:sz w:val="16"/>
                <w:szCs w:val="16"/>
                <w:lang w:val="es-ES_tradnl" w:eastAsia="es-ES"/>
              </w:rPr>
            </w:pPr>
            <w:r w:rsidRPr="00C4589F">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7D3BA2B" w14:textId="77777777" w:rsidR="00E31632" w:rsidRPr="00C4589F" w:rsidRDefault="00E31632" w:rsidP="00351243">
            <w:pPr>
              <w:rPr>
                <w:rFonts w:ascii="Arial" w:hAnsi="Arial" w:cs="Arial"/>
                <w:sz w:val="16"/>
                <w:szCs w:val="16"/>
                <w:lang w:val="es-ES_tradnl" w:eastAsia="es-ES"/>
              </w:rPr>
            </w:pPr>
            <w:r w:rsidRPr="00C4589F">
              <w:rPr>
                <w:rFonts w:ascii="Arial" w:hAnsi="Arial" w:cs="Arial"/>
                <w:sz w:val="16"/>
                <w:szCs w:val="16"/>
                <w:lang w:val="es-ES_tradnl" w:eastAsia="es-ES"/>
              </w:rPr>
              <w:t xml:space="preserve">Juan David Montoya Penagos </w:t>
            </w:r>
          </w:p>
          <w:p w14:paraId="6099C51B" w14:textId="77777777" w:rsidR="00E31632" w:rsidRPr="00C4589F" w:rsidRDefault="00E31632" w:rsidP="00351243">
            <w:pPr>
              <w:rPr>
                <w:rFonts w:ascii="Arial" w:hAnsi="Arial" w:cs="Arial"/>
                <w:color w:val="000000" w:themeColor="text1"/>
                <w:sz w:val="16"/>
                <w:szCs w:val="16"/>
                <w:lang w:val="es-ES_tradnl" w:eastAsia="es-ES"/>
              </w:rPr>
            </w:pPr>
            <w:r w:rsidRPr="00C4589F">
              <w:rPr>
                <w:rFonts w:ascii="Arial" w:hAnsi="Arial" w:cs="Arial"/>
                <w:sz w:val="16"/>
                <w:szCs w:val="16"/>
                <w:lang w:val="es-ES_tradnl" w:eastAsia="es-ES"/>
              </w:rPr>
              <w:t>Gestor T1-15 de la Subdirección de Gestión Contractual</w:t>
            </w:r>
          </w:p>
        </w:tc>
      </w:tr>
      <w:tr w:rsidR="00E31632" w:rsidRPr="00C4589F" w14:paraId="5CD1B2A7" w14:textId="77777777" w:rsidTr="00351243">
        <w:trPr>
          <w:trHeight w:val="300"/>
        </w:trPr>
        <w:tc>
          <w:tcPr>
            <w:tcW w:w="812" w:type="dxa"/>
            <w:vAlign w:val="center"/>
            <w:hideMark/>
          </w:tcPr>
          <w:p w14:paraId="50C91E0E" w14:textId="77777777" w:rsidR="00E31632" w:rsidRPr="00C4589F" w:rsidRDefault="00E31632" w:rsidP="00351243">
            <w:pPr>
              <w:spacing w:line="276" w:lineRule="auto"/>
              <w:rPr>
                <w:rFonts w:ascii="Arial" w:hAnsi="Arial" w:cs="Arial"/>
                <w:color w:val="000000" w:themeColor="text1"/>
                <w:sz w:val="16"/>
                <w:szCs w:val="16"/>
                <w:lang w:val="es-ES_tradnl" w:eastAsia="es-ES"/>
              </w:rPr>
            </w:pPr>
            <w:r w:rsidRPr="00C4589F">
              <w:rPr>
                <w:rFonts w:ascii="Arial" w:hAnsi="Arial" w:cs="Arial"/>
                <w:color w:val="000000" w:themeColor="text1"/>
                <w:sz w:val="16"/>
                <w:szCs w:val="16"/>
                <w:lang w:val="es-ES_tradnl" w:eastAsia="es-ES"/>
              </w:rPr>
              <w:t>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E92ED01" w14:textId="77777777" w:rsidR="00E31632" w:rsidRPr="00C4589F" w:rsidRDefault="00E31632" w:rsidP="00351243">
            <w:pPr>
              <w:rPr>
                <w:rFonts w:ascii="Arial" w:hAnsi="Arial" w:cs="Arial"/>
                <w:color w:val="000000" w:themeColor="text1"/>
                <w:sz w:val="16"/>
                <w:szCs w:val="16"/>
                <w:lang w:val="es-ES" w:eastAsia="es-ES"/>
              </w:rPr>
            </w:pPr>
            <w:r w:rsidRPr="00C4589F">
              <w:rPr>
                <w:rFonts w:ascii="Arial" w:hAnsi="Arial" w:cs="Arial"/>
                <w:color w:val="000000" w:themeColor="text1"/>
                <w:sz w:val="16"/>
                <w:szCs w:val="16"/>
                <w:lang w:val="es-ES" w:eastAsia="es-ES"/>
              </w:rPr>
              <w:t>Jorge Augusto Tirado Navarro</w:t>
            </w:r>
          </w:p>
          <w:p w14:paraId="759B2B1B" w14:textId="3417BE4B" w:rsidR="00E31632" w:rsidRPr="00C4589F" w:rsidRDefault="00E31632" w:rsidP="00351243">
            <w:pPr>
              <w:spacing w:line="276" w:lineRule="auto"/>
              <w:rPr>
                <w:rFonts w:ascii="Arial" w:hAnsi="Arial" w:cs="Arial"/>
                <w:color w:val="000000" w:themeColor="text1"/>
                <w:sz w:val="16"/>
                <w:szCs w:val="16"/>
                <w:lang w:val="es-ES_tradnl" w:eastAsia="es-ES"/>
              </w:rPr>
            </w:pPr>
            <w:r w:rsidRPr="00C4589F">
              <w:rPr>
                <w:rFonts w:ascii="Arial" w:hAnsi="Arial" w:cs="Arial"/>
                <w:color w:val="000000" w:themeColor="text1"/>
                <w:sz w:val="16"/>
                <w:szCs w:val="16"/>
                <w:lang w:val="es-ES_tradnl" w:eastAsia="es-ES"/>
              </w:rPr>
              <w:t>Subdirector de Gestión Contractual</w:t>
            </w:r>
            <w:r w:rsidR="00DF75C3">
              <w:rPr>
                <w:rFonts w:ascii="Arial" w:hAnsi="Arial" w:cs="Arial"/>
                <w:color w:val="000000" w:themeColor="text1"/>
                <w:sz w:val="16"/>
                <w:szCs w:val="16"/>
                <w:lang w:val="es-ES_tradnl" w:eastAsia="es-ES"/>
              </w:rPr>
              <w:t xml:space="preserve"> ANCP – CCE</w:t>
            </w:r>
          </w:p>
        </w:tc>
      </w:tr>
    </w:tbl>
    <w:p w14:paraId="73BF96A4" w14:textId="77777777" w:rsidR="00E31632" w:rsidRPr="00C4589F" w:rsidRDefault="00E31632" w:rsidP="00E31632"/>
    <w:p w14:paraId="180319F3" w14:textId="77777777" w:rsidR="00E31632" w:rsidRDefault="00E31632" w:rsidP="00E31632"/>
    <w:p w14:paraId="1F579F99" w14:textId="77777777" w:rsidR="003255AD" w:rsidRDefault="003255AD"/>
    <w:sectPr w:rsidR="003255AD" w:rsidSect="005D791B">
      <w:headerReference w:type="default" r:id="rId10"/>
      <w:footerReference w:type="default" r:id="rId11"/>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FDA33" w14:textId="77777777" w:rsidR="006C0AF5" w:rsidRDefault="006C0AF5" w:rsidP="00E31632">
      <w:r>
        <w:separator/>
      </w:r>
    </w:p>
  </w:endnote>
  <w:endnote w:type="continuationSeparator" w:id="0">
    <w:p w14:paraId="3AEA7234" w14:textId="77777777" w:rsidR="006C0AF5" w:rsidRDefault="006C0AF5" w:rsidP="00E31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3EC9B" w14:textId="77777777" w:rsidR="008F4163" w:rsidRDefault="005B066A" w:rsidP="00322937">
    <w:pPr>
      <w:pStyle w:val="Sinespaciado"/>
      <w:jc w:val="right"/>
      <w:rPr>
        <w:rFonts w:ascii="Arial" w:hAnsi="Arial" w:cs="Arial"/>
        <w:sz w:val="18"/>
        <w:szCs w:val="18"/>
      </w:rPr>
    </w:pPr>
  </w:p>
  <w:p w14:paraId="68A8B7A5" w14:textId="77777777" w:rsidR="008F4163" w:rsidRPr="008217B7" w:rsidRDefault="009A5867"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2B9A1DC5" w14:textId="77777777" w:rsidR="008F4163" w:rsidRDefault="009A5867" w:rsidP="00322937">
    <w:pPr>
      <w:pStyle w:val="Piedepgina"/>
      <w:jc w:val="center"/>
      <w:rPr>
        <w:lang w:val="es-ES"/>
      </w:rPr>
    </w:pPr>
    <w:r>
      <w:rPr>
        <w:noProof/>
      </w:rPr>
      <w:drawing>
        <wp:inline distT="0" distB="0" distL="0" distR="0" wp14:anchorId="22A714B0" wp14:editId="7ED177A1">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8610255" w14:textId="77777777" w:rsidR="008F4163" w:rsidRPr="007B0854" w:rsidRDefault="005B066A"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0F172" w14:textId="77777777" w:rsidR="006C0AF5" w:rsidRDefault="006C0AF5" w:rsidP="00E31632">
      <w:r>
        <w:separator/>
      </w:r>
    </w:p>
  </w:footnote>
  <w:footnote w:type="continuationSeparator" w:id="0">
    <w:p w14:paraId="7FB27E33" w14:textId="77777777" w:rsidR="006C0AF5" w:rsidRDefault="006C0AF5" w:rsidP="00E31632">
      <w:r>
        <w:continuationSeparator/>
      </w:r>
    </w:p>
  </w:footnote>
  <w:footnote w:id="1">
    <w:p w14:paraId="265B0A13" w14:textId="77777777" w:rsidR="00E31632" w:rsidRPr="00EA10E4" w:rsidRDefault="00E31632" w:rsidP="00E31632">
      <w:pPr>
        <w:pStyle w:val="Textonotapie"/>
        <w:ind w:firstLine="709"/>
        <w:jc w:val="both"/>
        <w:rPr>
          <w:rFonts w:ascii="Arial" w:hAnsi="Arial" w:cs="Arial"/>
          <w:sz w:val="19"/>
          <w:szCs w:val="19"/>
          <w:lang w:val="es-ES"/>
        </w:rPr>
      </w:pPr>
      <w:r w:rsidRPr="00EA10E4">
        <w:rPr>
          <w:rStyle w:val="Refdenotaalpie"/>
          <w:rFonts w:ascii="Arial" w:hAnsi="Arial" w:cs="Arial"/>
          <w:sz w:val="19"/>
          <w:szCs w:val="19"/>
        </w:rPr>
        <w:footnoteRef/>
      </w:r>
      <w:r w:rsidRPr="00EA10E4">
        <w:rPr>
          <w:rFonts w:ascii="Arial" w:hAnsi="Arial" w:cs="Arial"/>
          <w:sz w:val="19"/>
          <w:szCs w:val="19"/>
        </w:rPr>
        <w:t xml:space="preserve"> </w:t>
      </w:r>
      <w:r w:rsidRPr="00EA10E4">
        <w:rPr>
          <w:rFonts w:ascii="Arial" w:hAnsi="Arial" w:cs="Arial"/>
          <w:sz w:val="19"/>
          <w:szCs w:val="19"/>
          <w:lang w:val="es-ES"/>
        </w:rPr>
        <w:t>Consejo de Estado. Sección Tercera. Sentencia del 29 de octubre de 2.015. Consejera Ponente: Stella Conto Díaz Del Castillo. Expediente: 31.918.</w:t>
      </w:r>
    </w:p>
    <w:p w14:paraId="0D9E54BF" w14:textId="77777777" w:rsidR="00E31632" w:rsidRPr="00EA10E4" w:rsidRDefault="00E31632" w:rsidP="00E31632">
      <w:pPr>
        <w:pStyle w:val="Textonotapie"/>
        <w:ind w:firstLine="709"/>
        <w:jc w:val="both"/>
        <w:rPr>
          <w:rFonts w:ascii="Arial" w:hAnsi="Arial" w:cs="Arial"/>
          <w:sz w:val="19"/>
          <w:szCs w:val="19"/>
          <w:lang w:val="es-ES"/>
        </w:rPr>
      </w:pPr>
    </w:p>
  </w:footnote>
  <w:footnote w:id="2">
    <w:p w14:paraId="0E25CEB3" w14:textId="77777777" w:rsidR="00E31632" w:rsidRPr="008640C4" w:rsidRDefault="00E31632" w:rsidP="00E31632">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Corte Constitucional. Sentencia T-684A del 14 de septiembre de 2011</w:t>
      </w:r>
      <w:r>
        <w:rPr>
          <w:rFonts w:ascii="Arial" w:hAnsi="Arial" w:cs="Arial"/>
          <w:sz w:val="19"/>
          <w:szCs w:val="19"/>
          <w:lang w:val="es-ES"/>
        </w:rPr>
        <w:t>. Magistrado Ponente:</w:t>
      </w:r>
      <w:r w:rsidRPr="008640C4">
        <w:rPr>
          <w:rFonts w:ascii="Arial" w:hAnsi="Arial" w:cs="Arial"/>
          <w:sz w:val="19"/>
          <w:szCs w:val="19"/>
          <w:lang w:val="es-ES"/>
        </w:rPr>
        <w:t xml:space="preserve"> Mauricio González Cuervo.</w:t>
      </w:r>
    </w:p>
    <w:p w14:paraId="5B775C0D" w14:textId="77777777" w:rsidR="00E31632" w:rsidRPr="008640C4" w:rsidRDefault="00E31632" w:rsidP="00E31632">
      <w:pPr>
        <w:pStyle w:val="Textonotapie"/>
        <w:ind w:firstLine="709"/>
        <w:jc w:val="both"/>
        <w:rPr>
          <w:rFonts w:ascii="Arial" w:hAnsi="Arial" w:cs="Arial"/>
          <w:sz w:val="19"/>
          <w:szCs w:val="19"/>
          <w:lang w:val="es-ES"/>
        </w:rPr>
      </w:pPr>
    </w:p>
  </w:footnote>
  <w:footnote w:id="3">
    <w:p w14:paraId="0D135351" w14:textId="77777777" w:rsidR="00E31632" w:rsidRPr="008640C4" w:rsidRDefault="00E31632" w:rsidP="00E31632">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Consejo de Estado. Sección Tercera. Sentencia del 6 de diciembre de 2.013. Consejera Ponente: Stella Conto Díaz Del Castillo. Expediente: 27.506. En efecto, el artículo 44, inciso 1º</w:t>
      </w:r>
      <w:r>
        <w:rPr>
          <w:rFonts w:ascii="Arial" w:hAnsi="Arial" w:cs="Arial"/>
          <w:sz w:val="19"/>
          <w:szCs w:val="19"/>
          <w:lang w:val="es-ES"/>
        </w:rPr>
        <w:t>,</w:t>
      </w:r>
      <w:r w:rsidRPr="008640C4">
        <w:rPr>
          <w:rFonts w:ascii="Arial" w:hAnsi="Arial" w:cs="Arial"/>
          <w:sz w:val="19"/>
          <w:szCs w:val="19"/>
          <w:lang w:val="es-ES"/>
        </w:rPr>
        <w:t xml:space="preserve"> de la Ley 80 de 1993 establece que «Los contratos del Estado son absolutamente nulos en los casos previstos en el derecho común […]», y uno de los supuestos consagrados en el derecho común es el llamado «objeto ilícito», que se presenta cuando se contrarían las normas de orden público, de conformidad con el artículo 1.519 del Código Civil. </w:t>
      </w:r>
    </w:p>
    <w:p w14:paraId="396FEFD1" w14:textId="77777777" w:rsidR="00E31632" w:rsidRPr="008640C4" w:rsidRDefault="00E31632" w:rsidP="00E31632">
      <w:pPr>
        <w:pStyle w:val="Textonotapie"/>
        <w:ind w:firstLine="709"/>
        <w:jc w:val="both"/>
        <w:rPr>
          <w:rFonts w:ascii="Arial" w:hAnsi="Arial" w:cs="Arial"/>
          <w:sz w:val="19"/>
          <w:szCs w:val="19"/>
          <w:lang w:val="es-CO"/>
        </w:rPr>
      </w:pPr>
    </w:p>
  </w:footnote>
  <w:footnote w:id="4">
    <w:p w14:paraId="164FF0E8" w14:textId="77777777" w:rsidR="00E31632" w:rsidRPr="008640C4" w:rsidRDefault="00E31632" w:rsidP="00E31632">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2 al 29.</w:t>
      </w:r>
    </w:p>
    <w:p w14:paraId="13D9AECE" w14:textId="77777777" w:rsidR="00E31632" w:rsidRPr="008640C4" w:rsidRDefault="00E31632" w:rsidP="00E31632">
      <w:pPr>
        <w:pStyle w:val="Textonotapie"/>
        <w:ind w:firstLine="709"/>
        <w:jc w:val="both"/>
        <w:rPr>
          <w:rFonts w:ascii="Arial" w:hAnsi="Arial" w:cs="Arial"/>
          <w:sz w:val="19"/>
          <w:szCs w:val="19"/>
          <w:lang w:val="es-ES"/>
        </w:rPr>
      </w:pPr>
    </w:p>
  </w:footnote>
  <w:footnote w:id="5">
    <w:p w14:paraId="2113C2FE" w14:textId="77777777" w:rsidR="00E31632" w:rsidRPr="008640C4" w:rsidRDefault="00E31632" w:rsidP="00E31632">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30 al 36.</w:t>
      </w:r>
    </w:p>
    <w:p w14:paraId="0E2C5FEB" w14:textId="77777777" w:rsidR="00E31632" w:rsidRPr="008640C4" w:rsidRDefault="00E31632" w:rsidP="00E31632">
      <w:pPr>
        <w:pStyle w:val="Textonotapie"/>
        <w:ind w:firstLine="709"/>
        <w:jc w:val="both"/>
        <w:rPr>
          <w:rFonts w:ascii="Arial" w:hAnsi="Arial" w:cs="Arial"/>
          <w:sz w:val="19"/>
          <w:szCs w:val="19"/>
          <w:lang w:val="es-ES"/>
        </w:rPr>
      </w:pPr>
    </w:p>
  </w:footnote>
  <w:footnote w:id="6">
    <w:p w14:paraId="57688573" w14:textId="77777777" w:rsidR="00E31632" w:rsidRPr="008640C4" w:rsidRDefault="00E31632" w:rsidP="00E31632">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37 al 45.</w:t>
      </w:r>
    </w:p>
    <w:p w14:paraId="5FD466C4" w14:textId="77777777" w:rsidR="00E31632" w:rsidRPr="008640C4" w:rsidRDefault="00E31632" w:rsidP="00E31632">
      <w:pPr>
        <w:pStyle w:val="Textonotapie"/>
        <w:ind w:firstLine="709"/>
        <w:jc w:val="both"/>
        <w:rPr>
          <w:rFonts w:ascii="Arial" w:hAnsi="Arial" w:cs="Arial"/>
          <w:sz w:val="19"/>
          <w:szCs w:val="19"/>
          <w:lang w:val="es-ES"/>
        </w:rPr>
      </w:pPr>
    </w:p>
  </w:footnote>
  <w:footnote w:id="7">
    <w:p w14:paraId="72774CCF" w14:textId="77777777" w:rsidR="00E31632" w:rsidRPr="008640C4" w:rsidRDefault="00E31632" w:rsidP="00E31632">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46 al 73.</w:t>
      </w:r>
    </w:p>
    <w:p w14:paraId="65CA98B5" w14:textId="77777777" w:rsidR="00E31632" w:rsidRPr="008640C4" w:rsidRDefault="00E31632" w:rsidP="00E31632">
      <w:pPr>
        <w:pStyle w:val="Textonotapie"/>
        <w:ind w:firstLine="709"/>
        <w:jc w:val="both"/>
        <w:rPr>
          <w:rFonts w:ascii="Arial" w:hAnsi="Arial" w:cs="Arial"/>
          <w:sz w:val="19"/>
          <w:szCs w:val="19"/>
          <w:lang w:val="es-ES"/>
        </w:rPr>
      </w:pPr>
    </w:p>
  </w:footnote>
  <w:footnote w:id="8">
    <w:p w14:paraId="28514D2B" w14:textId="77777777" w:rsidR="00E31632" w:rsidRPr="008640C4" w:rsidRDefault="00E31632" w:rsidP="00E31632">
      <w:pPr>
        <w:pStyle w:val="Textonotapie"/>
        <w:ind w:firstLine="709"/>
        <w:jc w:val="both"/>
        <w:rPr>
          <w:rFonts w:ascii="Arial" w:hAnsi="Arial" w:cs="Arial"/>
          <w:sz w:val="19"/>
          <w:szCs w:val="19"/>
          <w:lang w:val="es-ES"/>
        </w:rPr>
      </w:pPr>
      <w:r w:rsidRPr="008640C4">
        <w:rPr>
          <w:rStyle w:val="Refdenotaalpie"/>
          <w:rFonts w:ascii="Arial" w:hAnsi="Arial" w:cs="Arial"/>
          <w:sz w:val="19"/>
          <w:szCs w:val="19"/>
        </w:rPr>
        <w:footnoteRef/>
      </w:r>
      <w:r w:rsidRPr="008640C4">
        <w:rPr>
          <w:rFonts w:ascii="Arial" w:hAnsi="Arial" w:cs="Arial"/>
          <w:sz w:val="19"/>
          <w:szCs w:val="19"/>
        </w:rPr>
        <w:t xml:space="preserve"> </w:t>
      </w:r>
      <w:r w:rsidRPr="008640C4">
        <w:rPr>
          <w:rFonts w:ascii="Arial" w:hAnsi="Arial" w:cs="Arial"/>
          <w:sz w:val="19"/>
          <w:szCs w:val="19"/>
          <w:lang w:val="es-ES"/>
        </w:rPr>
        <w:t>Artículos 74 al 83.</w:t>
      </w:r>
    </w:p>
    <w:p w14:paraId="520A364C" w14:textId="77777777" w:rsidR="00E31632" w:rsidRPr="008640C4" w:rsidRDefault="00E31632" w:rsidP="00E31632">
      <w:pPr>
        <w:pStyle w:val="Textonotapie"/>
        <w:ind w:firstLine="709"/>
        <w:jc w:val="both"/>
        <w:rPr>
          <w:rFonts w:ascii="Arial" w:hAnsi="Arial" w:cs="Arial"/>
          <w:sz w:val="19"/>
          <w:szCs w:val="19"/>
          <w:lang w:val="es-ES"/>
        </w:rPr>
      </w:pPr>
    </w:p>
  </w:footnote>
  <w:footnote w:id="9">
    <w:p w14:paraId="511DFD9D" w14:textId="77777777" w:rsidR="007E32BF" w:rsidRPr="0064696D" w:rsidRDefault="007E32BF" w:rsidP="007E32BF">
      <w:pPr>
        <w:pStyle w:val="Textonotapie"/>
        <w:ind w:firstLine="709"/>
        <w:jc w:val="both"/>
        <w:rPr>
          <w:rFonts w:ascii="Arial" w:hAnsi="Arial" w:cs="Arial"/>
          <w:sz w:val="19"/>
          <w:szCs w:val="19"/>
          <w:lang w:val="es-ES"/>
        </w:rPr>
      </w:pPr>
      <w:r w:rsidRPr="0064696D">
        <w:rPr>
          <w:rStyle w:val="Refdenotaalpie"/>
          <w:rFonts w:ascii="Arial" w:hAnsi="Arial" w:cs="Arial"/>
          <w:sz w:val="19"/>
          <w:szCs w:val="19"/>
        </w:rPr>
        <w:footnoteRef/>
      </w:r>
      <w:r w:rsidRPr="0064696D">
        <w:rPr>
          <w:rFonts w:ascii="Arial" w:hAnsi="Arial" w:cs="Arial"/>
          <w:sz w:val="19"/>
          <w:szCs w:val="19"/>
        </w:rPr>
        <w:t xml:space="preserve"> </w:t>
      </w:r>
      <w:r w:rsidRPr="0064696D">
        <w:rPr>
          <w:rFonts w:ascii="Arial" w:hAnsi="Arial" w:cs="Arial"/>
          <w:sz w:val="19"/>
          <w:szCs w:val="19"/>
          <w:lang w:val="es-ES"/>
        </w:rPr>
        <w:t>En efecto, esta disposición reglamentaria indicaba: «En caso de empate en el puntaje total de dos o más ofertas, la Entidad Estatal escogerá el oferente que tenga el mayor puntaje en el primero de los factores de escogencia y calificación establecidos en los pliegos de condiciones del Proceso de Contratación. Si persiste el empate, escogerá al oferente que tenga el mayor puntaje en el segundo de los factores de escogencia y calificación establecidos en los pliegos de condiciones del Proceso de Contratación y así sucesivamente hasta agotar la totalidad de los factores de escogencia y calificación establecidos en los pliegos de condiciones.</w:t>
      </w:r>
    </w:p>
    <w:p w14:paraId="069756D7" w14:textId="77777777" w:rsidR="007E32BF" w:rsidRPr="0064696D" w:rsidRDefault="007E32BF" w:rsidP="007E32BF">
      <w:pPr>
        <w:pStyle w:val="Textonotapie"/>
        <w:ind w:firstLine="709"/>
        <w:jc w:val="both"/>
        <w:rPr>
          <w:rFonts w:ascii="Arial" w:hAnsi="Arial" w:cs="Arial"/>
          <w:sz w:val="19"/>
          <w:szCs w:val="19"/>
          <w:lang w:val="es-ES"/>
        </w:rPr>
      </w:pPr>
      <w:proofErr w:type="gramStart"/>
      <w:r>
        <w:rPr>
          <w:rFonts w:ascii="Arial" w:hAnsi="Arial" w:cs="Arial"/>
          <w:sz w:val="19"/>
          <w:szCs w:val="19"/>
          <w:lang w:val="es-ES"/>
        </w:rPr>
        <w:t>»</w:t>
      </w:r>
      <w:r w:rsidRPr="0064696D">
        <w:rPr>
          <w:rFonts w:ascii="Arial" w:hAnsi="Arial" w:cs="Arial"/>
          <w:sz w:val="19"/>
          <w:szCs w:val="19"/>
          <w:lang w:val="es-ES"/>
        </w:rPr>
        <w:t>Si</w:t>
      </w:r>
      <w:proofErr w:type="gramEnd"/>
      <w:r w:rsidRPr="0064696D">
        <w:rPr>
          <w:rFonts w:ascii="Arial" w:hAnsi="Arial" w:cs="Arial"/>
          <w:sz w:val="19"/>
          <w:szCs w:val="19"/>
          <w:lang w:val="es-ES"/>
        </w:rPr>
        <w:t xml:space="preserve"> persiste el empate, la Entidad Estatal debe utilizar las siguientes reglas de forma sucesiva y excluyente para seleccionar el oferente favorecido, respetando los compromisos adquiridos por Acuerdos Comerciales:</w:t>
      </w:r>
    </w:p>
    <w:p w14:paraId="76EB31AC" w14:textId="77777777" w:rsidR="007E32BF" w:rsidRPr="0064696D" w:rsidRDefault="007E32BF" w:rsidP="007E32BF">
      <w:pPr>
        <w:pStyle w:val="Textonotapie"/>
        <w:ind w:firstLine="709"/>
        <w:jc w:val="both"/>
        <w:rPr>
          <w:rFonts w:ascii="Arial" w:hAnsi="Arial" w:cs="Arial"/>
          <w:sz w:val="19"/>
          <w:szCs w:val="19"/>
          <w:lang w:val="es-ES"/>
        </w:rPr>
      </w:pPr>
      <w:r>
        <w:rPr>
          <w:rFonts w:ascii="Arial" w:hAnsi="Arial" w:cs="Arial"/>
          <w:sz w:val="19"/>
          <w:szCs w:val="19"/>
          <w:lang w:val="es-ES"/>
        </w:rPr>
        <w:t>»</w:t>
      </w:r>
      <w:r w:rsidRPr="0064696D">
        <w:rPr>
          <w:rFonts w:ascii="Arial" w:hAnsi="Arial" w:cs="Arial"/>
          <w:sz w:val="19"/>
          <w:szCs w:val="19"/>
          <w:lang w:val="es-ES"/>
        </w:rPr>
        <w:t>1.</w:t>
      </w:r>
      <w:r>
        <w:rPr>
          <w:rFonts w:ascii="Arial" w:hAnsi="Arial" w:cs="Arial"/>
          <w:sz w:val="19"/>
          <w:szCs w:val="19"/>
          <w:lang w:val="es-ES"/>
        </w:rPr>
        <w:t xml:space="preserve"> </w:t>
      </w:r>
      <w:r w:rsidRPr="0064696D">
        <w:rPr>
          <w:rFonts w:ascii="Arial" w:hAnsi="Arial" w:cs="Arial"/>
          <w:sz w:val="19"/>
          <w:szCs w:val="19"/>
          <w:lang w:val="es-ES"/>
        </w:rPr>
        <w:t>Preferir la oferta de bienes o servicios nacionales frente a la oferta de bienes o servicios extranjeros.</w:t>
      </w:r>
    </w:p>
    <w:p w14:paraId="37DD7CD6" w14:textId="77777777" w:rsidR="007E32BF" w:rsidRPr="0064696D" w:rsidRDefault="007E32BF" w:rsidP="007E32BF">
      <w:pPr>
        <w:pStyle w:val="Textonotapie"/>
        <w:ind w:firstLine="709"/>
        <w:jc w:val="both"/>
        <w:rPr>
          <w:rFonts w:ascii="Arial" w:hAnsi="Arial" w:cs="Arial"/>
          <w:sz w:val="19"/>
          <w:szCs w:val="19"/>
          <w:lang w:val="es-ES"/>
        </w:rPr>
      </w:pPr>
      <w:r>
        <w:rPr>
          <w:rFonts w:ascii="Arial" w:hAnsi="Arial" w:cs="Arial"/>
          <w:sz w:val="19"/>
          <w:szCs w:val="19"/>
          <w:lang w:val="es-ES"/>
        </w:rPr>
        <w:t>»</w:t>
      </w:r>
      <w:r w:rsidRPr="0064696D">
        <w:rPr>
          <w:rFonts w:ascii="Arial" w:hAnsi="Arial" w:cs="Arial"/>
          <w:sz w:val="19"/>
          <w:szCs w:val="19"/>
          <w:lang w:val="es-ES"/>
        </w:rPr>
        <w:t>2.</w:t>
      </w:r>
      <w:r>
        <w:rPr>
          <w:rFonts w:ascii="Arial" w:hAnsi="Arial" w:cs="Arial"/>
          <w:sz w:val="19"/>
          <w:szCs w:val="19"/>
          <w:lang w:val="es-ES"/>
        </w:rPr>
        <w:t xml:space="preserve"> </w:t>
      </w:r>
      <w:r w:rsidRPr="0064696D">
        <w:rPr>
          <w:rFonts w:ascii="Arial" w:hAnsi="Arial" w:cs="Arial"/>
          <w:sz w:val="19"/>
          <w:szCs w:val="19"/>
          <w:lang w:val="es-ES"/>
        </w:rPr>
        <w:t xml:space="preserve">Preferir las ofertas presentada por una </w:t>
      </w:r>
      <w:proofErr w:type="spellStart"/>
      <w:r w:rsidRPr="0064696D">
        <w:rPr>
          <w:rFonts w:ascii="Arial" w:hAnsi="Arial" w:cs="Arial"/>
          <w:sz w:val="19"/>
          <w:szCs w:val="19"/>
          <w:lang w:val="es-ES"/>
        </w:rPr>
        <w:t>Mipyme</w:t>
      </w:r>
      <w:proofErr w:type="spellEnd"/>
      <w:r w:rsidRPr="0064696D">
        <w:rPr>
          <w:rFonts w:ascii="Arial" w:hAnsi="Arial" w:cs="Arial"/>
          <w:sz w:val="19"/>
          <w:szCs w:val="19"/>
          <w:lang w:val="es-ES"/>
        </w:rPr>
        <w:t xml:space="preserve"> nacional.</w:t>
      </w:r>
    </w:p>
    <w:p w14:paraId="470AE034" w14:textId="77777777" w:rsidR="007E32BF" w:rsidRPr="0064696D" w:rsidRDefault="007E32BF" w:rsidP="007E32BF">
      <w:pPr>
        <w:pStyle w:val="Textonotapie"/>
        <w:ind w:firstLine="709"/>
        <w:jc w:val="both"/>
        <w:rPr>
          <w:rFonts w:ascii="Arial" w:hAnsi="Arial" w:cs="Arial"/>
          <w:sz w:val="19"/>
          <w:szCs w:val="19"/>
          <w:lang w:val="es-ES"/>
        </w:rPr>
      </w:pPr>
      <w:r>
        <w:rPr>
          <w:rFonts w:ascii="Arial" w:hAnsi="Arial" w:cs="Arial"/>
          <w:sz w:val="19"/>
          <w:szCs w:val="19"/>
          <w:lang w:val="es-ES"/>
        </w:rPr>
        <w:t>»</w:t>
      </w:r>
      <w:r w:rsidRPr="0064696D">
        <w:rPr>
          <w:rFonts w:ascii="Arial" w:hAnsi="Arial" w:cs="Arial"/>
          <w:sz w:val="19"/>
          <w:szCs w:val="19"/>
          <w:lang w:val="es-ES"/>
        </w:rPr>
        <w:t>3.</w:t>
      </w:r>
      <w:r>
        <w:rPr>
          <w:rFonts w:ascii="Arial" w:hAnsi="Arial" w:cs="Arial"/>
          <w:sz w:val="19"/>
          <w:szCs w:val="19"/>
          <w:lang w:val="es-ES"/>
        </w:rPr>
        <w:t xml:space="preserve"> </w:t>
      </w:r>
      <w:r w:rsidRPr="0064696D">
        <w:rPr>
          <w:rFonts w:ascii="Arial" w:hAnsi="Arial" w:cs="Arial"/>
          <w:sz w:val="19"/>
          <w:szCs w:val="19"/>
          <w:lang w:val="es-ES"/>
        </w:rPr>
        <w:t xml:space="preserve">Preferir la oferta presentada por un consorcio, unión temporal o promesa de sociedad futura siempre que: (a) esté conformado por al menos una </w:t>
      </w:r>
      <w:proofErr w:type="spellStart"/>
      <w:r w:rsidRPr="0064696D">
        <w:rPr>
          <w:rFonts w:ascii="Arial" w:hAnsi="Arial" w:cs="Arial"/>
          <w:sz w:val="19"/>
          <w:szCs w:val="19"/>
          <w:lang w:val="es-ES"/>
        </w:rPr>
        <w:t>Mipyme</w:t>
      </w:r>
      <w:proofErr w:type="spellEnd"/>
      <w:r w:rsidRPr="0064696D">
        <w:rPr>
          <w:rFonts w:ascii="Arial" w:hAnsi="Arial" w:cs="Arial"/>
          <w:sz w:val="19"/>
          <w:szCs w:val="19"/>
          <w:lang w:val="es-ES"/>
        </w:rPr>
        <w:t xml:space="preserve"> nacional que tenga una participación de por lo menos el veinticinco por ciento (25%); (b) la </w:t>
      </w:r>
      <w:proofErr w:type="spellStart"/>
      <w:r w:rsidRPr="0064696D">
        <w:rPr>
          <w:rFonts w:ascii="Arial" w:hAnsi="Arial" w:cs="Arial"/>
          <w:sz w:val="19"/>
          <w:szCs w:val="19"/>
          <w:lang w:val="es-ES"/>
        </w:rPr>
        <w:t>Mipyme</w:t>
      </w:r>
      <w:proofErr w:type="spellEnd"/>
      <w:r w:rsidRPr="0064696D">
        <w:rPr>
          <w:rFonts w:ascii="Arial" w:hAnsi="Arial" w:cs="Arial"/>
          <w:sz w:val="19"/>
          <w:szCs w:val="19"/>
          <w:lang w:val="es-ES"/>
        </w:rPr>
        <w:t xml:space="preserve"> aporte mínimo el veinticinco por ciento (25%) de la experiencia acreditada en la oferta; y (c) ni la </w:t>
      </w:r>
      <w:proofErr w:type="spellStart"/>
      <w:r w:rsidRPr="0064696D">
        <w:rPr>
          <w:rFonts w:ascii="Arial" w:hAnsi="Arial" w:cs="Arial"/>
          <w:sz w:val="19"/>
          <w:szCs w:val="19"/>
          <w:lang w:val="es-ES"/>
        </w:rPr>
        <w:t>Mipyme</w:t>
      </w:r>
      <w:proofErr w:type="spellEnd"/>
      <w:r w:rsidRPr="0064696D">
        <w:rPr>
          <w:rFonts w:ascii="Arial" w:hAnsi="Arial" w:cs="Arial"/>
          <w:sz w:val="19"/>
          <w:szCs w:val="19"/>
          <w:lang w:val="es-ES"/>
        </w:rPr>
        <w:t>, ni sus accionistas, socios o representantes legales sean empleados, socios o accionistas de los miembros del consorcio, unión temporal o promesa de sociedad futura.</w:t>
      </w:r>
    </w:p>
    <w:p w14:paraId="07480927" w14:textId="77777777" w:rsidR="007E32BF" w:rsidRPr="0064696D" w:rsidRDefault="007E32BF" w:rsidP="007E32BF">
      <w:pPr>
        <w:pStyle w:val="Textonotapie"/>
        <w:ind w:firstLine="709"/>
        <w:jc w:val="both"/>
        <w:rPr>
          <w:rFonts w:ascii="Arial" w:hAnsi="Arial" w:cs="Arial"/>
          <w:sz w:val="19"/>
          <w:szCs w:val="19"/>
          <w:lang w:val="es-ES"/>
        </w:rPr>
      </w:pPr>
      <w:r>
        <w:rPr>
          <w:rFonts w:ascii="Arial" w:hAnsi="Arial" w:cs="Arial"/>
          <w:sz w:val="19"/>
          <w:szCs w:val="19"/>
          <w:lang w:val="es-ES"/>
        </w:rPr>
        <w:t>»</w:t>
      </w:r>
      <w:r w:rsidRPr="0064696D">
        <w:rPr>
          <w:rFonts w:ascii="Arial" w:hAnsi="Arial" w:cs="Arial"/>
          <w:sz w:val="19"/>
          <w:szCs w:val="19"/>
          <w:lang w:val="es-ES"/>
        </w:rPr>
        <w:t>4.</w:t>
      </w:r>
      <w:r>
        <w:rPr>
          <w:rFonts w:ascii="Arial" w:hAnsi="Arial" w:cs="Arial"/>
          <w:sz w:val="19"/>
          <w:szCs w:val="19"/>
          <w:lang w:val="es-ES"/>
        </w:rPr>
        <w:t xml:space="preserve"> </w:t>
      </w:r>
      <w:r w:rsidRPr="0064696D">
        <w:rPr>
          <w:rFonts w:ascii="Arial" w:hAnsi="Arial" w:cs="Arial"/>
          <w:sz w:val="19"/>
          <w:szCs w:val="19"/>
          <w:lang w:val="es-ES"/>
        </w:rPr>
        <w:t>Preferir la propuesta presentada por el oferente que acredite en las condiciones establecidas en la ley que por lo menos el diez por ciento (10%) de su nómina está en condición de discapacidad a la que se refiere la Ley 361 de 1997. Si la oferta es presentada por un consorcio, unión temporal o promesa de sociedad futura,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w:t>
      </w:r>
    </w:p>
    <w:p w14:paraId="7193E3F9" w14:textId="77777777" w:rsidR="007E32BF" w:rsidRPr="0064696D" w:rsidRDefault="007E32BF" w:rsidP="007E32BF">
      <w:pPr>
        <w:pStyle w:val="Textonotapie"/>
        <w:ind w:firstLine="709"/>
        <w:jc w:val="both"/>
        <w:rPr>
          <w:rFonts w:ascii="Arial" w:hAnsi="Arial" w:cs="Arial"/>
          <w:sz w:val="19"/>
          <w:szCs w:val="19"/>
          <w:lang w:val="es-CO"/>
        </w:rPr>
      </w:pPr>
      <w:r>
        <w:rPr>
          <w:rFonts w:ascii="Arial" w:hAnsi="Arial" w:cs="Arial"/>
          <w:sz w:val="19"/>
          <w:szCs w:val="19"/>
          <w:lang w:val="es-ES"/>
        </w:rPr>
        <w:t>»</w:t>
      </w:r>
      <w:r w:rsidRPr="0064696D">
        <w:rPr>
          <w:rFonts w:ascii="Arial" w:hAnsi="Arial" w:cs="Arial"/>
          <w:sz w:val="19"/>
          <w:szCs w:val="19"/>
          <w:lang w:val="es-ES"/>
        </w:rPr>
        <w:t>5.</w:t>
      </w:r>
      <w:r>
        <w:rPr>
          <w:rFonts w:ascii="Arial" w:hAnsi="Arial" w:cs="Arial"/>
          <w:sz w:val="19"/>
          <w:szCs w:val="19"/>
          <w:lang w:val="es-ES"/>
        </w:rPr>
        <w:t xml:space="preserve"> </w:t>
      </w:r>
      <w:r w:rsidRPr="0064696D">
        <w:rPr>
          <w:rFonts w:ascii="Arial" w:hAnsi="Arial" w:cs="Arial"/>
          <w:sz w:val="19"/>
          <w:szCs w:val="19"/>
          <w:lang w:val="es-ES"/>
        </w:rPr>
        <w:t>Utilizar un método aleatorio para seleccionar el oferente, método que deberá haber sido previsto en los pliegos de condiciones del Proceso de Contratación</w:t>
      </w:r>
      <w:r>
        <w:rPr>
          <w:rFonts w:ascii="Arial" w:hAnsi="Arial" w:cs="Arial"/>
          <w:sz w:val="19"/>
          <w:szCs w:val="19"/>
          <w:lang w:val="es-ES"/>
        </w:rPr>
        <w:t>»</w:t>
      </w:r>
      <w:r w:rsidRPr="0064696D">
        <w:rPr>
          <w:rFonts w:ascii="Arial" w:hAnsi="Arial" w:cs="Arial"/>
          <w:sz w:val="19"/>
          <w:szCs w:val="19"/>
          <w:lang w:val="es-ES"/>
        </w:rPr>
        <w:t>.</w:t>
      </w:r>
    </w:p>
  </w:footnote>
  <w:footnote w:id="10">
    <w:p w14:paraId="0FF90B24" w14:textId="77777777" w:rsidR="007E32BF" w:rsidRDefault="007E32BF" w:rsidP="007E32BF">
      <w:pPr>
        <w:pStyle w:val="Textonotapie"/>
        <w:ind w:firstLine="708"/>
        <w:jc w:val="both"/>
        <w:rPr>
          <w:rFonts w:ascii="Arial" w:hAnsi="Arial" w:cs="Arial"/>
          <w:sz w:val="19"/>
          <w:szCs w:val="19"/>
        </w:rPr>
      </w:pPr>
      <w:r w:rsidRPr="00833821">
        <w:rPr>
          <w:rStyle w:val="Refdenotaalpie"/>
          <w:rFonts w:ascii="Arial" w:hAnsi="Arial" w:cs="Arial"/>
          <w:sz w:val="19"/>
          <w:szCs w:val="19"/>
        </w:rPr>
        <w:footnoteRef/>
      </w:r>
      <w:r w:rsidRPr="00833821">
        <w:rPr>
          <w:rFonts w:ascii="Arial" w:hAnsi="Arial" w:cs="Arial"/>
          <w:sz w:val="19"/>
          <w:szCs w:val="19"/>
        </w:rPr>
        <w:t xml:space="preserve"> Corte Cons</w:t>
      </w:r>
      <w:r>
        <w:rPr>
          <w:rFonts w:ascii="Arial" w:hAnsi="Arial" w:cs="Arial"/>
          <w:sz w:val="19"/>
          <w:szCs w:val="19"/>
        </w:rPr>
        <w:t xml:space="preserve">titucional. Sentencia </w:t>
      </w:r>
      <w:r w:rsidRPr="00833821">
        <w:rPr>
          <w:rFonts w:ascii="Arial" w:hAnsi="Arial" w:cs="Arial"/>
          <w:sz w:val="19"/>
          <w:szCs w:val="19"/>
        </w:rPr>
        <w:t>C-439</w:t>
      </w:r>
      <w:r>
        <w:rPr>
          <w:rFonts w:ascii="Arial" w:hAnsi="Arial" w:cs="Arial"/>
          <w:sz w:val="19"/>
          <w:szCs w:val="19"/>
        </w:rPr>
        <w:t xml:space="preserve"> del 17 de agosto de 20</w:t>
      </w:r>
      <w:r w:rsidRPr="00833821">
        <w:rPr>
          <w:rFonts w:ascii="Arial" w:hAnsi="Arial" w:cs="Arial"/>
          <w:sz w:val="19"/>
          <w:szCs w:val="19"/>
        </w:rPr>
        <w:t>16</w:t>
      </w:r>
      <w:r>
        <w:rPr>
          <w:rFonts w:ascii="Arial" w:hAnsi="Arial" w:cs="Arial"/>
          <w:sz w:val="19"/>
          <w:szCs w:val="19"/>
        </w:rPr>
        <w:t xml:space="preserve">. Magistrado Ponente: Luis Guillermo Guerrero Pérez: </w:t>
      </w:r>
      <w:r w:rsidRPr="00833821">
        <w:rPr>
          <w:rFonts w:ascii="Arial" w:hAnsi="Arial" w:cs="Arial"/>
          <w:sz w:val="19"/>
          <w:szCs w:val="19"/>
        </w:rPr>
        <w:t>«En relación con este último punto, la propia jurisprudencia constitucional ha destacado que el principio de especialidad se aplica entre normas de igual jerarquía, sin que dicho principio tenga cabida entre preceptos de distinta jerarquía, como ocurre entre una la ley ordinaria y una ley estatutaria, o entre la Constitución y la ley en general, pues en tales eventos es claro que prevalece y se aplica siempre la norma superior</w:t>
      </w:r>
      <w:r w:rsidRPr="00F175E1">
        <w:rPr>
          <w:rFonts w:ascii="Arial" w:hAnsi="Arial" w:cs="Arial"/>
          <w:sz w:val="19"/>
          <w:szCs w:val="19"/>
        </w:rPr>
        <w:t>»</w:t>
      </w:r>
      <w:r>
        <w:rPr>
          <w:rFonts w:ascii="Arial" w:hAnsi="Arial" w:cs="Arial"/>
          <w:sz w:val="19"/>
          <w:szCs w:val="19"/>
        </w:rPr>
        <w:t>.</w:t>
      </w:r>
    </w:p>
    <w:p w14:paraId="602D159B" w14:textId="77777777" w:rsidR="007E32BF" w:rsidRPr="00833821" w:rsidRDefault="007E32BF" w:rsidP="007E32BF">
      <w:pPr>
        <w:pStyle w:val="Textonotapie"/>
        <w:ind w:firstLine="708"/>
        <w:jc w:val="both"/>
      </w:pPr>
    </w:p>
  </w:footnote>
  <w:footnote w:id="11">
    <w:p w14:paraId="3CA2B79F" w14:textId="77777777" w:rsidR="007E32BF" w:rsidRPr="00F175E1" w:rsidRDefault="007E32BF" w:rsidP="00871184">
      <w:pPr>
        <w:ind w:firstLine="708"/>
        <w:jc w:val="both"/>
        <w:rPr>
          <w:rFonts w:ascii="Arial" w:hAnsi="Arial" w:cs="Arial"/>
          <w:sz w:val="19"/>
          <w:szCs w:val="19"/>
        </w:rPr>
      </w:pPr>
      <w:r w:rsidRPr="00F77DD4">
        <w:rPr>
          <w:rStyle w:val="Refdenotaalpie"/>
          <w:rFonts w:ascii="Arial" w:hAnsi="Arial" w:cs="Arial"/>
          <w:sz w:val="19"/>
          <w:szCs w:val="19"/>
        </w:rPr>
        <w:footnoteRef/>
      </w:r>
      <w:r w:rsidRPr="00F77DD4">
        <w:rPr>
          <w:rFonts w:ascii="Arial" w:hAnsi="Arial" w:cs="Arial"/>
          <w:sz w:val="19"/>
          <w:szCs w:val="19"/>
        </w:rPr>
        <w:t xml:space="preserve"> </w:t>
      </w:r>
      <w:r>
        <w:rPr>
          <w:rFonts w:ascii="Arial" w:hAnsi="Arial" w:cs="Arial"/>
          <w:sz w:val="19"/>
          <w:szCs w:val="19"/>
        </w:rPr>
        <w:t xml:space="preserve">El artículo 5 de la Ley 57 de 1887 dispone que </w:t>
      </w:r>
      <w:r w:rsidRPr="00F175E1">
        <w:rPr>
          <w:rFonts w:ascii="Arial" w:hAnsi="Arial" w:cs="Arial"/>
          <w:sz w:val="19"/>
          <w:szCs w:val="19"/>
        </w:rPr>
        <w:t xml:space="preserve">«Cuando haya incompatibilidad entre una disposición constitucional y una legal, preferirá aquélla. </w:t>
      </w:r>
    </w:p>
    <w:p w14:paraId="496B2035" w14:textId="77777777" w:rsidR="007E32BF" w:rsidRPr="00F175E1" w:rsidRDefault="007E32BF" w:rsidP="007E32BF">
      <w:pPr>
        <w:ind w:firstLine="708"/>
        <w:jc w:val="both"/>
        <w:rPr>
          <w:rFonts w:ascii="Arial" w:hAnsi="Arial" w:cs="Arial"/>
          <w:sz w:val="19"/>
          <w:szCs w:val="19"/>
        </w:rPr>
      </w:pPr>
      <w:proofErr w:type="gramStart"/>
      <w:r w:rsidRPr="00F175E1">
        <w:rPr>
          <w:rFonts w:ascii="Arial" w:hAnsi="Arial" w:cs="Arial"/>
          <w:sz w:val="19"/>
          <w:szCs w:val="19"/>
        </w:rPr>
        <w:t>»Si</w:t>
      </w:r>
      <w:proofErr w:type="gramEnd"/>
      <w:r w:rsidRPr="00F175E1">
        <w:rPr>
          <w:rFonts w:ascii="Arial" w:hAnsi="Arial" w:cs="Arial"/>
          <w:sz w:val="19"/>
          <w:szCs w:val="19"/>
        </w:rPr>
        <w:t xml:space="preserve"> en los Códigos que se adoptan se hallaren algunas disposiciones incompatibles entre sí, se observarán en su aplicación las reglas siguientes: </w:t>
      </w:r>
    </w:p>
    <w:p w14:paraId="2DBF7C1A" w14:textId="77777777" w:rsidR="007E32BF" w:rsidRPr="00F175E1" w:rsidRDefault="007E32BF" w:rsidP="007E32BF">
      <w:pPr>
        <w:ind w:firstLine="708"/>
        <w:jc w:val="both"/>
        <w:rPr>
          <w:rFonts w:ascii="Arial" w:hAnsi="Arial" w:cs="Arial"/>
          <w:sz w:val="19"/>
          <w:szCs w:val="19"/>
        </w:rPr>
      </w:pPr>
      <w:proofErr w:type="gramStart"/>
      <w:r w:rsidRPr="00F175E1">
        <w:rPr>
          <w:rFonts w:ascii="Arial" w:hAnsi="Arial" w:cs="Arial"/>
          <w:sz w:val="19"/>
          <w:szCs w:val="19"/>
        </w:rPr>
        <w:t>»1ª</w:t>
      </w:r>
      <w:proofErr w:type="gramEnd"/>
      <w:r w:rsidRPr="00F175E1">
        <w:rPr>
          <w:rFonts w:ascii="Arial" w:hAnsi="Arial" w:cs="Arial"/>
          <w:sz w:val="19"/>
          <w:szCs w:val="19"/>
        </w:rPr>
        <w:t xml:space="preserve"> La disposición relativa a un asunto especial prefiere a la que tenga carácter general; </w:t>
      </w:r>
    </w:p>
    <w:p w14:paraId="2608CC09" w14:textId="77777777" w:rsidR="007E32BF" w:rsidRPr="00D56A53" w:rsidRDefault="007E32BF" w:rsidP="007E32BF">
      <w:pPr>
        <w:ind w:firstLine="708"/>
        <w:jc w:val="both"/>
        <w:rPr>
          <w:rFonts w:ascii="Arial" w:hAnsi="Arial" w:cs="Arial"/>
          <w:sz w:val="19"/>
          <w:szCs w:val="19"/>
        </w:rPr>
      </w:pPr>
      <w:proofErr w:type="gramStart"/>
      <w:r w:rsidRPr="00F175E1">
        <w:rPr>
          <w:rFonts w:ascii="Arial" w:hAnsi="Arial" w:cs="Arial"/>
          <w:sz w:val="19"/>
          <w:szCs w:val="19"/>
        </w:rPr>
        <w:t>»2ª</w:t>
      </w:r>
      <w:proofErr w:type="gramEnd"/>
      <w:r w:rsidRPr="00F175E1">
        <w:rPr>
          <w:rFonts w:ascii="Arial" w:hAnsi="Arial" w:cs="Arial"/>
          <w:sz w:val="19"/>
          <w:szCs w:val="19"/>
        </w:rPr>
        <w:t xml:space="preserve"> Cuando las disposiciones tengan una misma especialidad </w:t>
      </w:r>
      <w:r>
        <w:rPr>
          <w:rFonts w:ascii="Arial" w:hAnsi="Arial" w:cs="Arial"/>
          <w:sz w:val="19"/>
          <w:szCs w:val="19"/>
        </w:rPr>
        <w:t>o</w:t>
      </w:r>
      <w:r w:rsidRPr="00F175E1">
        <w:rPr>
          <w:rFonts w:ascii="Arial" w:hAnsi="Arial" w:cs="Arial"/>
          <w:sz w:val="19"/>
          <w:szCs w:val="19"/>
        </w:rPr>
        <w:t xml:space="preserve"> generalidad, y se hallen en un mismo Código, preferirá la disposición consignada en artículo posterior; y si estuvieren en diversos Códigos preferirán, por razón de éstos, en el orden siguiente: Civil, de Comercio, Penal. Judicial, Administrativo, Fiscal, de Elecciones, Militar, de Policía, de Fomento, de Minas, de Beneficencia y de Instrucción Pública».</w:t>
      </w:r>
    </w:p>
  </w:footnote>
  <w:footnote w:id="12">
    <w:p w14:paraId="3A883FE6" w14:textId="10A8FCD8" w:rsidR="007E32BF" w:rsidRDefault="007E32BF" w:rsidP="007E32BF">
      <w:pPr>
        <w:pStyle w:val="Textonotapie"/>
        <w:ind w:firstLine="708"/>
        <w:jc w:val="both"/>
        <w:rPr>
          <w:rFonts w:ascii="Arial" w:hAnsi="Arial" w:cs="Arial"/>
          <w:sz w:val="19"/>
          <w:szCs w:val="19"/>
        </w:rPr>
      </w:pPr>
      <w:r w:rsidRPr="00231293">
        <w:rPr>
          <w:rStyle w:val="Refdenotaalpie"/>
          <w:rFonts w:ascii="Arial" w:hAnsi="Arial" w:cs="Arial"/>
          <w:sz w:val="19"/>
          <w:szCs w:val="19"/>
        </w:rPr>
        <w:footnoteRef/>
      </w:r>
      <w:r w:rsidRPr="00231293">
        <w:rPr>
          <w:rFonts w:ascii="Arial" w:hAnsi="Arial" w:cs="Arial"/>
          <w:sz w:val="19"/>
          <w:szCs w:val="19"/>
        </w:rPr>
        <w:t xml:space="preserve"> </w:t>
      </w:r>
      <w:r>
        <w:rPr>
          <w:rFonts w:ascii="Arial" w:hAnsi="Arial" w:cs="Arial"/>
          <w:sz w:val="19"/>
          <w:szCs w:val="19"/>
        </w:rPr>
        <w:t xml:space="preserve">Cfr. </w:t>
      </w:r>
      <w:r w:rsidRPr="00231293">
        <w:rPr>
          <w:rFonts w:ascii="Arial" w:hAnsi="Arial" w:cs="Arial"/>
          <w:sz w:val="19"/>
          <w:szCs w:val="19"/>
        </w:rPr>
        <w:t xml:space="preserve">GUASTINI, </w:t>
      </w:r>
      <w:proofErr w:type="spellStart"/>
      <w:r w:rsidRPr="00231293">
        <w:rPr>
          <w:rFonts w:ascii="Arial" w:hAnsi="Arial" w:cs="Arial"/>
          <w:sz w:val="19"/>
          <w:szCs w:val="19"/>
        </w:rPr>
        <w:t>Riccardo</w:t>
      </w:r>
      <w:proofErr w:type="spellEnd"/>
      <w:r>
        <w:rPr>
          <w:rFonts w:ascii="Arial" w:hAnsi="Arial" w:cs="Arial"/>
          <w:sz w:val="19"/>
          <w:szCs w:val="19"/>
        </w:rPr>
        <w:t>. Interpretar y argumentar. Madrid: Centro de Estudios Constitucionales, 2014. p. 134.</w:t>
      </w:r>
    </w:p>
    <w:p w14:paraId="3DF891B9" w14:textId="77777777" w:rsidR="0037057F" w:rsidRPr="00231293" w:rsidRDefault="0037057F" w:rsidP="007E32BF">
      <w:pPr>
        <w:pStyle w:val="Textonotapie"/>
        <w:ind w:firstLine="708"/>
        <w:jc w:val="both"/>
        <w:rPr>
          <w:rFonts w:ascii="Arial" w:hAnsi="Arial" w:cs="Arial"/>
          <w:sz w:val="19"/>
          <w:szCs w:val="19"/>
          <w:lang w:val="es-ES"/>
        </w:rPr>
      </w:pPr>
    </w:p>
  </w:footnote>
  <w:footnote w:id="13">
    <w:p w14:paraId="1808311A" w14:textId="2CA222F1" w:rsidR="007E32BF" w:rsidRDefault="007E32BF" w:rsidP="007E32BF">
      <w:pPr>
        <w:pStyle w:val="Textonotapie"/>
        <w:ind w:firstLine="708"/>
        <w:jc w:val="both"/>
        <w:rPr>
          <w:rFonts w:ascii="Arial" w:hAnsi="Arial" w:cs="Arial"/>
          <w:sz w:val="19"/>
          <w:szCs w:val="19"/>
        </w:rPr>
      </w:pPr>
      <w:r w:rsidRPr="00FF5E27">
        <w:rPr>
          <w:rStyle w:val="Refdenotaalpie"/>
          <w:rFonts w:ascii="Arial" w:hAnsi="Arial" w:cs="Arial"/>
          <w:sz w:val="19"/>
          <w:szCs w:val="19"/>
        </w:rPr>
        <w:footnoteRef/>
      </w:r>
      <w:r w:rsidRPr="00FF5E27">
        <w:rPr>
          <w:rFonts w:ascii="Arial" w:hAnsi="Arial" w:cs="Arial"/>
          <w:sz w:val="19"/>
          <w:szCs w:val="19"/>
        </w:rPr>
        <w:t xml:space="preserve"> </w:t>
      </w:r>
      <w:r>
        <w:rPr>
          <w:rFonts w:ascii="Arial" w:hAnsi="Arial" w:cs="Arial"/>
          <w:sz w:val="19"/>
          <w:szCs w:val="19"/>
        </w:rPr>
        <w:t xml:space="preserve">DÍEZ-PICAZO, Luis María. La derogación de las leyes. Madrid: Editorial </w:t>
      </w:r>
      <w:proofErr w:type="spellStart"/>
      <w:r>
        <w:rPr>
          <w:rFonts w:ascii="Arial" w:hAnsi="Arial" w:cs="Arial"/>
          <w:sz w:val="19"/>
          <w:szCs w:val="19"/>
        </w:rPr>
        <w:t>Civita</w:t>
      </w:r>
      <w:proofErr w:type="spellEnd"/>
      <w:r>
        <w:rPr>
          <w:rFonts w:ascii="Arial" w:hAnsi="Arial" w:cs="Arial"/>
          <w:sz w:val="19"/>
          <w:szCs w:val="19"/>
        </w:rPr>
        <w:t>, 1990. p. 363.</w:t>
      </w:r>
    </w:p>
    <w:p w14:paraId="63234F71" w14:textId="77777777" w:rsidR="00AB3FCD" w:rsidRPr="00FF5E27" w:rsidRDefault="00AB3FCD" w:rsidP="007E32BF">
      <w:pPr>
        <w:pStyle w:val="Textonotapie"/>
        <w:ind w:firstLine="708"/>
        <w:jc w:val="both"/>
        <w:rPr>
          <w:rFonts w:ascii="Arial" w:hAnsi="Arial" w:cs="Arial"/>
          <w:sz w:val="19"/>
          <w:szCs w:val="19"/>
          <w:lang w:val="es-ES"/>
        </w:rPr>
      </w:pPr>
    </w:p>
  </w:footnote>
  <w:footnote w:id="14">
    <w:p w14:paraId="5F350DFC" w14:textId="7A55D41A" w:rsidR="007E32BF" w:rsidRPr="00F32C99" w:rsidRDefault="007E32BF" w:rsidP="007E32BF">
      <w:pPr>
        <w:pStyle w:val="Textonotapie"/>
        <w:ind w:firstLine="708"/>
        <w:jc w:val="both"/>
        <w:rPr>
          <w:rFonts w:ascii="Arial" w:hAnsi="Arial" w:cs="Arial"/>
          <w:sz w:val="19"/>
          <w:szCs w:val="19"/>
          <w:lang w:val="es-ES"/>
        </w:rPr>
      </w:pPr>
      <w:r w:rsidRPr="00F32C99">
        <w:rPr>
          <w:rStyle w:val="Refdenotaalpie"/>
          <w:rFonts w:ascii="Arial" w:hAnsi="Arial" w:cs="Arial"/>
          <w:sz w:val="19"/>
          <w:szCs w:val="19"/>
        </w:rPr>
        <w:footnoteRef/>
      </w:r>
      <w:r w:rsidRPr="00F32C99">
        <w:rPr>
          <w:rFonts w:ascii="Arial" w:hAnsi="Arial" w:cs="Arial"/>
          <w:sz w:val="19"/>
          <w:szCs w:val="19"/>
        </w:rPr>
        <w:t xml:space="preserve"> </w:t>
      </w:r>
      <w:r w:rsidRPr="00F32C99">
        <w:rPr>
          <w:rFonts w:ascii="Arial" w:hAnsi="Arial" w:cs="Arial"/>
          <w:i/>
          <w:iCs/>
          <w:sz w:val="19"/>
          <w:szCs w:val="19"/>
        </w:rPr>
        <w:t>Ibidem</w:t>
      </w:r>
      <w:r>
        <w:rPr>
          <w:rFonts w:ascii="Arial" w:hAnsi="Arial" w:cs="Arial"/>
          <w:sz w:val="19"/>
          <w:szCs w:val="19"/>
        </w:rPr>
        <w:t>. p. 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F97F3" w14:textId="77777777" w:rsidR="008F4163" w:rsidRDefault="009A5867">
    <w:pPr>
      <w:pStyle w:val="Encabezado"/>
    </w:pPr>
    <w:r>
      <w:rPr>
        <w:noProof/>
        <w:lang w:val="es-ES_tradnl" w:eastAsia="es-ES_tradnl"/>
      </w:rPr>
      <w:drawing>
        <wp:anchor distT="0" distB="0" distL="114300" distR="114300" simplePos="0" relativeHeight="251659264" behindDoc="1" locked="0" layoutInCell="1" allowOverlap="1" wp14:anchorId="54394807" wp14:editId="348D0FE2">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632"/>
    <w:rsid w:val="00013C2A"/>
    <w:rsid w:val="00022161"/>
    <w:rsid w:val="00025BB0"/>
    <w:rsid w:val="0002773F"/>
    <w:rsid w:val="00027C93"/>
    <w:rsid w:val="000460F3"/>
    <w:rsid w:val="00064938"/>
    <w:rsid w:val="000A730D"/>
    <w:rsid w:val="000C2A08"/>
    <w:rsid w:val="000C3C3C"/>
    <w:rsid w:val="000F2FF7"/>
    <w:rsid w:val="00130B71"/>
    <w:rsid w:val="00151505"/>
    <w:rsid w:val="00156230"/>
    <w:rsid w:val="001618D3"/>
    <w:rsid w:val="001B1064"/>
    <w:rsid w:val="001D0D3A"/>
    <w:rsid w:val="001D4882"/>
    <w:rsid w:val="00201372"/>
    <w:rsid w:val="00216CBF"/>
    <w:rsid w:val="00216E0A"/>
    <w:rsid w:val="0022029D"/>
    <w:rsid w:val="002207FA"/>
    <w:rsid w:val="0022324B"/>
    <w:rsid w:val="002235CA"/>
    <w:rsid w:val="002317A8"/>
    <w:rsid w:val="00243B7A"/>
    <w:rsid w:val="00245C37"/>
    <w:rsid w:val="00257B6B"/>
    <w:rsid w:val="0026071A"/>
    <w:rsid w:val="002A2C55"/>
    <w:rsid w:val="002A2E41"/>
    <w:rsid w:val="002D638F"/>
    <w:rsid w:val="002E19F6"/>
    <w:rsid w:val="003255AD"/>
    <w:rsid w:val="00335F54"/>
    <w:rsid w:val="00346D9E"/>
    <w:rsid w:val="00360159"/>
    <w:rsid w:val="00365B2E"/>
    <w:rsid w:val="0037057F"/>
    <w:rsid w:val="00377857"/>
    <w:rsid w:val="00382FB5"/>
    <w:rsid w:val="00386871"/>
    <w:rsid w:val="003C5187"/>
    <w:rsid w:val="003D1ADF"/>
    <w:rsid w:val="003E3E72"/>
    <w:rsid w:val="0042523D"/>
    <w:rsid w:val="00426BA7"/>
    <w:rsid w:val="004274D1"/>
    <w:rsid w:val="00445CBB"/>
    <w:rsid w:val="00471C4E"/>
    <w:rsid w:val="00475BA6"/>
    <w:rsid w:val="004A4BE6"/>
    <w:rsid w:val="004A604E"/>
    <w:rsid w:val="004B0AD5"/>
    <w:rsid w:val="0050000A"/>
    <w:rsid w:val="0051408D"/>
    <w:rsid w:val="00591A61"/>
    <w:rsid w:val="00592C05"/>
    <w:rsid w:val="005A2736"/>
    <w:rsid w:val="005A2DC7"/>
    <w:rsid w:val="005B6D50"/>
    <w:rsid w:val="00611922"/>
    <w:rsid w:val="006339B9"/>
    <w:rsid w:val="00635710"/>
    <w:rsid w:val="0066416F"/>
    <w:rsid w:val="0068684B"/>
    <w:rsid w:val="00694225"/>
    <w:rsid w:val="006A4CEF"/>
    <w:rsid w:val="006A7F7E"/>
    <w:rsid w:val="006C0AF5"/>
    <w:rsid w:val="006C0BB7"/>
    <w:rsid w:val="006C6FE5"/>
    <w:rsid w:val="0076496B"/>
    <w:rsid w:val="00771185"/>
    <w:rsid w:val="00783B38"/>
    <w:rsid w:val="00786171"/>
    <w:rsid w:val="00794590"/>
    <w:rsid w:val="007A5C08"/>
    <w:rsid w:val="007C3F1F"/>
    <w:rsid w:val="007D4278"/>
    <w:rsid w:val="007E20EC"/>
    <w:rsid w:val="007E32BF"/>
    <w:rsid w:val="007F33AA"/>
    <w:rsid w:val="00811293"/>
    <w:rsid w:val="00851EE6"/>
    <w:rsid w:val="00854705"/>
    <w:rsid w:val="00866E78"/>
    <w:rsid w:val="00871184"/>
    <w:rsid w:val="00871418"/>
    <w:rsid w:val="008751CE"/>
    <w:rsid w:val="00876AB2"/>
    <w:rsid w:val="00883EF0"/>
    <w:rsid w:val="008E380F"/>
    <w:rsid w:val="008F702D"/>
    <w:rsid w:val="009232CF"/>
    <w:rsid w:val="00923779"/>
    <w:rsid w:val="009416E4"/>
    <w:rsid w:val="00947DDB"/>
    <w:rsid w:val="0095338E"/>
    <w:rsid w:val="00967C47"/>
    <w:rsid w:val="009823E7"/>
    <w:rsid w:val="009A5867"/>
    <w:rsid w:val="009D4067"/>
    <w:rsid w:val="009E4464"/>
    <w:rsid w:val="009F14D7"/>
    <w:rsid w:val="009F59F5"/>
    <w:rsid w:val="00A173BC"/>
    <w:rsid w:val="00A35F32"/>
    <w:rsid w:val="00A43C9F"/>
    <w:rsid w:val="00AA25DB"/>
    <w:rsid w:val="00AB3FCD"/>
    <w:rsid w:val="00AB766E"/>
    <w:rsid w:val="00B06E11"/>
    <w:rsid w:val="00B6750C"/>
    <w:rsid w:val="00B736DC"/>
    <w:rsid w:val="00B87075"/>
    <w:rsid w:val="00B978AF"/>
    <w:rsid w:val="00BA7488"/>
    <w:rsid w:val="00BA7FBF"/>
    <w:rsid w:val="00BC5FFF"/>
    <w:rsid w:val="00BD1DC8"/>
    <w:rsid w:val="00C05ED4"/>
    <w:rsid w:val="00C20B74"/>
    <w:rsid w:val="00C21D48"/>
    <w:rsid w:val="00C22636"/>
    <w:rsid w:val="00C255B1"/>
    <w:rsid w:val="00C42E97"/>
    <w:rsid w:val="00C93997"/>
    <w:rsid w:val="00CD5C72"/>
    <w:rsid w:val="00CF1271"/>
    <w:rsid w:val="00D171D5"/>
    <w:rsid w:val="00D21CFC"/>
    <w:rsid w:val="00D25CA5"/>
    <w:rsid w:val="00D33235"/>
    <w:rsid w:val="00D70D0C"/>
    <w:rsid w:val="00D71D1A"/>
    <w:rsid w:val="00D743F9"/>
    <w:rsid w:val="00DA36E3"/>
    <w:rsid w:val="00DB4899"/>
    <w:rsid w:val="00DD4A94"/>
    <w:rsid w:val="00DD7863"/>
    <w:rsid w:val="00DE2D0C"/>
    <w:rsid w:val="00DF70A4"/>
    <w:rsid w:val="00DF75C3"/>
    <w:rsid w:val="00E258BC"/>
    <w:rsid w:val="00E31632"/>
    <w:rsid w:val="00E41C5F"/>
    <w:rsid w:val="00E4511F"/>
    <w:rsid w:val="00E67C15"/>
    <w:rsid w:val="00E725C6"/>
    <w:rsid w:val="00EB08BD"/>
    <w:rsid w:val="00EB38C0"/>
    <w:rsid w:val="00EC04F9"/>
    <w:rsid w:val="00EC6AB1"/>
    <w:rsid w:val="00EC7617"/>
    <w:rsid w:val="00ED0DCD"/>
    <w:rsid w:val="00F355CF"/>
    <w:rsid w:val="00F454F6"/>
    <w:rsid w:val="00F662DE"/>
    <w:rsid w:val="00F73E2B"/>
    <w:rsid w:val="00F754E0"/>
    <w:rsid w:val="00F838C2"/>
    <w:rsid w:val="00F87088"/>
    <w:rsid w:val="00FA29E7"/>
    <w:rsid w:val="00FC2C71"/>
    <w:rsid w:val="00FD3EC8"/>
    <w:rsid w:val="00FD46D1"/>
    <w:rsid w:val="00FE79F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DE3A0"/>
  <w15:chartTrackingRefBased/>
  <w15:docId w15:val="{8D42AC52-88FF-480D-BC95-3DBA0E0F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632"/>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E31632"/>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E31632"/>
    <w:rPr>
      <w:sz w:val="24"/>
      <w:lang w:val="es-MX"/>
    </w:rPr>
  </w:style>
  <w:style w:type="paragraph" w:styleId="Encabezado">
    <w:name w:val="header"/>
    <w:basedOn w:val="Normal"/>
    <w:link w:val="EncabezadoCar"/>
    <w:uiPriority w:val="99"/>
    <w:unhideWhenUsed/>
    <w:rsid w:val="00E31632"/>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E31632"/>
    <w:rPr>
      <w:sz w:val="24"/>
      <w:lang w:val="es-MX"/>
    </w:rPr>
  </w:style>
  <w:style w:type="table" w:styleId="Tablaconcuadrcula">
    <w:name w:val="Table Grid"/>
    <w:basedOn w:val="Tablanormal"/>
    <w:uiPriority w:val="59"/>
    <w:rsid w:val="00E31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E31632"/>
    <w:pPr>
      <w:ind w:left="720"/>
      <w:contextualSpacing/>
    </w:pPr>
    <w:rPr>
      <w:rFonts w:asciiTheme="minorHAnsi" w:eastAsiaTheme="minorHAnsi" w:hAnsiTheme="minorHAnsi" w:cstheme="minorBidi"/>
      <w:szCs w:val="22"/>
      <w:lang w:val="es-MX" w:eastAsia="en-US"/>
    </w:rPr>
  </w:style>
  <w:style w:type="paragraph" w:styleId="NormalWeb">
    <w:name w:val="Normal (Web)"/>
    <w:basedOn w:val="Normal"/>
    <w:link w:val="NormalWebCar"/>
    <w:uiPriority w:val="99"/>
    <w:unhideWhenUsed/>
    <w:rsid w:val="00E31632"/>
    <w:pPr>
      <w:spacing w:before="100" w:beforeAutospacing="1" w:after="100" w:afterAutospacing="1"/>
    </w:pPr>
    <w:rPr>
      <w:lang w:eastAsia="es-CO"/>
    </w:rPr>
  </w:style>
  <w:style w:type="paragraph" w:styleId="Sinespaciado">
    <w:name w:val="No Spacing"/>
    <w:aliases w:val="No Indent"/>
    <w:uiPriority w:val="3"/>
    <w:qFormat/>
    <w:rsid w:val="00E31632"/>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E31632"/>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E31632"/>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E31632"/>
    <w:rPr>
      <w:rFonts w:ascii="Times New Roman" w:eastAsia="Times New Roman" w:hAnsi="Times New Roman" w:cs="Times New Roman"/>
      <w:sz w:val="20"/>
      <w:szCs w:val="20"/>
      <w:lang w:eastAsia="es-ES_tradnl"/>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E31632"/>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E31632"/>
    <w:rPr>
      <w:vertAlign w:val="superscript"/>
    </w:rPr>
  </w:style>
  <w:style w:type="paragraph" w:customStyle="1" w:styleId="Appelnotedebasde">
    <w:name w:val="Appel note de bas de..."/>
    <w:basedOn w:val="Normal"/>
    <w:link w:val="Refdenotaalpie"/>
    <w:uiPriority w:val="99"/>
    <w:rsid w:val="00E31632"/>
    <w:pPr>
      <w:spacing w:after="160" w:line="240" w:lineRule="exact"/>
    </w:pPr>
    <w:rPr>
      <w:rFonts w:asciiTheme="minorHAnsi" w:eastAsiaTheme="minorHAnsi" w:hAnsiTheme="minorHAnsi" w:cstheme="minorBidi"/>
      <w:sz w:val="22"/>
      <w:szCs w:val="22"/>
      <w:vertAlign w:val="superscript"/>
      <w:lang w:eastAsia="en-US"/>
    </w:rPr>
  </w:style>
  <w:style w:type="character" w:customStyle="1" w:styleId="NormalWebCar">
    <w:name w:val="Normal (Web) Car"/>
    <w:link w:val="NormalWeb"/>
    <w:uiPriority w:val="99"/>
    <w:rsid w:val="00E31632"/>
    <w:rPr>
      <w:rFonts w:ascii="Times New Roman" w:eastAsia="Times New Roman" w:hAnsi="Times New Roman" w:cs="Times New Roman"/>
      <w:sz w:val="24"/>
      <w:szCs w:val="24"/>
      <w:lang w:eastAsia="es-CO"/>
    </w:rPr>
  </w:style>
  <w:style w:type="table" w:customStyle="1" w:styleId="Tablaconcuadrcula1">
    <w:name w:val="Tabla con cuadrícula1"/>
    <w:basedOn w:val="Tablanormal"/>
    <w:next w:val="Tablaconcuadrcula"/>
    <w:uiPriority w:val="39"/>
    <w:rsid w:val="00E3163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245C37"/>
    <w:rPr>
      <w:sz w:val="16"/>
      <w:szCs w:val="16"/>
    </w:rPr>
  </w:style>
  <w:style w:type="paragraph" w:styleId="Textocomentario">
    <w:name w:val="annotation text"/>
    <w:basedOn w:val="Normal"/>
    <w:link w:val="TextocomentarioCar"/>
    <w:uiPriority w:val="99"/>
    <w:unhideWhenUsed/>
    <w:rsid w:val="00245C37"/>
    <w:rPr>
      <w:sz w:val="20"/>
      <w:szCs w:val="20"/>
    </w:rPr>
  </w:style>
  <w:style w:type="character" w:customStyle="1" w:styleId="TextocomentarioCar">
    <w:name w:val="Texto comentario Car"/>
    <w:basedOn w:val="Fuentedeprrafopredeter"/>
    <w:link w:val="Textocomentario"/>
    <w:uiPriority w:val="99"/>
    <w:rsid w:val="00245C37"/>
    <w:rPr>
      <w:rFonts w:ascii="Times New Roman" w:eastAsia="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245C37"/>
    <w:rPr>
      <w:b/>
      <w:bCs/>
    </w:rPr>
  </w:style>
  <w:style w:type="character" w:customStyle="1" w:styleId="AsuntodelcomentarioCar">
    <w:name w:val="Asunto del comentario Car"/>
    <w:basedOn w:val="TextocomentarioCar"/>
    <w:link w:val="Asuntodelcomentario"/>
    <w:uiPriority w:val="99"/>
    <w:semiHidden/>
    <w:rsid w:val="00245C37"/>
    <w:rPr>
      <w:rFonts w:ascii="Times New Roman" w:eastAsia="Times New Roman" w:hAnsi="Times New Roman" w:cs="Times New Roman"/>
      <w:b/>
      <w:bCs/>
      <w:sz w:val="20"/>
      <w:szCs w:val="20"/>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05D66676-6E7F-4F4A-815D-5FB16C6F32BC}">
  <ds:schemaRefs>
    <ds:schemaRef ds:uri="http://schemas.openxmlformats.org/officeDocument/2006/bibliography"/>
  </ds:schemaRefs>
</ds:datastoreItem>
</file>

<file path=customXml/itemProps2.xml><?xml version="1.0" encoding="utf-8"?>
<ds:datastoreItem xmlns:ds="http://schemas.openxmlformats.org/officeDocument/2006/customXml" ds:itemID="{1C19E97F-9D8C-4A52-97D0-8DB96EAD7B53}"/>
</file>

<file path=customXml/itemProps3.xml><?xml version="1.0" encoding="utf-8"?>
<ds:datastoreItem xmlns:ds="http://schemas.openxmlformats.org/officeDocument/2006/customXml" ds:itemID="{389D780F-73EC-490B-9E54-A565132736F2}"/>
</file>

<file path=customXml/itemProps4.xml><?xml version="1.0" encoding="utf-8"?>
<ds:datastoreItem xmlns:ds="http://schemas.openxmlformats.org/officeDocument/2006/customXml" ds:itemID="{82DD0EF6-D29D-48D6-826D-FF9E729F3917}"/>
</file>

<file path=docProps/app.xml><?xml version="1.0" encoding="utf-8"?>
<Properties xmlns="http://schemas.openxmlformats.org/officeDocument/2006/extended-properties" xmlns:vt="http://schemas.openxmlformats.org/officeDocument/2006/docPropsVTypes">
  <Template>Normal</Template>
  <TotalTime>1</TotalTime>
  <Pages>18</Pages>
  <Words>7844</Words>
  <Characters>43147</Characters>
  <Application>Microsoft Office Word</Application>
  <DocSecurity>0</DocSecurity>
  <Lines>359</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Mario Castrillón Endo</dc:creator>
  <cp:keywords/>
  <dc:description/>
  <cp:lastModifiedBy>Carlos Mario Castrillón Endo</cp:lastModifiedBy>
  <cp:revision>2</cp:revision>
  <dcterms:created xsi:type="dcterms:W3CDTF">2021-05-06T14:09:00Z</dcterms:created>
  <dcterms:modified xsi:type="dcterms:W3CDTF">2021-05-06T14:09:00Z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