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06D8" w14:textId="77777777" w:rsidR="00A71CEA" w:rsidRPr="004B27AF" w:rsidRDefault="00A71CEA" w:rsidP="00A71CEA">
      <w:pPr>
        <w:jc w:val="right"/>
        <w:rPr>
          <w:rFonts w:ascii="Arial" w:hAnsi="Arial" w:cs="Arial"/>
          <w:b/>
          <w:color w:val="000000" w:themeColor="text1"/>
          <w:sz w:val="16"/>
          <w:szCs w:val="16"/>
          <w:lang w:eastAsia="es-ES"/>
        </w:rPr>
      </w:pPr>
      <w:r w:rsidRPr="004B27AF">
        <w:rPr>
          <w:rFonts w:ascii="Arial" w:hAnsi="Arial" w:cs="Arial"/>
          <w:b/>
          <w:color w:val="000000" w:themeColor="text1"/>
          <w:sz w:val="16"/>
          <w:szCs w:val="16"/>
          <w:lang w:eastAsia="es-ES"/>
        </w:rPr>
        <w:t>CCE-DES-FM-17</w:t>
      </w:r>
    </w:p>
    <w:p w14:paraId="3C6F62F8" w14:textId="77777777" w:rsidR="007F7C03" w:rsidRDefault="007F7C03" w:rsidP="00A71CEA">
      <w:pPr>
        <w:spacing w:line="276" w:lineRule="auto"/>
        <w:jc w:val="both"/>
        <w:rPr>
          <w:rFonts w:ascii="Arial" w:eastAsia="Calibri" w:hAnsi="Arial" w:cs="Arial"/>
          <w:b/>
          <w:bCs/>
          <w:sz w:val="22"/>
          <w:szCs w:val="22"/>
        </w:rPr>
      </w:pPr>
    </w:p>
    <w:p w14:paraId="52D5765B" w14:textId="1834A727" w:rsidR="00387886" w:rsidRDefault="00387886" w:rsidP="00F3225B">
      <w:pPr>
        <w:jc w:val="both"/>
        <w:rPr>
          <w:rFonts w:ascii="Arial" w:eastAsia="Calibri" w:hAnsi="Arial" w:cs="Arial"/>
          <w:b/>
          <w:bCs/>
          <w:sz w:val="22"/>
          <w:szCs w:val="22"/>
        </w:rPr>
      </w:pPr>
      <w:r>
        <w:rPr>
          <w:rFonts w:ascii="Arial" w:eastAsia="Calibri" w:hAnsi="Arial" w:cs="Arial"/>
          <w:b/>
          <w:bCs/>
          <w:sz w:val="22"/>
          <w:szCs w:val="22"/>
        </w:rPr>
        <w:t xml:space="preserve">PLIEGOS TIPO – Naturaleza jurídica </w:t>
      </w:r>
      <w:r w:rsidR="002057A4">
        <w:rPr>
          <w:rFonts w:ascii="Arial" w:eastAsia="Calibri" w:hAnsi="Arial" w:cs="Arial"/>
          <w:b/>
          <w:bCs/>
          <w:sz w:val="22"/>
          <w:szCs w:val="22"/>
        </w:rPr>
        <w:t xml:space="preserve">– finalidad </w:t>
      </w:r>
    </w:p>
    <w:p w14:paraId="10E1F938" w14:textId="482282B4" w:rsidR="00387886" w:rsidRDefault="00387886" w:rsidP="00F3225B">
      <w:pPr>
        <w:jc w:val="both"/>
        <w:rPr>
          <w:rFonts w:ascii="Arial" w:eastAsia="Calibri" w:hAnsi="Arial" w:cs="Arial"/>
          <w:b/>
          <w:bCs/>
          <w:sz w:val="22"/>
          <w:szCs w:val="22"/>
        </w:rPr>
      </w:pPr>
    </w:p>
    <w:p w14:paraId="3999B1E8" w14:textId="51CCD924" w:rsidR="00F3225B" w:rsidRPr="008A1C20" w:rsidRDefault="00F3225B" w:rsidP="008A1C20">
      <w:pPr>
        <w:spacing w:after="120" w:line="276" w:lineRule="auto"/>
        <w:jc w:val="both"/>
        <w:rPr>
          <w:rFonts w:ascii="Arial" w:hAnsi="Arial" w:cs="Arial"/>
          <w:sz w:val="20"/>
          <w:szCs w:val="20"/>
          <w:lang w:val="es-ES"/>
        </w:rPr>
      </w:pPr>
      <w:r w:rsidRPr="008A1C20">
        <w:rPr>
          <w:rFonts w:ascii="Arial" w:hAnsi="Arial" w:cs="Arial"/>
          <w:sz w:val="20"/>
          <w:szCs w:val="20"/>
          <w:lang w:val="es-ES"/>
        </w:rPr>
        <w:t>Como se observa, los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p>
    <w:p w14:paraId="673737BB" w14:textId="77777777" w:rsidR="002057A4" w:rsidRPr="00623378" w:rsidRDefault="002057A4">
      <w:pPr>
        <w:jc w:val="both"/>
        <w:rPr>
          <w:rFonts w:ascii="Arial" w:hAnsi="Arial" w:cs="Arial"/>
          <w:sz w:val="20"/>
          <w:szCs w:val="20"/>
          <w:lang w:val="es-ES"/>
        </w:rPr>
      </w:pPr>
      <w:r w:rsidRPr="00623378">
        <w:rPr>
          <w:rFonts w:ascii="Arial" w:hAnsi="Arial" w:cs="Arial"/>
          <w:sz w:val="20"/>
          <w:szCs w:val="20"/>
          <w:lang w:val="es-ES"/>
        </w:rPr>
        <w:t xml:space="preserve">En ejercicio de las competencias atribuidas por los artículos 2.2.1.2.6.1.3, 2.2.1.2.6.2.3 y 2.2.1.2.6.3.3 del Decreto 1082 de 2015, esta Agencia expidió la Resolución No. 1798 de 2019, referida a procesos de licitación pública –Versión 1–, la cual fue actualizada por la Resolución No. 045 de 2020 –Versión 2–-.  Así mismo expidió las Resolución No. 044 de 2020, que implementó los documentos tipo para la modalidad de selección abreviada de menor cuantía, y la Resolución No. 094 de 2020, que se hizo lo propio respecto de la modalidad de mínima cuantía. </w:t>
      </w:r>
    </w:p>
    <w:p w14:paraId="3B27E984" w14:textId="028AC9AA" w:rsidR="00387886" w:rsidRDefault="00387886" w:rsidP="00F3225B">
      <w:pPr>
        <w:jc w:val="both"/>
        <w:rPr>
          <w:rFonts w:ascii="Arial" w:eastAsia="Calibri" w:hAnsi="Arial" w:cs="Arial"/>
          <w:b/>
          <w:bCs/>
          <w:sz w:val="22"/>
          <w:szCs w:val="22"/>
        </w:rPr>
      </w:pPr>
    </w:p>
    <w:p w14:paraId="21672D97" w14:textId="33D27AD3" w:rsidR="002057A4" w:rsidRDefault="002057A4" w:rsidP="00F3225B">
      <w:pPr>
        <w:jc w:val="both"/>
        <w:rPr>
          <w:rFonts w:ascii="Arial" w:eastAsia="Calibri" w:hAnsi="Arial" w:cs="Arial"/>
          <w:b/>
          <w:bCs/>
          <w:sz w:val="22"/>
          <w:szCs w:val="22"/>
        </w:rPr>
      </w:pPr>
      <w:r>
        <w:rPr>
          <w:rFonts w:ascii="Arial" w:eastAsia="Calibri" w:hAnsi="Arial" w:cs="Arial"/>
          <w:b/>
          <w:bCs/>
          <w:sz w:val="22"/>
          <w:szCs w:val="22"/>
        </w:rPr>
        <w:t xml:space="preserve">PLIEGO TIPO – ANEXO 5 – Minuta </w:t>
      </w:r>
    </w:p>
    <w:p w14:paraId="02463461" w14:textId="4DF627CA" w:rsidR="00BB51F3" w:rsidRDefault="00BB51F3" w:rsidP="00BB51F3">
      <w:pPr>
        <w:spacing w:before="120" w:line="276" w:lineRule="auto"/>
        <w:jc w:val="both"/>
        <w:rPr>
          <w:rFonts w:ascii="Arial" w:eastAsia="Calibri" w:hAnsi="Arial" w:cs="Arial"/>
          <w:bCs/>
          <w:sz w:val="20"/>
          <w:szCs w:val="20"/>
        </w:rPr>
      </w:pPr>
      <w:r w:rsidRPr="008A1C20">
        <w:rPr>
          <w:rFonts w:ascii="Arial" w:eastAsia="Calibri" w:hAnsi="Arial" w:cs="Arial"/>
          <w:bCs/>
          <w:sz w:val="20"/>
          <w:szCs w:val="20"/>
        </w:rPr>
        <w:t>Dentro de los listados de documentos tipo, de obligatoria observancia para las entidades estatales que apliquen el EGCAP, establecidos para las modalidades de licitación pública y selección abreviada de menor cuantía, de acuerdo con las versiones vigentes de los documentos tipo, expedidas con fundamento en la Ley 2022 de 202, se encuentra el «Anexo 5 – Minuta del contrato»</w:t>
      </w:r>
      <w:r w:rsidRPr="008A1C20">
        <w:rPr>
          <w:rStyle w:val="Refdenotaalpie"/>
          <w:rFonts w:ascii="Arial" w:eastAsia="Calibri" w:hAnsi="Arial" w:cs="Arial"/>
          <w:bCs/>
          <w:sz w:val="20"/>
          <w:szCs w:val="20"/>
        </w:rPr>
        <w:footnoteReference w:id="1"/>
      </w:r>
      <w:r w:rsidRPr="008A1C20">
        <w:rPr>
          <w:rFonts w:ascii="Arial" w:eastAsia="Calibri" w:hAnsi="Arial" w:cs="Arial"/>
          <w:bCs/>
          <w:sz w:val="20"/>
          <w:szCs w:val="20"/>
        </w:rPr>
        <w:t xml:space="preserve">. Este, tanto en los documentos tipo de licitación pública –versiones 1, 2 y 3–, como en los de selección abreviada de menor cuantía –versiones 1 y 2–, consta de 25 cláusulas orientadas a servir de insumo para el contrato que finalmente será suscrito por las partes del contrato. Por su parte, el anexo respectivo relacionado con los documentos tipo de concurso de méritos para seleccionar a interventores de obra pública de infraestructura de transporte cuenta con 24 cláusulas. </w:t>
      </w:r>
    </w:p>
    <w:p w14:paraId="776150E3" w14:textId="77777777" w:rsidR="00BB51F3" w:rsidRPr="008A1C20" w:rsidRDefault="00BB51F3" w:rsidP="008A1C20">
      <w:pPr>
        <w:spacing w:before="120" w:line="276" w:lineRule="auto"/>
        <w:jc w:val="both"/>
        <w:rPr>
          <w:rFonts w:ascii="Arial" w:eastAsia="Calibri" w:hAnsi="Arial" w:cs="Arial"/>
          <w:bCs/>
          <w:sz w:val="20"/>
          <w:szCs w:val="20"/>
        </w:rPr>
      </w:pPr>
    </w:p>
    <w:p w14:paraId="2358C54C" w14:textId="77777777" w:rsidR="00BB51F3" w:rsidRPr="008A1C20" w:rsidRDefault="00BB51F3" w:rsidP="008A1C20">
      <w:pPr>
        <w:spacing w:before="120" w:after="120" w:line="276" w:lineRule="auto"/>
        <w:jc w:val="both"/>
        <w:rPr>
          <w:rFonts w:ascii="Arial" w:eastAsia="Calibri" w:hAnsi="Arial" w:cs="Arial"/>
          <w:bCs/>
          <w:sz w:val="20"/>
          <w:szCs w:val="20"/>
        </w:rPr>
      </w:pPr>
      <w:r w:rsidRPr="008A1C20">
        <w:rPr>
          <w:rFonts w:ascii="Arial" w:eastAsia="Calibri" w:hAnsi="Arial" w:cs="Arial"/>
          <w:bCs/>
          <w:sz w:val="20"/>
          <w:szCs w:val="20"/>
        </w:rPr>
        <w:t xml:space="preserve">De esta manera, dentro de las cláusulas que conforman este documento encontramos una serie de apartados grises entre corchetes destinados a que las entidades estatales, en el marco de la autonomía que les corresponde, dispongan en ellos información relativa a las necesidades que pretenden satisfacer, el objeto a contratar y, en general, información necesaria para regular la relación contractual, partiendo de los aspectos más básicos como el objeto, el plazo, la forma de pago, las obligaciones, etc., a partir de opciones, alternativas y sugerencias de cláusulas prestablecidas en el Anexo 5.  </w:t>
      </w:r>
    </w:p>
    <w:p w14:paraId="23E9CB23" w14:textId="3DF11A27" w:rsidR="002057A4" w:rsidRDefault="002057A4" w:rsidP="00F3225B">
      <w:pPr>
        <w:jc w:val="both"/>
        <w:rPr>
          <w:rFonts w:ascii="Arial" w:eastAsia="Calibri" w:hAnsi="Arial" w:cs="Arial"/>
          <w:bCs/>
          <w:sz w:val="22"/>
          <w:szCs w:val="22"/>
        </w:rPr>
      </w:pPr>
    </w:p>
    <w:p w14:paraId="65852847" w14:textId="0DFF405A" w:rsidR="00623378" w:rsidRDefault="00623378" w:rsidP="00827A2A">
      <w:pPr>
        <w:jc w:val="both"/>
        <w:rPr>
          <w:rFonts w:ascii="Arial" w:eastAsia="Calibri" w:hAnsi="Arial" w:cs="Arial"/>
          <w:b/>
          <w:sz w:val="22"/>
          <w:szCs w:val="22"/>
        </w:rPr>
      </w:pPr>
      <w:r>
        <w:rPr>
          <w:rFonts w:ascii="Arial" w:eastAsia="Calibri" w:hAnsi="Arial" w:cs="Arial"/>
          <w:b/>
          <w:sz w:val="22"/>
          <w:szCs w:val="22"/>
        </w:rPr>
        <w:t xml:space="preserve">FIRMA – Finalidad </w:t>
      </w:r>
    </w:p>
    <w:p w14:paraId="145483BB" w14:textId="77777777" w:rsidR="00827A2A" w:rsidRPr="00623378" w:rsidRDefault="00827A2A" w:rsidP="00F3225B">
      <w:pPr>
        <w:jc w:val="both"/>
        <w:rPr>
          <w:rFonts w:ascii="Arial" w:eastAsia="Calibri" w:hAnsi="Arial" w:cs="Arial"/>
          <w:b/>
          <w:sz w:val="22"/>
          <w:szCs w:val="22"/>
        </w:rPr>
      </w:pPr>
    </w:p>
    <w:p w14:paraId="6BCF3933" w14:textId="094E57E8" w:rsidR="002057A4" w:rsidRPr="00623378" w:rsidRDefault="00623378">
      <w:pPr>
        <w:jc w:val="both"/>
        <w:rPr>
          <w:rFonts w:ascii="Arial" w:eastAsia="Calibri" w:hAnsi="Arial" w:cs="Arial"/>
          <w:b/>
          <w:bCs/>
          <w:sz w:val="21"/>
          <w:szCs w:val="21"/>
        </w:rPr>
      </w:pPr>
      <w:r w:rsidRPr="00BA7F22">
        <w:rPr>
          <w:rFonts w:ascii="Arial" w:eastAsia="Calibri" w:hAnsi="Arial" w:cs="Arial"/>
          <w:sz w:val="20"/>
          <w:szCs w:val="20"/>
          <w:lang w:val="es-ES_tradnl"/>
        </w:rPr>
        <w:lastRenderedPageBreak/>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Dentro del concepto general, la </w:t>
      </w:r>
      <w:r w:rsidRPr="00BA7F22">
        <w:rPr>
          <w:rFonts w:ascii="Arial" w:eastAsia="Calibri" w:hAnsi="Arial" w:cs="Arial"/>
          <w:i/>
          <w:iCs/>
          <w:sz w:val="20"/>
          <w:szCs w:val="20"/>
          <w:lang w:val="es-ES_tradnl"/>
        </w:rPr>
        <w:t>firma manuscrita</w:t>
      </w:r>
      <w:r w:rsidRPr="00BA7F22">
        <w:rPr>
          <w:rFonts w:ascii="Arial" w:eastAsia="Calibri" w:hAnsi="Arial" w:cs="Arial"/>
          <w:sz w:val="20"/>
          <w:szCs w:val="20"/>
          <w:lang w:val="es-ES_tradnl"/>
        </w:rPr>
        <w:t xml:space="preserve"> </w:t>
      </w:r>
      <w:r w:rsidRPr="00BA7F22">
        <w:rPr>
          <w:rFonts w:ascii="Arial" w:eastAsia="Calibri" w:hAnsi="Arial" w:cs="Arial"/>
          <w:sz w:val="20"/>
          <w:szCs w:val="20"/>
        </w:rPr>
        <w:t>es «[…] un rasgo o signo impuesto del puño y letra de una persona, con el cual, de forma general y reiterada, se compromete con el contenido de los documentos que la consignan, o da fe de que lo allí registrado obedece a la realidad</w:t>
      </w:r>
      <w:r w:rsidRPr="00623378">
        <w:rPr>
          <w:rFonts w:ascii="Arial" w:eastAsia="Calibri" w:hAnsi="Arial" w:cs="Arial"/>
          <w:sz w:val="21"/>
          <w:szCs w:val="21"/>
        </w:rPr>
        <w:t>»</w:t>
      </w:r>
      <w:r w:rsidR="00827A2A">
        <w:rPr>
          <w:rFonts w:ascii="Arial" w:eastAsia="Calibri" w:hAnsi="Arial" w:cs="Arial"/>
          <w:sz w:val="21"/>
          <w:szCs w:val="21"/>
        </w:rPr>
        <w:t>.</w:t>
      </w:r>
    </w:p>
    <w:p w14:paraId="0DBCB1A1" w14:textId="725F7EC9" w:rsidR="00387886" w:rsidRDefault="00387886" w:rsidP="00F3225B">
      <w:pPr>
        <w:jc w:val="both"/>
        <w:rPr>
          <w:rFonts w:ascii="Arial" w:eastAsia="Calibri" w:hAnsi="Arial" w:cs="Arial"/>
          <w:b/>
          <w:bCs/>
          <w:sz w:val="22"/>
          <w:szCs w:val="22"/>
        </w:rPr>
      </w:pPr>
    </w:p>
    <w:p w14:paraId="2ACA81F6" w14:textId="77777777" w:rsidR="00BA7F22" w:rsidRPr="00B8134D" w:rsidRDefault="00BA7F22">
      <w:pPr>
        <w:rPr>
          <w:rFonts w:ascii="Arial" w:eastAsia="Calibri" w:hAnsi="Arial" w:cs="Arial"/>
          <w:b/>
          <w:bCs/>
          <w:sz w:val="22"/>
          <w:szCs w:val="22"/>
          <w:lang w:val="es-ES_tradnl"/>
        </w:rPr>
      </w:pPr>
      <w:r w:rsidRPr="00B8134D">
        <w:rPr>
          <w:rFonts w:ascii="Arial" w:eastAsia="Calibri" w:hAnsi="Arial" w:cs="Arial"/>
          <w:b/>
          <w:bCs/>
          <w:sz w:val="22"/>
          <w:szCs w:val="22"/>
          <w:lang w:val="es-ES_tradnl"/>
        </w:rPr>
        <w:t>FIRMA DIGITAL Y ELECTRÓNICA – Funciones de identificación</w:t>
      </w:r>
    </w:p>
    <w:p w14:paraId="35E88BE4" w14:textId="77777777" w:rsidR="00BA7F22" w:rsidRPr="00B8134D" w:rsidRDefault="00BA7F22">
      <w:pPr>
        <w:rPr>
          <w:rFonts w:ascii="Arial" w:eastAsia="Calibri" w:hAnsi="Arial" w:cs="Arial"/>
          <w:sz w:val="22"/>
          <w:szCs w:val="22"/>
          <w:lang w:val="es-ES_tradnl"/>
        </w:rPr>
      </w:pPr>
    </w:p>
    <w:p w14:paraId="354B7548" w14:textId="77777777" w:rsidR="00BA7F22" w:rsidRDefault="00BA7F22">
      <w:pPr>
        <w:jc w:val="both"/>
        <w:rPr>
          <w:rFonts w:ascii="Arial" w:eastAsia="Calibri" w:hAnsi="Arial" w:cs="Arial"/>
          <w:sz w:val="20"/>
          <w:szCs w:val="20"/>
        </w:rPr>
      </w:pPr>
      <w:r w:rsidRPr="00B8134D">
        <w:rPr>
          <w:rFonts w:ascii="Arial" w:eastAsia="Calibri" w:hAnsi="Arial" w:cs="Arial"/>
          <w:sz w:val="20"/>
          <w:szCs w:val="20"/>
        </w:rPr>
        <w:t xml:space="preserve">El Documento CONPES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548FC6CD" w14:textId="77777777" w:rsidR="00BA7F22" w:rsidRDefault="00BA7F22" w:rsidP="00A71CEA">
      <w:pPr>
        <w:spacing w:line="276" w:lineRule="auto"/>
        <w:jc w:val="both"/>
        <w:rPr>
          <w:rFonts w:ascii="Arial" w:eastAsia="Calibri" w:hAnsi="Arial" w:cs="Arial"/>
          <w:b/>
          <w:bCs/>
          <w:sz w:val="22"/>
          <w:szCs w:val="22"/>
        </w:rPr>
      </w:pPr>
    </w:p>
    <w:p w14:paraId="168D2BD6" w14:textId="4A2A65F1" w:rsidR="00387886" w:rsidRDefault="00387886" w:rsidP="00A71CEA">
      <w:pPr>
        <w:spacing w:line="276" w:lineRule="auto"/>
        <w:jc w:val="both"/>
        <w:rPr>
          <w:rFonts w:ascii="Arial" w:eastAsia="Calibri" w:hAnsi="Arial" w:cs="Arial"/>
          <w:b/>
          <w:bCs/>
          <w:sz w:val="22"/>
          <w:szCs w:val="22"/>
        </w:rPr>
      </w:pPr>
    </w:p>
    <w:p w14:paraId="5795A372" w14:textId="77777777" w:rsidR="00BA7F22" w:rsidRDefault="00BA7F22" w:rsidP="00A71CEA">
      <w:pPr>
        <w:spacing w:line="276" w:lineRule="auto"/>
        <w:jc w:val="both"/>
        <w:rPr>
          <w:rFonts w:ascii="Arial" w:eastAsia="Calibri" w:hAnsi="Arial" w:cs="Arial"/>
          <w:b/>
          <w:bCs/>
          <w:sz w:val="22"/>
          <w:szCs w:val="22"/>
        </w:rPr>
      </w:pPr>
    </w:p>
    <w:p w14:paraId="14879162" w14:textId="77777777" w:rsidR="00827A2A" w:rsidRDefault="00827A2A">
      <w:pPr>
        <w:rPr>
          <w:rFonts w:ascii="Arial" w:hAnsi="Arial" w:cs="Arial"/>
          <w:color w:val="000000" w:themeColor="text1"/>
          <w:sz w:val="22"/>
        </w:rPr>
      </w:pPr>
      <w:r>
        <w:rPr>
          <w:rFonts w:ascii="Arial" w:hAnsi="Arial" w:cs="Arial"/>
          <w:color w:val="000000" w:themeColor="text1"/>
          <w:sz w:val="22"/>
        </w:rPr>
        <w:br w:type="page"/>
      </w:r>
    </w:p>
    <w:p w14:paraId="50940688" w14:textId="5887CE91" w:rsidR="008A1C20" w:rsidRPr="008A1C20" w:rsidRDefault="008A1C20" w:rsidP="008A1C20">
      <w:pPr>
        <w:jc w:val="right"/>
      </w:pPr>
      <w:r>
        <w:lastRenderedPageBreak/>
        <w:fldChar w:fldCharType="begin"/>
      </w:r>
      <w:r>
        <w:instrText xml:space="preserve"> INCLUDEPICTURE "/var/folders/tb/0fmk9b510f57pz5rwhv8lnpw0000gp/T/com.microsoft.Word/WebArchiveCopyPasteTempFiles/page1image47544960" \* MERGEFORMATINET </w:instrText>
      </w:r>
      <w:r>
        <w:fldChar w:fldCharType="separate"/>
      </w:r>
      <w:r>
        <w:rPr>
          <w:noProof/>
        </w:rPr>
        <w:drawing>
          <wp:inline distT="0" distB="0" distL="0" distR="0" wp14:anchorId="705D9117" wp14:editId="45337C97">
            <wp:extent cx="2397125" cy="609600"/>
            <wp:effectExtent l="0" t="0" r="3175" b="0"/>
            <wp:docPr id="4" name="Imagen 4" descr="page1image4754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7125" cy="609600"/>
                    </a:xfrm>
                    <a:prstGeom prst="rect">
                      <a:avLst/>
                    </a:prstGeom>
                  </pic:spPr>
                </pic:pic>
              </a:graphicData>
            </a:graphic>
          </wp:inline>
        </w:drawing>
      </w:r>
      <w:r>
        <w:fldChar w:fldCharType="end"/>
      </w:r>
    </w:p>
    <w:p w14:paraId="1784010D" w14:textId="77777777" w:rsidR="00A71CEA" w:rsidRPr="006C15D5" w:rsidRDefault="00A71CEA" w:rsidP="008A1C20">
      <w:pPr>
        <w:rPr>
          <w:rFonts w:ascii="Arial" w:eastAsia="Calibri" w:hAnsi="Arial" w:cs="Arial"/>
          <w:color w:val="000000" w:themeColor="text1"/>
          <w:sz w:val="22"/>
        </w:rPr>
      </w:pPr>
    </w:p>
    <w:p w14:paraId="3E2912A2" w14:textId="77777777" w:rsidR="00A71CEA" w:rsidRPr="006C15D5" w:rsidRDefault="00A71CEA" w:rsidP="00A71CEA">
      <w:pPr>
        <w:rPr>
          <w:rFonts w:ascii="Arial" w:eastAsia="Calibri" w:hAnsi="Arial" w:cs="Arial"/>
          <w:color w:val="000000" w:themeColor="text1"/>
          <w:sz w:val="22"/>
        </w:rPr>
      </w:pPr>
    </w:p>
    <w:p w14:paraId="48BCB28F" w14:textId="2D39DD11" w:rsidR="00A71CEA" w:rsidRPr="006C15D5" w:rsidRDefault="00A71CEA" w:rsidP="00A71CEA">
      <w:pPr>
        <w:rPr>
          <w:rFonts w:ascii="Arial" w:eastAsia="Calibri" w:hAnsi="Arial" w:cs="Arial"/>
          <w:color w:val="000000" w:themeColor="text1"/>
          <w:sz w:val="22"/>
        </w:rPr>
      </w:pPr>
      <w:r w:rsidRPr="006C15D5">
        <w:rPr>
          <w:rFonts w:ascii="Arial" w:eastAsia="Calibri" w:hAnsi="Arial" w:cs="Arial"/>
          <w:color w:val="000000" w:themeColor="text1"/>
          <w:sz w:val="22"/>
        </w:rPr>
        <w:t>Señor</w:t>
      </w:r>
      <w:r w:rsidR="004D7DE2">
        <w:rPr>
          <w:rFonts w:ascii="Arial" w:eastAsia="Calibri" w:hAnsi="Arial" w:cs="Arial"/>
          <w:color w:val="000000" w:themeColor="text1"/>
          <w:sz w:val="22"/>
        </w:rPr>
        <w:t>a</w:t>
      </w:r>
    </w:p>
    <w:p w14:paraId="0A1AEC66" w14:textId="1F65D551" w:rsidR="00A71CEA" w:rsidRDefault="00121176" w:rsidP="7320CF4F">
      <w:pPr>
        <w:rPr>
          <w:rFonts w:ascii="Arial" w:eastAsia="Calibri" w:hAnsi="Arial" w:cs="Arial"/>
          <w:b/>
          <w:bCs/>
          <w:color w:val="000000" w:themeColor="text1"/>
          <w:sz w:val="22"/>
          <w:szCs w:val="22"/>
        </w:rPr>
      </w:pPr>
      <w:r w:rsidRPr="7320CF4F">
        <w:rPr>
          <w:rFonts w:ascii="Arial" w:eastAsia="Calibri" w:hAnsi="Arial" w:cs="Arial"/>
          <w:b/>
          <w:bCs/>
          <w:color w:val="000000" w:themeColor="text1"/>
          <w:sz w:val="22"/>
          <w:szCs w:val="22"/>
        </w:rPr>
        <w:t>XXXX</w:t>
      </w:r>
    </w:p>
    <w:p w14:paraId="45EBAD5E" w14:textId="7BEEFECE" w:rsidR="00A71CEA" w:rsidRPr="006C15D5" w:rsidRDefault="00A71CEA" w:rsidP="00A71CEA">
      <w:pPr>
        <w:rPr>
          <w:rFonts w:ascii="Arial" w:eastAsia="Calibri" w:hAnsi="Arial" w:cs="Arial"/>
          <w:color w:val="000000" w:themeColor="text1"/>
          <w:sz w:val="22"/>
        </w:rPr>
      </w:pPr>
      <w:r>
        <w:rPr>
          <w:rFonts w:ascii="Arial" w:eastAsia="Calibri" w:hAnsi="Arial" w:cs="Arial"/>
          <w:bCs/>
          <w:color w:val="000000" w:themeColor="text1"/>
          <w:sz w:val="22"/>
        </w:rPr>
        <w:t>Barranquilla</w:t>
      </w:r>
      <w:r w:rsidR="007F7C03">
        <w:rPr>
          <w:rFonts w:ascii="Arial" w:eastAsia="Calibri" w:hAnsi="Arial" w:cs="Arial"/>
          <w:bCs/>
          <w:color w:val="000000" w:themeColor="text1"/>
          <w:sz w:val="22"/>
        </w:rPr>
        <w:t xml:space="preserve"> - Atlántico</w:t>
      </w:r>
      <w:r>
        <w:rPr>
          <w:rFonts w:ascii="Arial" w:eastAsia="Calibri" w:hAnsi="Arial" w:cs="Arial"/>
          <w:bCs/>
          <w:color w:val="000000" w:themeColor="text1"/>
          <w:sz w:val="22"/>
        </w:rPr>
        <w:t xml:space="preserve"> </w:t>
      </w:r>
    </w:p>
    <w:p w14:paraId="7D66BE58" w14:textId="77777777" w:rsidR="00A71CEA" w:rsidRDefault="00A71CEA" w:rsidP="00A71CEA">
      <w:pPr>
        <w:rPr>
          <w:rFonts w:ascii="Arial" w:eastAsia="Calibri" w:hAnsi="Arial" w:cs="Arial"/>
          <w:color w:val="000000" w:themeColor="text1"/>
          <w:sz w:val="22"/>
        </w:rPr>
      </w:pPr>
    </w:p>
    <w:p w14:paraId="69A135F2" w14:textId="77777777" w:rsidR="00A71CEA" w:rsidRPr="006C15D5" w:rsidRDefault="00A71CEA" w:rsidP="00A71CEA">
      <w:pPr>
        <w:rPr>
          <w:rFonts w:ascii="Arial" w:eastAsia="Calibri" w:hAnsi="Arial" w:cs="Arial"/>
          <w:color w:val="000000" w:themeColor="text1"/>
          <w:sz w:val="22"/>
        </w:rPr>
      </w:pPr>
    </w:p>
    <w:p w14:paraId="689F680B" w14:textId="3AF195AA" w:rsidR="00A71CEA" w:rsidRPr="006C15D5" w:rsidRDefault="00A71CEA" w:rsidP="00263999">
      <w:pPr>
        <w:ind w:firstLine="2552"/>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4D7DE2">
        <w:rPr>
          <w:rFonts w:ascii="Arial" w:eastAsia="Calibri" w:hAnsi="Arial" w:cs="Arial"/>
          <w:b/>
          <w:color w:val="000000" w:themeColor="text1"/>
          <w:sz w:val="22"/>
        </w:rPr>
        <w:t>193</w:t>
      </w:r>
      <w:r>
        <w:rPr>
          <w:rFonts w:ascii="Arial" w:eastAsia="Calibri" w:hAnsi="Arial" w:cs="Arial"/>
          <w:b/>
          <w:color w:val="000000" w:themeColor="text1"/>
          <w:sz w:val="22"/>
        </w:rPr>
        <w:t xml:space="preserve"> </w:t>
      </w:r>
      <w:r w:rsidRPr="00BF3AEF">
        <w:rPr>
          <w:rFonts w:ascii="Arial" w:eastAsia="Calibri" w:hAnsi="Arial" w:cs="Arial"/>
          <w:b/>
          <w:color w:val="000000" w:themeColor="text1"/>
          <w:sz w:val="22"/>
        </w:rPr>
        <w:t>de 202</w:t>
      </w:r>
      <w:r>
        <w:rPr>
          <w:rFonts w:ascii="Arial" w:eastAsia="Calibri" w:hAnsi="Arial" w:cs="Arial"/>
          <w:b/>
          <w:color w:val="000000" w:themeColor="text1"/>
          <w:sz w:val="22"/>
        </w:rPr>
        <w:t>1</w:t>
      </w:r>
    </w:p>
    <w:p w14:paraId="466753C0" w14:textId="77777777" w:rsidR="00A71CEA" w:rsidRPr="006C15D5" w:rsidRDefault="00A71CEA" w:rsidP="00A71CEA">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A71CEA" w:rsidRPr="00E96F75" w14:paraId="04B22C40" w14:textId="77777777" w:rsidTr="007F1895">
        <w:tc>
          <w:tcPr>
            <w:tcW w:w="2552" w:type="dxa"/>
            <w:hideMark/>
          </w:tcPr>
          <w:p w14:paraId="0504B9DB" w14:textId="77777777" w:rsidR="00A71CEA" w:rsidRPr="006C15D5" w:rsidRDefault="00A71CEA" w:rsidP="007F1895">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215AB684" w14:textId="77777777" w:rsidR="00A71CEA" w:rsidRPr="006C15D5" w:rsidRDefault="00A71CEA" w:rsidP="007F1895">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3C32D214" w14:textId="121EFF07" w:rsidR="00A71CEA" w:rsidRPr="00E96F75" w:rsidRDefault="007F7C03" w:rsidP="0019728C">
            <w:pPr>
              <w:tabs>
                <w:tab w:val="left" w:pos="426"/>
              </w:tabs>
              <w:jc w:val="both"/>
              <w:rPr>
                <w:rFonts w:ascii="Arial" w:eastAsia="Calibri" w:hAnsi="Arial" w:cs="Arial"/>
                <w:bCs/>
                <w:color w:val="000000" w:themeColor="text1"/>
                <w:lang w:val="es-ES_tradnl"/>
              </w:rPr>
            </w:pPr>
            <w:r w:rsidRPr="007F7C03">
              <w:rPr>
                <w:rFonts w:ascii="Arial" w:eastAsia="Calibri" w:hAnsi="Arial" w:cs="Arial"/>
                <w:bCs/>
                <w:color w:val="000000" w:themeColor="text1"/>
                <w:lang w:val="es-ES_tradnl"/>
              </w:rPr>
              <w:t>PLIEGOS TIPO – Naturaleza jurídica – finalidad</w:t>
            </w:r>
            <w:r>
              <w:rPr>
                <w:rFonts w:ascii="Arial" w:eastAsia="Calibri" w:hAnsi="Arial" w:cs="Arial"/>
                <w:bCs/>
                <w:color w:val="000000" w:themeColor="text1"/>
                <w:lang w:val="es-ES_tradnl"/>
              </w:rPr>
              <w:t xml:space="preserve"> / </w:t>
            </w:r>
            <w:r w:rsidRPr="007F7C03">
              <w:rPr>
                <w:rFonts w:ascii="Arial" w:eastAsia="Calibri" w:hAnsi="Arial" w:cs="Arial"/>
                <w:bCs/>
                <w:color w:val="000000" w:themeColor="text1"/>
                <w:lang w:val="es-ES_tradnl"/>
              </w:rPr>
              <w:t>PLIEGO TIPO – ANEXO 5 – Minuta</w:t>
            </w:r>
            <w:r>
              <w:rPr>
                <w:rFonts w:ascii="Arial" w:eastAsia="Calibri" w:hAnsi="Arial" w:cs="Arial"/>
                <w:bCs/>
                <w:color w:val="000000" w:themeColor="text1"/>
                <w:lang w:val="es-ES_tradnl"/>
              </w:rPr>
              <w:t xml:space="preserve"> / </w:t>
            </w:r>
            <w:r w:rsidRPr="007F7C03">
              <w:rPr>
                <w:rFonts w:ascii="Arial" w:eastAsia="Calibri" w:hAnsi="Arial" w:cs="Arial"/>
                <w:bCs/>
                <w:color w:val="000000" w:themeColor="text1"/>
                <w:lang w:val="es-ES_tradnl"/>
              </w:rPr>
              <w:t>FIRMA – Finalidad</w:t>
            </w:r>
            <w:r w:rsidR="00BA7F22">
              <w:rPr>
                <w:rFonts w:ascii="Arial" w:eastAsia="Calibri" w:hAnsi="Arial" w:cs="Arial"/>
                <w:bCs/>
                <w:color w:val="000000" w:themeColor="text1"/>
                <w:lang w:val="es-ES_tradnl"/>
              </w:rPr>
              <w:t xml:space="preserve"> / </w:t>
            </w:r>
            <w:r w:rsidR="00BA7F22" w:rsidRPr="00BA7F22">
              <w:rPr>
                <w:rFonts w:ascii="Arial" w:eastAsia="Calibri" w:hAnsi="Arial" w:cs="Arial"/>
                <w:bCs/>
                <w:color w:val="000000" w:themeColor="text1"/>
                <w:lang w:val="es-ES_tradnl"/>
              </w:rPr>
              <w:t>FIRMA DIGITAL Y ELECTRÓNICA – Funciones de identificación</w:t>
            </w:r>
          </w:p>
        </w:tc>
      </w:tr>
      <w:tr w:rsidR="00A71CEA" w:rsidRPr="00E96F75" w14:paraId="5EB43BDD" w14:textId="77777777" w:rsidTr="007F1895">
        <w:tc>
          <w:tcPr>
            <w:tcW w:w="2552" w:type="dxa"/>
          </w:tcPr>
          <w:p w14:paraId="425844B4" w14:textId="77777777" w:rsidR="00A71CEA" w:rsidRPr="006C15D5" w:rsidRDefault="00A71CEA" w:rsidP="007F1895">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4F5082BC" w14:textId="47D62425" w:rsidR="00A71CEA" w:rsidRPr="00E96F75" w:rsidRDefault="00A71CEA" w:rsidP="007F1895">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P2021</w:t>
            </w:r>
            <w:r w:rsidR="00D60108">
              <w:rPr>
                <w:rFonts w:ascii="Arial" w:eastAsia="Calibri" w:hAnsi="Arial" w:cs="Arial"/>
                <w:bCs/>
                <w:color w:val="000000" w:themeColor="text1"/>
              </w:rPr>
              <w:t>0317002208</w:t>
            </w:r>
          </w:p>
        </w:tc>
      </w:tr>
    </w:tbl>
    <w:p w14:paraId="5B5ACC3D" w14:textId="0A5CE747" w:rsidR="00A71CEA" w:rsidRDefault="00A71CEA" w:rsidP="00A71CEA">
      <w:pPr>
        <w:jc w:val="both"/>
        <w:rPr>
          <w:rFonts w:ascii="Arial" w:eastAsia="Calibri" w:hAnsi="Arial" w:cs="Arial"/>
          <w:color w:val="000000" w:themeColor="text1"/>
          <w:sz w:val="22"/>
        </w:rPr>
      </w:pPr>
    </w:p>
    <w:p w14:paraId="29214498" w14:textId="77777777" w:rsidR="00776374" w:rsidRPr="006C15D5" w:rsidRDefault="00776374" w:rsidP="00A71CEA">
      <w:pPr>
        <w:jc w:val="both"/>
        <w:rPr>
          <w:rFonts w:ascii="Arial" w:eastAsia="Calibri" w:hAnsi="Arial" w:cs="Arial"/>
          <w:color w:val="000000" w:themeColor="text1"/>
          <w:sz w:val="22"/>
        </w:rPr>
      </w:pPr>
    </w:p>
    <w:p w14:paraId="455A23BD" w14:textId="3CFE4F05" w:rsidR="00A71CEA" w:rsidRPr="006C15D5" w:rsidRDefault="00A71CEA" w:rsidP="7320CF4F">
      <w:pPr>
        <w:rPr>
          <w:rFonts w:ascii="Arial" w:eastAsia="Calibri" w:hAnsi="Arial" w:cs="Arial"/>
          <w:color w:val="000000" w:themeColor="text1"/>
          <w:sz w:val="22"/>
          <w:szCs w:val="22"/>
        </w:rPr>
      </w:pPr>
      <w:r w:rsidRPr="7320CF4F">
        <w:rPr>
          <w:rFonts w:ascii="Arial" w:eastAsia="Calibri" w:hAnsi="Arial" w:cs="Arial"/>
          <w:color w:val="000000" w:themeColor="text1"/>
          <w:sz w:val="22"/>
          <w:szCs w:val="22"/>
        </w:rPr>
        <w:t>Estimad</w:t>
      </w:r>
      <w:r w:rsidR="004D7DE2" w:rsidRPr="7320CF4F">
        <w:rPr>
          <w:rFonts w:ascii="Arial" w:eastAsia="Calibri" w:hAnsi="Arial" w:cs="Arial"/>
          <w:color w:val="000000" w:themeColor="text1"/>
          <w:sz w:val="22"/>
          <w:szCs w:val="22"/>
        </w:rPr>
        <w:t xml:space="preserve">a señora: </w:t>
      </w:r>
    </w:p>
    <w:p w14:paraId="2E19F2DC" w14:textId="77777777" w:rsidR="00A71CEA" w:rsidRPr="006C15D5" w:rsidRDefault="00A71CEA" w:rsidP="00A71CEA">
      <w:pPr>
        <w:rPr>
          <w:rFonts w:ascii="Arial" w:eastAsia="Calibri" w:hAnsi="Arial" w:cs="Arial"/>
          <w:color w:val="000000" w:themeColor="text1"/>
          <w:sz w:val="22"/>
        </w:rPr>
      </w:pPr>
    </w:p>
    <w:p w14:paraId="3486BCA9" w14:textId="1560C471" w:rsidR="00A71CEA" w:rsidRPr="006C15D5" w:rsidRDefault="00A71CEA" w:rsidP="00A71CEA">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4D7DE2">
        <w:rPr>
          <w:rFonts w:ascii="Arial" w:eastAsia="Calibri" w:hAnsi="Arial" w:cs="Arial"/>
          <w:color w:val="000000" w:themeColor="text1"/>
          <w:sz w:val="22"/>
        </w:rPr>
        <w:t>17</w:t>
      </w:r>
      <w:r>
        <w:rPr>
          <w:rFonts w:ascii="Arial" w:eastAsia="Calibri" w:hAnsi="Arial" w:cs="Arial"/>
          <w:color w:val="000000" w:themeColor="text1"/>
          <w:sz w:val="22"/>
        </w:rPr>
        <w:t xml:space="preserve"> de </w:t>
      </w:r>
      <w:r w:rsidR="004D7DE2">
        <w:rPr>
          <w:rFonts w:ascii="Arial" w:eastAsia="Calibri" w:hAnsi="Arial" w:cs="Arial"/>
          <w:color w:val="000000" w:themeColor="text1"/>
          <w:sz w:val="22"/>
        </w:rPr>
        <w:t xml:space="preserve">marzo </w:t>
      </w:r>
      <w:r>
        <w:rPr>
          <w:rFonts w:ascii="Arial" w:eastAsia="Calibri" w:hAnsi="Arial" w:cs="Arial"/>
          <w:color w:val="000000" w:themeColor="text1"/>
          <w:sz w:val="22"/>
        </w:rPr>
        <w:t xml:space="preserve">de 2021. </w:t>
      </w:r>
    </w:p>
    <w:p w14:paraId="300077F6" w14:textId="77777777" w:rsidR="00A71CEA" w:rsidRPr="006C15D5" w:rsidRDefault="00A71CEA" w:rsidP="00A71CEA">
      <w:pPr>
        <w:spacing w:line="276" w:lineRule="auto"/>
        <w:jc w:val="both"/>
        <w:rPr>
          <w:rFonts w:ascii="Arial" w:eastAsia="Calibri" w:hAnsi="Arial" w:cs="Arial"/>
          <w:color w:val="000000" w:themeColor="text1"/>
          <w:sz w:val="22"/>
        </w:rPr>
      </w:pPr>
    </w:p>
    <w:p w14:paraId="5DC3FCB4" w14:textId="3C5CE9B5" w:rsidR="00D60108" w:rsidRPr="00F61ACC" w:rsidRDefault="00A71CEA" w:rsidP="00623378">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 xml:space="preserve">planteado </w:t>
      </w:r>
    </w:p>
    <w:p w14:paraId="2CCC00D8" w14:textId="77777777" w:rsidR="00A71CEA" w:rsidRPr="00623378" w:rsidRDefault="00A71CEA" w:rsidP="00623378">
      <w:pPr>
        <w:pStyle w:val="Prrafodelista"/>
        <w:tabs>
          <w:tab w:val="left" w:pos="284"/>
        </w:tabs>
        <w:spacing w:line="276" w:lineRule="auto"/>
        <w:ind w:left="0"/>
        <w:jc w:val="both"/>
        <w:rPr>
          <w:rFonts w:ascii="Arial" w:eastAsia="Calibri" w:hAnsi="Arial" w:cs="Arial"/>
          <w:color w:val="000000" w:themeColor="text1"/>
          <w:sz w:val="22"/>
        </w:rPr>
      </w:pPr>
    </w:p>
    <w:p w14:paraId="74AE83E2" w14:textId="0FDCC73B" w:rsidR="004D7DE2" w:rsidRDefault="00A71CEA" w:rsidP="00623378">
      <w:pPr>
        <w:pStyle w:val="NormalWeb"/>
        <w:spacing w:before="0" w:beforeAutospacing="0" w:after="0" w:afterAutospacing="0" w:line="276" w:lineRule="auto"/>
        <w:jc w:val="both"/>
        <w:rPr>
          <w:rFonts w:ascii="Arial" w:eastAsia="Calibri" w:hAnsi="Arial" w:cs="Arial"/>
          <w:color w:val="000000" w:themeColor="text1"/>
          <w:sz w:val="22"/>
          <w:szCs w:val="22"/>
        </w:rPr>
      </w:pPr>
      <w:r w:rsidRPr="00623378">
        <w:rPr>
          <w:rFonts w:ascii="Arial" w:eastAsia="Calibri" w:hAnsi="Arial" w:cs="Arial"/>
          <w:color w:val="000000" w:themeColor="text1"/>
          <w:sz w:val="22"/>
          <w:szCs w:val="22"/>
        </w:rPr>
        <w:t xml:space="preserve">Usted realiza las siguientes preguntas: </w:t>
      </w:r>
    </w:p>
    <w:p w14:paraId="23D3EC04" w14:textId="77777777" w:rsidR="007F7C03" w:rsidRDefault="007F7C03" w:rsidP="00623378">
      <w:pPr>
        <w:pStyle w:val="NormalWeb"/>
        <w:spacing w:before="0" w:beforeAutospacing="0" w:after="0" w:afterAutospacing="0" w:line="276" w:lineRule="auto"/>
        <w:jc w:val="both"/>
        <w:rPr>
          <w:rFonts w:ascii="Arial" w:eastAsia="Calibri" w:hAnsi="Arial" w:cs="Arial"/>
          <w:color w:val="000000" w:themeColor="text1"/>
          <w:sz w:val="22"/>
          <w:szCs w:val="22"/>
        </w:rPr>
      </w:pPr>
    </w:p>
    <w:p w14:paraId="10F42E89" w14:textId="2F81A7B7" w:rsidR="007F7C03" w:rsidRPr="00F3225B" w:rsidRDefault="007F7C03" w:rsidP="00F3225B">
      <w:pPr>
        <w:pStyle w:val="NormalWeb"/>
        <w:spacing w:before="0" w:beforeAutospacing="0" w:after="0" w:afterAutospacing="0"/>
        <w:ind w:left="720" w:right="900"/>
        <w:jc w:val="both"/>
        <w:rPr>
          <w:rFonts w:ascii="Arial" w:eastAsia="Calibri" w:hAnsi="Arial" w:cs="Arial"/>
          <w:color w:val="000000" w:themeColor="text1"/>
          <w:sz w:val="21"/>
          <w:szCs w:val="21"/>
        </w:rPr>
      </w:pPr>
      <w:r w:rsidRPr="00F3225B">
        <w:rPr>
          <w:rFonts w:ascii="Arial" w:eastAsia="Calibri" w:hAnsi="Arial" w:cs="Arial"/>
          <w:color w:val="000000" w:themeColor="text1"/>
          <w:sz w:val="21"/>
          <w:szCs w:val="21"/>
        </w:rPr>
        <w:t xml:space="preserve">i) </w:t>
      </w:r>
      <w:r w:rsidR="004E7410" w:rsidRPr="00F3225B">
        <w:rPr>
          <w:rFonts w:ascii="Arial" w:eastAsia="Calibri" w:hAnsi="Arial" w:cs="Arial"/>
          <w:color w:val="000000" w:themeColor="text1"/>
          <w:sz w:val="21"/>
          <w:szCs w:val="21"/>
        </w:rPr>
        <w:t>«</w:t>
      </w:r>
      <w:r w:rsidRPr="00F3225B">
        <w:rPr>
          <w:rFonts w:ascii="Arial" w:hAnsi="Arial" w:cs="Arial"/>
          <w:color w:val="000000" w:themeColor="text1"/>
          <w:sz w:val="21"/>
          <w:szCs w:val="21"/>
          <w:lang w:val="es-ES"/>
        </w:rPr>
        <w:t>¿</w:t>
      </w:r>
      <w:r w:rsidRPr="00F3225B">
        <w:rPr>
          <w:rFonts w:ascii="Arial" w:hAnsi="Arial" w:cs="Arial"/>
          <w:sz w:val="21"/>
          <w:szCs w:val="21"/>
        </w:rPr>
        <w:t xml:space="preserve">Es necesario que se diligencie el anexo No. </w:t>
      </w:r>
      <w:r w:rsidR="004D7DE2" w:rsidRPr="00F3225B">
        <w:rPr>
          <w:rFonts w:ascii="Arial" w:hAnsi="Arial" w:cs="Arial"/>
          <w:sz w:val="21"/>
          <w:szCs w:val="21"/>
        </w:rPr>
        <w:t>5 (minuta del contrato) dado por pliegos tipo?</w:t>
      </w:r>
    </w:p>
    <w:p w14:paraId="7769D885" w14:textId="57CAB714" w:rsidR="007F7C03" w:rsidRPr="00F3225B" w:rsidRDefault="007F7C03" w:rsidP="00F3225B">
      <w:pPr>
        <w:pStyle w:val="NormalWeb"/>
        <w:spacing w:before="0" w:beforeAutospacing="0" w:after="0" w:afterAutospacing="0"/>
        <w:ind w:left="720" w:right="900"/>
        <w:jc w:val="both"/>
        <w:rPr>
          <w:rFonts w:ascii="Arial" w:eastAsia="Calibri" w:hAnsi="Arial" w:cs="Arial"/>
          <w:color w:val="000000" w:themeColor="text1"/>
          <w:sz w:val="21"/>
          <w:szCs w:val="21"/>
        </w:rPr>
      </w:pPr>
      <w:r w:rsidRPr="00F3225B">
        <w:rPr>
          <w:rFonts w:ascii="Arial" w:hAnsi="Arial" w:cs="Arial"/>
          <w:sz w:val="21"/>
          <w:szCs w:val="21"/>
        </w:rPr>
        <w:t xml:space="preserve">ii) </w:t>
      </w:r>
      <w:r w:rsidR="004D7DE2" w:rsidRPr="00F3225B">
        <w:rPr>
          <w:rFonts w:ascii="Arial" w:hAnsi="Arial" w:cs="Arial"/>
          <w:sz w:val="21"/>
          <w:szCs w:val="21"/>
        </w:rPr>
        <w:t xml:space="preserve">«¿Deben recogerse las firmas físicas de las partes? </w:t>
      </w:r>
    </w:p>
    <w:p w14:paraId="36F43EC9" w14:textId="16DE6A23" w:rsidR="00D60108" w:rsidRPr="00F3225B" w:rsidRDefault="007F7C03" w:rsidP="00F3225B">
      <w:pPr>
        <w:pStyle w:val="NormalWeb"/>
        <w:spacing w:before="0" w:beforeAutospacing="0" w:after="0" w:afterAutospacing="0"/>
        <w:ind w:left="720" w:right="900"/>
        <w:jc w:val="both"/>
        <w:rPr>
          <w:rFonts w:ascii="Arial" w:eastAsia="Calibri" w:hAnsi="Arial" w:cs="Arial"/>
          <w:color w:val="000000" w:themeColor="text1"/>
          <w:sz w:val="21"/>
          <w:szCs w:val="21"/>
        </w:rPr>
      </w:pPr>
      <w:r w:rsidRPr="00F3225B">
        <w:rPr>
          <w:rFonts w:ascii="Arial" w:hAnsi="Arial" w:cs="Arial"/>
          <w:sz w:val="21"/>
          <w:szCs w:val="21"/>
        </w:rPr>
        <w:t xml:space="preserve">iii) </w:t>
      </w:r>
      <w:r w:rsidR="004D7DE2" w:rsidRPr="00F3225B">
        <w:rPr>
          <w:rFonts w:ascii="Arial" w:hAnsi="Arial" w:cs="Arial"/>
          <w:sz w:val="21"/>
          <w:szCs w:val="21"/>
        </w:rPr>
        <w:t>«¿</w:t>
      </w:r>
      <w:r w:rsidRPr="00F3225B">
        <w:rPr>
          <w:rFonts w:ascii="Arial" w:hAnsi="Arial" w:cs="Arial"/>
          <w:sz w:val="21"/>
          <w:szCs w:val="21"/>
        </w:rPr>
        <w:t>Cuál</w:t>
      </w:r>
      <w:r w:rsidR="004D7DE2" w:rsidRPr="00F3225B">
        <w:rPr>
          <w:rFonts w:ascii="Arial" w:hAnsi="Arial" w:cs="Arial"/>
          <w:sz w:val="21"/>
          <w:szCs w:val="21"/>
        </w:rPr>
        <w:t xml:space="preserve"> es el tratamiento que debe seguir la entidad para este anexo, pues se supone que el mismo fue reemplazado por la minuta electrónica</w:t>
      </w:r>
      <w:r w:rsidR="00A71CEA" w:rsidRPr="00F3225B">
        <w:rPr>
          <w:rFonts w:ascii="Arial" w:hAnsi="Arial" w:cs="Arial"/>
          <w:color w:val="000000" w:themeColor="text1"/>
          <w:sz w:val="21"/>
          <w:szCs w:val="21"/>
          <w:lang w:val="es-ES"/>
        </w:rPr>
        <w:t>?</w:t>
      </w:r>
      <w:r w:rsidR="00A71CEA" w:rsidRPr="00F3225B">
        <w:rPr>
          <w:rFonts w:ascii="Arial" w:eastAsia="Calibri" w:hAnsi="Arial" w:cs="Arial"/>
          <w:color w:val="000000" w:themeColor="text1"/>
          <w:sz w:val="21"/>
          <w:szCs w:val="21"/>
          <w:lang w:val="es-ES"/>
        </w:rPr>
        <w:t>».</w:t>
      </w:r>
    </w:p>
    <w:p w14:paraId="2D5C0795" w14:textId="77777777" w:rsidR="00A71CEA" w:rsidRPr="00623378" w:rsidRDefault="00A71CEA" w:rsidP="00623378">
      <w:pPr>
        <w:pStyle w:val="NormalWeb"/>
        <w:spacing w:before="0" w:beforeAutospacing="0" w:after="0" w:afterAutospacing="0" w:line="276" w:lineRule="auto"/>
        <w:ind w:left="720"/>
        <w:jc w:val="both"/>
        <w:rPr>
          <w:rFonts w:ascii="Arial" w:eastAsia="Calibri" w:hAnsi="Arial" w:cs="Arial"/>
          <w:color w:val="000000" w:themeColor="text1"/>
          <w:sz w:val="22"/>
          <w:szCs w:val="22"/>
          <w:lang w:val="es-ES"/>
        </w:rPr>
      </w:pPr>
    </w:p>
    <w:p w14:paraId="74E34CFB" w14:textId="07A202A7" w:rsidR="00A71CEA" w:rsidRDefault="00A71CEA" w:rsidP="00A71CEA">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6D4C7052" w14:textId="77777777" w:rsidR="00AA5749" w:rsidRPr="00AA5749" w:rsidRDefault="00AA5749" w:rsidP="00AA5749">
      <w:pPr>
        <w:pStyle w:val="Prrafodelista"/>
        <w:tabs>
          <w:tab w:val="left" w:pos="426"/>
        </w:tabs>
        <w:spacing w:line="276" w:lineRule="auto"/>
        <w:ind w:left="284"/>
        <w:jc w:val="both"/>
        <w:rPr>
          <w:rFonts w:ascii="Arial" w:eastAsia="Calibri" w:hAnsi="Arial" w:cs="Arial"/>
          <w:b/>
          <w:color w:val="000000" w:themeColor="text1"/>
          <w:sz w:val="22"/>
        </w:rPr>
      </w:pPr>
    </w:p>
    <w:p w14:paraId="4900810E" w14:textId="4162E64E" w:rsidR="00A71CEA" w:rsidRPr="00B43119" w:rsidRDefault="00A71CEA" w:rsidP="00AA5749">
      <w:pPr>
        <w:spacing w:line="276" w:lineRule="auto"/>
        <w:jc w:val="both"/>
        <w:rPr>
          <w:rFonts w:ascii="Arial" w:hAnsi="Arial" w:cs="Arial"/>
          <w:color w:val="000000" w:themeColor="text1"/>
          <w:sz w:val="22"/>
          <w:szCs w:val="22"/>
        </w:rPr>
      </w:pPr>
      <w:r w:rsidRPr="002A1B2B">
        <w:rPr>
          <w:rFonts w:ascii="Arial" w:eastAsia="Calibri" w:hAnsi="Arial" w:cs="Arial"/>
          <w:bCs/>
          <w:color w:val="000000" w:themeColor="text1"/>
          <w:sz w:val="22"/>
        </w:rPr>
        <w:t xml:space="preserve">Para responder a sus interrogantes se estudiarán los siguientes temas: i) </w:t>
      </w:r>
      <w:r w:rsidR="00BA7F22">
        <w:rPr>
          <w:rFonts w:ascii="Arial" w:eastAsia="Calibri" w:hAnsi="Arial" w:cs="Arial"/>
          <w:bCs/>
          <w:color w:val="000000" w:themeColor="text1"/>
          <w:sz w:val="22"/>
        </w:rPr>
        <w:t>la n</w:t>
      </w:r>
      <w:r w:rsidR="00C635D5">
        <w:rPr>
          <w:rFonts w:ascii="Arial" w:hAnsi="Arial" w:cs="Arial"/>
          <w:color w:val="000000" w:themeColor="text1"/>
          <w:sz w:val="22"/>
        </w:rPr>
        <w:t>aturaleza</w:t>
      </w:r>
      <w:r w:rsidR="00A9164B">
        <w:rPr>
          <w:rFonts w:ascii="Arial" w:hAnsi="Arial" w:cs="Arial"/>
          <w:color w:val="000000" w:themeColor="text1"/>
          <w:sz w:val="22"/>
        </w:rPr>
        <w:t xml:space="preserve"> </w:t>
      </w:r>
      <w:r w:rsidR="006D2C01">
        <w:rPr>
          <w:rFonts w:ascii="Arial" w:hAnsi="Arial" w:cs="Arial"/>
          <w:color w:val="000000" w:themeColor="text1"/>
          <w:sz w:val="22"/>
        </w:rPr>
        <w:t>jurídica de los pliegos tipo y</w:t>
      </w:r>
      <w:r w:rsidR="00BA7F22">
        <w:rPr>
          <w:rFonts w:ascii="Arial" w:hAnsi="Arial" w:cs="Arial"/>
          <w:color w:val="000000" w:themeColor="text1"/>
          <w:sz w:val="22"/>
        </w:rPr>
        <w:t xml:space="preserve"> la</w:t>
      </w:r>
      <w:r w:rsidR="006D2C01">
        <w:rPr>
          <w:rFonts w:ascii="Arial" w:hAnsi="Arial" w:cs="Arial"/>
          <w:color w:val="000000" w:themeColor="text1"/>
          <w:sz w:val="22"/>
        </w:rPr>
        <w:t xml:space="preserve"> función de la minuta del contrato</w:t>
      </w:r>
      <w:r w:rsidR="00BA7F22">
        <w:rPr>
          <w:rFonts w:ascii="Arial" w:hAnsi="Arial" w:cs="Arial"/>
          <w:color w:val="000000" w:themeColor="text1"/>
          <w:sz w:val="22"/>
        </w:rPr>
        <w:t>;</w:t>
      </w:r>
      <w:r w:rsidRPr="002A1B2B">
        <w:rPr>
          <w:rFonts w:ascii="Arial" w:hAnsi="Arial" w:cs="Arial"/>
          <w:color w:val="000000" w:themeColor="text1"/>
          <w:sz w:val="22"/>
        </w:rPr>
        <w:t xml:space="preserve"> ii)</w:t>
      </w:r>
      <w:r w:rsidR="00BA7F22">
        <w:rPr>
          <w:rFonts w:ascii="Arial" w:hAnsi="Arial" w:cs="Arial"/>
          <w:color w:val="000000" w:themeColor="text1"/>
          <w:sz w:val="22"/>
        </w:rPr>
        <w:t xml:space="preserve"> el</w:t>
      </w:r>
      <w:r w:rsidR="00337876">
        <w:rPr>
          <w:rFonts w:ascii="Arial" w:hAnsi="Arial" w:cs="Arial"/>
          <w:color w:val="000000" w:themeColor="text1"/>
          <w:sz w:val="22"/>
        </w:rPr>
        <w:t xml:space="preserve"> </w:t>
      </w:r>
      <w:r w:rsidR="00BA7F22">
        <w:rPr>
          <w:rFonts w:ascii="Arial" w:hAnsi="Arial" w:cs="Arial"/>
          <w:color w:val="000000" w:themeColor="text1"/>
          <w:sz w:val="22"/>
        </w:rPr>
        <w:t xml:space="preserve">SECOP </w:t>
      </w:r>
      <w:r w:rsidR="006D2C01">
        <w:rPr>
          <w:rFonts w:ascii="Arial" w:hAnsi="Arial" w:cs="Arial"/>
          <w:color w:val="000000" w:themeColor="text1"/>
          <w:sz w:val="22"/>
        </w:rPr>
        <w:t xml:space="preserve">II </w:t>
      </w:r>
      <w:r w:rsidR="00BA7F22">
        <w:rPr>
          <w:rFonts w:ascii="Arial" w:hAnsi="Arial" w:cs="Arial"/>
          <w:color w:val="000000" w:themeColor="text1"/>
          <w:sz w:val="22"/>
        </w:rPr>
        <w:t xml:space="preserve">como </w:t>
      </w:r>
      <w:r w:rsidR="006D2C01">
        <w:rPr>
          <w:rFonts w:ascii="Arial" w:hAnsi="Arial" w:cs="Arial"/>
          <w:color w:val="000000" w:themeColor="text1"/>
          <w:sz w:val="22"/>
        </w:rPr>
        <w:t xml:space="preserve">portal transaccional en la actividad contractual </w:t>
      </w:r>
      <w:r w:rsidR="00BA7F22">
        <w:rPr>
          <w:rFonts w:ascii="Arial" w:hAnsi="Arial" w:cs="Arial"/>
          <w:color w:val="000000" w:themeColor="text1"/>
          <w:sz w:val="22"/>
        </w:rPr>
        <w:t xml:space="preserve">del Estado </w:t>
      </w:r>
      <w:r w:rsidR="006D2C01">
        <w:rPr>
          <w:rFonts w:ascii="Arial" w:hAnsi="Arial" w:cs="Arial"/>
          <w:color w:val="000000" w:themeColor="text1"/>
          <w:sz w:val="22"/>
        </w:rPr>
        <w:t xml:space="preserve">y </w:t>
      </w:r>
      <w:r w:rsidRPr="002A1B2B">
        <w:rPr>
          <w:rFonts w:ascii="Arial" w:hAnsi="Arial" w:cs="Arial"/>
          <w:color w:val="000000" w:themeColor="text1"/>
          <w:sz w:val="22"/>
        </w:rPr>
        <w:t>iii)</w:t>
      </w:r>
      <w:r w:rsidR="00337876">
        <w:rPr>
          <w:rFonts w:ascii="Arial" w:hAnsi="Arial" w:cs="Arial"/>
          <w:color w:val="000000" w:themeColor="text1"/>
          <w:sz w:val="22"/>
        </w:rPr>
        <w:t xml:space="preserve"> </w:t>
      </w:r>
      <w:r w:rsidR="00BA7F22">
        <w:rPr>
          <w:rFonts w:ascii="Arial" w:hAnsi="Arial" w:cs="Arial"/>
          <w:color w:val="000000" w:themeColor="text1"/>
          <w:sz w:val="22"/>
        </w:rPr>
        <w:t>el u</w:t>
      </w:r>
      <w:r w:rsidR="006D2C01">
        <w:rPr>
          <w:rFonts w:ascii="Arial" w:hAnsi="Arial" w:cs="Arial"/>
          <w:color w:val="000000" w:themeColor="text1"/>
          <w:sz w:val="22"/>
        </w:rPr>
        <w:t xml:space="preserve">so de la firma manuscrita, digital y electrónica en la contratación estatal. </w:t>
      </w:r>
    </w:p>
    <w:p w14:paraId="32D23B68" w14:textId="16CD202F" w:rsidR="00A21E65" w:rsidRDefault="00A71CEA" w:rsidP="00A21E65">
      <w:pPr>
        <w:spacing w:before="120" w:line="276" w:lineRule="auto"/>
        <w:ind w:firstLine="708"/>
        <w:jc w:val="both"/>
        <w:rPr>
          <w:rFonts w:ascii="Arial" w:hAnsi="Arial" w:cs="Arial"/>
          <w:color w:val="000000"/>
          <w:sz w:val="22"/>
          <w:szCs w:val="22"/>
        </w:rPr>
      </w:pPr>
      <w:bookmarkStart w:id="0" w:name="_Hlk38448224"/>
      <w:r w:rsidRPr="00A23E33">
        <w:rPr>
          <w:rFonts w:ascii="Arial" w:hAnsi="Arial" w:cs="Arial"/>
          <w:sz w:val="22"/>
          <w:lang w:val="es-ES_tradnl"/>
        </w:rPr>
        <w:t xml:space="preserve">La Agencia Nacional de Contratación Pública – Colombia Compra </w:t>
      </w:r>
      <w:r w:rsidR="00216826" w:rsidRPr="00A23E33">
        <w:rPr>
          <w:rFonts w:ascii="Arial" w:hAnsi="Arial" w:cs="Arial"/>
          <w:sz w:val="22"/>
          <w:lang w:val="es-ES_tradnl"/>
        </w:rPr>
        <w:t>Eficiente</w:t>
      </w:r>
      <w:r w:rsidRPr="00A23E33">
        <w:rPr>
          <w:rFonts w:ascii="Arial" w:hAnsi="Arial" w:cs="Arial"/>
          <w:sz w:val="22"/>
          <w:lang w:val="es-ES"/>
        </w:rPr>
        <w:t xml:space="preserve"> </w:t>
      </w:r>
      <w:bookmarkEnd w:id="0"/>
      <w:r w:rsidR="00B43119" w:rsidRPr="00B45039">
        <w:rPr>
          <w:rFonts w:ascii="Arial" w:hAnsi="Arial" w:cs="Arial"/>
          <w:sz w:val="22"/>
          <w:szCs w:val="22"/>
          <w:lang w:val="es-MX" w:eastAsia="es-ES_tradnl"/>
        </w:rPr>
        <w:t>se ha pronunciado en diferentes conceptos</w:t>
      </w:r>
      <w:r w:rsidR="00AA5749">
        <w:rPr>
          <w:rFonts w:ascii="Arial" w:hAnsi="Arial" w:cs="Arial"/>
          <w:sz w:val="22"/>
          <w:szCs w:val="22"/>
          <w:lang w:val="es-MX" w:eastAsia="es-ES_tradnl"/>
        </w:rPr>
        <w:t xml:space="preserve"> sobre el</w:t>
      </w:r>
      <w:r w:rsidR="00B43119" w:rsidRPr="00B45039">
        <w:rPr>
          <w:rFonts w:ascii="Arial" w:hAnsi="Arial" w:cs="Arial"/>
          <w:sz w:val="22"/>
          <w:szCs w:val="22"/>
          <w:lang w:val="es-MX" w:eastAsia="es-ES_tradnl"/>
        </w:rPr>
        <w:t xml:space="preserve"> </w:t>
      </w:r>
      <w:r w:rsidR="00AA5749" w:rsidRPr="00AA5749">
        <w:rPr>
          <w:rFonts w:ascii="Arial" w:hAnsi="Arial" w:cs="Arial"/>
          <w:color w:val="000000"/>
          <w:sz w:val="22"/>
          <w:szCs w:val="22"/>
          <w:lang w:val="es-MX"/>
        </w:rPr>
        <w:t>estudi</w:t>
      </w:r>
      <w:r w:rsidR="005303D7">
        <w:rPr>
          <w:rFonts w:ascii="Arial" w:hAnsi="Arial" w:cs="Arial"/>
          <w:color w:val="000000"/>
          <w:sz w:val="22"/>
          <w:szCs w:val="22"/>
          <w:lang w:val="es-MX"/>
        </w:rPr>
        <w:t>o</w:t>
      </w:r>
      <w:r w:rsidR="00AA5749" w:rsidRPr="00AA5749">
        <w:rPr>
          <w:rFonts w:ascii="Arial" w:hAnsi="Arial" w:cs="Arial"/>
          <w:color w:val="000000"/>
          <w:sz w:val="22"/>
          <w:szCs w:val="22"/>
          <w:lang w:val="es-MX"/>
        </w:rPr>
        <w:t xml:space="preserve"> el SECOP, como plataforma que las </w:t>
      </w:r>
      <w:r w:rsidR="00AA5749" w:rsidRPr="00AA5749">
        <w:rPr>
          <w:rFonts w:ascii="Arial" w:hAnsi="Arial" w:cs="Arial"/>
          <w:color w:val="000000"/>
          <w:sz w:val="22"/>
          <w:szCs w:val="22"/>
          <w:lang w:val="es-MX"/>
        </w:rPr>
        <w:lastRenderedPageBreak/>
        <w:t>entidades deben utilizar para publicar la actividad contractual, </w:t>
      </w:r>
      <w:r w:rsidR="005303D7">
        <w:rPr>
          <w:rFonts w:ascii="Arial" w:hAnsi="Arial" w:cs="Arial"/>
          <w:color w:val="000000"/>
          <w:sz w:val="22"/>
          <w:szCs w:val="22"/>
          <w:lang w:val="es-MX"/>
        </w:rPr>
        <w:t xml:space="preserve">como, por ejemplo, en </w:t>
      </w:r>
      <w:r w:rsidR="00282D3F">
        <w:rPr>
          <w:rFonts w:ascii="Arial" w:hAnsi="Arial" w:cs="Arial"/>
          <w:color w:val="000000"/>
          <w:sz w:val="22"/>
          <w:szCs w:val="22"/>
          <w:lang w:val="es-MX"/>
        </w:rPr>
        <w:t>Concepto</w:t>
      </w:r>
      <w:r w:rsidR="005303D7">
        <w:rPr>
          <w:rFonts w:ascii="Arial" w:hAnsi="Arial" w:cs="Arial"/>
          <w:color w:val="000000"/>
          <w:sz w:val="22"/>
          <w:szCs w:val="22"/>
          <w:lang w:val="es-MX"/>
        </w:rPr>
        <w:t xml:space="preserve"> del</w:t>
      </w:r>
      <w:r w:rsidR="00AA5749" w:rsidRPr="00AA5749">
        <w:rPr>
          <w:rFonts w:ascii="Arial" w:hAnsi="Arial" w:cs="Arial"/>
          <w:color w:val="000000"/>
          <w:sz w:val="22"/>
          <w:szCs w:val="22"/>
          <w:lang w:val="es-MX"/>
        </w:rPr>
        <w:t xml:space="preserve"> 9 de agosto de 2019 y reiteró la posición en </w:t>
      </w:r>
      <w:r w:rsidR="005303D7">
        <w:rPr>
          <w:rFonts w:ascii="Arial" w:hAnsi="Arial" w:cs="Arial"/>
          <w:color w:val="000000"/>
          <w:sz w:val="22"/>
          <w:szCs w:val="22"/>
          <w:lang w:val="es-MX"/>
        </w:rPr>
        <w:t>los siguientes conceptos</w:t>
      </w:r>
      <w:r w:rsidR="00AA5749" w:rsidRPr="00AA5749">
        <w:rPr>
          <w:rFonts w:ascii="Arial" w:hAnsi="Arial" w:cs="Arial"/>
          <w:color w:val="000000"/>
          <w:sz w:val="22"/>
          <w:szCs w:val="22"/>
          <w:lang w:val="es-MX"/>
        </w:rPr>
        <w:t>: del 25 de septiembre, 4</w:t>
      </w:r>
      <w:r w:rsidR="005303D7">
        <w:rPr>
          <w:rFonts w:ascii="Arial" w:hAnsi="Arial" w:cs="Arial"/>
          <w:color w:val="000000"/>
          <w:sz w:val="22"/>
          <w:szCs w:val="22"/>
          <w:lang w:val="es-MX"/>
        </w:rPr>
        <w:t xml:space="preserve"> </w:t>
      </w:r>
      <w:r w:rsidR="00AA5749" w:rsidRPr="00AA5749">
        <w:rPr>
          <w:rFonts w:ascii="Arial" w:hAnsi="Arial" w:cs="Arial"/>
          <w:color w:val="000000"/>
          <w:sz w:val="22"/>
          <w:szCs w:val="22"/>
          <w:lang w:val="es-MX"/>
        </w:rPr>
        <w:t>de octubre</w:t>
      </w:r>
      <w:r w:rsidR="005303D7">
        <w:rPr>
          <w:rFonts w:ascii="Arial" w:hAnsi="Arial" w:cs="Arial"/>
          <w:color w:val="000000"/>
          <w:sz w:val="22"/>
          <w:szCs w:val="22"/>
          <w:lang w:val="es-MX"/>
        </w:rPr>
        <w:t>,</w:t>
      </w:r>
      <w:r w:rsidR="00AA5749" w:rsidRPr="00AA5749">
        <w:rPr>
          <w:rFonts w:ascii="Arial" w:hAnsi="Arial" w:cs="Arial"/>
          <w:color w:val="000000"/>
          <w:sz w:val="22"/>
          <w:szCs w:val="22"/>
          <w:lang w:val="es-MX"/>
        </w:rPr>
        <w:t xml:space="preserve"> y 18 y 13 de noviembre de 2019 −radicados Nos. 4201913000005397, 4201912000006611, 4201913000006847, 4201912000007762 y 4201912000007828−</w:t>
      </w:r>
      <w:r w:rsidR="002B19F5">
        <w:rPr>
          <w:rFonts w:ascii="Arial" w:hAnsi="Arial" w:cs="Arial"/>
          <w:color w:val="000000"/>
          <w:sz w:val="22"/>
          <w:szCs w:val="22"/>
          <w:lang w:val="es-MX"/>
        </w:rPr>
        <w:t>, respectivamente</w:t>
      </w:r>
      <w:r w:rsidR="00AA5749" w:rsidRPr="00AA5749">
        <w:rPr>
          <w:rFonts w:ascii="Arial" w:hAnsi="Arial" w:cs="Arial"/>
          <w:color w:val="000000"/>
          <w:sz w:val="22"/>
          <w:szCs w:val="22"/>
          <w:lang w:val="es-MX"/>
        </w:rPr>
        <w:t xml:space="preserve">. Finalmente, en </w:t>
      </w:r>
      <w:r w:rsidR="005303D7">
        <w:rPr>
          <w:rFonts w:ascii="Arial" w:hAnsi="Arial" w:cs="Arial"/>
          <w:color w:val="000000"/>
          <w:sz w:val="22"/>
          <w:szCs w:val="22"/>
          <w:lang w:val="es-MX"/>
        </w:rPr>
        <w:t xml:space="preserve">el </w:t>
      </w:r>
      <w:r w:rsidR="00AA5749" w:rsidRPr="00AA5749">
        <w:rPr>
          <w:rFonts w:ascii="Arial" w:hAnsi="Arial" w:cs="Arial"/>
          <w:color w:val="000000"/>
          <w:sz w:val="22"/>
          <w:szCs w:val="22"/>
          <w:lang w:val="es-MX"/>
        </w:rPr>
        <w:t>Concepto unificado C-003 de 2020, cuya tesis se reiteró en los conceptos C-046, C-061, C-079, C-088, C-095, C-116, C-147 y C-149 de 2020</w:t>
      </w:r>
      <w:r w:rsidR="00A21E65">
        <w:rPr>
          <w:rFonts w:ascii="Arial" w:hAnsi="Arial" w:cs="Arial"/>
          <w:color w:val="000000"/>
          <w:sz w:val="22"/>
          <w:szCs w:val="22"/>
          <w:lang w:val="es-MX"/>
        </w:rPr>
        <w:t>.</w:t>
      </w:r>
    </w:p>
    <w:p w14:paraId="5A10AECF" w14:textId="56586990" w:rsidR="00A21E65" w:rsidRDefault="00AA5749" w:rsidP="00F55F52">
      <w:pPr>
        <w:spacing w:before="120" w:line="276" w:lineRule="auto"/>
        <w:ind w:firstLine="708"/>
        <w:jc w:val="both"/>
        <w:rPr>
          <w:rFonts w:ascii="Arial" w:hAnsi="Arial" w:cs="Arial"/>
          <w:sz w:val="22"/>
          <w:szCs w:val="22"/>
        </w:rPr>
      </w:pPr>
      <w:r>
        <w:rPr>
          <w:rFonts w:ascii="Arial" w:hAnsi="Arial" w:cs="Arial"/>
          <w:color w:val="000000"/>
          <w:sz w:val="22"/>
          <w:szCs w:val="22"/>
        </w:rPr>
        <w:t>Adicionalmente</w:t>
      </w:r>
      <w:r w:rsidR="005303D7">
        <w:rPr>
          <w:rFonts w:ascii="Arial" w:hAnsi="Arial" w:cs="Arial"/>
          <w:color w:val="000000"/>
          <w:sz w:val="22"/>
          <w:szCs w:val="22"/>
        </w:rPr>
        <w:t>,</w:t>
      </w:r>
      <w:r>
        <w:rPr>
          <w:rFonts w:ascii="Arial" w:hAnsi="Arial" w:cs="Arial"/>
          <w:color w:val="000000"/>
          <w:sz w:val="22"/>
          <w:szCs w:val="22"/>
        </w:rPr>
        <w:t xml:space="preserve"> se </w:t>
      </w:r>
      <w:r w:rsidR="005303D7">
        <w:rPr>
          <w:rFonts w:ascii="Arial" w:hAnsi="Arial" w:cs="Arial"/>
          <w:color w:val="000000"/>
          <w:sz w:val="22"/>
          <w:szCs w:val="22"/>
        </w:rPr>
        <w:t>pronunció</w:t>
      </w:r>
      <w:r>
        <w:rPr>
          <w:rFonts w:ascii="Arial" w:hAnsi="Arial" w:cs="Arial"/>
          <w:color w:val="000000"/>
          <w:sz w:val="22"/>
          <w:szCs w:val="22"/>
        </w:rPr>
        <w:t xml:space="preserve"> sobre </w:t>
      </w:r>
      <w:r w:rsidR="00A21E65">
        <w:rPr>
          <w:rFonts w:ascii="Arial" w:hAnsi="Arial" w:cs="Arial"/>
          <w:color w:val="000000"/>
          <w:sz w:val="22"/>
          <w:szCs w:val="22"/>
        </w:rPr>
        <w:t>la validez de la firma electrónica en los documentos contractuales gestionados a través de las plataformas transaccionales</w:t>
      </w:r>
      <w:r>
        <w:rPr>
          <w:rFonts w:ascii="Arial" w:hAnsi="Arial" w:cs="Arial"/>
          <w:color w:val="000000"/>
          <w:sz w:val="22"/>
          <w:szCs w:val="22"/>
        </w:rPr>
        <w:t xml:space="preserve"> </w:t>
      </w:r>
      <w:r w:rsidR="00A21E65" w:rsidRPr="00A21E65">
        <w:rPr>
          <w:rFonts w:ascii="Arial" w:hAnsi="Arial" w:cs="Arial"/>
          <w:sz w:val="22"/>
          <w:szCs w:val="22"/>
        </w:rPr>
        <w:t>en los Conceptos C-017 del 27 de abril de 2020, C-295 del 30 de abril de 2020</w:t>
      </w:r>
      <w:r w:rsidR="00A21E65">
        <w:rPr>
          <w:rFonts w:ascii="Arial" w:hAnsi="Arial" w:cs="Arial"/>
          <w:sz w:val="22"/>
          <w:szCs w:val="22"/>
        </w:rPr>
        <w:t xml:space="preserve">, </w:t>
      </w:r>
      <w:r w:rsidR="00A21E65" w:rsidRPr="00A21E65">
        <w:rPr>
          <w:rFonts w:ascii="Arial" w:hAnsi="Arial" w:cs="Arial"/>
          <w:sz w:val="22"/>
          <w:szCs w:val="22"/>
        </w:rPr>
        <w:t>C-366 del 16 de junio de 2020</w:t>
      </w:r>
      <w:r w:rsidR="00A21E65">
        <w:rPr>
          <w:rFonts w:ascii="Arial" w:hAnsi="Arial" w:cs="Arial"/>
          <w:sz w:val="22"/>
          <w:szCs w:val="22"/>
        </w:rPr>
        <w:t>, C-754 de 23 de diciembre de 2020 y C-812 de 9 de febrero de 2021.</w:t>
      </w:r>
    </w:p>
    <w:p w14:paraId="263F4B7E" w14:textId="4AFFE621" w:rsidR="00A21E65" w:rsidRPr="00A21E65" w:rsidRDefault="005303D7" w:rsidP="00F55F52">
      <w:pPr>
        <w:spacing w:before="120" w:line="276" w:lineRule="auto"/>
        <w:ind w:firstLine="708"/>
        <w:jc w:val="both"/>
      </w:pPr>
      <w:r>
        <w:rPr>
          <w:rFonts w:ascii="Arial" w:hAnsi="Arial" w:cs="Arial"/>
          <w:sz w:val="22"/>
          <w:szCs w:val="22"/>
        </w:rPr>
        <w:t xml:space="preserve">De otro lado, </w:t>
      </w:r>
      <w:r w:rsidR="00A21E65">
        <w:rPr>
          <w:rFonts w:ascii="Arial" w:hAnsi="Arial" w:cs="Arial"/>
          <w:sz w:val="22"/>
          <w:szCs w:val="22"/>
        </w:rPr>
        <w:t>en los conceptos</w:t>
      </w:r>
      <w:r>
        <w:rPr>
          <w:rFonts w:ascii="Arial" w:hAnsi="Arial" w:cs="Arial"/>
          <w:sz w:val="22"/>
          <w:szCs w:val="22"/>
        </w:rPr>
        <w:t xml:space="preserve"> del</w:t>
      </w:r>
      <w:r w:rsidR="00A21E65" w:rsidRPr="00A21E65">
        <w:rPr>
          <w:rFonts w:ascii="Arial" w:hAnsi="Arial" w:cs="Arial"/>
          <w:sz w:val="22"/>
          <w:szCs w:val="22"/>
          <w:shd w:val="clear" w:color="auto" w:fill="FFFFFF"/>
        </w:rPr>
        <w:t xml:space="preserve"> 26 de agosto de 2019 −radicado No. 2201913000006232−, así como en el concepto C-144 del 2 de marzo de 2020, </w:t>
      </w:r>
      <w:r>
        <w:rPr>
          <w:rFonts w:ascii="Arial" w:hAnsi="Arial" w:cs="Arial"/>
          <w:sz w:val="22"/>
          <w:szCs w:val="22"/>
          <w:shd w:val="clear" w:color="auto" w:fill="FFFFFF"/>
        </w:rPr>
        <w:t xml:space="preserve">entre otros, </w:t>
      </w:r>
      <w:r w:rsidR="00A21E65" w:rsidRPr="00A21E65">
        <w:rPr>
          <w:rFonts w:ascii="Arial" w:hAnsi="Arial" w:cs="Arial"/>
          <w:sz w:val="22"/>
          <w:szCs w:val="22"/>
          <w:shd w:val="clear" w:color="auto" w:fill="FFFFFF"/>
        </w:rPr>
        <w:t>estudió el carácter vinculante de los «Pliegos Tipo».</w:t>
      </w:r>
      <w:r w:rsidR="00A21E65">
        <w:rPr>
          <w:rFonts w:ascii="Arial" w:hAnsi="Arial" w:cs="Arial"/>
          <w:sz w:val="22"/>
          <w:szCs w:val="22"/>
          <w:shd w:val="clear" w:color="auto" w:fill="FFFFFF"/>
        </w:rPr>
        <w:t xml:space="preserve"> Las tesis desarrolladas se tendrán en cuenta y se </w:t>
      </w:r>
      <w:r w:rsidR="00BC1F98">
        <w:rPr>
          <w:rFonts w:ascii="Arial" w:hAnsi="Arial" w:cs="Arial"/>
          <w:sz w:val="22"/>
          <w:szCs w:val="22"/>
          <w:shd w:val="clear" w:color="auto" w:fill="FFFFFF"/>
        </w:rPr>
        <w:t>complementarán</w:t>
      </w:r>
      <w:r w:rsidR="00A21E65">
        <w:rPr>
          <w:rFonts w:ascii="Arial" w:hAnsi="Arial" w:cs="Arial"/>
          <w:sz w:val="22"/>
          <w:szCs w:val="22"/>
          <w:shd w:val="clear" w:color="auto" w:fill="FFFFFF"/>
        </w:rPr>
        <w:t xml:space="preserve"> en lo necesario. </w:t>
      </w:r>
    </w:p>
    <w:p w14:paraId="5F72E965" w14:textId="44AF4F07" w:rsidR="00B43119" w:rsidRPr="00F55F52" w:rsidRDefault="00B7045A" w:rsidP="00F55F52">
      <w:pPr>
        <w:spacing w:before="120" w:line="276" w:lineRule="auto"/>
        <w:ind w:firstLine="708"/>
        <w:jc w:val="both"/>
        <w:rPr>
          <w:rFonts w:ascii="Arial" w:eastAsia="Calibri" w:hAnsi="Arial" w:cs="Arial"/>
          <w:sz w:val="22"/>
        </w:rPr>
      </w:pPr>
      <w:r>
        <w:rPr>
          <w:rFonts w:ascii="Arial" w:eastAsia="Calibri" w:hAnsi="Arial" w:cs="Arial"/>
          <w:sz w:val="22"/>
        </w:rPr>
        <w:t>De igual forma</w:t>
      </w:r>
      <w:r w:rsidR="005303D7">
        <w:rPr>
          <w:rFonts w:ascii="Arial" w:eastAsia="Calibri" w:hAnsi="Arial" w:cs="Arial"/>
          <w:sz w:val="22"/>
        </w:rPr>
        <w:t>, e</w:t>
      </w:r>
      <w:r w:rsidR="00FD6D80">
        <w:rPr>
          <w:rFonts w:ascii="Arial" w:eastAsia="Calibri" w:hAnsi="Arial" w:cs="Arial"/>
          <w:sz w:val="22"/>
        </w:rPr>
        <w:t>n relación con los requisitos de firma de los documentos habilitantes y ponderables, remitidos por los proponentes a través del SECOP, es importante recordar que l</w:t>
      </w:r>
      <w:r w:rsidR="00FD6D80" w:rsidRPr="00597BF8">
        <w:rPr>
          <w:rFonts w:ascii="Arial" w:eastAsia="Calibri" w:hAnsi="Arial" w:cs="Arial"/>
          <w:sz w:val="22"/>
        </w:rPr>
        <w:t>a Agencia Nacional de Contratación Pública − Colombia Compra Eficiente ha construido una línea consolidada, que se confirma en esta consulta, en relación con la validez de la firma electrónica y digital en la actividad contractual del Estado. En efecto, en los conceptos C</w:t>
      </w:r>
      <w:r w:rsidR="00FD6D80">
        <w:rPr>
          <w:rFonts w:ascii="Arial" w:eastAsia="Calibri" w:hAnsi="Arial" w:cs="Arial"/>
          <w:sz w:val="22"/>
        </w:rPr>
        <w:t>U</w:t>
      </w:r>
      <w:r w:rsidR="00FD6D80" w:rsidRPr="00597BF8">
        <w:rPr>
          <w:rFonts w:ascii="Arial" w:eastAsia="Calibri" w:hAnsi="Arial" w:cs="Arial"/>
          <w:sz w:val="22"/>
        </w:rPr>
        <w:t>-</w:t>
      </w:r>
      <w:r w:rsidR="00FD6D80">
        <w:rPr>
          <w:rFonts w:ascii="Arial" w:eastAsia="Calibri" w:hAnsi="Arial" w:cs="Arial"/>
          <w:sz w:val="22"/>
        </w:rPr>
        <w:t>003, C-016</w:t>
      </w:r>
      <w:r w:rsidR="00FD6D80" w:rsidRPr="00597BF8">
        <w:rPr>
          <w:rFonts w:ascii="Arial" w:eastAsia="Calibri" w:hAnsi="Arial" w:cs="Arial"/>
          <w:sz w:val="22"/>
        </w:rPr>
        <w:t xml:space="preserve"> de 2020, C-044 de 2020,</w:t>
      </w:r>
      <w:r w:rsidR="00FD6D80">
        <w:rPr>
          <w:rFonts w:ascii="Arial" w:eastAsia="Calibri" w:hAnsi="Arial" w:cs="Arial"/>
          <w:sz w:val="22"/>
        </w:rPr>
        <w:t xml:space="preserve"> y </w:t>
      </w:r>
      <w:r w:rsidR="00FD6D80" w:rsidRPr="00597BF8">
        <w:rPr>
          <w:rFonts w:ascii="Arial" w:eastAsia="Calibri" w:hAnsi="Arial" w:cs="Arial"/>
          <w:sz w:val="22"/>
        </w:rPr>
        <w:t>C-287 de 2020, se consider</w:t>
      </w:r>
      <w:r w:rsidR="005303D7">
        <w:rPr>
          <w:rFonts w:ascii="Arial" w:eastAsia="Calibri" w:hAnsi="Arial" w:cs="Arial"/>
          <w:sz w:val="22"/>
        </w:rPr>
        <w:t>ó</w:t>
      </w:r>
      <w:r w:rsidR="00FD6D80" w:rsidRPr="00597BF8">
        <w:rPr>
          <w:rFonts w:ascii="Arial" w:eastAsia="Calibri" w:hAnsi="Arial" w:cs="Arial"/>
          <w:sz w:val="22"/>
        </w:rPr>
        <w:t xml:space="preserve"> que en los contratos estatales es plenamente válida la utilización de los medios electrónicos y, dentro de ellos, de la firma electrónica y digital, como análogos de la tradicional firma manuscrita</w:t>
      </w:r>
      <w:r w:rsidR="00F55F52">
        <w:rPr>
          <w:rFonts w:ascii="Arial" w:eastAsia="Calibri" w:hAnsi="Arial" w:cs="Arial"/>
          <w:sz w:val="22"/>
        </w:rPr>
        <w:t xml:space="preserve">. </w:t>
      </w:r>
      <w:r w:rsidR="00345FBC">
        <w:rPr>
          <w:rFonts w:ascii="Arial" w:hAnsi="Arial" w:cs="Arial"/>
          <w:sz w:val="22"/>
          <w:szCs w:val="22"/>
          <w:shd w:val="clear" w:color="auto" w:fill="FFFFFF"/>
        </w:rPr>
        <w:t>L</w:t>
      </w:r>
      <w:r w:rsidR="00DA352E">
        <w:rPr>
          <w:rFonts w:ascii="Arial" w:hAnsi="Arial" w:cs="Arial"/>
          <w:sz w:val="22"/>
          <w:szCs w:val="22"/>
          <w:shd w:val="clear" w:color="auto" w:fill="FFFFFF"/>
        </w:rPr>
        <w:t>as tesis</w:t>
      </w:r>
      <w:r w:rsidR="00345FBC">
        <w:rPr>
          <w:rFonts w:ascii="Arial" w:hAnsi="Arial" w:cs="Arial"/>
          <w:sz w:val="22"/>
          <w:szCs w:val="22"/>
          <w:shd w:val="clear" w:color="auto" w:fill="FFFFFF"/>
        </w:rPr>
        <w:t xml:space="preserve"> contenidas en los </w:t>
      </w:r>
      <w:r w:rsidR="00776374">
        <w:rPr>
          <w:rFonts w:ascii="Arial" w:hAnsi="Arial" w:cs="Arial"/>
          <w:sz w:val="22"/>
          <w:szCs w:val="22"/>
          <w:shd w:val="clear" w:color="auto" w:fill="FFFFFF"/>
        </w:rPr>
        <w:t>c</w:t>
      </w:r>
      <w:r w:rsidR="00345FBC">
        <w:rPr>
          <w:rFonts w:ascii="Arial" w:hAnsi="Arial" w:cs="Arial"/>
          <w:sz w:val="22"/>
          <w:szCs w:val="22"/>
          <w:shd w:val="clear" w:color="auto" w:fill="FFFFFF"/>
        </w:rPr>
        <w:t xml:space="preserve">onceptos </w:t>
      </w:r>
      <w:r w:rsidR="00776374">
        <w:rPr>
          <w:rFonts w:ascii="Arial" w:hAnsi="Arial" w:cs="Arial"/>
          <w:sz w:val="22"/>
          <w:szCs w:val="22"/>
          <w:shd w:val="clear" w:color="auto" w:fill="FFFFFF"/>
        </w:rPr>
        <w:t>citados</w:t>
      </w:r>
      <w:r w:rsidR="00DA352E">
        <w:rPr>
          <w:rFonts w:ascii="Arial" w:hAnsi="Arial" w:cs="Arial"/>
          <w:sz w:val="22"/>
          <w:szCs w:val="22"/>
          <w:shd w:val="clear" w:color="auto" w:fill="FFFFFF"/>
        </w:rPr>
        <w:t xml:space="preserve"> </w:t>
      </w:r>
      <w:r w:rsidR="00345FBC">
        <w:rPr>
          <w:rFonts w:ascii="Arial" w:hAnsi="Arial" w:cs="Arial"/>
          <w:sz w:val="22"/>
          <w:szCs w:val="22"/>
          <w:shd w:val="clear" w:color="auto" w:fill="FFFFFF"/>
        </w:rPr>
        <w:t>se</w:t>
      </w:r>
      <w:r w:rsidR="00DA352E">
        <w:rPr>
          <w:rFonts w:ascii="Arial" w:hAnsi="Arial" w:cs="Arial"/>
          <w:sz w:val="22"/>
          <w:szCs w:val="22"/>
          <w:shd w:val="clear" w:color="auto" w:fill="FFFFFF"/>
        </w:rPr>
        <w:t xml:space="preserve"> tendr</w:t>
      </w:r>
      <w:r w:rsidR="00345FBC">
        <w:rPr>
          <w:rFonts w:ascii="Arial" w:hAnsi="Arial" w:cs="Arial"/>
          <w:sz w:val="22"/>
          <w:szCs w:val="22"/>
          <w:shd w:val="clear" w:color="auto" w:fill="FFFFFF"/>
        </w:rPr>
        <w:t>á</w:t>
      </w:r>
      <w:r w:rsidR="00DA352E">
        <w:rPr>
          <w:rFonts w:ascii="Arial" w:hAnsi="Arial" w:cs="Arial"/>
          <w:sz w:val="22"/>
          <w:szCs w:val="22"/>
          <w:shd w:val="clear" w:color="auto" w:fill="FFFFFF"/>
        </w:rPr>
        <w:t>n en cuenta</w:t>
      </w:r>
      <w:r w:rsidR="00345FBC">
        <w:rPr>
          <w:rFonts w:ascii="Arial" w:hAnsi="Arial" w:cs="Arial"/>
          <w:sz w:val="22"/>
          <w:szCs w:val="22"/>
          <w:shd w:val="clear" w:color="auto" w:fill="FFFFFF"/>
        </w:rPr>
        <w:t xml:space="preserve"> y se reiterarán en</w:t>
      </w:r>
      <w:r w:rsidR="00DA352E">
        <w:rPr>
          <w:rFonts w:ascii="Arial" w:hAnsi="Arial" w:cs="Arial"/>
          <w:sz w:val="22"/>
          <w:szCs w:val="22"/>
          <w:shd w:val="clear" w:color="auto" w:fill="FFFFFF"/>
        </w:rPr>
        <w:t xml:space="preserve"> el presente concepto. </w:t>
      </w:r>
    </w:p>
    <w:p w14:paraId="16942FA0" w14:textId="2CDEFF89" w:rsidR="00A71CEA" w:rsidRDefault="00A71CEA" w:rsidP="00DA352E">
      <w:pPr>
        <w:tabs>
          <w:tab w:val="left" w:pos="426"/>
          <w:tab w:val="left" w:pos="851"/>
        </w:tabs>
        <w:spacing w:line="276" w:lineRule="auto"/>
        <w:jc w:val="both"/>
        <w:rPr>
          <w:rFonts w:ascii="Arial" w:hAnsi="Arial" w:cs="Arial"/>
          <w:sz w:val="22"/>
          <w:lang w:val="es-ES_tradnl"/>
        </w:rPr>
      </w:pPr>
    </w:p>
    <w:p w14:paraId="6EE8E23F" w14:textId="69FCEC40" w:rsidR="00A012BF" w:rsidRDefault="00A71CEA" w:rsidP="00623378">
      <w:pPr>
        <w:spacing w:line="276" w:lineRule="auto"/>
        <w:jc w:val="both"/>
        <w:rPr>
          <w:rFonts w:ascii="Arial" w:hAnsi="Arial" w:cs="Arial"/>
          <w:b/>
          <w:sz w:val="22"/>
          <w:lang w:val="es-ES_tradnl"/>
        </w:rPr>
      </w:pPr>
      <w:r w:rsidRPr="00866D6C">
        <w:rPr>
          <w:rFonts w:ascii="Arial" w:hAnsi="Arial" w:cs="Arial"/>
          <w:b/>
          <w:bCs/>
          <w:sz w:val="22"/>
        </w:rPr>
        <w:t>2.1.</w:t>
      </w:r>
      <w:r w:rsidR="00A9164B">
        <w:rPr>
          <w:rFonts w:ascii="Arial" w:hAnsi="Arial" w:cs="Arial"/>
          <w:b/>
          <w:sz w:val="22"/>
          <w:lang w:val="es-ES_tradnl"/>
        </w:rPr>
        <w:t xml:space="preserve"> </w:t>
      </w:r>
      <w:r w:rsidR="000B627E">
        <w:rPr>
          <w:rFonts w:ascii="Arial" w:hAnsi="Arial" w:cs="Arial"/>
          <w:b/>
          <w:sz w:val="22"/>
          <w:lang w:val="es-ES_tradnl"/>
        </w:rPr>
        <w:t xml:space="preserve">Naturaleza jurídica de los pliegos tipo y </w:t>
      </w:r>
      <w:r w:rsidR="000B627E" w:rsidRPr="00336AC6">
        <w:rPr>
          <w:rFonts w:ascii="Arial" w:hAnsi="Arial" w:cs="Arial"/>
          <w:b/>
          <w:sz w:val="22"/>
          <w:lang w:val="es-ES_tradnl"/>
        </w:rPr>
        <w:t>función</w:t>
      </w:r>
      <w:r w:rsidR="000B627E">
        <w:rPr>
          <w:rFonts w:ascii="Arial" w:hAnsi="Arial" w:cs="Arial"/>
          <w:b/>
          <w:sz w:val="22"/>
          <w:lang w:val="es-ES_tradnl"/>
        </w:rPr>
        <w:t xml:space="preserve"> de la minuta del contrato</w:t>
      </w:r>
    </w:p>
    <w:p w14:paraId="4FDD9923" w14:textId="0348A76A" w:rsidR="00A012BF" w:rsidRDefault="00A012BF" w:rsidP="00623378">
      <w:pPr>
        <w:spacing w:line="276" w:lineRule="auto"/>
        <w:jc w:val="both"/>
        <w:rPr>
          <w:rFonts w:ascii="Arial" w:hAnsi="Arial" w:cs="Arial"/>
          <w:sz w:val="22"/>
        </w:rPr>
      </w:pPr>
    </w:p>
    <w:p w14:paraId="026ABC57" w14:textId="77777777" w:rsidR="00A012BF" w:rsidRPr="001D24BE" w:rsidRDefault="00A012BF" w:rsidP="00623378">
      <w:pPr>
        <w:spacing w:line="276" w:lineRule="auto"/>
        <w:jc w:val="both"/>
        <w:rPr>
          <w:rFonts w:ascii="Arial" w:hAnsi="Arial" w:cs="Arial"/>
          <w:sz w:val="22"/>
          <w:lang w:val="es-ES"/>
        </w:rPr>
      </w:pPr>
      <w:r w:rsidRPr="001D24BE">
        <w:rPr>
          <w:rFonts w:ascii="Arial" w:hAnsi="Arial" w:cs="Arial"/>
          <w:sz w:val="22"/>
          <w:lang w:val="es-ES"/>
        </w:rPr>
        <w:t>El parágrafo 3 del artículo 2 de la Ley 1150 de 2007 facultó por primera vez al Gobierno Nacional para adoptar estándares generales en los pliegos de condiciones en estos términos:</w:t>
      </w:r>
    </w:p>
    <w:p w14:paraId="53C7F5C0" w14:textId="77777777" w:rsidR="00A012BF" w:rsidRPr="001D24BE" w:rsidRDefault="00A012BF" w:rsidP="00A012BF">
      <w:pPr>
        <w:spacing w:line="276" w:lineRule="auto"/>
        <w:jc w:val="both"/>
        <w:rPr>
          <w:rFonts w:ascii="Arial" w:hAnsi="Arial" w:cs="Arial"/>
          <w:sz w:val="22"/>
          <w:lang w:val="es-ES"/>
        </w:rPr>
      </w:pPr>
    </w:p>
    <w:p w14:paraId="392B9DAB" w14:textId="77777777" w:rsidR="00A012BF" w:rsidRPr="001D24BE" w:rsidRDefault="00A012BF" w:rsidP="00F55F52">
      <w:pPr>
        <w:ind w:left="709" w:right="709"/>
        <w:jc w:val="both"/>
        <w:rPr>
          <w:rFonts w:ascii="Arial" w:hAnsi="Arial" w:cs="Arial"/>
          <w:sz w:val="21"/>
          <w:szCs w:val="21"/>
          <w:lang w:val="es-ES"/>
        </w:rPr>
      </w:pPr>
      <w:r w:rsidRPr="001D24BE">
        <w:rPr>
          <w:rFonts w:ascii="Arial" w:hAnsi="Arial" w:cs="Arial"/>
          <w:bCs/>
          <w:sz w:val="21"/>
          <w:szCs w:val="21"/>
          <w:lang w:val="es-ES"/>
        </w:rPr>
        <w:t>Parágrafo 3°.</w:t>
      </w:r>
      <w:r w:rsidRPr="001D24BE">
        <w:rPr>
          <w:rFonts w:ascii="Arial" w:hAnsi="Arial" w:cs="Arial"/>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594C8E93" w14:textId="77777777" w:rsidR="00A012BF" w:rsidRPr="001D24BE" w:rsidRDefault="00A012BF" w:rsidP="00A012BF">
      <w:pPr>
        <w:spacing w:line="276" w:lineRule="auto"/>
        <w:jc w:val="both"/>
        <w:rPr>
          <w:rFonts w:ascii="Arial" w:hAnsi="Arial" w:cs="Arial"/>
          <w:sz w:val="22"/>
          <w:lang w:val="es-ES"/>
        </w:rPr>
      </w:pPr>
    </w:p>
    <w:p w14:paraId="690674FE" w14:textId="14779B8F" w:rsidR="00A012BF" w:rsidRPr="001D24BE" w:rsidRDefault="00A012BF" w:rsidP="00A012BF">
      <w:pPr>
        <w:spacing w:after="120" w:line="276" w:lineRule="auto"/>
        <w:ind w:firstLine="708"/>
        <w:jc w:val="both"/>
        <w:rPr>
          <w:rFonts w:ascii="Arial" w:hAnsi="Arial" w:cs="Arial"/>
          <w:sz w:val="22"/>
          <w:lang w:val="es-ES"/>
        </w:rPr>
      </w:pPr>
      <w:r w:rsidRPr="001D24BE">
        <w:rPr>
          <w:rFonts w:ascii="Arial" w:hAnsi="Arial" w:cs="Arial"/>
          <w:sz w:val="22"/>
          <w:lang w:val="es-ES"/>
        </w:rPr>
        <w:t xml:space="preserve">Como se observa, los «Pliegos Tipo» aparecieron en nuestro ordenamiento jurídico en 2007, cuando el legislador facultó al Gobierno Nacional para adoptarlos en los eventos </w:t>
      </w:r>
      <w:r w:rsidRPr="001D24BE">
        <w:rPr>
          <w:rFonts w:ascii="Arial" w:hAnsi="Arial" w:cs="Arial"/>
          <w:sz w:val="22"/>
          <w:lang w:val="es-ES"/>
        </w:rPr>
        <w:lastRenderedPageBreak/>
        <w:t>de compra o suministro de bienes de características técnicas uniformes. La intención original del proyecto</w:t>
      </w:r>
      <w:r w:rsidR="00403054">
        <w:rPr>
          <w:rFonts w:ascii="Arial" w:hAnsi="Arial" w:cs="Arial"/>
          <w:sz w:val="22"/>
          <w:lang w:val="es-ES"/>
        </w:rPr>
        <w:t>,</w:t>
      </w:r>
      <w:r w:rsidRPr="001D24BE">
        <w:rPr>
          <w:rFonts w:ascii="Arial" w:hAnsi="Arial" w:cs="Arial"/>
          <w:sz w:val="22"/>
          <w:lang w:val="es-ES"/>
        </w:rPr>
        <w:t xml:space="preserve"> que se convirtió en la Ley 1150 de 2007</w:t>
      </w:r>
      <w:r w:rsidR="00403054">
        <w:rPr>
          <w:rFonts w:ascii="Arial" w:hAnsi="Arial" w:cs="Arial"/>
          <w:sz w:val="22"/>
          <w:lang w:val="es-ES"/>
        </w:rPr>
        <w:t>,</w:t>
      </w:r>
      <w:r w:rsidRPr="001D24BE">
        <w:rPr>
          <w:rFonts w:ascii="Arial" w:hAnsi="Arial" w:cs="Arial"/>
          <w:sz w:val="22"/>
          <w:lang w:val="es-ES"/>
        </w:rPr>
        <w:t xml:space="preserve">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1D24BE">
        <w:rPr>
          <w:rStyle w:val="Refdenotaalpie"/>
          <w:rFonts w:ascii="Arial" w:hAnsi="Arial" w:cs="Arial"/>
          <w:sz w:val="22"/>
          <w:lang w:val="es-ES"/>
        </w:rPr>
        <w:footnoteReference w:id="2"/>
      </w:r>
      <w:r w:rsidRPr="001D24BE">
        <w:rPr>
          <w:rFonts w:ascii="Arial" w:hAnsi="Arial" w:cs="Arial"/>
          <w:sz w:val="22"/>
          <w:lang w:val="es-ES"/>
        </w:rPr>
        <w:t>.</w:t>
      </w:r>
    </w:p>
    <w:p w14:paraId="37C31B13" w14:textId="77777777" w:rsidR="00A012BF" w:rsidRPr="001D24BE" w:rsidRDefault="00A012BF" w:rsidP="00A012BF">
      <w:pPr>
        <w:spacing w:after="120" w:line="276" w:lineRule="auto"/>
        <w:ind w:firstLine="708"/>
        <w:jc w:val="both"/>
      </w:pPr>
      <w:r w:rsidRPr="001D24BE">
        <w:rPr>
          <w:rFonts w:ascii="Arial" w:hAnsi="Arial" w:cs="Arial"/>
          <w:sz w:val="22"/>
          <w:lang w:val="es-ES"/>
        </w:rPr>
        <w:t>Para tales fines, el Decreto 4170 de 2011, particularmente el artículo 11, numeral 12, asignó la competencia a la Subdirección de Gestión Contractual de la Agencia Nacional de Contratación Pública para «[d]</w:t>
      </w:r>
      <w:proofErr w:type="spellStart"/>
      <w:r w:rsidRPr="001D24BE">
        <w:rPr>
          <w:rFonts w:ascii="Arial" w:hAnsi="Arial" w:cs="Arial"/>
          <w:sz w:val="22"/>
          <w:lang w:val="es-ES"/>
        </w:rPr>
        <w:t>esarrollar</w:t>
      </w:r>
      <w:proofErr w:type="spellEnd"/>
      <w:r w:rsidRPr="001D24BE">
        <w:rPr>
          <w:rFonts w:ascii="Arial" w:hAnsi="Arial" w:cs="Arial"/>
          <w:sz w:val="22"/>
          <w:lang w:val="es-ES"/>
        </w:rPr>
        <w:t xml:space="preserve"> e implementar estándares y documentos tipo para las diferentes etapas de la gestión contractual pública».</w:t>
      </w:r>
    </w:p>
    <w:p w14:paraId="52F289D5" w14:textId="5CC365C6" w:rsidR="00A012BF" w:rsidRPr="001D24BE" w:rsidRDefault="00A012BF" w:rsidP="00A012BF">
      <w:pPr>
        <w:spacing w:before="120" w:line="276" w:lineRule="auto"/>
        <w:jc w:val="both"/>
        <w:rPr>
          <w:rFonts w:ascii="Arial" w:hAnsi="Arial" w:cs="Arial"/>
          <w:sz w:val="22"/>
          <w:lang w:val="es-ES"/>
        </w:rPr>
      </w:pPr>
      <w:r w:rsidRPr="001D24BE">
        <w:tab/>
      </w:r>
      <w:r w:rsidRPr="001D24BE">
        <w:rPr>
          <w:rFonts w:ascii="Arial" w:hAnsi="Arial" w:cs="Arial"/>
          <w:sz w:val="22"/>
          <w:lang w:val="es-ES"/>
        </w:rPr>
        <w:t>La intención de esta medida era agilizar y darles mayor transparencia a los procesos de selección y evitar el direccionamiento de los pliegos de condicione</w:t>
      </w:r>
      <w:r w:rsidR="00A51E80">
        <w:rPr>
          <w:rFonts w:ascii="Arial" w:hAnsi="Arial" w:cs="Arial"/>
          <w:sz w:val="22"/>
          <w:lang w:val="es-ES"/>
        </w:rPr>
        <w:t>s</w:t>
      </w:r>
      <w:r w:rsidRPr="001D24BE">
        <w:rPr>
          <w:rFonts w:ascii="Arial" w:hAnsi="Arial" w:cs="Arial"/>
          <w:sz w:val="22"/>
          <w:lang w:val="es-ES"/>
        </w:rPr>
        <w:t>: «[…] se asigna al Gobierno Nacional la facultad de estandarizar los pliegos de condiciones y términos de referencia de los contratos, medida que redundará en la agilidad y claridad de los procedimientos»</w:t>
      </w:r>
      <w:r w:rsidRPr="001D24BE">
        <w:rPr>
          <w:rFonts w:ascii="Arial" w:hAnsi="Arial" w:cs="Arial"/>
          <w:sz w:val="22"/>
          <w:vertAlign w:val="superscript"/>
          <w:lang w:val="es-ES"/>
        </w:rPr>
        <w:footnoteReference w:id="3"/>
      </w:r>
      <w:r w:rsidRPr="001D24BE">
        <w:rPr>
          <w:rFonts w:ascii="Arial" w:hAnsi="Arial" w:cs="Arial"/>
          <w:sz w:val="22"/>
          <w:vertAlign w:val="superscript"/>
          <w:lang w:val="es-ES"/>
        </w:rPr>
        <w:t>.</w:t>
      </w:r>
      <w:r w:rsidRPr="001D24BE">
        <w:rPr>
          <w:rFonts w:ascii="Arial" w:hAnsi="Arial" w:cs="Arial"/>
          <w:sz w:val="22"/>
          <w:lang w:val="es-ES"/>
        </w:rPr>
        <w:t xml:space="preserve">. Sin embargo, en el texto aprobado, los pliegos tipo se limitaron a la adquisición o suministro de bienes de características técnicas uniformes: </w:t>
      </w:r>
    </w:p>
    <w:p w14:paraId="3D9E99BB" w14:textId="77777777" w:rsidR="00A012BF" w:rsidRPr="001D24BE" w:rsidRDefault="00A012BF" w:rsidP="00A012BF">
      <w:pPr>
        <w:spacing w:line="276" w:lineRule="auto"/>
        <w:jc w:val="both"/>
        <w:rPr>
          <w:rFonts w:ascii="Arial" w:hAnsi="Arial" w:cs="Arial"/>
          <w:sz w:val="22"/>
          <w:lang w:val="es-ES"/>
        </w:rPr>
      </w:pPr>
    </w:p>
    <w:p w14:paraId="087C5D40" w14:textId="77777777" w:rsidR="00A012BF" w:rsidRPr="001D24BE" w:rsidRDefault="00A012BF" w:rsidP="00A012BF">
      <w:pPr>
        <w:ind w:left="708" w:right="616"/>
        <w:jc w:val="both"/>
        <w:rPr>
          <w:rFonts w:ascii="Arial" w:hAnsi="Arial" w:cs="Arial"/>
          <w:sz w:val="21"/>
          <w:szCs w:val="21"/>
          <w:lang w:val="es-ES"/>
        </w:rPr>
      </w:pPr>
      <w:r w:rsidRPr="001D24BE">
        <w:rPr>
          <w:rFonts w:ascii="Arial" w:hAnsi="Arial" w:cs="Arial"/>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1D24BE">
        <w:rPr>
          <w:rStyle w:val="Refdenotaalpie"/>
          <w:rFonts w:ascii="Arial" w:hAnsi="Arial" w:cs="Arial"/>
          <w:sz w:val="21"/>
          <w:szCs w:val="21"/>
          <w:lang w:val="es-ES"/>
        </w:rPr>
        <w:footnoteReference w:id="4"/>
      </w:r>
      <w:r w:rsidRPr="001D24BE">
        <w:rPr>
          <w:rFonts w:ascii="Arial" w:hAnsi="Arial" w:cs="Arial"/>
          <w:sz w:val="21"/>
          <w:szCs w:val="21"/>
          <w:lang w:val="es-ES"/>
        </w:rPr>
        <w:t>.</w:t>
      </w:r>
    </w:p>
    <w:p w14:paraId="26120A36" w14:textId="77777777" w:rsidR="00A012BF" w:rsidRPr="001D24BE" w:rsidRDefault="00A012BF" w:rsidP="00A012BF">
      <w:pPr>
        <w:spacing w:line="276" w:lineRule="auto"/>
        <w:jc w:val="both"/>
        <w:rPr>
          <w:rFonts w:ascii="Arial" w:hAnsi="Arial" w:cs="Arial"/>
          <w:sz w:val="22"/>
          <w:lang w:val="es-ES"/>
        </w:rPr>
      </w:pPr>
    </w:p>
    <w:p w14:paraId="1D1E88AB" w14:textId="243A2E68" w:rsidR="00A012BF" w:rsidRPr="001D24BE" w:rsidRDefault="00A012BF" w:rsidP="00623378">
      <w:pPr>
        <w:spacing w:line="276" w:lineRule="auto"/>
        <w:ind w:firstLine="708"/>
        <w:jc w:val="both"/>
        <w:rPr>
          <w:rFonts w:ascii="Arial" w:hAnsi="Arial" w:cs="Arial"/>
          <w:sz w:val="22"/>
        </w:rPr>
      </w:pPr>
      <w:r w:rsidRPr="001D24BE">
        <w:rPr>
          <w:rFonts w:ascii="Arial" w:hAnsi="Arial" w:cs="Arial"/>
          <w:sz w:val="22"/>
        </w:rPr>
        <w:t>Posteriormente, el artículo 2, parágrafo 7º, de la Ley 1150 de 2007</w:t>
      </w:r>
      <w:r w:rsidR="006663C2">
        <w:rPr>
          <w:rStyle w:val="Refdenotaalpie"/>
          <w:rFonts w:ascii="Arial" w:hAnsi="Arial" w:cs="Arial"/>
          <w:sz w:val="22"/>
        </w:rPr>
        <w:footnoteReference w:id="5"/>
      </w:r>
      <w:r w:rsidRPr="001D24BE">
        <w:rPr>
          <w:rFonts w:ascii="Arial" w:hAnsi="Arial" w:cs="Arial"/>
          <w:sz w:val="22"/>
        </w:rPr>
        <w:t>, adicionado por el artículo 4 de la Ley 1882 de 2018, estableció la obligatoriedad de la adopción de documentos tipo para diferentes procesos de selección</w:t>
      </w:r>
      <w:r w:rsidR="006663C2">
        <w:rPr>
          <w:rFonts w:ascii="Arial" w:hAnsi="Arial" w:cs="Arial"/>
          <w:sz w:val="22"/>
        </w:rPr>
        <w:t xml:space="preserve">. </w:t>
      </w:r>
      <w:r w:rsidRPr="001D24BE">
        <w:rPr>
          <w:rFonts w:ascii="Arial" w:hAnsi="Arial" w:cs="Arial"/>
          <w:sz w:val="22"/>
        </w:rPr>
        <w:t xml:space="preserve"> </w:t>
      </w:r>
    </w:p>
    <w:p w14:paraId="376DD3CD" w14:textId="77777777" w:rsidR="00A012BF" w:rsidRPr="001D24BE" w:rsidRDefault="00A012BF" w:rsidP="00A012BF">
      <w:pPr>
        <w:ind w:firstLine="709"/>
        <w:jc w:val="both"/>
        <w:rPr>
          <w:rFonts w:ascii="Arial" w:hAnsi="Arial" w:cs="Arial"/>
          <w:sz w:val="22"/>
        </w:rPr>
      </w:pPr>
    </w:p>
    <w:p w14:paraId="77BE484C" w14:textId="0C1153A7" w:rsidR="00A012BF" w:rsidRPr="001D24BE" w:rsidRDefault="00A012BF" w:rsidP="00A012BF">
      <w:pPr>
        <w:spacing w:line="276" w:lineRule="auto"/>
        <w:ind w:firstLine="708"/>
        <w:jc w:val="both"/>
        <w:rPr>
          <w:rFonts w:ascii="Arial" w:hAnsi="Arial" w:cs="Arial"/>
          <w:sz w:val="22"/>
        </w:rPr>
      </w:pPr>
      <w:r w:rsidRPr="001D24BE">
        <w:rPr>
          <w:rFonts w:ascii="Arial" w:hAnsi="Arial" w:cs="Arial"/>
          <w:sz w:val="22"/>
        </w:rPr>
        <w:t>Asimismo, el artículo 4 de la Ley 1882 de 2018 establec</w:t>
      </w:r>
      <w:r w:rsidR="005303D7">
        <w:rPr>
          <w:rFonts w:ascii="Arial" w:hAnsi="Arial" w:cs="Arial"/>
          <w:sz w:val="22"/>
        </w:rPr>
        <w:t>ió</w:t>
      </w:r>
      <w:r w:rsidRPr="001D24BE">
        <w:rPr>
          <w:rFonts w:ascii="Arial" w:hAnsi="Arial" w:cs="Arial"/>
          <w:sz w:val="22"/>
        </w:rPr>
        <w:t xml:space="preserve"> que al Gobierno Nacional le correspond</w:t>
      </w:r>
      <w:r w:rsidR="005303D7">
        <w:rPr>
          <w:rFonts w:ascii="Arial" w:hAnsi="Arial" w:cs="Arial"/>
          <w:sz w:val="22"/>
        </w:rPr>
        <w:t>ía</w:t>
      </w:r>
      <w:r w:rsidRPr="001D24BE">
        <w:rPr>
          <w:rFonts w:ascii="Arial" w:hAnsi="Arial" w:cs="Arial"/>
          <w:sz w:val="22"/>
        </w:rPr>
        <w:t xml:space="preserve"> adoptar los «documentos tipo para los pliegos de condiciones de los procesos de selección de obras públicas» y que estos «</w:t>
      </w:r>
      <w:r w:rsidRPr="001D24BE">
        <w:rPr>
          <w:rFonts w:ascii="Arial" w:hAnsi="Arial" w:cs="Arial"/>
          <w:i/>
          <w:sz w:val="22"/>
        </w:rPr>
        <w:t>deberán</w:t>
      </w:r>
      <w:r w:rsidRPr="001D24BE">
        <w:rPr>
          <w:rFonts w:ascii="Arial" w:hAnsi="Arial" w:cs="Arial"/>
          <w:sz w:val="22"/>
        </w:rPr>
        <w:t xml:space="preserve"> ser utilizados por todas las entidades sometidas al Estatuto General de la Contratación de la Administración Pública en los procesos de selección que adelanten». Adicionalmente señala</w:t>
      </w:r>
      <w:r w:rsidR="005303D7">
        <w:rPr>
          <w:rFonts w:ascii="Arial" w:hAnsi="Arial" w:cs="Arial"/>
          <w:sz w:val="22"/>
        </w:rPr>
        <w:t>ba</w:t>
      </w:r>
      <w:r w:rsidRPr="001D24BE">
        <w:rPr>
          <w:rFonts w:ascii="Arial" w:hAnsi="Arial" w:cs="Arial"/>
          <w:sz w:val="22"/>
        </w:rPr>
        <w:t xml:space="preserve">, frente a su contenido, que «[d]entro de los documentos tipo el Gobierno adoptará de manera general y con </w:t>
      </w:r>
      <w:r w:rsidRPr="001D24BE">
        <w:rPr>
          <w:rFonts w:ascii="Arial" w:hAnsi="Arial" w:cs="Arial"/>
          <w:i/>
          <w:sz w:val="22"/>
        </w:rPr>
        <w:t>alcance obligatorio</w:t>
      </w:r>
      <w:r w:rsidRPr="001D24BE">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2A4FD62C" w14:textId="0FC2E066" w:rsidR="00A012BF" w:rsidRPr="00623378" w:rsidRDefault="00A012BF" w:rsidP="00623378">
      <w:pPr>
        <w:spacing w:before="120" w:after="120" w:line="276" w:lineRule="auto"/>
        <w:ind w:firstLine="705"/>
        <w:jc w:val="both"/>
        <w:rPr>
          <w:rFonts w:ascii="Arial" w:hAnsi="Arial" w:cs="Arial"/>
          <w:sz w:val="22"/>
          <w:lang w:val="es-ES"/>
        </w:rPr>
      </w:pPr>
      <w:r w:rsidRPr="001D24BE">
        <w:rPr>
          <w:rFonts w:ascii="Arial" w:hAnsi="Arial" w:cs="Arial"/>
          <w:sz w:val="22"/>
          <w:lang w:val="es-ES"/>
        </w:rPr>
        <w:t xml:space="preserve">En ejercicio de las competencias atribuidas por los artículos 2.2.1.2.6.1.3, 2.2.1.2.6.2.3 y 2.2.1.2.6.3.3 del Decreto 1082 de 2015, esta Agencia expidió la Resolución No. 1798 de 2019, referida a procesos de licitación pública –Versión 1–, la cual fue actualizada por la Resolución No. 045 de 2020 –Versión 2–-.  Así mismo </w:t>
      </w:r>
      <w:r>
        <w:rPr>
          <w:rFonts w:ascii="Arial" w:hAnsi="Arial" w:cs="Arial"/>
          <w:sz w:val="22"/>
          <w:lang w:val="es-ES"/>
        </w:rPr>
        <w:t>expidió</w:t>
      </w:r>
      <w:r w:rsidRPr="001D24BE">
        <w:rPr>
          <w:rFonts w:ascii="Arial" w:hAnsi="Arial" w:cs="Arial"/>
          <w:sz w:val="22"/>
          <w:lang w:val="es-ES"/>
        </w:rPr>
        <w:t xml:space="preserve"> la</w:t>
      </w:r>
      <w:r>
        <w:rPr>
          <w:rFonts w:ascii="Arial" w:hAnsi="Arial" w:cs="Arial"/>
          <w:sz w:val="22"/>
          <w:lang w:val="es-ES"/>
        </w:rPr>
        <w:t>s</w:t>
      </w:r>
      <w:r w:rsidRPr="001D24BE">
        <w:rPr>
          <w:rFonts w:ascii="Arial" w:hAnsi="Arial" w:cs="Arial"/>
          <w:sz w:val="22"/>
          <w:lang w:val="es-ES"/>
        </w:rPr>
        <w:t xml:space="preserve"> Resoluci</w:t>
      </w:r>
      <w:r>
        <w:rPr>
          <w:rFonts w:ascii="Arial" w:hAnsi="Arial" w:cs="Arial"/>
          <w:sz w:val="22"/>
          <w:lang w:val="es-ES"/>
        </w:rPr>
        <w:t>ón</w:t>
      </w:r>
      <w:r w:rsidRPr="001D24BE">
        <w:rPr>
          <w:rFonts w:ascii="Arial" w:hAnsi="Arial" w:cs="Arial"/>
          <w:sz w:val="22"/>
          <w:lang w:val="es-ES"/>
        </w:rPr>
        <w:t xml:space="preserve"> No. 044 de 2020</w:t>
      </w:r>
      <w:r>
        <w:rPr>
          <w:rFonts w:ascii="Arial" w:hAnsi="Arial" w:cs="Arial"/>
          <w:sz w:val="22"/>
          <w:lang w:val="es-ES"/>
        </w:rPr>
        <w:t>,</w:t>
      </w:r>
      <w:r w:rsidRPr="001D24BE">
        <w:rPr>
          <w:rFonts w:ascii="Arial" w:hAnsi="Arial" w:cs="Arial"/>
          <w:sz w:val="22"/>
          <w:lang w:val="es-ES"/>
        </w:rPr>
        <w:t xml:space="preserve"> que implementó los documentos tipo para la modalidad de selección abreviada de menor cuantía, y la Resolución No. 094 de 2020, que hizo lo propio respecto de la modalidad de mínima cuantía. </w:t>
      </w:r>
    </w:p>
    <w:p w14:paraId="2525E08E" w14:textId="4AD2C06F" w:rsidR="00A012BF" w:rsidRPr="001D24BE" w:rsidRDefault="00A012BF" w:rsidP="00F3225B">
      <w:pPr>
        <w:spacing w:after="120" w:line="276" w:lineRule="auto"/>
        <w:ind w:firstLine="705"/>
        <w:jc w:val="both"/>
        <w:rPr>
          <w:rFonts w:ascii="Arial" w:hAnsi="Arial" w:cs="Arial"/>
          <w:sz w:val="22"/>
        </w:rPr>
      </w:pPr>
      <w:r w:rsidRPr="001D24BE">
        <w:rPr>
          <w:rFonts w:ascii="Arial" w:hAnsi="Arial" w:cs="Arial"/>
          <w:sz w:val="22"/>
        </w:rPr>
        <w:t>En ese orden, la labor desarrollada por el Gobierno Nacional con la expedición de los decretos 342 de 2019, 2096 de 2019 y 594 de 2020, así como los documentos tipo adoptados por esta Agencia</w:t>
      </w:r>
      <w:r w:rsidR="004164FC">
        <w:rPr>
          <w:rFonts w:ascii="Arial" w:hAnsi="Arial" w:cs="Arial"/>
          <w:sz w:val="22"/>
        </w:rPr>
        <w:t xml:space="preserve"> mediante</w:t>
      </w:r>
      <w:r w:rsidRPr="001D24BE">
        <w:rPr>
          <w:rFonts w:ascii="Arial" w:hAnsi="Arial" w:cs="Arial"/>
          <w:sz w:val="22"/>
        </w:rPr>
        <w:t xml:space="preserve"> las resoluciones No. 1798 de 2019, 044, 045 y 094 de 2020, se </w:t>
      </w:r>
      <w:r w:rsidR="005303D7">
        <w:rPr>
          <w:rFonts w:ascii="Arial" w:hAnsi="Arial" w:cs="Arial"/>
          <w:sz w:val="22"/>
        </w:rPr>
        <w:t>encontraban</w:t>
      </w:r>
      <w:r w:rsidR="005303D7" w:rsidRPr="001D24BE">
        <w:rPr>
          <w:rFonts w:ascii="Arial" w:hAnsi="Arial" w:cs="Arial"/>
          <w:sz w:val="22"/>
        </w:rPr>
        <w:t xml:space="preserve"> </w:t>
      </w:r>
      <w:r w:rsidRPr="001D24BE">
        <w:rPr>
          <w:rFonts w:ascii="Arial" w:hAnsi="Arial" w:cs="Arial"/>
          <w:sz w:val="22"/>
        </w:rPr>
        <w:t>ajustados a lo dispuesto en el parágrafo 7 del artículo 4 de la Ley 1882 de 2018</w:t>
      </w:r>
      <w:r w:rsidR="005303D7">
        <w:rPr>
          <w:rFonts w:ascii="Arial" w:hAnsi="Arial" w:cs="Arial"/>
          <w:sz w:val="22"/>
        </w:rPr>
        <w:t>. Sin perjuicio de lo anterior, e</w:t>
      </w:r>
      <w:r w:rsidRPr="001D24BE">
        <w:rPr>
          <w:rFonts w:ascii="Arial" w:hAnsi="Arial" w:cs="Arial"/>
          <w:sz w:val="22"/>
        </w:rPr>
        <w:t xml:space="preserve">s necesario destacar que el artículo </w:t>
      </w:r>
      <w:r w:rsidR="005303D7">
        <w:rPr>
          <w:rFonts w:ascii="Arial" w:hAnsi="Arial" w:cs="Arial"/>
          <w:sz w:val="22"/>
        </w:rPr>
        <w:t>indicado</w:t>
      </w:r>
      <w:r w:rsidRPr="001D24BE">
        <w:rPr>
          <w:rFonts w:ascii="Arial" w:hAnsi="Arial" w:cs="Arial"/>
          <w:sz w:val="22"/>
        </w:rPr>
        <w:t xml:space="preserve"> fue objeto de modificación por parte del artículo 1 de la Ley 2022 de 2020, por medio del cual se refuerzan las competencias de esta Agencia para la producción de documentos tipo al habilitarla directamente para su expedición, estableciéndose además </w:t>
      </w:r>
      <w:r w:rsidR="005303D7">
        <w:rPr>
          <w:rFonts w:ascii="Arial" w:hAnsi="Arial" w:cs="Arial"/>
          <w:sz w:val="22"/>
        </w:rPr>
        <w:t>el</w:t>
      </w:r>
      <w:r w:rsidR="005303D7" w:rsidRPr="001D24BE">
        <w:rPr>
          <w:rFonts w:ascii="Arial" w:hAnsi="Arial" w:cs="Arial"/>
          <w:sz w:val="22"/>
        </w:rPr>
        <w:t xml:space="preserve"> </w:t>
      </w:r>
      <w:r w:rsidRPr="001D24BE">
        <w:rPr>
          <w:rFonts w:ascii="Arial" w:hAnsi="Arial" w:cs="Arial"/>
          <w:sz w:val="22"/>
        </w:rPr>
        <w:t xml:space="preserve">carácter obligatorio </w:t>
      </w:r>
      <w:r w:rsidR="005303D7">
        <w:rPr>
          <w:rFonts w:ascii="Arial" w:hAnsi="Arial" w:cs="Arial"/>
          <w:sz w:val="22"/>
        </w:rPr>
        <w:t xml:space="preserve">de los documentos tipo </w:t>
      </w:r>
      <w:r w:rsidRPr="001D24BE">
        <w:rPr>
          <w:rFonts w:ascii="Arial" w:hAnsi="Arial" w:cs="Arial"/>
          <w:sz w:val="22"/>
        </w:rPr>
        <w:t>para las entidades estatales regidas por el EGCAP</w:t>
      </w:r>
      <w:r w:rsidRPr="001D24BE">
        <w:rPr>
          <w:rStyle w:val="Refdenotaalpie"/>
          <w:rFonts w:ascii="Arial" w:hAnsi="Arial" w:cs="Arial"/>
          <w:sz w:val="22"/>
        </w:rPr>
        <w:footnoteReference w:id="6"/>
      </w:r>
      <w:r w:rsidRPr="001D24BE">
        <w:rPr>
          <w:rFonts w:ascii="Arial" w:hAnsi="Arial" w:cs="Arial"/>
          <w:sz w:val="22"/>
        </w:rPr>
        <w:t xml:space="preserve">. </w:t>
      </w:r>
    </w:p>
    <w:p w14:paraId="39246541" w14:textId="3B98F418" w:rsidR="00A012BF" w:rsidRDefault="00A012BF" w:rsidP="00623378">
      <w:pPr>
        <w:spacing w:before="120" w:line="276" w:lineRule="auto"/>
        <w:ind w:firstLine="705"/>
        <w:jc w:val="both"/>
        <w:rPr>
          <w:rFonts w:ascii="Arial" w:hAnsi="Arial" w:cs="Arial"/>
          <w:sz w:val="22"/>
        </w:rPr>
      </w:pPr>
      <w:r w:rsidRPr="001D24BE">
        <w:rPr>
          <w:rFonts w:ascii="Arial" w:hAnsi="Arial" w:cs="Arial"/>
          <w:sz w:val="22"/>
        </w:rPr>
        <w:lastRenderedPageBreak/>
        <w:t>Dicha ley</w:t>
      </w:r>
      <w:r w:rsidR="00262DCF">
        <w:rPr>
          <w:rFonts w:ascii="Arial" w:hAnsi="Arial" w:cs="Arial"/>
          <w:sz w:val="22"/>
        </w:rPr>
        <w:t>,</w:t>
      </w:r>
      <w:r w:rsidRPr="001D24BE">
        <w:rPr>
          <w:rFonts w:ascii="Arial" w:hAnsi="Arial" w:cs="Arial"/>
          <w:sz w:val="22"/>
        </w:rPr>
        <w:t xml:space="preserve"> publicada el 22 de julio de 2020, entr</w:t>
      </w:r>
      <w:r w:rsidR="00262DCF">
        <w:rPr>
          <w:rFonts w:ascii="Arial" w:hAnsi="Arial" w:cs="Arial"/>
          <w:sz w:val="22"/>
        </w:rPr>
        <w:t>ó</w:t>
      </w:r>
      <w:r w:rsidRPr="001D24BE">
        <w:rPr>
          <w:rFonts w:ascii="Arial" w:hAnsi="Arial" w:cs="Arial"/>
          <w:sz w:val="22"/>
        </w:rPr>
        <w:t xml:space="preserve"> a regir a partir de su publicación y permit</w:t>
      </w:r>
      <w:r w:rsidR="00262DCF">
        <w:rPr>
          <w:rFonts w:ascii="Arial" w:hAnsi="Arial" w:cs="Arial"/>
          <w:sz w:val="22"/>
        </w:rPr>
        <w:t>e</w:t>
      </w:r>
      <w:r w:rsidRPr="001D24BE">
        <w:rPr>
          <w:rFonts w:ascii="Arial" w:hAnsi="Arial" w:cs="Arial"/>
          <w:sz w:val="22"/>
        </w:rPr>
        <w:t xml:space="preserve"> que </w:t>
      </w:r>
      <w:r w:rsidR="00262DCF">
        <w:rPr>
          <w:rFonts w:ascii="Arial" w:hAnsi="Arial" w:cs="Arial"/>
          <w:sz w:val="22"/>
        </w:rPr>
        <w:t>esta</w:t>
      </w:r>
      <w:r w:rsidRPr="001D24BE">
        <w:rPr>
          <w:rFonts w:ascii="Arial" w:hAnsi="Arial" w:cs="Arial"/>
          <w:sz w:val="22"/>
        </w:rPr>
        <w:t xml:space="preserve"> Agencia implemente documentos tipo para diferentes objetos contractuales, conforme indiquen los cronogramas que se definan en coordinación con las diferentes entidades técnicas y especializadas para implementar de manera gradual los documentos tipo, con el fin de incorporarlos al sistema de compra pública.</w:t>
      </w:r>
    </w:p>
    <w:p w14:paraId="18072A7F" w14:textId="68CC4256" w:rsidR="00C33B62" w:rsidRPr="001D24BE" w:rsidRDefault="00C33B62" w:rsidP="00623378">
      <w:pPr>
        <w:spacing w:before="120" w:line="276" w:lineRule="auto"/>
        <w:ind w:firstLine="705"/>
        <w:jc w:val="both"/>
        <w:rPr>
          <w:rFonts w:ascii="Arial" w:eastAsia="Calibri" w:hAnsi="Arial" w:cs="Arial"/>
          <w:bCs/>
          <w:sz w:val="22"/>
        </w:rPr>
      </w:pPr>
      <w:r w:rsidRPr="001D24BE">
        <w:rPr>
          <w:rFonts w:ascii="Arial" w:eastAsia="Calibri" w:hAnsi="Arial" w:cs="Arial"/>
          <w:bCs/>
          <w:sz w:val="22"/>
        </w:rPr>
        <w:t>Dentro de los listados de documentos tipo, de obligatoria observancia para las entidades estatales que apliquen el EGCAP, establecidos para las modalidades de licitación pública</w:t>
      </w:r>
      <w:r w:rsidR="00554D93">
        <w:rPr>
          <w:rFonts w:ascii="Arial" w:eastAsia="Calibri" w:hAnsi="Arial" w:cs="Arial"/>
          <w:bCs/>
          <w:sz w:val="22"/>
        </w:rPr>
        <w:t xml:space="preserve"> y</w:t>
      </w:r>
      <w:r w:rsidRPr="001D24BE">
        <w:rPr>
          <w:rFonts w:ascii="Arial" w:eastAsia="Calibri" w:hAnsi="Arial" w:cs="Arial"/>
          <w:bCs/>
          <w:sz w:val="22"/>
        </w:rPr>
        <w:t xml:space="preserve"> selección abreviada de menor cuantía</w:t>
      </w:r>
      <w:r w:rsidR="00FF0F91">
        <w:rPr>
          <w:rFonts w:ascii="Arial" w:eastAsia="Calibri" w:hAnsi="Arial" w:cs="Arial"/>
          <w:bCs/>
          <w:sz w:val="22"/>
        </w:rPr>
        <w:t>, de acuerdo con las versiones vigentes de los documentos tipo, expedidas con fundamento en la Ley 2022 de 202,</w:t>
      </w:r>
      <w:r w:rsidRPr="001D24BE">
        <w:rPr>
          <w:rFonts w:ascii="Arial" w:eastAsia="Calibri" w:hAnsi="Arial" w:cs="Arial"/>
          <w:bCs/>
          <w:sz w:val="22"/>
        </w:rPr>
        <w:t xml:space="preserve"> se encuentra el «Anexo 5 – Minuta del contrato»</w:t>
      </w:r>
      <w:r>
        <w:rPr>
          <w:rStyle w:val="Refdenotaalpie"/>
          <w:rFonts w:ascii="Arial" w:eastAsia="Calibri" w:hAnsi="Arial" w:cs="Arial"/>
          <w:bCs/>
          <w:sz w:val="22"/>
        </w:rPr>
        <w:footnoteReference w:id="7"/>
      </w:r>
      <w:r w:rsidRPr="001D24BE">
        <w:rPr>
          <w:rFonts w:ascii="Arial" w:eastAsia="Calibri" w:hAnsi="Arial" w:cs="Arial"/>
          <w:bCs/>
          <w:sz w:val="22"/>
        </w:rPr>
        <w:t>. Este, tanto en los documentos tipo de licitación pública –versiones 1</w:t>
      </w:r>
      <w:r w:rsidR="00554D93">
        <w:rPr>
          <w:rFonts w:ascii="Arial" w:eastAsia="Calibri" w:hAnsi="Arial" w:cs="Arial"/>
          <w:bCs/>
          <w:sz w:val="22"/>
        </w:rPr>
        <w:t>,</w:t>
      </w:r>
      <w:r w:rsidRPr="001D24BE">
        <w:rPr>
          <w:rFonts w:ascii="Arial" w:eastAsia="Calibri" w:hAnsi="Arial" w:cs="Arial"/>
          <w:bCs/>
          <w:sz w:val="22"/>
        </w:rPr>
        <w:t xml:space="preserve"> 2</w:t>
      </w:r>
      <w:r w:rsidR="00554D93">
        <w:rPr>
          <w:rFonts w:ascii="Arial" w:eastAsia="Calibri" w:hAnsi="Arial" w:cs="Arial"/>
          <w:bCs/>
          <w:sz w:val="22"/>
        </w:rPr>
        <w:t xml:space="preserve"> y 3</w:t>
      </w:r>
      <w:r w:rsidRPr="001D24BE">
        <w:rPr>
          <w:rFonts w:ascii="Arial" w:eastAsia="Calibri" w:hAnsi="Arial" w:cs="Arial"/>
          <w:bCs/>
          <w:sz w:val="22"/>
        </w:rPr>
        <w:t>–, como en los de selección abreviada de menor cuantía</w:t>
      </w:r>
      <w:r w:rsidR="00554D93">
        <w:rPr>
          <w:rFonts w:ascii="Arial" w:eastAsia="Calibri" w:hAnsi="Arial" w:cs="Arial"/>
          <w:bCs/>
          <w:sz w:val="22"/>
        </w:rPr>
        <w:t xml:space="preserve"> –versiones 1 y 2–</w:t>
      </w:r>
      <w:r w:rsidRPr="001D24BE">
        <w:rPr>
          <w:rFonts w:ascii="Arial" w:eastAsia="Calibri" w:hAnsi="Arial" w:cs="Arial"/>
          <w:bCs/>
          <w:sz w:val="22"/>
        </w:rPr>
        <w:t>, consta de 25 cláusulas orientadas a servir de insumo para el contrato que finalmente será suscrito por las partes del contrato.</w:t>
      </w:r>
      <w:r w:rsidR="00554D93">
        <w:rPr>
          <w:rFonts w:ascii="Arial" w:eastAsia="Calibri" w:hAnsi="Arial" w:cs="Arial"/>
          <w:bCs/>
          <w:sz w:val="22"/>
        </w:rPr>
        <w:t xml:space="preserve"> </w:t>
      </w:r>
      <w:r w:rsidR="00FF0F91">
        <w:rPr>
          <w:rFonts w:ascii="Arial" w:eastAsia="Calibri" w:hAnsi="Arial" w:cs="Arial"/>
          <w:bCs/>
          <w:sz w:val="22"/>
        </w:rPr>
        <w:t>Por su parte, el anexo respectivo relacionado con los documentos tipo de concurso de méritos para seleccionar a</w:t>
      </w:r>
      <w:r w:rsidR="00554D93">
        <w:rPr>
          <w:rFonts w:ascii="Arial" w:eastAsia="Calibri" w:hAnsi="Arial" w:cs="Arial"/>
          <w:bCs/>
          <w:sz w:val="22"/>
        </w:rPr>
        <w:t xml:space="preserve"> interventor</w:t>
      </w:r>
      <w:r w:rsidR="00FF0F91">
        <w:rPr>
          <w:rFonts w:ascii="Arial" w:eastAsia="Calibri" w:hAnsi="Arial" w:cs="Arial"/>
          <w:bCs/>
          <w:sz w:val="22"/>
        </w:rPr>
        <w:t xml:space="preserve">es de obra pública de infraestructura de transporte </w:t>
      </w:r>
      <w:r w:rsidR="00554D93">
        <w:rPr>
          <w:rFonts w:ascii="Arial" w:eastAsia="Calibri" w:hAnsi="Arial" w:cs="Arial"/>
          <w:bCs/>
          <w:sz w:val="22"/>
        </w:rPr>
        <w:t>cuenta con 24 cláusulas.</w:t>
      </w:r>
      <w:r w:rsidRPr="001D24BE">
        <w:rPr>
          <w:rFonts w:ascii="Arial" w:eastAsia="Calibri" w:hAnsi="Arial" w:cs="Arial"/>
          <w:bCs/>
          <w:sz w:val="22"/>
        </w:rPr>
        <w:t xml:space="preserve"> </w:t>
      </w:r>
    </w:p>
    <w:p w14:paraId="5211019A" w14:textId="2E8E6274" w:rsidR="00C33B62" w:rsidRPr="001D24BE" w:rsidRDefault="00112852" w:rsidP="00C33B62">
      <w:pPr>
        <w:spacing w:before="120" w:after="120" w:line="276" w:lineRule="auto"/>
        <w:ind w:firstLine="709"/>
        <w:jc w:val="both"/>
        <w:rPr>
          <w:rFonts w:ascii="Arial" w:eastAsia="Calibri" w:hAnsi="Arial" w:cs="Arial"/>
          <w:bCs/>
          <w:sz w:val="22"/>
        </w:rPr>
      </w:pPr>
      <w:r>
        <w:rPr>
          <w:rFonts w:ascii="Arial" w:eastAsia="Calibri" w:hAnsi="Arial" w:cs="Arial"/>
          <w:bCs/>
          <w:sz w:val="22"/>
        </w:rPr>
        <w:t>De esta manera</w:t>
      </w:r>
      <w:r w:rsidR="00C33B62" w:rsidRPr="001D24BE">
        <w:rPr>
          <w:rFonts w:ascii="Arial" w:eastAsia="Calibri" w:hAnsi="Arial" w:cs="Arial"/>
          <w:bCs/>
          <w:sz w:val="22"/>
        </w:rPr>
        <w:t xml:space="preserve">, dentro de las cláusulas que conforman este documento encontramos una serie de apartados grises entre corchetes destinados a que las entidades estatales, en el marco de la autonomía que les corresponde, </w:t>
      </w:r>
      <w:r w:rsidR="00C33B62">
        <w:rPr>
          <w:rFonts w:ascii="Arial" w:eastAsia="Calibri" w:hAnsi="Arial" w:cs="Arial"/>
          <w:bCs/>
          <w:sz w:val="22"/>
        </w:rPr>
        <w:t>dispongan</w:t>
      </w:r>
      <w:r w:rsidR="00C33B62" w:rsidRPr="001D24BE">
        <w:rPr>
          <w:rFonts w:ascii="Arial" w:eastAsia="Calibri" w:hAnsi="Arial" w:cs="Arial"/>
          <w:bCs/>
          <w:sz w:val="22"/>
        </w:rPr>
        <w:t xml:space="preserve"> en ellos información relativa a las necesidades que pretenden satisfacer, el objeto a contratar y</w:t>
      </w:r>
      <w:r>
        <w:rPr>
          <w:rFonts w:ascii="Arial" w:eastAsia="Calibri" w:hAnsi="Arial" w:cs="Arial"/>
          <w:bCs/>
          <w:sz w:val="22"/>
        </w:rPr>
        <w:t>,</w:t>
      </w:r>
      <w:r w:rsidR="00C33B62" w:rsidRPr="001D24BE">
        <w:rPr>
          <w:rFonts w:ascii="Arial" w:eastAsia="Calibri" w:hAnsi="Arial" w:cs="Arial"/>
          <w:bCs/>
          <w:sz w:val="22"/>
        </w:rPr>
        <w:t xml:space="preserve"> en general</w:t>
      </w:r>
      <w:r>
        <w:rPr>
          <w:rFonts w:ascii="Arial" w:eastAsia="Calibri" w:hAnsi="Arial" w:cs="Arial"/>
          <w:bCs/>
          <w:sz w:val="22"/>
        </w:rPr>
        <w:t>,</w:t>
      </w:r>
      <w:r w:rsidR="00C33B62" w:rsidRPr="001D24BE">
        <w:rPr>
          <w:rFonts w:ascii="Arial" w:eastAsia="Calibri" w:hAnsi="Arial" w:cs="Arial"/>
          <w:bCs/>
          <w:sz w:val="22"/>
        </w:rPr>
        <w:t xml:space="preserve"> información necesaria para regular la relación contractual, partiendo de los aspectos más </w:t>
      </w:r>
      <w:r w:rsidR="00C33B62" w:rsidRPr="001D24BE">
        <w:rPr>
          <w:rFonts w:ascii="Arial" w:eastAsia="Calibri" w:hAnsi="Arial" w:cs="Arial"/>
          <w:bCs/>
          <w:sz w:val="22"/>
        </w:rPr>
        <w:lastRenderedPageBreak/>
        <w:t xml:space="preserve">básicos como el objeto, el plazo, la forma de pago, las obligaciones, etc., a partir de opciones, alternativas y sugerencias de cláusulas prestablecidas en el Anexo 5.  </w:t>
      </w:r>
    </w:p>
    <w:p w14:paraId="1D0629E9" w14:textId="21ABD13C" w:rsidR="009D5279" w:rsidRDefault="00C33B62" w:rsidP="009D5279">
      <w:pPr>
        <w:spacing w:line="276" w:lineRule="auto"/>
        <w:ind w:firstLine="709"/>
        <w:jc w:val="both"/>
        <w:rPr>
          <w:rFonts w:ascii="Arial" w:eastAsia="Calibri" w:hAnsi="Arial" w:cs="Arial"/>
          <w:bCs/>
          <w:sz w:val="22"/>
        </w:rPr>
      </w:pPr>
      <w:r w:rsidRPr="001D24BE">
        <w:rPr>
          <w:rFonts w:ascii="Arial" w:eastAsia="Calibri" w:hAnsi="Arial" w:cs="Arial"/>
          <w:bCs/>
          <w:sz w:val="22"/>
        </w:rPr>
        <w:t>Sobre el contenido del Anexo 5,</w:t>
      </w:r>
      <w:r w:rsidR="00833D8C">
        <w:rPr>
          <w:rFonts w:ascii="Arial" w:eastAsia="Calibri" w:hAnsi="Arial" w:cs="Arial"/>
          <w:bCs/>
          <w:sz w:val="22"/>
        </w:rPr>
        <w:t xml:space="preserve"> </w:t>
      </w:r>
      <w:r w:rsidR="00833D8C" w:rsidRPr="006B04C0">
        <w:rPr>
          <w:rFonts w:ascii="Arial" w:eastAsia="Calibri" w:hAnsi="Arial" w:cs="Arial"/>
          <w:bCs/>
          <w:sz w:val="22"/>
        </w:rPr>
        <w:t>de forma uniforme en los documentos tipo</w:t>
      </w:r>
      <w:r w:rsidR="00554D93" w:rsidRPr="006B04C0">
        <w:rPr>
          <w:rFonts w:ascii="Arial" w:eastAsia="Calibri" w:hAnsi="Arial" w:cs="Arial"/>
          <w:bCs/>
          <w:sz w:val="22"/>
        </w:rPr>
        <w:t xml:space="preserve"> expedidos por la Agencia para </w:t>
      </w:r>
      <w:r w:rsidR="00112852">
        <w:rPr>
          <w:rFonts w:ascii="Arial" w:eastAsia="Calibri" w:hAnsi="Arial" w:cs="Arial"/>
          <w:bCs/>
          <w:sz w:val="22"/>
        </w:rPr>
        <w:t>proyectos de</w:t>
      </w:r>
      <w:r w:rsidR="00112852" w:rsidRPr="006B04C0">
        <w:rPr>
          <w:rFonts w:ascii="Arial" w:eastAsia="Calibri" w:hAnsi="Arial" w:cs="Arial"/>
          <w:bCs/>
          <w:sz w:val="22"/>
        </w:rPr>
        <w:t xml:space="preserve"> </w:t>
      </w:r>
      <w:r w:rsidR="00554D93" w:rsidRPr="006B04C0">
        <w:rPr>
          <w:rFonts w:ascii="Arial" w:eastAsia="Calibri" w:hAnsi="Arial" w:cs="Arial"/>
          <w:bCs/>
          <w:sz w:val="22"/>
        </w:rPr>
        <w:t xml:space="preserve">obra pública de infraestructura de transporte que se contrate mediante </w:t>
      </w:r>
      <w:r w:rsidR="00112852">
        <w:rPr>
          <w:rFonts w:ascii="Arial" w:eastAsia="Calibri" w:hAnsi="Arial" w:cs="Arial"/>
          <w:bCs/>
          <w:sz w:val="22"/>
        </w:rPr>
        <w:t>licitación pública</w:t>
      </w:r>
      <w:r w:rsidR="00554D93" w:rsidRPr="006B04C0">
        <w:rPr>
          <w:rFonts w:ascii="Arial" w:eastAsia="Calibri" w:hAnsi="Arial" w:cs="Arial"/>
          <w:bCs/>
          <w:sz w:val="22"/>
        </w:rPr>
        <w:t>, selección abreviada de menor cuantía e interventoría</w:t>
      </w:r>
      <w:r w:rsidR="00833D8C" w:rsidRPr="006B04C0">
        <w:rPr>
          <w:rFonts w:ascii="Arial" w:eastAsia="Calibri" w:hAnsi="Arial" w:cs="Arial"/>
          <w:bCs/>
          <w:sz w:val="22"/>
        </w:rPr>
        <w:t>,</w:t>
      </w:r>
      <w:r w:rsidR="00554D93" w:rsidRPr="006B04C0">
        <w:rPr>
          <w:rFonts w:ascii="Arial" w:eastAsia="Calibri" w:hAnsi="Arial" w:cs="Arial"/>
          <w:bCs/>
          <w:sz w:val="22"/>
        </w:rPr>
        <w:t xml:space="preserve"> al</w:t>
      </w:r>
      <w:r w:rsidR="00554D93">
        <w:rPr>
          <w:rFonts w:ascii="Arial" w:eastAsia="Calibri" w:hAnsi="Arial" w:cs="Arial"/>
          <w:bCs/>
          <w:sz w:val="22"/>
        </w:rPr>
        <w:t xml:space="preserve"> igual que en el caso de los procesos de licitación para obras de infraestructura de agua potable y saneamiento básico, </w:t>
      </w:r>
      <w:r w:rsidR="00833D8C">
        <w:rPr>
          <w:rFonts w:ascii="Arial" w:eastAsia="Calibri" w:hAnsi="Arial" w:cs="Arial"/>
          <w:bCs/>
          <w:sz w:val="22"/>
        </w:rPr>
        <w:t xml:space="preserve">se evidencia </w:t>
      </w:r>
      <w:r w:rsidR="009D5279">
        <w:rPr>
          <w:rFonts w:ascii="Arial" w:eastAsia="Calibri" w:hAnsi="Arial" w:cs="Arial"/>
          <w:bCs/>
          <w:sz w:val="22"/>
        </w:rPr>
        <w:t xml:space="preserve">que </w:t>
      </w:r>
      <w:r w:rsidR="00491FEA">
        <w:rPr>
          <w:rFonts w:ascii="Arial" w:eastAsia="Calibri" w:hAnsi="Arial" w:cs="Arial"/>
          <w:bCs/>
          <w:sz w:val="22"/>
        </w:rPr>
        <w:t xml:space="preserve">uno de esos </w:t>
      </w:r>
      <w:r w:rsidR="009D5279">
        <w:rPr>
          <w:rFonts w:ascii="Arial" w:eastAsia="Calibri" w:hAnsi="Arial" w:cs="Arial"/>
          <w:bCs/>
          <w:sz w:val="22"/>
        </w:rPr>
        <w:t>apartado</w:t>
      </w:r>
      <w:r w:rsidR="00491FEA">
        <w:rPr>
          <w:rFonts w:ascii="Arial" w:eastAsia="Calibri" w:hAnsi="Arial" w:cs="Arial"/>
          <w:bCs/>
          <w:sz w:val="22"/>
        </w:rPr>
        <w:t>s</w:t>
      </w:r>
      <w:r w:rsidR="009D5279">
        <w:rPr>
          <w:rFonts w:ascii="Arial" w:eastAsia="Calibri" w:hAnsi="Arial" w:cs="Arial"/>
          <w:bCs/>
          <w:sz w:val="22"/>
        </w:rPr>
        <w:t xml:space="preserve"> </w:t>
      </w:r>
      <w:r w:rsidR="00491FEA">
        <w:rPr>
          <w:rFonts w:ascii="Arial" w:eastAsia="Calibri" w:hAnsi="Arial" w:cs="Arial"/>
          <w:bCs/>
          <w:sz w:val="22"/>
        </w:rPr>
        <w:t xml:space="preserve">grises </w:t>
      </w:r>
      <w:r w:rsidR="009D5279">
        <w:rPr>
          <w:rFonts w:ascii="Arial" w:eastAsia="Calibri" w:hAnsi="Arial" w:cs="Arial"/>
          <w:bCs/>
          <w:sz w:val="22"/>
        </w:rPr>
        <w:t xml:space="preserve">pone de presente lo siguiente, con relación al proceso de contratación que se </w:t>
      </w:r>
      <w:r w:rsidR="00112852">
        <w:rPr>
          <w:rFonts w:ascii="Arial" w:eastAsia="Calibri" w:hAnsi="Arial" w:cs="Arial"/>
          <w:bCs/>
          <w:sz w:val="22"/>
        </w:rPr>
        <w:t>adelante mediante el</w:t>
      </w:r>
      <w:r w:rsidR="009D5279">
        <w:rPr>
          <w:rFonts w:ascii="Arial" w:eastAsia="Calibri" w:hAnsi="Arial" w:cs="Arial"/>
          <w:bCs/>
          <w:sz w:val="22"/>
        </w:rPr>
        <w:t xml:space="preserve"> </w:t>
      </w:r>
      <w:r w:rsidR="00EA41E8">
        <w:rPr>
          <w:rFonts w:ascii="Arial" w:eastAsia="Calibri" w:hAnsi="Arial" w:cs="Arial"/>
          <w:bCs/>
          <w:sz w:val="22"/>
        </w:rPr>
        <w:t xml:space="preserve">SECOP </w:t>
      </w:r>
      <w:r w:rsidR="00491FEA">
        <w:rPr>
          <w:rFonts w:ascii="Arial" w:eastAsia="Calibri" w:hAnsi="Arial" w:cs="Arial"/>
          <w:bCs/>
          <w:sz w:val="22"/>
        </w:rPr>
        <w:t>II</w:t>
      </w:r>
      <w:r w:rsidR="009D5279">
        <w:rPr>
          <w:rFonts w:ascii="Arial" w:eastAsia="Calibri" w:hAnsi="Arial" w:cs="Arial"/>
          <w:bCs/>
          <w:sz w:val="22"/>
        </w:rPr>
        <w:t xml:space="preserve">: </w:t>
      </w:r>
    </w:p>
    <w:p w14:paraId="2CB127AC" w14:textId="77777777" w:rsidR="009D5279" w:rsidRDefault="009D5279" w:rsidP="009D5279">
      <w:pPr>
        <w:spacing w:line="276" w:lineRule="auto"/>
        <w:ind w:firstLine="709"/>
        <w:jc w:val="both"/>
        <w:rPr>
          <w:rFonts w:ascii="Arial" w:eastAsia="Calibri" w:hAnsi="Arial" w:cs="Arial"/>
          <w:bCs/>
          <w:sz w:val="22"/>
        </w:rPr>
      </w:pPr>
    </w:p>
    <w:p w14:paraId="1A3E3FB4" w14:textId="234BAF3A" w:rsidR="009D5279" w:rsidRDefault="009D5279" w:rsidP="009D5279">
      <w:pPr>
        <w:ind w:left="709" w:right="709"/>
        <w:jc w:val="both"/>
        <w:rPr>
          <w:rFonts w:ascii="Arial" w:hAnsi="Arial" w:cs="Arial"/>
          <w:sz w:val="21"/>
          <w:szCs w:val="21"/>
        </w:rPr>
      </w:pPr>
      <w:r w:rsidRPr="00F3225B">
        <w:rPr>
          <w:rFonts w:ascii="Arial" w:hAnsi="Arial" w:cs="Arial"/>
          <w:sz w:val="21"/>
          <w:szCs w:val="21"/>
          <w:highlight w:val="lightGray"/>
        </w:rPr>
        <w:t>[La entidad podrá ajustar el contenido del “Anexo 5- Minuta del Contrato” cuando el contrato se celebre por medio de la plataforma del SECOP II, de tal forma que se evite la duplicidad de información. De este modo, las cláusulas que están en la plataforma del SECOP II no se incluirán en esta minuta de contrato, sin perjuicio de atender su contenido.]</w:t>
      </w:r>
    </w:p>
    <w:p w14:paraId="377B137A" w14:textId="07A70FD5" w:rsidR="00EA41E8" w:rsidRDefault="00EA41E8" w:rsidP="009D5279">
      <w:pPr>
        <w:ind w:left="709" w:right="709"/>
        <w:jc w:val="both"/>
        <w:rPr>
          <w:rFonts w:ascii="Arial" w:hAnsi="Arial" w:cs="Arial"/>
          <w:sz w:val="21"/>
          <w:szCs w:val="21"/>
        </w:rPr>
      </w:pPr>
    </w:p>
    <w:p w14:paraId="2F17100F" w14:textId="61504347" w:rsidR="00EA41E8" w:rsidRDefault="00EA41E8" w:rsidP="00DD0D94">
      <w:pPr>
        <w:spacing w:after="120" w:line="276" w:lineRule="auto"/>
        <w:ind w:firstLine="709"/>
        <w:jc w:val="both"/>
        <w:rPr>
          <w:rFonts w:ascii="Arial" w:hAnsi="Arial" w:cs="Arial"/>
          <w:sz w:val="22"/>
          <w:szCs w:val="22"/>
        </w:rPr>
      </w:pPr>
      <w:r>
        <w:rPr>
          <w:rFonts w:ascii="Arial" w:hAnsi="Arial" w:cs="Arial"/>
          <w:sz w:val="22"/>
          <w:szCs w:val="22"/>
        </w:rPr>
        <w:t>En virtud de lo explicado con anterioridad</w:t>
      </w:r>
      <w:r w:rsidR="00112852">
        <w:rPr>
          <w:rFonts w:ascii="Arial" w:hAnsi="Arial" w:cs="Arial"/>
          <w:sz w:val="22"/>
          <w:szCs w:val="22"/>
        </w:rPr>
        <w:t>,</w:t>
      </w:r>
      <w:r>
        <w:rPr>
          <w:rFonts w:ascii="Arial" w:hAnsi="Arial" w:cs="Arial"/>
          <w:sz w:val="22"/>
          <w:szCs w:val="22"/>
        </w:rPr>
        <w:t xml:space="preserve"> estos espacios </w:t>
      </w:r>
      <w:r w:rsidR="00112852">
        <w:rPr>
          <w:rFonts w:ascii="Arial" w:hAnsi="Arial" w:cs="Arial"/>
          <w:sz w:val="22"/>
          <w:szCs w:val="22"/>
        </w:rPr>
        <w:t xml:space="preserve">–entre corchetes y resaltados en gris– contienen instrucciones o espacios que </w:t>
      </w:r>
      <w:r>
        <w:rPr>
          <w:rFonts w:ascii="Arial" w:hAnsi="Arial" w:cs="Arial"/>
          <w:sz w:val="22"/>
          <w:szCs w:val="22"/>
        </w:rPr>
        <w:t>podrán llenarse de acuerdo con lo que la entidad</w:t>
      </w:r>
      <w:r w:rsidR="00833D8C">
        <w:rPr>
          <w:rFonts w:ascii="Arial" w:hAnsi="Arial" w:cs="Arial"/>
          <w:sz w:val="22"/>
          <w:szCs w:val="22"/>
        </w:rPr>
        <w:t xml:space="preserve"> estatal considere</w:t>
      </w:r>
      <w:r>
        <w:rPr>
          <w:rFonts w:ascii="Arial" w:hAnsi="Arial" w:cs="Arial"/>
          <w:sz w:val="22"/>
          <w:szCs w:val="22"/>
        </w:rPr>
        <w:t xml:space="preserve"> conveniente para el proceso que pretende adelantar, es por ello que, en virtud de la </w:t>
      </w:r>
      <w:r w:rsidR="00112852">
        <w:rPr>
          <w:rFonts w:ascii="Arial" w:hAnsi="Arial" w:cs="Arial"/>
          <w:sz w:val="22"/>
          <w:szCs w:val="22"/>
        </w:rPr>
        <w:t>discrecionalidad</w:t>
      </w:r>
      <w:r>
        <w:rPr>
          <w:rFonts w:ascii="Arial" w:hAnsi="Arial" w:cs="Arial"/>
          <w:sz w:val="22"/>
          <w:szCs w:val="22"/>
        </w:rPr>
        <w:t xml:space="preserve"> con la que cuenta la entidad</w:t>
      </w:r>
      <w:r w:rsidR="00833D8C">
        <w:rPr>
          <w:rFonts w:ascii="Arial" w:hAnsi="Arial" w:cs="Arial"/>
          <w:sz w:val="22"/>
          <w:szCs w:val="22"/>
        </w:rPr>
        <w:t>,</w:t>
      </w:r>
      <w:r>
        <w:rPr>
          <w:rFonts w:ascii="Arial" w:hAnsi="Arial" w:cs="Arial"/>
          <w:sz w:val="22"/>
          <w:szCs w:val="22"/>
        </w:rPr>
        <w:t xml:space="preserve"> y </w:t>
      </w:r>
      <w:r w:rsidR="00833D8C">
        <w:rPr>
          <w:rFonts w:ascii="Arial" w:hAnsi="Arial" w:cs="Arial"/>
          <w:sz w:val="22"/>
          <w:szCs w:val="22"/>
        </w:rPr>
        <w:t>según</w:t>
      </w:r>
      <w:r>
        <w:rPr>
          <w:rFonts w:ascii="Arial" w:hAnsi="Arial" w:cs="Arial"/>
          <w:sz w:val="22"/>
          <w:szCs w:val="22"/>
        </w:rPr>
        <w:t xml:space="preserve"> contrat</w:t>
      </w:r>
      <w:r w:rsidR="00833D8C">
        <w:rPr>
          <w:rFonts w:ascii="Arial" w:hAnsi="Arial" w:cs="Arial"/>
          <w:sz w:val="22"/>
          <w:szCs w:val="22"/>
        </w:rPr>
        <w:t>e</w:t>
      </w:r>
      <w:r>
        <w:rPr>
          <w:rFonts w:ascii="Arial" w:hAnsi="Arial" w:cs="Arial"/>
          <w:sz w:val="22"/>
          <w:szCs w:val="22"/>
        </w:rPr>
        <w:t xml:space="preserve"> o no mediante la plataforma de SECOP </w:t>
      </w:r>
      <w:r w:rsidR="00833D8C">
        <w:rPr>
          <w:rFonts w:ascii="Arial" w:hAnsi="Arial" w:cs="Arial"/>
          <w:sz w:val="22"/>
          <w:szCs w:val="22"/>
        </w:rPr>
        <w:t>II,</w:t>
      </w:r>
      <w:r>
        <w:rPr>
          <w:rFonts w:ascii="Arial" w:hAnsi="Arial" w:cs="Arial"/>
          <w:sz w:val="22"/>
          <w:szCs w:val="22"/>
        </w:rPr>
        <w:t xml:space="preserve"> incluirán o no las </w:t>
      </w:r>
      <w:r w:rsidR="00E02A6A">
        <w:rPr>
          <w:rFonts w:ascii="Arial" w:hAnsi="Arial" w:cs="Arial"/>
          <w:sz w:val="22"/>
          <w:szCs w:val="22"/>
        </w:rPr>
        <w:t>cláusulas de forma tal que se evite duplicidad</w:t>
      </w:r>
      <w:r w:rsidR="004853AF">
        <w:rPr>
          <w:rFonts w:ascii="Arial" w:hAnsi="Arial" w:cs="Arial"/>
          <w:sz w:val="22"/>
          <w:szCs w:val="22"/>
        </w:rPr>
        <w:t xml:space="preserve"> de cláusulas o contenido que directamente se diligencien en la plataforma electrónica</w:t>
      </w:r>
      <w:r w:rsidR="00D8778D">
        <w:rPr>
          <w:rStyle w:val="Refdenotaalpie"/>
          <w:rFonts w:ascii="Arial" w:hAnsi="Arial" w:cs="Arial"/>
          <w:sz w:val="22"/>
          <w:szCs w:val="22"/>
        </w:rPr>
        <w:footnoteReference w:id="8"/>
      </w:r>
      <w:r w:rsidR="004853AF">
        <w:rPr>
          <w:rFonts w:ascii="Arial" w:hAnsi="Arial" w:cs="Arial"/>
          <w:sz w:val="22"/>
          <w:szCs w:val="22"/>
        </w:rPr>
        <w:t>.</w:t>
      </w:r>
    </w:p>
    <w:p w14:paraId="37904C7A" w14:textId="7E2C7A1E" w:rsidR="00DD0D94" w:rsidRDefault="00DD0D94" w:rsidP="00DD0D94">
      <w:pPr>
        <w:spacing w:after="120" w:line="276" w:lineRule="auto"/>
        <w:ind w:firstLine="709"/>
        <w:jc w:val="both"/>
        <w:rPr>
          <w:rFonts w:ascii="Arial" w:hAnsi="Arial" w:cs="Arial"/>
          <w:sz w:val="22"/>
          <w:szCs w:val="22"/>
        </w:rPr>
      </w:pPr>
      <w:r>
        <w:rPr>
          <w:rFonts w:ascii="Arial" w:hAnsi="Arial" w:cs="Arial"/>
          <w:sz w:val="22"/>
          <w:szCs w:val="22"/>
        </w:rPr>
        <w:t>De la misma manera es importante</w:t>
      </w:r>
      <w:r w:rsidR="00112852">
        <w:rPr>
          <w:rFonts w:ascii="Arial" w:hAnsi="Arial" w:cs="Arial"/>
          <w:sz w:val="22"/>
          <w:szCs w:val="22"/>
        </w:rPr>
        <w:t xml:space="preserve"> aclarar</w:t>
      </w:r>
      <w:r w:rsidR="00E02A6A">
        <w:rPr>
          <w:rFonts w:ascii="Arial" w:hAnsi="Arial" w:cs="Arial"/>
          <w:sz w:val="22"/>
          <w:szCs w:val="22"/>
        </w:rPr>
        <w:t>,</w:t>
      </w:r>
      <w:r>
        <w:rPr>
          <w:rFonts w:ascii="Arial" w:hAnsi="Arial" w:cs="Arial"/>
          <w:sz w:val="22"/>
          <w:szCs w:val="22"/>
        </w:rPr>
        <w:t xml:space="preserve"> para el presente concepto</w:t>
      </w:r>
      <w:r w:rsidR="00E02A6A">
        <w:rPr>
          <w:rFonts w:ascii="Arial" w:hAnsi="Arial" w:cs="Arial"/>
          <w:sz w:val="22"/>
          <w:szCs w:val="22"/>
        </w:rPr>
        <w:t>,</w:t>
      </w:r>
      <w:r>
        <w:rPr>
          <w:rFonts w:ascii="Arial" w:hAnsi="Arial" w:cs="Arial"/>
          <w:sz w:val="22"/>
          <w:szCs w:val="22"/>
        </w:rPr>
        <w:t xml:space="preserve"> el tema de la firma en los documentos solicitados para llevar a cabo el proceso de contratación</w:t>
      </w:r>
      <w:r w:rsidR="00E02A6A">
        <w:rPr>
          <w:rFonts w:ascii="Arial" w:hAnsi="Arial" w:cs="Arial"/>
          <w:sz w:val="22"/>
          <w:szCs w:val="22"/>
        </w:rPr>
        <w:t>. Así, tal como se puede a</w:t>
      </w:r>
      <w:r>
        <w:rPr>
          <w:rFonts w:ascii="Arial" w:hAnsi="Arial" w:cs="Arial"/>
          <w:sz w:val="22"/>
          <w:szCs w:val="22"/>
        </w:rPr>
        <w:t xml:space="preserve">dvertir en el mencionado </w:t>
      </w:r>
      <w:r w:rsidR="00E02A6A">
        <w:rPr>
          <w:rFonts w:ascii="Arial" w:hAnsi="Arial" w:cs="Arial"/>
          <w:sz w:val="22"/>
          <w:szCs w:val="22"/>
        </w:rPr>
        <w:t>A</w:t>
      </w:r>
      <w:r>
        <w:rPr>
          <w:rFonts w:ascii="Arial" w:hAnsi="Arial" w:cs="Arial"/>
          <w:sz w:val="22"/>
          <w:szCs w:val="22"/>
        </w:rPr>
        <w:t xml:space="preserve">nexo 5 –minuta– existe en su parte final otro apartado gris que abarcaría dicho tema, cuyo contenido es el siguiente: </w:t>
      </w:r>
    </w:p>
    <w:p w14:paraId="6C5E8881" w14:textId="77777777" w:rsidR="00DD0D94" w:rsidRPr="00834CF6" w:rsidRDefault="00DD0D94" w:rsidP="00DD0D94">
      <w:pPr>
        <w:pStyle w:val="Ttulo"/>
        <w:numPr>
          <w:ilvl w:val="0"/>
          <w:numId w:val="0"/>
        </w:numPr>
        <w:rPr>
          <w:rFonts w:asciiTheme="minorHAnsi" w:eastAsia="Times New Roman" w:hAnsiTheme="minorHAnsi" w:cstheme="minorHAnsi"/>
          <w:color w:val="auto"/>
          <w:szCs w:val="20"/>
          <w:lang w:val="es-ES" w:eastAsia="es-CO"/>
        </w:rPr>
      </w:pPr>
    </w:p>
    <w:p w14:paraId="01A7A997" w14:textId="1821A88D" w:rsidR="00DD0D94" w:rsidRDefault="00DD0D94" w:rsidP="00DD0D94">
      <w:pPr>
        <w:pStyle w:val="Ttulo"/>
        <w:numPr>
          <w:ilvl w:val="0"/>
          <w:numId w:val="0"/>
        </w:numPr>
        <w:ind w:left="709" w:right="709"/>
        <w:rPr>
          <w:rFonts w:ascii="Arial" w:eastAsia="Times New Roman" w:hAnsi="Arial" w:cs="Arial"/>
          <w:color w:val="auto"/>
          <w:spacing w:val="0"/>
          <w:kern w:val="0"/>
          <w:sz w:val="21"/>
          <w:szCs w:val="21"/>
          <w:lang w:val="es-ES" w:eastAsia="es-CO"/>
        </w:rPr>
      </w:pPr>
      <w:r w:rsidRPr="00F3225B">
        <w:rPr>
          <w:rFonts w:ascii="Arial" w:hAnsi="Arial" w:cs="Arial"/>
          <w:color w:val="auto"/>
          <w:sz w:val="21"/>
          <w:szCs w:val="21"/>
          <w:highlight w:val="lightGray"/>
          <w:lang w:val="es-ES" w:eastAsia="es-CO"/>
        </w:rPr>
        <w:t>[No incluir la firma manuscrita cuando el contrato se celebre por medio del SECOP II]</w:t>
      </w:r>
      <w:r w:rsidRPr="00E02A6A">
        <w:rPr>
          <w:rFonts w:ascii="Arial" w:hAnsi="Arial" w:cs="Arial"/>
          <w:color w:val="auto"/>
          <w:sz w:val="21"/>
          <w:szCs w:val="21"/>
          <w:lang w:val="es-ES" w:eastAsia="es-CO"/>
        </w:rPr>
        <w:t xml:space="preserve"> </w:t>
      </w:r>
      <w:r w:rsidRPr="00E02A6A">
        <w:rPr>
          <w:rFonts w:ascii="Arial" w:eastAsia="Times New Roman" w:hAnsi="Arial" w:cs="Arial"/>
          <w:color w:val="auto"/>
          <w:spacing w:val="0"/>
          <w:kern w:val="0"/>
          <w:sz w:val="21"/>
          <w:szCs w:val="21"/>
          <w:lang w:val="es-ES" w:eastAsia="es-CO"/>
        </w:rPr>
        <w:t xml:space="preserve">En constancia se firma el presente contrato en </w:t>
      </w:r>
      <w:r w:rsidRPr="00F3225B">
        <w:rPr>
          <w:rFonts w:ascii="Arial" w:eastAsia="Times New Roman" w:hAnsi="Arial" w:cs="Arial"/>
          <w:color w:val="auto"/>
          <w:spacing w:val="0"/>
          <w:kern w:val="0"/>
          <w:sz w:val="21"/>
          <w:szCs w:val="21"/>
          <w:highlight w:val="lightGray"/>
          <w:lang w:val="es-ES" w:eastAsia="es-CO"/>
        </w:rPr>
        <w:t>[señalar lugar de perfeccionamiento del contrato]</w:t>
      </w:r>
      <w:r w:rsidRPr="00E02A6A">
        <w:rPr>
          <w:rFonts w:ascii="Arial" w:eastAsia="Times New Roman" w:hAnsi="Arial" w:cs="Arial"/>
          <w:color w:val="auto"/>
          <w:spacing w:val="0"/>
          <w:kern w:val="0"/>
          <w:sz w:val="21"/>
          <w:szCs w:val="21"/>
          <w:lang w:val="es-ES" w:eastAsia="es-CO"/>
        </w:rPr>
        <w:t xml:space="preserve">, el </w:t>
      </w:r>
      <w:r w:rsidRPr="00F3225B">
        <w:rPr>
          <w:rFonts w:ascii="Arial" w:eastAsia="Times New Roman" w:hAnsi="Arial" w:cs="Arial"/>
          <w:color w:val="auto"/>
          <w:spacing w:val="0"/>
          <w:kern w:val="0"/>
          <w:sz w:val="21"/>
          <w:szCs w:val="21"/>
          <w:highlight w:val="lightGray"/>
          <w:lang w:val="es-ES" w:eastAsia="es-CO"/>
        </w:rPr>
        <w:t>[indicar la fecha de suscripción]</w:t>
      </w:r>
    </w:p>
    <w:p w14:paraId="2EC374C8" w14:textId="5D32FCDB" w:rsidR="00E02A6A" w:rsidRDefault="00DD0D94" w:rsidP="00F3225B">
      <w:pPr>
        <w:spacing w:after="120" w:line="276" w:lineRule="auto"/>
        <w:ind w:firstLine="709"/>
        <w:jc w:val="both"/>
        <w:rPr>
          <w:rFonts w:ascii="Arial" w:hAnsi="Arial" w:cs="Arial"/>
          <w:sz w:val="22"/>
          <w:szCs w:val="22"/>
          <w:lang w:val="es-ES" w:eastAsia="es-CO"/>
        </w:rPr>
      </w:pPr>
      <w:r w:rsidRPr="00623378">
        <w:rPr>
          <w:rFonts w:ascii="Arial" w:hAnsi="Arial" w:cs="Arial"/>
          <w:sz w:val="22"/>
          <w:szCs w:val="22"/>
          <w:lang w:val="es-ES" w:eastAsia="es-CO"/>
        </w:rPr>
        <w:t>Puesto de presente lo anterior, es decir, que estos apartados se completar</w:t>
      </w:r>
      <w:r w:rsidR="00112852">
        <w:rPr>
          <w:rFonts w:ascii="Arial" w:hAnsi="Arial" w:cs="Arial"/>
          <w:sz w:val="22"/>
          <w:szCs w:val="22"/>
          <w:lang w:val="es-ES" w:eastAsia="es-CO"/>
        </w:rPr>
        <w:t>á</w:t>
      </w:r>
      <w:r w:rsidRPr="00623378">
        <w:rPr>
          <w:rFonts w:ascii="Arial" w:hAnsi="Arial" w:cs="Arial"/>
          <w:sz w:val="22"/>
          <w:szCs w:val="22"/>
          <w:lang w:val="es-ES" w:eastAsia="es-CO"/>
        </w:rPr>
        <w:t xml:space="preserve">n según </w:t>
      </w:r>
      <w:r w:rsidR="00112852">
        <w:rPr>
          <w:rFonts w:ascii="Arial" w:hAnsi="Arial" w:cs="Arial"/>
          <w:sz w:val="22"/>
          <w:szCs w:val="22"/>
          <w:lang w:val="es-ES" w:eastAsia="es-CO"/>
        </w:rPr>
        <w:t>lo que considere más conveniente</w:t>
      </w:r>
      <w:r w:rsidRPr="00623378">
        <w:rPr>
          <w:rFonts w:ascii="Arial" w:hAnsi="Arial" w:cs="Arial"/>
          <w:sz w:val="22"/>
          <w:szCs w:val="22"/>
          <w:lang w:val="es-ES" w:eastAsia="es-CO"/>
        </w:rPr>
        <w:t xml:space="preserve"> cada entidad contra</w:t>
      </w:r>
      <w:r>
        <w:rPr>
          <w:rFonts w:ascii="Arial" w:hAnsi="Arial" w:cs="Arial"/>
          <w:sz w:val="22"/>
          <w:szCs w:val="22"/>
          <w:lang w:val="es-ES" w:eastAsia="es-CO"/>
        </w:rPr>
        <w:t>tan</w:t>
      </w:r>
      <w:r w:rsidRPr="00623378">
        <w:rPr>
          <w:rFonts w:ascii="Arial" w:hAnsi="Arial" w:cs="Arial"/>
          <w:sz w:val="22"/>
          <w:szCs w:val="22"/>
          <w:lang w:val="es-ES" w:eastAsia="es-CO"/>
        </w:rPr>
        <w:t xml:space="preserve">te, </w:t>
      </w:r>
      <w:r w:rsidR="00112852">
        <w:rPr>
          <w:rFonts w:ascii="Arial" w:hAnsi="Arial" w:cs="Arial"/>
          <w:sz w:val="22"/>
          <w:szCs w:val="22"/>
          <w:lang w:val="es-ES" w:eastAsia="es-CO"/>
        </w:rPr>
        <w:t>cabe</w:t>
      </w:r>
      <w:r w:rsidR="00112852" w:rsidRPr="00623378">
        <w:rPr>
          <w:rFonts w:ascii="Arial" w:hAnsi="Arial" w:cs="Arial"/>
          <w:sz w:val="22"/>
          <w:szCs w:val="22"/>
          <w:lang w:val="es-ES" w:eastAsia="es-CO"/>
        </w:rPr>
        <w:t xml:space="preserve"> </w:t>
      </w:r>
      <w:r w:rsidRPr="00623378">
        <w:rPr>
          <w:rFonts w:ascii="Arial" w:hAnsi="Arial" w:cs="Arial"/>
          <w:sz w:val="22"/>
          <w:szCs w:val="22"/>
          <w:lang w:val="es-ES" w:eastAsia="es-CO"/>
        </w:rPr>
        <w:t xml:space="preserve">mencionar que la regla </w:t>
      </w:r>
      <w:r w:rsidRPr="00623378">
        <w:rPr>
          <w:rFonts w:ascii="Arial" w:hAnsi="Arial" w:cs="Arial"/>
          <w:sz w:val="22"/>
          <w:szCs w:val="22"/>
          <w:lang w:val="es-ES" w:eastAsia="es-CO"/>
        </w:rPr>
        <w:lastRenderedPageBreak/>
        <w:t>es clara</w:t>
      </w:r>
      <w:r w:rsidR="00112852">
        <w:rPr>
          <w:rFonts w:ascii="Arial" w:hAnsi="Arial" w:cs="Arial"/>
          <w:sz w:val="22"/>
          <w:szCs w:val="22"/>
          <w:lang w:val="es-ES" w:eastAsia="es-CO"/>
        </w:rPr>
        <w:t>:</w:t>
      </w:r>
      <w:r w:rsidRPr="00623378">
        <w:rPr>
          <w:rFonts w:ascii="Arial" w:hAnsi="Arial" w:cs="Arial"/>
          <w:sz w:val="22"/>
          <w:szCs w:val="22"/>
          <w:lang w:val="es-ES" w:eastAsia="es-CO"/>
        </w:rPr>
        <w:t xml:space="preserve"> la firma no </w:t>
      </w:r>
      <w:r w:rsidR="004853AF">
        <w:rPr>
          <w:rFonts w:ascii="Arial" w:hAnsi="Arial" w:cs="Arial"/>
          <w:sz w:val="22"/>
          <w:szCs w:val="22"/>
          <w:lang w:val="es-ES" w:eastAsia="es-CO"/>
        </w:rPr>
        <w:t xml:space="preserve">será </w:t>
      </w:r>
      <w:r w:rsidRPr="00623378">
        <w:rPr>
          <w:rFonts w:ascii="Arial" w:hAnsi="Arial" w:cs="Arial"/>
          <w:sz w:val="22"/>
          <w:szCs w:val="22"/>
          <w:lang w:val="es-ES" w:eastAsia="es-CO"/>
        </w:rPr>
        <w:t>manuscrita en los casos en que los contratos se celebren mediante la plataforma transaccional SECOP II</w:t>
      </w:r>
      <w:r>
        <w:rPr>
          <w:rFonts w:ascii="Arial" w:hAnsi="Arial" w:cs="Arial"/>
          <w:sz w:val="22"/>
          <w:szCs w:val="22"/>
          <w:lang w:val="es-ES" w:eastAsia="es-CO"/>
        </w:rPr>
        <w:t xml:space="preserve">. </w:t>
      </w:r>
    </w:p>
    <w:p w14:paraId="42E677DB" w14:textId="5714AFE6" w:rsidR="00DD0D94" w:rsidRPr="00623378" w:rsidRDefault="00E02A6A" w:rsidP="00623378">
      <w:pPr>
        <w:spacing w:line="276" w:lineRule="auto"/>
        <w:ind w:firstLine="709"/>
        <w:jc w:val="both"/>
        <w:rPr>
          <w:rFonts w:ascii="Arial" w:hAnsi="Arial" w:cs="Arial"/>
          <w:sz w:val="22"/>
          <w:szCs w:val="22"/>
          <w:lang w:val="es-ES" w:eastAsia="es-CO"/>
        </w:rPr>
      </w:pPr>
      <w:r>
        <w:rPr>
          <w:rFonts w:ascii="Arial" w:hAnsi="Arial" w:cs="Arial"/>
          <w:sz w:val="22"/>
          <w:szCs w:val="22"/>
          <w:lang w:val="es-ES" w:eastAsia="es-CO"/>
        </w:rPr>
        <w:t xml:space="preserve">Con el fin de reforzar las anteriores consideraciones, </w:t>
      </w:r>
      <w:r w:rsidR="00C35FD1">
        <w:rPr>
          <w:rFonts w:ascii="Arial" w:hAnsi="Arial" w:cs="Arial"/>
          <w:sz w:val="22"/>
          <w:szCs w:val="22"/>
          <w:lang w:val="es-ES" w:eastAsia="es-CO"/>
        </w:rPr>
        <w:t xml:space="preserve">se considera necesario presentar algunos argumentos en relación </w:t>
      </w:r>
      <w:r w:rsidR="004853AF">
        <w:rPr>
          <w:rFonts w:ascii="Arial" w:hAnsi="Arial" w:cs="Arial"/>
          <w:sz w:val="22"/>
          <w:szCs w:val="22"/>
          <w:lang w:val="es-ES" w:eastAsia="es-CO"/>
        </w:rPr>
        <w:t xml:space="preserve">con </w:t>
      </w:r>
      <w:r w:rsidR="00DD0D94">
        <w:rPr>
          <w:rFonts w:ascii="Arial" w:hAnsi="Arial" w:cs="Arial"/>
          <w:sz w:val="22"/>
          <w:szCs w:val="22"/>
          <w:lang w:val="es-ES" w:eastAsia="es-CO"/>
        </w:rPr>
        <w:t xml:space="preserve">las entidades estatales que tienen la obligación de contratar mediante la plataforma </w:t>
      </w:r>
      <w:r w:rsidR="00C35FD1">
        <w:rPr>
          <w:rFonts w:ascii="Arial" w:hAnsi="Arial" w:cs="Arial"/>
          <w:sz w:val="22"/>
          <w:szCs w:val="22"/>
          <w:lang w:val="es-ES" w:eastAsia="es-CO"/>
        </w:rPr>
        <w:t>SECOP II</w:t>
      </w:r>
      <w:r w:rsidR="004853AF">
        <w:rPr>
          <w:rFonts w:ascii="Arial" w:hAnsi="Arial" w:cs="Arial"/>
          <w:sz w:val="22"/>
          <w:szCs w:val="22"/>
          <w:lang w:val="es-ES" w:eastAsia="es-CO"/>
        </w:rPr>
        <w:t>,</w:t>
      </w:r>
      <w:r w:rsidR="00C35FD1">
        <w:rPr>
          <w:rFonts w:ascii="Arial" w:hAnsi="Arial" w:cs="Arial"/>
          <w:sz w:val="22"/>
          <w:szCs w:val="22"/>
          <w:lang w:val="es-ES" w:eastAsia="es-CO"/>
        </w:rPr>
        <w:t xml:space="preserve"> </w:t>
      </w:r>
      <w:r w:rsidR="00DD0D94">
        <w:rPr>
          <w:rFonts w:ascii="Arial" w:hAnsi="Arial" w:cs="Arial"/>
          <w:sz w:val="22"/>
          <w:szCs w:val="22"/>
          <w:lang w:val="es-ES" w:eastAsia="es-CO"/>
        </w:rPr>
        <w:t>y la</w:t>
      </w:r>
      <w:r w:rsidR="00C35FD1">
        <w:rPr>
          <w:rFonts w:ascii="Arial" w:hAnsi="Arial" w:cs="Arial"/>
          <w:sz w:val="22"/>
          <w:szCs w:val="22"/>
          <w:lang w:val="es-ES" w:eastAsia="es-CO"/>
        </w:rPr>
        <w:t xml:space="preserve"> finalidad y función de identificación de la</w:t>
      </w:r>
      <w:r w:rsidR="00DD0D94">
        <w:rPr>
          <w:rFonts w:ascii="Arial" w:hAnsi="Arial" w:cs="Arial"/>
          <w:sz w:val="22"/>
          <w:szCs w:val="22"/>
          <w:lang w:val="es-ES" w:eastAsia="es-CO"/>
        </w:rPr>
        <w:t xml:space="preserve"> firma </w:t>
      </w:r>
      <w:r w:rsidR="00C35FD1">
        <w:rPr>
          <w:rFonts w:ascii="Arial" w:hAnsi="Arial" w:cs="Arial"/>
          <w:sz w:val="22"/>
          <w:szCs w:val="22"/>
          <w:lang w:val="es-ES" w:eastAsia="es-CO"/>
        </w:rPr>
        <w:t>en la contratación estatal.</w:t>
      </w:r>
      <w:r w:rsidR="00DD0D94">
        <w:rPr>
          <w:rFonts w:ascii="Arial" w:hAnsi="Arial" w:cs="Arial"/>
          <w:sz w:val="22"/>
          <w:szCs w:val="22"/>
          <w:lang w:val="es-ES" w:eastAsia="es-CO"/>
        </w:rPr>
        <w:t xml:space="preserve"> </w:t>
      </w:r>
    </w:p>
    <w:p w14:paraId="6220902F" w14:textId="77777777" w:rsidR="009D5279" w:rsidRPr="00623378" w:rsidRDefault="009D5279" w:rsidP="00623378">
      <w:pPr>
        <w:ind w:left="709" w:right="709"/>
        <w:jc w:val="both"/>
        <w:rPr>
          <w:rFonts w:ascii="Arial" w:eastAsia="Calibri" w:hAnsi="Arial" w:cs="Arial"/>
          <w:bCs/>
          <w:sz w:val="21"/>
          <w:szCs w:val="21"/>
        </w:rPr>
      </w:pPr>
    </w:p>
    <w:p w14:paraId="43E56850" w14:textId="4828DB17" w:rsidR="00AB0071" w:rsidRPr="00623378" w:rsidRDefault="00DD0D94" w:rsidP="00623378">
      <w:pPr>
        <w:spacing w:line="276" w:lineRule="auto"/>
        <w:jc w:val="both"/>
        <w:rPr>
          <w:rFonts w:ascii="Arial" w:hAnsi="Arial" w:cs="Arial"/>
          <w:b/>
          <w:bCs/>
          <w:color w:val="000000" w:themeColor="text1"/>
          <w:sz w:val="22"/>
          <w:szCs w:val="22"/>
        </w:rPr>
      </w:pPr>
      <w:r w:rsidRPr="00623378">
        <w:rPr>
          <w:rFonts w:ascii="Arial" w:eastAsia="Calibri" w:hAnsi="Arial" w:cs="Arial"/>
          <w:b/>
          <w:bCs/>
          <w:sz w:val="22"/>
          <w:lang w:val="es-ES"/>
        </w:rPr>
        <w:t xml:space="preserve">2.3. </w:t>
      </w:r>
      <w:r w:rsidR="00AB0071" w:rsidRPr="00623378">
        <w:rPr>
          <w:rFonts w:ascii="Arial" w:hAnsi="Arial" w:cs="Arial"/>
          <w:b/>
          <w:bCs/>
          <w:color w:val="000000" w:themeColor="text1"/>
          <w:sz w:val="22"/>
        </w:rPr>
        <w:t>Uso de la firma manuscrita, digital y electrónica en la contratación estatal</w:t>
      </w:r>
      <w:r w:rsidR="00AB0071">
        <w:rPr>
          <w:rFonts w:ascii="Arial" w:hAnsi="Arial" w:cs="Arial"/>
          <w:b/>
          <w:bCs/>
          <w:color w:val="000000" w:themeColor="text1"/>
          <w:sz w:val="22"/>
        </w:rPr>
        <w:t xml:space="preserve"> </w:t>
      </w:r>
    </w:p>
    <w:p w14:paraId="4E5E8CFF" w14:textId="34A78D5B" w:rsidR="00DD0D94" w:rsidRDefault="00DD0D94" w:rsidP="00623378">
      <w:pPr>
        <w:spacing w:line="276" w:lineRule="auto"/>
        <w:jc w:val="both"/>
        <w:rPr>
          <w:rFonts w:ascii="Arial" w:hAnsi="Arial" w:cs="Arial"/>
          <w:b/>
          <w:bCs/>
          <w:sz w:val="22"/>
        </w:rPr>
      </w:pPr>
    </w:p>
    <w:p w14:paraId="6E0D81E7" w14:textId="77777777" w:rsidR="00687BDD" w:rsidRDefault="00687BDD" w:rsidP="00623378">
      <w:pPr>
        <w:spacing w:after="120" w:line="276" w:lineRule="auto"/>
        <w:jc w:val="both"/>
        <w:rPr>
          <w:rFonts w:ascii="Arial" w:eastAsia="Calibri" w:hAnsi="Arial" w:cs="Arial"/>
          <w:sz w:val="22"/>
        </w:rPr>
      </w:pPr>
      <w:r w:rsidRPr="00B60E43">
        <w:rPr>
          <w:rFonts w:ascii="Arial" w:eastAsia="Calibri" w:hAnsi="Arial" w:cs="Arial"/>
          <w:sz w:val="22"/>
          <w:lang w:val="es-ES_tradnl"/>
        </w:rPr>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Dentro del concepto general, la </w:t>
      </w:r>
      <w:r w:rsidRPr="00B60E43">
        <w:rPr>
          <w:rFonts w:ascii="Arial" w:eastAsia="Calibri" w:hAnsi="Arial" w:cs="Arial"/>
          <w:i/>
          <w:iCs/>
          <w:sz w:val="22"/>
          <w:lang w:val="es-ES_tradnl"/>
        </w:rPr>
        <w:t>firma manuscrita</w:t>
      </w:r>
      <w:r w:rsidRPr="00B60E43">
        <w:rPr>
          <w:rFonts w:ascii="Arial" w:eastAsia="Calibri" w:hAnsi="Arial" w:cs="Arial"/>
          <w:sz w:val="22"/>
          <w:lang w:val="es-ES_tradnl"/>
        </w:rPr>
        <w:t xml:space="preserve"> </w:t>
      </w:r>
      <w:r w:rsidRPr="00B60E43">
        <w:rPr>
          <w:rFonts w:ascii="Arial" w:eastAsia="Calibri" w:hAnsi="Arial" w:cs="Arial"/>
          <w:sz w:val="22"/>
        </w:rPr>
        <w:t>es «[…] un rasgo o signo impuesto del puño y letra de una persona, con el cual, de forma general y reiterada, se compromete con el contenido de los documentos que la consignan, o da fe de que lo allí registrado obedece a la realidad»</w:t>
      </w:r>
      <w:r w:rsidRPr="00B60E43">
        <w:rPr>
          <w:rStyle w:val="Refdenotaalpie"/>
          <w:rFonts w:ascii="Arial" w:eastAsia="Calibri" w:hAnsi="Arial" w:cs="Arial"/>
          <w:sz w:val="22"/>
        </w:rPr>
        <w:footnoteReference w:id="9"/>
      </w:r>
      <w:r w:rsidRPr="00B60E43">
        <w:rPr>
          <w:rFonts w:ascii="Arial" w:eastAsia="Calibri" w:hAnsi="Arial" w:cs="Arial"/>
          <w:sz w:val="22"/>
        </w:rPr>
        <w:t>.</w:t>
      </w:r>
    </w:p>
    <w:p w14:paraId="173D66E4" w14:textId="77777777" w:rsidR="00687BDD" w:rsidRDefault="00687BDD" w:rsidP="00623378">
      <w:pPr>
        <w:spacing w:before="120" w:after="120" w:line="276" w:lineRule="auto"/>
        <w:ind w:firstLine="709"/>
        <w:jc w:val="both"/>
        <w:rPr>
          <w:rFonts w:ascii="Arial" w:eastAsia="Calibri" w:hAnsi="Arial" w:cs="Arial"/>
          <w:sz w:val="22"/>
        </w:rPr>
      </w:pPr>
      <w:r w:rsidRPr="00B60E43">
        <w:rPr>
          <w:rFonts w:ascii="Arial" w:eastAsia="Calibri" w:hAnsi="Arial" w:cs="Arial"/>
          <w:sz w:val="22"/>
        </w:rPr>
        <w:t xml:space="preserve">Por otra parte, frente a la </w:t>
      </w:r>
      <w:r w:rsidRPr="00B60E43">
        <w:rPr>
          <w:rFonts w:ascii="Arial" w:eastAsia="Calibri" w:hAnsi="Arial" w:cs="Arial"/>
          <w:i/>
          <w:iCs/>
          <w:sz w:val="22"/>
        </w:rPr>
        <w:t>firma electrónica</w:t>
      </w:r>
      <w:r w:rsidRPr="00B60E43">
        <w:rPr>
          <w:rFonts w:ascii="Arial" w:eastAsia="Calibri" w:hAnsi="Arial" w:cs="Arial"/>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14:paraId="29A108EE" w14:textId="77777777" w:rsidR="00687BDD" w:rsidRDefault="00687BDD" w:rsidP="00623378">
      <w:pPr>
        <w:spacing w:before="120" w:after="120" w:line="276" w:lineRule="auto"/>
        <w:ind w:firstLine="708"/>
        <w:jc w:val="both"/>
        <w:rPr>
          <w:rFonts w:ascii="Arial" w:eastAsia="Calibri" w:hAnsi="Arial" w:cs="Arial"/>
          <w:sz w:val="22"/>
        </w:rPr>
      </w:pPr>
      <w:r w:rsidRPr="00B60E43">
        <w:rPr>
          <w:rFonts w:ascii="Arial" w:eastAsia="Calibri" w:hAnsi="Arial" w:cs="Arial"/>
          <w:sz w:val="22"/>
        </w:rPr>
        <w:t xml:space="preserve">Finalmente, el artículo 2 de la Ley 527 de 1999 define la </w:t>
      </w:r>
      <w:r w:rsidRPr="00B60E43">
        <w:rPr>
          <w:rFonts w:ascii="Arial" w:eastAsia="Calibri" w:hAnsi="Arial" w:cs="Arial"/>
          <w:i/>
          <w:iCs/>
          <w:sz w:val="22"/>
        </w:rPr>
        <w:t>firma digital</w:t>
      </w:r>
      <w:r w:rsidRPr="00B60E43">
        <w:rPr>
          <w:rFonts w:ascii="Arial" w:eastAsia="Calibri" w:hAnsi="Arial" w:cs="Arial"/>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B60E43">
        <w:rPr>
          <w:rStyle w:val="Refdenotaalpie"/>
          <w:rFonts w:ascii="Arial" w:eastAsia="Calibri" w:hAnsi="Arial" w:cs="Arial"/>
          <w:sz w:val="22"/>
        </w:rPr>
        <w:footnoteReference w:id="10"/>
      </w:r>
      <w:r w:rsidRPr="00B60E43">
        <w:rPr>
          <w:rFonts w:ascii="Arial" w:eastAsia="Calibri" w:hAnsi="Arial" w:cs="Arial"/>
          <w:sz w:val="22"/>
        </w:rPr>
        <w:t xml:space="preserve">. Además, </w:t>
      </w:r>
      <w:r w:rsidRPr="00B60E43">
        <w:rPr>
          <w:rFonts w:ascii="Arial" w:eastAsia="Calibri" w:hAnsi="Arial" w:cs="Arial"/>
          <w:sz w:val="22"/>
        </w:rPr>
        <w:lastRenderedPageBreak/>
        <w:t>esta normativa prevé que podrán emitir certificados en relación con las firmas digitales las entidades de certificación</w:t>
      </w:r>
      <w:r w:rsidRPr="00B60E43">
        <w:rPr>
          <w:rStyle w:val="Refdenotaalpie"/>
          <w:rFonts w:ascii="Arial" w:eastAsia="Calibri" w:hAnsi="Arial" w:cs="Arial"/>
          <w:sz w:val="22"/>
        </w:rPr>
        <w:footnoteReference w:id="11"/>
      </w:r>
      <w:r w:rsidRPr="00B60E43">
        <w:rPr>
          <w:rFonts w:ascii="Arial" w:eastAsia="Calibri" w:hAnsi="Arial" w:cs="Arial"/>
          <w:sz w:val="22"/>
        </w:rPr>
        <w:t xml:space="preserve">. </w:t>
      </w:r>
    </w:p>
    <w:p w14:paraId="21E04C9C" w14:textId="0B01D1CE" w:rsidR="00687BDD" w:rsidRDefault="00687BDD" w:rsidP="00623378">
      <w:pPr>
        <w:spacing w:before="120" w:after="120" w:line="276" w:lineRule="auto"/>
        <w:ind w:firstLine="708"/>
        <w:jc w:val="both"/>
        <w:rPr>
          <w:rFonts w:ascii="Arial" w:eastAsia="Calibri" w:hAnsi="Arial" w:cs="Arial"/>
          <w:sz w:val="22"/>
        </w:rPr>
      </w:pPr>
      <w:r w:rsidRPr="00B60E43">
        <w:rPr>
          <w:rFonts w:ascii="Arial" w:eastAsia="Calibri" w:hAnsi="Arial" w:cs="Arial"/>
          <w:sz w:val="22"/>
        </w:rPr>
        <w:t>El Documento CO</w:t>
      </w:r>
      <w:r>
        <w:rPr>
          <w:rFonts w:ascii="Arial" w:eastAsia="Calibri" w:hAnsi="Arial" w:cs="Arial"/>
          <w:sz w:val="22"/>
        </w:rPr>
        <w:t>N</w:t>
      </w:r>
      <w:r w:rsidRPr="00B60E43">
        <w:rPr>
          <w:rFonts w:ascii="Arial" w:eastAsia="Calibri" w:hAnsi="Arial" w:cs="Arial"/>
          <w:sz w:val="22"/>
        </w:rPr>
        <w:t xml:space="preserve">PES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w:t>
      </w:r>
      <w:r w:rsidR="002762D1">
        <w:rPr>
          <w:rFonts w:ascii="Arial" w:eastAsia="Calibri" w:hAnsi="Arial" w:cs="Arial"/>
          <w:sz w:val="22"/>
        </w:rPr>
        <w:t xml:space="preserve">mediante </w:t>
      </w:r>
      <w:r w:rsidRPr="00B60E43">
        <w:rPr>
          <w:rFonts w:ascii="Arial" w:eastAsia="Calibri" w:hAnsi="Arial" w:cs="Arial"/>
          <w:sz w:val="22"/>
        </w:rPr>
        <w:t>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w:t>
      </w:r>
      <w:r w:rsidR="00223F65">
        <w:rPr>
          <w:rFonts w:ascii="Arial" w:eastAsia="Calibri" w:hAnsi="Arial" w:cs="Arial"/>
          <w:sz w:val="22"/>
        </w:rPr>
        <w:t>n</w:t>
      </w:r>
      <w:r w:rsidRPr="00B60E43">
        <w:rPr>
          <w:rFonts w:ascii="Arial" w:eastAsia="Calibri" w:hAnsi="Arial" w:cs="Arial"/>
          <w:sz w:val="22"/>
        </w:rPr>
        <w:t xml:space="preserve"> servir para identificar a una persona como el autor del documento, dar certeza de la participación exclusiva de dicha persona en la firma y asociar esta última al contenido del mensaje de datos.</w:t>
      </w:r>
    </w:p>
    <w:p w14:paraId="1029C500" w14:textId="5FDA7BF0" w:rsidR="007B2580" w:rsidRDefault="00687BDD" w:rsidP="007B2580">
      <w:pPr>
        <w:spacing w:before="120" w:after="120" w:line="276" w:lineRule="auto"/>
        <w:ind w:firstLine="708"/>
        <w:jc w:val="both"/>
        <w:rPr>
          <w:rStyle w:val="normaltextrun"/>
          <w:rFonts w:ascii="Arial" w:hAnsi="Arial" w:cs="Arial"/>
          <w:sz w:val="22"/>
          <w:szCs w:val="22"/>
          <w:lang w:val="es-ES"/>
        </w:rPr>
      </w:pPr>
      <w:r>
        <w:rPr>
          <w:rStyle w:val="normaltextrun"/>
          <w:rFonts w:ascii="Arial" w:hAnsi="Arial" w:cs="Arial"/>
          <w:sz w:val="22"/>
          <w:szCs w:val="22"/>
          <w:lang w:val="es-ES"/>
        </w:rPr>
        <w:t>La Ley 1437 de 2011</w:t>
      </w:r>
      <w:r w:rsidR="00223F65">
        <w:rPr>
          <w:rStyle w:val="normaltextrun"/>
          <w:rFonts w:ascii="Arial" w:hAnsi="Arial" w:cs="Arial"/>
          <w:sz w:val="22"/>
          <w:szCs w:val="22"/>
          <w:lang w:val="es-ES"/>
        </w:rPr>
        <w:t>,</w:t>
      </w:r>
      <w:r>
        <w:rPr>
          <w:rStyle w:val="normaltextrun"/>
          <w:rFonts w:ascii="Arial" w:hAnsi="Arial" w:cs="Arial"/>
          <w:sz w:val="22"/>
          <w:szCs w:val="22"/>
          <w:lang w:val="es-ES"/>
        </w:rPr>
        <w:t xml:space="preserve"> «Por la cual se expide el Código de Procedimiento Administrativo y de lo Contencioso Administrativo»</w:t>
      </w:r>
      <w:r w:rsidR="00223F65">
        <w:rPr>
          <w:rStyle w:val="normaltextrun"/>
          <w:rFonts w:ascii="Arial" w:hAnsi="Arial" w:cs="Arial"/>
          <w:sz w:val="22"/>
          <w:szCs w:val="22"/>
          <w:lang w:val="es-ES"/>
        </w:rPr>
        <w:t>,</w:t>
      </w:r>
      <w:r>
        <w:rPr>
          <w:rStyle w:val="normaltextrun"/>
          <w:rFonts w:ascii="Arial" w:hAnsi="Arial" w:cs="Arial"/>
          <w:sz w:val="22"/>
          <w:szCs w:val="22"/>
          <w:lang w:val="es-ES"/>
        </w:rPr>
        <w:t xml:space="preserve"> continúa la línea explicada, consistente en el reconocimiento de validez a las actuaciones realizadas en sede virtual, y dedica un capítulo completo a la utilización de medios electrónicos en el procedimiento administrativo</w:t>
      </w:r>
      <w:r>
        <w:rPr>
          <w:rStyle w:val="Refdenotaalpie"/>
          <w:rFonts w:ascii="Arial" w:hAnsi="Arial" w:cs="Arial"/>
          <w:sz w:val="22"/>
          <w:szCs w:val="22"/>
          <w:lang w:val="es-ES"/>
        </w:rPr>
        <w:footnoteReference w:id="12"/>
      </w:r>
      <w:r>
        <w:rPr>
          <w:rStyle w:val="normaltextrun"/>
          <w:rFonts w:ascii="Arial" w:hAnsi="Arial" w:cs="Arial"/>
          <w:sz w:val="22"/>
          <w:szCs w:val="22"/>
          <w:lang w:val="es-ES"/>
        </w:rPr>
        <w:t xml:space="preserve">.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w:t>
      </w:r>
    </w:p>
    <w:p w14:paraId="34E7AE5A" w14:textId="51567918" w:rsidR="00687BDD" w:rsidRPr="00AD70C3" w:rsidRDefault="00687BDD" w:rsidP="00623378">
      <w:pPr>
        <w:spacing w:before="120" w:after="120" w:line="276" w:lineRule="auto"/>
        <w:ind w:firstLine="708"/>
        <w:jc w:val="both"/>
        <w:rPr>
          <w:rFonts w:ascii="Arial" w:hAnsi="Arial" w:cs="Arial"/>
          <w:sz w:val="22"/>
          <w:szCs w:val="22"/>
          <w:lang w:val="es-ES"/>
        </w:rPr>
      </w:pPr>
      <w:r>
        <w:rPr>
          <w:rStyle w:val="normaltextrun"/>
          <w:rFonts w:ascii="Arial" w:hAnsi="Arial" w:cs="Arial"/>
          <w:sz w:val="22"/>
          <w:szCs w:val="22"/>
          <w:lang w:val="es-ES"/>
        </w:rPr>
        <w:t>Así mismo, el artículo 35 establece que «Los procedimientos administrativos se adelantarán por escrito, verbalmente, o por medios electrónicos de conformidad con lo dispuesto en este Código o la ley»; en tanto que los artículos 53 al 64</w:t>
      </w:r>
      <w:r w:rsidR="00223F65">
        <w:rPr>
          <w:rStyle w:val="normaltextrun"/>
          <w:rFonts w:ascii="Arial" w:hAnsi="Arial" w:cs="Arial"/>
          <w:sz w:val="22"/>
          <w:szCs w:val="22"/>
          <w:lang w:val="es-ES"/>
        </w:rPr>
        <w:t>, incluyendo las modificaciones realizadas por la Ley 2080 de 2021,</w:t>
      </w:r>
      <w:r>
        <w:rPr>
          <w:rStyle w:val="normaltextrun"/>
          <w:rFonts w:ascii="Arial" w:hAnsi="Arial" w:cs="Arial"/>
          <w:sz w:val="22"/>
          <w:szCs w:val="22"/>
          <w:lang w:val="es-ES"/>
        </w:rPr>
        <w:t xml:space="preserve">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r>
        <w:rPr>
          <w:rStyle w:val="eop"/>
          <w:rFonts w:ascii="Arial" w:hAnsi="Arial" w:cs="Arial"/>
          <w:sz w:val="22"/>
          <w:szCs w:val="22"/>
        </w:rPr>
        <w:t> </w:t>
      </w:r>
    </w:p>
    <w:p w14:paraId="372500B9" w14:textId="5BD1978D" w:rsidR="007B2580" w:rsidRPr="00623378" w:rsidRDefault="00223F65" w:rsidP="00623378">
      <w:pPr>
        <w:spacing w:before="120" w:after="120" w:line="276" w:lineRule="auto"/>
        <w:ind w:firstLine="708"/>
        <w:jc w:val="both"/>
        <w:rPr>
          <w:rFonts w:ascii="Arial" w:hAnsi="Arial" w:cs="Arial"/>
          <w:sz w:val="22"/>
          <w:szCs w:val="22"/>
        </w:rPr>
      </w:pPr>
      <w:r>
        <w:rPr>
          <w:rStyle w:val="normaltextrun"/>
          <w:rFonts w:ascii="Arial" w:hAnsi="Arial" w:cs="Arial"/>
          <w:sz w:val="22"/>
          <w:szCs w:val="22"/>
        </w:rPr>
        <w:lastRenderedPageBreak/>
        <w:t>De otro lado, en relación con el tema estudiado, s</w:t>
      </w:r>
      <w:r w:rsidR="00687BDD">
        <w:rPr>
          <w:rStyle w:val="normaltextrun"/>
          <w:rFonts w:ascii="Arial" w:hAnsi="Arial" w:cs="Arial"/>
          <w:sz w:val="22"/>
          <w:szCs w:val="22"/>
        </w:rPr>
        <w:t>e deben distinguir dos situaciones: i) si un documento se firma en</w:t>
      </w:r>
      <w:r w:rsidR="00687BDD">
        <w:rPr>
          <w:rStyle w:val="apple-converted-space"/>
          <w:rFonts w:ascii="Arial" w:hAnsi="Arial" w:cs="Arial"/>
          <w:sz w:val="22"/>
          <w:szCs w:val="22"/>
        </w:rPr>
        <w:t> </w:t>
      </w:r>
      <w:r w:rsidR="00687BDD">
        <w:rPr>
          <w:rStyle w:val="normaltextrun"/>
          <w:rFonts w:ascii="Arial" w:hAnsi="Arial" w:cs="Arial"/>
          <w:sz w:val="22"/>
          <w:szCs w:val="22"/>
        </w:rPr>
        <w:t>manuscrito y se escanea</w:t>
      </w:r>
      <w:r w:rsidR="00687BDD">
        <w:rPr>
          <w:rStyle w:val="apple-converted-space"/>
          <w:rFonts w:ascii="Arial" w:hAnsi="Arial" w:cs="Arial"/>
          <w:sz w:val="22"/>
          <w:szCs w:val="22"/>
        </w:rPr>
        <w:t> </w:t>
      </w:r>
      <w:r w:rsidR="00687BDD">
        <w:rPr>
          <w:rStyle w:val="normaltextrun"/>
          <w:rFonts w:ascii="Arial" w:hAnsi="Arial" w:cs="Arial"/>
          <w:sz w:val="22"/>
          <w:szCs w:val="22"/>
        </w:rPr>
        <w:t>para enviar a la entidad estatal,</w:t>
      </w:r>
      <w:r w:rsidR="00687BDD">
        <w:rPr>
          <w:rStyle w:val="apple-converted-space"/>
          <w:rFonts w:ascii="Arial" w:hAnsi="Arial" w:cs="Arial"/>
          <w:sz w:val="22"/>
          <w:szCs w:val="22"/>
        </w:rPr>
        <w:t> </w:t>
      </w:r>
      <w:r w:rsidR="00687BDD">
        <w:rPr>
          <w:rStyle w:val="normaltextrun"/>
          <w:rFonts w:ascii="Arial" w:hAnsi="Arial" w:cs="Arial"/>
          <w:sz w:val="22"/>
          <w:szCs w:val="22"/>
        </w:rPr>
        <w:t>es válido, porque el documento está firmado con el puño y letra de una persona.</w:t>
      </w:r>
      <w:r w:rsidR="00687BDD">
        <w:rPr>
          <w:rStyle w:val="apple-converted-space"/>
          <w:rFonts w:ascii="Arial" w:hAnsi="Arial" w:cs="Arial"/>
          <w:sz w:val="22"/>
          <w:szCs w:val="22"/>
        </w:rPr>
        <w:t> </w:t>
      </w:r>
      <w:r w:rsidR="00687BDD">
        <w:rPr>
          <w:rStyle w:val="normaltextrun"/>
          <w:rFonts w:ascii="Arial" w:hAnsi="Arial" w:cs="Arial"/>
          <w:sz w:val="22"/>
          <w:szCs w:val="22"/>
        </w:rPr>
        <w:t>El hecho</w:t>
      </w:r>
      <w:r w:rsidR="00687BDD">
        <w:rPr>
          <w:rStyle w:val="apple-converted-space"/>
          <w:rFonts w:ascii="Arial" w:hAnsi="Arial" w:cs="Arial"/>
          <w:sz w:val="22"/>
          <w:szCs w:val="22"/>
        </w:rPr>
        <w:t> </w:t>
      </w:r>
      <w:r w:rsidR="00687BDD">
        <w:rPr>
          <w:rStyle w:val="normaltextrun"/>
          <w:rFonts w:ascii="Arial" w:hAnsi="Arial" w:cs="Arial"/>
          <w:sz w:val="22"/>
          <w:szCs w:val="22"/>
        </w:rPr>
        <w:t>de</w:t>
      </w:r>
      <w:r w:rsidR="00687BDD">
        <w:rPr>
          <w:rStyle w:val="apple-converted-space"/>
          <w:rFonts w:ascii="Arial" w:hAnsi="Arial" w:cs="Arial"/>
          <w:sz w:val="22"/>
          <w:szCs w:val="22"/>
        </w:rPr>
        <w:t> </w:t>
      </w:r>
      <w:r w:rsidR="00687BDD">
        <w:rPr>
          <w:rStyle w:val="normaltextrun"/>
          <w:rFonts w:ascii="Arial" w:hAnsi="Arial" w:cs="Arial"/>
          <w:sz w:val="22"/>
          <w:szCs w:val="22"/>
        </w:rPr>
        <w:t>que se escanee para enviarlo a la entidad estatal no es un motivo suficiente para rechazarle la presentación de ese documento, ya que no se requiere la presentación del documento en original, pues de acuerdo con el artículo 246 del Código General del Proceso, las copias tendrán el mismo valor probatorio del original, salvo cuando por disposición legal sea necesaria la presentación del original o de una determinada copia</w:t>
      </w:r>
      <w:r w:rsidR="00687BDD">
        <w:rPr>
          <w:rStyle w:val="Refdenotaalpie"/>
          <w:rFonts w:ascii="Arial" w:hAnsi="Arial" w:cs="Arial"/>
          <w:sz w:val="22"/>
          <w:szCs w:val="22"/>
        </w:rPr>
        <w:footnoteReference w:id="13"/>
      </w:r>
      <w:r w:rsidR="00687BDD">
        <w:rPr>
          <w:rStyle w:val="normaltextrun"/>
          <w:rFonts w:ascii="Arial" w:hAnsi="Arial" w:cs="Arial"/>
          <w:sz w:val="22"/>
          <w:szCs w:val="22"/>
        </w:rPr>
        <w:t>;</w:t>
      </w:r>
      <w:r w:rsidR="00687BDD">
        <w:rPr>
          <w:rStyle w:val="apple-converted-space"/>
          <w:rFonts w:ascii="Arial" w:hAnsi="Arial" w:cs="Arial"/>
          <w:sz w:val="22"/>
          <w:szCs w:val="22"/>
        </w:rPr>
        <w:t> </w:t>
      </w:r>
      <w:r w:rsidR="00687BDD">
        <w:rPr>
          <w:rStyle w:val="normaltextrun"/>
          <w:rFonts w:ascii="Arial" w:hAnsi="Arial" w:cs="Arial"/>
          <w:sz w:val="22"/>
          <w:szCs w:val="22"/>
        </w:rPr>
        <w:t>y</w:t>
      </w:r>
      <w:r w:rsidR="00687BDD">
        <w:rPr>
          <w:rStyle w:val="apple-converted-space"/>
          <w:rFonts w:ascii="Arial" w:hAnsi="Arial" w:cs="Arial"/>
          <w:sz w:val="22"/>
          <w:szCs w:val="22"/>
        </w:rPr>
        <w:t> </w:t>
      </w:r>
      <w:r w:rsidR="00687BDD">
        <w:rPr>
          <w:rStyle w:val="normaltextrun"/>
          <w:rFonts w:ascii="Arial" w:hAnsi="Arial" w:cs="Arial"/>
          <w:sz w:val="22"/>
          <w:szCs w:val="22"/>
        </w:rPr>
        <w:t>ii)</w:t>
      </w:r>
      <w:r w:rsidR="00687BDD">
        <w:rPr>
          <w:rStyle w:val="apple-converted-space"/>
          <w:rFonts w:ascii="Arial" w:hAnsi="Arial" w:cs="Arial"/>
          <w:sz w:val="22"/>
          <w:szCs w:val="22"/>
        </w:rPr>
        <w:t> </w:t>
      </w:r>
      <w:r w:rsidR="00687BDD">
        <w:rPr>
          <w:rStyle w:val="normaltextrun"/>
          <w:rFonts w:ascii="Arial" w:hAnsi="Arial" w:cs="Arial"/>
          <w:sz w:val="22"/>
          <w:szCs w:val="22"/>
        </w:rPr>
        <w:t>si</w:t>
      </w:r>
      <w:r w:rsidR="00687BDD">
        <w:rPr>
          <w:rStyle w:val="apple-converted-space"/>
          <w:rFonts w:ascii="Arial" w:hAnsi="Arial" w:cs="Arial"/>
          <w:sz w:val="22"/>
          <w:szCs w:val="22"/>
        </w:rPr>
        <w:t> </w:t>
      </w:r>
      <w:r w:rsidR="00687BDD">
        <w:rPr>
          <w:rStyle w:val="normaltextrun"/>
          <w:rFonts w:ascii="Arial" w:hAnsi="Arial" w:cs="Arial"/>
          <w:sz w:val="22"/>
          <w:szCs w:val="22"/>
        </w:rPr>
        <w:t>el documento contiene una imagen con la firma. En tal caso, para determinar la validez de</w:t>
      </w:r>
      <w:r w:rsidR="00687BDD">
        <w:rPr>
          <w:rStyle w:val="apple-converted-space"/>
          <w:rFonts w:ascii="Arial" w:hAnsi="Arial" w:cs="Arial"/>
          <w:sz w:val="22"/>
          <w:szCs w:val="22"/>
        </w:rPr>
        <w:t> </w:t>
      </w:r>
      <w:r w:rsidR="00687BDD">
        <w:rPr>
          <w:rStyle w:val="normaltextrun"/>
          <w:rFonts w:ascii="Arial" w:hAnsi="Arial" w:cs="Arial"/>
          <w:sz w:val="22"/>
          <w:szCs w:val="22"/>
        </w:rPr>
        <w:t>la misma, la</w:t>
      </w:r>
      <w:r w:rsidR="00687BDD">
        <w:rPr>
          <w:rStyle w:val="apple-converted-space"/>
          <w:rFonts w:ascii="Arial" w:hAnsi="Arial" w:cs="Arial"/>
          <w:sz w:val="22"/>
          <w:szCs w:val="22"/>
        </w:rPr>
        <w:t> </w:t>
      </w:r>
      <w:r w:rsidR="00687BDD">
        <w:rPr>
          <w:rStyle w:val="normaltextrun"/>
          <w:rFonts w:ascii="Arial" w:hAnsi="Arial" w:cs="Arial"/>
          <w:sz w:val="22"/>
          <w:szCs w:val="22"/>
        </w:rPr>
        <w:t>entidad estatal deberá verificar si esta es una firma digital.</w:t>
      </w:r>
      <w:r w:rsidR="00687BDD">
        <w:rPr>
          <w:rStyle w:val="apple-converted-space"/>
          <w:rFonts w:ascii="Arial" w:hAnsi="Arial" w:cs="Arial"/>
          <w:sz w:val="22"/>
          <w:szCs w:val="22"/>
        </w:rPr>
        <w:t> </w:t>
      </w:r>
      <w:r w:rsidR="00687BDD">
        <w:rPr>
          <w:rStyle w:val="normaltextrun"/>
          <w:rFonts w:ascii="Arial" w:hAnsi="Arial" w:cs="Arial"/>
          <w:sz w:val="22"/>
          <w:szCs w:val="22"/>
        </w:rPr>
        <w:t>En este sentido, la entidad deberá determinar con las entidades de certificación acreditadas por el Organismo Nacional de Acreditación de Colombia si esa firma digital si se encuentra o no registrada.</w:t>
      </w:r>
      <w:r w:rsidR="00687BDD">
        <w:rPr>
          <w:rStyle w:val="apple-converted-space"/>
          <w:rFonts w:ascii="Arial" w:hAnsi="Arial" w:cs="Arial"/>
          <w:sz w:val="22"/>
          <w:szCs w:val="22"/>
        </w:rPr>
        <w:t> </w:t>
      </w:r>
      <w:r w:rsidR="00687BDD">
        <w:rPr>
          <w:rStyle w:val="normaltextrun"/>
          <w:rFonts w:ascii="Arial" w:hAnsi="Arial" w:cs="Arial"/>
          <w:sz w:val="22"/>
          <w:szCs w:val="22"/>
        </w:rPr>
        <w:t>En conclusión, para que el documento</w:t>
      </w:r>
      <w:r w:rsidR="00687BDD">
        <w:rPr>
          <w:rStyle w:val="apple-converted-space"/>
          <w:rFonts w:ascii="Arial" w:hAnsi="Arial" w:cs="Arial"/>
          <w:sz w:val="22"/>
          <w:szCs w:val="22"/>
        </w:rPr>
        <w:t> </w:t>
      </w:r>
      <w:r w:rsidR="00687BDD">
        <w:rPr>
          <w:rStyle w:val="normaltextrun"/>
          <w:rFonts w:ascii="Arial" w:hAnsi="Arial" w:cs="Arial"/>
          <w:sz w:val="22"/>
          <w:szCs w:val="22"/>
        </w:rPr>
        <w:t>con la imagen de una firma sea válido, la entidad estatal deberá determinar si la imagen de la firma cumple los requisitos de una firma digital,</w:t>
      </w:r>
      <w:r w:rsidR="00687BDD">
        <w:rPr>
          <w:rStyle w:val="apple-converted-space"/>
          <w:rFonts w:ascii="Arial" w:hAnsi="Arial" w:cs="Arial"/>
          <w:sz w:val="22"/>
          <w:szCs w:val="22"/>
        </w:rPr>
        <w:t> </w:t>
      </w:r>
      <w:r w:rsidR="00687BDD">
        <w:rPr>
          <w:rStyle w:val="normaltextrun"/>
          <w:rFonts w:ascii="Arial" w:hAnsi="Arial" w:cs="Arial"/>
          <w:sz w:val="22"/>
          <w:szCs w:val="22"/>
        </w:rPr>
        <w:t xml:space="preserve">para que la entidad estatal lo acepte. </w:t>
      </w:r>
    </w:p>
    <w:p w14:paraId="677C04EC" w14:textId="77777777" w:rsidR="00ED3195" w:rsidRPr="00B315E0" w:rsidRDefault="00ED3195" w:rsidP="00FD3E77">
      <w:pPr>
        <w:spacing w:line="276" w:lineRule="auto"/>
        <w:jc w:val="both"/>
        <w:rPr>
          <w:rFonts w:ascii="Arial" w:hAnsi="Arial" w:cs="Arial"/>
          <w:sz w:val="22"/>
          <w:lang w:val="es-ES"/>
        </w:rPr>
      </w:pPr>
    </w:p>
    <w:p w14:paraId="5399373D" w14:textId="09B80A04" w:rsidR="007B2580" w:rsidRPr="00623378" w:rsidRDefault="00A71CEA" w:rsidP="00623378">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064944">
        <w:rPr>
          <w:rFonts w:ascii="Arial" w:hAnsi="Arial" w:cs="Arial"/>
          <w:b/>
          <w:bCs/>
          <w:color w:val="000000" w:themeColor="text1"/>
          <w:sz w:val="22"/>
          <w:lang w:val="es-CO"/>
        </w:rPr>
        <w:t>Respuesta</w:t>
      </w:r>
    </w:p>
    <w:p w14:paraId="348C035A" w14:textId="51784A63" w:rsidR="007B2580" w:rsidRPr="00623378" w:rsidRDefault="007B2580" w:rsidP="00623378">
      <w:pPr>
        <w:pStyle w:val="NormalWeb"/>
        <w:numPr>
          <w:ilvl w:val="0"/>
          <w:numId w:val="4"/>
        </w:numPr>
        <w:spacing w:before="0" w:beforeAutospacing="0" w:after="0" w:afterAutospacing="0" w:line="276" w:lineRule="auto"/>
        <w:ind w:right="709"/>
        <w:jc w:val="both"/>
        <w:rPr>
          <w:rFonts w:ascii="Arial" w:eastAsia="Calibri" w:hAnsi="Arial" w:cs="Arial"/>
          <w:color w:val="000000" w:themeColor="text1"/>
          <w:sz w:val="21"/>
          <w:szCs w:val="21"/>
        </w:rPr>
      </w:pPr>
      <w:r w:rsidRPr="00623378">
        <w:rPr>
          <w:rFonts w:ascii="Arial" w:eastAsia="Calibri" w:hAnsi="Arial" w:cs="Arial"/>
          <w:color w:val="000000" w:themeColor="text1"/>
          <w:sz w:val="21"/>
          <w:szCs w:val="21"/>
        </w:rPr>
        <w:t>«</w:t>
      </w:r>
      <w:r w:rsidRPr="00623378">
        <w:rPr>
          <w:rFonts w:ascii="Arial" w:hAnsi="Arial" w:cs="Arial"/>
          <w:color w:val="000000" w:themeColor="text1"/>
          <w:sz w:val="21"/>
          <w:szCs w:val="21"/>
          <w:lang w:val="es-ES"/>
        </w:rPr>
        <w:t>¿</w:t>
      </w:r>
      <w:r w:rsidRPr="00623378">
        <w:rPr>
          <w:rFonts w:ascii="Arial" w:hAnsi="Arial" w:cs="Arial"/>
          <w:sz w:val="21"/>
          <w:szCs w:val="21"/>
        </w:rPr>
        <w:t>Es necesario que se diligencie el anexo No. 5 (minuta del contrato) dado por pliegos tipo?</w:t>
      </w:r>
    </w:p>
    <w:p w14:paraId="3A81E819" w14:textId="48B4AC85" w:rsidR="007B2580" w:rsidRPr="00623378" w:rsidRDefault="007B2580" w:rsidP="00623378">
      <w:pPr>
        <w:pStyle w:val="NormalWeb"/>
        <w:numPr>
          <w:ilvl w:val="0"/>
          <w:numId w:val="4"/>
        </w:numPr>
        <w:spacing w:before="0" w:beforeAutospacing="0" w:after="0" w:afterAutospacing="0" w:line="276" w:lineRule="auto"/>
        <w:ind w:right="709"/>
        <w:jc w:val="both"/>
        <w:rPr>
          <w:rFonts w:ascii="Arial" w:eastAsia="Calibri" w:hAnsi="Arial" w:cs="Arial"/>
          <w:color w:val="000000" w:themeColor="text1"/>
          <w:sz w:val="21"/>
          <w:szCs w:val="21"/>
        </w:rPr>
      </w:pPr>
      <w:r w:rsidRPr="00623378">
        <w:rPr>
          <w:rFonts w:ascii="Arial" w:hAnsi="Arial" w:cs="Arial"/>
          <w:sz w:val="21"/>
          <w:szCs w:val="21"/>
        </w:rPr>
        <w:t>«¿cual es el tratamiento que debe seguir la entidad para este anexo, pues se supone que el mismo fue reemplazado por la minuta electrónica</w:t>
      </w:r>
      <w:r w:rsidRPr="00623378">
        <w:rPr>
          <w:rFonts w:ascii="Arial" w:hAnsi="Arial" w:cs="Arial"/>
          <w:color w:val="000000" w:themeColor="text1"/>
          <w:sz w:val="21"/>
          <w:szCs w:val="21"/>
          <w:lang w:val="es-ES"/>
        </w:rPr>
        <w:t>?</w:t>
      </w:r>
      <w:r w:rsidRPr="00623378">
        <w:rPr>
          <w:rFonts w:ascii="Arial" w:eastAsia="Calibri" w:hAnsi="Arial" w:cs="Arial"/>
          <w:color w:val="000000" w:themeColor="text1"/>
          <w:sz w:val="21"/>
          <w:szCs w:val="21"/>
          <w:lang w:val="es-ES"/>
        </w:rPr>
        <w:t>».</w:t>
      </w:r>
    </w:p>
    <w:p w14:paraId="488383BD" w14:textId="6D478FCD" w:rsidR="007B2580" w:rsidRPr="00623378" w:rsidRDefault="007B2580" w:rsidP="00623378">
      <w:pPr>
        <w:tabs>
          <w:tab w:val="left" w:pos="284"/>
        </w:tabs>
        <w:spacing w:line="276" w:lineRule="auto"/>
        <w:ind w:right="709"/>
        <w:rPr>
          <w:rFonts w:ascii="Arial" w:hAnsi="Arial" w:cs="Arial"/>
          <w:color w:val="000000" w:themeColor="text1"/>
          <w:sz w:val="21"/>
          <w:szCs w:val="21"/>
        </w:rPr>
      </w:pPr>
    </w:p>
    <w:p w14:paraId="36A5EC5A" w14:textId="2E88CF47" w:rsidR="00D361AE" w:rsidRDefault="007B2580" w:rsidP="00623378">
      <w:pPr>
        <w:tabs>
          <w:tab w:val="left" w:pos="284"/>
        </w:tabs>
        <w:spacing w:line="276" w:lineRule="auto"/>
        <w:jc w:val="both"/>
        <w:rPr>
          <w:rFonts w:ascii="Arial" w:hAnsi="Arial" w:cs="Arial"/>
          <w:color w:val="000000" w:themeColor="text1"/>
          <w:sz w:val="22"/>
        </w:rPr>
      </w:pPr>
      <w:r>
        <w:rPr>
          <w:rFonts w:ascii="Arial" w:hAnsi="Arial" w:cs="Arial"/>
          <w:color w:val="000000" w:themeColor="text1"/>
          <w:sz w:val="22"/>
        </w:rPr>
        <w:t xml:space="preserve">Por la similitud del </w:t>
      </w:r>
      <w:r w:rsidR="00FD6D80">
        <w:rPr>
          <w:rFonts w:ascii="Arial" w:hAnsi="Arial" w:cs="Arial"/>
          <w:color w:val="000000" w:themeColor="text1"/>
          <w:sz w:val="22"/>
        </w:rPr>
        <w:t>objeto de las preguntas</w:t>
      </w:r>
      <w:r w:rsidR="001F5D6E">
        <w:rPr>
          <w:rFonts w:ascii="Arial" w:hAnsi="Arial" w:cs="Arial"/>
          <w:color w:val="000000" w:themeColor="text1"/>
          <w:sz w:val="22"/>
        </w:rPr>
        <w:t xml:space="preserve"> se dará una respuesta en conjunto. S</w:t>
      </w:r>
      <w:r>
        <w:rPr>
          <w:rFonts w:ascii="Arial" w:hAnsi="Arial" w:cs="Arial"/>
          <w:color w:val="000000" w:themeColor="text1"/>
          <w:sz w:val="22"/>
        </w:rPr>
        <w:t>egún l</w:t>
      </w:r>
      <w:r w:rsidR="001F5D6E">
        <w:rPr>
          <w:rFonts w:ascii="Arial" w:hAnsi="Arial" w:cs="Arial"/>
          <w:color w:val="000000" w:themeColor="text1"/>
          <w:sz w:val="22"/>
        </w:rPr>
        <w:t xml:space="preserve">as consideraciones anteriores, </w:t>
      </w:r>
      <w:r>
        <w:rPr>
          <w:rFonts w:ascii="Arial" w:hAnsi="Arial" w:cs="Arial"/>
          <w:color w:val="000000" w:themeColor="text1"/>
          <w:sz w:val="22"/>
        </w:rPr>
        <w:t xml:space="preserve">el </w:t>
      </w:r>
      <w:r w:rsidR="001F5D6E">
        <w:rPr>
          <w:rFonts w:ascii="Arial" w:hAnsi="Arial" w:cs="Arial"/>
          <w:color w:val="000000" w:themeColor="text1"/>
          <w:sz w:val="22"/>
        </w:rPr>
        <w:t>A</w:t>
      </w:r>
      <w:r>
        <w:rPr>
          <w:rFonts w:ascii="Arial" w:hAnsi="Arial" w:cs="Arial"/>
          <w:color w:val="000000" w:themeColor="text1"/>
          <w:sz w:val="22"/>
        </w:rPr>
        <w:t>nexo No. 5 –minuta</w:t>
      </w:r>
      <w:r w:rsidR="001F5D6E">
        <w:rPr>
          <w:rFonts w:ascii="Arial" w:hAnsi="Arial" w:cs="Arial"/>
          <w:color w:val="000000" w:themeColor="text1"/>
          <w:sz w:val="22"/>
        </w:rPr>
        <w:t xml:space="preserve"> del contrato</w:t>
      </w:r>
      <w:r>
        <w:rPr>
          <w:rFonts w:ascii="Arial" w:hAnsi="Arial" w:cs="Arial"/>
          <w:color w:val="000000" w:themeColor="text1"/>
          <w:sz w:val="22"/>
        </w:rPr>
        <w:t>– tiene unos apartados</w:t>
      </w:r>
      <w:r w:rsidR="001F5D6E">
        <w:rPr>
          <w:rFonts w:ascii="Arial" w:hAnsi="Arial" w:cs="Arial"/>
          <w:color w:val="000000" w:themeColor="text1"/>
          <w:sz w:val="22"/>
        </w:rPr>
        <w:t>, señalados en gris,</w:t>
      </w:r>
      <w:r>
        <w:rPr>
          <w:rFonts w:ascii="Arial" w:hAnsi="Arial" w:cs="Arial"/>
          <w:color w:val="000000" w:themeColor="text1"/>
          <w:sz w:val="22"/>
        </w:rPr>
        <w:t xml:space="preserve"> los cuales </w:t>
      </w:r>
      <w:r w:rsidR="001F5D6E">
        <w:rPr>
          <w:rFonts w:ascii="Arial" w:hAnsi="Arial" w:cs="Arial"/>
          <w:color w:val="000000" w:themeColor="text1"/>
          <w:sz w:val="22"/>
        </w:rPr>
        <w:t xml:space="preserve">sirven de guía para </w:t>
      </w:r>
      <w:r w:rsidR="00223F65">
        <w:rPr>
          <w:rFonts w:ascii="Arial" w:hAnsi="Arial" w:cs="Arial"/>
          <w:color w:val="000000" w:themeColor="text1"/>
          <w:sz w:val="22"/>
        </w:rPr>
        <w:t>la</w:t>
      </w:r>
      <w:r w:rsidR="001F5D6E">
        <w:rPr>
          <w:rFonts w:ascii="Arial" w:hAnsi="Arial" w:cs="Arial"/>
          <w:color w:val="000000" w:themeColor="text1"/>
          <w:sz w:val="22"/>
        </w:rPr>
        <w:t xml:space="preserve"> utilización y diligenciamiento de dicho anexo. De este modo, cada entidad estatal deberá, en ejercicio de su autonomía contractual y competencias discrecionales, analizar </w:t>
      </w:r>
      <w:r w:rsidR="00D361AE">
        <w:rPr>
          <w:rFonts w:ascii="Arial" w:hAnsi="Arial" w:cs="Arial"/>
          <w:color w:val="000000" w:themeColor="text1"/>
          <w:sz w:val="22"/>
        </w:rPr>
        <w:t xml:space="preserve">y ajustar el contenido de la minuta del contrato, cuya utilización es obligatoria para cada una de las entidades destinatarias, en función del objeto a contratar. Así las cosas, tal como se desprende de la segunda nota contenida en el anexo, </w:t>
      </w:r>
      <w:r w:rsidR="00223F65">
        <w:rPr>
          <w:rFonts w:ascii="Arial" w:hAnsi="Arial" w:cs="Arial"/>
          <w:color w:val="000000" w:themeColor="text1"/>
          <w:sz w:val="22"/>
        </w:rPr>
        <w:t>«</w:t>
      </w:r>
      <w:r w:rsidR="00D361AE">
        <w:rPr>
          <w:rFonts w:ascii="Arial" w:hAnsi="Arial" w:cs="Arial"/>
          <w:color w:val="000000" w:themeColor="text1"/>
          <w:sz w:val="22"/>
        </w:rPr>
        <w:t>l</w:t>
      </w:r>
      <w:r w:rsidR="00D361AE" w:rsidRPr="00D361AE">
        <w:rPr>
          <w:rFonts w:ascii="Arial" w:hAnsi="Arial" w:cs="Arial"/>
          <w:color w:val="000000" w:themeColor="text1"/>
          <w:sz w:val="22"/>
        </w:rPr>
        <w:t>a entidad podrá ajustar el contenido del “Anexo 5- Minuta del Contrato</w:t>
      </w:r>
      <w:r w:rsidR="00223F65">
        <w:rPr>
          <w:rFonts w:ascii="Arial" w:hAnsi="Arial" w:cs="Arial"/>
          <w:color w:val="000000" w:themeColor="text1"/>
          <w:sz w:val="22"/>
        </w:rPr>
        <w:t>»</w:t>
      </w:r>
      <w:r w:rsidR="00D361AE" w:rsidRPr="00D361AE">
        <w:rPr>
          <w:rFonts w:ascii="Arial" w:hAnsi="Arial" w:cs="Arial"/>
          <w:color w:val="000000" w:themeColor="text1"/>
          <w:sz w:val="22"/>
        </w:rPr>
        <w:t xml:space="preserve"> cuando el contrato se celebre por medio de la plataforma del SECOP II, de tal forma que se evite la </w:t>
      </w:r>
      <w:r w:rsidR="00D361AE" w:rsidRPr="00D361AE">
        <w:rPr>
          <w:rFonts w:ascii="Arial" w:hAnsi="Arial" w:cs="Arial"/>
          <w:color w:val="000000" w:themeColor="text1"/>
          <w:sz w:val="22"/>
        </w:rPr>
        <w:lastRenderedPageBreak/>
        <w:t>duplicidad de información. De este modo, las cláusulas que están en la plataforma del SECOP II no se incluirán en esta minuta de contrato, sin perjuicio de atender su contenido</w:t>
      </w:r>
      <w:r w:rsidR="00223F65">
        <w:rPr>
          <w:rFonts w:ascii="Arial" w:hAnsi="Arial" w:cs="Arial"/>
          <w:color w:val="000000" w:themeColor="text1"/>
          <w:sz w:val="22"/>
        </w:rPr>
        <w:t>»</w:t>
      </w:r>
      <w:r w:rsidR="00D361AE">
        <w:rPr>
          <w:rFonts w:ascii="Arial" w:hAnsi="Arial" w:cs="Arial"/>
          <w:color w:val="000000" w:themeColor="text1"/>
          <w:sz w:val="22"/>
        </w:rPr>
        <w:t xml:space="preserve">. </w:t>
      </w:r>
    </w:p>
    <w:p w14:paraId="6738FD47" w14:textId="14D7B2A1" w:rsidR="007B2580" w:rsidRPr="00623378" w:rsidRDefault="007B2580" w:rsidP="007B2580">
      <w:pPr>
        <w:pStyle w:val="NormalWeb"/>
        <w:numPr>
          <w:ilvl w:val="0"/>
          <w:numId w:val="4"/>
        </w:numPr>
        <w:spacing w:line="276" w:lineRule="auto"/>
        <w:ind w:right="709"/>
        <w:jc w:val="both"/>
        <w:rPr>
          <w:rFonts w:ascii="Arial" w:eastAsia="Calibri" w:hAnsi="Arial" w:cs="Arial"/>
          <w:color w:val="000000" w:themeColor="text1"/>
          <w:sz w:val="21"/>
          <w:szCs w:val="21"/>
        </w:rPr>
      </w:pPr>
      <w:r w:rsidRPr="007C6F1C">
        <w:rPr>
          <w:rFonts w:ascii="Arial" w:hAnsi="Arial" w:cs="Arial"/>
          <w:sz w:val="21"/>
          <w:szCs w:val="21"/>
        </w:rPr>
        <w:t xml:space="preserve">«¿Deben recogerse las firmas físicas de las partes? </w:t>
      </w:r>
    </w:p>
    <w:p w14:paraId="3C04DB86" w14:textId="77777777" w:rsidR="00C63CEA" w:rsidRDefault="006D3DBD" w:rsidP="00C63CEA">
      <w:pPr>
        <w:pStyle w:val="NormalWeb"/>
        <w:spacing w:before="120" w:beforeAutospacing="0" w:after="120" w:afterAutospacing="0" w:line="276"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Con relación a las firmas, según las consideraciones anteriormente expuestas, </w:t>
      </w:r>
      <w:r w:rsidR="009332FC">
        <w:rPr>
          <w:rFonts w:ascii="Arial" w:eastAsia="Calibri" w:hAnsi="Arial" w:cs="Arial"/>
          <w:color w:val="000000" w:themeColor="text1"/>
          <w:sz w:val="22"/>
          <w:szCs w:val="22"/>
        </w:rPr>
        <w:t xml:space="preserve">en la actualidad, la finalidad de la firma, como medio de identificación, puede ser satisfecha a través de la </w:t>
      </w:r>
      <w:r w:rsidR="009332FC" w:rsidRPr="009332FC">
        <w:rPr>
          <w:rFonts w:ascii="Arial" w:eastAsia="Calibri" w:hAnsi="Arial" w:cs="Arial"/>
          <w:color w:val="000000" w:themeColor="text1"/>
          <w:sz w:val="22"/>
          <w:szCs w:val="22"/>
        </w:rPr>
        <w:t>firma digital y la firma electrónica</w:t>
      </w:r>
      <w:r w:rsidR="009332FC">
        <w:rPr>
          <w:rFonts w:ascii="Arial" w:eastAsia="Calibri" w:hAnsi="Arial" w:cs="Arial"/>
          <w:color w:val="000000" w:themeColor="text1"/>
          <w:sz w:val="22"/>
          <w:szCs w:val="22"/>
        </w:rPr>
        <w:t xml:space="preserve">, las cuales son reconocidas como </w:t>
      </w:r>
      <w:r w:rsidR="009332FC" w:rsidRPr="009332FC">
        <w:rPr>
          <w:rFonts w:ascii="Arial" w:eastAsia="Calibri" w:hAnsi="Arial" w:cs="Arial"/>
          <w:color w:val="000000" w:themeColor="text1"/>
          <w:sz w:val="22"/>
          <w:szCs w:val="22"/>
        </w:rPr>
        <w:t>formas de identificación personal en el contexto digital, que pueden ser empleadas para cumplir funciones de identificación, de la integridad de un mensaje de datos y el no repudio del mismo</w:t>
      </w:r>
      <w:r w:rsidR="009332FC">
        <w:rPr>
          <w:rFonts w:ascii="Arial" w:eastAsia="Calibri" w:hAnsi="Arial" w:cs="Arial"/>
          <w:color w:val="000000" w:themeColor="text1"/>
          <w:sz w:val="22"/>
          <w:szCs w:val="22"/>
        </w:rPr>
        <w:t xml:space="preserve">. </w:t>
      </w:r>
    </w:p>
    <w:p w14:paraId="3675272A" w14:textId="31E9CE2E" w:rsidR="00380F1A" w:rsidRDefault="009332FC" w:rsidP="00C63CEA">
      <w:pPr>
        <w:pStyle w:val="NormalWeb"/>
        <w:spacing w:before="120" w:beforeAutospacing="0" w:after="120" w:afterAutospacing="0" w:line="276" w:lineRule="auto"/>
        <w:ind w:firstLine="708"/>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En este sentido, </w:t>
      </w:r>
      <w:r w:rsidR="00387886">
        <w:rPr>
          <w:rFonts w:ascii="Arial" w:eastAsia="Calibri" w:hAnsi="Arial" w:cs="Arial"/>
          <w:color w:val="000000" w:themeColor="text1"/>
          <w:sz w:val="22"/>
          <w:szCs w:val="22"/>
        </w:rPr>
        <w:t>cuando el procedimiento de contratación se lleve a cabo mediante la plataforma digital no existirá necesidad de presentar los documentos con firma manuscrita, a menos que la entidad disponga alguna especialidad para documentos específicos.</w:t>
      </w:r>
      <w:r>
        <w:rPr>
          <w:rFonts w:ascii="Arial" w:eastAsia="Calibri" w:hAnsi="Arial" w:cs="Arial"/>
          <w:color w:val="000000" w:themeColor="text1"/>
          <w:sz w:val="22"/>
          <w:szCs w:val="22"/>
        </w:rPr>
        <w:t xml:space="preserve"> </w:t>
      </w:r>
      <w:r w:rsidR="003F7FB1">
        <w:rPr>
          <w:rFonts w:ascii="Arial" w:eastAsia="Calibri" w:hAnsi="Arial" w:cs="Arial"/>
          <w:color w:val="000000" w:themeColor="text1"/>
          <w:sz w:val="22"/>
          <w:szCs w:val="22"/>
        </w:rPr>
        <w:t>Lo anterior</w:t>
      </w:r>
      <w:r w:rsidR="007118B2">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 xml:space="preserve">coincide con lo contenido en la nota </w:t>
      </w:r>
      <w:r w:rsidR="003F7FB1">
        <w:rPr>
          <w:rFonts w:ascii="Arial" w:eastAsia="Calibri" w:hAnsi="Arial" w:cs="Arial"/>
          <w:color w:val="000000" w:themeColor="text1"/>
          <w:sz w:val="22"/>
          <w:szCs w:val="22"/>
        </w:rPr>
        <w:t>aclaratoria</w:t>
      </w:r>
      <w:r>
        <w:rPr>
          <w:rFonts w:ascii="Arial" w:eastAsia="Calibri" w:hAnsi="Arial" w:cs="Arial"/>
          <w:color w:val="000000" w:themeColor="text1"/>
          <w:sz w:val="22"/>
          <w:szCs w:val="22"/>
        </w:rPr>
        <w:t xml:space="preserve"> </w:t>
      </w:r>
      <w:r w:rsidR="003F7FB1">
        <w:rPr>
          <w:rFonts w:ascii="Arial" w:eastAsia="Calibri" w:hAnsi="Arial" w:cs="Arial"/>
          <w:color w:val="000000" w:themeColor="text1"/>
          <w:sz w:val="22"/>
          <w:szCs w:val="22"/>
        </w:rPr>
        <w:t xml:space="preserve">contenida en la parte final del Anexo 5 </w:t>
      </w:r>
      <w:r w:rsidR="00223F65">
        <w:rPr>
          <w:rFonts w:ascii="Arial" w:eastAsia="Calibri" w:hAnsi="Arial" w:cs="Arial"/>
          <w:color w:val="000000" w:themeColor="text1"/>
          <w:sz w:val="22"/>
          <w:szCs w:val="22"/>
        </w:rPr>
        <w:t>–</w:t>
      </w:r>
      <w:r w:rsidR="003F7FB1">
        <w:rPr>
          <w:rFonts w:ascii="Arial" w:eastAsia="Calibri" w:hAnsi="Arial" w:cs="Arial"/>
          <w:color w:val="000000" w:themeColor="text1"/>
          <w:sz w:val="22"/>
          <w:szCs w:val="22"/>
        </w:rPr>
        <w:t>minuta del contrato</w:t>
      </w:r>
      <w:r w:rsidR="00223F65">
        <w:rPr>
          <w:rFonts w:ascii="Arial" w:eastAsia="Calibri" w:hAnsi="Arial" w:cs="Arial"/>
          <w:color w:val="000000" w:themeColor="text1"/>
          <w:sz w:val="22"/>
          <w:szCs w:val="22"/>
        </w:rPr>
        <w:t>–</w:t>
      </w:r>
      <w:r w:rsidR="003F7FB1">
        <w:rPr>
          <w:rFonts w:ascii="Arial" w:eastAsia="Calibri" w:hAnsi="Arial" w:cs="Arial"/>
          <w:color w:val="000000" w:themeColor="text1"/>
          <w:sz w:val="22"/>
          <w:szCs w:val="22"/>
        </w:rPr>
        <w:t xml:space="preserve">, que </w:t>
      </w:r>
      <w:r w:rsidR="00223F65">
        <w:rPr>
          <w:rFonts w:ascii="Arial" w:eastAsia="Calibri" w:hAnsi="Arial" w:cs="Arial"/>
          <w:color w:val="000000" w:themeColor="text1"/>
          <w:sz w:val="22"/>
          <w:szCs w:val="22"/>
        </w:rPr>
        <w:t>explícitamente señala</w:t>
      </w:r>
      <w:r w:rsidR="003F7FB1">
        <w:rPr>
          <w:rFonts w:ascii="Arial" w:eastAsia="Calibri" w:hAnsi="Arial" w:cs="Arial"/>
          <w:color w:val="000000" w:themeColor="text1"/>
          <w:sz w:val="22"/>
          <w:szCs w:val="22"/>
        </w:rPr>
        <w:t xml:space="preserve"> </w:t>
      </w:r>
      <w:r w:rsidR="00223F65">
        <w:rPr>
          <w:rFonts w:ascii="Arial" w:eastAsia="Calibri" w:hAnsi="Arial" w:cs="Arial"/>
          <w:color w:val="000000" w:themeColor="text1"/>
          <w:sz w:val="22"/>
          <w:szCs w:val="22"/>
        </w:rPr>
        <w:t>«</w:t>
      </w:r>
      <w:r w:rsidR="003F7FB1" w:rsidRPr="003F7FB1">
        <w:rPr>
          <w:rFonts w:ascii="Arial" w:eastAsia="Calibri" w:hAnsi="Arial" w:cs="Arial"/>
          <w:color w:val="000000" w:themeColor="text1"/>
          <w:sz w:val="22"/>
          <w:szCs w:val="22"/>
        </w:rPr>
        <w:t>No incluir la firma manuscrita cuando el contrato se celebre por medio del SECOP II</w:t>
      </w:r>
      <w:r w:rsidR="00223F65">
        <w:rPr>
          <w:rFonts w:ascii="Arial" w:eastAsia="Calibri" w:hAnsi="Arial" w:cs="Arial"/>
          <w:color w:val="000000" w:themeColor="text1"/>
          <w:sz w:val="22"/>
          <w:szCs w:val="22"/>
        </w:rPr>
        <w:t>»</w:t>
      </w:r>
      <w:r w:rsidR="003F7FB1">
        <w:rPr>
          <w:rFonts w:ascii="Arial" w:eastAsia="Calibri" w:hAnsi="Arial" w:cs="Arial"/>
          <w:color w:val="000000" w:themeColor="text1"/>
          <w:sz w:val="22"/>
          <w:szCs w:val="22"/>
        </w:rPr>
        <w:t>.</w:t>
      </w:r>
      <w:r w:rsidR="00C63CEA">
        <w:rPr>
          <w:rFonts w:ascii="Arial" w:eastAsia="Calibri" w:hAnsi="Arial" w:cs="Arial"/>
          <w:color w:val="000000" w:themeColor="text1"/>
          <w:sz w:val="22"/>
          <w:szCs w:val="22"/>
        </w:rPr>
        <w:t xml:space="preserve"> Por tanto, resulta claro que si el procedimiento de contratación se surte a través del SECOP II no será necesario incluir la firma manuscrita en el contrato.</w:t>
      </w:r>
    </w:p>
    <w:p w14:paraId="7812FA9C" w14:textId="77777777" w:rsidR="00223F65" w:rsidRPr="009332FC" w:rsidRDefault="00223F65" w:rsidP="00C63CEA">
      <w:pPr>
        <w:pStyle w:val="NormalWeb"/>
        <w:spacing w:before="120" w:beforeAutospacing="0" w:after="120" w:afterAutospacing="0" w:line="276" w:lineRule="auto"/>
        <w:ind w:firstLine="708"/>
        <w:jc w:val="both"/>
        <w:rPr>
          <w:rFonts w:ascii="Arial" w:eastAsia="Calibri" w:hAnsi="Arial" w:cs="Arial"/>
          <w:color w:val="000000" w:themeColor="text1"/>
          <w:sz w:val="22"/>
          <w:szCs w:val="22"/>
        </w:rPr>
      </w:pPr>
    </w:p>
    <w:p w14:paraId="0738C8F4" w14:textId="77777777" w:rsidR="00A71CEA" w:rsidRPr="006C15D5" w:rsidRDefault="00A71CEA" w:rsidP="00A71CEA">
      <w:pPr>
        <w:spacing w:line="276" w:lineRule="auto"/>
        <w:jc w:val="both"/>
        <w:rPr>
          <w:rFonts w:ascii="Arial" w:eastAsia="Calibri" w:hAnsi="Arial" w:cs="Arial"/>
          <w:color w:val="000000" w:themeColor="text1"/>
          <w:sz w:val="22"/>
        </w:rPr>
      </w:pPr>
      <w:r w:rsidRPr="006A443A">
        <w:rPr>
          <w:rFonts w:ascii="Arial" w:eastAsia="Calibri" w:hAnsi="Arial" w:cs="Arial"/>
          <w:color w:val="000000" w:themeColor="text1"/>
          <w:sz w:val="22"/>
          <w:szCs w:val="22"/>
        </w:rPr>
        <w:t>Este concepto tiene el alcance previsto en el artículo 28 del Cód</w:t>
      </w:r>
      <w:r w:rsidRPr="006C15D5">
        <w:rPr>
          <w:rFonts w:ascii="Arial" w:eastAsia="Calibri" w:hAnsi="Arial" w:cs="Arial"/>
          <w:color w:val="000000" w:themeColor="text1"/>
          <w:sz w:val="22"/>
        </w:rPr>
        <w:t>igo de Procedimiento Administrativo y de lo Contencioso Administrativo.</w:t>
      </w:r>
    </w:p>
    <w:p w14:paraId="27A116DB" w14:textId="77777777" w:rsidR="00B55679" w:rsidRPr="006C15D5" w:rsidRDefault="00B55679" w:rsidP="00623378">
      <w:pPr>
        <w:jc w:val="both"/>
        <w:rPr>
          <w:rFonts w:ascii="Arial" w:eastAsia="Calibri" w:hAnsi="Arial" w:cs="Arial"/>
          <w:color w:val="000000" w:themeColor="text1"/>
          <w:sz w:val="22"/>
        </w:rPr>
      </w:pPr>
    </w:p>
    <w:p w14:paraId="1BD8E63C" w14:textId="77777777" w:rsidR="00A71CEA" w:rsidRDefault="00A71CEA" w:rsidP="00A71CEA">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6B055B12" w14:textId="5B239665" w:rsidR="00A71CEA" w:rsidRDefault="00121176" w:rsidP="00A71CEA">
      <w:pPr>
        <w:jc w:val="center"/>
      </w:pPr>
      <w:r>
        <w:rPr>
          <w:noProof/>
        </w:rPr>
        <w:drawing>
          <wp:inline distT="0" distB="0" distL="0" distR="0" wp14:anchorId="1995494D" wp14:editId="3370F53D">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4783A21F" w14:textId="77777777" w:rsidR="00A71CEA" w:rsidRDefault="00A71CEA" w:rsidP="00A71CEA">
      <w:pPr>
        <w:jc w:val="center"/>
        <w:rPr>
          <w:rFonts w:ascii="Arial" w:hAnsi="Arial" w:cs="Arial"/>
          <w:color w:val="000000" w:themeColor="text1"/>
          <w:sz w:val="18"/>
          <w:szCs w:val="20"/>
          <w:lang w:eastAsia="es-CO"/>
        </w:rPr>
      </w:pPr>
    </w:p>
    <w:p w14:paraId="1FEF5E59" w14:textId="77777777" w:rsidR="00A71CEA" w:rsidRPr="006C15D5" w:rsidRDefault="00A71CEA" w:rsidP="00A71CEA">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3F6D32" w14:paraId="6FD066C0" w14:textId="77777777" w:rsidTr="007F1895">
        <w:trPr>
          <w:trHeight w:val="315"/>
        </w:trPr>
        <w:tc>
          <w:tcPr>
            <w:tcW w:w="812" w:type="dxa"/>
            <w:vAlign w:val="center"/>
            <w:hideMark/>
          </w:tcPr>
          <w:p w14:paraId="3D034311"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6C15D5" w:rsidRDefault="00A71CEA" w:rsidP="007F1895">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02C2374E"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A71CEA" w:rsidRPr="003F6D32" w14:paraId="6CE7FA18" w14:textId="77777777" w:rsidTr="007F1895">
        <w:trPr>
          <w:trHeight w:val="330"/>
        </w:trPr>
        <w:tc>
          <w:tcPr>
            <w:tcW w:w="812" w:type="dxa"/>
            <w:vAlign w:val="center"/>
            <w:hideMark/>
          </w:tcPr>
          <w:p w14:paraId="2902D588"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0EBDAF51" w:rsidR="00A71CEA" w:rsidRDefault="00387886" w:rsidP="007F1895">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15D02354" w14:textId="77777777" w:rsidR="00A71CEA" w:rsidRPr="006C15D5" w:rsidRDefault="00A71CEA" w:rsidP="007F1895">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A71CEA" w:rsidRPr="003F6D32" w14:paraId="4BA2BDE6" w14:textId="77777777" w:rsidTr="007F1895">
        <w:trPr>
          <w:trHeight w:val="300"/>
        </w:trPr>
        <w:tc>
          <w:tcPr>
            <w:tcW w:w="812" w:type="dxa"/>
            <w:vAlign w:val="center"/>
            <w:hideMark/>
          </w:tcPr>
          <w:p w14:paraId="1A726DD9"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Default="00A71CEA" w:rsidP="007F1895">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416E9DA6" w14:textId="77777777" w:rsidR="00A71CEA" w:rsidRPr="006C15D5" w:rsidRDefault="00A71CEA" w:rsidP="007F189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3D5BFD2B" w14:textId="77777777" w:rsidR="00A71CEA" w:rsidRDefault="00A71CEA" w:rsidP="00D53EC8"/>
    <w:sectPr w:rsidR="00A71CEA"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41766" w14:textId="77777777" w:rsidR="00A11DE7" w:rsidRDefault="00A11DE7" w:rsidP="00A71CEA">
      <w:r>
        <w:separator/>
      </w:r>
    </w:p>
  </w:endnote>
  <w:endnote w:type="continuationSeparator" w:id="0">
    <w:p w14:paraId="51337E4D" w14:textId="77777777" w:rsidR="00A11DE7" w:rsidRDefault="00A11DE7"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7320CF4F" w:rsidP="007F1895">
    <w:pPr>
      <w:pStyle w:val="Piedepgina"/>
      <w:jc w:val="center"/>
      <w:rPr>
        <w:lang w:val="es-ES"/>
      </w:rPr>
    </w:pPr>
    <w:r>
      <w:rPr>
        <w:noProof/>
      </w:rPr>
      <w:drawing>
        <wp:inline distT="0" distB="0" distL="0" distR="0" wp14:anchorId="1A50E6AF" wp14:editId="7A34EB4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73940" w14:textId="77777777" w:rsidR="00A11DE7" w:rsidRDefault="00A11DE7" w:rsidP="00A71CEA">
      <w:r>
        <w:separator/>
      </w:r>
    </w:p>
  </w:footnote>
  <w:footnote w:type="continuationSeparator" w:id="0">
    <w:p w14:paraId="1C5525CD" w14:textId="77777777" w:rsidR="00A11DE7" w:rsidRDefault="00A11DE7" w:rsidP="00A71CEA">
      <w:r>
        <w:continuationSeparator/>
      </w:r>
    </w:p>
  </w:footnote>
  <w:footnote w:id="1">
    <w:p w14:paraId="53DA1360" w14:textId="77777777" w:rsidR="00BB51F3" w:rsidRPr="00D8778D" w:rsidRDefault="00BB51F3" w:rsidP="00BB51F3">
      <w:pPr>
        <w:pStyle w:val="Textonotapie"/>
        <w:ind w:firstLine="708"/>
        <w:jc w:val="both"/>
        <w:rPr>
          <w:rFonts w:ascii="Arial" w:hAnsi="Arial" w:cs="Arial"/>
          <w:sz w:val="19"/>
          <w:szCs w:val="19"/>
          <w:lang w:val="es-CO"/>
        </w:rPr>
      </w:pPr>
      <w:r w:rsidRPr="00D8778D">
        <w:rPr>
          <w:rStyle w:val="Refdenotaalpie"/>
          <w:rFonts w:ascii="Arial" w:hAnsi="Arial" w:cs="Arial"/>
          <w:sz w:val="19"/>
          <w:szCs w:val="19"/>
        </w:rPr>
        <w:footnoteRef/>
      </w:r>
      <w:r w:rsidRPr="00D8778D">
        <w:rPr>
          <w:rFonts w:ascii="Arial" w:hAnsi="Arial" w:cs="Arial"/>
          <w:sz w:val="19"/>
          <w:szCs w:val="19"/>
        </w:rPr>
        <w:t xml:space="preserve"> Para la modalidad de mínima cuantía no se implementó minuta, ya que de conformidad con el numeral 8 del artículo 2.2.1.2.1.5.2 del Decreto 1082 de 2015 «</w:t>
      </w:r>
      <w:r w:rsidRPr="00D8778D">
        <w:rPr>
          <w:rFonts w:ascii="Arial" w:hAnsi="Arial" w:cs="Arial"/>
          <w:color w:val="000000"/>
          <w:sz w:val="19"/>
          <w:szCs w:val="19"/>
        </w:rPr>
        <w:t>La oferta y su aceptación constituyen el contrato».</w:t>
      </w:r>
    </w:p>
  </w:footnote>
  <w:footnote w:id="2">
    <w:p w14:paraId="444D34E5" w14:textId="77777777" w:rsidR="00387886" w:rsidRPr="00D8778D" w:rsidRDefault="00387886" w:rsidP="00D8778D">
      <w:pPr>
        <w:pStyle w:val="Textonotapie"/>
        <w:ind w:firstLine="708"/>
        <w:jc w:val="both"/>
        <w:rPr>
          <w:rFonts w:ascii="Arial" w:eastAsia="Calibri" w:hAnsi="Arial" w:cs="Arial"/>
          <w:color w:val="000000" w:themeColor="text1"/>
          <w:sz w:val="19"/>
          <w:szCs w:val="19"/>
        </w:rPr>
      </w:pPr>
      <w:r w:rsidRPr="00D8778D">
        <w:rPr>
          <w:rStyle w:val="Refdenotaalpie"/>
          <w:rFonts w:ascii="Arial" w:hAnsi="Arial" w:cs="Arial"/>
          <w:color w:val="000000" w:themeColor="text1"/>
          <w:sz w:val="19"/>
          <w:szCs w:val="19"/>
        </w:rPr>
        <w:footnoteRef/>
      </w:r>
      <w:r w:rsidRPr="00D8778D">
        <w:rPr>
          <w:rFonts w:ascii="Arial" w:hAnsi="Arial" w:cs="Arial"/>
          <w:color w:val="000000" w:themeColor="text1"/>
          <w:sz w:val="19"/>
          <w:szCs w:val="19"/>
        </w:rPr>
        <w:t xml:space="preserve"> </w:t>
      </w:r>
      <w:r w:rsidRPr="00D8778D">
        <w:rPr>
          <w:rFonts w:ascii="Arial" w:eastAsia="Calibri" w:hAnsi="Arial" w:cs="Arial"/>
          <w:color w:val="000000" w:themeColor="text1"/>
          <w:sz w:val="19"/>
          <w:szCs w:val="19"/>
        </w:rPr>
        <w:t xml:space="preserve">Diario Oficial. Gaceta del Congreso 458 de 2005. </w:t>
      </w:r>
    </w:p>
    <w:p w14:paraId="60F31D91" w14:textId="77777777" w:rsidR="00387886" w:rsidRPr="00D8778D" w:rsidRDefault="00387886" w:rsidP="00D8778D">
      <w:pPr>
        <w:pStyle w:val="Textonotapie"/>
        <w:ind w:firstLine="708"/>
        <w:jc w:val="both"/>
        <w:rPr>
          <w:rFonts w:ascii="Arial" w:hAnsi="Arial" w:cs="Arial"/>
          <w:color w:val="000000" w:themeColor="text1"/>
          <w:sz w:val="19"/>
          <w:szCs w:val="19"/>
          <w:lang w:val="es-ES"/>
        </w:rPr>
      </w:pPr>
    </w:p>
  </w:footnote>
  <w:footnote w:id="3">
    <w:p w14:paraId="69C21E7D" w14:textId="77777777" w:rsidR="00387886" w:rsidRPr="00D8778D" w:rsidRDefault="00387886" w:rsidP="00D8778D">
      <w:pPr>
        <w:pStyle w:val="Textonotapie"/>
        <w:ind w:left="708"/>
        <w:jc w:val="both"/>
        <w:rPr>
          <w:rFonts w:ascii="Arial" w:hAnsi="Arial" w:cs="Arial"/>
          <w:color w:val="000000" w:themeColor="text1"/>
          <w:sz w:val="19"/>
          <w:szCs w:val="19"/>
          <w:lang w:val="es-ES"/>
        </w:rPr>
      </w:pPr>
      <w:r w:rsidRPr="00D8778D">
        <w:rPr>
          <w:rFonts w:ascii="Arial" w:hAnsi="Arial" w:cs="Arial"/>
          <w:color w:val="000000" w:themeColor="text1"/>
          <w:sz w:val="19"/>
          <w:szCs w:val="19"/>
          <w:vertAlign w:val="superscript"/>
          <w:lang w:val="es-ES"/>
        </w:rPr>
        <w:footnoteRef/>
      </w:r>
      <w:r w:rsidRPr="00D8778D">
        <w:rPr>
          <w:rFonts w:ascii="Arial" w:hAnsi="Arial" w:cs="Arial"/>
          <w:color w:val="000000" w:themeColor="text1"/>
          <w:sz w:val="19"/>
          <w:szCs w:val="19"/>
          <w:vertAlign w:val="superscript"/>
          <w:lang w:val="es-ES"/>
        </w:rPr>
        <w:t xml:space="preserve"> </w:t>
      </w:r>
      <w:r w:rsidRPr="00D8778D">
        <w:rPr>
          <w:rFonts w:ascii="Arial" w:hAnsi="Arial" w:cs="Arial"/>
          <w:i/>
          <w:iCs/>
          <w:color w:val="000000" w:themeColor="text1"/>
          <w:sz w:val="19"/>
          <w:szCs w:val="19"/>
          <w:lang w:val="es-ES"/>
        </w:rPr>
        <w:t>Ibídem</w:t>
      </w:r>
      <w:r w:rsidRPr="00D8778D">
        <w:rPr>
          <w:rFonts w:ascii="Arial" w:hAnsi="Arial" w:cs="Arial"/>
          <w:color w:val="000000" w:themeColor="text1"/>
          <w:sz w:val="19"/>
          <w:szCs w:val="19"/>
          <w:lang w:val="es-ES"/>
        </w:rPr>
        <w:t xml:space="preserve">. </w:t>
      </w:r>
    </w:p>
    <w:p w14:paraId="571880F1" w14:textId="77777777" w:rsidR="00387886" w:rsidRPr="00D8778D" w:rsidRDefault="00387886" w:rsidP="00D8778D">
      <w:pPr>
        <w:pStyle w:val="Textonotapie"/>
        <w:ind w:left="708"/>
        <w:jc w:val="both"/>
        <w:rPr>
          <w:rFonts w:ascii="Arial" w:hAnsi="Arial" w:cs="Arial"/>
          <w:color w:val="000000" w:themeColor="text1"/>
          <w:sz w:val="19"/>
          <w:szCs w:val="19"/>
          <w:lang w:val="es-ES"/>
        </w:rPr>
      </w:pPr>
    </w:p>
  </w:footnote>
  <w:footnote w:id="4">
    <w:p w14:paraId="62178E17" w14:textId="77777777" w:rsidR="00387886" w:rsidRPr="00D8778D" w:rsidRDefault="00387886" w:rsidP="00D8778D">
      <w:pPr>
        <w:pStyle w:val="Textonotapie"/>
        <w:ind w:firstLine="708"/>
        <w:jc w:val="both"/>
        <w:rPr>
          <w:rFonts w:ascii="Arial" w:hAnsi="Arial" w:cs="Arial"/>
          <w:color w:val="000000" w:themeColor="text1"/>
          <w:sz w:val="19"/>
          <w:szCs w:val="19"/>
          <w:lang w:val="es-ES"/>
        </w:rPr>
      </w:pPr>
      <w:r w:rsidRPr="00D8778D">
        <w:rPr>
          <w:rFonts w:ascii="Arial" w:hAnsi="Arial" w:cs="Arial"/>
          <w:color w:val="000000" w:themeColor="text1"/>
          <w:sz w:val="19"/>
          <w:szCs w:val="19"/>
          <w:vertAlign w:val="superscript"/>
          <w:lang w:val="es-ES"/>
        </w:rPr>
        <w:footnoteRef/>
      </w:r>
      <w:r w:rsidRPr="00D8778D">
        <w:rPr>
          <w:rFonts w:ascii="Arial" w:hAnsi="Arial" w:cs="Arial"/>
          <w:color w:val="000000" w:themeColor="text1"/>
          <w:sz w:val="19"/>
          <w:szCs w:val="19"/>
          <w:lang w:val="es-ES"/>
        </w:rPr>
        <w:t xml:space="preserve"> Diario Oficial. Gaceta del Congreso 416 de 2007, Informe de Conciliación Senado. </w:t>
      </w:r>
    </w:p>
  </w:footnote>
  <w:footnote w:id="5">
    <w:p w14:paraId="1DD0D8DA" w14:textId="77777777" w:rsidR="00387886" w:rsidRPr="00D8778D" w:rsidRDefault="00387886" w:rsidP="00D8778D">
      <w:pPr>
        <w:pStyle w:val="NormalWeb"/>
        <w:spacing w:before="0" w:beforeAutospacing="0" w:after="120" w:afterAutospacing="0" w:line="254" w:lineRule="atLeast"/>
        <w:ind w:firstLine="709"/>
        <w:jc w:val="both"/>
        <w:rPr>
          <w:rFonts w:ascii="Arial" w:hAnsi="Arial" w:cs="Arial"/>
          <w:sz w:val="19"/>
          <w:szCs w:val="19"/>
        </w:rPr>
      </w:pPr>
      <w:r w:rsidRPr="00F3225B">
        <w:rPr>
          <w:rStyle w:val="Refdenotaalpie"/>
          <w:rFonts w:ascii="Arial" w:hAnsi="Arial" w:cs="Arial"/>
          <w:sz w:val="19"/>
          <w:szCs w:val="19"/>
        </w:rPr>
        <w:footnoteRef/>
      </w:r>
      <w:r w:rsidRPr="00F3225B">
        <w:rPr>
          <w:rFonts w:ascii="Arial" w:hAnsi="Arial" w:cs="Arial"/>
          <w:sz w:val="19"/>
          <w:szCs w:val="19"/>
        </w:rPr>
        <w:t xml:space="preserve"> </w:t>
      </w:r>
      <w:r w:rsidRPr="00D8778D">
        <w:rPr>
          <w:rFonts w:ascii="Arial" w:hAnsi="Arial" w:cs="Arial"/>
          <w:sz w:val="19"/>
          <w:szCs w:val="19"/>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w:t>
      </w:r>
      <w:r w:rsidRPr="00D8778D">
        <w:rPr>
          <w:rFonts w:ascii="Arial" w:hAnsi="Arial" w:cs="Arial"/>
          <w:i/>
          <w:iCs/>
          <w:sz w:val="19"/>
          <w:szCs w:val="19"/>
        </w:rPr>
        <w:t>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w:t>
      </w:r>
      <w:r w:rsidRPr="00D8778D">
        <w:rPr>
          <w:rFonts w:ascii="Arial" w:hAnsi="Arial" w:cs="Arial"/>
          <w:sz w:val="19"/>
          <w:szCs w:val="19"/>
        </w:rPr>
        <w:t>,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 </w:t>
      </w:r>
    </w:p>
    <w:p w14:paraId="701BE9DA" w14:textId="77777777" w:rsidR="00387886" w:rsidRPr="00D8778D" w:rsidRDefault="00387886">
      <w:pPr>
        <w:spacing w:after="120" w:line="254" w:lineRule="atLeast"/>
        <w:jc w:val="both"/>
        <w:rPr>
          <w:rFonts w:ascii="Arial" w:hAnsi="Arial" w:cs="Arial"/>
          <w:sz w:val="19"/>
          <w:szCs w:val="19"/>
          <w:lang w:eastAsia="es-CO"/>
        </w:rPr>
      </w:pPr>
      <w:r w:rsidRPr="00D8778D">
        <w:rPr>
          <w:rFonts w:ascii="Arial" w:hAnsi="Arial" w:cs="Arial"/>
          <w:i/>
          <w:iCs/>
          <w:sz w:val="19"/>
          <w:szCs w:val="19"/>
          <w:lang w:eastAsia="es-CO"/>
        </w:rPr>
        <w:t>La facultad de adoptar documentos tipo la tendrá el Gobierno nacional, cuando lo considere necesario, en relación con otros contratos o procesos de selección</w:t>
      </w:r>
      <w:r w:rsidRPr="00D8778D">
        <w:rPr>
          <w:rFonts w:ascii="Arial" w:hAnsi="Arial" w:cs="Arial"/>
          <w:sz w:val="19"/>
          <w:szCs w:val="19"/>
          <w:lang w:eastAsia="es-CO"/>
        </w:rPr>
        <w:t>. </w:t>
      </w:r>
    </w:p>
    <w:p w14:paraId="79E7350C" w14:textId="77777777" w:rsidR="00387886" w:rsidRPr="00D8778D" w:rsidRDefault="00387886">
      <w:pPr>
        <w:spacing w:line="254" w:lineRule="atLeast"/>
        <w:jc w:val="both"/>
        <w:rPr>
          <w:rFonts w:ascii="Arial" w:hAnsi="Arial" w:cs="Arial"/>
          <w:sz w:val="19"/>
          <w:szCs w:val="19"/>
          <w:lang w:eastAsia="es-CO"/>
        </w:rPr>
      </w:pPr>
      <w:r w:rsidRPr="00D8778D">
        <w:rPr>
          <w:rFonts w:ascii="Arial" w:hAnsi="Arial" w:cs="Arial"/>
          <w:sz w:val="19"/>
          <w:szCs w:val="19"/>
          <w:lang w:eastAsia="es-CO"/>
        </w:rPr>
        <w:t>Los pliegos tipo se adoptarán por categorías de acuerdo con la cuantía de la contratación, según la reglamentación que expida el Gobierno nacional. (Énfasis fuera de texto)</w:t>
      </w:r>
    </w:p>
    <w:p w14:paraId="1C69301D" w14:textId="35EAFA15" w:rsidR="00387886" w:rsidRPr="00F3225B" w:rsidRDefault="00387886" w:rsidP="00F3225B">
      <w:pPr>
        <w:pStyle w:val="Textonotapie"/>
        <w:jc w:val="both"/>
        <w:rPr>
          <w:rFonts w:ascii="Arial" w:hAnsi="Arial" w:cs="Arial"/>
          <w:sz w:val="19"/>
          <w:szCs w:val="19"/>
          <w:lang w:val="es-ES"/>
        </w:rPr>
      </w:pPr>
    </w:p>
  </w:footnote>
  <w:footnote w:id="6">
    <w:p w14:paraId="6738EE1A" w14:textId="71978B8E" w:rsidR="00387886" w:rsidRPr="00D8778D" w:rsidRDefault="00387886">
      <w:pPr>
        <w:pStyle w:val="Textonotapie"/>
        <w:ind w:firstLine="708"/>
        <w:jc w:val="both"/>
        <w:rPr>
          <w:rFonts w:ascii="Arial" w:hAnsi="Arial" w:cs="Arial"/>
          <w:sz w:val="19"/>
          <w:szCs w:val="19"/>
          <w:lang w:val="es-CO"/>
        </w:rPr>
      </w:pPr>
      <w:r w:rsidRPr="00D8778D">
        <w:rPr>
          <w:rStyle w:val="Refdenotaalpie"/>
          <w:rFonts w:ascii="Arial" w:hAnsi="Arial" w:cs="Arial"/>
          <w:sz w:val="19"/>
          <w:szCs w:val="19"/>
        </w:rPr>
        <w:footnoteRef/>
      </w:r>
      <w:r w:rsidRPr="00D8778D">
        <w:rPr>
          <w:rFonts w:ascii="Arial" w:hAnsi="Arial" w:cs="Arial"/>
          <w:sz w:val="19"/>
          <w:szCs w:val="19"/>
        </w:rPr>
        <w:t xml:space="preserve"> </w:t>
      </w:r>
      <w:r w:rsidRPr="00D8778D">
        <w:rPr>
          <w:rFonts w:ascii="Arial" w:hAnsi="Arial" w:cs="Arial"/>
          <w:sz w:val="19"/>
          <w:szCs w:val="19"/>
          <w:lang w:val="es-CO"/>
        </w:rPr>
        <w:t xml:space="preserve"> </w:t>
      </w:r>
      <w:r w:rsidRPr="00D8778D">
        <w:rPr>
          <w:rFonts w:ascii="Arial" w:hAnsi="Arial" w:cs="Arial"/>
          <w:sz w:val="19"/>
          <w:szCs w:val="19"/>
          <w:lang w:val="es-CO"/>
        </w:rPr>
        <w:t>Ley 2022 de 2020 «Artículo 1°. Modifíquese el artículo 4</w:t>
      </w:r>
      <w:r w:rsidR="00FA4CC2" w:rsidRPr="00D8778D">
        <w:rPr>
          <w:rFonts w:ascii="Arial" w:hAnsi="Arial" w:cs="Arial"/>
          <w:sz w:val="19"/>
          <w:szCs w:val="19"/>
          <w:lang w:val="es-CO"/>
        </w:rPr>
        <w:t>o.</w:t>
      </w:r>
      <w:r w:rsidRPr="00D8778D">
        <w:rPr>
          <w:rFonts w:ascii="Arial" w:hAnsi="Arial" w:cs="Arial"/>
          <w:sz w:val="19"/>
          <w:szCs w:val="19"/>
          <w:lang w:val="es-CO"/>
        </w:rPr>
        <w:t xml:space="preserve"> de la Ley 1882 de 2018, el cual quedará así: </w:t>
      </w:r>
    </w:p>
    <w:p w14:paraId="0E1355A8" w14:textId="77777777" w:rsidR="00387886" w:rsidRPr="00D8778D" w:rsidRDefault="00387886">
      <w:pPr>
        <w:pStyle w:val="Textonotapie"/>
        <w:ind w:firstLine="708"/>
        <w:jc w:val="both"/>
        <w:rPr>
          <w:rFonts w:ascii="Arial" w:hAnsi="Arial" w:cs="Arial"/>
          <w:sz w:val="19"/>
          <w:szCs w:val="19"/>
          <w:lang w:val="es-CO"/>
        </w:rPr>
      </w:pPr>
      <w:r w:rsidRPr="00D8778D">
        <w:rPr>
          <w:rFonts w:ascii="Arial" w:hAnsi="Arial" w:cs="Arial"/>
          <w:sz w:val="19"/>
          <w:szCs w:val="19"/>
          <w:lang w:val="es-CO"/>
        </w:rPr>
        <w:t>»Artículo 4°. Adiciónese el siguiente parágrafo al artículo 20 de la Ley 1150 de 2007.</w:t>
      </w:r>
    </w:p>
    <w:p w14:paraId="16C9CB53" w14:textId="77777777" w:rsidR="00387886" w:rsidRPr="00D8778D" w:rsidRDefault="00387886">
      <w:pPr>
        <w:pStyle w:val="Textonotapie"/>
        <w:ind w:firstLine="708"/>
        <w:jc w:val="both"/>
        <w:rPr>
          <w:rFonts w:ascii="Arial" w:hAnsi="Arial" w:cs="Arial"/>
          <w:sz w:val="19"/>
          <w:szCs w:val="19"/>
          <w:lang w:val="es-CO"/>
        </w:rPr>
      </w:pPr>
      <w:r w:rsidRPr="00D8778D">
        <w:rPr>
          <w:rFonts w:ascii="Arial" w:hAnsi="Arial" w:cs="Arial"/>
          <w:sz w:val="19"/>
          <w:szCs w:val="19"/>
          <w:lang w:val="es-CO"/>
        </w:rPr>
        <w:t xml:space="preserve">»Parágrafo 7°.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689F8F5" w14:textId="77777777" w:rsidR="00387886" w:rsidRPr="00D8778D" w:rsidRDefault="00387886">
      <w:pPr>
        <w:pStyle w:val="Textonotapie"/>
        <w:ind w:firstLine="708"/>
        <w:jc w:val="both"/>
        <w:rPr>
          <w:rFonts w:ascii="Arial" w:hAnsi="Arial" w:cs="Arial"/>
          <w:sz w:val="19"/>
          <w:szCs w:val="19"/>
          <w:lang w:val="es-CO"/>
        </w:rPr>
      </w:pPr>
      <w:r w:rsidRPr="00D8778D">
        <w:rPr>
          <w:rFonts w:ascii="Arial" w:hAnsi="Arial" w:cs="Arial"/>
          <w:sz w:val="19"/>
          <w:szCs w:val="19"/>
          <w:lang w:val="es-CO"/>
        </w:rPr>
        <w:t xml:space="preserve">»Dentro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620A5A0" w14:textId="77777777" w:rsidR="00387886" w:rsidRPr="00D8778D" w:rsidRDefault="00387886">
      <w:pPr>
        <w:pStyle w:val="Textonotapie"/>
        <w:ind w:firstLine="708"/>
        <w:jc w:val="both"/>
        <w:rPr>
          <w:rFonts w:ascii="Arial" w:hAnsi="Arial" w:cs="Arial"/>
          <w:sz w:val="19"/>
          <w:szCs w:val="19"/>
          <w:lang w:val="es-CO"/>
        </w:rPr>
      </w:pPr>
      <w:r w:rsidRPr="00D8778D">
        <w:rPr>
          <w:rFonts w:ascii="Arial" w:hAnsi="Arial" w:cs="Arial"/>
          <w:sz w:val="19"/>
          <w:szCs w:val="19"/>
          <w:lang w:val="es-CO"/>
        </w:rPr>
        <w:t xml:space="preserve">»Con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D7E9DB4" w14:textId="77777777" w:rsidR="00387886" w:rsidRPr="00D8778D" w:rsidRDefault="00387886">
      <w:pPr>
        <w:pStyle w:val="Textonotapie"/>
        <w:ind w:firstLine="708"/>
        <w:jc w:val="both"/>
        <w:rPr>
          <w:rFonts w:ascii="Arial" w:hAnsi="Arial" w:cs="Arial"/>
          <w:sz w:val="19"/>
          <w:szCs w:val="19"/>
          <w:lang w:val="es-CO"/>
        </w:rPr>
      </w:pPr>
      <w:r w:rsidRPr="00D8778D">
        <w:rPr>
          <w:rFonts w:ascii="Arial" w:hAnsi="Arial" w:cs="Arial"/>
          <w:sz w:val="19"/>
          <w:szCs w:val="19"/>
          <w:lang w:val="es-CO"/>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D74CD2B" w14:textId="60C7E9B2" w:rsidR="00387886" w:rsidRPr="00D8778D" w:rsidRDefault="00387886">
      <w:pPr>
        <w:pStyle w:val="Textonotapie"/>
        <w:ind w:firstLine="708"/>
        <w:jc w:val="both"/>
        <w:rPr>
          <w:rFonts w:ascii="Arial" w:hAnsi="Arial" w:cs="Arial"/>
          <w:sz w:val="19"/>
          <w:szCs w:val="19"/>
          <w:lang w:val="es-CO"/>
        </w:rPr>
      </w:pPr>
      <w:r w:rsidRPr="00D8778D">
        <w:rPr>
          <w:rFonts w:ascii="Arial" w:hAnsi="Arial" w:cs="Arial"/>
          <w:sz w:val="19"/>
          <w:szCs w:val="19"/>
          <w:lang w:val="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p w14:paraId="2288918A" w14:textId="77777777" w:rsidR="00262DCF" w:rsidRPr="00F3225B" w:rsidRDefault="00262DCF">
      <w:pPr>
        <w:pStyle w:val="Textonotapie"/>
        <w:ind w:firstLine="708"/>
        <w:jc w:val="both"/>
        <w:rPr>
          <w:rFonts w:ascii="Arial" w:hAnsi="Arial" w:cs="Arial"/>
          <w:sz w:val="19"/>
          <w:szCs w:val="19"/>
          <w:lang w:val="es-CO"/>
        </w:rPr>
      </w:pPr>
    </w:p>
  </w:footnote>
  <w:footnote w:id="7">
    <w:p w14:paraId="65F614B1" w14:textId="77777777" w:rsidR="00387886" w:rsidRPr="00D8778D" w:rsidRDefault="00387886">
      <w:pPr>
        <w:pStyle w:val="Textonotapie"/>
        <w:ind w:firstLine="708"/>
        <w:jc w:val="both"/>
        <w:rPr>
          <w:rFonts w:ascii="Arial" w:hAnsi="Arial" w:cs="Arial"/>
          <w:sz w:val="19"/>
          <w:szCs w:val="19"/>
          <w:lang w:val="es-CO"/>
        </w:rPr>
      </w:pPr>
      <w:r w:rsidRPr="00D8778D">
        <w:rPr>
          <w:rStyle w:val="Refdenotaalpie"/>
          <w:rFonts w:ascii="Arial" w:hAnsi="Arial" w:cs="Arial"/>
          <w:sz w:val="19"/>
          <w:szCs w:val="19"/>
        </w:rPr>
        <w:footnoteRef/>
      </w:r>
      <w:r w:rsidRPr="00D8778D">
        <w:rPr>
          <w:rFonts w:ascii="Arial" w:hAnsi="Arial" w:cs="Arial"/>
          <w:sz w:val="19"/>
          <w:szCs w:val="19"/>
        </w:rPr>
        <w:t xml:space="preserve"> </w:t>
      </w:r>
      <w:r w:rsidRPr="00D8778D">
        <w:rPr>
          <w:rFonts w:ascii="Arial" w:hAnsi="Arial" w:cs="Arial"/>
          <w:sz w:val="19"/>
          <w:szCs w:val="19"/>
        </w:rPr>
        <w:t>Para la modalidad de mínima cuantía no se implementó minuta, ya que de conformidad con el numeral 8 del artículo 2.2.1.2.1.5.2 del Decreto 1082 de 2015 «</w:t>
      </w:r>
      <w:r w:rsidRPr="00D8778D">
        <w:rPr>
          <w:rFonts w:ascii="Arial" w:hAnsi="Arial" w:cs="Arial"/>
          <w:color w:val="000000"/>
          <w:sz w:val="19"/>
          <w:szCs w:val="19"/>
        </w:rPr>
        <w:t>La oferta y su aceptación constituyen el contrato».</w:t>
      </w:r>
    </w:p>
  </w:footnote>
  <w:footnote w:id="8">
    <w:p w14:paraId="5A3B69A7" w14:textId="5DD1C66A" w:rsidR="00D8778D" w:rsidRPr="00F3225B" w:rsidRDefault="00D8778D" w:rsidP="00F3225B">
      <w:pPr>
        <w:pStyle w:val="Textonotapie"/>
        <w:ind w:firstLine="708"/>
        <w:jc w:val="both"/>
        <w:rPr>
          <w:rFonts w:ascii="Arial" w:hAnsi="Arial" w:cs="Arial"/>
          <w:sz w:val="19"/>
          <w:szCs w:val="19"/>
          <w:lang w:val="es-CO"/>
        </w:rPr>
      </w:pPr>
      <w:r w:rsidRPr="00F3225B">
        <w:rPr>
          <w:rStyle w:val="Refdenotaalpie"/>
          <w:rFonts w:ascii="Arial" w:hAnsi="Arial" w:cs="Arial"/>
          <w:sz w:val="19"/>
          <w:szCs w:val="19"/>
        </w:rPr>
        <w:footnoteRef/>
      </w:r>
      <w:r w:rsidRPr="00F3225B">
        <w:rPr>
          <w:rFonts w:ascii="Arial" w:hAnsi="Arial" w:cs="Arial"/>
          <w:sz w:val="19"/>
          <w:szCs w:val="19"/>
        </w:rPr>
        <w:t xml:space="preserve"> </w:t>
      </w:r>
      <w:r w:rsidRPr="00F3225B">
        <w:rPr>
          <w:rFonts w:ascii="Arial" w:hAnsi="Arial" w:cs="Arial"/>
          <w:sz w:val="19"/>
          <w:szCs w:val="19"/>
        </w:rPr>
        <w:t>En efecto, cabe aclara que</w:t>
      </w:r>
      <w:r>
        <w:rPr>
          <w:rFonts w:ascii="Arial" w:hAnsi="Arial" w:cs="Arial"/>
          <w:sz w:val="19"/>
          <w:szCs w:val="19"/>
        </w:rPr>
        <w:t>,</w:t>
      </w:r>
      <w:r w:rsidRPr="00F3225B">
        <w:rPr>
          <w:rFonts w:ascii="Arial" w:hAnsi="Arial" w:cs="Arial"/>
          <w:sz w:val="19"/>
          <w:szCs w:val="19"/>
        </w:rPr>
        <w:t xml:space="preserve"> en términos generales</w:t>
      </w:r>
      <w:r>
        <w:rPr>
          <w:rFonts w:ascii="Arial" w:hAnsi="Arial" w:cs="Arial"/>
          <w:sz w:val="19"/>
          <w:szCs w:val="19"/>
        </w:rPr>
        <w:t>,</w:t>
      </w:r>
      <w:r w:rsidRPr="00F3225B">
        <w:rPr>
          <w:rFonts w:ascii="Arial" w:hAnsi="Arial" w:cs="Arial"/>
          <w:sz w:val="19"/>
          <w:szCs w:val="19"/>
        </w:rPr>
        <w:t xml:space="preserve"> el SECOP II </w:t>
      </w:r>
      <w:r w:rsidRPr="00F3225B">
        <w:rPr>
          <w:rFonts w:ascii="Arial" w:eastAsia="Calibri" w:hAnsi="Arial" w:cs="Arial"/>
          <w:color w:val="000000" w:themeColor="text1"/>
          <w:sz w:val="19"/>
          <w:szCs w:val="19"/>
        </w:rPr>
        <w:t>es una plataforma transaccional que permite gestionar en línea todos los procedimientos de contratación, con cuentas y usuarios asociados a las entidades estatales y a los proveedores, y con la posibilidad de vista pública para cualquier interesado en hacer seguimiento a la contratación pública. Desde sus cuentas, las entidades estatales crean, evalúan y adjudican procedimientos de contratación y, además, gestionan la fase de ejecución del contrato. Por su parte, los proveedores pueden hacer comentarios a los documentos del procedimiento, presentar ofertas y seguir el procedimiento de selección en línea.</w:t>
      </w:r>
    </w:p>
  </w:footnote>
  <w:footnote w:id="9">
    <w:p w14:paraId="1373AA6F" w14:textId="7588020A" w:rsidR="00387886" w:rsidRDefault="00387886" w:rsidP="00D8778D">
      <w:pPr>
        <w:pStyle w:val="Textonotapie"/>
        <w:ind w:firstLine="708"/>
        <w:jc w:val="both"/>
        <w:rPr>
          <w:rFonts w:ascii="Arial" w:hAnsi="Arial" w:cs="Arial"/>
          <w:sz w:val="19"/>
          <w:szCs w:val="19"/>
          <w:lang w:val="es-ES"/>
        </w:rPr>
      </w:pPr>
      <w:r w:rsidRPr="00D8778D">
        <w:rPr>
          <w:rStyle w:val="Refdenotaalpie"/>
          <w:rFonts w:ascii="Arial" w:hAnsi="Arial" w:cs="Arial"/>
          <w:sz w:val="19"/>
          <w:szCs w:val="19"/>
        </w:rPr>
        <w:footnoteRef/>
      </w:r>
      <w:r w:rsidRPr="00F3225B">
        <w:rPr>
          <w:rFonts w:ascii="Arial" w:hAnsi="Arial" w:cs="Arial"/>
          <w:sz w:val="19"/>
          <w:szCs w:val="19"/>
        </w:rPr>
        <w:t xml:space="preserve"> </w:t>
      </w:r>
      <w:r w:rsidRPr="00D8778D">
        <w:rPr>
          <w:rFonts w:ascii="Arial" w:hAnsi="Arial" w:cs="Arial"/>
          <w:sz w:val="19"/>
          <w:szCs w:val="19"/>
          <w:lang w:val="es-ES"/>
        </w:rPr>
        <w:t>REMOLINA, Nelson y PEÑA, Lisandro De los títulos valores y de los valores en el contexto digital. Bogotá: Temis, 2011. p. 120.</w:t>
      </w:r>
    </w:p>
    <w:p w14:paraId="7DC3345D" w14:textId="77777777" w:rsidR="00D8778D" w:rsidRPr="00D8778D" w:rsidRDefault="00D8778D" w:rsidP="00F3225B">
      <w:pPr>
        <w:pStyle w:val="Textonotapie"/>
        <w:ind w:firstLine="708"/>
        <w:jc w:val="both"/>
        <w:rPr>
          <w:rFonts w:ascii="Arial" w:hAnsi="Arial" w:cs="Arial"/>
          <w:sz w:val="19"/>
          <w:szCs w:val="19"/>
          <w:lang w:val="es-ES"/>
        </w:rPr>
      </w:pPr>
    </w:p>
  </w:footnote>
  <w:footnote w:id="10">
    <w:p w14:paraId="575E1840" w14:textId="77777777" w:rsidR="00387886" w:rsidRPr="00D8778D" w:rsidRDefault="00387886" w:rsidP="00F3225B">
      <w:pPr>
        <w:pStyle w:val="Textonotapie"/>
        <w:ind w:firstLine="708"/>
        <w:jc w:val="both"/>
        <w:rPr>
          <w:rFonts w:ascii="Arial" w:hAnsi="Arial" w:cs="Arial"/>
          <w:sz w:val="19"/>
          <w:szCs w:val="19"/>
        </w:rPr>
      </w:pPr>
      <w:r w:rsidRPr="00D8778D">
        <w:rPr>
          <w:rStyle w:val="Refdenotaalpie"/>
          <w:rFonts w:ascii="Arial" w:hAnsi="Arial" w:cs="Arial"/>
          <w:sz w:val="19"/>
          <w:szCs w:val="19"/>
        </w:rPr>
        <w:footnoteRef/>
      </w:r>
      <w:r w:rsidRPr="00F3225B">
        <w:rPr>
          <w:rFonts w:ascii="Arial" w:hAnsi="Arial" w:cs="Arial"/>
          <w:sz w:val="19"/>
          <w:szCs w:val="19"/>
        </w:rPr>
        <w:t xml:space="preserve"> </w:t>
      </w:r>
      <w:r w:rsidRPr="00D8778D">
        <w:rPr>
          <w:rFonts w:ascii="Arial" w:hAnsi="Arial" w:cs="Arial"/>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footnote>
  <w:footnote w:id="11">
    <w:p w14:paraId="4FD5245E" w14:textId="77777777" w:rsidR="00387886" w:rsidRPr="00D8778D" w:rsidRDefault="00387886" w:rsidP="00F3225B">
      <w:pPr>
        <w:pStyle w:val="Textonotapie"/>
        <w:ind w:firstLine="708"/>
        <w:jc w:val="both"/>
        <w:rPr>
          <w:rFonts w:ascii="Arial" w:hAnsi="Arial" w:cs="Arial"/>
          <w:sz w:val="19"/>
          <w:szCs w:val="19"/>
        </w:rPr>
      </w:pPr>
      <w:r w:rsidRPr="00D8778D">
        <w:rPr>
          <w:rStyle w:val="Refdenotaalpie"/>
          <w:rFonts w:ascii="Arial" w:hAnsi="Arial" w:cs="Arial"/>
          <w:sz w:val="19"/>
          <w:szCs w:val="19"/>
        </w:rPr>
        <w:footnoteRef/>
      </w:r>
      <w:r w:rsidRPr="00F3225B">
        <w:rPr>
          <w:rFonts w:ascii="Arial" w:hAnsi="Arial" w:cs="Arial"/>
          <w:sz w:val="19"/>
          <w:szCs w:val="19"/>
        </w:rPr>
        <w:t xml:space="preserve"> </w:t>
      </w:r>
      <w:r w:rsidRPr="00D8778D">
        <w:rPr>
          <w:rFonts w:ascii="Arial" w:hAnsi="Arial" w:cs="Arial"/>
          <w:sz w:val="19"/>
          <w:szCs w:val="19"/>
        </w:rPr>
        <w:t>Ley 527 de 1999: «</w:t>
      </w:r>
      <w:hyperlink r:id="rId1" w:anchor="vid/438970057/node/30" w:history="1">
        <w:r w:rsidRPr="00D8778D">
          <w:rPr>
            <w:rFonts w:ascii="Arial" w:hAnsi="Arial" w:cs="Arial"/>
            <w:sz w:val="19"/>
            <w:szCs w:val="19"/>
          </w:rPr>
          <w:t>Artículo 30. Actividades de las entidades de certificación.</w:t>
        </w:r>
      </w:hyperlink>
      <w:r w:rsidRPr="00D8778D">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12">
    <w:p w14:paraId="3EE1112D" w14:textId="77777777" w:rsidR="00387886" w:rsidRPr="00F3225B" w:rsidRDefault="00387886" w:rsidP="00F3225B">
      <w:pPr>
        <w:jc w:val="both"/>
        <w:rPr>
          <w:rFonts w:ascii="Arial" w:hAnsi="Arial" w:cs="Arial"/>
          <w:sz w:val="19"/>
          <w:szCs w:val="19"/>
        </w:rPr>
      </w:pPr>
      <w:r w:rsidRPr="00F3225B">
        <w:rPr>
          <w:rStyle w:val="Refdenotaalpie"/>
          <w:rFonts w:ascii="Arial" w:hAnsi="Arial" w:cs="Arial"/>
          <w:sz w:val="19"/>
          <w:szCs w:val="19"/>
        </w:rPr>
        <w:footnoteRef/>
      </w:r>
      <w:r w:rsidRPr="00F3225B">
        <w:rPr>
          <w:rFonts w:ascii="Arial" w:hAnsi="Arial" w:cs="Arial"/>
          <w:sz w:val="19"/>
          <w:szCs w:val="19"/>
        </w:rPr>
        <w:t xml:space="preserve"> </w:t>
      </w:r>
      <w:r w:rsidRPr="00D8778D">
        <w:rPr>
          <w:rFonts w:ascii="Arial" w:hAnsi="Arial" w:cs="Arial"/>
          <w:color w:val="000000"/>
          <w:sz w:val="19"/>
          <w:szCs w:val="19"/>
          <w:shd w:val="clear" w:color="auto" w:fill="FFFFFF"/>
        </w:rPr>
        <w:t>Artículos 53 al 64.</w:t>
      </w:r>
    </w:p>
  </w:footnote>
  <w:footnote w:id="13">
    <w:p w14:paraId="5B5CBBD2" w14:textId="77777777" w:rsidR="00387886" w:rsidRPr="00F3225B" w:rsidRDefault="00387886">
      <w:pPr>
        <w:pStyle w:val="paragraph"/>
        <w:spacing w:before="0" w:beforeAutospacing="0" w:after="0" w:afterAutospacing="0"/>
        <w:ind w:firstLine="705"/>
        <w:textAlignment w:val="baseline"/>
        <w:rPr>
          <w:rFonts w:ascii="Arial" w:hAnsi="Arial" w:cs="Arial"/>
          <w:sz w:val="19"/>
          <w:szCs w:val="19"/>
        </w:rPr>
      </w:pPr>
      <w:r w:rsidRPr="00F3225B">
        <w:rPr>
          <w:rStyle w:val="Refdenotaalpie"/>
          <w:rFonts w:ascii="Arial" w:hAnsi="Arial" w:cs="Arial"/>
          <w:sz w:val="19"/>
          <w:szCs w:val="19"/>
        </w:rPr>
        <w:footnoteRef/>
      </w:r>
      <w:r w:rsidRPr="00F3225B">
        <w:rPr>
          <w:rFonts w:ascii="Arial" w:hAnsi="Arial" w:cs="Arial"/>
          <w:sz w:val="19"/>
          <w:szCs w:val="19"/>
        </w:rPr>
        <w:t xml:space="preserve"> </w:t>
      </w:r>
      <w:r w:rsidRPr="00D8778D">
        <w:rPr>
          <w:rFonts w:ascii="Arial" w:hAnsi="Arial" w:cs="Arial"/>
          <w:color w:val="000000"/>
          <w:sz w:val="19"/>
          <w:szCs w:val="19"/>
        </w:rPr>
        <w:t>Código General del Proceso: “Artículo 246. Valor probatorio de las copias. Las copias tendrán el mismo valor probatorio del original, salvo cuando por disposición legal sea necesaria la presentación del original o de una determinada copia. </w:t>
      </w:r>
    </w:p>
    <w:p w14:paraId="0F9E4447" w14:textId="77777777" w:rsidR="00387886" w:rsidRPr="00F3225B" w:rsidRDefault="00387886" w:rsidP="00F3225B">
      <w:pPr>
        <w:ind w:firstLine="705"/>
        <w:jc w:val="both"/>
        <w:textAlignment w:val="baseline"/>
        <w:rPr>
          <w:rFonts w:ascii="Arial" w:hAnsi="Arial" w:cs="Arial"/>
          <w:sz w:val="19"/>
          <w:szCs w:val="19"/>
        </w:rPr>
      </w:pPr>
      <w:r w:rsidRPr="00D8778D">
        <w:rPr>
          <w:rFonts w:ascii="Arial" w:hAnsi="Arial" w:cs="Arial"/>
          <w:color w:val="000000"/>
          <w:sz w:val="19"/>
          <w:szCs w:val="19"/>
        </w:rPr>
        <w:t> </w:t>
      </w:r>
    </w:p>
    <w:p w14:paraId="45AE1B3A" w14:textId="77777777" w:rsidR="00387886" w:rsidRPr="00F3225B" w:rsidRDefault="00387886" w:rsidP="00F3225B">
      <w:pPr>
        <w:ind w:firstLine="705"/>
        <w:jc w:val="both"/>
        <w:textAlignment w:val="baseline"/>
        <w:rPr>
          <w:rFonts w:ascii="Arial" w:hAnsi="Arial" w:cs="Arial"/>
          <w:sz w:val="19"/>
          <w:szCs w:val="19"/>
        </w:rPr>
      </w:pPr>
      <w:r w:rsidRPr="00D8778D">
        <w:rPr>
          <w:rFonts w:ascii="Arial" w:hAnsi="Arial" w:cs="Arial"/>
          <w:color w:val="000000"/>
          <w:sz w:val="19"/>
          <w:szCs w:val="19"/>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 </w:t>
      </w:r>
    </w:p>
    <w:p w14:paraId="43576C31" w14:textId="77777777" w:rsidR="00387886" w:rsidRPr="00F3225B" w:rsidRDefault="00387886" w:rsidP="00F3225B">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47AA1"/>
    <w:rsid w:val="00072333"/>
    <w:rsid w:val="000755E1"/>
    <w:rsid w:val="00094B59"/>
    <w:rsid w:val="000A5E3D"/>
    <w:rsid w:val="000A615D"/>
    <w:rsid w:val="000B627E"/>
    <w:rsid w:val="000B6A48"/>
    <w:rsid w:val="000C7645"/>
    <w:rsid w:val="00112852"/>
    <w:rsid w:val="0011553A"/>
    <w:rsid w:val="00121176"/>
    <w:rsid w:val="00135CEA"/>
    <w:rsid w:val="0015117A"/>
    <w:rsid w:val="00161966"/>
    <w:rsid w:val="001900DE"/>
    <w:rsid w:val="00195596"/>
    <w:rsid w:val="0019728C"/>
    <w:rsid w:val="001F5D6E"/>
    <w:rsid w:val="002057A4"/>
    <w:rsid w:val="00216826"/>
    <w:rsid w:val="00223F65"/>
    <w:rsid w:val="00256962"/>
    <w:rsid w:val="00262DCF"/>
    <w:rsid w:val="00263999"/>
    <w:rsid w:val="0026403F"/>
    <w:rsid w:val="002663A9"/>
    <w:rsid w:val="0026761A"/>
    <w:rsid w:val="002676B8"/>
    <w:rsid w:val="002762D1"/>
    <w:rsid w:val="00282D3F"/>
    <w:rsid w:val="002A75EC"/>
    <w:rsid w:val="002B19F5"/>
    <w:rsid w:val="00300B5B"/>
    <w:rsid w:val="003233A2"/>
    <w:rsid w:val="00336AC6"/>
    <w:rsid w:val="00337876"/>
    <w:rsid w:val="00345FBC"/>
    <w:rsid w:val="00353092"/>
    <w:rsid w:val="0035732E"/>
    <w:rsid w:val="00365D3A"/>
    <w:rsid w:val="0037075E"/>
    <w:rsid w:val="0037178A"/>
    <w:rsid w:val="00380F1A"/>
    <w:rsid w:val="00384FE5"/>
    <w:rsid w:val="00387886"/>
    <w:rsid w:val="00392411"/>
    <w:rsid w:val="003A5C98"/>
    <w:rsid w:val="003C5DD6"/>
    <w:rsid w:val="003D22F3"/>
    <w:rsid w:val="003E248F"/>
    <w:rsid w:val="003F461C"/>
    <w:rsid w:val="003F7FB1"/>
    <w:rsid w:val="00403054"/>
    <w:rsid w:val="004164FC"/>
    <w:rsid w:val="00454997"/>
    <w:rsid w:val="004710AE"/>
    <w:rsid w:val="00475DD2"/>
    <w:rsid w:val="00476147"/>
    <w:rsid w:val="00476544"/>
    <w:rsid w:val="0048044A"/>
    <w:rsid w:val="0048469A"/>
    <w:rsid w:val="004853AF"/>
    <w:rsid w:val="00491FEA"/>
    <w:rsid w:val="004C6ABD"/>
    <w:rsid w:val="004D7DE2"/>
    <w:rsid w:val="004E7410"/>
    <w:rsid w:val="004F2E83"/>
    <w:rsid w:val="00502061"/>
    <w:rsid w:val="00521FC6"/>
    <w:rsid w:val="00524B49"/>
    <w:rsid w:val="005303D7"/>
    <w:rsid w:val="00531E6B"/>
    <w:rsid w:val="005342DB"/>
    <w:rsid w:val="00547A9E"/>
    <w:rsid w:val="00554D93"/>
    <w:rsid w:val="00563519"/>
    <w:rsid w:val="005668C1"/>
    <w:rsid w:val="0057168B"/>
    <w:rsid w:val="00587130"/>
    <w:rsid w:val="00591EB1"/>
    <w:rsid w:val="005A5EFD"/>
    <w:rsid w:val="005B056E"/>
    <w:rsid w:val="005B14A6"/>
    <w:rsid w:val="005B76C7"/>
    <w:rsid w:val="005D4FC8"/>
    <w:rsid w:val="005E481C"/>
    <w:rsid w:val="005E66B0"/>
    <w:rsid w:val="005F04B8"/>
    <w:rsid w:val="005F1D9D"/>
    <w:rsid w:val="006065A9"/>
    <w:rsid w:val="00611B99"/>
    <w:rsid w:val="00623378"/>
    <w:rsid w:val="006663C2"/>
    <w:rsid w:val="00676D9E"/>
    <w:rsid w:val="00687BDD"/>
    <w:rsid w:val="006A1444"/>
    <w:rsid w:val="006B04C0"/>
    <w:rsid w:val="006D2C01"/>
    <w:rsid w:val="006D3DBD"/>
    <w:rsid w:val="006D64B1"/>
    <w:rsid w:val="00703E5A"/>
    <w:rsid w:val="007118B2"/>
    <w:rsid w:val="00745302"/>
    <w:rsid w:val="00776374"/>
    <w:rsid w:val="007820EF"/>
    <w:rsid w:val="007A4AE6"/>
    <w:rsid w:val="007B2580"/>
    <w:rsid w:val="007C5E25"/>
    <w:rsid w:val="007F1895"/>
    <w:rsid w:val="007F304E"/>
    <w:rsid w:val="007F7A62"/>
    <w:rsid w:val="007F7C03"/>
    <w:rsid w:val="00811D01"/>
    <w:rsid w:val="00820F88"/>
    <w:rsid w:val="00827A2A"/>
    <w:rsid w:val="008312A3"/>
    <w:rsid w:val="00833D8C"/>
    <w:rsid w:val="00847BA2"/>
    <w:rsid w:val="00880110"/>
    <w:rsid w:val="008855C4"/>
    <w:rsid w:val="00897109"/>
    <w:rsid w:val="008A1C20"/>
    <w:rsid w:val="008B52AD"/>
    <w:rsid w:val="008C3F91"/>
    <w:rsid w:val="008C425C"/>
    <w:rsid w:val="008C5B45"/>
    <w:rsid w:val="008F6437"/>
    <w:rsid w:val="00930FAE"/>
    <w:rsid w:val="009332FC"/>
    <w:rsid w:val="00960FD1"/>
    <w:rsid w:val="00965D7F"/>
    <w:rsid w:val="00973FF7"/>
    <w:rsid w:val="009A3A2B"/>
    <w:rsid w:val="009D5279"/>
    <w:rsid w:val="009D7A61"/>
    <w:rsid w:val="009E36A9"/>
    <w:rsid w:val="009F1B3C"/>
    <w:rsid w:val="00A012BF"/>
    <w:rsid w:val="00A11DE7"/>
    <w:rsid w:val="00A21E65"/>
    <w:rsid w:val="00A4095E"/>
    <w:rsid w:val="00A4457D"/>
    <w:rsid w:val="00A5027F"/>
    <w:rsid w:val="00A51E80"/>
    <w:rsid w:val="00A53195"/>
    <w:rsid w:val="00A71CEA"/>
    <w:rsid w:val="00A9164B"/>
    <w:rsid w:val="00AA5749"/>
    <w:rsid w:val="00AB0071"/>
    <w:rsid w:val="00AB6125"/>
    <w:rsid w:val="00AC44CB"/>
    <w:rsid w:val="00AC7423"/>
    <w:rsid w:val="00AD4216"/>
    <w:rsid w:val="00AD6090"/>
    <w:rsid w:val="00B02D49"/>
    <w:rsid w:val="00B06567"/>
    <w:rsid w:val="00B12F0E"/>
    <w:rsid w:val="00B2523E"/>
    <w:rsid w:val="00B315E0"/>
    <w:rsid w:val="00B31C5C"/>
    <w:rsid w:val="00B43119"/>
    <w:rsid w:val="00B52EF4"/>
    <w:rsid w:val="00B55679"/>
    <w:rsid w:val="00B5768A"/>
    <w:rsid w:val="00B651A5"/>
    <w:rsid w:val="00B7045A"/>
    <w:rsid w:val="00B71711"/>
    <w:rsid w:val="00B81F3F"/>
    <w:rsid w:val="00B8757F"/>
    <w:rsid w:val="00B913DC"/>
    <w:rsid w:val="00B937CA"/>
    <w:rsid w:val="00BA084A"/>
    <w:rsid w:val="00BA3C72"/>
    <w:rsid w:val="00BA55C6"/>
    <w:rsid w:val="00BA75D3"/>
    <w:rsid w:val="00BA7F22"/>
    <w:rsid w:val="00BB0D17"/>
    <w:rsid w:val="00BB32FE"/>
    <w:rsid w:val="00BB51F3"/>
    <w:rsid w:val="00BC0FB8"/>
    <w:rsid w:val="00BC1F98"/>
    <w:rsid w:val="00BC3923"/>
    <w:rsid w:val="00BF18D6"/>
    <w:rsid w:val="00C014D3"/>
    <w:rsid w:val="00C1196F"/>
    <w:rsid w:val="00C15D6A"/>
    <w:rsid w:val="00C33B62"/>
    <w:rsid w:val="00C35FD1"/>
    <w:rsid w:val="00C635D5"/>
    <w:rsid w:val="00C63CEA"/>
    <w:rsid w:val="00C71ACE"/>
    <w:rsid w:val="00C87984"/>
    <w:rsid w:val="00D0122C"/>
    <w:rsid w:val="00D039FB"/>
    <w:rsid w:val="00D361AE"/>
    <w:rsid w:val="00D53EC8"/>
    <w:rsid w:val="00D60108"/>
    <w:rsid w:val="00D7246A"/>
    <w:rsid w:val="00D750C2"/>
    <w:rsid w:val="00D76B34"/>
    <w:rsid w:val="00D77BB0"/>
    <w:rsid w:val="00D80564"/>
    <w:rsid w:val="00D811B8"/>
    <w:rsid w:val="00D842C4"/>
    <w:rsid w:val="00D848EA"/>
    <w:rsid w:val="00D8778D"/>
    <w:rsid w:val="00DA2C5A"/>
    <w:rsid w:val="00DA352E"/>
    <w:rsid w:val="00DB0FC7"/>
    <w:rsid w:val="00DD0D94"/>
    <w:rsid w:val="00DE736C"/>
    <w:rsid w:val="00E02A6A"/>
    <w:rsid w:val="00E131F1"/>
    <w:rsid w:val="00E32788"/>
    <w:rsid w:val="00E46C4E"/>
    <w:rsid w:val="00E673A1"/>
    <w:rsid w:val="00E833FA"/>
    <w:rsid w:val="00EA41E8"/>
    <w:rsid w:val="00EA513C"/>
    <w:rsid w:val="00EB27BA"/>
    <w:rsid w:val="00EB5133"/>
    <w:rsid w:val="00EC07EF"/>
    <w:rsid w:val="00EC433E"/>
    <w:rsid w:val="00EC4E42"/>
    <w:rsid w:val="00ED3195"/>
    <w:rsid w:val="00EE54C6"/>
    <w:rsid w:val="00EE66CC"/>
    <w:rsid w:val="00F0401C"/>
    <w:rsid w:val="00F053F3"/>
    <w:rsid w:val="00F06565"/>
    <w:rsid w:val="00F10A2F"/>
    <w:rsid w:val="00F13BAE"/>
    <w:rsid w:val="00F3225B"/>
    <w:rsid w:val="00F3683B"/>
    <w:rsid w:val="00F40BB1"/>
    <w:rsid w:val="00F5219A"/>
    <w:rsid w:val="00F53CB0"/>
    <w:rsid w:val="00F55F52"/>
    <w:rsid w:val="00F66114"/>
    <w:rsid w:val="00F779BA"/>
    <w:rsid w:val="00F909BB"/>
    <w:rsid w:val="00F96DEA"/>
    <w:rsid w:val="00FA4CC2"/>
    <w:rsid w:val="00FD0147"/>
    <w:rsid w:val="00FD27D7"/>
    <w:rsid w:val="00FD3E77"/>
    <w:rsid w:val="00FD6D80"/>
    <w:rsid w:val="00FE11D0"/>
    <w:rsid w:val="00FF0F91"/>
    <w:rsid w:val="3AE091E3"/>
    <w:rsid w:val="3B1B3D58"/>
    <w:rsid w:val="53F4F30D"/>
    <w:rsid w:val="7320C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CEA"/>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787768060">
      <w:bodyDiv w:val="1"/>
      <w:marLeft w:val="0"/>
      <w:marRight w:val="0"/>
      <w:marTop w:val="0"/>
      <w:marBottom w:val="0"/>
      <w:divBdr>
        <w:top w:val="none" w:sz="0" w:space="0" w:color="auto"/>
        <w:left w:val="none" w:sz="0" w:space="0" w:color="auto"/>
        <w:bottom w:val="none" w:sz="0" w:space="0" w:color="auto"/>
        <w:right w:val="none" w:sz="0" w:space="0" w:color="auto"/>
      </w:divBdr>
      <w:divsChild>
        <w:div w:id="412507646">
          <w:marLeft w:val="0"/>
          <w:marRight w:val="0"/>
          <w:marTop w:val="0"/>
          <w:marBottom w:val="0"/>
          <w:divBdr>
            <w:top w:val="none" w:sz="0" w:space="0" w:color="auto"/>
            <w:left w:val="none" w:sz="0" w:space="0" w:color="auto"/>
            <w:bottom w:val="none" w:sz="0" w:space="0" w:color="auto"/>
            <w:right w:val="none" w:sz="0" w:space="0" w:color="auto"/>
          </w:divBdr>
        </w:div>
      </w:divsChild>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53E8EC0-5A59-4668-BB83-F39C7420FC25}">
  <ds:schemaRefs>
    <ds:schemaRef ds:uri="http://schemas.microsoft.com/sharepoint/v3/contenttype/forms"/>
  </ds:schemaRefs>
</ds:datastoreItem>
</file>

<file path=customXml/itemProps2.xml><?xml version="1.0" encoding="utf-8"?>
<ds:datastoreItem xmlns:ds="http://schemas.openxmlformats.org/officeDocument/2006/customXml" ds:itemID="{454E43F6-5BA1-4F42-B41C-A2A716B9A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4.xml><?xml version="1.0" encoding="utf-8"?>
<ds:datastoreItem xmlns:ds="http://schemas.openxmlformats.org/officeDocument/2006/customXml" ds:itemID="{B60792BD-905B-4E02-B24D-7DEE0F68061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3981</Words>
  <Characters>21899</Characters>
  <Application>Microsoft Office Word</Application>
  <DocSecurity>0</DocSecurity>
  <Lines>182</Lines>
  <Paragraphs>51</Paragraphs>
  <ScaleCrop>false</ScaleCrop>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Juan Camilo Vesga</cp:lastModifiedBy>
  <cp:revision>6</cp:revision>
  <dcterms:created xsi:type="dcterms:W3CDTF">2021-05-13T14:54:00Z</dcterms:created>
  <dcterms:modified xsi:type="dcterms:W3CDTF">2021-06-15T13:43:00Z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