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49352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93521">
        <w:rPr>
          <w:rFonts w:ascii="Arial" w:hAnsi="Arial" w:cs="Arial"/>
          <w:bCs/>
          <w:color w:val="000000" w:themeColor="text1"/>
          <w:sz w:val="16"/>
          <w:szCs w:val="16"/>
          <w:lang w:val="es-ES_tradnl" w:eastAsia="es-ES"/>
        </w:rPr>
        <w:t>CCE-DES-FM-17</w:t>
      </w:r>
      <w:bookmarkEnd w:id="0"/>
      <w:bookmarkEnd w:id="1"/>
    </w:p>
    <w:p w14:paraId="55FBD910" w14:textId="77777777" w:rsidR="008536BB" w:rsidRPr="00493521" w:rsidRDefault="008536BB" w:rsidP="00B95C30">
      <w:pPr>
        <w:spacing w:line="276" w:lineRule="auto"/>
        <w:jc w:val="both"/>
        <w:rPr>
          <w:rFonts w:ascii="Arial" w:hAnsi="Arial" w:cs="Arial"/>
          <w:noProof/>
          <w:color w:val="000000" w:themeColor="text1"/>
          <w:sz w:val="22"/>
          <w:lang w:val="es-ES_tradnl"/>
        </w:rPr>
      </w:pPr>
    </w:p>
    <w:p w14:paraId="6ADC901E" w14:textId="7DE227E0" w:rsidR="009D163B" w:rsidRPr="00493521" w:rsidRDefault="00D65B2B" w:rsidP="00C978D4">
      <w:pPr>
        <w:jc w:val="both"/>
        <w:rPr>
          <w:rFonts w:ascii="Arial" w:eastAsia="Calibri" w:hAnsi="Arial" w:cs="Arial"/>
          <w:b/>
          <w:sz w:val="22"/>
          <w:lang w:val="es-ES_tradnl"/>
        </w:rPr>
      </w:pPr>
      <w:r w:rsidRPr="00493521">
        <w:rPr>
          <w:rFonts w:ascii="Arial" w:eastAsia="Calibri" w:hAnsi="Arial" w:cs="Arial"/>
          <w:b/>
          <w:sz w:val="22"/>
          <w:lang w:val="es-ES_tradnl"/>
        </w:rPr>
        <w:t>CONCURSO DE MÉRITOS</w:t>
      </w:r>
      <w:r w:rsidR="009D163B" w:rsidRPr="00493521">
        <w:rPr>
          <w:rFonts w:ascii="Arial" w:eastAsia="Calibri" w:hAnsi="Arial" w:cs="Arial"/>
          <w:b/>
          <w:sz w:val="22"/>
          <w:lang w:val="es-ES_tradnl"/>
        </w:rPr>
        <w:t xml:space="preserve"> – Concepto – Modalidades</w:t>
      </w:r>
    </w:p>
    <w:p w14:paraId="36CE69AD" w14:textId="3E3BBBB8" w:rsidR="009D163B" w:rsidRPr="00493521" w:rsidRDefault="009D163B" w:rsidP="00C978D4">
      <w:pPr>
        <w:jc w:val="both"/>
        <w:rPr>
          <w:rFonts w:ascii="Arial" w:eastAsia="Calibri" w:hAnsi="Arial" w:cs="Arial"/>
          <w:b/>
          <w:sz w:val="22"/>
          <w:lang w:val="es-ES_tradnl"/>
        </w:rPr>
      </w:pPr>
    </w:p>
    <w:p w14:paraId="72DEC53C" w14:textId="77777777" w:rsidR="009D163B" w:rsidRPr="00493521" w:rsidRDefault="009D163B" w:rsidP="009D163B">
      <w:pPr>
        <w:jc w:val="both"/>
        <w:rPr>
          <w:rFonts w:ascii="Arial" w:hAnsi="Arial" w:cs="Arial"/>
          <w:color w:val="000000" w:themeColor="text1"/>
          <w:sz w:val="20"/>
          <w:szCs w:val="20"/>
          <w:lang w:val="es-ES_tradnl"/>
        </w:rPr>
      </w:pPr>
      <w:r w:rsidRPr="00493521">
        <w:rPr>
          <w:rFonts w:ascii="Arial" w:hAnsi="Arial" w:cs="Arial"/>
          <w:color w:val="000000" w:themeColor="text1"/>
          <w:sz w:val="20"/>
          <w:szCs w:val="20"/>
          <w:lang w:val="es-ES_tradnl"/>
        </w:rPr>
        <w:t xml:space="preserve">El </w:t>
      </w:r>
      <w:r w:rsidRPr="00493521">
        <w:rPr>
          <w:rFonts w:ascii="Arial" w:hAnsi="Arial" w:cs="Arial"/>
          <w:i/>
          <w:iCs/>
          <w:color w:val="000000" w:themeColor="text1"/>
          <w:sz w:val="20"/>
          <w:szCs w:val="20"/>
          <w:lang w:val="es-ES_tradnl"/>
        </w:rPr>
        <w:t xml:space="preserve">concurso de méritos </w:t>
      </w:r>
      <w:r w:rsidRPr="00493521">
        <w:rPr>
          <w:rFonts w:ascii="Arial" w:hAnsi="Arial" w:cs="Arial"/>
          <w:color w:val="000000" w:themeColor="text1"/>
          <w:sz w:val="20"/>
          <w:szCs w:val="20"/>
          <w:lang w:val="es-ES_tradnl"/>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w:t>
      </w:r>
      <w:proofErr w:type="spellStart"/>
      <w:r w:rsidRPr="00493521">
        <w:rPr>
          <w:rFonts w:ascii="Arial" w:hAnsi="Arial" w:cs="Arial"/>
          <w:color w:val="000000" w:themeColor="text1"/>
          <w:sz w:val="20"/>
          <w:szCs w:val="20"/>
          <w:lang w:val="es-ES_tradnl"/>
        </w:rPr>
        <w:t>prefactibilidad</w:t>
      </w:r>
      <w:proofErr w:type="spellEnd"/>
      <w:r w:rsidRPr="00493521">
        <w:rPr>
          <w:rFonts w:ascii="Arial" w:hAnsi="Arial" w:cs="Arial"/>
          <w:color w:val="000000" w:themeColor="text1"/>
          <w:sz w:val="20"/>
          <w:szCs w:val="20"/>
          <w:lang w:val="es-ES_tradnl"/>
        </w:rPr>
        <w:t xml:space="preserve"> o factibilidad para programas o proyectos específicos, así como a las asesorías técnicas de coordinación, control y supervisión», según lo dispuesto en el artículo 32, numeral 2, de la Ley 80 de 1993.</w:t>
      </w:r>
    </w:p>
    <w:p w14:paraId="245BC8AB" w14:textId="77777777" w:rsidR="009D163B" w:rsidRPr="00493521" w:rsidRDefault="009D163B" w:rsidP="009D163B">
      <w:pPr>
        <w:jc w:val="both"/>
        <w:rPr>
          <w:rFonts w:ascii="Arial" w:hAnsi="Arial" w:cs="Arial"/>
          <w:color w:val="000000" w:themeColor="text1"/>
          <w:sz w:val="20"/>
          <w:szCs w:val="20"/>
          <w:lang w:val="es-ES_tradnl"/>
        </w:rPr>
      </w:pPr>
    </w:p>
    <w:p w14:paraId="67419391" w14:textId="0C6F494D" w:rsidR="009D163B" w:rsidRPr="00493521" w:rsidRDefault="009D163B" w:rsidP="009D163B">
      <w:pPr>
        <w:jc w:val="both"/>
        <w:rPr>
          <w:rFonts w:ascii="Arial" w:hAnsi="Arial" w:cs="Arial"/>
          <w:color w:val="000000" w:themeColor="text1"/>
          <w:sz w:val="20"/>
          <w:szCs w:val="20"/>
          <w:lang w:val="es-ES_tradnl"/>
        </w:rPr>
      </w:pPr>
      <w:r w:rsidRPr="00493521">
        <w:rPr>
          <w:rFonts w:ascii="Arial" w:hAnsi="Arial" w:cs="Arial"/>
          <w:color w:val="000000" w:themeColor="text1"/>
          <w:sz w:val="20"/>
          <w:szCs w:val="20"/>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493521">
        <w:rPr>
          <w:rFonts w:ascii="Arial" w:hAnsi="Arial" w:cs="Arial"/>
          <w:i/>
          <w:iCs/>
          <w:color w:val="000000" w:themeColor="text1"/>
          <w:sz w:val="20"/>
          <w:szCs w:val="20"/>
          <w:lang w:val="es-ES_tradnl"/>
        </w:rPr>
        <w:t>ibídem</w:t>
      </w:r>
      <w:r w:rsidRPr="00493521">
        <w:rPr>
          <w:rFonts w:ascii="Arial" w:hAnsi="Arial" w:cs="Arial"/>
          <w:color w:val="000000" w:themeColor="text1"/>
          <w:sz w:val="20"/>
          <w:szCs w:val="20"/>
          <w:lang w:val="es-ES_tradnl"/>
        </w:rPr>
        <w:t xml:space="preserve">. El segundo, además de los dos artículos anteriores, lo regulan los artículos 2.2.1.2.1.3.3. a 2.2.1.2.1.3.7. </w:t>
      </w:r>
      <w:proofErr w:type="spellStart"/>
      <w:r w:rsidRPr="00493521">
        <w:rPr>
          <w:rFonts w:ascii="Arial" w:hAnsi="Arial" w:cs="Arial"/>
          <w:i/>
          <w:iCs/>
          <w:color w:val="000000" w:themeColor="text1"/>
          <w:sz w:val="20"/>
          <w:szCs w:val="20"/>
          <w:lang w:val="es-ES_tradnl"/>
        </w:rPr>
        <w:t>ejusdem</w:t>
      </w:r>
      <w:proofErr w:type="spellEnd"/>
      <w:r w:rsidRPr="00493521">
        <w:rPr>
          <w:rFonts w:ascii="Arial" w:hAnsi="Arial" w:cs="Arial"/>
          <w:color w:val="000000" w:themeColor="text1"/>
          <w:sz w:val="20"/>
          <w:szCs w:val="20"/>
          <w:lang w:val="es-ES_tradnl"/>
        </w:rPr>
        <w:t>. El tercero lo regulan los artículos 2.2.1.2.1.3.8. a 2.2.1.2.1.3.25. del mencionado Decreto.</w:t>
      </w:r>
    </w:p>
    <w:p w14:paraId="149D5551" w14:textId="34107518" w:rsidR="009D163B" w:rsidRPr="00493521" w:rsidRDefault="009D163B" w:rsidP="00C978D4">
      <w:pPr>
        <w:jc w:val="both"/>
        <w:rPr>
          <w:rFonts w:ascii="Arial" w:eastAsia="Calibri" w:hAnsi="Arial" w:cs="Arial"/>
          <w:b/>
          <w:sz w:val="22"/>
          <w:lang w:val="es-ES_tradnl"/>
        </w:rPr>
      </w:pPr>
    </w:p>
    <w:p w14:paraId="30802736" w14:textId="71A88E72" w:rsidR="009D163B" w:rsidRPr="00493521" w:rsidRDefault="009D163B" w:rsidP="009D163B">
      <w:pPr>
        <w:jc w:val="both"/>
        <w:rPr>
          <w:rFonts w:ascii="Arial" w:eastAsia="Calibri" w:hAnsi="Arial" w:cs="Arial"/>
          <w:b/>
          <w:sz w:val="22"/>
          <w:lang w:val="es-ES_tradnl"/>
        </w:rPr>
      </w:pPr>
      <w:r w:rsidRPr="00493521">
        <w:rPr>
          <w:rFonts w:ascii="Arial" w:eastAsia="Calibri" w:hAnsi="Arial" w:cs="Arial"/>
          <w:b/>
          <w:sz w:val="22"/>
          <w:lang w:val="es-ES_tradnl"/>
        </w:rPr>
        <w:t xml:space="preserve">CONCURSO DE MÉRITOS – </w:t>
      </w:r>
      <w:r w:rsidR="00D205C7" w:rsidRPr="00493521">
        <w:rPr>
          <w:rFonts w:ascii="Arial" w:eastAsia="Calibri" w:hAnsi="Arial" w:cs="Arial"/>
          <w:b/>
          <w:sz w:val="22"/>
          <w:lang w:val="es-ES_tradnl"/>
        </w:rPr>
        <w:t>Decreto 1082 de 2015</w:t>
      </w:r>
      <w:r w:rsidRPr="00493521">
        <w:rPr>
          <w:rFonts w:ascii="Arial" w:eastAsia="Calibri" w:hAnsi="Arial" w:cs="Arial"/>
          <w:b/>
          <w:sz w:val="22"/>
          <w:lang w:val="es-ES_tradnl"/>
        </w:rPr>
        <w:t xml:space="preserve"> – </w:t>
      </w:r>
      <w:r w:rsidR="00D205C7" w:rsidRPr="00493521">
        <w:rPr>
          <w:rFonts w:ascii="Arial" w:hAnsi="Arial" w:cs="Arial"/>
          <w:b/>
          <w:color w:val="000000" w:themeColor="text1"/>
          <w:sz w:val="20"/>
          <w:szCs w:val="20"/>
          <w:lang w:val="es-ES_tradnl"/>
        </w:rPr>
        <w:t xml:space="preserve">artículo 2.2.1.2.1.3.2 – </w:t>
      </w:r>
      <w:r w:rsidR="00D205C7" w:rsidRPr="00493521">
        <w:rPr>
          <w:rFonts w:ascii="Arial" w:eastAsia="Calibri" w:hAnsi="Arial" w:cs="Arial"/>
          <w:b/>
          <w:sz w:val="22"/>
          <w:lang w:val="es-ES_tradnl"/>
        </w:rPr>
        <w:t>Suspensión provisional</w:t>
      </w:r>
    </w:p>
    <w:p w14:paraId="7668E0AC" w14:textId="507A7AF1" w:rsidR="009D163B" w:rsidRPr="00493521" w:rsidRDefault="009D163B" w:rsidP="00C978D4">
      <w:pPr>
        <w:jc w:val="both"/>
        <w:rPr>
          <w:rFonts w:ascii="Arial" w:eastAsia="Calibri" w:hAnsi="Arial" w:cs="Arial"/>
          <w:b/>
          <w:sz w:val="22"/>
          <w:lang w:val="es-ES_tradnl"/>
        </w:rPr>
      </w:pPr>
    </w:p>
    <w:p w14:paraId="65D37014" w14:textId="30BDD792" w:rsidR="00D205C7" w:rsidRPr="00493521" w:rsidRDefault="00D205C7" w:rsidP="00D205C7">
      <w:pPr>
        <w:jc w:val="both"/>
        <w:rPr>
          <w:rFonts w:ascii="Arial" w:hAnsi="Arial" w:cs="Arial"/>
          <w:color w:val="000000" w:themeColor="text1"/>
          <w:sz w:val="20"/>
          <w:szCs w:val="20"/>
          <w:lang w:val="es-ES_tradnl"/>
        </w:rPr>
      </w:pPr>
      <w:r w:rsidRPr="00493521">
        <w:rPr>
          <w:rFonts w:ascii="Arial" w:hAnsi="Arial" w:cs="Arial"/>
          <w:color w:val="000000" w:themeColor="text1"/>
          <w:sz w:val="20"/>
          <w:szCs w:val="20"/>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7E03CAC9" w14:textId="77777777" w:rsidR="00D205C7" w:rsidRPr="00493521" w:rsidRDefault="00D205C7" w:rsidP="00D205C7">
      <w:pPr>
        <w:jc w:val="both"/>
        <w:rPr>
          <w:rFonts w:ascii="Arial" w:hAnsi="Arial" w:cs="Arial"/>
          <w:color w:val="000000" w:themeColor="text1"/>
          <w:sz w:val="20"/>
          <w:szCs w:val="20"/>
          <w:lang w:val="es-ES_tradnl"/>
        </w:rPr>
      </w:pPr>
    </w:p>
    <w:p w14:paraId="7B7FAEDD" w14:textId="2DFE0811" w:rsidR="00D205C7" w:rsidRPr="00493521" w:rsidRDefault="00D205C7" w:rsidP="00D205C7">
      <w:pPr>
        <w:jc w:val="both"/>
        <w:rPr>
          <w:rFonts w:ascii="Arial" w:eastAsia="Calibri" w:hAnsi="Arial" w:cs="Arial"/>
          <w:color w:val="000000" w:themeColor="text1"/>
          <w:sz w:val="20"/>
          <w:szCs w:val="20"/>
          <w:lang w:val="es-ES_tradnl"/>
        </w:rPr>
      </w:pPr>
      <w:r w:rsidRPr="00493521">
        <w:rPr>
          <w:rFonts w:ascii="Arial" w:hAnsi="Arial" w:cs="Arial"/>
          <w:color w:val="000000" w:themeColor="text1"/>
          <w:sz w:val="20"/>
          <w:szCs w:val="20"/>
          <w:lang w:val="es-ES_tradnl"/>
        </w:rPr>
        <w:t xml:space="preserve">En consecuencia, </w:t>
      </w:r>
      <w:r w:rsidRPr="00493521">
        <w:rPr>
          <w:rFonts w:ascii="Arial" w:eastAsia="Calibri" w:hAnsi="Arial" w:cs="Arial"/>
          <w:color w:val="000000" w:themeColor="text1"/>
          <w:sz w:val="20"/>
          <w:szCs w:val="20"/>
          <w:lang w:val="es-ES_tradnl"/>
        </w:rPr>
        <w:t>con los autos de suspensión provisional, el concurso de méritos abierto debía desarrollarse aplicando únicamente los numerales 1 y 2 del</w:t>
      </w:r>
      <w:r w:rsidRPr="00493521">
        <w:rPr>
          <w:rFonts w:ascii="Arial" w:hAnsi="Arial" w:cs="Arial"/>
          <w:color w:val="000000" w:themeColor="text1"/>
          <w:sz w:val="20"/>
          <w:szCs w:val="20"/>
          <w:lang w:val="es-ES_tradnl"/>
        </w:rPr>
        <w:t xml:space="preserve"> artículo 2.2.1.2.1.3.2 del Decreto 1082 de 2015. Por lo tanto, </w:t>
      </w:r>
      <w:r w:rsidRPr="00493521">
        <w:rPr>
          <w:rFonts w:ascii="Arial" w:hAnsi="Arial" w:cs="Arial"/>
          <w:i/>
          <w:iCs/>
          <w:color w:val="000000" w:themeColor="text1"/>
          <w:sz w:val="20"/>
          <w:szCs w:val="20"/>
          <w:lang w:val="es-ES_tradnl"/>
        </w:rPr>
        <w:t>siempre que estuviera dentro del presupuesto oficial</w:t>
      </w:r>
      <w:r w:rsidRPr="00493521">
        <w:rPr>
          <w:rFonts w:ascii="Arial" w:hAnsi="Arial" w:cs="Arial"/>
          <w:color w:val="000000" w:themeColor="text1"/>
          <w:sz w:val="20"/>
          <w:szCs w:val="20"/>
          <w:lang w:val="es-ES_tradnl"/>
        </w:rPr>
        <w:t>, la entidad estatal debía adjudicar el contrato al proponente que ocupara el primer puesto en el orden de elegibilidad, independientemente del valor ofrecido</w:t>
      </w:r>
      <w:r w:rsidRPr="00493521">
        <w:rPr>
          <w:rFonts w:ascii="Arial" w:eastAsia="Calibri" w:hAnsi="Arial" w:cs="Arial"/>
          <w:color w:val="000000" w:themeColor="text1"/>
          <w:sz w:val="20"/>
          <w:szCs w:val="20"/>
          <w:lang w:val="es-ES_tradnl"/>
        </w:rPr>
        <w:t>.</w:t>
      </w:r>
    </w:p>
    <w:p w14:paraId="05883F2F" w14:textId="56EC9ABB" w:rsidR="00D205C7" w:rsidRPr="00493521" w:rsidRDefault="00D205C7" w:rsidP="00D205C7">
      <w:pPr>
        <w:jc w:val="both"/>
        <w:rPr>
          <w:rFonts w:ascii="Arial" w:eastAsia="Calibri" w:hAnsi="Arial" w:cs="Arial"/>
          <w:color w:val="000000" w:themeColor="text1"/>
          <w:sz w:val="20"/>
          <w:szCs w:val="20"/>
          <w:lang w:val="es-ES_tradnl"/>
        </w:rPr>
      </w:pPr>
    </w:p>
    <w:p w14:paraId="5F0FD987" w14:textId="754C983D" w:rsidR="00D205C7" w:rsidRPr="00493521" w:rsidRDefault="00D205C7" w:rsidP="00D205C7">
      <w:pPr>
        <w:jc w:val="both"/>
        <w:rPr>
          <w:rFonts w:ascii="Arial" w:eastAsia="Calibri" w:hAnsi="Arial" w:cs="Arial"/>
          <w:b/>
          <w:sz w:val="22"/>
          <w:lang w:val="es-ES_tradnl"/>
        </w:rPr>
      </w:pPr>
      <w:r w:rsidRPr="00493521">
        <w:rPr>
          <w:rFonts w:ascii="Arial" w:eastAsia="Calibri" w:hAnsi="Arial" w:cs="Arial"/>
          <w:b/>
          <w:sz w:val="22"/>
          <w:lang w:val="es-ES_tradnl"/>
        </w:rPr>
        <w:t xml:space="preserve">CONCURSO DE MÉRITOS – Decreto 1082 de 2015 – </w:t>
      </w:r>
      <w:r w:rsidRPr="00493521">
        <w:rPr>
          <w:rFonts w:ascii="Arial" w:hAnsi="Arial" w:cs="Arial"/>
          <w:b/>
          <w:color w:val="000000" w:themeColor="text1"/>
          <w:sz w:val="20"/>
          <w:szCs w:val="20"/>
          <w:lang w:val="es-ES_tradnl"/>
        </w:rPr>
        <w:t xml:space="preserve">artículo 2.2.1.2.1.3.2 – </w:t>
      </w:r>
      <w:r w:rsidRPr="00493521">
        <w:rPr>
          <w:rFonts w:ascii="Arial" w:eastAsia="Calibri" w:hAnsi="Arial" w:cs="Arial"/>
          <w:b/>
          <w:sz w:val="22"/>
          <w:lang w:val="es-ES_tradnl"/>
        </w:rPr>
        <w:t xml:space="preserve">Decreto </w:t>
      </w:r>
      <w:r w:rsidR="00313222" w:rsidRPr="00493521">
        <w:rPr>
          <w:rFonts w:ascii="Arial" w:eastAsia="Calibri" w:hAnsi="Arial" w:cs="Arial"/>
          <w:b/>
          <w:sz w:val="22"/>
          <w:lang w:val="es-ES_tradnl"/>
        </w:rPr>
        <w:t>399 de 2021 – Artículo 2</w:t>
      </w:r>
    </w:p>
    <w:p w14:paraId="4DF8DBAA" w14:textId="6DB9681E" w:rsidR="00D205C7" w:rsidRPr="00493521" w:rsidRDefault="00D205C7" w:rsidP="00D205C7">
      <w:pPr>
        <w:jc w:val="both"/>
        <w:rPr>
          <w:rFonts w:ascii="Arial" w:hAnsi="Arial" w:cs="Arial"/>
          <w:color w:val="000000" w:themeColor="text1"/>
          <w:sz w:val="20"/>
          <w:szCs w:val="20"/>
          <w:lang w:val="es-ES_tradnl"/>
        </w:rPr>
      </w:pPr>
    </w:p>
    <w:p w14:paraId="279839AD" w14:textId="621A5BFA" w:rsidR="00313222" w:rsidRPr="00493521" w:rsidRDefault="00313222" w:rsidP="00313222">
      <w:pPr>
        <w:jc w:val="both"/>
        <w:rPr>
          <w:rFonts w:ascii="Arial" w:eastAsia="Calibri" w:hAnsi="Arial" w:cs="Arial"/>
          <w:color w:val="000000" w:themeColor="text1"/>
          <w:sz w:val="20"/>
          <w:szCs w:val="20"/>
          <w:lang w:val="es-ES_tradnl"/>
        </w:rPr>
      </w:pPr>
      <w:r w:rsidRPr="00493521">
        <w:rPr>
          <w:rFonts w:ascii="Arial" w:eastAsia="Calibri" w:hAnsi="Arial" w:cs="Arial"/>
          <w:color w:val="000000" w:themeColor="text1"/>
          <w:sz w:val="20"/>
          <w:szCs w:val="20"/>
          <w:lang w:val="es-ES_tradnl"/>
        </w:rPr>
        <w:t>[…],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entrada en vigencia del artículo 2 del Decreto 399 de 2021 se observan los siguientes cambios:</w:t>
      </w:r>
    </w:p>
    <w:p w14:paraId="1E1F7901" w14:textId="77777777" w:rsidR="00313222" w:rsidRPr="00493521" w:rsidRDefault="00313222" w:rsidP="00313222">
      <w:pPr>
        <w:jc w:val="both"/>
        <w:rPr>
          <w:rFonts w:ascii="Arial" w:eastAsia="Calibri" w:hAnsi="Arial" w:cs="Arial"/>
          <w:color w:val="000000" w:themeColor="text1"/>
          <w:sz w:val="20"/>
          <w:szCs w:val="20"/>
          <w:lang w:val="es-ES_tradnl"/>
        </w:rPr>
      </w:pPr>
    </w:p>
    <w:p w14:paraId="15E973E6" w14:textId="5F00007C" w:rsidR="00313222" w:rsidRPr="00493521" w:rsidRDefault="00313222" w:rsidP="00313222">
      <w:pPr>
        <w:jc w:val="both"/>
        <w:rPr>
          <w:rFonts w:ascii="Arial" w:eastAsia="Calibri" w:hAnsi="Arial" w:cs="Arial"/>
          <w:color w:val="000000" w:themeColor="text1"/>
          <w:sz w:val="20"/>
          <w:szCs w:val="20"/>
          <w:lang w:val="es-ES_tradnl"/>
        </w:rPr>
      </w:pPr>
      <w:r w:rsidRPr="00493521">
        <w:rPr>
          <w:rFonts w:ascii="Arial" w:eastAsia="Calibri" w:hAnsi="Arial" w:cs="Arial"/>
          <w:color w:val="000000" w:themeColor="text1"/>
          <w:sz w:val="20"/>
          <w:szCs w:val="20"/>
          <w:lang w:val="es-ES_tradnl"/>
        </w:rPr>
        <w:lastRenderedPageBreak/>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02DF0B59" w14:textId="77777777" w:rsidR="00313222" w:rsidRPr="00493521" w:rsidRDefault="00313222" w:rsidP="00313222">
      <w:pPr>
        <w:jc w:val="both"/>
        <w:rPr>
          <w:rFonts w:ascii="Arial" w:eastAsia="Calibri" w:hAnsi="Arial" w:cs="Arial"/>
          <w:color w:val="000000" w:themeColor="text1"/>
          <w:sz w:val="20"/>
          <w:szCs w:val="20"/>
          <w:lang w:val="es-ES_tradnl"/>
        </w:rPr>
      </w:pPr>
    </w:p>
    <w:p w14:paraId="380FEE0F" w14:textId="3871DAAE" w:rsidR="00313222" w:rsidRPr="00493521" w:rsidRDefault="00313222" w:rsidP="00313222">
      <w:pPr>
        <w:jc w:val="both"/>
        <w:rPr>
          <w:rFonts w:ascii="Arial" w:eastAsia="Calibri" w:hAnsi="Arial" w:cs="Arial"/>
          <w:color w:val="000000" w:themeColor="text1"/>
          <w:sz w:val="20"/>
          <w:szCs w:val="20"/>
          <w:lang w:val="es-ES_tradnl"/>
        </w:rPr>
      </w:pPr>
      <w:r w:rsidRPr="00493521">
        <w:rPr>
          <w:rFonts w:ascii="Arial" w:eastAsia="Calibri" w:hAnsi="Arial" w:cs="Arial"/>
          <w:color w:val="000000" w:themeColor="text1"/>
          <w:sz w:val="20"/>
          <w:szCs w:val="20"/>
          <w:lang w:val="es-ES_tradnl"/>
        </w:rPr>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724CBDD6" w14:textId="77777777" w:rsidR="00313222" w:rsidRPr="00493521" w:rsidRDefault="00313222" w:rsidP="00313222">
      <w:pPr>
        <w:jc w:val="both"/>
        <w:rPr>
          <w:rFonts w:ascii="Arial" w:eastAsia="Calibri" w:hAnsi="Arial" w:cs="Arial"/>
          <w:color w:val="000000" w:themeColor="text1"/>
          <w:sz w:val="20"/>
          <w:szCs w:val="20"/>
          <w:lang w:val="es-ES_tradnl"/>
        </w:rPr>
      </w:pPr>
    </w:p>
    <w:p w14:paraId="562C956E" w14:textId="41C30968" w:rsidR="00313222" w:rsidRPr="00493521" w:rsidRDefault="00313222" w:rsidP="00313222">
      <w:pPr>
        <w:jc w:val="both"/>
        <w:rPr>
          <w:rFonts w:ascii="Arial" w:eastAsia="Calibri" w:hAnsi="Arial" w:cs="Arial"/>
          <w:color w:val="000000" w:themeColor="text1"/>
          <w:sz w:val="20"/>
          <w:szCs w:val="20"/>
          <w:lang w:val="es-ES_tradnl"/>
        </w:rPr>
      </w:pPr>
      <w:r w:rsidRPr="00493521">
        <w:rPr>
          <w:rFonts w:ascii="Arial" w:eastAsia="Calibri" w:hAnsi="Arial" w:cs="Arial"/>
          <w:color w:val="000000" w:themeColor="text1"/>
          <w:sz w:val="20"/>
          <w:szCs w:val="20"/>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p>
    <w:p w14:paraId="05CB5DA0" w14:textId="77777777" w:rsidR="00D205C7" w:rsidRPr="00493521" w:rsidRDefault="00D205C7" w:rsidP="00C978D4">
      <w:pPr>
        <w:jc w:val="both"/>
        <w:rPr>
          <w:rFonts w:ascii="Arial" w:eastAsia="Calibri" w:hAnsi="Arial" w:cs="Arial"/>
          <w:b/>
          <w:sz w:val="22"/>
          <w:lang w:val="es-ES_tradnl"/>
        </w:rPr>
      </w:pPr>
    </w:p>
    <w:p w14:paraId="1245CF5F" w14:textId="665125B7" w:rsidR="00266EAD" w:rsidRPr="00493521" w:rsidRDefault="00266EAD" w:rsidP="00266EAD">
      <w:pPr>
        <w:jc w:val="both"/>
        <w:rPr>
          <w:rFonts w:ascii="Arial" w:eastAsia="Calibri" w:hAnsi="Arial" w:cs="Arial"/>
          <w:b/>
          <w:sz w:val="22"/>
          <w:lang w:val="es-ES_tradnl"/>
        </w:rPr>
      </w:pPr>
      <w:r>
        <w:rPr>
          <w:rFonts w:ascii="Arial" w:eastAsia="Calibri" w:hAnsi="Arial" w:cs="Arial"/>
          <w:b/>
          <w:sz w:val="22"/>
          <w:lang w:val="es-ES_tradnl"/>
        </w:rPr>
        <w:t>AUDIENCIAS PÚBLICAS</w:t>
      </w:r>
      <w:r w:rsidRPr="00493521">
        <w:rPr>
          <w:rFonts w:ascii="Arial" w:eastAsia="Calibri" w:hAnsi="Arial" w:cs="Arial"/>
          <w:b/>
          <w:sz w:val="22"/>
          <w:lang w:val="es-ES_tradnl"/>
        </w:rPr>
        <w:t xml:space="preserve"> – </w:t>
      </w:r>
      <w:r>
        <w:rPr>
          <w:rFonts w:ascii="Arial" w:eastAsia="Calibri" w:hAnsi="Arial" w:cs="Arial"/>
          <w:b/>
          <w:sz w:val="22"/>
          <w:lang w:val="es-ES_tradnl"/>
        </w:rPr>
        <w:t>Concurso de méritos</w:t>
      </w:r>
      <w:r w:rsidRPr="00493521">
        <w:rPr>
          <w:rFonts w:ascii="Arial" w:eastAsia="Calibri" w:hAnsi="Arial" w:cs="Arial"/>
          <w:b/>
          <w:sz w:val="22"/>
          <w:lang w:val="es-ES_tradnl"/>
        </w:rPr>
        <w:t xml:space="preserve"> – </w:t>
      </w:r>
      <w:r>
        <w:rPr>
          <w:rFonts w:ascii="Arial" w:hAnsi="Arial" w:cs="Arial"/>
          <w:b/>
          <w:color w:val="000000" w:themeColor="text1"/>
          <w:sz w:val="20"/>
          <w:szCs w:val="20"/>
          <w:lang w:val="es-ES_tradnl"/>
        </w:rPr>
        <w:t>Adjudicación</w:t>
      </w:r>
      <w:r w:rsidRPr="00493521">
        <w:rPr>
          <w:rFonts w:ascii="Arial" w:hAnsi="Arial" w:cs="Arial"/>
          <w:b/>
          <w:color w:val="000000" w:themeColor="text1"/>
          <w:sz w:val="20"/>
          <w:szCs w:val="20"/>
          <w:lang w:val="es-ES_tradnl"/>
        </w:rPr>
        <w:t xml:space="preserve"> – </w:t>
      </w:r>
      <w:r>
        <w:rPr>
          <w:rFonts w:ascii="Arial" w:hAnsi="Arial" w:cs="Arial"/>
          <w:b/>
          <w:color w:val="000000" w:themeColor="text1"/>
          <w:sz w:val="20"/>
          <w:szCs w:val="20"/>
          <w:lang w:val="es-ES_tradnl"/>
        </w:rPr>
        <w:t>Potestativas</w:t>
      </w:r>
    </w:p>
    <w:p w14:paraId="0AB212D3" w14:textId="34DC2B66" w:rsidR="00B167C8" w:rsidRDefault="00B167C8" w:rsidP="00B95C30">
      <w:pPr>
        <w:spacing w:line="276" w:lineRule="auto"/>
        <w:jc w:val="both"/>
        <w:rPr>
          <w:rFonts w:ascii="Arial" w:eastAsia="Calibri" w:hAnsi="Arial" w:cs="Arial"/>
          <w:b/>
          <w:sz w:val="22"/>
          <w:lang w:val="es-ES_tradnl"/>
        </w:rPr>
      </w:pPr>
    </w:p>
    <w:p w14:paraId="4055BF4A" w14:textId="67748478" w:rsidR="00266EAD" w:rsidRPr="00302B9D" w:rsidRDefault="00266EAD" w:rsidP="00302B9D">
      <w:pPr>
        <w:jc w:val="both"/>
        <w:rPr>
          <w:rFonts w:ascii="Arial" w:eastAsia="Calibri" w:hAnsi="Arial" w:cs="Arial"/>
          <w:color w:val="000000" w:themeColor="text1"/>
          <w:sz w:val="20"/>
          <w:szCs w:val="20"/>
          <w:lang w:val="es-ES_tradnl"/>
        </w:rPr>
      </w:pPr>
      <w:r w:rsidRPr="00302B9D">
        <w:rPr>
          <w:rFonts w:ascii="Arial" w:eastAsia="Calibri" w:hAnsi="Arial" w:cs="Arial"/>
          <w:color w:val="000000" w:themeColor="text1"/>
          <w:sz w:val="20"/>
          <w:szCs w:val="20"/>
          <w:lang w:val="es-ES_tradnl"/>
        </w:rPr>
        <w:t xml:space="preserve">Como se indicó, con la modificación introducida por el Decreto 399 de 2021 al concurso de méritos abierto </w:t>
      </w:r>
      <w:r w:rsidR="003F1C94" w:rsidRPr="00302B9D">
        <w:rPr>
          <w:rFonts w:ascii="Arial" w:eastAsia="Calibri" w:hAnsi="Arial" w:cs="Arial"/>
          <w:color w:val="000000" w:themeColor="text1"/>
          <w:sz w:val="20"/>
          <w:szCs w:val="20"/>
          <w:lang w:val="es-ES_tradnl"/>
        </w:rPr>
        <w:t>o</w:t>
      </w:r>
      <w:r w:rsidRPr="00302B9D">
        <w:rPr>
          <w:rFonts w:ascii="Arial" w:eastAsia="Calibri" w:hAnsi="Arial" w:cs="Arial"/>
          <w:color w:val="000000" w:themeColor="text1"/>
          <w:sz w:val="20"/>
          <w:szCs w:val="20"/>
          <w:lang w:val="es-ES_tradnl"/>
        </w:rPr>
        <w:t xml:space="preserve"> con precalificación, las entidades estatales, después de la evaluación de los requisitos habilitantes y de calificación, no deben llevar a cabo una audiencia para revisar la oferta económica y verificar que se encuentre en el rango del valor estimado consignado en los estudios previos, ni tampoco una fase de negociación del precio. Las entidades estatales deben realizar la evaluación y publicar el informe correspondiente, «[…] el cual debe contener la evaluación de las ofertas frente a todos los requisitos exigidos en el pliego de condiciones, incluyendo los requisitos habilitantes y los de asignación de puntaje», al tenor del numeral 2 del artículo 2.2.1.2.1.3.2. del Decreto 1082 de 2021, modificado por el artículo 2 del primero de los decretos mencionados. Es decir que la verificación de que el precio de la oferta no excede el presupuesto oficial se debe hacer antes de publicar el informe de evaluación.</w:t>
      </w:r>
    </w:p>
    <w:p w14:paraId="11557B80" w14:textId="77777777" w:rsidR="00D72A37" w:rsidRPr="00302B9D" w:rsidRDefault="00D72A37" w:rsidP="00302B9D">
      <w:pPr>
        <w:jc w:val="both"/>
        <w:rPr>
          <w:rFonts w:ascii="Arial" w:hAnsi="Arial" w:cs="Arial"/>
          <w:color w:val="000000"/>
          <w:sz w:val="20"/>
          <w:szCs w:val="20"/>
          <w:lang w:val="es-ES"/>
        </w:rPr>
      </w:pPr>
    </w:p>
    <w:p w14:paraId="3A7C2F12" w14:textId="77777777" w:rsidR="00D72A37" w:rsidRPr="00302B9D" w:rsidRDefault="00D72A37" w:rsidP="00302B9D">
      <w:pPr>
        <w:jc w:val="both"/>
        <w:rPr>
          <w:rFonts w:ascii="Arial" w:hAnsi="Arial" w:cs="Arial"/>
          <w:color w:val="000000" w:themeColor="text1"/>
          <w:sz w:val="20"/>
          <w:szCs w:val="20"/>
          <w:lang w:val="es-ES_tradnl"/>
        </w:rPr>
      </w:pPr>
      <w:r w:rsidRPr="00302B9D">
        <w:rPr>
          <w:rFonts w:ascii="Arial" w:hAnsi="Arial" w:cs="Arial"/>
          <w:color w:val="000000"/>
          <w:sz w:val="20"/>
          <w:szCs w:val="20"/>
          <w:lang w:val="es-ES"/>
        </w:rPr>
        <w:t xml:space="preserve">Por otra parte, aunque el artículo 2 del Decreto 399 de 2021 </w:t>
      </w:r>
      <w:r w:rsidRPr="00302B9D">
        <w:rPr>
          <w:rFonts w:ascii="Arial" w:hAnsi="Arial" w:cs="Arial"/>
          <w:i/>
          <w:iCs/>
          <w:color w:val="000000"/>
          <w:sz w:val="20"/>
          <w:szCs w:val="20"/>
          <w:lang w:val="es-ES"/>
        </w:rPr>
        <w:t>no exige que se efectúe una audiencia de adjudicación</w:t>
      </w:r>
      <w:r w:rsidRPr="00302B9D">
        <w:rPr>
          <w:rFonts w:ascii="Arial" w:hAnsi="Arial" w:cs="Arial"/>
          <w:color w:val="000000"/>
          <w:sz w:val="20"/>
          <w:szCs w:val="20"/>
          <w:lang w:val="es-ES"/>
        </w:rPr>
        <w:t xml:space="preserve"> en el concurso de méritos abierto o con precalificación –como tampoco resultaba obligatoria luego de los autos que suspendieron provisionalmente los numerales 3, 4 y 5 del artículo </w:t>
      </w:r>
      <w:r w:rsidRPr="00302B9D">
        <w:rPr>
          <w:rFonts w:ascii="Arial" w:hAnsi="Arial" w:cs="Arial"/>
          <w:color w:val="000000" w:themeColor="text1"/>
          <w:sz w:val="20"/>
          <w:szCs w:val="20"/>
          <w:lang w:val="es-ES_tradnl"/>
        </w:rPr>
        <w:t xml:space="preserve">2.2.1.2.1.3.2. del Decreto 1082 de 2015–, la Agencia Nacional de Contratación Pública expresó en varios conceptos anteriores a la expedición del Decreto 399 de 2021 que las audiencias públicas en el concurso de mérito tienen un </w:t>
      </w:r>
      <w:r w:rsidRPr="00302B9D">
        <w:rPr>
          <w:rFonts w:ascii="Arial" w:hAnsi="Arial" w:cs="Arial"/>
          <w:i/>
          <w:iCs/>
          <w:color w:val="000000" w:themeColor="text1"/>
          <w:sz w:val="20"/>
          <w:szCs w:val="20"/>
          <w:lang w:val="es-ES_tradnl"/>
        </w:rPr>
        <w:t>carácter potestativo</w:t>
      </w:r>
      <w:r w:rsidRPr="00302B9D">
        <w:rPr>
          <w:rFonts w:ascii="Arial" w:hAnsi="Arial" w:cs="Arial"/>
          <w:color w:val="000000" w:themeColor="text1"/>
          <w:sz w:val="20"/>
          <w:szCs w:val="20"/>
          <w:lang w:val="es-ES_tradnl"/>
        </w:rPr>
        <w:t>. Esta tesis se puede mantener en vigencia del nuevo reglamento, […].</w:t>
      </w:r>
    </w:p>
    <w:p w14:paraId="67085D13" w14:textId="77777777" w:rsidR="00D72A37" w:rsidRPr="00302B9D" w:rsidRDefault="00D72A37" w:rsidP="00302B9D">
      <w:pPr>
        <w:jc w:val="both"/>
        <w:rPr>
          <w:rFonts w:ascii="Arial" w:hAnsi="Arial" w:cs="Arial"/>
          <w:color w:val="000000" w:themeColor="text1"/>
          <w:sz w:val="20"/>
          <w:szCs w:val="20"/>
          <w:lang w:val="es-ES_tradnl"/>
        </w:rPr>
      </w:pPr>
    </w:p>
    <w:p w14:paraId="5EA2F8AD" w14:textId="77777777" w:rsidR="00D72A37" w:rsidRPr="00302B9D" w:rsidRDefault="00D72A37" w:rsidP="00302B9D">
      <w:pPr>
        <w:jc w:val="both"/>
        <w:rPr>
          <w:rFonts w:ascii="Arial" w:hAnsi="Arial" w:cs="Arial"/>
          <w:color w:val="000000" w:themeColor="text1"/>
          <w:sz w:val="20"/>
          <w:szCs w:val="20"/>
          <w:lang w:val="es-ES_tradnl"/>
        </w:rPr>
      </w:pPr>
      <w:r w:rsidRPr="00302B9D">
        <w:rPr>
          <w:rFonts w:ascii="Arial" w:hAnsi="Arial" w:cs="Arial"/>
          <w:color w:val="000000" w:themeColor="text1"/>
          <w:sz w:val="20"/>
          <w:szCs w:val="20"/>
          <w:lang w:val="es-ES_tradnl"/>
        </w:rPr>
        <w:t>[…]</w:t>
      </w:r>
    </w:p>
    <w:p w14:paraId="2D2AE4C2" w14:textId="77777777" w:rsidR="00D72A37" w:rsidRPr="00302B9D" w:rsidRDefault="00D72A37" w:rsidP="00302B9D">
      <w:pPr>
        <w:jc w:val="both"/>
        <w:rPr>
          <w:rFonts w:ascii="Arial" w:eastAsia="Calibri" w:hAnsi="Arial" w:cs="Arial"/>
          <w:sz w:val="20"/>
          <w:szCs w:val="20"/>
        </w:rPr>
      </w:pPr>
      <w:r w:rsidRPr="00302B9D">
        <w:rPr>
          <w:rFonts w:ascii="Arial" w:eastAsia="Calibri" w:hAnsi="Arial" w:cs="Arial"/>
          <w:sz w:val="20"/>
          <w:szCs w:val="20"/>
        </w:rPr>
        <w:t xml:space="preserve">De esta manera, se concluye que la Administración –siempre que lo disponga en el pliego de condiciones– puede realizar </w:t>
      </w:r>
      <w:r w:rsidRPr="00302B9D">
        <w:rPr>
          <w:rFonts w:ascii="Arial" w:eastAsia="Calibri" w:hAnsi="Arial" w:cs="Arial"/>
          <w:i/>
          <w:iCs/>
          <w:sz w:val="20"/>
          <w:szCs w:val="20"/>
        </w:rPr>
        <w:t>audiencias públicas</w:t>
      </w:r>
      <w:r w:rsidRPr="00302B9D">
        <w:rPr>
          <w:rFonts w:ascii="Arial" w:eastAsia="Calibri" w:hAnsi="Arial" w:cs="Arial"/>
          <w:sz w:val="20"/>
          <w:szCs w:val="20"/>
        </w:rPr>
        <w:t xml:space="preserve"> para adjudicar los contratos derivados de los concursos de méritos. Lo anterior con fundamento en: i) el principio de publicidad como eje rector de las actuaciones administrativas y ii) la remisión del artículo 77 de la Ley 80 de 1993 a las normas del procedimiento administrativo general, en virtud de la cual aplica </w:t>
      </w:r>
      <w:r w:rsidRPr="00302B9D">
        <w:rPr>
          <w:rFonts w:ascii="Arial" w:hAnsi="Arial" w:cs="Arial"/>
          <w:bCs/>
          <w:color w:val="000000" w:themeColor="text1"/>
          <w:sz w:val="20"/>
          <w:szCs w:val="20"/>
          <w:lang w:val="es-ES"/>
        </w:rPr>
        <w:t xml:space="preserve">el </w:t>
      </w:r>
      <w:r w:rsidRPr="00302B9D">
        <w:rPr>
          <w:rFonts w:ascii="Arial" w:eastAsia="Calibri" w:hAnsi="Arial" w:cs="Arial"/>
          <w:sz w:val="20"/>
          <w:szCs w:val="20"/>
        </w:rPr>
        <w:t xml:space="preserve">inciso final del artículo 35 de la Ley 1437 de 2011. </w:t>
      </w:r>
    </w:p>
    <w:p w14:paraId="4881CF18" w14:textId="5C81122C" w:rsidR="00D72A37" w:rsidRPr="00302B9D" w:rsidRDefault="00D72A37" w:rsidP="00302B9D">
      <w:pPr>
        <w:jc w:val="both"/>
        <w:rPr>
          <w:rFonts w:ascii="Arial" w:hAnsi="Arial" w:cs="Arial"/>
          <w:color w:val="000000"/>
          <w:sz w:val="20"/>
          <w:szCs w:val="20"/>
          <w:lang w:val="es-ES"/>
        </w:rPr>
      </w:pPr>
      <w:r w:rsidRPr="00302B9D">
        <w:rPr>
          <w:rFonts w:ascii="Arial" w:hAnsi="Arial" w:cs="Arial"/>
          <w:color w:val="000000" w:themeColor="text1"/>
          <w:sz w:val="20"/>
          <w:szCs w:val="20"/>
          <w:lang w:val="es-ES_tradnl"/>
        </w:rPr>
        <w:t xml:space="preserve"> </w:t>
      </w:r>
      <w:r w:rsidRPr="00302B9D">
        <w:rPr>
          <w:rFonts w:ascii="Arial" w:hAnsi="Arial" w:cs="Arial"/>
          <w:color w:val="000000"/>
          <w:sz w:val="20"/>
          <w:szCs w:val="20"/>
          <w:lang w:val="es-ES"/>
        </w:rPr>
        <w:t xml:space="preserve">   </w:t>
      </w:r>
    </w:p>
    <w:p w14:paraId="7C0AE1B5" w14:textId="77777777" w:rsidR="00D72A37" w:rsidRPr="00D72A37" w:rsidRDefault="00D72A37" w:rsidP="00266EAD">
      <w:pPr>
        <w:jc w:val="both"/>
        <w:rPr>
          <w:rFonts w:ascii="Arial" w:eastAsia="Calibri" w:hAnsi="Arial" w:cs="Arial"/>
          <w:color w:val="000000" w:themeColor="text1"/>
          <w:sz w:val="20"/>
          <w:szCs w:val="20"/>
          <w:lang w:val="es-ES"/>
        </w:rPr>
      </w:pPr>
    </w:p>
    <w:p w14:paraId="7D79AFAF" w14:textId="77777777" w:rsidR="00266EAD" w:rsidRPr="00266EAD" w:rsidRDefault="00266EAD" w:rsidP="00B95C30">
      <w:pPr>
        <w:spacing w:line="276" w:lineRule="auto"/>
        <w:jc w:val="both"/>
        <w:rPr>
          <w:rFonts w:ascii="Arial" w:eastAsia="Calibri" w:hAnsi="Arial" w:cs="Arial"/>
          <w:b/>
          <w:sz w:val="22"/>
        </w:rPr>
      </w:pPr>
    </w:p>
    <w:p w14:paraId="5767ED89" w14:textId="491074EA" w:rsidR="009C3A0A" w:rsidRDefault="009C3A0A" w:rsidP="00B95C30">
      <w:pPr>
        <w:spacing w:line="276" w:lineRule="auto"/>
        <w:jc w:val="both"/>
        <w:rPr>
          <w:rFonts w:ascii="Arial" w:eastAsia="Calibri" w:hAnsi="Arial" w:cs="Arial"/>
          <w:b/>
          <w:sz w:val="22"/>
          <w:lang w:val="es-ES_tradnl"/>
        </w:rPr>
      </w:pPr>
    </w:p>
    <w:p w14:paraId="17620E2D" w14:textId="0112BB61" w:rsidR="009C3A0A" w:rsidRDefault="009C3A0A" w:rsidP="00B95C30">
      <w:pPr>
        <w:spacing w:line="276" w:lineRule="auto"/>
        <w:jc w:val="both"/>
        <w:rPr>
          <w:rFonts w:ascii="Arial" w:eastAsia="Calibri" w:hAnsi="Arial" w:cs="Arial"/>
          <w:b/>
          <w:sz w:val="22"/>
          <w:lang w:val="es-ES_tradnl"/>
        </w:rPr>
      </w:pPr>
    </w:p>
    <w:p w14:paraId="46AB2E1D" w14:textId="77777777" w:rsidR="00327382" w:rsidRPr="00493521" w:rsidRDefault="00327382" w:rsidP="00B95C30">
      <w:pPr>
        <w:spacing w:line="276" w:lineRule="auto"/>
        <w:jc w:val="both"/>
        <w:rPr>
          <w:rFonts w:ascii="Arial" w:hAnsi="Arial" w:cs="Arial"/>
          <w:noProof/>
          <w:color w:val="000000" w:themeColor="text1"/>
          <w:sz w:val="22"/>
          <w:lang w:val="es-ES_tradnl"/>
        </w:rPr>
      </w:pPr>
    </w:p>
    <w:p w14:paraId="5B23BC21" w14:textId="77777777" w:rsidR="00B167C8" w:rsidRPr="00493521"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493521"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493521"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493521"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493521"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493521"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493521"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493521"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493521" w:rsidRDefault="00F53F4F" w:rsidP="00B95C30">
      <w:pPr>
        <w:spacing w:line="276" w:lineRule="auto"/>
        <w:jc w:val="both"/>
        <w:rPr>
          <w:rFonts w:ascii="Arial" w:hAnsi="Arial" w:cs="Arial"/>
          <w:noProof/>
          <w:color w:val="000000" w:themeColor="text1"/>
          <w:sz w:val="22"/>
          <w:lang w:val="es-ES_tradnl"/>
        </w:rPr>
      </w:pPr>
    </w:p>
    <w:p w14:paraId="2A4FF5E1"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6BE39B7C"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074A7A2C"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7B553D38" w14:textId="77777777" w:rsidR="00D96F14" w:rsidRPr="00493521" w:rsidRDefault="00D96F14" w:rsidP="00B95C30">
      <w:pPr>
        <w:spacing w:line="276" w:lineRule="auto"/>
        <w:jc w:val="both"/>
        <w:rPr>
          <w:rFonts w:ascii="Arial" w:hAnsi="Arial" w:cs="Arial"/>
          <w:noProof/>
          <w:color w:val="000000" w:themeColor="text1"/>
          <w:sz w:val="22"/>
          <w:lang w:val="es-ES_tradnl"/>
        </w:rPr>
      </w:pPr>
    </w:p>
    <w:p w14:paraId="07DDE14C" w14:textId="77777777" w:rsidR="004D4040" w:rsidRDefault="004D4040" w:rsidP="00B95C30">
      <w:pPr>
        <w:spacing w:line="276" w:lineRule="auto"/>
        <w:jc w:val="both"/>
        <w:rPr>
          <w:rFonts w:ascii="Arial" w:hAnsi="Arial" w:cs="Arial"/>
          <w:noProof/>
          <w:color w:val="000000" w:themeColor="text1"/>
          <w:sz w:val="22"/>
          <w:lang w:val="es-ES_tradnl"/>
        </w:rPr>
      </w:pPr>
    </w:p>
    <w:p w14:paraId="616AA337" w14:textId="77777777" w:rsidR="004D4040" w:rsidRDefault="004D4040" w:rsidP="00B95C30">
      <w:pPr>
        <w:spacing w:line="276" w:lineRule="auto"/>
        <w:jc w:val="both"/>
        <w:rPr>
          <w:rFonts w:ascii="Arial" w:hAnsi="Arial" w:cs="Arial"/>
          <w:noProof/>
          <w:color w:val="000000" w:themeColor="text1"/>
          <w:sz w:val="22"/>
          <w:lang w:val="es-ES_tradnl"/>
        </w:rPr>
      </w:pPr>
    </w:p>
    <w:p w14:paraId="68E8CD98" w14:textId="77777777" w:rsidR="004D4040" w:rsidRDefault="004D4040" w:rsidP="00B95C30">
      <w:pPr>
        <w:spacing w:line="276" w:lineRule="auto"/>
        <w:jc w:val="both"/>
        <w:rPr>
          <w:rFonts w:ascii="Arial" w:hAnsi="Arial" w:cs="Arial"/>
          <w:noProof/>
          <w:color w:val="000000" w:themeColor="text1"/>
          <w:sz w:val="22"/>
          <w:lang w:val="es-ES_tradnl"/>
        </w:rPr>
      </w:pPr>
    </w:p>
    <w:p w14:paraId="7641527E" w14:textId="77777777" w:rsidR="004D4040" w:rsidRDefault="004D4040" w:rsidP="00B95C30">
      <w:pPr>
        <w:spacing w:line="276" w:lineRule="auto"/>
        <w:jc w:val="both"/>
        <w:rPr>
          <w:rFonts w:ascii="Arial" w:hAnsi="Arial" w:cs="Arial"/>
          <w:noProof/>
          <w:color w:val="000000" w:themeColor="text1"/>
          <w:sz w:val="22"/>
          <w:lang w:val="es-ES_tradnl"/>
        </w:rPr>
      </w:pPr>
    </w:p>
    <w:p w14:paraId="6FB04235" w14:textId="77777777" w:rsidR="004D4040" w:rsidRDefault="004D4040" w:rsidP="00B95C30">
      <w:pPr>
        <w:spacing w:line="276" w:lineRule="auto"/>
        <w:jc w:val="both"/>
        <w:rPr>
          <w:rFonts w:ascii="Arial" w:hAnsi="Arial" w:cs="Arial"/>
          <w:noProof/>
          <w:color w:val="000000" w:themeColor="text1"/>
          <w:sz w:val="22"/>
          <w:lang w:val="es-ES_tradnl"/>
        </w:rPr>
      </w:pPr>
    </w:p>
    <w:p w14:paraId="1995C79B" w14:textId="77777777" w:rsidR="004D4040" w:rsidRDefault="004D4040" w:rsidP="00B95C30">
      <w:pPr>
        <w:spacing w:line="276" w:lineRule="auto"/>
        <w:jc w:val="both"/>
        <w:rPr>
          <w:rFonts w:ascii="Arial" w:hAnsi="Arial" w:cs="Arial"/>
          <w:noProof/>
          <w:color w:val="000000" w:themeColor="text1"/>
          <w:sz w:val="22"/>
          <w:lang w:val="es-ES_tradnl"/>
        </w:rPr>
      </w:pPr>
    </w:p>
    <w:p w14:paraId="7317C417" w14:textId="77777777" w:rsidR="004D4040" w:rsidRDefault="004D4040" w:rsidP="00B95C30">
      <w:pPr>
        <w:spacing w:line="276" w:lineRule="auto"/>
        <w:jc w:val="both"/>
        <w:rPr>
          <w:rFonts w:ascii="Arial" w:hAnsi="Arial" w:cs="Arial"/>
          <w:noProof/>
          <w:color w:val="000000" w:themeColor="text1"/>
          <w:sz w:val="22"/>
          <w:lang w:val="es-ES_tradnl"/>
        </w:rPr>
      </w:pPr>
    </w:p>
    <w:p w14:paraId="040608EA" w14:textId="77777777" w:rsidR="004D4040" w:rsidRDefault="004D4040" w:rsidP="00B95C30">
      <w:pPr>
        <w:spacing w:line="276" w:lineRule="auto"/>
        <w:jc w:val="both"/>
        <w:rPr>
          <w:rFonts w:ascii="Arial" w:hAnsi="Arial" w:cs="Arial"/>
          <w:noProof/>
          <w:color w:val="000000" w:themeColor="text1"/>
          <w:sz w:val="22"/>
          <w:lang w:val="es-ES_tradnl"/>
        </w:rPr>
      </w:pPr>
    </w:p>
    <w:p w14:paraId="253BF97B" w14:textId="77777777" w:rsidR="004D4040" w:rsidRDefault="004D4040" w:rsidP="00B95C30">
      <w:pPr>
        <w:spacing w:line="276" w:lineRule="auto"/>
        <w:jc w:val="both"/>
        <w:rPr>
          <w:rFonts w:ascii="Arial" w:hAnsi="Arial" w:cs="Arial"/>
          <w:noProof/>
          <w:color w:val="000000" w:themeColor="text1"/>
          <w:sz w:val="22"/>
          <w:lang w:val="es-ES_tradnl"/>
        </w:rPr>
      </w:pPr>
    </w:p>
    <w:p w14:paraId="63841613" w14:textId="77777777" w:rsidR="004D4040" w:rsidRDefault="004D4040" w:rsidP="00B95C30">
      <w:pPr>
        <w:spacing w:line="276" w:lineRule="auto"/>
        <w:jc w:val="both"/>
        <w:rPr>
          <w:rFonts w:ascii="Arial" w:hAnsi="Arial" w:cs="Arial"/>
          <w:noProof/>
          <w:color w:val="000000" w:themeColor="text1"/>
          <w:sz w:val="22"/>
          <w:lang w:val="es-ES_tradnl"/>
        </w:rPr>
      </w:pPr>
    </w:p>
    <w:p w14:paraId="588954AC" w14:textId="77777777" w:rsidR="004D4040" w:rsidRDefault="004D4040" w:rsidP="00B95C30">
      <w:pPr>
        <w:spacing w:line="276" w:lineRule="auto"/>
        <w:jc w:val="both"/>
        <w:rPr>
          <w:rFonts w:ascii="Arial" w:hAnsi="Arial" w:cs="Arial"/>
          <w:noProof/>
          <w:color w:val="000000" w:themeColor="text1"/>
          <w:sz w:val="22"/>
          <w:lang w:val="es-ES_tradnl"/>
        </w:rPr>
      </w:pPr>
    </w:p>
    <w:p w14:paraId="490E3AED" w14:textId="77777777" w:rsidR="004D4040" w:rsidRDefault="004D4040" w:rsidP="00B95C30">
      <w:pPr>
        <w:spacing w:line="276" w:lineRule="auto"/>
        <w:jc w:val="both"/>
        <w:rPr>
          <w:rFonts w:ascii="Arial" w:hAnsi="Arial" w:cs="Arial"/>
          <w:noProof/>
          <w:color w:val="000000" w:themeColor="text1"/>
          <w:sz w:val="22"/>
          <w:lang w:val="es-ES_tradnl"/>
        </w:rPr>
      </w:pPr>
    </w:p>
    <w:p w14:paraId="4A82F365" w14:textId="77777777" w:rsidR="004D4040" w:rsidRDefault="004D4040" w:rsidP="00B95C30">
      <w:pPr>
        <w:spacing w:line="276" w:lineRule="auto"/>
        <w:jc w:val="both"/>
        <w:rPr>
          <w:rFonts w:ascii="Arial" w:hAnsi="Arial" w:cs="Arial"/>
          <w:noProof/>
          <w:color w:val="000000" w:themeColor="text1"/>
          <w:sz w:val="22"/>
          <w:lang w:val="es-ES_tradnl"/>
        </w:rPr>
      </w:pPr>
    </w:p>
    <w:p w14:paraId="1A04E663" w14:textId="77777777" w:rsidR="004D4040" w:rsidRDefault="004D4040" w:rsidP="00B95C30">
      <w:pPr>
        <w:spacing w:line="276" w:lineRule="auto"/>
        <w:jc w:val="both"/>
        <w:rPr>
          <w:rFonts w:ascii="Arial" w:hAnsi="Arial" w:cs="Arial"/>
          <w:noProof/>
          <w:color w:val="000000" w:themeColor="text1"/>
          <w:sz w:val="22"/>
          <w:lang w:val="es-ES_tradnl"/>
        </w:rPr>
      </w:pPr>
    </w:p>
    <w:p w14:paraId="320F4539" w14:textId="77777777" w:rsidR="004D4040" w:rsidRDefault="004D4040" w:rsidP="00B95C30">
      <w:pPr>
        <w:spacing w:line="276" w:lineRule="auto"/>
        <w:jc w:val="both"/>
        <w:rPr>
          <w:rFonts w:ascii="Arial" w:hAnsi="Arial" w:cs="Arial"/>
          <w:noProof/>
          <w:color w:val="000000" w:themeColor="text1"/>
          <w:sz w:val="22"/>
          <w:lang w:val="es-ES_tradnl"/>
        </w:rPr>
      </w:pPr>
    </w:p>
    <w:p w14:paraId="7DD48F49" w14:textId="4CF1208D" w:rsidR="00B95C30" w:rsidRPr="00493521" w:rsidRDefault="00B95C30" w:rsidP="00B95C30">
      <w:pPr>
        <w:spacing w:line="276" w:lineRule="auto"/>
        <w:jc w:val="both"/>
        <w:rPr>
          <w:rFonts w:ascii="Arial" w:hAnsi="Arial" w:cs="Arial"/>
          <w:b/>
          <w:bCs/>
          <w:noProof/>
          <w:color w:val="000000" w:themeColor="text1"/>
          <w:sz w:val="22"/>
          <w:lang w:val="es-ES_tradnl"/>
        </w:rPr>
      </w:pPr>
      <w:r w:rsidRPr="00493521">
        <w:rPr>
          <w:rFonts w:ascii="Arial" w:hAnsi="Arial" w:cs="Arial"/>
          <w:noProof/>
          <w:color w:val="000000" w:themeColor="text1"/>
          <w:sz w:val="22"/>
          <w:lang w:val="es-ES_tradnl"/>
        </w:rPr>
        <w:lastRenderedPageBreak/>
        <w:t xml:space="preserve">Bogotá D.C., </w:t>
      </w:r>
      <w:r w:rsidR="00DE6506">
        <w:rPr>
          <w:rFonts w:ascii="Arial" w:hAnsi="Arial" w:cs="Arial"/>
          <w:b/>
          <w:color w:val="000000" w:themeColor="text1"/>
          <w:sz w:val="22"/>
          <w:lang w:val="es-ES_tradnl"/>
        </w:rPr>
        <w:t>17/06/2021 18:30:27</w:t>
      </w:r>
    </w:p>
    <w:p w14:paraId="1F928DBD" w14:textId="77777777" w:rsidR="00F53F4F" w:rsidRPr="00493521" w:rsidRDefault="00F53F4F" w:rsidP="00B95C30">
      <w:pPr>
        <w:spacing w:line="276" w:lineRule="auto"/>
        <w:jc w:val="both"/>
        <w:rPr>
          <w:rFonts w:ascii="Arial" w:eastAsia="Calibri" w:hAnsi="Arial" w:cs="Arial"/>
          <w:noProof/>
          <w:color w:val="000000" w:themeColor="text1"/>
          <w:sz w:val="22"/>
          <w:szCs w:val="22"/>
          <w:lang w:val="es-ES_tradnl"/>
        </w:rPr>
      </w:pPr>
    </w:p>
    <w:p w14:paraId="5F2EF38F" w14:textId="155D2B46" w:rsidR="00DE6506" w:rsidRPr="00DE6506" w:rsidRDefault="00DE6506" w:rsidP="00DE6506">
      <w:pPr>
        <w:jc w:val="right"/>
      </w:pPr>
      <w:r w:rsidRPr="00DE6506">
        <w:fldChar w:fldCharType="begin"/>
      </w:r>
      <w:r w:rsidRPr="00DE6506">
        <w:instrText xml:space="preserve"> INCLUDEPICTURE "/var/folders/5l/v1rdjm0x1x9416lmbj7_vjt40000gn/T/com.microsoft.Word/WebArchiveCopyPasteTempFiles/page1image1789056" \* MERGEFORMATINET </w:instrText>
      </w:r>
      <w:r w:rsidRPr="00DE6506">
        <w:fldChar w:fldCharType="separate"/>
      </w:r>
      <w:r w:rsidRPr="00DE6506">
        <w:rPr>
          <w:noProof/>
        </w:rPr>
        <w:drawing>
          <wp:inline distT="0" distB="0" distL="0" distR="0" wp14:anchorId="42C37366" wp14:editId="1ADFC389">
            <wp:extent cx="2403475" cy="609600"/>
            <wp:effectExtent l="0" t="0" r="0" b="0"/>
            <wp:docPr id="4" name="Imagen 4" descr="page1image178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890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475" cy="609600"/>
                    </a:xfrm>
                    <a:prstGeom prst="rect">
                      <a:avLst/>
                    </a:prstGeom>
                    <a:noFill/>
                    <a:ln>
                      <a:noFill/>
                    </a:ln>
                  </pic:spPr>
                </pic:pic>
              </a:graphicData>
            </a:graphic>
          </wp:inline>
        </w:drawing>
      </w:r>
      <w:r w:rsidRPr="00DE6506">
        <w:fldChar w:fldCharType="end"/>
      </w:r>
    </w:p>
    <w:p w14:paraId="708B07E1" w14:textId="43487E7C" w:rsidR="00417C00" w:rsidRPr="00493521" w:rsidRDefault="00417C00" w:rsidP="00417C00">
      <w:pPr>
        <w:jc w:val="right"/>
        <w:rPr>
          <w:lang w:val="es-ES_tradnl"/>
        </w:rPr>
      </w:pPr>
    </w:p>
    <w:p w14:paraId="6A8A869B" w14:textId="514D7C5B" w:rsidR="00B95C30" w:rsidRPr="00493521" w:rsidRDefault="00B95C30" w:rsidP="00B95C30">
      <w:pPr>
        <w:jc w:val="both"/>
        <w:rPr>
          <w:rFonts w:ascii="Arial" w:hAnsi="Arial" w:cs="Arial"/>
          <w:b/>
          <w:color w:val="000000" w:themeColor="text1"/>
          <w:sz w:val="22"/>
          <w:lang w:val="es-ES_tradnl"/>
        </w:rPr>
      </w:pPr>
    </w:p>
    <w:p w14:paraId="24A88D3F" w14:textId="77777777" w:rsidR="00F53F4F" w:rsidRPr="00493521" w:rsidRDefault="00F53F4F" w:rsidP="00B95C30">
      <w:pPr>
        <w:jc w:val="both"/>
        <w:rPr>
          <w:rFonts w:ascii="Arial" w:hAnsi="Arial" w:cs="Arial"/>
          <w:b/>
          <w:color w:val="000000" w:themeColor="text1"/>
          <w:sz w:val="22"/>
          <w:lang w:val="es-ES_tradnl"/>
        </w:rPr>
      </w:pPr>
    </w:p>
    <w:p w14:paraId="5F5AE9EF" w14:textId="5507A207" w:rsidR="00B95C30" w:rsidRPr="00944652" w:rsidRDefault="00BE4FBF" w:rsidP="00B95C30">
      <w:pPr>
        <w:jc w:val="both"/>
        <w:rPr>
          <w:rFonts w:ascii="Arial" w:eastAsia="Calibri" w:hAnsi="Arial" w:cs="Arial"/>
          <w:color w:val="000000" w:themeColor="text1"/>
          <w:sz w:val="22"/>
          <w:lang w:val="es-ES_tradnl"/>
        </w:rPr>
      </w:pPr>
      <w:r w:rsidRPr="00944652">
        <w:rPr>
          <w:rFonts w:ascii="Arial" w:eastAsia="Calibri" w:hAnsi="Arial" w:cs="Arial"/>
          <w:color w:val="000000" w:themeColor="text1"/>
          <w:sz w:val="22"/>
          <w:lang w:val="es-ES_tradnl"/>
        </w:rPr>
        <w:t>Señor</w:t>
      </w:r>
      <w:r w:rsidR="00944652">
        <w:rPr>
          <w:rFonts w:ascii="Arial" w:eastAsia="Calibri" w:hAnsi="Arial" w:cs="Arial"/>
          <w:color w:val="000000" w:themeColor="text1"/>
          <w:sz w:val="22"/>
          <w:lang w:val="es-ES_tradnl"/>
        </w:rPr>
        <w:t>a</w:t>
      </w:r>
    </w:p>
    <w:p w14:paraId="3DCD58CE" w14:textId="15268DD0" w:rsidR="00B95C30" w:rsidRPr="00944652" w:rsidRDefault="00944652" w:rsidP="00B95C30">
      <w:pPr>
        <w:jc w:val="both"/>
        <w:rPr>
          <w:rFonts w:ascii="Arial" w:eastAsia="Calibri" w:hAnsi="Arial" w:cs="Arial"/>
          <w:b/>
          <w:color w:val="000000" w:themeColor="text1"/>
          <w:sz w:val="22"/>
          <w:lang w:val="es-ES_tradnl"/>
        </w:rPr>
      </w:pPr>
      <w:proofErr w:type="spellStart"/>
      <w:r>
        <w:rPr>
          <w:rFonts w:ascii="Arial" w:eastAsia="Calibri" w:hAnsi="Arial" w:cs="Arial"/>
          <w:b/>
          <w:color w:val="000000" w:themeColor="text1"/>
          <w:sz w:val="22"/>
          <w:lang w:val="es-ES_tradnl"/>
        </w:rPr>
        <w:t>Kateryne</w:t>
      </w:r>
      <w:proofErr w:type="spellEnd"/>
      <w:r w:rsidR="009C0E23">
        <w:rPr>
          <w:rFonts w:ascii="Arial" w:eastAsia="Calibri" w:hAnsi="Arial" w:cs="Arial"/>
          <w:b/>
          <w:color w:val="000000" w:themeColor="text1"/>
          <w:sz w:val="22"/>
          <w:lang w:val="es-ES_tradnl"/>
        </w:rPr>
        <w:t xml:space="preserve"> León Miranda</w:t>
      </w:r>
    </w:p>
    <w:p w14:paraId="09D4AEA8" w14:textId="5C41121C" w:rsidR="00B95C30" w:rsidRPr="00493521" w:rsidRDefault="009C0E23"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Ibagué</w:t>
      </w:r>
    </w:p>
    <w:p w14:paraId="3B584A57" w14:textId="4528CA3D" w:rsidR="00F53F4F" w:rsidRPr="00493521" w:rsidRDefault="00F53F4F" w:rsidP="00B95C30">
      <w:pPr>
        <w:jc w:val="both"/>
        <w:rPr>
          <w:rFonts w:ascii="Arial" w:eastAsia="Calibri" w:hAnsi="Arial" w:cs="Arial"/>
          <w:color w:val="000000" w:themeColor="text1"/>
          <w:sz w:val="22"/>
          <w:lang w:val="es-ES_tradnl"/>
        </w:rPr>
      </w:pPr>
    </w:p>
    <w:p w14:paraId="48E36FCF" w14:textId="77777777" w:rsidR="00F53F4F" w:rsidRPr="00493521" w:rsidRDefault="00F53F4F" w:rsidP="00B95C30">
      <w:pPr>
        <w:jc w:val="both"/>
        <w:rPr>
          <w:rFonts w:ascii="Arial" w:eastAsia="Calibri" w:hAnsi="Arial" w:cs="Arial"/>
          <w:color w:val="000000" w:themeColor="text1"/>
          <w:sz w:val="22"/>
          <w:lang w:val="es-ES_tradnl"/>
        </w:rPr>
      </w:pPr>
    </w:p>
    <w:p w14:paraId="12E66182" w14:textId="178B95A4" w:rsidR="00B95C30" w:rsidRPr="00493521" w:rsidRDefault="00F53F4F" w:rsidP="001D6CD2">
      <w:pPr>
        <w:rPr>
          <w:rFonts w:ascii="Arial" w:eastAsia="Calibri" w:hAnsi="Arial" w:cs="Arial"/>
          <w:b/>
          <w:bCs/>
          <w:color w:val="000000" w:themeColor="text1"/>
          <w:sz w:val="22"/>
          <w:lang w:val="es-ES_tradnl"/>
        </w:rPr>
      </w:pPr>
      <w:r w:rsidRPr="00493521">
        <w:rPr>
          <w:rFonts w:ascii="Arial" w:eastAsia="Calibri" w:hAnsi="Arial" w:cs="Arial"/>
          <w:b/>
          <w:bCs/>
          <w:color w:val="000000" w:themeColor="text1"/>
          <w:sz w:val="22"/>
          <w:lang w:val="es-ES_tradnl"/>
        </w:rPr>
        <w:t xml:space="preserve">                                            </w:t>
      </w:r>
      <w:r w:rsidR="00B95C30" w:rsidRPr="00493521">
        <w:rPr>
          <w:rFonts w:ascii="Arial" w:eastAsia="Calibri" w:hAnsi="Arial" w:cs="Arial"/>
          <w:b/>
          <w:bCs/>
          <w:color w:val="000000" w:themeColor="text1"/>
          <w:sz w:val="22"/>
          <w:lang w:val="es-ES_tradnl"/>
        </w:rPr>
        <w:t xml:space="preserve">Concepto C ‒ </w:t>
      </w:r>
      <w:r w:rsidR="0055518C" w:rsidRPr="00493521">
        <w:rPr>
          <w:rFonts w:ascii="Arial" w:eastAsia="Calibri" w:hAnsi="Arial" w:cs="Arial"/>
          <w:b/>
          <w:bCs/>
          <w:color w:val="000000" w:themeColor="text1"/>
          <w:sz w:val="22"/>
          <w:lang w:val="es-ES_tradnl"/>
        </w:rPr>
        <w:t>2</w:t>
      </w:r>
      <w:r w:rsidR="00464235">
        <w:rPr>
          <w:rFonts w:ascii="Arial" w:eastAsia="Calibri" w:hAnsi="Arial" w:cs="Arial"/>
          <w:b/>
          <w:bCs/>
          <w:color w:val="000000" w:themeColor="text1"/>
          <w:sz w:val="22"/>
          <w:lang w:val="es-ES_tradnl"/>
        </w:rPr>
        <w:t>9</w:t>
      </w:r>
      <w:r w:rsidR="0055518C" w:rsidRPr="00493521">
        <w:rPr>
          <w:rFonts w:ascii="Arial" w:eastAsia="Calibri" w:hAnsi="Arial" w:cs="Arial"/>
          <w:b/>
          <w:bCs/>
          <w:color w:val="000000" w:themeColor="text1"/>
          <w:sz w:val="22"/>
          <w:lang w:val="es-ES_tradnl"/>
        </w:rPr>
        <w:t>7</w:t>
      </w:r>
      <w:r w:rsidR="00B95C30" w:rsidRPr="00493521">
        <w:rPr>
          <w:rFonts w:ascii="Arial" w:eastAsia="Calibri" w:hAnsi="Arial" w:cs="Arial"/>
          <w:b/>
          <w:bCs/>
          <w:color w:val="000000" w:themeColor="text1"/>
          <w:sz w:val="22"/>
          <w:lang w:val="es-ES_tradnl"/>
        </w:rPr>
        <w:t xml:space="preserve"> de 202</w:t>
      </w:r>
      <w:r w:rsidR="005E781C" w:rsidRPr="00493521">
        <w:rPr>
          <w:rFonts w:ascii="Arial" w:eastAsia="Calibri" w:hAnsi="Arial" w:cs="Arial"/>
          <w:b/>
          <w:bCs/>
          <w:color w:val="000000" w:themeColor="text1"/>
          <w:sz w:val="22"/>
          <w:lang w:val="es-ES_tradnl"/>
        </w:rPr>
        <w:t>1</w:t>
      </w:r>
    </w:p>
    <w:p w14:paraId="1BD594F9" w14:textId="77777777" w:rsidR="00B95C30" w:rsidRPr="0049352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93521" w14:paraId="19DFC051" w14:textId="77777777" w:rsidTr="008F4163">
        <w:tc>
          <w:tcPr>
            <w:tcW w:w="2689" w:type="dxa"/>
          </w:tcPr>
          <w:p w14:paraId="6BC0D1AC" w14:textId="77777777" w:rsidR="00B95C30" w:rsidRPr="00493521" w:rsidRDefault="00B95C30" w:rsidP="008F4163">
            <w:pPr>
              <w:jc w:val="both"/>
              <w:rPr>
                <w:rFonts w:ascii="Arial" w:eastAsia="Calibri" w:hAnsi="Arial" w:cs="Arial"/>
                <w:color w:val="000000" w:themeColor="text1"/>
                <w:sz w:val="22"/>
                <w:lang w:val="es-ES_tradnl"/>
              </w:rPr>
            </w:pPr>
            <w:r w:rsidRPr="00493521">
              <w:rPr>
                <w:rFonts w:ascii="Arial" w:eastAsia="Calibri" w:hAnsi="Arial" w:cs="Arial"/>
                <w:b/>
                <w:color w:val="000000" w:themeColor="text1"/>
                <w:sz w:val="22"/>
                <w:lang w:val="es-ES_tradnl"/>
              </w:rPr>
              <w:t>Temas:</w:t>
            </w:r>
            <w:r w:rsidRPr="00493521">
              <w:rPr>
                <w:rFonts w:ascii="Arial" w:eastAsia="Calibri" w:hAnsi="Arial" w:cs="Arial"/>
                <w:color w:val="000000" w:themeColor="text1"/>
                <w:sz w:val="22"/>
                <w:lang w:val="es-ES_tradnl"/>
              </w:rPr>
              <w:t xml:space="preserve">                                      </w:t>
            </w:r>
          </w:p>
        </w:tc>
        <w:tc>
          <w:tcPr>
            <w:tcW w:w="6237" w:type="dxa"/>
          </w:tcPr>
          <w:p w14:paraId="5F389CAF" w14:textId="06B2A624" w:rsidR="00B95C30" w:rsidRPr="00493521" w:rsidRDefault="00357C44" w:rsidP="008F4163">
            <w:pPr>
              <w:jc w:val="both"/>
              <w:rPr>
                <w:rFonts w:ascii="Arial" w:eastAsia="Calibri" w:hAnsi="Arial" w:cs="Arial"/>
                <w:color w:val="000000" w:themeColor="text1"/>
                <w:sz w:val="22"/>
                <w:lang w:val="es-ES_tradnl"/>
              </w:rPr>
            </w:pPr>
            <w:r w:rsidRPr="00493521">
              <w:rPr>
                <w:rFonts w:ascii="Arial" w:eastAsia="Calibri" w:hAnsi="Arial" w:cs="Arial"/>
                <w:bCs/>
                <w:sz w:val="22"/>
                <w:lang w:val="es-ES_tradnl"/>
              </w:rPr>
              <w:t>CONCURSO DE MÉRITOS – Concepto – Modalidades / CONCURSO DE MÉRITOS – Decreto 1082 de 2015 – artículo 2.2.1.2.1.3.2 – Suspensión provisional / CONCURSO DE MÉRITOS – Decreto 1082 de 2015 – artículo 2.2.1.2.1.3.2 – Decreto 399 de 2021 – Artículo 2</w:t>
            </w:r>
            <w:r w:rsidR="007925C2">
              <w:rPr>
                <w:rFonts w:ascii="Arial" w:eastAsia="Calibri" w:hAnsi="Arial" w:cs="Arial"/>
                <w:bCs/>
                <w:sz w:val="22"/>
                <w:lang w:val="es-ES_tradnl"/>
              </w:rPr>
              <w:t xml:space="preserve"> / </w:t>
            </w:r>
            <w:r w:rsidR="007925C2" w:rsidRPr="007925C2">
              <w:rPr>
                <w:rFonts w:ascii="Arial" w:eastAsia="Calibri" w:hAnsi="Arial" w:cs="Arial"/>
                <w:bCs/>
                <w:sz w:val="22"/>
                <w:lang w:val="es-ES_tradnl"/>
              </w:rPr>
              <w:t>AUDIENCIAS PÚBLICAS – Concurso de méritos – Adjudicación – Potestativas</w:t>
            </w:r>
            <w:r w:rsidR="00B95C30" w:rsidRPr="00493521">
              <w:rPr>
                <w:rFonts w:ascii="Arial" w:eastAsia="Arial" w:hAnsi="Arial" w:cs="Arial"/>
                <w:sz w:val="22"/>
                <w:lang w:val="es-ES_tradnl"/>
              </w:rPr>
              <w:t>.</w:t>
            </w:r>
          </w:p>
        </w:tc>
      </w:tr>
      <w:tr w:rsidR="00B95C30" w:rsidRPr="00493521" w14:paraId="27CD52AB" w14:textId="77777777" w:rsidTr="008F4163">
        <w:tc>
          <w:tcPr>
            <w:tcW w:w="2689" w:type="dxa"/>
          </w:tcPr>
          <w:p w14:paraId="37E195A1" w14:textId="1BA218D5" w:rsidR="00B95C30" w:rsidRPr="00493521" w:rsidRDefault="00B95C30" w:rsidP="008F4163">
            <w:pPr>
              <w:spacing w:before="120"/>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Radicación:</w:t>
            </w:r>
            <w:r w:rsidRPr="00493521">
              <w:rPr>
                <w:rFonts w:ascii="Arial" w:eastAsia="Calibri" w:hAnsi="Arial" w:cs="Arial"/>
                <w:color w:val="000000" w:themeColor="text1"/>
                <w:sz w:val="22"/>
                <w:lang w:val="es-ES_tradnl"/>
              </w:rPr>
              <w:t xml:space="preserve">                              </w:t>
            </w:r>
          </w:p>
        </w:tc>
        <w:tc>
          <w:tcPr>
            <w:tcW w:w="6237" w:type="dxa"/>
          </w:tcPr>
          <w:p w14:paraId="09088B1B" w14:textId="299E470E" w:rsidR="00B95C30" w:rsidRPr="00493521" w:rsidRDefault="00B95C30" w:rsidP="008F4163">
            <w:pPr>
              <w:spacing w:before="120"/>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Respuesta a consulta</w:t>
            </w:r>
            <w:r w:rsidR="002311F0"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 </w:t>
            </w:r>
            <w:r w:rsidR="00F0254C" w:rsidRPr="00F0254C">
              <w:rPr>
                <w:rFonts w:ascii="Arial" w:eastAsia="Calibri" w:hAnsi="Arial" w:cs="Arial"/>
                <w:color w:val="000000" w:themeColor="text1"/>
                <w:sz w:val="22"/>
                <w:lang w:val="es-ES_tradnl"/>
              </w:rPr>
              <w:t>P20210505003892</w:t>
            </w:r>
            <w:r w:rsidR="002311F0" w:rsidRPr="00493521">
              <w:rPr>
                <w:rFonts w:ascii="Arial" w:eastAsia="Calibri" w:hAnsi="Arial" w:cs="Arial"/>
                <w:color w:val="000000" w:themeColor="text1"/>
                <w:sz w:val="22"/>
                <w:lang w:val="es-ES_tradnl"/>
              </w:rPr>
              <w:t>.</w:t>
            </w:r>
          </w:p>
        </w:tc>
      </w:tr>
    </w:tbl>
    <w:p w14:paraId="61B55CA4" w14:textId="77777777" w:rsidR="00716BB0" w:rsidRPr="00493521" w:rsidRDefault="00716BB0" w:rsidP="003C3339">
      <w:pPr>
        <w:jc w:val="both"/>
        <w:rPr>
          <w:rFonts w:ascii="Arial" w:eastAsia="Calibri" w:hAnsi="Arial" w:cs="Arial"/>
          <w:color w:val="000000" w:themeColor="text1"/>
          <w:sz w:val="22"/>
          <w:lang w:val="es-ES_tradnl"/>
        </w:rPr>
      </w:pPr>
    </w:p>
    <w:p w14:paraId="4B9B5156" w14:textId="77777777" w:rsidR="00716BB0" w:rsidRPr="00493521" w:rsidRDefault="00716BB0" w:rsidP="003C3339">
      <w:pPr>
        <w:jc w:val="both"/>
        <w:rPr>
          <w:rFonts w:ascii="Arial" w:eastAsia="Calibri" w:hAnsi="Arial" w:cs="Arial"/>
          <w:color w:val="000000" w:themeColor="text1"/>
          <w:sz w:val="22"/>
          <w:lang w:val="es-ES_tradnl"/>
        </w:rPr>
      </w:pPr>
    </w:p>
    <w:p w14:paraId="1CF4AEA0" w14:textId="7CF2FC7A" w:rsidR="003C3339" w:rsidRPr="00493521" w:rsidRDefault="003C3339" w:rsidP="003C3339">
      <w:pPr>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Estimad</w:t>
      </w:r>
      <w:r w:rsidR="00FC2BF3">
        <w:rPr>
          <w:rFonts w:ascii="Arial" w:eastAsia="Calibri" w:hAnsi="Arial" w:cs="Arial"/>
          <w:color w:val="000000" w:themeColor="text1"/>
          <w:sz w:val="22"/>
          <w:lang w:val="es-ES_tradnl"/>
        </w:rPr>
        <w:t>a</w:t>
      </w:r>
      <w:r w:rsidRPr="00493521">
        <w:rPr>
          <w:rFonts w:ascii="Arial" w:eastAsia="Calibri" w:hAnsi="Arial" w:cs="Arial"/>
          <w:color w:val="000000" w:themeColor="text1"/>
          <w:sz w:val="22"/>
          <w:lang w:val="es-ES_tradnl"/>
        </w:rPr>
        <w:t xml:space="preserve"> </w:t>
      </w:r>
      <w:r w:rsidR="0063732C" w:rsidRPr="00493521">
        <w:rPr>
          <w:rFonts w:ascii="Arial" w:eastAsia="Calibri" w:hAnsi="Arial" w:cs="Arial"/>
          <w:color w:val="000000" w:themeColor="text1"/>
          <w:sz w:val="22"/>
          <w:lang w:val="es-ES_tradnl"/>
        </w:rPr>
        <w:t>señor</w:t>
      </w:r>
      <w:r w:rsidR="00FC2BF3">
        <w:rPr>
          <w:rFonts w:ascii="Arial" w:eastAsia="Calibri" w:hAnsi="Arial" w:cs="Arial"/>
          <w:color w:val="000000" w:themeColor="text1"/>
          <w:sz w:val="22"/>
          <w:lang w:val="es-ES_tradnl"/>
        </w:rPr>
        <w:t>a</w:t>
      </w:r>
      <w:r w:rsidR="00BE4FBF" w:rsidRPr="00493521">
        <w:rPr>
          <w:rFonts w:ascii="Arial" w:eastAsia="Calibri" w:hAnsi="Arial" w:cs="Arial"/>
          <w:color w:val="000000" w:themeColor="text1"/>
          <w:sz w:val="22"/>
          <w:lang w:val="es-ES_tradnl"/>
        </w:rPr>
        <w:t xml:space="preserve"> </w:t>
      </w:r>
      <w:r w:rsidR="00FC2BF3">
        <w:rPr>
          <w:rFonts w:ascii="Arial" w:eastAsia="Calibri" w:hAnsi="Arial" w:cs="Arial"/>
          <w:color w:val="000000" w:themeColor="text1"/>
          <w:sz w:val="22"/>
          <w:lang w:val="es-ES_tradnl"/>
        </w:rPr>
        <w:t>León</w:t>
      </w:r>
      <w:r w:rsidRPr="00493521">
        <w:rPr>
          <w:rFonts w:ascii="Arial" w:eastAsia="Calibri" w:hAnsi="Arial" w:cs="Arial"/>
          <w:color w:val="000000" w:themeColor="text1"/>
          <w:sz w:val="22"/>
          <w:lang w:val="es-ES_tradnl"/>
        </w:rPr>
        <w:t>:</w:t>
      </w:r>
    </w:p>
    <w:p w14:paraId="1EAE5543" w14:textId="77777777" w:rsidR="00DD5B04" w:rsidRPr="00493521" w:rsidRDefault="00DD5B04" w:rsidP="00DF76A2">
      <w:pPr>
        <w:jc w:val="both"/>
        <w:rPr>
          <w:rFonts w:ascii="Arial" w:eastAsia="Calibri" w:hAnsi="Arial" w:cs="Arial"/>
          <w:color w:val="000000" w:themeColor="text1"/>
          <w:sz w:val="22"/>
          <w:lang w:val="es-ES_tradnl"/>
        </w:rPr>
      </w:pPr>
    </w:p>
    <w:p w14:paraId="2109B2D3" w14:textId="2C720493" w:rsidR="00DD5B04" w:rsidRPr="00493521" w:rsidRDefault="00DD5B04" w:rsidP="00DF76A2">
      <w:pPr>
        <w:spacing w:line="276" w:lineRule="auto"/>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responde su consulta del </w:t>
      </w:r>
      <w:r w:rsidR="00E06598">
        <w:rPr>
          <w:rFonts w:ascii="Arial" w:eastAsia="Calibri" w:hAnsi="Arial" w:cs="Arial"/>
          <w:color w:val="000000" w:themeColor="text1"/>
          <w:sz w:val="22"/>
          <w:lang w:val="es-ES_tradnl"/>
        </w:rPr>
        <w:t xml:space="preserve">5 </w:t>
      </w:r>
      <w:r w:rsidR="00FD4AF3" w:rsidRPr="00493521">
        <w:rPr>
          <w:rFonts w:ascii="Arial" w:eastAsia="Calibri" w:hAnsi="Arial" w:cs="Arial"/>
          <w:color w:val="000000" w:themeColor="text1"/>
          <w:sz w:val="22"/>
          <w:lang w:val="es-ES_tradnl"/>
        </w:rPr>
        <w:t xml:space="preserve">de </w:t>
      </w:r>
      <w:r w:rsidR="00E06598">
        <w:rPr>
          <w:rFonts w:ascii="Arial" w:eastAsia="Calibri" w:hAnsi="Arial" w:cs="Arial"/>
          <w:color w:val="000000" w:themeColor="text1"/>
          <w:sz w:val="22"/>
          <w:lang w:val="es-ES_tradnl"/>
        </w:rPr>
        <w:t>mayo</w:t>
      </w:r>
      <w:r w:rsidRPr="00493521">
        <w:rPr>
          <w:rFonts w:ascii="Arial" w:eastAsia="Calibri" w:hAnsi="Arial" w:cs="Arial"/>
          <w:color w:val="000000" w:themeColor="text1"/>
          <w:sz w:val="22"/>
          <w:lang w:val="es-ES_tradnl"/>
        </w:rPr>
        <w:t xml:space="preserve"> del</w:t>
      </w:r>
      <w:r w:rsidR="007E74BF"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202</w:t>
      </w:r>
      <w:r w:rsidR="00FB0880" w:rsidRPr="00493521">
        <w:rPr>
          <w:rFonts w:ascii="Arial" w:eastAsia="Calibri" w:hAnsi="Arial" w:cs="Arial"/>
          <w:color w:val="000000" w:themeColor="text1"/>
          <w:sz w:val="22"/>
          <w:lang w:val="es-ES_tradnl"/>
        </w:rPr>
        <w:t>1</w:t>
      </w:r>
      <w:r w:rsidR="008C3C57" w:rsidRPr="00493521">
        <w:rPr>
          <w:rFonts w:ascii="Arial" w:eastAsia="Calibri" w:hAnsi="Arial" w:cs="Arial"/>
          <w:color w:val="000000" w:themeColor="text1"/>
          <w:sz w:val="22"/>
          <w:lang w:val="es-ES_tradnl"/>
        </w:rPr>
        <w:t>.</w:t>
      </w:r>
    </w:p>
    <w:p w14:paraId="0C1E0712" w14:textId="77777777" w:rsidR="00DD5B04" w:rsidRPr="0049352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9352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 xml:space="preserve">Problema planteado </w:t>
      </w:r>
    </w:p>
    <w:p w14:paraId="224B43D3" w14:textId="77777777" w:rsidR="00DD5B04" w:rsidRPr="0049352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DB9C7BE" w:rsidR="00443B55" w:rsidRPr="00493521" w:rsidRDefault="00DD5B04" w:rsidP="0099583D">
      <w:pPr>
        <w:spacing w:line="276" w:lineRule="auto"/>
        <w:jc w:val="both"/>
        <w:rPr>
          <w:rFonts w:ascii="Arial" w:hAnsi="Arial" w:cs="Arial"/>
          <w:color w:val="000000" w:themeColor="text1"/>
          <w:sz w:val="22"/>
          <w:lang w:val="es-ES_tradnl"/>
        </w:rPr>
      </w:pPr>
      <w:r w:rsidRPr="00493521">
        <w:rPr>
          <w:rFonts w:ascii="Arial" w:hAnsi="Arial" w:cs="Arial"/>
          <w:color w:val="000000" w:themeColor="text1"/>
          <w:sz w:val="22"/>
          <w:lang w:val="es-ES_tradnl"/>
        </w:rPr>
        <w:t>Usted</w:t>
      </w:r>
      <w:r w:rsidR="005F0890">
        <w:rPr>
          <w:rFonts w:ascii="Arial" w:hAnsi="Arial" w:cs="Arial"/>
          <w:color w:val="000000" w:themeColor="text1"/>
          <w:sz w:val="22"/>
          <w:lang w:val="es-ES_tradnl"/>
        </w:rPr>
        <w:t xml:space="preserve"> realiza la siguiente consulta</w:t>
      </w:r>
      <w:r w:rsidR="00B420B8">
        <w:rPr>
          <w:rFonts w:ascii="Arial" w:hAnsi="Arial" w:cs="Arial"/>
          <w:color w:val="000000" w:themeColor="text1"/>
          <w:sz w:val="22"/>
          <w:lang w:val="es-ES_tradnl"/>
        </w:rPr>
        <w:t xml:space="preserve"> relacionada con el artículo 2 del Decreto 399 de 2021</w:t>
      </w:r>
      <w:r w:rsidR="00637A68" w:rsidRPr="00493521">
        <w:rPr>
          <w:rFonts w:ascii="Arial" w:hAnsi="Arial" w:cs="Arial"/>
          <w:color w:val="000000" w:themeColor="text1"/>
          <w:sz w:val="22"/>
          <w:lang w:val="es-ES_tradnl"/>
        </w:rPr>
        <w:t>:</w:t>
      </w:r>
      <w:r w:rsidR="007E18DF" w:rsidRPr="00493521">
        <w:rPr>
          <w:rFonts w:ascii="Arial" w:hAnsi="Arial" w:cs="Arial"/>
          <w:color w:val="000000" w:themeColor="text1"/>
          <w:sz w:val="22"/>
          <w:lang w:val="es-ES_tradnl"/>
        </w:rPr>
        <w:t xml:space="preserve"> </w:t>
      </w:r>
    </w:p>
    <w:p w14:paraId="559EE20C" w14:textId="77777777" w:rsidR="00443B55" w:rsidRPr="00493521" w:rsidRDefault="00443B55" w:rsidP="0099583D">
      <w:pPr>
        <w:spacing w:line="276" w:lineRule="auto"/>
        <w:jc w:val="both"/>
        <w:rPr>
          <w:rFonts w:ascii="Arial" w:hAnsi="Arial" w:cs="Arial"/>
          <w:color w:val="000000" w:themeColor="text1"/>
          <w:sz w:val="22"/>
          <w:lang w:val="es-ES_tradnl"/>
        </w:rPr>
      </w:pPr>
    </w:p>
    <w:p w14:paraId="1336B7EB" w14:textId="08EF4E9E" w:rsidR="00DE3789" w:rsidRDefault="00EE77D4" w:rsidP="00323C46">
      <w:pPr>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w:t>
      </w:r>
      <w:r w:rsidR="003C37AB">
        <w:rPr>
          <w:rFonts w:ascii="Arial" w:hAnsi="Arial" w:cs="Arial"/>
          <w:color w:val="000000" w:themeColor="text1"/>
          <w:sz w:val="21"/>
          <w:szCs w:val="21"/>
          <w:lang w:val="es-ES_tradnl"/>
        </w:rPr>
        <w:t>Respecto</w:t>
      </w:r>
      <w:r w:rsidR="00B152B8">
        <w:rPr>
          <w:rFonts w:ascii="Arial" w:hAnsi="Arial" w:cs="Arial"/>
          <w:color w:val="000000" w:themeColor="text1"/>
          <w:sz w:val="21"/>
          <w:szCs w:val="21"/>
          <w:lang w:val="es-ES_tradnl"/>
        </w:rPr>
        <w:t xml:space="preserve"> a la norma anteriormente citada</w:t>
      </w:r>
      <w:r w:rsidR="00743241">
        <w:rPr>
          <w:rFonts w:ascii="Arial" w:hAnsi="Arial" w:cs="Arial"/>
          <w:color w:val="000000" w:themeColor="text1"/>
          <w:sz w:val="21"/>
          <w:szCs w:val="21"/>
          <w:lang w:val="es-ES_tradnl"/>
        </w:rPr>
        <w:t xml:space="preserve"> solicitamos:</w:t>
      </w:r>
    </w:p>
    <w:p w14:paraId="5FA7A843" w14:textId="3DEEFA44" w:rsidR="00E32C77" w:rsidRDefault="00E32C77" w:rsidP="00323C46">
      <w:pPr>
        <w:ind w:left="709" w:right="709"/>
        <w:jc w:val="both"/>
        <w:rPr>
          <w:rFonts w:ascii="Arial" w:hAnsi="Arial" w:cs="Arial"/>
          <w:color w:val="000000" w:themeColor="text1"/>
          <w:sz w:val="21"/>
          <w:szCs w:val="21"/>
          <w:lang w:val="es-ES_tradnl"/>
        </w:rPr>
      </w:pPr>
    </w:p>
    <w:p w14:paraId="1403DA13" w14:textId="7311F679" w:rsidR="00E32C77" w:rsidRDefault="00285600" w:rsidP="00443ACA">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E32C77">
        <w:rPr>
          <w:rFonts w:ascii="Arial" w:hAnsi="Arial" w:cs="Arial"/>
          <w:color w:val="000000" w:themeColor="text1"/>
          <w:sz w:val="21"/>
          <w:szCs w:val="21"/>
          <w:lang w:val="es-ES_tradnl"/>
        </w:rPr>
        <w:t>1. Explicar o aclarar de forma detallada su aplicación en el procedimiento del concurso de méritos</w:t>
      </w:r>
      <w:r w:rsidR="00443ACA">
        <w:rPr>
          <w:rFonts w:ascii="Arial" w:hAnsi="Arial" w:cs="Arial"/>
          <w:color w:val="000000" w:themeColor="text1"/>
          <w:sz w:val="21"/>
          <w:szCs w:val="21"/>
          <w:lang w:val="es-ES_tradnl"/>
        </w:rPr>
        <w:t>, en especial lo relacionado a la audiencia que se desarrollaba para realizar la apertura del sobre económico ¿si se debe realizar o no?</w:t>
      </w:r>
    </w:p>
    <w:p w14:paraId="7048F33B" w14:textId="39A807DC" w:rsidR="00285600" w:rsidRDefault="00285600" w:rsidP="00443ACA">
      <w:pPr>
        <w:ind w:left="709" w:right="709"/>
        <w:jc w:val="both"/>
        <w:rPr>
          <w:rFonts w:ascii="Arial" w:hAnsi="Arial" w:cs="Arial"/>
          <w:color w:val="000000" w:themeColor="text1"/>
          <w:sz w:val="21"/>
          <w:szCs w:val="21"/>
          <w:lang w:val="es-ES_tradnl"/>
        </w:rPr>
      </w:pPr>
    </w:p>
    <w:p w14:paraId="7E424C46" w14:textId="3AEFAD97" w:rsidR="00285600" w:rsidRPr="00493521" w:rsidRDefault="00285600" w:rsidP="00443ACA">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»2. Precisar e indicar por parte de ustedes, si se realizarán adaptaciones al módulo del concurso de méritos abierto en la plataforma SECOP II».</w:t>
      </w:r>
    </w:p>
    <w:p w14:paraId="4D07550D" w14:textId="725FBD27" w:rsidR="002074C2" w:rsidRDefault="002074C2" w:rsidP="002074C2">
      <w:pPr>
        <w:ind w:left="709" w:right="709"/>
        <w:jc w:val="both"/>
        <w:rPr>
          <w:rFonts w:ascii="Arial" w:hAnsi="Arial" w:cs="Arial"/>
          <w:color w:val="000000" w:themeColor="text1"/>
          <w:sz w:val="21"/>
          <w:szCs w:val="21"/>
          <w:lang w:val="es-ES_tradnl"/>
        </w:rPr>
      </w:pPr>
    </w:p>
    <w:p w14:paraId="5DE8814B" w14:textId="3BB50B77" w:rsidR="007E0373" w:rsidRDefault="007E0373" w:rsidP="002074C2">
      <w:pPr>
        <w:ind w:left="709" w:right="709"/>
        <w:jc w:val="both"/>
        <w:rPr>
          <w:rFonts w:ascii="Arial" w:hAnsi="Arial" w:cs="Arial"/>
          <w:color w:val="000000" w:themeColor="text1"/>
          <w:sz w:val="21"/>
          <w:szCs w:val="21"/>
          <w:lang w:val="es-ES_tradnl"/>
        </w:rPr>
      </w:pPr>
    </w:p>
    <w:p w14:paraId="2B859951" w14:textId="3F577E09" w:rsidR="007E0373" w:rsidRDefault="007E0373" w:rsidP="002074C2">
      <w:pPr>
        <w:ind w:left="709" w:right="709"/>
        <w:jc w:val="both"/>
        <w:rPr>
          <w:rFonts w:ascii="Arial" w:hAnsi="Arial" w:cs="Arial"/>
          <w:color w:val="000000" w:themeColor="text1"/>
          <w:sz w:val="21"/>
          <w:szCs w:val="21"/>
          <w:lang w:val="es-ES_tradnl"/>
        </w:rPr>
      </w:pPr>
    </w:p>
    <w:p w14:paraId="1A8AEF4C" w14:textId="77777777" w:rsidR="007E0373" w:rsidRPr="00493521" w:rsidRDefault="007E0373" w:rsidP="002074C2">
      <w:pPr>
        <w:ind w:left="709" w:right="709"/>
        <w:jc w:val="both"/>
        <w:rPr>
          <w:rFonts w:ascii="Arial" w:hAnsi="Arial" w:cs="Arial"/>
          <w:color w:val="000000" w:themeColor="text1"/>
          <w:sz w:val="21"/>
          <w:szCs w:val="21"/>
          <w:lang w:val="es-ES_tradnl"/>
        </w:rPr>
      </w:pPr>
    </w:p>
    <w:p w14:paraId="124D2DCA" w14:textId="77777777" w:rsidR="00DD5B04" w:rsidRPr="0049352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Consideraciones</w:t>
      </w:r>
    </w:p>
    <w:p w14:paraId="7D050D2E" w14:textId="77777777" w:rsidR="00435703" w:rsidRPr="00493521" w:rsidRDefault="00435703" w:rsidP="00DF76A2">
      <w:pPr>
        <w:spacing w:line="276" w:lineRule="auto"/>
        <w:jc w:val="both"/>
        <w:rPr>
          <w:rFonts w:ascii="Arial" w:eastAsia="Calibri" w:hAnsi="Arial" w:cs="Arial"/>
          <w:color w:val="000000" w:themeColor="text1"/>
          <w:sz w:val="22"/>
          <w:szCs w:val="22"/>
          <w:lang w:val="es-ES_tradnl"/>
        </w:rPr>
      </w:pPr>
    </w:p>
    <w:p w14:paraId="39560D03" w14:textId="1A6AFF48" w:rsidR="006B68CB" w:rsidRDefault="008E30C4" w:rsidP="006B68CB">
      <w:pPr>
        <w:spacing w:line="276" w:lineRule="auto"/>
        <w:jc w:val="both"/>
        <w:rPr>
          <w:rFonts w:ascii="Arial" w:eastAsia="Calibri" w:hAnsi="Arial" w:cs="Arial"/>
          <w:color w:val="000000" w:themeColor="text1"/>
          <w:sz w:val="22"/>
          <w:szCs w:val="22"/>
          <w:lang w:val="es-ES_tradnl"/>
        </w:rPr>
      </w:pPr>
      <w:r w:rsidRPr="00493521">
        <w:rPr>
          <w:rFonts w:ascii="Arial" w:eastAsia="Calibri" w:hAnsi="Arial" w:cs="Arial"/>
          <w:color w:val="000000" w:themeColor="text1"/>
          <w:sz w:val="22"/>
          <w:szCs w:val="22"/>
          <w:lang w:val="es-ES_tradnl"/>
        </w:rPr>
        <w:t xml:space="preserve">La Subdirección de Gestión Contractual responderá </w:t>
      </w:r>
      <w:r w:rsidR="00271230" w:rsidRPr="00493521">
        <w:rPr>
          <w:rFonts w:ascii="Arial" w:eastAsia="Calibri" w:hAnsi="Arial" w:cs="Arial"/>
          <w:color w:val="000000" w:themeColor="text1"/>
          <w:sz w:val="22"/>
          <w:szCs w:val="22"/>
          <w:lang w:val="es-ES_tradnl"/>
        </w:rPr>
        <w:t>la consulta</w:t>
      </w:r>
      <w:r w:rsidRPr="00493521">
        <w:rPr>
          <w:rFonts w:ascii="Arial" w:eastAsia="Calibri" w:hAnsi="Arial" w:cs="Arial"/>
          <w:color w:val="000000" w:themeColor="text1"/>
          <w:sz w:val="22"/>
          <w:szCs w:val="22"/>
          <w:lang w:val="es-ES_tradnl"/>
        </w:rPr>
        <w:t xml:space="preserve">, </w:t>
      </w:r>
      <w:r w:rsidR="00271230" w:rsidRPr="00493521">
        <w:rPr>
          <w:rFonts w:ascii="Arial" w:eastAsia="Calibri" w:hAnsi="Arial" w:cs="Arial"/>
          <w:color w:val="000000" w:themeColor="text1"/>
          <w:sz w:val="22"/>
          <w:szCs w:val="22"/>
          <w:lang w:val="es-ES_tradnl"/>
        </w:rPr>
        <w:t>luego de analizar los</w:t>
      </w:r>
      <w:r w:rsidR="00822EC4" w:rsidRPr="00493521">
        <w:rPr>
          <w:rFonts w:ascii="Arial" w:eastAsia="Calibri" w:hAnsi="Arial" w:cs="Arial"/>
          <w:color w:val="000000" w:themeColor="text1"/>
          <w:sz w:val="22"/>
          <w:szCs w:val="22"/>
          <w:lang w:val="es-ES_tradnl"/>
        </w:rPr>
        <w:t xml:space="preserve"> siguientes temas: </w:t>
      </w:r>
      <w:r w:rsidR="00D93049" w:rsidRPr="00493521">
        <w:rPr>
          <w:rFonts w:ascii="Arial" w:eastAsia="Calibri" w:hAnsi="Arial" w:cs="Arial"/>
          <w:color w:val="000000" w:themeColor="text1"/>
          <w:sz w:val="22"/>
          <w:szCs w:val="22"/>
          <w:lang w:val="es-ES_tradnl"/>
        </w:rPr>
        <w:t xml:space="preserve">i) </w:t>
      </w:r>
      <w:r w:rsidR="00123BBD">
        <w:rPr>
          <w:rFonts w:ascii="Arial" w:eastAsia="Calibri" w:hAnsi="Arial" w:cs="Arial"/>
          <w:color w:val="000000" w:themeColor="text1"/>
          <w:sz w:val="22"/>
          <w:szCs w:val="22"/>
          <w:lang w:val="es-ES_tradnl"/>
        </w:rPr>
        <w:t>p</w:t>
      </w:r>
      <w:r w:rsidR="00123BBD" w:rsidRPr="00123BBD">
        <w:rPr>
          <w:rFonts w:ascii="Arial" w:eastAsia="Calibri" w:hAnsi="Arial" w:cs="Arial"/>
          <w:color w:val="000000" w:themeColor="text1"/>
          <w:sz w:val="22"/>
          <w:szCs w:val="22"/>
          <w:lang w:val="es-ES_tradnl"/>
        </w:rPr>
        <w:t>rocedimiento del concurso de méritos después de los autos de suspensión provisional del Consejo de Estado</w:t>
      </w:r>
      <w:r w:rsidR="005940D4">
        <w:rPr>
          <w:rFonts w:ascii="Arial" w:eastAsia="Calibri" w:hAnsi="Arial" w:cs="Arial"/>
          <w:color w:val="000000" w:themeColor="text1"/>
          <w:sz w:val="22"/>
          <w:szCs w:val="22"/>
          <w:lang w:val="es-ES_tradnl"/>
        </w:rPr>
        <w:t xml:space="preserve">, </w:t>
      </w:r>
      <w:r w:rsidR="00123BBD">
        <w:rPr>
          <w:rFonts w:ascii="Arial" w:eastAsia="Calibri" w:hAnsi="Arial" w:cs="Arial"/>
          <w:color w:val="000000" w:themeColor="text1"/>
          <w:sz w:val="22"/>
          <w:szCs w:val="22"/>
          <w:lang w:val="es-ES_tradnl"/>
        </w:rPr>
        <w:t xml:space="preserve">ii) </w:t>
      </w:r>
      <w:r w:rsidR="00AD7773" w:rsidRPr="00493521">
        <w:rPr>
          <w:rFonts w:ascii="Arial" w:eastAsia="Calibri" w:hAnsi="Arial" w:cs="Arial"/>
          <w:color w:val="000000" w:themeColor="text1"/>
          <w:sz w:val="22"/>
          <w:szCs w:val="22"/>
          <w:lang w:val="es-ES_tradnl"/>
        </w:rPr>
        <w:t>reglamentación</w:t>
      </w:r>
      <w:r w:rsidR="0002702E" w:rsidRPr="00493521">
        <w:rPr>
          <w:rFonts w:ascii="Arial" w:eastAsia="Calibri" w:hAnsi="Arial" w:cs="Arial"/>
          <w:color w:val="000000" w:themeColor="text1"/>
          <w:sz w:val="22"/>
          <w:szCs w:val="22"/>
          <w:lang w:val="es-ES_tradnl"/>
        </w:rPr>
        <w:t xml:space="preserve"> </w:t>
      </w:r>
      <w:r w:rsidR="00755D8C">
        <w:rPr>
          <w:rFonts w:ascii="Arial" w:eastAsia="Calibri" w:hAnsi="Arial" w:cs="Arial"/>
          <w:color w:val="000000" w:themeColor="text1"/>
          <w:sz w:val="22"/>
          <w:szCs w:val="22"/>
          <w:lang w:val="es-ES_tradnl"/>
        </w:rPr>
        <w:t>de esta modalidad de selección</w:t>
      </w:r>
      <w:r w:rsidR="00273A94" w:rsidRPr="00493521">
        <w:rPr>
          <w:rFonts w:ascii="Arial" w:eastAsia="Calibri" w:hAnsi="Arial" w:cs="Arial"/>
          <w:color w:val="000000" w:themeColor="text1"/>
          <w:sz w:val="22"/>
          <w:szCs w:val="22"/>
          <w:lang w:val="es-ES_tradnl"/>
        </w:rPr>
        <w:t xml:space="preserve"> </w:t>
      </w:r>
      <w:r w:rsidR="00AD7773" w:rsidRPr="00493521">
        <w:rPr>
          <w:rFonts w:ascii="Arial" w:eastAsia="Calibri" w:hAnsi="Arial" w:cs="Arial"/>
          <w:color w:val="000000" w:themeColor="text1"/>
          <w:sz w:val="22"/>
          <w:szCs w:val="22"/>
          <w:lang w:val="es-ES_tradnl"/>
        </w:rPr>
        <w:t xml:space="preserve">en el Decreto </w:t>
      </w:r>
      <w:r w:rsidR="00E57D8F" w:rsidRPr="00493521">
        <w:rPr>
          <w:rFonts w:ascii="Arial" w:eastAsia="Calibri" w:hAnsi="Arial" w:cs="Arial"/>
          <w:color w:val="000000" w:themeColor="text1"/>
          <w:sz w:val="22"/>
          <w:szCs w:val="22"/>
          <w:lang w:val="es-ES_tradnl"/>
        </w:rPr>
        <w:t>399 de 2021</w:t>
      </w:r>
      <w:r w:rsidR="005940D4">
        <w:rPr>
          <w:rFonts w:ascii="Arial" w:eastAsia="Calibri" w:hAnsi="Arial" w:cs="Arial"/>
          <w:color w:val="000000" w:themeColor="text1"/>
          <w:sz w:val="22"/>
          <w:szCs w:val="22"/>
          <w:lang w:val="es-ES_tradnl"/>
        </w:rPr>
        <w:t xml:space="preserve"> y ii</w:t>
      </w:r>
      <w:r w:rsidR="007A5F83">
        <w:rPr>
          <w:rFonts w:ascii="Arial" w:eastAsia="Calibri" w:hAnsi="Arial" w:cs="Arial"/>
          <w:color w:val="000000" w:themeColor="text1"/>
          <w:sz w:val="22"/>
          <w:szCs w:val="22"/>
          <w:lang w:val="es-ES_tradnl"/>
        </w:rPr>
        <w:t>i</w:t>
      </w:r>
      <w:r w:rsidR="005940D4">
        <w:rPr>
          <w:rFonts w:ascii="Arial" w:eastAsia="Calibri" w:hAnsi="Arial" w:cs="Arial"/>
          <w:color w:val="000000" w:themeColor="text1"/>
          <w:sz w:val="22"/>
          <w:szCs w:val="22"/>
          <w:lang w:val="es-ES_tradnl"/>
        </w:rPr>
        <w:t xml:space="preserve">) </w:t>
      </w:r>
      <w:r w:rsidR="00DE7742">
        <w:rPr>
          <w:rFonts w:ascii="Arial" w:eastAsia="Calibri" w:hAnsi="Arial" w:cs="Arial"/>
          <w:color w:val="000000" w:themeColor="text1"/>
          <w:sz w:val="22"/>
          <w:szCs w:val="22"/>
          <w:lang w:val="es-ES_tradnl"/>
        </w:rPr>
        <w:t>desaparición</w:t>
      </w:r>
      <w:r w:rsidR="006B68CB" w:rsidRPr="006B68CB">
        <w:rPr>
          <w:rFonts w:ascii="Arial" w:eastAsia="Calibri" w:hAnsi="Arial" w:cs="Arial"/>
          <w:color w:val="000000" w:themeColor="text1"/>
          <w:sz w:val="22"/>
          <w:szCs w:val="22"/>
          <w:lang w:val="es-ES_tradnl"/>
        </w:rPr>
        <w:t xml:space="preserve"> de la audiencia de revisión de la oferta económica</w:t>
      </w:r>
      <w:r w:rsidR="00DE7742">
        <w:rPr>
          <w:rFonts w:ascii="Arial" w:eastAsia="Calibri" w:hAnsi="Arial" w:cs="Arial"/>
          <w:color w:val="000000" w:themeColor="text1"/>
          <w:sz w:val="22"/>
          <w:szCs w:val="22"/>
          <w:lang w:val="es-ES_tradnl"/>
        </w:rPr>
        <w:t xml:space="preserve"> después de la evaluación</w:t>
      </w:r>
      <w:r w:rsidR="006B68CB" w:rsidRPr="006B68CB">
        <w:rPr>
          <w:rFonts w:ascii="Arial" w:eastAsia="Calibri" w:hAnsi="Arial" w:cs="Arial"/>
          <w:color w:val="000000" w:themeColor="text1"/>
          <w:sz w:val="22"/>
          <w:szCs w:val="22"/>
          <w:lang w:val="es-ES_tradnl"/>
        </w:rPr>
        <w:t xml:space="preserve"> y carácter potestativo de la audiencia pública de adjudicación en el concurso de méritos abierto o con precalificación</w:t>
      </w:r>
      <w:r w:rsidR="006B68CB">
        <w:rPr>
          <w:rFonts w:ascii="Arial" w:eastAsia="Calibri" w:hAnsi="Arial" w:cs="Arial"/>
          <w:color w:val="000000" w:themeColor="text1"/>
          <w:sz w:val="22"/>
          <w:szCs w:val="22"/>
          <w:lang w:val="es-ES_tradnl"/>
        </w:rPr>
        <w:t>.</w:t>
      </w:r>
      <w:r w:rsidR="006B68CB" w:rsidRPr="006B68CB">
        <w:rPr>
          <w:rFonts w:ascii="Arial" w:eastAsia="Calibri" w:hAnsi="Arial" w:cs="Arial"/>
          <w:color w:val="000000" w:themeColor="text1"/>
          <w:sz w:val="22"/>
          <w:szCs w:val="22"/>
          <w:lang w:val="es-ES_tradnl"/>
        </w:rPr>
        <w:t xml:space="preserve"> </w:t>
      </w:r>
    </w:p>
    <w:p w14:paraId="1144E6B3" w14:textId="6C133E9D" w:rsidR="00C8331F" w:rsidRPr="00493521" w:rsidRDefault="00EC1DAE" w:rsidP="006B68CB">
      <w:pPr>
        <w:spacing w:before="120" w:line="276" w:lineRule="auto"/>
        <w:ind w:firstLine="709"/>
        <w:jc w:val="both"/>
        <w:rPr>
          <w:rFonts w:ascii="Arial" w:eastAsia="Calibri" w:hAnsi="Arial" w:cs="Arial"/>
          <w:color w:val="000000" w:themeColor="text1"/>
          <w:sz w:val="22"/>
          <w:szCs w:val="22"/>
          <w:lang w:val="es-ES_tradnl"/>
        </w:rPr>
      </w:pPr>
      <w:r w:rsidRPr="00493521">
        <w:rPr>
          <w:rFonts w:ascii="Arial" w:eastAsia="Calibri" w:hAnsi="Arial" w:cs="Arial"/>
          <w:color w:val="000000" w:themeColor="text1"/>
          <w:sz w:val="22"/>
          <w:szCs w:val="22"/>
          <w:lang w:val="es-ES_tradnl"/>
        </w:rPr>
        <w:t>E</w:t>
      </w:r>
      <w:r w:rsidR="00C8331F" w:rsidRPr="00493521">
        <w:rPr>
          <w:rFonts w:ascii="Arial" w:eastAsia="Calibri" w:hAnsi="Arial" w:cs="Arial"/>
          <w:color w:val="000000" w:themeColor="text1"/>
          <w:sz w:val="22"/>
          <w:szCs w:val="22"/>
          <w:lang w:val="es-ES_tradnl"/>
        </w:rPr>
        <w:t>s importante destacar que la Agencia Nacional de Contratación Pública</w:t>
      </w:r>
      <w:r w:rsidRPr="00493521">
        <w:rPr>
          <w:rFonts w:ascii="Arial" w:eastAsia="Calibri" w:hAnsi="Arial" w:cs="Arial"/>
          <w:color w:val="000000" w:themeColor="text1"/>
          <w:sz w:val="22"/>
          <w:szCs w:val="22"/>
          <w:lang w:val="es-ES_tradnl"/>
        </w:rPr>
        <w:t xml:space="preserve"> – Colombia Compra Eficiente </w:t>
      </w:r>
      <w:r w:rsidR="005D6573" w:rsidRPr="00493521">
        <w:rPr>
          <w:rFonts w:ascii="Arial" w:eastAsia="Calibri" w:hAnsi="Arial" w:cs="Arial"/>
          <w:color w:val="000000" w:themeColor="text1"/>
          <w:sz w:val="22"/>
          <w:lang w:val="es-ES_tradnl"/>
        </w:rPr>
        <w:t xml:space="preserve">expidió los </w:t>
      </w:r>
      <w:r w:rsidR="00332386" w:rsidRPr="00493521">
        <w:rPr>
          <w:rFonts w:ascii="Arial" w:eastAsia="Calibri" w:hAnsi="Arial" w:cs="Arial"/>
          <w:color w:val="000000" w:themeColor="text1"/>
          <w:sz w:val="22"/>
          <w:lang w:val="es-ES_tradnl"/>
        </w:rPr>
        <w:t>c</w:t>
      </w:r>
      <w:r w:rsidR="005D6573" w:rsidRPr="00493521">
        <w:rPr>
          <w:rFonts w:ascii="Arial" w:eastAsia="Calibri" w:hAnsi="Arial" w:cs="Arial"/>
          <w:color w:val="000000" w:themeColor="text1"/>
          <w:sz w:val="22"/>
          <w:lang w:val="es-ES_tradnl"/>
        </w:rPr>
        <w:t xml:space="preserve">onceptos </w:t>
      </w:r>
      <w:r w:rsidR="00874B90" w:rsidRPr="00493521">
        <w:rPr>
          <w:rFonts w:ascii="Arial" w:eastAsia="Calibri" w:hAnsi="Arial" w:cs="Arial"/>
          <w:color w:val="000000" w:themeColor="text1"/>
          <w:sz w:val="22"/>
          <w:lang w:val="es-ES_tradnl"/>
        </w:rPr>
        <w:t xml:space="preserve">C-124 del 25 de marzo de 2020, </w:t>
      </w:r>
      <w:r w:rsidR="005D6573" w:rsidRPr="00493521">
        <w:rPr>
          <w:rFonts w:ascii="Arial" w:eastAsia="Calibri" w:hAnsi="Arial" w:cs="Arial"/>
          <w:color w:val="000000" w:themeColor="text1"/>
          <w:sz w:val="22"/>
          <w:lang w:val="es-ES_tradnl"/>
        </w:rPr>
        <w:t>C-406 y C-477 del 13 de julio de 2020 y C-612 del 2 de octubre de 2020</w:t>
      </w:r>
      <w:r w:rsidR="00113E22" w:rsidRPr="00493521">
        <w:rPr>
          <w:rFonts w:ascii="Arial" w:eastAsia="Calibri" w:hAnsi="Arial" w:cs="Arial"/>
          <w:color w:val="000000" w:themeColor="text1"/>
          <w:sz w:val="22"/>
          <w:lang w:val="es-ES_tradnl"/>
        </w:rPr>
        <w:t xml:space="preserve"> y </w:t>
      </w:r>
      <w:r w:rsidR="00874B90" w:rsidRPr="00493521">
        <w:rPr>
          <w:rFonts w:ascii="Arial" w:eastAsia="Calibri" w:hAnsi="Arial" w:cs="Arial"/>
          <w:color w:val="000000" w:themeColor="text1"/>
          <w:sz w:val="22"/>
          <w:lang w:val="es-ES_tradnl"/>
        </w:rPr>
        <w:t>C-761 del 5 de enero de 2021,</w:t>
      </w:r>
      <w:r w:rsidR="005D6573" w:rsidRPr="00493521">
        <w:rPr>
          <w:rFonts w:ascii="Arial" w:eastAsia="Calibri" w:hAnsi="Arial" w:cs="Arial"/>
          <w:color w:val="000000" w:themeColor="text1"/>
          <w:sz w:val="22"/>
          <w:lang w:val="es-ES_tradnl"/>
        </w:rPr>
        <w:t xml:space="preserve"> </w:t>
      </w:r>
      <w:r w:rsidR="00874B90" w:rsidRPr="00493521">
        <w:rPr>
          <w:rFonts w:ascii="Arial" w:eastAsia="Calibri" w:hAnsi="Arial" w:cs="Arial"/>
          <w:color w:val="000000" w:themeColor="text1"/>
          <w:sz w:val="22"/>
          <w:lang w:val="es-ES_tradnl"/>
        </w:rPr>
        <w:t>en los cuales analizó la forma como se debe desarrollar el concurso de méritos, luego de los pronunciamientos del Consejo de Estado que suspendieron provisionalmente algunos</w:t>
      </w:r>
      <w:r w:rsidR="00D309A0" w:rsidRPr="00493521">
        <w:rPr>
          <w:rFonts w:ascii="Arial" w:eastAsia="Calibri" w:hAnsi="Arial" w:cs="Arial"/>
          <w:color w:val="000000" w:themeColor="text1"/>
          <w:sz w:val="22"/>
          <w:lang w:val="es-ES_tradnl"/>
        </w:rPr>
        <w:t xml:space="preserve"> numerales del artículo </w:t>
      </w:r>
      <w:r w:rsidR="00C36FEA" w:rsidRPr="00493521">
        <w:rPr>
          <w:rFonts w:ascii="Arial" w:eastAsia="Calibri" w:hAnsi="Arial" w:cs="Arial"/>
          <w:color w:val="000000" w:themeColor="text1"/>
          <w:sz w:val="22"/>
          <w:lang w:val="es-ES_tradnl"/>
        </w:rPr>
        <w:t>2.2.1.2.1.3.2. del Decreto 1082 de 2015</w:t>
      </w:r>
      <w:r w:rsidR="000C3239" w:rsidRPr="00493521">
        <w:rPr>
          <w:rFonts w:ascii="Arial" w:eastAsia="Calibri" w:hAnsi="Arial" w:cs="Arial"/>
          <w:color w:val="000000" w:themeColor="text1"/>
          <w:sz w:val="22"/>
          <w:lang w:val="es-ES_tradnl"/>
        </w:rPr>
        <w:t>.</w:t>
      </w:r>
      <w:r w:rsidR="00482FA9">
        <w:rPr>
          <w:rFonts w:ascii="Arial" w:eastAsia="Calibri" w:hAnsi="Arial" w:cs="Arial"/>
          <w:color w:val="000000" w:themeColor="text1"/>
          <w:sz w:val="22"/>
          <w:lang w:val="es-ES_tradnl"/>
        </w:rPr>
        <w:t xml:space="preserve"> </w:t>
      </w:r>
      <w:r w:rsidR="002D6504" w:rsidRPr="00493521">
        <w:rPr>
          <w:rFonts w:ascii="Arial" w:eastAsia="Calibri" w:hAnsi="Arial" w:cs="Arial"/>
          <w:color w:val="000000" w:themeColor="text1"/>
          <w:sz w:val="22"/>
          <w:szCs w:val="22"/>
          <w:lang w:val="es-ES_tradnl"/>
        </w:rPr>
        <w:t>Algunas de las consideraciones de estos conceptos se reiteran a continuación.</w:t>
      </w:r>
    </w:p>
    <w:p w14:paraId="331D0ECA" w14:textId="3305F48F" w:rsidR="003C4317" w:rsidRPr="00493521" w:rsidRDefault="003C4317" w:rsidP="00271230">
      <w:pPr>
        <w:spacing w:line="276" w:lineRule="auto"/>
        <w:jc w:val="both"/>
        <w:rPr>
          <w:rFonts w:ascii="Arial" w:eastAsia="Calibri" w:hAnsi="Arial" w:cs="Arial"/>
          <w:color w:val="000000" w:themeColor="text1"/>
          <w:sz w:val="22"/>
          <w:szCs w:val="22"/>
          <w:lang w:val="es-ES_tradnl"/>
        </w:rPr>
      </w:pPr>
    </w:p>
    <w:p w14:paraId="0B0B37D0" w14:textId="3CBF1EBE" w:rsidR="00942641" w:rsidRPr="00493521" w:rsidRDefault="00942641" w:rsidP="00942641">
      <w:pPr>
        <w:spacing w:line="276" w:lineRule="auto"/>
        <w:jc w:val="both"/>
        <w:rPr>
          <w:rFonts w:ascii="Arial" w:eastAsia="Calibri" w:hAnsi="Arial" w:cs="Arial"/>
          <w:b/>
          <w:bCs/>
          <w:color w:val="000000" w:themeColor="text1"/>
          <w:sz w:val="22"/>
          <w:lang w:val="es-ES_tradnl"/>
        </w:rPr>
      </w:pPr>
      <w:r w:rsidRPr="00493521">
        <w:rPr>
          <w:rFonts w:ascii="Arial" w:eastAsia="Calibri" w:hAnsi="Arial" w:cs="Arial"/>
          <w:b/>
          <w:bCs/>
          <w:color w:val="000000" w:themeColor="text1"/>
          <w:sz w:val="22"/>
          <w:lang w:val="es-ES_tradnl"/>
        </w:rPr>
        <w:t>2.1. Procedimiento del concurso de méritos después de los autos de suspensión provisional del Consejo de Estado</w:t>
      </w:r>
    </w:p>
    <w:p w14:paraId="4868DB03" w14:textId="77777777" w:rsidR="00942641" w:rsidRPr="00493521" w:rsidRDefault="00942641" w:rsidP="00942641">
      <w:pPr>
        <w:spacing w:line="276" w:lineRule="auto"/>
        <w:jc w:val="both"/>
        <w:rPr>
          <w:rFonts w:ascii="Arial" w:eastAsia="Calibri" w:hAnsi="Arial" w:cs="Arial"/>
          <w:b/>
          <w:bCs/>
          <w:color w:val="000000" w:themeColor="text1"/>
          <w:sz w:val="22"/>
          <w:lang w:val="es-ES_tradnl"/>
        </w:rPr>
      </w:pPr>
    </w:p>
    <w:p w14:paraId="79A6E19F" w14:textId="77777777" w:rsidR="00942641" w:rsidRPr="00493521" w:rsidRDefault="00942641" w:rsidP="00942641">
      <w:pPr>
        <w:spacing w:line="276" w:lineRule="auto"/>
        <w:jc w:val="both"/>
        <w:rPr>
          <w:rFonts w:ascii="Arial" w:hAnsi="Arial" w:cs="Arial"/>
          <w:color w:val="000000" w:themeColor="text1"/>
          <w:sz w:val="22"/>
          <w:lang w:val="es-ES_tradnl"/>
        </w:rPr>
      </w:pPr>
      <w:r w:rsidRPr="00493521">
        <w:rPr>
          <w:rFonts w:ascii="Arial" w:hAnsi="Arial" w:cs="Arial"/>
          <w:color w:val="000000" w:themeColor="text1"/>
          <w:sz w:val="22"/>
          <w:lang w:val="es-ES_tradnl"/>
        </w:rPr>
        <w:t xml:space="preserve">El </w:t>
      </w:r>
      <w:r w:rsidRPr="00493521">
        <w:rPr>
          <w:rFonts w:ascii="Arial" w:hAnsi="Arial" w:cs="Arial"/>
          <w:i/>
          <w:iCs/>
          <w:color w:val="000000" w:themeColor="text1"/>
          <w:sz w:val="22"/>
          <w:lang w:val="es-ES_tradnl"/>
        </w:rPr>
        <w:t xml:space="preserve">concurso de méritos </w:t>
      </w:r>
      <w:r w:rsidRPr="00493521">
        <w:rPr>
          <w:rFonts w:ascii="Arial" w:hAnsi="Arial" w:cs="Arial"/>
          <w:color w:val="000000" w:themeColor="text1"/>
          <w:sz w:val="22"/>
          <w:lang w:val="es-ES_tradnl"/>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w:t>
      </w:r>
      <w:proofErr w:type="spellStart"/>
      <w:r w:rsidRPr="00493521">
        <w:rPr>
          <w:rFonts w:ascii="Arial" w:hAnsi="Arial" w:cs="Arial"/>
          <w:color w:val="000000" w:themeColor="text1"/>
          <w:sz w:val="22"/>
          <w:lang w:val="es-ES_tradnl"/>
        </w:rPr>
        <w:t>prefactibilidad</w:t>
      </w:r>
      <w:proofErr w:type="spellEnd"/>
      <w:r w:rsidRPr="00493521">
        <w:rPr>
          <w:rFonts w:ascii="Arial" w:hAnsi="Arial" w:cs="Arial"/>
          <w:color w:val="000000" w:themeColor="text1"/>
          <w:sz w:val="22"/>
          <w:lang w:val="es-ES_tradnl"/>
        </w:rPr>
        <w:t xml:space="preserve"> o factibilidad para programas o proyectos específicos, así como a las asesorías técnicas de coordinación, control y supervisión», según lo dispuesto en el artículo 32, numeral 2, de la Ley 80 de 1993.</w:t>
      </w:r>
    </w:p>
    <w:p w14:paraId="122A814F" w14:textId="09369DA9" w:rsidR="00942641" w:rsidRPr="00493521" w:rsidRDefault="00942641" w:rsidP="00942641">
      <w:pPr>
        <w:spacing w:before="120" w:line="276" w:lineRule="auto"/>
        <w:ind w:firstLine="708"/>
        <w:jc w:val="both"/>
        <w:rPr>
          <w:rFonts w:ascii="Arial" w:hAnsi="Arial" w:cs="Arial"/>
          <w:color w:val="000000" w:themeColor="text1"/>
          <w:sz w:val="22"/>
          <w:lang w:val="es-ES_tradnl"/>
        </w:rPr>
      </w:pPr>
      <w:r w:rsidRPr="00493521">
        <w:rPr>
          <w:rFonts w:ascii="Arial" w:hAnsi="Arial" w:cs="Arial"/>
          <w:color w:val="000000" w:themeColor="text1"/>
          <w:sz w:val="22"/>
          <w:lang w:val="es-ES_tradnl"/>
        </w:rPr>
        <w:t>El Libro 2, Parte 2, Título 1, Capítulo 2, Sección 1, Subsección 3 del Decreto 1082 de 2015</w:t>
      </w:r>
      <w:r w:rsidR="00F81100" w:rsidRPr="00493521">
        <w:rPr>
          <w:rFonts w:ascii="Arial" w:hAnsi="Arial" w:cs="Arial"/>
          <w:color w:val="000000" w:themeColor="text1"/>
          <w:sz w:val="22"/>
          <w:lang w:val="es-ES_tradnl"/>
        </w:rPr>
        <w:t>,</w:t>
      </w:r>
      <w:r w:rsidRPr="00493521">
        <w:rPr>
          <w:rFonts w:ascii="Arial" w:hAnsi="Arial" w:cs="Arial"/>
          <w:color w:val="000000" w:themeColor="text1"/>
          <w:sz w:val="22"/>
          <w:lang w:val="es-ES_tradnl"/>
        </w:rPr>
        <w:t xml:space="preserve"> regula </w:t>
      </w:r>
      <w:r w:rsidR="00515625" w:rsidRPr="00493521">
        <w:rPr>
          <w:rFonts w:ascii="Arial" w:hAnsi="Arial" w:cs="Arial"/>
          <w:color w:val="000000" w:themeColor="text1"/>
          <w:sz w:val="22"/>
          <w:lang w:val="es-ES_tradnl"/>
        </w:rPr>
        <w:t>las distintas modalidades d</w:t>
      </w:r>
      <w:r w:rsidRPr="00493521">
        <w:rPr>
          <w:rFonts w:ascii="Arial" w:hAnsi="Arial" w:cs="Arial"/>
          <w:color w:val="000000" w:themeColor="text1"/>
          <w:sz w:val="22"/>
          <w:lang w:val="es-ES_tradnl"/>
        </w:rPr>
        <w:t xml:space="preserve">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493521">
        <w:rPr>
          <w:rFonts w:ascii="Arial" w:hAnsi="Arial" w:cs="Arial"/>
          <w:i/>
          <w:iCs/>
          <w:color w:val="000000" w:themeColor="text1"/>
          <w:sz w:val="22"/>
          <w:lang w:val="es-ES_tradnl"/>
        </w:rPr>
        <w:t>ibídem</w:t>
      </w:r>
      <w:r w:rsidRPr="00493521">
        <w:rPr>
          <w:rFonts w:ascii="Arial" w:hAnsi="Arial" w:cs="Arial"/>
          <w:color w:val="000000" w:themeColor="text1"/>
          <w:sz w:val="22"/>
          <w:lang w:val="es-ES_tradnl"/>
        </w:rPr>
        <w:t xml:space="preserve">. El segundo, además de los dos artículos anteriores, lo regulan los artículos 2.2.1.2.1.3.3. a 2.2.1.2.1.3.7. </w:t>
      </w:r>
      <w:proofErr w:type="spellStart"/>
      <w:r w:rsidRPr="00493521">
        <w:rPr>
          <w:rFonts w:ascii="Arial" w:hAnsi="Arial" w:cs="Arial"/>
          <w:i/>
          <w:iCs/>
          <w:color w:val="000000" w:themeColor="text1"/>
          <w:sz w:val="22"/>
          <w:lang w:val="es-ES_tradnl"/>
        </w:rPr>
        <w:t>ejusdem</w:t>
      </w:r>
      <w:proofErr w:type="spellEnd"/>
      <w:r w:rsidRPr="00493521">
        <w:rPr>
          <w:rFonts w:ascii="Arial" w:hAnsi="Arial" w:cs="Arial"/>
          <w:color w:val="000000" w:themeColor="text1"/>
          <w:sz w:val="22"/>
          <w:lang w:val="es-ES_tradnl"/>
        </w:rPr>
        <w:t>. El tercero lo regulan los artículos 2.2.1.2.1.3.8. a 2.2.1.2.1.3.25. del mencionado Decreto.</w:t>
      </w:r>
    </w:p>
    <w:p w14:paraId="03AF6096" w14:textId="06A6480E" w:rsidR="00942641" w:rsidRPr="00493521" w:rsidRDefault="00942641" w:rsidP="00942641">
      <w:pPr>
        <w:spacing w:before="120" w:line="276" w:lineRule="auto"/>
        <w:ind w:firstLine="708"/>
        <w:jc w:val="both"/>
        <w:rPr>
          <w:rFonts w:ascii="Arial" w:hAnsi="Arial" w:cs="Arial"/>
          <w:color w:val="000000" w:themeColor="text1"/>
          <w:sz w:val="22"/>
          <w:lang w:val="es-ES_tradnl"/>
        </w:rPr>
      </w:pPr>
      <w:r w:rsidRPr="00493521">
        <w:rPr>
          <w:rFonts w:ascii="Arial" w:hAnsi="Arial" w:cs="Arial"/>
          <w:color w:val="000000" w:themeColor="text1"/>
          <w:sz w:val="22"/>
          <w:lang w:val="es-ES_tradnl"/>
        </w:rPr>
        <w:lastRenderedPageBreak/>
        <w:t xml:space="preserve">Ahora bien, </w:t>
      </w:r>
      <w:bookmarkStart w:id="2" w:name="_Hlk43918348"/>
      <w:r w:rsidRPr="00493521">
        <w:rPr>
          <w:rFonts w:ascii="Arial" w:hAnsi="Arial" w:cs="Arial"/>
          <w:color w:val="000000" w:themeColor="text1"/>
          <w:sz w:val="22"/>
          <w:lang w:val="es-ES_tradnl"/>
        </w:rPr>
        <w:t>la Sección Tercera del Consejo de Estado, en autos del 25 de julio de 2018</w:t>
      </w:r>
      <w:r w:rsidRPr="00493521">
        <w:rPr>
          <w:rStyle w:val="Refdenotaalpie"/>
          <w:rFonts w:ascii="Arial" w:hAnsi="Arial" w:cs="Arial"/>
          <w:color w:val="000000" w:themeColor="text1"/>
          <w:sz w:val="22"/>
          <w:lang w:val="es-ES_tradnl"/>
        </w:rPr>
        <w:footnoteReference w:id="2"/>
      </w:r>
      <w:r w:rsidRPr="00493521">
        <w:rPr>
          <w:rFonts w:ascii="Arial" w:hAnsi="Arial" w:cs="Arial"/>
          <w:color w:val="000000" w:themeColor="text1"/>
          <w:sz w:val="22"/>
          <w:lang w:val="es-ES_tradnl"/>
        </w:rPr>
        <w:t xml:space="preserve"> y del 20 de febrero de 2019</w:t>
      </w:r>
      <w:r w:rsidRPr="00493521">
        <w:rPr>
          <w:rStyle w:val="Refdenotaalpie"/>
          <w:rFonts w:ascii="Arial" w:hAnsi="Arial" w:cs="Arial"/>
          <w:color w:val="000000" w:themeColor="text1"/>
          <w:sz w:val="22"/>
          <w:lang w:val="es-ES_tradnl"/>
        </w:rPr>
        <w:footnoteReference w:id="3"/>
      </w:r>
      <w:r w:rsidRPr="00493521">
        <w:rPr>
          <w:rFonts w:ascii="Arial" w:hAnsi="Arial" w:cs="Arial"/>
          <w:color w:val="000000" w:themeColor="text1"/>
          <w:sz w:val="22"/>
          <w:lang w:val="es-ES_tradnl"/>
        </w:rPr>
        <w:t>, suspendió provisionalmente, por un lado, el numeral 6 del artículo 2.2.1.2.1.3.2. del Decreto 1082 de 2015 y, por el otro, los numerales 3, 4 y 5 de la misma disposición. Las normas suspendidas regula</w:t>
      </w:r>
      <w:r w:rsidR="009B7FFD" w:rsidRPr="00493521">
        <w:rPr>
          <w:rFonts w:ascii="Arial" w:hAnsi="Arial" w:cs="Arial"/>
          <w:color w:val="000000" w:themeColor="text1"/>
          <w:sz w:val="22"/>
          <w:lang w:val="es-ES_tradnl"/>
        </w:rPr>
        <w:t>ba</w:t>
      </w:r>
      <w:r w:rsidRPr="00493521">
        <w:rPr>
          <w:rFonts w:ascii="Arial" w:hAnsi="Arial" w:cs="Arial"/>
          <w:color w:val="000000" w:themeColor="text1"/>
          <w:sz w:val="22"/>
          <w:lang w:val="es-ES_tradnl"/>
        </w:rPr>
        <w:t>n el concurso de méritos abierto o sin precalificación</w:t>
      </w:r>
      <w:bookmarkEnd w:id="2"/>
      <w:r w:rsidRPr="00493521">
        <w:rPr>
          <w:rFonts w:ascii="Arial" w:hAnsi="Arial" w:cs="Arial"/>
          <w:color w:val="000000" w:themeColor="text1"/>
          <w:sz w:val="22"/>
          <w:lang w:val="es-ES_tradnl"/>
        </w:rPr>
        <w:t xml:space="preserve">. El texto de estos numerales </w:t>
      </w:r>
      <w:r w:rsidR="009B7FFD" w:rsidRPr="00493521">
        <w:rPr>
          <w:rFonts w:ascii="Arial" w:hAnsi="Arial" w:cs="Arial"/>
          <w:color w:val="000000" w:themeColor="text1"/>
          <w:sz w:val="22"/>
          <w:lang w:val="es-ES_tradnl"/>
        </w:rPr>
        <w:t>disponía</w:t>
      </w:r>
      <w:r w:rsidRPr="00493521">
        <w:rPr>
          <w:rFonts w:ascii="Arial" w:hAnsi="Arial" w:cs="Arial"/>
          <w:color w:val="000000" w:themeColor="text1"/>
          <w:sz w:val="22"/>
          <w:lang w:val="es-ES_tradnl"/>
        </w:rPr>
        <w:t xml:space="preserve"> lo siguiente: </w:t>
      </w:r>
    </w:p>
    <w:p w14:paraId="7A190666" w14:textId="77777777" w:rsidR="00942641" w:rsidRPr="00493521" w:rsidRDefault="00942641" w:rsidP="00942641">
      <w:pPr>
        <w:pStyle w:val="Sinespaciado"/>
        <w:spacing w:line="276" w:lineRule="auto"/>
        <w:jc w:val="both"/>
        <w:rPr>
          <w:rFonts w:ascii="Arial" w:hAnsi="Arial" w:cs="Arial"/>
          <w:color w:val="000000" w:themeColor="text1"/>
          <w:lang w:val="es-ES_tradnl"/>
        </w:rPr>
      </w:pPr>
    </w:p>
    <w:p w14:paraId="2D1761D4" w14:textId="77777777" w:rsidR="00942641" w:rsidRPr="00493521" w:rsidRDefault="00942641" w:rsidP="00942641">
      <w:pPr>
        <w:pStyle w:val="Sinespaciado"/>
        <w:spacing w:after="120"/>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7510D5B5" w14:textId="77777777" w:rsidR="00942641" w:rsidRPr="00493521" w:rsidRDefault="00942641" w:rsidP="00942641">
      <w:pPr>
        <w:pStyle w:val="Sinespaciado"/>
        <w:spacing w:after="120"/>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21E37CD6" w14:textId="77777777" w:rsidR="00942641" w:rsidRPr="00493521" w:rsidRDefault="00942641" w:rsidP="00942641">
      <w:pPr>
        <w:pStyle w:val="Sinespaciado"/>
        <w:spacing w:after="120"/>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2. La Entidad Estatal debe publicar durante tres (3) días hábiles el informe de evaluación, el cual debe contener la calificación técnica y el orden de elegibilidad.</w:t>
      </w:r>
    </w:p>
    <w:p w14:paraId="2F38EFCA" w14:textId="77777777" w:rsidR="00942641" w:rsidRPr="00493521" w:rsidRDefault="00942641" w:rsidP="00942641">
      <w:pPr>
        <w:pStyle w:val="Sinespaciado"/>
        <w:spacing w:after="120"/>
        <w:ind w:left="709" w:right="709"/>
        <w:jc w:val="both"/>
        <w:rPr>
          <w:rFonts w:ascii="Arial" w:hAnsi="Arial" w:cs="Arial"/>
          <w:i/>
          <w:color w:val="000000" w:themeColor="text1"/>
          <w:sz w:val="21"/>
          <w:szCs w:val="21"/>
          <w:lang w:val="es-ES_tradnl"/>
        </w:rPr>
      </w:pPr>
      <w:r w:rsidRPr="00493521">
        <w:rPr>
          <w:rFonts w:ascii="Arial" w:hAnsi="Arial" w:cs="Arial"/>
          <w:i/>
          <w:color w:val="000000" w:themeColor="text1"/>
          <w:sz w:val="21"/>
          <w:szCs w:val="21"/>
          <w:lang w:val="es-ES_tradnl"/>
        </w:rPr>
        <w:t>3. La Entidad Estatal debe revisar la oferta económica y verificar que está en el rango del valor estimado consignado en los documentos y estudios previos y del presupuesto asignado para el contrato.</w:t>
      </w:r>
    </w:p>
    <w:p w14:paraId="3653EE40" w14:textId="77777777" w:rsidR="00942641" w:rsidRPr="00493521" w:rsidRDefault="00942641" w:rsidP="00942641">
      <w:pPr>
        <w:pStyle w:val="Sinespaciado"/>
        <w:spacing w:after="120"/>
        <w:ind w:left="709" w:right="709"/>
        <w:jc w:val="both"/>
        <w:rPr>
          <w:rFonts w:ascii="Arial" w:hAnsi="Arial" w:cs="Arial"/>
          <w:i/>
          <w:color w:val="000000" w:themeColor="text1"/>
          <w:sz w:val="21"/>
          <w:szCs w:val="21"/>
          <w:lang w:val="es-ES_tradnl"/>
        </w:rPr>
      </w:pPr>
      <w:r w:rsidRPr="00493521">
        <w:rPr>
          <w:rFonts w:ascii="Arial" w:hAnsi="Arial" w:cs="Arial"/>
          <w:i/>
          <w:color w:val="000000" w:themeColor="text1"/>
          <w:sz w:val="21"/>
          <w:szCs w:val="21"/>
          <w:lang w:val="es-ES_tradnl"/>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4CE7ED3C" w14:textId="77777777" w:rsidR="00942641" w:rsidRPr="00493521" w:rsidRDefault="00942641" w:rsidP="00942641">
      <w:pPr>
        <w:pStyle w:val="Sinespaciado"/>
        <w:spacing w:after="120"/>
        <w:ind w:left="709" w:right="709"/>
        <w:jc w:val="both"/>
        <w:rPr>
          <w:rFonts w:ascii="Arial" w:hAnsi="Arial" w:cs="Arial"/>
          <w:i/>
          <w:color w:val="000000" w:themeColor="text1"/>
          <w:sz w:val="21"/>
          <w:szCs w:val="21"/>
          <w:lang w:val="es-ES_tradnl"/>
        </w:rPr>
      </w:pPr>
      <w:r w:rsidRPr="00493521">
        <w:rPr>
          <w:rFonts w:ascii="Arial" w:hAnsi="Arial" w:cs="Arial"/>
          <w:i/>
          <w:color w:val="000000" w:themeColor="text1"/>
          <w:sz w:val="21"/>
          <w:szCs w:val="21"/>
          <w:lang w:val="es-ES_tradnl"/>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7884E46B" w14:textId="77777777" w:rsidR="00942641" w:rsidRPr="00493521" w:rsidRDefault="00942641" w:rsidP="00942641">
      <w:pPr>
        <w:pStyle w:val="Sinespaciado"/>
        <w:ind w:left="709" w:right="709"/>
        <w:jc w:val="both"/>
        <w:rPr>
          <w:rFonts w:ascii="Arial" w:hAnsi="Arial" w:cs="Arial"/>
          <w:color w:val="000000" w:themeColor="text1"/>
          <w:sz w:val="21"/>
          <w:szCs w:val="21"/>
          <w:lang w:val="es-ES_tradnl"/>
        </w:rPr>
      </w:pPr>
      <w:r w:rsidRPr="00493521">
        <w:rPr>
          <w:rFonts w:ascii="Arial" w:hAnsi="Arial" w:cs="Arial"/>
          <w:i/>
          <w:color w:val="000000" w:themeColor="text1"/>
          <w:sz w:val="21"/>
          <w:szCs w:val="21"/>
          <w:lang w:val="es-ES_tradnl"/>
        </w:rPr>
        <w:t>6. Si la Entidad Estatal y el oferente calificado en el segundo lugar de elegibilidad no llegan a un acuerdo, la Entidad Estatal debe declarar desierto el Proceso de Contratación</w:t>
      </w:r>
      <w:r w:rsidRPr="00493521">
        <w:rPr>
          <w:rFonts w:ascii="Arial" w:hAnsi="Arial" w:cs="Arial"/>
          <w:color w:val="000000" w:themeColor="text1"/>
          <w:sz w:val="21"/>
          <w:szCs w:val="21"/>
          <w:lang w:val="es-ES_tradnl"/>
        </w:rPr>
        <w:t>. (Énfasis fuera de texto)</w:t>
      </w:r>
    </w:p>
    <w:p w14:paraId="1D3BE3F8" w14:textId="77777777" w:rsidR="00942641" w:rsidRPr="00493521" w:rsidRDefault="00942641" w:rsidP="00942641">
      <w:pPr>
        <w:jc w:val="both"/>
        <w:rPr>
          <w:rFonts w:ascii="Arial" w:hAnsi="Arial" w:cs="Arial"/>
          <w:color w:val="000000" w:themeColor="text1"/>
          <w:sz w:val="22"/>
          <w:lang w:val="es-ES_tradnl"/>
        </w:rPr>
      </w:pPr>
    </w:p>
    <w:p w14:paraId="1DA567C1" w14:textId="7B34B38A" w:rsidR="00942641" w:rsidRPr="00493521" w:rsidRDefault="00942641" w:rsidP="00942641">
      <w:pPr>
        <w:spacing w:after="120" w:line="276" w:lineRule="auto"/>
        <w:ind w:firstLine="709"/>
        <w:jc w:val="both"/>
        <w:rPr>
          <w:rFonts w:ascii="Arial" w:hAnsi="Arial" w:cs="Arial"/>
          <w:color w:val="000000" w:themeColor="text1"/>
          <w:sz w:val="22"/>
          <w:lang w:val="es-ES_tradnl"/>
        </w:rPr>
      </w:pPr>
      <w:r w:rsidRPr="00493521">
        <w:rPr>
          <w:rFonts w:ascii="Arial" w:hAnsi="Arial" w:cs="Arial"/>
          <w:color w:val="000000" w:themeColor="text1"/>
          <w:sz w:val="22"/>
          <w:lang w:val="es-ES_tradnl"/>
        </w:rPr>
        <w:t xml:space="preserve">Los citados numerales 3, 4 y 5 </w:t>
      </w:r>
      <w:r w:rsidR="00237D1D" w:rsidRPr="00493521">
        <w:rPr>
          <w:rFonts w:ascii="Arial" w:hAnsi="Arial" w:cs="Arial"/>
          <w:color w:val="000000" w:themeColor="text1"/>
          <w:sz w:val="22"/>
          <w:lang w:val="es-ES_tradnl"/>
        </w:rPr>
        <w:t>disponían</w:t>
      </w:r>
      <w:r w:rsidRPr="00493521">
        <w:rPr>
          <w:rFonts w:ascii="Arial" w:hAnsi="Arial" w:cs="Arial"/>
          <w:color w:val="000000" w:themeColor="text1"/>
          <w:sz w:val="22"/>
          <w:lang w:val="es-ES_tradnl"/>
        </w:rPr>
        <w:t xml:space="preserve"> la verificación del precio. Por un lado, los numerales 3 y 4 </w:t>
      </w:r>
      <w:r w:rsidR="00237D1D" w:rsidRPr="00493521">
        <w:rPr>
          <w:rFonts w:ascii="Arial" w:hAnsi="Arial" w:cs="Arial"/>
          <w:color w:val="000000" w:themeColor="text1"/>
          <w:sz w:val="22"/>
          <w:lang w:val="es-ES_tradnl"/>
        </w:rPr>
        <w:t>exigían</w:t>
      </w:r>
      <w:r w:rsidRPr="00493521">
        <w:rPr>
          <w:rFonts w:ascii="Arial" w:hAnsi="Arial" w:cs="Arial"/>
          <w:color w:val="000000" w:themeColor="text1"/>
          <w:sz w:val="22"/>
          <w:lang w:val="es-ES_tradnl"/>
        </w:rPr>
        <w:t xml:space="preserve"> que </w:t>
      </w:r>
      <w:r w:rsidR="00237D1D" w:rsidRPr="00493521">
        <w:rPr>
          <w:rFonts w:ascii="Arial" w:hAnsi="Arial" w:cs="Arial"/>
          <w:color w:val="000000" w:themeColor="text1"/>
          <w:sz w:val="22"/>
          <w:lang w:val="es-ES_tradnl"/>
        </w:rPr>
        <w:t>estuviera</w:t>
      </w:r>
      <w:r w:rsidRPr="00493521">
        <w:rPr>
          <w:rFonts w:ascii="Arial" w:hAnsi="Arial" w:cs="Arial"/>
          <w:color w:val="000000" w:themeColor="text1"/>
          <w:sz w:val="22"/>
          <w:lang w:val="es-ES_tradnl"/>
        </w:rPr>
        <w:t xml:space="preserve"> dentro del presupuesto disponible y que este aspecto </w:t>
      </w:r>
      <w:r w:rsidR="002A38C8" w:rsidRPr="00493521">
        <w:rPr>
          <w:rFonts w:ascii="Arial" w:hAnsi="Arial" w:cs="Arial"/>
          <w:color w:val="000000" w:themeColor="text1"/>
          <w:sz w:val="22"/>
          <w:lang w:val="es-ES_tradnl"/>
        </w:rPr>
        <w:t>fuera</w:t>
      </w:r>
      <w:r w:rsidRPr="00493521">
        <w:rPr>
          <w:rFonts w:ascii="Arial" w:hAnsi="Arial" w:cs="Arial"/>
          <w:color w:val="000000" w:themeColor="text1"/>
          <w:sz w:val="22"/>
          <w:lang w:val="es-ES_tradnl"/>
        </w:rPr>
        <w:t xml:space="preserve"> producto del acuerdo entre la entidad y el oferente calificado en primer lugar. Por otro </w:t>
      </w:r>
      <w:r w:rsidRPr="00493521">
        <w:rPr>
          <w:rFonts w:ascii="Arial" w:hAnsi="Arial" w:cs="Arial"/>
          <w:color w:val="000000" w:themeColor="text1"/>
          <w:sz w:val="22"/>
          <w:lang w:val="es-ES_tradnl"/>
        </w:rPr>
        <w:lastRenderedPageBreak/>
        <w:t xml:space="preserve">lado, el numeral 5 </w:t>
      </w:r>
      <w:r w:rsidR="002A38C8" w:rsidRPr="00493521">
        <w:rPr>
          <w:rFonts w:ascii="Arial" w:hAnsi="Arial" w:cs="Arial"/>
          <w:color w:val="000000" w:themeColor="text1"/>
          <w:sz w:val="22"/>
          <w:lang w:val="es-ES_tradnl"/>
        </w:rPr>
        <w:t>disponía</w:t>
      </w:r>
      <w:r w:rsidRPr="00493521">
        <w:rPr>
          <w:rFonts w:ascii="Arial" w:hAnsi="Arial" w:cs="Arial"/>
          <w:color w:val="000000" w:themeColor="text1"/>
          <w:sz w:val="22"/>
          <w:lang w:val="es-ES_tradnl"/>
        </w:rPr>
        <w:t xml:space="preserve"> el procedimiento a seguir en el evento en que la entidad estatal y el calificado en primer orden de elegibilidad no lleg</w:t>
      </w:r>
      <w:r w:rsidR="002A38C8" w:rsidRPr="00493521">
        <w:rPr>
          <w:rFonts w:ascii="Arial" w:hAnsi="Arial" w:cs="Arial"/>
          <w:color w:val="000000" w:themeColor="text1"/>
          <w:sz w:val="22"/>
          <w:lang w:val="es-ES_tradnl"/>
        </w:rPr>
        <w:t>aran</w:t>
      </w:r>
      <w:r w:rsidRPr="00493521">
        <w:rPr>
          <w:rFonts w:ascii="Arial" w:hAnsi="Arial" w:cs="Arial"/>
          <w:color w:val="000000" w:themeColor="text1"/>
          <w:sz w:val="22"/>
          <w:lang w:val="es-ES_tradnl"/>
        </w:rPr>
        <w:t xml:space="preserve"> a un acuerdo sobre el precio del contrato. Además, el numeral 6 solo permit</w:t>
      </w:r>
      <w:r w:rsidR="002A38C8" w:rsidRPr="00493521">
        <w:rPr>
          <w:rFonts w:ascii="Arial" w:hAnsi="Arial" w:cs="Arial"/>
          <w:color w:val="000000" w:themeColor="text1"/>
          <w:sz w:val="22"/>
          <w:lang w:val="es-ES_tradnl"/>
        </w:rPr>
        <w:t>ía</w:t>
      </w:r>
      <w:r w:rsidRPr="00493521">
        <w:rPr>
          <w:rFonts w:ascii="Arial" w:hAnsi="Arial" w:cs="Arial"/>
          <w:color w:val="000000" w:themeColor="text1"/>
          <w:sz w:val="22"/>
          <w:lang w:val="es-ES_tradnl"/>
        </w:rPr>
        <w:t xml:space="preserve"> negociar el precio con el proponente que ocup</w:t>
      </w:r>
      <w:r w:rsidR="002A38C8" w:rsidRPr="00493521">
        <w:rPr>
          <w:rFonts w:ascii="Arial" w:hAnsi="Arial" w:cs="Arial"/>
          <w:color w:val="000000" w:themeColor="text1"/>
          <w:sz w:val="22"/>
          <w:lang w:val="es-ES_tradnl"/>
        </w:rPr>
        <w:t>ara</w:t>
      </w:r>
      <w:r w:rsidRPr="00493521">
        <w:rPr>
          <w:rFonts w:ascii="Arial" w:hAnsi="Arial" w:cs="Arial"/>
          <w:color w:val="000000" w:themeColor="text1"/>
          <w:sz w:val="22"/>
          <w:lang w:val="es-ES_tradnl"/>
        </w:rPr>
        <w:t xml:space="preserve"> e</w:t>
      </w:r>
      <w:r w:rsidR="002A38C8" w:rsidRPr="00493521">
        <w:rPr>
          <w:rFonts w:ascii="Arial" w:hAnsi="Arial" w:cs="Arial"/>
          <w:color w:val="000000" w:themeColor="text1"/>
          <w:sz w:val="22"/>
          <w:lang w:val="es-ES_tradnl"/>
        </w:rPr>
        <w:t>l</w:t>
      </w:r>
      <w:r w:rsidRPr="00493521">
        <w:rPr>
          <w:rFonts w:ascii="Arial" w:hAnsi="Arial" w:cs="Arial"/>
          <w:color w:val="000000" w:themeColor="text1"/>
          <w:sz w:val="22"/>
          <w:lang w:val="es-ES_tradnl"/>
        </w:rPr>
        <w:t xml:space="preserve"> segundo orden de elegibilidad, por lo que si no </w:t>
      </w:r>
      <w:r w:rsidR="002A38C8" w:rsidRPr="00493521">
        <w:rPr>
          <w:rFonts w:ascii="Arial" w:hAnsi="Arial" w:cs="Arial"/>
          <w:color w:val="000000" w:themeColor="text1"/>
          <w:sz w:val="22"/>
          <w:lang w:val="es-ES_tradnl"/>
        </w:rPr>
        <w:t>era</w:t>
      </w:r>
      <w:r w:rsidRPr="00493521">
        <w:rPr>
          <w:rFonts w:ascii="Arial" w:hAnsi="Arial" w:cs="Arial"/>
          <w:color w:val="000000" w:themeColor="text1"/>
          <w:sz w:val="22"/>
          <w:lang w:val="es-ES_tradnl"/>
        </w:rPr>
        <w:t xml:space="preserve"> posible llegar a un acuerdo con este, procedía la declaración de desierta. </w:t>
      </w:r>
    </w:p>
    <w:p w14:paraId="6D8A159A" w14:textId="7614BEC5" w:rsidR="00942641" w:rsidRPr="00493521" w:rsidRDefault="00942641" w:rsidP="00942641">
      <w:pPr>
        <w:spacing w:after="120" w:line="276" w:lineRule="auto"/>
        <w:ind w:firstLine="709"/>
        <w:jc w:val="both"/>
        <w:rPr>
          <w:rFonts w:ascii="Arial" w:hAnsi="Arial" w:cs="Arial"/>
          <w:color w:val="000000" w:themeColor="text1"/>
          <w:sz w:val="22"/>
          <w:lang w:val="es-ES_tradnl"/>
        </w:rPr>
      </w:pPr>
      <w:bookmarkStart w:id="4" w:name="_Hlk43918393"/>
      <w:r w:rsidRPr="00493521">
        <w:rPr>
          <w:rFonts w:ascii="Arial" w:hAnsi="Arial" w:cs="Arial"/>
          <w:color w:val="000000" w:themeColor="text1"/>
          <w:sz w:val="22"/>
          <w:lang w:val="es-ES_tradnl"/>
        </w:rPr>
        <w:t>El Consejo de Estado consider</w:t>
      </w:r>
      <w:r w:rsidR="00E1119F" w:rsidRPr="00493521">
        <w:rPr>
          <w:rFonts w:ascii="Arial" w:hAnsi="Arial" w:cs="Arial"/>
          <w:color w:val="000000" w:themeColor="text1"/>
          <w:sz w:val="22"/>
          <w:lang w:val="es-ES_tradnl"/>
        </w:rPr>
        <w:t>ó</w:t>
      </w:r>
      <w:r w:rsidRPr="00493521">
        <w:rPr>
          <w:rFonts w:ascii="Arial" w:hAnsi="Arial" w:cs="Arial"/>
          <w:color w:val="000000" w:themeColor="text1"/>
          <w:sz w:val="22"/>
          <w:lang w:val="es-ES_tradnl"/>
        </w:rPr>
        <w:t xml:space="preserve"> que los numerales 3, 4 y 5 violarían el artículo 5, numeral 4, último inciso, de la Ley 1150 de 2007, pues señal</w:t>
      </w:r>
      <w:r w:rsidR="00390C0B" w:rsidRPr="00493521">
        <w:rPr>
          <w:rFonts w:ascii="Arial" w:hAnsi="Arial" w:cs="Arial"/>
          <w:color w:val="000000" w:themeColor="text1"/>
          <w:sz w:val="22"/>
          <w:lang w:val="es-ES_tradnl"/>
        </w:rPr>
        <w:t>ó</w:t>
      </w:r>
      <w:r w:rsidRPr="00493521">
        <w:rPr>
          <w:rFonts w:ascii="Arial" w:hAnsi="Arial" w:cs="Arial"/>
          <w:color w:val="000000" w:themeColor="text1"/>
          <w:sz w:val="22"/>
          <w:lang w:val="es-ES_tradnl"/>
        </w:rPr>
        <w:t xml:space="preserve">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w:t>
      </w:r>
      <w:r w:rsidR="00F70F72" w:rsidRPr="00493521">
        <w:rPr>
          <w:rFonts w:ascii="Arial" w:hAnsi="Arial" w:cs="Arial"/>
          <w:color w:val="000000" w:themeColor="text1"/>
          <w:sz w:val="22"/>
          <w:lang w:val="es-ES_tradnl"/>
        </w:rPr>
        <w:t xml:space="preserve">el alto tribunal </w:t>
      </w:r>
      <w:r w:rsidRPr="00493521">
        <w:rPr>
          <w:rFonts w:ascii="Arial" w:hAnsi="Arial" w:cs="Arial"/>
          <w:color w:val="000000" w:themeColor="text1"/>
          <w:sz w:val="22"/>
          <w:lang w:val="es-ES_tradnl"/>
        </w:rPr>
        <w:t>expli</w:t>
      </w:r>
      <w:r w:rsidR="00F70F72" w:rsidRPr="00493521">
        <w:rPr>
          <w:rFonts w:ascii="Arial" w:hAnsi="Arial" w:cs="Arial"/>
          <w:color w:val="000000" w:themeColor="text1"/>
          <w:sz w:val="22"/>
          <w:lang w:val="es-ES_tradnl"/>
        </w:rPr>
        <w:t xml:space="preserve">có </w:t>
      </w:r>
      <w:r w:rsidRPr="00493521">
        <w:rPr>
          <w:rFonts w:ascii="Arial" w:hAnsi="Arial" w:cs="Arial"/>
          <w:color w:val="000000" w:themeColor="text1"/>
          <w:sz w:val="22"/>
          <w:lang w:val="es-ES_tradnl"/>
        </w:rPr>
        <w:t>que la verificación de la coherencia del precio con la disponibilidad presupuestal y la necesidad de que se logre un acuerdo en relación con el mismo desconoc</w:t>
      </w:r>
      <w:r w:rsidR="0023548D" w:rsidRPr="00493521">
        <w:rPr>
          <w:rFonts w:ascii="Arial" w:hAnsi="Arial" w:cs="Arial"/>
          <w:color w:val="000000" w:themeColor="text1"/>
          <w:sz w:val="22"/>
          <w:lang w:val="es-ES_tradnl"/>
        </w:rPr>
        <w:t>ía</w:t>
      </w:r>
      <w:r w:rsidRPr="00493521">
        <w:rPr>
          <w:rFonts w:ascii="Arial" w:hAnsi="Arial" w:cs="Arial"/>
          <w:color w:val="000000" w:themeColor="text1"/>
          <w:sz w:val="22"/>
          <w:lang w:val="es-ES_tradnl"/>
        </w:rPr>
        <w:t xml:space="preserve"> el principio de selección objetiva, convirtiendo el precio en un factor de selección</w:t>
      </w:r>
      <w:r w:rsidRPr="00493521">
        <w:rPr>
          <w:rStyle w:val="Refdenotaalpie"/>
          <w:rFonts w:ascii="Arial" w:hAnsi="Arial" w:cs="Arial"/>
          <w:color w:val="000000" w:themeColor="text1"/>
          <w:sz w:val="22"/>
          <w:lang w:val="es-ES_tradnl"/>
        </w:rPr>
        <w:footnoteReference w:id="4"/>
      </w:r>
      <w:r w:rsidRPr="00493521">
        <w:rPr>
          <w:rFonts w:ascii="Arial" w:hAnsi="Arial" w:cs="Arial"/>
          <w:color w:val="000000" w:themeColor="text1"/>
          <w:sz w:val="22"/>
          <w:lang w:val="es-ES_tradnl"/>
        </w:rPr>
        <w:t>. En lo que respecta al artículo 6, este violaría especialmente el artículo 25.18 del Estatuto General y el artículo 5 de la Ley 1150 de 2007, pues la declaratoria de desierta solo procede cuando no es posible la selección objetiva del contratista</w:t>
      </w:r>
      <w:bookmarkEnd w:id="4"/>
      <w:r w:rsidRPr="00493521">
        <w:rPr>
          <w:rStyle w:val="Refdenotaalpie"/>
          <w:rFonts w:ascii="Arial" w:hAnsi="Arial" w:cs="Arial"/>
          <w:color w:val="000000" w:themeColor="text1"/>
          <w:sz w:val="22"/>
          <w:lang w:val="es-ES_tradnl"/>
        </w:rPr>
        <w:footnoteReference w:id="5"/>
      </w:r>
      <w:r w:rsidRPr="00493521">
        <w:rPr>
          <w:rFonts w:ascii="Arial" w:hAnsi="Arial" w:cs="Arial"/>
          <w:color w:val="000000" w:themeColor="text1"/>
          <w:sz w:val="22"/>
          <w:lang w:val="es-ES_tradnl"/>
        </w:rPr>
        <w:t>.</w:t>
      </w:r>
    </w:p>
    <w:p w14:paraId="6DE39043" w14:textId="77777777" w:rsidR="00A43377" w:rsidRDefault="00035A1B" w:rsidP="00A43377">
      <w:pPr>
        <w:spacing w:line="276" w:lineRule="auto"/>
        <w:ind w:firstLine="709"/>
        <w:jc w:val="both"/>
        <w:rPr>
          <w:rFonts w:ascii="Arial" w:eastAsia="Calibri" w:hAnsi="Arial" w:cs="Arial"/>
          <w:color w:val="000000" w:themeColor="text1"/>
          <w:sz w:val="22"/>
          <w:lang w:val="es-ES_tradnl"/>
        </w:rPr>
      </w:pPr>
      <w:bookmarkStart w:id="5" w:name="_Hlk43916091"/>
      <w:r w:rsidRPr="00493521">
        <w:rPr>
          <w:rFonts w:ascii="Arial" w:hAnsi="Arial" w:cs="Arial"/>
          <w:color w:val="000000" w:themeColor="text1"/>
          <w:sz w:val="22"/>
          <w:lang w:val="es-ES_tradnl"/>
        </w:rPr>
        <w:t xml:space="preserve">En consecuencia, </w:t>
      </w:r>
      <w:r w:rsidR="00942641" w:rsidRPr="00493521">
        <w:rPr>
          <w:rFonts w:ascii="Arial" w:eastAsia="Calibri" w:hAnsi="Arial" w:cs="Arial"/>
          <w:color w:val="000000" w:themeColor="text1"/>
          <w:sz w:val="22"/>
          <w:lang w:val="es-ES_tradnl"/>
        </w:rPr>
        <w:t>con los autos de suspensión provisional</w:t>
      </w:r>
      <w:r w:rsidRPr="00493521">
        <w:rPr>
          <w:rFonts w:ascii="Arial" w:eastAsia="Calibri" w:hAnsi="Arial" w:cs="Arial"/>
          <w:color w:val="000000" w:themeColor="text1"/>
          <w:sz w:val="22"/>
          <w:lang w:val="es-ES_tradnl"/>
        </w:rPr>
        <w:t>,</w:t>
      </w:r>
      <w:r w:rsidR="00942641" w:rsidRPr="00493521">
        <w:rPr>
          <w:rFonts w:ascii="Arial" w:eastAsia="Calibri" w:hAnsi="Arial" w:cs="Arial"/>
          <w:color w:val="000000" w:themeColor="text1"/>
          <w:sz w:val="22"/>
          <w:lang w:val="es-ES_tradnl"/>
        </w:rPr>
        <w:t xml:space="preserve"> el concurso de méritos abierto </w:t>
      </w:r>
      <w:r w:rsidRPr="00493521">
        <w:rPr>
          <w:rFonts w:ascii="Arial" w:eastAsia="Calibri" w:hAnsi="Arial" w:cs="Arial"/>
          <w:color w:val="000000" w:themeColor="text1"/>
          <w:sz w:val="22"/>
          <w:lang w:val="es-ES_tradnl"/>
        </w:rPr>
        <w:t>debía desarrollarse</w:t>
      </w:r>
      <w:r w:rsidR="00942641" w:rsidRPr="00493521">
        <w:rPr>
          <w:rFonts w:ascii="Arial" w:eastAsia="Calibri" w:hAnsi="Arial" w:cs="Arial"/>
          <w:color w:val="000000" w:themeColor="text1"/>
          <w:sz w:val="22"/>
          <w:lang w:val="es-ES_tradnl"/>
        </w:rPr>
        <w:t xml:space="preserve"> aplicando únicamente los numerales 1 y 2 del</w:t>
      </w:r>
      <w:r w:rsidR="00942641" w:rsidRPr="00493521">
        <w:rPr>
          <w:rFonts w:ascii="Arial" w:hAnsi="Arial" w:cs="Arial"/>
          <w:color w:val="000000" w:themeColor="text1"/>
          <w:sz w:val="22"/>
          <w:lang w:val="es-ES_tradnl"/>
        </w:rPr>
        <w:t xml:space="preserve"> artículo </w:t>
      </w:r>
      <w:r w:rsidR="00942641" w:rsidRPr="00493521">
        <w:rPr>
          <w:rFonts w:ascii="Arial" w:hAnsi="Arial" w:cs="Arial"/>
          <w:color w:val="000000" w:themeColor="text1"/>
          <w:sz w:val="22"/>
          <w:lang w:val="es-ES_tradnl"/>
        </w:rPr>
        <w:lastRenderedPageBreak/>
        <w:t>2.2.1.2.1.3.2 del Decreto 1082 de 2015.</w:t>
      </w:r>
      <w:bookmarkStart w:id="6" w:name="_Hlk43916290"/>
      <w:bookmarkEnd w:id="5"/>
      <w:r w:rsidR="002A6CB8" w:rsidRPr="00493521">
        <w:rPr>
          <w:rFonts w:ascii="Arial" w:hAnsi="Arial" w:cs="Arial"/>
          <w:color w:val="000000" w:themeColor="text1"/>
          <w:sz w:val="22"/>
          <w:lang w:val="es-ES_tradnl"/>
        </w:rPr>
        <w:t xml:space="preserve"> </w:t>
      </w:r>
      <w:r w:rsidR="00942641" w:rsidRPr="00493521">
        <w:rPr>
          <w:rFonts w:ascii="Arial" w:hAnsi="Arial" w:cs="Arial"/>
          <w:color w:val="000000" w:themeColor="text1"/>
          <w:sz w:val="22"/>
          <w:lang w:val="es-ES_tradnl"/>
        </w:rPr>
        <w:t xml:space="preserve">Por lo tanto, </w:t>
      </w:r>
      <w:r w:rsidR="00942641" w:rsidRPr="00493521">
        <w:rPr>
          <w:rFonts w:ascii="Arial" w:hAnsi="Arial" w:cs="Arial"/>
          <w:i/>
          <w:iCs/>
          <w:color w:val="000000" w:themeColor="text1"/>
          <w:sz w:val="22"/>
          <w:lang w:val="es-ES_tradnl"/>
        </w:rPr>
        <w:t xml:space="preserve">siempre que </w:t>
      </w:r>
      <w:r w:rsidR="009D0815" w:rsidRPr="00493521">
        <w:rPr>
          <w:rFonts w:ascii="Arial" w:hAnsi="Arial" w:cs="Arial"/>
          <w:i/>
          <w:iCs/>
          <w:color w:val="000000" w:themeColor="text1"/>
          <w:sz w:val="22"/>
          <w:lang w:val="es-ES_tradnl"/>
        </w:rPr>
        <w:t>estuviera</w:t>
      </w:r>
      <w:r w:rsidR="00942641" w:rsidRPr="00493521">
        <w:rPr>
          <w:rFonts w:ascii="Arial" w:hAnsi="Arial" w:cs="Arial"/>
          <w:i/>
          <w:iCs/>
          <w:color w:val="000000" w:themeColor="text1"/>
          <w:sz w:val="22"/>
          <w:lang w:val="es-ES_tradnl"/>
        </w:rPr>
        <w:t xml:space="preserve"> dentro del presupuesto oficial</w:t>
      </w:r>
      <w:r w:rsidR="00942641" w:rsidRPr="00493521">
        <w:rPr>
          <w:rFonts w:ascii="Arial" w:hAnsi="Arial" w:cs="Arial"/>
          <w:color w:val="000000" w:themeColor="text1"/>
          <w:sz w:val="22"/>
          <w:lang w:val="es-ES_tradnl"/>
        </w:rPr>
        <w:t>, la entidad</w:t>
      </w:r>
      <w:r w:rsidR="009D0815" w:rsidRPr="00493521">
        <w:rPr>
          <w:rFonts w:ascii="Arial" w:hAnsi="Arial" w:cs="Arial"/>
          <w:color w:val="000000" w:themeColor="text1"/>
          <w:sz w:val="22"/>
          <w:lang w:val="es-ES_tradnl"/>
        </w:rPr>
        <w:t xml:space="preserve"> estatal</w:t>
      </w:r>
      <w:r w:rsidR="00942641" w:rsidRPr="00493521">
        <w:rPr>
          <w:rFonts w:ascii="Arial" w:hAnsi="Arial" w:cs="Arial"/>
          <w:color w:val="000000" w:themeColor="text1"/>
          <w:sz w:val="22"/>
          <w:lang w:val="es-ES_tradnl"/>
        </w:rPr>
        <w:t xml:space="preserve"> </w:t>
      </w:r>
      <w:r w:rsidR="009D0815" w:rsidRPr="00493521">
        <w:rPr>
          <w:rFonts w:ascii="Arial" w:hAnsi="Arial" w:cs="Arial"/>
          <w:color w:val="000000" w:themeColor="text1"/>
          <w:sz w:val="22"/>
          <w:lang w:val="es-ES_tradnl"/>
        </w:rPr>
        <w:t>debía</w:t>
      </w:r>
      <w:r w:rsidR="00942641" w:rsidRPr="00493521">
        <w:rPr>
          <w:rFonts w:ascii="Arial" w:hAnsi="Arial" w:cs="Arial"/>
          <w:color w:val="000000" w:themeColor="text1"/>
          <w:sz w:val="22"/>
          <w:lang w:val="es-ES_tradnl"/>
        </w:rPr>
        <w:t xml:space="preserve"> adjudicar el contrato al proponente que ocup</w:t>
      </w:r>
      <w:r w:rsidR="009D0815" w:rsidRPr="00493521">
        <w:rPr>
          <w:rFonts w:ascii="Arial" w:hAnsi="Arial" w:cs="Arial"/>
          <w:color w:val="000000" w:themeColor="text1"/>
          <w:sz w:val="22"/>
          <w:lang w:val="es-ES_tradnl"/>
        </w:rPr>
        <w:t>ara</w:t>
      </w:r>
      <w:r w:rsidR="00942641" w:rsidRPr="00493521">
        <w:rPr>
          <w:rFonts w:ascii="Arial" w:hAnsi="Arial" w:cs="Arial"/>
          <w:color w:val="000000" w:themeColor="text1"/>
          <w:sz w:val="22"/>
          <w:lang w:val="es-ES_tradnl"/>
        </w:rPr>
        <w:t xml:space="preserve"> el primer puesto en el orden de elegibilidad, independientemente del valor ofrecido</w:t>
      </w:r>
      <w:r w:rsidR="00942641" w:rsidRPr="00493521">
        <w:rPr>
          <w:rFonts w:ascii="Arial" w:eastAsia="Calibri" w:hAnsi="Arial" w:cs="Arial"/>
          <w:color w:val="000000" w:themeColor="text1"/>
          <w:sz w:val="22"/>
          <w:lang w:val="es-ES_tradnl"/>
        </w:rPr>
        <w:t>.</w:t>
      </w:r>
    </w:p>
    <w:p w14:paraId="508FE583" w14:textId="77777777" w:rsidR="00A43377" w:rsidRDefault="00A43377" w:rsidP="00A43377">
      <w:pPr>
        <w:spacing w:line="276" w:lineRule="auto"/>
        <w:jc w:val="both"/>
        <w:rPr>
          <w:rFonts w:ascii="Arial" w:eastAsia="Calibri" w:hAnsi="Arial" w:cs="Arial"/>
          <w:b/>
          <w:bCs/>
          <w:color w:val="000000" w:themeColor="text1"/>
          <w:sz w:val="22"/>
          <w:lang w:val="es-ES_tradnl"/>
        </w:rPr>
      </w:pPr>
    </w:p>
    <w:p w14:paraId="6E39F8CE" w14:textId="096DE356" w:rsidR="00A43377" w:rsidRPr="00A43377" w:rsidRDefault="00A43377" w:rsidP="00A43377">
      <w:pPr>
        <w:spacing w:line="276" w:lineRule="auto"/>
        <w:jc w:val="both"/>
        <w:rPr>
          <w:rFonts w:ascii="Arial" w:eastAsia="Calibri" w:hAnsi="Arial" w:cs="Arial"/>
          <w:color w:val="000000" w:themeColor="text1"/>
          <w:sz w:val="22"/>
          <w:lang w:val="es-ES_tradnl"/>
        </w:rPr>
      </w:pPr>
      <w:r w:rsidRPr="00493521">
        <w:rPr>
          <w:rFonts w:ascii="Arial" w:eastAsia="Calibri" w:hAnsi="Arial" w:cs="Arial"/>
          <w:b/>
          <w:bCs/>
          <w:color w:val="000000" w:themeColor="text1"/>
          <w:sz w:val="22"/>
          <w:lang w:val="es-ES_tradnl"/>
        </w:rPr>
        <w:t>2.</w:t>
      </w:r>
      <w:r>
        <w:rPr>
          <w:rFonts w:ascii="Arial" w:eastAsia="Calibri" w:hAnsi="Arial" w:cs="Arial"/>
          <w:b/>
          <w:bCs/>
          <w:color w:val="000000" w:themeColor="text1"/>
          <w:sz w:val="22"/>
          <w:lang w:val="es-ES_tradnl"/>
        </w:rPr>
        <w:t>2</w:t>
      </w:r>
      <w:r w:rsidRPr="00493521">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Reglamentación del concurso de méritos</w:t>
      </w:r>
      <w:r w:rsidR="00FE1D81">
        <w:rPr>
          <w:rFonts w:ascii="Arial" w:eastAsia="Calibri" w:hAnsi="Arial" w:cs="Arial"/>
          <w:b/>
          <w:bCs/>
          <w:color w:val="000000" w:themeColor="text1"/>
          <w:sz w:val="22"/>
          <w:lang w:val="es-ES_tradnl"/>
        </w:rPr>
        <w:t xml:space="preserve"> abierto o con precalificación</w:t>
      </w:r>
      <w:r>
        <w:rPr>
          <w:rFonts w:ascii="Arial" w:eastAsia="Calibri" w:hAnsi="Arial" w:cs="Arial"/>
          <w:b/>
          <w:bCs/>
          <w:color w:val="000000" w:themeColor="text1"/>
          <w:sz w:val="22"/>
          <w:lang w:val="es-ES_tradnl"/>
        </w:rPr>
        <w:t xml:space="preserve"> en el Decreto 399 de 2021</w:t>
      </w:r>
    </w:p>
    <w:p w14:paraId="5C9484F1" w14:textId="77777777" w:rsidR="00A43377" w:rsidRDefault="00A43377" w:rsidP="00A43377">
      <w:pPr>
        <w:spacing w:line="276" w:lineRule="auto"/>
        <w:jc w:val="both"/>
        <w:rPr>
          <w:rFonts w:ascii="Arial" w:eastAsia="Calibri" w:hAnsi="Arial" w:cs="Arial"/>
          <w:color w:val="000000" w:themeColor="text1"/>
          <w:sz w:val="22"/>
          <w:lang w:val="es-ES_tradnl"/>
        </w:rPr>
      </w:pPr>
    </w:p>
    <w:p w14:paraId="2890CFFD" w14:textId="42DE133B" w:rsidR="00DE67D2" w:rsidRPr="00493521" w:rsidRDefault="008F462B" w:rsidP="00A43377">
      <w:pPr>
        <w:spacing w:line="276" w:lineRule="auto"/>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w:t>
      </w:r>
      <w:r w:rsidR="008E51C2" w:rsidRPr="00493521">
        <w:rPr>
          <w:rFonts w:ascii="Arial" w:eastAsia="Calibri" w:hAnsi="Arial" w:cs="Arial"/>
          <w:color w:val="000000" w:themeColor="text1"/>
          <w:sz w:val="22"/>
          <w:lang w:val="es-ES_tradnl"/>
        </w:rPr>
        <w:t xml:space="preserve">l </w:t>
      </w:r>
      <w:r w:rsidR="00E068BB" w:rsidRPr="00493521">
        <w:rPr>
          <w:rFonts w:ascii="Arial" w:eastAsia="Calibri" w:hAnsi="Arial" w:cs="Arial"/>
          <w:color w:val="000000" w:themeColor="text1"/>
          <w:sz w:val="22"/>
          <w:lang w:val="es-ES_tradnl"/>
        </w:rPr>
        <w:t xml:space="preserve">artículo 2 del </w:t>
      </w:r>
      <w:r w:rsidR="008E51C2" w:rsidRPr="00493521">
        <w:rPr>
          <w:rFonts w:ascii="Arial" w:eastAsia="Calibri" w:hAnsi="Arial" w:cs="Arial"/>
          <w:color w:val="000000" w:themeColor="text1"/>
          <w:sz w:val="22"/>
          <w:lang w:val="es-ES_tradnl"/>
        </w:rPr>
        <w:t>Decreto 399 de 2021</w:t>
      </w:r>
      <w:r w:rsidR="00E068BB" w:rsidRPr="00493521">
        <w:rPr>
          <w:rFonts w:ascii="Arial" w:eastAsia="Calibri" w:hAnsi="Arial" w:cs="Arial"/>
          <w:color w:val="000000" w:themeColor="text1"/>
          <w:sz w:val="22"/>
          <w:lang w:val="es-ES_tradnl"/>
        </w:rPr>
        <w:t xml:space="preserve"> modificó el artículo 2.2.1.2.1.3.2.</w:t>
      </w:r>
      <w:r w:rsidR="00E57CC5" w:rsidRPr="00493521">
        <w:rPr>
          <w:rFonts w:ascii="Arial" w:eastAsia="Calibri" w:hAnsi="Arial" w:cs="Arial"/>
          <w:color w:val="000000" w:themeColor="text1"/>
          <w:sz w:val="22"/>
          <w:lang w:val="es-ES_tradnl"/>
        </w:rPr>
        <w:t xml:space="preserve"> del Decreto 1082 de 2015,</w:t>
      </w:r>
      <w:r w:rsidR="00DE67D2" w:rsidRPr="00493521">
        <w:rPr>
          <w:rFonts w:ascii="Arial" w:eastAsia="Calibri" w:hAnsi="Arial" w:cs="Arial"/>
          <w:color w:val="000000" w:themeColor="text1"/>
          <w:sz w:val="22"/>
          <w:lang w:val="es-ES_tradnl"/>
        </w:rPr>
        <w:t xml:space="preserve"> en los siguientes términos:</w:t>
      </w:r>
    </w:p>
    <w:p w14:paraId="65D1A6CB" w14:textId="77777777" w:rsidR="00607460" w:rsidRPr="00493521" w:rsidRDefault="00607460" w:rsidP="00DE67D2">
      <w:pPr>
        <w:shd w:val="clear" w:color="auto" w:fill="FFFFFF"/>
        <w:ind w:left="709" w:right="709"/>
        <w:jc w:val="both"/>
        <w:rPr>
          <w:rFonts w:ascii="Arial" w:hAnsi="Arial" w:cs="Arial"/>
          <w:color w:val="000000" w:themeColor="text1"/>
          <w:sz w:val="21"/>
          <w:szCs w:val="21"/>
          <w:lang w:val="es-ES_tradnl"/>
        </w:rPr>
      </w:pPr>
    </w:p>
    <w:p w14:paraId="71A0E597" w14:textId="00BCBF84" w:rsidR="00DE67D2" w:rsidRPr="00493521" w:rsidRDefault="00900FC5"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Artículo</w:t>
      </w:r>
      <w:bookmarkStart w:id="7" w:name="2"/>
      <w:r w:rsidR="00DE67D2" w:rsidRPr="00493521">
        <w:rPr>
          <w:rFonts w:ascii="Arial" w:hAnsi="Arial" w:cs="Arial"/>
          <w:color w:val="000000" w:themeColor="text1"/>
          <w:sz w:val="21"/>
          <w:szCs w:val="21"/>
          <w:lang w:val="es-ES_tradnl"/>
        </w:rPr>
        <w:t> </w:t>
      </w:r>
      <w:bookmarkEnd w:id="7"/>
      <w:r w:rsidR="00DE67D2" w:rsidRPr="00493521">
        <w:rPr>
          <w:rFonts w:ascii="Arial" w:hAnsi="Arial" w:cs="Arial"/>
          <w:color w:val="000000" w:themeColor="text1"/>
          <w:sz w:val="21"/>
          <w:szCs w:val="21"/>
          <w:lang w:val="es-ES_tradnl"/>
        </w:rPr>
        <w:t>2. Modificación del artículo </w:t>
      </w:r>
      <w:hyperlink r:id="rId12" w:anchor="2.2.1.2.1.3.2" w:history="1">
        <w:r w:rsidR="00DE67D2" w:rsidRPr="00493521">
          <w:rPr>
            <w:rStyle w:val="Hipervnculo"/>
            <w:rFonts w:ascii="Arial" w:hAnsi="Arial" w:cs="Arial"/>
            <w:color w:val="000000" w:themeColor="text1"/>
            <w:sz w:val="21"/>
            <w:szCs w:val="21"/>
            <w:u w:val="none"/>
            <w:lang w:val="es-ES_tradnl"/>
          </w:rPr>
          <w:t>2.2.1.2.1.3.2</w:t>
        </w:r>
      </w:hyperlink>
      <w:r w:rsidR="00DE67D2" w:rsidRPr="00493521">
        <w:rPr>
          <w:rFonts w:ascii="Arial" w:hAnsi="Arial" w:cs="Arial"/>
          <w:color w:val="000000" w:themeColor="text1"/>
          <w:sz w:val="21"/>
          <w:szCs w:val="21"/>
          <w:lang w:val="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4494BB0E" w14:textId="77777777" w:rsidR="00DE67D2" w:rsidRPr="00493521" w:rsidRDefault="00DE67D2"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18D8E2D4" w14:textId="6382EC38" w:rsidR="00DE67D2" w:rsidRPr="00493521" w:rsidRDefault="00DE67D2"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w:t>
      </w:r>
      <w:r w:rsidR="00900FC5" w:rsidRPr="00493521">
        <w:rPr>
          <w:rFonts w:ascii="Arial" w:hAnsi="Arial" w:cs="Arial"/>
          <w:color w:val="000000" w:themeColor="text1"/>
          <w:sz w:val="21"/>
          <w:szCs w:val="21"/>
          <w:lang w:val="es-ES_tradnl"/>
        </w:rPr>
        <w:t>Artículo</w:t>
      </w:r>
      <w:r w:rsidRPr="00493521">
        <w:rPr>
          <w:rFonts w:ascii="Arial" w:hAnsi="Arial" w:cs="Arial"/>
          <w:color w:val="000000" w:themeColor="text1"/>
          <w:sz w:val="21"/>
          <w:szCs w:val="21"/>
          <w:lang w:val="es-ES_tradnl"/>
        </w:rPr>
        <w:t xml:space="preserve"> 2.2.1.2.1.3.2. Procedimiento del concurso de méritos. Además de las reglas generales previstas en la ley y en el presente título, las siguientes reglas son aplicables al concurso de méritos abierto o con precalificación:</w:t>
      </w:r>
    </w:p>
    <w:p w14:paraId="53829137" w14:textId="77777777" w:rsidR="00DE67D2" w:rsidRPr="00493521" w:rsidRDefault="00DE67D2"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5309DFA5" w14:textId="77777777" w:rsidR="00DE67D2" w:rsidRPr="00493521" w:rsidRDefault="00DE67D2"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del equipo de trabajo.</w:t>
      </w:r>
    </w:p>
    <w:p w14:paraId="3CD58FAA" w14:textId="77777777" w:rsidR="00DE67D2" w:rsidRPr="00493521" w:rsidRDefault="00DE67D2"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67F5349D" w14:textId="77777777" w:rsidR="00DE67D2" w:rsidRPr="00493521" w:rsidRDefault="00DE67D2"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44F04C4B" w14:textId="77777777" w:rsidR="00DE67D2" w:rsidRPr="00493521" w:rsidRDefault="00DE67D2"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51ABAA3E" w14:textId="77777777" w:rsidR="00DE67D2" w:rsidRPr="00493521" w:rsidRDefault="00DE67D2" w:rsidP="00DE67D2">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41AEF3ED" w14:textId="77777777" w:rsidR="00DE67D2" w:rsidRPr="00493521" w:rsidRDefault="00DE67D2" w:rsidP="00DE67D2">
      <w:pPr>
        <w:rPr>
          <w:color w:val="000000" w:themeColor="text1"/>
          <w:lang w:val="es-ES_tradnl"/>
        </w:rPr>
      </w:pPr>
    </w:p>
    <w:p w14:paraId="1A70CA59" w14:textId="58CB88B7" w:rsidR="0013756B" w:rsidRPr="00493521" w:rsidRDefault="0013756B" w:rsidP="0013756B">
      <w:pPr>
        <w:spacing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Como se observa,</w:t>
      </w:r>
      <w:r w:rsidR="0061163C" w:rsidRPr="00493521">
        <w:rPr>
          <w:rFonts w:ascii="Arial" w:eastAsia="Calibri" w:hAnsi="Arial" w:cs="Arial"/>
          <w:color w:val="000000" w:themeColor="text1"/>
          <w:sz w:val="22"/>
          <w:lang w:val="es-ES_tradnl"/>
        </w:rPr>
        <w:t xml:space="preserve"> el artículo 2 del Decreto 399 de 2021</w:t>
      </w:r>
      <w:r w:rsidR="00CE026B" w:rsidRPr="00493521">
        <w:rPr>
          <w:rFonts w:ascii="Arial" w:eastAsia="Calibri" w:hAnsi="Arial" w:cs="Arial"/>
          <w:color w:val="000000" w:themeColor="text1"/>
          <w:sz w:val="22"/>
          <w:lang w:val="es-ES_tradnl"/>
        </w:rPr>
        <w:t xml:space="preserve"> </w:t>
      </w:r>
      <w:r w:rsidR="00390C0B" w:rsidRPr="00493521">
        <w:rPr>
          <w:rFonts w:ascii="Arial" w:eastAsia="Calibri" w:hAnsi="Arial" w:cs="Arial"/>
          <w:color w:val="000000" w:themeColor="text1"/>
          <w:sz w:val="22"/>
          <w:lang w:val="es-ES_tradnl"/>
        </w:rPr>
        <w:t>reformó</w:t>
      </w:r>
      <w:r w:rsidR="00CE026B" w:rsidRPr="00493521">
        <w:rPr>
          <w:rFonts w:ascii="Arial" w:eastAsia="Calibri" w:hAnsi="Arial" w:cs="Arial"/>
          <w:color w:val="000000" w:themeColor="text1"/>
          <w:sz w:val="22"/>
          <w:lang w:val="es-ES_tradnl"/>
        </w:rPr>
        <w:t xml:space="preserve"> la reglamentación del concurso de méritos, para adecuarla a los pronunciamientos del Consejo de Estado que habían suspendido provisionalmente algunos numerales del artículo </w:t>
      </w:r>
      <w:r w:rsidR="00A475B4" w:rsidRPr="00493521">
        <w:rPr>
          <w:rFonts w:ascii="Arial" w:eastAsia="Calibri" w:hAnsi="Arial" w:cs="Arial"/>
          <w:color w:val="000000" w:themeColor="text1"/>
          <w:sz w:val="22"/>
          <w:lang w:val="es-ES_tradnl"/>
        </w:rPr>
        <w:t>2.2.1.2.1.3.2. del Decreto 1082 de 2015</w:t>
      </w:r>
      <w:r w:rsidR="00A475B4" w:rsidRPr="00493521">
        <w:rPr>
          <w:rStyle w:val="Refdenotaalpie"/>
          <w:rFonts w:ascii="Arial" w:eastAsia="Calibri" w:hAnsi="Arial" w:cs="Arial"/>
          <w:color w:val="000000" w:themeColor="text1"/>
          <w:sz w:val="22"/>
          <w:lang w:val="es-ES_tradnl"/>
        </w:rPr>
        <w:footnoteReference w:id="6"/>
      </w:r>
      <w:r w:rsidR="00022FD5" w:rsidRPr="00493521">
        <w:rPr>
          <w:rFonts w:ascii="Arial" w:eastAsia="Calibri" w:hAnsi="Arial" w:cs="Arial"/>
          <w:color w:val="000000" w:themeColor="text1"/>
          <w:sz w:val="22"/>
          <w:lang w:val="es-ES_tradnl"/>
        </w:rPr>
        <w:t xml:space="preserve">. </w:t>
      </w:r>
      <w:r w:rsidR="00467EE3" w:rsidRPr="00493521">
        <w:rPr>
          <w:rFonts w:ascii="Arial" w:eastAsia="Calibri" w:hAnsi="Arial" w:cs="Arial"/>
          <w:color w:val="000000" w:themeColor="text1"/>
          <w:sz w:val="22"/>
          <w:lang w:val="es-ES_tradnl"/>
        </w:rPr>
        <w:t xml:space="preserve">A diferencia de lo que establecía este artículo en su redacción </w:t>
      </w:r>
      <w:r w:rsidR="00467EE3" w:rsidRPr="00493521">
        <w:rPr>
          <w:rFonts w:ascii="Arial" w:eastAsia="Calibri" w:hAnsi="Arial" w:cs="Arial"/>
          <w:color w:val="000000" w:themeColor="text1"/>
          <w:sz w:val="22"/>
          <w:lang w:val="es-ES_tradnl"/>
        </w:rPr>
        <w:lastRenderedPageBreak/>
        <w:t xml:space="preserve">inicial, con la </w:t>
      </w:r>
      <w:r w:rsidR="00DB244B" w:rsidRPr="00493521">
        <w:rPr>
          <w:rFonts w:ascii="Arial" w:eastAsia="Calibri" w:hAnsi="Arial" w:cs="Arial"/>
          <w:color w:val="000000" w:themeColor="text1"/>
          <w:sz w:val="22"/>
          <w:lang w:val="es-ES_tradnl"/>
        </w:rPr>
        <w:t>entrada en vigencia del artículo 2 del Decreto 399 de 2021 se observan los siguientes cambios:</w:t>
      </w:r>
    </w:p>
    <w:p w14:paraId="69870692" w14:textId="77777777" w:rsidR="009E28B6" w:rsidRPr="00493521" w:rsidRDefault="00DB244B" w:rsidP="00521A91">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i) </w:t>
      </w:r>
      <w:r w:rsidR="003B242E" w:rsidRPr="00493521">
        <w:rPr>
          <w:rFonts w:ascii="Arial" w:eastAsia="Calibri" w:hAnsi="Arial" w:cs="Arial"/>
          <w:color w:val="000000" w:themeColor="text1"/>
          <w:sz w:val="22"/>
          <w:lang w:val="es-ES_tradnl"/>
        </w:rPr>
        <w:t>E</w:t>
      </w:r>
      <w:r w:rsidR="00521A91" w:rsidRPr="00493521">
        <w:rPr>
          <w:rFonts w:ascii="Arial" w:eastAsia="Calibri" w:hAnsi="Arial" w:cs="Arial"/>
          <w:color w:val="000000" w:themeColor="text1"/>
          <w:sz w:val="22"/>
          <w:lang w:val="es-ES_tradnl"/>
        </w:rPr>
        <w:t xml:space="preserve">l informe de evaluación, que la entidad debe publicar </w:t>
      </w:r>
      <w:r w:rsidR="003B242E" w:rsidRPr="00493521">
        <w:rPr>
          <w:rFonts w:ascii="Arial" w:eastAsia="Calibri" w:hAnsi="Arial" w:cs="Arial"/>
          <w:color w:val="000000" w:themeColor="text1"/>
          <w:sz w:val="22"/>
          <w:lang w:val="es-ES_tradnl"/>
        </w:rPr>
        <w:t xml:space="preserve">durante tres (3) días hábiles, debe contener ya no solamente </w:t>
      </w:r>
      <w:r w:rsidR="00AA0A87" w:rsidRPr="00493521">
        <w:rPr>
          <w:rFonts w:ascii="Arial" w:eastAsia="Calibri" w:hAnsi="Arial" w:cs="Arial"/>
          <w:color w:val="000000" w:themeColor="text1"/>
          <w:sz w:val="22"/>
          <w:lang w:val="es-ES_tradnl"/>
        </w:rPr>
        <w:t>la calificación técnica y el orden de elegibilidad, sino «[…] la evaluación de las ofertas frente a todos los requisitos exigidos en el pliego de condiciones, incluyendo los requisitos habilitantes y los de asignación de puntaje».</w:t>
      </w:r>
      <w:r w:rsidR="009E28B6" w:rsidRPr="00493521">
        <w:rPr>
          <w:rFonts w:ascii="Arial" w:eastAsia="Calibri" w:hAnsi="Arial" w:cs="Arial"/>
          <w:color w:val="000000" w:themeColor="text1"/>
          <w:sz w:val="22"/>
          <w:lang w:val="es-ES_tradnl"/>
        </w:rPr>
        <w:t xml:space="preserve"> Esta nueva disposición permite que los interesados ejerzan su derecho a conocer el informe de evaluación y a formular las observaciones que consideren pertinentes.</w:t>
      </w:r>
    </w:p>
    <w:p w14:paraId="2DC53642" w14:textId="614A3258" w:rsidR="00E806D9" w:rsidRPr="00493521" w:rsidRDefault="009E28B6" w:rsidP="00521A91">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ii)</w:t>
      </w:r>
      <w:r w:rsidR="00080D30" w:rsidRPr="00493521">
        <w:rPr>
          <w:rFonts w:ascii="Arial" w:eastAsia="Calibri" w:hAnsi="Arial" w:cs="Arial"/>
          <w:color w:val="000000" w:themeColor="text1"/>
          <w:sz w:val="22"/>
          <w:lang w:val="es-ES_tradnl"/>
        </w:rPr>
        <w:t xml:space="preserve"> A diferencia de </w:t>
      </w:r>
      <w:r w:rsidR="00D23732" w:rsidRPr="00493521">
        <w:rPr>
          <w:rFonts w:ascii="Arial" w:eastAsia="Calibri" w:hAnsi="Arial" w:cs="Arial"/>
          <w:color w:val="000000" w:themeColor="text1"/>
          <w:sz w:val="22"/>
          <w:lang w:val="es-ES_tradnl"/>
        </w:rPr>
        <w:t xml:space="preserve">la reglamentación anterior prevista en la redacción original del artículo 2.2.1.2.1.3.2. del Decreto 1082 de 2015, </w:t>
      </w:r>
      <w:r w:rsidR="00FD16ED" w:rsidRPr="00493521">
        <w:rPr>
          <w:rFonts w:ascii="Arial" w:eastAsia="Calibri" w:hAnsi="Arial" w:cs="Arial"/>
          <w:color w:val="000000" w:themeColor="text1"/>
          <w:sz w:val="22"/>
          <w:lang w:val="es-ES_tradnl"/>
        </w:rPr>
        <w:t>que establecía que luego de la publicación del informe de evaluación la entidad estatal debía revisar la oferta económica</w:t>
      </w:r>
      <w:r w:rsidR="003A6219" w:rsidRPr="00493521">
        <w:rPr>
          <w:rFonts w:ascii="Arial" w:eastAsia="Calibri" w:hAnsi="Arial" w:cs="Arial"/>
          <w:color w:val="000000" w:themeColor="text1"/>
          <w:sz w:val="22"/>
          <w:lang w:val="es-ES_tradnl"/>
        </w:rPr>
        <w:t>,</w:t>
      </w:r>
      <w:r w:rsidR="00522E0D" w:rsidRPr="00493521">
        <w:rPr>
          <w:rFonts w:ascii="Arial" w:eastAsia="Calibri" w:hAnsi="Arial" w:cs="Arial"/>
          <w:color w:val="000000" w:themeColor="text1"/>
          <w:sz w:val="22"/>
          <w:lang w:val="es-ES_tradnl"/>
        </w:rPr>
        <w:t xml:space="preserve"> para constatar su</w:t>
      </w:r>
      <w:r w:rsidR="003A6219" w:rsidRPr="00493521">
        <w:rPr>
          <w:rFonts w:ascii="Arial" w:eastAsia="Calibri" w:hAnsi="Arial" w:cs="Arial"/>
          <w:color w:val="000000" w:themeColor="text1"/>
          <w:sz w:val="22"/>
          <w:lang w:val="es-ES_tradnl"/>
        </w:rPr>
        <w:t xml:space="preserve"> correspondencia con el presupuesto oficial, y que posteriormente debía tratar de llegar a un acuerdo</w:t>
      </w:r>
      <w:r w:rsidR="001D4874" w:rsidRPr="00493521">
        <w:rPr>
          <w:rFonts w:ascii="Arial" w:eastAsia="Calibri" w:hAnsi="Arial" w:cs="Arial"/>
          <w:color w:val="000000" w:themeColor="text1"/>
          <w:sz w:val="22"/>
          <w:lang w:val="es-ES_tradnl"/>
        </w:rPr>
        <w:t xml:space="preserve"> con el oferente calificado en el primer lugar</w:t>
      </w:r>
      <w:r w:rsidR="00E24670" w:rsidRPr="00493521">
        <w:rPr>
          <w:rFonts w:ascii="Arial" w:eastAsia="Calibri" w:hAnsi="Arial" w:cs="Arial"/>
          <w:color w:val="000000" w:themeColor="text1"/>
          <w:sz w:val="22"/>
          <w:lang w:val="es-ES_tradnl"/>
        </w:rPr>
        <w:t xml:space="preserve"> o, en subsidio, con el calificado en segundo </w:t>
      </w:r>
      <w:r w:rsidR="002B5DA7" w:rsidRPr="00493521">
        <w:rPr>
          <w:rFonts w:ascii="Arial" w:eastAsia="Calibri" w:hAnsi="Arial" w:cs="Arial"/>
          <w:color w:val="000000" w:themeColor="text1"/>
          <w:sz w:val="22"/>
          <w:lang w:val="es-ES_tradnl"/>
        </w:rPr>
        <w:t>orden</w:t>
      </w:r>
      <w:r w:rsidR="001D4874" w:rsidRPr="00493521">
        <w:rPr>
          <w:rFonts w:ascii="Arial" w:eastAsia="Calibri" w:hAnsi="Arial" w:cs="Arial"/>
          <w:color w:val="000000" w:themeColor="text1"/>
          <w:sz w:val="22"/>
          <w:lang w:val="es-ES_tradnl"/>
        </w:rPr>
        <w:t>, el artículo 2 del Decreto 399 de 2021 introduce una modificación trascendental,</w:t>
      </w:r>
      <w:r w:rsidR="008D3330" w:rsidRPr="00493521">
        <w:rPr>
          <w:rFonts w:ascii="Arial" w:eastAsia="Calibri" w:hAnsi="Arial" w:cs="Arial"/>
          <w:color w:val="000000" w:themeColor="text1"/>
          <w:sz w:val="22"/>
          <w:lang w:val="es-ES_tradnl"/>
        </w:rPr>
        <w:t xml:space="preserve"> pues elimina estas etapas</w:t>
      </w:r>
      <w:r w:rsidR="00BB26A6" w:rsidRPr="00493521">
        <w:rPr>
          <w:rFonts w:ascii="Arial" w:eastAsia="Calibri" w:hAnsi="Arial" w:cs="Arial"/>
          <w:color w:val="000000" w:themeColor="text1"/>
          <w:sz w:val="22"/>
          <w:lang w:val="es-ES_tradnl"/>
        </w:rPr>
        <w:t xml:space="preserve"> y señala, en su lugar, que «Una vez resueltas las observaciones al informe de evaluación, la entidad adjudicará el contrato mediante acto administrativo al oferente que haya cumplido todos los requisitos exigidos en el pliego de condiciones y haya obtenido el mayor puntaje».</w:t>
      </w:r>
      <w:r w:rsidR="00DE2E9B" w:rsidRPr="00493521">
        <w:rPr>
          <w:rFonts w:ascii="Arial" w:eastAsia="Calibri" w:hAnsi="Arial" w:cs="Arial"/>
          <w:color w:val="000000" w:themeColor="text1"/>
          <w:sz w:val="22"/>
          <w:lang w:val="es-ES_tradnl"/>
        </w:rPr>
        <w:t xml:space="preserve"> O sea que después de </w:t>
      </w:r>
      <w:r w:rsidR="00613746" w:rsidRPr="00493521">
        <w:rPr>
          <w:rFonts w:ascii="Arial" w:eastAsia="Calibri" w:hAnsi="Arial" w:cs="Arial"/>
          <w:color w:val="000000" w:themeColor="text1"/>
          <w:sz w:val="22"/>
          <w:lang w:val="es-ES_tradnl"/>
        </w:rPr>
        <w:t xml:space="preserve">la respuesta a las observaciones del informe de evaluación ya la entidad estatal no debe </w:t>
      </w:r>
      <w:r w:rsidR="00931165" w:rsidRPr="00493521">
        <w:rPr>
          <w:rFonts w:ascii="Arial" w:eastAsia="Calibri" w:hAnsi="Arial" w:cs="Arial"/>
          <w:color w:val="000000" w:themeColor="text1"/>
          <w:sz w:val="22"/>
          <w:lang w:val="es-ES_tradnl"/>
        </w:rPr>
        <w:t xml:space="preserve">revisar que la oferta económica sea acorde al presupuesto oficial –pues esto lo debió hacer </w:t>
      </w:r>
      <w:r w:rsidR="009F7ED3" w:rsidRPr="00493521">
        <w:rPr>
          <w:rFonts w:ascii="Arial" w:eastAsia="Calibri" w:hAnsi="Arial" w:cs="Arial"/>
          <w:color w:val="000000" w:themeColor="text1"/>
          <w:sz w:val="22"/>
          <w:lang w:val="es-ES_tradnl"/>
        </w:rPr>
        <w:t xml:space="preserve">para elaborar el informe de evaluación– y tampoco debe proceder con una fase de «negociación» con </w:t>
      </w:r>
      <w:r w:rsidR="00E13234" w:rsidRPr="00493521">
        <w:rPr>
          <w:rFonts w:ascii="Arial" w:eastAsia="Calibri" w:hAnsi="Arial" w:cs="Arial"/>
          <w:color w:val="000000" w:themeColor="text1"/>
          <w:sz w:val="22"/>
          <w:lang w:val="es-ES_tradnl"/>
        </w:rPr>
        <w:t>el</w:t>
      </w:r>
      <w:r w:rsidR="009F7ED3" w:rsidRPr="00493521">
        <w:rPr>
          <w:rFonts w:ascii="Arial" w:eastAsia="Calibri" w:hAnsi="Arial" w:cs="Arial"/>
          <w:color w:val="000000" w:themeColor="text1"/>
          <w:sz w:val="22"/>
          <w:lang w:val="es-ES_tradnl"/>
        </w:rPr>
        <w:t xml:space="preserve"> oferente calificado en primer lugar</w:t>
      </w:r>
      <w:r w:rsidR="001620B3" w:rsidRPr="00493521">
        <w:rPr>
          <w:rFonts w:ascii="Arial" w:eastAsia="Calibri" w:hAnsi="Arial" w:cs="Arial"/>
          <w:color w:val="000000" w:themeColor="text1"/>
          <w:sz w:val="22"/>
          <w:lang w:val="es-ES_tradnl"/>
        </w:rPr>
        <w:t xml:space="preserve"> sobre el valor y alcance del contrato, sino que debe proceder a la </w:t>
      </w:r>
      <w:r w:rsidR="00E80ADE" w:rsidRPr="00493521">
        <w:rPr>
          <w:rFonts w:ascii="Arial" w:eastAsia="Calibri" w:hAnsi="Arial" w:cs="Arial"/>
          <w:color w:val="000000" w:themeColor="text1"/>
          <w:sz w:val="22"/>
          <w:lang w:val="es-ES_tradnl"/>
        </w:rPr>
        <w:t>adjudicación a quien haya presentado objetivamente la mejor ofert</w:t>
      </w:r>
      <w:r w:rsidR="00F905BE" w:rsidRPr="00493521">
        <w:rPr>
          <w:rFonts w:ascii="Arial" w:eastAsia="Calibri" w:hAnsi="Arial" w:cs="Arial"/>
          <w:color w:val="000000" w:themeColor="text1"/>
          <w:sz w:val="22"/>
          <w:lang w:val="es-ES_tradnl"/>
        </w:rPr>
        <w:t>a, teniendo en cuenta todos los requisitos exigidos en el pliego de condiciones.</w:t>
      </w:r>
    </w:p>
    <w:p w14:paraId="64E4BE93" w14:textId="313D3DE0" w:rsidR="00EE365D" w:rsidRPr="00493521" w:rsidRDefault="00E806D9" w:rsidP="00521A91">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iii) </w:t>
      </w:r>
      <w:r w:rsidR="005C1D8B" w:rsidRPr="00493521">
        <w:rPr>
          <w:rFonts w:ascii="Arial" w:eastAsia="Calibri" w:hAnsi="Arial" w:cs="Arial"/>
          <w:color w:val="000000" w:themeColor="text1"/>
          <w:sz w:val="22"/>
          <w:lang w:val="es-ES_tradnl"/>
        </w:rPr>
        <w:t>C</w:t>
      </w:r>
      <w:r w:rsidRPr="00493521">
        <w:rPr>
          <w:rFonts w:ascii="Arial" w:eastAsia="Calibri" w:hAnsi="Arial" w:cs="Arial"/>
          <w:color w:val="000000" w:themeColor="text1"/>
          <w:sz w:val="22"/>
          <w:lang w:val="es-ES_tradnl"/>
        </w:rPr>
        <w:t>omo el nuevo artículo 2.2.1.2.1.3.2. del Decreto 1082 de 2015, modificado por el artículo 2 del Decreto 399 de 2021</w:t>
      </w:r>
      <w:r w:rsidR="005C1D8B" w:rsidRPr="00493521">
        <w:rPr>
          <w:rFonts w:ascii="Arial" w:eastAsia="Calibri" w:hAnsi="Arial" w:cs="Arial"/>
          <w:color w:val="000000" w:themeColor="text1"/>
          <w:sz w:val="22"/>
          <w:lang w:val="es-ES_tradnl"/>
        </w:rPr>
        <w:t>,</w:t>
      </w:r>
      <w:r w:rsidRPr="00493521">
        <w:rPr>
          <w:rFonts w:ascii="Arial" w:eastAsia="Calibri" w:hAnsi="Arial" w:cs="Arial"/>
          <w:color w:val="000000" w:themeColor="text1"/>
          <w:sz w:val="22"/>
          <w:lang w:val="es-ES_tradnl"/>
        </w:rPr>
        <w:t xml:space="preserve"> ya no establece</w:t>
      </w:r>
      <w:r w:rsidR="005C1D8B" w:rsidRPr="00493521">
        <w:rPr>
          <w:rFonts w:ascii="Arial" w:eastAsia="Calibri" w:hAnsi="Arial" w:cs="Arial"/>
          <w:color w:val="000000" w:themeColor="text1"/>
          <w:sz w:val="22"/>
          <w:lang w:val="es-ES_tradnl"/>
        </w:rPr>
        <w:t xml:space="preserve"> </w:t>
      </w:r>
      <w:r w:rsidR="00C033EC" w:rsidRPr="00493521">
        <w:rPr>
          <w:rFonts w:ascii="Arial" w:eastAsia="Calibri" w:hAnsi="Arial" w:cs="Arial"/>
          <w:color w:val="000000" w:themeColor="text1"/>
          <w:sz w:val="22"/>
          <w:lang w:val="es-ES_tradnl"/>
        </w:rPr>
        <w:t>una</w:t>
      </w:r>
      <w:r w:rsidR="005C1D8B" w:rsidRPr="00493521">
        <w:rPr>
          <w:rFonts w:ascii="Arial" w:eastAsia="Calibri" w:hAnsi="Arial" w:cs="Arial"/>
          <w:color w:val="000000" w:themeColor="text1"/>
          <w:sz w:val="22"/>
          <w:lang w:val="es-ES_tradnl"/>
        </w:rPr>
        <w:t xml:space="preserve"> fase </w:t>
      </w:r>
      <w:r w:rsidR="00C033EC" w:rsidRPr="00493521">
        <w:rPr>
          <w:rFonts w:ascii="Arial" w:eastAsia="Calibri" w:hAnsi="Arial" w:cs="Arial"/>
          <w:color w:val="000000" w:themeColor="text1"/>
          <w:sz w:val="22"/>
          <w:lang w:val="es-ES_tradnl"/>
        </w:rPr>
        <w:t>de negociación</w:t>
      </w:r>
      <w:r w:rsidR="005C1D8B" w:rsidRPr="00493521">
        <w:rPr>
          <w:rFonts w:ascii="Arial" w:eastAsia="Calibri" w:hAnsi="Arial" w:cs="Arial"/>
          <w:color w:val="000000" w:themeColor="text1"/>
          <w:sz w:val="22"/>
          <w:lang w:val="es-ES_tradnl"/>
        </w:rPr>
        <w:t xml:space="preserve"> entre la entidad estatal y el oferente calificado en el primer lugar de elegibilidad, por sustracción de materia</w:t>
      </w:r>
      <w:r w:rsidR="00023FC9" w:rsidRPr="00493521">
        <w:rPr>
          <w:rFonts w:ascii="Arial" w:eastAsia="Calibri" w:hAnsi="Arial" w:cs="Arial"/>
          <w:color w:val="000000" w:themeColor="text1"/>
          <w:sz w:val="22"/>
          <w:lang w:val="es-ES_tradnl"/>
        </w:rPr>
        <w:t>,</w:t>
      </w:r>
      <w:r w:rsidR="005C1D8B" w:rsidRPr="00493521">
        <w:rPr>
          <w:rFonts w:ascii="Arial" w:eastAsia="Calibri" w:hAnsi="Arial" w:cs="Arial"/>
          <w:color w:val="000000" w:themeColor="text1"/>
          <w:sz w:val="22"/>
          <w:lang w:val="es-ES_tradnl"/>
        </w:rPr>
        <w:t xml:space="preserve"> </w:t>
      </w:r>
      <w:r w:rsidR="00023FC9" w:rsidRPr="00493521">
        <w:rPr>
          <w:rFonts w:ascii="Arial" w:eastAsia="Calibri" w:hAnsi="Arial" w:cs="Arial"/>
          <w:color w:val="000000" w:themeColor="text1"/>
          <w:sz w:val="22"/>
          <w:lang w:val="es-ES_tradnl"/>
        </w:rPr>
        <w:t xml:space="preserve">la entidad estatal </w:t>
      </w:r>
      <w:r w:rsidR="005C1D8B" w:rsidRPr="00493521">
        <w:rPr>
          <w:rFonts w:ascii="Arial" w:eastAsia="Calibri" w:hAnsi="Arial" w:cs="Arial"/>
          <w:color w:val="000000" w:themeColor="text1"/>
          <w:sz w:val="22"/>
          <w:lang w:val="es-ES_tradnl"/>
        </w:rPr>
        <w:t xml:space="preserve">tampoco </w:t>
      </w:r>
      <w:r w:rsidR="00C033EC" w:rsidRPr="00493521">
        <w:rPr>
          <w:rFonts w:ascii="Arial" w:eastAsia="Calibri" w:hAnsi="Arial" w:cs="Arial"/>
          <w:color w:val="000000" w:themeColor="text1"/>
          <w:sz w:val="22"/>
          <w:lang w:val="es-ES_tradnl"/>
        </w:rPr>
        <w:t xml:space="preserve">debe intentar un acuerdo con el oferente </w:t>
      </w:r>
      <w:r w:rsidR="00FF25D7" w:rsidRPr="00493521">
        <w:rPr>
          <w:rFonts w:ascii="Arial" w:eastAsia="Calibri" w:hAnsi="Arial" w:cs="Arial"/>
          <w:color w:val="000000" w:themeColor="text1"/>
          <w:sz w:val="22"/>
          <w:lang w:val="es-ES_tradnl"/>
        </w:rPr>
        <w:t>calificado en el segundo orden de elegibilidad</w:t>
      </w:r>
      <w:r w:rsidR="00D9502A" w:rsidRPr="00493521">
        <w:rPr>
          <w:rFonts w:ascii="Arial" w:eastAsia="Calibri" w:hAnsi="Arial" w:cs="Arial"/>
          <w:color w:val="000000" w:themeColor="text1"/>
          <w:sz w:val="22"/>
          <w:lang w:val="es-ES_tradnl"/>
        </w:rPr>
        <w:t>,</w:t>
      </w:r>
      <w:r w:rsidR="00FF25D7" w:rsidRPr="00493521">
        <w:rPr>
          <w:rFonts w:ascii="Arial" w:eastAsia="Calibri" w:hAnsi="Arial" w:cs="Arial"/>
          <w:color w:val="000000" w:themeColor="text1"/>
          <w:sz w:val="22"/>
          <w:lang w:val="es-ES_tradnl"/>
        </w:rPr>
        <w:t xml:space="preserve"> ni puede ampararse en el carácter fallido de dicho acuerdo para declarar desierto el proceso de selección</w:t>
      </w:r>
      <w:r w:rsidR="00FD1A96">
        <w:rPr>
          <w:rFonts w:ascii="Arial" w:eastAsia="Calibri" w:hAnsi="Arial" w:cs="Arial"/>
          <w:color w:val="000000" w:themeColor="text1"/>
          <w:sz w:val="22"/>
          <w:lang w:val="es-ES_tradnl"/>
        </w:rPr>
        <w:t>, en armonía con lo</w:t>
      </w:r>
      <w:r w:rsidR="00D231DD">
        <w:rPr>
          <w:rFonts w:ascii="Arial" w:eastAsia="Calibri" w:hAnsi="Arial" w:cs="Arial"/>
          <w:color w:val="000000" w:themeColor="text1"/>
          <w:sz w:val="22"/>
          <w:lang w:val="es-ES_tradnl"/>
        </w:rPr>
        <w:t xml:space="preserve"> decidido en los</w:t>
      </w:r>
      <w:r w:rsidR="00FD1A96">
        <w:rPr>
          <w:rFonts w:ascii="Arial" w:eastAsia="Calibri" w:hAnsi="Arial" w:cs="Arial"/>
          <w:color w:val="000000" w:themeColor="text1"/>
          <w:sz w:val="22"/>
          <w:lang w:val="es-ES_tradnl"/>
        </w:rPr>
        <w:t xml:space="preserve"> Autos del Consejo de Estado antes señalados</w:t>
      </w:r>
      <w:r w:rsidR="00FF25D7" w:rsidRPr="00493521">
        <w:rPr>
          <w:rFonts w:ascii="Arial" w:eastAsia="Calibri" w:hAnsi="Arial" w:cs="Arial"/>
          <w:color w:val="000000" w:themeColor="text1"/>
          <w:sz w:val="22"/>
          <w:lang w:val="es-ES_tradnl"/>
        </w:rPr>
        <w:t>.</w:t>
      </w:r>
    </w:p>
    <w:p w14:paraId="3C919BB3" w14:textId="4357DB00" w:rsidR="00BB15EE" w:rsidRPr="00493521" w:rsidRDefault="00EE365D" w:rsidP="00BB15EE">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Un aspecto igualmente importante</w:t>
      </w:r>
      <w:r w:rsidR="008F698E" w:rsidRPr="00493521">
        <w:rPr>
          <w:rFonts w:ascii="Arial" w:eastAsia="Calibri" w:hAnsi="Arial" w:cs="Arial"/>
          <w:color w:val="000000" w:themeColor="text1"/>
          <w:sz w:val="22"/>
          <w:lang w:val="es-ES_tradnl"/>
        </w:rPr>
        <w:t xml:space="preserve"> que introduce el Decreto 399 de 2021</w:t>
      </w:r>
      <w:r w:rsidR="000450D0" w:rsidRPr="00493521">
        <w:rPr>
          <w:rFonts w:ascii="Arial" w:eastAsia="Calibri" w:hAnsi="Arial" w:cs="Arial"/>
          <w:color w:val="000000" w:themeColor="text1"/>
          <w:sz w:val="22"/>
          <w:lang w:val="es-ES_tradnl"/>
        </w:rPr>
        <w:t xml:space="preserve"> y que incide sobre el trámite del concurso de méritos,</w:t>
      </w:r>
      <w:r w:rsidR="008F698E" w:rsidRPr="00493521">
        <w:rPr>
          <w:rFonts w:ascii="Arial" w:eastAsia="Calibri" w:hAnsi="Arial" w:cs="Arial"/>
          <w:color w:val="000000" w:themeColor="text1"/>
          <w:sz w:val="22"/>
          <w:lang w:val="es-ES_tradnl"/>
        </w:rPr>
        <w:t xml:space="preserve"> tiene que ver con</w:t>
      </w:r>
      <w:r w:rsidR="007C1CFF" w:rsidRPr="00493521">
        <w:rPr>
          <w:rFonts w:ascii="Arial" w:eastAsia="Calibri" w:hAnsi="Arial" w:cs="Arial"/>
          <w:color w:val="000000" w:themeColor="text1"/>
          <w:sz w:val="22"/>
          <w:lang w:val="es-ES_tradnl"/>
        </w:rPr>
        <w:t xml:space="preserve"> el contenido de los estudios y documentos previos que soportan el proceso de contratación.</w:t>
      </w:r>
      <w:r w:rsidR="00845523" w:rsidRPr="00493521">
        <w:rPr>
          <w:rFonts w:ascii="Arial" w:eastAsia="Calibri" w:hAnsi="Arial" w:cs="Arial"/>
          <w:color w:val="000000" w:themeColor="text1"/>
          <w:sz w:val="22"/>
          <w:lang w:val="es-ES_tradnl"/>
        </w:rPr>
        <w:t xml:space="preserve"> Recuérdese que </w:t>
      </w:r>
      <w:r w:rsidR="00845523" w:rsidRPr="00493521">
        <w:rPr>
          <w:rFonts w:ascii="Arial" w:eastAsia="Calibri" w:hAnsi="Arial" w:cs="Arial"/>
          <w:color w:val="000000" w:themeColor="text1"/>
          <w:sz w:val="22"/>
          <w:lang w:val="es-ES_tradnl"/>
        </w:rPr>
        <w:lastRenderedPageBreak/>
        <w:t xml:space="preserve">el numeral 4 del artículo 2.2.1.1.2.1.1. del Decreto 1082 de 2015 establecía que </w:t>
      </w:r>
      <w:r w:rsidR="000B5EE5" w:rsidRPr="00493521">
        <w:rPr>
          <w:rFonts w:ascii="Arial" w:eastAsia="Calibri" w:hAnsi="Arial" w:cs="Arial"/>
          <w:color w:val="000000" w:themeColor="text1"/>
          <w:sz w:val="22"/>
          <w:lang w:val="es-ES_tradnl"/>
        </w:rPr>
        <w:t xml:space="preserve">la entidad estatal no debía </w:t>
      </w:r>
      <w:r w:rsidR="006572DA" w:rsidRPr="00493521">
        <w:rPr>
          <w:rFonts w:ascii="Arial" w:eastAsia="Calibri" w:hAnsi="Arial" w:cs="Arial"/>
          <w:color w:val="000000" w:themeColor="text1"/>
          <w:sz w:val="22"/>
          <w:lang w:val="es-ES_tradnl"/>
        </w:rPr>
        <w:t>«[…] publicar las variables utilizadas para calcular el valor estimado del contrato cuando la modalidad de selección del contratista sea en concurso de méritos».</w:t>
      </w:r>
      <w:r w:rsidR="00E45F35" w:rsidRPr="00493521">
        <w:rPr>
          <w:rFonts w:ascii="Arial" w:eastAsia="Calibri" w:hAnsi="Arial" w:cs="Arial"/>
          <w:color w:val="000000" w:themeColor="text1"/>
          <w:sz w:val="22"/>
          <w:lang w:val="es-ES_tradnl"/>
        </w:rPr>
        <w:t xml:space="preserve"> Pues bien, </w:t>
      </w:r>
      <w:r w:rsidR="009F60AF" w:rsidRPr="00493521">
        <w:rPr>
          <w:rFonts w:ascii="Arial" w:eastAsia="Calibri" w:hAnsi="Arial" w:cs="Arial"/>
          <w:color w:val="000000" w:themeColor="text1"/>
          <w:sz w:val="22"/>
          <w:lang w:val="es-ES_tradnl"/>
        </w:rPr>
        <w:t xml:space="preserve">el artículo </w:t>
      </w:r>
      <w:r w:rsidR="00E72791" w:rsidRPr="00493521">
        <w:rPr>
          <w:rFonts w:ascii="Arial" w:eastAsia="Calibri" w:hAnsi="Arial" w:cs="Arial"/>
          <w:color w:val="000000" w:themeColor="text1"/>
          <w:sz w:val="22"/>
          <w:lang w:val="es-ES_tradnl"/>
        </w:rPr>
        <w:t>1 del Decreto 399 de 2021 elimina esta prohibición, para garantizar que los interesados conozcan la información relacionada con el valor estimado del contrato en los concursos de méritos y</w:t>
      </w:r>
      <w:r w:rsidR="005B6F69" w:rsidRPr="00493521">
        <w:rPr>
          <w:rFonts w:ascii="Arial" w:eastAsia="Calibri" w:hAnsi="Arial" w:cs="Arial"/>
          <w:color w:val="000000" w:themeColor="text1"/>
          <w:sz w:val="22"/>
          <w:lang w:val="es-ES_tradnl"/>
        </w:rPr>
        <w:t xml:space="preserve"> potenciar la garantía </w:t>
      </w:r>
      <w:r w:rsidR="000C0933" w:rsidRPr="00493521">
        <w:rPr>
          <w:rFonts w:ascii="Arial" w:eastAsia="Calibri" w:hAnsi="Arial" w:cs="Arial"/>
          <w:color w:val="000000" w:themeColor="text1"/>
          <w:sz w:val="22"/>
          <w:lang w:val="es-ES_tradnl"/>
        </w:rPr>
        <w:t>de los</w:t>
      </w:r>
      <w:r w:rsidR="005B6F69" w:rsidRPr="00493521">
        <w:rPr>
          <w:rFonts w:ascii="Arial" w:eastAsia="Calibri" w:hAnsi="Arial" w:cs="Arial"/>
          <w:color w:val="000000" w:themeColor="text1"/>
          <w:sz w:val="22"/>
          <w:lang w:val="es-ES_tradnl"/>
        </w:rPr>
        <w:t xml:space="preserve"> principio</w:t>
      </w:r>
      <w:r w:rsidR="000C0933" w:rsidRPr="00493521">
        <w:rPr>
          <w:rFonts w:ascii="Arial" w:eastAsia="Calibri" w:hAnsi="Arial" w:cs="Arial"/>
          <w:color w:val="000000" w:themeColor="text1"/>
          <w:sz w:val="22"/>
          <w:lang w:val="es-ES_tradnl"/>
        </w:rPr>
        <w:t>s</w:t>
      </w:r>
      <w:r w:rsidR="005B6F69" w:rsidRPr="00493521">
        <w:rPr>
          <w:rFonts w:ascii="Arial" w:eastAsia="Calibri" w:hAnsi="Arial" w:cs="Arial"/>
          <w:color w:val="000000" w:themeColor="text1"/>
          <w:sz w:val="22"/>
          <w:lang w:val="es-ES_tradnl"/>
        </w:rPr>
        <w:t xml:space="preserve"> de </w:t>
      </w:r>
      <w:r w:rsidR="000C0933" w:rsidRPr="00493521">
        <w:rPr>
          <w:rFonts w:ascii="Arial" w:eastAsia="Calibri" w:hAnsi="Arial" w:cs="Arial"/>
          <w:color w:val="000000" w:themeColor="text1"/>
          <w:sz w:val="22"/>
          <w:lang w:val="es-ES_tradnl"/>
        </w:rPr>
        <w:t xml:space="preserve">publicidad y </w:t>
      </w:r>
      <w:r w:rsidR="005B6F69" w:rsidRPr="00493521">
        <w:rPr>
          <w:rFonts w:ascii="Arial" w:eastAsia="Calibri" w:hAnsi="Arial" w:cs="Arial"/>
          <w:color w:val="000000" w:themeColor="text1"/>
          <w:sz w:val="22"/>
          <w:lang w:val="es-ES_tradnl"/>
        </w:rPr>
        <w:t xml:space="preserve">transparencia. En efecto, así lo justifica el gobierno nacional en las consideraciones </w:t>
      </w:r>
      <w:r w:rsidR="00BB15EE" w:rsidRPr="00493521">
        <w:rPr>
          <w:rFonts w:ascii="Arial" w:eastAsia="Calibri" w:hAnsi="Arial" w:cs="Arial"/>
          <w:color w:val="000000" w:themeColor="text1"/>
          <w:sz w:val="22"/>
          <w:lang w:val="es-ES_tradnl"/>
        </w:rPr>
        <w:t xml:space="preserve">de dicho Decreto: </w:t>
      </w:r>
    </w:p>
    <w:p w14:paraId="41ABA02D" w14:textId="77777777" w:rsidR="00BB15EE" w:rsidRPr="00493521" w:rsidRDefault="00BB15EE" w:rsidP="00BB15EE">
      <w:pPr>
        <w:shd w:val="clear" w:color="auto" w:fill="FFFFFF"/>
        <w:ind w:left="709" w:right="709"/>
        <w:jc w:val="both"/>
        <w:rPr>
          <w:rFonts w:ascii="Arial" w:hAnsi="Arial" w:cs="Arial"/>
          <w:color w:val="000000" w:themeColor="text1"/>
          <w:sz w:val="21"/>
          <w:szCs w:val="21"/>
          <w:lang w:val="es-ES_tradnl"/>
        </w:rPr>
      </w:pPr>
    </w:p>
    <w:p w14:paraId="288C55CB" w14:textId="44851CB8" w:rsidR="00BB15EE" w:rsidRPr="00493521" w:rsidRDefault="00BB15EE" w:rsidP="00BB15EE">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2AC41C06" w14:textId="77777777" w:rsidR="00BB15EE" w:rsidRPr="00493521" w:rsidRDefault="00BB15EE" w:rsidP="00BB15EE">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61BCEA8C" w14:textId="15A47CB1" w:rsidR="00DB244B" w:rsidRPr="00493521" w:rsidRDefault="00BB15EE" w:rsidP="00691A1A">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000B5EE5" w:rsidRPr="00493521">
        <w:rPr>
          <w:rFonts w:ascii="Arial" w:eastAsia="Calibri" w:hAnsi="Arial" w:cs="Arial"/>
          <w:color w:val="000000" w:themeColor="text1"/>
          <w:sz w:val="22"/>
          <w:lang w:val="es-ES_tradnl"/>
        </w:rPr>
        <w:t xml:space="preserve"> </w:t>
      </w:r>
      <w:r w:rsidR="008F698E" w:rsidRPr="00493521">
        <w:rPr>
          <w:rFonts w:ascii="Arial" w:eastAsia="Calibri" w:hAnsi="Arial" w:cs="Arial"/>
          <w:color w:val="000000" w:themeColor="text1"/>
          <w:sz w:val="22"/>
          <w:lang w:val="es-ES_tradnl"/>
        </w:rPr>
        <w:t xml:space="preserve"> </w:t>
      </w:r>
    </w:p>
    <w:p w14:paraId="3E356215" w14:textId="77777777" w:rsidR="00691A1A" w:rsidRPr="00493521" w:rsidRDefault="00691A1A" w:rsidP="00691A1A">
      <w:pPr>
        <w:spacing w:line="276" w:lineRule="auto"/>
        <w:ind w:firstLine="709"/>
        <w:jc w:val="both"/>
        <w:rPr>
          <w:rFonts w:ascii="Arial" w:eastAsia="Calibri" w:hAnsi="Arial" w:cs="Arial"/>
          <w:color w:val="000000" w:themeColor="text1"/>
          <w:sz w:val="22"/>
          <w:lang w:val="es-ES_tradnl"/>
        </w:rPr>
      </w:pPr>
    </w:p>
    <w:p w14:paraId="501431F0" w14:textId="280ECD05" w:rsidR="00CE24D3" w:rsidRPr="00493521" w:rsidRDefault="002041DD" w:rsidP="00DA1863">
      <w:pPr>
        <w:spacing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Por lo tanto, a partir de la entrada en vigencia del Decreto 399 de 2021</w:t>
      </w:r>
      <w:r w:rsidR="00DE2C0C" w:rsidRPr="00493521">
        <w:rPr>
          <w:rFonts w:ascii="Arial" w:eastAsia="Calibri" w:hAnsi="Arial" w:cs="Arial"/>
          <w:color w:val="000000" w:themeColor="text1"/>
          <w:sz w:val="22"/>
          <w:lang w:val="es-ES_tradnl"/>
        </w:rPr>
        <w:t>, las entidades estatales deben incluir en los estudios previos</w:t>
      </w:r>
      <w:r w:rsidR="008D3BF8" w:rsidRPr="00493521">
        <w:rPr>
          <w:rFonts w:ascii="Arial" w:eastAsia="Calibri" w:hAnsi="Arial" w:cs="Arial"/>
          <w:color w:val="000000" w:themeColor="text1"/>
          <w:sz w:val="22"/>
          <w:lang w:val="es-ES_tradnl"/>
        </w:rPr>
        <w:t xml:space="preserve"> del concurso de méritos </w:t>
      </w:r>
      <w:r w:rsidR="00F00EDC" w:rsidRPr="00493521">
        <w:rPr>
          <w:rFonts w:ascii="Arial" w:eastAsia="Calibri" w:hAnsi="Arial" w:cs="Arial"/>
          <w:color w:val="000000" w:themeColor="text1"/>
          <w:sz w:val="22"/>
          <w:lang w:val="es-ES_tradnl"/>
        </w:rPr>
        <w:t xml:space="preserve">la información correspondiente </w:t>
      </w:r>
      <w:r w:rsidR="00F23069" w:rsidRPr="00493521">
        <w:rPr>
          <w:rFonts w:ascii="Arial" w:eastAsia="Calibri" w:hAnsi="Arial" w:cs="Arial"/>
          <w:color w:val="000000" w:themeColor="text1"/>
          <w:sz w:val="22"/>
          <w:lang w:val="es-ES_tradnl"/>
        </w:rPr>
        <w:t>a las variables empleadas para calcular el valor estimado del contrato</w:t>
      </w:r>
      <w:r w:rsidR="00A53EAB" w:rsidRPr="00493521">
        <w:rPr>
          <w:rFonts w:ascii="Arial" w:eastAsia="Calibri" w:hAnsi="Arial" w:cs="Arial"/>
          <w:color w:val="000000" w:themeColor="text1"/>
          <w:sz w:val="22"/>
          <w:lang w:val="es-ES_tradnl"/>
        </w:rPr>
        <w:t>, determinando así el presupuesto oficial</w:t>
      </w:r>
      <w:r w:rsidR="00FF0EC4" w:rsidRPr="00493521">
        <w:rPr>
          <w:rFonts w:ascii="Arial" w:eastAsia="Calibri" w:hAnsi="Arial" w:cs="Arial"/>
          <w:color w:val="000000" w:themeColor="text1"/>
          <w:sz w:val="22"/>
          <w:lang w:val="es-ES_tradnl"/>
        </w:rPr>
        <w:t>.</w:t>
      </w:r>
      <w:r w:rsidR="00E34376" w:rsidRPr="00493521">
        <w:rPr>
          <w:rFonts w:ascii="Arial" w:eastAsia="Calibri" w:hAnsi="Arial" w:cs="Arial"/>
          <w:color w:val="000000" w:themeColor="text1"/>
          <w:sz w:val="22"/>
          <w:lang w:val="es-ES_tradnl"/>
        </w:rPr>
        <w:t xml:space="preserve"> </w:t>
      </w:r>
      <w:r w:rsidR="00FF0EC4" w:rsidRPr="00493521">
        <w:rPr>
          <w:rFonts w:ascii="Arial" w:eastAsia="Calibri" w:hAnsi="Arial" w:cs="Arial"/>
          <w:color w:val="000000" w:themeColor="text1"/>
          <w:sz w:val="22"/>
          <w:lang w:val="es-ES_tradnl"/>
        </w:rPr>
        <w:t xml:space="preserve">Además, </w:t>
      </w:r>
      <w:r w:rsidR="00E34376" w:rsidRPr="00493521">
        <w:rPr>
          <w:rFonts w:ascii="Arial" w:eastAsia="Calibri" w:hAnsi="Arial" w:cs="Arial"/>
          <w:color w:val="000000" w:themeColor="text1"/>
          <w:sz w:val="22"/>
          <w:lang w:val="es-ES_tradnl"/>
        </w:rPr>
        <w:t>los interesados pueden formular observaciones al proyecto de pliego de condiciones sobre este tema.</w:t>
      </w:r>
      <w:r w:rsidR="00E70412" w:rsidRPr="00493521">
        <w:rPr>
          <w:rFonts w:ascii="Arial" w:eastAsia="Calibri" w:hAnsi="Arial" w:cs="Arial"/>
          <w:color w:val="000000" w:themeColor="text1"/>
          <w:sz w:val="22"/>
          <w:lang w:val="es-ES_tradnl"/>
        </w:rPr>
        <w:t xml:space="preserve"> </w:t>
      </w:r>
      <w:r w:rsidR="00E34376" w:rsidRPr="00493521">
        <w:rPr>
          <w:rFonts w:ascii="Arial" w:eastAsia="Calibri" w:hAnsi="Arial" w:cs="Arial"/>
          <w:color w:val="000000" w:themeColor="text1"/>
          <w:sz w:val="22"/>
          <w:lang w:val="es-ES_tradnl"/>
        </w:rPr>
        <w:t xml:space="preserve">Adicionalmente, </w:t>
      </w:r>
      <w:r w:rsidR="00C518CF" w:rsidRPr="00493521">
        <w:rPr>
          <w:rFonts w:ascii="Arial" w:eastAsia="Calibri" w:hAnsi="Arial" w:cs="Arial"/>
          <w:color w:val="000000" w:themeColor="text1"/>
          <w:sz w:val="22"/>
          <w:lang w:val="es-ES_tradnl"/>
        </w:rPr>
        <w:t xml:space="preserve">en el pliego de condiciones deben establecerse con claridad los requisitos habilitantes y criterios de </w:t>
      </w:r>
      <w:r w:rsidR="00BF0F20" w:rsidRPr="00493521">
        <w:rPr>
          <w:rFonts w:ascii="Arial" w:eastAsia="Calibri" w:hAnsi="Arial" w:cs="Arial"/>
          <w:color w:val="000000" w:themeColor="text1"/>
          <w:sz w:val="22"/>
          <w:lang w:val="es-ES_tradnl"/>
        </w:rPr>
        <w:t>calificación</w:t>
      </w:r>
      <w:r w:rsidR="00067AA8" w:rsidRPr="00493521">
        <w:rPr>
          <w:rFonts w:ascii="Arial" w:eastAsia="Calibri" w:hAnsi="Arial" w:cs="Arial"/>
          <w:color w:val="000000" w:themeColor="text1"/>
          <w:sz w:val="22"/>
          <w:lang w:val="es-ES_tradnl"/>
        </w:rPr>
        <w:t xml:space="preserve"> con fundament</w:t>
      </w:r>
      <w:r w:rsidR="00BF0F20" w:rsidRPr="00493521">
        <w:rPr>
          <w:rFonts w:ascii="Arial" w:eastAsia="Calibri" w:hAnsi="Arial" w:cs="Arial"/>
          <w:color w:val="000000" w:themeColor="text1"/>
          <w:sz w:val="22"/>
          <w:lang w:val="es-ES_tradnl"/>
        </w:rPr>
        <w:t>o en los cuales la entidad estatal elaborará el informe de evaluación respectivo.</w:t>
      </w:r>
      <w:r w:rsidR="00275CBF" w:rsidRPr="00493521">
        <w:rPr>
          <w:rFonts w:ascii="Arial" w:eastAsia="Calibri" w:hAnsi="Arial" w:cs="Arial"/>
          <w:color w:val="000000" w:themeColor="text1"/>
          <w:sz w:val="22"/>
          <w:lang w:val="es-ES_tradnl"/>
        </w:rPr>
        <w:t xml:space="preserve"> Al respecto</w:t>
      </w:r>
      <w:r w:rsidR="00D753E7" w:rsidRPr="00493521">
        <w:rPr>
          <w:rFonts w:ascii="Arial" w:eastAsia="Calibri" w:hAnsi="Arial" w:cs="Arial"/>
          <w:color w:val="000000" w:themeColor="text1"/>
          <w:sz w:val="22"/>
          <w:lang w:val="es-ES_tradnl"/>
        </w:rPr>
        <w:t xml:space="preserve">, </w:t>
      </w:r>
      <w:r w:rsidR="00780D19" w:rsidRPr="00493521">
        <w:rPr>
          <w:rFonts w:ascii="Arial" w:eastAsia="Calibri" w:hAnsi="Arial" w:cs="Arial"/>
          <w:color w:val="000000" w:themeColor="text1"/>
          <w:sz w:val="22"/>
          <w:lang w:val="es-ES_tradnl"/>
        </w:rPr>
        <w:t>se aclara que</w:t>
      </w:r>
      <w:r w:rsidR="00D753E7" w:rsidRPr="00493521">
        <w:rPr>
          <w:rFonts w:ascii="Arial" w:eastAsia="Calibri" w:hAnsi="Arial" w:cs="Arial"/>
          <w:color w:val="000000" w:themeColor="text1"/>
          <w:sz w:val="22"/>
          <w:lang w:val="es-ES_tradnl"/>
        </w:rPr>
        <w:t xml:space="preserve"> </w:t>
      </w:r>
      <w:r w:rsidR="00275CBF" w:rsidRPr="00493521">
        <w:rPr>
          <w:rFonts w:ascii="Arial" w:eastAsia="Calibri" w:hAnsi="Arial" w:cs="Arial"/>
          <w:color w:val="000000" w:themeColor="text1"/>
          <w:sz w:val="22"/>
          <w:lang w:val="es-ES_tradnl"/>
        </w:rPr>
        <w:t>el</w:t>
      </w:r>
      <w:r w:rsidR="00780D19" w:rsidRPr="00493521">
        <w:rPr>
          <w:rFonts w:ascii="Arial" w:eastAsia="Calibri" w:hAnsi="Arial" w:cs="Arial"/>
          <w:color w:val="000000" w:themeColor="text1"/>
          <w:sz w:val="22"/>
          <w:lang w:val="es-ES_tradnl"/>
        </w:rPr>
        <w:t xml:space="preserve"> Decreto 399 de 2021 en ningún caso</w:t>
      </w:r>
      <w:r w:rsidR="002530A0" w:rsidRPr="00493521">
        <w:rPr>
          <w:rFonts w:ascii="Arial" w:eastAsia="Calibri" w:hAnsi="Arial" w:cs="Arial"/>
          <w:color w:val="000000" w:themeColor="text1"/>
          <w:sz w:val="22"/>
          <w:lang w:val="es-ES_tradnl"/>
        </w:rPr>
        <w:t xml:space="preserve"> contradice lo establecido en el</w:t>
      </w:r>
      <w:r w:rsidR="00275CBF" w:rsidRPr="00493521">
        <w:rPr>
          <w:rFonts w:ascii="Arial" w:eastAsia="Calibri" w:hAnsi="Arial" w:cs="Arial"/>
          <w:color w:val="000000" w:themeColor="text1"/>
          <w:sz w:val="22"/>
          <w:lang w:val="es-ES_tradnl"/>
        </w:rPr>
        <w:t xml:space="preserve"> artículo 5, numeral 4</w:t>
      </w:r>
      <w:r w:rsidR="002530A0" w:rsidRPr="00493521">
        <w:rPr>
          <w:rFonts w:ascii="Arial" w:eastAsia="Calibri" w:hAnsi="Arial" w:cs="Arial"/>
          <w:color w:val="000000" w:themeColor="text1"/>
          <w:sz w:val="22"/>
          <w:lang w:val="es-ES_tradnl"/>
        </w:rPr>
        <w:t>, de la Ley 1150 de 2007</w:t>
      </w:r>
      <w:r w:rsidR="00FF0EC4" w:rsidRPr="00493521">
        <w:rPr>
          <w:rFonts w:ascii="Arial" w:eastAsia="Calibri" w:hAnsi="Arial" w:cs="Arial"/>
          <w:color w:val="000000" w:themeColor="text1"/>
          <w:sz w:val="22"/>
          <w:lang w:val="es-ES_tradnl"/>
        </w:rPr>
        <w:t>;</w:t>
      </w:r>
      <w:r w:rsidR="002530A0" w:rsidRPr="00493521">
        <w:rPr>
          <w:rFonts w:ascii="Arial" w:eastAsia="Calibri" w:hAnsi="Arial" w:cs="Arial"/>
          <w:color w:val="000000" w:themeColor="text1"/>
          <w:sz w:val="22"/>
          <w:lang w:val="es-ES_tradnl"/>
        </w:rPr>
        <w:t xml:space="preserve"> </w:t>
      </w:r>
      <w:r w:rsidR="001935FF" w:rsidRPr="00493521">
        <w:rPr>
          <w:rFonts w:ascii="Arial" w:eastAsia="Calibri" w:hAnsi="Arial" w:cs="Arial"/>
          <w:color w:val="000000" w:themeColor="text1"/>
          <w:sz w:val="22"/>
          <w:lang w:val="es-ES_tradnl"/>
        </w:rPr>
        <w:t xml:space="preserve">norma que dispone que «En los procesos para la selección de consultores se hará uso de factores de calificación destinados a valorar los aspectos técnicos de la oferta o proyecto […]» y que </w:t>
      </w:r>
      <w:r w:rsidR="00DA1863" w:rsidRPr="00493521">
        <w:rPr>
          <w:rFonts w:ascii="Arial" w:eastAsia="Calibri" w:hAnsi="Arial" w:cs="Arial"/>
          <w:color w:val="000000" w:themeColor="text1"/>
          <w:sz w:val="22"/>
          <w:lang w:val="es-ES_tradnl"/>
        </w:rPr>
        <w:t>«En ningún caso se podrá incluir el precio, como factor de escogencia para la selección de consultores».</w:t>
      </w:r>
      <w:r w:rsidR="00976256" w:rsidRPr="00493521">
        <w:rPr>
          <w:rFonts w:ascii="Arial" w:eastAsia="Calibri" w:hAnsi="Arial" w:cs="Arial"/>
          <w:color w:val="000000" w:themeColor="text1"/>
          <w:sz w:val="22"/>
          <w:lang w:val="es-ES_tradnl"/>
        </w:rPr>
        <w:t xml:space="preserve"> El hecho de que desaparezca la etapa en la cual la entidad estatal </w:t>
      </w:r>
      <w:r w:rsidR="0048757F" w:rsidRPr="00493521">
        <w:rPr>
          <w:rFonts w:ascii="Arial" w:eastAsia="Calibri" w:hAnsi="Arial" w:cs="Arial"/>
          <w:color w:val="000000" w:themeColor="text1"/>
          <w:sz w:val="22"/>
          <w:lang w:val="es-ES_tradnl"/>
        </w:rPr>
        <w:t>debía intentar</w:t>
      </w:r>
      <w:r w:rsidR="00976256" w:rsidRPr="00493521">
        <w:rPr>
          <w:rFonts w:ascii="Arial" w:eastAsia="Calibri" w:hAnsi="Arial" w:cs="Arial"/>
          <w:color w:val="000000" w:themeColor="text1"/>
          <w:sz w:val="22"/>
          <w:lang w:val="es-ES_tradnl"/>
        </w:rPr>
        <w:t xml:space="preserve"> un acuerdo sobre el</w:t>
      </w:r>
      <w:r w:rsidR="0048757F" w:rsidRPr="00493521">
        <w:rPr>
          <w:rFonts w:ascii="Arial" w:eastAsia="Calibri" w:hAnsi="Arial" w:cs="Arial"/>
          <w:color w:val="000000" w:themeColor="text1"/>
          <w:sz w:val="22"/>
          <w:lang w:val="es-ES_tradnl"/>
        </w:rPr>
        <w:t xml:space="preserve"> alcance y el valor del contrato</w:t>
      </w:r>
      <w:r w:rsidR="00976256" w:rsidRPr="00493521">
        <w:rPr>
          <w:rFonts w:ascii="Arial" w:eastAsia="Calibri" w:hAnsi="Arial" w:cs="Arial"/>
          <w:color w:val="000000" w:themeColor="text1"/>
          <w:sz w:val="22"/>
          <w:lang w:val="es-ES_tradnl"/>
        </w:rPr>
        <w:t xml:space="preserve"> con el oferente calificado en el primer orden de elegibilidad</w:t>
      </w:r>
      <w:r w:rsidR="0048757F" w:rsidRPr="00493521">
        <w:rPr>
          <w:rFonts w:ascii="Arial" w:eastAsia="Calibri" w:hAnsi="Arial" w:cs="Arial"/>
          <w:color w:val="000000" w:themeColor="text1"/>
          <w:sz w:val="22"/>
          <w:lang w:val="es-ES_tradnl"/>
        </w:rPr>
        <w:t xml:space="preserve"> no significa que </w:t>
      </w:r>
      <w:r w:rsidR="00E70412" w:rsidRPr="00493521">
        <w:rPr>
          <w:rFonts w:ascii="Arial" w:eastAsia="Calibri" w:hAnsi="Arial" w:cs="Arial"/>
          <w:color w:val="000000" w:themeColor="text1"/>
          <w:sz w:val="22"/>
          <w:lang w:val="es-ES_tradnl"/>
        </w:rPr>
        <w:t xml:space="preserve">se esté introduciendo el precio como factor de escogencia. Lo que se deduce del artículo 2 del Decreto 399 de 2021 es que </w:t>
      </w:r>
      <w:r w:rsidR="00B5644C" w:rsidRPr="00493521">
        <w:rPr>
          <w:rFonts w:ascii="Arial" w:eastAsia="Calibri" w:hAnsi="Arial" w:cs="Arial"/>
          <w:color w:val="000000" w:themeColor="text1"/>
          <w:sz w:val="22"/>
          <w:lang w:val="es-ES_tradnl"/>
        </w:rPr>
        <w:t>en el pliego de condiciones debe quedar claramente establecido el presupuesto oficial</w:t>
      </w:r>
      <w:r w:rsidR="002C15BF" w:rsidRPr="00493521">
        <w:rPr>
          <w:rFonts w:ascii="Arial" w:eastAsia="Calibri" w:hAnsi="Arial" w:cs="Arial"/>
          <w:color w:val="000000" w:themeColor="text1"/>
          <w:sz w:val="22"/>
          <w:lang w:val="es-ES_tradnl"/>
        </w:rPr>
        <w:t>, así como la prohibición de superar</w:t>
      </w:r>
      <w:r w:rsidR="000E40E4" w:rsidRPr="00493521">
        <w:rPr>
          <w:rFonts w:ascii="Arial" w:eastAsia="Calibri" w:hAnsi="Arial" w:cs="Arial"/>
          <w:color w:val="000000" w:themeColor="text1"/>
          <w:sz w:val="22"/>
          <w:lang w:val="es-ES_tradnl"/>
        </w:rPr>
        <w:t xml:space="preserve">lo </w:t>
      </w:r>
      <w:r w:rsidR="002C15BF" w:rsidRPr="00493521">
        <w:rPr>
          <w:rFonts w:ascii="Arial" w:eastAsia="Calibri" w:hAnsi="Arial" w:cs="Arial"/>
          <w:color w:val="000000" w:themeColor="text1"/>
          <w:sz w:val="22"/>
          <w:lang w:val="es-ES_tradnl"/>
        </w:rPr>
        <w:t>como requisito habilitante dentro del concurso de méritos. En consecuencia, cuando</w:t>
      </w:r>
      <w:r w:rsidR="004F33FA" w:rsidRPr="00493521">
        <w:rPr>
          <w:rFonts w:ascii="Arial" w:eastAsia="Calibri" w:hAnsi="Arial" w:cs="Arial"/>
          <w:color w:val="000000" w:themeColor="text1"/>
          <w:sz w:val="22"/>
          <w:lang w:val="es-ES_tradnl"/>
        </w:rPr>
        <w:t xml:space="preserve"> el valor de la oferta exceda </w:t>
      </w:r>
      <w:r w:rsidR="00344A9D" w:rsidRPr="00493521">
        <w:rPr>
          <w:rFonts w:ascii="Arial" w:eastAsia="Calibri" w:hAnsi="Arial" w:cs="Arial"/>
          <w:color w:val="000000" w:themeColor="text1"/>
          <w:sz w:val="22"/>
          <w:lang w:val="es-ES_tradnl"/>
        </w:rPr>
        <w:t>dicho presupuesto oficial</w:t>
      </w:r>
      <w:r w:rsidR="000D1546" w:rsidRPr="00493521">
        <w:rPr>
          <w:rFonts w:ascii="Arial" w:eastAsia="Calibri" w:hAnsi="Arial" w:cs="Arial"/>
          <w:color w:val="000000" w:themeColor="text1"/>
          <w:sz w:val="22"/>
          <w:lang w:val="es-ES_tradnl"/>
        </w:rPr>
        <w:t xml:space="preserve"> y </w:t>
      </w:r>
      <w:r w:rsidR="007E1AE5" w:rsidRPr="00493521">
        <w:rPr>
          <w:rFonts w:ascii="Arial" w:eastAsia="Calibri" w:hAnsi="Arial" w:cs="Arial"/>
          <w:color w:val="000000" w:themeColor="text1"/>
          <w:sz w:val="22"/>
          <w:lang w:val="es-ES_tradnl"/>
        </w:rPr>
        <w:t>tal</w:t>
      </w:r>
      <w:r w:rsidR="000D1546" w:rsidRPr="00493521">
        <w:rPr>
          <w:rFonts w:ascii="Arial" w:eastAsia="Calibri" w:hAnsi="Arial" w:cs="Arial"/>
          <w:color w:val="000000" w:themeColor="text1"/>
          <w:sz w:val="22"/>
          <w:lang w:val="es-ES_tradnl"/>
        </w:rPr>
        <w:t xml:space="preserve"> </w:t>
      </w:r>
      <w:r w:rsidR="000D1546" w:rsidRPr="00493521">
        <w:rPr>
          <w:rFonts w:ascii="Arial" w:eastAsia="Calibri" w:hAnsi="Arial" w:cs="Arial"/>
          <w:color w:val="000000" w:themeColor="text1"/>
          <w:sz w:val="22"/>
          <w:lang w:val="es-ES_tradnl"/>
        </w:rPr>
        <w:lastRenderedPageBreak/>
        <w:t>inconsistencia no sea subsanada</w:t>
      </w:r>
      <w:r w:rsidR="004F33FA" w:rsidRPr="00493521">
        <w:rPr>
          <w:rFonts w:ascii="Arial" w:eastAsia="Calibri" w:hAnsi="Arial" w:cs="Arial"/>
          <w:color w:val="000000" w:themeColor="text1"/>
          <w:sz w:val="22"/>
          <w:lang w:val="es-ES_tradnl"/>
        </w:rPr>
        <w:t>, deberá procederse con el rechazo y esto debe quedar consignado en el informe de evaluación.</w:t>
      </w:r>
      <w:r w:rsidR="002C15BF" w:rsidRPr="00493521">
        <w:rPr>
          <w:rFonts w:ascii="Arial" w:eastAsia="Calibri" w:hAnsi="Arial" w:cs="Arial"/>
          <w:color w:val="000000" w:themeColor="text1"/>
          <w:sz w:val="22"/>
          <w:lang w:val="es-ES_tradnl"/>
        </w:rPr>
        <w:t xml:space="preserve"> </w:t>
      </w:r>
    </w:p>
    <w:p w14:paraId="3ACBD486" w14:textId="21EB7015" w:rsidR="00DA1863" w:rsidRPr="00493521" w:rsidRDefault="002820DA" w:rsidP="00CE24D3">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Dicho de otro modo, una vez verificado el cumplimiento de los requisitos habilitantes –entre los cuales está no superar el presupuesto oficial– y de ponderar</w:t>
      </w:r>
      <w:r w:rsidR="004068CD" w:rsidRPr="00493521">
        <w:rPr>
          <w:rFonts w:ascii="Arial" w:eastAsia="Calibri" w:hAnsi="Arial" w:cs="Arial"/>
          <w:color w:val="000000" w:themeColor="text1"/>
          <w:sz w:val="22"/>
          <w:lang w:val="es-ES_tradnl"/>
        </w:rPr>
        <w:t xml:space="preserve"> los factores de calificación, se deberá elaborar el informe de evaluación respectivo</w:t>
      </w:r>
      <w:r w:rsidR="00991361" w:rsidRPr="00493521">
        <w:rPr>
          <w:rFonts w:ascii="Arial" w:eastAsia="Calibri" w:hAnsi="Arial" w:cs="Arial"/>
          <w:color w:val="000000" w:themeColor="text1"/>
          <w:sz w:val="22"/>
          <w:lang w:val="es-ES_tradnl"/>
        </w:rPr>
        <w:t xml:space="preserve"> –el cual es susceptible de observaciones–</w:t>
      </w:r>
      <w:r w:rsidR="004068CD" w:rsidRPr="00493521">
        <w:rPr>
          <w:rFonts w:ascii="Arial" w:eastAsia="Calibri" w:hAnsi="Arial" w:cs="Arial"/>
          <w:color w:val="000000" w:themeColor="text1"/>
          <w:sz w:val="22"/>
          <w:lang w:val="es-ES_tradnl"/>
        </w:rPr>
        <w:t xml:space="preserve"> y </w:t>
      </w:r>
      <w:r w:rsidRPr="00493521">
        <w:rPr>
          <w:rFonts w:ascii="Arial" w:eastAsia="Calibri" w:hAnsi="Arial" w:cs="Arial"/>
          <w:color w:val="000000" w:themeColor="text1"/>
          <w:sz w:val="22"/>
          <w:lang w:val="es-ES_tradnl"/>
        </w:rPr>
        <w:t>solo se podrá adjudicar el contrato a quien ocupe el primer orden de elegibilidad según los criterios de calificación.</w:t>
      </w:r>
      <w:r w:rsidR="00F45756" w:rsidRPr="00493521">
        <w:rPr>
          <w:rFonts w:ascii="Arial" w:eastAsia="Calibri" w:hAnsi="Arial" w:cs="Arial"/>
          <w:color w:val="000000" w:themeColor="text1"/>
          <w:sz w:val="22"/>
          <w:lang w:val="es-ES_tradnl"/>
        </w:rPr>
        <w:t xml:space="preserve"> Esto significa que luego de </w:t>
      </w:r>
      <w:r w:rsidR="00CE24D3" w:rsidRPr="00493521">
        <w:rPr>
          <w:rFonts w:ascii="Arial" w:eastAsia="Calibri" w:hAnsi="Arial" w:cs="Arial"/>
          <w:color w:val="000000" w:themeColor="text1"/>
          <w:sz w:val="22"/>
          <w:lang w:val="es-ES_tradnl"/>
        </w:rPr>
        <w:t>resolver las observaciones al informe de</w:t>
      </w:r>
      <w:r w:rsidR="00F45756" w:rsidRPr="00493521">
        <w:rPr>
          <w:rFonts w:ascii="Arial" w:eastAsia="Calibri" w:hAnsi="Arial" w:cs="Arial"/>
          <w:color w:val="000000" w:themeColor="text1"/>
          <w:sz w:val="22"/>
          <w:lang w:val="es-ES_tradnl"/>
        </w:rPr>
        <w:t xml:space="preserve"> evaluación</w:t>
      </w:r>
      <w:r w:rsidR="00CE24D3" w:rsidRPr="00493521">
        <w:rPr>
          <w:rFonts w:ascii="Arial" w:eastAsia="Calibri" w:hAnsi="Arial" w:cs="Arial"/>
          <w:color w:val="000000" w:themeColor="text1"/>
          <w:sz w:val="22"/>
          <w:lang w:val="es-ES_tradnl"/>
        </w:rPr>
        <w:t xml:space="preserve"> y de quedar en firme est</w:t>
      </w:r>
      <w:r w:rsidR="00BD7522" w:rsidRPr="00493521">
        <w:rPr>
          <w:rFonts w:ascii="Arial" w:eastAsia="Calibri" w:hAnsi="Arial" w:cs="Arial"/>
          <w:color w:val="000000" w:themeColor="text1"/>
          <w:sz w:val="22"/>
          <w:lang w:val="es-ES_tradnl"/>
        </w:rPr>
        <w:t>e</w:t>
      </w:r>
      <w:r w:rsidR="00CE24D3" w:rsidRPr="00493521">
        <w:rPr>
          <w:rFonts w:ascii="Arial" w:eastAsia="Calibri" w:hAnsi="Arial" w:cs="Arial"/>
          <w:color w:val="000000" w:themeColor="text1"/>
          <w:sz w:val="22"/>
          <w:lang w:val="es-ES_tradnl"/>
        </w:rPr>
        <w:t>,</w:t>
      </w:r>
      <w:r w:rsidR="00F45756" w:rsidRPr="00493521">
        <w:rPr>
          <w:rFonts w:ascii="Arial" w:eastAsia="Calibri" w:hAnsi="Arial" w:cs="Arial"/>
          <w:color w:val="000000" w:themeColor="text1"/>
          <w:sz w:val="22"/>
          <w:lang w:val="es-ES_tradnl"/>
        </w:rPr>
        <w:t xml:space="preserve"> ya la entidad estatal no puede revisar</w:t>
      </w:r>
      <w:r w:rsidR="00FA4034" w:rsidRPr="00493521">
        <w:rPr>
          <w:rFonts w:ascii="Arial" w:eastAsia="Calibri" w:hAnsi="Arial" w:cs="Arial"/>
          <w:color w:val="000000" w:themeColor="text1"/>
          <w:sz w:val="22"/>
          <w:lang w:val="es-ES_tradnl"/>
        </w:rPr>
        <w:t xml:space="preserve"> la conformidad de la oferta económica con el presupuesto oficial –pues esto debió hacerlo antes de publicar el informe de evaluación–</w:t>
      </w:r>
      <w:r w:rsidR="00F45756" w:rsidRPr="00493521">
        <w:rPr>
          <w:rFonts w:ascii="Arial" w:eastAsia="Calibri" w:hAnsi="Arial" w:cs="Arial"/>
          <w:color w:val="000000" w:themeColor="text1"/>
          <w:sz w:val="22"/>
          <w:lang w:val="es-ES_tradnl"/>
        </w:rPr>
        <w:t xml:space="preserve">, ni </w:t>
      </w:r>
      <w:r w:rsidR="00FA4034" w:rsidRPr="00493521">
        <w:rPr>
          <w:rFonts w:ascii="Arial" w:eastAsia="Calibri" w:hAnsi="Arial" w:cs="Arial"/>
          <w:color w:val="000000" w:themeColor="text1"/>
          <w:sz w:val="22"/>
          <w:lang w:val="es-ES_tradnl"/>
        </w:rPr>
        <w:t>intentar un acuerdo sobre el precio</w:t>
      </w:r>
      <w:r w:rsidR="00501525" w:rsidRPr="00493521">
        <w:rPr>
          <w:rFonts w:ascii="Arial" w:eastAsia="Calibri" w:hAnsi="Arial" w:cs="Arial"/>
          <w:color w:val="000000" w:themeColor="text1"/>
          <w:sz w:val="22"/>
          <w:lang w:val="es-ES_tradnl"/>
        </w:rPr>
        <w:t xml:space="preserve">, como sí lo permitían los numerales </w:t>
      </w:r>
      <w:r w:rsidR="00D2374F" w:rsidRPr="00493521">
        <w:rPr>
          <w:rFonts w:ascii="Arial" w:eastAsia="Calibri" w:hAnsi="Arial" w:cs="Arial"/>
          <w:color w:val="000000" w:themeColor="text1"/>
          <w:sz w:val="22"/>
          <w:lang w:val="es-ES_tradnl"/>
        </w:rPr>
        <w:t>4 y 5 del artículo 2.2.1.2.1.3.2. del Decreto 1082 de 2015 en su redacción inicial</w:t>
      </w:r>
      <w:r w:rsidR="00FA4034" w:rsidRPr="00493521">
        <w:rPr>
          <w:rFonts w:ascii="Arial" w:eastAsia="Calibri" w:hAnsi="Arial" w:cs="Arial"/>
          <w:color w:val="000000" w:themeColor="text1"/>
          <w:sz w:val="22"/>
          <w:lang w:val="es-ES_tradnl"/>
        </w:rPr>
        <w:t>.</w:t>
      </w:r>
      <w:r w:rsidR="00CE24D3" w:rsidRPr="00493521">
        <w:rPr>
          <w:rFonts w:ascii="Arial" w:eastAsia="Calibri" w:hAnsi="Arial" w:cs="Arial"/>
          <w:color w:val="000000" w:themeColor="text1"/>
          <w:sz w:val="22"/>
          <w:lang w:val="es-ES_tradnl"/>
        </w:rPr>
        <w:t xml:space="preserve"> Lo que procede</w:t>
      </w:r>
      <w:r w:rsidR="00D2374F" w:rsidRPr="00493521">
        <w:rPr>
          <w:rFonts w:ascii="Arial" w:eastAsia="Calibri" w:hAnsi="Arial" w:cs="Arial"/>
          <w:color w:val="000000" w:themeColor="text1"/>
          <w:sz w:val="22"/>
          <w:lang w:val="es-ES_tradnl"/>
        </w:rPr>
        <w:t xml:space="preserve"> una vez resueltas las observaciones al informe de evaluació</w:t>
      </w:r>
      <w:r w:rsidR="009B1F52">
        <w:rPr>
          <w:rFonts w:ascii="Arial" w:eastAsia="Calibri" w:hAnsi="Arial" w:cs="Arial"/>
          <w:color w:val="000000" w:themeColor="text1"/>
          <w:sz w:val="22"/>
          <w:lang w:val="es-ES_tradnl"/>
        </w:rPr>
        <w:t>n</w:t>
      </w:r>
      <w:r w:rsidR="00CE24D3" w:rsidRPr="00493521">
        <w:rPr>
          <w:rFonts w:ascii="Arial" w:eastAsia="Calibri" w:hAnsi="Arial" w:cs="Arial"/>
          <w:color w:val="000000" w:themeColor="text1"/>
          <w:sz w:val="22"/>
          <w:lang w:val="es-ES_tradnl"/>
        </w:rPr>
        <w:t xml:space="preserve"> es la adjudicación del contrato o la declaratoria de desierta</w:t>
      </w:r>
      <w:r w:rsidR="00D2374F" w:rsidRPr="00493521">
        <w:rPr>
          <w:rFonts w:ascii="Arial" w:eastAsia="Calibri" w:hAnsi="Arial" w:cs="Arial"/>
          <w:color w:val="000000" w:themeColor="text1"/>
          <w:sz w:val="22"/>
          <w:lang w:val="es-ES_tradnl"/>
        </w:rPr>
        <w:t>,</w:t>
      </w:r>
      <w:r w:rsidR="00CE24D3" w:rsidRPr="00493521">
        <w:rPr>
          <w:rFonts w:ascii="Arial" w:eastAsia="Calibri" w:hAnsi="Arial" w:cs="Arial"/>
          <w:color w:val="000000" w:themeColor="text1"/>
          <w:sz w:val="22"/>
          <w:lang w:val="es-ES_tradnl"/>
        </w:rPr>
        <w:t xml:space="preserve"> si ninguno de los oferentes cumple los requisitos habilitantes.</w:t>
      </w:r>
    </w:p>
    <w:p w14:paraId="4BDF8AAC" w14:textId="77777777" w:rsidR="00E007AA" w:rsidRPr="00493521" w:rsidRDefault="00614E21" w:rsidP="00E007AA">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En cuanto a</w:t>
      </w:r>
      <w:r w:rsidR="0048690F" w:rsidRPr="00493521">
        <w:rPr>
          <w:rFonts w:ascii="Arial" w:eastAsia="Calibri" w:hAnsi="Arial" w:cs="Arial"/>
          <w:color w:val="000000" w:themeColor="text1"/>
          <w:sz w:val="22"/>
          <w:lang w:val="es-ES_tradnl"/>
        </w:rPr>
        <w:t xml:space="preserve"> si el artículo 2 del Decreto 399 de 2021 supone</w:t>
      </w:r>
      <w:r w:rsidR="00CC4F87" w:rsidRPr="00493521">
        <w:rPr>
          <w:rFonts w:ascii="Arial" w:eastAsia="Calibri" w:hAnsi="Arial" w:cs="Arial"/>
          <w:color w:val="000000" w:themeColor="text1"/>
          <w:sz w:val="22"/>
          <w:lang w:val="es-ES_tradnl"/>
        </w:rPr>
        <w:t xml:space="preserve"> </w:t>
      </w:r>
      <w:r w:rsidR="0048690F" w:rsidRPr="00493521">
        <w:rPr>
          <w:rFonts w:ascii="Arial" w:eastAsia="Calibri" w:hAnsi="Arial" w:cs="Arial"/>
          <w:color w:val="000000" w:themeColor="text1"/>
          <w:sz w:val="22"/>
          <w:lang w:val="es-ES_tradnl"/>
        </w:rPr>
        <w:t>realizar ajustes</w:t>
      </w:r>
      <w:r w:rsidR="00CC4F87" w:rsidRPr="00493521">
        <w:rPr>
          <w:rFonts w:ascii="Arial" w:eastAsia="Calibri" w:hAnsi="Arial" w:cs="Arial"/>
          <w:color w:val="000000" w:themeColor="text1"/>
          <w:sz w:val="22"/>
          <w:lang w:val="es-ES_tradnl"/>
        </w:rPr>
        <w:t xml:space="preserve"> en la plataforma electrónica SECOP II</w:t>
      </w:r>
      <w:r w:rsidR="0048690F" w:rsidRPr="00493521">
        <w:rPr>
          <w:rFonts w:ascii="Arial" w:eastAsia="Calibri" w:hAnsi="Arial" w:cs="Arial"/>
          <w:color w:val="000000" w:themeColor="text1"/>
          <w:sz w:val="22"/>
          <w:lang w:val="es-ES_tradnl"/>
        </w:rPr>
        <w:t xml:space="preserve"> para el trámite de los concursos de méritos</w:t>
      </w:r>
      <w:r w:rsidR="000975D1" w:rsidRPr="00493521">
        <w:rPr>
          <w:rFonts w:ascii="Arial" w:eastAsia="Calibri" w:hAnsi="Arial" w:cs="Arial"/>
          <w:color w:val="000000" w:themeColor="text1"/>
          <w:sz w:val="22"/>
          <w:lang w:val="es-ES_tradnl"/>
        </w:rPr>
        <w:t>, la Subdirección de Información y Desarrollo Tecnológico de la Agencia Nacional de Contratación Pública – Colombia Compra Eficiente</w:t>
      </w:r>
      <w:r w:rsidR="00A66FA8" w:rsidRPr="00493521">
        <w:rPr>
          <w:rFonts w:ascii="Arial" w:eastAsia="Calibri" w:hAnsi="Arial" w:cs="Arial"/>
          <w:color w:val="000000" w:themeColor="text1"/>
          <w:sz w:val="22"/>
          <w:lang w:val="es-ES_tradnl"/>
        </w:rPr>
        <w:t xml:space="preserve"> informa lo siguiente:</w:t>
      </w:r>
    </w:p>
    <w:p w14:paraId="4C4B6610" w14:textId="77CD3AC6" w:rsidR="00E007AA" w:rsidRPr="00493521" w:rsidRDefault="00E007AA" w:rsidP="0024794C">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El Decreto Ley 4170 de 2011 otorga a la Agencia Nacional de Contratación Pública – Colombia Compra Eficiente la competencia de administrar y desarrollar el Sistema Electrónico para la Contratación Pública</w:t>
      </w:r>
      <w:r w:rsidR="0024794C" w:rsidRPr="00493521">
        <w:rPr>
          <w:rFonts w:ascii="Arial" w:eastAsia="Calibri" w:hAnsi="Arial" w:cs="Arial"/>
          <w:color w:val="000000" w:themeColor="text1"/>
          <w:sz w:val="22"/>
          <w:lang w:val="es-ES_tradnl"/>
        </w:rPr>
        <w:t xml:space="preserve"> – </w:t>
      </w:r>
      <w:r w:rsidRPr="00493521">
        <w:rPr>
          <w:rFonts w:ascii="Arial" w:eastAsia="Calibri" w:hAnsi="Arial" w:cs="Arial"/>
          <w:color w:val="000000" w:themeColor="text1"/>
          <w:sz w:val="22"/>
          <w:lang w:val="es-ES_tradnl"/>
        </w:rPr>
        <w:t xml:space="preserve">SECOP, el cual está conformado por tres plataformas: SECOP I, SECOP II y Tienda Virtual del Estado Colombiano -TVEC. </w:t>
      </w:r>
    </w:p>
    <w:p w14:paraId="522B84E5" w14:textId="0AABF766" w:rsidR="00E007AA" w:rsidRPr="00493521" w:rsidRDefault="00E007AA" w:rsidP="00EC6170">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El SECOP II se rige por las normas del Sistema de Compras y Contratación Pública y por aquellas que </w:t>
      </w:r>
      <w:r w:rsidR="00493521" w:rsidRPr="00493521">
        <w:rPr>
          <w:rFonts w:ascii="Arial" w:eastAsia="Calibri" w:hAnsi="Arial" w:cs="Arial"/>
          <w:color w:val="000000" w:themeColor="text1"/>
          <w:sz w:val="22"/>
          <w:lang w:val="es-ES_tradnl"/>
        </w:rPr>
        <w:t>regulan</w:t>
      </w:r>
      <w:r w:rsidRPr="00493521">
        <w:rPr>
          <w:rFonts w:ascii="Arial" w:eastAsia="Calibri" w:hAnsi="Arial" w:cs="Arial"/>
          <w:color w:val="000000" w:themeColor="text1"/>
          <w:sz w:val="22"/>
          <w:lang w:val="es-ES_tradnl"/>
        </w:rPr>
        <w:t xml:space="preserve"> el comercio electrónico. Por lo anterior, las Entidades Estatales, los Proveedores y en general los usuarios del Sistema Electrónico de Contratación Pública - SECOP II están sujetos a los Términos y Condiciones de Uso de la plataforma en virtud de su aceptación al momento de realizar la creación del usuario y/o cuenta respectivamente.</w:t>
      </w:r>
      <w:r w:rsidR="00493521"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Adicionalmente, con la aceptación expresa y voluntaria, los usuarios del SECOP II deben aplicar los protocolos, lineamientos y procedimientos descritos en el </w:t>
      </w:r>
      <w:r w:rsidR="00493521">
        <w:rPr>
          <w:rFonts w:ascii="Arial" w:eastAsia="Calibri" w:hAnsi="Arial" w:cs="Arial"/>
          <w:color w:val="000000" w:themeColor="text1"/>
          <w:sz w:val="22"/>
          <w:lang w:val="es-ES_tradnl"/>
        </w:rPr>
        <w:t>«</w:t>
      </w:r>
      <w:proofErr w:type="spellStart"/>
      <w:r w:rsidRPr="00493521">
        <w:rPr>
          <w:rFonts w:ascii="Arial" w:eastAsia="Calibri" w:hAnsi="Arial" w:cs="Arial"/>
          <w:color w:val="000000" w:themeColor="text1"/>
          <w:sz w:val="22"/>
          <w:lang w:val="es-ES_tradnl"/>
        </w:rPr>
        <w:t>Minisitio</w:t>
      </w:r>
      <w:proofErr w:type="spellEnd"/>
      <w:r w:rsidR="00493521">
        <w:rPr>
          <w:rFonts w:ascii="Arial" w:eastAsia="Calibri" w:hAnsi="Arial" w:cs="Arial"/>
          <w:color w:val="000000" w:themeColor="text1"/>
          <w:sz w:val="22"/>
          <w:lang w:val="es-ES_tradnl"/>
        </w:rPr>
        <w:t>»</w:t>
      </w:r>
      <w:r w:rsidRPr="00493521">
        <w:rPr>
          <w:rFonts w:ascii="Arial" w:eastAsia="Calibri" w:hAnsi="Arial" w:cs="Arial"/>
          <w:color w:val="000000" w:themeColor="text1"/>
          <w:sz w:val="22"/>
          <w:lang w:val="es-ES_tradnl"/>
        </w:rPr>
        <w:t xml:space="preserve"> del SECOP II, los cuales incluyen los manuales, conceptos y guías de uso. Cualquier actuación que contradiga lo establecido en estos es responsabilidad exclusiva de los usuarios.</w:t>
      </w:r>
    </w:p>
    <w:p w14:paraId="2A3E66F6" w14:textId="24436374" w:rsidR="00E007AA" w:rsidRPr="00493521" w:rsidRDefault="00E007AA" w:rsidP="00025D7D">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Desde la </w:t>
      </w:r>
      <w:r w:rsidR="00EC6170" w:rsidRPr="00493521">
        <w:rPr>
          <w:rFonts w:ascii="Arial" w:eastAsia="Calibri" w:hAnsi="Arial" w:cs="Arial"/>
          <w:color w:val="000000" w:themeColor="text1"/>
          <w:sz w:val="22"/>
          <w:lang w:val="es-ES_tradnl"/>
        </w:rPr>
        <w:t>Agencia Nacional de Contratación Pública – Colombia Compra Eficiente</w:t>
      </w:r>
      <w:r w:rsidRPr="00493521">
        <w:rPr>
          <w:rFonts w:ascii="Arial" w:eastAsia="Calibri" w:hAnsi="Arial" w:cs="Arial"/>
          <w:color w:val="000000" w:themeColor="text1"/>
          <w:sz w:val="22"/>
          <w:lang w:val="es-ES_tradnl"/>
        </w:rPr>
        <w:t xml:space="preserve"> buscamos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sidR="00EC6170">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Así mismo, para mejorar la experiencia de los usuarios y con el fin de que la plataforma del SECOP II se articule y esté en armonía con la normativa, desde la </w:t>
      </w:r>
      <w:r w:rsidRPr="00493521">
        <w:rPr>
          <w:rFonts w:ascii="Arial" w:eastAsia="Calibri" w:hAnsi="Arial" w:cs="Arial"/>
          <w:color w:val="000000" w:themeColor="text1"/>
          <w:sz w:val="22"/>
          <w:lang w:val="es-ES_tradnl"/>
        </w:rPr>
        <w:lastRenderedPageBreak/>
        <w:t xml:space="preserve">Subdirección de Información y Desarrollo Tecnológico </w:t>
      </w:r>
      <w:r w:rsidR="00025D7D">
        <w:rPr>
          <w:rFonts w:ascii="Arial" w:eastAsia="Calibri" w:hAnsi="Arial" w:cs="Arial"/>
          <w:color w:val="000000" w:themeColor="text1"/>
          <w:sz w:val="22"/>
          <w:lang w:val="es-ES_tradnl"/>
        </w:rPr>
        <w:t>se trabaja</w:t>
      </w:r>
      <w:r w:rsidRPr="00493521">
        <w:rPr>
          <w:rFonts w:ascii="Arial" w:eastAsia="Calibri" w:hAnsi="Arial" w:cs="Arial"/>
          <w:color w:val="000000" w:themeColor="text1"/>
          <w:sz w:val="22"/>
          <w:lang w:val="es-ES_tradnl"/>
        </w:rPr>
        <w:t xml:space="preserve"> constantemente en la implementación de mejoras evolutivas que son analizadas con el equipo de trabajo y que requieren un tiempo estimado para su puesta en producción.</w:t>
      </w:r>
    </w:p>
    <w:p w14:paraId="02E3DDFD" w14:textId="13ACFBC1" w:rsidR="00E007AA" w:rsidRPr="00493521" w:rsidRDefault="00E007AA" w:rsidP="002654B1">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Los mantenimientos evolutivos en los que se implementan nuevas funcionalidades tienen un costo en horas que son definidos por el proveedor de la aplicación.</w:t>
      </w:r>
      <w:r w:rsidR="00F354D0">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En cuanto al proveedor referenciado </w:t>
      </w:r>
      <w:r w:rsidR="00F354D0">
        <w:rPr>
          <w:rFonts w:ascii="Arial" w:eastAsia="Calibri" w:hAnsi="Arial" w:cs="Arial"/>
          <w:color w:val="000000" w:themeColor="text1"/>
          <w:sz w:val="22"/>
          <w:lang w:val="es-ES_tradnl"/>
        </w:rPr>
        <w:t>–</w:t>
      </w:r>
      <w:r w:rsidRPr="00493521">
        <w:rPr>
          <w:rFonts w:ascii="Arial" w:eastAsia="Calibri" w:hAnsi="Arial" w:cs="Arial"/>
          <w:color w:val="000000" w:themeColor="text1"/>
          <w:sz w:val="22"/>
          <w:lang w:val="es-ES_tradnl"/>
        </w:rPr>
        <w:t>VORTAL</w:t>
      </w:r>
      <w:r w:rsidR="00F354D0">
        <w:rPr>
          <w:rFonts w:ascii="Arial" w:eastAsia="Calibri" w:hAnsi="Arial" w:cs="Arial"/>
          <w:color w:val="000000" w:themeColor="text1"/>
          <w:sz w:val="22"/>
          <w:lang w:val="es-ES_tradnl"/>
        </w:rPr>
        <w:t>–</w:t>
      </w:r>
      <w:r w:rsidRPr="00493521">
        <w:rPr>
          <w:rFonts w:ascii="Arial" w:eastAsia="Calibri" w:hAnsi="Arial" w:cs="Arial"/>
          <w:color w:val="000000" w:themeColor="text1"/>
          <w:sz w:val="22"/>
          <w:lang w:val="es-ES_tradnl"/>
        </w:rPr>
        <w:t xml:space="preserve">, es necesario aclarar que es el encargado de la gestión de incidentes, problemas y mejoras en la plataforma del SECOP II. Si bien hemos enunciado que la </w:t>
      </w:r>
      <w:r w:rsidR="00F354D0" w:rsidRPr="00493521">
        <w:rPr>
          <w:rFonts w:ascii="Arial" w:eastAsia="Calibri" w:hAnsi="Arial" w:cs="Arial"/>
          <w:color w:val="000000" w:themeColor="text1"/>
          <w:sz w:val="22"/>
          <w:lang w:val="es-ES_tradnl"/>
        </w:rPr>
        <w:t>Agencia Nacional de Contratación Pública – Colombia Compra Eficiente</w:t>
      </w:r>
      <w:r w:rsidRPr="00493521">
        <w:rPr>
          <w:rFonts w:ascii="Arial" w:eastAsia="Calibri" w:hAnsi="Arial" w:cs="Arial"/>
          <w:color w:val="000000" w:themeColor="text1"/>
          <w:sz w:val="22"/>
          <w:lang w:val="es-ES_tradnl"/>
        </w:rPr>
        <w:t xml:space="preserve"> es el administrador de las plataformas que componen el SECOP, para el caso específico del SECOP II, se cuenta con la administración, más no tenemos el alcance de desarrollar nuevas funcionalidades.</w:t>
      </w:r>
    </w:p>
    <w:p w14:paraId="03F397D6" w14:textId="4C3981BA" w:rsidR="006C0273" w:rsidRDefault="00E007AA" w:rsidP="00654DCE">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De esta manera, debemos resaltar que desde la Agencia Nacional de Contratación Pública – Colombia Compra Eficiente no desconocemos la situación de los cambios al procedimiento del Concurso de Méritos, incluidos en el Decreto 399 de 2021, el cual se encuentra articulado a los pronunciamientos del Consejo de Estado que habían suspendido provisionalmente algunos numerales del artículo 2.2.1.2.1.3.2. del Decreto 1082 de 2015</w:t>
      </w:r>
      <w:r w:rsidR="002654B1">
        <w:rPr>
          <w:rFonts w:ascii="Arial" w:eastAsia="Calibri" w:hAnsi="Arial" w:cs="Arial"/>
          <w:color w:val="000000" w:themeColor="text1"/>
          <w:sz w:val="22"/>
          <w:lang w:val="es-ES_tradnl"/>
        </w:rPr>
        <w:t>.</w:t>
      </w:r>
      <w:r w:rsidRPr="00493521">
        <w:rPr>
          <w:rFonts w:ascii="Arial" w:eastAsia="Calibri" w:hAnsi="Arial" w:cs="Arial"/>
          <w:color w:val="000000" w:themeColor="text1"/>
          <w:sz w:val="22"/>
          <w:lang w:val="es-ES_tradnl"/>
        </w:rPr>
        <w:t xml:space="preserve"> </w:t>
      </w:r>
      <w:r w:rsidR="002654B1">
        <w:rPr>
          <w:rFonts w:ascii="Arial" w:eastAsia="Calibri" w:hAnsi="Arial" w:cs="Arial"/>
          <w:color w:val="000000" w:themeColor="text1"/>
          <w:sz w:val="22"/>
          <w:lang w:val="es-ES_tradnl"/>
        </w:rPr>
        <w:t>N</w:t>
      </w:r>
      <w:r w:rsidRPr="00493521">
        <w:rPr>
          <w:rFonts w:ascii="Arial" w:eastAsia="Calibri" w:hAnsi="Arial" w:cs="Arial"/>
          <w:color w:val="000000" w:themeColor="text1"/>
          <w:sz w:val="22"/>
          <w:lang w:val="es-ES_tradnl"/>
        </w:rPr>
        <w:t>o obstante, como administradores de la plataforma, brindamos las soluciones de carácter técnico con el fin de mitigar el impacto y garantizar la no paralización de la actividad contractual de las entidades estatales a consecuencia de la presente funcionalidad.</w:t>
      </w:r>
      <w:r w:rsidR="00715EF5">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Actualmente, estamos en proceso de estructuración de un control de cambios correspondiente a la habilitación de dos módulos para el Concurso de Méritos Abierto y de Precalificación que se ajusten al procedimiento del Decreto 399 de 2021.</w:t>
      </w:r>
      <w:r w:rsidR="00715EF5">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A continuación, detallamos las actividades que se ejecutan y que están cronológicamente definidas para realizar los cambios en la plataforma:</w:t>
      </w:r>
    </w:p>
    <w:p w14:paraId="4A61A6EA" w14:textId="04B7542B" w:rsidR="006C0273" w:rsidRDefault="006C0273" w:rsidP="006C0273">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 </w:t>
      </w:r>
      <w:r w:rsidR="00E007AA" w:rsidRPr="00493521">
        <w:rPr>
          <w:rFonts w:ascii="Arial" w:eastAsia="Calibri" w:hAnsi="Arial" w:cs="Arial"/>
          <w:color w:val="000000" w:themeColor="text1"/>
          <w:sz w:val="22"/>
          <w:lang w:val="es-ES_tradnl"/>
        </w:rPr>
        <w:t>Se define el requerimiento, se perfecciona desde el punto de vista técnico-normativo y se socializa con los equipos de trabajo involucrados.</w:t>
      </w:r>
    </w:p>
    <w:p w14:paraId="46F8D854" w14:textId="118E8A27" w:rsidR="00E007AA" w:rsidRPr="00493521" w:rsidRDefault="006C0273" w:rsidP="006C0273">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b) </w:t>
      </w:r>
      <w:r w:rsidR="000A171D">
        <w:rPr>
          <w:rFonts w:ascii="Arial" w:eastAsia="Calibri" w:hAnsi="Arial" w:cs="Arial"/>
          <w:color w:val="000000" w:themeColor="text1"/>
          <w:sz w:val="22"/>
          <w:lang w:val="es-ES_tradnl"/>
        </w:rPr>
        <w:t>Como e</w:t>
      </w:r>
      <w:r w:rsidR="00E007AA" w:rsidRPr="00493521">
        <w:rPr>
          <w:rFonts w:ascii="Arial" w:eastAsia="Calibri" w:hAnsi="Arial" w:cs="Arial"/>
          <w:color w:val="000000" w:themeColor="text1"/>
          <w:sz w:val="22"/>
          <w:lang w:val="es-ES_tradnl"/>
        </w:rPr>
        <w:t>l SECOP II</w:t>
      </w:r>
      <w:r>
        <w:rPr>
          <w:rFonts w:ascii="Arial" w:eastAsia="Calibri" w:hAnsi="Arial" w:cs="Arial"/>
          <w:color w:val="000000" w:themeColor="text1"/>
          <w:sz w:val="22"/>
          <w:lang w:val="es-ES_tradnl"/>
        </w:rPr>
        <w:t xml:space="preserve"> </w:t>
      </w:r>
      <w:r w:rsidR="00E007AA" w:rsidRPr="00493521">
        <w:rPr>
          <w:rFonts w:ascii="Arial" w:eastAsia="Calibri" w:hAnsi="Arial" w:cs="Arial"/>
          <w:color w:val="000000" w:themeColor="text1"/>
          <w:sz w:val="22"/>
          <w:lang w:val="es-ES_tradnl"/>
        </w:rPr>
        <w:t xml:space="preserve">es una plataforma contratada </w:t>
      </w:r>
      <w:r w:rsidR="000A171D">
        <w:rPr>
          <w:rFonts w:ascii="Arial" w:eastAsia="Calibri" w:hAnsi="Arial" w:cs="Arial"/>
          <w:color w:val="000000" w:themeColor="text1"/>
          <w:sz w:val="22"/>
          <w:lang w:val="es-ES_tradnl"/>
        </w:rPr>
        <w:t>con</w:t>
      </w:r>
      <w:r w:rsidR="00E007AA" w:rsidRPr="00493521">
        <w:rPr>
          <w:rFonts w:ascii="Arial" w:eastAsia="Calibri" w:hAnsi="Arial" w:cs="Arial"/>
          <w:color w:val="000000" w:themeColor="text1"/>
          <w:sz w:val="22"/>
          <w:lang w:val="es-ES_tradnl"/>
        </w:rPr>
        <w:t xml:space="preserve"> un proveedor externo</w:t>
      </w:r>
      <w:r w:rsidR="000A171D">
        <w:rPr>
          <w:rFonts w:ascii="Arial" w:eastAsia="Calibri" w:hAnsi="Arial" w:cs="Arial"/>
          <w:color w:val="000000" w:themeColor="text1"/>
          <w:sz w:val="22"/>
          <w:lang w:val="es-ES_tradnl"/>
        </w:rPr>
        <w:t xml:space="preserve"> –</w:t>
      </w:r>
      <w:r w:rsidR="00E007AA" w:rsidRPr="00493521">
        <w:rPr>
          <w:rFonts w:ascii="Arial" w:eastAsia="Calibri" w:hAnsi="Arial" w:cs="Arial"/>
          <w:color w:val="000000" w:themeColor="text1"/>
          <w:sz w:val="22"/>
          <w:lang w:val="es-ES_tradnl"/>
        </w:rPr>
        <w:t>VORTAL</w:t>
      </w:r>
      <w:r w:rsidR="000A171D">
        <w:rPr>
          <w:rFonts w:ascii="Arial" w:eastAsia="Calibri" w:hAnsi="Arial" w:cs="Arial"/>
          <w:color w:val="000000" w:themeColor="text1"/>
          <w:sz w:val="22"/>
          <w:lang w:val="es-ES_tradnl"/>
        </w:rPr>
        <w:t xml:space="preserve">–, se le </w:t>
      </w:r>
      <w:r w:rsidR="00654DCE">
        <w:rPr>
          <w:rFonts w:ascii="Arial" w:eastAsia="Calibri" w:hAnsi="Arial" w:cs="Arial"/>
          <w:color w:val="000000" w:themeColor="text1"/>
          <w:sz w:val="22"/>
          <w:lang w:val="es-ES_tradnl"/>
        </w:rPr>
        <w:t>comparten</w:t>
      </w:r>
      <w:r w:rsidR="000A171D">
        <w:rPr>
          <w:rFonts w:ascii="Arial" w:eastAsia="Calibri" w:hAnsi="Arial" w:cs="Arial"/>
          <w:color w:val="000000" w:themeColor="text1"/>
          <w:sz w:val="22"/>
          <w:lang w:val="es-ES_tradnl"/>
        </w:rPr>
        <w:t xml:space="preserve"> </w:t>
      </w:r>
      <w:r w:rsidR="00E007AA" w:rsidRPr="00493521">
        <w:rPr>
          <w:rFonts w:ascii="Arial" w:eastAsia="Calibri" w:hAnsi="Arial" w:cs="Arial"/>
          <w:color w:val="000000" w:themeColor="text1"/>
          <w:sz w:val="22"/>
          <w:lang w:val="es-ES_tradnl"/>
        </w:rPr>
        <w:t>los requerimientos para iniciar su análisis y estimación</w:t>
      </w:r>
      <w:r w:rsidR="00654DCE">
        <w:rPr>
          <w:rFonts w:ascii="Arial" w:eastAsia="Calibri" w:hAnsi="Arial" w:cs="Arial"/>
          <w:color w:val="000000" w:themeColor="text1"/>
          <w:sz w:val="22"/>
          <w:lang w:val="es-ES_tradnl"/>
        </w:rPr>
        <w:t>. E</w:t>
      </w:r>
      <w:r w:rsidR="00E007AA" w:rsidRPr="00493521">
        <w:rPr>
          <w:rFonts w:ascii="Arial" w:eastAsia="Calibri" w:hAnsi="Arial" w:cs="Arial"/>
          <w:color w:val="000000" w:themeColor="text1"/>
          <w:sz w:val="22"/>
          <w:lang w:val="es-ES_tradnl"/>
        </w:rPr>
        <w:t>s importante tener en cuenta que para el desarrollo de nuevas funcionalidades se requiere</w:t>
      </w:r>
      <w:r w:rsidR="0029534C">
        <w:rPr>
          <w:rFonts w:ascii="Arial" w:eastAsia="Calibri" w:hAnsi="Arial" w:cs="Arial"/>
          <w:color w:val="000000" w:themeColor="text1"/>
          <w:sz w:val="22"/>
          <w:lang w:val="es-ES_tradnl"/>
        </w:rPr>
        <w:t xml:space="preserve"> como</w:t>
      </w:r>
      <w:r w:rsidR="00E007AA" w:rsidRPr="00493521">
        <w:rPr>
          <w:rFonts w:ascii="Arial" w:eastAsia="Calibri" w:hAnsi="Arial" w:cs="Arial"/>
          <w:color w:val="000000" w:themeColor="text1"/>
          <w:sz w:val="22"/>
          <w:lang w:val="es-ES_tradnl"/>
        </w:rPr>
        <w:t xml:space="preserve"> mínimo </w:t>
      </w:r>
      <w:r w:rsidR="0029534C" w:rsidRPr="00493521">
        <w:rPr>
          <w:rFonts w:ascii="Arial" w:eastAsia="Calibri" w:hAnsi="Arial" w:cs="Arial"/>
          <w:color w:val="000000" w:themeColor="text1"/>
          <w:sz w:val="22"/>
          <w:lang w:val="es-ES_tradnl"/>
        </w:rPr>
        <w:t xml:space="preserve">de </w:t>
      </w:r>
      <w:r w:rsidR="00E007AA" w:rsidRPr="00493521">
        <w:rPr>
          <w:rFonts w:ascii="Arial" w:eastAsia="Calibri" w:hAnsi="Arial" w:cs="Arial"/>
          <w:color w:val="000000" w:themeColor="text1"/>
          <w:sz w:val="22"/>
          <w:lang w:val="es-ES_tradnl"/>
        </w:rPr>
        <w:t>tres meses</w:t>
      </w:r>
      <w:r w:rsidR="0029534C">
        <w:rPr>
          <w:rFonts w:ascii="Arial" w:eastAsia="Calibri" w:hAnsi="Arial" w:cs="Arial"/>
          <w:color w:val="000000" w:themeColor="text1"/>
          <w:sz w:val="22"/>
          <w:lang w:val="es-ES_tradnl"/>
        </w:rPr>
        <w:t>. A</w:t>
      </w:r>
      <w:r w:rsidR="00E007AA" w:rsidRPr="00493521">
        <w:rPr>
          <w:rFonts w:ascii="Arial" w:eastAsia="Calibri" w:hAnsi="Arial" w:cs="Arial"/>
          <w:color w:val="000000" w:themeColor="text1"/>
          <w:sz w:val="22"/>
          <w:lang w:val="es-ES_tradnl"/>
        </w:rPr>
        <w:t>dicionalmente</w:t>
      </w:r>
      <w:r w:rsidR="0029534C">
        <w:rPr>
          <w:rFonts w:ascii="Arial" w:eastAsia="Calibri" w:hAnsi="Arial" w:cs="Arial"/>
          <w:color w:val="000000" w:themeColor="text1"/>
          <w:sz w:val="22"/>
          <w:lang w:val="es-ES_tradnl"/>
        </w:rPr>
        <w:t>,</w:t>
      </w:r>
      <w:r w:rsidR="00E007AA" w:rsidRPr="00493521">
        <w:rPr>
          <w:rFonts w:ascii="Arial" w:eastAsia="Calibri" w:hAnsi="Arial" w:cs="Arial"/>
          <w:color w:val="000000" w:themeColor="text1"/>
          <w:sz w:val="22"/>
          <w:lang w:val="es-ES_tradnl"/>
        </w:rPr>
        <w:t xml:space="preserve"> se debe incluir el tiempo para las pruebas y puesta en producción.</w:t>
      </w:r>
    </w:p>
    <w:p w14:paraId="5439FEFC" w14:textId="4EF6F868" w:rsidR="00540617" w:rsidRPr="00261A36" w:rsidRDefault="0029534C" w:rsidP="00540617">
      <w:pPr>
        <w:spacing w:before="120" w:line="276" w:lineRule="auto"/>
        <w:ind w:firstLine="709"/>
        <w:jc w:val="both"/>
        <w:rPr>
          <w:rFonts w:ascii="Arial" w:eastAsia="Calibri" w:hAnsi="Arial" w:cs="Arial"/>
          <w:color w:val="000000" w:themeColor="text1"/>
          <w:sz w:val="22"/>
          <w:lang w:val="es-ES_tradnl"/>
        </w:rPr>
      </w:pPr>
      <w:r w:rsidRPr="00261A36">
        <w:rPr>
          <w:rFonts w:ascii="Arial" w:eastAsia="Calibri" w:hAnsi="Arial" w:cs="Arial"/>
          <w:color w:val="000000" w:themeColor="text1"/>
          <w:sz w:val="22"/>
          <w:lang w:val="es-ES_tradnl"/>
        </w:rPr>
        <w:t>En tal sentido, la Subdirección de</w:t>
      </w:r>
      <w:r w:rsidR="00BC20A1" w:rsidRPr="00261A36">
        <w:rPr>
          <w:rFonts w:ascii="Arial" w:eastAsia="Calibri" w:hAnsi="Arial" w:cs="Arial"/>
          <w:color w:val="000000" w:themeColor="text1"/>
          <w:sz w:val="22"/>
          <w:lang w:val="es-ES_tradnl"/>
        </w:rPr>
        <w:t xml:space="preserve"> Información y Desarrollo Tecnológico</w:t>
      </w:r>
      <w:r w:rsidRPr="00261A36">
        <w:rPr>
          <w:rFonts w:ascii="Arial" w:eastAsia="Calibri" w:hAnsi="Arial" w:cs="Arial"/>
          <w:color w:val="000000" w:themeColor="text1"/>
          <w:sz w:val="22"/>
          <w:lang w:val="es-ES_tradnl"/>
        </w:rPr>
        <w:t xml:space="preserve"> </w:t>
      </w:r>
      <w:r w:rsidR="00BC20A1" w:rsidRPr="00261A36">
        <w:rPr>
          <w:rFonts w:ascii="Arial" w:eastAsia="Calibri" w:hAnsi="Arial" w:cs="Arial"/>
          <w:color w:val="000000" w:themeColor="text1"/>
          <w:sz w:val="22"/>
          <w:lang w:val="es-ES_tradnl"/>
        </w:rPr>
        <w:t xml:space="preserve">aclara </w:t>
      </w:r>
      <w:r w:rsidR="00E007AA" w:rsidRPr="00261A36">
        <w:rPr>
          <w:rFonts w:ascii="Arial" w:eastAsia="Calibri" w:hAnsi="Arial" w:cs="Arial"/>
          <w:color w:val="000000" w:themeColor="text1"/>
          <w:sz w:val="22"/>
          <w:lang w:val="es-ES_tradnl"/>
        </w:rPr>
        <w:t xml:space="preserve">que no </w:t>
      </w:r>
      <w:r w:rsidR="00BC20A1" w:rsidRPr="00261A36">
        <w:rPr>
          <w:rFonts w:ascii="Arial" w:eastAsia="Calibri" w:hAnsi="Arial" w:cs="Arial"/>
          <w:color w:val="000000" w:themeColor="text1"/>
          <w:sz w:val="22"/>
          <w:lang w:val="es-ES_tradnl"/>
        </w:rPr>
        <w:t>desconoce</w:t>
      </w:r>
      <w:r w:rsidRPr="00261A36">
        <w:rPr>
          <w:rFonts w:ascii="Arial" w:eastAsia="Calibri" w:hAnsi="Arial" w:cs="Arial"/>
          <w:color w:val="000000" w:themeColor="text1"/>
          <w:sz w:val="22"/>
          <w:lang w:val="es-ES_tradnl"/>
        </w:rPr>
        <w:t xml:space="preserve"> </w:t>
      </w:r>
      <w:r w:rsidR="00E007AA" w:rsidRPr="00261A36">
        <w:rPr>
          <w:rFonts w:ascii="Arial" w:eastAsia="Calibri" w:hAnsi="Arial" w:cs="Arial"/>
          <w:color w:val="000000" w:themeColor="text1"/>
          <w:sz w:val="22"/>
          <w:lang w:val="es-ES_tradnl"/>
        </w:rPr>
        <w:t>que la plataforma requiere mejoras de carácter técnico</w:t>
      </w:r>
      <w:r w:rsidRPr="00261A36">
        <w:rPr>
          <w:rFonts w:ascii="Arial" w:eastAsia="Calibri" w:hAnsi="Arial" w:cs="Arial"/>
          <w:color w:val="000000" w:themeColor="text1"/>
          <w:sz w:val="22"/>
          <w:lang w:val="es-ES_tradnl"/>
        </w:rPr>
        <w:t>.</w:t>
      </w:r>
      <w:r w:rsidR="00E007AA" w:rsidRPr="00261A36">
        <w:rPr>
          <w:rFonts w:ascii="Arial" w:eastAsia="Calibri" w:hAnsi="Arial" w:cs="Arial"/>
          <w:color w:val="000000" w:themeColor="text1"/>
          <w:sz w:val="22"/>
          <w:lang w:val="es-ES_tradnl"/>
        </w:rPr>
        <w:t xml:space="preserve"> </w:t>
      </w:r>
      <w:r w:rsidRPr="00261A36">
        <w:rPr>
          <w:rFonts w:ascii="Arial" w:eastAsia="Calibri" w:hAnsi="Arial" w:cs="Arial"/>
          <w:color w:val="000000" w:themeColor="text1"/>
          <w:sz w:val="22"/>
          <w:lang w:val="es-ES_tradnl"/>
        </w:rPr>
        <w:t>S</w:t>
      </w:r>
      <w:r w:rsidR="00E007AA" w:rsidRPr="00261A36">
        <w:rPr>
          <w:rFonts w:ascii="Arial" w:eastAsia="Calibri" w:hAnsi="Arial" w:cs="Arial"/>
          <w:color w:val="000000" w:themeColor="text1"/>
          <w:sz w:val="22"/>
          <w:lang w:val="es-ES_tradnl"/>
        </w:rPr>
        <w:t>in embargo,</w:t>
      </w:r>
      <w:r w:rsidR="00BC20A1" w:rsidRPr="00261A36">
        <w:rPr>
          <w:rFonts w:ascii="Arial" w:eastAsia="Calibri" w:hAnsi="Arial" w:cs="Arial"/>
          <w:color w:val="000000" w:themeColor="text1"/>
          <w:sz w:val="22"/>
          <w:lang w:val="es-ES_tradnl"/>
        </w:rPr>
        <w:t xml:space="preserve"> indica que</w:t>
      </w:r>
      <w:r w:rsidR="00E007AA" w:rsidRPr="00261A36">
        <w:rPr>
          <w:rFonts w:ascii="Arial" w:eastAsia="Calibri" w:hAnsi="Arial" w:cs="Arial"/>
          <w:color w:val="000000" w:themeColor="text1"/>
          <w:sz w:val="22"/>
          <w:lang w:val="es-ES_tradnl"/>
        </w:rPr>
        <w:t xml:space="preserve"> este tipo de soluciones requiere de un presupuesto.</w:t>
      </w:r>
      <w:r w:rsidRPr="00261A36">
        <w:rPr>
          <w:rFonts w:ascii="Arial" w:eastAsia="Calibri" w:hAnsi="Arial" w:cs="Arial"/>
          <w:color w:val="000000" w:themeColor="text1"/>
          <w:sz w:val="22"/>
          <w:lang w:val="es-ES_tradnl"/>
        </w:rPr>
        <w:t xml:space="preserve"> </w:t>
      </w:r>
      <w:r w:rsidR="00BC20A1" w:rsidRPr="00261A36">
        <w:rPr>
          <w:rFonts w:ascii="Arial" w:eastAsia="Calibri" w:hAnsi="Arial" w:cs="Arial"/>
          <w:color w:val="000000" w:themeColor="text1"/>
          <w:sz w:val="22"/>
          <w:lang w:val="es-ES_tradnl"/>
        </w:rPr>
        <w:t>Por lo tanto, señala que u</w:t>
      </w:r>
      <w:r w:rsidR="00E007AA" w:rsidRPr="00261A36">
        <w:rPr>
          <w:rFonts w:ascii="Arial" w:eastAsia="Calibri" w:hAnsi="Arial" w:cs="Arial"/>
          <w:color w:val="000000" w:themeColor="text1"/>
          <w:sz w:val="22"/>
          <w:lang w:val="es-ES_tradnl"/>
        </w:rPr>
        <w:t xml:space="preserve">na vez </w:t>
      </w:r>
      <w:r w:rsidR="00BC20A1" w:rsidRPr="00261A36">
        <w:rPr>
          <w:rFonts w:ascii="Arial" w:eastAsia="Calibri" w:hAnsi="Arial" w:cs="Arial"/>
          <w:color w:val="000000" w:themeColor="text1"/>
          <w:sz w:val="22"/>
          <w:lang w:val="es-ES_tradnl"/>
        </w:rPr>
        <w:t>se tenga la</w:t>
      </w:r>
      <w:r w:rsidR="00E007AA" w:rsidRPr="00261A36">
        <w:rPr>
          <w:rFonts w:ascii="Arial" w:eastAsia="Calibri" w:hAnsi="Arial" w:cs="Arial"/>
          <w:color w:val="000000" w:themeColor="text1"/>
          <w:sz w:val="22"/>
          <w:lang w:val="es-ES_tradnl"/>
        </w:rPr>
        <w:t xml:space="preserve"> asignación presupuestal y la funcionalidad sea implementada, </w:t>
      </w:r>
      <w:r w:rsidR="00BC20A1" w:rsidRPr="00261A36">
        <w:rPr>
          <w:rFonts w:ascii="Arial" w:eastAsia="Calibri" w:hAnsi="Arial" w:cs="Arial"/>
          <w:color w:val="000000" w:themeColor="text1"/>
          <w:sz w:val="22"/>
          <w:lang w:val="es-ES_tradnl"/>
        </w:rPr>
        <w:t>se notificará</w:t>
      </w:r>
      <w:r w:rsidR="00E007AA" w:rsidRPr="00261A36">
        <w:rPr>
          <w:rFonts w:ascii="Arial" w:eastAsia="Calibri" w:hAnsi="Arial" w:cs="Arial"/>
          <w:color w:val="000000" w:themeColor="text1"/>
          <w:sz w:val="22"/>
          <w:lang w:val="es-ES_tradnl"/>
        </w:rPr>
        <w:t xml:space="preserve"> a todos los usuarios a través de nuestros canales oficiales.</w:t>
      </w:r>
      <w:bookmarkEnd w:id="6"/>
      <w:r w:rsidR="00376A50" w:rsidRPr="00261A36">
        <w:rPr>
          <w:rFonts w:ascii="Arial" w:eastAsia="Calibri" w:hAnsi="Arial" w:cs="Arial"/>
          <w:color w:val="000000" w:themeColor="text1"/>
          <w:sz w:val="22"/>
          <w:lang w:val="es-ES_tradnl"/>
        </w:rPr>
        <w:t xml:space="preserve"> </w:t>
      </w:r>
    </w:p>
    <w:p w14:paraId="22832E1D" w14:textId="77777777" w:rsidR="00F57A5D" w:rsidRPr="00261A36" w:rsidRDefault="00F57A5D" w:rsidP="00F57A5D">
      <w:pPr>
        <w:spacing w:before="120" w:line="276" w:lineRule="auto"/>
        <w:ind w:firstLine="709"/>
        <w:jc w:val="both"/>
        <w:rPr>
          <w:rFonts w:ascii="Arial" w:eastAsia="Calibri" w:hAnsi="Arial" w:cs="Arial"/>
          <w:color w:val="000000" w:themeColor="text1"/>
          <w:sz w:val="22"/>
          <w:lang w:val="es-ES_tradnl"/>
        </w:rPr>
      </w:pPr>
      <w:r w:rsidRPr="00261A36">
        <w:rPr>
          <w:rFonts w:ascii="Arial" w:eastAsia="Calibri" w:hAnsi="Arial" w:cs="Arial"/>
          <w:color w:val="000000" w:themeColor="text1"/>
          <w:sz w:val="22"/>
          <w:lang w:val="es-ES_tradnl"/>
        </w:rPr>
        <w:t xml:space="preserve">En relación con lo anterior, cabe aclarar que teniendo en cuenta la dificultad advertida, la Agencia Nacional de Contratación Pública – Colombia Compra Eficiente </w:t>
      </w:r>
      <w:r w:rsidRPr="00261A36">
        <w:rPr>
          <w:rFonts w:ascii="Arial" w:eastAsia="Calibri" w:hAnsi="Arial" w:cs="Arial"/>
          <w:color w:val="000000" w:themeColor="text1"/>
          <w:sz w:val="22"/>
          <w:lang w:val="es-ES_tradnl"/>
        </w:rPr>
        <w:lastRenderedPageBreak/>
        <w:t>recientemente expidió la Circular Externa 002 del 8 de junio de 2021, donde estableció lo siguiente, en relación con la publicidad temporal de los concursos de méritos:</w:t>
      </w:r>
    </w:p>
    <w:p w14:paraId="1D8CC862" w14:textId="77777777" w:rsidR="00F57A5D" w:rsidRPr="00261A36" w:rsidRDefault="00F57A5D" w:rsidP="00F57A5D">
      <w:pPr>
        <w:spacing w:line="276" w:lineRule="auto"/>
        <w:ind w:firstLine="709"/>
        <w:jc w:val="both"/>
        <w:rPr>
          <w:rFonts w:ascii="Arial" w:eastAsia="Calibri" w:hAnsi="Arial" w:cs="Arial"/>
          <w:color w:val="000000" w:themeColor="text1"/>
          <w:sz w:val="22"/>
          <w:lang w:val="es-ES_tradnl"/>
        </w:rPr>
      </w:pPr>
    </w:p>
    <w:p w14:paraId="3CF013C5" w14:textId="77777777" w:rsidR="00F57A5D" w:rsidRPr="00261A36" w:rsidRDefault="00F57A5D" w:rsidP="00F57A5D">
      <w:pPr>
        <w:shd w:val="clear" w:color="auto" w:fill="FFFFFF"/>
        <w:spacing w:after="120"/>
        <w:ind w:left="709" w:right="709"/>
        <w:jc w:val="both"/>
        <w:rPr>
          <w:rFonts w:ascii="Arial" w:hAnsi="Arial" w:cs="Arial"/>
          <w:color w:val="000000" w:themeColor="text1"/>
          <w:sz w:val="21"/>
          <w:szCs w:val="21"/>
          <w:lang w:val="es-ES_tradnl"/>
        </w:rPr>
      </w:pPr>
      <w:r w:rsidRPr="00261A36">
        <w:rPr>
          <w:rFonts w:ascii="Arial" w:hAnsi="Arial" w:cs="Arial"/>
          <w:color w:val="000000" w:themeColor="text1"/>
          <w:sz w:val="21"/>
          <w:szCs w:val="21"/>
          <w:lang w:val="es-ES_tradnl"/>
        </w:rPr>
        <w:t>Así las cosas, el Concurso de Méritos definido en el artículo 2.2.1.2.1.3.1. del Decreto 1082 de 2015, y de acuerdo con el procedimiento establecido en el artículo 2.2.1.2.1.3.2. modificado por el artículo 2 del Decreto 399 de 2021, deberá adelantarse y publicarse de manera temporal a través del Sistema Electrónico de Contratación Pública – SECOP I.</w:t>
      </w:r>
    </w:p>
    <w:p w14:paraId="613340EF" w14:textId="77777777" w:rsidR="00F57A5D" w:rsidRPr="00261A36" w:rsidRDefault="00F57A5D" w:rsidP="00F57A5D">
      <w:pPr>
        <w:shd w:val="clear" w:color="auto" w:fill="FFFFFF"/>
        <w:spacing w:after="120"/>
        <w:ind w:left="709" w:right="709"/>
        <w:jc w:val="both"/>
        <w:rPr>
          <w:rFonts w:ascii="Arial" w:hAnsi="Arial" w:cs="Arial"/>
          <w:color w:val="000000" w:themeColor="text1"/>
          <w:sz w:val="21"/>
          <w:szCs w:val="21"/>
          <w:lang w:val="es-ES_tradnl"/>
        </w:rPr>
      </w:pPr>
      <w:r w:rsidRPr="00261A36">
        <w:rPr>
          <w:rFonts w:ascii="Arial" w:hAnsi="Arial" w:cs="Arial"/>
          <w:color w:val="000000" w:themeColor="text1"/>
          <w:sz w:val="21"/>
          <w:szCs w:val="21"/>
          <w:lang w:val="es-ES_tradnl"/>
        </w:rPr>
        <w:t>En tal sentido, a las Entidades Estatales se les habilitará temporalmente el SECOP I para que publiquen los documentos del concurso de méritos abierto o con precalificación dentro de los tres (3) días siguientes a su expedición, como lo ordena el artículo 2.2.1.1.1.7.1. del Decreto 1082 de 2015.</w:t>
      </w:r>
    </w:p>
    <w:p w14:paraId="064EFEE6" w14:textId="77777777" w:rsidR="00F57A5D" w:rsidRPr="00261A36" w:rsidRDefault="00F57A5D" w:rsidP="00F57A5D">
      <w:pPr>
        <w:shd w:val="clear" w:color="auto" w:fill="FFFFFF"/>
        <w:spacing w:after="120"/>
        <w:ind w:left="709" w:right="709"/>
        <w:jc w:val="both"/>
        <w:rPr>
          <w:rFonts w:ascii="Arial" w:hAnsi="Arial" w:cs="Arial"/>
          <w:color w:val="000000" w:themeColor="text1"/>
          <w:sz w:val="21"/>
          <w:szCs w:val="21"/>
          <w:lang w:val="es-ES_tradnl"/>
        </w:rPr>
      </w:pPr>
      <w:r w:rsidRPr="00261A36">
        <w:rPr>
          <w:rFonts w:ascii="Arial" w:hAnsi="Arial" w:cs="Arial"/>
          <w:color w:val="000000" w:themeColor="text1"/>
          <w:sz w:val="21"/>
          <w:szCs w:val="21"/>
          <w:lang w:val="es-ES_tradnl"/>
        </w:rPr>
        <w:t>Los procedimientos de selección que se realicen utilizando los documentos tipo adoptados por la Agencia Nacional de Contratación Pública – Colombia Compra Eficiente, que se adelanten por la modalidad de selección de Concurso de Méritos, también se publicarán transitoriamente en la plataforma SECOP I, mientras se habilita el módulo de Concurso de Méritos en la plataforma SECOP II, teniendo en cuenta la regulación establecida en el Decreto 399 de 2021.</w:t>
      </w:r>
    </w:p>
    <w:p w14:paraId="1F956A84" w14:textId="77777777" w:rsidR="00F57A5D" w:rsidRPr="00261A36" w:rsidRDefault="00F57A5D" w:rsidP="00F57A5D">
      <w:pPr>
        <w:shd w:val="clear" w:color="auto" w:fill="FFFFFF"/>
        <w:spacing w:after="120"/>
        <w:ind w:left="709" w:right="709"/>
        <w:jc w:val="both"/>
        <w:rPr>
          <w:rFonts w:ascii="Arial" w:hAnsi="Arial" w:cs="Arial"/>
          <w:color w:val="000000" w:themeColor="text1"/>
          <w:sz w:val="21"/>
          <w:szCs w:val="21"/>
          <w:lang w:val="es-ES_tradnl"/>
        </w:rPr>
      </w:pPr>
      <w:r w:rsidRPr="00261A36">
        <w:rPr>
          <w:rFonts w:ascii="Arial" w:hAnsi="Arial" w:cs="Arial"/>
          <w:color w:val="000000" w:themeColor="text1"/>
          <w:sz w:val="21"/>
          <w:szCs w:val="21"/>
          <w:lang w:val="es-ES_tradnl"/>
        </w:rPr>
        <w:t>Una vez la funcionalidad para la publicación de Concurso de Méritos (abierto o con precalificación) sea implementada en el SECOP II, notificaremos a todos nuestros usuarios a través de nuestros canales oficiales.</w:t>
      </w:r>
    </w:p>
    <w:p w14:paraId="4223FCD4" w14:textId="77777777" w:rsidR="00F57A5D" w:rsidRPr="00261A36" w:rsidRDefault="00F57A5D" w:rsidP="00F57A5D">
      <w:pPr>
        <w:shd w:val="clear" w:color="auto" w:fill="FFFFFF"/>
        <w:ind w:left="709" w:right="709"/>
        <w:jc w:val="both"/>
        <w:rPr>
          <w:rFonts w:ascii="Arial" w:hAnsi="Arial" w:cs="Arial"/>
          <w:color w:val="000000" w:themeColor="text1"/>
          <w:sz w:val="21"/>
          <w:szCs w:val="21"/>
          <w:lang w:val="es-ES_tradnl"/>
        </w:rPr>
      </w:pPr>
      <w:r w:rsidRPr="00261A36">
        <w:rPr>
          <w:rFonts w:ascii="Arial" w:hAnsi="Arial" w:cs="Arial"/>
          <w:color w:val="000000" w:themeColor="text1"/>
          <w:sz w:val="21"/>
          <w:szCs w:val="21"/>
          <w:lang w:val="es-ES_tradnl"/>
        </w:rPr>
        <w:t>La habilitación de permisos en el SECOP I se verá reflejada a partir del 08 de junio 2021.</w:t>
      </w:r>
    </w:p>
    <w:p w14:paraId="79A737AA" w14:textId="77777777" w:rsidR="00F57A5D" w:rsidRPr="00261A36" w:rsidRDefault="00F57A5D" w:rsidP="00F57A5D">
      <w:pPr>
        <w:spacing w:line="276" w:lineRule="auto"/>
        <w:jc w:val="both"/>
        <w:rPr>
          <w:rFonts w:ascii="Arial" w:eastAsia="Calibri" w:hAnsi="Arial" w:cs="Arial"/>
          <w:color w:val="000000" w:themeColor="text1"/>
          <w:sz w:val="22"/>
          <w:lang w:val="es-ES_tradnl"/>
        </w:rPr>
      </w:pPr>
    </w:p>
    <w:p w14:paraId="4CAA9A7E" w14:textId="162D8684" w:rsidR="00015F42" w:rsidRDefault="00F57A5D" w:rsidP="00F57A5D">
      <w:pPr>
        <w:spacing w:line="276" w:lineRule="auto"/>
        <w:jc w:val="both"/>
        <w:rPr>
          <w:rFonts w:ascii="Arial" w:eastAsia="Calibri" w:hAnsi="Arial" w:cs="Arial"/>
          <w:color w:val="000000" w:themeColor="text1"/>
          <w:sz w:val="22"/>
          <w:lang w:val="es-ES_tradnl"/>
        </w:rPr>
      </w:pPr>
      <w:r w:rsidRPr="00261A36">
        <w:rPr>
          <w:rFonts w:ascii="Arial" w:eastAsia="Calibri" w:hAnsi="Arial" w:cs="Arial"/>
          <w:color w:val="000000" w:themeColor="text1"/>
          <w:sz w:val="22"/>
          <w:lang w:val="es-ES_tradnl"/>
        </w:rPr>
        <w:tab/>
        <w:t>Teniendo en cuenta lo establecido en la Circular citada, mientras se realizan los ajustes a la plataforma del SECOP II, de manera que resulte acorde con la regulación establecida por el Decreto 399 de 2021, las entidades estatales adelantarán los concursos de méritos transitoriamente en la plataforma SECOP I.</w:t>
      </w:r>
      <w:r w:rsidR="00FC453B" w:rsidRPr="00261A36">
        <w:rPr>
          <w:rFonts w:ascii="Arial" w:eastAsia="Calibri" w:hAnsi="Arial" w:cs="Arial"/>
          <w:color w:val="000000" w:themeColor="text1"/>
          <w:sz w:val="22"/>
          <w:lang w:val="es-ES_tradnl"/>
        </w:rPr>
        <w:t xml:space="preserve"> </w:t>
      </w:r>
      <w:r w:rsidR="00015F42" w:rsidRPr="00261A36">
        <w:rPr>
          <w:rFonts w:ascii="Arial" w:eastAsia="Calibri" w:hAnsi="Arial" w:cs="Arial"/>
          <w:color w:val="000000" w:themeColor="text1"/>
          <w:sz w:val="22"/>
          <w:lang w:val="es-ES_tradnl"/>
        </w:rPr>
        <w:t>Así también lo confirma el comunicado</w:t>
      </w:r>
      <w:r w:rsidR="00616D21" w:rsidRPr="00261A36">
        <w:rPr>
          <w:rFonts w:ascii="Arial" w:eastAsia="Calibri" w:hAnsi="Arial" w:cs="Arial"/>
          <w:color w:val="000000" w:themeColor="text1"/>
          <w:sz w:val="22"/>
          <w:lang w:val="es-ES_tradnl"/>
        </w:rPr>
        <w:t xml:space="preserve"> sobre la Circular 002</w:t>
      </w:r>
      <w:r w:rsidR="00C63E31" w:rsidRPr="00261A36">
        <w:rPr>
          <w:rFonts w:ascii="Arial" w:eastAsia="Calibri" w:hAnsi="Arial" w:cs="Arial"/>
          <w:color w:val="000000" w:themeColor="text1"/>
          <w:sz w:val="22"/>
          <w:lang w:val="es-ES_tradnl"/>
        </w:rPr>
        <w:t xml:space="preserve"> de 2021</w:t>
      </w:r>
      <w:r w:rsidR="00C63E31" w:rsidRPr="00261A36">
        <w:rPr>
          <w:rStyle w:val="Refdenotaalpie"/>
          <w:rFonts w:ascii="Arial" w:eastAsia="Calibri" w:hAnsi="Arial" w:cs="Arial"/>
          <w:color w:val="000000" w:themeColor="text1"/>
          <w:sz w:val="22"/>
          <w:lang w:val="es-ES_tradnl"/>
        </w:rPr>
        <w:footnoteReference w:id="7"/>
      </w:r>
      <w:r w:rsidR="00C63E31" w:rsidRPr="00261A36">
        <w:rPr>
          <w:rFonts w:ascii="Arial" w:eastAsia="Calibri" w:hAnsi="Arial" w:cs="Arial"/>
          <w:color w:val="000000" w:themeColor="text1"/>
          <w:sz w:val="22"/>
          <w:lang w:val="es-ES_tradnl"/>
        </w:rPr>
        <w:t>.</w:t>
      </w:r>
    </w:p>
    <w:p w14:paraId="75AB8E56" w14:textId="5F23CFA4" w:rsidR="0081338F" w:rsidRDefault="0081338F" w:rsidP="00510DE9">
      <w:pPr>
        <w:tabs>
          <w:tab w:val="left" w:pos="0"/>
        </w:tabs>
        <w:jc w:val="both"/>
        <w:rPr>
          <w:rFonts w:ascii="Arial" w:eastAsia="Calibri" w:hAnsi="Arial" w:cs="Arial"/>
          <w:b/>
          <w:color w:val="000000" w:themeColor="text1"/>
          <w:sz w:val="22"/>
          <w:lang w:val="es-ES_tradnl"/>
        </w:rPr>
      </w:pPr>
    </w:p>
    <w:p w14:paraId="1B918680" w14:textId="6486F46D" w:rsidR="000F1546" w:rsidRPr="00973507" w:rsidRDefault="000F1546" w:rsidP="000F1546">
      <w:pPr>
        <w:spacing w:line="276" w:lineRule="auto"/>
        <w:jc w:val="both"/>
        <w:rPr>
          <w:rFonts w:ascii="Arial" w:eastAsia="Calibri" w:hAnsi="Arial" w:cs="Arial"/>
          <w:b/>
          <w:bCs/>
          <w:color w:val="000000" w:themeColor="text1"/>
          <w:sz w:val="22"/>
          <w:lang w:val="es-ES_tradnl"/>
        </w:rPr>
      </w:pPr>
      <w:r w:rsidRPr="00D44227">
        <w:rPr>
          <w:rFonts w:ascii="Arial" w:eastAsia="Calibri" w:hAnsi="Arial" w:cs="Arial"/>
          <w:b/>
          <w:bCs/>
          <w:color w:val="000000" w:themeColor="text1"/>
          <w:sz w:val="22"/>
        </w:rPr>
        <w:t>2.</w:t>
      </w:r>
      <w:r>
        <w:rPr>
          <w:rFonts w:ascii="Arial" w:eastAsia="Calibri" w:hAnsi="Arial" w:cs="Arial"/>
          <w:b/>
          <w:bCs/>
          <w:color w:val="000000" w:themeColor="text1"/>
          <w:sz w:val="22"/>
        </w:rPr>
        <w:t>3</w:t>
      </w:r>
      <w:r w:rsidRPr="00D44227">
        <w:rPr>
          <w:rFonts w:ascii="Arial" w:eastAsia="Calibri" w:hAnsi="Arial" w:cs="Arial"/>
          <w:b/>
          <w:bCs/>
          <w:color w:val="000000" w:themeColor="text1"/>
          <w:sz w:val="22"/>
        </w:rPr>
        <w:t xml:space="preserve">. </w:t>
      </w:r>
      <w:r w:rsidR="00973507">
        <w:rPr>
          <w:rFonts w:ascii="Arial" w:eastAsia="Calibri" w:hAnsi="Arial" w:cs="Arial"/>
          <w:b/>
          <w:bCs/>
          <w:color w:val="000000" w:themeColor="text1"/>
          <w:sz w:val="22"/>
        </w:rPr>
        <w:t>D</w:t>
      </w:r>
      <w:r w:rsidR="00973507" w:rsidRPr="00973507">
        <w:rPr>
          <w:rFonts w:ascii="Arial" w:eastAsia="Calibri" w:hAnsi="Arial" w:cs="Arial"/>
          <w:b/>
          <w:bCs/>
          <w:color w:val="000000" w:themeColor="text1"/>
          <w:sz w:val="22"/>
        </w:rPr>
        <w:t>esaparición de la audiencia de revisión de la oferta económica después de la evaluación y carácter potestativo de la audiencia pública de adjudicación en el concurso de méritos abierto o con precalificación.</w:t>
      </w:r>
    </w:p>
    <w:p w14:paraId="38E19D04" w14:textId="77777777" w:rsidR="000F1546" w:rsidRDefault="000F1546" w:rsidP="000F1546">
      <w:pPr>
        <w:spacing w:line="276" w:lineRule="auto"/>
        <w:jc w:val="both"/>
        <w:rPr>
          <w:rFonts w:ascii="Arial" w:hAnsi="Arial" w:cs="Arial"/>
          <w:bCs/>
          <w:color w:val="000000" w:themeColor="text1"/>
          <w:sz w:val="22"/>
          <w:lang w:val="es-ES"/>
        </w:rPr>
      </w:pPr>
    </w:p>
    <w:p w14:paraId="7E92ECF4" w14:textId="055EADC9" w:rsidR="002F4BEC" w:rsidRPr="00883246" w:rsidRDefault="009B1F52" w:rsidP="000F1546">
      <w:pPr>
        <w:spacing w:after="120" w:line="276" w:lineRule="auto"/>
        <w:jc w:val="both"/>
        <w:rPr>
          <w:rFonts w:ascii="Arial" w:hAnsi="Arial" w:cs="Arial"/>
          <w:color w:val="000000"/>
          <w:sz w:val="22"/>
          <w:szCs w:val="22"/>
        </w:rPr>
      </w:pPr>
      <w:r w:rsidRPr="00883246">
        <w:rPr>
          <w:rFonts w:ascii="Arial" w:hAnsi="Arial" w:cs="Arial"/>
          <w:color w:val="000000"/>
          <w:sz w:val="22"/>
          <w:szCs w:val="22"/>
          <w:lang w:val="es-ES"/>
        </w:rPr>
        <w:t xml:space="preserve">Como se indicó, con la modificación introducida por el Decreto </w:t>
      </w:r>
      <w:r w:rsidR="009F4481" w:rsidRPr="00883246">
        <w:rPr>
          <w:rFonts w:ascii="Arial" w:hAnsi="Arial" w:cs="Arial"/>
          <w:color w:val="000000"/>
          <w:sz w:val="22"/>
          <w:szCs w:val="22"/>
          <w:lang w:val="es-ES"/>
        </w:rPr>
        <w:t>399 de 2021 al concurso de méritos</w:t>
      </w:r>
      <w:r w:rsidR="00E758E0">
        <w:rPr>
          <w:rFonts w:ascii="Arial" w:hAnsi="Arial" w:cs="Arial"/>
          <w:color w:val="000000"/>
          <w:sz w:val="22"/>
          <w:szCs w:val="22"/>
          <w:lang w:val="es-ES"/>
        </w:rPr>
        <w:t xml:space="preserve"> abierto </w:t>
      </w:r>
      <w:r w:rsidR="003F1C94">
        <w:rPr>
          <w:rFonts w:ascii="Arial" w:hAnsi="Arial" w:cs="Arial"/>
          <w:color w:val="000000"/>
          <w:sz w:val="22"/>
          <w:szCs w:val="22"/>
          <w:lang w:val="es-ES"/>
        </w:rPr>
        <w:t>o</w:t>
      </w:r>
      <w:r w:rsidR="00E758E0">
        <w:rPr>
          <w:rFonts w:ascii="Arial" w:hAnsi="Arial" w:cs="Arial"/>
          <w:color w:val="000000"/>
          <w:sz w:val="22"/>
          <w:szCs w:val="22"/>
          <w:lang w:val="es-ES"/>
        </w:rPr>
        <w:t xml:space="preserve"> con precalificación</w:t>
      </w:r>
      <w:r w:rsidR="009F4481" w:rsidRPr="00883246">
        <w:rPr>
          <w:rFonts w:ascii="Arial" w:hAnsi="Arial" w:cs="Arial"/>
          <w:color w:val="000000"/>
          <w:sz w:val="22"/>
          <w:szCs w:val="22"/>
          <w:lang w:val="es-ES"/>
        </w:rPr>
        <w:t>, las entidades estatales</w:t>
      </w:r>
      <w:r w:rsidR="00121E10">
        <w:rPr>
          <w:rFonts w:ascii="Arial" w:hAnsi="Arial" w:cs="Arial"/>
          <w:color w:val="000000"/>
          <w:sz w:val="22"/>
          <w:szCs w:val="22"/>
          <w:lang w:val="es-ES"/>
        </w:rPr>
        <w:t>, después de la evaluación de los requisitos habilitantes y de calificación,</w:t>
      </w:r>
      <w:r w:rsidR="009F4481" w:rsidRPr="00883246">
        <w:rPr>
          <w:rFonts w:ascii="Arial" w:hAnsi="Arial" w:cs="Arial"/>
          <w:color w:val="000000"/>
          <w:sz w:val="22"/>
          <w:szCs w:val="22"/>
          <w:lang w:val="es-ES"/>
        </w:rPr>
        <w:t xml:space="preserve"> no deben llevar a cabo una </w:t>
      </w:r>
      <w:r w:rsidR="009833B4" w:rsidRPr="00883246">
        <w:rPr>
          <w:rFonts w:ascii="Arial" w:hAnsi="Arial" w:cs="Arial"/>
          <w:color w:val="000000"/>
          <w:sz w:val="22"/>
          <w:szCs w:val="22"/>
          <w:lang w:val="es-ES"/>
        </w:rPr>
        <w:t>audiencia para</w:t>
      </w:r>
      <w:r w:rsidR="001762A8" w:rsidRPr="00883246">
        <w:rPr>
          <w:rFonts w:ascii="Arial" w:hAnsi="Arial" w:cs="Arial"/>
          <w:color w:val="000000"/>
          <w:sz w:val="22"/>
          <w:szCs w:val="22"/>
          <w:lang w:val="es-ES"/>
        </w:rPr>
        <w:t xml:space="preserve"> revisar la oferta económica y verificar </w:t>
      </w:r>
      <w:r w:rsidR="003152AB" w:rsidRPr="00883246">
        <w:rPr>
          <w:rFonts w:ascii="Arial" w:hAnsi="Arial" w:cs="Arial"/>
          <w:color w:val="000000"/>
          <w:sz w:val="22"/>
          <w:szCs w:val="22"/>
          <w:lang w:val="es-ES"/>
        </w:rPr>
        <w:t>que se encuentre en el rango del valor estimado consignado en los estudios previos</w:t>
      </w:r>
      <w:r w:rsidR="008C067F">
        <w:rPr>
          <w:rFonts w:ascii="Arial" w:hAnsi="Arial" w:cs="Arial"/>
          <w:color w:val="000000"/>
          <w:sz w:val="22"/>
          <w:szCs w:val="22"/>
          <w:lang w:val="es-ES"/>
        </w:rPr>
        <w:t>, ni tampoco una fase de negociación del precio</w:t>
      </w:r>
      <w:r w:rsidR="003152AB" w:rsidRPr="00883246">
        <w:rPr>
          <w:rFonts w:ascii="Arial" w:hAnsi="Arial" w:cs="Arial"/>
          <w:color w:val="000000"/>
          <w:sz w:val="22"/>
          <w:szCs w:val="22"/>
          <w:lang w:val="es-ES"/>
        </w:rPr>
        <w:t xml:space="preserve">. </w:t>
      </w:r>
      <w:r w:rsidR="00DC5950">
        <w:rPr>
          <w:rFonts w:ascii="Arial" w:hAnsi="Arial" w:cs="Arial"/>
          <w:color w:val="000000"/>
          <w:sz w:val="22"/>
          <w:szCs w:val="22"/>
          <w:lang w:val="es-ES"/>
        </w:rPr>
        <w:t>Las entidades estatales deben</w:t>
      </w:r>
      <w:r w:rsidR="003152AB" w:rsidRPr="00883246">
        <w:rPr>
          <w:rFonts w:ascii="Arial" w:hAnsi="Arial" w:cs="Arial"/>
          <w:color w:val="000000"/>
          <w:sz w:val="22"/>
          <w:szCs w:val="22"/>
          <w:lang w:val="es-ES"/>
        </w:rPr>
        <w:t xml:space="preserve"> </w:t>
      </w:r>
      <w:r w:rsidR="002F4BEC" w:rsidRPr="00883246">
        <w:rPr>
          <w:rFonts w:ascii="Arial" w:hAnsi="Arial" w:cs="Arial"/>
          <w:color w:val="000000"/>
          <w:sz w:val="22"/>
          <w:szCs w:val="22"/>
          <w:lang w:val="es-ES"/>
        </w:rPr>
        <w:t>realizar la evaluación y publicar el informe</w:t>
      </w:r>
      <w:r w:rsidR="00883246" w:rsidRPr="00883246">
        <w:rPr>
          <w:rFonts w:ascii="Arial" w:hAnsi="Arial" w:cs="Arial"/>
          <w:color w:val="000000"/>
          <w:sz w:val="22"/>
          <w:szCs w:val="22"/>
          <w:lang w:val="es-ES"/>
        </w:rPr>
        <w:t xml:space="preserve"> correspondiente, «</w:t>
      </w:r>
      <w:r w:rsidR="00883246" w:rsidRPr="00883246">
        <w:rPr>
          <w:rFonts w:ascii="Arial" w:hAnsi="Arial" w:cs="Arial"/>
          <w:sz w:val="22"/>
          <w:szCs w:val="22"/>
        </w:rPr>
        <w:t xml:space="preserve">[…] </w:t>
      </w:r>
      <w:r w:rsidR="00883246" w:rsidRPr="00883246">
        <w:rPr>
          <w:rFonts w:ascii="Arial" w:hAnsi="Arial" w:cs="Arial"/>
          <w:color w:val="000000"/>
          <w:sz w:val="22"/>
          <w:szCs w:val="22"/>
          <w:lang w:val="es-ES"/>
        </w:rPr>
        <w:lastRenderedPageBreak/>
        <w:t>el cual debe contener la evaluación de las ofertas frente a todos los requisitos exigidos en el pliego de condiciones, incluyendo los requisitos habilitantes y los de asignación de puntaje</w:t>
      </w:r>
      <w:r w:rsidR="00CB1800">
        <w:rPr>
          <w:rFonts w:ascii="Arial" w:hAnsi="Arial" w:cs="Arial"/>
          <w:color w:val="000000"/>
          <w:sz w:val="22"/>
          <w:szCs w:val="22"/>
          <w:lang w:val="es-ES"/>
        </w:rPr>
        <w:t xml:space="preserve">», al tenor del numeral 2 del artículo </w:t>
      </w:r>
      <w:r w:rsidR="00CB1800" w:rsidRPr="00CB1800">
        <w:rPr>
          <w:rFonts w:ascii="Arial" w:hAnsi="Arial" w:cs="Arial"/>
          <w:color w:val="000000"/>
          <w:sz w:val="22"/>
          <w:szCs w:val="22"/>
          <w:lang w:val="es-ES"/>
        </w:rPr>
        <w:t>2.2.1.2.1.3.2.</w:t>
      </w:r>
      <w:r w:rsidR="00CB1800">
        <w:rPr>
          <w:rFonts w:ascii="Arial" w:hAnsi="Arial" w:cs="Arial"/>
          <w:color w:val="000000"/>
          <w:sz w:val="22"/>
          <w:szCs w:val="22"/>
          <w:lang w:val="es-ES"/>
        </w:rPr>
        <w:t xml:space="preserve"> del Decreto 1082 de 2021, modificado por el artículo 2 del </w:t>
      </w:r>
      <w:r w:rsidR="00121E10">
        <w:rPr>
          <w:rFonts w:ascii="Arial" w:hAnsi="Arial" w:cs="Arial"/>
          <w:color w:val="000000"/>
          <w:sz w:val="22"/>
          <w:szCs w:val="22"/>
          <w:lang w:val="es-ES"/>
        </w:rPr>
        <w:t>primero de los decretos mencionados.</w:t>
      </w:r>
      <w:r w:rsidR="00883246" w:rsidRPr="00883246">
        <w:rPr>
          <w:rFonts w:ascii="Arial" w:hAnsi="Arial" w:cs="Arial"/>
          <w:color w:val="000000"/>
          <w:sz w:val="22"/>
          <w:szCs w:val="22"/>
          <w:lang w:val="es-ES"/>
        </w:rPr>
        <w:t xml:space="preserve"> </w:t>
      </w:r>
      <w:r w:rsidR="00DC5950">
        <w:rPr>
          <w:rFonts w:ascii="Arial" w:hAnsi="Arial" w:cs="Arial"/>
          <w:color w:val="000000"/>
          <w:sz w:val="22"/>
          <w:szCs w:val="22"/>
          <w:lang w:val="es-ES"/>
        </w:rPr>
        <w:t xml:space="preserve">Es decir que la verificación de que el precio de la oferta no excede el presupuesto oficial se debe </w:t>
      </w:r>
      <w:r w:rsidR="00330BF8">
        <w:rPr>
          <w:rFonts w:ascii="Arial" w:hAnsi="Arial" w:cs="Arial"/>
          <w:color w:val="000000"/>
          <w:sz w:val="22"/>
          <w:szCs w:val="22"/>
          <w:lang w:val="es-ES"/>
        </w:rPr>
        <w:t>hacer antes de publicar el informe de evaluación.</w:t>
      </w:r>
    </w:p>
    <w:p w14:paraId="39767313" w14:textId="40456C63" w:rsidR="00A738FF" w:rsidRDefault="00330BF8" w:rsidP="00330BF8">
      <w:pPr>
        <w:spacing w:after="120" w:line="276" w:lineRule="auto"/>
        <w:ind w:firstLine="709"/>
        <w:jc w:val="both"/>
        <w:rPr>
          <w:rFonts w:ascii="Arial" w:hAnsi="Arial" w:cs="Arial"/>
          <w:color w:val="000000"/>
          <w:sz w:val="22"/>
          <w:lang w:val="es-ES"/>
        </w:rPr>
      </w:pPr>
      <w:r>
        <w:rPr>
          <w:rFonts w:ascii="Arial" w:hAnsi="Arial" w:cs="Arial"/>
          <w:color w:val="000000"/>
          <w:sz w:val="22"/>
          <w:lang w:val="es-ES"/>
        </w:rPr>
        <w:t>Por otra parte, a</w:t>
      </w:r>
      <w:r w:rsidR="00A738FF">
        <w:rPr>
          <w:rFonts w:ascii="Arial" w:hAnsi="Arial" w:cs="Arial"/>
          <w:color w:val="000000"/>
          <w:sz w:val="22"/>
          <w:lang w:val="es-ES"/>
        </w:rPr>
        <w:t>unque</w:t>
      </w:r>
      <w:r w:rsidR="007A5F83">
        <w:rPr>
          <w:rFonts w:ascii="Arial" w:hAnsi="Arial" w:cs="Arial"/>
          <w:color w:val="000000"/>
          <w:sz w:val="22"/>
          <w:lang w:val="es-ES"/>
        </w:rPr>
        <w:t xml:space="preserve"> el artículo 2 del Decreto 399 de 2021 </w:t>
      </w:r>
      <w:r w:rsidR="007A5F83" w:rsidRPr="00495D30">
        <w:rPr>
          <w:rFonts w:ascii="Arial" w:hAnsi="Arial" w:cs="Arial"/>
          <w:i/>
          <w:iCs/>
          <w:color w:val="000000"/>
          <w:sz w:val="22"/>
          <w:lang w:val="es-ES"/>
        </w:rPr>
        <w:t>no exige</w:t>
      </w:r>
      <w:r w:rsidR="00874B44" w:rsidRPr="00495D30">
        <w:rPr>
          <w:rFonts w:ascii="Arial" w:hAnsi="Arial" w:cs="Arial"/>
          <w:i/>
          <w:iCs/>
          <w:color w:val="000000"/>
          <w:sz w:val="22"/>
          <w:lang w:val="es-ES"/>
        </w:rPr>
        <w:t xml:space="preserve"> que se efectúe una audiencia de adjudicación</w:t>
      </w:r>
      <w:r w:rsidR="00874B44">
        <w:rPr>
          <w:rFonts w:ascii="Arial" w:hAnsi="Arial" w:cs="Arial"/>
          <w:color w:val="000000"/>
          <w:sz w:val="22"/>
          <w:lang w:val="es-ES"/>
        </w:rPr>
        <w:t xml:space="preserve"> en el concurso de méritos</w:t>
      </w:r>
      <w:r w:rsidR="00496023">
        <w:rPr>
          <w:rFonts w:ascii="Arial" w:hAnsi="Arial" w:cs="Arial"/>
          <w:color w:val="000000"/>
          <w:sz w:val="22"/>
          <w:lang w:val="es-ES"/>
        </w:rPr>
        <w:t xml:space="preserve"> abierto o con precalificación</w:t>
      </w:r>
      <w:r w:rsidR="004B2EA5">
        <w:rPr>
          <w:rFonts w:ascii="Arial" w:hAnsi="Arial" w:cs="Arial"/>
          <w:color w:val="000000"/>
          <w:sz w:val="22"/>
          <w:lang w:val="es-ES"/>
        </w:rPr>
        <w:t xml:space="preserve"> –</w:t>
      </w:r>
      <w:r w:rsidR="00903EE2">
        <w:rPr>
          <w:rFonts w:ascii="Arial" w:hAnsi="Arial" w:cs="Arial"/>
          <w:color w:val="000000"/>
          <w:sz w:val="22"/>
          <w:lang w:val="es-ES"/>
        </w:rPr>
        <w:t xml:space="preserve">como tampoco resultaba obligatoria </w:t>
      </w:r>
      <w:r w:rsidR="00A738FF">
        <w:rPr>
          <w:rFonts w:ascii="Arial" w:hAnsi="Arial" w:cs="Arial"/>
          <w:color w:val="000000"/>
          <w:sz w:val="22"/>
          <w:lang w:val="es-ES"/>
        </w:rPr>
        <w:t>luego</w:t>
      </w:r>
      <w:r w:rsidR="004B2EA5">
        <w:rPr>
          <w:rFonts w:ascii="Arial" w:hAnsi="Arial" w:cs="Arial"/>
          <w:color w:val="000000"/>
          <w:sz w:val="22"/>
          <w:lang w:val="es-ES"/>
        </w:rPr>
        <w:t xml:space="preserve"> de los autos que suspendieron provisionalmente los numerales</w:t>
      </w:r>
      <w:r w:rsidR="00E75A1F">
        <w:rPr>
          <w:rFonts w:ascii="Arial" w:hAnsi="Arial" w:cs="Arial"/>
          <w:color w:val="000000"/>
          <w:sz w:val="22"/>
          <w:lang w:val="es-ES"/>
        </w:rPr>
        <w:t xml:space="preserve"> 3, 4 y 5 del artículo </w:t>
      </w:r>
      <w:r w:rsidR="00E75A1F" w:rsidRPr="00493521">
        <w:rPr>
          <w:rFonts w:ascii="Arial" w:hAnsi="Arial" w:cs="Arial"/>
          <w:color w:val="000000" w:themeColor="text1"/>
          <w:sz w:val="21"/>
          <w:szCs w:val="21"/>
          <w:lang w:val="es-ES_tradnl"/>
        </w:rPr>
        <w:t>2.2.1.2.1.3.2.</w:t>
      </w:r>
      <w:r w:rsidR="00E75A1F">
        <w:rPr>
          <w:rFonts w:ascii="Arial" w:hAnsi="Arial" w:cs="Arial"/>
          <w:color w:val="000000" w:themeColor="text1"/>
          <w:sz w:val="21"/>
          <w:szCs w:val="21"/>
          <w:lang w:val="es-ES_tradnl"/>
        </w:rPr>
        <w:t xml:space="preserve"> del Decreto 1082 de 2015</w:t>
      </w:r>
      <w:r w:rsidR="00A738FF">
        <w:rPr>
          <w:rFonts w:ascii="Arial" w:hAnsi="Arial" w:cs="Arial"/>
          <w:color w:val="000000" w:themeColor="text1"/>
          <w:sz w:val="21"/>
          <w:szCs w:val="21"/>
          <w:lang w:val="es-ES_tradnl"/>
        </w:rPr>
        <w:t xml:space="preserve">–, la Agencia Nacional de Contratación Pública </w:t>
      </w:r>
      <w:r w:rsidR="00D2519C">
        <w:rPr>
          <w:rFonts w:ascii="Arial" w:hAnsi="Arial" w:cs="Arial"/>
          <w:color w:val="000000" w:themeColor="text1"/>
          <w:sz w:val="21"/>
          <w:szCs w:val="21"/>
          <w:lang w:val="es-ES_tradnl"/>
        </w:rPr>
        <w:t>expresó</w:t>
      </w:r>
      <w:r w:rsidR="00A738FF">
        <w:rPr>
          <w:rFonts w:ascii="Arial" w:hAnsi="Arial" w:cs="Arial"/>
          <w:color w:val="000000" w:themeColor="text1"/>
          <w:sz w:val="21"/>
          <w:szCs w:val="21"/>
          <w:lang w:val="es-ES_tradnl"/>
        </w:rPr>
        <w:t xml:space="preserve"> en varios conceptos</w:t>
      </w:r>
      <w:r w:rsidR="00D2519C">
        <w:rPr>
          <w:rStyle w:val="Refdenotaalpie"/>
          <w:rFonts w:ascii="Arial" w:hAnsi="Arial" w:cs="Arial"/>
          <w:color w:val="000000" w:themeColor="text1"/>
          <w:sz w:val="21"/>
          <w:szCs w:val="21"/>
          <w:lang w:val="es-ES_tradnl"/>
        </w:rPr>
        <w:footnoteReference w:id="8"/>
      </w:r>
      <w:r w:rsidR="00A738FF">
        <w:rPr>
          <w:rFonts w:ascii="Arial" w:hAnsi="Arial" w:cs="Arial"/>
          <w:color w:val="000000" w:themeColor="text1"/>
          <w:sz w:val="21"/>
          <w:szCs w:val="21"/>
          <w:lang w:val="es-ES_tradnl"/>
        </w:rPr>
        <w:t xml:space="preserve"> </w:t>
      </w:r>
      <w:r w:rsidR="00187A09">
        <w:rPr>
          <w:rFonts w:ascii="Arial" w:hAnsi="Arial" w:cs="Arial"/>
          <w:color w:val="000000" w:themeColor="text1"/>
          <w:sz w:val="21"/>
          <w:szCs w:val="21"/>
          <w:lang w:val="es-ES_tradnl"/>
        </w:rPr>
        <w:t xml:space="preserve">anteriores a la expedición del Decreto 399 de 2021 que las audiencias públicas en el concurso de mérito tienen un </w:t>
      </w:r>
      <w:r w:rsidR="00187A09" w:rsidRPr="00D74387">
        <w:rPr>
          <w:rFonts w:ascii="Arial" w:hAnsi="Arial" w:cs="Arial"/>
          <w:i/>
          <w:iCs/>
          <w:color w:val="000000" w:themeColor="text1"/>
          <w:sz w:val="21"/>
          <w:szCs w:val="21"/>
          <w:lang w:val="es-ES_tradnl"/>
        </w:rPr>
        <w:t>carácter potestativo</w:t>
      </w:r>
      <w:r w:rsidR="00D74387">
        <w:rPr>
          <w:rFonts w:ascii="Arial" w:hAnsi="Arial" w:cs="Arial"/>
          <w:color w:val="000000" w:themeColor="text1"/>
          <w:sz w:val="21"/>
          <w:szCs w:val="21"/>
          <w:lang w:val="es-ES_tradnl"/>
        </w:rPr>
        <w:t>. Esta tesis se puede mantener</w:t>
      </w:r>
      <w:r w:rsidR="00495D30">
        <w:rPr>
          <w:rFonts w:ascii="Arial" w:hAnsi="Arial" w:cs="Arial"/>
          <w:color w:val="000000" w:themeColor="text1"/>
          <w:sz w:val="21"/>
          <w:szCs w:val="21"/>
          <w:lang w:val="es-ES_tradnl"/>
        </w:rPr>
        <w:t xml:space="preserve"> en vigencia del nuevo reglamento</w:t>
      </w:r>
      <w:r w:rsidR="00D74387">
        <w:rPr>
          <w:rFonts w:ascii="Arial" w:hAnsi="Arial" w:cs="Arial"/>
          <w:color w:val="000000" w:themeColor="text1"/>
          <w:sz w:val="21"/>
          <w:szCs w:val="21"/>
          <w:lang w:val="es-ES_tradnl"/>
        </w:rPr>
        <w:t>, por las siguientes razones:</w:t>
      </w:r>
      <w:r w:rsidR="00A738FF">
        <w:rPr>
          <w:rFonts w:ascii="Arial" w:hAnsi="Arial" w:cs="Arial"/>
          <w:color w:val="000000" w:themeColor="text1"/>
          <w:sz w:val="21"/>
          <w:szCs w:val="21"/>
          <w:lang w:val="es-ES_tradnl"/>
        </w:rPr>
        <w:t xml:space="preserve"> </w:t>
      </w:r>
      <w:r w:rsidR="00E75A1F">
        <w:rPr>
          <w:rFonts w:ascii="Arial" w:hAnsi="Arial" w:cs="Arial"/>
          <w:color w:val="000000"/>
          <w:sz w:val="22"/>
          <w:lang w:val="es-ES"/>
        </w:rPr>
        <w:t xml:space="preserve"> </w:t>
      </w:r>
      <w:r w:rsidR="004B2EA5">
        <w:rPr>
          <w:rFonts w:ascii="Arial" w:hAnsi="Arial" w:cs="Arial"/>
          <w:color w:val="000000"/>
          <w:sz w:val="22"/>
          <w:lang w:val="es-ES"/>
        </w:rPr>
        <w:t xml:space="preserve"> </w:t>
      </w:r>
      <w:r w:rsidR="007A5F83">
        <w:rPr>
          <w:rFonts w:ascii="Arial" w:hAnsi="Arial" w:cs="Arial"/>
          <w:color w:val="000000"/>
          <w:sz w:val="22"/>
          <w:lang w:val="es-ES"/>
        </w:rPr>
        <w:t xml:space="preserve"> </w:t>
      </w:r>
    </w:p>
    <w:p w14:paraId="425164FD" w14:textId="56B6AF78" w:rsidR="000F1546" w:rsidRDefault="000F1546" w:rsidP="00A738FF">
      <w:pPr>
        <w:spacing w:after="120" w:line="276" w:lineRule="auto"/>
        <w:ind w:firstLine="709"/>
        <w:jc w:val="both"/>
        <w:rPr>
          <w:rFonts w:ascii="Arial" w:hAnsi="Arial" w:cs="Arial"/>
          <w:color w:val="000000"/>
          <w:sz w:val="22"/>
          <w:lang w:val="es-ES"/>
        </w:rPr>
      </w:pPr>
      <w:r w:rsidRPr="00707A5C">
        <w:rPr>
          <w:rFonts w:ascii="Arial" w:hAnsi="Arial" w:cs="Arial"/>
          <w:color w:val="000000"/>
          <w:sz w:val="22"/>
          <w:lang w:val="es-ES"/>
        </w:rPr>
        <w:t>Uno de los principios que rige la contratación estatal es el de transparencia, cuya máxima expresión se traduce en la li</w:t>
      </w:r>
      <w:r>
        <w:rPr>
          <w:rFonts w:ascii="Arial" w:hAnsi="Arial" w:cs="Arial"/>
          <w:color w:val="000000"/>
          <w:sz w:val="22"/>
          <w:lang w:val="es-ES"/>
        </w:rPr>
        <w:t>ci</w:t>
      </w:r>
      <w:r w:rsidRPr="00707A5C">
        <w:rPr>
          <w:rFonts w:ascii="Arial" w:hAnsi="Arial" w:cs="Arial"/>
          <w:color w:val="000000"/>
          <w:sz w:val="22"/>
          <w:lang w:val="es-ES"/>
        </w:rPr>
        <w:t>tación pública, procedimiento que, a su vez, constituye la regla general para la selección de contratistas y en el que sus etapas se desarrollan mediante convocatoria pública en igualdad de condiciones, con libre concurrencia y orientadas a seleccionar objetivamente la oferta de bienes, obras o servicios más favorable para la Administración. Esta modalidad de selección de la Ley 80 de 1993, así como las demás previstas con la expedición de la Ley 1150 de 2007, especialmente, la selección abreviada y el concurso de méritos, culminan con el acto de adjudicación, decisión motivada de la entidad contratante por la que se concede el derecho a celebrar el contrato al mejor oferente</w:t>
      </w:r>
      <w:r>
        <w:rPr>
          <w:rStyle w:val="Refdenotaalpie"/>
          <w:rFonts w:ascii="Arial" w:hAnsi="Arial" w:cs="Arial"/>
          <w:color w:val="000000"/>
          <w:sz w:val="22"/>
          <w:lang w:val="es-ES"/>
        </w:rPr>
        <w:footnoteReference w:id="9"/>
      </w:r>
      <w:r>
        <w:rPr>
          <w:rFonts w:ascii="Arial" w:hAnsi="Arial" w:cs="Arial"/>
          <w:color w:val="000000"/>
          <w:sz w:val="22"/>
          <w:lang w:val="es-ES"/>
        </w:rPr>
        <w:t xml:space="preserve">. </w:t>
      </w:r>
    </w:p>
    <w:p w14:paraId="479C2323" w14:textId="5CECD113" w:rsidR="000F1546" w:rsidRPr="00393C80" w:rsidRDefault="000F1546" w:rsidP="000F1546">
      <w:pPr>
        <w:spacing w:after="120" w:line="276" w:lineRule="auto"/>
        <w:ind w:firstLine="708"/>
        <w:jc w:val="both"/>
        <w:rPr>
          <w:rFonts w:ascii="Arial" w:hAnsi="Arial" w:cs="Arial"/>
          <w:color w:val="000000"/>
          <w:sz w:val="22"/>
          <w:szCs w:val="22"/>
        </w:rPr>
      </w:pPr>
      <w:r w:rsidRPr="00393C80">
        <w:rPr>
          <w:rFonts w:ascii="Arial" w:hAnsi="Arial" w:cs="Arial"/>
          <w:color w:val="000000"/>
          <w:sz w:val="22"/>
          <w:szCs w:val="22"/>
          <w:lang w:val="es-ES"/>
        </w:rPr>
        <w:t>En el concurso de méritos, si bien la etapa de adjudicación es obligatoria, no existe una norma que obligue a realizarla por </w:t>
      </w:r>
      <w:r w:rsidRPr="00393C80">
        <w:rPr>
          <w:rFonts w:ascii="Arial" w:hAnsi="Arial" w:cs="Arial"/>
          <w:i/>
          <w:iCs/>
          <w:color w:val="000000"/>
          <w:sz w:val="22"/>
          <w:szCs w:val="22"/>
          <w:lang w:val="es-ES"/>
        </w:rPr>
        <w:t>audiencia pública</w:t>
      </w:r>
      <w:r w:rsidRPr="00393C80">
        <w:rPr>
          <w:rFonts w:ascii="Arial" w:hAnsi="Arial" w:cs="Arial"/>
          <w:color w:val="000000"/>
          <w:sz w:val="22"/>
          <w:szCs w:val="22"/>
          <w:lang w:val="es-ES"/>
        </w:rPr>
        <w:t>. Aunque el artículo 2.3 de la Ley 1150 de 2007 no se refiere expresamente a este aspecto del procedimiento, el numeral 5 del artículo </w:t>
      </w:r>
      <w:r w:rsidR="00B77D85" w:rsidRPr="00393C80">
        <w:rPr>
          <w:rFonts w:ascii="Arial" w:hAnsi="Arial" w:cs="Arial"/>
          <w:color w:val="000000"/>
          <w:sz w:val="22"/>
          <w:szCs w:val="22"/>
          <w:lang w:val="es-ES"/>
        </w:rPr>
        <w:t>2.2.1.1.2.1.3.</w:t>
      </w:r>
      <w:r w:rsidRPr="00393C80">
        <w:rPr>
          <w:rFonts w:ascii="Arial" w:hAnsi="Arial" w:cs="Arial"/>
          <w:color w:val="000000"/>
          <w:sz w:val="22"/>
          <w:szCs w:val="22"/>
          <w:lang w:val="es-ES"/>
        </w:rPr>
        <w:t> del Decreto 1082 de 2015 dispone que el pliego de condiciones contiene información sobre «Las reglas aplicables a la presentación de las ofertas, su evaluación y a la adjudicación del contrato»</w:t>
      </w:r>
      <w:r w:rsidRPr="00393C80">
        <w:rPr>
          <w:rStyle w:val="Refdenotaalpie"/>
          <w:rFonts w:ascii="Arial" w:hAnsi="Arial" w:cs="Arial"/>
          <w:color w:val="000000"/>
          <w:sz w:val="22"/>
          <w:szCs w:val="22"/>
          <w:lang w:val="es-ES"/>
        </w:rPr>
        <w:footnoteReference w:id="10"/>
      </w:r>
      <w:r w:rsidRPr="00393C80">
        <w:rPr>
          <w:rFonts w:ascii="Arial" w:hAnsi="Arial" w:cs="Arial"/>
          <w:color w:val="000000"/>
          <w:sz w:val="22"/>
          <w:szCs w:val="22"/>
          <w:lang w:val="es-ES"/>
        </w:rPr>
        <w:t xml:space="preserve">. En consecuencia, pese a que el reglamento </w:t>
      </w:r>
      <w:r w:rsidRPr="00393C80">
        <w:rPr>
          <w:rFonts w:ascii="Arial" w:hAnsi="Arial" w:cs="Arial"/>
          <w:color w:val="000000"/>
          <w:sz w:val="22"/>
          <w:szCs w:val="22"/>
          <w:lang w:val="es-ES"/>
        </w:rPr>
        <w:lastRenderedPageBreak/>
        <w:t>dispone reglas especiales para el concurso de méritos, no es posible prescindir de la expedición de este acto administrativo.</w:t>
      </w:r>
      <w:r w:rsidR="006B6B99" w:rsidRPr="00393C80">
        <w:rPr>
          <w:rFonts w:ascii="Arial" w:hAnsi="Arial" w:cs="Arial"/>
          <w:color w:val="000000"/>
          <w:sz w:val="22"/>
          <w:szCs w:val="22"/>
          <w:lang w:val="es-ES"/>
        </w:rPr>
        <w:t xml:space="preserve"> Esto mismo puede predicarse del numeral 3 del artículo </w:t>
      </w:r>
      <w:r w:rsidR="006B6B99" w:rsidRPr="00393C80">
        <w:rPr>
          <w:rFonts w:ascii="Arial" w:hAnsi="Arial" w:cs="Arial"/>
          <w:color w:val="000000" w:themeColor="text1"/>
          <w:sz w:val="22"/>
          <w:szCs w:val="22"/>
          <w:lang w:val="es-ES_tradnl"/>
        </w:rPr>
        <w:t xml:space="preserve">2.2.1.2.1.3.2. del Decreto 1082 de 2015, modificado por el artículo 2 del Decreto 399 de 2021, </w:t>
      </w:r>
      <w:r w:rsidR="008404C8" w:rsidRPr="00393C80">
        <w:rPr>
          <w:rFonts w:ascii="Arial" w:hAnsi="Arial" w:cs="Arial"/>
          <w:color w:val="000000" w:themeColor="text1"/>
          <w:sz w:val="22"/>
          <w:szCs w:val="22"/>
          <w:lang w:val="es-ES_tradnl"/>
        </w:rPr>
        <w:t>pues</w:t>
      </w:r>
      <w:r w:rsidR="00393C80" w:rsidRPr="00393C80">
        <w:rPr>
          <w:rFonts w:ascii="Arial" w:hAnsi="Arial" w:cs="Arial"/>
          <w:color w:val="000000" w:themeColor="text1"/>
          <w:sz w:val="22"/>
          <w:szCs w:val="22"/>
          <w:lang w:val="es-ES_tradnl"/>
        </w:rPr>
        <w:t>,</w:t>
      </w:r>
      <w:r w:rsidR="008404C8" w:rsidRPr="00393C80">
        <w:rPr>
          <w:rFonts w:ascii="Arial" w:hAnsi="Arial" w:cs="Arial"/>
          <w:color w:val="000000" w:themeColor="text1"/>
          <w:sz w:val="22"/>
          <w:szCs w:val="22"/>
          <w:lang w:val="es-ES_tradnl"/>
        </w:rPr>
        <w:t xml:space="preserve"> al indicar que «</w:t>
      </w:r>
      <w:r w:rsidR="006B6B99" w:rsidRPr="00393C80">
        <w:rPr>
          <w:rFonts w:ascii="Arial" w:hAnsi="Arial" w:cs="Arial"/>
          <w:color w:val="000000"/>
          <w:sz w:val="22"/>
          <w:szCs w:val="22"/>
          <w:lang w:val="es-ES"/>
        </w:rPr>
        <w:t>Una vez resueltas las observaciones al informe de evaluación, la entidad adjudicará el contrato mediante acto administrativo al oferente que haya cumplido todos los requisitos exigidos en el pliego de condiciones y haya obtenido el mayor puntaje</w:t>
      </w:r>
      <w:r w:rsidR="008404C8" w:rsidRPr="00393C80">
        <w:rPr>
          <w:rFonts w:ascii="Arial" w:hAnsi="Arial" w:cs="Arial"/>
          <w:color w:val="000000"/>
          <w:sz w:val="22"/>
          <w:szCs w:val="22"/>
          <w:lang w:val="es-ES"/>
        </w:rPr>
        <w:t xml:space="preserve">», exige que se expida un acto administrativo de adjudicación, sin hacer obligatorio que sea en audiencia, pero sin </w:t>
      </w:r>
      <w:r w:rsidR="00393C80" w:rsidRPr="00393C80">
        <w:rPr>
          <w:rFonts w:ascii="Arial" w:hAnsi="Arial" w:cs="Arial"/>
          <w:color w:val="000000"/>
          <w:sz w:val="22"/>
          <w:szCs w:val="22"/>
          <w:lang w:val="es-ES"/>
        </w:rPr>
        <w:t>tampoco prohibirla</w:t>
      </w:r>
      <w:r w:rsidR="008404C8" w:rsidRPr="00393C80">
        <w:rPr>
          <w:rFonts w:ascii="Arial" w:hAnsi="Arial" w:cs="Arial"/>
          <w:color w:val="000000"/>
          <w:sz w:val="22"/>
          <w:szCs w:val="22"/>
          <w:lang w:val="es-ES"/>
        </w:rPr>
        <w:t>.</w:t>
      </w:r>
      <w:r w:rsidRPr="00393C80">
        <w:rPr>
          <w:rFonts w:ascii="Arial" w:hAnsi="Arial" w:cs="Arial"/>
          <w:color w:val="000000"/>
          <w:sz w:val="22"/>
          <w:szCs w:val="22"/>
        </w:rPr>
        <w:t> </w:t>
      </w:r>
    </w:p>
    <w:p w14:paraId="4BFCDEC4" w14:textId="3C84E9AD" w:rsidR="000F1546" w:rsidRDefault="00393C80" w:rsidP="000F1546">
      <w:pPr>
        <w:pStyle w:val="paragraph"/>
        <w:spacing w:before="0" w:beforeAutospacing="0" w:after="120" w:afterAutospacing="0" w:line="276" w:lineRule="auto"/>
        <w:ind w:firstLine="705"/>
        <w:jc w:val="both"/>
        <w:textAlignment w:val="baseline"/>
        <w:rPr>
          <w:rFonts w:ascii="Segoe UI" w:hAnsi="Segoe UI" w:cs="Segoe UI"/>
          <w:sz w:val="18"/>
          <w:szCs w:val="18"/>
        </w:rPr>
      </w:pPr>
      <w:bookmarkStart w:id="8" w:name="_Hlk60751189"/>
      <w:bookmarkStart w:id="9" w:name="_Hlk60751786"/>
      <w:r>
        <w:rPr>
          <w:rStyle w:val="normaltextrun"/>
          <w:rFonts w:ascii="Arial" w:hAnsi="Arial" w:cs="Arial"/>
          <w:sz w:val="22"/>
          <w:szCs w:val="22"/>
        </w:rPr>
        <w:t>En efecto, a</w:t>
      </w:r>
      <w:r w:rsidR="000F1546">
        <w:rPr>
          <w:rStyle w:val="normaltextrun"/>
          <w:rFonts w:ascii="Arial" w:hAnsi="Arial" w:cs="Arial"/>
          <w:sz w:val="22"/>
          <w:szCs w:val="22"/>
        </w:rPr>
        <w:t>unque las</w:t>
      </w:r>
      <w:r w:rsidR="000F1546">
        <w:rPr>
          <w:rStyle w:val="apple-converted-space"/>
          <w:rFonts w:ascii="Arial" w:hAnsi="Arial" w:cs="Arial"/>
          <w:sz w:val="22"/>
          <w:szCs w:val="22"/>
          <w:lang w:val="es-MX"/>
        </w:rPr>
        <w:t> </w:t>
      </w:r>
      <w:r w:rsidR="000F1546">
        <w:rPr>
          <w:rStyle w:val="normaltextrun"/>
          <w:rFonts w:ascii="Arial" w:hAnsi="Arial" w:cs="Arial"/>
          <w:i/>
          <w:iCs/>
          <w:sz w:val="22"/>
          <w:szCs w:val="22"/>
        </w:rPr>
        <w:t>audiencias públicas</w:t>
      </w:r>
      <w:r w:rsidR="000F1546">
        <w:rPr>
          <w:rStyle w:val="apple-converted-space"/>
          <w:rFonts w:ascii="Arial" w:hAnsi="Arial" w:cs="Arial"/>
          <w:sz w:val="22"/>
          <w:szCs w:val="22"/>
          <w:lang w:val="es-MX"/>
        </w:rPr>
        <w:t> </w:t>
      </w:r>
      <w:r w:rsidR="000F1546">
        <w:rPr>
          <w:rStyle w:val="normaltextrun"/>
          <w:rFonts w:ascii="Arial" w:hAnsi="Arial" w:cs="Arial"/>
          <w:sz w:val="22"/>
          <w:szCs w:val="22"/>
        </w:rPr>
        <w:t>no son obligatorias</w:t>
      </w:r>
      <w:r w:rsidR="000F1546">
        <w:rPr>
          <w:rStyle w:val="apple-converted-space"/>
          <w:rFonts w:ascii="Arial" w:hAnsi="Arial" w:cs="Arial"/>
          <w:sz w:val="22"/>
          <w:szCs w:val="22"/>
          <w:lang w:val="es-MX"/>
        </w:rPr>
        <w:t> </w:t>
      </w:r>
      <w:r w:rsidR="000F1546">
        <w:rPr>
          <w:rStyle w:val="normaltextrun"/>
          <w:rFonts w:ascii="Arial" w:hAnsi="Arial" w:cs="Arial"/>
          <w:sz w:val="22"/>
          <w:szCs w:val="22"/>
        </w:rPr>
        <w:t xml:space="preserve">en el concurso de méritos, existe la posibilidad </w:t>
      </w:r>
      <w:r w:rsidR="006F373D">
        <w:rPr>
          <w:rStyle w:val="normaltextrun"/>
          <w:rFonts w:ascii="Arial" w:hAnsi="Arial" w:cs="Arial"/>
          <w:sz w:val="22"/>
          <w:szCs w:val="22"/>
        </w:rPr>
        <w:t xml:space="preserve">de </w:t>
      </w:r>
      <w:r w:rsidR="000F1546">
        <w:rPr>
          <w:rStyle w:val="normaltextrun"/>
          <w:rFonts w:ascii="Arial" w:hAnsi="Arial" w:cs="Arial"/>
          <w:sz w:val="22"/>
          <w:szCs w:val="22"/>
        </w:rPr>
        <w:t>que sean</w:t>
      </w:r>
      <w:r w:rsidR="000F1546">
        <w:rPr>
          <w:rStyle w:val="apple-converted-space"/>
          <w:rFonts w:ascii="Arial" w:hAnsi="Arial" w:cs="Arial"/>
          <w:sz w:val="22"/>
          <w:szCs w:val="22"/>
          <w:lang w:val="es-MX"/>
        </w:rPr>
        <w:t> </w:t>
      </w:r>
      <w:r w:rsidR="000F1546">
        <w:rPr>
          <w:rStyle w:val="normaltextrun"/>
          <w:rFonts w:ascii="Arial" w:hAnsi="Arial" w:cs="Arial"/>
          <w:i/>
          <w:iCs/>
          <w:sz w:val="22"/>
          <w:szCs w:val="22"/>
        </w:rPr>
        <w:t>potestativas</w:t>
      </w:r>
      <w:r w:rsidR="000F1546">
        <w:rPr>
          <w:rStyle w:val="normaltextrun"/>
          <w:rFonts w:ascii="Arial" w:hAnsi="Arial" w:cs="Arial"/>
          <w:sz w:val="22"/>
          <w:szCs w:val="22"/>
        </w:rPr>
        <w:t>.</w:t>
      </w:r>
      <w:r w:rsidR="000F1546">
        <w:rPr>
          <w:rStyle w:val="apple-converted-space"/>
          <w:rFonts w:ascii="Arial" w:hAnsi="Arial" w:cs="Arial"/>
          <w:sz w:val="22"/>
          <w:szCs w:val="22"/>
          <w:lang w:val="es-MX"/>
        </w:rPr>
        <w:t> </w:t>
      </w:r>
      <w:r w:rsidR="000F1546">
        <w:rPr>
          <w:rStyle w:val="normaltextrun"/>
          <w:rFonts w:ascii="Arial" w:hAnsi="Arial" w:cs="Arial"/>
          <w:i/>
          <w:iCs/>
          <w:sz w:val="22"/>
          <w:szCs w:val="22"/>
        </w:rPr>
        <w:t>En primer lugar</w:t>
      </w:r>
      <w:r w:rsidR="000F1546">
        <w:rPr>
          <w:rStyle w:val="normaltextrun"/>
          <w:rFonts w:ascii="Arial" w:hAnsi="Arial" w:cs="Arial"/>
          <w:sz w:val="22"/>
          <w:szCs w:val="22"/>
        </w:rPr>
        <w:t>, el principio de publicidad permitiría su realización eventual, ya que este tiene un carácter transversal y de enorme importancia en las actuaciones estatales. Conforme al artículo 209 superior, dicho principio es un eje rector de la función administrativa, por lo que despliega sus efectos en las</w:t>
      </w:r>
      <w:r w:rsidR="000F1546">
        <w:rPr>
          <w:rStyle w:val="apple-converted-space"/>
          <w:rFonts w:ascii="Arial" w:hAnsi="Arial" w:cs="Arial"/>
          <w:sz w:val="22"/>
          <w:szCs w:val="22"/>
          <w:lang w:val="es-MX"/>
        </w:rPr>
        <w:t> </w:t>
      </w:r>
      <w:r w:rsidR="000F1546">
        <w:rPr>
          <w:rStyle w:val="normaltextrun"/>
          <w:rFonts w:ascii="Arial" w:hAnsi="Arial" w:cs="Arial"/>
          <w:sz w:val="22"/>
          <w:szCs w:val="22"/>
        </w:rPr>
        <w:t>mas</w:t>
      </w:r>
      <w:r w:rsidR="000F1546">
        <w:rPr>
          <w:rStyle w:val="apple-converted-space"/>
          <w:rFonts w:ascii="Arial" w:hAnsi="Arial" w:cs="Arial"/>
          <w:sz w:val="22"/>
          <w:szCs w:val="22"/>
          <w:lang w:val="es-MX"/>
        </w:rPr>
        <w:t> </w:t>
      </w:r>
      <w:r w:rsidR="000F1546">
        <w:rPr>
          <w:rStyle w:val="normaltextrun"/>
          <w:rFonts w:ascii="Arial" w:hAnsi="Arial" w:cs="Arial"/>
          <w:sz w:val="22"/>
          <w:szCs w:val="22"/>
        </w:rPr>
        <w:t>diversas esferas de la actividad estatal,</w:t>
      </w:r>
      <w:r w:rsidR="000F1546">
        <w:rPr>
          <w:rStyle w:val="apple-converted-space"/>
          <w:rFonts w:ascii="Arial" w:hAnsi="Arial" w:cs="Arial"/>
          <w:sz w:val="22"/>
          <w:szCs w:val="22"/>
          <w:lang w:val="es-MX"/>
        </w:rPr>
        <w:t> </w:t>
      </w:r>
      <w:r w:rsidR="000F1546">
        <w:rPr>
          <w:rStyle w:val="normaltextrun"/>
          <w:rFonts w:ascii="Arial" w:hAnsi="Arial" w:cs="Arial"/>
          <w:sz w:val="22"/>
          <w:szCs w:val="22"/>
        </w:rPr>
        <w:t>incluidas las actuaciones contractuales</w:t>
      </w:r>
      <w:bookmarkEnd w:id="8"/>
      <w:r w:rsidR="000F1546">
        <w:rPr>
          <w:rStyle w:val="normaltextrun"/>
          <w:rFonts w:ascii="Arial" w:hAnsi="Arial" w:cs="Arial"/>
          <w:sz w:val="22"/>
          <w:szCs w:val="22"/>
        </w:rPr>
        <w:t>. Además, la realización de una audiencia de adjudicación podría complementar y profundizar otras manifestaciones del principio de publicidad, tales como, el deber de publicar la información de la entidad, permitir su acceso al público, comunicar el inicio de las actuaciones administrativas a terceros o la obligación de notificar o publicar los actos administrativos.  </w:t>
      </w:r>
      <w:r w:rsidR="000F1546">
        <w:rPr>
          <w:rStyle w:val="eop"/>
          <w:rFonts w:ascii="Arial" w:hAnsi="Arial" w:cs="Arial"/>
          <w:sz w:val="22"/>
          <w:szCs w:val="22"/>
        </w:rPr>
        <w:t> </w:t>
      </w:r>
    </w:p>
    <w:p w14:paraId="3EFAD201" w14:textId="77777777" w:rsidR="000F1546" w:rsidRPr="00F349E0" w:rsidRDefault="000F1546" w:rsidP="000F1546">
      <w:pPr>
        <w:pStyle w:val="paragraph"/>
        <w:spacing w:before="0" w:beforeAutospacing="0" w:after="120" w:afterAutospacing="0" w:line="276" w:lineRule="auto"/>
        <w:ind w:firstLine="705"/>
        <w:jc w:val="both"/>
        <w:textAlignment w:val="baseline"/>
        <w:rPr>
          <w:rFonts w:ascii="Arial" w:hAnsi="Arial" w:cs="Arial"/>
          <w:sz w:val="22"/>
          <w:szCs w:val="22"/>
        </w:rPr>
      </w:pPr>
      <w:bookmarkStart w:id="10" w:name="_Hlk60751230"/>
      <w:r>
        <w:rPr>
          <w:rStyle w:val="normaltextrun"/>
          <w:rFonts w:ascii="Arial" w:hAnsi="Arial" w:cs="Arial"/>
          <w:i/>
          <w:iCs/>
          <w:sz w:val="22"/>
          <w:szCs w:val="22"/>
        </w:rPr>
        <w:t>En segundo lugar</w:t>
      </w:r>
      <w:r>
        <w:rPr>
          <w:rStyle w:val="normaltextrun"/>
          <w:rFonts w:ascii="Arial" w:hAnsi="Arial" w:cs="Arial"/>
          <w:sz w:val="22"/>
          <w:szCs w:val="22"/>
        </w:rPr>
        <w:t>,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p>
    <w:bookmarkEnd w:id="9"/>
    <w:bookmarkEnd w:id="10"/>
    <w:p w14:paraId="3757512C" w14:textId="77777777" w:rsidR="000F1546" w:rsidRPr="0003001D" w:rsidRDefault="000F1546" w:rsidP="000F1546">
      <w:pPr>
        <w:pStyle w:val="paragraph"/>
        <w:spacing w:before="0" w:beforeAutospacing="0" w:after="120" w:afterAutospacing="0" w:line="276" w:lineRule="auto"/>
        <w:ind w:firstLine="705"/>
        <w:jc w:val="both"/>
        <w:textAlignment w:val="baseline"/>
        <w:rPr>
          <w:rFonts w:ascii="Arial" w:hAnsi="Arial" w:cs="Arial"/>
          <w:sz w:val="22"/>
          <w:szCs w:val="22"/>
        </w:rPr>
      </w:pPr>
      <w:r>
        <w:rPr>
          <w:rStyle w:val="normaltextrun"/>
          <w:rFonts w:ascii="Arial" w:hAnsi="Arial" w:cs="Arial"/>
          <w:sz w:val="22"/>
          <w:szCs w:val="22"/>
        </w:rPr>
        <w:t>En esta medida, las audiencias son una garantía para la realización efectiva de principios de la función administrativa como el de publicidad, participación, contradicción y eficiencia, por lo que contribuyen a la legitimación de las decisiones públicas</w:t>
      </w:r>
      <w:r>
        <w:rPr>
          <w:rStyle w:val="Refdenotaalpie"/>
          <w:rFonts w:ascii="Arial" w:hAnsi="Arial" w:cs="Arial"/>
          <w:sz w:val="22"/>
          <w:szCs w:val="22"/>
        </w:rPr>
        <w:footnoteReference w:id="11"/>
      </w:r>
      <w:r>
        <w:rPr>
          <w:rStyle w:val="normaltextrun"/>
          <w:rFonts w:ascii="Arial" w:hAnsi="Arial" w:cs="Arial"/>
          <w:sz w:val="22"/>
          <w:szCs w:val="22"/>
        </w:rPr>
        <w:t xml:space="preserve">. De hecho, </w:t>
      </w:r>
      <w:r>
        <w:rPr>
          <w:rStyle w:val="normaltextrun"/>
          <w:rFonts w:ascii="Arial" w:hAnsi="Arial" w:cs="Arial"/>
          <w:sz w:val="22"/>
          <w:szCs w:val="22"/>
        </w:rPr>
        <w:lastRenderedPageBreak/>
        <w:t>el literal a) del artículo 32 de la Ley 489 de 1998 refuerza esta tesis, ya que permite la realización de</w:t>
      </w:r>
      <w:r>
        <w:rPr>
          <w:rStyle w:val="apple-converted-space"/>
          <w:rFonts w:ascii="Arial" w:hAnsi="Arial" w:cs="Arial"/>
          <w:sz w:val="22"/>
          <w:szCs w:val="22"/>
          <w:lang w:val="es-MX"/>
        </w:rPr>
        <w:t> </w:t>
      </w:r>
      <w:r>
        <w:rPr>
          <w:rStyle w:val="normaltextrun"/>
          <w:rFonts w:ascii="Arial" w:hAnsi="Arial" w:cs="Arial"/>
          <w:i/>
          <w:iCs/>
          <w:sz w:val="22"/>
          <w:szCs w:val="22"/>
        </w:rPr>
        <w:t>audiencias públicas</w:t>
      </w:r>
      <w:r w:rsidRPr="00325DA8">
        <w:rPr>
          <w:rStyle w:val="Refdenotaalpie"/>
          <w:rFonts w:ascii="Arial" w:hAnsi="Arial" w:cs="Arial"/>
          <w:sz w:val="22"/>
          <w:szCs w:val="22"/>
        </w:rPr>
        <w:footnoteReference w:id="12"/>
      </w:r>
      <w:r>
        <w:rPr>
          <w:rStyle w:val="normaltextrun"/>
          <w:rFonts w:ascii="Arial" w:hAnsi="Arial" w:cs="Arial"/>
          <w:sz w:val="22"/>
          <w:szCs w:val="22"/>
        </w:rPr>
        <w:t>. </w:t>
      </w:r>
      <w:r>
        <w:rPr>
          <w:rStyle w:val="eop"/>
          <w:rFonts w:ascii="Arial" w:hAnsi="Arial" w:cs="Arial"/>
          <w:sz w:val="22"/>
          <w:szCs w:val="22"/>
        </w:rPr>
        <w:t> </w:t>
      </w:r>
    </w:p>
    <w:p w14:paraId="2BD1D289" w14:textId="77777777" w:rsidR="000F1546" w:rsidRDefault="000F1546" w:rsidP="000F1546">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lang w:val="es-ES"/>
        </w:rPr>
        <w:t>Por ello, para esta Subdirección no existe una prohibición que impida la realización de</w:t>
      </w:r>
      <w:r>
        <w:rPr>
          <w:rStyle w:val="apple-converted-space"/>
          <w:rFonts w:ascii="Arial" w:hAnsi="Arial" w:cs="Arial"/>
          <w:color w:val="000000"/>
          <w:sz w:val="22"/>
          <w:szCs w:val="22"/>
          <w:lang w:val="es-ES"/>
        </w:rPr>
        <w:t> </w:t>
      </w:r>
      <w:r>
        <w:rPr>
          <w:rStyle w:val="normaltextrun"/>
          <w:rFonts w:ascii="Arial" w:hAnsi="Arial" w:cs="Arial"/>
          <w:i/>
          <w:iCs/>
          <w:color w:val="000000"/>
          <w:sz w:val="22"/>
          <w:szCs w:val="22"/>
          <w:lang w:val="es-ES"/>
        </w:rPr>
        <w:t>audiencias potestativas</w:t>
      </w:r>
      <w:r>
        <w:rPr>
          <w:rStyle w:val="apple-converted-space"/>
          <w:rFonts w:ascii="Arial" w:hAnsi="Arial" w:cs="Arial"/>
          <w:color w:val="000000"/>
          <w:sz w:val="22"/>
          <w:szCs w:val="22"/>
          <w:lang w:val="es-ES"/>
        </w:rPr>
        <w:t xml:space="preserve">, </w:t>
      </w:r>
      <w:r>
        <w:rPr>
          <w:rStyle w:val="normaltextrun"/>
          <w:rFonts w:ascii="Arial" w:hAnsi="Arial" w:cs="Arial"/>
          <w:color w:val="000000"/>
          <w:sz w:val="22"/>
          <w:szCs w:val="22"/>
          <w:lang w:val="es-ES"/>
        </w:rPr>
        <w:t>por lo que es posible integrar el vacío legal con el citado</w:t>
      </w:r>
      <w:r>
        <w:rPr>
          <w:rStyle w:val="apple-converted-space"/>
          <w:rFonts w:ascii="Arial" w:hAnsi="Arial" w:cs="Arial"/>
          <w:color w:val="000000"/>
          <w:sz w:val="22"/>
          <w:szCs w:val="22"/>
          <w:lang w:val="es-ES"/>
        </w:rPr>
        <w:t> </w:t>
      </w:r>
      <w:r>
        <w:rPr>
          <w:rStyle w:val="normaltextrun"/>
          <w:rFonts w:ascii="Arial" w:hAnsi="Arial" w:cs="Arial"/>
          <w:sz w:val="22"/>
          <w:szCs w:val="22"/>
        </w:rPr>
        <w:t>inciso final del artículo 35 de la Ley 1437 de 2011, en la medida que estas últimas no se regularon en las normas que conforman el Estatuto General de Contratación de la Administración Pública.</w:t>
      </w: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2B86AB89" w14:textId="398291D2" w:rsidR="000F1546" w:rsidRPr="00F349E0" w:rsidRDefault="000F1546" w:rsidP="000F1546">
      <w:pPr>
        <w:pStyle w:val="paragraph"/>
        <w:spacing w:before="0" w:beforeAutospacing="0" w:after="120" w:afterAutospacing="0" w:line="276" w:lineRule="auto"/>
        <w:ind w:firstLine="705"/>
        <w:jc w:val="both"/>
        <w:textAlignment w:val="baseline"/>
        <w:rPr>
          <w:rFonts w:ascii="Arial" w:hAnsi="Arial" w:cs="Arial"/>
          <w:sz w:val="22"/>
          <w:szCs w:val="22"/>
        </w:rPr>
      </w:pPr>
      <w:r>
        <w:rPr>
          <w:rStyle w:val="normaltextrun"/>
          <w:rFonts w:ascii="Arial" w:hAnsi="Arial" w:cs="Arial"/>
          <w:color w:val="000000"/>
          <w:sz w:val="22"/>
          <w:szCs w:val="22"/>
          <w:lang w:val="es-ES"/>
        </w:rPr>
        <w:t>Sin embargo,</w:t>
      </w:r>
      <w:r>
        <w:rPr>
          <w:rStyle w:val="apple-converted-space"/>
          <w:rFonts w:ascii="Arial" w:hAnsi="Arial" w:cs="Arial"/>
          <w:color w:val="000000"/>
          <w:sz w:val="22"/>
          <w:szCs w:val="22"/>
          <w:lang w:val="es-ES"/>
        </w:rPr>
        <w:t> </w:t>
      </w:r>
      <w:r w:rsidR="003614DB">
        <w:rPr>
          <w:rStyle w:val="apple-converted-space"/>
          <w:rFonts w:ascii="Arial" w:hAnsi="Arial" w:cs="Arial"/>
          <w:color w:val="000000"/>
          <w:sz w:val="22"/>
          <w:szCs w:val="22"/>
          <w:lang w:val="es-ES"/>
        </w:rPr>
        <w:t xml:space="preserve">es </w:t>
      </w:r>
      <w:r>
        <w:rPr>
          <w:rStyle w:val="apple-converted-space"/>
          <w:rFonts w:ascii="Arial" w:hAnsi="Arial" w:cs="Arial"/>
          <w:color w:val="000000"/>
          <w:sz w:val="22"/>
          <w:szCs w:val="22"/>
          <w:lang w:val="es-ES"/>
        </w:rPr>
        <w:t xml:space="preserve">relevante anotar que </w:t>
      </w:r>
      <w:r>
        <w:rPr>
          <w:rStyle w:val="normaltextrun"/>
          <w:rFonts w:ascii="Arial" w:hAnsi="Arial" w:cs="Arial"/>
          <w:color w:val="000000"/>
          <w:sz w:val="22"/>
          <w:szCs w:val="22"/>
          <w:lang w:val="es-ES"/>
        </w:rPr>
        <w:t>las</w:t>
      </w:r>
      <w:r>
        <w:rPr>
          <w:rStyle w:val="apple-converted-space"/>
          <w:rFonts w:ascii="Arial" w:hAnsi="Arial" w:cs="Arial"/>
          <w:color w:val="000000"/>
          <w:sz w:val="22"/>
          <w:szCs w:val="22"/>
          <w:lang w:val="es-ES"/>
        </w:rPr>
        <w:t> </w:t>
      </w:r>
      <w:r>
        <w:rPr>
          <w:rStyle w:val="normaltextrun"/>
          <w:rFonts w:ascii="Arial" w:hAnsi="Arial" w:cs="Arial"/>
          <w:i/>
          <w:iCs/>
          <w:color w:val="000000"/>
          <w:sz w:val="22"/>
          <w:szCs w:val="22"/>
          <w:lang w:val="es-ES"/>
        </w:rPr>
        <w:t>audiencias potestativas</w:t>
      </w:r>
      <w:r>
        <w:rPr>
          <w:rStyle w:val="apple-converted-space"/>
          <w:rFonts w:ascii="Arial" w:hAnsi="Arial" w:cs="Arial"/>
          <w:i/>
          <w:iCs/>
          <w:color w:val="000000"/>
          <w:sz w:val="22"/>
          <w:szCs w:val="22"/>
          <w:lang w:val="es-ES"/>
        </w:rPr>
        <w:t> </w:t>
      </w:r>
      <w:r>
        <w:rPr>
          <w:rStyle w:val="normaltextrun"/>
          <w:rFonts w:ascii="Arial" w:hAnsi="Arial" w:cs="Arial"/>
          <w:color w:val="000000"/>
          <w:sz w:val="22"/>
          <w:szCs w:val="22"/>
          <w:lang w:val="es-ES"/>
        </w:rPr>
        <w:t>del</w:t>
      </w:r>
      <w:r>
        <w:rPr>
          <w:rStyle w:val="apple-converted-space"/>
          <w:rFonts w:ascii="Arial" w:hAnsi="Arial" w:cs="Arial"/>
          <w:color w:val="000000"/>
          <w:sz w:val="22"/>
          <w:szCs w:val="22"/>
          <w:lang w:val="es-ES"/>
        </w:rPr>
        <w:t> </w:t>
      </w:r>
      <w:r>
        <w:rPr>
          <w:rStyle w:val="normaltextrun"/>
          <w:rFonts w:ascii="Arial" w:hAnsi="Arial" w:cs="Arial"/>
          <w:sz w:val="22"/>
          <w:szCs w:val="22"/>
        </w:rPr>
        <w:t>inciso final del artículo 35 de la Ley 1437 de 2011</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deben ser compatibles con los principios de la actividad contractual –</w:t>
      </w:r>
      <w:r>
        <w:rPr>
          <w:rStyle w:val="normaltextrun"/>
          <w:rFonts w:ascii="Arial" w:hAnsi="Arial" w:cs="Arial"/>
          <w:sz w:val="22"/>
          <w:szCs w:val="22"/>
        </w:rPr>
        <w:t>art 77 de la Ley 80 de 1993–. Lo anterior es de suma importancia pues el artículo 25.2 de la Ley 80 de 1993 dispone que conforme al principio de economía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Pr>
          <w:rStyle w:val="apple-converted-space"/>
          <w:rFonts w:ascii="Arial" w:hAnsi="Arial" w:cs="Arial"/>
          <w:sz w:val="22"/>
          <w:szCs w:val="22"/>
          <w:lang w:val="es-MX"/>
        </w:rPr>
        <w:t> </w:t>
      </w:r>
      <w:r>
        <w:rPr>
          <w:rStyle w:val="normaltextrun"/>
          <w:rFonts w:ascii="Arial" w:hAnsi="Arial" w:cs="Arial"/>
          <w:sz w:val="22"/>
          <w:szCs w:val="22"/>
        </w:rPr>
        <w:t xml:space="preserve">Por ello, a partir de esa disposición podría sostenerse que en la medida </w:t>
      </w:r>
      <w:r w:rsidR="003614DB">
        <w:rPr>
          <w:rStyle w:val="normaltextrun"/>
          <w:rFonts w:ascii="Arial" w:hAnsi="Arial" w:cs="Arial"/>
          <w:sz w:val="22"/>
          <w:szCs w:val="22"/>
        </w:rPr>
        <w:t xml:space="preserve">en </w:t>
      </w:r>
      <w:r>
        <w:rPr>
          <w:rStyle w:val="normaltextrun"/>
          <w:rFonts w:ascii="Arial" w:hAnsi="Arial" w:cs="Arial"/>
          <w:sz w:val="22"/>
          <w:szCs w:val="22"/>
        </w:rPr>
        <w:t>que la ley no reguló audiencias para procedimientos de selección distintos a la licitación pública, las entidades no podrían adelantarlas oficiosamente a falta de norma especial. </w:t>
      </w:r>
      <w:r>
        <w:rPr>
          <w:rStyle w:val="eop"/>
          <w:rFonts w:ascii="Arial" w:hAnsi="Arial" w:cs="Arial"/>
          <w:sz w:val="22"/>
          <w:szCs w:val="22"/>
        </w:rPr>
        <w:t> </w:t>
      </w:r>
    </w:p>
    <w:p w14:paraId="686F7179" w14:textId="528F6F41" w:rsidR="000F1546" w:rsidRDefault="000F1546" w:rsidP="000F1546">
      <w:pPr>
        <w:pStyle w:val="paragraph"/>
        <w:spacing w:before="0" w:beforeAutospacing="0" w:after="120" w:afterAutospacing="0" w:line="276" w:lineRule="auto"/>
        <w:ind w:firstLine="705"/>
        <w:jc w:val="both"/>
        <w:textAlignment w:val="baseline"/>
        <w:rPr>
          <w:rStyle w:val="normaltextrun"/>
          <w:rFonts w:ascii="Arial" w:hAnsi="Arial" w:cs="Arial"/>
          <w:color w:val="000000"/>
          <w:sz w:val="22"/>
          <w:szCs w:val="22"/>
          <w:lang w:val="es-ES"/>
        </w:rPr>
      </w:pPr>
      <w:r>
        <w:rPr>
          <w:rStyle w:val="normaltextrun"/>
          <w:rFonts w:ascii="Arial" w:hAnsi="Arial" w:cs="Arial"/>
          <w:sz w:val="22"/>
          <w:szCs w:val="22"/>
        </w:rPr>
        <w:t xml:space="preserve">La Subdirección no comparte la posición presentada en el párrafo precedente, </w:t>
      </w:r>
      <w:r w:rsidR="00E63740">
        <w:rPr>
          <w:rStyle w:val="normaltextrun"/>
          <w:rFonts w:ascii="Arial" w:hAnsi="Arial" w:cs="Arial"/>
          <w:sz w:val="22"/>
          <w:szCs w:val="22"/>
        </w:rPr>
        <w:t>pues</w:t>
      </w:r>
      <w:r>
        <w:rPr>
          <w:rStyle w:val="normaltextrun"/>
          <w:rFonts w:ascii="Arial" w:hAnsi="Arial" w:cs="Arial"/>
          <w:sz w:val="22"/>
          <w:szCs w:val="22"/>
        </w:rPr>
        <w:t xml:space="preserve"> la audiencia no implica una fase adicional del procedimiento, siempre y cuando se tenga en cuenta el principio de proporcionalidad y razonabilidad, pues en últimas el principal objetivo de la audiencia es el de adjudicar el contrato en forma pública y transparente, es decir, adelantar a cabalidad una etapa ya existente dentro del concurso de méritos conforme al </w:t>
      </w:r>
      <w:r>
        <w:rPr>
          <w:rStyle w:val="normaltextrun"/>
          <w:rFonts w:ascii="Arial" w:hAnsi="Arial" w:cs="Arial"/>
          <w:sz w:val="22"/>
          <w:szCs w:val="22"/>
        </w:rPr>
        <w:lastRenderedPageBreak/>
        <w:t>citado</w:t>
      </w:r>
      <w:r>
        <w:rPr>
          <w:rStyle w:val="apple-converted-space"/>
          <w:rFonts w:ascii="Arial" w:hAnsi="Arial" w:cs="Arial"/>
          <w:sz w:val="22"/>
          <w:szCs w:val="22"/>
          <w:lang w:val="es-MX"/>
        </w:rPr>
        <w:t> </w:t>
      </w:r>
      <w:r>
        <w:rPr>
          <w:rStyle w:val="normaltextrun"/>
          <w:rFonts w:ascii="Arial" w:hAnsi="Arial" w:cs="Arial"/>
          <w:color w:val="000000"/>
          <w:sz w:val="22"/>
          <w:szCs w:val="22"/>
          <w:lang w:val="es-ES"/>
        </w:rPr>
        <w:t>numeral 5 del artículo</w:t>
      </w:r>
      <w:r>
        <w:rPr>
          <w:rStyle w:val="apple-converted-space"/>
          <w:rFonts w:ascii="Arial" w:hAnsi="Arial" w:cs="Arial"/>
          <w:color w:val="000000"/>
          <w:sz w:val="22"/>
          <w:szCs w:val="22"/>
          <w:lang w:val="es-ES"/>
        </w:rPr>
        <w:t> </w:t>
      </w:r>
      <w:r w:rsidR="00A84EB0" w:rsidRPr="00A84EB0">
        <w:rPr>
          <w:rStyle w:val="normaltextrun"/>
          <w:rFonts w:ascii="Arial" w:hAnsi="Arial" w:cs="Arial"/>
          <w:color w:val="000000"/>
          <w:sz w:val="22"/>
          <w:szCs w:val="22"/>
          <w:lang w:val="es-ES"/>
        </w:rPr>
        <w:t>2.2.1.1.2.1.3.</w:t>
      </w:r>
      <w:r w:rsidR="008B1A42">
        <w:rPr>
          <w:rStyle w:val="normaltextrun"/>
          <w:rFonts w:ascii="Arial" w:hAnsi="Arial" w:cs="Arial"/>
          <w:color w:val="000000"/>
          <w:sz w:val="22"/>
          <w:szCs w:val="22"/>
          <w:lang w:val="es-ES"/>
        </w:rPr>
        <w:t xml:space="preserve"> y al numeral 3 del artículo </w:t>
      </w:r>
      <w:r w:rsidR="008B1A42" w:rsidRPr="008B1A42">
        <w:rPr>
          <w:rStyle w:val="normaltextrun"/>
          <w:rFonts w:ascii="Arial" w:hAnsi="Arial" w:cs="Arial"/>
          <w:color w:val="000000"/>
          <w:sz w:val="22"/>
          <w:szCs w:val="22"/>
          <w:lang w:val="es-ES"/>
        </w:rPr>
        <w:t>2.2.1.2.1.3.2.</w:t>
      </w:r>
      <w:r w:rsidR="00C7747E">
        <w:rPr>
          <w:rStyle w:val="Refdenotaalpie"/>
          <w:rFonts w:ascii="Arial" w:hAnsi="Arial" w:cs="Arial"/>
          <w:color w:val="000000"/>
          <w:sz w:val="22"/>
          <w:szCs w:val="22"/>
          <w:lang w:val="es-ES"/>
        </w:rPr>
        <w:footnoteReference w:id="13"/>
      </w:r>
      <w:r w:rsidR="001369D2">
        <w:rPr>
          <w:rStyle w:val="normaltextrun"/>
          <w:rFonts w:ascii="Arial" w:hAnsi="Arial" w:cs="Arial"/>
          <w:color w:val="000000"/>
          <w:sz w:val="22"/>
          <w:szCs w:val="22"/>
          <w:lang w:val="es-ES"/>
        </w:rPr>
        <w:t>,</w:t>
      </w:r>
      <w:r w:rsidR="00A84EB0">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 xml:space="preserve">del Decreto 1082 de 2015. </w:t>
      </w:r>
    </w:p>
    <w:p w14:paraId="16610C78" w14:textId="4CBC908A" w:rsidR="000F1546" w:rsidRDefault="000F1546" w:rsidP="000F1546">
      <w:pPr>
        <w:spacing w:after="120" w:line="276" w:lineRule="auto"/>
        <w:ind w:firstLine="705"/>
        <w:jc w:val="both"/>
        <w:rPr>
          <w:rFonts w:ascii="Arial" w:hAnsi="Arial" w:cs="Arial"/>
          <w:bCs/>
          <w:color w:val="000000" w:themeColor="text1"/>
          <w:sz w:val="22"/>
          <w:lang w:val="es-ES"/>
        </w:rPr>
      </w:pPr>
      <w:r>
        <w:rPr>
          <w:rStyle w:val="normaltextrun"/>
          <w:rFonts w:ascii="Arial" w:hAnsi="Arial" w:cs="Arial"/>
          <w:color w:val="000000"/>
          <w:sz w:val="22"/>
          <w:lang w:val="es-ES"/>
        </w:rPr>
        <w:t>Por lo anterior, la realización</w:t>
      </w:r>
      <w:r>
        <w:rPr>
          <w:rStyle w:val="apple-converted-space"/>
          <w:rFonts w:ascii="Arial" w:hAnsi="Arial" w:cs="Arial"/>
          <w:color w:val="000000"/>
          <w:sz w:val="22"/>
          <w:lang w:val="es-ES"/>
        </w:rPr>
        <w:t> </w:t>
      </w:r>
      <w:r>
        <w:rPr>
          <w:rStyle w:val="normaltextrun"/>
          <w:rFonts w:ascii="Arial" w:hAnsi="Arial" w:cs="Arial"/>
          <w:color w:val="000000"/>
          <w:sz w:val="22"/>
          <w:lang w:val="es-ES"/>
        </w:rPr>
        <w:t>de</w:t>
      </w:r>
      <w:r>
        <w:rPr>
          <w:rStyle w:val="apple-converted-space"/>
          <w:rFonts w:ascii="Arial" w:hAnsi="Arial" w:cs="Arial"/>
          <w:color w:val="000000"/>
          <w:sz w:val="22"/>
          <w:lang w:val="es-ES"/>
        </w:rPr>
        <w:t> </w:t>
      </w:r>
      <w:r>
        <w:rPr>
          <w:rStyle w:val="normaltextrun"/>
          <w:rFonts w:ascii="Arial" w:hAnsi="Arial" w:cs="Arial"/>
          <w:i/>
          <w:iCs/>
          <w:color w:val="000000"/>
          <w:sz w:val="22"/>
          <w:lang w:val="es-ES"/>
        </w:rPr>
        <w:t>audiencias públicas</w:t>
      </w:r>
      <w:r>
        <w:rPr>
          <w:rStyle w:val="apple-converted-space"/>
          <w:rFonts w:ascii="Arial" w:hAnsi="Arial" w:cs="Arial"/>
          <w:color w:val="000000"/>
          <w:sz w:val="22"/>
          <w:lang w:val="es-ES"/>
        </w:rPr>
        <w:t> </w:t>
      </w:r>
      <w:r>
        <w:rPr>
          <w:rStyle w:val="normaltextrun"/>
          <w:rFonts w:ascii="Arial" w:hAnsi="Arial" w:cs="Arial"/>
          <w:color w:val="000000"/>
          <w:sz w:val="22"/>
          <w:lang w:val="es-ES"/>
        </w:rPr>
        <w:t>en los términos del</w:t>
      </w:r>
      <w:r>
        <w:rPr>
          <w:rStyle w:val="apple-converted-space"/>
          <w:rFonts w:ascii="Arial" w:hAnsi="Arial" w:cs="Arial"/>
          <w:color w:val="000000"/>
          <w:sz w:val="22"/>
          <w:lang w:val="es-ES"/>
        </w:rPr>
        <w:t> </w:t>
      </w:r>
      <w:r>
        <w:rPr>
          <w:rStyle w:val="normaltextrun"/>
          <w:rFonts w:ascii="Arial" w:hAnsi="Arial" w:cs="Arial"/>
          <w:sz w:val="22"/>
        </w:rPr>
        <w:t>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w:t>
      </w:r>
      <w:r w:rsidR="00840669">
        <w:rPr>
          <w:rStyle w:val="normaltextrun"/>
          <w:rFonts w:ascii="Arial" w:hAnsi="Arial" w:cs="Arial"/>
          <w:sz w:val="22"/>
        </w:rPr>
        <w:t>o</w:t>
      </w:r>
      <w:r>
        <w:rPr>
          <w:rStyle w:val="normaltextrun"/>
          <w:rFonts w:ascii="Arial" w:hAnsi="Arial" w:cs="Arial"/>
          <w:sz w:val="22"/>
        </w:rPr>
        <w:t>lo es compatible con los fines de la contratación pública –art. 3 de la Ley 80 de 1993– sino también con los principios de la función administrativa –art. 209 de la Constitución Política de 1991–. </w:t>
      </w:r>
    </w:p>
    <w:p w14:paraId="7BE1AC07" w14:textId="2E69A1EA" w:rsidR="000F1546" w:rsidRDefault="000F1546" w:rsidP="005C1D5F">
      <w:pPr>
        <w:spacing w:line="276" w:lineRule="auto"/>
        <w:ind w:firstLine="709"/>
        <w:jc w:val="both"/>
        <w:rPr>
          <w:rFonts w:ascii="Arial" w:eastAsia="Calibri" w:hAnsi="Arial" w:cs="Arial"/>
          <w:sz w:val="22"/>
        </w:rPr>
      </w:pPr>
      <w:r w:rsidRPr="0086204F">
        <w:rPr>
          <w:rFonts w:ascii="Arial" w:eastAsia="Calibri" w:hAnsi="Arial" w:cs="Arial"/>
          <w:sz w:val="22"/>
        </w:rPr>
        <w:t>De esta manera, se concluye que la Administración –</w:t>
      </w:r>
      <w:r w:rsidRPr="004D30B6">
        <w:rPr>
          <w:rFonts w:ascii="Arial" w:eastAsia="Calibri" w:hAnsi="Arial" w:cs="Arial"/>
          <w:sz w:val="22"/>
        </w:rPr>
        <w:t>siempre que lo disponga en el pliego de condiciones</w:t>
      </w:r>
      <w:r w:rsidRPr="0086204F">
        <w:rPr>
          <w:rFonts w:ascii="Arial" w:eastAsia="Calibri" w:hAnsi="Arial" w:cs="Arial"/>
          <w:sz w:val="22"/>
        </w:rPr>
        <w:t xml:space="preserve">– puede </w:t>
      </w:r>
      <w:r>
        <w:rPr>
          <w:rFonts w:ascii="Arial" w:eastAsia="Calibri" w:hAnsi="Arial" w:cs="Arial"/>
          <w:sz w:val="22"/>
        </w:rPr>
        <w:t xml:space="preserve">realizar </w:t>
      </w:r>
      <w:r w:rsidRPr="0086204F">
        <w:rPr>
          <w:rFonts w:ascii="Arial" w:eastAsia="Calibri" w:hAnsi="Arial" w:cs="Arial"/>
          <w:i/>
          <w:iCs/>
          <w:sz w:val="22"/>
        </w:rPr>
        <w:t>audiencias públicas</w:t>
      </w:r>
      <w:r w:rsidRPr="0086204F">
        <w:rPr>
          <w:rFonts w:ascii="Arial" w:eastAsia="Calibri" w:hAnsi="Arial" w:cs="Arial"/>
          <w:sz w:val="22"/>
        </w:rPr>
        <w:t xml:space="preserve"> para </w:t>
      </w:r>
      <w:r>
        <w:rPr>
          <w:rFonts w:ascii="Arial" w:eastAsia="Calibri" w:hAnsi="Arial" w:cs="Arial"/>
          <w:sz w:val="22"/>
        </w:rPr>
        <w:t>adjudicar</w:t>
      </w:r>
      <w:r w:rsidRPr="0086204F">
        <w:rPr>
          <w:rFonts w:ascii="Arial" w:eastAsia="Calibri" w:hAnsi="Arial" w:cs="Arial"/>
          <w:sz w:val="22"/>
        </w:rPr>
        <w:t xml:space="preserve"> los contratos derivados de los concursos de méritos. Lo anterior con fundamento en</w:t>
      </w:r>
      <w:r>
        <w:rPr>
          <w:rFonts w:ascii="Arial" w:eastAsia="Calibri" w:hAnsi="Arial" w:cs="Arial"/>
          <w:sz w:val="22"/>
        </w:rPr>
        <w:t xml:space="preserve">: </w:t>
      </w:r>
      <w:r w:rsidRPr="0086204F">
        <w:rPr>
          <w:rFonts w:ascii="Arial" w:eastAsia="Calibri" w:hAnsi="Arial" w:cs="Arial"/>
          <w:sz w:val="22"/>
        </w:rPr>
        <w:t xml:space="preserve">i) el principio de publicidad como eje rector de las actuaciones administrativas y ii) la remisión del artículo 77 de la Ley 80 de 1993 a las normas del procedimiento administrativo general, en virtud de la cual aplica </w:t>
      </w:r>
      <w:r w:rsidRPr="0086204F">
        <w:rPr>
          <w:rFonts w:ascii="Arial" w:hAnsi="Arial" w:cs="Arial"/>
          <w:bCs/>
          <w:color w:val="000000" w:themeColor="text1"/>
          <w:sz w:val="22"/>
          <w:lang w:val="es-ES"/>
        </w:rPr>
        <w:t xml:space="preserve">el </w:t>
      </w:r>
      <w:r w:rsidRPr="0086204F">
        <w:rPr>
          <w:rFonts w:ascii="Arial" w:eastAsia="Calibri" w:hAnsi="Arial" w:cs="Arial"/>
          <w:sz w:val="22"/>
        </w:rPr>
        <w:t>inciso final del artículo 35 de la Ley 1437 de 2011</w:t>
      </w:r>
      <w:r>
        <w:rPr>
          <w:rFonts w:ascii="Arial" w:eastAsia="Calibri" w:hAnsi="Arial" w:cs="Arial"/>
          <w:sz w:val="22"/>
        </w:rPr>
        <w:t xml:space="preserve">. </w:t>
      </w:r>
    </w:p>
    <w:p w14:paraId="257561DB" w14:textId="77777777" w:rsidR="005C1D5F" w:rsidRPr="005C1D5F" w:rsidRDefault="005C1D5F" w:rsidP="005C1D5F">
      <w:pPr>
        <w:spacing w:line="276" w:lineRule="auto"/>
        <w:ind w:firstLine="709"/>
        <w:jc w:val="both"/>
        <w:rPr>
          <w:rFonts w:ascii="Arial" w:eastAsia="Calibri" w:hAnsi="Arial" w:cs="Arial"/>
          <w:sz w:val="22"/>
        </w:rPr>
      </w:pPr>
    </w:p>
    <w:p w14:paraId="37CA9805" w14:textId="4C51B578" w:rsidR="00DD5B04" w:rsidRPr="00493521" w:rsidRDefault="004177A6" w:rsidP="00510DE9">
      <w:pPr>
        <w:tabs>
          <w:tab w:val="left" w:pos="0"/>
        </w:tabs>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3</w:t>
      </w:r>
      <w:r w:rsidR="00B011A9" w:rsidRPr="00493521">
        <w:rPr>
          <w:rFonts w:ascii="Arial" w:eastAsia="Calibri" w:hAnsi="Arial" w:cs="Arial"/>
          <w:b/>
          <w:color w:val="000000" w:themeColor="text1"/>
          <w:sz w:val="22"/>
          <w:lang w:val="es-ES_tradnl"/>
        </w:rPr>
        <w:t xml:space="preserve">. </w:t>
      </w:r>
      <w:r w:rsidR="00DD5B04" w:rsidRPr="00493521">
        <w:rPr>
          <w:rFonts w:ascii="Arial" w:eastAsia="Calibri" w:hAnsi="Arial" w:cs="Arial"/>
          <w:b/>
          <w:color w:val="000000" w:themeColor="text1"/>
          <w:sz w:val="22"/>
          <w:lang w:val="es-ES_tradnl"/>
        </w:rPr>
        <w:t>Respuesta</w:t>
      </w:r>
    </w:p>
    <w:p w14:paraId="6EAE6234" w14:textId="32FA51EA" w:rsidR="00E00990" w:rsidRDefault="00E00990" w:rsidP="00510DE9">
      <w:pPr>
        <w:tabs>
          <w:tab w:val="left" w:pos="0"/>
        </w:tabs>
        <w:jc w:val="both"/>
        <w:rPr>
          <w:rFonts w:ascii="Arial" w:eastAsia="Calibri" w:hAnsi="Arial" w:cs="Arial"/>
          <w:color w:val="000000" w:themeColor="text1"/>
          <w:sz w:val="22"/>
          <w:lang w:val="es-ES_tradnl"/>
        </w:rPr>
      </w:pPr>
    </w:p>
    <w:p w14:paraId="4EE27108" w14:textId="148DAEDC" w:rsidR="00E00990" w:rsidRDefault="00E00990" w:rsidP="00993D92">
      <w:pPr>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w:t>
      </w:r>
      <w:r>
        <w:rPr>
          <w:rFonts w:ascii="Arial" w:hAnsi="Arial" w:cs="Arial"/>
          <w:color w:val="000000" w:themeColor="text1"/>
          <w:sz w:val="21"/>
          <w:szCs w:val="21"/>
          <w:lang w:val="es-ES_tradnl"/>
        </w:rPr>
        <w:t>1. Explicar o aclarar de forma detallada su aplicación en el procedimiento del concurso de méritos, en especial lo relacionado a la audiencia que se desarrollaba para realizar la apertura del sobre económico ¿si se debe realizar o no?</w:t>
      </w:r>
      <w:r w:rsidR="00993D92">
        <w:rPr>
          <w:rFonts w:ascii="Arial" w:hAnsi="Arial" w:cs="Arial"/>
          <w:color w:val="000000" w:themeColor="text1"/>
          <w:sz w:val="21"/>
          <w:szCs w:val="21"/>
          <w:lang w:val="es-ES_tradnl"/>
        </w:rPr>
        <w:t>»</w:t>
      </w:r>
    </w:p>
    <w:p w14:paraId="60171B8B" w14:textId="424203E5" w:rsidR="00E00990" w:rsidRDefault="00E00990" w:rsidP="00E00990">
      <w:pPr>
        <w:ind w:left="709" w:right="709"/>
        <w:jc w:val="both"/>
        <w:rPr>
          <w:rFonts w:ascii="Arial" w:hAnsi="Arial" w:cs="Arial"/>
          <w:color w:val="000000" w:themeColor="text1"/>
          <w:sz w:val="21"/>
          <w:szCs w:val="21"/>
          <w:lang w:val="es-ES_tradnl"/>
        </w:rPr>
      </w:pPr>
    </w:p>
    <w:p w14:paraId="20FD1E0D" w14:textId="585652E5" w:rsidR="009461CC" w:rsidRDefault="00D30C8F" w:rsidP="00D30C8F">
      <w:pPr>
        <w:spacing w:line="276" w:lineRule="auto"/>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w:t>
      </w:r>
      <w:r w:rsidR="00B359A6">
        <w:rPr>
          <w:rFonts w:ascii="Arial" w:eastAsia="Calibri" w:hAnsi="Arial" w:cs="Arial"/>
          <w:color w:val="000000" w:themeColor="text1"/>
          <w:sz w:val="22"/>
          <w:lang w:val="es-ES_tradnl"/>
        </w:rPr>
        <w:t>De igual forma</w:t>
      </w:r>
      <w:r w:rsidRPr="00493521">
        <w:rPr>
          <w:rFonts w:ascii="Arial" w:eastAsia="Calibri" w:hAnsi="Arial" w:cs="Arial"/>
          <w:color w:val="000000" w:themeColor="text1"/>
          <w:sz w:val="22"/>
          <w:lang w:val="es-ES_tradnl"/>
        </w:rPr>
        <w:t xml:space="preserve">, en el pliego de condiciones deben establecerse con claridad los requisitos habilitantes y criterios de calificación con fundamento en los cuales la entidad estatal elaborará el informe de evaluación respectivo. </w:t>
      </w:r>
    </w:p>
    <w:p w14:paraId="46E70FED" w14:textId="77777777" w:rsidR="009461CC" w:rsidRDefault="009461CC" w:rsidP="00D30C8F">
      <w:pPr>
        <w:spacing w:line="276" w:lineRule="auto"/>
        <w:jc w:val="both"/>
        <w:rPr>
          <w:rFonts w:ascii="Arial" w:eastAsia="Calibri" w:hAnsi="Arial" w:cs="Arial"/>
          <w:color w:val="000000" w:themeColor="text1"/>
          <w:sz w:val="22"/>
          <w:lang w:val="es-ES_tradnl"/>
        </w:rPr>
      </w:pPr>
    </w:p>
    <w:p w14:paraId="79D4C7A1" w14:textId="1ACCD352" w:rsidR="00D30C8F" w:rsidRPr="00493521" w:rsidRDefault="00D30C8F" w:rsidP="00261A36">
      <w:pPr>
        <w:spacing w:line="276" w:lineRule="auto"/>
        <w:ind w:firstLine="708"/>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w:t>
      </w:r>
      <w:r w:rsidR="007426DA">
        <w:rPr>
          <w:rFonts w:ascii="Arial" w:eastAsia="Calibri" w:hAnsi="Arial" w:cs="Arial"/>
          <w:color w:val="000000" w:themeColor="text1"/>
          <w:sz w:val="22"/>
          <w:lang w:val="es-ES_tradnl"/>
        </w:rPr>
        <w:t>indica</w:t>
      </w:r>
      <w:r w:rsidR="00FA667A">
        <w:rPr>
          <w:rFonts w:ascii="Arial" w:eastAsia="Calibri" w:hAnsi="Arial" w:cs="Arial"/>
          <w:color w:val="000000" w:themeColor="text1"/>
          <w:sz w:val="22"/>
          <w:lang w:val="es-ES_tradnl"/>
        </w:rPr>
        <w:t xml:space="preserve"> precisamente</w:t>
      </w:r>
      <w:r w:rsidRPr="00493521">
        <w:rPr>
          <w:rFonts w:ascii="Arial" w:eastAsia="Calibri" w:hAnsi="Arial" w:cs="Arial"/>
          <w:color w:val="000000" w:themeColor="text1"/>
          <w:sz w:val="22"/>
          <w:lang w:val="es-ES_tradnl"/>
        </w:rPr>
        <w:t xml:space="preserve"> que </w:t>
      </w:r>
      <w:r w:rsidR="00FA667A">
        <w:rPr>
          <w:rFonts w:ascii="Arial" w:eastAsia="Calibri" w:hAnsi="Arial" w:cs="Arial"/>
          <w:color w:val="000000" w:themeColor="text1"/>
          <w:sz w:val="22"/>
          <w:lang w:val="es-ES_tradnl"/>
        </w:rPr>
        <w:t xml:space="preserve">no </w:t>
      </w:r>
      <w:r w:rsidRPr="00493521">
        <w:rPr>
          <w:rFonts w:ascii="Arial" w:eastAsia="Calibri" w:hAnsi="Arial" w:cs="Arial"/>
          <w:color w:val="000000" w:themeColor="text1"/>
          <w:sz w:val="22"/>
          <w:lang w:val="es-ES_tradnl"/>
        </w:rPr>
        <w:t>se est</w:t>
      </w:r>
      <w:r w:rsidR="00FA667A">
        <w:rPr>
          <w:rFonts w:ascii="Arial" w:eastAsia="Calibri" w:hAnsi="Arial" w:cs="Arial"/>
          <w:color w:val="000000" w:themeColor="text1"/>
          <w:sz w:val="22"/>
          <w:lang w:val="es-ES_tradnl"/>
        </w:rPr>
        <w:t>á</w:t>
      </w:r>
      <w:r w:rsidRPr="00493521">
        <w:rPr>
          <w:rFonts w:ascii="Arial" w:eastAsia="Calibri" w:hAnsi="Arial" w:cs="Arial"/>
          <w:color w:val="000000" w:themeColor="text1"/>
          <w:sz w:val="22"/>
          <w:lang w:val="es-ES_tradnl"/>
        </w:rPr>
        <w:t xml:space="preserve"> introduciendo el precio como factor de </w:t>
      </w:r>
      <w:r w:rsidRPr="00493521">
        <w:rPr>
          <w:rFonts w:ascii="Arial" w:eastAsia="Calibri" w:hAnsi="Arial" w:cs="Arial"/>
          <w:color w:val="000000" w:themeColor="text1"/>
          <w:sz w:val="22"/>
          <w:lang w:val="es-ES_tradnl"/>
        </w:rPr>
        <w:lastRenderedPageBreak/>
        <w:t xml:space="preserve">escogencia. Lo que se deduce del artículo 2 del Decreto 399 de 2021 es que en el pliego de condiciones debe quedar claramente establecido el presupuesto oficial, así como la prohibición de superarlo como requisito habilitante dentro del concurso de méritos. En consecuencia, cuando el valor de la oferta exceda dicho presupuesto oficial y tal inconsistencia no sea subsanada, deberá procederse con el rechazo y esto debe quedar consignado en el informe de evaluación. </w:t>
      </w:r>
    </w:p>
    <w:p w14:paraId="72FB58CE" w14:textId="4AE7D007" w:rsidR="00D30C8F" w:rsidRDefault="00D30C8F" w:rsidP="00D30C8F">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w:t>
      </w:r>
      <w:r>
        <w:rPr>
          <w:rFonts w:ascii="Arial" w:eastAsia="Calibri" w:hAnsi="Arial" w:cs="Arial"/>
          <w:color w:val="000000" w:themeColor="text1"/>
          <w:sz w:val="22"/>
          <w:lang w:val="es-ES_tradnl"/>
        </w:rPr>
        <w:t>n</w:t>
      </w:r>
      <w:r w:rsidRPr="00493521">
        <w:rPr>
          <w:rFonts w:ascii="Arial" w:eastAsia="Calibri" w:hAnsi="Arial" w:cs="Arial"/>
          <w:color w:val="000000" w:themeColor="text1"/>
          <w:sz w:val="22"/>
          <w:lang w:val="es-ES_tradnl"/>
        </w:rPr>
        <w:t xml:space="preserve"> es la adjudicación del contrato o la declaratoria de desierta, si ninguno de los oferentes cumple los requisitos habilitantes.</w:t>
      </w:r>
    </w:p>
    <w:p w14:paraId="23882328" w14:textId="02B6F46F" w:rsidR="00A11B4E" w:rsidRPr="00883246" w:rsidRDefault="0057515E" w:rsidP="00A11B4E">
      <w:pPr>
        <w:spacing w:before="120" w:line="276" w:lineRule="auto"/>
        <w:ind w:firstLine="709"/>
        <w:jc w:val="both"/>
        <w:rPr>
          <w:rFonts w:ascii="Arial" w:hAnsi="Arial" w:cs="Arial"/>
          <w:color w:val="000000"/>
          <w:sz w:val="22"/>
          <w:szCs w:val="22"/>
        </w:rPr>
      </w:pPr>
      <w:r>
        <w:rPr>
          <w:rFonts w:ascii="Arial" w:hAnsi="Arial" w:cs="Arial"/>
          <w:color w:val="000000"/>
          <w:sz w:val="22"/>
          <w:szCs w:val="22"/>
          <w:lang w:val="es-ES"/>
        </w:rPr>
        <w:t>Así</w:t>
      </w:r>
      <w:r w:rsidR="00A11B4E" w:rsidRPr="00883246">
        <w:rPr>
          <w:rFonts w:ascii="Arial" w:hAnsi="Arial" w:cs="Arial"/>
          <w:color w:val="000000"/>
          <w:sz w:val="22"/>
          <w:szCs w:val="22"/>
          <w:lang w:val="es-ES"/>
        </w:rPr>
        <w:t>, con la modificación introducida por el Decreto 399 de 2021 al concurso de méritos</w:t>
      </w:r>
      <w:r w:rsidR="00A11B4E">
        <w:rPr>
          <w:rFonts w:ascii="Arial" w:hAnsi="Arial" w:cs="Arial"/>
          <w:color w:val="000000"/>
          <w:sz w:val="22"/>
          <w:szCs w:val="22"/>
          <w:lang w:val="es-ES"/>
        </w:rPr>
        <w:t xml:space="preserve"> abierto y con precalificación</w:t>
      </w:r>
      <w:r w:rsidR="00A11B4E" w:rsidRPr="00883246">
        <w:rPr>
          <w:rFonts w:ascii="Arial" w:hAnsi="Arial" w:cs="Arial"/>
          <w:color w:val="000000"/>
          <w:sz w:val="22"/>
          <w:szCs w:val="22"/>
          <w:lang w:val="es-ES"/>
        </w:rPr>
        <w:t>, las entidades estatales</w:t>
      </w:r>
      <w:r w:rsidR="00A11B4E">
        <w:rPr>
          <w:rFonts w:ascii="Arial" w:hAnsi="Arial" w:cs="Arial"/>
          <w:color w:val="000000"/>
          <w:sz w:val="22"/>
          <w:szCs w:val="22"/>
          <w:lang w:val="es-ES"/>
        </w:rPr>
        <w:t>, después de la evaluación de los requisitos habilitantes y de calificación,</w:t>
      </w:r>
      <w:r w:rsidR="00A11B4E" w:rsidRPr="00883246">
        <w:rPr>
          <w:rFonts w:ascii="Arial" w:hAnsi="Arial" w:cs="Arial"/>
          <w:color w:val="000000"/>
          <w:sz w:val="22"/>
          <w:szCs w:val="22"/>
          <w:lang w:val="es-ES"/>
        </w:rPr>
        <w:t xml:space="preserve"> no deben llevar a cabo una audiencia para revisar la oferta económica y verificar que se encuentre en el rango del valor estimado consignado en los estudios previos</w:t>
      </w:r>
      <w:r w:rsidR="00A11B4E">
        <w:rPr>
          <w:rFonts w:ascii="Arial" w:hAnsi="Arial" w:cs="Arial"/>
          <w:color w:val="000000"/>
          <w:sz w:val="22"/>
          <w:szCs w:val="22"/>
          <w:lang w:val="es-ES"/>
        </w:rPr>
        <w:t>, ni tampoco una fase de negociación del precio</w:t>
      </w:r>
      <w:r w:rsidR="00A11B4E" w:rsidRPr="00883246">
        <w:rPr>
          <w:rFonts w:ascii="Arial" w:hAnsi="Arial" w:cs="Arial"/>
          <w:color w:val="000000"/>
          <w:sz w:val="22"/>
          <w:szCs w:val="22"/>
          <w:lang w:val="es-ES"/>
        </w:rPr>
        <w:t xml:space="preserve">. </w:t>
      </w:r>
      <w:r w:rsidR="00A11B4E">
        <w:rPr>
          <w:rFonts w:ascii="Arial" w:hAnsi="Arial" w:cs="Arial"/>
          <w:color w:val="000000"/>
          <w:sz w:val="22"/>
          <w:szCs w:val="22"/>
          <w:lang w:val="es-ES"/>
        </w:rPr>
        <w:t>Las entidades estatales deben</w:t>
      </w:r>
      <w:r w:rsidR="00A11B4E" w:rsidRPr="00883246">
        <w:rPr>
          <w:rFonts w:ascii="Arial" w:hAnsi="Arial" w:cs="Arial"/>
          <w:color w:val="000000"/>
          <w:sz w:val="22"/>
          <w:szCs w:val="22"/>
          <w:lang w:val="es-ES"/>
        </w:rPr>
        <w:t xml:space="preserve"> realizar la evaluación y publicar el informe correspondiente, «</w:t>
      </w:r>
      <w:r w:rsidR="00A11B4E" w:rsidRPr="00883246">
        <w:rPr>
          <w:rFonts w:ascii="Arial" w:hAnsi="Arial" w:cs="Arial"/>
          <w:sz w:val="22"/>
          <w:szCs w:val="22"/>
        </w:rPr>
        <w:t xml:space="preserve">[…] </w:t>
      </w:r>
      <w:r w:rsidR="00A11B4E" w:rsidRPr="00883246">
        <w:rPr>
          <w:rFonts w:ascii="Arial" w:hAnsi="Arial" w:cs="Arial"/>
          <w:color w:val="000000"/>
          <w:sz w:val="22"/>
          <w:szCs w:val="22"/>
          <w:lang w:val="es-ES"/>
        </w:rPr>
        <w:t>el cual debe contener la evaluación de las ofertas frente a todos los requisitos exigidos en el pliego de condiciones, incluyendo los requisitos habilitantes y los de asignación de puntaje</w:t>
      </w:r>
      <w:r w:rsidR="00A11B4E">
        <w:rPr>
          <w:rFonts w:ascii="Arial" w:hAnsi="Arial" w:cs="Arial"/>
          <w:color w:val="000000"/>
          <w:sz w:val="22"/>
          <w:szCs w:val="22"/>
          <w:lang w:val="es-ES"/>
        </w:rPr>
        <w:t xml:space="preserve">», al tenor del numeral 2 del artículo </w:t>
      </w:r>
      <w:r w:rsidR="00A11B4E" w:rsidRPr="00CB1800">
        <w:rPr>
          <w:rFonts w:ascii="Arial" w:hAnsi="Arial" w:cs="Arial"/>
          <w:color w:val="000000"/>
          <w:sz w:val="22"/>
          <w:szCs w:val="22"/>
          <w:lang w:val="es-ES"/>
        </w:rPr>
        <w:t>2.2.1.2.1.3.2.</w:t>
      </w:r>
      <w:r w:rsidR="00A11B4E">
        <w:rPr>
          <w:rFonts w:ascii="Arial" w:hAnsi="Arial" w:cs="Arial"/>
          <w:color w:val="000000"/>
          <w:sz w:val="22"/>
          <w:szCs w:val="22"/>
          <w:lang w:val="es-ES"/>
        </w:rPr>
        <w:t xml:space="preserve"> del Decreto 1082 de 2021, modificado por el artículo 2 del primero de los decretos mencionados.</w:t>
      </w:r>
      <w:r w:rsidR="00A11B4E" w:rsidRPr="00883246">
        <w:rPr>
          <w:rFonts w:ascii="Arial" w:hAnsi="Arial" w:cs="Arial"/>
          <w:color w:val="000000"/>
          <w:sz w:val="22"/>
          <w:szCs w:val="22"/>
          <w:lang w:val="es-ES"/>
        </w:rPr>
        <w:t xml:space="preserve"> </w:t>
      </w:r>
      <w:r w:rsidR="00A11B4E">
        <w:rPr>
          <w:rFonts w:ascii="Arial" w:hAnsi="Arial" w:cs="Arial"/>
          <w:color w:val="000000"/>
          <w:sz w:val="22"/>
          <w:szCs w:val="22"/>
          <w:lang w:val="es-ES"/>
        </w:rPr>
        <w:t>Es decir que la verificación de que el precio de la oferta no excede el presupuesto oficial se debe hacer antes de publicar el informe de evaluación.</w:t>
      </w:r>
    </w:p>
    <w:p w14:paraId="1C9E0860" w14:textId="47E75493" w:rsidR="00A11B4E" w:rsidRDefault="00A11B4E" w:rsidP="00A11B4E">
      <w:pPr>
        <w:spacing w:before="120" w:line="276" w:lineRule="auto"/>
        <w:ind w:firstLine="709"/>
        <w:jc w:val="both"/>
        <w:rPr>
          <w:rFonts w:ascii="Arial" w:eastAsia="Calibri" w:hAnsi="Arial" w:cs="Arial"/>
          <w:sz w:val="22"/>
        </w:rPr>
      </w:pPr>
      <w:r>
        <w:rPr>
          <w:rFonts w:ascii="Arial" w:eastAsia="Calibri" w:hAnsi="Arial" w:cs="Arial"/>
          <w:sz w:val="22"/>
        </w:rPr>
        <w:t>Ahora bien,</w:t>
      </w:r>
      <w:r w:rsidRPr="0086204F">
        <w:rPr>
          <w:rFonts w:ascii="Arial" w:eastAsia="Calibri" w:hAnsi="Arial" w:cs="Arial"/>
          <w:sz w:val="22"/>
        </w:rPr>
        <w:t xml:space="preserve"> la Administración –</w:t>
      </w:r>
      <w:r w:rsidRPr="004D30B6">
        <w:rPr>
          <w:rFonts w:ascii="Arial" w:eastAsia="Calibri" w:hAnsi="Arial" w:cs="Arial"/>
          <w:sz w:val="22"/>
        </w:rPr>
        <w:t>siempre que lo disponga en el pliego de condiciones</w:t>
      </w:r>
      <w:r w:rsidRPr="0086204F">
        <w:rPr>
          <w:rFonts w:ascii="Arial" w:eastAsia="Calibri" w:hAnsi="Arial" w:cs="Arial"/>
          <w:sz w:val="22"/>
        </w:rPr>
        <w:t xml:space="preserve">– puede </w:t>
      </w:r>
      <w:r>
        <w:rPr>
          <w:rFonts w:ascii="Arial" w:eastAsia="Calibri" w:hAnsi="Arial" w:cs="Arial"/>
          <w:sz w:val="22"/>
        </w:rPr>
        <w:t xml:space="preserve">realizar </w:t>
      </w:r>
      <w:r w:rsidRPr="0086204F">
        <w:rPr>
          <w:rFonts w:ascii="Arial" w:eastAsia="Calibri" w:hAnsi="Arial" w:cs="Arial"/>
          <w:i/>
          <w:iCs/>
          <w:sz w:val="22"/>
        </w:rPr>
        <w:t>audiencias públicas</w:t>
      </w:r>
      <w:r w:rsidRPr="0086204F">
        <w:rPr>
          <w:rFonts w:ascii="Arial" w:eastAsia="Calibri" w:hAnsi="Arial" w:cs="Arial"/>
          <w:sz w:val="22"/>
        </w:rPr>
        <w:t xml:space="preserve"> para </w:t>
      </w:r>
      <w:r>
        <w:rPr>
          <w:rFonts w:ascii="Arial" w:eastAsia="Calibri" w:hAnsi="Arial" w:cs="Arial"/>
          <w:sz w:val="22"/>
        </w:rPr>
        <w:t>adjudicar</w:t>
      </w:r>
      <w:r w:rsidRPr="0086204F">
        <w:rPr>
          <w:rFonts w:ascii="Arial" w:eastAsia="Calibri" w:hAnsi="Arial" w:cs="Arial"/>
          <w:sz w:val="22"/>
        </w:rPr>
        <w:t xml:space="preserve"> los contratos derivados de los concursos de méritos. Lo anterior con fundamento en</w:t>
      </w:r>
      <w:r>
        <w:rPr>
          <w:rFonts w:ascii="Arial" w:eastAsia="Calibri" w:hAnsi="Arial" w:cs="Arial"/>
          <w:sz w:val="22"/>
        </w:rPr>
        <w:t xml:space="preserve">: </w:t>
      </w:r>
      <w:r w:rsidRPr="0086204F">
        <w:rPr>
          <w:rFonts w:ascii="Arial" w:eastAsia="Calibri" w:hAnsi="Arial" w:cs="Arial"/>
          <w:sz w:val="22"/>
        </w:rPr>
        <w:t xml:space="preserve">i) el principio de publicidad como eje rector de las actuaciones administrativas y ii) la remisión del artículo 77 de la Ley 80 de 1993 a las normas del procedimiento administrativo general, en virtud de la cual aplica </w:t>
      </w:r>
      <w:r w:rsidRPr="0086204F">
        <w:rPr>
          <w:rFonts w:ascii="Arial" w:hAnsi="Arial" w:cs="Arial"/>
          <w:bCs/>
          <w:color w:val="000000" w:themeColor="text1"/>
          <w:sz w:val="22"/>
          <w:lang w:val="es-ES"/>
        </w:rPr>
        <w:t xml:space="preserve">el </w:t>
      </w:r>
      <w:r w:rsidRPr="0086204F">
        <w:rPr>
          <w:rFonts w:ascii="Arial" w:eastAsia="Calibri" w:hAnsi="Arial" w:cs="Arial"/>
          <w:sz w:val="22"/>
        </w:rPr>
        <w:t>inciso final del artículo 35 de la Ley 1437 de 2011</w:t>
      </w:r>
      <w:r>
        <w:rPr>
          <w:rFonts w:ascii="Arial" w:eastAsia="Calibri" w:hAnsi="Arial" w:cs="Arial"/>
          <w:sz w:val="22"/>
        </w:rPr>
        <w:t xml:space="preserve">. </w:t>
      </w:r>
    </w:p>
    <w:p w14:paraId="799C3CC8" w14:textId="77777777" w:rsidR="00D30C8F" w:rsidRPr="00A11B4E" w:rsidRDefault="00D30C8F" w:rsidP="00E00990">
      <w:pPr>
        <w:ind w:left="709" w:right="709"/>
        <w:jc w:val="both"/>
        <w:rPr>
          <w:rFonts w:ascii="Arial" w:hAnsi="Arial" w:cs="Arial"/>
          <w:color w:val="000000" w:themeColor="text1"/>
          <w:sz w:val="21"/>
          <w:szCs w:val="21"/>
        </w:rPr>
      </w:pPr>
    </w:p>
    <w:p w14:paraId="718882F4" w14:textId="55DB3C89" w:rsidR="00E00990" w:rsidRPr="00493521" w:rsidRDefault="00993D92" w:rsidP="00E00990">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E00990">
        <w:rPr>
          <w:rFonts w:ascii="Arial" w:hAnsi="Arial" w:cs="Arial"/>
          <w:color w:val="000000" w:themeColor="text1"/>
          <w:sz w:val="21"/>
          <w:szCs w:val="21"/>
          <w:lang w:val="es-ES_tradnl"/>
        </w:rPr>
        <w:t>2. Precisar e indicar por parte de ustedes, si se realizarán adaptaciones al módulo del concurso de méritos abierto en la plataforma SECOP II».</w:t>
      </w:r>
    </w:p>
    <w:p w14:paraId="3E527946" w14:textId="7D033D5B" w:rsidR="00E00990" w:rsidRDefault="00E00990" w:rsidP="00510DE9">
      <w:pPr>
        <w:tabs>
          <w:tab w:val="left" w:pos="0"/>
        </w:tabs>
        <w:jc w:val="both"/>
        <w:rPr>
          <w:rFonts w:ascii="Arial" w:eastAsia="Calibri" w:hAnsi="Arial" w:cs="Arial"/>
          <w:color w:val="000000" w:themeColor="text1"/>
          <w:sz w:val="22"/>
          <w:lang w:val="es-ES_tradnl"/>
        </w:rPr>
      </w:pPr>
    </w:p>
    <w:p w14:paraId="637A2D01" w14:textId="2B720E61" w:rsidR="00C4709B" w:rsidRPr="00493521" w:rsidRDefault="007E2FEB" w:rsidP="00C4709B">
      <w:pPr>
        <w:spacing w:line="276" w:lineRule="auto"/>
        <w:jc w:val="both"/>
        <w:rPr>
          <w:rFonts w:ascii="Arial" w:hAnsi="Arial" w:cs="Arial"/>
          <w:sz w:val="22"/>
          <w:szCs w:val="22"/>
          <w:lang w:val="es-ES_tradnl"/>
        </w:rPr>
      </w:pPr>
      <w:r>
        <w:rPr>
          <w:rFonts w:ascii="Arial" w:hAnsi="Arial" w:cs="Arial"/>
          <w:sz w:val="22"/>
          <w:szCs w:val="22"/>
          <w:lang w:val="es-ES_tradnl"/>
        </w:rPr>
        <w:t>Como se expresó en las consideraciones de este concepto, l</w:t>
      </w:r>
      <w:r w:rsidR="00B211C6">
        <w:rPr>
          <w:rFonts w:ascii="Arial" w:hAnsi="Arial" w:cs="Arial"/>
          <w:sz w:val="22"/>
          <w:szCs w:val="22"/>
          <w:lang w:val="es-ES_tradnl"/>
        </w:rPr>
        <w:t xml:space="preserve">a Subdirección de Información y Desarrollo Tecnológico de la Agencia Nacional de Contratación Pública – Colombia Compra Eficiente actualmente </w:t>
      </w:r>
      <w:r>
        <w:rPr>
          <w:rFonts w:ascii="Arial" w:hAnsi="Arial" w:cs="Arial"/>
          <w:sz w:val="22"/>
          <w:szCs w:val="22"/>
          <w:lang w:val="es-ES_tradnl"/>
        </w:rPr>
        <w:t>está realizando los trámites administrativos y presupuestales necesarios para hacer los ajustes que requiere el SECOP II</w:t>
      </w:r>
      <w:r w:rsidR="002E6F4A">
        <w:rPr>
          <w:rFonts w:ascii="Arial" w:hAnsi="Arial" w:cs="Arial"/>
          <w:sz w:val="22"/>
          <w:szCs w:val="22"/>
          <w:lang w:val="es-ES_tradnl"/>
        </w:rPr>
        <w:t>,</w:t>
      </w:r>
      <w:r w:rsidR="00CA2697">
        <w:rPr>
          <w:rFonts w:ascii="Arial" w:hAnsi="Arial" w:cs="Arial"/>
          <w:sz w:val="22"/>
          <w:szCs w:val="22"/>
          <w:lang w:val="es-ES_tradnl"/>
        </w:rPr>
        <w:t xml:space="preserve"> de manera que se adecue a las exigencias del artículo 2 del Decreto 399 de 2021.</w:t>
      </w:r>
    </w:p>
    <w:p w14:paraId="18B33146" w14:textId="584EC35D" w:rsidR="002306BF" w:rsidRPr="00493521" w:rsidRDefault="002306BF" w:rsidP="009E03C7">
      <w:pPr>
        <w:spacing w:line="276" w:lineRule="auto"/>
        <w:jc w:val="both"/>
        <w:rPr>
          <w:rFonts w:ascii="Arial" w:hAnsi="Arial" w:cs="Arial"/>
          <w:color w:val="000000" w:themeColor="text1"/>
          <w:sz w:val="22"/>
          <w:szCs w:val="22"/>
          <w:lang w:val="es-ES_tradnl"/>
        </w:rPr>
      </w:pPr>
    </w:p>
    <w:p w14:paraId="7B2C921D" w14:textId="0F929B38" w:rsidR="00DD5B04" w:rsidRPr="00493521" w:rsidRDefault="00DD5B04" w:rsidP="00DF76A2">
      <w:pPr>
        <w:spacing w:line="276" w:lineRule="auto"/>
        <w:jc w:val="both"/>
        <w:rPr>
          <w:rFonts w:ascii="Arial" w:hAnsi="Arial" w:cs="Arial"/>
          <w:color w:val="000000" w:themeColor="text1"/>
          <w:sz w:val="22"/>
          <w:lang w:val="es-ES_tradnl"/>
        </w:rPr>
      </w:pPr>
      <w:r w:rsidRPr="0049352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9352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49352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93521">
        <w:rPr>
          <w:rFonts w:ascii="Arial" w:hAnsi="Arial" w:cs="Arial"/>
          <w:color w:val="000000" w:themeColor="text1"/>
          <w:sz w:val="22"/>
          <w:szCs w:val="22"/>
          <w:lang w:val="es-ES_tradnl"/>
        </w:rPr>
        <w:t>Atentamente,</w:t>
      </w:r>
    </w:p>
    <w:p w14:paraId="692FC307" w14:textId="210AA6B5" w:rsidR="00921304" w:rsidRPr="0049352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9AB22C1" w:rsidR="00921304" w:rsidRPr="00493521" w:rsidRDefault="00407E2E"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561195C" wp14:editId="3916B0B2">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493521" w:rsidRDefault="00425C43" w:rsidP="00B37657">
      <w:pPr>
        <w:jc w:val="center"/>
        <w:rPr>
          <w:rFonts w:ascii="Arial" w:hAnsi="Arial" w:cs="Arial"/>
          <w:color w:val="000000" w:themeColor="text1"/>
          <w:sz w:val="18"/>
          <w:szCs w:val="20"/>
          <w:lang w:val="es-ES_tradnl" w:eastAsia="es-CO"/>
        </w:rPr>
      </w:pPr>
    </w:p>
    <w:p w14:paraId="49730030" w14:textId="217D35F3" w:rsidR="00DD5B04" w:rsidRPr="0049352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93521" w14:paraId="0C7DC5F7" w14:textId="77777777" w:rsidTr="008F4163">
        <w:trPr>
          <w:trHeight w:val="315"/>
        </w:trPr>
        <w:tc>
          <w:tcPr>
            <w:tcW w:w="812" w:type="dxa"/>
            <w:vAlign w:val="center"/>
            <w:hideMark/>
          </w:tcPr>
          <w:p w14:paraId="5BDB1AC9"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Cristian Andrés Díaz Díez</w:t>
            </w:r>
          </w:p>
          <w:p w14:paraId="240C71FD" w14:textId="31312C95"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Contratista</w:t>
            </w:r>
            <w:r w:rsidR="00FF0050" w:rsidRPr="00493521">
              <w:rPr>
                <w:rFonts w:ascii="Arial" w:hAnsi="Arial" w:cs="Arial"/>
                <w:color w:val="000000" w:themeColor="text1"/>
                <w:sz w:val="16"/>
                <w:szCs w:val="16"/>
                <w:lang w:val="es-ES_tradnl" w:eastAsia="es-ES"/>
              </w:rPr>
              <w:t xml:space="preserve"> de la </w:t>
            </w:r>
            <w:r w:rsidRPr="00493521">
              <w:rPr>
                <w:rFonts w:ascii="Arial" w:hAnsi="Arial" w:cs="Arial"/>
                <w:color w:val="000000" w:themeColor="text1"/>
                <w:sz w:val="16"/>
                <w:szCs w:val="16"/>
                <w:lang w:val="es-ES_tradnl" w:eastAsia="es-ES"/>
              </w:rPr>
              <w:t>Subdirección de Gestión Contractual</w:t>
            </w:r>
          </w:p>
        </w:tc>
      </w:tr>
      <w:tr w:rsidR="00DD5B04" w:rsidRPr="00493521" w14:paraId="2F8FD650" w14:textId="77777777" w:rsidTr="008F4163">
        <w:trPr>
          <w:trHeight w:val="330"/>
        </w:trPr>
        <w:tc>
          <w:tcPr>
            <w:tcW w:w="812" w:type="dxa"/>
            <w:vAlign w:val="center"/>
            <w:hideMark/>
          </w:tcPr>
          <w:p w14:paraId="50203A0B"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77777777" w:rsidR="00F1085C" w:rsidRPr="00493521" w:rsidRDefault="00F1085C" w:rsidP="00F1085C">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Sebastián Ramírez Grisales</w:t>
            </w:r>
          </w:p>
          <w:p w14:paraId="130B3228" w14:textId="551EBD21" w:rsidR="00DD5B04" w:rsidRPr="00493521" w:rsidRDefault="00F1085C" w:rsidP="00F1085C">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Gestor T1-15 de la Subdirección de Gestión Contractual</w:t>
            </w:r>
          </w:p>
        </w:tc>
      </w:tr>
      <w:tr w:rsidR="00DD5B04" w:rsidRPr="00493521" w14:paraId="0FCBCA4A" w14:textId="77777777" w:rsidTr="008F4163">
        <w:trPr>
          <w:trHeight w:val="300"/>
        </w:trPr>
        <w:tc>
          <w:tcPr>
            <w:tcW w:w="812" w:type="dxa"/>
            <w:vAlign w:val="center"/>
            <w:hideMark/>
          </w:tcPr>
          <w:p w14:paraId="3C1D943A"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93521" w:rsidRDefault="00C05A61"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 xml:space="preserve">Jorge </w:t>
            </w:r>
            <w:r w:rsidR="00647A36" w:rsidRPr="00493521">
              <w:rPr>
                <w:rFonts w:ascii="Arial" w:hAnsi="Arial" w:cs="Arial"/>
                <w:color w:val="000000" w:themeColor="text1"/>
                <w:sz w:val="16"/>
                <w:szCs w:val="16"/>
                <w:lang w:val="es-ES_tradnl" w:eastAsia="es-ES"/>
              </w:rPr>
              <w:t xml:space="preserve">Augusto </w:t>
            </w:r>
            <w:r w:rsidRPr="00493521">
              <w:rPr>
                <w:rFonts w:ascii="Arial" w:hAnsi="Arial" w:cs="Arial"/>
                <w:color w:val="000000" w:themeColor="text1"/>
                <w:sz w:val="16"/>
                <w:szCs w:val="16"/>
                <w:lang w:val="es-ES_tradnl" w:eastAsia="es-ES"/>
              </w:rPr>
              <w:t>Tirado Navarro</w:t>
            </w:r>
          </w:p>
          <w:p w14:paraId="1ADC483B" w14:textId="2E3B66D0"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Subdirector de Gestión Contractual</w:t>
            </w:r>
            <w:r w:rsidR="008201DE" w:rsidRPr="00493521">
              <w:rPr>
                <w:rFonts w:ascii="Arial" w:hAnsi="Arial" w:cs="Arial"/>
                <w:color w:val="000000" w:themeColor="text1"/>
                <w:sz w:val="16"/>
                <w:szCs w:val="16"/>
                <w:lang w:val="es-ES_tradnl" w:eastAsia="es-ES"/>
              </w:rPr>
              <w:t xml:space="preserve"> ANCP – CCE</w:t>
            </w:r>
          </w:p>
        </w:tc>
      </w:tr>
    </w:tbl>
    <w:p w14:paraId="35B56F46" w14:textId="77777777" w:rsidR="00746E08" w:rsidRPr="00493521" w:rsidRDefault="00746E08" w:rsidP="00215B8E">
      <w:pPr>
        <w:jc w:val="both"/>
        <w:rPr>
          <w:rFonts w:ascii="Arial" w:hAnsi="Arial" w:cs="Arial"/>
          <w:lang w:val="es-ES_tradnl"/>
        </w:rPr>
      </w:pPr>
    </w:p>
    <w:sectPr w:rsidR="00746E08" w:rsidRPr="00493521"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298ED" w14:textId="77777777" w:rsidR="00AF083A" w:rsidRDefault="00AF083A">
      <w:r>
        <w:separator/>
      </w:r>
    </w:p>
  </w:endnote>
  <w:endnote w:type="continuationSeparator" w:id="0">
    <w:p w14:paraId="5422FD93" w14:textId="77777777" w:rsidR="00AF083A" w:rsidRDefault="00AF083A">
      <w:r>
        <w:continuationSeparator/>
      </w:r>
    </w:p>
  </w:endnote>
  <w:endnote w:type="continuationNotice" w:id="1">
    <w:p w14:paraId="4A2A6C8D" w14:textId="77777777" w:rsidR="00AF083A" w:rsidRDefault="00AF0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2ED4F" w14:textId="77777777" w:rsidR="00AF083A" w:rsidRDefault="00AF083A">
      <w:r>
        <w:separator/>
      </w:r>
    </w:p>
  </w:footnote>
  <w:footnote w:type="continuationSeparator" w:id="0">
    <w:p w14:paraId="62545F80" w14:textId="77777777" w:rsidR="00AF083A" w:rsidRDefault="00AF083A">
      <w:r>
        <w:continuationSeparator/>
      </w:r>
    </w:p>
  </w:footnote>
  <w:footnote w:type="continuationNotice" w:id="1">
    <w:p w14:paraId="19A9D39D" w14:textId="77777777" w:rsidR="00AF083A" w:rsidRDefault="00AF083A"/>
  </w:footnote>
  <w:footnote w:id="2">
    <w:p w14:paraId="40F67198" w14:textId="77777777" w:rsidR="00942641" w:rsidRPr="00C63E31" w:rsidRDefault="00942641" w:rsidP="00C63E31">
      <w:pPr>
        <w:pStyle w:val="Textonotapie"/>
        <w:ind w:firstLine="709"/>
        <w:jc w:val="both"/>
        <w:rPr>
          <w:rFonts w:ascii="Arial" w:hAnsi="Arial" w:cs="Arial"/>
          <w:color w:val="000000" w:themeColor="text1"/>
          <w:sz w:val="19"/>
          <w:szCs w:val="19"/>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CONSEJO DE ESTADO. Sección Tercera. Subsección A. Auto del 25 de julio de 2018. Rad. 56.165A. C.P. Marta Nubia Velásquez Rico. </w:t>
      </w:r>
    </w:p>
    <w:p w14:paraId="4970B819" w14:textId="77777777" w:rsidR="00942641" w:rsidRPr="00C63E31" w:rsidRDefault="00942641" w:rsidP="00C63E31">
      <w:pPr>
        <w:pStyle w:val="Textonotapie"/>
        <w:ind w:firstLine="709"/>
        <w:jc w:val="both"/>
        <w:rPr>
          <w:rFonts w:ascii="Arial" w:hAnsi="Arial" w:cs="Arial"/>
          <w:color w:val="000000" w:themeColor="text1"/>
          <w:sz w:val="19"/>
          <w:szCs w:val="19"/>
          <w:lang w:val="es-ES"/>
        </w:rPr>
      </w:pPr>
    </w:p>
  </w:footnote>
  <w:footnote w:id="3">
    <w:p w14:paraId="045375CC" w14:textId="77777777" w:rsidR="00942641" w:rsidRPr="00C63E31" w:rsidRDefault="00942641" w:rsidP="00C63E31">
      <w:pPr>
        <w:pStyle w:val="Textonotapie"/>
        <w:ind w:firstLine="709"/>
        <w:jc w:val="both"/>
        <w:rPr>
          <w:rFonts w:ascii="Arial" w:hAnsi="Arial" w:cs="Arial"/>
          <w:color w:val="000000" w:themeColor="text1"/>
          <w:sz w:val="19"/>
          <w:szCs w:val="19"/>
          <w:lang w:val="es-ES"/>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w:t>
      </w:r>
      <w:bookmarkStart w:id="3" w:name="_Hlk43903111"/>
      <w:r w:rsidRPr="00C63E31">
        <w:rPr>
          <w:rFonts w:ascii="Arial" w:hAnsi="Arial" w:cs="Arial"/>
          <w:color w:val="000000" w:themeColor="text1"/>
          <w:sz w:val="19"/>
          <w:szCs w:val="19"/>
        </w:rPr>
        <w:t>CONSEJO DE ESTADO. Sección Tercera. Subsección A. Auto del 20 de febrero de 2019. Rad. 61.463. C.P. Carlos Alberto Zambrano Barrera.</w:t>
      </w:r>
      <w:bookmarkEnd w:id="3"/>
    </w:p>
  </w:footnote>
  <w:footnote w:id="4">
    <w:p w14:paraId="10DAB701" w14:textId="428765A6" w:rsidR="00942641" w:rsidRPr="00C63E31" w:rsidRDefault="00942641" w:rsidP="00C63E31">
      <w:pPr>
        <w:pStyle w:val="Textonotapie"/>
        <w:ind w:firstLine="709"/>
        <w:jc w:val="both"/>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w:t>
      </w:r>
      <w:r w:rsidR="008E0A71" w:rsidRPr="00C63E31">
        <w:rPr>
          <w:rFonts w:ascii="Arial" w:hAnsi="Arial" w:cs="Arial"/>
          <w:sz w:val="19"/>
          <w:szCs w:val="19"/>
        </w:rPr>
        <w:t>[</w:t>
      </w:r>
      <w:r w:rsidRPr="00C63E31">
        <w:rPr>
          <w:rFonts w:ascii="Arial" w:hAnsi="Arial" w:cs="Arial"/>
          <w:sz w:val="19"/>
          <w:szCs w:val="19"/>
        </w:rPr>
        <w:t>…</w:t>
      </w:r>
      <w:r w:rsidR="008E0A71" w:rsidRPr="00C63E31">
        <w:rPr>
          <w:rFonts w:ascii="Arial" w:hAnsi="Arial" w:cs="Arial"/>
          <w:sz w:val="19"/>
          <w:szCs w:val="19"/>
        </w:rPr>
        <w:t xml:space="preserve">] </w:t>
      </w:r>
      <w:r w:rsidRPr="00C63E31">
        <w:rPr>
          <w:rFonts w:ascii="Arial" w:hAnsi="Arial" w:cs="Arial"/>
          <w:sz w:val="19"/>
          <w:szCs w:val="19"/>
        </w:rPr>
        <w:t xml:space="preserve">precio ofrecido </w:t>
      </w:r>
      <w:r w:rsidR="008E0A71" w:rsidRPr="00C63E31">
        <w:rPr>
          <w:rFonts w:ascii="Arial" w:hAnsi="Arial" w:cs="Arial"/>
          <w:sz w:val="19"/>
          <w:szCs w:val="19"/>
        </w:rPr>
        <w:t>[</w:t>
      </w:r>
      <w:r w:rsidRPr="00C63E31">
        <w:rPr>
          <w:rFonts w:ascii="Arial" w:hAnsi="Arial" w:cs="Arial"/>
          <w:sz w:val="19"/>
          <w:szCs w:val="19"/>
        </w:rPr>
        <w:t>…</w:t>
      </w:r>
      <w:r w:rsidR="008E0A71" w:rsidRPr="00C63E31">
        <w:rPr>
          <w:rFonts w:ascii="Arial" w:hAnsi="Arial" w:cs="Arial"/>
          <w:sz w:val="19"/>
          <w:szCs w:val="19"/>
        </w:rPr>
        <w:t>]</w:t>
      </w:r>
      <w:r w:rsidRPr="00C63E31">
        <w:rPr>
          <w:rFonts w:ascii="Arial" w:hAnsi="Arial" w:cs="Arial"/>
          <w:sz w:val="19"/>
          <w:szCs w:val="19"/>
        </w:rPr>
        <w:t>»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31AB5511" w14:textId="47B4FB6A" w:rsidR="00942641" w:rsidRPr="00C63E31" w:rsidRDefault="00942641" w:rsidP="00C63E31">
      <w:pPr>
        <w:pStyle w:val="Textonotapie"/>
        <w:ind w:firstLine="709"/>
        <w:jc w:val="both"/>
        <w:rPr>
          <w:rFonts w:ascii="Arial" w:hAnsi="Arial" w:cs="Arial"/>
          <w:sz w:val="19"/>
          <w:szCs w:val="19"/>
        </w:rPr>
      </w:pPr>
      <w:r w:rsidRPr="00C63E31">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w:t>
      </w:r>
      <w:r w:rsidR="008E0A71" w:rsidRPr="00C63E31">
        <w:rPr>
          <w:rFonts w:ascii="Arial" w:hAnsi="Arial" w:cs="Arial"/>
          <w:sz w:val="19"/>
          <w:szCs w:val="19"/>
        </w:rPr>
        <w:t>[</w:t>
      </w:r>
      <w:r w:rsidRPr="00C63E31">
        <w:rPr>
          <w:rFonts w:ascii="Arial" w:hAnsi="Arial" w:cs="Arial"/>
          <w:sz w:val="19"/>
          <w:szCs w:val="19"/>
        </w:rPr>
        <w:t>…</w:t>
      </w:r>
      <w:r w:rsidR="008E0A71" w:rsidRPr="00C63E31">
        <w:rPr>
          <w:rFonts w:ascii="Arial" w:hAnsi="Arial" w:cs="Arial"/>
          <w:sz w:val="19"/>
          <w:szCs w:val="19"/>
        </w:rPr>
        <w:t xml:space="preserve">] </w:t>
      </w:r>
      <w:r w:rsidRPr="00C63E31">
        <w:rPr>
          <w:rFonts w:ascii="Arial" w:hAnsi="Arial" w:cs="Arial"/>
          <w:sz w:val="19"/>
          <w:szCs w:val="19"/>
        </w:rPr>
        <w:t xml:space="preserve">trámites distintos y adicionales a los expresamente previstos </w:t>
      </w:r>
      <w:r w:rsidR="008E0A71" w:rsidRPr="00C63E31">
        <w:rPr>
          <w:rFonts w:ascii="Arial" w:hAnsi="Arial" w:cs="Arial"/>
          <w:sz w:val="19"/>
          <w:szCs w:val="19"/>
        </w:rPr>
        <w:t>[</w:t>
      </w:r>
      <w:r w:rsidRPr="00C63E31">
        <w:rPr>
          <w:rFonts w:ascii="Arial" w:hAnsi="Arial" w:cs="Arial"/>
          <w:sz w:val="19"/>
          <w:szCs w:val="19"/>
        </w:rPr>
        <w:t>…</w:t>
      </w:r>
      <w:r w:rsidR="008E0A71" w:rsidRPr="00C63E31">
        <w:rPr>
          <w:rFonts w:ascii="Arial" w:hAnsi="Arial" w:cs="Arial"/>
          <w:sz w:val="19"/>
          <w:szCs w:val="19"/>
        </w:rPr>
        <w:t>]</w:t>
      </w:r>
      <w:r w:rsidRPr="00C63E31">
        <w:rPr>
          <w:rFonts w:ascii="Arial" w:hAnsi="Arial" w:cs="Arial"/>
          <w:sz w:val="19"/>
          <w:szCs w:val="19"/>
        </w:rPr>
        <w:t>»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14EB2D64" w14:textId="77777777" w:rsidR="00942641" w:rsidRPr="00C63E31" w:rsidRDefault="00942641" w:rsidP="00C63E31">
      <w:pPr>
        <w:pStyle w:val="Textonotapie"/>
        <w:ind w:firstLine="709"/>
        <w:jc w:val="both"/>
        <w:rPr>
          <w:rFonts w:ascii="Arial" w:hAnsi="Arial" w:cs="Arial"/>
          <w:sz w:val="19"/>
          <w:szCs w:val="19"/>
          <w:lang w:val="es-ES"/>
        </w:rPr>
      </w:pPr>
    </w:p>
  </w:footnote>
  <w:footnote w:id="5">
    <w:p w14:paraId="1D39225B" w14:textId="77777777" w:rsidR="00942641" w:rsidRPr="00C63E31" w:rsidRDefault="00942641" w:rsidP="00C63E31">
      <w:pPr>
        <w:pStyle w:val="Textonotapie"/>
        <w:ind w:firstLine="709"/>
        <w:jc w:val="both"/>
        <w:rPr>
          <w:rFonts w:ascii="Arial" w:hAnsi="Arial" w:cs="Arial"/>
          <w:color w:val="000000" w:themeColor="text1"/>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C63E31">
        <w:rPr>
          <w:rFonts w:ascii="Arial" w:hAnsi="Arial" w:cs="Arial"/>
          <w:color w:val="000000" w:themeColor="text1"/>
          <w:sz w:val="19"/>
          <w:szCs w:val="19"/>
        </w:rPr>
        <w:t>CONSEJO DE ESTADO. Sección Tercera. Subsección A. Auto del 25 de julio de 2018. Rad. 56.165A. C.P. Marta Nubia Velásquez Rico)</w:t>
      </w:r>
      <w:r w:rsidRPr="00C63E31">
        <w:rPr>
          <w:rFonts w:ascii="Arial" w:hAnsi="Arial" w:cs="Arial"/>
          <w:sz w:val="19"/>
          <w:szCs w:val="19"/>
        </w:rPr>
        <w:t>.</w:t>
      </w:r>
    </w:p>
  </w:footnote>
  <w:footnote w:id="6">
    <w:p w14:paraId="23A09604" w14:textId="6E118BA6" w:rsidR="00263EC5" w:rsidRPr="00C63E31" w:rsidRDefault="00A475B4" w:rsidP="00C63E31">
      <w:pPr>
        <w:ind w:firstLine="709"/>
        <w:jc w:val="both"/>
        <w:rPr>
          <w:rFonts w:ascii="Arial" w:eastAsiaTheme="minorHAnsi" w:hAnsi="Arial" w:cs="Arial"/>
          <w:sz w:val="19"/>
          <w:szCs w:val="19"/>
          <w:lang w:val="es-ES" w:eastAsia="en-US"/>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Fonts w:ascii="Arial" w:hAnsi="Arial" w:cs="Arial"/>
          <w:sz w:val="19"/>
          <w:szCs w:val="19"/>
          <w:lang w:val="es-ES"/>
        </w:rPr>
        <w:t>En efecto, dentro de las</w:t>
      </w:r>
      <w:r w:rsidR="00263EC5" w:rsidRPr="00C63E31">
        <w:rPr>
          <w:rFonts w:ascii="Arial" w:hAnsi="Arial" w:cs="Arial"/>
          <w:sz w:val="19"/>
          <w:szCs w:val="19"/>
          <w:lang w:val="es-ES"/>
        </w:rPr>
        <w:t xml:space="preserve"> consideraciones que motivan el Decreto 399 de 2021 se lee la siguiente: «</w:t>
      </w:r>
      <w:r w:rsidR="00263EC5" w:rsidRPr="00C63E31">
        <w:rPr>
          <w:rFonts w:ascii="Arial" w:eastAsiaTheme="minorHAnsi" w:hAnsi="Arial" w:cs="Arial"/>
          <w:sz w:val="19"/>
          <w:szCs w:val="19"/>
          <w:lang w:val="es-ES" w:eastAsia="en-US"/>
        </w:rPr>
        <w:t xml:space="preserve">Que teniendo en cuenta que el Auto del 20 de febrero de 2019 </w:t>
      </w:r>
      <w:proofErr w:type="spellStart"/>
      <w:r w:rsidR="00263EC5" w:rsidRPr="00C63E31">
        <w:rPr>
          <w:rFonts w:ascii="Arial" w:eastAsiaTheme="minorHAnsi" w:hAnsi="Arial" w:cs="Arial"/>
          <w:sz w:val="19"/>
          <w:szCs w:val="19"/>
          <w:lang w:val="es-ES" w:eastAsia="en-US"/>
        </w:rPr>
        <w:t>Exp</w:t>
      </w:r>
      <w:proofErr w:type="spellEnd"/>
      <w:r w:rsidR="00263EC5" w:rsidRPr="00C63E31">
        <w:rPr>
          <w:rFonts w:ascii="Arial" w:eastAsiaTheme="minorHAnsi" w:hAnsi="Arial" w:cs="Arial"/>
          <w:sz w:val="19"/>
          <w:szCs w:val="19"/>
          <w:lang w:val="es-ES" w:eastAsia="en-US"/>
        </w:rPr>
        <w:t xml:space="preserve">. 61.463 de la Subsección A de la Sección Tercera del Consejo de Estado suspendió provisionalmente los numerales 3, 4 y 5 del artículo 2.2.1.2.1.3.2. del Decreto 1082 de 2015, Único Reglamentario del Sector Administrativo de Planeación Nacional y que el Auto del 25 de julio de 2018 </w:t>
      </w:r>
      <w:proofErr w:type="spellStart"/>
      <w:r w:rsidR="00263EC5" w:rsidRPr="00C63E31">
        <w:rPr>
          <w:rFonts w:ascii="Arial" w:eastAsiaTheme="minorHAnsi" w:hAnsi="Arial" w:cs="Arial"/>
          <w:sz w:val="19"/>
          <w:szCs w:val="19"/>
          <w:lang w:val="es-ES" w:eastAsia="en-US"/>
        </w:rPr>
        <w:t>Exp</w:t>
      </w:r>
      <w:proofErr w:type="spellEnd"/>
      <w:r w:rsidR="00263EC5" w:rsidRPr="00C63E31">
        <w:rPr>
          <w:rFonts w:ascii="Arial" w:eastAsiaTheme="minorHAnsi" w:hAnsi="Arial" w:cs="Arial"/>
          <w:sz w:val="19"/>
          <w:szCs w:val="19"/>
          <w:lang w:val="es-ES" w:eastAsia="en-US"/>
        </w:rPr>
        <w:t>.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21C35D60" w14:textId="62A7E60D" w:rsidR="00A475B4" w:rsidRPr="00C63E31" w:rsidRDefault="00A475B4" w:rsidP="00C63E31">
      <w:pPr>
        <w:pStyle w:val="Textonotapie"/>
        <w:ind w:firstLine="709"/>
        <w:jc w:val="both"/>
        <w:rPr>
          <w:rFonts w:ascii="Arial" w:hAnsi="Arial" w:cs="Arial"/>
          <w:sz w:val="19"/>
          <w:szCs w:val="19"/>
          <w:lang w:val="es-CO"/>
        </w:rPr>
      </w:pPr>
    </w:p>
  </w:footnote>
  <w:footnote w:id="7">
    <w:p w14:paraId="6B8E4201" w14:textId="44FC9822" w:rsidR="00C63E31" w:rsidRPr="00C63E31" w:rsidRDefault="00C63E31" w:rsidP="00C63E31">
      <w:pPr>
        <w:pStyle w:val="Textonotapie"/>
        <w:ind w:firstLine="709"/>
        <w:jc w:val="both"/>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El cual puede consultarse aquí: https://www.colombiacompra.gov.co/circulares</w:t>
      </w:r>
    </w:p>
  </w:footnote>
  <w:footnote w:id="8">
    <w:p w14:paraId="60629279" w14:textId="3EB037DD" w:rsidR="00D2519C" w:rsidRPr="00C63E31" w:rsidRDefault="00D2519C" w:rsidP="00C63E31">
      <w:pPr>
        <w:pStyle w:val="Textonotapie"/>
        <w:ind w:firstLine="709"/>
        <w:jc w:val="both"/>
        <w:rPr>
          <w:rFonts w:ascii="Arial" w:eastAsia="Calibri" w:hAnsi="Arial" w:cs="Arial"/>
          <w:color w:val="000000" w:themeColor="text1"/>
          <w:sz w:val="19"/>
          <w:szCs w:val="19"/>
          <w:lang w:val="es-ES_tradnl"/>
        </w:rPr>
      </w:pPr>
      <w:r w:rsidRPr="00C63E31">
        <w:rPr>
          <w:rStyle w:val="Refdenotaalpie"/>
          <w:rFonts w:ascii="Arial" w:hAnsi="Arial" w:cs="Arial"/>
          <w:sz w:val="19"/>
          <w:szCs w:val="19"/>
        </w:rPr>
        <w:footnoteRef/>
      </w:r>
      <w:r w:rsidRPr="00C63E31">
        <w:rPr>
          <w:rFonts w:ascii="Arial" w:hAnsi="Arial" w:cs="Arial"/>
          <w:sz w:val="19"/>
          <w:szCs w:val="19"/>
        </w:rPr>
        <w:t xml:space="preserve"> Entre estos conceptos pueden mencionarse los siguientes: </w:t>
      </w:r>
      <w:r w:rsidRPr="00C63E31">
        <w:rPr>
          <w:rFonts w:ascii="Arial" w:eastAsia="Calibri" w:hAnsi="Arial" w:cs="Arial"/>
          <w:color w:val="000000" w:themeColor="text1"/>
          <w:sz w:val="19"/>
          <w:szCs w:val="19"/>
          <w:lang w:val="es-ES_tradnl"/>
        </w:rPr>
        <w:t>C-124 del 25 de marzo de 2020, C-406 y C-477 del 13 de julio de 2020 y C-612 del 2 de octubre de 2020 y C-761 del 5 de enero de 2021.</w:t>
      </w:r>
    </w:p>
    <w:p w14:paraId="095BFC0B" w14:textId="77777777" w:rsidR="00D2519C" w:rsidRPr="00C63E31" w:rsidRDefault="00D2519C" w:rsidP="00C63E31">
      <w:pPr>
        <w:pStyle w:val="Textonotapie"/>
        <w:ind w:firstLine="709"/>
        <w:jc w:val="both"/>
        <w:rPr>
          <w:rFonts w:ascii="Arial" w:hAnsi="Arial" w:cs="Arial"/>
          <w:sz w:val="19"/>
          <w:szCs w:val="19"/>
        </w:rPr>
      </w:pPr>
    </w:p>
  </w:footnote>
  <w:footnote w:id="9">
    <w:p w14:paraId="06B12186" w14:textId="77777777" w:rsidR="000F1546" w:rsidRPr="00C63E31" w:rsidRDefault="000F1546" w:rsidP="00C63E31">
      <w:pPr>
        <w:ind w:firstLine="709"/>
        <w:jc w:val="both"/>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En efecto, «La adjudicación es una etapa previa al contrato. No es el contrato sino un acto administrativo pre-contractual que declara la propuesta aceptable y por el cual el licitante se obliga a efectuar los actos integrativos del procedimiento y formalización contractual» (DROMI, José Roberto. La licitación pública. Buenos Aires: Ciudad Argentina, 1980. p. 390).  </w:t>
      </w:r>
    </w:p>
    <w:p w14:paraId="545FCA53" w14:textId="77777777" w:rsidR="000F1546" w:rsidRPr="00C63E31" w:rsidRDefault="000F1546" w:rsidP="00C63E31">
      <w:pPr>
        <w:pStyle w:val="Textonotapie"/>
        <w:ind w:firstLine="709"/>
        <w:jc w:val="both"/>
        <w:rPr>
          <w:rFonts w:ascii="Arial" w:hAnsi="Arial" w:cs="Arial"/>
          <w:sz w:val="19"/>
          <w:szCs w:val="19"/>
          <w:lang w:val="es-ES"/>
        </w:rPr>
      </w:pPr>
    </w:p>
  </w:footnote>
  <w:footnote w:id="10">
    <w:p w14:paraId="79E1B847" w14:textId="77777777" w:rsidR="000F1546" w:rsidRPr="00C63E31" w:rsidRDefault="000F1546" w:rsidP="00C63E31">
      <w:pPr>
        <w:pStyle w:val="paragraph"/>
        <w:spacing w:before="0" w:beforeAutospacing="0" w:after="0" w:afterAutospacing="0"/>
        <w:ind w:firstLine="709"/>
        <w:jc w:val="both"/>
        <w:textAlignment w:val="baseline"/>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Style w:val="normaltextrun"/>
          <w:rFonts w:ascii="Arial" w:hAnsi="Arial" w:cs="Arial"/>
          <w:sz w:val="19"/>
          <w:szCs w:val="19"/>
        </w:rPr>
        <w:t>El artículo 2.3 de la Ley 1150 de 2007</w:t>
      </w:r>
      <w:r w:rsidRPr="00C63E31">
        <w:rPr>
          <w:rStyle w:val="apple-converted-space"/>
          <w:rFonts w:ascii="Arial" w:hAnsi="Arial" w:cs="Arial"/>
          <w:sz w:val="19"/>
          <w:szCs w:val="19"/>
          <w:lang w:val="es-MX"/>
        </w:rPr>
        <w:t> </w:t>
      </w:r>
      <w:r w:rsidRPr="00C63E31">
        <w:rPr>
          <w:rStyle w:val="normaltextrun"/>
          <w:rFonts w:ascii="Arial" w:hAnsi="Arial" w:cs="Arial"/>
          <w:sz w:val="19"/>
          <w:szCs w:val="19"/>
        </w:rPr>
        <w:t>dispone que el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r w:rsidRPr="00C63E31">
        <w:rPr>
          <w:rStyle w:val="eop"/>
          <w:rFonts w:ascii="Arial" w:hAnsi="Arial" w:cs="Arial"/>
          <w:sz w:val="19"/>
          <w:szCs w:val="19"/>
        </w:rPr>
        <w:t> </w:t>
      </w:r>
    </w:p>
    <w:p w14:paraId="63676BBC" w14:textId="77777777" w:rsidR="000F1546" w:rsidRPr="00C63E31" w:rsidRDefault="000F1546" w:rsidP="00C63E31">
      <w:pPr>
        <w:pStyle w:val="paragraph"/>
        <w:spacing w:before="0" w:beforeAutospacing="0" w:after="0" w:afterAutospacing="0"/>
        <w:ind w:firstLine="709"/>
        <w:jc w:val="both"/>
        <w:textAlignment w:val="baseline"/>
        <w:rPr>
          <w:rFonts w:ascii="Arial" w:hAnsi="Arial" w:cs="Arial"/>
          <w:sz w:val="19"/>
          <w:szCs w:val="19"/>
        </w:rPr>
      </w:pPr>
      <w:r w:rsidRPr="00C63E31">
        <w:rPr>
          <w:rStyle w:val="normaltextrun"/>
          <w:rFonts w:ascii="Arial" w:hAnsi="Arial" w:cs="Arial"/>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r w:rsidRPr="00C63E31">
        <w:rPr>
          <w:rStyle w:val="eop"/>
          <w:rFonts w:ascii="Arial" w:hAnsi="Arial" w:cs="Arial"/>
          <w:sz w:val="19"/>
          <w:szCs w:val="19"/>
        </w:rPr>
        <w:t> </w:t>
      </w:r>
    </w:p>
    <w:p w14:paraId="119CF386" w14:textId="77777777" w:rsidR="000F1546" w:rsidRPr="00C63E31" w:rsidRDefault="000F1546" w:rsidP="00C63E31">
      <w:pPr>
        <w:ind w:firstLine="709"/>
        <w:jc w:val="both"/>
        <w:textAlignment w:val="baseline"/>
        <w:rPr>
          <w:rFonts w:ascii="Arial" w:hAnsi="Arial" w:cs="Arial"/>
          <w:sz w:val="19"/>
          <w:szCs w:val="19"/>
          <w:lang w:val="es-ES"/>
        </w:rPr>
      </w:pPr>
      <w:r w:rsidRPr="00C63E31">
        <w:rPr>
          <w:rStyle w:val="eop"/>
          <w:rFonts w:ascii="Arial" w:hAnsi="Arial" w:cs="Arial"/>
          <w:sz w:val="19"/>
          <w:szCs w:val="19"/>
        </w:rPr>
        <w:t> </w:t>
      </w:r>
    </w:p>
  </w:footnote>
  <w:footnote w:id="11">
    <w:p w14:paraId="4D37288E" w14:textId="77777777" w:rsidR="000F1546" w:rsidRPr="00C63E31" w:rsidRDefault="000F1546" w:rsidP="00C63E31">
      <w:pPr>
        <w:ind w:firstLine="709"/>
        <w:jc w:val="both"/>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Fonts w:ascii="Arial" w:hAnsi="Arial" w:cs="Arial"/>
          <w:sz w:val="19"/>
          <w:szCs w:val="19"/>
          <w:shd w:val="clear" w:color="auto" w:fill="FFFFFF"/>
        </w:rPr>
        <w:t>En efecto, «[…] las audiencias públicas dan, facilitan o aseguran una mayor participación, optimizando […] el procedimiento administrativo previo a la emisión de las medidas de alcance general o medidas de potencial amplio espectro, tornándolo éticamente aceptable. No olvidemos que una medida, general, dictada con la posibilidad de participación previa, siempre quedará revestida de mayor legitimidad democrática que en el supuesto que esa posibilidad haya estado ausente. Además, dar lugar a esa participación implica reconocer la dignidad en los participantes. Y, […] con sentido práctico, aquella mayor legitimidad democrática puede tener, como efecto, “blindar” a la medida general, acotándose o restringiéndose el margen para la revisión judicial» (SACRISTÁN, Estela. Participación en el procedimiento administrativo: las audiencias públicas. En: Procedimiento administrativo a 20 años de la reforma constitucional. Astrea: Buenos Aires, 2015. p. 24).</w:t>
      </w:r>
    </w:p>
    <w:p w14:paraId="581BB75C" w14:textId="77777777" w:rsidR="000F1546" w:rsidRPr="00C63E31" w:rsidRDefault="000F1546" w:rsidP="00C63E31">
      <w:pPr>
        <w:pStyle w:val="Textonotapie"/>
        <w:ind w:firstLine="709"/>
        <w:jc w:val="both"/>
        <w:rPr>
          <w:rFonts w:ascii="Arial" w:hAnsi="Arial" w:cs="Arial"/>
          <w:sz w:val="19"/>
          <w:szCs w:val="19"/>
          <w:lang w:val="es-ES"/>
        </w:rPr>
      </w:pPr>
    </w:p>
  </w:footnote>
  <w:footnote w:id="12">
    <w:p w14:paraId="3A563437" w14:textId="77777777" w:rsidR="000F1546" w:rsidRPr="00C63E31" w:rsidRDefault="000F1546" w:rsidP="00C63E31">
      <w:pPr>
        <w:pStyle w:val="paragraph"/>
        <w:spacing w:before="0" w:beforeAutospacing="0" w:after="0" w:afterAutospacing="0"/>
        <w:ind w:firstLine="709"/>
        <w:jc w:val="both"/>
        <w:textAlignment w:val="baseline"/>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Style w:val="normaltextrun"/>
          <w:rFonts w:ascii="Arial" w:hAnsi="Arial" w:cs="Arial"/>
          <w:sz w:val="19"/>
          <w:szCs w:val="19"/>
        </w:rPr>
        <w:t>En concordancia, el artículo 33 de la Ley 489 de 1998 dispone lo siguiente: «Cuando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r w:rsidRPr="00C63E31">
        <w:rPr>
          <w:rStyle w:val="eop"/>
          <w:rFonts w:ascii="Arial" w:hAnsi="Arial" w:cs="Arial"/>
          <w:sz w:val="19"/>
          <w:szCs w:val="19"/>
        </w:rPr>
        <w:t> </w:t>
      </w:r>
    </w:p>
    <w:p w14:paraId="181DFC1F" w14:textId="77777777" w:rsidR="000F1546" w:rsidRPr="00C63E31" w:rsidRDefault="000F1546" w:rsidP="00C63E31">
      <w:pPr>
        <w:pStyle w:val="paragraph"/>
        <w:spacing w:before="0" w:beforeAutospacing="0" w:after="0" w:afterAutospacing="0"/>
        <w:ind w:firstLine="709"/>
        <w:jc w:val="both"/>
        <w:textAlignment w:val="baseline"/>
        <w:rPr>
          <w:rFonts w:ascii="Arial" w:hAnsi="Arial" w:cs="Arial"/>
          <w:sz w:val="19"/>
          <w:szCs w:val="19"/>
        </w:rPr>
      </w:pPr>
      <w:r w:rsidRPr="00C63E31">
        <w:rPr>
          <w:rStyle w:val="normaltextrun"/>
          <w:rFonts w:ascii="Arial" w:hAnsi="Arial" w:cs="Arial"/>
          <w:sz w:val="19"/>
          <w:szCs w:val="19"/>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r w:rsidRPr="00C63E31">
        <w:rPr>
          <w:rStyle w:val="eop"/>
          <w:rFonts w:ascii="Arial" w:hAnsi="Arial" w:cs="Arial"/>
          <w:sz w:val="19"/>
          <w:szCs w:val="19"/>
        </w:rPr>
        <w:t> </w:t>
      </w:r>
    </w:p>
    <w:p w14:paraId="515DF871" w14:textId="77777777" w:rsidR="000F1546" w:rsidRPr="00C63E31" w:rsidRDefault="000F1546" w:rsidP="00C63E31">
      <w:pPr>
        <w:pStyle w:val="paragraph"/>
        <w:spacing w:before="0" w:beforeAutospacing="0" w:after="0" w:afterAutospacing="0"/>
        <w:ind w:firstLine="709"/>
        <w:jc w:val="both"/>
        <w:textAlignment w:val="baseline"/>
        <w:rPr>
          <w:rFonts w:ascii="Arial" w:hAnsi="Arial" w:cs="Arial"/>
          <w:sz w:val="19"/>
          <w:szCs w:val="19"/>
        </w:rPr>
      </w:pPr>
      <w:r w:rsidRPr="00C63E31">
        <w:rPr>
          <w:rStyle w:val="normaltextrun"/>
          <w:rFonts w:ascii="Arial" w:hAnsi="Arial" w:cs="Arial"/>
          <w:sz w:val="19"/>
          <w:szCs w:val="19"/>
        </w:rPr>
        <w:t>»En el acto de convocatoria a la audiencia, la institución respectiva definirá la metodología que será utilizada».</w:t>
      </w:r>
      <w:r w:rsidRPr="00C63E31">
        <w:rPr>
          <w:rStyle w:val="eop"/>
          <w:rFonts w:ascii="Arial" w:hAnsi="Arial" w:cs="Arial"/>
          <w:sz w:val="19"/>
          <w:szCs w:val="19"/>
        </w:rPr>
        <w:t> </w:t>
      </w:r>
    </w:p>
    <w:p w14:paraId="1D10F652" w14:textId="77777777" w:rsidR="000F1546" w:rsidRPr="00C63E31" w:rsidRDefault="000F1546" w:rsidP="00C63E31">
      <w:pPr>
        <w:pStyle w:val="Textonotapie"/>
        <w:ind w:firstLine="709"/>
        <w:jc w:val="both"/>
        <w:rPr>
          <w:rFonts w:ascii="Arial" w:hAnsi="Arial" w:cs="Arial"/>
          <w:sz w:val="19"/>
          <w:szCs w:val="19"/>
          <w:lang w:val="es-ES"/>
        </w:rPr>
      </w:pPr>
    </w:p>
  </w:footnote>
  <w:footnote w:id="13">
    <w:p w14:paraId="4498B50C" w14:textId="601A993C" w:rsidR="00C7747E" w:rsidRPr="00C63E31" w:rsidRDefault="00C7747E" w:rsidP="00C63E31">
      <w:pPr>
        <w:pStyle w:val="Textonotapie"/>
        <w:ind w:firstLine="709"/>
        <w:jc w:val="both"/>
        <w:rPr>
          <w:rFonts w:ascii="Arial" w:hAnsi="Arial" w:cs="Arial"/>
          <w:sz w:val="19"/>
          <w:szCs w:val="19"/>
          <w:lang w:val="es-ES"/>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Fonts w:ascii="Arial" w:hAnsi="Arial" w:cs="Arial"/>
          <w:sz w:val="19"/>
          <w:szCs w:val="19"/>
          <w:lang w:val="es-ES"/>
        </w:rPr>
        <w:t>Modificado por el artículo 2 del Decreto 399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4"/>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5F42"/>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AE"/>
    <w:rsid w:val="00023FC9"/>
    <w:rsid w:val="00024896"/>
    <w:rsid w:val="000255FA"/>
    <w:rsid w:val="00025D0A"/>
    <w:rsid w:val="00025D7D"/>
    <w:rsid w:val="000263F0"/>
    <w:rsid w:val="00026407"/>
    <w:rsid w:val="00026608"/>
    <w:rsid w:val="0002702E"/>
    <w:rsid w:val="00027787"/>
    <w:rsid w:val="000278D2"/>
    <w:rsid w:val="00030DFB"/>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933"/>
    <w:rsid w:val="000C0F81"/>
    <w:rsid w:val="000C128D"/>
    <w:rsid w:val="000C17A3"/>
    <w:rsid w:val="000C1D4B"/>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5"/>
    <w:rsid w:val="000E22CF"/>
    <w:rsid w:val="000E2977"/>
    <w:rsid w:val="000E2CC0"/>
    <w:rsid w:val="000E30AC"/>
    <w:rsid w:val="000E3B46"/>
    <w:rsid w:val="000E3E11"/>
    <w:rsid w:val="000E40E4"/>
    <w:rsid w:val="000E4596"/>
    <w:rsid w:val="000E4927"/>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546"/>
    <w:rsid w:val="000F1BBD"/>
    <w:rsid w:val="000F290F"/>
    <w:rsid w:val="000F4403"/>
    <w:rsid w:val="000F480B"/>
    <w:rsid w:val="000F4E17"/>
    <w:rsid w:val="000F5615"/>
    <w:rsid w:val="000F6084"/>
    <w:rsid w:val="000F6578"/>
    <w:rsid w:val="000F6693"/>
    <w:rsid w:val="000F6F92"/>
    <w:rsid w:val="000F725D"/>
    <w:rsid w:val="000F7E8F"/>
    <w:rsid w:val="000F7FBB"/>
    <w:rsid w:val="001000FB"/>
    <w:rsid w:val="00100A9E"/>
    <w:rsid w:val="00100F6A"/>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10"/>
    <w:rsid w:val="00121E3C"/>
    <w:rsid w:val="00122B23"/>
    <w:rsid w:val="00122B7E"/>
    <w:rsid w:val="00123BBD"/>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9D2"/>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2A8"/>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6F4C"/>
    <w:rsid w:val="00187177"/>
    <w:rsid w:val="00187A09"/>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4EE2"/>
    <w:rsid w:val="001962EC"/>
    <w:rsid w:val="001963DD"/>
    <w:rsid w:val="001965DB"/>
    <w:rsid w:val="00196B5A"/>
    <w:rsid w:val="00196D01"/>
    <w:rsid w:val="00196DC9"/>
    <w:rsid w:val="00196E95"/>
    <w:rsid w:val="00196FDB"/>
    <w:rsid w:val="0019709F"/>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E79A5"/>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726E"/>
    <w:rsid w:val="00207389"/>
    <w:rsid w:val="002074C2"/>
    <w:rsid w:val="002110EB"/>
    <w:rsid w:val="00211338"/>
    <w:rsid w:val="00211387"/>
    <w:rsid w:val="00211388"/>
    <w:rsid w:val="0021148C"/>
    <w:rsid w:val="00211694"/>
    <w:rsid w:val="00211C40"/>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A36"/>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61F1"/>
    <w:rsid w:val="00266316"/>
    <w:rsid w:val="00266DB6"/>
    <w:rsid w:val="00266EAD"/>
    <w:rsid w:val="002711A4"/>
    <w:rsid w:val="00271230"/>
    <w:rsid w:val="00271F13"/>
    <w:rsid w:val="00272945"/>
    <w:rsid w:val="00272E89"/>
    <w:rsid w:val="00273A94"/>
    <w:rsid w:val="002742D0"/>
    <w:rsid w:val="0027482E"/>
    <w:rsid w:val="002748F1"/>
    <w:rsid w:val="00274DB5"/>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600"/>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6F4A"/>
    <w:rsid w:val="002E7847"/>
    <w:rsid w:val="002F0073"/>
    <w:rsid w:val="002F1B27"/>
    <w:rsid w:val="002F1C67"/>
    <w:rsid w:val="002F240B"/>
    <w:rsid w:val="002F24DA"/>
    <w:rsid w:val="002F2F50"/>
    <w:rsid w:val="002F33EC"/>
    <w:rsid w:val="002F34E3"/>
    <w:rsid w:val="002F3601"/>
    <w:rsid w:val="002F40E2"/>
    <w:rsid w:val="002F45F6"/>
    <w:rsid w:val="002F4BEC"/>
    <w:rsid w:val="002F5A6F"/>
    <w:rsid w:val="002F692F"/>
    <w:rsid w:val="002F7031"/>
    <w:rsid w:val="002F7961"/>
    <w:rsid w:val="002F7B66"/>
    <w:rsid w:val="00300CB4"/>
    <w:rsid w:val="00300E24"/>
    <w:rsid w:val="00300F9A"/>
    <w:rsid w:val="0030257B"/>
    <w:rsid w:val="00302B9D"/>
    <w:rsid w:val="003033BA"/>
    <w:rsid w:val="00303866"/>
    <w:rsid w:val="00303C19"/>
    <w:rsid w:val="003043A3"/>
    <w:rsid w:val="0030462D"/>
    <w:rsid w:val="00304BD4"/>
    <w:rsid w:val="00304F54"/>
    <w:rsid w:val="0030500A"/>
    <w:rsid w:val="003052EB"/>
    <w:rsid w:val="00305C93"/>
    <w:rsid w:val="00305FCB"/>
    <w:rsid w:val="003063C3"/>
    <w:rsid w:val="003069DC"/>
    <w:rsid w:val="00306A13"/>
    <w:rsid w:val="00306B44"/>
    <w:rsid w:val="00306F2B"/>
    <w:rsid w:val="00307C44"/>
    <w:rsid w:val="0031040A"/>
    <w:rsid w:val="0031088E"/>
    <w:rsid w:val="00310D01"/>
    <w:rsid w:val="00310E8A"/>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2AB"/>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3C46"/>
    <w:rsid w:val="00324885"/>
    <w:rsid w:val="003251A8"/>
    <w:rsid w:val="003254B1"/>
    <w:rsid w:val="00325AD9"/>
    <w:rsid w:val="00325D98"/>
    <w:rsid w:val="00325DA8"/>
    <w:rsid w:val="0032682A"/>
    <w:rsid w:val="00327382"/>
    <w:rsid w:val="00327A5C"/>
    <w:rsid w:val="003305BD"/>
    <w:rsid w:val="003308BE"/>
    <w:rsid w:val="0033092C"/>
    <w:rsid w:val="00330BF8"/>
    <w:rsid w:val="0033122A"/>
    <w:rsid w:val="003315AC"/>
    <w:rsid w:val="00331932"/>
    <w:rsid w:val="00331F74"/>
    <w:rsid w:val="00332382"/>
    <w:rsid w:val="00332386"/>
    <w:rsid w:val="00332453"/>
    <w:rsid w:val="0033251B"/>
    <w:rsid w:val="0033300D"/>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4DB"/>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6A50"/>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C80"/>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72F5"/>
    <w:rsid w:val="003A78E5"/>
    <w:rsid w:val="003B0341"/>
    <w:rsid w:val="003B15F3"/>
    <w:rsid w:val="003B1961"/>
    <w:rsid w:val="003B1E57"/>
    <w:rsid w:val="003B1E5C"/>
    <w:rsid w:val="003B242E"/>
    <w:rsid w:val="003B2EF3"/>
    <w:rsid w:val="003B48C4"/>
    <w:rsid w:val="003B4ADC"/>
    <w:rsid w:val="003B4D27"/>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37AB"/>
    <w:rsid w:val="003C4317"/>
    <w:rsid w:val="003C4D9F"/>
    <w:rsid w:val="003C4EA9"/>
    <w:rsid w:val="003C5247"/>
    <w:rsid w:val="003C5B02"/>
    <w:rsid w:val="003C5D7C"/>
    <w:rsid w:val="003C5E8A"/>
    <w:rsid w:val="003C5E93"/>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1C94"/>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E2E"/>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7B1"/>
    <w:rsid w:val="00443ACA"/>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B5"/>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235"/>
    <w:rsid w:val="004647F8"/>
    <w:rsid w:val="004647FB"/>
    <w:rsid w:val="00465347"/>
    <w:rsid w:val="00465677"/>
    <w:rsid w:val="00466616"/>
    <w:rsid w:val="00466A0C"/>
    <w:rsid w:val="00466A53"/>
    <w:rsid w:val="00467EE3"/>
    <w:rsid w:val="00470A6A"/>
    <w:rsid w:val="00470C12"/>
    <w:rsid w:val="00470D73"/>
    <w:rsid w:val="00470D92"/>
    <w:rsid w:val="00471DF7"/>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912"/>
    <w:rsid w:val="00481AC4"/>
    <w:rsid w:val="00481DC1"/>
    <w:rsid w:val="00482194"/>
    <w:rsid w:val="00482507"/>
    <w:rsid w:val="0048268A"/>
    <w:rsid w:val="004826AE"/>
    <w:rsid w:val="00482A64"/>
    <w:rsid w:val="00482FA9"/>
    <w:rsid w:val="004835CA"/>
    <w:rsid w:val="004836D7"/>
    <w:rsid w:val="004836F8"/>
    <w:rsid w:val="004836FE"/>
    <w:rsid w:val="00484A39"/>
    <w:rsid w:val="00484F0F"/>
    <w:rsid w:val="00484F40"/>
    <w:rsid w:val="0048540C"/>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5D30"/>
    <w:rsid w:val="00496023"/>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2EA5"/>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040"/>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D2"/>
    <w:rsid w:val="0051255B"/>
    <w:rsid w:val="00512C4F"/>
    <w:rsid w:val="00513042"/>
    <w:rsid w:val="0051334F"/>
    <w:rsid w:val="00513399"/>
    <w:rsid w:val="00513AF2"/>
    <w:rsid w:val="00514575"/>
    <w:rsid w:val="00514C03"/>
    <w:rsid w:val="00514D67"/>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1A8A"/>
    <w:rsid w:val="0057221F"/>
    <w:rsid w:val="00572421"/>
    <w:rsid w:val="00572539"/>
    <w:rsid w:val="00573355"/>
    <w:rsid w:val="0057337D"/>
    <w:rsid w:val="00573504"/>
    <w:rsid w:val="0057355F"/>
    <w:rsid w:val="00573BA3"/>
    <w:rsid w:val="00574708"/>
    <w:rsid w:val="00574D81"/>
    <w:rsid w:val="0057515E"/>
    <w:rsid w:val="005756AA"/>
    <w:rsid w:val="00576814"/>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F1A"/>
    <w:rsid w:val="00591C03"/>
    <w:rsid w:val="00591E2A"/>
    <w:rsid w:val="005923C4"/>
    <w:rsid w:val="0059397D"/>
    <w:rsid w:val="00593EA2"/>
    <w:rsid w:val="00593F75"/>
    <w:rsid w:val="005940A0"/>
    <w:rsid w:val="005940D4"/>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5F"/>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0890"/>
    <w:rsid w:val="005F2856"/>
    <w:rsid w:val="005F2955"/>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4E21"/>
    <w:rsid w:val="006157A9"/>
    <w:rsid w:val="0061591D"/>
    <w:rsid w:val="00615ED0"/>
    <w:rsid w:val="0061604C"/>
    <w:rsid w:val="00616C2B"/>
    <w:rsid w:val="00616D21"/>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7ED"/>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9A"/>
    <w:rsid w:val="00697E68"/>
    <w:rsid w:val="00697FC1"/>
    <w:rsid w:val="006A0274"/>
    <w:rsid w:val="006A27BC"/>
    <w:rsid w:val="006A2A43"/>
    <w:rsid w:val="006A2BF1"/>
    <w:rsid w:val="006A2F9A"/>
    <w:rsid w:val="006A3321"/>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8CB"/>
    <w:rsid w:val="006B6B99"/>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0FB3"/>
    <w:rsid w:val="006E155A"/>
    <w:rsid w:val="006E2C34"/>
    <w:rsid w:val="006E359B"/>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373D"/>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5EF5"/>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626"/>
    <w:rsid w:val="00742332"/>
    <w:rsid w:val="007426DA"/>
    <w:rsid w:val="00742886"/>
    <w:rsid w:val="00742A3A"/>
    <w:rsid w:val="00742DD2"/>
    <w:rsid w:val="00743241"/>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8C"/>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3F2"/>
    <w:rsid w:val="007677B5"/>
    <w:rsid w:val="007678B1"/>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5C2"/>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947"/>
    <w:rsid w:val="007A5F83"/>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9B7"/>
    <w:rsid w:val="007B6545"/>
    <w:rsid w:val="007B6C64"/>
    <w:rsid w:val="007B6EC8"/>
    <w:rsid w:val="007B6F81"/>
    <w:rsid w:val="007B7EA2"/>
    <w:rsid w:val="007C097D"/>
    <w:rsid w:val="007C0AF2"/>
    <w:rsid w:val="007C1672"/>
    <w:rsid w:val="007C17AE"/>
    <w:rsid w:val="007C1CFF"/>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373"/>
    <w:rsid w:val="007E0812"/>
    <w:rsid w:val="007E0825"/>
    <w:rsid w:val="007E18DF"/>
    <w:rsid w:val="007E1AE5"/>
    <w:rsid w:val="007E214A"/>
    <w:rsid w:val="007E238D"/>
    <w:rsid w:val="007E2C36"/>
    <w:rsid w:val="007E2FEB"/>
    <w:rsid w:val="007E350D"/>
    <w:rsid w:val="007E3ACA"/>
    <w:rsid w:val="007E3F27"/>
    <w:rsid w:val="007E3F4A"/>
    <w:rsid w:val="007E4D8A"/>
    <w:rsid w:val="007E4F0D"/>
    <w:rsid w:val="007E564D"/>
    <w:rsid w:val="007E5C4A"/>
    <w:rsid w:val="007E6135"/>
    <w:rsid w:val="007E64D4"/>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6A2"/>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673"/>
    <w:rsid w:val="00837937"/>
    <w:rsid w:val="00837D82"/>
    <w:rsid w:val="008404C8"/>
    <w:rsid w:val="00840669"/>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DB9"/>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44"/>
    <w:rsid w:val="00874B89"/>
    <w:rsid w:val="00874B90"/>
    <w:rsid w:val="00875403"/>
    <w:rsid w:val="00875434"/>
    <w:rsid w:val="00875C1F"/>
    <w:rsid w:val="00876215"/>
    <w:rsid w:val="0087646C"/>
    <w:rsid w:val="00876815"/>
    <w:rsid w:val="00877932"/>
    <w:rsid w:val="008808C7"/>
    <w:rsid w:val="0088106B"/>
    <w:rsid w:val="0088107D"/>
    <w:rsid w:val="0088187A"/>
    <w:rsid w:val="00881E64"/>
    <w:rsid w:val="00882335"/>
    <w:rsid w:val="00882E39"/>
    <w:rsid w:val="00883246"/>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888"/>
    <w:rsid w:val="008A796E"/>
    <w:rsid w:val="008B0862"/>
    <w:rsid w:val="008B088C"/>
    <w:rsid w:val="008B1A42"/>
    <w:rsid w:val="008B1BF5"/>
    <w:rsid w:val="008B263F"/>
    <w:rsid w:val="008B3045"/>
    <w:rsid w:val="008B3E9E"/>
    <w:rsid w:val="008B47A6"/>
    <w:rsid w:val="008B5C7C"/>
    <w:rsid w:val="008B63FE"/>
    <w:rsid w:val="008B672C"/>
    <w:rsid w:val="008B7108"/>
    <w:rsid w:val="008C065F"/>
    <w:rsid w:val="008C067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98E"/>
    <w:rsid w:val="008F71AB"/>
    <w:rsid w:val="008F7905"/>
    <w:rsid w:val="008F7989"/>
    <w:rsid w:val="00900912"/>
    <w:rsid w:val="00900FC5"/>
    <w:rsid w:val="00901F1D"/>
    <w:rsid w:val="009028E8"/>
    <w:rsid w:val="00902E5C"/>
    <w:rsid w:val="0090363E"/>
    <w:rsid w:val="00903788"/>
    <w:rsid w:val="00903EE2"/>
    <w:rsid w:val="009045CC"/>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BA0"/>
    <w:rsid w:val="00937D6B"/>
    <w:rsid w:val="00940477"/>
    <w:rsid w:val="00940876"/>
    <w:rsid w:val="00940A53"/>
    <w:rsid w:val="00940F3C"/>
    <w:rsid w:val="009410E0"/>
    <w:rsid w:val="00941FA9"/>
    <w:rsid w:val="00942641"/>
    <w:rsid w:val="009439B6"/>
    <w:rsid w:val="009444B4"/>
    <w:rsid w:val="00944644"/>
    <w:rsid w:val="00944652"/>
    <w:rsid w:val="009461CC"/>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507"/>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3B4"/>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3013"/>
    <w:rsid w:val="009930AB"/>
    <w:rsid w:val="00993B78"/>
    <w:rsid w:val="00993D92"/>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917"/>
    <w:rsid w:val="009A0A33"/>
    <w:rsid w:val="009A0CC0"/>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A7970"/>
    <w:rsid w:val="009B03F1"/>
    <w:rsid w:val="009B15C4"/>
    <w:rsid w:val="009B1F52"/>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0E23"/>
    <w:rsid w:val="009C181C"/>
    <w:rsid w:val="009C1A44"/>
    <w:rsid w:val="009C1C7F"/>
    <w:rsid w:val="009C1EC7"/>
    <w:rsid w:val="009C2210"/>
    <w:rsid w:val="009C28A2"/>
    <w:rsid w:val="009C3239"/>
    <w:rsid w:val="009C3828"/>
    <w:rsid w:val="009C3A0A"/>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481"/>
    <w:rsid w:val="009F4990"/>
    <w:rsid w:val="009F4F25"/>
    <w:rsid w:val="009F59C2"/>
    <w:rsid w:val="009F60AF"/>
    <w:rsid w:val="009F7263"/>
    <w:rsid w:val="009F73B6"/>
    <w:rsid w:val="009F75B7"/>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B4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377"/>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EA7"/>
    <w:rsid w:val="00A730AD"/>
    <w:rsid w:val="00A73855"/>
    <w:rsid w:val="00A738FF"/>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4EB0"/>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39BD"/>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10C"/>
    <w:rsid w:val="00AE25E8"/>
    <w:rsid w:val="00AE2AD4"/>
    <w:rsid w:val="00AE2CA7"/>
    <w:rsid w:val="00AE2F1D"/>
    <w:rsid w:val="00AE4A7D"/>
    <w:rsid w:val="00AE4C81"/>
    <w:rsid w:val="00AE4E63"/>
    <w:rsid w:val="00AE586F"/>
    <w:rsid w:val="00AE5964"/>
    <w:rsid w:val="00AE62FE"/>
    <w:rsid w:val="00AE6582"/>
    <w:rsid w:val="00AE6DC5"/>
    <w:rsid w:val="00AE7686"/>
    <w:rsid w:val="00AE799A"/>
    <w:rsid w:val="00AF0340"/>
    <w:rsid w:val="00AF083A"/>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2B8"/>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9A6"/>
    <w:rsid w:val="00B35B6A"/>
    <w:rsid w:val="00B36D2B"/>
    <w:rsid w:val="00B37657"/>
    <w:rsid w:val="00B37AFD"/>
    <w:rsid w:val="00B37B07"/>
    <w:rsid w:val="00B4046F"/>
    <w:rsid w:val="00B406B3"/>
    <w:rsid w:val="00B40A36"/>
    <w:rsid w:val="00B41BCA"/>
    <w:rsid w:val="00B41D39"/>
    <w:rsid w:val="00B420B8"/>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D85"/>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FE8"/>
    <w:rsid w:val="00BA732D"/>
    <w:rsid w:val="00BA7370"/>
    <w:rsid w:val="00BA778B"/>
    <w:rsid w:val="00BB0888"/>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9EB"/>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436F"/>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258"/>
    <w:rsid w:val="00C2296B"/>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B5F"/>
    <w:rsid w:val="00C358D4"/>
    <w:rsid w:val="00C365C6"/>
    <w:rsid w:val="00C366F4"/>
    <w:rsid w:val="00C36785"/>
    <w:rsid w:val="00C36FEA"/>
    <w:rsid w:val="00C3711C"/>
    <w:rsid w:val="00C37256"/>
    <w:rsid w:val="00C37A7B"/>
    <w:rsid w:val="00C37DC1"/>
    <w:rsid w:val="00C37FA6"/>
    <w:rsid w:val="00C37FFE"/>
    <w:rsid w:val="00C40B50"/>
    <w:rsid w:val="00C419E3"/>
    <w:rsid w:val="00C419F4"/>
    <w:rsid w:val="00C41E6A"/>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31"/>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60DC"/>
    <w:rsid w:val="00C7747E"/>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4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00"/>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0E0"/>
    <w:rsid w:val="00CC4CB4"/>
    <w:rsid w:val="00CC4E5D"/>
    <w:rsid w:val="00CC4EF4"/>
    <w:rsid w:val="00CC4F87"/>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92E"/>
    <w:rsid w:val="00CD5982"/>
    <w:rsid w:val="00CD5A1A"/>
    <w:rsid w:val="00CD5C26"/>
    <w:rsid w:val="00CD6126"/>
    <w:rsid w:val="00CD6CAB"/>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1DD"/>
    <w:rsid w:val="00D23732"/>
    <w:rsid w:val="00D2374F"/>
    <w:rsid w:val="00D2477B"/>
    <w:rsid w:val="00D24F93"/>
    <w:rsid w:val="00D25027"/>
    <w:rsid w:val="00D2519C"/>
    <w:rsid w:val="00D2522A"/>
    <w:rsid w:val="00D2531C"/>
    <w:rsid w:val="00D25428"/>
    <w:rsid w:val="00D2553E"/>
    <w:rsid w:val="00D2587F"/>
    <w:rsid w:val="00D2742F"/>
    <w:rsid w:val="00D2754F"/>
    <w:rsid w:val="00D277C5"/>
    <w:rsid w:val="00D279D9"/>
    <w:rsid w:val="00D309A0"/>
    <w:rsid w:val="00D30C8F"/>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89B"/>
    <w:rsid w:val="00D42AC2"/>
    <w:rsid w:val="00D4498E"/>
    <w:rsid w:val="00D4515F"/>
    <w:rsid w:val="00D451E8"/>
    <w:rsid w:val="00D45EE8"/>
    <w:rsid w:val="00D466C9"/>
    <w:rsid w:val="00D46B43"/>
    <w:rsid w:val="00D47275"/>
    <w:rsid w:val="00D517F6"/>
    <w:rsid w:val="00D51AB7"/>
    <w:rsid w:val="00D51E15"/>
    <w:rsid w:val="00D5240E"/>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A37"/>
    <w:rsid w:val="00D72BC3"/>
    <w:rsid w:val="00D72E9D"/>
    <w:rsid w:val="00D73249"/>
    <w:rsid w:val="00D732AC"/>
    <w:rsid w:val="00D73419"/>
    <w:rsid w:val="00D73437"/>
    <w:rsid w:val="00D73881"/>
    <w:rsid w:val="00D73CA9"/>
    <w:rsid w:val="00D74387"/>
    <w:rsid w:val="00D751B7"/>
    <w:rsid w:val="00D75232"/>
    <w:rsid w:val="00D7524B"/>
    <w:rsid w:val="00D75396"/>
    <w:rsid w:val="00D753E7"/>
    <w:rsid w:val="00D759C0"/>
    <w:rsid w:val="00D75AF5"/>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049"/>
    <w:rsid w:val="00D9310B"/>
    <w:rsid w:val="00D931F3"/>
    <w:rsid w:val="00D93726"/>
    <w:rsid w:val="00D93F3E"/>
    <w:rsid w:val="00D9405B"/>
    <w:rsid w:val="00D94942"/>
    <w:rsid w:val="00D9502A"/>
    <w:rsid w:val="00D95145"/>
    <w:rsid w:val="00D96594"/>
    <w:rsid w:val="00D96678"/>
    <w:rsid w:val="00D967CB"/>
    <w:rsid w:val="00D968D4"/>
    <w:rsid w:val="00D96EAB"/>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30B8"/>
    <w:rsid w:val="00DC478F"/>
    <w:rsid w:val="00DC5950"/>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506"/>
    <w:rsid w:val="00DE67D2"/>
    <w:rsid w:val="00DE7108"/>
    <w:rsid w:val="00DE7742"/>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990"/>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598"/>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E49"/>
    <w:rsid w:val="00E312B1"/>
    <w:rsid w:val="00E31A4A"/>
    <w:rsid w:val="00E32C77"/>
    <w:rsid w:val="00E3344A"/>
    <w:rsid w:val="00E337CC"/>
    <w:rsid w:val="00E33B29"/>
    <w:rsid w:val="00E33B62"/>
    <w:rsid w:val="00E3403D"/>
    <w:rsid w:val="00E34376"/>
    <w:rsid w:val="00E344BD"/>
    <w:rsid w:val="00E34548"/>
    <w:rsid w:val="00E34E6C"/>
    <w:rsid w:val="00E353E2"/>
    <w:rsid w:val="00E36345"/>
    <w:rsid w:val="00E36C86"/>
    <w:rsid w:val="00E36CEB"/>
    <w:rsid w:val="00E37A28"/>
    <w:rsid w:val="00E37E95"/>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740"/>
    <w:rsid w:val="00E63DCE"/>
    <w:rsid w:val="00E642EF"/>
    <w:rsid w:val="00E643A3"/>
    <w:rsid w:val="00E64700"/>
    <w:rsid w:val="00E65074"/>
    <w:rsid w:val="00E65857"/>
    <w:rsid w:val="00E65E70"/>
    <w:rsid w:val="00E66087"/>
    <w:rsid w:val="00E66D79"/>
    <w:rsid w:val="00E66FF9"/>
    <w:rsid w:val="00E6706F"/>
    <w:rsid w:val="00E67148"/>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58E0"/>
    <w:rsid w:val="00E75A1F"/>
    <w:rsid w:val="00E76537"/>
    <w:rsid w:val="00E77784"/>
    <w:rsid w:val="00E77AF5"/>
    <w:rsid w:val="00E8035B"/>
    <w:rsid w:val="00E806D9"/>
    <w:rsid w:val="00E80ADE"/>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2E9D"/>
    <w:rsid w:val="00EC3BA2"/>
    <w:rsid w:val="00EC3C94"/>
    <w:rsid w:val="00EC44DF"/>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54C"/>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57A5D"/>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67A"/>
    <w:rsid w:val="00FA6BCA"/>
    <w:rsid w:val="00FA6D46"/>
    <w:rsid w:val="00FA6F8B"/>
    <w:rsid w:val="00FA727C"/>
    <w:rsid w:val="00FA7A30"/>
    <w:rsid w:val="00FB033F"/>
    <w:rsid w:val="00FB0880"/>
    <w:rsid w:val="00FB12E3"/>
    <w:rsid w:val="00FB1570"/>
    <w:rsid w:val="00FB193B"/>
    <w:rsid w:val="00FB1FBC"/>
    <w:rsid w:val="00FB27B7"/>
    <w:rsid w:val="00FB35E3"/>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F3"/>
    <w:rsid w:val="00FC2F73"/>
    <w:rsid w:val="00FC3A9B"/>
    <w:rsid w:val="00FC3AE1"/>
    <w:rsid w:val="00FC3DFC"/>
    <w:rsid w:val="00FC3EF4"/>
    <w:rsid w:val="00FC431B"/>
    <w:rsid w:val="00FC434C"/>
    <w:rsid w:val="00FC453B"/>
    <w:rsid w:val="00FC472C"/>
    <w:rsid w:val="00FC4FDF"/>
    <w:rsid w:val="00FC5CF4"/>
    <w:rsid w:val="00FC5D64"/>
    <w:rsid w:val="00FC61D6"/>
    <w:rsid w:val="00FC65FC"/>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1A96"/>
    <w:rsid w:val="00FD3508"/>
    <w:rsid w:val="00FD393C"/>
    <w:rsid w:val="00FD3AFF"/>
    <w:rsid w:val="00FD43BB"/>
    <w:rsid w:val="00FD4AF3"/>
    <w:rsid w:val="00FD5443"/>
    <w:rsid w:val="00FD6675"/>
    <w:rsid w:val="00FD6DC5"/>
    <w:rsid w:val="00FD72B1"/>
    <w:rsid w:val="00FD798D"/>
    <w:rsid w:val="00FE113F"/>
    <w:rsid w:val="00FE141E"/>
    <w:rsid w:val="00FE144E"/>
    <w:rsid w:val="00FE1768"/>
    <w:rsid w:val="00FE1D81"/>
    <w:rsid w:val="00FE1DD5"/>
    <w:rsid w:val="00FE1FCD"/>
    <w:rsid w:val="00FE24ED"/>
    <w:rsid w:val="00FE24F4"/>
    <w:rsid w:val="00FE2560"/>
    <w:rsid w:val="00FE35D0"/>
    <w:rsid w:val="00FE42ED"/>
    <w:rsid w:val="00FE4E06"/>
    <w:rsid w:val="00FE55A7"/>
    <w:rsid w:val="00FE5C5A"/>
    <w:rsid w:val="00FE601E"/>
    <w:rsid w:val="00FE6432"/>
    <w:rsid w:val="00FE72A0"/>
    <w:rsid w:val="00FF0050"/>
    <w:rsid w:val="00FF045F"/>
    <w:rsid w:val="00FF05D7"/>
    <w:rsid w:val="00FF0816"/>
    <w:rsid w:val="00FF0EC4"/>
    <w:rsid w:val="00FF13D4"/>
    <w:rsid w:val="00FF2053"/>
    <w:rsid w:val="00FF22E8"/>
    <w:rsid w:val="00FF25D7"/>
    <w:rsid w:val="00FF26FB"/>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apple-converted-space">
    <w:name w:val="apple-converted-space"/>
    <w:basedOn w:val="Fuentedeprrafopredeter"/>
    <w:rsid w:val="000F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0837253">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4988896">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350909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3667172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9567881">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1214066">
      <w:bodyDiv w:val="1"/>
      <w:marLeft w:val="0"/>
      <w:marRight w:val="0"/>
      <w:marTop w:val="0"/>
      <w:marBottom w:val="0"/>
      <w:divBdr>
        <w:top w:val="none" w:sz="0" w:space="0" w:color="auto"/>
        <w:left w:val="none" w:sz="0" w:space="0" w:color="auto"/>
        <w:bottom w:val="none" w:sz="0" w:space="0" w:color="auto"/>
        <w:right w:val="none" w:sz="0" w:space="0" w:color="auto"/>
      </w:divBdr>
      <w:divsChild>
        <w:div w:id="1904019703">
          <w:marLeft w:val="0"/>
          <w:marRight w:val="0"/>
          <w:marTop w:val="0"/>
          <w:marBottom w:val="0"/>
          <w:divBdr>
            <w:top w:val="none" w:sz="0" w:space="0" w:color="auto"/>
            <w:left w:val="none" w:sz="0" w:space="0" w:color="auto"/>
            <w:bottom w:val="none" w:sz="0" w:space="0" w:color="auto"/>
            <w:right w:val="none" w:sz="0" w:space="0" w:color="auto"/>
          </w:divBdr>
        </w:div>
      </w:divsChild>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AF60F-577E-4D94-A4D6-00A1D3F36689}"/>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78</TotalTime>
  <Pages>19</Pages>
  <Words>7272</Words>
  <Characters>39997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141</cp:revision>
  <cp:lastPrinted>2020-01-30T15:05:00Z</cp:lastPrinted>
  <dcterms:created xsi:type="dcterms:W3CDTF">2021-06-17T16:49:00Z</dcterms:created>
  <dcterms:modified xsi:type="dcterms:W3CDTF">2021-06-18T00:47:00Z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