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04BD" w14:textId="77777777" w:rsidR="00E05AA3" w:rsidRDefault="00E05AA3"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78F9963B" w14:textId="77777777" w:rsidR="00E05AA3" w:rsidRDefault="00E05AA3" w:rsidP="008536BB">
      <w:pPr>
        <w:jc w:val="right"/>
        <w:rPr>
          <w:rFonts w:ascii="Arial" w:hAnsi="Arial" w:cs="Arial"/>
          <w:bCs/>
          <w:color w:val="000000" w:themeColor="text1"/>
          <w:sz w:val="16"/>
          <w:szCs w:val="16"/>
          <w:lang w:val="es-ES_tradnl" w:eastAsia="es-ES"/>
        </w:rPr>
      </w:pPr>
    </w:p>
    <w:p w14:paraId="363CAC71" w14:textId="65FF39C2" w:rsidR="002415B8" w:rsidRPr="00916C68" w:rsidRDefault="00B55C69" w:rsidP="008536BB">
      <w:pPr>
        <w:jc w:val="right"/>
        <w:rPr>
          <w:rFonts w:ascii="Arial" w:eastAsia="Calibri" w:hAnsi="Arial" w:cs="Arial"/>
          <w:b/>
          <w:color w:val="000000" w:themeColor="text1"/>
          <w:sz w:val="20"/>
          <w:szCs w:val="20"/>
          <w:lang w:val="es-ES_tradnl"/>
        </w:rPr>
      </w:pPr>
      <w:r w:rsidRPr="00916C68">
        <w:rPr>
          <w:rFonts w:ascii="Arial" w:hAnsi="Arial" w:cs="Arial"/>
          <w:bCs/>
          <w:color w:val="000000" w:themeColor="text1"/>
          <w:sz w:val="16"/>
          <w:szCs w:val="16"/>
          <w:lang w:val="es-ES_tradnl" w:eastAsia="es-ES"/>
        </w:rPr>
        <w:t>CCE-DES-FM-17</w:t>
      </w:r>
      <w:bookmarkEnd w:id="0"/>
      <w:bookmarkEnd w:id="1"/>
    </w:p>
    <w:p w14:paraId="41F4E38B" w14:textId="7584B1FF" w:rsidR="008D2986" w:rsidRPr="00916C68" w:rsidRDefault="002B08BA">
      <w:pPr>
        <w:spacing w:after="200" w:line="276" w:lineRule="auto"/>
        <w:rPr>
          <w:rFonts w:ascii="Arial" w:hAnsi="Arial" w:cs="Arial"/>
          <w:b/>
          <w:color w:val="000000" w:themeColor="text1"/>
          <w:sz w:val="22"/>
          <w:szCs w:val="22"/>
          <w:lang w:val="es-ES_tradnl"/>
        </w:rPr>
      </w:pPr>
      <w:r w:rsidRPr="00916C68">
        <w:rPr>
          <w:rFonts w:ascii="Arial" w:hAnsi="Arial" w:cs="Arial"/>
          <w:b/>
          <w:color w:val="000000" w:themeColor="text1"/>
          <w:sz w:val="22"/>
          <w:szCs w:val="22"/>
          <w:lang w:val="es-ES_tradnl"/>
        </w:rPr>
        <w:t xml:space="preserve">DOCUMENTOS TIPO – Obligatoriedad – Alcance </w:t>
      </w:r>
    </w:p>
    <w:p w14:paraId="62F2320E" w14:textId="3DF954D9" w:rsidR="002B08BA" w:rsidRPr="00916C68" w:rsidRDefault="002B08BA" w:rsidP="002B08BA">
      <w:pPr>
        <w:spacing w:before="120"/>
        <w:jc w:val="both"/>
        <w:rPr>
          <w:rFonts w:ascii="Arial" w:hAnsi="Arial" w:cs="Arial"/>
          <w:color w:val="000000" w:themeColor="text1"/>
          <w:sz w:val="20"/>
          <w:szCs w:val="20"/>
        </w:rPr>
      </w:pPr>
      <w:r w:rsidRPr="00916C68">
        <w:rPr>
          <w:rFonts w:ascii="Arial" w:hAnsi="Arial" w:cs="Arial"/>
          <w:color w:val="000000" w:themeColor="text1"/>
          <w:sz w:val="20"/>
          <w:szCs w:val="20"/>
        </w:rPr>
        <w:t xml:space="preserve">De conformidad con lo establecido en la Ley 2022 de 2020, las resoluciones que adoptan los documentos tipo son de obligatorio cumplimiento para todas las entidades públicas sometidas al Estatuto General de Contratación de la Administración Pública, de modo que, salvo norma especial, los procesos deberán tramitarse a partir de los parámetros estandarizados en estos documentos. Sin embargo, es importante señalar que, en los casos en que no sea obligatorio su aplicación, estos documentos pueden servir como referente para los demás procesos de contratación, por tratarse de una buena práctica en materia de contratación estatal. </w:t>
      </w:r>
    </w:p>
    <w:p w14:paraId="7EAD8C74" w14:textId="77777777" w:rsidR="002B08BA" w:rsidRPr="00916C68" w:rsidRDefault="002B08BA" w:rsidP="00916C68">
      <w:pPr>
        <w:spacing w:line="276" w:lineRule="auto"/>
        <w:rPr>
          <w:rFonts w:ascii="Arial" w:hAnsi="Arial" w:cs="Arial"/>
          <w:b/>
          <w:color w:val="000000" w:themeColor="text1"/>
          <w:sz w:val="22"/>
          <w:szCs w:val="22"/>
          <w:lang w:val="es-ES_tradnl"/>
        </w:rPr>
      </w:pPr>
    </w:p>
    <w:p w14:paraId="5D88393E" w14:textId="202E5D35" w:rsidR="003F6098" w:rsidRPr="00916C68" w:rsidRDefault="00705603">
      <w:pPr>
        <w:spacing w:after="200" w:line="276" w:lineRule="auto"/>
        <w:rPr>
          <w:rFonts w:ascii="Arial" w:hAnsi="Arial" w:cs="Arial"/>
          <w:b/>
          <w:color w:val="000000" w:themeColor="text1"/>
          <w:sz w:val="22"/>
          <w:szCs w:val="22"/>
          <w:lang w:val="es-ES_tradnl"/>
        </w:rPr>
      </w:pPr>
      <w:r w:rsidRPr="00916C68">
        <w:rPr>
          <w:rFonts w:ascii="Arial" w:hAnsi="Arial" w:cs="Arial"/>
          <w:b/>
          <w:color w:val="000000" w:themeColor="text1"/>
          <w:sz w:val="22"/>
          <w:szCs w:val="22"/>
          <w:lang w:val="es-ES_tradnl"/>
        </w:rPr>
        <w:t>CONTRATACIÓN DIRECTA - Ley 1523 de 2015</w:t>
      </w:r>
      <w:r w:rsidR="003F6098" w:rsidRPr="00916C68">
        <w:rPr>
          <w:rFonts w:ascii="Arial" w:hAnsi="Arial" w:cs="Arial"/>
          <w:b/>
          <w:color w:val="000000" w:themeColor="text1"/>
          <w:sz w:val="22"/>
          <w:szCs w:val="22"/>
          <w:lang w:val="es-ES_tradnl"/>
        </w:rPr>
        <w:t xml:space="preserve"> – Exclusión – Ley 80 de 1993 </w:t>
      </w:r>
    </w:p>
    <w:p w14:paraId="49A1A9B0" w14:textId="77777777" w:rsidR="003F6098" w:rsidRPr="00916C68" w:rsidRDefault="003F6098" w:rsidP="003F6098">
      <w:pPr>
        <w:spacing w:before="120"/>
        <w:jc w:val="both"/>
        <w:rPr>
          <w:rFonts w:ascii="Arial" w:eastAsia="Calibri" w:hAnsi="Arial" w:cs="Arial"/>
          <w:color w:val="000000" w:themeColor="text1"/>
          <w:sz w:val="20"/>
          <w:szCs w:val="20"/>
          <w:lang w:val="es-ES_tradnl"/>
        </w:rPr>
      </w:pPr>
      <w:r w:rsidRPr="00916C68">
        <w:rPr>
          <w:rFonts w:ascii="Arial" w:eastAsia="Calibri" w:hAnsi="Arial" w:cs="Arial"/>
          <w:color w:val="000000" w:themeColor="text1"/>
          <w:sz w:val="20"/>
          <w:szCs w:val="20"/>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    </w:t>
      </w:r>
    </w:p>
    <w:p w14:paraId="4874F32C" w14:textId="77777777" w:rsidR="003F6098" w:rsidRPr="00916C68" w:rsidRDefault="003F6098" w:rsidP="00916C68">
      <w:pPr>
        <w:rPr>
          <w:rFonts w:ascii="Arial" w:hAnsi="Arial" w:cs="Arial"/>
          <w:b/>
          <w:color w:val="000000" w:themeColor="text1"/>
          <w:sz w:val="22"/>
          <w:szCs w:val="22"/>
          <w:lang w:val="es-ES_tradnl"/>
        </w:rPr>
      </w:pPr>
    </w:p>
    <w:p w14:paraId="0F9ED4F6" w14:textId="0FBDFADC" w:rsidR="003F6098" w:rsidRPr="00916C68" w:rsidRDefault="003F6098" w:rsidP="003F6098">
      <w:pPr>
        <w:spacing w:before="120"/>
        <w:jc w:val="both"/>
        <w:rPr>
          <w:rFonts w:ascii="Arial" w:hAnsi="Arial" w:cs="Arial"/>
          <w:b/>
          <w:sz w:val="22"/>
          <w:szCs w:val="22"/>
        </w:rPr>
      </w:pPr>
      <w:r w:rsidRPr="00916C68">
        <w:rPr>
          <w:rFonts w:ascii="Arial" w:hAnsi="Arial" w:cs="Arial"/>
          <w:b/>
          <w:sz w:val="22"/>
          <w:szCs w:val="22"/>
        </w:rPr>
        <w:t xml:space="preserve">ATENCIÓN, PREVENCIÓN O MITIGACIÓN DE EMERGENCIAS – Matriz 1 – Numeral 4 – Alcance </w:t>
      </w:r>
    </w:p>
    <w:p w14:paraId="064D900F" w14:textId="77777777" w:rsidR="00054E55" w:rsidRPr="00916C68" w:rsidRDefault="00054E55" w:rsidP="00916C68">
      <w:pPr>
        <w:jc w:val="both"/>
        <w:rPr>
          <w:rFonts w:ascii="Arial" w:hAnsi="Arial" w:cs="Arial"/>
          <w:b/>
          <w:sz w:val="22"/>
          <w:szCs w:val="22"/>
        </w:rPr>
      </w:pPr>
    </w:p>
    <w:p w14:paraId="1F01565C" w14:textId="77777777" w:rsidR="003F6098" w:rsidRPr="00916C68" w:rsidRDefault="003F6098" w:rsidP="00916C68">
      <w:pPr>
        <w:jc w:val="both"/>
        <w:rPr>
          <w:rFonts w:ascii="Arial" w:hAnsi="Arial" w:cs="Arial"/>
          <w:sz w:val="20"/>
          <w:szCs w:val="20"/>
        </w:rPr>
      </w:pPr>
      <w:r w:rsidRPr="00916C68">
        <w:rPr>
          <w:rFonts w:ascii="Arial" w:hAnsi="Arial" w:cs="Arial"/>
          <w:sz w:val="20"/>
          <w:szCs w:val="20"/>
        </w:rPr>
        <w:t xml:space="preserve">De todo lo anterior se tiene que,  la Ley 2022 de 2020 regula un supuesto distinto a la Ley 1523 de 2012,  pues aquella establece la aplicación  obligatoria de los documentos tipo los procesos de selección de obras públicas, interventoría para las obras públicas, interventoría para consultoría de estudios y diseños para obras públicas, consultoría en ingeniería para obras, mientras que la ley 1523 de 2012 establece un régimen especial aplicable para situaciones excepcionales, dadas en dicha normativa. </w:t>
      </w:r>
    </w:p>
    <w:p w14:paraId="07482EE5" w14:textId="533D22A0" w:rsidR="00054E55" w:rsidRPr="00916C68" w:rsidRDefault="003F6098" w:rsidP="003F6098">
      <w:pPr>
        <w:spacing w:before="120"/>
        <w:jc w:val="both"/>
        <w:rPr>
          <w:rFonts w:ascii="Arial" w:hAnsi="Arial" w:cs="Arial"/>
          <w:sz w:val="20"/>
          <w:szCs w:val="20"/>
        </w:rPr>
      </w:pPr>
      <w:r w:rsidRPr="00916C68">
        <w:rPr>
          <w:rFonts w:ascii="Arial" w:hAnsi="Arial" w:cs="Arial"/>
          <w:sz w:val="20"/>
          <w:szCs w:val="20"/>
        </w:rPr>
        <w:t xml:space="preserve">La procedencia de la aplicación de los documentos tipo para atención, prevención o mitigación de emergencias está prevista exclusivamente  a eventos en los que se requiera la ejecución de dichas actividades en vías primarias o secundarias o terciarias o urbanas, que no deban ser contratadas bajo la modalidad de selección directa, tales como, aquellos casos en los que declarada la calamidad pública o la situación de desastre las entidades públicas correspondientes declaren la urgencia manifiesta de que trata el artículo 42 de la ley 80 de 1993. </w:t>
      </w:r>
    </w:p>
    <w:p w14:paraId="6B66353B" w14:textId="77777777" w:rsidR="00054E55" w:rsidRPr="00916C68" w:rsidRDefault="00054E55">
      <w:pPr>
        <w:spacing w:after="200" w:line="276" w:lineRule="auto"/>
        <w:rPr>
          <w:rFonts w:ascii="Arial" w:hAnsi="Arial" w:cs="Arial"/>
          <w:sz w:val="20"/>
          <w:szCs w:val="20"/>
        </w:rPr>
      </w:pPr>
      <w:r w:rsidRPr="00916C68">
        <w:rPr>
          <w:rFonts w:ascii="Arial" w:hAnsi="Arial" w:cs="Arial"/>
          <w:sz w:val="20"/>
          <w:szCs w:val="20"/>
        </w:rPr>
        <w:br w:type="page"/>
      </w:r>
    </w:p>
    <w:p w14:paraId="0FE96CD4" w14:textId="6135F4A0" w:rsidR="003F6098" w:rsidRPr="00916C68" w:rsidRDefault="007B1223" w:rsidP="007B1223">
      <w:pPr>
        <w:tabs>
          <w:tab w:val="left" w:pos="3840"/>
        </w:tabs>
        <w:spacing w:line="276" w:lineRule="auto"/>
        <w:jc w:val="right"/>
        <w:rPr>
          <w:rFonts w:ascii="Arial" w:hAnsi="Arial" w:cs="Arial"/>
          <w:b/>
          <w:color w:val="000000" w:themeColor="text1"/>
          <w:sz w:val="22"/>
          <w:szCs w:val="22"/>
          <w:lang w:val="es-ES_tradnl"/>
        </w:rPr>
      </w:pPr>
      <w:r>
        <w:rPr>
          <w:noProof/>
          <w:lang w:eastAsia="es-CO"/>
        </w:rPr>
        <w:lastRenderedPageBreak/>
        <w:drawing>
          <wp:inline distT="0" distB="0" distL="0" distR="0" wp14:anchorId="6DF693FC" wp14:editId="27982009">
            <wp:extent cx="254317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3175" cy="676275"/>
                    </a:xfrm>
                    <a:prstGeom prst="rect">
                      <a:avLst/>
                    </a:prstGeom>
                  </pic:spPr>
                </pic:pic>
              </a:graphicData>
            </a:graphic>
          </wp:inline>
        </w:drawing>
      </w:r>
    </w:p>
    <w:p w14:paraId="79975CF6" w14:textId="77777777" w:rsidR="00054E55" w:rsidRPr="00916C68" w:rsidRDefault="00054E55" w:rsidP="00916C68">
      <w:pPr>
        <w:tabs>
          <w:tab w:val="left" w:pos="3840"/>
        </w:tabs>
        <w:spacing w:line="276" w:lineRule="auto"/>
        <w:rPr>
          <w:rFonts w:ascii="Arial" w:hAnsi="Arial" w:cs="Arial"/>
          <w:b/>
          <w:color w:val="000000" w:themeColor="text1"/>
          <w:sz w:val="22"/>
          <w:szCs w:val="22"/>
          <w:lang w:val="es-ES_tradnl"/>
        </w:rPr>
      </w:pPr>
    </w:p>
    <w:p w14:paraId="7DD48F49" w14:textId="430D0204" w:rsidR="00B95C30" w:rsidRPr="00916C68" w:rsidRDefault="00B95C30" w:rsidP="009F5A2A">
      <w:pPr>
        <w:spacing w:after="200" w:line="276" w:lineRule="auto"/>
        <w:rPr>
          <w:rFonts w:ascii="Arial" w:eastAsia="Calibri" w:hAnsi="Arial" w:cs="Arial"/>
          <w:noProof/>
          <w:color w:val="000000" w:themeColor="text1"/>
          <w:sz w:val="20"/>
          <w:lang w:val="es-ES_tradnl"/>
        </w:rPr>
      </w:pPr>
      <w:r w:rsidRPr="00916C68">
        <w:rPr>
          <w:rFonts w:ascii="Arial" w:hAnsi="Arial" w:cs="Arial"/>
          <w:noProof/>
          <w:color w:val="000000" w:themeColor="text1"/>
          <w:sz w:val="22"/>
          <w:lang w:val="es-ES_tradnl"/>
        </w:rPr>
        <w:t xml:space="preserve">Bogotá D.C., </w:t>
      </w:r>
      <w:r w:rsidR="007B1223">
        <w:rPr>
          <w:rFonts w:ascii="Arial" w:hAnsi="Arial" w:cs="Arial"/>
          <w:noProof/>
          <w:color w:val="000000" w:themeColor="text1"/>
          <w:sz w:val="22"/>
          <w:lang w:val="es-ES_tradnl"/>
        </w:rPr>
        <w:t>01 Junio 2021</w:t>
      </w:r>
    </w:p>
    <w:p w14:paraId="30333C6F" w14:textId="281F9EB9" w:rsidR="00C84887" w:rsidRPr="00916C68" w:rsidRDefault="00C84887" w:rsidP="00C84887">
      <w:pPr>
        <w:jc w:val="right"/>
      </w:pPr>
      <w:r w:rsidRPr="00916C68">
        <w:fldChar w:fldCharType="begin"/>
      </w:r>
      <w:r w:rsidR="0031184C" w:rsidRPr="00916C68">
        <w:instrText xml:space="preserve"> INCLUDEPICTURE "C:\\var\\folders\\5l\\v1rdjm0x1x9416lmbj7_vjt40000gn\\T\\com.microsoft.Word\\WebArchiveCopyPasteTempFiles\\page1image1811456" \* MERGEFORMAT </w:instrText>
      </w:r>
      <w:r w:rsidRPr="00916C68">
        <w:fldChar w:fldCharType="end"/>
      </w:r>
    </w:p>
    <w:p w14:paraId="6A8A869B" w14:textId="30C28F20" w:rsidR="00B95C30" w:rsidRPr="00916C68" w:rsidRDefault="00B95C30" w:rsidP="00B95C30">
      <w:pPr>
        <w:jc w:val="both"/>
        <w:rPr>
          <w:rFonts w:ascii="Arial" w:hAnsi="Arial" w:cs="Arial"/>
          <w:bCs/>
          <w:color w:val="000000" w:themeColor="text1"/>
          <w:sz w:val="22"/>
          <w:lang w:val="es-ES_tradnl"/>
        </w:rPr>
      </w:pPr>
    </w:p>
    <w:p w14:paraId="32F9970B" w14:textId="77777777" w:rsidR="00A25F2F" w:rsidRPr="00916C68" w:rsidRDefault="00A25F2F" w:rsidP="00B95C30">
      <w:pPr>
        <w:jc w:val="both"/>
        <w:rPr>
          <w:rFonts w:ascii="Arial" w:hAnsi="Arial" w:cs="Arial"/>
          <w:bCs/>
          <w:color w:val="000000" w:themeColor="text1"/>
          <w:sz w:val="22"/>
          <w:lang w:val="es-ES_tradnl"/>
        </w:rPr>
      </w:pPr>
    </w:p>
    <w:p w14:paraId="5F5AE9EF" w14:textId="71339329" w:rsidR="00B95C30" w:rsidRPr="00916C68" w:rsidRDefault="00BE4FBF" w:rsidP="00B95C30">
      <w:pPr>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Señor</w:t>
      </w:r>
    </w:p>
    <w:p w14:paraId="3DCD58CE" w14:textId="102832DA" w:rsidR="00B95C30" w:rsidRPr="00916C68" w:rsidRDefault="00577379" w:rsidP="00B95C30">
      <w:pPr>
        <w:jc w:val="both"/>
        <w:rPr>
          <w:rFonts w:ascii="Arial" w:eastAsia="Calibri" w:hAnsi="Arial" w:cs="Arial"/>
          <w:b/>
          <w:color w:val="000000" w:themeColor="text1"/>
          <w:sz w:val="22"/>
          <w:lang w:val="es-ES_tradnl"/>
        </w:rPr>
      </w:pPr>
      <w:r w:rsidRPr="00916C68">
        <w:rPr>
          <w:rFonts w:ascii="Arial" w:eastAsia="Calibri" w:hAnsi="Arial" w:cs="Arial"/>
          <w:b/>
          <w:color w:val="000000" w:themeColor="text1"/>
          <w:sz w:val="22"/>
          <w:lang w:val="es-ES_tradnl"/>
        </w:rPr>
        <w:t>Orbey Fuentes Ortega</w:t>
      </w:r>
    </w:p>
    <w:p w14:paraId="078690D7" w14:textId="2FEBDC9D" w:rsidR="0031184C" w:rsidRPr="00916C68" w:rsidRDefault="00577379" w:rsidP="00B95C30">
      <w:pPr>
        <w:jc w:val="both"/>
        <w:rPr>
          <w:rFonts w:ascii="Arial" w:eastAsia="Calibri" w:hAnsi="Arial" w:cs="Arial"/>
          <w:bCs/>
          <w:color w:val="000000" w:themeColor="text1"/>
          <w:sz w:val="22"/>
          <w:lang w:val="es-ES_tradnl"/>
        </w:rPr>
      </w:pPr>
      <w:r w:rsidRPr="00916C68">
        <w:rPr>
          <w:rFonts w:ascii="Arial" w:eastAsia="Calibri" w:hAnsi="Arial" w:cs="Arial"/>
          <w:bCs/>
          <w:color w:val="000000" w:themeColor="text1"/>
          <w:sz w:val="22"/>
          <w:lang w:val="es-ES_tradnl"/>
        </w:rPr>
        <w:t>Florencia, cauca</w:t>
      </w:r>
    </w:p>
    <w:p w14:paraId="490C0C2D" w14:textId="6E3BE8CC" w:rsidR="00A25F2F" w:rsidRPr="00916C68" w:rsidRDefault="00A25F2F" w:rsidP="00B95C30">
      <w:pPr>
        <w:jc w:val="both"/>
        <w:rPr>
          <w:rFonts w:ascii="Arial" w:eastAsia="Calibri" w:hAnsi="Arial" w:cs="Arial"/>
          <w:color w:val="000000" w:themeColor="text1"/>
          <w:sz w:val="22"/>
          <w:lang w:val="es-ES_tradnl"/>
        </w:rPr>
      </w:pPr>
    </w:p>
    <w:p w14:paraId="0B5EBAC5" w14:textId="77777777" w:rsidR="00A25F2F" w:rsidRPr="00916C68" w:rsidRDefault="00A25F2F" w:rsidP="00B95C30">
      <w:pPr>
        <w:jc w:val="both"/>
        <w:rPr>
          <w:rFonts w:ascii="Arial" w:eastAsia="Calibri" w:hAnsi="Arial" w:cs="Arial"/>
          <w:color w:val="000000" w:themeColor="text1"/>
          <w:sz w:val="22"/>
          <w:lang w:val="es-ES_tradnl"/>
        </w:rPr>
      </w:pPr>
    </w:p>
    <w:p w14:paraId="12E66182" w14:textId="2057121F" w:rsidR="00B95C30" w:rsidRPr="00916C68" w:rsidRDefault="00A25F2F" w:rsidP="004004C2">
      <w:pPr>
        <w:rPr>
          <w:rFonts w:ascii="Arial" w:eastAsia="Calibri" w:hAnsi="Arial" w:cs="Arial"/>
          <w:b/>
          <w:bCs/>
          <w:color w:val="000000" w:themeColor="text1"/>
          <w:sz w:val="22"/>
          <w:lang w:val="es-ES_tradnl"/>
        </w:rPr>
      </w:pPr>
      <w:r w:rsidRPr="00916C68">
        <w:rPr>
          <w:rFonts w:ascii="Arial" w:eastAsia="Calibri" w:hAnsi="Arial" w:cs="Arial"/>
          <w:b/>
          <w:bCs/>
          <w:color w:val="000000" w:themeColor="text1"/>
          <w:sz w:val="22"/>
          <w:lang w:val="es-ES_tradnl"/>
        </w:rPr>
        <w:t xml:space="preserve">                                            </w:t>
      </w:r>
      <w:r w:rsidR="00B95C30" w:rsidRPr="00916C68">
        <w:rPr>
          <w:rFonts w:ascii="Arial" w:eastAsia="Calibri" w:hAnsi="Arial" w:cs="Arial"/>
          <w:b/>
          <w:bCs/>
          <w:color w:val="000000" w:themeColor="text1"/>
          <w:sz w:val="22"/>
          <w:lang w:val="es-ES_tradnl"/>
        </w:rPr>
        <w:t>Concepto C ‒</w:t>
      </w:r>
      <w:r w:rsidR="00646D69" w:rsidRPr="00916C68">
        <w:rPr>
          <w:rFonts w:ascii="Arial" w:eastAsia="Calibri" w:hAnsi="Arial" w:cs="Arial"/>
          <w:b/>
          <w:bCs/>
          <w:color w:val="000000" w:themeColor="text1"/>
          <w:sz w:val="22"/>
          <w:lang w:val="es-ES_tradnl"/>
        </w:rPr>
        <w:t xml:space="preserve"> 225 d</w:t>
      </w:r>
      <w:r w:rsidR="0031184C" w:rsidRPr="00916C68">
        <w:rPr>
          <w:rFonts w:ascii="Arial" w:eastAsia="Calibri" w:hAnsi="Arial" w:cs="Arial"/>
          <w:b/>
          <w:bCs/>
          <w:color w:val="000000" w:themeColor="text1"/>
          <w:sz w:val="22"/>
          <w:lang w:val="es-ES_tradnl"/>
        </w:rPr>
        <w:t>e 2021</w:t>
      </w:r>
    </w:p>
    <w:p w14:paraId="1BD594F9" w14:textId="77777777" w:rsidR="00B95C30" w:rsidRPr="00916C68"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916C68" w14:paraId="19DFC051" w14:textId="77777777" w:rsidTr="008F4163">
        <w:tc>
          <w:tcPr>
            <w:tcW w:w="2689" w:type="dxa"/>
          </w:tcPr>
          <w:p w14:paraId="6BC0D1AC" w14:textId="77777777" w:rsidR="00B95C30" w:rsidRPr="00916C68" w:rsidRDefault="00B95C30" w:rsidP="008F4163">
            <w:pPr>
              <w:jc w:val="both"/>
              <w:rPr>
                <w:rFonts w:ascii="Arial" w:eastAsia="Calibri" w:hAnsi="Arial" w:cs="Arial"/>
                <w:color w:val="000000" w:themeColor="text1"/>
                <w:sz w:val="22"/>
                <w:lang w:val="es-ES_tradnl"/>
              </w:rPr>
            </w:pPr>
            <w:r w:rsidRPr="00916C68">
              <w:rPr>
                <w:rFonts w:ascii="Arial" w:eastAsia="Calibri" w:hAnsi="Arial" w:cs="Arial"/>
                <w:b/>
                <w:color w:val="000000" w:themeColor="text1"/>
                <w:sz w:val="22"/>
                <w:lang w:val="es-ES_tradnl"/>
              </w:rPr>
              <w:t>Temas:</w:t>
            </w:r>
            <w:r w:rsidRPr="00916C68">
              <w:rPr>
                <w:rFonts w:ascii="Arial" w:eastAsia="Calibri" w:hAnsi="Arial" w:cs="Arial"/>
                <w:color w:val="000000" w:themeColor="text1"/>
                <w:sz w:val="22"/>
                <w:lang w:val="es-ES_tradnl"/>
              </w:rPr>
              <w:t xml:space="preserve">                                      </w:t>
            </w:r>
          </w:p>
        </w:tc>
        <w:tc>
          <w:tcPr>
            <w:tcW w:w="6237" w:type="dxa"/>
          </w:tcPr>
          <w:p w14:paraId="5F389CAF" w14:textId="2040DAE6" w:rsidR="00B95C30" w:rsidRPr="00916C68" w:rsidRDefault="003F6098" w:rsidP="00916C68">
            <w:pPr>
              <w:jc w:val="both"/>
              <w:rPr>
                <w:rFonts w:ascii="Arial" w:hAnsi="Arial" w:cs="Arial"/>
                <w:bCs/>
                <w:sz w:val="22"/>
                <w:szCs w:val="22"/>
              </w:rPr>
            </w:pPr>
            <w:r w:rsidRPr="00916C68">
              <w:rPr>
                <w:rFonts w:ascii="Arial" w:hAnsi="Arial" w:cs="Arial"/>
                <w:bCs/>
                <w:color w:val="000000" w:themeColor="text1"/>
                <w:sz w:val="22"/>
                <w:szCs w:val="22"/>
                <w:lang w:val="es-ES_tradnl"/>
              </w:rPr>
              <w:t>DOCUMENTOS TIPO – Obligatoriedad – Alcance /</w:t>
            </w:r>
            <w:r w:rsidR="00705603" w:rsidRPr="00916C68">
              <w:rPr>
                <w:rFonts w:ascii="Arial" w:hAnsi="Arial" w:cs="Arial"/>
                <w:bCs/>
                <w:color w:val="000000" w:themeColor="text1"/>
                <w:sz w:val="22"/>
                <w:szCs w:val="22"/>
                <w:lang w:val="es-ES_tradnl"/>
              </w:rPr>
              <w:t xml:space="preserve"> CONTRATACIÓN DIRECTA -</w:t>
            </w:r>
            <w:r w:rsidRPr="00916C68">
              <w:rPr>
                <w:rFonts w:ascii="Arial" w:hAnsi="Arial" w:cs="Arial"/>
                <w:bCs/>
                <w:color w:val="000000" w:themeColor="text1"/>
                <w:sz w:val="22"/>
                <w:szCs w:val="22"/>
                <w:lang w:val="es-ES_tradnl"/>
              </w:rPr>
              <w:t xml:space="preserve"> </w:t>
            </w:r>
            <w:r w:rsidR="00705603" w:rsidRPr="00916C68">
              <w:rPr>
                <w:rFonts w:ascii="Arial" w:hAnsi="Arial" w:cs="Arial"/>
                <w:bCs/>
                <w:color w:val="000000" w:themeColor="text1"/>
                <w:sz w:val="22"/>
                <w:szCs w:val="22"/>
                <w:lang w:val="es-ES_tradnl"/>
              </w:rPr>
              <w:t>Ley 1523 de2</w:t>
            </w:r>
            <w:r w:rsidRPr="00916C68">
              <w:rPr>
                <w:rFonts w:ascii="Arial" w:hAnsi="Arial" w:cs="Arial"/>
                <w:bCs/>
                <w:color w:val="000000" w:themeColor="text1"/>
                <w:sz w:val="22"/>
                <w:szCs w:val="22"/>
                <w:lang w:val="es-ES_tradnl"/>
              </w:rPr>
              <w:t xml:space="preserve">012 – Exclusión – Ley 80 de 1993 / </w:t>
            </w:r>
            <w:r w:rsidRPr="00916C68">
              <w:rPr>
                <w:rFonts w:ascii="Arial" w:hAnsi="Arial" w:cs="Arial"/>
                <w:bCs/>
                <w:sz w:val="22"/>
                <w:szCs w:val="22"/>
              </w:rPr>
              <w:t xml:space="preserve">ATENCIÓN, PREVENCIÓN O MITIGACIÓN DE EMERGENCIAS – Matriz 1 – Numeral 4 – Alcance </w:t>
            </w:r>
          </w:p>
        </w:tc>
      </w:tr>
      <w:tr w:rsidR="00B95C30" w:rsidRPr="00916C68" w14:paraId="27CD52AB" w14:textId="77777777" w:rsidTr="008F4163">
        <w:tc>
          <w:tcPr>
            <w:tcW w:w="2689" w:type="dxa"/>
          </w:tcPr>
          <w:p w14:paraId="37E195A1" w14:textId="1BA218D5" w:rsidR="00B95C30" w:rsidRPr="00916C68" w:rsidRDefault="00B95C30" w:rsidP="008F4163">
            <w:pPr>
              <w:spacing w:before="120"/>
              <w:jc w:val="both"/>
              <w:rPr>
                <w:rFonts w:ascii="Arial" w:eastAsia="Calibri" w:hAnsi="Arial" w:cs="Arial"/>
                <w:b/>
                <w:color w:val="000000" w:themeColor="text1"/>
                <w:sz w:val="22"/>
                <w:lang w:val="es-ES_tradnl"/>
              </w:rPr>
            </w:pPr>
            <w:r w:rsidRPr="00916C68">
              <w:rPr>
                <w:rFonts w:ascii="Arial" w:eastAsia="Calibri" w:hAnsi="Arial" w:cs="Arial"/>
                <w:b/>
                <w:color w:val="000000" w:themeColor="text1"/>
                <w:sz w:val="22"/>
                <w:lang w:val="es-ES_tradnl"/>
              </w:rPr>
              <w:t>Radicación:</w:t>
            </w:r>
            <w:r w:rsidRPr="00916C68">
              <w:rPr>
                <w:rFonts w:ascii="Arial" w:eastAsia="Calibri" w:hAnsi="Arial" w:cs="Arial"/>
                <w:color w:val="000000" w:themeColor="text1"/>
                <w:sz w:val="22"/>
                <w:lang w:val="es-ES_tradnl"/>
              </w:rPr>
              <w:t xml:space="preserve">                              </w:t>
            </w:r>
          </w:p>
        </w:tc>
        <w:tc>
          <w:tcPr>
            <w:tcW w:w="6237" w:type="dxa"/>
          </w:tcPr>
          <w:p w14:paraId="64360FC9" w14:textId="58E60BB9" w:rsidR="00B95C30" w:rsidRPr="00916C68" w:rsidRDefault="00B95C30" w:rsidP="008F4163">
            <w:pPr>
              <w:spacing w:before="120"/>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Respuesta a consulta # </w:t>
            </w:r>
            <w:r w:rsidR="00D31011" w:rsidRPr="00916C68">
              <w:rPr>
                <w:rFonts w:ascii="Arial" w:eastAsia="Calibri" w:hAnsi="Arial" w:cs="Arial"/>
                <w:color w:val="000000" w:themeColor="text1"/>
                <w:sz w:val="22"/>
                <w:lang w:val="es-ES_tradnl"/>
              </w:rPr>
              <w:t>P</w:t>
            </w:r>
            <w:r w:rsidR="0031184C" w:rsidRPr="00916C68">
              <w:rPr>
                <w:rFonts w:ascii="Arial" w:eastAsia="Calibri" w:hAnsi="Arial" w:cs="Arial"/>
                <w:color w:val="000000" w:themeColor="text1"/>
                <w:sz w:val="22"/>
                <w:lang w:val="es-ES_tradnl"/>
              </w:rPr>
              <w:t>20210</w:t>
            </w:r>
            <w:r w:rsidR="00646D69" w:rsidRPr="00916C68">
              <w:rPr>
                <w:rFonts w:ascii="Arial" w:eastAsia="Calibri" w:hAnsi="Arial" w:cs="Arial"/>
                <w:color w:val="000000" w:themeColor="text1"/>
                <w:sz w:val="22"/>
                <w:lang w:val="es-ES_tradnl"/>
              </w:rPr>
              <w:t>419003163</w:t>
            </w:r>
          </w:p>
          <w:p w14:paraId="09088B1B" w14:textId="77777777" w:rsidR="00B95C30" w:rsidRPr="00916C68" w:rsidRDefault="00B95C30" w:rsidP="008F4163">
            <w:pPr>
              <w:spacing w:before="120"/>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 </w:t>
            </w:r>
          </w:p>
        </w:tc>
      </w:tr>
    </w:tbl>
    <w:p w14:paraId="6643BC73" w14:textId="77777777" w:rsidR="002E3C26" w:rsidRPr="00916C68" w:rsidRDefault="002E3C26" w:rsidP="003C3339">
      <w:pPr>
        <w:jc w:val="both"/>
        <w:rPr>
          <w:rFonts w:ascii="Arial" w:eastAsia="Calibri" w:hAnsi="Arial" w:cs="Arial"/>
          <w:color w:val="000000" w:themeColor="text1"/>
          <w:sz w:val="22"/>
          <w:lang w:val="es-ES_tradnl"/>
        </w:rPr>
      </w:pPr>
    </w:p>
    <w:p w14:paraId="1CF4AEA0" w14:textId="5EAABDB7" w:rsidR="003C3339" w:rsidRPr="00916C68" w:rsidRDefault="003C3339" w:rsidP="003C3339">
      <w:pPr>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Estimad</w:t>
      </w:r>
      <w:r w:rsidR="00B549B3" w:rsidRPr="00916C68">
        <w:rPr>
          <w:rFonts w:ascii="Arial" w:eastAsia="Calibri" w:hAnsi="Arial" w:cs="Arial"/>
          <w:color w:val="000000" w:themeColor="text1"/>
          <w:sz w:val="22"/>
          <w:lang w:val="es-ES_tradnl"/>
        </w:rPr>
        <w:t>o</w:t>
      </w:r>
      <w:r w:rsidRPr="00916C68">
        <w:rPr>
          <w:rFonts w:ascii="Arial" w:eastAsia="Calibri" w:hAnsi="Arial" w:cs="Arial"/>
          <w:color w:val="000000" w:themeColor="text1"/>
          <w:sz w:val="22"/>
          <w:lang w:val="es-ES_tradnl"/>
        </w:rPr>
        <w:t xml:space="preserve"> </w:t>
      </w:r>
      <w:r w:rsidR="00B549B3" w:rsidRPr="00916C68">
        <w:rPr>
          <w:rFonts w:ascii="Arial" w:eastAsia="Calibri" w:hAnsi="Arial" w:cs="Arial"/>
          <w:color w:val="000000" w:themeColor="text1"/>
          <w:sz w:val="22"/>
          <w:lang w:val="es-ES_tradnl"/>
        </w:rPr>
        <w:t>señor Fuentes</w:t>
      </w:r>
      <w:r w:rsidRPr="00916C68">
        <w:rPr>
          <w:rFonts w:ascii="Arial" w:eastAsia="Calibri" w:hAnsi="Arial" w:cs="Arial"/>
          <w:color w:val="000000" w:themeColor="text1"/>
          <w:sz w:val="22"/>
          <w:lang w:val="es-ES_tradnl"/>
        </w:rPr>
        <w:t>:</w:t>
      </w:r>
    </w:p>
    <w:p w14:paraId="1EAE5543" w14:textId="77777777" w:rsidR="00DD5B04" w:rsidRPr="00916C68" w:rsidRDefault="00DD5B04" w:rsidP="00DF76A2">
      <w:pPr>
        <w:jc w:val="both"/>
        <w:rPr>
          <w:rFonts w:ascii="Arial" w:eastAsia="Calibri" w:hAnsi="Arial" w:cs="Arial"/>
          <w:color w:val="000000" w:themeColor="text1"/>
          <w:sz w:val="22"/>
          <w:lang w:val="es-ES_tradnl"/>
        </w:rPr>
      </w:pPr>
    </w:p>
    <w:p w14:paraId="2109B2D3" w14:textId="573CF191" w:rsidR="00DD5B04" w:rsidRPr="00916C68" w:rsidRDefault="00DD5B04" w:rsidP="00DF76A2">
      <w:pPr>
        <w:spacing w:line="276" w:lineRule="auto"/>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916C68">
        <w:rPr>
          <w:rFonts w:ascii="Arial" w:eastAsia="Calibri" w:hAnsi="Arial" w:cs="Arial"/>
          <w:color w:val="000000" w:themeColor="text1"/>
          <w:sz w:val="22"/>
          <w:lang w:val="es-ES_tradnl"/>
        </w:rPr>
        <w:t xml:space="preserve"> </w:t>
      </w:r>
      <w:r w:rsidRPr="00916C68">
        <w:rPr>
          <w:rFonts w:ascii="Arial" w:eastAsia="Calibri" w:hAnsi="Arial" w:cs="Arial"/>
          <w:color w:val="000000" w:themeColor="text1"/>
          <w:sz w:val="22"/>
          <w:lang w:val="es-ES_tradnl"/>
        </w:rPr>
        <w:t xml:space="preserve">responde su consulta del </w:t>
      </w:r>
      <w:r w:rsidR="002F5208" w:rsidRPr="00916C68">
        <w:rPr>
          <w:rFonts w:ascii="Arial" w:eastAsia="Calibri" w:hAnsi="Arial" w:cs="Arial"/>
          <w:color w:val="000000" w:themeColor="text1"/>
          <w:sz w:val="22"/>
          <w:lang w:val="es-ES_tradnl"/>
        </w:rPr>
        <w:t>1</w:t>
      </w:r>
      <w:r w:rsidR="003C3251" w:rsidRPr="00916C68">
        <w:rPr>
          <w:rFonts w:ascii="Arial" w:eastAsia="Calibri" w:hAnsi="Arial" w:cs="Arial"/>
          <w:color w:val="000000" w:themeColor="text1"/>
          <w:sz w:val="22"/>
          <w:lang w:val="es-ES_tradnl"/>
        </w:rPr>
        <w:t>9</w:t>
      </w:r>
      <w:r w:rsidR="00FD4AF3" w:rsidRPr="00916C68">
        <w:rPr>
          <w:rFonts w:ascii="Arial" w:eastAsia="Calibri" w:hAnsi="Arial" w:cs="Arial"/>
          <w:color w:val="000000" w:themeColor="text1"/>
          <w:sz w:val="22"/>
          <w:lang w:val="es-ES_tradnl"/>
        </w:rPr>
        <w:t xml:space="preserve"> de </w:t>
      </w:r>
      <w:r w:rsidR="002F5208" w:rsidRPr="00916C68">
        <w:rPr>
          <w:rFonts w:ascii="Arial" w:eastAsia="Calibri" w:hAnsi="Arial" w:cs="Arial"/>
          <w:color w:val="000000" w:themeColor="text1"/>
          <w:sz w:val="22"/>
          <w:lang w:val="es-ES_tradnl"/>
        </w:rPr>
        <w:t>abril</w:t>
      </w:r>
      <w:r w:rsidRPr="00916C68">
        <w:rPr>
          <w:rFonts w:ascii="Arial" w:eastAsia="Calibri" w:hAnsi="Arial" w:cs="Arial"/>
          <w:color w:val="000000" w:themeColor="text1"/>
          <w:sz w:val="22"/>
          <w:lang w:val="es-ES_tradnl"/>
        </w:rPr>
        <w:t xml:space="preserve"> del</w:t>
      </w:r>
      <w:r w:rsidR="007E74BF" w:rsidRPr="00916C68">
        <w:rPr>
          <w:rFonts w:ascii="Arial" w:eastAsia="Calibri" w:hAnsi="Arial" w:cs="Arial"/>
          <w:color w:val="000000" w:themeColor="text1"/>
          <w:sz w:val="22"/>
          <w:lang w:val="es-ES_tradnl"/>
        </w:rPr>
        <w:t xml:space="preserve"> </w:t>
      </w:r>
      <w:r w:rsidRPr="00916C68">
        <w:rPr>
          <w:rFonts w:ascii="Arial" w:eastAsia="Calibri" w:hAnsi="Arial" w:cs="Arial"/>
          <w:color w:val="000000" w:themeColor="text1"/>
          <w:sz w:val="22"/>
          <w:lang w:val="es-ES_tradnl"/>
        </w:rPr>
        <w:t>202</w:t>
      </w:r>
      <w:r w:rsidR="00FB0880" w:rsidRPr="00916C68">
        <w:rPr>
          <w:rFonts w:ascii="Arial" w:eastAsia="Calibri" w:hAnsi="Arial" w:cs="Arial"/>
          <w:color w:val="000000" w:themeColor="text1"/>
          <w:sz w:val="22"/>
          <w:lang w:val="es-ES_tradnl"/>
        </w:rPr>
        <w:t>1</w:t>
      </w:r>
      <w:r w:rsidR="008C3C57" w:rsidRPr="00916C68">
        <w:rPr>
          <w:rFonts w:ascii="Arial" w:eastAsia="Calibri" w:hAnsi="Arial" w:cs="Arial"/>
          <w:color w:val="000000" w:themeColor="text1"/>
          <w:sz w:val="22"/>
          <w:lang w:val="es-ES_tradnl"/>
        </w:rPr>
        <w:t>.</w:t>
      </w:r>
    </w:p>
    <w:p w14:paraId="0C1E0712" w14:textId="77777777" w:rsidR="00DD5B04" w:rsidRPr="00916C6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16C6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16C68">
        <w:rPr>
          <w:rFonts w:ascii="Arial" w:eastAsia="Calibri" w:hAnsi="Arial" w:cs="Arial"/>
          <w:b/>
          <w:color w:val="000000" w:themeColor="text1"/>
          <w:sz w:val="22"/>
          <w:lang w:val="es-ES_tradnl"/>
        </w:rPr>
        <w:t xml:space="preserve">Problema planteado </w:t>
      </w:r>
    </w:p>
    <w:p w14:paraId="224B43D3" w14:textId="77777777" w:rsidR="00DD5B04" w:rsidRPr="00916C6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59EE20C" w14:textId="1F142DA7" w:rsidR="00443B55" w:rsidRPr="00916C68" w:rsidRDefault="00DD5B04" w:rsidP="0099583D">
      <w:pPr>
        <w:spacing w:line="276" w:lineRule="auto"/>
        <w:jc w:val="both"/>
        <w:rPr>
          <w:rFonts w:ascii="Arial" w:hAnsi="Arial" w:cs="Arial"/>
          <w:color w:val="000000" w:themeColor="text1"/>
          <w:sz w:val="22"/>
          <w:lang w:val="es-ES_tradnl"/>
        </w:rPr>
      </w:pPr>
      <w:r w:rsidRPr="00916C68">
        <w:rPr>
          <w:rFonts w:ascii="Arial" w:hAnsi="Arial" w:cs="Arial"/>
          <w:color w:val="000000" w:themeColor="text1"/>
          <w:sz w:val="22"/>
          <w:lang w:val="es-ES_tradnl"/>
        </w:rPr>
        <w:t xml:space="preserve">Usted </w:t>
      </w:r>
      <w:r w:rsidR="00B422C0" w:rsidRPr="00916C68">
        <w:rPr>
          <w:rFonts w:ascii="Arial" w:hAnsi="Arial" w:cs="Arial"/>
          <w:color w:val="000000" w:themeColor="text1"/>
          <w:sz w:val="22"/>
          <w:lang w:val="es-ES_tradnl"/>
        </w:rPr>
        <w:t>formula</w:t>
      </w:r>
      <w:r w:rsidR="006D46A3" w:rsidRPr="00916C68">
        <w:rPr>
          <w:rFonts w:ascii="Arial" w:hAnsi="Arial" w:cs="Arial"/>
          <w:color w:val="000000" w:themeColor="text1"/>
          <w:sz w:val="22"/>
          <w:lang w:val="es-ES_tradnl"/>
        </w:rPr>
        <w:t xml:space="preserve"> la siguiente</w:t>
      </w:r>
      <w:r w:rsidR="00C028F5" w:rsidRPr="00916C68">
        <w:rPr>
          <w:rFonts w:ascii="Arial" w:hAnsi="Arial" w:cs="Arial"/>
          <w:color w:val="000000" w:themeColor="text1"/>
          <w:sz w:val="22"/>
          <w:lang w:val="es-ES_tradnl"/>
        </w:rPr>
        <w:t xml:space="preserve"> </w:t>
      </w:r>
      <w:r w:rsidR="002679AB" w:rsidRPr="00916C68">
        <w:rPr>
          <w:rFonts w:ascii="Arial" w:hAnsi="Arial" w:cs="Arial"/>
          <w:color w:val="000000" w:themeColor="text1"/>
          <w:sz w:val="22"/>
          <w:lang w:val="es-ES_tradnl"/>
        </w:rPr>
        <w:t>consulta</w:t>
      </w:r>
      <w:r w:rsidR="00FB0880" w:rsidRPr="00916C68">
        <w:rPr>
          <w:rFonts w:ascii="Arial" w:hAnsi="Arial" w:cs="Arial"/>
          <w:color w:val="000000" w:themeColor="text1"/>
          <w:sz w:val="22"/>
          <w:lang w:val="es-ES_tradnl"/>
        </w:rPr>
        <w:t xml:space="preserve">, relacionada </w:t>
      </w:r>
      <w:r w:rsidR="00877E1A" w:rsidRPr="00916C68">
        <w:rPr>
          <w:rFonts w:ascii="Arial" w:hAnsi="Arial" w:cs="Arial"/>
          <w:color w:val="000000" w:themeColor="text1"/>
          <w:sz w:val="22"/>
          <w:lang w:val="es-ES_tradnl"/>
        </w:rPr>
        <w:t xml:space="preserve">con el ámbito de aplicación de la Ley 2022 de 2020 y su alcance: </w:t>
      </w:r>
    </w:p>
    <w:p w14:paraId="2673D334" w14:textId="77777777" w:rsidR="00AD0D42" w:rsidRPr="00916C68" w:rsidRDefault="00AD0D42" w:rsidP="0099583D">
      <w:pPr>
        <w:spacing w:line="276" w:lineRule="auto"/>
        <w:jc w:val="both"/>
        <w:rPr>
          <w:rFonts w:ascii="Arial" w:hAnsi="Arial" w:cs="Arial"/>
          <w:color w:val="000000" w:themeColor="text1"/>
          <w:sz w:val="22"/>
          <w:lang w:val="es-ES_tradnl"/>
        </w:rPr>
      </w:pPr>
    </w:p>
    <w:p w14:paraId="794C1E6C" w14:textId="77777777" w:rsidR="00B35F1B" w:rsidRPr="00916C68" w:rsidRDefault="00F0435D" w:rsidP="00916C68">
      <w:pPr>
        <w:spacing w:after="120"/>
        <w:ind w:left="709" w:right="709"/>
        <w:jc w:val="both"/>
        <w:rPr>
          <w:rFonts w:ascii="Arial" w:hAnsi="Arial" w:cs="Arial"/>
          <w:sz w:val="21"/>
          <w:szCs w:val="21"/>
        </w:rPr>
      </w:pPr>
      <w:r w:rsidRPr="00916C68">
        <w:rPr>
          <w:rFonts w:ascii="Arial" w:hAnsi="Arial" w:cs="Arial"/>
          <w:color w:val="000000" w:themeColor="text1"/>
          <w:sz w:val="21"/>
          <w:szCs w:val="21"/>
          <w:lang w:val="es-ES_tradnl"/>
        </w:rPr>
        <w:t>«</w:t>
      </w:r>
      <w:r w:rsidR="00B35F1B" w:rsidRPr="00916C68">
        <w:rPr>
          <w:rFonts w:ascii="Arial" w:hAnsi="Arial" w:cs="Arial"/>
          <w:sz w:val="21"/>
          <w:szCs w:val="21"/>
        </w:rPr>
        <w:t xml:space="preserve">1.- Si la Ley 2022 de 2020 derogó tácitamente la Ley 1523 de 2012 y si lo hizo que artículos fueron derogados. </w:t>
      </w:r>
    </w:p>
    <w:p w14:paraId="7315E5ED" w14:textId="77777777" w:rsidR="00B35F1B" w:rsidRPr="00916C68" w:rsidRDefault="00B35F1B" w:rsidP="00916C68">
      <w:pPr>
        <w:spacing w:after="120"/>
        <w:ind w:left="709" w:right="709"/>
        <w:jc w:val="both"/>
        <w:rPr>
          <w:rFonts w:ascii="Arial" w:hAnsi="Arial" w:cs="Arial"/>
          <w:sz w:val="21"/>
          <w:szCs w:val="21"/>
        </w:rPr>
      </w:pPr>
      <w:r w:rsidRPr="00916C68">
        <w:rPr>
          <w:rFonts w:ascii="Arial" w:hAnsi="Arial" w:cs="Arial"/>
          <w:sz w:val="21"/>
          <w:szCs w:val="21"/>
        </w:rPr>
        <w:t xml:space="preserve">2.- Las Resoluciones emanadas de Colombia Compra Eficiente, Regulatorias de los pliegos tipo, además de las especificaciones y glosario de la misma entidad, son obligatorias para las otras modalidades de contratación y/o especificaciones técnicas regladas en otras normas y/o glosario técnico internacional y/o bienes y servicios no especificados en las Resoluciones regulatorias? </w:t>
      </w:r>
    </w:p>
    <w:p w14:paraId="79D0132C" w14:textId="68C00942" w:rsidR="004275A7" w:rsidRPr="00916C68" w:rsidRDefault="00B35F1B" w:rsidP="00B35F1B">
      <w:pPr>
        <w:ind w:left="709" w:right="709"/>
        <w:jc w:val="both"/>
        <w:rPr>
          <w:rFonts w:ascii="Arial" w:hAnsi="Arial" w:cs="Arial"/>
          <w:color w:val="000000" w:themeColor="text1"/>
          <w:sz w:val="21"/>
          <w:szCs w:val="21"/>
          <w:lang w:val="es-ES_tradnl"/>
        </w:rPr>
      </w:pPr>
      <w:r w:rsidRPr="00916C68">
        <w:rPr>
          <w:rFonts w:ascii="Arial" w:hAnsi="Arial" w:cs="Arial"/>
          <w:sz w:val="21"/>
          <w:szCs w:val="21"/>
        </w:rPr>
        <w:lastRenderedPageBreak/>
        <w:t>3.- Toda obra de diseño y/o construcción del conjunto de obras de contención, movimiento de tierras, obras de drenaje superficiales y subsuperficiales y obras de protección requeridas para garantizar la estabilidad de taludes de corte, terraplén y laderas naturales, diferentes a las viales, también se hacen por pliegos tipo? ¿En caso afirmativo, cual es la norma para su aplicación?</w:t>
      </w:r>
      <w:r w:rsidR="006D4AB2" w:rsidRPr="00916C68">
        <w:rPr>
          <w:rFonts w:ascii="Arial" w:hAnsi="Arial" w:cs="Arial"/>
          <w:color w:val="000000" w:themeColor="text1"/>
          <w:sz w:val="21"/>
          <w:szCs w:val="21"/>
          <w:lang w:val="es-ES_tradnl"/>
        </w:rPr>
        <w:t>»</w:t>
      </w:r>
      <w:r w:rsidR="00AC46B0" w:rsidRPr="00916C68">
        <w:rPr>
          <w:rFonts w:ascii="Arial" w:hAnsi="Arial" w:cs="Arial"/>
          <w:color w:val="000000" w:themeColor="text1"/>
          <w:sz w:val="21"/>
          <w:szCs w:val="21"/>
          <w:lang w:val="es-ES_tradnl"/>
        </w:rPr>
        <w:t xml:space="preserve">. </w:t>
      </w:r>
    </w:p>
    <w:p w14:paraId="0EA7C998" w14:textId="55ED9652" w:rsidR="006D4AB2" w:rsidRPr="00916C68" w:rsidRDefault="006D4AB2" w:rsidP="006D4AB2">
      <w:pPr>
        <w:ind w:left="709" w:right="709"/>
        <w:jc w:val="both"/>
        <w:rPr>
          <w:rFonts w:ascii="Arial" w:hAnsi="Arial" w:cs="Arial"/>
          <w:color w:val="000000" w:themeColor="text1"/>
          <w:sz w:val="21"/>
          <w:szCs w:val="21"/>
          <w:lang w:val="es-ES_tradnl"/>
        </w:rPr>
      </w:pPr>
    </w:p>
    <w:p w14:paraId="124D2DCA" w14:textId="77777777" w:rsidR="00DD5B04" w:rsidRPr="00916C6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16C68">
        <w:rPr>
          <w:rFonts w:ascii="Arial" w:eastAsia="Calibri" w:hAnsi="Arial" w:cs="Arial"/>
          <w:b/>
          <w:color w:val="000000" w:themeColor="text1"/>
          <w:sz w:val="22"/>
          <w:lang w:val="es-ES_tradnl"/>
        </w:rPr>
        <w:t>Consideraciones</w:t>
      </w:r>
    </w:p>
    <w:p w14:paraId="7D050D2E" w14:textId="77777777" w:rsidR="00435703" w:rsidRPr="00916C68" w:rsidRDefault="00435703" w:rsidP="00DF76A2">
      <w:pPr>
        <w:spacing w:line="276" w:lineRule="auto"/>
        <w:jc w:val="both"/>
        <w:rPr>
          <w:rFonts w:ascii="Arial" w:eastAsia="Calibri" w:hAnsi="Arial" w:cs="Arial"/>
          <w:color w:val="000000" w:themeColor="text1"/>
          <w:sz w:val="22"/>
          <w:szCs w:val="22"/>
          <w:lang w:val="es-ES_tradnl"/>
        </w:rPr>
      </w:pPr>
    </w:p>
    <w:p w14:paraId="305BC2F1" w14:textId="36A9E789" w:rsidR="003C4317" w:rsidRPr="00916C68" w:rsidRDefault="008E30C4" w:rsidP="00916C68">
      <w:pPr>
        <w:spacing w:after="120" w:line="276" w:lineRule="auto"/>
        <w:jc w:val="both"/>
        <w:rPr>
          <w:rFonts w:ascii="Arial" w:hAnsi="Arial" w:cs="Arial"/>
          <w:sz w:val="22"/>
        </w:rPr>
      </w:pPr>
      <w:r w:rsidRPr="00916C68">
        <w:rPr>
          <w:rFonts w:ascii="Arial" w:eastAsia="Calibri" w:hAnsi="Arial" w:cs="Arial"/>
          <w:color w:val="000000" w:themeColor="text1"/>
          <w:sz w:val="22"/>
          <w:szCs w:val="22"/>
          <w:lang w:val="es-ES_tradnl"/>
        </w:rPr>
        <w:t xml:space="preserve">La </w:t>
      </w:r>
      <w:r w:rsidR="000A600A" w:rsidRPr="00916C68">
        <w:rPr>
          <w:rFonts w:ascii="Arial" w:eastAsia="Calibri" w:hAnsi="Arial" w:cs="Arial"/>
          <w:color w:val="000000" w:themeColor="text1"/>
          <w:sz w:val="22"/>
          <w:szCs w:val="22"/>
          <w:lang w:val="es-ES_tradnl"/>
        </w:rPr>
        <w:t xml:space="preserve">Agencia Nacional de Contratación Pública – Colombia Compra Eficiente </w:t>
      </w:r>
      <w:r w:rsidRPr="00916C68">
        <w:rPr>
          <w:rFonts w:ascii="Arial" w:eastAsia="Calibri" w:hAnsi="Arial" w:cs="Arial"/>
          <w:color w:val="000000" w:themeColor="text1"/>
          <w:sz w:val="22"/>
          <w:szCs w:val="22"/>
          <w:lang w:val="es-ES_tradnl"/>
        </w:rPr>
        <w:t xml:space="preserve">responderá </w:t>
      </w:r>
      <w:r w:rsidR="00271230" w:rsidRPr="00916C68">
        <w:rPr>
          <w:rFonts w:ascii="Arial" w:eastAsia="Calibri" w:hAnsi="Arial" w:cs="Arial"/>
          <w:color w:val="000000" w:themeColor="text1"/>
          <w:sz w:val="22"/>
          <w:szCs w:val="22"/>
          <w:lang w:val="es-ES_tradnl"/>
        </w:rPr>
        <w:t>la consulta</w:t>
      </w:r>
      <w:r w:rsidRPr="00916C68">
        <w:rPr>
          <w:rFonts w:ascii="Arial" w:eastAsia="Calibri" w:hAnsi="Arial" w:cs="Arial"/>
          <w:color w:val="000000" w:themeColor="text1"/>
          <w:sz w:val="22"/>
          <w:szCs w:val="22"/>
          <w:lang w:val="es-ES_tradnl"/>
        </w:rPr>
        <w:t xml:space="preserve">, </w:t>
      </w:r>
      <w:r w:rsidR="00271230" w:rsidRPr="00916C68">
        <w:rPr>
          <w:rFonts w:ascii="Arial" w:eastAsia="Calibri" w:hAnsi="Arial" w:cs="Arial"/>
          <w:color w:val="000000" w:themeColor="text1"/>
          <w:sz w:val="22"/>
          <w:szCs w:val="22"/>
          <w:lang w:val="es-ES_tradnl"/>
        </w:rPr>
        <w:t>luego de analizar los</w:t>
      </w:r>
      <w:r w:rsidR="00822EC4" w:rsidRPr="00916C68">
        <w:rPr>
          <w:rFonts w:ascii="Arial" w:eastAsia="Calibri" w:hAnsi="Arial" w:cs="Arial"/>
          <w:color w:val="000000" w:themeColor="text1"/>
          <w:sz w:val="22"/>
          <w:szCs w:val="22"/>
          <w:lang w:val="es-ES_tradnl"/>
        </w:rPr>
        <w:t xml:space="preserve"> siguientes temas: </w:t>
      </w:r>
      <w:r w:rsidR="00833ADA" w:rsidRPr="00916C68">
        <w:rPr>
          <w:rFonts w:ascii="Arial" w:eastAsia="Calibri" w:hAnsi="Arial" w:cs="Arial"/>
          <w:color w:val="000000" w:themeColor="text1"/>
          <w:sz w:val="22"/>
          <w:szCs w:val="22"/>
          <w:lang w:val="es-ES_tradnl"/>
        </w:rPr>
        <w:t>i)</w:t>
      </w:r>
      <w:r w:rsidR="00E60D8D" w:rsidRPr="00916C68">
        <w:rPr>
          <w:rFonts w:ascii="Arial" w:eastAsia="Calibri" w:hAnsi="Arial" w:cs="Arial"/>
          <w:color w:val="000000" w:themeColor="text1"/>
          <w:sz w:val="22"/>
          <w:szCs w:val="22"/>
          <w:lang w:val="es-ES_tradnl"/>
        </w:rPr>
        <w:t xml:space="preserve"> </w:t>
      </w:r>
      <w:r w:rsidR="00877E1A" w:rsidRPr="00916C68">
        <w:rPr>
          <w:rFonts w:ascii="Arial" w:eastAsia="Calibri" w:hAnsi="Arial" w:cs="Arial"/>
          <w:color w:val="000000" w:themeColor="text1"/>
          <w:sz w:val="22"/>
          <w:szCs w:val="22"/>
          <w:lang w:val="es-ES_tradnl"/>
        </w:rPr>
        <w:t xml:space="preserve">ámbito de aplicación </w:t>
      </w:r>
      <w:r w:rsidR="00A00BEF" w:rsidRPr="00916C68">
        <w:rPr>
          <w:rFonts w:ascii="Arial" w:eastAsia="Calibri" w:hAnsi="Arial" w:cs="Arial"/>
          <w:color w:val="000000" w:themeColor="text1"/>
          <w:sz w:val="22"/>
          <w:szCs w:val="22"/>
          <w:lang w:val="es-ES_tradnl"/>
        </w:rPr>
        <w:t xml:space="preserve">de la </w:t>
      </w:r>
      <w:r w:rsidR="00877E1A" w:rsidRPr="00916C68">
        <w:rPr>
          <w:rFonts w:ascii="Arial" w:eastAsia="Calibri" w:hAnsi="Arial" w:cs="Arial"/>
          <w:color w:val="000000" w:themeColor="text1"/>
          <w:sz w:val="22"/>
          <w:szCs w:val="22"/>
          <w:lang w:val="es-ES_tradnl"/>
        </w:rPr>
        <w:t>L</w:t>
      </w:r>
      <w:r w:rsidR="00A00BEF" w:rsidRPr="00916C68">
        <w:rPr>
          <w:rFonts w:ascii="Arial" w:eastAsia="Calibri" w:hAnsi="Arial" w:cs="Arial"/>
          <w:color w:val="000000" w:themeColor="text1"/>
          <w:sz w:val="22"/>
          <w:szCs w:val="22"/>
          <w:lang w:val="es-ES_tradnl"/>
        </w:rPr>
        <w:t>ey 2022 de 2020</w:t>
      </w:r>
      <w:r w:rsidR="00EE3295" w:rsidRPr="00916C68">
        <w:rPr>
          <w:rFonts w:ascii="Arial" w:eastAsia="Calibri" w:hAnsi="Arial" w:cs="Arial"/>
          <w:color w:val="000000" w:themeColor="text1"/>
          <w:sz w:val="22"/>
          <w:szCs w:val="22"/>
          <w:lang w:val="es-ES_tradnl"/>
        </w:rPr>
        <w:t xml:space="preserve">; ii) </w:t>
      </w:r>
      <w:r w:rsidR="00220B61" w:rsidRPr="00916C68">
        <w:rPr>
          <w:rFonts w:ascii="Arial" w:eastAsia="Calibri" w:hAnsi="Arial" w:cs="Arial"/>
          <w:color w:val="000000" w:themeColor="text1"/>
          <w:sz w:val="22"/>
          <w:szCs w:val="22"/>
          <w:lang w:val="es-ES_tradnl"/>
        </w:rPr>
        <w:t xml:space="preserve"> </w:t>
      </w:r>
      <w:r w:rsidR="00805C1F" w:rsidRPr="00916C68">
        <w:rPr>
          <w:rFonts w:ascii="Arial" w:eastAsia="Calibri" w:hAnsi="Arial" w:cs="Arial"/>
          <w:bCs/>
          <w:i/>
          <w:iCs/>
          <w:color w:val="000000" w:themeColor="text1"/>
          <w:sz w:val="22"/>
          <w:lang w:val="es-ES_tradnl"/>
        </w:rPr>
        <w:t>s</w:t>
      </w:r>
      <w:r w:rsidR="00A00BEF" w:rsidRPr="00916C68">
        <w:rPr>
          <w:rFonts w:ascii="Arial" w:eastAsia="Calibri" w:hAnsi="Arial" w:cs="Arial"/>
          <w:bCs/>
          <w:i/>
          <w:iCs/>
          <w:color w:val="000000" w:themeColor="text1"/>
          <w:sz w:val="22"/>
          <w:lang w:val="es-ES_tradnl"/>
        </w:rPr>
        <w:t>ituación de desastre</w:t>
      </w:r>
      <w:r w:rsidR="00A00BEF" w:rsidRPr="00916C68">
        <w:rPr>
          <w:rFonts w:ascii="Arial" w:eastAsia="Calibri" w:hAnsi="Arial" w:cs="Arial"/>
          <w:bCs/>
          <w:color w:val="000000" w:themeColor="text1"/>
          <w:sz w:val="22"/>
          <w:lang w:val="es-ES_tradnl"/>
        </w:rPr>
        <w:t xml:space="preserve"> y de </w:t>
      </w:r>
      <w:r w:rsidR="00A00BEF" w:rsidRPr="00916C68">
        <w:rPr>
          <w:rFonts w:ascii="Arial" w:eastAsia="Calibri" w:hAnsi="Arial" w:cs="Arial"/>
          <w:bCs/>
          <w:i/>
          <w:iCs/>
          <w:color w:val="000000" w:themeColor="text1"/>
          <w:sz w:val="22"/>
          <w:lang w:val="es-ES_tradnl"/>
        </w:rPr>
        <w:t>calamidad pública</w:t>
      </w:r>
      <w:r w:rsidR="00A00BC2" w:rsidRPr="00916C68">
        <w:rPr>
          <w:rFonts w:ascii="Arial" w:eastAsia="Calibri" w:hAnsi="Arial" w:cs="Arial"/>
          <w:bCs/>
          <w:color w:val="000000" w:themeColor="text1"/>
          <w:sz w:val="22"/>
          <w:lang w:val="es-ES_tradnl"/>
        </w:rPr>
        <w:t xml:space="preserve"> como </w:t>
      </w:r>
      <w:r w:rsidR="00A00BEF" w:rsidRPr="00916C68">
        <w:rPr>
          <w:rFonts w:ascii="Arial" w:eastAsia="Calibri" w:hAnsi="Arial" w:cs="Arial"/>
          <w:bCs/>
          <w:color w:val="000000" w:themeColor="text1"/>
          <w:sz w:val="22"/>
          <w:lang w:val="es-ES_tradnl"/>
        </w:rPr>
        <w:t>supuesto</w:t>
      </w:r>
      <w:r w:rsidR="00805C1F" w:rsidRPr="00916C68">
        <w:rPr>
          <w:rFonts w:ascii="Arial" w:eastAsia="Calibri" w:hAnsi="Arial" w:cs="Arial"/>
          <w:bCs/>
          <w:color w:val="000000" w:themeColor="text1"/>
          <w:sz w:val="22"/>
          <w:lang w:val="es-ES_tradnl"/>
        </w:rPr>
        <w:t>s</w:t>
      </w:r>
      <w:r w:rsidR="00A00BEF" w:rsidRPr="00916C68">
        <w:rPr>
          <w:rFonts w:ascii="Arial" w:eastAsia="Calibri" w:hAnsi="Arial" w:cs="Arial"/>
          <w:bCs/>
          <w:color w:val="000000" w:themeColor="text1"/>
          <w:sz w:val="22"/>
          <w:lang w:val="es-ES_tradnl"/>
        </w:rPr>
        <w:t xml:space="preserve"> </w:t>
      </w:r>
      <w:r w:rsidR="00A00BC2" w:rsidRPr="00916C68">
        <w:rPr>
          <w:rFonts w:ascii="Arial" w:eastAsia="Calibri" w:hAnsi="Arial" w:cs="Arial"/>
          <w:bCs/>
          <w:color w:val="000000" w:themeColor="text1"/>
          <w:sz w:val="22"/>
          <w:lang w:val="es-ES_tradnl"/>
        </w:rPr>
        <w:t>de</w:t>
      </w:r>
      <w:r w:rsidR="00A00BEF" w:rsidRPr="00916C68">
        <w:rPr>
          <w:rFonts w:ascii="Arial" w:eastAsia="Calibri" w:hAnsi="Arial" w:cs="Arial"/>
          <w:bCs/>
          <w:color w:val="000000" w:themeColor="text1"/>
          <w:sz w:val="22"/>
          <w:lang w:val="es-ES_tradnl"/>
        </w:rPr>
        <w:t xml:space="preserve"> urgencia manifiesta </w:t>
      </w:r>
      <w:r w:rsidR="00A00BC2" w:rsidRPr="00916C68">
        <w:rPr>
          <w:rFonts w:ascii="Arial" w:eastAsia="Calibri" w:hAnsi="Arial" w:cs="Arial"/>
          <w:bCs/>
          <w:color w:val="000000" w:themeColor="text1"/>
          <w:sz w:val="22"/>
          <w:lang w:val="es-ES_tradnl"/>
        </w:rPr>
        <w:t>y</w:t>
      </w:r>
      <w:r w:rsidR="00A00BEF" w:rsidRPr="00916C68">
        <w:rPr>
          <w:rFonts w:ascii="Arial" w:eastAsia="Calibri" w:hAnsi="Arial" w:cs="Arial"/>
          <w:bCs/>
          <w:color w:val="000000" w:themeColor="text1"/>
          <w:sz w:val="22"/>
          <w:lang w:val="es-ES_tradnl"/>
        </w:rPr>
        <w:t xml:space="preserve"> exclusión parcial del régimen de contratación de la Administración pública; </w:t>
      </w:r>
      <w:r w:rsidR="00A00BC2" w:rsidRPr="00916C68">
        <w:rPr>
          <w:rFonts w:ascii="Arial" w:eastAsia="Calibri" w:hAnsi="Arial" w:cs="Arial"/>
          <w:bCs/>
          <w:color w:val="000000" w:themeColor="text1"/>
          <w:sz w:val="22"/>
          <w:lang w:val="es-ES_tradnl"/>
        </w:rPr>
        <w:t>iii</w:t>
      </w:r>
      <w:r w:rsidR="00A00BEF" w:rsidRPr="00916C68">
        <w:rPr>
          <w:rFonts w:ascii="Arial" w:eastAsia="Calibri" w:hAnsi="Arial" w:cs="Arial"/>
          <w:bCs/>
          <w:color w:val="000000" w:themeColor="text1"/>
          <w:sz w:val="22"/>
          <w:lang w:val="es-ES_tradnl"/>
        </w:rPr>
        <w:t xml:space="preserve">) </w:t>
      </w:r>
      <w:r w:rsidR="00805C1F" w:rsidRPr="00916C68">
        <w:rPr>
          <w:rFonts w:ascii="Arial" w:eastAsia="Calibri" w:hAnsi="Arial" w:cs="Arial"/>
          <w:bCs/>
          <w:color w:val="000000" w:themeColor="text1"/>
          <w:sz w:val="22"/>
          <w:lang w:val="es-ES_tradnl"/>
        </w:rPr>
        <w:t>alcance de la actividad consagrada en el numeral 4 de la «Matriz 1 – Experiencia» de los documentos tipo de infraestructura de transporte; y iv) obras y servicios adicionales a la infraestructura de transporte</w:t>
      </w:r>
      <w:r w:rsidR="00756F05" w:rsidRPr="00916C68">
        <w:rPr>
          <w:rFonts w:ascii="Arial" w:hAnsi="Arial" w:cs="Arial"/>
          <w:sz w:val="22"/>
        </w:rPr>
        <w:t xml:space="preserve">. </w:t>
      </w:r>
    </w:p>
    <w:p w14:paraId="2E0BCCC1" w14:textId="77777777" w:rsidR="00FB5C55" w:rsidRPr="00916C68" w:rsidRDefault="00561F12" w:rsidP="00916C68">
      <w:pPr>
        <w:spacing w:after="120" w:line="276" w:lineRule="auto"/>
        <w:ind w:firstLine="709"/>
        <w:jc w:val="both"/>
        <w:rPr>
          <w:rFonts w:ascii="Arial" w:hAnsi="Arial" w:cs="Arial"/>
          <w:color w:val="000000" w:themeColor="text1"/>
          <w:sz w:val="22"/>
        </w:rPr>
      </w:pPr>
      <w:r w:rsidRPr="00916C68">
        <w:rPr>
          <w:rFonts w:ascii="Arial" w:hAnsi="Arial" w:cs="Arial"/>
          <w:color w:val="000000" w:themeColor="text1"/>
          <w:sz w:val="22"/>
        </w:rPr>
        <w:t>La Agencia Nacional de Contratación Pública – Colombia Compra Eficiente se refirió al alcance de la Ley 2022 de 2020 en los conceptos C-076 de 2021, C – 112 de 7 de abril de 2021, y C – 108 de 29 de marzo de 2021.</w:t>
      </w:r>
      <w:r w:rsidR="00851FC9" w:rsidRPr="00916C68">
        <w:rPr>
          <w:rFonts w:ascii="Arial" w:hAnsi="Arial" w:cs="Arial"/>
          <w:color w:val="000000" w:themeColor="text1"/>
          <w:sz w:val="22"/>
        </w:rPr>
        <w:t xml:space="preserve"> Además, </w:t>
      </w:r>
      <w:r w:rsidR="00851FC9" w:rsidRPr="00916C68">
        <w:rPr>
          <w:rFonts w:ascii="Arial" w:eastAsia="Calibri" w:hAnsi="Arial" w:cs="Arial"/>
          <w:color w:val="000000" w:themeColor="text1"/>
          <w:sz w:val="22"/>
          <w:lang w:val="es-ES_tradnl"/>
        </w:rPr>
        <w:t xml:space="preserve">en los conceptos </w:t>
      </w:r>
      <w:r w:rsidR="00851FC9" w:rsidRPr="00916C68">
        <w:rPr>
          <w:rFonts w:ascii="Arial" w:eastAsia="Calibri" w:hAnsi="Arial" w:cs="Arial"/>
          <w:color w:val="000000" w:themeColor="text1"/>
          <w:sz w:val="22"/>
        </w:rPr>
        <w:t xml:space="preserve">C-135, C-241, C-257, C-269 y C-275 del 10 de abril de 2020, </w:t>
      </w:r>
      <w:r w:rsidR="00851FC9" w:rsidRPr="00916C68">
        <w:rPr>
          <w:rFonts w:ascii="Arial" w:eastAsia="Calibri" w:hAnsi="Arial" w:cs="Arial"/>
          <w:color w:val="000000" w:themeColor="text1"/>
          <w:sz w:val="22"/>
          <w:lang w:val="es-ES_tradnl"/>
        </w:rPr>
        <w:t xml:space="preserve">C – 284 de 27 de mayo de 2020, C- 300 de 25 de abril de 2020,  C- 301 de 25 de abril de 2020,  C- 403 de 24 de junio de 2020, </w:t>
      </w:r>
      <w:r w:rsidR="00851FC9" w:rsidRPr="00916C68">
        <w:rPr>
          <w:rFonts w:ascii="Arial" w:eastAsia="Calibri" w:hAnsi="Arial" w:cs="Arial"/>
          <w:color w:val="000000" w:themeColor="text1"/>
          <w:sz w:val="22"/>
        </w:rPr>
        <w:t>explicó que la declaración del estado de emergencia, calamidad pública o desastre no habilitan la contratación directa por sí solas, ya que la causal prevista en el literal a) del numeral 4 del artículo 2 de la Ley 1150 de 2007 requiere la declaratoria de urgencia manifiesta conforme al artículo 42 de la Ley 80 de 1993</w:t>
      </w:r>
      <w:r w:rsidR="0076559A" w:rsidRPr="00916C68">
        <w:rPr>
          <w:rFonts w:ascii="Arial" w:eastAsia="Calibri" w:hAnsi="Arial" w:cs="Arial"/>
          <w:color w:val="000000" w:themeColor="text1"/>
          <w:sz w:val="22"/>
        </w:rPr>
        <w:t>.</w:t>
      </w:r>
      <w:r w:rsidRPr="00916C68">
        <w:rPr>
          <w:rFonts w:ascii="Arial" w:hAnsi="Arial" w:cs="Arial"/>
          <w:color w:val="000000" w:themeColor="text1"/>
          <w:sz w:val="22"/>
        </w:rPr>
        <w:t xml:space="preserve"> </w:t>
      </w:r>
    </w:p>
    <w:p w14:paraId="77800900" w14:textId="01E38C6E" w:rsidR="0038246B" w:rsidRPr="00916C68" w:rsidRDefault="00FB5C55" w:rsidP="00916C68">
      <w:pPr>
        <w:spacing w:after="120" w:line="276" w:lineRule="auto"/>
        <w:ind w:firstLine="708"/>
        <w:jc w:val="both"/>
        <w:rPr>
          <w:rFonts w:ascii="Arial" w:eastAsia="Calibri" w:hAnsi="Arial" w:cs="Arial"/>
          <w:color w:val="000000" w:themeColor="text1"/>
          <w:sz w:val="22"/>
          <w:lang w:val="es-ES"/>
        </w:rPr>
      </w:pPr>
      <w:r w:rsidRPr="00916C68">
        <w:rPr>
          <w:rFonts w:ascii="Arial" w:eastAsia="Calibri" w:hAnsi="Arial" w:cs="Arial"/>
          <w:color w:val="000000" w:themeColor="text1"/>
          <w:sz w:val="22"/>
          <w:lang w:val="es-ES"/>
        </w:rPr>
        <w:t xml:space="preserve">Finalmente, en el concepto No. 4201912000004855 del 13 de agosto de 2019, reiterado y desarrollado en los Conceptos No. 4201912000006117 del 7 de septiembre de 2019, 4201912000005786 del 7 de octubre de 2019,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 C-144 del 2 de marzo de 2020, C-341 del 22 de mayo de 2020, C-596 del 8 de septiembre de 2020, C-588 del 14 de septiembre de 2020, C-440 del 21 de octubre de 2020, C-649 del 27 de octubre de 2020, C-736 del 15 de diciembre 2020 y C-801 del 21 de enero de 2021, C – 109 de 29 de marzo de 2021,  </w:t>
      </w:r>
      <w:r w:rsidR="0038246B" w:rsidRPr="00916C68">
        <w:rPr>
          <w:rFonts w:ascii="Arial" w:eastAsia="Calibri" w:hAnsi="Arial" w:cs="Arial"/>
          <w:color w:val="000000" w:themeColor="text1"/>
          <w:sz w:val="22"/>
          <w:lang w:val="es-ES"/>
        </w:rPr>
        <w:t xml:space="preserve">la Agencia </w:t>
      </w:r>
      <w:r w:rsidRPr="00916C68">
        <w:rPr>
          <w:rFonts w:ascii="Arial" w:eastAsia="Calibri" w:hAnsi="Arial" w:cs="Arial"/>
          <w:color w:val="000000" w:themeColor="text1"/>
          <w:sz w:val="22"/>
          <w:lang w:val="es-ES"/>
        </w:rPr>
        <w:t xml:space="preserve">estudió la posibilidad de solicitar experiencia adicional cuando se trata de bienes o servicios adicionales a la obra pública de </w:t>
      </w:r>
      <w:r w:rsidRPr="00916C68">
        <w:rPr>
          <w:rFonts w:ascii="Arial" w:eastAsia="Calibri" w:hAnsi="Arial" w:cs="Arial"/>
          <w:color w:val="000000" w:themeColor="text1"/>
          <w:sz w:val="22"/>
          <w:lang w:val="es-ES"/>
        </w:rPr>
        <w:lastRenderedPageBreak/>
        <w:t>infraestructura de transporte.</w:t>
      </w:r>
      <w:r w:rsidRPr="00916C68">
        <w:rPr>
          <w:rFonts w:ascii="Arial" w:hAnsi="Arial" w:cs="Arial"/>
          <w:color w:val="000000" w:themeColor="text1"/>
          <w:sz w:val="22"/>
        </w:rPr>
        <w:t xml:space="preserve"> La tesis expuesta en estos conceptos se reitera a continuación y se complementa en lo pertinente:</w:t>
      </w:r>
    </w:p>
    <w:p w14:paraId="42FC7E3E" w14:textId="3A66E0EF" w:rsidR="00A131F8" w:rsidRPr="00916C68" w:rsidRDefault="00A131F8" w:rsidP="00EF2942">
      <w:pPr>
        <w:spacing w:line="276" w:lineRule="auto"/>
        <w:jc w:val="both"/>
        <w:rPr>
          <w:rFonts w:ascii="Arial" w:eastAsia="Calibri" w:hAnsi="Arial" w:cs="Arial"/>
          <w:sz w:val="22"/>
        </w:rPr>
      </w:pPr>
    </w:p>
    <w:p w14:paraId="17D007AB" w14:textId="603BDCA0" w:rsidR="00EE3295" w:rsidRPr="00916C68" w:rsidRDefault="002E3C26" w:rsidP="00EF2942">
      <w:pPr>
        <w:spacing w:line="276" w:lineRule="auto"/>
        <w:jc w:val="both"/>
        <w:rPr>
          <w:rFonts w:ascii="Arial" w:eastAsia="Calibri" w:hAnsi="Arial" w:cs="Arial"/>
          <w:b/>
          <w:bCs/>
          <w:sz w:val="22"/>
        </w:rPr>
      </w:pPr>
      <w:r w:rsidRPr="00916C68">
        <w:rPr>
          <w:rFonts w:ascii="Arial" w:eastAsia="Calibri" w:hAnsi="Arial" w:cs="Arial"/>
          <w:b/>
          <w:bCs/>
          <w:sz w:val="22"/>
        </w:rPr>
        <w:t xml:space="preserve">2.1. </w:t>
      </w:r>
      <w:r w:rsidR="00877E1A" w:rsidRPr="00916C68">
        <w:rPr>
          <w:rFonts w:ascii="Arial" w:eastAsia="Calibri" w:hAnsi="Arial" w:cs="Arial"/>
          <w:b/>
          <w:bCs/>
          <w:sz w:val="22"/>
        </w:rPr>
        <w:t xml:space="preserve">Ámbito de aplicación </w:t>
      </w:r>
      <w:r w:rsidRPr="00916C68">
        <w:rPr>
          <w:rFonts w:ascii="Arial" w:eastAsia="Calibri" w:hAnsi="Arial" w:cs="Arial"/>
          <w:b/>
          <w:bCs/>
          <w:sz w:val="22"/>
        </w:rPr>
        <w:t xml:space="preserve">de la Ley 2022 de 2020 </w:t>
      </w:r>
      <w:r w:rsidR="00A9221C" w:rsidRPr="00916C68">
        <w:rPr>
          <w:rFonts w:ascii="Arial" w:eastAsia="Calibri" w:hAnsi="Arial" w:cs="Arial"/>
          <w:b/>
          <w:bCs/>
          <w:sz w:val="22"/>
        </w:rPr>
        <w:t>en los documentos tipo de obra pública para infraestructura de transporte</w:t>
      </w:r>
    </w:p>
    <w:p w14:paraId="4145C7A2" w14:textId="6DD597FE" w:rsidR="00EE3295" w:rsidRPr="00916C68" w:rsidRDefault="00EE3295" w:rsidP="00EF2942">
      <w:pPr>
        <w:spacing w:line="276" w:lineRule="auto"/>
        <w:jc w:val="both"/>
        <w:rPr>
          <w:rFonts w:ascii="Arial" w:eastAsia="Calibri" w:hAnsi="Arial" w:cs="Arial"/>
          <w:sz w:val="22"/>
        </w:rPr>
      </w:pPr>
    </w:p>
    <w:p w14:paraId="36386678" w14:textId="118EF9D5" w:rsidR="00EA729F" w:rsidRPr="00916C68" w:rsidRDefault="00EA729F" w:rsidP="00EA729F">
      <w:pPr>
        <w:shd w:val="clear" w:color="auto" w:fill="FFFFFF"/>
        <w:spacing w:line="276" w:lineRule="auto"/>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Los pliegos tipo aparecieron en nuestro ordenamiento jurídico en el 2007, cuando el legislador facultó al Gobierno Nacional para adoptarlos en la compra o suministro de bienes de características técnicas uniformes</w:t>
      </w:r>
      <w:r w:rsidRPr="00916C68">
        <w:rPr>
          <w:rStyle w:val="Refdenotaalpie"/>
          <w:rFonts w:ascii="Arial" w:hAnsi="Arial" w:cs="Arial"/>
          <w:color w:val="0D0D0D"/>
          <w:sz w:val="22"/>
          <w:szCs w:val="22"/>
          <w:bdr w:val="none" w:sz="0" w:space="0" w:color="auto" w:frame="1"/>
          <w:lang w:eastAsia="es-CO"/>
        </w:rPr>
        <w:footnoteReference w:id="2"/>
      </w:r>
      <w:r w:rsidRPr="00916C68">
        <w:rPr>
          <w:rFonts w:ascii="Arial" w:hAnsi="Arial" w:cs="Arial"/>
          <w:color w:val="0D0D0D"/>
          <w:sz w:val="22"/>
          <w:szCs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916C68">
        <w:rPr>
          <w:rStyle w:val="Refdenotaalpie"/>
          <w:rFonts w:ascii="Arial" w:hAnsi="Arial" w:cs="Arial"/>
          <w:color w:val="0D0D0D"/>
          <w:sz w:val="22"/>
          <w:szCs w:val="22"/>
          <w:bdr w:val="none" w:sz="0" w:space="0" w:color="auto" w:frame="1"/>
          <w:lang w:eastAsia="es-CO"/>
        </w:rPr>
        <w:footnoteReference w:id="3"/>
      </w:r>
      <w:r w:rsidRPr="00916C68">
        <w:rPr>
          <w:rFonts w:ascii="Arial" w:hAnsi="Arial" w:cs="Arial"/>
          <w:color w:val="0D0D0D"/>
          <w:sz w:val="22"/>
          <w:szCs w:val="22"/>
          <w:bdr w:val="none" w:sz="0" w:space="0" w:color="auto" w:frame="1"/>
          <w:lang w:eastAsia="es-CO"/>
        </w:rPr>
        <w:t>. </w:t>
      </w:r>
    </w:p>
    <w:p w14:paraId="2CBFD2A6" w14:textId="77777777" w:rsidR="00EA729F" w:rsidRPr="00916C68" w:rsidRDefault="00EA729F" w:rsidP="00EA729F">
      <w:pPr>
        <w:shd w:val="clear" w:color="auto" w:fill="FFFFFF"/>
        <w:spacing w:before="120" w:line="276" w:lineRule="auto"/>
        <w:ind w:firstLine="708"/>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916C68">
        <w:rPr>
          <w:rStyle w:val="Refdenotaalpie"/>
          <w:rFonts w:ascii="Arial" w:hAnsi="Arial" w:cs="Arial"/>
          <w:color w:val="0D0D0D"/>
          <w:sz w:val="22"/>
          <w:szCs w:val="22"/>
          <w:bdr w:val="none" w:sz="0" w:space="0" w:color="auto" w:frame="1"/>
          <w:lang w:eastAsia="es-CO"/>
        </w:rPr>
        <w:footnoteReference w:id="4"/>
      </w:r>
      <w:r w:rsidRPr="00916C68">
        <w:rPr>
          <w:rFonts w:ascii="Arial" w:hAnsi="Arial" w:cs="Arial"/>
          <w:color w:val="0D0D0D"/>
          <w:sz w:val="22"/>
          <w:szCs w:val="22"/>
          <w:bdr w:val="none" w:sz="0" w:space="0" w:color="auto" w:frame="1"/>
          <w:lang w:eastAsia="es-CO"/>
        </w:rPr>
        <w:t>. Sin embargo, en el texto aprobado, los pliegos tipo se limitaron a la adquisición o suministro de bienes de características técnicas uniformes</w:t>
      </w:r>
      <w:r w:rsidRPr="00916C68">
        <w:rPr>
          <w:rStyle w:val="Refdenotaalpie"/>
          <w:rFonts w:ascii="Arial" w:hAnsi="Arial" w:cs="Arial"/>
          <w:color w:val="0D0D0D"/>
          <w:sz w:val="22"/>
          <w:szCs w:val="22"/>
          <w:bdr w:val="none" w:sz="0" w:space="0" w:color="auto" w:frame="1"/>
          <w:lang w:eastAsia="es-CO"/>
        </w:rPr>
        <w:footnoteReference w:id="5"/>
      </w:r>
      <w:r w:rsidRPr="00916C68">
        <w:rPr>
          <w:rFonts w:ascii="Arial" w:hAnsi="Arial" w:cs="Arial"/>
          <w:color w:val="0D0D0D"/>
          <w:sz w:val="22"/>
          <w:szCs w:val="22"/>
          <w:bdr w:val="none" w:sz="0" w:space="0" w:color="auto" w:frame="1"/>
          <w:lang w:eastAsia="es-CO"/>
        </w:rPr>
        <w:t>. </w:t>
      </w:r>
    </w:p>
    <w:p w14:paraId="560107F7" w14:textId="77777777" w:rsidR="00EA729F" w:rsidRPr="00916C68" w:rsidRDefault="00EA729F" w:rsidP="00EA729F">
      <w:pPr>
        <w:shd w:val="clear" w:color="auto" w:fill="FFFFFF"/>
        <w:spacing w:before="120" w:line="276" w:lineRule="auto"/>
        <w:ind w:firstLine="709"/>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009B6A86" w14:textId="77777777" w:rsidR="00EA729F" w:rsidRPr="00916C68" w:rsidRDefault="00EA729F" w:rsidP="00EA729F">
      <w:pPr>
        <w:shd w:val="clear" w:color="auto" w:fill="FFFFFF"/>
        <w:spacing w:line="276" w:lineRule="auto"/>
        <w:ind w:firstLine="709"/>
        <w:jc w:val="both"/>
        <w:rPr>
          <w:rFonts w:ascii="Arial" w:hAnsi="Arial" w:cs="Arial"/>
          <w:color w:val="000000"/>
          <w:sz w:val="22"/>
          <w:szCs w:val="22"/>
          <w:lang w:eastAsia="es-CO"/>
        </w:rPr>
      </w:pPr>
    </w:p>
    <w:p w14:paraId="65523759" w14:textId="77777777" w:rsidR="00EA729F" w:rsidRPr="00916C68" w:rsidRDefault="00EA729F" w:rsidP="00EA729F">
      <w:pPr>
        <w:shd w:val="clear" w:color="auto" w:fill="FFFFFF"/>
        <w:ind w:left="709" w:right="709"/>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w:t>
      </w:r>
      <w:r w:rsidRPr="00916C68">
        <w:rPr>
          <w:rFonts w:ascii="Arial" w:hAnsi="Arial" w:cs="Arial"/>
          <w:color w:val="0D0D0D"/>
          <w:sz w:val="22"/>
          <w:szCs w:val="22"/>
          <w:bdr w:val="none" w:sz="0" w:space="0" w:color="auto" w:frame="1"/>
          <w:lang w:eastAsia="es-CO"/>
        </w:rPr>
        <w:lastRenderedPageBreak/>
        <w:t>los cuales deberán ser utilizados por todas las entidades sometidas al Estatuto General de la Contratación de la Administración Pública en los procesos de selección que adelanten. </w:t>
      </w:r>
      <w:r w:rsidRPr="00916C68">
        <w:rPr>
          <w:rFonts w:ascii="Arial" w:hAnsi="Arial" w:cs="Arial"/>
          <w:i/>
          <w:iCs/>
          <w:color w:val="0D0D0D"/>
          <w:sz w:val="22"/>
          <w:szCs w:val="22"/>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16C68">
        <w:rPr>
          <w:rFonts w:ascii="Arial" w:hAnsi="Arial" w:cs="Arial"/>
          <w:color w:val="0D0D0D"/>
          <w:sz w:val="22"/>
          <w:szCs w:val="22"/>
          <w:bdr w:val="none" w:sz="0" w:space="0" w:color="auto" w:frame="1"/>
          <w:lang w:eastAsia="es-CO"/>
        </w:rPr>
        <w:t> […] </w:t>
      </w:r>
      <w:r w:rsidRPr="00916C68">
        <w:rPr>
          <w:rFonts w:ascii="Arial" w:hAnsi="Arial" w:cs="Arial"/>
          <w:i/>
          <w:iCs/>
          <w:color w:val="0D0D0D"/>
          <w:sz w:val="22"/>
          <w:szCs w:val="22"/>
          <w:bdr w:val="none" w:sz="0" w:space="0" w:color="auto" w:frame="1"/>
          <w:lang w:eastAsia="es-CO"/>
        </w:rPr>
        <w:t>teniendo en cuenta la naturaleza y cuantía de los contratos</w:t>
      </w:r>
      <w:r w:rsidRPr="00916C68">
        <w:rPr>
          <w:rFonts w:ascii="Arial" w:hAnsi="Arial" w:cs="Arial"/>
          <w:color w:val="0D0D0D"/>
          <w:sz w:val="22"/>
          <w:szCs w:val="22"/>
          <w:bdr w:val="none" w:sz="0" w:space="0" w:color="auto" w:frame="1"/>
          <w:lang w:eastAsia="es-CO"/>
        </w:rPr>
        <w:t> […]. (Énfasis fuera de texto) </w:t>
      </w:r>
    </w:p>
    <w:p w14:paraId="1E2232AB" w14:textId="77777777" w:rsidR="00EA729F" w:rsidRPr="00916C68" w:rsidRDefault="00EA729F" w:rsidP="00EA729F">
      <w:pPr>
        <w:shd w:val="clear" w:color="auto" w:fill="FFFFFF"/>
        <w:spacing w:line="276" w:lineRule="auto"/>
        <w:ind w:left="709" w:right="709"/>
        <w:jc w:val="both"/>
        <w:rPr>
          <w:rFonts w:ascii="Arial" w:hAnsi="Arial" w:cs="Arial"/>
          <w:color w:val="000000"/>
          <w:sz w:val="22"/>
          <w:szCs w:val="22"/>
          <w:lang w:eastAsia="es-CO"/>
        </w:rPr>
      </w:pPr>
    </w:p>
    <w:p w14:paraId="20FE8731" w14:textId="77777777" w:rsidR="00EA729F" w:rsidRPr="00916C68" w:rsidRDefault="00EA729F" w:rsidP="00EA729F">
      <w:pPr>
        <w:shd w:val="clear" w:color="auto" w:fill="FFFFFF"/>
        <w:spacing w:line="276" w:lineRule="auto"/>
        <w:ind w:firstLine="708"/>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 xml:space="preserve">Sin embargo, </w:t>
      </w:r>
      <w:bookmarkStart w:id="2" w:name="_Hlk72774806"/>
      <w:r w:rsidRPr="00916C68">
        <w:rPr>
          <w:rFonts w:ascii="Arial" w:hAnsi="Arial" w:cs="Arial"/>
          <w:color w:val="0D0D0D"/>
          <w:sz w:val="22"/>
          <w:szCs w:val="22"/>
          <w:bdr w:val="none" w:sz="0" w:space="0" w:color="auto" w:frame="1"/>
          <w:lang w:eastAsia="es-CO"/>
        </w:rPr>
        <w:t>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bookmarkEnd w:id="2"/>
      <w:r w:rsidRPr="00916C68">
        <w:rPr>
          <w:rStyle w:val="Refdenotaalpie"/>
          <w:rFonts w:ascii="Arial" w:hAnsi="Arial" w:cs="Arial"/>
          <w:color w:val="0D0D0D"/>
          <w:sz w:val="22"/>
          <w:szCs w:val="22"/>
          <w:bdr w:val="none" w:sz="0" w:space="0" w:color="auto" w:frame="1"/>
          <w:lang w:eastAsia="es-CO"/>
        </w:rPr>
        <w:footnoteReference w:id="6"/>
      </w:r>
      <w:r w:rsidRPr="00916C68">
        <w:rPr>
          <w:rFonts w:ascii="Arial" w:hAnsi="Arial" w:cs="Arial"/>
          <w:color w:val="0D0D0D"/>
          <w:sz w:val="22"/>
          <w:szCs w:val="22"/>
          <w:bdr w:val="none" w:sz="0" w:space="0" w:color="auto" w:frame="1"/>
          <w:lang w:eastAsia="es-CO"/>
        </w:rPr>
        <w:t>.  </w:t>
      </w:r>
    </w:p>
    <w:p w14:paraId="5F9517B3" w14:textId="77777777" w:rsidR="00EA729F" w:rsidRPr="00916C68" w:rsidRDefault="00EA729F" w:rsidP="00EA729F">
      <w:pPr>
        <w:shd w:val="clear" w:color="auto" w:fill="FFFFFF"/>
        <w:spacing w:before="120" w:line="276" w:lineRule="auto"/>
        <w:ind w:firstLine="703"/>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75BB1101" w14:textId="77777777" w:rsidR="00EA729F" w:rsidRPr="00916C68" w:rsidRDefault="00EA729F" w:rsidP="00EA729F">
      <w:pPr>
        <w:shd w:val="clear" w:color="auto" w:fill="FFFFFF"/>
        <w:spacing w:before="120" w:line="276" w:lineRule="auto"/>
        <w:ind w:firstLine="705"/>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488518B" w14:textId="77777777" w:rsidR="00EA729F" w:rsidRPr="00916C68" w:rsidRDefault="00EA729F" w:rsidP="00EA729F">
      <w:pPr>
        <w:shd w:val="clear" w:color="auto" w:fill="FFFFFF"/>
        <w:spacing w:before="120" w:line="276" w:lineRule="auto"/>
        <w:ind w:firstLine="705"/>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1CAD16D8" w14:textId="77777777" w:rsidR="00EA729F" w:rsidRPr="00916C68" w:rsidRDefault="00EA729F" w:rsidP="00EA729F">
      <w:pPr>
        <w:shd w:val="clear" w:color="auto" w:fill="FFFFFF"/>
        <w:spacing w:before="120" w:line="276" w:lineRule="auto"/>
        <w:ind w:firstLine="705"/>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37520BAD" w14:textId="77777777" w:rsidR="00EA729F" w:rsidRPr="00916C68" w:rsidRDefault="00EA729F" w:rsidP="00EA729F">
      <w:pPr>
        <w:shd w:val="clear" w:color="auto" w:fill="FFFFFF"/>
        <w:spacing w:before="120" w:line="276" w:lineRule="auto"/>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 xml:space="preserve">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w:t>
      </w:r>
      <w:r w:rsidRPr="00916C68">
        <w:rPr>
          <w:rFonts w:ascii="Arial" w:hAnsi="Arial" w:cs="Arial"/>
          <w:color w:val="0D0D0D"/>
          <w:sz w:val="22"/>
          <w:szCs w:val="22"/>
          <w:bdr w:val="none" w:sz="0" w:space="0" w:color="auto" w:frame="1"/>
          <w:lang w:eastAsia="es-CO"/>
        </w:rPr>
        <w:lastRenderedPageBreak/>
        <w:t>licitación de obra pública de infraestructura de transporte y se deroga la Resolución 1798 de 2019».  </w:t>
      </w:r>
    </w:p>
    <w:p w14:paraId="6196AFF5" w14:textId="77777777" w:rsidR="00EA729F" w:rsidRPr="00916C68" w:rsidRDefault="00EA729F" w:rsidP="00EA729F">
      <w:pPr>
        <w:shd w:val="clear" w:color="auto" w:fill="FFFFFF"/>
        <w:spacing w:before="120" w:line="276" w:lineRule="auto"/>
        <w:ind w:firstLine="708"/>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6CE9281D" w14:textId="77777777" w:rsidR="00EA729F" w:rsidRPr="00916C68" w:rsidRDefault="00EA729F" w:rsidP="00EA729F">
      <w:pPr>
        <w:shd w:val="clear" w:color="auto" w:fill="FFFFFF"/>
        <w:spacing w:before="120" w:line="276" w:lineRule="auto"/>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916C68">
        <w:rPr>
          <w:rFonts w:ascii="Arial" w:hAnsi="Arial" w:cs="Arial"/>
          <w:i/>
          <w:iCs/>
          <w:color w:val="0D0D0D"/>
          <w:sz w:val="22"/>
          <w:szCs w:val="22"/>
          <w:bdr w:val="none" w:sz="0" w:space="0" w:color="auto" w:frame="1"/>
          <w:lang w:eastAsia="es-CO"/>
        </w:rPr>
        <w:t>ibidem</w:t>
      </w:r>
      <w:r w:rsidRPr="00916C68">
        <w:rPr>
          <w:rFonts w:ascii="Arial" w:hAnsi="Arial" w:cs="Arial"/>
          <w:color w:val="0D0D0D"/>
          <w:sz w:val="22"/>
          <w:szCs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47B4BFC5" w14:textId="77777777" w:rsidR="00EA729F" w:rsidRPr="00916C68" w:rsidRDefault="00EA729F" w:rsidP="00EA729F">
      <w:pPr>
        <w:shd w:val="clear" w:color="auto" w:fill="FFFFFF"/>
        <w:spacing w:before="120" w:line="276" w:lineRule="auto"/>
        <w:ind w:firstLine="708"/>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7C2DBD4F" w14:textId="77777777" w:rsidR="00EA729F" w:rsidRPr="00916C68" w:rsidRDefault="00EA729F" w:rsidP="00916C68">
      <w:pPr>
        <w:shd w:val="clear" w:color="auto" w:fill="FFFFFF"/>
        <w:spacing w:before="120" w:after="120" w:line="276" w:lineRule="auto"/>
        <w:ind w:firstLine="709"/>
        <w:jc w:val="both"/>
        <w:rPr>
          <w:rFonts w:ascii="Arial" w:hAnsi="Arial" w:cs="Arial"/>
          <w:color w:val="0D0D0D"/>
          <w:sz w:val="22"/>
          <w:szCs w:val="22"/>
          <w:bdr w:val="none" w:sz="0" w:space="0" w:color="auto" w:frame="1"/>
          <w:lang w:eastAsia="es-CO"/>
        </w:rPr>
      </w:pPr>
      <w:r w:rsidRPr="00916C68">
        <w:rPr>
          <w:rFonts w:ascii="Arial" w:hAnsi="Arial" w:cs="Arial"/>
          <w:color w:val="0D0D0D"/>
          <w:sz w:val="22"/>
          <w:szCs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3634DFA3" w14:textId="01C46A40" w:rsidR="00B96466" w:rsidRPr="00916C68" w:rsidRDefault="00EA729F" w:rsidP="00916C68">
      <w:pPr>
        <w:spacing w:line="276" w:lineRule="auto"/>
        <w:ind w:firstLine="708"/>
        <w:jc w:val="both"/>
        <w:rPr>
          <w:rFonts w:ascii="Arial" w:eastAsia="Calibri" w:hAnsi="Arial" w:cs="Arial"/>
          <w:sz w:val="22"/>
        </w:rPr>
      </w:pPr>
      <w:r w:rsidRPr="00916C68">
        <w:rPr>
          <w:rFonts w:ascii="Arial" w:hAnsi="Arial" w:cs="Arial"/>
          <w:color w:val="0D0D0D"/>
          <w:sz w:val="22"/>
          <w:szCs w:val="22"/>
          <w:bdr w:val="none" w:sz="0" w:space="0" w:color="auto" w:frame="1"/>
          <w:lang w:eastAsia="es-CO"/>
        </w:rPr>
        <w:t xml:space="preserve">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w:t>
      </w:r>
      <w:r w:rsidRPr="00916C68">
        <w:rPr>
          <w:rFonts w:ascii="Arial" w:hAnsi="Arial" w:cs="Arial"/>
          <w:color w:val="0D0D0D"/>
          <w:sz w:val="22"/>
          <w:szCs w:val="22"/>
          <w:bdr w:val="none" w:sz="0" w:space="0" w:color="auto" w:frame="1"/>
          <w:lang w:eastAsia="es-CO"/>
        </w:rPr>
        <w:lastRenderedPageBreak/>
        <w:t>menor cuantía – versión 2 de infraestructura de transporte, lo cuales son obligatorios a partir del 1º de enero de 2021.  </w:t>
      </w:r>
    </w:p>
    <w:p w14:paraId="712AB4EE" w14:textId="1A9DD717" w:rsidR="00143AD6" w:rsidRPr="00916C68" w:rsidRDefault="00143AD6" w:rsidP="00143AD6">
      <w:pPr>
        <w:spacing w:before="120" w:line="276" w:lineRule="auto"/>
        <w:ind w:firstLine="709"/>
        <w:jc w:val="both"/>
        <w:rPr>
          <w:rFonts w:ascii="Arial" w:hAnsi="Arial" w:cs="Arial"/>
          <w:color w:val="000000" w:themeColor="text1"/>
          <w:sz w:val="22"/>
        </w:rPr>
      </w:pPr>
      <w:r w:rsidRPr="00916C68">
        <w:rPr>
          <w:rFonts w:ascii="Arial" w:hAnsi="Arial" w:cs="Arial"/>
          <w:color w:val="000000" w:themeColor="text1"/>
          <w:sz w:val="22"/>
        </w:rPr>
        <w:t xml:space="preserve">Por tanto, de conformidad con lo establecido en la Ley 2022 de 2020, las resoluciones que adoptan los documentos tipo son de obligatorio cumplimiento para todas las entidades públicas sometidas al Estatuto General de Contratación de la Administración Pública, de modo que, salvo norma especial, los procesos deberán tramitarse a partir de los parámetros estandarizados en estos documentos. Sin embargo, es importante señalar que, en los casos en que no sea obligatorio su aplicación, estos documentos pueden servir como referente para los demás procesos de contratación, por tratarse de una buena práctica en materia de contratación estatal. </w:t>
      </w:r>
    </w:p>
    <w:p w14:paraId="21C2F38E" w14:textId="277223A4" w:rsidR="00143AD6" w:rsidRPr="00916C68" w:rsidRDefault="00143AD6" w:rsidP="000220D9">
      <w:pPr>
        <w:spacing w:before="120" w:line="276" w:lineRule="auto"/>
        <w:ind w:firstLine="709"/>
        <w:jc w:val="both"/>
        <w:rPr>
          <w:rFonts w:ascii="Arial" w:hAnsi="Arial" w:cs="Arial"/>
          <w:color w:val="000000" w:themeColor="text1"/>
          <w:sz w:val="22"/>
        </w:rPr>
      </w:pPr>
      <w:r w:rsidRPr="00916C68">
        <w:rPr>
          <w:rFonts w:ascii="Arial" w:hAnsi="Arial" w:cs="Arial"/>
          <w:color w:val="000000" w:themeColor="text1"/>
          <w:sz w:val="22"/>
        </w:rPr>
        <w:t>Así, la Ley 2022 de 2020 modificó el artículo 4 de la Ley 1882 de 2018 que establece el contenido y obligatoriedad de los Documentos Tipo de todas las entidades sometidas al Estatuto General de Contratación de la Administración Pública</w:t>
      </w:r>
      <w:r w:rsidR="00402224" w:rsidRPr="00916C68">
        <w:rPr>
          <w:rFonts w:ascii="Arial" w:hAnsi="Arial" w:cs="Arial"/>
          <w:color w:val="000000" w:themeColor="text1"/>
          <w:sz w:val="22"/>
        </w:rPr>
        <w:t>.</w:t>
      </w:r>
      <w:r w:rsidR="009B5981" w:rsidRPr="00916C68">
        <w:rPr>
          <w:rFonts w:ascii="Arial" w:hAnsi="Arial" w:cs="Arial"/>
          <w:color w:val="000000" w:themeColor="text1"/>
          <w:sz w:val="22"/>
        </w:rPr>
        <w:t xml:space="preserve"> </w:t>
      </w:r>
      <w:r w:rsidR="00402224" w:rsidRPr="00916C68">
        <w:rPr>
          <w:rFonts w:ascii="Arial" w:hAnsi="Arial" w:cs="Arial"/>
          <w:color w:val="000000" w:themeColor="text1"/>
          <w:sz w:val="22"/>
        </w:rPr>
        <w:t>De este</w:t>
      </w:r>
      <w:r w:rsidR="009B5981" w:rsidRPr="00916C68">
        <w:rPr>
          <w:rFonts w:ascii="Arial" w:hAnsi="Arial" w:cs="Arial"/>
          <w:color w:val="000000" w:themeColor="text1"/>
          <w:sz w:val="22"/>
        </w:rPr>
        <w:t xml:space="preserve"> modo</w:t>
      </w:r>
      <w:r w:rsidR="00402224" w:rsidRPr="00916C68">
        <w:rPr>
          <w:rFonts w:ascii="Arial" w:hAnsi="Arial" w:cs="Arial"/>
          <w:color w:val="000000" w:themeColor="text1"/>
          <w:sz w:val="22"/>
        </w:rPr>
        <w:t>,</w:t>
      </w:r>
      <w:r w:rsidR="009B5981" w:rsidRPr="00916C68">
        <w:rPr>
          <w:rFonts w:ascii="Arial" w:hAnsi="Arial" w:cs="Arial"/>
          <w:color w:val="000000" w:themeColor="text1"/>
          <w:sz w:val="22"/>
        </w:rPr>
        <w:t xml:space="preserve"> su ámbito de aplicación se circunscribe a lo dispuesto en este artículo</w:t>
      </w:r>
      <w:r w:rsidR="00402224" w:rsidRPr="00916C68">
        <w:rPr>
          <w:rFonts w:ascii="Arial" w:hAnsi="Arial" w:cs="Arial"/>
          <w:color w:val="000000" w:themeColor="text1"/>
          <w:sz w:val="22"/>
        </w:rPr>
        <w:t xml:space="preserve">, por </w:t>
      </w:r>
      <w:r w:rsidR="009B5981" w:rsidRPr="00916C68">
        <w:rPr>
          <w:rFonts w:ascii="Arial" w:hAnsi="Arial" w:cs="Arial"/>
          <w:color w:val="000000" w:themeColor="text1"/>
          <w:sz w:val="22"/>
        </w:rPr>
        <w:t>lo que no se observa modificación alguna a la Ley 1523 de 2012</w:t>
      </w:r>
      <w:r w:rsidR="00620210" w:rsidRPr="00916C68">
        <w:rPr>
          <w:rFonts w:ascii="Arial" w:hAnsi="Arial" w:cs="Arial"/>
          <w:color w:val="000000" w:themeColor="text1"/>
          <w:sz w:val="22"/>
        </w:rPr>
        <w:t xml:space="preserve">. </w:t>
      </w:r>
      <w:r w:rsidR="0063277A" w:rsidRPr="00916C68">
        <w:rPr>
          <w:rFonts w:ascii="Arial" w:hAnsi="Arial" w:cs="Arial"/>
          <w:color w:val="000000" w:themeColor="text1"/>
          <w:sz w:val="22"/>
        </w:rPr>
        <w:t>Por tanto</w:t>
      </w:r>
      <w:r w:rsidRPr="00916C68">
        <w:rPr>
          <w:rFonts w:ascii="Arial" w:hAnsi="Arial" w:cs="Arial"/>
          <w:color w:val="000000" w:themeColor="text1"/>
          <w:sz w:val="22"/>
        </w:rPr>
        <w:t xml:space="preserve">, corresponde determinar </w:t>
      </w:r>
      <w:r w:rsidR="00620210" w:rsidRPr="00916C68">
        <w:rPr>
          <w:rFonts w:ascii="Arial" w:hAnsi="Arial" w:cs="Arial"/>
          <w:color w:val="000000" w:themeColor="text1"/>
          <w:sz w:val="22"/>
        </w:rPr>
        <w:t xml:space="preserve">el </w:t>
      </w:r>
      <w:r w:rsidR="00E46E14" w:rsidRPr="00916C68">
        <w:rPr>
          <w:rFonts w:ascii="Arial" w:hAnsi="Arial" w:cs="Arial"/>
          <w:color w:val="000000" w:themeColor="text1"/>
          <w:sz w:val="22"/>
        </w:rPr>
        <w:t xml:space="preserve">ámbito de aplicación de esta ley </w:t>
      </w:r>
      <w:r w:rsidR="00620210" w:rsidRPr="00916C68">
        <w:rPr>
          <w:rFonts w:ascii="Arial" w:hAnsi="Arial" w:cs="Arial"/>
          <w:color w:val="000000" w:themeColor="text1"/>
          <w:sz w:val="22"/>
        </w:rPr>
        <w:t xml:space="preserve">para </w:t>
      </w:r>
      <w:bookmarkStart w:id="3" w:name="_Hlk72919677"/>
      <w:r w:rsidRPr="00916C68">
        <w:rPr>
          <w:rFonts w:ascii="Arial" w:hAnsi="Arial" w:cs="Arial"/>
          <w:color w:val="000000" w:themeColor="text1"/>
          <w:sz w:val="22"/>
        </w:rPr>
        <w:t xml:space="preserve">establecer el alcance del numeral 4 de la </w:t>
      </w:r>
      <w:r w:rsidR="0063277A" w:rsidRPr="00916C68">
        <w:rPr>
          <w:rFonts w:ascii="Arial" w:hAnsi="Arial" w:cs="Arial"/>
          <w:color w:val="000000" w:themeColor="text1"/>
          <w:sz w:val="22"/>
        </w:rPr>
        <w:t>«</w:t>
      </w:r>
      <w:r w:rsidRPr="00916C68">
        <w:rPr>
          <w:rFonts w:ascii="Arial" w:hAnsi="Arial" w:cs="Arial"/>
          <w:color w:val="000000" w:themeColor="text1"/>
          <w:sz w:val="22"/>
        </w:rPr>
        <w:t>Matriz 1 – Experiencia</w:t>
      </w:r>
      <w:r w:rsidR="0063277A" w:rsidRPr="00916C68">
        <w:rPr>
          <w:rFonts w:ascii="Arial" w:hAnsi="Arial" w:cs="Arial"/>
          <w:color w:val="000000" w:themeColor="text1"/>
          <w:sz w:val="22"/>
        </w:rPr>
        <w:t>»</w:t>
      </w:r>
      <w:r w:rsidRPr="00916C68">
        <w:rPr>
          <w:rFonts w:ascii="Arial" w:hAnsi="Arial" w:cs="Arial"/>
          <w:color w:val="000000" w:themeColor="text1"/>
          <w:sz w:val="22"/>
        </w:rPr>
        <w:t xml:space="preserve"> de los documentos tipo de infraestructura de transporte</w:t>
      </w:r>
      <w:bookmarkEnd w:id="3"/>
      <w:r w:rsidRPr="00916C68">
        <w:rPr>
          <w:rFonts w:ascii="Arial" w:hAnsi="Arial" w:cs="Arial"/>
          <w:color w:val="000000" w:themeColor="text1"/>
          <w:sz w:val="22"/>
        </w:rPr>
        <w:t xml:space="preserve">, </w:t>
      </w:r>
      <w:r w:rsidR="00E46E14" w:rsidRPr="00916C68">
        <w:rPr>
          <w:rFonts w:ascii="Arial" w:hAnsi="Arial" w:cs="Arial"/>
          <w:color w:val="000000" w:themeColor="text1"/>
          <w:sz w:val="22"/>
        </w:rPr>
        <w:t>pues</w:t>
      </w:r>
      <w:r w:rsidRPr="00916C68">
        <w:rPr>
          <w:rFonts w:ascii="Arial" w:hAnsi="Arial" w:cs="Arial"/>
          <w:color w:val="000000" w:themeColor="text1"/>
          <w:sz w:val="22"/>
        </w:rPr>
        <w:t xml:space="preserve"> se refiere a una actividad similar al objeto de la Ley 1523 de 2012</w:t>
      </w:r>
      <w:r w:rsidR="0063277A" w:rsidRPr="00916C68">
        <w:rPr>
          <w:rFonts w:ascii="Arial" w:hAnsi="Arial" w:cs="Arial"/>
          <w:color w:val="000000" w:themeColor="text1"/>
          <w:sz w:val="22"/>
        </w:rPr>
        <w:t>.</w:t>
      </w:r>
      <w:r w:rsidRPr="00916C68">
        <w:rPr>
          <w:rFonts w:ascii="Arial" w:hAnsi="Arial" w:cs="Arial"/>
          <w:color w:val="000000" w:themeColor="text1"/>
          <w:sz w:val="22"/>
        </w:rPr>
        <w:t xml:space="preserve"> </w:t>
      </w:r>
    </w:p>
    <w:p w14:paraId="0840CBF5" w14:textId="77777777" w:rsidR="0010496C" w:rsidRPr="00916C68" w:rsidRDefault="0010496C" w:rsidP="00916C68">
      <w:pPr>
        <w:spacing w:line="276" w:lineRule="auto"/>
        <w:jc w:val="both"/>
        <w:rPr>
          <w:rFonts w:ascii="Arial" w:hAnsi="Arial" w:cs="Arial"/>
          <w:color w:val="000000" w:themeColor="text1"/>
          <w:sz w:val="22"/>
        </w:rPr>
      </w:pPr>
    </w:p>
    <w:p w14:paraId="603130BF" w14:textId="5FC24274" w:rsidR="00001E00" w:rsidRPr="00916C68" w:rsidRDefault="00001E00" w:rsidP="00001E00">
      <w:pPr>
        <w:spacing w:line="276" w:lineRule="auto"/>
        <w:jc w:val="both"/>
        <w:rPr>
          <w:rFonts w:ascii="Arial" w:eastAsia="Calibri" w:hAnsi="Arial" w:cs="Arial"/>
          <w:b/>
          <w:bCs/>
          <w:color w:val="000000" w:themeColor="text1"/>
          <w:sz w:val="22"/>
          <w:lang w:val="es-ES_tradnl"/>
        </w:rPr>
      </w:pPr>
      <w:r w:rsidRPr="00916C68">
        <w:rPr>
          <w:rFonts w:ascii="Arial" w:eastAsia="Calibri" w:hAnsi="Arial" w:cs="Arial"/>
          <w:b/>
          <w:bCs/>
          <w:color w:val="000000" w:themeColor="text1"/>
          <w:sz w:val="22"/>
          <w:lang w:val="es-ES_tradnl"/>
        </w:rPr>
        <w:t xml:space="preserve">2.2. </w:t>
      </w:r>
      <w:r w:rsidR="00CB5DA4" w:rsidRPr="00916C68">
        <w:rPr>
          <w:rFonts w:ascii="Arial" w:eastAsia="Calibri" w:hAnsi="Arial" w:cs="Arial"/>
          <w:b/>
          <w:bCs/>
          <w:color w:val="000000" w:themeColor="text1"/>
          <w:sz w:val="22"/>
          <w:lang w:val="es-ES_tradnl"/>
        </w:rPr>
        <w:t xml:space="preserve">Alcance de la Ley 1523 de 2012: </w:t>
      </w:r>
      <w:r w:rsidR="000D5455" w:rsidRPr="00916C68">
        <w:rPr>
          <w:rFonts w:ascii="Arial" w:eastAsia="Calibri" w:hAnsi="Arial" w:cs="Arial"/>
          <w:b/>
          <w:bCs/>
          <w:color w:val="000000" w:themeColor="text1"/>
          <w:sz w:val="22"/>
          <w:lang w:val="es-ES_tradnl"/>
        </w:rPr>
        <w:t xml:space="preserve">declaraciones de la </w:t>
      </w:r>
      <w:r w:rsidR="00CB5DA4" w:rsidRPr="00916C68">
        <w:rPr>
          <w:rFonts w:ascii="Arial" w:eastAsia="Calibri" w:hAnsi="Arial" w:cs="Arial"/>
          <w:b/>
          <w:bCs/>
          <w:i/>
          <w:iCs/>
          <w:color w:val="000000" w:themeColor="text1"/>
          <w:sz w:val="22"/>
          <w:lang w:val="es-ES_tradnl"/>
        </w:rPr>
        <w:t>s</w:t>
      </w:r>
      <w:r w:rsidRPr="00916C68">
        <w:rPr>
          <w:rFonts w:ascii="Arial" w:eastAsia="Calibri" w:hAnsi="Arial" w:cs="Arial"/>
          <w:b/>
          <w:bCs/>
          <w:i/>
          <w:iCs/>
          <w:color w:val="000000" w:themeColor="text1"/>
          <w:sz w:val="22"/>
          <w:lang w:val="es-ES_tradnl"/>
        </w:rPr>
        <w:t>ituación de desastre</w:t>
      </w:r>
      <w:r w:rsidRPr="00916C68">
        <w:rPr>
          <w:rFonts w:ascii="Arial" w:eastAsia="Calibri" w:hAnsi="Arial" w:cs="Arial"/>
          <w:b/>
          <w:bCs/>
          <w:color w:val="000000" w:themeColor="text1"/>
          <w:sz w:val="22"/>
          <w:lang w:val="es-ES_tradnl"/>
        </w:rPr>
        <w:t xml:space="preserve"> y de </w:t>
      </w:r>
      <w:r w:rsidRPr="00916C68">
        <w:rPr>
          <w:rFonts w:ascii="Arial" w:eastAsia="Calibri" w:hAnsi="Arial" w:cs="Arial"/>
          <w:b/>
          <w:bCs/>
          <w:i/>
          <w:iCs/>
          <w:color w:val="000000" w:themeColor="text1"/>
          <w:sz w:val="22"/>
          <w:lang w:val="es-ES_tradnl"/>
        </w:rPr>
        <w:t>calamidad pública</w:t>
      </w:r>
      <w:r w:rsidRPr="00916C68">
        <w:rPr>
          <w:rFonts w:ascii="Arial" w:eastAsia="Calibri" w:hAnsi="Arial" w:cs="Arial"/>
          <w:b/>
          <w:bCs/>
          <w:color w:val="000000" w:themeColor="text1"/>
          <w:sz w:val="22"/>
          <w:lang w:val="es-ES_tradnl"/>
        </w:rPr>
        <w:t xml:space="preserve"> </w:t>
      </w:r>
      <w:r w:rsidR="000D5455" w:rsidRPr="00916C68">
        <w:rPr>
          <w:rFonts w:ascii="Arial" w:eastAsia="Calibri" w:hAnsi="Arial" w:cs="Arial"/>
          <w:b/>
          <w:bCs/>
          <w:color w:val="000000" w:themeColor="text1"/>
          <w:sz w:val="22"/>
          <w:lang w:val="es-ES_tradnl"/>
        </w:rPr>
        <w:t xml:space="preserve">como fundamento de </w:t>
      </w:r>
      <w:r w:rsidR="00447F11" w:rsidRPr="00916C68">
        <w:rPr>
          <w:rFonts w:ascii="Arial" w:eastAsia="Calibri" w:hAnsi="Arial" w:cs="Arial"/>
          <w:b/>
          <w:bCs/>
          <w:color w:val="000000" w:themeColor="text1"/>
          <w:sz w:val="22"/>
          <w:lang w:val="es-ES_tradnl"/>
        </w:rPr>
        <w:t>causales de contratación directa y excepciones a la aplicación de la Ley 80 de 1993</w:t>
      </w:r>
      <w:bookmarkStart w:id="4" w:name="_Hlk35869057"/>
    </w:p>
    <w:bookmarkEnd w:id="4"/>
    <w:p w14:paraId="5A27FAFC" w14:textId="77777777" w:rsidR="00001E00" w:rsidRPr="00916C68" w:rsidRDefault="00001E00" w:rsidP="00001E00">
      <w:pPr>
        <w:spacing w:line="276" w:lineRule="auto"/>
        <w:jc w:val="both"/>
        <w:rPr>
          <w:rFonts w:ascii="Arial" w:eastAsia="Calibri" w:hAnsi="Arial" w:cs="Arial"/>
          <w:color w:val="000000" w:themeColor="text1"/>
          <w:sz w:val="22"/>
          <w:lang w:val="es-ES_tradnl"/>
        </w:rPr>
      </w:pPr>
    </w:p>
    <w:p w14:paraId="60A71FD2" w14:textId="42668BCF" w:rsidR="00DD6C99" w:rsidRPr="00916C68" w:rsidRDefault="007503F1" w:rsidP="00916C68">
      <w:pPr>
        <w:spacing w:line="276" w:lineRule="auto"/>
        <w:jc w:val="both"/>
        <w:rPr>
          <w:rFonts w:ascii="Arial" w:eastAsia="Calibri" w:hAnsi="Arial" w:cs="Arial"/>
          <w:color w:val="000000" w:themeColor="text1"/>
          <w:sz w:val="22"/>
          <w:lang w:val="es-ES_tradnl"/>
        </w:rPr>
      </w:pPr>
      <w:bookmarkStart w:id="5" w:name="_Hlk35876968"/>
      <w:r w:rsidRPr="00916C68">
        <w:rPr>
          <w:rFonts w:ascii="Arial" w:eastAsia="Calibri" w:hAnsi="Arial" w:cs="Arial"/>
          <w:color w:val="000000" w:themeColor="text1"/>
          <w:sz w:val="22"/>
          <w:lang w:val="es-ES_tradnl"/>
        </w:rPr>
        <w:t xml:space="preserve">Para </w:t>
      </w:r>
      <w:r w:rsidR="004F0A79" w:rsidRPr="00916C68">
        <w:rPr>
          <w:rFonts w:ascii="Arial" w:eastAsia="Calibri" w:hAnsi="Arial" w:cs="Arial"/>
          <w:color w:val="000000" w:themeColor="text1"/>
          <w:sz w:val="22"/>
          <w:lang w:val="es-ES_tradnl"/>
        </w:rPr>
        <w:t>resolver la solicitud</w:t>
      </w:r>
      <w:r w:rsidR="00706942" w:rsidRPr="00916C68">
        <w:rPr>
          <w:rFonts w:ascii="Arial" w:eastAsia="Calibri" w:hAnsi="Arial" w:cs="Arial"/>
          <w:color w:val="000000" w:themeColor="text1"/>
          <w:sz w:val="22"/>
          <w:lang w:val="es-ES_tradnl"/>
        </w:rPr>
        <w:t xml:space="preserve">, es pertinente realizar algunas consideraciones sobre la Ley 1523 de </w:t>
      </w:r>
      <w:r w:rsidR="006A4F60" w:rsidRPr="00916C68">
        <w:rPr>
          <w:rFonts w:ascii="Arial" w:eastAsia="Calibri" w:hAnsi="Arial" w:cs="Arial"/>
          <w:color w:val="000000" w:themeColor="text1"/>
          <w:sz w:val="22"/>
          <w:lang w:val="es-ES_tradnl"/>
        </w:rPr>
        <w:t>2012 y</w:t>
      </w:r>
      <w:r w:rsidR="00706942" w:rsidRPr="00916C68">
        <w:rPr>
          <w:rFonts w:ascii="Arial" w:eastAsia="Calibri" w:hAnsi="Arial" w:cs="Arial"/>
          <w:color w:val="000000" w:themeColor="text1"/>
          <w:sz w:val="22"/>
          <w:lang w:val="es-ES_tradnl"/>
        </w:rPr>
        <w:t xml:space="preserve"> </w:t>
      </w:r>
      <w:r w:rsidR="008E795C" w:rsidRPr="00916C68">
        <w:rPr>
          <w:rFonts w:ascii="Arial" w:eastAsia="Calibri" w:hAnsi="Arial" w:cs="Arial"/>
          <w:color w:val="000000" w:themeColor="text1"/>
          <w:sz w:val="22"/>
          <w:lang w:val="es-ES_tradnl"/>
        </w:rPr>
        <w:t xml:space="preserve">como esta </w:t>
      </w:r>
      <w:r w:rsidR="00951E52" w:rsidRPr="00916C68">
        <w:rPr>
          <w:rFonts w:ascii="Arial" w:eastAsia="Calibri" w:hAnsi="Arial" w:cs="Arial"/>
          <w:color w:val="000000" w:themeColor="text1"/>
          <w:sz w:val="22"/>
          <w:lang w:val="es-ES_tradnl"/>
        </w:rPr>
        <w:t xml:space="preserve">norma no solo habilita la contratación </w:t>
      </w:r>
      <w:r w:rsidR="006D6708" w:rsidRPr="00916C68">
        <w:rPr>
          <w:rFonts w:ascii="Arial" w:eastAsia="Calibri" w:hAnsi="Arial" w:cs="Arial"/>
          <w:color w:val="000000" w:themeColor="text1"/>
          <w:sz w:val="22"/>
          <w:lang w:val="es-ES_tradnl"/>
        </w:rPr>
        <w:t xml:space="preserve">directa, sino que también constituye </w:t>
      </w:r>
      <w:r w:rsidR="00706942" w:rsidRPr="00916C68">
        <w:rPr>
          <w:rFonts w:ascii="Arial" w:eastAsia="Calibri" w:hAnsi="Arial" w:cs="Arial"/>
          <w:color w:val="000000" w:themeColor="text1"/>
          <w:sz w:val="22"/>
          <w:lang w:val="es-ES_tradnl"/>
        </w:rPr>
        <w:t>una causal de exclusión de la Ley 80 de 1993</w:t>
      </w:r>
      <w:r w:rsidR="006A4F60" w:rsidRPr="00916C68">
        <w:rPr>
          <w:rFonts w:ascii="Arial" w:eastAsia="Calibri" w:hAnsi="Arial" w:cs="Arial"/>
          <w:color w:val="000000" w:themeColor="text1"/>
          <w:sz w:val="22"/>
          <w:lang w:val="es-ES_tradnl"/>
        </w:rPr>
        <w:t>. Esto</w:t>
      </w:r>
      <w:r w:rsidR="00051A41" w:rsidRPr="00916C68">
        <w:rPr>
          <w:rFonts w:ascii="Arial" w:eastAsia="Calibri" w:hAnsi="Arial" w:cs="Arial"/>
          <w:color w:val="000000" w:themeColor="text1"/>
          <w:sz w:val="22"/>
          <w:lang w:val="es-ES_tradnl"/>
        </w:rPr>
        <w:t xml:space="preserve"> como un paso previo </w:t>
      </w:r>
      <w:r w:rsidR="006A4F60" w:rsidRPr="00916C68">
        <w:rPr>
          <w:rFonts w:ascii="Arial" w:eastAsia="Calibri" w:hAnsi="Arial" w:cs="Arial"/>
          <w:color w:val="000000" w:themeColor="text1"/>
          <w:sz w:val="22"/>
          <w:lang w:val="es-ES_tradnl"/>
        </w:rPr>
        <w:t>para</w:t>
      </w:r>
      <w:r w:rsidR="00706942" w:rsidRPr="00916C68">
        <w:rPr>
          <w:rFonts w:ascii="Arial" w:eastAsia="Calibri" w:hAnsi="Arial" w:cs="Arial"/>
          <w:color w:val="000000" w:themeColor="text1"/>
          <w:sz w:val="22"/>
          <w:lang w:val="es-ES_tradnl"/>
        </w:rPr>
        <w:t xml:space="preserve"> determinar el </w:t>
      </w:r>
      <w:bookmarkStart w:id="6" w:name="_Hlk72923039"/>
      <w:r w:rsidR="00706942" w:rsidRPr="00916C68">
        <w:rPr>
          <w:rFonts w:ascii="Arial" w:eastAsia="Calibri" w:hAnsi="Arial" w:cs="Arial"/>
          <w:color w:val="000000" w:themeColor="text1"/>
          <w:sz w:val="22"/>
          <w:lang w:val="es-ES_tradnl"/>
        </w:rPr>
        <w:t>alcance d</w:t>
      </w:r>
      <w:r w:rsidR="00051302" w:rsidRPr="00916C68">
        <w:rPr>
          <w:rFonts w:ascii="Arial" w:eastAsia="Calibri" w:hAnsi="Arial" w:cs="Arial"/>
          <w:color w:val="000000" w:themeColor="text1"/>
          <w:sz w:val="22"/>
          <w:lang w:val="es-ES_tradnl"/>
        </w:rPr>
        <w:t xml:space="preserve">e la actividad consagrada en el numeral 4 de la </w:t>
      </w:r>
      <w:r w:rsidR="006A4F60" w:rsidRPr="00916C68">
        <w:rPr>
          <w:rFonts w:ascii="Arial" w:eastAsia="Calibri" w:hAnsi="Arial" w:cs="Arial"/>
          <w:color w:val="000000" w:themeColor="text1"/>
          <w:sz w:val="22"/>
          <w:lang w:val="es-ES_tradnl"/>
        </w:rPr>
        <w:t>«</w:t>
      </w:r>
      <w:r w:rsidR="00051302" w:rsidRPr="00916C68">
        <w:rPr>
          <w:rFonts w:ascii="Arial" w:eastAsia="Calibri" w:hAnsi="Arial" w:cs="Arial"/>
          <w:color w:val="000000" w:themeColor="text1"/>
          <w:sz w:val="22"/>
          <w:lang w:val="es-ES_tradnl"/>
        </w:rPr>
        <w:t>Matriz 1 – Experiencia</w:t>
      </w:r>
      <w:r w:rsidR="006A4F60" w:rsidRPr="00916C68">
        <w:rPr>
          <w:rFonts w:ascii="Arial" w:eastAsia="Calibri" w:hAnsi="Arial" w:cs="Arial"/>
          <w:color w:val="000000" w:themeColor="text1"/>
          <w:sz w:val="22"/>
          <w:lang w:val="es-ES_tradnl"/>
        </w:rPr>
        <w:t>»</w:t>
      </w:r>
      <w:r w:rsidR="00051302" w:rsidRPr="00916C68">
        <w:rPr>
          <w:rFonts w:ascii="Arial" w:eastAsia="Calibri" w:hAnsi="Arial" w:cs="Arial"/>
          <w:color w:val="000000" w:themeColor="text1"/>
          <w:sz w:val="22"/>
          <w:lang w:val="es-ES_tradnl"/>
        </w:rPr>
        <w:t xml:space="preserve"> de los documentos tipo de infraestructura de transporte</w:t>
      </w:r>
      <w:bookmarkEnd w:id="6"/>
      <w:r w:rsidR="00051302" w:rsidRPr="00916C68">
        <w:rPr>
          <w:rFonts w:ascii="Arial" w:eastAsia="Calibri" w:hAnsi="Arial" w:cs="Arial"/>
          <w:color w:val="000000" w:themeColor="text1"/>
          <w:sz w:val="22"/>
          <w:lang w:val="es-ES_tradnl"/>
        </w:rPr>
        <w:t xml:space="preserve">. </w:t>
      </w:r>
    </w:p>
    <w:p w14:paraId="51D08580" w14:textId="5656CF8C" w:rsidR="00001E00" w:rsidRPr="00916C68" w:rsidRDefault="0076559A" w:rsidP="00916C68">
      <w:pPr>
        <w:spacing w:before="120" w:line="276" w:lineRule="auto"/>
        <w:jc w:val="both"/>
        <w:rPr>
          <w:color w:val="000000" w:themeColor="text1"/>
        </w:rPr>
      </w:pPr>
      <w:r w:rsidRPr="00916C68">
        <w:rPr>
          <w:rFonts w:ascii="Arial" w:eastAsia="Calibri" w:hAnsi="Arial" w:cs="Arial"/>
          <w:color w:val="000000" w:themeColor="text1"/>
          <w:sz w:val="22"/>
          <w:lang w:val="es-ES_tradnl"/>
        </w:rPr>
        <w:tab/>
      </w:r>
      <w:r w:rsidR="00392C20" w:rsidRPr="00916C68">
        <w:rPr>
          <w:rFonts w:ascii="Arial" w:eastAsia="Calibri" w:hAnsi="Arial" w:cs="Arial"/>
          <w:color w:val="000000" w:themeColor="text1"/>
          <w:sz w:val="22"/>
          <w:lang w:val="es-ES_tradnl"/>
        </w:rPr>
        <w:t>i) E</w:t>
      </w:r>
      <w:r w:rsidR="00593D5E" w:rsidRPr="00916C68">
        <w:rPr>
          <w:rFonts w:ascii="Arial" w:eastAsia="Calibri" w:hAnsi="Arial" w:cs="Arial"/>
          <w:color w:val="000000" w:themeColor="text1"/>
          <w:sz w:val="22"/>
          <w:lang w:val="es-ES_tradnl"/>
        </w:rPr>
        <w:t>s necesario tener cuenta que</w:t>
      </w:r>
      <w:r w:rsidR="0081739A" w:rsidRPr="00916C68">
        <w:rPr>
          <w:rFonts w:ascii="Arial" w:eastAsia="Calibri" w:hAnsi="Arial" w:cs="Arial"/>
          <w:color w:val="000000" w:themeColor="text1"/>
          <w:sz w:val="22"/>
          <w:lang w:val="es-ES_tradnl"/>
        </w:rPr>
        <w:t xml:space="preserve">, en concordancia con la causal de contratación directa </w:t>
      </w:r>
      <w:r w:rsidR="00673C52" w:rsidRPr="00916C68">
        <w:rPr>
          <w:rFonts w:ascii="Arial" w:eastAsia="Calibri" w:hAnsi="Arial" w:cs="Arial"/>
          <w:color w:val="000000" w:themeColor="text1"/>
          <w:sz w:val="22"/>
          <w:lang w:val="es-ES_tradnl"/>
        </w:rPr>
        <w:t>del artículo 2, numeral 4, litera a), de la Ley 1150 de 2007,</w:t>
      </w:r>
      <w:r w:rsidR="00593D5E" w:rsidRPr="00916C68">
        <w:rPr>
          <w:rFonts w:ascii="Arial" w:eastAsia="Calibri" w:hAnsi="Arial" w:cs="Arial"/>
          <w:color w:val="000000" w:themeColor="text1"/>
          <w:sz w:val="22"/>
          <w:lang w:val="es-ES_tradnl"/>
        </w:rPr>
        <w:t xml:space="preserve"> e</w:t>
      </w:r>
      <w:r w:rsidR="00001E00" w:rsidRPr="00916C68">
        <w:rPr>
          <w:rFonts w:ascii="Arial" w:eastAsia="Calibri" w:hAnsi="Arial" w:cs="Arial"/>
          <w:color w:val="000000" w:themeColor="text1"/>
          <w:sz w:val="22"/>
          <w:lang w:val="es-ES_tradnl"/>
        </w:rPr>
        <w:t>l artículo 42 de la Ley 80 de 1993 dispone que la urgencia manifiesta se declara, entre otras tres (3) circunstancias, con la finalidad de «[…] conjurar situaciones excepcionales relacionadas con hechos de calamidad o constitutivos de fuerza mayor o desastre que demanden actuaciones inmediatas […]»</w:t>
      </w:r>
      <w:bookmarkEnd w:id="5"/>
      <w:r w:rsidR="00001E00" w:rsidRPr="00916C68">
        <w:rPr>
          <w:rFonts w:ascii="Arial" w:eastAsia="Calibri" w:hAnsi="Arial" w:cs="Arial"/>
          <w:color w:val="000000" w:themeColor="text1"/>
          <w:sz w:val="22"/>
          <w:lang w:val="es-ES_tradnl"/>
        </w:rPr>
        <w:t xml:space="preserve">. Para delimitar estas expresiones, el </w:t>
      </w:r>
      <w:bookmarkStart w:id="7" w:name="_Hlk35880053"/>
      <w:r w:rsidR="00001E00" w:rsidRPr="00916C68">
        <w:rPr>
          <w:rFonts w:ascii="Arial" w:eastAsia="Calibri" w:hAnsi="Arial" w:cs="Arial"/>
          <w:color w:val="000000" w:themeColor="text1"/>
          <w:sz w:val="22"/>
          <w:lang w:val="es-ES_tradnl"/>
        </w:rPr>
        <w:t xml:space="preserve">artículo 28 del Código Civil </w:t>
      </w:r>
      <w:bookmarkEnd w:id="7"/>
      <w:r w:rsidR="00001E00" w:rsidRPr="00916C68">
        <w:rPr>
          <w:rFonts w:ascii="Arial" w:eastAsia="Calibri" w:hAnsi="Arial" w:cs="Arial"/>
          <w:color w:val="000000" w:themeColor="text1"/>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Y resulta que en la medida en que la norma utiliza la conjunción «o», en principio asimilaría la </w:t>
      </w:r>
      <w:r w:rsidR="00001E00" w:rsidRPr="00916C68">
        <w:rPr>
          <w:rFonts w:ascii="Arial" w:eastAsia="Calibri" w:hAnsi="Arial" w:cs="Arial"/>
          <w:i/>
          <w:iCs/>
          <w:color w:val="000000" w:themeColor="text1"/>
          <w:sz w:val="22"/>
          <w:lang w:val="es-ES_tradnl"/>
        </w:rPr>
        <w:t>calamidad</w:t>
      </w:r>
      <w:r w:rsidR="00001E00" w:rsidRPr="00916C68">
        <w:rPr>
          <w:rFonts w:ascii="Arial" w:eastAsia="Calibri" w:hAnsi="Arial" w:cs="Arial"/>
          <w:color w:val="000000" w:themeColor="text1"/>
          <w:sz w:val="22"/>
          <w:lang w:val="es-ES_tradnl"/>
        </w:rPr>
        <w:t xml:space="preserve"> y el </w:t>
      </w:r>
      <w:r w:rsidR="00001E00" w:rsidRPr="00916C68">
        <w:rPr>
          <w:rFonts w:ascii="Arial" w:eastAsia="Calibri" w:hAnsi="Arial" w:cs="Arial"/>
          <w:i/>
          <w:iCs/>
          <w:color w:val="000000" w:themeColor="text1"/>
          <w:sz w:val="22"/>
          <w:lang w:val="es-ES_tradnl"/>
        </w:rPr>
        <w:t xml:space="preserve">desastre </w:t>
      </w:r>
      <w:r w:rsidR="00001E00" w:rsidRPr="00916C68">
        <w:rPr>
          <w:rFonts w:ascii="Arial" w:eastAsia="Calibri" w:hAnsi="Arial" w:cs="Arial"/>
          <w:color w:val="000000" w:themeColor="text1"/>
          <w:sz w:val="22"/>
          <w:lang w:val="es-ES_tradnl"/>
        </w:rPr>
        <w:t xml:space="preserve">con la </w:t>
      </w:r>
      <w:r w:rsidR="00001E00" w:rsidRPr="00916C68">
        <w:rPr>
          <w:rFonts w:ascii="Arial" w:eastAsia="Calibri" w:hAnsi="Arial" w:cs="Arial"/>
          <w:i/>
          <w:iCs/>
          <w:color w:val="000000" w:themeColor="text1"/>
          <w:sz w:val="22"/>
          <w:lang w:val="es-ES_tradnl"/>
        </w:rPr>
        <w:t>fuerza mayor</w:t>
      </w:r>
      <w:r w:rsidR="00001E00" w:rsidRPr="00916C68">
        <w:rPr>
          <w:rFonts w:ascii="Arial" w:eastAsia="Calibri" w:hAnsi="Arial" w:cs="Arial"/>
          <w:color w:val="000000" w:themeColor="text1"/>
          <w:sz w:val="22"/>
          <w:lang w:val="es-ES_tradnl"/>
        </w:rPr>
        <w:t xml:space="preserve"> o el </w:t>
      </w:r>
      <w:r w:rsidR="00001E00" w:rsidRPr="00916C68">
        <w:rPr>
          <w:rFonts w:ascii="Arial" w:eastAsia="Calibri" w:hAnsi="Arial" w:cs="Arial"/>
          <w:i/>
          <w:iCs/>
          <w:color w:val="000000" w:themeColor="text1"/>
          <w:sz w:val="22"/>
          <w:lang w:val="es-ES_tradnl"/>
        </w:rPr>
        <w:t>caso fortuito</w:t>
      </w:r>
      <w:r w:rsidR="00001E00" w:rsidRPr="00916C68">
        <w:rPr>
          <w:rFonts w:ascii="Arial" w:eastAsia="Calibri" w:hAnsi="Arial" w:cs="Arial"/>
          <w:color w:val="000000" w:themeColor="text1"/>
          <w:sz w:val="22"/>
          <w:lang w:val="es-ES_tradnl"/>
        </w:rPr>
        <w:t xml:space="preserve">. Al respecto, el artículo 64 del </w:t>
      </w:r>
      <w:r w:rsidR="00001E00" w:rsidRPr="00916C68">
        <w:rPr>
          <w:rFonts w:ascii="Arial" w:eastAsia="Calibri" w:hAnsi="Arial" w:cs="Arial"/>
          <w:color w:val="000000" w:themeColor="text1"/>
          <w:sz w:val="22"/>
          <w:lang w:val="es-ES_tradnl"/>
        </w:rPr>
        <w:lastRenderedPageBreak/>
        <w:t xml:space="preserve">Código Civil define como tal «[…] el imprevisto o que no es posible resistir, como un naufragio, un terremoto, </w:t>
      </w:r>
      <w:bookmarkStart w:id="8" w:name="_Hlk35871146"/>
      <w:r w:rsidR="00001E00" w:rsidRPr="00916C68">
        <w:rPr>
          <w:rFonts w:ascii="Arial" w:eastAsia="Calibri" w:hAnsi="Arial" w:cs="Arial"/>
          <w:color w:val="000000" w:themeColor="text1"/>
          <w:sz w:val="22"/>
          <w:lang w:val="es-ES_tradnl"/>
        </w:rPr>
        <w:t>el apresamiento de enemigos, los actos de autoridad ejercidos por un funcionario público</w:t>
      </w:r>
      <w:bookmarkEnd w:id="8"/>
      <w:r w:rsidR="00001E00" w:rsidRPr="00916C68">
        <w:rPr>
          <w:rFonts w:ascii="Arial" w:eastAsia="Calibri" w:hAnsi="Arial" w:cs="Arial"/>
          <w:color w:val="000000" w:themeColor="text1"/>
          <w:sz w:val="22"/>
          <w:lang w:val="es-ES_tradnl"/>
        </w:rPr>
        <w:t>, etc</w:t>
      </w:r>
      <w:r w:rsidR="005B12E2" w:rsidRPr="00916C68">
        <w:rPr>
          <w:rFonts w:ascii="Arial" w:eastAsia="Calibri" w:hAnsi="Arial" w:cs="Arial"/>
          <w:color w:val="000000" w:themeColor="text1"/>
          <w:sz w:val="22"/>
          <w:lang w:val="es-ES_tradnl"/>
        </w:rPr>
        <w:t>.</w:t>
      </w:r>
      <w:r w:rsidR="00001E00" w:rsidRPr="00916C68">
        <w:rPr>
          <w:rFonts w:ascii="Arial" w:eastAsia="Calibri" w:hAnsi="Arial" w:cs="Arial"/>
          <w:color w:val="000000" w:themeColor="text1"/>
          <w:sz w:val="22"/>
          <w:lang w:val="es-ES_tradnl"/>
        </w:rPr>
        <w:t>»</w:t>
      </w:r>
      <w:r w:rsidR="00001E00" w:rsidRPr="00916C68">
        <w:rPr>
          <w:rFonts w:ascii="Arial" w:eastAsia="Calibri" w:hAnsi="Arial" w:cs="Arial"/>
          <w:color w:val="000000" w:themeColor="text1"/>
          <w:sz w:val="21"/>
          <w:szCs w:val="21"/>
          <w:vertAlign w:val="superscript"/>
          <w:lang w:val="es-ES_tradnl"/>
        </w:rPr>
        <w:footnoteReference w:id="7"/>
      </w:r>
      <w:r w:rsidR="00001E00" w:rsidRPr="00916C68">
        <w:rPr>
          <w:rFonts w:ascii="Arial" w:eastAsia="Calibri" w:hAnsi="Arial" w:cs="Arial"/>
          <w:color w:val="000000" w:themeColor="text1"/>
          <w:sz w:val="21"/>
          <w:szCs w:val="21"/>
          <w:lang w:val="es-ES_tradnl"/>
        </w:rPr>
        <w:t>.</w:t>
      </w:r>
    </w:p>
    <w:p w14:paraId="20E76F81" w14:textId="3F88A10D" w:rsidR="00001E00" w:rsidRPr="00916C68" w:rsidRDefault="00001E00" w:rsidP="000220D9">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w:t>
      </w:r>
      <w:r w:rsidR="00F321FD" w:rsidRPr="00916C68">
        <w:rPr>
          <w:rFonts w:ascii="Arial" w:eastAsia="Calibri" w:hAnsi="Arial" w:cs="Arial"/>
          <w:color w:val="000000" w:themeColor="text1"/>
          <w:sz w:val="22"/>
          <w:lang w:val="es-ES_tradnl"/>
        </w:rPr>
        <w:t xml:space="preserve"> </w:t>
      </w:r>
      <w:r w:rsidRPr="00916C68">
        <w:rPr>
          <w:rFonts w:ascii="Arial" w:eastAsia="Calibri" w:hAnsi="Arial" w:cs="Arial"/>
          <w:color w:val="000000" w:themeColor="text1"/>
          <w:sz w:val="22"/>
          <w:lang w:val="es-ES_tradnl"/>
        </w:rPr>
        <w:t xml:space="preserve">Conforme al significado natural de las palabras, </w:t>
      </w:r>
      <w:r w:rsidR="00916C68" w:rsidRPr="00916C68">
        <w:rPr>
          <w:rFonts w:ascii="Arial" w:eastAsia="Calibri" w:hAnsi="Arial" w:cs="Arial"/>
          <w:color w:val="000000" w:themeColor="text1"/>
          <w:sz w:val="22"/>
          <w:lang w:val="es-ES_tradnl"/>
        </w:rPr>
        <w:t xml:space="preserve">se puede concluir que </w:t>
      </w:r>
      <w:r w:rsidRPr="00916C68">
        <w:rPr>
          <w:rFonts w:ascii="Arial" w:eastAsia="Calibri" w:hAnsi="Arial" w:cs="Arial"/>
          <w:color w:val="000000" w:themeColor="text1"/>
          <w:sz w:val="22"/>
          <w:lang w:val="es-ES_tradnl"/>
        </w:rPr>
        <w:t xml:space="preserve"> la diferencia </w:t>
      </w:r>
      <w:r w:rsidR="00916C68" w:rsidRPr="00916C68">
        <w:rPr>
          <w:rFonts w:ascii="Arial" w:eastAsia="Calibri" w:hAnsi="Arial" w:cs="Arial"/>
          <w:color w:val="000000" w:themeColor="text1"/>
          <w:sz w:val="22"/>
          <w:lang w:val="es-ES_tradnl"/>
        </w:rPr>
        <w:t xml:space="preserve">entre desastre y calamidad </w:t>
      </w:r>
      <w:r w:rsidRPr="00916C68">
        <w:rPr>
          <w:rFonts w:ascii="Arial" w:eastAsia="Calibri" w:hAnsi="Arial" w:cs="Arial"/>
          <w:color w:val="000000" w:themeColor="text1"/>
          <w:sz w:val="22"/>
          <w:lang w:val="es-ES_tradnl"/>
        </w:rPr>
        <w:t xml:space="preserve">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los definió </w:t>
      </w:r>
      <w:bookmarkStart w:id="9" w:name="_Hlk35879271"/>
      <w:r w:rsidRPr="00916C68">
        <w:rPr>
          <w:rFonts w:ascii="Arial" w:eastAsia="Calibri" w:hAnsi="Arial" w:cs="Arial"/>
          <w:color w:val="000000" w:themeColor="text1"/>
          <w:sz w:val="22"/>
          <w:lang w:val="es-ES_tradnl"/>
        </w:rPr>
        <w:t>el artículo 4, numerales 5 y 8, de la Ley 1523 de 2012</w:t>
      </w:r>
      <w:bookmarkEnd w:id="9"/>
      <w:r w:rsidRPr="00916C68">
        <w:rPr>
          <w:rFonts w:ascii="Arial" w:eastAsia="Calibri" w:hAnsi="Arial" w:cs="Arial"/>
          <w:color w:val="000000" w:themeColor="text1"/>
          <w:sz w:val="22"/>
          <w:lang w:val="es-ES_tradnl"/>
        </w:rPr>
        <w:t>:</w:t>
      </w:r>
    </w:p>
    <w:p w14:paraId="69AD6886" w14:textId="77777777" w:rsidR="00001E00" w:rsidRPr="00916C68" w:rsidRDefault="00001E00" w:rsidP="00916C68">
      <w:pPr>
        <w:spacing w:line="276" w:lineRule="auto"/>
        <w:jc w:val="both"/>
        <w:rPr>
          <w:rFonts w:ascii="Arial" w:eastAsia="Calibri" w:hAnsi="Arial" w:cs="Arial"/>
          <w:color w:val="000000" w:themeColor="text1"/>
          <w:sz w:val="22"/>
          <w:lang w:val="es-ES_tradnl"/>
        </w:rPr>
      </w:pPr>
    </w:p>
    <w:p w14:paraId="3C8FD384" w14:textId="77974B82" w:rsidR="00001E00" w:rsidRPr="00916C68" w:rsidRDefault="00001E00" w:rsidP="00916C68">
      <w:pPr>
        <w:ind w:left="709" w:right="709"/>
        <w:jc w:val="both"/>
        <w:rPr>
          <w:rFonts w:ascii="Arial" w:eastAsia="Calibri" w:hAnsi="Arial" w:cs="Arial"/>
          <w:color w:val="000000" w:themeColor="text1"/>
          <w:sz w:val="21"/>
          <w:szCs w:val="21"/>
          <w:lang w:val="es-ES_tradnl"/>
        </w:rPr>
      </w:pPr>
      <w:r w:rsidRPr="00916C68">
        <w:rPr>
          <w:rFonts w:ascii="Arial" w:eastAsia="Calibri" w:hAnsi="Arial" w:cs="Arial"/>
          <w:color w:val="000000" w:themeColor="text1"/>
          <w:sz w:val="21"/>
          <w:szCs w:val="21"/>
          <w:lang w:val="es-ES_tradnl"/>
        </w:rPr>
        <w:t>Art. 4. Para efectos de la presente ley se entenderá por:</w:t>
      </w:r>
    </w:p>
    <w:p w14:paraId="74B24BF0" w14:textId="77777777" w:rsidR="00001E00" w:rsidRPr="00916C68" w:rsidRDefault="00001E00" w:rsidP="00001E00">
      <w:pPr>
        <w:spacing w:before="120"/>
        <w:ind w:left="709" w:right="709"/>
        <w:jc w:val="both"/>
        <w:rPr>
          <w:rFonts w:ascii="Arial" w:eastAsia="Calibri" w:hAnsi="Arial" w:cs="Arial"/>
          <w:color w:val="000000" w:themeColor="text1"/>
          <w:sz w:val="21"/>
          <w:szCs w:val="21"/>
          <w:lang w:val="es-ES_tradnl"/>
        </w:rPr>
      </w:pPr>
      <w:r w:rsidRPr="00916C68">
        <w:rPr>
          <w:rFonts w:ascii="Arial" w:eastAsia="Calibri" w:hAnsi="Arial" w:cs="Arial"/>
          <w:color w:val="000000" w:themeColor="text1"/>
          <w:sz w:val="21"/>
          <w:szCs w:val="21"/>
          <w:lang w:val="es-ES_tradnl"/>
        </w:rPr>
        <w:t>[…]</w:t>
      </w:r>
    </w:p>
    <w:p w14:paraId="77181FFC" w14:textId="77777777" w:rsidR="00001E00" w:rsidRPr="00916C68" w:rsidRDefault="00001E00" w:rsidP="00001E00">
      <w:pPr>
        <w:spacing w:before="120"/>
        <w:ind w:left="709" w:right="709"/>
        <w:jc w:val="both"/>
        <w:rPr>
          <w:rFonts w:ascii="Arial" w:eastAsia="Calibri" w:hAnsi="Arial" w:cs="Arial"/>
          <w:color w:val="000000" w:themeColor="text1"/>
          <w:sz w:val="21"/>
          <w:szCs w:val="21"/>
          <w:lang w:val="es-ES_tradnl"/>
        </w:rPr>
      </w:pPr>
      <w:r w:rsidRPr="00916C68">
        <w:rPr>
          <w:rFonts w:ascii="Arial" w:eastAsia="Calibri" w:hAnsi="Arial" w:cs="Arial"/>
          <w:color w:val="000000" w:themeColor="text1"/>
          <w:sz w:val="21"/>
          <w:szCs w:val="21"/>
          <w:lang w:val="es-ES_tradnl"/>
        </w:rPr>
        <w:lastRenderedPageBreak/>
        <w:t xml:space="preserve">5. Calamidad pública: Es </w:t>
      </w:r>
      <w:bookmarkStart w:id="10" w:name="_Hlk35879333"/>
      <w:r w:rsidRPr="00916C68">
        <w:rPr>
          <w:rFonts w:ascii="Arial" w:eastAsia="Calibri" w:hAnsi="Arial" w:cs="Arial"/>
          <w:color w:val="000000" w:themeColor="text1"/>
          <w:sz w:val="21"/>
          <w:szCs w:val="21"/>
          <w:lang w:val="es-ES_tradnl"/>
        </w:rPr>
        <w:t xml:space="preserve">el resultado que se desencadena de la manifestación de uno o varios eventos naturales </w:t>
      </w:r>
      <w:bookmarkStart w:id="11" w:name="_Hlk35870820"/>
      <w:r w:rsidRPr="00916C68">
        <w:rPr>
          <w:rFonts w:ascii="Arial" w:eastAsia="Calibri" w:hAnsi="Arial" w:cs="Arial"/>
          <w:color w:val="000000" w:themeColor="text1"/>
          <w:sz w:val="21"/>
          <w:szCs w:val="21"/>
          <w:lang w:val="es-ES_tradnl"/>
        </w:rPr>
        <w:t xml:space="preserve">o antropogénicos no intencionales </w:t>
      </w:r>
      <w:bookmarkEnd w:id="11"/>
      <w:r w:rsidRPr="00916C68">
        <w:rPr>
          <w:rFonts w:ascii="Arial" w:eastAsia="Calibri" w:hAnsi="Arial" w:cs="Arial"/>
          <w:color w:val="000000" w:themeColor="text1"/>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0"/>
      <w:r w:rsidRPr="00916C68">
        <w:rPr>
          <w:rFonts w:ascii="Arial" w:eastAsia="Calibri" w:hAnsi="Arial" w:cs="Arial"/>
          <w:color w:val="000000" w:themeColor="text1"/>
          <w:sz w:val="21"/>
          <w:szCs w:val="21"/>
          <w:lang w:val="es-ES_tradnl"/>
        </w:rPr>
        <w:t>de la población, en el respectivo territorio, que exige al municipio, distrito o departamento ejecutar acciones de respuesta a la emergencia, rehabilitación y reconstrucción.</w:t>
      </w:r>
    </w:p>
    <w:p w14:paraId="738FF2AA" w14:textId="77777777" w:rsidR="00001E00" w:rsidRPr="00916C68" w:rsidRDefault="00001E00" w:rsidP="00001E00">
      <w:pPr>
        <w:spacing w:before="120"/>
        <w:ind w:left="709" w:right="709"/>
        <w:jc w:val="both"/>
        <w:rPr>
          <w:rFonts w:ascii="Arial" w:eastAsia="Calibri" w:hAnsi="Arial" w:cs="Arial"/>
          <w:color w:val="000000" w:themeColor="text1"/>
          <w:sz w:val="21"/>
          <w:szCs w:val="21"/>
          <w:lang w:val="es-ES_tradnl"/>
        </w:rPr>
      </w:pPr>
      <w:r w:rsidRPr="00916C68">
        <w:rPr>
          <w:rFonts w:ascii="Arial" w:eastAsia="Calibri" w:hAnsi="Arial" w:cs="Arial"/>
          <w:color w:val="000000" w:themeColor="text1"/>
          <w:sz w:val="21"/>
          <w:szCs w:val="21"/>
          <w:lang w:val="es-ES_tradnl"/>
        </w:rPr>
        <w:t xml:space="preserve">[…] </w:t>
      </w:r>
    </w:p>
    <w:p w14:paraId="745D6827" w14:textId="77777777" w:rsidR="00001E00" w:rsidRPr="00916C68" w:rsidRDefault="00001E00" w:rsidP="00001E00">
      <w:pPr>
        <w:spacing w:before="120"/>
        <w:ind w:left="709" w:right="709"/>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3E719EDF" w14:textId="77777777" w:rsidR="00001E00" w:rsidRPr="00916C68" w:rsidRDefault="00001E00" w:rsidP="00916C68">
      <w:pPr>
        <w:ind w:left="709" w:right="709"/>
        <w:jc w:val="both"/>
        <w:rPr>
          <w:rFonts w:ascii="Arial" w:eastAsia="Calibri" w:hAnsi="Arial" w:cs="Arial"/>
          <w:color w:val="000000" w:themeColor="text1"/>
          <w:sz w:val="22"/>
          <w:lang w:val="es-ES_tradnl"/>
        </w:rPr>
      </w:pPr>
    </w:p>
    <w:p w14:paraId="27E8B0D9" w14:textId="3A15DBE5" w:rsidR="00001E00" w:rsidRPr="00916C68" w:rsidRDefault="00001E00" w:rsidP="00916C68">
      <w:pPr>
        <w:spacing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Esta norma debe armonizar</w:t>
      </w:r>
      <w:r w:rsidR="00F07E4C" w:rsidRPr="00916C68">
        <w:rPr>
          <w:rFonts w:ascii="Arial" w:eastAsia="Calibri" w:hAnsi="Arial" w:cs="Arial"/>
          <w:color w:val="000000" w:themeColor="text1"/>
          <w:sz w:val="22"/>
          <w:lang w:val="es-ES_tradnl"/>
        </w:rPr>
        <w:t>se</w:t>
      </w:r>
      <w:r w:rsidRPr="00916C68">
        <w:rPr>
          <w:rFonts w:ascii="Arial" w:eastAsia="Calibri" w:hAnsi="Arial" w:cs="Arial"/>
          <w:color w:val="000000" w:themeColor="text1"/>
          <w:sz w:val="22"/>
          <w:lang w:val="es-ES_tradnl"/>
        </w:rPr>
        <w:t xml:space="preserve"> con los artículos 56 y 57 de la misma ley, que asignan la competencia para declarar la ocurrencia de una situación de </w:t>
      </w:r>
      <w:r w:rsidRPr="00916C68">
        <w:rPr>
          <w:rFonts w:ascii="Arial" w:eastAsia="Calibri" w:hAnsi="Arial" w:cs="Arial"/>
          <w:i/>
          <w:iCs/>
          <w:color w:val="000000" w:themeColor="text1"/>
          <w:sz w:val="22"/>
          <w:lang w:val="es-ES_tradnl"/>
        </w:rPr>
        <w:t>desastre</w:t>
      </w:r>
      <w:r w:rsidRPr="00916C68">
        <w:rPr>
          <w:rFonts w:ascii="Arial" w:eastAsia="Calibri" w:hAnsi="Arial" w:cs="Arial"/>
          <w:color w:val="000000" w:themeColor="text1"/>
          <w:sz w:val="22"/>
          <w:lang w:val="es-ES_tradnl"/>
        </w:rPr>
        <w:t xml:space="preserve"> o una situación de </w:t>
      </w:r>
      <w:r w:rsidRPr="00916C68">
        <w:rPr>
          <w:rFonts w:ascii="Arial" w:eastAsia="Calibri" w:hAnsi="Arial" w:cs="Arial"/>
          <w:i/>
          <w:iCs/>
          <w:color w:val="000000" w:themeColor="text1"/>
          <w:sz w:val="22"/>
          <w:lang w:val="es-ES_tradnl"/>
        </w:rPr>
        <w:t>calamidad pública</w:t>
      </w:r>
      <w:r w:rsidRPr="00916C68">
        <w:rPr>
          <w:rFonts w:ascii="Arial" w:eastAsia="Calibri" w:hAnsi="Arial" w:cs="Arial"/>
          <w:color w:val="000000" w:themeColor="text1"/>
          <w:sz w:val="22"/>
          <w:lang w:val="es-ES_tradnl"/>
        </w:rPr>
        <w:t xml:space="preserve">. Particularmente, disponen que al Presidente de la República le corresponde declarar la situación de </w:t>
      </w:r>
      <w:r w:rsidRPr="00916C68">
        <w:rPr>
          <w:rFonts w:ascii="Arial" w:eastAsia="Calibri" w:hAnsi="Arial" w:cs="Arial"/>
          <w:i/>
          <w:iCs/>
          <w:color w:val="000000" w:themeColor="text1"/>
          <w:sz w:val="22"/>
          <w:lang w:val="es-ES_tradnl"/>
        </w:rPr>
        <w:t>desastre</w:t>
      </w:r>
      <w:r w:rsidRPr="00916C68">
        <w:rPr>
          <w:rFonts w:ascii="Arial" w:eastAsia="Calibri" w:hAnsi="Arial" w:cs="Arial"/>
          <w:color w:val="000000" w:themeColor="text1"/>
          <w:sz w:val="22"/>
          <w:lang w:val="es-ES_tradnl"/>
        </w:rPr>
        <w:t>, tanto en el orden nacional, departamental, como en el municipal y distrital</w:t>
      </w:r>
      <w:r w:rsidRPr="00916C68">
        <w:rPr>
          <w:rStyle w:val="Refdenotaalpie"/>
          <w:rFonts w:ascii="Arial" w:eastAsia="Calibri" w:hAnsi="Arial" w:cs="Arial"/>
          <w:color w:val="000000" w:themeColor="text1"/>
          <w:sz w:val="22"/>
          <w:lang w:val="es-ES_tradnl"/>
        </w:rPr>
        <w:footnoteReference w:id="8"/>
      </w:r>
      <w:r w:rsidRPr="00916C68">
        <w:rPr>
          <w:rFonts w:ascii="Arial" w:eastAsia="Calibri" w:hAnsi="Arial" w:cs="Arial"/>
          <w:color w:val="000000" w:themeColor="text1"/>
          <w:sz w:val="22"/>
          <w:lang w:val="es-ES_tradnl"/>
        </w:rPr>
        <w:t xml:space="preserve">, facultad que no pueden ejercer los gobernadores y </w:t>
      </w:r>
      <w:r w:rsidRPr="00916C68">
        <w:rPr>
          <w:rFonts w:ascii="Arial" w:eastAsia="Calibri" w:hAnsi="Arial" w:cs="Arial"/>
          <w:color w:val="000000" w:themeColor="text1"/>
          <w:sz w:val="22"/>
          <w:lang w:val="es-ES_tradnl"/>
        </w:rPr>
        <w:lastRenderedPageBreak/>
        <w:t>alcaldes, porque la norma no les asignó esta competencia</w:t>
      </w:r>
      <w:r w:rsidR="00F07E4C"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w:t>
      </w:r>
      <w:r w:rsidR="00F07E4C" w:rsidRPr="00916C68">
        <w:rPr>
          <w:rFonts w:ascii="Arial" w:eastAsia="Calibri" w:hAnsi="Arial" w:cs="Arial"/>
          <w:color w:val="000000" w:themeColor="text1"/>
          <w:sz w:val="22"/>
          <w:lang w:val="es-ES_tradnl"/>
        </w:rPr>
        <w:t>N</w:t>
      </w:r>
      <w:r w:rsidRPr="00916C68">
        <w:rPr>
          <w:rFonts w:ascii="Arial" w:eastAsia="Calibri" w:hAnsi="Arial" w:cs="Arial"/>
          <w:color w:val="000000" w:themeColor="text1"/>
          <w:sz w:val="22"/>
          <w:lang w:val="es-ES_tradnl"/>
        </w:rPr>
        <w:t xml:space="preserve">o obstante, a los gobernadores y alcaldes sí les corresponde declarar la </w:t>
      </w:r>
      <w:r w:rsidRPr="00916C68">
        <w:rPr>
          <w:rFonts w:ascii="Arial" w:eastAsia="Calibri" w:hAnsi="Arial" w:cs="Arial"/>
          <w:i/>
          <w:iCs/>
          <w:color w:val="000000" w:themeColor="text1"/>
          <w:sz w:val="22"/>
          <w:lang w:val="es-ES_tradnl"/>
        </w:rPr>
        <w:t>situación de calamidad pública</w:t>
      </w:r>
      <w:r w:rsidRPr="00916C68">
        <w:rPr>
          <w:rFonts w:ascii="Arial" w:eastAsia="Calibri" w:hAnsi="Arial" w:cs="Arial"/>
          <w:color w:val="000000" w:themeColor="text1"/>
          <w:sz w:val="22"/>
          <w:lang w:val="es-ES_tradnl"/>
        </w:rPr>
        <w:t>, en los respectivos ámbitos, facultad que, en cambio, no puede ejercer el presidente de la república</w:t>
      </w:r>
      <w:r w:rsidRPr="00916C68">
        <w:rPr>
          <w:rStyle w:val="Refdenotaalpie"/>
          <w:rFonts w:ascii="Arial" w:eastAsia="Calibri" w:hAnsi="Arial" w:cs="Arial"/>
          <w:color w:val="000000" w:themeColor="text1"/>
          <w:sz w:val="22"/>
          <w:lang w:val="es-ES_tradnl"/>
        </w:rPr>
        <w:footnoteReference w:id="9"/>
      </w:r>
      <w:r w:rsidRPr="00916C68">
        <w:rPr>
          <w:rFonts w:ascii="Arial" w:eastAsia="Calibri" w:hAnsi="Arial" w:cs="Arial"/>
          <w:color w:val="000000" w:themeColor="text1"/>
          <w:sz w:val="22"/>
          <w:lang w:val="es-ES_tradnl"/>
        </w:rPr>
        <w:t xml:space="preserve">. </w:t>
      </w:r>
    </w:p>
    <w:p w14:paraId="24D53486" w14:textId="77777777" w:rsidR="00001E00" w:rsidRPr="00916C68" w:rsidRDefault="00001E00" w:rsidP="00001E00">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De esta manera, una vez se declara la situación de calamidad o la situación de desastre bajo los criterios señalados en el artículo 59 de la Ley 1523 de 2012, por parte de la autoridad competente, las demás entidades estatales –de conformidad con el artículo 42 de la Ley 80 de 1993– quedan facultadas para declarar, a continuación, la causal de contratación directa denominada «urgencia manifiesta», mediante un acto administrativo propio, autónomo, que tiene como fundamento fáctico y jurídico la declaración de situación de calamidad o la situación de desastre. </w:t>
      </w:r>
    </w:p>
    <w:p w14:paraId="224CBB4B" w14:textId="1E64D6D7" w:rsidR="00001E00" w:rsidRPr="00916C68" w:rsidRDefault="00001E00" w:rsidP="00001E00">
      <w:pPr>
        <w:spacing w:before="120" w:line="276" w:lineRule="auto"/>
        <w:ind w:firstLine="708"/>
        <w:jc w:val="both"/>
        <w:rPr>
          <w:rFonts w:ascii="Arial" w:eastAsia="Calibri" w:hAnsi="Arial" w:cs="Arial"/>
          <w:color w:val="000000" w:themeColor="text1"/>
          <w:sz w:val="22"/>
          <w:lang w:val="es-ES_tradnl"/>
        </w:rPr>
      </w:pPr>
      <w:bookmarkStart w:id="12" w:name="_Hlk35959844"/>
      <w:r w:rsidRPr="00916C68">
        <w:rPr>
          <w:rFonts w:ascii="Arial" w:eastAsia="Calibri" w:hAnsi="Arial" w:cs="Arial"/>
          <w:color w:val="000000" w:themeColor="text1"/>
          <w:sz w:val="22"/>
          <w:lang w:val="es-ES_tradnl"/>
        </w:rPr>
        <w:t xml:space="preserve">Lo anterior significa que </w:t>
      </w:r>
      <w:bookmarkStart w:id="13" w:name="_Hlk35959859"/>
      <w:r w:rsidRPr="00916C68">
        <w:rPr>
          <w:rFonts w:ascii="Arial" w:eastAsia="Calibri" w:hAnsi="Arial" w:cs="Arial"/>
          <w:color w:val="000000" w:themeColor="text1"/>
          <w:sz w:val="22"/>
          <w:lang w:val="es-ES_tradnl"/>
        </w:rPr>
        <w:t xml:space="preserve">para contratar </w:t>
      </w:r>
      <w:bookmarkEnd w:id="12"/>
      <w:r w:rsidRPr="00916C68">
        <w:rPr>
          <w:rFonts w:ascii="Arial" w:eastAsia="Calibri" w:hAnsi="Arial" w:cs="Arial"/>
          <w:color w:val="000000" w:themeColor="text1"/>
          <w:sz w:val="22"/>
          <w:lang w:val="es-ES_tradnl"/>
        </w:rPr>
        <w:t>directamente no basta con la declaración de desastre o de calamidad</w:t>
      </w:r>
      <w:r w:rsidR="000F4166"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w:t>
      </w:r>
      <w:r w:rsidR="000F4166" w:rsidRPr="00916C68">
        <w:rPr>
          <w:rFonts w:ascii="Arial" w:eastAsia="Calibri" w:hAnsi="Arial" w:cs="Arial"/>
          <w:color w:val="000000" w:themeColor="text1"/>
          <w:sz w:val="22"/>
          <w:lang w:val="es-ES_tradnl"/>
        </w:rPr>
        <w:t>S</w:t>
      </w:r>
      <w:r w:rsidRPr="00916C68">
        <w:rPr>
          <w:rFonts w:ascii="Arial" w:eastAsia="Calibri" w:hAnsi="Arial" w:cs="Arial"/>
          <w:color w:val="000000" w:themeColor="text1"/>
          <w:sz w:val="22"/>
          <w:lang w:val="es-ES_tradnl"/>
        </w:rPr>
        <w:t>e necesitan dos (2) actos administrativos, concurrentes, para que se pueda contratar directamente por urgencia manifiesta: i) el primero en el tiempo, la declaración de la situación de calamidad pública o la declaración de la situación de desastre, de conformidad con lo establecido en el Capítulo VI de la Ley 1523 de 2012; y ii) el segundo, la declaración propiamente dicha de «urgencia manifiesta», de que trata el art. 42 del Estatuto General de Contratación, amparado o fundamentado en la declaración previa del desastre o calamidad.</w:t>
      </w:r>
    </w:p>
    <w:p w14:paraId="74B9F214" w14:textId="1FAB7D5A" w:rsidR="00001E00" w:rsidRPr="00916C68" w:rsidRDefault="00001E00" w:rsidP="00001E00">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 Sin el primer acto administrativo no es posible expedir el segundo</w:t>
      </w:r>
      <w:r w:rsidR="00CF1DB7"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w:t>
      </w:r>
      <w:r w:rsidR="00CF1DB7" w:rsidRPr="00916C68">
        <w:rPr>
          <w:rFonts w:ascii="Arial" w:eastAsia="Calibri" w:hAnsi="Arial" w:cs="Arial"/>
          <w:color w:val="000000" w:themeColor="text1"/>
          <w:sz w:val="22"/>
          <w:lang w:val="es-ES_tradnl"/>
        </w:rPr>
        <w:t>E</w:t>
      </w:r>
      <w:r w:rsidRPr="00916C68">
        <w:rPr>
          <w:rFonts w:ascii="Arial" w:eastAsia="Calibri" w:hAnsi="Arial" w:cs="Arial"/>
          <w:color w:val="000000" w:themeColor="text1"/>
          <w:sz w:val="22"/>
          <w:lang w:val="es-ES_tradnl"/>
        </w:rPr>
        <w:t xml:space="preserv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1C88CE32" w14:textId="690077FB" w:rsidR="00001E00" w:rsidRPr="00916C68" w:rsidRDefault="00001E00" w:rsidP="00001E00">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w:t>
      </w:r>
      <w:r w:rsidRPr="00916C68">
        <w:rPr>
          <w:rFonts w:ascii="Arial" w:eastAsia="Calibri" w:hAnsi="Arial" w:cs="Arial"/>
          <w:color w:val="000000" w:themeColor="text1"/>
          <w:sz w:val="22"/>
          <w:lang w:val="es-ES_tradnl"/>
        </w:rPr>
        <w:lastRenderedPageBreak/>
        <w:t>dicten los actos respectivos para fundamentar la declaración de urgencia manifiesta en la situación de desastre o en la situación de calamidad</w:t>
      </w:r>
      <w:bookmarkEnd w:id="13"/>
      <w:r w:rsidRPr="00916C68">
        <w:rPr>
          <w:rFonts w:ascii="Arial" w:eastAsia="Calibri" w:hAnsi="Arial" w:cs="Arial"/>
          <w:color w:val="000000" w:themeColor="text1"/>
          <w:sz w:val="22"/>
          <w:lang w:val="es-ES_tradnl"/>
        </w:rPr>
        <w:t xml:space="preserve">. Por lo anterior, cuando el artículo 42 de la Ley 80 de 1993 dispone que la urgencia manifiesta se declara –entre otras tres (3) causales– para «[…] </w:t>
      </w:r>
      <w:bookmarkStart w:id="14" w:name="_Hlk35879915"/>
      <w:r w:rsidRPr="00916C68">
        <w:rPr>
          <w:rFonts w:ascii="Arial" w:eastAsia="Calibri" w:hAnsi="Arial" w:cs="Arial"/>
          <w:color w:val="000000" w:themeColor="text1"/>
          <w:sz w:val="22"/>
          <w:lang w:val="es-ES_tradnl"/>
        </w:rPr>
        <w:t>conjurar situaciones excepcionales relacionadas con hechos de calamidad o constitutivos de fuerza mayor o desastre que demanden actuaciones inmediatas</w:t>
      </w:r>
      <w:bookmarkEnd w:id="14"/>
      <w:r w:rsidRPr="00916C68">
        <w:rPr>
          <w:rFonts w:ascii="Arial" w:eastAsia="Calibri" w:hAnsi="Arial" w:cs="Arial"/>
          <w:color w:val="000000" w:themeColor="text1"/>
          <w:sz w:val="22"/>
          <w:lang w:val="es-ES_tradnl"/>
        </w:rPr>
        <w:t xml:space="preserve"> […]», las circunstancias de calamidad y desastre deben entenderse en los términos de la Ley 1523 de 2012.</w:t>
      </w:r>
    </w:p>
    <w:p w14:paraId="43A4478E" w14:textId="2B506C1B" w:rsidR="00001E00" w:rsidRPr="00916C68" w:rsidRDefault="004E3912" w:rsidP="00001E00">
      <w:pPr>
        <w:spacing w:before="120" w:line="276" w:lineRule="auto"/>
        <w:jc w:val="both"/>
        <w:rPr>
          <w:rFonts w:ascii="Arial" w:eastAsia="Calibri" w:hAnsi="Arial" w:cs="Arial"/>
          <w:color w:val="000000" w:themeColor="text1"/>
          <w:sz w:val="22"/>
          <w:lang w:val="es-ES_tradnl"/>
        </w:rPr>
      </w:pPr>
      <w:r w:rsidRPr="00916C68">
        <w:rPr>
          <w:rFonts w:ascii="Arial" w:eastAsia="Calibri" w:hAnsi="Arial" w:cs="Arial"/>
          <w:b/>
          <w:bCs/>
          <w:color w:val="000000" w:themeColor="text1"/>
          <w:sz w:val="22"/>
          <w:lang w:val="es-ES_tradnl"/>
        </w:rPr>
        <w:tab/>
      </w:r>
      <w:r w:rsidR="00392C20" w:rsidRPr="00916C68">
        <w:rPr>
          <w:rFonts w:ascii="Arial" w:eastAsia="Calibri" w:hAnsi="Arial" w:cs="Arial"/>
          <w:color w:val="000000" w:themeColor="text1"/>
          <w:sz w:val="22"/>
          <w:lang w:val="es-ES_tradnl"/>
        </w:rPr>
        <w:t xml:space="preserve">ii) </w:t>
      </w:r>
      <w:bookmarkStart w:id="15" w:name="_Hlk37246142"/>
      <w:r w:rsidR="00001E00" w:rsidRPr="00916C68">
        <w:rPr>
          <w:rFonts w:ascii="Arial" w:eastAsia="Calibri" w:hAnsi="Arial" w:cs="Arial"/>
          <w:color w:val="000000" w:themeColor="text1"/>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 </w:t>
      </w:r>
    </w:p>
    <w:bookmarkEnd w:id="15"/>
    <w:p w14:paraId="1059EE87" w14:textId="77777777" w:rsidR="00001E00" w:rsidRPr="00916C68" w:rsidRDefault="00001E00" w:rsidP="00001E00">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La interpretación de la norma supone tener en cuenta que, de conformidad con el artículo 47, se constituyó el </w:t>
      </w:r>
      <w:bookmarkStart w:id="16" w:name="_Hlk36225979"/>
      <w:r w:rsidRPr="00916C68">
        <w:rPr>
          <w:rFonts w:ascii="Arial" w:eastAsia="Calibri" w:hAnsi="Arial" w:cs="Arial"/>
          <w:color w:val="000000" w:themeColor="text1"/>
          <w:sz w:val="22"/>
          <w:lang w:val="es-ES_tradnl"/>
        </w:rPr>
        <w:t>Fondo Nacional de Gestión de Riesgo de Desastres</w:t>
      </w:r>
      <w:bookmarkEnd w:id="16"/>
      <w:r w:rsidRPr="00916C68">
        <w:rPr>
          <w:rFonts w:ascii="Arial" w:eastAsia="Calibri" w:hAnsi="Arial" w:cs="Arial"/>
          <w:color w:val="000000" w:themeColor="text1"/>
          <w:sz w:val="22"/>
          <w:lang w:val="es-ES_tradnl"/>
        </w:rPr>
        <w:t xml:space="preserve"> como un patrimonio autónomo –artículo 49–, administrado y representado en los términos del artículo 3° del Decreto 1547 de 1984 –modificado por el artículo 70 de Decreto-ley 919 de 1989</w:t>
      </w:r>
      <w:r w:rsidRPr="00916C68">
        <w:rPr>
          <w:rStyle w:val="Refdenotaalpie"/>
          <w:rFonts w:ascii="Arial" w:eastAsia="Calibri" w:hAnsi="Arial" w:cs="Arial"/>
          <w:color w:val="000000" w:themeColor="text1"/>
          <w:sz w:val="22"/>
          <w:lang w:val="es-ES_tradnl"/>
        </w:rPr>
        <w:footnoteReference w:id="10"/>
      </w:r>
      <w:r w:rsidRPr="00916C68">
        <w:rPr>
          <w:rFonts w:ascii="Arial" w:eastAsia="Calibri" w:hAnsi="Arial" w:cs="Arial"/>
          <w:color w:val="000000" w:themeColor="text1"/>
          <w:sz w:val="22"/>
          <w:lang w:val="es-ES_tradnl"/>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facultades especiales para atender situaciones de desastres y evitar la extensión de los efectos –parágrafo 3 del artículo 50–. </w:t>
      </w:r>
    </w:p>
    <w:p w14:paraId="26023C65" w14:textId="37588407" w:rsidR="00001E00" w:rsidRPr="00916C68" w:rsidRDefault="00001E00" w:rsidP="002E3C26">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La disposición citada también establece que las entidades territoriales deben constituir sus propios </w:t>
      </w:r>
      <w:r w:rsidRPr="00916C68">
        <w:rPr>
          <w:rFonts w:ascii="Arial" w:eastAsia="Calibri" w:hAnsi="Arial" w:cs="Arial"/>
          <w:i/>
          <w:iCs/>
          <w:color w:val="000000" w:themeColor="text1"/>
          <w:sz w:val="22"/>
          <w:lang w:val="es-ES_tradnl"/>
        </w:rPr>
        <w:t>fondos de gestión del riesgo</w:t>
      </w:r>
      <w:r w:rsidRPr="00916C68">
        <w:rPr>
          <w:rFonts w:ascii="Arial" w:eastAsia="Calibri" w:hAnsi="Arial" w:cs="Arial"/>
          <w:color w:val="000000" w:themeColor="text1"/>
          <w:sz w:val="22"/>
          <w:lang w:val="es-ES_tradnl"/>
        </w:rPr>
        <w:t>, bajo el mismo esquema del Fondo Nacional, con el propósito de invertir, destinar y ejecutar sus recursos en la adopción de medidas de conocimiento y reducción del riesgo, preparación, respuesta, rehabilitación y reconstrucción en situaciones de desastre o calamidad pública –artículo 54</w:t>
      </w:r>
      <w:r w:rsidRPr="00916C68">
        <w:rPr>
          <w:rStyle w:val="Refdenotaalpie"/>
          <w:rFonts w:ascii="Arial" w:eastAsia="Calibri" w:hAnsi="Arial" w:cs="Arial"/>
          <w:color w:val="000000" w:themeColor="text1"/>
          <w:sz w:val="22"/>
          <w:lang w:val="es-ES_tradnl"/>
        </w:rPr>
        <w:footnoteReference w:id="11"/>
      </w:r>
      <w:r w:rsidRPr="00916C68">
        <w:rPr>
          <w:rFonts w:ascii="Arial" w:eastAsia="Calibri" w:hAnsi="Arial" w:cs="Arial"/>
          <w:color w:val="000000" w:themeColor="text1"/>
          <w:sz w:val="22"/>
          <w:lang w:val="es-ES_tradnl"/>
        </w:rPr>
        <w:t>–. En este contexto, el artículo 66 de la Ley 1523 de 2012 dispone lo siguiente:</w:t>
      </w:r>
    </w:p>
    <w:p w14:paraId="59CDD848" w14:textId="77777777" w:rsidR="004E3912" w:rsidRPr="00916C68" w:rsidRDefault="004E3912" w:rsidP="00916C68">
      <w:pPr>
        <w:spacing w:line="276" w:lineRule="auto"/>
        <w:ind w:firstLine="708"/>
        <w:jc w:val="both"/>
        <w:rPr>
          <w:rFonts w:ascii="Arial" w:eastAsia="Calibri" w:hAnsi="Arial" w:cs="Arial"/>
          <w:color w:val="000000" w:themeColor="text1"/>
          <w:sz w:val="22"/>
          <w:lang w:val="es-ES_tradnl"/>
        </w:rPr>
      </w:pPr>
    </w:p>
    <w:p w14:paraId="3ED3C768" w14:textId="71FE9B76" w:rsidR="00001E00" w:rsidRPr="00916C68" w:rsidRDefault="00001E00" w:rsidP="00916C68">
      <w:pPr>
        <w:ind w:left="709" w:right="709"/>
        <w:jc w:val="both"/>
        <w:rPr>
          <w:rFonts w:ascii="Arial" w:eastAsia="Calibri" w:hAnsi="Arial" w:cs="Arial"/>
          <w:color w:val="000000" w:themeColor="text1"/>
          <w:sz w:val="21"/>
          <w:szCs w:val="21"/>
          <w:lang w:val="es-ES_tradnl"/>
        </w:rPr>
      </w:pPr>
      <w:r w:rsidRPr="00916C68">
        <w:rPr>
          <w:rFonts w:ascii="Arial" w:eastAsia="Calibri" w:hAnsi="Arial" w:cs="Arial"/>
          <w:color w:val="000000" w:themeColor="text1"/>
          <w:sz w:val="21"/>
          <w:szCs w:val="21"/>
          <w:lang w:val="es-ES_tradnl"/>
        </w:rPr>
        <w:t xml:space="preserve">Art. 66. Salvo lo dispuesto para los contratos de empréstito interno y externo, los contratos que celebre la sociedad fiduciaria para la ejecución de los bienes, derechos e intereses del </w:t>
      </w:r>
      <w:bookmarkStart w:id="18" w:name="_Hlk36227796"/>
      <w:r w:rsidRPr="00916C68">
        <w:rPr>
          <w:rFonts w:ascii="Arial" w:eastAsia="Calibri" w:hAnsi="Arial" w:cs="Arial"/>
          <w:color w:val="000000" w:themeColor="text1"/>
          <w:sz w:val="21"/>
          <w:szCs w:val="21"/>
          <w:lang w:val="es-ES_tradnl"/>
        </w:rPr>
        <w:t>Fondo Nacional de Gestión del Riesgo</w:t>
      </w:r>
      <w:bookmarkEnd w:id="18"/>
      <w:r w:rsidRPr="00916C68">
        <w:rPr>
          <w:rFonts w:ascii="Arial" w:eastAsia="Calibri" w:hAnsi="Arial" w:cs="Arial"/>
          <w:color w:val="000000" w:themeColor="text1"/>
          <w:sz w:val="21"/>
          <w:szCs w:val="21"/>
          <w:lang w:val="es-ES_tradnl"/>
        </w:rPr>
        <w:t xml:space="preserve"> o los celebrados </w:t>
      </w:r>
      <w:bookmarkStart w:id="19" w:name="_Hlk36227833"/>
      <w:r w:rsidRPr="00916C68">
        <w:rPr>
          <w:rFonts w:ascii="Arial" w:eastAsia="Calibri" w:hAnsi="Arial" w:cs="Arial"/>
          <w:color w:val="000000" w:themeColor="text1"/>
          <w:sz w:val="21"/>
          <w:szCs w:val="21"/>
          <w:lang w:val="es-ES_tradnl"/>
        </w:rPr>
        <w:t>por las entidades ejecutoras que reciban recursos provenientes de este fondo</w:t>
      </w:r>
      <w:bookmarkEnd w:id="19"/>
      <w:r w:rsidRPr="00916C68">
        <w:rPr>
          <w:rFonts w:ascii="Arial" w:eastAsia="Calibri" w:hAnsi="Arial" w:cs="Arial"/>
          <w:color w:val="000000" w:themeColor="text1"/>
          <w:sz w:val="21"/>
          <w:szCs w:val="21"/>
          <w:lang w:val="es-ES_tradnl"/>
        </w:rPr>
        <w:t xml:space="preserve"> o </w:t>
      </w:r>
      <w:bookmarkStart w:id="20" w:name="_Hlk36228014"/>
      <w:r w:rsidRPr="00916C68">
        <w:rPr>
          <w:rFonts w:ascii="Arial" w:eastAsia="Calibri" w:hAnsi="Arial" w:cs="Arial"/>
          <w:color w:val="000000" w:themeColor="text1"/>
          <w:sz w:val="21"/>
          <w:szCs w:val="21"/>
          <w:lang w:val="es-ES_tradnl"/>
        </w:rPr>
        <w:t>los celebrados por las entidades territoriales y sus fondos de gestión del riesgo</w:t>
      </w:r>
      <w:bookmarkEnd w:id="20"/>
      <w:r w:rsidRPr="00916C68">
        <w:rPr>
          <w:rFonts w:ascii="Arial" w:eastAsia="Calibri" w:hAnsi="Arial" w:cs="Arial"/>
          <w:color w:val="000000" w:themeColor="text1"/>
          <w:sz w:val="21"/>
          <w:szCs w:val="21"/>
          <w:lang w:val="es-ES_tradnl"/>
        </w:rPr>
        <w:t xml:space="preserve">, </w:t>
      </w:r>
      <w:bookmarkStart w:id="21" w:name="_Hlk36228190"/>
      <w:r w:rsidRPr="00916C68">
        <w:rPr>
          <w:rFonts w:ascii="Arial" w:eastAsia="Calibri" w:hAnsi="Arial" w:cs="Arial"/>
          <w:color w:val="000000" w:themeColor="text1"/>
          <w:sz w:val="21"/>
          <w:szCs w:val="21"/>
          <w:lang w:val="es-ES_tradnl"/>
        </w:rPr>
        <w:t xml:space="preserve">relacionados </w:t>
      </w:r>
      <w:bookmarkStart w:id="22" w:name="_Hlk36229456"/>
      <w:r w:rsidRPr="00916C68">
        <w:rPr>
          <w:rFonts w:ascii="Arial" w:eastAsia="Calibri" w:hAnsi="Arial" w:cs="Arial"/>
          <w:color w:val="000000" w:themeColor="text1"/>
          <w:sz w:val="21"/>
          <w:szCs w:val="21"/>
          <w:lang w:val="es-ES_tradnl"/>
        </w:rPr>
        <w:t>directamente con las actividades de respuesta, de rehabilitación y reconstrucción</w:t>
      </w:r>
      <w:bookmarkEnd w:id="22"/>
      <w:r w:rsidRPr="00916C68">
        <w:rPr>
          <w:rFonts w:ascii="Arial" w:eastAsia="Calibri" w:hAnsi="Arial" w:cs="Arial"/>
          <w:color w:val="000000" w:themeColor="text1"/>
          <w:sz w:val="21"/>
          <w:szCs w:val="21"/>
          <w:lang w:val="es-ES_tradnl"/>
        </w:rPr>
        <w:t xml:space="preserve"> de las zonas declaradas en situación de desastre o calamidad pública</w:t>
      </w:r>
      <w:bookmarkEnd w:id="21"/>
      <w:r w:rsidRPr="00916C68">
        <w:rPr>
          <w:rFonts w:ascii="Arial" w:eastAsia="Calibri" w:hAnsi="Arial" w:cs="Arial"/>
          <w:color w:val="000000" w:themeColor="text1"/>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5D95BD04" w14:textId="77777777" w:rsidR="00001E00" w:rsidRPr="00916C68" w:rsidRDefault="00001E00" w:rsidP="00001E00">
      <w:pPr>
        <w:spacing w:before="120"/>
        <w:ind w:left="709" w:right="709"/>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5481334B" w14:textId="77777777" w:rsidR="00001E00" w:rsidRPr="00916C68" w:rsidRDefault="00001E00" w:rsidP="00916C68">
      <w:pPr>
        <w:spacing w:line="276" w:lineRule="auto"/>
        <w:jc w:val="both"/>
        <w:rPr>
          <w:rFonts w:ascii="Arial" w:eastAsia="Calibri" w:hAnsi="Arial" w:cs="Arial"/>
          <w:color w:val="000000" w:themeColor="text1"/>
          <w:sz w:val="22"/>
          <w:lang w:val="es-ES_tradnl"/>
        </w:rPr>
      </w:pPr>
    </w:p>
    <w:p w14:paraId="7B99B336" w14:textId="77777777" w:rsidR="00001E00" w:rsidRPr="00916C68" w:rsidRDefault="00001E00" w:rsidP="00916C68">
      <w:pPr>
        <w:spacing w:line="276" w:lineRule="auto"/>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ab/>
      </w:r>
      <w:bookmarkStart w:id="23" w:name="_Hlk37246222"/>
      <w:r w:rsidRPr="00916C68">
        <w:rPr>
          <w:rFonts w:ascii="Arial" w:eastAsia="Calibri" w:hAnsi="Arial" w:cs="Arial"/>
          <w:color w:val="000000" w:themeColor="text1"/>
          <w:sz w:val="22"/>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ii) por las entidades ejecutoras que reciban recursos provenientes de este fondo y iii) los celebrados por las entidades territoriales y sus fondos de gestión del riesgo. </w:t>
      </w:r>
    </w:p>
    <w:p w14:paraId="25228F51" w14:textId="54CD7848" w:rsidR="00001E00" w:rsidRPr="00916C68" w:rsidRDefault="00001E00" w:rsidP="000220D9">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Cuando se declare la situación de desastre o la situación de calamidad pública, las instituciones mencionadas antes son las únicas excluidas de la Ley 80</w:t>
      </w:r>
      <w:r w:rsidR="00E82C57"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w:t>
      </w:r>
      <w:r w:rsidR="00E82C57" w:rsidRPr="00916C68">
        <w:rPr>
          <w:rFonts w:ascii="Arial" w:eastAsia="Calibri" w:hAnsi="Arial" w:cs="Arial"/>
          <w:color w:val="000000" w:themeColor="text1"/>
          <w:sz w:val="22"/>
          <w:lang w:val="es-ES_tradnl"/>
        </w:rPr>
        <w:t>L</w:t>
      </w:r>
      <w:r w:rsidRPr="00916C68">
        <w:rPr>
          <w:rFonts w:ascii="Arial" w:eastAsia="Calibri" w:hAnsi="Arial" w:cs="Arial"/>
          <w:color w:val="000000" w:themeColor="text1"/>
          <w:sz w:val="22"/>
          <w:lang w:val="es-ES_tradnl"/>
        </w:rPr>
        <w:t xml:space="preserve">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r w:rsidR="00E82C57" w:rsidRPr="00916C68">
        <w:rPr>
          <w:rFonts w:ascii="Arial" w:eastAsia="Calibri" w:hAnsi="Arial" w:cs="Arial"/>
          <w:color w:val="000000" w:themeColor="text1"/>
          <w:sz w:val="22"/>
          <w:lang w:val="es-ES_tradnl"/>
        </w:rPr>
        <w:t>Incluso</w:t>
      </w:r>
      <w:r w:rsidRPr="00916C68">
        <w:rPr>
          <w:rFonts w:ascii="Arial" w:eastAsia="Calibri" w:hAnsi="Arial" w:cs="Arial"/>
          <w:color w:val="000000" w:themeColor="text1"/>
          <w:sz w:val="22"/>
          <w:lang w:val="es-ES_tradnl"/>
        </w:rPr>
        <w:t xml:space="preserve">,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2B651707" w14:textId="08AA54DC" w:rsidR="00001E00" w:rsidRPr="00916C68" w:rsidRDefault="00001E00" w:rsidP="00A00BEF">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En otras palabras, la pura y simple declaración de desastre o de calamidad pública conduce a que las autoridades mencionadas atrás se excluyan de la Ley 80, y pasen a </w:t>
      </w:r>
      <w:r w:rsidRPr="00916C68">
        <w:rPr>
          <w:rFonts w:ascii="Arial" w:eastAsia="Calibri" w:hAnsi="Arial" w:cs="Arial"/>
          <w:color w:val="000000" w:themeColor="text1"/>
          <w:sz w:val="22"/>
          <w:lang w:val="es-ES_tradnl"/>
        </w:rPr>
        <w:lastRenderedPageBreak/>
        <w:t>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24" w:name="_Hlk36232417"/>
      <w:r w:rsidRPr="00916C68">
        <w:rPr>
          <w:rFonts w:ascii="Arial" w:eastAsia="Calibri" w:hAnsi="Arial" w:cs="Arial"/>
          <w:color w:val="000000" w:themeColor="text1"/>
          <w:sz w:val="22"/>
          <w:lang w:val="es-ES_tradnl"/>
        </w:rPr>
        <w:t>.</w:t>
      </w:r>
      <w:bookmarkEnd w:id="23"/>
      <w:bookmarkEnd w:id="24"/>
      <w:r w:rsidR="002E3C26" w:rsidRPr="00916C68">
        <w:rPr>
          <w:rFonts w:ascii="Arial" w:eastAsia="Calibri" w:hAnsi="Arial" w:cs="Arial"/>
          <w:color w:val="000000" w:themeColor="text1"/>
          <w:sz w:val="22"/>
          <w:lang w:val="es-ES_tradnl"/>
        </w:rPr>
        <w:t xml:space="preserve">    </w:t>
      </w:r>
    </w:p>
    <w:p w14:paraId="09863C37" w14:textId="77777777" w:rsidR="00A00BEF" w:rsidRPr="00916C68" w:rsidRDefault="00A00BEF" w:rsidP="00916C68">
      <w:pPr>
        <w:spacing w:line="276" w:lineRule="auto"/>
        <w:ind w:firstLine="708"/>
        <w:jc w:val="both"/>
        <w:rPr>
          <w:rFonts w:ascii="Arial" w:eastAsia="Calibri" w:hAnsi="Arial" w:cs="Arial"/>
          <w:color w:val="000000" w:themeColor="text1"/>
          <w:sz w:val="22"/>
          <w:lang w:val="es-ES_tradnl"/>
        </w:rPr>
      </w:pPr>
    </w:p>
    <w:p w14:paraId="1841C9DF" w14:textId="645C76D7" w:rsidR="00704B3D" w:rsidRPr="00916C68" w:rsidRDefault="00001E00" w:rsidP="00704B3D">
      <w:pPr>
        <w:jc w:val="both"/>
        <w:rPr>
          <w:rFonts w:ascii="Arial" w:hAnsi="Arial" w:cs="Arial"/>
          <w:b/>
          <w:bCs/>
          <w:sz w:val="22"/>
          <w:szCs w:val="22"/>
          <w:lang w:eastAsia="es-CO"/>
        </w:rPr>
      </w:pPr>
      <w:r w:rsidRPr="00916C68">
        <w:rPr>
          <w:rFonts w:ascii="Arial" w:hAnsi="Arial" w:cs="Arial"/>
          <w:b/>
          <w:color w:val="000000" w:themeColor="text1"/>
          <w:sz w:val="22"/>
        </w:rPr>
        <w:t>2.</w:t>
      </w:r>
      <w:r w:rsidR="004602CE" w:rsidRPr="00916C68">
        <w:rPr>
          <w:rFonts w:ascii="Arial" w:hAnsi="Arial" w:cs="Arial"/>
          <w:b/>
          <w:color w:val="000000" w:themeColor="text1"/>
          <w:sz w:val="22"/>
        </w:rPr>
        <w:t>3</w:t>
      </w:r>
      <w:r w:rsidRPr="00916C68">
        <w:rPr>
          <w:rFonts w:ascii="Arial" w:hAnsi="Arial" w:cs="Arial"/>
          <w:b/>
          <w:color w:val="000000" w:themeColor="text1"/>
          <w:sz w:val="22"/>
        </w:rPr>
        <w:t xml:space="preserve">. </w:t>
      </w:r>
      <w:r w:rsidR="006A112B" w:rsidRPr="00916C68">
        <w:rPr>
          <w:rFonts w:ascii="Arial" w:hAnsi="Arial" w:cs="Arial"/>
          <w:b/>
          <w:color w:val="000000" w:themeColor="text1"/>
          <w:sz w:val="22"/>
        </w:rPr>
        <w:t xml:space="preserve"> </w:t>
      </w:r>
      <w:bookmarkStart w:id="25" w:name="_Hlk72925066"/>
      <w:r w:rsidR="007B71BB" w:rsidRPr="00916C68">
        <w:rPr>
          <w:rFonts w:ascii="Arial" w:hAnsi="Arial" w:cs="Arial"/>
          <w:b/>
          <w:color w:val="000000" w:themeColor="text1"/>
          <w:sz w:val="22"/>
        </w:rPr>
        <w:t>Alcance de la actividad consagrada en el numeral 4 de la «Matriz 1 – Experiencia» de los documentos tipo de infraestructura de transporte</w:t>
      </w:r>
      <w:r w:rsidR="007B71BB" w:rsidRPr="00916C68" w:rsidDel="007B71BB">
        <w:rPr>
          <w:rFonts w:ascii="Arial" w:hAnsi="Arial" w:cs="Arial"/>
          <w:b/>
          <w:color w:val="000000" w:themeColor="text1"/>
          <w:sz w:val="22"/>
        </w:rPr>
        <w:t xml:space="preserve"> </w:t>
      </w:r>
      <w:bookmarkEnd w:id="25"/>
    </w:p>
    <w:p w14:paraId="384B528A" w14:textId="77777777" w:rsidR="00A00BEF" w:rsidRPr="00916C68" w:rsidRDefault="00A00BEF" w:rsidP="00704B3D">
      <w:pPr>
        <w:jc w:val="both"/>
        <w:rPr>
          <w:rFonts w:ascii="Arial" w:hAnsi="Arial" w:cs="Arial"/>
          <w:b/>
          <w:bCs/>
          <w:sz w:val="22"/>
          <w:szCs w:val="22"/>
          <w:lang w:eastAsia="es-CO"/>
        </w:rPr>
      </w:pPr>
    </w:p>
    <w:p w14:paraId="380F132E" w14:textId="77777777" w:rsidR="001C6476" w:rsidRPr="00916C68" w:rsidRDefault="001C6476" w:rsidP="00916C68">
      <w:pPr>
        <w:spacing w:line="276" w:lineRule="auto"/>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En relación con los documentos tipo de obra pública de infraestructura de transporte, de acuerdo con las condiciones fijadas en los «Documentos Base»,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14:paraId="355F98F7" w14:textId="77777777" w:rsidR="001C6476" w:rsidRPr="00916C68" w:rsidRDefault="001C6476" w:rsidP="00617A5B">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 Para fijar las condiciones que deben cumplir los contratos aportados, en términos de actividades ejecutadas, las entidades deben utilizar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7B0726C8" w14:textId="28F5CA96" w:rsidR="00057930" w:rsidRPr="00916C68" w:rsidRDefault="001C6476" w:rsidP="001C6476">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En relación con el primer aspecto, por ser el objeto de su consulta, la Matriz 1 está constituida por ocho (8) tipos de obras de infraestructura de transporte, identificadas con un número y su descripción, los cuales son: </w:t>
      </w:r>
      <w:bookmarkStart w:id="26" w:name="_Hlk66742751"/>
      <w:r w:rsidRPr="00916C68">
        <w:rPr>
          <w:rFonts w:ascii="Arial" w:eastAsia="Calibri" w:hAnsi="Arial" w:cs="Arial"/>
          <w:color w:val="000000" w:themeColor="text1"/>
          <w:sz w:val="22"/>
          <w:lang w:val="es-ES_tradnl"/>
        </w:rPr>
        <w:t>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w:t>
      </w:r>
      <w:bookmarkEnd w:id="26"/>
      <w:r w:rsidRPr="00916C68">
        <w:rPr>
          <w:rFonts w:ascii="Arial" w:eastAsia="Calibri" w:hAnsi="Arial" w:cs="Arial"/>
          <w:color w:val="000000" w:themeColor="text1"/>
          <w:sz w:val="22"/>
          <w:lang w:val="es-ES_tradnl"/>
        </w:rPr>
        <w:t>. Estos determinan el marco para la aplicación de los documentos tipo, dado que comprenden todas aquellas actividades que constituyen obra pública de infraestructura de transporte y que han sido objeto de estandarización.</w:t>
      </w:r>
    </w:p>
    <w:p w14:paraId="6E78B60E" w14:textId="77777777" w:rsidR="002B3F99" w:rsidRPr="00916C68" w:rsidRDefault="001C6476" w:rsidP="001C6476">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Con respecto a la actividad a contratar, la Matriz 1 establece cuáles corresponden a cada uno de los tipos de infraestructura mencionados, con el fin de que la entidad identifique aquellas en las cuales puede encuadrarse de mejor forma el objeto que pretende ejecutar y determinar los requisitos de experiencia exigibles. </w:t>
      </w:r>
    </w:p>
    <w:p w14:paraId="0C106459" w14:textId="6F8A2140" w:rsidR="00C55340" w:rsidRPr="00916C68" w:rsidRDefault="002B3F99" w:rsidP="00EE12EA">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Ahora, con relación</w:t>
      </w:r>
      <w:r w:rsidR="00C24D71" w:rsidRPr="00916C68">
        <w:rPr>
          <w:rFonts w:ascii="Arial" w:eastAsia="Calibri" w:hAnsi="Arial" w:cs="Arial"/>
          <w:color w:val="000000" w:themeColor="text1"/>
          <w:sz w:val="22"/>
          <w:lang w:val="es-ES_tradnl"/>
        </w:rPr>
        <w:t xml:space="preserve"> al</w:t>
      </w:r>
      <w:r w:rsidR="001C6476" w:rsidRPr="00916C68">
        <w:rPr>
          <w:rFonts w:ascii="Arial" w:eastAsia="Calibri" w:hAnsi="Arial" w:cs="Arial"/>
          <w:color w:val="000000" w:themeColor="text1"/>
          <w:sz w:val="22"/>
          <w:lang w:val="es-ES_tradnl"/>
        </w:rPr>
        <w:t xml:space="preserve"> tipo de infraestructura «</w:t>
      </w:r>
      <w:r w:rsidRPr="00916C68">
        <w:rPr>
          <w:rFonts w:ascii="Arial" w:eastAsia="Calibri" w:hAnsi="Arial" w:cs="Arial"/>
          <w:color w:val="000000" w:themeColor="text1"/>
          <w:sz w:val="22"/>
          <w:lang w:val="es-ES_tradnl"/>
        </w:rPr>
        <w:t>4. OBRAS EN VIAS PRIMARIAS O SECUNDARIAS O TERCIARIAS O URBANAS PARA ATENCIÓN, PREVENCIÓN O MITIGACIÓN DE EMERGENCIAS DIFERENTES A CONTRATACIÓN DIRECTA</w:t>
      </w:r>
      <w:r w:rsidR="0022595D" w:rsidRPr="00916C68">
        <w:rPr>
          <w:rFonts w:ascii="Arial" w:eastAsia="Calibri" w:hAnsi="Arial" w:cs="Arial"/>
          <w:color w:val="000000" w:themeColor="text1"/>
          <w:sz w:val="22"/>
          <w:lang w:val="es-ES_tradnl"/>
        </w:rPr>
        <w:t>»</w:t>
      </w:r>
      <w:r w:rsidR="004C0CC6" w:rsidRPr="00916C68">
        <w:rPr>
          <w:rFonts w:ascii="Arial" w:eastAsia="Calibri" w:hAnsi="Arial" w:cs="Arial"/>
          <w:color w:val="000000" w:themeColor="text1"/>
          <w:sz w:val="22"/>
          <w:lang w:val="es-ES_tradnl"/>
        </w:rPr>
        <w:t xml:space="preserve">, </w:t>
      </w:r>
      <w:r w:rsidR="00C55340" w:rsidRPr="00916C68">
        <w:rPr>
          <w:rFonts w:ascii="Arial" w:eastAsia="Calibri" w:hAnsi="Arial" w:cs="Arial"/>
          <w:color w:val="000000" w:themeColor="text1"/>
          <w:sz w:val="22"/>
          <w:lang w:val="es-ES_tradnl"/>
        </w:rPr>
        <w:t xml:space="preserve">las versiones 1 y 2 de </w:t>
      </w:r>
      <w:r w:rsidR="00EE12EA" w:rsidRPr="00916C68">
        <w:rPr>
          <w:rFonts w:ascii="Arial" w:eastAsia="Calibri" w:hAnsi="Arial" w:cs="Arial"/>
          <w:color w:val="000000" w:themeColor="text1"/>
          <w:sz w:val="22"/>
          <w:lang w:val="es-ES_tradnl"/>
        </w:rPr>
        <w:t>los</w:t>
      </w:r>
      <w:r w:rsidR="00C55340" w:rsidRPr="00916C68">
        <w:rPr>
          <w:rFonts w:ascii="Arial" w:eastAsia="Calibri" w:hAnsi="Arial" w:cs="Arial"/>
          <w:color w:val="000000" w:themeColor="text1"/>
          <w:sz w:val="22"/>
          <w:lang w:val="es-ES_tradnl"/>
        </w:rPr>
        <w:t xml:space="preserve"> D</w:t>
      </w:r>
      <w:r w:rsidR="00B232BD" w:rsidRPr="00916C68">
        <w:rPr>
          <w:rFonts w:ascii="Arial" w:eastAsia="Calibri" w:hAnsi="Arial" w:cs="Arial"/>
          <w:color w:val="000000" w:themeColor="text1"/>
          <w:sz w:val="22"/>
          <w:lang w:val="es-ES_tradnl"/>
        </w:rPr>
        <w:t xml:space="preserve">ocumentos tipo </w:t>
      </w:r>
      <w:r w:rsidR="00EE12EA" w:rsidRPr="00916C68">
        <w:rPr>
          <w:rFonts w:ascii="Arial" w:eastAsia="Calibri" w:hAnsi="Arial" w:cs="Arial"/>
          <w:color w:val="000000" w:themeColor="text1"/>
          <w:sz w:val="22"/>
          <w:lang w:val="es-ES_tradnl"/>
        </w:rPr>
        <w:t>para infraestructura de transporte inicialmente estableci</w:t>
      </w:r>
      <w:r w:rsidR="00325AE7" w:rsidRPr="00916C68">
        <w:rPr>
          <w:rFonts w:ascii="Arial" w:eastAsia="Calibri" w:hAnsi="Arial" w:cs="Arial"/>
          <w:color w:val="000000" w:themeColor="text1"/>
          <w:sz w:val="22"/>
          <w:lang w:val="es-ES_tradnl"/>
        </w:rPr>
        <w:t>eron</w:t>
      </w:r>
      <w:r w:rsidR="00EE12EA" w:rsidRPr="00916C68">
        <w:rPr>
          <w:rFonts w:ascii="Arial" w:eastAsia="Calibri" w:hAnsi="Arial" w:cs="Arial"/>
          <w:color w:val="000000" w:themeColor="text1"/>
          <w:sz w:val="22"/>
          <w:lang w:val="es-ES_tradnl"/>
        </w:rPr>
        <w:t xml:space="preserve"> la aplicación de los parámetros estandarizados en estos documentos a </w:t>
      </w:r>
      <w:r w:rsidR="00EE12EA" w:rsidRPr="00916C68">
        <w:rPr>
          <w:rFonts w:ascii="Arial" w:eastAsia="Calibri" w:hAnsi="Arial" w:cs="Arial"/>
          <w:color w:val="000000" w:themeColor="text1"/>
          <w:sz w:val="22"/>
          <w:lang w:val="es-ES_tradnl"/>
        </w:rPr>
        <w:lastRenderedPageBreak/>
        <w:t xml:space="preserve">proyectos de atención de emergencia a ejecutar en obras en vías primarias, secundarias o terciarias. Es decir, </w:t>
      </w:r>
      <w:r w:rsidR="00B232BD" w:rsidRPr="00916C68">
        <w:rPr>
          <w:rFonts w:ascii="Arial" w:eastAsia="Calibri" w:hAnsi="Arial" w:cs="Arial"/>
          <w:color w:val="000000" w:themeColor="text1"/>
          <w:sz w:val="22"/>
          <w:lang w:val="es-ES_tradnl"/>
        </w:rPr>
        <w:t>se previó la aplicación de estos documento</w:t>
      </w:r>
      <w:r w:rsidR="007E77D2" w:rsidRPr="00916C68">
        <w:rPr>
          <w:rFonts w:ascii="Arial" w:eastAsia="Calibri" w:hAnsi="Arial" w:cs="Arial"/>
          <w:color w:val="000000" w:themeColor="text1"/>
          <w:sz w:val="22"/>
          <w:lang w:val="es-ES_tradnl"/>
        </w:rPr>
        <w:t xml:space="preserve">s tipo solo para aquellas obras </w:t>
      </w:r>
      <w:r w:rsidR="00C55340" w:rsidRPr="00916C68">
        <w:rPr>
          <w:rFonts w:ascii="Arial" w:eastAsia="Calibri" w:hAnsi="Arial" w:cs="Arial"/>
          <w:i/>
          <w:iCs/>
          <w:color w:val="000000" w:themeColor="text1"/>
          <w:sz w:val="22"/>
          <w:lang w:val="es-ES_tradnl"/>
        </w:rPr>
        <w:t>ex post</w:t>
      </w:r>
      <w:r w:rsidR="00C55340" w:rsidRPr="00916C68">
        <w:rPr>
          <w:rFonts w:ascii="Arial" w:eastAsia="Calibri" w:hAnsi="Arial" w:cs="Arial"/>
          <w:color w:val="000000" w:themeColor="text1"/>
          <w:sz w:val="22"/>
          <w:lang w:val="es-ES_tradnl"/>
        </w:rPr>
        <w:t xml:space="preserve"> a la ocurrencia de </w:t>
      </w:r>
      <w:r w:rsidR="00B232BD" w:rsidRPr="00916C68">
        <w:rPr>
          <w:rFonts w:ascii="Arial" w:eastAsia="Calibri" w:hAnsi="Arial" w:cs="Arial"/>
          <w:color w:val="000000" w:themeColor="text1"/>
          <w:sz w:val="22"/>
          <w:lang w:val="es-ES_tradnl"/>
        </w:rPr>
        <w:t>una emergencia</w:t>
      </w:r>
      <w:r w:rsidR="006101BD" w:rsidRPr="00916C68">
        <w:rPr>
          <w:rFonts w:ascii="Arial" w:eastAsia="Calibri" w:hAnsi="Arial" w:cs="Arial"/>
          <w:color w:val="000000" w:themeColor="text1"/>
          <w:sz w:val="22"/>
          <w:lang w:val="es-ES_tradnl"/>
        </w:rPr>
        <w:t>,</w:t>
      </w:r>
      <w:r w:rsidR="004D0AEA" w:rsidRPr="00916C68">
        <w:rPr>
          <w:rFonts w:ascii="Arial" w:eastAsia="Calibri" w:hAnsi="Arial" w:cs="Arial"/>
          <w:color w:val="000000" w:themeColor="text1"/>
          <w:sz w:val="22"/>
          <w:lang w:val="es-ES_tradnl"/>
        </w:rPr>
        <w:t xml:space="preserve"> que fueran distintas a la declaratoria de una urgencia manifiesta y su contratación directa</w:t>
      </w:r>
      <w:r w:rsidR="00B232BD" w:rsidRPr="00916C68">
        <w:rPr>
          <w:rFonts w:ascii="Arial" w:eastAsia="Calibri" w:hAnsi="Arial" w:cs="Arial"/>
          <w:color w:val="000000" w:themeColor="text1"/>
          <w:sz w:val="22"/>
          <w:lang w:val="es-ES_tradnl"/>
        </w:rPr>
        <w:t xml:space="preserve">. </w:t>
      </w:r>
    </w:p>
    <w:p w14:paraId="6C8A36B8" w14:textId="3DEDB7AF" w:rsidR="00391EFC" w:rsidRPr="00916C68" w:rsidRDefault="007E77D2" w:rsidP="00297D04">
      <w:pPr>
        <w:spacing w:before="120" w:line="276" w:lineRule="auto"/>
        <w:ind w:firstLine="708"/>
        <w:jc w:val="both"/>
        <w:rPr>
          <w:rFonts w:ascii="Arial" w:hAnsi="Arial" w:cs="Arial"/>
          <w:sz w:val="22"/>
        </w:rPr>
      </w:pPr>
      <w:r w:rsidRPr="00916C68">
        <w:rPr>
          <w:rFonts w:ascii="Arial" w:eastAsia="Calibri" w:hAnsi="Arial" w:cs="Arial"/>
          <w:color w:val="000000" w:themeColor="text1"/>
          <w:sz w:val="22"/>
          <w:lang w:val="es-ES_tradnl"/>
        </w:rPr>
        <w:t xml:space="preserve">La nueva redacción </w:t>
      </w:r>
      <w:r w:rsidR="00297D04" w:rsidRPr="00916C68">
        <w:rPr>
          <w:rFonts w:ascii="Arial" w:eastAsia="Calibri" w:hAnsi="Arial" w:cs="Arial"/>
          <w:color w:val="000000" w:themeColor="text1"/>
          <w:sz w:val="22"/>
          <w:lang w:val="es-ES_tradnl"/>
        </w:rPr>
        <w:t>de</w:t>
      </w:r>
      <w:r w:rsidRPr="00916C68">
        <w:rPr>
          <w:rFonts w:ascii="Arial" w:eastAsia="Calibri" w:hAnsi="Arial" w:cs="Arial"/>
          <w:color w:val="000000" w:themeColor="text1"/>
          <w:sz w:val="22"/>
          <w:lang w:val="es-ES_tradnl"/>
        </w:rPr>
        <w:t xml:space="preserve"> la versión 3 de estos documentos tipo amplió el alcance de esta actividad pues, de un lado, además de las vías señaladas en </w:t>
      </w:r>
      <w:r w:rsidR="004C0CC6" w:rsidRPr="00916C68">
        <w:rPr>
          <w:rFonts w:ascii="Arial" w:eastAsia="Calibri" w:hAnsi="Arial" w:cs="Arial"/>
          <w:color w:val="000000" w:themeColor="text1"/>
          <w:sz w:val="22"/>
          <w:lang w:val="es-ES_tradnl"/>
        </w:rPr>
        <w:t>los documentos tipo</w:t>
      </w:r>
      <w:r w:rsidRPr="00916C68">
        <w:rPr>
          <w:rFonts w:ascii="Arial" w:eastAsia="Calibri" w:hAnsi="Arial" w:cs="Arial"/>
          <w:color w:val="000000" w:themeColor="text1"/>
          <w:sz w:val="22"/>
          <w:lang w:val="es-ES_tradnl"/>
        </w:rPr>
        <w:t xml:space="preserve"> anteriores</w:t>
      </w:r>
      <w:r w:rsidR="004C0CC6"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incluyó las de naturaleza urbana y</w:t>
      </w:r>
      <w:r w:rsidR="00297D04"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de otro, englobó adem</w:t>
      </w:r>
      <w:r w:rsidR="00391EFC" w:rsidRPr="00916C68">
        <w:rPr>
          <w:rFonts w:ascii="Arial" w:eastAsia="Calibri" w:hAnsi="Arial" w:cs="Arial"/>
          <w:color w:val="000000" w:themeColor="text1"/>
          <w:sz w:val="22"/>
          <w:lang w:val="es-ES_tradnl"/>
        </w:rPr>
        <w:t xml:space="preserve">ás de la actividad de atención, las actividades de prevención o mitigación que son </w:t>
      </w:r>
      <w:r w:rsidR="00391EFC" w:rsidRPr="00916C68">
        <w:rPr>
          <w:rFonts w:ascii="Arial" w:eastAsia="Calibri" w:hAnsi="Arial" w:cs="Arial"/>
          <w:i/>
          <w:iCs/>
          <w:color w:val="000000" w:themeColor="text1"/>
          <w:sz w:val="22"/>
          <w:lang w:val="es-ES_tradnl"/>
        </w:rPr>
        <w:t>ex ante</w:t>
      </w:r>
      <w:r w:rsidR="00391EFC" w:rsidRPr="00916C68">
        <w:rPr>
          <w:rFonts w:ascii="Arial" w:eastAsia="Calibri" w:hAnsi="Arial" w:cs="Arial"/>
          <w:color w:val="000000" w:themeColor="text1"/>
          <w:sz w:val="22"/>
          <w:lang w:val="es-ES_tradnl"/>
        </w:rPr>
        <w:t xml:space="preserve"> a la ocurrencia de la situación de emergencia. Esta modificación se susten</w:t>
      </w:r>
      <w:r w:rsidR="00CD73C6" w:rsidRPr="00916C68">
        <w:rPr>
          <w:rFonts w:ascii="Arial" w:eastAsia="Calibri" w:hAnsi="Arial" w:cs="Arial"/>
          <w:color w:val="000000" w:themeColor="text1"/>
          <w:sz w:val="22"/>
          <w:lang w:val="es-ES_tradnl"/>
        </w:rPr>
        <w:t xml:space="preserve">ta </w:t>
      </w:r>
      <w:r w:rsidR="000C15EE" w:rsidRPr="00916C68">
        <w:rPr>
          <w:rFonts w:ascii="Arial" w:eastAsia="Calibri" w:hAnsi="Arial" w:cs="Arial"/>
          <w:color w:val="000000" w:themeColor="text1"/>
          <w:sz w:val="22"/>
          <w:lang w:val="es-ES_tradnl"/>
        </w:rPr>
        <w:t xml:space="preserve">en los objetivos específicos contenidos en el artículo 6 de la Ley 1523 de 2012, desarrollados en </w:t>
      </w:r>
      <w:r w:rsidR="00CD73C6" w:rsidRPr="00916C68">
        <w:rPr>
          <w:rFonts w:ascii="Arial" w:eastAsia="Calibri" w:hAnsi="Arial" w:cs="Arial"/>
          <w:color w:val="000000" w:themeColor="text1"/>
          <w:sz w:val="22"/>
          <w:lang w:val="es-ES_tradnl"/>
        </w:rPr>
        <w:t>el Plan Nacional de Gestión del Riesgo de Desastres</w:t>
      </w:r>
      <w:r w:rsidR="007B35E6" w:rsidRPr="00916C68">
        <w:rPr>
          <w:rFonts w:ascii="Arial" w:eastAsia="Calibri" w:hAnsi="Arial" w:cs="Arial"/>
          <w:color w:val="000000" w:themeColor="text1"/>
          <w:sz w:val="22"/>
          <w:lang w:val="es-ES_tradnl"/>
        </w:rPr>
        <w:t xml:space="preserve">. Este </w:t>
      </w:r>
      <w:r w:rsidR="00F605B7" w:rsidRPr="00916C68">
        <w:rPr>
          <w:rFonts w:ascii="Arial" w:eastAsia="Calibri" w:hAnsi="Arial" w:cs="Arial"/>
          <w:color w:val="000000" w:themeColor="text1"/>
          <w:sz w:val="22"/>
          <w:lang w:val="es-ES_tradnl"/>
        </w:rPr>
        <w:t xml:space="preserve">plan </w:t>
      </w:r>
      <w:r w:rsidR="007B35E6" w:rsidRPr="00916C68">
        <w:rPr>
          <w:rFonts w:ascii="Arial" w:eastAsia="Calibri" w:hAnsi="Arial" w:cs="Arial"/>
          <w:color w:val="000000" w:themeColor="text1"/>
          <w:sz w:val="22"/>
          <w:lang w:val="es-ES_tradnl"/>
        </w:rPr>
        <w:t>corresponde a</w:t>
      </w:r>
      <w:r w:rsidR="00CD73C6" w:rsidRPr="00916C68">
        <w:rPr>
          <w:rFonts w:ascii="Arial" w:eastAsia="Calibri" w:hAnsi="Arial" w:cs="Arial"/>
          <w:color w:val="000000" w:themeColor="text1"/>
          <w:sz w:val="22"/>
          <w:lang w:val="es-ES_tradnl"/>
        </w:rPr>
        <w:t xml:space="preserve"> una estrategia de desarrollo 2015-2</w:t>
      </w:r>
      <w:r w:rsidR="00765E92" w:rsidRPr="00916C68">
        <w:rPr>
          <w:rFonts w:ascii="Arial" w:eastAsia="Calibri" w:hAnsi="Arial" w:cs="Arial"/>
          <w:color w:val="000000" w:themeColor="text1"/>
          <w:sz w:val="22"/>
          <w:lang w:val="es-ES_tradnl"/>
        </w:rPr>
        <w:t>025 – PNGRD donde se establece la importancia de la prevención o mitigación de desastres como actividades determinantes para la reducción del riesgo. Sobre el particular, el PNGRD señaló lo siguiente</w:t>
      </w:r>
      <w:r w:rsidR="00765E92" w:rsidRPr="00916C68">
        <w:rPr>
          <w:rFonts w:ascii="Arial" w:hAnsi="Arial" w:cs="Arial"/>
          <w:sz w:val="22"/>
        </w:rPr>
        <w:t xml:space="preserve">: </w:t>
      </w:r>
    </w:p>
    <w:p w14:paraId="1A469AD2" w14:textId="77777777" w:rsidR="007B35E6" w:rsidRPr="00916C68" w:rsidRDefault="007B35E6" w:rsidP="00916C68">
      <w:pPr>
        <w:spacing w:line="276" w:lineRule="auto"/>
        <w:ind w:firstLine="708"/>
        <w:jc w:val="both"/>
        <w:rPr>
          <w:rFonts w:ascii="Arial" w:hAnsi="Arial" w:cs="Arial"/>
          <w:sz w:val="22"/>
        </w:rPr>
      </w:pPr>
    </w:p>
    <w:p w14:paraId="5B623DF9" w14:textId="6AD54D3A" w:rsidR="00576DB6" w:rsidRPr="00916C68" w:rsidRDefault="00576DB6" w:rsidP="00916C68">
      <w:pPr>
        <w:ind w:left="709" w:right="709"/>
        <w:jc w:val="both"/>
        <w:rPr>
          <w:rFonts w:ascii="Arial" w:hAnsi="Arial" w:cs="Arial"/>
          <w:sz w:val="21"/>
          <w:szCs w:val="21"/>
        </w:rPr>
      </w:pPr>
      <w:r w:rsidRPr="00916C68">
        <w:rPr>
          <w:rFonts w:ascii="Arial" w:hAnsi="Arial" w:cs="Arial"/>
          <w:sz w:val="21"/>
          <w:szCs w:val="21"/>
          <w:shd w:val="clear" w:color="auto" w:fill="FFFFFF"/>
        </w:rPr>
        <w:t>Reducción del riesgo:</w:t>
      </w:r>
      <w:r w:rsidRPr="00916C68">
        <w:rPr>
          <w:rFonts w:ascii="Arial" w:hAnsi="Arial" w:cs="Arial"/>
          <w:b/>
          <w:bCs/>
          <w:sz w:val="21"/>
          <w:szCs w:val="21"/>
          <w:shd w:val="clear" w:color="auto" w:fill="FFFFFF"/>
        </w:rPr>
        <w:t> </w:t>
      </w:r>
      <w:r w:rsidRPr="00916C68">
        <w:rPr>
          <w:rFonts w:ascii="Arial" w:hAnsi="Arial" w:cs="Arial"/>
          <w:sz w:val="21"/>
          <w:szCs w:val="21"/>
          <w:shd w:val="clear" w:color="auto" w:fill="FFFFFF"/>
        </w:rPr>
        <w:t>Es el proceso de la gestión del riesgo, está compuesto por la intervención dirigida a modificar o disminuir las condiciones de riesgo existentes, entiéndase: mitigación del riesgo y a evitar nuevo riesgo en el territorio, entiéndase: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 La reducción del riesgo la componen la intervención correctiva del riesgo existente, la intervención prospectiva de nuevo riesgo y la protección financiera</w:t>
      </w:r>
      <w:r w:rsidRPr="00916C68">
        <w:rPr>
          <w:rFonts w:ascii="Arial" w:hAnsi="Arial" w:cs="Arial"/>
          <w:sz w:val="22"/>
        </w:rPr>
        <w:t>»</w:t>
      </w:r>
      <w:r w:rsidRPr="00916C68">
        <w:rPr>
          <w:rFonts w:ascii="Arial" w:hAnsi="Arial" w:cs="Arial"/>
          <w:sz w:val="21"/>
          <w:szCs w:val="21"/>
          <w:shd w:val="clear" w:color="auto" w:fill="FFFFFF"/>
        </w:rPr>
        <w:t>.</w:t>
      </w:r>
    </w:p>
    <w:p w14:paraId="00BE8F28" w14:textId="77777777" w:rsidR="007B35E6" w:rsidRPr="00916C68" w:rsidRDefault="007B35E6" w:rsidP="007B35E6">
      <w:pPr>
        <w:spacing w:line="276" w:lineRule="auto"/>
        <w:ind w:firstLine="708"/>
        <w:jc w:val="both"/>
        <w:rPr>
          <w:rFonts w:ascii="Arial" w:eastAsia="Calibri" w:hAnsi="Arial" w:cs="Arial"/>
          <w:color w:val="000000" w:themeColor="text1"/>
          <w:sz w:val="22"/>
          <w:lang w:val="es-ES_tradnl"/>
        </w:rPr>
      </w:pPr>
    </w:p>
    <w:p w14:paraId="62F0553E" w14:textId="678BFEE5" w:rsidR="00576DB6" w:rsidRPr="00916C68" w:rsidRDefault="00576DB6" w:rsidP="00916C68">
      <w:pPr>
        <w:spacing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Así las cosas, dentro de los pilares de la política pública de gestión de desastres se encuentran como fundamentales, la reducción del riesgo, que se compone por la mitigación y prevenci</w:t>
      </w:r>
      <w:r w:rsidR="00D76353" w:rsidRPr="00916C68">
        <w:rPr>
          <w:rFonts w:ascii="Arial" w:eastAsia="Calibri" w:hAnsi="Arial" w:cs="Arial"/>
          <w:color w:val="000000" w:themeColor="text1"/>
          <w:sz w:val="22"/>
          <w:lang w:val="es-ES_tradnl"/>
        </w:rPr>
        <w:t>ón del riesgo. Lo anterior hizo imperiosa la inclusión de las actividades que integran este numeral de los documentos tipo</w:t>
      </w:r>
      <w:r w:rsidR="00A73D39" w:rsidRPr="00916C68">
        <w:rPr>
          <w:rFonts w:ascii="Arial" w:eastAsia="Calibri" w:hAnsi="Arial" w:cs="Arial"/>
          <w:color w:val="000000" w:themeColor="text1"/>
          <w:sz w:val="22"/>
          <w:lang w:val="es-ES_tradnl"/>
        </w:rPr>
        <w:t xml:space="preserve">, a efectos de estructurar una herramienta de contratación con mayor cobertura que favorezca los esfuerzos de anticorrupción que vienen impulsando el gobierno nacional con la implementación de los documentos tipo. </w:t>
      </w:r>
    </w:p>
    <w:p w14:paraId="29EC8DBE" w14:textId="6A410675" w:rsidR="003622B1" w:rsidRPr="00916C68" w:rsidRDefault="00A73D39" w:rsidP="00CA22BA">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Ahora</w:t>
      </w:r>
      <w:r w:rsidR="00A73690" w:rsidRPr="00916C68">
        <w:rPr>
          <w:rFonts w:ascii="Arial" w:eastAsia="Calibri" w:hAnsi="Arial" w:cs="Arial"/>
          <w:color w:val="000000" w:themeColor="text1"/>
          <w:sz w:val="22"/>
          <w:lang w:val="es-ES_tradnl"/>
        </w:rPr>
        <w:t>, debe señalarse que</w:t>
      </w:r>
      <w:r w:rsidR="00CA22BA" w:rsidRPr="00916C68">
        <w:rPr>
          <w:rFonts w:ascii="Arial" w:eastAsia="Calibri" w:hAnsi="Arial" w:cs="Arial"/>
          <w:color w:val="000000" w:themeColor="text1"/>
          <w:sz w:val="22"/>
          <w:lang w:val="es-ES_tradnl"/>
        </w:rPr>
        <w:t xml:space="preserve"> el alcance de este numeral se previó, tal como se observa de su denominación, </w:t>
      </w:r>
      <w:r w:rsidR="00BB2A31" w:rsidRPr="00916C68">
        <w:rPr>
          <w:rFonts w:ascii="Arial" w:eastAsia="Calibri" w:hAnsi="Arial" w:cs="Arial"/>
          <w:color w:val="000000" w:themeColor="text1"/>
          <w:sz w:val="22"/>
          <w:lang w:val="es-ES_tradnl"/>
        </w:rPr>
        <w:t>para todos</w:t>
      </w:r>
      <w:r w:rsidR="003622B1" w:rsidRPr="00916C68">
        <w:rPr>
          <w:rFonts w:ascii="Arial" w:eastAsia="Calibri" w:hAnsi="Arial" w:cs="Arial"/>
          <w:color w:val="000000" w:themeColor="text1"/>
          <w:sz w:val="22"/>
          <w:lang w:val="es-ES_tradnl"/>
        </w:rPr>
        <w:t xml:space="preserve"> los proyectos de atención prevención o mitigación de emergencias conexas a obras en vías primarias, secundaria, terciarias o urbanas</w:t>
      </w:r>
      <w:r w:rsidR="000F76BF" w:rsidRPr="00916C68">
        <w:rPr>
          <w:rFonts w:ascii="Arial" w:eastAsia="Calibri" w:hAnsi="Arial" w:cs="Arial"/>
          <w:color w:val="000000" w:themeColor="text1"/>
          <w:sz w:val="22"/>
          <w:lang w:val="es-ES_tradnl"/>
        </w:rPr>
        <w:t>.</w:t>
      </w:r>
      <w:r w:rsidR="003622B1" w:rsidRPr="00916C68">
        <w:rPr>
          <w:rFonts w:ascii="Arial" w:eastAsia="Calibri" w:hAnsi="Arial" w:cs="Arial"/>
          <w:color w:val="000000" w:themeColor="text1"/>
          <w:sz w:val="22"/>
          <w:lang w:val="es-ES_tradnl"/>
        </w:rPr>
        <w:t xml:space="preserve"> </w:t>
      </w:r>
      <w:r w:rsidR="000F76BF" w:rsidRPr="00916C68">
        <w:rPr>
          <w:rFonts w:ascii="Arial" w:eastAsia="Calibri" w:hAnsi="Arial" w:cs="Arial"/>
          <w:color w:val="000000" w:themeColor="text1"/>
          <w:sz w:val="22"/>
          <w:lang w:val="es-ES_tradnl"/>
        </w:rPr>
        <w:t>E</w:t>
      </w:r>
      <w:r w:rsidR="003622B1" w:rsidRPr="00916C68">
        <w:rPr>
          <w:rFonts w:ascii="Arial" w:eastAsia="Calibri" w:hAnsi="Arial" w:cs="Arial"/>
          <w:color w:val="000000" w:themeColor="text1"/>
          <w:sz w:val="22"/>
          <w:lang w:val="es-ES_tradnl"/>
        </w:rPr>
        <w:t xml:space="preserve">s decir, no se trata de cualquier obra de atención prevención o mitigación de emergencias, este numeral es claro en segregar su alcance en las actividades de esta naturaleza que se desarrollen o estén conexas a vías. </w:t>
      </w:r>
    </w:p>
    <w:p w14:paraId="4AB1230B" w14:textId="77F8E2C7" w:rsidR="00CA22BA" w:rsidRPr="00916C68" w:rsidRDefault="00A73D39" w:rsidP="00CA22BA">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Además</w:t>
      </w:r>
      <w:r w:rsidR="003622B1" w:rsidRPr="00916C68">
        <w:rPr>
          <w:rFonts w:ascii="Arial" w:eastAsia="Calibri" w:hAnsi="Arial" w:cs="Arial"/>
          <w:color w:val="000000" w:themeColor="text1"/>
          <w:sz w:val="22"/>
          <w:lang w:val="es-ES_tradnl"/>
        </w:rPr>
        <w:t xml:space="preserve">, de la literalidad del numeral </w:t>
      </w:r>
      <w:r w:rsidR="000F76BF" w:rsidRPr="00916C68">
        <w:rPr>
          <w:rFonts w:ascii="Arial" w:eastAsia="Calibri" w:hAnsi="Arial" w:cs="Arial"/>
          <w:color w:val="000000" w:themeColor="text1"/>
          <w:sz w:val="22"/>
          <w:lang w:val="es-ES_tradnl"/>
        </w:rPr>
        <w:t>citado</w:t>
      </w:r>
      <w:r w:rsidR="003622B1" w:rsidRPr="00916C68">
        <w:rPr>
          <w:rFonts w:ascii="Arial" w:eastAsia="Calibri" w:hAnsi="Arial" w:cs="Arial"/>
          <w:color w:val="000000" w:themeColor="text1"/>
          <w:sz w:val="22"/>
          <w:lang w:val="es-ES_tradnl"/>
        </w:rPr>
        <w:t xml:space="preserve"> se colige que la aplicación de los documentos tipos en proyectos de infraestructura </w:t>
      </w:r>
      <w:r w:rsidR="00C51C97" w:rsidRPr="00916C68">
        <w:rPr>
          <w:rFonts w:ascii="Arial" w:eastAsia="Calibri" w:hAnsi="Arial" w:cs="Arial"/>
          <w:color w:val="000000" w:themeColor="text1"/>
          <w:sz w:val="22"/>
          <w:lang w:val="es-ES_tradnl"/>
        </w:rPr>
        <w:t xml:space="preserve">de transporte </w:t>
      </w:r>
      <w:r w:rsidR="003622B1" w:rsidRPr="00916C68">
        <w:rPr>
          <w:rFonts w:ascii="Arial" w:eastAsia="Calibri" w:hAnsi="Arial" w:cs="Arial"/>
          <w:color w:val="000000" w:themeColor="text1"/>
          <w:sz w:val="22"/>
          <w:lang w:val="es-ES_tradnl"/>
        </w:rPr>
        <w:t xml:space="preserve">para la atención, prevención </w:t>
      </w:r>
      <w:r w:rsidR="003622B1" w:rsidRPr="00916C68">
        <w:rPr>
          <w:rFonts w:ascii="Arial" w:eastAsia="Calibri" w:hAnsi="Arial" w:cs="Arial"/>
          <w:color w:val="000000" w:themeColor="text1"/>
          <w:sz w:val="22"/>
          <w:lang w:val="es-ES_tradnl"/>
        </w:rPr>
        <w:lastRenderedPageBreak/>
        <w:t>o mitigación de emergencias est</w:t>
      </w:r>
      <w:r w:rsidR="00C44ED4" w:rsidRPr="00916C68">
        <w:rPr>
          <w:rFonts w:ascii="Arial" w:eastAsia="Calibri" w:hAnsi="Arial" w:cs="Arial"/>
          <w:color w:val="000000" w:themeColor="text1"/>
          <w:sz w:val="22"/>
          <w:lang w:val="es-ES_tradnl"/>
        </w:rPr>
        <w:t>á</w:t>
      </w:r>
      <w:r w:rsidR="003622B1" w:rsidRPr="00916C68">
        <w:rPr>
          <w:rFonts w:ascii="Arial" w:eastAsia="Calibri" w:hAnsi="Arial" w:cs="Arial"/>
          <w:color w:val="000000" w:themeColor="text1"/>
          <w:sz w:val="22"/>
          <w:lang w:val="es-ES_tradnl"/>
        </w:rPr>
        <w:t xml:space="preserve"> circunscrita exclusivamente a </w:t>
      </w:r>
      <w:r w:rsidR="00CA22BA" w:rsidRPr="00916C68">
        <w:rPr>
          <w:rFonts w:ascii="Arial" w:eastAsia="Calibri" w:hAnsi="Arial" w:cs="Arial"/>
          <w:color w:val="000000" w:themeColor="text1"/>
          <w:sz w:val="22"/>
          <w:lang w:val="es-ES_tradnl"/>
        </w:rPr>
        <w:t>aquellos casos en los que no esté previsto la modalidad de contrataci</w:t>
      </w:r>
      <w:r w:rsidR="003622B1" w:rsidRPr="00916C68">
        <w:rPr>
          <w:rFonts w:ascii="Arial" w:eastAsia="Calibri" w:hAnsi="Arial" w:cs="Arial"/>
          <w:color w:val="000000" w:themeColor="text1"/>
          <w:sz w:val="22"/>
          <w:lang w:val="es-ES_tradnl"/>
        </w:rPr>
        <w:t>ón directa</w:t>
      </w:r>
      <w:r w:rsidR="00A941C0" w:rsidRPr="00916C68">
        <w:rPr>
          <w:rFonts w:ascii="Arial" w:eastAsia="Calibri" w:hAnsi="Arial" w:cs="Arial"/>
          <w:color w:val="000000" w:themeColor="text1"/>
          <w:sz w:val="22"/>
          <w:lang w:val="es-ES_tradnl"/>
        </w:rPr>
        <w:t xml:space="preserve"> producto de la declaratoria de una urgencia manifiesta</w:t>
      </w:r>
      <w:r w:rsidR="003622B1" w:rsidRPr="00916C68">
        <w:rPr>
          <w:rFonts w:ascii="Arial" w:eastAsia="Calibri" w:hAnsi="Arial" w:cs="Arial"/>
          <w:color w:val="000000" w:themeColor="text1"/>
          <w:sz w:val="22"/>
          <w:lang w:val="es-ES_tradnl"/>
        </w:rPr>
        <w:t xml:space="preserve">. Entonces, este numeral determinó </w:t>
      </w:r>
      <w:r w:rsidR="00C44ED4" w:rsidRPr="00916C68">
        <w:rPr>
          <w:rFonts w:ascii="Arial" w:eastAsia="Calibri" w:hAnsi="Arial" w:cs="Arial"/>
          <w:color w:val="000000" w:themeColor="text1"/>
          <w:sz w:val="22"/>
          <w:lang w:val="es-ES_tradnl"/>
        </w:rPr>
        <w:t>la aplicación</w:t>
      </w:r>
      <w:r w:rsidR="003622B1" w:rsidRPr="00916C68">
        <w:rPr>
          <w:rFonts w:ascii="Arial" w:eastAsia="Calibri" w:hAnsi="Arial" w:cs="Arial"/>
          <w:color w:val="000000" w:themeColor="text1"/>
          <w:sz w:val="22"/>
          <w:lang w:val="es-ES_tradnl"/>
        </w:rPr>
        <w:t xml:space="preserve"> de los documentos tipo para los proyectos referidos en los eventos en que no se configuren </w:t>
      </w:r>
      <w:r w:rsidR="003D1712" w:rsidRPr="00916C68">
        <w:rPr>
          <w:rFonts w:ascii="Arial" w:eastAsia="Calibri" w:hAnsi="Arial" w:cs="Arial"/>
          <w:color w:val="000000" w:themeColor="text1"/>
          <w:sz w:val="22"/>
          <w:lang w:val="es-ES_tradnl"/>
        </w:rPr>
        <w:t xml:space="preserve">circunstancias </w:t>
      </w:r>
      <w:r w:rsidR="0000579A" w:rsidRPr="00916C68">
        <w:rPr>
          <w:rFonts w:ascii="Arial" w:eastAsia="Calibri" w:hAnsi="Arial" w:cs="Arial"/>
          <w:color w:val="000000" w:themeColor="text1"/>
          <w:sz w:val="22"/>
          <w:lang w:val="es-ES_tradnl"/>
        </w:rPr>
        <w:t>como las descritas en el apartado 2.2 de este concepto</w:t>
      </w:r>
      <w:r w:rsidR="003622B1" w:rsidRPr="00916C68">
        <w:rPr>
          <w:rFonts w:ascii="Arial" w:eastAsia="Calibri" w:hAnsi="Arial" w:cs="Arial"/>
          <w:color w:val="000000" w:themeColor="text1"/>
          <w:sz w:val="22"/>
          <w:lang w:val="es-ES_tradnl"/>
        </w:rPr>
        <w:t xml:space="preserve">. De modo que, si no se ha declarado el estado de emergencia o las situaciones de que trata la Ley 1523 de 2012, cualquier obra de infraestructura </w:t>
      </w:r>
      <w:r w:rsidR="00802BBB" w:rsidRPr="00916C68">
        <w:rPr>
          <w:rFonts w:ascii="Arial" w:eastAsia="Calibri" w:hAnsi="Arial" w:cs="Arial"/>
          <w:color w:val="000000" w:themeColor="text1"/>
          <w:sz w:val="22"/>
          <w:lang w:val="es-ES_tradnl"/>
        </w:rPr>
        <w:t>de transporte</w:t>
      </w:r>
      <w:r w:rsidR="003622B1" w:rsidRPr="00916C68">
        <w:rPr>
          <w:rFonts w:ascii="Arial" w:eastAsia="Calibri" w:hAnsi="Arial" w:cs="Arial"/>
          <w:color w:val="000000" w:themeColor="text1"/>
          <w:sz w:val="22"/>
          <w:lang w:val="es-ES_tradnl"/>
        </w:rPr>
        <w:t xml:space="preserve"> deberá adelantarse conforme con los parámetros establecidos en los documentos</w:t>
      </w:r>
      <w:r w:rsidR="00CA160F" w:rsidRPr="00916C68">
        <w:rPr>
          <w:rFonts w:ascii="Arial" w:eastAsia="Calibri" w:hAnsi="Arial" w:cs="Arial"/>
          <w:color w:val="000000" w:themeColor="text1"/>
          <w:sz w:val="22"/>
          <w:lang w:val="es-ES_tradnl"/>
        </w:rPr>
        <w:t xml:space="preserve"> tipo</w:t>
      </w:r>
      <w:r w:rsidR="003622B1" w:rsidRPr="00916C68">
        <w:rPr>
          <w:rFonts w:ascii="Arial" w:eastAsia="Calibri" w:hAnsi="Arial" w:cs="Arial"/>
          <w:color w:val="000000" w:themeColor="text1"/>
          <w:sz w:val="22"/>
          <w:lang w:val="es-ES_tradnl"/>
        </w:rPr>
        <w:t xml:space="preserve">. </w:t>
      </w:r>
    </w:p>
    <w:p w14:paraId="306EE28B" w14:textId="48243D92" w:rsidR="001C6476" w:rsidRPr="00916C68" w:rsidRDefault="00A73D39" w:rsidP="0042244C">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Adicionalmente</w:t>
      </w:r>
      <w:r w:rsidR="00CA22BA" w:rsidRPr="00916C68">
        <w:rPr>
          <w:rFonts w:ascii="Arial" w:eastAsia="Calibri" w:hAnsi="Arial" w:cs="Arial"/>
          <w:color w:val="000000" w:themeColor="text1"/>
          <w:sz w:val="22"/>
          <w:lang w:val="es-ES_tradnl"/>
        </w:rPr>
        <w:t xml:space="preserve">, es importante señalar que </w:t>
      </w:r>
      <w:r w:rsidR="00DA0E8A" w:rsidRPr="00916C68">
        <w:rPr>
          <w:rFonts w:ascii="Arial" w:eastAsia="Calibri" w:hAnsi="Arial" w:cs="Arial"/>
          <w:color w:val="000000" w:themeColor="text1"/>
          <w:sz w:val="22"/>
          <w:lang w:val="es-ES_tradnl"/>
        </w:rPr>
        <w:t>la versión 3 introdujo una importante modificaci</w:t>
      </w:r>
      <w:r w:rsidR="00720CDE" w:rsidRPr="00916C68">
        <w:rPr>
          <w:rFonts w:ascii="Arial" w:eastAsia="Calibri" w:hAnsi="Arial" w:cs="Arial"/>
          <w:color w:val="000000" w:themeColor="text1"/>
          <w:sz w:val="22"/>
          <w:lang w:val="es-ES_tradnl"/>
        </w:rPr>
        <w:t xml:space="preserve">ón </w:t>
      </w:r>
      <w:r w:rsidR="00CA160F" w:rsidRPr="00916C68">
        <w:rPr>
          <w:rFonts w:ascii="Arial" w:eastAsia="Calibri" w:hAnsi="Arial" w:cs="Arial"/>
          <w:color w:val="000000" w:themeColor="text1"/>
          <w:sz w:val="22"/>
          <w:lang w:val="es-ES_tradnl"/>
        </w:rPr>
        <w:t>al numeral 4 de la matriz de experiencia</w:t>
      </w:r>
      <w:r w:rsidR="00720CDE" w:rsidRPr="00916C68">
        <w:rPr>
          <w:rFonts w:ascii="Arial" w:eastAsia="Calibri" w:hAnsi="Arial" w:cs="Arial"/>
          <w:color w:val="000000" w:themeColor="text1"/>
          <w:sz w:val="22"/>
          <w:lang w:val="es-ES_tradnl"/>
        </w:rPr>
        <w:t>, a</w:t>
      </w:r>
      <w:r w:rsidR="00CA22BA" w:rsidRPr="00916C68">
        <w:rPr>
          <w:rFonts w:ascii="Arial" w:eastAsia="Calibri" w:hAnsi="Arial" w:cs="Arial"/>
          <w:color w:val="000000" w:themeColor="text1"/>
          <w:sz w:val="22"/>
          <w:lang w:val="es-ES_tradnl"/>
        </w:rPr>
        <w:t xml:space="preserve">l extender </w:t>
      </w:r>
      <w:r w:rsidR="005907C3" w:rsidRPr="00916C68">
        <w:rPr>
          <w:rFonts w:ascii="Arial" w:eastAsia="Calibri" w:hAnsi="Arial" w:cs="Arial"/>
          <w:color w:val="000000" w:themeColor="text1"/>
          <w:sz w:val="22"/>
          <w:lang w:val="es-ES_tradnl"/>
        </w:rPr>
        <w:t>su</w:t>
      </w:r>
      <w:r w:rsidR="00CA22BA" w:rsidRPr="00916C68">
        <w:rPr>
          <w:rFonts w:ascii="Arial" w:eastAsia="Calibri" w:hAnsi="Arial" w:cs="Arial"/>
          <w:color w:val="000000" w:themeColor="text1"/>
          <w:sz w:val="22"/>
          <w:lang w:val="es-ES_tradnl"/>
        </w:rPr>
        <w:t xml:space="preserve"> alcance </w:t>
      </w:r>
      <w:r w:rsidR="00207262" w:rsidRPr="00916C68">
        <w:rPr>
          <w:rFonts w:ascii="Arial" w:eastAsia="Calibri" w:hAnsi="Arial" w:cs="Arial"/>
          <w:color w:val="000000" w:themeColor="text1"/>
          <w:sz w:val="22"/>
          <w:lang w:val="es-ES_tradnl"/>
        </w:rPr>
        <w:t xml:space="preserve">a las </w:t>
      </w:r>
      <w:r w:rsidR="0042244C" w:rsidRPr="00916C68">
        <w:rPr>
          <w:rFonts w:ascii="Arial" w:eastAsia="Calibri" w:hAnsi="Arial" w:cs="Arial"/>
          <w:color w:val="000000" w:themeColor="text1"/>
          <w:sz w:val="22"/>
          <w:lang w:val="es-ES_tradnl"/>
        </w:rPr>
        <w:t xml:space="preserve">obras de infraestructura </w:t>
      </w:r>
      <w:r w:rsidR="00CA22BA" w:rsidRPr="00916C68">
        <w:rPr>
          <w:rFonts w:ascii="Arial" w:eastAsia="Calibri" w:hAnsi="Arial" w:cs="Arial"/>
          <w:color w:val="000000" w:themeColor="text1"/>
          <w:sz w:val="22"/>
          <w:lang w:val="es-ES_tradnl"/>
        </w:rPr>
        <w:t>encaminadas</w:t>
      </w:r>
      <w:r w:rsidR="003622B1" w:rsidRPr="00916C68">
        <w:rPr>
          <w:rFonts w:ascii="Arial" w:eastAsia="Calibri" w:hAnsi="Arial" w:cs="Arial"/>
          <w:color w:val="000000" w:themeColor="text1"/>
          <w:sz w:val="22"/>
          <w:lang w:val="es-ES_tradnl"/>
        </w:rPr>
        <w:t xml:space="preserve"> no solo a la atención sino además a la</w:t>
      </w:r>
      <w:r w:rsidR="00720CDE" w:rsidRPr="00916C68">
        <w:rPr>
          <w:rFonts w:ascii="Arial" w:eastAsia="Calibri" w:hAnsi="Arial" w:cs="Arial"/>
          <w:color w:val="000000" w:themeColor="text1"/>
          <w:sz w:val="22"/>
          <w:lang w:val="es-ES_tradnl"/>
        </w:rPr>
        <w:t xml:space="preserve"> prevención o mitigación de emergencia</w:t>
      </w:r>
      <w:r w:rsidR="0042244C" w:rsidRPr="00916C68">
        <w:rPr>
          <w:rFonts w:ascii="Arial" w:eastAsia="Calibri" w:hAnsi="Arial" w:cs="Arial"/>
          <w:color w:val="000000" w:themeColor="text1"/>
          <w:sz w:val="22"/>
          <w:lang w:val="es-ES_tradnl"/>
        </w:rPr>
        <w:t>s</w:t>
      </w:r>
      <w:r w:rsidR="003622B1" w:rsidRPr="00916C68">
        <w:rPr>
          <w:rFonts w:ascii="Arial" w:eastAsia="Calibri" w:hAnsi="Arial" w:cs="Arial"/>
          <w:color w:val="000000" w:themeColor="text1"/>
          <w:sz w:val="22"/>
          <w:lang w:val="es-ES_tradnl"/>
        </w:rPr>
        <w:t>,</w:t>
      </w:r>
      <w:r w:rsidR="0042244C" w:rsidRPr="00916C68">
        <w:rPr>
          <w:rFonts w:ascii="Arial" w:eastAsia="Calibri" w:hAnsi="Arial" w:cs="Arial"/>
          <w:color w:val="000000" w:themeColor="text1"/>
          <w:sz w:val="22"/>
          <w:lang w:val="es-ES_tradnl"/>
        </w:rPr>
        <w:t xml:space="preserve"> </w:t>
      </w:r>
      <w:r w:rsidR="00207262" w:rsidRPr="00916C68">
        <w:rPr>
          <w:rFonts w:ascii="Arial" w:eastAsia="Calibri" w:hAnsi="Arial" w:cs="Arial"/>
          <w:color w:val="000000" w:themeColor="text1"/>
          <w:sz w:val="22"/>
          <w:lang w:val="es-ES_tradnl"/>
        </w:rPr>
        <w:t>que no deban contratarse mediante modalidad de contratación directa</w:t>
      </w:r>
      <w:r w:rsidR="0042244C" w:rsidRPr="00916C68">
        <w:rPr>
          <w:rFonts w:ascii="Arial" w:eastAsia="Calibri" w:hAnsi="Arial" w:cs="Arial"/>
          <w:color w:val="000000" w:themeColor="text1"/>
          <w:sz w:val="22"/>
          <w:lang w:val="es-ES_tradnl"/>
        </w:rPr>
        <w:t xml:space="preserve">. En este orden, </w:t>
      </w:r>
      <w:r w:rsidR="00FB66DD" w:rsidRPr="00916C68">
        <w:rPr>
          <w:rFonts w:ascii="Arial" w:eastAsia="Calibri" w:hAnsi="Arial" w:cs="Arial"/>
          <w:color w:val="000000" w:themeColor="text1"/>
          <w:sz w:val="22"/>
          <w:lang w:val="es-ES_tradnl"/>
        </w:rPr>
        <w:t xml:space="preserve">para entender el alcance </w:t>
      </w:r>
      <w:r w:rsidR="00E732C1" w:rsidRPr="00916C68">
        <w:rPr>
          <w:rFonts w:ascii="Arial" w:eastAsia="Calibri" w:hAnsi="Arial" w:cs="Arial"/>
          <w:color w:val="000000" w:themeColor="text1"/>
          <w:sz w:val="22"/>
          <w:lang w:val="es-ES_tradnl"/>
        </w:rPr>
        <w:t xml:space="preserve">es pertinente aproximarse a las definiciones de los conceptos referidos. </w:t>
      </w:r>
    </w:p>
    <w:p w14:paraId="38DD359E" w14:textId="3AD1954C" w:rsidR="0010496C" w:rsidRPr="00916C68" w:rsidRDefault="00E732C1" w:rsidP="000220D9">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El numeral 9 del artículo 4 de la Ley 1523 de 2012 señaló que por emergencia debe entenderse toda «Situación caracterizada por la alteración o interrupción intensa y grave de las condiciones normales de funcionamiento u operación de una comunidad, causada por un evento adverso o por la inminencia del mismo, que obliga a una reacción inmediata y que requiere la respuesta de las instituciones del Estado, los medios de comunicación y de la comunidad en general». En las situaciones de emergencia existe un evento adverso </w:t>
      </w:r>
      <w:r w:rsidR="00305B09" w:rsidRPr="00916C68">
        <w:rPr>
          <w:rFonts w:ascii="Arial" w:eastAsia="Calibri" w:hAnsi="Arial" w:cs="Arial"/>
          <w:color w:val="000000" w:themeColor="text1"/>
          <w:sz w:val="22"/>
          <w:lang w:val="es-ES_tradnl"/>
        </w:rPr>
        <w:t>e</w:t>
      </w:r>
      <w:r w:rsidR="004D1FB0" w:rsidRPr="00916C68">
        <w:rPr>
          <w:rFonts w:ascii="Arial" w:eastAsia="Calibri" w:hAnsi="Arial" w:cs="Arial"/>
          <w:color w:val="000000" w:themeColor="text1"/>
          <w:sz w:val="22"/>
          <w:lang w:val="es-ES_tradnl"/>
        </w:rPr>
        <w:t xml:space="preserve"> inminente</w:t>
      </w:r>
      <w:r w:rsidR="00305B09" w:rsidRPr="00916C68">
        <w:rPr>
          <w:rFonts w:ascii="Arial" w:eastAsia="Calibri" w:hAnsi="Arial" w:cs="Arial"/>
          <w:color w:val="000000" w:themeColor="text1"/>
          <w:sz w:val="22"/>
          <w:lang w:val="es-ES_tradnl"/>
        </w:rPr>
        <w:t xml:space="preserve"> </w:t>
      </w:r>
      <w:r w:rsidRPr="00916C68">
        <w:rPr>
          <w:rFonts w:ascii="Arial" w:eastAsia="Calibri" w:hAnsi="Arial" w:cs="Arial"/>
          <w:color w:val="000000" w:themeColor="text1"/>
          <w:sz w:val="22"/>
          <w:lang w:val="es-ES_tradnl"/>
        </w:rPr>
        <w:t>que obliga a las entidades públicas a adoptar todas las medidas y acciones q</w:t>
      </w:r>
      <w:r w:rsidR="003622B1" w:rsidRPr="00916C68">
        <w:rPr>
          <w:rFonts w:ascii="Arial" w:eastAsia="Calibri" w:hAnsi="Arial" w:cs="Arial"/>
          <w:color w:val="000000" w:themeColor="text1"/>
          <w:sz w:val="22"/>
          <w:lang w:val="es-ES_tradnl"/>
        </w:rPr>
        <w:t xml:space="preserve">ue den una respuesta inmediata a la misma. </w:t>
      </w:r>
      <w:r w:rsidR="00A73D39" w:rsidRPr="00916C68">
        <w:rPr>
          <w:rFonts w:ascii="Arial" w:eastAsia="Calibri" w:hAnsi="Arial" w:cs="Arial"/>
          <w:color w:val="000000" w:themeColor="text1"/>
          <w:sz w:val="22"/>
          <w:lang w:val="es-ES_tradnl"/>
        </w:rPr>
        <w:t xml:space="preserve">En esta línea, </w:t>
      </w:r>
      <w:r w:rsidR="00093ECD" w:rsidRPr="00916C68">
        <w:rPr>
          <w:rFonts w:ascii="Arial" w:eastAsia="Calibri" w:hAnsi="Arial" w:cs="Arial"/>
          <w:color w:val="000000" w:themeColor="text1"/>
          <w:sz w:val="22"/>
          <w:lang w:val="es-ES_tradnl"/>
        </w:rPr>
        <w:t xml:space="preserve">la </w:t>
      </w:r>
      <w:r w:rsidR="00B16FB6" w:rsidRPr="00916C68">
        <w:rPr>
          <w:rFonts w:ascii="Arial" w:eastAsia="Calibri" w:hAnsi="Arial" w:cs="Arial"/>
          <w:color w:val="000000" w:themeColor="text1"/>
          <w:sz w:val="22"/>
          <w:lang w:val="es-ES_tradnl"/>
        </w:rPr>
        <w:t>«</w:t>
      </w:r>
      <w:r w:rsidR="00093ECD" w:rsidRPr="00916C68">
        <w:rPr>
          <w:rFonts w:ascii="Arial" w:eastAsia="Calibri" w:hAnsi="Arial" w:cs="Arial"/>
          <w:color w:val="000000" w:themeColor="text1"/>
          <w:sz w:val="22"/>
          <w:lang w:val="es-ES_tradnl"/>
        </w:rPr>
        <w:t>atención de emergencias</w:t>
      </w:r>
      <w:r w:rsidR="00B16FB6" w:rsidRPr="00916C68">
        <w:rPr>
          <w:rFonts w:ascii="Arial" w:eastAsia="Calibri" w:hAnsi="Arial" w:cs="Arial"/>
          <w:color w:val="000000" w:themeColor="text1"/>
          <w:sz w:val="22"/>
          <w:lang w:val="es-ES_tradnl"/>
        </w:rPr>
        <w:t>»</w:t>
      </w:r>
      <w:r w:rsidR="00093ECD" w:rsidRPr="00916C68">
        <w:rPr>
          <w:rFonts w:ascii="Arial" w:eastAsia="Calibri" w:hAnsi="Arial" w:cs="Arial"/>
          <w:color w:val="000000" w:themeColor="text1"/>
          <w:sz w:val="22"/>
          <w:lang w:val="es-ES_tradnl"/>
        </w:rPr>
        <w:t xml:space="preserve"> </w:t>
      </w:r>
      <w:r w:rsidR="00B4179B" w:rsidRPr="00916C68">
        <w:rPr>
          <w:rFonts w:ascii="Arial" w:eastAsia="Calibri" w:hAnsi="Arial" w:cs="Arial"/>
          <w:color w:val="000000" w:themeColor="text1"/>
          <w:sz w:val="22"/>
          <w:lang w:val="es-ES_tradnl"/>
        </w:rPr>
        <w:t>alude</w:t>
      </w:r>
      <w:r w:rsidR="00A73D39" w:rsidRPr="00916C68">
        <w:rPr>
          <w:rFonts w:ascii="Arial" w:eastAsia="Calibri" w:hAnsi="Arial" w:cs="Arial"/>
          <w:color w:val="000000" w:themeColor="text1"/>
          <w:sz w:val="22"/>
          <w:lang w:val="es-ES_tradnl"/>
        </w:rPr>
        <w:t xml:space="preserve"> a aquellos proyectos o actividades que deban ejecutarse para responder o </w:t>
      </w:r>
      <w:r w:rsidR="00093ECD" w:rsidRPr="00916C68">
        <w:rPr>
          <w:rFonts w:ascii="Arial" w:eastAsia="Calibri" w:hAnsi="Arial" w:cs="Arial"/>
          <w:color w:val="000000" w:themeColor="text1"/>
          <w:sz w:val="22"/>
          <w:lang w:val="es-ES_tradnl"/>
        </w:rPr>
        <w:t xml:space="preserve">prestar asistencia </w:t>
      </w:r>
      <w:r w:rsidR="00A73D39" w:rsidRPr="00916C68">
        <w:rPr>
          <w:rFonts w:ascii="Arial" w:eastAsia="Calibri" w:hAnsi="Arial" w:cs="Arial"/>
          <w:color w:val="000000" w:themeColor="text1"/>
          <w:sz w:val="22"/>
          <w:lang w:val="es-ES_tradnl"/>
        </w:rPr>
        <w:t xml:space="preserve">de la emergencia, en vías primarias o secundarias o terciarias o urbanas, siempre que no deban contratarse mediante modalidad de contratación directa. </w:t>
      </w:r>
    </w:p>
    <w:p w14:paraId="348AAA55" w14:textId="2426E26B" w:rsidR="00A950EC" w:rsidRPr="00916C68" w:rsidRDefault="00A73D39" w:rsidP="000220D9">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En lo que respecta </w:t>
      </w:r>
      <w:r w:rsidR="00A950EC" w:rsidRPr="00916C68">
        <w:rPr>
          <w:rFonts w:ascii="Arial" w:eastAsia="Calibri" w:hAnsi="Arial" w:cs="Arial"/>
          <w:color w:val="000000" w:themeColor="text1"/>
          <w:sz w:val="22"/>
          <w:lang w:val="es-ES_tradnl"/>
        </w:rPr>
        <w:t xml:space="preserve">al término </w:t>
      </w:r>
      <w:r w:rsidR="00B16FB6" w:rsidRPr="00916C68">
        <w:rPr>
          <w:rFonts w:ascii="Arial" w:eastAsia="Calibri" w:hAnsi="Arial" w:cs="Arial"/>
          <w:color w:val="000000" w:themeColor="text1"/>
          <w:sz w:val="22"/>
          <w:lang w:val="es-ES_tradnl"/>
        </w:rPr>
        <w:t>«</w:t>
      </w:r>
      <w:r w:rsidR="00A950EC" w:rsidRPr="00916C68">
        <w:rPr>
          <w:rFonts w:ascii="Arial" w:eastAsia="Calibri" w:hAnsi="Arial" w:cs="Arial"/>
          <w:color w:val="000000" w:themeColor="text1"/>
          <w:sz w:val="22"/>
          <w:lang w:val="es-ES_tradnl"/>
        </w:rPr>
        <w:t>prevención</w:t>
      </w:r>
      <w:r w:rsidR="00B16FB6" w:rsidRPr="00916C68">
        <w:rPr>
          <w:rFonts w:ascii="Arial" w:eastAsia="Calibri" w:hAnsi="Arial" w:cs="Arial"/>
          <w:color w:val="000000" w:themeColor="text1"/>
          <w:sz w:val="22"/>
          <w:lang w:val="es-ES_tradnl"/>
        </w:rPr>
        <w:t>»</w:t>
      </w:r>
      <w:r w:rsidRPr="00916C68">
        <w:rPr>
          <w:rFonts w:ascii="Arial" w:eastAsia="Calibri" w:hAnsi="Arial" w:cs="Arial"/>
          <w:color w:val="000000" w:themeColor="text1"/>
          <w:sz w:val="22"/>
          <w:lang w:val="es-ES_tradnl"/>
        </w:rPr>
        <w:t xml:space="preserve">, </w:t>
      </w:r>
      <w:r w:rsidR="00A950EC" w:rsidRPr="00916C68">
        <w:rPr>
          <w:rFonts w:ascii="Arial" w:eastAsia="Calibri" w:hAnsi="Arial" w:cs="Arial"/>
          <w:color w:val="000000" w:themeColor="text1"/>
          <w:sz w:val="22"/>
          <w:lang w:val="es-ES_tradnl"/>
        </w:rPr>
        <w:t>el Diccionario de la Lengua Española  hace referencia a la «preparación y disposición que se hace anticipadamente para evitar un riesgo o ejecutar algo»</w:t>
      </w:r>
      <w:r w:rsidR="00180EF8" w:rsidRPr="00916C68">
        <w:rPr>
          <w:rFonts w:ascii="Arial" w:eastAsia="Calibri" w:hAnsi="Arial" w:cs="Arial"/>
          <w:color w:val="000000" w:themeColor="text1"/>
          <w:sz w:val="22"/>
          <w:lang w:val="es-ES_tradnl"/>
        </w:rPr>
        <w:t>.</w:t>
      </w:r>
      <w:r w:rsidR="00A950EC" w:rsidRPr="00916C68">
        <w:rPr>
          <w:rFonts w:ascii="Arial" w:eastAsia="Calibri" w:hAnsi="Arial" w:cs="Arial"/>
          <w:color w:val="000000" w:themeColor="text1"/>
          <w:sz w:val="22"/>
          <w:lang w:val="es-ES_tradnl"/>
        </w:rPr>
        <w:t xml:space="preserve"> </w:t>
      </w:r>
      <w:r w:rsidR="00180EF8" w:rsidRPr="00916C68">
        <w:rPr>
          <w:rFonts w:ascii="Arial" w:eastAsia="Calibri" w:hAnsi="Arial" w:cs="Arial"/>
          <w:color w:val="000000" w:themeColor="text1"/>
          <w:sz w:val="22"/>
          <w:lang w:val="es-ES_tradnl"/>
        </w:rPr>
        <w:t>E</w:t>
      </w:r>
      <w:r w:rsidR="00A950EC" w:rsidRPr="00916C68">
        <w:rPr>
          <w:rFonts w:ascii="Arial" w:eastAsia="Calibri" w:hAnsi="Arial" w:cs="Arial"/>
          <w:color w:val="000000" w:themeColor="text1"/>
          <w:sz w:val="22"/>
          <w:lang w:val="es-ES_tradnl"/>
        </w:rPr>
        <w:t>n este orden</w:t>
      </w:r>
      <w:r w:rsidR="00180EF8" w:rsidRPr="00916C68">
        <w:rPr>
          <w:rFonts w:ascii="Arial" w:eastAsia="Calibri" w:hAnsi="Arial" w:cs="Arial"/>
          <w:color w:val="000000" w:themeColor="text1"/>
          <w:sz w:val="22"/>
          <w:lang w:val="es-ES_tradnl"/>
        </w:rPr>
        <w:t xml:space="preserve"> de ideas</w:t>
      </w:r>
      <w:r w:rsidR="00A950EC" w:rsidRPr="00916C68">
        <w:rPr>
          <w:rFonts w:ascii="Arial" w:eastAsia="Calibri" w:hAnsi="Arial" w:cs="Arial"/>
          <w:color w:val="000000" w:themeColor="text1"/>
          <w:sz w:val="22"/>
          <w:lang w:val="es-ES_tradnl"/>
        </w:rPr>
        <w:t>,</w:t>
      </w:r>
      <w:r w:rsidR="00180EF8" w:rsidRPr="00916C68">
        <w:rPr>
          <w:rFonts w:ascii="Arial" w:eastAsia="Calibri" w:hAnsi="Arial" w:cs="Arial"/>
          <w:color w:val="000000" w:themeColor="text1"/>
          <w:sz w:val="22"/>
          <w:lang w:val="es-ES_tradnl"/>
        </w:rPr>
        <w:t xml:space="preserve"> el concepto alude</w:t>
      </w:r>
      <w:r w:rsidR="00A950EC" w:rsidRPr="00916C68">
        <w:rPr>
          <w:rFonts w:ascii="Arial" w:eastAsia="Calibri" w:hAnsi="Arial" w:cs="Arial"/>
          <w:color w:val="000000" w:themeColor="text1"/>
          <w:sz w:val="22"/>
          <w:lang w:val="es-ES_tradnl"/>
        </w:rPr>
        <w:t xml:space="preserve"> a todas las actividades que deban ejecutarse para evitar la materialización de la emergencia. Finalmente, en relación con el término </w:t>
      </w:r>
      <w:r w:rsidR="00B16FB6" w:rsidRPr="00916C68">
        <w:rPr>
          <w:rFonts w:ascii="Arial" w:eastAsia="Calibri" w:hAnsi="Arial" w:cs="Arial"/>
          <w:color w:val="000000" w:themeColor="text1"/>
          <w:sz w:val="22"/>
          <w:lang w:val="es-ES_tradnl"/>
        </w:rPr>
        <w:t>«</w:t>
      </w:r>
      <w:r w:rsidR="00A950EC" w:rsidRPr="00916C68">
        <w:rPr>
          <w:rFonts w:ascii="Arial" w:eastAsia="Calibri" w:hAnsi="Arial" w:cs="Arial"/>
          <w:color w:val="000000" w:themeColor="text1"/>
          <w:sz w:val="22"/>
          <w:lang w:val="es-ES_tradnl"/>
        </w:rPr>
        <w:t>mitigación</w:t>
      </w:r>
      <w:r w:rsidR="00B16FB6" w:rsidRPr="00916C68">
        <w:rPr>
          <w:rFonts w:ascii="Arial" w:eastAsia="Calibri" w:hAnsi="Arial" w:cs="Arial"/>
          <w:color w:val="000000" w:themeColor="text1"/>
          <w:sz w:val="22"/>
          <w:lang w:val="es-ES_tradnl"/>
        </w:rPr>
        <w:t xml:space="preserve">» </w:t>
      </w:r>
      <w:r w:rsidR="001B461B" w:rsidRPr="00916C68">
        <w:rPr>
          <w:rFonts w:ascii="Arial" w:eastAsia="Calibri" w:hAnsi="Arial" w:cs="Arial"/>
          <w:color w:val="000000" w:themeColor="text1"/>
          <w:sz w:val="22"/>
          <w:lang w:val="es-ES_tradnl"/>
        </w:rPr>
        <w:t>corresponde a</w:t>
      </w:r>
      <w:r w:rsidR="00EA57BD" w:rsidRPr="00916C68">
        <w:rPr>
          <w:rFonts w:ascii="Arial" w:eastAsia="Calibri" w:hAnsi="Arial" w:cs="Arial"/>
          <w:color w:val="000000" w:themeColor="text1"/>
          <w:sz w:val="22"/>
          <w:lang w:val="es-ES_tradnl"/>
        </w:rPr>
        <w:t xml:space="preserve"> todas aquellas intervenciones encaminadas a modificar, modera</w:t>
      </w:r>
      <w:r w:rsidR="00596476" w:rsidRPr="00916C68">
        <w:rPr>
          <w:rFonts w:ascii="Arial" w:eastAsia="Calibri" w:hAnsi="Arial" w:cs="Arial"/>
          <w:color w:val="000000" w:themeColor="text1"/>
          <w:sz w:val="22"/>
          <w:lang w:val="es-ES_tradnl"/>
        </w:rPr>
        <w:t>r</w:t>
      </w:r>
      <w:r w:rsidR="00EA57BD" w:rsidRPr="00916C68">
        <w:rPr>
          <w:rFonts w:ascii="Arial" w:eastAsia="Calibri" w:hAnsi="Arial" w:cs="Arial"/>
          <w:color w:val="000000" w:themeColor="text1"/>
          <w:sz w:val="22"/>
          <w:lang w:val="es-ES_tradnl"/>
        </w:rPr>
        <w:t xml:space="preserve"> o disminuir las condiciones de la emergencia. Las obras en vías primarias, secundarias, terciarias o urbanas encaminadas a mitigar una </w:t>
      </w:r>
      <w:r w:rsidR="00396837" w:rsidRPr="00916C68">
        <w:rPr>
          <w:rFonts w:ascii="Arial" w:eastAsia="Calibri" w:hAnsi="Arial" w:cs="Arial"/>
          <w:color w:val="000000" w:themeColor="text1"/>
          <w:sz w:val="22"/>
          <w:lang w:val="es-ES_tradnl"/>
        </w:rPr>
        <w:t>emergencia</w:t>
      </w:r>
      <w:r w:rsidR="00EA57BD" w:rsidRPr="00916C68">
        <w:rPr>
          <w:rFonts w:ascii="Arial" w:eastAsia="Calibri" w:hAnsi="Arial" w:cs="Arial"/>
          <w:color w:val="000000" w:themeColor="text1"/>
          <w:sz w:val="22"/>
          <w:lang w:val="es-ES_tradnl"/>
        </w:rPr>
        <w:t xml:space="preserve"> son anteriores a la situación adversa. </w:t>
      </w:r>
    </w:p>
    <w:p w14:paraId="0AB30B83" w14:textId="794F6DBF" w:rsidR="000C088D" w:rsidRPr="00916C68" w:rsidRDefault="006D4E32" w:rsidP="00617A5B">
      <w:pPr>
        <w:spacing w:before="120" w:line="276" w:lineRule="auto"/>
        <w:ind w:firstLine="708"/>
        <w:jc w:val="both"/>
        <w:rPr>
          <w:rFonts w:ascii="Arial" w:eastAsia="Calibri" w:hAnsi="Arial" w:cs="Arial"/>
          <w:color w:val="000000" w:themeColor="text1"/>
          <w:sz w:val="22"/>
          <w:lang w:val="es-ES_tradnl"/>
        </w:rPr>
      </w:pPr>
      <w:r w:rsidRPr="00916C68">
        <w:rPr>
          <w:rFonts w:ascii="Arial" w:eastAsia="Calibri" w:hAnsi="Arial" w:cs="Arial"/>
          <w:color w:val="000000" w:themeColor="text1"/>
          <w:sz w:val="22"/>
          <w:lang w:val="es-ES_tradnl"/>
        </w:rPr>
        <w:t xml:space="preserve">De todo lo anterior se </w:t>
      </w:r>
      <w:r w:rsidR="00E80EA8" w:rsidRPr="00916C68">
        <w:rPr>
          <w:rFonts w:ascii="Arial" w:eastAsia="Calibri" w:hAnsi="Arial" w:cs="Arial"/>
          <w:color w:val="000000" w:themeColor="text1"/>
          <w:sz w:val="22"/>
          <w:lang w:val="es-ES_tradnl"/>
        </w:rPr>
        <w:t xml:space="preserve">concluye </w:t>
      </w:r>
      <w:r w:rsidRPr="00916C68">
        <w:rPr>
          <w:rFonts w:ascii="Arial" w:eastAsia="Calibri" w:hAnsi="Arial" w:cs="Arial"/>
          <w:color w:val="000000" w:themeColor="text1"/>
          <w:sz w:val="22"/>
          <w:lang w:val="es-ES_tradnl"/>
        </w:rPr>
        <w:t xml:space="preserve">que </w:t>
      </w:r>
      <w:r w:rsidR="00EA57BD" w:rsidRPr="00916C68">
        <w:rPr>
          <w:rFonts w:ascii="Arial" w:eastAsia="Calibri" w:hAnsi="Arial" w:cs="Arial"/>
          <w:color w:val="000000" w:themeColor="text1"/>
          <w:sz w:val="22"/>
          <w:lang w:val="es-ES_tradnl"/>
        </w:rPr>
        <w:t xml:space="preserve"> </w:t>
      </w:r>
      <w:bookmarkStart w:id="27" w:name="_Hlk72928188"/>
      <w:r w:rsidRPr="00916C68">
        <w:rPr>
          <w:rFonts w:ascii="Arial" w:eastAsia="Calibri" w:hAnsi="Arial" w:cs="Arial"/>
          <w:color w:val="000000" w:themeColor="text1"/>
          <w:sz w:val="22"/>
          <w:lang w:val="es-ES_tradnl"/>
        </w:rPr>
        <w:t xml:space="preserve">la Ley 2022 de 2020 regula un supuesto distinto a la Ley 1523 de 2012, pues aquella establece la aplicación obligatoria de los documentos tipo los procesos de selección de obras públicas, interventoría para las obras públicas, interventoría para consultoría de estudios y diseños para obras públicas, consultoría en </w:t>
      </w:r>
      <w:r w:rsidRPr="00916C68">
        <w:rPr>
          <w:rFonts w:ascii="Arial" w:eastAsia="Calibri" w:hAnsi="Arial" w:cs="Arial"/>
          <w:color w:val="000000" w:themeColor="text1"/>
          <w:sz w:val="22"/>
          <w:lang w:val="es-ES_tradnl"/>
        </w:rPr>
        <w:lastRenderedPageBreak/>
        <w:t>ingeniería para obras</w:t>
      </w:r>
      <w:r w:rsidR="00C400CB" w:rsidRPr="00916C68">
        <w:rPr>
          <w:rFonts w:ascii="Arial" w:eastAsia="Calibri" w:hAnsi="Arial" w:cs="Arial"/>
          <w:color w:val="000000" w:themeColor="text1"/>
          <w:sz w:val="22"/>
          <w:lang w:val="es-ES_tradnl"/>
        </w:rPr>
        <w:t>, entre otros</w:t>
      </w:r>
      <w:r w:rsidR="006459D5" w:rsidRPr="00916C68">
        <w:rPr>
          <w:rFonts w:ascii="Arial" w:eastAsia="Calibri" w:hAnsi="Arial" w:cs="Arial"/>
          <w:color w:val="000000" w:themeColor="text1"/>
          <w:sz w:val="22"/>
          <w:lang w:val="es-ES_tradnl"/>
        </w:rPr>
        <w:t>. Por otra parte,</w:t>
      </w:r>
      <w:r w:rsidRPr="00916C68">
        <w:rPr>
          <w:rFonts w:ascii="Arial" w:eastAsia="Calibri" w:hAnsi="Arial" w:cs="Arial"/>
          <w:color w:val="000000" w:themeColor="text1"/>
          <w:sz w:val="22"/>
          <w:lang w:val="es-ES_tradnl"/>
        </w:rPr>
        <w:t xml:space="preserve"> la </w:t>
      </w:r>
      <w:r w:rsidR="006459D5" w:rsidRPr="00916C68">
        <w:rPr>
          <w:rFonts w:ascii="Arial" w:eastAsia="Calibri" w:hAnsi="Arial" w:cs="Arial"/>
          <w:color w:val="000000" w:themeColor="text1"/>
          <w:sz w:val="22"/>
          <w:lang w:val="es-ES_tradnl"/>
        </w:rPr>
        <w:t>L</w:t>
      </w:r>
      <w:r w:rsidRPr="00916C68">
        <w:rPr>
          <w:rFonts w:ascii="Arial" w:eastAsia="Calibri" w:hAnsi="Arial" w:cs="Arial"/>
          <w:color w:val="000000" w:themeColor="text1"/>
          <w:sz w:val="22"/>
          <w:lang w:val="es-ES_tradnl"/>
        </w:rPr>
        <w:t>ey 1523 de 2012 establece un régimen especial aplicable para situaciones excepcionales.</w:t>
      </w:r>
      <w:bookmarkEnd w:id="27"/>
      <w:r w:rsidRPr="00916C68">
        <w:rPr>
          <w:rFonts w:ascii="Arial" w:eastAsia="Calibri" w:hAnsi="Arial" w:cs="Arial"/>
          <w:color w:val="000000" w:themeColor="text1"/>
          <w:sz w:val="22"/>
          <w:lang w:val="es-ES_tradnl"/>
        </w:rPr>
        <w:t xml:space="preserve"> </w:t>
      </w:r>
    </w:p>
    <w:p w14:paraId="2C80FB74" w14:textId="28A976E7" w:rsidR="00396837" w:rsidRPr="00916C68" w:rsidRDefault="006D4E32">
      <w:pPr>
        <w:spacing w:before="120" w:line="276" w:lineRule="auto"/>
        <w:ind w:firstLine="708"/>
        <w:jc w:val="both"/>
        <w:rPr>
          <w:rFonts w:ascii="Arial" w:hAnsi="Arial" w:cs="Arial"/>
          <w:color w:val="000000" w:themeColor="text1"/>
          <w:sz w:val="22"/>
        </w:rPr>
      </w:pPr>
      <w:bookmarkStart w:id="28" w:name="_Hlk72928741"/>
      <w:r w:rsidRPr="00916C68">
        <w:rPr>
          <w:rFonts w:ascii="Arial" w:eastAsia="Calibri" w:hAnsi="Arial" w:cs="Arial"/>
          <w:color w:val="000000" w:themeColor="text1"/>
          <w:sz w:val="22"/>
          <w:lang w:val="es-ES_tradnl"/>
        </w:rPr>
        <w:t>L</w:t>
      </w:r>
      <w:r w:rsidR="00EA57BD" w:rsidRPr="00916C68">
        <w:rPr>
          <w:rFonts w:ascii="Arial" w:eastAsia="Calibri" w:hAnsi="Arial" w:cs="Arial"/>
          <w:color w:val="000000" w:themeColor="text1"/>
          <w:sz w:val="22"/>
          <w:lang w:val="es-ES_tradnl"/>
        </w:rPr>
        <w:t>a aplicación de los documentos tipo para atención, prevención o mitigación de emergencias est</w:t>
      </w:r>
      <w:r w:rsidR="006A112B" w:rsidRPr="00916C68">
        <w:rPr>
          <w:rFonts w:ascii="Arial" w:eastAsia="Calibri" w:hAnsi="Arial" w:cs="Arial"/>
          <w:color w:val="000000" w:themeColor="text1"/>
          <w:sz w:val="22"/>
          <w:lang w:val="es-ES_tradnl"/>
        </w:rPr>
        <w:t xml:space="preserve">á prevista </w:t>
      </w:r>
      <w:r w:rsidR="009213B0" w:rsidRPr="00916C68">
        <w:rPr>
          <w:rFonts w:ascii="Arial" w:eastAsia="Calibri" w:hAnsi="Arial" w:cs="Arial"/>
          <w:color w:val="000000" w:themeColor="text1"/>
          <w:sz w:val="22"/>
          <w:lang w:val="es-ES_tradnl"/>
        </w:rPr>
        <w:t>exclusivamente a</w:t>
      </w:r>
      <w:r w:rsidR="006A112B" w:rsidRPr="00916C68">
        <w:rPr>
          <w:rFonts w:ascii="Arial" w:eastAsia="Calibri" w:hAnsi="Arial" w:cs="Arial"/>
          <w:color w:val="000000" w:themeColor="text1"/>
          <w:sz w:val="22"/>
          <w:lang w:val="es-ES_tradnl"/>
        </w:rPr>
        <w:t xml:space="preserve"> eventos en los que se requiera la ejecución de dichas actividades en vías primarias o secundarias o terciarias o urbanas, que no deban contrata</w:t>
      </w:r>
      <w:r w:rsidR="006459D5" w:rsidRPr="00916C68">
        <w:rPr>
          <w:rFonts w:ascii="Arial" w:eastAsia="Calibri" w:hAnsi="Arial" w:cs="Arial"/>
          <w:color w:val="000000" w:themeColor="text1"/>
          <w:sz w:val="22"/>
          <w:lang w:val="es-ES_tradnl"/>
        </w:rPr>
        <w:t>rse</w:t>
      </w:r>
      <w:r w:rsidR="006A112B" w:rsidRPr="00916C68">
        <w:rPr>
          <w:rFonts w:ascii="Arial" w:eastAsia="Calibri" w:hAnsi="Arial" w:cs="Arial"/>
          <w:color w:val="000000" w:themeColor="text1"/>
          <w:sz w:val="22"/>
          <w:lang w:val="es-ES_tradnl"/>
        </w:rPr>
        <w:t xml:space="preserve"> bajo la modalidad de selección directa</w:t>
      </w:r>
      <w:r w:rsidR="009213B0" w:rsidRPr="00916C68">
        <w:rPr>
          <w:rFonts w:ascii="Arial" w:eastAsia="Calibri" w:hAnsi="Arial" w:cs="Arial"/>
          <w:color w:val="000000" w:themeColor="text1"/>
          <w:sz w:val="22"/>
          <w:lang w:val="es-ES_tradnl"/>
        </w:rPr>
        <w:t xml:space="preserve">. </w:t>
      </w:r>
      <w:r w:rsidR="00B330F4" w:rsidRPr="00916C68">
        <w:rPr>
          <w:rFonts w:ascii="Arial" w:eastAsia="Calibri" w:hAnsi="Arial" w:cs="Arial"/>
          <w:color w:val="000000" w:themeColor="text1"/>
          <w:sz w:val="22"/>
          <w:lang w:val="es-ES_tradnl"/>
        </w:rPr>
        <w:t>A este último caso corresponden las circunstancias en que</w:t>
      </w:r>
      <w:r w:rsidR="00B46925" w:rsidRPr="00916C68">
        <w:rPr>
          <w:rFonts w:ascii="Arial" w:eastAsia="Calibri" w:hAnsi="Arial" w:cs="Arial"/>
          <w:color w:val="000000" w:themeColor="text1"/>
          <w:sz w:val="22"/>
          <w:lang w:val="es-ES_tradnl"/>
        </w:rPr>
        <w:t xml:space="preserve"> se</w:t>
      </w:r>
      <w:r w:rsidR="006A112B" w:rsidRPr="00916C68">
        <w:rPr>
          <w:rFonts w:ascii="Arial" w:eastAsia="Calibri" w:hAnsi="Arial" w:cs="Arial"/>
          <w:color w:val="000000" w:themeColor="text1"/>
          <w:sz w:val="22"/>
          <w:lang w:val="es-ES_tradnl"/>
        </w:rPr>
        <w:t xml:space="preserve"> declar</w:t>
      </w:r>
      <w:r w:rsidR="00F277FC" w:rsidRPr="00916C68">
        <w:rPr>
          <w:rFonts w:ascii="Arial" w:eastAsia="Calibri" w:hAnsi="Arial" w:cs="Arial"/>
          <w:color w:val="000000" w:themeColor="text1"/>
          <w:sz w:val="22"/>
          <w:lang w:val="es-ES_tradnl"/>
        </w:rPr>
        <w:t>e</w:t>
      </w:r>
      <w:r w:rsidR="006A112B" w:rsidRPr="00916C68">
        <w:rPr>
          <w:rFonts w:ascii="Arial" w:eastAsia="Calibri" w:hAnsi="Arial" w:cs="Arial"/>
          <w:color w:val="000000" w:themeColor="text1"/>
          <w:sz w:val="22"/>
          <w:lang w:val="es-ES_tradnl"/>
        </w:rPr>
        <w:t xml:space="preserve"> la calamidad pública o la situación de desastre</w:t>
      </w:r>
      <w:r w:rsidR="00DA5831" w:rsidRPr="00916C68">
        <w:rPr>
          <w:rFonts w:ascii="Arial" w:eastAsia="Calibri" w:hAnsi="Arial" w:cs="Arial"/>
          <w:color w:val="000000" w:themeColor="text1"/>
          <w:sz w:val="22"/>
          <w:lang w:val="es-ES_tradnl"/>
        </w:rPr>
        <w:t xml:space="preserve">, la cual fundamenta </w:t>
      </w:r>
      <w:r w:rsidR="006A112B" w:rsidRPr="00916C68">
        <w:rPr>
          <w:rFonts w:ascii="Arial" w:eastAsia="Calibri" w:hAnsi="Arial" w:cs="Arial"/>
          <w:color w:val="000000" w:themeColor="text1"/>
          <w:sz w:val="22"/>
          <w:lang w:val="es-ES_tradnl"/>
        </w:rPr>
        <w:t xml:space="preserve">la urgencia manifiesta de que trata el artículo 42 de la </w:t>
      </w:r>
      <w:r w:rsidR="00396837" w:rsidRPr="00916C68">
        <w:rPr>
          <w:rFonts w:ascii="Arial" w:eastAsia="Calibri" w:hAnsi="Arial" w:cs="Arial"/>
          <w:color w:val="000000" w:themeColor="text1"/>
          <w:sz w:val="22"/>
          <w:lang w:val="es-ES_tradnl"/>
        </w:rPr>
        <w:t>L</w:t>
      </w:r>
      <w:r w:rsidR="006A112B" w:rsidRPr="00916C68">
        <w:rPr>
          <w:rFonts w:ascii="Arial" w:eastAsia="Calibri" w:hAnsi="Arial" w:cs="Arial"/>
          <w:color w:val="000000" w:themeColor="text1"/>
          <w:sz w:val="22"/>
          <w:lang w:val="es-ES_tradnl"/>
        </w:rPr>
        <w:t>ey 80 de 1993.</w:t>
      </w:r>
      <w:r w:rsidR="00622F26" w:rsidRPr="00916C68">
        <w:rPr>
          <w:rFonts w:ascii="Arial" w:eastAsia="Calibri" w:hAnsi="Arial" w:cs="Arial"/>
          <w:color w:val="000000" w:themeColor="text1"/>
          <w:sz w:val="22"/>
          <w:lang w:val="es-ES_tradnl"/>
        </w:rPr>
        <w:t xml:space="preserve"> </w:t>
      </w:r>
      <w:r w:rsidR="00146432" w:rsidRPr="00916C68">
        <w:rPr>
          <w:rFonts w:ascii="Arial" w:hAnsi="Arial" w:cs="Arial"/>
          <w:sz w:val="22"/>
          <w:szCs w:val="22"/>
        </w:rPr>
        <w:t>Conforme a</w:t>
      </w:r>
      <w:r w:rsidR="00622F26" w:rsidRPr="00916C68">
        <w:rPr>
          <w:rFonts w:ascii="Arial" w:hAnsi="Arial" w:cs="Arial"/>
          <w:sz w:val="22"/>
          <w:szCs w:val="22"/>
        </w:rPr>
        <w:t xml:space="preserve"> las circunstancias del caso concreto, la entidad contratante aplicará los documentos tipo o la Ley 1523 de 2012 dependiendo del análisis en la etapa previa de planeación y estructuración del proceso de selección y del proyecto en particular.</w:t>
      </w:r>
    </w:p>
    <w:bookmarkEnd w:id="28"/>
    <w:p w14:paraId="402A766E" w14:textId="2884BD16" w:rsidR="007D0C4B" w:rsidRPr="00916C68" w:rsidRDefault="00C1427C" w:rsidP="007D0C4B">
      <w:pPr>
        <w:spacing w:before="120" w:line="276" w:lineRule="auto"/>
        <w:ind w:firstLine="708"/>
        <w:jc w:val="both"/>
        <w:rPr>
          <w:rFonts w:ascii="Arial" w:eastAsia="Calibri" w:hAnsi="Arial" w:cs="Arial"/>
          <w:sz w:val="22"/>
        </w:rPr>
      </w:pPr>
      <w:r w:rsidRPr="00916C68">
        <w:rPr>
          <w:rFonts w:ascii="Arial" w:eastAsia="Calibri" w:hAnsi="Arial" w:cs="Arial"/>
          <w:color w:val="000000" w:themeColor="text1"/>
          <w:sz w:val="22"/>
          <w:lang w:val="es-ES_tradnl"/>
        </w:rPr>
        <w:t xml:space="preserve">Ahora, si para la ejecución del proyecto de infraestructura es necesario adquirir otros bienes </w:t>
      </w:r>
      <w:r w:rsidR="007D0C4B" w:rsidRPr="00916C68">
        <w:rPr>
          <w:rFonts w:ascii="Arial" w:eastAsia="Calibri" w:hAnsi="Arial" w:cs="Arial"/>
          <w:color w:val="000000" w:themeColor="text1"/>
          <w:sz w:val="22"/>
          <w:lang w:val="es-ES_tradnl"/>
        </w:rPr>
        <w:t>o servicios adicionales a la obra pública, el artículo 4 de la Resolución No. 240 de 2020</w:t>
      </w:r>
      <w:r w:rsidR="0026366B" w:rsidRPr="00916C68">
        <w:rPr>
          <w:rFonts w:ascii="Arial" w:eastAsia="Calibri" w:hAnsi="Arial" w:cs="Arial"/>
          <w:color w:val="000000" w:themeColor="text1"/>
          <w:sz w:val="22"/>
          <w:lang w:val="es-ES_tradnl"/>
        </w:rPr>
        <w:t xml:space="preserve"> dispone</w:t>
      </w:r>
      <w:r w:rsidR="007D0C4B" w:rsidRPr="00916C68">
        <w:rPr>
          <w:rFonts w:ascii="Arial" w:eastAsia="Calibri" w:hAnsi="Arial" w:cs="Arial"/>
          <w:color w:val="000000" w:themeColor="text1"/>
          <w:sz w:val="22"/>
          <w:lang w:val="es-ES_tradnl"/>
        </w:rPr>
        <w:t xml:space="preserve"> que </w:t>
      </w:r>
      <w:r w:rsidR="007D0C4B" w:rsidRPr="00916C68">
        <w:rPr>
          <w:rFonts w:ascii="Arial" w:eastAsia="Calibri" w:hAnsi="Arial" w:cs="Arial"/>
          <w:sz w:val="22"/>
        </w:rPr>
        <w:t xml:space="preserve">«cuando el objeto contractual incluya bienes o servicios ajenos a la obra pública de infraestructura de transporte, la entidad estatal deberá aplicar los Documentos Tipo» y estableció las reglas para exigir experiencia adicional para evaluar la idoneidad respecto de los bienes o servicios ajenos a la obra pública. </w:t>
      </w:r>
    </w:p>
    <w:p w14:paraId="12807E5D" w14:textId="3841AFBC" w:rsidR="00EA57BD" w:rsidRPr="00916C68" w:rsidRDefault="00400134" w:rsidP="00325AE7">
      <w:pPr>
        <w:spacing w:before="120" w:line="276" w:lineRule="auto"/>
        <w:ind w:firstLine="708"/>
        <w:jc w:val="both"/>
        <w:rPr>
          <w:rFonts w:ascii="Arial" w:eastAsia="Calibri" w:hAnsi="Arial" w:cs="Arial"/>
          <w:bCs/>
          <w:color w:val="000000"/>
          <w:sz w:val="22"/>
          <w:lang w:val="es-ES_tradnl"/>
        </w:rPr>
      </w:pPr>
      <w:r w:rsidRPr="00916C68">
        <w:rPr>
          <w:rStyle w:val="normaltextrun"/>
          <w:rFonts w:ascii="Arial" w:hAnsi="Arial" w:cs="Arial"/>
          <w:sz w:val="22"/>
          <w:szCs w:val="22"/>
        </w:rPr>
        <w:t xml:space="preserve">Con fundamento en lo anterior, si la entidad pública determina que el contrato a ejecutar involucra actividades definidas en la </w:t>
      </w:r>
      <w:r w:rsidRPr="00916C68">
        <w:rPr>
          <w:rFonts w:ascii="Arial" w:eastAsia="Calibri" w:hAnsi="Arial" w:cs="Arial"/>
          <w:sz w:val="22"/>
        </w:rPr>
        <w:t xml:space="preserve">«Matriz 1 – Experiencia» </w:t>
      </w:r>
      <w:r w:rsidRPr="00916C68">
        <w:rPr>
          <w:rStyle w:val="normaltextrun"/>
          <w:rFonts w:ascii="Arial" w:hAnsi="Arial" w:cs="Arial"/>
          <w:sz w:val="22"/>
          <w:szCs w:val="22"/>
        </w:rPr>
        <w:t>del pliego tipo de obra de infraestructura de transporte y, además, comprende actividades adicionales</w:t>
      </w:r>
      <w:bookmarkStart w:id="29" w:name="_Hlk67995075"/>
      <w:r w:rsidRPr="00916C68">
        <w:rPr>
          <w:rStyle w:val="normaltextrun"/>
          <w:rFonts w:ascii="Arial" w:hAnsi="Arial" w:cs="Arial"/>
          <w:sz w:val="22"/>
          <w:szCs w:val="22"/>
        </w:rPr>
        <w:t xml:space="preserve"> a dicha obra, </w:t>
      </w:r>
      <w:bookmarkEnd w:id="29"/>
      <w:r w:rsidRPr="00916C68">
        <w:rPr>
          <w:rStyle w:val="normaltextrun"/>
          <w:rFonts w:ascii="Arial" w:hAnsi="Arial" w:cs="Arial"/>
          <w:sz w:val="22"/>
          <w:szCs w:val="22"/>
        </w:rPr>
        <w:t xml:space="preserve">deberá aplicar los pliegos tipo de infraestructura de transporte. En este evento, </w:t>
      </w:r>
      <w:r w:rsidR="00DF4C52" w:rsidRPr="00916C68">
        <w:rPr>
          <w:rStyle w:val="normaltextrun"/>
          <w:rFonts w:ascii="Arial" w:hAnsi="Arial" w:cs="Arial"/>
          <w:sz w:val="22"/>
          <w:szCs w:val="22"/>
        </w:rPr>
        <w:t>aplicará los</w:t>
      </w:r>
      <w:r w:rsidRPr="00916C68">
        <w:rPr>
          <w:rStyle w:val="normaltextrun"/>
          <w:rFonts w:ascii="Arial" w:hAnsi="Arial" w:cs="Arial"/>
          <w:sz w:val="22"/>
          <w:szCs w:val="22"/>
        </w:rPr>
        <w:t xml:space="preserve"> parámetros dispuestos en el artículo 4 de las Resoluci</w:t>
      </w:r>
      <w:r w:rsidR="0077772E" w:rsidRPr="00916C68">
        <w:rPr>
          <w:rStyle w:val="normaltextrun"/>
          <w:rFonts w:ascii="Arial" w:hAnsi="Arial" w:cs="Arial"/>
          <w:sz w:val="22"/>
          <w:szCs w:val="22"/>
        </w:rPr>
        <w:t>ón</w:t>
      </w:r>
      <w:r w:rsidRPr="00916C68">
        <w:rPr>
          <w:rStyle w:val="normaltextrun"/>
          <w:rFonts w:ascii="Arial" w:hAnsi="Arial" w:cs="Arial"/>
          <w:sz w:val="22"/>
          <w:szCs w:val="22"/>
        </w:rPr>
        <w:t xml:space="preserve"> No. </w:t>
      </w:r>
      <w:r w:rsidR="007D0C4B" w:rsidRPr="00916C68">
        <w:rPr>
          <w:rStyle w:val="normaltextrun"/>
          <w:rFonts w:ascii="Arial" w:hAnsi="Arial" w:cs="Arial"/>
          <w:sz w:val="22"/>
          <w:szCs w:val="22"/>
        </w:rPr>
        <w:t>240</w:t>
      </w:r>
      <w:r w:rsidRPr="00916C68">
        <w:rPr>
          <w:rStyle w:val="normaltextrun"/>
          <w:rFonts w:ascii="Arial" w:hAnsi="Arial" w:cs="Arial"/>
          <w:sz w:val="22"/>
          <w:szCs w:val="22"/>
        </w:rPr>
        <w:t xml:space="preserve"> de 2020, con la finalidad de solicitar la experiencia adicional relacionada con los bienes y servicios adicionales. </w:t>
      </w:r>
      <w:r w:rsidRPr="00916C68">
        <w:rPr>
          <w:rFonts w:ascii="Arial" w:eastAsia="Calibri" w:hAnsi="Arial" w:cs="Arial"/>
          <w:bCs/>
          <w:color w:val="000000"/>
          <w:sz w:val="22"/>
          <w:lang w:val="es-ES_tradnl"/>
        </w:rPr>
        <w:t>En todo caso, corresponde a la entidad determinar, en el marco de sus competencias, conforme las circunstancias particulares de cada caso y el proyecto a ejecutar, si resultan aplicable los documentos tipo adoptados por Colombia Compra Eficiente de acuerdo con los argumentos expuestos. De igual manera, será responsabilidad de la entidad atender las normas presupuestales que le sean aplicables para la ejecución de los proyectos a su cargo.</w:t>
      </w:r>
    </w:p>
    <w:p w14:paraId="53DBEF9C" w14:textId="77777777" w:rsidR="00601FC4" w:rsidRPr="00916C68" w:rsidRDefault="00601FC4" w:rsidP="00916C68">
      <w:pPr>
        <w:spacing w:line="276" w:lineRule="auto"/>
        <w:ind w:firstLine="708"/>
        <w:jc w:val="both"/>
        <w:rPr>
          <w:rFonts w:ascii="Arial" w:eastAsia="Calibri" w:hAnsi="Arial" w:cs="Arial"/>
          <w:bCs/>
          <w:color w:val="000000"/>
          <w:sz w:val="22"/>
          <w:lang w:val="es-ES_tradnl"/>
        </w:rPr>
      </w:pPr>
    </w:p>
    <w:p w14:paraId="05688B01" w14:textId="4BA559BF" w:rsidR="00AD186F" w:rsidRPr="00916C68" w:rsidRDefault="00AD186F" w:rsidP="00916C68">
      <w:pPr>
        <w:spacing w:line="276" w:lineRule="auto"/>
        <w:jc w:val="both"/>
        <w:rPr>
          <w:rFonts w:ascii="Arial" w:eastAsia="Calibri" w:hAnsi="Arial" w:cs="Arial"/>
          <w:b/>
          <w:bCs/>
          <w:color w:val="000000"/>
          <w:sz w:val="22"/>
          <w:lang w:val="es-ES_tradnl"/>
        </w:rPr>
      </w:pPr>
      <w:r w:rsidRPr="00916C68">
        <w:rPr>
          <w:rFonts w:ascii="Arial" w:eastAsia="Calibri" w:hAnsi="Arial" w:cs="Arial"/>
          <w:b/>
          <w:bCs/>
          <w:color w:val="000000"/>
          <w:sz w:val="22"/>
          <w:lang w:val="es-ES_tradnl"/>
        </w:rPr>
        <w:t>2.</w:t>
      </w:r>
      <w:r w:rsidR="00DF4C52" w:rsidRPr="00916C68">
        <w:rPr>
          <w:rFonts w:ascii="Arial" w:eastAsia="Calibri" w:hAnsi="Arial" w:cs="Arial"/>
          <w:b/>
          <w:bCs/>
          <w:color w:val="000000"/>
          <w:sz w:val="22"/>
          <w:lang w:val="es-ES_tradnl"/>
        </w:rPr>
        <w:t>4</w:t>
      </w:r>
      <w:r w:rsidRPr="00916C68">
        <w:rPr>
          <w:rFonts w:ascii="Arial" w:eastAsia="Calibri" w:hAnsi="Arial" w:cs="Arial"/>
          <w:b/>
          <w:bCs/>
          <w:color w:val="000000"/>
          <w:sz w:val="22"/>
          <w:lang w:val="es-ES_tradnl"/>
        </w:rPr>
        <w:t xml:space="preserve">. Bienes o servicios adicionales en documentos tipo de </w:t>
      </w:r>
      <w:r w:rsidR="00C432FB" w:rsidRPr="00916C68">
        <w:rPr>
          <w:rFonts w:ascii="Arial" w:eastAsia="Calibri" w:hAnsi="Arial" w:cs="Arial"/>
          <w:b/>
          <w:bCs/>
          <w:color w:val="000000"/>
          <w:sz w:val="22"/>
          <w:lang w:val="es-ES_tradnl"/>
        </w:rPr>
        <w:t>infraestructura</w:t>
      </w:r>
      <w:r w:rsidRPr="00916C68">
        <w:rPr>
          <w:rFonts w:ascii="Arial" w:eastAsia="Calibri" w:hAnsi="Arial" w:cs="Arial"/>
          <w:b/>
          <w:bCs/>
          <w:color w:val="000000"/>
          <w:sz w:val="22"/>
          <w:lang w:val="es-ES_tradnl"/>
        </w:rPr>
        <w:t xml:space="preserve"> de transporte </w:t>
      </w:r>
    </w:p>
    <w:p w14:paraId="30FB82E7" w14:textId="77777777" w:rsidR="00AD186F" w:rsidRPr="00916C68" w:rsidRDefault="00AD186F" w:rsidP="00916C68">
      <w:pPr>
        <w:spacing w:line="276" w:lineRule="auto"/>
        <w:ind w:firstLine="709"/>
        <w:jc w:val="both"/>
        <w:rPr>
          <w:rFonts w:ascii="Arial" w:eastAsia="Calibri" w:hAnsi="Arial" w:cs="Arial"/>
          <w:b/>
          <w:bCs/>
          <w:color w:val="000000"/>
          <w:sz w:val="22"/>
          <w:lang w:val="es-ES_tradnl"/>
        </w:rPr>
      </w:pPr>
    </w:p>
    <w:p w14:paraId="4232328F" w14:textId="77777777" w:rsidR="00AD186F" w:rsidRPr="00916C68" w:rsidRDefault="00AD186F" w:rsidP="00916C68">
      <w:pPr>
        <w:spacing w:after="120" w:line="276" w:lineRule="auto"/>
        <w:jc w:val="both"/>
        <w:rPr>
          <w:rFonts w:ascii="Arial" w:eastAsia="Calibri" w:hAnsi="Arial" w:cs="Arial"/>
          <w:sz w:val="22"/>
        </w:rPr>
      </w:pPr>
      <w:r w:rsidRPr="00916C68">
        <w:rPr>
          <w:rFonts w:ascii="Arial" w:eastAsia="Calibri" w:hAnsi="Arial" w:cs="Arial"/>
          <w:sz w:val="22"/>
        </w:rPr>
        <w:t xml:space="preserve">En los «Documentos Tipo – Versión 3» de licitación de obra pública de infraestructura de transporte, para definir si aplican a un tipo de obra específico, la entidad estatal –en la etapa de planeación– debe identificar el tipo de infraestructura y las actividades definidas en la </w:t>
      </w:r>
      <w:r w:rsidRPr="00916C68">
        <w:rPr>
          <w:rFonts w:ascii="Arial" w:eastAsia="Calibri" w:hAnsi="Arial" w:cs="Arial"/>
          <w:sz w:val="22"/>
        </w:rPr>
        <w:lastRenderedPageBreak/>
        <w:t>«Matriz 1 – Experiencia» de acuerdo con la complejidad técnica del proyecto</w:t>
      </w:r>
      <w:r w:rsidRPr="00916C68">
        <w:rPr>
          <w:rStyle w:val="Refdenotaalpie"/>
          <w:rFonts w:ascii="Arial" w:eastAsia="Calibri" w:hAnsi="Arial" w:cs="Arial"/>
          <w:sz w:val="22"/>
        </w:rPr>
        <w:footnoteReference w:id="12"/>
      </w:r>
      <w:r w:rsidRPr="00916C68">
        <w:rPr>
          <w:rFonts w:ascii="Arial" w:eastAsia="Calibri" w:hAnsi="Arial" w:cs="Arial"/>
          <w:sz w:val="22"/>
        </w:rPr>
        <w:t>. Igualmente, para determinar si aplican los documentos tipo, debe tener en cuenta los conceptos propios de la ingeniería civil, los definidos del «Anexo 3 – Glosario» y la Ley 1682 de 2013. Lo anterior, con el fin de verificar si el objeto a contratar se enmarca en las actividades señaladas en la Matriz indicada. De esta manera, para definir la experiencia exigible la entidad estatal debe seguir los siguientes pasos:</w:t>
      </w:r>
    </w:p>
    <w:p w14:paraId="1ACA7B3B"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a) De acuerdo con la complejidad técnica del proyecto, identificar en la «Matriz 1 –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 AEROPORTUARIAS.</w:t>
      </w:r>
    </w:p>
    <w:p w14:paraId="64E653C2"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b) Una vez definido el tipo de infraestructura, identificar la «ACTIVIDAD A CONTRATAR» acorde con la «Matriz 1 – Experiencia».</w:t>
      </w:r>
    </w:p>
    <w:p w14:paraId="732824B2"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c) Identificar el rango en el cual se encuentra el procedimiento de contratación de acuerdo con el presupuesto oficial.</w:t>
      </w:r>
    </w:p>
    <w:p w14:paraId="6614BE18"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d) Identificar la «experiencia general» exigible acorde con la «Matriz 1 – Experiencia», teniendo en cuenta la actividad a contratar y el rango de la cuantía del procedimiento contractual.</w:t>
      </w:r>
    </w:p>
    <w:p w14:paraId="44CD7B41"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 xml:space="preserve">e) Identificar la «experiencia específica» exigible y el porcentaje de dimensionamiento que se puede solicitar, acorde con la longitud –u otra magnitud– a </w:t>
      </w:r>
      <w:r w:rsidRPr="00916C68">
        <w:rPr>
          <w:rFonts w:ascii="Arial" w:eastAsia="Calibri" w:hAnsi="Arial" w:cs="Arial"/>
          <w:sz w:val="22"/>
        </w:rPr>
        <w:lastRenderedPageBreak/>
        <w:t xml:space="preserve">ejecutar, de acuerdo con la cuantía del procedimiento de contratación. Cuando en la «experiencia específica» se indiquen las siglas </w:t>
      </w:r>
      <w:r w:rsidRPr="00916C68">
        <w:rPr>
          <w:rFonts w:ascii="Arial" w:eastAsia="Calibri" w:hAnsi="Arial" w:cs="Arial"/>
          <w:i/>
          <w:iCs/>
          <w:sz w:val="22"/>
        </w:rPr>
        <w:t>N.A.</w:t>
      </w:r>
      <w:r w:rsidRPr="00916C68">
        <w:rPr>
          <w:rFonts w:ascii="Arial" w:eastAsia="Calibri" w:hAnsi="Arial" w:cs="Arial"/>
          <w:sz w:val="22"/>
        </w:rPr>
        <w:t>, significa que la entidad estatal no puede exigir a los proponentes ningún tipo de experiencia específica en los procedimientos de contratación.</w:t>
      </w:r>
    </w:p>
    <w:p w14:paraId="19FE52F8"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En este sentido, la «experiencia general» y la «experiencia específica» se exigirán de acuerdo con la actividad a contratar y con la cuantía del procedimiento de contratación. Por lo tanto, no se podrán exigir actividades o cantidades distintas a las previstas en la «Matriz 1 – Experiencia».</w:t>
      </w:r>
    </w:p>
    <w:p w14:paraId="4CC1AC37"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Una excepción a la regla anterior se desarrolla en el Decreto 342 de 2019, que modificó el Decreto 1082 de 2015. En concordancia con el artículo 4 de la Resolución 240 del 27 de noviembre de 2020, dispone que la entidad puede solicitar experiencia adicional para evaluar la idoneidad del contratista en procesos de contratación de licitación de obra pública de infraestructura de transporte, que incluyen bienes o servicios adicionales. Estos corresponden a necesidades no incluidas en el alcance de la obra, cuya ejecución se contempla en el mismo procedimiento contractual. Por ello, con fundamento en esta disposición las entidades pueden requerir experiencia añadida cuando el bien o servicio adicional es de tal magnitud que no es posible valorar la idoneidad del contratista únicamente a partir de la experiencia establecida en la «Matriz 1 – Experiencia».</w:t>
      </w:r>
    </w:p>
    <w:p w14:paraId="3CF895B1"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Cuando la entidad requiere bienes y servicios que no se encuentran incluidos como infraestructura de transporte en la «Matriz 1 – Experiencia» y considera necesario exigir experiencia adicional, debe aplicar el artículo 4 de la Resolución 240 de 2020.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 transporte.</w:t>
      </w:r>
    </w:p>
    <w:p w14:paraId="27938DBB"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No obstante, se deben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así como incluir exclusivamente los códigos que estén relacionados directamente con el objeto a contratar</w:t>
      </w:r>
      <w:r w:rsidRPr="00916C68">
        <w:rPr>
          <w:rStyle w:val="Refdenotaalpie"/>
          <w:rFonts w:ascii="Arial" w:eastAsia="Calibri" w:hAnsi="Arial" w:cs="Arial"/>
          <w:sz w:val="22"/>
        </w:rPr>
        <w:footnoteReference w:id="13"/>
      </w:r>
      <w:r w:rsidRPr="00916C68">
        <w:rPr>
          <w:rFonts w:ascii="Arial" w:eastAsia="Calibri" w:hAnsi="Arial" w:cs="Arial"/>
          <w:sz w:val="22"/>
        </w:rPr>
        <w:t>.</w:t>
      </w:r>
    </w:p>
    <w:p w14:paraId="62B0FE05"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lastRenderedPageBreak/>
        <w:t xml:space="preserve">La entidad que opte por solicitar experiencia adicional en desarrollo de esta norma debe evidenciar en los documentos del proceso que agotó estos parámetros.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3B0E03C6"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 xml:space="preserve">En segundo lugar, la solicitud de esta experiencia no permite que la entidad modifique los requisitos habilitantes y de ponderación de la propuesta, por lo cual se deben mantener los establecidos en los documentos tipo. </w:t>
      </w:r>
    </w:p>
    <w:p w14:paraId="23B3835F"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sidRPr="00916C68">
        <w:rPr>
          <w:rFonts w:ascii="Arial" w:hAnsi="Arial" w:cs="Arial"/>
          <w:sz w:val="22"/>
        </w:rPr>
        <w:t xml:space="preserve"> de imposible cumplimiento. </w:t>
      </w:r>
    </w:p>
    <w:p w14:paraId="38C38F15" w14:textId="77777777" w:rsidR="00AD186F" w:rsidRPr="00916C68" w:rsidRDefault="00AD186F"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 xml:space="preserve">Por último, la experiencia requerida debe clasificarse hasta el tercer nivel del clasificador de bienes y servicios. Por lo tanto, la entidad no puede requerir que se acredite el «producto» de este clasificador. </w:t>
      </w:r>
    </w:p>
    <w:p w14:paraId="4154DB9D" w14:textId="0C485C09" w:rsidR="00AD186F" w:rsidRPr="00916C68" w:rsidRDefault="008E795C" w:rsidP="00AD186F">
      <w:pPr>
        <w:spacing w:after="120" w:line="276" w:lineRule="auto"/>
        <w:ind w:firstLine="708"/>
        <w:jc w:val="both"/>
        <w:rPr>
          <w:rFonts w:ascii="Arial" w:eastAsia="Calibri" w:hAnsi="Arial" w:cs="Arial"/>
          <w:sz w:val="22"/>
        </w:rPr>
      </w:pPr>
      <w:r w:rsidRPr="00916C68">
        <w:rPr>
          <w:rFonts w:ascii="Arial" w:eastAsia="Calibri" w:hAnsi="Arial" w:cs="Arial"/>
          <w:sz w:val="22"/>
        </w:rPr>
        <w:t>Así las cosas, l</w:t>
      </w:r>
      <w:r w:rsidR="00AD186F" w:rsidRPr="00916C68">
        <w:rPr>
          <w:rFonts w:ascii="Arial" w:eastAsia="Calibri" w:hAnsi="Arial" w:cs="Arial"/>
          <w:sz w:val="22"/>
        </w:rPr>
        <w:t xml:space="preserve">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ii) el bien o servicio adicional es distinto a la actividad principal, aun cuando se relaciona con la infraestructura de transporte, v. gr., cuando se </w:t>
      </w:r>
      <w:r w:rsidR="00AD186F" w:rsidRPr="00916C68">
        <w:rPr>
          <w:rFonts w:ascii="Arial" w:eastAsia="Calibri" w:hAnsi="Arial" w:cs="Arial"/>
          <w:sz w:val="22"/>
        </w:rPr>
        <w:lastRenderedPageBreak/>
        <w:t>requiere que el contratista ejecute actividades de consultoría como la realización o actualización de los estudios y diseños de la obra. En supuestos como los indicados es posible que la entidad exija experiencia adicional para acreditar la idoneidad del contratista en la ejecución de estos bienes o servicios adicionales a la obra de infraestructura de transporte.</w:t>
      </w:r>
    </w:p>
    <w:p w14:paraId="4C2E1A84" w14:textId="08AB4B3D" w:rsidR="00B46062" w:rsidRPr="00916C68" w:rsidRDefault="00B46062" w:rsidP="000C2CB7">
      <w:pPr>
        <w:spacing w:after="120" w:line="276" w:lineRule="auto"/>
        <w:ind w:firstLine="708"/>
        <w:jc w:val="both"/>
        <w:rPr>
          <w:rFonts w:ascii="Arial" w:eastAsia="Calibri" w:hAnsi="Arial" w:cs="Arial"/>
          <w:sz w:val="22"/>
        </w:rPr>
      </w:pPr>
      <w:r w:rsidRPr="00916C68">
        <w:rPr>
          <w:rFonts w:ascii="Arial" w:eastAsia="Calibri" w:hAnsi="Arial" w:cs="Arial"/>
          <w:sz w:val="22"/>
        </w:rPr>
        <w:t xml:space="preserve">Ahora, es importante señalar que el alcance de la obligatoriedad de los documentos tipo de infraestructura de transporte </w:t>
      </w:r>
      <w:r w:rsidR="008543D6" w:rsidRPr="00916C68">
        <w:rPr>
          <w:rFonts w:ascii="Arial" w:eastAsia="Calibri" w:hAnsi="Arial" w:cs="Arial"/>
          <w:sz w:val="22"/>
        </w:rPr>
        <w:t xml:space="preserve">está definido </w:t>
      </w:r>
      <w:r w:rsidRPr="00916C68">
        <w:rPr>
          <w:rFonts w:ascii="Arial" w:eastAsia="Calibri" w:hAnsi="Arial" w:cs="Arial"/>
          <w:sz w:val="22"/>
        </w:rPr>
        <w:t xml:space="preserve">en la </w:t>
      </w:r>
      <w:r w:rsidR="006F7EB5" w:rsidRPr="00916C68">
        <w:rPr>
          <w:rFonts w:ascii="Arial" w:eastAsia="Calibri" w:hAnsi="Arial" w:cs="Arial"/>
          <w:sz w:val="22"/>
        </w:rPr>
        <w:t>«</w:t>
      </w:r>
      <w:r w:rsidRPr="00916C68">
        <w:rPr>
          <w:rFonts w:ascii="Arial" w:eastAsia="Calibri" w:hAnsi="Arial" w:cs="Arial"/>
          <w:sz w:val="22"/>
        </w:rPr>
        <w:t>Matriz 1- Experiencia</w:t>
      </w:r>
      <w:r w:rsidR="006F7EB5" w:rsidRPr="00916C68">
        <w:rPr>
          <w:rFonts w:ascii="Arial" w:eastAsia="Calibri" w:hAnsi="Arial" w:cs="Arial"/>
          <w:sz w:val="22"/>
        </w:rPr>
        <w:t>»</w:t>
      </w:r>
      <w:r w:rsidRPr="00916C68">
        <w:rPr>
          <w:rFonts w:ascii="Arial" w:eastAsia="Calibri" w:hAnsi="Arial" w:cs="Arial"/>
          <w:sz w:val="22"/>
        </w:rPr>
        <w:t>, según la cual, la aplicación de estos documentos tipo</w:t>
      </w:r>
      <w:r w:rsidR="000C2CB7" w:rsidRPr="00916C68">
        <w:rPr>
          <w:rFonts w:ascii="Arial" w:eastAsia="Calibri" w:hAnsi="Arial" w:cs="Arial"/>
          <w:sz w:val="22"/>
        </w:rPr>
        <w:t xml:space="preserve"> tiene como</w:t>
      </w:r>
      <w:r w:rsidRPr="00916C68">
        <w:rPr>
          <w:rFonts w:ascii="Arial" w:eastAsia="Calibri" w:hAnsi="Arial" w:cs="Arial"/>
          <w:sz w:val="22"/>
        </w:rPr>
        <w:t xml:space="preserve"> </w:t>
      </w:r>
      <w:r w:rsidR="000C2CB7" w:rsidRPr="00916C68">
        <w:rPr>
          <w:rFonts w:ascii="Arial" w:eastAsia="Calibri" w:hAnsi="Arial" w:cs="Arial"/>
          <w:sz w:val="22"/>
        </w:rPr>
        <w:t xml:space="preserve">lugar común la relación existente entre </w:t>
      </w:r>
      <w:r w:rsidR="00863438" w:rsidRPr="00916C68">
        <w:rPr>
          <w:rFonts w:ascii="Arial" w:eastAsia="Calibri" w:hAnsi="Arial" w:cs="Arial"/>
          <w:sz w:val="22"/>
        </w:rPr>
        <w:t>el</w:t>
      </w:r>
      <w:r w:rsidR="000C2CB7" w:rsidRPr="00916C68">
        <w:rPr>
          <w:rFonts w:ascii="Arial" w:eastAsia="Calibri" w:hAnsi="Arial" w:cs="Arial"/>
          <w:sz w:val="22"/>
        </w:rPr>
        <w:t xml:space="preserve"> proyecto</w:t>
      </w:r>
      <w:r w:rsidR="00863438" w:rsidRPr="00916C68">
        <w:rPr>
          <w:rFonts w:ascii="Arial" w:eastAsia="Calibri" w:hAnsi="Arial" w:cs="Arial"/>
          <w:sz w:val="22"/>
        </w:rPr>
        <w:t xml:space="preserve"> a ejecutar</w:t>
      </w:r>
      <w:r w:rsidR="000C2CB7" w:rsidRPr="00916C68">
        <w:rPr>
          <w:rFonts w:ascii="Arial" w:eastAsia="Calibri" w:hAnsi="Arial" w:cs="Arial"/>
          <w:sz w:val="22"/>
        </w:rPr>
        <w:t xml:space="preserve"> con cada una de las actividades discriminadas en </w:t>
      </w:r>
      <w:r w:rsidR="006F7EB5" w:rsidRPr="00916C68">
        <w:rPr>
          <w:rFonts w:ascii="Arial" w:eastAsia="Calibri" w:hAnsi="Arial" w:cs="Arial"/>
          <w:sz w:val="22"/>
        </w:rPr>
        <w:t>esta</w:t>
      </w:r>
      <w:r w:rsidR="000C2CB7" w:rsidRPr="00916C68">
        <w:rPr>
          <w:rFonts w:ascii="Arial" w:eastAsia="Calibri" w:hAnsi="Arial" w:cs="Arial"/>
          <w:sz w:val="22"/>
        </w:rPr>
        <w:t xml:space="preserve"> matriz. Por tanto, aquellas obras </w:t>
      </w:r>
      <w:r w:rsidR="00863438" w:rsidRPr="00916C68">
        <w:rPr>
          <w:rFonts w:ascii="Arial" w:eastAsia="Calibri" w:hAnsi="Arial" w:cs="Arial"/>
          <w:sz w:val="22"/>
        </w:rPr>
        <w:t>que no estén relacionadas en matriz de experiencia</w:t>
      </w:r>
      <w:r w:rsidR="000C2CB7" w:rsidRPr="00916C68">
        <w:rPr>
          <w:rFonts w:ascii="Arial" w:eastAsia="Calibri" w:hAnsi="Arial" w:cs="Arial"/>
          <w:sz w:val="22"/>
        </w:rPr>
        <w:t xml:space="preserve"> no deberán contratarse a partir de los criterios estandarizados en dichos documentos tipo. </w:t>
      </w:r>
    </w:p>
    <w:p w14:paraId="2D043F31" w14:textId="25E25148" w:rsidR="008E795C" w:rsidRPr="00916C68" w:rsidRDefault="00447259" w:rsidP="00916C68">
      <w:pPr>
        <w:spacing w:line="276" w:lineRule="auto"/>
        <w:ind w:firstLine="708"/>
        <w:jc w:val="both"/>
        <w:rPr>
          <w:rFonts w:ascii="Arial" w:hAnsi="Arial" w:cs="Arial"/>
          <w:b/>
          <w:bCs/>
          <w:sz w:val="22"/>
          <w:szCs w:val="22"/>
          <w:lang w:eastAsia="es-CO"/>
        </w:rPr>
      </w:pPr>
      <w:r w:rsidRPr="00916C68">
        <w:rPr>
          <w:rFonts w:ascii="Arial" w:eastAsia="Calibri" w:hAnsi="Arial" w:cs="Arial"/>
          <w:sz w:val="22"/>
        </w:rPr>
        <w:t>S</w:t>
      </w:r>
      <w:r w:rsidR="008E795C" w:rsidRPr="00916C68">
        <w:rPr>
          <w:rFonts w:ascii="Arial" w:eastAsia="Calibri" w:hAnsi="Arial" w:cs="Arial"/>
          <w:sz w:val="22"/>
        </w:rPr>
        <w:t>i la obra o servicio adicional está asociad</w:t>
      </w:r>
      <w:r w:rsidR="00B46062" w:rsidRPr="00916C68">
        <w:rPr>
          <w:rFonts w:ascii="Arial" w:eastAsia="Calibri" w:hAnsi="Arial" w:cs="Arial"/>
          <w:sz w:val="22"/>
        </w:rPr>
        <w:t>a</w:t>
      </w:r>
      <w:r w:rsidR="008E795C" w:rsidRPr="00916C68">
        <w:rPr>
          <w:rFonts w:ascii="Arial" w:eastAsia="Calibri" w:hAnsi="Arial" w:cs="Arial"/>
          <w:sz w:val="22"/>
        </w:rPr>
        <w:t xml:space="preserve"> a un proyecto de infraestructura de transporte</w:t>
      </w:r>
      <w:r w:rsidR="00B46062" w:rsidRPr="00916C68">
        <w:rPr>
          <w:rFonts w:ascii="Arial" w:eastAsia="Calibri" w:hAnsi="Arial" w:cs="Arial"/>
          <w:sz w:val="22"/>
        </w:rPr>
        <w:t xml:space="preserve"> deberá adelantarse bajo los parámetros de los documentos tipo</w:t>
      </w:r>
      <w:r w:rsidR="000F4304" w:rsidRPr="00916C68">
        <w:rPr>
          <w:rFonts w:ascii="Arial" w:eastAsia="Calibri" w:hAnsi="Arial" w:cs="Arial"/>
          <w:sz w:val="22"/>
        </w:rPr>
        <w:t>. Además, s</w:t>
      </w:r>
      <w:r w:rsidR="00B46062" w:rsidRPr="00916C68">
        <w:rPr>
          <w:rFonts w:ascii="Arial" w:eastAsia="Calibri" w:hAnsi="Arial" w:cs="Arial"/>
          <w:sz w:val="22"/>
        </w:rPr>
        <w:t>i l</w:t>
      </w:r>
      <w:r w:rsidR="008E795C" w:rsidRPr="00916C68">
        <w:rPr>
          <w:rFonts w:ascii="Arial" w:eastAsia="Calibri" w:hAnsi="Arial" w:cs="Arial"/>
          <w:sz w:val="22"/>
        </w:rPr>
        <w:t xml:space="preserve">a actividad a contratar es la establecida en el numeral 4 de la </w:t>
      </w:r>
      <w:r w:rsidR="00F266BD" w:rsidRPr="00916C68">
        <w:rPr>
          <w:rFonts w:ascii="Arial" w:eastAsia="Calibri" w:hAnsi="Arial" w:cs="Arial"/>
          <w:sz w:val="22"/>
        </w:rPr>
        <w:t>«</w:t>
      </w:r>
      <w:r w:rsidR="008E795C" w:rsidRPr="00916C68">
        <w:rPr>
          <w:rFonts w:ascii="Arial" w:eastAsia="Calibri" w:hAnsi="Arial" w:cs="Arial"/>
          <w:sz w:val="22"/>
        </w:rPr>
        <w:t>Matriz 1 – Experiencia</w:t>
      </w:r>
      <w:r w:rsidR="00F266BD" w:rsidRPr="00916C68">
        <w:rPr>
          <w:rFonts w:ascii="Arial" w:eastAsia="Calibri" w:hAnsi="Arial" w:cs="Arial"/>
          <w:sz w:val="22"/>
        </w:rPr>
        <w:t>»</w:t>
      </w:r>
      <w:r w:rsidR="008E795C" w:rsidRPr="00916C68">
        <w:rPr>
          <w:rFonts w:ascii="Arial" w:eastAsia="Calibri" w:hAnsi="Arial" w:cs="Arial"/>
          <w:sz w:val="22"/>
        </w:rPr>
        <w:t xml:space="preserve"> </w:t>
      </w:r>
      <w:r w:rsidR="000F4304" w:rsidRPr="00916C68">
        <w:rPr>
          <w:rFonts w:ascii="Arial" w:eastAsia="Calibri" w:hAnsi="Arial" w:cs="Arial"/>
          <w:sz w:val="22"/>
        </w:rPr>
        <w:t>relacionado con</w:t>
      </w:r>
      <w:r w:rsidR="008E795C" w:rsidRPr="00916C68">
        <w:rPr>
          <w:rFonts w:ascii="Arial" w:eastAsia="Calibri" w:hAnsi="Arial" w:cs="Arial"/>
          <w:sz w:val="22"/>
        </w:rPr>
        <w:t xml:space="preserve"> </w:t>
      </w:r>
      <w:r w:rsidR="008E795C" w:rsidRPr="00916C68">
        <w:rPr>
          <w:rFonts w:ascii="Arial" w:hAnsi="Arial" w:cs="Arial"/>
          <w:sz w:val="22"/>
        </w:rPr>
        <w:t>«</w:t>
      </w:r>
      <w:r w:rsidR="008E795C" w:rsidRPr="00916C68">
        <w:rPr>
          <w:rFonts w:ascii="Arial" w:hAnsi="Arial" w:cs="Arial"/>
          <w:sz w:val="22"/>
          <w:szCs w:val="22"/>
          <w:lang w:eastAsia="es-CO"/>
        </w:rPr>
        <w:t>Obras en vías primarias o secundarias o terciarias o urbanas para atención, prevención o mitigación de emergencias diferentes a contratación directa</w:t>
      </w:r>
      <w:r w:rsidR="008E795C" w:rsidRPr="00916C68">
        <w:rPr>
          <w:rFonts w:ascii="Arial" w:hAnsi="Arial" w:cs="Arial"/>
          <w:sz w:val="22"/>
        </w:rPr>
        <w:t xml:space="preserve">», deberá tramitarse conforme con los parámetros y reglas estandarizadas del documento tipo referido, teniendo en cuenta además las reglas de acreditación de experiencia adicional previstas en el artículo 4 de la Resolución No. 240 de 2020. </w:t>
      </w:r>
    </w:p>
    <w:p w14:paraId="195ED068" w14:textId="77777777" w:rsidR="0010496C" w:rsidRPr="00916C68" w:rsidRDefault="0010496C" w:rsidP="00916C68">
      <w:pPr>
        <w:spacing w:line="276" w:lineRule="auto"/>
        <w:jc w:val="both"/>
        <w:rPr>
          <w:rFonts w:ascii="Arial" w:hAnsi="Arial" w:cs="Arial"/>
          <w:color w:val="000000" w:themeColor="text1"/>
          <w:sz w:val="22"/>
        </w:rPr>
      </w:pPr>
    </w:p>
    <w:p w14:paraId="5071167E" w14:textId="77777777" w:rsidR="008A6AA1" w:rsidRPr="00916C68" w:rsidRDefault="008A6AA1" w:rsidP="008A6AA1">
      <w:pPr>
        <w:tabs>
          <w:tab w:val="left" w:pos="0"/>
        </w:tabs>
        <w:jc w:val="both"/>
        <w:rPr>
          <w:rFonts w:ascii="Arial" w:eastAsia="Calibri" w:hAnsi="Arial" w:cs="Arial"/>
          <w:b/>
          <w:color w:val="000000" w:themeColor="text1"/>
          <w:sz w:val="22"/>
          <w:lang w:val="es-ES_tradnl"/>
        </w:rPr>
      </w:pPr>
      <w:r w:rsidRPr="00916C68">
        <w:rPr>
          <w:rFonts w:ascii="Arial" w:eastAsia="Calibri" w:hAnsi="Arial" w:cs="Arial"/>
          <w:b/>
          <w:color w:val="000000" w:themeColor="text1"/>
          <w:sz w:val="22"/>
          <w:lang w:val="es-ES_tradnl"/>
        </w:rPr>
        <w:t>3. Respuestas</w:t>
      </w:r>
    </w:p>
    <w:p w14:paraId="1D78D111" w14:textId="77777777" w:rsidR="008A6AA1" w:rsidRPr="00916C68" w:rsidRDefault="008A6AA1" w:rsidP="00916C68">
      <w:pPr>
        <w:tabs>
          <w:tab w:val="left" w:pos="0"/>
        </w:tabs>
        <w:spacing w:line="276" w:lineRule="auto"/>
        <w:jc w:val="both"/>
        <w:rPr>
          <w:rFonts w:ascii="Arial" w:eastAsia="Calibri" w:hAnsi="Arial" w:cs="Arial"/>
          <w:color w:val="000000" w:themeColor="text1"/>
          <w:sz w:val="22"/>
          <w:lang w:val="es-ES_tradnl"/>
        </w:rPr>
      </w:pPr>
    </w:p>
    <w:p w14:paraId="621224DA" w14:textId="7E44ABA9" w:rsidR="006A112B" w:rsidRPr="00916C68" w:rsidRDefault="006A112B" w:rsidP="006A112B">
      <w:pPr>
        <w:ind w:left="709" w:right="709"/>
        <w:jc w:val="both"/>
        <w:rPr>
          <w:rFonts w:ascii="Arial" w:hAnsi="Arial" w:cs="Arial"/>
          <w:sz w:val="21"/>
          <w:szCs w:val="21"/>
        </w:rPr>
      </w:pPr>
      <w:r w:rsidRPr="00916C68">
        <w:rPr>
          <w:rFonts w:ascii="Arial" w:hAnsi="Arial" w:cs="Arial"/>
          <w:color w:val="000000" w:themeColor="text1"/>
          <w:sz w:val="21"/>
          <w:szCs w:val="21"/>
          <w:lang w:val="es-ES_tradnl"/>
        </w:rPr>
        <w:t>«</w:t>
      </w:r>
      <w:r w:rsidRPr="00916C68">
        <w:rPr>
          <w:rFonts w:ascii="Arial" w:hAnsi="Arial" w:cs="Arial"/>
          <w:sz w:val="21"/>
          <w:szCs w:val="21"/>
        </w:rPr>
        <w:t>1.- Si la Ley 2022 de 2020 derogó tácitamente la Ley 1523 de 2012 y si lo hizo que artículos fueron derogados</w:t>
      </w:r>
      <w:r w:rsidR="008F2080" w:rsidRPr="00916C68">
        <w:rPr>
          <w:rFonts w:ascii="Arial" w:hAnsi="Arial" w:cs="Arial"/>
          <w:sz w:val="21"/>
          <w:szCs w:val="21"/>
        </w:rPr>
        <w:t>»</w:t>
      </w:r>
      <w:r w:rsidRPr="00916C68">
        <w:rPr>
          <w:rFonts w:ascii="Arial" w:hAnsi="Arial" w:cs="Arial"/>
          <w:sz w:val="21"/>
          <w:szCs w:val="21"/>
        </w:rPr>
        <w:t xml:space="preserve">. </w:t>
      </w:r>
    </w:p>
    <w:p w14:paraId="7F689885" w14:textId="77777777" w:rsidR="00F53B8B" w:rsidRPr="00916C68" w:rsidRDefault="00F53B8B" w:rsidP="00916C68">
      <w:pPr>
        <w:spacing w:line="276" w:lineRule="auto"/>
        <w:ind w:right="709"/>
        <w:jc w:val="both"/>
        <w:rPr>
          <w:rFonts w:ascii="Arial" w:hAnsi="Arial" w:cs="Arial"/>
          <w:sz w:val="22"/>
          <w:szCs w:val="22"/>
        </w:rPr>
      </w:pPr>
    </w:p>
    <w:p w14:paraId="79D2941A" w14:textId="36B3ACBE" w:rsidR="00F53B8B" w:rsidRPr="00916C68" w:rsidRDefault="00E96F8D" w:rsidP="00916C68">
      <w:pPr>
        <w:spacing w:line="276" w:lineRule="auto"/>
        <w:jc w:val="both"/>
        <w:rPr>
          <w:rFonts w:ascii="Arial" w:hAnsi="Arial" w:cs="Arial"/>
          <w:sz w:val="22"/>
          <w:szCs w:val="22"/>
        </w:rPr>
      </w:pPr>
      <w:r w:rsidRPr="00916C68">
        <w:rPr>
          <w:rFonts w:ascii="Arial" w:hAnsi="Arial" w:cs="Arial"/>
          <w:sz w:val="22"/>
          <w:szCs w:val="22"/>
        </w:rPr>
        <w:t>La Ley 2022 de 2020 regula un supuesto distinto a la Ley 1523 de 2012, pues aquella establece la aplicación obligatoria de los documentos tipo los procesos de selección de obras públicas, interventoría para las obras públicas, interventoría para consultoría de estudios y diseños para obras públicas, consultoría en ingeniería para obras</w:t>
      </w:r>
      <w:r w:rsidR="00C400CB" w:rsidRPr="00916C68">
        <w:rPr>
          <w:rFonts w:ascii="Arial" w:hAnsi="Arial" w:cs="Arial"/>
          <w:sz w:val="22"/>
          <w:szCs w:val="22"/>
        </w:rPr>
        <w:t>, entre otros</w:t>
      </w:r>
      <w:r w:rsidRPr="00916C68">
        <w:rPr>
          <w:rFonts w:ascii="Arial" w:hAnsi="Arial" w:cs="Arial"/>
          <w:sz w:val="22"/>
          <w:szCs w:val="22"/>
        </w:rPr>
        <w:t>. Por otra parte, la Ley 1523 de 2012 establece un régimen especial aplicable para situaciones excepcionales</w:t>
      </w:r>
      <w:r w:rsidR="00F53B8B" w:rsidRPr="00916C68">
        <w:rPr>
          <w:rFonts w:ascii="Arial" w:hAnsi="Arial" w:cs="Arial"/>
          <w:sz w:val="22"/>
          <w:szCs w:val="22"/>
        </w:rPr>
        <w:t xml:space="preserve">. </w:t>
      </w:r>
    </w:p>
    <w:p w14:paraId="1D7186B0" w14:textId="3A286C73" w:rsidR="009B5981" w:rsidRPr="00916C68" w:rsidRDefault="0076638F" w:rsidP="00916C68">
      <w:pPr>
        <w:spacing w:before="120" w:line="276" w:lineRule="auto"/>
        <w:ind w:firstLine="708"/>
        <w:jc w:val="both"/>
        <w:rPr>
          <w:rFonts w:ascii="Arial" w:hAnsi="Arial" w:cs="Arial"/>
          <w:color w:val="000000" w:themeColor="text1"/>
          <w:sz w:val="22"/>
        </w:rPr>
      </w:pPr>
      <w:r w:rsidRPr="00916C68">
        <w:rPr>
          <w:rFonts w:ascii="Arial" w:eastAsia="Calibri" w:hAnsi="Arial" w:cs="Arial"/>
          <w:color w:val="000000" w:themeColor="text1"/>
          <w:sz w:val="22"/>
          <w:lang w:val="es-ES_tradnl"/>
        </w:rPr>
        <w:t>Respecto al numeral 4 de la «Matriz 1 – Experiencia», la aplicación de los documentos tipo para atención, prevención o mitigación de emergencias está prevista exclusivamente a eventos en los que se requiera la ejecución de dichas actividades en vías primarias o secundarias o terciarias o urbanas, que no deban contratarse bajo la modalidad de selección directa. A este último caso corresponden las circunstancias en que se declare la calamidad pública o la situación de desastre, la cual fundamenta la urgencia manifiesta de que trata el artículo 42 de la Ley 80 de 1993</w:t>
      </w:r>
      <w:r w:rsidR="00F53B8B" w:rsidRPr="00916C68">
        <w:rPr>
          <w:rFonts w:ascii="Arial" w:hAnsi="Arial" w:cs="Arial"/>
          <w:sz w:val="22"/>
          <w:szCs w:val="22"/>
        </w:rPr>
        <w:t xml:space="preserve">. </w:t>
      </w:r>
      <w:r w:rsidR="008A045C" w:rsidRPr="00916C68">
        <w:rPr>
          <w:rFonts w:ascii="Arial" w:hAnsi="Arial" w:cs="Arial"/>
          <w:sz w:val="22"/>
          <w:szCs w:val="22"/>
        </w:rPr>
        <w:t>Conforme a</w:t>
      </w:r>
      <w:r w:rsidR="00622F26" w:rsidRPr="00916C68">
        <w:rPr>
          <w:rFonts w:ascii="Arial" w:hAnsi="Arial" w:cs="Arial"/>
          <w:sz w:val="22"/>
          <w:szCs w:val="22"/>
        </w:rPr>
        <w:t xml:space="preserve"> las circunstancias del caso concreto, l</w:t>
      </w:r>
      <w:r w:rsidR="00C400CB" w:rsidRPr="00916C68">
        <w:rPr>
          <w:rFonts w:ascii="Arial" w:hAnsi="Arial" w:cs="Arial"/>
          <w:sz w:val="22"/>
          <w:szCs w:val="22"/>
        </w:rPr>
        <w:t>a entidad contratante aplicará los documentos tipo o la Le</w:t>
      </w:r>
      <w:r w:rsidR="00552E2B" w:rsidRPr="00916C68">
        <w:rPr>
          <w:rFonts w:ascii="Arial" w:hAnsi="Arial" w:cs="Arial"/>
          <w:sz w:val="22"/>
          <w:szCs w:val="22"/>
        </w:rPr>
        <w:t xml:space="preserve">y 1523 de 2012 </w:t>
      </w:r>
      <w:r w:rsidR="00552E2B" w:rsidRPr="00916C68">
        <w:rPr>
          <w:rFonts w:ascii="Arial" w:hAnsi="Arial" w:cs="Arial"/>
          <w:sz w:val="22"/>
          <w:szCs w:val="22"/>
        </w:rPr>
        <w:lastRenderedPageBreak/>
        <w:t>dependiendo del análisis en la etapa previa de planeación</w:t>
      </w:r>
      <w:r w:rsidR="0036488B" w:rsidRPr="00916C68">
        <w:rPr>
          <w:rFonts w:ascii="Arial" w:hAnsi="Arial" w:cs="Arial"/>
          <w:sz w:val="22"/>
          <w:szCs w:val="22"/>
        </w:rPr>
        <w:t>, la</w:t>
      </w:r>
      <w:r w:rsidR="00552E2B" w:rsidRPr="00916C68">
        <w:rPr>
          <w:rFonts w:ascii="Arial" w:hAnsi="Arial" w:cs="Arial"/>
          <w:sz w:val="22"/>
          <w:szCs w:val="22"/>
        </w:rPr>
        <w:t xml:space="preserve"> estructuración del proceso de selección y </w:t>
      </w:r>
      <w:r w:rsidR="009A2B26" w:rsidRPr="00916C68">
        <w:rPr>
          <w:rFonts w:ascii="Arial" w:hAnsi="Arial" w:cs="Arial"/>
          <w:sz w:val="22"/>
          <w:szCs w:val="22"/>
        </w:rPr>
        <w:t>d</w:t>
      </w:r>
      <w:r w:rsidR="00552E2B" w:rsidRPr="00916C68">
        <w:rPr>
          <w:rFonts w:ascii="Arial" w:hAnsi="Arial" w:cs="Arial"/>
          <w:sz w:val="22"/>
          <w:szCs w:val="22"/>
        </w:rPr>
        <w:t>el proyecto en particular.</w:t>
      </w:r>
    </w:p>
    <w:p w14:paraId="30F19277" w14:textId="77777777" w:rsidR="006D4E32" w:rsidRPr="00916C68" w:rsidRDefault="006D4E32" w:rsidP="006D4E32">
      <w:pPr>
        <w:ind w:right="709"/>
        <w:jc w:val="both"/>
        <w:rPr>
          <w:rFonts w:ascii="Arial" w:hAnsi="Arial" w:cs="Arial"/>
          <w:sz w:val="22"/>
          <w:szCs w:val="22"/>
        </w:rPr>
      </w:pPr>
    </w:p>
    <w:p w14:paraId="3E8CAF08" w14:textId="0E71B69F" w:rsidR="006D4E32" w:rsidRPr="00916C68" w:rsidRDefault="00E26861" w:rsidP="006D4E32">
      <w:pPr>
        <w:ind w:left="709" w:right="709"/>
        <w:jc w:val="both"/>
        <w:rPr>
          <w:rFonts w:ascii="Arial" w:hAnsi="Arial" w:cs="Arial"/>
          <w:sz w:val="21"/>
          <w:szCs w:val="21"/>
        </w:rPr>
      </w:pPr>
      <w:r w:rsidRPr="00916C68">
        <w:rPr>
          <w:rFonts w:ascii="Arial" w:hAnsi="Arial" w:cs="Arial"/>
          <w:sz w:val="21"/>
          <w:szCs w:val="21"/>
        </w:rPr>
        <w:t>«</w:t>
      </w:r>
      <w:r w:rsidR="006D4E32" w:rsidRPr="00916C68">
        <w:rPr>
          <w:rFonts w:ascii="Arial" w:hAnsi="Arial" w:cs="Arial"/>
          <w:sz w:val="21"/>
          <w:szCs w:val="21"/>
        </w:rPr>
        <w:t>2.- Las Resoluciones emanadas de Colombia Compra Eficiente, Regulatorias de los pliegos tipo, además de las especificaciones y glosario de la misma entidad, son obligatorias para las otras modalidades de contratación y/o especificaciones técnicas regladas en otras normas y/o glosario técnico internacional y/o bienes y servicios no especificados en las Resoluciones regulatorias?</w:t>
      </w:r>
      <w:r w:rsidRPr="00916C68">
        <w:rPr>
          <w:rFonts w:ascii="Arial" w:hAnsi="Arial" w:cs="Arial"/>
          <w:sz w:val="21"/>
          <w:szCs w:val="21"/>
        </w:rPr>
        <w:t>».</w:t>
      </w:r>
      <w:r w:rsidR="006D4E32" w:rsidRPr="00916C68">
        <w:rPr>
          <w:rFonts w:ascii="Arial" w:hAnsi="Arial" w:cs="Arial"/>
          <w:sz w:val="21"/>
          <w:szCs w:val="21"/>
        </w:rPr>
        <w:t xml:space="preserve"> </w:t>
      </w:r>
    </w:p>
    <w:p w14:paraId="67DF6B43" w14:textId="77777777" w:rsidR="00A00BEF" w:rsidRPr="00916C68" w:rsidRDefault="00A00BEF" w:rsidP="00A00BEF">
      <w:pPr>
        <w:ind w:right="709"/>
        <w:jc w:val="both"/>
        <w:rPr>
          <w:rFonts w:ascii="Arial" w:hAnsi="Arial" w:cs="Arial"/>
          <w:sz w:val="20"/>
          <w:szCs w:val="20"/>
        </w:rPr>
      </w:pPr>
    </w:p>
    <w:p w14:paraId="370B1820" w14:textId="35E117C4" w:rsidR="00A00BEF" w:rsidRPr="00916C68" w:rsidRDefault="00CD6411" w:rsidP="00916C68">
      <w:pPr>
        <w:spacing w:line="276" w:lineRule="auto"/>
        <w:jc w:val="both"/>
        <w:rPr>
          <w:rFonts w:ascii="Arial" w:eastAsia="Calibri" w:hAnsi="Arial" w:cs="Arial"/>
          <w:sz w:val="22"/>
          <w:lang w:val="es-ES_tradnl"/>
        </w:rPr>
      </w:pPr>
      <w:r w:rsidRPr="00916C68">
        <w:rPr>
          <w:rFonts w:ascii="Arial" w:eastAsia="Calibri" w:hAnsi="Arial" w:cs="Arial"/>
          <w:sz w:val="22"/>
          <w:lang w:val="es-ES_tradnl"/>
        </w:rPr>
        <w:t xml:space="preserve">Siempre que el objeto esté relacionado con alguna de las actividades en la matriz 1 de experiencia, los documentos tipo </w:t>
      </w:r>
      <w:r w:rsidRPr="00916C68">
        <w:rPr>
          <w:rFonts w:ascii="Arial" w:hAnsi="Arial" w:cs="Arial"/>
          <w:color w:val="0D0D0D"/>
          <w:sz w:val="22"/>
          <w:bdr w:val="none" w:sz="0" w:space="0" w:color="auto" w:frame="1"/>
          <w:lang w:eastAsia="es-CO"/>
        </w:rPr>
        <w:t>son</w:t>
      </w:r>
      <w:r w:rsidRPr="00916C68">
        <w:rPr>
          <w:rFonts w:ascii="Arial" w:eastAsia="Calibri" w:hAnsi="Arial" w:cs="Arial"/>
          <w:sz w:val="22"/>
          <w:lang w:val="es-ES_tradnl"/>
        </w:rPr>
        <w:t xml:space="preserve"> obligatorios para las entidades sometidas a la Ley 80 de 1993 que contraten </w:t>
      </w:r>
      <w:r w:rsidR="00C11063" w:rsidRPr="00916C68">
        <w:rPr>
          <w:rFonts w:ascii="Arial" w:eastAsia="Calibri" w:hAnsi="Arial" w:cs="Arial"/>
          <w:sz w:val="22"/>
          <w:lang w:val="es-ES_tradnl"/>
        </w:rPr>
        <w:t>la ejecución</w:t>
      </w:r>
      <w:r w:rsidRPr="00916C68">
        <w:rPr>
          <w:rFonts w:ascii="Arial" w:eastAsia="Calibri" w:hAnsi="Arial" w:cs="Arial"/>
          <w:sz w:val="22"/>
          <w:lang w:val="es-ES_tradnl"/>
        </w:rPr>
        <w:t xml:space="preserve"> de obras públicas de infraestructura de transporte a través de </w:t>
      </w:r>
      <w:r w:rsidR="00C11063" w:rsidRPr="00916C68">
        <w:rPr>
          <w:rFonts w:ascii="Arial" w:eastAsia="Calibri" w:hAnsi="Arial" w:cs="Arial"/>
          <w:sz w:val="22"/>
          <w:lang w:val="es-ES_tradnl"/>
        </w:rPr>
        <w:t>licitación, selección abreviada de menor cuantía y mínima cuantía</w:t>
      </w:r>
      <w:r w:rsidRPr="00916C68">
        <w:rPr>
          <w:rFonts w:ascii="Arial" w:eastAsia="Calibri" w:hAnsi="Arial" w:cs="Arial"/>
          <w:sz w:val="22"/>
          <w:lang w:val="es-ES_tradnl"/>
        </w:rPr>
        <w:t xml:space="preserve">. Por lo tanto, </w:t>
      </w:r>
      <w:r w:rsidR="00F4488B" w:rsidRPr="00916C68">
        <w:rPr>
          <w:rFonts w:ascii="Arial" w:eastAsia="Calibri" w:hAnsi="Arial" w:cs="Arial"/>
          <w:sz w:val="22"/>
          <w:lang w:val="es-ES_tradnl"/>
        </w:rPr>
        <w:t>las</w:t>
      </w:r>
      <w:r w:rsidR="00726758" w:rsidRPr="00916C68">
        <w:rPr>
          <w:rFonts w:ascii="Arial" w:eastAsia="Calibri" w:hAnsi="Arial" w:cs="Arial"/>
          <w:sz w:val="22"/>
          <w:lang w:val="es-ES_tradnl"/>
        </w:rPr>
        <w:t xml:space="preserve"> obras de infraestructura de transporte </w:t>
      </w:r>
      <w:r w:rsidR="00F4488B" w:rsidRPr="00916C68">
        <w:rPr>
          <w:rFonts w:ascii="Arial" w:eastAsia="Calibri" w:hAnsi="Arial" w:cs="Arial"/>
          <w:sz w:val="22"/>
          <w:lang w:val="es-ES_tradnl"/>
        </w:rPr>
        <w:t>realizadas</w:t>
      </w:r>
      <w:r w:rsidR="00726758" w:rsidRPr="00916C68">
        <w:rPr>
          <w:rFonts w:ascii="Arial" w:eastAsia="Calibri" w:hAnsi="Arial" w:cs="Arial"/>
          <w:sz w:val="22"/>
          <w:lang w:val="es-ES_tradnl"/>
        </w:rPr>
        <w:t xml:space="preserve"> a través </w:t>
      </w:r>
      <w:r w:rsidR="00512C10" w:rsidRPr="00916C68">
        <w:rPr>
          <w:rFonts w:ascii="Arial" w:eastAsia="Calibri" w:hAnsi="Arial" w:cs="Arial"/>
          <w:sz w:val="22"/>
          <w:lang w:val="es-ES_tradnl"/>
        </w:rPr>
        <w:t>de contratación directa –</w:t>
      </w:r>
      <w:r w:rsidR="0046650F" w:rsidRPr="00916C68">
        <w:rPr>
          <w:rFonts w:ascii="Arial" w:eastAsia="Calibri" w:hAnsi="Arial" w:cs="Arial"/>
          <w:sz w:val="22"/>
          <w:lang w:val="es-ES_tradnl"/>
        </w:rPr>
        <w:t>como en el caso d</w:t>
      </w:r>
      <w:r w:rsidR="00224293" w:rsidRPr="00916C68">
        <w:rPr>
          <w:rFonts w:ascii="Arial" w:eastAsia="Calibri" w:hAnsi="Arial" w:cs="Arial"/>
          <w:color w:val="000000" w:themeColor="text1"/>
          <w:sz w:val="22"/>
          <w:lang w:val="es-ES_tradnl"/>
        </w:rPr>
        <w:t>el artículo 2, numeral 4, litera a), de la Ley 1150 de 2007</w:t>
      </w:r>
      <w:r w:rsidR="00CA2C26" w:rsidRPr="00916C68">
        <w:rPr>
          <w:rFonts w:ascii="Arial" w:eastAsia="Calibri" w:hAnsi="Arial" w:cs="Arial"/>
          <w:color w:val="000000" w:themeColor="text1"/>
          <w:sz w:val="22"/>
          <w:lang w:val="es-ES_tradnl"/>
        </w:rPr>
        <w:t>– o en el ma</w:t>
      </w:r>
      <w:r w:rsidR="00803E53" w:rsidRPr="00916C68">
        <w:rPr>
          <w:rFonts w:ascii="Arial" w:eastAsia="Calibri" w:hAnsi="Arial" w:cs="Arial"/>
          <w:color w:val="000000" w:themeColor="text1"/>
          <w:sz w:val="22"/>
          <w:lang w:val="es-ES_tradnl"/>
        </w:rPr>
        <w:t>r</w:t>
      </w:r>
      <w:r w:rsidR="00CA2C26" w:rsidRPr="00916C68">
        <w:rPr>
          <w:rFonts w:ascii="Arial" w:eastAsia="Calibri" w:hAnsi="Arial" w:cs="Arial"/>
          <w:color w:val="000000" w:themeColor="text1"/>
          <w:sz w:val="22"/>
          <w:lang w:val="es-ES_tradnl"/>
        </w:rPr>
        <w:t xml:space="preserve">co de regímenes exceptuados </w:t>
      </w:r>
      <w:r w:rsidR="0046650F" w:rsidRPr="00916C68">
        <w:rPr>
          <w:rFonts w:ascii="Arial" w:eastAsia="Calibri" w:hAnsi="Arial" w:cs="Arial"/>
          <w:color w:val="000000" w:themeColor="text1"/>
          <w:sz w:val="22"/>
          <w:lang w:val="es-ES_tradnl"/>
        </w:rPr>
        <w:t xml:space="preserve">del Estatuto General de Contratación –como sucede, por ejemplo, </w:t>
      </w:r>
      <w:r w:rsidR="00E87454" w:rsidRPr="00916C68">
        <w:rPr>
          <w:rFonts w:ascii="Arial" w:eastAsia="Calibri" w:hAnsi="Arial" w:cs="Arial"/>
          <w:color w:val="000000" w:themeColor="text1"/>
          <w:sz w:val="22"/>
          <w:lang w:val="es-ES_tradnl"/>
        </w:rPr>
        <w:t xml:space="preserve">respecto </w:t>
      </w:r>
      <w:r w:rsidR="00F92BA1" w:rsidRPr="00916C68">
        <w:rPr>
          <w:rFonts w:ascii="Arial" w:eastAsia="Calibri" w:hAnsi="Arial" w:cs="Arial"/>
          <w:color w:val="000000" w:themeColor="text1"/>
          <w:sz w:val="22"/>
          <w:lang w:val="es-ES_tradnl"/>
        </w:rPr>
        <w:t>a</w:t>
      </w:r>
      <w:r w:rsidR="00E87454" w:rsidRPr="00916C68">
        <w:rPr>
          <w:rFonts w:ascii="Arial" w:eastAsia="Calibri" w:hAnsi="Arial" w:cs="Arial"/>
          <w:color w:val="000000" w:themeColor="text1"/>
          <w:sz w:val="22"/>
          <w:lang w:val="es-ES_tradnl"/>
        </w:rPr>
        <w:t xml:space="preserve">l art. 66 de la Ley 1523 de 2012– </w:t>
      </w:r>
      <w:r w:rsidR="00DA6916" w:rsidRPr="00916C68">
        <w:rPr>
          <w:rFonts w:ascii="Arial" w:eastAsia="Calibri" w:hAnsi="Arial" w:cs="Arial"/>
          <w:sz w:val="22"/>
          <w:lang w:val="es-ES_tradnl"/>
        </w:rPr>
        <w:t>no existe obligación de aplicar los documentos tipo mencionados</w:t>
      </w:r>
      <w:r w:rsidRPr="00916C68">
        <w:rPr>
          <w:rFonts w:ascii="Arial" w:eastAsia="Calibri" w:hAnsi="Arial" w:cs="Arial"/>
          <w:sz w:val="22"/>
          <w:lang w:val="es-ES_tradnl"/>
        </w:rPr>
        <w:t>, sin perjuicio de que puedan utilizarse como un parámetro de buena práctica contractual en el sistema de compras públicas.</w:t>
      </w:r>
    </w:p>
    <w:p w14:paraId="4EFECF66" w14:textId="46FFDBD4" w:rsidR="00B80476" w:rsidRPr="00916C68" w:rsidRDefault="00B80476" w:rsidP="00B80476">
      <w:pPr>
        <w:ind w:right="709"/>
        <w:jc w:val="both"/>
        <w:rPr>
          <w:rFonts w:ascii="Arial" w:hAnsi="Arial" w:cs="Arial"/>
          <w:color w:val="000000" w:themeColor="text1"/>
          <w:sz w:val="21"/>
          <w:szCs w:val="21"/>
          <w:lang w:val="es-ES_tradnl"/>
        </w:rPr>
      </w:pPr>
    </w:p>
    <w:p w14:paraId="202A1619" w14:textId="02D6D786" w:rsidR="00B46062" w:rsidRPr="00916C68" w:rsidRDefault="008A7F14" w:rsidP="00B46062">
      <w:pPr>
        <w:ind w:left="709" w:right="709"/>
        <w:jc w:val="both"/>
        <w:rPr>
          <w:rFonts w:ascii="Arial" w:hAnsi="Arial" w:cs="Arial"/>
          <w:color w:val="000000" w:themeColor="text1"/>
          <w:sz w:val="21"/>
          <w:szCs w:val="21"/>
          <w:lang w:val="es-ES_tradnl"/>
        </w:rPr>
      </w:pPr>
      <w:r w:rsidRPr="00916C68">
        <w:rPr>
          <w:rFonts w:ascii="Arial" w:hAnsi="Arial" w:cs="Arial"/>
          <w:sz w:val="21"/>
          <w:szCs w:val="21"/>
        </w:rPr>
        <w:t>«</w:t>
      </w:r>
      <w:r w:rsidR="00B46062" w:rsidRPr="00916C68">
        <w:rPr>
          <w:rFonts w:ascii="Arial" w:hAnsi="Arial" w:cs="Arial"/>
          <w:sz w:val="21"/>
          <w:szCs w:val="21"/>
        </w:rPr>
        <w:t>3.- Toda obra de diseño y/o construcción del conjunto de obras de contención, movimiento de tierras, obras de drenaje superficiales y subsuperficiales y obras de protección requeridas para garantizar la estabilidad de taludes de corte, terraplén y laderas naturales, diferentes a las viales, también se hacen por pliegos tipo? ¿En caso afirmativo, cual es la norma para su aplicación?</w:t>
      </w:r>
      <w:r w:rsidR="00B46062" w:rsidRPr="00916C68">
        <w:rPr>
          <w:rFonts w:ascii="Arial" w:hAnsi="Arial" w:cs="Arial"/>
          <w:color w:val="000000" w:themeColor="text1"/>
          <w:sz w:val="21"/>
          <w:szCs w:val="21"/>
          <w:lang w:val="es-ES_tradnl"/>
        </w:rPr>
        <w:t xml:space="preserve">». </w:t>
      </w:r>
    </w:p>
    <w:p w14:paraId="765863E4" w14:textId="77777777" w:rsidR="000C2CB7" w:rsidRPr="00916C68" w:rsidRDefault="000C2CB7" w:rsidP="00916C68">
      <w:pPr>
        <w:spacing w:line="276" w:lineRule="auto"/>
        <w:jc w:val="both"/>
        <w:rPr>
          <w:rFonts w:ascii="Arial" w:eastAsia="Calibri" w:hAnsi="Arial" w:cs="Arial"/>
          <w:sz w:val="22"/>
        </w:rPr>
      </w:pPr>
    </w:p>
    <w:p w14:paraId="5FD6333D" w14:textId="68B9195B" w:rsidR="007A2C1F" w:rsidRPr="00916C68" w:rsidRDefault="000C2CB7" w:rsidP="00916C68">
      <w:pPr>
        <w:spacing w:after="120" w:line="276" w:lineRule="auto"/>
        <w:jc w:val="both"/>
        <w:rPr>
          <w:rFonts w:ascii="Arial" w:hAnsi="Arial" w:cs="Arial"/>
          <w:sz w:val="22"/>
          <w:szCs w:val="22"/>
        </w:rPr>
      </w:pPr>
      <w:r w:rsidRPr="00916C68">
        <w:rPr>
          <w:rFonts w:ascii="Arial" w:eastAsia="Calibri" w:hAnsi="Arial" w:cs="Arial"/>
          <w:sz w:val="22"/>
        </w:rPr>
        <w:t xml:space="preserve">De conformidad con lo expuesto, </w:t>
      </w:r>
      <w:r w:rsidR="0049085A" w:rsidRPr="00916C68">
        <w:rPr>
          <w:rFonts w:ascii="Arial" w:eastAsia="Calibri" w:hAnsi="Arial" w:cs="Arial"/>
          <w:sz w:val="22"/>
        </w:rPr>
        <w:t xml:space="preserve">las actividades de construcción </w:t>
      </w:r>
      <w:r w:rsidR="00A27AB3" w:rsidRPr="00916C68">
        <w:rPr>
          <w:rFonts w:ascii="Arial" w:eastAsia="Calibri" w:hAnsi="Arial" w:cs="Arial"/>
          <w:sz w:val="22"/>
        </w:rPr>
        <w:t>descritas en la pregunta deberán contratarse a través</w:t>
      </w:r>
      <w:r w:rsidR="004169A5" w:rsidRPr="00916C68">
        <w:rPr>
          <w:rFonts w:ascii="Arial" w:eastAsia="Calibri" w:hAnsi="Arial" w:cs="Arial"/>
          <w:sz w:val="22"/>
        </w:rPr>
        <w:t xml:space="preserve"> </w:t>
      </w:r>
      <w:r w:rsidR="00764581" w:rsidRPr="00916C68">
        <w:rPr>
          <w:rFonts w:ascii="Arial" w:eastAsia="Calibri" w:hAnsi="Arial" w:cs="Arial"/>
          <w:sz w:val="22"/>
        </w:rPr>
        <w:t xml:space="preserve">de los documentos tipo </w:t>
      </w:r>
      <w:r w:rsidR="00E73315" w:rsidRPr="00916C68">
        <w:rPr>
          <w:rFonts w:ascii="Arial" w:hAnsi="Arial" w:cs="Arial"/>
          <w:color w:val="0D0D0D"/>
          <w:sz w:val="22"/>
          <w:szCs w:val="22"/>
          <w:bdr w:val="none" w:sz="0" w:space="0" w:color="auto" w:frame="1"/>
          <w:lang w:eastAsia="es-CO"/>
        </w:rPr>
        <w:t>cuando el alcance de las obras de infraestructura de transporte esté relacionado con alguna de las actividades de la matriz de experiencia</w:t>
      </w:r>
      <w:r w:rsidR="00C51D07" w:rsidRPr="00916C68">
        <w:rPr>
          <w:rFonts w:ascii="Arial" w:hAnsi="Arial" w:cs="Arial"/>
          <w:color w:val="0D0D0D"/>
          <w:sz w:val="22"/>
          <w:szCs w:val="22"/>
          <w:bdr w:val="none" w:sz="0" w:space="0" w:color="auto" w:frame="1"/>
          <w:lang w:eastAsia="es-CO"/>
        </w:rPr>
        <w:t>. La entidad analizará en cada caso concreto</w:t>
      </w:r>
      <w:r w:rsidR="009F7DF9" w:rsidRPr="00916C68">
        <w:rPr>
          <w:rFonts w:ascii="Arial" w:hAnsi="Arial" w:cs="Arial"/>
          <w:color w:val="0D0D0D"/>
          <w:sz w:val="22"/>
          <w:szCs w:val="22"/>
          <w:bdr w:val="none" w:sz="0" w:space="0" w:color="auto" w:frame="1"/>
          <w:lang w:eastAsia="es-CO"/>
        </w:rPr>
        <w:t xml:space="preserve"> su aplicación </w:t>
      </w:r>
      <w:r w:rsidR="009F7DF9" w:rsidRPr="00916C68">
        <w:rPr>
          <w:rFonts w:ascii="Arial" w:hAnsi="Arial" w:cs="Arial"/>
          <w:sz w:val="22"/>
          <w:szCs w:val="22"/>
        </w:rPr>
        <w:t>dependiendo del análisis en la etapa previa de planeación, la estructuración del proceso de selección y del proyecto en particular</w:t>
      </w:r>
      <w:r w:rsidR="007A2C1F" w:rsidRPr="00916C68">
        <w:rPr>
          <w:rFonts w:ascii="Arial" w:hAnsi="Arial" w:cs="Arial"/>
          <w:sz w:val="22"/>
          <w:szCs w:val="22"/>
        </w:rPr>
        <w:t>.</w:t>
      </w:r>
    </w:p>
    <w:p w14:paraId="2430716F" w14:textId="44E5E96D" w:rsidR="00B46062" w:rsidRPr="00916C68" w:rsidRDefault="007A2C1F" w:rsidP="00916C68">
      <w:pPr>
        <w:spacing w:line="276" w:lineRule="auto"/>
        <w:ind w:firstLine="708"/>
        <w:jc w:val="both"/>
        <w:rPr>
          <w:rFonts w:ascii="Arial" w:eastAsia="Calibri" w:hAnsi="Arial" w:cs="Arial"/>
          <w:sz w:val="22"/>
        </w:rPr>
      </w:pPr>
      <w:r w:rsidRPr="00916C68">
        <w:rPr>
          <w:rFonts w:ascii="Arial" w:hAnsi="Arial" w:cs="Arial"/>
          <w:sz w:val="22"/>
          <w:szCs w:val="22"/>
        </w:rPr>
        <w:t xml:space="preserve">En todo caso, </w:t>
      </w:r>
      <w:r w:rsidR="00184BBD" w:rsidRPr="00916C68">
        <w:rPr>
          <w:rFonts w:ascii="Arial" w:hAnsi="Arial" w:cs="Arial"/>
          <w:sz w:val="22"/>
          <w:szCs w:val="22"/>
        </w:rPr>
        <w:t>se informa que a l</w:t>
      </w:r>
      <w:r w:rsidR="005A1940" w:rsidRPr="00916C68">
        <w:rPr>
          <w:rFonts w:ascii="Arial" w:hAnsi="Arial" w:cs="Arial"/>
          <w:sz w:val="22"/>
          <w:szCs w:val="22"/>
        </w:rPr>
        <w:t xml:space="preserve">a fecha no se ha </w:t>
      </w:r>
      <w:r w:rsidR="00500EBB" w:rsidRPr="00916C68">
        <w:rPr>
          <w:rFonts w:ascii="Arial" w:hAnsi="Arial" w:cs="Arial"/>
          <w:sz w:val="22"/>
          <w:szCs w:val="22"/>
        </w:rPr>
        <w:t>adoptado</w:t>
      </w:r>
      <w:r w:rsidR="005A1940" w:rsidRPr="00916C68">
        <w:rPr>
          <w:rFonts w:ascii="Arial" w:hAnsi="Arial" w:cs="Arial"/>
          <w:sz w:val="22"/>
          <w:szCs w:val="22"/>
        </w:rPr>
        <w:t xml:space="preserve"> un documento tipo para los contratos </w:t>
      </w:r>
      <w:r w:rsidR="00500EBB" w:rsidRPr="00916C68">
        <w:rPr>
          <w:rFonts w:ascii="Arial" w:hAnsi="Arial" w:cs="Arial"/>
          <w:sz w:val="22"/>
          <w:szCs w:val="22"/>
        </w:rPr>
        <w:t>de estudio de ingeniería</w:t>
      </w:r>
      <w:r w:rsidR="005A1940" w:rsidRPr="00916C68">
        <w:rPr>
          <w:rFonts w:ascii="Arial" w:hAnsi="Arial" w:cs="Arial"/>
          <w:sz w:val="22"/>
          <w:szCs w:val="22"/>
        </w:rPr>
        <w:t xml:space="preserve"> de infraestructura de transporte</w:t>
      </w:r>
      <w:r w:rsidR="001E3119" w:rsidRPr="00916C68">
        <w:rPr>
          <w:rFonts w:ascii="Arial" w:hAnsi="Arial" w:cs="Arial"/>
          <w:sz w:val="22"/>
          <w:szCs w:val="22"/>
        </w:rPr>
        <w:t xml:space="preserve"> que se realicen a través de concurso de méritos</w:t>
      </w:r>
      <w:r w:rsidR="00184BBD" w:rsidRPr="00916C68">
        <w:rPr>
          <w:rFonts w:ascii="Arial" w:hAnsi="Arial" w:cs="Arial"/>
          <w:sz w:val="22"/>
          <w:szCs w:val="22"/>
        </w:rPr>
        <w:t>. No obstante,</w:t>
      </w:r>
      <w:r w:rsidR="00D3720F" w:rsidRPr="00916C68">
        <w:rPr>
          <w:rFonts w:ascii="Arial" w:hAnsi="Arial" w:cs="Arial"/>
          <w:sz w:val="22"/>
          <w:szCs w:val="22"/>
        </w:rPr>
        <w:t xml:space="preserve"> </w:t>
      </w:r>
      <w:r w:rsidR="00744861" w:rsidRPr="00916C68">
        <w:rPr>
          <w:rFonts w:ascii="Arial" w:hAnsi="Arial" w:cs="Arial"/>
          <w:sz w:val="22"/>
          <w:szCs w:val="22"/>
        </w:rPr>
        <w:t xml:space="preserve">en </w:t>
      </w:r>
      <w:r w:rsidR="00D3720F" w:rsidRPr="00916C68">
        <w:rPr>
          <w:rFonts w:ascii="Arial" w:hAnsi="Arial" w:cs="Arial"/>
          <w:sz w:val="22"/>
          <w:szCs w:val="22"/>
        </w:rPr>
        <w:t>los contratos de obra que incluyan diseños</w:t>
      </w:r>
      <w:r w:rsidR="00184BBD" w:rsidRPr="00916C68">
        <w:rPr>
          <w:rFonts w:ascii="Arial" w:hAnsi="Arial" w:cs="Arial"/>
          <w:sz w:val="22"/>
          <w:szCs w:val="22"/>
        </w:rPr>
        <w:t xml:space="preserve"> </w:t>
      </w:r>
      <w:r w:rsidR="00744861" w:rsidRPr="00916C68">
        <w:rPr>
          <w:rFonts w:ascii="Arial" w:hAnsi="Arial" w:cs="Arial"/>
          <w:sz w:val="22"/>
          <w:szCs w:val="22"/>
        </w:rPr>
        <w:t xml:space="preserve">es obligatoria la aplicación de los documentos tipo, en los que este último componente es un servicio adicional </w:t>
      </w:r>
      <w:r w:rsidR="00972036" w:rsidRPr="00916C68">
        <w:rPr>
          <w:rFonts w:ascii="Arial" w:hAnsi="Arial" w:cs="Arial"/>
          <w:sz w:val="22"/>
          <w:szCs w:val="22"/>
        </w:rPr>
        <w:t xml:space="preserve">en los términos explicados </w:t>
      </w:r>
      <w:r w:rsidR="00972036" w:rsidRPr="00916C68">
        <w:rPr>
          <w:rFonts w:ascii="Arial" w:hAnsi="Arial" w:cs="Arial"/>
          <w:i/>
          <w:iCs/>
          <w:sz w:val="22"/>
          <w:szCs w:val="22"/>
        </w:rPr>
        <w:t>ut supra</w:t>
      </w:r>
      <w:r w:rsidR="00972036" w:rsidRPr="00916C68">
        <w:rPr>
          <w:rFonts w:ascii="Arial" w:hAnsi="Arial" w:cs="Arial"/>
          <w:sz w:val="22"/>
          <w:szCs w:val="22"/>
        </w:rPr>
        <w:t>.</w:t>
      </w:r>
      <w:r w:rsidR="00744861" w:rsidRPr="00916C68">
        <w:rPr>
          <w:rFonts w:ascii="Arial" w:hAnsi="Arial" w:cs="Arial"/>
          <w:sz w:val="22"/>
          <w:szCs w:val="22"/>
        </w:rPr>
        <w:t xml:space="preserve"> </w:t>
      </w:r>
      <w:r w:rsidR="00C62A7B" w:rsidRPr="00916C68">
        <w:rPr>
          <w:rFonts w:ascii="Arial" w:hAnsi="Arial" w:cs="Arial"/>
          <w:sz w:val="22"/>
          <w:szCs w:val="22"/>
        </w:rPr>
        <w:t xml:space="preserve"> </w:t>
      </w:r>
      <w:r w:rsidR="00C51D07" w:rsidRPr="00916C68">
        <w:rPr>
          <w:rFonts w:ascii="Arial" w:hAnsi="Arial" w:cs="Arial"/>
          <w:color w:val="0D0D0D"/>
          <w:sz w:val="22"/>
          <w:szCs w:val="22"/>
          <w:bdr w:val="none" w:sz="0" w:space="0" w:color="auto" w:frame="1"/>
          <w:lang w:eastAsia="es-CO"/>
        </w:rPr>
        <w:t xml:space="preserve"> </w:t>
      </w:r>
    </w:p>
    <w:p w14:paraId="15F6D99B" w14:textId="77777777" w:rsidR="00B80476" w:rsidRPr="00916C68" w:rsidRDefault="00B80476" w:rsidP="00916C68">
      <w:pPr>
        <w:spacing w:after="120"/>
        <w:jc w:val="both"/>
        <w:rPr>
          <w:rFonts w:ascii="Arial" w:eastAsia="Calibri" w:hAnsi="Arial" w:cs="Arial"/>
          <w:color w:val="000000" w:themeColor="text1"/>
          <w:sz w:val="22"/>
          <w:szCs w:val="22"/>
          <w:lang w:val="es-ES_tradnl"/>
        </w:rPr>
      </w:pPr>
    </w:p>
    <w:p w14:paraId="7B2C921D" w14:textId="5AFFCB70" w:rsidR="00DD5B04" w:rsidRPr="00916C68" w:rsidRDefault="00DD5B04" w:rsidP="00DF76A2">
      <w:pPr>
        <w:spacing w:line="276" w:lineRule="auto"/>
        <w:jc w:val="both"/>
        <w:rPr>
          <w:rFonts w:ascii="Arial" w:hAnsi="Arial" w:cs="Arial"/>
          <w:color w:val="000000" w:themeColor="text1"/>
          <w:sz w:val="22"/>
          <w:lang w:val="es-ES_tradnl"/>
        </w:rPr>
      </w:pPr>
      <w:r w:rsidRPr="00916C6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916C6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916C6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16C68">
        <w:rPr>
          <w:rFonts w:ascii="Arial" w:hAnsi="Arial" w:cs="Arial"/>
          <w:color w:val="000000" w:themeColor="text1"/>
          <w:sz w:val="22"/>
          <w:szCs w:val="22"/>
          <w:lang w:val="es-ES_tradnl"/>
        </w:rPr>
        <w:lastRenderedPageBreak/>
        <w:t>Atentamente,</w:t>
      </w:r>
    </w:p>
    <w:p w14:paraId="4914DA25" w14:textId="77777777" w:rsidR="00A80849" w:rsidRPr="00916C68"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2193DEE9" w:rsidR="00921304" w:rsidRPr="00916C68" w:rsidRDefault="007B1223" w:rsidP="009F5A2A">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B25B3D">
        <w:rPr>
          <w:rFonts w:ascii="Arial" w:hAnsi="Arial" w:cs="Arial"/>
          <w:noProof/>
          <w:sz w:val="18"/>
          <w:szCs w:val="20"/>
        </w:rPr>
        <w:drawing>
          <wp:inline distT="0" distB="0" distL="0" distR="0" wp14:anchorId="40DB5727" wp14:editId="39AB4A16">
            <wp:extent cx="1673225" cy="739140"/>
            <wp:effectExtent l="0" t="0" r="3175"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3225" cy="739140"/>
                    </a:xfrm>
                    <a:prstGeom prst="rect">
                      <a:avLst/>
                    </a:prstGeom>
                    <a:noFill/>
                    <a:ln>
                      <a:noFill/>
                    </a:ln>
                  </pic:spPr>
                </pic:pic>
              </a:graphicData>
            </a:graphic>
          </wp:inline>
        </w:drawing>
      </w:r>
      <w:bookmarkStart w:id="31" w:name="_GoBack"/>
      <w:bookmarkEnd w:id="31"/>
    </w:p>
    <w:p w14:paraId="30AA3DC7" w14:textId="247A87EA" w:rsidR="00921304" w:rsidRPr="00916C68"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5CBAE239" w14:textId="77777777" w:rsidR="00425C43" w:rsidRPr="00916C68" w:rsidRDefault="00425C43" w:rsidP="00B37657">
      <w:pPr>
        <w:jc w:val="center"/>
        <w:rPr>
          <w:rFonts w:ascii="Arial" w:hAnsi="Arial" w:cs="Arial"/>
          <w:color w:val="000000" w:themeColor="text1"/>
          <w:sz w:val="18"/>
          <w:szCs w:val="20"/>
          <w:lang w:val="es-ES_tradnl" w:eastAsia="es-CO"/>
        </w:rPr>
      </w:pPr>
    </w:p>
    <w:p w14:paraId="49730030" w14:textId="217D35F3" w:rsidR="00DD5B04" w:rsidRPr="00916C68"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916C68" w14:paraId="0C7DC5F7" w14:textId="77777777" w:rsidTr="008F4163">
        <w:trPr>
          <w:trHeight w:val="315"/>
        </w:trPr>
        <w:tc>
          <w:tcPr>
            <w:tcW w:w="812" w:type="dxa"/>
            <w:vAlign w:val="center"/>
            <w:hideMark/>
          </w:tcPr>
          <w:p w14:paraId="5BDB1AC9" w14:textId="77777777" w:rsidR="00DD5B04" w:rsidRPr="00916C68" w:rsidRDefault="00DD5B04"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ABD2031" w:rsidR="00DD5B04" w:rsidRPr="00916C68" w:rsidRDefault="005E38E9"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 xml:space="preserve">Nina María Padrón Ballestas </w:t>
            </w:r>
          </w:p>
          <w:p w14:paraId="240C71FD" w14:textId="31312C95" w:rsidR="00DD5B04" w:rsidRPr="00916C68" w:rsidRDefault="00DD5B04"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Contratista</w:t>
            </w:r>
            <w:r w:rsidR="00FF0050" w:rsidRPr="00916C68">
              <w:rPr>
                <w:rFonts w:ascii="Arial" w:hAnsi="Arial" w:cs="Arial"/>
                <w:color w:val="000000" w:themeColor="text1"/>
                <w:sz w:val="16"/>
                <w:szCs w:val="16"/>
                <w:lang w:val="es-ES_tradnl" w:eastAsia="es-ES"/>
              </w:rPr>
              <w:t xml:space="preserve"> de la </w:t>
            </w:r>
            <w:r w:rsidRPr="00916C68">
              <w:rPr>
                <w:rFonts w:ascii="Arial" w:hAnsi="Arial" w:cs="Arial"/>
                <w:color w:val="000000" w:themeColor="text1"/>
                <w:sz w:val="16"/>
                <w:szCs w:val="16"/>
                <w:lang w:val="es-ES_tradnl" w:eastAsia="es-ES"/>
              </w:rPr>
              <w:t>Subdirección de Gestión Contractual</w:t>
            </w:r>
          </w:p>
        </w:tc>
      </w:tr>
      <w:tr w:rsidR="00DD5B04" w:rsidRPr="00916C68" w14:paraId="2F8FD650" w14:textId="77777777" w:rsidTr="008F4163">
        <w:trPr>
          <w:trHeight w:val="330"/>
        </w:trPr>
        <w:tc>
          <w:tcPr>
            <w:tcW w:w="812" w:type="dxa"/>
            <w:vAlign w:val="center"/>
            <w:hideMark/>
          </w:tcPr>
          <w:p w14:paraId="50203A0B" w14:textId="77777777" w:rsidR="00DD5B04" w:rsidRPr="00916C68" w:rsidRDefault="00DD5B04"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4521BA53" w:rsidR="008623A7" w:rsidRPr="00916C68" w:rsidRDefault="00570D7D" w:rsidP="008623A7">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Juan David Montoya Penagos</w:t>
            </w:r>
          </w:p>
          <w:p w14:paraId="05D68AAC" w14:textId="74F6C766" w:rsidR="002B08BA" w:rsidRPr="00916C68" w:rsidRDefault="005E38E9" w:rsidP="00C05A61">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G</w:t>
            </w:r>
            <w:r w:rsidR="003D281F" w:rsidRPr="00916C68">
              <w:rPr>
                <w:rFonts w:ascii="Arial" w:hAnsi="Arial" w:cs="Arial"/>
                <w:color w:val="000000" w:themeColor="text1"/>
                <w:sz w:val="16"/>
                <w:szCs w:val="16"/>
                <w:lang w:val="es-ES_tradnl" w:eastAsia="es-ES"/>
              </w:rPr>
              <w:t xml:space="preserve">estor </w:t>
            </w:r>
            <w:r w:rsidR="00015642" w:rsidRPr="00916C68">
              <w:rPr>
                <w:rFonts w:ascii="Arial" w:hAnsi="Arial" w:cs="Arial"/>
                <w:color w:val="000000" w:themeColor="text1"/>
                <w:sz w:val="16"/>
                <w:szCs w:val="16"/>
                <w:lang w:val="es-ES_tradnl" w:eastAsia="es-ES"/>
              </w:rPr>
              <w:t>T1-</w:t>
            </w:r>
            <w:r w:rsidR="003D281F" w:rsidRPr="00916C68">
              <w:rPr>
                <w:rFonts w:ascii="Arial" w:hAnsi="Arial" w:cs="Arial"/>
                <w:color w:val="000000" w:themeColor="text1"/>
                <w:sz w:val="16"/>
                <w:szCs w:val="16"/>
                <w:lang w:val="es-ES_tradnl" w:eastAsia="es-ES"/>
              </w:rPr>
              <w:t xml:space="preserve">15 </w:t>
            </w:r>
            <w:r w:rsidR="00015642" w:rsidRPr="00916C68">
              <w:rPr>
                <w:rFonts w:ascii="Arial" w:hAnsi="Arial" w:cs="Arial"/>
                <w:color w:val="000000" w:themeColor="text1"/>
                <w:sz w:val="16"/>
                <w:szCs w:val="16"/>
                <w:lang w:val="es-ES_tradnl" w:eastAsia="es-ES"/>
              </w:rPr>
              <w:t xml:space="preserve">de la </w:t>
            </w:r>
            <w:r w:rsidR="003D281F" w:rsidRPr="00916C68">
              <w:rPr>
                <w:rFonts w:ascii="Arial" w:hAnsi="Arial" w:cs="Arial"/>
                <w:color w:val="000000" w:themeColor="text1"/>
                <w:sz w:val="16"/>
                <w:szCs w:val="16"/>
                <w:lang w:val="es-ES_tradnl" w:eastAsia="es-ES"/>
              </w:rPr>
              <w:t xml:space="preserve">Subdirección de Gestión Contractual </w:t>
            </w:r>
          </w:p>
          <w:p w14:paraId="166B33F4" w14:textId="0CDC7DFF" w:rsidR="002B08BA" w:rsidRPr="00916C68" w:rsidRDefault="002B08BA" w:rsidP="00C05A61">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 xml:space="preserve">Karlo Fernández </w:t>
            </w:r>
            <w:r w:rsidR="004643B0" w:rsidRPr="00916C68">
              <w:rPr>
                <w:rFonts w:ascii="Arial" w:hAnsi="Arial" w:cs="Arial"/>
                <w:color w:val="000000" w:themeColor="text1"/>
                <w:sz w:val="16"/>
                <w:szCs w:val="16"/>
                <w:lang w:val="es-ES_tradnl" w:eastAsia="es-ES"/>
              </w:rPr>
              <w:t>C</w:t>
            </w:r>
            <w:r w:rsidR="00390FA0" w:rsidRPr="00916C68">
              <w:rPr>
                <w:rFonts w:ascii="Arial" w:hAnsi="Arial" w:cs="Arial"/>
                <w:color w:val="000000" w:themeColor="text1"/>
                <w:sz w:val="16"/>
                <w:szCs w:val="16"/>
                <w:lang w:val="es-ES_tradnl" w:eastAsia="es-ES"/>
              </w:rPr>
              <w:t>ala</w:t>
            </w:r>
          </w:p>
          <w:p w14:paraId="130B3228" w14:textId="02D0D820" w:rsidR="002B08BA" w:rsidRPr="00916C68" w:rsidRDefault="00015642" w:rsidP="00C05A61">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Gesto</w:t>
            </w:r>
            <w:r w:rsidR="00447259" w:rsidRPr="00916C68">
              <w:rPr>
                <w:rFonts w:ascii="Arial" w:hAnsi="Arial" w:cs="Arial"/>
                <w:color w:val="000000" w:themeColor="text1"/>
                <w:sz w:val="16"/>
                <w:szCs w:val="16"/>
                <w:lang w:val="es-ES_tradnl" w:eastAsia="es-ES"/>
              </w:rPr>
              <w:t>r</w:t>
            </w:r>
            <w:r w:rsidRPr="00916C68">
              <w:rPr>
                <w:rFonts w:ascii="Arial" w:hAnsi="Arial" w:cs="Arial"/>
                <w:color w:val="000000" w:themeColor="text1"/>
                <w:sz w:val="16"/>
                <w:szCs w:val="16"/>
                <w:lang w:val="es-ES_tradnl" w:eastAsia="es-ES"/>
              </w:rPr>
              <w:t xml:space="preserve"> T1-15 de la Dirección General </w:t>
            </w:r>
          </w:p>
        </w:tc>
      </w:tr>
      <w:tr w:rsidR="00DD5B04" w:rsidRPr="005E4B72" w14:paraId="0FCBCA4A" w14:textId="77777777" w:rsidTr="008F4163">
        <w:trPr>
          <w:trHeight w:val="300"/>
        </w:trPr>
        <w:tc>
          <w:tcPr>
            <w:tcW w:w="812" w:type="dxa"/>
            <w:vAlign w:val="center"/>
            <w:hideMark/>
          </w:tcPr>
          <w:p w14:paraId="3C1D943A" w14:textId="29B4D648" w:rsidR="00DD5B04" w:rsidRPr="00916C68" w:rsidRDefault="00DD5B04"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916C68" w:rsidRDefault="00C05A61"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 xml:space="preserve">Jorge </w:t>
            </w:r>
            <w:r w:rsidR="00647A36" w:rsidRPr="00916C68">
              <w:rPr>
                <w:rFonts w:ascii="Arial" w:hAnsi="Arial" w:cs="Arial"/>
                <w:color w:val="000000" w:themeColor="text1"/>
                <w:sz w:val="16"/>
                <w:szCs w:val="16"/>
                <w:lang w:val="es-ES_tradnl" w:eastAsia="es-ES"/>
              </w:rPr>
              <w:t xml:space="preserve">Augusto </w:t>
            </w:r>
            <w:r w:rsidRPr="00916C68">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916C68">
              <w:rPr>
                <w:rFonts w:ascii="Arial" w:hAnsi="Arial" w:cs="Arial"/>
                <w:color w:val="000000" w:themeColor="text1"/>
                <w:sz w:val="16"/>
                <w:szCs w:val="16"/>
                <w:lang w:val="es-ES_tradnl" w:eastAsia="es-ES"/>
              </w:rPr>
              <w:t>Subdirector de Gestión Contractual</w:t>
            </w:r>
            <w:r w:rsidR="003D369D" w:rsidRPr="00916C68">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sectPr w:rsidR="00746E08"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FD96" w16cex:dateUtc="2021-05-26T22:02:00Z"/>
  <w16cex:commentExtensible w16cex:durableId="2458FDD9" w16cex:dateUtc="2021-05-26T22:03:00Z"/>
  <w16cex:commentExtensible w16cex:durableId="2458FE47" w16cex:dateUtc="2021-05-26T22:05:00Z"/>
  <w16cex:commentExtensible w16cex:durableId="2458FE62" w16cex:dateUtc="2021-05-26T22:05:00Z"/>
  <w16cex:commentExtensible w16cex:durableId="2458B711" w16cex:dateUtc="2021-05-26T17:01:00Z"/>
  <w16cex:commentExtensible w16cex:durableId="2458C9D9" w16cex:dateUtc="2021-05-26T18:21:00Z"/>
  <w16cex:commentExtensible w16cex:durableId="245F8A8F" w16cex:dateUtc="2021-05-31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3F416" w16cid:durableId="2458FD96"/>
  <w16cid:commentId w16cid:paraId="43D6417E" w16cid:durableId="2458FDD9"/>
  <w16cid:commentId w16cid:paraId="30025021" w16cid:durableId="2458FE47"/>
  <w16cid:commentId w16cid:paraId="70345CD1" w16cid:durableId="2458FE62"/>
  <w16cid:commentId w16cid:paraId="38380447" w16cid:durableId="2458B711"/>
  <w16cid:commentId w16cid:paraId="502ED7B0" w16cid:durableId="2458C9D9"/>
  <w16cid:commentId w16cid:paraId="16DE0451" w16cid:durableId="245F8A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CB1E" w14:textId="77777777" w:rsidR="00D35C97" w:rsidRDefault="00D35C97">
      <w:r>
        <w:separator/>
      </w:r>
    </w:p>
  </w:endnote>
  <w:endnote w:type="continuationSeparator" w:id="0">
    <w:p w14:paraId="1D09271C" w14:textId="77777777" w:rsidR="00D35C97" w:rsidRDefault="00D35C97">
      <w:r>
        <w:continuationSeparator/>
      </w:r>
    </w:p>
  </w:endnote>
  <w:endnote w:type="continuationNotice" w:id="1">
    <w:p w14:paraId="1CBF79C2" w14:textId="77777777" w:rsidR="00D35C97" w:rsidRDefault="00D35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8F4163" w:rsidRDefault="008F4163" w:rsidP="00322937">
    <w:pPr>
      <w:pStyle w:val="Sinespaciado"/>
      <w:jc w:val="right"/>
      <w:rPr>
        <w:rFonts w:ascii="Arial" w:hAnsi="Arial" w:cs="Arial"/>
        <w:sz w:val="18"/>
        <w:szCs w:val="18"/>
      </w:rPr>
    </w:pPr>
  </w:p>
  <w:p w14:paraId="7A3785F3" w14:textId="43103470"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B1223">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B1223">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532D" w14:textId="77777777" w:rsidR="00D35C97" w:rsidRDefault="00D35C97">
      <w:r>
        <w:separator/>
      </w:r>
    </w:p>
  </w:footnote>
  <w:footnote w:type="continuationSeparator" w:id="0">
    <w:p w14:paraId="120BC8A0" w14:textId="77777777" w:rsidR="00D35C97" w:rsidRDefault="00D35C97">
      <w:r>
        <w:continuationSeparator/>
      </w:r>
    </w:p>
  </w:footnote>
  <w:footnote w:type="continuationNotice" w:id="1">
    <w:p w14:paraId="01E6E5C6" w14:textId="77777777" w:rsidR="00D35C97" w:rsidRDefault="00D35C97"/>
  </w:footnote>
  <w:footnote w:id="2">
    <w:p w14:paraId="672CD81D" w14:textId="77777777" w:rsidR="00EA729F" w:rsidRDefault="00EA729F" w:rsidP="00EA729F">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E6BB996" w14:textId="77777777" w:rsidR="00EA729F" w:rsidRDefault="00EA729F" w:rsidP="00EA729F">
      <w:pPr>
        <w:pStyle w:val="Textonotapie"/>
        <w:ind w:firstLine="709"/>
      </w:pPr>
    </w:p>
  </w:footnote>
  <w:footnote w:id="3">
    <w:p w14:paraId="45BB934C" w14:textId="77777777" w:rsidR="00EA729F" w:rsidRDefault="00EA729F" w:rsidP="00EA729F">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Pr>
          <w:rFonts w:ascii="Arial" w:eastAsia="Times New Roman" w:hAnsi="Arial" w:cs="Arial"/>
          <w:color w:val="000000"/>
          <w:sz w:val="19"/>
          <w:szCs w:val="19"/>
          <w:bdr w:val="none" w:sz="0" w:space="0" w:color="auto" w:frame="1"/>
          <w:lang w:eastAsia="es-CO"/>
        </w:rPr>
        <w:t>Diario Oficial. Gaceta del Congreso 458 de 2005.  </w:t>
      </w:r>
    </w:p>
    <w:p w14:paraId="480EA25A" w14:textId="77777777" w:rsidR="00EA729F" w:rsidRDefault="00EA729F" w:rsidP="00EA729F">
      <w:pPr>
        <w:pStyle w:val="Textonotapie"/>
        <w:ind w:firstLine="709"/>
      </w:pPr>
    </w:p>
  </w:footnote>
  <w:footnote w:id="4">
    <w:p w14:paraId="74772511" w14:textId="77777777" w:rsidR="00EA729F" w:rsidRDefault="00EA729F" w:rsidP="00EA729F">
      <w:pPr>
        <w:pStyle w:val="Textonotapie"/>
        <w:ind w:firstLine="709"/>
      </w:pPr>
      <w:r>
        <w:rPr>
          <w:rStyle w:val="Refdenotaalpie"/>
        </w:rPr>
        <w:footnoteRef/>
      </w:r>
      <w:r>
        <w:t xml:space="preserve"> </w:t>
      </w:r>
      <w:r>
        <w:rPr>
          <w:rFonts w:ascii="Arial" w:hAnsi="Arial" w:cs="Arial"/>
          <w:sz w:val="19"/>
          <w:szCs w:val="19"/>
        </w:rPr>
        <w:t>Ibídem.</w:t>
      </w:r>
      <w:r>
        <w:t xml:space="preserve">  </w:t>
      </w:r>
    </w:p>
    <w:p w14:paraId="19D5FD3B" w14:textId="77777777" w:rsidR="00EA729F" w:rsidRDefault="00EA729F" w:rsidP="00EA729F">
      <w:pPr>
        <w:pStyle w:val="Textonotapie"/>
        <w:ind w:firstLine="709"/>
      </w:pPr>
    </w:p>
  </w:footnote>
  <w:footnote w:id="5">
    <w:p w14:paraId="4160843E" w14:textId="77777777" w:rsidR="00EA729F" w:rsidRDefault="00EA729F" w:rsidP="00EA729F">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Diario Oficial. Gaceta del Congreso 416 de 2007, Informe de Conciliación Senado. </w:t>
      </w:r>
    </w:p>
    <w:p w14:paraId="2EBE2720" w14:textId="77777777" w:rsidR="00EA729F" w:rsidRDefault="00EA729F" w:rsidP="00EA729F">
      <w:pPr>
        <w:shd w:val="clear" w:color="auto" w:fill="FFFFFF"/>
        <w:ind w:firstLine="709"/>
        <w:jc w:val="both"/>
        <w:textAlignment w:val="baseline"/>
        <w:rPr>
          <w:rFonts w:ascii="Calibri" w:hAnsi="Calibri" w:cs="Calibri"/>
          <w:color w:val="000000"/>
          <w:sz w:val="20"/>
          <w:szCs w:val="20"/>
          <w:lang w:eastAsia="es-CO"/>
        </w:rPr>
      </w:pPr>
    </w:p>
  </w:footnote>
  <w:footnote w:id="6">
    <w:p w14:paraId="4FEFBFFB" w14:textId="77777777" w:rsidR="00EA729F" w:rsidRDefault="00EA729F" w:rsidP="00EA729F">
      <w:pPr>
        <w:shd w:val="clear" w:color="auto" w:fill="FFFFFF"/>
        <w:ind w:firstLine="709"/>
        <w:jc w:val="both"/>
        <w:textAlignment w:val="baseline"/>
        <w:rPr>
          <w:rFonts w:cs="Calibri"/>
          <w:color w:val="000000"/>
          <w:sz w:val="20"/>
          <w:szCs w:val="20"/>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3BA4D35B" w14:textId="77777777" w:rsidR="00EA729F" w:rsidRDefault="00EA729F" w:rsidP="00EA729F">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D4D155D" w14:textId="77777777" w:rsidR="00EA729F" w:rsidRDefault="00EA729F" w:rsidP="00EA729F">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1395951" w14:textId="77777777" w:rsidR="00EA729F" w:rsidRDefault="00EA729F" w:rsidP="00EA729F">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0244BAC" w14:textId="77777777" w:rsidR="00EA729F" w:rsidRDefault="00EA729F" w:rsidP="00EA729F">
      <w:pPr>
        <w:shd w:val="clear" w:color="auto" w:fill="FFFFFF"/>
        <w:ind w:firstLine="708"/>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2B77D7C2" w14:textId="77777777" w:rsidR="00EA729F" w:rsidRDefault="00EA729F" w:rsidP="00EA729F">
      <w:pPr>
        <w:pStyle w:val="Textonotapie"/>
      </w:pPr>
    </w:p>
  </w:footnote>
  <w:footnote w:id="7">
    <w:p w14:paraId="024676B8" w14:textId="77777777" w:rsidR="00001E00" w:rsidRPr="001856E0" w:rsidRDefault="00001E00" w:rsidP="00001E00">
      <w:pPr>
        <w:spacing w:before="120"/>
        <w:ind w:firstLine="708"/>
        <w:jc w:val="both"/>
        <w:rPr>
          <w:rFonts w:ascii="Arial" w:eastAsia="Calibri" w:hAnsi="Arial" w:cs="Arial"/>
          <w:color w:val="000000" w:themeColor="text1"/>
          <w:sz w:val="19"/>
          <w:szCs w:val="19"/>
          <w:lang w:val="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_tradnl"/>
        </w:rPr>
        <w:t>La jurisprudencia delimita su sentido y alcance de la siguiente manera –</w:t>
      </w:r>
      <w:r w:rsidRPr="001856E0">
        <w:rPr>
          <w:rFonts w:ascii="Arial" w:hAnsi="Arial" w:cs="Arial"/>
          <w:color w:val="000000" w:themeColor="text1"/>
          <w:sz w:val="19"/>
          <w:szCs w:val="19"/>
          <w:lang w:val="es-ES"/>
        </w:rPr>
        <w:t>CORTE SUPREMA DE JUSTICIA. Sala de Casación Civil. Sentencia 20 de noviembre de 1989. MP. Alberto Ospina Botero. Publicada en la Gaceta Judicial. Tomo CXCVI. N° 2435. p. 93</w:t>
      </w:r>
      <w:r w:rsidRPr="001856E0">
        <w:rPr>
          <w:rFonts w:ascii="Arial" w:hAnsi="Arial" w:cs="Arial"/>
          <w:color w:val="000000" w:themeColor="text1"/>
          <w:sz w:val="19"/>
          <w:szCs w:val="19"/>
          <w:lang w:val="es-ES_tradnl"/>
        </w:rPr>
        <w:t>–:</w:t>
      </w:r>
    </w:p>
    <w:p w14:paraId="64452AFC" w14:textId="77777777" w:rsidR="00001E00" w:rsidRPr="001856E0" w:rsidRDefault="00001E00" w:rsidP="00001E00">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«6. […] la fuerza mayor o caso fortuito se configura por la concurrencia de dos factores:</w:t>
      </w:r>
    </w:p>
    <w:p w14:paraId="4C8F03F4" w14:textId="77777777" w:rsidR="00001E00" w:rsidRPr="001856E0" w:rsidRDefault="00001E00" w:rsidP="00001E00">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25978288" w14:textId="77777777" w:rsidR="00001E00" w:rsidRPr="001856E0" w:rsidRDefault="00001E00" w:rsidP="00001E00">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»b) Que el hecho sea irresistible, o sea, que el agente no pueda evitar su acaecimiento ni superar sus consecuencias.</w:t>
      </w:r>
    </w:p>
    <w:p w14:paraId="40775B8C" w14:textId="77777777" w:rsidR="00001E00" w:rsidRPr="001856E0" w:rsidRDefault="00001E00" w:rsidP="00001E00">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3DFFCFEB" w14:textId="77777777" w:rsidR="00001E00" w:rsidRPr="001856E0" w:rsidRDefault="00001E00" w:rsidP="00001E00">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19D83DD8" w14:textId="77777777" w:rsidR="00001E00" w:rsidRPr="001856E0" w:rsidRDefault="00001E00" w:rsidP="00001E00">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w:t>
      </w:r>
    </w:p>
    <w:p w14:paraId="17C94849" w14:textId="77777777" w:rsidR="00001E00" w:rsidRPr="001856E0" w:rsidRDefault="00001E00" w:rsidP="00001E00">
      <w:pPr>
        <w:pStyle w:val="Textonotapie"/>
        <w:ind w:right="49"/>
        <w:jc w:val="both"/>
        <w:rPr>
          <w:rFonts w:ascii="Arial" w:hAnsi="Arial" w:cs="Arial"/>
          <w:color w:val="000000" w:themeColor="text1"/>
          <w:sz w:val="19"/>
          <w:szCs w:val="19"/>
          <w:lang w:val="es-CO"/>
        </w:rPr>
      </w:pPr>
      <w:r w:rsidRPr="001856E0">
        <w:rPr>
          <w:rFonts w:ascii="Arial" w:eastAsia="Calibri" w:hAnsi="Arial" w:cs="Arial"/>
          <w:color w:val="000000" w:themeColor="text1"/>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p>
  </w:footnote>
  <w:footnote w:id="8">
    <w:p w14:paraId="3BAE366B"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256A8C1A"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»1. Nacional. Existirá una situación de desastre nacional:</w:t>
      </w:r>
    </w:p>
    <w:p w14:paraId="038D8423"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6712D927"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»b). Cuando se hayan producido efectos adversos en uno (1) o más departamentos y su impacto rebase la capacidad técnica y los recursos de las administraciones departamentales y municipales involucradas.</w:t>
      </w:r>
    </w:p>
    <w:p w14:paraId="59218DF9"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77507D5E"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65E67F46"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9">
    <w:p w14:paraId="56AD91A5" w14:textId="77777777" w:rsidR="00001E00" w:rsidRPr="001856E0" w:rsidRDefault="00001E00" w:rsidP="00001E00">
      <w:pPr>
        <w:pStyle w:val="Textonotapie"/>
        <w:ind w:firstLine="708"/>
        <w:jc w:val="both"/>
        <w:rPr>
          <w:color w:val="000000" w:themeColor="text1"/>
        </w:rPr>
      </w:pPr>
    </w:p>
    <w:p w14:paraId="5BB95263" w14:textId="77777777" w:rsidR="00001E00" w:rsidRPr="001856E0" w:rsidRDefault="00001E00" w:rsidP="00001E00">
      <w:pPr>
        <w:pStyle w:val="Textonotapie"/>
        <w:ind w:firstLine="708"/>
        <w:jc w:val="both"/>
        <w:rPr>
          <w:color w:val="000000" w:themeColor="text1"/>
          <w:lang w:val="es-CO"/>
        </w:rPr>
      </w:pPr>
      <w:r w:rsidRPr="001856E0">
        <w:rPr>
          <w:rStyle w:val="Refdenotaalpie"/>
          <w:color w:val="000000" w:themeColor="text1"/>
        </w:rPr>
        <w:footnoteRef/>
      </w:r>
      <w:r w:rsidRPr="001856E0">
        <w:rPr>
          <w:color w:val="000000" w:themeColor="text1"/>
        </w:rPr>
        <w:t xml:space="preserve"> «</w:t>
      </w:r>
      <w:r w:rsidRPr="001856E0">
        <w:rPr>
          <w:rFonts w:ascii="Arial" w:hAnsi="Arial" w:cs="Arial"/>
          <w:color w:val="000000" w:themeColor="text1"/>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0">
    <w:p w14:paraId="6F9A8BEF" w14:textId="77777777" w:rsidR="00001E00" w:rsidRPr="001856E0" w:rsidRDefault="00001E00" w:rsidP="00001E00">
      <w:pPr>
        <w:pStyle w:val="Textonotapie"/>
        <w:ind w:firstLine="708"/>
        <w:jc w:val="both"/>
        <w:rPr>
          <w:rFonts w:ascii="Arial" w:hAnsi="Arial" w:cs="Arial"/>
          <w:color w:val="000000" w:themeColor="text1"/>
          <w:sz w:val="19"/>
          <w:szCs w:val="19"/>
          <w:lang w:val="es-ES"/>
        </w:rPr>
      </w:pPr>
      <w:r w:rsidRPr="001856E0">
        <w:rPr>
          <w:rStyle w:val="Refdenotaalpie"/>
          <w:color w:val="000000" w:themeColor="text1"/>
        </w:rPr>
        <w:footnoteRef/>
      </w:r>
      <w:r w:rsidRPr="001856E0">
        <w:rPr>
          <w:color w:val="000000" w:themeColor="text1"/>
        </w:rPr>
        <w:t xml:space="preserve"> </w:t>
      </w:r>
      <w:r w:rsidRPr="001856E0">
        <w:rPr>
          <w:rFonts w:ascii="Arial" w:hAnsi="Arial" w:cs="Arial"/>
          <w:color w:val="000000" w:themeColor="text1"/>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11">
    <w:p w14:paraId="16F74637" w14:textId="77777777" w:rsidR="00001E00" w:rsidRPr="001856E0" w:rsidRDefault="00001E00" w:rsidP="00001E00">
      <w:pPr>
        <w:pStyle w:val="NormalWeb"/>
        <w:spacing w:before="0" w:beforeAutospacing="0" w:after="0" w:afterAutospacing="0"/>
        <w:ind w:firstLine="708"/>
        <w:jc w:val="both"/>
        <w:rPr>
          <w:rFonts w:ascii="Arial" w:hAnsi="Arial" w:cs="Arial"/>
          <w:color w:val="000000" w:themeColor="text1"/>
          <w:sz w:val="19"/>
          <w:szCs w:val="19"/>
        </w:rPr>
      </w:pPr>
    </w:p>
    <w:p w14:paraId="274D5F29" w14:textId="77777777" w:rsidR="00001E00" w:rsidRPr="001856E0" w:rsidRDefault="00001E00" w:rsidP="00001E00">
      <w:pPr>
        <w:pStyle w:val="NormalWeb"/>
        <w:spacing w:before="0" w:beforeAutospacing="0" w:after="0" w:afterAutospacing="0"/>
        <w:ind w:firstLine="708"/>
        <w:jc w:val="both"/>
        <w:rPr>
          <w:rFonts w:ascii="Arial" w:hAnsi="Arial" w:cs="Arial"/>
          <w:color w:val="000000" w:themeColor="text1"/>
          <w:sz w:val="19"/>
          <w:szCs w:val="19"/>
          <w:lang w:eastAsia="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bookmarkStart w:id="17" w:name="54"/>
      <w:r w:rsidRPr="001856E0">
        <w:rPr>
          <w:rFonts w:ascii="Arial" w:hAnsi="Arial" w:cs="Arial"/>
          <w:color w:val="000000" w:themeColor="text1"/>
          <w:sz w:val="19"/>
          <w:szCs w:val="19"/>
        </w:rPr>
        <w:t>«</w:t>
      </w:r>
      <w:r w:rsidRPr="001856E0">
        <w:rPr>
          <w:rFonts w:ascii="Arial" w:hAnsi="Arial" w:cs="Arial"/>
          <w:color w:val="000000" w:themeColor="text1"/>
          <w:sz w:val="19"/>
          <w:szCs w:val="19"/>
          <w:lang w:eastAsia="es-ES_tradnl"/>
        </w:rPr>
        <w:t>Artículo 54. Fondos territoriales.</w:t>
      </w:r>
      <w:bookmarkEnd w:id="17"/>
      <w:r w:rsidRPr="001856E0">
        <w:rPr>
          <w:rFonts w:ascii="Arial" w:hAnsi="Arial" w:cs="Arial"/>
          <w:color w:val="000000" w:themeColor="text1"/>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5E485DB1" w14:textId="77777777" w:rsidR="00001E00" w:rsidRPr="001856E0" w:rsidRDefault="00001E00" w:rsidP="00001E00">
      <w:pPr>
        <w:ind w:firstLine="708"/>
        <w:jc w:val="both"/>
        <w:rPr>
          <w:rFonts w:ascii="Arial" w:hAnsi="Arial" w:cs="Arial"/>
          <w:color w:val="000000" w:themeColor="text1"/>
          <w:sz w:val="19"/>
          <w:szCs w:val="19"/>
        </w:rPr>
      </w:pPr>
      <w:r w:rsidRPr="001856E0">
        <w:rPr>
          <w:rFonts w:ascii="Arial" w:hAnsi="Arial" w:cs="Arial"/>
          <w:color w:val="000000" w:themeColor="text1"/>
          <w:sz w:val="19"/>
          <w:szCs w:val="19"/>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 w:id="12">
    <w:p w14:paraId="6F79FEB5" w14:textId="77777777" w:rsidR="00AD186F" w:rsidRPr="00C56AB3" w:rsidRDefault="00AD186F" w:rsidP="00AD186F">
      <w:pPr>
        <w:ind w:firstLine="708"/>
        <w:jc w:val="both"/>
        <w:rPr>
          <w:rFonts w:ascii="Arial" w:eastAsia="Calibri" w:hAnsi="Arial"/>
          <w:color w:val="000000"/>
          <w:sz w:val="19"/>
          <w:szCs w:val="19"/>
        </w:rPr>
      </w:pPr>
      <w:r w:rsidRPr="00C12552">
        <w:rPr>
          <w:rStyle w:val="Refdenotaalpie"/>
          <w:rFonts w:ascii="Arial" w:hAnsi="Arial" w:cs="Arial"/>
          <w:sz w:val="19"/>
          <w:szCs w:val="19"/>
        </w:rPr>
        <w:footnoteRef/>
      </w:r>
      <w:r w:rsidRPr="00C12552">
        <w:rPr>
          <w:rFonts w:ascii="Arial" w:hAnsi="Arial" w:cs="Arial"/>
          <w:sz w:val="19"/>
          <w:szCs w:val="19"/>
        </w:rPr>
        <w:t xml:space="preserve"> </w:t>
      </w:r>
      <w:r>
        <w:rPr>
          <w:rFonts w:ascii="Arial" w:hAnsi="Arial" w:cs="Arial"/>
          <w:sz w:val="19"/>
          <w:szCs w:val="19"/>
        </w:rPr>
        <w:t xml:space="preserve">Al respecto, el numeral 3.5.1 del documento base dispone lo siguiente: </w:t>
      </w:r>
      <w:r w:rsidRPr="00C56AB3">
        <w:rPr>
          <w:rFonts w:ascii="Arial" w:hAnsi="Arial" w:cs="Arial"/>
          <w:sz w:val="19"/>
          <w:szCs w:val="19"/>
        </w:rPr>
        <w:t>«</w:t>
      </w:r>
      <w:r w:rsidRPr="00C56AB3">
        <w:rPr>
          <w:rFonts w:ascii="Arial" w:eastAsia="Calibri" w:hAnsi="Arial"/>
          <w:color w:val="000000"/>
          <w:sz w:val="19"/>
          <w:szCs w:val="19"/>
        </w:rPr>
        <w:t xml:space="preserve">La complejidad técnica del proyecto se establece de la siguiente manera, en concordancia con lo previsto en la “Matriz 1 – Experiencia”: </w:t>
      </w:r>
    </w:p>
    <w:p w14:paraId="362D5C71" w14:textId="77777777" w:rsidR="00AD186F" w:rsidRPr="00C56AB3" w:rsidRDefault="00AD186F" w:rsidP="00AD186F">
      <w:pPr>
        <w:spacing w:line="259" w:lineRule="auto"/>
        <w:ind w:firstLine="708"/>
        <w:jc w:val="both"/>
        <w:rPr>
          <w:rFonts w:ascii="Arial" w:eastAsia="Calibri" w:hAnsi="Arial"/>
          <w:color w:val="000000"/>
          <w:sz w:val="19"/>
          <w:szCs w:val="19"/>
        </w:rPr>
      </w:pPr>
      <w:r w:rsidRPr="00C56AB3">
        <w:rPr>
          <w:rFonts w:ascii="Arial" w:eastAsia="Calibri" w:hAnsi="Arial"/>
          <w:color w:val="000000"/>
          <w:sz w:val="19"/>
          <w:szCs w:val="19"/>
          <w:highlight w:val="lightGray"/>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05402A1B" w14:textId="77777777" w:rsidR="00AD186F" w:rsidRPr="00C56AB3" w:rsidRDefault="00AD186F" w:rsidP="00AD186F">
      <w:pPr>
        <w:spacing w:line="259" w:lineRule="auto"/>
        <w:ind w:firstLine="708"/>
        <w:jc w:val="both"/>
        <w:rPr>
          <w:rFonts w:ascii="Arial" w:eastAsia="Calibri" w:hAnsi="Arial"/>
          <w:color w:val="000000"/>
          <w:sz w:val="19"/>
          <w:szCs w:val="19"/>
        </w:rPr>
      </w:pPr>
      <w:r w:rsidRPr="00C56AB3">
        <w:rPr>
          <w:rFonts w:ascii="Arial" w:eastAsia="Calibri" w:hAnsi="Arial"/>
          <w:color w:val="000000"/>
          <w:sz w:val="19"/>
          <w:szCs w:val="19"/>
          <w:highlight w:val="lightGray"/>
        </w:rPr>
        <w:t>[La justificación realizada por la entidad para determinar la complejidad técnica puede ser observada por los interesados en el proceso de selección].</w:t>
      </w:r>
    </w:p>
    <w:p w14:paraId="099BF320" w14:textId="77777777" w:rsidR="00AD186F" w:rsidRPr="00C56AB3" w:rsidRDefault="00AD186F" w:rsidP="00AD186F">
      <w:pPr>
        <w:spacing w:line="259" w:lineRule="auto"/>
        <w:ind w:firstLine="708"/>
        <w:jc w:val="both"/>
        <w:rPr>
          <w:rFonts w:ascii="Arial" w:eastAsia="Calibri" w:hAnsi="Arial"/>
          <w:color w:val="000000"/>
          <w:sz w:val="19"/>
          <w:szCs w:val="19"/>
        </w:rPr>
      </w:pPr>
      <w:r w:rsidRPr="00C56AB3">
        <w:rPr>
          <w:rFonts w:ascii="Arial" w:eastAsia="Calibri" w:hAnsi="Arial"/>
          <w:color w:val="000000"/>
          <w:sz w:val="19"/>
          <w:szCs w:val="19"/>
        </w:rPr>
        <w:t xml:space="preserve">De conformidad con lo anterior, los requisitos de experiencia son: </w:t>
      </w:r>
      <w:r w:rsidRPr="00C56AB3">
        <w:rPr>
          <w:rFonts w:ascii="Arial" w:eastAsia="Calibri" w:hAnsi="Arial"/>
          <w:color w:val="000000"/>
          <w:sz w:val="19"/>
          <w:szCs w:val="19"/>
          <w:highlight w:val="lightGray"/>
        </w:rPr>
        <w:t>[la entidad deberá indicar el número de la actividad a contratar, y transcribir textualmente lo indicado en la Matriz 1 – Experiencia. En caso de requerir combinar experiencia, se procederá según lo establecido en la Matriz 1]</w:t>
      </w:r>
      <w:r w:rsidRPr="00C56AB3">
        <w:rPr>
          <w:rFonts w:ascii="Arial" w:eastAsia="Calibri" w:hAnsi="Arial"/>
          <w:color w:val="000000"/>
          <w:sz w:val="19"/>
          <w:szCs w:val="19"/>
        </w:rPr>
        <w:t>».</w:t>
      </w:r>
    </w:p>
    <w:p w14:paraId="3ECAD7A2" w14:textId="77777777" w:rsidR="00AD186F" w:rsidRPr="00C12552" w:rsidRDefault="00AD186F" w:rsidP="00AD186F">
      <w:pPr>
        <w:pStyle w:val="Textonotapie"/>
        <w:ind w:firstLine="708"/>
        <w:jc w:val="both"/>
        <w:rPr>
          <w:rFonts w:ascii="Arial" w:hAnsi="Arial" w:cs="Arial"/>
          <w:sz w:val="19"/>
          <w:szCs w:val="19"/>
        </w:rPr>
      </w:pPr>
    </w:p>
  </w:footnote>
  <w:footnote w:id="13">
    <w:p w14:paraId="06BF46DC" w14:textId="77777777" w:rsidR="00AD186F" w:rsidRDefault="00AD186F" w:rsidP="00AD186F">
      <w:pPr>
        <w:pStyle w:val="Textonotapie"/>
        <w:ind w:firstLine="708"/>
        <w:jc w:val="both"/>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sidRPr="00233094">
        <w:rPr>
          <w:rFonts w:ascii="Arial" w:eastAsia="Calibri" w:hAnsi="Arial" w:cs="Arial"/>
          <w:sz w:val="19"/>
          <w:szCs w:val="19"/>
        </w:rPr>
        <w:t xml:space="preserve"> </w:t>
      </w:r>
      <w:r>
        <w:rPr>
          <w:rFonts w:ascii="Arial" w:eastAsia="Calibri" w:hAnsi="Arial" w:cs="Arial"/>
          <w:sz w:val="19"/>
          <w:szCs w:val="19"/>
        </w:rPr>
        <w:t xml:space="preserve">Resolución 240 de 2020 «por la cual se actualizan los Documentos Tipo [Versión 3] para procesos de selección de licitación de obra pública de infraestructura de transporte y se deroga la Resolución 0045 de 2020»: «Artículo 4. </w:t>
      </w:r>
      <w:bookmarkStart w:id="30" w:name="_Hlk61534297"/>
      <w:r>
        <w:rPr>
          <w:rFonts w:ascii="Arial" w:eastAsia="Calibri" w:hAnsi="Arial" w:cs="Arial"/>
          <w:sz w:val="19"/>
          <w:szCs w:val="19"/>
        </w:rPr>
        <w:t>Bienes o servicios adicionales a la de obra pública</w:t>
      </w:r>
      <w:bookmarkEnd w:id="30"/>
      <w:r>
        <w:rPr>
          <w:rFonts w:ascii="Arial" w:eastAsia="Calibri" w:hAnsi="Arial" w:cs="Arial"/>
          <w:sz w:val="19"/>
          <w:szCs w:val="19"/>
        </w:rPr>
        <w:t>.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730E13B3" w14:textId="77777777" w:rsidR="00AD186F" w:rsidRDefault="00AD186F" w:rsidP="00AD186F">
      <w:pPr>
        <w:pStyle w:val="Textonotapie"/>
        <w:ind w:firstLine="708"/>
        <w:jc w:val="both"/>
        <w:rPr>
          <w:rFonts w:ascii="Arial" w:eastAsia="Calibri" w:hAnsi="Arial" w:cs="Arial"/>
          <w:sz w:val="19"/>
          <w:szCs w:val="19"/>
        </w:rPr>
      </w:pPr>
      <w:r>
        <w:rPr>
          <w:rFonts w:ascii="Arial" w:eastAsia="Calibri"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E16B98D" w14:textId="77777777" w:rsidR="00AD186F" w:rsidRDefault="00AD186F" w:rsidP="00AD186F">
      <w:pPr>
        <w:pStyle w:val="Textonotapie"/>
        <w:ind w:firstLine="708"/>
        <w:jc w:val="both"/>
        <w:rPr>
          <w:rFonts w:ascii="Arial" w:eastAsia="Calibri" w:hAnsi="Arial" w:cs="Arial"/>
          <w:sz w:val="19"/>
          <w:szCs w:val="19"/>
        </w:rPr>
      </w:pPr>
      <w:r>
        <w:rPr>
          <w:rFonts w:ascii="Arial" w:eastAsia="Calibri" w:hAnsi="Arial" w:cs="Arial"/>
          <w:sz w:val="19"/>
          <w:szCs w:val="19"/>
        </w:rPr>
        <w:t>»2. Conservar los requisitos exigidos en los Documentos Tipo.</w:t>
      </w:r>
    </w:p>
    <w:p w14:paraId="48D95C6B" w14:textId="77777777" w:rsidR="00AD186F" w:rsidRDefault="00AD186F" w:rsidP="00AD186F">
      <w:pPr>
        <w:pStyle w:val="Textonotapie"/>
        <w:ind w:firstLine="708"/>
        <w:jc w:val="both"/>
        <w:rPr>
          <w:rFonts w:ascii="Arial" w:eastAsia="Calibri" w:hAnsi="Arial" w:cs="Arial"/>
          <w:sz w:val="19"/>
          <w:szCs w:val="19"/>
        </w:rPr>
      </w:pPr>
      <w:r>
        <w:rPr>
          <w:rFonts w:ascii="Arial" w:eastAsia="Calibri" w:hAnsi="Arial" w:cs="Arial"/>
          <w:sz w:val="19"/>
          <w:szCs w:val="19"/>
        </w:rPr>
        <w:t>»3. Abstenerse de pedir experiencia exclusiva con entidades estatales, experiencia previa en un territorio específico, limitada en el tiempo o que incluya volúmenes o cantidades de obra específica.</w:t>
      </w:r>
    </w:p>
    <w:p w14:paraId="55BB5AFF" w14:textId="77777777" w:rsidR="00AD186F" w:rsidRDefault="00AD186F" w:rsidP="00AD186F">
      <w:pPr>
        <w:pStyle w:val="Textonotapie"/>
        <w:ind w:firstLine="708"/>
        <w:jc w:val="both"/>
        <w:rPr>
          <w:rFonts w:ascii="Arial" w:hAnsi="Arial" w:cs="Arial"/>
          <w:sz w:val="19"/>
          <w:szCs w:val="19"/>
          <w:lang w:val="es-ES"/>
        </w:rPr>
      </w:pPr>
      <w:r>
        <w:rPr>
          <w:rFonts w:ascii="Arial" w:eastAsia="Calibri"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79A"/>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9E2"/>
    <w:rsid w:val="00020F8F"/>
    <w:rsid w:val="00021A95"/>
    <w:rsid w:val="000220D9"/>
    <w:rsid w:val="0002256F"/>
    <w:rsid w:val="00023DAE"/>
    <w:rsid w:val="00024855"/>
    <w:rsid w:val="00024896"/>
    <w:rsid w:val="00025D0A"/>
    <w:rsid w:val="000263F0"/>
    <w:rsid w:val="00026407"/>
    <w:rsid w:val="00026608"/>
    <w:rsid w:val="00027787"/>
    <w:rsid w:val="000278D2"/>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A41"/>
    <w:rsid w:val="00051DC3"/>
    <w:rsid w:val="000526F0"/>
    <w:rsid w:val="0005273D"/>
    <w:rsid w:val="00052B79"/>
    <w:rsid w:val="00052E4B"/>
    <w:rsid w:val="00052EA0"/>
    <w:rsid w:val="000536A7"/>
    <w:rsid w:val="000536E3"/>
    <w:rsid w:val="00053896"/>
    <w:rsid w:val="00053A00"/>
    <w:rsid w:val="0005474D"/>
    <w:rsid w:val="00054D74"/>
    <w:rsid w:val="00054E55"/>
    <w:rsid w:val="00055CB9"/>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CDB"/>
    <w:rsid w:val="00092DCA"/>
    <w:rsid w:val="00093ECD"/>
    <w:rsid w:val="000942EB"/>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62F"/>
    <w:rsid w:val="000A3B49"/>
    <w:rsid w:val="000A46FE"/>
    <w:rsid w:val="000A47E6"/>
    <w:rsid w:val="000A52C0"/>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582"/>
    <w:rsid w:val="000D3FDC"/>
    <w:rsid w:val="000D490B"/>
    <w:rsid w:val="000D4E38"/>
    <w:rsid w:val="000D50DB"/>
    <w:rsid w:val="000D5455"/>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166"/>
    <w:rsid w:val="000F4304"/>
    <w:rsid w:val="000F4403"/>
    <w:rsid w:val="000F480B"/>
    <w:rsid w:val="000F4E17"/>
    <w:rsid w:val="000F5615"/>
    <w:rsid w:val="000F6578"/>
    <w:rsid w:val="000F722C"/>
    <w:rsid w:val="000F76BF"/>
    <w:rsid w:val="000F7E8F"/>
    <w:rsid w:val="000F7FBB"/>
    <w:rsid w:val="001000FB"/>
    <w:rsid w:val="00100A9E"/>
    <w:rsid w:val="00100F6A"/>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A9B"/>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FD"/>
    <w:rsid w:val="00143AD6"/>
    <w:rsid w:val="00144335"/>
    <w:rsid w:val="0014502F"/>
    <w:rsid w:val="00145282"/>
    <w:rsid w:val="001453B0"/>
    <w:rsid w:val="001454D9"/>
    <w:rsid w:val="00145D8E"/>
    <w:rsid w:val="00146083"/>
    <w:rsid w:val="001462F7"/>
    <w:rsid w:val="00146432"/>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2552"/>
    <w:rsid w:val="00163D7A"/>
    <w:rsid w:val="00164281"/>
    <w:rsid w:val="00165703"/>
    <w:rsid w:val="00166204"/>
    <w:rsid w:val="0016685F"/>
    <w:rsid w:val="0016712F"/>
    <w:rsid w:val="00167503"/>
    <w:rsid w:val="001676A9"/>
    <w:rsid w:val="00167A15"/>
    <w:rsid w:val="00167A50"/>
    <w:rsid w:val="00167D1A"/>
    <w:rsid w:val="00167DF5"/>
    <w:rsid w:val="00170001"/>
    <w:rsid w:val="00170107"/>
    <w:rsid w:val="00172198"/>
    <w:rsid w:val="00172612"/>
    <w:rsid w:val="00172817"/>
    <w:rsid w:val="001734E3"/>
    <w:rsid w:val="001742BF"/>
    <w:rsid w:val="001742E1"/>
    <w:rsid w:val="00175E49"/>
    <w:rsid w:val="0017649F"/>
    <w:rsid w:val="0017655B"/>
    <w:rsid w:val="001805C1"/>
    <w:rsid w:val="00180A2E"/>
    <w:rsid w:val="00180EF8"/>
    <w:rsid w:val="001813AF"/>
    <w:rsid w:val="001829CD"/>
    <w:rsid w:val="00182F01"/>
    <w:rsid w:val="001833C2"/>
    <w:rsid w:val="00184219"/>
    <w:rsid w:val="00184BBD"/>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61B"/>
    <w:rsid w:val="001B4AA2"/>
    <w:rsid w:val="001B4ADE"/>
    <w:rsid w:val="001B5530"/>
    <w:rsid w:val="001B5EF8"/>
    <w:rsid w:val="001B5F4C"/>
    <w:rsid w:val="001B71E8"/>
    <w:rsid w:val="001C07C6"/>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56E9"/>
    <w:rsid w:val="001D61DE"/>
    <w:rsid w:val="001D796A"/>
    <w:rsid w:val="001D7A84"/>
    <w:rsid w:val="001D7C79"/>
    <w:rsid w:val="001E003B"/>
    <w:rsid w:val="001E1CC4"/>
    <w:rsid w:val="001E1D38"/>
    <w:rsid w:val="001E28A0"/>
    <w:rsid w:val="001E3119"/>
    <w:rsid w:val="001E320D"/>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4B85"/>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4293"/>
    <w:rsid w:val="0022595D"/>
    <w:rsid w:val="00226055"/>
    <w:rsid w:val="0022609C"/>
    <w:rsid w:val="0022613F"/>
    <w:rsid w:val="00226236"/>
    <w:rsid w:val="002270C9"/>
    <w:rsid w:val="00227A8B"/>
    <w:rsid w:val="00230F0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66B"/>
    <w:rsid w:val="00263A37"/>
    <w:rsid w:val="00264266"/>
    <w:rsid w:val="0026471F"/>
    <w:rsid w:val="0026480D"/>
    <w:rsid w:val="002653A6"/>
    <w:rsid w:val="002661F1"/>
    <w:rsid w:val="00266DB6"/>
    <w:rsid w:val="002679AB"/>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454"/>
    <w:rsid w:val="00291784"/>
    <w:rsid w:val="002920DF"/>
    <w:rsid w:val="002929BB"/>
    <w:rsid w:val="00294368"/>
    <w:rsid w:val="00294B78"/>
    <w:rsid w:val="00295416"/>
    <w:rsid w:val="002956FB"/>
    <w:rsid w:val="00295949"/>
    <w:rsid w:val="00295D7C"/>
    <w:rsid w:val="0029624A"/>
    <w:rsid w:val="00296922"/>
    <w:rsid w:val="00297098"/>
    <w:rsid w:val="00297D04"/>
    <w:rsid w:val="002A05D4"/>
    <w:rsid w:val="002A06DB"/>
    <w:rsid w:val="002A09FF"/>
    <w:rsid w:val="002A0E60"/>
    <w:rsid w:val="002A1310"/>
    <w:rsid w:val="002A1A58"/>
    <w:rsid w:val="002A1B02"/>
    <w:rsid w:val="002A1C53"/>
    <w:rsid w:val="002A244B"/>
    <w:rsid w:val="002A28FC"/>
    <w:rsid w:val="002A2B44"/>
    <w:rsid w:val="002A2EA5"/>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EAB"/>
    <w:rsid w:val="002B5F2E"/>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4BC1"/>
    <w:rsid w:val="002D5A1B"/>
    <w:rsid w:val="002D65BC"/>
    <w:rsid w:val="002E055C"/>
    <w:rsid w:val="002E1050"/>
    <w:rsid w:val="002E107E"/>
    <w:rsid w:val="002E18E5"/>
    <w:rsid w:val="002E1953"/>
    <w:rsid w:val="002E2C3F"/>
    <w:rsid w:val="002E2CB5"/>
    <w:rsid w:val="002E2D7D"/>
    <w:rsid w:val="002E32D0"/>
    <w:rsid w:val="002E3C26"/>
    <w:rsid w:val="002E3CF1"/>
    <w:rsid w:val="002E3D76"/>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40E2"/>
    <w:rsid w:val="002F45F6"/>
    <w:rsid w:val="002F5208"/>
    <w:rsid w:val="002F5A6F"/>
    <w:rsid w:val="002F692F"/>
    <w:rsid w:val="002F7575"/>
    <w:rsid w:val="002F7961"/>
    <w:rsid w:val="002F7B66"/>
    <w:rsid w:val="00300CB4"/>
    <w:rsid w:val="00300E24"/>
    <w:rsid w:val="003033BA"/>
    <w:rsid w:val="00303C19"/>
    <w:rsid w:val="003043A3"/>
    <w:rsid w:val="00304BD4"/>
    <w:rsid w:val="0030500A"/>
    <w:rsid w:val="003052EB"/>
    <w:rsid w:val="00305B09"/>
    <w:rsid w:val="00305FCB"/>
    <w:rsid w:val="003063C3"/>
    <w:rsid w:val="003069DC"/>
    <w:rsid w:val="00306B44"/>
    <w:rsid w:val="00307C44"/>
    <w:rsid w:val="003100E1"/>
    <w:rsid w:val="0031088E"/>
    <w:rsid w:val="00310D01"/>
    <w:rsid w:val="00311376"/>
    <w:rsid w:val="0031184C"/>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CD"/>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8DE"/>
    <w:rsid w:val="003454E8"/>
    <w:rsid w:val="00345574"/>
    <w:rsid w:val="0034680A"/>
    <w:rsid w:val="00346C62"/>
    <w:rsid w:val="00347202"/>
    <w:rsid w:val="0034778E"/>
    <w:rsid w:val="00347A5A"/>
    <w:rsid w:val="003501E2"/>
    <w:rsid w:val="00351E10"/>
    <w:rsid w:val="0035213C"/>
    <w:rsid w:val="003533F4"/>
    <w:rsid w:val="003536F6"/>
    <w:rsid w:val="00353DD5"/>
    <w:rsid w:val="00355131"/>
    <w:rsid w:val="00355F74"/>
    <w:rsid w:val="003560DB"/>
    <w:rsid w:val="003564DB"/>
    <w:rsid w:val="00356F87"/>
    <w:rsid w:val="00357E83"/>
    <w:rsid w:val="00360CF3"/>
    <w:rsid w:val="0036137C"/>
    <w:rsid w:val="00361A59"/>
    <w:rsid w:val="003622B1"/>
    <w:rsid w:val="00363348"/>
    <w:rsid w:val="00363857"/>
    <w:rsid w:val="00363D59"/>
    <w:rsid w:val="003640F7"/>
    <w:rsid w:val="0036488B"/>
    <w:rsid w:val="00365D3A"/>
    <w:rsid w:val="003664FF"/>
    <w:rsid w:val="00366BD2"/>
    <w:rsid w:val="003670B8"/>
    <w:rsid w:val="003704A3"/>
    <w:rsid w:val="0037058F"/>
    <w:rsid w:val="003706F2"/>
    <w:rsid w:val="0037124F"/>
    <w:rsid w:val="00373827"/>
    <w:rsid w:val="0037401C"/>
    <w:rsid w:val="00374358"/>
    <w:rsid w:val="0037507B"/>
    <w:rsid w:val="00375C7C"/>
    <w:rsid w:val="00377027"/>
    <w:rsid w:val="00377135"/>
    <w:rsid w:val="00380272"/>
    <w:rsid w:val="003805DB"/>
    <w:rsid w:val="0038152A"/>
    <w:rsid w:val="0038246B"/>
    <w:rsid w:val="00382BAD"/>
    <w:rsid w:val="003835FD"/>
    <w:rsid w:val="00384DF1"/>
    <w:rsid w:val="00384FF3"/>
    <w:rsid w:val="00386456"/>
    <w:rsid w:val="003865A9"/>
    <w:rsid w:val="0039091C"/>
    <w:rsid w:val="0039092B"/>
    <w:rsid w:val="00390F32"/>
    <w:rsid w:val="00390FA0"/>
    <w:rsid w:val="0039135E"/>
    <w:rsid w:val="00391EFC"/>
    <w:rsid w:val="0039285D"/>
    <w:rsid w:val="00392C20"/>
    <w:rsid w:val="0039319C"/>
    <w:rsid w:val="00393577"/>
    <w:rsid w:val="00393CAE"/>
    <w:rsid w:val="003945F4"/>
    <w:rsid w:val="00394EB5"/>
    <w:rsid w:val="003953B4"/>
    <w:rsid w:val="0039615F"/>
    <w:rsid w:val="003966A0"/>
    <w:rsid w:val="00396837"/>
    <w:rsid w:val="00396A29"/>
    <w:rsid w:val="00397FF0"/>
    <w:rsid w:val="003A0878"/>
    <w:rsid w:val="003A1561"/>
    <w:rsid w:val="003A1CB2"/>
    <w:rsid w:val="003A1D25"/>
    <w:rsid w:val="003A2002"/>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C031F"/>
    <w:rsid w:val="003C0C0F"/>
    <w:rsid w:val="003C0D1F"/>
    <w:rsid w:val="003C116A"/>
    <w:rsid w:val="003C1AF4"/>
    <w:rsid w:val="003C1CB8"/>
    <w:rsid w:val="003C22DA"/>
    <w:rsid w:val="003C2550"/>
    <w:rsid w:val="003C287F"/>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B98"/>
    <w:rsid w:val="003D0C3C"/>
    <w:rsid w:val="003D0DE5"/>
    <w:rsid w:val="003D1351"/>
    <w:rsid w:val="003D1712"/>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C15"/>
    <w:rsid w:val="003F23D1"/>
    <w:rsid w:val="003F2A86"/>
    <w:rsid w:val="003F300D"/>
    <w:rsid w:val="003F391F"/>
    <w:rsid w:val="003F3DE6"/>
    <w:rsid w:val="003F3FA1"/>
    <w:rsid w:val="003F4599"/>
    <w:rsid w:val="003F45E1"/>
    <w:rsid w:val="003F4F6C"/>
    <w:rsid w:val="003F559E"/>
    <w:rsid w:val="003F6098"/>
    <w:rsid w:val="003F6181"/>
    <w:rsid w:val="003F6BFC"/>
    <w:rsid w:val="003F6CE8"/>
    <w:rsid w:val="003F6D87"/>
    <w:rsid w:val="003F7343"/>
    <w:rsid w:val="00400002"/>
    <w:rsid w:val="00400054"/>
    <w:rsid w:val="00400134"/>
    <w:rsid w:val="004004C2"/>
    <w:rsid w:val="004016A3"/>
    <w:rsid w:val="00401B31"/>
    <w:rsid w:val="0040202B"/>
    <w:rsid w:val="00402224"/>
    <w:rsid w:val="00402435"/>
    <w:rsid w:val="00402DE1"/>
    <w:rsid w:val="00402EEB"/>
    <w:rsid w:val="004037C2"/>
    <w:rsid w:val="00404041"/>
    <w:rsid w:val="00404B43"/>
    <w:rsid w:val="00404C61"/>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69A5"/>
    <w:rsid w:val="004170D7"/>
    <w:rsid w:val="004177A6"/>
    <w:rsid w:val="00417C23"/>
    <w:rsid w:val="00417EFD"/>
    <w:rsid w:val="004200EE"/>
    <w:rsid w:val="00420786"/>
    <w:rsid w:val="004209D2"/>
    <w:rsid w:val="00420D6E"/>
    <w:rsid w:val="0042158C"/>
    <w:rsid w:val="00421617"/>
    <w:rsid w:val="00421BD2"/>
    <w:rsid w:val="00421E00"/>
    <w:rsid w:val="00421FCB"/>
    <w:rsid w:val="0042244C"/>
    <w:rsid w:val="00422DCA"/>
    <w:rsid w:val="00423D04"/>
    <w:rsid w:val="00423F9F"/>
    <w:rsid w:val="00425C43"/>
    <w:rsid w:val="004273FA"/>
    <w:rsid w:val="004275A7"/>
    <w:rsid w:val="00430186"/>
    <w:rsid w:val="00430F17"/>
    <w:rsid w:val="0043269A"/>
    <w:rsid w:val="004333C2"/>
    <w:rsid w:val="00433415"/>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259"/>
    <w:rsid w:val="0044772C"/>
    <w:rsid w:val="00447C11"/>
    <w:rsid w:val="00447F11"/>
    <w:rsid w:val="00450846"/>
    <w:rsid w:val="00451847"/>
    <w:rsid w:val="00451A52"/>
    <w:rsid w:val="004521DA"/>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2CE"/>
    <w:rsid w:val="00460915"/>
    <w:rsid w:val="00460946"/>
    <w:rsid w:val="004614A9"/>
    <w:rsid w:val="00461E97"/>
    <w:rsid w:val="0046268F"/>
    <w:rsid w:val="0046284F"/>
    <w:rsid w:val="00462B10"/>
    <w:rsid w:val="00462BB1"/>
    <w:rsid w:val="00462C04"/>
    <w:rsid w:val="0046320A"/>
    <w:rsid w:val="004636CC"/>
    <w:rsid w:val="004638E2"/>
    <w:rsid w:val="00464030"/>
    <w:rsid w:val="004643B0"/>
    <w:rsid w:val="004643F0"/>
    <w:rsid w:val="004647F8"/>
    <w:rsid w:val="004647FB"/>
    <w:rsid w:val="00465347"/>
    <w:rsid w:val="00465677"/>
    <w:rsid w:val="0046650F"/>
    <w:rsid w:val="00466616"/>
    <w:rsid w:val="00466A0C"/>
    <w:rsid w:val="00466A53"/>
    <w:rsid w:val="00470A6A"/>
    <w:rsid w:val="00470D73"/>
    <w:rsid w:val="00470D92"/>
    <w:rsid w:val="0047179C"/>
    <w:rsid w:val="00471DF7"/>
    <w:rsid w:val="004721A4"/>
    <w:rsid w:val="004734CF"/>
    <w:rsid w:val="0047586C"/>
    <w:rsid w:val="00475C5A"/>
    <w:rsid w:val="00475C9C"/>
    <w:rsid w:val="0047676B"/>
    <w:rsid w:val="0047773C"/>
    <w:rsid w:val="004777DF"/>
    <w:rsid w:val="00477C5F"/>
    <w:rsid w:val="00480050"/>
    <w:rsid w:val="0048011C"/>
    <w:rsid w:val="004808DE"/>
    <w:rsid w:val="00481AC4"/>
    <w:rsid w:val="00481DC1"/>
    <w:rsid w:val="00482507"/>
    <w:rsid w:val="0048268A"/>
    <w:rsid w:val="004831B1"/>
    <w:rsid w:val="004835CA"/>
    <w:rsid w:val="004836F8"/>
    <w:rsid w:val="004836FE"/>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85A"/>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4D2"/>
    <w:rsid w:val="004A4301"/>
    <w:rsid w:val="004A4587"/>
    <w:rsid w:val="004A45E5"/>
    <w:rsid w:val="004A4D93"/>
    <w:rsid w:val="004A58EE"/>
    <w:rsid w:val="004A59B7"/>
    <w:rsid w:val="004A6051"/>
    <w:rsid w:val="004A623B"/>
    <w:rsid w:val="004A6A04"/>
    <w:rsid w:val="004A6A52"/>
    <w:rsid w:val="004B07AC"/>
    <w:rsid w:val="004B0A44"/>
    <w:rsid w:val="004B0F0B"/>
    <w:rsid w:val="004B2197"/>
    <w:rsid w:val="004B281F"/>
    <w:rsid w:val="004B298A"/>
    <w:rsid w:val="004B50CB"/>
    <w:rsid w:val="004B578D"/>
    <w:rsid w:val="004B5BE7"/>
    <w:rsid w:val="004B5E2D"/>
    <w:rsid w:val="004B6C07"/>
    <w:rsid w:val="004B74D3"/>
    <w:rsid w:val="004B755E"/>
    <w:rsid w:val="004B788E"/>
    <w:rsid w:val="004B7E5D"/>
    <w:rsid w:val="004C0CC6"/>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31EE"/>
    <w:rsid w:val="004D36AF"/>
    <w:rsid w:val="004D3BD1"/>
    <w:rsid w:val="004D4BA1"/>
    <w:rsid w:val="004D584D"/>
    <w:rsid w:val="004D5A7E"/>
    <w:rsid w:val="004D6120"/>
    <w:rsid w:val="004D6826"/>
    <w:rsid w:val="004E023F"/>
    <w:rsid w:val="004E0546"/>
    <w:rsid w:val="004E0742"/>
    <w:rsid w:val="004E0C64"/>
    <w:rsid w:val="004E0F6B"/>
    <w:rsid w:val="004E133F"/>
    <w:rsid w:val="004E1545"/>
    <w:rsid w:val="004E1F1C"/>
    <w:rsid w:val="004E2A35"/>
    <w:rsid w:val="004E3912"/>
    <w:rsid w:val="004E40CE"/>
    <w:rsid w:val="004E5736"/>
    <w:rsid w:val="004E5A3C"/>
    <w:rsid w:val="004E5B36"/>
    <w:rsid w:val="004E5D5D"/>
    <w:rsid w:val="004E6045"/>
    <w:rsid w:val="004E6F43"/>
    <w:rsid w:val="004E7200"/>
    <w:rsid w:val="004E787E"/>
    <w:rsid w:val="004E7AA1"/>
    <w:rsid w:val="004F0960"/>
    <w:rsid w:val="004F0A5C"/>
    <w:rsid w:val="004F0A79"/>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4A"/>
    <w:rsid w:val="004F66BC"/>
    <w:rsid w:val="004F6C26"/>
    <w:rsid w:val="004F7AC9"/>
    <w:rsid w:val="0050062F"/>
    <w:rsid w:val="00500E74"/>
    <w:rsid w:val="00500EBB"/>
    <w:rsid w:val="0050160F"/>
    <w:rsid w:val="0050284E"/>
    <w:rsid w:val="00502911"/>
    <w:rsid w:val="0050306F"/>
    <w:rsid w:val="00503EC8"/>
    <w:rsid w:val="00505DCB"/>
    <w:rsid w:val="005075CA"/>
    <w:rsid w:val="00507B06"/>
    <w:rsid w:val="00507BF1"/>
    <w:rsid w:val="0051074C"/>
    <w:rsid w:val="00510DE9"/>
    <w:rsid w:val="005111E2"/>
    <w:rsid w:val="00511231"/>
    <w:rsid w:val="00512C10"/>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7532"/>
    <w:rsid w:val="00527DEB"/>
    <w:rsid w:val="00527E57"/>
    <w:rsid w:val="00527F2C"/>
    <w:rsid w:val="005302C8"/>
    <w:rsid w:val="00530405"/>
    <w:rsid w:val="00530522"/>
    <w:rsid w:val="005305E5"/>
    <w:rsid w:val="0053086F"/>
    <w:rsid w:val="00530CBA"/>
    <w:rsid w:val="00530F38"/>
    <w:rsid w:val="00531F26"/>
    <w:rsid w:val="0053277C"/>
    <w:rsid w:val="005327C0"/>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18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045F"/>
    <w:rsid w:val="00551098"/>
    <w:rsid w:val="00551598"/>
    <w:rsid w:val="0055162B"/>
    <w:rsid w:val="00551A56"/>
    <w:rsid w:val="00551BFF"/>
    <w:rsid w:val="00551D68"/>
    <w:rsid w:val="00551DFF"/>
    <w:rsid w:val="005525C9"/>
    <w:rsid w:val="00552B3E"/>
    <w:rsid w:val="00552E2B"/>
    <w:rsid w:val="005535B9"/>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1F12"/>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7C3"/>
    <w:rsid w:val="00590F1A"/>
    <w:rsid w:val="00591C03"/>
    <w:rsid w:val="00591E2A"/>
    <w:rsid w:val="005923C4"/>
    <w:rsid w:val="005938C3"/>
    <w:rsid w:val="00593D5E"/>
    <w:rsid w:val="00593EA2"/>
    <w:rsid w:val="00593F75"/>
    <w:rsid w:val="005940A0"/>
    <w:rsid w:val="0059429A"/>
    <w:rsid w:val="00594CBE"/>
    <w:rsid w:val="00596476"/>
    <w:rsid w:val="00596AF7"/>
    <w:rsid w:val="00596CCE"/>
    <w:rsid w:val="005A1940"/>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2E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F3E"/>
    <w:rsid w:val="005D065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1B66"/>
    <w:rsid w:val="00601FC4"/>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1BD"/>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D0C"/>
    <w:rsid w:val="00622229"/>
    <w:rsid w:val="00622470"/>
    <w:rsid w:val="00622725"/>
    <w:rsid w:val="00622F26"/>
    <w:rsid w:val="006231AA"/>
    <w:rsid w:val="00623482"/>
    <w:rsid w:val="00623AC2"/>
    <w:rsid w:val="00623EBC"/>
    <w:rsid w:val="00624C34"/>
    <w:rsid w:val="00625642"/>
    <w:rsid w:val="00626133"/>
    <w:rsid w:val="006266D7"/>
    <w:rsid w:val="00626D1E"/>
    <w:rsid w:val="00626D42"/>
    <w:rsid w:val="00626EE3"/>
    <w:rsid w:val="006274AD"/>
    <w:rsid w:val="00627519"/>
    <w:rsid w:val="00627532"/>
    <w:rsid w:val="006302AA"/>
    <w:rsid w:val="006307FD"/>
    <w:rsid w:val="006310C3"/>
    <w:rsid w:val="006312E1"/>
    <w:rsid w:val="0063161E"/>
    <w:rsid w:val="00631BB5"/>
    <w:rsid w:val="00631DD0"/>
    <w:rsid w:val="0063277A"/>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59D5"/>
    <w:rsid w:val="00645CEB"/>
    <w:rsid w:val="00646B20"/>
    <w:rsid w:val="00646C9D"/>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72A7"/>
    <w:rsid w:val="006573EA"/>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C52"/>
    <w:rsid w:val="00673ECF"/>
    <w:rsid w:val="0067426B"/>
    <w:rsid w:val="00674633"/>
    <w:rsid w:val="00674A1B"/>
    <w:rsid w:val="00674F1C"/>
    <w:rsid w:val="006754F8"/>
    <w:rsid w:val="00675683"/>
    <w:rsid w:val="00676127"/>
    <w:rsid w:val="00676AED"/>
    <w:rsid w:val="00677212"/>
    <w:rsid w:val="00677B26"/>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579"/>
    <w:rsid w:val="00690839"/>
    <w:rsid w:val="006908DB"/>
    <w:rsid w:val="00690DE9"/>
    <w:rsid w:val="00691563"/>
    <w:rsid w:val="00691DE9"/>
    <w:rsid w:val="00691EAA"/>
    <w:rsid w:val="00692245"/>
    <w:rsid w:val="00692745"/>
    <w:rsid w:val="00692FFA"/>
    <w:rsid w:val="00693151"/>
    <w:rsid w:val="00693772"/>
    <w:rsid w:val="00693984"/>
    <w:rsid w:val="00693B77"/>
    <w:rsid w:val="00694160"/>
    <w:rsid w:val="006959A5"/>
    <w:rsid w:val="00695C0C"/>
    <w:rsid w:val="00696736"/>
    <w:rsid w:val="00696A05"/>
    <w:rsid w:val="00697665"/>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4F60"/>
    <w:rsid w:val="006A55EE"/>
    <w:rsid w:val="006A575B"/>
    <w:rsid w:val="006A59DE"/>
    <w:rsid w:val="006A64C6"/>
    <w:rsid w:val="006A6655"/>
    <w:rsid w:val="006A6BF9"/>
    <w:rsid w:val="006A7CB5"/>
    <w:rsid w:val="006A7FD0"/>
    <w:rsid w:val="006B025C"/>
    <w:rsid w:val="006B08ED"/>
    <w:rsid w:val="006B2534"/>
    <w:rsid w:val="006B2CB2"/>
    <w:rsid w:val="006B347D"/>
    <w:rsid w:val="006B3E19"/>
    <w:rsid w:val="006B4488"/>
    <w:rsid w:val="006B50C4"/>
    <w:rsid w:val="006B53AE"/>
    <w:rsid w:val="006B58B4"/>
    <w:rsid w:val="006B67AC"/>
    <w:rsid w:val="006B786A"/>
    <w:rsid w:val="006B7E4E"/>
    <w:rsid w:val="006C003A"/>
    <w:rsid w:val="006C0630"/>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708"/>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E86"/>
    <w:rsid w:val="006E602F"/>
    <w:rsid w:val="006E6720"/>
    <w:rsid w:val="006E7275"/>
    <w:rsid w:val="006E77B8"/>
    <w:rsid w:val="006E77DF"/>
    <w:rsid w:val="006E7AAF"/>
    <w:rsid w:val="006F0F74"/>
    <w:rsid w:val="006F13BA"/>
    <w:rsid w:val="006F15CC"/>
    <w:rsid w:val="006F15F6"/>
    <w:rsid w:val="006F2AE6"/>
    <w:rsid w:val="006F36EA"/>
    <w:rsid w:val="006F4147"/>
    <w:rsid w:val="006F4315"/>
    <w:rsid w:val="006F4CB0"/>
    <w:rsid w:val="006F4F78"/>
    <w:rsid w:val="006F547E"/>
    <w:rsid w:val="006F5CCF"/>
    <w:rsid w:val="006F6469"/>
    <w:rsid w:val="006F6D87"/>
    <w:rsid w:val="006F6F04"/>
    <w:rsid w:val="006F71F5"/>
    <w:rsid w:val="006F7EB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03"/>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3040"/>
    <w:rsid w:val="00723251"/>
    <w:rsid w:val="00723475"/>
    <w:rsid w:val="007236C4"/>
    <w:rsid w:val="00724635"/>
    <w:rsid w:val="00724F21"/>
    <w:rsid w:val="00725134"/>
    <w:rsid w:val="0072554B"/>
    <w:rsid w:val="00725AFD"/>
    <w:rsid w:val="00726603"/>
    <w:rsid w:val="007266AC"/>
    <w:rsid w:val="00726758"/>
    <w:rsid w:val="00727B1D"/>
    <w:rsid w:val="00727DDC"/>
    <w:rsid w:val="00730CD6"/>
    <w:rsid w:val="00730F74"/>
    <w:rsid w:val="0073114B"/>
    <w:rsid w:val="00732029"/>
    <w:rsid w:val="00732151"/>
    <w:rsid w:val="007341D8"/>
    <w:rsid w:val="00734952"/>
    <w:rsid w:val="00734990"/>
    <w:rsid w:val="00734FF5"/>
    <w:rsid w:val="00735B78"/>
    <w:rsid w:val="00735DA7"/>
    <w:rsid w:val="00736700"/>
    <w:rsid w:val="007368B4"/>
    <w:rsid w:val="007378E0"/>
    <w:rsid w:val="00740529"/>
    <w:rsid w:val="00740876"/>
    <w:rsid w:val="00740F18"/>
    <w:rsid w:val="00741358"/>
    <w:rsid w:val="00741626"/>
    <w:rsid w:val="00742332"/>
    <w:rsid w:val="00742886"/>
    <w:rsid w:val="00742DD2"/>
    <w:rsid w:val="007437C6"/>
    <w:rsid w:val="007441A2"/>
    <w:rsid w:val="00744861"/>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581"/>
    <w:rsid w:val="00764EC5"/>
    <w:rsid w:val="007651EF"/>
    <w:rsid w:val="0076559A"/>
    <w:rsid w:val="00765E92"/>
    <w:rsid w:val="0076638F"/>
    <w:rsid w:val="00766D49"/>
    <w:rsid w:val="00766ECC"/>
    <w:rsid w:val="007672F3"/>
    <w:rsid w:val="007674AC"/>
    <w:rsid w:val="007677B5"/>
    <w:rsid w:val="007678B1"/>
    <w:rsid w:val="00767BE6"/>
    <w:rsid w:val="007708A8"/>
    <w:rsid w:val="00772100"/>
    <w:rsid w:val="0077227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72E"/>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41"/>
    <w:rsid w:val="007A2754"/>
    <w:rsid w:val="007A2C1F"/>
    <w:rsid w:val="007A38A1"/>
    <w:rsid w:val="007A3BBE"/>
    <w:rsid w:val="007A4766"/>
    <w:rsid w:val="007A5947"/>
    <w:rsid w:val="007A717B"/>
    <w:rsid w:val="007A7714"/>
    <w:rsid w:val="007B0313"/>
    <w:rsid w:val="007B0854"/>
    <w:rsid w:val="007B0E48"/>
    <w:rsid w:val="007B1223"/>
    <w:rsid w:val="007B1D1B"/>
    <w:rsid w:val="007B21AA"/>
    <w:rsid w:val="007B2504"/>
    <w:rsid w:val="007B303E"/>
    <w:rsid w:val="007B32C0"/>
    <w:rsid w:val="007B32F7"/>
    <w:rsid w:val="007B35E6"/>
    <w:rsid w:val="007B3659"/>
    <w:rsid w:val="007B38B5"/>
    <w:rsid w:val="007B3BF3"/>
    <w:rsid w:val="007B431B"/>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1BB"/>
    <w:rsid w:val="007B7EA2"/>
    <w:rsid w:val="007C097D"/>
    <w:rsid w:val="007C0AF2"/>
    <w:rsid w:val="007C1672"/>
    <w:rsid w:val="007C17AE"/>
    <w:rsid w:val="007C312A"/>
    <w:rsid w:val="007C3570"/>
    <w:rsid w:val="007C3F3B"/>
    <w:rsid w:val="007C4241"/>
    <w:rsid w:val="007C425E"/>
    <w:rsid w:val="007C55FF"/>
    <w:rsid w:val="007C6339"/>
    <w:rsid w:val="007C753F"/>
    <w:rsid w:val="007C7C43"/>
    <w:rsid w:val="007C7F0D"/>
    <w:rsid w:val="007D06E3"/>
    <w:rsid w:val="007D09E4"/>
    <w:rsid w:val="007D0C4B"/>
    <w:rsid w:val="007D1134"/>
    <w:rsid w:val="007D231B"/>
    <w:rsid w:val="007D23F7"/>
    <w:rsid w:val="007D2566"/>
    <w:rsid w:val="007D2C18"/>
    <w:rsid w:val="007D2D74"/>
    <w:rsid w:val="007D3693"/>
    <w:rsid w:val="007D3914"/>
    <w:rsid w:val="007D3C6D"/>
    <w:rsid w:val="007D4050"/>
    <w:rsid w:val="007D481A"/>
    <w:rsid w:val="007D4ED0"/>
    <w:rsid w:val="007D5648"/>
    <w:rsid w:val="007D58C5"/>
    <w:rsid w:val="007D5DE8"/>
    <w:rsid w:val="007D7B1C"/>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BBB"/>
    <w:rsid w:val="00802F9E"/>
    <w:rsid w:val="00803700"/>
    <w:rsid w:val="00803D9D"/>
    <w:rsid w:val="00803E53"/>
    <w:rsid w:val="00805898"/>
    <w:rsid w:val="008059C6"/>
    <w:rsid w:val="00805AD7"/>
    <w:rsid w:val="00805BD6"/>
    <w:rsid w:val="00805C1F"/>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39A"/>
    <w:rsid w:val="0081766B"/>
    <w:rsid w:val="008205AC"/>
    <w:rsid w:val="00820705"/>
    <w:rsid w:val="00820713"/>
    <w:rsid w:val="00820CBF"/>
    <w:rsid w:val="00820FA8"/>
    <w:rsid w:val="008212FD"/>
    <w:rsid w:val="00821489"/>
    <w:rsid w:val="008217B7"/>
    <w:rsid w:val="0082239B"/>
    <w:rsid w:val="0082292E"/>
    <w:rsid w:val="00822D06"/>
    <w:rsid w:val="00822EC4"/>
    <w:rsid w:val="0082348D"/>
    <w:rsid w:val="008236BE"/>
    <w:rsid w:val="00823EC5"/>
    <w:rsid w:val="008241CE"/>
    <w:rsid w:val="00825240"/>
    <w:rsid w:val="00825B43"/>
    <w:rsid w:val="0082633B"/>
    <w:rsid w:val="00826F71"/>
    <w:rsid w:val="00827CC0"/>
    <w:rsid w:val="008306AB"/>
    <w:rsid w:val="00831026"/>
    <w:rsid w:val="0083119B"/>
    <w:rsid w:val="008316E3"/>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1FC9"/>
    <w:rsid w:val="0085304C"/>
    <w:rsid w:val="008536BB"/>
    <w:rsid w:val="00853A3C"/>
    <w:rsid w:val="008543D6"/>
    <w:rsid w:val="008548CA"/>
    <w:rsid w:val="00856C06"/>
    <w:rsid w:val="0085790B"/>
    <w:rsid w:val="008579B9"/>
    <w:rsid w:val="00857C95"/>
    <w:rsid w:val="00857E78"/>
    <w:rsid w:val="00860AEF"/>
    <w:rsid w:val="00860B18"/>
    <w:rsid w:val="00860D5E"/>
    <w:rsid w:val="0086122C"/>
    <w:rsid w:val="00861310"/>
    <w:rsid w:val="00861F53"/>
    <w:rsid w:val="008623A7"/>
    <w:rsid w:val="0086289E"/>
    <w:rsid w:val="008629CB"/>
    <w:rsid w:val="00863438"/>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45C"/>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A7F14"/>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DBA"/>
    <w:rsid w:val="008C24E7"/>
    <w:rsid w:val="008C2500"/>
    <w:rsid w:val="008C2CAC"/>
    <w:rsid w:val="008C3C57"/>
    <w:rsid w:val="008C3E2A"/>
    <w:rsid w:val="008C45BD"/>
    <w:rsid w:val="008C4B19"/>
    <w:rsid w:val="008C4F47"/>
    <w:rsid w:val="008C5194"/>
    <w:rsid w:val="008C62D4"/>
    <w:rsid w:val="008C6B89"/>
    <w:rsid w:val="008C6B97"/>
    <w:rsid w:val="008C7EF7"/>
    <w:rsid w:val="008D18AA"/>
    <w:rsid w:val="008D1A2A"/>
    <w:rsid w:val="008D1ADE"/>
    <w:rsid w:val="008D2986"/>
    <w:rsid w:val="008D35D9"/>
    <w:rsid w:val="008D3B36"/>
    <w:rsid w:val="008D3B85"/>
    <w:rsid w:val="008D4091"/>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53F"/>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95C"/>
    <w:rsid w:val="008E7D6E"/>
    <w:rsid w:val="008E7E04"/>
    <w:rsid w:val="008F1056"/>
    <w:rsid w:val="008F1E70"/>
    <w:rsid w:val="008F2080"/>
    <w:rsid w:val="008F220A"/>
    <w:rsid w:val="008F2E8D"/>
    <w:rsid w:val="008F361D"/>
    <w:rsid w:val="008F387B"/>
    <w:rsid w:val="008F3DD9"/>
    <w:rsid w:val="008F4163"/>
    <w:rsid w:val="008F4814"/>
    <w:rsid w:val="008F4B18"/>
    <w:rsid w:val="008F4DA6"/>
    <w:rsid w:val="008F538E"/>
    <w:rsid w:val="008F5A20"/>
    <w:rsid w:val="008F5ABA"/>
    <w:rsid w:val="008F71AB"/>
    <w:rsid w:val="008F7905"/>
    <w:rsid w:val="008F7989"/>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528"/>
    <w:rsid w:val="00916AFE"/>
    <w:rsid w:val="00916C68"/>
    <w:rsid w:val="00916FC8"/>
    <w:rsid w:val="009170D3"/>
    <w:rsid w:val="0091759C"/>
    <w:rsid w:val="00920026"/>
    <w:rsid w:val="009203E2"/>
    <w:rsid w:val="00920F61"/>
    <w:rsid w:val="0092119E"/>
    <w:rsid w:val="00921304"/>
    <w:rsid w:val="00921395"/>
    <w:rsid w:val="009213B0"/>
    <w:rsid w:val="00921805"/>
    <w:rsid w:val="00921E63"/>
    <w:rsid w:val="00922B4A"/>
    <w:rsid w:val="00923396"/>
    <w:rsid w:val="00923F56"/>
    <w:rsid w:val="00924770"/>
    <w:rsid w:val="00925346"/>
    <w:rsid w:val="00925743"/>
    <w:rsid w:val="0092579F"/>
    <w:rsid w:val="00926068"/>
    <w:rsid w:val="00927E8D"/>
    <w:rsid w:val="00927F23"/>
    <w:rsid w:val="009307CD"/>
    <w:rsid w:val="00931364"/>
    <w:rsid w:val="00931365"/>
    <w:rsid w:val="00931451"/>
    <w:rsid w:val="009314FA"/>
    <w:rsid w:val="0093194F"/>
    <w:rsid w:val="00931BF3"/>
    <w:rsid w:val="00931C55"/>
    <w:rsid w:val="00933217"/>
    <w:rsid w:val="00933333"/>
    <w:rsid w:val="0093349A"/>
    <w:rsid w:val="009338BA"/>
    <w:rsid w:val="00933FCB"/>
    <w:rsid w:val="009346C8"/>
    <w:rsid w:val="00934CEC"/>
    <w:rsid w:val="00934E69"/>
    <w:rsid w:val="00935CF8"/>
    <w:rsid w:val="00935E70"/>
    <w:rsid w:val="00935FEA"/>
    <w:rsid w:val="0093609A"/>
    <w:rsid w:val="00937401"/>
    <w:rsid w:val="009376FB"/>
    <w:rsid w:val="00937D6B"/>
    <w:rsid w:val="00940477"/>
    <w:rsid w:val="00940876"/>
    <w:rsid w:val="00940A53"/>
    <w:rsid w:val="00940F3C"/>
    <w:rsid w:val="009410E0"/>
    <w:rsid w:val="009419E9"/>
    <w:rsid w:val="00941A2D"/>
    <w:rsid w:val="00941FA9"/>
    <w:rsid w:val="00942DD0"/>
    <w:rsid w:val="009439B6"/>
    <w:rsid w:val="009444B4"/>
    <w:rsid w:val="00944644"/>
    <w:rsid w:val="00946A24"/>
    <w:rsid w:val="009470D4"/>
    <w:rsid w:val="00947337"/>
    <w:rsid w:val="00947E6E"/>
    <w:rsid w:val="0095041D"/>
    <w:rsid w:val="009512FA"/>
    <w:rsid w:val="009516A9"/>
    <w:rsid w:val="00951E52"/>
    <w:rsid w:val="00951E57"/>
    <w:rsid w:val="00952350"/>
    <w:rsid w:val="00952505"/>
    <w:rsid w:val="00953018"/>
    <w:rsid w:val="009533E2"/>
    <w:rsid w:val="00953554"/>
    <w:rsid w:val="0095385A"/>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3550"/>
    <w:rsid w:val="00964138"/>
    <w:rsid w:val="009648D6"/>
    <w:rsid w:val="009649AE"/>
    <w:rsid w:val="00964B3F"/>
    <w:rsid w:val="00964C98"/>
    <w:rsid w:val="00967BEF"/>
    <w:rsid w:val="00971441"/>
    <w:rsid w:val="009715D4"/>
    <w:rsid w:val="0097179A"/>
    <w:rsid w:val="00972036"/>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2B26"/>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413"/>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925"/>
    <w:rsid w:val="009D1A14"/>
    <w:rsid w:val="009D1E2A"/>
    <w:rsid w:val="009D1FA0"/>
    <w:rsid w:val="009D28AB"/>
    <w:rsid w:val="009D2BDF"/>
    <w:rsid w:val="009D3736"/>
    <w:rsid w:val="009D4529"/>
    <w:rsid w:val="009D604F"/>
    <w:rsid w:val="009D61BB"/>
    <w:rsid w:val="009D6410"/>
    <w:rsid w:val="009D68BB"/>
    <w:rsid w:val="009D690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7263"/>
    <w:rsid w:val="009F76EA"/>
    <w:rsid w:val="009F78EB"/>
    <w:rsid w:val="009F7DB2"/>
    <w:rsid w:val="009F7DF9"/>
    <w:rsid w:val="009F7F32"/>
    <w:rsid w:val="009F7FEB"/>
    <w:rsid w:val="00A003D5"/>
    <w:rsid w:val="00A0056C"/>
    <w:rsid w:val="00A00BC2"/>
    <w:rsid w:val="00A00BEF"/>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5CFF"/>
    <w:rsid w:val="00A066C3"/>
    <w:rsid w:val="00A06754"/>
    <w:rsid w:val="00A069E0"/>
    <w:rsid w:val="00A06E4A"/>
    <w:rsid w:val="00A070E9"/>
    <w:rsid w:val="00A078FB"/>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AB3"/>
    <w:rsid w:val="00A27FB6"/>
    <w:rsid w:val="00A30121"/>
    <w:rsid w:val="00A30368"/>
    <w:rsid w:val="00A3043A"/>
    <w:rsid w:val="00A30E02"/>
    <w:rsid w:val="00A30F6A"/>
    <w:rsid w:val="00A31C3E"/>
    <w:rsid w:val="00A32254"/>
    <w:rsid w:val="00A32A8C"/>
    <w:rsid w:val="00A33116"/>
    <w:rsid w:val="00A34538"/>
    <w:rsid w:val="00A34677"/>
    <w:rsid w:val="00A3540F"/>
    <w:rsid w:val="00A35630"/>
    <w:rsid w:val="00A35914"/>
    <w:rsid w:val="00A36189"/>
    <w:rsid w:val="00A37054"/>
    <w:rsid w:val="00A37E73"/>
    <w:rsid w:val="00A37FB6"/>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097A"/>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D21"/>
    <w:rsid w:val="00A80085"/>
    <w:rsid w:val="00A8043B"/>
    <w:rsid w:val="00A80849"/>
    <w:rsid w:val="00A80DA0"/>
    <w:rsid w:val="00A81323"/>
    <w:rsid w:val="00A820CB"/>
    <w:rsid w:val="00A82342"/>
    <w:rsid w:val="00A8236F"/>
    <w:rsid w:val="00A83BEF"/>
    <w:rsid w:val="00A840C9"/>
    <w:rsid w:val="00A84443"/>
    <w:rsid w:val="00A8483D"/>
    <w:rsid w:val="00A8487F"/>
    <w:rsid w:val="00A849A3"/>
    <w:rsid w:val="00A84A0E"/>
    <w:rsid w:val="00A8575D"/>
    <w:rsid w:val="00A86E0B"/>
    <w:rsid w:val="00A90792"/>
    <w:rsid w:val="00A90F12"/>
    <w:rsid w:val="00A91DAA"/>
    <w:rsid w:val="00A91EFC"/>
    <w:rsid w:val="00A9221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3E8"/>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C19"/>
    <w:rsid w:val="00AB724B"/>
    <w:rsid w:val="00AB726C"/>
    <w:rsid w:val="00AB72B4"/>
    <w:rsid w:val="00AB7411"/>
    <w:rsid w:val="00AB7A7A"/>
    <w:rsid w:val="00AC02AA"/>
    <w:rsid w:val="00AC0537"/>
    <w:rsid w:val="00AC0A84"/>
    <w:rsid w:val="00AC1508"/>
    <w:rsid w:val="00AC2A0B"/>
    <w:rsid w:val="00AC2BEE"/>
    <w:rsid w:val="00AC2E53"/>
    <w:rsid w:val="00AC46B0"/>
    <w:rsid w:val="00AC484F"/>
    <w:rsid w:val="00AC4B20"/>
    <w:rsid w:val="00AC56F2"/>
    <w:rsid w:val="00AC6840"/>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64E"/>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849"/>
    <w:rsid w:val="00B17B91"/>
    <w:rsid w:val="00B20209"/>
    <w:rsid w:val="00B203C9"/>
    <w:rsid w:val="00B2088D"/>
    <w:rsid w:val="00B208FF"/>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0F4"/>
    <w:rsid w:val="00B3346C"/>
    <w:rsid w:val="00B335E4"/>
    <w:rsid w:val="00B33C23"/>
    <w:rsid w:val="00B345B4"/>
    <w:rsid w:val="00B348B1"/>
    <w:rsid w:val="00B34A28"/>
    <w:rsid w:val="00B35046"/>
    <w:rsid w:val="00B35B6A"/>
    <w:rsid w:val="00B35F1B"/>
    <w:rsid w:val="00B36D2B"/>
    <w:rsid w:val="00B37657"/>
    <w:rsid w:val="00B37AFD"/>
    <w:rsid w:val="00B37B07"/>
    <w:rsid w:val="00B4046F"/>
    <w:rsid w:val="00B406B3"/>
    <w:rsid w:val="00B40A36"/>
    <w:rsid w:val="00B4179B"/>
    <w:rsid w:val="00B41BCA"/>
    <w:rsid w:val="00B41D39"/>
    <w:rsid w:val="00B422C0"/>
    <w:rsid w:val="00B426CA"/>
    <w:rsid w:val="00B426E1"/>
    <w:rsid w:val="00B43820"/>
    <w:rsid w:val="00B4387A"/>
    <w:rsid w:val="00B43F42"/>
    <w:rsid w:val="00B44746"/>
    <w:rsid w:val="00B44854"/>
    <w:rsid w:val="00B44BA5"/>
    <w:rsid w:val="00B4554E"/>
    <w:rsid w:val="00B458D0"/>
    <w:rsid w:val="00B46062"/>
    <w:rsid w:val="00B46696"/>
    <w:rsid w:val="00B46925"/>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240"/>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4F28"/>
    <w:rsid w:val="00B75893"/>
    <w:rsid w:val="00B764C9"/>
    <w:rsid w:val="00B771F4"/>
    <w:rsid w:val="00B7762A"/>
    <w:rsid w:val="00B777FA"/>
    <w:rsid w:val="00B77850"/>
    <w:rsid w:val="00B7796B"/>
    <w:rsid w:val="00B80476"/>
    <w:rsid w:val="00B80C72"/>
    <w:rsid w:val="00B81964"/>
    <w:rsid w:val="00B81E6F"/>
    <w:rsid w:val="00B82123"/>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5ED6"/>
    <w:rsid w:val="00B96466"/>
    <w:rsid w:val="00B9691F"/>
    <w:rsid w:val="00B96EEC"/>
    <w:rsid w:val="00B97392"/>
    <w:rsid w:val="00B976C7"/>
    <w:rsid w:val="00B97A73"/>
    <w:rsid w:val="00B97F6C"/>
    <w:rsid w:val="00BA0C54"/>
    <w:rsid w:val="00BA1382"/>
    <w:rsid w:val="00BA15E3"/>
    <w:rsid w:val="00BA1A8C"/>
    <w:rsid w:val="00BA20B6"/>
    <w:rsid w:val="00BA20D8"/>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2A3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133"/>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80B"/>
    <w:rsid w:val="00C04BDB"/>
    <w:rsid w:val="00C052C6"/>
    <w:rsid w:val="00C05A61"/>
    <w:rsid w:val="00C05FBA"/>
    <w:rsid w:val="00C05FEE"/>
    <w:rsid w:val="00C06CCF"/>
    <w:rsid w:val="00C0794D"/>
    <w:rsid w:val="00C10E78"/>
    <w:rsid w:val="00C10EF1"/>
    <w:rsid w:val="00C11063"/>
    <w:rsid w:val="00C1159D"/>
    <w:rsid w:val="00C11B78"/>
    <w:rsid w:val="00C1233E"/>
    <w:rsid w:val="00C12FB3"/>
    <w:rsid w:val="00C138BC"/>
    <w:rsid w:val="00C13D85"/>
    <w:rsid w:val="00C1427C"/>
    <w:rsid w:val="00C145FE"/>
    <w:rsid w:val="00C14639"/>
    <w:rsid w:val="00C14E82"/>
    <w:rsid w:val="00C14FF6"/>
    <w:rsid w:val="00C15A85"/>
    <w:rsid w:val="00C1637C"/>
    <w:rsid w:val="00C1641B"/>
    <w:rsid w:val="00C165FC"/>
    <w:rsid w:val="00C176D5"/>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A7B"/>
    <w:rsid w:val="00C37DC1"/>
    <w:rsid w:val="00C37FFE"/>
    <w:rsid w:val="00C400CB"/>
    <w:rsid w:val="00C40B50"/>
    <w:rsid w:val="00C419E3"/>
    <w:rsid w:val="00C419F4"/>
    <w:rsid w:val="00C41E6A"/>
    <w:rsid w:val="00C42247"/>
    <w:rsid w:val="00C428E7"/>
    <w:rsid w:val="00C432FB"/>
    <w:rsid w:val="00C438A2"/>
    <w:rsid w:val="00C439BE"/>
    <w:rsid w:val="00C44ED4"/>
    <w:rsid w:val="00C4539B"/>
    <w:rsid w:val="00C45466"/>
    <w:rsid w:val="00C455C1"/>
    <w:rsid w:val="00C4581D"/>
    <w:rsid w:val="00C4635B"/>
    <w:rsid w:val="00C47472"/>
    <w:rsid w:val="00C500F0"/>
    <w:rsid w:val="00C504A7"/>
    <w:rsid w:val="00C506C9"/>
    <w:rsid w:val="00C50A16"/>
    <w:rsid w:val="00C51C97"/>
    <w:rsid w:val="00C51C9A"/>
    <w:rsid w:val="00C51D07"/>
    <w:rsid w:val="00C52C68"/>
    <w:rsid w:val="00C52D98"/>
    <w:rsid w:val="00C52DA1"/>
    <w:rsid w:val="00C53D24"/>
    <w:rsid w:val="00C54640"/>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A7B"/>
    <w:rsid w:val="00C62BBB"/>
    <w:rsid w:val="00C6305F"/>
    <w:rsid w:val="00C6325B"/>
    <w:rsid w:val="00C63DDD"/>
    <w:rsid w:val="00C63E99"/>
    <w:rsid w:val="00C649B8"/>
    <w:rsid w:val="00C64A64"/>
    <w:rsid w:val="00C65151"/>
    <w:rsid w:val="00C657F4"/>
    <w:rsid w:val="00C6598D"/>
    <w:rsid w:val="00C660FE"/>
    <w:rsid w:val="00C66119"/>
    <w:rsid w:val="00C66292"/>
    <w:rsid w:val="00C67265"/>
    <w:rsid w:val="00C672A3"/>
    <w:rsid w:val="00C672F1"/>
    <w:rsid w:val="00C673D0"/>
    <w:rsid w:val="00C6742E"/>
    <w:rsid w:val="00C67B0B"/>
    <w:rsid w:val="00C67C0E"/>
    <w:rsid w:val="00C70012"/>
    <w:rsid w:val="00C71E2A"/>
    <w:rsid w:val="00C733BA"/>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0F"/>
    <w:rsid w:val="00CA1691"/>
    <w:rsid w:val="00CA22BA"/>
    <w:rsid w:val="00CA2C26"/>
    <w:rsid w:val="00CA41E7"/>
    <w:rsid w:val="00CA4A99"/>
    <w:rsid w:val="00CA4AD7"/>
    <w:rsid w:val="00CA4D7D"/>
    <w:rsid w:val="00CA5520"/>
    <w:rsid w:val="00CA5812"/>
    <w:rsid w:val="00CA5BD4"/>
    <w:rsid w:val="00CA5C14"/>
    <w:rsid w:val="00CA76FC"/>
    <w:rsid w:val="00CA7E7B"/>
    <w:rsid w:val="00CB0236"/>
    <w:rsid w:val="00CB1881"/>
    <w:rsid w:val="00CB1969"/>
    <w:rsid w:val="00CB19E3"/>
    <w:rsid w:val="00CB2C3A"/>
    <w:rsid w:val="00CB2D38"/>
    <w:rsid w:val="00CB31B4"/>
    <w:rsid w:val="00CB3F36"/>
    <w:rsid w:val="00CB4137"/>
    <w:rsid w:val="00CB50D0"/>
    <w:rsid w:val="00CB52D0"/>
    <w:rsid w:val="00CB5578"/>
    <w:rsid w:val="00CB5671"/>
    <w:rsid w:val="00CB591C"/>
    <w:rsid w:val="00CB5943"/>
    <w:rsid w:val="00CB5DA4"/>
    <w:rsid w:val="00CB61B3"/>
    <w:rsid w:val="00CB6F83"/>
    <w:rsid w:val="00CB72AE"/>
    <w:rsid w:val="00CB7D7F"/>
    <w:rsid w:val="00CC00AA"/>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CB4"/>
    <w:rsid w:val="00CC4E5D"/>
    <w:rsid w:val="00CC50AE"/>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4506"/>
    <w:rsid w:val="00CD520B"/>
    <w:rsid w:val="00CD5663"/>
    <w:rsid w:val="00CD592E"/>
    <w:rsid w:val="00CD5982"/>
    <w:rsid w:val="00CD5A1A"/>
    <w:rsid w:val="00CD6411"/>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DB7"/>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104A"/>
    <w:rsid w:val="00D21BB5"/>
    <w:rsid w:val="00D21FFC"/>
    <w:rsid w:val="00D223B6"/>
    <w:rsid w:val="00D223E8"/>
    <w:rsid w:val="00D224E1"/>
    <w:rsid w:val="00D22DC8"/>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A63"/>
    <w:rsid w:val="00D35C0E"/>
    <w:rsid w:val="00D35C97"/>
    <w:rsid w:val="00D36FBF"/>
    <w:rsid w:val="00D3720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346"/>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030"/>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90384"/>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EE0"/>
    <w:rsid w:val="00D978CB"/>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831"/>
    <w:rsid w:val="00DA5989"/>
    <w:rsid w:val="00DA5AB1"/>
    <w:rsid w:val="00DA5F9D"/>
    <w:rsid w:val="00DA6916"/>
    <w:rsid w:val="00DA69B2"/>
    <w:rsid w:val="00DA7462"/>
    <w:rsid w:val="00DA7AD0"/>
    <w:rsid w:val="00DB02D7"/>
    <w:rsid w:val="00DB03CC"/>
    <w:rsid w:val="00DB12D4"/>
    <w:rsid w:val="00DB14F0"/>
    <w:rsid w:val="00DB1745"/>
    <w:rsid w:val="00DB19BB"/>
    <w:rsid w:val="00DB1AFF"/>
    <w:rsid w:val="00DB219A"/>
    <w:rsid w:val="00DB3009"/>
    <w:rsid w:val="00DB3165"/>
    <w:rsid w:val="00DB4292"/>
    <w:rsid w:val="00DB5023"/>
    <w:rsid w:val="00DB6895"/>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1410"/>
    <w:rsid w:val="00DE20C6"/>
    <w:rsid w:val="00DE3119"/>
    <w:rsid w:val="00DE3E0B"/>
    <w:rsid w:val="00DE3FF0"/>
    <w:rsid w:val="00DE4105"/>
    <w:rsid w:val="00DE5189"/>
    <w:rsid w:val="00DE7108"/>
    <w:rsid w:val="00DE78D1"/>
    <w:rsid w:val="00DE78FF"/>
    <w:rsid w:val="00DF0263"/>
    <w:rsid w:val="00DF0EB4"/>
    <w:rsid w:val="00DF146A"/>
    <w:rsid w:val="00DF158B"/>
    <w:rsid w:val="00DF193C"/>
    <w:rsid w:val="00DF1A35"/>
    <w:rsid w:val="00DF1E36"/>
    <w:rsid w:val="00DF236B"/>
    <w:rsid w:val="00DF2A91"/>
    <w:rsid w:val="00DF3889"/>
    <w:rsid w:val="00DF3CC9"/>
    <w:rsid w:val="00DF4451"/>
    <w:rsid w:val="00DF49FF"/>
    <w:rsid w:val="00DF4C52"/>
    <w:rsid w:val="00DF4FFB"/>
    <w:rsid w:val="00DF5236"/>
    <w:rsid w:val="00DF5B31"/>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2012A"/>
    <w:rsid w:val="00E205A2"/>
    <w:rsid w:val="00E20BA4"/>
    <w:rsid w:val="00E210D0"/>
    <w:rsid w:val="00E23137"/>
    <w:rsid w:val="00E23980"/>
    <w:rsid w:val="00E241E9"/>
    <w:rsid w:val="00E257C3"/>
    <w:rsid w:val="00E25A2C"/>
    <w:rsid w:val="00E25CB3"/>
    <w:rsid w:val="00E25DA4"/>
    <w:rsid w:val="00E26237"/>
    <w:rsid w:val="00E26861"/>
    <w:rsid w:val="00E26CB8"/>
    <w:rsid w:val="00E26D16"/>
    <w:rsid w:val="00E26FCF"/>
    <w:rsid w:val="00E27165"/>
    <w:rsid w:val="00E275D9"/>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24C8"/>
    <w:rsid w:val="00E4251D"/>
    <w:rsid w:val="00E43D00"/>
    <w:rsid w:val="00E443B4"/>
    <w:rsid w:val="00E445E4"/>
    <w:rsid w:val="00E457CB"/>
    <w:rsid w:val="00E45D47"/>
    <w:rsid w:val="00E45DE4"/>
    <w:rsid w:val="00E45E63"/>
    <w:rsid w:val="00E46E14"/>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B5F"/>
    <w:rsid w:val="00E60D8D"/>
    <w:rsid w:val="00E60FF7"/>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D79"/>
    <w:rsid w:val="00E66F5A"/>
    <w:rsid w:val="00E66FF9"/>
    <w:rsid w:val="00E6706F"/>
    <w:rsid w:val="00E673A2"/>
    <w:rsid w:val="00E67856"/>
    <w:rsid w:val="00E679C8"/>
    <w:rsid w:val="00E70314"/>
    <w:rsid w:val="00E724E7"/>
    <w:rsid w:val="00E72B41"/>
    <w:rsid w:val="00E732C1"/>
    <w:rsid w:val="00E73315"/>
    <w:rsid w:val="00E7347B"/>
    <w:rsid w:val="00E73792"/>
    <w:rsid w:val="00E73D03"/>
    <w:rsid w:val="00E7471C"/>
    <w:rsid w:val="00E7498A"/>
    <w:rsid w:val="00E7514E"/>
    <w:rsid w:val="00E76537"/>
    <w:rsid w:val="00E77784"/>
    <w:rsid w:val="00E77AF5"/>
    <w:rsid w:val="00E80EA8"/>
    <w:rsid w:val="00E820F4"/>
    <w:rsid w:val="00E823F9"/>
    <w:rsid w:val="00E82C1F"/>
    <w:rsid w:val="00E82C57"/>
    <w:rsid w:val="00E83671"/>
    <w:rsid w:val="00E839C4"/>
    <w:rsid w:val="00E840EE"/>
    <w:rsid w:val="00E84314"/>
    <w:rsid w:val="00E849CA"/>
    <w:rsid w:val="00E84A71"/>
    <w:rsid w:val="00E8556F"/>
    <w:rsid w:val="00E86556"/>
    <w:rsid w:val="00E86D35"/>
    <w:rsid w:val="00E86DC2"/>
    <w:rsid w:val="00E86E32"/>
    <w:rsid w:val="00E86F2E"/>
    <w:rsid w:val="00E8732E"/>
    <w:rsid w:val="00E87454"/>
    <w:rsid w:val="00E9011F"/>
    <w:rsid w:val="00E906EB"/>
    <w:rsid w:val="00E90AEC"/>
    <w:rsid w:val="00E9170E"/>
    <w:rsid w:val="00E919FB"/>
    <w:rsid w:val="00E9241E"/>
    <w:rsid w:val="00E92460"/>
    <w:rsid w:val="00E92E62"/>
    <w:rsid w:val="00E93804"/>
    <w:rsid w:val="00E9429D"/>
    <w:rsid w:val="00E95434"/>
    <w:rsid w:val="00E96467"/>
    <w:rsid w:val="00E966DA"/>
    <w:rsid w:val="00E96948"/>
    <w:rsid w:val="00E96F8D"/>
    <w:rsid w:val="00E9737B"/>
    <w:rsid w:val="00E97A3F"/>
    <w:rsid w:val="00E97F0A"/>
    <w:rsid w:val="00EA0100"/>
    <w:rsid w:val="00EA0BCE"/>
    <w:rsid w:val="00EA22FA"/>
    <w:rsid w:val="00EA2744"/>
    <w:rsid w:val="00EA37B9"/>
    <w:rsid w:val="00EA39F7"/>
    <w:rsid w:val="00EA3DC2"/>
    <w:rsid w:val="00EA434E"/>
    <w:rsid w:val="00EA4757"/>
    <w:rsid w:val="00EA560B"/>
    <w:rsid w:val="00EA5669"/>
    <w:rsid w:val="00EA57BD"/>
    <w:rsid w:val="00EA5CC6"/>
    <w:rsid w:val="00EA63EF"/>
    <w:rsid w:val="00EA729F"/>
    <w:rsid w:val="00EA7CBF"/>
    <w:rsid w:val="00EB0A89"/>
    <w:rsid w:val="00EB1573"/>
    <w:rsid w:val="00EB185F"/>
    <w:rsid w:val="00EB1910"/>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2EA"/>
    <w:rsid w:val="00EE13DA"/>
    <w:rsid w:val="00EE1668"/>
    <w:rsid w:val="00EE168D"/>
    <w:rsid w:val="00EE1EDB"/>
    <w:rsid w:val="00EE24E2"/>
    <w:rsid w:val="00EE2BF0"/>
    <w:rsid w:val="00EE3295"/>
    <w:rsid w:val="00EE366D"/>
    <w:rsid w:val="00EE3C8A"/>
    <w:rsid w:val="00EE5454"/>
    <w:rsid w:val="00EE54C4"/>
    <w:rsid w:val="00EE59B5"/>
    <w:rsid w:val="00EE5FB7"/>
    <w:rsid w:val="00EE6783"/>
    <w:rsid w:val="00EE7B54"/>
    <w:rsid w:val="00EE7C47"/>
    <w:rsid w:val="00EE7C88"/>
    <w:rsid w:val="00EE7C8B"/>
    <w:rsid w:val="00EF0209"/>
    <w:rsid w:val="00EF0EA4"/>
    <w:rsid w:val="00EF1E97"/>
    <w:rsid w:val="00EF2436"/>
    <w:rsid w:val="00EF2547"/>
    <w:rsid w:val="00EF2942"/>
    <w:rsid w:val="00EF2B2B"/>
    <w:rsid w:val="00EF2E1C"/>
    <w:rsid w:val="00EF2FD6"/>
    <w:rsid w:val="00EF326A"/>
    <w:rsid w:val="00EF427A"/>
    <w:rsid w:val="00EF45DF"/>
    <w:rsid w:val="00EF4952"/>
    <w:rsid w:val="00EF498F"/>
    <w:rsid w:val="00EF4A42"/>
    <w:rsid w:val="00EF510C"/>
    <w:rsid w:val="00EF55C4"/>
    <w:rsid w:val="00EF57BC"/>
    <w:rsid w:val="00EF5CA8"/>
    <w:rsid w:val="00EF6784"/>
    <w:rsid w:val="00EF688A"/>
    <w:rsid w:val="00EF6A03"/>
    <w:rsid w:val="00EF6DC2"/>
    <w:rsid w:val="00EF7506"/>
    <w:rsid w:val="00EF760B"/>
    <w:rsid w:val="00EF7AE1"/>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DE0"/>
    <w:rsid w:val="00F06E19"/>
    <w:rsid w:val="00F06F84"/>
    <w:rsid w:val="00F076E7"/>
    <w:rsid w:val="00F07AA1"/>
    <w:rsid w:val="00F07E4C"/>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A9"/>
    <w:rsid w:val="00F15505"/>
    <w:rsid w:val="00F15BFF"/>
    <w:rsid w:val="00F16E4F"/>
    <w:rsid w:val="00F17244"/>
    <w:rsid w:val="00F20ECE"/>
    <w:rsid w:val="00F213A0"/>
    <w:rsid w:val="00F21D54"/>
    <w:rsid w:val="00F21EF4"/>
    <w:rsid w:val="00F23113"/>
    <w:rsid w:val="00F23255"/>
    <w:rsid w:val="00F23393"/>
    <w:rsid w:val="00F23759"/>
    <w:rsid w:val="00F24644"/>
    <w:rsid w:val="00F25947"/>
    <w:rsid w:val="00F25F9F"/>
    <w:rsid w:val="00F262D6"/>
    <w:rsid w:val="00F266BD"/>
    <w:rsid w:val="00F26F33"/>
    <w:rsid w:val="00F2748A"/>
    <w:rsid w:val="00F277FC"/>
    <w:rsid w:val="00F300A8"/>
    <w:rsid w:val="00F302C6"/>
    <w:rsid w:val="00F30400"/>
    <w:rsid w:val="00F3079E"/>
    <w:rsid w:val="00F321FD"/>
    <w:rsid w:val="00F3399B"/>
    <w:rsid w:val="00F33F4B"/>
    <w:rsid w:val="00F346ED"/>
    <w:rsid w:val="00F34945"/>
    <w:rsid w:val="00F34E1E"/>
    <w:rsid w:val="00F3570C"/>
    <w:rsid w:val="00F363A4"/>
    <w:rsid w:val="00F36613"/>
    <w:rsid w:val="00F36765"/>
    <w:rsid w:val="00F368FF"/>
    <w:rsid w:val="00F37068"/>
    <w:rsid w:val="00F37F3F"/>
    <w:rsid w:val="00F40992"/>
    <w:rsid w:val="00F409C6"/>
    <w:rsid w:val="00F40F72"/>
    <w:rsid w:val="00F41596"/>
    <w:rsid w:val="00F41D8B"/>
    <w:rsid w:val="00F42121"/>
    <w:rsid w:val="00F424B3"/>
    <w:rsid w:val="00F428B1"/>
    <w:rsid w:val="00F428B4"/>
    <w:rsid w:val="00F4345D"/>
    <w:rsid w:val="00F4387B"/>
    <w:rsid w:val="00F4488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3B8B"/>
    <w:rsid w:val="00F55679"/>
    <w:rsid w:val="00F561E3"/>
    <w:rsid w:val="00F565E6"/>
    <w:rsid w:val="00F56AFA"/>
    <w:rsid w:val="00F575E2"/>
    <w:rsid w:val="00F579FF"/>
    <w:rsid w:val="00F600E0"/>
    <w:rsid w:val="00F605B7"/>
    <w:rsid w:val="00F605EC"/>
    <w:rsid w:val="00F60F60"/>
    <w:rsid w:val="00F612CE"/>
    <w:rsid w:val="00F6133C"/>
    <w:rsid w:val="00F61405"/>
    <w:rsid w:val="00F62227"/>
    <w:rsid w:val="00F624A7"/>
    <w:rsid w:val="00F62AB6"/>
    <w:rsid w:val="00F65A3C"/>
    <w:rsid w:val="00F66009"/>
    <w:rsid w:val="00F66282"/>
    <w:rsid w:val="00F6639E"/>
    <w:rsid w:val="00F670E9"/>
    <w:rsid w:val="00F674B6"/>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2BA1"/>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5C55"/>
    <w:rsid w:val="00FB630E"/>
    <w:rsid w:val="00FB66DD"/>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7F6"/>
    <w:rsid w:val="00FD4AF3"/>
    <w:rsid w:val="00FD72B1"/>
    <w:rsid w:val="00FD798D"/>
    <w:rsid w:val="00FE141E"/>
    <w:rsid w:val="00FE144E"/>
    <w:rsid w:val="00FE1768"/>
    <w:rsid w:val="00FE1DD5"/>
    <w:rsid w:val="00FE1E72"/>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9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5473427">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CF74-9E35-4FC6-9D8D-13CE1631C91C}"/>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A7996E1-F375-4E12-8B26-58626E59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23</Pages>
  <Words>8394</Words>
  <Characters>46169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2</cp:revision>
  <cp:lastPrinted>2020-01-30T15:05:00Z</cp:lastPrinted>
  <dcterms:created xsi:type="dcterms:W3CDTF">2021-06-25T14:27:00Z</dcterms:created>
  <dcterms:modified xsi:type="dcterms:W3CDTF">2021-06-25T14:27:00Z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